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Default Extension="wdp" ContentType="image/vnd.ms-photo"/>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drawings/drawing1.xml" ContentType="application/vnd.openxmlformats-officedocument.drawingml.chartshapes+xml"/>
  <Override PartName="/word/charts/chart3.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3.xml" ContentType="application/vnd.openxmlformats-officedocument.themeOverride+xml"/>
  <Override PartName="/word/drawings/drawing2.xml" ContentType="application/vnd.openxmlformats-officedocument.drawingml.chartshapes+xml"/>
  <Override PartName="/word/charts/chart4.xml" ContentType="application/vnd.openxmlformats-officedocument.drawingml.chart+xml"/>
  <Override PartName="/word/theme/themeOverride4.xml" ContentType="application/vnd.openxmlformats-officedocument.themeOverride+xml"/>
  <Override PartName="/word/drawings/drawing3.xml" ContentType="application/vnd.openxmlformats-officedocument.drawingml.chartshapes+xml"/>
  <Override PartName="/word/charts/chart5.xml" ContentType="application/vnd.openxmlformats-officedocument.drawingml.chart+xml"/>
  <Override PartName="/word/theme/themeOverride5.xml" ContentType="application/vnd.openxmlformats-officedocument.themeOverride+xml"/>
  <Override PartName="/word/charts/chart6.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6.xml" ContentType="application/vnd.openxmlformats-officedocument.themeOverride+xml"/>
  <Override PartName="/word/charts/chart7.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7.xml" ContentType="application/vnd.openxmlformats-officedocument.themeOverride+xml"/>
  <Override PartName="/word/charts/chart8.xml" ContentType="application/vnd.openxmlformats-officedocument.drawingml.chart+xml"/>
  <Override PartName="/word/theme/themeOverride8.xml" ContentType="application/vnd.openxmlformats-officedocument.themeOverride+xml"/>
  <Override PartName="/word/charts/chart9.xml" ContentType="application/vnd.openxmlformats-officedocument.drawingml.chart+xml"/>
  <Override PartName="/word/theme/themeOverride9.xml" ContentType="application/vnd.openxmlformats-officedocument.themeOverride+xml"/>
  <Override PartName="/word/charts/chart10.xml" ContentType="application/vnd.openxmlformats-officedocument.drawingml.chart+xml"/>
  <Override PartName="/word/theme/themeOverride10.xml" ContentType="application/vnd.openxmlformats-officedocument.themeOverride+xml"/>
  <Override PartName="/word/charts/chart11.xml" ContentType="application/vnd.openxmlformats-officedocument.drawingml.chart+xml"/>
  <Override PartName="/word/theme/themeOverride11.xml" ContentType="application/vnd.openxmlformats-officedocument.themeOverride+xml"/>
  <Override PartName="/word/charts/chart12.xml" ContentType="application/vnd.openxmlformats-officedocument.drawingml.chart+xml"/>
  <Override PartName="/word/theme/themeOverride12.xml" ContentType="application/vnd.openxmlformats-officedocument.themeOverride+xml"/>
  <Override PartName="/word/charts/chart13.xml" ContentType="application/vnd.openxmlformats-officedocument.drawingml.chart+xml"/>
  <Override PartName="/word/theme/themeOverride13.xml" ContentType="application/vnd.openxmlformats-officedocument.themeOverride+xml"/>
  <Override PartName="/word/charts/chart14.xml" ContentType="application/vnd.openxmlformats-officedocument.drawingml.chart+xml"/>
  <Override PartName="/word/theme/themeOverride14.xml" ContentType="application/vnd.openxmlformats-officedocument.themeOverride+xml"/>
  <Override PartName="/word/drawings/drawing4.xml" ContentType="application/vnd.openxmlformats-officedocument.drawingml.chartshapes+xml"/>
  <Override PartName="/word/charts/chart15.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15.xml" ContentType="application/vnd.openxmlformats-officedocument.themeOverride+xml"/>
  <Override PartName="/word/drawings/drawing5.xml" ContentType="application/vnd.openxmlformats-officedocument.drawingml.chartshapes+xml"/>
  <Override PartName="/word/charts/chart16.xml" ContentType="application/vnd.openxmlformats-officedocument.drawingml.chart+xml"/>
  <Override PartName="/word/charts/style5.xml" ContentType="application/vnd.ms-office.chartstyle+xml"/>
  <Override PartName="/word/charts/colors5.xml" ContentType="application/vnd.ms-office.chartcolorstyle+xml"/>
  <Override PartName="/word/theme/themeOverride16.xml" ContentType="application/vnd.openxmlformats-officedocument.themeOverride+xml"/>
  <Override PartName="/word/drawings/drawing6.xml" ContentType="application/vnd.openxmlformats-officedocument.drawingml.chartshapes+xml"/>
  <Override PartName="/word/charts/chart17.xml" ContentType="application/vnd.openxmlformats-officedocument.drawingml.chart+xml"/>
  <Override PartName="/word/theme/themeOverride17.xml" ContentType="application/vnd.openxmlformats-officedocument.themeOverride+xml"/>
  <Override PartName="/word/drawings/drawing7.xml" ContentType="application/vnd.openxmlformats-officedocument.drawingml.chartshapes+xml"/>
  <Override PartName="/word/charts/chart18.xml" ContentType="application/vnd.openxmlformats-officedocument.drawingml.chart+xml"/>
  <Override PartName="/word/theme/themeOverride18.xml" ContentType="application/vnd.openxmlformats-officedocument.themeOverride+xml"/>
  <Override PartName="/word/drawings/drawing8.xml" ContentType="application/vnd.openxmlformats-officedocument.drawingml.chartshapes+xml"/>
  <Override PartName="/word/charts/chart19.xml" ContentType="application/vnd.openxmlformats-officedocument.drawingml.chart+xml"/>
  <Override PartName="/word/theme/themeOverride19.xml" ContentType="application/vnd.openxmlformats-officedocument.themeOverride+xml"/>
  <Override PartName="/word/drawings/drawing9.xml" ContentType="application/vnd.openxmlformats-officedocument.drawingml.chartshapes+xml"/>
  <Override PartName="/word/charts/chart20.xml" ContentType="application/vnd.openxmlformats-officedocument.drawingml.chart+xml"/>
  <Override PartName="/word/theme/themeOverride20.xml" ContentType="application/vnd.openxmlformats-officedocument.themeOverride+xml"/>
  <Override PartName="/word/charts/chart21.xml" ContentType="application/vnd.openxmlformats-officedocument.drawingml.chart+xml"/>
  <Override PartName="/word/theme/themeOverride21.xml" ContentType="application/vnd.openxmlformats-officedocument.themeOverride+xml"/>
  <Override PartName="/word/charts/chart22.xml" ContentType="application/vnd.openxmlformats-officedocument.drawingml.chart+xml"/>
  <Override PartName="/word/theme/themeOverride22.xml" ContentType="application/vnd.openxmlformats-officedocument.themeOverride+xml"/>
  <Override PartName="/word/charts/chart23.xml" ContentType="application/vnd.openxmlformats-officedocument.drawingml.chart+xml"/>
  <Override PartName="/word/theme/themeOverride23.xml" ContentType="application/vnd.openxmlformats-officedocument.themeOverride+xml"/>
  <Override PartName="/word/charts/chart24.xml" ContentType="application/vnd.openxmlformats-officedocument.drawingml.chart+xml"/>
  <Override PartName="/word/theme/themeOverride24.xml" ContentType="application/vnd.openxmlformats-officedocument.themeOverride+xml"/>
  <Override PartName="/word/drawings/drawing10.xml" ContentType="application/vnd.openxmlformats-officedocument.drawingml.chartshapes+xml"/>
  <Override PartName="/word/charts/chart25.xml" ContentType="application/vnd.openxmlformats-officedocument.drawingml.chart+xml"/>
  <Override PartName="/word/theme/themeOverride25.xml" ContentType="application/vnd.openxmlformats-officedocument.themeOverride+xml"/>
  <Override PartName="/word/drawings/drawing11.xml" ContentType="application/vnd.openxmlformats-officedocument.drawingml.chartshapes+xml"/>
  <Override PartName="/word/charts/chart26.xml" ContentType="application/vnd.openxmlformats-officedocument.drawingml.chart+xml"/>
  <Override PartName="/word/theme/themeOverride26.xml" ContentType="application/vnd.openxmlformats-officedocument.themeOverride+xml"/>
  <Override PartName="/word/drawings/drawing12.xml" ContentType="application/vnd.openxmlformats-officedocument.drawingml.chartshapes+xml"/>
  <Override PartName="/word/charts/chart27.xml" ContentType="application/vnd.openxmlformats-officedocument.drawingml.chart+xml"/>
  <Override PartName="/word/theme/themeOverride27.xml" ContentType="application/vnd.openxmlformats-officedocument.themeOverride+xml"/>
  <Override PartName="/word/drawings/drawing13.xml" ContentType="application/vnd.openxmlformats-officedocument.drawingml.chartshapes+xml"/>
  <Override PartName="/word/charts/chart28.xml" ContentType="application/vnd.openxmlformats-officedocument.drawingml.chart+xml"/>
  <Override PartName="/word/theme/themeOverride28.xml" ContentType="application/vnd.openxmlformats-officedocument.themeOverride+xml"/>
  <Override PartName="/word/charts/chart29.xml" ContentType="application/vnd.openxmlformats-officedocument.drawingml.chart+xml"/>
  <Override PartName="/word/theme/themeOverride29.xml" ContentType="application/vnd.openxmlformats-officedocument.themeOverride+xml"/>
  <Override PartName="/word/charts/chart30.xml" ContentType="application/vnd.openxmlformats-officedocument.drawingml.chart+xml"/>
  <Override PartName="/word/theme/themeOverride30.xml" ContentType="application/vnd.openxmlformats-officedocument.themeOverride+xml"/>
  <Override PartName="/word/charts/chart31.xml" ContentType="application/vnd.openxmlformats-officedocument.drawingml.chart+xml"/>
  <Override PartName="/word/theme/themeOverride31.xml" ContentType="application/vnd.openxmlformats-officedocument.themeOverride+xml"/>
  <Override PartName="/word/charts/chart32.xml" ContentType="application/vnd.openxmlformats-officedocument.drawingml.chart+xml"/>
  <Override PartName="/word/charts/style6.xml" ContentType="application/vnd.ms-office.chartstyle+xml"/>
  <Override PartName="/word/charts/colors6.xml" ContentType="application/vnd.ms-office.chartcolorstyle+xml"/>
  <Override PartName="/word/theme/themeOverride32.xml" ContentType="application/vnd.openxmlformats-officedocument.themeOverride+xml"/>
  <Override PartName="/word/charts/chart33.xml" ContentType="application/vnd.openxmlformats-officedocument.drawingml.chart+xml"/>
  <Override PartName="/word/charts/style7.xml" ContentType="application/vnd.ms-office.chartstyle+xml"/>
  <Override PartName="/word/charts/colors7.xml" ContentType="application/vnd.ms-office.chartcolorstyle+xml"/>
  <Override PartName="/word/theme/themeOverride33.xml" ContentType="application/vnd.openxmlformats-officedocument.themeOverride+xml"/>
  <Override PartName="/word/charts/chart34.xml" ContentType="application/vnd.openxmlformats-officedocument.drawingml.chart+xml"/>
  <Override PartName="/word/charts/style8.xml" ContentType="application/vnd.ms-office.chartstyle+xml"/>
  <Override PartName="/word/charts/colors8.xml" ContentType="application/vnd.ms-office.chartcolorstyle+xml"/>
  <Override PartName="/word/theme/themeOverride34.xml" ContentType="application/vnd.openxmlformats-officedocument.themeOverride+xml"/>
  <Override PartName="/word/charts/chart35.xml" ContentType="application/vnd.openxmlformats-officedocument.drawingml.chart+xml"/>
  <Override PartName="/word/charts/style9.xml" ContentType="application/vnd.ms-office.chartstyle+xml"/>
  <Override PartName="/word/charts/colors9.xml" ContentType="application/vnd.ms-office.chartcolorstyle+xml"/>
  <Override PartName="/word/theme/themeOverride35.xml" ContentType="application/vnd.openxmlformats-officedocument.themeOverride+xml"/>
  <Override PartName="/word/charts/chart36.xml" ContentType="application/vnd.openxmlformats-officedocument.drawingml.chart+xml"/>
  <Override PartName="/word/charts/style10.xml" ContentType="application/vnd.ms-office.chartstyle+xml"/>
  <Override PartName="/word/charts/colors10.xml" ContentType="application/vnd.ms-office.chartcolorstyle+xml"/>
  <Override PartName="/word/theme/themeOverride36.xml" ContentType="application/vnd.openxmlformats-officedocument.themeOverride+xml"/>
  <Override PartName="/word/charts/chart37.xml" ContentType="application/vnd.openxmlformats-officedocument.drawingml.chart+xml"/>
  <Override PartName="/word/theme/themeOverride37.xml" ContentType="application/vnd.openxmlformats-officedocument.themeOverride+xml"/>
  <Override PartName="/word/charts/chart38.xml" ContentType="application/vnd.openxmlformats-officedocument.drawingml.chart+xml"/>
  <Override PartName="/word/theme/themeOverride38.xml" ContentType="application/vnd.openxmlformats-officedocument.themeOverride+xml"/>
  <Override PartName="/word/charts/chart39.xml" ContentType="application/vnd.openxmlformats-officedocument.drawingml.chart+xml"/>
  <Override PartName="/word/theme/themeOverride39.xml" ContentType="application/vnd.openxmlformats-officedocument.themeOverride+xml"/>
  <Override PartName="/word/charts/chart40.xml" ContentType="application/vnd.openxmlformats-officedocument.drawingml.chart+xml"/>
  <Override PartName="/word/theme/themeOverride40.xml" ContentType="application/vnd.openxmlformats-officedocument.themeOverride+xml"/>
  <Override PartName="/word/charts/chart41.xml" ContentType="application/vnd.openxmlformats-officedocument.drawingml.chart+xml"/>
  <Override PartName="/word/theme/themeOverride41.xml" ContentType="application/vnd.openxmlformats-officedocument.themeOverride+xml"/>
  <Override PartName="/word/drawings/drawing14.xml" ContentType="application/vnd.openxmlformats-officedocument.drawingml.chartshapes+xml"/>
  <Override PartName="/word/charts/chart42.xml" ContentType="application/vnd.openxmlformats-officedocument.drawingml.chart+xml"/>
  <Override PartName="/word/theme/themeOverride42.xml" ContentType="application/vnd.openxmlformats-officedocument.themeOverride+xml"/>
  <Override PartName="/word/charts/chart43.xml" ContentType="application/vnd.openxmlformats-officedocument.drawingml.chart+xml"/>
  <Override PartName="/word/theme/themeOverride43.xml" ContentType="application/vnd.openxmlformats-officedocument.themeOverride+xml"/>
  <Override PartName="/word/charts/chart44.xml" ContentType="application/vnd.openxmlformats-officedocument.drawingml.chart+xml"/>
  <Override PartName="/word/theme/themeOverride44.xml" ContentType="application/vnd.openxmlformats-officedocument.themeOverride+xml"/>
  <Override PartName="/word/charts/chart45.xml" ContentType="application/vnd.openxmlformats-officedocument.drawingml.chart+xml"/>
  <Override PartName="/word/theme/themeOverride45.xml" ContentType="application/vnd.openxmlformats-officedocument.themeOverride+xml"/>
  <Override PartName="/word/charts/chart46.xml" ContentType="application/vnd.openxmlformats-officedocument.drawingml.chart+xml"/>
  <Override PartName="/word/theme/themeOverride46.xml" ContentType="application/vnd.openxmlformats-officedocument.themeOverride+xml"/>
  <Override PartName="/word/charts/chart47.xml" ContentType="application/vnd.openxmlformats-officedocument.drawingml.chart+xml"/>
  <Override PartName="/word/theme/themeOverride47.xml" ContentType="application/vnd.openxmlformats-officedocument.themeOverride+xml"/>
  <Override PartName="/word/charts/chart48.xml" ContentType="application/vnd.openxmlformats-officedocument.drawingml.chart+xml"/>
  <Override PartName="/word/charts/style11.xml" ContentType="application/vnd.ms-office.chartstyle+xml"/>
  <Override PartName="/word/charts/colors11.xml" ContentType="application/vnd.ms-office.chartcolorstyle+xml"/>
  <Override PartName="/word/theme/themeOverride48.xml" ContentType="application/vnd.openxmlformats-officedocument.themeOverride+xml"/>
  <Override PartName="/word/charts/chart49.xml" ContentType="application/vnd.openxmlformats-officedocument.drawingml.chart+xml"/>
  <Override PartName="/word/charts/style12.xml" ContentType="application/vnd.ms-office.chartstyle+xml"/>
  <Override PartName="/word/charts/colors12.xml" ContentType="application/vnd.ms-office.chartcolorstyle+xml"/>
  <Override PartName="/word/theme/themeOverride49.xml" ContentType="application/vnd.openxmlformats-officedocument.themeOverride+xml"/>
  <Override PartName="/word/drawings/drawing15.xml" ContentType="application/vnd.openxmlformats-officedocument.drawingml.chartshapes+xml"/>
  <Override PartName="/word/charts/chart50.xml" ContentType="application/vnd.openxmlformats-officedocument.drawingml.chart+xml"/>
  <Override PartName="/word/charts/style13.xml" ContentType="application/vnd.ms-office.chartstyle+xml"/>
  <Override PartName="/word/charts/colors13.xml" ContentType="application/vnd.ms-office.chartcolorstyle+xml"/>
  <Override PartName="/word/theme/themeOverride50.xml" ContentType="application/vnd.openxmlformats-officedocument.themeOverride+xml"/>
  <Override PartName="/word/drawings/drawing16.xml" ContentType="application/vnd.openxmlformats-officedocument.drawingml.chartshapes+xml"/>
  <Override PartName="/word/charts/chart51.xml" ContentType="application/vnd.openxmlformats-officedocument.drawingml.chart+xml"/>
  <Override PartName="/word/charts/style14.xml" ContentType="application/vnd.ms-office.chartstyle+xml"/>
  <Override PartName="/word/charts/colors14.xml" ContentType="application/vnd.ms-office.chartcolorstyle+xml"/>
  <Override PartName="/word/theme/themeOverride51.xml" ContentType="application/vnd.openxmlformats-officedocument.themeOverride+xml"/>
  <Override PartName="/word/drawings/drawing17.xml" ContentType="application/vnd.openxmlformats-officedocument.drawingml.chartshapes+xml"/>
  <Override PartName="/word/charts/chart52.xml" ContentType="application/vnd.openxmlformats-officedocument.drawingml.chart+xml"/>
  <Override PartName="/word/theme/themeOverride52.xml" ContentType="application/vnd.openxmlformats-officedocument.themeOverride+xml"/>
  <Override PartName="/word/drawings/drawing18.xml" ContentType="application/vnd.openxmlformats-officedocument.drawingml.chartshapes+xml"/>
  <Override PartName="/word/charts/chart53.xml" ContentType="application/vnd.openxmlformats-officedocument.drawingml.chart+xml"/>
  <Override PartName="/word/charts/style15.xml" ContentType="application/vnd.ms-office.chartstyle+xml"/>
  <Override PartName="/word/charts/colors15.xml" ContentType="application/vnd.ms-office.chartcolorstyle+xml"/>
  <Override PartName="/word/charts/chart54.xml" ContentType="application/vnd.openxmlformats-officedocument.drawingml.chart+xml"/>
  <Override PartName="/word/theme/themeOverride53.xml" ContentType="application/vnd.openxmlformats-officedocument.themeOverride+xml"/>
  <Override PartName="/word/charts/chart55.xml" ContentType="application/vnd.openxmlformats-officedocument.drawingml.chart+xml"/>
  <Override PartName="/word/charts/style16.xml" ContentType="application/vnd.ms-office.chartstyle+xml"/>
  <Override PartName="/word/charts/colors16.xml" ContentType="application/vnd.ms-office.chartcolorstyle+xml"/>
  <Override PartName="/word/theme/themeOverride54.xml" ContentType="application/vnd.openxmlformats-officedocument.themeOverride+xml"/>
  <Override PartName="/word/charts/chart56.xml" ContentType="application/vnd.openxmlformats-officedocument.drawingml.chart+xml"/>
  <Override PartName="/word/charts/style17.xml" ContentType="application/vnd.ms-office.chartstyle+xml"/>
  <Override PartName="/word/charts/colors17.xml" ContentType="application/vnd.ms-office.chartcolorstyle+xml"/>
  <Override PartName="/word/theme/themeOverride55.xml" ContentType="application/vnd.openxmlformats-officedocument.themeOverride+xml"/>
  <Override PartName="/word/charts/chart57.xml" ContentType="application/vnd.openxmlformats-officedocument.drawingml.chart+xml"/>
  <Override PartName="/word/theme/themeOverride56.xml" ContentType="application/vnd.openxmlformats-officedocument.themeOverride+xml"/>
  <Override PartName="/word/charts/chart58.xml" ContentType="application/vnd.openxmlformats-officedocument.drawingml.chart+xml"/>
  <Override PartName="/word/theme/themeOverride57.xml" ContentType="application/vnd.openxmlformats-officedocument.themeOverride+xml"/>
  <Override PartName="/word/charts/chart59.xml" ContentType="application/vnd.openxmlformats-officedocument.drawingml.chart+xml"/>
  <Override PartName="/word/charts/style18.xml" ContentType="application/vnd.ms-office.chartstyle+xml"/>
  <Override PartName="/word/charts/colors18.xml" ContentType="application/vnd.ms-office.chartcolorstyle+xml"/>
  <Override PartName="/word/theme/themeOverride58.xml" ContentType="application/vnd.openxmlformats-officedocument.themeOverride+xml"/>
  <Override PartName="/word/charts/chart60.xml" ContentType="application/vnd.openxmlformats-officedocument.drawingml.chart+xml"/>
  <Override PartName="/word/theme/themeOverride59.xml" ContentType="application/vnd.openxmlformats-officedocument.themeOverride+xml"/>
  <Override PartName="/word/charts/chart61.xml" ContentType="application/vnd.openxmlformats-officedocument.drawingml.chart+xml"/>
  <Override PartName="/word/theme/themeOverride60.xml" ContentType="application/vnd.openxmlformats-officedocument.themeOverride+xml"/>
  <Override PartName="/word/charts/chart62.xml" ContentType="application/vnd.openxmlformats-officedocument.drawingml.chart+xml"/>
  <Override PartName="/word/theme/themeOverride61.xml" ContentType="application/vnd.openxmlformats-officedocument.themeOverride+xml"/>
  <Override PartName="/word/charts/chart63.xml" ContentType="application/vnd.openxmlformats-officedocument.drawingml.chart+xml"/>
  <Override PartName="/word/theme/themeOverride62.xml" ContentType="application/vnd.openxmlformats-officedocument.themeOverride+xml"/>
  <Override PartName="/word/charts/chart64.xml" ContentType="application/vnd.openxmlformats-officedocument.drawingml.chart+xml"/>
  <Override PartName="/word/charts/style19.xml" ContentType="application/vnd.ms-office.chartstyle+xml"/>
  <Override PartName="/word/charts/colors19.xml" ContentType="application/vnd.ms-office.chartcolorstyle+xml"/>
  <Override PartName="/word/theme/themeOverride63.xml" ContentType="application/vnd.openxmlformats-officedocument.themeOverride+xml"/>
  <Override PartName="/word/charts/chart65.xml" ContentType="application/vnd.openxmlformats-officedocument.drawingml.chart+xml"/>
  <Override PartName="/word/charts/style20.xml" ContentType="application/vnd.ms-office.chartstyle+xml"/>
  <Override PartName="/word/charts/colors20.xml" ContentType="application/vnd.ms-office.chartcolorstyle+xml"/>
  <Override PartName="/word/charts/chart66.xml" ContentType="application/vnd.openxmlformats-officedocument.drawingml.chart+xml"/>
  <Override PartName="/word/theme/themeOverride64.xml" ContentType="application/vnd.openxmlformats-officedocument.themeOverride+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charts/chart67.xml" ContentType="application/vnd.openxmlformats-officedocument.drawingml.chart+xml"/>
  <Override PartName="/word/charts/style21.xml" ContentType="application/vnd.ms-office.chartstyle+xml"/>
  <Override PartName="/word/charts/colors21.xml" ContentType="application/vnd.ms-office.chartcolorstyle+xml"/>
  <Override PartName="/word/theme/themeOverride65.xml" ContentType="application/vnd.openxmlformats-officedocument.themeOverride+xml"/>
  <Override PartName="/word/charts/chart68.xml" ContentType="application/vnd.openxmlformats-officedocument.drawingml.chart+xml"/>
  <Override PartName="/word/charts/chart69.xml" ContentType="application/vnd.openxmlformats-officedocument.drawingml.chart+xml"/>
  <Override PartName="/word/theme/themeOverride66.xml" ContentType="application/vnd.openxmlformats-officedocument.themeOverride+xml"/>
  <Override PartName="/word/charts/chart70.xml" ContentType="application/vnd.openxmlformats-officedocument.drawingml.chart+xml"/>
  <Override PartName="/word/charts/style22.xml" ContentType="application/vnd.ms-office.chartstyle+xml"/>
  <Override PartName="/word/charts/colors22.xml" ContentType="application/vnd.ms-office.chartcolorstyle+xml"/>
  <Override PartName="/word/theme/themeOverride67.xml" ContentType="application/vnd.openxmlformats-officedocument.themeOverride+xml"/>
  <Override PartName="/word/charts/chart71.xml" ContentType="application/vnd.openxmlformats-officedocument.drawingml.chart+xml"/>
  <Override PartName="/word/theme/themeOverride68.xml" ContentType="application/vnd.openxmlformats-officedocument.themeOverride+xml"/>
  <Override PartName="/word/charts/chart72.xml" ContentType="application/vnd.openxmlformats-officedocument.drawingml.chart+xml"/>
  <Override PartName="/word/charts/style23.xml" ContentType="application/vnd.ms-office.chartstyle+xml"/>
  <Override PartName="/word/charts/colors23.xml" ContentType="application/vnd.ms-office.chartcolorstyle+xml"/>
  <Override PartName="/word/charts/chart73.xml" ContentType="application/vnd.openxmlformats-officedocument.drawingml.chart+xml"/>
  <Override PartName="/word/charts/style24.xml" ContentType="application/vnd.ms-office.chartstyle+xml"/>
  <Override PartName="/word/charts/colors24.xml" ContentType="application/vnd.ms-office.chartcolorstyle+xml"/>
  <Override PartName="/word/theme/themeOverride69.xml" ContentType="application/vnd.openxmlformats-officedocument.themeOverride+xml"/>
  <Override PartName="/word/charts/chart74.xml" ContentType="application/vnd.openxmlformats-officedocument.drawingml.chart+xml"/>
  <Override PartName="/word/charts/style25.xml" ContentType="application/vnd.ms-office.chartstyle+xml"/>
  <Override PartName="/word/charts/colors25.xml" ContentType="application/vnd.ms-office.chartcolorstyle+xml"/>
  <Override PartName="/word/charts/chart75.xml" ContentType="application/vnd.openxmlformats-officedocument.drawingml.chart+xml"/>
  <Override PartName="/word/charts/style26.xml" ContentType="application/vnd.ms-office.chartstyle+xml"/>
  <Override PartName="/word/charts/colors26.xml" ContentType="application/vnd.ms-office.chartcolorstyle+xml"/>
  <Override PartName="/word/theme/themeOverride70.xml" ContentType="application/vnd.openxmlformats-officedocument.themeOverride+xml"/>
  <Override PartName="/word/charts/chart76.xml" ContentType="application/vnd.openxmlformats-officedocument.drawingml.chart+xml"/>
  <Override PartName="/word/theme/themeOverride71.xml" ContentType="application/vnd.openxmlformats-officedocument.themeOverride+xml"/>
  <Override PartName="/word/charts/chart77.xml" ContentType="application/vnd.openxmlformats-officedocument.drawingml.chart+xml"/>
  <Override PartName="/word/theme/themeOverride72.xml" ContentType="application/vnd.openxmlformats-officedocument.themeOverride+xml"/>
  <Override PartName="/word/charts/chart78.xml" ContentType="application/vnd.openxmlformats-officedocument.drawingml.chart+xml"/>
  <Override PartName="/word/theme/themeOverride73.xml" ContentType="application/vnd.openxmlformats-officedocument.themeOverride+xml"/>
  <Override PartName="/word/charts/chart79.xml" ContentType="application/vnd.openxmlformats-officedocument.drawingml.chart+xml"/>
  <Override PartName="/word/charts/chart80.xml" ContentType="application/vnd.openxmlformats-officedocument.drawingml.chart+xml"/>
  <Override PartName="/word/charts/chart81.xml" ContentType="application/vnd.openxmlformats-officedocument.drawingml.chart+xml"/>
  <Override PartName="/word/charts/chart82.xml" ContentType="application/vnd.openxmlformats-officedocument.drawingml.chart+xml"/>
  <Override PartName="/word/charts/chart83.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7F7F7"/>
  <w:body>
    <w:p w14:paraId="20974501" w14:textId="77777777" w:rsidR="00E77731" w:rsidRPr="00C3014C" w:rsidRDefault="00FD0C29" w:rsidP="007A4C49">
      <w:pPr>
        <w:pStyle w:val="TOC4"/>
        <w:jc w:val="both"/>
        <w:rPr>
          <w:lang w:val="hy-AM"/>
        </w:rPr>
      </w:pPr>
      <w:r>
        <w:rPr>
          <w:noProof/>
        </w:rPr>
        <w:drawing>
          <wp:anchor distT="0" distB="0" distL="114300" distR="114300" simplePos="0" relativeHeight="251680768" behindDoc="0" locked="0" layoutInCell="1" allowOverlap="1" wp14:anchorId="655A85F0" wp14:editId="5CD1410C">
            <wp:simplePos x="0" y="0"/>
            <wp:positionH relativeFrom="leftMargin">
              <wp:posOffset>2525543</wp:posOffset>
            </wp:positionH>
            <wp:positionV relativeFrom="paragraph">
              <wp:posOffset>-198842</wp:posOffset>
            </wp:positionV>
            <wp:extent cx="61595" cy="1301750"/>
            <wp:effectExtent l="0" t="0" r="0" b="0"/>
            <wp:wrapNone/>
            <wp:docPr id="52" name="Picture 52" descr="https://www.minfin.am/website/themes/frontend/default/image/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20848" descr="https://www.minfin.am/website/themes/frontend/default/image/logo.png"/>
                    <pic:cNvPicPr>
                      <a:picLocks noChangeAspect="1" noChangeArrowheads="1"/>
                    </pic:cNvPicPr>
                  </pic:nvPicPr>
                  <pic:blipFill>
                    <a:blip r:embed="rId8">
                      <a:extLst>
                        <a:ext uri="{28A0092B-C50C-407E-A947-70E740481C1C}">
                          <a14:useLocalDpi xmlns:a14="http://schemas.microsoft.com/office/drawing/2010/main" val="0"/>
                        </a:ext>
                      </a:extLst>
                    </a:blip>
                    <a:srcRect r="94489"/>
                    <a:stretch>
                      <a:fillRect/>
                    </a:stretch>
                  </pic:blipFill>
                  <pic:spPr bwMode="auto">
                    <a:xfrm>
                      <a:off x="0" y="0"/>
                      <a:ext cx="61595" cy="130175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82816" behindDoc="0" locked="0" layoutInCell="1" allowOverlap="1" wp14:anchorId="62B942AC" wp14:editId="783FAE1A">
            <wp:simplePos x="0" y="0"/>
            <wp:positionH relativeFrom="margin">
              <wp:posOffset>-85090</wp:posOffset>
            </wp:positionH>
            <wp:positionV relativeFrom="paragraph">
              <wp:posOffset>-74477</wp:posOffset>
            </wp:positionV>
            <wp:extent cx="1332230" cy="1014730"/>
            <wp:effectExtent l="0" t="0" r="0" b="0"/>
            <wp:wrapNone/>
            <wp:docPr id="50" name="Picture 50"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gerb"/>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32230" cy="1014730"/>
                    </a:xfrm>
                    <a:prstGeom prst="rect">
                      <a:avLst/>
                    </a:prstGeom>
                    <a:noFill/>
                  </pic:spPr>
                </pic:pic>
              </a:graphicData>
            </a:graphic>
            <wp14:sizeRelH relativeFrom="margin">
              <wp14:pctWidth>0</wp14:pctWidth>
            </wp14:sizeRelH>
            <wp14:sizeRelV relativeFrom="margin">
              <wp14:pctHeight>0</wp14:pctHeight>
            </wp14:sizeRelV>
          </wp:anchor>
        </w:drawing>
      </w:r>
      <w:r w:rsidR="004414EC">
        <w:rPr>
          <w:noProof/>
        </w:rPr>
        <mc:AlternateContent>
          <mc:Choice Requires="wps">
            <w:drawing>
              <wp:anchor distT="0" distB="0" distL="114300" distR="114300" simplePos="0" relativeHeight="251653119" behindDoc="0" locked="0" layoutInCell="1" allowOverlap="1" wp14:anchorId="3E0711AF" wp14:editId="303E3254">
                <wp:simplePos x="0" y="0"/>
                <wp:positionH relativeFrom="page">
                  <wp:posOffset>-153269</wp:posOffset>
                </wp:positionH>
                <wp:positionV relativeFrom="paragraph">
                  <wp:posOffset>-916873</wp:posOffset>
                </wp:positionV>
                <wp:extent cx="2728595" cy="10993120"/>
                <wp:effectExtent l="0" t="0" r="0" b="0"/>
                <wp:wrapNone/>
                <wp:docPr id="53" name="Rectangle 53"/>
                <wp:cNvGraphicFramePr/>
                <a:graphic xmlns:a="http://schemas.openxmlformats.org/drawingml/2006/main">
                  <a:graphicData uri="http://schemas.microsoft.com/office/word/2010/wordprocessingShape">
                    <wps:wsp>
                      <wps:cNvSpPr/>
                      <wps:spPr>
                        <a:xfrm>
                          <a:off x="0" y="0"/>
                          <a:ext cx="2728595" cy="10993120"/>
                        </a:xfrm>
                        <a:prstGeom prst="rect">
                          <a:avLst/>
                        </a:prstGeom>
                        <a:solidFill>
                          <a:srgbClr val="44546A">
                            <a:alpha val="96078"/>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rect w14:anchorId="72211E81" id="Rectangle 53" o:spid="_x0000_s1026" style="position:absolute;margin-left:-12.05pt;margin-top:-72.2pt;width:214.85pt;height:865.6pt;z-index:251653119;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" fillcolor="#44546a" stroked="f" strokeweight="1pt">
                <v:fill opacity="62965f"/>
                <w10:wrap anchorx="page"/>
              </v:rect>
            </w:pict>
          </mc:Fallback>
        </mc:AlternateContent>
      </w:r>
    </w:p>
    <w:p w14:paraId="663EFDDE" w14:textId="77777777" w:rsidR="00E77731" w:rsidRPr="00C3014C" w:rsidRDefault="00E77731" w:rsidP="007A4C49">
      <w:pPr>
        <w:jc w:val="both"/>
      </w:pPr>
    </w:p>
    <w:p w14:paraId="199E2AEE" w14:textId="77777777" w:rsidR="00E77731" w:rsidRPr="00C3014C" w:rsidRDefault="00E77731" w:rsidP="007A4C49">
      <w:pPr>
        <w:jc w:val="both"/>
        <w:rPr>
          <w:lang w:val="ru-RU"/>
        </w:rPr>
      </w:pPr>
    </w:p>
    <w:p w14:paraId="63E1BAE9" w14:textId="77777777" w:rsidR="00FD0C29" w:rsidRDefault="00FD0C29" w:rsidP="007A4C49">
      <w:pPr>
        <w:pStyle w:val="NoSpacing"/>
        <w:spacing w:after="120"/>
        <w:jc w:val="both"/>
        <w:rPr>
          <w:szCs w:val="20"/>
          <w:lang w:val="ru-RU"/>
        </w:rPr>
      </w:pPr>
      <w:r>
        <w:rPr>
          <w:noProof/>
        </w:rPr>
        <mc:AlternateContent>
          <mc:Choice Requires="wps">
            <w:drawing>
              <wp:anchor distT="91440" distB="91440" distL="365760" distR="365760" simplePos="0" relativeHeight="251685888" behindDoc="0" locked="0" layoutInCell="1" allowOverlap="1" wp14:anchorId="5D1D8C7E" wp14:editId="51A39EA8">
                <wp:simplePos x="0" y="0"/>
                <wp:positionH relativeFrom="margin">
                  <wp:posOffset>-375467</wp:posOffset>
                </wp:positionH>
                <wp:positionV relativeFrom="margin">
                  <wp:posOffset>1159057</wp:posOffset>
                </wp:positionV>
                <wp:extent cx="1845129" cy="800100"/>
                <wp:effectExtent l="0" t="0" r="0" b="0"/>
                <wp:wrapNone/>
                <wp:docPr id="54" name="Rectangle 54"/>
                <wp:cNvGraphicFramePr/>
                <a:graphic xmlns:a="http://schemas.openxmlformats.org/drawingml/2006/main">
                  <a:graphicData uri="http://schemas.microsoft.com/office/word/2010/wordprocessingShape">
                    <wps:wsp>
                      <wps:cNvSpPr/>
                      <wps:spPr>
                        <a:xfrm>
                          <a:off x="0" y="0"/>
                          <a:ext cx="1845129" cy="80010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161D3FC" w14:textId="77777777" w:rsidR="00147C8B" w:rsidRPr="00056843" w:rsidRDefault="00147C8B" w:rsidP="00FD0C29">
                            <w:pPr>
                              <w:jc w:val="center"/>
                              <w:rPr>
                                <w:color w:val="FFFFFF" w:themeColor="background1"/>
                                <w:lang w:val="hy-AM"/>
                              </w:rPr>
                            </w:pPr>
                            <w:r w:rsidRPr="00056843">
                              <w:rPr>
                                <w:color w:val="FFFFFF" w:themeColor="background1"/>
                                <w:lang w:val="hy-AM"/>
                              </w:rPr>
                              <w:t>ՀԱՅԱՍՏԱՆԻ ՀԱՆՐԱՊԵՏՈՒԹՅԱՆ ԿԱՌԱՎԱՐՈՒԹՅԱՆ</w:t>
                            </w:r>
                          </w:p>
                          <w:p w14:paraId="310E4FED" w14:textId="77777777" w:rsidR="00147C8B" w:rsidRDefault="00147C8B"/>
                          <w:p w14:paraId="0D1D07B9" w14:textId="77777777" w:rsidR="00147C8B" w:rsidRPr="00056843" w:rsidRDefault="00147C8B" w:rsidP="00FD0C29">
                            <w:pPr>
                              <w:jc w:val="center"/>
                              <w:rPr>
                                <w:color w:val="FFFFFF" w:themeColor="background1"/>
                                <w:lang w:val="hy-AM"/>
                              </w:rPr>
                            </w:pPr>
                            <w:r w:rsidRPr="00682390">
                              <w:rPr>
                                <w:b/>
                                <w:color w:val="44546A" w:themeColor="text2"/>
                                <w:sz w:val="70"/>
                                <w:szCs w:val="70"/>
                              </w:rPr>
                              <w:t>2025 ԹՎԱԿԱՆԻ</w:t>
                            </w:r>
                            <w:r w:rsidRPr="00056843">
                              <w:rPr>
                                <w:color w:val="FFFFFF" w:themeColor="background1"/>
                                <w:lang w:val="hy-AM"/>
                              </w:rPr>
                              <w:t>ԹՅԱՆ ԿԱՌԱՎԱՐՈՒԹՅԱՆ</w:t>
                            </w:r>
                          </w:p>
                          <w:p w14:paraId="2DBE08C5" w14:textId="77777777" w:rsidR="00147C8B" w:rsidRDefault="00147C8B"/>
                          <w:p w14:paraId="6E6328C2" w14:textId="77777777" w:rsidR="00147C8B" w:rsidRPr="00056843" w:rsidRDefault="00147C8B" w:rsidP="00FD0C29">
                            <w:pPr>
                              <w:jc w:val="center"/>
                              <w:rPr>
                                <w:color w:val="FFFFFF" w:themeColor="background1"/>
                                <w:lang w:val="hy-AM"/>
                              </w:rPr>
                            </w:pPr>
                            <w:r w:rsidRPr="00682390">
                              <w:rPr>
                                <w:b/>
                                <w:color w:val="44546A" w:themeColor="text2"/>
                                <w:sz w:val="70"/>
                                <w:szCs w:val="70"/>
                              </w:rPr>
                              <w:t>2025 ԹՎԱԿԱՆԻ</w:t>
                            </w:r>
                            <w:r w:rsidRPr="00056843">
                              <w:rPr>
                                <w:color w:val="FFFFFF" w:themeColor="background1"/>
                                <w:lang w:val="hy-AM"/>
                              </w:rPr>
                              <w:t>ԹՅԱՆ ԿԱՌԱՎԱՐՈՒԹՅԱՆ</w:t>
                            </w:r>
                          </w:p>
                          <w:p w14:paraId="6D1F8758" w14:textId="77777777" w:rsidR="00147C8B" w:rsidRDefault="00147C8B"/>
                          <w:p w14:paraId="6D983852" w14:textId="77777777" w:rsidR="00147C8B" w:rsidRPr="00056843" w:rsidRDefault="00147C8B" w:rsidP="00FD0C29">
                            <w:pPr>
                              <w:jc w:val="center"/>
                              <w:rPr>
                                <w:color w:val="FFFFFF" w:themeColor="background1"/>
                                <w:lang w:val="hy-AM"/>
                              </w:rPr>
                            </w:pPr>
                            <w:r w:rsidRPr="00682390">
                              <w:rPr>
                                <w:b/>
                                <w:color w:val="44546A" w:themeColor="text2"/>
                                <w:sz w:val="70"/>
                                <w:szCs w:val="70"/>
                              </w:rPr>
                              <w:t>2025 ԹՎԱԿԱՆԻ</w:t>
                            </w:r>
                            <w:r w:rsidRPr="00056843">
                              <w:rPr>
                                <w:color w:val="FFFFFF" w:themeColor="background1"/>
                                <w:lang w:val="hy-AM"/>
                              </w:rPr>
                              <w:t>ԹՅԱՆ ԿԱՌԱՎԱՐՈՒԹՅԱՆ</w:t>
                            </w:r>
                          </w:p>
                          <w:p w14:paraId="03B59DA6" w14:textId="77777777" w:rsidR="00147C8B" w:rsidRDefault="00147C8B"/>
                          <w:p w14:paraId="696DA685"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2E9A2584" w14:textId="77777777" w:rsidR="00147C8B" w:rsidRPr="00A3353C" w:rsidRDefault="00147C8B" w:rsidP="00682390">
                            <w:pPr>
                              <w:jc w:val="right"/>
                              <w:rPr>
                                <w:sz w:val="74"/>
                                <w:szCs w:val="74"/>
                              </w:rPr>
                            </w:pPr>
                          </w:p>
                          <w:p w14:paraId="6A9E13B0" w14:textId="77777777" w:rsidR="00147C8B" w:rsidRDefault="00147C8B" w:rsidP="00682390">
                            <w:pPr>
                              <w:jc w:val="right"/>
                            </w:pPr>
                          </w:p>
                          <w:p w14:paraId="4D6645DE" w14:textId="77777777" w:rsidR="00147C8B" w:rsidRPr="00056843" w:rsidRDefault="00147C8B" w:rsidP="00FD0C29">
                            <w:pPr>
                              <w:jc w:val="center"/>
                              <w:rPr>
                                <w:color w:val="FFFFFF" w:themeColor="background1"/>
                                <w:lang w:val="hy-AM"/>
                              </w:rPr>
                            </w:pPr>
                            <w:r w:rsidRPr="00682390">
                              <w:rPr>
                                <w:b/>
                                <w:color w:val="44546A" w:themeColor="text2"/>
                                <w:sz w:val="40"/>
                                <w:szCs w:val="40"/>
                              </w:rPr>
                              <w:t>ԲՅՈՒՋԵՏԱՅԻՆ ՈՒՂԵՐՁ</w:t>
                            </w:r>
                            <w:r w:rsidRPr="00682390">
                              <w:rPr>
                                <w:b/>
                                <w:color w:val="44546A" w:themeColor="text2"/>
                                <w:sz w:val="70"/>
                                <w:szCs w:val="70"/>
                              </w:rPr>
                              <w:t>2025 ԹՎԱԿԱՆԻ</w:t>
                            </w:r>
                            <w:r w:rsidRPr="00056843">
                              <w:rPr>
                                <w:color w:val="FFFFFF" w:themeColor="background1"/>
                                <w:lang w:val="hy-AM"/>
                              </w:rPr>
                              <w:t>ԹՅԱՆ ԿԱՌԱՎԱՐՈՒԹՅԱՆ</w:t>
                            </w:r>
                          </w:p>
                          <w:p w14:paraId="679323F2" w14:textId="77777777" w:rsidR="00147C8B" w:rsidRDefault="00147C8B"/>
                          <w:p w14:paraId="12D6F400" w14:textId="77777777" w:rsidR="00147C8B" w:rsidRPr="00056843" w:rsidRDefault="00147C8B" w:rsidP="00FD0C29">
                            <w:pPr>
                              <w:jc w:val="center"/>
                              <w:rPr>
                                <w:color w:val="FFFFFF" w:themeColor="background1"/>
                                <w:lang w:val="hy-AM"/>
                              </w:rPr>
                            </w:pPr>
                            <w:r w:rsidRPr="00682390">
                              <w:rPr>
                                <w:b/>
                                <w:color w:val="44546A" w:themeColor="text2"/>
                                <w:sz w:val="70"/>
                                <w:szCs w:val="70"/>
                              </w:rPr>
                              <w:t>2025 ԹՎԱԿԱՆԻ</w:t>
                            </w:r>
                            <w:r w:rsidRPr="00056843">
                              <w:rPr>
                                <w:color w:val="FFFFFF" w:themeColor="background1"/>
                                <w:lang w:val="hy-AM"/>
                              </w:rPr>
                              <w:t>ԹՅԱՆ ԿԱՌԱՎԱՐՈՒԹՅԱՆ</w:t>
                            </w:r>
                          </w:p>
                          <w:p w14:paraId="5B5B6BDB" w14:textId="77777777" w:rsidR="00147C8B" w:rsidRDefault="00147C8B"/>
                          <w:p w14:paraId="5D4591D0" w14:textId="77777777" w:rsidR="00147C8B" w:rsidRPr="00056843" w:rsidRDefault="00147C8B" w:rsidP="00FD0C29">
                            <w:pPr>
                              <w:jc w:val="center"/>
                              <w:rPr>
                                <w:color w:val="FFFFFF" w:themeColor="background1"/>
                                <w:lang w:val="hy-AM"/>
                              </w:rPr>
                            </w:pPr>
                            <w:r w:rsidRPr="00682390">
                              <w:rPr>
                                <w:b/>
                                <w:color w:val="44546A" w:themeColor="text2"/>
                                <w:sz w:val="70"/>
                                <w:szCs w:val="70"/>
                              </w:rPr>
                              <w:t>2025 ԹՎԱԿԱՆԻ</w:t>
                            </w:r>
                            <w:r w:rsidRPr="00056843">
                              <w:rPr>
                                <w:color w:val="FFFFFF" w:themeColor="background1"/>
                                <w:lang w:val="hy-AM"/>
                              </w:rPr>
                              <w:t>ԹՅԱՆ ԿԱՌԱՎԱՐՈՒԹՅԱՆ</w:t>
                            </w:r>
                          </w:p>
                          <w:p w14:paraId="50F7CFEC" w14:textId="77777777" w:rsidR="00147C8B" w:rsidRDefault="00147C8B"/>
                          <w:p w14:paraId="4DF07823" w14:textId="77777777" w:rsidR="00147C8B" w:rsidRPr="00056843" w:rsidRDefault="00147C8B" w:rsidP="00FD0C29">
                            <w:pPr>
                              <w:jc w:val="center"/>
                              <w:rPr>
                                <w:color w:val="FFFFFF" w:themeColor="background1"/>
                                <w:lang w:val="hy-AM"/>
                              </w:rPr>
                            </w:pPr>
                            <w:r w:rsidRPr="00682390">
                              <w:rPr>
                                <w:b/>
                                <w:color w:val="44546A" w:themeColor="text2"/>
                                <w:sz w:val="70"/>
                                <w:szCs w:val="70"/>
                              </w:rPr>
                              <w:t>2025 ԹՎԱԿԱՆԻ</w:t>
                            </w:r>
                            <w:r w:rsidRPr="00056843">
                              <w:rPr>
                                <w:color w:val="FFFFFF" w:themeColor="background1"/>
                                <w:lang w:val="hy-AM"/>
                              </w:rPr>
                              <w:t>ԹՅԱՆ ԿԱՌԱՎԱՐՈՒԹՅԱՆ</w:t>
                            </w:r>
                          </w:p>
                          <w:p w14:paraId="1D3DA3AB" w14:textId="77777777" w:rsidR="00147C8B" w:rsidRDefault="00147C8B"/>
                          <w:p w14:paraId="60BC9F80"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ՈՒՂԵՐՁ</w:t>
                            </w:r>
                            <w:r w:rsidRPr="00812F22">
                              <w:rPr>
                                <w:b/>
                                <w:color w:val="44546A" w:themeColor="text2"/>
                                <w:sz w:val="36"/>
                                <w:szCs w:val="36"/>
                                <w:lang w:val="hy-AM"/>
                              </w:rPr>
                              <w:t>-ԲԱՑԱՏՐԱԳԻՐ</w:t>
                            </w:r>
                          </w:p>
                          <w:p w14:paraId="3F3FDD2C" w14:textId="77777777" w:rsidR="00147C8B" w:rsidRDefault="00147C8B"/>
                          <w:p w14:paraId="1014BB80" w14:textId="77777777" w:rsidR="00147C8B" w:rsidRPr="00056843" w:rsidRDefault="00147C8B" w:rsidP="00FD0C29">
                            <w:pPr>
                              <w:jc w:val="center"/>
                              <w:rPr>
                                <w:color w:val="FFFFFF" w:themeColor="background1"/>
                                <w:lang w:val="hy-AM"/>
                              </w:rPr>
                            </w:pPr>
                            <w:r w:rsidRPr="00056843">
                              <w:rPr>
                                <w:color w:val="FFFFFF" w:themeColor="background1"/>
                                <w:lang w:val="hy-AM"/>
                              </w:rPr>
                              <w:t>ԹՅԱՆ ԿԱՌԱՎԱՐՈՒԹՅԱՆ</w:t>
                            </w:r>
                          </w:p>
                          <w:p w14:paraId="0669E12A" w14:textId="77777777" w:rsidR="00147C8B" w:rsidRDefault="00147C8B"/>
                          <w:p w14:paraId="26EFBC8F" w14:textId="77777777" w:rsidR="00147C8B" w:rsidRPr="00056843" w:rsidRDefault="00147C8B" w:rsidP="00FD0C29">
                            <w:pPr>
                              <w:jc w:val="center"/>
                              <w:rPr>
                                <w:color w:val="FFFFFF" w:themeColor="background1"/>
                                <w:lang w:val="hy-AM"/>
                              </w:rPr>
                            </w:pPr>
                            <w:r w:rsidRPr="00682390">
                              <w:rPr>
                                <w:b/>
                                <w:color w:val="44546A" w:themeColor="text2"/>
                                <w:sz w:val="70"/>
                                <w:szCs w:val="70"/>
                              </w:rPr>
                              <w:t>2025 ԹՎԱԿԱՆԻ</w:t>
                            </w:r>
                            <w:r w:rsidRPr="00056843">
                              <w:rPr>
                                <w:color w:val="FFFFFF" w:themeColor="background1"/>
                                <w:lang w:val="hy-AM"/>
                              </w:rPr>
                              <w:t>ԹՅԱՆ ԿԱՌԱՎԱՐՈՒԹՅԱՆ</w:t>
                            </w:r>
                          </w:p>
                          <w:p w14:paraId="56218B8C" w14:textId="77777777" w:rsidR="00147C8B" w:rsidRDefault="00147C8B"/>
                          <w:p w14:paraId="5FF34C47" w14:textId="77777777" w:rsidR="00147C8B" w:rsidRPr="00056843" w:rsidRDefault="00147C8B" w:rsidP="00FD0C29">
                            <w:pPr>
                              <w:jc w:val="center"/>
                              <w:rPr>
                                <w:color w:val="FFFFFF" w:themeColor="background1"/>
                                <w:lang w:val="hy-AM"/>
                              </w:rPr>
                            </w:pPr>
                            <w:r w:rsidRPr="00682390">
                              <w:rPr>
                                <w:b/>
                                <w:color w:val="44546A" w:themeColor="text2"/>
                                <w:sz w:val="70"/>
                                <w:szCs w:val="70"/>
                              </w:rPr>
                              <w:t>2025 ԹՎԱԿԱՆԻ</w:t>
                            </w:r>
                            <w:r w:rsidRPr="00056843">
                              <w:rPr>
                                <w:color w:val="FFFFFF" w:themeColor="background1"/>
                                <w:lang w:val="hy-AM"/>
                              </w:rPr>
                              <w:t>ԹՅԱՆ ԿԱՌԱՎԱՐՈՒԹՅԱՆ</w:t>
                            </w:r>
                          </w:p>
                          <w:p w14:paraId="13C23881" w14:textId="77777777" w:rsidR="00147C8B" w:rsidRDefault="00147C8B"/>
                          <w:p w14:paraId="1CFE783E" w14:textId="77777777" w:rsidR="00147C8B" w:rsidRPr="00056843" w:rsidRDefault="00147C8B" w:rsidP="00FD0C29">
                            <w:pPr>
                              <w:jc w:val="center"/>
                              <w:rPr>
                                <w:color w:val="FFFFFF" w:themeColor="background1"/>
                                <w:lang w:val="hy-AM"/>
                              </w:rPr>
                            </w:pPr>
                            <w:r w:rsidRPr="00682390">
                              <w:rPr>
                                <w:b/>
                                <w:color w:val="44546A" w:themeColor="text2"/>
                                <w:sz w:val="70"/>
                                <w:szCs w:val="70"/>
                              </w:rPr>
                              <w:t>2025 ԹՎԱԿԱՆԻ</w:t>
                            </w:r>
                            <w:r w:rsidRPr="00056843">
                              <w:rPr>
                                <w:color w:val="FFFFFF" w:themeColor="background1"/>
                                <w:lang w:val="hy-AM"/>
                              </w:rPr>
                              <w:t>ԹՅԱՆ ԿԱՌԱՎԱՐՈՒԹՅԱՆ</w:t>
                            </w:r>
                          </w:p>
                          <w:p w14:paraId="6957B205" w14:textId="77777777" w:rsidR="00147C8B" w:rsidRDefault="00147C8B"/>
                          <w:p w14:paraId="64555F4D"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3A3605FC" w14:textId="77777777" w:rsidR="00147C8B" w:rsidRPr="00A3353C" w:rsidRDefault="00147C8B" w:rsidP="00682390">
                            <w:pPr>
                              <w:jc w:val="right"/>
                              <w:rPr>
                                <w:sz w:val="74"/>
                                <w:szCs w:val="74"/>
                              </w:rPr>
                            </w:pPr>
                          </w:p>
                          <w:p w14:paraId="4590556F" w14:textId="77777777" w:rsidR="00147C8B" w:rsidRDefault="00147C8B" w:rsidP="00682390">
                            <w:pPr>
                              <w:jc w:val="right"/>
                            </w:pPr>
                          </w:p>
                          <w:p w14:paraId="4D2A68B4" w14:textId="77777777" w:rsidR="00147C8B" w:rsidRPr="00056843" w:rsidRDefault="00147C8B" w:rsidP="00FD0C29">
                            <w:pPr>
                              <w:jc w:val="center"/>
                              <w:rPr>
                                <w:color w:val="FFFFFF" w:themeColor="background1"/>
                                <w:lang w:val="hy-AM"/>
                              </w:rPr>
                            </w:pPr>
                            <w:r w:rsidRPr="00682390">
                              <w:rPr>
                                <w:b/>
                                <w:color w:val="44546A" w:themeColor="text2"/>
                                <w:sz w:val="40"/>
                                <w:szCs w:val="40"/>
                              </w:rPr>
                              <w:t>ԲՅՈՒՋԵՏԱՅԻՆ ՈՒՂԵՐՁ</w:t>
                            </w:r>
                            <w:r w:rsidRPr="00682390">
                              <w:rPr>
                                <w:b/>
                                <w:color w:val="44546A" w:themeColor="text2"/>
                                <w:sz w:val="70"/>
                                <w:szCs w:val="70"/>
                              </w:rPr>
                              <w:t>2025 ԹՎԱԿԱՆԻ</w:t>
                            </w:r>
                            <w:r w:rsidRPr="00056843">
                              <w:rPr>
                                <w:color w:val="FFFFFF" w:themeColor="background1"/>
                                <w:lang w:val="hy-AM"/>
                              </w:rPr>
                              <w:t>ԹՅԱՆ ԿԱՌԱՎԱՐՈՒԹՅԱՆ</w:t>
                            </w:r>
                          </w:p>
                          <w:p w14:paraId="6EFF9203" w14:textId="77777777" w:rsidR="00147C8B" w:rsidRDefault="00147C8B"/>
                          <w:p w14:paraId="5D916803" w14:textId="77777777" w:rsidR="00147C8B" w:rsidRPr="00056843" w:rsidRDefault="00147C8B" w:rsidP="00FD0C29">
                            <w:pPr>
                              <w:jc w:val="center"/>
                              <w:rPr>
                                <w:color w:val="FFFFFF" w:themeColor="background1"/>
                                <w:lang w:val="hy-AM"/>
                              </w:rPr>
                            </w:pPr>
                            <w:r w:rsidRPr="00682390">
                              <w:rPr>
                                <w:b/>
                                <w:color w:val="44546A" w:themeColor="text2"/>
                                <w:sz w:val="70"/>
                                <w:szCs w:val="70"/>
                              </w:rPr>
                              <w:t>2025 ԹՎԱԿԱՆԻ</w:t>
                            </w:r>
                            <w:r w:rsidRPr="00056843">
                              <w:rPr>
                                <w:color w:val="FFFFFF" w:themeColor="background1"/>
                                <w:lang w:val="hy-AM"/>
                              </w:rPr>
                              <w:t>ԹՅԱՆ ԿԱՌԱՎԱՐՈՒԹՅԱՆ</w:t>
                            </w:r>
                          </w:p>
                          <w:p w14:paraId="2E501CB9" w14:textId="77777777" w:rsidR="00147C8B" w:rsidRDefault="00147C8B"/>
                          <w:p w14:paraId="526AB2AF" w14:textId="77777777" w:rsidR="00147C8B" w:rsidRPr="00056843" w:rsidRDefault="00147C8B" w:rsidP="00FD0C29">
                            <w:pPr>
                              <w:jc w:val="center"/>
                              <w:rPr>
                                <w:color w:val="FFFFFF" w:themeColor="background1"/>
                                <w:lang w:val="hy-AM"/>
                              </w:rPr>
                            </w:pPr>
                            <w:r w:rsidRPr="00682390">
                              <w:rPr>
                                <w:b/>
                                <w:color w:val="44546A" w:themeColor="text2"/>
                                <w:sz w:val="70"/>
                                <w:szCs w:val="70"/>
                              </w:rPr>
                              <w:t>2025 ԹՎԱԿԱՆԻ</w:t>
                            </w:r>
                            <w:r w:rsidRPr="00056843">
                              <w:rPr>
                                <w:color w:val="FFFFFF" w:themeColor="background1"/>
                                <w:lang w:val="hy-AM"/>
                              </w:rPr>
                              <w:t>ԹՅԱՆ ԿԱՌԱՎԱՐՈՒԹՅԱՆ</w:t>
                            </w:r>
                          </w:p>
                          <w:p w14:paraId="6255B65E" w14:textId="77777777" w:rsidR="00147C8B" w:rsidRDefault="00147C8B"/>
                          <w:p w14:paraId="0D422957" w14:textId="77777777" w:rsidR="00147C8B" w:rsidRPr="00056843" w:rsidRDefault="00147C8B" w:rsidP="00FD0C29">
                            <w:pPr>
                              <w:jc w:val="center"/>
                              <w:rPr>
                                <w:color w:val="FFFFFF" w:themeColor="background1"/>
                                <w:lang w:val="hy-AM"/>
                              </w:rPr>
                            </w:pPr>
                            <w:r w:rsidRPr="00682390">
                              <w:rPr>
                                <w:b/>
                                <w:color w:val="44546A" w:themeColor="text2"/>
                                <w:sz w:val="70"/>
                                <w:szCs w:val="70"/>
                              </w:rPr>
                              <w:t>2025 ԹՎԱԿԱՆԻ</w:t>
                            </w:r>
                            <w:r w:rsidRPr="00056843">
                              <w:rPr>
                                <w:color w:val="FFFFFF" w:themeColor="background1"/>
                                <w:lang w:val="hy-AM"/>
                              </w:rPr>
                              <w:t>ԹՅԱՆ ԿԱՌԱՎԱՐՈՒԹՅԱՆ</w:t>
                            </w:r>
                          </w:p>
                          <w:p w14:paraId="3E38A561" w14:textId="77777777" w:rsidR="00147C8B" w:rsidRDefault="00147C8B"/>
                          <w:p w14:paraId="1E2D4B9D"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ՈՒՂԵՐՁ</w:t>
                            </w:r>
                            <w:r w:rsidRPr="00812F22">
                              <w:rPr>
                                <w:b/>
                                <w:color w:val="44546A" w:themeColor="text2"/>
                                <w:sz w:val="36"/>
                                <w:szCs w:val="36"/>
                                <w:lang w:val="hy-AM"/>
                              </w:rPr>
                              <w:t>-ԲԱՑԱՏՐԱԳԻՐ</w:t>
                            </w:r>
                          </w:p>
                          <w:p w14:paraId="4ABA838D" w14:textId="77777777" w:rsidR="00147C8B" w:rsidRDefault="00147C8B"/>
                          <w:p w14:paraId="705596EE" w14:textId="77777777" w:rsidR="00147C8B" w:rsidRDefault="00147C8B"/>
                          <w:p w14:paraId="1E8C1915"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7FAAEE67" w14:textId="77777777" w:rsidR="00147C8B" w:rsidRPr="00A3353C" w:rsidRDefault="00147C8B" w:rsidP="00682390">
                            <w:pPr>
                              <w:jc w:val="right"/>
                              <w:rPr>
                                <w:sz w:val="74"/>
                                <w:szCs w:val="74"/>
                              </w:rPr>
                            </w:pPr>
                          </w:p>
                          <w:p w14:paraId="5B88D2F6" w14:textId="77777777" w:rsidR="00147C8B" w:rsidRDefault="00147C8B" w:rsidP="00682390">
                            <w:pPr>
                              <w:jc w:val="right"/>
                            </w:pPr>
                          </w:p>
                          <w:p w14:paraId="2B1216CA"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 xml:space="preserve">2025 ԹՎԱԿԱՆԻ </w:t>
                            </w:r>
                          </w:p>
                          <w:p w14:paraId="7000FAAD" w14:textId="77777777" w:rsidR="00147C8B" w:rsidRPr="00A3353C" w:rsidRDefault="00147C8B" w:rsidP="00682390">
                            <w:pPr>
                              <w:jc w:val="right"/>
                              <w:rPr>
                                <w:sz w:val="74"/>
                                <w:szCs w:val="74"/>
                              </w:rPr>
                            </w:pPr>
                          </w:p>
                          <w:p w14:paraId="709DC0FF" w14:textId="77777777" w:rsidR="00147C8B" w:rsidRDefault="00147C8B"/>
                          <w:p w14:paraId="6F01E41B"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ՈՒՂԵՐՁ</w:t>
                            </w:r>
                            <w:r w:rsidRPr="00812F22">
                              <w:rPr>
                                <w:b/>
                                <w:color w:val="44546A" w:themeColor="text2"/>
                                <w:sz w:val="36"/>
                                <w:szCs w:val="36"/>
                                <w:lang w:val="hy-AM"/>
                              </w:rPr>
                              <w:t>-ԲԱՑԱՏՐԱԳԻՐ</w:t>
                            </w: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3698C82F" w14:textId="77777777" w:rsidR="00147C8B" w:rsidRPr="00A3353C" w:rsidRDefault="00147C8B" w:rsidP="00682390">
                            <w:pPr>
                              <w:jc w:val="right"/>
                              <w:rPr>
                                <w:sz w:val="74"/>
                                <w:szCs w:val="74"/>
                              </w:rPr>
                            </w:pPr>
                          </w:p>
                          <w:p w14:paraId="1E448DF7" w14:textId="77777777" w:rsidR="00147C8B" w:rsidRDefault="00147C8B" w:rsidP="00682390">
                            <w:pPr>
                              <w:jc w:val="right"/>
                            </w:pPr>
                          </w:p>
                          <w:p w14:paraId="4706FCDE" w14:textId="77777777" w:rsidR="00147C8B" w:rsidRPr="00812F22" w:rsidRDefault="00147C8B" w:rsidP="00682390">
                            <w:pPr>
                              <w:pStyle w:val="BodyText1"/>
                              <w:jc w:val="right"/>
                              <w:rPr>
                                <w:b/>
                                <w:color w:val="44546A" w:themeColor="text2"/>
                                <w:sz w:val="36"/>
                                <w:szCs w:val="36"/>
                              </w:rPr>
                            </w:pPr>
                            <w:r w:rsidRPr="00682390">
                              <w:rPr>
                                <w:b/>
                                <w:color w:val="44546A" w:themeColor="text2"/>
                                <w:sz w:val="40"/>
                                <w:szCs w:val="40"/>
                              </w:rPr>
                              <w:t>ԲՅՈՒՋԵՏԱՅԻՆ ՈՒՂԵՐՁ</w:t>
                            </w:r>
                            <w:r w:rsidRPr="00682390">
                              <w:rPr>
                                <w:b/>
                                <w:color w:val="44546A" w:themeColor="text2"/>
                                <w:sz w:val="70"/>
                                <w:szCs w:val="70"/>
                              </w:rPr>
                              <w:t>2025 ԹՎԱԿԱՆԻ</w:t>
                            </w:r>
                            <w:r w:rsidRPr="00812F22">
                              <w:rPr>
                                <w:b/>
                                <w:color w:val="44546A" w:themeColor="text2"/>
                                <w:sz w:val="36"/>
                                <w:szCs w:val="36"/>
                              </w:rPr>
                              <w:t>ՈՒՂԵՐՁ</w:t>
                            </w:r>
                            <w:r w:rsidRPr="00812F22">
                              <w:rPr>
                                <w:b/>
                                <w:color w:val="44546A" w:themeColor="text2"/>
                                <w:sz w:val="36"/>
                                <w:szCs w:val="36"/>
                                <w:lang w:val="hy-AM"/>
                              </w:rPr>
                              <w:t>-ԲԱՑԱՏՐԱԳԻՐ</w:t>
                            </w:r>
                          </w:p>
                          <w:p w14:paraId="721FBD11" w14:textId="77777777" w:rsidR="00147C8B" w:rsidRDefault="00147C8B"/>
                          <w:p w14:paraId="46A52F02" w14:textId="77777777" w:rsidR="00147C8B" w:rsidRPr="00056843" w:rsidRDefault="00147C8B" w:rsidP="00FD0C29">
                            <w:pPr>
                              <w:jc w:val="center"/>
                              <w:rPr>
                                <w:color w:val="FFFFFF" w:themeColor="background1"/>
                                <w:lang w:val="hy-AM"/>
                              </w:rPr>
                            </w:pPr>
                            <w:r w:rsidRPr="00056843">
                              <w:rPr>
                                <w:color w:val="FFFFFF" w:themeColor="background1"/>
                                <w:lang w:val="hy-AM"/>
                              </w:rPr>
                              <w:t>ԹՅԱՆ ԿԱՌԱՎԱՐՈՒԹՅԱՆ</w:t>
                            </w:r>
                          </w:p>
                          <w:p w14:paraId="4A09470D" w14:textId="77777777" w:rsidR="00147C8B" w:rsidRDefault="00147C8B"/>
                          <w:p w14:paraId="60F7AA11" w14:textId="77777777" w:rsidR="00147C8B" w:rsidRPr="00056843" w:rsidRDefault="00147C8B" w:rsidP="00FD0C29">
                            <w:pPr>
                              <w:jc w:val="center"/>
                              <w:rPr>
                                <w:color w:val="FFFFFF" w:themeColor="background1"/>
                                <w:lang w:val="hy-AM"/>
                              </w:rPr>
                            </w:pPr>
                            <w:r w:rsidRPr="00682390">
                              <w:rPr>
                                <w:b/>
                                <w:color w:val="44546A" w:themeColor="text2"/>
                                <w:sz w:val="70"/>
                                <w:szCs w:val="70"/>
                              </w:rPr>
                              <w:t>2025 ԹՎԱԿԱՆԻ</w:t>
                            </w:r>
                            <w:r w:rsidRPr="00056843">
                              <w:rPr>
                                <w:color w:val="FFFFFF" w:themeColor="background1"/>
                                <w:lang w:val="hy-AM"/>
                              </w:rPr>
                              <w:t>ԹՅԱՆ ԿԱՌԱՎԱՐՈՒԹՅԱՆ</w:t>
                            </w:r>
                          </w:p>
                          <w:p w14:paraId="1844410B" w14:textId="77777777" w:rsidR="00147C8B" w:rsidRDefault="00147C8B"/>
                          <w:p w14:paraId="0D8007EF" w14:textId="77777777" w:rsidR="00147C8B" w:rsidRPr="00056843" w:rsidRDefault="00147C8B" w:rsidP="00FD0C29">
                            <w:pPr>
                              <w:jc w:val="center"/>
                              <w:rPr>
                                <w:color w:val="FFFFFF" w:themeColor="background1"/>
                                <w:lang w:val="hy-AM"/>
                              </w:rPr>
                            </w:pPr>
                            <w:r w:rsidRPr="00682390">
                              <w:rPr>
                                <w:b/>
                                <w:color w:val="44546A" w:themeColor="text2"/>
                                <w:sz w:val="70"/>
                                <w:szCs w:val="70"/>
                              </w:rPr>
                              <w:t>2025 ԹՎԱԿԱՆԻ</w:t>
                            </w:r>
                            <w:r w:rsidRPr="00056843">
                              <w:rPr>
                                <w:color w:val="FFFFFF" w:themeColor="background1"/>
                                <w:lang w:val="hy-AM"/>
                              </w:rPr>
                              <w:t>ԹՅԱՆ ԿԱՌԱՎԱՐՈՒԹՅԱՆ</w:t>
                            </w:r>
                          </w:p>
                          <w:p w14:paraId="03BD1380" w14:textId="77777777" w:rsidR="00147C8B" w:rsidRDefault="00147C8B"/>
                          <w:p w14:paraId="07A1C768" w14:textId="77777777" w:rsidR="00147C8B" w:rsidRPr="00056843" w:rsidRDefault="00147C8B" w:rsidP="00FD0C29">
                            <w:pPr>
                              <w:jc w:val="center"/>
                              <w:rPr>
                                <w:color w:val="FFFFFF" w:themeColor="background1"/>
                                <w:lang w:val="hy-AM"/>
                              </w:rPr>
                            </w:pPr>
                            <w:r w:rsidRPr="00682390">
                              <w:rPr>
                                <w:b/>
                                <w:color w:val="44546A" w:themeColor="text2"/>
                                <w:sz w:val="70"/>
                                <w:szCs w:val="70"/>
                              </w:rPr>
                              <w:t>2025 ԹՎԱԿԱՆԻ</w:t>
                            </w:r>
                            <w:r w:rsidRPr="00056843">
                              <w:rPr>
                                <w:color w:val="FFFFFF" w:themeColor="background1"/>
                                <w:lang w:val="hy-AM"/>
                              </w:rPr>
                              <w:t>ԹՅԱՆ ԿԱՌԱՎԱՐՈՒԹՅԱՆ</w:t>
                            </w:r>
                          </w:p>
                          <w:p w14:paraId="646B9335" w14:textId="77777777" w:rsidR="00147C8B" w:rsidRDefault="00147C8B"/>
                          <w:p w14:paraId="0DFB3B76"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7A24E439" w14:textId="77777777" w:rsidR="00147C8B" w:rsidRPr="00A3353C" w:rsidRDefault="00147C8B" w:rsidP="00682390">
                            <w:pPr>
                              <w:jc w:val="right"/>
                              <w:rPr>
                                <w:sz w:val="74"/>
                                <w:szCs w:val="74"/>
                              </w:rPr>
                            </w:pPr>
                          </w:p>
                          <w:p w14:paraId="74544E0C" w14:textId="77777777" w:rsidR="00147C8B" w:rsidRDefault="00147C8B" w:rsidP="00682390">
                            <w:pPr>
                              <w:jc w:val="right"/>
                            </w:pPr>
                          </w:p>
                          <w:p w14:paraId="61431F90" w14:textId="77777777" w:rsidR="00147C8B" w:rsidRPr="00056843" w:rsidRDefault="00147C8B" w:rsidP="00FD0C29">
                            <w:pPr>
                              <w:jc w:val="center"/>
                              <w:rPr>
                                <w:color w:val="FFFFFF" w:themeColor="background1"/>
                                <w:lang w:val="hy-AM"/>
                              </w:rPr>
                            </w:pPr>
                            <w:r w:rsidRPr="00682390">
                              <w:rPr>
                                <w:b/>
                                <w:color w:val="44546A" w:themeColor="text2"/>
                                <w:sz w:val="40"/>
                                <w:szCs w:val="40"/>
                              </w:rPr>
                              <w:t>ԲՅՈՒՋԵՏԱՅԻՆ ՈՒՂԵՐՁ</w:t>
                            </w:r>
                            <w:r w:rsidRPr="00682390">
                              <w:rPr>
                                <w:b/>
                                <w:color w:val="44546A" w:themeColor="text2"/>
                                <w:sz w:val="70"/>
                                <w:szCs w:val="70"/>
                              </w:rPr>
                              <w:t>2025 ԹՎԱԿԱՆԻ</w:t>
                            </w:r>
                            <w:r w:rsidRPr="00056843">
                              <w:rPr>
                                <w:color w:val="FFFFFF" w:themeColor="background1"/>
                                <w:lang w:val="hy-AM"/>
                              </w:rPr>
                              <w:t>ԹՅԱՆ ԿԱՌԱՎԱՐՈՒԹՅԱՆ</w:t>
                            </w:r>
                          </w:p>
                          <w:p w14:paraId="671EC53B" w14:textId="77777777" w:rsidR="00147C8B" w:rsidRDefault="00147C8B"/>
                          <w:p w14:paraId="2281542F" w14:textId="77777777" w:rsidR="00147C8B" w:rsidRPr="00056843" w:rsidRDefault="00147C8B" w:rsidP="00FD0C29">
                            <w:pPr>
                              <w:jc w:val="center"/>
                              <w:rPr>
                                <w:color w:val="FFFFFF" w:themeColor="background1"/>
                                <w:lang w:val="hy-AM"/>
                              </w:rPr>
                            </w:pPr>
                            <w:r w:rsidRPr="00682390">
                              <w:rPr>
                                <w:b/>
                                <w:color w:val="44546A" w:themeColor="text2"/>
                                <w:sz w:val="70"/>
                                <w:szCs w:val="70"/>
                              </w:rPr>
                              <w:t>2025 ԹՎԱԿԱՆԻ</w:t>
                            </w:r>
                            <w:r w:rsidRPr="00056843">
                              <w:rPr>
                                <w:color w:val="FFFFFF" w:themeColor="background1"/>
                                <w:lang w:val="hy-AM"/>
                              </w:rPr>
                              <w:t>ԹՅԱՆ ԿԱՌԱՎԱՐՈՒԹՅԱՆ</w:t>
                            </w:r>
                          </w:p>
                          <w:p w14:paraId="56874A31" w14:textId="77777777" w:rsidR="00147C8B" w:rsidRDefault="00147C8B"/>
                          <w:p w14:paraId="1F361FB5" w14:textId="77777777" w:rsidR="00147C8B" w:rsidRPr="00056843" w:rsidRDefault="00147C8B" w:rsidP="00FD0C29">
                            <w:pPr>
                              <w:jc w:val="center"/>
                              <w:rPr>
                                <w:color w:val="FFFFFF" w:themeColor="background1"/>
                                <w:lang w:val="hy-AM"/>
                              </w:rPr>
                            </w:pPr>
                            <w:r w:rsidRPr="00682390">
                              <w:rPr>
                                <w:b/>
                                <w:color w:val="44546A" w:themeColor="text2"/>
                                <w:sz w:val="70"/>
                                <w:szCs w:val="70"/>
                              </w:rPr>
                              <w:t>2025 ԹՎԱԿԱՆԻ</w:t>
                            </w:r>
                            <w:r w:rsidRPr="00056843">
                              <w:rPr>
                                <w:color w:val="FFFFFF" w:themeColor="background1"/>
                                <w:lang w:val="hy-AM"/>
                              </w:rPr>
                              <w:t>ԹՅԱՆ ԿԱՌԱՎԱՐՈՒԹՅԱՆ</w:t>
                            </w:r>
                          </w:p>
                          <w:p w14:paraId="7A6B176D" w14:textId="77777777" w:rsidR="00147C8B" w:rsidRDefault="00147C8B"/>
                          <w:p w14:paraId="796EA508" w14:textId="77777777" w:rsidR="00147C8B" w:rsidRPr="00056843" w:rsidRDefault="00147C8B" w:rsidP="00FD0C29">
                            <w:pPr>
                              <w:jc w:val="center"/>
                              <w:rPr>
                                <w:color w:val="FFFFFF" w:themeColor="background1"/>
                                <w:lang w:val="hy-AM"/>
                              </w:rPr>
                            </w:pPr>
                            <w:r w:rsidRPr="00682390">
                              <w:rPr>
                                <w:b/>
                                <w:color w:val="44546A" w:themeColor="text2"/>
                                <w:sz w:val="70"/>
                                <w:szCs w:val="70"/>
                              </w:rPr>
                              <w:t>2025 ԹՎԱԿԱՆԻ</w:t>
                            </w:r>
                            <w:r w:rsidRPr="00056843">
                              <w:rPr>
                                <w:color w:val="FFFFFF" w:themeColor="background1"/>
                                <w:lang w:val="hy-AM"/>
                              </w:rPr>
                              <w:t>ԹՅԱՆ ԿԱՌԱՎԱՐՈՒԹՅԱՆ</w:t>
                            </w:r>
                          </w:p>
                          <w:p w14:paraId="24BE2E9A" w14:textId="77777777" w:rsidR="00147C8B" w:rsidRDefault="00147C8B"/>
                          <w:p w14:paraId="2F0E85D0"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ՈՒՂԵՐՁ</w:t>
                            </w:r>
                            <w:r w:rsidRPr="00812F22">
                              <w:rPr>
                                <w:b/>
                                <w:color w:val="44546A" w:themeColor="text2"/>
                                <w:sz w:val="36"/>
                                <w:szCs w:val="36"/>
                                <w:lang w:val="hy-AM"/>
                              </w:rPr>
                              <w:t>-ԲԱՑԱՏՐԱԳԻՐ</w:t>
                            </w:r>
                          </w:p>
                          <w:p w14:paraId="5B305B6C" w14:textId="77777777" w:rsidR="00147C8B" w:rsidRDefault="00147C8B"/>
                          <w:p w14:paraId="6930166C" w14:textId="77777777" w:rsidR="00147C8B" w:rsidRPr="00056843" w:rsidRDefault="00147C8B" w:rsidP="00FD0C29">
                            <w:pPr>
                              <w:jc w:val="center"/>
                              <w:rPr>
                                <w:color w:val="FFFFFF" w:themeColor="background1"/>
                                <w:lang w:val="hy-AM"/>
                              </w:rPr>
                            </w:pPr>
                            <w:r w:rsidRPr="00056843">
                              <w:rPr>
                                <w:color w:val="FFFFFF" w:themeColor="background1"/>
                                <w:lang w:val="hy-AM"/>
                              </w:rPr>
                              <w:t>ԹՅԱՆ ԿԱՌԱՎԱՐՈՒԹՅԱՆ</w:t>
                            </w:r>
                          </w:p>
                          <w:p w14:paraId="74D9256B" w14:textId="77777777" w:rsidR="00147C8B" w:rsidRDefault="00147C8B"/>
                          <w:p w14:paraId="497D6132" w14:textId="77777777" w:rsidR="00147C8B" w:rsidRPr="00056843" w:rsidRDefault="00147C8B" w:rsidP="00FD0C29">
                            <w:pPr>
                              <w:jc w:val="center"/>
                              <w:rPr>
                                <w:color w:val="FFFFFF" w:themeColor="background1"/>
                                <w:lang w:val="hy-AM"/>
                              </w:rPr>
                            </w:pPr>
                            <w:r w:rsidRPr="00682390">
                              <w:rPr>
                                <w:b/>
                                <w:color w:val="44546A" w:themeColor="text2"/>
                                <w:sz w:val="70"/>
                                <w:szCs w:val="70"/>
                              </w:rPr>
                              <w:t>2025 ԹՎԱԿԱՆԻ</w:t>
                            </w:r>
                            <w:r w:rsidRPr="00056843">
                              <w:rPr>
                                <w:color w:val="FFFFFF" w:themeColor="background1"/>
                                <w:lang w:val="hy-AM"/>
                              </w:rPr>
                              <w:t>ԹՅԱՆ ԿԱՌԱՎԱՐՈՒԹՅԱՆ</w:t>
                            </w:r>
                          </w:p>
                          <w:p w14:paraId="6A06A795" w14:textId="77777777" w:rsidR="00147C8B" w:rsidRDefault="00147C8B"/>
                          <w:p w14:paraId="1C57F8F7" w14:textId="77777777" w:rsidR="00147C8B" w:rsidRPr="00056843" w:rsidRDefault="00147C8B" w:rsidP="00FD0C29">
                            <w:pPr>
                              <w:jc w:val="center"/>
                              <w:rPr>
                                <w:color w:val="FFFFFF" w:themeColor="background1"/>
                                <w:lang w:val="hy-AM"/>
                              </w:rPr>
                            </w:pPr>
                            <w:r w:rsidRPr="00682390">
                              <w:rPr>
                                <w:b/>
                                <w:color w:val="44546A" w:themeColor="text2"/>
                                <w:sz w:val="70"/>
                                <w:szCs w:val="70"/>
                              </w:rPr>
                              <w:t>2025 ԹՎԱԿԱՆԻ</w:t>
                            </w:r>
                            <w:r w:rsidRPr="00056843">
                              <w:rPr>
                                <w:color w:val="FFFFFF" w:themeColor="background1"/>
                                <w:lang w:val="hy-AM"/>
                              </w:rPr>
                              <w:t>ԹՅԱՆ ԿԱՌԱՎԱՐՈՒԹՅԱՆ</w:t>
                            </w:r>
                          </w:p>
                          <w:p w14:paraId="75F6DC8A" w14:textId="77777777" w:rsidR="00147C8B" w:rsidRDefault="00147C8B"/>
                          <w:p w14:paraId="1A779EE9" w14:textId="77777777" w:rsidR="00147C8B" w:rsidRPr="00056843" w:rsidRDefault="00147C8B" w:rsidP="00FD0C29">
                            <w:pPr>
                              <w:jc w:val="center"/>
                              <w:rPr>
                                <w:color w:val="FFFFFF" w:themeColor="background1"/>
                                <w:lang w:val="hy-AM"/>
                              </w:rPr>
                            </w:pPr>
                            <w:r w:rsidRPr="00682390">
                              <w:rPr>
                                <w:b/>
                                <w:color w:val="44546A" w:themeColor="text2"/>
                                <w:sz w:val="70"/>
                                <w:szCs w:val="70"/>
                              </w:rPr>
                              <w:t>2025 ԹՎԱԿԱՆԻ</w:t>
                            </w:r>
                            <w:r w:rsidRPr="00056843">
                              <w:rPr>
                                <w:color w:val="FFFFFF" w:themeColor="background1"/>
                                <w:lang w:val="hy-AM"/>
                              </w:rPr>
                              <w:t>ԹՅԱՆ ԿԱՌԱՎԱՐՈՒԹՅԱՆ</w:t>
                            </w:r>
                          </w:p>
                          <w:p w14:paraId="7A17FF06" w14:textId="77777777" w:rsidR="00147C8B" w:rsidRDefault="00147C8B"/>
                          <w:p w14:paraId="059F73BB"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51278BCC" w14:textId="77777777" w:rsidR="00147C8B" w:rsidRPr="00A3353C" w:rsidRDefault="00147C8B" w:rsidP="00682390">
                            <w:pPr>
                              <w:jc w:val="right"/>
                              <w:rPr>
                                <w:sz w:val="74"/>
                                <w:szCs w:val="74"/>
                              </w:rPr>
                            </w:pPr>
                          </w:p>
                          <w:p w14:paraId="752AFA28" w14:textId="77777777" w:rsidR="00147C8B" w:rsidRDefault="00147C8B" w:rsidP="00682390">
                            <w:pPr>
                              <w:jc w:val="right"/>
                            </w:pPr>
                          </w:p>
                          <w:p w14:paraId="0CCBC3B3" w14:textId="77777777" w:rsidR="00147C8B" w:rsidRPr="00056843" w:rsidRDefault="00147C8B" w:rsidP="00FD0C29">
                            <w:pPr>
                              <w:jc w:val="center"/>
                              <w:rPr>
                                <w:color w:val="FFFFFF" w:themeColor="background1"/>
                                <w:lang w:val="hy-AM"/>
                              </w:rPr>
                            </w:pPr>
                            <w:r w:rsidRPr="00682390">
                              <w:rPr>
                                <w:b/>
                                <w:color w:val="44546A" w:themeColor="text2"/>
                                <w:sz w:val="40"/>
                                <w:szCs w:val="40"/>
                              </w:rPr>
                              <w:t>ԲՅՈՒՋԵՏԱՅԻՆ ՈՒՂԵՐՁ</w:t>
                            </w:r>
                            <w:r w:rsidRPr="00682390">
                              <w:rPr>
                                <w:b/>
                                <w:color w:val="44546A" w:themeColor="text2"/>
                                <w:sz w:val="70"/>
                                <w:szCs w:val="70"/>
                              </w:rPr>
                              <w:t>2025 ԹՎԱԿԱՆԻ</w:t>
                            </w:r>
                            <w:r w:rsidRPr="00056843">
                              <w:rPr>
                                <w:color w:val="FFFFFF" w:themeColor="background1"/>
                                <w:lang w:val="hy-AM"/>
                              </w:rPr>
                              <w:t>ԹՅԱՆ ԿԱՌԱՎԱՐՈՒԹՅԱՆ</w:t>
                            </w:r>
                          </w:p>
                          <w:p w14:paraId="001F648D" w14:textId="77777777" w:rsidR="00147C8B" w:rsidRDefault="00147C8B"/>
                          <w:p w14:paraId="4F612361" w14:textId="77777777" w:rsidR="00147C8B" w:rsidRPr="00056843" w:rsidRDefault="00147C8B" w:rsidP="00FD0C29">
                            <w:pPr>
                              <w:jc w:val="center"/>
                              <w:rPr>
                                <w:color w:val="FFFFFF" w:themeColor="background1"/>
                                <w:lang w:val="hy-AM"/>
                              </w:rPr>
                            </w:pPr>
                            <w:r w:rsidRPr="00682390">
                              <w:rPr>
                                <w:b/>
                                <w:color w:val="44546A" w:themeColor="text2"/>
                                <w:sz w:val="70"/>
                                <w:szCs w:val="70"/>
                              </w:rPr>
                              <w:t>2025 ԹՎԱԿԱՆԻ</w:t>
                            </w:r>
                            <w:r w:rsidRPr="00056843">
                              <w:rPr>
                                <w:color w:val="FFFFFF" w:themeColor="background1"/>
                                <w:lang w:val="hy-AM"/>
                              </w:rPr>
                              <w:t>ԹՅԱՆ ԿԱՌԱՎԱՐՈՒԹՅԱՆ</w:t>
                            </w:r>
                          </w:p>
                          <w:p w14:paraId="5C9715E2" w14:textId="77777777" w:rsidR="00147C8B" w:rsidRDefault="00147C8B"/>
                          <w:p w14:paraId="2B2F5891" w14:textId="77777777" w:rsidR="00147C8B" w:rsidRPr="00056843" w:rsidRDefault="00147C8B" w:rsidP="00FD0C29">
                            <w:pPr>
                              <w:jc w:val="center"/>
                              <w:rPr>
                                <w:color w:val="FFFFFF" w:themeColor="background1"/>
                                <w:lang w:val="hy-AM"/>
                              </w:rPr>
                            </w:pPr>
                            <w:r w:rsidRPr="00682390">
                              <w:rPr>
                                <w:b/>
                                <w:color w:val="44546A" w:themeColor="text2"/>
                                <w:sz w:val="70"/>
                                <w:szCs w:val="70"/>
                              </w:rPr>
                              <w:t>2025 ԹՎԱԿԱՆԻ</w:t>
                            </w:r>
                            <w:r w:rsidRPr="00056843">
                              <w:rPr>
                                <w:color w:val="FFFFFF" w:themeColor="background1"/>
                                <w:lang w:val="hy-AM"/>
                              </w:rPr>
                              <w:t>ԹՅԱՆ ԿԱՌԱՎԱՐՈՒԹՅԱՆ</w:t>
                            </w:r>
                          </w:p>
                          <w:p w14:paraId="526587DE" w14:textId="77777777" w:rsidR="00147C8B" w:rsidRDefault="00147C8B"/>
                          <w:p w14:paraId="1C1A3DA5" w14:textId="77777777" w:rsidR="00147C8B" w:rsidRPr="00056843" w:rsidRDefault="00147C8B" w:rsidP="00FD0C29">
                            <w:pPr>
                              <w:jc w:val="center"/>
                              <w:rPr>
                                <w:color w:val="FFFFFF" w:themeColor="background1"/>
                                <w:lang w:val="hy-AM"/>
                              </w:rPr>
                            </w:pPr>
                            <w:r w:rsidRPr="00682390">
                              <w:rPr>
                                <w:b/>
                                <w:color w:val="44546A" w:themeColor="text2"/>
                                <w:sz w:val="70"/>
                                <w:szCs w:val="70"/>
                              </w:rPr>
                              <w:t>2025 ԹՎԱԿԱՆԻ</w:t>
                            </w:r>
                            <w:r w:rsidRPr="00056843">
                              <w:rPr>
                                <w:color w:val="FFFFFF" w:themeColor="background1"/>
                                <w:lang w:val="hy-AM"/>
                              </w:rPr>
                              <w:t>ԹՅԱՆ ԿԱՌԱՎԱՐՈՒԹՅԱՆ</w:t>
                            </w:r>
                          </w:p>
                          <w:p w14:paraId="35BBAF4B" w14:textId="77777777" w:rsidR="00147C8B" w:rsidRDefault="00147C8B"/>
                          <w:p w14:paraId="7C40AD9A"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ՈՒՂԵՐՁ</w:t>
                            </w:r>
                            <w:r w:rsidRPr="00812F22">
                              <w:rPr>
                                <w:b/>
                                <w:color w:val="44546A" w:themeColor="text2"/>
                                <w:sz w:val="36"/>
                                <w:szCs w:val="36"/>
                                <w:lang w:val="hy-AM"/>
                              </w:rPr>
                              <w:t>-ԲԱՑԱՏՐԱԳԻՐ</w:t>
                            </w:r>
                          </w:p>
                          <w:p w14:paraId="5850F996" w14:textId="77777777" w:rsidR="00147C8B" w:rsidRDefault="00147C8B"/>
                          <w:p w14:paraId="3583C716" w14:textId="77777777" w:rsidR="00147C8B" w:rsidRDefault="00147C8B"/>
                          <w:p w14:paraId="1B79576F"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191BF8E5" w14:textId="77777777" w:rsidR="00147C8B" w:rsidRPr="00A3353C" w:rsidRDefault="00147C8B" w:rsidP="00682390">
                            <w:pPr>
                              <w:jc w:val="right"/>
                              <w:rPr>
                                <w:sz w:val="74"/>
                                <w:szCs w:val="74"/>
                              </w:rPr>
                            </w:pPr>
                          </w:p>
                          <w:p w14:paraId="61282C2D" w14:textId="77777777" w:rsidR="00147C8B" w:rsidRDefault="00147C8B" w:rsidP="00682390">
                            <w:pPr>
                              <w:jc w:val="right"/>
                            </w:pPr>
                          </w:p>
                          <w:p w14:paraId="5D33A305"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 xml:space="preserve">2025 ԹՎԱԿԱՆԻ </w:t>
                            </w:r>
                          </w:p>
                          <w:p w14:paraId="2101ED81" w14:textId="77777777" w:rsidR="00147C8B" w:rsidRPr="00A3353C" w:rsidRDefault="00147C8B" w:rsidP="00682390">
                            <w:pPr>
                              <w:jc w:val="right"/>
                              <w:rPr>
                                <w:sz w:val="74"/>
                                <w:szCs w:val="74"/>
                              </w:rPr>
                            </w:pPr>
                          </w:p>
                          <w:p w14:paraId="62013CE9" w14:textId="77777777" w:rsidR="00147C8B" w:rsidRDefault="00147C8B"/>
                          <w:p w14:paraId="648AA8AF"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ՈՒՂԵՐՁ</w:t>
                            </w:r>
                            <w:r w:rsidRPr="00812F22">
                              <w:rPr>
                                <w:b/>
                                <w:color w:val="44546A" w:themeColor="text2"/>
                                <w:sz w:val="36"/>
                                <w:szCs w:val="36"/>
                                <w:lang w:val="hy-AM"/>
                              </w:rPr>
                              <w:t>-ԲԱՑԱՏՐԱԳԻՐ</w:t>
                            </w: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36762CF3" w14:textId="77777777" w:rsidR="00147C8B" w:rsidRPr="00A3353C" w:rsidRDefault="00147C8B" w:rsidP="00682390">
                            <w:pPr>
                              <w:jc w:val="right"/>
                              <w:rPr>
                                <w:sz w:val="74"/>
                                <w:szCs w:val="74"/>
                              </w:rPr>
                            </w:pPr>
                          </w:p>
                          <w:p w14:paraId="6EA724EA" w14:textId="77777777" w:rsidR="00147C8B" w:rsidRDefault="00147C8B" w:rsidP="00682390">
                            <w:pPr>
                              <w:jc w:val="right"/>
                            </w:pPr>
                          </w:p>
                          <w:p w14:paraId="1D401F85" w14:textId="77777777" w:rsidR="00147C8B" w:rsidRPr="00812F22" w:rsidRDefault="00147C8B" w:rsidP="00682390">
                            <w:pPr>
                              <w:pStyle w:val="BodyText1"/>
                              <w:jc w:val="right"/>
                              <w:rPr>
                                <w:b/>
                                <w:color w:val="44546A" w:themeColor="text2"/>
                                <w:sz w:val="36"/>
                                <w:szCs w:val="36"/>
                              </w:rPr>
                            </w:pPr>
                            <w:r w:rsidRPr="00682390">
                              <w:rPr>
                                <w:b/>
                                <w:color w:val="44546A" w:themeColor="text2"/>
                                <w:sz w:val="40"/>
                                <w:szCs w:val="40"/>
                              </w:rPr>
                              <w:t>ԲՅՈՒՋԵՏԱՅԻՆ ՈՒՂԵՐՁ</w:t>
                            </w:r>
                            <w:r w:rsidRPr="00682390">
                              <w:rPr>
                                <w:b/>
                                <w:color w:val="44546A" w:themeColor="text2"/>
                                <w:sz w:val="70"/>
                                <w:szCs w:val="70"/>
                              </w:rPr>
                              <w:t>2025 ԹՎԱԿԱՆԻ</w:t>
                            </w:r>
                            <w:r w:rsidRPr="00812F22">
                              <w:rPr>
                                <w:b/>
                                <w:color w:val="44546A" w:themeColor="text2"/>
                                <w:sz w:val="36"/>
                                <w:szCs w:val="36"/>
                              </w:rPr>
                              <w:t>ՈՒՂԵՐՁ</w:t>
                            </w:r>
                            <w:r w:rsidRPr="00812F22">
                              <w:rPr>
                                <w:b/>
                                <w:color w:val="44546A" w:themeColor="text2"/>
                                <w:sz w:val="36"/>
                                <w:szCs w:val="36"/>
                                <w:lang w:val="hy-AM"/>
                              </w:rPr>
                              <w:t>-ԲԱՑԱՏՐԱԳԻՐ</w:t>
                            </w:r>
                          </w:p>
                          <w:p w14:paraId="4005E431" w14:textId="77777777" w:rsidR="00147C8B" w:rsidRDefault="00147C8B"/>
                          <w:p w14:paraId="3D101274" w14:textId="77777777" w:rsidR="00147C8B" w:rsidRDefault="00147C8B"/>
                          <w:p w14:paraId="2CA0C023" w14:textId="77777777" w:rsidR="00147C8B" w:rsidRPr="00812F22" w:rsidRDefault="00147C8B" w:rsidP="00682390">
                            <w:pPr>
                              <w:pStyle w:val="BodyText1"/>
                              <w:jc w:val="right"/>
                              <w:rPr>
                                <w:b/>
                                <w:color w:val="44546A" w:themeColor="text2"/>
                                <w:sz w:val="36"/>
                                <w:szCs w:val="36"/>
                              </w:rPr>
                            </w:pPr>
                            <w:r>
                              <w:rPr>
                                <w:b/>
                                <w:color w:val="44546A" w:themeColor="text2"/>
                                <w:sz w:val="36"/>
                                <w:szCs w:val="36"/>
                              </w:rPr>
                              <w:t>2026</w:t>
                            </w:r>
                            <w:r w:rsidRPr="00812F22">
                              <w:rPr>
                                <w:b/>
                                <w:color w:val="44546A" w:themeColor="text2"/>
                                <w:sz w:val="36"/>
                                <w:szCs w:val="36"/>
                              </w:rPr>
                              <w:t xml:space="preserve">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2DF7C9F2" w14:textId="77777777" w:rsidR="00147C8B" w:rsidRPr="00A3353C" w:rsidRDefault="00147C8B" w:rsidP="00682390">
                            <w:pPr>
                              <w:jc w:val="right"/>
                              <w:rPr>
                                <w:sz w:val="74"/>
                                <w:szCs w:val="74"/>
                              </w:rPr>
                            </w:pPr>
                          </w:p>
                          <w:p w14:paraId="160B0A7B" w14:textId="77777777" w:rsidR="00147C8B" w:rsidRDefault="00147C8B" w:rsidP="00682390">
                            <w:pPr>
                              <w:jc w:val="right"/>
                            </w:pPr>
                          </w:p>
                          <w:p w14:paraId="409DC1B0"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 xml:space="preserve">2025 ԹՎԱԿԱՆԻ </w:t>
                            </w:r>
                          </w:p>
                          <w:p w14:paraId="7F1C4ED5" w14:textId="77777777" w:rsidR="00147C8B" w:rsidRPr="00A3353C" w:rsidRDefault="00147C8B" w:rsidP="00682390">
                            <w:pPr>
                              <w:jc w:val="right"/>
                              <w:rPr>
                                <w:sz w:val="74"/>
                                <w:szCs w:val="74"/>
                              </w:rPr>
                            </w:pPr>
                          </w:p>
                          <w:p w14:paraId="7C092FAC" w14:textId="77777777" w:rsidR="00147C8B" w:rsidRDefault="00147C8B"/>
                          <w:p w14:paraId="0776C1B7"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ՈՒՂԵՐՁ</w:t>
                            </w:r>
                            <w:r w:rsidRPr="00812F22">
                              <w:rPr>
                                <w:b/>
                                <w:color w:val="44546A" w:themeColor="text2"/>
                                <w:sz w:val="36"/>
                                <w:szCs w:val="36"/>
                                <w:lang w:val="hy-AM"/>
                              </w:rPr>
                              <w:t>-ԲԱՑԱՏՐԱԳԻՐ</w:t>
                            </w: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71F23011" w14:textId="77777777" w:rsidR="00147C8B" w:rsidRPr="00A3353C" w:rsidRDefault="00147C8B" w:rsidP="00682390">
                            <w:pPr>
                              <w:jc w:val="right"/>
                              <w:rPr>
                                <w:sz w:val="74"/>
                                <w:szCs w:val="74"/>
                              </w:rPr>
                            </w:pPr>
                          </w:p>
                          <w:p w14:paraId="732AEAEB" w14:textId="77777777" w:rsidR="00147C8B" w:rsidRDefault="00147C8B" w:rsidP="00682390">
                            <w:pPr>
                              <w:jc w:val="right"/>
                            </w:pPr>
                          </w:p>
                          <w:p w14:paraId="50832531"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 xml:space="preserve">2025 ԹՎԱԿԱՆԻ </w:t>
                            </w:r>
                          </w:p>
                          <w:p w14:paraId="5236B153" w14:textId="77777777" w:rsidR="00147C8B" w:rsidRPr="00A3353C" w:rsidRDefault="00147C8B" w:rsidP="00682390">
                            <w:pPr>
                              <w:jc w:val="right"/>
                              <w:rPr>
                                <w:sz w:val="74"/>
                                <w:szCs w:val="74"/>
                              </w:rPr>
                            </w:pPr>
                          </w:p>
                          <w:p w14:paraId="173DA5E8" w14:textId="77777777" w:rsidR="00147C8B" w:rsidRDefault="00147C8B"/>
                          <w:p w14:paraId="33126636"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63E7F08B" w14:textId="77777777" w:rsidR="00147C8B" w:rsidRPr="00A3353C" w:rsidRDefault="00147C8B" w:rsidP="00682390">
                            <w:pPr>
                              <w:jc w:val="right"/>
                              <w:rPr>
                                <w:sz w:val="74"/>
                                <w:szCs w:val="74"/>
                              </w:rPr>
                            </w:pPr>
                          </w:p>
                          <w:p w14:paraId="5403F6E9" w14:textId="77777777" w:rsidR="00147C8B" w:rsidRDefault="00147C8B" w:rsidP="00682390">
                            <w:pPr>
                              <w:jc w:val="right"/>
                            </w:pPr>
                          </w:p>
                          <w:p w14:paraId="3724307F"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 xml:space="preserve">2025 ԹՎԱԿԱՆԻ </w:t>
                            </w:r>
                          </w:p>
                          <w:p w14:paraId="0265488A" w14:textId="77777777" w:rsidR="00147C8B" w:rsidRPr="00A3353C" w:rsidRDefault="00147C8B" w:rsidP="00682390">
                            <w:pPr>
                              <w:jc w:val="right"/>
                              <w:rPr>
                                <w:sz w:val="74"/>
                                <w:szCs w:val="74"/>
                              </w:rPr>
                            </w:pPr>
                          </w:p>
                          <w:p w14:paraId="029C85CB" w14:textId="77777777" w:rsidR="00147C8B" w:rsidRDefault="00147C8B"/>
                          <w:p w14:paraId="49C55DF1"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ՈՒՂԵՐՁ</w:t>
                            </w:r>
                            <w:r w:rsidRPr="00812F22">
                              <w:rPr>
                                <w:b/>
                                <w:color w:val="44546A" w:themeColor="text2"/>
                                <w:sz w:val="36"/>
                                <w:szCs w:val="36"/>
                                <w:lang w:val="hy-AM"/>
                              </w:rPr>
                              <w:t>-ԲԱՑԱՏՐԱԳԻՐ</w:t>
                            </w: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33B1C2EF" w14:textId="77777777" w:rsidR="00147C8B" w:rsidRPr="00A3353C" w:rsidRDefault="00147C8B" w:rsidP="00682390">
                            <w:pPr>
                              <w:jc w:val="right"/>
                              <w:rPr>
                                <w:sz w:val="74"/>
                                <w:szCs w:val="74"/>
                              </w:rPr>
                            </w:pPr>
                          </w:p>
                          <w:p w14:paraId="45901B99" w14:textId="77777777" w:rsidR="00147C8B" w:rsidRDefault="00147C8B" w:rsidP="00682390">
                            <w:pPr>
                              <w:jc w:val="right"/>
                            </w:pPr>
                          </w:p>
                          <w:p w14:paraId="447F8F14" w14:textId="77777777" w:rsidR="00147C8B" w:rsidRPr="00812F22" w:rsidRDefault="00147C8B" w:rsidP="00682390">
                            <w:pPr>
                              <w:pStyle w:val="BodyText1"/>
                              <w:jc w:val="right"/>
                              <w:rPr>
                                <w:b/>
                                <w:color w:val="44546A" w:themeColor="text2"/>
                                <w:sz w:val="36"/>
                                <w:szCs w:val="36"/>
                              </w:rPr>
                            </w:pPr>
                            <w:r w:rsidRPr="00682390">
                              <w:rPr>
                                <w:b/>
                                <w:color w:val="44546A" w:themeColor="text2"/>
                                <w:sz w:val="40"/>
                                <w:szCs w:val="40"/>
                              </w:rPr>
                              <w:t>ԲՅՈՒՋԵՏԱՅԻՆ ՈՒՂԵՐՁ</w:t>
                            </w:r>
                            <w:r w:rsidRPr="00682390">
                              <w:rPr>
                                <w:b/>
                                <w:color w:val="44546A" w:themeColor="text2"/>
                                <w:sz w:val="70"/>
                                <w:szCs w:val="70"/>
                              </w:rPr>
                              <w:t>2025 ԹՎԱԿԱՆԻ</w:t>
                            </w:r>
                            <w:r w:rsidRPr="00812F22">
                              <w:rPr>
                                <w:b/>
                                <w:color w:val="44546A" w:themeColor="text2"/>
                                <w:sz w:val="36"/>
                                <w:szCs w:val="36"/>
                              </w:rPr>
                              <w:t>ՈՒՂԵՐՁ</w:t>
                            </w:r>
                            <w:r w:rsidRPr="00812F22">
                              <w:rPr>
                                <w:b/>
                                <w:color w:val="44546A" w:themeColor="text2"/>
                                <w:sz w:val="36"/>
                                <w:szCs w:val="36"/>
                                <w:lang w:val="hy-AM"/>
                              </w:rPr>
                              <w:t>-ԲԱՑԱՏՐԱԳԻՐ</w:t>
                            </w:r>
                          </w:p>
                          <w:p w14:paraId="6CA0CB94" w14:textId="77777777" w:rsidR="00147C8B" w:rsidRDefault="00147C8B"/>
                          <w:p w14:paraId="6FAEDA62" w14:textId="77777777" w:rsidR="00147C8B" w:rsidRDefault="00147C8B"/>
                          <w:p w14:paraId="21FCD7EA"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7BF3FEA6" w14:textId="77777777" w:rsidR="00147C8B" w:rsidRPr="00A3353C" w:rsidRDefault="00147C8B" w:rsidP="00682390">
                            <w:pPr>
                              <w:jc w:val="right"/>
                              <w:rPr>
                                <w:sz w:val="74"/>
                                <w:szCs w:val="74"/>
                              </w:rPr>
                            </w:pPr>
                          </w:p>
                          <w:p w14:paraId="5A7D33EB" w14:textId="77777777" w:rsidR="00147C8B" w:rsidRDefault="00147C8B" w:rsidP="00682390">
                            <w:pPr>
                              <w:jc w:val="right"/>
                            </w:pPr>
                          </w:p>
                          <w:p w14:paraId="103DA3E7"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 xml:space="preserve">2025 ԹՎԱԿԱՆԻ </w:t>
                            </w:r>
                          </w:p>
                          <w:p w14:paraId="27C58D1E" w14:textId="77777777" w:rsidR="00147C8B" w:rsidRPr="00A3353C" w:rsidRDefault="00147C8B" w:rsidP="00682390">
                            <w:pPr>
                              <w:jc w:val="right"/>
                              <w:rPr>
                                <w:sz w:val="74"/>
                                <w:szCs w:val="74"/>
                              </w:rPr>
                            </w:pPr>
                          </w:p>
                          <w:p w14:paraId="60C37437" w14:textId="77777777" w:rsidR="00147C8B" w:rsidRDefault="00147C8B"/>
                          <w:p w14:paraId="454E4449"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ՈՒՂԵՐՁ</w:t>
                            </w:r>
                            <w:r w:rsidRPr="00812F22">
                              <w:rPr>
                                <w:b/>
                                <w:color w:val="44546A" w:themeColor="text2"/>
                                <w:sz w:val="36"/>
                                <w:szCs w:val="36"/>
                                <w:lang w:val="hy-AM"/>
                              </w:rPr>
                              <w:t>-ԲԱՑԱՏՐԱԳԻՐ</w:t>
                            </w: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669E8A58" w14:textId="77777777" w:rsidR="00147C8B" w:rsidRPr="00A3353C" w:rsidRDefault="00147C8B" w:rsidP="00682390">
                            <w:pPr>
                              <w:jc w:val="right"/>
                              <w:rPr>
                                <w:sz w:val="74"/>
                                <w:szCs w:val="74"/>
                              </w:rPr>
                            </w:pPr>
                          </w:p>
                          <w:p w14:paraId="6B2E4C66" w14:textId="77777777" w:rsidR="00147C8B" w:rsidRDefault="00147C8B" w:rsidP="00682390">
                            <w:pPr>
                              <w:jc w:val="right"/>
                            </w:pPr>
                          </w:p>
                          <w:p w14:paraId="6A35DD9D" w14:textId="77777777" w:rsidR="00147C8B" w:rsidRPr="00812F22" w:rsidRDefault="00147C8B" w:rsidP="00682390">
                            <w:pPr>
                              <w:pStyle w:val="BodyText1"/>
                              <w:jc w:val="right"/>
                              <w:rPr>
                                <w:b/>
                                <w:color w:val="44546A" w:themeColor="text2"/>
                                <w:sz w:val="36"/>
                                <w:szCs w:val="36"/>
                              </w:rPr>
                            </w:pPr>
                            <w:r w:rsidRPr="00682390">
                              <w:rPr>
                                <w:b/>
                                <w:color w:val="44546A" w:themeColor="text2"/>
                                <w:sz w:val="40"/>
                                <w:szCs w:val="40"/>
                              </w:rPr>
                              <w:t>ԲՅՈՒՋԵՏԱՅԻՆ ՈՒՂԵՐՁ</w:t>
                            </w:r>
                            <w:r w:rsidRPr="00682390">
                              <w:rPr>
                                <w:b/>
                                <w:color w:val="44546A" w:themeColor="text2"/>
                                <w:sz w:val="70"/>
                                <w:szCs w:val="70"/>
                              </w:rPr>
                              <w:t>2025 ԹՎԱԿԱՆԻ</w:t>
                            </w:r>
                            <w:r w:rsidRPr="00812F22">
                              <w:rPr>
                                <w:b/>
                                <w:color w:val="44546A" w:themeColor="text2"/>
                                <w:sz w:val="36"/>
                                <w:szCs w:val="36"/>
                              </w:rPr>
                              <w:t>ՈՒՂԵՐՁ</w:t>
                            </w:r>
                            <w:r w:rsidRPr="00812F22">
                              <w:rPr>
                                <w:b/>
                                <w:color w:val="44546A" w:themeColor="text2"/>
                                <w:sz w:val="36"/>
                                <w:szCs w:val="36"/>
                                <w:lang w:val="hy-AM"/>
                              </w:rPr>
                              <w:t>-ԲԱՑԱՏՐԱԳԻՐ</w:t>
                            </w:r>
                          </w:p>
                          <w:p w14:paraId="2F83B3EA" w14:textId="77777777" w:rsidR="00147C8B" w:rsidRDefault="00147C8B"/>
                          <w:p w14:paraId="6A99F6B7" w14:textId="77777777" w:rsidR="00147C8B" w:rsidRPr="00056843" w:rsidRDefault="00147C8B" w:rsidP="00FD0C29">
                            <w:pPr>
                              <w:jc w:val="center"/>
                              <w:rPr>
                                <w:color w:val="FFFFFF" w:themeColor="background1"/>
                                <w:lang w:val="hy-AM"/>
                              </w:rPr>
                            </w:pPr>
                            <w:r w:rsidRPr="00056843">
                              <w:rPr>
                                <w:color w:val="FFFFFF" w:themeColor="background1"/>
                                <w:lang w:val="hy-AM"/>
                              </w:rPr>
                              <w:t>ԹՅԱՆ ԿԱՌԱՎԱՐՈՒԹՅԱՆ</w:t>
                            </w:r>
                          </w:p>
                          <w:p w14:paraId="2F9ABB19" w14:textId="77777777" w:rsidR="00147C8B" w:rsidRDefault="00147C8B"/>
                          <w:p w14:paraId="5E088825" w14:textId="77777777" w:rsidR="00147C8B" w:rsidRPr="00056843" w:rsidRDefault="00147C8B" w:rsidP="00FD0C29">
                            <w:pPr>
                              <w:jc w:val="center"/>
                              <w:rPr>
                                <w:color w:val="FFFFFF" w:themeColor="background1"/>
                                <w:lang w:val="hy-AM"/>
                              </w:rPr>
                            </w:pPr>
                            <w:r w:rsidRPr="00682390">
                              <w:rPr>
                                <w:b/>
                                <w:color w:val="44546A" w:themeColor="text2"/>
                                <w:sz w:val="70"/>
                                <w:szCs w:val="70"/>
                              </w:rPr>
                              <w:t>2025 ԹՎԱԿԱՆԻ</w:t>
                            </w:r>
                            <w:r w:rsidRPr="00056843">
                              <w:rPr>
                                <w:color w:val="FFFFFF" w:themeColor="background1"/>
                                <w:lang w:val="hy-AM"/>
                              </w:rPr>
                              <w:t>ԹՅԱՆ ԿԱՌԱՎԱՐՈՒԹՅԱՆ</w:t>
                            </w:r>
                          </w:p>
                          <w:p w14:paraId="085BDA06" w14:textId="77777777" w:rsidR="00147C8B" w:rsidRDefault="00147C8B"/>
                          <w:p w14:paraId="46C7BED8" w14:textId="77777777" w:rsidR="00147C8B" w:rsidRPr="00056843" w:rsidRDefault="00147C8B" w:rsidP="00FD0C29">
                            <w:pPr>
                              <w:jc w:val="center"/>
                              <w:rPr>
                                <w:color w:val="FFFFFF" w:themeColor="background1"/>
                                <w:lang w:val="hy-AM"/>
                              </w:rPr>
                            </w:pPr>
                            <w:r w:rsidRPr="00682390">
                              <w:rPr>
                                <w:b/>
                                <w:color w:val="44546A" w:themeColor="text2"/>
                                <w:sz w:val="70"/>
                                <w:szCs w:val="70"/>
                              </w:rPr>
                              <w:t>2025 ԹՎԱԿԱՆԻ</w:t>
                            </w:r>
                            <w:r w:rsidRPr="00056843">
                              <w:rPr>
                                <w:color w:val="FFFFFF" w:themeColor="background1"/>
                                <w:lang w:val="hy-AM"/>
                              </w:rPr>
                              <w:t>ԹՅԱՆ ԿԱՌԱՎԱՐՈՒԹՅԱՆ</w:t>
                            </w:r>
                          </w:p>
                          <w:p w14:paraId="77F133D1" w14:textId="77777777" w:rsidR="00147C8B" w:rsidRDefault="00147C8B"/>
                          <w:p w14:paraId="7B5DC079" w14:textId="77777777" w:rsidR="00147C8B" w:rsidRPr="00056843" w:rsidRDefault="00147C8B" w:rsidP="00FD0C29">
                            <w:pPr>
                              <w:jc w:val="center"/>
                              <w:rPr>
                                <w:color w:val="FFFFFF" w:themeColor="background1"/>
                                <w:lang w:val="hy-AM"/>
                              </w:rPr>
                            </w:pPr>
                            <w:r w:rsidRPr="00682390">
                              <w:rPr>
                                <w:b/>
                                <w:color w:val="44546A" w:themeColor="text2"/>
                                <w:sz w:val="70"/>
                                <w:szCs w:val="70"/>
                              </w:rPr>
                              <w:t>2025 ԹՎԱԿԱՆԻ</w:t>
                            </w:r>
                            <w:r w:rsidRPr="00056843">
                              <w:rPr>
                                <w:color w:val="FFFFFF" w:themeColor="background1"/>
                                <w:lang w:val="hy-AM"/>
                              </w:rPr>
                              <w:t>ԹՅԱՆ ԿԱՌԱՎԱՐՈՒԹՅԱՆ</w:t>
                            </w:r>
                          </w:p>
                          <w:p w14:paraId="56ADE35B" w14:textId="77777777" w:rsidR="00147C8B" w:rsidRDefault="00147C8B"/>
                          <w:p w14:paraId="67F80E92"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3253E230" w14:textId="77777777" w:rsidR="00147C8B" w:rsidRPr="00A3353C" w:rsidRDefault="00147C8B" w:rsidP="00682390">
                            <w:pPr>
                              <w:jc w:val="right"/>
                              <w:rPr>
                                <w:sz w:val="74"/>
                                <w:szCs w:val="74"/>
                              </w:rPr>
                            </w:pPr>
                          </w:p>
                          <w:p w14:paraId="57191B89" w14:textId="77777777" w:rsidR="00147C8B" w:rsidRDefault="00147C8B" w:rsidP="00682390">
                            <w:pPr>
                              <w:jc w:val="right"/>
                            </w:pPr>
                          </w:p>
                          <w:p w14:paraId="79423746" w14:textId="77777777" w:rsidR="00147C8B" w:rsidRPr="00056843" w:rsidRDefault="00147C8B" w:rsidP="00FD0C29">
                            <w:pPr>
                              <w:jc w:val="center"/>
                              <w:rPr>
                                <w:color w:val="FFFFFF" w:themeColor="background1"/>
                                <w:lang w:val="hy-AM"/>
                              </w:rPr>
                            </w:pPr>
                            <w:r w:rsidRPr="00682390">
                              <w:rPr>
                                <w:b/>
                                <w:color w:val="44546A" w:themeColor="text2"/>
                                <w:sz w:val="40"/>
                                <w:szCs w:val="40"/>
                              </w:rPr>
                              <w:t>ԲՅՈՒՋԵՏԱՅԻՆ ՈՒՂԵՐՁ</w:t>
                            </w:r>
                            <w:r w:rsidRPr="00682390">
                              <w:rPr>
                                <w:b/>
                                <w:color w:val="44546A" w:themeColor="text2"/>
                                <w:sz w:val="70"/>
                                <w:szCs w:val="70"/>
                              </w:rPr>
                              <w:t>2025 ԹՎԱԿԱՆԻ</w:t>
                            </w:r>
                            <w:r w:rsidRPr="00056843">
                              <w:rPr>
                                <w:color w:val="FFFFFF" w:themeColor="background1"/>
                                <w:lang w:val="hy-AM"/>
                              </w:rPr>
                              <w:t>ԹՅԱՆ ԿԱՌԱՎԱՐՈՒԹՅԱՆ</w:t>
                            </w:r>
                          </w:p>
                          <w:p w14:paraId="7C4F76D5" w14:textId="77777777" w:rsidR="00147C8B" w:rsidRDefault="00147C8B"/>
                          <w:p w14:paraId="0F8EB3B5" w14:textId="77777777" w:rsidR="00147C8B" w:rsidRPr="00056843" w:rsidRDefault="00147C8B" w:rsidP="00FD0C29">
                            <w:pPr>
                              <w:jc w:val="center"/>
                              <w:rPr>
                                <w:color w:val="FFFFFF" w:themeColor="background1"/>
                                <w:lang w:val="hy-AM"/>
                              </w:rPr>
                            </w:pPr>
                            <w:r w:rsidRPr="00682390">
                              <w:rPr>
                                <w:b/>
                                <w:color w:val="44546A" w:themeColor="text2"/>
                                <w:sz w:val="70"/>
                                <w:szCs w:val="70"/>
                              </w:rPr>
                              <w:t>2025 ԹՎԱԿԱՆԻ</w:t>
                            </w:r>
                            <w:r w:rsidRPr="00056843">
                              <w:rPr>
                                <w:color w:val="FFFFFF" w:themeColor="background1"/>
                                <w:lang w:val="hy-AM"/>
                              </w:rPr>
                              <w:t>ԹՅԱՆ ԿԱՌԱՎԱՐՈՒԹՅԱՆ</w:t>
                            </w:r>
                          </w:p>
                          <w:p w14:paraId="7090D0A3" w14:textId="77777777" w:rsidR="00147C8B" w:rsidRDefault="00147C8B"/>
                          <w:p w14:paraId="7EA0EBA8" w14:textId="77777777" w:rsidR="00147C8B" w:rsidRPr="00056843" w:rsidRDefault="00147C8B" w:rsidP="00FD0C29">
                            <w:pPr>
                              <w:jc w:val="center"/>
                              <w:rPr>
                                <w:color w:val="FFFFFF" w:themeColor="background1"/>
                                <w:lang w:val="hy-AM"/>
                              </w:rPr>
                            </w:pPr>
                            <w:r w:rsidRPr="00682390">
                              <w:rPr>
                                <w:b/>
                                <w:color w:val="44546A" w:themeColor="text2"/>
                                <w:sz w:val="70"/>
                                <w:szCs w:val="70"/>
                              </w:rPr>
                              <w:t>2025 ԹՎԱԿԱՆԻ</w:t>
                            </w:r>
                            <w:r w:rsidRPr="00056843">
                              <w:rPr>
                                <w:color w:val="FFFFFF" w:themeColor="background1"/>
                                <w:lang w:val="hy-AM"/>
                              </w:rPr>
                              <w:t>ԹՅԱՆ ԿԱՌԱՎԱՐՈՒԹՅԱՆ</w:t>
                            </w:r>
                          </w:p>
                          <w:p w14:paraId="7E7D8257" w14:textId="77777777" w:rsidR="00147C8B" w:rsidRDefault="00147C8B"/>
                          <w:p w14:paraId="2FFE3C9E" w14:textId="77777777" w:rsidR="00147C8B" w:rsidRPr="00056843" w:rsidRDefault="00147C8B" w:rsidP="00FD0C29">
                            <w:pPr>
                              <w:jc w:val="center"/>
                              <w:rPr>
                                <w:color w:val="FFFFFF" w:themeColor="background1"/>
                                <w:lang w:val="hy-AM"/>
                              </w:rPr>
                            </w:pPr>
                            <w:r w:rsidRPr="00682390">
                              <w:rPr>
                                <w:b/>
                                <w:color w:val="44546A" w:themeColor="text2"/>
                                <w:sz w:val="70"/>
                                <w:szCs w:val="70"/>
                              </w:rPr>
                              <w:t>2025 ԹՎԱԿԱՆԻ</w:t>
                            </w:r>
                            <w:r w:rsidRPr="00056843">
                              <w:rPr>
                                <w:color w:val="FFFFFF" w:themeColor="background1"/>
                                <w:lang w:val="hy-AM"/>
                              </w:rPr>
                              <w:t>ԹՅԱՆ ԿԱՌԱՎԱՐՈՒԹՅԱՆ</w:t>
                            </w:r>
                          </w:p>
                          <w:p w14:paraId="47683A5C" w14:textId="77777777" w:rsidR="00147C8B" w:rsidRDefault="00147C8B"/>
                          <w:p w14:paraId="0493C7C6"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ՈՒՂԵՐՁ</w:t>
                            </w:r>
                            <w:r w:rsidRPr="00812F22">
                              <w:rPr>
                                <w:b/>
                                <w:color w:val="44546A" w:themeColor="text2"/>
                                <w:sz w:val="36"/>
                                <w:szCs w:val="36"/>
                                <w:lang w:val="hy-AM"/>
                              </w:rPr>
                              <w:t>-ԲԱՑԱՏՐԱԳԻՐ</w:t>
                            </w:r>
                          </w:p>
                          <w:p w14:paraId="34639D12" w14:textId="77777777" w:rsidR="00147C8B" w:rsidRDefault="00147C8B"/>
                          <w:p w14:paraId="6C8D8078" w14:textId="77777777" w:rsidR="00147C8B" w:rsidRPr="00056843" w:rsidRDefault="00147C8B" w:rsidP="00FD0C29">
                            <w:pPr>
                              <w:jc w:val="center"/>
                              <w:rPr>
                                <w:color w:val="FFFFFF" w:themeColor="background1"/>
                                <w:lang w:val="hy-AM"/>
                              </w:rPr>
                            </w:pPr>
                            <w:r w:rsidRPr="00056843">
                              <w:rPr>
                                <w:color w:val="FFFFFF" w:themeColor="background1"/>
                                <w:lang w:val="hy-AM"/>
                              </w:rPr>
                              <w:t>ԹՅԱՆ ԿԱՌԱՎԱՐՈՒԹՅԱՆ</w:t>
                            </w:r>
                          </w:p>
                          <w:p w14:paraId="0B867FFF" w14:textId="77777777" w:rsidR="00147C8B" w:rsidRDefault="00147C8B"/>
                          <w:p w14:paraId="41E90B9D" w14:textId="77777777" w:rsidR="00147C8B" w:rsidRPr="00056843" w:rsidRDefault="00147C8B" w:rsidP="00FD0C29">
                            <w:pPr>
                              <w:jc w:val="center"/>
                              <w:rPr>
                                <w:color w:val="FFFFFF" w:themeColor="background1"/>
                                <w:lang w:val="hy-AM"/>
                              </w:rPr>
                            </w:pPr>
                            <w:r w:rsidRPr="00682390">
                              <w:rPr>
                                <w:b/>
                                <w:color w:val="44546A" w:themeColor="text2"/>
                                <w:sz w:val="70"/>
                                <w:szCs w:val="70"/>
                              </w:rPr>
                              <w:t>2025 ԹՎԱԿԱՆԻ</w:t>
                            </w:r>
                            <w:r w:rsidRPr="00056843">
                              <w:rPr>
                                <w:color w:val="FFFFFF" w:themeColor="background1"/>
                                <w:lang w:val="hy-AM"/>
                              </w:rPr>
                              <w:t>ԹՅԱՆ ԿԱՌԱՎԱՐՈՒԹՅԱՆ</w:t>
                            </w:r>
                          </w:p>
                          <w:p w14:paraId="246F65CC" w14:textId="77777777" w:rsidR="00147C8B" w:rsidRDefault="00147C8B"/>
                          <w:p w14:paraId="60A0FBD4" w14:textId="77777777" w:rsidR="00147C8B" w:rsidRPr="00056843" w:rsidRDefault="00147C8B" w:rsidP="00FD0C29">
                            <w:pPr>
                              <w:jc w:val="center"/>
                              <w:rPr>
                                <w:color w:val="FFFFFF" w:themeColor="background1"/>
                                <w:lang w:val="hy-AM"/>
                              </w:rPr>
                            </w:pPr>
                            <w:r w:rsidRPr="00682390">
                              <w:rPr>
                                <w:b/>
                                <w:color w:val="44546A" w:themeColor="text2"/>
                                <w:sz w:val="70"/>
                                <w:szCs w:val="70"/>
                              </w:rPr>
                              <w:t>2025 ԹՎԱԿԱՆԻ</w:t>
                            </w:r>
                            <w:r w:rsidRPr="00056843">
                              <w:rPr>
                                <w:color w:val="FFFFFF" w:themeColor="background1"/>
                                <w:lang w:val="hy-AM"/>
                              </w:rPr>
                              <w:t>ԹՅԱՆ ԿԱՌԱՎԱՐՈՒԹՅԱՆ</w:t>
                            </w:r>
                          </w:p>
                          <w:p w14:paraId="1AE9E11D" w14:textId="77777777" w:rsidR="00147C8B" w:rsidRDefault="00147C8B"/>
                          <w:p w14:paraId="196DDAFF" w14:textId="77777777" w:rsidR="00147C8B" w:rsidRPr="00056843" w:rsidRDefault="00147C8B" w:rsidP="00FD0C29">
                            <w:pPr>
                              <w:jc w:val="center"/>
                              <w:rPr>
                                <w:color w:val="FFFFFF" w:themeColor="background1"/>
                                <w:lang w:val="hy-AM"/>
                              </w:rPr>
                            </w:pPr>
                            <w:r w:rsidRPr="00682390">
                              <w:rPr>
                                <w:b/>
                                <w:color w:val="44546A" w:themeColor="text2"/>
                                <w:sz w:val="70"/>
                                <w:szCs w:val="70"/>
                              </w:rPr>
                              <w:t>2025 ԹՎԱԿԱՆԻ</w:t>
                            </w:r>
                            <w:r w:rsidRPr="00056843">
                              <w:rPr>
                                <w:color w:val="FFFFFF" w:themeColor="background1"/>
                                <w:lang w:val="hy-AM"/>
                              </w:rPr>
                              <w:t>ԹՅԱՆ ԿԱՌԱՎԱՐՈՒԹՅԱՆ</w:t>
                            </w:r>
                          </w:p>
                          <w:p w14:paraId="26772ABA" w14:textId="77777777" w:rsidR="00147C8B" w:rsidRDefault="00147C8B"/>
                          <w:p w14:paraId="44AEDCFD"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0360B154" w14:textId="77777777" w:rsidR="00147C8B" w:rsidRPr="00A3353C" w:rsidRDefault="00147C8B" w:rsidP="00682390">
                            <w:pPr>
                              <w:jc w:val="right"/>
                              <w:rPr>
                                <w:sz w:val="74"/>
                                <w:szCs w:val="74"/>
                              </w:rPr>
                            </w:pPr>
                          </w:p>
                          <w:p w14:paraId="2F7F87B5" w14:textId="77777777" w:rsidR="00147C8B" w:rsidRDefault="00147C8B" w:rsidP="00682390">
                            <w:pPr>
                              <w:jc w:val="right"/>
                            </w:pPr>
                          </w:p>
                          <w:p w14:paraId="4A85FA54" w14:textId="77777777" w:rsidR="00147C8B" w:rsidRPr="00056843" w:rsidRDefault="00147C8B" w:rsidP="00FD0C29">
                            <w:pPr>
                              <w:jc w:val="center"/>
                              <w:rPr>
                                <w:color w:val="FFFFFF" w:themeColor="background1"/>
                                <w:lang w:val="hy-AM"/>
                              </w:rPr>
                            </w:pPr>
                            <w:r w:rsidRPr="00682390">
                              <w:rPr>
                                <w:b/>
                                <w:color w:val="44546A" w:themeColor="text2"/>
                                <w:sz w:val="40"/>
                                <w:szCs w:val="40"/>
                              </w:rPr>
                              <w:t>ԲՅՈՒՋԵՏԱՅԻՆ ՈՒՂԵՐՁ</w:t>
                            </w:r>
                            <w:r w:rsidRPr="00682390">
                              <w:rPr>
                                <w:b/>
                                <w:color w:val="44546A" w:themeColor="text2"/>
                                <w:sz w:val="70"/>
                                <w:szCs w:val="70"/>
                              </w:rPr>
                              <w:t>2025 ԹՎԱԿԱՆԻ</w:t>
                            </w:r>
                            <w:r w:rsidRPr="00056843">
                              <w:rPr>
                                <w:color w:val="FFFFFF" w:themeColor="background1"/>
                                <w:lang w:val="hy-AM"/>
                              </w:rPr>
                              <w:t>ԹՅԱՆ ԿԱՌԱՎԱՐՈՒԹՅԱՆ</w:t>
                            </w:r>
                          </w:p>
                          <w:p w14:paraId="10E13E9D" w14:textId="77777777" w:rsidR="00147C8B" w:rsidRDefault="00147C8B"/>
                          <w:p w14:paraId="2C2BB533" w14:textId="77777777" w:rsidR="00147C8B" w:rsidRPr="00056843" w:rsidRDefault="00147C8B" w:rsidP="00FD0C29">
                            <w:pPr>
                              <w:jc w:val="center"/>
                              <w:rPr>
                                <w:color w:val="FFFFFF" w:themeColor="background1"/>
                                <w:lang w:val="hy-AM"/>
                              </w:rPr>
                            </w:pPr>
                            <w:r w:rsidRPr="00682390">
                              <w:rPr>
                                <w:b/>
                                <w:color w:val="44546A" w:themeColor="text2"/>
                                <w:sz w:val="70"/>
                                <w:szCs w:val="70"/>
                              </w:rPr>
                              <w:t>2025 ԹՎԱԿԱՆԻ</w:t>
                            </w:r>
                            <w:r w:rsidRPr="00056843">
                              <w:rPr>
                                <w:color w:val="FFFFFF" w:themeColor="background1"/>
                                <w:lang w:val="hy-AM"/>
                              </w:rPr>
                              <w:t>ԹՅԱՆ ԿԱՌԱՎԱՐՈՒԹՅԱՆ</w:t>
                            </w:r>
                          </w:p>
                          <w:p w14:paraId="23D326CB" w14:textId="77777777" w:rsidR="00147C8B" w:rsidRDefault="00147C8B"/>
                          <w:p w14:paraId="7683F53C" w14:textId="77777777" w:rsidR="00147C8B" w:rsidRPr="00056843" w:rsidRDefault="00147C8B" w:rsidP="00FD0C29">
                            <w:pPr>
                              <w:jc w:val="center"/>
                              <w:rPr>
                                <w:color w:val="FFFFFF" w:themeColor="background1"/>
                                <w:lang w:val="hy-AM"/>
                              </w:rPr>
                            </w:pPr>
                            <w:r w:rsidRPr="00682390">
                              <w:rPr>
                                <w:b/>
                                <w:color w:val="44546A" w:themeColor="text2"/>
                                <w:sz w:val="70"/>
                                <w:szCs w:val="70"/>
                              </w:rPr>
                              <w:t>2025 ԹՎԱԿԱՆԻ</w:t>
                            </w:r>
                            <w:r w:rsidRPr="00056843">
                              <w:rPr>
                                <w:color w:val="FFFFFF" w:themeColor="background1"/>
                                <w:lang w:val="hy-AM"/>
                              </w:rPr>
                              <w:t>ԹՅԱՆ ԿԱՌԱՎԱՐՈՒԹՅԱՆ</w:t>
                            </w:r>
                          </w:p>
                          <w:p w14:paraId="3F64078B" w14:textId="77777777" w:rsidR="00147C8B" w:rsidRDefault="00147C8B"/>
                          <w:p w14:paraId="7B822600" w14:textId="77777777" w:rsidR="00147C8B" w:rsidRPr="00056843" w:rsidRDefault="00147C8B" w:rsidP="00FD0C29">
                            <w:pPr>
                              <w:jc w:val="center"/>
                              <w:rPr>
                                <w:color w:val="FFFFFF" w:themeColor="background1"/>
                                <w:lang w:val="hy-AM"/>
                              </w:rPr>
                            </w:pPr>
                            <w:r w:rsidRPr="00682390">
                              <w:rPr>
                                <w:b/>
                                <w:color w:val="44546A" w:themeColor="text2"/>
                                <w:sz w:val="70"/>
                                <w:szCs w:val="70"/>
                              </w:rPr>
                              <w:t>2025 ԹՎԱԿԱՆԻ</w:t>
                            </w:r>
                            <w:r w:rsidRPr="00056843">
                              <w:rPr>
                                <w:color w:val="FFFFFF" w:themeColor="background1"/>
                                <w:lang w:val="hy-AM"/>
                              </w:rPr>
                              <w:t>ԹՅԱՆ ԿԱՌԱՎԱՐՈՒԹՅԱՆ</w:t>
                            </w:r>
                          </w:p>
                          <w:p w14:paraId="4AF8CB48" w14:textId="77777777" w:rsidR="00147C8B" w:rsidRDefault="00147C8B"/>
                          <w:p w14:paraId="459B579B"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ՈՒՂԵՐՁ</w:t>
                            </w:r>
                            <w:r w:rsidRPr="00812F22">
                              <w:rPr>
                                <w:b/>
                                <w:color w:val="44546A" w:themeColor="text2"/>
                                <w:sz w:val="36"/>
                                <w:szCs w:val="36"/>
                                <w:lang w:val="hy-AM"/>
                              </w:rPr>
                              <w:t>-ԲԱՑԱՏՐԱԳԻՐ</w:t>
                            </w:r>
                          </w:p>
                          <w:p w14:paraId="737CB5F7" w14:textId="77777777" w:rsidR="00147C8B" w:rsidRDefault="00147C8B"/>
                          <w:p w14:paraId="125DAAB6" w14:textId="77777777" w:rsidR="00147C8B" w:rsidRDefault="00147C8B"/>
                          <w:p w14:paraId="2E6AC3D6"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50E7B9AA" w14:textId="77777777" w:rsidR="00147C8B" w:rsidRPr="00A3353C" w:rsidRDefault="00147C8B" w:rsidP="00682390">
                            <w:pPr>
                              <w:jc w:val="right"/>
                              <w:rPr>
                                <w:sz w:val="74"/>
                                <w:szCs w:val="74"/>
                              </w:rPr>
                            </w:pPr>
                          </w:p>
                          <w:p w14:paraId="64CA8F30" w14:textId="77777777" w:rsidR="00147C8B" w:rsidRDefault="00147C8B" w:rsidP="00682390">
                            <w:pPr>
                              <w:jc w:val="right"/>
                            </w:pPr>
                          </w:p>
                          <w:p w14:paraId="49E41BDF"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 xml:space="preserve">2025 ԹՎԱԿԱՆԻ </w:t>
                            </w:r>
                          </w:p>
                          <w:p w14:paraId="4F0E2861" w14:textId="77777777" w:rsidR="00147C8B" w:rsidRPr="00A3353C" w:rsidRDefault="00147C8B" w:rsidP="00682390">
                            <w:pPr>
                              <w:jc w:val="right"/>
                              <w:rPr>
                                <w:sz w:val="74"/>
                                <w:szCs w:val="74"/>
                              </w:rPr>
                            </w:pPr>
                          </w:p>
                          <w:p w14:paraId="6D30006E" w14:textId="77777777" w:rsidR="00147C8B" w:rsidRDefault="00147C8B"/>
                          <w:p w14:paraId="658D6B14"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ՈՒՂԵՐՁ</w:t>
                            </w:r>
                            <w:r w:rsidRPr="00812F22">
                              <w:rPr>
                                <w:b/>
                                <w:color w:val="44546A" w:themeColor="text2"/>
                                <w:sz w:val="36"/>
                                <w:szCs w:val="36"/>
                                <w:lang w:val="hy-AM"/>
                              </w:rPr>
                              <w:t>-ԲԱՑԱՏՐԱԳԻՐ</w:t>
                            </w: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7D51C67D" w14:textId="77777777" w:rsidR="00147C8B" w:rsidRPr="00A3353C" w:rsidRDefault="00147C8B" w:rsidP="00682390">
                            <w:pPr>
                              <w:jc w:val="right"/>
                              <w:rPr>
                                <w:sz w:val="74"/>
                                <w:szCs w:val="74"/>
                              </w:rPr>
                            </w:pPr>
                          </w:p>
                          <w:p w14:paraId="45389CA6" w14:textId="77777777" w:rsidR="00147C8B" w:rsidRDefault="00147C8B" w:rsidP="00682390">
                            <w:pPr>
                              <w:jc w:val="right"/>
                            </w:pPr>
                          </w:p>
                          <w:p w14:paraId="27DE743B" w14:textId="77777777" w:rsidR="00147C8B" w:rsidRPr="00812F22" w:rsidRDefault="00147C8B" w:rsidP="00682390">
                            <w:pPr>
                              <w:pStyle w:val="BodyText1"/>
                              <w:jc w:val="right"/>
                              <w:rPr>
                                <w:b/>
                                <w:color w:val="44546A" w:themeColor="text2"/>
                                <w:sz w:val="36"/>
                                <w:szCs w:val="36"/>
                              </w:rPr>
                            </w:pPr>
                            <w:r w:rsidRPr="00682390">
                              <w:rPr>
                                <w:b/>
                                <w:color w:val="44546A" w:themeColor="text2"/>
                                <w:sz w:val="40"/>
                                <w:szCs w:val="40"/>
                              </w:rPr>
                              <w:t>ԲՅՈՒՋԵՏԱՅԻՆ ՈՒՂԵՐՁ</w:t>
                            </w:r>
                            <w:r w:rsidRPr="00682390">
                              <w:rPr>
                                <w:b/>
                                <w:color w:val="44546A" w:themeColor="text2"/>
                                <w:sz w:val="70"/>
                                <w:szCs w:val="70"/>
                              </w:rPr>
                              <w:t>2025 ԹՎԱԿԱՆԻ</w:t>
                            </w:r>
                            <w:r w:rsidRPr="00812F22">
                              <w:rPr>
                                <w:b/>
                                <w:color w:val="44546A" w:themeColor="text2"/>
                                <w:sz w:val="36"/>
                                <w:szCs w:val="36"/>
                              </w:rPr>
                              <w:t>ՈՒՂԵՐՁ</w:t>
                            </w:r>
                            <w:r w:rsidRPr="00812F22">
                              <w:rPr>
                                <w:b/>
                                <w:color w:val="44546A" w:themeColor="text2"/>
                                <w:sz w:val="36"/>
                                <w:szCs w:val="36"/>
                                <w:lang w:val="hy-AM"/>
                              </w:rPr>
                              <w:t>-ԲԱՑԱՏՐԱԳԻՐ</w:t>
                            </w:r>
                          </w:p>
                          <w:p w14:paraId="1C1DD2CD" w14:textId="77777777" w:rsidR="00147C8B" w:rsidRDefault="00147C8B"/>
                          <w:p w14:paraId="3F2CD45F" w14:textId="77777777" w:rsidR="00147C8B" w:rsidRPr="00056843" w:rsidRDefault="00147C8B" w:rsidP="00FD0C29">
                            <w:pPr>
                              <w:jc w:val="center"/>
                              <w:rPr>
                                <w:color w:val="FFFFFF" w:themeColor="background1"/>
                                <w:lang w:val="hy-AM"/>
                              </w:rPr>
                            </w:pPr>
                            <w:r w:rsidRPr="00056843">
                              <w:rPr>
                                <w:color w:val="FFFFFF" w:themeColor="background1"/>
                                <w:lang w:val="hy-AM"/>
                              </w:rPr>
                              <w:t>ԹՅԱՆ ԿԱՌԱՎԱՐՈՒԹՅԱՆ</w:t>
                            </w:r>
                          </w:p>
                          <w:p w14:paraId="35DC0872" w14:textId="77777777" w:rsidR="00147C8B" w:rsidRDefault="00147C8B"/>
                          <w:p w14:paraId="553CBF46" w14:textId="77777777" w:rsidR="00147C8B" w:rsidRPr="00056843" w:rsidRDefault="00147C8B" w:rsidP="00FD0C29">
                            <w:pPr>
                              <w:jc w:val="center"/>
                              <w:rPr>
                                <w:color w:val="FFFFFF" w:themeColor="background1"/>
                                <w:lang w:val="hy-AM"/>
                              </w:rPr>
                            </w:pPr>
                            <w:r w:rsidRPr="00682390">
                              <w:rPr>
                                <w:b/>
                                <w:color w:val="44546A" w:themeColor="text2"/>
                                <w:sz w:val="70"/>
                                <w:szCs w:val="70"/>
                              </w:rPr>
                              <w:t>2025 ԹՎԱԿԱՆԻ</w:t>
                            </w:r>
                            <w:r w:rsidRPr="00056843">
                              <w:rPr>
                                <w:color w:val="FFFFFF" w:themeColor="background1"/>
                                <w:lang w:val="hy-AM"/>
                              </w:rPr>
                              <w:t>ԹՅԱՆ ԿԱՌԱՎԱՐՈՒԹՅԱՆ</w:t>
                            </w:r>
                          </w:p>
                          <w:p w14:paraId="1682D3AC" w14:textId="77777777" w:rsidR="00147C8B" w:rsidRDefault="00147C8B"/>
                          <w:p w14:paraId="33FF2EE6" w14:textId="77777777" w:rsidR="00147C8B" w:rsidRPr="00056843" w:rsidRDefault="00147C8B" w:rsidP="00FD0C29">
                            <w:pPr>
                              <w:jc w:val="center"/>
                              <w:rPr>
                                <w:color w:val="FFFFFF" w:themeColor="background1"/>
                                <w:lang w:val="hy-AM"/>
                              </w:rPr>
                            </w:pPr>
                            <w:r w:rsidRPr="00682390">
                              <w:rPr>
                                <w:b/>
                                <w:color w:val="44546A" w:themeColor="text2"/>
                                <w:sz w:val="70"/>
                                <w:szCs w:val="70"/>
                              </w:rPr>
                              <w:t>2025 ԹՎԱԿԱՆԻ</w:t>
                            </w:r>
                            <w:r w:rsidRPr="00056843">
                              <w:rPr>
                                <w:color w:val="FFFFFF" w:themeColor="background1"/>
                                <w:lang w:val="hy-AM"/>
                              </w:rPr>
                              <w:t>ԹՅԱՆ ԿԱՌԱՎԱՐՈՒԹՅԱՆ</w:t>
                            </w:r>
                          </w:p>
                          <w:p w14:paraId="5FB6F6FC" w14:textId="77777777" w:rsidR="00147C8B" w:rsidRDefault="00147C8B"/>
                          <w:p w14:paraId="092DFBB0" w14:textId="77777777" w:rsidR="00147C8B" w:rsidRPr="00056843" w:rsidRDefault="00147C8B" w:rsidP="00FD0C29">
                            <w:pPr>
                              <w:jc w:val="center"/>
                              <w:rPr>
                                <w:color w:val="FFFFFF" w:themeColor="background1"/>
                                <w:lang w:val="hy-AM"/>
                              </w:rPr>
                            </w:pPr>
                            <w:r w:rsidRPr="00682390">
                              <w:rPr>
                                <w:b/>
                                <w:color w:val="44546A" w:themeColor="text2"/>
                                <w:sz w:val="70"/>
                                <w:szCs w:val="70"/>
                              </w:rPr>
                              <w:t>2025 ԹՎԱԿԱՆԻ</w:t>
                            </w:r>
                            <w:r w:rsidRPr="00056843">
                              <w:rPr>
                                <w:color w:val="FFFFFF" w:themeColor="background1"/>
                                <w:lang w:val="hy-AM"/>
                              </w:rPr>
                              <w:t>ԹՅԱՆ ԿԱՌԱՎԱՐՈՒԹՅԱՆ</w:t>
                            </w:r>
                          </w:p>
                          <w:p w14:paraId="441D561F" w14:textId="77777777" w:rsidR="00147C8B" w:rsidRDefault="00147C8B"/>
                          <w:p w14:paraId="347DAC2B"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5442BD58" w14:textId="77777777" w:rsidR="00147C8B" w:rsidRPr="00A3353C" w:rsidRDefault="00147C8B" w:rsidP="00682390">
                            <w:pPr>
                              <w:jc w:val="right"/>
                              <w:rPr>
                                <w:sz w:val="74"/>
                                <w:szCs w:val="74"/>
                              </w:rPr>
                            </w:pPr>
                          </w:p>
                          <w:p w14:paraId="1F66BD00" w14:textId="77777777" w:rsidR="00147C8B" w:rsidRDefault="00147C8B" w:rsidP="00682390">
                            <w:pPr>
                              <w:jc w:val="right"/>
                            </w:pPr>
                          </w:p>
                          <w:p w14:paraId="436D6F48" w14:textId="77777777" w:rsidR="00147C8B" w:rsidRPr="00056843" w:rsidRDefault="00147C8B" w:rsidP="00FD0C29">
                            <w:pPr>
                              <w:jc w:val="center"/>
                              <w:rPr>
                                <w:color w:val="FFFFFF" w:themeColor="background1"/>
                                <w:lang w:val="hy-AM"/>
                              </w:rPr>
                            </w:pPr>
                            <w:r w:rsidRPr="00682390">
                              <w:rPr>
                                <w:b/>
                                <w:color w:val="44546A" w:themeColor="text2"/>
                                <w:sz w:val="40"/>
                                <w:szCs w:val="40"/>
                              </w:rPr>
                              <w:t>ԲՅՈՒՋԵՏԱՅԻՆ ՈՒՂԵՐՁ</w:t>
                            </w:r>
                            <w:r w:rsidRPr="00682390">
                              <w:rPr>
                                <w:b/>
                                <w:color w:val="44546A" w:themeColor="text2"/>
                                <w:sz w:val="70"/>
                                <w:szCs w:val="70"/>
                              </w:rPr>
                              <w:t>2025 ԹՎԱԿԱՆԻ</w:t>
                            </w:r>
                            <w:r w:rsidRPr="00056843">
                              <w:rPr>
                                <w:color w:val="FFFFFF" w:themeColor="background1"/>
                                <w:lang w:val="hy-AM"/>
                              </w:rPr>
                              <w:t>ԹՅԱՆ ԿԱՌԱՎԱՐՈՒԹՅԱՆ</w:t>
                            </w:r>
                          </w:p>
                          <w:p w14:paraId="58530588" w14:textId="77777777" w:rsidR="00147C8B" w:rsidRDefault="00147C8B"/>
                          <w:p w14:paraId="04080D39" w14:textId="77777777" w:rsidR="00147C8B" w:rsidRPr="00056843" w:rsidRDefault="00147C8B" w:rsidP="00FD0C29">
                            <w:pPr>
                              <w:jc w:val="center"/>
                              <w:rPr>
                                <w:color w:val="FFFFFF" w:themeColor="background1"/>
                                <w:lang w:val="hy-AM"/>
                              </w:rPr>
                            </w:pPr>
                            <w:r w:rsidRPr="00682390">
                              <w:rPr>
                                <w:b/>
                                <w:color w:val="44546A" w:themeColor="text2"/>
                                <w:sz w:val="70"/>
                                <w:szCs w:val="70"/>
                              </w:rPr>
                              <w:t>2025 ԹՎԱԿԱՆԻ</w:t>
                            </w:r>
                            <w:r w:rsidRPr="00056843">
                              <w:rPr>
                                <w:color w:val="FFFFFF" w:themeColor="background1"/>
                                <w:lang w:val="hy-AM"/>
                              </w:rPr>
                              <w:t>ԹՅԱՆ ԿԱՌԱՎԱՐՈՒԹՅԱՆ</w:t>
                            </w:r>
                          </w:p>
                          <w:p w14:paraId="43EFFCE1" w14:textId="77777777" w:rsidR="00147C8B" w:rsidRDefault="00147C8B"/>
                          <w:p w14:paraId="68C50DEA" w14:textId="77777777" w:rsidR="00147C8B" w:rsidRPr="00056843" w:rsidRDefault="00147C8B" w:rsidP="00FD0C29">
                            <w:pPr>
                              <w:jc w:val="center"/>
                              <w:rPr>
                                <w:color w:val="FFFFFF" w:themeColor="background1"/>
                                <w:lang w:val="hy-AM"/>
                              </w:rPr>
                            </w:pPr>
                            <w:r w:rsidRPr="00682390">
                              <w:rPr>
                                <w:b/>
                                <w:color w:val="44546A" w:themeColor="text2"/>
                                <w:sz w:val="70"/>
                                <w:szCs w:val="70"/>
                              </w:rPr>
                              <w:t>2025 ԹՎԱԿԱՆԻ</w:t>
                            </w:r>
                            <w:r w:rsidRPr="00056843">
                              <w:rPr>
                                <w:color w:val="FFFFFF" w:themeColor="background1"/>
                                <w:lang w:val="hy-AM"/>
                              </w:rPr>
                              <w:t>ԹՅԱՆ ԿԱՌԱՎԱՐՈՒԹՅԱՆ</w:t>
                            </w:r>
                          </w:p>
                          <w:p w14:paraId="6AB3C377" w14:textId="77777777" w:rsidR="00147C8B" w:rsidRDefault="00147C8B"/>
                          <w:p w14:paraId="0D5E96EF" w14:textId="77777777" w:rsidR="00147C8B" w:rsidRPr="00056843" w:rsidRDefault="00147C8B" w:rsidP="00FD0C29">
                            <w:pPr>
                              <w:jc w:val="center"/>
                              <w:rPr>
                                <w:color w:val="FFFFFF" w:themeColor="background1"/>
                                <w:lang w:val="hy-AM"/>
                              </w:rPr>
                            </w:pPr>
                            <w:r w:rsidRPr="00682390">
                              <w:rPr>
                                <w:b/>
                                <w:color w:val="44546A" w:themeColor="text2"/>
                                <w:sz w:val="70"/>
                                <w:szCs w:val="70"/>
                              </w:rPr>
                              <w:t>2025 ԹՎԱԿԱՆԻ</w:t>
                            </w:r>
                            <w:r w:rsidRPr="00056843">
                              <w:rPr>
                                <w:color w:val="FFFFFF" w:themeColor="background1"/>
                                <w:lang w:val="hy-AM"/>
                              </w:rPr>
                              <w:t>ԹՅԱՆ ԿԱՌԱՎԱՐՈՒԹՅԱՆ</w:t>
                            </w:r>
                          </w:p>
                          <w:p w14:paraId="00D0F51E" w14:textId="77777777" w:rsidR="00147C8B" w:rsidRDefault="00147C8B"/>
                          <w:p w14:paraId="6B582C67"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ՈՒՂԵՐՁ</w:t>
                            </w:r>
                            <w:r w:rsidRPr="00812F22">
                              <w:rPr>
                                <w:b/>
                                <w:color w:val="44546A" w:themeColor="text2"/>
                                <w:sz w:val="36"/>
                                <w:szCs w:val="36"/>
                                <w:lang w:val="hy-AM"/>
                              </w:rPr>
                              <w:t>-ԲԱՑԱՏՐԱԳԻՐ</w:t>
                            </w:r>
                          </w:p>
                          <w:p w14:paraId="30AC6794" w14:textId="77777777" w:rsidR="00147C8B" w:rsidRDefault="00147C8B"/>
                          <w:p w14:paraId="610E5708" w14:textId="77777777" w:rsidR="00147C8B" w:rsidRPr="00056843" w:rsidRDefault="00147C8B" w:rsidP="00FD0C29">
                            <w:pPr>
                              <w:jc w:val="center"/>
                              <w:rPr>
                                <w:color w:val="FFFFFF" w:themeColor="background1"/>
                                <w:lang w:val="hy-AM"/>
                              </w:rPr>
                            </w:pPr>
                            <w:r w:rsidRPr="00056843">
                              <w:rPr>
                                <w:color w:val="FFFFFF" w:themeColor="background1"/>
                                <w:lang w:val="hy-AM"/>
                              </w:rPr>
                              <w:t>ԹՅԱՆ ԿԱՌԱՎԱՐՈՒԹՅԱՆ</w:t>
                            </w:r>
                          </w:p>
                          <w:p w14:paraId="7E2DA592" w14:textId="77777777" w:rsidR="00147C8B" w:rsidRDefault="00147C8B"/>
                          <w:p w14:paraId="3835BFCF" w14:textId="77777777" w:rsidR="00147C8B" w:rsidRPr="00056843" w:rsidRDefault="00147C8B" w:rsidP="00FD0C29">
                            <w:pPr>
                              <w:jc w:val="center"/>
                              <w:rPr>
                                <w:color w:val="FFFFFF" w:themeColor="background1"/>
                                <w:lang w:val="hy-AM"/>
                              </w:rPr>
                            </w:pPr>
                            <w:r w:rsidRPr="00682390">
                              <w:rPr>
                                <w:b/>
                                <w:color w:val="44546A" w:themeColor="text2"/>
                                <w:sz w:val="70"/>
                                <w:szCs w:val="70"/>
                              </w:rPr>
                              <w:t>2025 ԹՎԱԿԱՆԻ</w:t>
                            </w:r>
                            <w:r w:rsidRPr="00056843">
                              <w:rPr>
                                <w:color w:val="FFFFFF" w:themeColor="background1"/>
                                <w:lang w:val="hy-AM"/>
                              </w:rPr>
                              <w:t>ԹՅԱՆ ԿԱՌԱՎԱՐՈՒԹՅԱՆ</w:t>
                            </w:r>
                          </w:p>
                          <w:p w14:paraId="010C4617" w14:textId="77777777" w:rsidR="00147C8B" w:rsidRDefault="00147C8B"/>
                          <w:p w14:paraId="4EE98452" w14:textId="77777777" w:rsidR="00147C8B" w:rsidRPr="00056843" w:rsidRDefault="00147C8B" w:rsidP="00FD0C29">
                            <w:pPr>
                              <w:jc w:val="center"/>
                              <w:rPr>
                                <w:color w:val="FFFFFF" w:themeColor="background1"/>
                                <w:lang w:val="hy-AM"/>
                              </w:rPr>
                            </w:pPr>
                            <w:r w:rsidRPr="00682390">
                              <w:rPr>
                                <w:b/>
                                <w:color w:val="44546A" w:themeColor="text2"/>
                                <w:sz w:val="70"/>
                                <w:szCs w:val="70"/>
                              </w:rPr>
                              <w:t>2025 ԹՎԱԿԱՆԻ</w:t>
                            </w:r>
                            <w:r w:rsidRPr="00056843">
                              <w:rPr>
                                <w:color w:val="FFFFFF" w:themeColor="background1"/>
                                <w:lang w:val="hy-AM"/>
                              </w:rPr>
                              <w:t>ԹՅԱՆ ԿԱՌԱՎԱՐՈՒԹՅԱՆ</w:t>
                            </w:r>
                          </w:p>
                          <w:p w14:paraId="6F861ED2" w14:textId="77777777" w:rsidR="00147C8B" w:rsidRDefault="00147C8B"/>
                          <w:p w14:paraId="07594C36" w14:textId="77777777" w:rsidR="00147C8B" w:rsidRPr="00056843" w:rsidRDefault="00147C8B" w:rsidP="00FD0C29">
                            <w:pPr>
                              <w:jc w:val="center"/>
                              <w:rPr>
                                <w:color w:val="FFFFFF" w:themeColor="background1"/>
                                <w:lang w:val="hy-AM"/>
                              </w:rPr>
                            </w:pPr>
                            <w:r w:rsidRPr="00682390">
                              <w:rPr>
                                <w:b/>
                                <w:color w:val="44546A" w:themeColor="text2"/>
                                <w:sz w:val="70"/>
                                <w:szCs w:val="70"/>
                              </w:rPr>
                              <w:t>2025 ԹՎԱԿԱՆԻ</w:t>
                            </w:r>
                            <w:r w:rsidRPr="00056843">
                              <w:rPr>
                                <w:color w:val="FFFFFF" w:themeColor="background1"/>
                                <w:lang w:val="hy-AM"/>
                              </w:rPr>
                              <w:t>ԹՅԱՆ ԿԱՌԱՎԱՐՈՒԹՅԱՆ</w:t>
                            </w:r>
                          </w:p>
                          <w:p w14:paraId="07CD7914" w14:textId="77777777" w:rsidR="00147C8B" w:rsidRDefault="00147C8B"/>
                          <w:p w14:paraId="70AAB65A"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60227C7A" w14:textId="77777777" w:rsidR="00147C8B" w:rsidRPr="00A3353C" w:rsidRDefault="00147C8B" w:rsidP="00682390">
                            <w:pPr>
                              <w:jc w:val="right"/>
                              <w:rPr>
                                <w:sz w:val="74"/>
                                <w:szCs w:val="74"/>
                              </w:rPr>
                            </w:pPr>
                          </w:p>
                          <w:p w14:paraId="260E2FCF" w14:textId="77777777" w:rsidR="00147C8B" w:rsidRDefault="00147C8B" w:rsidP="00682390">
                            <w:pPr>
                              <w:jc w:val="right"/>
                            </w:pPr>
                          </w:p>
                          <w:p w14:paraId="094CE9BA" w14:textId="77777777" w:rsidR="00147C8B" w:rsidRPr="00056843" w:rsidRDefault="00147C8B" w:rsidP="00FD0C29">
                            <w:pPr>
                              <w:jc w:val="center"/>
                              <w:rPr>
                                <w:color w:val="FFFFFF" w:themeColor="background1"/>
                                <w:lang w:val="hy-AM"/>
                              </w:rPr>
                            </w:pPr>
                            <w:r w:rsidRPr="00682390">
                              <w:rPr>
                                <w:b/>
                                <w:color w:val="44546A" w:themeColor="text2"/>
                                <w:sz w:val="40"/>
                                <w:szCs w:val="40"/>
                              </w:rPr>
                              <w:t>ԲՅՈՒՋԵՏԱՅԻՆ ՈՒՂԵՐՁ</w:t>
                            </w:r>
                            <w:r w:rsidRPr="00682390">
                              <w:rPr>
                                <w:b/>
                                <w:color w:val="44546A" w:themeColor="text2"/>
                                <w:sz w:val="70"/>
                                <w:szCs w:val="70"/>
                              </w:rPr>
                              <w:t>2025 ԹՎԱԿԱՆԻ</w:t>
                            </w:r>
                            <w:r w:rsidRPr="00056843">
                              <w:rPr>
                                <w:color w:val="FFFFFF" w:themeColor="background1"/>
                                <w:lang w:val="hy-AM"/>
                              </w:rPr>
                              <w:t>ԹՅԱՆ ԿԱՌԱՎԱՐՈՒԹՅԱՆ</w:t>
                            </w:r>
                          </w:p>
                          <w:p w14:paraId="66AF29A8" w14:textId="77777777" w:rsidR="00147C8B" w:rsidRDefault="00147C8B"/>
                          <w:p w14:paraId="68DE0EDC" w14:textId="77777777" w:rsidR="00147C8B" w:rsidRPr="00056843" w:rsidRDefault="00147C8B" w:rsidP="00FD0C29">
                            <w:pPr>
                              <w:jc w:val="center"/>
                              <w:rPr>
                                <w:color w:val="FFFFFF" w:themeColor="background1"/>
                                <w:lang w:val="hy-AM"/>
                              </w:rPr>
                            </w:pPr>
                            <w:r w:rsidRPr="00682390">
                              <w:rPr>
                                <w:b/>
                                <w:color w:val="44546A" w:themeColor="text2"/>
                                <w:sz w:val="70"/>
                                <w:szCs w:val="70"/>
                              </w:rPr>
                              <w:t>2025 ԹՎԱԿԱՆԻ</w:t>
                            </w:r>
                            <w:r w:rsidRPr="00056843">
                              <w:rPr>
                                <w:color w:val="FFFFFF" w:themeColor="background1"/>
                                <w:lang w:val="hy-AM"/>
                              </w:rPr>
                              <w:t>ԹՅԱՆ ԿԱՌԱՎԱՐՈՒԹՅԱՆ</w:t>
                            </w:r>
                          </w:p>
                          <w:p w14:paraId="29ECFF4A" w14:textId="77777777" w:rsidR="00147C8B" w:rsidRDefault="00147C8B"/>
                          <w:p w14:paraId="040A8CE8" w14:textId="77777777" w:rsidR="00147C8B" w:rsidRPr="00056843" w:rsidRDefault="00147C8B" w:rsidP="00FD0C29">
                            <w:pPr>
                              <w:jc w:val="center"/>
                              <w:rPr>
                                <w:color w:val="FFFFFF" w:themeColor="background1"/>
                                <w:lang w:val="hy-AM"/>
                              </w:rPr>
                            </w:pPr>
                            <w:r w:rsidRPr="00682390">
                              <w:rPr>
                                <w:b/>
                                <w:color w:val="44546A" w:themeColor="text2"/>
                                <w:sz w:val="70"/>
                                <w:szCs w:val="70"/>
                              </w:rPr>
                              <w:t>2025 ԹՎԱԿԱՆԻ</w:t>
                            </w:r>
                            <w:r w:rsidRPr="00056843">
                              <w:rPr>
                                <w:color w:val="FFFFFF" w:themeColor="background1"/>
                                <w:lang w:val="hy-AM"/>
                              </w:rPr>
                              <w:t>ԹՅԱՆ ԿԱՌԱՎԱՐՈՒԹՅԱՆ</w:t>
                            </w:r>
                          </w:p>
                          <w:p w14:paraId="23CC5DA6" w14:textId="77777777" w:rsidR="00147C8B" w:rsidRDefault="00147C8B"/>
                          <w:p w14:paraId="72317A13" w14:textId="77777777" w:rsidR="00147C8B" w:rsidRPr="00056843" w:rsidRDefault="00147C8B" w:rsidP="00FD0C29">
                            <w:pPr>
                              <w:jc w:val="center"/>
                              <w:rPr>
                                <w:color w:val="FFFFFF" w:themeColor="background1"/>
                                <w:lang w:val="hy-AM"/>
                              </w:rPr>
                            </w:pPr>
                            <w:r w:rsidRPr="00682390">
                              <w:rPr>
                                <w:b/>
                                <w:color w:val="44546A" w:themeColor="text2"/>
                                <w:sz w:val="70"/>
                                <w:szCs w:val="70"/>
                              </w:rPr>
                              <w:t>2025 ԹՎԱԿԱՆԻ</w:t>
                            </w:r>
                            <w:r w:rsidRPr="00056843">
                              <w:rPr>
                                <w:color w:val="FFFFFF" w:themeColor="background1"/>
                                <w:lang w:val="hy-AM"/>
                              </w:rPr>
                              <w:t>ԹՅԱՆ ԿԱՌԱՎԱՐՈՒԹՅԱՆ</w:t>
                            </w:r>
                          </w:p>
                          <w:p w14:paraId="6F2523C2" w14:textId="77777777" w:rsidR="00147C8B" w:rsidRDefault="00147C8B"/>
                          <w:p w14:paraId="7ED9C93A"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ՈՒՂԵՐՁ</w:t>
                            </w:r>
                            <w:r w:rsidRPr="00812F22">
                              <w:rPr>
                                <w:b/>
                                <w:color w:val="44546A" w:themeColor="text2"/>
                                <w:sz w:val="36"/>
                                <w:szCs w:val="36"/>
                                <w:lang w:val="hy-AM"/>
                              </w:rPr>
                              <w:t>-ԲԱՑԱՏՐԱԳԻՐ</w:t>
                            </w:r>
                          </w:p>
                          <w:p w14:paraId="0409AABD" w14:textId="77777777" w:rsidR="00147C8B" w:rsidRDefault="00147C8B"/>
                          <w:p w14:paraId="01E7C119" w14:textId="77777777" w:rsidR="00147C8B" w:rsidRDefault="00147C8B"/>
                          <w:p w14:paraId="32E7848B"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76D4A5A2" w14:textId="77777777" w:rsidR="00147C8B" w:rsidRPr="00A3353C" w:rsidRDefault="00147C8B" w:rsidP="00682390">
                            <w:pPr>
                              <w:jc w:val="right"/>
                              <w:rPr>
                                <w:sz w:val="74"/>
                                <w:szCs w:val="74"/>
                              </w:rPr>
                            </w:pPr>
                          </w:p>
                          <w:p w14:paraId="56E3203A" w14:textId="77777777" w:rsidR="00147C8B" w:rsidRDefault="00147C8B" w:rsidP="00682390">
                            <w:pPr>
                              <w:jc w:val="right"/>
                            </w:pPr>
                          </w:p>
                          <w:p w14:paraId="62582BF5"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 xml:space="preserve">2025 ԹՎԱԿԱՆԻ </w:t>
                            </w:r>
                          </w:p>
                          <w:p w14:paraId="6B9B3C81" w14:textId="77777777" w:rsidR="00147C8B" w:rsidRPr="00A3353C" w:rsidRDefault="00147C8B" w:rsidP="00682390">
                            <w:pPr>
                              <w:jc w:val="right"/>
                              <w:rPr>
                                <w:sz w:val="74"/>
                                <w:szCs w:val="74"/>
                              </w:rPr>
                            </w:pPr>
                          </w:p>
                          <w:p w14:paraId="3D6D0D49" w14:textId="77777777" w:rsidR="00147C8B" w:rsidRDefault="00147C8B"/>
                          <w:p w14:paraId="1BA37D11"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ՈՒՂԵՐՁ</w:t>
                            </w:r>
                            <w:r w:rsidRPr="00812F22">
                              <w:rPr>
                                <w:b/>
                                <w:color w:val="44546A" w:themeColor="text2"/>
                                <w:sz w:val="36"/>
                                <w:szCs w:val="36"/>
                                <w:lang w:val="hy-AM"/>
                              </w:rPr>
                              <w:t>-ԲԱՑԱՏՐԱԳԻՐ</w:t>
                            </w: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6A01BCF4" w14:textId="77777777" w:rsidR="00147C8B" w:rsidRPr="00A3353C" w:rsidRDefault="00147C8B" w:rsidP="00682390">
                            <w:pPr>
                              <w:jc w:val="right"/>
                              <w:rPr>
                                <w:sz w:val="74"/>
                                <w:szCs w:val="74"/>
                              </w:rPr>
                            </w:pPr>
                          </w:p>
                          <w:p w14:paraId="5FBADD4A" w14:textId="77777777" w:rsidR="00147C8B" w:rsidRDefault="00147C8B" w:rsidP="00682390">
                            <w:pPr>
                              <w:jc w:val="right"/>
                            </w:pPr>
                          </w:p>
                          <w:p w14:paraId="1EC85B5E" w14:textId="77777777" w:rsidR="00147C8B" w:rsidRPr="00812F22" w:rsidRDefault="00147C8B" w:rsidP="00682390">
                            <w:pPr>
                              <w:pStyle w:val="BodyText1"/>
                              <w:jc w:val="right"/>
                              <w:rPr>
                                <w:b/>
                                <w:color w:val="44546A" w:themeColor="text2"/>
                                <w:sz w:val="36"/>
                                <w:szCs w:val="36"/>
                              </w:rPr>
                            </w:pPr>
                            <w:r w:rsidRPr="00682390">
                              <w:rPr>
                                <w:b/>
                                <w:color w:val="44546A" w:themeColor="text2"/>
                                <w:sz w:val="40"/>
                                <w:szCs w:val="40"/>
                              </w:rPr>
                              <w:t>ԲՅՈՒՋԵՏԱՅԻՆ ՈՒՂԵՐՁ</w:t>
                            </w:r>
                            <w:r w:rsidRPr="00682390">
                              <w:rPr>
                                <w:b/>
                                <w:color w:val="44546A" w:themeColor="text2"/>
                                <w:sz w:val="70"/>
                                <w:szCs w:val="70"/>
                              </w:rPr>
                              <w:t>2025 ԹՎԱԿԱՆԻ</w:t>
                            </w:r>
                            <w:r w:rsidRPr="00812F22">
                              <w:rPr>
                                <w:b/>
                                <w:color w:val="44546A" w:themeColor="text2"/>
                                <w:sz w:val="36"/>
                                <w:szCs w:val="36"/>
                              </w:rPr>
                              <w:t>ՈՒՂԵՐՁ</w:t>
                            </w:r>
                            <w:r w:rsidRPr="00812F22">
                              <w:rPr>
                                <w:b/>
                                <w:color w:val="44546A" w:themeColor="text2"/>
                                <w:sz w:val="36"/>
                                <w:szCs w:val="36"/>
                                <w:lang w:val="hy-AM"/>
                              </w:rPr>
                              <w:t>-ԲԱՑԱՏՐԱԳԻՐ</w:t>
                            </w:r>
                          </w:p>
                          <w:p w14:paraId="0765E5D1" w14:textId="77777777" w:rsidR="00147C8B" w:rsidRDefault="00147C8B"/>
                          <w:p w14:paraId="6B2E2D08" w14:textId="77777777" w:rsidR="00147C8B" w:rsidRDefault="00147C8B"/>
                          <w:p w14:paraId="65828F41" w14:textId="77777777" w:rsidR="00147C8B" w:rsidRPr="00812F22" w:rsidRDefault="00147C8B" w:rsidP="00682390">
                            <w:pPr>
                              <w:pStyle w:val="BodyText1"/>
                              <w:jc w:val="right"/>
                              <w:rPr>
                                <w:b/>
                                <w:color w:val="44546A" w:themeColor="text2"/>
                                <w:sz w:val="36"/>
                                <w:szCs w:val="36"/>
                              </w:rPr>
                            </w:pPr>
                            <w:r>
                              <w:rPr>
                                <w:b/>
                                <w:color w:val="44546A" w:themeColor="text2"/>
                                <w:sz w:val="36"/>
                                <w:szCs w:val="36"/>
                              </w:rPr>
                              <w:t>2026</w:t>
                            </w:r>
                            <w:r w:rsidRPr="00812F22">
                              <w:rPr>
                                <w:b/>
                                <w:color w:val="44546A" w:themeColor="text2"/>
                                <w:sz w:val="36"/>
                                <w:szCs w:val="36"/>
                              </w:rPr>
                              <w:t xml:space="preserve">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5CBE9A7C" w14:textId="77777777" w:rsidR="00147C8B" w:rsidRPr="00A3353C" w:rsidRDefault="00147C8B" w:rsidP="00682390">
                            <w:pPr>
                              <w:jc w:val="right"/>
                              <w:rPr>
                                <w:sz w:val="74"/>
                                <w:szCs w:val="74"/>
                              </w:rPr>
                            </w:pPr>
                          </w:p>
                          <w:p w14:paraId="17397A24" w14:textId="77777777" w:rsidR="00147C8B" w:rsidRDefault="00147C8B" w:rsidP="00682390">
                            <w:pPr>
                              <w:jc w:val="right"/>
                            </w:pPr>
                          </w:p>
                          <w:p w14:paraId="130F6A8F"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 xml:space="preserve">2025 ԹՎԱԿԱՆԻ </w:t>
                            </w:r>
                          </w:p>
                          <w:p w14:paraId="51779B42" w14:textId="77777777" w:rsidR="00147C8B" w:rsidRPr="00A3353C" w:rsidRDefault="00147C8B" w:rsidP="00682390">
                            <w:pPr>
                              <w:jc w:val="right"/>
                              <w:rPr>
                                <w:sz w:val="74"/>
                                <w:szCs w:val="74"/>
                              </w:rPr>
                            </w:pPr>
                          </w:p>
                          <w:p w14:paraId="748C0C5D" w14:textId="77777777" w:rsidR="00147C8B" w:rsidRDefault="00147C8B"/>
                          <w:p w14:paraId="3BC34060"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ՈՒՂԵՐՁ</w:t>
                            </w:r>
                            <w:r w:rsidRPr="00812F22">
                              <w:rPr>
                                <w:b/>
                                <w:color w:val="44546A" w:themeColor="text2"/>
                                <w:sz w:val="36"/>
                                <w:szCs w:val="36"/>
                                <w:lang w:val="hy-AM"/>
                              </w:rPr>
                              <w:t>-ԲԱՑԱՏՐԱԳԻՐ</w:t>
                            </w: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4C896EA1" w14:textId="77777777" w:rsidR="00147C8B" w:rsidRPr="00A3353C" w:rsidRDefault="00147C8B" w:rsidP="00682390">
                            <w:pPr>
                              <w:jc w:val="right"/>
                              <w:rPr>
                                <w:sz w:val="74"/>
                                <w:szCs w:val="74"/>
                              </w:rPr>
                            </w:pPr>
                          </w:p>
                          <w:p w14:paraId="4F65E277" w14:textId="77777777" w:rsidR="00147C8B" w:rsidRDefault="00147C8B" w:rsidP="00682390">
                            <w:pPr>
                              <w:jc w:val="right"/>
                            </w:pPr>
                          </w:p>
                          <w:p w14:paraId="12ADD01E"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 xml:space="preserve">2025 ԹՎԱԿԱՆԻ </w:t>
                            </w:r>
                          </w:p>
                          <w:p w14:paraId="3115BD0E" w14:textId="77777777" w:rsidR="00147C8B" w:rsidRPr="00A3353C" w:rsidRDefault="00147C8B" w:rsidP="00682390">
                            <w:pPr>
                              <w:jc w:val="right"/>
                              <w:rPr>
                                <w:sz w:val="74"/>
                                <w:szCs w:val="74"/>
                              </w:rPr>
                            </w:pPr>
                          </w:p>
                          <w:p w14:paraId="2A0297BB" w14:textId="77777777" w:rsidR="00147C8B" w:rsidRDefault="00147C8B"/>
                          <w:p w14:paraId="4083AC03"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166AC915" w14:textId="77777777" w:rsidR="00147C8B" w:rsidRPr="00A3353C" w:rsidRDefault="00147C8B" w:rsidP="00682390">
                            <w:pPr>
                              <w:jc w:val="right"/>
                              <w:rPr>
                                <w:sz w:val="74"/>
                                <w:szCs w:val="74"/>
                              </w:rPr>
                            </w:pPr>
                          </w:p>
                          <w:p w14:paraId="19B0E3E0" w14:textId="77777777" w:rsidR="00147C8B" w:rsidRDefault="00147C8B" w:rsidP="00682390">
                            <w:pPr>
                              <w:jc w:val="right"/>
                            </w:pPr>
                          </w:p>
                          <w:p w14:paraId="3222D986"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 xml:space="preserve">2025 ԹՎԱԿԱՆԻ </w:t>
                            </w:r>
                          </w:p>
                          <w:p w14:paraId="7DFFB8A7" w14:textId="77777777" w:rsidR="00147C8B" w:rsidRPr="00A3353C" w:rsidRDefault="00147C8B" w:rsidP="00682390">
                            <w:pPr>
                              <w:jc w:val="right"/>
                              <w:rPr>
                                <w:sz w:val="74"/>
                                <w:szCs w:val="74"/>
                              </w:rPr>
                            </w:pPr>
                          </w:p>
                          <w:p w14:paraId="565BC9BD" w14:textId="77777777" w:rsidR="00147C8B" w:rsidRDefault="00147C8B"/>
                          <w:p w14:paraId="1A57473B"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ՈՒՂԵՐՁ</w:t>
                            </w:r>
                            <w:r w:rsidRPr="00812F22">
                              <w:rPr>
                                <w:b/>
                                <w:color w:val="44546A" w:themeColor="text2"/>
                                <w:sz w:val="36"/>
                                <w:szCs w:val="36"/>
                                <w:lang w:val="hy-AM"/>
                              </w:rPr>
                              <w:t>-ԲԱՑԱՏՐԱԳԻՐ</w:t>
                            </w: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215467AB" w14:textId="77777777" w:rsidR="00147C8B" w:rsidRPr="00A3353C" w:rsidRDefault="00147C8B" w:rsidP="00682390">
                            <w:pPr>
                              <w:jc w:val="right"/>
                              <w:rPr>
                                <w:sz w:val="74"/>
                                <w:szCs w:val="74"/>
                              </w:rPr>
                            </w:pPr>
                          </w:p>
                          <w:p w14:paraId="3E19DEAB" w14:textId="77777777" w:rsidR="00147C8B" w:rsidRDefault="00147C8B" w:rsidP="00682390">
                            <w:pPr>
                              <w:jc w:val="right"/>
                            </w:pPr>
                          </w:p>
                          <w:p w14:paraId="01800DE8" w14:textId="77777777" w:rsidR="00147C8B" w:rsidRPr="00812F22" w:rsidRDefault="00147C8B" w:rsidP="00682390">
                            <w:pPr>
                              <w:pStyle w:val="BodyText1"/>
                              <w:jc w:val="right"/>
                              <w:rPr>
                                <w:b/>
                                <w:color w:val="44546A" w:themeColor="text2"/>
                                <w:sz w:val="36"/>
                                <w:szCs w:val="36"/>
                              </w:rPr>
                            </w:pPr>
                            <w:r w:rsidRPr="00682390">
                              <w:rPr>
                                <w:b/>
                                <w:color w:val="44546A" w:themeColor="text2"/>
                                <w:sz w:val="40"/>
                                <w:szCs w:val="40"/>
                              </w:rPr>
                              <w:t>ԲՅՈՒՋԵՏԱՅԻՆ ՈՒՂԵՐՁ</w:t>
                            </w:r>
                            <w:r w:rsidRPr="00682390">
                              <w:rPr>
                                <w:b/>
                                <w:color w:val="44546A" w:themeColor="text2"/>
                                <w:sz w:val="70"/>
                                <w:szCs w:val="70"/>
                              </w:rPr>
                              <w:t>2025 ԹՎԱԿԱՆԻ</w:t>
                            </w:r>
                            <w:r w:rsidRPr="00812F22">
                              <w:rPr>
                                <w:b/>
                                <w:color w:val="44546A" w:themeColor="text2"/>
                                <w:sz w:val="36"/>
                                <w:szCs w:val="36"/>
                              </w:rPr>
                              <w:t>ՈՒՂԵՐՁ</w:t>
                            </w:r>
                            <w:r w:rsidRPr="00812F22">
                              <w:rPr>
                                <w:b/>
                                <w:color w:val="44546A" w:themeColor="text2"/>
                                <w:sz w:val="36"/>
                                <w:szCs w:val="36"/>
                                <w:lang w:val="hy-AM"/>
                              </w:rPr>
                              <w:t>-ԲԱՑԱՏՐԱԳԻՐ</w:t>
                            </w:r>
                          </w:p>
                          <w:p w14:paraId="28A23135" w14:textId="77777777" w:rsidR="00147C8B" w:rsidRDefault="00147C8B"/>
                          <w:p w14:paraId="7146935F" w14:textId="77777777" w:rsidR="00147C8B" w:rsidRDefault="00147C8B"/>
                          <w:p w14:paraId="3B90960A"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34D8DCDE" w14:textId="77777777" w:rsidR="00147C8B" w:rsidRPr="00A3353C" w:rsidRDefault="00147C8B" w:rsidP="00682390">
                            <w:pPr>
                              <w:jc w:val="right"/>
                              <w:rPr>
                                <w:sz w:val="74"/>
                                <w:szCs w:val="74"/>
                              </w:rPr>
                            </w:pPr>
                          </w:p>
                          <w:p w14:paraId="7E9E0550" w14:textId="77777777" w:rsidR="00147C8B" w:rsidRDefault="00147C8B" w:rsidP="00682390">
                            <w:pPr>
                              <w:jc w:val="right"/>
                            </w:pPr>
                          </w:p>
                          <w:p w14:paraId="0F3ED802"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 xml:space="preserve">2025 ԹՎԱԿԱՆԻ </w:t>
                            </w:r>
                          </w:p>
                          <w:p w14:paraId="78F187A2" w14:textId="77777777" w:rsidR="00147C8B" w:rsidRPr="00A3353C" w:rsidRDefault="00147C8B" w:rsidP="00682390">
                            <w:pPr>
                              <w:jc w:val="right"/>
                              <w:rPr>
                                <w:sz w:val="74"/>
                                <w:szCs w:val="74"/>
                              </w:rPr>
                            </w:pPr>
                          </w:p>
                          <w:p w14:paraId="64ED59EB" w14:textId="77777777" w:rsidR="00147C8B" w:rsidRDefault="00147C8B"/>
                          <w:p w14:paraId="009F872F"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ՈՒՂԵՐՁ</w:t>
                            </w:r>
                            <w:r w:rsidRPr="00812F22">
                              <w:rPr>
                                <w:b/>
                                <w:color w:val="44546A" w:themeColor="text2"/>
                                <w:sz w:val="36"/>
                                <w:szCs w:val="36"/>
                                <w:lang w:val="hy-AM"/>
                              </w:rPr>
                              <w:t>-ԲԱՑԱՏՐԱԳԻՐ</w:t>
                            </w: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0311BE64" w14:textId="77777777" w:rsidR="00147C8B" w:rsidRPr="00A3353C" w:rsidRDefault="00147C8B" w:rsidP="00682390">
                            <w:pPr>
                              <w:jc w:val="right"/>
                              <w:rPr>
                                <w:sz w:val="74"/>
                                <w:szCs w:val="74"/>
                              </w:rPr>
                            </w:pPr>
                          </w:p>
                          <w:p w14:paraId="5AC1AB2A" w14:textId="77777777" w:rsidR="00147C8B" w:rsidRDefault="00147C8B" w:rsidP="00682390">
                            <w:pPr>
                              <w:jc w:val="right"/>
                            </w:pPr>
                          </w:p>
                          <w:p w14:paraId="52D04F5F" w14:textId="77777777" w:rsidR="00147C8B" w:rsidRPr="00812F22" w:rsidRDefault="00147C8B" w:rsidP="00682390">
                            <w:pPr>
                              <w:pStyle w:val="BodyText1"/>
                              <w:jc w:val="right"/>
                              <w:rPr>
                                <w:b/>
                                <w:color w:val="44546A" w:themeColor="text2"/>
                                <w:sz w:val="36"/>
                                <w:szCs w:val="36"/>
                              </w:rPr>
                            </w:pPr>
                            <w:r w:rsidRPr="00682390">
                              <w:rPr>
                                <w:b/>
                                <w:color w:val="44546A" w:themeColor="text2"/>
                                <w:sz w:val="40"/>
                                <w:szCs w:val="40"/>
                              </w:rPr>
                              <w:t>ԲՅՈՒՋԵՏԱՅԻՆ ՈՒՂԵՐՁ</w:t>
                            </w:r>
                            <w:r w:rsidRPr="00682390">
                              <w:rPr>
                                <w:b/>
                                <w:color w:val="44546A" w:themeColor="text2"/>
                                <w:sz w:val="70"/>
                                <w:szCs w:val="70"/>
                              </w:rPr>
                              <w:t>2025 ԹՎԱԿԱՆԻ</w:t>
                            </w:r>
                            <w:r w:rsidRPr="00812F22">
                              <w:rPr>
                                <w:b/>
                                <w:color w:val="44546A" w:themeColor="text2"/>
                                <w:sz w:val="36"/>
                                <w:szCs w:val="36"/>
                              </w:rPr>
                              <w:t>ՈՒՂԵՐՁ</w:t>
                            </w:r>
                            <w:r w:rsidRPr="00812F22">
                              <w:rPr>
                                <w:b/>
                                <w:color w:val="44546A" w:themeColor="text2"/>
                                <w:sz w:val="36"/>
                                <w:szCs w:val="36"/>
                                <w:lang w:val="hy-AM"/>
                              </w:rPr>
                              <w:t>-ԲԱՑԱՏՐԱԳԻՐ</w:t>
                            </w:r>
                          </w:p>
                          <w:p w14:paraId="1C81CA54" w14:textId="77777777" w:rsidR="00147C8B" w:rsidRDefault="00147C8B"/>
                          <w:p w14:paraId="3A3BB1B0" w14:textId="77777777" w:rsidR="00147C8B" w:rsidRDefault="00147C8B"/>
                          <w:p w14:paraId="1F1C771E" w14:textId="77777777" w:rsidR="00147C8B" w:rsidRPr="00812F22" w:rsidRDefault="00147C8B" w:rsidP="00682390">
                            <w:pPr>
                              <w:pStyle w:val="BodyText1"/>
                              <w:jc w:val="right"/>
                              <w:rPr>
                                <w:b/>
                                <w:color w:val="44546A" w:themeColor="text2"/>
                                <w:sz w:val="36"/>
                                <w:szCs w:val="36"/>
                              </w:rPr>
                            </w:pPr>
                            <w:r>
                              <w:rPr>
                                <w:b/>
                                <w:color w:val="44546A" w:themeColor="text2"/>
                                <w:sz w:val="36"/>
                                <w:szCs w:val="36"/>
                              </w:rPr>
                              <w:t>2026</w:t>
                            </w:r>
                            <w:r w:rsidRPr="00812F22">
                              <w:rPr>
                                <w:b/>
                                <w:color w:val="44546A" w:themeColor="text2"/>
                                <w:sz w:val="36"/>
                                <w:szCs w:val="36"/>
                              </w:rPr>
                              <w:t xml:space="preserve">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22128CFF" w14:textId="77777777" w:rsidR="00147C8B" w:rsidRPr="00A3353C" w:rsidRDefault="00147C8B" w:rsidP="00682390">
                            <w:pPr>
                              <w:jc w:val="right"/>
                              <w:rPr>
                                <w:sz w:val="74"/>
                                <w:szCs w:val="74"/>
                              </w:rPr>
                            </w:pPr>
                          </w:p>
                          <w:p w14:paraId="3CB7D6F9" w14:textId="77777777" w:rsidR="00147C8B" w:rsidRDefault="00147C8B" w:rsidP="00682390">
                            <w:pPr>
                              <w:jc w:val="right"/>
                            </w:pPr>
                          </w:p>
                          <w:p w14:paraId="73BEDB1B"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 xml:space="preserve">2025 ԹՎԱԿԱՆԻ </w:t>
                            </w:r>
                          </w:p>
                          <w:p w14:paraId="7BE8940A" w14:textId="77777777" w:rsidR="00147C8B" w:rsidRPr="00A3353C" w:rsidRDefault="00147C8B" w:rsidP="00682390">
                            <w:pPr>
                              <w:jc w:val="right"/>
                              <w:rPr>
                                <w:sz w:val="74"/>
                                <w:szCs w:val="74"/>
                              </w:rPr>
                            </w:pPr>
                          </w:p>
                          <w:p w14:paraId="24843FF1" w14:textId="77777777" w:rsidR="00147C8B" w:rsidRDefault="00147C8B"/>
                          <w:p w14:paraId="0095C138"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ՈՒՂԵՐՁ</w:t>
                            </w:r>
                            <w:r w:rsidRPr="00812F22">
                              <w:rPr>
                                <w:b/>
                                <w:color w:val="44546A" w:themeColor="text2"/>
                                <w:sz w:val="36"/>
                                <w:szCs w:val="36"/>
                                <w:lang w:val="hy-AM"/>
                              </w:rPr>
                              <w:t>-ԲԱՑԱՏՐԱԳԻՐ</w:t>
                            </w: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0C222B75" w14:textId="77777777" w:rsidR="00147C8B" w:rsidRPr="00A3353C" w:rsidRDefault="00147C8B" w:rsidP="00682390">
                            <w:pPr>
                              <w:jc w:val="right"/>
                              <w:rPr>
                                <w:sz w:val="74"/>
                                <w:szCs w:val="74"/>
                              </w:rPr>
                            </w:pPr>
                          </w:p>
                          <w:p w14:paraId="15E9DE21" w14:textId="77777777" w:rsidR="00147C8B" w:rsidRDefault="00147C8B" w:rsidP="00682390">
                            <w:pPr>
                              <w:jc w:val="right"/>
                            </w:pPr>
                          </w:p>
                          <w:p w14:paraId="47FB66ED"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 xml:space="preserve">2025 ԹՎԱԿԱՆԻ </w:t>
                            </w:r>
                          </w:p>
                          <w:p w14:paraId="12A86682" w14:textId="77777777" w:rsidR="00147C8B" w:rsidRPr="00A3353C" w:rsidRDefault="00147C8B" w:rsidP="00682390">
                            <w:pPr>
                              <w:jc w:val="right"/>
                              <w:rPr>
                                <w:sz w:val="74"/>
                                <w:szCs w:val="74"/>
                              </w:rPr>
                            </w:pPr>
                          </w:p>
                          <w:p w14:paraId="61714145" w14:textId="77777777" w:rsidR="00147C8B" w:rsidRDefault="00147C8B"/>
                          <w:p w14:paraId="50E1EF2C"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06A15589" w14:textId="77777777" w:rsidR="00147C8B" w:rsidRPr="00A3353C" w:rsidRDefault="00147C8B" w:rsidP="00682390">
                            <w:pPr>
                              <w:jc w:val="right"/>
                              <w:rPr>
                                <w:sz w:val="74"/>
                                <w:szCs w:val="74"/>
                              </w:rPr>
                            </w:pPr>
                          </w:p>
                          <w:p w14:paraId="765B277B" w14:textId="77777777" w:rsidR="00147C8B" w:rsidRDefault="00147C8B" w:rsidP="00682390">
                            <w:pPr>
                              <w:jc w:val="right"/>
                            </w:pPr>
                          </w:p>
                          <w:p w14:paraId="22069B29"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 xml:space="preserve">2025 ԹՎԱԿԱՆԻ </w:t>
                            </w:r>
                          </w:p>
                          <w:p w14:paraId="727B48EF" w14:textId="77777777" w:rsidR="00147C8B" w:rsidRPr="00A3353C" w:rsidRDefault="00147C8B" w:rsidP="00682390">
                            <w:pPr>
                              <w:jc w:val="right"/>
                              <w:rPr>
                                <w:sz w:val="74"/>
                                <w:szCs w:val="74"/>
                              </w:rPr>
                            </w:pPr>
                          </w:p>
                          <w:p w14:paraId="7EA9FF3E" w14:textId="77777777" w:rsidR="00147C8B" w:rsidRDefault="00147C8B"/>
                          <w:p w14:paraId="5AB1E8A1"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ՈՒՂԵՐՁ</w:t>
                            </w:r>
                            <w:r w:rsidRPr="00812F22">
                              <w:rPr>
                                <w:b/>
                                <w:color w:val="44546A" w:themeColor="text2"/>
                                <w:sz w:val="36"/>
                                <w:szCs w:val="36"/>
                                <w:lang w:val="hy-AM"/>
                              </w:rPr>
                              <w:t>-ԲԱՑԱՏՐԱԳԻՐ</w:t>
                            </w: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7636531C" w14:textId="77777777" w:rsidR="00147C8B" w:rsidRPr="00A3353C" w:rsidRDefault="00147C8B" w:rsidP="00682390">
                            <w:pPr>
                              <w:jc w:val="right"/>
                              <w:rPr>
                                <w:sz w:val="74"/>
                                <w:szCs w:val="74"/>
                              </w:rPr>
                            </w:pPr>
                          </w:p>
                          <w:p w14:paraId="1D1F4539" w14:textId="77777777" w:rsidR="00147C8B" w:rsidRDefault="00147C8B" w:rsidP="00682390">
                            <w:pPr>
                              <w:jc w:val="right"/>
                            </w:pPr>
                          </w:p>
                          <w:p w14:paraId="53AF4C7C"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 xml:space="preserve">2025 ԹՎԱԿԱՆԻ </w:t>
                            </w:r>
                          </w:p>
                          <w:p w14:paraId="07161468" w14:textId="77777777" w:rsidR="00147C8B" w:rsidRPr="00A3353C" w:rsidRDefault="00147C8B" w:rsidP="00682390">
                            <w:pPr>
                              <w:jc w:val="right"/>
                              <w:rPr>
                                <w:sz w:val="74"/>
                                <w:szCs w:val="74"/>
                              </w:rPr>
                            </w:pPr>
                          </w:p>
                          <w:p w14:paraId="751987B6" w14:textId="77777777" w:rsidR="00147C8B" w:rsidRDefault="00147C8B"/>
                          <w:p w14:paraId="6F783837" w14:textId="77777777" w:rsidR="00147C8B" w:rsidRPr="00812F22" w:rsidRDefault="00147C8B" w:rsidP="00682390">
                            <w:pPr>
                              <w:pStyle w:val="BodyText1"/>
                              <w:jc w:val="right"/>
                              <w:rPr>
                                <w:b/>
                                <w:color w:val="44546A" w:themeColor="text2"/>
                                <w:sz w:val="36"/>
                                <w:szCs w:val="36"/>
                              </w:rPr>
                            </w:pPr>
                            <w:r>
                              <w:rPr>
                                <w:b/>
                                <w:color w:val="44546A" w:themeColor="text2"/>
                                <w:sz w:val="36"/>
                                <w:szCs w:val="36"/>
                              </w:rPr>
                              <w:t>2026</w:t>
                            </w:r>
                            <w:r w:rsidRPr="00812F22">
                              <w:rPr>
                                <w:b/>
                                <w:color w:val="44546A" w:themeColor="text2"/>
                                <w:sz w:val="36"/>
                                <w:szCs w:val="36"/>
                              </w:rPr>
                              <w:t xml:space="preserve">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721193C8" w14:textId="77777777" w:rsidR="00147C8B" w:rsidRPr="00A3353C" w:rsidRDefault="00147C8B" w:rsidP="00682390">
                            <w:pPr>
                              <w:jc w:val="right"/>
                              <w:rPr>
                                <w:sz w:val="74"/>
                                <w:szCs w:val="74"/>
                              </w:rPr>
                            </w:pPr>
                          </w:p>
                          <w:p w14:paraId="275F5EF6" w14:textId="77777777" w:rsidR="00147C8B" w:rsidRDefault="00147C8B" w:rsidP="00682390">
                            <w:pPr>
                              <w:jc w:val="right"/>
                            </w:pPr>
                          </w:p>
                          <w:p w14:paraId="10CACE39"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 xml:space="preserve">2025 ԹՎԱԿԱՆԻ </w:t>
                            </w:r>
                          </w:p>
                          <w:p w14:paraId="4F5625CA" w14:textId="77777777" w:rsidR="00147C8B" w:rsidRPr="00A3353C" w:rsidRDefault="00147C8B" w:rsidP="00682390">
                            <w:pPr>
                              <w:jc w:val="right"/>
                              <w:rPr>
                                <w:sz w:val="74"/>
                                <w:szCs w:val="74"/>
                              </w:rPr>
                            </w:pPr>
                          </w:p>
                          <w:p w14:paraId="36F4A25B" w14:textId="77777777" w:rsidR="00147C8B" w:rsidRDefault="00147C8B"/>
                          <w:p w14:paraId="62054D15"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ՈՒՂԵՐՁ</w:t>
                            </w:r>
                            <w:r w:rsidRPr="00812F22">
                              <w:rPr>
                                <w:b/>
                                <w:color w:val="44546A" w:themeColor="text2"/>
                                <w:sz w:val="36"/>
                                <w:szCs w:val="36"/>
                                <w:lang w:val="hy-AM"/>
                              </w:rPr>
                              <w:t>-ԲԱՑԱՏՐԱԳԻՐ</w:t>
                            </w: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006AF82C" w14:textId="77777777" w:rsidR="00147C8B" w:rsidRPr="00A3353C" w:rsidRDefault="00147C8B" w:rsidP="00682390">
                            <w:pPr>
                              <w:jc w:val="right"/>
                              <w:rPr>
                                <w:sz w:val="74"/>
                                <w:szCs w:val="74"/>
                              </w:rPr>
                            </w:pPr>
                          </w:p>
                          <w:p w14:paraId="22BF65C9" w14:textId="77777777" w:rsidR="00147C8B" w:rsidRDefault="00147C8B" w:rsidP="00682390">
                            <w:pPr>
                              <w:jc w:val="right"/>
                            </w:pPr>
                          </w:p>
                          <w:p w14:paraId="23B09388"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 xml:space="preserve">2025 ԹՎԱԿԱՆԻ </w:t>
                            </w:r>
                          </w:p>
                          <w:p w14:paraId="4818A0A2" w14:textId="77777777" w:rsidR="00147C8B" w:rsidRPr="00A3353C" w:rsidRDefault="00147C8B" w:rsidP="00682390">
                            <w:pPr>
                              <w:jc w:val="right"/>
                              <w:rPr>
                                <w:sz w:val="74"/>
                                <w:szCs w:val="74"/>
                              </w:rPr>
                            </w:pPr>
                          </w:p>
                          <w:p w14:paraId="73D74F56" w14:textId="77777777" w:rsidR="00147C8B" w:rsidRDefault="00147C8B"/>
                          <w:p w14:paraId="260B8EBB"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246F5269" w14:textId="77777777" w:rsidR="00147C8B" w:rsidRPr="00A3353C" w:rsidRDefault="00147C8B" w:rsidP="00682390">
                            <w:pPr>
                              <w:jc w:val="right"/>
                              <w:rPr>
                                <w:sz w:val="74"/>
                                <w:szCs w:val="74"/>
                              </w:rPr>
                            </w:pPr>
                          </w:p>
                          <w:p w14:paraId="5DB93BA4" w14:textId="77777777" w:rsidR="00147C8B" w:rsidRDefault="00147C8B" w:rsidP="00682390">
                            <w:pPr>
                              <w:jc w:val="right"/>
                            </w:pPr>
                          </w:p>
                          <w:p w14:paraId="2631F6F2"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 xml:space="preserve">2025 ԹՎԱԿԱՆԻ </w:t>
                            </w:r>
                          </w:p>
                          <w:p w14:paraId="65DB58C2" w14:textId="77777777" w:rsidR="00147C8B" w:rsidRPr="00A3353C" w:rsidRDefault="00147C8B" w:rsidP="00682390">
                            <w:pPr>
                              <w:jc w:val="right"/>
                              <w:rPr>
                                <w:sz w:val="74"/>
                                <w:szCs w:val="74"/>
                              </w:rPr>
                            </w:pPr>
                          </w:p>
                          <w:p w14:paraId="2AE9092F" w14:textId="77777777" w:rsidR="00147C8B" w:rsidRDefault="00147C8B"/>
                          <w:p w14:paraId="49120978"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ՈՒՂԵՐՁ</w:t>
                            </w:r>
                            <w:r w:rsidRPr="00812F22">
                              <w:rPr>
                                <w:b/>
                                <w:color w:val="44546A" w:themeColor="text2"/>
                                <w:sz w:val="36"/>
                                <w:szCs w:val="36"/>
                                <w:lang w:val="hy-AM"/>
                              </w:rPr>
                              <w:t>-ԲԱՑԱՏՐԱԳԻՐ</w:t>
                            </w: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54021FAD" w14:textId="77777777" w:rsidR="00147C8B" w:rsidRPr="00A3353C" w:rsidRDefault="00147C8B" w:rsidP="00682390">
                            <w:pPr>
                              <w:jc w:val="right"/>
                              <w:rPr>
                                <w:sz w:val="74"/>
                                <w:szCs w:val="74"/>
                              </w:rPr>
                            </w:pPr>
                          </w:p>
                          <w:p w14:paraId="70861CF1" w14:textId="77777777" w:rsidR="00147C8B" w:rsidRDefault="00147C8B" w:rsidP="00682390">
                            <w:pPr>
                              <w:jc w:val="right"/>
                            </w:pPr>
                          </w:p>
                          <w:p w14:paraId="6411355F" w14:textId="77777777" w:rsidR="00147C8B" w:rsidRPr="00812F22" w:rsidRDefault="00147C8B" w:rsidP="00682390">
                            <w:pPr>
                              <w:pStyle w:val="BodyText1"/>
                              <w:jc w:val="right"/>
                              <w:rPr>
                                <w:b/>
                                <w:color w:val="44546A" w:themeColor="text2"/>
                                <w:sz w:val="36"/>
                                <w:szCs w:val="36"/>
                              </w:rPr>
                            </w:pPr>
                            <w:r w:rsidRPr="00682390">
                              <w:rPr>
                                <w:b/>
                                <w:color w:val="44546A" w:themeColor="text2"/>
                                <w:sz w:val="40"/>
                                <w:szCs w:val="40"/>
                              </w:rPr>
                              <w:t>ԲՅՈՒՋԵՏԱՅԻՆ ՈՒՂԵՐՁ</w:t>
                            </w:r>
                            <w:r w:rsidRPr="00682390">
                              <w:rPr>
                                <w:b/>
                                <w:color w:val="44546A" w:themeColor="text2"/>
                                <w:sz w:val="70"/>
                                <w:szCs w:val="70"/>
                              </w:rPr>
                              <w:t>2025 ԹՎԱԿԱՆԻ</w:t>
                            </w:r>
                            <w:r w:rsidRPr="00812F22">
                              <w:rPr>
                                <w:b/>
                                <w:color w:val="44546A" w:themeColor="text2"/>
                                <w:sz w:val="36"/>
                                <w:szCs w:val="36"/>
                              </w:rPr>
                              <w:t>ՈՒՂԵՐՁ</w:t>
                            </w:r>
                            <w:r w:rsidRPr="00812F22">
                              <w:rPr>
                                <w:b/>
                                <w:color w:val="44546A" w:themeColor="text2"/>
                                <w:sz w:val="36"/>
                                <w:szCs w:val="36"/>
                                <w:lang w:val="hy-AM"/>
                              </w:rPr>
                              <w:t>-ԲԱՑԱՏՐԱԳԻՐ</w:t>
                            </w:r>
                          </w:p>
                          <w:p w14:paraId="0339660A" w14:textId="77777777" w:rsidR="00147C8B" w:rsidRDefault="00147C8B"/>
                          <w:p w14:paraId="4C0C5005" w14:textId="77777777" w:rsidR="00147C8B" w:rsidRDefault="00147C8B"/>
                          <w:p w14:paraId="0F66A71D"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7025BF1A" w14:textId="77777777" w:rsidR="00147C8B" w:rsidRPr="00A3353C" w:rsidRDefault="00147C8B" w:rsidP="00682390">
                            <w:pPr>
                              <w:jc w:val="right"/>
                              <w:rPr>
                                <w:sz w:val="74"/>
                                <w:szCs w:val="74"/>
                              </w:rPr>
                            </w:pPr>
                          </w:p>
                          <w:p w14:paraId="732131CB" w14:textId="77777777" w:rsidR="00147C8B" w:rsidRDefault="00147C8B" w:rsidP="00682390">
                            <w:pPr>
                              <w:jc w:val="right"/>
                            </w:pPr>
                          </w:p>
                          <w:p w14:paraId="5B802192"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 xml:space="preserve">2025 ԹՎԱԿԱՆԻ </w:t>
                            </w:r>
                          </w:p>
                          <w:p w14:paraId="5D94BC5F" w14:textId="77777777" w:rsidR="00147C8B" w:rsidRPr="00A3353C" w:rsidRDefault="00147C8B" w:rsidP="00682390">
                            <w:pPr>
                              <w:jc w:val="right"/>
                              <w:rPr>
                                <w:sz w:val="74"/>
                                <w:szCs w:val="74"/>
                              </w:rPr>
                            </w:pPr>
                          </w:p>
                          <w:p w14:paraId="2E0B7CA7" w14:textId="77777777" w:rsidR="00147C8B" w:rsidRDefault="00147C8B"/>
                          <w:p w14:paraId="09B9DAFA"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ՈՒՂԵՐՁ</w:t>
                            </w:r>
                            <w:r w:rsidRPr="00812F22">
                              <w:rPr>
                                <w:b/>
                                <w:color w:val="44546A" w:themeColor="text2"/>
                                <w:sz w:val="36"/>
                                <w:szCs w:val="36"/>
                                <w:lang w:val="hy-AM"/>
                              </w:rPr>
                              <w:t>-ԲԱՑԱՏՐԱԳԻՐ</w:t>
                            </w: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3A126729" w14:textId="77777777" w:rsidR="00147C8B" w:rsidRPr="00A3353C" w:rsidRDefault="00147C8B" w:rsidP="00682390">
                            <w:pPr>
                              <w:jc w:val="right"/>
                              <w:rPr>
                                <w:sz w:val="74"/>
                                <w:szCs w:val="74"/>
                              </w:rPr>
                            </w:pPr>
                          </w:p>
                          <w:p w14:paraId="6F0C6E87" w14:textId="77777777" w:rsidR="00147C8B" w:rsidRDefault="00147C8B" w:rsidP="00682390">
                            <w:pPr>
                              <w:jc w:val="right"/>
                            </w:pPr>
                          </w:p>
                          <w:p w14:paraId="4AF91AB1" w14:textId="77777777" w:rsidR="00147C8B" w:rsidRPr="00812F22" w:rsidRDefault="00147C8B" w:rsidP="00682390">
                            <w:pPr>
                              <w:pStyle w:val="BodyText1"/>
                              <w:jc w:val="right"/>
                              <w:rPr>
                                <w:b/>
                                <w:color w:val="44546A" w:themeColor="text2"/>
                                <w:sz w:val="36"/>
                                <w:szCs w:val="36"/>
                              </w:rPr>
                            </w:pPr>
                            <w:r w:rsidRPr="00682390">
                              <w:rPr>
                                <w:b/>
                                <w:color w:val="44546A" w:themeColor="text2"/>
                                <w:sz w:val="40"/>
                                <w:szCs w:val="40"/>
                              </w:rPr>
                              <w:t>ԲՅՈՒՋԵՏԱՅԻՆ ՈՒՂԵՐՁ</w:t>
                            </w:r>
                            <w:r w:rsidRPr="00682390">
                              <w:rPr>
                                <w:b/>
                                <w:color w:val="44546A" w:themeColor="text2"/>
                                <w:sz w:val="70"/>
                                <w:szCs w:val="70"/>
                              </w:rPr>
                              <w:t>2025 ԹՎԱԿԱՆԻ</w:t>
                            </w:r>
                            <w:r w:rsidRPr="00812F22">
                              <w:rPr>
                                <w:b/>
                                <w:color w:val="44546A" w:themeColor="text2"/>
                                <w:sz w:val="36"/>
                                <w:szCs w:val="36"/>
                              </w:rPr>
                              <w:t>ՈՒՂԵՐՁ</w:t>
                            </w:r>
                            <w:r w:rsidRPr="00812F22">
                              <w:rPr>
                                <w:b/>
                                <w:color w:val="44546A" w:themeColor="text2"/>
                                <w:sz w:val="36"/>
                                <w:szCs w:val="36"/>
                                <w:lang w:val="hy-AM"/>
                              </w:rPr>
                              <w:t>-ԲԱՑԱՏՐԱԳԻՐ</w:t>
                            </w:r>
                          </w:p>
                          <w:p w14:paraId="5181D6A2" w14:textId="77777777" w:rsidR="00147C8B" w:rsidRDefault="00147C8B"/>
                          <w:p w14:paraId="7D13F8FD" w14:textId="77777777" w:rsidR="00147C8B" w:rsidRDefault="00147C8B"/>
                          <w:p w14:paraId="0243F095" w14:textId="77777777" w:rsidR="00147C8B" w:rsidRPr="00812F22" w:rsidRDefault="00147C8B" w:rsidP="00682390">
                            <w:pPr>
                              <w:pStyle w:val="BodyText1"/>
                              <w:jc w:val="right"/>
                              <w:rPr>
                                <w:b/>
                                <w:color w:val="44546A" w:themeColor="text2"/>
                                <w:sz w:val="36"/>
                                <w:szCs w:val="36"/>
                              </w:rPr>
                            </w:pPr>
                            <w:r>
                              <w:rPr>
                                <w:b/>
                                <w:color w:val="44546A" w:themeColor="text2"/>
                                <w:sz w:val="36"/>
                                <w:szCs w:val="36"/>
                              </w:rPr>
                              <w:t>2026</w:t>
                            </w:r>
                            <w:r w:rsidRPr="00812F22">
                              <w:rPr>
                                <w:b/>
                                <w:color w:val="44546A" w:themeColor="text2"/>
                                <w:sz w:val="36"/>
                                <w:szCs w:val="36"/>
                              </w:rPr>
                              <w:t xml:space="preserve">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0371428C" w14:textId="77777777" w:rsidR="00147C8B" w:rsidRPr="00A3353C" w:rsidRDefault="00147C8B" w:rsidP="00682390">
                            <w:pPr>
                              <w:jc w:val="right"/>
                              <w:rPr>
                                <w:sz w:val="74"/>
                                <w:szCs w:val="74"/>
                              </w:rPr>
                            </w:pPr>
                          </w:p>
                          <w:p w14:paraId="2B12B41A" w14:textId="77777777" w:rsidR="00147C8B" w:rsidRDefault="00147C8B" w:rsidP="00682390">
                            <w:pPr>
                              <w:jc w:val="right"/>
                            </w:pPr>
                          </w:p>
                          <w:p w14:paraId="07941F9B"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 xml:space="preserve">2025 ԹՎԱԿԱՆԻ </w:t>
                            </w:r>
                          </w:p>
                          <w:p w14:paraId="588D438D" w14:textId="77777777" w:rsidR="00147C8B" w:rsidRPr="00A3353C" w:rsidRDefault="00147C8B" w:rsidP="00682390">
                            <w:pPr>
                              <w:jc w:val="right"/>
                              <w:rPr>
                                <w:sz w:val="74"/>
                                <w:szCs w:val="74"/>
                              </w:rPr>
                            </w:pPr>
                          </w:p>
                          <w:p w14:paraId="3E65704C" w14:textId="77777777" w:rsidR="00147C8B" w:rsidRDefault="00147C8B"/>
                          <w:p w14:paraId="5491DD56"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ՈՒՂԵՐՁ</w:t>
                            </w:r>
                            <w:r w:rsidRPr="00812F22">
                              <w:rPr>
                                <w:b/>
                                <w:color w:val="44546A" w:themeColor="text2"/>
                                <w:sz w:val="36"/>
                                <w:szCs w:val="36"/>
                                <w:lang w:val="hy-AM"/>
                              </w:rPr>
                              <w:t>-ԲԱՑԱՏՐԱԳԻՐ</w:t>
                            </w: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7AE52240" w14:textId="77777777" w:rsidR="00147C8B" w:rsidRPr="00A3353C" w:rsidRDefault="00147C8B" w:rsidP="00682390">
                            <w:pPr>
                              <w:jc w:val="right"/>
                              <w:rPr>
                                <w:sz w:val="74"/>
                                <w:szCs w:val="74"/>
                              </w:rPr>
                            </w:pPr>
                          </w:p>
                          <w:p w14:paraId="435FF4AD" w14:textId="77777777" w:rsidR="00147C8B" w:rsidRDefault="00147C8B" w:rsidP="00682390">
                            <w:pPr>
                              <w:jc w:val="right"/>
                            </w:pPr>
                          </w:p>
                          <w:p w14:paraId="533A5B67"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 xml:space="preserve">2025 ԹՎԱԿԱՆԻ </w:t>
                            </w:r>
                          </w:p>
                          <w:p w14:paraId="00D14DFF" w14:textId="77777777" w:rsidR="00147C8B" w:rsidRPr="00A3353C" w:rsidRDefault="00147C8B" w:rsidP="00682390">
                            <w:pPr>
                              <w:jc w:val="right"/>
                              <w:rPr>
                                <w:sz w:val="74"/>
                                <w:szCs w:val="74"/>
                              </w:rPr>
                            </w:pPr>
                          </w:p>
                          <w:p w14:paraId="78A9DF5D" w14:textId="77777777" w:rsidR="00147C8B" w:rsidRDefault="00147C8B"/>
                          <w:p w14:paraId="27EAE7AD"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79C6A4A5" w14:textId="77777777" w:rsidR="00147C8B" w:rsidRPr="00A3353C" w:rsidRDefault="00147C8B" w:rsidP="00682390">
                            <w:pPr>
                              <w:jc w:val="right"/>
                              <w:rPr>
                                <w:sz w:val="74"/>
                                <w:szCs w:val="74"/>
                              </w:rPr>
                            </w:pPr>
                          </w:p>
                          <w:p w14:paraId="54A7551C" w14:textId="77777777" w:rsidR="00147C8B" w:rsidRDefault="00147C8B" w:rsidP="00682390">
                            <w:pPr>
                              <w:jc w:val="right"/>
                            </w:pPr>
                          </w:p>
                          <w:p w14:paraId="32790716"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 xml:space="preserve">2025 ԹՎԱԿԱՆԻ </w:t>
                            </w:r>
                          </w:p>
                          <w:p w14:paraId="6811B0C1" w14:textId="77777777" w:rsidR="00147C8B" w:rsidRPr="00A3353C" w:rsidRDefault="00147C8B" w:rsidP="00682390">
                            <w:pPr>
                              <w:jc w:val="right"/>
                              <w:rPr>
                                <w:sz w:val="74"/>
                                <w:szCs w:val="74"/>
                              </w:rPr>
                            </w:pPr>
                          </w:p>
                          <w:p w14:paraId="09B6CD2F" w14:textId="77777777" w:rsidR="00147C8B" w:rsidRDefault="00147C8B"/>
                          <w:p w14:paraId="44EA3B39"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ՈՒՂԵՐՁ</w:t>
                            </w:r>
                            <w:r w:rsidRPr="00812F22">
                              <w:rPr>
                                <w:b/>
                                <w:color w:val="44546A" w:themeColor="text2"/>
                                <w:sz w:val="36"/>
                                <w:szCs w:val="36"/>
                                <w:lang w:val="hy-AM"/>
                              </w:rPr>
                              <w:t>-ԲԱՑԱՏՐԱԳԻՐ</w:t>
                            </w: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68EEC78E" w14:textId="77777777" w:rsidR="00147C8B" w:rsidRPr="00A3353C" w:rsidRDefault="00147C8B" w:rsidP="00682390">
                            <w:pPr>
                              <w:jc w:val="right"/>
                              <w:rPr>
                                <w:sz w:val="74"/>
                                <w:szCs w:val="74"/>
                              </w:rPr>
                            </w:pPr>
                          </w:p>
                          <w:p w14:paraId="2B6A883A" w14:textId="77777777" w:rsidR="00147C8B" w:rsidRDefault="00147C8B" w:rsidP="00682390">
                            <w:pPr>
                              <w:jc w:val="right"/>
                            </w:pPr>
                          </w:p>
                          <w:p w14:paraId="30F8D34A" w14:textId="77777777" w:rsidR="00147C8B" w:rsidRPr="00812F22" w:rsidRDefault="00147C8B" w:rsidP="00682390">
                            <w:pPr>
                              <w:pStyle w:val="BodyText1"/>
                              <w:jc w:val="right"/>
                              <w:rPr>
                                <w:b/>
                                <w:color w:val="44546A" w:themeColor="text2"/>
                                <w:sz w:val="36"/>
                                <w:szCs w:val="36"/>
                              </w:rPr>
                            </w:pPr>
                            <w:r w:rsidRPr="00682390">
                              <w:rPr>
                                <w:b/>
                                <w:color w:val="44546A" w:themeColor="text2"/>
                                <w:sz w:val="40"/>
                                <w:szCs w:val="40"/>
                              </w:rPr>
                              <w:t>ԲՅՈՒՋԵՏԱՅԻՆ ՈՒՂԵՐՁ</w:t>
                            </w:r>
                            <w:r w:rsidRPr="00682390">
                              <w:rPr>
                                <w:b/>
                                <w:color w:val="44546A" w:themeColor="text2"/>
                                <w:sz w:val="70"/>
                                <w:szCs w:val="70"/>
                              </w:rPr>
                              <w:t>2025 ԹՎԱԿԱՆԻ</w:t>
                            </w:r>
                            <w:r w:rsidRPr="00812F22">
                              <w:rPr>
                                <w:b/>
                                <w:color w:val="44546A" w:themeColor="text2"/>
                                <w:sz w:val="36"/>
                                <w:szCs w:val="36"/>
                              </w:rPr>
                              <w:t>ՈՒՂԵՐՁ</w:t>
                            </w:r>
                            <w:r w:rsidRPr="00812F22">
                              <w:rPr>
                                <w:b/>
                                <w:color w:val="44546A" w:themeColor="text2"/>
                                <w:sz w:val="36"/>
                                <w:szCs w:val="36"/>
                                <w:lang w:val="hy-AM"/>
                              </w:rPr>
                              <w:t>-ԲԱՑԱՏՐԱԳԻՐ</w:t>
                            </w:r>
                          </w:p>
                          <w:p w14:paraId="54CE9CE4" w14:textId="77777777" w:rsidR="00147C8B" w:rsidRDefault="00147C8B"/>
                          <w:p w14:paraId="1565BCF5" w14:textId="77777777" w:rsidR="00147C8B" w:rsidRDefault="00147C8B"/>
                          <w:p w14:paraId="7B0ECC95"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01CB5835" w14:textId="77777777" w:rsidR="00147C8B" w:rsidRPr="00A3353C" w:rsidRDefault="00147C8B" w:rsidP="00682390">
                            <w:pPr>
                              <w:jc w:val="right"/>
                              <w:rPr>
                                <w:sz w:val="74"/>
                                <w:szCs w:val="74"/>
                              </w:rPr>
                            </w:pPr>
                          </w:p>
                          <w:p w14:paraId="7103A844" w14:textId="77777777" w:rsidR="00147C8B" w:rsidRDefault="00147C8B" w:rsidP="00682390">
                            <w:pPr>
                              <w:jc w:val="right"/>
                            </w:pPr>
                          </w:p>
                          <w:p w14:paraId="345B2FB1"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 xml:space="preserve">2025 ԹՎԱԿԱՆԻ </w:t>
                            </w:r>
                          </w:p>
                          <w:p w14:paraId="294174F1" w14:textId="77777777" w:rsidR="00147C8B" w:rsidRPr="00A3353C" w:rsidRDefault="00147C8B" w:rsidP="00682390">
                            <w:pPr>
                              <w:jc w:val="right"/>
                              <w:rPr>
                                <w:sz w:val="74"/>
                                <w:szCs w:val="74"/>
                              </w:rPr>
                            </w:pPr>
                          </w:p>
                          <w:p w14:paraId="4F2FFAA5" w14:textId="77777777" w:rsidR="00147C8B" w:rsidRDefault="00147C8B"/>
                          <w:p w14:paraId="7EAF7583"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ՈՒՂԵՐՁ</w:t>
                            </w:r>
                            <w:r w:rsidRPr="00812F22">
                              <w:rPr>
                                <w:b/>
                                <w:color w:val="44546A" w:themeColor="text2"/>
                                <w:sz w:val="36"/>
                                <w:szCs w:val="36"/>
                                <w:lang w:val="hy-AM"/>
                              </w:rPr>
                              <w:t>-ԲԱՑԱՏՐԱԳԻՐ</w:t>
                            </w: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2C3C202C" w14:textId="77777777" w:rsidR="00147C8B" w:rsidRPr="00A3353C" w:rsidRDefault="00147C8B" w:rsidP="00682390">
                            <w:pPr>
                              <w:jc w:val="right"/>
                              <w:rPr>
                                <w:sz w:val="74"/>
                                <w:szCs w:val="74"/>
                              </w:rPr>
                            </w:pPr>
                          </w:p>
                          <w:p w14:paraId="19AAFBF2" w14:textId="77777777" w:rsidR="00147C8B" w:rsidRDefault="00147C8B" w:rsidP="00682390">
                            <w:pPr>
                              <w:jc w:val="right"/>
                            </w:pPr>
                          </w:p>
                          <w:p w14:paraId="4F904316" w14:textId="77777777" w:rsidR="00147C8B" w:rsidRPr="00812F22" w:rsidRDefault="00147C8B" w:rsidP="00682390">
                            <w:pPr>
                              <w:pStyle w:val="BodyText1"/>
                              <w:jc w:val="right"/>
                              <w:rPr>
                                <w:b/>
                                <w:color w:val="44546A" w:themeColor="text2"/>
                                <w:sz w:val="36"/>
                                <w:szCs w:val="36"/>
                              </w:rPr>
                            </w:pPr>
                            <w:r w:rsidRPr="00682390">
                              <w:rPr>
                                <w:b/>
                                <w:color w:val="44546A" w:themeColor="text2"/>
                                <w:sz w:val="40"/>
                                <w:szCs w:val="40"/>
                              </w:rPr>
                              <w:t>ԲՅՈՒՋԵՏԱՅԻՆ ՈՒՂԵՐՁ</w:t>
                            </w:r>
                            <w:r w:rsidRPr="00682390">
                              <w:rPr>
                                <w:b/>
                                <w:color w:val="44546A" w:themeColor="text2"/>
                                <w:sz w:val="70"/>
                                <w:szCs w:val="70"/>
                              </w:rPr>
                              <w:t>2025 ԹՎԱԿԱՆԻ</w:t>
                            </w:r>
                            <w:r w:rsidRPr="00812F22">
                              <w:rPr>
                                <w:b/>
                                <w:color w:val="44546A" w:themeColor="text2"/>
                                <w:sz w:val="36"/>
                                <w:szCs w:val="36"/>
                              </w:rPr>
                              <w:t>ՈՒՂԵՐՁ</w:t>
                            </w:r>
                            <w:r w:rsidRPr="00812F22">
                              <w:rPr>
                                <w:b/>
                                <w:color w:val="44546A" w:themeColor="text2"/>
                                <w:sz w:val="36"/>
                                <w:szCs w:val="36"/>
                                <w:lang w:val="hy-AM"/>
                              </w:rPr>
                              <w:t>-ԲԱՑԱՏՐԱԳԻՐ</w:t>
                            </w:r>
                          </w:p>
                          <w:p w14:paraId="6C6A8A77" w14:textId="77777777" w:rsidR="00147C8B" w:rsidRDefault="00147C8B"/>
                          <w:p w14:paraId="4EA03F82" w14:textId="77777777" w:rsidR="00147C8B" w:rsidRPr="00056843" w:rsidRDefault="00147C8B" w:rsidP="00FD0C29">
                            <w:pPr>
                              <w:jc w:val="center"/>
                              <w:rPr>
                                <w:color w:val="FFFFFF" w:themeColor="background1"/>
                                <w:lang w:val="hy-AM"/>
                              </w:rPr>
                            </w:pPr>
                            <w:r w:rsidRPr="00056843">
                              <w:rPr>
                                <w:color w:val="FFFFFF" w:themeColor="background1"/>
                                <w:lang w:val="hy-AM"/>
                              </w:rPr>
                              <w:t>ԹՅԱՆ ԿԱՌԱՎԱՐՈՒԹՅԱՆ</w:t>
                            </w:r>
                          </w:p>
                          <w:p w14:paraId="74B1307F" w14:textId="77777777" w:rsidR="00147C8B" w:rsidRDefault="00147C8B"/>
                          <w:p w14:paraId="4C9E6E60" w14:textId="77777777" w:rsidR="00147C8B" w:rsidRPr="00056843" w:rsidRDefault="00147C8B" w:rsidP="00FD0C29">
                            <w:pPr>
                              <w:jc w:val="center"/>
                              <w:rPr>
                                <w:color w:val="FFFFFF" w:themeColor="background1"/>
                                <w:lang w:val="hy-AM"/>
                              </w:rPr>
                            </w:pPr>
                            <w:r w:rsidRPr="00682390">
                              <w:rPr>
                                <w:b/>
                                <w:color w:val="44546A" w:themeColor="text2"/>
                                <w:sz w:val="70"/>
                                <w:szCs w:val="70"/>
                              </w:rPr>
                              <w:t>2025 ԹՎԱԿԱՆԻ</w:t>
                            </w:r>
                            <w:r w:rsidRPr="00056843">
                              <w:rPr>
                                <w:color w:val="FFFFFF" w:themeColor="background1"/>
                                <w:lang w:val="hy-AM"/>
                              </w:rPr>
                              <w:t>ԹՅԱՆ ԿԱՌԱՎԱՐՈՒԹՅԱՆ</w:t>
                            </w:r>
                          </w:p>
                          <w:p w14:paraId="74FD24A0" w14:textId="77777777" w:rsidR="00147C8B" w:rsidRDefault="00147C8B"/>
                          <w:p w14:paraId="2E730078" w14:textId="77777777" w:rsidR="00147C8B" w:rsidRPr="00056843" w:rsidRDefault="00147C8B" w:rsidP="00FD0C29">
                            <w:pPr>
                              <w:jc w:val="center"/>
                              <w:rPr>
                                <w:color w:val="FFFFFF" w:themeColor="background1"/>
                                <w:lang w:val="hy-AM"/>
                              </w:rPr>
                            </w:pPr>
                            <w:r w:rsidRPr="00682390">
                              <w:rPr>
                                <w:b/>
                                <w:color w:val="44546A" w:themeColor="text2"/>
                                <w:sz w:val="70"/>
                                <w:szCs w:val="70"/>
                              </w:rPr>
                              <w:t>2025 ԹՎԱԿԱՆԻ</w:t>
                            </w:r>
                            <w:r w:rsidRPr="00056843">
                              <w:rPr>
                                <w:color w:val="FFFFFF" w:themeColor="background1"/>
                                <w:lang w:val="hy-AM"/>
                              </w:rPr>
                              <w:t>ԹՅԱՆ ԿԱՌԱՎԱՐՈՒԹՅԱՆ</w:t>
                            </w:r>
                          </w:p>
                          <w:p w14:paraId="0CE5B644" w14:textId="77777777" w:rsidR="00147C8B" w:rsidRDefault="00147C8B"/>
                          <w:p w14:paraId="638E0ACB" w14:textId="77777777" w:rsidR="00147C8B" w:rsidRPr="00056843" w:rsidRDefault="00147C8B" w:rsidP="00FD0C29">
                            <w:pPr>
                              <w:jc w:val="center"/>
                              <w:rPr>
                                <w:color w:val="FFFFFF" w:themeColor="background1"/>
                                <w:lang w:val="hy-AM"/>
                              </w:rPr>
                            </w:pPr>
                            <w:r w:rsidRPr="00682390">
                              <w:rPr>
                                <w:b/>
                                <w:color w:val="44546A" w:themeColor="text2"/>
                                <w:sz w:val="70"/>
                                <w:szCs w:val="70"/>
                              </w:rPr>
                              <w:t>2025 ԹՎԱԿԱՆԻ</w:t>
                            </w:r>
                            <w:r w:rsidRPr="00056843">
                              <w:rPr>
                                <w:color w:val="FFFFFF" w:themeColor="background1"/>
                                <w:lang w:val="hy-AM"/>
                              </w:rPr>
                              <w:t>ԹՅԱՆ ԿԱՌԱՎԱՐՈՒԹՅԱՆ</w:t>
                            </w:r>
                          </w:p>
                          <w:p w14:paraId="5B410182" w14:textId="77777777" w:rsidR="00147C8B" w:rsidRDefault="00147C8B"/>
                          <w:p w14:paraId="67E3CA6A"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28D93DD2" w14:textId="77777777" w:rsidR="00147C8B" w:rsidRPr="00A3353C" w:rsidRDefault="00147C8B" w:rsidP="00682390">
                            <w:pPr>
                              <w:jc w:val="right"/>
                              <w:rPr>
                                <w:sz w:val="74"/>
                                <w:szCs w:val="74"/>
                              </w:rPr>
                            </w:pPr>
                          </w:p>
                          <w:p w14:paraId="312557B0" w14:textId="77777777" w:rsidR="00147C8B" w:rsidRDefault="00147C8B" w:rsidP="00682390">
                            <w:pPr>
                              <w:jc w:val="right"/>
                            </w:pPr>
                          </w:p>
                          <w:p w14:paraId="00A1CFD6" w14:textId="77777777" w:rsidR="00147C8B" w:rsidRPr="00056843" w:rsidRDefault="00147C8B" w:rsidP="00FD0C29">
                            <w:pPr>
                              <w:jc w:val="center"/>
                              <w:rPr>
                                <w:color w:val="FFFFFF" w:themeColor="background1"/>
                                <w:lang w:val="hy-AM"/>
                              </w:rPr>
                            </w:pPr>
                            <w:r w:rsidRPr="00682390">
                              <w:rPr>
                                <w:b/>
                                <w:color w:val="44546A" w:themeColor="text2"/>
                                <w:sz w:val="40"/>
                                <w:szCs w:val="40"/>
                              </w:rPr>
                              <w:t>ԲՅՈՒՋԵՏԱՅԻՆ ՈՒՂԵՐՁ</w:t>
                            </w:r>
                            <w:r w:rsidRPr="00682390">
                              <w:rPr>
                                <w:b/>
                                <w:color w:val="44546A" w:themeColor="text2"/>
                                <w:sz w:val="70"/>
                                <w:szCs w:val="70"/>
                              </w:rPr>
                              <w:t>2025 ԹՎԱԿԱՆԻ</w:t>
                            </w:r>
                            <w:r w:rsidRPr="00056843">
                              <w:rPr>
                                <w:color w:val="FFFFFF" w:themeColor="background1"/>
                                <w:lang w:val="hy-AM"/>
                              </w:rPr>
                              <w:t>ԹՅԱՆ ԿԱՌԱՎԱՐՈՒԹՅԱՆ</w:t>
                            </w:r>
                          </w:p>
                          <w:p w14:paraId="5AAEF080" w14:textId="77777777" w:rsidR="00147C8B" w:rsidRDefault="00147C8B"/>
                          <w:p w14:paraId="044D3B57" w14:textId="77777777" w:rsidR="00147C8B" w:rsidRPr="00056843" w:rsidRDefault="00147C8B" w:rsidP="00FD0C29">
                            <w:pPr>
                              <w:jc w:val="center"/>
                              <w:rPr>
                                <w:color w:val="FFFFFF" w:themeColor="background1"/>
                                <w:lang w:val="hy-AM"/>
                              </w:rPr>
                            </w:pPr>
                            <w:r w:rsidRPr="00682390">
                              <w:rPr>
                                <w:b/>
                                <w:color w:val="44546A" w:themeColor="text2"/>
                                <w:sz w:val="70"/>
                                <w:szCs w:val="70"/>
                              </w:rPr>
                              <w:t>2025 ԹՎԱԿԱՆԻ</w:t>
                            </w:r>
                            <w:r w:rsidRPr="00056843">
                              <w:rPr>
                                <w:color w:val="FFFFFF" w:themeColor="background1"/>
                                <w:lang w:val="hy-AM"/>
                              </w:rPr>
                              <w:t>ԹՅԱՆ ԿԱՌԱՎԱՐՈՒԹՅԱՆ</w:t>
                            </w:r>
                          </w:p>
                          <w:p w14:paraId="21EA3992" w14:textId="77777777" w:rsidR="00147C8B" w:rsidRDefault="00147C8B"/>
                          <w:p w14:paraId="31AF5C06" w14:textId="77777777" w:rsidR="00147C8B" w:rsidRPr="00056843" w:rsidRDefault="00147C8B" w:rsidP="00FD0C29">
                            <w:pPr>
                              <w:jc w:val="center"/>
                              <w:rPr>
                                <w:color w:val="FFFFFF" w:themeColor="background1"/>
                                <w:lang w:val="hy-AM"/>
                              </w:rPr>
                            </w:pPr>
                            <w:r w:rsidRPr="00682390">
                              <w:rPr>
                                <w:b/>
                                <w:color w:val="44546A" w:themeColor="text2"/>
                                <w:sz w:val="70"/>
                                <w:szCs w:val="70"/>
                              </w:rPr>
                              <w:t>2025 ԹՎԱԿԱՆԻ</w:t>
                            </w:r>
                            <w:r w:rsidRPr="00056843">
                              <w:rPr>
                                <w:color w:val="FFFFFF" w:themeColor="background1"/>
                                <w:lang w:val="hy-AM"/>
                              </w:rPr>
                              <w:t>ԹՅԱՆ ԿԱՌԱՎԱՐՈՒԹՅԱՆ</w:t>
                            </w:r>
                          </w:p>
                          <w:p w14:paraId="2F6A1EAF" w14:textId="77777777" w:rsidR="00147C8B" w:rsidRDefault="00147C8B"/>
                          <w:p w14:paraId="1527E483" w14:textId="77777777" w:rsidR="00147C8B" w:rsidRPr="00056843" w:rsidRDefault="00147C8B" w:rsidP="00FD0C29">
                            <w:pPr>
                              <w:jc w:val="center"/>
                              <w:rPr>
                                <w:color w:val="FFFFFF" w:themeColor="background1"/>
                                <w:lang w:val="hy-AM"/>
                              </w:rPr>
                            </w:pPr>
                            <w:r w:rsidRPr="00682390">
                              <w:rPr>
                                <w:b/>
                                <w:color w:val="44546A" w:themeColor="text2"/>
                                <w:sz w:val="70"/>
                                <w:szCs w:val="70"/>
                              </w:rPr>
                              <w:t>2025 ԹՎԱԿԱՆԻ</w:t>
                            </w:r>
                            <w:r w:rsidRPr="00056843">
                              <w:rPr>
                                <w:color w:val="FFFFFF" w:themeColor="background1"/>
                                <w:lang w:val="hy-AM"/>
                              </w:rPr>
                              <w:t>ԹՅԱՆ ԿԱՌԱՎԱՐՈՒԹՅԱՆ</w:t>
                            </w:r>
                          </w:p>
                          <w:p w14:paraId="36762D43" w14:textId="77777777" w:rsidR="00147C8B" w:rsidRDefault="00147C8B"/>
                          <w:p w14:paraId="6EB33B9A"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ՈՒՂԵՐՁ</w:t>
                            </w:r>
                            <w:r w:rsidRPr="00812F22">
                              <w:rPr>
                                <w:b/>
                                <w:color w:val="44546A" w:themeColor="text2"/>
                                <w:sz w:val="36"/>
                                <w:szCs w:val="36"/>
                                <w:lang w:val="hy-AM"/>
                              </w:rPr>
                              <w:t>-ԲԱՑԱՏՐԱԳԻՐ</w:t>
                            </w:r>
                          </w:p>
                          <w:p w14:paraId="6D028219" w14:textId="77777777" w:rsidR="00147C8B" w:rsidRDefault="00147C8B"/>
                          <w:p w14:paraId="1445DC5D" w14:textId="77777777" w:rsidR="00147C8B" w:rsidRPr="00056843" w:rsidRDefault="00147C8B" w:rsidP="00FD0C29">
                            <w:pPr>
                              <w:jc w:val="center"/>
                              <w:rPr>
                                <w:color w:val="FFFFFF" w:themeColor="background1"/>
                                <w:lang w:val="hy-AM"/>
                              </w:rPr>
                            </w:pPr>
                            <w:r w:rsidRPr="00056843">
                              <w:rPr>
                                <w:color w:val="FFFFFF" w:themeColor="background1"/>
                                <w:lang w:val="hy-AM"/>
                              </w:rPr>
                              <w:t>ԹՅԱՆ ԿԱՌԱՎԱՐՈՒԹՅԱՆ</w:t>
                            </w:r>
                          </w:p>
                          <w:p w14:paraId="5723A92F" w14:textId="77777777" w:rsidR="00147C8B" w:rsidRDefault="00147C8B"/>
                          <w:p w14:paraId="0E1E6245" w14:textId="77777777" w:rsidR="00147C8B" w:rsidRPr="00056843" w:rsidRDefault="00147C8B" w:rsidP="00FD0C29">
                            <w:pPr>
                              <w:jc w:val="center"/>
                              <w:rPr>
                                <w:color w:val="FFFFFF" w:themeColor="background1"/>
                                <w:lang w:val="hy-AM"/>
                              </w:rPr>
                            </w:pPr>
                            <w:r w:rsidRPr="00682390">
                              <w:rPr>
                                <w:b/>
                                <w:color w:val="44546A" w:themeColor="text2"/>
                                <w:sz w:val="70"/>
                                <w:szCs w:val="70"/>
                              </w:rPr>
                              <w:t>2025 ԹՎԱԿԱՆԻ</w:t>
                            </w:r>
                            <w:r w:rsidRPr="00056843">
                              <w:rPr>
                                <w:color w:val="FFFFFF" w:themeColor="background1"/>
                                <w:lang w:val="hy-AM"/>
                              </w:rPr>
                              <w:t>ԹՅԱՆ ԿԱՌԱՎԱՐՈՒԹՅԱՆ</w:t>
                            </w:r>
                          </w:p>
                          <w:p w14:paraId="3EAC9DA6" w14:textId="77777777" w:rsidR="00147C8B" w:rsidRDefault="00147C8B"/>
                          <w:p w14:paraId="7F28C610" w14:textId="77777777" w:rsidR="00147C8B" w:rsidRPr="00056843" w:rsidRDefault="00147C8B" w:rsidP="00FD0C29">
                            <w:pPr>
                              <w:jc w:val="center"/>
                              <w:rPr>
                                <w:color w:val="FFFFFF" w:themeColor="background1"/>
                                <w:lang w:val="hy-AM"/>
                              </w:rPr>
                            </w:pPr>
                            <w:r w:rsidRPr="00682390">
                              <w:rPr>
                                <w:b/>
                                <w:color w:val="44546A" w:themeColor="text2"/>
                                <w:sz w:val="70"/>
                                <w:szCs w:val="70"/>
                              </w:rPr>
                              <w:t>2025 ԹՎԱԿԱՆԻ</w:t>
                            </w:r>
                            <w:r w:rsidRPr="00056843">
                              <w:rPr>
                                <w:color w:val="FFFFFF" w:themeColor="background1"/>
                                <w:lang w:val="hy-AM"/>
                              </w:rPr>
                              <w:t>ԹՅԱՆ ԿԱՌԱՎԱՐՈՒԹՅԱՆ</w:t>
                            </w:r>
                          </w:p>
                          <w:p w14:paraId="5A434F11" w14:textId="77777777" w:rsidR="00147C8B" w:rsidRDefault="00147C8B"/>
                          <w:p w14:paraId="633D37BC" w14:textId="77777777" w:rsidR="00147C8B" w:rsidRPr="00056843" w:rsidRDefault="00147C8B" w:rsidP="00FD0C29">
                            <w:pPr>
                              <w:jc w:val="center"/>
                              <w:rPr>
                                <w:color w:val="FFFFFF" w:themeColor="background1"/>
                                <w:lang w:val="hy-AM"/>
                              </w:rPr>
                            </w:pPr>
                            <w:r w:rsidRPr="00682390">
                              <w:rPr>
                                <w:b/>
                                <w:color w:val="44546A" w:themeColor="text2"/>
                                <w:sz w:val="70"/>
                                <w:szCs w:val="70"/>
                              </w:rPr>
                              <w:t>2025 ԹՎԱԿԱՆԻ</w:t>
                            </w:r>
                            <w:r w:rsidRPr="00056843">
                              <w:rPr>
                                <w:color w:val="FFFFFF" w:themeColor="background1"/>
                                <w:lang w:val="hy-AM"/>
                              </w:rPr>
                              <w:t>ԹՅԱՆ ԿԱՌԱՎԱՐՈՒԹՅԱՆ</w:t>
                            </w:r>
                          </w:p>
                          <w:p w14:paraId="3E900B1A" w14:textId="77777777" w:rsidR="00147C8B" w:rsidRDefault="00147C8B"/>
                          <w:p w14:paraId="3706BC30"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186E4BD1" w14:textId="77777777" w:rsidR="00147C8B" w:rsidRPr="00A3353C" w:rsidRDefault="00147C8B" w:rsidP="00682390">
                            <w:pPr>
                              <w:jc w:val="right"/>
                              <w:rPr>
                                <w:sz w:val="74"/>
                                <w:szCs w:val="74"/>
                              </w:rPr>
                            </w:pPr>
                          </w:p>
                          <w:p w14:paraId="5A5F4440" w14:textId="77777777" w:rsidR="00147C8B" w:rsidRDefault="00147C8B" w:rsidP="00682390">
                            <w:pPr>
                              <w:jc w:val="right"/>
                            </w:pPr>
                          </w:p>
                          <w:p w14:paraId="13CA355A" w14:textId="77777777" w:rsidR="00147C8B" w:rsidRPr="00056843" w:rsidRDefault="00147C8B" w:rsidP="00FD0C29">
                            <w:pPr>
                              <w:jc w:val="center"/>
                              <w:rPr>
                                <w:color w:val="FFFFFF" w:themeColor="background1"/>
                                <w:lang w:val="hy-AM"/>
                              </w:rPr>
                            </w:pPr>
                            <w:r w:rsidRPr="00682390">
                              <w:rPr>
                                <w:b/>
                                <w:color w:val="44546A" w:themeColor="text2"/>
                                <w:sz w:val="40"/>
                                <w:szCs w:val="40"/>
                              </w:rPr>
                              <w:t>ԲՅՈՒՋԵՏԱՅԻՆ ՈՒՂԵՐՁ</w:t>
                            </w:r>
                            <w:r w:rsidRPr="00682390">
                              <w:rPr>
                                <w:b/>
                                <w:color w:val="44546A" w:themeColor="text2"/>
                                <w:sz w:val="70"/>
                                <w:szCs w:val="70"/>
                              </w:rPr>
                              <w:t>2025 ԹՎԱԿԱՆԻ</w:t>
                            </w:r>
                            <w:r w:rsidRPr="00056843">
                              <w:rPr>
                                <w:color w:val="FFFFFF" w:themeColor="background1"/>
                                <w:lang w:val="hy-AM"/>
                              </w:rPr>
                              <w:t>ԹՅԱՆ ԿԱՌԱՎԱՐՈՒԹՅԱՆ</w:t>
                            </w:r>
                          </w:p>
                          <w:p w14:paraId="4F6D78F7" w14:textId="77777777" w:rsidR="00147C8B" w:rsidRDefault="00147C8B"/>
                          <w:p w14:paraId="35C66935" w14:textId="77777777" w:rsidR="00147C8B" w:rsidRPr="00056843" w:rsidRDefault="00147C8B" w:rsidP="00FD0C29">
                            <w:pPr>
                              <w:jc w:val="center"/>
                              <w:rPr>
                                <w:color w:val="FFFFFF" w:themeColor="background1"/>
                                <w:lang w:val="hy-AM"/>
                              </w:rPr>
                            </w:pPr>
                            <w:r w:rsidRPr="00682390">
                              <w:rPr>
                                <w:b/>
                                <w:color w:val="44546A" w:themeColor="text2"/>
                                <w:sz w:val="70"/>
                                <w:szCs w:val="70"/>
                              </w:rPr>
                              <w:t>2025 ԹՎԱԿԱՆԻ</w:t>
                            </w:r>
                            <w:r w:rsidRPr="00056843">
                              <w:rPr>
                                <w:color w:val="FFFFFF" w:themeColor="background1"/>
                                <w:lang w:val="hy-AM"/>
                              </w:rPr>
                              <w:t>ԹՅԱՆ ԿԱՌԱՎԱՐՈՒԹՅԱՆ</w:t>
                            </w:r>
                          </w:p>
                          <w:p w14:paraId="17BEE90D" w14:textId="77777777" w:rsidR="00147C8B" w:rsidRDefault="00147C8B"/>
                          <w:p w14:paraId="11FF668D" w14:textId="77777777" w:rsidR="00147C8B" w:rsidRPr="00056843" w:rsidRDefault="00147C8B" w:rsidP="00FD0C29">
                            <w:pPr>
                              <w:jc w:val="center"/>
                              <w:rPr>
                                <w:color w:val="FFFFFF" w:themeColor="background1"/>
                                <w:lang w:val="hy-AM"/>
                              </w:rPr>
                            </w:pPr>
                            <w:r w:rsidRPr="00682390">
                              <w:rPr>
                                <w:b/>
                                <w:color w:val="44546A" w:themeColor="text2"/>
                                <w:sz w:val="70"/>
                                <w:szCs w:val="70"/>
                              </w:rPr>
                              <w:t>2025 ԹՎԱԿԱՆԻ</w:t>
                            </w:r>
                            <w:r w:rsidRPr="00056843">
                              <w:rPr>
                                <w:color w:val="FFFFFF" w:themeColor="background1"/>
                                <w:lang w:val="hy-AM"/>
                              </w:rPr>
                              <w:t>ԹՅԱՆ ԿԱՌԱՎԱՐՈՒԹՅԱՆ</w:t>
                            </w:r>
                          </w:p>
                          <w:p w14:paraId="0E0DE600" w14:textId="77777777" w:rsidR="00147C8B" w:rsidRDefault="00147C8B"/>
                          <w:p w14:paraId="463D3902" w14:textId="77777777" w:rsidR="00147C8B" w:rsidRPr="00056843" w:rsidRDefault="00147C8B" w:rsidP="00FD0C29">
                            <w:pPr>
                              <w:jc w:val="center"/>
                              <w:rPr>
                                <w:color w:val="FFFFFF" w:themeColor="background1"/>
                                <w:lang w:val="hy-AM"/>
                              </w:rPr>
                            </w:pPr>
                            <w:r w:rsidRPr="00682390">
                              <w:rPr>
                                <w:b/>
                                <w:color w:val="44546A" w:themeColor="text2"/>
                                <w:sz w:val="70"/>
                                <w:szCs w:val="70"/>
                              </w:rPr>
                              <w:t>2025 ԹՎԱԿԱՆԻ</w:t>
                            </w:r>
                            <w:r w:rsidRPr="00056843">
                              <w:rPr>
                                <w:color w:val="FFFFFF" w:themeColor="background1"/>
                                <w:lang w:val="hy-AM"/>
                              </w:rPr>
                              <w:t>ԹՅԱՆ ԿԱՌԱՎԱՐՈՒԹՅԱՆ</w:t>
                            </w:r>
                          </w:p>
                          <w:p w14:paraId="35C0E59B" w14:textId="77777777" w:rsidR="00147C8B" w:rsidRDefault="00147C8B"/>
                          <w:p w14:paraId="44354A05"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ՈՒՂԵՐՁ</w:t>
                            </w:r>
                            <w:r w:rsidRPr="00812F22">
                              <w:rPr>
                                <w:b/>
                                <w:color w:val="44546A" w:themeColor="text2"/>
                                <w:sz w:val="36"/>
                                <w:szCs w:val="36"/>
                                <w:lang w:val="hy-AM"/>
                              </w:rPr>
                              <w:t>-ԲԱՑԱՏՐԱԳԻՐ</w:t>
                            </w:r>
                          </w:p>
                          <w:p w14:paraId="4B656C12" w14:textId="77777777" w:rsidR="00147C8B" w:rsidRDefault="00147C8B"/>
                          <w:p w14:paraId="0CEFC89B" w14:textId="77777777" w:rsidR="00147C8B" w:rsidRDefault="00147C8B"/>
                          <w:p w14:paraId="65EFA285"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353ABBB5" w14:textId="77777777" w:rsidR="00147C8B" w:rsidRPr="00A3353C" w:rsidRDefault="00147C8B" w:rsidP="00682390">
                            <w:pPr>
                              <w:jc w:val="right"/>
                              <w:rPr>
                                <w:sz w:val="74"/>
                                <w:szCs w:val="74"/>
                              </w:rPr>
                            </w:pPr>
                          </w:p>
                          <w:p w14:paraId="293FDE1B" w14:textId="77777777" w:rsidR="00147C8B" w:rsidRDefault="00147C8B" w:rsidP="00682390">
                            <w:pPr>
                              <w:jc w:val="right"/>
                            </w:pPr>
                          </w:p>
                          <w:p w14:paraId="12387300"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 xml:space="preserve">2025 ԹՎԱԿԱՆԻ </w:t>
                            </w:r>
                          </w:p>
                          <w:p w14:paraId="1AA07B87" w14:textId="77777777" w:rsidR="00147C8B" w:rsidRPr="00A3353C" w:rsidRDefault="00147C8B" w:rsidP="00682390">
                            <w:pPr>
                              <w:jc w:val="right"/>
                              <w:rPr>
                                <w:sz w:val="74"/>
                                <w:szCs w:val="74"/>
                              </w:rPr>
                            </w:pPr>
                          </w:p>
                          <w:p w14:paraId="19AFAA2F" w14:textId="77777777" w:rsidR="00147C8B" w:rsidRDefault="00147C8B"/>
                          <w:p w14:paraId="03209323"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ՈՒՂԵՐՁ</w:t>
                            </w:r>
                            <w:r w:rsidRPr="00812F22">
                              <w:rPr>
                                <w:b/>
                                <w:color w:val="44546A" w:themeColor="text2"/>
                                <w:sz w:val="36"/>
                                <w:szCs w:val="36"/>
                                <w:lang w:val="hy-AM"/>
                              </w:rPr>
                              <w:t>-ԲԱՑԱՏՐԱԳԻՐ</w:t>
                            </w: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13B952D3" w14:textId="77777777" w:rsidR="00147C8B" w:rsidRPr="00A3353C" w:rsidRDefault="00147C8B" w:rsidP="00682390">
                            <w:pPr>
                              <w:jc w:val="right"/>
                              <w:rPr>
                                <w:sz w:val="74"/>
                                <w:szCs w:val="74"/>
                              </w:rPr>
                            </w:pPr>
                          </w:p>
                          <w:p w14:paraId="47AB2978" w14:textId="77777777" w:rsidR="00147C8B" w:rsidRDefault="00147C8B" w:rsidP="00682390">
                            <w:pPr>
                              <w:jc w:val="right"/>
                            </w:pPr>
                          </w:p>
                          <w:p w14:paraId="0C62AFA6" w14:textId="77777777" w:rsidR="00147C8B" w:rsidRPr="00812F22" w:rsidRDefault="00147C8B" w:rsidP="00682390">
                            <w:pPr>
                              <w:pStyle w:val="BodyText1"/>
                              <w:jc w:val="right"/>
                              <w:rPr>
                                <w:b/>
                                <w:color w:val="44546A" w:themeColor="text2"/>
                                <w:sz w:val="36"/>
                                <w:szCs w:val="36"/>
                              </w:rPr>
                            </w:pPr>
                            <w:r w:rsidRPr="00682390">
                              <w:rPr>
                                <w:b/>
                                <w:color w:val="44546A" w:themeColor="text2"/>
                                <w:sz w:val="40"/>
                                <w:szCs w:val="40"/>
                              </w:rPr>
                              <w:t>ԲՅՈՒՋԵՏԱՅԻՆ ՈՒՂԵՐՁ</w:t>
                            </w:r>
                            <w:r w:rsidRPr="00682390">
                              <w:rPr>
                                <w:b/>
                                <w:color w:val="44546A" w:themeColor="text2"/>
                                <w:sz w:val="70"/>
                                <w:szCs w:val="70"/>
                              </w:rPr>
                              <w:t>2025 ԹՎԱԿԱՆԻ</w:t>
                            </w:r>
                            <w:r w:rsidRPr="00812F22">
                              <w:rPr>
                                <w:b/>
                                <w:color w:val="44546A" w:themeColor="text2"/>
                                <w:sz w:val="36"/>
                                <w:szCs w:val="36"/>
                              </w:rPr>
                              <w:t>ՈՒՂԵՐՁ</w:t>
                            </w:r>
                            <w:r w:rsidRPr="00812F22">
                              <w:rPr>
                                <w:b/>
                                <w:color w:val="44546A" w:themeColor="text2"/>
                                <w:sz w:val="36"/>
                                <w:szCs w:val="36"/>
                                <w:lang w:val="hy-AM"/>
                              </w:rPr>
                              <w:t>-ԲԱՑԱՏՐԱԳԻՐ</w:t>
                            </w:r>
                          </w:p>
                          <w:p w14:paraId="40F9189F" w14:textId="77777777" w:rsidR="00147C8B" w:rsidRDefault="00147C8B"/>
                          <w:p w14:paraId="2F3250C6" w14:textId="77777777" w:rsidR="00147C8B" w:rsidRPr="00056843" w:rsidRDefault="00147C8B" w:rsidP="00FD0C29">
                            <w:pPr>
                              <w:jc w:val="center"/>
                              <w:rPr>
                                <w:color w:val="FFFFFF" w:themeColor="background1"/>
                                <w:lang w:val="hy-AM"/>
                              </w:rPr>
                            </w:pPr>
                            <w:r w:rsidRPr="00056843">
                              <w:rPr>
                                <w:color w:val="FFFFFF" w:themeColor="background1"/>
                                <w:lang w:val="hy-AM"/>
                              </w:rPr>
                              <w:t>ԹՅԱՆ ԿԱՌԱՎԱՐՈՒԹՅԱՆ</w:t>
                            </w:r>
                          </w:p>
                          <w:p w14:paraId="38517A92" w14:textId="77777777" w:rsidR="00147C8B" w:rsidRDefault="00147C8B"/>
                          <w:p w14:paraId="28D8072F" w14:textId="77777777" w:rsidR="00147C8B" w:rsidRPr="00056843" w:rsidRDefault="00147C8B" w:rsidP="00FD0C29">
                            <w:pPr>
                              <w:jc w:val="center"/>
                              <w:rPr>
                                <w:color w:val="FFFFFF" w:themeColor="background1"/>
                                <w:lang w:val="hy-AM"/>
                              </w:rPr>
                            </w:pPr>
                            <w:r w:rsidRPr="00682390">
                              <w:rPr>
                                <w:b/>
                                <w:color w:val="44546A" w:themeColor="text2"/>
                                <w:sz w:val="70"/>
                                <w:szCs w:val="70"/>
                              </w:rPr>
                              <w:t>2025 ԹՎԱԿԱՆԻ</w:t>
                            </w:r>
                            <w:r w:rsidRPr="00056843">
                              <w:rPr>
                                <w:color w:val="FFFFFF" w:themeColor="background1"/>
                                <w:lang w:val="hy-AM"/>
                              </w:rPr>
                              <w:t>ԹՅԱՆ ԿԱՌԱՎԱՐՈՒԹՅԱՆ</w:t>
                            </w:r>
                          </w:p>
                          <w:p w14:paraId="02986F3E" w14:textId="77777777" w:rsidR="00147C8B" w:rsidRDefault="00147C8B"/>
                          <w:p w14:paraId="2CF056D8" w14:textId="77777777" w:rsidR="00147C8B" w:rsidRPr="00056843" w:rsidRDefault="00147C8B" w:rsidP="00FD0C29">
                            <w:pPr>
                              <w:jc w:val="center"/>
                              <w:rPr>
                                <w:color w:val="FFFFFF" w:themeColor="background1"/>
                                <w:lang w:val="hy-AM"/>
                              </w:rPr>
                            </w:pPr>
                            <w:r w:rsidRPr="00682390">
                              <w:rPr>
                                <w:b/>
                                <w:color w:val="44546A" w:themeColor="text2"/>
                                <w:sz w:val="70"/>
                                <w:szCs w:val="70"/>
                              </w:rPr>
                              <w:t>2025 ԹՎԱԿԱՆԻ</w:t>
                            </w:r>
                            <w:r w:rsidRPr="00056843">
                              <w:rPr>
                                <w:color w:val="FFFFFF" w:themeColor="background1"/>
                                <w:lang w:val="hy-AM"/>
                              </w:rPr>
                              <w:t>ԹՅԱՆ ԿԱՌԱՎԱՐՈՒԹՅԱՆ</w:t>
                            </w:r>
                          </w:p>
                          <w:p w14:paraId="1B407497" w14:textId="77777777" w:rsidR="00147C8B" w:rsidRDefault="00147C8B"/>
                          <w:p w14:paraId="12C5805A" w14:textId="77777777" w:rsidR="00147C8B" w:rsidRPr="00056843" w:rsidRDefault="00147C8B" w:rsidP="00FD0C29">
                            <w:pPr>
                              <w:jc w:val="center"/>
                              <w:rPr>
                                <w:color w:val="FFFFFF" w:themeColor="background1"/>
                                <w:lang w:val="hy-AM"/>
                              </w:rPr>
                            </w:pPr>
                            <w:r w:rsidRPr="00682390">
                              <w:rPr>
                                <w:b/>
                                <w:color w:val="44546A" w:themeColor="text2"/>
                                <w:sz w:val="70"/>
                                <w:szCs w:val="70"/>
                              </w:rPr>
                              <w:t>2025 ԹՎԱԿԱՆԻ</w:t>
                            </w:r>
                            <w:r w:rsidRPr="00056843">
                              <w:rPr>
                                <w:color w:val="FFFFFF" w:themeColor="background1"/>
                                <w:lang w:val="hy-AM"/>
                              </w:rPr>
                              <w:t>ԹՅԱՆ ԿԱՌԱՎԱՐՈՒԹՅԱՆ</w:t>
                            </w:r>
                          </w:p>
                          <w:p w14:paraId="3DD9B8B7" w14:textId="77777777" w:rsidR="00147C8B" w:rsidRDefault="00147C8B"/>
                          <w:p w14:paraId="64900AE9"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04FF82F6" w14:textId="77777777" w:rsidR="00147C8B" w:rsidRPr="00A3353C" w:rsidRDefault="00147C8B" w:rsidP="00682390">
                            <w:pPr>
                              <w:jc w:val="right"/>
                              <w:rPr>
                                <w:sz w:val="74"/>
                                <w:szCs w:val="74"/>
                              </w:rPr>
                            </w:pPr>
                          </w:p>
                          <w:p w14:paraId="594FC393" w14:textId="77777777" w:rsidR="00147C8B" w:rsidRDefault="00147C8B" w:rsidP="00682390">
                            <w:pPr>
                              <w:jc w:val="right"/>
                            </w:pPr>
                          </w:p>
                          <w:p w14:paraId="640EBEAF" w14:textId="77777777" w:rsidR="00147C8B" w:rsidRPr="00056843" w:rsidRDefault="00147C8B" w:rsidP="00FD0C29">
                            <w:pPr>
                              <w:jc w:val="center"/>
                              <w:rPr>
                                <w:color w:val="FFFFFF" w:themeColor="background1"/>
                                <w:lang w:val="hy-AM"/>
                              </w:rPr>
                            </w:pPr>
                            <w:r w:rsidRPr="00682390">
                              <w:rPr>
                                <w:b/>
                                <w:color w:val="44546A" w:themeColor="text2"/>
                                <w:sz w:val="40"/>
                                <w:szCs w:val="40"/>
                              </w:rPr>
                              <w:t>ԲՅՈՒՋԵՏԱՅԻՆ ՈՒՂԵՐՁ</w:t>
                            </w:r>
                            <w:r w:rsidRPr="00682390">
                              <w:rPr>
                                <w:b/>
                                <w:color w:val="44546A" w:themeColor="text2"/>
                                <w:sz w:val="70"/>
                                <w:szCs w:val="70"/>
                              </w:rPr>
                              <w:t>2025 ԹՎԱԿԱՆԻ</w:t>
                            </w:r>
                            <w:r w:rsidRPr="00056843">
                              <w:rPr>
                                <w:color w:val="FFFFFF" w:themeColor="background1"/>
                                <w:lang w:val="hy-AM"/>
                              </w:rPr>
                              <w:t>ԹՅԱՆ ԿԱՌԱՎԱՐՈՒԹՅԱՆ</w:t>
                            </w:r>
                          </w:p>
                          <w:p w14:paraId="24B62913" w14:textId="77777777" w:rsidR="00147C8B" w:rsidRDefault="00147C8B"/>
                          <w:p w14:paraId="7B528E26" w14:textId="77777777" w:rsidR="00147C8B" w:rsidRPr="00056843" w:rsidRDefault="00147C8B" w:rsidP="00FD0C29">
                            <w:pPr>
                              <w:jc w:val="center"/>
                              <w:rPr>
                                <w:color w:val="FFFFFF" w:themeColor="background1"/>
                                <w:lang w:val="hy-AM"/>
                              </w:rPr>
                            </w:pPr>
                            <w:r w:rsidRPr="00682390">
                              <w:rPr>
                                <w:b/>
                                <w:color w:val="44546A" w:themeColor="text2"/>
                                <w:sz w:val="70"/>
                                <w:szCs w:val="70"/>
                              </w:rPr>
                              <w:t>2025 ԹՎԱԿԱՆԻ</w:t>
                            </w:r>
                            <w:r w:rsidRPr="00056843">
                              <w:rPr>
                                <w:color w:val="FFFFFF" w:themeColor="background1"/>
                                <w:lang w:val="hy-AM"/>
                              </w:rPr>
                              <w:t>ԹՅԱՆ ԿԱՌԱՎԱՐՈՒԹՅԱՆ</w:t>
                            </w:r>
                          </w:p>
                          <w:p w14:paraId="29243640" w14:textId="77777777" w:rsidR="00147C8B" w:rsidRDefault="00147C8B"/>
                          <w:p w14:paraId="6D420532" w14:textId="77777777" w:rsidR="00147C8B" w:rsidRPr="00056843" w:rsidRDefault="00147C8B" w:rsidP="00FD0C29">
                            <w:pPr>
                              <w:jc w:val="center"/>
                              <w:rPr>
                                <w:color w:val="FFFFFF" w:themeColor="background1"/>
                                <w:lang w:val="hy-AM"/>
                              </w:rPr>
                            </w:pPr>
                            <w:r w:rsidRPr="00682390">
                              <w:rPr>
                                <w:b/>
                                <w:color w:val="44546A" w:themeColor="text2"/>
                                <w:sz w:val="70"/>
                                <w:szCs w:val="70"/>
                              </w:rPr>
                              <w:t>2025 ԹՎԱԿԱՆԻ</w:t>
                            </w:r>
                            <w:r w:rsidRPr="00056843">
                              <w:rPr>
                                <w:color w:val="FFFFFF" w:themeColor="background1"/>
                                <w:lang w:val="hy-AM"/>
                              </w:rPr>
                              <w:t>ԹՅԱՆ ԿԱՌԱՎԱՐՈՒԹՅԱՆ</w:t>
                            </w:r>
                          </w:p>
                          <w:p w14:paraId="18CE481A" w14:textId="77777777" w:rsidR="00147C8B" w:rsidRDefault="00147C8B"/>
                          <w:p w14:paraId="3CB0C784" w14:textId="77777777" w:rsidR="00147C8B" w:rsidRPr="00056843" w:rsidRDefault="00147C8B" w:rsidP="00FD0C29">
                            <w:pPr>
                              <w:jc w:val="center"/>
                              <w:rPr>
                                <w:color w:val="FFFFFF" w:themeColor="background1"/>
                                <w:lang w:val="hy-AM"/>
                              </w:rPr>
                            </w:pPr>
                            <w:r w:rsidRPr="00682390">
                              <w:rPr>
                                <w:b/>
                                <w:color w:val="44546A" w:themeColor="text2"/>
                                <w:sz w:val="70"/>
                                <w:szCs w:val="70"/>
                              </w:rPr>
                              <w:t>2025 ԹՎԱԿԱՆԻ</w:t>
                            </w:r>
                            <w:r w:rsidRPr="00056843">
                              <w:rPr>
                                <w:color w:val="FFFFFF" w:themeColor="background1"/>
                                <w:lang w:val="hy-AM"/>
                              </w:rPr>
                              <w:t>ԹՅԱՆ ԿԱՌԱՎԱՐՈՒԹՅԱՆ</w:t>
                            </w:r>
                          </w:p>
                          <w:p w14:paraId="64E2E406" w14:textId="77777777" w:rsidR="00147C8B" w:rsidRDefault="00147C8B"/>
                          <w:p w14:paraId="6F52A88C"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ՈՒՂԵՐՁ</w:t>
                            </w:r>
                            <w:r w:rsidRPr="00812F22">
                              <w:rPr>
                                <w:b/>
                                <w:color w:val="44546A" w:themeColor="text2"/>
                                <w:sz w:val="36"/>
                                <w:szCs w:val="36"/>
                                <w:lang w:val="hy-AM"/>
                              </w:rPr>
                              <w:t>-ԲԱՑԱՏՐԱԳԻՐ</w:t>
                            </w:r>
                          </w:p>
                          <w:p w14:paraId="5118F20D" w14:textId="77777777" w:rsidR="00147C8B" w:rsidRDefault="00147C8B"/>
                          <w:p w14:paraId="450ACBD7" w14:textId="77777777" w:rsidR="00147C8B" w:rsidRPr="00056843" w:rsidRDefault="00147C8B" w:rsidP="00FD0C29">
                            <w:pPr>
                              <w:jc w:val="center"/>
                              <w:rPr>
                                <w:color w:val="FFFFFF" w:themeColor="background1"/>
                                <w:lang w:val="hy-AM"/>
                              </w:rPr>
                            </w:pPr>
                            <w:r w:rsidRPr="00056843">
                              <w:rPr>
                                <w:color w:val="FFFFFF" w:themeColor="background1"/>
                                <w:lang w:val="hy-AM"/>
                              </w:rPr>
                              <w:t>ԹՅԱՆ ԿԱՌԱՎԱՐՈՒԹՅԱՆ</w:t>
                            </w:r>
                          </w:p>
                          <w:p w14:paraId="4A3ADF41" w14:textId="77777777" w:rsidR="00147C8B" w:rsidRDefault="00147C8B"/>
                          <w:p w14:paraId="4F93ACE2" w14:textId="77777777" w:rsidR="00147C8B" w:rsidRPr="00056843" w:rsidRDefault="00147C8B" w:rsidP="00FD0C29">
                            <w:pPr>
                              <w:jc w:val="center"/>
                              <w:rPr>
                                <w:color w:val="FFFFFF" w:themeColor="background1"/>
                                <w:lang w:val="hy-AM"/>
                              </w:rPr>
                            </w:pPr>
                            <w:r w:rsidRPr="00682390">
                              <w:rPr>
                                <w:b/>
                                <w:color w:val="44546A" w:themeColor="text2"/>
                                <w:sz w:val="70"/>
                                <w:szCs w:val="70"/>
                              </w:rPr>
                              <w:t>2025 ԹՎԱԿԱՆԻ</w:t>
                            </w:r>
                            <w:r w:rsidRPr="00056843">
                              <w:rPr>
                                <w:color w:val="FFFFFF" w:themeColor="background1"/>
                                <w:lang w:val="hy-AM"/>
                              </w:rPr>
                              <w:t>ԹՅԱՆ ԿԱՌԱՎԱՐՈՒԹՅԱՆ</w:t>
                            </w:r>
                          </w:p>
                          <w:p w14:paraId="6F5C45FF" w14:textId="77777777" w:rsidR="00147C8B" w:rsidRDefault="00147C8B"/>
                          <w:p w14:paraId="41F6370E" w14:textId="77777777" w:rsidR="00147C8B" w:rsidRPr="00056843" w:rsidRDefault="00147C8B" w:rsidP="00FD0C29">
                            <w:pPr>
                              <w:jc w:val="center"/>
                              <w:rPr>
                                <w:color w:val="FFFFFF" w:themeColor="background1"/>
                                <w:lang w:val="hy-AM"/>
                              </w:rPr>
                            </w:pPr>
                            <w:r w:rsidRPr="00682390">
                              <w:rPr>
                                <w:b/>
                                <w:color w:val="44546A" w:themeColor="text2"/>
                                <w:sz w:val="70"/>
                                <w:szCs w:val="70"/>
                              </w:rPr>
                              <w:t>2025 ԹՎԱԿԱՆԻ</w:t>
                            </w:r>
                            <w:r w:rsidRPr="00056843">
                              <w:rPr>
                                <w:color w:val="FFFFFF" w:themeColor="background1"/>
                                <w:lang w:val="hy-AM"/>
                              </w:rPr>
                              <w:t>ԹՅԱՆ ԿԱՌԱՎԱՐՈՒԹՅԱՆ</w:t>
                            </w:r>
                          </w:p>
                          <w:p w14:paraId="1DAAF1D3" w14:textId="77777777" w:rsidR="00147C8B" w:rsidRDefault="00147C8B"/>
                          <w:p w14:paraId="420BE80B" w14:textId="77777777" w:rsidR="00147C8B" w:rsidRPr="00056843" w:rsidRDefault="00147C8B" w:rsidP="00FD0C29">
                            <w:pPr>
                              <w:jc w:val="center"/>
                              <w:rPr>
                                <w:color w:val="FFFFFF" w:themeColor="background1"/>
                                <w:lang w:val="hy-AM"/>
                              </w:rPr>
                            </w:pPr>
                            <w:r w:rsidRPr="00682390">
                              <w:rPr>
                                <w:b/>
                                <w:color w:val="44546A" w:themeColor="text2"/>
                                <w:sz w:val="70"/>
                                <w:szCs w:val="70"/>
                              </w:rPr>
                              <w:t>2025 ԹՎԱԿԱՆԻ</w:t>
                            </w:r>
                            <w:r w:rsidRPr="00056843">
                              <w:rPr>
                                <w:color w:val="FFFFFF" w:themeColor="background1"/>
                                <w:lang w:val="hy-AM"/>
                              </w:rPr>
                              <w:t>ԹՅԱՆ ԿԱՌԱՎԱՐՈՒԹՅԱՆ</w:t>
                            </w:r>
                          </w:p>
                          <w:p w14:paraId="5DD1D745" w14:textId="77777777" w:rsidR="00147C8B" w:rsidRDefault="00147C8B"/>
                          <w:p w14:paraId="563C53C6"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6366A75F" w14:textId="77777777" w:rsidR="00147C8B" w:rsidRPr="00A3353C" w:rsidRDefault="00147C8B" w:rsidP="00682390">
                            <w:pPr>
                              <w:jc w:val="right"/>
                              <w:rPr>
                                <w:sz w:val="74"/>
                                <w:szCs w:val="74"/>
                              </w:rPr>
                            </w:pPr>
                          </w:p>
                          <w:p w14:paraId="742FDC8C" w14:textId="77777777" w:rsidR="00147C8B" w:rsidRDefault="00147C8B" w:rsidP="00682390">
                            <w:pPr>
                              <w:jc w:val="right"/>
                            </w:pPr>
                          </w:p>
                          <w:p w14:paraId="6B2CDC6B" w14:textId="77777777" w:rsidR="00147C8B" w:rsidRPr="00056843" w:rsidRDefault="00147C8B" w:rsidP="00FD0C29">
                            <w:pPr>
                              <w:jc w:val="center"/>
                              <w:rPr>
                                <w:color w:val="FFFFFF" w:themeColor="background1"/>
                                <w:lang w:val="hy-AM"/>
                              </w:rPr>
                            </w:pPr>
                            <w:r w:rsidRPr="00682390">
                              <w:rPr>
                                <w:b/>
                                <w:color w:val="44546A" w:themeColor="text2"/>
                                <w:sz w:val="40"/>
                                <w:szCs w:val="40"/>
                              </w:rPr>
                              <w:t>ԲՅՈՒՋԵՏԱՅԻՆ ՈՒՂԵՐՁ</w:t>
                            </w:r>
                            <w:r w:rsidRPr="00682390">
                              <w:rPr>
                                <w:b/>
                                <w:color w:val="44546A" w:themeColor="text2"/>
                                <w:sz w:val="70"/>
                                <w:szCs w:val="70"/>
                              </w:rPr>
                              <w:t>2025 ԹՎԱԿԱՆԻ</w:t>
                            </w:r>
                            <w:r w:rsidRPr="00056843">
                              <w:rPr>
                                <w:color w:val="FFFFFF" w:themeColor="background1"/>
                                <w:lang w:val="hy-AM"/>
                              </w:rPr>
                              <w:t>ԹՅԱՆ ԿԱՌԱՎԱՐՈՒԹՅԱՆ</w:t>
                            </w:r>
                          </w:p>
                          <w:p w14:paraId="3310F4ED" w14:textId="77777777" w:rsidR="00147C8B" w:rsidRDefault="00147C8B"/>
                          <w:p w14:paraId="2C90EBE9" w14:textId="77777777" w:rsidR="00147C8B" w:rsidRPr="00056843" w:rsidRDefault="00147C8B" w:rsidP="00FD0C29">
                            <w:pPr>
                              <w:jc w:val="center"/>
                              <w:rPr>
                                <w:color w:val="FFFFFF" w:themeColor="background1"/>
                                <w:lang w:val="hy-AM"/>
                              </w:rPr>
                            </w:pPr>
                            <w:r w:rsidRPr="00682390">
                              <w:rPr>
                                <w:b/>
                                <w:color w:val="44546A" w:themeColor="text2"/>
                                <w:sz w:val="70"/>
                                <w:szCs w:val="70"/>
                              </w:rPr>
                              <w:t>2025 ԹՎԱԿԱՆԻ</w:t>
                            </w:r>
                            <w:r w:rsidRPr="00056843">
                              <w:rPr>
                                <w:color w:val="FFFFFF" w:themeColor="background1"/>
                                <w:lang w:val="hy-AM"/>
                              </w:rPr>
                              <w:t>ԹՅԱՆ ԿԱՌԱՎԱՐՈՒԹՅԱՆ</w:t>
                            </w:r>
                          </w:p>
                          <w:p w14:paraId="4EB70BE1" w14:textId="77777777" w:rsidR="00147C8B" w:rsidRDefault="00147C8B"/>
                          <w:p w14:paraId="5F4FA674" w14:textId="77777777" w:rsidR="00147C8B" w:rsidRPr="00056843" w:rsidRDefault="00147C8B" w:rsidP="00FD0C29">
                            <w:pPr>
                              <w:jc w:val="center"/>
                              <w:rPr>
                                <w:color w:val="FFFFFF" w:themeColor="background1"/>
                                <w:lang w:val="hy-AM"/>
                              </w:rPr>
                            </w:pPr>
                            <w:r w:rsidRPr="00682390">
                              <w:rPr>
                                <w:b/>
                                <w:color w:val="44546A" w:themeColor="text2"/>
                                <w:sz w:val="70"/>
                                <w:szCs w:val="70"/>
                              </w:rPr>
                              <w:t>2025 ԹՎԱԿԱՆԻ</w:t>
                            </w:r>
                            <w:r w:rsidRPr="00056843">
                              <w:rPr>
                                <w:color w:val="FFFFFF" w:themeColor="background1"/>
                                <w:lang w:val="hy-AM"/>
                              </w:rPr>
                              <w:t>ԹՅԱՆ ԿԱՌԱՎԱՐՈՒԹՅԱՆ</w:t>
                            </w:r>
                          </w:p>
                          <w:p w14:paraId="0DB1A9AD" w14:textId="77777777" w:rsidR="00147C8B" w:rsidRDefault="00147C8B"/>
                          <w:p w14:paraId="73C71D26" w14:textId="77777777" w:rsidR="00147C8B" w:rsidRPr="00056843" w:rsidRDefault="00147C8B" w:rsidP="00FD0C29">
                            <w:pPr>
                              <w:jc w:val="center"/>
                              <w:rPr>
                                <w:color w:val="FFFFFF" w:themeColor="background1"/>
                                <w:lang w:val="hy-AM"/>
                              </w:rPr>
                            </w:pPr>
                            <w:r w:rsidRPr="00682390">
                              <w:rPr>
                                <w:b/>
                                <w:color w:val="44546A" w:themeColor="text2"/>
                                <w:sz w:val="70"/>
                                <w:szCs w:val="70"/>
                              </w:rPr>
                              <w:t>2025 ԹՎԱԿԱՆԻ</w:t>
                            </w:r>
                            <w:r w:rsidRPr="00056843">
                              <w:rPr>
                                <w:color w:val="FFFFFF" w:themeColor="background1"/>
                                <w:lang w:val="hy-AM"/>
                              </w:rPr>
                              <w:t>ԹՅԱՆ ԿԱՌԱՎԱՐՈՒԹՅԱՆ</w:t>
                            </w:r>
                          </w:p>
                          <w:p w14:paraId="38B629B3" w14:textId="77777777" w:rsidR="00147C8B" w:rsidRDefault="00147C8B"/>
                          <w:p w14:paraId="3F6A8B46"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ՈՒՂԵՐՁ</w:t>
                            </w:r>
                            <w:r w:rsidRPr="00812F22">
                              <w:rPr>
                                <w:b/>
                                <w:color w:val="44546A" w:themeColor="text2"/>
                                <w:sz w:val="36"/>
                                <w:szCs w:val="36"/>
                                <w:lang w:val="hy-AM"/>
                              </w:rPr>
                              <w:t>-ԲԱՑԱՏՐԱԳԻՐ</w:t>
                            </w:r>
                          </w:p>
                          <w:p w14:paraId="756DCEB3" w14:textId="77777777" w:rsidR="00147C8B" w:rsidRDefault="00147C8B"/>
                          <w:p w14:paraId="109F93CE" w14:textId="77777777" w:rsidR="00147C8B" w:rsidRDefault="00147C8B"/>
                          <w:p w14:paraId="54F5F32B"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7A7E8E56" w14:textId="77777777" w:rsidR="00147C8B" w:rsidRPr="00A3353C" w:rsidRDefault="00147C8B" w:rsidP="00682390">
                            <w:pPr>
                              <w:jc w:val="right"/>
                              <w:rPr>
                                <w:sz w:val="74"/>
                                <w:szCs w:val="74"/>
                              </w:rPr>
                            </w:pPr>
                          </w:p>
                          <w:p w14:paraId="642771A6" w14:textId="77777777" w:rsidR="00147C8B" w:rsidRDefault="00147C8B" w:rsidP="00682390">
                            <w:pPr>
                              <w:jc w:val="right"/>
                            </w:pPr>
                          </w:p>
                          <w:p w14:paraId="583FE99C"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 xml:space="preserve">2025 ԹՎԱԿԱՆԻ </w:t>
                            </w:r>
                          </w:p>
                          <w:p w14:paraId="26F1ECA0" w14:textId="77777777" w:rsidR="00147C8B" w:rsidRPr="00A3353C" w:rsidRDefault="00147C8B" w:rsidP="00682390">
                            <w:pPr>
                              <w:jc w:val="right"/>
                              <w:rPr>
                                <w:sz w:val="74"/>
                                <w:szCs w:val="74"/>
                              </w:rPr>
                            </w:pPr>
                          </w:p>
                          <w:p w14:paraId="2A0F7FA2" w14:textId="77777777" w:rsidR="00147C8B" w:rsidRDefault="00147C8B"/>
                          <w:p w14:paraId="2FA02499"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ՈՒՂԵՐՁ</w:t>
                            </w:r>
                            <w:r w:rsidRPr="00812F22">
                              <w:rPr>
                                <w:b/>
                                <w:color w:val="44546A" w:themeColor="text2"/>
                                <w:sz w:val="36"/>
                                <w:szCs w:val="36"/>
                                <w:lang w:val="hy-AM"/>
                              </w:rPr>
                              <w:t>-ԲԱՑԱՏՐԱԳԻՐ</w:t>
                            </w: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2DA8C4A5" w14:textId="77777777" w:rsidR="00147C8B" w:rsidRPr="00A3353C" w:rsidRDefault="00147C8B" w:rsidP="00682390">
                            <w:pPr>
                              <w:jc w:val="right"/>
                              <w:rPr>
                                <w:sz w:val="74"/>
                                <w:szCs w:val="74"/>
                              </w:rPr>
                            </w:pPr>
                          </w:p>
                          <w:p w14:paraId="3E8CB739" w14:textId="77777777" w:rsidR="00147C8B" w:rsidRDefault="00147C8B" w:rsidP="00682390">
                            <w:pPr>
                              <w:jc w:val="right"/>
                            </w:pPr>
                          </w:p>
                          <w:p w14:paraId="375DD1E9" w14:textId="77777777" w:rsidR="00147C8B" w:rsidRPr="00812F22" w:rsidRDefault="00147C8B" w:rsidP="00682390">
                            <w:pPr>
                              <w:pStyle w:val="BodyText1"/>
                              <w:jc w:val="right"/>
                              <w:rPr>
                                <w:b/>
                                <w:color w:val="44546A" w:themeColor="text2"/>
                                <w:sz w:val="36"/>
                                <w:szCs w:val="36"/>
                              </w:rPr>
                            </w:pPr>
                            <w:r w:rsidRPr="00682390">
                              <w:rPr>
                                <w:b/>
                                <w:color w:val="44546A" w:themeColor="text2"/>
                                <w:sz w:val="40"/>
                                <w:szCs w:val="40"/>
                              </w:rPr>
                              <w:t>ԲՅՈՒՋԵՏԱՅԻՆ ՈՒՂԵՐՁ</w:t>
                            </w:r>
                            <w:r w:rsidRPr="00682390">
                              <w:rPr>
                                <w:b/>
                                <w:color w:val="44546A" w:themeColor="text2"/>
                                <w:sz w:val="70"/>
                                <w:szCs w:val="70"/>
                              </w:rPr>
                              <w:t>2025 ԹՎԱԿԱՆԻ</w:t>
                            </w:r>
                            <w:r w:rsidRPr="00812F22">
                              <w:rPr>
                                <w:b/>
                                <w:color w:val="44546A" w:themeColor="text2"/>
                                <w:sz w:val="36"/>
                                <w:szCs w:val="36"/>
                              </w:rPr>
                              <w:t>ՈՒՂԵՐՁ</w:t>
                            </w:r>
                            <w:r w:rsidRPr="00812F22">
                              <w:rPr>
                                <w:b/>
                                <w:color w:val="44546A" w:themeColor="text2"/>
                                <w:sz w:val="36"/>
                                <w:szCs w:val="36"/>
                                <w:lang w:val="hy-AM"/>
                              </w:rPr>
                              <w:t>-ԲԱՑԱՏՐԱԳԻՐ</w:t>
                            </w:r>
                          </w:p>
                          <w:p w14:paraId="254AA712" w14:textId="77777777" w:rsidR="00147C8B" w:rsidRDefault="00147C8B"/>
                          <w:p w14:paraId="3BF825B2" w14:textId="77777777" w:rsidR="00147C8B" w:rsidRDefault="00147C8B"/>
                          <w:p w14:paraId="39CAF46F" w14:textId="77777777" w:rsidR="00147C8B" w:rsidRPr="00812F22" w:rsidRDefault="00147C8B" w:rsidP="00682390">
                            <w:pPr>
                              <w:pStyle w:val="BodyText1"/>
                              <w:jc w:val="right"/>
                              <w:rPr>
                                <w:b/>
                                <w:color w:val="44546A" w:themeColor="text2"/>
                                <w:sz w:val="36"/>
                                <w:szCs w:val="36"/>
                              </w:rPr>
                            </w:pPr>
                            <w:r>
                              <w:rPr>
                                <w:b/>
                                <w:color w:val="44546A" w:themeColor="text2"/>
                                <w:sz w:val="36"/>
                                <w:szCs w:val="36"/>
                              </w:rPr>
                              <w:t>2026</w:t>
                            </w:r>
                            <w:r w:rsidRPr="00812F22">
                              <w:rPr>
                                <w:b/>
                                <w:color w:val="44546A" w:themeColor="text2"/>
                                <w:sz w:val="36"/>
                                <w:szCs w:val="36"/>
                              </w:rPr>
                              <w:t xml:space="preserve">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3A1006D7" w14:textId="77777777" w:rsidR="00147C8B" w:rsidRPr="00A3353C" w:rsidRDefault="00147C8B" w:rsidP="00682390">
                            <w:pPr>
                              <w:jc w:val="right"/>
                              <w:rPr>
                                <w:sz w:val="74"/>
                                <w:szCs w:val="74"/>
                              </w:rPr>
                            </w:pPr>
                          </w:p>
                          <w:p w14:paraId="13E328A5" w14:textId="77777777" w:rsidR="00147C8B" w:rsidRDefault="00147C8B" w:rsidP="00682390">
                            <w:pPr>
                              <w:jc w:val="right"/>
                            </w:pPr>
                          </w:p>
                          <w:p w14:paraId="0C9B00CF"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 xml:space="preserve">2025 ԹՎԱԿԱՆԻ </w:t>
                            </w:r>
                          </w:p>
                          <w:p w14:paraId="317AC7E3" w14:textId="77777777" w:rsidR="00147C8B" w:rsidRPr="00A3353C" w:rsidRDefault="00147C8B" w:rsidP="00682390">
                            <w:pPr>
                              <w:jc w:val="right"/>
                              <w:rPr>
                                <w:sz w:val="74"/>
                                <w:szCs w:val="74"/>
                              </w:rPr>
                            </w:pPr>
                          </w:p>
                          <w:p w14:paraId="4E531C44" w14:textId="77777777" w:rsidR="00147C8B" w:rsidRDefault="00147C8B"/>
                          <w:p w14:paraId="65703D82"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ՈՒՂԵՐՁ</w:t>
                            </w:r>
                            <w:r w:rsidRPr="00812F22">
                              <w:rPr>
                                <w:b/>
                                <w:color w:val="44546A" w:themeColor="text2"/>
                                <w:sz w:val="36"/>
                                <w:szCs w:val="36"/>
                                <w:lang w:val="hy-AM"/>
                              </w:rPr>
                              <w:t>-ԲԱՑԱՏՐԱԳԻՐ</w:t>
                            </w: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1DF49825" w14:textId="77777777" w:rsidR="00147C8B" w:rsidRPr="00A3353C" w:rsidRDefault="00147C8B" w:rsidP="00682390">
                            <w:pPr>
                              <w:jc w:val="right"/>
                              <w:rPr>
                                <w:sz w:val="74"/>
                                <w:szCs w:val="74"/>
                              </w:rPr>
                            </w:pPr>
                          </w:p>
                          <w:p w14:paraId="4B7D76D8" w14:textId="77777777" w:rsidR="00147C8B" w:rsidRDefault="00147C8B" w:rsidP="00682390">
                            <w:pPr>
                              <w:jc w:val="right"/>
                            </w:pPr>
                          </w:p>
                          <w:p w14:paraId="2745072D"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 xml:space="preserve">2025 ԹՎԱԿԱՆԻ </w:t>
                            </w:r>
                          </w:p>
                          <w:p w14:paraId="1E31007F" w14:textId="77777777" w:rsidR="00147C8B" w:rsidRPr="00A3353C" w:rsidRDefault="00147C8B" w:rsidP="00682390">
                            <w:pPr>
                              <w:jc w:val="right"/>
                              <w:rPr>
                                <w:sz w:val="74"/>
                                <w:szCs w:val="74"/>
                              </w:rPr>
                            </w:pPr>
                          </w:p>
                          <w:p w14:paraId="58ECD5FC" w14:textId="77777777" w:rsidR="00147C8B" w:rsidRDefault="00147C8B"/>
                          <w:p w14:paraId="10DA1A30"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1A2B5DA9" w14:textId="77777777" w:rsidR="00147C8B" w:rsidRPr="00A3353C" w:rsidRDefault="00147C8B" w:rsidP="00682390">
                            <w:pPr>
                              <w:jc w:val="right"/>
                              <w:rPr>
                                <w:sz w:val="74"/>
                                <w:szCs w:val="74"/>
                              </w:rPr>
                            </w:pPr>
                          </w:p>
                          <w:p w14:paraId="0CB4D50B" w14:textId="77777777" w:rsidR="00147C8B" w:rsidRDefault="00147C8B" w:rsidP="00682390">
                            <w:pPr>
                              <w:jc w:val="right"/>
                            </w:pPr>
                          </w:p>
                          <w:p w14:paraId="105DC6C3"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 xml:space="preserve">2025 ԹՎԱԿԱՆԻ </w:t>
                            </w:r>
                          </w:p>
                          <w:p w14:paraId="789EF06B" w14:textId="77777777" w:rsidR="00147C8B" w:rsidRPr="00A3353C" w:rsidRDefault="00147C8B" w:rsidP="00682390">
                            <w:pPr>
                              <w:jc w:val="right"/>
                              <w:rPr>
                                <w:sz w:val="74"/>
                                <w:szCs w:val="74"/>
                              </w:rPr>
                            </w:pPr>
                          </w:p>
                          <w:p w14:paraId="047A20F3" w14:textId="77777777" w:rsidR="00147C8B" w:rsidRDefault="00147C8B"/>
                          <w:p w14:paraId="5C4EC94A"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ՈՒՂԵՐՁ</w:t>
                            </w:r>
                            <w:r w:rsidRPr="00812F22">
                              <w:rPr>
                                <w:b/>
                                <w:color w:val="44546A" w:themeColor="text2"/>
                                <w:sz w:val="36"/>
                                <w:szCs w:val="36"/>
                                <w:lang w:val="hy-AM"/>
                              </w:rPr>
                              <w:t>-ԲԱՑԱՏՐԱԳԻՐ</w:t>
                            </w: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558D12DE" w14:textId="77777777" w:rsidR="00147C8B" w:rsidRPr="00A3353C" w:rsidRDefault="00147C8B" w:rsidP="00682390">
                            <w:pPr>
                              <w:jc w:val="right"/>
                              <w:rPr>
                                <w:sz w:val="74"/>
                                <w:szCs w:val="74"/>
                              </w:rPr>
                            </w:pPr>
                          </w:p>
                          <w:p w14:paraId="2019B993" w14:textId="77777777" w:rsidR="00147C8B" w:rsidRDefault="00147C8B" w:rsidP="00682390">
                            <w:pPr>
                              <w:jc w:val="right"/>
                            </w:pPr>
                          </w:p>
                          <w:p w14:paraId="15F0F799" w14:textId="77777777" w:rsidR="00147C8B" w:rsidRPr="00812F22" w:rsidRDefault="00147C8B" w:rsidP="00682390">
                            <w:pPr>
                              <w:pStyle w:val="BodyText1"/>
                              <w:jc w:val="right"/>
                              <w:rPr>
                                <w:b/>
                                <w:color w:val="44546A" w:themeColor="text2"/>
                                <w:sz w:val="36"/>
                                <w:szCs w:val="36"/>
                              </w:rPr>
                            </w:pPr>
                            <w:r w:rsidRPr="00682390">
                              <w:rPr>
                                <w:b/>
                                <w:color w:val="44546A" w:themeColor="text2"/>
                                <w:sz w:val="40"/>
                                <w:szCs w:val="40"/>
                              </w:rPr>
                              <w:t>ԲՅՈՒՋԵՏԱՅԻՆ ՈՒՂԵՐՁ</w:t>
                            </w:r>
                            <w:r w:rsidRPr="00682390">
                              <w:rPr>
                                <w:b/>
                                <w:color w:val="44546A" w:themeColor="text2"/>
                                <w:sz w:val="70"/>
                                <w:szCs w:val="70"/>
                              </w:rPr>
                              <w:t>2025 ԹՎԱԿԱՆԻ</w:t>
                            </w:r>
                            <w:r w:rsidRPr="00812F22">
                              <w:rPr>
                                <w:b/>
                                <w:color w:val="44546A" w:themeColor="text2"/>
                                <w:sz w:val="36"/>
                                <w:szCs w:val="36"/>
                              </w:rPr>
                              <w:t>ՈՒՂԵՐՁ</w:t>
                            </w:r>
                            <w:r w:rsidRPr="00812F22">
                              <w:rPr>
                                <w:b/>
                                <w:color w:val="44546A" w:themeColor="text2"/>
                                <w:sz w:val="36"/>
                                <w:szCs w:val="36"/>
                                <w:lang w:val="hy-AM"/>
                              </w:rPr>
                              <w:t>-ԲԱՑԱՏՐԱԳԻՐ</w:t>
                            </w:r>
                          </w:p>
                          <w:p w14:paraId="58576F17" w14:textId="77777777" w:rsidR="00147C8B" w:rsidRDefault="00147C8B"/>
                          <w:p w14:paraId="2D4D9C46" w14:textId="77777777" w:rsidR="00147C8B" w:rsidRDefault="00147C8B"/>
                          <w:p w14:paraId="1570F7E2"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29E25366" w14:textId="77777777" w:rsidR="00147C8B" w:rsidRPr="00A3353C" w:rsidRDefault="00147C8B" w:rsidP="00682390">
                            <w:pPr>
                              <w:jc w:val="right"/>
                              <w:rPr>
                                <w:sz w:val="74"/>
                                <w:szCs w:val="74"/>
                              </w:rPr>
                            </w:pPr>
                          </w:p>
                          <w:p w14:paraId="6AA62FAB" w14:textId="77777777" w:rsidR="00147C8B" w:rsidRDefault="00147C8B" w:rsidP="00682390">
                            <w:pPr>
                              <w:jc w:val="right"/>
                            </w:pPr>
                          </w:p>
                          <w:p w14:paraId="047F9522"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 xml:space="preserve">2025 ԹՎԱԿԱՆԻ </w:t>
                            </w:r>
                          </w:p>
                          <w:p w14:paraId="2D88DCF2" w14:textId="77777777" w:rsidR="00147C8B" w:rsidRPr="00A3353C" w:rsidRDefault="00147C8B" w:rsidP="00682390">
                            <w:pPr>
                              <w:jc w:val="right"/>
                              <w:rPr>
                                <w:sz w:val="74"/>
                                <w:szCs w:val="74"/>
                              </w:rPr>
                            </w:pPr>
                          </w:p>
                          <w:p w14:paraId="7690EE1A" w14:textId="77777777" w:rsidR="00147C8B" w:rsidRDefault="00147C8B"/>
                          <w:p w14:paraId="310B5282"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ՈՒՂԵՐՁ</w:t>
                            </w:r>
                            <w:r w:rsidRPr="00812F22">
                              <w:rPr>
                                <w:b/>
                                <w:color w:val="44546A" w:themeColor="text2"/>
                                <w:sz w:val="36"/>
                                <w:szCs w:val="36"/>
                                <w:lang w:val="hy-AM"/>
                              </w:rPr>
                              <w:t>-ԲԱՑԱՏՐԱԳԻՐ</w:t>
                            </w: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1A6910D5" w14:textId="77777777" w:rsidR="00147C8B" w:rsidRPr="00A3353C" w:rsidRDefault="00147C8B" w:rsidP="00682390">
                            <w:pPr>
                              <w:jc w:val="right"/>
                              <w:rPr>
                                <w:sz w:val="74"/>
                                <w:szCs w:val="74"/>
                              </w:rPr>
                            </w:pPr>
                          </w:p>
                          <w:p w14:paraId="4BB7796B" w14:textId="77777777" w:rsidR="00147C8B" w:rsidRDefault="00147C8B" w:rsidP="00682390">
                            <w:pPr>
                              <w:jc w:val="right"/>
                            </w:pPr>
                          </w:p>
                          <w:p w14:paraId="58B9E6FF" w14:textId="77777777" w:rsidR="00147C8B" w:rsidRPr="00812F22" w:rsidRDefault="00147C8B" w:rsidP="00682390">
                            <w:pPr>
                              <w:pStyle w:val="BodyText1"/>
                              <w:jc w:val="right"/>
                              <w:rPr>
                                <w:b/>
                                <w:color w:val="44546A" w:themeColor="text2"/>
                                <w:sz w:val="36"/>
                                <w:szCs w:val="36"/>
                              </w:rPr>
                            </w:pPr>
                            <w:r w:rsidRPr="00682390">
                              <w:rPr>
                                <w:b/>
                                <w:color w:val="44546A" w:themeColor="text2"/>
                                <w:sz w:val="40"/>
                                <w:szCs w:val="40"/>
                              </w:rPr>
                              <w:t>ԲՅՈՒՋԵՏԱՅԻՆ ՈՒՂԵՐՁ</w:t>
                            </w:r>
                            <w:r w:rsidRPr="00682390">
                              <w:rPr>
                                <w:b/>
                                <w:color w:val="44546A" w:themeColor="text2"/>
                                <w:sz w:val="70"/>
                                <w:szCs w:val="70"/>
                              </w:rPr>
                              <w:t>2025 ԹՎԱԿԱՆԻ</w:t>
                            </w:r>
                            <w:r w:rsidRPr="00812F22">
                              <w:rPr>
                                <w:b/>
                                <w:color w:val="44546A" w:themeColor="text2"/>
                                <w:sz w:val="36"/>
                                <w:szCs w:val="36"/>
                              </w:rPr>
                              <w:t>ՈՒՂԵՐՁ</w:t>
                            </w:r>
                            <w:r w:rsidRPr="00812F22">
                              <w:rPr>
                                <w:b/>
                                <w:color w:val="44546A" w:themeColor="text2"/>
                                <w:sz w:val="36"/>
                                <w:szCs w:val="36"/>
                                <w:lang w:val="hy-AM"/>
                              </w:rPr>
                              <w:t>-ԲԱՑԱՏՐԱԳԻՐ</w:t>
                            </w:r>
                          </w:p>
                          <w:p w14:paraId="6EDF9867" w14:textId="77777777" w:rsidR="00147C8B" w:rsidRDefault="00147C8B"/>
                          <w:p w14:paraId="0CFB8B00" w14:textId="77777777" w:rsidR="00147C8B" w:rsidRPr="00056843" w:rsidRDefault="00147C8B" w:rsidP="00FD0C29">
                            <w:pPr>
                              <w:jc w:val="center"/>
                              <w:rPr>
                                <w:color w:val="FFFFFF" w:themeColor="background1"/>
                                <w:lang w:val="hy-AM"/>
                              </w:rPr>
                            </w:pPr>
                            <w:r w:rsidRPr="00056843">
                              <w:rPr>
                                <w:color w:val="FFFFFF" w:themeColor="background1"/>
                                <w:lang w:val="hy-AM"/>
                              </w:rPr>
                              <w:t>ԹՅԱՆ ԿԱՌԱՎԱՐՈՒԹՅԱՆ</w:t>
                            </w:r>
                          </w:p>
                          <w:p w14:paraId="2910278A" w14:textId="77777777" w:rsidR="00147C8B" w:rsidRDefault="00147C8B"/>
                          <w:p w14:paraId="6BC996DF" w14:textId="77777777" w:rsidR="00147C8B" w:rsidRPr="00056843" w:rsidRDefault="00147C8B" w:rsidP="00FD0C29">
                            <w:pPr>
                              <w:jc w:val="center"/>
                              <w:rPr>
                                <w:color w:val="FFFFFF" w:themeColor="background1"/>
                                <w:lang w:val="hy-AM"/>
                              </w:rPr>
                            </w:pPr>
                            <w:r w:rsidRPr="00682390">
                              <w:rPr>
                                <w:b/>
                                <w:color w:val="44546A" w:themeColor="text2"/>
                                <w:sz w:val="70"/>
                                <w:szCs w:val="70"/>
                              </w:rPr>
                              <w:t>2025 ԹՎԱԿԱՆԻ</w:t>
                            </w:r>
                            <w:r w:rsidRPr="00056843">
                              <w:rPr>
                                <w:color w:val="FFFFFF" w:themeColor="background1"/>
                                <w:lang w:val="hy-AM"/>
                              </w:rPr>
                              <w:t>ԹՅԱՆ ԿԱՌԱՎԱՐՈՒԹՅԱՆ</w:t>
                            </w:r>
                          </w:p>
                          <w:p w14:paraId="2FADDCA1" w14:textId="77777777" w:rsidR="00147C8B" w:rsidRDefault="00147C8B"/>
                          <w:p w14:paraId="3BF5CA74" w14:textId="77777777" w:rsidR="00147C8B" w:rsidRPr="00056843" w:rsidRDefault="00147C8B" w:rsidP="00FD0C29">
                            <w:pPr>
                              <w:jc w:val="center"/>
                              <w:rPr>
                                <w:color w:val="FFFFFF" w:themeColor="background1"/>
                                <w:lang w:val="hy-AM"/>
                              </w:rPr>
                            </w:pPr>
                            <w:r w:rsidRPr="00682390">
                              <w:rPr>
                                <w:b/>
                                <w:color w:val="44546A" w:themeColor="text2"/>
                                <w:sz w:val="70"/>
                                <w:szCs w:val="70"/>
                              </w:rPr>
                              <w:t>2025 ԹՎԱԿԱՆԻ</w:t>
                            </w:r>
                            <w:r w:rsidRPr="00056843">
                              <w:rPr>
                                <w:color w:val="FFFFFF" w:themeColor="background1"/>
                                <w:lang w:val="hy-AM"/>
                              </w:rPr>
                              <w:t>ԹՅԱՆ ԿԱՌԱՎԱՐՈՒԹՅԱՆ</w:t>
                            </w:r>
                          </w:p>
                          <w:p w14:paraId="5F64A64C" w14:textId="77777777" w:rsidR="00147C8B" w:rsidRDefault="00147C8B"/>
                          <w:p w14:paraId="334C8980" w14:textId="77777777" w:rsidR="00147C8B" w:rsidRPr="00056843" w:rsidRDefault="00147C8B" w:rsidP="00FD0C29">
                            <w:pPr>
                              <w:jc w:val="center"/>
                              <w:rPr>
                                <w:color w:val="FFFFFF" w:themeColor="background1"/>
                                <w:lang w:val="hy-AM"/>
                              </w:rPr>
                            </w:pPr>
                            <w:r w:rsidRPr="00682390">
                              <w:rPr>
                                <w:b/>
                                <w:color w:val="44546A" w:themeColor="text2"/>
                                <w:sz w:val="70"/>
                                <w:szCs w:val="70"/>
                              </w:rPr>
                              <w:t>2025 ԹՎԱԿԱՆԻ</w:t>
                            </w:r>
                            <w:r w:rsidRPr="00056843">
                              <w:rPr>
                                <w:color w:val="FFFFFF" w:themeColor="background1"/>
                                <w:lang w:val="hy-AM"/>
                              </w:rPr>
                              <w:t>ԹՅԱՆ ԿԱՌԱՎԱՐՈՒԹՅԱՆ</w:t>
                            </w:r>
                          </w:p>
                          <w:p w14:paraId="1A43CFD0" w14:textId="77777777" w:rsidR="00147C8B" w:rsidRDefault="00147C8B"/>
                          <w:p w14:paraId="36883003"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21A6A794" w14:textId="77777777" w:rsidR="00147C8B" w:rsidRPr="00A3353C" w:rsidRDefault="00147C8B" w:rsidP="00682390">
                            <w:pPr>
                              <w:jc w:val="right"/>
                              <w:rPr>
                                <w:sz w:val="74"/>
                                <w:szCs w:val="74"/>
                              </w:rPr>
                            </w:pPr>
                          </w:p>
                          <w:p w14:paraId="11778CFE" w14:textId="77777777" w:rsidR="00147C8B" w:rsidRDefault="00147C8B" w:rsidP="00682390">
                            <w:pPr>
                              <w:jc w:val="right"/>
                            </w:pPr>
                          </w:p>
                          <w:p w14:paraId="3268B6E7" w14:textId="77777777" w:rsidR="00147C8B" w:rsidRPr="00056843" w:rsidRDefault="00147C8B" w:rsidP="00FD0C29">
                            <w:pPr>
                              <w:jc w:val="center"/>
                              <w:rPr>
                                <w:color w:val="FFFFFF" w:themeColor="background1"/>
                                <w:lang w:val="hy-AM"/>
                              </w:rPr>
                            </w:pPr>
                            <w:r w:rsidRPr="00682390">
                              <w:rPr>
                                <w:b/>
                                <w:color w:val="44546A" w:themeColor="text2"/>
                                <w:sz w:val="40"/>
                                <w:szCs w:val="40"/>
                              </w:rPr>
                              <w:t>ԲՅՈՒՋԵՏԱՅԻՆ ՈՒՂԵՐՁ</w:t>
                            </w:r>
                            <w:r w:rsidRPr="00682390">
                              <w:rPr>
                                <w:b/>
                                <w:color w:val="44546A" w:themeColor="text2"/>
                                <w:sz w:val="70"/>
                                <w:szCs w:val="70"/>
                              </w:rPr>
                              <w:t>2025 ԹՎԱԿԱՆԻ</w:t>
                            </w:r>
                            <w:r w:rsidRPr="00056843">
                              <w:rPr>
                                <w:color w:val="FFFFFF" w:themeColor="background1"/>
                                <w:lang w:val="hy-AM"/>
                              </w:rPr>
                              <w:t>ԹՅԱՆ ԿԱՌԱՎԱՐՈՒԹՅԱՆ</w:t>
                            </w:r>
                          </w:p>
                          <w:p w14:paraId="763D9275" w14:textId="77777777" w:rsidR="00147C8B" w:rsidRDefault="00147C8B"/>
                          <w:p w14:paraId="33288AD7" w14:textId="77777777" w:rsidR="00147C8B" w:rsidRPr="00056843" w:rsidRDefault="00147C8B" w:rsidP="00FD0C29">
                            <w:pPr>
                              <w:jc w:val="center"/>
                              <w:rPr>
                                <w:color w:val="FFFFFF" w:themeColor="background1"/>
                                <w:lang w:val="hy-AM"/>
                              </w:rPr>
                            </w:pPr>
                            <w:r w:rsidRPr="00682390">
                              <w:rPr>
                                <w:b/>
                                <w:color w:val="44546A" w:themeColor="text2"/>
                                <w:sz w:val="70"/>
                                <w:szCs w:val="70"/>
                              </w:rPr>
                              <w:t>2025 ԹՎԱԿԱՆԻ</w:t>
                            </w:r>
                            <w:r w:rsidRPr="00056843">
                              <w:rPr>
                                <w:color w:val="FFFFFF" w:themeColor="background1"/>
                                <w:lang w:val="hy-AM"/>
                              </w:rPr>
                              <w:t>ԹՅԱՆ ԿԱՌԱՎԱՐՈՒԹՅԱՆ</w:t>
                            </w:r>
                          </w:p>
                          <w:p w14:paraId="35632928" w14:textId="77777777" w:rsidR="00147C8B" w:rsidRDefault="00147C8B"/>
                          <w:p w14:paraId="382EAF36" w14:textId="77777777" w:rsidR="00147C8B" w:rsidRPr="00056843" w:rsidRDefault="00147C8B" w:rsidP="00FD0C29">
                            <w:pPr>
                              <w:jc w:val="center"/>
                              <w:rPr>
                                <w:color w:val="FFFFFF" w:themeColor="background1"/>
                                <w:lang w:val="hy-AM"/>
                              </w:rPr>
                            </w:pPr>
                            <w:r w:rsidRPr="00682390">
                              <w:rPr>
                                <w:b/>
                                <w:color w:val="44546A" w:themeColor="text2"/>
                                <w:sz w:val="70"/>
                                <w:szCs w:val="70"/>
                              </w:rPr>
                              <w:t>2025 ԹՎԱԿԱՆԻ</w:t>
                            </w:r>
                            <w:r w:rsidRPr="00056843">
                              <w:rPr>
                                <w:color w:val="FFFFFF" w:themeColor="background1"/>
                                <w:lang w:val="hy-AM"/>
                              </w:rPr>
                              <w:t>ԹՅԱՆ ԿԱՌԱՎԱՐՈՒԹՅԱՆ</w:t>
                            </w:r>
                          </w:p>
                          <w:p w14:paraId="72046FA0" w14:textId="77777777" w:rsidR="00147C8B" w:rsidRDefault="00147C8B"/>
                          <w:p w14:paraId="2F3B3221" w14:textId="77777777" w:rsidR="00147C8B" w:rsidRPr="00056843" w:rsidRDefault="00147C8B" w:rsidP="00FD0C29">
                            <w:pPr>
                              <w:jc w:val="center"/>
                              <w:rPr>
                                <w:color w:val="FFFFFF" w:themeColor="background1"/>
                                <w:lang w:val="hy-AM"/>
                              </w:rPr>
                            </w:pPr>
                            <w:r w:rsidRPr="00682390">
                              <w:rPr>
                                <w:b/>
                                <w:color w:val="44546A" w:themeColor="text2"/>
                                <w:sz w:val="70"/>
                                <w:szCs w:val="70"/>
                              </w:rPr>
                              <w:t>2025 ԹՎԱԿԱՆԻ</w:t>
                            </w:r>
                            <w:r w:rsidRPr="00056843">
                              <w:rPr>
                                <w:color w:val="FFFFFF" w:themeColor="background1"/>
                                <w:lang w:val="hy-AM"/>
                              </w:rPr>
                              <w:t>ԹՅԱՆ ԿԱՌԱՎԱՐՈՒԹՅԱՆ</w:t>
                            </w:r>
                          </w:p>
                          <w:p w14:paraId="0CFEF023" w14:textId="77777777" w:rsidR="00147C8B" w:rsidRDefault="00147C8B"/>
                          <w:p w14:paraId="2B4F2185"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ՈՒՂԵՐՁ</w:t>
                            </w:r>
                            <w:r w:rsidRPr="00812F22">
                              <w:rPr>
                                <w:b/>
                                <w:color w:val="44546A" w:themeColor="text2"/>
                                <w:sz w:val="36"/>
                                <w:szCs w:val="36"/>
                                <w:lang w:val="hy-AM"/>
                              </w:rPr>
                              <w:t>-ԲԱՑԱՏՐԱԳԻՐ</w:t>
                            </w:r>
                          </w:p>
                          <w:p w14:paraId="15C5A4A4" w14:textId="77777777" w:rsidR="00147C8B" w:rsidRDefault="00147C8B"/>
                          <w:p w14:paraId="5A49D954" w14:textId="77777777" w:rsidR="00147C8B" w:rsidRPr="00056843" w:rsidRDefault="00147C8B" w:rsidP="00FD0C29">
                            <w:pPr>
                              <w:jc w:val="center"/>
                              <w:rPr>
                                <w:color w:val="FFFFFF" w:themeColor="background1"/>
                                <w:lang w:val="hy-AM"/>
                              </w:rPr>
                            </w:pPr>
                            <w:r w:rsidRPr="00056843">
                              <w:rPr>
                                <w:color w:val="FFFFFF" w:themeColor="background1"/>
                                <w:lang w:val="hy-AM"/>
                              </w:rPr>
                              <w:t>ԹՅԱՆ ԿԱՌԱՎԱՐՈՒԹՅԱՆ</w:t>
                            </w:r>
                          </w:p>
                          <w:p w14:paraId="5E235CBB" w14:textId="77777777" w:rsidR="00147C8B" w:rsidRDefault="00147C8B"/>
                          <w:p w14:paraId="0DA95D62" w14:textId="77777777" w:rsidR="00147C8B" w:rsidRPr="00056843" w:rsidRDefault="00147C8B" w:rsidP="00FD0C29">
                            <w:pPr>
                              <w:jc w:val="center"/>
                              <w:rPr>
                                <w:color w:val="FFFFFF" w:themeColor="background1"/>
                                <w:lang w:val="hy-AM"/>
                              </w:rPr>
                            </w:pPr>
                            <w:r w:rsidRPr="00682390">
                              <w:rPr>
                                <w:b/>
                                <w:color w:val="44546A" w:themeColor="text2"/>
                                <w:sz w:val="70"/>
                                <w:szCs w:val="70"/>
                              </w:rPr>
                              <w:t>2025 ԹՎԱԿԱՆԻ</w:t>
                            </w:r>
                            <w:r w:rsidRPr="00056843">
                              <w:rPr>
                                <w:color w:val="FFFFFF" w:themeColor="background1"/>
                                <w:lang w:val="hy-AM"/>
                              </w:rPr>
                              <w:t>ԹՅԱՆ ԿԱՌԱՎԱՐՈՒԹՅԱՆ</w:t>
                            </w:r>
                          </w:p>
                          <w:p w14:paraId="35703E36" w14:textId="77777777" w:rsidR="00147C8B" w:rsidRDefault="00147C8B"/>
                          <w:p w14:paraId="2E0F6DA4" w14:textId="77777777" w:rsidR="00147C8B" w:rsidRPr="00056843" w:rsidRDefault="00147C8B" w:rsidP="00FD0C29">
                            <w:pPr>
                              <w:jc w:val="center"/>
                              <w:rPr>
                                <w:color w:val="FFFFFF" w:themeColor="background1"/>
                                <w:lang w:val="hy-AM"/>
                              </w:rPr>
                            </w:pPr>
                            <w:r w:rsidRPr="00682390">
                              <w:rPr>
                                <w:b/>
                                <w:color w:val="44546A" w:themeColor="text2"/>
                                <w:sz w:val="70"/>
                                <w:szCs w:val="70"/>
                              </w:rPr>
                              <w:t>2025 ԹՎԱԿԱՆԻ</w:t>
                            </w:r>
                            <w:r w:rsidRPr="00056843">
                              <w:rPr>
                                <w:color w:val="FFFFFF" w:themeColor="background1"/>
                                <w:lang w:val="hy-AM"/>
                              </w:rPr>
                              <w:t>ԹՅԱՆ ԿԱՌԱՎԱՐՈՒԹՅԱՆ</w:t>
                            </w:r>
                          </w:p>
                          <w:p w14:paraId="20EE061F" w14:textId="77777777" w:rsidR="00147C8B" w:rsidRDefault="00147C8B"/>
                          <w:p w14:paraId="666D890F" w14:textId="77777777" w:rsidR="00147C8B" w:rsidRPr="00056843" w:rsidRDefault="00147C8B" w:rsidP="00FD0C29">
                            <w:pPr>
                              <w:jc w:val="center"/>
                              <w:rPr>
                                <w:color w:val="FFFFFF" w:themeColor="background1"/>
                                <w:lang w:val="hy-AM"/>
                              </w:rPr>
                            </w:pPr>
                            <w:r w:rsidRPr="00682390">
                              <w:rPr>
                                <w:b/>
                                <w:color w:val="44546A" w:themeColor="text2"/>
                                <w:sz w:val="70"/>
                                <w:szCs w:val="70"/>
                              </w:rPr>
                              <w:t>2025 ԹՎԱԿԱՆԻ</w:t>
                            </w:r>
                            <w:r w:rsidRPr="00056843">
                              <w:rPr>
                                <w:color w:val="FFFFFF" w:themeColor="background1"/>
                                <w:lang w:val="hy-AM"/>
                              </w:rPr>
                              <w:t>ԹՅԱՆ ԿԱՌԱՎԱՐՈՒԹՅԱՆ</w:t>
                            </w:r>
                          </w:p>
                          <w:p w14:paraId="132FEE53" w14:textId="77777777" w:rsidR="00147C8B" w:rsidRDefault="00147C8B"/>
                          <w:p w14:paraId="30D6B2E1"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37993B94" w14:textId="77777777" w:rsidR="00147C8B" w:rsidRPr="00A3353C" w:rsidRDefault="00147C8B" w:rsidP="00682390">
                            <w:pPr>
                              <w:jc w:val="right"/>
                              <w:rPr>
                                <w:sz w:val="74"/>
                                <w:szCs w:val="74"/>
                              </w:rPr>
                            </w:pPr>
                          </w:p>
                          <w:p w14:paraId="0C8F6E71" w14:textId="77777777" w:rsidR="00147C8B" w:rsidRDefault="00147C8B" w:rsidP="00682390">
                            <w:pPr>
                              <w:jc w:val="right"/>
                            </w:pPr>
                          </w:p>
                          <w:p w14:paraId="758C9813" w14:textId="77777777" w:rsidR="00147C8B" w:rsidRPr="00056843" w:rsidRDefault="00147C8B" w:rsidP="00FD0C29">
                            <w:pPr>
                              <w:jc w:val="center"/>
                              <w:rPr>
                                <w:color w:val="FFFFFF" w:themeColor="background1"/>
                                <w:lang w:val="hy-AM"/>
                              </w:rPr>
                            </w:pPr>
                            <w:r w:rsidRPr="00682390">
                              <w:rPr>
                                <w:b/>
                                <w:color w:val="44546A" w:themeColor="text2"/>
                                <w:sz w:val="40"/>
                                <w:szCs w:val="40"/>
                              </w:rPr>
                              <w:t>ԲՅՈՒՋԵՏԱՅԻՆ ՈՒՂԵՐՁ</w:t>
                            </w:r>
                            <w:r w:rsidRPr="00682390">
                              <w:rPr>
                                <w:b/>
                                <w:color w:val="44546A" w:themeColor="text2"/>
                                <w:sz w:val="70"/>
                                <w:szCs w:val="70"/>
                              </w:rPr>
                              <w:t>2025 ԹՎԱԿԱՆԻ</w:t>
                            </w:r>
                            <w:r w:rsidRPr="00056843">
                              <w:rPr>
                                <w:color w:val="FFFFFF" w:themeColor="background1"/>
                                <w:lang w:val="hy-AM"/>
                              </w:rPr>
                              <w:t>ԹՅԱՆ ԿԱՌԱՎԱՐՈՒԹՅԱՆ</w:t>
                            </w:r>
                          </w:p>
                          <w:p w14:paraId="2DB3057E" w14:textId="77777777" w:rsidR="00147C8B" w:rsidRDefault="00147C8B"/>
                          <w:p w14:paraId="47E67E87" w14:textId="77777777" w:rsidR="00147C8B" w:rsidRPr="00056843" w:rsidRDefault="00147C8B" w:rsidP="00FD0C29">
                            <w:pPr>
                              <w:jc w:val="center"/>
                              <w:rPr>
                                <w:color w:val="FFFFFF" w:themeColor="background1"/>
                                <w:lang w:val="hy-AM"/>
                              </w:rPr>
                            </w:pPr>
                            <w:r w:rsidRPr="00682390">
                              <w:rPr>
                                <w:b/>
                                <w:color w:val="44546A" w:themeColor="text2"/>
                                <w:sz w:val="70"/>
                                <w:szCs w:val="70"/>
                              </w:rPr>
                              <w:t>2025 ԹՎԱԿԱՆԻ</w:t>
                            </w:r>
                            <w:r w:rsidRPr="00056843">
                              <w:rPr>
                                <w:color w:val="FFFFFF" w:themeColor="background1"/>
                                <w:lang w:val="hy-AM"/>
                              </w:rPr>
                              <w:t>ԹՅԱՆ ԿԱՌԱՎԱՐՈՒԹՅԱՆ</w:t>
                            </w:r>
                          </w:p>
                          <w:p w14:paraId="7090CD05" w14:textId="77777777" w:rsidR="00147C8B" w:rsidRDefault="00147C8B"/>
                          <w:p w14:paraId="7E1619B2" w14:textId="77777777" w:rsidR="00147C8B" w:rsidRPr="00056843" w:rsidRDefault="00147C8B" w:rsidP="00FD0C29">
                            <w:pPr>
                              <w:jc w:val="center"/>
                              <w:rPr>
                                <w:color w:val="FFFFFF" w:themeColor="background1"/>
                                <w:lang w:val="hy-AM"/>
                              </w:rPr>
                            </w:pPr>
                            <w:r w:rsidRPr="00682390">
                              <w:rPr>
                                <w:b/>
                                <w:color w:val="44546A" w:themeColor="text2"/>
                                <w:sz w:val="70"/>
                                <w:szCs w:val="70"/>
                              </w:rPr>
                              <w:t>2025 ԹՎԱԿԱՆԻ</w:t>
                            </w:r>
                            <w:r w:rsidRPr="00056843">
                              <w:rPr>
                                <w:color w:val="FFFFFF" w:themeColor="background1"/>
                                <w:lang w:val="hy-AM"/>
                              </w:rPr>
                              <w:t>ԹՅԱՆ ԿԱՌԱՎԱՐՈՒԹՅԱՆ</w:t>
                            </w:r>
                          </w:p>
                          <w:p w14:paraId="30E4BC9F" w14:textId="77777777" w:rsidR="00147C8B" w:rsidRDefault="00147C8B"/>
                          <w:p w14:paraId="5224FC72" w14:textId="77777777" w:rsidR="00147C8B" w:rsidRPr="00056843" w:rsidRDefault="00147C8B" w:rsidP="00FD0C29">
                            <w:pPr>
                              <w:jc w:val="center"/>
                              <w:rPr>
                                <w:color w:val="FFFFFF" w:themeColor="background1"/>
                                <w:lang w:val="hy-AM"/>
                              </w:rPr>
                            </w:pPr>
                            <w:r w:rsidRPr="00682390">
                              <w:rPr>
                                <w:b/>
                                <w:color w:val="44546A" w:themeColor="text2"/>
                                <w:sz w:val="70"/>
                                <w:szCs w:val="70"/>
                              </w:rPr>
                              <w:t>2025 ԹՎԱԿԱՆԻ</w:t>
                            </w:r>
                            <w:r w:rsidRPr="00056843">
                              <w:rPr>
                                <w:color w:val="FFFFFF" w:themeColor="background1"/>
                                <w:lang w:val="hy-AM"/>
                              </w:rPr>
                              <w:t>ԹՅԱՆ ԿԱՌԱՎԱՐՈՒԹՅԱՆ</w:t>
                            </w:r>
                          </w:p>
                          <w:p w14:paraId="6FF595B3" w14:textId="77777777" w:rsidR="00147C8B" w:rsidRDefault="00147C8B"/>
                          <w:p w14:paraId="3B7CF0A2"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ՈՒՂԵՐՁ</w:t>
                            </w:r>
                            <w:r w:rsidRPr="00812F22">
                              <w:rPr>
                                <w:b/>
                                <w:color w:val="44546A" w:themeColor="text2"/>
                                <w:sz w:val="36"/>
                                <w:szCs w:val="36"/>
                                <w:lang w:val="hy-AM"/>
                              </w:rPr>
                              <w:t>-ԲԱՑԱՏՐԱԳԻՐ</w:t>
                            </w:r>
                          </w:p>
                          <w:p w14:paraId="43285363" w14:textId="77777777" w:rsidR="00147C8B" w:rsidRDefault="00147C8B"/>
                          <w:p w14:paraId="7D13E350" w14:textId="77777777" w:rsidR="00147C8B" w:rsidRDefault="00147C8B"/>
                          <w:p w14:paraId="7F0478E8"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699F5E6E" w14:textId="77777777" w:rsidR="00147C8B" w:rsidRPr="00A3353C" w:rsidRDefault="00147C8B" w:rsidP="00682390">
                            <w:pPr>
                              <w:jc w:val="right"/>
                              <w:rPr>
                                <w:sz w:val="74"/>
                                <w:szCs w:val="74"/>
                              </w:rPr>
                            </w:pPr>
                          </w:p>
                          <w:p w14:paraId="21F68F6F" w14:textId="77777777" w:rsidR="00147C8B" w:rsidRDefault="00147C8B" w:rsidP="00682390">
                            <w:pPr>
                              <w:jc w:val="right"/>
                            </w:pPr>
                          </w:p>
                          <w:p w14:paraId="0AE95744"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 xml:space="preserve">2025 ԹՎԱԿԱՆԻ </w:t>
                            </w:r>
                          </w:p>
                          <w:p w14:paraId="34C57930" w14:textId="77777777" w:rsidR="00147C8B" w:rsidRPr="00A3353C" w:rsidRDefault="00147C8B" w:rsidP="00682390">
                            <w:pPr>
                              <w:jc w:val="right"/>
                              <w:rPr>
                                <w:sz w:val="74"/>
                                <w:szCs w:val="74"/>
                              </w:rPr>
                            </w:pPr>
                          </w:p>
                          <w:p w14:paraId="16C6E3BB" w14:textId="77777777" w:rsidR="00147C8B" w:rsidRDefault="00147C8B"/>
                          <w:p w14:paraId="671B46BC"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ՈՒՂԵՐՁ</w:t>
                            </w:r>
                            <w:r w:rsidRPr="00812F22">
                              <w:rPr>
                                <w:b/>
                                <w:color w:val="44546A" w:themeColor="text2"/>
                                <w:sz w:val="36"/>
                                <w:szCs w:val="36"/>
                                <w:lang w:val="hy-AM"/>
                              </w:rPr>
                              <w:t>-ԲԱՑԱՏՐԱԳԻՐ</w:t>
                            </w: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1C759748" w14:textId="77777777" w:rsidR="00147C8B" w:rsidRPr="00A3353C" w:rsidRDefault="00147C8B" w:rsidP="00682390">
                            <w:pPr>
                              <w:jc w:val="right"/>
                              <w:rPr>
                                <w:sz w:val="74"/>
                                <w:szCs w:val="74"/>
                              </w:rPr>
                            </w:pPr>
                          </w:p>
                          <w:p w14:paraId="663957BB" w14:textId="77777777" w:rsidR="00147C8B" w:rsidRDefault="00147C8B" w:rsidP="00682390">
                            <w:pPr>
                              <w:jc w:val="right"/>
                            </w:pPr>
                          </w:p>
                          <w:p w14:paraId="40E79213" w14:textId="77777777" w:rsidR="00147C8B" w:rsidRPr="00812F22" w:rsidRDefault="00147C8B" w:rsidP="00682390">
                            <w:pPr>
                              <w:pStyle w:val="BodyText1"/>
                              <w:jc w:val="right"/>
                              <w:rPr>
                                <w:b/>
                                <w:color w:val="44546A" w:themeColor="text2"/>
                                <w:sz w:val="36"/>
                                <w:szCs w:val="36"/>
                              </w:rPr>
                            </w:pPr>
                            <w:r w:rsidRPr="00682390">
                              <w:rPr>
                                <w:b/>
                                <w:color w:val="44546A" w:themeColor="text2"/>
                                <w:sz w:val="40"/>
                                <w:szCs w:val="40"/>
                              </w:rPr>
                              <w:t>ԲՅՈՒՋԵՏԱՅԻՆ ՈՒՂԵՐՁ</w:t>
                            </w:r>
                            <w:r w:rsidRPr="00682390">
                              <w:rPr>
                                <w:b/>
                                <w:color w:val="44546A" w:themeColor="text2"/>
                                <w:sz w:val="70"/>
                                <w:szCs w:val="70"/>
                              </w:rPr>
                              <w:t>2025 ԹՎԱԿԱՆԻ</w:t>
                            </w:r>
                            <w:r w:rsidRPr="00812F22">
                              <w:rPr>
                                <w:b/>
                                <w:color w:val="44546A" w:themeColor="text2"/>
                                <w:sz w:val="36"/>
                                <w:szCs w:val="36"/>
                              </w:rPr>
                              <w:t>ՈՒՂԵՐՁ</w:t>
                            </w:r>
                            <w:r w:rsidRPr="00812F22">
                              <w:rPr>
                                <w:b/>
                                <w:color w:val="44546A" w:themeColor="text2"/>
                                <w:sz w:val="36"/>
                                <w:szCs w:val="36"/>
                                <w:lang w:val="hy-AM"/>
                              </w:rPr>
                              <w:t>-ԲԱՑԱՏՐԱԳԻՐ</w:t>
                            </w:r>
                          </w:p>
                          <w:p w14:paraId="0EDBC762" w14:textId="77777777" w:rsidR="00147C8B" w:rsidRDefault="00147C8B"/>
                          <w:p w14:paraId="10D9111B" w14:textId="77777777" w:rsidR="00147C8B" w:rsidRPr="00056843" w:rsidRDefault="00147C8B" w:rsidP="00FD0C29">
                            <w:pPr>
                              <w:jc w:val="center"/>
                              <w:rPr>
                                <w:color w:val="FFFFFF" w:themeColor="background1"/>
                                <w:lang w:val="hy-AM"/>
                              </w:rPr>
                            </w:pPr>
                            <w:r w:rsidRPr="00056843">
                              <w:rPr>
                                <w:color w:val="FFFFFF" w:themeColor="background1"/>
                                <w:lang w:val="hy-AM"/>
                              </w:rPr>
                              <w:t>ԹՅԱՆ ԿԱՌԱՎԱՐՈՒԹՅԱՆ</w:t>
                            </w:r>
                          </w:p>
                          <w:p w14:paraId="7271EFCE" w14:textId="77777777" w:rsidR="00147C8B" w:rsidRDefault="00147C8B"/>
                          <w:p w14:paraId="1809981E" w14:textId="77777777" w:rsidR="00147C8B" w:rsidRPr="00056843" w:rsidRDefault="00147C8B" w:rsidP="00FD0C29">
                            <w:pPr>
                              <w:jc w:val="center"/>
                              <w:rPr>
                                <w:color w:val="FFFFFF" w:themeColor="background1"/>
                                <w:lang w:val="hy-AM"/>
                              </w:rPr>
                            </w:pPr>
                            <w:r w:rsidRPr="00682390">
                              <w:rPr>
                                <w:b/>
                                <w:color w:val="44546A" w:themeColor="text2"/>
                                <w:sz w:val="70"/>
                                <w:szCs w:val="70"/>
                              </w:rPr>
                              <w:t>2025 ԹՎԱԿԱՆԻ</w:t>
                            </w:r>
                            <w:r w:rsidRPr="00056843">
                              <w:rPr>
                                <w:color w:val="FFFFFF" w:themeColor="background1"/>
                                <w:lang w:val="hy-AM"/>
                              </w:rPr>
                              <w:t>ԹՅԱՆ ԿԱՌԱՎԱՐՈՒԹՅԱՆ</w:t>
                            </w:r>
                          </w:p>
                          <w:p w14:paraId="431D6820" w14:textId="77777777" w:rsidR="00147C8B" w:rsidRDefault="00147C8B"/>
                          <w:p w14:paraId="5A307A6D" w14:textId="77777777" w:rsidR="00147C8B" w:rsidRPr="00056843" w:rsidRDefault="00147C8B" w:rsidP="00FD0C29">
                            <w:pPr>
                              <w:jc w:val="center"/>
                              <w:rPr>
                                <w:color w:val="FFFFFF" w:themeColor="background1"/>
                                <w:lang w:val="hy-AM"/>
                              </w:rPr>
                            </w:pPr>
                            <w:r w:rsidRPr="00682390">
                              <w:rPr>
                                <w:b/>
                                <w:color w:val="44546A" w:themeColor="text2"/>
                                <w:sz w:val="70"/>
                                <w:szCs w:val="70"/>
                              </w:rPr>
                              <w:t>2025 ԹՎԱԿԱՆԻ</w:t>
                            </w:r>
                            <w:r w:rsidRPr="00056843">
                              <w:rPr>
                                <w:color w:val="FFFFFF" w:themeColor="background1"/>
                                <w:lang w:val="hy-AM"/>
                              </w:rPr>
                              <w:t>ԹՅԱՆ ԿԱՌԱՎԱՐՈՒԹՅԱՆ</w:t>
                            </w:r>
                          </w:p>
                          <w:p w14:paraId="10D58988" w14:textId="77777777" w:rsidR="00147C8B" w:rsidRDefault="00147C8B"/>
                          <w:p w14:paraId="6B09E964" w14:textId="77777777" w:rsidR="00147C8B" w:rsidRPr="00056843" w:rsidRDefault="00147C8B" w:rsidP="00FD0C29">
                            <w:pPr>
                              <w:jc w:val="center"/>
                              <w:rPr>
                                <w:color w:val="FFFFFF" w:themeColor="background1"/>
                                <w:lang w:val="hy-AM"/>
                              </w:rPr>
                            </w:pPr>
                            <w:r w:rsidRPr="00682390">
                              <w:rPr>
                                <w:b/>
                                <w:color w:val="44546A" w:themeColor="text2"/>
                                <w:sz w:val="70"/>
                                <w:szCs w:val="70"/>
                              </w:rPr>
                              <w:t>2025 ԹՎԱԿԱՆԻ</w:t>
                            </w:r>
                            <w:r w:rsidRPr="00056843">
                              <w:rPr>
                                <w:color w:val="FFFFFF" w:themeColor="background1"/>
                                <w:lang w:val="hy-AM"/>
                              </w:rPr>
                              <w:t>ԹՅԱՆ ԿԱՌԱՎԱՐՈՒԹՅԱՆ</w:t>
                            </w:r>
                          </w:p>
                          <w:p w14:paraId="764B8A00" w14:textId="77777777" w:rsidR="00147C8B" w:rsidRDefault="00147C8B"/>
                          <w:p w14:paraId="4AFA18C3"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7794C6EE" w14:textId="77777777" w:rsidR="00147C8B" w:rsidRPr="00A3353C" w:rsidRDefault="00147C8B" w:rsidP="00682390">
                            <w:pPr>
                              <w:jc w:val="right"/>
                              <w:rPr>
                                <w:sz w:val="74"/>
                                <w:szCs w:val="74"/>
                              </w:rPr>
                            </w:pPr>
                          </w:p>
                          <w:p w14:paraId="21A08D5A" w14:textId="77777777" w:rsidR="00147C8B" w:rsidRDefault="00147C8B" w:rsidP="00682390">
                            <w:pPr>
                              <w:jc w:val="right"/>
                            </w:pPr>
                          </w:p>
                          <w:p w14:paraId="275B76F6" w14:textId="77777777" w:rsidR="00147C8B" w:rsidRPr="00056843" w:rsidRDefault="00147C8B" w:rsidP="00FD0C29">
                            <w:pPr>
                              <w:jc w:val="center"/>
                              <w:rPr>
                                <w:color w:val="FFFFFF" w:themeColor="background1"/>
                                <w:lang w:val="hy-AM"/>
                              </w:rPr>
                            </w:pPr>
                            <w:r w:rsidRPr="00682390">
                              <w:rPr>
                                <w:b/>
                                <w:color w:val="44546A" w:themeColor="text2"/>
                                <w:sz w:val="40"/>
                                <w:szCs w:val="40"/>
                              </w:rPr>
                              <w:t>ԲՅՈՒՋԵՏԱՅԻՆ ՈՒՂԵՐՁ</w:t>
                            </w:r>
                            <w:r w:rsidRPr="00682390">
                              <w:rPr>
                                <w:b/>
                                <w:color w:val="44546A" w:themeColor="text2"/>
                                <w:sz w:val="70"/>
                                <w:szCs w:val="70"/>
                              </w:rPr>
                              <w:t>2025 ԹՎԱԿԱՆԻ</w:t>
                            </w:r>
                            <w:r w:rsidRPr="00056843">
                              <w:rPr>
                                <w:color w:val="FFFFFF" w:themeColor="background1"/>
                                <w:lang w:val="hy-AM"/>
                              </w:rPr>
                              <w:t>ԹՅԱՆ ԿԱՌԱՎԱՐՈՒԹՅԱՆ</w:t>
                            </w:r>
                          </w:p>
                          <w:p w14:paraId="7AEF76DB" w14:textId="77777777" w:rsidR="00147C8B" w:rsidRDefault="00147C8B"/>
                          <w:p w14:paraId="4FAFB84D" w14:textId="77777777" w:rsidR="00147C8B" w:rsidRPr="00056843" w:rsidRDefault="00147C8B" w:rsidP="00FD0C29">
                            <w:pPr>
                              <w:jc w:val="center"/>
                              <w:rPr>
                                <w:color w:val="FFFFFF" w:themeColor="background1"/>
                                <w:lang w:val="hy-AM"/>
                              </w:rPr>
                            </w:pPr>
                            <w:r w:rsidRPr="00682390">
                              <w:rPr>
                                <w:b/>
                                <w:color w:val="44546A" w:themeColor="text2"/>
                                <w:sz w:val="70"/>
                                <w:szCs w:val="70"/>
                              </w:rPr>
                              <w:t>2025 ԹՎԱԿԱՆԻ</w:t>
                            </w:r>
                            <w:r w:rsidRPr="00056843">
                              <w:rPr>
                                <w:color w:val="FFFFFF" w:themeColor="background1"/>
                                <w:lang w:val="hy-AM"/>
                              </w:rPr>
                              <w:t>ԹՅԱՆ ԿԱՌԱՎԱՐՈՒԹՅԱՆ</w:t>
                            </w:r>
                          </w:p>
                          <w:p w14:paraId="233E4ED8" w14:textId="77777777" w:rsidR="00147C8B" w:rsidRDefault="00147C8B"/>
                          <w:p w14:paraId="28638B63" w14:textId="77777777" w:rsidR="00147C8B" w:rsidRPr="00056843" w:rsidRDefault="00147C8B" w:rsidP="00FD0C29">
                            <w:pPr>
                              <w:jc w:val="center"/>
                              <w:rPr>
                                <w:color w:val="FFFFFF" w:themeColor="background1"/>
                                <w:lang w:val="hy-AM"/>
                              </w:rPr>
                            </w:pPr>
                            <w:r w:rsidRPr="00682390">
                              <w:rPr>
                                <w:b/>
                                <w:color w:val="44546A" w:themeColor="text2"/>
                                <w:sz w:val="70"/>
                                <w:szCs w:val="70"/>
                              </w:rPr>
                              <w:t>2025 ԹՎԱԿԱՆԻ</w:t>
                            </w:r>
                            <w:r w:rsidRPr="00056843">
                              <w:rPr>
                                <w:color w:val="FFFFFF" w:themeColor="background1"/>
                                <w:lang w:val="hy-AM"/>
                              </w:rPr>
                              <w:t>ԹՅԱՆ ԿԱՌԱՎԱՐՈՒԹՅԱՆ</w:t>
                            </w:r>
                          </w:p>
                          <w:p w14:paraId="0DE7236B" w14:textId="77777777" w:rsidR="00147C8B" w:rsidRDefault="00147C8B"/>
                          <w:p w14:paraId="77467A2A" w14:textId="77777777" w:rsidR="00147C8B" w:rsidRPr="00056843" w:rsidRDefault="00147C8B" w:rsidP="00FD0C29">
                            <w:pPr>
                              <w:jc w:val="center"/>
                              <w:rPr>
                                <w:color w:val="FFFFFF" w:themeColor="background1"/>
                                <w:lang w:val="hy-AM"/>
                              </w:rPr>
                            </w:pPr>
                            <w:r w:rsidRPr="00682390">
                              <w:rPr>
                                <w:b/>
                                <w:color w:val="44546A" w:themeColor="text2"/>
                                <w:sz w:val="70"/>
                                <w:szCs w:val="70"/>
                              </w:rPr>
                              <w:t>2025 ԹՎԱԿԱՆԻ</w:t>
                            </w:r>
                            <w:r w:rsidRPr="00056843">
                              <w:rPr>
                                <w:color w:val="FFFFFF" w:themeColor="background1"/>
                                <w:lang w:val="hy-AM"/>
                              </w:rPr>
                              <w:t>ԹՅԱՆ ԿԱՌԱՎԱՐՈՒԹՅԱՆ</w:t>
                            </w:r>
                          </w:p>
                          <w:p w14:paraId="65C9833C" w14:textId="77777777" w:rsidR="00147C8B" w:rsidRDefault="00147C8B"/>
                          <w:p w14:paraId="7EBC76E0"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ՈՒՂԵՐՁ</w:t>
                            </w:r>
                            <w:r w:rsidRPr="00812F22">
                              <w:rPr>
                                <w:b/>
                                <w:color w:val="44546A" w:themeColor="text2"/>
                                <w:sz w:val="36"/>
                                <w:szCs w:val="36"/>
                                <w:lang w:val="hy-AM"/>
                              </w:rPr>
                              <w:t>-ԲԱՑԱՏՐԱԳԻՐ</w:t>
                            </w:r>
                          </w:p>
                          <w:p w14:paraId="1F2966AA" w14:textId="77777777" w:rsidR="00147C8B" w:rsidRDefault="00147C8B"/>
                          <w:p w14:paraId="5559B528" w14:textId="77777777" w:rsidR="00147C8B" w:rsidRPr="00056843" w:rsidRDefault="00147C8B" w:rsidP="00FD0C29">
                            <w:pPr>
                              <w:jc w:val="center"/>
                              <w:rPr>
                                <w:color w:val="FFFFFF" w:themeColor="background1"/>
                                <w:lang w:val="hy-AM"/>
                              </w:rPr>
                            </w:pPr>
                            <w:r w:rsidRPr="00056843">
                              <w:rPr>
                                <w:color w:val="FFFFFF" w:themeColor="background1"/>
                                <w:lang w:val="hy-AM"/>
                              </w:rPr>
                              <w:t>ԹՅԱՆ ԿԱՌԱՎԱՐՈՒԹՅԱՆ</w:t>
                            </w:r>
                          </w:p>
                          <w:p w14:paraId="6D879DF0" w14:textId="77777777" w:rsidR="00147C8B" w:rsidRDefault="00147C8B"/>
                          <w:p w14:paraId="06C2FB4C" w14:textId="77777777" w:rsidR="00147C8B" w:rsidRPr="00056843" w:rsidRDefault="00147C8B" w:rsidP="00FD0C29">
                            <w:pPr>
                              <w:jc w:val="center"/>
                              <w:rPr>
                                <w:color w:val="FFFFFF" w:themeColor="background1"/>
                                <w:lang w:val="hy-AM"/>
                              </w:rPr>
                            </w:pPr>
                            <w:r w:rsidRPr="00682390">
                              <w:rPr>
                                <w:b/>
                                <w:color w:val="44546A" w:themeColor="text2"/>
                                <w:sz w:val="70"/>
                                <w:szCs w:val="70"/>
                              </w:rPr>
                              <w:t>2025 ԹՎԱԿԱՆԻ</w:t>
                            </w:r>
                            <w:r w:rsidRPr="00056843">
                              <w:rPr>
                                <w:color w:val="FFFFFF" w:themeColor="background1"/>
                                <w:lang w:val="hy-AM"/>
                              </w:rPr>
                              <w:t>ԹՅԱՆ ԿԱՌԱՎԱՐՈՒԹՅԱՆ</w:t>
                            </w:r>
                          </w:p>
                          <w:p w14:paraId="012F56E0" w14:textId="77777777" w:rsidR="00147C8B" w:rsidRDefault="00147C8B"/>
                          <w:p w14:paraId="10246EB3" w14:textId="77777777" w:rsidR="00147C8B" w:rsidRPr="00056843" w:rsidRDefault="00147C8B" w:rsidP="00FD0C29">
                            <w:pPr>
                              <w:jc w:val="center"/>
                              <w:rPr>
                                <w:color w:val="FFFFFF" w:themeColor="background1"/>
                                <w:lang w:val="hy-AM"/>
                              </w:rPr>
                            </w:pPr>
                            <w:r w:rsidRPr="00682390">
                              <w:rPr>
                                <w:b/>
                                <w:color w:val="44546A" w:themeColor="text2"/>
                                <w:sz w:val="70"/>
                                <w:szCs w:val="70"/>
                              </w:rPr>
                              <w:t>2025 ԹՎԱԿԱՆԻ</w:t>
                            </w:r>
                            <w:r w:rsidRPr="00056843">
                              <w:rPr>
                                <w:color w:val="FFFFFF" w:themeColor="background1"/>
                                <w:lang w:val="hy-AM"/>
                              </w:rPr>
                              <w:t>ԹՅԱՆ ԿԱՌԱՎԱՐՈՒԹՅԱՆ</w:t>
                            </w:r>
                          </w:p>
                          <w:p w14:paraId="60B779A8" w14:textId="77777777" w:rsidR="00147C8B" w:rsidRDefault="00147C8B"/>
                          <w:p w14:paraId="79C302F3" w14:textId="77777777" w:rsidR="00147C8B" w:rsidRPr="00056843" w:rsidRDefault="00147C8B" w:rsidP="00FD0C29">
                            <w:pPr>
                              <w:jc w:val="center"/>
                              <w:rPr>
                                <w:color w:val="FFFFFF" w:themeColor="background1"/>
                                <w:lang w:val="hy-AM"/>
                              </w:rPr>
                            </w:pPr>
                            <w:r w:rsidRPr="00682390">
                              <w:rPr>
                                <w:b/>
                                <w:color w:val="44546A" w:themeColor="text2"/>
                                <w:sz w:val="70"/>
                                <w:szCs w:val="70"/>
                              </w:rPr>
                              <w:t>2025 ԹՎԱԿԱՆԻ</w:t>
                            </w:r>
                            <w:r w:rsidRPr="00056843">
                              <w:rPr>
                                <w:color w:val="FFFFFF" w:themeColor="background1"/>
                                <w:lang w:val="hy-AM"/>
                              </w:rPr>
                              <w:t>ԹՅԱՆ ԿԱՌԱՎԱՐՈՒԹՅԱՆ</w:t>
                            </w:r>
                          </w:p>
                          <w:p w14:paraId="49550F6D" w14:textId="77777777" w:rsidR="00147C8B" w:rsidRDefault="00147C8B"/>
                          <w:p w14:paraId="5F3D98D8"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591D84E9" w14:textId="77777777" w:rsidR="00147C8B" w:rsidRPr="00A3353C" w:rsidRDefault="00147C8B" w:rsidP="00682390">
                            <w:pPr>
                              <w:jc w:val="right"/>
                              <w:rPr>
                                <w:sz w:val="74"/>
                                <w:szCs w:val="74"/>
                              </w:rPr>
                            </w:pPr>
                          </w:p>
                          <w:p w14:paraId="5C80D4CE" w14:textId="77777777" w:rsidR="00147C8B" w:rsidRDefault="00147C8B" w:rsidP="00682390">
                            <w:pPr>
                              <w:jc w:val="right"/>
                            </w:pPr>
                          </w:p>
                          <w:p w14:paraId="5B066761" w14:textId="77777777" w:rsidR="00147C8B" w:rsidRPr="00056843" w:rsidRDefault="00147C8B" w:rsidP="00FD0C29">
                            <w:pPr>
                              <w:jc w:val="center"/>
                              <w:rPr>
                                <w:color w:val="FFFFFF" w:themeColor="background1"/>
                                <w:lang w:val="hy-AM"/>
                              </w:rPr>
                            </w:pPr>
                            <w:r w:rsidRPr="00682390">
                              <w:rPr>
                                <w:b/>
                                <w:color w:val="44546A" w:themeColor="text2"/>
                                <w:sz w:val="40"/>
                                <w:szCs w:val="40"/>
                              </w:rPr>
                              <w:t>ԲՅՈՒՋԵՏԱՅԻՆ ՈՒՂԵՐՁ</w:t>
                            </w:r>
                            <w:r w:rsidRPr="00682390">
                              <w:rPr>
                                <w:b/>
                                <w:color w:val="44546A" w:themeColor="text2"/>
                                <w:sz w:val="70"/>
                                <w:szCs w:val="70"/>
                              </w:rPr>
                              <w:t>2025 ԹՎԱԿԱՆԻ</w:t>
                            </w:r>
                            <w:r w:rsidRPr="00056843">
                              <w:rPr>
                                <w:color w:val="FFFFFF" w:themeColor="background1"/>
                                <w:lang w:val="hy-AM"/>
                              </w:rPr>
                              <w:t>ԹՅԱՆ ԿԱՌԱՎԱՐՈՒԹՅԱՆ</w:t>
                            </w:r>
                          </w:p>
                          <w:p w14:paraId="1FB8D1C1" w14:textId="77777777" w:rsidR="00147C8B" w:rsidRDefault="00147C8B"/>
                          <w:p w14:paraId="10538C11" w14:textId="77777777" w:rsidR="00147C8B" w:rsidRPr="00056843" w:rsidRDefault="00147C8B" w:rsidP="00FD0C29">
                            <w:pPr>
                              <w:jc w:val="center"/>
                              <w:rPr>
                                <w:color w:val="FFFFFF" w:themeColor="background1"/>
                                <w:lang w:val="hy-AM"/>
                              </w:rPr>
                            </w:pPr>
                            <w:r w:rsidRPr="00682390">
                              <w:rPr>
                                <w:b/>
                                <w:color w:val="44546A" w:themeColor="text2"/>
                                <w:sz w:val="70"/>
                                <w:szCs w:val="70"/>
                              </w:rPr>
                              <w:t>2025 ԹՎԱԿԱՆԻ</w:t>
                            </w:r>
                            <w:r w:rsidRPr="00056843">
                              <w:rPr>
                                <w:color w:val="FFFFFF" w:themeColor="background1"/>
                                <w:lang w:val="hy-AM"/>
                              </w:rPr>
                              <w:t>ԹՅԱՆ ԿԱՌԱՎԱՐՈՒԹՅԱՆ</w:t>
                            </w:r>
                          </w:p>
                          <w:p w14:paraId="70312F6E" w14:textId="77777777" w:rsidR="00147C8B" w:rsidRDefault="00147C8B"/>
                          <w:p w14:paraId="74573CB4" w14:textId="77777777" w:rsidR="00147C8B" w:rsidRPr="00056843" w:rsidRDefault="00147C8B" w:rsidP="00FD0C29">
                            <w:pPr>
                              <w:jc w:val="center"/>
                              <w:rPr>
                                <w:color w:val="FFFFFF" w:themeColor="background1"/>
                                <w:lang w:val="hy-AM"/>
                              </w:rPr>
                            </w:pPr>
                            <w:r w:rsidRPr="00682390">
                              <w:rPr>
                                <w:b/>
                                <w:color w:val="44546A" w:themeColor="text2"/>
                                <w:sz w:val="70"/>
                                <w:szCs w:val="70"/>
                              </w:rPr>
                              <w:t>2025 ԹՎԱԿԱՆԻ</w:t>
                            </w:r>
                            <w:r w:rsidRPr="00056843">
                              <w:rPr>
                                <w:color w:val="FFFFFF" w:themeColor="background1"/>
                                <w:lang w:val="hy-AM"/>
                              </w:rPr>
                              <w:t>ԹՅԱՆ ԿԱՌԱՎԱՐՈՒԹՅԱՆ</w:t>
                            </w:r>
                          </w:p>
                          <w:p w14:paraId="51C0ABF7" w14:textId="77777777" w:rsidR="00147C8B" w:rsidRDefault="00147C8B"/>
                          <w:p w14:paraId="65671876" w14:textId="77777777" w:rsidR="00147C8B" w:rsidRPr="00056843" w:rsidRDefault="00147C8B" w:rsidP="00FD0C29">
                            <w:pPr>
                              <w:jc w:val="center"/>
                              <w:rPr>
                                <w:color w:val="FFFFFF" w:themeColor="background1"/>
                                <w:lang w:val="hy-AM"/>
                              </w:rPr>
                            </w:pPr>
                            <w:r w:rsidRPr="00682390">
                              <w:rPr>
                                <w:b/>
                                <w:color w:val="44546A" w:themeColor="text2"/>
                                <w:sz w:val="70"/>
                                <w:szCs w:val="70"/>
                              </w:rPr>
                              <w:t>2025 ԹՎԱԿԱՆԻ</w:t>
                            </w:r>
                            <w:r w:rsidRPr="00056843">
                              <w:rPr>
                                <w:color w:val="FFFFFF" w:themeColor="background1"/>
                                <w:lang w:val="hy-AM"/>
                              </w:rPr>
                              <w:t>ԹՅԱՆ ԿԱՌԱՎԱՐՈՒԹՅԱՆ</w:t>
                            </w:r>
                          </w:p>
                        </w:txbxContent>
                      </wps:txbx>
                      <wps:bodyPr rot="0" spcFirstLastPara="0" vertOverflow="overflow" horzOverflow="overflow" vert="horz" wrap="square" lIns="137160" tIns="0" rIns="13716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D1D8C7E" id="Rectangle 54" o:spid="_x0000_s1026" style="position:absolute;left:0;text-align:left;margin-left:-29.55pt;margin-top:91.25pt;width:145.3pt;height:63pt;z-index:251685888;visibility:visible;mso-wrap-style:square;mso-width-percent:0;mso-height-percent:0;mso-wrap-distance-left:28.8pt;mso-wrap-distance-top:7.2pt;mso-wrap-distance-right:28.8pt;mso-wrap-distance-bottom:7.2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" filled="f" stroked="f" strokeweight="1pt">
                <v:textbox inset="10.8pt,0,10.8pt,0">
                  <w:txbxContent>
                    <w:p w14:paraId="5161D3FC" w14:textId="77777777" w:rsidR="00147C8B" w:rsidRPr="00056843" w:rsidRDefault="00147C8B" w:rsidP="00FD0C29">
                      <w:pPr>
                        <w:jc w:val="center"/>
                        <w:rPr>
                          <w:color w:val="FFFFFF" w:themeColor="background1"/>
                          <w:lang w:val="hy-AM"/>
                        </w:rPr>
                      </w:pPr>
                      <w:r w:rsidRPr="00056843">
                        <w:rPr>
                          <w:color w:val="FFFFFF" w:themeColor="background1"/>
                          <w:lang w:val="hy-AM"/>
                        </w:rPr>
                        <w:t>ՀԱՅԱՍՏԱՆԻ ՀԱՆՐԱՊԵՏՈՒԹՅԱՆ ԿԱՌԱՎԱՐՈՒԹՅԱՆ</w:t>
                      </w:r>
                    </w:p>
                    <w:p w14:paraId="310E4FED" w14:textId="77777777" w:rsidR="00147C8B" w:rsidRDefault="00147C8B"/>
                    <w:p w14:paraId="0D1D07B9" w14:textId="77777777" w:rsidR="00147C8B" w:rsidRPr="00056843" w:rsidRDefault="00147C8B" w:rsidP="00FD0C29">
                      <w:pPr>
                        <w:jc w:val="center"/>
                        <w:rPr>
                          <w:color w:val="FFFFFF" w:themeColor="background1"/>
                          <w:lang w:val="hy-AM"/>
                        </w:rPr>
                      </w:pPr>
                      <w:r w:rsidRPr="00682390">
                        <w:rPr>
                          <w:b/>
                          <w:color w:val="44546A" w:themeColor="text2"/>
                          <w:sz w:val="70"/>
                          <w:szCs w:val="70"/>
                        </w:rPr>
                        <w:t>2025 ԹՎԱԿԱՆԻ</w:t>
                      </w:r>
                      <w:r w:rsidRPr="00056843">
                        <w:rPr>
                          <w:color w:val="FFFFFF" w:themeColor="background1"/>
                          <w:lang w:val="hy-AM"/>
                        </w:rPr>
                        <w:t>ԹՅԱՆ ԿԱՌԱՎԱՐՈՒԹՅԱՆ</w:t>
                      </w:r>
                    </w:p>
                    <w:p w14:paraId="2DBE08C5" w14:textId="77777777" w:rsidR="00147C8B" w:rsidRDefault="00147C8B"/>
                    <w:p w14:paraId="6E6328C2" w14:textId="77777777" w:rsidR="00147C8B" w:rsidRPr="00056843" w:rsidRDefault="00147C8B" w:rsidP="00FD0C29">
                      <w:pPr>
                        <w:jc w:val="center"/>
                        <w:rPr>
                          <w:color w:val="FFFFFF" w:themeColor="background1"/>
                          <w:lang w:val="hy-AM"/>
                        </w:rPr>
                      </w:pPr>
                      <w:r w:rsidRPr="00682390">
                        <w:rPr>
                          <w:b/>
                          <w:color w:val="44546A" w:themeColor="text2"/>
                          <w:sz w:val="70"/>
                          <w:szCs w:val="70"/>
                        </w:rPr>
                        <w:t>2025 ԹՎԱԿԱՆԻ</w:t>
                      </w:r>
                      <w:r w:rsidRPr="00056843">
                        <w:rPr>
                          <w:color w:val="FFFFFF" w:themeColor="background1"/>
                          <w:lang w:val="hy-AM"/>
                        </w:rPr>
                        <w:t>ԹՅԱՆ ԿԱՌԱՎԱՐՈՒԹՅԱՆ</w:t>
                      </w:r>
                    </w:p>
                    <w:p w14:paraId="6D1F8758" w14:textId="77777777" w:rsidR="00147C8B" w:rsidRDefault="00147C8B"/>
                    <w:p w14:paraId="6D983852" w14:textId="77777777" w:rsidR="00147C8B" w:rsidRPr="00056843" w:rsidRDefault="00147C8B" w:rsidP="00FD0C29">
                      <w:pPr>
                        <w:jc w:val="center"/>
                        <w:rPr>
                          <w:color w:val="FFFFFF" w:themeColor="background1"/>
                          <w:lang w:val="hy-AM"/>
                        </w:rPr>
                      </w:pPr>
                      <w:r w:rsidRPr="00682390">
                        <w:rPr>
                          <w:b/>
                          <w:color w:val="44546A" w:themeColor="text2"/>
                          <w:sz w:val="70"/>
                          <w:szCs w:val="70"/>
                        </w:rPr>
                        <w:t>2025 ԹՎԱԿԱՆԻ</w:t>
                      </w:r>
                      <w:r w:rsidRPr="00056843">
                        <w:rPr>
                          <w:color w:val="FFFFFF" w:themeColor="background1"/>
                          <w:lang w:val="hy-AM"/>
                        </w:rPr>
                        <w:t>ԹՅԱՆ ԿԱՌԱՎԱՐՈՒԹՅԱՆ</w:t>
                      </w:r>
                    </w:p>
                    <w:p w14:paraId="03B59DA6" w14:textId="77777777" w:rsidR="00147C8B" w:rsidRDefault="00147C8B"/>
                    <w:p w14:paraId="696DA685"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2E9A2584" w14:textId="77777777" w:rsidR="00147C8B" w:rsidRPr="00A3353C" w:rsidRDefault="00147C8B" w:rsidP="00682390">
                      <w:pPr>
                        <w:jc w:val="right"/>
                        <w:rPr>
                          <w:sz w:val="74"/>
                          <w:szCs w:val="74"/>
                        </w:rPr>
                      </w:pPr>
                    </w:p>
                    <w:p w14:paraId="6A9E13B0" w14:textId="77777777" w:rsidR="00147C8B" w:rsidRDefault="00147C8B" w:rsidP="00682390">
                      <w:pPr>
                        <w:jc w:val="right"/>
                      </w:pPr>
                    </w:p>
                    <w:p w14:paraId="4D6645DE" w14:textId="77777777" w:rsidR="00147C8B" w:rsidRPr="00056843" w:rsidRDefault="00147C8B" w:rsidP="00FD0C29">
                      <w:pPr>
                        <w:jc w:val="center"/>
                        <w:rPr>
                          <w:color w:val="FFFFFF" w:themeColor="background1"/>
                          <w:lang w:val="hy-AM"/>
                        </w:rPr>
                      </w:pPr>
                      <w:r w:rsidRPr="00682390">
                        <w:rPr>
                          <w:b/>
                          <w:color w:val="44546A" w:themeColor="text2"/>
                          <w:sz w:val="40"/>
                          <w:szCs w:val="40"/>
                        </w:rPr>
                        <w:t>ԲՅՈՒՋԵՏԱՅԻՆ ՈՒՂԵՐՁ</w:t>
                      </w:r>
                      <w:r w:rsidRPr="00682390">
                        <w:rPr>
                          <w:b/>
                          <w:color w:val="44546A" w:themeColor="text2"/>
                          <w:sz w:val="70"/>
                          <w:szCs w:val="70"/>
                        </w:rPr>
                        <w:t>2025 ԹՎԱԿԱՆԻ</w:t>
                      </w:r>
                      <w:r w:rsidRPr="00056843">
                        <w:rPr>
                          <w:color w:val="FFFFFF" w:themeColor="background1"/>
                          <w:lang w:val="hy-AM"/>
                        </w:rPr>
                        <w:t>ԹՅԱՆ ԿԱՌԱՎԱՐՈՒԹՅԱՆ</w:t>
                      </w:r>
                    </w:p>
                    <w:p w14:paraId="679323F2" w14:textId="77777777" w:rsidR="00147C8B" w:rsidRDefault="00147C8B"/>
                    <w:p w14:paraId="12D6F400" w14:textId="77777777" w:rsidR="00147C8B" w:rsidRPr="00056843" w:rsidRDefault="00147C8B" w:rsidP="00FD0C29">
                      <w:pPr>
                        <w:jc w:val="center"/>
                        <w:rPr>
                          <w:color w:val="FFFFFF" w:themeColor="background1"/>
                          <w:lang w:val="hy-AM"/>
                        </w:rPr>
                      </w:pPr>
                      <w:r w:rsidRPr="00682390">
                        <w:rPr>
                          <w:b/>
                          <w:color w:val="44546A" w:themeColor="text2"/>
                          <w:sz w:val="70"/>
                          <w:szCs w:val="70"/>
                        </w:rPr>
                        <w:t>2025 ԹՎԱԿԱՆԻ</w:t>
                      </w:r>
                      <w:r w:rsidRPr="00056843">
                        <w:rPr>
                          <w:color w:val="FFFFFF" w:themeColor="background1"/>
                          <w:lang w:val="hy-AM"/>
                        </w:rPr>
                        <w:t>ԹՅԱՆ ԿԱՌԱՎԱՐՈՒԹՅԱՆ</w:t>
                      </w:r>
                    </w:p>
                    <w:p w14:paraId="5B5B6BDB" w14:textId="77777777" w:rsidR="00147C8B" w:rsidRDefault="00147C8B"/>
                    <w:p w14:paraId="5D4591D0" w14:textId="77777777" w:rsidR="00147C8B" w:rsidRPr="00056843" w:rsidRDefault="00147C8B" w:rsidP="00FD0C29">
                      <w:pPr>
                        <w:jc w:val="center"/>
                        <w:rPr>
                          <w:color w:val="FFFFFF" w:themeColor="background1"/>
                          <w:lang w:val="hy-AM"/>
                        </w:rPr>
                      </w:pPr>
                      <w:r w:rsidRPr="00682390">
                        <w:rPr>
                          <w:b/>
                          <w:color w:val="44546A" w:themeColor="text2"/>
                          <w:sz w:val="70"/>
                          <w:szCs w:val="70"/>
                        </w:rPr>
                        <w:t>2025 ԹՎԱԿԱՆԻ</w:t>
                      </w:r>
                      <w:r w:rsidRPr="00056843">
                        <w:rPr>
                          <w:color w:val="FFFFFF" w:themeColor="background1"/>
                          <w:lang w:val="hy-AM"/>
                        </w:rPr>
                        <w:t>ԹՅԱՆ ԿԱՌԱՎԱՐՈՒԹՅԱՆ</w:t>
                      </w:r>
                    </w:p>
                    <w:p w14:paraId="50F7CFEC" w14:textId="77777777" w:rsidR="00147C8B" w:rsidRDefault="00147C8B"/>
                    <w:p w14:paraId="4DF07823" w14:textId="77777777" w:rsidR="00147C8B" w:rsidRPr="00056843" w:rsidRDefault="00147C8B" w:rsidP="00FD0C29">
                      <w:pPr>
                        <w:jc w:val="center"/>
                        <w:rPr>
                          <w:color w:val="FFFFFF" w:themeColor="background1"/>
                          <w:lang w:val="hy-AM"/>
                        </w:rPr>
                      </w:pPr>
                      <w:r w:rsidRPr="00682390">
                        <w:rPr>
                          <w:b/>
                          <w:color w:val="44546A" w:themeColor="text2"/>
                          <w:sz w:val="70"/>
                          <w:szCs w:val="70"/>
                        </w:rPr>
                        <w:t>2025 ԹՎԱԿԱՆԻ</w:t>
                      </w:r>
                      <w:r w:rsidRPr="00056843">
                        <w:rPr>
                          <w:color w:val="FFFFFF" w:themeColor="background1"/>
                          <w:lang w:val="hy-AM"/>
                        </w:rPr>
                        <w:t>ԹՅԱՆ ԿԱՌԱՎԱՐՈՒԹՅԱՆ</w:t>
                      </w:r>
                    </w:p>
                    <w:p w14:paraId="1D3DA3AB" w14:textId="77777777" w:rsidR="00147C8B" w:rsidRDefault="00147C8B"/>
                    <w:p w14:paraId="60BC9F80"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ՈՒՂԵՐՁ</w:t>
                      </w:r>
                      <w:r w:rsidRPr="00812F22">
                        <w:rPr>
                          <w:b/>
                          <w:color w:val="44546A" w:themeColor="text2"/>
                          <w:sz w:val="36"/>
                          <w:szCs w:val="36"/>
                          <w:lang w:val="hy-AM"/>
                        </w:rPr>
                        <w:t>-ԲԱՑԱՏՐԱԳԻՐ</w:t>
                      </w:r>
                    </w:p>
                    <w:p w14:paraId="3F3FDD2C" w14:textId="77777777" w:rsidR="00147C8B" w:rsidRDefault="00147C8B"/>
                    <w:p w14:paraId="1014BB80" w14:textId="77777777" w:rsidR="00147C8B" w:rsidRPr="00056843" w:rsidRDefault="00147C8B" w:rsidP="00FD0C29">
                      <w:pPr>
                        <w:jc w:val="center"/>
                        <w:rPr>
                          <w:color w:val="FFFFFF" w:themeColor="background1"/>
                          <w:lang w:val="hy-AM"/>
                        </w:rPr>
                      </w:pPr>
                      <w:r w:rsidRPr="00056843">
                        <w:rPr>
                          <w:color w:val="FFFFFF" w:themeColor="background1"/>
                          <w:lang w:val="hy-AM"/>
                        </w:rPr>
                        <w:t>ԹՅԱՆ ԿԱՌԱՎԱՐՈՒԹՅԱՆ</w:t>
                      </w:r>
                    </w:p>
                    <w:p w14:paraId="0669E12A" w14:textId="77777777" w:rsidR="00147C8B" w:rsidRDefault="00147C8B"/>
                    <w:p w14:paraId="26EFBC8F" w14:textId="77777777" w:rsidR="00147C8B" w:rsidRPr="00056843" w:rsidRDefault="00147C8B" w:rsidP="00FD0C29">
                      <w:pPr>
                        <w:jc w:val="center"/>
                        <w:rPr>
                          <w:color w:val="FFFFFF" w:themeColor="background1"/>
                          <w:lang w:val="hy-AM"/>
                        </w:rPr>
                      </w:pPr>
                      <w:r w:rsidRPr="00682390">
                        <w:rPr>
                          <w:b/>
                          <w:color w:val="44546A" w:themeColor="text2"/>
                          <w:sz w:val="70"/>
                          <w:szCs w:val="70"/>
                        </w:rPr>
                        <w:t>2025 ԹՎԱԿԱՆԻ</w:t>
                      </w:r>
                      <w:r w:rsidRPr="00056843">
                        <w:rPr>
                          <w:color w:val="FFFFFF" w:themeColor="background1"/>
                          <w:lang w:val="hy-AM"/>
                        </w:rPr>
                        <w:t>ԹՅԱՆ ԿԱՌԱՎԱՐՈՒԹՅԱՆ</w:t>
                      </w:r>
                    </w:p>
                    <w:p w14:paraId="56218B8C" w14:textId="77777777" w:rsidR="00147C8B" w:rsidRDefault="00147C8B"/>
                    <w:p w14:paraId="5FF34C47" w14:textId="77777777" w:rsidR="00147C8B" w:rsidRPr="00056843" w:rsidRDefault="00147C8B" w:rsidP="00FD0C29">
                      <w:pPr>
                        <w:jc w:val="center"/>
                        <w:rPr>
                          <w:color w:val="FFFFFF" w:themeColor="background1"/>
                          <w:lang w:val="hy-AM"/>
                        </w:rPr>
                      </w:pPr>
                      <w:r w:rsidRPr="00682390">
                        <w:rPr>
                          <w:b/>
                          <w:color w:val="44546A" w:themeColor="text2"/>
                          <w:sz w:val="70"/>
                          <w:szCs w:val="70"/>
                        </w:rPr>
                        <w:t>2025 ԹՎԱԿԱՆԻ</w:t>
                      </w:r>
                      <w:r w:rsidRPr="00056843">
                        <w:rPr>
                          <w:color w:val="FFFFFF" w:themeColor="background1"/>
                          <w:lang w:val="hy-AM"/>
                        </w:rPr>
                        <w:t>ԹՅԱՆ ԿԱՌԱՎԱՐՈՒԹՅԱՆ</w:t>
                      </w:r>
                    </w:p>
                    <w:p w14:paraId="13C23881" w14:textId="77777777" w:rsidR="00147C8B" w:rsidRDefault="00147C8B"/>
                    <w:p w14:paraId="1CFE783E" w14:textId="77777777" w:rsidR="00147C8B" w:rsidRPr="00056843" w:rsidRDefault="00147C8B" w:rsidP="00FD0C29">
                      <w:pPr>
                        <w:jc w:val="center"/>
                        <w:rPr>
                          <w:color w:val="FFFFFF" w:themeColor="background1"/>
                          <w:lang w:val="hy-AM"/>
                        </w:rPr>
                      </w:pPr>
                      <w:r w:rsidRPr="00682390">
                        <w:rPr>
                          <w:b/>
                          <w:color w:val="44546A" w:themeColor="text2"/>
                          <w:sz w:val="70"/>
                          <w:szCs w:val="70"/>
                        </w:rPr>
                        <w:t>2025 ԹՎԱԿԱՆԻ</w:t>
                      </w:r>
                      <w:r w:rsidRPr="00056843">
                        <w:rPr>
                          <w:color w:val="FFFFFF" w:themeColor="background1"/>
                          <w:lang w:val="hy-AM"/>
                        </w:rPr>
                        <w:t>ԹՅԱՆ ԿԱՌԱՎԱՐՈՒԹՅԱՆ</w:t>
                      </w:r>
                    </w:p>
                    <w:p w14:paraId="6957B205" w14:textId="77777777" w:rsidR="00147C8B" w:rsidRDefault="00147C8B"/>
                    <w:p w14:paraId="64555F4D"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3A3605FC" w14:textId="77777777" w:rsidR="00147C8B" w:rsidRPr="00A3353C" w:rsidRDefault="00147C8B" w:rsidP="00682390">
                      <w:pPr>
                        <w:jc w:val="right"/>
                        <w:rPr>
                          <w:sz w:val="74"/>
                          <w:szCs w:val="74"/>
                        </w:rPr>
                      </w:pPr>
                    </w:p>
                    <w:p w14:paraId="4590556F" w14:textId="77777777" w:rsidR="00147C8B" w:rsidRDefault="00147C8B" w:rsidP="00682390">
                      <w:pPr>
                        <w:jc w:val="right"/>
                      </w:pPr>
                    </w:p>
                    <w:p w14:paraId="4D2A68B4" w14:textId="77777777" w:rsidR="00147C8B" w:rsidRPr="00056843" w:rsidRDefault="00147C8B" w:rsidP="00FD0C29">
                      <w:pPr>
                        <w:jc w:val="center"/>
                        <w:rPr>
                          <w:color w:val="FFFFFF" w:themeColor="background1"/>
                          <w:lang w:val="hy-AM"/>
                        </w:rPr>
                      </w:pPr>
                      <w:r w:rsidRPr="00682390">
                        <w:rPr>
                          <w:b/>
                          <w:color w:val="44546A" w:themeColor="text2"/>
                          <w:sz w:val="40"/>
                          <w:szCs w:val="40"/>
                        </w:rPr>
                        <w:t>ԲՅՈՒՋԵՏԱՅԻՆ ՈՒՂԵՐՁ</w:t>
                      </w:r>
                      <w:r w:rsidRPr="00682390">
                        <w:rPr>
                          <w:b/>
                          <w:color w:val="44546A" w:themeColor="text2"/>
                          <w:sz w:val="70"/>
                          <w:szCs w:val="70"/>
                        </w:rPr>
                        <w:t>2025 ԹՎԱԿԱՆԻ</w:t>
                      </w:r>
                      <w:r w:rsidRPr="00056843">
                        <w:rPr>
                          <w:color w:val="FFFFFF" w:themeColor="background1"/>
                          <w:lang w:val="hy-AM"/>
                        </w:rPr>
                        <w:t>ԹՅԱՆ ԿԱՌԱՎԱՐՈՒԹՅԱՆ</w:t>
                      </w:r>
                    </w:p>
                    <w:p w14:paraId="6EFF9203" w14:textId="77777777" w:rsidR="00147C8B" w:rsidRDefault="00147C8B"/>
                    <w:p w14:paraId="5D916803" w14:textId="77777777" w:rsidR="00147C8B" w:rsidRPr="00056843" w:rsidRDefault="00147C8B" w:rsidP="00FD0C29">
                      <w:pPr>
                        <w:jc w:val="center"/>
                        <w:rPr>
                          <w:color w:val="FFFFFF" w:themeColor="background1"/>
                          <w:lang w:val="hy-AM"/>
                        </w:rPr>
                      </w:pPr>
                      <w:r w:rsidRPr="00682390">
                        <w:rPr>
                          <w:b/>
                          <w:color w:val="44546A" w:themeColor="text2"/>
                          <w:sz w:val="70"/>
                          <w:szCs w:val="70"/>
                        </w:rPr>
                        <w:t>2025 ԹՎԱԿԱՆԻ</w:t>
                      </w:r>
                      <w:r w:rsidRPr="00056843">
                        <w:rPr>
                          <w:color w:val="FFFFFF" w:themeColor="background1"/>
                          <w:lang w:val="hy-AM"/>
                        </w:rPr>
                        <w:t>ԹՅԱՆ ԿԱՌԱՎԱՐՈՒԹՅԱՆ</w:t>
                      </w:r>
                    </w:p>
                    <w:p w14:paraId="2E501CB9" w14:textId="77777777" w:rsidR="00147C8B" w:rsidRDefault="00147C8B"/>
                    <w:p w14:paraId="526AB2AF" w14:textId="77777777" w:rsidR="00147C8B" w:rsidRPr="00056843" w:rsidRDefault="00147C8B" w:rsidP="00FD0C29">
                      <w:pPr>
                        <w:jc w:val="center"/>
                        <w:rPr>
                          <w:color w:val="FFFFFF" w:themeColor="background1"/>
                          <w:lang w:val="hy-AM"/>
                        </w:rPr>
                      </w:pPr>
                      <w:r w:rsidRPr="00682390">
                        <w:rPr>
                          <w:b/>
                          <w:color w:val="44546A" w:themeColor="text2"/>
                          <w:sz w:val="70"/>
                          <w:szCs w:val="70"/>
                        </w:rPr>
                        <w:t>2025 ԹՎԱԿԱՆԻ</w:t>
                      </w:r>
                      <w:r w:rsidRPr="00056843">
                        <w:rPr>
                          <w:color w:val="FFFFFF" w:themeColor="background1"/>
                          <w:lang w:val="hy-AM"/>
                        </w:rPr>
                        <w:t>ԹՅԱՆ ԿԱՌԱՎԱՐՈՒԹՅԱՆ</w:t>
                      </w:r>
                    </w:p>
                    <w:p w14:paraId="6255B65E" w14:textId="77777777" w:rsidR="00147C8B" w:rsidRDefault="00147C8B"/>
                    <w:p w14:paraId="0D422957" w14:textId="77777777" w:rsidR="00147C8B" w:rsidRPr="00056843" w:rsidRDefault="00147C8B" w:rsidP="00FD0C29">
                      <w:pPr>
                        <w:jc w:val="center"/>
                        <w:rPr>
                          <w:color w:val="FFFFFF" w:themeColor="background1"/>
                          <w:lang w:val="hy-AM"/>
                        </w:rPr>
                      </w:pPr>
                      <w:r w:rsidRPr="00682390">
                        <w:rPr>
                          <w:b/>
                          <w:color w:val="44546A" w:themeColor="text2"/>
                          <w:sz w:val="70"/>
                          <w:szCs w:val="70"/>
                        </w:rPr>
                        <w:t>2025 ԹՎԱԿԱՆԻ</w:t>
                      </w:r>
                      <w:r w:rsidRPr="00056843">
                        <w:rPr>
                          <w:color w:val="FFFFFF" w:themeColor="background1"/>
                          <w:lang w:val="hy-AM"/>
                        </w:rPr>
                        <w:t>ԹՅԱՆ ԿԱՌԱՎԱՐՈՒԹՅԱՆ</w:t>
                      </w:r>
                    </w:p>
                    <w:p w14:paraId="3E38A561" w14:textId="77777777" w:rsidR="00147C8B" w:rsidRDefault="00147C8B"/>
                    <w:p w14:paraId="1E2D4B9D"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ՈՒՂԵՐՁ</w:t>
                      </w:r>
                      <w:r w:rsidRPr="00812F22">
                        <w:rPr>
                          <w:b/>
                          <w:color w:val="44546A" w:themeColor="text2"/>
                          <w:sz w:val="36"/>
                          <w:szCs w:val="36"/>
                          <w:lang w:val="hy-AM"/>
                        </w:rPr>
                        <w:t>-ԲԱՑԱՏՐԱԳԻՐ</w:t>
                      </w:r>
                    </w:p>
                    <w:p w14:paraId="4ABA838D" w14:textId="77777777" w:rsidR="00147C8B" w:rsidRDefault="00147C8B"/>
                    <w:p w14:paraId="705596EE" w14:textId="77777777" w:rsidR="00147C8B" w:rsidRDefault="00147C8B"/>
                    <w:p w14:paraId="1E8C1915"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7FAAEE67" w14:textId="77777777" w:rsidR="00147C8B" w:rsidRPr="00A3353C" w:rsidRDefault="00147C8B" w:rsidP="00682390">
                      <w:pPr>
                        <w:jc w:val="right"/>
                        <w:rPr>
                          <w:sz w:val="74"/>
                          <w:szCs w:val="74"/>
                        </w:rPr>
                      </w:pPr>
                    </w:p>
                    <w:p w14:paraId="5B88D2F6" w14:textId="77777777" w:rsidR="00147C8B" w:rsidRDefault="00147C8B" w:rsidP="00682390">
                      <w:pPr>
                        <w:jc w:val="right"/>
                      </w:pPr>
                    </w:p>
                    <w:p w14:paraId="2B1216CA"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 xml:space="preserve">2025 ԹՎԱԿԱՆԻ </w:t>
                      </w:r>
                    </w:p>
                    <w:p w14:paraId="7000FAAD" w14:textId="77777777" w:rsidR="00147C8B" w:rsidRPr="00A3353C" w:rsidRDefault="00147C8B" w:rsidP="00682390">
                      <w:pPr>
                        <w:jc w:val="right"/>
                        <w:rPr>
                          <w:sz w:val="74"/>
                          <w:szCs w:val="74"/>
                        </w:rPr>
                      </w:pPr>
                    </w:p>
                    <w:p w14:paraId="709DC0FF" w14:textId="77777777" w:rsidR="00147C8B" w:rsidRDefault="00147C8B"/>
                    <w:p w14:paraId="6F01E41B"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ՈՒՂԵՐՁ</w:t>
                      </w:r>
                      <w:r w:rsidRPr="00812F22">
                        <w:rPr>
                          <w:b/>
                          <w:color w:val="44546A" w:themeColor="text2"/>
                          <w:sz w:val="36"/>
                          <w:szCs w:val="36"/>
                          <w:lang w:val="hy-AM"/>
                        </w:rPr>
                        <w:t>-ԲԱՑԱՏՐԱԳԻՐ</w:t>
                      </w: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3698C82F" w14:textId="77777777" w:rsidR="00147C8B" w:rsidRPr="00A3353C" w:rsidRDefault="00147C8B" w:rsidP="00682390">
                      <w:pPr>
                        <w:jc w:val="right"/>
                        <w:rPr>
                          <w:sz w:val="74"/>
                          <w:szCs w:val="74"/>
                        </w:rPr>
                      </w:pPr>
                    </w:p>
                    <w:p w14:paraId="1E448DF7" w14:textId="77777777" w:rsidR="00147C8B" w:rsidRDefault="00147C8B" w:rsidP="00682390">
                      <w:pPr>
                        <w:jc w:val="right"/>
                      </w:pPr>
                    </w:p>
                    <w:p w14:paraId="4706FCDE" w14:textId="77777777" w:rsidR="00147C8B" w:rsidRPr="00812F22" w:rsidRDefault="00147C8B" w:rsidP="00682390">
                      <w:pPr>
                        <w:pStyle w:val="BodyText1"/>
                        <w:jc w:val="right"/>
                        <w:rPr>
                          <w:b/>
                          <w:color w:val="44546A" w:themeColor="text2"/>
                          <w:sz w:val="36"/>
                          <w:szCs w:val="36"/>
                        </w:rPr>
                      </w:pPr>
                      <w:r w:rsidRPr="00682390">
                        <w:rPr>
                          <w:b/>
                          <w:color w:val="44546A" w:themeColor="text2"/>
                          <w:sz w:val="40"/>
                          <w:szCs w:val="40"/>
                        </w:rPr>
                        <w:t>ԲՅՈՒՋԵՏԱՅԻՆ ՈՒՂԵՐՁ</w:t>
                      </w:r>
                      <w:r w:rsidRPr="00682390">
                        <w:rPr>
                          <w:b/>
                          <w:color w:val="44546A" w:themeColor="text2"/>
                          <w:sz w:val="70"/>
                          <w:szCs w:val="70"/>
                        </w:rPr>
                        <w:t>2025 ԹՎԱԿԱՆԻ</w:t>
                      </w:r>
                      <w:r w:rsidRPr="00812F22">
                        <w:rPr>
                          <w:b/>
                          <w:color w:val="44546A" w:themeColor="text2"/>
                          <w:sz w:val="36"/>
                          <w:szCs w:val="36"/>
                        </w:rPr>
                        <w:t>ՈՒՂԵՐՁ</w:t>
                      </w:r>
                      <w:r w:rsidRPr="00812F22">
                        <w:rPr>
                          <w:b/>
                          <w:color w:val="44546A" w:themeColor="text2"/>
                          <w:sz w:val="36"/>
                          <w:szCs w:val="36"/>
                          <w:lang w:val="hy-AM"/>
                        </w:rPr>
                        <w:t>-ԲԱՑԱՏՐԱԳԻՐ</w:t>
                      </w:r>
                    </w:p>
                    <w:p w14:paraId="721FBD11" w14:textId="77777777" w:rsidR="00147C8B" w:rsidRDefault="00147C8B"/>
                    <w:p w14:paraId="46A52F02" w14:textId="77777777" w:rsidR="00147C8B" w:rsidRPr="00056843" w:rsidRDefault="00147C8B" w:rsidP="00FD0C29">
                      <w:pPr>
                        <w:jc w:val="center"/>
                        <w:rPr>
                          <w:color w:val="FFFFFF" w:themeColor="background1"/>
                          <w:lang w:val="hy-AM"/>
                        </w:rPr>
                      </w:pPr>
                      <w:r w:rsidRPr="00056843">
                        <w:rPr>
                          <w:color w:val="FFFFFF" w:themeColor="background1"/>
                          <w:lang w:val="hy-AM"/>
                        </w:rPr>
                        <w:t>ԹՅԱՆ ԿԱՌԱՎԱՐՈՒԹՅԱՆ</w:t>
                      </w:r>
                    </w:p>
                    <w:p w14:paraId="4A09470D" w14:textId="77777777" w:rsidR="00147C8B" w:rsidRDefault="00147C8B"/>
                    <w:p w14:paraId="60F7AA11" w14:textId="77777777" w:rsidR="00147C8B" w:rsidRPr="00056843" w:rsidRDefault="00147C8B" w:rsidP="00FD0C29">
                      <w:pPr>
                        <w:jc w:val="center"/>
                        <w:rPr>
                          <w:color w:val="FFFFFF" w:themeColor="background1"/>
                          <w:lang w:val="hy-AM"/>
                        </w:rPr>
                      </w:pPr>
                      <w:r w:rsidRPr="00682390">
                        <w:rPr>
                          <w:b/>
                          <w:color w:val="44546A" w:themeColor="text2"/>
                          <w:sz w:val="70"/>
                          <w:szCs w:val="70"/>
                        </w:rPr>
                        <w:t>2025 ԹՎԱԿԱՆԻ</w:t>
                      </w:r>
                      <w:r w:rsidRPr="00056843">
                        <w:rPr>
                          <w:color w:val="FFFFFF" w:themeColor="background1"/>
                          <w:lang w:val="hy-AM"/>
                        </w:rPr>
                        <w:t>ԹՅԱՆ ԿԱՌԱՎԱՐՈՒԹՅԱՆ</w:t>
                      </w:r>
                    </w:p>
                    <w:p w14:paraId="1844410B" w14:textId="77777777" w:rsidR="00147C8B" w:rsidRDefault="00147C8B"/>
                    <w:p w14:paraId="0D8007EF" w14:textId="77777777" w:rsidR="00147C8B" w:rsidRPr="00056843" w:rsidRDefault="00147C8B" w:rsidP="00FD0C29">
                      <w:pPr>
                        <w:jc w:val="center"/>
                        <w:rPr>
                          <w:color w:val="FFFFFF" w:themeColor="background1"/>
                          <w:lang w:val="hy-AM"/>
                        </w:rPr>
                      </w:pPr>
                      <w:r w:rsidRPr="00682390">
                        <w:rPr>
                          <w:b/>
                          <w:color w:val="44546A" w:themeColor="text2"/>
                          <w:sz w:val="70"/>
                          <w:szCs w:val="70"/>
                        </w:rPr>
                        <w:t>2025 ԹՎԱԿԱՆԻ</w:t>
                      </w:r>
                      <w:r w:rsidRPr="00056843">
                        <w:rPr>
                          <w:color w:val="FFFFFF" w:themeColor="background1"/>
                          <w:lang w:val="hy-AM"/>
                        </w:rPr>
                        <w:t>ԹՅԱՆ ԿԱՌԱՎԱՐՈՒԹՅԱՆ</w:t>
                      </w:r>
                    </w:p>
                    <w:p w14:paraId="03BD1380" w14:textId="77777777" w:rsidR="00147C8B" w:rsidRDefault="00147C8B"/>
                    <w:p w14:paraId="07A1C768" w14:textId="77777777" w:rsidR="00147C8B" w:rsidRPr="00056843" w:rsidRDefault="00147C8B" w:rsidP="00FD0C29">
                      <w:pPr>
                        <w:jc w:val="center"/>
                        <w:rPr>
                          <w:color w:val="FFFFFF" w:themeColor="background1"/>
                          <w:lang w:val="hy-AM"/>
                        </w:rPr>
                      </w:pPr>
                      <w:r w:rsidRPr="00682390">
                        <w:rPr>
                          <w:b/>
                          <w:color w:val="44546A" w:themeColor="text2"/>
                          <w:sz w:val="70"/>
                          <w:szCs w:val="70"/>
                        </w:rPr>
                        <w:t>2025 ԹՎԱԿԱՆԻ</w:t>
                      </w:r>
                      <w:r w:rsidRPr="00056843">
                        <w:rPr>
                          <w:color w:val="FFFFFF" w:themeColor="background1"/>
                          <w:lang w:val="hy-AM"/>
                        </w:rPr>
                        <w:t>ԹՅԱՆ ԿԱՌԱՎԱՐՈՒԹՅԱՆ</w:t>
                      </w:r>
                    </w:p>
                    <w:p w14:paraId="646B9335" w14:textId="77777777" w:rsidR="00147C8B" w:rsidRDefault="00147C8B"/>
                    <w:p w14:paraId="0DFB3B76"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7A24E439" w14:textId="77777777" w:rsidR="00147C8B" w:rsidRPr="00A3353C" w:rsidRDefault="00147C8B" w:rsidP="00682390">
                      <w:pPr>
                        <w:jc w:val="right"/>
                        <w:rPr>
                          <w:sz w:val="74"/>
                          <w:szCs w:val="74"/>
                        </w:rPr>
                      </w:pPr>
                    </w:p>
                    <w:p w14:paraId="74544E0C" w14:textId="77777777" w:rsidR="00147C8B" w:rsidRDefault="00147C8B" w:rsidP="00682390">
                      <w:pPr>
                        <w:jc w:val="right"/>
                      </w:pPr>
                    </w:p>
                    <w:p w14:paraId="61431F90" w14:textId="77777777" w:rsidR="00147C8B" w:rsidRPr="00056843" w:rsidRDefault="00147C8B" w:rsidP="00FD0C29">
                      <w:pPr>
                        <w:jc w:val="center"/>
                        <w:rPr>
                          <w:color w:val="FFFFFF" w:themeColor="background1"/>
                          <w:lang w:val="hy-AM"/>
                        </w:rPr>
                      </w:pPr>
                      <w:r w:rsidRPr="00682390">
                        <w:rPr>
                          <w:b/>
                          <w:color w:val="44546A" w:themeColor="text2"/>
                          <w:sz w:val="40"/>
                          <w:szCs w:val="40"/>
                        </w:rPr>
                        <w:t>ԲՅՈՒՋԵՏԱՅԻՆ ՈՒՂԵՐՁ</w:t>
                      </w:r>
                      <w:r w:rsidRPr="00682390">
                        <w:rPr>
                          <w:b/>
                          <w:color w:val="44546A" w:themeColor="text2"/>
                          <w:sz w:val="70"/>
                          <w:szCs w:val="70"/>
                        </w:rPr>
                        <w:t>2025 ԹՎԱԿԱՆԻ</w:t>
                      </w:r>
                      <w:r w:rsidRPr="00056843">
                        <w:rPr>
                          <w:color w:val="FFFFFF" w:themeColor="background1"/>
                          <w:lang w:val="hy-AM"/>
                        </w:rPr>
                        <w:t>ԹՅԱՆ ԿԱՌԱՎԱՐՈՒԹՅԱՆ</w:t>
                      </w:r>
                    </w:p>
                    <w:p w14:paraId="671EC53B" w14:textId="77777777" w:rsidR="00147C8B" w:rsidRDefault="00147C8B"/>
                    <w:p w14:paraId="2281542F" w14:textId="77777777" w:rsidR="00147C8B" w:rsidRPr="00056843" w:rsidRDefault="00147C8B" w:rsidP="00FD0C29">
                      <w:pPr>
                        <w:jc w:val="center"/>
                        <w:rPr>
                          <w:color w:val="FFFFFF" w:themeColor="background1"/>
                          <w:lang w:val="hy-AM"/>
                        </w:rPr>
                      </w:pPr>
                      <w:r w:rsidRPr="00682390">
                        <w:rPr>
                          <w:b/>
                          <w:color w:val="44546A" w:themeColor="text2"/>
                          <w:sz w:val="70"/>
                          <w:szCs w:val="70"/>
                        </w:rPr>
                        <w:t>2025 ԹՎԱԿԱՆԻ</w:t>
                      </w:r>
                      <w:r w:rsidRPr="00056843">
                        <w:rPr>
                          <w:color w:val="FFFFFF" w:themeColor="background1"/>
                          <w:lang w:val="hy-AM"/>
                        </w:rPr>
                        <w:t>ԹՅԱՆ ԿԱՌԱՎԱՐՈՒԹՅԱՆ</w:t>
                      </w:r>
                    </w:p>
                    <w:p w14:paraId="56874A31" w14:textId="77777777" w:rsidR="00147C8B" w:rsidRDefault="00147C8B"/>
                    <w:p w14:paraId="1F361FB5" w14:textId="77777777" w:rsidR="00147C8B" w:rsidRPr="00056843" w:rsidRDefault="00147C8B" w:rsidP="00FD0C29">
                      <w:pPr>
                        <w:jc w:val="center"/>
                        <w:rPr>
                          <w:color w:val="FFFFFF" w:themeColor="background1"/>
                          <w:lang w:val="hy-AM"/>
                        </w:rPr>
                      </w:pPr>
                      <w:r w:rsidRPr="00682390">
                        <w:rPr>
                          <w:b/>
                          <w:color w:val="44546A" w:themeColor="text2"/>
                          <w:sz w:val="70"/>
                          <w:szCs w:val="70"/>
                        </w:rPr>
                        <w:t>2025 ԹՎԱԿԱՆԻ</w:t>
                      </w:r>
                      <w:r w:rsidRPr="00056843">
                        <w:rPr>
                          <w:color w:val="FFFFFF" w:themeColor="background1"/>
                          <w:lang w:val="hy-AM"/>
                        </w:rPr>
                        <w:t>ԹՅԱՆ ԿԱՌԱՎԱՐՈՒԹՅԱՆ</w:t>
                      </w:r>
                    </w:p>
                    <w:p w14:paraId="7A6B176D" w14:textId="77777777" w:rsidR="00147C8B" w:rsidRDefault="00147C8B"/>
                    <w:p w14:paraId="796EA508" w14:textId="77777777" w:rsidR="00147C8B" w:rsidRPr="00056843" w:rsidRDefault="00147C8B" w:rsidP="00FD0C29">
                      <w:pPr>
                        <w:jc w:val="center"/>
                        <w:rPr>
                          <w:color w:val="FFFFFF" w:themeColor="background1"/>
                          <w:lang w:val="hy-AM"/>
                        </w:rPr>
                      </w:pPr>
                      <w:r w:rsidRPr="00682390">
                        <w:rPr>
                          <w:b/>
                          <w:color w:val="44546A" w:themeColor="text2"/>
                          <w:sz w:val="70"/>
                          <w:szCs w:val="70"/>
                        </w:rPr>
                        <w:t>2025 ԹՎԱԿԱՆԻ</w:t>
                      </w:r>
                      <w:r w:rsidRPr="00056843">
                        <w:rPr>
                          <w:color w:val="FFFFFF" w:themeColor="background1"/>
                          <w:lang w:val="hy-AM"/>
                        </w:rPr>
                        <w:t>ԹՅԱՆ ԿԱՌԱՎԱՐՈՒԹՅԱՆ</w:t>
                      </w:r>
                    </w:p>
                    <w:p w14:paraId="24BE2E9A" w14:textId="77777777" w:rsidR="00147C8B" w:rsidRDefault="00147C8B"/>
                    <w:p w14:paraId="2F0E85D0"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ՈՒՂԵՐՁ</w:t>
                      </w:r>
                      <w:r w:rsidRPr="00812F22">
                        <w:rPr>
                          <w:b/>
                          <w:color w:val="44546A" w:themeColor="text2"/>
                          <w:sz w:val="36"/>
                          <w:szCs w:val="36"/>
                          <w:lang w:val="hy-AM"/>
                        </w:rPr>
                        <w:t>-ԲԱՑԱՏՐԱԳԻՐ</w:t>
                      </w:r>
                    </w:p>
                    <w:p w14:paraId="5B305B6C" w14:textId="77777777" w:rsidR="00147C8B" w:rsidRDefault="00147C8B"/>
                    <w:p w14:paraId="6930166C" w14:textId="77777777" w:rsidR="00147C8B" w:rsidRPr="00056843" w:rsidRDefault="00147C8B" w:rsidP="00FD0C29">
                      <w:pPr>
                        <w:jc w:val="center"/>
                        <w:rPr>
                          <w:color w:val="FFFFFF" w:themeColor="background1"/>
                          <w:lang w:val="hy-AM"/>
                        </w:rPr>
                      </w:pPr>
                      <w:r w:rsidRPr="00056843">
                        <w:rPr>
                          <w:color w:val="FFFFFF" w:themeColor="background1"/>
                          <w:lang w:val="hy-AM"/>
                        </w:rPr>
                        <w:t>ԹՅԱՆ ԿԱՌԱՎԱՐՈՒԹՅԱՆ</w:t>
                      </w:r>
                    </w:p>
                    <w:p w14:paraId="74D9256B" w14:textId="77777777" w:rsidR="00147C8B" w:rsidRDefault="00147C8B"/>
                    <w:p w14:paraId="497D6132" w14:textId="77777777" w:rsidR="00147C8B" w:rsidRPr="00056843" w:rsidRDefault="00147C8B" w:rsidP="00FD0C29">
                      <w:pPr>
                        <w:jc w:val="center"/>
                        <w:rPr>
                          <w:color w:val="FFFFFF" w:themeColor="background1"/>
                          <w:lang w:val="hy-AM"/>
                        </w:rPr>
                      </w:pPr>
                      <w:r w:rsidRPr="00682390">
                        <w:rPr>
                          <w:b/>
                          <w:color w:val="44546A" w:themeColor="text2"/>
                          <w:sz w:val="70"/>
                          <w:szCs w:val="70"/>
                        </w:rPr>
                        <w:t>2025 ԹՎԱԿԱՆԻ</w:t>
                      </w:r>
                      <w:r w:rsidRPr="00056843">
                        <w:rPr>
                          <w:color w:val="FFFFFF" w:themeColor="background1"/>
                          <w:lang w:val="hy-AM"/>
                        </w:rPr>
                        <w:t>ԹՅԱՆ ԿԱՌԱՎԱՐՈՒԹՅԱՆ</w:t>
                      </w:r>
                    </w:p>
                    <w:p w14:paraId="6A06A795" w14:textId="77777777" w:rsidR="00147C8B" w:rsidRDefault="00147C8B"/>
                    <w:p w14:paraId="1C57F8F7" w14:textId="77777777" w:rsidR="00147C8B" w:rsidRPr="00056843" w:rsidRDefault="00147C8B" w:rsidP="00FD0C29">
                      <w:pPr>
                        <w:jc w:val="center"/>
                        <w:rPr>
                          <w:color w:val="FFFFFF" w:themeColor="background1"/>
                          <w:lang w:val="hy-AM"/>
                        </w:rPr>
                      </w:pPr>
                      <w:r w:rsidRPr="00682390">
                        <w:rPr>
                          <w:b/>
                          <w:color w:val="44546A" w:themeColor="text2"/>
                          <w:sz w:val="70"/>
                          <w:szCs w:val="70"/>
                        </w:rPr>
                        <w:t>2025 ԹՎԱԿԱՆԻ</w:t>
                      </w:r>
                      <w:r w:rsidRPr="00056843">
                        <w:rPr>
                          <w:color w:val="FFFFFF" w:themeColor="background1"/>
                          <w:lang w:val="hy-AM"/>
                        </w:rPr>
                        <w:t>ԹՅԱՆ ԿԱՌԱՎԱՐՈՒԹՅԱՆ</w:t>
                      </w:r>
                    </w:p>
                    <w:p w14:paraId="75F6DC8A" w14:textId="77777777" w:rsidR="00147C8B" w:rsidRDefault="00147C8B"/>
                    <w:p w14:paraId="1A779EE9" w14:textId="77777777" w:rsidR="00147C8B" w:rsidRPr="00056843" w:rsidRDefault="00147C8B" w:rsidP="00FD0C29">
                      <w:pPr>
                        <w:jc w:val="center"/>
                        <w:rPr>
                          <w:color w:val="FFFFFF" w:themeColor="background1"/>
                          <w:lang w:val="hy-AM"/>
                        </w:rPr>
                      </w:pPr>
                      <w:r w:rsidRPr="00682390">
                        <w:rPr>
                          <w:b/>
                          <w:color w:val="44546A" w:themeColor="text2"/>
                          <w:sz w:val="70"/>
                          <w:szCs w:val="70"/>
                        </w:rPr>
                        <w:t>2025 ԹՎԱԿԱՆԻ</w:t>
                      </w:r>
                      <w:r w:rsidRPr="00056843">
                        <w:rPr>
                          <w:color w:val="FFFFFF" w:themeColor="background1"/>
                          <w:lang w:val="hy-AM"/>
                        </w:rPr>
                        <w:t>ԹՅԱՆ ԿԱՌԱՎԱՐՈՒԹՅԱՆ</w:t>
                      </w:r>
                    </w:p>
                    <w:p w14:paraId="7A17FF06" w14:textId="77777777" w:rsidR="00147C8B" w:rsidRDefault="00147C8B"/>
                    <w:p w14:paraId="059F73BB"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51278BCC" w14:textId="77777777" w:rsidR="00147C8B" w:rsidRPr="00A3353C" w:rsidRDefault="00147C8B" w:rsidP="00682390">
                      <w:pPr>
                        <w:jc w:val="right"/>
                        <w:rPr>
                          <w:sz w:val="74"/>
                          <w:szCs w:val="74"/>
                        </w:rPr>
                      </w:pPr>
                    </w:p>
                    <w:p w14:paraId="752AFA28" w14:textId="77777777" w:rsidR="00147C8B" w:rsidRDefault="00147C8B" w:rsidP="00682390">
                      <w:pPr>
                        <w:jc w:val="right"/>
                      </w:pPr>
                    </w:p>
                    <w:p w14:paraId="0CCBC3B3" w14:textId="77777777" w:rsidR="00147C8B" w:rsidRPr="00056843" w:rsidRDefault="00147C8B" w:rsidP="00FD0C29">
                      <w:pPr>
                        <w:jc w:val="center"/>
                        <w:rPr>
                          <w:color w:val="FFFFFF" w:themeColor="background1"/>
                          <w:lang w:val="hy-AM"/>
                        </w:rPr>
                      </w:pPr>
                      <w:r w:rsidRPr="00682390">
                        <w:rPr>
                          <w:b/>
                          <w:color w:val="44546A" w:themeColor="text2"/>
                          <w:sz w:val="40"/>
                          <w:szCs w:val="40"/>
                        </w:rPr>
                        <w:t>ԲՅՈՒՋԵՏԱՅԻՆ ՈՒՂԵՐՁ</w:t>
                      </w:r>
                      <w:r w:rsidRPr="00682390">
                        <w:rPr>
                          <w:b/>
                          <w:color w:val="44546A" w:themeColor="text2"/>
                          <w:sz w:val="70"/>
                          <w:szCs w:val="70"/>
                        </w:rPr>
                        <w:t>2025 ԹՎԱԿԱՆԻ</w:t>
                      </w:r>
                      <w:r w:rsidRPr="00056843">
                        <w:rPr>
                          <w:color w:val="FFFFFF" w:themeColor="background1"/>
                          <w:lang w:val="hy-AM"/>
                        </w:rPr>
                        <w:t>ԹՅԱՆ ԿԱՌԱՎԱՐՈՒԹՅԱՆ</w:t>
                      </w:r>
                    </w:p>
                    <w:p w14:paraId="001F648D" w14:textId="77777777" w:rsidR="00147C8B" w:rsidRDefault="00147C8B"/>
                    <w:p w14:paraId="4F612361" w14:textId="77777777" w:rsidR="00147C8B" w:rsidRPr="00056843" w:rsidRDefault="00147C8B" w:rsidP="00FD0C29">
                      <w:pPr>
                        <w:jc w:val="center"/>
                        <w:rPr>
                          <w:color w:val="FFFFFF" w:themeColor="background1"/>
                          <w:lang w:val="hy-AM"/>
                        </w:rPr>
                      </w:pPr>
                      <w:r w:rsidRPr="00682390">
                        <w:rPr>
                          <w:b/>
                          <w:color w:val="44546A" w:themeColor="text2"/>
                          <w:sz w:val="70"/>
                          <w:szCs w:val="70"/>
                        </w:rPr>
                        <w:t>2025 ԹՎԱԿԱՆԻ</w:t>
                      </w:r>
                      <w:r w:rsidRPr="00056843">
                        <w:rPr>
                          <w:color w:val="FFFFFF" w:themeColor="background1"/>
                          <w:lang w:val="hy-AM"/>
                        </w:rPr>
                        <w:t>ԹՅԱՆ ԿԱՌԱՎԱՐՈՒԹՅԱՆ</w:t>
                      </w:r>
                    </w:p>
                    <w:p w14:paraId="5C9715E2" w14:textId="77777777" w:rsidR="00147C8B" w:rsidRDefault="00147C8B"/>
                    <w:p w14:paraId="2B2F5891" w14:textId="77777777" w:rsidR="00147C8B" w:rsidRPr="00056843" w:rsidRDefault="00147C8B" w:rsidP="00FD0C29">
                      <w:pPr>
                        <w:jc w:val="center"/>
                        <w:rPr>
                          <w:color w:val="FFFFFF" w:themeColor="background1"/>
                          <w:lang w:val="hy-AM"/>
                        </w:rPr>
                      </w:pPr>
                      <w:r w:rsidRPr="00682390">
                        <w:rPr>
                          <w:b/>
                          <w:color w:val="44546A" w:themeColor="text2"/>
                          <w:sz w:val="70"/>
                          <w:szCs w:val="70"/>
                        </w:rPr>
                        <w:t>2025 ԹՎԱԿԱՆԻ</w:t>
                      </w:r>
                      <w:r w:rsidRPr="00056843">
                        <w:rPr>
                          <w:color w:val="FFFFFF" w:themeColor="background1"/>
                          <w:lang w:val="hy-AM"/>
                        </w:rPr>
                        <w:t>ԹՅԱՆ ԿԱՌԱՎԱՐՈՒԹՅԱՆ</w:t>
                      </w:r>
                    </w:p>
                    <w:p w14:paraId="526587DE" w14:textId="77777777" w:rsidR="00147C8B" w:rsidRDefault="00147C8B"/>
                    <w:p w14:paraId="1C1A3DA5" w14:textId="77777777" w:rsidR="00147C8B" w:rsidRPr="00056843" w:rsidRDefault="00147C8B" w:rsidP="00FD0C29">
                      <w:pPr>
                        <w:jc w:val="center"/>
                        <w:rPr>
                          <w:color w:val="FFFFFF" w:themeColor="background1"/>
                          <w:lang w:val="hy-AM"/>
                        </w:rPr>
                      </w:pPr>
                      <w:r w:rsidRPr="00682390">
                        <w:rPr>
                          <w:b/>
                          <w:color w:val="44546A" w:themeColor="text2"/>
                          <w:sz w:val="70"/>
                          <w:szCs w:val="70"/>
                        </w:rPr>
                        <w:t>2025 ԹՎԱԿԱՆԻ</w:t>
                      </w:r>
                      <w:r w:rsidRPr="00056843">
                        <w:rPr>
                          <w:color w:val="FFFFFF" w:themeColor="background1"/>
                          <w:lang w:val="hy-AM"/>
                        </w:rPr>
                        <w:t>ԹՅԱՆ ԿԱՌԱՎԱՐՈՒԹՅԱՆ</w:t>
                      </w:r>
                    </w:p>
                    <w:p w14:paraId="35BBAF4B" w14:textId="77777777" w:rsidR="00147C8B" w:rsidRDefault="00147C8B"/>
                    <w:p w14:paraId="7C40AD9A"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ՈՒՂԵՐՁ</w:t>
                      </w:r>
                      <w:r w:rsidRPr="00812F22">
                        <w:rPr>
                          <w:b/>
                          <w:color w:val="44546A" w:themeColor="text2"/>
                          <w:sz w:val="36"/>
                          <w:szCs w:val="36"/>
                          <w:lang w:val="hy-AM"/>
                        </w:rPr>
                        <w:t>-ԲԱՑԱՏՐԱԳԻՐ</w:t>
                      </w:r>
                    </w:p>
                    <w:p w14:paraId="5850F996" w14:textId="77777777" w:rsidR="00147C8B" w:rsidRDefault="00147C8B"/>
                    <w:p w14:paraId="3583C716" w14:textId="77777777" w:rsidR="00147C8B" w:rsidRDefault="00147C8B"/>
                    <w:p w14:paraId="1B79576F"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191BF8E5" w14:textId="77777777" w:rsidR="00147C8B" w:rsidRPr="00A3353C" w:rsidRDefault="00147C8B" w:rsidP="00682390">
                      <w:pPr>
                        <w:jc w:val="right"/>
                        <w:rPr>
                          <w:sz w:val="74"/>
                          <w:szCs w:val="74"/>
                        </w:rPr>
                      </w:pPr>
                    </w:p>
                    <w:p w14:paraId="61282C2D" w14:textId="77777777" w:rsidR="00147C8B" w:rsidRDefault="00147C8B" w:rsidP="00682390">
                      <w:pPr>
                        <w:jc w:val="right"/>
                      </w:pPr>
                    </w:p>
                    <w:p w14:paraId="5D33A305"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 xml:space="preserve">2025 ԹՎԱԿԱՆԻ </w:t>
                      </w:r>
                    </w:p>
                    <w:p w14:paraId="2101ED81" w14:textId="77777777" w:rsidR="00147C8B" w:rsidRPr="00A3353C" w:rsidRDefault="00147C8B" w:rsidP="00682390">
                      <w:pPr>
                        <w:jc w:val="right"/>
                        <w:rPr>
                          <w:sz w:val="74"/>
                          <w:szCs w:val="74"/>
                        </w:rPr>
                      </w:pPr>
                    </w:p>
                    <w:p w14:paraId="62013CE9" w14:textId="77777777" w:rsidR="00147C8B" w:rsidRDefault="00147C8B"/>
                    <w:p w14:paraId="648AA8AF"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ՈՒՂԵՐՁ</w:t>
                      </w:r>
                      <w:r w:rsidRPr="00812F22">
                        <w:rPr>
                          <w:b/>
                          <w:color w:val="44546A" w:themeColor="text2"/>
                          <w:sz w:val="36"/>
                          <w:szCs w:val="36"/>
                          <w:lang w:val="hy-AM"/>
                        </w:rPr>
                        <w:t>-ԲԱՑԱՏՐԱԳԻՐ</w:t>
                      </w: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36762CF3" w14:textId="77777777" w:rsidR="00147C8B" w:rsidRPr="00A3353C" w:rsidRDefault="00147C8B" w:rsidP="00682390">
                      <w:pPr>
                        <w:jc w:val="right"/>
                        <w:rPr>
                          <w:sz w:val="74"/>
                          <w:szCs w:val="74"/>
                        </w:rPr>
                      </w:pPr>
                    </w:p>
                    <w:p w14:paraId="6EA724EA" w14:textId="77777777" w:rsidR="00147C8B" w:rsidRDefault="00147C8B" w:rsidP="00682390">
                      <w:pPr>
                        <w:jc w:val="right"/>
                      </w:pPr>
                    </w:p>
                    <w:p w14:paraId="1D401F85" w14:textId="77777777" w:rsidR="00147C8B" w:rsidRPr="00812F22" w:rsidRDefault="00147C8B" w:rsidP="00682390">
                      <w:pPr>
                        <w:pStyle w:val="BodyText1"/>
                        <w:jc w:val="right"/>
                        <w:rPr>
                          <w:b/>
                          <w:color w:val="44546A" w:themeColor="text2"/>
                          <w:sz w:val="36"/>
                          <w:szCs w:val="36"/>
                        </w:rPr>
                      </w:pPr>
                      <w:r w:rsidRPr="00682390">
                        <w:rPr>
                          <w:b/>
                          <w:color w:val="44546A" w:themeColor="text2"/>
                          <w:sz w:val="40"/>
                          <w:szCs w:val="40"/>
                        </w:rPr>
                        <w:t>ԲՅՈՒՋԵՏԱՅԻՆ ՈՒՂԵՐՁ</w:t>
                      </w:r>
                      <w:r w:rsidRPr="00682390">
                        <w:rPr>
                          <w:b/>
                          <w:color w:val="44546A" w:themeColor="text2"/>
                          <w:sz w:val="70"/>
                          <w:szCs w:val="70"/>
                        </w:rPr>
                        <w:t>2025 ԹՎԱԿԱՆԻ</w:t>
                      </w:r>
                      <w:r w:rsidRPr="00812F22">
                        <w:rPr>
                          <w:b/>
                          <w:color w:val="44546A" w:themeColor="text2"/>
                          <w:sz w:val="36"/>
                          <w:szCs w:val="36"/>
                        </w:rPr>
                        <w:t>ՈՒՂԵՐՁ</w:t>
                      </w:r>
                      <w:r w:rsidRPr="00812F22">
                        <w:rPr>
                          <w:b/>
                          <w:color w:val="44546A" w:themeColor="text2"/>
                          <w:sz w:val="36"/>
                          <w:szCs w:val="36"/>
                          <w:lang w:val="hy-AM"/>
                        </w:rPr>
                        <w:t>-ԲԱՑԱՏՐԱԳԻՐ</w:t>
                      </w:r>
                    </w:p>
                    <w:p w14:paraId="4005E431" w14:textId="77777777" w:rsidR="00147C8B" w:rsidRDefault="00147C8B"/>
                    <w:p w14:paraId="3D101274" w14:textId="77777777" w:rsidR="00147C8B" w:rsidRDefault="00147C8B"/>
                    <w:p w14:paraId="2CA0C023" w14:textId="77777777" w:rsidR="00147C8B" w:rsidRPr="00812F22" w:rsidRDefault="00147C8B" w:rsidP="00682390">
                      <w:pPr>
                        <w:pStyle w:val="BodyText1"/>
                        <w:jc w:val="right"/>
                        <w:rPr>
                          <w:b/>
                          <w:color w:val="44546A" w:themeColor="text2"/>
                          <w:sz w:val="36"/>
                          <w:szCs w:val="36"/>
                        </w:rPr>
                      </w:pPr>
                      <w:r>
                        <w:rPr>
                          <w:b/>
                          <w:color w:val="44546A" w:themeColor="text2"/>
                          <w:sz w:val="36"/>
                          <w:szCs w:val="36"/>
                        </w:rPr>
                        <w:t>2026</w:t>
                      </w:r>
                      <w:r w:rsidRPr="00812F22">
                        <w:rPr>
                          <w:b/>
                          <w:color w:val="44546A" w:themeColor="text2"/>
                          <w:sz w:val="36"/>
                          <w:szCs w:val="36"/>
                        </w:rPr>
                        <w:t xml:space="preserve">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2DF7C9F2" w14:textId="77777777" w:rsidR="00147C8B" w:rsidRPr="00A3353C" w:rsidRDefault="00147C8B" w:rsidP="00682390">
                      <w:pPr>
                        <w:jc w:val="right"/>
                        <w:rPr>
                          <w:sz w:val="74"/>
                          <w:szCs w:val="74"/>
                        </w:rPr>
                      </w:pPr>
                    </w:p>
                    <w:p w14:paraId="160B0A7B" w14:textId="77777777" w:rsidR="00147C8B" w:rsidRDefault="00147C8B" w:rsidP="00682390">
                      <w:pPr>
                        <w:jc w:val="right"/>
                      </w:pPr>
                    </w:p>
                    <w:p w14:paraId="409DC1B0"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 xml:space="preserve">2025 ԹՎԱԿԱՆԻ </w:t>
                      </w:r>
                    </w:p>
                    <w:p w14:paraId="7F1C4ED5" w14:textId="77777777" w:rsidR="00147C8B" w:rsidRPr="00A3353C" w:rsidRDefault="00147C8B" w:rsidP="00682390">
                      <w:pPr>
                        <w:jc w:val="right"/>
                        <w:rPr>
                          <w:sz w:val="74"/>
                          <w:szCs w:val="74"/>
                        </w:rPr>
                      </w:pPr>
                    </w:p>
                    <w:p w14:paraId="7C092FAC" w14:textId="77777777" w:rsidR="00147C8B" w:rsidRDefault="00147C8B"/>
                    <w:p w14:paraId="0776C1B7"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ՈՒՂԵՐՁ</w:t>
                      </w:r>
                      <w:r w:rsidRPr="00812F22">
                        <w:rPr>
                          <w:b/>
                          <w:color w:val="44546A" w:themeColor="text2"/>
                          <w:sz w:val="36"/>
                          <w:szCs w:val="36"/>
                          <w:lang w:val="hy-AM"/>
                        </w:rPr>
                        <w:t>-ԲԱՑԱՏՐԱԳԻՐ</w:t>
                      </w: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71F23011" w14:textId="77777777" w:rsidR="00147C8B" w:rsidRPr="00A3353C" w:rsidRDefault="00147C8B" w:rsidP="00682390">
                      <w:pPr>
                        <w:jc w:val="right"/>
                        <w:rPr>
                          <w:sz w:val="74"/>
                          <w:szCs w:val="74"/>
                        </w:rPr>
                      </w:pPr>
                    </w:p>
                    <w:p w14:paraId="732AEAEB" w14:textId="77777777" w:rsidR="00147C8B" w:rsidRDefault="00147C8B" w:rsidP="00682390">
                      <w:pPr>
                        <w:jc w:val="right"/>
                      </w:pPr>
                    </w:p>
                    <w:p w14:paraId="50832531"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 xml:space="preserve">2025 ԹՎԱԿԱՆԻ </w:t>
                      </w:r>
                    </w:p>
                    <w:p w14:paraId="5236B153" w14:textId="77777777" w:rsidR="00147C8B" w:rsidRPr="00A3353C" w:rsidRDefault="00147C8B" w:rsidP="00682390">
                      <w:pPr>
                        <w:jc w:val="right"/>
                        <w:rPr>
                          <w:sz w:val="74"/>
                          <w:szCs w:val="74"/>
                        </w:rPr>
                      </w:pPr>
                    </w:p>
                    <w:p w14:paraId="173DA5E8" w14:textId="77777777" w:rsidR="00147C8B" w:rsidRDefault="00147C8B"/>
                    <w:p w14:paraId="33126636"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63E7F08B" w14:textId="77777777" w:rsidR="00147C8B" w:rsidRPr="00A3353C" w:rsidRDefault="00147C8B" w:rsidP="00682390">
                      <w:pPr>
                        <w:jc w:val="right"/>
                        <w:rPr>
                          <w:sz w:val="74"/>
                          <w:szCs w:val="74"/>
                        </w:rPr>
                      </w:pPr>
                    </w:p>
                    <w:p w14:paraId="5403F6E9" w14:textId="77777777" w:rsidR="00147C8B" w:rsidRDefault="00147C8B" w:rsidP="00682390">
                      <w:pPr>
                        <w:jc w:val="right"/>
                      </w:pPr>
                    </w:p>
                    <w:p w14:paraId="3724307F"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 xml:space="preserve">2025 ԹՎԱԿԱՆԻ </w:t>
                      </w:r>
                    </w:p>
                    <w:p w14:paraId="0265488A" w14:textId="77777777" w:rsidR="00147C8B" w:rsidRPr="00A3353C" w:rsidRDefault="00147C8B" w:rsidP="00682390">
                      <w:pPr>
                        <w:jc w:val="right"/>
                        <w:rPr>
                          <w:sz w:val="74"/>
                          <w:szCs w:val="74"/>
                        </w:rPr>
                      </w:pPr>
                    </w:p>
                    <w:p w14:paraId="029C85CB" w14:textId="77777777" w:rsidR="00147C8B" w:rsidRDefault="00147C8B"/>
                    <w:p w14:paraId="49C55DF1"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ՈՒՂԵՐՁ</w:t>
                      </w:r>
                      <w:r w:rsidRPr="00812F22">
                        <w:rPr>
                          <w:b/>
                          <w:color w:val="44546A" w:themeColor="text2"/>
                          <w:sz w:val="36"/>
                          <w:szCs w:val="36"/>
                          <w:lang w:val="hy-AM"/>
                        </w:rPr>
                        <w:t>-ԲԱՑԱՏՐԱԳԻՐ</w:t>
                      </w: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33B1C2EF" w14:textId="77777777" w:rsidR="00147C8B" w:rsidRPr="00A3353C" w:rsidRDefault="00147C8B" w:rsidP="00682390">
                      <w:pPr>
                        <w:jc w:val="right"/>
                        <w:rPr>
                          <w:sz w:val="74"/>
                          <w:szCs w:val="74"/>
                        </w:rPr>
                      </w:pPr>
                    </w:p>
                    <w:p w14:paraId="45901B99" w14:textId="77777777" w:rsidR="00147C8B" w:rsidRDefault="00147C8B" w:rsidP="00682390">
                      <w:pPr>
                        <w:jc w:val="right"/>
                      </w:pPr>
                    </w:p>
                    <w:p w14:paraId="447F8F14" w14:textId="77777777" w:rsidR="00147C8B" w:rsidRPr="00812F22" w:rsidRDefault="00147C8B" w:rsidP="00682390">
                      <w:pPr>
                        <w:pStyle w:val="BodyText1"/>
                        <w:jc w:val="right"/>
                        <w:rPr>
                          <w:b/>
                          <w:color w:val="44546A" w:themeColor="text2"/>
                          <w:sz w:val="36"/>
                          <w:szCs w:val="36"/>
                        </w:rPr>
                      </w:pPr>
                      <w:r w:rsidRPr="00682390">
                        <w:rPr>
                          <w:b/>
                          <w:color w:val="44546A" w:themeColor="text2"/>
                          <w:sz w:val="40"/>
                          <w:szCs w:val="40"/>
                        </w:rPr>
                        <w:t>ԲՅՈՒՋԵՏԱՅԻՆ ՈՒՂԵՐՁ</w:t>
                      </w:r>
                      <w:r w:rsidRPr="00682390">
                        <w:rPr>
                          <w:b/>
                          <w:color w:val="44546A" w:themeColor="text2"/>
                          <w:sz w:val="70"/>
                          <w:szCs w:val="70"/>
                        </w:rPr>
                        <w:t>2025 ԹՎԱԿԱՆԻ</w:t>
                      </w:r>
                      <w:r w:rsidRPr="00812F22">
                        <w:rPr>
                          <w:b/>
                          <w:color w:val="44546A" w:themeColor="text2"/>
                          <w:sz w:val="36"/>
                          <w:szCs w:val="36"/>
                        </w:rPr>
                        <w:t>ՈՒՂԵՐՁ</w:t>
                      </w:r>
                      <w:r w:rsidRPr="00812F22">
                        <w:rPr>
                          <w:b/>
                          <w:color w:val="44546A" w:themeColor="text2"/>
                          <w:sz w:val="36"/>
                          <w:szCs w:val="36"/>
                          <w:lang w:val="hy-AM"/>
                        </w:rPr>
                        <w:t>-ԲԱՑԱՏՐԱԳԻՐ</w:t>
                      </w:r>
                    </w:p>
                    <w:p w14:paraId="6CA0CB94" w14:textId="77777777" w:rsidR="00147C8B" w:rsidRDefault="00147C8B"/>
                    <w:p w14:paraId="6FAEDA62" w14:textId="77777777" w:rsidR="00147C8B" w:rsidRDefault="00147C8B"/>
                    <w:p w14:paraId="21FCD7EA"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7BF3FEA6" w14:textId="77777777" w:rsidR="00147C8B" w:rsidRPr="00A3353C" w:rsidRDefault="00147C8B" w:rsidP="00682390">
                      <w:pPr>
                        <w:jc w:val="right"/>
                        <w:rPr>
                          <w:sz w:val="74"/>
                          <w:szCs w:val="74"/>
                        </w:rPr>
                      </w:pPr>
                    </w:p>
                    <w:p w14:paraId="5A7D33EB" w14:textId="77777777" w:rsidR="00147C8B" w:rsidRDefault="00147C8B" w:rsidP="00682390">
                      <w:pPr>
                        <w:jc w:val="right"/>
                      </w:pPr>
                    </w:p>
                    <w:p w14:paraId="103DA3E7"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 xml:space="preserve">2025 ԹՎԱԿԱՆԻ </w:t>
                      </w:r>
                    </w:p>
                    <w:p w14:paraId="27C58D1E" w14:textId="77777777" w:rsidR="00147C8B" w:rsidRPr="00A3353C" w:rsidRDefault="00147C8B" w:rsidP="00682390">
                      <w:pPr>
                        <w:jc w:val="right"/>
                        <w:rPr>
                          <w:sz w:val="74"/>
                          <w:szCs w:val="74"/>
                        </w:rPr>
                      </w:pPr>
                    </w:p>
                    <w:p w14:paraId="60C37437" w14:textId="77777777" w:rsidR="00147C8B" w:rsidRDefault="00147C8B"/>
                    <w:p w14:paraId="454E4449"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ՈՒՂԵՐՁ</w:t>
                      </w:r>
                      <w:r w:rsidRPr="00812F22">
                        <w:rPr>
                          <w:b/>
                          <w:color w:val="44546A" w:themeColor="text2"/>
                          <w:sz w:val="36"/>
                          <w:szCs w:val="36"/>
                          <w:lang w:val="hy-AM"/>
                        </w:rPr>
                        <w:t>-ԲԱՑԱՏՐԱԳԻՐ</w:t>
                      </w: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669E8A58" w14:textId="77777777" w:rsidR="00147C8B" w:rsidRPr="00A3353C" w:rsidRDefault="00147C8B" w:rsidP="00682390">
                      <w:pPr>
                        <w:jc w:val="right"/>
                        <w:rPr>
                          <w:sz w:val="74"/>
                          <w:szCs w:val="74"/>
                        </w:rPr>
                      </w:pPr>
                    </w:p>
                    <w:p w14:paraId="6B2E4C66" w14:textId="77777777" w:rsidR="00147C8B" w:rsidRDefault="00147C8B" w:rsidP="00682390">
                      <w:pPr>
                        <w:jc w:val="right"/>
                      </w:pPr>
                    </w:p>
                    <w:p w14:paraId="6A35DD9D" w14:textId="77777777" w:rsidR="00147C8B" w:rsidRPr="00812F22" w:rsidRDefault="00147C8B" w:rsidP="00682390">
                      <w:pPr>
                        <w:pStyle w:val="BodyText1"/>
                        <w:jc w:val="right"/>
                        <w:rPr>
                          <w:b/>
                          <w:color w:val="44546A" w:themeColor="text2"/>
                          <w:sz w:val="36"/>
                          <w:szCs w:val="36"/>
                        </w:rPr>
                      </w:pPr>
                      <w:r w:rsidRPr="00682390">
                        <w:rPr>
                          <w:b/>
                          <w:color w:val="44546A" w:themeColor="text2"/>
                          <w:sz w:val="40"/>
                          <w:szCs w:val="40"/>
                        </w:rPr>
                        <w:t>ԲՅՈՒՋԵՏԱՅԻՆ ՈՒՂԵՐՁ</w:t>
                      </w:r>
                      <w:r w:rsidRPr="00682390">
                        <w:rPr>
                          <w:b/>
                          <w:color w:val="44546A" w:themeColor="text2"/>
                          <w:sz w:val="70"/>
                          <w:szCs w:val="70"/>
                        </w:rPr>
                        <w:t>2025 ԹՎԱԿԱՆԻ</w:t>
                      </w:r>
                      <w:r w:rsidRPr="00812F22">
                        <w:rPr>
                          <w:b/>
                          <w:color w:val="44546A" w:themeColor="text2"/>
                          <w:sz w:val="36"/>
                          <w:szCs w:val="36"/>
                        </w:rPr>
                        <w:t>ՈՒՂԵՐՁ</w:t>
                      </w:r>
                      <w:r w:rsidRPr="00812F22">
                        <w:rPr>
                          <w:b/>
                          <w:color w:val="44546A" w:themeColor="text2"/>
                          <w:sz w:val="36"/>
                          <w:szCs w:val="36"/>
                          <w:lang w:val="hy-AM"/>
                        </w:rPr>
                        <w:t>-ԲԱՑԱՏՐԱԳԻՐ</w:t>
                      </w:r>
                    </w:p>
                    <w:p w14:paraId="2F83B3EA" w14:textId="77777777" w:rsidR="00147C8B" w:rsidRDefault="00147C8B"/>
                    <w:p w14:paraId="6A99F6B7" w14:textId="77777777" w:rsidR="00147C8B" w:rsidRPr="00056843" w:rsidRDefault="00147C8B" w:rsidP="00FD0C29">
                      <w:pPr>
                        <w:jc w:val="center"/>
                        <w:rPr>
                          <w:color w:val="FFFFFF" w:themeColor="background1"/>
                          <w:lang w:val="hy-AM"/>
                        </w:rPr>
                      </w:pPr>
                      <w:r w:rsidRPr="00056843">
                        <w:rPr>
                          <w:color w:val="FFFFFF" w:themeColor="background1"/>
                          <w:lang w:val="hy-AM"/>
                        </w:rPr>
                        <w:t>ԹՅԱՆ ԿԱՌԱՎԱՐՈՒԹՅԱՆ</w:t>
                      </w:r>
                    </w:p>
                    <w:p w14:paraId="2F9ABB19" w14:textId="77777777" w:rsidR="00147C8B" w:rsidRDefault="00147C8B"/>
                    <w:p w14:paraId="5E088825" w14:textId="77777777" w:rsidR="00147C8B" w:rsidRPr="00056843" w:rsidRDefault="00147C8B" w:rsidP="00FD0C29">
                      <w:pPr>
                        <w:jc w:val="center"/>
                        <w:rPr>
                          <w:color w:val="FFFFFF" w:themeColor="background1"/>
                          <w:lang w:val="hy-AM"/>
                        </w:rPr>
                      </w:pPr>
                      <w:r w:rsidRPr="00682390">
                        <w:rPr>
                          <w:b/>
                          <w:color w:val="44546A" w:themeColor="text2"/>
                          <w:sz w:val="70"/>
                          <w:szCs w:val="70"/>
                        </w:rPr>
                        <w:t>2025 ԹՎԱԿԱՆԻ</w:t>
                      </w:r>
                      <w:r w:rsidRPr="00056843">
                        <w:rPr>
                          <w:color w:val="FFFFFF" w:themeColor="background1"/>
                          <w:lang w:val="hy-AM"/>
                        </w:rPr>
                        <w:t>ԹՅԱՆ ԿԱՌԱՎԱՐՈՒԹՅԱՆ</w:t>
                      </w:r>
                    </w:p>
                    <w:p w14:paraId="085BDA06" w14:textId="77777777" w:rsidR="00147C8B" w:rsidRDefault="00147C8B"/>
                    <w:p w14:paraId="46C7BED8" w14:textId="77777777" w:rsidR="00147C8B" w:rsidRPr="00056843" w:rsidRDefault="00147C8B" w:rsidP="00FD0C29">
                      <w:pPr>
                        <w:jc w:val="center"/>
                        <w:rPr>
                          <w:color w:val="FFFFFF" w:themeColor="background1"/>
                          <w:lang w:val="hy-AM"/>
                        </w:rPr>
                      </w:pPr>
                      <w:r w:rsidRPr="00682390">
                        <w:rPr>
                          <w:b/>
                          <w:color w:val="44546A" w:themeColor="text2"/>
                          <w:sz w:val="70"/>
                          <w:szCs w:val="70"/>
                        </w:rPr>
                        <w:t>2025 ԹՎԱԿԱՆԻ</w:t>
                      </w:r>
                      <w:r w:rsidRPr="00056843">
                        <w:rPr>
                          <w:color w:val="FFFFFF" w:themeColor="background1"/>
                          <w:lang w:val="hy-AM"/>
                        </w:rPr>
                        <w:t>ԹՅԱՆ ԿԱՌԱՎԱՐՈՒԹՅԱՆ</w:t>
                      </w:r>
                    </w:p>
                    <w:p w14:paraId="77F133D1" w14:textId="77777777" w:rsidR="00147C8B" w:rsidRDefault="00147C8B"/>
                    <w:p w14:paraId="7B5DC079" w14:textId="77777777" w:rsidR="00147C8B" w:rsidRPr="00056843" w:rsidRDefault="00147C8B" w:rsidP="00FD0C29">
                      <w:pPr>
                        <w:jc w:val="center"/>
                        <w:rPr>
                          <w:color w:val="FFFFFF" w:themeColor="background1"/>
                          <w:lang w:val="hy-AM"/>
                        </w:rPr>
                      </w:pPr>
                      <w:r w:rsidRPr="00682390">
                        <w:rPr>
                          <w:b/>
                          <w:color w:val="44546A" w:themeColor="text2"/>
                          <w:sz w:val="70"/>
                          <w:szCs w:val="70"/>
                        </w:rPr>
                        <w:t>2025 ԹՎԱԿԱՆԻ</w:t>
                      </w:r>
                      <w:r w:rsidRPr="00056843">
                        <w:rPr>
                          <w:color w:val="FFFFFF" w:themeColor="background1"/>
                          <w:lang w:val="hy-AM"/>
                        </w:rPr>
                        <w:t>ԹՅԱՆ ԿԱՌԱՎԱՐՈՒԹՅԱՆ</w:t>
                      </w:r>
                    </w:p>
                    <w:p w14:paraId="56ADE35B" w14:textId="77777777" w:rsidR="00147C8B" w:rsidRDefault="00147C8B"/>
                    <w:p w14:paraId="67F80E92"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3253E230" w14:textId="77777777" w:rsidR="00147C8B" w:rsidRPr="00A3353C" w:rsidRDefault="00147C8B" w:rsidP="00682390">
                      <w:pPr>
                        <w:jc w:val="right"/>
                        <w:rPr>
                          <w:sz w:val="74"/>
                          <w:szCs w:val="74"/>
                        </w:rPr>
                      </w:pPr>
                    </w:p>
                    <w:p w14:paraId="57191B89" w14:textId="77777777" w:rsidR="00147C8B" w:rsidRDefault="00147C8B" w:rsidP="00682390">
                      <w:pPr>
                        <w:jc w:val="right"/>
                      </w:pPr>
                    </w:p>
                    <w:p w14:paraId="79423746" w14:textId="77777777" w:rsidR="00147C8B" w:rsidRPr="00056843" w:rsidRDefault="00147C8B" w:rsidP="00FD0C29">
                      <w:pPr>
                        <w:jc w:val="center"/>
                        <w:rPr>
                          <w:color w:val="FFFFFF" w:themeColor="background1"/>
                          <w:lang w:val="hy-AM"/>
                        </w:rPr>
                      </w:pPr>
                      <w:r w:rsidRPr="00682390">
                        <w:rPr>
                          <w:b/>
                          <w:color w:val="44546A" w:themeColor="text2"/>
                          <w:sz w:val="40"/>
                          <w:szCs w:val="40"/>
                        </w:rPr>
                        <w:t>ԲՅՈՒՋԵՏԱՅԻՆ ՈՒՂԵՐՁ</w:t>
                      </w:r>
                      <w:r w:rsidRPr="00682390">
                        <w:rPr>
                          <w:b/>
                          <w:color w:val="44546A" w:themeColor="text2"/>
                          <w:sz w:val="70"/>
                          <w:szCs w:val="70"/>
                        </w:rPr>
                        <w:t>2025 ԹՎԱԿԱՆԻ</w:t>
                      </w:r>
                      <w:r w:rsidRPr="00056843">
                        <w:rPr>
                          <w:color w:val="FFFFFF" w:themeColor="background1"/>
                          <w:lang w:val="hy-AM"/>
                        </w:rPr>
                        <w:t>ԹՅԱՆ ԿԱՌԱՎԱՐՈՒԹՅԱՆ</w:t>
                      </w:r>
                    </w:p>
                    <w:p w14:paraId="7C4F76D5" w14:textId="77777777" w:rsidR="00147C8B" w:rsidRDefault="00147C8B"/>
                    <w:p w14:paraId="0F8EB3B5" w14:textId="77777777" w:rsidR="00147C8B" w:rsidRPr="00056843" w:rsidRDefault="00147C8B" w:rsidP="00FD0C29">
                      <w:pPr>
                        <w:jc w:val="center"/>
                        <w:rPr>
                          <w:color w:val="FFFFFF" w:themeColor="background1"/>
                          <w:lang w:val="hy-AM"/>
                        </w:rPr>
                      </w:pPr>
                      <w:r w:rsidRPr="00682390">
                        <w:rPr>
                          <w:b/>
                          <w:color w:val="44546A" w:themeColor="text2"/>
                          <w:sz w:val="70"/>
                          <w:szCs w:val="70"/>
                        </w:rPr>
                        <w:t>2025 ԹՎԱԿԱՆԻ</w:t>
                      </w:r>
                      <w:r w:rsidRPr="00056843">
                        <w:rPr>
                          <w:color w:val="FFFFFF" w:themeColor="background1"/>
                          <w:lang w:val="hy-AM"/>
                        </w:rPr>
                        <w:t>ԹՅԱՆ ԿԱՌԱՎԱՐՈՒԹՅԱՆ</w:t>
                      </w:r>
                    </w:p>
                    <w:p w14:paraId="7090D0A3" w14:textId="77777777" w:rsidR="00147C8B" w:rsidRDefault="00147C8B"/>
                    <w:p w14:paraId="7EA0EBA8" w14:textId="77777777" w:rsidR="00147C8B" w:rsidRPr="00056843" w:rsidRDefault="00147C8B" w:rsidP="00FD0C29">
                      <w:pPr>
                        <w:jc w:val="center"/>
                        <w:rPr>
                          <w:color w:val="FFFFFF" w:themeColor="background1"/>
                          <w:lang w:val="hy-AM"/>
                        </w:rPr>
                      </w:pPr>
                      <w:r w:rsidRPr="00682390">
                        <w:rPr>
                          <w:b/>
                          <w:color w:val="44546A" w:themeColor="text2"/>
                          <w:sz w:val="70"/>
                          <w:szCs w:val="70"/>
                        </w:rPr>
                        <w:t>2025 ԹՎԱԿԱՆԻ</w:t>
                      </w:r>
                      <w:r w:rsidRPr="00056843">
                        <w:rPr>
                          <w:color w:val="FFFFFF" w:themeColor="background1"/>
                          <w:lang w:val="hy-AM"/>
                        </w:rPr>
                        <w:t>ԹՅԱՆ ԿԱՌԱՎԱՐՈՒԹՅԱՆ</w:t>
                      </w:r>
                    </w:p>
                    <w:p w14:paraId="7E7D8257" w14:textId="77777777" w:rsidR="00147C8B" w:rsidRDefault="00147C8B"/>
                    <w:p w14:paraId="2FFE3C9E" w14:textId="77777777" w:rsidR="00147C8B" w:rsidRPr="00056843" w:rsidRDefault="00147C8B" w:rsidP="00FD0C29">
                      <w:pPr>
                        <w:jc w:val="center"/>
                        <w:rPr>
                          <w:color w:val="FFFFFF" w:themeColor="background1"/>
                          <w:lang w:val="hy-AM"/>
                        </w:rPr>
                      </w:pPr>
                      <w:r w:rsidRPr="00682390">
                        <w:rPr>
                          <w:b/>
                          <w:color w:val="44546A" w:themeColor="text2"/>
                          <w:sz w:val="70"/>
                          <w:szCs w:val="70"/>
                        </w:rPr>
                        <w:t>2025 ԹՎԱԿԱՆԻ</w:t>
                      </w:r>
                      <w:r w:rsidRPr="00056843">
                        <w:rPr>
                          <w:color w:val="FFFFFF" w:themeColor="background1"/>
                          <w:lang w:val="hy-AM"/>
                        </w:rPr>
                        <w:t>ԹՅԱՆ ԿԱՌԱՎԱՐՈՒԹՅԱՆ</w:t>
                      </w:r>
                    </w:p>
                    <w:p w14:paraId="47683A5C" w14:textId="77777777" w:rsidR="00147C8B" w:rsidRDefault="00147C8B"/>
                    <w:p w14:paraId="0493C7C6"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ՈՒՂԵՐՁ</w:t>
                      </w:r>
                      <w:r w:rsidRPr="00812F22">
                        <w:rPr>
                          <w:b/>
                          <w:color w:val="44546A" w:themeColor="text2"/>
                          <w:sz w:val="36"/>
                          <w:szCs w:val="36"/>
                          <w:lang w:val="hy-AM"/>
                        </w:rPr>
                        <w:t>-ԲԱՑԱՏՐԱԳԻՐ</w:t>
                      </w:r>
                    </w:p>
                    <w:p w14:paraId="34639D12" w14:textId="77777777" w:rsidR="00147C8B" w:rsidRDefault="00147C8B"/>
                    <w:p w14:paraId="6C8D8078" w14:textId="77777777" w:rsidR="00147C8B" w:rsidRPr="00056843" w:rsidRDefault="00147C8B" w:rsidP="00FD0C29">
                      <w:pPr>
                        <w:jc w:val="center"/>
                        <w:rPr>
                          <w:color w:val="FFFFFF" w:themeColor="background1"/>
                          <w:lang w:val="hy-AM"/>
                        </w:rPr>
                      </w:pPr>
                      <w:r w:rsidRPr="00056843">
                        <w:rPr>
                          <w:color w:val="FFFFFF" w:themeColor="background1"/>
                          <w:lang w:val="hy-AM"/>
                        </w:rPr>
                        <w:t>ԹՅԱՆ ԿԱՌԱՎԱՐՈՒԹՅԱՆ</w:t>
                      </w:r>
                    </w:p>
                    <w:p w14:paraId="0B867FFF" w14:textId="77777777" w:rsidR="00147C8B" w:rsidRDefault="00147C8B"/>
                    <w:p w14:paraId="41E90B9D" w14:textId="77777777" w:rsidR="00147C8B" w:rsidRPr="00056843" w:rsidRDefault="00147C8B" w:rsidP="00FD0C29">
                      <w:pPr>
                        <w:jc w:val="center"/>
                        <w:rPr>
                          <w:color w:val="FFFFFF" w:themeColor="background1"/>
                          <w:lang w:val="hy-AM"/>
                        </w:rPr>
                      </w:pPr>
                      <w:r w:rsidRPr="00682390">
                        <w:rPr>
                          <w:b/>
                          <w:color w:val="44546A" w:themeColor="text2"/>
                          <w:sz w:val="70"/>
                          <w:szCs w:val="70"/>
                        </w:rPr>
                        <w:t>2025 ԹՎԱԿԱՆԻ</w:t>
                      </w:r>
                      <w:r w:rsidRPr="00056843">
                        <w:rPr>
                          <w:color w:val="FFFFFF" w:themeColor="background1"/>
                          <w:lang w:val="hy-AM"/>
                        </w:rPr>
                        <w:t>ԹՅԱՆ ԿԱՌԱՎԱՐՈՒԹՅԱՆ</w:t>
                      </w:r>
                    </w:p>
                    <w:p w14:paraId="246F65CC" w14:textId="77777777" w:rsidR="00147C8B" w:rsidRDefault="00147C8B"/>
                    <w:p w14:paraId="60A0FBD4" w14:textId="77777777" w:rsidR="00147C8B" w:rsidRPr="00056843" w:rsidRDefault="00147C8B" w:rsidP="00FD0C29">
                      <w:pPr>
                        <w:jc w:val="center"/>
                        <w:rPr>
                          <w:color w:val="FFFFFF" w:themeColor="background1"/>
                          <w:lang w:val="hy-AM"/>
                        </w:rPr>
                      </w:pPr>
                      <w:r w:rsidRPr="00682390">
                        <w:rPr>
                          <w:b/>
                          <w:color w:val="44546A" w:themeColor="text2"/>
                          <w:sz w:val="70"/>
                          <w:szCs w:val="70"/>
                        </w:rPr>
                        <w:t>2025 ԹՎԱԿԱՆԻ</w:t>
                      </w:r>
                      <w:r w:rsidRPr="00056843">
                        <w:rPr>
                          <w:color w:val="FFFFFF" w:themeColor="background1"/>
                          <w:lang w:val="hy-AM"/>
                        </w:rPr>
                        <w:t>ԹՅԱՆ ԿԱՌԱՎԱՐՈՒԹՅԱՆ</w:t>
                      </w:r>
                    </w:p>
                    <w:p w14:paraId="1AE9E11D" w14:textId="77777777" w:rsidR="00147C8B" w:rsidRDefault="00147C8B"/>
                    <w:p w14:paraId="196DDAFF" w14:textId="77777777" w:rsidR="00147C8B" w:rsidRPr="00056843" w:rsidRDefault="00147C8B" w:rsidP="00FD0C29">
                      <w:pPr>
                        <w:jc w:val="center"/>
                        <w:rPr>
                          <w:color w:val="FFFFFF" w:themeColor="background1"/>
                          <w:lang w:val="hy-AM"/>
                        </w:rPr>
                      </w:pPr>
                      <w:r w:rsidRPr="00682390">
                        <w:rPr>
                          <w:b/>
                          <w:color w:val="44546A" w:themeColor="text2"/>
                          <w:sz w:val="70"/>
                          <w:szCs w:val="70"/>
                        </w:rPr>
                        <w:t>2025 ԹՎԱԿԱՆԻ</w:t>
                      </w:r>
                      <w:r w:rsidRPr="00056843">
                        <w:rPr>
                          <w:color w:val="FFFFFF" w:themeColor="background1"/>
                          <w:lang w:val="hy-AM"/>
                        </w:rPr>
                        <w:t>ԹՅԱՆ ԿԱՌԱՎԱՐՈՒԹՅԱՆ</w:t>
                      </w:r>
                    </w:p>
                    <w:p w14:paraId="26772ABA" w14:textId="77777777" w:rsidR="00147C8B" w:rsidRDefault="00147C8B"/>
                    <w:p w14:paraId="44AEDCFD"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0360B154" w14:textId="77777777" w:rsidR="00147C8B" w:rsidRPr="00A3353C" w:rsidRDefault="00147C8B" w:rsidP="00682390">
                      <w:pPr>
                        <w:jc w:val="right"/>
                        <w:rPr>
                          <w:sz w:val="74"/>
                          <w:szCs w:val="74"/>
                        </w:rPr>
                      </w:pPr>
                    </w:p>
                    <w:p w14:paraId="2F7F87B5" w14:textId="77777777" w:rsidR="00147C8B" w:rsidRDefault="00147C8B" w:rsidP="00682390">
                      <w:pPr>
                        <w:jc w:val="right"/>
                      </w:pPr>
                    </w:p>
                    <w:p w14:paraId="4A85FA54" w14:textId="77777777" w:rsidR="00147C8B" w:rsidRPr="00056843" w:rsidRDefault="00147C8B" w:rsidP="00FD0C29">
                      <w:pPr>
                        <w:jc w:val="center"/>
                        <w:rPr>
                          <w:color w:val="FFFFFF" w:themeColor="background1"/>
                          <w:lang w:val="hy-AM"/>
                        </w:rPr>
                      </w:pPr>
                      <w:r w:rsidRPr="00682390">
                        <w:rPr>
                          <w:b/>
                          <w:color w:val="44546A" w:themeColor="text2"/>
                          <w:sz w:val="40"/>
                          <w:szCs w:val="40"/>
                        </w:rPr>
                        <w:t>ԲՅՈՒՋԵՏԱՅԻՆ ՈՒՂԵՐՁ</w:t>
                      </w:r>
                      <w:r w:rsidRPr="00682390">
                        <w:rPr>
                          <w:b/>
                          <w:color w:val="44546A" w:themeColor="text2"/>
                          <w:sz w:val="70"/>
                          <w:szCs w:val="70"/>
                        </w:rPr>
                        <w:t>2025 ԹՎԱԿԱՆԻ</w:t>
                      </w:r>
                      <w:r w:rsidRPr="00056843">
                        <w:rPr>
                          <w:color w:val="FFFFFF" w:themeColor="background1"/>
                          <w:lang w:val="hy-AM"/>
                        </w:rPr>
                        <w:t>ԹՅԱՆ ԿԱՌԱՎԱՐՈՒԹՅԱՆ</w:t>
                      </w:r>
                    </w:p>
                    <w:p w14:paraId="10E13E9D" w14:textId="77777777" w:rsidR="00147C8B" w:rsidRDefault="00147C8B"/>
                    <w:p w14:paraId="2C2BB533" w14:textId="77777777" w:rsidR="00147C8B" w:rsidRPr="00056843" w:rsidRDefault="00147C8B" w:rsidP="00FD0C29">
                      <w:pPr>
                        <w:jc w:val="center"/>
                        <w:rPr>
                          <w:color w:val="FFFFFF" w:themeColor="background1"/>
                          <w:lang w:val="hy-AM"/>
                        </w:rPr>
                      </w:pPr>
                      <w:r w:rsidRPr="00682390">
                        <w:rPr>
                          <w:b/>
                          <w:color w:val="44546A" w:themeColor="text2"/>
                          <w:sz w:val="70"/>
                          <w:szCs w:val="70"/>
                        </w:rPr>
                        <w:t>2025 ԹՎԱԿԱՆԻ</w:t>
                      </w:r>
                      <w:r w:rsidRPr="00056843">
                        <w:rPr>
                          <w:color w:val="FFFFFF" w:themeColor="background1"/>
                          <w:lang w:val="hy-AM"/>
                        </w:rPr>
                        <w:t>ԹՅԱՆ ԿԱՌԱՎԱՐՈՒԹՅԱՆ</w:t>
                      </w:r>
                    </w:p>
                    <w:p w14:paraId="23D326CB" w14:textId="77777777" w:rsidR="00147C8B" w:rsidRDefault="00147C8B"/>
                    <w:p w14:paraId="7683F53C" w14:textId="77777777" w:rsidR="00147C8B" w:rsidRPr="00056843" w:rsidRDefault="00147C8B" w:rsidP="00FD0C29">
                      <w:pPr>
                        <w:jc w:val="center"/>
                        <w:rPr>
                          <w:color w:val="FFFFFF" w:themeColor="background1"/>
                          <w:lang w:val="hy-AM"/>
                        </w:rPr>
                      </w:pPr>
                      <w:r w:rsidRPr="00682390">
                        <w:rPr>
                          <w:b/>
                          <w:color w:val="44546A" w:themeColor="text2"/>
                          <w:sz w:val="70"/>
                          <w:szCs w:val="70"/>
                        </w:rPr>
                        <w:t>2025 ԹՎԱԿԱՆԻ</w:t>
                      </w:r>
                      <w:r w:rsidRPr="00056843">
                        <w:rPr>
                          <w:color w:val="FFFFFF" w:themeColor="background1"/>
                          <w:lang w:val="hy-AM"/>
                        </w:rPr>
                        <w:t>ԹՅԱՆ ԿԱՌԱՎԱՐՈՒԹՅԱՆ</w:t>
                      </w:r>
                    </w:p>
                    <w:p w14:paraId="3F64078B" w14:textId="77777777" w:rsidR="00147C8B" w:rsidRDefault="00147C8B"/>
                    <w:p w14:paraId="7B822600" w14:textId="77777777" w:rsidR="00147C8B" w:rsidRPr="00056843" w:rsidRDefault="00147C8B" w:rsidP="00FD0C29">
                      <w:pPr>
                        <w:jc w:val="center"/>
                        <w:rPr>
                          <w:color w:val="FFFFFF" w:themeColor="background1"/>
                          <w:lang w:val="hy-AM"/>
                        </w:rPr>
                      </w:pPr>
                      <w:r w:rsidRPr="00682390">
                        <w:rPr>
                          <w:b/>
                          <w:color w:val="44546A" w:themeColor="text2"/>
                          <w:sz w:val="70"/>
                          <w:szCs w:val="70"/>
                        </w:rPr>
                        <w:t>2025 ԹՎԱԿԱՆԻ</w:t>
                      </w:r>
                      <w:r w:rsidRPr="00056843">
                        <w:rPr>
                          <w:color w:val="FFFFFF" w:themeColor="background1"/>
                          <w:lang w:val="hy-AM"/>
                        </w:rPr>
                        <w:t>ԹՅԱՆ ԿԱՌԱՎԱՐՈՒԹՅԱՆ</w:t>
                      </w:r>
                    </w:p>
                    <w:p w14:paraId="4AF8CB48" w14:textId="77777777" w:rsidR="00147C8B" w:rsidRDefault="00147C8B"/>
                    <w:p w14:paraId="459B579B"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ՈՒՂԵՐՁ</w:t>
                      </w:r>
                      <w:r w:rsidRPr="00812F22">
                        <w:rPr>
                          <w:b/>
                          <w:color w:val="44546A" w:themeColor="text2"/>
                          <w:sz w:val="36"/>
                          <w:szCs w:val="36"/>
                          <w:lang w:val="hy-AM"/>
                        </w:rPr>
                        <w:t>-ԲԱՑԱՏՐԱԳԻՐ</w:t>
                      </w:r>
                    </w:p>
                    <w:p w14:paraId="737CB5F7" w14:textId="77777777" w:rsidR="00147C8B" w:rsidRDefault="00147C8B"/>
                    <w:p w14:paraId="125DAAB6" w14:textId="77777777" w:rsidR="00147C8B" w:rsidRDefault="00147C8B"/>
                    <w:p w14:paraId="2E6AC3D6"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50E7B9AA" w14:textId="77777777" w:rsidR="00147C8B" w:rsidRPr="00A3353C" w:rsidRDefault="00147C8B" w:rsidP="00682390">
                      <w:pPr>
                        <w:jc w:val="right"/>
                        <w:rPr>
                          <w:sz w:val="74"/>
                          <w:szCs w:val="74"/>
                        </w:rPr>
                      </w:pPr>
                    </w:p>
                    <w:p w14:paraId="64CA8F30" w14:textId="77777777" w:rsidR="00147C8B" w:rsidRDefault="00147C8B" w:rsidP="00682390">
                      <w:pPr>
                        <w:jc w:val="right"/>
                      </w:pPr>
                    </w:p>
                    <w:p w14:paraId="49E41BDF"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 xml:space="preserve">2025 ԹՎԱԿԱՆԻ </w:t>
                      </w:r>
                    </w:p>
                    <w:p w14:paraId="4F0E2861" w14:textId="77777777" w:rsidR="00147C8B" w:rsidRPr="00A3353C" w:rsidRDefault="00147C8B" w:rsidP="00682390">
                      <w:pPr>
                        <w:jc w:val="right"/>
                        <w:rPr>
                          <w:sz w:val="74"/>
                          <w:szCs w:val="74"/>
                        </w:rPr>
                      </w:pPr>
                    </w:p>
                    <w:p w14:paraId="6D30006E" w14:textId="77777777" w:rsidR="00147C8B" w:rsidRDefault="00147C8B"/>
                    <w:p w14:paraId="658D6B14"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ՈՒՂԵՐՁ</w:t>
                      </w:r>
                      <w:r w:rsidRPr="00812F22">
                        <w:rPr>
                          <w:b/>
                          <w:color w:val="44546A" w:themeColor="text2"/>
                          <w:sz w:val="36"/>
                          <w:szCs w:val="36"/>
                          <w:lang w:val="hy-AM"/>
                        </w:rPr>
                        <w:t>-ԲԱՑԱՏՐԱԳԻՐ</w:t>
                      </w: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7D51C67D" w14:textId="77777777" w:rsidR="00147C8B" w:rsidRPr="00A3353C" w:rsidRDefault="00147C8B" w:rsidP="00682390">
                      <w:pPr>
                        <w:jc w:val="right"/>
                        <w:rPr>
                          <w:sz w:val="74"/>
                          <w:szCs w:val="74"/>
                        </w:rPr>
                      </w:pPr>
                    </w:p>
                    <w:p w14:paraId="45389CA6" w14:textId="77777777" w:rsidR="00147C8B" w:rsidRDefault="00147C8B" w:rsidP="00682390">
                      <w:pPr>
                        <w:jc w:val="right"/>
                      </w:pPr>
                    </w:p>
                    <w:p w14:paraId="27DE743B" w14:textId="77777777" w:rsidR="00147C8B" w:rsidRPr="00812F22" w:rsidRDefault="00147C8B" w:rsidP="00682390">
                      <w:pPr>
                        <w:pStyle w:val="BodyText1"/>
                        <w:jc w:val="right"/>
                        <w:rPr>
                          <w:b/>
                          <w:color w:val="44546A" w:themeColor="text2"/>
                          <w:sz w:val="36"/>
                          <w:szCs w:val="36"/>
                        </w:rPr>
                      </w:pPr>
                      <w:r w:rsidRPr="00682390">
                        <w:rPr>
                          <w:b/>
                          <w:color w:val="44546A" w:themeColor="text2"/>
                          <w:sz w:val="40"/>
                          <w:szCs w:val="40"/>
                        </w:rPr>
                        <w:t>ԲՅՈՒՋԵՏԱՅԻՆ ՈՒՂԵՐՁ</w:t>
                      </w:r>
                      <w:r w:rsidRPr="00682390">
                        <w:rPr>
                          <w:b/>
                          <w:color w:val="44546A" w:themeColor="text2"/>
                          <w:sz w:val="70"/>
                          <w:szCs w:val="70"/>
                        </w:rPr>
                        <w:t>2025 ԹՎԱԿԱՆԻ</w:t>
                      </w:r>
                      <w:r w:rsidRPr="00812F22">
                        <w:rPr>
                          <w:b/>
                          <w:color w:val="44546A" w:themeColor="text2"/>
                          <w:sz w:val="36"/>
                          <w:szCs w:val="36"/>
                        </w:rPr>
                        <w:t>ՈՒՂԵՐՁ</w:t>
                      </w:r>
                      <w:r w:rsidRPr="00812F22">
                        <w:rPr>
                          <w:b/>
                          <w:color w:val="44546A" w:themeColor="text2"/>
                          <w:sz w:val="36"/>
                          <w:szCs w:val="36"/>
                          <w:lang w:val="hy-AM"/>
                        </w:rPr>
                        <w:t>-ԲԱՑԱՏՐԱԳԻՐ</w:t>
                      </w:r>
                    </w:p>
                    <w:p w14:paraId="1C1DD2CD" w14:textId="77777777" w:rsidR="00147C8B" w:rsidRDefault="00147C8B"/>
                    <w:p w14:paraId="3F2CD45F" w14:textId="77777777" w:rsidR="00147C8B" w:rsidRPr="00056843" w:rsidRDefault="00147C8B" w:rsidP="00FD0C29">
                      <w:pPr>
                        <w:jc w:val="center"/>
                        <w:rPr>
                          <w:color w:val="FFFFFF" w:themeColor="background1"/>
                          <w:lang w:val="hy-AM"/>
                        </w:rPr>
                      </w:pPr>
                      <w:r w:rsidRPr="00056843">
                        <w:rPr>
                          <w:color w:val="FFFFFF" w:themeColor="background1"/>
                          <w:lang w:val="hy-AM"/>
                        </w:rPr>
                        <w:t>ԹՅԱՆ ԿԱՌԱՎԱՐՈՒԹՅԱՆ</w:t>
                      </w:r>
                    </w:p>
                    <w:p w14:paraId="35DC0872" w14:textId="77777777" w:rsidR="00147C8B" w:rsidRDefault="00147C8B"/>
                    <w:p w14:paraId="553CBF46" w14:textId="77777777" w:rsidR="00147C8B" w:rsidRPr="00056843" w:rsidRDefault="00147C8B" w:rsidP="00FD0C29">
                      <w:pPr>
                        <w:jc w:val="center"/>
                        <w:rPr>
                          <w:color w:val="FFFFFF" w:themeColor="background1"/>
                          <w:lang w:val="hy-AM"/>
                        </w:rPr>
                      </w:pPr>
                      <w:r w:rsidRPr="00682390">
                        <w:rPr>
                          <w:b/>
                          <w:color w:val="44546A" w:themeColor="text2"/>
                          <w:sz w:val="70"/>
                          <w:szCs w:val="70"/>
                        </w:rPr>
                        <w:t>2025 ԹՎԱԿԱՆԻ</w:t>
                      </w:r>
                      <w:r w:rsidRPr="00056843">
                        <w:rPr>
                          <w:color w:val="FFFFFF" w:themeColor="background1"/>
                          <w:lang w:val="hy-AM"/>
                        </w:rPr>
                        <w:t>ԹՅԱՆ ԿԱՌԱՎԱՐՈՒԹՅԱՆ</w:t>
                      </w:r>
                    </w:p>
                    <w:p w14:paraId="1682D3AC" w14:textId="77777777" w:rsidR="00147C8B" w:rsidRDefault="00147C8B"/>
                    <w:p w14:paraId="33FF2EE6" w14:textId="77777777" w:rsidR="00147C8B" w:rsidRPr="00056843" w:rsidRDefault="00147C8B" w:rsidP="00FD0C29">
                      <w:pPr>
                        <w:jc w:val="center"/>
                        <w:rPr>
                          <w:color w:val="FFFFFF" w:themeColor="background1"/>
                          <w:lang w:val="hy-AM"/>
                        </w:rPr>
                      </w:pPr>
                      <w:r w:rsidRPr="00682390">
                        <w:rPr>
                          <w:b/>
                          <w:color w:val="44546A" w:themeColor="text2"/>
                          <w:sz w:val="70"/>
                          <w:szCs w:val="70"/>
                        </w:rPr>
                        <w:t>2025 ԹՎԱԿԱՆԻ</w:t>
                      </w:r>
                      <w:r w:rsidRPr="00056843">
                        <w:rPr>
                          <w:color w:val="FFFFFF" w:themeColor="background1"/>
                          <w:lang w:val="hy-AM"/>
                        </w:rPr>
                        <w:t>ԹՅԱՆ ԿԱՌԱՎԱՐՈՒԹՅԱՆ</w:t>
                      </w:r>
                    </w:p>
                    <w:p w14:paraId="5FB6F6FC" w14:textId="77777777" w:rsidR="00147C8B" w:rsidRDefault="00147C8B"/>
                    <w:p w14:paraId="092DFBB0" w14:textId="77777777" w:rsidR="00147C8B" w:rsidRPr="00056843" w:rsidRDefault="00147C8B" w:rsidP="00FD0C29">
                      <w:pPr>
                        <w:jc w:val="center"/>
                        <w:rPr>
                          <w:color w:val="FFFFFF" w:themeColor="background1"/>
                          <w:lang w:val="hy-AM"/>
                        </w:rPr>
                      </w:pPr>
                      <w:r w:rsidRPr="00682390">
                        <w:rPr>
                          <w:b/>
                          <w:color w:val="44546A" w:themeColor="text2"/>
                          <w:sz w:val="70"/>
                          <w:szCs w:val="70"/>
                        </w:rPr>
                        <w:t>2025 ԹՎԱԿԱՆԻ</w:t>
                      </w:r>
                      <w:r w:rsidRPr="00056843">
                        <w:rPr>
                          <w:color w:val="FFFFFF" w:themeColor="background1"/>
                          <w:lang w:val="hy-AM"/>
                        </w:rPr>
                        <w:t>ԹՅԱՆ ԿԱՌԱՎԱՐՈՒԹՅԱՆ</w:t>
                      </w:r>
                    </w:p>
                    <w:p w14:paraId="441D561F" w14:textId="77777777" w:rsidR="00147C8B" w:rsidRDefault="00147C8B"/>
                    <w:p w14:paraId="347DAC2B"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5442BD58" w14:textId="77777777" w:rsidR="00147C8B" w:rsidRPr="00A3353C" w:rsidRDefault="00147C8B" w:rsidP="00682390">
                      <w:pPr>
                        <w:jc w:val="right"/>
                        <w:rPr>
                          <w:sz w:val="74"/>
                          <w:szCs w:val="74"/>
                        </w:rPr>
                      </w:pPr>
                    </w:p>
                    <w:p w14:paraId="1F66BD00" w14:textId="77777777" w:rsidR="00147C8B" w:rsidRDefault="00147C8B" w:rsidP="00682390">
                      <w:pPr>
                        <w:jc w:val="right"/>
                      </w:pPr>
                    </w:p>
                    <w:p w14:paraId="436D6F48" w14:textId="77777777" w:rsidR="00147C8B" w:rsidRPr="00056843" w:rsidRDefault="00147C8B" w:rsidP="00FD0C29">
                      <w:pPr>
                        <w:jc w:val="center"/>
                        <w:rPr>
                          <w:color w:val="FFFFFF" w:themeColor="background1"/>
                          <w:lang w:val="hy-AM"/>
                        </w:rPr>
                      </w:pPr>
                      <w:r w:rsidRPr="00682390">
                        <w:rPr>
                          <w:b/>
                          <w:color w:val="44546A" w:themeColor="text2"/>
                          <w:sz w:val="40"/>
                          <w:szCs w:val="40"/>
                        </w:rPr>
                        <w:t>ԲՅՈՒՋԵՏԱՅԻՆ ՈՒՂԵՐՁ</w:t>
                      </w:r>
                      <w:r w:rsidRPr="00682390">
                        <w:rPr>
                          <w:b/>
                          <w:color w:val="44546A" w:themeColor="text2"/>
                          <w:sz w:val="70"/>
                          <w:szCs w:val="70"/>
                        </w:rPr>
                        <w:t>2025 ԹՎԱԿԱՆԻ</w:t>
                      </w:r>
                      <w:r w:rsidRPr="00056843">
                        <w:rPr>
                          <w:color w:val="FFFFFF" w:themeColor="background1"/>
                          <w:lang w:val="hy-AM"/>
                        </w:rPr>
                        <w:t>ԹՅԱՆ ԿԱՌԱՎԱՐՈՒԹՅԱՆ</w:t>
                      </w:r>
                    </w:p>
                    <w:p w14:paraId="58530588" w14:textId="77777777" w:rsidR="00147C8B" w:rsidRDefault="00147C8B"/>
                    <w:p w14:paraId="04080D39" w14:textId="77777777" w:rsidR="00147C8B" w:rsidRPr="00056843" w:rsidRDefault="00147C8B" w:rsidP="00FD0C29">
                      <w:pPr>
                        <w:jc w:val="center"/>
                        <w:rPr>
                          <w:color w:val="FFFFFF" w:themeColor="background1"/>
                          <w:lang w:val="hy-AM"/>
                        </w:rPr>
                      </w:pPr>
                      <w:r w:rsidRPr="00682390">
                        <w:rPr>
                          <w:b/>
                          <w:color w:val="44546A" w:themeColor="text2"/>
                          <w:sz w:val="70"/>
                          <w:szCs w:val="70"/>
                        </w:rPr>
                        <w:t>2025 ԹՎԱԿԱՆԻ</w:t>
                      </w:r>
                      <w:r w:rsidRPr="00056843">
                        <w:rPr>
                          <w:color w:val="FFFFFF" w:themeColor="background1"/>
                          <w:lang w:val="hy-AM"/>
                        </w:rPr>
                        <w:t>ԹՅԱՆ ԿԱՌԱՎԱՐՈՒԹՅԱՆ</w:t>
                      </w:r>
                    </w:p>
                    <w:p w14:paraId="43EFFCE1" w14:textId="77777777" w:rsidR="00147C8B" w:rsidRDefault="00147C8B"/>
                    <w:p w14:paraId="68C50DEA" w14:textId="77777777" w:rsidR="00147C8B" w:rsidRPr="00056843" w:rsidRDefault="00147C8B" w:rsidP="00FD0C29">
                      <w:pPr>
                        <w:jc w:val="center"/>
                        <w:rPr>
                          <w:color w:val="FFFFFF" w:themeColor="background1"/>
                          <w:lang w:val="hy-AM"/>
                        </w:rPr>
                      </w:pPr>
                      <w:r w:rsidRPr="00682390">
                        <w:rPr>
                          <w:b/>
                          <w:color w:val="44546A" w:themeColor="text2"/>
                          <w:sz w:val="70"/>
                          <w:szCs w:val="70"/>
                        </w:rPr>
                        <w:t>2025 ԹՎԱԿԱՆԻ</w:t>
                      </w:r>
                      <w:r w:rsidRPr="00056843">
                        <w:rPr>
                          <w:color w:val="FFFFFF" w:themeColor="background1"/>
                          <w:lang w:val="hy-AM"/>
                        </w:rPr>
                        <w:t>ԹՅԱՆ ԿԱՌԱՎԱՐՈՒԹՅԱՆ</w:t>
                      </w:r>
                    </w:p>
                    <w:p w14:paraId="6AB3C377" w14:textId="77777777" w:rsidR="00147C8B" w:rsidRDefault="00147C8B"/>
                    <w:p w14:paraId="0D5E96EF" w14:textId="77777777" w:rsidR="00147C8B" w:rsidRPr="00056843" w:rsidRDefault="00147C8B" w:rsidP="00FD0C29">
                      <w:pPr>
                        <w:jc w:val="center"/>
                        <w:rPr>
                          <w:color w:val="FFFFFF" w:themeColor="background1"/>
                          <w:lang w:val="hy-AM"/>
                        </w:rPr>
                      </w:pPr>
                      <w:r w:rsidRPr="00682390">
                        <w:rPr>
                          <w:b/>
                          <w:color w:val="44546A" w:themeColor="text2"/>
                          <w:sz w:val="70"/>
                          <w:szCs w:val="70"/>
                        </w:rPr>
                        <w:t>2025 ԹՎԱԿԱՆԻ</w:t>
                      </w:r>
                      <w:r w:rsidRPr="00056843">
                        <w:rPr>
                          <w:color w:val="FFFFFF" w:themeColor="background1"/>
                          <w:lang w:val="hy-AM"/>
                        </w:rPr>
                        <w:t>ԹՅԱՆ ԿԱՌԱՎԱՐՈՒԹՅԱՆ</w:t>
                      </w:r>
                    </w:p>
                    <w:p w14:paraId="00D0F51E" w14:textId="77777777" w:rsidR="00147C8B" w:rsidRDefault="00147C8B"/>
                    <w:p w14:paraId="6B582C67"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ՈՒՂԵՐՁ</w:t>
                      </w:r>
                      <w:r w:rsidRPr="00812F22">
                        <w:rPr>
                          <w:b/>
                          <w:color w:val="44546A" w:themeColor="text2"/>
                          <w:sz w:val="36"/>
                          <w:szCs w:val="36"/>
                          <w:lang w:val="hy-AM"/>
                        </w:rPr>
                        <w:t>-ԲԱՑԱՏՐԱԳԻՐ</w:t>
                      </w:r>
                    </w:p>
                    <w:p w14:paraId="30AC6794" w14:textId="77777777" w:rsidR="00147C8B" w:rsidRDefault="00147C8B"/>
                    <w:p w14:paraId="610E5708" w14:textId="77777777" w:rsidR="00147C8B" w:rsidRPr="00056843" w:rsidRDefault="00147C8B" w:rsidP="00FD0C29">
                      <w:pPr>
                        <w:jc w:val="center"/>
                        <w:rPr>
                          <w:color w:val="FFFFFF" w:themeColor="background1"/>
                          <w:lang w:val="hy-AM"/>
                        </w:rPr>
                      </w:pPr>
                      <w:r w:rsidRPr="00056843">
                        <w:rPr>
                          <w:color w:val="FFFFFF" w:themeColor="background1"/>
                          <w:lang w:val="hy-AM"/>
                        </w:rPr>
                        <w:t>ԹՅԱՆ ԿԱՌԱՎԱՐՈՒԹՅԱՆ</w:t>
                      </w:r>
                    </w:p>
                    <w:p w14:paraId="7E2DA592" w14:textId="77777777" w:rsidR="00147C8B" w:rsidRDefault="00147C8B"/>
                    <w:p w14:paraId="3835BFCF" w14:textId="77777777" w:rsidR="00147C8B" w:rsidRPr="00056843" w:rsidRDefault="00147C8B" w:rsidP="00FD0C29">
                      <w:pPr>
                        <w:jc w:val="center"/>
                        <w:rPr>
                          <w:color w:val="FFFFFF" w:themeColor="background1"/>
                          <w:lang w:val="hy-AM"/>
                        </w:rPr>
                      </w:pPr>
                      <w:r w:rsidRPr="00682390">
                        <w:rPr>
                          <w:b/>
                          <w:color w:val="44546A" w:themeColor="text2"/>
                          <w:sz w:val="70"/>
                          <w:szCs w:val="70"/>
                        </w:rPr>
                        <w:t>2025 ԹՎԱԿԱՆԻ</w:t>
                      </w:r>
                      <w:r w:rsidRPr="00056843">
                        <w:rPr>
                          <w:color w:val="FFFFFF" w:themeColor="background1"/>
                          <w:lang w:val="hy-AM"/>
                        </w:rPr>
                        <w:t>ԹՅԱՆ ԿԱՌԱՎԱՐՈՒԹՅԱՆ</w:t>
                      </w:r>
                    </w:p>
                    <w:p w14:paraId="010C4617" w14:textId="77777777" w:rsidR="00147C8B" w:rsidRDefault="00147C8B"/>
                    <w:p w14:paraId="4EE98452" w14:textId="77777777" w:rsidR="00147C8B" w:rsidRPr="00056843" w:rsidRDefault="00147C8B" w:rsidP="00FD0C29">
                      <w:pPr>
                        <w:jc w:val="center"/>
                        <w:rPr>
                          <w:color w:val="FFFFFF" w:themeColor="background1"/>
                          <w:lang w:val="hy-AM"/>
                        </w:rPr>
                      </w:pPr>
                      <w:r w:rsidRPr="00682390">
                        <w:rPr>
                          <w:b/>
                          <w:color w:val="44546A" w:themeColor="text2"/>
                          <w:sz w:val="70"/>
                          <w:szCs w:val="70"/>
                        </w:rPr>
                        <w:t>2025 ԹՎԱԿԱՆԻ</w:t>
                      </w:r>
                      <w:r w:rsidRPr="00056843">
                        <w:rPr>
                          <w:color w:val="FFFFFF" w:themeColor="background1"/>
                          <w:lang w:val="hy-AM"/>
                        </w:rPr>
                        <w:t>ԹՅԱՆ ԿԱՌԱՎԱՐՈՒԹՅԱՆ</w:t>
                      </w:r>
                    </w:p>
                    <w:p w14:paraId="6F861ED2" w14:textId="77777777" w:rsidR="00147C8B" w:rsidRDefault="00147C8B"/>
                    <w:p w14:paraId="07594C36" w14:textId="77777777" w:rsidR="00147C8B" w:rsidRPr="00056843" w:rsidRDefault="00147C8B" w:rsidP="00FD0C29">
                      <w:pPr>
                        <w:jc w:val="center"/>
                        <w:rPr>
                          <w:color w:val="FFFFFF" w:themeColor="background1"/>
                          <w:lang w:val="hy-AM"/>
                        </w:rPr>
                      </w:pPr>
                      <w:r w:rsidRPr="00682390">
                        <w:rPr>
                          <w:b/>
                          <w:color w:val="44546A" w:themeColor="text2"/>
                          <w:sz w:val="70"/>
                          <w:szCs w:val="70"/>
                        </w:rPr>
                        <w:t>2025 ԹՎԱԿԱՆԻ</w:t>
                      </w:r>
                      <w:r w:rsidRPr="00056843">
                        <w:rPr>
                          <w:color w:val="FFFFFF" w:themeColor="background1"/>
                          <w:lang w:val="hy-AM"/>
                        </w:rPr>
                        <w:t>ԹՅԱՆ ԿԱՌԱՎԱՐՈՒԹՅԱՆ</w:t>
                      </w:r>
                    </w:p>
                    <w:p w14:paraId="07CD7914" w14:textId="77777777" w:rsidR="00147C8B" w:rsidRDefault="00147C8B"/>
                    <w:p w14:paraId="70AAB65A"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60227C7A" w14:textId="77777777" w:rsidR="00147C8B" w:rsidRPr="00A3353C" w:rsidRDefault="00147C8B" w:rsidP="00682390">
                      <w:pPr>
                        <w:jc w:val="right"/>
                        <w:rPr>
                          <w:sz w:val="74"/>
                          <w:szCs w:val="74"/>
                        </w:rPr>
                      </w:pPr>
                    </w:p>
                    <w:p w14:paraId="260E2FCF" w14:textId="77777777" w:rsidR="00147C8B" w:rsidRDefault="00147C8B" w:rsidP="00682390">
                      <w:pPr>
                        <w:jc w:val="right"/>
                      </w:pPr>
                    </w:p>
                    <w:p w14:paraId="094CE9BA" w14:textId="77777777" w:rsidR="00147C8B" w:rsidRPr="00056843" w:rsidRDefault="00147C8B" w:rsidP="00FD0C29">
                      <w:pPr>
                        <w:jc w:val="center"/>
                        <w:rPr>
                          <w:color w:val="FFFFFF" w:themeColor="background1"/>
                          <w:lang w:val="hy-AM"/>
                        </w:rPr>
                      </w:pPr>
                      <w:r w:rsidRPr="00682390">
                        <w:rPr>
                          <w:b/>
                          <w:color w:val="44546A" w:themeColor="text2"/>
                          <w:sz w:val="40"/>
                          <w:szCs w:val="40"/>
                        </w:rPr>
                        <w:t>ԲՅՈՒՋԵՏԱՅԻՆ ՈՒՂԵՐՁ</w:t>
                      </w:r>
                      <w:r w:rsidRPr="00682390">
                        <w:rPr>
                          <w:b/>
                          <w:color w:val="44546A" w:themeColor="text2"/>
                          <w:sz w:val="70"/>
                          <w:szCs w:val="70"/>
                        </w:rPr>
                        <w:t>2025 ԹՎԱԿԱՆԻ</w:t>
                      </w:r>
                      <w:r w:rsidRPr="00056843">
                        <w:rPr>
                          <w:color w:val="FFFFFF" w:themeColor="background1"/>
                          <w:lang w:val="hy-AM"/>
                        </w:rPr>
                        <w:t>ԹՅԱՆ ԿԱՌԱՎԱՐՈՒԹՅԱՆ</w:t>
                      </w:r>
                    </w:p>
                    <w:p w14:paraId="66AF29A8" w14:textId="77777777" w:rsidR="00147C8B" w:rsidRDefault="00147C8B"/>
                    <w:p w14:paraId="68DE0EDC" w14:textId="77777777" w:rsidR="00147C8B" w:rsidRPr="00056843" w:rsidRDefault="00147C8B" w:rsidP="00FD0C29">
                      <w:pPr>
                        <w:jc w:val="center"/>
                        <w:rPr>
                          <w:color w:val="FFFFFF" w:themeColor="background1"/>
                          <w:lang w:val="hy-AM"/>
                        </w:rPr>
                      </w:pPr>
                      <w:r w:rsidRPr="00682390">
                        <w:rPr>
                          <w:b/>
                          <w:color w:val="44546A" w:themeColor="text2"/>
                          <w:sz w:val="70"/>
                          <w:szCs w:val="70"/>
                        </w:rPr>
                        <w:t>2025 ԹՎԱԿԱՆԻ</w:t>
                      </w:r>
                      <w:r w:rsidRPr="00056843">
                        <w:rPr>
                          <w:color w:val="FFFFFF" w:themeColor="background1"/>
                          <w:lang w:val="hy-AM"/>
                        </w:rPr>
                        <w:t>ԹՅԱՆ ԿԱՌԱՎԱՐՈՒԹՅԱՆ</w:t>
                      </w:r>
                    </w:p>
                    <w:p w14:paraId="29ECFF4A" w14:textId="77777777" w:rsidR="00147C8B" w:rsidRDefault="00147C8B"/>
                    <w:p w14:paraId="040A8CE8" w14:textId="77777777" w:rsidR="00147C8B" w:rsidRPr="00056843" w:rsidRDefault="00147C8B" w:rsidP="00FD0C29">
                      <w:pPr>
                        <w:jc w:val="center"/>
                        <w:rPr>
                          <w:color w:val="FFFFFF" w:themeColor="background1"/>
                          <w:lang w:val="hy-AM"/>
                        </w:rPr>
                      </w:pPr>
                      <w:r w:rsidRPr="00682390">
                        <w:rPr>
                          <w:b/>
                          <w:color w:val="44546A" w:themeColor="text2"/>
                          <w:sz w:val="70"/>
                          <w:szCs w:val="70"/>
                        </w:rPr>
                        <w:t>2025 ԹՎԱԿԱՆԻ</w:t>
                      </w:r>
                      <w:r w:rsidRPr="00056843">
                        <w:rPr>
                          <w:color w:val="FFFFFF" w:themeColor="background1"/>
                          <w:lang w:val="hy-AM"/>
                        </w:rPr>
                        <w:t>ԹՅԱՆ ԿԱՌԱՎԱՐՈՒԹՅԱՆ</w:t>
                      </w:r>
                    </w:p>
                    <w:p w14:paraId="23CC5DA6" w14:textId="77777777" w:rsidR="00147C8B" w:rsidRDefault="00147C8B"/>
                    <w:p w14:paraId="72317A13" w14:textId="77777777" w:rsidR="00147C8B" w:rsidRPr="00056843" w:rsidRDefault="00147C8B" w:rsidP="00FD0C29">
                      <w:pPr>
                        <w:jc w:val="center"/>
                        <w:rPr>
                          <w:color w:val="FFFFFF" w:themeColor="background1"/>
                          <w:lang w:val="hy-AM"/>
                        </w:rPr>
                      </w:pPr>
                      <w:r w:rsidRPr="00682390">
                        <w:rPr>
                          <w:b/>
                          <w:color w:val="44546A" w:themeColor="text2"/>
                          <w:sz w:val="70"/>
                          <w:szCs w:val="70"/>
                        </w:rPr>
                        <w:t>2025 ԹՎԱԿԱՆԻ</w:t>
                      </w:r>
                      <w:r w:rsidRPr="00056843">
                        <w:rPr>
                          <w:color w:val="FFFFFF" w:themeColor="background1"/>
                          <w:lang w:val="hy-AM"/>
                        </w:rPr>
                        <w:t>ԹՅԱՆ ԿԱՌԱՎԱՐՈՒԹՅԱՆ</w:t>
                      </w:r>
                    </w:p>
                    <w:p w14:paraId="6F2523C2" w14:textId="77777777" w:rsidR="00147C8B" w:rsidRDefault="00147C8B"/>
                    <w:p w14:paraId="7ED9C93A"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ՈՒՂԵՐՁ</w:t>
                      </w:r>
                      <w:r w:rsidRPr="00812F22">
                        <w:rPr>
                          <w:b/>
                          <w:color w:val="44546A" w:themeColor="text2"/>
                          <w:sz w:val="36"/>
                          <w:szCs w:val="36"/>
                          <w:lang w:val="hy-AM"/>
                        </w:rPr>
                        <w:t>-ԲԱՑԱՏՐԱԳԻՐ</w:t>
                      </w:r>
                    </w:p>
                    <w:p w14:paraId="0409AABD" w14:textId="77777777" w:rsidR="00147C8B" w:rsidRDefault="00147C8B"/>
                    <w:p w14:paraId="01E7C119" w14:textId="77777777" w:rsidR="00147C8B" w:rsidRDefault="00147C8B"/>
                    <w:p w14:paraId="32E7848B"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76D4A5A2" w14:textId="77777777" w:rsidR="00147C8B" w:rsidRPr="00A3353C" w:rsidRDefault="00147C8B" w:rsidP="00682390">
                      <w:pPr>
                        <w:jc w:val="right"/>
                        <w:rPr>
                          <w:sz w:val="74"/>
                          <w:szCs w:val="74"/>
                        </w:rPr>
                      </w:pPr>
                    </w:p>
                    <w:p w14:paraId="56E3203A" w14:textId="77777777" w:rsidR="00147C8B" w:rsidRDefault="00147C8B" w:rsidP="00682390">
                      <w:pPr>
                        <w:jc w:val="right"/>
                      </w:pPr>
                    </w:p>
                    <w:p w14:paraId="62582BF5"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 xml:space="preserve">2025 ԹՎԱԿԱՆԻ </w:t>
                      </w:r>
                    </w:p>
                    <w:p w14:paraId="6B9B3C81" w14:textId="77777777" w:rsidR="00147C8B" w:rsidRPr="00A3353C" w:rsidRDefault="00147C8B" w:rsidP="00682390">
                      <w:pPr>
                        <w:jc w:val="right"/>
                        <w:rPr>
                          <w:sz w:val="74"/>
                          <w:szCs w:val="74"/>
                        </w:rPr>
                      </w:pPr>
                    </w:p>
                    <w:p w14:paraId="3D6D0D49" w14:textId="77777777" w:rsidR="00147C8B" w:rsidRDefault="00147C8B"/>
                    <w:p w14:paraId="1BA37D11"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ՈՒՂԵՐՁ</w:t>
                      </w:r>
                      <w:r w:rsidRPr="00812F22">
                        <w:rPr>
                          <w:b/>
                          <w:color w:val="44546A" w:themeColor="text2"/>
                          <w:sz w:val="36"/>
                          <w:szCs w:val="36"/>
                          <w:lang w:val="hy-AM"/>
                        </w:rPr>
                        <w:t>-ԲԱՑԱՏՐԱԳԻՐ</w:t>
                      </w: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6A01BCF4" w14:textId="77777777" w:rsidR="00147C8B" w:rsidRPr="00A3353C" w:rsidRDefault="00147C8B" w:rsidP="00682390">
                      <w:pPr>
                        <w:jc w:val="right"/>
                        <w:rPr>
                          <w:sz w:val="74"/>
                          <w:szCs w:val="74"/>
                        </w:rPr>
                      </w:pPr>
                    </w:p>
                    <w:p w14:paraId="5FBADD4A" w14:textId="77777777" w:rsidR="00147C8B" w:rsidRDefault="00147C8B" w:rsidP="00682390">
                      <w:pPr>
                        <w:jc w:val="right"/>
                      </w:pPr>
                    </w:p>
                    <w:p w14:paraId="1EC85B5E" w14:textId="77777777" w:rsidR="00147C8B" w:rsidRPr="00812F22" w:rsidRDefault="00147C8B" w:rsidP="00682390">
                      <w:pPr>
                        <w:pStyle w:val="BodyText1"/>
                        <w:jc w:val="right"/>
                        <w:rPr>
                          <w:b/>
                          <w:color w:val="44546A" w:themeColor="text2"/>
                          <w:sz w:val="36"/>
                          <w:szCs w:val="36"/>
                        </w:rPr>
                      </w:pPr>
                      <w:r w:rsidRPr="00682390">
                        <w:rPr>
                          <w:b/>
                          <w:color w:val="44546A" w:themeColor="text2"/>
                          <w:sz w:val="40"/>
                          <w:szCs w:val="40"/>
                        </w:rPr>
                        <w:t>ԲՅՈՒՋԵՏԱՅԻՆ ՈՒՂԵՐՁ</w:t>
                      </w:r>
                      <w:r w:rsidRPr="00682390">
                        <w:rPr>
                          <w:b/>
                          <w:color w:val="44546A" w:themeColor="text2"/>
                          <w:sz w:val="70"/>
                          <w:szCs w:val="70"/>
                        </w:rPr>
                        <w:t>2025 ԹՎԱԿԱՆԻ</w:t>
                      </w:r>
                      <w:r w:rsidRPr="00812F22">
                        <w:rPr>
                          <w:b/>
                          <w:color w:val="44546A" w:themeColor="text2"/>
                          <w:sz w:val="36"/>
                          <w:szCs w:val="36"/>
                        </w:rPr>
                        <w:t>ՈՒՂԵՐՁ</w:t>
                      </w:r>
                      <w:r w:rsidRPr="00812F22">
                        <w:rPr>
                          <w:b/>
                          <w:color w:val="44546A" w:themeColor="text2"/>
                          <w:sz w:val="36"/>
                          <w:szCs w:val="36"/>
                          <w:lang w:val="hy-AM"/>
                        </w:rPr>
                        <w:t>-ԲԱՑԱՏՐԱԳԻՐ</w:t>
                      </w:r>
                    </w:p>
                    <w:p w14:paraId="0765E5D1" w14:textId="77777777" w:rsidR="00147C8B" w:rsidRDefault="00147C8B"/>
                    <w:p w14:paraId="6B2E2D08" w14:textId="77777777" w:rsidR="00147C8B" w:rsidRDefault="00147C8B"/>
                    <w:p w14:paraId="65828F41" w14:textId="77777777" w:rsidR="00147C8B" w:rsidRPr="00812F22" w:rsidRDefault="00147C8B" w:rsidP="00682390">
                      <w:pPr>
                        <w:pStyle w:val="BodyText1"/>
                        <w:jc w:val="right"/>
                        <w:rPr>
                          <w:b/>
                          <w:color w:val="44546A" w:themeColor="text2"/>
                          <w:sz w:val="36"/>
                          <w:szCs w:val="36"/>
                        </w:rPr>
                      </w:pPr>
                      <w:r>
                        <w:rPr>
                          <w:b/>
                          <w:color w:val="44546A" w:themeColor="text2"/>
                          <w:sz w:val="36"/>
                          <w:szCs w:val="36"/>
                        </w:rPr>
                        <w:t>2026</w:t>
                      </w:r>
                      <w:r w:rsidRPr="00812F22">
                        <w:rPr>
                          <w:b/>
                          <w:color w:val="44546A" w:themeColor="text2"/>
                          <w:sz w:val="36"/>
                          <w:szCs w:val="36"/>
                        </w:rPr>
                        <w:t xml:space="preserve">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5CBE9A7C" w14:textId="77777777" w:rsidR="00147C8B" w:rsidRPr="00A3353C" w:rsidRDefault="00147C8B" w:rsidP="00682390">
                      <w:pPr>
                        <w:jc w:val="right"/>
                        <w:rPr>
                          <w:sz w:val="74"/>
                          <w:szCs w:val="74"/>
                        </w:rPr>
                      </w:pPr>
                    </w:p>
                    <w:p w14:paraId="17397A24" w14:textId="77777777" w:rsidR="00147C8B" w:rsidRDefault="00147C8B" w:rsidP="00682390">
                      <w:pPr>
                        <w:jc w:val="right"/>
                      </w:pPr>
                    </w:p>
                    <w:p w14:paraId="130F6A8F"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 xml:space="preserve">2025 ԹՎԱԿԱՆԻ </w:t>
                      </w:r>
                    </w:p>
                    <w:p w14:paraId="51779B42" w14:textId="77777777" w:rsidR="00147C8B" w:rsidRPr="00A3353C" w:rsidRDefault="00147C8B" w:rsidP="00682390">
                      <w:pPr>
                        <w:jc w:val="right"/>
                        <w:rPr>
                          <w:sz w:val="74"/>
                          <w:szCs w:val="74"/>
                        </w:rPr>
                      </w:pPr>
                    </w:p>
                    <w:p w14:paraId="748C0C5D" w14:textId="77777777" w:rsidR="00147C8B" w:rsidRDefault="00147C8B"/>
                    <w:p w14:paraId="3BC34060"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ՈՒՂԵՐՁ</w:t>
                      </w:r>
                      <w:r w:rsidRPr="00812F22">
                        <w:rPr>
                          <w:b/>
                          <w:color w:val="44546A" w:themeColor="text2"/>
                          <w:sz w:val="36"/>
                          <w:szCs w:val="36"/>
                          <w:lang w:val="hy-AM"/>
                        </w:rPr>
                        <w:t>-ԲԱՑԱՏՐԱԳԻՐ</w:t>
                      </w: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4C896EA1" w14:textId="77777777" w:rsidR="00147C8B" w:rsidRPr="00A3353C" w:rsidRDefault="00147C8B" w:rsidP="00682390">
                      <w:pPr>
                        <w:jc w:val="right"/>
                        <w:rPr>
                          <w:sz w:val="74"/>
                          <w:szCs w:val="74"/>
                        </w:rPr>
                      </w:pPr>
                    </w:p>
                    <w:p w14:paraId="4F65E277" w14:textId="77777777" w:rsidR="00147C8B" w:rsidRDefault="00147C8B" w:rsidP="00682390">
                      <w:pPr>
                        <w:jc w:val="right"/>
                      </w:pPr>
                    </w:p>
                    <w:p w14:paraId="12ADD01E"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 xml:space="preserve">2025 ԹՎԱԿԱՆԻ </w:t>
                      </w:r>
                    </w:p>
                    <w:p w14:paraId="3115BD0E" w14:textId="77777777" w:rsidR="00147C8B" w:rsidRPr="00A3353C" w:rsidRDefault="00147C8B" w:rsidP="00682390">
                      <w:pPr>
                        <w:jc w:val="right"/>
                        <w:rPr>
                          <w:sz w:val="74"/>
                          <w:szCs w:val="74"/>
                        </w:rPr>
                      </w:pPr>
                    </w:p>
                    <w:p w14:paraId="2A0297BB" w14:textId="77777777" w:rsidR="00147C8B" w:rsidRDefault="00147C8B"/>
                    <w:p w14:paraId="4083AC03"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166AC915" w14:textId="77777777" w:rsidR="00147C8B" w:rsidRPr="00A3353C" w:rsidRDefault="00147C8B" w:rsidP="00682390">
                      <w:pPr>
                        <w:jc w:val="right"/>
                        <w:rPr>
                          <w:sz w:val="74"/>
                          <w:szCs w:val="74"/>
                        </w:rPr>
                      </w:pPr>
                    </w:p>
                    <w:p w14:paraId="19B0E3E0" w14:textId="77777777" w:rsidR="00147C8B" w:rsidRDefault="00147C8B" w:rsidP="00682390">
                      <w:pPr>
                        <w:jc w:val="right"/>
                      </w:pPr>
                    </w:p>
                    <w:p w14:paraId="3222D986"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 xml:space="preserve">2025 ԹՎԱԿԱՆԻ </w:t>
                      </w:r>
                    </w:p>
                    <w:p w14:paraId="7DFFB8A7" w14:textId="77777777" w:rsidR="00147C8B" w:rsidRPr="00A3353C" w:rsidRDefault="00147C8B" w:rsidP="00682390">
                      <w:pPr>
                        <w:jc w:val="right"/>
                        <w:rPr>
                          <w:sz w:val="74"/>
                          <w:szCs w:val="74"/>
                        </w:rPr>
                      </w:pPr>
                    </w:p>
                    <w:p w14:paraId="565BC9BD" w14:textId="77777777" w:rsidR="00147C8B" w:rsidRDefault="00147C8B"/>
                    <w:p w14:paraId="1A57473B"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ՈՒՂԵՐՁ</w:t>
                      </w:r>
                      <w:r w:rsidRPr="00812F22">
                        <w:rPr>
                          <w:b/>
                          <w:color w:val="44546A" w:themeColor="text2"/>
                          <w:sz w:val="36"/>
                          <w:szCs w:val="36"/>
                          <w:lang w:val="hy-AM"/>
                        </w:rPr>
                        <w:t>-ԲԱՑԱՏՐԱԳԻՐ</w:t>
                      </w: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215467AB" w14:textId="77777777" w:rsidR="00147C8B" w:rsidRPr="00A3353C" w:rsidRDefault="00147C8B" w:rsidP="00682390">
                      <w:pPr>
                        <w:jc w:val="right"/>
                        <w:rPr>
                          <w:sz w:val="74"/>
                          <w:szCs w:val="74"/>
                        </w:rPr>
                      </w:pPr>
                    </w:p>
                    <w:p w14:paraId="3E19DEAB" w14:textId="77777777" w:rsidR="00147C8B" w:rsidRDefault="00147C8B" w:rsidP="00682390">
                      <w:pPr>
                        <w:jc w:val="right"/>
                      </w:pPr>
                    </w:p>
                    <w:p w14:paraId="01800DE8" w14:textId="77777777" w:rsidR="00147C8B" w:rsidRPr="00812F22" w:rsidRDefault="00147C8B" w:rsidP="00682390">
                      <w:pPr>
                        <w:pStyle w:val="BodyText1"/>
                        <w:jc w:val="right"/>
                        <w:rPr>
                          <w:b/>
                          <w:color w:val="44546A" w:themeColor="text2"/>
                          <w:sz w:val="36"/>
                          <w:szCs w:val="36"/>
                        </w:rPr>
                      </w:pPr>
                      <w:r w:rsidRPr="00682390">
                        <w:rPr>
                          <w:b/>
                          <w:color w:val="44546A" w:themeColor="text2"/>
                          <w:sz w:val="40"/>
                          <w:szCs w:val="40"/>
                        </w:rPr>
                        <w:t>ԲՅՈՒՋԵՏԱՅԻՆ ՈՒՂԵՐՁ</w:t>
                      </w:r>
                      <w:r w:rsidRPr="00682390">
                        <w:rPr>
                          <w:b/>
                          <w:color w:val="44546A" w:themeColor="text2"/>
                          <w:sz w:val="70"/>
                          <w:szCs w:val="70"/>
                        </w:rPr>
                        <w:t>2025 ԹՎԱԿԱՆԻ</w:t>
                      </w:r>
                      <w:r w:rsidRPr="00812F22">
                        <w:rPr>
                          <w:b/>
                          <w:color w:val="44546A" w:themeColor="text2"/>
                          <w:sz w:val="36"/>
                          <w:szCs w:val="36"/>
                        </w:rPr>
                        <w:t>ՈՒՂԵՐՁ</w:t>
                      </w:r>
                      <w:r w:rsidRPr="00812F22">
                        <w:rPr>
                          <w:b/>
                          <w:color w:val="44546A" w:themeColor="text2"/>
                          <w:sz w:val="36"/>
                          <w:szCs w:val="36"/>
                          <w:lang w:val="hy-AM"/>
                        </w:rPr>
                        <w:t>-ԲԱՑԱՏՐԱԳԻՐ</w:t>
                      </w:r>
                    </w:p>
                    <w:p w14:paraId="28A23135" w14:textId="77777777" w:rsidR="00147C8B" w:rsidRDefault="00147C8B"/>
                    <w:p w14:paraId="7146935F" w14:textId="77777777" w:rsidR="00147C8B" w:rsidRDefault="00147C8B"/>
                    <w:p w14:paraId="3B90960A"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34D8DCDE" w14:textId="77777777" w:rsidR="00147C8B" w:rsidRPr="00A3353C" w:rsidRDefault="00147C8B" w:rsidP="00682390">
                      <w:pPr>
                        <w:jc w:val="right"/>
                        <w:rPr>
                          <w:sz w:val="74"/>
                          <w:szCs w:val="74"/>
                        </w:rPr>
                      </w:pPr>
                    </w:p>
                    <w:p w14:paraId="7E9E0550" w14:textId="77777777" w:rsidR="00147C8B" w:rsidRDefault="00147C8B" w:rsidP="00682390">
                      <w:pPr>
                        <w:jc w:val="right"/>
                      </w:pPr>
                    </w:p>
                    <w:p w14:paraId="0F3ED802"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 xml:space="preserve">2025 ԹՎԱԿԱՆԻ </w:t>
                      </w:r>
                    </w:p>
                    <w:p w14:paraId="78F187A2" w14:textId="77777777" w:rsidR="00147C8B" w:rsidRPr="00A3353C" w:rsidRDefault="00147C8B" w:rsidP="00682390">
                      <w:pPr>
                        <w:jc w:val="right"/>
                        <w:rPr>
                          <w:sz w:val="74"/>
                          <w:szCs w:val="74"/>
                        </w:rPr>
                      </w:pPr>
                    </w:p>
                    <w:p w14:paraId="64ED59EB" w14:textId="77777777" w:rsidR="00147C8B" w:rsidRDefault="00147C8B"/>
                    <w:p w14:paraId="009F872F"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ՈՒՂԵՐՁ</w:t>
                      </w:r>
                      <w:r w:rsidRPr="00812F22">
                        <w:rPr>
                          <w:b/>
                          <w:color w:val="44546A" w:themeColor="text2"/>
                          <w:sz w:val="36"/>
                          <w:szCs w:val="36"/>
                          <w:lang w:val="hy-AM"/>
                        </w:rPr>
                        <w:t>-ԲԱՑԱՏՐԱԳԻՐ</w:t>
                      </w: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0311BE64" w14:textId="77777777" w:rsidR="00147C8B" w:rsidRPr="00A3353C" w:rsidRDefault="00147C8B" w:rsidP="00682390">
                      <w:pPr>
                        <w:jc w:val="right"/>
                        <w:rPr>
                          <w:sz w:val="74"/>
                          <w:szCs w:val="74"/>
                        </w:rPr>
                      </w:pPr>
                    </w:p>
                    <w:p w14:paraId="5AC1AB2A" w14:textId="77777777" w:rsidR="00147C8B" w:rsidRDefault="00147C8B" w:rsidP="00682390">
                      <w:pPr>
                        <w:jc w:val="right"/>
                      </w:pPr>
                    </w:p>
                    <w:p w14:paraId="52D04F5F" w14:textId="77777777" w:rsidR="00147C8B" w:rsidRPr="00812F22" w:rsidRDefault="00147C8B" w:rsidP="00682390">
                      <w:pPr>
                        <w:pStyle w:val="BodyText1"/>
                        <w:jc w:val="right"/>
                        <w:rPr>
                          <w:b/>
                          <w:color w:val="44546A" w:themeColor="text2"/>
                          <w:sz w:val="36"/>
                          <w:szCs w:val="36"/>
                        </w:rPr>
                      </w:pPr>
                      <w:r w:rsidRPr="00682390">
                        <w:rPr>
                          <w:b/>
                          <w:color w:val="44546A" w:themeColor="text2"/>
                          <w:sz w:val="40"/>
                          <w:szCs w:val="40"/>
                        </w:rPr>
                        <w:t>ԲՅՈՒՋԵՏԱՅԻՆ ՈՒՂԵՐՁ</w:t>
                      </w:r>
                      <w:r w:rsidRPr="00682390">
                        <w:rPr>
                          <w:b/>
                          <w:color w:val="44546A" w:themeColor="text2"/>
                          <w:sz w:val="70"/>
                          <w:szCs w:val="70"/>
                        </w:rPr>
                        <w:t>2025 ԹՎԱԿԱՆԻ</w:t>
                      </w:r>
                      <w:r w:rsidRPr="00812F22">
                        <w:rPr>
                          <w:b/>
                          <w:color w:val="44546A" w:themeColor="text2"/>
                          <w:sz w:val="36"/>
                          <w:szCs w:val="36"/>
                        </w:rPr>
                        <w:t>ՈՒՂԵՐՁ</w:t>
                      </w:r>
                      <w:r w:rsidRPr="00812F22">
                        <w:rPr>
                          <w:b/>
                          <w:color w:val="44546A" w:themeColor="text2"/>
                          <w:sz w:val="36"/>
                          <w:szCs w:val="36"/>
                          <w:lang w:val="hy-AM"/>
                        </w:rPr>
                        <w:t>-ԲԱՑԱՏՐԱԳԻՐ</w:t>
                      </w:r>
                    </w:p>
                    <w:p w14:paraId="1C81CA54" w14:textId="77777777" w:rsidR="00147C8B" w:rsidRDefault="00147C8B"/>
                    <w:p w14:paraId="3A3BB1B0" w14:textId="77777777" w:rsidR="00147C8B" w:rsidRDefault="00147C8B"/>
                    <w:p w14:paraId="1F1C771E" w14:textId="77777777" w:rsidR="00147C8B" w:rsidRPr="00812F22" w:rsidRDefault="00147C8B" w:rsidP="00682390">
                      <w:pPr>
                        <w:pStyle w:val="BodyText1"/>
                        <w:jc w:val="right"/>
                        <w:rPr>
                          <w:b/>
                          <w:color w:val="44546A" w:themeColor="text2"/>
                          <w:sz w:val="36"/>
                          <w:szCs w:val="36"/>
                        </w:rPr>
                      </w:pPr>
                      <w:r>
                        <w:rPr>
                          <w:b/>
                          <w:color w:val="44546A" w:themeColor="text2"/>
                          <w:sz w:val="36"/>
                          <w:szCs w:val="36"/>
                        </w:rPr>
                        <w:t>2026</w:t>
                      </w:r>
                      <w:r w:rsidRPr="00812F22">
                        <w:rPr>
                          <w:b/>
                          <w:color w:val="44546A" w:themeColor="text2"/>
                          <w:sz w:val="36"/>
                          <w:szCs w:val="36"/>
                        </w:rPr>
                        <w:t xml:space="preserve">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22128CFF" w14:textId="77777777" w:rsidR="00147C8B" w:rsidRPr="00A3353C" w:rsidRDefault="00147C8B" w:rsidP="00682390">
                      <w:pPr>
                        <w:jc w:val="right"/>
                        <w:rPr>
                          <w:sz w:val="74"/>
                          <w:szCs w:val="74"/>
                        </w:rPr>
                      </w:pPr>
                    </w:p>
                    <w:p w14:paraId="3CB7D6F9" w14:textId="77777777" w:rsidR="00147C8B" w:rsidRDefault="00147C8B" w:rsidP="00682390">
                      <w:pPr>
                        <w:jc w:val="right"/>
                      </w:pPr>
                    </w:p>
                    <w:p w14:paraId="73BEDB1B"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 xml:space="preserve">2025 ԹՎԱԿԱՆԻ </w:t>
                      </w:r>
                    </w:p>
                    <w:p w14:paraId="7BE8940A" w14:textId="77777777" w:rsidR="00147C8B" w:rsidRPr="00A3353C" w:rsidRDefault="00147C8B" w:rsidP="00682390">
                      <w:pPr>
                        <w:jc w:val="right"/>
                        <w:rPr>
                          <w:sz w:val="74"/>
                          <w:szCs w:val="74"/>
                        </w:rPr>
                      </w:pPr>
                    </w:p>
                    <w:p w14:paraId="24843FF1" w14:textId="77777777" w:rsidR="00147C8B" w:rsidRDefault="00147C8B"/>
                    <w:p w14:paraId="0095C138"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ՈՒՂԵՐՁ</w:t>
                      </w:r>
                      <w:r w:rsidRPr="00812F22">
                        <w:rPr>
                          <w:b/>
                          <w:color w:val="44546A" w:themeColor="text2"/>
                          <w:sz w:val="36"/>
                          <w:szCs w:val="36"/>
                          <w:lang w:val="hy-AM"/>
                        </w:rPr>
                        <w:t>-ԲԱՑԱՏՐԱԳԻՐ</w:t>
                      </w: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0C222B75" w14:textId="77777777" w:rsidR="00147C8B" w:rsidRPr="00A3353C" w:rsidRDefault="00147C8B" w:rsidP="00682390">
                      <w:pPr>
                        <w:jc w:val="right"/>
                        <w:rPr>
                          <w:sz w:val="74"/>
                          <w:szCs w:val="74"/>
                        </w:rPr>
                      </w:pPr>
                    </w:p>
                    <w:p w14:paraId="15E9DE21" w14:textId="77777777" w:rsidR="00147C8B" w:rsidRDefault="00147C8B" w:rsidP="00682390">
                      <w:pPr>
                        <w:jc w:val="right"/>
                      </w:pPr>
                    </w:p>
                    <w:p w14:paraId="47FB66ED"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 xml:space="preserve">2025 ԹՎԱԿԱՆԻ </w:t>
                      </w:r>
                    </w:p>
                    <w:p w14:paraId="12A86682" w14:textId="77777777" w:rsidR="00147C8B" w:rsidRPr="00A3353C" w:rsidRDefault="00147C8B" w:rsidP="00682390">
                      <w:pPr>
                        <w:jc w:val="right"/>
                        <w:rPr>
                          <w:sz w:val="74"/>
                          <w:szCs w:val="74"/>
                        </w:rPr>
                      </w:pPr>
                    </w:p>
                    <w:p w14:paraId="61714145" w14:textId="77777777" w:rsidR="00147C8B" w:rsidRDefault="00147C8B"/>
                    <w:p w14:paraId="50E1EF2C"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06A15589" w14:textId="77777777" w:rsidR="00147C8B" w:rsidRPr="00A3353C" w:rsidRDefault="00147C8B" w:rsidP="00682390">
                      <w:pPr>
                        <w:jc w:val="right"/>
                        <w:rPr>
                          <w:sz w:val="74"/>
                          <w:szCs w:val="74"/>
                        </w:rPr>
                      </w:pPr>
                    </w:p>
                    <w:p w14:paraId="765B277B" w14:textId="77777777" w:rsidR="00147C8B" w:rsidRDefault="00147C8B" w:rsidP="00682390">
                      <w:pPr>
                        <w:jc w:val="right"/>
                      </w:pPr>
                    </w:p>
                    <w:p w14:paraId="22069B29"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 xml:space="preserve">2025 ԹՎԱԿԱՆԻ </w:t>
                      </w:r>
                    </w:p>
                    <w:p w14:paraId="727B48EF" w14:textId="77777777" w:rsidR="00147C8B" w:rsidRPr="00A3353C" w:rsidRDefault="00147C8B" w:rsidP="00682390">
                      <w:pPr>
                        <w:jc w:val="right"/>
                        <w:rPr>
                          <w:sz w:val="74"/>
                          <w:szCs w:val="74"/>
                        </w:rPr>
                      </w:pPr>
                    </w:p>
                    <w:p w14:paraId="7EA9FF3E" w14:textId="77777777" w:rsidR="00147C8B" w:rsidRDefault="00147C8B"/>
                    <w:p w14:paraId="5AB1E8A1"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ՈՒՂԵՐՁ</w:t>
                      </w:r>
                      <w:r w:rsidRPr="00812F22">
                        <w:rPr>
                          <w:b/>
                          <w:color w:val="44546A" w:themeColor="text2"/>
                          <w:sz w:val="36"/>
                          <w:szCs w:val="36"/>
                          <w:lang w:val="hy-AM"/>
                        </w:rPr>
                        <w:t>-ԲԱՑԱՏՐԱԳԻՐ</w:t>
                      </w: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7636531C" w14:textId="77777777" w:rsidR="00147C8B" w:rsidRPr="00A3353C" w:rsidRDefault="00147C8B" w:rsidP="00682390">
                      <w:pPr>
                        <w:jc w:val="right"/>
                        <w:rPr>
                          <w:sz w:val="74"/>
                          <w:szCs w:val="74"/>
                        </w:rPr>
                      </w:pPr>
                    </w:p>
                    <w:p w14:paraId="1D1F4539" w14:textId="77777777" w:rsidR="00147C8B" w:rsidRDefault="00147C8B" w:rsidP="00682390">
                      <w:pPr>
                        <w:jc w:val="right"/>
                      </w:pPr>
                    </w:p>
                    <w:p w14:paraId="53AF4C7C"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 xml:space="preserve">2025 ԹՎԱԿԱՆԻ </w:t>
                      </w:r>
                    </w:p>
                    <w:p w14:paraId="07161468" w14:textId="77777777" w:rsidR="00147C8B" w:rsidRPr="00A3353C" w:rsidRDefault="00147C8B" w:rsidP="00682390">
                      <w:pPr>
                        <w:jc w:val="right"/>
                        <w:rPr>
                          <w:sz w:val="74"/>
                          <w:szCs w:val="74"/>
                        </w:rPr>
                      </w:pPr>
                    </w:p>
                    <w:p w14:paraId="751987B6" w14:textId="77777777" w:rsidR="00147C8B" w:rsidRDefault="00147C8B"/>
                    <w:p w14:paraId="6F783837" w14:textId="77777777" w:rsidR="00147C8B" w:rsidRPr="00812F22" w:rsidRDefault="00147C8B" w:rsidP="00682390">
                      <w:pPr>
                        <w:pStyle w:val="BodyText1"/>
                        <w:jc w:val="right"/>
                        <w:rPr>
                          <w:b/>
                          <w:color w:val="44546A" w:themeColor="text2"/>
                          <w:sz w:val="36"/>
                          <w:szCs w:val="36"/>
                        </w:rPr>
                      </w:pPr>
                      <w:r>
                        <w:rPr>
                          <w:b/>
                          <w:color w:val="44546A" w:themeColor="text2"/>
                          <w:sz w:val="36"/>
                          <w:szCs w:val="36"/>
                        </w:rPr>
                        <w:t>2026</w:t>
                      </w:r>
                      <w:r w:rsidRPr="00812F22">
                        <w:rPr>
                          <w:b/>
                          <w:color w:val="44546A" w:themeColor="text2"/>
                          <w:sz w:val="36"/>
                          <w:szCs w:val="36"/>
                        </w:rPr>
                        <w:t xml:space="preserve">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721193C8" w14:textId="77777777" w:rsidR="00147C8B" w:rsidRPr="00A3353C" w:rsidRDefault="00147C8B" w:rsidP="00682390">
                      <w:pPr>
                        <w:jc w:val="right"/>
                        <w:rPr>
                          <w:sz w:val="74"/>
                          <w:szCs w:val="74"/>
                        </w:rPr>
                      </w:pPr>
                    </w:p>
                    <w:p w14:paraId="275F5EF6" w14:textId="77777777" w:rsidR="00147C8B" w:rsidRDefault="00147C8B" w:rsidP="00682390">
                      <w:pPr>
                        <w:jc w:val="right"/>
                      </w:pPr>
                    </w:p>
                    <w:p w14:paraId="10CACE39"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 xml:space="preserve">2025 ԹՎԱԿԱՆԻ </w:t>
                      </w:r>
                    </w:p>
                    <w:p w14:paraId="4F5625CA" w14:textId="77777777" w:rsidR="00147C8B" w:rsidRPr="00A3353C" w:rsidRDefault="00147C8B" w:rsidP="00682390">
                      <w:pPr>
                        <w:jc w:val="right"/>
                        <w:rPr>
                          <w:sz w:val="74"/>
                          <w:szCs w:val="74"/>
                        </w:rPr>
                      </w:pPr>
                    </w:p>
                    <w:p w14:paraId="36F4A25B" w14:textId="77777777" w:rsidR="00147C8B" w:rsidRDefault="00147C8B"/>
                    <w:p w14:paraId="62054D15"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ՈՒՂԵՐՁ</w:t>
                      </w:r>
                      <w:r w:rsidRPr="00812F22">
                        <w:rPr>
                          <w:b/>
                          <w:color w:val="44546A" w:themeColor="text2"/>
                          <w:sz w:val="36"/>
                          <w:szCs w:val="36"/>
                          <w:lang w:val="hy-AM"/>
                        </w:rPr>
                        <w:t>-ԲԱՑԱՏՐԱԳԻՐ</w:t>
                      </w: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006AF82C" w14:textId="77777777" w:rsidR="00147C8B" w:rsidRPr="00A3353C" w:rsidRDefault="00147C8B" w:rsidP="00682390">
                      <w:pPr>
                        <w:jc w:val="right"/>
                        <w:rPr>
                          <w:sz w:val="74"/>
                          <w:szCs w:val="74"/>
                        </w:rPr>
                      </w:pPr>
                    </w:p>
                    <w:p w14:paraId="22BF65C9" w14:textId="77777777" w:rsidR="00147C8B" w:rsidRDefault="00147C8B" w:rsidP="00682390">
                      <w:pPr>
                        <w:jc w:val="right"/>
                      </w:pPr>
                    </w:p>
                    <w:p w14:paraId="23B09388"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 xml:space="preserve">2025 ԹՎԱԿԱՆԻ </w:t>
                      </w:r>
                    </w:p>
                    <w:p w14:paraId="4818A0A2" w14:textId="77777777" w:rsidR="00147C8B" w:rsidRPr="00A3353C" w:rsidRDefault="00147C8B" w:rsidP="00682390">
                      <w:pPr>
                        <w:jc w:val="right"/>
                        <w:rPr>
                          <w:sz w:val="74"/>
                          <w:szCs w:val="74"/>
                        </w:rPr>
                      </w:pPr>
                    </w:p>
                    <w:p w14:paraId="73D74F56" w14:textId="77777777" w:rsidR="00147C8B" w:rsidRDefault="00147C8B"/>
                    <w:p w14:paraId="260B8EBB"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246F5269" w14:textId="77777777" w:rsidR="00147C8B" w:rsidRPr="00A3353C" w:rsidRDefault="00147C8B" w:rsidP="00682390">
                      <w:pPr>
                        <w:jc w:val="right"/>
                        <w:rPr>
                          <w:sz w:val="74"/>
                          <w:szCs w:val="74"/>
                        </w:rPr>
                      </w:pPr>
                    </w:p>
                    <w:p w14:paraId="5DB93BA4" w14:textId="77777777" w:rsidR="00147C8B" w:rsidRDefault="00147C8B" w:rsidP="00682390">
                      <w:pPr>
                        <w:jc w:val="right"/>
                      </w:pPr>
                    </w:p>
                    <w:p w14:paraId="2631F6F2"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 xml:space="preserve">2025 ԹՎԱԿԱՆԻ </w:t>
                      </w:r>
                    </w:p>
                    <w:p w14:paraId="65DB58C2" w14:textId="77777777" w:rsidR="00147C8B" w:rsidRPr="00A3353C" w:rsidRDefault="00147C8B" w:rsidP="00682390">
                      <w:pPr>
                        <w:jc w:val="right"/>
                        <w:rPr>
                          <w:sz w:val="74"/>
                          <w:szCs w:val="74"/>
                        </w:rPr>
                      </w:pPr>
                    </w:p>
                    <w:p w14:paraId="2AE9092F" w14:textId="77777777" w:rsidR="00147C8B" w:rsidRDefault="00147C8B"/>
                    <w:p w14:paraId="49120978"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ՈՒՂԵՐՁ</w:t>
                      </w:r>
                      <w:r w:rsidRPr="00812F22">
                        <w:rPr>
                          <w:b/>
                          <w:color w:val="44546A" w:themeColor="text2"/>
                          <w:sz w:val="36"/>
                          <w:szCs w:val="36"/>
                          <w:lang w:val="hy-AM"/>
                        </w:rPr>
                        <w:t>-ԲԱՑԱՏՐԱԳԻՐ</w:t>
                      </w: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54021FAD" w14:textId="77777777" w:rsidR="00147C8B" w:rsidRPr="00A3353C" w:rsidRDefault="00147C8B" w:rsidP="00682390">
                      <w:pPr>
                        <w:jc w:val="right"/>
                        <w:rPr>
                          <w:sz w:val="74"/>
                          <w:szCs w:val="74"/>
                        </w:rPr>
                      </w:pPr>
                    </w:p>
                    <w:p w14:paraId="70861CF1" w14:textId="77777777" w:rsidR="00147C8B" w:rsidRDefault="00147C8B" w:rsidP="00682390">
                      <w:pPr>
                        <w:jc w:val="right"/>
                      </w:pPr>
                    </w:p>
                    <w:p w14:paraId="6411355F" w14:textId="77777777" w:rsidR="00147C8B" w:rsidRPr="00812F22" w:rsidRDefault="00147C8B" w:rsidP="00682390">
                      <w:pPr>
                        <w:pStyle w:val="BodyText1"/>
                        <w:jc w:val="right"/>
                        <w:rPr>
                          <w:b/>
                          <w:color w:val="44546A" w:themeColor="text2"/>
                          <w:sz w:val="36"/>
                          <w:szCs w:val="36"/>
                        </w:rPr>
                      </w:pPr>
                      <w:r w:rsidRPr="00682390">
                        <w:rPr>
                          <w:b/>
                          <w:color w:val="44546A" w:themeColor="text2"/>
                          <w:sz w:val="40"/>
                          <w:szCs w:val="40"/>
                        </w:rPr>
                        <w:t>ԲՅՈՒՋԵՏԱՅԻՆ ՈՒՂԵՐՁ</w:t>
                      </w:r>
                      <w:r w:rsidRPr="00682390">
                        <w:rPr>
                          <w:b/>
                          <w:color w:val="44546A" w:themeColor="text2"/>
                          <w:sz w:val="70"/>
                          <w:szCs w:val="70"/>
                        </w:rPr>
                        <w:t>2025 ԹՎԱԿԱՆԻ</w:t>
                      </w:r>
                      <w:r w:rsidRPr="00812F22">
                        <w:rPr>
                          <w:b/>
                          <w:color w:val="44546A" w:themeColor="text2"/>
                          <w:sz w:val="36"/>
                          <w:szCs w:val="36"/>
                        </w:rPr>
                        <w:t>ՈՒՂԵՐՁ</w:t>
                      </w:r>
                      <w:r w:rsidRPr="00812F22">
                        <w:rPr>
                          <w:b/>
                          <w:color w:val="44546A" w:themeColor="text2"/>
                          <w:sz w:val="36"/>
                          <w:szCs w:val="36"/>
                          <w:lang w:val="hy-AM"/>
                        </w:rPr>
                        <w:t>-ԲԱՑԱՏՐԱԳԻՐ</w:t>
                      </w:r>
                    </w:p>
                    <w:p w14:paraId="0339660A" w14:textId="77777777" w:rsidR="00147C8B" w:rsidRDefault="00147C8B"/>
                    <w:p w14:paraId="4C0C5005" w14:textId="77777777" w:rsidR="00147C8B" w:rsidRDefault="00147C8B"/>
                    <w:p w14:paraId="0F66A71D"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7025BF1A" w14:textId="77777777" w:rsidR="00147C8B" w:rsidRPr="00A3353C" w:rsidRDefault="00147C8B" w:rsidP="00682390">
                      <w:pPr>
                        <w:jc w:val="right"/>
                        <w:rPr>
                          <w:sz w:val="74"/>
                          <w:szCs w:val="74"/>
                        </w:rPr>
                      </w:pPr>
                    </w:p>
                    <w:p w14:paraId="732131CB" w14:textId="77777777" w:rsidR="00147C8B" w:rsidRDefault="00147C8B" w:rsidP="00682390">
                      <w:pPr>
                        <w:jc w:val="right"/>
                      </w:pPr>
                    </w:p>
                    <w:p w14:paraId="5B802192"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 xml:space="preserve">2025 ԹՎԱԿԱՆԻ </w:t>
                      </w:r>
                    </w:p>
                    <w:p w14:paraId="5D94BC5F" w14:textId="77777777" w:rsidR="00147C8B" w:rsidRPr="00A3353C" w:rsidRDefault="00147C8B" w:rsidP="00682390">
                      <w:pPr>
                        <w:jc w:val="right"/>
                        <w:rPr>
                          <w:sz w:val="74"/>
                          <w:szCs w:val="74"/>
                        </w:rPr>
                      </w:pPr>
                    </w:p>
                    <w:p w14:paraId="2E0B7CA7" w14:textId="77777777" w:rsidR="00147C8B" w:rsidRDefault="00147C8B"/>
                    <w:p w14:paraId="09B9DAFA"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ՈՒՂԵՐՁ</w:t>
                      </w:r>
                      <w:r w:rsidRPr="00812F22">
                        <w:rPr>
                          <w:b/>
                          <w:color w:val="44546A" w:themeColor="text2"/>
                          <w:sz w:val="36"/>
                          <w:szCs w:val="36"/>
                          <w:lang w:val="hy-AM"/>
                        </w:rPr>
                        <w:t>-ԲԱՑԱՏՐԱԳԻՐ</w:t>
                      </w: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3A126729" w14:textId="77777777" w:rsidR="00147C8B" w:rsidRPr="00A3353C" w:rsidRDefault="00147C8B" w:rsidP="00682390">
                      <w:pPr>
                        <w:jc w:val="right"/>
                        <w:rPr>
                          <w:sz w:val="74"/>
                          <w:szCs w:val="74"/>
                        </w:rPr>
                      </w:pPr>
                    </w:p>
                    <w:p w14:paraId="6F0C6E87" w14:textId="77777777" w:rsidR="00147C8B" w:rsidRDefault="00147C8B" w:rsidP="00682390">
                      <w:pPr>
                        <w:jc w:val="right"/>
                      </w:pPr>
                    </w:p>
                    <w:p w14:paraId="4AF91AB1" w14:textId="77777777" w:rsidR="00147C8B" w:rsidRPr="00812F22" w:rsidRDefault="00147C8B" w:rsidP="00682390">
                      <w:pPr>
                        <w:pStyle w:val="BodyText1"/>
                        <w:jc w:val="right"/>
                        <w:rPr>
                          <w:b/>
                          <w:color w:val="44546A" w:themeColor="text2"/>
                          <w:sz w:val="36"/>
                          <w:szCs w:val="36"/>
                        </w:rPr>
                      </w:pPr>
                      <w:r w:rsidRPr="00682390">
                        <w:rPr>
                          <w:b/>
                          <w:color w:val="44546A" w:themeColor="text2"/>
                          <w:sz w:val="40"/>
                          <w:szCs w:val="40"/>
                        </w:rPr>
                        <w:t>ԲՅՈՒՋԵՏԱՅԻՆ ՈՒՂԵՐՁ</w:t>
                      </w:r>
                      <w:r w:rsidRPr="00682390">
                        <w:rPr>
                          <w:b/>
                          <w:color w:val="44546A" w:themeColor="text2"/>
                          <w:sz w:val="70"/>
                          <w:szCs w:val="70"/>
                        </w:rPr>
                        <w:t>2025 ԹՎԱԿԱՆԻ</w:t>
                      </w:r>
                      <w:r w:rsidRPr="00812F22">
                        <w:rPr>
                          <w:b/>
                          <w:color w:val="44546A" w:themeColor="text2"/>
                          <w:sz w:val="36"/>
                          <w:szCs w:val="36"/>
                        </w:rPr>
                        <w:t>ՈՒՂԵՐՁ</w:t>
                      </w:r>
                      <w:r w:rsidRPr="00812F22">
                        <w:rPr>
                          <w:b/>
                          <w:color w:val="44546A" w:themeColor="text2"/>
                          <w:sz w:val="36"/>
                          <w:szCs w:val="36"/>
                          <w:lang w:val="hy-AM"/>
                        </w:rPr>
                        <w:t>-ԲԱՑԱՏՐԱԳԻՐ</w:t>
                      </w:r>
                    </w:p>
                    <w:p w14:paraId="5181D6A2" w14:textId="77777777" w:rsidR="00147C8B" w:rsidRDefault="00147C8B"/>
                    <w:p w14:paraId="7D13F8FD" w14:textId="77777777" w:rsidR="00147C8B" w:rsidRDefault="00147C8B"/>
                    <w:p w14:paraId="0243F095" w14:textId="77777777" w:rsidR="00147C8B" w:rsidRPr="00812F22" w:rsidRDefault="00147C8B" w:rsidP="00682390">
                      <w:pPr>
                        <w:pStyle w:val="BodyText1"/>
                        <w:jc w:val="right"/>
                        <w:rPr>
                          <w:b/>
                          <w:color w:val="44546A" w:themeColor="text2"/>
                          <w:sz w:val="36"/>
                          <w:szCs w:val="36"/>
                        </w:rPr>
                      </w:pPr>
                      <w:r>
                        <w:rPr>
                          <w:b/>
                          <w:color w:val="44546A" w:themeColor="text2"/>
                          <w:sz w:val="36"/>
                          <w:szCs w:val="36"/>
                        </w:rPr>
                        <w:t>2026</w:t>
                      </w:r>
                      <w:r w:rsidRPr="00812F22">
                        <w:rPr>
                          <w:b/>
                          <w:color w:val="44546A" w:themeColor="text2"/>
                          <w:sz w:val="36"/>
                          <w:szCs w:val="36"/>
                        </w:rPr>
                        <w:t xml:space="preserve">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0371428C" w14:textId="77777777" w:rsidR="00147C8B" w:rsidRPr="00A3353C" w:rsidRDefault="00147C8B" w:rsidP="00682390">
                      <w:pPr>
                        <w:jc w:val="right"/>
                        <w:rPr>
                          <w:sz w:val="74"/>
                          <w:szCs w:val="74"/>
                        </w:rPr>
                      </w:pPr>
                    </w:p>
                    <w:p w14:paraId="2B12B41A" w14:textId="77777777" w:rsidR="00147C8B" w:rsidRDefault="00147C8B" w:rsidP="00682390">
                      <w:pPr>
                        <w:jc w:val="right"/>
                      </w:pPr>
                    </w:p>
                    <w:p w14:paraId="07941F9B"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 xml:space="preserve">2025 ԹՎԱԿԱՆԻ </w:t>
                      </w:r>
                    </w:p>
                    <w:p w14:paraId="588D438D" w14:textId="77777777" w:rsidR="00147C8B" w:rsidRPr="00A3353C" w:rsidRDefault="00147C8B" w:rsidP="00682390">
                      <w:pPr>
                        <w:jc w:val="right"/>
                        <w:rPr>
                          <w:sz w:val="74"/>
                          <w:szCs w:val="74"/>
                        </w:rPr>
                      </w:pPr>
                    </w:p>
                    <w:p w14:paraId="3E65704C" w14:textId="77777777" w:rsidR="00147C8B" w:rsidRDefault="00147C8B"/>
                    <w:p w14:paraId="5491DD56"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ՈՒՂԵՐՁ</w:t>
                      </w:r>
                      <w:r w:rsidRPr="00812F22">
                        <w:rPr>
                          <w:b/>
                          <w:color w:val="44546A" w:themeColor="text2"/>
                          <w:sz w:val="36"/>
                          <w:szCs w:val="36"/>
                          <w:lang w:val="hy-AM"/>
                        </w:rPr>
                        <w:t>-ԲԱՑԱՏՐԱԳԻՐ</w:t>
                      </w: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7AE52240" w14:textId="77777777" w:rsidR="00147C8B" w:rsidRPr="00A3353C" w:rsidRDefault="00147C8B" w:rsidP="00682390">
                      <w:pPr>
                        <w:jc w:val="right"/>
                        <w:rPr>
                          <w:sz w:val="74"/>
                          <w:szCs w:val="74"/>
                        </w:rPr>
                      </w:pPr>
                    </w:p>
                    <w:p w14:paraId="435FF4AD" w14:textId="77777777" w:rsidR="00147C8B" w:rsidRDefault="00147C8B" w:rsidP="00682390">
                      <w:pPr>
                        <w:jc w:val="right"/>
                      </w:pPr>
                    </w:p>
                    <w:p w14:paraId="533A5B67"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 xml:space="preserve">2025 ԹՎԱԿԱՆԻ </w:t>
                      </w:r>
                    </w:p>
                    <w:p w14:paraId="00D14DFF" w14:textId="77777777" w:rsidR="00147C8B" w:rsidRPr="00A3353C" w:rsidRDefault="00147C8B" w:rsidP="00682390">
                      <w:pPr>
                        <w:jc w:val="right"/>
                        <w:rPr>
                          <w:sz w:val="74"/>
                          <w:szCs w:val="74"/>
                        </w:rPr>
                      </w:pPr>
                    </w:p>
                    <w:p w14:paraId="78A9DF5D" w14:textId="77777777" w:rsidR="00147C8B" w:rsidRDefault="00147C8B"/>
                    <w:p w14:paraId="27EAE7AD"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79C6A4A5" w14:textId="77777777" w:rsidR="00147C8B" w:rsidRPr="00A3353C" w:rsidRDefault="00147C8B" w:rsidP="00682390">
                      <w:pPr>
                        <w:jc w:val="right"/>
                        <w:rPr>
                          <w:sz w:val="74"/>
                          <w:szCs w:val="74"/>
                        </w:rPr>
                      </w:pPr>
                    </w:p>
                    <w:p w14:paraId="54A7551C" w14:textId="77777777" w:rsidR="00147C8B" w:rsidRDefault="00147C8B" w:rsidP="00682390">
                      <w:pPr>
                        <w:jc w:val="right"/>
                      </w:pPr>
                    </w:p>
                    <w:p w14:paraId="32790716"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 xml:space="preserve">2025 ԹՎԱԿԱՆԻ </w:t>
                      </w:r>
                    </w:p>
                    <w:p w14:paraId="6811B0C1" w14:textId="77777777" w:rsidR="00147C8B" w:rsidRPr="00A3353C" w:rsidRDefault="00147C8B" w:rsidP="00682390">
                      <w:pPr>
                        <w:jc w:val="right"/>
                        <w:rPr>
                          <w:sz w:val="74"/>
                          <w:szCs w:val="74"/>
                        </w:rPr>
                      </w:pPr>
                    </w:p>
                    <w:p w14:paraId="09B6CD2F" w14:textId="77777777" w:rsidR="00147C8B" w:rsidRDefault="00147C8B"/>
                    <w:p w14:paraId="44EA3B39"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ՈՒՂԵՐՁ</w:t>
                      </w:r>
                      <w:r w:rsidRPr="00812F22">
                        <w:rPr>
                          <w:b/>
                          <w:color w:val="44546A" w:themeColor="text2"/>
                          <w:sz w:val="36"/>
                          <w:szCs w:val="36"/>
                          <w:lang w:val="hy-AM"/>
                        </w:rPr>
                        <w:t>-ԲԱՑԱՏՐԱԳԻՐ</w:t>
                      </w: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68EEC78E" w14:textId="77777777" w:rsidR="00147C8B" w:rsidRPr="00A3353C" w:rsidRDefault="00147C8B" w:rsidP="00682390">
                      <w:pPr>
                        <w:jc w:val="right"/>
                        <w:rPr>
                          <w:sz w:val="74"/>
                          <w:szCs w:val="74"/>
                        </w:rPr>
                      </w:pPr>
                    </w:p>
                    <w:p w14:paraId="2B6A883A" w14:textId="77777777" w:rsidR="00147C8B" w:rsidRDefault="00147C8B" w:rsidP="00682390">
                      <w:pPr>
                        <w:jc w:val="right"/>
                      </w:pPr>
                    </w:p>
                    <w:p w14:paraId="30F8D34A" w14:textId="77777777" w:rsidR="00147C8B" w:rsidRPr="00812F22" w:rsidRDefault="00147C8B" w:rsidP="00682390">
                      <w:pPr>
                        <w:pStyle w:val="BodyText1"/>
                        <w:jc w:val="right"/>
                        <w:rPr>
                          <w:b/>
                          <w:color w:val="44546A" w:themeColor="text2"/>
                          <w:sz w:val="36"/>
                          <w:szCs w:val="36"/>
                        </w:rPr>
                      </w:pPr>
                      <w:r w:rsidRPr="00682390">
                        <w:rPr>
                          <w:b/>
                          <w:color w:val="44546A" w:themeColor="text2"/>
                          <w:sz w:val="40"/>
                          <w:szCs w:val="40"/>
                        </w:rPr>
                        <w:t>ԲՅՈՒՋԵՏԱՅԻՆ ՈՒՂԵՐՁ</w:t>
                      </w:r>
                      <w:r w:rsidRPr="00682390">
                        <w:rPr>
                          <w:b/>
                          <w:color w:val="44546A" w:themeColor="text2"/>
                          <w:sz w:val="70"/>
                          <w:szCs w:val="70"/>
                        </w:rPr>
                        <w:t>2025 ԹՎԱԿԱՆԻ</w:t>
                      </w:r>
                      <w:r w:rsidRPr="00812F22">
                        <w:rPr>
                          <w:b/>
                          <w:color w:val="44546A" w:themeColor="text2"/>
                          <w:sz w:val="36"/>
                          <w:szCs w:val="36"/>
                        </w:rPr>
                        <w:t>ՈՒՂԵՐՁ</w:t>
                      </w:r>
                      <w:r w:rsidRPr="00812F22">
                        <w:rPr>
                          <w:b/>
                          <w:color w:val="44546A" w:themeColor="text2"/>
                          <w:sz w:val="36"/>
                          <w:szCs w:val="36"/>
                          <w:lang w:val="hy-AM"/>
                        </w:rPr>
                        <w:t>-ԲԱՑԱՏՐԱԳԻՐ</w:t>
                      </w:r>
                    </w:p>
                    <w:p w14:paraId="54CE9CE4" w14:textId="77777777" w:rsidR="00147C8B" w:rsidRDefault="00147C8B"/>
                    <w:p w14:paraId="1565BCF5" w14:textId="77777777" w:rsidR="00147C8B" w:rsidRDefault="00147C8B"/>
                    <w:p w14:paraId="7B0ECC95"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01CB5835" w14:textId="77777777" w:rsidR="00147C8B" w:rsidRPr="00A3353C" w:rsidRDefault="00147C8B" w:rsidP="00682390">
                      <w:pPr>
                        <w:jc w:val="right"/>
                        <w:rPr>
                          <w:sz w:val="74"/>
                          <w:szCs w:val="74"/>
                        </w:rPr>
                      </w:pPr>
                    </w:p>
                    <w:p w14:paraId="7103A844" w14:textId="77777777" w:rsidR="00147C8B" w:rsidRDefault="00147C8B" w:rsidP="00682390">
                      <w:pPr>
                        <w:jc w:val="right"/>
                      </w:pPr>
                    </w:p>
                    <w:p w14:paraId="345B2FB1"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 xml:space="preserve">2025 ԹՎԱԿԱՆԻ </w:t>
                      </w:r>
                    </w:p>
                    <w:p w14:paraId="294174F1" w14:textId="77777777" w:rsidR="00147C8B" w:rsidRPr="00A3353C" w:rsidRDefault="00147C8B" w:rsidP="00682390">
                      <w:pPr>
                        <w:jc w:val="right"/>
                        <w:rPr>
                          <w:sz w:val="74"/>
                          <w:szCs w:val="74"/>
                        </w:rPr>
                      </w:pPr>
                    </w:p>
                    <w:p w14:paraId="4F2FFAA5" w14:textId="77777777" w:rsidR="00147C8B" w:rsidRDefault="00147C8B"/>
                    <w:p w14:paraId="7EAF7583"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ՈՒՂԵՐՁ</w:t>
                      </w:r>
                      <w:r w:rsidRPr="00812F22">
                        <w:rPr>
                          <w:b/>
                          <w:color w:val="44546A" w:themeColor="text2"/>
                          <w:sz w:val="36"/>
                          <w:szCs w:val="36"/>
                          <w:lang w:val="hy-AM"/>
                        </w:rPr>
                        <w:t>-ԲԱՑԱՏՐԱԳԻՐ</w:t>
                      </w: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2C3C202C" w14:textId="77777777" w:rsidR="00147C8B" w:rsidRPr="00A3353C" w:rsidRDefault="00147C8B" w:rsidP="00682390">
                      <w:pPr>
                        <w:jc w:val="right"/>
                        <w:rPr>
                          <w:sz w:val="74"/>
                          <w:szCs w:val="74"/>
                        </w:rPr>
                      </w:pPr>
                    </w:p>
                    <w:p w14:paraId="19AAFBF2" w14:textId="77777777" w:rsidR="00147C8B" w:rsidRDefault="00147C8B" w:rsidP="00682390">
                      <w:pPr>
                        <w:jc w:val="right"/>
                      </w:pPr>
                    </w:p>
                    <w:p w14:paraId="4F904316" w14:textId="77777777" w:rsidR="00147C8B" w:rsidRPr="00812F22" w:rsidRDefault="00147C8B" w:rsidP="00682390">
                      <w:pPr>
                        <w:pStyle w:val="BodyText1"/>
                        <w:jc w:val="right"/>
                        <w:rPr>
                          <w:b/>
                          <w:color w:val="44546A" w:themeColor="text2"/>
                          <w:sz w:val="36"/>
                          <w:szCs w:val="36"/>
                        </w:rPr>
                      </w:pPr>
                      <w:r w:rsidRPr="00682390">
                        <w:rPr>
                          <w:b/>
                          <w:color w:val="44546A" w:themeColor="text2"/>
                          <w:sz w:val="40"/>
                          <w:szCs w:val="40"/>
                        </w:rPr>
                        <w:t>ԲՅՈՒՋԵՏԱՅԻՆ ՈՒՂԵՐՁ</w:t>
                      </w:r>
                      <w:r w:rsidRPr="00682390">
                        <w:rPr>
                          <w:b/>
                          <w:color w:val="44546A" w:themeColor="text2"/>
                          <w:sz w:val="70"/>
                          <w:szCs w:val="70"/>
                        </w:rPr>
                        <w:t>2025 ԹՎԱԿԱՆԻ</w:t>
                      </w:r>
                      <w:r w:rsidRPr="00812F22">
                        <w:rPr>
                          <w:b/>
                          <w:color w:val="44546A" w:themeColor="text2"/>
                          <w:sz w:val="36"/>
                          <w:szCs w:val="36"/>
                        </w:rPr>
                        <w:t>ՈՒՂԵՐՁ</w:t>
                      </w:r>
                      <w:r w:rsidRPr="00812F22">
                        <w:rPr>
                          <w:b/>
                          <w:color w:val="44546A" w:themeColor="text2"/>
                          <w:sz w:val="36"/>
                          <w:szCs w:val="36"/>
                          <w:lang w:val="hy-AM"/>
                        </w:rPr>
                        <w:t>-ԲԱՑԱՏՐԱԳԻՐ</w:t>
                      </w:r>
                    </w:p>
                    <w:p w14:paraId="6C6A8A77" w14:textId="77777777" w:rsidR="00147C8B" w:rsidRDefault="00147C8B"/>
                    <w:p w14:paraId="4EA03F82" w14:textId="77777777" w:rsidR="00147C8B" w:rsidRPr="00056843" w:rsidRDefault="00147C8B" w:rsidP="00FD0C29">
                      <w:pPr>
                        <w:jc w:val="center"/>
                        <w:rPr>
                          <w:color w:val="FFFFFF" w:themeColor="background1"/>
                          <w:lang w:val="hy-AM"/>
                        </w:rPr>
                      </w:pPr>
                      <w:r w:rsidRPr="00056843">
                        <w:rPr>
                          <w:color w:val="FFFFFF" w:themeColor="background1"/>
                          <w:lang w:val="hy-AM"/>
                        </w:rPr>
                        <w:t>ԹՅԱՆ ԿԱՌԱՎԱՐՈՒԹՅԱՆ</w:t>
                      </w:r>
                    </w:p>
                    <w:p w14:paraId="74B1307F" w14:textId="77777777" w:rsidR="00147C8B" w:rsidRDefault="00147C8B"/>
                    <w:p w14:paraId="4C9E6E60" w14:textId="77777777" w:rsidR="00147C8B" w:rsidRPr="00056843" w:rsidRDefault="00147C8B" w:rsidP="00FD0C29">
                      <w:pPr>
                        <w:jc w:val="center"/>
                        <w:rPr>
                          <w:color w:val="FFFFFF" w:themeColor="background1"/>
                          <w:lang w:val="hy-AM"/>
                        </w:rPr>
                      </w:pPr>
                      <w:r w:rsidRPr="00682390">
                        <w:rPr>
                          <w:b/>
                          <w:color w:val="44546A" w:themeColor="text2"/>
                          <w:sz w:val="70"/>
                          <w:szCs w:val="70"/>
                        </w:rPr>
                        <w:t>2025 ԹՎԱԿԱՆԻ</w:t>
                      </w:r>
                      <w:r w:rsidRPr="00056843">
                        <w:rPr>
                          <w:color w:val="FFFFFF" w:themeColor="background1"/>
                          <w:lang w:val="hy-AM"/>
                        </w:rPr>
                        <w:t>ԹՅԱՆ ԿԱՌԱՎԱՐՈՒԹՅԱՆ</w:t>
                      </w:r>
                    </w:p>
                    <w:p w14:paraId="74FD24A0" w14:textId="77777777" w:rsidR="00147C8B" w:rsidRDefault="00147C8B"/>
                    <w:p w14:paraId="2E730078" w14:textId="77777777" w:rsidR="00147C8B" w:rsidRPr="00056843" w:rsidRDefault="00147C8B" w:rsidP="00FD0C29">
                      <w:pPr>
                        <w:jc w:val="center"/>
                        <w:rPr>
                          <w:color w:val="FFFFFF" w:themeColor="background1"/>
                          <w:lang w:val="hy-AM"/>
                        </w:rPr>
                      </w:pPr>
                      <w:r w:rsidRPr="00682390">
                        <w:rPr>
                          <w:b/>
                          <w:color w:val="44546A" w:themeColor="text2"/>
                          <w:sz w:val="70"/>
                          <w:szCs w:val="70"/>
                        </w:rPr>
                        <w:t>2025 ԹՎԱԿԱՆԻ</w:t>
                      </w:r>
                      <w:r w:rsidRPr="00056843">
                        <w:rPr>
                          <w:color w:val="FFFFFF" w:themeColor="background1"/>
                          <w:lang w:val="hy-AM"/>
                        </w:rPr>
                        <w:t>ԹՅԱՆ ԿԱՌԱՎԱՐՈՒԹՅԱՆ</w:t>
                      </w:r>
                    </w:p>
                    <w:p w14:paraId="0CE5B644" w14:textId="77777777" w:rsidR="00147C8B" w:rsidRDefault="00147C8B"/>
                    <w:p w14:paraId="638E0ACB" w14:textId="77777777" w:rsidR="00147C8B" w:rsidRPr="00056843" w:rsidRDefault="00147C8B" w:rsidP="00FD0C29">
                      <w:pPr>
                        <w:jc w:val="center"/>
                        <w:rPr>
                          <w:color w:val="FFFFFF" w:themeColor="background1"/>
                          <w:lang w:val="hy-AM"/>
                        </w:rPr>
                      </w:pPr>
                      <w:r w:rsidRPr="00682390">
                        <w:rPr>
                          <w:b/>
                          <w:color w:val="44546A" w:themeColor="text2"/>
                          <w:sz w:val="70"/>
                          <w:szCs w:val="70"/>
                        </w:rPr>
                        <w:t>2025 ԹՎԱԿԱՆԻ</w:t>
                      </w:r>
                      <w:r w:rsidRPr="00056843">
                        <w:rPr>
                          <w:color w:val="FFFFFF" w:themeColor="background1"/>
                          <w:lang w:val="hy-AM"/>
                        </w:rPr>
                        <w:t>ԹՅԱՆ ԿԱՌԱՎԱՐՈՒԹՅԱՆ</w:t>
                      </w:r>
                    </w:p>
                    <w:p w14:paraId="5B410182" w14:textId="77777777" w:rsidR="00147C8B" w:rsidRDefault="00147C8B"/>
                    <w:p w14:paraId="67E3CA6A"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28D93DD2" w14:textId="77777777" w:rsidR="00147C8B" w:rsidRPr="00A3353C" w:rsidRDefault="00147C8B" w:rsidP="00682390">
                      <w:pPr>
                        <w:jc w:val="right"/>
                        <w:rPr>
                          <w:sz w:val="74"/>
                          <w:szCs w:val="74"/>
                        </w:rPr>
                      </w:pPr>
                    </w:p>
                    <w:p w14:paraId="312557B0" w14:textId="77777777" w:rsidR="00147C8B" w:rsidRDefault="00147C8B" w:rsidP="00682390">
                      <w:pPr>
                        <w:jc w:val="right"/>
                      </w:pPr>
                    </w:p>
                    <w:p w14:paraId="00A1CFD6" w14:textId="77777777" w:rsidR="00147C8B" w:rsidRPr="00056843" w:rsidRDefault="00147C8B" w:rsidP="00FD0C29">
                      <w:pPr>
                        <w:jc w:val="center"/>
                        <w:rPr>
                          <w:color w:val="FFFFFF" w:themeColor="background1"/>
                          <w:lang w:val="hy-AM"/>
                        </w:rPr>
                      </w:pPr>
                      <w:r w:rsidRPr="00682390">
                        <w:rPr>
                          <w:b/>
                          <w:color w:val="44546A" w:themeColor="text2"/>
                          <w:sz w:val="40"/>
                          <w:szCs w:val="40"/>
                        </w:rPr>
                        <w:t>ԲՅՈՒՋԵՏԱՅԻՆ ՈՒՂԵՐՁ</w:t>
                      </w:r>
                      <w:r w:rsidRPr="00682390">
                        <w:rPr>
                          <w:b/>
                          <w:color w:val="44546A" w:themeColor="text2"/>
                          <w:sz w:val="70"/>
                          <w:szCs w:val="70"/>
                        </w:rPr>
                        <w:t>2025 ԹՎԱԿԱՆԻ</w:t>
                      </w:r>
                      <w:r w:rsidRPr="00056843">
                        <w:rPr>
                          <w:color w:val="FFFFFF" w:themeColor="background1"/>
                          <w:lang w:val="hy-AM"/>
                        </w:rPr>
                        <w:t>ԹՅԱՆ ԿԱՌԱՎԱՐՈՒԹՅԱՆ</w:t>
                      </w:r>
                    </w:p>
                    <w:p w14:paraId="5AAEF080" w14:textId="77777777" w:rsidR="00147C8B" w:rsidRDefault="00147C8B"/>
                    <w:p w14:paraId="044D3B57" w14:textId="77777777" w:rsidR="00147C8B" w:rsidRPr="00056843" w:rsidRDefault="00147C8B" w:rsidP="00FD0C29">
                      <w:pPr>
                        <w:jc w:val="center"/>
                        <w:rPr>
                          <w:color w:val="FFFFFF" w:themeColor="background1"/>
                          <w:lang w:val="hy-AM"/>
                        </w:rPr>
                      </w:pPr>
                      <w:r w:rsidRPr="00682390">
                        <w:rPr>
                          <w:b/>
                          <w:color w:val="44546A" w:themeColor="text2"/>
                          <w:sz w:val="70"/>
                          <w:szCs w:val="70"/>
                        </w:rPr>
                        <w:t>2025 ԹՎԱԿԱՆԻ</w:t>
                      </w:r>
                      <w:r w:rsidRPr="00056843">
                        <w:rPr>
                          <w:color w:val="FFFFFF" w:themeColor="background1"/>
                          <w:lang w:val="hy-AM"/>
                        </w:rPr>
                        <w:t>ԹՅԱՆ ԿԱՌԱՎԱՐՈՒԹՅԱՆ</w:t>
                      </w:r>
                    </w:p>
                    <w:p w14:paraId="21EA3992" w14:textId="77777777" w:rsidR="00147C8B" w:rsidRDefault="00147C8B"/>
                    <w:p w14:paraId="31AF5C06" w14:textId="77777777" w:rsidR="00147C8B" w:rsidRPr="00056843" w:rsidRDefault="00147C8B" w:rsidP="00FD0C29">
                      <w:pPr>
                        <w:jc w:val="center"/>
                        <w:rPr>
                          <w:color w:val="FFFFFF" w:themeColor="background1"/>
                          <w:lang w:val="hy-AM"/>
                        </w:rPr>
                      </w:pPr>
                      <w:r w:rsidRPr="00682390">
                        <w:rPr>
                          <w:b/>
                          <w:color w:val="44546A" w:themeColor="text2"/>
                          <w:sz w:val="70"/>
                          <w:szCs w:val="70"/>
                        </w:rPr>
                        <w:t>2025 ԹՎԱԿԱՆԻ</w:t>
                      </w:r>
                      <w:r w:rsidRPr="00056843">
                        <w:rPr>
                          <w:color w:val="FFFFFF" w:themeColor="background1"/>
                          <w:lang w:val="hy-AM"/>
                        </w:rPr>
                        <w:t>ԹՅԱՆ ԿԱՌԱՎԱՐՈՒԹՅԱՆ</w:t>
                      </w:r>
                    </w:p>
                    <w:p w14:paraId="2F6A1EAF" w14:textId="77777777" w:rsidR="00147C8B" w:rsidRDefault="00147C8B"/>
                    <w:p w14:paraId="1527E483" w14:textId="77777777" w:rsidR="00147C8B" w:rsidRPr="00056843" w:rsidRDefault="00147C8B" w:rsidP="00FD0C29">
                      <w:pPr>
                        <w:jc w:val="center"/>
                        <w:rPr>
                          <w:color w:val="FFFFFF" w:themeColor="background1"/>
                          <w:lang w:val="hy-AM"/>
                        </w:rPr>
                      </w:pPr>
                      <w:r w:rsidRPr="00682390">
                        <w:rPr>
                          <w:b/>
                          <w:color w:val="44546A" w:themeColor="text2"/>
                          <w:sz w:val="70"/>
                          <w:szCs w:val="70"/>
                        </w:rPr>
                        <w:t>2025 ԹՎԱԿԱՆԻ</w:t>
                      </w:r>
                      <w:r w:rsidRPr="00056843">
                        <w:rPr>
                          <w:color w:val="FFFFFF" w:themeColor="background1"/>
                          <w:lang w:val="hy-AM"/>
                        </w:rPr>
                        <w:t>ԹՅԱՆ ԿԱՌԱՎԱՐՈՒԹՅԱՆ</w:t>
                      </w:r>
                    </w:p>
                    <w:p w14:paraId="36762D43" w14:textId="77777777" w:rsidR="00147C8B" w:rsidRDefault="00147C8B"/>
                    <w:p w14:paraId="6EB33B9A"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ՈՒՂԵՐՁ</w:t>
                      </w:r>
                      <w:r w:rsidRPr="00812F22">
                        <w:rPr>
                          <w:b/>
                          <w:color w:val="44546A" w:themeColor="text2"/>
                          <w:sz w:val="36"/>
                          <w:szCs w:val="36"/>
                          <w:lang w:val="hy-AM"/>
                        </w:rPr>
                        <w:t>-ԲԱՑԱՏՐԱԳԻՐ</w:t>
                      </w:r>
                    </w:p>
                    <w:p w14:paraId="6D028219" w14:textId="77777777" w:rsidR="00147C8B" w:rsidRDefault="00147C8B"/>
                    <w:p w14:paraId="1445DC5D" w14:textId="77777777" w:rsidR="00147C8B" w:rsidRPr="00056843" w:rsidRDefault="00147C8B" w:rsidP="00FD0C29">
                      <w:pPr>
                        <w:jc w:val="center"/>
                        <w:rPr>
                          <w:color w:val="FFFFFF" w:themeColor="background1"/>
                          <w:lang w:val="hy-AM"/>
                        </w:rPr>
                      </w:pPr>
                      <w:r w:rsidRPr="00056843">
                        <w:rPr>
                          <w:color w:val="FFFFFF" w:themeColor="background1"/>
                          <w:lang w:val="hy-AM"/>
                        </w:rPr>
                        <w:t>ԹՅԱՆ ԿԱՌԱՎԱՐՈՒԹՅԱՆ</w:t>
                      </w:r>
                    </w:p>
                    <w:p w14:paraId="5723A92F" w14:textId="77777777" w:rsidR="00147C8B" w:rsidRDefault="00147C8B"/>
                    <w:p w14:paraId="0E1E6245" w14:textId="77777777" w:rsidR="00147C8B" w:rsidRPr="00056843" w:rsidRDefault="00147C8B" w:rsidP="00FD0C29">
                      <w:pPr>
                        <w:jc w:val="center"/>
                        <w:rPr>
                          <w:color w:val="FFFFFF" w:themeColor="background1"/>
                          <w:lang w:val="hy-AM"/>
                        </w:rPr>
                      </w:pPr>
                      <w:r w:rsidRPr="00682390">
                        <w:rPr>
                          <w:b/>
                          <w:color w:val="44546A" w:themeColor="text2"/>
                          <w:sz w:val="70"/>
                          <w:szCs w:val="70"/>
                        </w:rPr>
                        <w:t>2025 ԹՎԱԿԱՆԻ</w:t>
                      </w:r>
                      <w:r w:rsidRPr="00056843">
                        <w:rPr>
                          <w:color w:val="FFFFFF" w:themeColor="background1"/>
                          <w:lang w:val="hy-AM"/>
                        </w:rPr>
                        <w:t>ԹՅԱՆ ԿԱՌԱՎԱՐՈՒԹՅԱՆ</w:t>
                      </w:r>
                    </w:p>
                    <w:p w14:paraId="3EAC9DA6" w14:textId="77777777" w:rsidR="00147C8B" w:rsidRDefault="00147C8B"/>
                    <w:p w14:paraId="7F28C610" w14:textId="77777777" w:rsidR="00147C8B" w:rsidRPr="00056843" w:rsidRDefault="00147C8B" w:rsidP="00FD0C29">
                      <w:pPr>
                        <w:jc w:val="center"/>
                        <w:rPr>
                          <w:color w:val="FFFFFF" w:themeColor="background1"/>
                          <w:lang w:val="hy-AM"/>
                        </w:rPr>
                      </w:pPr>
                      <w:r w:rsidRPr="00682390">
                        <w:rPr>
                          <w:b/>
                          <w:color w:val="44546A" w:themeColor="text2"/>
                          <w:sz w:val="70"/>
                          <w:szCs w:val="70"/>
                        </w:rPr>
                        <w:t>2025 ԹՎԱԿԱՆԻ</w:t>
                      </w:r>
                      <w:r w:rsidRPr="00056843">
                        <w:rPr>
                          <w:color w:val="FFFFFF" w:themeColor="background1"/>
                          <w:lang w:val="hy-AM"/>
                        </w:rPr>
                        <w:t>ԹՅԱՆ ԿԱՌԱՎԱՐՈՒԹՅԱՆ</w:t>
                      </w:r>
                    </w:p>
                    <w:p w14:paraId="5A434F11" w14:textId="77777777" w:rsidR="00147C8B" w:rsidRDefault="00147C8B"/>
                    <w:p w14:paraId="633D37BC" w14:textId="77777777" w:rsidR="00147C8B" w:rsidRPr="00056843" w:rsidRDefault="00147C8B" w:rsidP="00FD0C29">
                      <w:pPr>
                        <w:jc w:val="center"/>
                        <w:rPr>
                          <w:color w:val="FFFFFF" w:themeColor="background1"/>
                          <w:lang w:val="hy-AM"/>
                        </w:rPr>
                      </w:pPr>
                      <w:r w:rsidRPr="00682390">
                        <w:rPr>
                          <w:b/>
                          <w:color w:val="44546A" w:themeColor="text2"/>
                          <w:sz w:val="70"/>
                          <w:szCs w:val="70"/>
                        </w:rPr>
                        <w:t>2025 ԹՎԱԿԱՆԻ</w:t>
                      </w:r>
                      <w:r w:rsidRPr="00056843">
                        <w:rPr>
                          <w:color w:val="FFFFFF" w:themeColor="background1"/>
                          <w:lang w:val="hy-AM"/>
                        </w:rPr>
                        <w:t>ԹՅԱՆ ԿԱՌԱՎԱՐՈՒԹՅԱՆ</w:t>
                      </w:r>
                    </w:p>
                    <w:p w14:paraId="3E900B1A" w14:textId="77777777" w:rsidR="00147C8B" w:rsidRDefault="00147C8B"/>
                    <w:p w14:paraId="3706BC30"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186E4BD1" w14:textId="77777777" w:rsidR="00147C8B" w:rsidRPr="00A3353C" w:rsidRDefault="00147C8B" w:rsidP="00682390">
                      <w:pPr>
                        <w:jc w:val="right"/>
                        <w:rPr>
                          <w:sz w:val="74"/>
                          <w:szCs w:val="74"/>
                        </w:rPr>
                      </w:pPr>
                    </w:p>
                    <w:p w14:paraId="5A5F4440" w14:textId="77777777" w:rsidR="00147C8B" w:rsidRDefault="00147C8B" w:rsidP="00682390">
                      <w:pPr>
                        <w:jc w:val="right"/>
                      </w:pPr>
                    </w:p>
                    <w:p w14:paraId="13CA355A" w14:textId="77777777" w:rsidR="00147C8B" w:rsidRPr="00056843" w:rsidRDefault="00147C8B" w:rsidP="00FD0C29">
                      <w:pPr>
                        <w:jc w:val="center"/>
                        <w:rPr>
                          <w:color w:val="FFFFFF" w:themeColor="background1"/>
                          <w:lang w:val="hy-AM"/>
                        </w:rPr>
                      </w:pPr>
                      <w:r w:rsidRPr="00682390">
                        <w:rPr>
                          <w:b/>
                          <w:color w:val="44546A" w:themeColor="text2"/>
                          <w:sz w:val="40"/>
                          <w:szCs w:val="40"/>
                        </w:rPr>
                        <w:t>ԲՅՈՒՋԵՏԱՅԻՆ ՈՒՂԵՐՁ</w:t>
                      </w:r>
                      <w:r w:rsidRPr="00682390">
                        <w:rPr>
                          <w:b/>
                          <w:color w:val="44546A" w:themeColor="text2"/>
                          <w:sz w:val="70"/>
                          <w:szCs w:val="70"/>
                        </w:rPr>
                        <w:t>2025 ԹՎԱԿԱՆԻ</w:t>
                      </w:r>
                      <w:r w:rsidRPr="00056843">
                        <w:rPr>
                          <w:color w:val="FFFFFF" w:themeColor="background1"/>
                          <w:lang w:val="hy-AM"/>
                        </w:rPr>
                        <w:t>ԹՅԱՆ ԿԱՌԱՎԱՐՈՒԹՅԱՆ</w:t>
                      </w:r>
                    </w:p>
                    <w:p w14:paraId="4F6D78F7" w14:textId="77777777" w:rsidR="00147C8B" w:rsidRDefault="00147C8B"/>
                    <w:p w14:paraId="35C66935" w14:textId="77777777" w:rsidR="00147C8B" w:rsidRPr="00056843" w:rsidRDefault="00147C8B" w:rsidP="00FD0C29">
                      <w:pPr>
                        <w:jc w:val="center"/>
                        <w:rPr>
                          <w:color w:val="FFFFFF" w:themeColor="background1"/>
                          <w:lang w:val="hy-AM"/>
                        </w:rPr>
                      </w:pPr>
                      <w:r w:rsidRPr="00682390">
                        <w:rPr>
                          <w:b/>
                          <w:color w:val="44546A" w:themeColor="text2"/>
                          <w:sz w:val="70"/>
                          <w:szCs w:val="70"/>
                        </w:rPr>
                        <w:t>2025 ԹՎԱԿԱՆԻ</w:t>
                      </w:r>
                      <w:r w:rsidRPr="00056843">
                        <w:rPr>
                          <w:color w:val="FFFFFF" w:themeColor="background1"/>
                          <w:lang w:val="hy-AM"/>
                        </w:rPr>
                        <w:t>ԹՅԱՆ ԿԱՌԱՎԱՐՈՒԹՅԱՆ</w:t>
                      </w:r>
                    </w:p>
                    <w:p w14:paraId="17BEE90D" w14:textId="77777777" w:rsidR="00147C8B" w:rsidRDefault="00147C8B"/>
                    <w:p w14:paraId="11FF668D" w14:textId="77777777" w:rsidR="00147C8B" w:rsidRPr="00056843" w:rsidRDefault="00147C8B" w:rsidP="00FD0C29">
                      <w:pPr>
                        <w:jc w:val="center"/>
                        <w:rPr>
                          <w:color w:val="FFFFFF" w:themeColor="background1"/>
                          <w:lang w:val="hy-AM"/>
                        </w:rPr>
                      </w:pPr>
                      <w:r w:rsidRPr="00682390">
                        <w:rPr>
                          <w:b/>
                          <w:color w:val="44546A" w:themeColor="text2"/>
                          <w:sz w:val="70"/>
                          <w:szCs w:val="70"/>
                        </w:rPr>
                        <w:t>2025 ԹՎԱԿԱՆԻ</w:t>
                      </w:r>
                      <w:r w:rsidRPr="00056843">
                        <w:rPr>
                          <w:color w:val="FFFFFF" w:themeColor="background1"/>
                          <w:lang w:val="hy-AM"/>
                        </w:rPr>
                        <w:t>ԹՅԱՆ ԿԱՌԱՎԱՐՈՒԹՅԱՆ</w:t>
                      </w:r>
                    </w:p>
                    <w:p w14:paraId="0E0DE600" w14:textId="77777777" w:rsidR="00147C8B" w:rsidRDefault="00147C8B"/>
                    <w:p w14:paraId="463D3902" w14:textId="77777777" w:rsidR="00147C8B" w:rsidRPr="00056843" w:rsidRDefault="00147C8B" w:rsidP="00FD0C29">
                      <w:pPr>
                        <w:jc w:val="center"/>
                        <w:rPr>
                          <w:color w:val="FFFFFF" w:themeColor="background1"/>
                          <w:lang w:val="hy-AM"/>
                        </w:rPr>
                      </w:pPr>
                      <w:r w:rsidRPr="00682390">
                        <w:rPr>
                          <w:b/>
                          <w:color w:val="44546A" w:themeColor="text2"/>
                          <w:sz w:val="70"/>
                          <w:szCs w:val="70"/>
                        </w:rPr>
                        <w:t>2025 ԹՎԱԿԱՆԻ</w:t>
                      </w:r>
                      <w:r w:rsidRPr="00056843">
                        <w:rPr>
                          <w:color w:val="FFFFFF" w:themeColor="background1"/>
                          <w:lang w:val="hy-AM"/>
                        </w:rPr>
                        <w:t>ԹՅԱՆ ԿԱՌԱՎԱՐՈՒԹՅԱՆ</w:t>
                      </w:r>
                    </w:p>
                    <w:p w14:paraId="35C0E59B" w14:textId="77777777" w:rsidR="00147C8B" w:rsidRDefault="00147C8B"/>
                    <w:p w14:paraId="44354A05"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ՈՒՂԵՐՁ</w:t>
                      </w:r>
                      <w:r w:rsidRPr="00812F22">
                        <w:rPr>
                          <w:b/>
                          <w:color w:val="44546A" w:themeColor="text2"/>
                          <w:sz w:val="36"/>
                          <w:szCs w:val="36"/>
                          <w:lang w:val="hy-AM"/>
                        </w:rPr>
                        <w:t>-ԲԱՑԱՏՐԱԳԻՐ</w:t>
                      </w:r>
                    </w:p>
                    <w:p w14:paraId="4B656C12" w14:textId="77777777" w:rsidR="00147C8B" w:rsidRDefault="00147C8B"/>
                    <w:p w14:paraId="0CEFC89B" w14:textId="77777777" w:rsidR="00147C8B" w:rsidRDefault="00147C8B"/>
                    <w:p w14:paraId="65EFA285"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353ABBB5" w14:textId="77777777" w:rsidR="00147C8B" w:rsidRPr="00A3353C" w:rsidRDefault="00147C8B" w:rsidP="00682390">
                      <w:pPr>
                        <w:jc w:val="right"/>
                        <w:rPr>
                          <w:sz w:val="74"/>
                          <w:szCs w:val="74"/>
                        </w:rPr>
                      </w:pPr>
                    </w:p>
                    <w:p w14:paraId="293FDE1B" w14:textId="77777777" w:rsidR="00147C8B" w:rsidRDefault="00147C8B" w:rsidP="00682390">
                      <w:pPr>
                        <w:jc w:val="right"/>
                      </w:pPr>
                    </w:p>
                    <w:p w14:paraId="12387300"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 xml:space="preserve">2025 ԹՎԱԿԱՆԻ </w:t>
                      </w:r>
                    </w:p>
                    <w:p w14:paraId="1AA07B87" w14:textId="77777777" w:rsidR="00147C8B" w:rsidRPr="00A3353C" w:rsidRDefault="00147C8B" w:rsidP="00682390">
                      <w:pPr>
                        <w:jc w:val="right"/>
                        <w:rPr>
                          <w:sz w:val="74"/>
                          <w:szCs w:val="74"/>
                        </w:rPr>
                      </w:pPr>
                    </w:p>
                    <w:p w14:paraId="19AFAA2F" w14:textId="77777777" w:rsidR="00147C8B" w:rsidRDefault="00147C8B"/>
                    <w:p w14:paraId="03209323"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ՈՒՂԵՐՁ</w:t>
                      </w:r>
                      <w:r w:rsidRPr="00812F22">
                        <w:rPr>
                          <w:b/>
                          <w:color w:val="44546A" w:themeColor="text2"/>
                          <w:sz w:val="36"/>
                          <w:szCs w:val="36"/>
                          <w:lang w:val="hy-AM"/>
                        </w:rPr>
                        <w:t>-ԲԱՑԱՏՐԱԳԻՐ</w:t>
                      </w: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13B952D3" w14:textId="77777777" w:rsidR="00147C8B" w:rsidRPr="00A3353C" w:rsidRDefault="00147C8B" w:rsidP="00682390">
                      <w:pPr>
                        <w:jc w:val="right"/>
                        <w:rPr>
                          <w:sz w:val="74"/>
                          <w:szCs w:val="74"/>
                        </w:rPr>
                      </w:pPr>
                    </w:p>
                    <w:p w14:paraId="47AB2978" w14:textId="77777777" w:rsidR="00147C8B" w:rsidRDefault="00147C8B" w:rsidP="00682390">
                      <w:pPr>
                        <w:jc w:val="right"/>
                      </w:pPr>
                    </w:p>
                    <w:p w14:paraId="0C62AFA6" w14:textId="77777777" w:rsidR="00147C8B" w:rsidRPr="00812F22" w:rsidRDefault="00147C8B" w:rsidP="00682390">
                      <w:pPr>
                        <w:pStyle w:val="BodyText1"/>
                        <w:jc w:val="right"/>
                        <w:rPr>
                          <w:b/>
                          <w:color w:val="44546A" w:themeColor="text2"/>
                          <w:sz w:val="36"/>
                          <w:szCs w:val="36"/>
                        </w:rPr>
                      </w:pPr>
                      <w:r w:rsidRPr="00682390">
                        <w:rPr>
                          <w:b/>
                          <w:color w:val="44546A" w:themeColor="text2"/>
                          <w:sz w:val="40"/>
                          <w:szCs w:val="40"/>
                        </w:rPr>
                        <w:t>ԲՅՈՒՋԵՏԱՅԻՆ ՈՒՂԵՐՁ</w:t>
                      </w:r>
                      <w:r w:rsidRPr="00682390">
                        <w:rPr>
                          <w:b/>
                          <w:color w:val="44546A" w:themeColor="text2"/>
                          <w:sz w:val="70"/>
                          <w:szCs w:val="70"/>
                        </w:rPr>
                        <w:t>2025 ԹՎԱԿԱՆԻ</w:t>
                      </w:r>
                      <w:r w:rsidRPr="00812F22">
                        <w:rPr>
                          <w:b/>
                          <w:color w:val="44546A" w:themeColor="text2"/>
                          <w:sz w:val="36"/>
                          <w:szCs w:val="36"/>
                        </w:rPr>
                        <w:t>ՈՒՂԵՐՁ</w:t>
                      </w:r>
                      <w:r w:rsidRPr="00812F22">
                        <w:rPr>
                          <w:b/>
                          <w:color w:val="44546A" w:themeColor="text2"/>
                          <w:sz w:val="36"/>
                          <w:szCs w:val="36"/>
                          <w:lang w:val="hy-AM"/>
                        </w:rPr>
                        <w:t>-ԲԱՑԱՏՐԱԳԻՐ</w:t>
                      </w:r>
                    </w:p>
                    <w:p w14:paraId="40F9189F" w14:textId="77777777" w:rsidR="00147C8B" w:rsidRDefault="00147C8B"/>
                    <w:p w14:paraId="2F3250C6" w14:textId="77777777" w:rsidR="00147C8B" w:rsidRPr="00056843" w:rsidRDefault="00147C8B" w:rsidP="00FD0C29">
                      <w:pPr>
                        <w:jc w:val="center"/>
                        <w:rPr>
                          <w:color w:val="FFFFFF" w:themeColor="background1"/>
                          <w:lang w:val="hy-AM"/>
                        </w:rPr>
                      </w:pPr>
                      <w:r w:rsidRPr="00056843">
                        <w:rPr>
                          <w:color w:val="FFFFFF" w:themeColor="background1"/>
                          <w:lang w:val="hy-AM"/>
                        </w:rPr>
                        <w:t>ԹՅԱՆ ԿԱՌԱՎԱՐՈՒԹՅԱՆ</w:t>
                      </w:r>
                    </w:p>
                    <w:p w14:paraId="38517A92" w14:textId="77777777" w:rsidR="00147C8B" w:rsidRDefault="00147C8B"/>
                    <w:p w14:paraId="28D8072F" w14:textId="77777777" w:rsidR="00147C8B" w:rsidRPr="00056843" w:rsidRDefault="00147C8B" w:rsidP="00FD0C29">
                      <w:pPr>
                        <w:jc w:val="center"/>
                        <w:rPr>
                          <w:color w:val="FFFFFF" w:themeColor="background1"/>
                          <w:lang w:val="hy-AM"/>
                        </w:rPr>
                      </w:pPr>
                      <w:r w:rsidRPr="00682390">
                        <w:rPr>
                          <w:b/>
                          <w:color w:val="44546A" w:themeColor="text2"/>
                          <w:sz w:val="70"/>
                          <w:szCs w:val="70"/>
                        </w:rPr>
                        <w:t>2025 ԹՎԱԿԱՆԻ</w:t>
                      </w:r>
                      <w:r w:rsidRPr="00056843">
                        <w:rPr>
                          <w:color w:val="FFFFFF" w:themeColor="background1"/>
                          <w:lang w:val="hy-AM"/>
                        </w:rPr>
                        <w:t>ԹՅԱՆ ԿԱՌԱՎԱՐՈՒԹՅԱՆ</w:t>
                      </w:r>
                    </w:p>
                    <w:p w14:paraId="02986F3E" w14:textId="77777777" w:rsidR="00147C8B" w:rsidRDefault="00147C8B"/>
                    <w:p w14:paraId="2CF056D8" w14:textId="77777777" w:rsidR="00147C8B" w:rsidRPr="00056843" w:rsidRDefault="00147C8B" w:rsidP="00FD0C29">
                      <w:pPr>
                        <w:jc w:val="center"/>
                        <w:rPr>
                          <w:color w:val="FFFFFF" w:themeColor="background1"/>
                          <w:lang w:val="hy-AM"/>
                        </w:rPr>
                      </w:pPr>
                      <w:r w:rsidRPr="00682390">
                        <w:rPr>
                          <w:b/>
                          <w:color w:val="44546A" w:themeColor="text2"/>
                          <w:sz w:val="70"/>
                          <w:szCs w:val="70"/>
                        </w:rPr>
                        <w:t>2025 ԹՎԱԿԱՆԻ</w:t>
                      </w:r>
                      <w:r w:rsidRPr="00056843">
                        <w:rPr>
                          <w:color w:val="FFFFFF" w:themeColor="background1"/>
                          <w:lang w:val="hy-AM"/>
                        </w:rPr>
                        <w:t>ԹՅԱՆ ԿԱՌԱՎԱՐՈՒԹՅԱՆ</w:t>
                      </w:r>
                    </w:p>
                    <w:p w14:paraId="1B407497" w14:textId="77777777" w:rsidR="00147C8B" w:rsidRDefault="00147C8B"/>
                    <w:p w14:paraId="12C5805A" w14:textId="77777777" w:rsidR="00147C8B" w:rsidRPr="00056843" w:rsidRDefault="00147C8B" w:rsidP="00FD0C29">
                      <w:pPr>
                        <w:jc w:val="center"/>
                        <w:rPr>
                          <w:color w:val="FFFFFF" w:themeColor="background1"/>
                          <w:lang w:val="hy-AM"/>
                        </w:rPr>
                      </w:pPr>
                      <w:r w:rsidRPr="00682390">
                        <w:rPr>
                          <w:b/>
                          <w:color w:val="44546A" w:themeColor="text2"/>
                          <w:sz w:val="70"/>
                          <w:szCs w:val="70"/>
                        </w:rPr>
                        <w:t>2025 ԹՎԱԿԱՆԻ</w:t>
                      </w:r>
                      <w:r w:rsidRPr="00056843">
                        <w:rPr>
                          <w:color w:val="FFFFFF" w:themeColor="background1"/>
                          <w:lang w:val="hy-AM"/>
                        </w:rPr>
                        <w:t>ԹՅԱՆ ԿԱՌԱՎԱՐՈՒԹՅԱՆ</w:t>
                      </w:r>
                    </w:p>
                    <w:p w14:paraId="3DD9B8B7" w14:textId="77777777" w:rsidR="00147C8B" w:rsidRDefault="00147C8B"/>
                    <w:p w14:paraId="64900AE9"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04FF82F6" w14:textId="77777777" w:rsidR="00147C8B" w:rsidRPr="00A3353C" w:rsidRDefault="00147C8B" w:rsidP="00682390">
                      <w:pPr>
                        <w:jc w:val="right"/>
                        <w:rPr>
                          <w:sz w:val="74"/>
                          <w:szCs w:val="74"/>
                        </w:rPr>
                      </w:pPr>
                    </w:p>
                    <w:p w14:paraId="594FC393" w14:textId="77777777" w:rsidR="00147C8B" w:rsidRDefault="00147C8B" w:rsidP="00682390">
                      <w:pPr>
                        <w:jc w:val="right"/>
                      </w:pPr>
                    </w:p>
                    <w:p w14:paraId="640EBEAF" w14:textId="77777777" w:rsidR="00147C8B" w:rsidRPr="00056843" w:rsidRDefault="00147C8B" w:rsidP="00FD0C29">
                      <w:pPr>
                        <w:jc w:val="center"/>
                        <w:rPr>
                          <w:color w:val="FFFFFF" w:themeColor="background1"/>
                          <w:lang w:val="hy-AM"/>
                        </w:rPr>
                      </w:pPr>
                      <w:r w:rsidRPr="00682390">
                        <w:rPr>
                          <w:b/>
                          <w:color w:val="44546A" w:themeColor="text2"/>
                          <w:sz w:val="40"/>
                          <w:szCs w:val="40"/>
                        </w:rPr>
                        <w:t>ԲՅՈՒՋԵՏԱՅԻՆ ՈՒՂԵՐՁ</w:t>
                      </w:r>
                      <w:r w:rsidRPr="00682390">
                        <w:rPr>
                          <w:b/>
                          <w:color w:val="44546A" w:themeColor="text2"/>
                          <w:sz w:val="70"/>
                          <w:szCs w:val="70"/>
                        </w:rPr>
                        <w:t>2025 ԹՎԱԿԱՆԻ</w:t>
                      </w:r>
                      <w:r w:rsidRPr="00056843">
                        <w:rPr>
                          <w:color w:val="FFFFFF" w:themeColor="background1"/>
                          <w:lang w:val="hy-AM"/>
                        </w:rPr>
                        <w:t>ԹՅԱՆ ԿԱՌԱՎԱՐՈՒԹՅԱՆ</w:t>
                      </w:r>
                    </w:p>
                    <w:p w14:paraId="24B62913" w14:textId="77777777" w:rsidR="00147C8B" w:rsidRDefault="00147C8B"/>
                    <w:p w14:paraId="7B528E26" w14:textId="77777777" w:rsidR="00147C8B" w:rsidRPr="00056843" w:rsidRDefault="00147C8B" w:rsidP="00FD0C29">
                      <w:pPr>
                        <w:jc w:val="center"/>
                        <w:rPr>
                          <w:color w:val="FFFFFF" w:themeColor="background1"/>
                          <w:lang w:val="hy-AM"/>
                        </w:rPr>
                      </w:pPr>
                      <w:r w:rsidRPr="00682390">
                        <w:rPr>
                          <w:b/>
                          <w:color w:val="44546A" w:themeColor="text2"/>
                          <w:sz w:val="70"/>
                          <w:szCs w:val="70"/>
                        </w:rPr>
                        <w:t>2025 ԹՎԱԿԱՆԻ</w:t>
                      </w:r>
                      <w:r w:rsidRPr="00056843">
                        <w:rPr>
                          <w:color w:val="FFFFFF" w:themeColor="background1"/>
                          <w:lang w:val="hy-AM"/>
                        </w:rPr>
                        <w:t>ԹՅԱՆ ԿԱՌԱՎԱՐՈՒԹՅԱՆ</w:t>
                      </w:r>
                    </w:p>
                    <w:p w14:paraId="29243640" w14:textId="77777777" w:rsidR="00147C8B" w:rsidRDefault="00147C8B"/>
                    <w:p w14:paraId="6D420532" w14:textId="77777777" w:rsidR="00147C8B" w:rsidRPr="00056843" w:rsidRDefault="00147C8B" w:rsidP="00FD0C29">
                      <w:pPr>
                        <w:jc w:val="center"/>
                        <w:rPr>
                          <w:color w:val="FFFFFF" w:themeColor="background1"/>
                          <w:lang w:val="hy-AM"/>
                        </w:rPr>
                      </w:pPr>
                      <w:r w:rsidRPr="00682390">
                        <w:rPr>
                          <w:b/>
                          <w:color w:val="44546A" w:themeColor="text2"/>
                          <w:sz w:val="70"/>
                          <w:szCs w:val="70"/>
                        </w:rPr>
                        <w:t>2025 ԹՎԱԿԱՆԻ</w:t>
                      </w:r>
                      <w:r w:rsidRPr="00056843">
                        <w:rPr>
                          <w:color w:val="FFFFFF" w:themeColor="background1"/>
                          <w:lang w:val="hy-AM"/>
                        </w:rPr>
                        <w:t>ԹՅԱՆ ԿԱՌԱՎԱՐՈՒԹՅԱՆ</w:t>
                      </w:r>
                    </w:p>
                    <w:p w14:paraId="18CE481A" w14:textId="77777777" w:rsidR="00147C8B" w:rsidRDefault="00147C8B"/>
                    <w:p w14:paraId="3CB0C784" w14:textId="77777777" w:rsidR="00147C8B" w:rsidRPr="00056843" w:rsidRDefault="00147C8B" w:rsidP="00FD0C29">
                      <w:pPr>
                        <w:jc w:val="center"/>
                        <w:rPr>
                          <w:color w:val="FFFFFF" w:themeColor="background1"/>
                          <w:lang w:val="hy-AM"/>
                        </w:rPr>
                      </w:pPr>
                      <w:r w:rsidRPr="00682390">
                        <w:rPr>
                          <w:b/>
                          <w:color w:val="44546A" w:themeColor="text2"/>
                          <w:sz w:val="70"/>
                          <w:szCs w:val="70"/>
                        </w:rPr>
                        <w:t>2025 ԹՎԱԿԱՆԻ</w:t>
                      </w:r>
                      <w:r w:rsidRPr="00056843">
                        <w:rPr>
                          <w:color w:val="FFFFFF" w:themeColor="background1"/>
                          <w:lang w:val="hy-AM"/>
                        </w:rPr>
                        <w:t>ԹՅԱՆ ԿԱՌԱՎԱՐՈՒԹՅԱՆ</w:t>
                      </w:r>
                    </w:p>
                    <w:p w14:paraId="64E2E406" w14:textId="77777777" w:rsidR="00147C8B" w:rsidRDefault="00147C8B"/>
                    <w:p w14:paraId="6F52A88C"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ՈՒՂԵՐՁ</w:t>
                      </w:r>
                      <w:r w:rsidRPr="00812F22">
                        <w:rPr>
                          <w:b/>
                          <w:color w:val="44546A" w:themeColor="text2"/>
                          <w:sz w:val="36"/>
                          <w:szCs w:val="36"/>
                          <w:lang w:val="hy-AM"/>
                        </w:rPr>
                        <w:t>-ԲԱՑԱՏՐԱԳԻՐ</w:t>
                      </w:r>
                    </w:p>
                    <w:p w14:paraId="5118F20D" w14:textId="77777777" w:rsidR="00147C8B" w:rsidRDefault="00147C8B"/>
                    <w:p w14:paraId="450ACBD7" w14:textId="77777777" w:rsidR="00147C8B" w:rsidRPr="00056843" w:rsidRDefault="00147C8B" w:rsidP="00FD0C29">
                      <w:pPr>
                        <w:jc w:val="center"/>
                        <w:rPr>
                          <w:color w:val="FFFFFF" w:themeColor="background1"/>
                          <w:lang w:val="hy-AM"/>
                        </w:rPr>
                      </w:pPr>
                      <w:r w:rsidRPr="00056843">
                        <w:rPr>
                          <w:color w:val="FFFFFF" w:themeColor="background1"/>
                          <w:lang w:val="hy-AM"/>
                        </w:rPr>
                        <w:t>ԹՅԱՆ ԿԱՌԱՎԱՐՈՒԹՅԱՆ</w:t>
                      </w:r>
                    </w:p>
                    <w:p w14:paraId="4A3ADF41" w14:textId="77777777" w:rsidR="00147C8B" w:rsidRDefault="00147C8B"/>
                    <w:p w14:paraId="4F93ACE2" w14:textId="77777777" w:rsidR="00147C8B" w:rsidRPr="00056843" w:rsidRDefault="00147C8B" w:rsidP="00FD0C29">
                      <w:pPr>
                        <w:jc w:val="center"/>
                        <w:rPr>
                          <w:color w:val="FFFFFF" w:themeColor="background1"/>
                          <w:lang w:val="hy-AM"/>
                        </w:rPr>
                      </w:pPr>
                      <w:r w:rsidRPr="00682390">
                        <w:rPr>
                          <w:b/>
                          <w:color w:val="44546A" w:themeColor="text2"/>
                          <w:sz w:val="70"/>
                          <w:szCs w:val="70"/>
                        </w:rPr>
                        <w:t>2025 ԹՎԱԿԱՆԻ</w:t>
                      </w:r>
                      <w:r w:rsidRPr="00056843">
                        <w:rPr>
                          <w:color w:val="FFFFFF" w:themeColor="background1"/>
                          <w:lang w:val="hy-AM"/>
                        </w:rPr>
                        <w:t>ԹՅԱՆ ԿԱՌԱՎԱՐՈՒԹՅԱՆ</w:t>
                      </w:r>
                    </w:p>
                    <w:p w14:paraId="6F5C45FF" w14:textId="77777777" w:rsidR="00147C8B" w:rsidRDefault="00147C8B"/>
                    <w:p w14:paraId="41F6370E" w14:textId="77777777" w:rsidR="00147C8B" w:rsidRPr="00056843" w:rsidRDefault="00147C8B" w:rsidP="00FD0C29">
                      <w:pPr>
                        <w:jc w:val="center"/>
                        <w:rPr>
                          <w:color w:val="FFFFFF" w:themeColor="background1"/>
                          <w:lang w:val="hy-AM"/>
                        </w:rPr>
                      </w:pPr>
                      <w:r w:rsidRPr="00682390">
                        <w:rPr>
                          <w:b/>
                          <w:color w:val="44546A" w:themeColor="text2"/>
                          <w:sz w:val="70"/>
                          <w:szCs w:val="70"/>
                        </w:rPr>
                        <w:t>2025 ԹՎԱԿԱՆԻ</w:t>
                      </w:r>
                      <w:r w:rsidRPr="00056843">
                        <w:rPr>
                          <w:color w:val="FFFFFF" w:themeColor="background1"/>
                          <w:lang w:val="hy-AM"/>
                        </w:rPr>
                        <w:t>ԹՅԱՆ ԿԱՌԱՎԱՐՈՒԹՅԱՆ</w:t>
                      </w:r>
                    </w:p>
                    <w:p w14:paraId="1DAAF1D3" w14:textId="77777777" w:rsidR="00147C8B" w:rsidRDefault="00147C8B"/>
                    <w:p w14:paraId="420BE80B" w14:textId="77777777" w:rsidR="00147C8B" w:rsidRPr="00056843" w:rsidRDefault="00147C8B" w:rsidP="00FD0C29">
                      <w:pPr>
                        <w:jc w:val="center"/>
                        <w:rPr>
                          <w:color w:val="FFFFFF" w:themeColor="background1"/>
                          <w:lang w:val="hy-AM"/>
                        </w:rPr>
                      </w:pPr>
                      <w:r w:rsidRPr="00682390">
                        <w:rPr>
                          <w:b/>
                          <w:color w:val="44546A" w:themeColor="text2"/>
                          <w:sz w:val="70"/>
                          <w:szCs w:val="70"/>
                        </w:rPr>
                        <w:t>2025 ԹՎԱԿԱՆԻ</w:t>
                      </w:r>
                      <w:r w:rsidRPr="00056843">
                        <w:rPr>
                          <w:color w:val="FFFFFF" w:themeColor="background1"/>
                          <w:lang w:val="hy-AM"/>
                        </w:rPr>
                        <w:t>ԹՅԱՆ ԿԱՌԱՎԱՐՈՒԹՅԱՆ</w:t>
                      </w:r>
                    </w:p>
                    <w:p w14:paraId="5DD1D745" w14:textId="77777777" w:rsidR="00147C8B" w:rsidRDefault="00147C8B"/>
                    <w:p w14:paraId="563C53C6"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6366A75F" w14:textId="77777777" w:rsidR="00147C8B" w:rsidRPr="00A3353C" w:rsidRDefault="00147C8B" w:rsidP="00682390">
                      <w:pPr>
                        <w:jc w:val="right"/>
                        <w:rPr>
                          <w:sz w:val="74"/>
                          <w:szCs w:val="74"/>
                        </w:rPr>
                      </w:pPr>
                    </w:p>
                    <w:p w14:paraId="742FDC8C" w14:textId="77777777" w:rsidR="00147C8B" w:rsidRDefault="00147C8B" w:rsidP="00682390">
                      <w:pPr>
                        <w:jc w:val="right"/>
                      </w:pPr>
                    </w:p>
                    <w:p w14:paraId="6B2CDC6B" w14:textId="77777777" w:rsidR="00147C8B" w:rsidRPr="00056843" w:rsidRDefault="00147C8B" w:rsidP="00FD0C29">
                      <w:pPr>
                        <w:jc w:val="center"/>
                        <w:rPr>
                          <w:color w:val="FFFFFF" w:themeColor="background1"/>
                          <w:lang w:val="hy-AM"/>
                        </w:rPr>
                      </w:pPr>
                      <w:r w:rsidRPr="00682390">
                        <w:rPr>
                          <w:b/>
                          <w:color w:val="44546A" w:themeColor="text2"/>
                          <w:sz w:val="40"/>
                          <w:szCs w:val="40"/>
                        </w:rPr>
                        <w:t>ԲՅՈՒՋԵՏԱՅԻՆ ՈՒՂԵՐՁ</w:t>
                      </w:r>
                      <w:r w:rsidRPr="00682390">
                        <w:rPr>
                          <w:b/>
                          <w:color w:val="44546A" w:themeColor="text2"/>
                          <w:sz w:val="70"/>
                          <w:szCs w:val="70"/>
                        </w:rPr>
                        <w:t>2025 ԹՎԱԿԱՆԻ</w:t>
                      </w:r>
                      <w:r w:rsidRPr="00056843">
                        <w:rPr>
                          <w:color w:val="FFFFFF" w:themeColor="background1"/>
                          <w:lang w:val="hy-AM"/>
                        </w:rPr>
                        <w:t>ԹՅԱՆ ԿԱՌԱՎԱՐՈՒԹՅԱՆ</w:t>
                      </w:r>
                    </w:p>
                    <w:p w14:paraId="3310F4ED" w14:textId="77777777" w:rsidR="00147C8B" w:rsidRDefault="00147C8B"/>
                    <w:p w14:paraId="2C90EBE9" w14:textId="77777777" w:rsidR="00147C8B" w:rsidRPr="00056843" w:rsidRDefault="00147C8B" w:rsidP="00FD0C29">
                      <w:pPr>
                        <w:jc w:val="center"/>
                        <w:rPr>
                          <w:color w:val="FFFFFF" w:themeColor="background1"/>
                          <w:lang w:val="hy-AM"/>
                        </w:rPr>
                      </w:pPr>
                      <w:r w:rsidRPr="00682390">
                        <w:rPr>
                          <w:b/>
                          <w:color w:val="44546A" w:themeColor="text2"/>
                          <w:sz w:val="70"/>
                          <w:szCs w:val="70"/>
                        </w:rPr>
                        <w:t>2025 ԹՎԱԿԱՆԻ</w:t>
                      </w:r>
                      <w:r w:rsidRPr="00056843">
                        <w:rPr>
                          <w:color w:val="FFFFFF" w:themeColor="background1"/>
                          <w:lang w:val="hy-AM"/>
                        </w:rPr>
                        <w:t>ԹՅԱՆ ԿԱՌԱՎԱՐՈՒԹՅԱՆ</w:t>
                      </w:r>
                    </w:p>
                    <w:p w14:paraId="4EB70BE1" w14:textId="77777777" w:rsidR="00147C8B" w:rsidRDefault="00147C8B"/>
                    <w:p w14:paraId="5F4FA674" w14:textId="77777777" w:rsidR="00147C8B" w:rsidRPr="00056843" w:rsidRDefault="00147C8B" w:rsidP="00FD0C29">
                      <w:pPr>
                        <w:jc w:val="center"/>
                        <w:rPr>
                          <w:color w:val="FFFFFF" w:themeColor="background1"/>
                          <w:lang w:val="hy-AM"/>
                        </w:rPr>
                      </w:pPr>
                      <w:r w:rsidRPr="00682390">
                        <w:rPr>
                          <w:b/>
                          <w:color w:val="44546A" w:themeColor="text2"/>
                          <w:sz w:val="70"/>
                          <w:szCs w:val="70"/>
                        </w:rPr>
                        <w:t>2025 ԹՎԱԿԱՆԻ</w:t>
                      </w:r>
                      <w:r w:rsidRPr="00056843">
                        <w:rPr>
                          <w:color w:val="FFFFFF" w:themeColor="background1"/>
                          <w:lang w:val="hy-AM"/>
                        </w:rPr>
                        <w:t>ԹՅԱՆ ԿԱՌԱՎԱՐՈՒԹՅԱՆ</w:t>
                      </w:r>
                    </w:p>
                    <w:p w14:paraId="0DB1A9AD" w14:textId="77777777" w:rsidR="00147C8B" w:rsidRDefault="00147C8B"/>
                    <w:p w14:paraId="73C71D26" w14:textId="77777777" w:rsidR="00147C8B" w:rsidRPr="00056843" w:rsidRDefault="00147C8B" w:rsidP="00FD0C29">
                      <w:pPr>
                        <w:jc w:val="center"/>
                        <w:rPr>
                          <w:color w:val="FFFFFF" w:themeColor="background1"/>
                          <w:lang w:val="hy-AM"/>
                        </w:rPr>
                      </w:pPr>
                      <w:r w:rsidRPr="00682390">
                        <w:rPr>
                          <w:b/>
                          <w:color w:val="44546A" w:themeColor="text2"/>
                          <w:sz w:val="70"/>
                          <w:szCs w:val="70"/>
                        </w:rPr>
                        <w:t>2025 ԹՎԱԿԱՆԻ</w:t>
                      </w:r>
                      <w:r w:rsidRPr="00056843">
                        <w:rPr>
                          <w:color w:val="FFFFFF" w:themeColor="background1"/>
                          <w:lang w:val="hy-AM"/>
                        </w:rPr>
                        <w:t>ԹՅԱՆ ԿԱՌԱՎԱՐՈՒԹՅԱՆ</w:t>
                      </w:r>
                    </w:p>
                    <w:p w14:paraId="38B629B3" w14:textId="77777777" w:rsidR="00147C8B" w:rsidRDefault="00147C8B"/>
                    <w:p w14:paraId="3F6A8B46"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ՈՒՂԵՐՁ</w:t>
                      </w:r>
                      <w:r w:rsidRPr="00812F22">
                        <w:rPr>
                          <w:b/>
                          <w:color w:val="44546A" w:themeColor="text2"/>
                          <w:sz w:val="36"/>
                          <w:szCs w:val="36"/>
                          <w:lang w:val="hy-AM"/>
                        </w:rPr>
                        <w:t>-ԲԱՑԱՏՐԱԳԻՐ</w:t>
                      </w:r>
                    </w:p>
                    <w:p w14:paraId="756DCEB3" w14:textId="77777777" w:rsidR="00147C8B" w:rsidRDefault="00147C8B"/>
                    <w:p w14:paraId="109F93CE" w14:textId="77777777" w:rsidR="00147C8B" w:rsidRDefault="00147C8B"/>
                    <w:p w14:paraId="54F5F32B"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7A7E8E56" w14:textId="77777777" w:rsidR="00147C8B" w:rsidRPr="00A3353C" w:rsidRDefault="00147C8B" w:rsidP="00682390">
                      <w:pPr>
                        <w:jc w:val="right"/>
                        <w:rPr>
                          <w:sz w:val="74"/>
                          <w:szCs w:val="74"/>
                        </w:rPr>
                      </w:pPr>
                    </w:p>
                    <w:p w14:paraId="642771A6" w14:textId="77777777" w:rsidR="00147C8B" w:rsidRDefault="00147C8B" w:rsidP="00682390">
                      <w:pPr>
                        <w:jc w:val="right"/>
                      </w:pPr>
                    </w:p>
                    <w:p w14:paraId="583FE99C"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 xml:space="preserve">2025 ԹՎԱԿԱՆԻ </w:t>
                      </w:r>
                    </w:p>
                    <w:p w14:paraId="26F1ECA0" w14:textId="77777777" w:rsidR="00147C8B" w:rsidRPr="00A3353C" w:rsidRDefault="00147C8B" w:rsidP="00682390">
                      <w:pPr>
                        <w:jc w:val="right"/>
                        <w:rPr>
                          <w:sz w:val="74"/>
                          <w:szCs w:val="74"/>
                        </w:rPr>
                      </w:pPr>
                    </w:p>
                    <w:p w14:paraId="2A0F7FA2" w14:textId="77777777" w:rsidR="00147C8B" w:rsidRDefault="00147C8B"/>
                    <w:p w14:paraId="2FA02499"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ՈՒՂԵՐՁ</w:t>
                      </w:r>
                      <w:r w:rsidRPr="00812F22">
                        <w:rPr>
                          <w:b/>
                          <w:color w:val="44546A" w:themeColor="text2"/>
                          <w:sz w:val="36"/>
                          <w:szCs w:val="36"/>
                          <w:lang w:val="hy-AM"/>
                        </w:rPr>
                        <w:t>-ԲԱՑԱՏՐԱԳԻՐ</w:t>
                      </w: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2DA8C4A5" w14:textId="77777777" w:rsidR="00147C8B" w:rsidRPr="00A3353C" w:rsidRDefault="00147C8B" w:rsidP="00682390">
                      <w:pPr>
                        <w:jc w:val="right"/>
                        <w:rPr>
                          <w:sz w:val="74"/>
                          <w:szCs w:val="74"/>
                        </w:rPr>
                      </w:pPr>
                    </w:p>
                    <w:p w14:paraId="3E8CB739" w14:textId="77777777" w:rsidR="00147C8B" w:rsidRDefault="00147C8B" w:rsidP="00682390">
                      <w:pPr>
                        <w:jc w:val="right"/>
                      </w:pPr>
                    </w:p>
                    <w:p w14:paraId="375DD1E9" w14:textId="77777777" w:rsidR="00147C8B" w:rsidRPr="00812F22" w:rsidRDefault="00147C8B" w:rsidP="00682390">
                      <w:pPr>
                        <w:pStyle w:val="BodyText1"/>
                        <w:jc w:val="right"/>
                        <w:rPr>
                          <w:b/>
                          <w:color w:val="44546A" w:themeColor="text2"/>
                          <w:sz w:val="36"/>
                          <w:szCs w:val="36"/>
                        </w:rPr>
                      </w:pPr>
                      <w:r w:rsidRPr="00682390">
                        <w:rPr>
                          <w:b/>
                          <w:color w:val="44546A" w:themeColor="text2"/>
                          <w:sz w:val="40"/>
                          <w:szCs w:val="40"/>
                        </w:rPr>
                        <w:t>ԲՅՈՒՋԵՏԱՅԻՆ ՈՒՂԵՐՁ</w:t>
                      </w:r>
                      <w:r w:rsidRPr="00682390">
                        <w:rPr>
                          <w:b/>
                          <w:color w:val="44546A" w:themeColor="text2"/>
                          <w:sz w:val="70"/>
                          <w:szCs w:val="70"/>
                        </w:rPr>
                        <w:t>2025 ԹՎԱԿԱՆԻ</w:t>
                      </w:r>
                      <w:r w:rsidRPr="00812F22">
                        <w:rPr>
                          <w:b/>
                          <w:color w:val="44546A" w:themeColor="text2"/>
                          <w:sz w:val="36"/>
                          <w:szCs w:val="36"/>
                        </w:rPr>
                        <w:t>ՈՒՂԵՐՁ</w:t>
                      </w:r>
                      <w:r w:rsidRPr="00812F22">
                        <w:rPr>
                          <w:b/>
                          <w:color w:val="44546A" w:themeColor="text2"/>
                          <w:sz w:val="36"/>
                          <w:szCs w:val="36"/>
                          <w:lang w:val="hy-AM"/>
                        </w:rPr>
                        <w:t>-ԲԱՑԱՏՐԱԳԻՐ</w:t>
                      </w:r>
                    </w:p>
                    <w:p w14:paraId="254AA712" w14:textId="77777777" w:rsidR="00147C8B" w:rsidRDefault="00147C8B"/>
                    <w:p w14:paraId="3BF825B2" w14:textId="77777777" w:rsidR="00147C8B" w:rsidRDefault="00147C8B"/>
                    <w:p w14:paraId="39CAF46F" w14:textId="77777777" w:rsidR="00147C8B" w:rsidRPr="00812F22" w:rsidRDefault="00147C8B" w:rsidP="00682390">
                      <w:pPr>
                        <w:pStyle w:val="BodyText1"/>
                        <w:jc w:val="right"/>
                        <w:rPr>
                          <w:b/>
                          <w:color w:val="44546A" w:themeColor="text2"/>
                          <w:sz w:val="36"/>
                          <w:szCs w:val="36"/>
                        </w:rPr>
                      </w:pPr>
                      <w:r>
                        <w:rPr>
                          <w:b/>
                          <w:color w:val="44546A" w:themeColor="text2"/>
                          <w:sz w:val="36"/>
                          <w:szCs w:val="36"/>
                        </w:rPr>
                        <w:t>2026</w:t>
                      </w:r>
                      <w:r w:rsidRPr="00812F22">
                        <w:rPr>
                          <w:b/>
                          <w:color w:val="44546A" w:themeColor="text2"/>
                          <w:sz w:val="36"/>
                          <w:szCs w:val="36"/>
                        </w:rPr>
                        <w:t xml:space="preserve">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3A1006D7" w14:textId="77777777" w:rsidR="00147C8B" w:rsidRPr="00A3353C" w:rsidRDefault="00147C8B" w:rsidP="00682390">
                      <w:pPr>
                        <w:jc w:val="right"/>
                        <w:rPr>
                          <w:sz w:val="74"/>
                          <w:szCs w:val="74"/>
                        </w:rPr>
                      </w:pPr>
                    </w:p>
                    <w:p w14:paraId="13E328A5" w14:textId="77777777" w:rsidR="00147C8B" w:rsidRDefault="00147C8B" w:rsidP="00682390">
                      <w:pPr>
                        <w:jc w:val="right"/>
                      </w:pPr>
                    </w:p>
                    <w:p w14:paraId="0C9B00CF"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 xml:space="preserve">2025 ԹՎԱԿԱՆԻ </w:t>
                      </w:r>
                    </w:p>
                    <w:p w14:paraId="317AC7E3" w14:textId="77777777" w:rsidR="00147C8B" w:rsidRPr="00A3353C" w:rsidRDefault="00147C8B" w:rsidP="00682390">
                      <w:pPr>
                        <w:jc w:val="right"/>
                        <w:rPr>
                          <w:sz w:val="74"/>
                          <w:szCs w:val="74"/>
                        </w:rPr>
                      </w:pPr>
                    </w:p>
                    <w:p w14:paraId="4E531C44" w14:textId="77777777" w:rsidR="00147C8B" w:rsidRDefault="00147C8B"/>
                    <w:p w14:paraId="65703D82"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ՈՒՂԵՐՁ</w:t>
                      </w:r>
                      <w:r w:rsidRPr="00812F22">
                        <w:rPr>
                          <w:b/>
                          <w:color w:val="44546A" w:themeColor="text2"/>
                          <w:sz w:val="36"/>
                          <w:szCs w:val="36"/>
                          <w:lang w:val="hy-AM"/>
                        </w:rPr>
                        <w:t>-ԲԱՑԱՏՐԱԳԻՐ</w:t>
                      </w: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1DF49825" w14:textId="77777777" w:rsidR="00147C8B" w:rsidRPr="00A3353C" w:rsidRDefault="00147C8B" w:rsidP="00682390">
                      <w:pPr>
                        <w:jc w:val="right"/>
                        <w:rPr>
                          <w:sz w:val="74"/>
                          <w:szCs w:val="74"/>
                        </w:rPr>
                      </w:pPr>
                    </w:p>
                    <w:p w14:paraId="4B7D76D8" w14:textId="77777777" w:rsidR="00147C8B" w:rsidRDefault="00147C8B" w:rsidP="00682390">
                      <w:pPr>
                        <w:jc w:val="right"/>
                      </w:pPr>
                    </w:p>
                    <w:p w14:paraId="2745072D"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 xml:space="preserve">2025 ԹՎԱԿԱՆԻ </w:t>
                      </w:r>
                    </w:p>
                    <w:p w14:paraId="1E31007F" w14:textId="77777777" w:rsidR="00147C8B" w:rsidRPr="00A3353C" w:rsidRDefault="00147C8B" w:rsidP="00682390">
                      <w:pPr>
                        <w:jc w:val="right"/>
                        <w:rPr>
                          <w:sz w:val="74"/>
                          <w:szCs w:val="74"/>
                        </w:rPr>
                      </w:pPr>
                    </w:p>
                    <w:p w14:paraId="58ECD5FC" w14:textId="77777777" w:rsidR="00147C8B" w:rsidRDefault="00147C8B"/>
                    <w:p w14:paraId="10DA1A30"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1A2B5DA9" w14:textId="77777777" w:rsidR="00147C8B" w:rsidRPr="00A3353C" w:rsidRDefault="00147C8B" w:rsidP="00682390">
                      <w:pPr>
                        <w:jc w:val="right"/>
                        <w:rPr>
                          <w:sz w:val="74"/>
                          <w:szCs w:val="74"/>
                        </w:rPr>
                      </w:pPr>
                    </w:p>
                    <w:p w14:paraId="0CB4D50B" w14:textId="77777777" w:rsidR="00147C8B" w:rsidRDefault="00147C8B" w:rsidP="00682390">
                      <w:pPr>
                        <w:jc w:val="right"/>
                      </w:pPr>
                    </w:p>
                    <w:p w14:paraId="105DC6C3"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 xml:space="preserve">2025 ԹՎԱԿԱՆԻ </w:t>
                      </w:r>
                    </w:p>
                    <w:p w14:paraId="789EF06B" w14:textId="77777777" w:rsidR="00147C8B" w:rsidRPr="00A3353C" w:rsidRDefault="00147C8B" w:rsidP="00682390">
                      <w:pPr>
                        <w:jc w:val="right"/>
                        <w:rPr>
                          <w:sz w:val="74"/>
                          <w:szCs w:val="74"/>
                        </w:rPr>
                      </w:pPr>
                    </w:p>
                    <w:p w14:paraId="047A20F3" w14:textId="77777777" w:rsidR="00147C8B" w:rsidRDefault="00147C8B"/>
                    <w:p w14:paraId="5C4EC94A"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ՈՒՂԵՐՁ</w:t>
                      </w:r>
                      <w:r w:rsidRPr="00812F22">
                        <w:rPr>
                          <w:b/>
                          <w:color w:val="44546A" w:themeColor="text2"/>
                          <w:sz w:val="36"/>
                          <w:szCs w:val="36"/>
                          <w:lang w:val="hy-AM"/>
                        </w:rPr>
                        <w:t>-ԲԱՑԱՏՐԱԳԻՐ</w:t>
                      </w: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558D12DE" w14:textId="77777777" w:rsidR="00147C8B" w:rsidRPr="00A3353C" w:rsidRDefault="00147C8B" w:rsidP="00682390">
                      <w:pPr>
                        <w:jc w:val="right"/>
                        <w:rPr>
                          <w:sz w:val="74"/>
                          <w:szCs w:val="74"/>
                        </w:rPr>
                      </w:pPr>
                    </w:p>
                    <w:p w14:paraId="2019B993" w14:textId="77777777" w:rsidR="00147C8B" w:rsidRDefault="00147C8B" w:rsidP="00682390">
                      <w:pPr>
                        <w:jc w:val="right"/>
                      </w:pPr>
                    </w:p>
                    <w:p w14:paraId="15F0F799" w14:textId="77777777" w:rsidR="00147C8B" w:rsidRPr="00812F22" w:rsidRDefault="00147C8B" w:rsidP="00682390">
                      <w:pPr>
                        <w:pStyle w:val="BodyText1"/>
                        <w:jc w:val="right"/>
                        <w:rPr>
                          <w:b/>
                          <w:color w:val="44546A" w:themeColor="text2"/>
                          <w:sz w:val="36"/>
                          <w:szCs w:val="36"/>
                        </w:rPr>
                      </w:pPr>
                      <w:r w:rsidRPr="00682390">
                        <w:rPr>
                          <w:b/>
                          <w:color w:val="44546A" w:themeColor="text2"/>
                          <w:sz w:val="40"/>
                          <w:szCs w:val="40"/>
                        </w:rPr>
                        <w:t>ԲՅՈՒՋԵՏԱՅԻՆ ՈՒՂԵՐՁ</w:t>
                      </w:r>
                      <w:r w:rsidRPr="00682390">
                        <w:rPr>
                          <w:b/>
                          <w:color w:val="44546A" w:themeColor="text2"/>
                          <w:sz w:val="70"/>
                          <w:szCs w:val="70"/>
                        </w:rPr>
                        <w:t>2025 ԹՎԱԿԱՆԻ</w:t>
                      </w:r>
                      <w:r w:rsidRPr="00812F22">
                        <w:rPr>
                          <w:b/>
                          <w:color w:val="44546A" w:themeColor="text2"/>
                          <w:sz w:val="36"/>
                          <w:szCs w:val="36"/>
                        </w:rPr>
                        <w:t>ՈՒՂԵՐՁ</w:t>
                      </w:r>
                      <w:r w:rsidRPr="00812F22">
                        <w:rPr>
                          <w:b/>
                          <w:color w:val="44546A" w:themeColor="text2"/>
                          <w:sz w:val="36"/>
                          <w:szCs w:val="36"/>
                          <w:lang w:val="hy-AM"/>
                        </w:rPr>
                        <w:t>-ԲԱՑԱՏՐԱԳԻՐ</w:t>
                      </w:r>
                    </w:p>
                    <w:p w14:paraId="58576F17" w14:textId="77777777" w:rsidR="00147C8B" w:rsidRDefault="00147C8B"/>
                    <w:p w14:paraId="2D4D9C46" w14:textId="77777777" w:rsidR="00147C8B" w:rsidRDefault="00147C8B"/>
                    <w:p w14:paraId="1570F7E2"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29E25366" w14:textId="77777777" w:rsidR="00147C8B" w:rsidRPr="00A3353C" w:rsidRDefault="00147C8B" w:rsidP="00682390">
                      <w:pPr>
                        <w:jc w:val="right"/>
                        <w:rPr>
                          <w:sz w:val="74"/>
                          <w:szCs w:val="74"/>
                        </w:rPr>
                      </w:pPr>
                    </w:p>
                    <w:p w14:paraId="6AA62FAB" w14:textId="77777777" w:rsidR="00147C8B" w:rsidRDefault="00147C8B" w:rsidP="00682390">
                      <w:pPr>
                        <w:jc w:val="right"/>
                      </w:pPr>
                    </w:p>
                    <w:p w14:paraId="047F9522"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 xml:space="preserve">2025 ԹՎԱԿԱՆԻ </w:t>
                      </w:r>
                    </w:p>
                    <w:p w14:paraId="2D88DCF2" w14:textId="77777777" w:rsidR="00147C8B" w:rsidRPr="00A3353C" w:rsidRDefault="00147C8B" w:rsidP="00682390">
                      <w:pPr>
                        <w:jc w:val="right"/>
                        <w:rPr>
                          <w:sz w:val="74"/>
                          <w:szCs w:val="74"/>
                        </w:rPr>
                      </w:pPr>
                    </w:p>
                    <w:p w14:paraId="7690EE1A" w14:textId="77777777" w:rsidR="00147C8B" w:rsidRDefault="00147C8B"/>
                    <w:p w14:paraId="310B5282"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ՈՒՂԵՐՁ</w:t>
                      </w:r>
                      <w:r w:rsidRPr="00812F22">
                        <w:rPr>
                          <w:b/>
                          <w:color w:val="44546A" w:themeColor="text2"/>
                          <w:sz w:val="36"/>
                          <w:szCs w:val="36"/>
                          <w:lang w:val="hy-AM"/>
                        </w:rPr>
                        <w:t>-ԲԱՑԱՏՐԱԳԻՐ</w:t>
                      </w: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1A6910D5" w14:textId="77777777" w:rsidR="00147C8B" w:rsidRPr="00A3353C" w:rsidRDefault="00147C8B" w:rsidP="00682390">
                      <w:pPr>
                        <w:jc w:val="right"/>
                        <w:rPr>
                          <w:sz w:val="74"/>
                          <w:szCs w:val="74"/>
                        </w:rPr>
                      </w:pPr>
                    </w:p>
                    <w:p w14:paraId="4BB7796B" w14:textId="77777777" w:rsidR="00147C8B" w:rsidRDefault="00147C8B" w:rsidP="00682390">
                      <w:pPr>
                        <w:jc w:val="right"/>
                      </w:pPr>
                    </w:p>
                    <w:p w14:paraId="58B9E6FF" w14:textId="77777777" w:rsidR="00147C8B" w:rsidRPr="00812F22" w:rsidRDefault="00147C8B" w:rsidP="00682390">
                      <w:pPr>
                        <w:pStyle w:val="BodyText1"/>
                        <w:jc w:val="right"/>
                        <w:rPr>
                          <w:b/>
                          <w:color w:val="44546A" w:themeColor="text2"/>
                          <w:sz w:val="36"/>
                          <w:szCs w:val="36"/>
                        </w:rPr>
                      </w:pPr>
                      <w:r w:rsidRPr="00682390">
                        <w:rPr>
                          <w:b/>
                          <w:color w:val="44546A" w:themeColor="text2"/>
                          <w:sz w:val="40"/>
                          <w:szCs w:val="40"/>
                        </w:rPr>
                        <w:t>ԲՅՈՒՋԵՏԱՅԻՆ ՈՒՂԵՐՁ</w:t>
                      </w:r>
                      <w:r w:rsidRPr="00682390">
                        <w:rPr>
                          <w:b/>
                          <w:color w:val="44546A" w:themeColor="text2"/>
                          <w:sz w:val="70"/>
                          <w:szCs w:val="70"/>
                        </w:rPr>
                        <w:t>2025 ԹՎԱԿԱՆԻ</w:t>
                      </w:r>
                      <w:r w:rsidRPr="00812F22">
                        <w:rPr>
                          <w:b/>
                          <w:color w:val="44546A" w:themeColor="text2"/>
                          <w:sz w:val="36"/>
                          <w:szCs w:val="36"/>
                        </w:rPr>
                        <w:t>ՈՒՂԵՐՁ</w:t>
                      </w:r>
                      <w:r w:rsidRPr="00812F22">
                        <w:rPr>
                          <w:b/>
                          <w:color w:val="44546A" w:themeColor="text2"/>
                          <w:sz w:val="36"/>
                          <w:szCs w:val="36"/>
                          <w:lang w:val="hy-AM"/>
                        </w:rPr>
                        <w:t>-ԲԱՑԱՏՐԱԳԻՐ</w:t>
                      </w:r>
                    </w:p>
                    <w:p w14:paraId="6EDF9867" w14:textId="77777777" w:rsidR="00147C8B" w:rsidRDefault="00147C8B"/>
                    <w:p w14:paraId="0CFB8B00" w14:textId="77777777" w:rsidR="00147C8B" w:rsidRPr="00056843" w:rsidRDefault="00147C8B" w:rsidP="00FD0C29">
                      <w:pPr>
                        <w:jc w:val="center"/>
                        <w:rPr>
                          <w:color w:val="FFFFFF" w:themeColor="background1"/>
                          <w:lang w:val="hy-AM"/>
                        </w:rPr>
                      </w:pPr>
                      <w:r w:rsidRPr="00056843">
                        <w:rPr>
                          <w:color w:val="FFFFFF" w:themeColor="background1"/>
                          <w:lang w:val="hy-AM"/>
                        </w:rPr>
                        <w:t>ԹՅԱՆ ԿԱՌԱՎԱՐՈՒԹՅԱՆ</w:t>
                      </w:r>
                    </w:p>
                    <w:p w14:paraId="2910278A" w14:textId="77777777" w:rsidR="00147C8B" w:rsidRDefault="00147C8B"/>
                    <w:p w14:paraId="6BC996DF" w14:textId="77777777" w:rsidR="00147C8B" w:rsidRPr="00056843" w:rsidRDefault="00147C8B" w:rsidP="00FD0C29">
                      <w:pPr>
                        <w:jc w:val="center"/>
                        <w:rPr>
                          <w:color w:val="FFFFFF" w:themeColor="background1"/>
                          <w:lang w:val="hy-AM"/>
                        </w:rPr>
                      </w:pPr>
                      <w:r w:rsidRPr="00682390">
                        <w:rPr>
                          <w:b/>
                          <w:color w:val="44546A" w:themeColor="text2"/>
                          <w:sz w:val="70"/>
                          <w:szCs w:val="70"/>
                        </w:rPr>
                        <w:t>2025 ԹՎԱԿԱՆԻ</w:t>
                      </w:r>
                      <w:r w:rsidRPr="00056843">
                        <w:rPr>
                          <w:color w:val="FFFFFF" w:themeColor="background1"/>
                          <w:lang w:val="hy-AM"/>
                        </w:rPr>
                        <w:t>ԹՅԱՆ ԿԱՌԱՎԱՐՈՒԹՅԱՆ</w:t>
                      </w:r>
                    </w:p>
                    <w:p w14:paraId="2FADDCA1" w14:textId="77777777" w:rsidR="00147C8B" w:rsidRDefault="00147C8B"/>
                    <w:p w14:paraId="3BF5CA74" w14:textId="77777777" w:rsidR="00147C8B" w:rsidRPr="00056843" w:rsidRDefault="00147C8B" w:rsidP="00FD0C29">
                      <w:pPr>
                        <w:jc w:val="center"/>
                        <w:rPr>
                          <w:color w:val="FFFFFF" w:themeColor="background1"/>
                          <w:lang w:val="hy-AM"/>
                        </w:rPr>
                      </w:pPr>
                      <w:r w:rsidRPr="00682390">
                        <w:rPr>
                          <w:b/>
                          <w:color w:val="44546A" w:themeColor="text2"/>
                          <w:sz w:val="70"/>
                          <w:szCs w:val="70"/>
                        </w:rPr>
                        <w:t>2025 ԹՎԱԿԱՆԻ</w:t>
                      </w:r>
                      <w:r w:rsidRPr="00056843">
                        <w:rPr>
                          <w:color w:val="FFFFFF" w:themeColor="background1"/>
                          <w:lang w:val="hy-AM"/>
                        </w:rPr>
                        <w:t>ԹՅԱՆ ԿԱՌԱՎԱՐՈՒԹՅԱՆ</w:t>
                      </w:r>
                    </w:p>
                    <w:p w14:paraId="5F64A64C" w14:textId="77777777" w:rsidR="00147C8B" w:rsidRDefault="00147C8B"/>
                    <w:p w14:paraId="334C8980" w14:textId="77777777" w:rsidR="00147C8B" w:rsidRPr="00056843" w:rsidRDefault="00147C8B" w:rsidP="00FD0C29">
                      <w:pPr>
                        <w:jc w:val="center"/>
                        <w:rPr>
                          <w:color w:val="FFFFFF" w:themeColor="background1"/>
                          <w:lang w:val="hy-AM"/>
                        </w:rPr>
                      </w:pPr>
                      <w:r w:rsidRPr="00682390">
                        <w:rPr>
                          <w:b/>
                          <w:color w:val="44546A" w:themeColor="text2"/>
                          <w:sz w:val="70"/>
                          <w:szCs w:val="70"/>
                        </w:rPr>
                        <w:t>2025 ԹՎԱԿԱՆԻ</w:t>
                      </w:r>
                      <w:r w:rsidRPr="00056843">
                        <w:rPr>
                          <w:color w:val="FFFFFF" w:themeColor="background1"/>
                          <w:lang w:val="hy-AM"/>
                        </w:rPr>
                        <w:t>ԹՅԱՆ ԿԱՌԱՎԱՐՈՒԹՅԱՆ</w:t>
                      </w:r>
                    </w:p>
                    <w:p w14:paraId="1A43CFD0" w14:textId="77777777" w:rsidR="00147C8B" w:rsidRDefault="00147C8B"/>
                    <w:p w14:paraId="36883003"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21A6A794" w14:textId="77777777" w:rsidR="00147C8B" w:rsidRPr="00A3353C" w:rsidRDefault="00147C8B" w:rsidP="00682390">
                      <w:pPr>
                        <w:jc w:val="right"/>
                        <w:rPr>
                          <w:sz w:val="74"/>
                          <w:szCs w:val="74"/>
                        </w:rPr>
                      </w:pPr>
                    </w:p>
                    <w:p w14:paraId="11778CFE" w14:textId="77777777" w:rsidR="00147C8B" w:rsidRDefault="00147C8B" w:rsidP="00682390">
                      <w:pPr>
                        <w:jc w:val="right"/>
                      </w:pPr>
                    </w:p>
                    <w:p w14:paraId="3268B6E7" w14:textId="77777777" w:rsidR="00147C8B" w:rsidRPr="00056843" w:rsidRDefault="00147C8B" w:rsidP="00FD0C29">
                      <w:pPr>
                        <w:jc w:val="center"/>
                        <w:rPr>
                          <w:color w:val="FFFFFF" w:themeColor="background1"/>
                          <w:lang w:val="hy-AM"/>
                        </w:rPr>
                      </w:pPr>
                      <w:r w:rsidRPr="00682390">
                        <w:rPr>
                          <w:b/>
                          <w:color w:val="44546A" w:themeColor="text2"/>
                          <w:sz w:val="40"/>
                          <w:szCs w:val="40"/>
                        </w:rPr>
                        <w:t>ԲՅՈՒՋԵՏԱՅԻՆ ՈՒՂԵՐՁ</w:t>
                      </w:r>
                      <w:r w:rsidRPr="00682390">
                        <w:rPr>
                          <w:b/>
                          <w:color w:val="44546A" w:themeColor="text2"/>
                          <w:sz w:val="70"/>
                          <w:szCs w:val="70"/>
                        </w:rPr>
                        <w:t>2025 ԹՎԱԿԱՆԻ</w:t>
                      </w:r>
                      <w:r w:rsidRPr="00056843">
                        <w:rPr>
                          <w:color w:val="FFFFFF" w:themeColor="background1"/>
                          <w:lang w:val="hy-AM"/>
                        </w:rPr>
                        <w:t>ԹՅԱՆ ԿԱՌԱՎԱՐՈՒԹՅԱՆ</w:t>
                      </w:r>
                    </w:p>
                    <w:p w14:paraId="763D9275" w14:textId="77777777" w:rsidR="00147C8B" w:rsidRDefault="00147C8B"/>
                    <w:p w14:paraId="33288AD7" w14:textId="77777777" w:rsidR="00147C8B" w:rsidRPr="00056843" w:rsidRDefault="00147C8B" w:rsidP="00FD0C29">
                      <w:pPr>
                        <w:jc w:val="center"/>
                        <w:rPr>
                          <w:color w:val="FFFFFF" w:themeColor="background1"/>
                          <w:lang w:val="hy-AM"/>
                        </w:rPr>
                      </w:pPr>
                      <w:r w:rsidRPr="00682390">
                        <w:rPr>
                          <w:b/>
                          <w:color w:val="44546A" w:themeColor="text2"/>
                          <w:sz w:val="70"/>
                          <w:szCs w:val="70"/>
                        </w:rPr>
                        <w:t>2025 ԹՎԱԿԱՆԻ</w:t>
                      </w:r>
                      <w:r w:rsidRPr="00056843">
                        <w:rPr>
                          <w:color w:val="FFFFFF" w:themeColor="background1"/>
                          <w:lang w:val="hy-AM"/>
                        </w:rPr>
                        <w:t>ԹՅԱՆ ԿԱՌԱՎԱՐՈՒԹՅԱՆ</w:t>
                      </w:r>
                    </w:p>
                    <w:p w14:paraId="35632928" w14:textId="77777777" w:rsidR="00147C8B" w:rsidRDefault="00147C8B"/>
                    <w:p w14:paraId="382EAF36" w14:textId="77777777" w:rsidR="00147C8B" w:rsidRPr="00056843" w:rsidRDefault="00147C8B" w:rsidP="00FD0C29">
                      <w:pPr>
                        <w:jc w:val="center"/>
                        <w:rPr>
                          <w:color w:val="FFFFFF" w:themeColor="background1"/>
                          <w:lang w:val="hy-AM"/>
                        </w:rPr>
                      </w:pPr>
                      <w:r w:rsidRPr="00682390">
                        <w:rPr>
                          <w:b/>
                          <w:color w:val="44546A" w:themeColor="text2"/>
                          <w:sz w:val="70"/>
                          <w:szCs w:val="70"/>
                        </w:rPr>
                        <w:t>2025 ԹՎԱԿԱՆԻ</w:t>
                      </w:r>
                      <w:r w:rsidRPr="00056843">
                        <w:rPr>
                          <w:color w:val="FFFFFF" w:themeColor="background1"/>
                          <w:lang w:val="hy-AM"/>
                        </w:rPr>
                        <w:t>ԹՅԱՆ ԿԱՌԱՎԱՐՈՒԹՅԱՆ</w:t>
                      </w:r>
                    </w:p>
                    <w:p w14:paraId="72046FA0" w14:textId="77777777" w:rsidR="00147C8B" w:rsidRDefault="00147C8B"/>
                    <w:p w14:paraId="2F3B3221" w14:textId="77777777" w:rsidR="00147C8B" w:rsidRPr="00056843" w:rsidRDefault="00147C8B" w:rsidP="00FD0C29">
                      <w:pPr>
                        <w:jc w:val="center"/>
                        <w:rPr>
                          <w:color w:val="FFFFFF" w:themeColor="background1"/>
                          <w:lang w:val="hy-AM"/>
                        </w:rPr>
                      </w:pPr>
                      <w:r w:rsidRPr="00682390">
                        <w:rPr>
                          <w:b/>
                          <w:color w:val="44546A" w:themeColor="text2"/>
                          <w:sz w:val="70"/>
                          <w:szCs w:val="70"/>
                        </w:rPr>
                        <w:t>2025 ԹՎԱԿԱՆԻ</w:t>
                      </w:r>
                      <w:r w:rsidRPr="00056843">
                        <w:rPr>
                          <w:color w:val="FFFFFF" w:themeColor="background1"/>
                          <w:lang w:val="hy-AM"/>
                        </w:rPr>
                        <w:t>ԹՅԱՆ ԿԱՌԱՎԱՐՈՒԹՅԱՆ</w:t>
                      </w:r>
                    </w:p>
                    <w:p w14:paraId="0CFEF023" w14:textId="77777777" w:rsidR="00147C8B" w:rsidRDefault="00147C8B"/>
                    <w:p w14:paraId="2B4F2185"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ՈՒՂԵՐՁ</w:t>
                      </w:r>
                      <w:r w:rsidRPr="00812F22">
                        <w:rPr>
                          <w:b/>
                          <w:color w:val="44546A" w:themeColor="text2"/>
                          <w:sz w:val="36"/>
                          <w:szCs w:val="36"/>
                          <w:lang w:val="hy-AM"/>
                        </w:rPr>
                        <w:t>-ԲԱՑԱՏՐԱԳԻՐ</w:t>
                      </w:r>
                    </w:p>
                    <w:p w14:paraId="15C5A4A4" w14:textId="77777777" w:rsidR="00147C8B" w:rsidRDefault="00147C8B"/>
                    <w:p w14:paraId="5A49D954" w14:textId="77777777" w:rsidR="00147C8B" w:rsidRPr="00056843" w:rsidRDefault="00147C8B" w:rsidP="00FD0C29">
                      <w:pPr>
                        <w:jc w:val="center"/>
                        <w:rPr>
                          <w:color w:val="FFFFFF" w:themeColor="background1"/>
                          <w:lang w:val="hy-AM"/>
                        </w:rPr>
                      </w:pPr>
                      <w:r w:rsidRPr="00056843">
                        <w:rPr>
                          <w:color w:val="FFFFFF" w:themeColor="background1"/>
                          <w:lang w:val="hy-AM"/>
                        </w:rPr>
                        <w:t>ԹՅԱՆ ԿԱՌԱՎԱՐՈՒԹՅԱՆ</w:t>
                      </w:r>
                    </w:p>
                    <w:p w14:paraId="5E235CBB" w14:textId="77777777" w:rsidR="00147C8B" w:rsidRDefault="00147C8B"/>
                    <w:p w14:paraId="0DA95D62" w14:textId="77777777" w:rsidR="00147C8B" w:rsidRPr="00056843" w:rsidRDefault="00147C8B" w:rsidP="00FD0C29">
                      <w:pPr>
                        <w:jc w:val="center"/>
                        <w:rPr>
                          <w:color w:val="FFFFFF" w:themeColor="background1"/>
                          <w:lang w:val="hy-AM"/>
                        </w:rPr>
                      </w:pPr>
                      <w:r w:rsidRPr="00682390">
                        <w:rPr>
                          <w:b/>
                          <w:color w:val="44546A" w:themeColor="text2"/>
                          <w:sz w:val="70"/>
                          <w:szCs w:val="70"/>
                        </w:rPr>
                        <w:t>2025 ԹՎԱԿԱՆԻ</w:t>
                      </w:r>
                      <w:r w:rsidRPr="00056843">
                        <w:rPr>
                          <w:color w:val="FFFFFF" w:themeColor="background1"/>
                          <w:lang w:val="hy-AM"/>
                        </w:rPr>
                        <w:t>ԹՅԱՆ ԿԱՌԱՎԱՐՈՒԹՅԱՆ</w:t>
                      </w:r>
                    </w:p>
                    <w:p w14:paraId="35703E36" w14:textId="77777777" w:rsidR="00147C8B" w:rsidRDefault="00147C8B"/>
                    <w:p w14:paraId="2E0F6DA4" w14:textId="77777777" w:rsidR="00147C8B" w:rsidRPr="00056843" w:rsidRDefault="00147C8B" w:rsidP="00FD0C29">
                      <w:pPr>
                        <w:jc w:val="center"/>
                        <w:rPr>
                          <w:color w:val="FFFFFF" w:themeColor="background1"/>
                          <w:lang w:val="hy-AM"/>
                        </w:rPr>
                      </w:pPr>
                      <w:r w:rsidRPr="00682390">
                        <w:rPr>
                          <w:b/>
                          <w:color w:val="44546A" w:themeColor="text2"/>
                          <w:sz w:val="70"/>
                          <w:szCs w:val="70"/>
                        </w:rPr>
                        <w:t>2025 ԹՎԱԿԱՆԻ</w:t>
                      </w:r>
                      <w:r w:rsidRPr="00056843">
                        <w:rPr>
                          <w:color w:val="FFFFFF" w:themeColor="background1"/>
                          <w:lang w:val="hy-AM"/>
                        </w:rPr>
                        <w:t>ԹՅԱՆ ԿԱՌԱՎԱՐՈՒԹՅԱՆ</w:t>
                      </w:r>
                    </w:p>
                    <w:p w14:paraId="20EE061F" w14:textId="77777777" w:rsidR="00147C8B" w:rsidRDefault="00147C8B"/>
                    <w:p w14:paraId="666D890F" w14:textId="77777777" w:rsidR="00147C8B" w:rsidRPr="00056843" w:rsidRDefault="00147C8B" w:rsidP="00FD0C29">
                      <w:pPr>
                        <w:jc w:val="center"/>
                        <w:rPr>
                          <w:color w:val="FFFFFF" w:themeColor="background1"/>
                          <w:lang w:val="hy-AM"/>
                        </w:rPr>
                      </w:pPr>
                      <w:r w:rsidRPr="00682390">
                        <w:rPr>
                          <w:b/>
                          <w:color w:val="44546A" w:themeColor="text2"/>
                          <w:sz w:val="70"/>
                          <w:szCs w:val="70"/>
                        </w:rPr>
                        <w:t>2025 ԹՎԱԿԱՆԻ</w:t>
                      </w:r>
                      <w:r w:rsidRPr="00056843">
                        <w:rPr>
                          <w:color w:val="FFFFFF" w:themeColor="background1"/>
                          <w:lang w:val="hy-AM"/>
                        </w:rPr>
                        <w:t>ԹՅԱՆ ԿԱՌԱՎԱՐՈՒԹՅԱՆ</w:t>
                      </w:r>
                    </w:p>
                    <w:p w14:paraId="132FEE53" w14:textId="77777777" w:rsidR="00147C8B" w:rsidRDefault="00147C8B"/>
                    <w:p w14:paraId="30D6B2E1"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37993B94" w14:textId="77777777" w:rsidR="00147C8B" w:rsidRPr="00A3353C" w:rsidRDefault="00147C8B" w:rsidP="00682390">
                      <w:pPr>
                        <w:jc w:val="right"/>
                        <w:rPr>
                          <w:sz w:val="74"/>
                          <w:szCs w:val="74"/>
                        </w:rPr>
                      </w:pPr>
                    </w:p>
                    <w:p w14:paraId="0C8F6E71" w14:textId="77777777" w:rsidR="00147C8B" w:rsidRDefault="00147C8B" w:rsidP="00682390">
                      <w:pPr>
                        <w:jc w:val="right"/>
                      </w:pPr>
                    </w:p>
                    <w:p w14:paraId="758C9813" w14:textId="77777777" w:rsidR="00147C8B" w:rsidRPr="00056843" w:rsidRDefault="00147C8B" w:rsidP="00FD0C29">
                      <w:pPr>
                        <w:jc w:val="center"/>
                        <w:rPr>
                          <w:color w:val="FFFFFF" w:themeColor="background1"/>
                          <w:lang w:val="hy-AM"/>
                        </w:rPr>
                      </w:pPr>
                      <w:r w:rsidRPr="00682390">
                        <w:rPr>
                          <w:b/>
                          <w:color w:val="44546A" w:themeColor="text2"/>
                          <w:sz w:val="40"/>
                          <w:szCs w:val="40"/>
                        </w:rPr>
                        <w:t>ԲՅՈՒՋԵՏԱՅԻՆ ՈՒՂԵՐՁ</w:t>
                      </w:r>
                      <w:r w:rsidRPr="00682390">
                        <w:rPr>
                          <w:b/>
                          <w:color w:val="44546A" w:themeColor="text2"/>
                          <w:sz w:val="70"/>
                          <w:szCs w:val="70"/>
                        </w:rPr>
                        <w:t>2025 ԹՎԱԿԱՆԻ</w:t>
                      </w:r>
                      <w:r w:rsidRPr="00056843">
                        <w:rPr>
                          <w:color w:val="FFFFFF" w:themeColor="background1"/>
                          <w:lang w:val="hy-AM"/>
                        </w:rPr>
                        <w:t>ԹՅԱՆ ԿԱՌԱՎԱՐՈՒԹՅԱՆ</w:t>
                      </w:r>
                    </w:p>
                    <w:p w14:paraId="2DB3057E" w14:textId="77777777" w:rsidR="00147C8B" w:rsidRDefault="00147C8B"/>
                    <w:p w14:paraId="47E67E87" w14:textId="77777777" w:rsidR="00147C8B" w:rsidRPr="00056843" w:rsidRDefault="00147C8B" w:rsidP="00FD0C29">
                      <w:pPr>
                        <w:jc w:val="center"/>
                        <w:rPr>
                          <w:color w:val="FFFFFF" w:themeColor="background1"/>
                          <w:lang w:val="hy-AM"/>
                        </w:rPr>
                      </w:pPr>
                      <w:r w:rsidRPr="00682390">
                        <w:rPr>
                          <w:b/>
                          <w:color w:val="44546A" w:themeColor="text2"/>
                          <w:sz w:val="70"/>
                          <w:szCs w:val="70"/>
                        </w:rPr>
                        <w:t>2025 ԹՎԱԿԱՆԻ</w:t>
                      </w:r>
                      <w:r w:rsidRPr="00056843">
                        <w:rPr>
                          <w:color w:val="FFFFFF" w:themeColor="background1"/>
                          <w:lang w:val="hy-AM"/>
                        </w:rPr>
                        <w:t>ԹՅԱՆ ԿԱՌԱՎԱՐՈՒԹՅԱՆ</w:t>
                      </w:r>
                    </w:p>
                    <w:p w14:paraId="7090CD05" w14:textId="77777777" w:rsidR="00147C8B" w:rsidRDefault="00147C8B"/>
                    <w:p w14:paraId="7E1619B2" w14:textId="77777777" w:rsidR="00147C8B" w:rsidRPr="00056843" w:rsidRDefault="00147C8B" w:rsidP="00FD0C29">
                      <w:pPr>
                        <w:jc w:val="center"/>
                        <w:rPr>
                          <w:color w:val="FFFFFF" w:themeColor="background1"/>
                          <w:lang w:val="hy-AM"/>
                        </w:rPr>
                      </w:pPr>
                      <w:r w:rsidRPr="00682390">
                        <w:rPr>
                          <w:b/>
                          <w:color w:val="44546A" w:themeColor="text2"/>
                          <w:sz w:val="70"/>
                          <w:szCs w:val="70"/>
                        </w:rPr>
                        <w:t>2025 ԹՎԱԿԱՆԻ</w:t>
                      </w:r>
                      <w:r w:rsidRPr="00056843">
                        <w:rPr>
                          <w:color w:val="FFFFFF" w:themeColor="background1"/>
                          <w:lang w:val="hy-AM"/>
                        </w:rPr>
                        <w:t>ԹՅԱՆ ԿԱՌԱՎԱՐՈՒԹՅԱՆ</w:t>
                      </w:r>
                    </w:p>
                    <w:p w14:paraId="30E4BC9F" w14:textId="77777777" w:rsidR="00147C8B" w:rsidRDefault="00147C8B"/>
                    <w:p w14:paraId="5224FC72" w14:textId="77777777" w:rsidR="00147C8B" w:rsidRPr="00056843" w:rsidRDefault="00147C8B" w:rsidP="00FD0C29">
                      <w:pPr>
                        <w:jc w:val="center"/>
                        <w:rPr>
                          <w:color w:val="FFFFFF" w:themeColor="background1"/>
                          <w:lang w:val="hy-AM"/>
                        </w:rPr>
                      </w:pPr>
                      <w:r w:rsidRPr="00682390">
                        <w:rPr>
                          <w:b/>
                          <w:color w:val="44546A" w:themeColor="text2"/>
                          <w:sz w:val="70"/>
                          <w:szCs w:val="70"/>
                        </w:rPr>
                        <w:t>2025 ԹՎԱԿԱՆԻ</w:t>
                      </w:r>
                      <w:r w:rsidRPr="00056843">
                        <w:rPr>
                          <w:color w:val="FFFFFF" w:themeColor="background1"/>
                          <w:lang w:val="hy-AM"/>
                        </w:rPr>
                        <w:t>ԹՅԱՆ ԿԱՌԱՎԱՐՈՒԹՅԱՆ</w:t>
                      </w:r>
                    </w:p>
                    <w:p w14:paraId="6FF595B3" w14:textId="77777777" w:rsidR="00147C8B" w:rsidRDefault="00147C8B"/>
                    <w:p w14:paraId="3B7CF0A2"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ՈՒՂԵՐՁ</w:t>
                      </w:r>
                      <w:r w:rsidRPr="00812F22">
                        <w:rPr>
                          <w:b/>
                          <w:color w:val="44546A" w:themeColor="text2"/>
                          <w:sz w:val="36"/>
                          <w:szCs w:val="36"/>
                          <w:lang w:val="hy-AM"/>
                        </w:rPr>
                        <w:t>-ԲԱՑԱՏՐԱԳԻՐ</w:t>
                      </w:r>
                    </w:p>
                    <w:p w14:paraId="43285363" w14:textId="77777777" w:rsidR="00147C8B" w:rsidRDefault="00147C8B"/>
                    <w:p w14:paraId="7D13E350" w14:textId="77777777" w:rsidR="00147C8B" w:rsidRDefault="00147C8B"/>
                    <w:p w14:paraId="7F0478E8"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699F5E6E" w14:textId="77777777" w:rsidR="00147C8B" w:rsidRPr="00A3353C" w:rsidRDefault="00147C8B" w:rsidP="00682390">
                      <w:pPr>
                        <w:jc w:val="right"/>
                        <w:rPr>
                          <w:sz w:val="74"/>
                          <w:szCs w:val="74"/>
                        </w:rPr>
                      </w:pPr>
                    </w:p>
                    <w:p w14:paraId="21F68F6F" w14:textId="77777777" w:rsidR="00147C8B" w:rsidRDefault="00147C8B" w:rsidP="00682390">
                      <w:pPr>
                        <w:jc w:val="right"/>
                      </w:pPr>
                    </w:p>
                    <w:p w14:paraId="0AE95744"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 xml:space="preserve">2025 ԹՎԱԿԱՆԻ </w:t>
                      </w:r>
                    </w:p>
                    <w:p w14:paraId="34C57930" w14:textId="77777777" w:rsidR="00147C8B" w:rsidRPr="00A3353C" w:rsidRDefault="00147C8B" w:rsidP="00682390">
                      <w:pPr>
                        <w:jc w:val="right"/>
                        <w:rPr>
                          <w:sz w:val="74"/>
                          <w:szCs w:val="74"/>
                        </w:rPr>
                      </w:pPr>
                    </w:p>
                    <w:p w14:paraId="16C6E3BB" w14:textId="77777777" w:rsidR="00147C8B" w:rsidRDefault="00147C8B"/>
                    <w:p w14:paraId="671B46BC"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ՈՒՂԵՐՁ</w:t>
                      </w:r>
                      <w:r w:rsidRPr="00812F22">
                        <w:rPr>
                          <w:b/>
                          <w:color w:val="44546A" w:themeColor="text2"/>
                          <w:sz w:val="36"/>
                          <w:szCs w:val="36"/>
                          <w:lang w:val="hy-AM"/>
                        </w:rPr>
                        <w:t>-ԲԱՑԱՏՐԱԳԻՐ</w:t>
                      </w: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1C759748" w14:textId="77777777" w:rsidR="00147C8B" w:rsidRPr="00A3353C" w:rsidRDefault="00147C8B" w:rsidP="00682390">
                      <w:pPr>
                        <w:jc w:val="right"/>
                        <w:rPr>
                          <w:sz w:val="74"/>
                          <w:szCs w:val="74"/>
                        </w:rPr>
                      </w:pPr>
                    </w:p>
                    <w:p w14:paraId="663957BB" w14:textId="77777777" w:rsidR="00147C8B" w:rsidRDefault="00147C8B" w:rsidP="00682390">
                      <w:pPr>
                        <w:jc w:val="right"/>
                      </w:pPr>
                    </w:p>
                    <w:p w14:paraId="40E79213" w14:textId="77777777" w:rsidR="00147C8B" w:rsidRPr="00812F22" w:rsidRDefault="00147C8B" w:rsidP="00682390">
                      <w:pPr>
                        <w:pStyle w:val="BodyText1"/>
                        <w:jc w:val="right"/>
                        <w:rPr>
                          <w:b/>
                          <w:color w:val="44546A" w:themeColor="text2"/>
                          <w:sz w:val="36"/>
                          <w:szCs w:val="36"/>
                        </w:rPr>
                      </w:pPr>
                      <w:r w:rsidRPr="00682390">
                        <w:rPr>
                          <w:b/>
                          <w:color w:val="44546A" w:themeColor="text2"/>
                          <w:sz w:val="40"/>
                          <w:szCs w:val="40"/>
                        </w:rPr>
                        <w:t>ԲՅՈՒՋԵՏԱՅԻՆ ՈՒՂԵՐՁ</w:t>
                      </w:r>
                      <w:r w:rsidRPr="00682390">
                        <w:rPr>
                          <w:b/>
                          <w:color w:val="44546A" w:themeColor="text2"/>
                          <w:sz w:val="70"/>
                          <w:szCs w:val="70"/>
                        </w:rPr>
                        <w:t>2025 ԹՎԱԿԱՆԻ</w:t>
                      </w:r>
                      <w:r w:rsidRPr="00812F22">
                        <w:rPr>
                          <w:b/>
                          <w:color w:val="44546A" w:themeColor="text2"/>
                          <w:sz w:val="36"/>
                          <w:szCs w:val="36"/>
                        </w:rPr>
                        <w:t>ՈՒՂԵՐՁ</w:t>
                      </w:r>
                      <w:r w:rsidRPr="00812F22">
                        <w:rPr>
                          <w:b/>
                          <w:color w:val="44546A" w:themeColor="text2"/>
                          <w:sz w:val="36"/>
                          <w:szCs w:val="36"/>
                          <w:lang w:val="hy-AM"/>
                        </w:rPr>
                        <w:t>-ԲԱՑԱՏՐԱԳԻՐ</w:t>
                      </w:r>
                    </w:p>
                    <w:p w14:paraId="0EDBC762" w14:textId="77777777" w:rsidR="00147C8B" w:rsidRDefault="00147C8B"/>
                    <w:p w14:paraId="10D9111B" w14:textId="77777777" w:rsidR="00147C8B" w:rsidRPr="00056843" w:rsidRDefault="00147C8B" w:rsidP="00FD0C29">
                      <w:pPr>
                        <w:jc w:val="center"/>
                        <w:rPr>
                          <w:color w:val="FFFFFF" w:themeColor="background1"/>
                          <w:lang w:val="hy-AM"/>
                        </w:rPr>
                      </w:pPr>
                      <w:r w:rsidRPr="00056843">
                        <w:rPr>
                          <w:color w:val="FFFFFF" w:themeColor="background1"/>
                          <w:lang w:val="hy-AM"/>
                        </w:rPr>
                        <w:t>ԹՅԱՆ ԿԱՌԱՎԱՐՈՒԹՅԱՆ</w:t>
                      </w:r>
                    </w:p>
                    <w:p w14:paraId="7271EFCE" w14:textId="77777777" w:rsidR="00147C8B" w:rsidRDefault="00147C8B"/>
                    <w:p w14:paraId="1809981E" w14:textId="77777777" w:rsidR="00147C8B" w:rsidRPr="00056843" w:rsidRDefault="00147C8B" w:rsidP="00FD0C29">
                      <w:pPr>
                        <w:jc w:val="center"/>
                        <w:rPr>
                          <w:color w:val="FFFFFF" w:themeColor="background1"/>
                          <w:lang w:val="hy-AM"/>
                        </w:rPr>
                      </w:pPr>
                      <w:r w:rsidRPr="00682390">
                        <w:rPr>
                          <w:b/>
                          <w:color w:val="44546A" w:themeColor="text2"/>
                          <w:sz w:val="70"/>
                          <w:szCs w:val="70"/>
                        </w:rPr>
                        <w:t>2025 ԹՎԱԿԱՆԻ</w:t>
                      </w:r>
                      <w:r w:rsidRPr="00056843">
                        <w:rPr>
                          <w:color w:val="FFFFFF" w:themeColor="background1"/>
                          <w:lang w:val="hy-AM"/>
                        </w:rPr>
                        <w:t>ԹՅԱՆ ԿԱՌԱՎԱՐՈՒԹՅԱՆ</w:t>
                      </w:r>
                    </w:p>
                    <w:p w14:paraId="431D6820" w14:textId="77777777" w:rsidR="00147C8B" w:rsidRDefault="00147C8B"/>
                    <w:p w14:paraId="5A307A6D" w14:textId="77777777" w:rsidR="00147C8B" w:rsidRPr="00056843" w:rsidRDefault="00147C8B" w:rsidP="00FD0C29">
                      <w:pPr>
                        <w:jc w:val="center"/>
                        <w:rPr>
                          <w:color w:val="FFFFFF" w:themeColor="background1"/>
                          <w:lang w:val="hy-AM"/>
                        </w:rPr>
                      </w:pPr>
                      <w:r w:rsidRPr="00682390">
                        <w:rPr>
                          <w:b/>
                          <w:color w:val="44546A" w:themeColor="text2"/>
                          <w:sz w:val="70"/>
                          <w:szCs w:val="70"/>
                        </w:rPr>
                        <w:t>2025 ԹՎԱԿԱՆԻ</w:t>
                      </w:r>
                      <w:r w:rsidRPr="00056843">
                        <w:rPr>
                          <w:color w:val="FFFFFF" w:themeColor="background1"/>
                          <w:lang w:val="hy-AM"/>
                        </w:rPr>
                        <w:t>ԹՅԱՆ ԿԱՌԱՎԱՐՈՒԹՅԱՆ</w:t>
                      </w:r>
                    </w:p>
                    <w:p w14:paraId="10D58988" w14:textId="77777777" w:rsidR="00147C8B" w:rsidRDefault="00147C8B"/>
                    <w:p w14:paraId="6B09E964" w14:textId="77777777" w:rsidR="00147C8B" w:rsidRPr="00056843" w:rsidRDefault="00147C8B" w:rsidP="00FD0C29">
                      <w:pPr>
                        <w:jc w:val="center"/>
                        <w:rPr>
                          <w:color w:val="FFFFFF" w:themeColor="background1"/>
                          <w:lang w:val="hy-AM"/>
                        </w:rPr>
                      </w:pPr>
                      <w:r w:rsidRPr="00682390">
                        <w:rPr>
                          <w:b/>
                          <w:color w:val="44546A" w:themeColor="text2"/>
                          <w:sz w:val="70"/>
                          <w:szCs w:val="70"/>
                        </w:rPr>
                        <w:t>2025 ԹՎԱԿԱՆԻ</w:t>
                      </w:r>
                      <w:r w:rsidRPr="00056843">
                        <w:rPr>
                          <w:color w:val="FFFFFF" w:themeColor="background1"/>
                          <w:lang w:val="hy-AM"/>
                        </w:rPr>
                        <w:t>ԹՅԱՆ ԿԱՌԱՎԱՐՈՒԹՅԱՆ</w:t>
                      </w:r>
                    </w:p>
                    <w:p w14:paraId="764B8A00" w14:textId="77777777" w:rsidR="00147C8B" w:rsidRDefault="00147C8B"/>
                    <w:p w14:paraId="4AFA18C3"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7794C6EE" w14:textId="77777777" w:rsidR="00147C8B" w:rsidRPr="00A3353C" w:rsidRDefault="00147C8B" w:rsidP="00682390">
                      <w:pPr>
                        <w:jc w:val="right"/>
                        <w:rPr>
                          <w:sz w:val="74"/>
                          <w:szCs w:val="74"/>
                        </w:rPr>
                      </w:pPr>
                    </w:p>
                    <w:p w14:paraId="21A08D5A" w14:textId="77777777" w:rsidR="00147C8B" w:rsidRDefault="00147C8B" w:rsidP="00682390">
                      <w:pPr>
                        <w:jc w:val="right"/>
                      </w:pPr>
                    </w:p>
                    <w:p w14:paraId="275B76F6" w14:textId="77777777" w:rsidR="00147C8B" w:rsidRPr="00056843" w:rsidRDefault="00147C8B" w:rsidP="00FD0C29">
                      <w:pPr>
                        <w:jc w:val="center"/>
                        <w:rPr>
                          <w:color w:val="FFFFFF" w:themeColor="background1"/>
                          <w:lang w:val="hy-AM"/>
                        </w:rPr>
                      </w:pPr>
                      <w:r w:rsidRPr="00682390">
                        <w:rPr>
                          <w:b/>
                          <w:color w:val="44546A" w:themeColor="text2"/>
                          <w:sz w:val="40"/>
                          <w:szCs w:val="40"/>
                        </w:rPr>
                        <w:t>ԲՅՈՒՋԵՏԱՅԻՆ ՈՒՂԵՐՁ</w:t>
                      </w:r>
                      <w:r w:rsidRPr="00682390">
                        <w:rPr>
                          <w:b/>
                          <w:color w:val="44546A" w:themeColor="text2"/>
                          <w:sz w:val="70"/>
                          <w:szCs w:val="70"/>
                        </w:rPr>
                        <w:t>2025 ԹՎԱԿԱՆԻ</w:t>
                      </w:r>
                      <w:r w:rsidRPr="00056843">
                        <w:rPr>
                          <w:color w:val="FFFFFF" w:themeColor="background1"/>
                          <w:lang w:val="hy-AM"/>
                        </w:rPr>
                        <w:t>ԹՅԱՆ ԿԱՌԱՎԱՐՈՒԹՅԱՆ</w:t>
                      </w:r>
                    </w:p>
                    <w:p w14:paraId="7AEF76DB" w14:textId="77777777" w:rsidR="00147C8B" w:rsidRDefault="00147C8B"/>
                    <w:p w14:paraId="4FAFB84D" w14:textId="77777777" w:rsidR="00147C8B" w:rsidRPr="00056843" w:rsidRDefault="00147C8B" w:rsidP="00FD0C29">
                      <w:pPr>
                        <w:jc w:val="center"/>
                        <w:rPr>
                          <w:color w:val="FFFFFF" w:themeColor="background1"/>
                          <w:lang w:val="hy-AM"/>
                        </w:rPr>
                      </w:pPr>
                      <w:r w:rsidRPr="00682390">
                        <w:rPr>
                          <w:b/>
                          <w:color w:val="44546A" w:themeColor="text2"/>
                          <w:sz w:val="70"/>
                          <w:szCs w:val="70"/>
                        </w:rPr>
                        <w:t>2025 ԹՎԱԿԱՆԻ</w:t>
                      </w:r>
                      <w:r w:rsidRPr="00056843">
                        <w:rPr>
                          <w:color w:val="FFFFFF" w:themeColor="background1"/>
                          <w:lang w:val="hy-AM"/>
                        </w:rPr>
                        <w:t>ԹՅԱՆ ԿԱՌԱՎԱՐՈՒԹՅԱՆ</w:t>
                      </w:r>
                    </w:p>
                    <w:p w14:paraId="233E4ED8" w14:textId="77777777" w:rsidR="00147C8B" w:rsidRDefault="00147C8B"/>
                    <w:p w14:paraId="28638B63" w14:textId="77777777" w:rsidR="00147C8B" w:rsidRPr="00056843" w:rsidRDefault="00147C8B" w:rsidP="00FD0C29">
                      <w:pPr>
                        <w:jc w:val="center"/>
                        <w:rPr>
                          <w:color w:val="FFFFFF" w:themeColor="background1"/>
                          <w:lang w:val="hy-AM"/>
                        </w:rPr>
                      </w:pPr>
                      <w:r w:rsidRPr="00682390">
                        <w:rPr>
                          <w:b/>
                          <w:color w:val="44546A" w:themeColor="text2"/>
                          <w:sz w:val="70"/>
                          <w:szCs w:val="70"/>
                        </w:rPr>
                        <w:t>2025 ԹՎԱԿԱՆԻ</w:t>
                      </w:r>
                      <w:r w:rsidRPr="00056843">
                        <w:rPr>
                          <w:color w:val="FFFFFF" w:themeColor="background1"/>
                          <w:lang w:val="hy-AM"/>
                        </w:rPr>
                        <w:t>ԹՅԱՆ ԿԱՌԱՎԱՐՈՒԹՅԱՆ</w:t>
                      </w:r>
                    </w:p>
                    <w:p w14:paraId="0DE7236B" w14:textId="77777777" w:rsidR="00147C8B" w:rsidRDefault="00147C8B"/>
                    <w:p w14:paraId="77467A2A" w14:textId="77777777" w:rsidR="00147C8B" w:rsidRPr="00056843" w:rsidRDefault="00147C8B" w:rsidP="00FD0C29">
                      <w:pPr>
                        <w:jc w:val="center"/>
                        <w:rPr>
                          <w:color w:val="FFFFFF" w:themeColor="background1"/>
                          <w:lang w:val="hy-AM"/>
                        </w:rPr>
                      </w:pPr>
                      <w:r w:rsidRPr="00682390">
                        <w:rPr>
                          <w:b/>
                          <w:color w:val="44546A" w:themeColor="text2"/>
                          <w:sz w:val="70"/>
                          <w:szCs w:val="70"/>
                        </w:rPr>
                        <w:t>2025 ԹՎԱԿԱՆԻ</w:t>
                      </w:r>
                      <w:r w:rsidRPr="00056843">
                        <w:rPr>
                          <w:color w:val="FFFFFF" w:themeColor="background1"/>
                          <w:lang w:val="hy-AM"/>
                        </w:rPr>
                        <w:t>ԹՅԱՆ ԿԱՌԱՎԱՐՈՒԹՅԱՆ</w:t>
                      </w:r>
                    </w:p>
                    <w:p w14:paraId="65C9833C" w14:textId="77777777" w:rsidR="00147C8B" w:rsidRDefault="00147C8B"/>
                    <w:p w14:paraId="7EBC76E0"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ՈՒՂԵՐՁ</w:t>
                      </w:r>
                      <w:r w:rsidRPr="00812F22">
                        <w:rPr>
                          <w:b/>
                          <w:color w:val="44546A" w:themeColor="text2"/>
                          <w:sz w:val="36"/>
                          <w:szCs w:val="36"/>
                          <w:lang w:val="hy-AM"/>
                        </w:rPr>
                        <w:t>-ԲԱՑԱՏՐԱԳԻՐ</w:t>
                      </w:r>
                    </w:p>
                    <w:p w14:paraId="1F2966AA" w14:textId="77777777" w:rsidR="00147C8B" w:rsidRDefault="00147C8B"/>
                    <w:p w14:paraId="5559B528" w14:textId="77777777" w:rsidR="00147C8B" w:rsidRPr="00056843" w:rsidRDefault="00147C8B" w:rsidP="00FD0C29">
                      <w:pPr>
                        <w:jc w:val="center"/>
                        <w:rPr>
                          <w:color w:val="FFFFFF" w:themeColor="background1"/>
                          <w:lang w:val="hy-AM"/>
                        </w:rPr>
                      </w:pPr>
                      <w:r w:rsidRPr="00056843">
                        <w:rPr>
                          <w:color w:val="FFFFFF" w:themeColor="background1"/>
                          <w:lang w:val="hy-AM"/>
                        </w:rPr>
                        <w:t>ԹՅԱՆ ԿԱՌԱՎԱՐՈՒԹՅԱՆ</w:t>
                      </w:r>
                    </w:p>
                    <w:p w14:paraId="6D879DF0" w14:textId="77777777" w:rsidR="00147C8B" w:rsidRDefault="00147C8B"/>
                    <w:p w14:paraId="06C2FB4C" w14:textId="77777777" w:rsidR="00147C8B" w:rsidRPr="00056843" w:rsidRDefault="00147C8B" w:rsidP="00FD0C29">
                      <w:pPr>
                        <w:jc w:val="center"/>
                        <w:rPr>
                          <w:color w:val="FFFFFF" w:themeColor="background1"/>
                          <w:lang w:val="hy-AM"/>
                        </w:rPr>
                      </w:pPr>
                      <w:r w:rsidRPr="00682390">
                        <w:rPr>
                          <w:b/>
                          <w:color w:val="44546A" w:themeColor="text2"/>
                          <w:sz w:val="70"/>
                          <w:szCs w:val="70"/>
                        </w:rPr>
                        <w:t>2025 ԹՎԱԿԱՆԻ</w:t>
                      </w:r>
                      <w:r w:rsidRPr="00056843">
                        <w:rPr>
                          <w:color w:val="FFFFFF" w:themeColor="background1"/>
                          <w:lang w:val="hy-AM"/>
                        </w:rPr>
                        <w:t>ԹՅԱՆ ԿԱՌԱՎԱՐՈՒԹՅԱՆ</w:t>
                      </w:r>
                    </w:p>
                    <w:p w14:paraId="012F56E0" w14:textId="77777777" w:rsidR="00147C8B" w:rsidRDefault="00147C8B"/>
                    <w:p w14:paraId="10246EB3" w14:textId="77777777" w:rsidR="00147C8B" w:rsidRPr="00056843" w:rsidRDefault="00147C8B" w:rsidP="00FD0C29">
                      <w:pPr>
                        <w:jc w:val="center"/>
                        <w:rPr>
                          <w:color w:val="FFFFFF" w:themeColor="background1"/>
                          <w:lang w:val="hy-AM"/>
                        </w:rPr>
                      </w:pPr>
                      <w:r w:rsidRPr="00682390">
                        <w:rPr>
                          <w:b/>
                          <w:color w:val="44546A" w:themeColor="text2"/>
                          <w:sz w:val="70"/>
                          <w:szCs w:val="70"/>
                        </w:rPr>
                        <w:t>2025 ԹՎԱԿԱՆԻ</w:t>
                      </w:r>
                      <w:r w:rsidRPr="00056843">
                        <w:rPr>
                          <w:color w:val="FFFFFF" w:themeColor="background1"/>
                          <w:lang w:val="hy-AM"/>
                        </w:rPr>
                        <w:t>ԹՅԱՆ ԿԱՌԱՎԱՐՈՒԹՅԱՆ</w:t>
                      </w:r>
                    </w:p>
                    <w:p w14:paraId="60B779A8" w14:textId="77777777" w:rsidR="00147C8B" w:rsidRDefault="00147C8B"/>
                    <w:p w14:paraId="79C302F3" w14:textId="77777777" w:rsidR="00147C8B" w:rsidRPr="00056843" w:rsidRDefault="00147C8B" w:rsidP="00FD0C29">
                      <w:pPr>
                        <w:jc w:val="center"/>
                        <w:rPr>
                          <w:color w:val="FFFFFF" w:themeColor="background1"/>
                          <w:lang w:val="hy-AM"/>
                        </w:rPr>
                      </w:pPr>
                      <w:r w:rsidRPr="00682390">
                        <w:rPr>
                          <w:b/>
                          <w:color w:val="44546A" w:themeColor="text2"/>
                          <w:sz w:val="70"/>
                          <w:szCs w:val="70"/>
                        </w:rPr>
                        <w:t>2025 ԹՎԱԿԱՆԻ</w:t>
                      </w:r>
                      <w:r w:rsidRPr="00056843">
                        <w:rPr>
                          <w:color w:val="FFFFFF" w:themeColor="background1"/>
                          <w:lang w:val="hy-AM"/>
                        </w:rPr>
                        <w:t>ԹՅԱՆ ԿԱՌԱՎԱՐՈՒԹՅԱՆ</w:t>
                      </w:r>
                    </w:p>
                    <w:p w14:paraId="49550F6D" w14:textId="77777777" w:rsidR="00147C8B" w:rsidRDefault="00147C8B"/>
                    <w:p w14:paraId="5F3D98D8"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591D84E9" w14:textId="77777777" w:rsidR="00147C8B" w:rsidRPr="00A3353C" w:rsidRDefault="00147C8B" w:rsidP="00682390">
                      <w:pPr>
                        <w:jc w:val="right"/>
                        <w:rPr>
                          <w:sz w:val="74"/>
                          <w:szCs w:val="74"/>
                        </w:rPr>
                      </w:pPr>
                    </w:p>
                    <w:p w14:paraId="5C80D4CE" w14:textId="77777777" w:rsidR="00147C8B" w:rsidRDefault="00147C8B" w:rsidP="00682390">
                      <w:pPr>
                        <w:jc w:val="right"/>
                      </w:pPr>
                    </w:p>
                    <w:p w14:paraId="5B066761" w14:textId="77777777" w:rsidR="00147C8B" w:rsidRPr="00056843" w:rsidRDefault="00147C8B" w:rsidP="00FD0C29">
                      <w:pPr>
                        <w:jc w:val="center"/>
                        <w:rPr>
                          <w:color w:val="FFFFFF" w:themeColor="background1"/>
                          <w:lang w:val="hy-AM"/>
                        </w:rPr>
                      </w:pPr>
                      <w:r w:rsidRPr="00682390">
                        <w:rPr>
                          <w:b/>
                          <w:color w:val="44546A" w:themeColor="text2"/>
                          <w:sz w:val="40"/>
                          <w:szCs w:val="40"/>
                        </w:rPr>
                        <w:t>ԲՅՈՒՋԵՏԱՅԻՆ ՈՒՂԵՐՁ</w:t>
                      </w:r>
                      <w:r w:rsidRPr="00682390">
                        <w:rPr>
                          <w:b/>
                          <w:color w:val="44546A" w:themeColor="text2"/>
                          <w:sz w:val="70"/>
                          <w:szCs w:val="70"/>
                        </w:rPr>
                        <w:t>2025 ԹՎԱԿԱՆԻ</w:t>
                      </w:r>
                      <w:r w:rsidRPr="00056843">
                        <w:rPr>
                          <w:color w:val="FFFFFF" w:themeColor="background1"/>
                          <w:lang w:val="hy-AM"/>
                        </w:rPr>
                        <w:t>ԹՅԱՆ ԿԱՌԱՎԱՐՈՒԹՅԱՆ</w:t>
                      </w:r>
                    </w:p>
                    <w:p w14:paraId="1FB8D1C1" w14:textId="77777777" w:rsidR="00147C8B" w:rsidRDefault="00147C8B"/>
                    <w:p w14:paraId="10538C11" w14:textId="77777777" w:rsidR="00147C8B" w:rsidRPr="00056843" w:rsidRDefault="00147C8B" w:rsidP="00FD0C29">
                      <w:pPr>
                        <w:jc w:val="center"/>
                        <w:rPr>
                          <w:color w:val="FFFFFF" w:themeColor="background1"/>
                          <w:lang w:val="hy-AM"/>
                        </w:rPr>
                      </w:pPr>
                      <w:r w:rsidRPr="00682390">
                        <w:rPr>
                          <w:b/>
                          <w:color w:val="44546A" w:themeColor="text2"/>
                          <w:sz w:val="70"/>
                          <w:szCs w:val="70"/>
                        </w:rPr>
                        <w:t>2025 ԹՎԱԿԱՆԻ</w:t>
                      </w:r>
                      <w:r w:rsidRPr="00056843">
                        <w:rPr>
                          <w:color w:val="FFFFFF" w:themeColor="background1"/>
                          <w:lang w:val="hy-AM"/>
                        </w:rPr>
                        <w:t>ԹՅԱՆ ԿԱՌԱՎԱՐՈՒԹՅԱՆ</w:t>
                      </w:r>
                    </w:p>
                    <w:p w14:paraId="70312F6E" w14:textId="77777777" w:rsidR="00147C8B" w:rsidRDefault="00147C8B"/>
                    <w:p w14:paraId="74573CB4" w14:textId="77777777" w:rsidR="00147C8B" w:rsidRPr="00056843" w:rsidRDefault="00147C8B" w:rsidP="00FD0C29">
                      <w:pPr>
                        <w:jc w:val="center"/>
                        <w:rPr>
                          <w:color w:val="FFFFFF" w:themeColor="background1"/>
                          <w:lang w:val="hy-AM"/>
                        </w:rPr>
                      </w:pPr>
                      <w:r w:rsidRPr="00682390">
                        <w:rPr>
                          <w:b/>
                          <w:color w:val="44546A" w:themeColor="text2"/>
                          <w:sz w:val="70"/>
                          <w:szCs w:val="70"/>
                        </w:rPr>
                        <w:t>2025 ԹՎԱԿԱՆԻ</w:t>
                      </w:r>
                      <w:r w:rsidRPr="00056843">
                        <w:rPr>
                          <w:color w:val="FFFFFF" w:themeColor="background1"/>
                          <w:lang w:val="hy-AM"/>
                        </w:rPr>
                        <w:t>ԹՅԱՆ ԿԱՌԱՎԱՐՈՒԹՅԱՆ</w:t>
                      </w:r>
                    </w:p>
                    <w:p w14:paraId="51C0ABF7" w14:textId="77777777" w:rsidR="00147C8B" w:rsidRDefault="00147C8B"/>
                    <w:p w14:paraId="65671876" w14:textId="77777777" w:rsidR="00147C8B" w:rsidRPr="00056843" w:rsidRDefault="00147C8B" w:rsidP="00FD0C29">
                      <w:pPr>
                        <w:jc w:val="center"/>
                        <w:rPr>
                          <w:color w:val="FFFFFF" w:themeColor="background1"/>
                          <w:lang w:val="hy-AM"/>
                        </w:rPr>
                      </w:pPr>
                      <w:r w:rsidRPr="00682390">
                        <w:rPr>
                          <w:b/>
                          <w:color w:val="44546A" w:themeColor="text2"/>
                          <w:sz w:val="70"/>
                          <w:szCs w:val="70"/>
                        </w:rPr>
                        <w:t>2025 ԹՎԱԿԱՆԻ</w:t>
                      </w:r>
                      <w:r w:rsidRPr="00056843">
                        <w:rPr>
                          <w:color w:val="FFFFFF" w:themeColor="background1"/>
                          <w:lang w:val="hy-AM"/>
                        </w:rPr>
                        <w:t>ԹՅԱՆ ԿԱՌԱՎԱՐՈՒԹՅԱՆ</w:t>
                      </w:r>
                    </w:p>
                  </w:txbxContent>
                </v:textbox>
                <w10:wrap anchorx="margin" anchory="margin"/>
              </v:rect>
            </w:pict>
          </mc:Fallback>
        </mc:AlternateContent>
      </w:r>
    </w:p>
    <w:p w14:paraId="65CC5D4D" w14:textId="77777777" w:rsidR="00FD0C29" w:rsidRDefault="00FD0C29" w:rsidP="007A4C49">
      <w:pPr>
        <w:pStyle w:val="BodytextBullets"/>
      </w:pPr>
    </w:p>
    <w:sdt>
      <w:sdtPr>
        <w:rPr>
          <w:rFonts w:asciiTheme="minorHAnsi" w:hAnsiTheme="minorHAnsi"/>
          <w:b w:val="0"/>
          <w:color w:val="404040" w:themeColor="text1" w:themeTint="BF"/>
          <w:sz w:val="22"/>
          <w:szCs w:val="20"/>
        </w:rPr>
        <w:id w:val="1050349035"/>
        <w:docPartObj>
          <w:docPartGallery w:val="Cover Pages"/>
          <w:docPartUnique/>
        </w:docPartObj>
      </w:sdtPr>
      <w:sdtEndPr/>
      <w:sdtContent>
        <w:sdt>
          <w:sdtPr>
            <w:rPr>
              <w:rFonts w:asciiTheme="minorHAnsi" w:hAnsiTheme="minorHAnsi"/>
              <w:b w:val="0"/>
              <w:color w:val="404040" w:themeColor="text1" w:themeTint="BF"/>
              <w:sz w:val="22"/>
              <w:szCs w:val="20"/>
            </w:rPr>
            <w:id w:val="494153856"/>
            <w:docPartObj>
              <w:docPartGallery w:val="Cover Pages"/>
              <w:docPartUnique/>
            </w:docPartObj>
          </w:sdtPr>
          <w:sdtEndPr/>
          <w:sdtContent>
            <w:p w14:paraId="6C2438F3" w14:textId="77777777" w:rsidR="00FD0C29" w:rsidRDefault="00FD0C29" w:rsidP="007A4C49">
              <w:pPr>
                <w:pStyle w:val="NoSpacing"/>
                <w:spacing w:after="120"/>
                <w:jc w:val="both"/>
                <w:rPr>
                  <w:szCs w:val="20"/>
                </w:rPr>
              </w:pPr>
            </w:p>
            <w:p w14:paraId="44A9A449" w14:textId="19E513F4" w:rsidR="00FD0C29" w:rsidRDefault="006A7FEA" w:rsidP="007A4C49">
              <w:pPr>
                <w:jc w:val="both"/>
                <w:rPr>
                  <w:color w:val="000000" w:themeColor="text1"/>
                  <w:szCs w:val="20"/>
                </w:rPr>
              </w:pPr>
              <w:r>
                <w:rPr>
                  <w:noProof/>
                </w:rPr>
                <mc:AlternateContent>
                  <mc:Choice Requires="wps">
                    <w:drawing>
                      <wp:anchor distT="91440" distB="91440" distL="365760" distR="365760" simplePos="0" relativeHeight="251681792" behindDoc="0" locked="0" layoutInCell="1" allowOverlap="1" wp14:anchorId="453E4CBA" wp14:editId="1A0AC60E">
                        <wp:simplePos x="0" y="0"/>
                        <wp:positionH relativeFrom="margin">
                          <wp:posOffset>1076325</wp:posOffset>
                        </wp:positionH>
                        <wp:positionV relativeFrom="margin">
                          <wp:posOffset>7077075</wp:posOffset>
                        </wp:positionV>
                        <wp:extent cx="5581650" cy="1009650"/>
                        <wp:effectExtent l="0" t="0" r="0" b="0"/>
                        <wp:wrapNone/>
                        <wp:docPr id="49" name="Rectangle 49"/>
                        <wp:cNvGraphicFramePr/>
                        <a:graphic xmlns:a="http://schemas.openxmlformats.org/drawingml/2006/main">
                          <a:graphicData uri="http://schemas.microsoft.com/office/word/2010/wordprocessingShape">
                            <wps:wsp>
                              <wps:cNvSpPr/>
                              <wps:spPr>
                                <a:xfrm>
                                  <a:off x="0" y="0"/>
                                  <a:ext cx="5581650" cy="10096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8DE6B8D" w14:textId="445C12A8" w:rsidR="00147C8B" w:rsidRPr="00812F22" w:rsidRDefault="00147C8B" w:rsidP="00682390">
                                    <w:pPr>
                                      <w:pStyle w:val="BodyText1"/>
                                      <w:jc w:val="right"/>
                                      <w:rPr>
                                        <w:b/>
                                        <w:color w:val="44546A" w:themeColor="text2"/>
                                        <w:sz w:val="36"/>
                                        <w:szCs w:val="36"/>
                                      </w:rPr>
                                    </w:pPr>
                                    <w:bookmarkStart w:id="0" w:name="_Toc178604091"/>
                                    <w:r w:rsidRPr="00812F22">
                                      <w:rPr>
                                        <w:b/>
                                        <w:color w:val="44546A" w:themeColor="text2"/>
                                        <w:sz w:val="36"/>
                                        <w:szCs w:val="36"/>
                                      </w:rPr>
                                      <w:t>ՈՒՂԵՐՁ</w:t>
                                    </w:r>
                                    <w:r w:rsidRPr="00812F22">
                                      <w:rPr>
                                        <w:b/>
                                        <w:color w:val="44546A" w:themeColor="text2"/>
                                        <w:sz w:val="36"/>
                                        <w:szCs w:val="36"/>
                                        <w:lang w:val="hy-AM"/>
                                      </w:rPr>
                                      <w:t>-ԲԱՑԱՏՐԱԳԻՐ</w:t>
                                    </w:r>
                                  </w:p>
                                  <w:p w14:paraId="67D0D7A9" w14:textId="77777777" w:rsidR="00147C8B" w:rsidRDefault="00147C8B"/>
                                  <w:p w14:paraId="51EE6D9F" w14:textId="77777777" w:rsidR="00147C8B" w:rsidRDefault="00147C8B"/>
                                  <w:p w14:paraId="42F056EF"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1943F76D" w14:textId="77777777" w:rsidR="00147C8B" w:rsidRPr="00A3353C" w:rsidRDefault="00147C8B" w:rsidP="00682390">
                                    <w:pPr>
                                      <w:jc w:val="right"/>
                                      <w:rPr>
                                        <w:sz w:val="74"/>
                                        <w:szCs w:val="74"/>
                                      </w:rPr>
                                    </w:pPr>
                                  </w:p>
                                  <w:p w14:paraId="5F77D9F3" w14:textId="77777777" w:rsidR="00147C8B" w:rsidRDefault="00147C8B" w:rsidP="00682390">
                                    <w:pPr>
                                      <w:jc w:val="right"/>
                                    </w:pPr>
                                  </w:p>
                                  <w:p w14:paraId="13F138D0"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 xml:space="preserve">2025 ԹՎԱԿԱՆԻ </w:t>
                                    </w:r>
                                  </w:p>
                                  <w:p w14:paraId="281D4EDE" w14:textId="77777777" w:rsidR="00147C8B" w:rsidRPr="00A3353C" w:rsidRDefault="00147C8B" w:rsidP="00682390">
                                    <w:pPr>
                                      <w:jc w:val="right"/>
                                      <w:rPr>
                                        <w:sz w:val="74"/>
                                        <w:szCs w:val="74"/>
                                      </w:rPr>
                                    </w:pPr>
                                  </w:p>
                                  <w:p w14:paraId="0767632F" w14:textId="77777777" w:rsidR="00147C8B" w:rsidRDefault="00147C8B"/>
                                  <w:p w14:paraId="2454AEF5"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ՈՒՂԵՐՁ</w:t>
                                    </w:r>
                                    <w:r w:rsidRPr="00812F22">
                                      <w:rPr>
                                        <w:b/>
                                        <w:color w:val="44546A" w:themeColor="text2"/>
                                        <w:sz w:val="36"/>
                                        <w:szCs w:val="36"/>
                                        <w:lang w:val="hy-AM"/>
                                      </w:rPr>
                                      <w:t>-ԲԱՑԱՏՐԱԳԻՐ</w:t>
                                    </w: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5FC8BF46" w14:textId="77777777" w:rsidR="00147C8B" w:rsidRPr="00A3353C" w:rsidRDefault="00147C8B" w:rsidP="00682390">
                                    <w:pPr>
                                      <w:jc w:val="right"/>
                                      <w:rPr>
                                        <w:sz w:val="74"/>
                                        <w:szCs w:val="74"/>
                                      </w:rPr>
                                    </w:pPr>
                                  </w:p>
                                  <w:p w14:paraId="335ECB34" w14:textId="77777777" w:rsidR="00147C8B" w:rsidRDefault="00147C8B" w:rsidP="00682390">
                                    <w:pPr>
                                      <w:jc w:val="right"/>
                                    </w:pPr>
                                  </w:p>
                                  <w:p w14:paraId="56A65D82" w14:textId="77777777" w:rsidR="00147C8B" w:rsidRPr="00812F22" w:rsidRDefault="00147C8B" w:rsidP="00682390">
                                    <w:pPr>
                                      <w:pStyle w:val="BodyText1"/>
                                      <w:jc w:val="right"/>
                                      <w:rPr>
                                        <w:b/>
                                        <w:color w:val="44546A" w:themeColor="text2"/>
                                        <w:sz w:val="36"/>
                                        <w:szCs w:val="36"/>
                                      </w:rPr>
                                    </w:pPr>
                                    <w:r w:rsidRPr="00682390">
                                      <w:rPr>
                                        <w:b/>
                                        <w:color w:val="44546A" w:themeColor="text2"/>
                                        <w:sz w:val="40"/>
                                        <w:szCs w:val="40"/>
                                      </w:rPr>
                                      <w:t>ԲՅՈՒՋԵՏԱՅԻՆ ՈՒՂԵՐՁ</w:t>
                                    </w:r>
                                    <w:r w:rsidRPr="00682390">
                                      <w:rPr>
                                        <w:b/>
                                        <w:color w:val="44546A" w:themeColor="text2"/>
                                        <w:sz w:val="70"/>
                                        <w:szCs w:val="70"/>
                                      </w:rPr>
                                      <w:t>2025 ԹՎԱԿԱՆԻ</w:t>
                                    </w:r>
                                    <w:r w:rsidRPr="00812F22">
                                      <w:rPr>
                                        <w:b/>
                                        <w:color w:val="44546A" w:themeColor="text2"/>
                                        <w:sz w:val="36"/>
                                        <w:szCs w:val="36"/>
                                      </w:rPr>
                                      <w:t>ՈՒՂԵՐՁ</w:t>
                                    </w:r>
                                    <w:r w:rsidRPr="00812F22">
                                      <w:rPr>
                                        <w:b/>
                                        <w:color w:val="44546A" w:themeColor="text2"/>
                                        <w:sz w:val="36"/>
                                        <w:szCs w:val="36"/>
                                        <w:lang w:val="hy-AM"/>
                                      </w:rPr>
                                      <w:t>-ԲԱՑԱՏՐԱԳԻՐ</w:t>
                                    </w:r>
                                  </w:p>
                                  <w:p w14:paraId="475E3957" w14:textId="77777777" w:rsidR="00147C8B" w:rsidRDefault="00147C8B"/>
                                  <w:p w14:paraId="04CA94C7" w14:textId="77777777" w:rsidR="00147C8B" w:rsidRDefault="00147C8B"/>
                                  <w:p w14:paraId="6ABA456C" w14:textId="77777777" w:rsidR="00147C8B" w:rsidRPr="00812F22" w:rsidRDefault="00147C8B" w:rsidP="00682390">
                                    <w:pPr>
                                      <w:pStyle w:val="BodyText1"/>
                                      <w:jc w:val="right"/>
                                      <w:rPr>
                                        <w:b/>
                                        <w:color w:val="44546A" w:themeColor="text2"/>
                                        <w:sz w:val="36"/>
                                        <w:szCs w:val="36"/>
                                      </w:rPr>
                                    </w:pPr>
                                    <w:r>
                                      <w:rPr>
                                        <w:b/>
                                        <w:color w:val="44546A" w:themeColor="text2"/>
                                        <w:sz w:val="36"/>
                                        <w:szCs w:val="36"/>
                                      </w:rPr>
                                      <w:t>2026</w:t>
                                    </w:r>
                                    <w:r w:rsidRPr="00812F22">
                                      <w:rPr>
                                        <w:b/>
                                        <w:color w:val="44546A" w:themeColor="text2"/>
                                        <w:sz w:val="36"/>
                                        <w:szCs w:val="36"/>
                                      </w:rPr>
                                      <w:t xml:space="preserve">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070623BE" w14:textId="77777777" w:rsidR="00147C8B" w:rsidRPr="00A3353C" w:rsidRDefault="00147C8B" w:rsidP="00682390">
                                    <w:pPr>
                                      <w:jc w:val="right"/>
                                      <w:rPr>
                                        <w:sz w:val="74"/>
                                        <w:szCs w:val="74"/>
                                      </w:rPr>
                                    </w:pPr>
                                  </w:p>
                                  <w:p w14:paraId="1195EBE5" w14:textId="77777777" w:rsidR="00147C8B" w:rsidRDefault="00147C8B" w:rsidP="00682390">
                                    <w:pPr>
                                      <w:jc w:val="right"/>
                                    </w:pPr>
                                  </w:p>
                                  <w:p w14:paraId="3F8768B0"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 xml:space="preserve">2025 ԹՎԱԿԱՆԻ </w:t>
                                    </w:r>
                                  </w:p>
                                  <w:p w14:paraId="48C80021" w14:textId="77777777" w:rsidR="00147C8B" w:rsidRPr="00A3353C" w:rsidRDefault="00147C8B" w:rsidP="00682390">
                                    <w:pPr>
                                      <w:jc w:val="right"/>
                                      <w:rPr>
                                        <w:sz w:val="74"/>
                                        <w:szCs w:val="74"/>
                                      </w:rPr>
                                    </w:pPr>
                                  </w:p>
                                  <w:p w14:paraId="3BB9C3D0" w14:textId="77777777" w:rsidR="00147C8B" w:rsidRDefault="00147C8B"/>
                                  <w:p w14:paraId="6099C386"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ՈՒՂԵՐՁ</w:t>
                                    </w:r>
                                    <w:r w:rsidRPr="00812F22">
                                      <w:rPr>
                                        <w:b/>
                                        <w:color w:val="44546A" w:themeColor="text2"/>
                                        <w:sz w:val="36"/>
                                        <w:szCs w:val="36"/>
                                        <w:lang w:val="hy-AM"/>
                                      </w:rPr>
                                      <w:t>-ԲԱՑԱՏՐԱԳԻՐ</w:t>
                                    </w: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05EED808" w14:textId="77777777" w:rsidR="00147C8B" w:rsidRPr="00A3353C" w:rsidRDefault="00147C8B" w:rsidP="00682390">
                                    <w:pPr>
                                      <w:jc w:val="right"/>
                                      <w:rPr>
                                        <w:sz w:val="74"/>
                                        <w:szCs w:val="74"/>
                                      </w:rPr>
                                    </w:pPr>
                                  </w:p>
                                  <w:p w14:paraId="36E2510C" w14:textId="77777777" w:rsidR="00147C8B" w:rsidRDefault="00147C8B" w:rsidP="00682390">
                                    <w:pPr>
                                      <w:jc w:val="right"/>
                                    </w:pPr>
                                  </w:p>
                                  <w:p w14:paraId="234BFE4C"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 xml:space="preserve">2025 ԹՎԱԿԱՆԻ </w:t>
                                    </w:r>
                                  </w:p>
                                  <w:p w14:paraId="35676148" w14:textId="77777777" w:rsidR="00147C8B" w:rsidRPr="00A3353C" w:rsidRDefault="00147C8B" w:rsidP="00682390">
                                    <w:pPr>
                                      <w:jc w:val="right"/>
                                      <w:rPr>
                                        <w:sz w:val="74"/>
                                        <w:szCs w:val="74"/>
                                      </w:rPr>
                                    </w:pPr>
                                  </w:p>
                                  <w:p w14:paraId="5A0BDF6C" w14:textId="77777777" w:rsidR="00147C8B" w:rsidRDefault="00147C8B"/>
                                  <w:p w14:paraId="14870B07"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1BBEC863" w14:textId="77777777" w:rsidR="00147C8B" w:rsidRPr="00A3353C" w:rsidRDefault="00147C8B" w:rsidP="00682390">
                                    <w:pPr>
                                      <w:jc w:val="right"/>
                                      <w:rPr>
                                        <w:sz w:val="74"/>
                                        <w:szCs w:val="74"/>
                                      </w:rPr>
                                    </w:pPr>
                                  </w:p>
                                  <w:p w14:paraId="011A4454" w14:textId="77777777" w:rsidR="00147C8B" w:rsidRDefault="00147C8B" w:rsidP="00682390">
                                    <w:pPr>
                                      <w:jc w:val="right"/>
                                    </w:pPr>
                                  </w:p>
                                  <w:p w14:paraId="67BBED21"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 xml:space="preserve">2025 ԹՎԱԿԱՆԻ </w:t>
                                    </w:r>
                                  </w:p>
                                  <w:p w14:paraId="2F85080C" w14:textId="77777777" w:rsidR="00147C8B" w:rsidRPr="00A3353C" w:rsidRDefault="00147C8B" w:rsidP="00682390">
                                    <w:pPr>
                                      <w:jc w:val="right"/>
                                      <w:rPr>
                                        <w:sz w:val="74"/>
                                        <w:szCs w:val="74"/>
                                      </w:rPr>
                                    </w:pPr>
                                  </w:p>
                                  <w:p w14:paraId="1D92795F" w14:textId="77777777" w:rsidR="00147C8B" w:rsidRDefault="00147C8B"/>
                                  <w:p w14:paraId="1746F028"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ՈՒՂԵՐՁ</w:t>
                                    </w:r>
                                    <w:r w:rsidRPr="00812F22">
                                      <w:rPr>
                                        <w:b/>
                                        <w:color w:val="44546A" w:themeColor="text2"/>
                                        <w:sz w:val="36"/>
                                        <w:szCs w:val="36"/>
                                        <w:lang w:val="hy-AM"/>
                                      </w:rPr>
                                      <w:t>-ԲԱՑԱՏՐԱԳԻՐ</w:t>
                                    </w: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1777DC51" w14:textId="77777777" w:rsidR="00147C8B" w:rsidRPr="00A3353C" w:rsidRDefault="00147C8B" w:rsidP="00682390">
                                    <w:pPr>
                                      <w:jc w:val="right"/>
                                      <w:rPr>
                                        <w:sz w:val="74"/>
                                        <w:szCs w:val="74"/>
                                      </w:rPr>
                                    </w:pPr>
                                  </w:p>
                                  <w:p w14:paraId="6C4BC23A" w14:textId="77777777" w:rsidR="00147C8B" w:rsidRDefault="00147C8B" w:rsidP="00682390">
                                    <w:pPr>
                                      <w:jc w:val="right"/>
                                    </w:pPr>
                                  </w:p>
                                  <w:p w14:paraId="31670AC1" w14:textId="77777777" w:rsidR="00147C8B" w:rsidRPr="00812F22" w:rsidRDefault="00147C8B" w:rsidP="00682390">
                                    <w:pPr>
                                      <w:pStyle w:val="BodyText1"/>
                                      <w:jc w:val="right"/>
                                      <w:rPr>
                                        <w:b/>
                                        <w:color w:val="44546A" w:themeColor="text2"/>
                                        <w:sz w:val="36"/>
                                        <w:szCs w:val="36"/>
                                      </w:rPr>
                                    </w:pPr>
                                    <w:r w:rsidRPr="00682390">
                                      <w:rPr>
                                        <w:b/>
                                        <w:color w:val="44546A" w:themeColor="text2"/>
                                        <w:sz w:val="40"/>
                                        <w:szCs w:val="40"/>
                                      </w:rPr>
                                      <w:t>ԲՅՈՒՋԵՏԱՅԻՆ ՈՒՂԵՐՁ</w:t>
                                    </w:r>
                                    <w:r w:rsidRPr="00682390">
                                      <w:rPr>
                                        <w:b/>
                                        <w:color w:val="44546A" w:themeColor="text2"/>
                                        <w:sz w:val="70"/>
                                        <w:szCs w:val="70"/>
                                      </w:rPr>
                                      <w:t>2025 ԹՎԱԿԱՆԻ</w:t>
                                    </w:r>
                                    <w:r w:rsidRPr="00812F22">
                                      <w:rPr>
                                        <w:b/>
                                        <w:color w:val="44546A" w:themeColor="text2"/>
                                        <w:sz w:val="36"/>
                                        <w:szCs w:val="36"/>
                                      </w:rPr>
                                      <w:t>ՈՒՂԵՐՁ</w:t>
                                    </w:r>
                                    <w:r w:rsidRPr="00812F22">
                                      <w:rPr>
                                        <w:b/>
                                        <w:color w:val="44546A" w:themeColor="text2"/>
                                        <w:sz w:val="36"/>
                                        <w:szCs w:val="36"/>
                                        <w:lang w:val="hy-AM"/>
                                      </w:rPr>
                                      <w:t>-ԲԱՑԱՏՐԱԳԻՐ</w:t>
                                    </w:r>
                                  </w:p>
                                  <w:p w14:paraId="5914664D" w14:textId="77777777" w:rsidR="00147C8B" w:rsidRDefault="00147C8B"/>
                                  <w:p w14:paraId="7EA59027" w14:textId="77777777" w:rsidR="00147C8B" w:rsidRDefault="00147C8B"/>
                                  <w:p w14:paraId="309835DC"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5A56FEFB" w14:textId="77777777" w:rsidR="00147C8B" w:rsidRPr="00A3353C" w:rsidRDefault="00147C8B" w:rsidP="00682390">
                                    <w:pPr>
                                      <w:jc w:val="right"/>
                                      <w:rPr>
                                        <w:sz w:val="74"/>
                                        <w:szCs w:val="74"/>
                                      </w:rPr>
                                    </w:pPr>
                                  </w:p>
                                  <w:p w14:paraId="5680B6A7" w14:textId="77777777" w:rsidR="00147C8B" w:rsidRDefault="00147C8B" w:rsidP="00682390">
                                    <w:pPr>
                                      <w:jc w:val="right"/>
                                    </w:pPr>
                                  </w:p>
                                  <w:p w14:paraId="22EC0BD9"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 xml:space="preserve">2025 ԹՎԱԿԱՆԻ </w:t>
                                    </w:r>
                                  </w:p>
                                  <w:p w14:paraId="548F3BE1" w14:textId="77777777" w:rsidR="00147C8B" w:rsidRPr="00A3353C" w:rsidRDefault="00147C8B" w:rsidP="00682390">
                                    <w:pPr>
                                      <w:jc w:val="right"/>
                                      <w:rPr>
                                        <w:sz w:val="74"/>
                                        <w:szCs w:val="74"/>
                                      </w:rPr>
                                    </w:pPr>
                                  </w:p>
                                  <w:p w14:paraId="15F8FB7C" w14:textId="77777777" w:rsidR="00147C8B" w:rsidRDefault="00147C8B"/>
                                  <w:p w14:paraId="0BD4883C"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ՈՒՂԵՐՁ</w:t>
                                    </w:r>
                                    <w:r w:rsidRPr="00812F22">
                                      <w:rPr>
                                        <w:b/>
                                        <w:color w:val="44546A" w:themeColor="text2"/>
                                        <w:sz w:val="36"/>
                                        <w:szCs w:val="36"/>
                                        <w:lang w:val="hy-AM"/>
                                      </w:rPr>
                                      <w:t>-ԲԱՑԱՏՐԱԳԻՐ</w:t>
                                    </w: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737B2482" w14:textId="77777777" w:rsidR="00147C8B" w:rsidRPr="00A3353C" w:rsidRDefault="00147C8B" w:rsidP="00682390">
                                    <w:pPr>
                                      <w:jc w:val="right"/>
                                      <w:rPr>
                                        <w:sz w:val="74"/>
                                        <w:szCs w:val="74"/>
                                      </w:rPr>
                                    </w:pPr>
                                  </w:p>
                                  <w:p w14:paraId="563490B4" w14:textId="77777777" w:rsidR="00147C8B" w:rsidRDefault="00147C8B" w:rsidP="00682390">
                                    <w:pPr>
                                      <w:jc w:val="right"/>
                                    </w:pPr>
                                  </w:p>
                                  <w:p w14:paraId="39A01E6F" w14:textId="77777777" w:rsidR="00147C8B" w:rsidRPr="00812F22" w:rsidRDefault="00147C8B" w:rsidP="00682390">
                                    <w:pPr>
                                      <w:pStyle w:val="BodyText1"/>
                                      <w:jc w:val="right"/>
                                      <w:rPr>
                                        <w:b/>
                                        <w:color w:val="44546A" w:themeColor="text2"/>
                                        <w:sz w:val="36"/>
                                        <w:szCs w:val="36"/>
                                      </w:rPr>
                                    </w:pPr>
                                    <w:r w:rsidRPr="00682390">
                                      <w:rPr>
                                        <w:b/>
                                        <w:color w:val="44546A" w:themeColor="text2"/>
                                        <w:sz w:val="40"/>
                                        <w:szCs w:val="40"/>
                                      </w:rPr>
                                      <w:t>ԲՅՈՒՋԵՏԱՅԻՆ ՈՒՂԵՐՁ</w:t>
                                    </w:r>
                                    <w:r w:rsidRPr="00682390">
                                      <w:rPr>
                                        <w:b/>
                                        <w:color w:val="44546A" w:themeColor="text2"/>
                                        <w:sz w:val="70"/>
                                        <w:szCs w:val="70"/>
                                      </w:rPr>
                                      <w:t>2025 ԹՎԱԿԱՆԻ</w:t>
                                    </w:r>
                                    <w:r w:rsidRPr="00812F22">
                                      <w:rPr>
                                        <w:b/>
                                        <w:color w:val="44546A" w:themeColor="text2"/>
                                        <w:sz w:val="36"/>
                                        <w:szCs w:val="36"/>
                                      </w:rPr>
                                      <w:t>ՈՒՂԵՐՁ</w:t>
                                    </w:r>
                                    <w:r w:rsidRPr="00812F22">
                                      <w:rPr>
                                        <w:b/>
                                        <w:color w:val="44546A" w:themeColor="text2"/>
                                        <w:sz w:val="36"/>
                                        <w:szCs w:val="36"/>
                                        <w:lang w:val="hy-AM"/>
                                      </w:rPr>
                                      <w:t>-ԲԱՑԱՏՐԱԳԻՐ</w:t>
                                    </w:r>
                                  </w:p>
                                  <w:p w14:paraId="4EBC6862" w14:textId="77777777" w:rsidR="00147C8B" w:rsidRDefault="00147C8B"/>
                                  <w:p w14:paraId="2CFD4C32" w14:textId="77777777" w:rsidR="00147C8B" w:rsidRDefault="00147C8B"/>
                                  <w:p w14:paraId="0C60F6C7" w14:textId="77777777" w:rsidR="00147C8B" w:rsidRPr="00812F22" w:rsidRDefault="00147C8B" w:rsidP="00682390">
                                    <w:pPr>
                                      <w:pStyle w:val="BodyText1"/>
                                      <w:jc w:val="right"/>
                                      <w:rPr>
                                        <w:b/>
                                        <w:color w:val="44546A" w:themeColor="text2"/>
                                        <w:sz w:val="36"/>
                                        <w:szCs w:val="36"/>
                                      </w:rPr>
                                    </w:pPr>
                                    <w:r>
                                      <w:rPr>
                                        <w:b/>
                                        <w:color w:val="44546A" w:themeColor="text2"/>
                                        <w:sz w:val="36"/>
                                        <w:szCs w:val="36"/>
                                      </w:rPr>
                                      <w:t>2026</w:t>
                                    </w:r>
                                    <w:r w:rsidRPr="00812F22">
                                      <w:rPr>
                                        <w:b/>
                                        <w:color w:val="44546A" w:themeColor="text2"/>
                                        <w:sz w:val="36"/>
                                        <w:szCs w:val="36"/>
                                      </w:rPr>
                                      <w:t xml:space="preserve">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7EE7F73F" w14:textId="77777777" w:rsidR="00147C8B" w:rsidRPr="00A3353C" w:rsidRDefault="00147C8B" w:rsidP="00682390">
                                    <w:pPr>
                                      <w:jc w:val="right"/>
                                      <w:rPr>
                                        <w:sz w:val="74"/>
                                        <w:szCs w:val="74"/>
                                      </w:rPr>
                                    </w:pPr>
                                  </w:p>
                                  <w:p w14:paraId="24052C9E" w14:textId="77777777" w:rsidR="00147C8B" w:rsidRDefault="00147C8B" w:rsidP="00682390">
                                    <w:pPr>
                                      <w:jc w:val="right"/>
                                    </w:pPr>
                                  </w:p>
                                  <w:p w14:paraId="758D5F45"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 xml:space="preserve">2025 ԹՎԱԿԱՆԻ </w:t>
                                    </w:r>
                                  </w:p>
                                  <w:p w14:paraId="4B8CCAE8" w14:textId="77777777" w:rsidR="00147C8B" w:rsidRPr="00A3353C" w:rsidRDefault="00147C8B" w:rsidP="00682390">
                                    <w:pPr>
                                      <w:jc w:val="right"/>
                                      <w:rPr>
                                        <w:sz w:val="74"/>
                                        <w:szCs w:val="74"/>
                                      </w:rPr>
                                    </w:pPr>
                                  </w:p>
                                  <w:p w14:paraId="73511566" w14:textId="77777777" w:rsidR="00147C8B" w:rsidRDefault="00147C8B"/>
                                  <w:p w14:paraId="08AED235"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ՈՒՂԵՐՁ</w:t>
                                    </w:r>
                                    <w:r w:rsidRPr="00812F22">
                                      <w:rPr>
                                        <w:b/>
                                        <w:color w:val="44546A" w:themeColor="text2"/>
                                        <w:sz w:val="36"/>
                                        <w:szCs w:val="36"/>
                                        <w:lang w:val="hy-AM"/>
                                      </w:rPr>
                                      <w:t>-ԲԱՑԱՏՐԱԳԻՐ</w:t>
                                    </w: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35C30150" w14:textId="77777777" w:rsidR="00147C8B" w:rsidRPr="00A3353C" w:rsidRDefault="00147C8B" w:rsidP="00682390">
                                    <w:pPr>
                                      <w:jc w:val="right"/>
                                      <w:rPr>
                                        <w:sz w:val="74"/>
                                        <w:szCs w:val="74"/>
                                      </w:rPr>
                                    </w:pPr>
                                  </w:p>
                                  <w:p w14:paraId="15162D89" w14:textId="77777777" w:rsidR="00147C8B" w:rsidRDefault="00147C8B" w:rsidP="00682390">
                                    <w:pPr>
                                      <w:jc w:val="right"/>
                                    </w:pPr>
                                  </w:p>
                                  <w:p w14:paraId="0EDDA196"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 xml:space="preserve">2025 ԹՎԱԿԱՆԻ </w:t>
                                    </w:r>
                                  </w:p>
                                  <w:p w14:paraId="678CAF89" w14:textId="77777777" w:rsidR="00147C8B" w:rsidRPr="00A3353C" w:rsidRDefault="00147C8B" w:rsidP="00682390">
                                    <w:pPr>
                                      <w:jc w:val="right"/>
                                      <w:rPr>
                                        <w:sz w:val="74"/>
                                        <w:szCs w:val="74"/>
                                      </w:rPr>
                                    </w:pPr>
                                  </w:p>
                                  <w:p w14:paraId="1B3715E1" w14:textId="77777777" w:rsidR="00147C8B" w:rsidRDefault="00147C8B"/>
                                  <w:p w14:paraId="2B4F1CED"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15156ED1" w14:textId="77777777" w:rsidR="00147C8B" w:rsidRPr="00A3353C" w:rsidRDefault="00147C8B" w:rsidP="00682390">
                                    <w:pPr>
                                      <w:jc w:val="right"/>
                                      <w:rPr>
                                        <w:sz w:val="74"/>
                                        <w:szCs w:val="74"/>
                                      </w:rPr>
                                    </w:pPr>
                                  </w:p>
                                  <w:p w14:paraId="7248FCAC" w14:textId="77777777" w:rsidR="00147C8B" w:rsidRDefault="00147C8B" w:rsidP="00682390">
                                    <w:pPr>
                                      <w:jc w:val="right"/>
                                    </w:pPr>
                                  </w:p>
                                  <w:p w14:paraId="75124DE3"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 xml:space="preserve">2025 ԹՎԱԿԱՆԻ </w:t>
                                    </w:r>
                                  </w:p>
                                  <w:p w14:paraId="5A4303F6" w14:textId="77777777" w:rsidR="00147C8B" w:rsidRPr="00A3353C" w:rsidRDefault="00147C8B" w:rsidP="00682390">
                                    <w:pPr>
                                      <w:jc w:val="right"/>
                                      <w:rPr>
                                        <w:sz w:val="74"/>
                                        <w:szCs w:val="74"/>
                                      </w:rPr>
                                    </w:pPr>
                                  </w:p>
                                  <w:p w14:paraId="57FBD001" w14:textId="77777777" w:rsidR="00147C8B" w:rsidRDefault="00147C8B"/>
                                  <w:p w14:paraId="726795D2"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ՈՒՂԵՐՁ</w:t>
                                    </w:r>
                                    <w:r w:rsidRPr="00812F22">
                                      <w:rPr>
                                        <w:b/>
                                        <w:color w:val="44546A" w:themeColor="text2"/>
                                        <w:sz w:val="36"/>
                                        <w:szCs w:val="36"/>
                                        <w:lang w:val="hy-AM"/>
                                      </w:rPr>
                                      <w:t>-ԲԱՑԱՏՐԱԳԻՐ</w:t>
                                    </w: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0AEB82DE" w14:textId="77777777" w:rsidR="00147C8B" w:rsidRPr="00A3353C" w:rsidRDefault="00147C8B" w:rsidP="00682390">
                                    <w:pPr>
                                      <w:jc w:val="right"/>
                                      <w:rPr>
                                        <w:sz w:val="74"/>
                                        <w:szCs w:val="74"/>
                                      </w:rPr>
                                    </w:pPr>
                                  </w:p>
                                  <w:p w14:paraId="08082F95" w14:textId="77777777" w:rsidR="00147C8B" w:rsidRDefault="00147C8B" w:rsidP="00682390">
                                    <w:pPr>
                                      <w:jc w:val="right"/>
                                    </w:pPr>
                                  </w:p>
                                  <w:p w14:paraId="3D160BB2"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 xml:space="preserve">2025 ԹՎԱԿԱՆԻ </w:t>
                                    </w:r>
                                  </w:p>
                                  <w:p w14:paraId="11CB77B8" w14:textId="77777777" w:rsidR="00147C8B" w:rsidRPr="00A3353C" w:rsidRDefault="00147C8B" w:rsidP="00682390">
                                    <w:pPr>
                                      <w:jc w:val="right"/>
                                      <w:rPr>
                                        <w:sz w:val="74"/>
                                        <w:szCs w:val="74"/>
                                      </w:rPr>
                                    </w:pPr>
                                  </w:p>
                                  <w:p w14:paraId="45BC8F55" w14:textId="77777777" w:rsidR="00147C8B" w:rsidRDefault="00147C8B"/>
                                  <w:p w14:paraId="6DD38046" w14:textId="77777777" w:rsidR="00147C8B" w:rsidRPr="00812F22" w:rsidRDefault="00147C8B" w:rsidP="00682390">
                                    <w:pPr>
                                      <w:pStyle w:val="BodyText1"/>
                                      <w:jc w:val="right"/>
                                      <w:rPr>
                                        <w:b/>
                                        <w:color w:val="44546A" w:themeColor="text2"/>
                                        <w:sz w:val="36"/>
                                        <w:szCs w:val="36"/>
                                      </w:rPr>
                                    </w:pPr>
                                    <w:r>
                                      <w:rPr>
                                        <w:b/>
                                        <w:color w:val="44546A" w:themeColor="text2"/>
                                        <w:sz w:val="36"/>
                                        <w:szCs w:val="36"/>
                                      </w:rPr>
                                      <w:t>2026</w:t>
                                    </w:r>
                                    <w:r w:rsidRPr="00812F22">
                                      <w:rPr>
                                        <w:b/>
                                        <w:color w:val="44546A" w:themeColor="text2"/>
                                        <w:sz w:val="36"/>
                                        <w:szCs w:val="36"/>
                                      </w:rPr>
                                      <w:t xml:space="preserve">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65ECF9CF" w14:textId="77777777" w:rsidR="00147C8B" w:rsidRPr="00A3353C" w:rsidRDefault="00147C8B" w:rsidP="00682390">
                                    <w:pPr>
                                      <w:jc w:val="right"/>
                                      <w:rPr>
                                        <w:sz w:val="74"/>
                                        <w:szCs w:val="74"/>
                                      </w:rPr>
                                    </w:pPr>
                                  </w:p>
                                  <w:p w14:paraId="4F38681E" w14:textId="77777777" w:rsidR="00147C8B" w:rsidRDefault="00147C8B" w:rsidP="00682390">
                                    <w:pPr>
                                      <w:jc w:val="right"/>
                                    </w:pPr>
                                  </w:p>
                                  <w:p w14:paraId="41FF32A5"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 xml:space="preserve">2025 ԹՎԱԿԱՆԻ </w:t>
                                    </w:r>
                                  </w:p>
                                  <w:p w14:paraId="7646C56C" w14:textId="77777777" w:rsidR="00147C8B" w:rsidRPr="00A3353C" w:rsidRDefault="00147C8B" w:rsidP="00682390">
                                    <w:pPr>
                                      <w:jc w:val="right"/>
                                      <w:rPr>
                                        <w:sz w:val="74"/>
                                        <w:szCs w:val="74"/>
                                      </w:rPr>
                                    </w:pPr>
                                  </w:p>
                                  <w:p w14:paraId="1410A624" w14:textId="77777777" w:rsidR="00147C8B" w:rsidRDefault="00147C8B"/>
                                  <w:p w14:paraId="5DC267C0"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ՈՒՂԵՐՁ</w:t>
                                    </w:r>
                                    <w:r w:rsidRPr="00812F22">
                                      <w:rPr>
                                        <w:b/>
                                        <w:color w:val="44546A" w:themeColor="text2"/>
                                        <w:sz w:val="36"/>
                                        <w:szCs w:val="36"/>
                                        <w:lang w:val="hy-AM"/>
                                      </w:rPr>
                                      <w:t>-ԲԱՑԱՏՐԱԳԻՐ</w:t>
                                    </w: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06132531" w14:textId="77777777" w:rsidR="00147C8B" w:rsidRPr="00A3353C" w:rsidRDefault="00147C8B" w:rsidP="00682390">
                                    <w:pPr>
                                      <w:jc w:val="right"/>
                                      <w:rPr>
                                        <w:sz w:val="74"/>
                                        <w:szCs w:val="74"/>
                                      </w:rPr>
                                    </w:pPr>
                                  </w:p>
                                  <w:p w14:paraId="2786869E" w14:textId="77777777" w:rsidR="00147C8B" w:rsidRDefault="00147C8B" w:rsidP="00682390">
                                    <w:pPr>
                                      <w:jc w:val="right"/>
                                    </w:pPr>
                                  </w:p>
                                  <w:p w14:paraId="6EE72F9E"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 xml:space="preserve">2025 ԹՎԱԿԱՆԻ </w:t>
                                    </w:r>
                                  </w:p>
                                  <w:p w14:paraId="361AA088" w14:textId="77777777" w:rsidR="00147C8B" w:rsidRPr="00A3353C" w:rsidRDefault="00147C8B" w:rsidP="00682390">
                                    <w:pPr>
                                      <w:jc w:val="right"/>
                                      <w:rPr>
                                        <w:sz w:val="74"/>
                                        <w:szCs w:val="74"/>
                                      </w:rPr>
                                    </w:pPr>
                                  </w:p>
                                  <w:p w14:paraId="368D5D0B" w14:textId="77777777" w:rsidR="00147C8B" w:rsidRDefault="00147C8B"/>
                                  <w:p w14:paraId="68374E74"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2CC9A1B7" w14:textId="77777777" w:rsidR="00147C8B" w:rsidRPr="00A3353C" w:rsidRDefault="00147C8B" w:rsidP="00682390">
                                    <w:pPr>
                                      <w:jc w:val="right"/>
                                      <w:rPr>
                                        <w:sz w:val="74"/>
                                        <w:szCs w:val="74"/>
                                      </w:rPr>
                                    </w:pPr>
                                  </w:p>
                                  <w:p w14:paraId="4E4DC0B2" w14:textId="77777777" w:rsidR="00147C8B" w:rsidRDefault="00147C8B" w:rsidP="00682390">
                                    <w:pPr>
                                      <w:jc w:val="right"/>
                                    </w:pPr>
                                  </w:p>
                                  <w:p w14:paraId="17E656FD"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 xml:space="preserve">2025 ԹՎԱԿԱՆԻ </w:t>
                                    </w:r>
                                  </w:p>
                                  <w:p w14:paraId="7AA3F815" w14:textId="77777777" w:rsidR="00147C8B" w:rsidRPr="00A3353C" w:rsidRDefault="00147C8B" w:rsidP="00682390">
                                    <w:pPr>
                                      <w:jc w:val="right"/>
                                      <w:rPr>
                                        <w:sz w:val="74"/>
                                        <w:szCs w:val="74"/>
                                      </w:rPr>
                                    </w:pPr>
                                  </w:p>
                                  <w:p w14:paraId="7F71251A" w14:textId="77777777" w:rsidR="00147C8B" w:rsidRDefault="00147C8B"/>
                                  <w:p w14:paraId="32A950CE"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ՈՒՂԵՐՁ</w:t>
                                    </w:r>
                                    <w:r w:rsidRPr="00812F22">
                                      <w:rPr>
                                        <w:b/>
                                        <w:color w:val="44546A" w:themeColor="text2"/>
                                        <w:sz w:val="36"/>
                                        <w:szCs w:val="36"/>
                                        <w:lang w:val="hy-AM"/>
                                      </w:rPr>
                                      <w:t>-ԲԱՑԱՏՐԱԳԻՐ</w:t>
                                    </w: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248DBA24" w14:textId="77777777" w:rsidR="00147C8B" w:rsidRPr="00A3353C" w:rsidRDefault="00147C8B" w:rsidP="00682390">
                                    <w:pPr>
                                      <w:jc w:val="right"/>
                                      <w:rPr>
                                        <w:sz w:val="74"/>
                                        <w:szCs w:val="74"/>
                                      </w:rPr>
                                    </w:pPr>
                                  </w:p>
                                  <w:p w14:paraId="6C2ABF9B" w14:textId="77777777" w:rsidR="00147C8B" w:rsidRDefault="00147C8B" w:rsidP="00682390">
                                    <w:pPr>
                                      <w:jc w:val="right"/>
                                    </w:pPr>
                                  </w:p>
                                  <w:p w14:paraId="3F0596EB" w14:textId="77777777" w:rsidR="00147C8B" w:rsidRPr="00812F22" w:rsidRDefault="00147C8B" w:rsidP="00682390">
                                    <w:pPr>
                                      <w:pStyle w:val="BodyText1"/>
                                      <w:jc w:val="right"/>
                                      <w:rPr>
                                        <w:b/>
                                        <w:color w:val="44546A" w:themeColor="text2"/>
                                        <w:sz w:val="36"/>
                                        <w:szCs w:val="36"/>
                                      </w:rPr>
                                    </w:pPr>
                                    <w:r w:rsidRPr="00682390">
                                      <w:rPr>
                                        <w:b/>
                                        <w:color w:val="44546A" w:themeColor="text2"/>
                                        <w:sz w:val="40"/>
                                        <w:szCs w:val="40"/>
                                      </w:rPr>
                                      <w:t>ԲՅՈՒՋԵՏԱՅԻՆ ՈՒՂԵՐՁ</w:t>
                                    </w:r>
                                    <w:r w:rsidRPr="00682390">
                                      <w:rPr>
                                        <w:b/>
                                        <w:color w:val="44546A" w:themeColor="text2"/>
                                        <w:sz w:val="70"/>
                                        <w:szCs w:val="70"/>
                                      </w:rPr>
                                      <w:t>2025 ԹՎԱԿԱՆԻ</w:t>
                                    </w:r>
                                    <w:r w:rsidRPr="00812F22">
                                      <w:rPr>
                                        <w:b/>
                                        <w:color w:val="44546A" w:themeColor="text2"/>
                                        <w:sz w:val="36"/>
                                        <w:szCs w:val="36"/>
                                      </w:rPr>
                                      <w:t>ՈՒՂԵՐՁ</w:t>
                                    </w:r>
                                    <w:r w:rsidRPr="00812F22">
                                      <w:rPr>
                                        <w:b/>
                                        <w:color w:val="44546A" w:themeColor="text2"/>
                                        <w:sz w:val="36"/>
                                        <w:szCs w:val="36"/>
                                        <w:lang w:val="hy-AM"/>
                                      </w:rPr>
                                      <w:t>-ԲԱՑԱՏՐԱԳԻՐ</w:t>
                                    </w:r>
                                  </w:p>
                                  <w:p w14:paraId="547B87B7" w14:textId="77777777" w:rsidR="00147C8B" w:rsidRDefault="00147C8B"/>
                                  <w:p w14:paraId="22126939" w14:textId="77777777" w:rsidR="00147C8B" w:rsidRDefault="00147C8B"/>
                                  <w:p w14:paraId="375B7F35"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4C2BE361" w14:textId="77777777" w:rsidR="00147C8B" w:rsidRPr="00A3353C" w:rsidRDefault="00147C8B" w:rsidP="00682390">
                                    <w:pPr>
                                      <w:jc w:val="right"/>
                                      <w:rPr>
                                        <w:sz w:val="74"/>
                                        <w:szCs w:val="74"/>
                                      </w:rPr>
                                    </w:pPr>
                                  </w:p>
                                  <w:p w14:paraId="4ABED2E2" w14:textId="77777777" w:rsidR="00147C8B" w:rsidRDefault="00147C8B" w:rsidP="00682390">
                                    <w:pPr>
                                      <w:jc w:val="right"/>
                                    </w:pPr>
                                  </w:p>
                                  <w:p w14:paraId="15AD0F5B"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 xml:space="preserve">2025 ԹՎԱԿԱՆԻ </w:t>
                                    </w:r>
                                  </w:p>
                                  <w:p w14:paraId="2B32D513" w14:textId="77777777" w:rsidR="00147C8B" w:rsidRPr="00A3353C" w:rsidRDefault="00147C8B" w:rsidP="00682390">
                                    <w:pPr>
                                      <w:jc w:val="right"/>
                                      <w:rPr>
                                        <w:sz w:val="74"/>
                                        <w:szCs w:val="74"/>
                                      </w:rPr>
                                    </w:pPr>
                                  </w:p>
                                  <w:p w14:paraId="58250A86" w14:textId="77777777" w:rsidR="00147C8B" w:rsidRDefault="00147C8B"/>
                                  <w:p w14:paraId="2011A19B"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ՈՒՂԵՐՁ</w:t>
                                    </w:r>
                                    <w:r w:rsidRPr="00812F22">
                                      <w:rPr>
                                        <w:b/>
                                        <w:color w:val="44546A" w:themeColor="text2"/>
                                        <w:sz w:val="36"/>
                                        <w:szCs w:val="36"/>
                                        <w:lang w:val="hy-AM"/>
                                      </w:rPr>
                                      <w:t>-ԲԱՑԱՏՐԱԳԻՐ</w:t>
                                    </w: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5F717280" w14:textId="77777777" w:rsidR="00147C8B" w:rsidRPr="00A3353C" w:rsidRDefault="00147C8B" w:rsidP="00682390">
                                    <w:pPr>
                                      <w:jc w:val="right"/>
                                      <w:rPr>
                                        <w:sz w:val="74"/>
                                        <w:szCs w:val="74"/>
                                      </w:rPr>
                                    </w:pPr>
                                  </w:p>
                                  <w:p w14:paraId="1E428560" w14:textId="77777777" w:rsidR="00147C8B" w:rsidRDefault="00147C8B" w:rsidP="00682390">
                                    <w:pPr>
                                      <w:jc w:val="right"/>
                                    </w:pPr>
                                  </w:p>
                                  <w:p w14:paraId="7903646D" w14:textId="77777777" w:rsidR="00147C8B" w:rsidRPr="00812F22" w:rsidRDefault="00147C8B" w:rsidP="00682390">
                                    <w:pPr>
                                      <w:pStyle w:val="BodyText1"/>
                                      <w:jc w:val="right"/>
                                      <w:rPr>
                                        <w:b/>
                                        <w:color w:val="44546A" w:themeColor="text2"/>
                                        <w:sz w:val="36"/>
                                        <w:szCs w:val="36"/>
                                      </w:rPr>
                                    </w:pPr>
                                    <w:r w:rsidRPr="00682390">
                                      <w:rPr>
                                        <w:b/>
                                        <w:color w:val="44546A" w:themeColor="text2"/>
                                        <w:sz w:val="40"/>
                                        <w:szCs w:val="40"/>
                                      </w:rPr>
                                      <w:t>ԲՅՈՒՋԵՏԱՅԻՆ ՈՒՂԵՐՁ</w:t>
                                    </w:r>
                                    <w:r w:rsidRPr="00682390">
                                      <w:rPr>
                                        <w:b/>
                                        <w:color w:val="44546A" w:themeColor="text2"/>
                                        <w:sz w:val="70"/>
                                        <w:szCs w:val="70"/>
                                      </w:rPr>
                                      <w:t>2025 ԹՎԱԿԱՆԻ</w:t>
                                    </w:r>
                                    <w:r w:rsidRPr="00812F22">
                                      <w:rPr>
                                        <w:b/>
                                        <w:color w:val="44546A" w:themeColor="text2"/>
                                        <w:sz w:val="36"/>
                                        <w:szCs w:val="36"/>
                                      </w:rPr>
                                      <w:t>ՈՒՂԵՐՁ</w:t>
                                    </w:r>
                                    <w:r w:rsidRPr="00812F22">
                                      <w:rPr>
                                        <w:b/>
                                        <w:color w:val="44546A" w:themeColor="text2"/>
                                        <w:sz w:val="36"/>
                                        <w:szCs w:val="36"/>
                                        <w:lang w:val="hy-AM"/>
                                      </w:rPr>
                                      <w:t>-ԲԱՑԱՏՐԱԳԻՐ</w:t>
                                    </w:r>
                                  </w:p>
                                  <w:p w14:paraId="12309E6A" w14:textId="77777777" w:rsidR="00147C8B" w:rsidRDefault="00147C8B"/>
                                  <w:p w14:paraId="6E3A02E0" w14:textId="77777777" w:rsidR="00147C8B" w:rsidRDefault="00147C8B"/>
                                  <w:p w14:paraId="428D3852" w14:textId="77777777" w:rsidR="00147C8B" w:rsidRPr="00812F22" w:rsidRDefault="00147C8B" w:rsidP="00682390">
                                    <w:pPr>
                                      <w:pStyle w:val="BodyText1"/>
                                      <w:jc w:val="right"/>
                                      <w:rPr>
                                        <w:b/>
                                        <w:color w:val="44546A" w:themeColor="text2"/>
                                        <w:sz w:val="36"/>
                                        <w:szCs w:val="36"/>
                                      </w:rPr>
                                    </w:pPr>
                                    <w:r>
                                      <w:rPr>
                                        <w:b/>
                                        <w:color w:val="44546A" w:themeColor="text2"/>
                                        <w:sz w:val="36"/>
                                        <w:szCs w:val="36"/>
                                      </w:rPr>
                                      <w:t>2026</w:t>
                                    </w:r>
                                    <w:r w:rsidRPr="00812F22">
                                      <w:rPr>
                                        <w:b/>
                                        <w:color w:val="44546A" w:themeColor="text2"/>
                                        <w:sz w:val="36"/>
                                        <w:szCs w:val="36"/>
                                      </w:rPr>
                                      <w:t xml:space="preserve">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3EB67FD3" w14:textId="77777777" w:rsidR="00147C8B" w:rsidRPr="00A3353C" w:rsidRDefault="00147C8B" w:rsidP="00682390">
                                    <w:pPr>
                                      <w:jc w:val="right"/>
                                      <w:rPr>
                                        <w:sz w:val="74"/>
                                        <w:szCs w:val="74"/>
                                      </w:rPr>
                                    </w:pPr>
                                  </w:p>
                                  <w:p w14:paraId="7A5299EA" w14:textId="77777777" w:rsidR="00147C8B" w:rsidRDefault="00147C8B" w:rsidP="00682390">
                                    <w:pPr>
                                      <w:jc w:val="right"/>
                                    </w:pPr>
                                  </w:p>
                                  <w:p w14:paraId="4DE7A529"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 xml:space="preserve">2025 ԹՎԱԿԱՆԻ </w:t>
                                    </w:r>
                                  </w:p>
                                  <w:p w14:paraId="4AB7F92D" w14:textId="77777777" w:rsidR="00147C8B" w:rsidRPr="00A3353C" w:rsidRDefault="00147C8B" w:rsidP="00682390">
                                    <w:pPr>
                                      <w:jc w:val="right"/>
                                      <w:rPr>
                                        <w:sz w:val="74"/>
                                        <w:szCs w:val="74"/>
                                      </w:rPr>
                                    </w:pPr>
                                  </w:p>
                                  <w:p w14:paraId="0EDF00AD" w14:textId="77777777" w:rsidR="00147C8B" w:rsidRDefault="00147C8B"/>
                                  <w:p w14:paraId="1C29B1B6"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ՈՒՂԵՐՁ</w:t>
                                    </w:r>
                                    <w:r w:rsidRPr="00812F22">
                                      <w:rPr>
                                        <w:b/>
                                        <w:color w:val="44546A" w:themeColor="text2"/>
                                        <w:sz w:val="36"/>
                                        <w:szCs w:val="36"/>
                                        <w:lang w:val="hy-AM"/>
                                      </w:rPr>
                                      <w:t>-ԲԱՑԱՏՐԱԳԻՐ</w:t>
                                    </w: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069343D3" w14:textId="77777777" w:rsidR="00147C8B" w:rsidRPr="00A3353C" w:rsidRDefault="00147C8B" w:rsidP="00682390">
                                    <w:pPr>
                                      <w:jc w:val="right"/>
                                      <w:rPr>
                                        <w:sz w:val="74"/>
                                        <w:szCs w:val="74"/>
                                      </w:rPr>
                                    </w:pPr>
                                  </w:p>
                                  <w:p w14:paraId="5A9DABAD" w14:textId="77777777" w:rsidR="00147C8B" w:rsidRDefault="00147C8B" w:rsidP="00682390">
                                    <w:pPr>
                                      <w:jc w:val="right"/>
                                    </w:pPr>
                                  </w:p>
                                  <w:p w14:paraId="6DCFE443"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 xml:space="preserve">2025 ԹՎԱԿԱՆԻ </w:t>
                                    </w:r>
                                  </w:p>
                                  <w:p w14:paraId="5B74C511" w14:textId="77777777" w:rsidR="00147C8B" w:rsidRPr="00A3353C" w:rsidRDefault="00147C8B" w:rsidP="00682390">
                                    <w:pPr>
                                      <w:jc w:val="right"/>
                                      <w:rPr>
                                        <w:sz w:val="74"/>
                                        <w:szCs w:val="74"/>
                                      </w:rPr>
                                    </w:pPr>
                                  </w:p>
                                  <w:p w14:paraId="29B8F837" w14:textId="77777777" w:rsidR="00147C8B" w:rsidRDefault="00147C8B"/>
                                  <w:p w14:paraId="3817240E"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6ACF1143" w14:textId="77777777" w:rsidR="00147C8B" w:rsidRPr="00A3353C" w:rsidRDefault="00147C8B" w:rsidP="00682390">
                                    <w:pPr>
                                      <w:jc w:val="right"/>
                                      <w:rPr>
                                        <w:sz w:val="74"/>
                                        <w:szCs w:val="74"/>
                                      </w:rPr>
                                    </w:pPr>
                                  </w:p>
                                  <w:p w14:paraId="24D631ED" w14:textId="77777777" w:rsidR="00147C8B" w:rsidRDefault="00147C8B" w:rsidP="00682390">
                                    <w:pPr>
                                      <w:jc w:val="right"/>
                                    </w:pPr>
                                  </w:p>
                                  <w:p w14:paraId="48460ADE"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 xml:space="preserve">2025 ԹՎԱԿԱՆԻ </w:t>
                                    </w:r>
                                  </w:p>
                                  <w:p w14:paraId="421BC236" w14:textId="77777777" w:rsidR="00147C8B" w:rsidRPr="00A3353C" w:rsidRDefault="00147C8B" w:rsidP="00682390">
                                    <w:pPr>
                                      <w:jc w:val="right"/>
                                      <w:rPr>
                                        <w:sz w:val="74"/>
                                        <w:szCs w:val="74"/>
                                      </w:rPr>
                                    </w:pPr>
                                  </w:p>
                                  <w:p w14:paraId="3DF66A1C" w14:textId="77777777" w:rsidR="00147C8B" w:rsidRDefault="00147C8B"/>
                                  <w:p w14:paraId="31517B81"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ՈՒՂԵՐՁ</w:t>
                                    </w:r>
                                    <w:r w:rsidRPr="00812F22">
                                      <w:rPr>
                                        <w:b/>
                                        <w:color w:val="44546A" w:themeColor="text2"/>
                                        <w:sz w:val="36"/>
                                        <w:szCs w:val="36"/>
                                        <w:lang w:val="hy-AM"/>
                                      </w:rPr>
                                      <w:t>-ԲԱՑԱՏՐԱԳԻՐ</w:t>
                                    </w: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1DFBDAB5" w14:textId="77777777" w:rsidR="00147C8B" w:rsidRPr="00A3353C" w:rsidRDefault="00147C8B" w:rsidP="00682390">
                                    <w:pPr>
                                      <w:jc w:val="right"/>
                                      <w:rPr>
                                        <w:sz w:val="74"/>
                                        <w:szCs w:val="74"/>
                                      </w:rPr>
                                    </w:pPr>
                                  </w:p>
                                  <w:p w14:paraId="6202193C" w14:textId="77777777" w:rsidR="00147C8B" w:rsidRDefault="00147C8B" w:rsidP="00682390">
                                    <w:pPr>
                                      <w:jc w:val="right"/>
                                    </w:pPr>
                                  </w:p>
                                  <w:p w14:paraId="058EF794" w14:textId="77777777" w:rsidR="00147C8B" w:rsidRPr="00812F22" w:rsidRDefault="00147C8B" w:rsidP="00682390">
                                    <w:pPr>
                                      <w:pStyle w:val="BodyText1"/>
                                      <w:jc w:val="right"/>
                                      <w:rPr>
                                        <w:b/>
                                        <w:color w:val="44546A" w:themeColor="text2"/>
                                        <w:sz w:val="36"/>
                                        <w:szCs w:val="36"/>
                                      </w:rPr>
                                    </w:pPr>
                                    <w:r w:rsidRPr="00682390">
                                      <w:rPr>
                                        <w:b/>
                                        <w:color w:val="44546A" w:themeColor="text2"/>
                                        <w:sz w:val="40"/>
                                        <w:szCs w:val="40"/>
                                      </w:rPr>
                                      <w:t>ԲՅՈՒՋԵՏԱՅԻՆ ՈՒՂԵՐՁ</w:t>
                                    </w:r>
                                    <w:r w:rsidRPr="00682390">
                                      <w:rPr>
                                        <w:b/>
                                        <w:color w:val="44546A" w:themeColor="text2"/>
                                        <w:sz w:val="70"/>
                                        <w:szCs w:val="70"/>
                                      </w:rPr>
                                      <w:t>2025 ԹՎԱԿԱՆԻ</w:t>
                                    </w:r>
                                    <w:r w:rsidRPr="00812F22">
                                      <w:rPr>
                                        <w:b/>
                                        <w:color w:val="44546A" w:themeColor="text2"/>
                                        <w:sz w:val="36"/>
                                        <w:szCs w:val="36"/>
                                      </w:rPr>
                                      <w:t>ՈՒՂԵՐՁ</w:t>
                                    </w:r>
                                    <w:r w:rsidRPr="00812F22">
                                      <w:rPr>
                                        <w:b/>
                                        <w:color w:val="44546A" w:themeColor="text2"/>
                                        <w:sz w:val="36"/>
                                        <w:szCs w:val="36"/>
                                        <w:lang w:val="hy-AM"/>
                                      </w:rPr>
                                      <w:t>-ԲԱՑԱՏՐԱԳԻՐ</w:t>
                                    </w:r>
                                  </w:p>
                                  <w:p w14:paraId="58BCA801" w14:textId="77777777" w:rsidR="00147C8B" w:rsidRDefault="00147C8B"/>
                                  <w:p w14:paraId="588613E4" w14:textId="77777777" w:rsidR="00147C8B" w:rsidRDefault="00147C8B"/>
                                  <w:p w14:paraId="2AB5F064"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20D3E8A6" w14:textId="77777777" w:rsidR="00147C8B" w:rsidRPr="00A3353C" w:rsidRDefault="00147C8B" w:rsidP="00682390">
                                    <w:pPr>
                                      <w:jc w:val="right"/>
                                      <w:rPr>
                                        <w:sz w:val="74"/>
                                        <w:szCs w:val="74"/>
                                      </w:rPr>
                                    </w:pPr>
                                  </w:p>
                                  <w:p w14:paraId="7C90E43E" w14:textId="77777777" w:rsidR="00147C8B" w:rsidRDefault="00147C8B" w:rsidP="00682390">
                                    <w:pPr>
                                      <w:jc w:val="right"/>
                                    </w:pPr>
                                  </w:p>
                                  <w:p w14:paraId="5D912AB6"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 xml:space="preserve">2025 ԹՎԱԿԱՆԻ </w:t>
                                    </w:r>
                                  </w:p>
                                  <w:p w14:paraId="252082A0" w14:textId="77777777" w:rsidR="00147C8B" w:rsidRPr="00A3353C" w:rsidRDefault="00147C8B" w:rsidP="00682390">
                                    <w:pPr>
                                      <w:jc w:val="right"/>
                                      <w:rPr>
                                        <w:sz w:val="74"/>
                                        <w:szCs w:val="74"/>
                                      </w:rPr>
                                    </w:pPr>
                                  </w:p>
                                  <w:p w14:paraId="6B400D4A" w14:textId="77777777" w:rsidR="00147C8B" w:rsidRDefault="00147C8B"/>
                                  <w:p w14:paraId="134AAF92"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ՈՒՂԵՐՁ</w:t>
                                    </w:r>
                                    <w:r w:rsidRPr="00812F22">
                                      <w:rPr>
                                        <w:b/>
                                        <w:color w:val="44546A" w:themeColor="text2"/>
                                        <w:sz w:val="36"/>
                                        <w:szCs w:val="36"/>
                                        <w:lang w:val="hy-AM"/>
                                      </w:rPr>
                                      <w:t>-ԲԱՑԱՏՐԱԳԻՐ</w:t>
                                    </w: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333E25DE" w14:textId="77777777" w:rsidR="00147C8B" w:rsidRPr="00A3353C" w:rsidRDefault="00147C8B" w:rsidP="00682390">
                                    <w:pPr>
                                      <w:jc w:val="right"/>
                                      <w:rPr>
                                        <w:sz w:val="74"/>
                                        <w:szCs w:val="74"/>
                                      </w:rPr>
                                    </w:pPr>
                                  </w:p>
                                  <w:p w14:paraId="723F8778" w14:textId="77777777" w:rsidR="00147C8B" w:rsidRDefault="00147C8B" w:rsidP="00682390">
                                    <w:pPr>
                                      <w:jc w:val="right"/>
                                    </w:pPr>
                                  </w:p>
                                  <w:p w14:paraId="0A3CEDEC" w14:textId="77777777" w:rsidR="00147C8B" w:rsidRPr="00812F22" w:rsidRDefault="00147C8B" w:rsidP="00682390">
                                    <w:pPr>
                                      <w:pStyle w:val="BodyText1"/>
                                      <w:jc w:val="right"/>
                                      <w:rPr>
                                        <w:b/>
                                        <w:color w:val="44546A" w:themeColor="text2"/>
                                        <w:sz w:val="36"/>
                                        <w:szCs w:val="36"/>
                                      </w:rPr>
                                    </w:pPr>
                                    <w:r w:rsidRPr="00682390">
                                      <w:rPr>
                                        <w:b/>
                                        <w:color w:val="44546A" w:themeColor="text2"/>
                                        <w:sz w:val="40"/>
                                        <w:szCs w:val="40"/>
                                      </w:rPr>
                                      <w:t>ԲՅՈՒՋԵՏԱՅԻՆ ՈՒՂԵՐՁ</w:t>
                                    </w:r>
                                    <w:r w:rsidRPr="00682390">
                                      <w:rPr>
                                        <w:b/>
                                        <w:color w:val="44546A" w:themeColor="text2"/>
                                        <w:sz w:val="70"/>
                                        <w:szCs w:val="70"/>
                                      </w:rPr>
                                      <w:t>2025 ԹՎԱԿԱՆԻ</w:t>
                                    </w:r>
                                    <w:r w:rsidRPr="00812F22">
                                      <w:rPr>
                                        <w:b/>
                                        <w:color w:val="44546A" w:themeColor="text2"/>
                                        <w:sz w:val="36"/>
                                        <w:szCs w:val="36"/>
                                      </w:rPr>
                                      <w:t>ՈՒՂԵՐՁ</w:t>
                                    </w:r>
                                    <w:r w:rsidRPr="00812F22">
                                      <w:rPr>
                                        <w:b/>
                                        <w:color w:val="44546A" w:themeColor="text2"/>
                                        <w:sz w:val="36"/>
                                        <w:szCs w:val="36"/>
                                        <w:lang w:val="hy-AM"/>
                                      </w:rPr>
                                      <w:t>-ԲԱՑԱՏՐԱԳԻՐ</w:t>
                                    </w:r>
                                  </w:p>
                                  <w:p w14:paraId="5E803CCA" w14:textId="77777777" w:rsidR="00147C8B" w:rsidRDefault="00147C8B"/>
                                  <w:p w14:paraId="78A90B37" w14:textId="77777777" w:rsidR="00147C8B" w:rsidRDefault="00147C8B"/>
                                  <w:p w14:paraId="08202429" w14:textId="77777777" w:rsidR="00147C8B" w:rsidRPr="00812F22" w:rsidRDefault="00147C8B" w:rsidP="00682390">
                                    <w:pPr>
                                      <w:pStyle w:val="BodyText1"/>
                                      <w:jc w:val="right"/>
                                      <w:rPr>
                                        <w:b/>
                                        <w:color w:val="44546A" w:themeColor="text2"/>
                                        <w:sz w:val="36"/>
                                        <w:szCs w:val="36"/>
                                      </w:rPr>
                                    </w:pPr>
                                    <w:r>
                                      <w:rPr>
                                        <w:b/>
                                        <w:color w:val="44546A" w:themeColor="text2"/>
                                        <w:sz w:val="36"/>
                                        <w:szCs w:val="36"/>
                                      </w:rPr>
                                      <w:t>2026</w:t>
                                    </w:r>
                                    <w:r w:rsidRPr="00812F22">
                                      <w:rPr>
                                        <w:b/>
                                        <w:color w:val="44546A" w:themeColor="text2"/>
                                        <w:sz w:val="36"/>
                                        <w:szCs w:val="36"/>
                                      </w:rPr>
                                      <w:t xml:space="preserve">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5417F104" w14:textId="77777777" w:rsidR="00147C8B" w:rsidRPr="00A3353C" w:rsidRDefault="00147C8B" w:rsidP="00682390">
                                    <w:pPr>
                                      <w:jc w:val="right"/>
                                      <w:rPr>
                                        <w:sz w:val="74"/>
                                        <w:szCs w:val="74"/>
                                      </w:rPr>
                                    </w:pPr>
                                  </w:p>
                                  <w:p w14:paraId="3586022B" w14:textId="77777777" w:rsidR="00147C8B" w:rsidRDefault="00147C8B" w:rsidP="00682390">
                                    <w:pPr>
                                      <w:jc w:val="right"/>
                                    </w:pPr>
                                  </w:p>
                                  <w:p w14:paraId="710DEBAF"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 xml:space="preserve">2025 ԹՎԱԿԱՆԻ </w:t>
                                    </w:r>
                                  </w:p>
                                  <w:p w14:paraId="3E177E07" w14:textId="77777777" w:rsidR="00147C8B" w:rsidRPr="00A3353C" w:rsidRDefault="00147C8B" w:rsidP="00682390">
                                    <w:pPr>
                                      <w:jc w:val="right"/>
                                      <w:rPr>
                                        <w:sz w:val="74"/>
                                        <w:szCs w:val="74"/>
                                      </w:rPr>
                                    </w:pPr>
                                  </w:p>
                                  <w:p w14:paraId="264AAA49" w14:textId="77777777" w:rsidR="00147C8B" w:rsidRDefault="00147C8B"/>
                                  <w:p w14:paraId="197380E6"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ՈՒՂԵՐՁ</w:t>
                                    </w:r>
                                    <w:r w:rsidRPr="00812F22">
                                      <w:rPr>
                                        <w:b/>
                                        <w:color w:val="44546A" w:themeColor="text2"/>
                                        <w:sz w:val="36"/>
                                        <w:szCs w:val="36"/>
                                        <w:lang w:val="hy-AM"/>
                                      </w:rPr>
                                      <w:t>-ԲԱՑԱՏՐԱԳԻՐ</w:t>
                                    </w: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7F24AAE1" w14:textId="77777777" w:rsidR="00147C8B" w:rsidRPr="00A3353C" w:rsidRDefault="00147C8B" w:rsidP="00682390">
                                    <w:pPr>
                                      <w:jc w:val="right"/>
                                      <w:rPr>
                                        <w:sz w:val="74"/>
                                        <w:szCs w:val="74"/>
                                      </w:rPr>
                                    </w:pPr>
                                  </w:p>
                                  <w:p w14:paraId="3CBC63D6" w14:textId="77777777" w:rsidR="00147C8B" w:rsidRDefault="00147C8B" w:rsidP="00682390">
                                    <w:pPr>
                                      <w:jc w:val="right"/>
                                    </w:pPr>
                                  </w:p>
                                  <w:p w14:paraId="224EEA60"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 xml:space="preserve">2025 ԹՎԱԿԱՆԻ </w:t>
                                    </w:r>
                                  </w:p>
                                  <w:p w14:paraId="4882325A" w14:textId="77777777" w:rsidR="00147C8B" w:rsidRPr="00A3353C" w:rsidRDefault="00147C8B" w:rsidP="00682390">
                                    <w:pPr>
                                      <w:jc w:val="right"/>
                                      <w:rPr>
                                        <w:sz w:val="74"/>
                                        <w:szCs w:val="74"/>
                                      </w:rPr>
                                    </w:pPr>
                                  </w:p>
                                  <w:p w14:paraId="45D2797E" w14:textId="77777777" w:rsidR="00147C8B" w:rsidRDefault="00147C8B"/>
                                  <w:p w14:paraId="368BA599"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265CBBB8" w14:textId="77777777" w:rsidR="00147C8B" w:rsidRPr="00A3353C" w:rsidRDefault="00147C8B" w:rsidP="00682390">
                                    <w:pPr>
                                      <w:jc w:val="right"/>
                                      <w:rPr>
                                        <w:sz w:val="74"/>
                                        <w:szCs w:val="74"/>
                                      </w:rPr>
                                    </w:pPr>
                                  </w:p>
                                  <w:p w14:paraId="4E9A5337" w14:textId="77777777" w:rsidR="00147C8B" w:rsidRDefault="00147C8B" w:rsidP="00682390">
                                    <w:pPr>
                                      <w:jc w:val="right"/>
                                    </w:pPr>
                                  </w:p>
                                  <w:p w14:paraId="117748DD"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 xml:space="preserve">2025 ԹՎԱԿԱՆԻ </w:t>
                                    </w:r>
                                  </w:p>
                                  <w:p w14:paraId="2832FEA2" w14:textId="77777777" w:rsidR="00147C8B" w:rsidRPr="00A3353C" w:rsidRDefault="00147C8B" w:rsidP="00682390">
                                    <w:pPr>
                                      <w:jc w:val="right"/>
                                      <w:rPr>
                                        <w:sz w:val="74"/>
                                        <w:szCs w:val="74"/>
                                      </w:rPr>
                                    </w:pPr>
                                  </w:p>
                                  <w:p w14:paraId="475F571B" w14:textId="77777777" w:rsidR="00147C8B" w:rsidRDefault="00147C8B"/>
                                  <w:p w14:paraId="2F9D80E0"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ՈՒՂԵՐՁ</w:t>
                                    </w:r>
                                    <w:r w:rsidRPr="00812F22">
                                      <w:rPr>
                                        <w:b/>
                                        <w:color w:val="44546A" w:themeColor="text2"/>
                                        <w:sz w:val="36"/>
                                        <w:szCs w:val="36"/>
                                        <w:lang w:val="hy-AM"/>
                                      </w:rPr>
                                      <w:t>-ԲԱՑԱՏՐԱԳԻՐ</w:t>
                                    </w: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4865D197" w14:textId="77777777" w:rsidR="00147C8B" w:rsidRPr="00A3353C" w:rsidRDefault="00147C8B" w:rsidP="00682390">
                                    <w:pPr>
                                      <w:jc w:val="right"/>
                                      <w:rPr>
                                        <w:sz w:val="74"/>
                                        <w:szCs w:val="74"/>
                                      </w:rPr>
                                    </w:pPr>
                                  </w:p>
                                  <w:p w14:paraId="05265AE3" w14:textId="77777777" w:rsidR="00147C8B" w:rsidRDefault="00147C8B" w:rsidP="00682390">
                                    <w:pPr>
                                      <w:jc w:val="right"/>
                                    </w:pPr>
                                  </w:p>
                                  <w:p w14:paraId="2B795F74"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 xml:space="preserve">2025 ԹՎԱԿԱՆԻ </w:t>
                                    </w:r>
                                  </w:p>
                                  <w:p w14:paraId="6A4FA653" w14:textId="77777777" w:rsidR="00147C8B" w:rsidRPr="00A3353C" w:rsidRDefault="00147C8B" w:rsidP="00682390">
                                    <w:pPr>
                                      <w:jc w:val="right"/>
                                      <w:rPr>
                                        <w:sz w:val="74"/>
                                        <w:szCs w:val="74"/>
                                      </w:rPr>
                                    </w:pPr>
                                  </w:p>
                                  <w:p w14:paraId="0CACBF68" w14:textId="77777777" w:rsidR="00147C8B" w:rsidRDefault="00147C8B"/>
                                  <w:p w14:paraId="5A37B8EB" w14:textId="77777777" w:rsidR="00147C8B" w:rsidRPr="00812F22" w:rsidRDefault="00147C8B" w:rsidP="00682390">
                                    <w:pPr>
                                      <w:pStyle w:val="BodyText1"/>
                                      <w:jc w:val="right"/>
                                      <w:rPr>
                                        <w:b/>
                                        <w:color w:val="44546A" w:themeColor="text2"/>
                                        <w:sz w:val="36"/>
                                        <w:szCs w:val="36"/>
                                      </w:rPr>
                                    </w:pPr>
                                    <w:r>
                                      <w:rPr>
                                        <w:b/>
                                        <w:color w:val="44546A" w:themeColor="text2"/>
                                        <w:sz w:val="36"/>
                                        <w:szCs w:val="36"/>
                                      </w:rPr>
                                      <w:t>2026</w:t>
                                    </w:r>
                                    <w:r w:rsidRPr="00812F22">
                                      <w:rPr>
                                        <w:b/>
                                        <w:color w:val="44546A" w:themeColor="text2"/>
                                        <w:sz w:val="36"/>
                                        <w:szCs w:val="36"/>
                                      </w:rPr>
                                      <w:t xml:space="preserve">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26BDFBCB" w14:textId="77777777" w:rsidR="00147C8B" w:rsidRPr="00A3353C" w:rsidRDefault="00147C8B" w:rsidP="00682390">
                                    <w:pPr>
                                      <w:jc w:val="right"/>
                                      <w:rPr>
                                        <w:sz w:val="74"/>
                                        <w:szCs w:val="74"/>
                                      </w:rPr>
                                    </w:pPr>
                                  </w:p>
                                  <w:p w14:paraId="61716E37" w14:textId="77777777" w:rsidR="00147C8B" w:rsidRDefault="00147C8B" w:rsidP="00682390">
                                    <w:pPr>
                                      <w:jc w:val="right"/>
                                    </w:pPr>
                                  </w:p>
                                  <w:p w14:paraId="579E1B28"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 xml:space="preserve">2025 ԹՎԱԿԱՆԻ </w:t>
                                    </w:r>
                                  </w:p>
                                  <w:p w14:paraId="6784ABF0" w14:textId="77777777" w:rsidR="00147C8B" w:rsidRPr="00A3353C" w:rsidRDefault="00147C8B" w:rsidP="00682390">
                                    <w:pPr>
                                      <w:jc w:val="right"/>
                                      <w:rPr>
                                        <w:sz w:val="74"/>
                                        <w:szCs w:val="74"/>
                                      </w:rPr>
                                    </w:pPr>
                                  </w:p>
                                  <w:p w14:paraId="67C5114B" w14:textId="77777777" w:rsidR="00147C8B" w:rsidRDefault="00147C8B"/>
                                  <w:p w14:paraId="0E3554CC"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ՈՒՂԵՐՁ</w:t>
                                    </w:r>
                                    <w:r w:rsidRPr="00812F22">
                                      <w:rPr>
                                        <w:b/>
                                        <w:color w:val="44546A" w:themeColor="text2"/>
                                        <w:sz w:val="36"/>
                                        <w:szCs w:val="36"/>
                                        <w:lang w:val="hy-AM"/>
                                      </w:rPr>
                                      <w:t>-ԲԱՑԱՏՐԱԳԻՐ</w:t>
                                    </w: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2F02D4D3" w14:textId="77777777" w:rsidR="00147C8B" w:rsidRPr="00A3353C" w:rsidRDefault="00147C8B" w:rsidP="00682390">
                                    <w:pPr>
                                      <w:jc w:val="right"/>
                                      <w:rPr>
                                        <w:sz w:val="74"/>
                                        <w:szCs w:val="74"/>
                                      </w:rPr>
                                    </w:pPr>
                                  </w:p>
                                  <w:p w14:paraId="1AAB7DC5" w14:textId="77777777" w:rsidR="00147C8B" w:rsidRDefault="00147C8B" w:rsidP="00682390">
                                    <w:pPr>
                                      <w:jc w:val="right"/>
                                    </w:pPr>
                                  </w:p>
                                  <w:p w14:paraId="40049D3F"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 xml:space="preserve">2025 ԹՎԱԿԱՆԻ </w:t>
                                    </w:r>
                                  </w:p>
                                  <w:p w14:paraId="0C1159F3" w14:textId="77777777" w:rsidR="00147C8B" w:rsidRPr="00A3353C" w:rsidRDefault="00147C8B" w:rsidP="00682390">
                                    <w:pPr>
                                      <w:jc w:val="right"/>
                                      <w:rPr>
                                        <w:sz w:val="74"/>
                                        <w:szCs w:val="74"/>
                                      </w:rPr>
                                    </w:pPr>
                                  </w:p>
                                  <w:p w14:paraId="10B46D83" w14:textId="77777777" w:rsidR="00147C8B" w:rsidRDefault="00147C8B"/>
                                  <w:p w14:paraId="74D9F0D6"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67F92F0F" w14:textId="77777777" w:rsidR="00147C8B" w:rsidRPr="00A3353C" w:rsidRDefault="00147C8B" w:rsidP="00682390">
                                    <w:pPr>
                                      <w:jc w:val="right"/>
                                      <w:rPr>
                                        <w:sz w:val="74"/>
                                        <w:szCs w:val="74"/>
                                      </w:rPr>
                                    </w:pPr>
                                  </w:p>
                                  <w:p w14:paraId="5D8F5340" w14:textId="77777777" w:rsidR="00147C8B" w:rsidRDefault="00147C8B" w:rsidP="00682390">
                                    <w:pPr>
                                      <w:jc w:val="right"/>
                                    </w:pPr>
                                  </w:p>
                                  <w:p w14:paraId="5E79A14E"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 xml:space="preserve">2025 ԹՎԱԿԱՆԻ </w:t>
                                    </w:r>
                                  </w:p>
                                  <w:p w14:paraId="7B2E0C1E" w14:textId="77777777" w:rsidR="00147C8B" w:rsidRPr="00A3353C" w:rsidRDefault="00147C8B" w:rsidP="00682390">
                                    <w:pPr>
                                      <w:jc w:val="right"/>
                                      <w:rPr>
                                        <w:sz w:val="74"/>
                                        <w:szCs w:val="74"/>
                                      </w:rPr>
                                    </w:pPr>
                                  </w:p>
                                  <w:p w14:paraId="3093D27C" w14:textId="77777777" w:rsidR="00147C8B" w:rsidRDefault="00147C8B"/>
                                  <w:p w14:paraId="31FEB4FE"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ՈՒՂԵՐՁ</w:t>
                                    </w:r>
                                    <w:r w:rsidRPr="00812F22">
                                      <w:rPr>
                                        <w:b/>
                                        <w:color w:val="44546A" w:themeColor="text2"/>
                                        <w:sz w:val="36"/>
                                        <w:szCs w:val="36"/>
                                        <w:lang w:val="hy-AM"/>
                                      </w:rPr>
                                      <w:t>-ԲԱՑԱՏՐԱԳԻՐ</w:t>
                                    </w: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137234DD" w14:textId="77777777" w:rsidR="00147C8B" w:rsidRPr="00A3353C" w:rsidRDefault="00147C8B" w:rsidP="00682390">
                                    <w:pPr>
                                      <w:jc w:val="right"/>
                                      <w:rPr>
                                        <w:sz w:val="74"/>
                                        <w:szCs w:val="74"/>
                                      </w:rPr>
                                    </w:pPr>
                                  </w:p>
                                  <w:p w14:paraId="1F62CBCB" w14:textId="77777777" w:rsidR="00147C8B" w:rsidRDefault="00147C8B" w:rsidP="00682390">
                                    <w:pPr>
                                      <w:jc w:val="right"/>
                                    </w:pPr>
                                  </w:p>
                                  <w:p w14:paraId="2C30E57E"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 xml:space="preserve">2025 ԹՎԱԿԱՆԻ </w:t>
                                    </w:r>
                                  </w:p>
                                  <w:p w14:paraId="6AE0D5D5" w14:textId="77777777" w:rsidR="00147C8B" w:rsidRPr="00A3353C" w:rsidRDefault="00147C8B" w:rsidP="00682390">
                                    <w:pPr>
                                      <w:jc w:val="right"/>
                                      <w:rPr>
                                        <w:sz w:val="74"/>
                                        <w:szCs w:val="74"/>
                                      </w:rPr>
                                    </w:pPr>
                                  </w:p>
                                  <w:p w14:paraId="4E783C06" w14:textId="77777777" w:rsidR="00147C8B" w:rsidRDefault="00147C8B"/>
                                  <w:p w14:paraId="75A37E87" w14:textId="77777777" w:rsidR="00147C8B" w:rsidRPr="00812F22" w:rsidRDefault="00147C8B" w:rsidP="00682390">
                                    <w:pPr>
                                      <w:pStyle w:val="BodyText1"/>
                                      <w:jc w:val="right"/>
                                      <w:rPr>
                                        <w:b/>
                                        <w:color w:val="44546A" w:themeColor="text2"/>
                                        <w:sz w:val="36"/>
                                        <w:szCs w:val="36"/>
                                      </w:rPr>
                                    </w:pPr>
                                    <w:r>
                                      <w:rPr>
                                        <w:b/>
                                        <w:color w:val="44546A" w:themeColor="text2"/>
                                        <w:sz w:val="36"/>
                                        <w:szCs w:val="36"/>
                                      </w:rPr>
                                      <w:t>2026</w:t>
                                    </w:r>
                                    <w:r w:rsidRPr="00812F22">
                                      <w:rPr>
                                        <w:b/>
                                        <w:color w:val="44546A" w:themeColor="text2"/>
                                        <w:sz w:val="36"/>
                                        <w:szCs w:val="36"/>
                                      </w:rPr>
                                      <w:t xml:space="preserve">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1C3A04C5" w14:textId="77777777" w:rsidR="00147C8B" w:rsidRPr="00A3353C" w:rsidRDefault="00147C8B" w:rsidP="00682390">
                                    <w:pPr>
                                      <w:jc w:val="right"/>
                                      <w:rPr>
                                        <w:sz w:val="74"/>
                                        <w:szCs w:val="74"/>
                                      </w:rPr>
                                    </w:pPr>
                                  </w:p>
                                  <w:p w14:paraId="78D5B9A1" w14:textId="77777777" w:rsidR="00147C8B" w:rsidRDefault="00147C8B" w:rsidP="00682390">
                                    <w:pPr>
                                      <w:jc w:val="right"/>
                                    </w:pPr>
                                  </w:p>
                                  <w:p w14:paraId="3A3F3AF1"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 xml:space="preserve">2025 ԹՎԱԿԱՆԻ </w:t>
                                    </w:r>
                                  </w:p>
                                  <w:p w14:paraId="26C5074B" w14:textId="77777777" w:rsidR="00147C8B" w:rsidRPr="00A3353C" w:rsidRDefault="00147C8B" w:rsidP="00682390">
                                    <w:pPr>
                                      <w:jc w:val="right"/>
                                      <w:rPr>
                                        <w:sz w:val="74"/>
                                        <w:szCs w:val="74"/>
                                      </w:rPr>
                                    </w:pPr>
                                  </w:p>
                                  <w:p w14:paraId="6FB5969E" w14:textId="77777777" w:rsidR="00147C8B" w:rsidRDefault="00147C8B"/>
                                  <w:p w14:paraId="24602B74"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ՈՒՂԵՐՁ</w:t>
                                    </w:r>
                                    <w:r w:rsidRPr="00812F22">
                                      <w:rPr>
                                        <w:b/>
                                        <w:color w:val="44546A" w:themeColor="text2"/>
                                        <w:sz w:val="36"/>
                                        <w:szCs w:val="36"/>
                                        <w:lang w:val="hy-AM"/>
                                      </w:rPr>
                                      <w:t>-ԲԱՑԱՏՐԱԳԻՐ</w:t>
                                    </w: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186FC4F4" w14:textId="77777777" w:rsidR="00147C8B" w:rsidRPr="00A3353C" w:rsidRDefault="00147C8B" w:rsidP="00682390">
                                    <w:pPr>
                                      <w:jc w:val="right"/>
                                      <w:rPr>
                                        <w:sz w:val="74"/>
                                        <w:szCs w:val="74"/>
                                      </w:rPr>
                                    </w:pPr>
                                  </w:p>
                                  <w:p w14:paraId="12E386E1" w14:textId="77777777" w:rsidR="00147C8B" w:rsidRDefault="00147C8B" w:rsidP="00682390">
                                    <w:pPr>
                                      <w:jc w:val="right"/>
                                    </w:pPr>
                                  </w:p>
                                  <w:p w14:paraId="3DBA2F18"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 xml:space="preserve">2025 ԹՎԱԿԱՆԻ </w:t>
                                    </w:r>
                                  </w:p>
                                  <w:p w14:paraId="2AAD7EE4" w14:textId="77777777" w:rsidR="00147C8B" w:rsidRPr="00A3353C" w:rsidRDefault="00147C8B" w:rsidP="00682390">
                                    <w:pPr>
                                      <w:jc w:val="right"/>
                                      <w:rPr>
                                        <w:sz w:val="74"/>
                                        <w:szCs w:val="74"/>
                                      </w:rPr>
                                    </w:pPr>
                                  </w:p>
                                  <w:p w14:paraId="5CE9BC21" w14:textId="77777777" w:rsidR="00147C8B" w:rsidRDefault="00147C8B"/>
                                  <w:p w14:paraId="0DE32CE3"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5F3DAD58" w14:textId="77777777" w:rsidR="00147C8B" w:rsidRPr="00A3353C" w:rsidRDefault="00147C8B" w:rsidP="00682390">
                                    <w:pPr>
                                      <w:jc w:val="right"/>
                                      <w:rPr>
                                        <w:sz w:val="74"/>
                                        <w:szCs w:val="74"/>
                                      </w:rPr>
                                    </w:pPr>
                                  </w:p>
                                  <w:p w14:paraId="5C30019A" w14:textId="77777777" w:rsidR="00147C8B" w:rsidRDefault="00147C8B" w:rsidP="00682390">
                                    <w:pPr>
                                      <w:jc w:val="right"/>
                                    </w:pPr>
                                  </w:p>
                                  <w:p w14:paraId="38BA5BB8"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 xml:space="preserve">2025 ԹՎԱԿԱՆԻ </w:t>
                                    </w:r>
                                  </w:p>
                                  <w:p w14:paraId="605D7576" w14:textId="77777777" w:rsidR="00147C8B" w:rsidRPr="00A3353C" w:rsidRDefault="00147C8B" w:rsidP="00682390">
                                    <w:pPr>
                                      <w:jc w:val="right"/>
                                      <w:rPr>
                                        <w:sz w:val="74"/>
                                        <w:szCs w:val="74"/>
                                      </w:rPr>
                                    </w:pPr>
                                  </w:p>
                                  <w:p w14:paraId="7C7024FA" w14:textId="77777777" w:rsidR="00147C8B" w:rsidRDefault="00147C8B"/>
                                  <w:p w14:paraId="75478759"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ՈՒՂԵՐՁ</w:t>
                                    </w:r>
                                    <w:r w:rsidRPr="00812F22">
                                      <w:rPr>
                                        <w:b/>
                                        <w:color w:val="44546A" w:themeColor="text2"/>
                                        <w:sz w:val="36"/>
                                        <w:szCs w:val="36"/>
                                        <w:lang w:val="hy-AM"/>
                                      </w:rPr>
                                      <w:t>-ԲԱՑԱՏՐԱԳԻՐ</w:t>
                                    </w: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54205D56" w14:textId="77777777" w:rsidR="00147C8B" w:rsidRPr="00A3353C" w:rsidRDefault="00147C8B" w:rsidP="00682390">
                                    <w:pPr>
                                      <w:jc w:val="right"/>
                                      <w:rPr>
                                        <w:sz w:val="74"/>
                                        <w:szCs w:val="74"/>
                                      </w:rPr>
                                    </w:pPr>
                                  </w:p>
                                  <w:p w14:paraId="78A99DC1" w14:textId="77777777" w:rsidR="00147C8B" w:rsidRDefault="00147C8B" w:rsidP="00682390">
                                    <w:pPr>
                                      <w:jc w:val="right"/>
                                    </w:pPr>
                                  </w:p>
                                  <w:p w14:paraId="1E15FC70"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 xml:space="preserve">2025 ԹՎԱԿԱՆԻ </w:t>
                                    </w:r>
                                  </w:p>
                                  <w:p w14:paraId="4C8209F6" w14:textId="77777777" w:rsidR="00147C8B" w:rsidRPr="00A3353C" w:rsidRDefault="00147C8B" w:rsidP="00682390">
                                    <w:pPr>
                                      <w:jc w:val="right"/>
                                      <w:rPr>
                                        <w:sz w:val="74"/>
                                        <w:szCs w:val="74"/>
                                      </w:rPr>
                                    </w:pPr>
                                  </w:p>
                                  <w:p w14:paraId="33C501D4" w14:textId="77777777" w:rsidR="00147C8B" w:rsidRDefault="00147C8B"/>
                                  <w:p w14:paraId="27E3E53A" w14:textId="77777777" w:rsidR="00147C8B" w:rsidRPr="00812F22" w:rsidRDefault="00147C8B" w:rsidP="00682390">
                                    <w:pPr>
                                      <w:pStyle w:val="BodyText1"/>
                                      <w:jc w:val="right"/>
                                      <w:rPr>
                                        <w:b/>
                                        <w:color w:val="44546A" w:themeColor="text2"/>
                                        <w:sz w:val="36"/>
                                        <w:szCs w:val="36"/>
                                      </w:rPr>
                                    </w:pPr>
                                    <w:r>
                                      <w:rPr>
                                        <w:b/>
                                        <w:color w:val="44546A" w:themeColor="text2"/>
                                        <w:sz w:val="36"/>
                                        <w:szCs w:val="36"/>
                                      </w:rPr>
                                      <w:t>2026</w:t>
                                    </w:r>
                                    <w:r w:rsidRPr="00812F22">
                                      <w:rPr>
                                        <w:b/>
                                        <w:color w:val="44546A" w:themeColor="text2"/>
                                        <w:sz w:val="36"/>
                                        <w:szCs w:val="36"/>
                                      </w:rPr>
                                      <w:t xml:space="preserve">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6CDDB949" w14:textId="77777777" w:rsidR="00147C8B" w:rsidRPr="00A3353C" w:rsidRDefault="00147C8B" w:rsidP="00682390">
                                    <w:pPr>
                                      <w:jc w:val="right"/>
                                      <w:rPr>
                                        <w:sz w:val="74"/>
                                        <w:szCs w:val="74"/>
                                      </w:rPr>
                                    </w:pPr>
                                  </w:p>
                                  <w:p w14:paraId="111A0FD9" w14:textId="77777777" w:rsidR="00147C8B" w:rsidRDefault="00147C8B" w:rsidP="00682390">
                                    <w:pPr>
                                      <w:jc w:val="right"/>
                                    </w:pPr>
                                  </w:p>
                                  <w:p w14:paraId="2FDEA1B8"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 xml:space="preserve">2025 ԹՎԱԿԱՆԻ </w:t>
                                    </w:r>
                                  </w:p>
                                  <w:p w14:paraId="0AEED7EE" w14:textId="77777777" w:rsidR="00147C8B" w:rsidRPr="00A3353C" w:rsidRDefault="00147C8B" w:rsidP="00682390">
                                    <w:pPr>
                                      <w:jc w:val="right"/>
                                      <w:rPr>
                                        <w:sz w:val="74"/>
                                        <w:szCs w:val="74"/>
                                      </w:rPr>
                                    </w:pPr>
                                  </w:p>
                                  <w:p w14:paraId="07DE6EE6" w14:textId="77777777" w:rsidR="00147C8B" w:rsidRDefault="00147C8B"/>
                                  <w:p w14:paraId="7B513230"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ՈՒՂԵՐՁ</w:t>
                                    </w:r>
                                    <w:r w:rsidRPr="00812F22">
                                      <w:rPr>
                                        <w:b/>
                                        <w:color w:val="44546A" w:themeColor="text2"/>
                                        <w:sz w:val="36"/>
                                        <w:szCs w:val="36"/>
                                        <w:lang w:val="hy-AM"/>
                                      </w:rPr>
                                      <w:t>-ԲԱՑԱՏՐԱԳԻՐ</w:t>
                                    </w: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74FF43F6" w14:textId="77777777" w:rsidR="00147C8B" w:rsidRPr="00A3353C" w:rsidRDefault="00147C8B" w:rsidP="00682390">
                                    <w:pPr>
                                      <w:jc w:val="right"/>
                                      <w:rPr>
                                        <w:sz w:val="74"/>
                                        <w:szCs w:val="74"/>
                                      </w:rPr>
                                    </w:pPr>
                                  </w:p>
                                  <w:p w14:paraId="7FDF1D30" w14:textId="77777777" w:rsidR="00147C8B" w:rsidRDefault="00147C8B" w:rsidP="00682390">
                                    <w:pPr>
                                      <w:jc w:val="right"/>
                                    </w:pPr>
                                  </w:p>
                                  <w:p w14:paraId="2D6FBF23"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 xml:space="preserve">2025 ԹՎԱԿԱՆԻ </w:t>
                                    </w:r>
                                  </w:p>
                                  <w:p w14:paraId="33046F91" w14:textId="77777777" w:rsidR="00147C8B" w:rsidRPr="00A3353C" w:rsidRDefault="00147C8B" w:rsidP="00682390">
                                    <w:pPr>
                                      <w:jc w:val="right"/>
                                      <w:rPr>
                                        <w:sz w:val="74"/>
                                        <w:szCs w:val="74"/>
                                      </w:rPr>
                                    </w:pPr>
                                  </w:p>
                                  <w:p w14:paraId="4C38DCF3" w14:textId="77777777" w:rsidR="00147C8B" w:rsidRDefault="00147C8B"/>
                                  <w:p w14:paraId="3C8136DC"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442274EE" w14:textId="77777777" w:rsidR="00147C8B" w:rsidRPr="00A3353C" w:rsidRDefault="00147C8B" w:rsidP="00682390">
                                    <w:pPr>
                                      <w:jc w:val="right"/>
                                      <w:rPr>
                                        <w:sz w:val="74"/>
                                        <w:szCs w:val="74"/>
                                      </w:rPr>
                                    </w:pPr>
                                  </w:p>
                                  <w:p w14:paraId="78ECB496" w14:textId="77777777" w:rsidR="00147C8B" w:rsidRDefault="00147C8B" w:rsidP="00682390">
                                    <w:pPr>
                                      <w:jc w:val="right"/>
                                    </w:pPr>
                                  </w:p>
                                  <w:p w14:paraId="2BD8CE70"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 xml:space="preserve">2025 ԹՎԱԿԱՆԻ </w:t>
                                    </w:r>
                                  </w:p>
                                  <w:p w14:paraId="3774608D" w14:textId="77777777" w:rsidR="00147C8B" w:rsidRPr="00A3353C" w:rsidRDefault="00147C8B" w:rsidP="00682390">
                                    <w:pPr>
                                      <w:jc w:val="right"/>
                                      <w:rPr>
                                        <w:sz w:val="74"/>
                                        <w:szCs w:val="74"/>
                                      </w:rPr>
                                    </w:pPr>
                                  </w:p>
                                  <w:p w14:paraId="06A8CE1A" w14:textId="77777777" w:rsidR="00147C8B" w:rsidRDefault="00147C8B"/>
                                  <w:p w14:paraId="14F77CDC"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ՈՒՂԵՐՁ</w:t>
                                    </w:r>
                                    <w:r w:rsidRPr="00812F22">
                                      <w:rPr>
                                        <w:b/>
                                        <w:color w:val="44546A" w:themeColor="text2"/>
                                        <w:sz w:val="36"/>
                                        <w:szCs w:val="36"/>
                                        <w:lang w:val="hy-AM"/>
                                      </w:rPr>
                                      <w:t>-ԲԱՑԱՏՐԱԳԻՐ</w:t>
                                    </w: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757DCD59" w14:textId="77777777" w:rsidR="00147C8B" w:rsidRPr="00A3353C" w:rsidRDefault="00147C8B" w:rsidP="00682390">
                                    <w:pPr>
                                      <w:jc w:val="right"/>
                                      <w:rPr>
                                        <w:sz w:val="74"/>
                                        <w:szCs w:val="74"/>
                                      </w:rPr>
                                    </w:pPr>
                                  </w:p>
                                  <w:p w14:paraId="763BCFD5" w14:textId="77777777" w:rsidR="00147C8B" w:rsidRDefault="00147C8B" w:rsidP="00682390">
                                    <w:pPr>
                                      <w:jc w:val="right"/>
                                    </w:pPr>
                                  </w:p>
                                  <w:p w14:paraId="73A384AF" w14:textId="77777777" w:rsidR="00147C8B" w:rsidRPr="00812F22" w:rsidRDefault="00147C8B" w:rsidP="00682390">
                                    <w:pPr>
                                      <w:pStyle w:val="BodyText1"/>
                                      <w:jc w:val="right"/>
                                      <w:rPr>
                                        <w:b/>
                                        <w:color w:val="44546A" w:themeColor="text2"/>
                                        <w:sz w:val="36"/>
                                        <w:szCs w:val="36"/>
                                      </w:rPr>
                                    </w:pPr>
                                    <w:r w:rsidRPr="00682390">
                                      <w:rPr>
                                        <w:b/>
                                        <w:color w:val="44546A" w:themeColor="text2"/>
                                        <w:sz w:val="40"/>
                                        <w:szCs w:val="40"/>
                                      </w:rPr>
                                      <w:t>ԲՅՈՒՋԵՏԱՅԻՆ ՈՒՂԵՐՁ</w:t>
                                    </w:r>
                                    <w:r w:rsidRPr="00682390">
                                      <w:rPr>
                                        <w:b/>
                                        <w:color w:val="44546A" w:themeColor="text2"/>
                                        <w:sz w:val="70"/>
                                        <w:szCs w:val="70"/>
                                      </w:rPr>
                                      <w:t>2025 ԹՎԱԿԱՆԻ</w:t>
                                    </w:r>
                                    <w:r w:rsidRPr="00812F22">
                                      <w:rPr>
                                        <w:b/>
                                        <w:color w:val="44546A" w:themeColor="text2"/>
                                        <w:sz w:val="36"/>
                                        <w:szCs w:val="36"/>
                                      </w:rPr>
                                      <w:t>ՈՒՂԵՐՁ</w:t>
                                    </w:r>
                                    <w:r w:rsidRPr="00812F22">
                                      <w:rPr>
                                        <w:b/>
                                        <w:color w:val="44546A" w:themeColor="text2"/>
                                        <w:sz w:val="36"/>
                                        <w:szCs w:val="36"/>
                                        <w:lang w:val="hy-AM"/>
                                      </w:rPr>
                                      <w:t>-ԲԱՑԱՏՐԱԳԻՐ</w:t>
                                    </w:r>
                                  </w:p>
                                  <w:p w14:paraId="632624EF" w14:textId="77777777" w:rsidR="00147C8B" w:rsidRDefault="00147C8B"/>
                                  <w:p w14:paraId="4963CC4D" w14:textId="77777777" w:rsidR="00147C8B" w:rsidRDefault="00147C8B"/>
                                  <w:p w14:paraId="14A179E5"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11CE0A74" w14:textId="77777777" w:rsidR="00147C8B" w:rsidRPr="00A3353C" w:rsidRDefault="00147C8B" w:rsidP="00682390">
                                    <w:pPr>
                                      <w:jc w:val="right"/>
                                      <w:rPr>
                                        <w:sz w:val="74"/>
                                        <w:szCs w:val="74"/>
                                      </w:rPr>
                                    </w:pPr>
                                  </w:p>
                                  <w:p w14:paraId="2873C9D3" w14:textId="77777777" w:rsidR="00147C8B" w:rsidRDefault="00147C8B" w:rsidP="00682390">
                                    <w:pPr>
                                      <w:jc w:val="right"/>
                                    </w:pPr>
                                  </w:p>
                                  <w:p w14:paraId="7D127AA4"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 xml:space="preserve">2025 ԹՎԱԿԱՆԻ </w:t>
                                    </w:r>
                                  </w:p>
                                  <w:p w14:paraId="48F7E15C" w14:textId="77777777" w:rsidR="00147C8B" w:rsidRPr="00A3353C" w:rsidRDefault="00147C8B" w:rsidP="00682390">
                                    <w:pPr>
                                      <w:jc w:val="right"/>
                                      <w:rPr>
                                        <w:sz w:val="74"/>
                                        <w:szCs w:val="74"/>
                                      </w:rPr>
                                    </w:pPr>
                                  </w:p>
                                  <w:p w14:paraId="688D62F5" w14:textId="77777777" w:rsidR="00147C8B" w:rsidRDefault="00147C8B"/>
                                  <w:p w14:paraId="131A375C"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ՈՒՂԵՐՁ</w:t>
                                    </w:r>
                                    <w:r w:rsidRPr="00812F22">
                                      <w:rPr>
                                        <w:b/>
                                        <w:color w:val="44546A" w:themeColor="text2"/>
                                        <w:sz w:val="36"/>
                                        <w:szCs w:val="36"/>
                                        <w:lang w:val="hy-AM"/>
                                      </w:rPr>
                                      <w:t>-ԲԱՑԱՏՐԱԳԻՐ</w:t>
                                    </w: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6FCA7C8A" w14:textId="77777777" w:rsidR="00147C8B" w:rsidRPr="00A3353C" w:rsidRDefault="00147C8B" w:rsidP="00682390">
                                    <w:pPr>
                                      <w:jc w:val="right"/>
                                      <w:rPr>
                                        <w:sz w:val="74"/>
                                        <w:szCs w:val="74"/>
                                      </w:rPr>
                                    </w:pPr>
                                  </w:p>
                                  <w:p w14:paraId="4618BC35" w14:textId="77777777" w:rsidR="00147C8B" w:rsidRDefault="00147C8B" w:rsidP="00682390">
                                    <w:pPr>
                                      <w:jc w:val="right"/>
                                    </w:pPr>
                                  </w:p>
                                  <w:p w14:paraId="3DF923AE" w14:textId="77777777" w:rsidR="00147C8B" w:rsidRPr="00812F22" w:rsidRDefault="00147C8B" w:rsidP="00682390">
                                    <w:pPr>
                                      <w:pStyle w:val="BodyText1"/>
                                      <w:jc w:val="right"/>
                                      <w:rPr>
                                        <w:b/>
                                        <w:color w:val="44546A" w:themeColor="text2"/>
                                        <w:sz w:val="36"/>
                                        <w:szCs w:val="36"/>
                                      </w:rPr>
                                    </w:pPr>
                                    <w:r w:rsidRPr="00682390">
                                      <w:rPr>
                                        <w:b/>
                                        <w:color w:val="44546A" w:themeColor="text2"/>
                                        <w:sz w:val="40"/>
                                        <w:szCs w:val="40"/>
                                      </w:rPr>
                                      <w:t>ԲՅՈՒՋԵՏԱՅԻՆ ՈՒՂԵՐՁ</w:t>
                                    </w:r>
                                    <w:r w:rsidRPr="00682390">
                                      <w:rPr>
                                        <w:b/>
                                        <w:color w:val="44546A" w:themeColor="text2"/>
                                        <w:sz w:val="70"/>
                                        <w:szCs w:val="70"/>
                                      </w:rPr>
                                      <w:t>2025 ԹՎԱԿԱՆԻ</w:t>
                                    </w:r>
                                    <w:r w:rsidRPr="00812F22">
                                      <w:rPr>
                                        <w:b/>
                                        <w:color w:val="44546A" w:themeColor="text2"/>
                                        <w:sz w:val="36"/>
                                        <w:szCs w:val="36"/>
                                      </w:rPr>
                                      <w:t>ՈՒՂԵՐՁ</w:t>
                                    </w:r>
                                    <w:r w:rsidRPr="00812F22">
                                      <w:rPr>
                                        <w:b/>
                                        <w:color w:val="44546A" w:themeColor="text2"/>
                                        <w:sz w:val="36"/>
                                        <w:szCs w:val="36"/>
                                        <w:lang w:val="hy-AM"/>
                                      </w:rPr>
                                      <w:t>-ԲԱՑԱՏՐԱԳԻՐ</w:t>
                                    </w:r>
                                  </w:p>
                                  <w:p w14:paraId="19DAAFAB" w14:textId="77777777" w:rsidR="00147C8B" w:rsidRDefault="00147C8B"/>
                                  <w:p w14:paraId="7591E459" w14:textId="77777777" w:rsidR="00147C8B" w:rsidRDefault="00147C8B"/>
                                  <w:p w14:paraId="78F21121" w14:textId="77777777" w:rsidR="00147C8B" w:rsidRPr="00812F22" w:rsidRDefault="00147C8B" w:rsidP="00682390">
                                    <w:pPr>
                                      <w:pStyle w:val="BodyText1"/>
                                      <w:jc w:val="right"/>
                                      <w:rPr>
                                        <w:b/>
                                        <w:color w:val="44546A" w:themeColor="text2"/>
                                        <w:sz w:val="36"/>
                                        <w:szCs w:val="36"/>
                                      </w:rPr>
                                    </w:pPr>
                                    <w:r>
                                      <w:rPr>
                                        <w:b/>
                                        <w:color w:val="44546A" w:themeColor="text2"/>
                                        <w:sz w:val="36"/>
                                        <w:szCs w:val="36"/>
                                      </w:rPr>
                                      <w:t>2026</w:t>
                                    </w:r>
                                    <w:r w:rsidRPr="00812F22">
                                      <w:rPr>
                                        <w:b/>
                                        <w:color w:val="44546A" w:themeColor="text2"/>
                                        <w:sz w:val="36"/>
                                        <w:szCs w:val="36"/>
                                      </w:rPr>
                                      <w:t xml:space="preserve">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79882748" w14:textId="77777777" w:rsidR="00147C8B" w:rsidRPr="00A3353C" w:rsidRDefault="00147C8B" w:rsidP="00682390">
                                    <w:pPr>
                                      <w:jc w:val="right"/>
                                      <w:rPr>
                                        <w:sz w:val="74"/>
                                        <w:szCs w:val="74"/>
                                      </w:rPr>
                                    </w:pPr>
                                  </w:p>
                                  <w:p w14:paraId="7757DE94" w14:textId="77777777" w:rsidR="00147C8B" w:rsidRDefault="00147C8B" w:rsidP="00682390">
                                    <w:pPr>
                                      <w:jc w:val="right"/>
                                    </w:pPr>
                                  </w:p>
                                  <w:p w14:paraId="0102C37D"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 xml:space="preserve">2025 ԹՎԱԿԱՆԻ </w:t>
                                    </w:r>
                                  </w:p>
                                  <w:p w14:paraId="62123F4A" w14:textId="77777777" w:rsidR="00147C8B" w:rsidRPr="00A3353C" w:rsidRDefault="00147C8B" w:rsidP="00682390">
                                    <w:pPr>
                                      <w:jc w:val="right"/>
                                      <w:rPr>
                                        <w:sz w:val="74"/>
                                        <w:szCs w:val="74"/>
                                      </w:rPr>
                                    </w:pPr>
                                  </w:p>
                                  <w:p w14:paraId="7112F284" w14:textId="77777777" w:rsidR="00147C8B" w:rsidRDefault="00147C8B"/>
                                  <w:p w14:paraId="7EEEA830"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ՈՒՂԵՐՁ</w:t>
                                    </w:r>
                                    <w:r w:rsidRPr="00812F22">
                                      <w:rPr>
                                        <w:b/>
                                        <w:color w:val="44546A" w:themeColor="text2"/>
                                        <w:sz w:val="36"/>
                                        <w:szCs w:val="36"/>
                                        <w:lang w:val="hy-AM"/>
                                      </w:rPr>
                                      <w:t>-ԲԱՑԱՏՐԱԳԻՐ</w:t>
                                    </w: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24B72B8E" w14:textId="77777777" w:rsidR="00147C8B" w:rsidRPr="00A3353C" w:rsidRDefault="00147C8B" w:rsidP="00682390">
                                    <w:pPr>
                                      <w:jc w:val="right"/>
                                      <w:rPr>
                                        <w:sz w:val="74"/>
                                        <w:szCs w:val="74"/>
                                      </w:rPr>
                                    </w:pPr>
                                  </w:p>
                                  <w:p w14:paraId="220EB2A4" w14:textId="77777777" w:rsidR="00147C8B" w:rsidRDefault="00147C8B" w:rsidP="00682390">
                                    <w:pPr>
                                      <w:jc w:val="right"/>
                                    </w:pPr>
                                  </w:p>
                                  <w:p w14:paraId="28E7FF11"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 xml:space="preserve">2025 ԹՎԱԿԱՆԻ </w:t>
                                    </w:r>
                                  </w:p>
                                  <w:p w14:paraId="6730FF92" w14:textId="77777777" w:rsidR="00147C8B" w:rsidRPr="00A3353C" w:rsidRDefault="00147C8B" w:rsidP="00682390">
                                    <w:pPr>
                                      <w:jc w:val="right"/>
                                      <w:rPr>
                                        <w:sz w:val="74"/>
                                        <w:szCs w:val="74"/>
                                      </w:rPr>
                                    </w:pPr>
                                  </w:p>
                                  <w:p w14:paraId="5DC9806B" w14:textId="77777777" w:rsidR="00147C8B" w:rsidRDefault="00147C8B"/>
                                  <w:p w14:paraId="165076CB"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27EA0F22" w14:textId="77777777" w:rsidR="00147C8B" w:rsidRPr="00A3353C" w:rsidRDefault="00147C8B" w:rsidP="00682390">
                                    <w:pPr>
                                      <w:jc w:val="right"/>
                                      <w:rPr>
                                        <w:sz w:val="74"/>
                                        <w:szCs w:val="74"/>
                                      </w:rPr>
                                    </w:pPr>
                                  </w:p>
                                  <w:p w14:paraId="59534678" w14:textId="77777777" w:rsidR="00147C8B" w:rsidRDefault="00147C8B" w:rsidP="00682390">
                                    <w:pPr>
                                      <w:jc w:val="right"/>
                                    </w:pPr>
                                  </w:p>
                                  <w:p w14:paraId="6AC34F7E"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 xml:space="preserve">2025 ԹՎԱԿԱՆԻ </w:t>
                                    </w:r>
                                  </w:p>
                                  <w:p w14:paraId="61CD962C" w14:textId="77777777" w:rsidR="00147C8B" w:rsidRPr="00A3353C" w:rsidRDefault="00147C8B" w:rsidP="00682390">
                                    <w:pPr>
                                      <w:jc w:val="right"/>
                                      <w:rPr>
                                        <w:sz w:val="74"/>
                                        <w:szCs w:val="74"/>
                                      </w:rPr>
                                    </w:pPr>
                                  </w:p>
                                  <w:p w14:paraId="27070A6D" w14:textId="77777777" w:rsidR="00147C8B" w:rsidRDefault="00147C8B"/>
                                  <w:p w14:paraId="5427B56A"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ՈՒՂԵՐՁ</w:t>
                                    </w:r>
                                    <w:r w:rsidRPr="00812F22">
                                      <w:rPr>
                                        <w:b/>
                                        <w:color w:val="44546A" w:themeColor="text2"/>
                                        <w:sz w:val="36"/>
                                        <w:szCs w:val="36"/>
                                        <w:lang w:val="hy-AM"/>
                                      </w:rPr>
                                      <w:t>-ԲԱՑԱՏՐԱԳԻՐ</w:t>
                                    </w: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126777BB" w14:textId="77777777" w:rsidR="00147C8B" w:rsidRPr="00A3353C" w:rsidRDefault="00147C8B" w:rsidP="00682390">
                                    <w:pPr>
                                      <w:jc w:val="right"/>
                                      <w:rPr>
                                        <w:sz w:val="74"/>
                                        <w:szCs w:val="74"/>
                                      </w:rPr>
                                    </w:pPr>
                                  </w:p>
                                  <w:p w14:paraId="2668FAB5" w14:textId="77777777" w:rsidR="00147C8B" w:rsidRDefault="00147C8B" w:rsidP="00682390">
                                    <w:pPr>
                                      <w:jc w:val="right"/>
                                    </w:pPr>
                                  </w:p>
                                  <w:p w14:paraId="2466A6F4" w14:textId="77777777" w:rsidR="00147C8B" w:rsidRPr="00812F22" w:rsidRDefault="00147C8B" w:rsidP="00682390">
                                    <w:pPr>
                                      <w:pStyle w:val="BodyText1"/>
                                      <w:jc w:val="right"/>
                                      <w:rPr>
                                        <w:b/>
                                        <w:color w:val="44546A" w:themeColor="text2"/>
                                        <w:sz w:val="36"/>
                                        <w:szCs w:val="36"/>
                                      </w:rPr>
                                    </w:pPr>
                                    <w:r w:rsidRPr="00682390">
                                      <w:rPr>
                                        <w:b/>
                                        <w:color w:val="44546A" w:themeColor="text2"/>
                                        <w:sz w:val="40"/>
                                        <w:szCs w:val="40"/>
                                      </w:rPr>
                                      <w:t>ԲՅՈՒՋԵՏԱՅԻՆ ՈՒՂԵՐՁ</w:t>
                                    </w:r>
                                    <w:r w:rsidRPr="00682390">
                                      <w:rPr>
                                        <w:b/>
                                        <w:color w:val="44546A" w:themeColor="text2"/>
                                        <w:sz w:val="70"/>
                                        <w:szCs w:val="70"/>
                                      </w:rPr>
                                      <w:t>2025 ԹՎԱԿԱՆԻ</w:t>
                                    </w:r>
                                    <w:r w:rsidRPr="00812F22">
                                      <w:rPr>
                                        <w:b/>
                                        <w:color w:val="44546A" w:themeColor="text2"/>
                                        <w:sz w:val="36"/>
                                        <w:szCs w:val="36"/>
                                      </w:rPr>
                                      <w:t>ՈՒՂԵՐՁ</w:t>
                                    </w:r>
                                    <w:r w:rsidRPr="00812F22">
                                      <w:rPr>
                                        <w:b/>
                                        <w:color w:val="44546A" w:themeColor="text2"/>
                                        <w:sz w:val="36"/>
                                        <w:szCs w:val="36"/>
                                        <w:lang w:val="hy-AM"/>
                                      </w:rPr>
                                      <w:t>-ԲԱՑԱՏՐԱԳԻՐ</w:t>
                                    </w:r>
                                  </w:p>
                                  <w:p w14:paraId="111FB722" w14:textId="77777777" w:rsidR="00147C8B" w:rsidRDefault="00147C8B"/>
                                  <w:p w14:paraId="08C15AB0" w14:textId="77777777" w:rsidR="00147C8B" w:rsidRDefault="00147C8B"/>
                                  <w:p w14:paraId="7CC0C26A"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09EF4A5B" w14:textId="77777777" w:rsidR="00147C8B" w:rsidRPr="00A3353C" w:rsidRDefault="00147C8B" w:rsidP="00682390">
                                    <w:pPr>
                                      <w:jc w:val="right"/>
                                      <w:rPr>
                                        <w:sz w:val="74"/>
                                        <w:szCs w:val="74"/>
                                      </w:rPr>
                                    </w:pPr>
                                  </w:p>
                                  <w:p w14:paraId="3C0443A0" w14:textId="77777777" w:rsidR="00147C8B" w:rsidRDefault="00147C8B" w:rsidP="00682390">
                                    <w:pPr>
                                      <w:jc w:val="right"/>
                                    </w:pPr>
                                  </w:p>
                                  <w:p w14:paraId="0AA31E4E"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 xml:space="preserve">2025 ԹՎԱԿԱՆԻ </w:t>
                                    </w:r>
                                  </w:p>
                                  <w:p w14:paraId="2ECE4D42" w14:textId="77777777" w:rsidR="00147C8B" w:rsidRPr="00A3353C" w:rsidRDefault="00147C8B" w:rsidP="00682390">
                                    <w:pPr>
                                      <w:jc w:val="right"/>
                                      <w:rPr>
                                        <w:sz w:val="74"/>
                                        <w:szCs w:val="74"/>
                                      </w:rPr>
                                    </w:pPr>
                                  </w:p>
                                  <w:p w14:paraId="3B76BC49" w14:textId="77777777" w:rsidR="00147C8B" w:rsidRDefault="00147C8B"/>
                                  <w:p w14:paraId="55221828"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ՈՒՂԵՐՁ</w:t>
                                    </w:r>
                                    <w:r w:rsidRPr="00812F22">
                                      <w:rPr>
                                        <w:b/>
                                        <w:color w:val="44546A" w:themeColor="text2"/>
                                        <w:sz w:val="36"/>
                                        <w:szCs w:val="36"/>
                                        <w:lang w:val="hy-AM"/>
                                      </w:rPr>
                                      <w:t>-ԲԱՑԱՏՐԱԳԻՐ</w:t>
                                    </w: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180595FE" w14:textId="77777777" w:rsidR="00147C8B" w:rsidRPr="00A3353C" w:rsidRDefault="00147C8B" w:rsidP="00682390">
                                    <w:pPr>
                                      <w:jc w:val="right"/>
                                      <w:rPr>
                                        <w:sz w:val="74"/>
                                        <w:szCs w:val="74"/>
                                      </w:rPr>
                                    </w:pPr>
                                  </w:p>
                                  <w:p w14:paraId="2957F47C" w14:textId="77777777" w:rsidR="00147C8B" w:rsidRDefault="00147C8B" w:rsidP="00682390">
                                    <w:pPr>
                                      <w:jc w:val="right"/>
                                    </w:pPr>
                                  </w:p>
                                  <w:p w14:paraId="2E4B1044" w14:textId="77777777" w:rsidR="00147C8B" w:rsidRPr="00812F22" w:rsidRDefault="00147C8B" w:rsidP="00682390">
                                    <w:pPr>
                                      <w:pStyle w:val="BodyText1"/>
                                      <w:jc w:val="right"/>
                                      <w:rPr>
                                        <w:b/>
                                        <w:color w:val="44546A" w:themeColor="text2"/>
                                        <w:sz w:val="36"/>
                                        <w:szCs w:val="36"/>
                                      </w:rPr>
                                    </w:pPr>
                                    <w:r w:rsidRPr="00682390">
                                      <w:rPr>
                                        <w:b/>
                                        <w:color w:val="44546A" w:themeColor="text2"/>
                                        <w:sz w:val="40"/>
                                        <w:szCs w:val="40"/>
                                      </w:rPr>
                                      <w:t>ԲՅՈՒՋԵՏԱՅԻՆ ՈՒՂԵՐՁ</w:t>
                                    </w:r>
                                    <w:r w:rsidRPr="00682390">
                                      <w:rPr>
                                        <w:b/>
                                        <w:color w:val="44546A" w:themeColor="text2"/>
                                        <w:sz w:val="70"/>
                                        <w:szCs w:val="70"/>
                                      </w:rPr>
                                      <w:t>2025 ԹՎԱԿԱՆԻ</w:t>
                                    </w:r>
                                    <w:r w:rsidRPr="00812F22">
                                      <w:rPr>
                                        <w:b/>
                                        <w:color w:val="44546A" w:themeColor="text2"/>
                                        <w:sz w:val="36"/>
                                        <w:szCs w:val="36"/>
                                      </w:rPr>
                                      <w:t>ՈՒՂԵՐՁ</w:t>
                                    </w:r>
                                    <w:r w:rsidRPr="00812F22">
                                      <w:rPr>
                                        <w:b/>
                                        <w:color w:val="44546A" w:themeColor="text2"/>
                                        <w:sz w:val="36"/>
                                        <w:szCs w:val="36"/>
                                        <w:lang w:val="hy-AM"/>
                                      </w:rPr>
                                      <w:t>-ԲԱՑԱՏՐԱԳԻՐ</w:t>
                                    </w:r>
                                  </w:p>
                                  <w:p w14:paraId="10BBC4AB" w14:textId="77777777" w:rsidR="00147C8B" w:rsidRDefault="00147C8B"/>
                                  <w:p w14:paraId="0E747DEF" w14:textId="77777777" w:rsidR="00147C8B" w:rsidRDefault="00147C8B"/>
                                  <w:p w14:paraId="260FFAF0" w14:textId="77777777" w:rsidR="00147C8B" w:rsidRPr="00812F22" w:rsidRDefault="00147C8B" w:rsidP="00682390">
                                    <w:pPr>
                                      <w:pStyle w:val="BodyText1"/>
                                      <w:jc w:val="right"/>
                                      <w:rPr>
                                        <w:b/>
                                        <w:color w:val="44546A" w:themeColor="text2"/>
                                        <w:sz w:val="36"/>
                                        <w:szCs w:val="36"/>
                                      </w:rPr>
                                    </w:pPr>
                                    <w:r>
                                      <w:rPr>
                                        <w:b/>
                                        <w:color w:val="44546A" w:themeColor="text2"/>
                                        <w:sz w:val="36"/>
                                        <w:szCs w:val="36"/>
                                      </w:rPr>
                                      <w:t>2026</w:t>
                                    </w:r>
                                    <w:r w:rsidRPr="00812F22">
                                      <w:rPr>
                                        <w:b/>
                                        <w:color w:val="44546A" w:themeColor="text2"/>
                                        <w:sz w:val="36"/>
                                        <w:szCs w:val="36"/>
                                      </w:rPr>
                                      <w:t xml:space="preserve">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4E1A9D1B" w14:textId="77777777" w:rsidR="00147C8B" w:rsidRPr="00A3353C" w:rsidRDefault="00147C8B" w:rsidP="00682390">
                                    <w:pPr>
                                      <w:jc w:val="right"/>
                                      <w:rPr>
                                        <w:sz w:val="74"/>
                                        <w:szCs w:val="74"/>
                                      </w:rPr>
                                    </w:pPr>
                                  </w:p>
                                  <w:p w14:paraId="6E09FF6E" w14:textId="77777777" w:rsidR="00147C8B" w:rsidRDefault="00147C8B" w:rsidP="00682390">
                                    <w:pPr>
                                      <w:jc w:val="right"/>
                                    </w:pPr>
                                  </w:p>
                                  <w:p w14:paraId="10990B03"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 xml:space="preserve">2025 ԹՎԱԿԱՆԻ </w:t>
                                    </w:r>
                                  </w:p>
                                  <w:p w14:paraId="5A4822DE" w14:textId="77777777" w:rsidR="00147C8B" w:rsidRPr="00A3353C" w:rsidRDefault="00147C8B" w:rsidP="00682390">
                                    <w:pPr>
                                      <w:jc w:val="right"/>
                                      <w:rPr>
                                        <w:sz w:val="74"/>
                                        <w:szCs w:val="74"/>
                                      </w:rPr>
                                    </w:pPr>
                                  </w:p>
                                  <w:p w14:paraId="1C6E8201" w14:textId="77777777" w:rsidR="00147C8B" w:rsidRDefault="00147C8B"/>
                                  <w:p w14:paraId="567E34A8"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ՈՒՂԵՐՁ</w:t>
                                    </w:r>
                                    <w:r w:rsidRPr="00812F22">
                                      <w:rPr>
                                        <w:b/>
                                        <w:color w:val="44546A" w:themeColor="text2"/>
                                        <w:sz w:val="36"/>
                                        <w:szCs w:val="36"/>
                                        <w:lang w:val="hy-AM"/>
                                      </w:rPr>
                                      <w:t>-ԲԱՑԱՏՐԱԳԻՐ</w:t>
                                    </w: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42B6F822" w14:textId="77777777" w:rsidR="00147C8B" w:rsidRPr="00A3353C" w:rsidRDefault="00147C8B" w:rsidP="00682390">
                                    <w:pPr>
                                      <w:jc w:val="right"/>
                                      <w:rPr>
                                        <w:sz w:val="74"/>
                                        <w:szCs w:val="74"/>
                                      </w:rPr>
                                    </w:pPr>
                                  </w:p>
                                  <w:p w14:paraId="005A07CC" w14:textId="77777777" w:rsidR="00147C8B" w:rsidRDefault="00147C8B" w:rsidP="00682390">
                                    <w:pPr>
                                      <w:jc w:val="right"/>
                                    </w:pPr>
                                  </w:p>
                                  <w:p w14:paraId="18E9CF9D"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 xml:space="preserve">2025 ԹՎԱԿԱՆԻ </w:t>
                                    </w:r>
                                  </w:p>
                                  <w:p w14:paraId="5CCE7DD8" w14:textId="77777777" w:rsidR="00147C8B" w:rsidRPr="00A3353C" w:rsidRDefault="00147C8B" w:rsidP="00682390">
                                    <w:pPr>
                                      <w:jc w:val="right"/>
                                      <w:rPr>
                                        <w:sz w:val="74"/>
                                        <w:szCs w:val="74"/>
                                      </w:rPr>
                                    </w:pPr>
                                  </w:p>
                                  <w:p w14:paraId="78BEBE6F" w14:textId="77777777" w:rsidR="00147C8B" w:rsidRDefault="00147C8B"/>
                                  <w:p w14:paraId="489C9B1D"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3AF78BDD" w14:textId="77777777" w:rsidR="00147C8B" w:rsidRPr="00A3353C" w:rsidRDefault="00147C8B" w:rsidP="00682390">
                                    <w:pPr>
                                      <w:jc w:val="right"/>
                                      <w:rPr>
                                        <w:sz w:val="74"/>
                                        <w:szCs w:val="74"/>
                                      </w:rPr>
                                    </w:pPr>
                                  </w:p>
                                  <w:p w14:paraId="45BD7F71" w14:textId="77777777" w:rsidR="00147C8B" w:rsidRDefault="00147C8B" w:rsidP="00682390">
                                    <w:pPr>
                                      <w:jc w:val="right"/>
                                    </w:pPr>
                                  </w:p>
                                  <w:p w14:paraId="11CEE9F2"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 xml:space="preserve">2025 ԹՎԱԿԱՆԻ </w:t>
                                    </w:r>
                                  </w:p>
                                  <w:p w14:paraId="49F19EDD" w14:textId="77777777" w:rsidR="00147C8B" w:rsidRPr="00A3353C" w:rsidRDefault="00147C8B" w:rsidP="00682390">
                                    <w:pPr>
                                      <w:jc w:val="right"/>
                                      <w:rPr>
                                        <w:sz w:val="74"/>
                                        <w:szCs w:val="74"/>
                                      </w:rPr>
                                    </w:pPr>
                                  </w:p>
                                  <w:p w14:paraId="556855BB" w14:textId="77777777" w:rsidR="00147C8B" w:rsidRDefault="00147C8B"/>
                                  <w:p w14:paraId="1EADD1C9"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ՈՒՂԵՐՁ</w:t>
                                    </w:r>
                                    <w:r w:rsidRPr="00812F22">
                                      <w:rPr>
                                        <w:b/>
                                        <w:color w:val="44546A" w:themeColor="text2"/>
                                        <w:sz w:val="36"/>
                                        <w:szCs w:val="36"/>
                                        <w:lang w:val="hy-AM"/>
                                      </w:rPr>
                                      <w:t>-ԲԱՑԱՏՐԱԳԻՐ</w:t>
                                    </w: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0D55C03F" w14:textId="77777777" w:rsidR="00147C8B" w:rsidRPr="00A3353C" w:rsidRDefault="00147C8B" w:rsidP="00682390">
                                    <w:pPr>
                                      <w:jc w:val="right"/>
                                      <w:rPr>
                                        <w:sz w:val="74"/>
                                        <w:szCs w:val="74"/>
                                      </w:rPr>
                                    </w:pPr>
                                  </w:p>
                                  <w:p w14:paraId="2DBCFB84" w14:textId="77777777" w:rsidR="00147C8B" w:rsidRDefault="00147C8B" w:rsidP="00682390">
                                    <w:pPr>
                                      <w:jc w:val="right"/>
                                    </w:pPr>
                                  </w:p>
                                  <w:p w14:paraId="4609CD7F"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 xml:space="preserve">2025 ԹՎԱԿԱՆԻ </w:t>
                                    </w:r>
                                  </w:p>
                                  <w:p w14:paraId="011D531D" w14:textId="77777777" w:rsidR="00147C8B" w:rsidRPr="00A3353C" w:rsidRDefault="00147C8B" w:rsidP="00682390">
                                    <w:pPr>
                                      <w:jc w:val="right"/>
                                      <w:rPr>
                                        <w:sz w:val="74"/>
                                        <w:szCs w:val="74"/>
                                      </w:rPr>
                                    </w:pPr>
                                  </w:p>
                                  <w:p w14:paraId="5D0A2812" w14:textId="77777777" w:rsidR="00147C8B" w:rsidRDefault="00147C8B"/>
                                  <w:p w14:paraId="69B01EA4" w14:textId="77777777" w:rsidR="00147C8B" w:rsidRPr="00812F22" w:rsidRDefault="00147C8B" w:rsidP="00682390">
                                    <w:pPr>
                                      <w:pStyle w:val="BodyText1"/>
                                      <w:jc w:val="right"/>
                                      <w:rPr>
                                        <w:b/>
                                        <w:color w:val="44546A" w:themeColor="text2"/>
                                        <w:sz w:val="36"/>
                                        <w:szCs w:val="36"/>
                                      </w:rPr>
                                    </w:pPr>
                                    <w:r>
                                      <w:rPr>
                                        <w:b/>
                                        <w:color w:val="44546A" w:themeColor="text2"/>
                                        <w:sz w:val="36"/>
                                        <w:szCs w:val="36"/>
                                      </w:rPr>
                                      <w:t>2026</w:t>
                                    </w:r>
                                    <w:r w:rsidRPr="00812F22">
                                      <w:rPr>
                                        <w:b/>
                                        <w:color w:val="44546A" w:themeColor="text2"/>
                                        <w:sz w:val="36"/>
                                        <w:szCs w:val="36"/>
                                      </w:rPr>
                                      <w:t xml:space="preserve">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249478A9" w14:textId="77777777" w:rsidR="00147C8B" w:rsidRPr="00A3353C" w:rsidRDefault="00147C8B" w:rsidP="00682390">
                                    <w:pPr>
                                      <w:jc w:val="right"/>
                                      <w:rPr>
                                        <w:sz w:val="74"/>
                                        <w:szCs w:val="74"/>
                                      </w:rPr>
                                    </w:pPr>
                                  </w:p>
                                  <w:p w14:paraId="6EE5A144" w14:textId="77777777" w:rsidR="00147C8B" w:rsidRDefault="00147C8B" w:rsidP="00682390">
                                    <w:pPr>
                                      <w:jc w:val="right"/>
                                    </w:pPr>
                                  </w:p>
                                  <w:p w14:paraId="7A689E8B"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 xml:space="preserve">2025 ԹՎԱԿԱՆԻ </w:t>
                                    </w:r>
                                  </w:p>
                                  <w:p w14:paraId="1A97299E" w14:textId="77777777" w:rsidR="00147C8B" w:rsidRPr="00A3353C" w:rsidRDefault="00147C8B" w:rsidP="00682390">
                                    <w:pPr>
                                      <w:jc w:val="right"/>
                                      <w:rPr>
                                        <w:sz w:val="74"/>
                                        <w:szCs w:val="74"/>
                                      </w:rPr>
                                    </w:pPr>
                                  </w:p>
                                  <w:p w14:paraId="34245443" w14:textId="77777777" w:rsidR="00147C8B" w:rsidRDefault="00147C8B"/>
                                  <w:p w14:paraId="70C15B37"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ՈՒՂԵՐՁ</w:t>
                                    </w:r>
                                    <w:r w:rsidRPr="00812F22">
                                      <w:rPr>
                                        <w:b/>
                                        <w:color w:val="44546A" w:themeColor="text2"/>
                                        <w:sz w:val="36"/>
                                        <w:szCs w:val="36"/>
                                        <w:lang w:val="hy-AM"/>
                                      </w:rPr>
                                      <w:t>-ԲԱՑԱՏՐԱԳԻՐ</w:t>
                                    </w: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44D534C2" w14:textId="77777777" w:rsidR="00147C8B" w:rsidRPr="00A3353C" w:rsidRDefault="00147C8B" w:rsidP="00682390">
                                    <w:pPr>
                                      <w:jc w:val="right"/>
                                      <w:rPr>
                                        <w:sz w:val="74"/>
                                        <w:szCs w:val="74"/>
                                      </w:rPr>
                                    </w:pPr>
                                  </w:p>
                                  <w:p w14:paraId="4255BFFB" w14:textId="77777777" w:rsidR="00147C8B" w:rsidRDefault="00147C8B" w:rsidP="00682390">
                                    <w:pPr>
                                      <w:jc w:val="right"/>
                                    </w:pPr>
                                  </w:p>
                                  <w:p w14:paraId="6EB2E14A"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 xml:space="preserve">2025 ԹՎԱԿԱՆԻ </w:t>
                                    </w:r>
                                  </w:p>
                                  <w:p w14:paraId="5F79BD4E" w14:textId="77777777" w:rsidR="00147C8B" w:rsidRPr="00A3353C" w:rsidRDefault="00147C8B" w:rsidP="00682390">
                                    <w:pPr>
                                      <w:jc w:val="right"/>
                                      <w:rPr>
                                        <w:sz w:val="74"/>
                                        <w:szCs w:val="74"/>
                                      </w:rPr>
                                    </w:pPr>
                                  </w:p>
                                  <w:p w14:paraId="5C60490D" w14:textId="77777777" w:rsidR="00147C8B" w:rsidRDefault="00147C8B"/>
                                  <w:p w14:paraId="74DF7141"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3B08BC48" w14:textId="77777777" w:rsidR="00147C8B" w:rsidRPr="00A3353C" w:rsidRDefault="00147C8B" w:rsidP="00682390">
                                    <w:pPr>
                                      <w:jc w:val="right"/>
                                      <w:rPr>
                                        <w:sz w:val="74"/>
                                        <w:szCs w:val="74"/>
                                      </w:rPr>
                                    </w:pPr>
                                  </w:p>
                                  <w:p w14:paraId="592BDEC3" w14:textId="77777777" w:rsidR="00147C8B" w:rsidRDefault="00147C8B" w:rsidP="00682390">
                                    <w:pPr>
                                      <w:jc w:val="right"/>
                                    </w:pPr>
                                  </w:p>
                                  <w:p w14:paraId="030DB90F"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 xml:space="preserve">2025 ԹՎԱԿԱՆԻ </w:t>
                                    </w:r>
                                  </w:p>
                                  <w:p w14:paraId="40811C3D" w14:textId="77777777" w:rsidR="00147C8B" w:rsidRPr="00A3353C" w:rsidRDefault="00147C8B" w:rsidP="00682390">
                                    <w:pPr>
                                      <w:jc w:val="right"/>
                                      <w:rPr>
                                        <w:sz w:val="74"/>
                                        <w:szCs w:val="74"/>
                                      </w:rPr>
                                    </w:pPr>
                                  </w:p>
                                  <w:p w14:paraId="342514F3" w14:textId="77777777" w:rsidR="00147C8B" w:rsidRDefault="00147C8B"/>
                                  <w:p w14:paraId="0DA16F05"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ՈՒՂԵՐՁ</w:t>
                                    </w:r>
                                    <w:r w:rsidRPr="00812F22">
                                      <w:rPr>
                                        <w:b/>
                                        <w:color w:val="44546A" w:themeColor="text2"/>
                                        <w:sz w:val="36"/>
                                        <w:szCs w:val="36"/>
                                        <w:lang w:val="hy-AM"/>
                                      </w:rPr>
                                      <w:t>-ԲԱՑԱՏՐԱԳԻՐ</w:t>
                                    </w: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052CC3E6" w14:textId="77777777" w:rsidR="00147C8B" w:rsidRPr="00A3353C" w:rsidRDefault="00147C8B" w:rsidP="00682390">
                                    <w:pPr>
                                      <w:jc w:val="right"/>
                                      <w:rPr>
                                        <w:sz w:val="74"/>
                                        <w:szCs w:val="74"/>
                                      </w:rPr>
                                    </w:pPr>
                                  </w:p>
                                  <w:p w14:paraId="2164010F" w14:textId="77777777" w:rsidR="00147C8B" w:rsidRDefault="00147C8B" w:rsidP="00682390">
                                    <w:pPr>
                                      <w:jc w:val="right"/>
                                    </w:pPr>
                                  </w:p>
                                  <w:p w14:paraId="4E988789" w14:textId="77777777" w:rsidR="00147C8B" w:rsidRPr="00812F22" w:rsidRDefault="00147C8B" w:rsidP="00682390">
                                    <w:pPr>
                                      <w:pStyle w:val="BodyText1"/>
                                      <w:jc w:val="right"/>
                                      <w:rPr>
                                        <w:b/>
                                        <w:color w:val="44546A" w:themeColor="text2"/>
                                        <w:sz w:val="36"/>
                                        <w:szCs w:val="36"/>
                                      </w:rPr>
                                    </w:pPr>
                                    <w:r w:rsidRPr="00682390">
                                      <w:rPr>
                                        <w:b/>
                                        <w:color w:val="44546A" w:themeColor="text2"/>
                                        <w:sz w:val="40"/>
                                        <w:szCs w:val="40"/>
                                      </w:rPr>
                                      <w:t>ԲՅՈՒՋԵՏԱՅԻՆ ՈՒՂԵՐՁ</w:t>
                                    </w:r>
                                    <w:r w:rsidRPr="00682390">
                                      <w:rPr>
                                        <w:b/>
                                        <w:color w:val="44546A" w:themeColor="text2"/>
                                        <w:sz w:val="70"/>
                                        <w:szCs w:val="70"/>
                                      </w:rPr>
                                      <w:t>2025 ԹՎԱԿԱՆԻ</w:t>
                                    </w:r>
                                    <w:r w:rsidRPr="00812F22">
                                      <w:rPr>
                                        <w:b/>
                                        <w:color w:val="44546A" w:themeColor="text2"/>
                                        <w:sz w:val="36"/>
                                        <w:szCs w:val="36"/>
                                      </w:rPr>
                                      <w:t>ՈՒՂԵՐՁ</w:t>
                                    </w:r>
                                    <w:r w:rsidRPr="00812F22">
                                      <w:rPr>
                                        <w:b/>
                                        <w:color w:val="44546A" w:themeColor="text2"/>
                                        <w:sz w:val="36"/>
                                        <w:szCs w:val="36"/>
                                        <w:lang w:val="hy-AM"/>
                                      </w:rPr>
                                      <w:t>-ԲԱՑԱՏՐԱԳԻՐ</w:t>
                                    </w:r>
                                  </w:p>
                                  <w:p w14:paraId="4C947AFF" w14:textId="77777777" w:rsidR="00147C8B" w:rsidRDefault="00147C8B"/>
                                  <w:p w14:paraId="773F5583" w14:textId="77777777" w:rsidR="00147C8B" w:rsidRDefault="00147C8B"/>
                                  <w:p w14:paraId="53C06A5D"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17BD61A8" w14:textId="77777777" w:rsidR="00147C8B" w:rsidRPr="00A3353C" w:rsidRDefault="00147C8B" w:rsidP="00682390">
                                    <w:pPr>
                                      <w:jc w:val="right"/>
                                      <w:rPr>
                                        <w:sz w:val="74"/>
                                        <w:szCs w:val="74"/>
                                      </w:rPr>
                                    </w:pPr>
                                  </w:p>
                                  <w:p w14:paraId="575824C6" w14:textId="77777777" w:rsidR="00147C8B" w:rsidRDefault="00147C8B" w:rsidP="00682390">
                                    <w:pPr>
                                      <w:jc w:val="right"/>
                                    </w:pPr>
                                  </w:p>
                                  <w:p w14:paraId="6B87A95A"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 xml:space="preserve">2025 ԹՎԱԿԱՆԻ </w:t>
                                    </w:r>
                                  </w:p>
                                  <w:p w14:paraId="4E78D157" w14:textId="77777777" w:rsidR="00147C8B" w:rsidRPr="00A3353C" w:rsidRDefault="00147C8B" w:rsidP="00682390">
                                    <w:pPr>
                                      <w:jc w:val="right"/>
                                      <w:rPr>
                                        <w:sz w:val="74"/>
                                        <w:szCs w:val="74"/>
                                      </w:rPr>
                                    </w:pPr>
                                  </w:p>
                                  <w:p w14:paraId="0C03C2F6" w14:textId="77777777" w:rsidR="00147C8B" w:rsidRDefault="00147C8B"/>
                                  <w:p w14:paraId="075B0E5E"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ՈՒՂԵՐՁ</w:t>
                                    </w:r>
                                    <w:r w:rsidRPr="00812F22">
                                      <w:rPr>
                                        <w:b/>
                                        <w:color w:val="44546A" w:themeColor="text2"/>
                                        <w:sz w:val="36"/>
                                        <w:szCs w:val="36"/>
                                        <w:lang w:val="hy-AM"/>
                                      </w:rPr>
                                      <w:t>-ԲԱՑԱՏՐԱԳԻՐ</w:t>
                                    </w: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4B42EC10" w14:textId="77777777" w:rsidR="00147C8B" w:rsidRPr="00A3353C" w:rsidRDefault="00147C8B" w:rsidP="00682390">
                                    <w:pPr>
                                      <w:jc w:val="right"/>
                                      <w:rPr>
                                        <w:sz w:val="74"/>
                                        <w:szCs w:val="74"/>
                                      </w:rPr>
                                    </w:pPr>
                                  </w:p>
                                  <w:p w14:paraId="6166F954" w14:textId="77777777" w:rsidR="00147C8B" w:rsidRDefault="00147C8B" w:rsidP="00682390">
                                    <w:pPr>
                                      <w:jc w:val="right"/>
                                    </w:pPr>
                                  </w:p>
                                  <w:p w14:paraId="4677EB59" w14:textId="77777777" w:rsidR="00147C8B" w:rsidRPr="00812F22" w:rsidRDefault="00147C8B" w:rsidP="00682390">
                                    <w:pPr>
                                      <w:pStyle w:val="BodyText1"/>
                                      <w:jc w:val="right"/>
                                      <w:rPr>
                                        <w:b/>
                                        <w:color w:val="44546A" w:themeColor="text2"/>
                                        <w:sz w:val="36"/>
                                        <w:szCs w:val="36"/>
                                      </w:rPr>
                                    </w:pPr>
                                    <w:r w:rsidRPr="00682390">
                                      <w:rPr>
                                        <w:b/>
                                        <w:color w:val="44546A" w:themeColor="text2"/>
                                        <w:sz w:val="40"/>
                                        <w:szCs w:val="40"/>
                                      </w:rPr>
                                      <w:t>ԲՅՈՒՋԵՏԱՅԻՆ ՈՒՂԵՐՁ</w:t>
                                    </w:r>
                                    <w:r w:rsidRPr="00682390">
                                      <w:rPr>
                                        <w:b/>
                                        <w:color w:val="44546A" w:themeColor="text2"/>
                                        <w:sz w:val="70"/>
                                        <w:szCs w:val="70"/>
                                      </w:rPr>
                                      <w:t>2025 ԹՎԱԿԱՆԻ</w:t>
                                    </w:r>
                                    <w:r w:rsidRPr="00812F22">
                                      <w:rPr>
                                        <w:b/>
                                        <w:color w:val="44546A" w:themeColor="text2"/>
                                        <w:sz w:val="36"/>
                                        <w:szCs w:val="36"/>
                                      </w:rPr>
                                      <w:t>ՈՒՂԵՐՁ</w:t>
                                    </w:r>
                                    <w:r w:rsidRPr="00812F22">
                                      <w:rPr>
                                        <w:b/>
                                        <w:color w:val="44546A" w:themeColor="text2"/>
                                        <w:sz w:val="36"/>
                                        <w:szCs w:val="36"/>
                                        <w:lang w:val="hy-AM"/>
                                      </w:rPr>
                                      <w:t>-ԲԱՑԱՏՐԱԳԻՐ</w:t>
                                    </w:r>
                                  </w:p>
                                  <w:p w14:paraId="018C9B63" w14:textId="77777777" w:rsidR="00147C8B" w:rsidRDefault="00147C8B"/>
                                  <w:p w14:paraId="0A31E794" w14:textId="77777777" w:rsidR="00147C8B" w:rsidRDefault="00147C8B"/>
                                  <w:p w14:paraId="378DDE9A" w14:textId="77777777" w:rsidR="00147C8B" w:rsidRPr="00812F22" w:rsidRDefault="00147C8B" w:rsidP="00682390">
                                    <w:pPr>
                                      <w:pStyle w:val="BodyText1"/>
                                      <w:jc w:val="right"/>
                                      <w:rPr>
                                        <w:b/>
                                        <w:color w:val="44546A" w:themeColor="text2"/>
                                        <w:sz w:val="36"/>
                                        <w:szCs w:val="36"/>
                                      </w:rPr>
                                    </w:pPr>
                                    <w:r>
                                      <w:rPr>
                                        <w:b/>
                                        <w:color w:val="44546A" w:themeColor="text2"/>
                                        <w:sz w:val="36"/>
                                        <w:szCs w:val="36"/>
                                      </w:rPr>
                                      <w:t>2026</w:t>
                                    </w:r>
                                    <w:r w:rsidRPr="00812F22">
                                      <w:rPr>
                                        <w:b/>
                                        <w:color w:val="44546A" w:themeColor="text2"/>
                                        <w:sz w:val="36"/>
                                        <w:szCs w:val="36"/>
                                      </w:rPr>
                                      <w:t xml:space="preserve">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58A18403" w14:textId="77777777" w:rsidR="00147C8B" w:rsidRPr="00A3353C" w:rsidRDefault="00147C8B" w:rsidP="00682390">
                                    <w:pPr>
                                      <w:jc w:val="right"/>
                                      <w:rPr>
                                        <w:sz w:val="74"/>
                                        <w:szCs w:val="74"/>
                                      </w:rPr>
                                    </w:pPr>
                                  </w:p>
                                  <w:p w14:paraId="475242F4" w14:textId="77777777" w:rsidR="00147C8B" w:rsidRDefault="00147C8B" w:rsidP="00682390">
                                    <w:pPr>
                                      <w:jc w:val="right"/>
                                    </w:pPr>
                                  </w:p>
                                  <w:p w14:paraId="39DF58A4"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 xml:space="preserve">2025 ԹՎԱԿԱՆԻ </w:t>
                                    </w:r>
                                  </w:p>
                                  <w:p w14:paraId="485868CA" w14:textId="77777777" w:rsidR="00147C8B" w:rsidRPr="00A3353C" w:rsidRDefault="00147C8B" w:rsidP="00682390">
                                    <w:pPr>
                                      <w:jc w:val="right"/>
                                      <w:rPr>
                                        <w:sz w:val="74"/>
                                        <w:szCs w:val="74"/>
                                      </w:rPr>
                                    </w:pPr>
                                  </w:p>
                                  <w:p w14:paraId="02B8E5BA" w14:textId="77777777" w:rsidR="00147C8B" w:rsidRDefault="00147C8B"/>
                                  <w:p w14:paraId="0A51C9F8"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ՈՒՂԵՐՁ</w:t>
                                    </w:r>
                                    <w:r w:rsidRPr="00812F22">
                                      <w:rPr>
                                        <w:b/>
                                        <w:color w:val="44546A" w:themeColor="text2"/>
                                        <w:sz w:val="36"/>
                                        <w:szCs w:val="36"/>
                                        <w:lang w:val="hy-AM"/>
                                      </w:rPr>
                                      <w:t>-ԲԱՑԱՏՐԱԳԻՐ</w:t>
                                    </w: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7EBDE7D0" w14:textId="77777777" w:rsidR="00147C8B" w:rsidRPr="00A3353C" w:rsidRDefault="00147C8B" w:rsidP="00682390">
                                    <w:pPr>
                                      <w:jc w:val="right"/>
                                      <w:rPr>
                                        <w:sz w:val="74"/>
                                        <w:szCs w:val="74"/>
                                      </w:rPr>
                                    </w:pPr>
                                  </w:p>
                                  <w:p w14:paraId="56731AA7" w14:textId="77777777" w:rsidR="00147C8B" w:rsidRDefault="00147C8B" w:rsidP="00682390">
                                    <w:pPr>
                                      <w:jc w:val="right"/>
                                    </w:pPr>
                                  </w:p>
                                  <w:p w14:paraId="18D24C37"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 xml:space="preserve">2025 ԹՎԱԿԱՆԻ </w:t>
                                    </w:r>
                                  </w:p>
                                  <w:p w14:paraId="56C2A1C3" w14:textId="77777777" w:rsidR="00147C8B" w:rsidRPr="00A3353C" w:rsidRDefault="00147C8B" w:rsidP="00682390">
                                    <w:pPr>
                                      <w:jc w:val="right"/>
                                      <w:rPr>
                                        <w:sz w:val="74"/>
                                        <w:szCs w:val="74"/>
                                      </w:rPr>
                                    </w:pPr>
                                  </w:p>
                                  <w:p w14:paraId="03C49022" w14:textId="77777777" w:rsidR="00147C8B" w:rsidRDefault="00147C8B"/>
                                  <w:p w14:paraId="26DA171C"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17B54DD6" w14:textId="77777777" w:rsidR="00147C8B" w:rsidRPr="00A3353C" w:rsidRDefault="00147C8B" w:rsidP="00682390">
                                    <w:pPr>
                                      <w:jc w:val="right"/>
                                      <w:rPr>
                                        <w:sz w:val="74"/>
                                        <w:szCs w:val="74"/>
                                      </w:rPr>
                                    </w:pPr>
                                  </w:p>
                                  <w:p w14:paraId="2177DB38" w14:textId="77777777" w:rsidR="00147C8B" w:rsidRDefault="00147C8B" w:rsidP="00682390">
                                    <w:pPr>
                                      <w:jc w:val="right"/>
                                    </w:pPr>
                                  </w:p>
                                  <w:p w14:paraId="0E21A9F8"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 xml:space="preserve">2025 ԹՎԱԿԱՆԻ </w:t>
                                    </w:r>
                                  </w:p>
                                  <w:p w14:paraId="3C825288" w14:textId="77777777" w:rsidR="00147C8B" w:rsidRPr="00A3353C" w:rsidRDefault="00147C8B" w:rsidP="00682390">
                                    <w:pPr>
                                      <w:jc w:val="right"/>
                                      <w:rPr>
                                        <w:sz w:val="74"/>
                                        <w:szCs w:val="74"/>
                                      </w:rPr>
                                    </w:pPr>
                                  </w:p>
                                  <w:p w14:paraId="6EA4F129" w14:textId="77777777" w:rsidR="00147C8B" w:rsidRDefault="00147C8B"/>
                                  <w:p w14:paraId="48C4B638"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ՈՒՂԵՐՁ</w:t>
                                    </w:r>
                                    <w:r w:rsidRPr="00812F22">
                                      <w:rPr>
                                        <w:b/>
                                        <w:color w:val="44546A" w:themeColor="text2"/>
                                        <w:sz w:val="36"/>
                                        <w:szCs w:val="36"/>
                                        <w:lang w:val="hy-AM"/>
                                      </w:rPr>
                                      <w:t>-ԲԱՑԱՏՐԱԳԻՐ</w:t>
                                    </w: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3D8F53CB" w14:textId="77777777" w:rsidR="00147C8B" w:rsidRPr="00A3353C" w:rsidRDefault="00147C8B" w:rsidP="00682390">
                                    <w:pPr>
                                      <w:jc w:val="right"/>
                                      <w:rPr>
                                        <w:sz w:val="74"/>
                                        <w:szCs w:val="74"/>
                                      </w:rPr>
                                    </w:pPr>
                                  </w:p>
                                  <w:p w14:paraId="3E8E573B" w14:textId="77777777" w:rsidR="00147C8B" w:rsidRDefault="00147C8B" w:rsidP="00682390">
                                    <w:pPr>
                                      <w:jc w:val="right"/>
                                    </w:pPr>
                                  </w:p>
                                  <w:p w14:paraId="78A1C8FF" w14:textId="77777777" w:rsidR="00147C8B" w:rsidRPr="00812F22" w:rsidRDefault="00147C8B" w:rsidP="00682390">
                                    <w:pPr>
                                      <w:pStyle w:val="BodyText1"/>
                                      <w:jc w:val="right"/>
                                      <w:rPr>
                                        <w:b/>
                                        <w:color w:val="44546A" w:themeColor="text2"/>
                                        <w:sz w:val="36"/>
                                        <w:szCs w:val="36"/>
                                      </w:rPr>
                                    </w:pPr>
                                    <w:r w:rsidRPr="00682390">
                                      <w:rPr>
                                        <w:b/>
                                        <w:color w:val="44546A" w:themeColor="text2"/>
                                        <w:sz w:val="40"/>
                                        <w:szCs w:val="40"/>
                                      </w:rPr>
                                      <w:t>ԲՅՈՒՋԵՏԱՅԻՆ ՈՒՂԵՐՁ</w:t>
                                    </w:r>
                                    <w:r w:rsidRPr="00682390">
                                      <w:rPr>
                                        <w:b/>
                                        <w:color w:val="44546A" w:themeColor="text2"/>
                                        <w:sz w:val="70"/>
                                        <w:szCs w:val="70"/>
                                      </w:rPr>
                                      <w:t>2025 ԹՎԱԿԱՆԻ</w:t>
                                    </w:r>
                                    <w:r w:rsidRPr="00812F22">
                                      <w:rPr>
                                        <w:b/>
                                        <w:color w:val="44546A" w:themeColor="text2"/>
                                        <w:sz w:val="36"/>
                                        <w:szCs w:val="36"/>
                                      </w:rPr>
                                      <w:t>ՈՒՂԵՐՁ</w:t>
                                    </w:r>
                                    <w:r w:rsidRPr="00812F22">
                                      <w:rPr>
                                        <w:b/>
                                        <w:color w:val="44546A" w:themeColor="text2"/>
                                        <w:sz w:val="36"/>
                                        <w:szCs w:val="36"/>
                                        <w:lang w:val="hy-AM"/>
                                      </w:rPr>
                                      <w:t>-ԲԱՑԱՏՐԱԳԻՐ</w:t>
                                    </w:r>
                                  </w:p>
                                  <w:p w14:paraId="71A8DB3E" w14:textId="77777777" w:rsidR="00147C8B" w:rsidRDefault="00147C8B"/>
                                  <w:p w14:paraId="75EFC199" w14:textId="77777777" w:rsidR="00147C8B" w:rsidRDefault="00147C8B"/>
                                  <w:p w14:paraId="09E2EFF7"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621C8110" w14:textId="77777777" w:rsidR="00147C8B" w:rsidRPr="00A3353C" w:rsidRDefault="00147C8B" w:rsidP="00682390">
                                    <w:pPr>
                                      <w:jc w:val="right"/>
                                      <w:rPr>
                                        <w:sz w:val="74"/>
                                        <w:szCs w:val="74"/>
                                      </w:rPr>
                                    </w:pPr>
                                  </w:p>
                                  <w:p w14:paraId="7A9034B3" w14:textId="77777777" w:rsidR="00147C8B" w:rsidRDefault="00147C8B" w:rsidP="00682390">
                                    <w:pPr>
                                      <w:jc w:val="right"/>
                                    </w:pPr>
                                  </w:p>
                                  <w:p w14:paraId="0942BAD4"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 xml:space="preserve">2025 ԹՎԱԿԱՆԻ </w:t>
                                    </w:r>
                                  </w:p>
                                  <w:p w14:paraId="60061DF9" w14:textId="77777777" w:rsidR="00147C8B" w:rsidRPr="00A3353C" w:rsidRDefault="00147C8B" w:rsidP="00682390">
                                    <w:pPr>
                                      <w:jc w:val="right"/>
                                      <w:rPr>
                                        <w:sz w:val="74"/>
                                        <w:szCs w:val="74"/>
                                      </w:rPr>
                                    </w:pPr>
                                  </w:p>
                                  <w:p w14:paraId="65B8B3D2" w14:textId="77777777" w:rsidR="00147C8B" w:rsidRDefault="00147C8B"/>
                                  <w:p w14:paraId="79D75B5F"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ՈՒՂԵՐՁ</w:t>
                                    </w:r>
                                    <w:r w:rsidRPr="00812F22">
                                      <w:rPr>
                                        <w:b/>
                                        <w:color w:val="44546A" w:themeColor="text2"/>
                                        <w:sz w:val="36"/>
                                        <w:szCs w:val="36"/>
                                        <w:lang w:val="hy-AM"/>
                                      </w:rPr>
                                      <w:t>-ԲԱՑԱՏՐԱԳԻՐ</w:t>
                                    </w: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55D954C8" w14:textId="77777777" w:rsidR="00147C8B" w:rsidRPr="00A3353C" w:rsidRDefault="00147C8B" w:rsidP="00682390">
                                    <w:pPr>
                                      <w:jc w:val="right"/>
                                      <w:rPr>
                                        <w:sz w:val="74"/>
                                        <w:szCs w:val="74"/>
                                      </w:rPr>
                                    </w:pPr>
                                  </w:p>
                                  <w:p w14:paraId="0D964D82" w14:textId="77777777" w:rsidR="00147C8B" w:rsidRDefault="00147C8B" w:rsidP="00682390">
                                    <w:pPr>
                                      <w:jc w:val="right"/>
                                    </w:pPr>
                                  </w:p>
                                  <w:p w14:paraId="4D77248F" w14:textId="77777777" w:rsidR="00147C8B" w:rsidRPr="00812F22" w:rsidRDefault="00147C8B" w:rsidP="00682390">
                                    <w:pPr>
                                      <w:pStyle w:val="BodyText1"/>
                                      <w:jc w:val="right"/>
                                      <w:rPr>
                                        <w:b/>
                                        <w:color w:val="44546A" w:themeColor="text2"/>
                                        <w:sz w:val="36"/>
                                        <w:szCs w:val="36"/>
                                      </w:rPr>
                                    </w:pPr>
                                    <w:r w:rsidRPr="00682390">
                                      <w:rPr>
                                        <w:b/>
                                        <w:color w:val="44546A" w:themeColor="text2"/>
                                        <w:sz w:val="40"/>
                                        <w:szCs w:val="40"/>
                                      </w:rPr>
                                      <w:t>ԲՅՈՒՋԵՏԱՅԻՆ ՈՒՂԵՐՁ</w:t>
                                    </w:r>
                                    <w:r w:rsidRPr="00682390">
                                      <w:rPr>
                                        <w:b/>
                                        <w:color w:val="44546A" w:themeColor="text2"/>
                                        <w:sz w:val="70"/>
                                        <w:szCs w:val="70"/>
                                      </w:rPr>
                                      <w:t>2025 ԹՎԱԿԱՆԻ</w:t>
                                    </w:r>
                                    <w:r w:rsidRPr="00812F22">
                                      <w:rPr>
                                        <w:b/>
                                        <w:color w:val="44546A" w:themeColor="text2"/>
                                        <w:sz w:val="36"/>
                                        <w:szCs w:val="36"/>
                                      </w:rPr>
                                      <w:t>ՈՒՂԵՐՁ</w:t>
                                    </w:r>
                                    <w:r w:rsidRPr="00812F22">
                                      <w:rPr>
                                        <w:b/>
                                        <w:color w:val="44546A" w:themeColor="text2"/>
                                        <w:sz w:val="36"/>
                                        <w:szCs w:val="36"/>
                                        <w:lang w:val="hy-AM"/>
                                      </w:rPr>
                                      <w:t>-ԲԱՑԱՏՐԱԳԻՐ</w:t>
                                    </w:r>
                                  </w:p>
                                  <w:p w14:paraId="6EC25C3C" w14:textId="77777777" w:rsidR="00147C8B" w:rsidRDefault="00147C8B"/>
                                  <w:bookmarkEnd w:id="0"/>
                                </w:txbxContent>
                              </wps:txbx>
                              <wps:bodyPr rot="0" spcFirstLastPara="0" vertOverflow="overflow" horzOverflow="overflow" vert="horz" wrap="square" lIns="137160" tIns="0" rIns="13716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3E4CBA" id="Rectangle 49" o:spid="_x0000_s1027" style="position:absolute;left:0;text-align:left;margin-left:84.75pt;margin-top:557.25pt;width:439.5pt;height:79.5pt;z-index:251681792;visibility:visible;mso-wrap-style:square;mso-width-percent:0;mso-height-percent:0;mso-wrap-distance-left:28.8pt;mso-wrap-distance-top:7.2pt;mso-wrap-distance-right:28.8pt;mso-wrap-distance-bottom:7.2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" filled="f" stroked="f" strokeweight="1pt">
                        <v:textbox inset="10.8pt,0,10.8pt,0">
                          <w:txbxContent>
                            <w:p w14:paraId="58DE6B8D" w14:textId="445C12A8" w:rsidR="00147C8B" w:rsidRPr="00812F22" w:rsidRDefault="00147C8B" w:rsidP="00682390">
                              <w:pPr>
                                <w:pStyle w:val="BodyText1"/>
                                <w:jc w:val="right"/>
                                <w:rPr>
                                  <w:b/>
                                  <w:color w:val="44546A" w:themeColor="text2"/>
                                  <w:sz w:val="36"/>
                                  <w:szCs w:val="36"/>
                                </w:rPr>
                              </w:pPr>
                              <w:bookmarkStart w:id="1" w:name="_Toc178604091"/>
                              <w:r w:rsidRPr="00812F22">
                                <w:rPr>
                                  <w:b/>
                                  <w:color w:val="44546A" w:themeColor="text2"/>
                                  <w:sz w:val="36"/>
                                  <w:szCs w:val="36"/>
                                </w:rPr>
                                <w:t>ՈՒՂԵՐՁ</w:t>
                              </w:r>
                              <w:r w:rsidRPr="00812F22">
                                <w:rPr>
                                  <w:b/>
                                  <w:color w:val="44546A" w:themeColor="text2"/>
                                  <w:sz w:val="36"/>
                                  <w:szCs w:val="36"/>
                                  <w:lang w:val="hy-AM"/>
                                </w:rPr>
                                <w:t>-ԲԱՑԱՏՐԱԳԻՐ</w:t>
                              </w:r>
                            </w:p>
                            <w:p w14:paraId="67D0D7A9" w14:textId="77777777" w:rsidR="00147C8B" w:rsidRDefault="00147C8B"/>
                            <w:p w14:paraId="51EE6D9F" w14:textId="77777777" w:rsidR="00147C8B" w:rsidRDefault="00147C8B"/>
                            <w:p w14:paraId="42F056EF"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1943F76D" w14:textId="77777777" w:rsidR="00147C8B" w:rsidRPr="00A3353C" w:rsidRDefault="00147C8B" w:rsidP="00682390">
                              <w:pPr>
                                <w:jc w:val="right"/>
                                <w:rPr>
                                  <w:sz w:val="74"/>
                                  <w:szCs w:val="74"/>
                                </w:rPr>
                              </w:pPr>
                            </w:p>
                            <w:p w14:paraId="5F77D9F3" w14:textId="77777777" w:rsidR="00147C8B" w:rsidRDefault="00147C8B" w:rsidP="00682390">
                              <w:pPr>
                                <w:jc w:val="right"/>
                              </w:pPr>
                            </w:p>
                            <w:p w14:paraId="13F138D0"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 xml:space="preserve">2025 ԹՎԱԿԱՆԻ </w:t>
                              </w:r>
                            </w:p>
                            <w:p w14:paraId="281D4EDE" w14:textId="77777777" w:rsidR="00147C8B" w:rsidRPr="00A3353C" w:rsidRDefault="00147C8B" w:rsidP="00682390">
                              <w:pPr>
                                <w:jc w:val="right"/>
                                <w:rPr>
                                  <w:sz w:val="74"/>
                                  <w:szCs w:val="74"/>
                                </w:rPr>
                              </w:pPr>
                            </w:p>
                            <w:p w14:paraId="0767632F" w14:textId="77777777" w:rsidR="00147C8B" w:rsidRDefault="00147C8B"/>
                            <w:p w14:paraId="2454AEF5"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ՈՒՂԵՐՁ</w:t>
                              </w:r>
                              <w:r w:rsidRPr="00812F22">
                                <w:rPr>
                                  <w:b/>
                                  <w:color w:val="44546A" w:themeColor="text2"/>
                                  <w:sz w:val="36"/>
                                  <w:szCs w:val="36"/>
                                  <w:lang w:val="hy-AM"/>
                                </w:rPr>
                                <w:t>-ԲԱՑԱՏՐԱԳԻՐ</w:t>
                              </w: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5FC8BF46" w14:textId="77777777" w:rsidR="00147C8B" w:rsidRPr="00A3353C" w:rsidRDefault="00147C8B" w:rsidP="00682390">
                              <w:pPr>
                                <w:jc w:val="right"/>
                                <w:rPr>
                                  <w:sz w:val="74"/>
                                  <w:szCs w:val="74"/>
                                </w:rPr>
                              </w:pPr>
                            </w:p>
                            <w:p w14:paraId="335ECB34" w14:textId="77777777" w:rsidR="00147C8B" w:rsidRDefault="00147C8B" w:rsidP="00682390">
                              <w:pPr>
                                <w:jc w:val="right"/>
                              </w:pPr>
                            </w:p>
                            <w:p w14:paraId="56A65D82" w14:textId="77777777" w:rsidR="00147C8B" w:rsidRPr="00812F22" w:rsidRDefault="00147C8B" w:rsidP="00682390">
                              <w:pPr>
                                <w:pStyle w:val="BodyText1"/>
                                <w:jc w:val="right"/>
                                <w:rPr>
                                  <w:b/>
                                  <w:color w:val="44546A" w:themeColor="text2"/>
                                  <w:sz w:val="36"/>
                                  <w:szCs w:val="36"/>
                                </w:rPr>
                              </w:pPr>
                              <w:r w:rsidRPr="00682390">
                                <w:rPr>
                                  <w:b/>
                                  <w:color w:val="44546A" w:themeColor="text2"/>
                                  <w:sz w:val="40"/>
                                  <w:szCs w:val="40"/>
                                </w:rPr>
                                <w:t>ԲՅՈՒՋԵՏԱՅԻՆ ՈՒՂԵՐՁ</w:t>
                              </w:r>
                              <w:r w:rsidRPr="00682390">
                                <w:rPr>
                                  <w:b/>
                                  <w:color w:val="44546A" w:themeColor="text2"/>
                                  <w:sz w:val="70"/>
                                  <w:szCs w:val="70"/>
                                </w:rPr>
                                <w:t>2025 ԹՎԱԿԱՆԻ</w:t>
                              </w:r>
                              <w:r w:rsidRPr="00812F22">
                                <w:rPr>
                                  <w:b/>
                                  <w:color w:val="44546A" w:themeColor="text2"/>
                                  <w:sz w:val="36"/>
                                  <w:szCs w:val="36"/>
                                </w:rPr>
                                <w:t>ՈՒՂԵՐՁ</w:t>
                              </w:r>
                              <w:r w:rsidRPr="00812F22">
                                <w:rPr>
                                  <w:b/>
                                  <w:color w:val="44546A" w:themeColor="text2"/>
                                  <w:sz w:val="36"/>
                                  <w:szCs w:val="36"/>
                                  <w:lang w:val="hy-AM"/>
                                </w:rPr>
                                <w:t>-ԲԱՑԱՏՐԱԳԻՐ</w:t>
                              </w:r>
                            </w:p>
                            <w:p w14:paraId="475E3957" w14:textId="77777777" w:rsidR="00147C8B" w:rsidRDefault="00147C8B"/>
                            <w:p w14:paraId="04CA94C7" w14:textId="77777777" w:rsidR="00147C8B" w:rsidRDefault="00147C8B"/>
                            <w:p w14:paraId="6ABA456C" w14:textId="77777777" w:rsidR="00147C8B" w:rsidRPr="00812F22" w:rsidRDefault="00147C8B" w:rsidP="00682390">
                              <w:pPr>
                                <w:pStyle w:val="BodyText1"/>
                                <w:jc w:val="right"/>
                                <w:rPr>
                                  <w:b/>
                                  <w:color w:val="44546A" w:themeColor="text2"/>
                                  <w:sz w:val="36"/>
                                  <w:szCs w:val="36"/>
                                </w:rPr>
                              </w:pPr>
                              <w:r>
                                <w:rPr>
                                  <w:b/>
                                  <w:color w:val="44546A" w:themeColor="text2"/>
                                  <w:sz w:val="36"/>
                                  <w:szCs w:val="36"/>
                                </w:rPr>
                                <w:t>2026</w:t>
                              </w:r>
                              <w:r w:rsidRPr="00812F22">
                                <w:rPr>
                                  <w:b/>
                                  <w:color w:val="44546A" w:themeColor="text2"/>
                                  <w:sz w:val="36"/>
                                  <w:szCs w:val="36"/>
                                </w:rPr>
                                <w:t xml:space="preserve">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070623BE" w14:textId="77777777" w:rsidR="00147C8B" w:rsidRPr="00A3353C" w:rsidRDefault="00147C8B" w:rsidP="00682390">
                              <w:pPr>
                                <w:jc w:val="right"/>
                                <w:rPr>
                                  <w:sz w:val="74"/>
                                  <w:szCs w:val="74"/>
                                </w:rPr>
                              </w:pPr>
                            </w:p>
                            <w:p w14:paraId="1195EBE5" w14:textId="77777777" w:rsidR="00147C8B" w:rsidRDefault="00147C8B" w:rsidP="00682390">
                              <w:pPr>
                                <w:jc w:val="right"/>
                              </w:pPr>
                            </w:p>
                            <w:p w14:paraId="3F8768B0"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 xml:space="preserve">2025 ԹՎԱԿԱՆԻ </w:t>
                              </w:r>
                            </w:p>
                            <w:p w14:paraId="48C80021" w14:textId="77777777" w:rsidR="00147C8B" w:rsidRPr="00A3353C" w:rsidRDefault="00147C8B" w:rsidP="00682390">
                              <w:pPr>
                                <w:jc w:val="right"/>
                                <w:rPr>
                                  <w:sz w:val="74"/>
                                  <w:szCs w:val="74"/>
                                </w:rPr>
                              </w:pPr>
                            </w:p>
                            <w:p w14:paraId="3BB9C3D0" w14:textId="77777777" w:rsidR="00147C8B" w:rsidRDefault="00147C8B"/>
                            <w:p w14:paraId="6099C386"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ՈՒՂԵՐՁ</w:t>
                              </w:r>
                              <w:r w:rsidRPr="00812F22">
                                <w:rPr>
                                  <w:b/>
                                  <w:color w:val="44546A" w:themeColor="text2"/>
                                  <w:sz w:val="36"/>
                                  <w:szCs w:val="36"/>
                                  <w:lang w:val="hy-AM"/>
                                </w:rPr>
                                <w:t>-ԲԱՑԱՏՐԱԳԻՐ</w:t>
                              </w: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05EED808" w14:textId="77777777" w:rsidR="00147C8B" w:rsidRPr="00A3353C" w:rsidRDefault="00147C8B" w:rsidP="00682390">
                              <w:pPr>
                                <w:jc w:val="right"/>
                                <w:rPr>
                                  <w:sz w:val="74"/>
                                  <w:szCs w:val="74"/>
                                </w:rPr>
                              </w:pPr>
                            </w:p>
                            <w:p w14:paraId="36E2510C" w14:textId="77777777" w:rsidR="00147C8B" w:rsidRDefault="00147C8B" w:rsidP="00682390">
                              <w:pPr>
                                <w:jc w:val="right"/>
                              </w:pPr>
                            </w:p>
                            <w:p w14:paraId="234BFE4C"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 xml:space="preserve">2025 ԹՎԱԿԱՆԻ </w:t>
                              </w:r>
                            </w:p>
                            <w:p w14:paraId="35676148" w14:textId="77777777" w:rsidR="00147C8B" w:rsidRPr="00A3353C" w:rsidRDefault="00147C8B" w:rsidP="00682390">
                              <w:pPr>
                                <w:jc w:val="right"/>
                                <w:rPr>
                                  <w:sz w:val="74"/>
                                  <w:szCs w:val="74"/>
                                </w:rPr>
                              </w:pPr>
                            </w:p>
                            <w:p w14:paraId="5A0BDF6C" w14:textId="77777777" w:rsidR="00147C8B" w:rsidRDefault="00147C8B"/>
                            <w:p w14:paraId="14870B07"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1BBEC863" w14:textId="77777777" w:rsidR="00147C8B" w:rsidRPr="00A3353C" w:rsidRDefault="00147C8B" w:rsidP="00682390">
                              <w:pPr>
                                <w:jc w:val="right"/>
                                <w:rPr>
                                  <w:sz w:val="74"/>
                                  <w:szCs w:val="74"/>
                                </w:rPr>
                              </w:pPr>
                            </w:p>
                            <w:p w14:paraId="011A4454" w14:textId="77777777" w:rsidR="00147C8B" w:rsidRDefault="00147C8B" w:rsidP="00682390">
                              <w:pPr>
                                <w:jc w:val="right"/>
                              </w:pPr>
                            </w:p>
                            <w:p w14:paraId="67BBED21"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 xml:space="preserve">2025 ԹՎԱԿԱՆԻ </w:t>
                              </w:r>
                            </w:p>
                            <w:p w14:paraId="2F85080C" w14:textId="77777777" w:rsidR="00147C8B" w:rsidRPr="00A3353C" w:rsidRDefault="00147C8B" w:rsidP="00682390">
                              <w:pPr>
                                <w:jc w:val="right"/>
                                <w:rPr>
                                  <w:sz w:val="74"/>
                                  <w:szCs w:val="74"/>
                                </w:rPr>
                              </w:pPr>
                            </w:p>
                            <w:p w14:paraId="1D92795F" w14:textId="77777777" w:rsidR="00147C8B" w:rsidRDefault="00147C8B"/>
                            <w:p w14:paraId="1746F028"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ՈՒՂԵՐՁ</w:t>
                              </w:r>
                              <w:r w:rsidRPr="00812F22">
                                <w:rPr>
                                  <w:b/>
                                  <w:color w:val="44546A" w:themeColor="text2"/>
                                  <w:sz w:val="36"/>
                                  <w:szCs w:val="36"/>
                                  <w:lang w:val="hy-AM"/>
                                </w:rPr>
                                <w:t>-ԲԱՑԱՏՐԱԳԻՐ</w:t>
                              </w: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1777DC51" w14:textId="77777777" w:rsidR="00147C8B" w:rsidRPr="00A3353C" w:rsidRDefault="00147C8B" w:rsidP="00682390">
                              <w:pPr>
                                <w:jc w:val="right"/>
                                <w:rPr>
                                  <w:sz w:val="74"/>
                                  <w:szCs w:val="74"/>
                                </w:rPr>
                              </w:pPr>
                            </w:p>
                            <w:p w14:paraId="6C4BC23A" w14:textId="77777777" w:rsidR="00147C8B" w:rsidRDefault="00147C8B" w:rsidP="00682390">
                              <w:pPr>
                                <w:jc w:val="right"/>
                              </w:pPr>
                            </w:p>
                            <w:p w14:paraId="31670AC1" w14:textId="77777777" w:rsidR="00147C8B" w:rsidRPr="00812F22" w:rsidRDefault="00147C8B" w:rsidP="00682390">
                              <w:pPr>
                                <w:pStyle w:val="BodyText1"/>
                                <w:jc w:val="right"/>
                                <w:rPr>
                                  <w:b/>
                                  <w:color w:val="44546A" w:themeColor="text2"/>
                                  <w:sz w:val="36"/>
                                  <w:szCs w:val="36"/>
                                </w:rPr>
                              </w:pPr>
                              <w:r w:rsidRPr="00682390">
                                <w:rPr>
                                  <w:b/>
                                  <w:color w:val="44546A" w:themeColor="text2"/>
                                  <w:sz w:val="40"/>
                                  <w:szCs w:val="40"/>
                                </w:rPr>
                                <w:t>ԲՅՈՒՋԵՏԱՅԻՆ ՈՒՂԵՐՁ</w:t>
                              </w:r>
                              <w:r w:rsidRPr="00682390">
                                <w:rPr>
                                  <w:b/>
                                  <w:color w:val="44546A" w:themeColor="text2"/>
                                  <w:sz w:val="70"/>
                                  <w:szCs w:val="70"/>
                                </w:rPr>
                                <w:t>2025 ԹՎԱԿԱՆԻ</w:t>
                              </w:r>
                              <w:r w:rsidRPr="00812F22">
                                <w:rPr>
                                  <w:b/>
                                  <w:color w:val="44546A" w:themeColor="text2"/>
                                  <w:sz w:val="36"/>
                                  <w:szCs w:val="36"/>
                                </w:rPr>
                                <w:t>ՈՒՂԵՐՁ</w:t>
                              </w:r>
                              <w:r w:rsidRPr="00812F22">
                                <w:rPr>
                                  <w:b/>
                                  <w:color w:val="44546A" w:themeColor="text2"/>
                                  <w:sz w:val="36"/>
                                  <w:szCs w:val="36"/>
                                  <w:lang w:val="hy-AM"/>
                                </w:rPr>
                                <w:t>-ԲԱՑԱՏՐԱԳԻՐ</w:t>
                              </w:r>
                            </w:p>
                            <w:p w14:paraId="5914664D" w14:textId="77777777" w:rsidR="00147C8B" w:rsidRDefault="00147C8B"/>
                            <w:p w14:paraId="7EA59027" w14:textId="77777777" w:rsidR="00147C8B" w:rsidRDefault="00147C8B"/>
                            <w:p w14:paraId="309835DC"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5A56FEFB" w14:textId="77777777" w:rsidR="00147C8B" w:rsidRPr="00A3353C" w:rsidRDefault="00147C8B" w:rsidP="00682390">
                              <w:pPr>
                                <w:jc w:val="right"/>
                                <w:rPr>
                                  <w:sz w:val="74"/>
                                  <w:szCs w:val="74"/>
                                </w:rPr>
                              </w:pPr>
                            </w:p>
                            <w:p w14:paraId="5680B6A7" w14:textId="77777777" w:rsidR="00147C8B" w:rsidRDefault="00147C8B" w:rsidP="00682390">
                              <w:pPr>
                                <w:jc w:val="right"/>
                              </w:pPr>
                            </w:p>
                            <w:p w14:paraId="22EC0BD9"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 xml:space="preserve">2025 ԹՎԱԿԱՆԻ </w:t>
                              </w:r>
                            </w:p>
                            <w:p w14:paraId="548F3BE1" w14:textId="77777777" w:rsidR="00147C8B" w:rsidRPr="00A3353C" w:rsidRDefault="00147C8B" w:rsidP="00682390">
                              <w:pPr>
                                <w:jc w:val="right"/>
                                <w:rPr>
                                  <w:sz w:val="74"/>
                                  <w:szCs w:val="74"/>
                                </w:rPr>
                              </w:pPr>
                            </w:p>
                            <w:p w14:paraId="15F8FB7C" w14:textId="77777777" w:rsidR="00147C8B" w:rsidRDefault="00147C8B"/>
                            <w:p w14:paraId="0BD4883C"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ՈՒՂԵՐՁ</w:t>
                              </w:r>
                              <w:r w:rsidRPr="00812F22">
                                <w:rPr>
                                  <w:b/>
                                  <w:color w:val="44546A" w:themeColor="text2"/>
                                  <w:sz w:val="36"/>
                                  <w:szCs w:val="36"/>
                                  <w:lang w:val="hy-AM"/>
                                </w:rPr>
                                <w:t>-ԲԱՑԱՏՐԱԳԻՐ</w:t>
                              </w: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737B2482" w14:textId="77777777" w:rsidR="00147C8B" w:rsidRPr="00A3353C" w:rsidRDefault="00147C8B" w:rsidP="00682390">
                              <w:pPr>
                                <w:jc w:val="right"/>
                                <w:rPr>
                                  <w:sz w:val="74"/>
                                  <w:szCs w:val="74"/>
                                </w:rPr>
                              </w:pPr>
                            </w:p>
                            <w:p w14:paraId="563490B4" w14:textId="77777777" w:rsidR="00147C8B" w:rsidRDefault="00147C8B" w:rsidP="00682390">
                              <w:pPr>
                                <w:jc w:val="right"/>
                              </w:pPr>
                            </w:p>
                            <w:p w14:paraId="39A01E6F" w14:textId="77777777" w:rsidR="00147C8B" w:rsidRPr="00812F22" w:rsidRDefault="00147C8B" w:rsidP="00682390">
                              <w:pPr>
                                <w:pStyle w:val="BodyText1"/>
                                <w:jc w:val="right"/>
                                <w:rPr>
                                  <w:b/>
                                  <w:color w:val="44546A" w:themeColor="text2"/>
                                  <w:sz w:val="36"/>
                                  <w:szCs w:val="36"/>
                                </w:rPr>
                              </w:pPr>
                              <w:r w:rsidRPr="00682390">
                                <w:rPr>
                                  <w:b/>
                                  <w:color w:val="44546A" w:themeColor="text2"/>
                                  <w:sz w:val="40"/>
                                  <w:szCs w:val="40"/>
                                </w:rPr>
                                <w:t>ԲՅՈՒՋԵՏԱՅԻՆ ՈՒՂԵՐՁ</w:t>
                              </w:r>
                              <w:r w:rsidRPr="00682390">
                                <w:rPr>
                                  <w:b/>
                                  <w:color w:val="44546A" w:themeColor="text2"/>
                                  <w:sz w:val="70"/>
                                  <w:szCs w:val="70"/>
                                </w:rPr>
                                <w:t>2025 ԹՎԱԿԱՆԻ</w:t>
                              </w:r>
                              <w:r w:rsidRPr="00812F22">
                                <w:rPr>
                                  <w:b/>
                                  <w:color w:val="44546A" w:themeColor="text2"/>
                                  <w:sz w:val="36"/>
                                  <w:szCs w:val="36"/>
                                </w:rPr>
                                <w:t>ՈՒՂԵՐՁ</w:t>
                              </w:r>
                              <w:r w:rsidRPr="00812F22">
                                <w:rPr>
                                  <w:b/>
                                  <w:color w:val="44546A" w:themeColor="text2"/>
                                  <w:sz w:val="36"/>
                                  <w:szCs w:val="36"/>
                                  <w:lang w:val="hy-AM"/>
                                </w:rPr>
                                <w:t>-ԲԱՑԱՏՐԱԳԻՐ</w:t>
                              </w:r>
                            </w:p>
                            <w:p w14:paraId="4EBC6862" w14:textId="77777777" w:rsidR="00147C8B" w:rsidRDefault="00147C8B"/>
                            <w:p w14:paraId="2CFD4C32" w14:textId="77777777" w:rsidR="00147C8B" w:rsidRDefault="00147C8B"/>
                            <w:p w14:paraId="0C60F6C7" w14:textId="77777777" w:rsidR="00147C8B" w:rsidRPr="00812F22" w:rsidRDefault="00147C8B" w:rsidP="00682390">
                              <w:pPr>
                                <w:pStyle w:val="BodyText1"/>
                                <w:jc w:val="right"/>
                                <w:rPr>
                                  <w:b/>
                                  <w:color w:val="44546A" w:themeColor="text2"/>
                                  <w:sz w:val="36"/>
                                  <w:szCs w:val="36"/>
                                </w:rPr>
                              </w:pPr>
                              <w:r>
                                <w:rPr>
                                  <w:b/>
                                  <w:color w:val="44546A" w:themeColor="text2"/>
                                  <w:sz w:val="36"/>
                                  <w:szCs w:val="36"/>
                                </w:rPr>
                                <w:t>2026</w:t>
                              </w:r>
                              <w:r w:rsidRPr="00812F22">
                                <w:rPr>
                                  <w:b/>
                                  <w:color w:val="44546A" w:themeColor="text2"/>
                                  <w:sz w:val="36"/>
                                  <w:szCs w:val="36"/>
                                </w:rPr>
                                <w:t xml:space="preserve">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7EE7F73F" w14:textId="77777777" w:rsidR="00147C8B" w:rsidRPr="00A3353C" w:rsidRDefault="00147C8B" w:rsidP="00682390">
                              <w:pPr>
                                <w:jc w:val="right"/>
                                <w:rPr>
                                  <w:sz w:val="74"/>
                                  <w:szCs w:val="74"/>
                                </w:rPr>
                              </w:pPr>
                            </w:p>
                            <w:p w14:paraId="24052C9E" w14:textId="77777777" w:rsidR="00147C8B" w:rsidRDefault="00147C8B" w:rsidP="00682390">
                              <w:pPr>
                                <w:jc w:val="right"/>
                              </w:pPr>
                            </w:p>
                            <w:p w14:paraId="758D5F45"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 xml:space="preserve">2025 ԹՎԱԿԱՆԻ </w:t>
                              </w:r>
                            </w:p>
                            <w:p w14:paraId="4B8CCAE8" w14:textId="77777777" w:rsidR="00147C8B" w:rsidRPr="00A3353C" w:rsidRDefault="00147C8B" w:rsidP="00682390">
                              <w:pPr>
                                <w:jc w:val="right"/>
                                <w:rPr>
                                  <w:sz w:val="74"/>
                                  <w:szCs w:val="74"/>
                                </w:rPr>
                              </w:pPr>
                            </w:p>
                            <w:p w14:paraId="73511566" w14:textId="77777777" w:rsidR="00147C8B" w:rsidRDefault="00147C8B"/>
                            <w:p w14:paraId="08AED235"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ՈՒՂԵՐՁ</w:t>
                              </w:r>
                              <w:r w:rsidRPr="00812F22">
                                <w:rPr>
                                  <w:b/>
                                  <w:color w:val="44546A" w:themeColor="text2"/>
                                  <w:sz w:val="36"/>
                                  <w:szCs w:val="36"/>
                                  <w:lang w:val="hy-AM"/>
                                </w:rPr>
                                <w:t>-ԲԱՑԱՏՐԱԳԻՐ</w:t>
                              </w: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35C30150" w14:textId="77777777" w:rsidR="00147C8B" w:rsidRPr="00A3353C" w:rsidRDefault="00147C8B" w:rsidP="00682390">
                              <w:pPr>
                                <w:jc w:val="right"/>
                                <w:rPr>
                                  <w:sz w:val="74"/>
                                  <w:szCs w:val="74"/>
                                </w:rPr>
                              </w:pPr>
                            </w:p>
                            <w:p w14:paraId="15162D89" w14:textId="77777777" w:rsidR="00147C8B" w:rsidRDefault="00147C8B" w:rsidP="00682390">
                              <w:pPr>
                                <w:jc w:val="right"/>
                              </w:pPr>
                            </w:p>
                            <w:p w14:paraId="0EDDA196"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 xml:space="preserve">2025 ԹՎԱԿԱՆԻ </w:t>
                              </w:r>
                            </w:p>
                            <w:p w14:paraId="678CAF89" w14:textId="77777777" w:rsidR="00147C8B" w:rsidRPr="00A3353C" w:rsidRDefault="00147C8B" w:rsidP="00682390">
                              <w:pPr>
                                <w:jc w:val="right"/>
                                <w:rPr>
                                  <w:sz w:val="74"/>
                                  <w:szCs w:val="74"/>
                                </w:rPr>
                              </w:pPr>
                            </w:p>
                            <w:p w14:paraId="1B3715E1" w14:textId="77777777" w:rsidR="00147C8B" w:rsidRDefault="00147C8B"/>
                            <w:p w14:paraId="2B4F1CED"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15156ED1" w14:textId="77777777" w:rsidR="00147C8B" w:rsidRPr="00A3353C" w:rsidRDefault="00147C8B" w:rsidP="00682390">
                              <w:pPr>
                                <w:jc w:val="right"/>
                                <w:rPr>
                                  <w:sz w:val="74"/>
                                  <w:szCs w:val="74"/>
                                </w:rPr>
                              </w:pPr>
                            </w:p>
                            <w:p w14:paraId="7248FCAC" w14:textId="77777777" w:rsidR="00147C8B" w:rsidRDefault="00147C8B" w:rsidP="00682390">
                              <w:pPr>
                                <w:jc w:val="right"/>
                              </w:pPr>
                            </w:p>
                            <w:p w14:paraId="75124DE3"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 xml:space="preserve">2025 ԹՎԱԿԱՆԻ </w:t>
                              </w:r>
                            </w:p>
                            <w:p w14:paraId="5A4303F6" w14:textId="77777777" w:rsidR="00147C8B" w:rsidRPr="00A3353C" w:rsidRDefault="00147C8B" w:rsidP="00682390">
                              <w:pPr>
                                <w:jc w:val="right"/>
                                <w:rPr>
                                  <w:sz w:val="74"/>
                                  <w:szCs w:val="74"/>
                                </w:rPr>
                              </w:pPr>
                            </w:p>
                            <w:p w14:paraId="57FBD001" w14:textId="77777777" w:rsidR="00147C8B" w:rsidRDefault="00147C8B"/>
                            <w:p w14:paraId="726795D2"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ՈՒՂԵՐՁ</w:t>
                              </w:r>
                              <w:r w:rsidRPr="00812F22">
                                <w:rPr>
                                  <w:b/>
                                  <w:color w:val="44546A" w:themeColor="text2"/>
                                  <w:sz w:val="36"/>
                                  <w:szCs w:val="36"/>
                                  <w:lang w:val="hy-AM"/>
                                </w:rPr>
                                <w:t>-ԲԱՑԱՏՐԱԳԻՐ</w:t>
                              </w: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0AEB82DE" w14:textId="77777777" w:rsidR="00147C8B" w:rsidRPr="00A3353C" w:rsidRDefault="00147C8B" w:rsidP="00682390">
                              <w:pPr>
                                <w:jc w:val="right"/>
                                <w:rPr>
                                  <w:sz w:val="74"/>
                                  <w:szCs w:val="74"/>
                                </w:rPr>
                              </w:pPr>
                            </w:p>
                            <w:p w14:paraId="08082F95" w14:textId="77777777" w:rsidR="00147C8B" w:rsidRDefault="00147C8B" w:rsidP="00682390">
                              <w:pPr>
                                <w:jc w:val="right"/>
                              </w:pPr>
                            </w:p>
                            <w:p w14:paraId="3D160BB2"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 xml:space="preserve">2025 ԹՎԱԿԱՆԻ </w:t>
                              </w:r>
                            </w:p>
                            <w:p w14:paraId="11CB77B8" w14:textId="77777777" w:rsidR="00147C8B" w:rsidRPr="00A3353C" w:rsidRDefault="00147C8B" w:rsidP="00682390">
                              <w:pPr>
                                <w:jc w:val="right"/>
                                <w:rPr>
                                  <w:sz w:val="74"/>
                                  <w:szCs w:val="74"/>
                                </w:rPr>
                              </w:pPr>
                            </w:p>
                            <w:p w14:paraId="45BC8F55" w14:textId="77777777" w:rsidR="00147C8B" w:rsidRDefault="00147C8B"/>
                            <w:p w14:paraId="6DD38046" w14:textId="77777777" w:rsidR="00147C8B" w:rsidRPr="00812F22" w:rsidRDefault="00147C8B" w:rsidP="00682390">
                              <w:pPr>
                                <w:pStyle w:val="BodyText1"/>
                                <w:jc w:val="right"/>
                                <w:rPr>
                                  <w:b/>
                                  <w:color w:val="44546A" w:themeColor="text2"/>
                                  <w:sz w:val="36"/>
                                  <w:szCs w:val="36"/>
                                </w:rPr>
                              </w:pPr>
                              <w:r>
                                <w:rPr>
                                  <w:b/>
                                  <w:color w:val="44546A" w:themeColor="text2"/>
                                  <w:sz w:val="36"/>
                                  <w:szCs w:val="36"/>
                                </w:rPr>
                                <w:t>2026</w:t>
                              </w:r>
                              <w:r w:rsidRPr="00812F22">
                                <w:rPr>
                                  <w:b/>
                                  <w:color w:val="44546A" w:themeColor="text2"/>
                                  <w:sz w:val="36"/>
                                  <w:szCs w:val="36"/>
                                </w:rPr>
                                <w:t xml:space="preserve">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65ECF9CF" w14:textId="77777777" w:rsidR="00147C8B" w:rsidRPr="00A3353C" w:rsidRDefault="00147C8B" w:rsidP="00682390">
                              <w:pPr>
                                <w:jc w:val="right"/>
                                <w:rPr>
                                  <w:sz w:val="74"/>
                                  <w:szCs w:val="74"/>
                                </w:rPr>
                              </w:pPr>
                            </w:p>
                            <w:p w14:paraId="4F38681E" w14:textId="77777777" w:rsidR="00147C8B" w:rsidRDefault="00147C8B" w:rsidP="00682390">
                              <w:pPr>
                                <w:jc w:val="right"/>
                              </w:pPr>
                            </w:p>
                            <w:p w14:paraId="41FF32A5"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 xml:space="preserve">2025 ԹՎԱԿԱՆԻ </w:t>
                              </w:r>
                            </w:p>
                            <w:p w14:paraId="7646C56C" w14:textId="77777777" w:rsidR="00147C8B" w:rsidRPr="00A3353C" w:rsidRDefault="00147C8B" w:rsidP="00682390">
                              <w:pPr>
                                <w:jc w:val="right"/>
                                <w:rPr>
                                  <w:sz w:val="74"/>
                                  <w:szCs w:val="74"/>
                                </w:rPr>
                              </w:pPr>
                            </w:p>
                            <w:p w14:paraId="1410A624" w14:textId="77777777" w:rsidR="00147C8B" w:rsidRDefault="00147C8B"/>
                            <w:p w14:paraId="5DC267C0"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ՈՒՂԵՐՁ</w:t>
                              </w:r>
                              <w:r w:rsidRPr="00812F22">
                                <w:rPr>
                                  <w:b/>
                                  <w:color w:val="44546A" w:themeColor="text2"/>
                                  <w:sz w:val="36"/>
                                  <w:szCs w:val="36"/>
                                  <w:lang w:val="hy-AM"/>
                                </w:rPr>
                                <w:t>-ԲԱՑԱՏՐԱԳԻՐ</w:t>
                              </w: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06132531" w14:textId="77777777" w:rsidR="00147C8B" w:rsidRPr="00A3353C" w:rsidRDefault="00147C8B" w:rsidP="00682390">
                              <w:pPr>
                                <w:jc w:val="right"/>
                                <w:rPr>
                                  <w:sz w:val="74"/>
                                  <w:szCs w:val="74"/>
                                </w:rPr>
                              </w:pPr>
                            </w:p>
                            <w:p w14:paraId="2786869E" w14:textId="77777777" w:rsidR="00147C8B" w:rsidRDefault="00147C8B" w:rsidP="00682390">
                              <w:pPr>
                                <w:jc w:val="right"/>
                              </w:pPr>
                            </w:p>
                            <w:p w14:paraId="6EE72F9E"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 xml:space="preserve">2025 ԹՎԱԿԱՆԻ </w:t>
                              </w:r>
                            </w:p>
                            <w:p w14:paraId="361AA088" w14:textId="77777777" w:rsidR="00147C8B" w:rsidRPr="00A3353C" w:rsidRDefault="00147C8B" w:rsidP="00682390">
                              <w:pPr>
                                <w:jc w:val="right"/>
                                <w:rPr>
                                  <w:sz w:val="74"/>
                                  <w:szCs w:val="74"/>
                                </w:rPr>
                              </w:pPr>
                            </w:p>
                            <w:p w14:paraId="368D5D0B" w14:textId="77777777" w:rsidR="00147C8B" w:rsidRDefault="00147C8B"/>
                            <w:p w14:paraId="68374E74"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2CC9A1B7" w14:textId="77777777" w:rsidR="00147C8B" w:rsidRPr="00A3353C" w:rsidRDefault="00147C8B" w:rsidP="00682390">
                              <w:pPr>
                                <w:jc w:val="right"/>
                                <w:rPr>
                                  <w:sz w:val="74"/>
                                  <w:szCs w:val="74"/>
                                </w:rPr>
                              </w:pPr>
                            </w:p>
                            <w:p w14:paraId="4E4DC0B2" w14:textId="77777777" w:rsidR="00147C8B" w:rsidRDefault="00147C8B" w:rsidP="00682390">
                              <w:pPr>
                                <w:jc w:val="right"/>
                              </w:pPr>
                            </w:p>
                            <w:p w14:paraId="17E656FD"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 xml:space="preserve">2025 ԹՎԱԿԱՆԻ </w:t>
                              </w:r>
                            </w:p>
                            <w:p w14:paraId="7AA3F815" w14:textId="77777777" w:rsidR="00147C8B" w:rsidRPr="00A3353C" w:rsidRDefault="00147C8B" w:rsidP="00682390">
                              <w:pPr>
                                <w:jc w:val="right"/>
                                <w:rPr>
                                  <w:sz w:val="74"/>
                                  <w:szCs w:val="74"/>
                                </w:rPr>
                              </w:pPr>
                            </w:p>
                            <w:p w14:paraId="7F71251A" w14:textId="77777777" w:rsidR="00147C8B" w:rsidRDefault="00147C8B"/>
                            <w:p w14:paraId="32A950CE"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ՈՒՂԵՐՁ</w:t>
                              </w:r>
                              <w:r w:rsidRPr="00812F22">
                                <w:rPr>
                                  <w:b/>
                                  <w:color w:val="44546A" w:themeColor="text2"/>
                                  <w:sz w:val="36"/>
                                  <w:szCs w:val="36"/>
                                  <w:lang w:val="hy-AM"/>
                                </w:rPr>
                                <w:t>-ԲԱՑԱՏՐԱԳԻՐ</w:t>
                              </w: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248DBA24" w14:textId="77777777" w:rsidR="00147C8B" w:rsidRPr="00A3353C" w:rsidRDefault="00147C8B" w:rsidP="00682390">
                              <w:pPr>
                                <w:jc w:val="right"/>
                                <w:rPr>
                                  <w:sz w:val="74"/>
                                  <w:szCs w:val="74"/>
                                </w:rPr>
                              </w:pPr>
                            </w:p>
                            <w:p w14:paraId="6C2ABF9B" w14:textId="77777777" w:rsidR="00147C8B" w:rsidRDefault="00147C8B" w:rsidP="00682390">
                              <w:pPr>
                                <w:jc w:val="right"/>
                              </w:pPr>
                            </w:p>
                            <w:p w14:paraId="3F0596EB" w14:textId="77777777" w:rsidR="00147C8B" w:rsidRPr="00812F22" w:rsidRDefault="00147C8B" w:rsidP="00682390">
                              <w:pPr>
                                <w:pStyle w:val="BodyText1"/>
                                <w:jc w:val="right"/>
                                <w:rPr>
                                  <w:b/>
                                  <w:color w:val="44546A" w:themeColor="text2"/>
                                  <w:sz w:val="36"/>
                                  <w:szCs w:val="36"/>
                                </w:rPr>
                              </w:pPr>
                              <w:r w:rsidRPr="00682390">
                                <w:rPr>
                                  <w:b/>
                                  <w:color w:val="44546A" w:themeColor="text2"/>
                                  <w:sz w:val="40"/>
                                  <w:szCs w:val="40"/>
                                </w:rPr>
                                <w:t>ԲՅՈՒՋԵՏԱՅԻՆ ՈՒՂԵՐՁ</w:t>
                              </w:r>
                              <w:r w:rsidRPr="00682390">
                                <w:rPr>
                                  <w:b/>
                                  <w:color w:val="44546A" w:themeColor="text2"/>
                                  <w:sz w:val="70"/>
                                  <w:szCs w:val="70"/>
                                </w:rPr>
                                <w:t>2025 ԹՎԱԿԱՆԻ</w:t>
                              </w:r>
                              <w:r w:rsidRPr="00812F22">
                                <w:rPr>
                                  <w:b/>
                                  <w:color w:val="44546A" w:themeColor="text2"/>
                                  <w:sz w:val="36"/>
                                  <w:szCs w:val="36"/>
                                </w:rPr>
                                <w:t>ՈՒՂԵՐՁ</w:t>
                              </w:r>
                              <w:r w:rsidRPr="00812F22">
                                <w:rPr>
                                  <w:b/>
                                  <w:color w:val="44546A" w:themeColor="text2"/>
                                  <w:sz w:val="36"/>
                                  <w:szCs w:val="36"/>
                                  <w:lang w:val="hy-AM"/>
                                </w:rPr>
                                <w:t>-ԲԱՑԱՏՐԱԳԻՐ</w:t>
                              </w:r>
                            </w:p>
                            <w:p w14:paraId="547B87B7" w14:textId="77777777" w:rsidR="00147C8B" w:rsidRDefault="00147C8B"/>
                            <w:p w14:paraId="22126939" w14:textId="77777777" w:rsidR="00147C8B" w:rsidRDefault="00147C8B"/>
                            <w:p w14:paraId="375B7F35"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4C2BE361" w14:textId="77777777" w:rsidR="00147C8B" w:rsidRPr="00A3353C" w:rsidRDefault="00147C8B" w:rsidP="00682390">
                              <w:pPr>
                                <w:jc w:val="right"/>
                                <w:rPr>
                                  <w:sz w:val="74"/>
                                  <w:szCs w:val="74"/>
                                </w:rPr>
                              </w:pPr>
                            </w:p>
                            <w:p w14:paraId="4ABED2E2" w14:textId="77777777" w:rsidR="00147C8B" w:rsidRDefault="00147C8B" w:rsidP="00682390">
                              <w:pPr>
                                <w:jc w:val="right"/>
                              </w:pPr>
                            </w:p>
                            <w:p w14:paraId="15AD0F5B"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 xml:space="preserve">2025 ԹՎԱԿԱՆԻ </w:t>
                              </w:r>
                            </w:p>
                            <w:p w14:paraId="2B32D513" w14:textId="77777777" w:rsidR="00147C8B" w:rsidRPr="00A3353C" w:rsidRDefault="00147C8B" w:rsidP="00682390">
                              <w:pPr>
                                <w:jc w:val="right"/>
                                <w:rPr>
                                  <w:sz w:val="74"/>
                                  <w:szCs w:val="74"/>
                                </w:rPr>
                              </w:pPr>
                            </w:p>
                            <w:p w14:paraId="58250A86" w14:textId="77777777" w:rsidR="00147C8B" w:rsidRDefault="00147C8B"/>
                            <w:p w14:paraId="2011A19B"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ՈՒՂԵՐՁ</w:t>
                              </w:r>
                              <w:r w:rsidRPr="00812F22">
                                <w:rPr>
                                  <w:b/>
                                  <w:color w:val="44546A" w:themeColor="text2"/>
                                  <w:sz w:val="36"/>
                                  <w:szCs w:val="36"/>
                                  <w:lang w:val="hy-AM"/>
                                </w:rPr>
                                <w:t>-ԲԱՑԱՏՐԱԳԻՐ</w:t>
                              </w: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5F717280" w14:textId="77777777" w:rsidR="00147C8B" w:rsidRPr="00A3353C" w:rsidRDefault="00147C8B" w:rsidP="00682390">
                              <w:pPr>
                                <w:jc w:val="right"/>
                                <w:rPr>
                                  <w:sz w:val="74"/>
                                  <w:szCs w:val="74"/>
                                </w:rPr>
                              </w:pPr>
                            </w:p>
                            <w:p w14:paraId="1E428560" w14:textId="77777777" w:rsidR="00147C8B" w:rsidRDefault="00147C8B" w:rsidP="00682390">
                              <w:pPr>
                                <w:jc w:val="right"/>
                              </w:pPr>
                            </w:p>
                            <w:p w14:paraId="7903646D" w14:textId="77777777" w:rsidR="00147C8B" w:rsidRPr="00812F22" w:rsidRDefault="00147C8B" w:rsidP="00682390">
                              <w:pPr>
                                <w:pStyle w:val="BodyText1"/>
                                <w:jc w:val="right"/>
                                <w:rPr>
                                  <w:b/>
                                  <w:color w:val="44546A" w:themeColor="text2"/>
                                  <w:sz w:val="36"/>
                                  <w:szCs w:val="36"/>
                                </w:rPr>
                              </w:pPr>
                              <w:r w:rsidRPr="00682390">
                                <w:rPr>
                                  <w:b/>
                                  <w:color w:val="44546A" w:themeColor="text2"/>
                                  <w:sz w:val="40"/>
                                  <w:szCs w:val="40"/>
                                </w:rPr>
                                <w:t>ԲՅՈՒՋԵՏԱՅԻՆ ՈՒՂԵՐՁ</w:t>
                              </w:r>
                              <w:r w:rsidRPr="00682390">
                                <w:rPr>
                                  <w:b/>
                                  <w:color w:val="44546A" w:themeColor="text2"/>
                                  <w:sz w:val="70"/>
                                  <w:szCs w:val="70"/>
                                </w:rPr>
                                <w:t>2025 ԹՎԱԿԱՆԻ</w:t>
                              </w:r>
                              <w:r w:rsidRPr="00812F22">
                                <w:rPr>
                                  <w:b/>
                                  <w:color w:val="44546A" w:themeColor="text2"/>
                                  <w:sz w:val="36"/>
                                  <w:szCs w:val="36"/>
                                </w:rPr>
                                <w:t>ՈՒՂԵՐՁ</w:t>
                              </w:r>
                              <w:r w:rsidRPr="00812F22">
                                <w:rPr>
                                  <w:b/>
                                  <w:color w:val="44546A" w:themeColor="text2"/>
                                  <w:sz w:val="36"/>
                                  <w:szCs w:val="36"/>
                                  <w:lang w:val="hy-AM"/>
                                </w:rPr>
                                <w:t>-ԲԱՑԱՏՐԱԳԻՐ</w:t>
                              </w:r>
                            </w:p>
                            <w:p w14:paraId="12309E6A" w14:textId="77777777" w:rsidR="00147C8B" w:rsidRDefault="00147C8B"/>
                            <w:p w14:paraId="6E3A02E0" w14:textId="77777777" w:rsidR="00147C8B" w:rsidRDefault="00147C8B"/>
                            <w:p w14:paraId="428D3852" w14:textId="77777777" w:rsidR="00147C8B" w:rsidRPr="00812F22" w:rsidRDefault="00147C8B" w:rsidP="00682390">
                              <w:pPr>
                                <w:pStyle w:val="BodyText1"/>
                                <w:jc w:val="right"/>
                                <w:rPr>
                                  <w:b/>
                                  <w:color w:val="44546A" w:themeColor="text2"/>
                                  <w:sz w:val="36"/>
                                  <w:szCs w:val="36"/>
                                </w:rPr>
                              </w:pPr>
                              <w:r>
                                <w:rPr>
                                  <w:b/>
                                  <w:color w:val="44546A" w:themeColor="text2"/>
                                  <w:sz w:val="36"/>
                                  <w:szCs w:val="36"/>
                                </w:rPr>
                                <w:t>2026</w:t>
                              </w:r>
                              <w:r w:rsidRPr="00812F22">
                                <w:rPr>
                                  <w:b/>
                                  <w:color w:val="44546A" w:themeColor="text2"/>
                                  <w:sz w:val="36"/>
                                  <w:szCs w:val="36"/>
                                </w:rPr>
                                <w:t xml:space="preserve">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3EB67FD3" w14:textId="77777777" w:rsidR="00147C8B" w:rsidRPr="00A3353C" w:rsidRDefault="00147C8B" w:rsidP="00682390">
                              <w:pPr>
                                <w:jc w:val="right"/>
                                <w:rPr>
                                  <w:sz w:val="74"/>
                                  <w:szCs w:val="74"/>
                                </w:rPr>
                              </w:pPr>
                            </w:p>
                            <w:p w14:paraId="7A5299EA" w14:textId="77777777" w:rsidR="00147C8B" w:rsidRDefault="00147C8B" w:rsidP="00682390">
                              <w:pPr>
                                <w:jc w:val="right"/>
                              </w:pPr>
                            </w:p>
                            <w:p w14:paraId="4DE7A529"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 xml:space="preserve">2025 ԹՎԱԿԱՆԻ </w:t>
                              </w:r>
                            </w:p>
                            <w:p w14:paraId="4AB7F92D" w14:textId="77777777" w:rsidR="00147C8B" w:rsidRPr="00A3353C" w:rsidRDefault="00147C8B" w:rsidP="00682390">
                              <w:pPr>
                                <w:jc w:val="right"/>
                                <w:rPr>
                                  <w:sz w:val="74"/>
                                  <w:szCs w:val="74"/>
                                </w:rPr>
                              </w:pPr>
                            </w:p>
                            <w:p w14:paraId="0EDF00AD" w14:textId="77777777" w:rsidR="00147C8B" w:rsidRDefault="00147C8B"/>
                            <w:p w14:paraId="1C29B1B6"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ՈՒՂԵՐՁ</w:t>
                              </w:r>
                              <w:r w:rsidRPr="00812F22">
                                <w:rPr>
                                  <w:b/>
                                  <w:color w:val="44546A" w:themeColor="text2"/>
                                  <w:sz w:val="36"/>
                                  <w:szCs w:val="36"/>
                                  <w:lang w:val="hy-AM"/>
                                </w:rPr>
                                <w:t>-ԲԱՑԱՏՐԱԳԻՐ</w:t>
                              </w: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069343D3" w14:textId="77777777" w:rsidR="00147C8B" w:rsidRPr="00A3353C" w:rsidRDefault="00147C8B" w:rsidP="00682390">
                              <w:pPr>
                                <w:jc w:val="right"/>
                                <w:rPr>
                                  <w:sz w:val="74"/>
                                  <w:szCs w:val="74"/>
                                </w:rPr>
                              </w:pPr>
                            </w:p>
                            <w:p w14:paraId="5A9DABAD" w14:textId="77777777" w:rsidR="00147C8B" w:rsidRDefault="00147C8B" w:rsidP="00682390">
                              <w:pPr>
                                <w:jc w:val="right"/>
                              </w:pPr>
                            </w:p>
                            <w:p w14:paraId="6DCFE443"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 xml:space="preserve">2025 ԹՎԱԿԱՆԻ </w:t>
                              </w:r>
                            </w:p>
                            <w:p w14:paraId="5B74C511" w14:textId="77777777" w:rsidR="00147C8B" w:rsidRPr="00A3353C" w:rsidRDefault="00147C8B" w:rsidP="00682390">
                              <w:pPr>
                                <w:jc w:val="right"/>
                                <w:rPr>
                                  <w:sz w:val="74"/>
                                  <w:szCs w:val="74"/>
                                </w:rPr>
                              </w:pPr>
                            </w:p>
                            <w:p w14:paraId="29B8F837" w14:textId="77777777" w:rsidR="00147C8B" w:rsidRDefault="00147C8B"/>
                            <w:p w14:paraId="3817240E"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6ACF1143" w14:textId="77777777" w:rsidR="00147C8B" w:rsidRPr="00A3353C" w:rsidRDefault="00147C8B" w:rsidP="00682390">
                              <w:pPr>
                                <w:jc w:val="right"/>
                                <w:rPr>
                                  <w:sz w:val="74"/>
                                  <w:szCs w:val="74"/>
                                </w:rPr>
                              </w:pPr>
                            </w:p>
                            <w:p w14:paraId="24D631ED" w14:textId="77777777" w:rsidR="00147C8B" w:rsidRDefault="00147C8B" w:rsidP="00682390">
                              <w:pPr>
                                <w:jc w:val="right"/>
                              </w:pPr>
                            </w:p>
                            <w:p w14:paraId="48460ADE"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 xml:space="preserve">2025 ԹՎԱԿԱՆԻ </w:t>
                              </w:r>
                            </w:p>
                            <w:p w14:paraId="421BC236" w14:textId="77777777" w:rsidR="00147C8B" w:rsidRPr="00A3353C" w:rsidRDefault="00147C8B" w:rsidP="00682390">
                              <w:pPr>
                                <w:jc w:val="right"/>
                                <w:rPr>
                                  <w:sz w:val="74"/>
                                  <w:szCs w:val="74"/>
                                </w:rPr>
                              </w:pPr>
                            </w:p>
                            <w:p w14:paraId="3DF66A1C" w14:textId="77777777" w:rsidR="00147C8B" w:rsidRDefault="00147C8B"/>
                            <w:p w14:paraId="31517B81"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ՈՒՂԵՐՁ</w:t>
                              </w:r>
                              <w:r w:rsidRPr="00812F22">
                                <w:rPr>
                                  <w:b/>
                                  <w:color w:val="44546A" w:themeColor="text2"/>
                                  <w:sz w:val="36"/>
                                  <w:szCs w:val="36"/>
                                  <w:lang w:val="hy-AM"/>
                                </w:rPr>
                                <w:t>-ԲԱՑԱՏՐԱԳԻՐ</w:t>
                              </w: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1DFBDAB5" w14:textId="77777777" w:rsidR="00147C8B" w:rsidRPr="00A3353C" w:rsidRDefault="00147C8B" w:rsidP="00682390">
                              <w:pPr>
                                <w:jc w:val="right"/>
                                <w:rPr>
                                  <w:sz w:val="74"/>
                                  <w:szCs w:val="74"/>
                                </w:rPr>
                              </w:pPr>
                            </w:p>
                            <w:p w14:paraId="6202193C" w14:textId="77777777" w:rsidR="00147C8B" w:rsidRDefault="00147C8B" w:rsidP="00682390">
                              <w:pPr>
                                <w:jc w:val="right"/>
                              </w:pPr>
                            </w:p>
                            <w:p w14:paraId="058EF794" w14:textId="77777777" w:rsidR="00147C8B" w:rsidRPr="00812F22" w:rsidRDefault="00147C8B" w:rsidP="00682390">
                              <w:pPr>
                                <w:pStyle w:val="BodyText1"/>
                                <w:jc w:val="right"/>
                                <w:rPr>
                                  <w:b/>
                                  <w:color w:val="44546A" w:themeColor="text2"/>
                                  <w:sz w:val="36"/>
                                  <w:szCs w:val="36"/>
                                </w:rPr>
                              </w:pPr>
                              <w:r w:rsidRPr="00682390">
                                <w:rPr>
                                  <w:b/>
                                  <w:color w:val="44546A" w:themeColor="text2"/>
                                  <w:sz w:val="40"/>
                                  <w:szCs w:val="40"/>
                                </w:rPr>
                                <w:t>ԲՅՈՒՋԵՏԱՅԻՆ ՈՒՂԵՐՁ</w:t>
                              </w:r>
                              <w:r w:rsidRPr="00682390">
                                <w:rPr>
                                  <w:b/>
                                  <w:color w:val="44546A" w:themeColor="text2"/>
                                  <w:sz w:val="70"/>
                                  <w:szCs w:val="70"/>
                                </w:rPr>
                                <w:t>2025 ԹՎԱԿԱՆԻ</w:t>
                              </w:r>
                              <w:r w:rsidRPr="00812F22">
                                <w:rPr>
                                  <w:b/>
                                  <w:color w:val="44546A" w:themeColor="text2"/>
                                  <w:sz w:val="36"/>
                                  <w:szCs w:val="36"/>
                                </w:rPr>
                                <w:t>ՈՒՂԵՐՁ</w:t>
                              </w:r>
                              <w:r w:rsidRPr="00812F22">
                                <w:rPr>
                                  <w:b/>
                                  <w:color w:val="44546A" w:themeColor="text2"/>
                                  <w:sz w:val="36"/>
                                  <w:szCs w:val="36"/>
                                  <w:lang w:val="hy-AM"/>
                                </w:rPr>
                                <w:t>-ԲԱՑԱՏՐԱԳԻՐ</w:t>
                              </w:r>
                            </w:p>
                            <w:p w14:paraId="58BCA801" w14:textId="77777777" w:rsidR="00147C8B" w:rsidRDefault="00147C8B"/>
                            <w:p w14:paraId="588613E4" w14:textId="77777777" w:rsidR="00147C8B" w:rsidRDefault="00147C8B"/>
                            <w:p w14:paraId="2AB5F064"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20D3E8A6" w14:textId="77777777" w:rsidR="00147C8B" w:rsidRPr="00A3353C" w:rsidRDefault="00147C8B" w:rsidP="00682390">
                              <w:pPr>
                                <w:jc w:val="right"/>
                                <w:rPr>
                                  <w:sz w:val="74"/>
                                  <w:szCs w:val="74"/>
                                </w:rPr>
                              </w:pPr>
                            </w:p>
                            <w:p w14:paraId="7C90E43E" w14:textId="77777777" w:rsidR="00147C8B" w:rsidRDefault="00147C8B" w:rsidP="00682390">
                              <w:pPr>
                                <w:jc w:val="right"/>
                              </w:pPr>
                            </w:p>
                            <w:p w14:paraId="5D912AB6"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 xml:space="preserve">2025 ԹՎԱԿԱՆԻ </w:t>
                              </w:r>
                            </w:p>
                            <w:p w14:paraId="252082A0" w14:textId="77777777" w:rsidR="00147C8B" w:rsidRPr="00A3353C" w:rsidRDefault="00147C8B" w:rsidP="00682390">
                              <w:pPr>
                                <w:jc w:val="right"/>
                                <w:rPr>
                                  <w:sz w:val="74"/>
                                  <w:szCs w:val="74"/>
                                </w:rPr>
                              </w:pPr>
                            </w:p>
                            <w:p w14:paraId="6B400D4A" w14:textId="77777777" w:rsidR="00147C8B" w:rsidRDefault="00147C8B"/>
                            <w:p w14:paraId="134AAF92"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ՈՒՂԵՐՁ</w:t>
                              </w:r>
                              <w:r w:rsidRPr="00812F22">
                                <w:rPr>
                                  <w:b/>
                                  <w:color w:val="44546A" w:themeColor="text2"/>
                                  <w:sz w:val="36"/>
                                  <w:szCs w:val="36"/>
                                  <w:lang w:val="hy-AM"/>
                                </w:rPr>
                                <w:t>-ԲԱՑԱՏՐԱԳԻՐ</w:t>
                              </w: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333E25DE" w14:textId="77777777" w:rsidR="00147C8B" w:rsidRPr="00A3353C" w:rsidRDefault="00147C8B" w:rsidP="00682390">
                              <w:pPr>
                                <w:jc w:val="right"/>
                                <w:rPr>
                                  <w:sz w:val="74"/>
                                  <w:szCs w:val="74"/>
                                </w:rPr>
                              </w:pPr>
                            </w:p>
                            <w:p w14:paraId="723F8778" w14:textId="77777777" w:rsidR="00147C8B" w:rsidRDefault="00147C8B" w:rsidP="00682390">
                              <w:pPr>
                                <w:jc w:val="right"/>
                              </w:pPr>
                            </w:p>
                            <w:p w14:paraId="0A3CEDEC" w14:textId="77777777" w:rsidR="00147C8B" w:rsidRPr="00812F22" w:rsidRDefault="00147C8B" w:rsidP="00682390">
                              <w:pPr>
                                <w:pStyle w:val="BodyText1"/>
                                <w:jc w:val="right"/>
                                <w:rPr>
                                  <w:b/>
                                  <w:color w:val="44546A" w:themeColor="text2"/>
                                  <w:sz w:val="36"/>
                                  <w:szCs w:val="36"/>
                                </w:rPr>
                              </w:pPr>
                              <w:r w:rsidRPr="00682390">
                                <w:rPr>
                                  <w:b/>
                                  <w:color w:val="44546A" w:themeColor="text2"/>
                                  <w:sz w:val="40"/>
                                  <w:szCs w:val="40"/>
                                </w:rPr>
                                <w:t>ԲՅՈՒՋԵՏԱՅԻՆ ՈՒՂԵՐՁ</w:t>
                              </w:r>
                              <w:r w:rsidRPr="00682390">
                                <w:rPr>
                                  <w:b/>
                                  <w:color w:val="44546A" w:themeColor="text2"/>
                                  <w:sz w:val="70"/>
                                  <w:szCs w:val="70"/>
                                </w:rPr>
                                <w:t>2025 ԹՎԱԿԱՆԻ</w:t>
                              </w:r>
                              <w:r w:rsidRPr="00812F22">
                                <w:rPr>
                                  <w:b/>
                                  <w:color w:val="44546A" w:themeColor="text2"/>
                                  <w:sz w:val="36"/>
                                  <w:szCs w:val="36"/>
                                </w:rPr>
                                <w:t>ՈՒՂԵՐՁ</w:t>
                              </w:r>
                              <w:r w:rsidRPr="00812F22">
                                <w:rPr>
                                  <w:b/>
                                  <w:color w:val="44546A" w:themeColor="text2"/>
                                  <w:sz w:val="36"/>
                                  <w:szCs w:val="36"/>
                                  <w:lang w:val="hy-AM"/>
                                </w:rPr>
                                <w:t>-ԲԱՑԱՏՐԱԳԻՐ</w:t>
                              </w:r>
                            </w:p>
                            <w:p w14:paraId="5E803CCA" w14:textId="77777777" w:rsidR="00147C8B" w:rsidRDefault="00147C8B"/>
                            <w:p w14:paraId="78A90B37" w14:textId="77777777" w:rsidR="00147C8B" w:rsidRDefault="00147C8B"/>
                            <w:p w14:paraId="08202429" w14:textId="77777777" w:rsidR="00147C8B" w:rsidRPr="00812F22" w:rsidRDefault="00147C8B" w:rsidP="00682390">
                              <w:pPr>
                                <w:pStyle w:val="BodyText1"/>
                                <w:jc w:val="right"/>
                                <w:rPr>
                                  <w:b/>
                                  <w:color w:val="44546A" w:themeColor="text2"/>
                                  <w:sz w:val="36"/>
                                  <w:szCs w:val="36"/>
                                </w:rPr>
                              </w:pPr>
                              <w:r>
                                <w:rPr>
                                  <w:b/>
                                  <w:color w:val="44546A" w:themeColor="text2"/>
                                  <w:sz w:val="36"/>
                                  <w:szCs w:val="36"/>
                                </w:rPr>
                                <w:t>2026</w:t>
                              </w:r>
                              <w:r w:rsidRPr="00812F22">
                                <w:rPr>
                                  <w:b/>
                                  <w:color w:val="44546A" w:themeColor="text2"/>
                                  <w:sz w:val="36"/>
                                  <w:szCs w:val="36"/>
                                </w:rPr>
                                <w:t xml:space="preserve">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5417F104" w14:textId="77777777" w:rsidR="00147C8B" w:rsidRPr="00A3353C" w:rsidRDefault="00147C8B" w:rsidP="00682390">
                              <w:pPr>
                                <w:jc w:val="right"/>
                                <w:rPr>
                                  <w:sz w:val="74"/>
                                  <w:szCs w:val="74"/>
                                </w:rPr>
                              </w:pPr>
                            </w:p>
                            <w:p w14:paraId="3586022B" w14:textId="77777777" w:rsidR="00147C8B" w:rsidRDefault="00147C8B" w:rsidP="00682390">
                              <w:pPr>
                                <w:jc w:val="right"/>
                              </w:pPr>
                            </w:p>
                            <w:p w14:paraId="710DEBAF"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 xml:space="preserve">2025 ԹՎԱԿԱՆԻ </w:t>
                              </w:r>
                            </w:p>
                            <w:p w14:paraId="3E177E07" w14:textId="77777777" w:rsidR="00147C8B" w:rsidRPr="00A3353C" w:rsidRDefault="00147C8B" w:rsidP="00682390">
                              <w:pPr>
                                <w:jc w:val="right"/>
                                <w:rPr>
                                  <w:sz w:val="74"/>
                                  <w:szCs w:val="74"/>
                                </w:rPr>
                              </w:pPr>
                            </w:p>
                            <w:p w14:paraId="264AAA49" w14:textId="77777777" w:rsidR="00147C8B" w:rsidRDefault="00147C8B"/>
                            <w:p w14:paraId="197380E6"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ՈՒՂԵՐՁ</w:t>
                              </w:r>
                              <w:r w:rsidRPr="00812F22">
                                <w:rPr>
                                  <w:b/>
                                  <w:color w:val="44546A" w:themeColor="text2"/>
                                  <w:sz w:val="36"/>
                                  <w:szCs w:val="36"/>
                                  <w:lang w:val="hy-AM"/>
                                </w:rPr>
                                <w:t>-ԲԱՑԱՏՐԱԳԻՐ</w:t>
                              </w: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7F24AAE1" w14:textId="77777777" w:rsidR="00147C8B" w:rsidRPr="00A3353C" w:rsidRDefault="00147C8B" w:rsidP="00682390">
                              <w:pPr>
                                <w:jc w:val="right"/>
                                <w:rPr>
                                  <w:sz w:val="74"/>
                                  <w:szCs w:val="74"/>
                                </w:rPr>
                              </w:pPr>
                            </w:p>
                            <w:p w14:paraId="3CBC63D6" w14:textId="77777777" w:rsidR="00147C8B" w:rsidRDefault="00147C8B" w:rsidP="00682390">
                              <w:pPr>
                                <w:jc w:val="right"/>
                              </w:pPr>
                            </w:p>
                            <w:p w14:paraId="224EEA60"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 xml:space="preserve">2025 ԹՎԱԿԱՆԻ </w:t>
                              </w:r>
                            </w:p>
                            <w:p w14:paraId="4882325A" w14:textId="77777777" w:rsidR="00147C8B" w:rsidRPr="00A3353C" w:rsidRDefault="00147C8B" w:rsidP="00682390">
                              <w:pPr>
                                <w:jc w:val="right"/>
                                <w:rPr>
                                  <w:sz w:val="74"/>
                                  <w:szCs w:val="74"/>
                                </w:rPr>
                              </w:pPr>
                            </w:p>
                            <w:p w14:paraId="45D2797E" w14:textId="77777777" w:rsidR="00147C8B" w:rsidRDefault="00147C8B"/>
                            <w:p w14:paraId="368BA599"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265CBBB8" w14:textId="77777777" w:rsidR="00147C8B" w:rsidRPr="00A3353C" w:rsidRDefault="00147C8B" w:rsidP="00682390">
                              <w:pPr>
                                <w:jc w:val="right"/>
                                <w:rPr>
                                  <w:sz w:val="74"/>
                                  <w:szCs w:val="74"/>
                                </w:rPr>
                              </w:pPr>
                            </w:p>
                            <w:p w14:paraId="4E9A5337" w14:textId="77777777" w:rsidR="00147C8B" w:rsidRDefault="00147C8B" w:rsidP="00682390">
                              <w:pPr>
                                <w:jc w:val="right"/>
                              </w:pPr>
                            </w:p>
                            <w:p w14:paraId="117748DD"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 xml:space="preserve">2025 ԹՎԱԿԱՆԻ </w:t>
                              </w:r>
                            </w:p>
                            <w:p w14:paraId="2832FEA2" w14:textId="77777777" w:rsidR="00147C8B" w:rsidRPr="00A3353C" w:rsidRDefault="00147C8B" w:rsidP="00682390">
                              <w:pPr>
                                <w:jc w:val="right"/>
                                <w:rPr>
                                  <w:sz w:val="74"/>
                                  <w:szCs w:val="74"/>
                                </w:rPr>
                              </w:pPr>
                            </w:p>
                            <w:p w14:paraId="475F571B" w14:textId="77777777" w:rsidR="00147C8B" w:rsidRDefault="00147C8B"/>
                            <w:p w14:paraId="2F9D80E0"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ՈՒՂԵՐՁ</w:t>
                              </w:r>
                              <w:r w:rsidRPr="00812F22">
                                <w:rPr>
                                  <w:b/>
                                  <w:color w:val="44546A" w:themeColor="text2"/>
                                  <w:sz w:val="36"/>
                                  <w:szCs w:val="36"/>
                                  <w:lang w:val="hy-AM"/>
                                </w:rPr>
                                <w:t>-ԲԱՑԱՏՐԱԳԻՐ</w:t>
                              </w: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4865D197" w14:textId="77777777" w:rsidR="00147C8B" w:rsidRPr="00A3353C" w:rsidRDefault="00147C8B" w:rsidP="00682390">
                              <w:pPr>
                                <w:jc w:val="right"/>
                                <w:rPr>
                                  <w:sz w:val="74"/>
                                  <w:szCs w:val="74"/>
                                </w:rPr>
                              </w:pPr>
                            </w:p>
                            <w:p w14:paraId="05265AE3" w14:textId="77777777" w:rsidR="00147C8B" w:rsidRDefault="00147C8B" w:rsidP="00682390">
                              <w:pPr>
                                <w:jc w:val="right"/>
                              </w:pPr>
                            </w:p>
                            <w:p w14:paraId="2B795F74"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 xml:space="preserve">2025 ԹՎԱԿԱՆԻ </w:t>
                              </w:r>
                            </w:p>
                            <w:p w14:paraId="6A4FA653" w14:textId="77777777" w:rsidR="00147C8B" w:rsidRPr="00A3353C" w:rsidRDefault="00147C8B" w:rsidP="00682390">
                              <w:pPr>
                                <w:jc w:val="right"/>
                                <w:rPr>
                                  <w:sz w:val="74"/>
                                  <w:szCs w:val="74"/>
                                </w:rPr>
                              </w:pPr>
                            </w:p>
                            <w:p w14:paraId="0CACBF68" w14:textId="77777777" w:rsidR="00147C8B" w:rsidRDefault="00147C8B"/>
                            <w:p w14:paraId="5A37B8EB" w14:textId="77777777" w:rsidR="00147C8B" w:rsidRPr="00812F22" w:rsidRDefault="00147C8B" w:rsidP="00682390">
                              <w:pPr>
                                <w:pStyle w:val="BodyText1"/>
                                <w:jc w:val="right"/>
                                <w:rPr>
                                  <w:b/>
                                  <w:color w:val="44546A" w:themeColor="text2"/>
                                  <w:sz w:val="36"/>
                                  <w:szCs w:val="36"/>
                                </w:rPr>
                              </w:pPr>
                              <w:r>
                                <w:rPr>
                                  <w:b/>
                                  <w:color w:val="44546A" w:themeColor="text2"/>
                                  <w:sz w:val="36"/>
                                  <w:szCs w:val="36"/>
                                </w:rPr>
                                <w:t>2026</w:t>
                              </w:r>
                              <w:r w:rsidRPr="00812F22">
                                <w:rPr>
                                  <w:b/>
                                  <w:color w:val="44546A" w:themeColor="text2"/>
                                  <w:sz w:val="36"/>
                                  <w:szCs w:val="36"/>
                                </w:rPr>
                                <w:t xml:space="preserve">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26BDFBCB" w14:textId="77777777" w:rsidR="00147C8B" w:rsidRPr="00A3353C" w:rsidRDefault="00147C8B" w:rsidP="00682390">
                              <w:pPr>
                                <w:jc w:val="right"/>
                                <w:rPr>
                                  <w:sz w:val="74"/>
                                  <w:szCs w:val="74"/>
                                </w:rPr>
                              </w:pPr>
                            </w:p>
                            <w:p w14:paraId="61716E37" w14:textId="77777777" w:rsidR="00147C8B" w:rsidRDefault="00147C8B" w:rsidP="00682390">
                              <w:pPr>
                                <w:jc w:val="right"/>
                              </w:pPr>
                            </w:p>
                            <w:p w14:paraId="579E1B28"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 xml:space="preserve">2025 ԹՎԱԿԱՆԻ </w:t>
                              </w:r>
                            </w:p>
                            <w:p w14:paraId="6784ABF0" w14:textId="77777777" w:rsidR="00147C8B" w:rsidRPr="00A3353C" w:rsidRDefault="00147C8B" w:rsidP="00682390">
                              <w:pPr>
                                <w:jc w:val="right"/>
                                <w:rPr>
                                  <w:sz w:val="74"/>
                                  <w:szCs w:val="74"/>
                                </w:rPr>
                              </w:pPr>
                            </w:p>
                            <w:p w14:paraId="67C5114B" w14:textId="77777777" w:rsidR="00147C8B" w:rsidRDefault="00147C8B"/>
                            <w:p w14:paraId="0E3554CC"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ՈՒՂԵՐՁ</w:t>
                              </w:r>
                              <w:r w:rsidRPr="00812F22">
                                <w:rPr>
                                  <w:b/>
                                  <w:color w:val="44546A" w:themeColor="text2"/>
                                  <w:sz w:val="36"/>
                                  <w:szCs w:val="36"/>
                                  <w:lang w:val="hy-AM"/>
                                </w:rPr>
                                <w:t>-ԲԱՑԱՏՐԱԳԻՐ</w:t>
                              </w: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2F02D4D3" w14:textId="77777777" w:rsidR="00147C8B" w:rsidRPr="00A3353C" w:rsidRDefault="00147C8B" w:rsidP="00682390">
                              <w:pPr>
                                <w:jc w:val="right"/>
                                <w:rPr>
                                  <w:sz w:val="74"/>
                                  <w:szCs w:val="74"/>
                                </w:rPr>
                              </w:pPr>
                            </w:p>
                            <w:p w14:paraId="1AAB7DC5" w14:textId="77777777" w:rsidR="00147C8B" w:rsidRDefault="00147C8B" w:rsidP="00682390">
                              <w:pPr>
                                <w:jc w:val="right"/>
                              </w:pPr>
                            </w:p>
                            <w:p w14:paraId="40049D3F"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 xml:space="preserve">2025 ԹՎԱԿԱՆԻ </w:t>
                              </w:r>
                            </w:p>
                            <w:p w14:paraId="0C1159F3" w14:textId="77777777" w:rsidR="00147C8B" w:rsidRPr="00A3353C" w:rsidRDefault="00147C8B" w:rsidP="00682390">
                              <w:pPr>
                                <w:jc w:val="right"/>
                                <w:rPr>
                                  <w:sz w:val="74"/>
                                  <w:szCs w:val="74"/>
                                </w:rPr>
                              </w:pPr>
                            </w:p>
                            <w:p w14:paraId="10B46D83" w14:textId="77777777" w:rsidR="00147C8B" w:rsidRDefault="00147C8B"/>
                            <w:p w14:paraId="74D9F0D6"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67F92F0F" w14:textId="77777777" w:rsidR="00147C8B" w:rsidRPr="00A3353C" w:rsidRDefault="00147C8B" w:rsidP="00682390">
                              <w:pPr>
                                <w:jc w:val="right"/>
                                <w:rPr>
                                  <w:sz w:val="74"/>
                                  <w:szCs w:val="74"/>
                                </w:rPr>
                              </w:pPr>
                            </w:p>
                            <w:p w14:paraId="5D8F5340" w14:textId="77777777" w:rsidR="00147C8B" w:rsidRDefault="00147C8B" w:rsidP="00682390">
                              <w:pPr>
                                <w:jc w:val="right"/>
                              </w:pPr>
                            </w:p>
                            <w:p w14:paraId="5E79A14E"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 xml:space="preserve">2025 ԹՎԱԿԱՆԻ </w:t>
                              </w:r>
                            </w:p>
                            <w:p w14:paraId="7B2E0C1E" w14:textId="77777777" w:rsidR="00147C8B" w:rsidRPr="00A3353C" w:rsidRDefault="00147C8B" w:rsidP="00682390">
                              <w:pPr>
                                <w:jc w:val="right"/>
                                <w:rPr>
                                  <w:sz w:val="74"/>
                                  <w:szCs w:val="74"/>
                                </w:rPr>
                              </w:pPr>
                            </w:p>
                            <w:p w14:paraId="3093D27C" w14:textId="77777777" w:rsidR="00147C8B" w:rsidRDefault="00147C8B"/>
                            <w:p w14:paraId="31FEB4FE"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ՈՒՂԵՐՁ</w:t>
                              </w:r>
                              <w:r w:rsidRPr="00812F22">
                                <w:rPr>
                                  <w:b/>
                                  <w:color w:val="44546A" w:themeColor="text2"/>
                                  <w:sz w:val="36"/>
                                  <w:szCs w:val="36"/>
                                  <w:lang w:val="hy-AM"/>
                                </w:rPr>
                                <w:t>-ԲԱՑԱՏՐԱԳԻՐ</w:t>
                              </w: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137234DD" w14:textId="77777777" w:rsidR="00147C8B" w:rsidRPr="00A3353C" w:rsidRDefault="00147C8B" w:rsidP="00682390">
                              <w:pPr>
                                <w:jc w:val="right"/>
                                <w:rPr>
                                  <w:sz w:val="74"/>
                                  <w:szCs w:val="74"/>
                                </w:rPr>
                              </w:pPr>
                            </w:p>
                            <w:p w14:paraId="1F62CBCB" w14:textId="77777777" w:rsidR="00147C8B" w:rsidRDefault="00147C8B" w:rsidP="00682390">
                              <w:pPr>
                                <w:jc w:val="right"/>
                              </w:pPr>
                            </w:p>
                            <w:p w14:paraId="2C30E57E"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 xml:space="preserve">2025 ԹՎԱԿԱՆԻ </w:t>
                              </w:r>
                            </w:p>
                            <w:p w14:paraId="6AE0D5D5" w14:textId="77777777" w:rsidR="00147C8B" w:rsidRPr="00A3353C" w:rsidRDefault="00147C8B" w:rsidP="00682390">
                              <w:pPr>
                                <w:jc w:val="right"/>
                                <w:rPr>
                                  <w:sz w:val="74"/>
                                  <w:szCs w:val="74"/>
                                </w:rPr>
                              </w:pPr>
                            </w:p>
                            <w:p w14:paraId="4E783C06" w14:textId="77777777" w:rsidR="00147C8B" w:rsidRDefault="00147C8B"/>
                            <w:p w14:paraId="75A37E87" w14:textId="77777777" w:rsidR="00147C8B" w:rsidRPr="00812F22" w:rsidRDefault="00147C8B" w:rsidP="00682390">
                              <w:pPr>
                                <w:pStyle w:val="BodyText1"/>
                                <w:jc w:val="right"/>
                                <w:rPr>
                                  <w:b/>
                                  <w:color w:val="44546A" w:themeColor="text2"/>
                                  <w:sz w:val="36"/>
                                  <w:szCs w:val="36"/>
                                </w:rPr>
                              </w:pPr>
                              <w:r>
                                <w:rPr>
                                  <w:b/>
                                  <w:color w:val="44546A" w:themeColor="text2"/>
                                  <w:sz w:val="36"/>
                                  <w:szCs w:val="36"/>
                                </w:rPr>
                                <w:t>2026</w:t>
                              </w:r>
                              <w:r w:rsidRPr="00812F22">
                                <w:rPr>
                                  <w:b/>
                                  <w:color w:val="44546A" w:themeColor="text2"/>
                                  <w:sz w:val="36"/>
                                  <w:szCs w:val="36"/>
                                </w:rPr>
                                <w:t xml:space="preserve">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1C3A04C5" w14:textId="77777777" w:rsidR="00147C8B" w:rsidRPr="00A3353C" w:rsidRDefault="00147C8B" w:rsidP="00682390">
                              <w:pPr>
                                <w:jc w:val="right"/>
                                <w:rPr>
                                  <w:sz w:val="74"/>
                                  <w:szCs w:val="74"/>
                                </w:rPr>
                              </w:pPr>
                            </w:p>
                            <w:p w14:paraId="78D5B9A1" w14:textId="77777777" w:rsidR="00147C8B" w:rsidRDefault="00147C8B" w:rsidP="00682390">
                              <w:pPr>
                                <w:jc w:val="right"/>
                              </w:pPr>
                            </w:p>
                            <w:p w14:paraId="3A3F3AF1"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 xml:space="preserve">2025 ԹՎԱԿԱՆԻ </w:t>
                              </w:r>
                            </w:p>
                            <w:p w14:paraId="26C5074B" w14:textId="77777777" w:rsidR="00147C8B" w:rsidRPr="00A3353C" w:rsidRDefault="00147C8B" w:rsidP="00682390">
                              <w:pPr>
                                <w:jc w:val="right"/>
                                <w:rPr>
                                  <w:sz w:val="74"/>
                                  <w:szCs w:val="74"/>
                                </w:rPr>
                              </w:pPr>
                            </w:p>
                            <w:p w14:paraId="6FB5969E" w14:textId="77777777" w:rsidR="00147C8B" w:rsidRDefault="00147C8B"/>
                            <w:p w14:paraId="24602B74"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ՈՒՂԵՐՁ</w:t>
                              </w:r>
                              <w:r w:rsidRPr="00812F22">
                                <w:rPr>
                                  <w:b/>
                                  <w:color w:val="44546A" w:themeColor="text2"/>
                                  <w:sz w:val="36"/>
                                  <w:szCs w:val="36"/>
                                  <w:lang w:val="hy-AM"/>
                                </w:rPr>
                                <w:t>-ԲԱՑԱՏՐԱԳԻՐ</w:t>
                              </w: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186FC4F4" w14:textId="77777777" w:rsidR="00147C8B" w:rsidRPr="00A3353C" w:rsidRDefault="00147C8B" w:rsidP="00682390">
                              <w:pPr>
                                <w:jc w:val="right"/>
                                <w:rPr>
                                  <w:sz w:val="74"/>
                                  <w:szCs w:val="74"/>
                                </w:rPr>
                              </w:pPr>
                            </w:p>
                            <w:p w14:paraId="12E386E1" w14:textId="77777777" w:rsidR="00147C8B" w:rsidRDefault="00147C8B" w:rsidP="00682390">
                              <w:pPr>
                                <w:jc w:val="right"/>
                              </w:pPr>
                            </w:p>
                            <w:p w14:paraId="3DBA2F18"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 xml:space="preserve">2025 ԹՎԱԿԱՆԻ </w:t>
                              </w:r>
                            </w:p>
                            <w:p w14:paraId="2AAD7EE4" w14:textId="77777777" w:rsidR="00147C8B" w:rsidRPr="00A3353C" w:rsidRDefault="00147C8B" w:rsidP="00682390">
                              <w:pPr>
                                <w:jc w:val="right"/>
                                <w:rPr>
                                  <w:sz w:val="74"/>
                                  <w:szCs w:val="74"/>
                                </w:rPr>
                              </w:pPr>
                            </w:p>
                            <w:p w14:paraId="5CE9BC21" w14:textId="77777777" w:rsidR="00147C8B" w:rsidRDefault="00147C8B"/>
                            <w:p w14:paraId="0DE32CE3"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5F3DAD58" w14:textId="77777777" w:rsidR="00147C8B" w:rsidRPr="00A3353C" w:rsidRDefault="00147C8B" w:rsidP="00682390">
                              <w:pPr>
                                <w:jc w:val="right"/>
                                <w:rPr>
                                  <w:sz w:val="74"/>
                                  <w:szCs w:val="74"/>
                                </w:rPr>
                              </w:pPr>
                            </w:p>
                            <w:p w14:paraId="5C30019A" w14:textId="77777777" w:rsidR="00147C8B" w:rsidRDefault="00147C8B" w:rsidP="00682390">
                              <w:pPr>
                                <w:jc w:val="right"/>
                              </w:pPr>
                            </w:p>
                            <w:p w14:paraId="38BA5BB8"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 xml:space="preserve">2025 ԹՎԱԿԱՆԻ </w:t>
                              </w:r>
                            </w:p>
                            <w:p w14:paraId="605D7576" w14:textId="77777777" w:rsidR="00147C8B" w:rsidRPr="00A3353C" w:rsidRDefault="00147C8B" w:rsidP="00682390">
                              <w:pPr>
                                <w:jc w:val="right"/>
                                <w:rPr>
                                  <w:sz w:val="74"/>
                                  <w:szCs w:val="74"/>
                                </w:rPr>
                              </w:pPr>
                            </w:p>
                            <w:p w14:paraId="7C7024FA" w14:textId="77777777" w:rsidR="00147C8B" w:rsidRDefault="00147C8B"/>
                            <w:p w14:paraId="75478759"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ՈՒՂԵՐՁ</w:t>
                              </w:r>
                              <w:r w:rsidRPr="00812F22">
                                <w:rPr>
                                  <w:b/>
                                  <w:color w:val="44546A" w:themeColor="text2"/>
                                  <w:sz w:val="36"/>
                                  <w:szCs w:val="36"/>
                                  <w:lang w:val="hy-AM"/>
                                </w:rPr>
                                <w:t>-ԲԱՑԱՏՐԱԳԻՐ</w:t>
                              </w: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54205D56" w14:textId="77777777" w:rsidR="00147C8B" w:rsidRPr="00A3353C" w:rsidRDefault="00147C8B" w:rsidP="00682390">
                              <w:pPr>
                                <w:jc w:val="right"/>
                                <w:rPr>
                                  <w:sz w:val="74"/>
                                  <w:szCs w:val="74"/>
                                </w:rPr>
                              </w:pPr>
                            </w:p>
                            <w:p w14:paraId="78A99DC1" w14:textId="77777777" w:rsidR="00147C8B" w:rsidRDefault="00147C8B" w:rsidP="00682390">
                              <w:pPr>
                                <w:jc w:val="right"/>
                              </w:pPr>
                            </w:p>
                            <w:p w14:paraId="1E15FC70"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 xml:space="preserve">2025 ԹՎԱԿԱՆԻ </w:t>
                              </w:r>
                            </w:p>
                            <w:p w14:paraId="4C8209F6" w14:textId="77777777" w:rsidR="00147C8B" w:rsidRPr="00A3353C" w:rsidRDefault="00147C8B" w:rsidP="00682390">
                              <w:pPr>
                                <w:jc w:val="right"/>
                                <w:rPr>
                                  <w:sz w:val="74"/>
                                  <w:szCs w:val="74"/>
                                </w:rPr>
                              </w:pPr>
                            </w:p>
                            <w:p w14:paraId="33C501D4" w14:textId="77777777" w:rsidR="00147C8B" w:rsidRDefault="00147C8B"/>
                            <w:p w14:paraId="27E3E53A" w14:textId="77777777" w:rsidR="00147C8B" w:rsidRPr="00812F22" w:rsidRDefault="00147C8B" w:rsidP="00682390">
                              <w:pPr>
                                <w:pStyle w:val="BodyText1"/>
                                <w:jc w:val="right"/>
                                <w:rPr>
                                  <w:b/>
                                  <w:color w:val="44546A" w:themeColor="text2"/>
                                  <w:sz w:val="36"/>
                                  <w:szCs w:val="36"/>
                                </w:rPr>
                              </w:pPr>
                              <w:r>
                                <w:rPr>
                                  <w:b/>
                                  <w:color w:val="44546A" w:themeColor="text2"/>
                                  <w:sz w:val="36"/>
                                  <w:szCs w:val="36"/>
                                </w:rPr>
                                <w:t>2026</w:t>
                              </w:r>
                              <w:r w:rsidRPr="00812F22">
                                <w:rPr>
                                  <w:b/>
                                  <w:color w:val="44546A" w:themeColor="text2"/>
                                  <w:sz w:val="36"/>
                                  <w:szCs w:val="36"/>
                                </w:rPr>
                                <w:t xml:space="preserve">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6CDDB949" w14:textId="77777777" w:rsidR="00147C8B" w:rsidRPr="00A3353C" w:rsidRDefault="00147C8B" w:rsidP="00682390">
                              <w:pPr>
                                <w:jc w:val="right"/>
                                <w:rPr>
                                  <w:sz w:val="74"/>
                                  <w:szCs w:val="74"/>
                                </w:rPr>
                              </w:pPr>
                            </w:p>
                            <w:p w14:paraId="111A0FD9" w14:textId="77777777" w:rsidR="00147C8B" w:rsidRDefault="00147C8B" w:rsidP="00682390">
                              <w:pPr>
                                <w:jc w:val="right"/>
                              </w:pPr>
                            </w:p>
                            <w:p w14:paraId="2FDEA1B8"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 xml:space="preserve">2025 ԹՎԱԿԱՆԻ </w:t>
                              </w:r>
                            </w:p>
                            <w:p w14:paraId="0AEED7EE" w14:textId="77777777" w:rsidR="00147C8B" w:rsidRPr="00A3353C" w:rsidRDefault="00147C8B" w:rsidP="00682390">
                              <w:pPr>
                                <w:jc w:val="right"/>
                                <w:rPr>
                                  <w:sz w:val="74"/>
                                  <w:szCs w:val="74"/>
                                </w:rPr>
                              </w:pPr>
                            </w:p>
                            <w:p w14:paraId="07DE6EE6" w14:textId="77777777" w:rsidR="00147C8B" w:rsidRDefault="00147C8B"/>
                            <w:p w14:paraId="7B513230"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ՈՒՂԵՐՁ</w:t>
                              </w:r>
                              <w:r w:rsidRPr="00812F22">
                                <w:rPr>
                                  <w:b/>
                                  <w:color w:val="44546A" w:themeColor="text2"/>
                                  <w:sz w:val="36"/>
                                  <w:szCs w:val="36"/>
                                  <w:lang w:val="hy-AM"/>
                                </w:rPr>
                                <w:t>-ԲԱՑԱՏՐԱԳԻՐ</w:t>
                              </w: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74FF43F6" w14:textId="77777777" w:rsidR="00147C8B" w:rsidRPr="00A3353C" w:rsidRDefault="00147C8B" w:rsidP="00682390">
                              <w:pPr>
                                <w:jc w:val="right"/>
                                <w:rPr>
                                  <w:sz w:val="74"/>
                                  <w:szCs w:val="74"/>
                                </w:rPr>
                              </w:pPr>
                            </w:p>
                            <w:p w14:paraId="7FDF1D30" w14:textId="77777777" w:rsidR="00147C8B" w:rsidRDefault="00147C8B" w:rsidP="00682390">
                              <w:pPr>
                                <w:jc w:val="right"/>
                              </w:pPr>
                            </w:p>
                            <w:p w14:paraId="2D6FBF23"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 xml:space="preserve">2025 ԹՎԱԿԱՆԻ </w:t>
                              </w:r>
                            </w:p>
                            <w:p w14:paraId="33046F91" w14:textId="77777777" w:rsidR="00147C8B" w:rsidRPr="00A3353C" w:rsidRDefault="00147C8B" w:rsidP="00682390">
                              <w:pPr>
                                <w:jc w:val="right"/>
                                <w:rPr>
                                  <w:sz w:val="74"/>
                                  <w:szCs w:val="74"/>
                                </w:rPr>
                              </w:pPr>
                            </w:p>
                            <w:p w14:paraId="4C38DCF3" w14:textId="77777777" w:rsidR="00147C8B" w:rsidRDefault="00147C8B"/>
                            <w:p w14:paraId="3C8136DC"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442274EE" w14:textId="77777777" w:rsidR="00147C8B" w:rsidRPr="00A3353C" w:rsidRDefault="00147C8B" w:rsidP="00682390">
                              <w:pPr>
                                <w:jc w:val="right"/>
                                <w:rPr>
                                  <w:sz w:val="74"/>
                                  <w:szCs w:val="74"/>
                                </w:rPr>
                              </w:pPr>
                            </w:p>
                            <w:p w14:paraId="78ECB496" w14:textId="77777777" w:rsidR="00147C8B" w:rsidRDefault="00147C8B" w:rsidP="00682390">
                              <w:pPr>
                                <w:jc w:val="right"/>
                              </w:pPr>
                            </w:p>
                            <w:p w14:paraId="2BD8CE70"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 xml:space="preserve">2025 ԹՎԱԿԱՆԻ </w:t>
                              </w:r>
                            </w:p>
                            <w:p w14:paraId="3774608D" w14:textId="77777777" w:rsidR="00147C8B" w:rsidRPr="00A3353C" w:rsidRDefault="00147C8B" w:rsidP="00682390">
                              <w:pPr>
                                <w:jc w:val="right"/>
                                <w:rPr>
                                  <w:sz w:val="74"/>
                                  <w:szCs w:val="74"/>
                                </w:rPr>
                              </w:pPr>
                            </w:p>
                            <w:p w14:paraId="06A8CE1A" w14:textId="77777777" w:rsidR="00147C8B" w:rsidRDefault="00147C8B"/>
                            <w:p w14:paraId="14F77CDC"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ՈՒՂԵՐՁ</w:t>
                              </w:r>
                              <w:r w:rsidRPr="00812F22">
                                <w:rPr>
                                  <w:b/>
                                  <w:color w:val="44546A" w:themeColor="text2"/>
                                  <w:sz w:val="36"/>
                                  <w:szCs w:val="36"/>
                                  <w:lang w:val="hy-AM"/>
                                </w:rPr>
                                <w:t>-ԲԱՑԱՏՐԱԳԻՐ</w:t>
                              </w: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757DCD59" w14:textId="77777777" w:rsidR="00147C8B" w:rsidRPr="00A3353C" w:rsidRDefault="00147C8B" w:rsidP="00682390">
                              <w:pPr>
                                <w:jc w:val="right"/>
                                <w:rPr>
                                  <w:sz w:val="74"/>
                                  <w:szCs w:val="74"/>
                                </w:rPr>
                              </w:pPr>
                            </w:p>
                            <w:p w14:paraId="763BCFD5" w14:textId="77777777" w:rsidR="00147C8B" w:rsidRDefault="00147C8B" w:rsidP="00682390">
                              <w:pPr>
                                <w:jc w:val="right"/>
                              </w:pPr>
                            </w:p>
                            <w:p w14:paraId="73A384AF" w14:textId="77777777" w:rsidR="00147C8B" w:rsidRPr="00812F22" w:rsidRDefault="00147C8B" w:rsidP="00682390">
                              <w:pPr>
                                <w:pStyle w:val="BodyText1"/>
                                <w:jc w:val="right"/>
                                <w:rPr>
                                  <w:b/>
                                  <w:color w:val="44546A" w:themeColor="text2"/>
                                  <w:sz w:val="36"/>
                                  <w:szCs w:val="36"/>
                                </w:rPr>
                              </w:pPr>
                              <w:r w:rsidRPr="00682390">
                                <w:rPr>
                                  <w:b/>
                                  <w:color w:val="44546A" w:themeColor="text2"/>
                                  <w:sz w:val="40"/>
                                  <w:szCs w:val="40"/>
                                </w:rPr>
                                <w:t>ԲՅՈՒՋԵՏԱՅԻՆ ՈՒՂԵՐՁ</w:t>
                              </w:r>
                              <w:r w:rsidRPr="00682390">
                                <w:rPr>
                                  <w:b/>
                                  <w:color w:val="44546A" w:themeColor="text2"/>
                                  <w:sz w:val="70"/>
                                  <w:szCs w:val="70"/>
                                </w:rPr>
                                <w:t>2025 ԹՎԱԿԱՆԻ</w:t>
                              </w:r>
                              <w:r w:rsidRPr="00812F22">
                                <w:rPr>
                                  <w:b/>
                                  <w:color w:val="44546A" w:themeColor="text2"/>
                                  <w:sz w:val="36"/>
                                  <w:szCs w:val="36"/>
                                </w:rPr>
                                <w:t>ՈՒՂԵՐՁ</w:t>
                              </w:r>
                              <w:r w:rsidRPr="00812F22">
                                <w:rPr>
                                  <w:b/>
                                  <w:color w:val="44546A" w:themeColor="text2"/>
                                  <w:sz w:val="36"/>
                                  <w:szCs w:val="36"/>
                                  <w:lang w:val="hy-AM"/>
                                </w:rPr>
                                <w:t>-ԲԱՑԱՏՐԱԳԻՐ</w:t>
                              </w:r>
                            </w:p>
                            <w:p w14:paraId="632624EF" w14:textId="77777777" w:rsidR="00147C8B" w:rsidRDefault="00147C8B"/>
                            <w:p w14:paraId="4963CC4D" w14:textId="77777777" w:rsidR="00147C8B" w:rsidRDefault="00147C8B"/>
                            <w:p w14:paraId="14A179E5"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11CE0A74" w14:textId="77777777" w:rsidR="00147C8B" w:rsidRPr="00A3353C" w:rsidRDefault="00147C8B" w:rsidP="00682390">
                              <w:pPr>
                                <w:jc w:val="right"/>
                                <w:rPr>
                                  <w:sz w:val="74"/>
                                  <w:szCs w:val="74"/>
                                </w:rPr>
                              </w:pPr>
                            </w:p>
                            <w:p w14:paraId="2873C9D3" w14:textId="77777777" w:rsidR="00147C8B" w:rsidRDefault="00147C8B" w:rsidP="00682390">
                              <w:pPr>
                                <w:jc w:val="right"/>
                              </w:pPr>
                            </w:p>
                            <w:p w14:paraId="7D127AA4"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 xml:space="preserve">2025 ԹՎԱԿԱՆԻ </w:t>
                              </w:r>
                            </w:p>
                            <w:p w14:paraId="48F7E15C" w14:textId="77777777" w:rsidR="00147C8B" w:rsidRPr="00A3353C" w:rsidRDefault="00147C8B" w:rsidP="00682390">
                              <w:pPr>
                                <w:jc w:val="right"/>
                                <w:rPr>
                                  <w:sz w:val="74"/>
                                  <w:szCs w:val="74"/>
                                </w:rPr>
                              </w:pPr>
                            </w:p>
                            <w:p w14:paraId="688D62F5" w14:textId="77777777" w:rsidR="00147C8B" w:rsidRDefault="00147C8B"/>
                            <w:p w14:paraId="131A375C"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ՈՒՂԵՐՁ</w:t>
                              </w:r>
                              <w:r w:rsidRPr="00812F22">
                                <w:rPr>
                                  <w:b/>
                                  <w:color w:val="44546A" w:themeColor="text2"/>
                                  <w:sz w:val="36"/>
                                  <w:szCs w:val="36"/>
                                  <w:lang w:val="hy-AM"/>
                                </w:rPr>
                                <w:t>-ԲԱՑԱՏՐԱԳԻՐ</w:t>
                              </w: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6FCA7C8A" w14:textId="77777777" w:rsidR="00147C8B" w:rsidRPr="00A3353C" w:rsidRDefault="00147C8B" w:rsidP="00682390">
                              <w:pPr>
                                <w:jc w:val="right"/>
                                <w:rPr>
                                  <w:sz w:val="74"/>
                                  <w:szCs w:val="74"/>
                                </w:rPr>
                              </w:pPr>
                            </w:p>
                            <w:p w14:paraId="4618BC35" w14:textId="77777777" w:rsidR="00147C8B" w:rsidRDefault="00147C8B" w:rsidP="00682390">
                              <w:pPr>
                                <w:jc w:val="right"/>
                              </w:pPr>
                            </w:p>
                            <w:p w14:paraId="3DF923AE" w14:textId="77777777" w:rsidR="00147C8B" w:rsidRPr="00812F22" w:rsidRDefault="00147C8B" w:rsidP="00682390">
                              <w:pPr>
                                <w:pStyle w:val="BodyText1"/>
                                <w:jc w:val="right"/>
                                <w:rPr>
                                  <w:b/>
                                  <w:color w:val="44546A" w:themeColor="text2"/>
                                  <w:sz w:val="36"/>
                                  <w:szCs w:val="36"/>
                                </w:rPr>
                              </w:pPr>
                              <w:r w:rsidRPr="00682390">
                                <w:rPr>
                                  <w:b/>
                                  <w:color w:val="44546A" w:themeColor="text2"/>
                                  <w:sz w:val="40"/>
                                  <w:szCs w:val="40"/>
                                </w:rPr>
                                <w:t>ԲՅՈՒՋԵՏԱՅԻՆ ՈՒՂԵՐՁ</w:t>
                              </w:r>
                              <w:r w:rsidRPr="00682390">
                                <w:rPr>
                                  <w:b/>
                                  <w:color w:val="44546A" w:themeColor="text2"/>
                                  <w:sz w:val="70"/>
                                  <w:szCs w:val="70"/>
                                </w:rPr>
                                <w:t>2025 ԹՎԱԿԱՆԻ</w:t>
                              </w:r>
                              <w:r w:rsidRPr="00812F22">
                                <w:rPr>
                                  <w:b/>
                                  <w:color w:val="44546A" w:themeColor="text2"/>
                                  <w:sz w:val="36"/>
                                  <w:szCs w:val="36"/>
                                </w:rPr>
                                <w:t>ՈՒՂԵՐՁ</w:t>
                              </w:r>
                              <w:r w:rsidRPr="00812F22">
                                <w:rPr>
                                  <w:b/>
                                  <w:color w:val="44546A" w:themeColor="text2"/>
                                  <w:sz w:val="36"/>
                                  <w:szCs w:val="36"/>
                                  <w:lang w:val="hy-AM"/>
                                </w:rPr>
                                <w:t>-ԲԱՑԱՏՐԱԳԻՐ</w:t>
                              </w:r>
                            </w:p>
                            <w:p w14:paraId="19DAAFAB" w14:textId="77777777" w:rsidR="00147C8B" w:rsidRDefault="00147C8B"/>
                            <w:p w14:paraId="7591E459" w14:textId="77777777" w:rsidR="00147C8B" w:rsidRDefault="00147C8B"/>
                            <w:p w14:paraId="78F21121" w14:textId="77777777" w:rsidR="00147C8B" w:rsidRPr="00812F22" w:rsidRDefault="00147C8B" w:rsidP="00682390">
                              <w:pPr>
                                <w:pStyle w:val="BodyText1"/>
                                <w:jc w:val="right"/>
                                <w:rPr>
                                  <w:b/>
                                  <w:color w:val="44546A" w:themeColor="text2"/>
                                  <w:sz w:val="36"/>
                                  <w:szCs w:val="36"/>
                                </w:rPr>
                              </w:pPr>
                              <w:r>
                                <w:rPr>
                                  <w:b/>
                                  <w:color w:val="44546A" w:themeColor="text2"/>
                                  <w:sz w:val="36"/>
                                  <w:szCs w:val="36"/>
                                </w:rPr>
                                <w:t>2026</w:t>
                              </w:r>
                              <w:r w:rsidRPr="00812F22">
                                <w:rPr>
                                  <w:b/>
                                  <w:color w:val="44546A" w:themeColor="text2"/>
                                  <w:sz w:val="36"/>
                                  <w:szCs w:val="36"/>
                                </w:rPr>
                                <w:t xml:space="preserve">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79882748" w14:textId="77777777" w:rsidR="00147C8B" w:rsidRPr="00A3353C" w:rsidRDefault="00147C8B" w:rsidP="00682390">
                              <w:pPr>
                                <w:jc w:val="right"/>
                                <w:rPr>
                                  <w:sz w:val="74"/>
                                  <w:szCs w:val="74"/>
                                </w:rPr>
                              </w:pPr>
                            </w:p>
                            <w:p w14:paraId="7757DE94" w14:textId="77777777" w:rsidR="00147C8B" w:rsidRDefault="00147C8B" w:rsidP="00682390">
                              <w:pPr>
                                <w:jc w:val="right"/>
                              </w:pPr>
                            </w:p>
                            <w:p w14:paraId="0102C37D"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 xml:space="preserve">2025 ԹՎԱԿԱՆԻ </w:t>
                              </w:r>
                            </w:p>
                            <w:p w14:paraId="62123F4A" w14:textId="77777777" w:rsidR="00147C8B" w:rsidRPr="00A3353C" w:rsidRDefault="00147C8B" w:rsidP="00682390">
                              <w:pPr>
                                <w:jc w:val="right"/>
                                <w:rPr>
                                  <w:sz w:val="74"/>
                                  <w:szCs w:val="74"/>
                                </w:rPr>
                              </w:pPr>
                            </w:p>
                            <w:p w14:paraId="7112F284" w14:textId="77777777" w:rsidR="00147C8B" w:rsidRDefault="00147C8B"/>
                            <w:p w14:paraId="7EEEA830"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ՈՒՂԵՐՁ</w:t>
                              </w:r>
                              <w:r w:rsidRPr="00812F22">
                                <w:rPr>
                                  <w:b/>
                                  <w:color w:val="44546A" w:themeColor="text2"/>
                                  <w:sz w:val="36"/>
                                  <w:szCs w:val="36"/>
                                  <w:lang w:val="hy-AM"/>
                                </w:rPr>
                                <w:t>-ԲԱՑԱՏՐԱԳԻՐ</w:t>
                              </w: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24B72B8E" w14:textId="77777777" w:rsidR="00147C8B" w:rsidRPr="00A3353C" w:rsidRDefault="00147C8B" w:rsidP="00682390">
                              <w:pPr>
                                <w:jc w:val="right"/>
                                <w:rPr>
                                  <w:sz w:val="74"/>
                                  <w:szCs w:val="74"/>
                                </w:rPr>
                              </w:pPr>
                            </w:p>
                            <w:p w14:paraId="220EB2A4" w14:textId="77777777" w:rsidR="00147C8B" w:rsidRDefault="00147C8B" w:rsidP="00682390">
                              <w:pPr>
                                <w:jc w:val="right"/>
                              </w:pPr>
                            </w:p>
                            <w:p w14:paraId="28E7FF11"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 xml:space="preserve">2025 ԹՎԱԿԱՆԻ </w:t>
                              </w:r>
                            </w:p>
                            <w:p w14:paraId="6730FF92" w14:textId="77777777" w:rsidR="00147C8B" w:rsidRPr="00A3353C" w:rsidRDefault="00147C8B" w:rsidP="00682390">
                              <w:pPr>
                                <w:jc w:val="right"/>
                                <w:rPr>
                                  <w:sz w:val="74"/>
                                  <w:szCs w:val="74"/>
                                </w:rPr>
                              </w:pPr>
                            </w:p>
                            <w:p w14:paraId="5DC9806B" w14:textId="77777777" w:rsidR="00147C8B" w:rsidRDefault="00147C8B"/>
                            <w:p w14:paraId="165076CB"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27EA0F22" w14:textId="77777777" w:rsidR="00147C8B" w:rsidRPr="00A3353C" w:rsidRDefault="00147C8B" w:rsidP="00682390">
                              <w:pPr>
                                <w:jc w:val="right"/>
                                <w:rPr>
                                  <w:sz w:val="74"/>
                                  <w:szCs w:val="74"/>
                                </w:rPr>
                              </w:pPr>
                            </w:p>
                            <w:p w14:paraId="59534678" w14:textId="77777777" w:rsidR="00147C8B" w:rsidRDefault="00147C8B" w:rsidP="00682390">
                              <w:pPr>
                                <w:jc w:val="right"/>
                              </w:pPr>
                            </w:p>
                            <w:p w14:paraId="6AC34F7E"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 xml:space="preserve">2025 ԹՎԱԿԱՆԻ </w:t>
                              </w:r>
                            </w:p>
                            <w:p w14:paraId="61CD962C" w14:textId="77777777" w:rsidR="00147C8B" w:rsidRPr="00A3353C" w:rsidRDefault="00147C8B" w:rsidP="00682390">
                              <w:pPr>
                                <w:jc w:val="right"/>
                                <w:rPr>
                                  <w:sz w:val="74"/>
                                  <w:szCs w:val="74"/>
                                </w:rPr>
                              </w:pPr>
                            </w:p>
                            <w:p w14:paraId="27070A6D" w14:textId="77777777" w:rsidR="00147C8B" w:rsidRDefault="00147C8B"/>
                            <w:p w14:paraId="5427B56A"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ՈՒՂԵՐՁ</w:t>
                              </w:r>
                              <w:r w:rsidRPr="00812F22">
                                <w:rPr>
                                  <w:b/>
                                  <w:color w:val="44546A" w:themeColor="text2"/>
                                  <w:sz w:val="36"/>
                                  <w:szCs w:val="36"/>
                                  <w:lang w:val="hy-AM"/>
                                </w:rPr>
                                <w:t>-ԲԱՑԱՏՐԱԳԻՐ</w:t>
                              </w: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126777BB" w14:textId="77777777" w:rsidR="00147C8B" w:rsidRPr="00A3353C" w:rsidRDefault="00147C8B" w:rsidP="00682390">
                              <w:pPr>
                                <w:jc w:val="right"/>
                                <w:rPr>
                                  <w:sz w:val="74"/>
                                  <w:szCs w:val="74"/>
                                </w:rPr>
                              </w:pPr>
                            </w:p>
                            <w:p w14:paraId="2668FAB5" w14:textId="77777777" w:rsidR="00147C8B" w:rsidRDefault="00147C8B" w:rsidP="00682390">
                              <w:pPr>
                                <w:jc w:val="right"/>
                              </w:pPr>
                            </w:p>
                            <w:p w14:paraId="2466A6F4" w14:textId="77777777" w:rsidR="00147C8B" w:rsidRPr="00812F22" w:rsidRDefault="00147C8B" w:rsidP="00682390">
                              <w:pPr>
                                <w:pStyle w:val="BodyText1"/>
                                <w:jc w:val="right"/>
                                <w:rPr>
                                  <w:b/>
                                  <w:color w:val="44546A" w:themeColor="text2"/>
                                  <w:sz w:val="36"/>
                                  <w:szCs w:val="36"/>
                                </w:rPr>
                              </w:pPr>
                              <w:r w:rsidRPr="00682390">
                                <w:rPr>
                                  <w:b/>
                                  <w:color w:val="44546A" w:themeColor="text2"/>
                                  <w:sz w:val="40"/>
                                  <w:szCs w:val="40"/>
                                </w:rPr>
                                <w:t>ԲՅՈՒՋԵՏԱՅԻՆ ՈՒՂԵՐՁ</w:t>
                              </w:r>
                              <w:r w:rsidRPr="00682390">
                                <w:rPr>
                                  <w:b/>
                                  <w:color w:val="44546A" w:themeColor="text2"/>
                                  <w:sz w:val="70"/>
                                  <w:szCs w:val="70"/>
                                </w:rPr>
                                <w:t>2025 ԹՎԱԿԱՆԻ</w:t>
                              </w:r>
                              <w:r w:rsidRPr="00812F22">
                                <w:rPr>
                                  <w:b/>
                                  <w:color w:val="44546A" w:themeColor="text2"/>
                                  <w:sz w:val="36"/>
                                  <w:szCs w:val="36"/>
                                </w:rPr>
                                <w:t>ՈՒՂԵՐՁ</w:t>
                              </w:r>
                              <w:r w:rsidRPr="00812F22">
                                <w:rPr>
                                  <w:b/>
                                  <w:color w:val="44546A" w:themeColor="text2"/>
                                  <w:sz w:val="36"/>
                                  <w:szCs w:val="36"/>
                                  <w:lang w:val="hy-AM"/>
                                </w:rPr>
                                <w:t>-ԲԱՑԱՏՐԱԳԻՐ</w:t>
                              </w:r>
                            </w:p>
                            <w:p w14:paraId="111FB722" w14:textId="77777777" w:rsidR="00147C8B" w:rsidRDefault="00147C8B"/>
                            <w:p w14:paraId="08C15AB0" w14:textId="77777777" w:rsidR="00147C8B" w:rsidRDefault="00147C8B"/>
                            <w:p w14:paraId="7CC0C26A"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09EF4A5B" w14:textId="77777777" w:rsidR="00147C8B" w:rsidRPr="00A3353C" w:rsidRDefault="00147C8B" w:rsidP="00682390">
                              <w:pPr>
                                <w:jc w:val="right"/>
                                <w:rPr>
                                  <w:sz w:val="74"/>
                                  <w:szCs w:val="74"/>
                                </w:rPr>
                              </w:pPr>
                            </w:p>
                            <w:p w14:paraId="3C0443A0" w14:textId="77777777" w:rsidR="00147C8B" w:rsidRDefault="00147C8B" w:rsidP="00682390">
                              <w:pPr>
                                <w:jc w:val="right"/>
                              </w:pPr>
                            </w:p>
                            <w:p w14:paraId="0AA31E4E"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 xml:space="preserve">2025 ԹՎԱԿԱՆԻ </w:t>
                              </w:r>
                            </w:p>
                            <w:p w14:paraId="2ECE4D42" w14:textId="77777777" w:rsidR="00147C8B" w:rsidRPr="00A3353C" w:rsidRDefault="00147C8B" w:rsidP="00682390">
                              <w:pPr>
                                <w:jc w:val="right"/>
                                <w:rPr>
                                  <w:sz w:val="74"/>
                                  <w:szCs w:val="74"/>
                                </w:rPr>
                              </w:pPr>
                            </w:p>
                            <w:p w14:paraId="3B76BC49" w14:textId="77777777" w:rsidR="00147C8B" w:rsidRDefault="00147C8B"/>
                            <w:p w14:paraId="55221828"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ՈՒՂԵՐՁ</w:t>
                              </w:r>
                              <w:r w:rsidRPr="00812F22">
                                <w:rPr>
                                  <w:b/>
                                  <w:color w:val="44546A" w:themeColor="text2"/>
                                  <w:sz w:val="36"/>
                                  <w:szCs w:val="36"/>
                                  <w:lang w:val="hy-AM"/>
                                </w:rPr>
                                <w:t>-ԲԱՑԱՏՐԱԳԻՐ</w:t>
                              </w: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180595FE" w14:textId="77777777" w:rsidR="00147C8B" w:rsidRPr="00A3353C" w:rsidRDefault="00147C8B" w:rsidP="00682390">
                              <w:pPr>
                                <w:jc w:val="right"/>
                                <w:rPr>
                                  <w:sz w:val="74"/>
                                  <w:szCs w:val="74"/>
                                </w:rPr>
                              </w:pPr>
                            </w:p>
                            <w:p w14:paraId="2957F47C" w14:textId="77777777" w:rsidR="00147C8B" w:rsidRDefault="00147C8B" w:rsidP="00682390">
                              <w:pPr>
                                <w:jc w:val="right"/>
                              </w:pPr>
                            </w:p>
                            <w:p w14:paraId="2E4B1044" w14:textId="77777777" w:rsidR="00147C8B" w:rsidRPr="00812F22" w:rsidRDefault="00147C8B" w:rsidP="00682390">
                              <w:pPr>
                                <w:pStyle w:val="BodyText1"/>
                                <w:jc w:val="right"/>
                                <w:rPr>
                                  <w:b/>
                                  <w:color w:val="44546A" w:themeColor="text2"/>
                                  <w:sz w:val="36"/>
                                  <w:szCs w:val="36"/>
                                </w:rPr>
                              </w:pPr>
                              <w:r w:rsidRPr="00682390">
                                <w:rPr>
                                  <w:b/>
                                  <w:color w:val="44546A" w:themeColor="text2"/>
                                  <w:sz w:val="40"/>
                                  <w:szCs w:val="40"/>
                                </w:rPr>
                                <w:t>ԲՅՈՒՋԵՏԱՅԻՆ ՈՒՂԵՐՁ</w:t>
                              </w:r>
                              <w:r w:rsidRPr="00682390">
                                <w:rPr>
                                  <w:b/>
                                  <w:color w:val="44546A" w:themeColor="text2"/>
                                  <w:sz w:val="70"/>
                                  <w:szCs w:val="70"/>
                                </w:rPr>
                                <w:t>2025 ԹՎԱԿԱՆԻ</w:t>
                              </w:r>
                              <w:r w:rsidRPr="00812F22">
                                <w:rPr>
                                  <w:b/>
                                  <w:color w:val="44546A" w:themeColor="text2"/>
                                  <w:sz w:val="36"/>
                                  <w:szCs w:val="36"/>
                                </w:rPr>
                                <w:t>ՈՒՂԵՐՁ</w:t>
                              </w:r>
                              <w:r w:rsidRPr="00812F22">
                                <w:rPr>
                                  <w:b/>
                                  <w:color w:val="44546A" w:themeColor="text2"/>
                                  <w:sz w:val="36"/>
                                  <w:szCs w:val="36"/>
                                  <w:lang w:val="hy-AM"/>
                                </w:rPr>
                                <w:t>-ԲԱՑԱՏՐԱԳԻՐ</w:t>
                              </w:r>
                            </w:p>
                            <w:p w14:paraId="10BBC4AB" w14:textId="77777777" w:rsidR="00147C8B" w:rsidRDefault="00147C8B"/>
                            <w:p w14:paraId="0E747DEF" w14:textId="77777777" w:rsidR="00147C8B" w:rsidRDefault="00147C8B"/>
                            <w:p w14:paraId="260FFAF0" w14:textId="77777777" w:rsidR="00147C8B" w:rsidRPr="00812F22" w:rsidRDefault="00147C8B" w:rsidP="00682390">
                              <w:pPr>
                                <w:pStyle w:val="BodyText1"/>
                                <w:jc w:val="right"/>
                                <w:rPr>
                                  <w:b/>
                                  <w:color w:val="44546A" w:themeColor="text2"/>
                                  <w:sz w:val="36"/>
                                  <w:szCs w:val="36"/>
                                </w:rPr>
                              </w:pPr>
                              <w:r>
                                <w:rPr>
                                  <w:b/>
                                  <w:color w:val="44546A" w:themeColor="text2"/>
                                  <w:sz w:val="36"/>
                                  <w:szCs w:val="36"/>
                                </w:rPr>
                                <w:t>2026</w:t>
                              </w:r>
                              <w:r w:rsidRPr="00812F22">
                                <w:rPr>
                                  <w:b/>
                                  <w:color w:val="44546A" w:themeColor="text2"/>
                                  <w:sz w:val="36"/>
                                  <w:szCs w:val="36"/>
                                </w:rPr>
                                <w:t xml:space="preserve">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4E1A9D1B" w14:textId="77777777" w:rsidR="00147C8B" w:rsidRPr="00A3353C" w:rsidRDefault="00147C8B" w:rsidP="00682390">
                              <w:pPr>
                                <w:jc w:val="right"/>
                                <w:rPr>
                                  <w:sz w:val="74"/>
                                  <w:szCs w:val="74"/>
                                </w:rPr>
                              </w:pPr>
                            </w:p>
                            <w:p w14:paraId="6E09FF6E" w14:textId="77777777" w:rsidR="00147C8B" w:rsidRDefault="00147C8B" w:rsidP="00682390">
                              <w:pPr>
                                <w:jc w:val="right"/>
                              </w:pPr>
                            </w:p>
                            <w:p w14:paraId="10990B03"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 xml:space="preserve">2025 ԹՎԱԿԱՆԻ </w:t>
                              </w:r>
                            </w:p>
                            <w:p w14:paraId="5A4822DE" w14:textId="77777777" w:rsidR="00147C8B" w:rsidRPr="00A3353C" w:rsidRDefault="00147C8B" w:rsidP="00682390">
                              <w:pPr>
                                <w:jc w:val="right"/>
                                <w:rPr>
                                  <w:sz w:val="74"/>
                                  <w:szCs w:val="74"/>
                                </w:rPr>
                              </w:pPr>
                            </w:p>
                            <w:p w14:paraId="1C6E8201" w14:textId="77777777" w:rsidR="00147C8B" w:rsidRDefault="00147C8B"/>
                            <w:p w14:paraId="567E34A8"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ՈՒՂԵՐՁ</w:t>
                              </w:r>
                              <w:r w:rsidRPr="00812F22">
                                <w:rPr>
                                  <w:b/>
                                  <w:color w:val="44546A" w:themeColor="text2"/>
                                  <w:sz w:val="36"/>
                                  <w:szCs w:val="36"/>
                                  <w:lang w:val="hy-AM"/>
                                </w:rPr>
                                <w:t>-ԲԱՑԱՏՐԱԳԻՐ</w:t>
                              </w: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42B6F822" w14:textId="77777777" w:rsidR="00147C8B" w:rsidRPr="00A3353C" w:rsidRDefault="00147C8B" w:rsidP="00682390">
                              <w:pPr>
                                <w:jc w:val="right"/>
                                <w:rPr>
                                  <w:sz w:val="74"/>
                                  <w:szCs w:val="74"/>
                                </w:rPr>
                              </w:pPr>
                            </w:p>
                            <w:p w14:paraId="005A07CC" w14:textId="77777777" w:rsidR="00147C8B" w:rsidRDefault="00147C8B" w:rsidP="00682390">
                              <w:pPr>
                                <w:jc w:val="right"/>
                              </w:pPr>
                            </w:p>
                            <w:p w14:paraId="18E9CF9D"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 xml:space="preserve">2025 ԹՎԱԿԱՆԻ </w:t>
                              </w:r>
                            </w:p>
                            <w:p w14:paraId="5CCE7DD8" w14:textId="77777777" w:rsidR="00147C8B" w:rsidRPr="00A3353C" w:rsidRDefault="00147C8B" w:rsidP="00682390">
                              <w:pPr>
                                <w:jc w:val="right"/>
                                <w:rPr>
                                  <w:sz w:val="74"/>
                                  <w:szCs w:val="74"/>
                                </w:rPr>
                              </w:pPr>
                            </w:p>
                            <w:p w14:paraId="78BEBE6F" w14:textId="77777777" w:rsidR="00147C8B" w:rsidRDefault="00147C8B"/>
                            <w:p w14:paraId="489C9B1D"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3AF78BDD" w14:textId="77777777" w:rsidR="00147C8B" w:rsidRPr="00A3353C" w:rsidRDefault="00147C8B" w:rsidP="00682390">
                              <w:pPr>
                                <w:jc w:val="right"/>
                                <w:rPr>
                                  <w:sz w:val="74"/>
                                  <w:szCs w:val="74"/>
                                </w:rPr>
                              </w:pPr>
                            </w:p>
                            <w:p w14:paraId="45BD7F71" w14:textId="77777777" w:rsidR="00147C8B" w:rsidRDefault="00147C8B" w:rsidP="00682390">
                              <w:pPr>
                                <w:jc w:val="right"/>
                              </w:pPr>
                            </w:p>
                            <w:p w14:paraId="11CEE9F2"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 xml:space="preserve">2025 ԹՎԱԿԱՆԻ </w:t>
                              </w:r>
                            </w:p>
                            <w:p w14:paraId="49F19EDD" w14:textId="77777777" w:rsidR="00147C8B" w:rsidRPr="00A3353C" w:rsidRDefault="00147C8B" w:rsidP="00682390">
                              <w:pPr>
                                <w:jc w:val="right"/>
                                <w:rPr>
                                  <w:sz w:val="74"/>
                                  <w:szCs w:val="74"/>
                                </w:rPr>
                              </w:pPr>
                            </w:p>
                            <w:p w14:paraId="556855BB" w14:textId="77777777" w:rsidR="00147C8B" w:rsidRDefault="00147C8B"/>
                            <w:p w14:paraId="1EADD1C9"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ՈՒՂԵՐՁ</w:t>
                              </w:r>
                              <w:r w:rsidRPr="00812F22">
                                <w:rPr>
                                  <w:b/>
                                  <w:color w:val="44546A" w:themeColor="text2"/>
                                  <w:sz w:val="36"/>
                                  <w:szCs w:val="36"/>
                                  <w:lang w:val="hy-AM"/>
                                </w:rPr>
                                <w:t>-ԲԱՑԱՏՐԱԳԻՐ</w:t>
                              </w: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0D55C03F" w14:textId="77777777" w:rsidR="00147C8B" w:rsidRPr="00A3353C" w:rsidRDefault="00147C8B" w:rsidP="00682390">
                              <w:pPr>
                                <w:jc w:val="right"/>
                                <w:rPr>
                                  <w:sz w:val="74"/>
                                  <w:szCs w:val="74"/>
                                </w:rPr>
                              </w:pPr>
                            </w:p>
                            <w:p w14:paraId="2DBCFB84" w14:textId="77777777" w:rsidR="00147C8B" w:rsidRDefault="00147C8B" w:rsidP="00682390">
                              <w:pPr>
                                <w:jc w:val="right"/>
                              </w:pPr>
                            </w:p>
                            <w:p w14:paraId="4609CD7F"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 xml:space="preserve">2025 ԹՎԱԿԱՆԻ </w:t>
                              </w:r>
                            </w:p>
                            <w:p w14:paraId="011D531D" w14:textId="77777777" w:rsidR="00147C8B" w:rsidRPr="00A3353C" w:rsidRDefault="00147C8B" w:rsidP="00682390">
                              <w:pPr>
                                <w:jc w:val="right"/>
                                <w:rPr>
                                  <w:sz w:val="74"/>
                                  <w:szCs w:val="74"/>
                                </w:rPr>
                              </w:pPr>
                            </w:p>
                            <w:p w14:paraId="5D0A2812" w14:textId="77777777" w:rsidR="00147C8B" w:rsidRDefault="00147C8B"/>
                            <w:p w14:paraId="69B01EA4" w14:textId="77777777" w:rsidR="00147C8B" w:rsidRPr="00812F22" w:rsidRDefault="00147C8B" w:rsidP="00682390">
                              <w:pPr>
                                <w:pStyle w:val="BodyText1"/>
                                <w:jc w:val="right"/>
                                <w:rPr>
                                  <w:b/>
                                  <w:color w:val="44546A" w:themeColor="text2"/>
                                  <w:sz w:val="36"/>
                                  <w:szCs w:val="36"/>
                                </w:rPr>
                              </w:pPr>
                              <w:r>
                                <w:rPr>
                                  <w:b/>
                                  <w:color w:val="44546A" w:themeColor="text2"/>
                                  <w:sz w:val="36"/>
                                  <w:szCs w:val="36"/>
                                </w:rPr>
                                <w:t>2026</w:t>
                              </w:r>
                              <w:r w:rsidRPr="00812F22">
                                <w:rPr>
                                  <w:b/>
                                  <w:color w:val="44546A" w:themeColor="text2"/>
                                  <w:sz w:val="36"/>
                                  <w:szCs w:val="36"/>
                                </w:rPr>
                                <w:t xml:space="preserve">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249478A9" w14:textId="77777777" w:rsidR="00147C8B" w:rsidRPr="00A3353C" w:rsidRDefault="00147C8B" w:rsidP="00682390">
                              <w:pPr>
                                <w:jc w:val="right"/>
                                <w:rPr>
                                  <w:sz w:val="74"/>
                                  <w:szCs w:val="74"/>
                                </w:rPr>
                              </w:pPr>
                            </w:p>
                            <w:p w14:paraId="6EE5A144" w14:textId="77777777" w:rsidR="00147C8B" w:rsidRDefault="00147C8B" w:rsidP="00682390">
                              <w:pPr>
                                <w:jc w:val="right"/>
                              </w:pPr>
                            </w:p>
                            <w:p w14:paraId="7A689E8B"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 xml:space="preserve">2025 ԹՎԱԿԱՆԻ </w:t>
                              </w:r>
                            </w:p>
                            <w:p w14:paraId="1A97299E" w14:textId="77777777" w:rsidR="00147C8B" w:rsidRPr="00A3353C" w:rsidRDefault="00147C8B" w:rsidP="00682390">
                              <w:pPr>
                                <w:jc w:val="right"/>
                                <w:rPr>
                                  <w:sz w:val="74"/>
                                  <w:szCs w:val="74"/>
                                </w:rPr>
                              </w:pPr>
                            </w:p>
                            <w:p w14:paraId="34245443" w14:textId="77777777" w:rsidR="00147C8B" w:rsidRDefault="00147C8B"/>
                            <w:p w14:paraId="70C15B37"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ՈՒՂԵՐՁ</w:t>
                              </w:r>
                              <w:r w:rsidRPr="00812F22">
                                <w:rPr>
                                  <w:b/>
                                  <w:color w:val="44546A" w:themeColor="text2"/>
                                  <w:sz w:val="36"/>
                                  <w:szCs w:val="36"/>
                                  <w:lang w:val="hy-AM"/>
                                </w:rPr>
                                <w:t>-ԲԱՑԱՏՐԱԳԻՐ</w:t>
                              </w: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44D534C2" w14:textId="77777777" w:rsidR="00147C8B" w:rsidRPr="00A3353C" w:rsidRDefault="00147C8B" w:rsidP="00682390">
                              <w:pPr>
                                <w:jc w:val="right"/>
                                <w:rPr>
                                  <w:sz w:val="74"/>
                                  <w:szCs w:val="74"/>
                                </w:rPr>
                              </w:pPr>
                            </w:p>
                            <w:p w14:paraId="4255BFFB" w14:textId="77777777" w:rsidR="00147C8B" w:rsidRDefault="00147C8B" w:rsidP="00682390">
                              <w:pPr>
                                <w:jc w:val="right"/>
                              </w:pPr>
                            </w:p>
                            <w:p w14:paraId="6EB2E14A"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 xml:space="preserve">2025 ԹՎԱԿԱՆԻ </w:t>
                              </w:r>
                            </w:p>
                            <w:p w14:paraId="5F79BD4E" w14:textId="77777777" w:rsidR="00147C8B" w:rsidRPr="00A3353C" w:rsidRDefault="00147C8B" w:rsidP="00682390">
                              <w:pPr>
                                <w:jc w:val="right"/>
                                <w:rPr>
                                  <w:sz w:val="74"/>
                                  <w:szCs w:val="74"/>
                                </w:rPr>
                              </w:pPr>
                            </w:p>
                            <w:p w14:paraId="5C60490D" w14:textId="77777777" w:rsidR="00147C8B" w:rsidRDefault="00147C8B"/>
                            <w:p w14:paraId="74DF7141"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3B08BC48" w14:textId="77777777" w:rsidR="00147C8B" w:rsidRPr="00A3353C" w:rsidRDefault="00147C8B" w:rsidP="00682390">
                              <w:pPr>
                                <w:jc w:val="right"/>
                                <w:rPr>
                                  <w:sz w:val="74"/>
                                  <w:szCs w:val="74"/>
                                </w:rPr>
                              </w:pPr>
                            </w:p>
                            <w:p w14:paraId="592BDEC3" w14:textId="77777777" w:rsidR="00147C8B" w:rsidRDefault="00147C8B" w:rsidP="00682390">
                              <w:pPr>
                                <w:jc w:val="right"/>
                              </w:pPr>
                            </w:p>
                            <w:p w14:paraId="030DB90F"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 xml:space="preserve">2025 ԹՎԱԿԱՆԻ </w:t>
                              </w:r>
                            </w:p>
                            <w:p w14:paraId="40811C3D" w14:textId="77777777" w:rsidR="00147C8B" w:rsidRPr="00A3353C" w:rsidRDefault="00147C8B" w:rsidP="00682390">
                              <w:pPr>
                                <w:jc w:val="right"/>
                                <w:rPr>
                                  <w:sz w:val="74"/>
                                  <w:szCs w:val="74"/>
                                </w:rPr>
                              </w:pPr>
                            </w:p>
                            <w:p w14:paraId="342514F3" w14:textId="77777777" w:rsidR="00147C8B" w:rsidRDefault="00147C8B"/>
                            <w:p w14:paraId="0DA16F05"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ՈՒՂԵՐՁ</w:t>
                              </w:r>
                              <w:r w:rsidRPr="00812F22">
                                <w:rPr>
                                  <w:b/>
                                  <w:color w:val="44546A" w:themeColor="text2"/>
                                  <w:sz w:val="36"/>
                                  <w:szCs w:val="36"/>
                                  <w:lang w:val="hy-AM"/>
                                </w:rPr>
                                <w:t>-ԲԱՑԱՏՐԱԳԻՐ</w:t>
                              </w: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052CC3E6" w14:textId="77777777" w:rsidR="00147C8B" w:rsidRPr="00A3353C" w:rsidRDefault="00147C8B" w:rsidP="00682390">
                              <w:pPr>
                                <w:jc w:val="right"/>
                                <w:rPr>
                                  <w:sz w:val="74"/>
                                  <w:szCs w:val="74"/>
                                </w:rPr>
                              </w:pPr>
                            </w:p>
                            <w:p w14:paraId="2164010F" w14:textId="77777777" w:rsidR="00147C8B" w:rsidRDefault="00147C8B" w:rsidP="00682390">
                              <w:pPr>
                                <w:jc w:val="right"/>
                              </w:pPr>
                            </w:p>
                            <w:p w14:paraId="4E988789" w14:textId="77777777" w:rsidR="00147C8B" w:rsidRPr="00812F22" w:rsidRDefault="00147C8B" w:rsidP="00682390">
                              <w:pPr>
                                <w:pStyle w:val="BodyText1"/>
                                <w:jc w:val="right"/>
                                <w:rPr>
                                  <w:b/>
                                  <w:color w:val="44546A" w:themeColor="text2"/>
                                  <w:sz w:val="36"/>
                                  <w:szCs w:val="36"/>
                                </w:rPr>
                              </w:pPr>
                              <w:r w:rsidRPr="00682390">
                                <w:rPr>
                                  <w:b/>
                                  <w:color w:val="44546A" w:themeColor="text2"/>
                                  <w:sz w:val="40"/>
                                  <w:szCs w:val="40"/>
                                </w:rPr>
                                <w:t>ԲՅՈՒՋԵՏԱՅԻՆ ՈՒՂԵՐՁ</w:t>
                              </w:r>
                              <w:r w:rsidRPr="00682390">
                                <w:rPr>
                                  <w:b/>
                                  <w:color w:val="44546A" w:themeColor="text2"/>
                                  <w:sz w:val="70"/>
                                  <w:szCs w:val="70"/>
                                </w:rPr>
                                <w:t>2025 ԹՎԱԿԱՆԻ</w:t>
                              </w:r>
                              <w:r w:rsidRPr="00812F22">
                                <w:rPr>
                                  <w:b/>
                                  <w:color w:val="44546A" w:themeColor="text2"/>
                                  <w:sz w:val="36"/>
                                  <w:szCs w:val="36"/>
                                </w:rPr>
                                <w:t>ՈՒՂԵՐՁ</w:t>
                              </w:r>
                              <w:r w:rsidRPr="00812F22">
                                <w:rPr>
                                  <w:b/>
                                  <w:color w:val="44546A" w:themeColor="text2"/>
                                  <w:sz w:val="36"/>
                                  <w:szCs w:val="36"/>
                                  <w:lang w:val="hy-AM"/>
                                </w:rPr>
                                <w:t>-ԲԱՑԱՏՐԱԳԻՐ</w:t>
                              </w:r>
                            </w:p>
                            <w:p w14:paraId="4C947AFF" w14:textId="77777777" w:rsidR="00147C8B" w:rsidRDefault="00147C8B"/>
                            <w:p w14:paraId="773F5583" w14:textId="77777777" w:rsidR="00147C8B" w:rsidRDefault="00147C8B"/>
                            <w:p w14:paraId="53C06A5D"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17BD61A8" w14:textId="77777777" w:rsidR="00147C8B" w:rsidRPr="00A3353C" w:rsidRDefault="00147C8B" w:rsidP="00682390">
                              <w:pPr>
                                <w:jc w:val="right"/>
                                <w:rPr>
                                  <w:sz w:val="74"/>
                                  <w:szCs w:val="74"/>
                                </w:rPr>
                              </w:pPr>
                            </w:p>
                            <w:p w14:paraId="575824C6" w14:textId="77777777" w:rsidR="00147C8B" w:rsidRDefault="00147C8B" w:rsidP="00682390">
                              <w:pPr>
                                <w:jc w:val="right"/>
                              </w:pPr>
                            </w:p>
                            <w:p w14:paraId="6B87A95A"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 xml:space="preserve">2025 ԹՎԱԿԱՆԻ </w:t>
                              </w:r>
                            </w:p>
                            <w:p w14:paraId="4E78D157" w14:textId="77777777" w:rsidR="00147C8B" w:rsidRPr="00A3353C" w:rsidRDefault="00147C8B" w:rsidP="00682390">
                              <w:pPr>
                                <w:jc w:val="right"/>
                                <w:rPr>
                                  <w:sz w:val="74"/>
                                  <w:szCs w:val="74"/>
                                </w:rPr>
                              </w:pPr>
                            </w:p>
                            <w:p w14:paraId="0C03C2F6" w14:textId="77777777" w:rsidR="00147C8B" w:rsidRDefault="00147C8B"/>
                            <w:p w14:paraId="075B0E5E"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ՈՒՂԵՐՁ</w:t>
                              </w:r>
                              <w:r w:rsidRPr="00812F22">
                                <w:rPr>
                                  <w:b/>
                                  <w:color w:val="44546A" w:themeColor="text2"/>
                                  <w:sz w:val="36"/>
                                  <w:szCs w:val="36"/>
                                  <w:lang w:val="hy-AM"/>
                                </w:rPr>
                                <w:t>-ԲԱՑԱՏՐԱԳԻՐ</w:t>
                              </w: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4B42EC10" w14:textId="77777777" w:rsidR="00147C8B" w:rsidRPr="00A3353C" w:rsidRDefault="00147C8B" w:rsidP="00682390">
                              <w:pPr>
                                <w:jc w:val="right"/>
                                <w:rPr>
                                  <w:sz w:val="74"/>
                                  <w:szCs w:val="74"/>
                                </w:rPr>
                              </w:pPr>
                            </w:p>
                            <w:p w14:paraId="6166F954" w14:textId="77777777" w:rsidR="00147C8B" w:rsidRDefault="00147C8B" w:rsidP="00682390">
                              <w:pPr>
                                <w:jc w:val="right"/>
                              </w:pPr>
                            </w:p>
                            <w:p w14:paraId="4677EB59" w14:textId="77777777" w:rsidR="00147C8B" w:rsidRPr="00812F22" w:rsidRDefault="00147C8B" w:rsidP="00682390">
                              <w:pPr>
                                <w:pStyle w:val="BodyText1"/>
                                <w:jc w:val="right"/>
                                <w:rPr>
                                  <w:b/>
                                  <w:color w:val="44546A" w:themeColor="text2"/>
                                  <w:sz w:val="36"/>
                                  <w:szCs w:val="36"/>
                                </w:rPr>
                              </w:pPr>
                              <w:r w:rsidRPr="00682390">
                                <w:rPr>
                                  <w:b/>
                                  <w:color w:val="44546A" w:themeColor="text2"/>
                                  <w:sz w:val="40"/>
                                  <w:szCs w:val="40"/>
                                </w:rPr>
                                <w:t>ԲՅՈՒՋԵՏԱՅԻՆ ՈՒՂԵՐՁ</w:t>
                              </w:r>
                              <w:r w:rsidRPr="00682390">
                                <w:rPr>
                                  <w:b/>
                                  <w:color w:val="44546A" w:themeColor="text2"/>
                                  <w:sz w:val="70"/>
                                  <w:szCs w:val="70"/>
                                </w:rPr>
                                <w:t>2025 ԹՎԱԿԱՆԻ</w:t>
                              </w:r>
                              <w:r w:rsidRPr="00812F22">
                                <w:rPr>
                                  <w:b/>
                                  <w:color w:val="44546A" w:themeColor="text2"/>
                                  <w:sz w:val="36"/>
                                  <w:szCs w:val="36"/>
                                </w:rPr>
                                <w:t>ՈՒՂԵՐՁ</w:t>
                              </w:r>
                              <w:r w:rsidRPr="00812F22">
                                <w:rPr>
                                  <w:b/>
                                  <w:color w:val="44546A" w:themeColor="text2"/>
                                  <w:sz w:val="36"/>
                                  <w:szCs w:val="36"/>
                                  <w:lang w:val="hy-AM"/>
                                </w:rPr>
                                <w:t>-ԲԱՑԱՏՐԱԳԻՐ</w:t>
                              </w:r>
                            </w:p>
                            <w:p w14:paraId="018C9B63" w14:textId="77777777" w:rsidR="00147C8B" w:rsidRDefault="00147C8B"/>
                            <w:p w14:paraId="0A31E794" w14:textId="77777777" w:rsidR="00147C8B" w:rsidRDefault="00147C8B"/>
                            <w:p w14:paraId="378DDE9A" w14:textId="77777777" w:rsidR="00147C8B" w:rsidRPr="00812F22" w:rsidRDefault="00147C8B" w:rsidP="00682390">
                              <w:pPr>
                                <w:pStyle w:val="BodyText1"/>
                                <w:jc w:val="right"/>
                                <w:rPr>
                                  <w:b/>
                                  <w:color w:val="44546A" w:themeColor="text2"/>
                                  <w:sz w:val="36"/>
                                  <w:szCs w:val="36"/>
                                </w:rPr>
                              </w:pPr>
                              <w:r>
                                <w:rPr>
                                  <w:b/>
                                  <w:color w:val="44546A" w:themeColor="text2"/>
                                  <w:sz w:val="36"/>
                                  <w:szCs w:val="36"/>
                                </w:rPr>
                                <w:t>2026</w:t>
                              </w:r>
                              <w:r w:rsidRPr="00812F22">
                                <w:rPr>
                                  <w:b/>
                                  <w:color w:val="44546A" w:themeColor="text2"/>
                                  <w:sz w:val="36"/>
                                  <w:szCs w:val="36"/>
                                </w:rPr>
                                <w:t xml:space="preserve">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58A18403" w14:textId="77777777" w:rsidR="00147C8B" w:rsidRPr="00A3353C" w:rsidRDefault="00147C8B" w:rsidP="00682390">
                              <w:pPr>
                                <w:jc w:val="right"/>
                                <w:rPr>
                                  <w:sz w:val="74"/>
                                  <w:szCs w:val="74"/>
                                </w:rPr>
                              </w:pPr>
                            </w:p>
                            <w:p w14:paraId="475242F4" w14:textId="77777777" w:rsidR="00147C8B" w:rsidRDefault="00147C8B" w:rsidP="00682390">
                              <w:pPr>
                                <w:jc w:val="right"/>
                              </w:pPr>
                            </w:p>
                            <w:p w14:paraId="39DF58A4"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 xml:space="preserve">2025 ԹՎԱԿԱՆԻ </w:t>
                              </w:r>
                            </w:p>
                            <w:p w14:paraId="485868CA" w14:textId="77777777" w:rsidR="00147C8B" w:rsidRPr="00A3353C" w:rsidRDefault="00147C8B" w:rsidP="00682390">
                              <w:pPr>
                                <w:jc w:val="right"/>
                                <w:rPr>
                                  <w:sz w:val="74"/>
                                  <w:szCs w:val="74"/>
                                </w:rPr>
                              </w:pPr>
                            </w:p>
                            <w:p w14:paraId="02B8E5BA" w14:textId="77777777" w:rsidR="00147C8B" w:rsidRDefault="00147C8B"/>
                            <w:p w14:paraId="0A51C9F8"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ՈՒՂԵՐՁ</w:t>
                              </w:r>
                              <w:r w:rsidRPr="00812F22">
                                <w:rPr>
                                  <w:b/>
                                  <w:color w:val="44546A" w:themeColor="text2"/>
                                  <w:sz w:val="36"/>
                                  <w:szCs w:val="36"/>
                                  <w:lang w:val="hy-AM"/>
                                </w:rPr>
                                <w:t>-ԲԱՑԱՏՐԱԳԻՐ</w:t>
                              </w: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7EBDE7D0" w14:textId="77777777" w:rsidR="00147C8B" w:rsidRPr="00A3353C" w:rsidRDefault="00147C8B" w:rsidP="00682390">
                              <w:pPr>
                                <w:jc w:val="right"/>
                                <w:rPr>
                                  <w:sz w:val="74"/>
                                  <w:szCs w:val="74"/>
                                </w:rPr>
                              </w:pPr>
                            </w:p>
                            <w:p w14:paraId="56731AA7" w14:textId="77777777" w:rsidR="00147C8B" w:rsidRDefault="00147C8B" w:rsidP="00682390">
                              <w:pPr>
                                <w:jc w:val="right"/>
                              </w:pPr>
                            </w:p>
                            <w:p w14:paraId="18D24C37"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 xml:space="preserve">2025 ԹՎԱԿԱՆԻ </w:t>
                              </w:r>
                            </w:p>
                            <w:p w14:paraId="56C2A1C3" w14:textId="77777777" w:rsidR="00147C8B" w:rsidRPr="00A3353C" w:rsidRDefault="00147C8B" w:rsidP="00682390">
                              <w:pPr>
                                <w:jc w:val="right"/>
                                <w:rPr>
                                  <w:sz w:val="74"/>
                                  <w:szCs w:val="74"/>
                                </w:rPr>
                              </w:pPr>
                            </w:p>
                            <w:p w14:paraId="03C49022" w14:textId="77777777" w:rsidR="00147C8B" w:rsidRDefault="00147C8B"/>
                            <w:p w14:paraId="26DA171C"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17B54DD6" w14:textId="77777777" w:rsidR="00147C8B" w:rsidRPr="00A3353C" w:rsidRDefault="00147C8B" w:rsidP="00682390">
                              <w:pPr>
                                <w:jc w:val="right"/>
                                <w:rPr>
                                  <w:sz w:val="74"/>
                                  <w:szCs w:val="74"/>
                                </w:rPr>
                              </w:pPr>
                            </w:p>
                            <w:p w14:paraId="2177DB38" w14:textId="77777777" w:rsidR="00147C8B" w:rsidRDefault="00147C8B" w:rsidP="00682390">
                              <w:pPr>
                                <w:jc w:val="right"/>
                              </w:pPr>
                            </w:p>
                            <w:p w14:paraId="0E21A9F8"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 xml:space="preserve">2025 ԹՎԱԿԱՆԻ </w:t>
                              </w:r>
                            </w:p>
                            <w:p w14:paraId="3C825288" w14:textId="77777777" w:rsidR="00147C8B" w:rsidRPr="00A3353C" w:rsidRDefault="00147C8B" w:rsidP="00682390">
                              <w:pPr>
                                <w:jc w:val="right"/>
                                <w:rPr>
                                  <w:sz w:val="74"/>
                                  <w:szCs w:val="74"/>
                                </w:rPr>
                              </w:pPr>
                            </w:p>
                            <w:p w14:paraId="6EA4F129" w14:textId="77777777" w:rsidR="00147C8B" w:rsidRDefault="00147C8B"/>
                            <w:p w14:paraId="48C4B638"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ՈՒՂԵՐՁ</w:t>
                              </w:r>
                              <w:r w:rsidRPr="00812F22">
                                <w:rPr>
                                  <w:b/>
                                  <w:color w:val="44546A" w:themeColor="text2"/>
                                  <w:sz w:val="36"/>
                                  <w:szCs w:val="36"/>
                                  <w:lang w:val="hy-AM"/>
                                </w:rPr>
                                <w:t>-ԲԱՑԱՏՐԱԳԻՐ</w:t>
                              </w: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3D8F53CB" w14:textId="77777777" w:rsidR="00147C8B" w:rsidRPr="00A3353C" w:rsidRDefault="00147C8B" w:rsidP="00682390">
                              <w:pPr>
                                <w:jc w:val="right"/>
                                <w:rPr>
                                  <w:sz w:val="74"/>
                                  <w:szCs w:val="74"/>
                                </w:rPr>
                              </w:pPr>
                            </w:p>
                            <w:p w14:paraId="3E8E573B" w14:textId="77777777" w:rsidR="00147C8B" w:rsidRDefault="00147C8B" w:rsidP="00682390">
                              <w:pPr>
                                <w:jc w:val="right"/>
                              </w:pPr>
                            </w:p>
                            <w:p w14:paraId="78A1C8FF" w14:textId="77777777" w:rsidR="00147C8B" w:rsidRPr="00812F22" w:rsidRDefault="00147C8B" w:rsidP="00682390">
                              <w:pPr>
                                <w:pStyle w:val="BodyText1"/>
                                <w:jc w:val="right"/>
                                <w:rPr>
                                  <w:b/>
                                  <w:color w:val="44546A" w:themeColor="text2"/>
                                  <w:sz w:val="36"/>
                                  <w:szCs w:val="36"/>
                                </w:rPr>
                              </w:pPr>
                              <w:r w:rsidRPr="00682390">
                                <w:rPr>
                                  <w:b/>
                                  <w:color w:val="44546A" w:themeColor="text2"/>
                                  <w:sz w:val="40"/>
                                  <w:szCs w:val="40"/>
                                </w:rPr>
                                <w:t>ԲՅՈՒՋԵՏԱՅԻՆ ՈՒՂԵՐՁ</w:t>
                              </w:r>
                              <w:r w:rsidRPr="00682390">
                                <w:rPr>
                                  <w:b/>
                                  <w:color w:val="44546A" w:themeColor="text2"/>
                                  <w:sz w:val="70"/>
                                  <w:szCs w:val="70"/>
                                </w:rPr>
                                <w:t>2025 ԹՎԱԿԱՆԻ</w:t>
                              </w:r>
                              <w:r w:rsidRPr="00812F22">
                                <w:rPr>
                                  <w:b/>
                                  <w:color w:val="44546A" w:themeColor="text2"/>
                                  <w:sz w:val="36"/>
                                  <w:szCs w:val="36"/>
                                </w:rPr>
                                <w:t>ՈՒՂԵՐՁ</w:t>
                              </w:r>
                              <w:r w:rsidRPr="00812F22">
                                <w:rPr>
                                  <w:b/>
                                  <w:color w:val="44546A" w:themeColor="text2"/>
                                  <w:sz w:val="36"/>
                                  <w:szCs w:val="36"/>
                                  <w:lang w:val="hy-AM"/>
                                </w:rPr>
                                <w:t>-ԲԱՑԱՏՐԱԳԻՐ</w:t>
                              </w:r>
                            </w:p>
                            <w:p w14:paraId="71A8DB3E" w14:textId="77777777" w:rsidR="00147C8B" w:rsidRDefault="00147C8B"/>
                            <w:p w14:paraId="75EFC199" w14:textId="77777777" w:rsidR="00147C8B" w:rsidRDefault="00147C8B"/>
                            <w:p w14:paraId="09E2EFF7"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621C8110" w14:textId="77777777" w:rsidR="00147C8B" w:rsidRPr="00A3353C" w:rsidRDefault="00147C8B" w:rsidP="00682390">
                              <w:pPr>
                                <w:jc w:val="right"/>
                                <w:rPr>
                                  <w:sz w:val="74"/>
                                  <w:szCs w:val="74"/>
                                </w:rPr>
                              </w:pPr>
                            </w:p>
                            <w:p w14:paraId="7A9034B3" w14:textId="77777777" w:rsidR="00147C8B" w:rsidRDefault="00147C8B" w:rsidP="00682390">
                              <w:pPr>
                                <w:jc w:val="right"/>
                              </w:pPr>
                            </w:p>
                            <w:p w14:paraId="0942BAD4"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 xml:space="preserve">2025 ԹՎԱԿԱՆԻ </w:t>
                              </w:r>
                            </w:p>
                            <w:p w14:paraId="60061DF9" w14:textId="77777777" w:rsidR="00147C8B" w:rsidRPr="00A3353C" w:rsidRDefault="00147C8B" w:rsidP="00682390">
                              <w:pPr>
                                <w:jc w:val="right"/>
                                <w:rPr>
                                  <w:sz w:val="74"/>
                                  <w:szCs w:val="74"/>
                                </w:rPr>
                              </w:pPr>
                            </w:p>
                            <w:p w14:paraId="65B8B3D2" w14:textId="77777777" w:rsidR="00147C8B" w:rsidRDefault="00147C8B"/>
                            <w:p w14:paraId="79D75B5F"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ՈՒՂԵՐՁ</w:t>
                              </w:r>
                              <w:r w:rsidRPr="00812F22">
                                <w:rPr>
                                  <w:b/>
                                  <w:color w:val="44546A" w:themeColor="text2"/>
                                  <w:sz w:val="36"/>
                                  <w:szCs w:val="36"/>
                                  <w:lang w:val="hy-AM"/>
                                </w:rPr>
                                <w:t>-ԲԱՑԱՏՐԱԳԻՐ</w:t>
                              </w: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55D954C8" w14:textId="77777777" w:rsidR="00147C8B" w:rsidRPr="00A3353C" w:rsidRDefault="00147C8B" w:rsidP="00682390">
                              <w:pPr>
                                <w:jc w:val="right"/>
                                <w:rPr>
                                  <w:sz w:val="74"/>
                                  <w:szCs w:val="74"/>
                                </w:rPr>
                              </w:pPr>
                            </w:p>
                            <w:p w14:paraId="0D964D82" w14:textId="77777777" w:rsidR="00147C8B" w:rsidRDefault="00147C8B" w:rsidP="00682390">
                              <w:pPr>
                                <w:jc w:val="right"/>
                              </w:pPr>
                            </w:p>
                            <w:p w14:paraId="4D77248F" w14:textId="77777777" w:rsidR="00147C8B" w:rsidRPr="00812F22" w:rsidRDefault="00147C8B" w:rsidP="00682390">
                              <w:pPr>
                                <w:pStyle w:val="BodyText1"/>
                                <w:jc w:val="right"/>
                                <w:rPr>
                                  <w:b/>
                                  <w:color w:val="44546A" w:themeColor="text2"/>
                                  <w:sz w:val="36"/>
                                  <w:szCs w:val="36"/>
                                </w:rPr>
                              </w:pPr>
                              <w:r w:rsidRPr="00682390">
                                <w:rPr>
                                  <w:b/>
                                  <w:color w:val="44546A" w:themeColor="text2"/>
                                  <w:sz w:val="40"/>
                                  <w:szCs w:val="40"/>
                                </w:rPr>
                                <w:t>ԲՅՈՒՋԵՏԱՅԻՆ ՈՒՂԵՐՁ</w:t>
                              </w:r>
                              <w:r w:rsidRPr="00682390">
                                <w:rPr>
                                  <w:b/>
                                  <w:color w:val="44546A" w:themeColor="text2"/>
                                  <w:sz w:val="70"/>
                                  <w:szCs w:val="70"/>
                                </w:rPr>
                                <w:t>2025 ԹՎԱԿԱՆԻ</w:t>
                              </w:r>
                              <w:r w:rsidRPr="00812F22">
                                <w:rPr>
                                  <w:b/>
                                  <w:color w:val="44546A" w:themeColor="text2"/>
                                  <w:sz w:val="36"/>
                                  <w:szCs w:val="36"/>
                                </w:rPr>
                                <w:t>ՈՒՂԵՐՁ</w:t>
                              </w:r>
                              <w:r w:rsidRPr="00812F22">
                                <w:rPr>
                                  <w:b/>
                                  <w:color w:val="44546A" w:themeColor="text2"/>
                                  <w:sz w:val="36"/>
                                  <w:szCs w:val="36"/>
                                  <w:lang w:val="hy-AM"/>
                                </w:rPr>
                                <w:t>-ԲԱՑԱՏՐԱԳԻՐ</w:t>
                              </w:r>
                            </w:p>
                            <w:p w14:paraId="6EC25C3C" w14:textId="77777777" w:rsidR="00147C8B" w:rsidRDefault="00147C8B"/>
                            <w:bookmarkEnd w:id="1"/>
                          </w:txbxContent>
                        </v:textbox>
                        <w10:wrap anchorx="margin" anchory="margin"/>
                      </v:rect>
                    </w:pict>
                  </mc:Fallback>
                </mc:AlternateContent>
              </w:r>
              <w:r w:rsidR="00812F22">
                <w:rPr>
                  <w:noProof/>
                </w:rPr>
                <mc:AlternateContent>
                  <mc:Choice Requires="wps">
                    <w:drawing>
                      <wp:anchor distT="0" distB="0" distL="114300" distR="114300" simplePos="0" relativeHeight="251754496" behindDoc="0" locked="0" layoutInCell="1" allowOverlap="1" wp14:anchorId="0D0A678E" wp14:editId="723D9C4B">
                        <wp:simplePos x="0" y="0"/>
                        <wp:positionH relativeFrom="margin">
                          <wp:posOffset>-9525</wp:posOffset>
                        </wp:positionH>
                        <wp:positionV relativeFrom="paragraph">
                          <wp:posOffset>3641725</wp:posOffset>
                        </wp:positionV>
                        <wp:extent cx="6572250" cy="914400"/>
                        <wp:effectExtent l="0" t="0" r="0" b="0"/>
                        <wp:wrapNone/>
                        <wp:docPr id="16120836" name="Text Box 16120836"/>
                        <wp:cNvGraphicFramePr/>
                        <a:graphic xmlns:a="http://schemas.openxmlformats.org/drawingml/2006/main">
                          <a:graphicData uri="http://schemas.microsoft.com/office/word/2010/wordprocessingShape">
                            <wps:wsp>
                              <wps:cNvSpPr txBox="1"/>
                              <wps:spPr>
                                <a:xfrm>
                                  <a:off x="0" y="0"/>
                                  <a:ext cx="6572250" cy="914400"/>
                                </a:xfrm>
                                <a:prstGeom prst="rect">
                                  <a:avLst/>
                                </a:prstGeom>
                                <a:noFill/>
                                <a:ln w="6350">
                                  <a:noFill/>
                                </a:ln>
                              </wps:spPr>
                              <wps:txbx>
                                <w:txbxContent>
                                  <w:p w14:paraId="5E0C7E47" w14:textId="7C93BD36" w:rsidR="00147C8B" w:rsidRPr="00812F22" w:rsidRDefault="00147C8B" w:rsidP="00682390">
                                    <w:pPr>
                                      <w:pStyle w:val="BodyText1"/>
                                      <w:jc w:val="right"/>
                                      <w:rPr>
                                        <w:b/>
                                        <w:color w:val="44546A" w:themeColor="text2"/>
                                        <w:sz w:val="36"/>
                                        <w:szCs w:val="36"/>
                                      </w:rPr>
                                    </w:pPr>
                                    <w:bookmarkStart w:id="1" w:name="_Toc178604090"/>
                                    <w:r>
                                      <w:rPr>
                                        <w:b/>
                                        <w:color w:val="44546A" w:themeColor="text2"/>
                                        <w:sz w:val="36"/>
                                        <w:szCs w:val="36"/>
                                      </w:rPr>
                                      <w:t>2026</w:t>
                                    </w:r>
                                    <w:r w:rsidRPr="00812F22">
                                      <w:rPr>
                                        <w:b/>
                                        <w:color w:val="44546A" w:themeColor="text2"/>
                                        <w:sz w:val="36"/>
                                        <w:szCs w:val="36"/>
                                      </w:rPr>
                                      <w:t xml:space="preserve">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205557A4" w14:textId="77777777" w:rsidR="00147C8B" w:rsidRPr="00A3353C" w:rsidRDefault="00147C8B" w:rsidP="00682390">
                                    <w:pPr>
                                      <w:jc w:val="right"/>
                                      <w:rPr>
                                        <w:sz w:val="74"/>
                                        <w:szCs w:val="74"/>
                                      </w:rPr>
                                    </w:pPr>
                                  </w:p>
                                  <w:p w14:paraId="050FECFF" w14:textId="77777777" w:rsidR="00147C8B" w:rsidRDefault="00147C8B" w:rsidP="00682390">
                                    <w:pPr>
                                      <w:jc w:val="right"/>
                                    </w:pPr>
                                  </w:p>
                                  <w:p w14:paraId="4F03B1E0"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 xml:space="preserve">2025 ԹՎԱԿԱՆԻ </w:t>
                                    </w:r>
                                  </w:p>
                                  <w:p w14:paraId="5BCBC3E7" w14:textId="77777777" w:rsidR="00147C8B" w:rsidRPr="00A3353C" w:rsidRDefault="00147C8B" w:rsidP="00682390">
                                    <w:pPr>
                                      <w:jc w:val="right"/>
                                      <w:rPr>
                                        <w:sz w:val="74"/>
                                        <w:szCs w:val="74"/>
                                      </w:rPr>
                                    </w:pPr>
                                  </w:p>
                                  <w:p w14:paraId="3327537B" w14:textId="77777777" w:rsidR="00147C8B" w:rsidRDefault="00147C8B"/>
                                  <w:p w14:paraId="06BA5201"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ՈՒՂԵՐՁ</w:t>
                                    </w:r>
                                    <w:r w:rsidRPr="00812F22">
                                      <w:rPr>
                                        <w:b/>
                                        <w:color w:val="44546A" w:themeColor="text2"/>
                                        <w:sz w:val="36"/>
                                        <w:szCs w:val="36"/>
                                        <w:lang w:val="hy-AM"/>
                                      </w:rPr>
                                      <w:t>-ԲԱՑԱՏՐԱԳԻՐ</w:t>
                                    </w: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34E8AC4F" w14:textId="77777777" w:rsidR="00147C8B" w:rsidRPr="00A3353C" w:rsidRDefault="00147C8B" w:rsidP="00682390">
                                    <w:pPr>
                                      <w:jc w:val="right"/>
                                      <w:rPr>
                                        <w:sz w:val="74"/>
                                        <w:szCs w:val="74"/>
                                      </w:rPr>
                                    </w:pPr>
                                  </w:p>
                                  <w:p w14:paraId="5D271229" w14:textId="77777777" w:rsidR="00147C8B" w:rsidRDefault="00147C8B" w:rsidP="00682390">
                                    <w:pPr>
                                      <w:jc w:val="right"/>
                                    </w:pPr>
                                  </w:p>
                                  <w:p w14:paraId="3EF0A954"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 xml:space="preserve">2025 ԹՎԱԿԱՆԻ </w:t>
                                    </w:r>
                                  </w:p>
                                  <w:p w14:paraId="319CCDB7" w14:textId="77777777" w:rsidR="00147C8B" w:rsidRPr="00A3353C" w:rsidRDefault="00147C8B" w:rsidP="00682390">
                                    <w:pPr>
                                      <w:jc w:val="right"/>
                                      <w:rPr>
                                        <w:sz w:val="74"/>
                                        <w:szCs w:val="74"/>
                                      </w:rPr>
                                    </w:pPr>
                                  </w:p>
                                  <w:p w14:paraId="678CA2EB" w14:textId="77777777" w:rsidR="00147C8B" w:rsidRDefault="00147C8B"/>
                                  <w:p w14:paraId="19530F7A"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228589B3" w14:textId="77777777" w:rsidR="00147C8B" w:rsidRPr="00A3353C" w:rsidRDefault="00147C8B" w:rsidP="00682390">
                                    <w:pPr>
                                      <w:jc w:val="right"/>
                                      <w:rPr>
                                        <w:sz w:val="74"/>
                                        <w:szCs w:val="74"/>
                                      </w:rPr>
                                    </w:pPr>
                                  </w:p>
                                  <w:p w14:paraId="78004B5A" w14:textId="77777777" w:rsidR="00147C8B" w:rsidRDefault="00147C8B" w:rsidP="00682390">
                                    <w:pPr>
                                      <w:jc w:val="right"/>
                                    </w:pPr>
                                  </w:p>
                                  <w:p w14:paraId="3E57A5CB"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 xml:space="preserve">2025 ԹՎԱԿԱՆԻ </w:t>
                                    </w:r>
                                  </w:p>
                                  <w:p w14:paraId="43803E61" w14:textId="77777777" w:rsidR="00147C8B" w:rsidRPr="00A3353C" w:rsidRDefault="00147C8B" w:rsidP="00682390">
                                    <w:pPr>
                                      <w:jc w:val="right"/>
                                      <w:rPr>
                                        <w:sz w:val="74"/>
                                        <w:szCs w:val="74"/>
                                      </w:rPr>
                                    </w:pPr>
                                  </w:p>
                                  <w:p w14:paraId="29E5DCB7" w14:textId="77777777" w:rsidR="00147C8B" w:rsidRDefault="00147C8B"/>
                                  <w:p w14:paraId="72512B46"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ՈՒՂԵՐՁ</w:t>
                                    </w:r>
                                    <w:r w:rsidRPr="00812F22">
                                      <w:rPr>
                                        <w:b/>
                                        <w:color w:val="44546A" w:themeColor="text2"/>
                                        <w:sz w:val="36"/>
                                        <w:szCs w:val="36"/>
                                        <w:lang w:val="hy-AM"/>
                                      </w:rPr>
                                      <w:t>-ԲԱՑԱՏՐԱԳԻՐ</w:t>
                                    </w: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2EF6119E" w14:textId="77777777" w:rsidR="00147C8B" w:rsidRPr="00A3353C" w:rsidRDefault="00147C8B" w:rsidP="00682390">
                                    <w:pPr>
                                      <w:jc w:val="right"/>
                                      <w:rPr>
                                        <w:sz w:val="74"/>
                                        <w:szCs w:val="74"/>
                                      </w:rPr>
                                    </w:pPr>
                                  </w:p>
                                  <w:p w14:paraId="310EB789" w14:textId="77777777" w:rsidR="00147C8B" w:rsidRDefault="00147C8B" w:rsidP="00682390">
                                    <w:pPr>
                                      <w:jc w:val="right"/>
                                    </w:pPr>
                                  </w:p>
                                  <w:p w14:paraId="1CA3D425"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 xml:space="preserve">2025 ԹՎԱԿԱՆԻ </w:t>
                                    </w:r>
                                  </w:p>
                                  <w:p w14:paraId="540E4CF5" w14:textId="77777777" w:rsidR="00147C8B" w:rsidRPr="00A3353C" w:rsidRDefault="00147C8B" w:rsidP="00682390">
                                    <w:pPr>
                                      <w:jc w:val="right"/>
                                      <w:rPr>
                                        <w:sz w:val="74"/>
                                        <w:szCs w:val="74"/>
                                      </w:rPr>
                                    </w:pPr>
                                  </w:p>
                                  <w:p w14:paraId="43AB31B7" w14:textId="77777777" w:rsidR="00147C8B" w:rsidRDefault="00147C8B"/>
                                  <w:p w14:paraId="199F03BD" w14:textId="77777777" w:rsidR="00147C8B" w:rsidRPr="00812F22" w:rsidRDefault="00147C8B" w:rsidP="00682390">
                                    <w:pPr>
                                      <w:pStyle w:val="BodyText1"/>
                                      <w:jc w:val="right"/>
                                      <w:rPr>
                                        <w:b/>
                                        <w:color w:val="44546A" w:themeColor="text2"/>
                                        <w:sz w:val="36"/>
                                        <w:szCs w:val="36"/>
                                      </w:rPr>
                                    </w:pPr>
                                    <w:r>
                                      <w:rPr>
                                        <w:b/>
                                        <w:color w:val="44546A" w:themeColor="text2"/>
                                        <w:sz w:val="36"/>
                                        <w:szCs w:val="36"/>
                                      </w:rPr>
                                      <w:t>2026</w:t>
                                    </w:r>
                                    <w:r w:rsidRPr="00812F22">
                                      <w:rPr>
                                        <w:b/>
                                        <w:color w:val="44546A" w:themeColor="text2"/>
                                        <w:sz w:val="36"/>
                                        <w:szCs w:val="36"/>
                                      </w:rPr>
                                      <w:t xml:space="preserve">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045F1D5D" w14:textId="77777777" w:rsidR="00147C8B" w:rsidRPr="00A3353C" w:rsidRDefault="00147C8B" w:rsidP="00682390">
                                    <w:pPr>
                                      <w:jc w:val="right"/>
                                      <w:rPr>
                                        <w:sz w:val="74"/>
                                        <w:szCs w:val="74"/>
                                      </w:rPr>
                                    </w:pPr>
                                  </w:p>
                                  <w:p w14:paraId="4FF63900" w14:textId="77777777" w:rsidR="00147C8B" w:rsidRDefault="00147C8B" w:rsidP="00682390">
                                    <w:pPr>
                                      <w:jc w:val="right"/>
                                    </w:pPr>
                                  </w:p>
                                  <w:p w14:paraId="33F58207"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 xml:space="preserve">2025 ԹՎԱԿԱՆԻ </w:t>
                                    </w:r>
                                  </w:p>
                                  <w:p w14:paraId="6C8A15E4" w14:textId="77777777" w:rsidR="00147C8B" w:rsidRPr="00A3353C" w:rsidRDefault="00147C8B" w:rsidP="00682390">
                                    <w:pPr>
                                      <w:jc w:val="right"/>
                                      <w:rPr>
                                        <w:sz w:val="74"/>
                                        <w:szCs w:val="74"/>
                                      </w:rPr>
                                    </w:pPr>
                                  </w:p>
                                  <w:p w14:paraId="0876B362" w14:textId="77777777" w:rsidR="00147C8B" w:rsidRDefault="00147C8B"/>
                                  <w:p w14:paraId="4CCC6B47"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ՈՒՂԵՐՁ</w:t>
                                    </w:r>
                                    <w:r w:rsidRPr="00812F22">
                                      <w:rPr>
                                        <w:b/>
                                        <w:color w:val="44546A" w:themeColor="text2"/>
                                        <w:sz w:val="36"/>
                                        <w:szCs w:val="36"/>
                                        <w:lang w:val="hy-AM"/>
                                      </w:rPr>
                                      <w:t>-ԲԱՑԱՏՐԱԳԻՐ</w:t>
                                    </w: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593C50DE" w14:textId="77777777" w:rsidR="00147C8B" w:rsidRPr="00A3353C" w:rsidRDefault="00147C8B" w:rsidP="00682390">
                                    <w:pPr>
                                      <w:jc w:val="right"/>
                                      <w:rPr>
                                        <w:sz w:val="74"/>
                                        <w:szCs w:val="74"/>
                                      </w:rPr>
                                    </w:pPr>
                                  </w:p>
                                  <w:p w14:paraId="79F738D3" w14:textId="77777777" w:rsidR="00147C8B" w:rsidRDefault="00147C8B" w:rsidP="00682390">
                                    <w:pPr>
                                      <w:jc w:val="right"/>
                                    </w:pPr>
                                  </w:p>
                                  <w:p w14:paraId="1C4BF13D"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 xml:space="preserve">2025 ԹՎԱԿԱՆԻ </w:t>
                                    </w:r>
                                  </w:p>
                                  <w:p w14:paraId="28726AEE" w14:textId="77777777" w:rsidR="00147C8B" w:rsidRPr="00A3353C" w:rsidRDefault="00147C8B" w:rsidP="00682390">
                                    <w:pPr>
                                      <w:jc w:val="right"/>
                                      <w:rPr>
                                        <w:sz w:val="74"/>
                                        <w:szCs w:val="74"/>
                                      </w:rPr>
                                    </w:pPr>
                                  </w:p>
                                  <w:p w14:paraId="487D0806" w14:textId="77777777" w:rsidR="00147C8B" w:rsidRDefault="00147C8B"/>
                                  <w:p w14:paraId="7FA9A6AB"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2A6BDBD1" w14:textId="77777777" w:rsidR="00147C8B" w:rsidRPr="00A3353C" w:rsidRDefault="00147C8B" w:rsidP="00682390">
                                    <w:pPr>
                                      <w:jc w:val="right"/>
                                      <w:rPr>
                                        <w:sz w:val="74"/>
                                        <w:szCs w:val="74"/>
                                      </w:rPr>
                                    </w:pPr>
                                  </w:p>
                                  <w:p w14:paraId="06DCB7C6" w14:textId="77777777" w:rsidR="00147C8B" w:rsidRDefault="00147C8B" w:rsidP="00682390">
                                    <w:pPr>
                                      <w:jc w:val="right"/>
                                    </w:pPr>
                                  </w:p>
                                  <w:p w14:paraId="5C82C80C"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 xml:space="preserve">2025 ԹՎԱԿԱՆԻ </w:t>
                                    </w:r>
                                  </w:p>
                                  <w:p w14:paraId="20415924" w14:textId="77777777" w:rsidR="00147C8B" w:rsidRPr="00A3353C" w:rsidRDefault="00147C8B" w:rsidP="00682390">
                                    <w:pPr>
                                      <w:jc w:val="right"/>
                                      <w:rPr>
                                        <w:sz w:val="74"/>
                                        <w:szCs w:val="74"/>
                                      </w:rPr>
                                    </w:pPr>
                                  </w:p>
                                  <w:p w14:paraId="06057952" w14:textId="77777777" w:rsidR="00147C8B" w:rsidRDefault="00147C8B"/>
                                  <w:p w14:paraId="1B0BFDF5"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ՈՒՂԵՐՁ</w:t>
                                    </w:r>
                                    <w:r w:rsidRPr="00812F22">
                                      <w:rPr>
                                        <w:b/>
                                        <w:color w:val="44546A" w:themeColor="text2"/>
                                        <w:sz w:val="36"/>
                                        <w:szCs w:val="36"/>
                                        <w:lang w:val="hy-AM"/>
                                      </w:rPr>
                                      <w:t>-ԲԱՑԱՏՐԱԳԻՐ</w:t>
                                    </w: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361A5833" w14:textId="77777777" w:rsidR="00147C8B" w:rsidRPr="00A3353C" w:rsidRDefault="00147C8B" w:rsidP="00682390">
                                    <w:pPr>
                                      <w:jc w:val="right"/>
                                      <w:rPr>
                                        <w:sz w:val="74"/>
                                        <w:szCs w:val="74"/>
                                      </w:rPr>
                                    </w:pPr>
                                  </w:p>
                                  <w:p w14:paraId="2BB67F36" w14:textId="77777777" w:rsidR="00147C8B" w:rsidRDefault="00147C8B" w:rsidP="00682390">
                                    <w:pPr>
                                      <w:jc w:val="right"/>
                                    </w:pPr>
                                  </w:p>
                                  <w:p w14:paraId="133AF690"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 xml:space="preserve">2025 ԹՎԱԿԱՆԻ </w:t>
                                    </w:r>
                                  </w:p>
                                  <w:p w14:paraId="5811B1C7" w14:textId="77777777" w:rsidR="00147C8B" w:rsidRPr="00A3353C" w:rsidRDefault="00147C8B" w:rsidP="00682390">
                                    <w:pPr>
                                      <w:jc w:val="right"/>
                                      <w:rPr>
                                        <w:sz w:val="74"/>
                                        <w:szCs w:val="74"/>
                                      </w:rPr>
                                    </w:pPr>
                                  </w:p>
                                  <w:p w14:paraId="39DDF35D" w14:textId="77777777" w:rsidR="00147C8B" w:rsidRDefault="00147C8B"/>
                                  <w:p w14:paraId="12CE08FC" w14:textId="77777777" w:rsidR="00147C8B" w:rsidRPr="00812F22" w:rsidRDefault="00147C8B" w:rsidP="00682390">
                                    <w:pPr>
                                      <w:pStyle w:val="BodyText1"/>
                                      <w:jc w:val="right"/>
                                      <w:rPr>
                                        <w:b/>
                                        <w:color w:val="44546A" w:themeColor="text2"/>
                                        <w:sz w:val="36"/>
                                        <w:szCs w:val="36"/>
                                      </w:rPr>
                                    </w:pPr>
                                    <w:r>
                                      <w:rPr>
                                        <w:b/>
                                        <w:color w:val="44546A" w:themeColor="text2"/>
                                        <w:sz w:val="36"/>
                                        <w:szCs w:val="36"/>
                                      </w:rPr>
                                      <w:t>2026</w:t>
                                    </w:r>
                                    <w:r w:rsidRPr="00812F22">
                                      <w:rPr>
                                        <w:b/>
                                        <w:color w:val="44546A" w:themeColor="text2"/>
                                        <w:sz w:val="36"/>
                                        <w:szCs w:val="36"/>
                                      </w:rPr>
                                      <w:t xml:space="preserve">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053B68FE" w14:textId="77777777" w:rsidR="00147C8B" w:rsidRPr="00A3353C" w:rsidRDefault="00147C8B" w:rsidP="00682390">
                                    <w:pPr>
                                      <w:jc w:val="right"/>
                                      <w:rPr>
                                        <w:sz w:val="74"/>
                                        <w:szCs w:val="74"/>
                                      </w:rPr>
                                    </w:pPr>
                                  </w:p>
                                  <w:p w14:paraId="533789A6" w14:textId="77777777" w:rsidR="00147C8B" w:rsidRDefault="00147C8B" w:rsidP="00682390">
                                    <w:pPr>
                                      <w:jc w:val="right"/>
                                    </w:pPr>
                                  </w:p>
                                  <w:p w14:paraId="14A89A0C"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 xml:space="preserve">2025 ԹՎԱԿԱՆԻ </w:t>
                                    </w:r>
                                  </w:p>
                                  <w:p w14:paraId="232A71B0" w14:textId="77777777" w:rsidR="00147C8B" w:rsidRPr="00A3353C" w:rsidRDefault="00147C8B" w:rsidP="00682390">
                                    <w:pPr>
                                      <w:jc w:val="right"/>
                                      <w:rPr>
                                        <w:sz w:val="74"/>
                                        <w:szCs w:val="74"/>
                                      </w:rPr>
                                    </w:pPr>
                                  </w:p>
                                  <w:p w14:paraId="2E5830AD" w14:textId="77777777" w:rsidR="00147C8B" w:rsidRDefault="00147C8B"/>
                                  <w:p w14:paraId="0850181F"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ՈՒՂԵՐՁ</w:t>
                                    </w:r>
                                    <w:r w:rsidRPr="00812F22">
                                      <w:rPr>
                                        <w:b/>
                                        <w:color w:val="44546A" w:themeColor="text2"/>
                                        <w:sz w:val="36"/>
                                        <w:szCs w:val="36"/>
                                        <w:lang w:val="hy-AM"/>
                                      </w:rPr>
                                      <w:t>-ԲԱՑԱՏՐԱԳԻՐ</w:t>
                                    </w: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03BA0461" w14:textId="77777777" w:rsidR="00147C8B" w:rsidRPr="00A3353C" w:rsidRDefault="00147C8B" w:rsidP="00682390">
                                    <w:pPr>
                                      <w:jc w:val="right"/>
                                      <w:rPr>
                                        <w:sz w:val="74"/>
                                        <w:szCs w:val="74"/>
                                      </w:rPr>
                                    </w:pPr>
                                  </w:p>
                                  <w:p w14:paraId="1246A9AD" w14:textId="77777777" w:rsidR="00147C8B" w:rsidRDefault="00147C8B" w:rsidP="00682390">
                                    <w:pPr>
                                      <w:jc w:val="right"/>
                                    </w:pPr>
                                  </w:p>
                                  <w:p w14:paraId="3BE7FA4F"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 xml:space="preserve">2025 ԹՎԱԿԱՆԻ </w:t>
                                    </w:r>
                                  </w:p>
                                  <w:p w14:paraId="4D7A85D6" w14:textId="77777777" w:rsidR="00147C8B" w:rsidRPr="00A3353C" w:rsidRDefault="00147C8B" w:rsidP="00682390">
                                    <w:pPr>
                                      <w:jc w:val="right"/>
                                      <w:rPr>
                                        <w:sz w:val="74"/>
                                        <w:szCs w:val="74"/>
                                      </w:rPr>
                                    </w:pPr>
                                  </w:p>
                                  <w:p w14:paraId="706D341D" w14:textId="77777777" w:rsidR="00147C8B" w:rsidRDefault="00147C8B"/>
                                  <w:p w14:paraId="2875206B"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3069614B" w14:textId="77777777" w:rsidR="00147C8B" w:rsidRPr="00A3353C" w:rsidRDefault="00147C8B" w:rsidP="00682390">
                                    <w:pPr>
                                      <w:jc w:val="right"/>
                                      <w:rPr>
                                        <w:sz w:val="74"/>
                                        <w:szCs w:val="74"/>
                                      </w:rPr>
                                    </w:pPr>
                                  </w:p>
                                  <w:p w14:paraId="55C64B78" w14:textId="77777777" w:rsidR="00147C8B" w:rsidRDefault="00147C8B" w:rsidP="00682390">
                                    <w:pPr>
                                      <w:jc w:val="right"/>
                                    </w:pPr>
                                  </w:p>
                                  <w:p w14:paraId="334A108A"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 xml:space="preserve">2025 ԹՎԱԿԱՆԻ </w:t>
                                    </w:r>
                                  </w:p>
                                  <w:p w14:paraId="3B693EB9" w14:textId="77777777" w:rsidR="00147C8B" w:rsidRPr="00A3353C" w:rsidRDefault="00147C8B" w:rsidP="00682390">
                                    <w:pPr>
                                      <w:jc w:val="right"/>
                                      <w:rPr>
                                        <w:sz w:val="74"/>
                                        <w:szCs w:val="74"/>
                                      </w:rPr>
                                    </w:pPr>
                                  </w:p>
                                  <w:p w14:paraId="4F9808B6" w14:textId="77777777" w:rsidR="00147C8B" w:rsidRDefault="00147C8B"/>
                                  <w:p w14:paraId="16930F3A"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ՈՒՂԵՐՁ</w:t>
                                    </w:r>
                                    <w:r w:rsidRPr="00812F22">
                                      <w:rPr>
                                        <w:b/>
                                        <w:color w:val="44546A" w:themeColor="text2"/>
                                        <w:sz w:val="36"/>
                                        <w:szCs w:val="36"/>
                                        <w:lang w:val="hy-AM"/>
                                      </w:rPr>
                                      <w:t>-ԲԱՑԱՏՐԱԳԻՐ</w:t>
                                    </w: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22BBE722" w14:textId="77777777" w:rsidR="00147C8B" w:rsidRPr="00A3353C" w:rsidRDefault="00147C8B" w:rsidP="00682390">
                                    <w:pPr>
                                      <w:jc w:val="right"/>
                                      <w:rPr>
                                        <w:sz w:val="74"/>
                                        <w:szCs w:val="74"/>
                                      </w:rPr>
                                    </w:pPr>
                                  </w:p>
                                  <w:p w14:paraId="1D9ECCA2" w14:textId="77777777" w:rsidR="00147C8B" w:rsidRDefault="00147C8B" w:rsidP="00682390">
                                    <w:pPr>
                                      <w:jc w:val="right"/>
                                    </w:pPr>
                                  </w:p>
                                  <w:p w14:paraId="701D2F0D"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 xml:space="preserve">2025 ԹՎԱԿԱՆԻ </w:t>
                                    </w:r>
                                  </w:p>
                                  <w:p w14:paraId="2AA2FB83" w14:textId="77777777" w:rsidR="00147C8B" w:rsidRPr="00A3353C" w:rsidRDefault="00147C8B" w:rsidP="00682390">
                                    <w:pPr>
                                      <w:jc w:val="right"/>
                                      <w:rPr>
                                        <w:sz w:val="74"/>
                                        <w:szCs w:val="74"/>
                                      </w:rPr>
                                    </w:pPr>
                                  </w:p>
                                  <w:p w14:paraId="499798BF" w14:textId="77777777" w:rsidR="00147C8B" w:rsidRDefault="00147C8B"/>
                                  <w:p w14:paraId="57CBAE27" w14:textId="77777777" w:rsidR="00147C8B" w:rsidRPr="00812F22" w:rsidRDefault="00147C8B" w:rsidP="00682390">
                                    <w:pPr>
                                      <w:pStyle w:val="BodyText1"/>
                                      <w:jc w:val="right"/>
                                      <w:rPr>
                                        <w:b/>
                                        <w:color w:val="44546A" w:themeColor="text2"/>
                                        <w:sz w:val="36"/>
                                        <w:szCs w:val="36"/>
                                      </w:rPr>
                                    </w:pPr>
                                    <w:r>
                                      <w:rPr>
                                        <w:b/>
                                        <w:color w:val="44546A" w:themeColor="text2"/>
                                        <w:sz w:val="36"/>
                                        <w:szCs w:val="36"/>
                                      </w:rPr>
                                      <w:t>2026</w:t>
                                    </w:r>
                                    <w:r w:rsidRPr="00812F22">
                                      <w:rPr>
                                        <w:b/>
                                        <w:color w:val="44546A" w:themeColor="text2"/>
                                        <w:sz w:val="36"/>
                                        <w:szCs w:val="36"/>
                                      </w:rPr>
                                      <w:t xml:space="preserve">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3BE4F50C" w14:textId="77777777" w:rsidR="00147C8B" w:rsidRPr="00A3353C" w:rsidRDefault="00147C8B" w:rsidP="00682390">
                                    <w:pPr>
                                      <w:jc w:val="right"/>
                                      <w:rPr>
                                        <w:sz w:val="74"/>
                                        <w:szCs w:val="74"/>
                                      </w:rPr>
                                    </w:pPr>
                                  </w:p>
                                  <w:p w14:paraId="59998FE5" w14:textId="77777777" w:rsidR="00147C8B" w:rsidRDefault="00147C8B" w:rsidP="00682390">
                                    <w:pPr>
                                      <w:jc w:val="right"/>
                                    </w:pPr>
                                  </w:p>
                                  <w:p w14:paraId="7332296B"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 xml:space="preserve">2025 ԹՎԱԿԱՆԻ </w:t>
                                    </w:r>
                                  </w:p>
                                  <w:p w14:paraId="666BD6EB" w14:textId="77777777" w:rsidR="00147C8B" w:rsidRPr="00A3353C" w:rsidRDefault="00147C8B" w:rsidP="00682390">
                                    <w:pPr>
                                      <w:jc w:val="right"/>
                                      <w:rPr>
                                        <w:sz w:val="74"/>
                                        <w:szCs w:val="74"/>
                                      </w:rPr>
                                    </w:pPr>
                                  </w:p>
                                  <w:p w14:paraId="5220E8AF" w14:textId="77777777" w:rsidR="00147C8B" w:rsidRDefault="00147C8B"/>
                                  <w:p w14:paraId="538B7051"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ՈՒՂԵՐՁ</w:t>
                                    </w:r>
                                    <w:r w:rsidRPr="00812F22">
                                      <w:rPr>
                                        <w:b/>
                                        <w:color w:val="44546A" w:themeColor="text2"/>
                                        <w:sz w:val="36"/>
                                        <w:szCs w:val="36"/>
                                        <w:lang w:val="hy-AM"/>
                                      </w:rPr>
                                      <w:t>-ԲԱՑԱՏՐԱԳԻՐ</w:t>
                                    </w: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2760BF19" w14:textId="77777777" w:rsidR="00147C8B" w:rsidRPr="00A3353C" w:rsidRDefault="00147C8B" w:rsidP="00682390">
                                    <w:pPr>
                                      <w:jc w:val="right"/>
                                      <w:rPr>
                                        <w:sz w:val="74"/>
                                        <w:szCs w:val="74"/>
                                      </w:rPr>
                                    </w:pPr>
                                  </w:p>
                                  <w:p w14:paraId="458FFC98" w14:textId="77777777" w:rsidR="00147C8B" w:rsidRDefault="00147C8B" w:rsidP="00682390">
                                    <w:pPr>
                                      <w:jc w:val="right"/>
                                    </w:pPr>
                                  </w:p>
                                  <w:p w14:paraId="3FDA3D3E"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 xml:space="preserve">2025 ԹՎԱԿԱՆԻ </w:t>
                                    </w:r>
                                  </w:p>
                                  <w:p w14:paraId="326C4E30" w14:textId="77777777" w:rsidR="00147C8B" w:rsidRPr="00A3353C" w:rsidRDefault="00147C8B" w:rsidP="00682390">
                                    <w:pPr>
                                      <w:jc w:val="right"/>
                                      <w:rPr>
                                        <w:sz w:val="74"/>
                                        <w:szCs w:val="74"/>
                                      </w:rPr>
                                    </w:pPr>
                                  </w:p>
                                  <w:p w14:paraId="0000590A" w14:textId="77777777" w:rsidR="00147C8B" w:rsidRDefault="00147C8B"/>
                                  <w:p w14:paraId="286480B1"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32A9D8A6" w14:textId="77777777" w:rsidR="00147C8B" w:rsidRPr="00A3353C" w:rsidRDefault="00147C8B" w:rsidP="00682390">
                                    <w:pPr>
                                      <w:jc w:val="right"/>
                                      <w:rPr>
                                        <w:sz w:val="74"/>
                                        <w:szCs w:val="74"/>
                                      </w:rPr>
                                    </w:pPr>
                                  </w:p>
                                  <w:p w14:paraId="38E93178" w14:textId="77777777" w:rsidR="00147C8B" w:rsidRDefault="00147C8B" w:rsidP="00682390">
                                    <w:pPr>
                                      <w:jc w:val="right"/>
                                    </w:pPr>
                                  </w:p>
                                  <w:p w14:paraId="651BA846"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 xml:space="preserve">2025 ԹՎԱԿԱՆԻ </w:t>
                                    </w:r>
                                  </w:p>
                                  <w:p w14:paraId="711383E8" w14:textId="77777777" w:rsidR="00147C8B" w:rsidRPr="00A3353C" w:rsidRDefault="00147C8B" w:rsidP="00682390">
                                    <w:pPr>
                                      <w:jc w:val="right"/>
                                      <w:rPr>
                                        <w:sz w:val="74"/>
                                        <w:szCs w:val="74"/>
                                      </w:rPr>
                                    </w:pPr>
                                  </w:p>
                                  <w:p w14:paraId="14B84C80" w14:textId="77777777" w:rsidR="00147C8B" w:rsidRDefault="00147C8B"/>
                                  <w:p w14:paraId="7D5B8FA8"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ՈՒՂԵՐՁ</w:t>
                                    </w:r>
                                    <w:r w:rsidRPr="00812F22">
                                      <w:rPr>
                                        <w:b/>
                                        <w:color w:val="44546A" w:themeColor="text2"/>
                                        <w:sz w:val="36"/>
                                        <w:szCs w:val="36"/>
                                        <w:lang w:val="hy-AM"/>
                                      </w:rPr>
                                      <w:t>-ԲԱՑԱՏՐԱԳԻՐ</w:t>
                                    </w: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3CA312F9" w14:textId="77777777" w:rsidR="00147C8B" w:rsidRPr="00A3353C" w:rsidRDefault="00147C8B" w:rsidP="00682390">
                                    <w:pPr>
                                      <w:jc w:val="right"/>
                                      <w:rPr>
                                        <w:sz w:val="74"/>
                                        <w:szCs w:val="74"/>
                                      </w:rPr>
                                    </w:pPr>
                                  </w:p>
                                  <w:p w14:paraId="571BA682" w14:textId="77777777" w:rsidR="00147C8B" w:rsidRDefault="00147C8B" w:rsidP="00682390">
                                    <w:pPr>
                                      <w:jc w:val="right"/>
                                    </w:pPr>
                                  </w:p>
                                  <w:p w14:paraId="5ACFB113"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 xml:space="preserve">2025 ԹՎԱԿԱՆԻ </w:t>
                                    </w:r>
                                  </w:p>
                                  <w:p w14:paraId="6CC91CA9" w14:textId="77777777" w:rsidR="00147C8B" w:rsidRPr="00A3353C" w:rsidRDefault="00147C8B" w:rsidP="00682390">
                                    <w:pPr>
                                      <w:jc w:val="right"/>
                                      <w:rPr>
                                        <w:sz w:val="74"/>
                                        <w:szCs w:val="74"/>
                                      </w:rPr>
                                    </w:pPr>
                                  </w:p>
                                  <w:p w14:paraId="7A5D7BC6" w14:textId="77777777" w:rsidR="00147C8B" w:rsidRDefault="00147C8B"/>
                                  <w:p w14:paraId="272C36DD" w14:textId="04C501D5" w:rsidR="00147C8B" w:rsidRPr="00812F22" w:rsidRDefault="00147C8B" w:rsidP="00682390">
                                    <w:pPr>
                                      <w:pStyle w:val="BodyText1"/>
                                      <w:jc w:val="right"/>
                                      <w:rPr>
                                        <w:b/>
                                        <w:color w:val="44546A" w:themeColor="text2"/>
                                        <w:sz w:val="36"/>
                                        <w:szCs w:val="36"/>
                                      </w:rPr>
                                    </w:pPr>
                                    <w:r>
                                      <w:rPr>
                                        <w:b/>
                                        <w:color w:val="44546A" w:themeColor="text2"/>
                                        <w:sz w:val="36"/>
                                        <w:szCs w:val="36"/>
                                      </w:rPr>
                                      <w:t>2026</w:t>
                                    </w:r>
                                    <w:r w:rsidRPr="00812F22">
                                      <w:rPr>
                                        <w:b/>
                                        <w:color w:val="44546A" w:themeColor="text2"/>
                                        <w:sz w:val="36"/>
                                        <w:szCs w:val="36"/>
                                      </w:rPr>
                                      <w:t xml:space="preserve">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664188B6" w14:textId="77777777" w:rsidR="00147C8B" w:rsidRPr="00A3353C" w:rsidRDefault="00147C8B" w:rsidP="00682390">
                                    <w:pPr>
                                      <w:jc w:val="right"/>
                                      <w:rPr>
                                        <w:sz w:val="74"/>
                                        <w:szCs w:val="74"/>
                                      </w:rPr>
                                    </w:pPr>
                                  </w:p>
                                  <w:p w14:paraId="7B269271" w14:textId="77777777" w:rsidR="00147C8B" w:rsidRDefault="00147C8B" w:rsidP="00682390">
                                    <w:pPr>
                                      <w:jc w:val="right"/>
                                    </w:pPr>
                                  </w:p>
                                  <w:p w14:paraId="11CD0193"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 xml:space="preserve">2025 ԹՎԱԿԱՆԻ </w:t>
                                    </w:r>
                                  </w:p>
                                  <w:p w14:paraId="00C21616" w14:textId="77777777" w:rsidR="00147C8B" w:rsidRPr="00A3353C" w:rsidRDefault="00147C8B" w:rsidP="00682390">
                                    <w:pPr>
                                      <w:jc w:val="right"/>
                                      <w:rPr>
                                        <w:sz w:val="74"/>
                                        <w:szCs w:val="74"/>
                                      </w:rPr>
                                    </w:pPr>
                                  </w:p>
                                  <w:p w14:paraId="30D5E784" w14:textId="77777777" w:rsidR="00147C8B" w:rsidRDefault="00147C8B"/>
                                  <w:p w14:paraId="191F7C29"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ՈՒՂԵՐՁ</w:t>
                                    </w:r>
                                    <w:r w:rsidRPr="00812F22">
                                      <w:rPr>
                                        <w:b/>
                                        <w:color w:val="44546A" w:themeColor="text2"/>
                                        <w:sz w:val="36"/>
                                        <w:szCs w:val="36"/>
                                        <w:lang w:val="hy-AM"/>
                                      </w:rPr>
                                      <w:t>-ԲԱՑԱՏՐԱԳԻՐ</w:t>
                                    </w: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67EB01A1" w14:textId="77777777" w:rsidR="00147C8B" w:rsidRPr="00A3353C" w:rsidRDefault="00147C8B" w:rsidP="00682390">
                                    <w:pPr>
                                      <w:jc w:val="right"/>
                                      <w:rPr>
                                        <w:sz w:val="74"/>
                                        <w:szCs w:val="74"/>
                                      </w:rPr>
                                    </w:pPr>
                                  </w:p>
                                  <w:p w14:paraId="3DAA5FAF" w14:textId="77777777" w:rsidR="00147C8B" w:rsidRDefault="00147C8B" w:rsidP="00682390">
                                    <w:pPr>
                                      <w:jc w:val="right"/>
                                    </w:pPr>
                                  </w:p>
                                  <w:p w14:paraId="4C2584CE"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 xml:space="preserve">2025 ԹՎԱԿԱՆԻ </w:t>
                                    </w:r>
                                  </w:p>
                                  <w:p w14:paraId="5664B092" w14:textId="77777777" w:rsidR="00147C8B" w:rsidRPr="00A3353C" w:rsidRDefault="00147C8B" w:rsidP="00682390">
                                    <w:pPr>
                                      <w:jc w:val="right"/>
                                      <w:rPr>
                                        <w:sz w:val="74"/>
                                        <w:szCs w:val="74"/>
                                      </w:rPr>
                                    </w:pPr>
                                  </w:p>
                                  <w:p w14:paraId="6FD6B3CB" w14:textId="77777777" w:rsidR="00147C8B" w:rsidRDefault="00147C8B"/>
                                  <w:p w14:paraId="1ABC5C06"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47230D99" w14:textId="77777777" w:rsidR="00147C8B" w:rsidRPr="00A3353C" w:rsidRDefault="00147C8B" w:rsidP="00682390">
                                    <w:pPr>
                                      <w:jc w:val="right"/>
                                      <w:rPr>
                                        <w:sz w:val="74"/>
                                        <w:szCs w:val="74"/>
                                      </w:rPr>
                                    </w:pPr>
                                  </w:p>
                                  <w:p w14:paraId="26CD81FF" w14:textId="77777777" w:rsidR="00147C8B" w:rsidRDefault="00147C8B" w:rsidP="00682390">
                                    <w:pPr>
                                      <w:jc w:val="right"/>
                                    </w:pPr>
                                  </w:p>
                                  <w:p w14:paraId="3500DE31"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 xml:space="preserve">2025 ԹՎԱԿԱՆԻ </w:t>
                                    </w:r>
                                  </w:p>
                                  <w:p w14:paraId="7D58CD5F" w14:textId="77777777" w:rsidR="00147C8B" w:rsidRPr="00A3353C" w:rsidRDefault="00147C8B" w:rsidP="00682390">
                                    <w:pPr>
                                      <w:jc w:val="right"/>
                                      <w:rPr>
                                        <w:sz w:val="74"/>
                                        <w:szCs w:val="74"/>
                                      </w:rPr>
                                    </w:pPr>
                                  </w:p>
                                  <w:p w14:paraId="52CBB1F7" w14:textId="77777777" w:rsidR="00147C8B" w:rsidRDefault="00147C8B"/>
                                  <w:p w14:paraId="6B7745B1"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ՈՒՂԵՐՁ</w:t>
                                    </w:r>
                                    <w:r w:rsidRPr="00812F22">
                                      <w:rPr>
                                        <w:b/>
                                        <w:color w:val="44546A" w:themeColor="text2"/>
                                        <w:sz w:val="36"/>
                                        <w:szCs w:val="36"/>
                                        <w:lang w:val="hy-AM"/>
                                      </w:rPr>
                                      <w:t>-ԲԱՑԱՏՐԱԳԻՐ</w:t>
                                    </w: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59B985E5" w14:textId="77777777" w:rsidR="00147C8B" w:rsidRPr="00A3353C" w:rsidRDefault="00147C8B" w:rsidP="00682390">
                                    <w:pPr>
                                      <w:jc w:val="right"/>
                                      <w:rPr>
                                        <w:sz w:val="74"/>
                                        <w:szCs w:val="74"/>
                                      </w:rPr>
                                    </w:pPr>
                                  </w:p>
                                  <w:p w14:paraId="3D527FED" w14:textId="77777777" w:rsidR="00147C8B" w:rsidRDefault="00147C8B" w:rsidP="00682390">
                                    <w:pPr>
                                      <w:jc w:val="right"/>
                                    </w:pPr>
                                  </w:p>
                                  <w:p w14:paraId="210289DB"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 xml:space="preserve">2025 ԹՎԱԿԱՆԻ </w:t>
                                    </w:r>
                                  </w:p>
                                  <w:p w14:paraId="796F5977" w14:textId="77777777" w:rsidR="00147C8B" w:rsidRPr="00A3353C" w:rsidRDefault="00147C8B" w:rsidP="00682390">
                                    <w:pPr>
                                      <w:jc w:val="right"/>
                                      <w:rPr>
                                        <w:sz w:val="74"/>
                                        <w:szCs w:val="74"/>
                                      </w:rPr>
                                    </w:pPr>
                                  </w:p>
                                  <w:p w14:paraId="3FC8324D" w14:textId="77777777" w:rsidR="00147C8B" w:rsidRDefault="00147C8B"/>
                                  <w:p w14:paraId="7E3E886A" w14:textId="77777777" w:rsidR="00147C8B" w:rsidRPr="00812F22" w:rsidRDefault="00147C8B" w:rsidP="00682390">
                                    <w:pPr>
                                      <w:pStyle w:val="BodyText1"/>
                                      <w:jc w:val="right"/>
                                      <w:rPr>
                                        <w:b/>
                                        <w:color w:val="44546A" w:themeColor="text2"/>
                                        <w:sz w:val="36"/>
                                        <w:szCs w:val="36"/>
                                      </w:rPr>
                                    </w:pPr>
                                    <w:r>
                                      <w:rPr>
                                        <w:b/>
                                        <w:color w:val="44546A" w:themeColor="text2"/>
                                        <w:sz w:val="36"/>
                                        <w:szCs w:val="36"/>
                                      </w:rPr>
                                      <w:t>2026</w:t>
                                    </w:r>
                                    <w:r w:rsidRPr="00812F22">
                                      <w:rPr>
                                        <w:b/>
                                        <w:color w:val="44546A" w:themeColor="text2"/>
                                        <w:sz w:val="36"/>
                                        <w:szCs w:val="36"/>
                                      </w:rPr>
                                      <w:t xml:space="preserve">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40043F8C" w14:textId="77777777" w:rsidR="00147C8B" w:rsidRPr="00A3353C" w:rsidRDefault="00147C8B" w:rsidP="00682390">
                                    <w:pPr>
                                      <w:jc w:val="right"/>
                                      <w:rPr>
                                        <w:sz w:val="74"/>
                                        <w:szCs w:val="74"/>
                                      </w:rPr>
                                    </w:pPr>
                                  </w:p>
                                  <w:p w14:paraId="7E06AD34" w14:textId="77777777" w:rsidR="00147C8B" w:rsidRDefault="00147C8B" w:rsidP="00682390">
                                    <w:pPr>
                                      <w:jc w:val="right"/>
                                    </w:pPr>
                                  </w:p>
                                  <w:p w14:paraId="612FB1CE"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 xml:space="preserve">2025 ԹՎԱԿԱՆԻ </w:t>
                                    </w:r>
                                  </w:p>
                                  <w:p w14:paraId="7DC506DF" w14:textId="77777777" w:rsidR="00147C8B" w:rsidRPr="00A3353C" w:rsidRDefault="00147C8B" w:rsidP="00682390">
                                    <w:pPr>
                                      <w:jc w:val="right"/>
                                      <w:rPr>
                                        <w:sz w:val="74"/>
                                        <w:szCs w:val="74"/>
                                      </w:rPr>
                                    </w:pPr>
                                  </w:p>
                                  <w:p w14:paraId="0AA58D74" w14:textId="77777777" w:rsidR="00147C8B" w:rsidRDefault="00147C8B"/>
                                  <w:p w14:paraId="0C30591C"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ՈՒՂԵՐՁ</w:t>
                                    </w:r>
                                    <w:r w:rsidRPr="00812F22">
                                      <w:rPr>
                                        <w:b/>
                                        <w:color w:val="44546A" w:themeColor="text2"/>
                                        <w:sz w:val="36"/>
                                        <w:szCs w:val="36"/>
                                        <w:lang w:val="hy-AM"/>
                                      </w:rPr>
                                      <w:t>-ԲԱՑԱՏՐԱԳԻՐ</w:t>
                                    </w: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35D742F7" w14:textId="77777777" w:rsidR="00147C8B" w:rsidRPr="00A3353C" w:rsidRDefault="00147C8B" w:rsidP="00682390">
                                    <w:pPr>
                                      <w:jc w:val="right"/>
                                      <w:rPr>
                                        <w:sz w:val="74"/>
                                        <w:szCs w:val="74"/>
                                      </w:rPr>
                                    </w:pPr>
                                  </w:p>
                                  <w:p w14:paraId="1E30D5A0" w14:textId="77777777" w:rsidR="00147C8B" w:rsidRDefault="00147C8B" w:rsidP="00682390">
                                    <w:pPr>
                                      <w:jc w:val="right"/>
                                    </w:pPr>
                                  </w:p>
                                  <w:p w14:paraId="52801113"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 xml:space="preserve">2025 ԹՎԱԿԱՆԻ </w:t>
                                    </w:r>
                                  </w:p>
                                  <w:p w14:paraId="161BD75A" w14:textId="77777777" w:rsidR="00147C8B" w:rsidRPr="00A3353C" w:rsidRDefault="00147C8B" w:rsidP="00682390">
                                    <w:pPr>
                                      <w:jc w:val="right"/>
                                      <w:rPr>
                                        <w:sz w:val="74"/>
                                        <w:szCs w:val="74"/>
                                      </w:rPr>
                                    </w:pPr>
                                  </w:p>
                                  <w:p w14:paraId="45215C2E" w14:textId="77777777" w:rsidR="00147C8B" w:rsidRDefault="00147C8B"/>
                                  <w:p w14:paraId="2BDA2B4D"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6BBBF399" w14:textId="77777777" w:rsidR="00147C8B" w:rsidRPr="00A3353C" w:rsidRDefault="00147C8B" w:rsidP="00682390">
                                    <w:pPr>
                                      <w:jc w:val="right"/>
                                      <w:rPr>
                                        <w:sz w:val="74"/>
                                        <w:szCs w:val="74"/>
                                      </w:rPr>
                                    </w:pPr>
                                  </w:p>
                                  <w:p w14:paraId="247D317D" w14:textId="77777777" w:rsidR="00147C8B" w:rsidRDefault="00147C8B" w:rsidP="00682390">
                                    <w:pPr>
                                      <w:jc w:val="right"/>
                                    </w:pPr>
                                  </w:p>
                                  <w:p w14:paraId="71E05A74"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 xml:space="preserve">2025 ԹՎԱԿԱՆԻ </w:t>
                                    </w:r>
                                  </w:p>
                                  <w:p w14:paraId="46FB105F" w14:textId="77777777" w:rsidR="00147C8B" w:rsidRPr="00A3353C" w:rsidRDefault="00147C8B" w:rsidP="00682390">
                                    <w:pPr>
                                      <w:jc w:val="right"/>
                                      <w:rPr>
                                        <w:sz w:val="74"/>
                                        <w:szCs w:val="74"/>
                                      </w:rPr>
                                    </w:pPr>
                                  </w:p>
                                  <w:p w14:paraId="28AFECA5" w14:textId="77777777" w:rsidR="00147C8B" w:rsidRDefault="00147C8B"/>
                                  <w:p w14:paraId="00165182"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ՈՒՂԵՐՁ</w:t>
                                    </w:r>
                                    <w:r w:rsidRPr="00812F22">
                                      <w:rPr>
                                        <w:b/>
                                        <w:color w:val="44546A" w:themeColor="text2"/>
                                        <w:sz w:val="36"/>
                                        <w:szCs w:val="36"/>
                                        <w:lang w:val="hy-AM"/>
                                      </w:rPr>
                                      <w:t>-ԲԱՑԱՏՐԱԳԻՐ</w:t>
                                    </w: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73419A5A" w14:textId="77777777" w:rsidR="00147C8B" w:rsidRPr="00A3353C" w:rsidRDefault="00147C8B" w:rsidP="00682390">
                                    <w:pPr>
                                      <w:jc w:val="right"/>
                                      <w:rPr>
                                        <w:sz w:val="74"/>
                                        <w:szCs w:val="74"/>
                                      </w:rPr>
                                    </w:pPr>
                                  </w:p>
                                  <w:p w14:paraId="36CB5C65" w14:textId="77777777" w:rsidR="00147C8B" w:rsidRDefault="00147C8B" w:rsidP="00682390">
                                    <w:pPr>
                                      <w:jc w:val="right"/>
                                    </w:pPr>
                                  </w:p>
                                  <w:p w14:paraId="32A44CF5"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 xml:space="preserve">2025 ԹՎԱԿԱՆԻ </w:t>
                                    </w:r>
                                  </w:p>
                                  <w:p w14:paraId="64292AAB" w14:textId="77777777" w:rsidR="00147C8B" w:rsidRPr="00A3353C" w:rsidRDefault="00147C8B" w:rsidP="00682390">
                                    <w:pPr>
                                      <w:jc w:val="right"/>
                                      <w:rPr>
                                        <w:sz w:val="74"/>
                                        <w:szCs w:val="74"/>
                                      </w:rPr>
                                    </w:pPr>
                                  </w:p>
                                  <w:p w14:paraId="1A56CFE5" w14:textId="77777777" w:rsidR="00147C8B" w:rsidRDefault="00147C8B"/>
                                  <w:p w14:paraId="1E6E39B0" w14:textId="04C501D5" w:rsidR="00147C8B" w:rsidRPr="00812F22" w:rsidRDefault="00147C8B" w:rsidP="00682390">
                                    <w:pPr>
                                      <w:pStyle w:val="BodyText1"/>
                                      <w:jc w:val="right"/>
                                      <w:rPr>
                                        <w:b/>
                                        <w:color w:val="44546A" w:themeColor="text2"/>
                                        <w:sz w:val="36"/>
                                        <w:szCs w:val="36"/>
                                      </w:rPr>
                                    </w:pPr>
                                    <w:r>
                                      <w:rPr>
                                        <w:b/>
                                        <w:color w:val="44546A" w:themeColor="text2"/>
                                        <w:sz w:val="36"/>
                                        <w:szCs w:val="36"/>
                                      </w:rPr>
                                      <w:t>2026</w:t>
                                    </w:r>
                                    <w:r w:rsidRPr="00812F22">
                                      <w:rPr>
                                        <w:b/>
                                        <w:color w:val="44546A" w:themeColor="text2"/>
                                        <w:sz w:val="36"/>
                                        <w:szCs w:val="36"/>
                                      </w:rPr>
                                      <w:t xml:space="preserve">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05A7D05C" w14:textId="77777777" w:rsidR="00147C8B" w:rsidRPr="00A3353C" w:rsidRDefault="00147C8B" w:rsidP="00682390">
                                    <w:pPr>
                                      <w:jc w:val="right"/>
                                      <w:rPr>
                                        <w:sz w:val="74"/>
                                        <w:szCs w:val="74"/>
                                      </w:rPr>
                                    </w:pPr>
                                  </w:p>
                                  <w:p w14:paraId="11F10E79" w14:textId="77777777" w:rsidR="00147C8B" w:rsidRDefault="00147C8B" w:rsidP="00682390">
                                    <w:pPr>
                                      <w:jc w:val="right"/>
                                    </w:pPr>
                                  </w:p>
                                  <w:p w14:paraId="67C50282"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 xml:space="preserve">2025 ԹՎԱԿԱՆԻ </w:t>
                                    </w:r>
                                  </w:p>
                                  <w:p w14:paraId="0BFE2B2B" w14:textId="77777777" w:rsidR="00147C8B" w:rsidRPr="00A3353C" w:rsidRDefault="00147C8B" w:rsidP="00682390">
                                    <w:pPr>
                                      <w:jc w:val="right"/>
                                      <w:rPr>
                                        <w:sz w:val="74"/>
                                        <w:szCs w:val="74"/>
                                      </w:rPr>
                                    </w:pPr>
                                  </w:p>
                                  <w:p w14:paraId="30CAC05A" w14:textId="77777777" w:rsidR="00147C8B" w:rsidRDefault="00147C8B"/>
                                  <w:p w14:paraId="6D420B38"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ՈՒՂԵՐՁ</w:t>
                                    </w:r>
                                    <w:r w:rsidRPr="00812F22">
                                      <w:rPr>
                                        <w:b/>
                                        <w:color w:val="44546A" w:themeColor="text2"/>
                                        <w:sz w:val="36"/>
                                        <w:szCs w:val="36"/>
                                        <w:lang w:val="hy-AM"/>
                                      </w:rPr>
                                      <w:t>-ԲԱՑԱՏՐԱԳԻՐ</w:t>
                                    </w: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19B54AF9" w14:textId="77777777" w:rsidR="00147C8B" w:rsidRPr="00A3353C" w:rsidRDefault="00147C8B" w:rsidP="00682390">
                                    <w:pPr>
                                      <w:jc w:val="right"/>
                                      <w:rPr>
                                        <w:sz w:val="74"/>
                                        <w:szCs w:val="74"/>
                                      </w:rPr>
                                    </w:pPr>
                                  </w:p>
                                  <w:p w14:paraId="5B09EE06" w14:textId="77777777" w:rsidR="00147C8B" w:rsidRDefault="00147C8B" w:rsidP="00682390">
                                    <w:pPr>
                                      <w:jc w:val="right"/>
                                    </w:pPr>
                                  </w:p>
                                  <w:p w14:paraId="26FD4588"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 xml:space="preserve">2025 ԹՎԱԿԱՆԻ </w:t>
                                    </w:r>
                                  </w:p>
                                  <w:p w14:paraId="5D6134B7" w14:textId="77777777" w:rsidR="00147C8B" w:rsidRPr="00A3353C" w:rsidRDefault="00147C8B" w:rsidP="00682390">
                                    <w:pPr>
                                      <w:jc w:val="right"/>
                                      <w:rPr>
                                        <w:sz w:val="74"/>
                                        <w:szCs w:val="74"/>
                                      </w:rPr>
                                    </w:pPr>
                                  </w:p>
                                  <w:p w14:paraId="7530472A" w14:textId="77777777" w:rsidR="00147C8B" w:rsidRDefault="00147C8B"/>
                                  <w:p w14:paraId="58270BAB"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6CF7913C" w14:textId="77777777" w:rsidR="00147C8B" w:rsidRPr="00A3353C" w:rsidRDefault="00147C8B" w:rsidP="00682390">
                                    <w:pPr>
                                      <w:jc w:val="right"/>
                                      <w:rPr>
                                        <w:sz w:val="74"/>
                                        <w:szCs w:val="74"/>
                                      </w:rPr>
                                    </w:pPr>
                                  </w:p>
                                  <w:p w14:paraId="708B9D23" w14:textId="77777777" w:rsidR="00147C8B" w:rsidRDefault="00147C8B" w:rsidP="00682390">
                                    <w:pPr>
                                      <w:jc w:val="right"/>
                                    </w:pPr>
                                  </w:p>
                                  <w:p w14:paraId="371828BF"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 xml:space="preserve">2025 ԹՎԱԿԱՆԻ </w:t>
                                    </w:r>
                                  </w:p>
                                  <w:p w14:paraId="34E009EB" w14:textId="77777777" w:rsidR="00147C8B" w:rsidRPr="00A3353C" w:rsidRDefault="00147C8B" w:rsidP="00682390">
                                    <w:pPr>
                                      <w:jc w:val="right"/>
                                      <w:rPr>
                                        <w:sz w:val="74"/>
                                        <w:szCs w:val="74"/>
                                      </w:rPr>
                                    </w:pPr>
                                  </w:p>
                                  <w:p w14:paraId="11E950BE" w14:textId="77777777" w:rsidR="00147C8B" w:rsidRDefault="00147C8B"/>
                                  <w:p w14:paraId="3ECB50BB"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ՈՒՂԵՐՁ</w:t>
                                    </w:r>
                                    <w:r w:rsidRPr="00812F22">
                                      <w:rPr>
                                        <w:b/>
                                        <w:color w:val="44546A" w:themeColor="text2"/>
                                        <w:sz w:val="36"/>
                                        <w:szCs w:val="36"/>
                                        <w:lang w:val="hy-AM"/>
                                      </w:rPr>
                                      <w:t>-ԲԱՑԱՏՐԱԳԻՐ</w:t>
                                    </w: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18E4E942" w14:textId="77777777" w:rsidR="00147C8B" w:rsidRPr="00A3353C" w:rsidRDefault="00147C8B" w:rsidP="00682390">
                                    <w:pPr>
                                      <w:jc w:val="right"/>
                                      <w:rPr>
                                        <w:sz w:val="74"/>
                                        <w:szCs w:val="74"/>
                                      </w:rPr>
                                    </w:pPr>
                                  </w:p>
                                  <w:p w14:paraId="20D53BDB" w14:textId="77777777" w:rsidR="00147C8B" w:rsidRDefault="00147C8B" w:rsidP="00682390">
                                    <w:pPr>
                                      <w:jc w:val="right"/>
                                    </w:pPr>
                                  </w:p>
                                  <w:p w14:paraId="2F6600D9"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 xml:space="preserve">2025 ԹՎԱԿԱՆԻ </w:t>
                                    </w:r>
                                  </w:p>
                                  <w:p w14:paraId="773B58D3" w14:textId="77777777" w:rsidR="00147C8B" w:rsidRPr="00A3353C" w:rsidRDefault="00147C8B" w:rsidP="00682390">
                                    <w:pPr>
                                      <w:jc w:val="right"/>
                                      <w:rPr>
                                        <w:sz w:val="74"/>
                                        <w:szCs w:val="74"/>
                                      </w:rPr>
                                    </w:pPr>
                                  </w:p>
                                  <w:p w14:paraId="3ACB883F" w14:textId="77777777" w:rsidR="00147C8B" w:rsidRDefault="00147C8B"/>
                                  <w:p w14:paraId="3BF11513" w14:textId="04C501D5" w:rsidR="00147C8B" w:rsidRPr="00812F22" w:rsidRDefault="00147C8B" w:rsidP="00682390">
                                    <w:pPr>
                                      <w:pStyle w:val="BodyText1"/>
                                      <w:jc w:val="right"/>
                                      <w:rPr>
                                        <w:b/>
                                        <w:color w:val="44546A" w:themeColor="text2"/>
                                        <w:sz w:val="36"/>
                                        <w:szCs w:val="36"/>
                                      </w:rPr>
                                    </w:pPr>
                                    <w:r>
                                      <w:rPr>
                                        <w:b/>
                                        <w:color w:val="44546A" w:themeColor="text2"/>
                                        <w:sz w:val="36"/>
                                        <w:szCs w:val="36"/>
                                      </w:rPr>
                                      <w:t>2026</w:t>
                                    </w:r>
                                    <w:r w:rsidRPr="00812F22">
                                      <w:rPr>
                                        <w:b/>
                                        <w:color w:val="44546A" w:themeColor="text2"/>
                                        <w:sz w:val="36"/>
                                        <w:szCs w:val="36"/>
                                      </w:rPr>
                                      <w:t xml:space="preserve">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2AC25804" w14:textId="77777777" w:rsidR="00147C8B" w:rsidRPr="00A3353C" w:rsidRDefault="00147C8B" w:rsidP="00682390">
                                    <w:pPr>
                                      <w:jc w:val="right"/>
                                      <w:rPr>
                                        <w:sz w:val="74"/>
                                        <w:szCs w:val="74"/>
                                      </w:rPr>
                                    </w:pPr>
                                  </w:p>
                                  <w:p w14:paraId="7CB74A52" w14:textId="77777777" w:rsidR="00147C8B" w:rsidRDefault="00147C8B" w:rsidP="00682390">
                                    <w:pPr>
                                      <w:jc w:val="right"/>
                                    </w:pPr>
                                  </w:p>
                                  <w:p w14:paraId="1EAB26D3"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 xml:space="preserve">2025 ԹՎԱԿԱՆԻ </w:t>
                                    </w:r>
                                  </w:p>
                                  <w:p w14:paraId="26FD2A05" w14:textId="77777777" w:rsidR="00147C8B" w:rsidRPr="00A3353C" w:rsidRDefault="00147C8B" w:rsidP="00682390">
                                    <w:pPr>
                                      <w:jc w:val="right"/>
                                      <w:rPr>
                                        <w:sz w:val="74"/>
                                        <w:szCs w:val="74"/>
                                      </w:rPr>
                                    </w:pPr>
                                  </w:p>
                                  <w:p w14:paraId="5941D296" w14:textId="77777777" w:rsidR="00147C8B" w:rsidRDefault="00147C8B"/>
                                  <w:p w14:paraId="4D38BD5A"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ՈՒՂԵՐՁ</w:t>
                                    </w:r>
                                    <w:r w:rsidRPr="00812F22">
                                      <w:rPr>
                                        <w:b/>
                                        <w:color w:val="44546A" w:themeColor="text2"/>
                                        <w:sz w:val="36"/>
                                        <w:szCs w:val="36"/>
                                        <w:lang w:val="hy-AM"/>
                                      </w:rPr>
                                      <w:t>-ԲԱՑԱՏՐԱԳԻՐ</w:t>
                                    </w: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14C4FF03" w14:textId="77777777" w:rsidR="00147C8B" w:rsidRPr="00A3353C" w:rsidRDefault="00147C8B" w:rsidP="00682390">
                                    <w:pPr>
                                      <w:jc w:val="right"/>
                                      <w:rPr>
                                        <w:sz w:val="74"/>
                                        <w:szCs w:val="74"/>
                                      </w:rPr>
                                    </w:pPr>
                                  </w:p>
                                  <w:p w14:paraId="6477DD58" w14:textId="77777777" w:rsidR="00147C8B" w:rsidRDefault="00147C8B" w:rsidP="00682390">
                                    <w:pPr>
                                      <w:jc w:val="right"/>
                                    </w:pPr>
                                  </w:p>
                                  <w:p w14:paraId="65736F34"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 xml:space="preserve">2025 ԹՎԱԿԱՆԻ </w:t>
                                    </w:r>
                                  </w:p>
                                  <w:p w14:paraId="187E0FDC" w14:textId="77777777" w:rsidR="00147C8B" w:rsidRPr="00A3353C" w:rsidRDefault="00147C8B" w:rsidP="00682390">
                                    <w:pPr>
                                      <w:jc w:val="right"/>
                                      <w:rPr>
                                        <w:sz w:val="74"/>
                                        <w:szCs w:val="74"/>
                                      </w:rPr>
                                    </w:pPr>
                                  </w:p>
                                  <w:p w14:paraId="373328F7" w14:textId="77777777" w:rsidR="00147C8B" w:rsidRDefault="00147C8B"/>
                                  <w:p w14:paraId="35F490D4"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0264D875" w14:textId="77777777" w:rsidR="00147C8B" w:rsidRPr="00A3353C" w:rsidRDefault="00147C8B" w:rsidP="00682390">
                                    <w:pPr>
                                      <w:jc w:val="right"/>
                                      <w:rPr>
                                        <w:sz w:val="74"/>
                                        <w:szCs w:val="74"/>
                                      </w:rPr>
                                    </w:pPr>
                                  </w:p>
                                  <w:p w14:paraId="71D09FE5" w14:textId="77777777" w:rsidR="00147C8B" w:rsidRDefault="00147C8B" w:rsidP="00682390">
                                    <w:pPr>
                                      <w:jc w:val="right"/>
                                    </w:pPr>
                                  </w:p>
                                  <w:p w14:paraId="6B931884"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 xml:space="preserve">2025 ԹՎԱԿԱՆԻ </w:t>
                                    </w:r>
                                  </w:p>
                                  <w:p w14:paraId="05206855" w14:textId="77777777" w:rsidR="00147C8B" w:rsidRPr="00A3353C" w:rsidRDefault="00147C8B" w:rsidP="00682390">
                                    <w:pPr>
                                      <w:jc w:val="right"/>
                                      <w:rPr>
                                        <w:sz w:val="74"/>
                                        <w:szCs w:val="74"/>
                                      </w:rPr>
                                    </w:pPr>
                                  </w:p>
                                  <w:p w14:paraId="474F3967" w14:textId="77777777" w:rsidR="00147C8B" w:rsidRDefault="00147C8B"/>
                                  <w:p w14:paraId="56E4654B" w14:textId="445C12A8"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ՈՒՂԵՐՁ</w:t>
                                    </w:r>
                                    <w:r w:rsidRPr="00812F22">
                                      <w:rPr>
                                        <w:b/>
                                        <w:color w:val="44546A" w:themeColor="text2"/>
                                        <w:sz w:val="36"/>
                                        <w:szCs w:val="36"/>
                                        <w:lang w:val="hy-AM"/>
                                      </w:rPr>
                                      <w:t>-ԲԱՑԱՏՐԱԳԻՐ</w:t>
                                    </w: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130ED74C" w14:textId="77777777" w:rsidR="00147C8B" w:rsidRPr="00A3353C" w:rsidRDefault="00147C8B" w:rsidP="00682390">
                                    <w:pPr>
                                      <w:jc w:val="right"/>
                                      <w:rPr>
                                        <w:sz w:val="74"/>
                                        <w:szCs w:val="74"/>
                                      </w:rPr>
                                    </w:pPr>
                                  </w:p>
                                  <w:p w14:paraId="3B664B69" w14:textId="77777777" w:rsidR="00147C8B" w:rsidRDefault="00147C8B" w:rsidP="00682390">
                                    <w:pPr>
                                      <w:jc w:val="right"/>
                                    </w:pPr>
                                  </w:p>
                                  <w:p w14:paraId="21F09C38"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2025 ԹՎԱԿԱՆԻ</w:t>
                                    </w:r>
                                    <w:bookmarkEnd w:id="1"/>
                                    <w:r w:rsidRPr="00682390">
                                      <w:rPr>
                                        <w:b/>
                                        <w:color w:val="44546A" w:themeColor="text2"/>
                                        <w:sz w:val="70"/>
                                        <w:szCs w:val="70"/>
                                      </w:rPr>
                                      <w:t xml:space="preserve"> </w:t>
                                    </w:r>
                                  </w:p>
                                  <w:p w14:paraId="26A5D20F" w14:textId="77777777" w:rsidR="00147C8B" w:rsidRPr="00A3353C" w:rsidRDefault="00147C8B" w:rsidP="00682390">
                                    <w:pPr>
                                      <w:jc w:val="right"/>
                                      <w:rPr>
                                        <w:sz w:val="74"/>
                                        <w:szCs w:val="7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D0A678E" id="_x0000_t202" coordsize="21600,21600" o:spt="202" path="m,l,21600r21600,l21600,xe">
                        <v:stroke joinstyle="miter"/>
                        <v:path gradientshapeok="t" o:connecttype="rect"/>
                      </v:shapetype>
                      <v:shape id="Text Box 16120836" o:spid="_x0000_s1028" type="#_x0000_t202" style="position:absolute;left:0;text-align:left;margin-left:-.75pt;margin-top:286.75pt;width:517.5pt;height:1in;z-index:2517544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" filled="f" stroked="f" strokeweight=".5pt">
                        <v:textbox>
                          <w:txbxContent>
                            <w:p w14:paraId="5E0C7E47" w14:textId="7C93BD36" w:rsidR="00147C8B" w:rsidRPr="00812F22" w:rsidRDefault="00147C8B" w:rsidP="00682390">
                              <w:pPr>
                                <w:pStyle w:val="BodyText1"/>
                                <w:jc w:val="right"/>
                                <w:rPr>
                                  <w:b/>
                                  <w:color w:val="44546A" w:themeColor="text2"/>
                                  <w:sz w:val="36"/>
                                  <w:szCs w:val="36"/>
                                </w:rPr>
                              </w:pPr>
                              <w:bookmarkStart w:id="3" w:name="_Toc178604090"/>
                              <w:r>
                                <w:rPr>
                                  <w:b/>
                                  <w:color w:val="44546A" w:themeColor="text2"/>
                                  <w:sz w:val="36"/>
                                  <w:szCs w:val="36"/>
                                </w:rPr>
                                <w:t>2026</w:t>
                              </w:r>
                              <w:r w:rsidRPr="00812F22">
                                <w:rPr>
                                  <w:b/>
                                  <w:color w:val="44546A" w:themeColor="text2"/>
                                  <w:sz w:val="36"/>
                                  <w:szCs w:val="36"/>
                                </w:rPr>
                                <w:t xml:space="preserve">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205557A4" w14:textId="77777777" w:rsidR="00147C8B" w:rsidRPr="00A3353C" w:rsidRDefault="00147C8B" w:rsidP="00682390">
                              <w:pPr>
                                <w:jc w:val="right"/>
                                <w:rPr>
                                  <w:sz w:val="74"/>
                                  <w:szCs w:val="74"/>
                                </w:rPr>
                              </w:pPr>
                            </w:p>
                            <w:p w14:paraId="050FECFF" w14:textId="77777777" w:rsidR="00147C8B" w:rsidRDefault="00147C8B" w:rsidP="00682390">
                              <w:pPr>
                                <w:jc w:val="right"/>
                              </w:pPr>
                            </w:p>
                            <w:p w14:paraId="4F03B1E0"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 xml:space="preserve">2025 ԹՎԱԿԱՆԻ </w:t>
                              </w:r>
                            </w:p>
                            <w:p w14:paraId="5BCBC3E7" w14:textId="77777777" w:rsidR="00147C8B" w:rsidRPr="00A3353C" w:rsidRDefault="00147C8B" w:rsidP="00682390">
                              <w:pPr>
                                <w:jc w:val="right"/>
                                <w:rPr>
                                  <w:sz w:val="74"/>
                                  <w:szCs w:val="74"/>
                                </w:rPr>
                              </w:pPr>
                            </w:p>
                            <w:p w14:paraId="3327537B" w14:textId="77777777" w:rsidR="00147C8B" w:rsidRDefault="00147C8B"/>
                            <w:p w14:paraId="06BA5201"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ՈՒՂԵՐՁ</w:t>
                              </w:r>
                              <w:r w:rsidRPr="00812F22">
                                <w:rPr>
                                  <w:b/>
                                  <w:color w:val="44546A" w:themeColor="text2"/>
                                  <w:sz w:val="36"/>
                                  <w:szCs w:val="36"/>
                                  <w:lang w:val="hy-AM"/>
                                </w:rPr>
                                <w:t>-ԲԱՑԱՏՐԱԳԻՐ</w:t>
                              </w: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34E8AC4F" w14:textId="77777777" w:rsidR="00147C8B" w:rsidRPr="00A3353C" w:rsidRDefault="00147C8B" w:rsidP="00682390">
                              <w:pPr>
                                <w:jc w:val="right"/>
                                <w:rPr>
                                  <w:sz w:val="74"/>
                                  <w:szCs w:val="74"/>
                                </w:rPr>
                              </w:pPr>
                            </w:p>
                            <w:p w14:paraId="5D271229" w14:textId="77777777" w:rsidR="00147C8B" w:rsidRDefault="00147C8B" w:rsidP="00682390">
                              <w:pPr>
                                <w:jc w:val="right"/>
                              </w:pPr>
                            </w:p>
                            <w:p w14:paraId="3EF0A954"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 xml:space="preserve">2025 ԹՎԱԿԱՆԻ </w:t>
                              </w:r>
                            </w:p>
                            <w:p w14:paraId="319CCDB7" w14:textId="77777777" w:rsidR="00147C8B" w:rsidRPr="00A3353C" w:rsidRDefault="00147C8B" w:rsidP="00682390">
                              <w:pPr>
                                <w:jc w:val="right"/>
                                <w:rPr>
                                  <w:sz w:val="74"/>
                                  <w:szCs w:val="74"/>
                                </w:rPr>
                              </w:pPr>
                            </w:p>
                            <w:p w14:paraId="678CA2EB" w14:textId="77777777" w:rsidR="00147C8B" w:rsidRDefault="00147C8B"/>
                            <w:p w14:paraId="19530F7A"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228589B3" w14:textId="77777777" w:rsidR="00147C8B" w:rsidRPr="00A3353C" w:rsidRDefault="00147C8B" w:rsidP="00682390">
                              <w:pPr>
                                <w:jc w:val="right"/>
                                <w:rPr>
                                  <w:sz w:val="74"/>
                                  <w:szCs w:val="74"/>
                                </w:rPr>
                              </w:pPr>
                            </w:p>
                            <w:p w14:paraId="78004B5A" w14:textId="77777777" w:rsidR="00147C8B" w:rsidRDefault="00147C8B" w:rsidP="00682390">
                              <w:pPr>
                                <w:jc w:val="right"/>
                              </w:pPr>
                            </w:p>
                            <w:p w14:paraId="3E57A5CB"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 xml:space="preserve">2025 ԹՎԱԿԱՆԻ </w:t>
                              </w:r>
                            </w:p>
                            <w:p w14:paraId="43803E61" w14:textId="77777777" w:rsidR="00147C8B" w:rsidRPr="00A3353C" w:rsidRDefault="00147C8B" w:rsidP="00682390">
                              <w:pPr>
                                <w:jc w:val="right"/>
                                <w:rPr>
                                  <w:sz w:val="74"/>
                                  <w:szCs w:val="74"/>
                                </w:rPr>
                              </w:pPr>
                            </w:p>
                            <w:p w14:paraId="29E5DCB7" w14:textId="77777777" w:rsidR="00147C8B" w:rsidRDefault="00147C8B"/>
                            <w:p w14:paraId="72512B46"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ՈՒՂԵՐՁ</w:t>
                              </w:r>
                              <w:r w:rsidRPr="00812F22">
                                <w:rPr>
                                  <w:b/>
                                  <w:color w:val="44546A" w:themeColor="text2"/>
                                  <w:sz w:val="36"/>
                                  <w:szCs w:val="36"/>
                                  <w:lang w:val="hy-AM"/>
                                </w:rPr>
                                <w:t>-ԲԱՑԱՏՐԱԳԻՐ</w:t>
                              </w: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2EF6119E" w14:textId="77777777" w:rsidR="00147C8B" w:rsidRPr="00A3353C" w:rsidRDefault="00147C8B" w:rsidP="00682390">
                              <w:pPr>
                                <w:jc w:val="right"/>
                                <w:rPr>
                                  <w:sz w:val="74"/>
                                  <w:szCs w:val="74"/>
                                </w:rPr>
                              </w:pPr>
                            </w:p>
                            <w:p w14:paraId="310EB789" w14:textId="77777777" w:rsidR="00147C8B" w:rsidRDefault="00147C8B" w:rsidP="00682390">
                              <w:pPr>
                                <w:jc w:val="right"/>
                              </w:pPr>
                            </w:p>
                            <w:p w14:paraId="1CA3D425"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 xml:space="preserve">2025 ԹՎԱԿԱՆԻ </w:t>
                              </w:r>
                            </w:p>
                            <w:p w14:paraId="540E4CF5" w14:textId="77777777" w:rsidR="00147C8B" w:rsidRPr="00A3353C" w:rsidRDefault="00147C8B" w:rsidP="00682390">
                              <w:pPr>
                                <w:jc w:val="right"/>
                                <w:rPr>
                                  <w:sz w:val="74"/>
                                  <w:szCs w:val="74"/>
                                </w:rPr>
                              </w:pPr>
                            </w:p>
                            <w:p w14:paraId="43AB31B7" w14:textId="77777777" w:rsidR="00147C8B" w:rsidRDefault="00147C8B"/>
                            <w:p w14:paraId="199F03BD" w14:textId="77777777" w:rsidR="00147C8B" w:rsidRPr="00812F22" w:rsidRDefault="00147C8B" w:rsidP="00682390">
                              <w:pPr>
                                <w:pStyle w:val="BodyText1"/>
                                <w:jc w:val="right"/>
                                <w:rPr>
                                  <w:b/>
                                  <w:color w:val="44546A" w:themeColor="text2"/>
                                  <w:sz w:val="36"/>
                                  <w:szCs w:val="36"/>
                                </w:rPr>
                              </w:pPr>
                              <w:r>
                                <w:rPr>
                                  <w:b/>
                                  <w:color w:val="44546A" w:themeColor="text2"/>
                                  <w:sz w:val="36"/>
                                  <w:szCs w:val="36"/>
                                </w:rPr>
                                <w:t>2026</w:t>
                              </w:r>
                              <w:r w:rsidRPr="00812F22">
                                <w:rPr>
                                  <w:b/>
                                  <w:color w:val="44546A" w:themeColor="text2"/>
                                  <w:sz w:val="36"/>
                                  <w:szCs w:val="36"/>
                                </w:rPr>
                                <w:t xml:space="preserve">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045F1D5D" w14:textId="77777777" w:rsidR="00147C8B" w:rsidRPr="00A3353C" w:rsidRDefault="00147C8B" w:rsidP="00682390">
                              <w:pPr>
                                <w:jc w:val="right"/>
                                <w:rPr>
                                  <w:sz w:val="74"/>
                                  <w:szCs w:val="74"/>
                                </w:rPr>
                              </w:pPr>
                            </w:p>
                            <w:p w14:paraId="4FF63900" w14:textId="77777777" w:rsidR="00147C8B" w:rsidRDefault="00147C8B" w:rsidP="00682390">
                              <w:pPr>
                                <w:jc w:val="right"/>
                              </w:pPr>
                            </w:p>
                            <w:p w14:paraId="33F58207"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 xml:space="preserve">2025 ԹՎԱԿԱՆԻ </w:t>
                              </w:r>
                            </w:p>
                            <w:p w14:paraId="6C8A15E4" w14:textId="77777777" w:rsidR="00147C8B" w:rsidRPr="00A3353C" w:rsidRDefault="00147C8B" w:rsidP="00682390">
                              <w:pPr>
                                <w:jc w:val="right"/>
                                <w:rPr>
                                  <w:sz w:val="74"/>
                                  <w:szCs w:val="74"/>
                                </w:rPr>
                              </w:pPr>
                            </w:p>
                            <w:p w14:paraId="0876B362" w14:textId="77777777" w:rsidR="00147C8B" w:rsidRDefault="00147C8B"/>
                            <w:p w14:paraId="4CCC6B47"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ՈՒՂԵՐՁ</w:t>
                              </w:r>
                              <w:r w:rsidRPr="00812F22">
                                <w:rPr>
                                  <w:b/>
                                  <w:color w:val="44546A" w:themeColor="text2"/>
                                  <w:sz w:val="36"/>
                                  <w:szCs w:val="36"/>
                                  <w:lang w:val="hy-AM"/>
                                </w:rPr>
                                <w:t>-ԲԱՑԱՏՐԱԳԻՐ</w:t>
                              </w: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593C50DE" w14:textId="77777777" w:rsidR="00147C8B" w:rsidRPr="00A3353C" w:rsidRDefault="00147C8B" w:rsidP="00682390">
                              <w:pPr>
                                <w:jc w:val="right"/>
                                <w:rPr>
                                  <w:sz w:val="74"/>
                                  <w:szCs w:val="74"/>
                                </w:rPr>
                              </w:pPr>
                            </w:p>
                            <w:p w14:paraId="79F738D3" w14:textId="77777777" w:rsidR="00147C8B" w:rsidRDefault="00147C8B" w:rsidP="00682390">
                              <w:pPr>
                                <w:jc w:val="right"/>
                              </w:pPr>
                            </w:p>
                            <w:p w14:paraId="1C4BF13D"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 xml:space="preserve">2025 ԹՎԱԿԱՆԻ </w:t>
                              </w:r>
                            </w:p>
                            <w:p w14:paraId="28726AEE" w14:textId="77777777" w:rsidR="00147C8B" w:rsidRPr="00A3353C" w:rsidRDefault="00147C8B" w:rsidP="00682390">
                              <w:pPr>
                                <w:jc w:val="right"/>
                                <w:rPr>
                                  <w:sz w:val="74"/>
                                  <w:szCs w:val="74"/>
                                </w:rPr>
                              </w:pPr>
                            </w:p>
                            <w:p w14:paraId="487D0806" w14:textId="77777777" w:rsidR="00147C8B" w:rsidRDefault="00147C8B"/>
                            <w:p w14:paraId="7FA9A6AB"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2A6BDBD1" w14:textId="77777777" w:rsidR="00147C8B" w:rsidRPr="00A3353C" w:rsidRDefault="00147C8B" w:rsidP="00682390">
                              <w:pPr>
                                <w:jc w:val="right"/>
                                <w:rPr>
                                  <w:sz w:val="74"/>
                                  <w:szCs w:val="74"/>
                                </w:rPr>
                              </w:pPr>
                            </w:p>
                            <w:p w14:paraId="06DCB7C6" w14:textId="77777777" w:rsidR="00147C8B" w:rsidRDefault="00147C8B" w:rsidP="00682390">
                              <w:pPr>
                                <w:jc w:val="right"/>
                              </w:pPr>
                            </w:p>
                            <w:p w14:paraId="5C82C80C"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 xml:space="preserve">2025 ԹՎԱԿԱՆԻ </w:t>
                              </w:r>
                            </w:p>
                            <w:p w14:paraId="20415924" w14:textId="77777777" w:rsidR="00147C8B" w:rsidRPr="00A3353C" w:rsidRDefault="00147C8B" w:rsidP="00682390">
                              <w:pPr>
                                <w:jc w:val="right"/>
                                <w:rPr>
                                  <w:sz w:val="74"/>
                                  <w:szCs w:val="74"/>
                                </w:rPr>
                              </w:pPr>
                            </w:p>
                            <w:p w14:paraId="06057952" w14:textId="77777777" w:rsidR="00147C8B" w:rsidRDefault="00147C8B"/>
                            <w:p w14:paraId="1B0BFDF5"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ՈՒՂԵՐՁ</w:t>
                              </w:r>
                              <w:r w:rsidRPr="00812F22">
                                <w:rPr>
                                  <w:b/>
                                  <w:color w:val="44546A" w:themeColor="text2"/>
                                  <w:sz w:val="36"/>
                                  <w:szCs w:val="36"/>
                                  <w:lang w:val="hy-AM"/>
                                </w:rPr>
                                <w:t>-ԲԱՑԱՏՐԱԳԻՐ</w:t>
                              </w: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361A5833" w14:textId="77777777" w:rsidR="00147C8B" w:rsidRPr="00A3353C" w:rsidRDefault="00147C8B" w:rsidP="00682390">
                              <w:pPr>
                                <w:jc w:val="right"/>
                                <w:rPr>
                                  <w:sz w:val="74"/>
                                  <w:szCs w:val="74"/>
                                </w:rPr>
                              </w:pPr>
                            </w:p>
                            <w:p w14:paraId="2BB67F36" w14:textId="77777777" w:rsidR="00147C8B" w:rsidRDefault="00147C8B" w:rsidP="00682390">
                              <w:pPr>
                                <w:jc w:val="right"/>
                              </w:pPr>
                            </w:p>
                            <w:p w14:paraId="133AF690"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 xml:space="preserve">2025 ԹՎԱԿԱՆԻ </w:t>
                              </w:r>
                            </w:p>
                            <w:p w14:paraId="5811B1C7" w14:textId="77777777" w:rsidR="00147C8B" w:rsidRPr="00A3353C" w:rsidRDefault="00147C8B" w:rsidP="00682390">
                              <w:pPr>
                                <w:jc w:val="right"/>
                                <w:rPr>
                                  <w:sz w:val="74"/>
                                  <w:szCs w:val="74"/>
                                </w:rPr>
                              </w:pPr>
                            </w:p>
                            <w:p w14:paraId="39DDF35D" w14:textId="77777777" w:rsidR="00147C8B" w:rsidRDefault="00147C8B"/>
                            <w:p w14:paraId="12CE08FC" w14:textId="77777777" w:rsidR="00147C8B" w:rsidRPr="00812F22" w:rsidRDefault="00147C8B" w:rsidP="00682390">
                              <w:pPr>
                                <w:pStyle w:val="BodyText1"/>
                                <w:jc w:val="right"/>
                                <w:rPr>
                                  <w:b/>
                                  <w:color w:val="44546A" w:themeColor="text2"/>
                                  <w:sz w:val="36"/>
                                  <w:szCs w:val="36"/>
                                </w:rPr>
                              </w:pPr>
                              <w:r>
                                <w:rPr>
                                  <w:b/>
                                  <w:color w:val="44546A" w:themeColor="text2"/>
                                  <w:sz w:val="36"/>
                                  <w:szCs w:val="36"/>
                                </w:rPr>
                                <w:t>2026</w:t>
                              </w:r>
                              <w:r w:rsidRPr="00812F22">
                                <w:rPr>
                                  <w:b/>
                                  <w:color w:val="44546A" w:themeColor="text2"/>
                                  <w:sz w:val="36"/>
                                  <w:szCs w:val="36"/>
                                </w:rPr>
                                <w:t xml:space="preserve">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053B68FE" w14:textId="77777777" w:rsidR="00147C8B" w:rsidRPr="00A3353C" w:rsidRDefault="00147C8B" w:rsidP="00682390">
                              <w:pPr>
                                <w:jc w:val="right"/>
                                <w:rPr>
                                  <w:sz w:val="74"/>
                                  <w:szCs w:val="74"/>
                                </w:rPr>
                              </w:pPr>
                            </w:p>
                            <w:p w14:paraId="533789A6" w14:textId="77777777" w:rsidR="00147C8B" w:rsidRDefault="00147C8B" w:rsidP="00682390">
                              <w:pPr>
                                <w:jc w:val="right"/>
                              </w:pPr>
                            </w:p>
                            <w:p w14:paraId="14A89A0C"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 xml:space="preserve">2025 ԹՎԱԿԱՆԻ </w:t>
                              </w:r>
                            </w:p>
                            <w:p w14:paraId="232A71B0" w14:textId="77777777" w:rsidR="00147C8B" w:rsidRPr="00A3353C" w:rsidRDefault="00147C8B" w:rsidP="00682390">
                              <w:pPr>
                                <w:jc w:val="right"/>
                                <w:rPr>
                                  <w:sz w:val="74"/>
                                  <w:szCs w:val="74"/>
                                </w:rPr>
                              </w:pPr>
                            </w:p>
                            <w:p w14:paraId="2E5830AD" w14:textId="77777777" w:rsidR="00147C8B" w:rsidRDefault="00147C8B"/>
                            <w:p w14:paraId="0850181F"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ՈՒՂԵՐՁ</w:t>
                              </w:r>
                              <w:r w:rsidRPr="00812F22">
                                <w:rPr>
                                  <w:b/>
                                  <w:color w:val="44546A" w:themeColor="text2"/>
                                  <w:sz w:val="36"/>
                                  <w:szCs w:val="36"/>
                                  <w:lang w:val="hy-AM"/>
                                </w:rPr>
                                <w:t>-ԲԱՑԱՏՐԱԳԻՐ</w:t>
                              </w: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03BA0461" w14:textId="77777777" w:rsidR="00147C8B" w:rsidRPr="00A3353C" w:rsidRDefault="00147C8B" w:rsidP="00682390">
                              <w:pPr>
                                <w:jc w:val="right"/>
                                <w:rPr>
                                  <w:sz w:val="74"/>
                                  <w:szCs w:val="74"/>
                                </w:rPr>
                              </w:pPr>
                            </w:p>
                            <w:p w14:paraId="1246A9AD" w14:textId="77777777" w:rsidR="00147C8B" w:rsidRDefault="00147C8B" w:rsidP="00682390">
                              <w:pPr>
                                <w:jc w:val="right"/>
                              </w:pPr>
                            </w:p>
                            <w:p w14:paraId="3BE7FA4F"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 xml:space="preserve">2025 ԹՎԱԿԱՆԻ </w:t>
                              </w:r>
                            </w:p>
                            <w:p w14:paraId="4D7A85D6" w14:textId="77777777" w:rsidR="00147C8B" w:rsidRPr="00A3353C" w:rsidRDefault="00147C8B" w:rsidP="00682390">
                              <w:pPr>
                                <w:jc w:val="right"/>
                                <w:rPr>
                                  <w:sz w:val="74"/>
                                  <w:szCs w:val="74"/>
                                </w:rPr>
                              </w:pPr>
                            </w:p>
                            <w:p w14:paraId="706D341D" w14:textId="77777777" w:rsidR="00147C8B" w:rsidRDefault="00147C8B"/>
                            <w:p w14:paraId="2875206B"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3069614B" w14:textId="77777777" w:rsidR="00147C8B" w:rsidRPr="00A3353C" w:rsidRDefault="00147C8B" w:rsidP="00682390">
                              <w:pPr>
                                <w:jc w:val="right"/>
                                <w:rPr>
                                  <w:sz w:val="74"/>
                                  <w:szCs w:val="74"/>
                                </w:rPr>
                              </w:pPr>
                            </w:p>
                            <w:p w14:paraId="55C64B78" w14:textId="77777777" w:rsidR="00147C8B" w:rsidRDefault="00147C8B" w:rsidP="00682390">
                              <w:pPr>
                                <w:jc w:val="right"/>
                              </w:pPr>
                            </w:p>
                            <w:p w14:paraId="334A108A"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 xml:space="preserve">2025 ԹՎԱԿԱՆԻ </w:t>
                              </w:r>
                            </w:p>
                            <w:p w14:paraId="3B693EB9" w14:textId="77777777" w:rsidR="00147C8B" w:rsidRPr="00A3353C" w:rsidRDefault="00147C8B" w:rsidP="00682390">
                              <w:pPr>
                                <w:jc w:val="right"/>
                                <w:rPr>
                                  <w:sz w:val="74"/>
                                  <w:szCs w:val="74"/>
                                </w:rPr>
                              </w:pPr>
                            </w:p>
                            <w:p w14:paraId="4F9808B6" w14:textId="77777777" w:rsidR="00147C8B" w:rsidRDefault="00147C8B"/>
                            <w:p w14:paraId="16930F3A"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ՈՒՂԵՐՁ</w:t>
                              </w:r>
                              <w:r w:rsidRPr="00812F22">
                                <w:rPr>
                                  <w:b/>
                                  <w:color w:val="44546A" w:themeColor="text2"/>
                                  <w:sz w:val="36"/>
                                  <w:szCs w:val="36"/>
                                  <w:lang w:val="hy-AM"/>
                                </w:rPr>
                                <w:t>-ԲԱՑԱՏՐԱԳԻՐ</w:t>
                              </w: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22BBE722" w14:textId="77777777" w:rsidR="00147C8B" w:rsidRPr="00A3353C" w:rsidRDefault="00147C8B" w:rsidP="00682390">
                              <w:pPr>
                                <w:jc w:val="right"/>
                                <w:rPr>
                                  <w:sz w:val="74"/>
                                  <w:szCs w:val="74"/>
                                </w:rPr>
                              </w:pPr>
                            </w:p>
                            <w:p w14:paraId="1D9ECCA2" w14:textId="77777777" w:rsidR="00147C8B" w:rsidRDefault="00147C8B" w:rsidP="00682390">
                              <w:pPr>
                                <w:jc w:val="right"/>
                              </w:pPr>
                            </w:p>
                            <w:p w14:paraId="701D2F0D"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 xml:space="preserve">2025 ԹՎԱԿԱՆԻ </w:t>
                              </w:r>
                            </w:p>
                            <w:p w14:paraId="2AA2FB83" w14:textId="77777777" w:rsidR="00147C8B" w:rsidRPr="00A3353C" w:rsidRDefault="00147C8B" w:rsidP="00682390">
                              <w:pPr>
                                <w:jc w:val="right"/>
                                <w:rPr>
                                  <w:sz w:val="74"/>
                                  <w:szCs w:val="74"/>
                                </w:rPr>
                              </w:pPr>
                            </w:p>
                            <w:p w14:paraId="499798BF" w14:textId="77777777" w:rsidR="00147C8B" w:rsidRDefault="00147C8B"/>
                            <w:p w14:paraId="57CBAE27" w14:textId="77777777" w:rsidR="00147C8B" w:rsidRPr="00812F22" w:rsidRDefault="00147C8B" w:rsidP="00682390">
                              <w:pPr>
                                <w:pStyle w:val="BodyText1"/>
                                <w:jc w:val="right"/>
                                <w:rPr>
                                  <w:b/>
                                  <w:color w:val="44546A" w:themeColor="text2"/>
                                  <w:sz w:val="36"/>
                                  <w:szCs w:val="36"/>
                                </w:rPr>
                              </w:pPr>
                              <w:r>
                                <w:rPr>
                                  <w:b/>
                                  <w:color w:val="44546A" w:themeColor="text2"/>
                                  <w:sz w:val="36"/>
                                  <w:szCs w:val="36"/>
                                </w:rPr>
                                <w:t>2026</w:t>
                              </w:r>
                              <w:r w:rsidRPr="00812F22">
                                <w:rPr>
                                  <w:b/>
                                  <w:color w:val="44546A" w:themeColor="text2"/>
                                  <w:sz w:val="36"/>
                                  <w:szCs w:val="36"/>
                                </w:rPr>
                                <w:t xml:space="preserve">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3BE4F50C" w14:textId="77777777" w:rsidR="00147C8B" w:rsidRPr="00A3353C" w:rsidRDefault="00147C8B" w:rsidP="00682390">
                              <w:pPr>
                                <w:jc w:val="right"/>
                                <w:rPr>
                                  <w:sz w:val="74"/>
                                  <w:szCs w:val="74"/>
                                </w:rPr>
                              </w:pPr>
                            </w:p>
                            <w:p w14:paraId="59998FE5" w14:textId="77777777" w:rsidR="00147C8B" w:rsidRDefault="00147C8B" w:rsidP="00682390">
                              <w:pPr>
                                <w:jc w:val="right"/>
                              </w:pPr>
                            </w:p>
                            <w:p w14:paraId="7332296B"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 xml:space="preserve">2025 ԹՎԱԿԱՆԻ </w:t>
                              </w:r>
                            </w:p>
                            <w:p w14:paraId="666BD6EB" w14:textId="77777777" w:rsidR="00147C8B" w:rsidRPr="00A3353C" w:rsidRDefault="00147C8B" w:rsidP="00682390">
                              <w:pPr>
                                <w:jc w:val="right"/>
                                <w:rPr>
                                  <w:sz w:val="74"/>
                                  <w:szCs w:val="74"/>
                                </w:rPr>
                              </w:pPr>
                            </w:p>
                            <w:p w14:paraId="5220E8AF" w14:textId="77777777" w:rsidR="00147C8B" w:rsidRDefault="00147C8B"/>
                            <w:p w14:paraId="538B7051"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ՈՒՂԵՐՁ</w:t>
                              </w:r>
                              <w:r w:rsidRPr="00812F22">
                                <w:rPr>
                                  <w:b/>
                                  <w:color w:val="44546A" w:themeColor="text2"/>
                                  <w:sz w:val="36"/>
                                  <w:szCs w:val="36"/>
                                  <w:lang w:val="hy-AM"/>
                                </w:rPr>
                                <w:t>-ԲԱՑԱՏՐԱԳԻՐ</w:t>
                              </w: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2760BF19" w14:textId="77777777" w:rsidR="00147C8B" w:rsidRPr="00A3353C" w:rsidRDefault="00147C8B" w:rsidP="00682390">
                              <w:pPr>
                                <w:jc w:val="right"/>
                                <w:rPr>
                                  <w:sz w:val="74"/>
                                  <w:szCs w:val="74"/>
                                </w:rPr>
                              </w:pPr>
                            </w:p>
                            <w:p w14:paraId="458FFC98" w14:textId="77777777" w:rsidR="00147C8B" w:rsidRDefault="00147C8B" w:rsidP="00682390">
                              <w:pPr>
                                <w:jc w:val="right"/>
                              </w:pPr>
                            </w:p>
                            <w:p w14:paraId="3FDA3D3E"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 xml:space="preserve">2025 ԹՎԱԿԱՆԻ </w:t>
                              </w:r>
                            </w:p>
                            <w:p w14:paraId="326C4E30" w14:textId="77777777" w:rsidR="00147C8B" w:rsidRPr="00A3353C" w:rsidRDefault="00147C8B" w:rsidP="00682390">
                              <w:pPr>
                                <w:jc w:val="right"/>
                                <w:rPr>
                                  <w:sz w:val="74"/>
                                  <w:szCs w:val="74"/>
                                </w:rPr>
                              </w:pPr>
                            </w:p>
                            <w:p w14:paraId="0000590A" w14:textId="77777777" w:rsidR="00147C8B" w:rsidRDefault="00147C8B"/>
                            <w:p w14:paraId="286480B1"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32A9D8A6" w14:textId="77777777" w:rsidR="00147C8B" w:rsidRPr="00A3353C" w:rsidRDefault="00147C8B" w:rsidP="00682390">
                              <w:pPr>
                                <w:jc w:val="right"/>
                                <w:rPr>
                                  <w:sz w:val="74"/>
                                  <w:szCs w:val="74"/>
                                </w:rPr>
                              </w:pPr>
                            </w:p>
                            <w:p w14:paraId="38E93178" w14:textId="77777777" w:rsidR="00147C8B" w:rsidRDefault="00147C8B" w:rsidP="00682390">
                              <w:pPr>
                                <w:jc w:val="right"/>
                              </w:pPr>
                            </w:p>
                            <w:p w14:paraId="651BA846"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 xml:space="preserve">2025 ԹՎԱԿԱՆԻ </w:t>
                              </w:r>
                            </w:p>
                            <w:p w14:paraId="711383E8" w14:textId="77777777" w:rsidR="00147C8B" w:rsidRPr="00A3353C" w:rsidRDefault="00147C8B" w:rsidP="00682390">
                              <w:pPr>
                                <w:jc w:val="right"/>
                                <w:rPr>
                                  <w:sz w:val="74"/>
                                  <w:szCs w:val="74"/>
                                </w:rPr>
                              </w:pPr>
                            </w:p>
                            <w:p w14:paraId="14B84C80" w14:textId="77777777" w:rsidR="00147C8B" w:rsidRDefault="00147C8B"/>
                            <w:p w14:paraId="7D5B8FA8"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ՈՒՂԵՐՁ</w:t>
                              </w:r>
                              <w:r w:rsidRPr="00812F22">
                                <w:rPr>
                                  <w:b/>
                                  <w:color w:val="44546A" w:themeColor="text2"/>
                                  <w:sz w:val="36"/>
                                  <w:szCs w:val="36"/>
                                  <w:lang w:val="hy-AM"/>
                                </w:rPr>
                                <w:t>-ԲԱՑԱՏՐԱԳԻՐ</w:t>
                              </w: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3CA312F9" w14:textId="77777777" w:rsidR="00147C8B" w:rsidRPr="00A3353C" w:rsidRDefault="00147C8B" w:rsidP="00682390">
                              <w:pPr>
                                <w:jc w:val="right"/>
                                <w:rPr>
                                  <w:sz w:val="74"/>
                                  <w:szCs w:val="74"/>
                                </w:rPr>
                              </w:pPr>
                            </w:p>
                            <w:p w14:paraId="571BA682" w14:textId="77777777" w:rsidR="00147C8B" w:rsidRDefault="00147C8B" w:rsidP="00682390">
                              <w:pPr>
                                <w:jc w:val="right"/>
                              </w:pPr>
                            </w:p>
                            <w:p w14:paraId="5ACFB113"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 xml:space="preserve">2025 ԹՎԱԿԱՆԻ </w:t>
                              </w:r>
                            </w:p>
                            <w:p w14:paraId="6CC91CA9" w14:textId="77777777" w:rsidR="00147C8B" w:rsidRPr="00A3353C" w:rsidRDefault="00147C8B" w:rsidP="00682390">
                              <w:pPr>
                                <w:jc w:val="right"/>
                                <w:rPr>
                                  <w:sz w:val="74"/>
                                  <w:szCs w:val="74"/>
                                </w:rPr>
                              </w:pPr>
                            </w:p>
                            <w:p w14:paraId="7A5D7BC6" w14:textId="77777777" w:rsidR="00147C8B" w:rsidRDefault="00147C8B"/>
                            <w:p w14:paraId="272C36DD" w14:textId="04C501D5" w:rsidR="00147C8B" w:rsidRPr="00812F22" w:rsidRDefault="00147C8B" w:rsidP="00682390">
                              <w:pPr>
                                <w:pStyle w:val="BodyText1"/>
                                <w:jc w:val="right"/>
                                <w:rPr>
                                  <w:b/>
                                  <w:color w:val="44546A" w:themeColor="text2"/>
                                  <w:sz w:val="36"/>
                                  <w:szCs w:val="36"/>
                                </w:rPr>
                              </w:pPr>
                              <w:r>
                                <w:rPr>
                                  <w:b/>
                                  <w:color w:val="44546A" w:themeColor="text2"/>
                                  <w:sz w:val="36"/>
                                  <w:szCs w:val="36"/>
                                </w:rPr>
                                <w:t>2026</w:t>
                              </w:r>
                              <w:r w:rsidRPr="00812F22">
                                <w:rPr>
                                  <w:b/>
                                  <w:color w:val="44546A" w:themeColor="text2"/>
                                  <w:sz w:val="36"/>
                                  <w:szCs w:val="36"/>
                                </w:rPr>
                                <w:t xml:space="preserve">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664188B6" w14:textId="77777777" w:rsidR="00147C8B" w:rsidRPr="00A3353C" w:rsidRDefault="00147C8B" w:rsidP="00682390">
                              <w:pPr>
                                <w:jc w:val="right"/>
                                <w:rPr>
                                  <w:sz w:val="74"/>
                                  <w:szCs w:val="74"/>
                                </w:rPr>
                              </w:pPr>
                            </w:p>
                            <w:p w14:paraId="7B269271" w14:textId="77777777" w:rsidR="00147C8B" w:rsidRDefault="00147C8B" w:rsidP="00682390">
                              <w:pPr>
                                <w:jc w:val="right"/>
                              </w:pPr>
                            </w:p>
                            <w:p w14:paraId="11CD0193"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 xml:space="preserve">2025 ԹՎԱԿԱՆԻ </w:t>
                              </w:r>
                            </w:p>
                            <w:p w14:paraId="00C21616" w14:textId="77777777" w:rsidR="00147C8B" w:rsidRPr="00A3353C" w:rsidRDefault="00147C8B" w:rsidP="00682390">
                              <w:pPr>
                                <w:jc w:val="right"/>
                                <w:rPr>
                                  <w:sz w:val="74"/>
                                  <w:szCs w:val="74"/>
                                </w:rPr>
                              </w:pPr>
                            </w:p>
                            <w:p w14:paraId="30D5E784" w14:textId="77777777" w:rsidR="00147C8B" w:rsidRDefault="00147C8B"/>
                            <w:p w14:paraId="191F7C29"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ՈՒՂԵՐՁ</w:t>
                              </w:r>
                              <w:r w:rsidRPr="00812F22">
                                <w:rPr>
                                  <w:b/>
                                  <w:color w:val="44546A" w:themeColor="text2"/>
                                  <w:sz w:val="36"/>
                                  <w:szCs w:val="36"/>
                                  <w:lang w:val="hy-AM"/>
                                </w:rPr>
                                <w:t>-ԲԱՑԱՏՐԱԳԻՐ</w:t>
                              </w: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67EB01A1" w14:textId="77777777" w:rsidR="00147C8B" w:rsidRPr="00A3353C" w:rsidRDefault="00147C8B" w:rsidP="00682390">
                              <w:pPr>
                                <w:jc w:val="right"/>
                                <w:rPr>
                                  <w:sz w:val="74"/>
                                  <w:szCs w:val="74"/>
                                </w:rPr>
                              </w:pPr>
                            </w:p>
                            <w:p w14:paraId="3DAA5FAF" w14:textId="77777777" w:rsidR="00147C8B" w:rsidRDefault="00147C8B" w:rsidP="00682390">
                              <w:pPr>
                                <w:jc w:val="right"/>
                              </w:pPr>
                            </w:p>
                            <w:p w14:paraId="4C2584CE"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 xml:space="preserve">2025 ԹՎԱԿԱՆԻ </w:t>
                              </w:r>
                            </w:p>
                            <w:p w14:paraId="5664B092" w14:textId="77777777" w:rsidR="00147C8B" w:rsidRPr="00A3353C" w:rsidRDefault="00147C8B" w:rsidP="00682390">
                              <w:pPr>
                                <w:jc w:val="right"/>
                                <w:rPr>
                                  <w:sz w:val="74"/>
                                  <w:szCs w:val="74"/>
                                </w:rPr>
                              </w:pPr>
                            </w:p>
                            <w:p w14:paraId="6FD6B3CB" w14:textId="77777777" w:rsidR="00147C8B" w:rsidRDefault="00147C8B"/>
                            <w:p w14:paraId="1ABC5C06"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47230D99" w14:textId="77777777" w:rsidR="00147C8B" w:rsidRPr="00A3353C" w:rsidRDefault="00147C8B" w:rsidP="00682390">
                              <w:pPr>
                                <w:jc w:val="right"/>
                                <w:rPr>
                                  <w:sz w:val="74"/>
                                  <w:szCs w:val="74"/>
                                </w:rPr>
                              </w:pPr>
                            </w:p>
                            <w:p w14:paraId="26CD81FF" w14:textId="77777777" w:rsidR="00147C8B" w:rsidRDefault="00147C8B" w:rsidP="00682390">
                              <w:pPr>
                                <w:jc w:val="right"/>
                              </w:pPr>
                            </w:p>
                            <w:p w14:paraId="3500DE31"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 xml:space="preserve">2025 ԹՎԱԿԱՆԻ </w:t>
                              </w:r>
                            </w:p>
                            <w:p w14:paraId="7D58CD5F" w14:textId="77777777" w:rsidR="00147C8B" w:rsidRPr="00A3353C" w:rsidRDefault="00147C8B" w:rsidP="00682390">
                              <w:pPr>
                                <w:jc w:val="right"/>
                                <w:rPr>
                                  <w:sz w:val="74"/>
                                  <w:szCs w:val="74"/>
                                </w:rPr>
                              </w:pPr>
                            </w:p>
                            <w:p w14:paraId="52CBB1F7" w14:textId="77777777" w:rsidR="00147C8B" w:rsidRDefault="00147C8B"/>
                            <w:p w14:paraId="6B7745B1"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ՈՒՂԵՐՁ</w:t>
                              </w:r>
                              <w:r w:rsidRPr="00812F22">
                                <w:rPr>
                                  <w:b/>
                                  <w:color w:val="44546A" w:themeColor="text2"/>
                                  <w:sz w:val="36"/>
                                  <w:szCs w:val="36"/>
                                  <w:lang w:val="hy-AM"/>
                                </w:rPr>
                                <w:t>-ԲԱՑԱՏՐԱԳԻՐ</w:t>
                              </w: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59B985E5" w14:textId="77777777" w:rsidR="00147C8B" w:rsidRPr="00A3353C" w:rsidRDefault="00147C8B" w:rsidP="00682390">
                              <w:pPr>
                                <w:jc w:val="right"/>
                                <w:rPr>
                                  <w:sz w:val="74"/>
                                  <w:szCs w:val="74"/>
                                </w:rPr>
                              </w:pPr>
                            </w:p>
                            <w:p w14:paraId="3D527FED" w14:textId="77777777" w:rsidR="00147C8B" w:rsidRDefault="00147C8B" w:rsidP="00682390">
                              <w:pPr>
                                <w:jc w:val="right"/>
                              </w:pPr>
                            </w:p>
                            <w:p w14:paraId="210289DB"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 xml:space="preserve">2025 ԹՎԱԿԱՆԻ </w:t>
                              </w:r>
                            </w:p>
                            <w:p w14:paraId="796F5977" w14:textId="77777777" w:rsidR="00147C8B" w:rsidRPr="00A3353C" w:rsidRDefault="00147C8B" w:rsidP="00682390">
                              <w:pPr>
                                <w:jc w:val="right"/>
                                <w:rPr>
                                  <w:sz w:val="74"/>
                                  <w:szCs w:val="74"/>
                                </w:rPr>
                              </w:pPr>
                            </w:p>
                            <w:p w14:paraId="3FC8324D" w14:textId="77777777" w:rsidR="00147C8B" w:rsidRDefault="00147C8B"/>
                            <w:p w14:paraId="7E3E886A" w14:textId="77777777" w:rsidR="00147C8B" w:rsidRPr="00812F22" w:rsidRDefault="00147C8B" w:rsidP="00682390">
                              <w:pPr>
                                <w:pStyle w:val="BodyText1"/>
                                <w:jc w:val="right"/>
                                <w:rPr>
                                  <w:b/>
                                  <w:color w:val="44546A" w:themeColor="text2"/>
                                  <w:sz w:val="36"/>
                                  <w:szCs w:val="36"/>
                                </w:rPr>
                              </w:pPr>
                              <w:r>
                                <w:rPr>
                                  <w:b/>
                                  <w:color w:val="44546A" w:themeColor="text2"/>
                                  <w:sz w:val="36"/>
                                  <w:szCs w:val="36"/>
                                </w:rPr>
                                <w:t>2026</w:t>
                              </w:r>
                              <w:r w:rsidRPr="00812F22">
                                <w:rPr>
                                  <w:b/>
                                  <w:color w:val="44546A" w:themeColor="text2"/>
                                  <w:sz w:val="36"/>
                                  <w:szCs w:val="36"/>
                                </w:rPr>
                                <w:t xml:space="preserve">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40043F8C" w14:textId="77777777" w:rsidR="00147C8B" w:rsidRPr="00A3353C" w:rsidRDefault="00147C8B" w:rsidP="00682390">
                              <w:pPr>
                                <w:jc w:val="right"/>
                                <w:rPr>
                                  <w:sz w:val="74"/>
                                  <w:szCs w:val="74"/>
                                </w:rPr>
                              </w:pPr>
                            </w:p>
                            <w:p w14:paraId="7E06AD34" w14:textId="77777777" w:rsidR="00147C8B" w:rsidRDefault="00147C8B" w:rsidP="00682390">
                              <w:pPr>
                                <w:jc w:val="right"/>
                              </w:pPr>
                            </w:p>
                            <w:p w14:paraId="612FB1CE"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 xml:space="preserve">2025 ԹՎԱԿԱՆԻ </w:t>
                              </w:r>
                            </w:p>
                            <w:p w14:paraId="7DC506DF" w14:textId="77777777" w:rsidR="00147C8B" w:rsidRPr="00A3353C" w:rsidRDefault="00147C8B" w:rsidP="00682390">
                              <w:pPr>
                                <w:jc w:val="right"/>
                                <w:rPr>
                                  <w:sz w:val="74"/>
                                  <w:szCs w:val="74"/>
                                </w:rPr>
                              </w:pPr>
                            </w:p>
                            <w:p w14:paraId="0AA58D74" w14:textId="77777777" w:rsidR="00147C8B" w:rsidRDefault="00147C8B"/>
                            <w:p w14:paraId="0C30591C"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ՈՒՂԵՐՁ</w:t>
                              </w:r>
                              <w:r w:rsidRPr="00812F22">
                                <w:rPr>
                                  <w:b/>
                                  <w:color w:val="44546A" w:themeColor="text2"/>
                                  <w:sz w:val="36"/>
                                  <w:szCs w:val="36"/>
                                  <w:lang w:val="hy-AM"/>
                                </w:rPr>
                                <w:t>-ԲԱՑԱՏՐԱԳԻՐ</w:t>
                              </w: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35D742F7" w14:textId="77777777" w:rsidR="00147C8B" w:rsidRPr="00A3353C" w:rsidRDefault="00147C8B" w:rsidP="00682390">
                              <w:pPr>
                                <w:jc w:val="right"/>
                                <w:rPr>
                                  <w:sz w:val="74"/>
                                  <w:szCs w:val="74"/>
                                </w:rPr>
                              </w:pPr>
                            </w:p>
                            <w:p w14:paraId="1E30D5A0" w14:textId="77777777" w:rsidR="00147C8B" w:rsidRDefault="00147C8B" w:rsidP="00682390">
                              <w:pPr>
                                <w:jc w:val="right"/>
                              </w:pPr>
                            </w:p>
                            <w:p w14:paraId="52801113"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 xml:space="preserve">2025 ԹՎԱԿԱՆԻ </w:t>
                              </w:r>
                            </w:p>
                            <w:p w14:paraId="161BD75A" w14:textId="77777777" w:rsidR="00147C8B" w:rsidRPr="00A3353C" w:rsidRDefault="00147C8B" w:rsidP="00682390">
                              <w:pPr>
                                <w:jc w:val="right"/>
                                <w:rPr>
                                  <w:sz w:val="74"/>
                                  <w:szCs w:val="74"/>
                                </w:rPr>
                              </w:pPr>
                            </w:p>
                            <w:p w14:paraId="45215C2E" w14:textId="77777777" w:rsidR="00147C8B" w:rsidRDefault="00147C8B"/>
                            <w:p w14:paraId="2BDA2B4D"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6BBBF399" w14:textId="77777777" w:rsidR="00147C8B" w:rsidRPr="00A3353C" w:rsidRDefault="00147C8B" w:rsidP="00682390">
                              <w:pPr>
                                <w:jc w:val="right"/>
                                <w:rPr>
                                  <w:sz w:val="74"/>
                                  <w:szCs w:val="74"/>
                                </w:rPr>
                              </w:pPr>
                            </w:p>
                            <w:p w14:paraId="247D317D" w14:textId="77777777" w:rsidR="00147C8B" w:rsidRDefault="00147C8B" w:rsidP="00682390">
                              <w:pPr>
                                <w:jc w:val="right"/>
                              </w:pPr>
                            </w:p>
                            <w:p w14:paraId="71E05A74"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 xml:space="preserve">2025 ԹՎԱԿԱՆԻ </w:t>
                              </w:r>
                            </w:p>
                            <w:p w14:paraId="46FB105F" w14:textId="77777777" w:rsidR="00147C8B" w:rsidRPr="00A3353C" w:rsidRDefault="00147C8B" w:rsidP="00682390">
                              <w:pPr>
                                <w:jc w:val="right"/>
                                <w:rPr>
                                  <w:sz w:val="74"/>
                                  <w:szCs w:val="74"/>
                                </w:rPr>
                              </w:pPr>
                            </w:p>
                            <w:p w14:paraId="28AFECA5" w14:textId="77777777" w:rsidR="00147C8B" w:rsidRDefault="00147C8B"/>
                            <w:p w14:paraId="00165182"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ՈՒՂԵՐՁ</w:t>
                              </w:r>
                              <w:r w:rsidRPr="00812F22">
                                <w:rPr>
                                  <w:b/>
                                  <w:color w:val="44546A" w:themeColor="text2"/>
                                  <w:sz w:val="36"/>
                                  <w:szCs w:val="36"/>
                                  <w:lang w:val="hy-AM"/>
                                </w:rPr>
                                <w:t>-ԲԱՑԱՏՐԱԳԻՐ</w:t>
                              </w: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73419A5A" w14:textId="77777777" w:rsidR="00147C8B" w:rsidRPr="00A3353C" w:rsidRDefault="00147C8B" w:rsidP="00682390">
                              <w:pPr>
                                <w:jc w:val="right"/>
                                <w:rPr>
                                  <w:sz w:val="74"/>
                                  <w:szCs w:val="74"/>
                                </w:rPr>
                              </w:pPr>
                            </w:p>
                            <w:p w14:paraId="36CB5C65" w14:textId="77777777" w:rsidR="00147C8B" w:rsidRDefault="00147C8B" w:rsidP="00682390">
                              <w:pPr>
                                <w:jc w:val="right"/>
                              </w:pPr>
                            </w:p>
                            <w:p w14:paraId="32A44CF5"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 xml:space="preserve">2025 ԹՎԱԿԱՆԻ </w:t>
                              </w:r>
                            </w:p>
                            <w:p w14:paraId="64292AAB" w14:textId="77777777" w:rsidR="00147C8B" w:rsidRPr="00A3353C" w:rsidRDefault="00147C8B" w:rsidP="00682390">
                              <w:pPr>
                                <w:jc w:val="right"/>
                                <w:rPr>
                                  <w:sz w:val="74"/>
                                  <w:szCs w:val="74"/>
                                </w:rPr>
                              </w:pPr>
                            </w:p>
                            <w:p w14:paraId="1A56CFE5" w14:textId="77777777" w:rsidR="00147C8B" w:rsidRDefault="00147C8B"/>
                            <w:p w14:paraId="1E6E39B0" w14:textId="04C501D5" w:rsidR="00147C8B" w:rsidRPr="00812F22" w:rsidRDefault="00147C8B" w:rsidP="00682390">
                              <w:pPr>
                                <w:pStyle w:val="BodyText1"/>
                                <w:jc w:val="right"/>
                                <w:rPr>
                                  <w:b/>
                                  <w:color w:val="44546A" w:themeColor="text2"/>
                                  <w:sz w:val="36"/>
                                  <w:szCs w:val="36"/>
                                </w:rPr>
                              </w:pPr>
                              <w:r>
                                <w:rPr>
                                  <w:b/>
                                  <w:color w:val="44546A" w:themeColor="text2"/>
                                  <w:sz w:val="36"/>
                                  <w:szCs w:val="36"/>
                                </w:rPr>
                                <w:t>2026</w:t>
                              </w:r>
                              <w:r w:rsidRPr="00812F22">
                                <w:rPr>
                                  <w:b/>
                                  <w:color w:val="44546A" w:themeColor="text2"/>
                                  <w:sz w:val="36"/>
                                  <w:szCs w:val="36"/>
                                </w:rPr>
                                <w:t xml:space="preserve">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05A7D05C" w14:textId="77777777" w:rsidR="00147C8B" w:rsidRPr="00A3353C" w:rsidRDefault="00147C8B" w:rsidP="00682390">
                              <w:pPr>
                                <w:jc w:val="right"/>
                                <w:rPr>
                                  <w:sz w:val="74"/>
                                  <w:szCs w:val="74"/>
                                </w:rPr>
                              </w:pPr>
                            </w:p>
                            <w:p w14:paraId="11F10E79" w14:textId="77777777" w:rsidR="00147C8B" w:rsidRDefault="00147C8B" w:rsidP="00682390">
                              <w:pPr>
                                <w:jc w:val="right"/>
                              </w:pPr>
                            </w:p>
                            <w:p w14:paraId="67C50282"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 xml:space="preserve">2025 ԹՎԱԿԱՆԻ </w:t>
                              </w:r>
                            </w:p>
                            <w:p w14:paraId="0BFE2B2B" w14:textId="77777777" w:rsidR="00147C8B" w:rsidRPr="00A3353C" w:rsidRDefault="00147C8B" w:rsidP="00682390">
                              <w:pPr>
                                <w:jc w:val="right"/>
                                <w:rPr>
                                  <w:sz w:val="74"/>
                                  <w:szCs w:val="74"/>
                                </w:rPr>
                              </w:pPr>
                            </w:p>
                            <w:p w14:paraId="30CAC05A" w14:textId="77777777" w:rsidR="00147C8B" w:rsidRDefault="00147C8B"/>
                            <w:p w14:paraId="6D420B38"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ՈՒՂԵՐՁ</w:t>
                              </w:r>
                              <w:r w:rsidRPr="00812F22">
                                <w:rPr>
                                  <w:b/>
                                  <w:color w:val="44546A" w:themeColor="text2"/>
                                  <w:sz w:val="36"/>
                                  <w:szCs w:val="36"/>
                                  <w:lang w:val="hy-AM"/>
                                </w:rPr>
                                <w:t>-ԲԱՑԱՏՐԱԳԻՐ</w:t>
                              </w: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19B54AF9" w14:textId="77777777" w:rsidR="00147C8B" w:rsidRPr="00A3353C" w:rsidRDefault="00147C8B" w:rsidP="00682390">
                              <w:pPr>
                                <w:jc w:val="right"/>
                                <w:rPr>
                                  <w:sz w:val="74"/>
                                  <w:szCs w:val="74"/>
                                </w:rPr>
                              </w:pPr>
                            </w:p>
                            <w:p w14:paraId="5B09EE06" w14:textId="77777777" w:rsidR="00147C8B" w:rsidRDefault="00147C8B" w:rsidP="00682390">
                              <w:pPr>
                                <w:jc w:val="right"/>
                              </w:pPr>
                            </w:p>
                            <w:p w14:paraId="26FD4588"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 xml:space="preserve">2025 ԹՎԱԿԱՆԻ </w:t>
                              </w:r>
                            </w:p>
                            <w:p w14:paraId="5D6134B7" w14:textId="77777777" w:rsidR="00147C8B" w:rsidRPr="00A3353C" w:rsidRDefault="00147C8B" w:rsidP="00682390">
                              <w:pPr>
                                <w:jc w:val="right"/>
                                <w:rPr>
                                  <w:sz w:val="74"/>
                                  <w:szCs w:val="74"/>
                                </w:rPr>
                              </w:pPr>
                            </w:p>
                            <w:p w14:paraId="7530472A" w14:textId="77777777" w:rsidR="00147C8B" w:rsidRDefault="00147C8B"/>
                            <w:p w14:paraId="58270BAB"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6CF7913C" w14:textId="77777777" w:rsidR="00147C8B" w:rsidRPr="00A3353C" w:rsidRDefault="00147C8B" w:rsidP="00682390">
                              <w:pPr>
                                <w:jc w:val="right"/>
                                <w:rPr>
                                  <w:sz w:val="74"/>
                                  <w:szCs w:val="74"/>
                                </w:rPr>
                              </w:pPr>
                            </w:p>
                            <w:p w14:paraId="708B9D23" w14:textId="77777777" w:rsidR="00147C8B" w:rsidRDefault="00147C8B" w:rsidP="00682390">
                              <w:pPr>
                                <w:jc w:val="right"/>
                              </w:pPr>
                            </w:p>
                            <w:p w14:paraId="371828BF"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 xml:space="preserve">2025 ԹՎԱԿԱՆԻ </w:t>
                              </w:r>
                            </w:p>
                            <w:p w14:paraId="34E009EB" w14:textId="77777777" w:rsidR="00147C8B" w:rsidRPr="00A3353C" w:rsidRDefault="00147C8B" w:rsidP="00682390">
                              <w:pPr>
                                <w:jc w:val="right"/>
                                <w:rPr>
                                  <w:sz w:val="74"/>
                                  <w:szCs w:val="74"/>
                                </w:rPr>
                              </w:pPr>
                            </w:p>
                            <w:p w14:paraId="11E950BE" w14:textId="77777777" w:rsidR="00147C8B" w:rsidRDefault="00147C8B"/>
                            <w:p w14:paraId="3ECB50BB"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ՈՒՂԵՐՁ</w:t>
                              </w:r>
                              <w:r w:rsidRPr="00812F22">
                                <w:rPr>
                                  <w:b/>
                                  <w:color w:val="44546A" w:themeColor="text2"/>
                                  <w:sz w:val="36"/>
                                  <w:szCs w:val="36"/>
                                  <w:lang w:val="hy-AM"/>
                                </w:rPr>
                                <w:t>-ԲԱՑԱՏՐԱԳԻՐ</w:t>
                              </w: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18E4E942" w14:textId="77777777" w:rsidR="00147C8B" w:rsidRPr="00A3353C" w:rsidRDefault="00147C8B" w:rsidP="00682390">
                              <w:pPr>
                                <w:jc w:val="right"/>
                                <w:rPr>
                                  <w:sz w:val="74"/>
                                  <w:szCs w:val="74"/>
                                </w:rPr>
                              </w:pPr>
                            </w:p>
                            <w:p w14:paraId="20D53BDB" w14:textId="77777777" w:rsidR="00147C8B" w:rsidRDefault="00147C8B" w:rsidP="00682390">
                              <w:pPr>
                                <w:jc w:val="right"/>
                              </w:pPr>
                            </w:p>
                            <w:p w14:paraId="2F6600D9"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 xml:space="preserve">2025 ԹՎԱԿԱՆԻ </w:t>
                              </w:r>
                            </w:p>
                            <w:p w14:paraId="773B58D3" w14:textId="77777777" w:rsidR="00147C8B" w:rsidRPr="00A3353C" w:rsidRDefault="00147C8B" w:rsidP="00682390">
                              <w:pPr>
                                <w:jc w:val="right"/>
                                <w:rPr>
                                  <w:sz w:val="74"/>
                                  <w:szCs w:val="74"/>
                                </w:rPr>
                              </w:pPr>
                            </w:p>
                            <w:p w14:paraId="3ACB883F" w14:textId="77777777" w:rsidR="00147C8B" w:rsidRDefault="00147C8B"/>
                            <w:p w14:paraId="3BF11513" w14:textId="04C501D5" w:rsidR="00147C8B" w:rsidRPr="00812F22" w:rsidRDefault="00147C8B" w:rsidP="00682390">
                              <w:pPr>
                                <w:pStyle w:val="BodyText1"/>
                                <w:jc w:val="right"/>
                                <w:rPr>
                                  <w:b/>
                                  <w:color w:val="44546A" w:themeColor="text2"/>
                                  <w:sz w:val="36"/>
                                  <w:szCs w:val="36"/>
                                </w:rPr>
                              </w:pPr>
                              <w:r>
                                <w:rPr>
                                  <w:b/>
                                  <w:color w:val="44546A" w:themeColor="text2"/>
                                  <w:sz w:val="36"/>
                                  <w:szCs w:val="36"/>
                                </w:rPr>
                                <w:t>2026</w:t>
                              </w:r>
                              <w:r w:rsidRPr="00812F22">
                                <w:rPr>
                                  <w:b/>
                                  <w:color w:val="44546A" w:themeColor="text2"/>
                                  <w:sz w:val="36"/>
                                  <w:szCs w:val="36"/>
                                </w:rPr>
                                <w:t xml:space="preserve">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2AC25804" w14:textId="77777777" w:rsidR="00147C8B" w:rsidRPr="00A3353C" w:rsidRDefault="00147C8B" w:rsidP="00682390">
                              <w:pPr>
                                <w:jc w:val="right"/>
                                <w:rPr>
                                  <w:sz w:val="74"/>
                                  <w:szCs w:val="74"/>
                                </w:rPr>
                              </w:pPr>
                            </w:p>
                            <w:p w14:paraId="7CB74A52" w14:textId="77777777" w:rsidR="00147C8B" w:rsidRDefault="00147C8B" w:rsidP="00682390">
                              <w:pPr>
                                <w:jc w:val="right"/>
                              </w:pPr>
                            </w:p>
                            <w:p w14:paraId="1EAB26D3"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 xml:space="preserve">2025 ԹՎԱԿԱՆԻ </w:t>
                              </w:r>
                            </w:p>
                            <w:p w14:paraId="26FD2A05" w14:textId="77777777" w:rsidR="00147C8B" w:rsidRPr="00A3353C" w:rsidRDefault="00147C8B" w:rsidP="00682390">
                              <w:pPr>
                                <w:jc w:val="right"/>
                                <w:rPr>
                                  <w:sz w:val="74"/>
                                  <w:szCs w:val="74"/>
                                </w:rPr>
                              </w:pPr>
                            </w:p>
                            <w:p w14:paraId="5941D296" w14:textId="77777777" w:rsidR="00147C8B" w:rsidRDefault="00147C8B"/>
                            <w:p w14:paraId="4D38BD5A"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ՈՒՂԵՐՁ</w:t>
                              </w:r>
                              <w:r w:rsidRPr="00812F22">
                                <w:rPr>
                                  <w:b/>
                                  <w:color w:val="44546A" w:themeColor="text2"/>
                                  <w:sz w:val="36"/>
                                  <w:szCs w:val="36"/>
                                  <w:lang w:val="hy-AM"/>
                                </w:rPr>
                                <w:t>-ԲԱՑԱՏՐԱԳԻՐ</w:t>
                              </w: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14C4FF03" w14:textId="77777777" w:rsidR="00147C8B" w:rsidRPr="00A3353C" w:rsidRDefault="00147C8B" w:rsidP="00682390">
                              <w:pPr>
                                <w:jc w:val="right"/>
                                <w:rPr>
                                  <w:sz w:val="74"/>
                                  <w:szCs w:val="74"/>
                                </w:rPr>
                              </w:pPr>
                            </w:p>
                            <w:p w14:paraId="6477DD58" w14:textId="77777777" w:rsidR="00147C8B" w:rsidRDefault="00147C8B" w:rsidP="00682390">
                              <w:pPr>
                                <w:jc w:val="right"/>
                              </w:pPr>
                            </w:p>
                            <w:p w14:paraId="65736F34"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 xml:space="preserve">2025 ԹՎԱԿԱՆԻ </w:t>
                              </w:r>
                            </w:p>
                            <w:p w14:paraId="187E0FDC" w14:textId="77777777" w:rsidR="00147C8B" w:rsidRPr="00A3353C" w:rsidRDefault="00147C8B" w:rsidP="00682390">
                              <w:pPr>
                                <w:jc w:val="right"/>
                                <w:rPr>
                                  <w:sz w:val="74"/>
                                  <w:szCs w:val="74"/>
                                </w:rPr>
                              </w:pPr>
                            </w:p>
                            <w:p w14:paraId="373328F7" w14:textId="77777777" w:rsidR="00147C8B" w:rsidRDefault="00147C8B"/>
                            <w:p w14:paraId="35F490D4" w14:textId="77777777"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0264D875" w14:textId="77777777" w:rsidR="00147C8B" w:rsidRPr="00A3353C" w:rsidRDefault="00147C8B" w:rsidP="00682390">
                              <w:pPr>
                                <w:jc w:val="right"/>
                                <w:rPr>
                                  <w:sz w:val="74"/>
                                  <w:szCs w:val="74"/>
                                </w:rPr>
                              </w:pPr>
                            </w:p>
                            <w:p w14:paraId="71D09FE5" w14:textId="77777777" w:rsidR="00147C8B" w:rsidRDefault="00147C8B" w:rsidP="00682390">
                              <w:pPr>
                                <w:jc w:val="right"/>
                              </w:pPr>
                            </w:p>
                            <w:p w14:paraId="6B931884"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 xml:space="preserve">2025 ԹՎԱԿԱՆԻ </w:t>
                              </w:r>
                            </w:p>
                            <w:p w14:paraId="05206855" w14:textId="77777777" w:rsidR="00147C8B" w:rsidRPr="00A3353C" w:rsidRDefault="00147C8B" w:rsidP="00682390">
                              <w:pPr>
                                <w:jc w:val="right"/>
                                <w:rPr>
                                  <w:sz w:val="74"/>
                                  <w:szCs w:val="74"/>
                                </w:rPr>
                              </w:pPr>
                            </w:p>
                            <w:p w14:paraId="474F3967" w14:textId="77777777" w:rsidR="00147C8B" w:rsidRDefault="00147C8B"/>
                            <w:p w14:paraId="56E4654B" w14:textId="445C12A8" w:rsidR="00147C8B" w:rsidRPr="00812F22" w:rsidRDefault="00147C8B" w:rsidP="00682390">
                              <w:pPr>
                                <w:pStyle w:val="BodyText1"/>
                                <w:jc w:val="right"/>
                                <w:rPr>
                                  <w:b/>
                                  <w:color w:val="44546A" w:themeColor="text2"/>
                                  <w:sz w:val="36"/>
                                  <w:szCs w:val="36"/>
                                </w:rPr>
                              </w:pPr>
                              <w:r w:rsidRPr="00812F22">
                                <w:rPr>
                                  <w:b/>
                                  <w:color w:val="44546A" w:themeColor="text2"/>
                                  <w:sz w:val="36"/>
                                  <w:szCs w:val="36"/>
                                </w:rPr>
                                <w:t>ՈՒՂԵՐՁ</w:t>
                              </w:r>
                              <w:r w:rsidRPr="00812F22">
                                <w:rPr>
                                  <w:b/>
                                  <w:color w:val="44546A" w:themeColor="text2"/>
                                  <w:sz w:val="36"/>
                                  <w:szCs w:val="36"/>
                                  <w:lang w:val="hy-AM"/>
                                </w:rPr>
                                <w:t>-ԲԱՑԱՏՐԱԳԻՐ</w:t>
                              </w:r>
                              <w:r w:rsidRPr="00812F22">
                                <w:rPr>
                                  <w:b/>
                                  <w:color w:val="44546A" w:themeColor="text2"/>
                                  <w:sz w:val="36"/>
                                  <w:szCs w:val="36"/>
                                </w:rPr>
                                <w:t>2025 ԹՎԱԿԱՆԻ</w:t>
                              </w:r>
                              <w:r>
                                <w:rPr>
                                  <w:b/>
                                  <w:color w:val="44546A" w:themeColor="text2"/>
                                  <w:sz w:val="36"/>
                                  <w:szCs w:val="36"/>
                                  <w:lang w:val="hy-AM"/>
                                </w:rPr>
                                <w:t xml:space="preserve"> ՊԵՏԱԿԱՆ ԲՅՈՒՋԵԻ</w:t>
                              </w:r>
                              <w:r w:rsidRPr="00812F22">
                                <w:rPr>
                                  <w:b/>
                                  <w:color w:val="44546A" w:themeColor="text2"/>
                                  <w:sz w:val="36"/>
                                  <w:szCs w:val="36"/>
                                </w:rPr>
                                <w:t xml:space="preserve"> </w:t>
                              </w:r>
                            </w:p>
                            <w:p w14:paraId="130ED74C" w14:textId="77777777" w:rsidR="00147C8B" w:rsidRPr="00A3353C" w:rsidRDefault="00147C8B" w:rsidP="00682390">
                              <w:pPr>
                                <w:jc w:val="right"/>
                                <w:rPr>
                                  <w:sz w:val="74"/>
                                  <w:szCs w:val="74"/>
                                </w:rPr>
                              </w:pPr>
                            </w:p>
                            <w:p w14:paraId="3B664B69" w14:textId="77777777" w:rsidR="00147C8B" w:rsidRDefault="00147C8B" w:rsidP="00682390">
                              <w:pPr>
                                <w:jc w:val="right"/>
                              </w:pPr>
                            </w:p>
                            <w:p w14:paraId="21F09C38" w14:textId="77777777" w:rsidR="00147C8B" w:rsidRPr="00682390" w:rsidRDefault="00147C8B" w:rsidP="00682390">
                              <w:pPr>
                                <w:pStyle w:val="BodyText1"/>
                                <w:jc w:val="right"/>
                                <w:rPr>
                                  <w:b/>
                                  <w:color w:val="44546A" w:themeColor="text2"/>
                                  <w:sz w:val="70"/>
                                  <w:szCs w:val="70"/>
                                </w:rPr>
                              </w:pPr>
                              <w:r w:rsidRPr="00682390">
                                <w:rPr>
                                  <w:b/>
                                  <w:color w:val="44546A" w:themeColor="text2"/>
                                  <w:sz w:val="40"/>
                                  <w:szCs w:val="40"/>
                                </w:rPr>
                                <w:t>ԲՅՈՒՋԵՏԱՅԻՆ ՈՒՂԵՐՁ</w:t>
                              </w:r>
                              <w:r w:rsidRPr="00682390">
                                <w:rPr>
                                  <w:b/>
                                  <w:color w:val="44546A" w:themeColor="text2"/>
                                  <w:sz w:val="70"/>
                                  <w:szCs w:val="70"/>
                                </w:rPr>
                                <w:t>2025 ԹՎԱԿԱՆԻ</w:t>
                              </w:r>
                              <w:bookmarkEnd w:id="3"/>
                              <w:r w:rsidRPr="00682390">
                                <w:rPr>
                                  <w:b/>
                                  <w:color w:val="44546A" w:themeColor="text2"/>
                                  <w:sz w:val="70"/>
                                  <w:szCs w:val="70"/>
                                </w:rPr>
                                <w:t xml:space="preserve"> </w:t>
                              </w:r>
                            </w:p>
                            <w:p w14:paraId="26A5D20F" w14:textId="77777777" w:rsidR="00147C8B" w:rsidRPr="00A3353C" w:rsidRDefault="00147C8B" w:rsidP="00682390">
                              <w:pPr>
                                <w:jc w:val="right"/>
                                <w:rPr>
                                  <w:sz w:val="74"/>
                                  <w:szCs w:val="74"/>
                                </w:rPr>
                              </w:pPr>
                            </w:p>
                          </w:txbxContent>
                        </v:textbox>
                        <w10:wrap anchorx="margin"/>
                      </v:shape>
                    </w:pict>
                  </mc:Fallback>
                </mc:AlternateContent>
              </w:r>
              <w:r w:rsidR="00056843">
                <w:rPr>
                  <w:noProof/>
                </w:rPr>
                <mc:AlternateContent>
                  <mc:Choice Requires="wps">
                    <w:drawing>
                      <wp:anchor distT="91440" distB="91440" distL="365760" distR="365760" simplePos="0" relativeHeight="251689984" behindDoc="0" locked="0" layoutInCell="1" allowOverlap="1" wp14:anchorId="14692E90" wp14:editId="222BF51A">
                        <wp:simplePos x="0" y="0"/>
                        <wp:positionH relativeFrom="margin">
                          <wp:posOffset>-289290</wp:posOffset>
                        </wp:positionH>
                        <wp:positionV relativeFrom="margin">
                          <wp:posOffset>9079264</wp:posOffset>
                        </wp:positionV>
                        <wp:extent cx="1845129" cy="411682"/>
                        <wp:effectExtent l="0" t="0" r="0" b="7620"/>
                        <wp:wrapNone/>
                        <wp:docPr id="61" name="Rectangle 61"/>
                        <wp:cNvGraphicFramePr/>
                        <a:graphic xmlns:a="http://schemas.openxmlformats.org/drawingml/2006/main">
                          <a:graphicData uri="http://schemas.microsoft.com/office/word/2010/wordprocessingShape">
                            <wps:wsp>
                              <wps:cNvSpPr/>
                              <wps:spPr>
                                <a:xfrm>
                                  <a:off x="0" y="0"/>
                                  <a:ext cx="1845129" cy="411682"/>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3B73CB0" w14:textId="04C501D5" w:rsidR="00147C8B" w:rsidRPr="00056843" w:rsidRDefault="00147C8B" w:rsidP="00056843">
                                    <w:pPr>
                                      <w:jc w:val="center"/>
                                      <w:rPr>
                                        <w:color w:val="FFFFFF" w:themeColor="background1"/>
                                        <w:lang w:val="hy-AM"/>
                                      </w:rPr>
                                    </w:pPr>
                                    <w:r>
                                      <w:rPr>
                                        <w:color w:val="FFFFFF" w:themeColor="background1"/>
                                        <w:lang w:val="hy-AM"/>
                                      </w:rPr>
                                      <w:t>ԵՐԵՎԱՆ 2025</w:t>
                                    </w:r>
                                  </w:p>
                                  <w:p w14:paraId="279FD1B4" w14:textId="77777777" w:rsidR="00147C8B" w:rsidRDefault="00147C8B"/>
                                  <w:p w14:paraId="393CBD38"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6A33E44C" w14:textId="77777777" w:rsidR="00147C8B" w:rsidRDefault="00147C8B"/>
                                  <w:p w14:paraId="63CA1CC3"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5BBE46EB" w14:textId="77777777" w:rsidR="00147C8B" w:rsidRDefault="00147C8B"/>
                                  <w:p w14:paraId="2DB39CA9"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5E8DB976" w14:textId="77777777" w:rsidR="00147C8B" w:rsidRDefault="00147C8B"/>
                                  <w:p w14:paraId="7E10DB4D"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67BA0757" w14:textId="77777777" w:rsidR="00147C8B" w:rsidRDefault="00147C8B"/>
                                  <w:p w14:paraId="66B883DF"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4FA7F819" w14:textId="77777777" w:rsidR="00147C8B" w:rsidRDefault="00147C8B"/>
                                  <w:p w14:paraId="79E5BB1C"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7D480DD1" w14:textId="77777777" w:rsidR="00147C8B" w:rsidRDefault="00147C8B"/>
                                  <w:p w14:paraId="5046F373"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4CF66B9A" w14:textId="77777777" w:rsidR="00147C8B" w:rsidRDefault="00147C8B"/>
                                  <w:p w14:paraId="248AD135"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7C88A50F" w14:textId="77777777" w:rsidR="00147C8B" w:rsidRDefault="00147C8B"/>
                                  <w:p w14:paraId="2131233E"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7521BF7C" w14:textId="77777777" w:rsidR="00147C8B" w:rsidRDefault="00147C8B"/>
                                  <w:p w14:paraId="2ABC0091"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096E92B8" w14:textId="77777777" w:rsidR="00147C8B" w:rsidRDefault="00147C8B"/>
                                  <w:p w14:paraId="71FF60BA"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6D2EAF23" w14:textId="77777777" w:rsidR="00147C8B" w:rsidRDefault="00147C8B"/>
                                  <w:p w14:paraId="3301BD63"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64CB598D" w14:textId="77777777" w:rsidR="00147C8B" w:rsidRDefault="00147C8B"/>
                                  <w:p w14:paraId="68376736"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307F7F86" w14:textId="77777777" w:rsidR="00147C8B" w:rsidRDefault="00147C8B"/>
                                  <w:p w14:paraId="264C09A7"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4E1B1A91" w14:textId="77777777" w:rsidR="00147C8B" w:rsidRDefault="00147C8B"/>
                                  <w:p w14:paraId="00D710C9"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55AB95E8" w14:textId="77777777" w:rsidR="00147C8B" w:rsidRDefault="00147C8B"/>
                                  <w:p w14:paraId="32A2C98A" w14:textId="77777777" w:rsidR="00147C8B" w:rsidRPr="00056843" w:rsidRDefault="00147C8B" w:rsidP="00056843">
                                    <w:pPr>
                                      <w:jc w:val="center"/>
                                      <w:rPr>
                                        <w:color w:val="FFFFFF" w:themeColor="background1"/>
                                        <w:lang w:val="hy-AM"/>
                                      </w:rPr>
                                    </w:pPr>
                                    <w:r>
                                      <w:rPr>
                                        <w:color w:val="FFFFFF" w:themeColor="background1"/>
                                        <w:lang w:val="hy-AM"/>
                                      </w:rPr>
                                      <w:t>ԵՐԵՎԱՆ 2025</w:t>
                                    </w:r>
                                  </w:p>
                                  <w:p w14:paraId="2A1A736C" w14:textId="77777777" w:rsidR="00147C8B" w:rsidRDefault="00147C8B"/>
                                  <w:p w14:paraId="53CACA3A"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25BD04AA" w14:textId="77777777" w:rsidR="00147C8B" w:rsidRDefault="00147C8B"/>
                                  <w:p w14:paraId="5F68AF52"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4E1AB428" w14:textId="77777777" w:rsidR="00147C8B" w:rsidRDefault="00147C8B"/>
                                  <w:p w14:paraId="717E346D"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11AE27E5" w14:textId="77777777" w:rsidR="00147C8B" w:rsidRDefault="00147C8B"/>
                                  <w:p w14:paraId="613D3E0D"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05826BF7" w14:textId="77777777" w:rsidR="00147C8B" w:rsidRDefault="00147C8B"/>
                                  <w:p w14:paraId="7774A424"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50C9E8DF" w14:textId="77777777" w:rsidR="00147C8B" w:rsidRDefault="00147C8B"/>
                                  <w:p w14:paraId="6CF78D26"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6FEED859" w14:textId="77777777" w:rsidR="00147C8B" w:rsidRDefault="00147C8B"/>
                                  <w:p w14:paraId="38EEBDC0"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39F24C7C" w14:textId="77777777" w:rsidR="00147C8B" w:rsidRDefault="00147C8B"/>
                                  <w:p w14:paraId="1F6D13CE"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369D88BF" w14:textId="77777777" w:rsidR="00147C8B" w:rsidRDefault="00147C8B"/>
                                  <w:p w14:paraId="5493E918"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4962122A" w14:textId="77777777" w:rsidR="00147C8B" w:rsidRDefault="00147C8B"/>
                                  <w:p w14:paraId="525FA3EF"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3A20D706" w14:textId="77777777" w:rsidR="00147C8B" w:rsidRDefault="00147C8B"/>
                                  <w:p w14:paraId="18E5DACC"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450780E0" w14:textId="77777777" w:rsidR="00147C8B" w:rsidRDefault="00147C8B"/>
                                  <w:p w14:paraId="4BE7F721"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1D007A18" w14:textId="77777777" w:rsidR="00147C8B" w:rsidRDefault="00147C8B"/>
                                  <w:p w14:paraId="36589AAC"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00329BEB" w14:textId="77777777" w:rsidR="00147C8B" w:rsidRDefault="00147C8B"/>
                                  <w:p w14:paraId="30943B46"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41B2A90C" w14:textId="77777777" w:rsidR="00147C8B" w:rsidRDefault="00147C8B"/>
                                  <w:p w14:paraId="7E0C178F"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30F0BFDD" w14:textId="77777777" w:rsidR="00147C8B" w:rsidRDefault="00147C8B"/>
                                  <w:p w14:paraId="1EFD3EF4" w14:textId="77777777" w:rsidR="00147C8B" w:rsidRPr="00056843" w:rsidRDefault="00147C8B" w:rsidP="00056843">
                                    <w:pPr>
                                      <w:jc w:val="center"/>
                                      <w:rPr>
                                        <w:color w:val="FFFFFF" w:themeColor="background1"/>
                                        <w:lang w:val="hy-AM"/>
                                      </w:rPr>
                                    </w:pPr>
                                    <w:r>
                                      <w:rPr>
                                        <w:color w:val="FFFFFF" w:themeColor="background1"/>
                                        <w:lang w:val="hy-AM"/>
                                      </w:rPr>
                                      <w:t>ԵՐԵՎԱՆ 2025</w:t>
                                    </w:r>
                                  </w:p>
                                  <w:p w14:paraId="7464DCEC" w14:textId="77777777" w:rsidR="00147C8B" w:rsidRDefault="00147C8B"/>
                                  <w:p w14:paraId="5C7C321C"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239B3710" w14:textId="77777777" w:rsidR="00147C8B" w:rsidRDefault="00147C8B"/>
                                  <w:p w14:paraId="149C20F4"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44A8F6B3" w14:textId="77777777" w:rsidR="00147C8B" w:rsidRDefault="00147C8B"/>
                                  <w:p w14:paraId="210D0480"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0B726351" w14:textId="77777777" w:rsidR="00147C8B" w:rsidRDefault="00147C8B"/>
                                  <w:p w14:paraId="3E58D279"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708F40B3" w14:textId="77777777" w:rsidR="00147C8B" w:rsidRDefault="00147C8B"/>
                                  <w:p w14:paraId="42B1FD93"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4159D5A1" w14:textId="77777777" w:rsidR="00147C8B" w:rsidRDefault="00147C8B"/>
                                  <w:p w14:paraId="2E656A8A"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03B4FCF0" w14:textId="77777777" w:rsidR="00147C8B" w:rsidRDefault="00147C8B"/>
                                  <w:p w14:paraId="51583DA1"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41413D67" w14:textId="77777777" w:rsidR="00147C8B" w:rsidRDefault="00147C8B"/>
                                  <w:p w14:paraId="7EDD722E"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10723FC8" w14:textId="77777777" w:rsidR="00147C8B" w:rsidRDefault="00147C8B"/>
                                  <w:p w14:paraId="0A0592E2"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12E0968F" w14:textId="77777777" w:rsidR="00147C8B" w:rsidRDefault="00147C8B"/>
                                  <w:p w14:paraId="4CFCB71A"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16094168" w14:textId="77777777" w:rsidR="00147C8B" w:rsidRDefault="00147C8B"/>
                                  <w:p w14:paraId="7C1EE7E7"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48B380CE" w14:textId="77777777" w:rsidR="00147C8B" w:rsidRDefault="00147C8B"/>
                                  <w:p w14:paraId="29612A4A"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0FA02F5A" w14:textId="77777777" w:rsidR="00147C8B" w:rsidRDefault="00147C8B"/>
                                  <w:p w14:paraId="0F455AB4"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72B5580C" w14:textId="77777777" w:rsidR="00147C8B" w:rsidRDefault="00147C8B"/>
                                  <w:p w14:paraId="31FFA817"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37E04B34" w14:textId="77777777" w:rsidR="00147C8B" w:rsidRDefault="00147C8B"/>
                                  <w:p w14:paraId="32B1E35B"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6D6BEF40" w14:textId="77777777" w:rsidR="00147C8B" w:rsidRDefault="00147C8B"/>
                                  <w:p w14:paraId="60C6583E" w14:textId="77777777" w:rsidR="00147C8B" w:rsidRPr="00056843" w:rsidRDefault="00147C8B" w:rsidP="00056843">
                                    <w:pPr>
                                      <w:jc w:val="center"/>
                                      <w:rPr>
                                        <w:color w:val="FFFFFF" w:themeColor="background1"/>
                                        <w:lang w:val="hy-AM"/>
                                      </w:rPr>
                                    </w:pPr>
                                    <w:r>
                                      <w:rPr>
                                        <w:color w:val="FFFFFF" w:themeColor="background1"/>
                                        <w:lang w:val="hy-AM"/>
                                      </w:rPr>
                                      <w:t>ԵՐԵՎԱՆ 2025</w:t>
                                    </w:r>
                                  </w:p>
                                  <w:p w14:paraId="3434353D" w14:textId="77777777" w:rsidR="00147C8B" w:rsidRDefault="00147C8B"/>
                                  <w:p w14:paraId="51EB4285"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4963CE98" w14:textId="77777777" w:rsidR="00147C8B" w:rsidRDefault="00147C8B"/>
                                  <w:p w14:paraId="14F974BD"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41003021" w14:textId="77777777" w:rsidR="00147C8B" w:rsidRDefault="00147C8B"/>
                                  <w:p w14:paraId="3F43480A"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132F909C" w14:textId="77777777" w:rsidR="00147C8B" w:rsidRDefault="00147C8B"/>
                                  <w:p w14:paraId="22CB7682"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728E17CA" w14:textId="77777777" w:rsidR="00147C8B" w:rsidRDefault="00147C8B"/>
                                  <w:p w14:paraId="503393EC"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65BEA22B" w14:textId="77777777" w:rsidR="00147C8B" w:rsidRDefault="00147C8B"/>
                                  <w:p w14:paraId="5D6038DD"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4F72700B" w14:textId="77777777" w:rsidR="00147C8B" w:rsidRDefault="00147C8B"/>
                                  <w:p w14:paraId="74413633"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04C94B6D" w14:textId="77777777" w:rsidR="00147C8B" w:rsidRDefault="00147C8B"/>
                                  <w:p w14:paraId="395F42AE"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168DDBE3" w14:textId="77777777" w:rsidR="00147C8B" w:rsidRDefault="00147C8B"/>
                                  <w:p w14:paraId="5B3962AA"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438AED5F" w14:textId="77777777" w:rsidR="00147C8B" w:rsidRDefault="00147C8B"/>
                                  <w:p w14:paraId="43C138A4"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66A6D154" w14:textId="77777777" w:rsidR="00147C8B" w:rsidRDefault="00147C8B"/>
                                  <w:p w14:paraId="28B976FB"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6E165180" w14:textId="77777777" w:rsidR="00147C8B" w:rsidRDefault="00147C8B"/>
                                  <w:p w14:paraId="69417EED"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10AF4BCD" w14:textId="77777777" w:rsidR="00147C8B" w:rsidRDefault="00147C8B"/>
                                  <w:p w14:paraId="2FFBBB0F"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67440224" w14:textId="77777777" w:rsidR="00147C8B" w:rsidRDefault="00147C8B"/>
                                  <w:p w14:paraId="37131B29"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7305C5F0" w14:textId="77777777" w:rsidR="00147C8B" w:rsidRDefault="00147C8B"/>
                                  <w:p w14:paraId="3F87846B"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4CEFDD01" w14:textId="77777777" w:rsidR="00147C8B" w:rsidRDefault="00147C8B"/>
                                  <w:p w14:paraId="5DC2E416" w14:textId="77777777" w:rsidR="00147C8B" w:rsidRPr="00056843" w:rsidRDefault="00147C8B" w:rsidP="00056843">
                                    <w:pPr>
                                      <w:jc w:val="center"/>
                                      <w:rPr>
                                        <w:color w:val="FFFFFF" w:themeColor="background1"/>
                                        <w:lang w:val="hy-AM"/>
                                      </w:rPr>
                                    </w:pPr>
                                    <w:r>
                                      <w:rPr>
                                        <w:color w:val="FFFFFF" w:themeColor="background1"/>
                                        <w:lang w:val="hy-AM"/>
                                      </w:rPr>
                                      <w:t>ԵՐԵՎԱՆ 2025</w:t>
                                    </w:r>
                                  </w:p>
                                  <w:p w14:paraId="18B50047" w14:textId="77777777" w:rsidR="00147C8B" w:rsidRDefault="00147C8B"/>
                                  <w:p w14:paraId="72D866ED"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72F188B5" w14:textId="77777777" w:rsidR="00147C8B" w:rsidRDefault="00147C8B"/>
                                  <w:p w14:paraId="37167646"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73C43245" w14:textId="77777777" w:rsidR="00147C8B" w:rsidRDefault="00147C8B"/>
                                  <w:p w14:paraId="48C96EE9"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72B0C592" w14:textId="77777777" w:rsidR="00147C8B" w:rsidRDefault="00147C8B"/>
                                  <w:p w14:paraId="02986595"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2B7DBC34" w14:textId="77777777" w:rsidR="00147C8B" w:rsidRDefault="00147C8B"/>
                                  <w:p w14:paraId="11A9DDC7"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3CADDF54" w14:textId="77777777" w:rsidR="00147C8B" w:rsidRDefault="00147C8B"/>
                                  <w:p w14:paraId="755D70A8"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1CB7C063" w14:textId="77777777" w:rsidR="00147C8B" w:rsidRDefault="00147C8B"/>
                                  <w:p w14:paraId="505C6A69"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046B0CD3" w14:textId="77777777" w:rsidR="00147C8B" w:rsidRDefault="00147C8B"/>
                                  <w:p w14:paraId="19D7A37E"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00A7CC07" w14:textId="77777777" w:rsidR="00147C8B" w:rsidRDefault="00147C8B"/>
                                  <w:p w14:paraId="404AE54F"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144BED75" w14:textId="77777777" w:rsidR="00147C8B" w:rsidRDefault="00147C8B"/>
                                  <w:p w14:paraId="3FE153B5"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4255150E" w14:textId="77777777" w:rsidR="00147C8B" w:rsidRDefault="00147C8B"/>
                                  <w:p w14:paraId="55158CCE"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36C7A90E" w14:textId="77777777" w:rsidR="00147C8B" w:rsidRDefault="00147C8B"/>
                                  <w:p w14:paraId="24AD5F58"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2A2F83F8" w14:textId="77777777" w:rsidR="00147C8B" w:rsidRDefault="00147C8B"/>
                                  <w:p w14:paraId="7BE68221"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551B1F4D" w14:textId="77777777" w:rsidR="00147C8B" w:rsidRDefault="00147C8B"/>
                                  <w:p w14:paraId="0C8CBBCC"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0E0D2707" w14:textId="77777777" w:rsidR="00147C8B" w:rsidRDefault="00147C8B"/>
                                  <w:p w14:paraId="299EE793"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5026B670" w14:textId="77777777" w:rsidR="00147C8B" w:rsidRDefault="00147C8B"/>
                                  <w:p w14:paraId="7831BDD3" w14:textId="77777777" w:rsidR="00147C8B" w:rsidRPr="00056843" w:rsidRDefault="00147C8B" w:rsidP="00056843">
                                    <w:pPr>
                                      <w:jc w:val="center"/>
                                      <w:rPr>
                                        <w:color w:val="FFFFFF" w:themeColor="background1"/>
                                        <w:lang w:val="hy-AM"/>
                                      </w:rPr>
                                    </w:pPr>
                                    <w:r>
                                      <w:rPr>
                                        <w:color w:val="FFFFFF" w:themeColor="background1"/>
                                        <w:lang w:val="hy-AM"/>
                                      </w:rPr>
                                      <w:t>ԵՐԵՎԱՆ 2025</w:t>
                                    </w:r>
                                  </w:p>
                                  <w:p w14:paraId="274C515F" w14:textId="77777777" w:rsidR="00147C8B" w:rsidRDefault="00147C8B"/>
                                  <w:p w14:paraId="35DA7DF5"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1A1EEEAE" w14:textId="77777777" w:rsidR="00147C8B" w:rsidRDefault="00147C8B"/>
                                  <w:p w14:paraId="2FB75869"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27C78DC3" w14:textId="77777777" w:rsidR="00147C8B" w:rsidRDefault="00147C8B"/>
                                  <w:p w14:paraId="2D962E9C"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7586D60F" w14:textId="77777777" w:rsidR="00147C8B" w:rsidRDefault="00147C8B"/>
                                  <w:p w14:paraId="50CEF0EA"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2DFD1767" w14:textId="77777777" w:rsidR="00147C8B" w:rsidRDefault="00147C8B"/>
                                  <w:p w14:paraId="61778E73"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42A0CF48" w14:textId="77777777" w:rsidR="00147C8B" w:rsidRDefault="00147C8B"/>
                                  <w:p w14:paraId="2E3CE083"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707DD5E2" w14:textId="77777777" w:rsidR="00147C8B" w:rsidRDefault="00147C8B"/>
                                  <w:p w14:paraId="26832634"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105D7056" w14:textId="77777777" w:rsidR="00147C8B" w:rsidRDefault="00147C8B"/>
                                  <w:p w14:paraId="6BAB45BE"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249F7433" w14:textId="77777777" w:rsidR="00147C8B" w:rsidRDefault="00147C8B"/>
                                  <w:p w14:paraId="14398AD8"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7E902A6D" w14:textId="77777777" w:rsidR="00147C8B" w:rsidRDefault="00147C8B"/>
                                  <w:p w14:paraId="7BB88D02"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720677D7" w14:textId="77777777" w:rsidR="00147C8B" w:rsidRDefault="00147C8B"/>
                                  <w:p w14:paraId="7D306584"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44B3873E" w14:textId="77777777" w:rsidR="00147C8B" w:rsidRDefault="00147C8B"/>
                                  <w:p w14:paraId="36582CF7"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6FC1D898" w14:textId="77777777" w:rsidR="00147C8B" w:rsidRDefault="00147C8B"/>
                                  <w:p w14:paraId="7A9F2964"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4703CA01" w14:textId="77777777" w:rsidR="00147C8B" w:rsidRDefault="00147C8B"/>
                                  <w:p w14:paraId="776958C2"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1F7F06DC" w14:textId="77777777" w:rsidR="00147C8B" w:rsidRDefault="00147C8B"/>
                                  <w:p w14:paraId="6736ED7A"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41414D11" w14:textId="77777777" w:rsidR="00147C8B" w:rsidRDefault="00147C8B"/>
                                  <w:p w14:paraId="262B87DB" w14:textId="77777777" w:rsidR="00147C8B" w:rsidRPr="00056843" w:rsidRDefault="00147C8B" w:rsidP="00056843">
                                    <w:pPr>
                                      <w:jc w:val="center"/>
                                      <w:rPr>
                                        <w:color w:val="FFFFFF" w:themeColor="background1"/>
                                        <w:lang w:val="hy-AM"/>
                                      </w:rPr>
                                    </w:pPr>
                                    <w:r>
                                      <w:rPr>
                                        <w:color w:val="FFFFFF" w:themeColor="background1"/>
                                        <w:lang w:val="hy-AM"/>
                                      </w:rPr>
                                      <w:t>ԵՐԵՎԱՆ 2025</w:t>
                                    </w:r>
                                  </w:p>
                                  <w:p w14:paraId="6F079D4B" w14:textId="77777777" w:rsidR="00147C8B" w:rsidRDefault="00147C8B"/>
                                  <w:p w14:paraId="122A440E"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7A817FA9" w14:textId="77777777" w:rsidR="00147C8B" w:rsidRDefault="00147C8B"/>
                                  <w:p w14:paraId="550B6789"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318FD766" w14:textId="77777777" w:rsidR="00147C8B" w:rsidRDefault="00147C8B"/>
                                  <w:p w14:paraId="76473BB8"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25CAEF9E" w14:textId="77777777" w:rsidR="00147C8B" w:rsidRDefault="00147C8B"/>
                                  <w:p w14:paraId="755737EB"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2E092311" w14:textId="77777777" w:rsidR="00147C8B" w:rsidRDefault="00147C8B"/>
                                  <w:p w14:paraId="2F92FDD9"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352129ED" w14:textId="77777777" w:rsidR="00147C8B" w:rsidRDefault="00147C8B"/>
                                  <w:p w14:paraId="5452367F"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71019853" w14:textId="77777777" w:rsidR="00147C8B" w:rsidRDefault="00147C8B"/>
                                  <w:p w14:paraId="653DA176"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086808B5" w14:textId="77777777" w:rsidR="00147C8B" w:rsidRDefault="00147C8B"/>
                                  <w:p w14:paraId="1A22BD41"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41C3349D" w14:textId="77777777" w:rsidR="00147C8B" w:rsidRDefault="00147C8B"/>
                                  <w:p w14:paraId="78C6483E"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69CE713A" w14:textId="77777777" w:rsidR="00147C8B" w:rsidRDefault="00147C8B"/>
                                  <w:p w14:paraId="2FDA9DE8"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70E88CF8" w14:textId="77777777" w:rsidR="00147C8B" w:rsidRDefault="00147C8B"/>
                                  <w:p w14:paraId="2474EF12"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35044B73" w14:textId="77777777" w:rsidR="00147C8B" w:rsidRDefault="00147C8B"/>
                                  <w:p w14:paraId="00CF4051"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29E3061F" w14:textId="77777777" w:rsidR="00147C8B" w:rsidRDefault="00147C8B"/>
                                  <w:p w14:paraId="056E8A90"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7CC6773C" w14:textId="77777777" w:rsidR="00147C8B" w:rsidRDefault="00147C8B"/>
                                  <w:p w14:paraId="64D934D7"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7BCCFDE2" w14:textId="77777777" w:rsidR="00147C8B" w:rsidRDefault="00147C8B"/>
                                  <w:p w14:paraId="0234C8E2"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3E0B2A4B" w14:textId="77777777" w:rsidR="00147C8B" w:rsidRDefault="00147C8B"/>
                                  <w:p w14:paraId="256CC647" w14:textId="77777777" w:rsidR="00147C8B" w:rsidRPr="00056843" w:rsidRDefault="00147C8B" w:rsidP="00056843">
                                    <w:pPr>
                                      <w:jc w:val="center"/>
                                      <w:rPr>
                                        <w:color w:val="FFFFFF" w:themeColor="background1"/>
                                        <w:lang w:val="hy-AM"/>
                                      </w:rPr>
                                    </w:pPr>
                                    <w:r>
                                      <w:rPr>
                                        <w:color w:val="FFFFFF" w:themeColor="background1"/>
                                        <w:lang w:val="hy-AM"/>
                                      </w:rPr>
                                      <w:t>ԵՐԵՎԱՆ 2025</w:t>
                                    </w:r>
                                  </w:p>
                                  <w:p w14:paraId="58FF457E" w14:textId="77777777" w:rsidR="00147C8B" w:rsidRDefault="00147C8B"/>
                                  <w:p w14:paraId="5419D959"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7EB41EB8" w14:textId="77777777" w:rsidR="00147C8B" w:rsidRDefault="00147C8B"/>
                                  <w:p w14:paraId="5F0B6E8E"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549D2536" w14:textId="77777777" w:rsidR="00147C8B" w:rsidRDefault="00147C8B"/>
                                  <w:p w14:paraId="2BA96A7A"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1D668657" w14:textId="77777777" w:rsidR="00147C8B" w:rsidRDefault="00147C8B"/>
                                  <w:p w14:paraId="013C7E0B"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08BC1596" w14:textId="77777777" w:rsidR="00147C8B" w:rsidRDefault="00147C8B"/>
                                  <w:p w14:paraId="3294C7B4"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10BE09D1" w14:textId="77777777" w:rsidR="00147C8B" w:rsidRDefault="00147C8B"/>
                                  <w:p w14:paraId="658B4258"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2A7D20FE" w14:textId="77777777" w:rsidR="00147C8B" w:rsidRDefault="00147C8B"/>
                                  <w:p w14:paraId="1D678B8A"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2860E9C0" w14:textId="77777777" w:rsidR="00147C8B" w:rsidRDefault="00147C8B"/>
                                  <w:p w14:paraId="06E13C62"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09D6293D" w14:textId="77777777" w:rsidR="00147C8B" w:rsidRDefault="00147C8B"/>
                                  <w:p w14:paraId="77F8AE06"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1A39041C" w14:textId="77777777" w:rsidR="00147C8B" w:rsidRDefault="00147C8B"/>
                                  <w:p w14:paraId="185F5741"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1CA30B1E" w14:textId="77777777" w:rsidR="00147C8B" w:rsidRDefault="00147C8B"/>
                                  <w:p w14:paraId="35EE41B6"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105BA55B" w14:textId="77777777" w:rsidR="00147C8B" w:rsidRDefault="00147C8B"/>
                                  <w:p w14:paraId="52AA3A69"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678FB518" w14:textId="77777777" w:rsidR="00147C8B" w:rsidRDefault="00147C8B"/>
                                  <w:p w14:paraId="0F234997"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57CAE099" w14:textId="77777777" w:rsidR="00147C8B" w:rsidRDefault="00147C8B"/>
                                  <w:p w14:paraId="11683AAD"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669FAAAE" w14:textId="77777777" w:rsidR="00147C8B" w:rsidRDefault="00147C8B"/>
                                  <w:p w14:paraId="5E128340" w14:textId="77777777" w:rsidR="00147C8B" w:rsidRPr="00056843" w:rsidRDefault="00147C8B" w:rsidP="00056843">
                                    <w:pPr>
                                      <w:jc w:val="center"/>
                                      <w:rPr>
                                        <w:color w:val="FFFFFF" w:themeColor="background1"/>
                                        <w:lang w:val="hy-AM"/>
                                      </w:rPr>
                                    </w:pPr>
                                    <w:r>
                                      <w:rPr>
                                        <w:color w:val="FFFFFF" w:themeColor="background1"/>
                                        <w:lang w:val="hy-AM"/>
                                      </w:rPr>
                                      <w:t>ԵՐԵՎԱՆ 2024</w:t>
                                    </w:r>
                                  </w:p>
                                </w:txbxContent>
                              </wps:txbx>
                              <wps:bodyPr rot="0" spcFirstLastPara="0" vertOverflow="overflow" horzOverflow="overflow" vert="horz" wrap="square" lIns="137160" tIns="0" rIns="13716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4692E90" id="Rectangle 61" o:spid="_x0000_s1029" style="position:absolute;left:0;text-align:left;margin-left:-22.8pt;margin-top:714.9pt;width:145.3pt;height:32.4pt;z-index:251689984;visibility:visible;mso-wrap-style:square;mso-width-percent:0;mso-height-percent:0;mso-wrap-distance-left:28.8pt;mso-wrap-distance-top:7.2pt;mso-wrap-distance-right:28.8pt;mso-wrap-distance-bottom:7.2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" filled="f" stroked="f" strokeweight="1pt">
                        <v:textbox inset="10.8pt,0,10.8pt,0">
                          <w:txbxContent>
                            <w:p w14:paraId="03B73CB0" w14:textId="04C501D5" w:rsidR="00147C8B" w:rsidRPr="00056843" w:rsidRDefault="00147C8B" w:rsidP="00056843">
                              <w:pPr>
                                <w:jc w:val="center"/>
                                <w:rPr>
                                  <w:color w:val="FFFFFF" w:themeColor="background1"/>
                                  <w:lang w:val="hy-AM"/>
                                </w:rPr>
                              </w:pPr>
                              <w:r>
                                <w:rPr>
                                  <w:color w:val="FFFFFF" w:themeColor="background1"/>
                                  <w:lang w:val="hy-AM"/>
                                </w:rPr>
                                <w:t>ԵՐԵՎԱՆ 2025</w:t>
                              </w:r>
                            </w:p>
                            <w:p w14:paraId="279FD1B4" w14:textId="77777777" w:rsidR="00147C8B" w:rsidRDefault="00147C8B"/>
                            <w:p w14:paraId="393CBD38"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6A33E44C" w14:textId="77777777" w:rsidR="00147C8B" w:rsidRDefault="00147C8B"/>
                            <w:p w14:paraId="63CA1CC3"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5BBE46EB" w14:textId="77777777" w:rsidR="00147C8B" w:rsidRDefault="00147C8B"/>
                            <w:p w14:paraId="2DB39CA9"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5E8DB976" w14:textId="77777777" w:rsidR="00147C8B" w:rsidRDefault="00147C8B"/>
                            <w:p w14:paraId="7E10DB4D"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67BA0757" w14:textId="77777777" w:rsidR="00147C8B" w:rsidRDefault="00147C8B"/>
                            <w:p w14:paraId="66B883DF"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4FA7F819" w14:textId="77777777" w:rsidR="00147C8B" w:rsidRDefault="00147C8B"/>
                            <w:p w14:paraId="79E5BB1C"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7D480DD1" w14:textId="77777777" w:rsidR="00147C8B" w:rsidRDefault="00147C8B"/>
                            <w:p w14:paraId="5046F373"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4CF66B9A" w14:textId="77777777" w:rsidR="00147C8B" w:rsidRDefault="00147C8B"/>
                            <w:p w14:paraId="248AD135"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7C88A50F" w14:textId="77777777" w:rsidR="00147C8B" w:rsidRDefault="00147C8B"/>
                            <w:p w14:paraId="2131233E"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7521BF7C" w14:textId="77777777" w:rsidR="00147C8B" w:rsidRDefault="00147C8B"/>
                            <w:p w14:paraId="2ABC0091"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096E92B8" w14:textId="77777777" w:rsidR="00147C8B" w:rsidRDefault="00147C8B"/>
                            <w:p w14:paraId="71FF60BA"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6D2EAF23" w14:textId="77777777" w:rsidR="00147C8B" w:rsidRDefault="00147C8B"/>
                            <w:p w14:paraId="3301BD63"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64CB598D" w14:textId="77777777" w:rsidR="00147C8B" w:rsidRDefault="00147C8B"/>
                            <w:p w14:paraId="68376736"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307F7F86" w14:textId="77777777" w:rsidR="00147C8B" w:rsidRDefault="00147C8B"/>
                            <w:p w14:paraId="264C09A7"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4E1B1A91" w14:textId="77777777" w:rsidR="00147C8B" w:rsidRDefault="00147C8B"/>
                            <w:p w14:paraId="00D710C9"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55AB95E8" w14:textId="77777777" w:rsidR="00147C8B" w:rsidRDefault="00147C8B"/>
                            <w:p w14:paraId="32A2C98A" w14:textId="77777777" w:rsidR="00147C8B" w:rsidRPr="00056843" w:rsidRDefault="00147C8B" w:rsidP="00056843">
                              <w:pPr>
                                <w:jc w:val="center"/>
                                <w:rPr>
                                  <w:color w:val="FFFFFF" w:themeColor="background1"/>
                                  <w:lang w:val="hy-AM"/>
                                </w:rPr>
                              </w:pPr>
                              <w:r>
                                <w:rPr>
                                  <w:color w:val="FFFFFF" w:themeColor="background1"/>
                                  <w:lang w:val="hy-AM"/>
                                </w:rPr>
                                <w:t>ԵՐԵՎԱՆ 2025</w:t>
                              </w:r>
                            </w:p>
                            <w:p w14:paraId="2A1A736C" w14:textId="77777777" w:rsidR="00147C8B" w:rsidRDefault="00147C8B"/>
                            <w:p w14:paraId="53CACA3A"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25BD04AA" w14:textId="77777777" w:rsidR="00147C8B" w:rsidRDefault="00147C8B"/>
                            <w:p w14:paraId="5F68AF52"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4E1AB428" w14:textId="77777777" w:rsidR="00147C8B" w:rsidRDefault="00147C8B"/>
                            <w:p w14:paraId="717E346D"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11AE27E5" w14:textId="77777777" w:rsidR="00147C8B" w:rsidRDefault="00147C8B"/>
                            <w:p w14:paraId="613D3E0D"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05826BF7" w14:textId="77777777" w:rsidR="00147C8B" w:rsidRDefault="00147C8B"/>
                            <w:p w14:paraId="7774A424"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50C9E8DF" w14:textId="77777777" w:rsidR="00147C8B" w:rsidRDefault="00147C8B"/>
                            <w:p w14:paraId="6CF78D26"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6FEED859" w14:textId="77777777" w:rsidR="00147C8B" w:rsidRDefault="00147C8B"/>
                            <w:p w14:paraId="38EEBDC0"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39F24C7C" w14:textId="77777777" w:rsidR="00147C8B" w:rsidRDefault="00147C8B"/>
                            <w:p w14:paraId="1F6D13CE"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369D88BF" w14:textId="77777777" w:rsidR="00147C8B" w:rsidRDefault="00147C8B"/>
                            <w:p w14:paraId="5493E918"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4962122A" w14:textId="77777777" w:rsidR="00147C8B" w:rsidRDefault="00147C8B"/>
                            <w:p w14:paraId="525FA3EF"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3A20D706" w14:textId="77777777" w:rsidR="00147C8B" w:rsidRDefault="00147C8B"/>
                            <w:p w14:paraId="18E5DACC"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450780E0" w14:textId="77777777" w:rsidR="00147C8B" w:rsidRDefault="00147C8B"/>
                            <w:p w14:paraId="4BE7F721"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1D007A18" w14:textId="77777777" w:rsidR="00147C8B" w:rsidRDefault="00147C8B"/>
                            <w:p w14:paraId="36589AAC"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00329BEB" w14:textId="77777777" w:rsidR="00147C8B" w:rsidRDefault="00147C8B"/>
                            <w:p w14:paraId="30943B46"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41B2A90C" w14:textId="77777777" w:rsidR="00147C8B" w:rsidRDefault="00147C8B"/>
                            <w:p w14:paraId="7E0C178F"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30F0BFDD" w14:textId="77777777" w:rsidR="00147C8B" w:rsidRDefault="00147C8B"/>
                            <w:p w14:paraId="1EFD3EF4" w14:textId="77777777" w:rsidR="00147C8B" w:rsidRPr="00056843" w:rsidRDefault="00147C8B" w:rsidP="00056843">
                              <w:pPr>
                                <w:jc w:val="center"/>
                                <w:rPr>
                                  <w:color w:val="FFFFFF" w:themeColor="background1"/>
                                  <w:lang w:val="hy-AM"/>
                                </w:rPr>
                              </w:pPr>
                              <w:r>
                                <w:rPr>
                                  <w:color w:val="FFFFFF" w:themeColor="background1"/>
                                  <w:lang w:val="hy-AM"/>
                                </w:rPr>
                                <w:t>ԵՐԵՎԱՆ 2025</w:t>
                              </w:r>
                            </w:p>
                            <w:p w14:paraId="7464DCEC" w14:textId="77777777" w:rsidR="00147C8B" w:rsidRDefault="00147C8B"/>
                            <w:p w14:paraId="5C7C321C"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239B3710" w14:textId="77777777" w:rsidR="00147C8B" w:rsidRDefault="00147C8B"/>
                            <w:p w14:paraId="149C20F4"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44A8F6B3" w14:textId="77777777" w:rsidR="00147C8B" w:rsidRDefault="00147C8B"/>
                            <w:p w14:paraId="210D0480"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0B726351" w14:textId="77777777" w:rsidR="00147C8B" w:rsidRDefault="00147C8B"/>
                            <w:p w14:paraId="3E58D279"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708F40B3" w14:textId="77777777" w:rsidR="00147C8B" w:rsidRDefault="00147C8B"/>
                            <w:p w14:paraId="42B1FD93"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4159D5A1" w14:textId="77777777" w:rsidR="00147C8B" w:rsidRDefault="00147C8B"/>
                            <w:p w14:paraId="2E656A8A"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03B4FCF0" w14:textId="77777777" w:rsidR="00147C8B" w:rsidRDefault="00147C8B"/>
                            <w:p w14:paraId="51583DA1"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41413D67" w14:textId="77777777" w:rsidR="00147C8B" w:rsidRDefault="00147C8B"/>
                            <w:p w14:paraId="7EDD722E"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10723FC8" w14:textId="77777777" w:rsidR="00147C8B" w:rsidRDefault="00147C8B"/>
                            <w:p w14:paraId="0A0592E2"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12E0968F" w14:textId="77777777" w:rsidR="00147C8B" w:rsidRDefault="00147C8B"/>
                            <w:p w14:paraId="4CFCB71A"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16094168" w14:textId="77777777" w:rsidR="00147C8B" w:rsidRDefault="00147C8B"/>
                            <w:p w14:paraId="7C1EE7E7"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48B380CE" w14:textId="77777777" w:rsidR="00147C8B" w:rsidRDefault="00147C8B"/>
                            <w:p w14:paraId="29612A4A"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0FA02F5A" w14:textId="77777777" w:rsidR="00147C8B" w:rsidRDefault="00147C8B"/>
                            <w:p w14:paraId="0F455AB4"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72B5580C" w14:textId="77777777" w:rsidR="00147C8B" w:rsidRDefault="00147C8B"/>
                            <w:p w14:paraId="31FFA817"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37E04B34" w14:textId="77777777" w:rsidR="00147C8B" w:rsidRDefault="00147C8B"/>
                            <w:p w14:paraId="32B1E35B"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6D6BEF40" w14:textId="77777777" w:rsidR="00147C8B" w:rsidRDefault="00147C8B"/>
                            <w:p w14:paraId="60C6583E" w14:textId="77777777" w:rsidR="00147C8B" w:rsidRPr="00056843" w:rsidRDefault="00147C8B" w:rsidP="00056843">
                              <w:pPr>
                                <w:jc w:val="center"/>
                                <w:rPr>
                                  <w:color w:val="FFFFFF" w:themeColor="background1"/>
                                  <w:lang w:val="hy-AM"/>
                                </w:rPr>
                              </w:pPr>
                              <w:r>
                                <w:rPr>
                                  <w:color w:val="FFFFFF" w:themeColor="background1"/>
                                  <w:lang w:val="hy-AM"/>
                                </w:rPr>
                                <w:t>ԵՐԵՎԱՆ 2025</w:t>
                              </w:r>
                            </w:p>
                            <w:p w14:paraId="3434353D" w14:textId="77777777" w:rsidR="00147C8B" w:rsidRDefault="00147C8B"/>
                            <w:p w14:paraId="51EB4285"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4963CE98" w14:textId="77777777" w:rsidR="00147C8B" w:rsidRDefault="00147C8B"/>
                            <w:p w14:paraId="14F974BD"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41003021" w14:textId="77777777" w:rsidR="00147C8B" w:rsidRDefault="00147C8B"/>
                            <w:p w14:paraId="3F43480A"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132F909C" w14:textId="77777777" w:rsidR="00147C8B" w:rsidRDefault="00147C8B"/>
                            <w:p w14:paraId="22CB7682"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728E17CA" w14:textId="77777777" w:rsidR="00147C8B" w:rsidRDefault="00147C8B"/>
                            <w:p w14:paraId="503393EC"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65BEA22B" w14:textId="77777777" w:rsidR="00147C8B" w:rsidRDefault="00147C8B"/>
                            <w:p w14:paraId="5D6038DD"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4F72700B" w14:textId="77777777" w:rsidR="00147C8B" w:rsidRDefault="00147C8B"/>
                            <w:p w14:paraId="74413633"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04C94B6D" w14:textId="77777777" w:rsidR="00147C8B" w:rsidRDefault="00147C8B"/>
                            <w:p w14:paraId="395F42AE"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168DDBE3" w14:textId="77777777" w:rsidR="00147C8B" w:rsidRDefault="00147C8B"/>
                            <w:p w14:paraId="5B3962AA"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438AED5F" w14:textId="77777777" w:rsidR="00147C8B" w:rsidRDefault="00147C8B"/>
                            <w:p w14:paraId="43C138A4"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66A6D154" w14:textId="77777777" w:rsidR="00147C8B" w:rsidRDefault="00147C8B"/>
                            <w:p w14:paraId="28B976FB"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6E165180" w14:textId="77777777" w:rsidR="00147C8B" w:rsidRDefault="00147C8B"/>
                            <w:p w14:paraId="69417EED"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10AF4BCD" w14:textId="77777777" w:rsidR="00147C8B" w:rsidRDefault="00147C8B"/>
                            <w:p w14:paraId="2FFBBB0F"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67440224" w14:textId="77777777" w:rsidR="00147C8B" w:rsidRDefault="00147C8B"/>
                            <w:p w14:paraId="37131B29"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7305C5F0" w14:textId="77777777" w:rsidR="00147C8B" w:rsidRDefault="00147C8B"/>
                            <w:p w14:paraId="3F87846B"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4CEFDD01" w14:textId="77777777" w:rsidR="00147C8B" w:rsidRDefault="00147C8B"/>
                            <w:p w14:paraId="5DC2E416" w14:textId="77777777" w:rsidR="00147C8B" w:rsidRPr="00056843" w:rsidRDefault="00147C8B" w:rsidP="00056843">
                              <w:pPr>
                                <w:jc w:val="center"/>
                                <w:rPr>
                                  <w:color w:val="FFFFFF" w:themeColor="background1"/>
                                  <w:lang w:val="hy-AM"/>
                                </w:rPr>
                              </w:pPr>
                              <w:r>
                                <w:rPr>
                                  <w:color w:val="FFFFFF" w:themeColor="background1"/>
                                  <w:lang w:val="hy-AM"/>
                                </w:rPr>
                                <w:t>ԵՐԵՎԱՆ 2025</w:t>
                              </w:r>
                            </w:p>
                            <w:p w14:paraId="18B50047" w14:textId="77777777" w:rsidR="00147C8B" w:rsidRDefault="00147C8B"/>
                            <w:p w14:paraId="72D866ED"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72F188B5" w14:textId="77777777" w:rsidR="00147C8B" w:rsidRDefault="00147C8B"/>
                            <w:p w14:paraId="37167646"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73C43245" w14:textId="77777777" w:rsidR="00147C8B" w:rsidRDefault="00147C8B"/>
                            <w:p w14:paraId="48C96EE9"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72B0C592" w14:textId="77777777" w:rsidR="00147C8B" w:rsidRDefault="00147C8B"/>
                            <w:p w14:paraId="02986595"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2B7DBC34" w14:textId="77777777" w:rsidR="00147C8B" w:rsidRDefault="00147C8B"/>
                            <w:p w14:paraId="11A9DDC7"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3CADDF54" w14:textId="77777777" w:rsidR="00147C8B" w:rsidRDefault="00147C8B"/>
                            <w:p w14:paraId="755D70A8"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1CB7C063" w14:textId="77777777" w:rsidR="00147C8B" w:rsidRDefault="00147C8B"/>
                            <w:p w14:paraId="505C6A69"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046B0CD3" w14:textId="77777777" w:rsidR="00147C8B" w:rsidRDefault="00147C8B"/>
                            <w:p w14:paraId="19D7A37E"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00A7CC07" w14:textId="77777777" w:rsidR="00147C8B" w:rsidRDefault="00147C8B"/>
                            <w:p w14:paraId="404AE54F"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144BED75" w14:textId="77777777" w:rsidR="00147C8B" w:rsidRDefault="00147C8B"/>
                            <w:p w14:paraId="3FE153B5"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4255150E" w14:textId="77777777" w:rsidR="00147C8B" w:rsidRDefault="00147C8B"/>
                            <w:p w14:paraId="55158CCE"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36C7A90E" w14:textId="77777777" w:rsidR="00147C8B" w:rsidRDefault="00147C8B"/>
                            <w:p w14:paraId="24AD5F58"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2A2F83F8" w14:textId="77777777" w:rsidR="00147C8B" w:rsidRDefault="00147C8B"/>
                            <w:p w14:paraId="7BE68221"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551B1F4D" w14:textId="77777777" w:rsidR="00147C8B" w:rsidRDefault="00147C8B"/>
                            <w:p w14:paraId="0C8CBBCC"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0E0D2707" w14:textId="77777777" w:rsidR="00147C8B" w:rsidRDefault="00147C8B"/>
                            <w:p w14:paraId="299EE793"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5026B670" w14:textId="77777777" w:rsidR="00147C8B" w:rsidRDefault="00147C8B"/>
                            <w:p w14:paraId="7831BDD3" w14:textId="77777777" w:rsidR="00147C8B" w:rsidRPr="00056843" w:rsidRDefault="00147C8B" w:rsidP="00056843">
                              <w:pPr>
                                <w:jc w:val="center"/>
                                <w:rPr>
                                  <w:color w:val="FFFFFF" w:themeColor="background1"/>
                                  <w:lang w:val="hy-AM"/>
                                </w:rPr>
                              </w:pPr>
                              <w:r>
                                <w:rPr>
                                  <w:color w:val="FFFFFF" w:themeColor="background1"/>
                                  <w:lang w:val="hy-AM"/>
                                </w:rPr>
                                <w:t>ԵՐԵՎԱՆ 2025</w:t>
                              </w:r>
                            </w:p>
                            <w:p w14:paraId="274C515F" w14:textId="77777777" w:rsidR="00147C8B" w:rsidRDefault="00147C8B"/>
                            <w:p w14:paraId="35DA7DF5"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1A1EEEAE" w14:textId="77777777" w:rsidR="00147C8B" w:rsidRDefault="00147C8B"/>
                            <w:p w14:paraId="2FB75869"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27C78DC3" w14:textId="77777777" w:rsidR="00147C8B" w:rsidRDefault="00147C8B"/>
                            <w:p w14:paraId="2D962E9C"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7586D60F" w14:textId="77777777" w:rsidR="00147C8B" w:rsidRDefault="00147C8B"/>
                            <w:p w14:paraId="50CEF0EA"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2DFD1767" w14:textId="77777777" w:rsidR="00147C8B" w:rsidRDefault="00147C8B"/>
                            <w:p w14:paraId="61778E73"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42A0CF48" w14:textId="77777777" w:rsidR="00147C8B" w:rsidRDefault="00147C8B"/>
                            <w:p w14:paraId="2E3CE083"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707DD5E2" w14:textId="77777777" w:rsidR="00147C8B" w:rsidRDefault="00147C8B"/>
                            <w:p w14:paraId="26832634"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105D7056" w14:textId="77777777" w:rsidR="00147C8B" w:rsidRDefault="00147C8B"/>
                            <w:p w14:paraId="6BAB45BE"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249F7433" w14:textId="77777777" w:rsidR="00147C8B" w:rsidRDefault="00147C8B"/>
                            <w:p w14:paraId="14398AD8"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7E902A6D" w14:textId="77777777" w:rsidR="00147C8B" w:rsidRDefault="00147C8B"/>
                            <w:p w14:paraId="7BB88D02"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720677D7" w14:textId="77777777" w:rsidR="00147C8B" w:rsidRDefault="00147C8B"/>
                            <w:p w14:paraId="7D306584"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44B3873E" w14:textId="77777777" w:rsidR="00147C8B" w:rsidRDefault="00147C8B"/>
                            <w:p w14:paraId="36582CF7"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6FC1D898" w14:textId="77777777" w:rsidR="00147C8B" w:rsidRDefault="00147C8B"/>
                            <w:p w14:paraId="7A9F2964"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4703CA01" w14:textId="77777777" w:rsidR="00147C8B" w:rsidRDefault="00147C8B"/>
                            <w:p w14:paraId="776958C2"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1F7F06DC" w14:textId="77777777" w:rsidR="00147C8B" w:rsidRDefault="00147C8B"/>
                            <w:p w14:paraId="6736ED7A"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41414D11" w14:textId="77777777" w:rsidR="00147C8B" w:rsidRDefault="00147C8B"/>
                            <w:p w14:paraId="262B87DB" w14:textId="77777777" w:rsidR="00147C8B" w:rsidRPr="00056843" w:rsidRDefault="00147C8B" w:rsidP="00056843">
                              <w:pPr>
                                <w:jc w:val="center"/>
                                <w:rPr>
                                  <w:color w:val="FFFFFF" w:themeColor="background1"/>
                                  <w:lang w:val="hy-AM"/>
                                </w:rPr>
                              </w:pPr>
                              <w:r>
                                <w:rPr>
                                  <w:color w:val="FFFFFF" w:themeColor="background1"/>
                                  <w:lang w:val="hy-AM"/>
                                </w:rPr>
                                <w:t>ԵՐԵՎԱՆ 2025</w:t>
                              </w:r>
                            </w:p>
                            <w:p w14:paraId="6F079D4B" w14:textId="77777777" w:rsidR="00147C8B" w:rsidRDefault="00147C8B"/>
                            <w:p w14:paraId="122A440E"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7A817FA9" w14:textId="77777777" w:rsidR="00147C8B" w:rsidRDefault="00147C8B"/>
                            <w:p w14:paraId="550B6789"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318FD766" w14:textId="77777777" w:rsidR="00147C8B" w:rsidRDefault="00147C8B"/>
                            <w:p w14:paraId="76473BB8"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25CAEF9E" w14:textId="77777777" w:rsidR="00147C8B" w:rsidRDefault="00147C8B"/>
                            <w:p w14:paraId="755737EB"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2E092311" w14:textId="77777777" w:rsidR="00147C8B" w:rsidRDefault="00147C8B"/>
                            <w:p w14:paraId="2F92FDD9"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352129ED" w14:textId="77777777" w:rsidR="00147C8B" w:rsidRDefault="00147C8B"/>
                            <w:p w14:paraId="5452367F"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71019853" w14:textId="77777777" w:rsidR="00147C8B" w:rsidRDefault="00147C8B"/>
                            <w:p w14:paraId="653DA176"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086808B5" w14:textId="77777777" w:rsidR="00147C8B" w:rsidRDefault="00147C8B"/>
                            <w:p w14:paraId="1A22BD41"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41C3349D" w14:textId="77777777" w:rsidR="00147C8B" w:rsidRDefault="00147C8B"/>
                            <w:p w14:paraId="78C6483E"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69CE713A" w14:textId="77777777" w:rsidR="00147C8B" w:rsidRDefault="00147C8B"/>
                            <w:p w14:paraId="2FDA9DE8"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70E88CF8" w14:textId="77777777" w:rsidR="00147C8B" w:rsidRDefault="00147C8B"/>
                            <w:p w14:paraId="2474EF12"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35044B73" w14:textId="77777777" w:rsidR="00147C8B" w:rsidRDefault="00147C8B"/>
                            <w:p w14:paraId="00CF4051"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29E3061F" w14:textId="77777777" w:rsidR="00147C8B" w:rsidRDefault="00147C8B"/>
                            <w:p w14:paraId="056E8A90"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7CC6773C" w14:textId="77777777" w:rsidR="00147C8B" w:rsidRDefault="00147C8B"/>
                            <w:p w14:paraId="64D934D7"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7BCCFDE2" w14:textId="77777777" w:rsidR="00147C8B" w:rsidRDefault="00147C8B"/>
                            <w:p w14:paraId="0234C8E2"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3E0B2A4B" w14:textId="77777777" w:rsidR="00147C8B" w:rsidRDefault="00147C8B"/>
                            <w:p w14:paraId="256CC647" w14:textId="77777777" w:rsidR="00147C8B" w:rsidRPr="00056843" w:rsidRDefault="00147C8B" w:rsidP="00056843">
                              <w:pPr>
                                <w:jc w:val="center"/>
                                <w:rPr>
                                  <w:color w:val="FFFFFF" w:themeColor="background1"/>
                                  <w:lang w:val="hy-AM"/>
                                </w:rPr>
                              </w:pPr>
                              <w:r>
                                <w:rPr>
                                  <w:color w:val="FFFFFF" w:themeColor="background1"/>
                                  <w:lang w:val="hy-AM"/>
                                </w:rPr>
                                <w:t>ԵՐԵՎԱՆ 2025</w:t>
                              </w:r>
                            </w:p>
                            <w:p w14:paraId="58FF457E" w14:textId="77777777" w:rsidR="00147C8B" w:rsidRDefault="00147C8B"/>
                            <w:p w14:paraId="5419D959"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7EB41EB8" w14:textId="77777777" w:rsidR="00147C8B" w:rsidRDefault="00147C8B"/>
                            <w:p w14:paraId="5F0B6E8E"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549D2536" w14:textId="77777777" w:rsidR="00147C8B" w:rsidRDefault="00147C8B"/>
                            <w:p w14:paraId="2BA96A7A"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1D668657" w14:textId="77777777" w:rsidR="00147C8B" w:rsidRDefault="00147C8B"/>
                            <w:p w14:paraId="013C7E0B"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08BC1596" w14:textId="77777777" w:rsidR="00147C8B" w:rsidRDefault="00147C8B"/>
                            <w:p w14:paraId="3294C7B4"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10BE09D1" w14:textId="77777777" w:rsidR="00147C8B" w:rsidRDefault="00147C8B"/>
                            <w:p w14:paraId="658B4258"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2A7D20FE" w14:textId="77777777" w:rsidR="00147C8B" w:rsidRDefault="00147C8B"/>
                            <w:p w14:paraId="1D678B8A"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2860E9C0" w14:textId="77777777" w:rsidR="00147C8B" w:rsidRDefault="00147C8B"/>
                            <w:p w14:paraId="06E13C62"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09D6293D" w14:textId="77777777" w:rsidR="00147C8B" w:rsidRDefault="00147C8B"/>
                            <w:p w14:paraId="77F8AE06"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1A39041C" w14:textId="77777777" w:rsidR="00147C8B" w:rsidRDefault="00147C8B"/>
                            <w:p w14:paraId="185F5741"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1CA30B1E" w14:textId="77777777" w:rsidR="00147C8B" w:rsidRDefault="00147C8B"/>
                            <w:p w14:paraId="35EE41B6"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105BA55B" w14:textId="77777777" w:rsidR="00147C8B" w:rsidRDefault="00147C8B"/>
                            <w:p w14:paraId="52AA3A69"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678FB518" w14:textId="77777777" w:rsidR="00147C8B" w:rsidRDefault="00147C8B"/>
                            <w:p w14:paraId="0F234997"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57CAE099" w14:textId="77777777" w:rsidR="00147C8B" w:rsidRDefault="00147C8B"/>
                            <w:p w14:paraId="11683AAD" w14:textId="77777777" w:rsidR="00147C8B" w:rsidRPr="00056843" w:rsidRDefault="00147C8B" w:rsidP="00056843">
                              <w:pPr>
                                <w:jc w:val="center"/>
                                <w:rPr>
                                  <w:color w:val="FFFFFF" w:themeColor="background1"/>
                                  <w:lang w:val="hy-AM"/>
                                </w:rPr>
                              </w:pPr>
                              <w:r>
                                <w:rPr>
                                  <w:color w:val="FFFFFF" w:themeColor="background1"/>
                                  <w:lang w:val="hy-AM"/>
                                </w:rPr>
                                <w:t>ԵՐԵՎԱՆ 2024</w:t>
                              </w:r>
                            </w:p>
                            <w:p w14:paraId="669FAAAE" w14:textId="77777777" w:rsidR="00147C8B" w:rsidRDefault="00147C8B"/>
                            <w:p w14:paraId="5E128340" w14:textId="77777777" w:rsidR="00147C8B" w:rsidRPr="00056843" w:rsidRDefault="00147C8B" w:rsidP="00056843">
                              <w:pPr>
                                <w:jc w:val="center"/>
                                <w:rPr>
                                  <w:color w:val="FFFFFF" w:themeColor="background1"/>
                                  <w:lang w:val="hy-AM"/>
                                </w:rPr>
                              </w:pPr>
                              <w:r>
                                <w:rPr>
                                  <w:color w:val="FFFFFF" w:themeColor="background1"/>
                                  <w:lang w:val="hy-AM"/>
                                </w:rPr>
                                <w:t>ԵՐԵՎԱՆ 2024</w:t>
                              </w:r>
                            </w:p>
                          </w:txbxContent>
                        </v:textbox>
                        <w10:wrap anchorx="margin" anchory="margin"/>
                      </v:rect>
                    </w:pict>
                  </mc:Fallback>
                </mc:AlternateContent>
              </w:r>
              <w:r w:rsidR="00FD0C29">
                <w:rPr>
                  <w:noProof/>
                </w:rPr>
                <mc:AlternateContent>
                  <mc:Choice Requires="wps">
                    <w:drawing>
                      <wp:anchor distT="0" distB="0" distL="114300" distR="114300" simplePos="0" relativeHeight="251683840" behindDoc="0" locked="0" layoutInCell="1" allowOverlap="1" wp14:anchorId="0B66A610" wp14:editId="7BFD6F74">
                        <wp:simplePos x="0" y="0"/>
                        <wp:positionH relativeFrom="margin">
                          <wp:posOffset>-146050</wp:posOffset>
                        </wp:positionH>
                        <wp:positionV relativeFrom="paragraph">
                          <wp:posOffset>7948930</wp:posOffset>
                        </wp:positionV>
                        <wp:extent cx="1399540" cy="395605"/>
                        <wp:effectExtent l="0" t="0" r="0" b="4445"/>
                        <wp:wrapNone/>
                        <wp:docPr id="46" name="Text Box 46"/>
                        <wp:cNvGraphicFramePr/>
                        <a:graphic xmlns:a="http://schemas.openxmlformats.org/drawingml/2006/main">
                          <a:graphicData uri="http://schemas.microsoft.com/office/word/2010/wordprocessingShape">
                            <wps:wsp>
                              <wps:cNvSpPr txBox="1"/>
                              <wps:spPr>
                                <a:xfrm>
                                  <a:off x="0" y="0"/>
                                  <a:ext cx="1405890" cy="395605"/>
                                </a:xfrm>
                                <a:prstGeom prst="rect">
                                  <a:avLst/>
                                </a:prstGeom>
                                <a:noFill/>
                                <a:ln w="6350">
                                  <a:noFill/>
                                </a:ln>
                              </wps:spPr>
                              <wps:txbx>
                                <w:txbxContent>
                                  <w:p w14:paraId="50FE25AD" w14:textId="77777777" w:rsidR="00147C8B" w:rsidRDefault="00147C8B" w:rsidP="00FD0C29">
                                    <w:pPr>
                                      <w:rPr>
                                        <w:b/>
                                        <w:color w:val="FFFFFF" w:themeColor="background1"/>
                                        <w:sz w:val="30"/>
                                        <w:szCs w:val="30"/>
                                      </w:rPr>
                                    </w:pPr>
                                    <w:r>
                                      <w:rPr>
                                        <w:b/>
                                        <w:color w:val="FFFFFF" w:themeColor="background1"/>
                                        <w:sz w:val="30"/>
                                        <w:szCs w:val="30"/>
                                      </w:rPr>
                                      <w:t>Yerevan 2024</w:t>
                                    </w:r>
                                  </w:p>
                                  <w:p w14:paraId="40F839B6" w14:textId="77777777" w:rsidR="00147C8B" w:rsidRDefault="00147C8B"/>
                                  <w:p w14:paraId="0DCAC91F" w14:textId="77777777" w:rsidR="00147C8B" w:rsidRPr="00A3353C" w:rsidRDefault="00147C8B" w:rsidP="00A3353C">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3792611C" w14:textId="77777777" w:rsidR="00147C8B" w:rsidRPr="00682390" w:rsidRDefault="00147C8B" w:rsidP="00FD0C29">
                                    <w:pPr>
                                      <w:rPr>
                                        <w:b/>
                                        <w:color w:val="FFFFFF" w:themeColor="background1"/>
                                        <w:sz w:val="30"/>
                                        <w:szCs w:val="30"/>
                                        <w:lang w:val="hy-AM"/>
                                      </w:rPr>
                                    </w:pPr>
                                    <w:r w:rsidRPr="00A3353C">
                                      <w:rPr>
                                        <w:sz w:val="44"/>
                                        <w:szCs w:val="44"/>
                                        <w:lang w:val="hy-AM"/>
                                      </w:rPr>
                                      <w:t>ՀԻՄՆԱԿԱՆ ՈՒՂՂՈՒԹՅՈՒՆՆԵՐԻ ՄԱՍԻՆ</w:t>
                                    </w:r>
                                    <w:r w:rsidRPr="00682390">
                                      <w:rPr>
                                        <w:b/>
                                        <w:color w:val="FFFFFF" w:themeColor="background1"/>
                                        <w:sz w:val="30"/>
                                        <w:szCs w:val="30"/>
                                        <w:lang w:val="hy-AM"/>
                                      </w:rPr>
                                      <w:t>Yerevan 2024</w:t>
                                    </w:r>
                                  </w:p>
                                  <w:p w14:paraId="05A44784" w14:textId="77777777" w:rsidR="00147C8B" w:rsidRPr="00682390" w:rsidRDefault="00147C8B">
                                    <w:pPr>
                                      <w:rPr>
                                        <w:lang w:val="hy-AM"/>
                                      </w:rPr>
                                    </w:pPr>
                                  </w:p>
                                  <w:p w14:paraId="0A584C5A" w14:textId="77777777" w:rsidR="00147C8B" w:rsidRPr="00A3353C" w:rsidRDefault="00147C8B" w:rsidP="00A3353C">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7875D16A" w14:textId="77777777" w:rsidR="00147C8B" w:rsidRPr="00682390" w:rsidRDefault="00147C8B" w:rsidP="00FD0C29">
                                    <w:pPr>
                                      <w:rPr>
                                        <w:b/>
                                        <w:color w:val="FFFFFF" w:themeColor="background1"/>
                                        <w:sz w:val="30"/>
                                        <w:szCs w:val="30"/>
                                        <w:lang w:val="hy-AM"/>
                                      </w:rPr>
                                    </w:pPr>
                                    <w:r w:rsidRPr="00A3353C">
                                      <w:rPr>
                                        <w:sz w:val="44"/>
                                        <w:szCs w:val="44"/>
                                        <w:lang w:val="hy-AM"/>
                                      </w:rPr>
                                      <w:t>ՀԻՄՆԱԿԱՆ ՈՒՂՂՈՒԹՅՈՒՆՆԵՐԻ ՄԱՍԻՆ</w:t>
                                    </w:r>
                                    <w:r w:rsidRPr="00682390">
                                      <w:rPr>
                                        <w:b/>
                                        <w:color w:val="FFFFFF" w:themeColor="background1"/>
                                        <w:sz w:val="30"/>
                                        <w:szCs w:val="30"/>
                                        <w:lang w:val="hy-AM"/>
                                      </w:rPr>
                                      <w:t>Yerevan 2024</w:t>
                                    </w:r>
                                  </w:p>
                                  <w:p w14:paraId="5AEFBC9A" w14:textId="77777777" w:rsidR="00147C8B" w:rsidRPr="00682390" w:rsidRDefault="00147C8B">
                                    <w:pPr>
                                      <w:rPr>
                                        <w:lang w:val="hy-AM"/>
                                      </w:rPr>
                                    </w:pPr>
                                  </w:p>
                                  <w:p w14:paraId="3A234BC5" w14:textId="77777777" w:rsidR="00147C8B" w:rsidRPr="00A3353C" w:rsidRDefault="00147C8B" w:rsidP="00A3353C">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771E86A6" w14:textId="77777777" w:rsidR="00147C8B" w:rsidRPr="00454DBB" w:rsidRDefault="00147C8B" w:rsidP="00FD0C29">
                                    <w:pPr>
                                      <w:rPr>
                                        <w:b/>
                                        <w:color w:val="FFFFFF" w:themeColor="background1"/>
                                        <w:sz w:val="30"/>
                                        <w:szCs w:val="30"/>
                                        <w:lang w:val="hy-AM"/>
                                      </w:rPr>
                                    </w:pPr>
                                    <w:r w:rsidRPr="00A3353C">
                                      <w:rPr>
                                        <w:sz w:val="44"/>
                                        <w:szCs w:val="44"/>
                                        <w:lang w:val="hy-AM"/>
                                      </w:rPr>
                                      <w:t>ՀԻՄՆԱԿԱՆ ՈՒՂՂՈՒԹՅՈՒՆՆԵՐԻ ՄԱՍԻՆ</w:t>
                                    </w:r>
                                    <w:r w:rsidRPr="00454DBB">
                                      <w:rPr>
                                        <w:b/>
                                        <w:color w:val="FFFFFF" w:themeColor="background1"/>
                                        <w:sz w:val="30"/>
                                        <w:szCs w:val="30"/>
                                        <w:lang w:val="hy-AM"/>
                                      </w:rPr>
                                      <w:t>Yerevan 2024</w:t>
                                    </w:r>
                                  </w:p>
                                  <w:p w14:paraId="69209672" w14:textId="77777777" w:rsidR="00147C8B" w:rsidRPr="00454DBB" w:rsidRDefault="00147C8B">
                                    <w:pPr>
                                      <w:rPr>
                                        <w:lang w:val="hy-AM"/>
                                      </w:rPr>
                                    </w:pPr>
                                  </w:p>
                                  <w:p w14:paraId="22389544" w14:textId="77777777" w:rsidR="00147C8B" w:rsidRPr="00454DBB" w:rsidRDefault="00147C8B" w:rsidP="00FD0C29">
                                    <w:pPr>
                                      <w:rPr>
                                        <w:b/>
                                        <w:color w:val="FFFFFF" w:themeColor="background1"/>
                                        <w:sz w:val="30"/>
                                        <w:szCs w:val="30"/>
                                        <w:lang w:val="hy-AM"/>
                                      </w:rPr>
                                    </w:pPr>
                                    <w:r w:rsidRPr="003A4CA5">
                                      <w:rPr>
                                        <w:color w:val="FFFFFF" w:themeColor="background1"/>
                                        <w:sz w:val="40"/>
                                        <w:szCs w:val="40"/>
                                        <w:lang w:val="hy-AM"/>
                                      </w:rPr>
                                      <w:t>ՄԱՍ I: ՍՈՑԻԱԼ-ՏՆՏԵՍԱԿԱՆ ԶԱՐԳԱՑՄԱՆ, ՄԱԿՐՈՏՆՏԵՍԱԿԱՆ ԶԱՐԳԱՑՄԱՆ ԵՎ ՀԱՐԿԱԲՅՈՒՋԵՏԱՅԻՆ ՔԱՂԱՔԱԿԱՆՈՒԹՅԱՆ</w:t>
                                    </w:r>
                                    <w:r>
                                      <w:rPr>
                                        <w:color w:val="FFFFFF" w:themeColor="background1"/>
                                        <w:sz w:val="40"/>
                                        <w:szCs w:val="40"/>
                                        <w:lang w:val="hy-AM"/>
                                      </w:rPr>
                                      <w:t xml:space="preserve"> </w:t>
                                    </w:r>
                                    <w:r w:rsidRPr="003A4CA5">
                                      <w:rPr>
                                        <w:color w:val="auto"/>
                                        <w:sz w:val="40"/>
                                        <w:szCs w:val="40"/>
                                        <w:lang w:val="hy-AM"/>
                                      </w:rPr>
                                      <w:t>ՀԻՄՆԱԿԱՆ ՈՒՂՂՈՒԹՅՈՒՆՆԵՐԻ ՄԱՍԻՆ</w:t>
                                    </w:r>
                                    <w:r w:rsidRPr="00454DBB">
                                      <w:rPr>
                                        <w:b/>
                                        <w:color w:val="FFFFFF" w:themeColor="background1"/>
                                        <w:sz w:val="30"/>
                                        <w:szCs w:val="30"/>
                                        <w:lang w:val="hy-AM"/>
                                      </w:rPr>
                                      <w:t>Yerevan 2024</w:t>
                                    </w:r>
                                  </w:p>
                                  <w:p w14:paraId="6FC32339" w14:textId="77777777" w:rsidR="00147C8B" w:rsidRPr="00454DBB" w:rsidRDefault="00147C8B">
                                    <w:pPr>
                                      <w:rPr>
                                        <w:lang w:val="hy-AM"/>
                                      </w:rPr>
                                    </w:pPr>
                                  </w:p>
                                  <w:p w14:paraId="2C2B3386" w14:textId="77777777" w:rsidR="00147C8B" w:rsidRPr="00A3353C" w:rsidRDefault="00147C8B" w:rsidP="00A3353C">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1064723A" w14:textId="77777777" w:rsidR="00147C8B" w:rsidRPr="00682390" w:rsidRDefault="00147C8B" w:rsidP="00FD0C29">
                                    <w:pPr>
                                      <w:rPr>
                                        <w:b/>
                                        <w:color w:val="FFFFFF" w:themeColor="background1"/>
                                        <w:sz w:val="30"/>
                                        <w:szCs w:val="30"/>
                                        <w:lang w:val="hy-AM"/>
                                      </w:rPr>
                                    </w:pPr>
                                    <w:r w:rsidRPr="00A3353C">
                                      <w:rPr>
                                        <w:sz w:val="44"/>
                                        <w:szCs w:val="44"/>
                                        <w:lang w:val="hy-AM"/>
                                      </w:rPr>
                                      <w:t>ՀԻՄՆԱԿԱՆ ՈՒՂՂՈՒԹՅՈՒՆՆԵՐԻ ՄԱՍԻՆ</w:t>
                                    </w:r>
                                    <w:r w:rsidRPr="00682390">
                                      <w:rPr>
                                        <w:b/>
                                        <w:color w:val="FFFFFF" w:themeColor="background1"/>
                                        <w:sz w:val="30"/>
                                        <w:szCs w:val="30"/>
                                        <w:lang w:val="hy-AM"/>
                                      </w:rPr>
                                      <w:t>Yerevan 2024</w:t>
                                    </w:r>
                                  </w:p>
                                  <w:p w14:paraId="787EC6AD" w14:textId="77777777" w:rsidR="00147C8B" w:rsidRPr="00682390" w:rsidRDefault="00147C8B">
                                    <w:pPr>
                                      <w:rPr>
                                        <w:lang w:val="hy-AM"/>
                                      </w:rPr>
                                    </w:pPr>
                                  </w:p>
                                  <w:p w14:paraId="3298D01D" w14:textId="77777777" w:rsidR="00147C8B" w:rsidRPr="00A3353C" w:rsidRDefault="00147C8B" w:rsidP="00A3353C">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2B74A65A" w14:textId="77777777" w:rsidR="00147C8B" w:rsidRPr="00682390" w:rsidRDefault="00147C8B" w:rsidP="00FD0C29">
                                    <w:pPr>
                                      <w:rPr>
                                        <w:b/>
                                        <w:color w:val="FFFFFF" w:themeColor="background1"/>
                                        <w:sz w:val="30"/>
                                        <w:szCs w:val="30"/>
                                        <w:lang w:val="hy-AM"/>
                                      </w:rPr>
                                    </w:pPr>
                                    <w:r w:rsidRPr="00A3353C">
                                      <w:rPr>
                                        <w:sz w:val="44"/>
                                        <w:szCs w:val="44"/>
                                        <w:lang w:val="hy-AM"/>
                                      </w:rPr>
                                      <w:t>ՀԻՄՆԱԿԱՆ ՈՒՂՂՈՒԹՅՈՒՆՆԵՐԻ ՄԱՍԻՆ</w:t>
                                    </w:r>
                                    <w:r w:rsidRPr="00682390">
                                      <w:rPr>
                                        <w:b/>
                                        <w:color w:val="FFFFFF" w:themeColor="background1"/>
                                        <w:sz w:val="30"/>
                                        <w:szCs w:val="30"/>
                                        <w:lang w:val="hy-AM"/>
                                      </w:rPr>
                                      <w:t>Yerevan 2024</w:t>
                                    </w:r>
                                  </w:p>
                                  <w:p w14:paraId="351E9EEA" w14:textId="77777777" w:rsidR="00147C8B" w:rsidRPr="00682390" w:rsidRDefault="00147C8B">
                                    <w:pPr>
                                      <w:rPr>
                                        <w:lang w:val="hy-AM"/>
                                      </w:rPr>
                                    </w:pPr>
                                  </w:p>
                                  <w:p w14:paraId="72C35723" w14:textId="77777777" w:rsidR="00147C8B" w:rsidRPr="00A3353C" w:rsidRDefault="00147C8B" w:rsidP="00A3353C">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4AF2DBA4" w14:textId="77777777" w:rsidR="00147C8B" w:rsidRPr="003A5AE3" w:rsidRDefault="00147C8B" w:rsidP="00FD0C29">
                                    <w:pPr>
                                      <w:rPr>
                                        <w:b/>
                                        <w:color w:val="FFFFFF" w:themeColor="background1"/>
                                        <w:sz w:val="30"/>
                                        <w:szCs w:val="30"/>
                                        <w:lang w:val="hy-AM"/>
                                      </w:rPr>
                                    </w:pPr>
                                    <w:r w:rsidRPr="00A3353C">
                                      <w:rPr>
                                        <w:sz w:val="44"/>
                                        <w:szCs w:val="44"/>
                                        <w:lang w:val="hy-AM"/>
                                      </w:rPr>
                                      <w:t>ՀԻՄՆԱԿԱՆ ՈՒՂՂՈՒԹՅՈՒՆՆԵՐԻ ՄԱՍԻՆ</w:t>
                                    </w:r>
                                    <w:r w:rsidRPr="003A5AE3">
                                      <w:rPr>
                                        <w:b/>
                                        <w:color w:val="FFFFFF" w:themeColor="background1"/>
                                        <w:sz w:val="30"/>
                                        <w:szCs w:val="30"/>
                                        <w:lang w:val="hy-AM"/>
                                      </w:rPr>
                                      <w:t>Yerevan 2024</w:t>
                                    </w:r>
                                  </w:p>
                                  <w:p w14:paraId="61E0FB37" w14:textId="77777777" w:rsidR="00147C8B" w:rsidRPr="003A5AE3" w:rsidRDefault="00147C8B">
                                    <w:pPr>
                                      <w:rPr>
                                        <w:lang w:val="hy-AM"/>
                                      </w:rPr>
                                    </w:pPr>
                                  </w:p>
                                  <w:p w14:paraId="0F12689E" w14:textId="77777777" w:rsidR="00147C8B" w:rsidRPr="003A5AE3" w:rsidRDefault="00147C8B" w:rsidP="00FD0C29">
                                    <w:pPr>
                                      <w:rPr>
                                        <w:b/>
                                        <w:color w:val="FFFFFF" w:themeColor="background1"/>
                                        <w:sz w:val="30"/>
                                        <w:szCs w:val="30"/>
                                        <w:lang w:val="hy-AM"/>
                                      </w:rPr>
                                    </w:pPr>
                                    <w:r w:rsidRPr="003A4CA5">
                                      <w:rPr>
                                        <w:color w:val="FFFFFF" w:themeColor="background1"/>
                                        <w:sz w:val="40"/>
                                        <w:szCs w:val="40"/>
                                        <w:lang w:val="hy-AM"/>
                                      </w:rPr>
                                      <w:t>ՄԱՍ I: ՍՈՑԻԱԼ-ՏՆՏԵՍԱԿԱՆ ԶԱՐԳԱՑՄԱՆ, ՄԱԿՐՈՏՆՏԵՍԱԿԱՆ ԶԱՐԳԱՑՄԱՆ ԵՎ ՀԱՐԿԱԲՅՈՒՋԵՏԱՅԻՆ ՔԱՂԱՔԱԿԱՆՈՒԹՅԱՆ</w:t>
                                    </w:r>
                                    <w:r>
                                      <w:rPr>
                                        <w:color w:val="FFFFFF" w:themeColor="background1"/>
                                        <w:sz w:val="40"/>
                                        <w:szCs w:val="40"/>
                                        <w:lang w:val="hy-AM"/>
                                      </w:rPr>
                                      <w:t xml:space="preserve"> </w:t>
                                    </w:r>
                                    <w:r w:rsidRPr="003A4CA5">
                                      <w:rPr>
                                        <w:color w:val="auto"/>
                                        <w:sz w:val="40"/>
                                        <w:szCs w:val="40"/>
                                        <w:lang w:val="hy-AM"/>
                                      </w:rPr>
                                      <w:t>ՀԻՄՆԱԿԱՆ ՈՒՂՂՈՒԹՅՈՒՆՆԵՐԻ ՄԱՍԻՆ</w:t>
                                    </w:r>
                                    <w:r w:rsidRPr="003A5AE3">
                                      <w:rPr>
                                        <w:b/>
                                        <w:color w:val="FFFFFF" w:themeColor="background1"/>
                                        <w:sz w:val="30"/>
                                        <w:szCs w:val="30"/>
                                        <w:lang w:val="hy-AM"/>
                                      </w:rPr>
                                      <w:t>Yerevan 2024</w:t>
                                    </w:r>
                                  </w:p>
                                  <w:p w14:paraId="50441DA2" w14:textId="77777777" w:rsidR="00147C8B" w:rsidRPr="003A5AE3" w:rsidRDefault="00147C8B">
                                    <w:pPr>
                                      <w:rPr>
                                        <w:lang w:val="hy-AM"/>
                                      </w:rPr>
                                    </w:pPr>
                                  </w:p>
                                  <w:p w14:paraId="6031BE72" w14:textId="77777777" w:rsidR="00147C8B" w:rsidRPr="00A3353C" w:rsidRDefault="00147C8B" w:rsidP="00A3353C">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6F63F926" w14:textId="77777777" w:rsidR="00147C8B" w:rsidRPr="00682390" w:rsidRDefault="00147C8B" w:rsidP="00FD0C29">
                                    <w:pPr>
                                      <w:rPr>
                                        <w:b/>
                                        <w:color w:val="FFFFFF" w:themeColor="background1"/>
                                        <w:sz w:val="30"/>
                                        <w:szCs w:val="30"/>
                                        <w:lang w:val="hy-AM"/>
                                      </w:rPr>
                                    </w:pPr>
                                    <w:r w:rsidRPr="00A3353C">
                                      <w:rPr>
                                        <w:sz w:val="44"/>
                                        <w:szCs w:val="44"/>
                                        <w:lang w:val="hy-AM"/>
                                      </w:rPr>
                                      <w:t>ՀԻՄՆԱԿԱՆ ՈՒՂՂՈՒԹՅՈՒՆՆԵՐԻ ՄԱՍԻՆ</w:t>
                                    </w:r>
                                    <w:r w:rsidRPr="00682390">
                                      <w:rPr>
                                        <w:b/>
                                        <w:color w:val="FFFFFF" w:themeColor="background1"/>
                                        <w:sz w:val="30"/>
                                        <w:szCs w:val="30"/>
                                        <w:lang w:val="hy-AM"/>
                                      </w:rPr>
                                      <w:t>Yerevan 2024</w:t>
                                    </w:r>
                                  </w:p>
                                  <w:p w14:paraId="695A098F" w14:textId="77777777" w:rsidR="00147C8B" w:rsidRPr="00682390" w:rsidRDefault="00147C8B">
                                    <w:pPr>
                                      <w:rPr>
                                        <w:lang w:val="hy-AM"/>
                                      </w:rPr>
                                    </w:pPr>
                                  </w:p>
                                  <w:p w14:paraId="3E2D9C60" w14:textId="77777777" w:rsidR="00147C8B" w:rsidRPr="00A3353C" w:rsidRDefault="00147C8B" w:rsidP="00A3353C">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76D4D827" w14:textId="77777777" w:rsidR="00147C8B" w:rsidRPr="00682390" w:rsidRDefault="00147C8B" w:rsidP="00FD0C29">
                                    <w:pPr>
                                      <w:rPr>
                                        <w:b/>
                                        <w:color w:val="FFFFFF" w:themeColor="background1"/>
                                        <w:sz w:val="30"/>
                                        <w:szCs w:val="30"/>
                                        <w:lang w:val="hy-AM"/>
                                      </w:rPr>
                                    </w:pPr>
                                    <w:r w:rsidRPr="00A3353C">
                                      <w:rPr>
                                        <w:sz w:val="44"/>
                                        <w:szCs w:val="44"/>
                                        <w:lang w:val="hy-AM"/>
                                      </w:rPr>
                                      <w:t>ՀԻՄՆԱԿԱՆ ՈՒՂՂՈՒԹՅՈՒՆՆԵՐԻ ՄԱՍԻՆ</w:t>
                                    </w:r>
                                    <w:r w:rsidRPr="00682390">
                                      <w:rPr>
                                        <w:b/>
                                        <w:color w:val="FFFFFF" w:themeColor="background1"/>
                                        <w:sz w:val="30"/>
                                        <w:szCs w:val="30"/>
                                        <w:lang w:val="hy-AM"/>
                                      </w:rPr>
                                      <w:t>Yerevan 2024</w:t>
                                    </w:r>
                                  </w:p>
                                  <w:p w14:paraId="5E7542BB" w14:textId="77777777" w:rsidR="00147C8B" w:rsidRPr="00682390" w:rsidRDefault="00147C8B">
                                    <w:pPr>
                                      <w:rPr>
                                        <w:lang w:val="hy-AM"/>
                                      </w:rPr>
                                    </w:pPr>
                                  </w:p>
                                  <w:p w14:paraId="538DF5CC" w14:textId="77777777" w:rsidR="00147C8B" w:rsidRPr="00A3353C" w:rsidRDefault="00147C8B" w:rsidP="00A3353C">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081B623D" w14:textId="77777777" w:rsidR="00147C8B" w:rsidRPr="00454DBB" w:rsidRDefault="00147C8B" w:rsidP="00FD0C29">
                                    <w:pPr>
                                      <w:rPr>
                                        <w:b/>
                                        <w:color w:val="FFFFFF" w:themeColor="background1"/>
                                        <w:sz w:val="30"/>
                                        <w:szCs w:val="30"/>
                                        <w:lang w:val="hy-AM"/>
                                      </w:rPr>
                                    </w:pPr>
                                    <w:r w:rsidRPr="00A3353C">
                                      <w:rPr>
                                        <w:sz w:val="44"/>
                                        <w:szCs w:val="44"/>
                                        <w:lang w:val="hy-AM"/>
                                      </w:rPr>
                                      <w:t>ՀԻՄՆԱԿԱՆ ՈՒՂՂՈՒԹՅՈՒՆՆԵՐԻ ՄԱՍԻՆ</w:t>
                                    </w:r>
                                    <w:r w:rsidRPr="00454DBB">
                                      <w:rPr>
                                        <w:b/>
                                        <w:color w:val="FFFFFF" w:themeColor="background1"/>
                                        <w:sz w:val="30"/>
                                        <w:szCs w:val="30"/>
                                        <w:lang w:val="hy-AM"/>
                                      </w:rPr>
                                      <w:t>Yerevan 2024</w:t>
                                    </w:r>
                                  </w:p>
                                  <w:p w14:paraId="1D946A72" w14:textId="77777777" w:rsidR="00147C8B" w:rsidRPr="00454DBB" w:rsidRDefault="00147C8B">
                                    <w:pPr>
                                      <w:rPr>
                                        <w:lang w:val="hy-AM"/>
                                      </w:rPr>
                                    </w:pPr>
                                  </w:p>
                                  <w:p w14:paraId="61C4584D" w14:textId="77777777" w:rsidR="00147C8B" w:rsidRPr="00454DBB" w:rsidRDefault="00147C8B" w:rsidP="00FD0C29">
                                    <w:pPr>
                                      <w:rPr>
                                        <w:b/>
                                        <w:color w:val="FFFFFF" w:themeColor="background1"/>
                                        <w:sz w:val="30"/>
                                        <w:szCs w:val="30"/>
                                        <w:lang w:val="hy-AM"/>
                                      </w:rPr>
                                    </w:pPr>
                                    <w:r w:rsidRPr="003A4CA5">
                                      <w:rPr>
                                        <w:color w:val="FFFFFF" w:themeColor="background1"/>
                                        <w:sz w:val="40"/>
                                        <w:szCs w:val="40"/>
                                        <w:lang w:val="hy-AM"/>
                                      </w:rPr>
                                      <w:t>ՄԱՍ I: ՍՈՑԻԱԼ-ՏՆՏԵՍԱԿԱՆ ԶԱՐԳԱՑՄԱՆ, ՄԱԿՐՈՏՆՏԵՍԱԿԱՆ ԶԱՐԳԱՑՄԱՆ ԵՎ ՀԱՐԿԱԲՅՈՒՋԵՏԱՅԻՆ ՔԱՂԱՔԱԿԱՆՈՒԹՅԱՆ</w:t>
                                    </w:r>
                                    <w:r>
                                      <w:rPr>
                                        <w:color w:val="FFFFFF" w:themeColor="background1"/>
                                        <w:sz w:val="40"/>
                                        <w:szCs w:val="40"/>
                                        <w:lang w:val="hy-AM"/>
                                      </w:rPr>
                                      <w:t xml:space="preserve"> </w:t>
                                    </w:r>
                                    <w:r w:rsidRPr="003A4CA5">
                                      <w:rPr>
                                        <w:color w:val="auto"/>
                                        <w:sz w:val="40"/>
                                        <w:szCs w:val="40"/>
                                        <w:lang w:val="hy-AM"/>
                                      </w:rPr>
                                      <w:t>ՀԻՄՆԱԿԱՆ ՈՒՂՂՈՒԹՅՈՒՆՆԵՐԻ ՄԱՍԻՆ</w:t>
                                    </w:r>
                                    <w:r w:rsidRPr="00454DBB">
                                      <w:rPr>
                                        <w:b/>
                                        <w:color w:val="FFFFFF" w:themeColor="background1"/>
                                        <w:sz w:val="30"/>
                                        <w:szCs w:val="30"/>
                                        <w:lang w:val="hy-AM"/>
                                      </w:rPr>
                                      <w:t>Yerevan 2024</w:t>
                                    </w:r>
                                  </w:p>
                                  <w:p w14:paraId="447C675A" w14:textId="77777777" w:rsidR="00147C8B" w:rsidRPr="00454DBB" w:rsidRDefault="00147C8B">
                                    <w:pPr>
                                      <w:rPr>
                                        <w:lang w:val="hy-AM"/>
                                      </w:rPr>
                                    </w:pPr>
                                  </w:p>
                                  <w:p w14:paraId="7395B851" w14:textId="77777777" w:rsidR="00147C8B" w:rsidRPr="00A3353C" w:rsidRDefault="00147C8B" w:rsidP="00A3353C">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51CCE659" w14:textId="77777777" w:rsidR="00147C8B" w:rsidRPr="00682390" w:rsidRDefault="00147C8B" w:rsidP="00FD0C29">
                                    <w:pPr>
                                      <w:rPr>
                                        <w:b/>
                                        <w:color w:val="FFFFFF" w:themeColor="background1"/>
                                        <w:sz w:val="30"/>
                                        <w:szCs w:val="30"/>
                                        <w:lang w:val="hy-AM"/>
                                      </w:rPr>
                                    </w:pPr>
                                    <w:r w:rsidRPr="00A3353C">
                                      <w:rPr>
                                        <w:sz w:val="44"/>
                                        <w:szCs w:val="44"/>
                                        <w:lang w:val="hy-AM"/>
                                      </w:rPr>
                                      <w:t>ՀԻՄՆԱԿԱՆ ՈՒՂՂՈՒԹՅՈՒՆՆԵՐԻ ՄԱՍԻՆ</w:t>
                                    </w:r>
                                    <w:r w:rsidRPr="00682390">
                                      <w:rPr>
                                        <w:b/>
                                        <w:color w:val="FFFFFF" w:themeColor="background1"/>
                                        <w:sz w:val="30"/>
                                        <w:szCs w:val="30"/>
                                        <w:lang w:val="hy-AM"/>
                                      </w:rPr>
                                      <w:t>Yerevan 2024</w:t>
                                    </w:r>
                                  </w:p>
                                  <w:p w14:paraId="3CADC5F7" w14:textId="77777777" w:rsidR="00147C8B" w:rsidRPr="00682390" w:rsidRDefault="00147C8B">
                                    <w:pPr>
                                      <w:rPr>
                                        <w:lang w:val="hy-AM"/>
                                      </w:rPr>
                                    </w:pPr>
                                  </w:p>
                                  <w:p w14:paraId="71906234" w14:textId="77777777" w:rsidR="00147C8B" w:rsidRPr="00A3353C" w:rsidRDefault="00147C8B" w:rsidP="00A3353C">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4B145E0D" w14:textId="77777777" w:rsidR="00147C8B" w:rsidRPr="00682390" w:rsidRDefault="00147C8B" w:rsidP="00FD0C29">
                                    <w:pPr>
                                      <w:rPr>
                                        <w:b/>
                                        <w:color w:val="FFFFFF" w:themeColor="background1"/>
                                        <w:sz w:val="30"/>
                                        <w:szCs w:val="30"/>
                                        <w:lang w:val="hy-AM"/>
                                      </w:rPr>
                                    </w:pPr>
                                    <w:r w:rsidRPr="00A3353C">
                                      <w:rPr>
                                        <w:sz w:val="44"/>
                                        <w:szCs w:val="44"/>
                                        <w:lang w:val="hy-AM"/>
                                      </w:rPr>
                                      <w:t>ՀԻՄՆԱԿԱՆ ՈՒՂՂՈՒԹՅՈՒՆՆԵՐԻ ՄԱՍԻՆ</w:t>
                                    </w:r>
                                    <w:r w:rsidRPr="00682390">
                                      <w:rPr>
                                        <w:b/>
                                        <w:color w:val="FFFFFF" w:themeColor="background1"/>
                                        <w:sz w:val="30"/>
                                        <w:szCs w:val="30"/>
                                        <w:lang w:val="hy-AM"/>
                                      </w:rPr>
                                      <w:t>Yerevan 2024</w:t>
                                    </w:r>
                                  </w:p>
                                  <w:p w14:paraId="6768E79F" w14:textId="77777777" w:rsidR="00147C8B" w:rsidRPr="00682390" w:rsidRDefault="00147C8B">
                                    <w:pPr>
                                      <w:rPr>
                                        <w:lang w:val="hy-AM"/>
                                      </w:rPr>
                                    </w:pPr>
                                  </w:p>
                                  <w:p w14:paraId="3E8AA2DE" w14:textId="77777777" w:rsidR="00147C8B" w:rsidRPr="00A3353C" w:rsidRDefault="00147C8B" w:rsidP="00A3353C">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6796EBE6" w14:textId="77777777" w:rsidR="00147C8B" w:rsidRPr="00202938" w:rsidRDefault="00147C8B" w:rsidP="00FD0C29">
                                    <w:pPr>
                                      <w:rPr>
                                        <w:b/>
                                        <w:color w:val="FFFFFF" w:themeColor="background1"/>
                                        <w:sz w:val="30"/>
                                        <w:szCs w:val="30"/>
                                        <w:lang w:val="hy-AM"/>
                                      </w:rPr>
                                    </w:pPr>
                                    <w:r w:rsidRPr="00A3353C">
                                      <w:rPr>
                                        <w:sz w:val="44"/>
                                        <w:szCs w:val="44"/>
                                        <w:lang w:val="hy-AM"/>
                                      </w:rPr>
                                      <w:t>ՀԻՄՆԱԿԱՆ ՈՒՂՂՈՒԹՅՈՒՆՆԵՐԻ ՄԱՍԻՆ</w:t>
                                    </w:r>
                                    <w:r w:rsidRPr="00202938">
                                      <w:rPr>
                                        <w:b/>
                                        <w:color w:val="FFFFFF" w:themeColor="background1"/>
                                        <w:sz w:val="30"/>
                                        <w:szCs w:val="30"/>
                                        <w:lang w:val="hy-AM"/>
                                      </w:rPr>
                                      <w:t>Yerevan 2024</w:t>
                                    </w:r>
                                  </w:p>
                                  <w:p w14:paraId="23E4BAD0" w14:textId="77777777" w:rsidR="00147C8B" w:rsidRPr="00202938" w:rsidRDefault="00147C8B">
                                    <w:pPr>
                                      <w:rPr>
                                        <w:lang w:val="hy-AM"/>
                                      </w:rPr>
                                    </w:pPr>
                                  </w:p>
                                  <w:p w14:paraId="18DF7264" w14:textId="77777777" w:rsidR="00147C8B" w:rsidRPr="00202938" w:rsidRDefault="00147C8B" w:rsidP="00FD0C29">
                                    <w:pPr>
                                      <w:rPr>
                                        <w:b/>
                                        <w:color w:val="FFFFFF" w:themeColor="background1"/>
                                        <w:sz w:val="30"/>
                                        <w:szCs w:val="30"/>
                                        <w:lang w:val="hy-AM"/>
                                      </w:rPr>
                                    </w:pPr>
                                    <w:r w:rsidRPr="003A4CA5">
                                      <w:rPr>
                                        <w:color w:val="FFFFFF" w:themeColor="background1"/>
                                        <w:sz w:val="40"/>
                                        <w:szCs w:val="40"/>
                                        <w:lang w:val="hy-AM"/>
                                      </w:rPr>
                                      <w:t>ՄԱՍ I: ՍՈՑԻԱԼ-ՏՆՏԵՍԱԿԱՆ ԶԱՐԳԱՑՄԱՆ, ՄԱԿՐ</w:t>
                                    </w:r>
                                    <w:r w:rsidRPr="00487DE5">
                                      <w:rPr>
                                        <w:color w:val="FFFFFF" w:themeColor="background1"/>
                                        <w:sz w:val="40"/>
                                        <w:szCs w:val="40"/>
                                        <w:lang w:val="hy-AM"/>
                                      </w:rPr>
                                      <w:t>ՈՏՆՏԵՍԱ</w:t>
                                    </w:r>
                                    <w:r w:rsidRPr="003A4CA5">
                                      <w:rPr>
                                        <w:color w:val="FFFFFF" w:themeColor="background1"/>
                                        <w:sz w:val="40"/>
                                        <w:szCs w:val="40"/>
                                        <w:lang w:val="hy-AM"/>
                                      </w:rPr>
                                      <w:t>ԿԱՆ ԶԱՐԳԱՑՄԱՆ ԵՎ ՀԱՐԿԱԲՅՈՒՋԵՏԱՅԻՆ ՔԱՂԱՔԱԿԱՆՈՒԹՅԱՆ</w:t>
                                    </w:r>
                                    <w:r>
                                      <w:rPr>
                                        <w:color w:val="FFFFFF" w:themeColor="background1"/>
                                        <w:sz w:val="40"/>
                                        <w:szCs w:val="40"/>
                                        <w:lang w:val="hy-AM"/>
                                      </w:rPr>
                                      <w:t xml:space="preserve"> </w:t>
                                    </w:r>
                                    <w:r w:rsidRPr="003A4CA5">
                                      <w:rPr>
                                        <w:color w:val="auto"/>
                                        <w:sz w:val="40"/>
                                        <w:szCs w:val="40"/>
                                        <w:lang w:val="hy-AM"/>
                                      </w:rPr>
                                      <w:t>ՀԻՄՆԱԿԱՆ ՈՒՂՂՈՒԹՅՈՒՆՆԵՐԻ ՄԱՍԻՆ</w:t>
                                    </w:r>
                                    <w:r w:rsidRPr="00202938">
                                      <w:rPr>
                                        <w:b/>
                                        <w:color w:val="FFFFFF" w:themeColor="background1"/>
                                        <w:sz w:val="30"/>
                                        <w:szCs w:val="30"/>
                                        <w:lang w:val="hy-AM"/>
                                      </w:rPr>
                                      <w:t>Yerevan 2024</w:t>
                                    </w:r>
                                  </w:p>
                                  <w:p w14:paraId="4F341BFA" w14:textId="77777777" w:rsidR="00147C8B" w:rsidRPr="00202938" w:rsidRDefault="00147C8B">
                                    <w:pPr>
                                      <w:rPr>
                                        <w:lang w:val="hy-AM"/>
                                      </w:rPr>
                                    </w:pPr>
                                  </w:p>
                                  <w:p w14:paraId="1D2221C3" w14:textId="77777777" w:rsidR="00147C8B" w:rsidRPr="00A3353C" w:rsidRDefault="00147C8B" w:rsidP="00A3353C">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4175E472" w14:textId="77777777" w:rsidR="00147C8B" w:rsidRPr="00682390" w:rsidRDefault="00147C8B" w:rsidP="00FD0C29">
                                    <w:pPr>
                                      <w:rPr>
                                        <w:b/>
                                        <w:color w:val="FFFFFF" w:themeColor="background1"/>
                                        <w:sz w:val="30"/>
                                        <w:szCs w:val="30"/>
                                        <w:lang w:val="hy-AM"/>
                                      </w:rPr>
                                    </w:pPr>
                                    <w:r w:rsidRPr="00A3353C">
                                      <w:rPr>
                                        <w:sz w:val="44"/>
                                        <w:szCs w:val="44"/>
                                        <w:lang w:val="hy-AM"/>
                                      </w:rPr>
                                      <w:t>ՀԻՄՆԱԿԱՆ ՈՒՂՂՈՒԹՅՈՒՆՆԵՐԻ ՄԱՍԻՆ</w:t>
                                    </w:r>
                                    <w:r w:rsidRPr="00682390">
                                      <w:rPr>
                                        <w:b/>
                                        <w:color w:val="FFFFFF" w:themeColor="background1"/>
                                        <w:sz w:val="30"/>
                                        <w:szCs w:val="30"/>
                                        <w:lang w:val="hy-AM"/>
                                      </w:rPr>
                                      <w:t>Yerevan 2024</w:t>
                                    </w:r>
                                  </w:p>
                                  <w:p w14:paraId="62C9C281" w14:textId="77777777" w:rsidR="00147C8B" w:rsidRPr="00682390" w:rsidRDefault="00147C8B">
                                    <w:pPr>
                                      <w:rPr>
                                        <w:lang w:val="hy-AM"/>
                                      </w:rPr>
                                    </w:pPr>
                                  </w:p>
                                  <w:p w14:paraId="7137A793" w14:textId="77777777" w:rsidR="00147C8B" w:rsidRPr="00A3353C" w:rsidRDefault="00147C8B" w:rsidP="00A3353C">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7F24B500" w14:textId="77777777" w:rsidR="00147C8B" w:rsidRPr="00682390" w:rsidRDefault="00147C8B" w:rsidP="00FD0C29">
                                    <w:pPr>
                                      <w:rPr>
                                        <w:b/>
                                        <w:color w:val="FFFFFF" w:themeColor="background1"/>
                                        <w:sz w:val="30"/>
                                        <w:szCs w:val="30"/>
                                        <w:lang w:val="hy-AM"/>
                                      </w:rPr>
                                    </w:pPr>
                                    <w:r w:rsidRPr="00A3353C">
                                      <w:rPr>
                                        <w:sz w:val="44"/>
                                        <w:szCs w:val="44"/>
                                        <w:lang w:val="hy-AM"/>
                                      </w:rPr>
                                      <w:t>ՀԻՄՆԱԿԱՆ ՈՒՂՂՈՒԹՅՈՒՆՆԵՐԻ ՄԱՍԻՆ</w:t>
                                    </w:r>
                                    <w:r w:rsidRPr="00682390">
                                      <w:rPr>
                                        <w:b/>
                                        <w:color w:val="FFFFFF" w:themeColor="background1"/>
                                        <w:sz w:val="30"/>
                                        <w:szCs w:val="30"/>
                                        <w:lang w:val="hy-AM"/>
                                      </w:rPr>
                                      <w:t>Yerevan 2024</w:t>
                                    </w:r>
                                  </w:p>
                                  <w:p w14:paraId="3E40B1EB" w14:textId="77777777" w:rsidR="00147C8B" w:rsidRPr="00682390" w:rsidRDefault="00147C8B">
                                    <w:pPr>
                                      <w:rPr>
                                        <w:lang w:val="hy-AM"/>
                                      </w:rPr>
                                    </w:pPr>
                                  </w:p>
                                  <w:p w14:paraId="52F65405" w14:textId="77777777" w:rsidR="00147C8B" w:rsidRPr="00A3353C" w:rsidRDefault="00147C8B" w:rsidP="00A3353C">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4F0220E0" w14:textId="77777777" w:rsidR="00147C8B" w:rsidRPr="00454DBB" w:rsidRDefault="00147C8B" w:rsidP="00FD0C29">
                                    <w:pPr>
                                      <w:rPr>
                                        <w:b/>
                                        <w:color w:val="FFFFFF" w:themeColor="background1"/>
                                        <w:sz w:val="30"/>
                                        <w:szCs w:val="30"/>
                                        <w:lang w:val="hy-AM"/>
                                      </w:rPr>
                                    </w:pPr>
                                    <w:r w:rsidRPr="00A3353C">
                                      <w:rPr>
                                        <w:sz w:val="44"/>
                                        <w:szCs w:val="44"/>
                                        <w:lang w:val="hy-AM"/>
                                      </w:rPr>
                                      <w:t>ՀԻՄՆԱԿԱՆ ՈՒՂՂՈՒԹՅՈՒՆՆԵՐԻ ՄԱՍԻՆ</w:t>
                                    </w:r>
                                    <w:r w:rsidRPr="00454DBB">
                                      <w:rPr>
                                        <w:b/>
                                        <w:color w:val="FFFFFF" w:themeColor="background1"/>
                                        <w:sz w:val="30"/>
                                        <w:szCs w:val="30"/>
                                        <w:lang w:val="hy-AM"/>
                                      </w:rPr>
                                      <w:t>Yerevan 2024</w:t>
                                    </w:r>
                                  </w:p>
                                  <w:p w14:paraId="1FB42225" w14:textId="77777777" w:rsidR="00147C8B" w:rsidRPr="00454DBB" w:rsidRDefault="00147C8B">
                                    <w:pPr>
                                      <w:rPr>
                                        <w:lang w:val="hy-AM"/>
                                      </w:rPr>
                                    </w:pPr>
                                  </w:p>
                                  <w:p w14:paraId="5C8EA714" w14:textId="77777777" w:rsidR="00147C8B" w:rsidRPr="00454DBB" w:rsidRDefault="00147C8B" w:rsidP="00FD0C29">
                                    <w:pPr>
                                      <w:rPr>
                                        <w:b/>
                                        <w:color w:val="FFFFFF" w:themeColor="background1"/>
                                        <w:sz w:val="30"/>
                                        <w:szCs w:val="30"/>
                                        <w:lang w:val="hy-AM"/>
                                      </w:rPr>
                                    </w:pPr>
                                    <w:r w:rsidRPr="003A4CA5">
                                      <w:rPr>
                                        <w:color w:val="FFFFFF" w:themeColor="background1"/>
                                        <w:sz w:val="40"/>
                                        <w:szCs w:val="40"/>
                                        <w:lang w:val="hy-AM"/>
                                      </w:rPr>
                                      <w:t>ՄԱՍ I: ՍՈՑԻԱԼ-ՏՆՏԵՍԱԿԱՆ ԶԱՐԳԱՑՄԱՆ, ՄԱԿՐՈՏՆՏԵՍԱԿԱՆ ԶԱՐԳԱՑՄԱՆ ԵՎ ՀԱՐԿԱԲՅՈՒՋԵՏԱՅԻՆ ՔԱՂԱՔԱԿԱՆՈՒԹՅԱՆ</w:t>
                                    </w:r>
                                    <w:r>
                                      <w:rPr>
                                        <w:color w:val="FFFFFF" w:themeColor="background1"/>
                                        <w:sz w:val="40"/>
                                        <w:szCs w:val="40"/>
                                        <w:lang w:val="hy-AM"/>
                                      </w:rPr>
                                      <w:t xml:space="preserve"> </w:t>
                                    </w:r>
                                    <w:r w:rsidRPr="003A4CA5">
                                      <w:rPr>
                                        <w:color w:val="auto"/>
                                        <w:sz w:val="40"/>
                                        <w:szCs w:val="40"/>
                                        <w:lang w:val="hy-AM"/>
                                      </w:rPr>
                                      <w:t>ՀԻՄՆԱԿԱՆ ՈՒՂՂՈՒԹՅՈՒՆՆԵՐԻ ՄԱՍԻՆ</w:t>
                                    </w:r>
                                    <w:r w:rsidRPr="00454DBB">
                                      <w:rPr>
                                        <w:b/>
                                        <w:color w:val="FFFFFF" w:themeColor="background1"/>
                                        <w:sz w:val="30"/>
                                        <w:szCs w:val="30"/>
                                        <w:lang w:val="hy-AM"/>
                                      </w:rPr>
                                      <w:t>Yerevan 2024</w:t>
                                    </w:r>
                                  </w:p>
                                  <w:p w14:paraId="67AC8899" w14:textId="77777777" w:rsidR="00147C8B" w:rsidRPr="00454DBB" w:rsidRDefault="00147C8B">
                                    <w:pPr>
                                      <w:rPr>
                                        <w:lang w:val="hy-AM"/>
                                      </w:rPr>
                                    </w:pPr>
                                  </w:p>
                                  <w:p w14:paraId="610149B8" w14:textId="77777777" w:rsidR="00147C8B" w:rsidRPr="00A3353C" w:rsidRDefault="00147C8B" w:rsidP="00A3353C">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09760684" w14:textId="77777777" w:rsidR="00147C8B" w:rsidRPr="00682390" w:rsidRDefault="00147C8B" w:rsidP="00FD0C29">
                                    <w:pPr>
                                      <w:rPr>
                                        <w:b/>
                                        <w:color w:val="FFFFFF" w:themeColor="background1"/>
                                        <w:sz w:val="30"/>
                                        <w:szCs w:val="30"/>
                                        <w:lang w:val="hy-AM"/>
                                      </w:rPr>
                                    </w:pPr>
                                    <w:r w:rsidRPr="00A3353C">
                                      <w:rPr>
                                        <w:sz w:val="44"/>
                                        <w:szCs w:val="44"/>
                                        <w:lang w:val="hy-AM"/>
                                      </w:rPr>
                                      <w:t>ՀԻՄՆԱԿԱՆ ՈՒՂՂՈՒԹՅՈՒՆՆԵՐԻ ՄԱՍԻՆ</w:t>
                                    </w:r>
                                    <w:r w:rsidRPr="00682390">
                                      <w:rPr>
                                        <w:b/>
                                        <w:color w:val="FFFFFF" w:themeColor="background1"/>
                                        <w:sz w:val="30"/>
                                        <w:szCs w:val="30"/>
                                        <w:lang w:val="hy-AM"/>
                                      </w:rPr>
                                      <w:t>Yerevan 2024</w:t>
                                    </w:r>
                                  </w:p>
                                  <w:p w14:paraId="0FE4B44C" w14:textId="77777777" w:rsidR="00147C8B" w:rsidRPr="00682390" w:rsidRDefault="00147C8B">
                                    <w:pPr>
                                      <w:rPr>
                                        <w:lang w:val="hy-AM"/>
                                      </w:rPr>
                                    </w:pPr>
                                  </w:p>
                                  <w:p w14:paraId="53E57FE1" w14:textId="77777777" w:rsidR="00147C8B" w:rsidRPr="00A3353C" w:rsidRDefault="00147C8B" w:rsidP="00A3353C">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2667C464" w14:textId="77777777" w:rsidR="00147C8B" w:rsidRPr="00682390" w:rsidRDefault="00147C8B" w:rsidP="00FD0C29">
                                    <w:pPr>
                                      <w:rPr>
                                        <w:b/>
                                        <w:color w:val="FFFFFF" w:themeColor="background1"/>
                                        <w:sz w:val="30"/>
                                        <w:szCs w:val="30"/>
                                        <w:lang w:val="hy-AM"/>
                                      </w:rPr>
                                    </w:pPr>
                                    <w:r w:rsidRPr="00A3353C">
                                      <w:rPr>
                                        <w:sz w:val="44"/>
                                        <w:szCs w:val="44"/>
                                        <w:lang w:val="hy-AM"/>
                                      </w:rPr>
                                      <w:t>ՀԻՄՆԱԿԱՆ ՈՒՂՂՈՒԹՅՈՒՆՆԵՐԻ ՄԱՍԻՆ</w:t>
                                    </w:r>
                                    <w:r w:rsidRPr="00682390">
                                      <w:rPr>
                                        <w:b/>
                                        <w:color w:val="FFFFFF" w:themeColor="background1"/>
                                        <w:sz w:val="30"/>
                                        <w:szCs w:val="30"/>
                                        <w:lang w:val="hy-AM"/>
                                      </w:rPr>
                                      <w:t>Yerevan 2024</w:t>
                                    </w:r>
                                  </w:p>
                                  <w:p w14:paraId="75E5E826" w14:textId="77777777" w:rsidR="00147C8B" w:rsidRPr="00682390" w:rsidRDefault="00147C8B">
                                    <w:pPr>
                                      <w:rPr>
                                        <w:lang w:val="hy-AM"/>
                                      </w:rPr>
                                    </w:pPr>
                                  </w:p>
                                  <w:p w14:paraId="1007E003" w14:textId="77777777" w:rsidR="00147C8B" w:rsidRPr="00A3353C" w:rsidRDefault="00147C8B" w:rsidP="00A3353C">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19297D47" w14:textId="77777777" w:rsidR="00147C8B" w:rsidRPr="003A5AE3" w:rsidRDefault="00147C8B" w:rsidP="00FD0C29">
                                    <w:pPr>
                                      <w:rPr>
                                        <w:b/>
                                        <w:color w:val="FFFFFF" w:themeColor="background1"/>
                                        <w:sz w:val="30"/>
                                        <w:szCs w:val="30"/>
                                        <w:lang w:val="hy-AM"/>
                                      </w:rPr>
                                    </w:pPr>
                                    <w:r w:rsidRPr="00A3353C">
                                      <w:rPr>
                                        <w:sz w:val="44"/>
                                        <w:szCs w:val="44"/>
                                        <w:lang w:val="hy-AM"/>
                                      </w:rPr>
                                      <w:t>ՀԻՄՆԱԿԱՆ ՈՒՂՂՈՒԹՅՈՒՆՆԵՐԻ ՄԱՍԻՆ</w:t>
                                    </w:r>
                                    <w:r w:rsidRPr="003A5AE3">
                                      <w:rPr>
                                        <w:b/>
                                        <w:color w:val="FFFFFF" w:themeColor="background1"/>
                                        <w:sz w:val="30"/>
                                        <w:szCs w:val="30"/>
                                        <w:lang w:val="hy-AM"/>
                                      </w:rPr>
                                      <w:t>Yerevan 2024</w:t>
                                    </w:r>
                                  </w:p>
                                  <w:p w14:paraId="67B7CA62" w14:textId="77777777" w:rsidR="00147C8B" w:rsidRPr="003A5AE3" w:rsidRDefault="00147C8B">
                                    <w:pPr>
                                      <w:rPr>
                                        <w:lang w:val="hy-AM"/>
                                      </w:rPr>
                                    </w:pPr>
                                  </w:p>
                                  <w:p w14:paraId="10DBF748" w14:textId="77777777" w:rsidR="00147C8B" w:rsidRPr="003A5AE3" w:rsidRDefault="00147C8B" w:rsidP="00FD0C29">
                                    <w:pPr>
                                      <w:rPr>
                                        <w:b/>
                                        <w:color w:val="FFFFFF" w:themeColor="background1"/>
                                        <w:sz w:val="30"/>
                                        <w:szCs w:val="30"/>
                                        <w:lang w:val="hy-AM"/>
                                      </w:rPr>
                                    </w:pPr>
                                    <w:r w:rsidRPr="003A4CA5">
                                      <w:rPr>
                                        <w:color w:val="FFFFFF" w:themeColor="background1"/>
                                        <w:sz w:val="40"/>
                                        <w:szCs w:val="40"/>
                                        <w:lang w:val="hy-AM"/>
                                      </w:rPr>
                                      <w:t>ՄԱՍ I: ՍՈՑԻԱԼ-ՏՆՏԵՍԱԿԱՆ ԶԱՐԳԱՑՄԱՆ, ՄԱԿՐՈՏՆՏԵՍԱԿԱՆ ԶԱՐԳԱՑՄԱՆ ԵՎ ՀԱՐԿԱԲՅՈՒՋԵՏԱՅԻՆ ՔԱՂԱՔԱԿԱՆՈՒԹՅԱՆ</w:t>
                                    </w:r>
                                    <w:r>
                                      <w:rPr>
                                        <w:color w:val="FFFFFF" w:themeColor="background1"/>
                                        <w:sz w:val="40"/>
                                        <w:szCs w:val="40"/>
                                        <w:lang w:val="hy-AM"/>
                                      </w:rPr>
                                      <w:t xml:space="preserve"> </w:t>
                                    </w:r>
                                    <w:r w:rsidRPr="003A4CA5">
                                      <w:rPr>
                                        <w:color w:val="auto"/>
                                        <w:sz w:val="40"/>
                                        <w:szCs w:val="40"/>
                                        <w:lang w:val="hy-AM"/>
                                      </w:rPr>
                                      <w:t>ՀԻՄՆԱԿԱՆ ՈՒՂՂՈՒԹՅՈՒՆՆԵՐԻ ՄԱՍԻՆ</w:t>
                                    </w:r>
                                    <w:r w:rsidRPr="003A5AE3">
                                      <w:rPr>
                                        <w:b/>
                                        <w:color w:val="FFFFFF" w:themeColor="background1"/>
                                        <w:sz w:val="30"/>
                                        <w:szCs w:val="30"/>
                                        <w:lang w:val="hy-AM"/>
                                      </w:rPr>
                                      <w:t>Yerevan 2024</w:t>
                                    </w:r>
                                  </w:p>
                                  <w:p w14:paraId="61AA4B4A" w14:textId="77777777" w:rsidR="00147C8B" w:rsidRPr="003A5AE3" w:rsidRDefault="00147C8B">
                                    <w:pPr>
                                      <w:rPr>
                                        <w:lang w:val="hy-AM"/>
                                      </w:rPr>
                                    </w:pPr>
                                  </w:p>
                                  <w:p w14:paraId="5D173052" w14:textId="77777777" w:rsidR="00147C8B" w:rsidRPr="00A3353C" w:rsidRDefault="00147C8B" w:rsidP="00A3353C">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5DA59CD8" w14:textId="77777777" w:rsidR="00147C8B" w:rsidRPr="00682390" w:rsidRDefault="00147C8B" w:rsidP="00FD0C29">
                                    <w:pPr>
                                      <w:rPr>
                                        <w:b/>
                                        <w:color w:val="FFFFFF" w:themeColor="background1"/>
                                        <w:sz w:val="30"/>
                                        <w:szCs w:val="30"/>
                                        <w:lang w:val="hy-AM"/>
                                      </w:rPr>
                                    </w:pPr>
                                    <w:r w:rsidRPr="00A3353C">
                                      <w:rPr>
                                        <w:sz w:val="44"/>
                                        <w:szCs w:val="44"/>
                                        <w:lang w:val="hy-AM"/>
                                      </w:rPr>
                                      <w:t>ՀԻՄՆԱԿԱՆ ՈՒՂՂՈՒԹՅՈՒՆՆԵՐԻ ՄԱՍԻՆ</w:t>
                                    </w:r>
                                    <w:r w:rsidRPr="00682390">
                                      <w:rPr>
                                        <w:b/>
                                        <w:color w:val="FFFFFF" w:themeColor="background1"/>
                                        <w:sz w:val="30"/>
                                        <w:szCs w:val="30"/>
                                        <w:lang w:val="hy-AM"/>
                                      </w:rPr>
                                      <w:t>Yerevan 2024</w:t>
                                    </w:r>
                                  </w:p>
                                  <w:p w14:paraId="357EE941" w14:textId="77777777" w:rsidR="00147C8B" w:rsidRPr="00682390" w:rsidRDefault="00147C8B">
                                    <w:pPr>
                                      <w:rPr>
                                        <w:lang w:val="hy-AM"/>
                                      </w:rPr>
                                    </w:pPr>
                                  </w:p>
                                  <w:p w14:paraId="60C733D5" w14:textId="77777777" w:rsidR="00147C8B" w:rsidRPr="00A3353C" w:rsidRDefault="00147C8B" w:rsidP="00A3353C">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551C6EAF" w14:textId="77777777" w:rsidR="00147C8B" w:rsidRPr="00682390" w:rsidRDefault="00147C8B" w:rsidP="00FD0C29">
                                    <w:pPr>
                                      <w:rPr>
                                        <w:b/>
                                        <w:color w:val="FFFFFF" w:themeColor="background1"/>
                                        <w:sz w:val="30"/>
                                        <w:szCs w:val="30"/>
                                        <w:lang w:val="hy-AM"/>
                                      </w:rPr>
                                    </w:pPr>
                                    <w:r w:rsidRPr="00A3353C">
                                      <w:rPr>
                                        <w:sz w:val="44"/>
                                        <w:szCs w:val="44"/>
                                        <w:lang w:val="hy-AM"/>
                                      </w:rPr>
                                      <w:t>ՀԻՄՆԱԿԱՆ ՈՒՂՂՈՒԹՅՈՒՆՆԵՐԻ ՄԱՍԻՆ</w:t>
                                    </w:r>
                                    <w:r w:rsidRPr="00682390">
                                      <w:rPr>
                                        <w:b/>
                                        <w:color w:val="FFFFFF" w:themeColor="background1"/>
                                        <w:sz w:val="30"/>
                                        <w:szCs w:val="30"/>
                                        <w:lang w:val="hy-AM"/>
                                      </w:rPr>
                                      <w:t>Yerevan 2024</w:t>
                                    </w:r>
                                  </w:p>
                                  <w:p w14:paraId="3ECF1687" w14:textId="77777777" w:rsidR="00147C8B" w:rsidRPr="00682390" w:rsidRDefault="00147C8B">
                                    <w:pPr>
                                      <w:rPr>
                                        <w:lang w:val="hy-AM"/>
                                      </w:rPr>
                                    </w:pPr>
                                  </w:p>
                                  <w:p w14:paraId="29A0028D" w14:textId="77777777" w:rsidR="00147C8B" w:rsidRPr="00A3353C" w:rsidRDefault="00147C8B" w:rsidP="00A3353C">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7A8E95F7" w14:textId="77777777" w:rsidR="00147C8B" w:rsidRPr="00454DBB" w:rsidRDefault="00147C8B" w:rsidP="00FD0C29">
                                    <w:pPr>
                                      <w:rPr>
                                        <w:b/>
                                        <w:color w:val="FFFFFF" w:themeColor="background1"/>
                                        <w:sz w:val="30"/>
                                        <w:szCs w:val="30"/>
                                        <w:lang w:val="hy-AM"/>
                                      </w:rPr>
                                    </w:pPr>
                                    <w:r w:rsidRPr="00A3353C">
                                      <w:rPr>
                                        <w:sz w:val="44"/>
                                        <w:szCs w:val="44"/>
                                        <w:lang w:val="hy-AM"/>
                                      </w:rPr>
                                      <w:t>ՀԻՄՆԱԿԱՆ ՈՒՂՂՈՒԹՅՈՒՆՆԵՐԻ ՄԱՍԻՆ</w:t>
                                    </w:r>
                                    <w:r w:rsidRPr="00454DBB">
                                      <w:rPr>
                                        <w:b/>
                                        <w:color w:val="FFFFFF" w:themeColor="background1"/>
                                        <w:sz w:val="30"/>
                                        <w:szCs w:val="30"/>
                                        <w:lang w:val="hy-AM"/>
                                      </w:rPr>
                                      <w:t>Yerevan 2024</w:t>
                                    </w:r>
                                  </w:p>
                                  <w:p w14:paraId="4B1C0E27" w14:textId="77777777" w:rsidR="00147C8B" w:rsidRPr="00454DBB" w:rsidRDefault="00147C8B">
                                    <w:pPr>
                                      <w:rPr>
                                        <w:lang w:val="hy-AM"/>
                                      </w:rPr>
                                    </w:pPr>
                                  </w:p>
                                  <w:p w14:paraId="0E57DDE4" w14:textId="77777777" w:rsidR="00147C8B" w:rsidRPr="00454DBB" w:rsidRDefault="00147C8B" w:rsidP="00FD0C29">
                                    <w:pPr>
                                      <w:rPr>
                                        <w:b/>
                                        <w:color w:val="FFFFFF" w:themeColor="background1"/>
                                        <w:sz w:val="30"/>
                                        <w:szCs w:val="30"/>
                                        <w:lang w:val="hy-AM"/>
                                      </w:rPr>
                                    </w:pPr>
                                    <w:r w:rsidRPr="003A4CA5">
                                      <w:rPr>
                                        <w:color w:val="FFFFFF" w:themeColor="background1"/>
                                        <w:sz w:val="40"/>
                                        <w:szCs w:val="40"/>
                                        <w:lang w:val="hy-AM"/>
                                      </w:rPr>
                                      <w:t>ՄԱՍ I: ՍՈՑԻԱԼ-ՏՆՏԵՍԱԿԱՆ ԶԱՐԳԱՑՄԱՆ, ՄԱԿՐՈՏՆՏԵՍԱԿԱՆ ԶԱՐԳԱՑՄԱՆ ԵՎ ՀԱՐԿԱԲՅՈՒՋԵՏԱՅԻՆ ՔԱՂԱՔԱԿԱՆՈՒԹՅԱՆ</w:t>
                                    </w:r>
                                    <w:r>
                                      <w:rPr>
                                        <w:color w:val="FFFFFF" w:themeColor="background1"/>
                                        <w:sz w:val="40"/>
                                        <w:szCs w:val="40"/>
                                        <w:lang w:val="hy-AM"/>
                                      </w:rPr>
                                      <w:t xml:space="preserve"> </w:t>
                                    </w:r>
                                    <w:r w:rsidRPr="003A4CA5">
                                      <w:rPr>
                                        <w:color w:val="auto"/>
                                        <w:sz w:val="40"/>
                                        <w:szCs w:val="40"/>
                                        <w:lang w:val="hy-AM"/>
                                      </w:rPr>
                                      <w:t>ՀԻՄՆԱԿԱՆ ՈՒՂՂՈՒԹՅՈՒՆՆԵՐԻ ՄԱՍԻՆ</w:t>
                                    </w:r>
                                    <w:r w:rsidRPr="00454DBB">
                                      <w:rPr>
                                        <w:b/>
                                        <w:color w:val="FFFFFF" w:themeColor="background1"/>
                                        <w:sz w:val="30"/>
                                        <w:szCs w:val="30"/>
                                        <w:lang w:val="hy-AM"/>
                                      </w:rPr>
                                      <w:t>Yerevan 2024</w:t>
                                    </w:r>
                                  </w:p>
                                  <w:p w14:paraId="5BE820A2" w14:textId="77777777" w:rsidR="00147C8B" w:rsidRPr="00454DBB" w:rsidRDefault="00147C8B">
                                    <w:pPr>
                                      <w:rPr>
                                        <w:lang w:val="hy-AM"/>
                                      </w:rPr>
                                    </w:pPr>
                                  </w:p>
                                  <w:p w14:paraId="7338D884" w14:textId="77777777" w:rsidR="00147C8B" w:rsidRPr="00A3353C" w:rsidRDefault="00147C8B" w:rsidP="00A3353C">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66D72ED8" w14:textId="77777777" w:rsidR="00147C8B" w:rsidRPr="00682390" w:rsidRDefault="00147C8B" w:rsidP="00FD0C29">
                                    <w:pPr>
                                      <w:rPr>
                                        <w:b/>
                                        <w:color w:val="FFFFFF" w:themeColor="background1"/>
                                        <w:sz w:val="30"/>
                                        <w:szCs w:val="30"/>
                                        <w:lang w:val="hy-AM"/>
                                      </w:rPr>
                                    </w:pPr>
                                    <w:r w:rsidRPr="00A3353C">
                                      <w:rPr>
                                        <w:sz w:val="44"/>
                                        <w:szCs w:val="44"/>
                                        <w:lang w:val="hy-AM"/>
                                      </w:rPr>
                                      <w:t>ՀԻՄՆԱԿԱՆ ՈՒՂՂՈՒԹՅՈՒՆՆԵՐԻ ՄԱՍԻՆ</w:t>
                                    </w:r>
                                    <w:r w:rsidRPr="00682390">
                                      <w:rPr>
                                        <w:b/>
                                        <w:color w:val="FFFFFF" w:themeColor="background1"/>
                                        <w:sz w:val="30"/>
                                        <w:szCs w:val="30"/>
                                        <w:lang w:val="hy-AM"/>
                                      </w:rPr>
                                      <w:t>Yerevan 2024</w:t>
                                    </w:r>
                                  </w:p>
                                  <w:p w14:paraId="682D0E13" w14:textId="77777777" w:rsidR="00147C8B" w:rsidRPr="00682390" w:rsidRDefault="00147C8B">
                                    <w:pPr>
                                      <w:rPr>
                                        <w:lang w:val="hy-AM"/>
                                      </w:rPr>
                                    </w:pPr>
                                  </w:p>
                                  <w:p w14:paraId="2381E78A" w14:textId="77777777" w:rsidR="00147C8B" w:rsidRPr="00A3353C" w:rsidRDefault="00147C8B" w:rsidP="00A3353C">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499C5D8B" w14:textId="77777777" w:rsidR="00147C8B" w:rsidRPr="00682390" w:rsidRDefault="00147C8B" w:rsidP="00FD0C29">
                                    <w:pPr>
                                      <w:rPr>
                                        <w:b/>
                                        <w:color w:val="FFFFFF" w:themeColor="background1"/>
                                        <w:sz w:val="30"/>
                                        <w:szCs w:val="30"/>
                                        <w:lang w:val="hy-AM"/>
                                      </w:rPr>
                                    </w:pPr>
                                    <w:r w:rsidRPr="00A3353C">
                                      <w:rPr>
                                        <w:sz w:val="44"/>
                                        <w:szCs w:val="44"/>
                                        <w:lang w:val="hy-AM"/>
                                      </w:rPr>
                                      <w:t>ՀԻՄՆԱԿԱՆ ՈՒՂՂՈՒԹՅՈՒՆՆԵՐԻ ՄԱՍԻՆ</w:t>
                                    </w:r>
                                    <w:r w:rsidRPr="00682390">
                                      <w:rPr>
                                        <w:b/>
                                        <w:color w:val="FFFFFF" w:themeColor="background1"/>
                                        <w:sz w:val="30"/>
                                        <w:szCs w:val="30"/>
                                        <w:lang w:val="hy-AM"/>
                                      </w:rPr>
                                      <w:t>Yerevan 2024</w:t>
                                    </w:r>
                                  </w:p>
                                  <w:p w14:paraId="0EBD711F" w14:textId="77777777" w:rsidR="00147C8B" w:rsidRPr="00682390" w:rsidRDefault="00147C8B">
                                    <w:pPr>
                                      <w:rPr>
                                        <w:lang w:val="hy-AM"/>
                                      </w:rPr>
                                    </w:pPr>
                                  </w:p>
                                  <w:p w14:paraId="14A95AA7" w14:textId="77777777" w:rsidR="00147C8B" w:rsidRPr="00A3353C" w:rsidRDefault="00147C8B" w:rsidP="00A3353C">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40076879" w14:textId="77777777" w:rsidR="00147C8B" w:rsidRPr="00A72B0A" w:rsidRDefault="00147C8B" w:rsidP="00FD0C29">
                                    <w:pPr>
                                      <w:rPr>
                                        <w:b/>
                                        <w:color w:val="FFFFFF" w:themeColor="background1"/>
                                        <w:sz w:val="30"/>
                                        <w:szCs w:val="30"/>
                                        <w:lang w:val="hy-AM"/>
                                      </w:rPr>
                                    </w:pPr>
                                    <w:r w:rsidRPr="00A3353C">
                                      <w:rPr>
                                        <w:sz w:val="44"/>
                                        <w:szCs w:val="44"/>
                                        <w:lang w:val="hy-AM"/>
                                      </w:rPr>
                                      <w:t>ՀԻՄՆԱԿԱՆ ՈՒՂՂՈՒԹՅՈՒՆՆԵՐԻ ՄԱՍԻՆ</w:t>
                                    </w:r>
                                    <w:r w:rsidRPr="00A72B0A">
                                      <w:rPr>
                                        <w:b/>
                                        <w:color w:val="FFFFFF" w:themeColor="background1"/>
                                        <w:sz w:val="30"/>
                                        <w:szCs w:val="30"/>
                                        <w:lang w:val="hy-AM"/>
                                      </w:rPr>
                                      <w:t>Yerevan 2024</w:t>
                                    </w:r>
                                  </w:p>
                                  <w:p w14:paraId="773FBF72" w14:textId="77777777" w:rsidR="00147C8B" w:rsidRPr="00A72B0A" w:rsidRDefault="00147C8B">
                                    <w:pPr>
                                      <w:rPr>
                                        <w:lang w:val="hy-AM"/>
                                      </w:rPr>
                                    </w:pPr>
                                  </w:p>
                                  <w:p w14:paraId="63A08248" w14:textId="77777777" w:rsidR="00147C8B" w:rsidRPr="00A72B0A" w:rsidRDefault="00147C8B" w:rsidP="00FD0C29">
                                    <w:pPr>
                                      <w:rPr>
                                        <w:b/>
                                        <w:color w:val="FFFFFF" w:themeColor="background1"/>
                                        <w:sz w:val="30"/>
                                        <w:szCs w:val="30"/>
                                        <w:lang w:val="hy-AM"/>
                                      </w:rPr>
                                    </w:pPr>
                                    <w:r w:rsidRPr="00A72B0A">
                                      <w:rPr>
                                        <w:color w:val="FFFFFF" w:themeColor="background1"/>
                                        <w:lang w:val="hy-AM"/>
                                      </w:rPr>
                                      <w:t xml:space="preserve">ՄԱՍ I: ՍՈՑԻԱԼ-ՏՆՏԵՍԱԿԱՆ ԶԱՐԳԱՑՄԱՆ, ՄԱԿՐՈՏՆՏԵՍԱԿԱՆ ԶԱՐԳԱՑՄԱՆ ԵՎ ՀԱՐԿԱԲՅՈՒՋԵՏԱՅԻՆ ՔԱՂԱՔԱԿԱՆՈՒԹՅԱՆ </w:t>
                                    </w:r>
                                    <w:r w:rsidRPr="003A4CA5">
                                      <w:rPr>
                                        <w:color w:val="auto"/>
                                        <w:lang w:val="hy-AM"/>
                                      </w:rPr>
                                      <w:t>ՀԻՄՆԱԿԱՆ ՈՒՂՂՈՒԹՅՈՒՆՆԵՐԻ ՄԱՍԻՆ</w:t>
                                    </w:r>
                                    <w:r w:rsidRPr="00A72B0A">
                                      <w:rPr>
                                        <w:b/>
                                        <w:color w:val="FFFFFF" w:themeColor="background1"/>
                                        <w:sz w:val="30"/>
                                        <w:szCs w:val="30"/>
                                        <w:lang w:val="hy-AM"/>
                                      </w:rPr>
                                      <w:t>Yerevan 2024</w:t>
                                    </w:r>
                                  </w:p>
                                  <w:p w14:paraId="1FB2E664" w14:textId="77777777" w:rsidR="00147C8B" w:rsidRPr="00A72B0A" w:rsidRDefault="00147C8B">
                                    <w:pPr>
                                      <w:rPr>
                                        <w:lang w:val="hy-AM"/>
                                      </w:rPr>
                                    </w:pPr>
                                  </w:p>
                                  <w:p w14:paraId="2D3D42D3" w14:textId="77777777" w:rsidR="00147C8B" w:rsidRPr="00A3353C" w:rsidRDefault="00147C8B" w:rsidP="00A3353C">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223970D8" w14:textId="77777777" w:rsidR="00147C8B" w:rsidRPr="00682390" w:rsidRDefault="00147C8B" w:rsidP="00FD0C29">
                                    <w:pPr>
                                      <w:rPr>
                                        <w:b/>
                                        <w:color w:val="FFFFFF" w:themeColor="background1"/>
                                        <w:sz w:val="30"/>
                                        <w:szCs w:val="30"/>
                                        <w:lang w:val="hy-AM"/>
                                      </w:rPr>
                                    </w:pPr>
                                    <w:r w:rsidRPr="00A3353C">
                                      <w:rPr>
                                        <w:sz w:val="44"/>
                                        <w:szCs w:val="44"/>
                                        <w:lang w:val="hy-AM"/>
                                      </w:rPr>
                                      <w:t>ՀԻՄՆԱԿԱՆ ՈՒՂՂՈՒԹՅՈՒՆՆԵՐԻ ՄԱՍԻՆ</w:t>
                                    </w:r>
                                    <w:r w:rsidRPr="00682390">
                                      <w:rPr>
                                        <w:b/>
                                        <w:color w:val="FFFFFF" w:themeColor="background1"/>
                                        <w:sz w:val="30"/>
                                        <w:szCs w:val="30"/>
                                        <w:lang w:val="hy-AM"/>
                                      </w:rPr>
                                      <w:t>Yerevan 2024</w:t>
                                    </w:r>
                                  </w:p>
                                  <w:p w14:paraId="10AAE04B" w14:textId="77777777" w:rsidR="00147C8B" w:rsidRPr="00682390" w:rsidRDefault="00147C8B">
                                    <w:pPr>
                                      <w:rPr>
                                        <w:lang w:val="hy-AM"/>
                                      </w:rPr>
                                    </w:pPr>
                                  </w:p>
                                  <w:p w14:paraId="066B5E36" w14:textId="77777777" w:rsidR="00147C8B" w:rsidRPr="00A3353C" w:rsidRDefault="00147C8B" w:rsidP="00A3353C">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600A0399" w14:textId="77777777" w:rsidR="00147C8B" w:rsidRPr="00682390" w:rsidRDefault="00147C8B" w:rsidP="00FD0C29">
                                    <w:pPr>
                                      <w:rPr>
                                        <w:b/>
                                        <w:color w:val="FFFFFF" w:themeColor="background1"/>
                                        <w:sz w:val="30"/>
                                        <w:szCs w:val="30"/>
                                        <w:lang w:val="hy-AM"/>
                                      </w:rPr>
                                    </w:pPr>
                                    <w:r w:rsidRPr="00A3353C">
                                      <w:rPr>
                                        <w:sz w:val="44"/>
                                        <w:szCs w:val="44"/>
                                        <w:lang w:val="hy-AM"/>
                                      </w:rPr>
                                      <w:t>ՀԻՄՆԱԿԱՆ ՈՒՂՂՈՒԹՅՈՒՆՆԵՐԻ ՄԱՍԻՆ</w:t>
                                    </w:r>
                                    <w:r w:rsidRPr="00682390">
                                      <w:rPr>
                                        <w:b/>
                                        <w:color w:val="FFFFFF" w:themeColor="background1"/>
                                        <w:sz w:val="30"/>
                                        <w:szCs w:val="30"/>
                                        <w:lang w:val="hy-AM"/>
                                      </w:rPr>
                                      <w:t>Yerevan 2024</w:t>
                                    </w:r>
                                  </w:p>
                                  <w:p w14:paraId="7B38F772" w14:textId="77777777" w:rsidR="00147C8B" w:rsidRPr="00682390" w:rsidRDefault="00147C8B">
                                    <w:pPr>
                                      <w:rPr>
                                        <w:lang w:val="hy-AM"/>
                                      </w:rPr>
                                    </w:pPr>
                                  </w:p>
                                  <w:p w14:paraId="5379BBB6" w14:textId="77777777" w:rsidR="00147C8B" w:rsidRPr="00A3353C" w:rsidRDefault="00147C8B" w:rsidP="00A3353C">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00231328" w14:textId="77777777" w:rsidR="00147C8B" w:rsidRPr="00454DBB" w:rsidRDefault="00147C8B" w:rsidP="00FD0C29">
                                    <w:pPr>
                                      <w:rPr>
                                        <w:b/>
                                        <w:color w:val="FFFFFF" w:themeColor="background1"/>
                                        <w:sz w:val="30"/>
                                        <w:szCs w:val="30"/>
                                        <w:lang w:val="hy-AM"/>
                                      </w:rPr>
                                    </w:pPr>
                                    <w:r w:rsidRPr="00A3353C">
                                      <w:rPr>
                                        <w:sz w:val="44"/>
                                        <w:szCs w:val="44"/>
                                        <w:lang w:val="hy-AM"/>
                                      </w:rPr>
                                      <w:t>ՀԻՄՆԱԿԱՆ ՈՒՂՂՈՒԹՅՈՒՆՆԵՐԻ ՄԱՍԻՆ</w:t>
                                    </w:r>
                                    <w:r w:rsidRPr="00454DBB">
                                      <w:rPr>
                                        <w:b/>
                                        <w:color w:val="FFFFFF" w:themeColor="background1"/>
                                        <w:sz w:val="30"/>
                                        <w:szCs w:val="30"/>
                                        <w:lang w:val="hy-AM"/>
                                      </w:rPr>
                                      <w:t>Yerevan 2024</w:t>
                                    </w:r>
                                  </w:p>
                                  <w:p w14:paraId="5CA2976F" w14:textId="77777777" w:rsidR="00147C8B" w:rsidRPr="00454DBB" w:rsidRDefault="00147C8B">
                                    <w:pPr>
                                      <w:rPr>
                                        <w:lang w:val="hy-AM"/>
                                      </w:rPr>
                                    </w:pPr>
                                  </w:p>
                                  <w:p w14:paraId="6498561D" w14:textId="77777777" w:rsidR="00147C8B" w:rsidRPr="00454DBB" w:rsidRDefault="00147C8B" w:rsidP="00FD0C29">
                                    <w:pPr>
                                      <w:rPr>
                                        <w:b/>
                                        <w:color w:val="FFFFFF" w:themeColor="background1"/>
                                        <w:sz w:val="30"/>
                                        <w:szCs w:val="30"/>
                                        <w:lang w:val="hy-AM"/>
                                      </w:rPr>
                                    </w:pPr>
                                    <w:r w:rsidRPr="003A4CA5">
                                      <w:rPr>
                                        <w:color w:val="FFFFFF" w:themeColor="background1"/>
                                        <w:sz w:val="40"/>
                                        <w:szCs w:val="40"/>
                                        <w:lang w:val="hy-AM"/>
                                      </w:rPr>
                                      <w:t>ՄԱՍ I: ՍՈՑԻԱԼ-ՏՆՏԵՍԱԿԱՆ ԶԱՐԳԱՑՄԱՆ, ՄԱԿՐՈՏՆՏԵՍԱԿԱՆ ԶԱՐԳԱՑՄԱՆ ԵՎ ՀԱՐԿԱԲՅՈՒՋԵՏԱՅԻՆ ՔԱՂԱՔԱԿԱՆՈՒԹՅԱՆ</w:t>
                                    </w:r>
                                    <w:r>
                                      <w:rPr>
                                        <w:color w:val="FFFFFF" w:themeColor="background1"/>
                                        <w:sz w:val="40"/>
                                        <w:szCs w:val="40"/>
                                        <w:lang w:val="hy-AM"/>
                                      </w:rPr>
                                      <w:t xml:space="preserve"> </w:t>
                                    </w:r>
                                    <w:r w:rsidRPr="003A4CA5">
                                      <w:rPr>
                                        <w:color w:val="auto"/>
                                        <w:sz w:val="40"/>
                                        <w:szCs w:val="40"/>
                                        <w:lang w:val="hy-AM"/>
                                      </w:rPr>
                                      <w:t>ՀԻՄՆԱԿԱՆ ՈՒՂՂՈՒԹՅՈՒՆՆԵՐԻ ՄԱՍԻՆ</w:t>
                                    </w:r>
                                    <w:r w:rsidRPr="00454DBB">
                                      <w:rPr>
                                        <w:b/>
                                        <w:color w:val="FFFFFF" w:themeColor="background1"/>
                                        <w:sz w:val="30"/>
                                        <w:szCs w:val="30"/>
                                        <w:lang w:val="hy-AM"/>
                                      </w:rPr>
                                      <w:t>Yerevan 2024</w:t>
                                    </w:r>
                                  </w:p>
                                  <w:p w14:paraId="432C8820" w14:textId="77777777" w:rsidR="00147C8B" w:rsidRPr="00454DBB" w:rsidRDefault="00147C8B">
                                    <w:pPr>
                                      <w:rPr>
                                        <w:lang w:val="hy-AM"/>
                                      </w:rPr>
                                    </w:pPr>
                                  </w:p>
                                  <w:p w14:paraId="1E6F1B8E" w14:textId="77777777" w:rsidR="00147C8B" w:rsidRPr="00A3353C" w:rsidRDefault="00147C8B" w:rsidP="00A3353C">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2780C797" w14:textId="77777777" w:rsidR="00147C8B" w:rsidRPr="00682390" w:rsidRDefault="00147C8B" w:rsidP="00FD0C29">
                                    <w:pPr>
                                      <w:rPr>
                                        <w:b/>
                                        <w:color w:val="FFFFFF" w:themeColor="background1"/>
                                        <w:sz w:val="30"/>
                                        <w:szCs w:val="30"/>
                                        <w:lang w:val="hy-AM"/>
                                      </w:rPr>
                                    </w:pPr>
                                    <w:r w:rsidRPr="00A3353C">
                                      <w:rPr>
                                        <w:sz w:val="44"/>
                                        <w:szCs w:val="44"/>
                                        <w:lang w:val="hy-AM"/>
                                      </w:rPr>
                                      <w:t>ՀԻՄՆԱԿԱՆ ՈՒՂՂՈՒԹՅՈՒՆՆԵՐԻ ՄԱՍԻՆ</w:t>
                                    </w:r>
                                    <w:r w:rsidRPr="00682390">
                                      <w:rPr>
                                        <w:b/>
                                        <w:color w:val="FFFFFF" w:themeColor="background1"/>
                                        <w:sz w:val="30"/>
                                        <w:szCs w:val="30"/>
                                        <w:lang w:val="hy-AM"/>
                                      </w:rPr>
                                      <w:t>Yerevan 2024</w:t>
                                    </w:r>
                                  </w:p>
                                  <w:p w14:paraId="1275BDC1" w14:textId="77777777" w:rsidR="00147C8B" w:rsidRPr="00682390" w:rsidRDefault="00147C8B">
                                    <w:pPr>
                                      <w:rPr>
                                        <w:lang w:val="hy-AM"/>
                                      </w:rPr>
                                    </w:pPr>
                                  </w:p>
                                  <w:p w14:paraId="49FD5D0B" w14:textId="77777777" w:rsidR="00147C8B" w:rsidRPr="00A3353C" w:rsidRDefault="00147C8B" w:rsidP="00A3353C">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17E75739" w14:textId="77777777" w:rsidR="00147C8B" w:rsidRPr="00682390" w:rsidRDefault="00147C8B" w:rsidP="00FD0C29">
                                    <w:pPr>
                                      <w:rPr>
                                        <w:b/>
                                        <w:color w:val="FFFFFF" w:themeColor="background1"/>
                                        <w:sz w:val="30"/>
                                        <w:szCs w:val="30"/>
                                        <w:lang w:val="hy-AM"/>
                                      </w:rPr>
                                    </w:pPr>
                                    <w:r w:rsidRPr="00A3353C">
                                      <w:rPr>
                                        <w:sz w:val="44"/>
                                        <w:szCs w:val="44"/>
                                        <w:lang w:val="hy-AM"/>
                                      </w:rPr>
                                      <w:t>ՀԻՄՆԱԿԱՆ ՈՒՂՂՈՒԹՅՈՒՆՆԵՐԻ ՄԱՍԻՆ</w:t>
                                    </w:r>
                                    <w:r w:rsidRPr="00682390">
                                      <w:rPr>
                                        <w:b/>
                                        <w:color w:val="FFFFFF" w:themeColor="background1"/>
                                        <w:sz w:val="30"/>
                                        <w:szCs w:val="30"/>
                                        <w:lang w:val="hy-AM"/>
                                      </w:rPr>
                                      <w:t>Yerevan 2024</w:t>
                                    </w:r>
                                  </w:p>
                                  <w:p w14:paraId="2109F296" w14:textId="77777777" w:rsidR="00147C8B" w:rsidRPr="00682390" w:rsidRDefault="00147C8B">
                                    <w:pPr>
                                      <w:rPr>
                                        <w:lang w:val="hy-AM"/>
                                      </w:rPr>
                                    </w:pPr>
                                  </w:p>
                                  <w:p w14:paraId="15AC25E8" w14:textId="77777777" w:rsidR="00147C8B" w:rsidRPr="00A3353C" w:rsidRDefault="00147C8B" w:rsidP="00A3353C">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0836FEB7" w14:textId="77777777" w:rsidR="00147C8B" w:rsidRPr="003A5AE3" w:rsidRDefault="00147C8B" w:rsidP="00FD0C29">
                                    <w:pPr>
                                      <w:rPr>
                                        <w:b/>
                                        <w:color w:val="FFFFFF" w:themeColor="background1"/>
                                        <w:sz w:val="30"/>
                                        <w:szCs w:val="30"/>
                                        <w:lang w:val="hy-AM"/>
                                      </w:rPr>
                                    </w:pPr>
                                    <w:r w:rsidRPr="00A3353C">
                                      <w:rPr>
                                        <w:sz w:val="44"/>
                                        <w:szCs w:val="44"/>
                                        <w:lang w:val="hy-AM"/>
                                      </w:rPr>
                                      <w:t>ՀԻՄՆԱԿԱՆ ՈՒՂՂՈՒԹՅՈՒՆՆԵՐԻ ՄԱՍԻՆ</w:t>
                                    </w:r>
                                    <w:r w:rsidRPr="003A5AE3">
                                      <w:rPr>
                                        <w:b/>
                                        <w:color w:val="FFFFFF" w:themeColor="background1"/>
                                        <w:sz w:val="30"/>
                                        <w:szCs w:val="30"/>
                                        <w:lang w:val="hy-AM"/>
                                      </w:rPr>
                                      <w:t>Yerevan 2024</w:t>
                                    </w:r>
                                  </w:p>
                                  <w:p w14:paraId="40D66642" w14:textId="77777777" w:rsidR="00147C8B" w:rsidRPr="003A5AE3" w:rsidRDefault="00147C8B">
                                    <w:pPr>
                                      <w:rPr>
                                        <w:lang w:val="hy-AM"/>
                                      </w:rPr>
                                    </w:pPr>
                                  </w:p>
                                  <w:p w14:paraId="7C1DB928" w14:textId="77777777" w:rsidR="00147C8B" w:rsidRPr="003A5AE3" w:rsidRDefault="00147C8B" w:rsidP="00FD0C29">
                                    <w:pPr>
                                      <w:rPr>
                                        <w:b/>
                                        <w:color w:val="FFFFFF" w:themeColor="background1"/>
                                        <w:sz w:val="30"/>
                                        <w:szCs w:val="30"/>
                                        <w:lang w:val="hy-AM"/>
                                      </w:rPr>
                                    </w:pPr>
                                    <w:r w:rsidRPr="003A4CA5">
                                      <w:rPr>
                                        <w:color w:val="FFFFFF" w:themeColor="background1"/>
                                        <w:sz w:val="40"/>
                                        <w:szCs w:val="40"/>
                                        <w:lang w:val="hy-AM"/>
                                      </w:rPr>
                                      <w:t>ՄԱՍ I: ՍՈՑԻԱԼ-ՏՆՏԵՍԱԿԱՆ ԶԱՐԳԱՑՄԱՆ, ՄԱԿՐՈՏՆՏԵՍԱԿԱՆ ԶԱՐԳԱՑՄԱՆ ԵՎ ՀԱՐԿԱԲՅՈՒՋԵՏԱՅԻՆ ՔԱՂԱՔԱԿԱՆՈՒԹՅԱՆ</w:t>
                                    </w:r>
                                    <w:r>
                                      <w:rPr>
                                        <w:color w:val="FFFFFF" w:themeColor="background1"/>
                                        <w:sz w:val="40"/>
                                        <w:szCs w:val="40"/>
                                        <w:lang w:val="hy-AM"/>
                                      </w:rPr>
                                      <w:t xml:space="preserve"> </w:t>
                                    </w:r>
                                    <w:r w:rsidRPr="003A4CA5">
                                      <w:rPr>
                                        <w:color w:val="auto"/>
                                        <w:sz w:val="40"/>
                                        <w:szCs w:val="40"/>
                                        <w:lang w:val="hy-AM"/>
                                      </w:rPr>
                                      <w:t>ՀԻՄՆԱԿԱՆ ՈՒՂՂՈՒԹՅՈՒՆՆԵՐԻ ՄԱՍԻՆ</w:t>
                                    </w:r>
                                    <w:r w:rsidRPr="003A5AE3">
                                      <w:rPr>
                                        <w:b/>
                                        <w:color w:val="FFFFFF" w:themeColor="background1"/>
                                        <w:sz w:val="30"/>
                                        <w:szCs w:val="30"/>
                                        <w:lang w:val="hy-AM"/>
                                      </w:rPr>
                                      <w:t>Yerevan 2024</w:t>
                                    </w:r>
                                  </w:p>
                                  <w:p w14:paraId="1B5522CD" w14:textId="77777777" w:rsidR="00147C8B" w:rsidRPr="003A5AE3" w:rsidRDefault="00147C8B">
                                    <w:pPr>
                                      <w:rPr>
                                        <w:lang w:val="hy-AM"/>
                                      </w:rPr>
                                    </w:pPr>
                                  </w:p>
                                  <w:p w14:paraId="2C24E246" w14:textId="77777777" w:rsidR="00147C8B" w:rsidRPr="00A3353C" w:rsidRDefault="00147C8B" w:rsidP="00A3353C">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1E095C11" w14:textId="77777777" w:rsidR="00147C8B" w:rsidRPr="00682390" w:rsidRDefault="00147C8B" w:rsidP="00FD0C29">
                                    <w:pPr>
                                      <w:rPr>
                                        <w:b/>
                                        <w:color w:val="FFFFFF" w:themeColor="background1"/>
                                        <w:sz w:val="30"/>
                                        <w:szCs w:val="30"/>
                                        <w:lang w:val="hy-AM"/>
                                      </w:rPr>
                                    </w:pPr>
                                    <w:r w:rsidRPr="00A3353C">
                                      <w:rPr>
                                        <w:sz w:val="44"/>
                                        <w:szCs w:val="44"/>
                                        <w:lang w:val="hy-AM"/>
                                      </w:rPr>
                                      <w:t>ՀԻՄՆԱԿԱՆ ՈՒՂՂՈՒԹՅՈՒՆՆԵՐԻ ՄԱՍԻՆ</w:t>
                                    </w:r>
                                    <w:r w:rsidRPr="00682390">
                                      <w:rPr>
                                        <w:b/>
                                        <w:color w:val="FFFFFF" w:themeColor="background1"/>
                                        <w:sz w:val="30"/>
                                        <w:szCs w:val="30"/>
                                        <w:lang w:val="hy-AM"/>
                                      </w:rPr>
                                      <w:t>Yerevan 2024</w:t>
                                    </w:r>
                                  </w:p>
                                  <w:p w14:paraId="681DBA56" w14:textId="77777777" w:rsidR="00147C8B" w:rsidRPr="00682390" w:rsidRDefault="00147C8B">
                                    <w:pPr>
                                      <w:rPr>
                                        <w:lang w:val="hy-AM"/>
                                      </w:rPr>
                                    </w:pPr>
                                  </w:p>
                                  <w:p w14:paraId="57825DFE" w14:textId="77777777" w:rsidR="00147C8B" w:rsidRPr="00A3353C" w:rsidRDefault="00147C8B" w:rsidP="00A3353C">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3F5CB091" w14:textId="77777777" w:rsidR="00147C8B" w:rsidRPr="00682390" w:rsidRDefault="00147C8B" w:rsidP="00FD0C29">
                                    <w:pPr>
                                      <w:rPr>
                                        <w:b/>
                                        <w:color w:val="FFFFFF" w:themeColor="background1"/>
                                        <w:sz w:val="30"/>
                                        <w:szCs w:val="30"/>
                                        <w:lang w:val="hy-AM"/>
                                      </w:rPr>
                                    </w:pPr>
                                    <w:r w:rsidRPr="00A3353C">
                                      <w:rPr>
                                        <w:sz w:val="44"/>
                                        <w:szCs w:val="44"/>
                                        <w:lang w:val="hy-AM"/>
                                      </w:rPr>
                                      <w:t>ՀԻՄՆԱԿԱՆ ՈՒՂՂՈՒԹՅՈՒՆՆԵՐԻ ՄԱՍԻՆ</w:t>
                                    </w:r>
                                    <w:r w:rsidRPr="00682390">
                                      <w:rPr>
                                        <w:b/>
                                        <w:color w:val="FFFFFF" w:themeColor="background1"/>
                                        <w:sz w:val="30"/>
                                        <w:szCs w:val="30"/>
                                        <w:lang w:val="hy-AM"/>
                                      </w:rPr>
                                      <w:t>Yerevan 2024</w:t>
                                    </w:r>
                                  </w:p>
                                  <w:p w14:paraId="61EE759A" w14:textId="77777777" w:rsidR="00147C8B" w:rsidRPr="00682390" w:rsidRDefault="00147C8B">
                                    <w:pPr>
                                      <w:rPr>
                                        <w:lang w:val="hy-AM"/>
                                      </w:rPr>
                                    </w:pPr>
                                  </w:p>
                                  <w:p w14:paraId="1422875D" w14:textId="77777777" w:rsidR="00147C8B" w:rsidRPr="00A3353C" w:rsidRDefault="00147C8B" w:rsidP="00A3353C">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0BAFBC47" w14:textId="77777777" w:rsidR="00147C8B" w:rsidRPr="00454DBB" w:rsidRDefault="00147C8B" w:rsidP="00FD0C29">
                                    <w:pPr>
                                      <w:rPr>
                                        <w:b/>
                                        <w:color w:val="FFFFFF" w:themeColor="background1"/>
                                        <w:sz w:val="30"/>
                                        <w:szCs w:val="30"/>
                                        <w:lang w:val="hy-AM"/>
                                      </w:rPr>
                                    </w:pPr>
                                    <w:r w:rsidRPr="00A3353C">
                                      <w:rPr>
                                        <w:sz w:val="44"/>
                                        <w:szCs w:val="44"/>
                                        <w:lang w:val="hy-AM"/>
                                      </w:rPr>
                                      <w:t>ՀԻՄՆԱԿԱՆ ՈՒՂՂՈՒԹՅՈՒՆՆԵՐԻ ՄԱՍԻՆ</w:t>
                                    </w:r>
                                    <w:r w:rsidRPr="00454DBB">
                                      <w:rPr>
                                        <w:b/>
                                        <w:color w:val="FFFFFF" w:themeColor="background1"/>
                                        <w:sz w:val="30"/>
                                        <w:szCs w:val="30"/>
                                        <w:lang w:val="hy-AM"/>
                                      </w:rPr>
                                      <w:t>Yerevan 2024</w:t>
                                    </w:r>
                                  </w:p>
                                  <w:p w14:paraId="6FD699D3" w14:textId="77777777" w:rsidR="00147C8B" w:rsidRPr="00454DBB" w:rsidRDefault="00147C8B">
                                    <w:pPr>
                                      <w:rPr>
                                        <w:lang w:val="hy-AM"/>
                                      </w:rPr>
                                    </w:pPr>
                                  </w:p>
                                  <w:p w14:paraId="16D83009" w14:textId="77777777" w:rsidR="00147C8B" w:rsidRPr="00454DBB" w:rsidRDefault="00147C8B" w:rsidP="00FD0C29">
                                    <w:pPr>
                                      <w:rPr>
                                        <w:b/>
                                        <w:color w:val="FFFFFF" w:themeColor="background1"/>
                                        <w:sz w:val="30"/>
                                        <w:szCs w:val="30"/>
                                        <w:lang w:val="hy-AM"/>
                                      </w:rPr>
                                    </w:pPr>
                                    <w:r w:rsidRPr="003A4CA5">
                                      <w:rPr>
                                        <w:color w:val="FFFFFF" w:themeColor="background1"/>
                                        <w:sz w:val="40"/>
                                        <w:szCs w:val="40"/>
                                        <w:lang w:val="hy-AM"/>
                                      </w:rPr>
                                      <w:t>ՄԱՍ I: ՍՈՑԻԱԼ-ՏՆՏԵՍԱԿԱՆ ԶԱՐԳԱՑՄԱՆ, ՄԱԿՐՈՏՆՏԵՍԱԿԱՆ ԶԱՐԳԱՑՄԱՆ ԵՎ ՀԱՐԿԱԲՅՈՒՋԵՏԱՅԻՆ ՔԱՂԱՔԱԿԱՆՈՒԹՅԱՆ</w:t>
                                    </w:r>
                                    <w:r>
                                      <w:rPr>
                                        <w:color w:val="FFFFFF" w:themeColor="background1"/>
                                        <w:sz w:val="40"/>
                                        <w:szCs w:val="40"/>
                                        <w:lang w:val="hy-AM"/>
                                      </w:rPr>
                                      <w:t xml:space="preserve"> </w:t>
                                    </w:r>
                                    <w:r w:rsidRPr="003A4CA5">
                                      <w:rPr>
                                        <w:color w:val="auto"/>
                                        <w:sz w:val="40"/>
                                        <w:szCs w:val="40"/>
                                        <w:lang w:val="hy-AM"/>
                                      </w:rPr>
                                      <w:t>ՀԻՄՆԱԿԱՆ ՈՒՂՂՈՒԹՅՈՒՆՆԵՐԻ ՄԱՍԻՆ</w:t>
                                    </w:r>
                                    <w:r w:rsidRPr="00454DBB">
                                      <w:rPr>
                                        <w:b/>
                                        <w:color w:val="FFFFFF" w:themeColor="background1"/>
                                        <w:sz w:val="30"/>
                                        <w:szCs w:val="30"/>
                                        <w:lang w:val="hy-AM"/>
                                      </w:rPr>
                                      <w:t>Yerevan 2024</w:t>
                                    </w:r>
                                  </w:p>
                                  <w:p w14:paraId="7EB790D3" w14:textId="77777777" w:rsidR="00147C8B" w:rsidRPr="00454DBB" w:rsidRDefault="00147C8B">
                                    <w:pPr>
                                      <w:rPr>
                                        <w:lang w:val="hy-AM"/>
                                      </w:rPr>
                                    </w:pPr>
                                  </w:p>
                                  <w:p w14:paraId="633BDA66" w14:textId="77777777" w:rsidR="00147C8B" w:rsidRPr="00A3353C" w:rsidRDefault="00147C8B" w:rsidP="00A3353C">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0A365CB1" w14:textId="77777777" w:rsidR="00147C8B" w:rsidRPr="00682390" w:rsidRDefault="00147C8B" w:rsidP="00FD0C29">
                                    <w:pPr>
                                      <w:rPr>
                                        <w:b/>
                                        <w:color w:val="FFFFFF" w:themeColor="background1"/>
                                        <w:sz w:val="30"/>
                                        <w:szCs w:val="30"/>
                                        <w:lang w:val="hy-AM"/>
                                      </w:rPr>
                                    </w:pPr>
                                    <w:r w:rsidRPr="00A3353C">
                                      <w:rPr>
                                        <w:sz w:val="44"/>
                                        <w:szCs w:val="44"/>
                                        <w:lang w:val="hy-AM"/>
                                      </w:rPr>
                                      <w:t>ՀԻՄՆԱԿԱՆ ՈՒՂՂՈՒԹՅՈՒՆՆԵՐԻ ՄԱՍԻՆ</w:t>
                                    </w:r>
                                    <w:r w:rsidRPr="00682390">
                                      <w:rPr>
                                        <w:b/>
                                        <w:color w:val="FFFFFF" w:themeColor="background1"/>
                                        <w:sz w:val="30"/>
                                        <w:szCs w:val="30"/>
                                        <w:lang w:val="hy-AM"/>
                                      </w:rPr>
                                      <w:t>Yerevan 2024</w:t>
                                    </w:r>
                                  </w:p>
                                  <w:p w14:paraId="628E9969" w14:textId="77777777" w:rsidR="00147C8B" w:rsidRPr="00682390" w:rsidRDefault="00147C8B">
                                    <w:pPr>
                                      <w:rPr>
                                        <w:lang w:val="hy-AM"/>
                                      </w:rPr>
                                    </w:pPr>
                                  </w:p>
                                  <w:p w14:paraId="13A04A4E" w14:textId="77777777" w:rsidR="00147C8B" w:rsidRPr="00A3353C" w:rsidRDefault="00147C8B" w:rsidP="00A3353C">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074F612A" w14:textId="77777777" w:rsidR="00147C8B" w:rsidRPr="00682390" w:rsidRDefault="00147C8B" w:rsidP="00FD0C29">
                                    <w:pPr>
                                      <w:rPr>
                                        <w:b/>
                                        <w:color w:val="FFFFFF" w:themeColor="background1"/>
                                        <w:sz w:val="30"/>
                                        <w:szCs w:val="30"/>
                                        <w:lang w:val="hy-AM"/>
                                      </w:rPr>
                                    </w:pPr>
                                    <w:r w:rsidRPr="00A3353C">
                                      <w:rPr>
                                        <w:sz w:val="44"/>
                                        <w:szCs w:val="44"/>
                                        <w:lang w:val="hy-AM"/>
                                      </w:rPr>
                                      <w:t>ՀԻՄՆԱԿԱՆ ՈՒՂՂՈՒԹՅՈՒՆՆԵՐԻ ՄԱՍԻՆ</w:t>
                                    </w:r>
                                    <w:r w:rsidRPr="00682390">
                                      <w:rPr>
                                        <w:b/>
                                        <w:color w:val="FFFFFF" w:themeColor="background1"/>
                                        <w:sz w:val="30"/>
                                        <w:szCs w:val="30"/>
                                        <w:lang w:val="hy-AM"/>
                                      </w:rPr>
                                      <w:t>Yerevan 2024</w:t>
                                    </w:r>
                                  </w:p>
                                  <w:p w14:paraId="0B4F3F09" w14:textId="77777777" w:rsidR="00147C8B" w:rsidRPr="00682390" w:rsidRDefault="00147C8B">
                                    <w:pPr>
                                      <w:rPr>
                                        <w:lang w:val="hy-AM"/>
                                      </w:rPr>
                                    </w:pPr>
                                  </w:p>
                                  <w:p w14:paraId="7A31E746" w14:textId="77777777" w:rsidR="00147C8B" w:rsidRPr="00A3353C" w:rsidRDefault="00147C8B" w:rsidP="00A3353C">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678272AC" w14:textId="77777777" w:rsidR="00147C8B" w:rsidRPr="00202938" w:rsidRDefault="00147C8B" w:rsidP="00FD0C29">
                                    <w:pPr>
                                      <w:rPr>
                                        <w:b/>
                                        <w:color w:val="FFFFFF" w:themeColor="background1"/>
                                        <w:sz w:val="30"/>
                                        <w:szCs w:val="30"/>
                                        <w:lang w:val="hy-AM"/>
                                      </w:rPr>
                                    </w:pPr>
                                    <w:r w:rsidRPr="00A3353C">
                                      <w:rPr>
                                        <w:sz w:val="44"/>
                                        <w:szCs w:val="44"/>
                                        <w:lang w:val="hy-AM"/>
                                      </w:rPr>
                                      <w:t>ՀԻՄՆԱԿԱՆ ՈՒՂՂՈՒԹՅՈՒՆՆԵՐԻ ՄԱՍԻՆ</w:t>
                                    </w:r>
                                    <w:r w:rsidRPr="00202938">
                                      <w:rPr>
                                        <w:b/>
                                        <w:color w:val="FFFFFF" w:themeColor="background1"/>
                                        <w:sz w:val="30"/>
                                        <w:szCs w:val="30"/>
                                        <w:lang w:val="hy-AM"/>
                                      </w:rPr>
                                      <w:t>Yerevan 2024</w:t>
                                    </w:r>
                                  </w:p>
                                  <w:p w14:paraId="12760F46" w14:textId="77777777" w:rsidR="00147C8B" w:rsidRPr="00202938" w:rsidRDefault="00147C8B">
                                    <w:pPr>
                                      <w:rPr>
                                        <w:lang w:val="hy-AM"/>
                                      </w:rPr>
                                    </w:pPr>
                                  </w:p>
                                  <w:p w14:paraId="56349B4A" w14:textId="77777777" w:rsidR="00147C8B" w:rsidRPr="00202938" w:rsidRDefault="00147C8B" w:rsidP="00FD0C29">
                                    <w:pPr>
                                      <w:rPr>
                                        <w:b/>
                                        <w:color w:val="FFFFFF" w:themeColor="background1"/>
                                        <w:sz w:val="30"/>
                                        <w:szCs w:val="30"/>
                                        <w:lang w:val="hy-AM"/>
                                      </w:rPr>
                                    </w:pPr>
                                    <w:r w:rsidRPr="003A4CA5">
                                      <w:rPr>
                                        <w:color w:val="FFFFFF" w:themeColor="background1"/>
                                        <w:sz w:val="40"/>
                                        <w:szCs w:val="40"/>
                                        <w:lang w:val="hy-AM"/>
                                      </w:rPr>
                                      <w:t>ՄԱՍ I: ՍՈՑԻԱԼ-ՏՆՏԵՍԱԿԱՆ ԶԱՐԳԱՑՄԱՆ, ՄԱԿՐ</w:t>
                                    </w:r>
                                    <w:r w:rsidRPr="00487DE5">
                                      <w:rPr>
                                        <w:color w:val="FFFFFF" w:themeColor="background1"/>
                                        <w:sz w:val="40"/>
                                        <w:szCs w:val="40"/>
                                        <w:lang w:val="hy-AM"/>
                                      </w:rPr>
                                      <w:t>ՈՏՆՏԵՍԱ</w:t>
                                    </w:r>
                                    <w:r w:rsidRPr="003A4CA5">
                                      <w:rPr>
                                        <w:color w:val="FFFFFF" w:themeColor="background1"/>
                                        <w:sz w:val="40"/>
                                        <w:szCs w:val="40"/>
                                        <w:lang w:val="hy-AM"/>
                                      </w:rPr>
                                      <w:t>ԿԱՆ ԶԱՐԳԱՑՄԱՆ ԵՎ ՀԱՐԿԱԲՅՈՒՋԵՏԱՅԻՆ ՔԱՂԱՔԱԿԱՆՈՒԹՅԱՆ</w:t>
                                    </w:r>
                                    <w:r>
                                      <w:rPr>
                                        <w:color w:val="FFFFFF" w:themeColor="background1"/>
                                        <w:sz w:val="40"/>
                                        <w:szCs w:val="40"/>
                                        <w:lang w:val="hy-AM"/>
                                      </w:rPr>
                                      <w:t xml:space="preserve"> </w:t>
                                    </w:r>
                                    <w:r w:rsidRPr="003A4CA5">
                                      <w:rPr>
                                        <w:color w:val="auto"/>
                                        <w:sz w:val="40"/>
                                        <w:szCs w:val="40"/>
                                        <w:lang w:val="hy-AM"/>
                                      </w:rPr>
                                      <w:t>ՀԻՄՆԱԿԱՆ ՈՒՂՂՈՒԹՅՈՒՆՆԵՐԻ ՄԱՍԻՆ</w:t>
                                    </w:r>
                                    <w:r w:rsidRPr="00202938">
                                      <w:rPr>
                                        <w:b/>
                                        <w:color w:val="FFFFFF" w:themeColor="background1"/>
                                        <w:sz w:val="30"/>
                                        <w:szCs w:val="30"/>
                                        <w:lang w:val="hy-AM"/>
                                      </w:rPr>
                                      <w:t>Yerevan 2024</w:t>
                                    </w:r>
                                  </w:p>
                                  <w:p w14:paraId="3B363BD4" w14:textId="77777777" w:rsidR="00147C8B" w:rsidRPr="00202938" w:rsidRDefault="00147C8B">
                                    <w:pPr>
                                      <w:rPr>
                                        <w:lang w:val="hy-AM"/>
                                      </w:rPr>
                                    </w:pPr>
                                  </w:p>
                                  <w:p w14:paraId="2AA1F49B" w14:textId="77777777" w:rsidR="00147C8B" w:rsidRPr="00A3353C" w:rsidRDefault="00147C8B" w:rsidP="00A3353C">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2231A7D1" w14:textId="77777777" w:rsidR="00147C8B" w:rsidRPr="00682390" w:rsidRDefault="00147C8B" w:rsidP="00FD0C29">
                                    <w:pPr>
                                      <w:rPr>
                                        <w:b/>
                                        <w:color w:val="FFFFFF" w:themeColor="background1"/>
                                        <w:sz w:val="30"/>
                                        <w:szCs w:val="30"/>
                                        <w:lang w:val="hy-AM"/>
                                      </w:rPr>
                                    </w:pPr>
                                    <w:r w:rsidRPr="00A3353C">
                                      <w:rPr>
                                        <w:sz w:val="44"/>
                                        <w:szCs w:val="44"/>
                                        <w:lang w:val="hy-AM"/>
                                      </w:rPr>
                                      <w:t>ՀԻՄՆԱԿԱՆ ՈՒՂՂՈՒԹՅՈՒՆՆԵՐԻ ՄԱՍԻՆ</w:t>
                                    </w:r>
                                    <w:r w:rsidRPr="00682390">
                                      <w:rPr>
                                        <w:b/>
                                        <w:color w:val="FFFFFF" w:themeColor="background1"/>
                                        <w:sz w:val="30"/>
                                        <w:szCs w:val="30"/>
                                        <w:lang w:val="hy-AM"/>
                                      </w:rPr>
                                      <w:t>Yerevan 2024</w:t>
                                    </w:r>
                                  </w:p>
                                  <w:p w14:paraId="65FFB7AB" w14:textId="77777777" w:rsidR="00147C8B" w:rsidRPr="00682390" w:rsidRDefault="00147C8B">
                                    <w:pPr>
                                      <w:rPr>
                                        <w:lang w:val="hy-AM"/>
                                      </w:rPr>
                                    </w:pPr>
                                  </w:p>
                                  <w:p w14:paraId="1E36048C" w14:textId="77777777" w:rsidR="00147C8B" w:rsidRPr="00A3353C" w:rsidRDefault="00147C8B" w:rsidP="00A3353C">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19593824" w14:textId="77777777" w:rsidR="00147C8B" w:rsidRPr="00682390" w:rsidRDefault="00147C8B" w:rsidP="00FD0C29">
                                    <w:pPr>
                                      <w:rPr>
                                        <w:b/>
                                        <w:color w:val="FFFFFF" w:themeColor="background1"/>
                                        <w:sz w:val="30"/>
                                        <w:szCs w:val="30"/>
                                        <w:lang w:val="hy-AM"/>
                                      </w:rPr>
                                    </w:pPr>
                                    <w:r w:rsidRPr="00A3353C">
                                      <w:rPr>
                                        <w:sz w:val="44"/>
                                        <w:szCs w:val="44"/>
                                        <w:lang w:val="hy-AM"/>
                                      </w:rPr>
                                      <w:t>ՀԻՄՆԱԿԱՆ ՈՒՂՂՈՒԹՅՈՒՆՆԵՐԻ ՄԱՍԻՆ</w:t>
                                    </w:r>
                                    <w:r w:rsidRPr="00682390">
                                      <w:rPr>
                                        <w:b/>
                                        <w:color w:val="FFFFFF" w:themeColor="background1"/>
                                        <w:sz w:val="30"/>
                                        <w:szCs w:val="30"/>
                                        <w:lang w:val="hy-AM"/>
                                      </w:rPr>
                                      <w:t>Yerevan 2024</w:t>
                                    </w:r>
                                  </w:p>
                                  <w:p w14:paraId="0ECB8949" w14:textId="77777777" w:rsidR="00147C8B" w:rsidRPr="00682390" w:rsidRDefault="00147C8B">
                                    <w:pPr>
                                      <w:rPr>
                                        <w:lang w:val="hy-AM"/>
                                      </w:rPr>
                                    </w:pPr>
                                  </w:p>
                                  <w:p w14:paraId="315E5E95" w14:textId="77777777" w:rsidR="00147C8B" w:rsidRPr="00A3353C" w:rsidRDefault="00147C8B" w:rsidP="00A3353C">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0C5F424A" w14:textId="77777777" w:rsidR="00147C8B" w:rsidRPr="00454DBB" w:rsidRDefault="00147C8B" w:rsidP="00FD0C29">
                                    <w:pPr>
                                      <w:rPr>
                                        <w:b/>
                                        <w:color w:val="FFFFFF" w:themeColor="background1"/>
                                        <w:sz w:val="30"/>
                                        <w:szCs w:val="30"/>
                                        <w:lang w:val="hy-AM"/>
                                      </w:rPr>
                                    </w:pPr>
                                    <w:r w:rsidRPr="00A3353C">
                                      <w:rPr>
                                        <w:sz w:val="44"/>
                                        <w:szCs w:val="44"/>
                                        <w:lang w:val="hy-AM"/>
                                      </w:rPr>
                                      <w:t>ՀԻՄՆԱԿԱՆ ՈՒՂՂՈՒԹՅՈՒՆՆԵՐԻ ՄԱՍԻՆ</w:t>
                                    </w:r>
                                    <w:r w:rsidRPr="00454DBB">
                                      <w:rPr>
                                        <w:b/>
                                        <w:color w:val="FFFFFF" w:themeColor="background1"/>
                                        <w:sz w:val="30"/>
                                        <w:szCs w:val="30"/>
                                        <w:lang w:val="hy-AM"/>
                                      </w:rPr>
                                      <w:t>Yerevan 2024</w:t>
                                    </w:r>
                                  </w:p>
                                  <w:p w14:paraId="3D7EC149" w14:textId="77777777" w:rsidR="00147C8B" w:rsidRPr="00454DBB" w:rsidRDefault="00147C8B">
                                    <w:pPr>
                                      <w:rPr>
                                        <w:lang w:val="hy-AM"/>
                                      </w:rPr>
                                    </w:pPr>
                                  </w:p>
                                  <w:p w14:paraId="42C9F465" w14:textId="77777777" w:rsidR="00147C8B" w:rsidRPr="00454DBB" w:rsidRDefault="00147C8B" w:rsidP="00FD0C29">
                                    <w:pPr>
                                      <w:rPr>
                                        <w:b/>
                                        <w:color w:val="FFFFFF" w:themeColor="background1"/>
                                        <w:sz w:val="30"/>
                                        <w:szCs w:val="30"/>
                                        <w:lang w:val="hy-AM"/>
                                      </w:rPr>
                                    </w:pPr>
                                    <w:r w:rsidRPr="003A4CA5">
                                      <w:rPr>
                                        <w:color w:val="FFFFFF" w:themeColor="background1"/>
                                        <w:sz w:val="40"/>
                                        <w:szCs w:val="40"/>
                                        <w:lang w:val="hy-AM"/>
                                      </w:rPr>
                                      <w:t>ՄԱՍ I: ՍՈՑԻԱԼ-ՏՆՏԵՍԱԿԱՆ ԶԱՐԳԱՑՄԱՆ, ՄԱԿՐՈՏՆՏԵՍԱԿԱՆ ԶԱՐԳԱՑՄԱՆ ԵՎ ՀԱՐԿԱԲՅՈՒՋԵՏԱՅԻՆ ՔԱՂԱՔԱԿԱՆՈՒԹՅԱՆ</w:t>
                                    </w:r>
                                    <w:r>
                                      <w:rPr>
                                        <w:color w:val="FFFFFF" w:themeColor="background1"/>
                                        <w:sz w:val="40"/>
                                        <w:szCs w:val="40"/>
                                        <w:lang w:val="hy-AM"/>
                                      </w:rPr>
                                      <w:t xml:space="preserve"> </w:t>
                                    </w:r>
                                    <w:r w:rsidRPr="003A4CA5">
                                      <w:rPr>
                                        <w:color w:val="auto"/>
                                        <w:sz w:val="40"/>
                                        <w:szCs w:val="40"/>
                                        <w:lang w:val="hy-AM"/>
                                      </w:rPr>
                                      <w:t>ՀԻՄՆԱԿԱՆ ՈՒՂՂՈՒԹՅՈՒՆՆԵՐԻ ՄԱՍԻՆ</w:t>
                                    </w:r>
                                    <w:r w:rsidRPr="00454DBB">
                                      <w:rPr>
                                        <w:b/>
                                        <w:color w:val="FFFFFF" w:themeColor="background1"/>
                                        <w:sz w:val="30"/>
                                        <w:szCs w:val="30"/>
                                        <w:lang w:val="hy-AM"/>
                                      </w:rPr>
                                      <w:t>Yerevan 2024</w:t>
                                    </w:r>
                                  </w:p>
                                  <w:p w14:paraId="58B1AF97" w14:textId="77777777" w:rsidR="00147C8B" w:rsidRPr="00454DBB" w:rsidRDefault="00147C8B">
                                    <w:pPr>
                                      <w:rPr>
                                        <w:lang w:val="hy-AM"/>
                                      </w:rPr>
                                    </w:pPr>
                                  </w:p>
                                  <w:p w14:paraId="33AA1916" w14:textId="77777777" w:rsidR="00147C8B" w:rsidRPr="00A3353C" w:rsidRDefault="00147C8B" w:rsidP="00A3353C">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1F9123AE" w14:textId="77777777" w:rsidR="00147C8B" w:rsidRPr="00682390" w:rsidRDefault="00147C8B" w:rsidP="00FD0C29">
                                    <w:pPr>
                                      <w:rPr>
                                        <w:b/>
                                        <w:color w:val="FFFFFF" w:themeColor="background1"/>
                                        <w:sz w:val="30"/>
                                        <w:szCs w:val="30"/>
                                        <w:lang w:val="hy-AM"/>
                                      </w:rPr>
                                    </w:pPr>
                                    <w:r w:rsidRPr="00A3353C">
                                      <w:rPr>
                                        <w:sz w:val="44"/>
                                        <w:szCs w:val="44"/>
                                        <w:lang w:val="hy-AM"/>
                                      </w:rPr>
                                      <w:t>ՀԻՄՆԱԿԱՆ ՈՒՂՂՈՒԹՅՈՒՆՆԵՐԻ ՄԱՍԻՆ</w:t>
                                    </w:r>
                                    <w:r w:rsidRPr="00682390">
                                      <w:rPr>
                                        <w:b/>
                                        <w:color w:val="FFFFFF" w:themeColor="background1"/>
                                        <w:sz w:val="30"/>
                                        <w:szCs w:val="30"/>
                                        <w:lang w:val="hy-AM"/>
                                      </w:rPr>
                                      <w:t>Yerevan 2024</w:t>
                                    </w:r>
                                  </w:p>
                                  <w:p w14:paraId="1E129704" w14:textId="77777777" w:rsidR="00147C8B" w:rsidRPr="00682390" w:rsidRDefault="00147C8B">
                                    <w:pPr>
                                      <w:rPr>
                                        <w:lang w:val="hy-AM"/>
                                      </w:rPr>
                                    </w:pPr>
                                  </w:p>
                                  <w:p w14:paraId="4A382EE6" w14:textId="77777777" w:rsidR="00147C8B" w:rsidRPr="00A3353C" w:rsidRDefault="00147C8B" w:rsidP="00A3353C">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686BFB1A" w14:textId="77777777" w:rsidR="00147C8B" w:rsidRPr="00682390" w:rsidRDefault="00147C8B" w:rsidP="00FD0C29">
                                    <w:pPr>
                                      <w:rPr>
                                        <w:b/>
                                        <w:color w:val="FFFFFF" w:themeColor="background1"/>
                                        <w:sz w:val="30"/>
                                        <w:szCs w:val="30"/>
                                        <w:lang w:val="hy-AM"/>
                                      </w:rPr>
                                    </w:pPr>
                                    <w:r w:rsidRPr="00A3353C">
                                      <w:rPr>
                                        <w:sz w:val="44"/>
                                        <w:szCs w:val="44"/>
                                        <w:lang w:val="hy-AM"/>
                                      </w:rPr>
                                      <w:t>ՀԻՄՆԱԿԱՆ ՈՒՂՂՈՒԹՅՈՒՆՆԵՐԻ ՄԱՍԻՆ</w:t>
                                    </w:r>
                                    <w:r w:rsidRPr="00682390">
                                      <w:rPr>
                                        <w:b/>
                                        <w:color w:val="FFFFFF" w:themeColor="background1"/>
                                        <w:sz w:val="30"/>
                                        <w:szCs w:val="30"/>
                                        <w:lang w:val="hy-AM"/>
                                      </w:rPr>
                                      <w:t>Yerevan 2024</w:t>
                                    </w:r>
                                  </w:p>
                                  <w:p w14:paraId="118D1493" w14:textId="77777777" w:rsidR="00147C8B" w:rsidRPr="00682390" w:rsidRDefault="00147C8B">
                                    <w:pPr>
                                      <w:rPr>
                                        <w:lang w:val="hy-AM"/>
                                      </w:rPr>
                                    </w:pPr>
                                  </w:p>
                                  <w:p w14:paraId="6C5B161A" w14:textId="77777777" w:rsidR="00147C8B" w:rsidRPr="00A3353C" w:rsidRDefault="00147C8B" w:rsidP="00A3353C">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7D6BE751" w14:textId="77777777" w:rsidR="00147C8B" w:rsidRPr="003A5AE3" w:rsidRDefault="00147C8B" w:rsidP="00FD0C29">
                                    <w:pPr>
                                      <w:rPr>
                                        <w:b/>
                                        <w:color w:val="FFFFFF" w:themeColor="background1"/>
                                        <w:sz w:val="30"/>
                                        <w:szCs w:val="30"/>
                                        <w:lang w:val="hy-AM"/>
                                      </w:rPr>
                                    </w:pPr>
                                    <w:r w:rsidRPr="00A3353C">
                                      <w:rPr>
                                        <w:sz w:val="44"/>
                                        <w:szCs w:val="44"/>
                                        <w:lang w:val="hy-AM"/>
                                      </w:rPr>
                                      <w:t>ՀԻՄՆԱԿԱՆ ՈՒՂՂՈՒԹՅՈՒՆՆԵՐԻ ՄԱՍԻՆ</w:t>
                                    </w:r>
                                    <w:r w:rsidRPr="003A5AE3">
                                      <w:rPr>
                                        <w:b/>
                                        <w:color w:val="FFFFFF" w:themeColor="background1"/>
                                        <w:sz w:val="30"/>
                                        <w:szCs w:val="30"/>
                                        <w:lang w:val="hy-AM"/>
                                      </w:rPr>
                                      <w:t>Yerevan 2024</w:t>
                                    </w:r>
                                  </w:p>
                                  <w:p w14:paraId="2F9602A4" w14:textId="77777777" w:rsidR="00147C8B" w:rsidRPr="003A5AE3" w:rsidRDefault="00147C8B">
                                    <w:pPr>
                                      <w:rPr>
                                        <w:lang w:val="hy-AM"/>
                                      </w:rPr>
                                    </w:pPr>
                                  </w:p>
                                  <w:p w14:paraId="28F01CEE" w14:textId="77777777" w:rsidR="00147C8B" w:rsidRPr="003A5AE3" w:rsidRDefault="00147C8B" w:rsidP="00FD0C29">
                                    <w:pPr>
                                      <w:rPr>
                                        <w:b/>
                                        <w:color w:val="FFFFFF" w:themeColor="background1"/>
                                        <w:sz w:val="30"/>
                                        <w:szCs w:val="30"/>
                                        <w:lang w:val="hy-AM"/>
                                      </w:rPr>
                                    </w:pPr>
                                    <w:r w:rsidRPr="003A4CA5">
                                      <w:rPr>
                                        <w:color w:val="FFFFFF" w:themeColor="background1"/>
                                        <w:sz w:val="40"/>
                                        <w:szCs w:val="40"/>
                                        <w:lang w:val="hy-AM"/>
                                      </w:rPr>
                                      <w:t>ՄԱՍ I: ՍՈՑԻԱԼ-ՏՆՏԵՍԱԿԱՆ ԶԱՐԳԱՑՄԱՆ, ՄԱԿՐՈՏՆՏԵՍԱԿԱՆ ԶԱՐԳԱՑՄԱՆ ԵՎ ՀԱՐԿԱԲՅՈՒՋԵՏԱՅԻՆ ՔԱՂԱՔԱԿԱՆՈՒԹՅԱՆ</w:t>
                                    </w:r>
                                    <w:r>
                                      <w:rPr>
                                        <w:color w:val="FFFFFF" w:themeColor="background1"/>
                                        <w:sz w:val="40"/>
                                        <w:szCs w:val="40"/>
                                        <w:lang w:val="hy-AM"/>
                                      </w:rPr>
                                      <w:t xml:space="preserve"> </w:t>
                                    </w:r>
                                    <w:r w:rsidRPr="003A4CA5">
                                      <w:rPr>
                                        <w:color w:val="auto"/>
                                        <w:sz w:val="40"/>
                                        <w:szCs w:val="40"/>
                                        <w:lang w:val="hy-AM"/>
                                      </w:rPr>
                                      <w:t>ՀԻՄՆԱԿԱՆ ՈՒՂՂՈՒԹՅՈՒՆՆԵՐԻ ՄԱՍԻՆ</w:t>
                                    </w:r>
                                    <w:r w:rsidRPr="003A5AE3">
                                      <w:rPr>
                                        <w:b/>
                                        <w:color w:val="FFFFFF" w:themeColor="background1"/>
                                        <w:sz w:val="30"/>
                                        <w:szCs w:val="30"/>
                                        <w:lang w:val="hy-AM"/>
                                      </w:rPr>
                                      <w:t>Yerevan 2024</w:t>
                                    </w:r>
                                  </w:p>
                                  <w:p w14:paraId="1E9297A7" w14:textId="77777777" w:rsidR="00147C8B" w:rsidRPr="003A5AE3" w:rsidRDefault="00147C8B">
                                    <w:pPr>
                                      <w:rPr>
                                        <w:lang w:val="hy-AM"/>
                                      </w:rPr>
                                    </w:pPr>
                                  </w:p>
                                  <w:p w14:paraId="78D09631" w14:textId="77777777" w:rsidR="00147C8B" w:rsidRPr="00A3353C" w:rsidRDefault="00147C8B" w:rsidP="00A3353C">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751EBC4D" w14:textId="77777777" w:rsidR="00147C8B" w:rsidRPr="00682390" w:rsidRDefault="00147C8B" w:rsidP="00FD0C29">
                                    <w:pPr>
                                      <w:rPr>
                                        <w:b/>
                                        <w:color w:val="FFFFFF" w:themeColor="background1"/>
                                        <w:sz w:val="30"/>
                                        <w:szCs w:val="30"/>
                                        <w:lang w:val="hy-AM"/>
                                      </w:rPr>
                                    </w:pPr>
                                    <w:r w:rsidRPr="00A3353C">
                                      <w:rPr>
                                        <w:sz w:val="44"/>
                                        <w:szCs w:val="44"/>
                                        <w:lang w:val="hy-AM"/>
                                      </w:rPr>
                                      <w:t>ՀԻՄՆԱԿԱՆ ՈՒՂՂՈՒԹՅՈՒՆՆԵՐԻ ՄԱՍԻՆ</w:t>
                                    </w:r>
                                    <w:r w:rsidRPr="00682390">
                                      <w:rPr>
                                        <w:b/>
                                        <w:color w:val="FFFFFF" w:themeColor="background1"/>
                                        <w:sz w:val="30"/>
                                        <w:szCs w:val="30"/>
                                        <w:lang w:val="hy-AM"/>
                                      </w:rPr>
                                      <w:t>Yerevan 2024</w:t>
                                    </w:r>
                                  </w:p>
                                  <w:p w14:paraId="372AC265" w14:textId="77777777" w:rsidR="00147C8B" w:rsidRPr="00682390" w:rsidRDefault="00147C8B">
                                    <w:pPr>
                                      <w:rPr>
                                        <w:lang w:val="hy-AM"/>
                                      </w:rPr>
                                    </w:pPr>
                                  </w:p>
                                  <w:p w14:paraId="7E70703C" w14:textId="77777777" w:rsidR="00147C8B" w:rsidRPr="00A3353C" w:rsidRDefault="00147C8B" w:rsidP="00A3353C">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3A8E9BF1" w14:textId="77777777" w:rsidR="00147C8B" w:rsidRPr="00682390" w:rsidRDefault="00147C8B" w:rsidP="00FD0C29">
                                    <w:pPr>
                                      <w:rPr>
                                        <w:b/>
                                        <w:color w:val="FFFFFF" w:themeColor="background1"/>
                                        <w:sz w:val="30"/>
                                        <w:szCs w:val="30"/>
                                        <w:lang w:val="hy-AM"/>
                                      </w:rPr>
                                    </w:pPr>
                                    <w:r w:rsidRPr="00A3353C">
                                      <w:rPr>
                                        <w:sz w:val="44"/>
                                        <w:szCs w:val="44"/>
                                        <w:lang w:val="hy-AM"/>
                                      </w:rPr>
                                      <w:t>ՀԻՄՆԱԿԱՆ ՈՒՂՂՈՒԹՅՈՒՆՆԵՐԻ ՄԱՍԻՆ</w:t>
                                    </w:r>
                                    <w:r w:rsidRPr="00682390">
                                      <w:rPr>
                                        <w:b/>
                                        <w:color w:val="FFFFFF" w:themeColor="background1"/>
                                        <w:sz w:val="30"/>
                                        <w:szCs w:val="30"/>
                                        <w:lang w:val="hy-AM"/>
                                      </w:rPr>
                                      <w:t>Yerevan 2024</w:t>
                                    </w:r>
                                  </w:p>
                                  <w:p w14:paraId="0C0146FE" w14:textId="77777777" w:rsidR="00147C8B" w:rsidRPr="00682390" w:rsidRDefault="00147C8B">
                                    <w:pPr>
                                      <w:rPr>
                                        <w:lang w:val="hy-AM"/>
                                      </w:rPr>
                                    </w:pPr>
                                  </w:p>
                                  <w:p w14:paraId="280D3AF8" w14:textId="77777777" w:rsidR="00147C8B" w:rsidRPr="00A3353C" w:rsidRDefault="00147C8B" w:rsidP="00A3353C">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1E9BF484" w14:textId="77777777" w:rsidR="00147C8B" w:rsidRPr="00454DBB" w:rsidRDefault="00147C8B" w:rsidP="00FD0C29">
                                    <w:pPr>
                                      <w:rPr>
                                        <w:b/>
                                        <w:color w:val="FFFFFF" w:themeColor="background1"/>
                                        <w:sz w:val="30"/>
                                        <w:szCs w:val="30"/>
                                        <w:lang w:val="hy-AM"/>
                                      </w:rPr>
                                    </w:pPr>
                                    <w:r w:rsidRPr="00A3353C">
                                      <w:rPr>
                                        <w:sz w:val="44"/>
                                        <w:szCs w:val="44"/>
                                        <w:lang w:val="hy-AM"/>
                                      </w:rPr>
                                      <w:t>ՀԻՄՆԱԿԱՆ ՈՒՂՂՈՒԹՅՈՒՆՆԵՐԻ ՄԱՍԻՆ</w:t>
                                    </w:r>
                                    <w:r w:rsidRPr="00454DBB">
                                      <w:rPr>
                                        <w:b/>
                                        <w:color w:val="FFFFFF" w:themeColor="background1"/>
                                        <w:sz w:val="30"/>
                                        <w:szCs w:val="30"/>
                                        <w:lang w:val="hy-AM"/>
                                      </w:rPr>
                                      <w:t>Yerevan 2024</w:t>
                                    </w:r>
                                  </w:p>
                                  <w:p w14:paraId="60003D2C" w14:textId="77777777" w:rsidR="00147C8B" w:rsidRPr="00454DBB" w:rsidRDefault="00147C8B">
                                    <w:pPr>
                                      <w:rPr>
                                        <w:lang w:val="hy-AM"/>
                                      </w:rPr>
                                    </w:pPr>
                                  </w:p>
                                  <w:p w14:paraId="0437BD4B" w14:textId="77777777" w:rsidR="00147C8B" w:rsidRPr="00454DBB" w:rsidRDefault="00147C8B" w:rsidP="00FD0C29">
                                    <w:pPr>
                                      <w:rPr>
                                        <w:b/>
                                        <w:color w:val="FFFFFF" w:themeColor="background1"/>
                                        <w:sz w:val="30"/>
                                        <w:szCs w:val="30"/>
                                        <w:lang w:val="hy-AM"/>
                                      </w:rPr>
                                    </w:pPr>
                                    <w:r w:rsidRPr="003A4CA5">
                                      <w:rPr>
                                        <w:color w:val="FFFFFF" w:themeColor="background1"/>
                                        <w:sz w:val="40"/>
                                        <w:szCs w:val="40"/>
                                        <w:lang w:val="hy-AM"/>
                                      </w:rPr>
                                      <w:t>ՄԱՍ I: ՍՈՑԻԱԼ-ՏՆՏԵՍԱԿԱՆ ԶԱՐԳԱՑՄԱՆ, ՄԱԿՐՈՏՆՏԵՍԱԿԱՆ ԶԱՐԳԱՑՄԱՆ ԵՎ ՀԱՐԿԱԲՅՈՒՋԵՏԱՅԻՆ ՔԱՂԱՔԱԿԱՆՈՒԹՅԱՆ</w:t>
                                    </w:r>
                                    <w:r>
                                      <w:rPr>
                                        <w:color w:val="FFFFFF" w:themeColor="background1"/>
                                        <w:sz w:val="40"/>
                                        <w:szCs w:val="40"/>
                                        <w:lang w:val="hy-AM"/>
                                      </w:rPr>
                                      <w:t xml:space="preserve"> </w:t>
                                    </w:r>
                                    <w:r w:rsidRPr="003A4CA5">
                                      <w:rPr>
                                        <w:color w:val="auto"/>
                                        <w:sz w:val="40"/>
                                        <w:szCs w:val="40"/>
                                        <w:lang w:val="hy-AM"/>
                                      </w:rPr>
                                      <w:t>ՀԻՄՆԱԿԱՆ ՈՒՂՂՈՒԹՅՈՒՆՆԵՐԻ ՄԱՍԻՆ</w:t>
                                    </w:r>
                                    <w:r w:rsidRPr="00454DBB">
                                      <w:rPr>
                                        <w:b/>
                                        <w:color w:val="FFFFFF" w:themeColor="background1"/>
                                        <w:sz w:val="30"/>
                                        <w:szCs w:val="30"/>
                                        <w:lang w:val="hy-AM"/>
                                      </w:rPr>
                                      <w:t>Yerevan 2024</w:t>
                                    </w:r>
                                  </w:p>
                                  <w:p w14:paraId="6965A6D5" w14:textId="77777777" w:rsidR="00147C8B" w:rsidRPr="00454DBB" w:rsidRDefault="00147C8B">
                                    <w:pPr>
                                      <w:rPr>
                                        <w:lang w:val="hy-AM"/>
                                      </w:rPr>
                                    </w:pPr>
                                  </w:p>
                                  <w:p w14:paraId="7BBE293E" w14:textId="77777777" w:rsidR="00147C8B" w:rsidRPr="00A3353C" w:rsidRDefault="00147C8B" w:rsidP="00A3353C">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494136FE" w14:textId="77777777" w:rsidR="00147C8B" w:rsidRPr="00682390" w:rsidRDefault="00147C8B" w:rsidP="00FD0C29">
                                    <w:pPr>
                                      <w:rPr>
                                        <w:b/>
                                        <w:color w:val="FFFFFF" w:themeColor="background1"/>
                                        <w:sz w:val="30"/>
                                        <w:szCs w:val="30"/>
                                        <w:lang w:val="hy-AM"/>
                                      </w:rPr>
                                    </w:pPr>
                                    <w:r w:rsidRPr="00A3353C">
                                      <w:rPr>
                                        <w:sz w:val="44"/>
                                        <w:szCs w:val="44"/>
                                        <w:lang w:val="hy-AM"/>
                                      </w:rPr>
                                      <w:t>ՀԻՄՆԱԿԱՆ ՈՒՂՂՈՒԹՅՈՒՆՆԵՐԻ ՄԱՍԻՆ</w:t>
                                    </w:r>
                                    <w:r w:rsidRPr="00682390">
                                      <w:rPr>
                                        <w:b/>
                                        <w:color w:val="FFFFFF" w:themeColor="background1"/>
                                        <w:sz w:val="30"/>
                                        <w:szCs w:val="30"/>
                                        <w:lang w:val="hy-AM"/>
                                      </w:rPr>
                                      <w:t>Yerevan 2024</w:t>
                                    </w:r>
                                  </w:p>
                                  <w:p w14:paraId="65E797B2" w14:textId="77777777" w:rsidR="00147C8B" w:rsidRPr="00682390" w:rsidRDefault="00147C8B">
                                    <w:pPr>
                                      <w:rPr>
                                        <w:lang w:val="hy-AM"/>
                                      </w:rPr>
                                    </w:pPr>
                                  </w:p>
                                  <w:p w14:paraId="00B37750" w14:textId="77777777" w:rsidR="00147C8B" w:rsidRPr="00A3353C" w:rsidRDefault="00147C8B" w:rsidP="00A3353C">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7FF4DDE6" w14:textId="77777777" w:rsidR="00147C8B" w:rsidRPr="00682390" w:rsidRDefault="00147C8B" w:rsidP="00FD0C29">
                                    <w:pPr>
                                      <w:rPr>
                                        <w:b/>
                                        <w:color w:val="FFFFFF" w:themeColor="background1"/>
                                        <w:sz w:val="30"/>
                                        <w:szCs w:val="30"/>
                                        <w:lang w:val="hy-AM"/>
                                      </w:rPr>
                                    </w:pPr>
                                    <w:r w:rsidRPr="00A3353C">
                                      <w:rPr>
                                        <w:sz w:val="44"/>
                                        <w:szCs w:val="44"/>
                                        <w:lang w:val="hy-AM"/>
                                      </w:rPr>
                                      <w:t>ՀԻՄՆԱԿԱՆ ՈՒՂՂՈՒԹՅՈՒՆՆԵՐԻ ՄԱՍԻՆ</w:t>
                                    </w:r>
                                    <w:r w:rsidRPr="00682390">
                                      <w:rPr>
                                        <w:b/>
                                        <w:color w:val="FFFFFF" w:themeColor="background1"/>
                                        <w:sz w:val="30"/>
                                        <w:szCs w:val="30"/>
                                        <w:lang w:val="hy-AM"/>
                                      </w:rPr>
                                      <w:t>Yerevan 2024</w:t>
                                    </w:r>
                                  </w:p>
                                  <w:p w14:paraId="6FF1B657" w14:textId="77777777" w:rsidR="00147C8B" w:rsidRPr="00682390" w:rsidRDefault="00147C8B">
                                    <w:pPr>
                                      <w:rPr>
                                        <w:lang w:val="hy-AM"/>
                                      </w:rPr>
                                    </w:pPr>
                                  </w:p>
                                  <w:p w14:paraId="26ED21AA" w14:textId="77777777" w:rsidR="00147C8B" w:rsidRPr="00A3353C" w:rsidRDefault="00147C8B" w:rsidP="00A3353C">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72314C8C" w14:textId="77777777" w:rsidR="00147C8B" w:rsidRPr="00A506F2" w:rsidRDefault="00147C8B" w:rsidP="00FD0C29">
                                    <w:pPr>
                                      <w:rPr>
                                        <w:b/>
                                        <w:color w:val="FFFFFF" w:themeColor="background1"/>
                                        <w:sz w:val="30"/>
                                        <w:szCs w:val="30"/>
                                        <w:lang w:val="hy-AM"/>
                                      </w:rPr>
                                    </w:pPr>
                                    <w:r w:rsidRPr="00A3353C">
                                      <w:rPr>
                                        <w:sz w:val="44"/>
                                        <w:szCs w:val="44"/>
                                        <w:lang w:val="hy-AM"/>
                                      </w:rPr>
                                      <w:t>ՀԻՄՆԱԿԱՆ ՈՒՂՂՈՒԹՅՈՒՆՆԵՐԻ ՄԱՍԻՆ</w:t>
                                    </w:r>
                                    <w:r w:rsidRPr="00A506F2">
                                      <w:rPr>
                                        <w:b/>
                                        <w:color w:val="FFFFFF" w:themeColor="background1"/>
                                        <w:sz w:val="30"/>
                                        <w:szCs w:val="30"/>
                                        <w:lang w:val="hy-AM"/>
                                      </w:rPr>
                                      <w:t>Yerevan 2024</w:t>
                                    </w:r>
                                  </w:p>
                                  <w:p w14:paraId="6852963C" w14:textId="77777777" w:rsidR="00147C8B" w:rsidRPr="00A506F2" w:rsidRDefault="00147C8B">
                                    <w:pPr>
                                      <w:rPr>
                                        <w:lang w:val="hy-AM"/>
                                      </w:rPr>
                                    </w:pPr>
                                  </w:p>
                                  <w:p w14:paraId="6670B44B" w14:textId="053076C9" w:rsidR="00147C8B" w:rsidRPr="00A506F2" w:rsidRDefault="00147C8B" w:rsidP="00FD0C29">
                                    <w:pPr>
                                      <w:rPr>
                                        <w:b/>
                                        <w:color w:val="FFFFFF" w:themeColor="background1"/>
                                        <w:sz w:val="30"/>
                                        <w:szCs w:val="30"/>
                                        <w:lang w:val="hy-AM"/>
                                      </w:rPr>
                                    </w:pPr>
                                    <w:r w:rsidRPr="00A72B0A">
                                      <w:rPr>
                                        <w:color w:val="FFFFFF" w:themeColor="background1"/>
                                        <w:lang w:val="hy-AM"/>
                                      </w:rPr>
                                      <w:t xml:space="preserve">ՄԱՍ I: ՍՈՑԻԱԼ-ՏՆՏԵՍԱԿԱՆ ԶԱՐԳԱՑՄԱՆ, ՄԱԿՐՈՏՆՏԵՍԱԿԱՆ ԶԱՐԳԱՑՄԱՆ ԵՎ ՀԱՐԿԱԲՅՈՒՋԵՏԱՅԻՆ ՔԱՂԱՔԱԿԱՆՈՒԹՅԱՆ </w:t>
                                    </w:r>
                                    <w:r w:rsidRPr="003A4CA5">
                                      <w:rPr>
                                        <w:color w:val="auto"/>
                                        <w:lang w:val="hy-AM"/>
                                      </w:rPr>
                                      <w:t>ՀԻՄՆԱԿԱՆ ՈՒՂՂՈՒԹՅՈՒՆՆԵՐԻ ՄԱՍԻՆ</w:t>
                                    </w:r>
                                    <w:r w:rsidRPr="00A506F2">
                                      <w:rPr>
                                        <w:b/>
                                        <w:color w:val="FFFFFF" w:themeColor="background1"/>
                                        <w:sz w:val="30"/>
                                        <w:szCs w:val="30"/>
                                        <w:lang w:val="hy-AM"/>
                                      </w:rPr>
                                      <w:t>Yerevan 2024</w:t>
                                    </w:r>
                                  </w:p>
                                  <w:p w14:paraId="0CC187C0" w14:textId="77777777" w:rsidR="00147C8B" w:rsidRPr="00A506F2" w:rsidRDefault="00147C8B">
                                    <w:pPr>
                                      <w:rPr>
                                        <w:lang w:val="hy-AM"/>
                                      </w:rPr>
                                    </w:pPr>
                                  </w:p>
                                  <w:p w14:paraId="778196CE" w14:textId="77777777" w:rsidR="00147C8B" w:rsidRPr="00A3353C" w:rsidRDefault="00147C8B" w:rsidP="00A3353C">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418356AB" w14:textId="77777777" w:rsidR="00147C8B" w:rsidRPr="00682390" w:rsidRDefault="00147C8B" w:rsidP="00FD0C29">
                                    <w:pPr>
                                      <w:rPr>
                                        <w:b/>
                                        <w:color w:val="FFFFFF" w:themeColor="background1"/>
                                        <w:sz w:val="30"/>
                                        <w:szCs w:val="30"/>
                                        <w:lang w:val="hy-AM"/>
                                      </w:rPr>
                                    </w:pPr>
                                    <w:r w:rsidRPr="00A3353C">
                                      <w:rPr>
                                        <w:sz w:val="44"/>
                                        <w:szCs w:val="44"/>
                                        <w:lang w:val="hy-AM"/>
                                      </w:rPr>
                                      <w:t>ՀԻՄՆԱԿԱՆ ՈՒՂՂՈՒԹՅՈՒՆՆԵՐԻ ՄԱՍԻՆ</w:t>
                                    </w:r>
                                    <w:r w:rsidRPr="00682390">
                                      <w:rPr>
                                        <w:b/>
                                        <w:color w:val="FFFFFF" w:themeColor="background1"/>
                                        <w:sz w:val="30"/>
                                        <w:szCs w:val="30"/>
                                        <w:lang w:val="hy-AM"/>
                                      </w:rPr>
                                      <w:t>Yerevan 2024</w:t>
                                    </w:r>
                                  </w:p>
                                  <w:p w14:paraId="66A0C572" w14:textId="77777777" w:rsidR="00147C8B" w:rsidRPr="00682390" w:rsidRDefault="00147C8B">
                                    <w:pPr>
                                      <w:rPr>
                                        <w:lang w:val="hy-AM"/>
                                      </w:rPr>
                                    </w:pPr>
                                  </w:p>
                                  <w:p w14:paraId="40C392C3" w14:textId="77777777" w:rsidR="00147C8B" w:rsidRPr="00A3353C" w:rsidRDefault="00147C8B" w:rsidP="00A3353C">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29E20F58" w14:textId="77777777" w:rsidR="00147C8B" w:rsidRPr="00682390" w:rsidRDefault="00147C8B" w:rsidP="00FD0C29">
                                    <w:pPr>
                                      <w:rPr>
                                        <w:b/>
                                        <w:color w:val="FFFFFF" w:themeColor="background1"/>
                                        <w:sz w:val="30"/>
                                        <w:szCs w:val="30"/>
                                        <w:lang w:val="hy-AM"/>
                                      </w:rPr>
                                    </w:pPr>
                                    <w:r w:rsidRPr="00A3353C">
                                      <w:rPr>
                                        <w:sz w:val="44"/>
                                        <w:szCs w:val="44"/>
                                        <w:lang w:val="hy-AM"/>
                                      </w:rPr>
                                      <w:t>ՀԻՄՆԱԿԱՆ ՈՒՂՂՈՒԹՅՈՒՆՆԵՐԻ ՄԱՍԻՆ</w:t>
                                    </w:r>
                                    <w:r w:rsidRPr="00682390">
                                      <w:rPr>
                                        <w:b/>
                                        <w:color w:val="FFFFFF" w:themeColor="background1"/>
                                        <w:sz w:val="30"/>
                                        <w:szCs w:val="30"/>
                                        <w:lang w:val="hy-AM"/>
                                      </w:rPr>
                                      <w:t>Yerevan 2024</w:t>
                                    </w:r>
                                  </w:p>
                                  <w:p w14:paraId="607367E7" w14:textId="77777777" w:rsidR="00147C8B" w:rsidRPr="00682390" w:rsidRDefault="00147C8B">
                                    <w:pPr>
                                      <w:rPr>
                                        <w:lang w:val="hy-AM"/>
                                      </w:rPr>
                                    </w:pPr>
                                  </w:p>
                                  <w:p w14:paraId="4665E6F4" w14:textId="77777777" w:rsidR="00147C8B" w:rsidRPr="00A3353C" w:rsidRDefault="00147C8B" w:rsidP="00A3353C">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4E59F6E8" w14:textId="77777777" w:rsidR="00147C8B" w:rsidRPr="00454DBB" w:rsidRDefault="00147C8B" w:rsidP="00FD0C29">
                                    <w:pPr>
                                      <w:rPr>
                                        <w:b/>
                                        <w:color w:val="FFFFFF" w:themeColor="background1"/>
                                        <w:sz w:val="30"/>
                                        <w:szCs w:val="30"/>
                                        <w:lang w:val="hy-AM"/>
                                      </w:rPr>
                                    </w:pPr>
                                    <w:r w:rsidRPr="00A3353C">
                                      <w:rPr>
                                        <w:sz w:val="44"/>
                                        <w:szCs w:val="44"/>
                                        <w:lang w:val="hy-AM"/>
                                      </w:rPr>
                                      <w:t>ՀԻՄՆԱԿԱՆ ՈՒՂՂՈՒԹՅՈՒՆՆԵՐԻ ՄԱՍԻՆ</w:t>
                                    </w:r>
                                    <w:r w:rsidRPr="00454DBB">
                                      <w:rPr>
                                        <w:b/>
                                        <w:color w:val="FFFFFF" w:themeColor="background1"/>
                                        <w:sz w:val="30"/>
                                        <w:szCs w:val="30"/>
                                        <w:lang w:val="hy-AM"/>
                                      </w:rPr>
                                      <w:t>Yerevan 2024</w:t>
                                    </w:r>
                                  </w:p>
                                  <w:p w14:paraId="6C61FB12" w14:textId="77777777" w:rsidR="00147C8B" w:rsidRPr="00454DBB" w:rsidRDefault="00147C8B">
                                    <w:pPr>
                                      <w:rPr>
                                        <w:lang w:val="hy-AM"/>
                                      </w:rPr>
                                    </w:pPr>
                                  </w:p>
                                  <w:p w14:paraId="05E9C4BF" w14:textId="77777777" w:rsidR="00147C8B" w:rsidRPr="00454DBB" w:rsidRDefault="00147C8B" w:rsidP="00FD0C29">
                                    <w:pPr>
                                      <w:rPr>
                                        <w:b/>
                                        <w:color w:val="FFFFFF" w:themeColor="background1"/>
                                        <w:sz w:val="30"/>
                                        <w:szCs w:val="30"/>
                                        <w:lang w:val="hy-AM"/>
                                      </w:rPr>
                                    </w:pPr>
                                    <w:r w:rsidRPr="003A4CA5">
                                      <w:rPr>
                                        <w:color w:val="FFFFFF" w:themeColor="background1"/>
                                        <w:sz w:val="40"/>
                                        <w:szCs w:val="40"/>
                                        <w:lang w:val="hy-AM"/>
                                      </w:rPr>
                                      <w:t>ՄԱՍ I: ՍՈՑԻԱԼ-ՏՆՏԵՍԱԿԱՆ ԶԱՐԳԱՑՄԱՆ, ՄԱԿՐՈՏՆՏԵՍԱԿԱՆ ԶԱՐԳԱՑՄԱՆ ԵՎ ՀԱՐԿԱԲՅՈՒՋԵՏԱՅԻՆ ՔԱՂԱՔԱԿԱՆՈՒԹՅԱՆ</w:t>
                                    </w:r>
                                    <w:r>
                                      <w:rPr>
                                        <w:color w:val="FFFFFF" w:themeColor="background1"/>
                                        <w:sz w:val="40"/>
                                        <w:szCs w:val="40"/>
                                        <w:lang w:val="hy-AM"/>
                                      </w:rPr>
                                      <w:t xml:space="preserve"> </w:t>
                                    </w:r>
                                    <w:r w:rsidRPr="003A4CA5">
                                      <w:rPr>
                                        <w:color w:val="auto"/>
                                        <w:sz w:val="40"/>
                                        <w:szCs w:val="40"/>
                                        <w:lang w:val="hy-AM"/>
                                      </w:rPr>
                                      <w:t>ՀԻՄՆԱԿԱՆ ՈՒՂՂՈՒԹՅՈՒՆՆԵՐԻ ՄԱՍԻՆ</w:t>
                                    </w:r>
                                    <w:r w:rsidRPr="00454DBB">
                                      <w:rPr>
                                        <w:b/>
                                        <w:color w:val="FFFFFF" w:themeColor="background1"/>
                                        <w:sz w:val="30"/>
                                        <w:szCs w:val="30"/>
                                        <w:lang w:val="hy-AM"/>
                                      </w:rPr>
                                      <w:t>Yerevan 2024</w:t>
                                    </w:r>
                                  </w:p>
                                  <w:p w14:paraId="742D99BE" w14:textId="77777777" w:rsidR="00147C8B" w:rsidRPr="00454DBB" w:rsidRDefault="00147C8B">
                                    <w:pPr>
                                      <w:rPr>
                                        <w:lang w:val="hy-AM"/>
                                      </w:rPr>
                                    </w:pPr>
                                  </w:p>
                                  <w:p w14:paraId="146FFD5F" w14:textId="77777777" w:rsidR="00147C8B" w:rsidRPr="00A3353C" w:rsidRDefault="00147C8B" w:rsidP="00A3353C">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2757D5FE" w14:textId="77777777" w:rsidR="00147C8B" w:rsidRPr="00682390" w:rsidRDefault="00147C8B" w:rsidP="00FD0C29">
                                    <w:pPr>
                                      <w:rPr>
                                        <w:b/>
                                        <w:color w:val="FFFFFF" w:themeColor="background1"/>
                                        <w:sz w:val="30"/>
                                        <w:szCs w:val="30"/>
                                        <w:lang w:val="hy-AM"/>
                                      </w:rPr>
                                    </w:pPr>
                                    <w:r w:rsidRPr="00A3353C">
                                      <w:rPr>
                                        <w:sz w:val="44"/>
                                        <w:szCs w:val="44"/>
                                        <w:lang w:val="hy-AM"/>
                                      </w:rPr>
                                      <w:t>ՀԻՄՆԱԿԱՆ ՈՒՂՂՈՒԹՅՈՒՆՆԵՐԻ ՄԱՍԻՆ</w:t>
                                    </w:r>
                                    <w:r w:rsidRPr="00682390">
                                      <w:rPr>
                                        <w:b/>
                                        <w:color w:val="FFFFFF" w:themeColor="background1"/>
                                        <w:sz w:val="30"/>
                                        <w:szCs w:val="30"/>
                                        <w:lang w:val="hy-AM"/>
                                      </w:rPr>
                                      <w:t>Yerevan 2024</w:t>
                                    </w:r>
                                  </w:p>
                                  <w:p w14:paraId="6FB938C1" w14:textId="77777777" w:rsidR="00147C8B" w:rsidRPr="00682390" w:rsidRDefault="00147C8B">
                                    <w:pPr>
                                      <w:rPr>
                                        <w:lang w:val="hy-AM"/>
                                      </w:rPr>
                                    </w:pPr>
                                  </w:p>
                                  <w:p w14:paraId="2FC328E5" w14:textId="77777777" w:rsidR="00147C8B" w:rsidRPr="00A3353C" w:rsidRDefault="00147C8B" w:rsidP="00A3353C">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6D049881" w14:textId="77777777" w:rsidR="00147C8B" w:rsidRPr="00682390" w:rsidRDefault="00147C8B" w:rsidP="00FD0C29">
                                    <w:pPr>
                                      <w:rPr>
                                        <w:b/>
                                        <w:color w:val="FFFFFF" w:themeColor="background1"/>
                                        <w:sz w:val="30"/>
                                        <w:szCs w:val="30"/>
                                        <w:lang w:val="hy-AM"/>
                                      </w:rPr>
                                    </w:pPr>
                                    <w:r w:rsidRPr="00A3353C">
                                      <w:rPr>
                                        <w:sz w:val="44"/>
                                        <w:szCs w:val="44"/>
                                        <w:lang w:val="hy-AM"/>
                                      </w:rPr>
                                      <w:t>ՀԻՄՆԱԿԱՆ ՈՒՂՂՈՒԹՅՈՒՆՆԵՐԻ ՄԱՍԻՆ</w:t>
                                    </w:r>
                                    <w:r w:rsidRPr="00682390">
                                      <w:rPr>
                                        <w:b/>
                                        <w:color w:val="FFFFFF" w:themeColor="background1"/>
                                        <w:sz w:val="30"/>
                                        <w:szCs w:val="30"/>
                                        <w:lang w:val="hy-AM"/>
                                      </w:rPr>
                                      <w:t>Yerevan 2024</w:t>
                                    </w:r>
                                  </w:p>
                                  <w:p w14:paraId="645B795C" w14:textId="77777777" w:rsidR="00147C8B" w:rsidRPr="00682390" w:rsidRDefault="00147C8B">
                                    <w:pPr>
                                      <w:rPr>
                                        <w:lang w:val="hy-AM"/>
                                      </w:rPr>
                                    </w:pPr>
                                  </w:p>
                                  <w:p w14:paraId="244B98DD" w14:textId="77777777" w:rsidR="00147C8B" w:rsidRPr="00A3353C" w:rsidRDefault="00147C8B" w:rsidP="00A3353C">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033412FB" w14:textId="77777777" w:rsidR="00147C8B" w:rsidRPr="003A5AE3" w:rsidRDefault="00147C8B" w:rsidP="00FD0C29">
                                    <w:pPr>
                                      <w:rPr>
                                        <w:b/>
                                        <w:color w:val="FFFFFF" w:themeColor="background1"/>
                                        <w:sz w:val="30"/>
                                        <w:szCs w:val="30"/>
                                        <w:lang w:val="hy-AM"/>
                                      </w:rPr>
                                    </w:pPr>
                                    <w:r w:rsidRPr="00A3353C">
                                      <w:rPr>
                                        <w:sz w:val="44"/>
                                        <w:szCs w:val="44"/>
                                        <w:lang w:val="hy-AM"/>
                                      </w:rPr>
                                      <w:t>ՀԻՄՆԱԿԱՆ ՈՒՂՂՈՒԹՅՈՒՆՆԵՐԻ ՄԱՍԻՆ</w:t>
                                    </w:r>
                                    <w:r w:rsidRPr="003A5AE3">
                                      <w:rPr>
                                        <w:b/>
                                        <w:color w:val="FFFFFF" w:themeColor="background1"/>
                                        <w:sz w:val="30"/>
                                        <w:szCs w:val="30"/>
                                        <w:lang w:val="hy-AM"/>
                                      </w:rPr>
                                      <w:t>Yerevan 2024</w:t>
                                    </w:r>
                                  </w:p>
                                  <w:p w14:paraId="7FC8DF9A" w14:textId="77777777" w:rsidR="00147C8B" w:rsidRPr="003A5AE3" w:rsidRDefault="00147C8B">
                                    <w:pPr>
                                      <w:rPr>
                                        <w:lang w:val="hy-AM"/>
                                      </w:rPr>
                                    </w:pPr>
                                  </w:p>
                                  <w:p w14:paraId="58370E88" w14:textId="77777777" w:rsidR="00147C8B" w:rsidRPr="003A5AE3" w:rsidRDefault="00147C8B" w:rsidP="00FD0C29">
                                    <w:pPr>
                                      <w:rPr>
                                        <w:b/>
                                        <w:color w:val="FFFFFF" w:themeColor="background1"/>
                                        <w:sz w:val="30"/>
                                        <w:szCs w:val="30"/>
                                        <w:lang w:val="hy-AM"/>
                                      </w:rPr>
                                    </w:pPr>
                                    <w:r w:rsidRPr="003A4CA5">
                                      <w:rPr>
                                        <w:color w:val="FFFFFF" w:themeColor="background1"/>
                                        <w:sz w:val="40"/>
                                        <w:szCs w:val="40"/>
                                        <w:lang w:val="hy-AM"/>
                                      </w:rPr>
                                      <w:t>ՄԱՍ I: ՍՈՑԻԱԼ-ՏՆՏԵՍԱԿԱՆ ԶԱՐԳԱՑՄԱՆ, ՄԱԿՐՈՏՆՏԵՍԱԿԱՆ ԶԱՐԳԱՑՄԱՆ ԵՎ ՀԱՐԿԱԲՅՈՒՋԵՏԱՅԻՆ ՔԱՂԱՔԱԿԱՆՈՒԹՅԱՆ</w:t>
                                    </w:r>
                                    <w:r>
                                      <w:rPr>
                                        <w:color w:val="FFFFFF" w:themeColor="background1"/>
                                        <w:sz w:val="40"/>
                                        <w:szCs w:val="40"/>
                                        <w:lang w:val="hy-AM"/>
                                      </w:rPr>
                                      <w:t xml:space="preserve"> </w:t>
                                    </w:r>
                                    <w:r w:rsidRPr="003A4CA5">
                                      <w:rPr>
                                        <w:color w:val="auto"/>
                                        <w:sz w:val="40"/>
                                        <w:szCs w:val="40"/>
                                        <w:lang w:val="hy-AM"/>
                                      </w:rPr>
                                      <w:t>ՀԻՄՆԱԿԱՆ ՈՒՂՂՈՒԹՅՈՒՆՆԵՐԻ ՄԱՍԻՆ</w:t>
                                    </w:r>
                                    <w:r w:rsidRPr="003A5AE3">
                                      <w:rPr>
                                        <w:b/>
                                        <w:color w:val="FFFFFF" w:themeColor="background1"/>
                                        <w:sz w:val="30"/>
                                        <w:szCs w:val="30"/>
                                        <w:lang w:val="hy-AM"/>
                                      </w:rPr>
                                      <w:t>Yerevan 2024</w:t>
                                    </w:r>
                                  </w:p>
                                  <w:p w14:paraId="5335646D" w14:textId="77777777" w:rsidR="00147C8B" w:rsidRPr="003A5AE3" w:rsidRDefault="00147C8B">
                                    <w:pPr>
                                      <w:rPr>
                                        <w:lang w:val="hy-AM"/>
                                      </w:rPr>
                                    </w:pPr>
                                  </w:p>
                                  <w:p w14:paraId="425A8E74" w14:textId="77777777" w:rsidR="00147C8B" w:rsidRPr="00A3353C" w:rsidRDefault="00147C8B" w:rsidP="00A3353C">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2717BE5A" w14:textId="77777777" w:rsidR="00147C8B" w:rsidRPr="00682390" w:rsidRDefault="00147C8B" w:rsidP="00FD0C29">
                                    <w:pPr>
                                      <w:rPr>
                                        <w:b/>
                                        <w:color w:val="FFFFFF" w:themeColor="background1"/>
                                        <w:sz w:val="30"/>
                                        <w:szCs w:val="30"/>
                                        <w:lang w:val="hy-AM"/>
                                      </w:rPr>
                                    </w:pPr>
                                    <w:r w:rsidRPr="00A3353C">
                                      <w:rPr>
                                        <w:sz w:val="44"/>
                                        <w:szCs w:val="44"/>
                                        <w:lang w:val="hy-AM"/>
                                      </w:rPr>
                                      <w:t>ՀԻՄՆԱԿԱՆ ՈՒՂՂՈՒԹՅՈՒՆՆԵՐԻ ՄԱՍԻՆ</w:t>
                                    </w:r>
                                    <w:r w:rsidRPr="00682390">
                                      <w:rPr>
                                        <w:b/>
                                        <w:color w:val="FFFFFF" w:themeColor="background1"/>
                                        <w:sz w:val="30"/>
                                        <w:szCs w:val="30"/>
                                        <w:lang w:val="hy-AM"/>
                                      </w:rPr>
                                      <w:t>Yerevan 2024</w:t>
                                    </w:r>
                                  </w:p>
                                  <w:p w14:paraId="54EE3DBD" w14:textId="77777777" w:rsidR="00147C8B" w:rsidRPr="00682390" w:rsidRDefault="00147C8B">
                                    <w:pPr>
                                      <w:rPr>
                                        <w:lang w:val="hy-AM"/>
                                      </w:rPr>
                                    </w:pPr>
                                  </w:p>
                                  <w:p w14:paraId="52C35A98" w14:textId="77777777" w:rsidR="00147C8B" w:rsidRPr="00A3353C" w:rsidRDefault="00147C8B" w:rsidP="00A3353C">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2B775861" w14:textId="77777777" w:rsidR="00147C8B" w:rsidRPr="00682390" w:rsidRDefault="00147C8B" w:rsidP="00FD0C29">
                                    <w:pPr>
                                      <w:rPr>
                                        <w:b/>
                                        <w:color w:val="FFFFFF" w:themeColor="background1"/>
                                        <w:sz w:val="30"/>
                                        <w:szCs w:val="30"/>
                                        <w:lang w:val="hy-AM"/>
                                      </w:rPr>
                                    </w:pPr>
                                    <w:r w:rsidRPr="00A3353C">
                                      <w:rPr>
                                        <w:sz w:val="44"/>
                                        <w:szCs w:val="44"/>
                                        <w:lang w:val="hy-AM"/>
                                      </w:rPr>
                                      <w:t>ՀԻՄՆԱԿԱՆ ՈՒՂՂՈՒԹՅՈՒՆՆԵՐԻ ՄԱՍԻՆ</w:t>
                                    </w:r>
                                    <w:r w:rsidRPr="00682390">
                                      <w:rPr>
                                        <w:b/>
                                        <w:color w:val="FFFFFF" w:themeColor="background1"/>
                                        <w:sz w:val="30"/>
                                        <w:szCs w:val="30"/>
                                        <w:lang w:val="hy-AM"/>
                                      </w:rPr>
                                      <w:t>Yerevan 2024</w:t>
                                    </w:r>
                                  </w:p>
                                  <w:p w14:paraId="1C864EF1" w14:textId="77777777" w:rsidR="00147C8B" w:rsidRPr="00682390" w:rsidRDefault="00147C8B">
                                    <w:pPr>
                                      <w:rPr>
                                        <w:lang w:val="hy-AM"/>
                                      </w:rPr>
                                    </w:pPr>
                                  </w:p>
                                  <w:p w14:paraId="678F34E3" w14:textId="77777777" w:rsidR="00147C8B" w:rsidRPr="00A3353C" w:rsidRDefault="00147C8B" w:rsidP="00A3353C">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7BECD149" w14:textId="77777777" w:rsidR="00147C8B" w:rsidRPr="00454DBB" w:rsidRDefault="00147C8B" w:rsidP="00FD0C29">
                                    <w:pPr>
                                      <w:rPr>
                                        <w:b/>
                                        <w:color w:val="FFFFFF" w:themeColor="background1"/>
                                        <w:sz w:val="30"/>
                                        <w:szCs w:val="30"/>
                                        <w:lang w:val="hy-AM"/>
                                      </w:rPr>
                                    </w:pPr>
                                    <w:r w:rsidRPr="00A3353C">
                                      <w:rPr>
                                        <w:sz w:val="44"/>
                                        <w:szCs w:val="44"/>
                                        <w:lang w:val="hy-AM"/>
                                      </w:rPr>
                                      <w:t>ՀԻՄՆԱԿԱՆ ՈՒՂՂՈՒԹՅՈՒՆՆԵՐԻ ՄԱՍԻՆ</w:t>
                                    </w:r>
                                    <w:r w:rsidRPr="00454DBB">
                                      <w:rPr>
                                        <w:b/>
                                        <w:color w:val="FFFFFF" w:themeColor="background1"/>
                                        <w:sz w:val="30"/>
                                        <w:szCs w:val="30"/>
                                        <w:lang w:val="hy-AM"/>
                                      </w:rPr>
                                      <w:t>Yerevan 2024</w:t>
                                    </w:r>
                                  </w:p>
                                  <w:p w14:paraId="4725E224" w14:textId="77777777" w:rsidR="00147C8B" w:rsidRPr="00454DBB" w:rsidRDefault="00147C8B">
                                    <w:pPr>
                                      <w:rPr>
                                        <w:lang w:val="hy-AM"/>
                                      </w:rPr>
                                    </w:pPr>
                                  </w:p>
                                  <w:p w14:paraId="13616C67" w14:textId="77777777" w:rsidR="00147C8B" w:rsidRPr="00454DBB" w:rsidRDefault="00147C8B" w:rsidP="00FD0C29">
                                    <w:pPr>
                                      <w:rPr>
                                        <w:b/>
                                        <w:color w:val="FFFFFF" w:themeColor="background1"/>
                                        <w:sz w:val="30"/>
                                        <w:szCs w:val="30"/>
                                        <w:lang w:val="hy-AM"/>
                                      </w:rPr>
                                    </w:pPr>
                                    <w:r w:rsidRPr="003A4CA5">
                                      <w:rPr>
                                        <w:color w:val="FFFFFF" w:themeColor="background1"/>
                                        <w:sz w:val="40"/>
                                        <w:szCs w:val="40"/>
                                        <w:lang w:val="hy-AM"/>
                                      </w:rPr>
                                      <w:t>ՄԱՍ I: ՍՈՑԻԱԼ-ՏՆՏԵՍԱԿԱՆ ԶԱՐԳԱՑՄԱՆ, ՄԱԿՐՈՏՆՏԵՍԱԿԱՆ ԶԱՐԳԱՑՄԱՆ ԵՎ ՀԱՐԿԱԲՅՈՒՋԵՏԱՅԻՆ ՔԱՂԱՔԱԿԱՆՈՒԹՅԱՆ</w:t>
                                    </w:r>
                                    <w:r>
                                      <w:rPr>
                                        <w:color w:val="FFFFFF" w:themeColor="background1"/>
                                        <w:sz w:val="40"/>
                                        <w:szCs w:val="40"/>
                                        <w:lang w:val="hy-AM"/>
                                      </w:rPr>
                                      <w:t xml:space="preserve"> </w:t>
                                    </w:r>
                                    <w:r w:rsidRPr="003A4CA5">
                                      <w:rPr>
                                        <w:color w:val="auto"/>
                                        <w:sz w:val="40"/>
                                        <w:szCs w:val="40"/>
                                        <w:lang w:val="hy-AM"/>
                                      </w:rPr>
                                      <w:t>ՀԻՄՆԱԿԱՆ ՈՒՂՂՈՒԹՅՈՒՆՆԵՐԻ ՄԱՍԻՆ</w:t>
                                    </w:r>
                                    <w:r w:rsidRPr="00454DBB">
                                      <w:rPr>
                                        <w:b/>
                                        <w:color w:val="FFFFFF" w:themeColor="background1"/>
                                        <w:sz w:val="30"/>
                                        <w:szCs w:val="30"/>
                                        <w:lang w:val="hy-AM"/>
                                      </w:rPr>
                                      <w:t>Yerevan 2024</w:t>
                                    </w:r>
                                  </w:p>
                                  <w:p w14:paraId="1B885F6C" w14:textId="77777777" w:rsidR="00147C8B" w:rsidRPr="00454DBB" w:rsidRDefault="00147C8B">
                                    <w:pPr>
                                      <w:rPr>
                                        <w:lang w:val="hy-AM"/>
                                      </w:rPr>
                                    </w:pPr>
                                  </w:p>
                                  <w:p w14:paraId="59C167F5" w14:textId="77777777" w:rsidR="00147C8B" w:rsidRPr="00A3353C" w:rsidRDefault="00147C8B" w:rsidP="00A3353C">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6BBE04E8" w14:textId="77777777" w:rsidR="00147C8B" w:rsidRPr="00682390" w:rsidRDefault="00147C8B" w:rsidP="00FD0C29">
                                    <w:pPr>
                                      <w:rPr>
                                        <w:b/>
                                        <w:color w:val="FFFFFF" w:themeColor="background1"/>
                                        <w:sz w:val="30"/>
                                        <w:szCs w:val="30"/>
                                        <w:lang w:val="hy-AM"/>
                                      </w:rPr>
                                    </w:pPr>
                                    <w:r w:rsidRPr="00A3353C">
                                      <w:rPr>
                                        <w:sz w:val="44"/>
                                        <w:szCs w:val="44"/>
                                        <w:lang w:val="hy-AM"/>
                                      </w:rPr>
                                      <w:t>ՀԻՄՆԱԿԱՆ ՈՒՂՂՈՒԹՅՈՒՆՆԵՐԻ ՄԱՍԻՆ</w:t>
                                    </w:r>
                                    <w:r w:rsidRPr="00682390">
                                      <w:rPr>
                                        <w:b/>
                                        <w:color w:val="FFFFFF" w:themeColor="background1"/>
                                        <w:sz w:val="30"/>
                                        <w:szCs w:val="30"/>
                                        <w:lang w:val="hy-AM"/>
                                      </w:rPr>
                                      <w:t>Yerevan 2024</w:t>
                                    </w:r>
                                  </w:p>
                                  <w:p w14:paraId="73CF2F7D" w14:textId="77777777" w:rsidR="00147C8B" w:rsidRPr="00682390" w:rsidRDefault="00147C8B">
                                    <w:pPr>
                                      <w:rPr>
                                        <w:lang w:val="hy-AM"/>
                                      </w:rPr>
                                    </w:pPr>
                                  </w:p>
                                  <w:p w14:paraId="6E5DCE4F" w14:textId="77777777" w:rsidR="00147C8B" w:rsidRPr="00A3353C" w:rsidRDefault="00147C8B" w:rsidP="00A3353C">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1FC0AF4D" w14:textId="77777777" w:rsidR="00147C8B" w:rsidRPr="00682390" w:rsidRDefault="00147C8B" w:rsidP="00FD0C29">
                                    <w:pPr>
                                      <w:rPr>
                                        <w:b/>
                                        <w:color w:val="FFFFFF" w:themeColor="background1"/>
                                        <w:sz w:val="30"/>
                                        <w:szCs w:val="30"/>
                                        <w:lang w:val="hy-AM"/>
                                      </w:rPr>
                                    </w:pPr>
                                    <w:r w:rsidRPr="00A3353C">
                                      <w:rPr>
                                        <w:sz w:val="44"/>
                                        <w:szCs w:val="44"/>
                                        <w:lang w:val="hy-AM"/>
                                      </w:rPr>
                                      <w:t>ՀԻՄՆԱԿԱՆ ՈՒՂՂՈՒԹՅՈՒՆՆԵՐԻ ՄԱՍԻՆ</w:t>
                                    </w:r>
                                    <w:r w:rsidRPr="00682390">
                                      <w:rPr>
                                        <w:b/>
                                        <w:color w:val="FFFFFF" w:themeColor="background1"/>
                                        <w:sz w:val="30"/>
                                        <w:szCs w:val="30"/>
                                        <w:lang w:val="hy-AM"/>
                                      </w:rPr>
                                      <w:t>Yerevan 2024</w:t>
                                    </w:r>
                                  </w:p>
                                  <w:p w14:paraId="3E11E787" w14:textId="77777777" w:rsidR="00147C8B" w:rsidRPr="00682390" w:rsidRDefault="00147C8B">
                                    <w:pPr>
                                      <w:rPr>
                                        <w:lang w:val="hy-AM"/>
                                      </w:rPr>
                                    </w:pPr>
                                  </w:p>
                                  <w:p w14:paraId="4FEBF59E" w14:textId="77777777" w:rsidR="00147C8B" w:rsidRPr="00A3353C" w:rsidRDefault="00147C8B" w:rsidP="00A3353C">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2A3A847E" w14:textId="77777777" w:rsidR="00147C8B" w:rsidRPr="00202938" w:rsidRDefault="00147C8B" w:rsidP="00FD0C29">
                                    <w:pPr>
                                      <w:rPr>
                                        <w:b/>
                                        <w:color w:val="FFFFFF" w:themeColor="background1"/>
                                        <w:sz w:val="30"/>
                                        <w:szCs w:val="30"/>
                                        <w:lang w:val="hy-AM"/>
                                      </w:rPr>
                                    </w:pPr>
                                    <w:r w:rsidRPr="00A3353C">
                                      <w:rPr>
                                        <w:sz w:val="44"/>
                                        <w:szCs w:val="44"/>
                                        <w:lang w:val="hy-AM"/>
                                      </w:rPr>
                                      <w:t>ՀԻՄՆԱԿԱՆ ՈՒՂՂՈՒԹՅՈՒՆՆԵՐԻ ՄԱՍԻՆ</w:t>
                                    </w:r>
                                    <w:r w:rsidRPr="00202938">
                                      <w:rPr>
                                        <w:b/>
                                        <w:color w:val="FFFFFF" w:themeColor="background1"/>
                                        <w:sz w:val="30"/>
                                        <w:szCs w:val="30"/>
                                        <w:lang w:val="hy-AM"/>
                                      </w:rPr>
                                      <w:t>Yerevan 2024</w:t>
                                    </w:r>
                                  </w:p>
                                  <w:p w14:paraId="21F9A44D" w14:textId="77777777" w:rsidR="00147C8B" w:rsidRPr="00202938" w:rsidRDefault="00147C8B">
                                    <w:pPr>
                                      <w:rPr>
                                        <w:lang w:val="hy-AM"/>
                                      </w:rPr>
                                    </w:pPr>
                                  </w:p>
                                  <w:p w14:paraId="0120DF3D" w14:textId="77777777" w:rsidR="00147C8B" w:rsidRPr="00202938" w:rsidRDefault="00147C8B" w:rsidP="00FD0C29">
                                    <w:pPr>
                                      <w:rPr>
                                        <w:b/>
                                        <w:color w:val="FFFFFF" w:themeColor="background1"/>
                                        <w:sz w:val="30"/>
                                        <w:szCs w:val="30"/>
                                        <w:lang w:val="hy-AM"/>
                                      </w:rPr>
                                    </w:pPr>
                                    <w:r w:rsidRPr="003A4CA5">
                                      <w:rPr>
                                        <w:color w:val="FFFFFF" w:themeColor="background1"/>
                                        <w:sz w:val="40"/>
                                        <w:szCs w:val="40"/>
                                        <w:lang w:val="hy-AM"/>
                                      </w:rPr>
                                      <w:t>ՄԱՍ I: ՍՈՑԻԱԼ-ՏՆՏԵՍԱԿԱՆ ԶԱՐԳԱՑՄԱՆ, ՄԱԿՐ</w:t>
                                    </w:r>
                                    <w:r w:rsidRPr="00487DE5">
                                      <w:rPr>
                                        <w:color w:val="FFFFFF" w:themeColor="background1"/>
                                        <w:sz w:val="40"/>
                                        <w:szCs w:val="40"/>
                                        <w:lang w:val="hy-AM"/>
                                      </w:rPr>
                                      <w:t>ՈՏՆՏԵՍԱ</w:t>
                                    </w:r>
                                    <w:r w:rsidRPr="003A4CA5">
                                      <w:rPr>
                                        <w:color w:val="FFFFFF" w:themeColor="background1"/>
                                        <w:sz w:val="40"/>
                                        <w:szCs w:val="40"/>
                                        <w:lang w:val="hy-AM"/>
                                      </w:rPr>
                                      <w:t>ԿԱՆ ԶԱՐԳԱՑՄԱՆ ԵՎ ՀԱՐԿԱԲՅՈՒՋԵՏԱՅԻՆ ՔԱՂԱՔԱԿԱՆՈՒԹՅԱՆ</w:t>
                                    </w:r>
                                    <w:r>
                                      <w:rPr>
                                        <w:color w:val="FFFFFF" w:themeColor="background1"/>
                                        <w:sz w:val="40"/>
                                        <w:szCs w:val="40"/>
                                        <w:lang w:val="hy-AM"/>
                                      </w:rPr>
                                      <w:t xml:space="preserve"> </w:t>
                                    </w:r>
                                    <w:r w:rsidRPr="003A4CA5">
                                      <w:rPr>
                                        <w:color w:val="auto"/>
                                        <w:sz w:val="40"/>
                                        <w:szCs w:val="40"/>
                                        <w:lang w:val="hy-AM"/>
                                      </w:rPr>
                                      <w:t>ՀԻՄՆԱԿԱՆ ՈՒՂՂՈՒԹՅՈՒՆՆԵՐԻ ՄԱՍԻՆ</w:t>
                                    </w:r>
                                    <w:r w:rsidRPr="00202938">
                                      <w:rPr>
                                        <w:b/>
                                        <w:color w:val="FFFFFF" w:themeColor="background1"/>
                                        <w:sz w:val="30"/>
                                        <w:szCs w:val="30"/>
                                        <w:lang w:val="hy-AM"/>
                                      </w:rPr>
                                      <w:t>Yerevan 2024</w:t>
                                    </w:r>
                                  </w:p>
                                  <w:p w14:paraId="6520E2A7" w14:textId="77777777" w:rsidR="00147C8B" w:rsidRPr="00202938" w:rsidRDefault="00147C8B">
                                    <w:pPr>
                                      <w:rPr>
                                        <w:lang w:val="hy-AM"/>
                                      </w:rPr>
                                    </w:pPr>
                                  </w:p>
                                  <w:p w14:paraId="39A4030D" w14:textId="77777777" w:rsidR="00147C8B" w:rsidRPr="00A3353C" w:rsidRDefault="00147C8B" w:rsidP="00A3353C">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6415DB9E" w14:textId="77777777" w:rsidR="00147C8B" w:rsidRPr="00682390" w:rsidRDefault="00147C8B" w:rsidP="00FD0C29">
                                    <w:pPr>
                                      <w:rPr>
                                        <w:b/>
                                        <w:color w:val="FFFFFF" w:themeColor="background1"/>
                                        <w:sz w:val="30"/>
                                        <w:szCs w:val="30"/>
                                        <w:lang w:val="hy-AM"/>
                                      </w:rPr>
                                    </w:pPr>
                                    <w:r w:rsidRPr="00A3353C">
                                      <w:rPr>
                                        <w:sz w:val="44"/>
                                        <w:szCs w:val="44"/>
                                        <w:lang w:val="hy-AM"/>
                                      </w:rPr>
                                      <w:t>ՀԻՄՆԱԿԱՆ ՈՒՂՂՈՒԹՅՈՒՆՆԵՐԻ ՄԱՍԻՆ</w:t>
                                    </w:r>
                                    <w:r w:rsidRPr="00682390">
                                      <w:rPr>
                                        <w:b/>
                                        <w:color w:val="FFFFFF" w:themeColor="background1"/>
                                        <w:sz w:val="30"/>
                                        <w:szCs w:val="30"/>
                                        <w:lang w:val="hy-AM"/>
                                      </w:rPr>
                                      <w:t>Yerevan 2024</w:t>
                                    </w:r>
                                  </w:p>
                                  <w:p w14:paraId="35972AB2" w14:textId="77777777" w:rsidR="00147C8B" w:rsidRPr="00682390" w:rsidRDefault="00147C8B">
                                    <w:pPr>
                                      <w:rPr>
                                        <w:lang w:val="hy-AM"/>
                                      </w:rPr>
                                    </w:pPr>
                                  </w:p>
                                  <w:p w14:paraId="034DB088" w14:textId="77777777" w:rsidR="00147C8B" w:rsidRPr="00A3353C" w:rsidRDefault="00147C8B" w:rsidP="00A3353C">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5679F7EB" w14:textId="77777777" w:rsidR="00147C8B" w:rsidRPr="00682390" w:rsidRDefault="00147C8B" w:rsidP="00FD0C29">
                                    <w:pPr>
                                      <w:rPr>
                                        <w:b/>
                                        <w:color w:val="FFFFFF" w:themeColor="background1"/>
                                        <w:sz w:val="30"/>
                                        <w:szCs w:val="30"/>
                                        <w:lang w:val="hy-AM"/>
                                      </w:rPr>
                                    </w:pPr>
                                    <w:r w:rsidRPr="00A3353C">
                                      <w:rPr>
                                        <w:sz w:val="44"/>
                                        <w:szCs w:val="44"/>
                                        <w:lang w:val="hy-AM"/>
                                      </w:rPr>
                                      <w:t>ՀԻՄՆԱԿԱՆ ՈՒՂՂՈՒԹՅՈՒՆՆԵՐԻ ՄԱՍԻՆ</w:t>
                                    </w:r>
                                    <w:r w:rsidRPr="00682390">
                                      <w:rPr>
                                        <w:b/>
                                        <w:color w:val="FFFFFF" w:themeColor="background1"/>
                                        <w:sz w:val="30"/>
                                        <w:szCs w:val="30"/>
                                        <w:lang w:val="hy-AM"/>
                                      </w:rPr>
                                      <w:t>Yerevan 2024</w:t>
                                    </w:r>
                                  </w:p>
                                  <w:p w14:paraId="2028DA27" w14:textId="77777777" w:rsidR="00147C8B" w:rsidRPr="00682390" w:rsidRDefault="00147C8B">
                                    <w:pPr>
                                      <w:rPr>
                                        <w:lang w:val="hy-AM"/>
                                      </w:rPr>
                                    </w:pPr>
                                  </w:p>
                                  <w:p w14:paraId="5A45C43C" w14:textId="77777777" w:rsidR="00147C8B" w:rsidRPr="00A3353C" w:rsidRDefault="00147C8B" w:rsidP="00A3353C">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4186293C" w14:textId="77777777" w:rsidR="00147C8B" w:rsidRPr="00454DBB" w:rsidRDefault="00147C8B" w:rsidP="00FD0C29">
                                    <w:pPr>
                                      <w:rPr>
                                        <w:b/>
                                        <w:color w:val="FFFFFF" w:themeColor="background1"/>
                                        <w:sz w:val="30"/>
                                        <w:szCs w:val="30"/>
                                        <w:lang w:val="hy-AM"/>
                                      </w:rPr>
                                    </w:pPr>
                                    <w:r w:rsidRPr="00A3353C">
                                      <w:rPr>
                                        <w:sz w:val="44"/>
                                        <w:szCs w:val="44"/>
                                        <w:lang w:val="hy-AM"/>
                                      </w:rPr>
                                      <w:t>ՀԻՄՆԱԿԱՆ ՈՒՂՂՈՒԹՅՈՒՆՆԵՐԻ ՄԱՍԻՆ</w:t>
                                    </w:r>
                                    <w:r w:rsidRPr="00454DBB">
                                      <w:rPr>
                                        <w:b/>
                                        <w:color w:val="FFFFFF" w:themeColor="background1"/>
                                        <w:sz w:val="30"/>
                                        <w:szCs w:val="30"/>
                                        <w:lang w:val="hy-AM"/>
                                      </w:rPr>
                                      <w:t>Yerevan 2024</w:t>
                                    </w:r>
                                  </w:p>
                                  <w:p w14:paraId="52E8AACD" w14:textId="77777777" w:rsidR="00147C8B" w:rsidRPr="00454DBB" w:rsidRDefault="00147C8B">
                                    <w:pPr>
                                      <w:rPr>
                                        <w:lang w:val="hy-AM"/>
                                      </w:rPr>
                                    </w:pPr>
                                  </w:p>
                                  <w:p w14:paraId="42ED69AB" w14:textId="77777777" w:rsidR="00147C8B" w:rsidRPr="00454DBB" w:rsidRDefault="00147C8B" w:rsidP="00FD0C29">
                                    <w:pPr>
                                      <w:rPr>
                                        <w:b/>
                                        <w:color w:val="FFFFFF" w:themeColor="background1"/>
                                        <w:sz w:val="30"/>
                                        <w:szCs w:val="30"/>
                                        <w:lang w:val="hy-AM"/>
                                      </w:rPr>
                                    </w:pPr>
                                    <w:r w:rsidRPr="003A4CA5">
                                      <w:rPr>
                                        <w:color w:val="FFFFFF" w:themeColor="background1"/>
                                        <w:sz w:val="40"/>
                                        <w:szCs w:val="40"/>
                                        <w:lang w:val="hy-AM"/>
                                      </w:rPr>
                                      <w:t>ՄԱՍ I: ՍՈՑԻԱԼ-ՏՆՏԵՍԱԿԱՆ ԶԱՐԳԱՑՄԱՆ, ՄԱԿՐՈՏՆՏԵՍԱԿԱՆ ԶԱՐԳԱՑՄԱՆ ԵՎ ՀԱՐԿԱԲՅՈՒՋԵՏԱՅԻՆ ՔԱՂԱՔԱԿԱՆՈՒԹՅԱՆ</w:t>
                                    </w:r>
                                    <w:r>
                                      <w:rPr>
                                        <w:color w:val="FFFFFF" w:themeColor="background1"/>
                                        <w:sz w:val="40"/>
                                        <w:szCs w:val="40"/>
                                        <w:lang w:val="hy-AM"/>
                                      </w:rPr>
                                      <w:t xml:space="preserve"> </w:t>
                                    </w:r>
                                    <w:r w:rsidRPr="003A4CA5">
                                      <w:rPr>
                                        <w:color w:val="auto"/>
                                        <w:sz w:val="40"/>
                                        <w:szCs w:val="40"/>
                                        <w:lang w:val="hy-AM"/>
                                      </w:rPr>
                                      <w:t>ՀԻՄՆԱԿԱՆ ՈՒՂՂՈՒԹՅՈՒՆՆԵՐԻ ՄԱՍԻՆ</w:t>
                                    </w:r>
                                    <w:r w:rsidRPr="00454DBB">
                                      <w:rPr>
                                        <w:b/>
                                        <w:color w:val="FFFFFF" w:themeColor="background1"/>
                                        <w:sz w:val="30"/>
                                        <w:szCs w:val="30"/>
                                        <w:lang w:val="hy-AM"/>
                                      </w:rPr>
                                      <w:t>Yerevan 2024</w:t>
                                    </w:r>
                                  </w:p>
                                  <w:p w14:paraId="28FB8DE1" w14:textId="77777777" w:rsidR="00147C8B" w:rsidRPr="00454DBB" w:rsidRDefault="00147C8B">
                                    <w:pPr>
                                      <w:rPr>
                                        <w:lang w:val="hy-AM"/>
                                      </w:rPr>
                                    </w:pPr>
                                  </w:p>
                                  <w:p w14:paraId="557EB286" w14:textId="77777777" w:rsidR="00147C8B" w:rsidRPr="00A3353C" w:rsidRDefault="00147C8B" w:rsidP="00A3353C">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7893AAF3" w14:textId="77777777" w:rsidR="00147C8B" w:rsidRPr="00682390" w:rsidRDefault="00147C8B" w:rsidP="00FD0C29">
                                    <w:pPr>
                                      <w:rPr>
                                        <w:b/>
                                        <w:color w:val="FFFFFF" w:themeColor="background1"/>
                                        <w:sz w:val="30"/>
                                        <w:szCs w:val="30"/>
                                        <w:lang w:val="hy-AM"/>
                                      </w:rPr>
                                    </w:pPr>
                                    <w:r w:rsidRPr="00A3353C">
                                      <w:rPr>
                                        <w:sz w:val="44"/>
                                        <w:szCs w:val="44"/>
                                        <w:lang w:val="hy-AM"/>
                                      </w:rPr>
                                      <w:t>ՀԻՄՆԱԿԱՆ ՈՒՂՂՈՒԹՅՈՒՆՆԵՐԻ ՄԱՍԻՆ</w:t>
                                    </w:r>
                                    <w:r w:rsidRPr="00682390">
                                      <w:rPr>
                                        <w:b/>
                                        <w:color w:val="FFFFFF" w:themeColor="background1"/>
                                        <w:sz w:val="30"/>
                                        <w:szCs w:val="30"/>
                                        <w:lang w:val="hy-AM"/>
                                      </w:rPr>
                                      <w:t>Yerevan 2024</w:t>
                                    </w:r>
                                  </w:p>
                                  <w:p w14:paraId="5412182C" w14:textId="77777777" w:rsidR="00147C8B" w:rsidRPr="00682390" w:rsidRDefault="00147C8B">
                                    <w:pPr>
                                      <w:rPr>
                                        <w:lang w:val="hy-AM"/>
                                      </w:rPr>
                                    </w:pPr>
                                  </w:p>
                                  <w:p w14:paraId="55363F67" w14:textId="77777777" w:rsidR="00147C8B" w:rsidRPr="00A3353C" w:rsidRDefault="00147C8B" w:rsidP="00A3353C">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1D2B3015" w14:textId="77777777" w:rsidR="00147C8B" w:rsidRPr="00682390" w:rsidRDefault="00147C8B" w:rsidP="00FD0C29">
                                    <w:pPr>
                                      <w:rPr>
                                        <w:b/>
                                        <w:color w:val="FFFFFF" w:themeColor="background1"/>
                                        <w:sz w:val="30"/>
                                        <w:szCs w:val="30"/>
                                        <w:lang w:val="hy-AM"/>
                                      </w:rPr>
                                    </w:pPr>
                                    <w:r w:rsidRPr="00A3353C">
                                      <w:rPr>
                                        <w:sz w:val="44"/>
                                        <w:szCs w:val="44"/>
                                        <w:lang w:val="hy-AM"/>
                                      </w:rPr>
                                      <w:t>ՀԻՄՆԱԿԱՆ ՈՒՂՂՈՒԹՅՈՒՆՆԵՐԻ ՄԱՍԻՆ</w:t>
                                    </w:r>
                                    <w:r w:rsidRPr="00682390">
                                      <w:rPr>
                                        <w:b/>
                                        <w:color w:val="FFFFFF" w:themeColor="background1"/>
                                        <w:sz w:val="30"/>
                                        <w:szCs w:val="30"/>
                                        <w:lang w:val="hy-AM"/>
                                      </w:rPr>
                                      <w:t>Yerevan 2024</w:t>
                                    </w:r>
                                  </w:p>
                                  <w:p w14:paraId="1CE04B0E" w14:textId="77777777" w:rsidR="00147C8B" w:rsidRPr="00682390" w:rsidRDefault="00147C8B">
                                    <w:pPr>
                                      <w:rPr>
                                        <w:lang w:val="hy-AM"/>
                                      </w:rPr>
                                    </w:pPr>
                                  </w:p>
                                  <w:p w14:paraId="63AC1F1E" w14:textId="77777777" w:rsidR="00147C8B" w:rsidRPr="00A3353C" w:rsidRDefault="00147C8B" w:rsidP="00A3353C">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5D32A33B" w14:textId="77777777" w:rsidR="00147C8B" w:rsidRPr="003A5AE3" w:rsidRDefault="00147C8B" w:rsidP="00FD0C29">
                                    <w:pPr>
                                      <w:rPr>
                                        <w:b/>
                                        <w:color w:val="FFFFFF" w:themeColor="background1"/>
                                        <w:sz w:val="30"/>
                                        <w:szCs w:val="30"/>
                                        <w:lang w:val="hy-AM"/>
                                      </w:rPr>
                                    </w:pPr>
                                    <w:r w:rsidRPr="00A3353C">
                                      <w:rPr>
                                        <w:sz w:val="44"/>
                                        <w:szCs w:val="44"/>
                                        <w:lang w:val="hy-AM"/>
                                      </w:rPr>
                                      <w:t>ՀԻՄՆԱԿԱՆ ՈՒՂՂՈՒԹՅՈՒՆՆԵՐԻ ՄԱՍԻՆ</w:t>
                                    </w:r>
                                    <w:r w:rsidRPr="003A5AE3">
                                      <w:rPr>
                                        <w:b/>
                                        <w:color w:val="FFFFFF" w:themeColor="background1"/>
                                        <w:sz w:val="30"/>
                                        <w:szCs w:val="30"/>
                                        <w:lang w:val="hy-AM"/>
                                      </w:rPr>
                                      <w:t>Yerevan 2024</w:t>
                                    </w:r>
                                  </w:p>
                                  <w:p w14:paraId="7AACE665" w14:textId="77777777" w:rsidR="00147C8B" w:rsidRPr="003A5AE3" w:rsidRDefault="00147C8B">
                                    <w:pPr>
                                      <w:rPr>
                                        <w:lang w:val="hy-AM"/>
                                      </w:rPr>
                                    </w:pPr>
                                  </w:p>
                                  <w:p w14:paraId="560FBA55" w14:textId="77777777" w:rsidR="00147C8B" w:rsidRPr="003A5AE3" w:rsidRDefault="00147C8B" w:rsidP="00FD0C29">
                                    <w:pPr>
                                      <w:rPr>
                                        <w:b/>
                                        <w:color w:val="FFFFFF" w:themeColor="background1"/>
                                        <w:sz w:val="30"/>
                                        <w:szCs w:val="30"/>
                                        <w:lang w:val="hy-AM"/>
                                      </w:rPr>
                                    </w:pPr>
                                    <w:r w:rsidRPr="003A4CA5">
                                      <w:rPr>
                                        <w:color w:val="FFFFFF" w:themeColor="background1"/>
                                        <w:sz w:val="40"/>
                                        <w:szCs w:val="40"/>
                                        <w:lang w:val="hy-AM"/>
                                      </w:rPr>
                                      <w:t>ՄԱՍ I: ՍՈՑԻԱԼ-ՏՆՏԵՍԱԿԱՆ ԶԱՐԳԱՑՄԱՆ, ՄԱԿՐՈՏՆՏԵՍԱԿԱՆ ԶԱՐԳԱՑՄԱՆ ԵՎ ՀԱՐԿԱԲՅՈՒՋԵՏԱՅԻՆ ՔԱՂԱՔԱԿԱՆՈՒԹՅԱՆ</w:t>
                                    </w:r>
                                    <w:r>
                                      <w:rPr>
                                        <w:color w:val="FFFFFF" w:themeColor="background1"/>
                                        <w:sz w:val="40"/>
                                        <w:szCs w:val="40"/>
                                        <w:lang w:val="hy-AM"/>
                                      </w:rPr>
                                      <w:t xml:space="preserve"> </w:t>
                                    </w:r>
                                    <w:r w:rsidRPr="003A4CA5">
                                      <w:rPr>
                                        <w:color w:val="auto"/>
                                        <w:sz w:val="40"/>
                                        <w:szCs w:val="40"/>
                                        <w:lang w:val="hy-AM"/>
                                      </w:rPr>
                                      <w:t>ՀԻՄՆԱԿԱՆ ՈՒՂՂՈՒԹՅՈՒՆՆԵՐԻ ՄԱՍԻՆ</w:t>
                                    </w:r>
                                    <w:r w:rsidRPr="003A5AE3">
                                      <w:rPr>
                                        <w:b/>
                                        <w:color w:val="FFFFFF" w:themeColor="background1"/>
                                        <w:sz w:val="30"/>
                                        <w:szCs w:val="30"/>
                                        <w:lang w:val="hy-AM"/>
                                      </w:rPr>
                                      <w:t>Yerevan 2024</w:t>
                                    </w:r>
                                  </w:p>
                                  <w:p w14:paraId="346C42A5" w14:textId="77777777" w:rsidR="00147C8B" w:rsidRPr="003A5AE3" w:rsidRDefault="00147C8B">
                                    <w:pPr>
                                      <w:rPr>
                                        <w:lang w:val="hy-AM"/>
                                      </w:rPr>
                                    </w:pPr>
                                  </w:p>
                                  <w:p w14:paraId="38457FC5" w14:textId="77777777" w:rsidR="00147C8B" w:rsidRPr="00A3353C" w:rsidRDefault="00147C8B" w:rsidP="00A3353C">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5D437B83" w14:textId="77777777" w:rsidR="00147C8B" w:rsidRPr="00682390" w:rsidRDefault="00147C8B" w:rsidP="00FD0C29">
                                    <w:pPr>
                                      <w:rPr>
                                        <w:b/>
                                        <w:color w:val="FFFFFF" w:themeColor="background1"/>
                                        <w:sz w:val="30"/>
                                        <w:szCs w:val="30"/>
                                        <w:lang w:val="hy-AM"/>
                                      </w:rPr>
                                    </w:pPr>
                                    <w:r w:rsidRPr="00A3353C">
                                      <w:rPr>
                                        <w:sz w:val="44"/>
                                        <w:szCs w:val="44"/>
                                        <w:lang w:val="hy-AM"/>
                                      </w:rPr>
                                      <w:t>ՀԻՄՆԱԿԱՆ ՈՒՂՂՈՒԹՅՈՒՆՆԵՐԻ ՄԱՍԻՆ</w:t>
                                    </w:r>
                                    <w:r w:rsidRPr="00682390">
                                      <w:rPr>
                                        <w:b/>
                                        <w:color w:val="FFFFFF" w:themeColor="background1"/>
                                        <w:sz w:val="30"/>
                                        <w:szCs w:val="30"/>
                                        <w:lang w:val="hy-AM"/>
                                      </w:rPr>
                                      <w:t>Yerevan 2024</w:t>
                                    </w:r>
                                  </w:p>
                                  <w:p w14:paraId="00E62D5B" w14:textId="77777777" w:rsidR="00147C8B" w:rsidRPr="00682390" w:rsidRDefault="00147C8B">
                                    <w:pPr>
                                      <w:rPr>
                                        <w:lang w:val="hy-AM"/>
                                      </w:rPr>
                                    </w:pPr>
                                  </w:p>
                                  <w:p w14:paraId="1966AA97" w14:textId="77777777" w:rsidR="00147C8B" w:rsidRPr="00A3353C" w:rsidRDefault="00147C8B" w:rsidP="00A3353C">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12AB34FB" w14:textId="77777777" w:rsidR="00147C8B" w:rsidRPr="00682390" w:rsidRDefault="00147C8B" w:rsidP="00FD0C29">
                                    <w:pPr>
                                      <w:rPr>
                                        <w:b/>
                                        <w:color w:val="FFFFFF" w:themeColor="background1"/>
                                        <w:sz w:val="30"/>
                                        <w:szCs w:val="30"/>
                                        <w:lang w:val="hy-AM"/>
                                      </w:rPr>
                                    </w:pPr>
                                    <w:r w:rsidRPr="00A3353C">
                                      <w:rPr>
                                        <w:sz w:val="44"/>
                                        <w:szCs w:val="44"/>
                                        <w:lang w:val="hy-AM"/>
                                      </w:rPr>
                                      <w:t>ՀԻՄՆԱԿԱՆ ՈՒՂՂՈՒԹՅՈՒՆՆԵՐԻ ՄԱՍԻՆ</w:t>
                                    </w:r>
                                    <w:r w:rsidRPr="00682390">
                                      <w:rPr>
                                        <w:b/>
                                        <w:color w:val="FFFFFF" w:themeColor="background1"/>
                                        <w:sz w:val="30"/>
                                        <w:szCs w:val="30"/>
                                        <w:lang w:val="hy-AM"/>
                                      </w:rPr>
                                      <w:t>Yerevan 2024</w:t>
                                    </w:r>
                                  </w:p>
                                  <w:p w14:paraId="4D1C4328" w14:textId="77777777" w:rsidR="00147C8B" w:rsidRPr="00682390" w:rsidRDefault="00147C8B">
                                    <w:pPr>
                                      <w:rPr>
                                        <w:lang w:val="hy-AM"/>
                                      </w:rPr>
                                    </w:pPr>
                                  </w:p>
                                  <w:p w14:paraId="5049400B" w14:textId="77777777" w:rsidR="00147C8B" w:rsidRPr="00A3353C" w:rsidRDefault="00147C8B" w:rsidP="00A3353C">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252AB460" w14:textId="77777777" w:rsidR="00147C8B" w:rsidRPr="00454DBB" w:rsidRDefault="00147C8B" w:rsidP="00FD0C29">
                                    <w:pPr>
                                      <w:rPr>
                                        <w:b/>
                                        <w:color w:val="FFFFFF" w:themeColor="background1"/>
                                        <w:sz w:val="30"/>
                                        <w:szCs w:val="30"/>
                                        <w:lang w:val="hy-AM"/>
                                      </w:rPr>
                                    </w:pPr>
                                    <w:r w:rsidRPr="00A3353C">
                                      <w:rPr>
                                        <w:sz w:val="44"/>
                                        <w:szCs w:val="44"/>
                                        <w:lang w:val="hy-AM"/>
                                      </w:rPr>
                                      <w:t>ՀԻՄՆԱԿԱՆ ՈՒՂՂՈՒԹՅՈՒՆՆԵՐԻ ՄԱՍԻՆ</w:t>
                                    </w:r>
                                    <w:r w:rsidRPr="00454DBB">
                                      <w:rPr>
                                        <w:b/>
                                        <w:color w:val="FFFFFF" w:themeColor="background1"/>
                                        <w:sz w:val="30"/>
                                        <w:szCs w:val="30"/>
                                        <w:lang w:val="hy-AM"/>
                                      </w:rPr>
                                      <w:t>Yerevan 2024</w:t>
                                    </w:r>
                                  </w:p>
                                  <w:p w14:paraId="72567A33" w14:textId="77777777" w:rsidR="00147C8B" w:rsidRPr="00454DBB" w:rsidRDefault="00147C8B">
                                    <w:pPr>
                                      <w:rPr>
                                        <w:lang w:val="hy-AM"/>
                                      </w:rPr>
                                    </w:pPr>
                                  </w:p>
                                  <w:p w14:paraId="7A9AE09F" w14:textId="77777777" w:rsidR="00147C8B" w:rsidRPr="00454DBB" w:rsidRDefault="00147C8B" w:rsidP="00FD0C29">
                                    <w:pPr>
                                      <w:rPr>
                                        <w:b/>
                                        <w:color w:val="FFFFFF" w:themeColor="background1"/>
                                        <w:sz w:val="30"/>
                                        <w:szCs w:val="30"/>
                                        <w:lang w:val="hy-AM"/>
                                      </w:rPr>
                                    </w:pPr>
                                    <w:r w:rsidRPr="003A4CA5">
                                      <w:rPr>
                                        <w:color w:val="FFFFFF" w:themeColor="background1"/>
                                        <w:sz w:val="40"/>
                                        <w:szCs w:val="40"/>
                                        <w:lang w:val="hy-AM"/>
                                      </w:rPr>
                                      <w:t>ՄԱՍ I: ՍՈՑԻԱԼ-ՏՆՏԵՍԱԿԱՆ ԶԱՐԳԱՑՄԱՆ, ՄԱԿՐՈՏՆՏԵՍԱԿԱՆ ԶԱՐԳԱՑՄԱՆ ԵՎ ՀԱՐԿԱԲՅՈՒՋԵՏԱՅԻՆ ՔԱՂԱՔԱԿԱՆՈՒԹՅԱՆ</w:t>
                                    </w:r>
                                    <w:r>
                                      <w:rPr>
                                        <w:color w:val="FFFFFF" w:themeColor="background1"/>
                                        <w:sz w:val="40"/>
                                        <w:szCs w:val="40"/>
                                        <w:lang w:val="hy-AM"/>
                                      </w:rPr>
                                      <w:t xml:space="preserve"> </w:t>
                                    </w:r>
                                    <w:r w:rsidRPr="003A4CA5">
                                      <w:rPr>
                                        <w:color w:val="auto"/>
                                        <w:sz w:val="40"/>
                                        <w:szCs w:val="40"/>
                                        <w:lang w:val="hy-AM"/>
                                      </w:rPr>
                                      <w:t>ՀԻՄՆԱԿԱՆ ՈՒՂՂՈՒԹՅՈՒՆՆԵՐԻ ՄԱՍԻՆ</w:t>
                                    </w:r>
                                    <w:r w:rsidRPr="00454DBB">
                                      <w:rPr>
                                        <w:b/>
                                        <w:color w:val="FFFFFF" w:themeColor="background1"/>
                                        <w:sz w:val="30"/>
                                        <w:szCs w:val="30"/>
                                        <w:lang w:val="hy-AM"/>
                                      </w:rPr>
                                      <w:t>Yerevan 2024</w:t>
                                    </w:r>
                                  </w:p>
                                  <w:p w14:paraId="22A83BC2" w14:textId="77777777" w:rsidR="00147C8B" w:rsidRPr="00454DBB" w:rsidRDefault="00147C8B">
                                    <w:pPr>
                                      <w:rPr>
                                        <w:lang w:val="hy-AM"/>
                                      </w:rPr>
                                    </w:pPr>
                                  </w:p>
                                  <w:p w14:paraId="2B094F07" w14:textId="77777777" w:rsidR="00147C8B" w:rsidRPr="00A3353C" w:rsidRDefault="00147C8B" w:rsidP="00A3353C">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1F29994F" w14:textId="77777777" w:rsidR="00147C8B" w:rsidRPr="00682390" w:rsidRDefault="00147C8B" w:rsidP="00FD0C29">
                                    <w:pPr>
                                      <w:rPr>
                                        <w:b/>
                                        <w:color w:val="FFFFFF" w:themeColor="background1"/>
                                        <w:sz w:val="30"/>
                                        <w:szCs w:val="30"/>
                                        <w:lang w:val="hy-AM"/>
                                      </w:rPr>
                                    </w:pPr>
                                    <w:r w:rsidRPr="00A3353C">
                                      <w:rPr>
                                        <w:sz w:val="44"/>
                                        <w:szCs w:val="44"/>
                                        <w:lang w:val="hy-AM"/>
                                      </w:rPr>
                                      <w:t>ՀԻՄՆԱԿԱՆ ՈՒՂՂՈՒԹՅՈՒՆՆԵՐԻ ՄԱՍԻՆ</w:t>
                                    </w:r>
                                    <w:r w:rsidRPr="00682390">
                                      <w:rPr>
                                        <w:b/>
                                        <w:color w:val="FFFFFF" w:themeColor="background1"/>
                                        <w:sz w:val="30"/>
                                        <w:szCs w:val="30"/>
                                        <w:lang w:val="hy-AM"/>
                                      </w:rPr>
                                      <w:t>Yerevan 2024</w:t>
                                    </w:r>
                                  </w:p>
                                  <w:p w14:paraId="19EB3668" w14:textId="77777777" w:rsidR="00147C8B" w:rsidRPr="00682390" w:rsidRDefault="00147C8B">
                                    <w:pPr>
                                      <w:rPr>
                                        <w:lang w:val="hy-AM"/>
                                      </w:rPr>
                                    </w:pPr>
                                  </w:p>
                                  <w:p w14:paraId="6F92EAED" w14:textId="77777777" w:rsidR="00147C8B" w:rsidRPr="00A3353C" w:rsidRDefault="00147C8B" w:rsidP="00A3353C">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724B7A4F" w14:textId="77777777" w:rsidR="00147C8B" w:rsidRPr="00682390" w:rsidRDefault="00147C8B" w:rsidP="00FD0C29">
                                    <w:pPr>
                                      <w:rPr>
                                        <w:b/>
                                        <w:color w:val="FFFFFF" w:themeColor="background1"/>
                                        <w:sz w:val="30"/>
                                        <w:szCs w:val="30"/>
                                        <w:lang w:val="hy-AM"/>
                                      </w:rPr>
                                    </w:pPr>
                                    <w:r w:rsidRPr="00A3353C">
                                      <w:rPr>
                                        <w:sz w:val="44"/>
                                        <w:szCs w:val="44"/>
                                        <w:lang w:val="hy-AM"/>
                                      </w:rPr>
                                      <w:t>ՀԻՄՆԱԿԱՆ ՈՒՂՂՈՒԹՅՈՒՆՆԵՐԻ ՄԱՍԻՆ</w:t>
                                    </w:r>
                                    <w:r w:rsidRPr="00682390">
                                      <w:rPr>
                                        <w:b/>
                                        <w:color w:val="FFFFFF" w:themeColor="background1"/>
                                        <w:sz w:val="30"/>
                                        <w:szCs w:val="30"/>
                                        <w:lang w:val="hy-AM"/>
                                      </w:rPr>
                                      <w:t>Yerevan 2024</w:t>
                                    </w:r>
                                  </w:p>
                                  <w:p w14:paraId="54A01E69" w14:textId="77777777" w:rsidR="00147C8B" w:rsidRPr="00682390" w:rsidRDefault="00147C8B">
                                    <w:pPr>
                                      <w:rPr>
                                        <w:lang w:val="hy-AM"/>
                                      </w:rPr>
                                    </w:pPr>
                                  </w:p>
                                  <w:p w14:paraId="1DBB89C6" w14:textId="77777777" w:rsidR="00147C8B" w:rsidRPr="00A3353C" w:rsidRDefault="00147C8B" w:rsidP="00A3353C">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3EA12C6C" w14:textId="77777777" w:rsidR="00147C8B" w:rsidRPr="00A72B0A" w:rsidRDefault="00147C8B" w:rsidP="00FD0C29">
                                    <w:pPr>
                                      <w:rPr>
                                        <w:b/>
                                        <w:color w:val="FFFFFF" w:themeColor="background1"/>
                                        <w:sz w:val="30"/>
                                        <w:szCs w:val="30"/>
                                        <w:lang w:val="hy-AM"/>
                                      </w:rPr>
                                    </w:pPr>
                                    <w:r w:rsidRPr="00A3353C">
                                      <w:rPr>
                                        <w:sz w:val="44"/>
                                        <w:szCs w:val="44"/>
                                        <w:lang w:val="hy-AM"/>
                                      </w:rPr>
                                      <w:t>ՀԻՄՆԱԿԱՆ ՈՒՂՂՈՒԹՅՈՒՆՆԵՐԻ ՄԱՍԻՆ</w:t>
                                    </w:r>
                                    <w:r w:rsidRPr="00A72B0A">
                                      <w:rPr>
                                        <w:b/>
                                        <w:color w:val="FFFFFF" w:themeColor="background1"/>
                                        <w:sz w:val="30"/>
                                        <w:szCs w:val="30"/>
                                        <w:lang w:val="hy-AM"/>
                                      </w:rPr>
                                      <w:t>Yerevan 2024</w:t>
                                    </w:r>
                                  </w:p>
                                  <w:p w14:paraId="48320D9D" w14:textId="77777777" w:rsidR="00147C8B" w:rsidRPr="00A72B0A" w:rsidRDefault="00147C8B">
                                    <w:pPr>
                                      <w:rPr>
                                        <w:lang w:val="hy-AM"/>
                                      </w:rPr>
                                    </w:pPr>
                                  </w:p>
                                  <w:p w14:paraId="0D10ABBC" w14:textId="053076C9" w:rsidR="00147C8B" w:rsidRPr="00A72B0A" w:rsidRDefault="00147C8B" w:rsidP="00FD0C29">
                                    <w:pPr>
                                      <w:rPr>
                                        <w:b/>
                                        <w:color w:val="FFFFFF" w:themeColor="background1"/>
                                        <w:sz w:val="30"/>
                                        <w:szCs w:val="30"/>
                                        <w:lang w:val="hy-AM"/>
                                      </w:rPr>
                                    </w:pPr>
                                    <w:r w:rsidRPr="00A72B0A">
                                      <w:rPr>
                                        <w:color w:val="FFFFFF" w:themeColor="background1"/>
                                        <w:lang w:val="hy-AM"/>
                                      </w:rPr>
                                      <w:t xml:space="preserve">ՄԱՍ I: ՍՈՑԻԱԼ-ՏՆՏԵՍԱԿԱՆ ԶԱՐԳԱՑՄԱՆ, ՄԱԿՐՈՏՆՏԵՍԱԿԱՆ ԶԱՐԳԱՑՄԱՆ ԵՎ ՀԱՐԿԱԲՅՈՒՋԵՏԱՅԻՆ ՔԱՂԱՔԱԿԱՆՈՒԹՅԱՆ </w:t>
                                    </w:r>
                                    <w:r w:rsidRPr="003A4CA5">
                                      <w:rPr>
                                        <w:color w:val="auto"/>
                                        <w:lang w:val="hy-AM"/>
                                      </w:rPr>
                                      <w:t>ՀԻՄՆԱԿԱՆ ՈՒՂՂՈՒԹՅՈՒՆՆԵՐԻ ՄԱՍԻՆ</w:t>
                                    </w:r>
                                    <w:r w:rsidRPr="00A72B0A">
                                      <w:rPr>
                                        <w:b/>
                                        <w:color w:val="FFFFFF" w:themeColor="background1"/>
                                        <w:sz w:val="30"/>
                                        <w:szCs w:val="30"/>
                                        <w:lang w:val="hy-AM"/>
                                      </w:rPr>
                                      <w:t>Yerevan 2024</w:t>
                                    </w:r>
                                  </w:p>
                                  <w:p w14:paraId="53990F68" w14:textId="77777777" w:rsidR="00147C8B" w:rsidRPr="00A72B0A" w:rsidRDefault="00147C8B">
                                    <w:pPr>
                                      <w:rPr>
                                        <w:lang w:val="hy-AM"/>
                                      </w:rPr>
                                    </w:pPr>
                                  </w:p>
                                  <w:p w14:paraId="31F0E6E4" w14:textId="77777777" w:rsidR="00147C8B" w:rsidRPr="00A3353C" w:rsidRDefault="00147C8B" w:rsidP="00A3353C">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01D69811" w14:textId="77777777" w:rsidR="00147C8B" w:rsidRPr="00682390" w:rsidRDefault="00147C8B" w:rsidP="00FD0C29">
                                    <w:pPr>
                                      <w:rPr>
                                        <w:b/>
                                        <w:color w:val="FFFFFF" w:themeColor="background1"/>
                                        <w:sz w:val="30"/>
                                        <w:szCs w:val="30"/>
                                        <w:lang w:val="hy-AM"/>
                                      </w:rPr>
                                    </w:pPr>
                                    <w:r w:rsidRPr="00A3353C">
                                      <w:rPr>
                                        <w:sz w:val="44"/>
                                        <w:szCs w:val="44"/>
                                        <w:lang w:val="hy-AM"/>
                                      </w:rPr>
                                      <w:t>ՀԻՄՆԱԿԱՆ ՈՒՂՂՈՒԹՅՈՒՆՆԵՐԻ ՄԱՍԻՆ</w:t>
                                    </w:r>
                                    <w:r w:rsidRPr="00682390">
                                      <w:rPr>
                                        <w:b/>
                                        <w:color w:val="FFFFFF" w:themeColor="background1"/>
                                        <w:sz w:val="30"/>
                                        <w:szCs w:val="30"/>
                                        <w:lang w:val="hy-AM"/>
                                      </w:rPr>
                                      <w:t>Yerevan 2024</w:t>
                                    </w:r>
                                  </w:p>
                                  <w:p w14:paraId="2094727C" w14:textId="77777777" w:rsidR="00147C8B" w:rsidRPr="00682390" w:rsidRDefault="00147C8B">
                                    <w:pPr>
                                      <w:rPr>
                                        <w:lang w:val="hy-AM"/>
                                      </w:rPr>
                                    </w:pPr>
                                  </w:p>
                                  <w:p w14:paraId="79F8BC43" w14:textId="77777777" w:rsidR="00147C8B" w:rsidRPr="00A3353C" w:rsidRDefault="00147C8B" w:rsidP="00A3353C">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565B568B" w14:textId="77777777" w:rsidR="00147C8B" w:rsidRPr="00682390" w:rsidRDefault="00147C8B" w:rsidP="00FD0C29">
                                    <w:pPr>
                                      <w:rPr>
                                        <w:b/>
                                        <w:color w:val="FFFFFF" w:themeColor="background1"/>
                                        <w:sz w:val="30"/>
                                        <w:szCs w:val="30"/>
                                        <w:lang w:val="hy-AM"/>
                                      </w:rPr>
                                    </w:pPr>
                                    <w:r w:rsidRPr="00A3353C">
                                      <w:rPr>
                                        <w:sz w:val="44"/>
                                        <w:szCs w:val="44"/>
                                        <w:lang w:val="hy-AM"/>
                                      </w:rPr>
                                      <w:t>ՀԻՄՆԱԿԱՆ ՈՒՂՂՈՒԹՅՈՒՆՆԵՐԻ ՄԱՍԻՆ</w:t>
                                    </w:r>
                                    <w:r w:rsidRPr="00682390">
                                      <w:rPr>
                                        <w:b/>
                                        <w:color w:val="FFFFFF" w:themeColor="background1"/>
                                        <w:sz w:val="30"/>
                                        <w:szCs w:val="30"/>
                                        <w:lang w:val="hy-AM"/>
                                      </w:rPr>
                                      <w:t>Yerevan 2024</w:t>
                                    </w:r>
                                  </w:p>
                                  <w:p w14:paraId="0913E43F" w14:textId="77777777" w:rsidR="00147C8B" w:rsidRPr="00682390" w:rsidRDefault="00147C8B">
                                    <w:pPr>
                                      <w:rPr>
                                        <w:lang w:val="hy-AM"/>
                                      </w:rPr>
                                    </w:pPr>
                                  </w:p>
                                  <w:p w14:paraId="5B27FEE1" w14:textId="77777777" w:rsidR="00147C8B" w:rsidRPr="00A3353C" w:rsidRDefault="00147C8B" w:rsidP="00A3353C">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2869EE35" w14:textId="77777777" w:rsidR="00147C8B" w:rsidRPr="00454DBB" w:rsidRDefault="00147C8B" w:rsidP="00FD0C29">
                                    <w:pPr>
                                      <w:rPr>
                                        <w:b/>
                                        <w:color w:val="FFFFFF" w:themeColor="background1"/>
                                        <w:sz w:val="30"/>
                                        <w:szCs w:val="30"/>
                                        <w:lang w:val="hy-AM"/>
                                      </w:rPr>
                                    </w:pPr>
                                    <w:r w:rsidRPr="00A3353C">
                                      <w:rPr>
                                        <w:sz w:val="44"/>
                                        <w:szCs w:val="44"/>
                                        <w:lang w:val="hy-AM"/>
                                      </w:rPr>
                                      <w:t>ՀԻՄՆԱԿԱՆ ՈՒՂՂՈՒԹՅՈՒՆՆԵՐԻ ՄԱՍԻՆ</w:t>
                                    </w:r>
                                    <w:r w:rsidRPr="00454DBB">
                                      <w:rPr>
                                        <w:b/>
                                        <w:color w:val="FFFFFF" w:themeColor="background1"/>
                                        <w:sz w:val="30"/>
                                        <w:szCs w:val="30"/>
                                        <w:lang w:val="hy-AM"/>
                                      </w:rPr>
                                      <w:t>Yerevan 2024</w:t>
                                    </w:r>
                                  </w:p>
                                  <w:p w14:paraId="02E43363" w14:textId="77777777" w:rsidR="00147C8B" w:rsidRPr="00454DBB" w:rsidRDefault="00147C8B">
                                    <w:pPr>
                                      <w:rPr>
                                        <w:lang w:val="hy-AM"/>
                                      </w:rPr>
                                    </w:pPr>
                                  </w:p>
                                  <w:p w14:paraId="0793FF10" w14:textId="77777777" w:rsidR="00147C8B" w:rsidRPr="00454DBB" w:rsidRDefault="00147C8B" w:rsidP="00FD0C29">
                                    <w:pPr>
                                      <w:rPr>
                                        <w:b/>
                                        <w:color w:val="FFFFFF" w:themeColor="background1"/>
                                        <w:sz w:val="30"/>
                                        <w:szCs w:val="30"/>
                                        <w:lang w:val="hy-AM"/>
                                      </w:rPr>
                                    </w:pPr>
                                    <w:r w:rsidRPr="003A4CA5">
                                      <w:rPr>
                                        <w:color w:val="FFFFFF" w:themeColor="background1"/>
                                        <w:sz w:val="40"/>
                                        <w:szCs w:val="40"/>
                                        <w:lang w:val="hy-AM"/>
                                      </w:rPr>
                                      <w:t>ՄԱՍ I: ՍՈՑԻԱԼ-ՏՆՏԵՍԱԿԱՆ ԶԱՐԳԱՑՄԱՆ, ՄԱԿՐՈՏՆՏԵՍԱԿԱՆ ԶԱՐԳԱՑՄԱՆ ԵՎ ՀԱՐԿԱԲՅՈՒՋԵՏԱՅԻՆ ՔԱՂԱՔԱԿԱՆՈՒԹՅԱՆ</w:t>
                                    </w:r>
                                    <w:r>
                                      <w:rPr>
                                        <w:color w:val="FFFFFF" w:themeColor="background1"/>
                                        <w:sz w:val="40"/>
                                        <w:szCs w:val="40"/>
                                        <w:lang w:val="hy-AM"/>
                                      </w:rPr>
                                      <w:t xml:space="preserve"> </w:t>
                                    </w:r>
                                    <w:r w:rsidRPr="003A4CA5">
                                      <w:rPr>
                                        <w:color w:val="auto"/>
                                        <w:sz w:val="40"/>
                                        <w:szCs w:val="40"/>
                                        <w:lang w:val="hy-AM"/>
                                      </w:rPr>
                                      <w:t>ՀԻՄՆԱԿԱՆ ՈՒՂՂՈՒԹՅՈՒՆՆԵՐԻ ՄԱՍԻՆ</w:t>
                                    </w:r>
                                    <w:r w:rsidRPr="00454DBB">
                                      <w:rPr>
                                        <w:b/>
                                        <w:color w:val="FFFFFF" w:themeColor="background1"/>
                                        <w:sz w:val="30"/>
                                        <w:szCs w:val="30"/>
                                        <w:lang w:val="hy-AM"/>
                                      </w:rPr>
                                      <w:t>Yerevan 2024</w:t>
                                    </w:r>
                                  </w:p>
                                  <w:p w14:paraId="53ACAEBA" w14:textId="77777777" w:rsidR="00147C8B" w:rsidRPr="00454DBB" w:rsidRDefault="00147C8B">
                                    <w:pPr>
                                      <w:rPr>
                                        <w:lang w:val="hy-AM"/>
                                      </w:rPr>
                                    </w:pPr>
                                  </w:p>
                                  <w:p w14:paraId="22B802F5" w14:textId="77777777" w:rsidR="00147C8B" w:rsidRPr="00A3353C" w:rsidRDefault="00147C8B" w:rsidP="00A3353C">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0856430E" w14:textId="77777777" w:rsidR="00147C8B" w:rsidRPr="00682390" w:rsidRDefault="00147C8B" w:rsidP="00FD0C29">
                                    <w:pPr>
                                      <w:rPr>
                                        <w:b/>
                                        <w:color w:val="FFFFFF" w:themeColor="background1"/>
                                        <w:sz w:val="30"/>
                                        <w:szCs w:val="30"/>
                                        <w:lang w:val="hy-AM"/>
                                      </w:rPr>
                                    </w:pPr>
                                    <w:r w:rsidRPr="00A3353C">
                                      <w:rPr>
                                        <w:sz w:val="44"/>
                                        <w:szCs w:val="44"/>
                                        <w:lang w:val="hy-AM"/>
                                      </w:rPr>
                                      <w:t>ՀԻՄՆԱԿԱՆ ՈՒՂՂՈՒԹՅՈՒՆՆԵՐԻ ՄԱՍԻՆ</w:t>
                                    </w:r>
                                    <w:r w:rsidRPr="00682390">
                                      <w:rPr>
                                        <w:b/>
                                        <w:color w:val="FFFFFF" w:themeColor="background1"/>
                                        <w:sz w:val="30"/>
                                        <w:szCs w:val="30"/>
                                        <w:lang w:val="hy-AM"/>
                                      </w:rPr>
                                      <w:t>Yerevan 2024</w:t>
                                    </w:r>
                                  </w:p>
                                  <w:p w14:paraId="70571F96" w14:textId="77777777" w:rsidR="00147C8B" w:rsidRPr="00682390" w:rsidRDefault="00147C8B">
                                    <w:pPr>
                                      <w:rPr>
                                        <w:lang w:val="hy-AM"/>
                                      </w:rPr>
                                    </w:pPr>
                                  </w:p>
                                  <w:p w14:paraId="5963C3D6" w14:textId="77777777" w:rsidR="00147C8B" w:rsidRPr="00A3353C" w:rsidRDefault="00147C8B" w:rsidP="00A3353C">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635CDCCE" w14:textId="77777777" w:rsidR="00147C8B" w:rsidRPr="00682390" w:rsidRDefault="00147C8B" w:rsidP="00FD0C29">
                                    <w:pPr>
                                      <w:rPr>
                                        <w:b/>
                                        <w:color w:val="FFFFFF" w:themeColor="background1"/>
                                        <w:sz w:val="30"/>
                                        <w:szCs w:val="30"/>
                                        <w:lang w:val="hy-AM"/>
                                      </w:rPr>
                                    </w:pPr>
                                    <w:r w:rsidRPr="00A3353C">
                                      <w:rPr>
                                        <w:sz w:val="44"/>
                                        <w:szCs w:val="44"/>
                                        <w:lang w:val="hy-AM"/>
                                      </w:rPr>
                                      <w:t>ՀԻՄՆԱԿԱՆ ՈՒՂՂՈՒԹՅՈՒՆՆԵՐԻ ՄԱՍԻՆ</w:t>
                                    </w:r>
                                    <w:r w:rsidRPr="00682390">
                                      <w:rPr>
                                        <w:b/>
                                        <w:color w:val="FFFFFF" w:themeColor="background1"/>
                                        <w:sz w:val="30"/>
                                        <w:szCs w:val="30"/>
                                        <w:lang w:val="hy-AM"/>
                                      </w:rPr>
                                      <w:t>Yerevan 2024</w:t>
                                    </w:r>
                                  </w:p>
                                  <w:p w14:paraId="7C8FB289" w14:textId="77777777" w:rsidR="00147C8B" w:rsidRPr="00682390" w:rsidRDefault="00147C8B">
                                    <w:pPr>
                                      <w:rPr>
                                        <w:lang w:val="hy-AM"/>
                                      </w:rPr>
                                    </w:pPr>
                                  </w:p>
                                  <w:p w14:paraId="2FC11A98" w14:textId="77777777" w:rsidR="00147C8B" w:rsidRPr="00A3353C" w:rsidRDefault="00147C8B" w:rsidP="00A3353C">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1E26178E" w14:textId="77777777" w:rsidR="00147C8B" w:rsidRPr="003A5AE3" w:rsidRDefault="00147C8B" w:rsidP="00FD0C29">
                                    <w:pPr>
                                      <w:rPr>
                                        <w:b/>
                                        <w:color w:val="FFFFFF" w:themeColor="background1"/>
                                        <w:sz w:val="30"/>
                                        <w:szCs w:val="30"/>
                                        <w:lang w:val="hy-AM"/>
                                      </w:rPr>
                                    </w:pPr>
                                    <w:r w:rsidRPr="00A3353C">
                                      <w:rPr>
                                        <w:sz w:val="44"/>
                                        <w:szCs w:val="44"/>
                                        <w:lang w:val="hy-AM"/>
                                      </w:rPr>
                                      <w:t>ՀԻՄՆԱԿԱՆ ՈՒՂՂՈՒԹՅՈՒՆՆԵՐԻ ՄԱՍԻՆ</w:t>
                                    </w:r>
                                    <w:r w:rsidRPr="003A5AE3">
                                      <w:rPr>
                                        <w:b/>
                                        <w:color w:val="FFFFFF" w:themeColor="background1"/>
                                        <w:sz w:val="30"/>
                                        <w:szCs w:val="30"/>
                                        <w:lang w:val="hy-AM"/>
                                      </w:rPr>
                                      <w:t>Yerevan 2024</w:t>
                                    </w:r>
                                  </w:p>
                                  <w:p w14:paraId="3662705D" w14:textId="77777777" w:rsidR="00147C8B" w:rsidRPr="003A5AE3" w:rsidRDefault="00147C8B">
                                    <w:pPr>
                                      <w:rPr>
                                        <w:lang w:val="hy-AM"/>
                                      </w:rPr>
                                    </w:pPr>
                                  </w:p>
                                  <w:p w14:paraId="797D6816" w14:textId="77777777" w:rsidR="00147C8B" w:rsidRPr="003A5AE3" w:rsidRDefault="00147C8B" w:rsidP="00FD0C29">
                                    <w:pPr>
                                      <w:rPr>
                                        <w:b/>
                                        <w:color w:val="FFFFFF" w:themeColor="background1"/>
                                        <w:sz w:val="30"/>
                                        <w:szCs w:val="30"/>
                                        <w:lang w:val="hy-AM"/>
                                      </w:rPr>
                                    </w:pPr>
                                    <w:r w:rsidRPr="003A4CA5">
                                      <w:rPr>
                                        <w:color w:val="FFFFFF" w:themeColor="background1"/>
                                        <w:sz w:val="40"/>
                                        <w:szCs w:val="40"/>
                                        <w:lang w:val="hy-AM"/>
                                      </w:rPr>
                                      <w:t>ՄԱՍ I: ՍՈՑԻԱԼ-ՏՆՏԵՍԱԿԱՆ ԶԱՐԳԱՑՄԱՆ, ՄԱԿՐՈՏՆՏԵՍԱԿԱՆ ԶԱՐԳԱՑՄԱՆ ԵՎ ՀԱՐԿԱԲՅՈՒՋԵՏԱՅԻՆ ՔԱՂԱՔԱԿԱՆՈՒԹՅԱՆ</w:t>
                                    </w:r>
                                    <w:r>
                                      <w:rPr>
                                        <w:color w:val="FFFFFF" w:themeColor="background1"/>
                                        <w:sz w:val="40"/>
                                        <w:szCs w:val="40"/>
                                        <w:lang w:val="hy-AM"/>
                                      </w:rPr>
                                      <w:t xml:space="preserve"> </w:t>
                                    </w:r>
                                    <w:r w:rsidRPr="003A4CA5">
                                      <w:rPr>
                                        <w:color w:val="auto"/>
                                        <w:sz w:val="40"/>
                                        <w:szCs w:val="40"/>
                                        <w:lang w:val="hy-AM"/>
                                      </w:rPr>
                                      <w:t>ՀԻՄՆԱԿԱՆ ՈՒՂՂՈՒԹՅՈՒՆՆԵՐԻ ՄԱՍԻՆ</w:t>
                                    </w:r>
                                    <w:r w:rsidRPr="003A5AE3">
                                      <w:rPr>
                                        <w:b/>
                                        <w:color w:val="FFFFFF" w:themeColor="background1"/>
                                        <w:sz w:val="30"/>
                                        <w:szCs w:val="30"/>
                                        <w:lang w:val="hy-AM"/>
                                      </w:rPr>
                                      <w:t>Yerevan 2024</w:t>
                                    </w:r>
                                  </w:p>
                                  <w:p w14:paraId="5B0F1F0F" w14:textId="77777777" w:rsidR="00147C8B" w:rsidRPr="003A5AE3" w:rsidRDefault="00147C8B">
                                    <w:pPr>
                                      <w:rPr>
                                        <w:lang w:val="hy-AM"/>
                                      </w:rPr>
                                    </w:pPr>
                                  </w:p>
                                  <w:p w14:paraId="6E276115" w14:textId="77777777" w:rsidR="00147C8B" w:rsidRPr="00A3353C" w:rsidRDefault="00147C8B" w:rsidP="00A3353C">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77C44C46" w14:textId="77777777" w:rsidR="00147C8B" w:rsidRPr="00682390" w:rsidRDefault="00147C8B" w:rsidP="00FD0C29">
                                    <w:pPr>
                                      <w:rPr>
                                        <w:b/>
                                        <w:color w:val="FFFFFF" w:themeColor="background1"/>
                                        <w:sz w:val="30"/>
                                        <w:szCs w:val="30"/>
                                        <w:lang w:val="hy-AM"/>
                                      </w:rPr>
                                    </w:pPr>
                                    <w:r w:rsidRPr="00A3353C">
                                      <w:rPr>
                                        <w:sz w:val="44"/>
                                        <w:szCs w:val="44"/>
                                        <w:lang w:val="hy-AM"/>
                                      </w:rPr>
                                      <w:t>ՀԻՄՆԱԿԱՆ ՈՒՂՂՈՒԹՅՈՒՆՆԵՐԻ ՄԱՍԻՆ</w:t>
                                    </w:r>
                                    <w:r w:rsidRPr="00682390">
                                      <w:rPr>
                                        <w:b/>
                                        <w:color w:val="FFFFFF" w:themeColor="background1"/>
                                        <w:sz w:val="30"/>
                                        <w:szCs w:val="30"/>
                                        <w:lang w:val="hy-AM"/>
                                      </w:rPr>
                                      <w:t>Yerevan 2024</w:t>
                                    </w:r>
                                  </w:p>
                                  <w:p w14:paraId="40AF1E21" w14:textId="77777777" w:rsidR="00147C8B" w:rsidRPr="00682390" w:rsidRDefault="00147C8B">
                                    <w:pPr>
                                      <w:rPr>
                                        <w:lang w:val="hy-AM"/>
                                      </w:rPr>
                                    </w:pPr>
                                  </w:p>
                                  <w:p w14:paraId="1923A5D7" w14:textId="77777777" w:rsidR="00147C8B" w:rsidRPr="00A3353C" w:rsidRDefault="00147C8B" w:rsidP="00A3353C">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079DF862" w14:textId="77777777" w:rsidR="00147C8B" w:rsidRPr="00682390" w:rsidRDefault="00147C8B" w:rsidP="00FD0C29">
                                    <w:pPr>
                                      <w:rPr>
                                        <w:b/>
                                        <w:color w:val="FFFFFF" w:themeColor="background1"/>
                                        <w:sz w:val="30"/>
                                        <w:szCs w:val="30"/>
                                        <w:lang w:val="hy-AM"/>
                                      </w:rPr>
                                    </w:pPr>
                                    <w:r w:rsidRPr="00A3353C">
                                      <w:rPr>
                                        <w:sz w:val="44"/>
                                        <w:szCs w:val="44"/>
                                        <w:lang w:val="hy-AM"/>
                                      </w:rPr>
                                      <w:t>ՀԻՄՆԱԿԱՆ ՈՒՂՂՈՒԹՅՈՒՆՆԵՐԻ ՄԱՍԻՆ</w:t>
                                    </w:r>
                                    <w:r w:rsidRPr="00682390">
                                      <w:rPr>
                                        <w:b/>
                                        <w:color w:val="FFFFFF" w:themeColor="background1"/>
                                        <w:sz w:val="30"/>
                                        <w:szCs w:val="30"/>
                                        <w:lang w:val="hy-AM"/>
                                      </w:rPr>
                                      <w:t>Yerevan 2024</w:t>
                                    </w:r>
                                  </w:p>
                                  <w:p w14:paraId="524E81D2" w14:textId="77777777" w:rsidR="00147C8B" w:rsidRPr="00682390" w:rsidRDefault="00147C8B">
                                    <w:pPr>
                                      <w:rPr>
                                        <w:lang w:val="hy-AM"/>
                                      </w:rPr>
                                    </w:pPr>
                                  </w:p>
                                  <w:p w14:paraId="28D7344D" w14:textId="77777777" w:rsidR="00147C8B" w:rsidRPr="00A3353C" w:rsidRDefault="00147C8B" w:rsidP="00A3353C">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62FE2DBC" w14:textId="77777777" w:rsidR="00147C8B" w:rsidRPr="00454DBB" w:rsidRDefault="00147C8B" w:rsidP="00FD0C29">
                                    <w:pPr>
                                      <w:rPr>
                                        <w:b/>
                                        <w:color w:val="FFFFFF" w:themeColor="background1"/>
                                        <w:sz w:val="30"/>
                                        <w:szCs w:val="30"/>
                                        <w:lang w:val="hy-AM"/>
                                      </w:rPr>
                                    </w:pPr>
                                    <w:r w:rsidRPr="00A3353C">
                                      <w:rPr>
                                        <w:sz w:val="44"/>
                                        <w:szCs w:val="44"/>
                                        <w:lang w:val="hy-AM"/>
                                      </w:rPr>
                                      <w:t>ՀԻՄՆԱԿԱՆ ՈՒՂՂՈՒԹՅՈՒՆՆԵՐԻ ՄԱՍԻՆ</w:t>
                                    </w:r>
                                    <w:r w:rsidRPr="00454DBB">
                                      <w:rPr>
                                        <w:b/>
                                        <w:color w:val="FFFFFF" w:themeColor="background1"/>
                                        <w:sz w:val="30"/>
                                        <w:szCs w:val="30"/>
                                        <w:lang w:val="hy-AM"/>
                                      </w:rPr>
                                      <w:t>Yerevan 2024</w:t>
                                    </w:r>
                                  </w:p>
                                  <w:p w14:paraId="4C2D753D" w14:textId="77777777" w:rsidR="00147C8B" w:rsidRPr="00454DBB" w:rsidRDefault="00147C8B">
                                    <w:pPr>
                                      <w:rPr>
                                        <w:lang w:val="hy-AM"/>
                                      </w:rPr>
                                    </w:pPr>
                                  </w:p>
                                  <w:p w14:paraId="06F78D3D" w14:textId="77777777" w:rsidR="00147C8B" w:rsidRPr="00454DBB" w:rsidRDefault="00147C8B" w:rsidP="00FD0C29">
                                    <w:pPr>
                                      <w:rPr>
                                        <w:b/>
                                        <w:color w:val="FFFFFF" w:themeColor="background1"/>
                                        <w:sz w:val="30"/>
                                        <w:szCs w:val="30"/>
                                        <w:lang w:val="hy-AM"/>
                                      </w:rPr>
                                    </w:pPr>
                                    <w:r w:rsidRPr="003A4CA5">
                                      <w:rPr>
                                        <w:color w:val="FFFFFF" w:themeColor="background1"/>
                                        <w:sz w:val="40"/>
                                        <w:szCs w:val="40"/>
                                        <w:lang w:val="hy-AM"/>
                                      </w:rPr>
                                      <w:t>ՄԱՍ I: ՍՈՑԻԱԼ-ՏՆՏԵՍԱԿԱՆ ԶԱՐԳԱՑՄԱՆ, ՄԱԿՐՈՏՆՏԵՍԱԿԱՆ ԶԱՐԳԱՑՄԱՆ ԵՎ ՀԱՐԿԱԲՅՈՒՋԵՏԱՅԻՆ ՔԱՂԱՔԱԿԱՆՈՒԹՅԱՆ</w:t>
                                    </w:r>
                                    <w:r>
                                      <w:rPr>
                                        <w:color w:val="FFFFFF" w:themeColor="background1"/>
                                        <w:sz w:val="40"/>
                                        <w:szCs w:val="40"/>
                                        <w:lang w:val="hy-AM"/>
                                      </w:rPr>
                                      <w:t xml:space="preserve"> </w:t>
                                    </w:r>
                                    <w:r w:rsidRPr="003A4CA5">
                                      <w:rPr>
                                        <w:color w:val="auto"/>
                                        <w:sz w:val="40"/>
                                        <w:szCs w:val="40"/>
                                        <w:lang w:val="hy-AM"/>
                                      </w:rPr>
                                      <w:t>ՀԻՄՆԱԿԱՆ ՈՒՂՂՈՒԹՅՈՒՆՆԵՐԻ ՄԱՍԻՆ</w:t>
                                    </w:r>
                                    <w:r w:rsidRPr="00454DBB">
                                      <w:rPr>
                                        <w:b/>
                                        <w:color w:val="FFFFFF" w:themeColor="background1"/>
                                        <w:sz w:val="30"/>
                                        <w:szCs w:val="30"/>
                                        <w:lang w:val="hy-AM"/>
                                      </w:rPr>
                                      <w:t>Yerevan 2024</w:t>
                                    </w:r>
                                  </w:p>
                                  <w:p w14:paraId="61F21C19" w14:textId="77777777" w:rsidR="00147C8B" w:rsidRPr="00454DBB" w:rsidRDefault="00147C8B">
                                    <w:pPr>
                                      <w:rPr>
                                        <w:lang w:val="hy-AM"/>
                                      </w:rPr>
                                    </w:pPr>
                                  </w:p>
                                  <w:p w14:paraId="202CDB1A" w14:textId="77777777" w:rsidR="00147C8B" w:rsidRPr="00A3353C" w:rsidRDefault="00147C8B" w:rsidP="00A3353C">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73DE3D1F" w14:textId="77777777" w:rsidR="00147C8B" w:rsidRPr="00682390" w:rsidRDefault="00147C8B" w:rsidP="00FD0C29">
                                    <w:pPr>
                                      <w:rPr>
                                        <w:b/>
                                        <w:color w:val="FFFFFF" w:themeColor="background1"/>
                                        <w:sz w:val="30"/>
                                        <w:szCs w:val="30"/>
                                        <w:lang w:val="hy-AM"/>
                                      </w:rPr>
                                    </w:pPr>
                                    <w:r w:rsidRPr="00A3353C">
                                      <w:rPr>
                                        <w:sz w:val="44"/>
                                        <w:szCs w:val="44"/>
                                        <w:lang w:val="hy-AM"/>
                                      </w:rPr>
                                      <w:t>ՀԻՄՆԱԿԱՆ ՈՒՂՂՈՒԹՅՈՒՆՆԵՐԻ ՄԱՍԻՆ</w:t>
                                    </w:r>
                                    <w:r w:rsidRPr="00682390">
                                      <w:rPr>
                                        <w:b/>
                                        <w:color w:val="FFFFFF" w:themeColor="background1"/>
                                        <w:sz w:val="30"/>
                                        <w:szCs w:val="30"/>
                                        <w:lang w:val="hy-AM"/>
                                      </w:rPr>
                                      <w:t>Yerevan 2024</w:t>
                                    </w:r>
                                  </w:p>
                                  <w:p w14:paraId="2FDBD5CF" w14:textId="77777777" w:rsidR="00147C8B" w:rsidRPr="00682390" w:rsidRDefault="00147C8B">
                                    <w:pPr>
                                      <w:rPr>
                                        <w:lang w:val="hy-AM"/>
                                      </w:rPr>
                                    </w:pPr>
                                  </w:p>
                                  <w:p w14:paraId="1FA6304E" w14:textId="77777777" w:rsidR="00147C8B" w:rsidRPr="00A3353C" w:rsidRDefault="00147C8B" w:rsidP="00A3353C">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4597EC77" w14:textId="77777777" w:rsidR="00147C8B" w:rsidRPr="00682390" w:rsidRDefault="00147C8B" w:rsidP="00FD0C29">
                                    <w:pPr>
                                      <w:rPr>
                                        <w:b/>
                                        <w:color w:val="FFFFFF" w:themeColor="background1"/>
                                        <w:sz w:val="30"/>
                                        <w:szCs w:val="30"/>
                                        <w:lang w:val="hy-AM"/>
                                      </w:rPr>
                                    </w:pPr>
                                    <w:r w:rsidRPr="00A3353C">
                                      <w:rPr>
                                        <w:sz w:val="44"/>
                                        <w:szCs w:val="44"/>
                                        <w:lang w:val="hy-AM"/>
                                      </w:rPr>
                                      <w:t>ՀԻՄՆԱԿԱՆ ՈՒՂՂՈՒԹՅՈՒՆՆԵՐԻ ՄԱՍԻՆ</w:t>
                                    </w:r>
                                    <w:r w:rsidRPr="00682390">
                                      <w:rPr>
                                        <w:b/>
                                        <w:color w:val="FFFFFF" w:themeColor="background1"/>
                                        <w:sz w:val="30"/>
                                        <w:szCs w:val="30"/>
                                        <w:lang w:val="hy-AM"/>
                                      </w:rPr>
                                      <w:t>Yerevan 2024</w:t>
                                    </w:r>
                                  </w:p>
                                  <w:p w14:paraId="705759AF" w14:textId="77777777" w:rsidR="00147C8B" w:rsidRPr="00682390" w:rsidRDefault="00147C8B">
                                    <w:pPr>
                                      <w:rPr>
                                        <w:lang w:val="hy-AM"/>
                                      </w:rPr>
                                    </w:pPr>
                                  </w:p>
                                  <w:p w14:paraId="62188136" w14:textId="77777777" w:rsidR="00147C8B" w:rsidRPr="00A3353C" w:rsidRDefault="00147C8B" w:rsidP="00A3353C">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6121F185" w14:textId="77777777" w:rsidR="00147C8B" w:rsidRPr="00202938" w:rsidRDefault="00147C8B" w:rsidP="00FD0C29">
                                    <w:pPr>
                                      <w:rPr>
                                        <w:b/>
                                        <w:color w:val="FFFFFF" w:themeColor="background1"/>
                                        <w:sz w:val="30"/>
                                        <w:szCs w:val="30"/>
                                        <w:lang w:val="hy-AM"/>
                                      </w:rPr>
                                    </w:pPr>
                                    <w:r w:rsidRPr="00A3353C">
                                      <w:rPr>
                                        <w:sz w:val="44"/>
                                        <w:szCs w:val="44"/>
                                        <w:lang w:val="hy-AM"/>
                                      </w:rPr>
                                      <w:t>ՀԻՄՆԱԿԱՆ ՈՒՂՂՈՒԹՅՈՒՆՆԵՐԻ ՄԱՍԻՆ</w:t>
                                    </w:r>
                                    <w:r w:rsidRPr="00202938">
                                      <w:rPr>
                                        <w:b/>
                                        <w:color w:val="FFFFFF" w:themeColor="background1"/>
                                        <w:sz w:val="30"/>
                                        <w:szCs w:val="30"/>
                                        <w:lang w:val="hy-AM"/>
                                      </w:rPr>
                                      <w:t>Yerevan 2024</w:t>
                                    </w:r>
                                  </w:p>
                                  <w:p w14:paraId="6E3B73A6" w14:textId="77777777" w:rsidR="00147C8B" w:rsidRPr="00202938" w:rsidRDefault="00147C8B">
                                    <w:pPr>
                                      <w:rPr>
                                        <w:lang w:val="hy-AM"/>
                                      </w:rPr>
                                    </w:pPr>
                                  </w:p>
                                  <w:p w14:paraId="455C6891" w14:textId="053076C9" w:rsidR="00147C8B" w:rsidRPr="00202938" w:rsidRDefault="00147C8B" w:rsidP="00FD0C29">
                                    <w:pPr>
                                      <w:rPr>
                                        <w:b/>
                                        <w:color w:val="FFFFFF" w:themeColor="background1"/>
                                        <w:sz w:val="30"/>
                                        <w:szCs w:val="30"/>
                                        <w:lang w:val="hy-AM"/>
                                      </w:rPr>
                                    </w:pPr>
                                    <w:r w:rsidRPr="003A4CA5">
                                      <w:rPr>
                                        <w:color w:val="FFFFFF" w:themeColor="background1"/>
                                        <w:sz w:val="40"/>
                                        <w:szCs w:val="40"/>
                                        <w:lang w:val="hy-AM"/>
                                      </w:rPr>
                                      <w:t>ՄԱՍ I: ՍՈՑԻԱԼ-ՏՆՏԵՍԱԿԱՆ ԶԱՐԳԱՑՄԱՆ, ՄԱԿՐ</w:t>
                                    </w:r>
                                    <w:r w:rsidRPr="00487DE5">
                                      <w:rPr>
                                        <w:color w:val="FFFFFF" w:themeColor="background1"/>
                                        <w:sz w:val="40"/>
                                        <w:szCs w:val="40"/>
                                        <w:lang w:val="hy-AM"/>
                                      </w:rPr>
                                      <w:t>ՈՏՆՏԵՍԱ</w:t>
                                    </w:r>
                                    <w:r w:rsidRPr="003A4CA5">
                                      <w:rPr>
                                        <w:color w:val="FFFFFF" w:themeColor="background1"/>
                                        <w:sz w:val="40"/>
                                        <w:szCs w:val="40"/>
                                        <w:lang w:val="hy-AM"/>
                                      </w:rPr>
                                      <w:t>ԿԱՆ ԶԱՐԳԱՑՄԱՆ ԵՎ ՀԱՐԿԱԲՅՈՒՋԵՏԱՅԻՆ ՔԱՂԱՔԱԿԱՆՈՒԹՅԱՆ</w:t>
                                    </w:r>
                                    <w:r>
                                      <w:rPr>
                                        <w:color w:val="FFFFFF" w:themeColor="background1"/>
                                        <w:sz w:val="40"/>
                                        <w:szCs w:val="40"/>
                                        <w:lang w:val="hy-AM"/>
                                      </w:rPr>
                                      <w:t xml:space="preserve"> </w:t>
                                    </w:r>
                                    <w:r w:rsidRPr="003A4CA5">
                                      <w:rPr>
                                        <w:color w:val="auto"/>
                                        <w:sz w:val="40"/>
                                        <w:szCs w:val="40"/>
                                        <w:lang w:val="hy-AM"/>
                                      </w:rPr>
                                      <w:t>ՀԻՄՆԱԿԱՆ ՈՒՂՂՈՒԹՅՈՒՆՆԵՐԻ ՄԱՍԻՆ</w:t>
                                    </w:r>
                                    <w:r w:rsidRPr="00202938">
                                      <w:rPr>
                                        <w:b/>
                                        <w:color w:val="FFFFFF" w:themeColor="background1"/>
                                        <w:sz w:val="30"/>
                                        <w:szCs w:val="30"/>
                                        <w:lang w:val="hy-AM"/>
                                      </w:rPr>
                                      <w:t>Yerevan 2024</w:t>
                                    </w:r>
                                  </w:p>
                                  <w:p w14:paraId="05244E82" w14:textId="77777777" w:rsidR="00147C8B" w:rsidRPr="00202938" w:rsidRDefault="00147C8B">
                                    <w:pPr>
                                      <w:rPr>
                                        <w:lang w:val="hy-AM"/>
                                      </w:rPr>
                                    </w:pPr>
                                  </w:p>
                                  <w:p w14:paraId="5CE47DCF" w14:textId="25131394" w:rsidR="00147C8B" w:rsidRPr="00A3353C" w:rsidRDefault="00147C8B" w:rsidP="00A3353C">
                                    <w:pPr>
                                      <w:pStyle w:val="TOC1"/>
                                      <w:rPr>
                                        <w:rFonts w:asciiTheme="minorHAnsi" w:hAnsiTheme="minorHAnsi"/>
                                        <w:color w:val="FFFFFF" w:themeColor="background1"/>
                                        <w:szCs w:val="40"/>
                                        <w:lang w:val="hy-AM"/>
                                      </w:rPr>
                                    </w:pPr>
                                    <w:bookmarkStart w:id="2" w:name="_Toc209625730"/>
                                    <w:r w:rsidRPr="00A3353C">
                                      <w:rPr>
                                        <w:rFonts w:asciiTheme="minorHAnsi" w:hAnsiTheme="minorHAnsi"/>
                                        <w:color w:val="FFFFFF" w:themeColor="background1"/>
                                        <w:szCs w:val="40"/>
                                        <w:lang w:val="hy-AM"/>
                                      </w:rPr>
                                      <w:t>ՄԱՍ I: ՍՈՑԻԱԼ-ՏՆՏԵՍԱԿԱՆ ԶԱՐԳԱՑՄԱՆ ԵՎ ՀԱՐԿԱԲՅՈՒՋԵՏԱՅԻՆ ՔԱՂԱՔԱԿԱՆՈՒԹՅԱՆ</w:t>
                                    </w:r>
                                    <w:bookmarkEnd w:id="2"/>
                                    <w:r w:rsidRPr="00A3353C">
                                      <w:rPr>
                                        <w:rFonts w:asciiTheme="minorHAnsi" w:hAnsiTheme="minorHAnsi"/>
                                        <w:color w:val="FFFFFF" w:themeColor="background1"/>
                                        <w:szCs w:val="40"/>
                                        <w:lang w:val="hy-AM"/>
                                      </w:rPr>
                                      <w:t xml:space="preserve"> </w:t>
                                    </w:r>
                                  </w:p>
                                  <w:p w14:paraId="44BB4AF6" w14:textId="77777777" w:rsidR="00147C8B" w:rsidRPr="00682390" w:rsidRDefault="00147C8B" w:rsidP="00FD0C29">
                                    <w:pPr>
                                      <w:rPr>
                                        <w:b/>
                                        <w:color w:val="FFFFFF" w:themeColor="background1"/>
                                        <w:sz w:val="30"/>
                                        <w:szCs w:val="30"/>
                                        <w:lang w:val="hy-AM"/>
                                      </w:rPr>
                                    </w:pPr>
                                    <w:r w:rsidRPr="00A3353C">
                                      <w:rPr>
                                        <w:sz w:val="44"/>
                                        <w:szCs w:val="44"/>
                                        <w:lang w:val="hy-AM"/>
                                      </w:rPr>
                                      <w:t>ՀԻՄՆԱԿԱՆ ՈՒՂՂՈՒԹՅՈՒՆՆԵՐԻ ՄԱՍԻՆ</w:t>
                                    </w:r>
                                    <w:r w:rsidRPr="00682390">
                                      <w:rPr>
                                        <w:b/>
                                        <w:color w:val="FFFFFF" w:themeColor="background1"/>
                                        <w:sz w:val="30"/>
                                        <w:szCs w:val="30"/>
                                        <w:lang w:val="hy-AM"/>
                                      </w:rPr>
                                      <w:t>Yerevan 2024</w:t>
                                    </w:r>
                                  </w:p>
                                  <w:p w14:paraId="60379442" w14:textId="77777777" w:rsidR="00147C8B" w:rsidRPr="00682390" w:rsidRDefault="00147C8B">
                                    <w:pPr>
                                      <w:rPr>
                                        <w:lang w:val="hy-AM"/>
                                      </w:rPr>
                                    </w:pPr>
                                  </w:p>
                                  <w:p w14:paraId="4F3FA076" w14:textId="09246F1A" w:rsidR="00147C8B" w:rsidRPr="00A3353C" w:rsidRDefault="00147C8B" w:rsidP="00A3353C">
                                    <w:pPr>
                                      <w:pStyle w:val="TOC1"/>
                                      <w:rPr>
                                        <w:rFonts w:asciiTheme="minorHAnsi" w:hAnsiTheme="minorHAnsi"/>
                                        <w:color w:val="FFFFFF" w:themeColor="background1"/>
                                        <w:szCs w:val="40"/>
                                        <w:lang w:val="hy-AM"/>
                                      </w:rPr>
                                    </w:pPr>
                                    <w:bookmarkStart w:id="3" w:name="_Toc209625731"/>
                                    <w:r w:rsidRPr="00A3353C">
                                      <w:rPr>
                                        <w:rFonts w:asciiTheme="minorHAnsi" w:hAnsiTheme="minorHAnsi"/>
                                        <w:color w:val="FFFFFF" w:themeColor="background1"/>
                                        <w:szCs w:val="40"/>
                                        <w:lang w:val="hy-AM"/>
                                      </w:rPr>
                                      <w:t>ՄԱՍ I: ՍՈՑԻԱԼ-ՏՆՏԵՍԱԿԱՆ ԶԱՐԳԱՑՄԱՆ ԵՎ ՀԱՐԿԱԲՅՈՒՋԵՏԱՅԻՆ ՔԱՂԱՔԱԿԱՆՈՒԹՅԱՆ</w:t>
                                    </w:r>
                                    <w:bookmarkEnd w:id="3"/>
                                    <w:r w:rsidRPr="00A3353C">
                                      <w:rPr>
                                        <w:rFonts w:asciiTheme="minorHAnsi" w:hAnsiTheme="minorHAnsi"/>
                                        <w:color w:val="FFFFFF" w:themeColor="background1"/>
                                        <w:szCs w:val="40"/>
                                        <w:lang w:val="hy-AM"/>
                                      </w:rPr>
                                      <w:t xml:space="preserve"> </w:t>
                                    </w:r>
                                  </w:p>
                                  <w:p w14:paraId="56FBABB4" w14:textId="77777777" w:rsidR="00147C8B" w:rsidRPr="00682390" w:rsidRDefault="00147C8B" w:rsidP="00FD0C29">
                                    <w:pPr>
                                      <w:rPr>
                                        <w:b/>
                                        <w:color w:val="FFFFFF" w:themeColor="background1"/>
                                        <w:sz w:val="30"/>
                                        <w:szCs w:val="30"/>
                                        <w:lang w:val="hy-AM"/>
                                      </w:rPr>
                                    </w:pPr>
                                    <w:r w:rsidRPr="00A3353C">
                                      <w:rPr>
                                        <w:sz w:val="44"/>
                                        <w:szCs w:val="44"/>
                                        <w:lang w:val="hy-AM"/>
                                      </w:rPr>
                                      <w:t>ՀԻՄՆԱԿԱՆ ՈՒՂՂՈՒԹՅՈՒՆՆԵՐԻ ՄԱՍԻՆ</w:t>
                                    </w:r>
                                    <w:r w:rsidRPr="00682390">
                                      <w:rPr>
                                        <w:b/>
                                        <w:color w:val="FFFFFF" w:themeColor="background1"/>
                                        <w:sz w:val="30"/>
                                        <w:szCs w:val="30"/>
                                        <w:lang w:val="hy-AM"/>
                                      </w:rPr>
                                      <w:t>Yerevan 2024</w:t>
                                    </w:r>
                                  </w:p>
                                  <w:p w14:paraId="0FF6F442" w14:textId="77777777" w:rsidR="00147C8B" w:rsidRPr="00682390" w:rsidRDefault="00147C8B">
                                    <w:pPr>
                                      <w:rPr>
                                        <w:lang w:val="hy-AM"/>
                                      </w:rPr>
                                    </w:pPr>
                                  </w:p>
                                  <w:p w14:paraId="10052F9E" w14:textId="3CB4AA3F" w:rsidR="00147C8B" w:rsidRPr="00A3353C" w:rsidRDefault="00147C8B" w:rsidP="00A3353C">
                                    <w:pPr>
                                      <w:pStyle w:val="TOC1"/>
                                      <w:rPr>
                                        <w:rFonts w:asciiTheme="minorHAnsi" w:hAnsiTheme="minorHAnsi"/>
                                        <w:color w:val="FFFFFF" w:themeColor="background1"/>
                                        <w:szCs w:val="40"/>
                                        <w:lang w:val="hy-AM"/>
                                      </w:rPr>
                                    </w:pPr>
                                    <w:bookmarkStart w:id="4" w:name="_Toc209625732"/>
                                    <w:r w:rsidRPr="00A3353C">
                                      <w:rPr>
                                        <w:rFonts w:asciiTheme="minorHAnsi" w:hAnsiTheme="minorHAnsi"/>
                                        <w:color w:val="FFFFFF" w:themeColor="background1"/>
                                        <w:szCs w:val="40"/>
                                        <w:lang w:val="hy-AM"/>
                                      </w:rPr>
                                      <w:t>ՄԱՍ I: ՍՈՑԻԱԼ-ՏՆՏԵՍԱԿԱՆ ԶԱՐԳԱՑՄԱՆ ԵՎ ՀԱՐԿԱԲՅՈՒՋԵՏԱՅԻՆ ՔԱՂԱՔԱԿԱՆՈՒԹՅԱՆ</w:t>
                                    </w:r>
                                    <w:bookmarkEnd w:id="4"/>
                                    <w:r w:rsidRPr="00A3353C">
                                      <w:rPr>
                                        <w:rFonts w:asciiTheme="minorHAnsi" w:hAnsiTheme="minorHAnsi"/>
                                        <w:color w:val="FFFFFF" w:themeColor="background1"/>
                                        <w:szCs w:val="40"/>
                                        <w:lang w:val="hy-AM"/>
                                      </w:rPr>
                                      <w:t xml:space="preserve"> </w:t>
                                    </w:r>
                                  </w:p>
                                  <w:p w14:paraId="3200773F" w14:textId="77777777" w:rsidR="00147C8B" w:rsidRPr="00454DBB" w:rsidRDefault="00147C8B" w:rsidP="00FD0C29">
                                    <w:pPr>
                                      <w:rPr>
                                        <w:b/>
                                        <w:color w:val="FFFFFF" w:themeColor="background1"/>
                                        <w:sz w:val="30"/>
                                        <w:szCs w:val="30"/>
                                        <w:lang w:val="hy-AM"/>
                                      </w:rPr>
                                    </w:pPr>
                                    <w:r w:rsidRPr="00A3353C">
                                      <w:rPr>
                                        <w:sz w:val="44"/>
                                        <w:szCs w:val="44"/>
                                        <w:lang w:val="hy-AM"/>
                                      </w:rPr>
                                      <w:t>ՀԻՄՆԱԿԱՆ ՈՒՂՂՈՒԹՅՈՒՆՆԵՐԻ ՄԱՍԻՆ</w:t>
                                    </w:r>
                                    <w:r w:rsidRPr="00454DBB">
                                      <w:rPr>
                                        <w:b/>
                                        <w:color w:val="FFFFFF" w:themeColor="background1"/>
                                        <w:sz w:val="30"/>
                                        <w:szCs w:val="30"/>
                                        <w:lang w:val="hy-AM"/>
                                      </w:rPr>
                                      <w:t>Yerevan 2024</w:t>
                                    </w:r>
                                  </w:p>
                                  <w:p w14:paraId="56EB843A" w14:textId="77777777" w:rsidR="00147C8B" w:rsidRPr="00454DBB" w:rsidRDefault="00147C8B">
                                    <w:pPr>
                                      <w:rPr>
                                        <w:lang w:val="hy-AM"/>
                                      </w:rPr>
                                    </w:pPr>
                                  </w:p>
                                  <w:p w14:paraId="243C84D5" w14:textId="77777777" w:rsidR="00147C8B" w:rsidRPr="00454DBB" w:rsidRDefault="00147C8B" w:rsidP="00FD0C29">
                                    <w:pPr>
                                      <w:rPr>
                                        <w:b/>
                                        <w:color w:val="FFFFFF" w:themeColor="background1"/>
                                        <w:sz w:val="30"/>
                                        <w:szCs w:val="30"/>
                                        <w:lang w:val="hy-AM"/>
                                      </w:rPr>
                                    </w:pPr>
                                    <w:r w:rsidRPr="003A4CA5">
                                      <w:rPr>
                                        <w:color w:val="FFFFFF" w:themeColor="background1"/>
                                        <w:sz w:val="40"/>
                                        <w:szCs w:val="40"/>
                                        <w:lang w:val="hy-AM"/>
                                      </w:rPr>
                                      <w:t>ՄԱՍ I: ՍՈՑԻԱԼ-ՏՆՏԵՍԱԿԱՆ ԶԱՐԳԱՑՄԱՆ, ՄԱԿՐՈՏՆՏԵՍԱԿԱՆ ԶԱՐԳԱՑՄԱՆ ԵՎ ՀԱՐԿԱԲՅՈՒՋԵՏԱՅԻՆ ՔԱՂԱՔԱԿԱՆՈՒԹՅԱՆ</w:t>
                                    </w:r>
                                    <w:r>
                                      <w:rPr>
                                        <w:color w:val="FFFFFF" w:themeColor="background1"/>
                                        <w:sz w:val="40"/>
                                        <w:szCs w:val="40"/>
                                        <w:lang w:val="hy-AM"/>
                                      </w:rPr>
                                      <w:t xml:space="preserve"> </w:t>
                                    </w:r>
                                    <w:r w:rsidRPr="003A4CA5">
                                      <w:rPr>
                                        <w:color w:val="auto"/>
                                        <w:sz w:val="40"/>
                                        <w:szCs w:val="40"/>
                                        <w:lang w:val="hy-AM"/>
                                      </w:rPr>
                                      <w:t>ՀԻՄՆԱԿԱՆ ՈՒՂՂՈՒԹՅՈՒՆՆԵՐԻ ՄԱՍԻՆ</w:t>
                                    </w:r>
                                    <w:r w:rsidRPr="00454DBB">
                                      <w:rPr>
                                        <w:b/>
                                        <w:color w:val="FFFFFF" w:themeColor="background1"/>
                                        <w:sz w:val="30"/>
                                        <w:szCs w:val="30"/>
                                        <w:lang w:val="hy-AM"/>
                                      </w:rPr>
                                      <w:t>Yerevan 2024</w:t>
                                    </w:r>
                                  </w:p>
                                  <w:p w14:paraId="40C0981A" w14:textId="77777777" w:rsidR="00147C8B" w:rsidRPr="00454DBB" w:rsidRDefault="00147C8B">
                                    <w:pPr>
                                      <w:rPr>
                                        <w:lang w:val="hy-AM"/>
                                      </w:rPr>
                                    </w:pPr>
                                  </w:p>
                                  <w:p w14:paraId="3797E42E" w14:textId="2033D324" w:rsidR="00147C8B" w:rsidRPr="00A3353C" w:rsidRDefault="00147C8B" w:rsidP="00A3353C">
                                    <w:pPr>
                                      <w:pStyle w:val="TOC1"/>
                                      <w:rPr>
                                        <w:rFonts w:asciiTheme="minorHAnsi" w:hAnsiTheme="minorHAnsi"/>
                                        <w:color w:val="FFFFFF" w:themeColor="background1"/>
                                        <w:szCs w:val="40"/>
                                        <w:lang w:val="hy-AM"/>
                                      </w:rPr>
                                    </w:pPr>
                                    <w:bookmarkStart w:id="5" w:name="_Toc209625733"/>
                                    <w:r w:rsidRPr="00A3353C">
                                      <w:rPr>
                                        <w:rFonts w:asciiTheme="minorHAnsi" w:hAnsiTheme="minorHAnsi"/>
                                        <w:color w:val="FFFFFF" w:themeColor="background1"/>
                                        <w:szCs w:val="40"/>
                                        <w:lang w:val="hy-AM"/>
                                      </w:rPr>
                                      <w:t>ՄԱՍ I: ՍՈՑԻԱԼ-ՏՆՏԵՍԱԿԱՆ ԶԱՐԳԱՑՄԱՆ ԵՎ ՀԱՐԿԱԲՅՈՒՋԵՏԱՅԻՆ ՔԱՂԱՔԱԿԱՆՈՒԹՅԱՆ</w:t>
                                    </w:r>
                                    <w:bookmarkEnd w:id="5"/>
                                    <w:r w:rsidRPr="00A3353C">
                                      <w:rPr>
                                        <w:rFonts w:asciiTheme="minorHAnsi" w:hAnsiTheme="minorHAnsi"/>
                                        <w:color w:val="FFFFFF" w:themeColor="background1"/>
                                        <w:szCs w:val="40"/>
                                        <w:lang w:val="hy-AM"/>
                                      </w:rPr>
                                      <w:t xml:space="preserve"> </w:t>
                                    </w:r>
                                  </w:p>
                                  <w:p w14:paraId="59197E2B" w14:textId="77777777" w:rsidR="00147C8B" w:rsidRPr="00682390" w:rsidRDefault="00147C8B" w:rsidP="00FD0C29">
                                    <w:pPr>
                                      <w:rPr>
                                        <w:b/>
                                        <w:color w:val="FFFFFF" w:themeColor="background1"/>
                                        <w:sz w:val="30"/>
                                        <w:szCs w:val="30"/>
                                        <w:lang w:val="hy-AM"/>
                                      </w:rPr>
                                    </w:pPr>
                                    <w:r w:rsidRPr="00A3353C">
                                      <w:rPr>
                                        <w:sz w:val="44"/>
                                        <w:szCs w:val="44"/>
                                        <w:lang w:val="hy-AM"/>
                                      </w:rPr>
                                      <w:t>ՀԻՄՆԱԿԱՆ ՈՒՂՂՈՒԹՅՈՒՆՆԵՐԻ ՄԱՍԻՆ</w:t>
                                    </w:r>
                                    <w:r w:rsidRPr="00682390">
                                      <w:rPr>
                                        <w:b/>
                                        <w:color w:val="FFFFFF" w:themeColor="background1"/>
                                        <w:sz w:val="30"/>
                                        <w:szCs w:val="30"/>
                                        <w:lang w:val="hy-AM"/>
                                      </w:rPr>
                                      <w:t>Yerevan 2024</w:t>
                                    </w:r>
                                  </w:p>
                                  <w:p w14:paraId="420A2012" w14:textId="77777777" w:rsidR="00147C8B" w:rsidRPr="00682390" w:rsidRDefault="00147C8B">
                                    <w:pPr>
                                      <w:rPr>
                                        <w:lang w:val="hy-AM"/>
                                      </w:rPr>
                                    </w:pPr>
                                  </w:p>
                                  <w:p w14:paraId="197D3453" w14:textId="6488D07E" w:rsidR="00147C8B" w:rsidRPr="00A3353C" w:rsidRDefault="00147C8B" w:rsidP="00A3353C">
                                    <w:pPr>
                                      <w:pStyle w:val="TOC1"/>
                                      <w:rPr>
                                        <w:rFonts w:asciiTheme="minorHAnsi" w:hAnsiTheme="minorHAnsi"/>
                                        <w:color w:val="FFFFFF" w:themeColor="background1"/>
                                        <w:szCs w:val="40"/>
                                        <w:lang w:val="hy-AM"/>
                                      </w:rPr>
                                    </w:pPr>
                                    <w:bookmarkStart w:id="6" w:name="_Toc209625734"/>
                                    <w:r w:rsidRPr="00A3353C">
                                      <w:rPr>
                                        <w:rFonts w:asciiTheme="minorHAnsi" w:hAnsiTheme="minorHAnsi"/>
                                        <w:color w:val="FFFFFF" w:themeColor="background1"/>
                                        <w:szCs w:val="40"/>
                                        <w:lang w:val="hy-AM"/>
                                      </w:rPr>
                                      <w:t>ՄԱՍ I: ՍՈՑԻԱԼ-ՏՆՏԵՍԱԿԱՆ ԶԱՐԳԱՑՄԱՆ ԵՎ ՀԱՐԿԱԲՅՈՒՋԵՏԱՅԻՆ ՔԱՂԱՔԱԿԱՆՈՒԹՅԱՆ</w:t>
                                    </w:r>
                                    <w:bookmarkEnd w:id="6"/>
                                    <w:r w:rsidRPr="00A3353C">
                                      <w:rPr>
                                        <w:rFonts w:asciiTheme="minorHAnsi" w:hAnsiTheme="minorHAnsi"/>
                                        <w:color w:val="FFFFFF" w:themeColor="background1"/>
                                        <w:szCs w:val="40"/>
                                        <w:lang w:val="hy-AM"/>
                                      </w:rPr>
                                      <w:t xml:space="preserve"> </w:t>
                                    </w:r>
                                  </w:p>
                                  <w:p w14:paraId="734D0933" w14:textId="77777777" w:rsidR="00147C8B" w:rsidRPr="00682390" w:rsidRDefault="00147C8B" w:rsidP="00FD0C29">
                                    <w:pPr>
                                      <w:rPr>
                                        <w:b/>
                                        <w:color w:val="FFFFFF" w:themeColor="background1"/>
                                        <w:sz w:val="30"/>
                                        <w:szCs w:val="30"/>
                                        <w:lang w:val="hy-AM"/>
                                      </w:rPr>
                                    </w:pPr>
                                    <w:r w:rsidRPr="00A3353C">
                                      <w:rPr>
                                        <w:sz w:val="44"/>
                                        <w:szCs w:val="44"/>
                                        <w:lang w:val="hy-AM"/>
                                      </w:rPr>
                                      <w:t>ՀԻՄՆԱԿԱՆ ՈՒՂՂՈՒԹՅՈՒՆՆԵՐԻ ՄԱՍԻՆ</w:t>
                                    </w:r>
                                    <w:r w:rsidRPr="00682390">
                                      <w:rPr>
                                        <w:b/>
                                        <w:color w:val="FFFFFF" w:themeColor="background1"/>
                                        <w:sz w:val="30"/>
                                        <w:szCs w:val="30"/>
                                        <w:lang w:val="hy-AM"/>
                                      </w:rPr>
                                      <w:t>Yerevan 2024</w:t>
                                    </w:r>
                                  </w:p>
                                  <w:p w14:paraId="6D66DA71" w14:textId="77777777" w:rsidR="00147C8B" w:rsidRPr="00682390" w:rsidRDefault="00147C8B">
                                    <w:pPr>
                                      <w:rPr>
                                        <w:lang w:val="hy-AM"/>
                                      </w:rPr>
                                    </w:pPr>
                                  </w:p>
                                  <w:p w14:paraId="1DD71711" w14:textId="63BD7D07" w:rsidR="00147C8B" w:rsidRPr="00A3353C" w:rsidRDefault="00147C8B" w:rsidP="00A3353C">
                                    <w:pPr>
                                      <w:pStyle w:val="TOC1"/>
                                      <w:rPr>
                                        <w:rFonts w:asciiTheme="minorHAnsi" w:hAnsiTheme="minorHAnsi"/>
                                        <w:color w:val="FFFFFF" w:themeColor="background1"/>
                                        <w:szCs w:val="40"/>
                                        <w:lang w:val="hy-AM"/>
                                      </w:rPr>
                                    </w:pPr>
                                    <w:bookmarkStart w:id="7" w:name="_Toc209625735"/>
                                    <w:r w:rsidRPr="00A3353C">
                                      <w:rPr>
                                        <w:rFonts w:asciiTheme="minorHAnsi" w:hAnsiTheme="minorHAnsi"/>
                                        <w:color w:val="FFFFFF" w:themeColor="background1"/>
                                        <w:szCs w:val="40"/>
                                        <w:lang w:val="hy-AM"/>
                                      </w:rPr>
                                      <w:t>ՄԱՍ I: ՍՈՑԻԱԼ-ՏՆՏԵՍԱԿԱՆ ԶԱՐԳԱՑՄԱՆ ԵՎ ՀԱՐԿԱԲՅՈՒՋԵՏԱՅԻՆ ՔԱՂԱՔԱԿԱՆՈՒԹՅԱՆ</w:t>
                                    </w:r>
                                    <w:bookmarkEnd w:id="7"/>
                                    <w:r w:rsidRPr="00A3353C">
                                      <w:rPr>
                                        <w:rFonts w:asciiTheme="minorHAnsi" w:hAnsiTheme="minorHAnsi"/>
                                        <w:color w:val="FFFFFF" w:themeColor="background1"/>
                                        <w:szCs w:val="40"/>
                                        <w:lang w:val="hy-AM"/>
                                      </w:rPr>
                                      <w:t xml:space="preserve"> </w:t>
                                    </w:r>
                                  </w:p>
                                  <w:p w14:paraId="5F9C9DF2" w14:textId="77777777" w:rsidR="00147C8B" w:rsidRPr="003A5AE3" w:rsidRDefault="00147C8B" w:rsidP="00FD0C29">
                                    <w:pPr>
                                      <w:rPr>
                                        <w:b/>
                                        <w:color w:val="FFFFFF" w:themeColor="background1"/>
                                        <w:sz w:val="30"/>
                                        <w:szCs w:val="30"/>
                                        <w:lang w:val="hy-AM"/>
                                      </w:rPr>
                                    </w:pPr>
                                    <w:r w:rsidRPr="00A3353C">
                                      <w:rPr>
                                        <w:sz w:val="44"/>
                                        <w:szCs w:val="44"/>
                                        <w:lang w:val="hy-AM"/>
                                      </w:rPr>
                                      <w:t>ՀԻՄՆԱԿԱՆ ՈՒՂՂՈՒԹՅՈՒՆՆԵՐԻ ՄԱՍԻՆ</w:t>
                                    </w:r>
                                    <w:r w:rsidRPr="003A5AE3">
                                      <w:rPr>
                                        <w:b/>
                                        <w:color w:val="FFFFFF" w:themeColor="background1"/>
                                        <w:sz w:val="30"/>
                                        <w:szCs w:val="30"/>
                                        <w:lang w:val="hy-AM"/>
                                      </w:rPr>
                                      <w:t>Yerevan 2024</w:t>
                                    </w:r>
                                  </w:p>
                                  <w:p w14:paraId="166444A7" w14:textId="77777777" w:rsidR="00147C8B" w:rsidRPr="003A5AE3" w:rsidRDefault="00147C8B">
                                    <w:pPr>
                                      <w:rPr>
                                        <w:lang w:val="hy-AM"/>
                                      </w:rPr>
                                    </w:pPr>
                                  </w:p>
                                  <w:p w14:paraId="66A72D27" w14:textId="053076C9" w:rsidR="00147C8B" w:rsidRPr="003A5AE3" w:rsidRDefault="00147C8B" w:rsidP="00FD0C29">
                                    <w:pPr>
                                      <w:rPr>
                                        <w:b/>
                                        <w:color w:val="FFFFFF" w:themeColor="background1"/>
                                        <w:sz w:val="30"/>
                                        <w:szCs w:val="30"/>
                                        <w:lang w:val="hy-AM"/>
                                      </w:rPr>
                                    </w:pPr>
                                    <w:r w:rsidRPr="003A4CA5">
                                      <w:rPr>
                                        <w:color w:val="FFFFFF" w:themeColor="background1"/>
                                        <w:sz w:val="40"/>
                                        <w:szCs w:val="40"/>
                                        <w:lang w:val="hy-AM"/>
                                      </w:rPr>
                                      <w:t>ՄԱՍ I: ՍՈՑԻԱԼ-ՏՆՏԵՍԱԿԱՆ ԶԱՐԳԱՑՄԱՆ, ՄԱԿՐՈՏՆՏԵՍԱԿԱՆ ԶԱՐԳԱՑՄԱՆ ԵՎ ՀԱՐԿԱԲՅՈՒՋԵՏԱՅԻՆ ՔԱՂԱՔԱԿԱՆՈՒԹՅԱՆ</w:t>
                                    </w:r>
                                    <w:r>
                                      <w:rPr>
                                        <w:color w:val="FFFFFF" w:themeColor="background1"/>
                                        <w:sz w:val="40"/>
                                        <w:szCs w:val="40"/>
                                        <w:lang w:val="hy-AM"/>
                                      </w:rPr>
                                      <w:t xml:space="preserve"> </w:t>
                                    </w:r>
                                    <w:r w:rsidRPr="003A4CA5">
                                      <w:rPr>
                                        <w:color w:val="auto"/>
                                        <w:sz w:val="40"/>
                                        <w:szCs w:val="40"/>
                                        <w:lang w:val="hy-AM"/>
                                      </w:rPr>
                                      <w:t>ՀԻՄՆԱԿԱՆ ՈՒՂՂՈՒԹՅՈՒՆՆԵՐԻ ՄԱՍԻՆ</w:t>
                                    </w:r>
                                    <w:r w:rsidRPr="003A5AE3">
                                      <w:rPr>
                                        <w:b/>
                                        <w:color w:val="FFFFFF" w:themeColor="background1"/>
                                        <w:sz w:val="30"/>
                                        <w:szCs w:val="30"/>
                                        <w:lang w:val="hy-AM"/>
                                      </w:rPr>
                                      <w:t>Yerevan 2024</w:t>
                                    </w:r>
                                  </w:p>
                                  <w:p w14:paraId="367C15B9" w14:textId="77777777" w:rsidR="00147C8B" w:rsidRPr="003A5AE3" w:rsidRDefault="00147C8B">
                                    <w:pPr>
                                      <w:rPr>
                                        <w:lang w:val="hy-AM"/>
                                      </w:rPr>
                                    </w:pPr>
                                  </w:p>
                                  <w:p w14:paraId="515A2AE7" w14:textId="51C620A9" w:rsidR="00147C8B" w:rsidRPr="00A3353C" w:rsidRDefault="00147C8B" w:rsidP="00A3353C">
                                    <w:pPr>
                                      <w:pStyle w:val="TOC1"/>
                                      <w:rPr>
                                        <w:rFonts w:asciiTheme="minorHAnsi" w:hAnsiTheme="minorHAnsi"/>
                                        <w:color w:val="FFFFFF" w:themeColor="background1"/>
                                        <w:szCs w:val="40"/>
                                        <w:lang w:val="hy-AM"/>
                                      </w:rPr>
                                    </w:pPr>
                                    <w:bookmarkStart w:id="8" w:name="_Toc183785462"/>
                                    <w:bookmarkStart w:id="9" w:name="_Toc183787208"/>
                                    <w:bookmarkStart w:id="10" w:name="_Toc183801038"/>
                                    <w:bookmarkStart w:id="11" w:name="_Toc209625736"/>
                                    <w:r w:rsidRPr="00A3353C">
                                      <w:rPr>
                                        <w:rFonts w:asciiTheme="minorHAnsi" w:hAnsiTheme="minorHAnsi"/>
                                        <w:color w:val="FFFFFF" w:themeColor="background1"/>
                                        <w:szCs w:val="40"/>
                                        <w:lang w:val="hy-AM"/>
                                      </w:rPr>
                                      <w:t>ՄԱՍ I: ՍՈՑԻԱԼ-ՏՆՏԵՍԱԿԱՆ ԶԱՐԳԱՑՄԱՆ ԵՎ ՀԱՐԿԱԲՅՈՒՋԵՏԱՅԻՆ ՔԱՂԱՔԱԿԱՆՈՒԹՅԱՆ</w:t>
                                    </w:r>
                                    <w:bookmarkEnd w:id="8"/>
                                    <w:bookmarkEnd w:id="9"/>
                                    <w:bookmarkEnd w:id="10"/>
                                    <w:bookmarkEnd w:id="11"/>
                                    <w:r w:rsidRPr="00A3353C">
                                      <w:rPr>
                                        <w:rFonts w:asciiTheme="minorHAnsi" w:hAnsiTheme="minorHAnsi"/>
                                        <w:color w:val="FFFFFF" w:themeColor="background1"/>
                                        <w:szCs w:val="40"/>
                                        <w:lang w:val="hy-AM"/>
                                      </w:rPr>
                                      <w:t xml:space="preserve"> </w:t>
                                    </w:r>
                                  </w:p>
                                  <w:p w14:paraId="0B2CD1D0" w14:textId="77777777" w:rsidR="00147C8B" w:rsidRPr="00682390" w:rsidRDefault="00147C8B" w:rsidP="00FD0C29">
                                    <w:pPr>
                                      <w:rPr>
                                        <w:b/>
                                        <w:color w:val="FFFFFF" w:themeColor="background1"/>
                                        <w:sz w:val="30"/>
                                        <w:szCs w:val="30"/>
                                        <w:lang w:val="hy-AM"/>
                                      </w:rPr>
                                    </w:pPr>
                                    <w:r w:rsidRPr="00A3353C">
                                      <w:rPr>
                                        <w:sz w:val="44"/>
                                        <w:szCs w:val="44"/>
                                        <w:lang w:val="hy-AM"/>
                                      </w:rPr>
                                      <w:t>ՀԻՄՆԱԿԱՆ ՈՒՂՂՈՒԹՅՈՒՆՆԵՐԻ ՄԱՍԻՆ</w:t>
                                    </w:r>
                                    <w:r w:rsidRPr="00682390">
                                      <w:rPr>
                                        <w:b/>
                                        <w:color w:val="FFFFFF" w:themeColor="background1"/>
                                        <w:sz w:val="30"/>
                                        <w:szCs w:val="30"/>
                                        <w:lang w:val="hy-AM"/>
                                      </w:rPr>
                                      <w:t>Yerevan 2024</w:t>
                                    </w:r>
                                  </w:p>
                                  <w:p w14:paraId="5179CFA2" w14:textId="77777777" w:rsidR="00147C8B" w:rsidRPr="00682390" w:rsidRDefault="00147C8B">
                                    <w:pPr>
                                      <w:rPr>
                                        <w:lang w:val="hy-AM"/>
                                      </w:rPr>
                                    </w:pPr>
                                  </w:p>
                                  <w:p w14:paraId="491F6719" w14:textId="36E07250" w:rsidR="00147C8B" w:rsidRPr="00A3353C" w:rsidRDefault="00147C8B" w:rsidP="00A3353C">
                                    <w:pPr>
                                      <w:pStyle w:val="TOC1"/>
                                      <w:rPr>
                                        <w:rFonts w:asciiTheme="minorHAnsi" w:hAnsiTheme="minorHAnsi"/>
                                        <w:color w:val="FFFFFF" w:themeColor="background1"/>
                                        <w:szCs w:val="40"/>
                                        <w:lang w:val="hy-AM"/>
                                      </w:rPr>
                                    </w:pPr>
                                    <w:bookmarkStart w:id="12" w:name="_Toc183785463"/>
                                    <w:bookmarkStart w:id="13" w:name="_Toc183787209"/>
                                    <w:bookmarkStart w:id="14" w:name="_Toc183801039"/>
                                    <w:bookmarkStart w:id="15" w:name="_Toc209625737"/>
                                    <w:r w:rsidRPr="00A3353C">
                                      <w:rPr>
                                        <w:rFonts w:asciiTheme="minorHAnsi" w:hAnsiTheme="minorHAnsi"/>
                                        <w:color w:val="FFFFFF" w:themeColor="background1"/>
                                        <w:szCs w:val="40"/>
                                        <w:lang w:val="hy-AM"/>
                                      </w:rPr>
                                      <w:t>ՄԱՍ I: ՍՈՑԻԱԼ-ՏՆՏԵՍԱԿԱՆ ԶԱՐԳԱՑՄԱՆ ԵՎ ՀԱՐԿԱԲՅՈՒՋԵՏԱՅԻՆ ՔԱՂԱՔԱԿԱՆՈՒԹՅԱՆ</w:t>
                                    </w:r>
                                    <w:bookmarkEnd w:id="12"/>
                                    <w:bookmarkEnd w:id="13"/>
                                    <w:bookmarkEnd w:id="14"/>
                                    <w:bookmarkEnd w:id="15"/>
                                    <w:r w:rsidRPr="00A3353C">
                                      <w:rPr>
                                        <w:rFonts w:asciiTheme="minorHAnsi" w:hAnsiTheme="minorHAnsi"/>
                                        <w:color w:val="FFFFFF" w:themeColor="background1"/>
                                        <w:szCs w:val="40"/>
                                        <w:lang w:val="hy-AM"/>
                                      </w:rPr>
                                      <w:t xml:space="preserve"> </w:t>
                                    </w:r>
                                  </w:p>
                                  <w:p w14:paraId="54C2FD7A" w14:textId="77777777" w:rsidR="00147C8B" w:rsidRPr="00682390" w:rsidRDefault="00147C8B" w:rsidP="00FD0C29">
                                    <w:pPr>
                                      <w:rPr>
                                        <w:b/>
                                        <w:color w:val="FFFFFF" w:themeColor="background1"/>
                                        <w:sz w:val="30"/>
                                        <w:szCs w:val="30"/>
                                        <w:lang w:val="hy-AM"/>
                                      </w:rPr>
                                    </w:pPr>
                                    <w:r w:rsidRPr="00A3353C">
                                      <w:rPr>
                                        <w:sz w:val="44"/>
                                        <w:szCs w:val="44"/>
                                        <w:lang w:val="hy-AM"/>
                                      </w:rPr>
                                      <w:t>ՀԻՄՆԱԿԱՆ ՈՒՂՂՈՒԹՅՈՒՆՆԵՐԻ ՄԱՍԻՆ</w:t>
                                    </w:r>
                                    <w:r w:rsidRPr="00682390">
                                      <w:rPr>
                                        <w:b/>
                                        <w:color w:val="FFFFFF" w:themeColor="background1"/>
                                        <w:sz w:val="30"/>
                                        <w:szCs w:val="30"/>
                                        <w:lang w:val="hy-AM"/>
                                      </w:rPr>
                                      <w:t>Yerevan 2024</w:t>
                                    </w:r>
                                  </w:p>
                                  <w:p w14:paraId="57831187" w14:textId="77777777" w:rsidR="00147C8B" w:rsidRPr="00682390" w:rsidRDefault="00147C8B">
                                    <w:pPr>
                                      <w:rPr>
                                        <w:lang w:val="hy-AM"/>
                                      </w:rPr>
                                    </w:pPr>
                                  </w:p>
                                  <w:p w14:paraId="5A444A93" w14:textId="6A5736E0" w:rsidR="00147C8B" w:rsidRPr="00A3353C" w:rsidRDefault="00147C8B" w:rsidP="00A3353C">
                                    <w:pPr>
                                      <w:pStyle w:val="TOC1"/>
                                      <w:rPr>
                                        <w:rFonts w:asciiTheme="minorHAnsi" w:hAnsiTheme="minorHAnsi"/>
                                        <w:color w:val="FFFFFF" w:themeColor="background1"/>
                                        <w:szCs w:val="40"/>
                                        <w:lang w:val="hy-AM"/>
                                      </w:rPr>
                                    </w:pPr>
                                    <w:bookmarkStart w:id="16" w:name="_Toc183785464"/>
                                    <w:bookmarkStart w:id="17" w:name="_Toc183787210"/>
                                    <w:bookmarkStart w:id="18" w:name="_Toc183801040"/>
                                    <w:bookmarkStart w:id="19" w:name="_Toc209625738"/>
                                    <w:r w:rsidRPr="00A3353C">
                                      <w:rPr>
                                        <w:rFonts w:asciiTheme="minorHAnsi" w:hAnsiTheme="minorHAnsi"/>
                                        <w:color w:val="FFFFFF" w:themeColor="background1"/>
                                        <w:szCs w:val="40"/>
                                        <w:lang w:val="hy-AM"/>
                                      </w:rPr>
                                      <w:t>ՄԱՍ I: ՍՈՑԻԱԼ-ՏՆՏԵՍԱԿԱՆ ԶԱՐԳԱՑՄԱՆ ԵՎ ՀԱՐԿԱԲՅՈՒՋԵՏԱՅԻՆ ՔԱՂԱՔԱԿԱՆՈՒԹՅԱՆ</w:t>
                                    </w:r>
                                    <w:bookmarkEnd w:id="16"/>
                                    <w:bookmarkEnd w:id="17"/>
                                    <w:bookmarkEnd w:id="18"/>
                                    <w:bookmarkEnd w:id="19"/>
                                    <w:r w:rsidRPr="00A3353C">
                                      <w:rPr>
                                        <w:rFonts w:asciiTheme="minorHAnsi" w:hAnsiTheme="minorHAnsi"/>
                                        <w:color w:val="FFFFFF" w:themeColor="background1"/>
                                        <w:szCs w:val="40"/>
                                        <w:lang w:val="hy-AM"/>
                                      </w:rPr>
                                      <w:t xml:space="preserve"> </w:t>
                                    </w:r>
                                  </w:p>
                                  <w:p w14:paraId="08EDBDC6" w14:textId="77777777" w:rsidR="00147C8B" w:rsidRPr="00454DBB" w:rsidRDefault="00147C8B" w:rsidP="00FD0C29">
                                    <w:pPr>
                                      <w:rPr>
                                        <w:b/>
                                        <w:color w:val="FFFFFF" w:themeColor="background1"/>
                                        <w:sz w:val="30"/>
                                        <w:szCs w:val="30"/>
                                        <w:lang w:val="hy-AM"/>
                                      </w:rPr>
                                    </w:pPr>
                                    <w:r w:rsidRPr="00A3353C">
                                      <w:rPr>
                                        <w:sz w:val="44"/>
                                        <w:szCs w:val="44"/>
                                        <w:lang w:val="hy-AM"/>
                                      </w:rPr>
                                      <w:t>ՀԻՄՆԱԿԱՆ ՈՒՂՂՈՒԹՅՈՒՆՆԵՐԻ ՄԱՍԻՆ</w:t>
                                    </w:r>
                                    <w:r w:rsidRPr="00454DBB">
                                      <w:rPr>
                                        <w:b/>
                                        <w:color w:val="FFFFFF" w:themeColor="background1"/>
                                        <w:sz w:val="30"/>
                                        <w:szCs w:val="30"/>
                                        <w:lang w:val="hy-AM"/>
                                      </w:rPr>
                                      <w:t>Yerevan 2024</w:t>
                                    </w:r>
                                  </w:p>
                                  <w:p w14:paraId="23961CA3" w14:textId="77777777" w:rsidR="00147C8B" w:rsidRPr="00454DBB" w:rsidRDefault="00147C8B">
                                    <w:pPr>
                                      <w:rPr>
                                        <w:lang w:val="hy-AM"/>
                                      </w:rPr>
                                    </w:pPr>
                                  </w:p>
                                  <w:p w14:paraId="70125375" w14:textId="053076C9" w:rsidR="00147C8B" w:rsidRPr="00454DBB" w:rsidRDefault="00147C8B" w:rsidP="00FD0C29">
                                    <w:pPr>
                                      <w:rPr>
                                        <w:b/>
                                        <w:color w:val="FFFFFF" w:themeColor="background1"/>
                                        <w:sz w:val="30"/>
                                        <w:szCs w:val="30"/>
                                        <w:lang w:val="hy-AM"/>
                                      </w:rPr>
                                    </w:pPr>
                                    <w:r w:rsidRPr="003A4CA5">
                                      <w:rPr>
                                        <w:color w:val="FFFFFF" w:themeColor="background1"/>
                                        <w:sz w:val="40"/>
                                        <w:szCs w:val="40"/>
                                        <w:lang w:val="hy-AM"/>
                                      </w:rPr>
                                      <w:t>ՄԱՍ I: ՍՈՑԻԱԼ-ՏՆՏԵՍԱԿԱՆ ԶԱՐԳԱՑՄԱՆ, ՄԱԿՐՈՏՆՏԵՍԱԿԱՆ ԶԱՐԳԱՑՄԱՆ ԵՎ ՀԱՐԿԱԲՅՈՒՋԵՏԱՅԻՆ ՔԱՂԱՔԱԿԱՆՈՒԹՅԱՆ</w:t>
                                    </w:r>
                                    <w:r>
                                      <w:rPr>
                                        <w:color w:val="FFFFFF" w:themeColor="background1"/>
                                        <w:sz w:val="40"/>
                                        <w:szCs w:val="40"/>
                                        <w:lang w:val="hy-AM"/>
                                      </w:rPr>
                                      <w:t xml:space="preserve"> </w:t>
                                    </w:r>
                                    <w:r w:rsidRPr="003A4CA5">
                                      <w:rPr>
                                        <w:color w:val="auto"/>
                                        <w:sz w:val="40"/>
                                        <w:szCs w:val="40"/>
                                        <w:lang w:val="hy-AM"/>
                                      </w:rPr>
                                      <w:t>ՀԻՄՆԱԿԱՆ ՈՒՂՂՈՒԹՅՈՒՆՆԵՐԻ ՄԱՍԻՆ</w:t>
                                    </w:r>
                                    <w:r w:rsidRPr="00454DBB">
                                      <w:rPr>
                                        <w:b/>
                                        <w:color w:val="FFFFFF" w:themeColor="background1"/>
                                        <w:sz w:val="30"/>
                                        <w:szCs w:val="30"/>
                                        <w:lang w:val="hy-AM"/>
                                      </w:rPr>
                                      <w:t>Yerevan 2024</w:t>
                                    </w:r>
                                  </w:p>
                                  <w:p w14:paraId="0A18B5A1" w14:textId="77777777" w:rsidR="00147C8B" w:rsidRPr="00454DBB" w:rsidRDefault="00147C8B">
                                    <w:pPr>
                                      <w:rPr>
                                        <w:lang w:val="hy-AM"/>
                                      </w:rPr>
                                    </w:pPr>
                                  </w:p>
                                  <w:p w14:paraId="70FC9A5B" w14:textId="6108C211" w:rsidR="00147C8B" w:rsidRPr="00A3353C" w:rsidRDefault="00147C8B" w:rsidP="00A3353C">
                                    <w:pPr>
                                      <w:pStyle w:val="TOC1"/>
                                      <w:rPr>
                                        <w:rFonts w:asciiTheme="minorHAnsi" w:hAnsiTheme="minorHAnsi"/>
                                        <w:color w:val="FFFFFF" w:themeColor="background1"/>
                                        <w:szCs w:val="40"/>
                                        <w:lang w:val="hy-AM"/>
                                      </w:rPr>
                                    </w:pPr>
                                    <w:bookmarkStart w:id="20" w:name="_Toc178611126"/>
                                    <w:bookmarkStart w:id="21" w:name="_Toc178611266"/>
                                    <w:bookmarkStart w:id="22" w:name="_Toc178611474"/>
                                    <w:bookmarkStart w:id="23" w:name="_Toc178612058"/>
                                    <w:bookmarkStart w:id="24" w:name="_Toc183785465"/>
                                    <w:bookmarkStart w:id="25" w:name="_Toc183787211"/>
                                    <w:bookmarkStart w:id="26" w:name="_Toc183801041"/>
                                    <w:bookmarkStart w:id="27" w:name="_Toc209625739"/>
                                    <w:r w:rsidRPr="00A3353C">
                                      <w:rPr>
                                        <w:rFonts w:asciiTheme="minorHAnsi" w:hAnsiTheme="minorHAnsi"/>
                                        <w:color w:val="FFFFFF" w:themeColor="background1"/>
                                        <w:szCs w:val="40"/>
                                        <w:lang w:val="hy-AM"/>
                                      </w:rPr>
                                      <w:t>ՄԱՍ I: ՍՈՑԻԱԼ-ՏՆՏԵՍԱԿԱՆ ԶԱՐԳԱՑՄԱՆ ԵՎ ՀԱՐԿԱԲՅՈՒՋԵՏԱՅԻՆ ՔԱՂԱՔԱԿԱՆՈՒԹՅԱՆ</w:t>
                                    </w:r>
                                    <w:bookmarkEnd w:id="20"/>
                                    <w:bookmarkEnd w:id="21"/>
                                    <w:bookmarkEnd w:id="22"/>
                                    <w:bookmarkEnd w:id="23"/>
                                    <w:bookmarkEnd w:id="24"/>
                                    <w:bookmarkEnd w:id="25"/>
                                    <w:bookmarkEnd w:id="26"/>
                                    <w:bookmarkEnd w:id="27"/>
                                    <w:r w:rsidRPr="00A3353C">
                                      <w:rPr>
                                        <w:rFonts w:asciiTheme="minorHAnsi" w:hAnsiTheme="minorHAnsi"/>
                                        <w:color w:val="FFFFFF" w:themeColor="background1"/>
                                        <w:szCs w:val="40"/>
                                        <w:lang w:val="hy-AM"/>
                                      </w:rPr>
                                      <w:t xml:space="preserve"> </w:t>
                                    </w:r>
                                  </w:p>
                                  <w:p w14:paraId="25BA9018" w14:textId="77777777" w:rsidR="00147C8B" w:rsidRPr="00682390" w:rsidRDefault="00147C8B" w:rsidP="00FD0C29">
                                    <w:pPr>
                                      <w:rPr>
                                        <w:b/>
                                        <w:color w:val="FFFFFF" w:themeColor="background1"/>
                                        <w:sz w:val="30"/>
                                        <w:szCs w:val="30"/>
                                        <w:lang w:val="hy-AM"/>
                                      </w:rPr>
                                    </w:pPr>
                                    <w:r w:rsidRPr="00A3353C">
                                      <w:rPr>
                                        <w:sz w:val="44"/>
                                        <w:szCs w:val="44"/>
                                        <w:lang w:val="hy-AM"/>
                                      </w:rPr>
                                      <w:t>ՀԻՄՆԱԿԱՆ ՈՒՂՂՈՒԹՅՈՒՆՆԵՐԻ ՄԱՍԻՆ</w:t>
                                    </w:r>
                                    <w:r w:rsidRPr="00682390">
                                      <w:rPr>
                                        <w:b/>
                                        <w:color w:val="FFFFFF" w:themeColor="background1"/>
                                        <w:sz w:val="30"/>
                                        <w:szCs w:val="30"/>
                                        <w:lang w:val="hy-AM"/>
                                      </w:rPr>
                                      <w:t>Yerevan 2024</w:t>
                                    </w:r>
                                  </w:p>
                                  <w:p w14:paraId="0136A617" w14:textId="77777777" w:rsidR="00147C8B" w:rsidRPr="00682390" w:rsidRDefault="00147C8B">
                                    <w:pPr>
                                      <w:rPr>
                                        <w:lang w:val="hy-AM"/>
                                      </w:rPr>
                                    </w:pPr>
                                  </w:p>
                                  <w:p w14:paraId="288E6AC4" w14:textId="0AE2AB69" w:rsidR="00147C8B" w:rsidRPr="00A3353C" w:rsidRDefault="00147C8B" w:rsidP="00A3353C">
                                    <w:pPr>
                                      <w:pStyle w:val="TOC1"/>
                                      <w:rPr>
                                        <w:rFonts w:asciiTheme="minorHAnsi" w:hAnsiTheme="minorHAnsi"/>
                                        <w:color w:val="FFFFFF" w:themeColor="background1"/>
                                        <w:szCs w:val="40"/>
                                        <w:lang w:val="hy-AM"/>
                                      </w:rPr>
                                    </w:pPr>
                                    <w:bookmarkStart w:id="28" w:name="_Toc178611127"/>
                                    <w:bookmarkStart w:id="29" w:name="_Toc178611267"/>
                                    <w:bookmarkStart w:id="30" w:name="_Toc178611475"/>
                                    <w:bookmarkStart w:id="31" w:name="_Toc178612059"/>
                                    <w:bookmarkStart w:id="32" w:name="_Toc183785466"/>
                                    <w:bookmarkStart w:id="33" w:name="_Toc183787212"/>
                                    <w:bookmarkStart w:id="34" w:name="_Toc183801042"/>
                                    <w:bookmarkStart w:id="35" w:name="_Toc209625740"/>
                                    <w:r w:rsidRPr="00A3353C">
                                      <w:rPr>
                                        <w:rFonts w:asciiTheme="minorHAnsi" w:hAnsiTheme="minorHAnsi"/>
                                        <w:color w:val="FFFFFF" w:themeColor="background1"/>
                                        <w:szCs w:val="40"/>
                                        <w:lang w:val="hy-AM"/>
                                      </w:rPr>
                                      <w:t>ՄԱՍ I: ՍՈՑԻԱԼ-ՏՆՏԵՍԱԿԱՆ ԶԱՐԳԱՑՄԱՆ ԵՎ ՀԱՐԿԱԲՅՈՒՋԵՏԱՅԻՆ ՔԱՂԱՔԱԿԱՆՈՒԹՅԱՆ</w:t>
                                    </w:r>
                                    <w:bookmarkEnd w:id="28"/>
                                    <w:bookmarkEnd w:id="29"/>
                                    <w:bookmarkEnd w:id="30"/>
                                    <w:bookmarkEnd w:id="31"/>
                                    <w:bookmarkEnd w:id="32"/>
                                    <w:bookmarkEnd w:id="33"/>
                                    <w:bookmarkEnd w:id="34"/>
                                    <w:bookmarkEnd w:id="35"/>
                                    <w:r w:rsidRPr="00A3353C">
                                      <w:rPr>
                                        <w:rFonts w:asciiTheme="minorHAnsi" w:hAnsiTheme="minorHAnsi"/>
                                        <w:color w:val="FFFFFF" w:themeColor="background1"/>
                                        <w:szCs w:val="40"/>
                                        <w:lang w:val="hy-AM"/>
                                      </w:rPr>
                                      <w:t xml:space="preserve"> </w:t>
                                    </w:r>
                                  </w:p>
                                  <w:p w14:paraId="186560DB" w14:textId="77777777" w:rsidR="00147C8B" w:rsidRPr="00682390" w:rsidRDefault="00147C8B" w:rsidP="00FD0C29">
                                    <w:pPr>
                                      <w:rPr>
                                        <w:b/>
                                        <w:color w:val="FFFFFF" w:themeColor="background1"/>
                                        <w:sz w:val="30"/>
                                        <w:szCs w:val="30"/>
                                        <w:lang w:val="hy-AM"/>
                                      </w:rPr>
                                    </w:pPr>
                                    <w:r w:rsidRPr="00A3353C">
                                      <w:rPr>
                                        <w:sz w:val="44"/>
                                        <w:szCs w:val="44"/>
                                        <w:lang w:val="hy-AM"/>
                                      </w:rPr>
                                      <w:t>ՀԻՄՆԱԿԱՆ ՈՒՂՂՈՒԹՅՈՒՆՆԵՐԻ ՄԱՍԻՆ</w:t>
                                    </w:r>
                                    <w:r w:rsidRPr="00682390">
                                      <w:rPr>
                                        <w:b/>
                                        <w:color w:val="FFFFFF" w:themeColor="background1"/>
                                        <w:sz w:val="30"/>
                                        <w:szCs w:val="30"/>
                                        <w:lang w:val="hy-AM"/>
                                      </w:rPr>
                                      <w:t>Yerevan 2024</w:t>
                                    </w:r>
                                  </w:p>
                                  <w:p w14:paraId="04417F90" w14:textId="77777777" w:rsidR="00147C8B" w:rsidRPr="00682390" w:rsidRDefault="00147C8B">
                                    <w:pPr>
                                      <w:rPr>
                                        <w:lang w:val="hy-AM"/>
                                      </w:rPr>
                                    </w:pPr>
                                  </w:p>
                                  <w:p w14:paraId="5FC76E29" w14:textId="77777777" w:rsidR="00147C8B" w:rsidRPr="00A3353C" w:rsidRDefault="00147C8B" w:rsidP="00A3353C">
                                    <w:pPr>
                                      <w:pStyle w:val="TOC1"/>
                                      <w:rPr>
                                        <w:rFonts w:asciiTheme="minorHAnsi" w:hAnsiTheme="minorHAnsi"/>
                                        <w:color w:val="FFFFFF" w:themeColor="background1"/>
                                        <w:szCs w:val="40"/>
                                        <w:lang w:val="hy-AM"/>
                                      </w:rPr>
                                    </w:pPr>
                                    <w:bookmarkStart w:id="36" w:name="_Toc178611128"/>
                                    <w:bookmarkStart w:id="37" w:name="_Toc178611268"/>
                                    <w:bookmarkStart w:id="38" w:name="_Toc178611476"/>
                                    <w:bookmarkStart w:id="39" w:name="_Toc178612060"/>
                                    <w:bookmarkStart w:id="40" w:name="_Toc183785467"/>
                                    <w:bookmarkStart w:id="41" w:name="_Toc183787213"/>
                                    <w:bookmarkStart w:id="42" w:name="_Toc183801043"/>
                                    <w:bookmarkStart w:id="43" w:name="_Toc209625741"/>
                                    <w:r w:rsidRPr="00A3353C">
                                      <w:rPr>
                                        <w:rFonts w:asciiTheme="minorHAnsi" w:hAnsiTheme="minorHAnsi"/>
                                        <w:color w:val="FFFFFF" w:themeColor="background1"/>
                                        <w:szCs w:val="40"/>
                                        <w:lang w:val="hy-AM"/>
                                      </w:rPr>
                                      <w:t>ՄԱՍ I: ՍՈՑԻԱԼ-ՏՆՏԵՍԱԿԱՆ ԶԱՐԳԱՑՄԱՆ ԵՎ ՀԱՐԿԱԲՅՈՒՋԵՏԱՅԻՆ ՔԱՂԱՔԱԿԱՆՈՒԹՅԱՆ</w:t>
                                    </w:r>
                                    <w:bookmarkEnd w:id="36"/>
                                    <w:bookmarkEnd w:id="37"/>
                                    <w:bookmarkEnd w:id="38"/>
                                    <w:bookmarkEnd w:id="39"/>
                                    <w:bookmarkEnd w:id="40"/>
                                    <w:bookmarkEnd w:id="41"/>
                                    <w:bookmarkEnd w:id="42"/>
                                    <w:bookmarkEnd w:id="43"/>
                                    <w:r w:rsidRPr="00A3353C">
                                      <w:rPr>
                                        <w:rFonts w:asciiTheme="minorHAnsi" w:hAnsiTheme="minorHAnsi"/>
                                        <w:color w:val="FFFFFF" w:themeColor="background1"/>
                                        <w:szCs w:val="40"/>
                                        <w:lang w:val="hy-AM"/>
                                      </w:rPr>
                                      <w:t xml:space="preserve"> </w:t>
                                    </w:r>
                                  </w:p>
                                  <w:p w14:paraId="0E9E651B" w14:textId="77777777" w:rsidR="00147C8B" w:rsidRDefault="00147C8B" w:rsidP="00FD0C29">
                                    <w:pPr>
                                      <w:rPr>
                                        <w:b/>
                                        <w:color w:val="FFFFFF" w:themeColor="background1"/>
                                        <w:sz w:val="30"/>
                                        <w:szCs w:val="30"/>
                                      </w:rPr>
                                    </w:pPr>
                                    <w:r w:rsidRPr="00A3353C">
                                      <w:rPr>
                                        <w:sz w:val="44"/>
                                        <w:szCs w:val="44"/>
                                        <w:lang w:val="hy-AM"/>
                                      </w:rPr>
                                      <w:t>ՀԻՄՆԱԿԱՆ ՈՒՂՂՈՒԹՅՈՒՆՆԵՐԻ ՄԱՍԻՆ</w:t>
                                    </w:r>
                                    <w:r>
                                      <w:rPr>
                                        <w:b/>
                                        <w:color w:val="FFFFFF" w:themeColor="background1"/>
                                        <w:sz w:val="30"/>
                                        <w:szCs w:val="30"/>
                                      </w:rPr>
                                      <w:t>Yerevan 2024</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0B66A610" id="Text Box 46" o:spid="_x0000_s1030" type="#_x0000_t202" style="position:absolute;left:0;text-align:left;margin-left:-11.5pt;margin-top:625.9pt;width:110.2pt;height:31.15pt;z-index:251683840;visibility:visible;mso-wrap-style:non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" filled="f" stroked="f" strokeweight=".5pt">
                        <v:textbox>
                          <w:txbxContent>
                            <w:p w14:paraId="50FE25AD" w14:textId="77777777" w:rsidR="00147C8B" w:rsidRDefault="00147C8B" w:rsidP="00FD0C29">
                              <w:pPr>
                                <w:rPr>
                                  <w:b/>
                                  <w:color w:val="FFFFFF" w:themeColor="background1"/>
                                  <w:sz w:val="30"/>
                                  <w:szCs w:val="30"/>
                                </w:rPr>
                              </w:pPr>
                              <w:r>
                                <w:rPr>
                                  <w:b/>
                                  <w:color w:val="FFFFFF" w:themeColor="background1"/>
                                  <w:sz w:val="30"/>
                                  <w:szCs w:val="30"/>
                                </w:rPr>
                                <w:t>Yerevan 2024</w:t>
                              </w:r>
                            </w:p>
                            <w:p w14:paraId="40F839B6" w14:textId="77777777" w:rsidR="00147C8B" w:rsidRDefault="00147C8B"/>
                            <w:p w14:paraId="0DCAC91F" w14:textId="77777777" w:rsidR="00147C8B" w:rsidRPr="00A3353C" w:rsidRDefault="00147C8B" w:rsidP="00A3353C">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3792611C" w14:textId="77777777" w:rsidR="00147C8B" w:rsidRPr="00682390" w:rsidRDefault="00147C8B" w:rsidP="00FD0C29">
                              <w:pPr>
                                <w:rPr>
                                  <w:b/>
                                  <w:color w:val="FFFFFF" w:themeColor="background1"/>
                                  <w:sz w:val="30"/>
                                  <w:szCs w:val="30"/>
                                  <w:lang w:val="hy-AM"/>
                                </w:rPr>
                              </w:pPr>
                              <w:r w:rsidRPr="00A3353C">
                                <w:rPr>
                                  <w:sz w:val="44"/>
                                  <w:szCs w:val="44"/>
                                  <w:lang w:val="hy-AM"/>
                                </w:rPr>
                                <w:t>ՀԻՄՆԱԿԱՆ ՈՒՂՂՈՒԹՅՈՒՆՆԵՐԻ ՄԱՍԻՆ</w:t>
                              </w:r>
                              <w:r w:rsidRPr="00682390">
                                <w:rPr>
                                  <w:b/>
                                  <w:color w:val="FFFFFF" w:themeColor="background1"/>
                                  <w:sz w:val="30"/>
                                  <w:szCs w:val="30"/>
                                  <w:lang w:val="hy-AM"/>
                                </w:rPr>
                                <w:t>Yerevan 2024</w:t>
                              </w:r>
                            </w:p>
                            <w:p w14:paraId="05A44784" w14:textId="77777777" w:rsidR="00147C8B" w:rsidRPr="00682390" w:rsidRDefault="00147C8B">
                              <w:pPr>
                                <w:rPr>
                                  <w:lang w:val="hy-AM"/>
                                </w:rPr>
                              </w:pPr>
                            </w:p>
                            <w:p w14:paraId="0A584C5A" w14:textId="77777777" w:rsidR="00147C8B" w:rsidRPr="00A3353C" w:rsidRDefault="00147C8B" w:rsidP="00A3353C">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7875D16A" w14:textId="77777777" w:rsidR="00147C8B" w:rsidRPr="00682390" w:rsidRDefault="00147C8B" w:rsidP="00FD0C29">
                              <w:pPr>
                                <w:rPr>
                                  <w:b/>
                                  <w:color w:val="FFFFFF" w:themeColor="background1"/>
                                  <w:sz w:val="30"/>
                                  <w:szCs w:val="30"/>
                                  <w:lang w:val="hy-AM"/>
                                </w:rPr>
                              </w:pPr>
                              <w:r w:rsidRPr="00A3353C">
                                <w:rPr>
                                  <w:sz w:val="44"/>
                                  <w:szCs w:val="44"/>
                                  <w:lang w:val="hy-AM"/>
                                </w:rPr>
                                <w:t>ՀԻՄՆԱԿԱՆ ՈՒՂՂՈՒԹՅՈՒՆՆԵՐԻ ՄԱՍԻՆ</w:t>
                              </w:r>
                              <w:r w:rsidRPr="00682390">
                                <w:rPr>
                                  <w:b/>
                                  <w:color w:val="FFFFFF" w:themeColor="background1"/>
                                  <w:sz w:val="30"/>
                                  <w:szCs w:val="30"/>
                                  <w:lang w:val="hy-AM"/>
                                </w:rPr>
                                <w:t>Yerevan 2024</w:t>
                              </w:r>
                            </w:p>
                            <w:p w14:paraId="5AEFBC9A" w14:textId="77777777" w:rsidR="00147C8B" w:rsidRPr="00682390" w:rsidRDefault="00147C8B">
                              <w:pPr>
                                <w:rPr>
                                  <w:lang w:val="hy-AM"/>
                                </w:rPr>
                              </w:pPr>
                            </w:p>
                            <w:p w14:paraId="3A234BC5" w14:textId="77777777" w:rsidR="00147C8B" w:rsidRPr="00A3353C" w:rsidRDefault="00147C8B" w:rsidP="00A3353C">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771E86A6" w14:textId="77777777" w:rsidR="00147C8B" w:rsidRPr="00454DBB" w:rsidRDefault="00147C8B" w:rsidP="00FD0C29">
                              <w:pPr>
                                <w:rPr>
                                  <w:b/>
                                  <w:color w:val="FFFFFF" w:themeColor="background1"/>
                                  <w:sz w:val="30"/>
                                  <w:szCs w:val="30"/>
                                  <w:lang w:val="hy-AM"/>
                                </w:rPr>
                              </w:pPr>
                              <w:r w:rsidRPr="00A3353C">
                                <w:rPr>
                                  <w:sz w:val="44"/>
                                  <w:szCs w:val="44"/>
                                  <w:lang w:val="hy-AM"/>
                                </w:rPr>
                                <w:t>ՀԻՄՆԱԿԱՆ ՈՒՂՂՈՒԹՅՈՒՆՆԵՐԻ ՄԱՍԻՆ</w:t>
                              </w:r>
                              <w:r w:rsidRPr="00454DBB">
                                <w:rPr>
                                  <w:b/>
                                  <w:color w:val="FFFFFF" w:themeColor="background1"/>
                                  <w:sz w:val="30"/>
                                  <w:szCs w:val="30"/>
                                  <w:lang w:val="hy-AM"/>
                                </w:rPr>
                                <w:t>Yerevan 2024</w:t>
                              </w:r>
                            </w:p>
                            <w:p w14:paraId="69209672" w14:textId="77777777" w:rsidR="00147C8B" w:rsidRPr="00454DBB" w:rsidRDefault="00147C8B">
                              <w:pPr>
                                <w:rPr>
                                  <w:lang w:val="hy-AM"/>
                                </w:rPr>
                              </w:pPr>
                            </w:p>
                            <w:p w14:paraId="22389544" w14:textId="77777777" w:rsidR="00147C8B" w:rsidRPr="00454DBB" w:rsidRDefault="00147C8B" w:rsidP="00FD0C29">
                              <w:pPr>
                                <w:rPr>
                                  <w:b/>
                                  <w:color w:val="FFFFFF" w:themeColor="background1"/>
                                  <w:sz w:val="30"/>
                                  <w:szCs w:val="30"/>
                                  <w:lang w:val="hy-AM"/>
                                </w:rPr>
                              </w:pPr>
                              <w:r w:rsidRPr="003A4CA5">
                                <w:rPr>
                                  <w:color w:val="FFFFFF" w:themeColor="background1"/>
                                  <w:sz w:val="40"/>
                                  <w:szCs w:val="40"/>
                                  <w:lang w:val="hy-AM"/>
                                </w:rPr>
                                <w:t>ՄԱՍ I: ՍՈՑԻԱԼ-ՏՆՏԵՍԱԿԱՆ ԶԱՐԳԱՑՄԱՆ, ՄԱԿՐՈՏՆՏԵՍԱԿԱՆ ԶԱՐԳԱՑՄԱՆ ԵՎ ՀԱՐԿԱԲՅՈՒՋԵՏԱՅԻՆ ՔԱՂԱՔԱԿԱՆՈՒԹՅԱՆ</w:t>
                              </w:r>
                              <w:r>
                                <w:rPr>
                                  <w:color w:val="FFFFFF" w:themeColor="background1"/>
                                  <w:sz w:val="40"/>
                                  <w:szCs w:val="40"/>
                                  <w:lang w:val="hy-AM"/>
                                </w:rPr>
                                <w:t xml:space="preserve"> </w:t>
                              </w:r>
                              <w:r w:rsidRPr="003A4CA5">
                                <w:rPr>
                                  <w:color w:val="auto"/>
                                  <w:sz w:val="40"/>
                                  <w:szCs w:val="40"/>
                                  <w:lang w:val="hy-AM"/>
                                </w:rPr>
                                <w:t>ՀԻՄՆԱԿԱՆ ՈՒՂՂՈՒԹՅՈՒՆՆԵՐԻ ՄԱՍԻՆ</w:t>
                              </w:r>
                              <w:r w:rsidRPr="00454DBB">
                                <w:rPr>
                                  <w:b/>
                                  <w:color w:val="FFFFFF" w:themeColor="background1"/>
                                  <w:sz w:val="30"/>
                                  <w:szCs w:val="30"/>
                                  <w:lang w:val="hy-AM"/>
                                </w:rPr>
                                <w:t>Yerevan 2024</w:t>
                              </w:r>
                            </w:p>
                            <w:p w14:paraId="6FC32339" w14:textId="77777777" w:rsidR="00147C8B" w:rsidRPr="00454DBB" w:rsidRDefault="00147C8B">
                              <w:pPr>
                                <w:rPr>
                                  <w:lang w:val="hy-AM"/>
                                </w:rPr>
                              </w:pPr>
                            </w:p>
                            <w:p w14:paraId="2C2B3386" w14:textId="77777777" w:rsidR="00147C8B" w:rsidRPr="00A3353C" w:rsidRDefault="00147C8B" w:rsidP="00A3353C">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1064723A" w14:textId="77777777" w:rsidR="00147C8B" w:rsidRPr="00682390" w:rsidRDefault="00147C8B" w:rsidP="00FD0C29">
                              <w:pPr>
                                <w:rPr>
                                  <w:b/>
                                  <w:color w:val="FFFFFF" w:themeColor="background1"/>
                                  <w:sz w:val="30"/>
                                  <w:szCs w:val="30"/>
                                  <w:lang w:val="hy-AM"/>
                                </w:rPr>
                              </w:pPr>
                              <w:r w:rsidRPr="00A3353C">
                                <w:rPr>
                                  <w:sz w:val="44"/>
                                  <w:szCs w:val="44"/>
                                  <w:lang w:val="hy-AM"/>
                                </w:rPr>
                                <w:t>ՀԻՄՆԱԿԱՆ ՈՒՂՂՈՒԹՅՈՒՆՆԵՐԻ ՄԱՍԻՆ</w:t>
                              </w:r>
                              <w:r w:rsidRPr="00682390">
                                <w:rPr>
                                  <w:b/>
                                  <w:color w:val="FFFFFF" w:themeColor="background1"/>
                                  <w:sz w:val="30"/>
                                  <w:szCs w:val="30"/>
                                  <w:lang w:val="hy-AM"/>
                                </w:rPr>
                                <w:t>Yerevan 2024</w:t>
                              </w:r>
                            </w:p>
                            <w:p w14:paraId="787EC6AD" w14:textId="77777777" w:rsidR="00147C8B" w:rsidRPr="00682390" w:rsidRDefault="00147C8B">
                              <w:pPr>
                                <w:rPr>
                                  <w:lang w:val="hy-AM"/>
                                </w:rPr>
                              </w:pPr>
                            </w:p>
                            <w:p w14:paraId="3298D01D" w14:textId="77777777" w:rsidR="00147C8B" w:rsidRPr="00A3353C" w:rsidRDefault="00147C8B" w:rsidP="00A3353C">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2B74A65A" w14:textId="77777777" w:rsidR="00147C8B" w:rsidRPr="00682390" w:rsidRDefault="00147C8B" w:rsidP="00FD0C29">
                              <w:pPr>
                                <w:rPr>
                                  <w:b/>
                                  <w:color w:val="FFFFFF" w:themeColor="background1"/>
                                  <w:sz w:val="30"/>
                                  <w:szCs w:val="30"/>
                                  <w:lang w:val="hy-AM"/>
                                </w:rPr>
                              </w:pPr>
                              <w:r w:rsidRPr="00A3353C">
                                <w:rPr>
                                  <w:sz w:val="44"/>
                                  <w:szCs w:val="44"/>
                                  <w:lang w:val="hy-AM"/>
                                </w:rPr>
                                <w:t>ՀԻՄՆԱԿԱՆ ՈՒՂՂՈՒԹՅՈՒՆՆԵՐԻ ՄԱՍԻՆ</w:t>
                              </w:r>
                              <w:r w:rsidRPr="00682390">
                                <w:rPr>
                                  <w:b/>
                                  <w:color w:val="FFFFFF" w:themeColor="background1"/>
                                  <w:sz w:val="30"/>
                                  <w:szCs w:val="30"/>
                                  <w:lang w:val="hy-AM"/>
                                </w:rPr>
                                <w:t>Yerevan 2024</w:t>
                              </w:r>
                            </w:p>
                            <w:p w14:paraId="351E9EEA" w14:textId="77777777" w:rsidR="00147C8B" w:rsidRPr="00682390" w:rsidRDefault="00147C8B">
                              <w:pPr>
                                <w:rPr>
                                  <w:lang w:val="hy-AM"/>
                                </w:rPr>
                              </w:pPr>
                            </w:p>
                            <w:p w14:paraId="72C35723" w14:textId="77777777" w:rsidR="00147C8B" w:rsidRPr="00A3353C" w:rsidRDefault="00147C8B" w:rsidP="00A3353C">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4AF2DBA4" w14:textId="77777777" w:rsidR="00147C8B" w:rsidRPr="003A5AE3" w:rsidRDefault="00147C8B" w:rsidP="00FD0C29">
                              <w:pPr>
                                <w:rPr>
                                  <w:b/>
                                  <w:color w:val="FFFFFF" w:themeColor="background1"/>
                                  <w:sz w:val="30"/>
                                  <w:szCs w:val="30"/>
                                  <w:lang w:val="hy-AM"/>
                                </w:rPr>
                              </w:pPr>
                              <w:r w:rsidRPr="00A3353C">
                                <w:rPr>
                                  <w:sz w:val="44"/>
                                  <w:szCs w:val="44"/>
                                  <w:lang w:val="hy-AM"/>
                                </w:rPr>
                                <w:t>ՀԻՄՆԱԿԱՆ ՈՒՂՂՈՒԹՅՈՒՆՆԵՐԻ ՄԱՍԻՆ</w:t>
                              </w:r>
                              <w:r w:rsidRPr="003A5AE3">
                                <w:rPr>
                                  <w:b/>
                                  <w:color w:val="FFFFFF" w:themeColor="background1"/>
                                  <w:sz w:val="30"/>
                                  <w:szCs w:val="30"/>
                                  <w:lang w:val="hy-AM"/>
                                </w:rPr>
                                <w:t>Yerevan 2024</w:t>
                              </w:r>
                            </w:p>
                            <w:p w14:paraId="61E0FB37" w14:textId="77777777" w:rsidR="00147C8B" w:rsidRPr="003A5AE3" w:rsidRDefault="00147C8B">
                              <w:pPr>
                                <w:rPr>
                                  <w:lang w:val="hy-AM"/>
                                </w:rPr>
                              </w:pPr>
                            </w:p>
                            <w:p w14:paraId="0F12689E" w14:textId="77777777" w:rsidR="00147C8B" w:rsidRPr="003A5AE3" w:rsidRDefault="00147C8B" w:rsidP="00FD0C29">
                              <w:pPr>
                                <w:rPr>
                                  <w:b/>
                                  <w:color w:val="FFFFFF" w:themeColor="background1"/>
                                  <w:sz w:val="30"/>
                                  <w:szCs w:val="30"/>
                                  <w:lang w:val="hy-AM"/>
                                </w:rPr>
                              </w:pPr>
                              <w:r w:rsidRPr="003A4CA5">
                                <w:rPr>
                                  <w:color w:val="FFFFFF" w:themeColor="background1"/>
                                  <w:sz w:val="40"/>
                                  <w:szCs w:val="40"/>
                                  <w:lang w:val="hy-AM"/>
                                </w:rPr>
                                <w:t>ՄԱՍ I: ՍՈՑԻԱԼ-ՏՆՏԵՍԱԿԱՆ ԶԱՐԳԱՑՄԱՆ, ՄԱԿՐՈՏՆՏԵՍԱԿԱՆ ԶԱՐԳԱՑՄԱՆ ԵՎ ՀԱՐԿԱԲՅՈՒՋԵՏԱՅԻՆ ՔԱՂԱՔԱԿԱՆՈՒԹՅԱՆ</w:t>
                              </w:r>
                              <w:r>
                                <w:rPr>
                                  <w:color w:val="FFFFFF" w:themeColor="background1"/>
                                  <w:sz w:val="40"/>
                                  <w:szCs w:val="40"/>
                                  <w:lang w:val="hy-AM"/>
                                </w:rPr>
                                <w:t xml:space="preserve"> </w:t>
                              </w:r>
                              <w:r w:rsidRPr="003A4CA5">
                                <w:rPr>
                                  <w:color w:val="auto"/>
                                  <w:sz w:val="40"/>
                                  <w:szCs w:val="40"/>
                                  <w:lang w:val="hy-AM"/>
                                </w:rPr>
                                <w:t>ՀԻՄՆԱԿԱՆ ՈՒՂՂՈՒԹՅՈՒՆՆԵՐԻ ՄԱՍԻՆ</w:t>
                              </w:r>
                              <w:r w:rsidRPr="003A5AE3">
                                <w:rPr>
                                  <w:b/>
                                  <w:color w:val="FFFFFF" w:themeColor="background1"/>
                                  <w:sz w:val="30"/>
                                  <w:szCs w:val="30"/>
                                  <w:lang w:val="hy-AM"/>
                                </w:rPr>
                                <w:t>Yerevan 2024</w:t>
                              </w:r>
                            </w:p>
                            <w:p w14:paraId="50441DA2" w14:textId="77777777" w:rsidR="00147C8B" w:rsidRPr="003A5AE3" w:rsidRDefault="00147C8B">
                              <w:pPr>
                                <w:rPr>
                                  <w:lang w:val="hy-AM"/>
                                </w:rPr>
                              </w:pPr>
                            </w:p>
                            <w:p w14:paraId="6031BE72" w14:textId="77777777" w:rsidR="00147C8B" w:rsidRPr="00A3353C" w:rsidRDefault="00147C8B" w:rsidP="00A3353C">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6F63F926" w14:textId="77777777" w:rsidR="00147C8B" w:rsidRPr="00682390" w:rsidRDefault="00147C8B" w:rsidP="00FD0C29">
                              <w:pPr>
                                <w:rPr>
                                  <w:b/>
                                  <w:color w:val="FFFFFF" w:themeColor="background1"/>
                                  <w:sz w:val="30"/>
                                  <w:szCs w:val="30"/>
                                  <w:lang w:val="hy-AM"/>
                                </w:rPr>
                              </w:pPr>
                              <w:r w:rsidRPr="00A3353C">
                                <w:rPr>
                                  <w:sz w:val="44"/>
                                  <w:szCs w:val="44"/>
                                  <w:lang w:val="hy-AM"/>
                                </w:rPr>
                                <w:t>ՀԻՄՆԱԿԱՆ ՈՒՂՂՈՒԹՅՈՒՆՆԵՐԻ ՄԱՍԻՆ</w:t>
                              </w:r>
                              <w:r w:rsidRPr="00682390">
                                <w:rPr>
                                  <w:b/>
                                  <w:color w:val="FFFFFF" w:themeColor="background1"/>
                                  <w:sz w:val="30"/>
                                  <w:szCs w:val="30"/>
                                  <w:lang w:val="hy-AM"/>
                                </w:rPr>
                                <w:t>Yerevan 2024</w:t>
                              </w:r>
                            </w:p>
                            <w:p w14:paraId="695A098F" w14:textId="77777777" w:rsidR="00147C8B" w:rsidRPr="00682390" w:rsidRDefault="00147C8B">
                              <w:pPr>
                                <w:rPr>
                                  <w:lang w:val="hy-AM"/>
                                </w:rPr>
                              </w:pPr>
                            </w:p>
                            <w:p w14:paraId="3E2D9C60" w14:textId="77777777" w:rsidR="00147C8B" w:rsidRPr="00A3353C" w:rsidRDefault="00147C8B" w:rsidP="00A3353C">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76D4D827" w14:textId="77777777" w:rsidR="00147C8B" w:rsidRPr="00682390" w:rsidRDefault="00147C8B" w:rsidP="00FD0C29">
                              <w:pPr>
                                <w:rPr>
                                  <w:b/>
                                  <w:color w:val="FFFFFF" w:themeColor="background1"/>
                                  <w:sz w:val="30"/>
                                  <w:szCs w:val="30"/>
                                  <w:lang w:val="hy-AM"/>
                                </w:rPr>
                              </w:pPr>
                              <w:r w:rsidRPr="00A3353C">
                                <w:rPr>
                                  <w:sz w:val="44"/>
                                  <w:szCs w:val="44"/>
                                  <w:lang w:val="hy-AM"/>
                                </w:rPr>
                                <w:t>ՀԻՄՆԱԿԱՆ ՈՒՂՂՈՒԹՅՈՒՆՆԵՐԻ ՄԱՍԻՆ</w:t>
                              </w:r>
                              <w:r w:rsidRPr="00682390">
                                <w:rPr>
                                  <w:b/>
                                  <w:color w:val="FFFFFF" w:themeColor="background1"/>
                                  <w:sz w:val="30"/>
                                  <w:szCs w:val="30"/>
                                  <w:lang w:val="hy-AM"/>
                                </w:rPr>
                                <w:t>Yerevan 2024</w:t>
                              </w:r>
                            </w:p>
                            <w:p w14:paraId="5E7542BB" w14:textId="77777777" w:rsidR="00147C8B" w:rsidRPr="00682390" w:rsidRDefault="00147C8B">
                              <w:pPr>
                                <w:rPr>
                                  <w:lang w:val="hy-AM"/>
                                </w:rPr>
                              </w:pPr>
                            </w:p>
                            <w:p w14:paraId="538DF5CC" w14:textId="77777777" w:rsidR="00147C8B" w:rsidRPr="00A3353C" w:rsidRDefault="00147C8B" w:rsidP="00A3353C">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081B623D" w14:textId="77777777" w:rsidR="00147C8B" w:rsidRPr="00454DBB" w:rsidRDefault="00147C8B" w:rsidP="00FD0C29">
                              <w:pPr>
                                <w:rPr>
                                  <w:b/>
                                  <w:color w:val="FFFFFF" w:themeColor="background1"/>
                                  <w:sz w:val="30"/>
                                  <w:szCs w:val="30"/>
                                  <w:lang w:val="hy-AM"/>
                                </w:rPr>
                              </w:pPr>
                              <w:r w:rsidRPr="00A3353C">
                                <w:rPr>
                                  <w:sz w:val="44"/>
                                  <w:szCs w:val="44"/>
                                  <w:lang w:val="hy-AM"/>
                                </w:rPr>
                                <w:t>ՀԻՄՆԱԿԱՆ ՈՒՂՂՈՒԹՅՈՒՆՆԵՐԻ ՄԱՍԻՆ</w:t>
                              </w:r>
                              <w:r w:rsidRPr="00454DBB">
                                <w:rPr>
                                  <w:b/>
                                  <w:color w:val="FFFFFF" w:themeColor="background1"/>
                                  <w:sz w:val="30"/>
                                  <w:szCs w:val="30"/>
                                  <w:lang w:val="hy-AM"/>
                                </w:rPr>
                                <w:t>Yerevan 2024</w:t>
                              </w:r>
                            </w:p>
                            <w:p w14:paraId="1D946A72" w14:textId="77777777" w:rsidR="00147C8B" w:rsidRPr="00454DBB" w:rsidRDefault="00147C8B">
                              <w:pPr>
                                <w:rPr>
                                  <w:lang w:val="hy-AM"/>
                                </w:rPr>
                              </w:pPr>
                            </w:p>
                            <w:p w14:paraId="61C4584D" w14:textId="77777777" w:rsidR="00147C8B" w:rsidRPr="00454DBB" w:rsidRDefault="00147C8B" w:rsidP="00FD0C29">
                              <w:pPr>
                                <w:rPr>
                                  <w:b/>
                                  <w:color w:val="FFFFFF" w:themeColor="background1"/>
                                  <w:sz w:val="30"/>
                                  <w:szCs w:val="30"/>
                                  <w:lang w:val="hy-AM"/>
                                </w:rPr>
                              </w:pPr>
                              <w:r w:rsidRPr="003A4CA5">
                                <w:rPr>
                                  <w:color w:val="FFFFFF" w:themeColor="background1"/>
                                  <w:sz w:val="40"/>
                                  <w:szCs w:val="40"/>
                                  <w:lang w:val="hy-AM"/>
                                </w:rPr>
                                <w:t>ՄԱՍ I: ՍՈՑԻԱԼ-ՏՆՏԵՍԱԿԱՆ ԶԱՐԳԱՑՄԱՆ, ՄԱԿՐՈՏՆՏԵՍԱԿԱՆ ԶԱՐԳԱՑՄԱՆ ԵՎ ՀԱՐԿԱԲՅՈՒՋԵՏԱՅԻՆ ՔԱՂԱՔԱԿԱՆՈՒԹՅԱՆ</w:t>
                              </w:r>
                              <w:r>
                                <w:rPr>
                                  <w:color w:val="FFFFFF" w:themeColor="background1"/>
                                  <w:sz w:val="40"/>
                                  <w:szCs w:val="40"/>
                                  <w:lang w:val="hy-AM"/>
                                </w:rPr>
                                <w:t xml:space="preserve"> </w:t>
                              </w:r>
                              <w:r w:rsidRPr="003A4CA5">
                                <w:rPr>
                                  <w:color w:val="auto"/>
                                  <w:sz w:val="40"/>
                                  <w:szCs w:val="40"/>
                                  <w:lang w:val="hy-AM"/>
                                </w:rPr>
                                <w:t>ՀԻՄՆԱԿԱՆ ՈՒՂՂՈՒԹՅՈՒՆՆԵՐԻ ՄԱՍԻՆ</w:t>
                              </w:r>
                              <w:r w:rsidRPr="00454DBB">
                                <w:rPr>
                                  <w:b/>
                                  <w:color w:val="FFFFFF" w:themeColor="background1"/>
                                  <w:sz w:val="30"/>
                                  <w:szCs w:val="30"/>
                                  <w:lang w:val="hy-AM"/>
                                </w:rPr>
                                <w:t>Yerevan 2024</w:t>
                              </w:r>
                            </w:p>
                            <w:p w14:paraId="447C675A" w14:textId="77777777" w:rsidR="00147C8B" w:rsidRPr="00454DBB" w:rsidRDefault="00147C8B">
                              <w:pPr>
                                <w:rPr>
                                  <w:lang w:val="hy-AM"/>
                                </w:rPr>
                              </w:pPr>
                            </w:p>
                            <w:p w14:paraId="7395B851" w14:textId="77777777" w:rsidR="00147C8B" w:rsidRPr="00A3353C" w:rsidRDefault="00147C8B" w:rsidP="00A3353C">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51CCE659" w14:textId="77777777" w:rsidR="00147C8B" w:rsidRPr="00682390" w:rsidRDefault="00147C8B" w:rsidP="00FD0C29">
                              <w:pPr>
                                <w:rPr>
                                  <w:b/>
                                  <w:color w:val="FFFFFF" w:themeColor="background1"/>
                                  <w:sz w:val="30"/>
                                  <w:szCs w:val="30"/>
                                  <w:lang w:val="hy-AM"/>
                                </w:rPr>
                              </w:pPr>
                              <w:r w:rsidRPr="00A3353C">
                                <w:rPr>
                                  <w:sz w:val="44"/>
                                  <w:szCs w:val="44"/>
                                  <w:lang w:val="hy-AM"/>
                                </w:rPr>
                                <w:t>ՀԻՄՆԱԿԱՆ ՈՒՂՂՈՒԹՅՈՒՆՆԵՐԻ ՄԱՍԻՆ</w:t>
                              </w:r>
                              <w:r w:rsidRPr="00682390">
                                <w:rPr>
                                  <w:b/>
                                  <w:color w:val="FFFFFF" w:themeColor="background1"/>
                                  <w:sz w:val="30"/>
                                  <w:szCs w:val="30"/>
                                  <w:lang w:val="hy-AM"/>
                                </w:rPr>
                                <w:t>Yerevan 2024</w:t>
                              </w:r>
                            </w:p>
                            <w:p w14:paraId="3CADC5F7" w14:textId="77777777" w:rsidR="00147C8B" w:rsidRPr="00682390" w:rsidRDefault="00147C8B">
                              <w:pPr>
                                <w:rPr>
                                  <w:lang w:val="hy-AM"/>
                                </w:rPr>
                              </w:pPr>
                            </w:p>
                            <w:p w14:paraId="71906234" w14:textId="77777777" w:rsidR="00147C8B" w:rsidRPr="00A3353C" w:rsidRDefault="00147C8B" w:rsidP="00A3353C">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4B145E0D" w14:textId="77777777" w:rsidR="00147C8B" w:rsidRPr="00682390" w:rsidRDefault="00147C8B" w:rsidP="00FD0C29">
                              <w:pPr>
                                <w:rPr>
                                  <w:b/>
                                  <w:color w:val="FFFFFF" w:themeColor="background1"/>
                                  <w:sz w:val="30"/>
                                  <w:szCs w:val="30"/>
                                  <w:lang w:val="hy-AM"/>
                                </w:rPr>
                              </w:pPr>
                              <w:r w:rsidRPr="00A3353C">
                                <w:rPr>
                                  <w:sz w:val="44"/>
                                  <w:szCs w:val="44"/>
                                  <w:lang w:val="hy-AM"/>
                                </w:rPr>
                                <w:t>ՀԻՄՆԱԿԱՆ ՈՒՂՂՈՒԹՅՈՒՆՆԵՐԻ ՄԱՍԻՆ</w:t>
                              </w:r>
                              <w:r w:rsidRPr="00682390">
                                <w:rPr>
                                  <w:b/>
                                  <w:color w:val="FFFFFF" w:themeColor="background1"/>
                                  <w:sz w:val="30"/>
                                  <w:szCs w:val="30"/>
                                  <w:lang w:val="hy-AM"/>
                                </w:rPr>
                                <w:t>Yerevan 2024</w:t>
                              </w:r>
                            </w:p>
                            <w:p w14:paraId="6768E79F" w14:textId="77777777" w:rsidR="00147C8B" w:rsidRPr="00682390" w:rsidRDefault="00147C8B">
                              <w:pPr>
                                <w:rPr>
                                  <w:lang w:val="hy-AM"/>
                                </w:rPr>
                              </w:pPr>
                            </w:p>
                            <w:p w14:paraId="3E8AA2DE" w14:textId="77777777" w:rsidR="00147C8B" w:rsidRPr="00A3353C" w:rsidRDefault="00147C8B" w:rsidP="00A3353C">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6796EBE6" w14:textId="77777777" w:rsidR="00147C8B" w:rsidRPr="00202938" w:rsidRDefault="00147C8B" w:rsidP="00FD0C29">
                              <w:pPr>
                                <w:rPr>
                                  <w:b/>
                                  <w:color w:val="FFFFFF" w:themeColor="background1"/>
                                  <w:sz w:val="30"/>
                                  <w:szCs w:val="30"/>
                                  <w:lang w:val="hy-AM"/>
                                </w:rPr>
                              </w:pPr>
                              <w:r w:rsidRPr="00A3353C">
                                <w:rPr>
                                  <w:sz w:val="44"/>
                                  <w:szCs w:val="44"/>
                                  <w:lang w:val="hy-AM"/>
                                </w:rPr>
                                <w:t>ՀԻՄՆԱԿԱՆ ՈՒՂՂՈՒԹՅՈՒՆՆԵՐԻ ՄԱՍԻՆ</w:t>
                              </w:r>
                              <w:r w:rsidRPr="00202938">
                                <w:rPr>
                                  <w:b/>
                                  <w:color w:val="FFFFFF" w:themeColor="background1"/>
                                  <w:sz w:val="30"/>
                                  <w:szCs w:val="30"/>
                                  <w:lang w:val="hy-AM"/>
                                </w:rPr>
                                <w:t>Yerevan 2024</w:t>
                              </w:r>
                            </w:p>
                            <w:p w14:paraId="23E4BAD0" w14:textId="77777777" w:rsidR="00147C8B" w:rsidRPr="00202938" w:rsidRDefault="00147C8B">
                              <w:pPr>
                                <w:rPr>
                                  <w:lang w:val="hy-AM"/>
                                </w:rPr>
                              </w:pPr>
                            </w:p>
                            <w:p w14:paraId="18DF7264" w14:textId="77777777" w:rsidR="00147C8B" w:rsidRPr="00202938" w:rsidRDefault="00147C8B" w:rsidP="00FD0C29">
                              <w:pPr>
                                <w:rPr>
                                  <w:b/>
                                  <w:color w:val="FFFFFF" w:themeColor="background1"/>
                                  <w:sz w:val="30"/>
                                  <w:szCs w:val="30"/>
                                  <w:lang w:val="hy-AM"/>
                                </w:rPr>
                              </w:pPr>
                              <w:r w:rsidRPr="003A4CA5">
                                <w:rPr>
                                  <w:color w:val="FFFFFF" w:themeColor="background1"/>
                                  <w:sz w:val="40"/>
                                  <w:szCs w:val="40"/>
                                  <w:lang w:val="hy-AM"/>
                                </w:rPr>
                                <w:t>ՄԱՍ I: ՍՈՑԻԱԼ-ՏՆՏԵՍԱԿԱՆ ԶԱՐԳԱՑՄԱՆ, ՄԱԿՐ</w:t>
                              </w:r>
                              <w:r w:rsidRPr="00487DE5">
                                <w:rPr>
                                  <w:color w:val="FFFFFF" w:themeColor="background1"/>
                                  <w:sz w:val="40"/>
                                  <w:szCs w:val="40"/>
                                  <w:lang w:val="hy-AM"/>
                                </w:rPr>
                                <w:t>ՈՏՆՏԵՍԱ</w:t>
                              </w:r>
                              <w:r w:rsidRPr="003A4CA5">
                                <w:rPr>
                                  <w:color w:val="FFFFFF" w:themeColor="background1"/>
                                  <w:sz w:val="40"/>
                                  <w:szCs w:val="40"/>
                                  <w:lang w:val="hy-AM"/>
                                </w:rPr>
                                <w:t>ԿԱՆ ԶԱՐԳԱՑՄԱՆ ԵՎ ՀԱՐԿԱԲՅՈՒՋԵՏԱՅԻՆ ՔԱՂԱՔԱԿԱՆՈՒԹՅԱՆ</w:t>
                              </w:r>
                              <w:r>
                                <w:rPr>
                                  <w:color w:val="FFFFFF" w:themeColor="background1"/>
                                  <w:sz w:val="40"/>
                                  <w:szCs w:val="40"/>
                                  <w:lang w:val="hy-AM"/>
                                </w:rPr>
                                <w:t xml:space="preserve"> </w:t>
                              </w:r>
                              <w:r w:rsidRPr="003A4CA5">
                                <w:rPr>
                                  <w:color w:val="auto"/>
                                  <w:sz w:val="40"/>
                                  <w:szCs w:val="40"/>
                                  <w:lang w:val="hy-AM"/>
                                </w:rPr>
                                <w:t>ՀԻՄՆԱԿԱՆ ՈՒՂՂՈՒԹՅՈՒՆՆԵՐԻ ՄԱՍԻՆ</w:t>
                              </w:r>
                              <w:r w:rsidRPr="00202938">
                                <w:rPr>
                                  <w:b/>
                                  <w:color w:val="FFFFFF" w:themeColor="background1"/>
                                  <w:sz w:val="30"/>
                                  <w:szCs w:val="30"/>
                                  <w:lang w:val="hy-AM"/>
                                </w:rPr>
                                <w:t>Yerevan 2024</w:t>
                              </w:r>
                            </w:p>
                            <w:p w14:paraId="4F341BFA" w14:textId="77777777" w:rsidR="00147C8B" w:rsidRPr="00202938" w:rsidRDefault="00147C8B">
                              <w:pPr>
                                <w:rPr>
                                  <w:lang w:val="hy-AM"/>
                                </w:rPr>
                              </w:pPr>
                            </w:p>
                            <w:p w14:paraId="1D2221C3" w14:textId="77777777" w:rsidR="00147C8B" w:rsidRPr="00A3353C" w:rsidRDefault="00147C8B" w:rsidP="00A3353C">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4175E472" w14:textId="77777777" w:rsidR="00147C8B" w:rsidRPr="00682390" w:rsidRDefault="00147C8B" w:rsidP="00FD0C29">
                              <w:pPr>
                                <w:rPr>
                                  <w:b/>
                                  <w:color w:val="FFFFFF" w:themeColor="background1"/>
                                  <w:sz w:val="30"/>
                                  <w:szCs w:val="30"/>
                                  <w:lang w:val="hy-AM"/>
                                </w:rPr>
                              </w:pPr>
                              <w:r w:rsidRPr="00A3353C">
                                <w:rPr>
                                  <w:sz w:val="44"/>
                                  <w:szCs w:val="44"/>
                                  <w:lang w:val="hy-AM"/>
                                </w:rPr>
                                <w:t>ՀԻՄՆԱԿԱՆ ՈՒՂՂՈՒԹՅՈՒՆՆԵՐԻ ՄԱՍԻՆ</w:t>
                              </w:r>
                              <w:r w:rsidRPr="00682390">
                                <w:rPr>
                                  <w:b/>
                                  <w:color w:val="FFFFFF" w:themeColor="background1"/>
                                  <w:sz w:val="30"/>
                                  <w:szCs w:val="30"/>
                                  <w:lang w:val="hy-AM"/>
                                </w:rPr>
                                <w:t>Yerevan 2024</w:t>
                              </w:r>
                            </w:p>
                            <w:p w14:paraId="62C9C281" w14:textId="77777777" w:rsidR="00147C8B" w:rsidRPr="00682390" w:rsidRDefault="00147C8B">
                              <w:pPr>
                                <w:rPr>
                                  <w:lang w:val="hy-AM"/>
                                </w:rPr>
                              </w:pPr>
                            </w:p>
                            <w:p w14:paraId="7137A793" w14:textId="77777777" w:rsidR="00147C8B" w:rsidRPr="00A3353C" w:rsidRDefault="00147C8B" w:rsidP="00A3353C">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7F24B500" w14:textId="77777777" w:rsidR="00147C8B" w:rsidRPr="00682390" w:rsidRDefault="00147C8B" w:rsidP="00FD0C29">
                              <w:pPr>
                                <w:rPr>
                                  <w:b/>
                                  <w:color w:val="FFFFFF" w:themeColor="background1"/>
                                  <w:sz w:val="30"/>
                                  <w:szCs w:val="30"/>
                                  <w:lang w:val="hy-AM"/>
                                </w:rPr>
                              </w:pPr>
                              <w:r w:rsidRPr="00A3353C">
                                <w:rPr>
                                  <w:sz w:val="44"/>
                                  <w:szCs w:val="44"/>
                                  <w:lang w:val="hy-AM"/>
                                </w:rPr>
                                <w:t>ՀԻՄՆԱԿԱՆ ՈՒՂՂՈՒԹՅՈՒՆՆԵՐԻ ՄԱՍԻՆ</w:t>
                              </w:r>
                              <w:r w:rsidRPr="00682390">
                                <w:rPr>
                                  <w:b/>
                                  <w:color w:val="FFFFFF" w:themeColor="background1"/>
                                  <w:sz w:val="30"/>
                                  <w:szCs w:val="30"/>
                                  <w:lang w:val="hy-AM"/>
                                </w:rPr>
                                <w:t>Yerevan 2024</w:t>
                              </w:r>
                            </w:p>
                            <w:p w14:paraId="3E40B1EB" w14:textId="77777777" w:rsidR="00147C8B" w:rsidRPr="00682390" w:rsidRDefault="00147C8B">
                              <w:pPr>
                                <w:rPr>
                                  <w:lang w:val="hy-AM"/>
                                </w:rPr>
                              </w:pPr>
                            </w:p>
                            <w:p w14:paraId="52F65405" w14:textId="77777777" w:rsidR="00147C8B" w:rsidRPr="00A3353C" w:rsidRDefault="00147C8B" w:rsidP="00A3353C">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4F0220E0" w14:textId="77777777" w:rsidR="00147C8B" w:rsidRPr="00454DBB" w:rsidRDefault="00147C8B" w:rsidP="00FD0C29">
                              <w:pPr>
                                <w:rPr>
                                  <w:b/>
                                  <w:color w:val="FFFFFF" w:themeColor="background1"/>
                                  <w:sz w:val="30"/>
                                  <w:szCs w:val="30"/>
                                  <w:lang w:val="hy-AM"/>
                                </w:rPr>
                              </w:pPr>
                              <w:r w:rsidRPr="00A3353C">
                                <w:rPr>
                                  <w:sz w:val="44"/>
                                  <w:szCs w:val="44"/>
                                  <w:lang w:val="hy-AM"/>
                                </w:rPr>
                                <w:t>ՀԻՄՆԱԿԱՆ ՈՒՂՂՈՒԹՅՈՒՆՆԵՐԻ ՄԱՍԻՆ</w:t>
                              </w:r>
                              <w:r w:rsidRPr="00454DBB">
                                <w:rPr>
                                  <w:b/>
                                  <w:color w:val="FFFFFF" w:themeColor="background1"/>
                                  <w:sz w:val="30"/>
                                  <w:szCs w:val="30"/>
                                  <w:lang w:val="hy-AM"/>
                                </w:rPr>
                                <w:t>Yerevan 2024</w:t>
                              </w:r>
                            </w:p>
                            <w:p w14:paraId="1FB42225" w14:textId="77777777" w:rsidR="00147C8B" w:rsidRPr="00454DBB" w:rsidRDefault="00147C8B">
                              <w:pPr>
                                <w:rPr>
                                  <w:lang w:val="hy-AM"/>
                                </w:rPr>
                              </w:pPr>
                            </w:p>
                            <w:p w14:paraId="5C8EA714" w14:textId="77777777" w:rsidR="00147C8B" w:rsidRPr="00454DBB" w:rsidRDefault="00147C8B" w:rsidP="00FD0C29">
                              <w:pPr>
                                <w:rPr>
                                  <w:b/>
                                  <w:color w:val="FFFFFF" w:themeColor="background1"/>
                                  <w:sz w:val="30"/>
                                  <w:szCs w:val="30"/>
                                  <w:lang w:val="hy-AM"/>
                                </w:rPr>
                              </w:pPr>
                              <w:r w:rsidRPr="003A4CA5">
                                <w:rPr>
                                  <w:color w:val="FFFFFF" w:themeColor="background1"/>
                                  <w:sz w:val="40"/>
                                  <w:szCs w:val="40"/>
                                  <w:lang w:val="hy-AM"/>
                                </w:rPr>
                                <w:t>ՄԱՍ I: ՍՈՑԻԱԼ-ՏՆՏԵՍԱԿԱՆ ԶԱՐԳԱՑՄԱՆ, ՄԱԿՐՈՏՆՏԵՍԱԿԱՆ ԶԱՐԳԱՑՄԱՆ ԵՎ ՀԱՐԿԱԲՅՈՒՋԵՏԱՅԻՆ ՔԱՂԱՔԱԿԱՆՈՒԹՅԱՆ</w:t>
                              </w:r>
                              <w:r>
                                <w:rPr>
                                  <w:color w:val="FFFFFF" w:themeColor="background1"/>
                                  <w:sz w:val="40"/>
                                  <w:szCs w:val="40"/>
                                  <w:lang w:val="hy-AM"/>
                                </w:rPr>
                                <w:t xml:space="preserve"> </w:t>
                              </w:r>
                              <w:r w:rsidRPr="003A4CA5">
                                <w:rPr>
                                  <w:color w:val="auto"/>
                                  <w:sz w:val="40"/>
                                  <w:szCs w:val="40"/>
                                  <w:lang w:val="hy-AM"/>
                                </w:rPr>
                                <w:t>ՀԻՄՆԱԿԱՆ ՈՒՂՂՈՒԹՅՈՒՆՆԵՐԻ ՄԱՍԻՆ</w:t>
                              </w:r>
                              <w:r w:rsidRPr="00454DBB">
                                <w:rPr>
                                  <w:b/>
                                  <w:color w:val="FFFFFF" w:themeColor="background1"/>
                                  <w:sz w:val="30"/>
                                  <w:szCs w:val="30"/>
                                  <w:lang w:val="hy-AM"/>
                                </w:rPr>
                                <w:t>Yerevan 2024</w:t>
                              </w:r>
                            </w:p>
                            <w:p w14:paraId="67AC8899" w14:textId="77777777" w:rsidR="00147C8B" w:rsidRPr="00454DBB" w:rsidRDefault="00147C8B">
                              <w:pPr>
                                <w:rPr>
                                  <w:lang w:val="hy-AM"/>
                                </w:rPr>
                              </w:pPr>
                            </w:p>
                            <w:p w14:paraId="610149B8" w14:textId="77777777" w:rsidR="00147C8B" w:rsidRPr="00A3353C" w:rsidRDefault="00147C8B" w:rsidP="00A3353C">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09760684" w14:textId="77777777" w:rsidR="00147C8B" w:rsidRPr="00682390" w:rsidRDefault="00147C8B" w:rsidP="00FD0C29">
                              <w:pPr>
                                <w:rPr>
                                  <w:b/>
                                  <w:color w:val="FFFFFF" w:themeColor="background1"/>
                                  <w:sz w:val="30"/>
                                  <w:szCs w:val="30"/>
                                  <w:lang w:val="hy-AM"/>
                                </w:rPr>
                              </w:pPr>
                              <w:r w:rsidRPr="00A3353C">
                                <w:rPr>
                                  <w:sz w:val="44"/>
                                  <w:szCs w:val="44"/>
                                  <w:lang w:val="hy-AM"/>
                                </w:rPr>
                                <w:t>ՀԻՄՆԱԿԱՆ ՈՒՂՂՈՒԹՅՈՒՆՆԵՐԻ ՄԱՍԻՆ</w:t>
                              </w:r>
                              <w:r w:rsidRPr="00682390">
                                <w:rPr>
                                  <w:b/>
                                  <w:color w:val="FFFFFF" w:themeColor="background1"/>
                                  <w:sz w:val="30"/>
                                  <w:szCs w:val="30"/>
                                  <w:lang w:val="hy-AM"/>
                                </w:rPr>
                                <w:t>Yerevan 2024</w:t>
                              </w:r>
                            </w:p>
                            <w:p w14:paraId="0FE4B44C" w14:textId="77777777" w:rsidR="00147C8B" w:rsidRPr="00682390" w:rsidRDefault="00147C8B">
                              <w:pPr>
                                <w:rPr>
                                  <w:lang w:val="hy-AM"/>
                                </w:rPr>
                              </w:pPr>
                            </w:p>
                            <w:p w14:paraId="53E57FE1" w14:textId="77777777" w:rsidR="00147C8B" w:rsidRPr="00A3353C" w:rsidRDefault="00147C8B" w:rsidP="00A3353C">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2667C464" w14:textId="77777777" w:rsidR="00147C8B" w:rsidRPr="00682390" w:rsidRDefault="00147C8B" w:rsidP="00FD0C29">
                              <w:pPr>
                                <w:rPr>
                                  <w:b/>
                                  <w:color w:val="FFFFFF" w:themeColor="background1"/>
                                  <w:sz w:val="30"/>
                                  <w:szCs w:val="30"/>
                                  <w:lang w:val="hy-AM"/>
                                </w:rPr>
                              </w:pPr>
                              <w:r w:rsidRPr="00A3353C">
                                <w:rPr>
                                  <w:sz w:val="44"/>
                                  <w:szCs w:val="44"/>
                                  <w:lang w:val="hy-AM"/>
                                </w:rPr>
                                <w:t>ՀԻՄՆԱԿԱՆ ՈՒՂՂՈՒԹՅՈՒՆՆԵՐԻ ՄԱՍԻՆ</w:t>
                              </w:r>
                              <w:r w:rsidRPr="00682390">
                                <w:rPr>
                                  <w:b/>
                                  <w:color w:val="FFFFFF" w:themeColor="background1"/>
                                  <w:sz w:val="30"/>
                                  <w:szCs w:val="30"/>
                                  <w:lang w:val="hy-AM"/>
                                </w:rPr>
                                <w:t>Yerevan 2024</w:t>
                              </w:r>
                            </w:p>
                            <w:p w14:paraId="75E5E826" w14:textId="77777777" w:rsidR="00147C8B" w:rsidRPr="00682390" w:rsidRDefault="00147C8B">
                              <w:pPr>
                                <w:rPr>
                                  <w:lang w:val="hy-AM"/>
                                </w:rPr>
                              </w:pPr>
                            </w:p>
                            <w:p w14:paraId="1007E003" w14:textId="77777777" w:rsidR="00147C8B" w:rsidRPr="00A3353C" w:rsidRDefault="00147C8B" w:rsidP="00A3353C">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19297D47" w14:textId="77777777" w:rsidR="00147C8B" w:rsidRPr="003A5AE3" w:rsidRDefault="00147C8B" w:rsidP="00FD0C29">
                              <w:pPr>
                                <w:rPr>
                                  <w:b/>
                                  <w:color w:val="FFFFFF" w:themeColor="background1"/>
                                  <w:sz w:val="30"/>
                                  <w:szCs w:val="30"/>
                                  <w:lang w:val="hy-AM"/>
                                </w:rPr>
                              </w:pPr>
                              <w:r w:rsidRPr="00A3353C">
                                <w:rPr>
                                  <w:sz w:val="44"/>
                                  <w:szCs w:val="44"/>
                                  <w:lang w:val="hy-AM"/>
                                </w:rPr>
                                <w:t>ՀԻՄՆԱԿԱՆ ՈՒՂՂՈՒԹՅՈՒՆՆԵՐԻ ՄԱՍԻՆ</w:t>
                              </w:r>
                              <w:r w:rsidRPr="003A5AE3">
                                <w:rPr>
                                  <w:b/>
                                  <w:color w:val="FFFFFF" w:themeColor="background1"/>
                                  <w:sz w:val="30"/>
                                  <w:szCs w:val="30"/>
                                  <w:lang w:val="hy-AM"/>
                                </w:rPr>
                                <w:t>Yerevan 2024</w:t>
                              </w:r>
                            </w:p>
                            <w:p w14:paraId="67B7CA62" w14:textId="77777777" w:rsidR="00147C8B" w:rsidRPr="003A5AE3" w:rsidRDefault="00147C8B">
                              <w:pPr>
                                <w:rPr>
                                  <w:lang w:val="hy-AM"/>
                                </w:rPr>
                              </w:pPr>
                            </w:p>
                            <w:p w14:paraId="10DBF748" w14:textId="77777777" w:rsidR="00147C8B" w:rsidRPr="003A5AE3" w:rsidRDefault="00147C8B" w:rsidP="00FD0C29">
                              <w:pPr>
                                <w:rPr>
                                  <w:b/>
                                  <w:color w:val="FFFFFF" w:themeColor="background1"/>
                                  <w:sz w:val="30"/>
                                  <w:szCs w:val="30"/>
                                  <w:lang w:val="hy-AM"/>
                                </w:rPr>
                              </w:pPr>
                              <w:r w:rsidRPr="003A4CA5">
                                <w:rPr>
                                  <w:color w:val="FFFFFF" w:themeColor="background1"/>
                                  <w:sz w:val="40"/>
                                  <w:szCs w:val="40"/>
                                  <w:lang w:val="hy-AM"/>
                                </w:rPr>
                                <w:t>ՄԱՍ I: ՍՈՑԻԱԼ-ՏՆՏԵՍԱԿԱՆ ԶԱՐԳԱՑՄԱՆ, ՄԱԿՐՈՏՆՏԵՍԱԿԱՆ ԶԱՐԳԱՑՄԱՆ ԵՎ ՀԱՐԿԱԲՅՈՒՋԵՏԱՅԻՆ ՔԱՂԱՔԱԿԱՆՈՒԹՅԱՆ</w:t>
                              </w:r>
                              <w:r>
                                <w:rPr>
                                  <w:color w:val="FFFFFF" w:themeColor="background1"/>
                                  <w:sz w:val="40"/>
                                  <w:szCs w:val="40"/>
                                  <w:lang w:val="hy-AM"/>
                                </w:rPr>
                                <w:t xml:space="preserve"> </w:t>
                              </w:r>
                              <w:r w:rsidRPr="003A4CA5">
                                <w:rPr>
                                  <w:color w:val="auto"/>
                                  <w:sz w:val="40"/>
                                  <w:szCs w:val="40"/>
                                  <w:lang w:val="hy-AM"/>
                                </w:rPr>
                                <w:t>ՀԻՄՆԱԿԱՆ ՈՒՂՂՈՒԹՅՈՒՆՆԵՐԻ ՄԱՍԻՆ</w:t>
                              </w:r>
                              <w:r w:rsidRPr="003A5AE3">
                                <w:rPr>
                                  <w:b/>
                                  <w:color w:val="FFFFFF" w:themeColor="background1"/>
                                  <w:sz w:val="30"/>
                                  <w:szCs w:val="30"/>
                                  <w:lang w:val="hy-AM"/>
                                </w:rPr>
                                <w:t>Yerevan 2024</w:t>
                              </w:r>
                            </w:p>
                            <w:p w14:paraId="61AA4B4A" w14:textId="77777777" w:rsidR="00147C8B" w:rsidRPr="003A5AE3" w:rsidRDefault="00147C8B">
                              <w:pPr>
                                <w:rPr>
                                  <w:lang w:val="hy-AM"/>
                                </w:rPr>
                              </w:pPr>
                            </w:p>
                            <w:p w14:paraId="5D173052" w14:textId="77777777" w:rsidR="00147C8B" w:rsidRPr="00A3353C" w:rsidRDefault="00147C8B" w:rsidP="00A3353C">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5DA59CD8" w14:textId="77777777" w:rsidR="00147C8B" w:rsidRPr="00682390" w:rsidRDefault="00147C8B" w:rsidP="00FD0C29">
                              <w:pPr>
                                <w:rPr>
                                  <w:b/>
                                  <w:color w:val="FFFFFF" w:themeColor="background1"/>
                                  <w:sz w:val="30"/>
                                  <w:szCs w:val="30"/>
                                  <w:lang w:val="hy-AM"/>
                                </w:rPr>
                              </w:pPr>
                              <w:r w:rsidRPr="00A3353C">
                                <w:rPr>
                                  <w:sz w:val="44"/>
                                  <w:szCs w:val="44"/>
                                  <w:lang w:val="hy-AM"/>
                                </w:rPr>
                                <w:t>ՀԻՄՆԱԿԱՆ ՈՒՂՂՈՒԹՅՈՒՆՆԵՐԻ ՄԱՍԻՆ</w:t>
                              </w:r>
                              <w:r w:rsidRPr="00682390">
                                <w:rPr>
                                  <w:b/>
                                  <w:color w:val="FFFFFF" w:themeColor="background1"/>
                                  <w:sz w:val="30"/>
                                  <w:szCs w:val="30"/>
                                  <w:lang w:val="hy-AM"/>
                                </w:rPr>
                                <w:t>Yerevan 2024</w:t>
                              </w:r>
                            </w:p>
                            <w:p w14:paraId="357EE941" w14:textId="77777777" w:rsidR="00147C8B" w:rsidRPr="00682390" w:rsidRDefault="00147C8B">
                              <w:pPr>
                                <w:rPr>
                                  <w:lang w:val="hy-AM"/>
                                </w:rPr>
                              </w:pPr>
                            </w:p>
                            <w:p w14:paraId="60C733D5" w14:textId="77777777" w:rsidR="00147C8B" w:rsidRPr="00A3353C" w:rsidRDefault="00147C8B" w:rsidP="00A3353C">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551C6EAF" w14:textId="77777777" w:rsidR="00147C8B" w:rsidRPr="00682390" w:rsidRDefault="00147C8B" w:rsidP="00FD0C29">
                              <w:pPr>
                                <w:rPr>
                                  <w:b/>
                                  <w:color w:val="FFFFFF" w:themeColor="background1"/>
                                  <w:sz w:val="30"/>
                                  <w:szCs w:val="30"/>
                                  <w:lang w:val="hy-AM"/>
                                </w:rPr>
                              </w:pPr>
                              <w:r w:rsidRPr="00A3353C">
                                <w:rPr>
                                  <w:sz w:val="44"/>
                                  <w:szCs w:val="44"/>
                                  <w:lang w:val="hy-AM"/>
                                </w:rPr>
                                <w:t>ՀԻՄՆԱԿԱՆ ՈՒՂՂՈՒԹՅՈՒՆՆԵՐԻ ՄԱՍԻՆ</w:t>
                              </w:r>
                              <w:r w:rsidRPr="00682390">
                                <w:rPr>
                                  <w:b/>
                                  <w:color w:val="FFFFFF" w:themeColor="background1"/>
                                  <w:sz w:val="30"/>
                                  <w:szCs w:val="30"/>
                                  <w:lang w:val="hy-AM"/>
                                </w:rPr>
                                <w:t>Yerevan 2024</w:t>
                              </w:r>
                            </w:p>
                            <w:p w14:paraId="3ECF1687" w14:textId="77777777" w:rsidR="00147C8B" w:rsidRPr="00682390" w:rsidRDefault="00147C8B">
                              <w:pPr>
                                <w:rPr>
                                  <w:lang w:val="hy-AM"/>
                                </w:rPr>
                              </w:pPr>
                            </w:p>
                            <w:p w14:paraId="29A0028D" w14:textId="77777777" w:rsidR="00147C8B" w:rsidRPr="00A3353C" w:rsidRDefault="00147C8B" w:rsidP="00A3353C">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7A8E95F7" w14:textId="77777777" w:rsidR="00147C8B" w:rsidRPr="00454DBB" w:rsidRDefault="00147C8B" w:rsidP="00FD0C29">
                              <w:pPr>
                                <w:rPr>
                                  <w:b/>
                                  <w:color w:val="FFFFFF" w:themeColor="background1"/>
                                  <w:sz w:val="30"/>
                                  <w:szCs w:val="30"/>
                                  <w:lang w:val="hy-AM"/>
                                </w:rPr>
                              </w:pPr>
                              <w:r w:rsidRPr="00A3353C">
                                <w:rPr>
                                  <w:sz w:val="44"/>
                                  <w:szCs w:val="44"/>
                                  <w:lang w:val="hy-AM"/>
                                </w:rPr>
                                <w:t>ՀԻՄՆԱԿԱՆ ՈՒՂՂՈՒԹՅՈՒՆՆԵՐԻ ՄԱՍԻՆ</w:t>
                              </w:r>
                              <w:r w:rsidRPr="00454DBB">
                                <w:rPr>
                                  <w:b/>
                                  <w:color w:val="FFFFFF" w:themeColor="background1"/>
                                  <w:sz w:val="30"/>
                                  <w:szCs w:val="30"/>
                                  <w:lang w:val="hy-AM"/>
                                </w:rPr>
                                <w:t>Yerevan 2024</w:t>
                              </w:r>
                            </w:p>
                            <w:p w14:paraId="4B1C0E27" w14:textId="77777777" w:rsidR="00147C8B" w:rsidRPr="00454DBB" w:rsidRDefault="00147C8B">
                              <w:pPr>
                                <w:rPr>
                                  <w:lang w:val="hy-AM"/>
                                </w:rPr>
                              </w:pPr>
                            </w:p>
                            <w:p w14:paraId="0E57DDE4" w14:textId="77777777" w:rsidR="00147C8B" w:rsidRPr="00454DBB" w:rsidRDefault="00147C8B" w:rsidP="00FD0C29">
                              <w:pPr>
                                <w:rPr>
                                  <w:b/>
                                  <w:color w:val="FFFFFF" w:themeColor="background1"/>
                                  <w:sz w:val="30"/>
                                  <w:szCs w:val="30"/>
                                  <w:lang w:val="hy-AM"/>
                                </w:rPr>
                              </w:pPr>
                              <w:r w:rsidRPr="003A4CA5">
                                <w:rPr>
                                  <w:color w:val="FFFFFF" w:themeColor="background1"/>
                                  <w:sz w:val="40"/>
                                  <w:szCs w:val="40"/>
                                  <w:lang w:val="hy-AM"/>
                                </w:rPr>
                                <w:t>ՄԱՍ I: ՍՈՑԻԱԼ-ՏՆՏԵՍԱԿԱՆ ԶԱՐԳԱՑՄԱՆ, ՄԱԿՐՈՏՆՏԵՍԱԿԱՆ ԶԱՐԳԱՑՄԱՆ ԵՎ ՀԱՐԿԱԲՅՈՒՋԵՏԱՅԻՆ ՔԱՂԱՔԱԿԱՆՈՒԹՅԱՆ</w:t>
                              </w:r>
                              <w:r>
                                <w:rPr>
                                  <w:color w:val="FFFFFF" w:themeColor="background1"/>
                                  <w:sz w:val="40"/>
                                  <w:szCs w:val="40"/>
                                  <w:lang w:val="hy-AM"/>
                                </w:rPr>
                                <w:t xml:space="preserve"> </w:t>
                              </w:r>
                              <w:r w:rsidRPr="003A4CA5">
                                <w:rPr>
                                  <w:color w:val="auto"/>
                                  <w:sz w:val="40"/>
                                  <w:szCs w:val="40"/>
                                  <w:lang w:val="hy-AM"/>
                                </w:rPr>
                                <w:t>ՀԻՄՆԱԿԱՆ ՈՒՂՂՈՒԹՅՈՒՆՆԵՐԻ ՄԱՍԻՆ</w:t>
                              </w:r>
                              <w:r w:rsidRPr="00454DBB">
                                <w:rPr>
                                  <w:b/>
                                  <w:color w:val="FFFFFF" w:themeColor="background1"/>
                                  <w:sz w:val="30"/>
                                  <w:szCs w:val="30"/>
                                  <w:lang w:val="hy-AM"/>
                                </w:rPr>
                                <w:t>Yerevan 2024</w:t>
                              </w:r>
                            </w:p>
                            <w:p w14:paraId="5BE820A2" w14:textId="77777777" w:rsidR="00147C8B" w:rsidRPr="00454DBB" w:rsidRDefault="00147C8B">
                              <w:pPr>
                                <w:rPr>
                                  <w:lang w:val="hy-AM"/>
                                </w:rPr>
                              </w:pPr>
                            </w:p>
                            <w:p w14:paraId="7338D884" w14:textId="77777777" w:rsidR="00147C8B" w:rsidRPr="00A3353C" w:rsidRDefault="00147C8B" w:rsidP="00A3353C">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66D72ED8" w14:textId="77777777" w:rsidR="00147C8B" w:rsidRPr="00682390" w:rsidRDefault="00147C8B" w:rsidP="00FD0C29">
                              <w:pPr>
                                <w:rPr>
                                  <w:b/>
                                  <w:color w:val="FFFFFF" w:themeColor="background1"/>
                                  <w:sz w:val="30"/>
                                  <w:szCs w:val="30"/>
                                  <w:lang w:val="hy-AM"/>
                                </w:rPr>
                              </w:pPr>
                              <w:r w:rsidRPr="00A3353C">
                                <w:rPr>
                                  <w:sz w:val="44"/>
                                  <w:szCs w:val="44"/>
                                  <w:lang w:val="hy-AM"/>
                                </w:rPr>
                                <w:t>ՀԻՄՆԱԿԱՆ ՈՒՂՂՈՒԹՅՈՒՆՆԵՐԻ ՄԱՍԻՆ</w:t>
                              </w:r>
                              <w:r w:rsidRPr="00682390">
                                <w:rPr>
                                  <w:b/>
                                  <w:color w:val="FFFFFF" w:themeColor="background1"/>
                                  <w:sz w:val="30"/>
                                  <w:szCs w:val="30"/>
                                  <w:lang w:val="hy-AM"/>
                                </w:rPr>
                                <w:t>Yerevan 2024</w:t>
                              </w:r>
                            </w:p>
                            <w:p w14:paraId="682D0E13" w14:textId="77777777" w:rsidR="00147C8B" w:rsidRPr="00682390" w:rsidRDefault="00147C8B">
                              <w:pPr>
                                <w:rPr>
                                  <w:lang w:val="hy-AM"/>
                                </w:rPr>
                              </w:pPr>
                            </w:p>
                            <w:p w14:paraId="2381E78A" w14:textId="77777777" w:rsidR="00147C8B" w:rsidRPr="00A3353C" w:rsidRDefault="00147C8B" w:rsidP="00A3353C">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499C5D8B" w14:textId="77777777" w:rsidR="00147C8B" w:rsidRPr="00682390" w:rsidRDefault="00147C8B" w:rsidP="00FD0C29">
                              <w:pPr>
                                <w:rPr>
                                  <w:b/>
                                  <w:color w:val="FFFFFF" w:themeColor="background1"/>
                                  <w:sz w:val="30"/>
                                  <w:szCs w:val="30"/>
                                  <w:lang w:val="hy-AM"/>
                                </w:rPr>
                              </w:pPr>
                              <w:r w:rsidRPr="00A3353C">
                                <w:rPr>
                                  <w:sz w:val="44"/>
                                  <w:szCs w:val="44"/>
                                  <w:lang w:val="hy-AM"/>
                                </w:rPr>
                                <w:t>ՀԻՄՆԱԿԱՆ ՈՒՂՂՈՒԹՅՈՒՆՆԵՐԻ ՄԱՍԻՆ</w:t>
                              </w:r>
                              <w:r w:rsidRPr="00682390">
                                <w:rPr>
                                  <w:b/>
                                  <w:color w:val="FFFFFF" w:themeColor="background1"/>
                                  <w:sz w:val="30"/>
                                  <w:szCs w:val="30"/>
                                  <w:lang w:val="hy-AM"/>
                                </w:rPr>
                                <w:t>Yerevan 2024</w:t>
                              </w:r>
                            </w:p>
                            <w:p w14:paraId="0EBD711F" w14:textId="77777777" w:rsidR="00147C8B" w:rsidRPr="00682390" w:rsidRDefault="00147C8B">
                              <w:pPr>
                                <w:rPr>
                                  <w:lang w:val="hy-AM"/>
                                </w:rPr>
                              </w:pPr>
                            </w:p>
                            <w:p w14:paraId="14A95AA7" w14:textId="77777777" w:rsidR="00147C8B" w:rsidRPr="00A3353C" w:rsidRDefault="00147C8B" w:rsidP="00A3353C">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40076879" w14:textId="77777777" w:rsidR="00147C8B" w:rsidRPr="00A72B0A" w:rsidRDefault="00147C8B" w:rsidP="00FD0C29">
                              <w:pPr>
                                <w:rPr>
                                  <w:b/>
                                  <w:color w:val="FFFFFF" w:themeColor="background1"/>
                                  <w:sz w:val="30"/>
                                  <w:szCs w:val="30"/>
                                  <w:lang w:val="hy-AM"/>
                                </w:rPr>
                              </w:pPr>
                              <w:r w:rsidRPr="00A3353C">
                                <w:rPr>
                                  <w:sz w:val="44"/>
                                  <w:szCs w:val="44"/>
                                  <w:lang w:val="hy-AM"/>
                                </w:rPr>
                                <w:t>ՀԻՄՆԱԿԱՆ ՈՒՂՂՈՒԹՅՈՒՆՆԵՐԻ ՄԱՍԻՆ</w:t>
                              </w:r>
                              <w:r w:rsidRPr="00A72B0A">
                                <w:rPr>
                                  <w:b/>
                                  <w:color w:val="FFFFFF" w:themeColor="background1"/>
                                  <w:sz w:val="30"/>
                                  <w:szCs w:val="30"/>
                                  <w:lang w:val="hy-AM"/>
                                </w:rPr>
                                <w:t>Yerevan 2024</w:t>
                              </w:r>
                            </w:p>
                            <w:p w14:paraId="773FBF72" w14:textId="77777777" w:rsidR="00147C8B" w:rsidRPr="00A72B0A" w:rsidRDefault="00147C8B">
                              <w:pPr>
                                <w:rPr>
                                  <w:lang w:val="hy-AM"/>
                                </w:rPr>
                              </w:pPr>
                            </w:p>
                            <w:p w14:paraId="63A08248" w14:textId="77777777" w:rsidR="00147C8B" w:rsidRPr="00A72B0A" w:rsidRDefault="00147C8B" w:rsidP="00FD0C29">
                              <w:pPr>
                                <w:rPr>
                                  <w:b/>
                                  <w:color w:val="FFFFFF" w:themeColor="background1"/>
                                  <w:sz w:val="30"/>
                                  <w:szCs w:val="30"/>
                                  <w:lang w:val="hy-AM"/>
                                </w:rPr>
                              </w:pPr>
                              <w:r w:rsidRPr="00A72B0A">
                                <w:rPr>
                                  <w:color w:val="FFFFFF" w:themeColor="background1"/>
                                  <w:lang w:val="hy-AM"/>
                                </w:rPr>
                                <w:t xml:space="preserve">ՄԱՍ I: ՍՈՑԻԱԼ-ՏՆՏԵՍԱԿԱՆ ԶԱՐԳԱՑՄԱՆ, ՄԱԿՐՈՏՆՏԵՍԱԿԱՆ ԶԱՐԳԱՑՄԱՆ ԵՎ ՀԱՐԿԱԲՅՈՒՋԵՏԱՅԻՆ ՔԱՂԱՔԱԿԱՆՈՒԹՅԱՆ </w:t>
                              </w:r>
                              <w:r w:rsidRPr="003A4CA5">
                                <w:rPr>
                                  <w:color w:val="auto"/>
                                  <w:lang w:val="hy-AM"/>
                                </w:rPr>
                                <w:t>ՀԻՄՆԱԿԱՆ ՈՒՂՂՈՒԹՅՈՒՆՆԵՐԻ ՄԱՍԻՆ</w:t>
                              </w:r>
                              <w:r w:rsidRPr="00A72B0A">
                                <w:rPr>
                                  <w:b/>
                                  <w:color w:val="FFFFFF" w:themeColor="background1"/>
                                  <w:sz w:val="30"/>
                                  <w:szCs w:val="30"/>
                                  <w:lang w:val="hy-AM"/>
                                </w:rPr>
                                <w:t>Yerevan 2024</w:t>
                              </w:r>
                            </w:p>
                            <w:p w14:paraId="1FB2E664" w14:textId="77777777" w:rsidR="00147C8B" w:rsidRPr="00A72B0A" w:rsidRDefault="00147C8B">
                              <w:pPr>
                                <w:rPr>
                                  <w:lang w:val="hy-AM"/>
                                </w:rPr>
                              </w:pPr>
                            </w:p>
                            <w:p w14:paraId="2D3D42D3" w14:textId="77777777" w:rsidR="00147C8B" w:rsidRPr="00A3353C" w:rsidRDefault="00147C8B" w:rsidP="00A3353C">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223970D8" w14:textId="77777777" w:rsidR="00147C8B" w:rsidRPr="00682390" w:rsidRDefault="00147C8B" w:rsidP="00FD0C29">
                              <w:pPr>
                                <w:rPr>
                                  <w:b/>
                                  <w:color w:val="FFFFFF" w:themeColor="background1"/>
                                  <w:sz w:val="30"/>
                                  <w:szCs w:val="30"/>
                                  <w:lang w:val="hy-AM"/>
                                </w:rPr>
                              </w:pPr>
                              <w:r w:rsidRPr="00A3353C">
                                <w:rPr>
                                  <w:sz w:val="44"/>
                                  <w:szCs w:val="44"/>
                                  <w:lang w:val="hy-AM"/>
                                </w:rPr>
                                <w:t>ՀԻՄՆԱԿԱՆ ՈՒՂՂՈՒԹՅՈՒՆՆԵՐԻ ՄԱՍԻՆ</w:t>
                              </w:r>
                              <w:r w:rsidRPr="00682390">
                                <w:rPr>
                                  <w:b/>
                                  <w:color w:val="FFFFFF" w:themeColor="background1"/>
                                  <w:sz w:val="30"/>
                                  <w:szCs w:val="30"/>
                                  <w:lang w:val="hy-AM"/>
                                </w:rPr>
                                <w:t>Yerevan 2024</w:t>
                              </w:r>
                            </w:p>
                            <w:p w14:paraId="10AAE04B" w14:textId="77777777" w:rsidR="00147C8B" w:rsidRPr="00682390" w:rsidRDefault="00147C8B">
                              <w:pPr>
                                <w:rPr>
                                  <w:lang w:val="hy-AM"/>
                                </w:rPr>
                              </w:pPr>
                            </w:p>
                            <w:p w14:paraId="066B5E36" w14:textId="77777777" w:rsidR="00147C8B" w:rsidRPr="00A3353C" w:rsidRDefault="00147C8B" w:rsidP="00A3353C">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600A0399" w14:textId="77777777" w:rsidR="00147C8B" w:rsidRPr="00682390" w:rsidRDefault="00147C8B" w:rsidP="00FD0C29">
                              <w:pPr>
                                <w:rPr>
                                  <w:b/>
                                  <w:color w:val="FFFFFF" w:themeColor="background1"/>
                                  <w:sz w:val="30"/>
                                  <w:szCs w:val="30"/>
                                  <w:lang w:val="hy-AM"/>
                                </w:rPr>
                              </w:pPr>
                              <w:r w:rsidRPr="00A3353C">
                                <w:rPr>
                                  <w:sz w:val="44"/>
                                  <w:szCs w:val="44"/>
                                  <w:lang w:val="hy-AM"/>
                                </w:rPr>
                                <w:t>ՀԻՄՆԱԿԱՆ ՈՒՂՂՈՒԹՅՈՒՆՆԵՐԻ ՄԱՍԻՆ</w:t>
                              </w:r>
                              <w:r w:rsidRPr="00682390">
                                <w:rPr>
                                  <w:b/>
                                  <w:color w:val="FFFFFF" w:themeColor="background1"/>
                                  <w:sz w:val="30"/>
                                  <w:szCs w:val="30"/>
                                  <w:lang w:val="hy-AM"/>
                                </w:rPr>
                                <w:t>Yerevan 2024</w:t>
                              </w:r>
                            </w:p>
                            <w:p w14:paraId="7B38F772" w14:textId="77777777" w:rsidR="00147C8B" w:rsidRPr="00682390" w:rsidRDefault="00147C8B">
                              <w:pPr>
                                <w:rPr>
                                  <w:lang w:val="hy-AM"/>
                                </w:rPr>
                              </w:pPr>
                            </w:p>
                            <w:p w14:paraId="5379BBB6" w14:textId="77777777" w:rsidR="00147C8B" w:rsidRPr="00A3353C" w:rsidRDefault="00147C8B" w:rsidP="00A3353C">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00231328" w14:textId="77777777" w:rsidR="00147C8B" w:rsidRPr="00454DBB" w:rsidRDefault="00147C8B" w:rsidP="00FD0C29">
                              <w:pPr>
                                <w:rPr>
                                  <w:b/>
                                  <w:color w:val="FFFFFF" w:themeColor="background1"/>
                                  <w:sz w:val="30"/>
                                  <w:szCs w:val="30"/>
                                  <w:lang w:val="hy-AM"/>
                                </w:rPr>
                              </w:pPr>
                              <w:r w:rsidRPr="00A3353C">
                                <w:rPr>
                                  <w:sz w:val="44"/>
                                  <w:szCs w:val="44"/>
                                  <w:lang w:val="hy-AM"/>
                                </w:rPr>
                                <w:t>ՀԻՄՆԱԿԱՆ ՈՒՂՂՈՒԹՅՈՒՆՆԵՐԻ ՄԱՍԻՆ</w:t>
                              </w:r>
                              <w:r w:rsidRPr="00454DBB">
                                <w:rPr>
                                  <w:b/>
                                  <w:color w:val="FFFFFF" w:themeColor="background1"/>
                                  <w:sz w:val="30"/>
                                  <w:szCs w:val="30"/>
                                  <w:lang w:val="hy-AM"/>
                                </w:rPr>
                                <w:t>Yerevan 2024</w:t>
                              </w:r>
                            </w:p>
                            <w:p w14:paraId="5CA2976F" w14:textId="77777777" w:rsidR="00147C8B" w:rsidRPr="00454DBB" w:rsidRDefault="00147C8B">
                              <w:pPr>
                                <w:rPr>
                                  <w:lang w:val="hy-AM"/>
                                </w:rPr>
                              </w:pPr>
                            </w:p>
                            <w:p w14:paraId="6498561D" w14:textId="77777777" w:rsidR="00147C8B" w:rsidRPr="00454DBB" w:rsidRDefault="00147C8B" w:rsidP="00FD0C29">
                              <w:pPr>
                                <w:rPr>
                                  <w:b/>
                                  <w:color w:val="FFFFFF" w:themeColor="background1"/>
                                  <w:sz w:val="30"/>
                                  <w:szCs w:val="30"/>
                                  <w:lang w:val="hy-AM"/>
                                </w:rPr>
                              </w:pPr>
                              <w:r w:rsidRPr="003A4CA5">
                                <w:rPr>
                                  <w:color w:val="FFFFFF" w:themeColor="background1"/>
                                  <w:sz w:val="40"/>
                                  <w:szCs w:val="40"/>
                                  <w:lang w:val="hy-AM"/>
                                </w:rPr>
                                <w:t>ՄԱՍ I: ՍՈՑԻԱԼ-ՏՆՏԵՍԱԿԱՆ ԶԱՐԳԱՑՄԱՆ, ՄԱԿՐՈՏՆՏԵՍԱԿԱՆ ԶԱՐԳԱՑՄԱՆ ԵՎ ՀԱՐԿԱԲՅՈՒՋԵՏԱՅԻՆ ՔԱՂԱՔԱԿԱՆՈՒԹՅԱՆ</w:t>
                              </w:r>
                              <w:r>
                                <w:rPr>
                                  <w:color w:val="FFFFFF" w:themeColor="background1"/>
                                  <w:sz w:val="40"/>
                                  <w:szCs w:val="40"/>
                                  <w:lang w:val="hy-AM"/>
                                </w:rPr>
                                <w:t xml:space="preserve"> </w:t>
                              </w:r>
                              <w:r w:rsidRPr="003A4CA5">
                                <w:rPr>
                                  <w:color w:val="auto"/>
                                  <w:sz w:val="40"/>
                                  <w:szCs w:val="40"/>
                                  <w:lang w:val="hy-AM"/>
                                </w:rPr>
                                <w:t>ՀԻՄՆԱԿԱՆ ՈՒՂՂՈՒԹՅՈՒՆՆԵՐԻ ՄԱՍԻՆ</w:t>
                              </w:r>
                              <w:r w:rsidRPr="00454DBB">
                                <w:rPr>
                                  <w:b/>
                                  <w:color w:val="FFFFFF" w:themeColor="background1"/>
                                  <w:sz w:val="30"/>
                                  <w:szCs w:val="30"/>
                                  <w:lang w:val="hy-AM"/>
                                </w:rPr>
                                <w:t>Yerevan 2024</w:t>
                              </w:r>
                            </w:p>
                            <w:p w14:paraId="432C8820" w14:textId="77777777" w:rsidR="00147C8B" w:rsidRPr="00454DBB" w:rsidRDefault="00147C8B">
                              <w:pPr>
                                <w:rPr>
                                  <w:lang w:val="hy-AM"/>
                                </w:rPr>
                              </w:pPr>
                            </w:p>
                            <w:p w14:paraId="1E6F1B8E" w14:textId="77777777" w:rsidR="00147C8B" w:rsidRPr="00A3353C" w:rsidRDefault="00147C8B" w:rsidP="00A3353C">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2780C797" w14:textId="77777777" w:rsidR="00147C8B" w:rsidRPr="00682390" w:rsidRDefault="00147C8B" w:rsidP="00FD0C29">
                              <w:pPr>
                                <w:rPr>
                                  <w:b/>
                                  <w:color w:val="FFFFFF" w:themeColor="background1"/>
                                  <w:sz w:val="30"/>
                                  <w:szCs w:val="30"/>
                                  <w:lang w:val="hy-AM"/>
                                </w:rPr>
                              </w:pPr>
                              <w:r w:rsidRPr="00A3353C">
                                <w:rPr>
                                  <w:sz w:val="44"/>
                                  <w:szCs w:val="44"/>
                                  <w:lang w:val="hy-AM"/>
                                </w:rPr>
                                <w:t>ՀԻՄՆԱԿԱՆ ՈՒՂՂՈՒԹՅՈՒՆՆԵՐԻ ՄԱՍԻՆ</w:t>
                              </w:r>
                              <w:r w:rsidRPr="00682390">
                                <w:rPr>
                                  <w:b/>
                                  <w:color w:val="FFFFFF" w:themeColor="background1"/>
                                  <w:sz w:val="30"/>
                                  <w:szCs w:val="30"/>
                                  <w:lang w:val="hy-AM"/>
                                </w:rPr>
                                <w:t>Yerevan 2024</w:t>
                              </w:r>
                            </w:p>
                            <w:p w14:paraId="1275BDC1" w14:textId="77777777" w:rsidR="00147C8B" w:rsidRPr="00682390" w:rsidRDefault="00147C8B">
                              <w:pPr>
                                <w:rPr>
                                  <w:lang w:val="hy-AM"/>
                                </w:rPr>
                              </w:pPr>
                            </w:p>
                            <w:p w14:paraId="49FD5D0B" w14:textId="77777777" w:rsidR="00147C8B" w:rsidRPr="00A3353C" w:rsidRDefault="00147C8B" w:rsidP="00A3353C">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17E75739" w14:textId="77777777" w:rsidR="00147C8B" w:rsidRPr="00682390" w:rsidRDefault="00147C8B" w:rsidP="00FD0C29">
                              <w:pPr>
                                <w:rPr>
                                  <w:b/>
                                  <w:color w:val="FFFFFF" w:themeColor="background1"/>
                                  <w:sz w:val="30"/>
                                  <w:szCs w:val="30"/>
                                  <w:lang w:val="hy-AM"/>
                                </w:rPr>
                              </w:pPr>
                              <w:r w:rsidRPr="00A3353C">
                                <w:rPr>
                                  <w:sz w:val="44"/>
                                  <w:szCs w:val="44"/>
                                  <w:lang w:val="hy-AM"/>
                                </w:rPr>
                                <w:t>ՀԻՄՆԱԿԱՆ ՈՒՂՂՈՒԹՅՈՒՆՆԵՐԻ ՄԱՍԻՆ</w:t>
                              </w:r>
                              <w:r w:rsidRPr="00682390">
                                <w:rPr>
                                  <w:b/>
                                  <w:color w:val="FFFFFF" w:themeColor="background1"/>
                                  <w:sz w:val="30"/>
                                  <w:szCs w:val="30"/>
                                  <w:lang w:val="hy-AM"/>
                                </w:rPr>
                                <w:t>Yerevan 2024</w:t>
                              </w:r>
                            </w:p>
                            <w:p w14:paraId="2109F296" w14:textId="77777777" w:rsidR="00147C8B" w:rsidRPr="00682390" w:rsidRDefault="00147C8B">
                              <w:pPr>
                                <w:rPr>
                                  <w:lang w:val="hy-AM"/>
                                </w:rPr>
                              </w:pPr>
                            </w:p>
                            <w:p w14:paraId="15AC25E8" w14:textId="77777777" w:rsidR="00147C8B" w:rsidRPr="00A3353C" w:rsidRDefault="00147C8B" w:rsidP="00A3353C">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0836FEB7" w14:textId="77777777" w:rsidR="00147C8B" w:rsidRPr="003A5AE3" w:rsidRDefault="00147C8B" w:rsidP="00FD0C29">
                              <w:pPr>
                                <w:rPr>
                                  <w:b/>
                                  <w:color w:val="FFFFFF" w:themeColor="background1"/>
                                  <w:sz w:val="30"/>
                                  <w:szCs w:val="30"/>
                                  <w:lang w:val="hy-AM"/>
                                </w:rPr>
                              </w:pPr>
                              <w:r w:rsidRPr="00A3353C">
                                <w:rPr>
                                  <w:sz w:val="44"/>
                                  <w:szCs w:val="44"/>
                                  <w:lang w:val="hy-AM"/>
                                </w:rPr>
                                <w:t>ՀԻՄՆԱԿԱՆ ՈՒՂՂՈՒԹՅՈՒՆՆԵՐԻ ՄԱՍԻՆ</w:t>
                              </w:r>
                              <w:r w:rsidRPr="003A5AE3">
                                <w:rPr>
                                  <w:b/>
                                  <w:color w:val="FFFFFF" w:themeColor="background1"/>
                                  <w:sz w:val="30"/>
                                  <w:szCs w:val="30"/>
                                  <w:lang w:val="hy-AM"/>
                                </w:rPr>
                                <w:t>Yerevan 2024</w:t>
                              </w:r>
                            </w:p>
                            <w:p w14:paraId="40D66642" w14:textId="77777777" w:rsidR="00147C8B" w:rsidRPr="003A5AE3" w:rsidRDefault="00147C8B">
                              <w:pPr>
                                <w:rPr>
                                  <w:lang w:val="hy-AM"/>
                                </w:rPr>
                              </w:pPr>
                            </w:p>
                            <w:p w14:paraId="7C1DB928" w14:textId="77777777" w:rsidR="00147C8B" w:rsidRPr="003A5AE3" w:rsidRDefault="00147C8B" w:rsidP="00FD0C29">
                              <w:pPr>
                                <w:rPr>
                                  <w:b/>
                                  <w:color w:val="FFFFFF" w:themeColor="background1"/>
                                  <w:sz w:val="30"/>
                                  <w:szCs w:val="30"/>
                                  <w:lang w:val="hy-AM"/>
                                </w:rPr>
                              </w:pPr>
                              <w:r w:rsidRPr="003A4CA5">
                                <w:rPr>
                                  <w:color w:val="FFFFFF" w:themeColor="background1"/>
                                  <w:sz w:val="40"/>
                                  <w:szCs w:val="40"/>
                                  <w:lang w:val="hy-AM"/>
                                </w:rPr>
                                <w:t>ՄԱՍ I: ՍՈՑԻԱԼ-ՏՆՏԵՍԱԿԱՆ ԶԱՐԳԱՑՄԱՆ, ՄԱԿՐՈՏՆՏԵՍԱԿԱՆ ԶԱՐԳԱՑՄԱՆ ԵՎ ՀԱՐԿԱԲՅՈՒՋԵՏԱՅԻՆ ՔԱՂԱՔԱԿԱՆՈՒԹՅԱՆ</w:t>
                              </w:r>
                              <w:r>
                                <w:rPr>
                                  <w:color w:val="FFFFFF" w:themeColor="background1"/>
                                  <w:sz w:val="40"/>
                                  <w:szCs w:val="40"/>
                                  <w:lang w:val="hy-AM"/>
                                </w:rPr>
                                <w:t xml:space="preserve"> </w:t>
                              </w:r>
                              <w:r w:rsidRPr="003A4CA5">
                                <w:rPr>
                                  <w:color w:val="auto"/>
                                  <w:sz w:val="40"/>
                                  <w:szCs w:val="40"/>
                                  <w:lang w:val="hy-AM"/>
                                </w:rPr>
                                <w:t>ՀԻՄՆԱԿԱՆ ՈՒՂՂՈՒԹՅՈՒՆՆԵՐԻ ՄԱՍԻՆ</w:t>
                              </w:r>
                              <w:r w:rsidRPr="003A5AE3">
                                <w:rPr>
                                  <w:b/>
                                  <w:color w:val="FFFFFF" w:themeColor="background1"/>
                                  <w:sz w:val="30"/>
                                  <w:szCs w:val="30"/>
                                  <w:lang w:val="hy-AM"/>
                                </w:rPr>
                                <w:t>Yerevan 2024</w:t>
                              </w:r>
                            </w:p>
                            <w:p w14:paraId="1B5522CD" w14:textId="77777777" w:rsidR="00147C8B" w:rsidRPr="003A5AE3" w:rsidRDefault="00147C8B">
                              <w:pPr>
                                <w:rPr>
                                  <w:lang w:val="hy-AM"/>
                                </w:rPr>
                              </w:pPr>
                            </w:p>
                            <w:p w14:paraId="2C24E246" w14:textId="77777777" w:rsidR="00147C8B" w:rsidRPr="00A3353C" w:rsidRDefault="00147C8B" w:rsidP="00A3353C">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1E095C11" w14:textId="77777777" w:rsidR="00147C8B" w:rsidRPr="00682390" w:rsidRDefault="00147C8B" w:rsidP="00FD0C29">
                              <w:pPr>
                                <w:rPr>
                                  <w:b/>
                                  <w:color w:val="FFFFFF" w:themeColor="background1"/>
                                  <w:sz w:val="30"/>
                                  <w:szCs w:val="30"/>
                                  <w:lang w:val="hy-AM"/>
                                </w:rPr>
                              </w:pPr>
                              <w:r w:rsidRPr="00A3353C">
                                <w:rPr>
                                  <w:sz w:val="44"/>
                                  <w:szCs w:val="44"/>
                                  <w:lang w:val="hy-AM"/>
                                </w:rPr>
                                <w:t>ՀԻՄՆԱԿԱՆ ՈՒՂՂՈՒԹՅՈՒՆՆԵՐԻ ՄԱՍԻՆ</w:t>
                              </w:r>
                              <w:r w:rsidRPr="00682390">
                                <w:rPr>
                                  <w:b/>
                                  <w:color w:val="FFFFFF" w:themeColor="background1"/>
                                  <w:sz w:val="30"/>
                                  <w:szCs w:val="30"/>
                                  <w:lang w:val="hy-AM"/>
                                </w:rPr>
                                <w:t>Yerevan 2024</w:t>
                              </w:r>
                            </w:p>
                            <w:p w14:paraId="681DBA56" w14:textId="77777777" w:rsidR="00147C8B" w:rsidRPr="00682390" w:rsidRDefault="00147C8B">
                              <w:pPr>
                                <w:rPr>
                                  <w:lang w:val="hy-AM"/>
                                </w:rPr>
                              </w:pPr>
                            </w:p>
                            <w:p w14:paraId="57825DFE" w14:textId="77777777" w:rsidR="00147C8B" w:rsidRPr="00A3353C" w:rsidRDefault="00147C8B" w:rsidP="00A3353C">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3F5CB091" w14:textId="77777777" w:rsidR="00147C8B" w:rsidRPr="00682390" w:rsidRDefault="00147C8B" w:rsidP="00FD0C29">
                              <w:pPr>
                                <w:rPr>
                                  <w:b/>
                                  <w:color w:val="FFFFFF" w:themeColor="background1"/>
                                  <w:sz w:val="30"/>
                                  <w:szCs w:val="30"/>
                                  <w:lang w:val="hy-AM"/>
                                </w:rPr>
                              </w:pPr>
                              <w:r w:rsidRPr="00A3353C">
                                <w:rPr>
                                  <w:sz w:val="44"/>
                                  <w:szCs w:val="44"/>
                                  <w:lang w:val="hy-AM"/>
                                </w:rPr>
                                <w:t>ՀԻՄՆԱԿԱՆ ՈՒՂՂՈՒԹՅՈՒՆՆԵՐԻ ՄԱՍԻՆ</w:t>
                              </w:r>
                              <w:r w:rsidRPr="00682390">
                                <w:rPr>
                                  <w:b/>
                                  <w:color w:val="FFFFFF" w:themeColor="background1"/>
                                  <w:sz w:val="30"/>
                                  <w:szCs w:val="30"/>
                                  <w:lang w:val="hy-AM"/>
                                </w:rPr>
                                <w:t>Yerevan 2024</w:t>
                              </w:r>
                            </w:p>
                            <w:p w14:paraId="61EE759A" w14:textId="77777777" w:rsidR="00147C8B" w:rsidRPr="00682390" w:rsidRDefault="00147C8B">
                              <w:pPr>
                                <w:rPr>
                                  <w:lang w:val="hy-AM"/>
                                </w:rPr>
                              </w:pPr>
                            </w:p>
                            <w:p w14:paraId="1422875D" w14:textId="77777777" w:rsidR="00147C8B" w:rsidRPr="00A3353C" w:rsidRDefault="00147C8B" w:rsidP="00A3353C">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0BAFBC47" w14:textId="77777777" w:rsidR="00147C8B" w:rsidRPr="00454DBB" w:rsidRDefault="00147C8B" w:rsidP="00FD0C29">
                              <w:pPr>
                                <w:rPr>
                                  <w:b/>
                                  <w:color w:val="FFFFFF" w:themeColor="background1"/>
                                  <w:sz w:val="30"/>
                                  <w:szCs w:val="30"/>
                                  <w:lang w:val="hy-AM"/>
                                </w:rPr>
                              </w:pPr>
                              <w:r w:rsidRPr="00A3353C">
                                <w:rPr>
                                  <w:sz w:val="44"/>
                                  <w:szCs w:val="44"/>
                                  <w:lang w:val="hy-AM"/>
                                </w:rPr>
                                <w:t>ՀԻՄՆԱԿԱՆ ՈՒՂՂՈՒԹՅՈՒՆՆԵՐԻ ՄԱՍԻՆ</w:t>
                              </w:r>
                              <w:r w:rsidRPr="00454DBB">
                                <w:rPr>
                                  <w:b/>
                                  <w:color w:val="FFFFFF" w:themeColor="background1"/>
                                  <w:sz w:val="30"/>
                                  <w:szCs w:val="30"/>
                                  <w:lang w:val="hy-AM"/>
                                </w:rPr>
                                <w:t>Yerevan 2024</w:t>
                              </w:r>
                            </w:p>
                            <w:p w14:paraId="6FD699D3" w14:textId="77777777" w:rsidR="00147C8B" w:rsidRPr="00454DBB" w:rsidRDefault="00147C8B">
                              <w:pPr>
                                <w:rPr>
                                  <w:lang w:val="hy-AM"/>
                                </w:rPr>
                              </w:pPr>
                            </w:p>
                            <w:p w14:paraId="16D83009" w14:textId="77777777" w:rsidR="00147C8B" w:rsidRPr="00454DBB" w:rsidRDefault="00147C8B" w:rsidP="00FD0C29">
                              <w:pPr>
                                <w:rPr>
                                  <w:b/>
                                  <w:color w:val="FFFFFF" w:themeColor="background1"/>
                                  <w:sz w:val="30"/>
                                  <w:szCs w:val="30"/>
                                  <w:lang w:val="hy-AM"/>
                                </w:rPr>
                              </w:pPr>
                              <w:r w:rsidRPr="003A4CA5">
                                <w:rPr>
                                  <w:color w:val="FFFFFF" w:themeColor="background1"/>
                                  <w:sz w:val="40"/>
                                  <w:szCs w:val="40"/>
                                  <w:lang w:val="hy-AM"/>
                                </w:rPr>
                                <w:t>ՄԱՍ I: ՍՈՑԻԱԼ-ՏՆՏԵՍԱԿԱՆ ԶԱՐԳԱՑՄԱՆ, ՄԱԿՐՈՏՆՏԵՍԱԿԱՆ ԶԱՐԳԱՑՄԱՆ ԵՎ ՀԱՐԿԱԲՅՈՒՋԵՏԱՅԻՆ ՔԱՂԱՔԱԿԱՆՈՒԹՅԱՆ</w:t>
                              </w:r>
                              <w:r>
                                <w:rPr>
                                  <w:color w:val="FFFFFF" w:themeColor="background1"/>
                                  <w:sz w:val="40"/>
                                  <w:szCs w:val="40"/>
                                  <w:lang w:val="hy-AM"/>
                                </w:rPr>
                                <w:t xml:space="preserve"> </w:t>
                              </w:r>
                              <w:r w:rsidRPr="003A4CA5">
                                <w:rPr>
                                  <w:color w:val="auto"/>
                                  <w:sz w:val="40"/>
                                  <w:szCs w:val="40"/>
                                  <w:lang w:val="hy-AM"/>
                                </w:rPr>
                                <w:t>ՀԻՄՆԱԿԱՆ ՈՒՂՂՈՒԹՅՈՒՆՆԵՐԻ ՄԱՍԻՆ</w:t>
                              </w:r>
                              <w:r w:rsidRPr="00454DBB">
                                <w:rPr>
                                  <w:b/>
                                  <w:color w:val="FFFFFF" w:themeColor="background1"/>
                                  <w:sz w:val="30"/>
                                  <w:szCs w:val="30"/>
                                  <w:lang w:val="hy-AM"/>
                                </w:rPr>
                                <w:t>Yerevan 2024</w:t>
                              </w:r>
                            </w:p>
                            <w:p w14:paraId="7EB790D3" w14:textId="77777777" w:rsidR="00147C8B" w:rsidRPr="00454DBB" w:rsidRDefault="00147C8B">
                              <w:pPr>
                                <w:rPr>
                                  <w:lang w:val="hy-AM"/>
                                </w:rPr>
                              </w:pPr>
                            </w:p>
                            <w:p w14:paraId="633BDA66" w14:textId="77777777" w:rsidR="00147C8B" w:rsidRPr="00A3353C" w:rsidRDefault="00147C8B" w:rsidP="00A3353C">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0A365CB1" w14:textId="77777777" w:rsidR="00147C8B" w:rsidRPr="00682390" w:rsidRDefault="00147C8B" w:rsidP="00FD0C29">
                              <w:pPr>
                                <w:rPr>
                                  <w:b/>
                                  <w:color w:val="FFFFFF" w:themeColor="background1"/>
                                  <w:sz w:val="30"/>
                                  <w:szCs w:val="30"/>
                                  <w:lang w:val="hy-AM"/>
                                </w:rPr>
                              </w:pPr>
                              <w:r w:rsidRPr="00A3353C">
                                <w:rPr>
                                  <w:sz w:val="44"/>
                                  <w:szCs w:val="44"/>
                                  <w:lang w:val="hy-AM"/>
                                </w:rPr>
                                <w:t>ՀԻՄՆԱԿԱՆ ՈՒՂՂՈՒԹՅՈՒՆՆԵՐԻ ՄԱՍԻՆ</w:t>
                              </w:r>
                              <w:r w:rsidRPr="00682390">
                                <w:rPr>
                                  <w:b/>
                                  <w:color w:val="FFFFFF" w:themeColor="background1"/>
                                  <w:sz w:val="30"/>
                                  <w:szCs w:val="30"/>
                                  <w:lang w:val="hy-AM"/>
                                </w:rPr>
                                <w:t>Yerevan 2024</w:t>
                              </w:r>
                            </w:p>
                            <w:p w14:paraId="628E9969" w14:textId="77777777" w:rsidR="00147C8B" w:rsidRPr="00682390" w:rsidRDefault="00147C8B">
                              <w:pPr>
                                <w:rPr>
                                  <w:lang w:val="hy-AM"/>
                                </w:rPr>
                              </w:pPr>
                            </w:p>
                            <w:p w14:paraId="13A04A4E" w14:textId="77777777" w:rsidR="00147C8B" w:rsidRPr="00A3353C" w:rsidRDefault="00147C8B" w:rsidP="00A3353C">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074F612A" w14:textId="77777777" w:rsidR="00147C8B" w:rsidRPr="00682390" w:rsidRDefault="00147C8B" w:rsidP="00FD0C29">
                              <w:pPr>
                                <w:rPr>
                                  <w:b/>
                                  <w:color w:val="FFFFFF" w:themeColor="background1"/>
                                  <w:sz w:val="30"/>
                                  <w:szCs w:val="30"/>
                                  <w:lang w:val="hy-AM"/>
                                </w:rPr>
                              </w:pPr>
                              <w:r w:rsidRPr="00A3353C">
                                <w:rPr>
                                  <w:sz w:val="44"/>
                                  <w:szCs w:val="44"/>
                                  <w:lang w:val="hy-AM"/>
                                </w:rPr>
                                <w:t>ՀԻՄՆԱԿԱՆ ՈՒՂՂՈՒԹՅՈՒՆՆԵՐԻ ՄԱՍԻՆ</w:t>
                              </w:r>
                              <w:r w:rsidRPr="00682390">
                                <w:rPr>
                                  <w:b/>
                                  <w:color w:val="FFFFFF" w:themeColor="background1"/>
                                  <w:sz w:val="30"/>
                                  <w:szCs w:val="30"/>
                                  <w:lang w:val="hy-AM"/>
                                </w:rPr>
                                <w:t>Yerevan 2024</w:t>
                              </w:r>
                            </w:p>
                            <w:p w14:paraId="0B4F3F09" w14:textId="77777777" w:rsidR="00147C8B" w:rsidRPr="00682390" w:rsidRDefault="00147C8B">
                              <w:pPr>
                                <w:rPr>
                                  <w:lang w:val="hy-AM"/>
                                </w:rPr>
                              </w:pPr>
                            </w:p>
                            <w:p w14:paraId="7A31E746" w14:textId="77777777" w:rsidR="00147C8B" w:rsidRPr="00A3353C" w:rsidRDefault="00147C8B" w:rsidP="00A3353C">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678272AC" w14:textId="77777777" w:rsidR="00147C8B" w:rsidRPr="00202938" w:rsidRDefault="00147C8B" w:rsidP="00FD0C29">
                              <w:pPr>
                                <w:rPr>
                                  <w:b/>
                                  <w:color w:val="FFFFFF" w:themeColor="background1"/>
                                  <w:sz w:val="30"/>
                                  <w:szCs w:val="30"/>
                                  <w:lang w:val="hy-AM"/>
                                </w:rPr>
                              </w:pPr>
                              <w:r w:rsidRPr="00A3353C">
                                <w:rPr>
                                  <w:sz w:val="44"/>
                                  <w:szCs w:val="44"/>
                                  <w:lang w:val="hy-AM"/>
                                </w:rPr>
                                <w:t>ՀԻՄՆԱԿԱՆ ՈՒՂՂՈՒԹՅՈՒՆՆԵՐԻ ՄԱՍԻՆ</w:t>
                              </w:r>
                              <w:r w:rsidRPr="00202938">
                                <w:rPr>
                                  <w:b/>
                                  <w:color w:val="FFFFFF" w:themeColor="background1"/>
                                  <w:sz w:val="30"/>
                                  <w:szCs w:val="30"/>
                                  <w:lang w:val="hy-AM"/>
                                </w:rPr>
                                <w:t>Yerevan 2024</w:t>
                              </w:r>
                            </w:p>
                            <w:p w14:paraId="12760F46" w14:textId="77777777" w:rsidR="00147C8B" w:rsidRPr="00202938" w:rsidRDefault="00147C8B">
                              <w:pPr>
                                <w:rPr>
                                  <w:lang w:val="hy-AM"/>
                                </w:rPr>
                              </w:pPr>
                            </w:p>
                            <w:p w14:paraId="56349B4A" w14:textId="77777777" w:rsidR="00147C8B" w:rsidRPr="00202938" w:rsidRDefault="00147C8B" w:rsidP="00FD0C29">
                              <w:pPr>
                                <w:rPr>
                                  <w:b/>
                                  <w:color w:val="FFFFFF" w:themeColor="background1"/>
                                  <w:sz w:val="30"/>
                                  <w:szCs w:val="30"/>
                                  <w:lang w:val="hy-AM"/>
                                </w:rPr>
                              </w:pPr>
                              <w:r w:rsidRPr="003A4CA5">
                                <w:rPr>
                                  <w:color w:val="FFFFFF" w:themeColor="background1"/>
                                  <w:sz w:val="40"/>
                                  <w:szCs w:val="40"/>
                                  <w:lang w:val="hy-AM"/>
                                </w:rPr>
                                <w:t>ՄԱՍ I: ՍՈՑԻԱԼ-ՏՆՏԵՍԱԿԱՆ ԶԱՐԳԱՑՄԱՆ, ՄԱԿՐ</w:t>
                              </w:r>
                              <w:r w:rsidRPr="00487DE5">
                                <w:rPr>
                                  <w:color w:val="FFFFFF" w:themeColor="background1"/>
                                  <w:sz w:val="40"/>
                                  <w:szCs w:val="40"/>
                                  <w:lang w:val="hy-AM"/>
                                </w:rPr>
                                <w:t>ՈՏՆՏԵՍԱ</w:t>
                              </w:r>
                              <w:r w:rsidRPr="003A4CA5">
                                <w:rPr>
                                  <w:color w:val="FFFFFF" w:themeColor="background1"/>
                                  <w:sz w:val="40"/>
                                  <w:szCs w:val="40"/>
                                  <w:lang w:val="hy-AM"/>
                                </w:rPr>
                                <w:t>ԿԱՆ ԶԱՐԳԱՑՄԱՆ ԵՎ ՀԱՐԿԱԲՅՈՒՋԵՏԱՅԻՆ ՔԱՂԱՔԱԿԱՆՈՒԹՅԱՆ</w:t>
                              </w:r>
                              <w:r>
                                <w:rPr>
                                  <w:color w:val="FFFFFF" w:themeColor="background1"/>
                                  <w:sz w:val="40"/>
                                  <w:szCs w:val="40"/>
                                  <w:lang w:val="hy-AM"/>
                                </w:rPr>
                                <w:t xml:space="preserve"> </w:t>
                              </w:r>
                              <w:r w:rsidRPr="003A4CA5">
                                <w:rPr>
                                  <w:color w:val="auto"/>
                                  <w:sz w:val="40"/>
                                  <w:szCs w:val="40"/>
                                  <w:lang w:val="hy-AM"/>
                                </w:rPr>
                                <w:t>ՀԻՄՆԱԿԱՆ ՈՒՂՂՈՒԹՅՈՒՆՆԵՐԻ ՄԱՍԻՆ</w:t>
                              </w:r>
                              <w:r w:rsidRPr="00202938">
                                <w:rPr>
                                  <w:b/>
                                  <w:color w:val="FFFFFF" w:themeColor="background1"/>
                                  <w:sz w:val="30"/>
                                  <w:szCs w:val="30"/>
                                  <w:lang w:val="hy-AM"/>
                                </w:rPr>
                                <w:t>Yerevan 2024</w:t>
                              </w:r>
                            </w:p>
                            <w:p w14:paraId="3B363BD4" w14:textId="77777777" w:rsidR="00147C8B" w:rsidRPr="00202938" w:rsidRDefault="00147C8B">
                              <w:pPr>
                                <w:rPr>
                                  <w:lang w:val="hy-AM"/>
                                </w:rPr>
                              </w:pPr>
                            </w:p>
                            <w:p w14:paraId="2AA1F49B" w14:textId="77777777" w:rsidR="00147C8B" w:rsidRPr="00A3353C" w:rsidRDefault="00147C8B" w:rsidP="00A3353C">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2231A7D1" w14:textId="77777777" w:rsidR="00147C8B" w:rsidRPr="00682390" w:rsidRDefault="00147C8B" w:rsidP="00FD0C29">
                              <w:pPr>
                                <w:rPr>
                                  <w:b/>
                                  <w:color w:val="FFFFFF" w:themeColor="background1"/>
                                  <w:sz w:val="30"/>
                                  <w:szCs w:val="30"/>
                                  <w:lang w:val="hy-AM"/>
                                </w:rPr>
                              </w:pPr>
                              <w:r w:rsidRPr="00A3353C">
                                <w:rPr>
                                  <w:sz w:val="44"/>
                                  <w:szCs w:val="44"/>
                                  <w:lang w:val="hy-AM"/>
                                </w:rPr>
                                <w:t>ՀԻՄՆԱԿԱՆ ՈՒՂՂՈՒԹՅՈՒՆՆԵՐԻ ՄԱՍԻՆ</w:t>
                              </w:r>
                              <w:r w:rsidRPr="00682390">
                                <w:rPr>
                                  <w:b/>
                                  <w:color w:val="FFFFFF" w:themeColor="background1"/>
                                  <w:sz w:val="30"/>
                                  <w:szCs w:val="30"/>
                                  <w:lang w:val="hy-AM"/>
                                </w:rPr>
                                <w:t>Yerevan 2024</w:t>
                              </w:r>
                            </w:p>
                            <w:p w14:paraId="65FFB7AB" w14:textId="77777777" w:rsidR="00147C8B" w:rsidRPr="00682390" w:rsidRDefault="00147C8B">
                              <w:pPr>
                                <w:rPr>
                                  <w:lang w:val="hy-AM"/>
                                </w:rPr>
                              </w:pPr>
                            </w:p>
                            <w:p w14:paraId="1E36048C" w14:textId="77777777" w:rsidR="00147C8B" w:rsidRPr="00A3353C" w:rsidRDefault="00147C8B" w:rsidP="00A3353C">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19593824" w14:textId="77777777" w:rsidR="00147C8B" w:rsidRPr="00682390" w:rsidRDefault="00147C8B" w:rsidP="00FD0C29">
                              <w:pPr>
                                <w:rPr>
                                  <w:b/>
                                  <w:color w:val="FFFFFF" w:themeColor="background1"/>
                                  <w:sz w:val="30"/>
                                  <w:szCs w:val="30"/>
                                  <w:lang w:val="hy-AM"/>
                                </w:rPr>
                              </w:pPr>
                              <w:r w:rsidRPr="00A3353C">
                                <w:rPr>
                                  <w:sz w:val="44"/>
                                  <w:szCs w:val="44"/>
                                  <w:lang w:val="hy-AM"/>
                                </w:rPr>
                                <w:t>ՀԻՄՆԱԿԱՆ ՈՒՂՂՈՒԹՅՈՒՆՆԵՐԻ ՄԱՍԻՆ</w:t>
                              </w:r>
                              <w:r w:rsidRPr="00682390">
                                <w:rPr>
                                  <w:b/>
                                  <w:color w:val="FFFFFF" w:themeColor="background1"/>
                                  <w:sz w:val="30"/>
                                  <w:szCs w:val="30"/>
                                  <w:lang w:val="hy-AM"/>
                                </w:rPr>
                                <w:t>Yerevan 2024</w:t>
                              </w:r>
                            </w:p>
                            <w:p w14:paraId="0ECB8949" w14:textId="77777777" w:rsidR="00147C8B" w:rsidRPr="00682390" w:rsidRDefault="00147C8B">
                              <w:pPr>
                                <w:rPr>
                                  <w:lang w:val="hy-AM"/>
                                </w:rPr>
                              </w:pPr>
                            </w:p>
                            <w:p w14:paraId="315E5E95" w14:textId="77777777" w:rsidR="00147C8B" w:rsidRPr="00A3353C" w:rsidRDefault="00147C8B" w:rsidP="00A3353C">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0C5F424A" w14:textId="77777777" w:rsidR="00147C8B" w:rsidRPr="00454DBB" w:rsidRDefault="00147C8B" w:rsidP="00FD0C29">
                              <w:pPr>
                                <w:rPr>
                                  <w:b/>
                                  <w:color w:val="FFFFFF" w:themeColor="background1"/>
                                  <w:sz w:val="30"/>
                                  <w:szCs w:val="30"/>
                                  <w:lang w:val="hy-AM"/>
                                </w:rPr>
                              </w:pPr>
                              <w:r w:rsidRPr="00A3353C">
                                <w:rPr>
                                  <w:sz w:val="44"/>
                                  <w:szCs w:val="44"/>
                                  <w:lang w:val="hy-AM"/>
                                </w:rPr>
                                <w:t>ՀԻՄՆԱԿԱՆ ՈՒՂՂՈՒԹՅՈՒՆՆԵՐԻ ՄԱՍԻՆ</w:t>
                              </w:r>
                              <w:r w:rsidRPr="00454DBB">
                                <w:rPr>
                                  <w:b/>
                                  <w:color w:val="FFFFFF" w:themeColor="background1"/>
                                  <w:sz w:val="30"/>
                                  <w:szCs w:val="30"/>
                                  <w:lang w:val="hy-AM"/>
                                </w:rPr>
                                <w:t>Yerevan 2024</w:t>
                              </w:r>
                            </w:p>
                            <w:p w14:paraId="3D7EC149" w14:textId="77777777" w:rsidR="00147C8B" w:rsidRPr="00454DBB" w:rsidRDefault="00147C8B">
                              <w:pPr>
                                <w:rPr>
                                  <w:lang w:val="hy-AM"/>
                                </w:rPr>
                              </w:pPr>
                            </w:p>
                            <w:p w14:paraId="42C9F465" w14:textId="77777777" w:rsidR="00147C8B" w:rsidRPr="00454DBB" w:rsidRDefault="00147C8B" w:rsidP="00FD0C29">
                              <w:pPr>
                                <w:rPr>
                                  <w:b/>
                                  <w:color w:val="FFFFFF" w:themeColor="background1"/>
                                  <w:sz w:val="30"/>
                                  <w:szCs w:val="30"/>
                                  <w:lang w:val="hy-AM"/>
                                </w:rPr>
                              </w:pPr>
                              <w:r w:rsidRPr="003A4CA5">
                                <w:rPr>
                                  <w:color w:val="FFFFFF" w:themeColor="background1"/>
                                  <w:sz w:val="40"/>
                                  <w:szCs w:val="40"/>
                                  <w:lang w:val="hy-AM"/>
                                </w:rPr>
                                <w:t>ՄԱՍ I: ՍՈՑԻԱԼ-ՏՆՏԵՍԱԿԱՆ ԶԱՐԳԱՑՄԱՆ, ՄԱԿՐՈՏՆՏԵՍԱԿԱՆ ԶԱՐԳԱՑՄԱՆ ԵՎ ՀԱՐԿԱԲՅՈՒՋԵՏԱՅԻՆ ՔԱՂԱՔԱԿԱՆՈՒԹՅԱՆ</w:t>
                              </w:r>
                              <w:r>
                                <w:rPr>
                                  <w:color w:val="FFFFFF" w:themeColor="background1"/>
                                  <w:sz w:val="40"/>
                                  <w:szCs w:val="40"/>
                                  <w:lang w:val="hy-AM"/>
                                </w:rPr>
                                <w:t xml:space="preserve"> </w:t>
                              </w:r>
                              <w:r w:rsidRPr="003A4CA5">
                                <w:rPr>
                                  <w:color w:val="auto"/>
                                  <w:sz w:val="40"/>
                                  <w:szCs w:val="40"/>
                                  <w:lang w:val="hy-AM"/>
                                </w:rPr>
                                <w:t>ՀԻՄՆԱԿԱՆ ՈՒՂՂՈՒԹՅՈՒՆՆԵՐԻ ՄԱՍԻՆ</w:t>
                              </w:r>
                              <w:r w:rsidRPr="00454DBB">
                                <w:rPr>
                                  <w:b/>
                                  <w:color w:val="FFFFFF" w:themeColor="background1"/>
                                  <w:sz w:val="30"/>
                                  <w:szCs w:val="30"/>
                                  <w:lang w:val="hy-AM"/>
                                </w:rPr>
                                <w:t>Yerevan 2024</w:t>
                              </w:r>
                            </w:p>
                            <w:p w14:paraId="58B1AF97" w14:textId="77777777" w:rsidR="00147C8B" w:rsidRPr="00454DBB" w:rsidRDefault="00147C8B">
                              <w:pPr>
                                <w:rPr>
                                  <w:lang w:val="hy-AM"/>
                                </w:rPr>
                              </w:pPr>
                            </w:p>
                            <w:p w14:paraId="33AA1916" w14:textId="77777777" w:rsidR="00147C8B" w:rsidRPr="00A3353C" w:rsidRDefault="00147C8B" w:rsidP="00A3353C">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1F9123AE" w14:textId="77777777" w:rsidR="00147C8B" w:rsidRPr="00682390" w:rsidRDefault="00147C8B" w:rsidP="00FD0C29">
                              <w:pPr>
                                <w:rPr>
                                  <w:b/>
                                  <w:color w:val="FFFFFF" w:themeColor="background1"/>
                                  <w:sz w:val="30"/>
                                  <w:szCs w:val="30"/>
                                  <w:lang w:val="hy-AM"/>
                                </w:rPr>
                              </w:pPr>
                              <w:r w:rsidRPr="00A3353C">
                                <w:rPr>
                                  <w:sz w:val="44"/>
                                  <w:szCs w:val="44"/>
                                  <w:lang w:val="hy-AM"/>
                                </w:rPr>
                                <w:t>ՀԻՄՆԱԿԱՆ ՈՒՂՂՈՒԹՅՈՒՆՆԵՐԻ ՄԱՍԻՆ</w:t>
                              </w:r>
                              <w:r w:rsidRPr="00682390">
                                <w:rPr>
                                  <w:b/>
                                  <w:color w:val="FFFFFF" w:themeColor="background1"/>
                                  <w:sz w:val="30"/>
                                  <w:szCs w:val="30"/>
                                  <w:lang w:val="hy-AM"/>
                                </w:rPr>
                                <w:t>Yerevan 2024</w:t>
                              </w:r>
                            </w:p>
                            <w:p w14:paraId="1E129704" w14:textId="77777777" w:rsidR="00147C8B" w:rsidRPr="00682390" w:rsidRDefault="00147C8B">
                              <w:pPr>
                                <w:rPr>
                                  <w:lang w:val="hy-AM"/>
                                </w:rPr>
                              </w:pPr>
                            </w:p>
                            <w:p w14:paraId="4A382EE6" w14:textId="77777777" w:rsidR="00147C8B" w:rsidRPr="00A3353C" w:rsidRDefault="00147C8B" w:rsidP="00A3353C">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686BFB1A" w14:textId="77777777" w:rsidR="00147C8B" w:rsidRPr="00682390" w:rsidRDefault="00147C8B" w:rsidP="00FD0C29">
                              <w:pPr>
                                <w:rPr>
                                  <w:b/>
                                  <w:color w:val="FFFFFF" w:themeColor="background1"/>
                                  <w:sz w:val="30"/>
                                  <w:szCs w:val="30"/>
                                  <w:lang w:val="hy-AM"/>
                                </w:rPr>
                              </w:pPr>
                              <w:r w:rsidRPr="00A3353C">
                                <w:rPr>
                                  <w:sz w:val="44"/>
                                  <w:szCs w:val="44"/>
                                  <w:lang w:val="hy-AM"/>
                                </w:rPr>
                                <w:t>ՀԻՄՆԱԿԱՆ ՈՒՂՂՈՒԹՅՈՒՆՆԵՐԻ ՄԱՍԻՆ</w:t>
                              </w:r>
                              <w:r w:rsidRPr="00682390">
                                <w:rPr>
                                  <w:b/>
                                  <w:color w:val="FFFFFF" w:themeColor="background1"/>
                                  <w:sz w:val="30"/>
                                  <w:szCs w:val="30"/>
                                  <w:lang w:val="hy-AM"/>
                                </w:rPr>
                                <w:t>Yerevan 2024</w:t>
                              </w:r>
                            </w:p>
                            <w:p w14:paraId="118D1493" w14:textId="77777777" w:rsidR="00147C8B" w:rsidRPr="00682390" w:rsidRDefault="00147C8B">
                              <w:pPr>
                                <w:rPr>
                                  <w:lang w:val="hy-AM"/>
                                </w:rPr>
                              </w:pPr>
                            </w:p>
                            <w:p w14:paraId="6C5B161A" w14:textId="77777777" w:rsidR="00147C8B" w:rsidRPr="00A3353C" w:rsidRDefault="00147C8B" w:rsidP="00A3353C">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7D6BE751" w14:textId="77777777" w:rsidR="00147C8B" w:rsidRPr="003A5AE3" w:rsidRDefault="00147C8B" w:rsidP="00FD0C29">
                              <w:pPr>
                                <w:rPr>
                                  <w:b/>
                                  <w:color w:val="FFFFFF" w:themeColor="background1"/>
                                  <w:sz w:val="30"/>
                                  <w:szCs w:val="30"/>
                                  <w:lang w:val="hy-AM"/>
                                </w:rPr>
                              </w:pPr>
                              <w:r w:rsidRPr="00A3353C">
                                <w:rPr>
                                  <w:sz w:val="44"/>
                                  <w:szCs w:val="44"/>
                                  <w:lang w:val="hy-AM"/>
                                </w:rPr>
                                <w:t>ՀԻՄՆԱԿԱՆ ՈՒՂՂՈՒԹՅՈՒՆՆԵՐԻ ՄԱՍԻՆ</w:t>
                              </w:r>
                              <w:r w:rsidRPr="003A5AE3">
                                <w:rPr>
                                  <w:b/>
                                  <w:color w:val="FFFFFF" w:themeColor="background1"/>
                                  <w:sz w:val="30"/>
                                  <w:szCs w:val="30"/>
                                  <w:lang w:val="hy-AM"/>
                                </w:rPr>
                                <w:t>Yerevan 2024</w:t>
                              </w:r>
                            </w:p>
                            <w:p w14:paraId="2F9602A4" w14:textId="77777777" w:rsidR="00147C8B" w:rsidRPr="003A5AE3" w:rsidRDefault="00147C8B">
                              <w:pPr>
                                <w:rPr>
                                  <w:lang w:val="hy-AM"/>
                                </w:rPr>
                              </w:pPr>
                            </w:p>
                            <w:p w14:paraId="28F01CEE" w14:textId="77777777" w:rsidR="00147C8B" w:rsidRPr="003A5AE3" w:rsidRDefault="00147C8B" w:rsidP="00FD0C29">
                              <w:pPr>
                                <w:rPr>
                                  <w:b/>
                                  <w:color w:val="FFFFFF" w:themeColor="background1"/>
                                  <w:sz w:val="30"/>
                                  <w:szCs w:val="30"/>
                                  <w:lang w:val="hy-AM"/>
                                </w:rPr>
                              </w:pPr>
                              <w:r w:rsidRPr="003A4CA5">
                                <w:rPr>
                                  <w:color w:val="FFFFFF" w:themeColor="background1"/>
                                  <w:sz w:val="40"/>
                                  <w:szCs w:val="40"/>
                                  <w:lang w:val="hy-AM"/>
                                </w:rPr>
                                <w:t>ՄԱՍ I: ՍՈՑԻԱԼ-ՏՆՏԵՍԱԿԱՆ ԶԱՐԳԱՑՄԱՆ, ՄԱԿՐՈՏՆՏԵՍԱԿԱՆ ԶԱՐԳԱՑՄԱՆ ԵՎ ՀԱՐԿԱԲՅՈՒՋԵՏԱՅԻՆ ՔԱՂԱՔԱԿԱՆՈՒԹՅԱՆ</w:t>
                              </w:r>
                              <w:r>
                                <w:rPr>
                                  <w:color w:val="FFFFFF" w:themeColor="background1"/>
                                  <w:sz w:val="40"/>
                                  <w:szCs w:val="40"/>
                                  <w:lang w:val="hy-AM"/>
                                </w:rPr>
                                <w:t xml:space="preserve"> </w:t>
                              </w:r>
                              <w:r w:rsidRPr="003A4CA5">
                                <w:rPr>
                                  <w:color w:val="auto"/>
                                  <w:sz w:val="40"/>
                                  <w:szCs w:val="40"/>
                                  <w:lang w:val="hy-AM"/>
                                </w:rPr>
                                <w:t>ՀԻՄՆԱԿԱՆ ՈՒՂՂՈՒԹՅՈՒՆՆԵՐԻ ՄԱՍԻՆ</w:t>
                              </w:r>
                              <w:r w:rsidRPr="003A5AE3">
                                <w:rPr>
                                  <w:b/>
                                  <w:color w:val="FFFFFF" w:themeColor="background1"/>
                                  <w:sz w:val="30"/>
                                  <w:szCs w:val="30"/>
                                  <w:lang w:val="hy-AM"/>
                                </w:rPr>
                                <w:t>Yerevan 2024</w:t>
                              </w:r>
                            </w:p>
                            <w:p w14:paraId="1E9297A7" w14:textId="77777777" w:rsidR="00147C8B" w:rsidRPr="003A5AE3" w:rsidRDefault="00147C8B">
                              <w:pPr>
                                <w:rPr>
                                  <w:lang w:val="hy-AM"/>
                                </w:rPr>
                              </w:pPr>
                            </w:p>
                            <w:p w14:paraId="78D09631" w14:textId="77777777" w:rsidR="00147C8B" w:rsidRPr="00A3353C" w:rsidRDefault="00147C8B" w:rsidP="00A3353C">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751EBC4D" w14:textId="77777777" w:rsidR="00147C8B" w:rsidRPr="00682390" w:rsidRDefault="00147C8B" w:rsidP="00FD0C29">
                              <w:pPr>
                                <w:rPr>
                                  <w:b/>
                                  <w:color w:val="FFFFFF" w:themeColor="background1"/>
                                  <w:sz w:val="30"/>
                                  <w:szCs w:val="30"/>
                                  <w:lang w:val="hy-AM"/>
                                </w:rPr>
                              </w:pPr>
                              <w:r w:rsidRPr="00A3353C">
                                <w:rPr>
                                  <w:sz w:val="44"/>
                                  <w:szCs w:val="44"/>
                                  <w:lang w:val="hy-AM"/>
                                </w:rPr>
                                <w:t>ՀԻՄՆԱԿԱՆ ՈՒՂՂՈՒԹՅՈՒՆՆԵՐԻ ՄԱՍԻՆ</w:t>
                              </w:r>
                              <w:r w:rsidRPr="00682390">
                                <w:rPr>
                                  <w:b/>
                                  <w:color w:val="FFFFFF" w:themeColor="background1"/>
                                  <w:sz w:val="30"/>
                                  <w:szCs w:val="30"/>
                                  <w:lang w:val="hy-AM"/>
                                </w:rPr>
                                <w:t>Yerevan 2024</w:t>
                              </w:r>
                            </w:p>
                            <w:p w14:paraId="372AC265" w14:textId="77777777" w:rsidR="00147C8B" w:rsidRPr="00682390" w:rsidRDefault="00147C8B">
                              <w:pPr>
                                <w:rPr>
                                  <w:lang w:val="hy-AM"/>
                                </w:rPr>
                              </w:pPr>
                            </w:p>
                            <w:p w14:paraId="7E70703C" w14:textId="77777777" w:rsidR="00147C8B" w:rsidRPr="00A3353C" w:rsidRDefault="00147C8B" w:rsidP="00A3353C">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3A8E9BF1" w14:textId="77777777" w:rsidR="00147C8B" w:rsidRPr="00682390" w:rsidRDefault="00147C8B" w:rsidP="00FD0C29">
                              <w:pPr>
                                <w:rPr>
                                  <w:b/>
                                  <w:color w:val="FFFFFF" w:themeColor="background1"/>
                                  <w:sz w:val="30"/>
                                  <w:szCs w:val="30"/>
                                  <w:lang w:val="hy-AM"/>
                                </w:rPr>
                              </w:pPr>
                              <w:r w:rsidRPr="00A3353C">
                                <w:rPr>
                                  <w:sz w:val="44"/>
                                  <w:szCs w:val="44"/>
                                  <w:lang w:val="hy-AM"/>
                                </w:rPr>
                                <w:t>ՀԻՄՆԱԿԱՆ ՈՒՂՂՈՒԹՅՈՒՆՆԵՐԻ ՄԱՍԻՆ</w:t>
                              </w:r>
                              <w:r w:rsidRPr="00682390">
                                <w:rPr>
                                  <w:b/>
                                  <w:color w:val="FFFFFF" w:themeColor="background1"/>
                                  <w:sz w:val="30"/>
                                  <w:szCs w:val="30"/>
                                  <w:lang w:val="hy-AM"/>
                                </w:rPr>
                                <w:t>Yerevan 2024</w:t>
                              </w:r>
                            </w:p>
                            <w:p w14:paraId="0C0146FE" w14:textId="77777777" w:rsidR="00147C8B" w:rsidRPr="00682390" w:rsidRDefault="00147C8B">
                              <w:pPr>
                                <w:rPr>
                                  <w:lang w:val="hy-AM"/>
                                </w:rPr>
                              </w:pPr>
                            </w:p>
                            <w:p w14:paraId="280D3AF8" w14:textId="77777777" w:rsidR="00147C8B" w:rsidRPr="00A3353C" w:rsidRDefault="00147C8B" w:rsidP="00A3353C">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1E9BF484" w14:textId="77777777" w:rsidR="00147C8B" w:rsidRPr="00454DBB" w:rsidRDefault="00147C8B" w:rsidP="00FD0C29">
                              <w:pPr>
                                <w:rPr>
                                  <w:b/>
                                  <w:color w:val="FFFFFF" w:themeColor="background1"/>
                                  <w:sz w:val="30"/>
                                  <w:szCs w:val="30"/>
                                  <w:lang w:val="hy-AM"/>
                                </w:rPr>
                              </w:pPr>
                              <w:r w:rsidRPr="00A3353C">
                                <w:rPr>
                                  <w:sz w:val="44"/>
                                  <w:szCs w:val="44"/>
                                  <w:lang w:val="hy-AM"/>
                                </w:rPr>
                                <w:t>ՀԻՄՆԱԿԱՆ ՈՒՂՂՈՒԹՅՈՒՆՆԵՐԻ ՄԱՍԻՆ</w:t>
                              </w:r>
                              <w:r w:rsidRPr="00454DBB">
                                <w:rPr>
                                  <w:b/>
                                  <w:color w:val="FFFFFF" w:themeColor="background1"/>
                                  <w:sz w:val="30"/>
                                  <w:szCs w:val="30"/>
                                  <w:lang w:val="hy-AM"/>
                                </w:rPr>
                                <w:t>Yerevan 2024</w:t>
                              </w:r>
                            </w:p>
                            <w:p w14:paraId="60003D2C" w14:textId="77777777" w:rsidR="00147C8B" w:rsidRPr="00454DBB" w:rsidRDefault="00147C8B">
                              <w:pPr>
                                <w:rPr>
                                  <w:lang w:val="hy-AM"/>
                                </w:rPr>
                              </w:pPr>
                            </w:p>
                            <w:p w14:paraId="0437BD4B" w14:textId="77777777" w:rsidR="00147C8B" w:rsidRPr="00454DBB" w:rsidRDefault="00147C8B" w:rsidP="00FD0C29">
                              <w:pPr>
                                <w:rPr>
                                  <w:b/>
                                  <w:color w:val="FFFFFF" w:themeColor="background1"/>
                                  <w:sz w:val="30"/>
                                  <w:szCs w:val="30"/>
                                  <w:lang w:val="hy-AM"/>
                                </w:rPr>
                              </w:pPr>
                              <w:r w:rsidRPr="003A4CA5">
                                <w:rPr>
                                  <w:color w:val="FFFFFF" w:themeColor="background1"/>
                                  <w:sz w:val="40"/>
                                  <w:szCs w:val="40"/>
                                  <w:lang w:val="hy-AM"/>
                                </w:rPr>
                                <w:t>ՄԱՍ I: ՍՈՑԻԱԼ-ՏՆՏԵՍԱԿԱՆ ԶԱՐԳԱՑՄԱՆ, ՄԱԿՐՈՏՆՏԵՍԱԿԱՆ ԶԱՐԳԱՑՄԱՆ ԵՎ ՀԱՐԿԱԲՅՈՒՋԵՏԱՅԻՆ ՔԱՂԱՔԱԿԱՆՈՒԹՅԱՆ</w:t>
                              </w:r>
                              <w:r>
                                <w:rPr>
                                  <w:color w:val="FFFFFF" w:themeColor="background1"/>
                                  <w:sz w:val="40"/>
                                  <w:szCs w:val="40"/>
                                  <w:lang w:val="hy-AM"/>
                                </w:rPr>
                                <w:t xml:space="preserve"> </w:t>
                              </w:r>
                              <w:r w:rsidRPr="003A4CA5">
                                <w:rPr>
                                  <w:color w:val="auto"/>
                                  <w:sz w:val="40"/>
                                  <w:szCs w:val="40"/>
                                  <w:lang w:val="hy-AM"/>
                                </w:rPr>
                                <w:t>ՀԻՄՆԱԿԱՆ ՈՒՂՂՈՒԹՅՈՒՆՆԵՐԻ ՄԱՍԻՆ</w:t>
                              </w:r>
                              <w:r w:rsidRPr="00454DBB">
                                <w:rPr>
                                  <w:b/>
                                  <w:color w:val="FFFFFF" w:themeColor="background1"/>
                                  <w:sz w:val="30"/>
                                  <w:szCs w:val="30"/>
                                  <w:lang w:val="hy-AM"/>
                                </w:rPr>
                                <w:t>Yerevan 2024</w:t>
                              </w:r>
                            </w:p>
                            <w:p w14:paraId="6965A6D5" w14:textId="77777777" w:rsidR="00147C8B" w:rsidRPr="00454DBB" w:rsidRDefault="00147C8B">
                              <w:pPr>
                                <w:rPr>
                                  <w:lang w:val="hy-AM"/>
                                </w:rPr>
                              </w:pPr>
                            </w:p>
                            <w:p w14:paraId="7BBE293E" w14:textId="77777777" w:rsidR="00147C8B" w:rsidRPr="00A3353C" w:rsidRDefault="00147C8B" w:rsidP="00A3353C">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494136FE" w14:textId="77777777" w:rsidR="00147C8B" w:rsidRPr="00682390" w:rsidRDefault="00147C8B" w:rsidP="00FD0C29">
                              <w:pPr>
                                <w:rPr>
                                  <w:b/>
                                  <w:color w:val="FFFFFF" w:themeColor="background1"/>
                                  <w:sz w:val="30"/>
                                  <w:szCs w:val="30"/>
                                  <w:lang w:val="hy-AM"/>
                                </w:rPr>
                              </w:pPr>
                              <w:r w:rsidRPr="00A3353C">
                                <w:rPr>
                                  <w:sz w:val="44"/>
                                  <w:szCs w:val="44"/>
                                  <w:lang w:val="hy-AM"/>
                                </w:rPr>
                                <w:t>ՀԻՄՆԱԿԱՆ ՈՒՂՂՈՒԹՅՈՒՆՆԵՐԻ ՄԱՍԻՆ</w:t>
                              </w:r>
                              <w:r w:rsidRPr="00682390">
                                <w:rPr>
                                  <w:b/>
                                  <w:color w:val="FFFFFF" w:themeColor="background1"/>
                                  <w:sz w:val="30"/>
                                  <w:szCs w:val="30"/>
                                  <w:lang w:val="hy-AM"/>
                                </w:rPr>
                                <w:t>Yerevan 2024</w:t>
                              </w:r>
                            </w:p>
                            <w:p w14:paraId="65E797B2" w14:textId="77777777" w:rsidR="00147C8B" w:rsidRPr="00682390" w:rsidRDefault="00147C8B">
                              <w:pPr>
                                <w:rPr>
                                  <w:lang w:val="hy-AM"/>
                                </w:rPr>
                              </w:pPr>
                            </w:p>
                            <w:p w14:paraId="00B37750" w14:textId="77777777" w:rsidR="00147C8B" w:rsidRPr="00A3353C" w:rsidRDefault="00147C8B" w:rsidP="00A3353C">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7FF4DDE6" w14:textId="77777777" w:rsidR="00147C8B" w:rsidRPr="00682390" w:rsidRDefault="00147C8B" w:rsidP="00FD0C29">
                              <w:pPr>
                                <w:rPr>
                                  <w:b/>
                                  <w:color w:val="FFFFFF" w:themeColor="background1"/>
                                  <w:sz w:val="30"/>
                                  <w:szCs w:val="30"/>
                                  <w:lang w:val="hy-AM"/>
                                </w:rPr>
                              </w:pPr>
                              <w:r w:rsidRPr="00A3353C">
                                <w:rPr>
                                  <w:sz w:val="44"/>
                                  <w:szCs w:val="44"/>
                                  <w:lang w:val="hy-AM"/>
                                </w:rPr>
                                <w:t>ՀԻՄՆԱԿԱՆ ՈՒՂՂՈՒԹՅՈՒՆՆԵՐԻ ՄԱՍԻՆ</w:t>
                              </w:r>
                              <w:r w:rsidRPr="00682390">
                                <w:rPr>
                                  <w:b/>
                                  <w:color w:val="FFFFFF" w:themeColor="background1"/>
                                  <w:sz w:val="30"/>
                                  <w:szCs w:val="30"/>
                                  <w:lang w:val="hy-AM"/>
                                </w:rPr>
                                <w:t>Yerevan 2024</w:t>
                              </w:r>
                            </w:p>
                            <w:p w14:paraId="6FF1B657" w14:textId="77777777" w:rsidR="00147C8B" w:rsidRPr="00682390" w:rsidRDefault="00147C8B">
                              <w:pPr>
                                <w:rPr>
                                  <w:lang w:val="hy-AM"/>
                                </w:rPr>
                              </w:pPr>
                            </w:p>
                            <w:p w14:paraId="26ED21AA" w14:textId="77777777" w:rsidR="00147C8B" w:rsidRPr="00A3353C" w:rsidRDefault="00147C8B" w:rsidP="00A3353C">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72314C8C" w14:textId="77777777" w:rsidR="00147C8B" w:rsidRPr="00A506F2" w:rsidRDefault="00147C8B" w:rsidP="00FD0C29">
                              <w:pPr>
                                <w:rPr>
                                  <w:b/>
                                  <w:color w:val="FFFFFF" w:themeColor="background1"/>
                                  <w:sz w:val="30"/>
                                  <w:szCs w:val="30"/>
                                  <w:lang w:val="hy-AM"/>
                                </w:rPr>
                              </w:pPr>
                              <w:r w:rsidRPr="00A3353C">
                                <w:rPr>
                                  <w:sz w:val="44"/>
                                  <w:szCs w:val="44"/>
                                  <w:lang w:val="hy-AM"/>
                                </w:rPr>
                                <w:t>ՀԻՄՆԱԿԱՆ ՈՒՂՂՈՒԹՅՈՒՆՆԵՐԻ ՄԱՍԻՆ</w:t>
                              </w:r>
                              <w:r w:rsidRPr="00A506F2">
                                <w:rPr>
                                  <w:b/>
                                  <w:color w:val="FFFFFF" w:themeColor="background1"/>
                                  <w:sz w:val="30"/>
                                  <w:szCs w:val="30"/>
                                  <w:lang w:val="hy-AM"/>
                                </w:rPr>
                                <w:t>Yerevan 2024</w:t>
                              </w:r>
                            </w:p>
                            <w:p w14:paraId="6852963C" w14:textId="77777777" w:rsidR="00147C8B" w:rsidRPr="00A506F2" w:rsidRDefault="00147C8B">
                              <w:pPr>
                                <w:rPr>
                                  <w:lang w:val="hy-AM"/>
                                </w:rPr>
                              </w:pPr>
                            </w:p>
                            <w:p w14:paraId="6670B44B" w14:textId="053076C9" w:rsidR="00147C8B" w:rsidRPr="00A506F2" w:rsidRDefault="00147C8B" w:rsidP="00FD0C29">
                              <w:pPr>
                                <w:rPr>
                                  <w:b/>
                                  <w:color w:val="FFFFFF" w:themeColor="background1"/>
                                  <w:sz w:val="30"/>
                                  <w:szCs w:val="30"/>
                                  <w:lang w:val="hy-AM"/>
                                </w:rPr>
                              </w:pPr>
                              <w:r w:rsidRPr="00A72B0A">
                                <w:rPr>
                                  <w:color w:val="FFFFFF" w:themeColor="background1"/>
                                  <w:lang w:val="hy-AM"/>
                                </w:rPr>
                                <w:t xml:space="preserve">ՄԱՍ I: ՍՈՑԻԱԼ-ՏՆՏԵՍԱԿԱՆ ԶԱՐԳԱՑՄԱՆ, ՄԱԿՐՈՏՆՏԵՍԱԿԱՆ ԶԱՐԳԱՑՄԱՆ ԵՎ ՀԱՐԿԱԲՅՈՒՋԵՏԱՅԻՆ ՔԱՂԱՔԱԿԱՆՈՒԹՅԱՆ </w:t>
                              </w:r>
                              <w:r w:rsidRPr="003A4CA5">
                                <w:rPr>
                                  <w:color w:val="auto"/>
                                  <w:lang w:val="hy-AM"/>
                                </w:rPr>
                                <w:t>ՀԻՄՆԱԿԱՆ ՈՒՂՂՈՒԹՅՈՒՆՆԵՐԻ ՄԱՍԻՆ</w:t>
                              </w:r>
                              <w:r w:rsidRPr="00A506F2">
                                <w:rPr>
                                  <w:b/>
                                  <w:color w:val="FFFFFF" w:themeColor="background1"/>
                                  <w:sz w:val="30"/>
                                  <w:szCs w:val="30"/>
                                  <w:lang w:val="hy-AM"/>
                                </w:rPr>
                                <w:t>Yerevan 2024</w:t>
                              </w:r>
                            </w:p>
                            <w:p w14:paraId="0CC187C0" w14:textId="77777777" w:rsidR="00147C8B" w:rsidRPr="00A506F2" w:rsidRDefault="00147C8B">
                              <w:pPr>
                                <w:rPr>
                                  <w:lang w:val="hy-AM"/>
                                </w:rPr>
                              </w:pPr>
                            </w:p>
                            <w:p w14:paraId="778196CE" w14:textId="77777777" w:rsidR="00147C8B" w:rsidRPr="00A3353C" w:rsidRDefault="00147C8B" w:rsidP="00A3353C">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418356AB" w14:textId="77777777" w:rsidR="00147C8B" w:rsidRPr="00682390" w:rsidRDefault="00147C8B" w:rsidP="00FD0C29">
                              <w:pPr>
                                <w:rPr>
                                  <w:b/>
                                  <w:color w:val="FFFFFF" w:themeColor="background1"/>
                                  <w:sz w:val="30"/>
                                  <w:szCs w:val="30"/>
                                  <w:lang w:val="hy-AM"/>
                                </w:rPr>
                              </w:pPr>
                              <w:r w:rsidRPr="00A3353C">
                                <w:rPr>
                                  <w:sz w:val="44"/>
                                  <w:szCs w:val="44"/>
                                  <w:lang w:val="hy-AM"/>
                                </w:rPr>
                                <w:t>ՀԻՄՆԱԿԱՆ ՈՒՂՂՈՒԹՅՈՒՆՆԵՐԻ ՄԱՍԻՆ</w:t>
                              </w:r>
                              <w:r w:rsidRPr="00682390">
                                <w:rPr>
                                  <w:b/>
                                  <w:color w:val="FFFFFF" w:themeColor="background1"/>
                                  <w:sz w:val="30"/>
                                  <w:szCs w:val="30"/>
                                  <w:lang w:val="hy-AM"/>
                                </w:rPr>
                                <w:t>Yerevan 2024</w:t>
                              </w:r>
                            </w:p>
                            <w:p w14:paraId="66A0C572" w14:textId="77777777" w:rsidR="00147C8B" w:rsidRPr="00682390" w:rsidRDefault="00147C8B">
                              <w:pPr>
                                <w:rPr>
                                  <w:lang w:val="hy-AM"/>
                                </w:rPr>
                              </w:pPr>
                            </w:p>
                            <w:p w14:paraId="40C392C3" w14:textId="77777777" w:rsidR="00147C8B" w:rsidRPr="00A3353C" w:rsidRDefault="00147C8B" w:rsidP="00A3353C">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29E20F58" w14:textId="77777777" w:rsidR="00147C8B" w:rsidRPr="00682390" w:rsidRDefault="00147C8B" w:rsidP="00FD0C29">
                              <w:pPr>
                                <w:rPr>
                                  <w:b/>
                                  <w:color w:val="FFFFFF" w:themeColor="background1"/>
                                  <w:sz w:val="30"/>
                                  <w:szCs w:val="30"/>
                                  <w:lang w:val="hy-AM"/>
                                </w:rPr>
                              </w:pPr>
                              <w:r w:rsidRPr="00A3353C">
                                <w:rPr>
                                  <w:sz w:val="44"/>
                                  <w:szCs w:val="44"/>
                                  <w:lang w:val="hy-AM"/>
                                </w:rPr>
                                <w:t>ՀԻՄՆԱԿԱՆ ՈՒՂՂՈՒԹՅՈՒՆՆԵՐԻ ՄԱՍԻՆ</w:t>
                              </w:r>
                              <w:r w:rsidRPr="00682390">
                                <w:rPr>
                                  <w:b/>
                                  <w:color w:val="FFFFFF" w:themeColor="background1"/>
                                  <w:sz w:val="30"/>
                                  <w:szCs w:val="30"/>
                                  <w:lang w:val="hy-AM"/>
                                </w:rPr>
                                <w:t>Yerevan 2024</w:t>
                              </w:r>
                            </w:p>
                            <w:p w14:paraId="607367E7" w14:textId="77777777" w:rsidR="00147C8B" w:rsidRPr="00682390" w:rsidRDefault="00147C8B">
                              <w:pPr>
                                <w:rPr>
                                  <w:lang w:val="hy-AM"/>
                                </w:rPr>
                              </w:pPr>
                            </w:p>
                            <w:p w14:paraId="4665E6F4" w14:textId="77777777" w:rsidR="00147C8B" w:rsidRPr="00A3353C" w:rsidRDefault="00147C8B" w:rsidP="00A3353C">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4E59F6E8" w14:textId="77777777" w:rsidR="00147C8B" w:rsidRPr="00454DBB" w:rsidRDefault="00147C8B" w:rsidP="00FD0C29">
                              <w:pPr>
                                <w:rPr>
                                  <w:b/>
                                  <w:color w:val="FFFFFF" w:themeColor="background1"/>
                                  <w:sz w:val="30"/>
                                  <w:szCs w:val="30"/>
                                  <w:lang w:val="hy-AM"/>
                                </w:rPr>
                              </w:pPr>
                              <w:r w:rsidRPr="00A3353C">
                                <w:rPr>
                                  <w:sz w:val="44"/>
                                  <w:szCs w:val="44"/>
                                  <w:lang w:val="hy-AM"/>
                                </w:rPr>
                                <w:t>ՀԻՄՆԱԿԱՆ ՈՒՂՂՈՒԹՅՈՒՆՆԵՐԻ ՄԱՍԻՆ</w:t>
                              </w:r>
                              <w:r w:rsidRPr="00454DBB">
                                <w:rPr>
                                  <w:b/>
                                  <w:color w:val="FFFFFF" w:themeColor="background1"/>
                                  <w:sz w:val="30"/>
                                  <w:szCs w:val="30"/>
                                  <w:lang w:val="hy-AM"/>
                                </w:rPr>
                                <w:t>Yerevan 2024</w:t>
                              </w:r>
                            </w:p>
                            <w:p w14:paraId="6C61FB12" w14:textId="77777777" w:rsidR="00147C8B" w:rsidRPr="00454DBB" w:rsidRDefault="00147C8B">
                              <w:pPr>
                                <w:rPr>
                                  <w:lang w:val="hy-AM"/>
                                </w:rPr>
                              </w:pPr>
                            </w:p>
                            <w:p w14:paraId="05E9C4BF" w14:textId="77777777" w:rsidR="00147C8B" w:rsidRPr="00454DBB" w:rsidRDefault="00147C8B" w:rsidP="00FD0C29">
                              <w:pPr>
                                <w:rPr>
                                  <w:b/>
                                  <w:color w:val="FFFFFF" w:themeColor="background1"/>
                                  <w:sz w:val="30"/>
                                  <w:szCs w:val="30"/>
                                  <w:lang w:val="hy-AM"/>
                                </w:rPr>
                              </w:pPr>
                              <w:r w:rsidRPr="003A4CA5">
                                <w:rPr>
                                  <w:color w:val="FFFFFF" w:themeColor="background1"/>
                                  <w:sz w:val="40"/>
                                  <w:szCs w:val="40"/>
                                  <w:lang w:val="hy-AM"/>
                                </w:rPr>
                                <w:t>ՄԱՍ I: ՍՈՑԻԱԼ-ՏՆՏԵՍԱԿԱՆ ԶԱՐԳԱՑՄԱՆ, ՄԱԿՐՈՏՆՏԵՍԱԿԱՆ ԶԱՐԳԱՑՄԱՆ ԵՎ ՀԱՐԿԱԲՅՈՒՋԵՏԱՅԻՆ ՔԱՂԱՔԱԿԱՆՈՒԹՅԱՆ</w:t>
                              </w:r>
                              <w:r>
                                <w:rPr>
                                  <w:color w:val="FFFFFF" w:themeColor="background1"/>
                                  <w:sz w:val="40"/>
                                  <w:szCs w:val="40"/>
                                  <w:lang w:val="hy-AM"/>
                                </w:rPr>
                                <w:t xml:space="preserve"> </w:t>
                              </w:r>
                              <w:r w:rsidRPr="003A4CA5">
                                <w:rPr>
                                  <w:color w:val="auto"/>
                                  <w:sz w:val="40"/>
                                  <w:szCs w:val="40"/>
                                  <w:lang w:val="hy-AM"/>
                                </w:rPr>
                                <w:t>ՀԻՄՆԱԿԱՆ ՈՒՂՂՈՒԹՅՈՒՆՆԵՐԻ ՄԱՍԻՆ</w:t>
                              </w:r>
                              <w:r w:rsidRPr="00454DBB">
                                <w:rPr>
                                  <w:b/>
                                  <w:color w:val="FFFFFF" w:themeColor="background1"/>
                                  <w:sz w:val="30"/>
                                  <w:szCs w:val="30"/>
                                  <w:lang w:val="hy-AM"/>
                                </w:rPr>
                                <w:t>Yerevan 2024</w:t>
                              </w:r>
                            </w:p>
                            <w:p w14:paraId="742D99BE" w14:textId="77777777" w:rsidR="00147C8B" w:rsidRPr="00454DBB" w:rsidRDefault="00147C8B">
                              <w:pPr>
                                <w:rPr>
                                  <w:lang w:val="hy-AM"/>
                                </w:rPr>
                              </w:pPr>
                            </w:p>
                            <w:p w14:paraId="146FFD5F" w14:textId="77777777" w:rsidR="00147C8B" w:rsidRPr="00A3353C" w:rsidRDefault="00147C8B" w:rsidP="00A3353C">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2757D5FE" w14:textId="77777777" w:rsidR="00147C8B" w:rsidRPr="00682390" w:rsidRDefault="00147C8B" w:rsidP="00FD0C29">
                              <w:pPr>
                                <w:rPr>
                                  <w:b/>
                                  <w:color w:val="FFFFFF" w:themeColor="background1"/>
                                  <w:sz w:val="30"/>
                                  <w:szCs w:val="30"/>
                                  <w:lang w:val="hy-AM"/>
                                </w:rPr>
                              </w:pPr>
                              <w:r w:rsidRPr="00A3353C">
                                <w:rPr>
                                  <w:sz w:val="44"/>
                                  <w:szCs w:val="44"/>
                                  <w:lang w:val="hy-AM"/>
                                </w:rPr>
                                <w:t>ՀԻՄՆԱԿԱՆ ՈՒՂՂՈՒԹՅՈՒՆՆԵՐԻ ՄԱՍԻՆ</w:t>
                              </w:r>
                              <w:r w:rsidRPr="00682390">
                                <w:rPr>
                                  <w:b/>
                                  <w:color w:val="FFFFFF" w:themeColor="background1"/>
                                  <w:sz w:val="30"/>
                                  <w:szCs w:val="30"/>
                                  <w:lang w:val="hy-AM"/>
                                </w:rPr>
                                <w:t>Yerevan 2024</w:t>
                              </w:r>
                            </w:p>
                            <w:p w14:paraId="6FB938C1" w14:textId="77777777" w:rsidR="00147C8B" w:rsidRPr="00682390" w:rsidRDefault="00147C8B">
                              <w:pPr>
                                <w:rPr>
                                  <w:lang w:val="hy-AM"/>
                                </w:rPr>
                              </w:pPr>
                            </w:p>
                            <w:p w14:paraId="2FC328E5" w14:textId="77777777" w:rsidR="00147C8B" w:rsidRPr="00A3353C" w:rsidRDefault="00147C8B" w:rsidP="00A3353C">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6D049881" w14:textId="77777777" w:rsidR="00147C8B" w:rsidRPr="00682390" w:rsidRDefault="00147C8B" w:rsidP="00FD0C29">
                              <w:pPr>
                                <w:rPr>
                                  <w:b/>
                                  <w:color w:val="FFFFFF" w:themeColor="background1"/>
                                  <w:sz w:val="30"/>
                                  <w:szCs w:val="30"/>
                                  <w:lang w:val="hy-AM"/>
                                </w:rPr>
                              </w:pPr>
                              <w:r w:rsidRPr="00A3353C">
                                <w:rPr>
                                  <w:sz w:val="44"/>
                                  <w:szCs w:val="44"/>
                                  <w:lang w:val="hy-AM"/>
                                </w:rPr>
                                <w:t>ՀԻՄՆԱԿԱՆ ՈՒՂՂՈՒԹՅՈՒՆՆԵՐԻ ՄԱՍԻՆ</w:t>
                              </w:r>
                              <w:r w:rsidRPr="00682390">
                                <w:rPr>
                                  <w:b/>
                                  <w:color w:val="FFFFFF" w:themeColor="background1"/>
                                  <w:sz w:val="30"/>
                                  <w:szCs w:val="30"/>
                                  <w:lang w:val="hy-AM"/>
                                </w:rPr>
                                <w:t>Yerevan 2024</w:t>
                              </w:r>
                            </w:p>
                            <w:p w14:paraId="645B795C" w14:textId="77777777" w:rsidR="00147C8B" w:rsidRPr="00682390" w:rsidRDefault="00147C8B">
                              <w:pPr>
                                <w:rPr>
                                  <w:lang w:val="hy-AM"/>
                                </w:rPr>
                              </w:pPr>
                            </w:p>
                            <w:p w14:paraId="244B98DD" w14:textId="77777777" w:rsidR="00147C8B" w:rsidRPr="00A3353C" w:rsidRDefault="00147C8B" w:rsidP="00A3353C">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033412FB" w14:textId="77777777" w:rsidR="00147C8B" w:rsidRPr="003A5AE3" w:rsidRDefault="00147C8B" w:rsidP="00FD0C29">
                              <w:pPr>
                                <w:rPr>
                                  <w:b/>
                                  <w:color w:val="FFFFFF" w:themeColor="background1"/>
                                  <w:sz w:val="30"/>
                                  <w:szCs w:val="30"/>
                                  <w:lang w:val="hy-AM"/>
                                </w:rPr>
                              </w:pPr>
                              <w:r w:rsidRPr="00A3353C">
                                <w:rPr>
                                  <w:sz w:val="44"/>
                                  <w:szCs w:val="44"/>
                                  <w:lang w:val="hy-AM"/>
                                </w:rPr>
                                <w:t>ՀԻՄՆԱԿԱՆ ՈՒՂՂՈՒԹՅՈՒՆՆԵՐԻ ՄԱՍԻՆ</w:t>
                              </w:r>
                              <w:r w:rsidRPr="003A5AE3">
                                <w:rPr>
                                  <w:b/>
                                  <w:color w:val="FFFFFF" w:themeColor="background1"/>
                                  <w:sz w:val="30"/>
                                  <w:szCs w:val="30"/>
                                  <w:lang w:val="hy-AM"/>
                                </w:rPr>
                                <w:t>Yerevan 2024</w:t>
                              </w:r>
                            </w:p>
                            <w:p w14:paraId="7FC8DF9A" w14:textId="77777777" w:rsidR="00147C8B" w:rsidRPr="003A5AE3" w:rsidRDefault="00147C8B">
                              <w:pPr>
                                <w:rPr>
                                  <w:lang w:val="hy-AM"/>
                                </w:rPr>
                              </w:pPr>
                            </w:p>
                            <w:p w14:paraId="58370E88" w14:textId="77777777" w:rsidR="00147C8B" w:rsidRPr="003A5AE3" w:rsidRDefault="00147C8B" w:rsidP="00FD0C29">
                              <w:pPr>
                                <w:rPr>
                                  <w:b/>
                                  <w:color w:val="FFFFFF" w:themeColor="background1"/>
                                  <w:sz w:val="30"/>
                                  <w:szCs w:val="30"/>
                                  <w:lang w:val="hy-AM"/>
                                </w:rPr>
                              </w:pPr>
                              <w:r w:rsidRPr="003A4CA5">
                                <w:rPr>
                                  <w:color w:val="FFFFFF" w:themeColor="background1"/>
                                  <w:sz w:val="40"/>
                                  <w:szCs w:val="40"/>
                                  <w:lang w:val="hy-AM"/>
                                </w:rPr>
                                <w:t>ՄԱՍ I: ՍՈՑԻԱԼ-ՏՆՏԵՍԱԿԱՆ ԶԱՐԳԱՑՄԱՆ, ՄԱԿՐՈՏՆՏԵՍԱԿԱՆ ԶԱՐԳԱՑՄԱՆ ԵՎ ՀԱՐԿԱԲՅՈՒՋԵՏԱՅԻՆ ՔԱՂԱՔԱԿԱՆՈՒԹՅԱՆ</w:t>
                              </w:r>
                              <w:r>
                                <w:rPr>
                                  <w:color w:val="FFFFFF" w:themeColor="background1"/>
                                  <w:sz w:val="40"/>
                                  <w:szCs w:val="40"/>
                                  <w:lang w:val="hy-AM"/>
                                </w:rPr>
                                <w:t xml:space="preserve"> </w:t>
                              </w:r>
                              <w:r w:rsidRPr="003A4CA5">
                                <w:rPr>
                                  <w:color w:val="auto"/>
                                  <w:sz w:val="40"/>
                                  <w:szCs w:val="40"/>
                                  <w:lang w:val="hy-AM"/>
                                </w:rPr>
                                <w:t>ՀԻՄՆԱԿԱՆ ՈՒՂՂՈՒԹՅՈՒՆՆԵՐԻ ՄԱՍԻՆ</w:t>
                              </w:r>
                              <w:r w:rsidRPr="003A5AE3">
                                <w:rPr>
                                  <w:b/>
                                  <w:color w:val="FFFFFF" w:themeColor="background1"/>
                                  <w:sz w:val="30"/>
                                  <w:szCs w:val="30"/>
                                  <w:lang w:val="hy-AM"/>
                                </w:rPr>
                                <w:t>Yerevan 2024</w:t>
                              </w:r>
                            </w:p>
                            <w:p w14:paraId="5335646D" w14:textId="77777777" w:rsidR="00147C8B" w:rsidRPr="003A5AE3" w:rsidRDefault="00147C8B">
                              <w:pPr>
                                <w:rPr>
                                  <w:lang w:val="hy-AM"/>
                                </w:rPr>
                              </w:pPr>
                            </w:p>
                            <w:p w14:paraId="425A8E74" w14:textId="77777777" w:rsidR="00147C8B" w:rsidRPr="00A3353C" w:rsidRDefault="00147C8B" w:rsidP="00A3353C">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2717BE5A" w14:textId="77777777" w:rsidR="00147C8B" w:rsidRPr="00682390" w:rsidRDefault="00147C8B" w:rsidP="00FD0C29">
                              <w:pPr>
                                <w:rPr>
                                  <w:b/>
                                  <w:color w:val="FFFFFF" w:themeColor="background1"/>
                                  <w:sz w:val="30"/>
                                  <w:szCs w:val="30"/>
                                  <w:lang w:val="hy-AM"/>
                                </w:rPr>
                              </w:pPr>
                              <w:r w:rsidRPr="00A3353C">
                                <w:rPr>
                                  <w:sz w:val="44"/>
                                  <w:szCs w:val="44"/>
                                  <w:lang w:val="hy-AM"/>
                                </w:rPr>
                                <w:t>ՀԻՄՆԱԿԱՆ ՈՒՂՂՈՒԹՅՈՒՆՆԵՐԻ ՄԱՍԻՆ</w:t>
                              </w:r>
                              <w:r w:rsidRPr="00682390">
                                <w:rPr>
                                  <w:b/>
                                  <w:color w:val="FFFFFF" w:themeColor="background1"/>
                                  <w:sz w:val="30"/>
                                  <w:szCs w:val="30"/>
                                  <w:lang w:val="hy-AM"/>
                                </w:rPr>
                                <w:t>Yerevan 2024</w:t>
                              </w:r>
                            </w:p>
                            <w:p w14:paraId="54EE3DBD" w14:textId="77777777" w:rsidR="00147C8B" w:rsidRPr="00682390" w:rsidRDefault="00147C8B">
                              <w:pPr>
                                <w:rPr>
                                  <w:lang w:val="hy-AM"/>
                                </w:rPr>
                              </w:pPr>
                            </w:p>
                            <w:p w14:paraId="52C35A98" w14:textId="77777777" w:rsidR="00147C8B" w:rsidRPr="00A3353C" w:rsidRDefault="00147C8B" w:rsidP="00A3353C">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2B775861" w14:textId="77777777" w:rsidR="00147C8B" w:rsidRPr="00682390" w:rsidRDefault="00147C8B" w:rsidP="00FD0C29">
                              <w:pPr>
                                <w:rPr>
                                  <w:b/>
                                  <w:color w:val="FFFFFF" w:themeColor="background1"/>
                                  <w:sz w:val="30"/>
                                  <w:szCs w:val="30"/>
                                  <w:lang w:val="hy-AM"/>
                                </w:rPr>
                              </w:pPr>
                              <w:r w:rsidRPr="00A3353C">
                                <w:rPr>
                                  <w:sz w:val="44"/>
                                  <w:szCs w:val="44"/>
                                  <w:lang w:val="hy-AM"/>
                                </w:rPr>
                                <w:t>ՀԻՄՆԱԿԱՆ ՈՒՂՂՈՒԹՅՈՒՆՆԵՐԻ ՄԱՍԻՆ</w:t>
                              </w:r>
                              <w:r w:rsidRPr="00682390">
                                <w:rPr>
                                  <w:b/>
                                  <w:color w:val="FFFFFF" w:themeColor="background1"/>
                                  <w:sz w:val="30"/>
                                  <w:szCs w:val="30"/>
                                  <w:lang w:val="hy-AM"/>
                                </w:rPr>
                                <w:t>Yerevan 2024</w:t>
                              </w:r>
                            </w:p>
                            <w:p w14:paraId="1C864EF1" w14:textId="77777777" w:rsidR="00147C8B" w:rsidRPr="00682390" w:rsidRDefault="00147C8B">
                              <w:pPr>
                                <w:rPr>
                                  <w:lang w:val="hy-AM"/>
                                </w:rPr>
                              </w:pPr>
                            </w:p>
                            <w:p w14:paraId="678F34E3" w14:textId="77777777" w:rsidR="00147C8B" w:rsidRPr="00A3353C" w:rsidRDefault="00147C8B" w:rsidP="00A3353C">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7BECD149" w14:textId="77777777" w:rsidR="00147C8B" w:rsidRPr="00454DBB" w:rsidRDefault="00147C8B" w:rsidP="00FD0C29">
                              <w:pPr>
                                <w:rPr>
                                  <w:b/>
                                  <w:color w:val="FFFFFF" w:themeColor="background1"/>
                                  <w:sz w:val="30"/>
                                  <w:szCs w:val="30"/>
                                  <w:lang w:val="hy-AM"/>
                                </w:rPr>
                              </w:pPr>
                              <w:r w:rsidRPr="00A3353C">
                                <w:rPr>
                                  <w:sz w:val="44"/>
                                  <w:szCs w:val="44"/>
                                  <w:lang w:val="hy-AM"/>
                                </w:rPr>
                                <w:t>ՀԻՄՆԱԿԱՆ ՈՒՂՂՈՒԹՅՈՒՆՆԵՐԻ ՄԱՍԻՆ</w:t>
                              </w:r>
                              <w:r w:rsidRPr="00454DBB">
                                <w:rPr>
                                  <w:b/>
                                  <w:color w:val="FFFFFF" w:themeColor="background1"/>
                                  <w:sz w:val="30"/>
                                  <w:szCs w:val="30"/>
                                  <w:lang w:val="hy-AM"/>
                                </w:rPr>
                                <w:t>Yerevan 2024</w:t>
                              </w:r>
                            </w:p>
                            <w:p w14:paraId="4725E224" w14:textId="77777777" w:rsidR="00147C8B" w:rsidRPr="00454DBB" w:rsidRDefault="00147C8B">
                              <w:pPr>
                                <w:rPr>
                                  <w:lang w:val="hy-AM"/>
                                </w:rPr>
                              </w:pPr>
                            </w:p>
                            <w:p w14:paraId="13616C67" w14:textId="77777777" w:rsidR="00147C8B" w:rsidRPr="00454DBB" w:rsidRDefault="00147C8B" w:rsidP="00FD0C29">
                              <w:pPr>
                                <w:rPr>
                                  <w:b/>
                                  <w:color w:val="FFFFFF" w:themeColor="background1"/>
                                  <w:sz w:val="30"/>
                                  <w:szCs w:val="30"/>
                                  <w:lang w:val="hy-AM"/>
                                </w:rPr>
                              </w:pPr>
                              <w:r w:rsidRPr="003A4CA5">
                                <w:rPr>
                                  <w:color w:val="FFFFFF" w:themeColor="background1"/>
                                  <w:sz w:val="40"/>
                                  <w:szCs w:val="40"/>
                                  <w:lang w:val="hy-AM"/>
                                </w:rPr>
                                <w:t>ՄԱՍ I: ՍՈՑԻԱԼ-ՏՆՏԵՍԱԿԱՆ ԶԱՐԳԱՑՄԱՆ, ՄԱԿՐՈՏՆՏԵՍԱԿԱՆ ԶԱՐԳԱՑՄԱՆ ԵՎ ՀԱՐԿԱԲՅՈՒՋԵՏԱՅԻՆ ՔԱՂԱՔԱԿԱՆՈՒԹՅԱՆ</w:t>
                              </w:r>
                              <w:r>
                                <w:rPr>
                                  <w:color w:val="FFFFFF" w:themeColor="background1"/>
                                  <w:sz w:val="40"/>
                                  <w:szCs w:val="40"/>
                                  <w:lang w:val="hy-AM"/>
                                </w:rPr>
                                <w:t xml:space="preserve"> </w:t>
                              </w:r>
                              <w:r w:rsidRPr="003A4CA5">
                                <w:rPr>
                                  <w:color w:val="auto"/>
                                  <w:sz w:val="40"/>
                                  <w:szCs w:val="40"/>
                                  <w:lang w:val="hy-AM"/>
                                </w:rPr>
                                <w:t>ՀԻՄՆԱԿԱՆ ՈՒՂՂՈՒԹՅՈՒՆՆԵՐԻ ՄԱՍԻՆ</w:t>
                              </w:r>
                              <w:r w:rsidRPr="00454DBB">
                                <w:rPr>
                                  <w:b/>
                                  <w:color w:val="FFFFFF" w:themeColor="background1"/>
                                  <w:sz w:val="30"/>
                                  <w:szCs w:val="30"/>
                                  <w:lang w:val="hy-AM"/>
                                </w:rPr>
                                <w:t>Yerevan 2024</w:t>
                              </w:r>
                            </w:p>
                            <w:p w14:paraId="1B885F6C" w14:textId="77777777" w:rsidR="00147C8B" w:rsidRPr="00454DBB" w:rsidRDefault="00147C8B">
                              <w:pPr>
                                <w:rPr>
                                  <w:lang w:val="hy-AM"/>
                                </w:rPr>
                              </w:pPr>
                            </w:p>
                            <w:p w14:paraId="59C167F5" w14:textId="77777777" w:rsidR="00147C8B" w:rsidRPr="00A3353C" w:rsidRDefault="00147C8B" w:rsidP="00A3353C">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6BBE04E8" w14:textId="77777777" w:rsidR="00147C8B" w:rsidRPr="00682390" w:rsidRDefault="00147C8B" w:rsidP="00FD0C29">
                              <w:pPr>
                                <w:rPr>
                                  <w:b/>
                                  <w:color w:val="FFFFFF" w:themeColor="background1"/>
                                  <w:sz w:val="30"/>
                                  <w:szCs w:val="30"/>
                                  <w:lang w:val="hy-AM"/>
                                </w:rPr>
                              </w:pPr>
                              <w:r w:rsidRPr="00A3353C">
                                <w:rPr>
                                  <w:sz w:val="44"/>
                                  <w:szCs w:val="44"/>
                                  <w:lang w:val="hy-AM"/>
                                </w:rPr>
                                <w:t>ՀԻՄՆԱԿԱՆ ՈՒՂՂՈՒԹՅՈՒՆՆԵՐԻ ՄԱՍԻՆ</w:t>
                              </w:r>
                              <w:r w:rsidRPr="00682390">
                                <w:rPr>
                                  <w:b/>
                                  <w:color w:val="FFFFFF" w:themeColor="background1"/>
                                  <w:sz w:val="30"/>
                                  <w:szCs w:val="30"/>
                                  <w:lang w:val="hy-AM"/>
                                </w:rPr>
                                <w:t>Yerevan 2024</w:t>
                              </w:r>
                            </w:p>
                            <w:p w14:paraId="73CF2F7D" w14:textId="77777777" w:rsidR="00147C8B" w:rsidRPr="00682390" w:rsidRDefault="00147C8B">
                              <w:pPr>
                                <w:rPr>
                                  <w:lang w:val="hy-AM"/>
                                </w:rPr>
                              </w:pPr>
                            </w:p>
                            <w:p w14:paraId="6E5DCE4F" w14:textId="77777777" w:rsidR="00147C8B" w:rsidRPr="00A3353C" w:rsidRDefault="00147C8B" w:rsidP="00A3353C">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1FC0AF4D" w14:textId="77777777" w:rsidR="00147C8B" w:rsidRPr="00682390" w:rsidRDefault="00147C8B" w:rsidP="00FD0C29">
                              <w:pPr>
                                <w:rPr>
                                  <w:b/>
                                  <w:color w:val="FFFFFF" w:themeColor="background1"/>
                                  <w:sz w:val="30"/>
                                  <w:szCs w:val="30"/>
                                  <w:lang w:val="hy-AM"/>
                                </w:rPr>
                              </w:pPr>
                              <w:r w:rsidRPr="00A3353C">
                                <w:rPr>
                                  <w:sz w:val="44"/>
                                  <w:szCs w:val="44"/>
                                  <w:lang w:val="hy-AM"/>
                                </w:rPr>
                                <w:t>ՀԻՄՆԱԿԱՆ ՈՒՂՂՈՒԹՅՈՒՆՆԵՐԻ ՄԱՍԻՆ</w:t>
                              </w:r>
                              <w:r w:rsidRPr="00682390">
                                <w:rPr>
                                  <w:b/>
                                  <w:color w:val="FFFFFF" w:themeColor="background1"/>
                                  <w:sz w:val="30"/>
                                  <w:szCs w:val="30"/>
                                  <w:lang w:val="hy-AM"/>
                                </w:rPr>
                                <w:t>Yerevan 2024</w:t>
                              </w:r>
                            </w:p>
                            <w:p w14:paraId="3E11E787" w14:textId="77777777" w:rsidR="00147C8B" w:rsidRPr="00682390" w:rsidRDefault="00147C8B">
                              <w:pPr>
                                <w:rPr>
                                  <w:lang w:val="hy-AM"/>
                                </w:rPr>
                              </w:pPr>
                            </w:p>
                            <w:p w14:paraId="4FEBF59E" w14:textId="77777777" w:rsidR="00147C8B" w:rsidRPr="00A3353C" w:rsidRDefault="00147C8B" w:rsidP="00A3353C">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2A3A847E" w14:textId="77777777" w:rsidR="00147C8B" w:rsidRPr="00202938" w:rsidRDefault="00147C8B" w:rsidP="00FD0C29">
                              <w:pPr>
                                <w:rPr>
                                  <w:b/>
                                  <w:color w:val="FFFFFF" w:themeColor="background1"/>
                                  <w:sz w:val="30"/>
                                  <w:szCs w:val="30"/>
                                  <w:lang w:val="hy-AM"/>
                                </w:rPr>
                              </w:pPr>
                              <w:r w:rsidRPr="00A3353C">
                                <w:rPr>
                                  <w:sz w:val="44"/>
                                  <w:szCs w:val="44"/>
                                  <w:lang w:val="hy-AM"/>
                                </w:rPr>
                                <w:t>ՀԻՄՆԱԿԱՆ ՈՒՂՂՈՒԹՅՈՒՆՆԵՐԻ ՄԱՍԻՆ</w:t>
                              </w:r>
                              <w:r w:rsidRPr="00202938">
                                <w:rPr>
                                  <w:b/>
                                  <w:color w:val="FFFFFF" w:themeColor="background1"/>
                                  <w:sz w:val="30"/>
                                  <w:szCs w:val="30"/>
                                  <w:lang w:val="hy-AM"/>
                                </w:rPr>
                                <w:t>Yerevan 2024</w:t>
                              </w:r>
                            </w:p>
                            <w:p w14:paraId="21F9A44D" w14:textId="77777777" w:rsidR="00147C8B" w:rsidRPr="00202938" w:rsidRDefault="00147C8B">
                              <w:pPr>
                                <w:rPr>
                                  <w:lang w:val="hy-AM"/>
                                </w:rPr>
                              </w:pPr>
                            </w:p>
                            <w:p w14:paraId="0120DF3D" w14:textId="77777777" w:rsidR="00147C8B" w:rsidRPr="00202938" w:rsidRDefault="00147C8B" w:rsidP="00FD0C29">
                              <w:pPr>
                                <w:rPr>
                                  <w:b/>
                                  <w:color w:val="FFFFFF" w:themeColor="background1"/>
                                  <w:sz w:val="30"/>
                                  <w:szCs w:val="30"/>
                                  <w:lang w:val="hy-AM"/>
                                </w:rPr>
                              </w:pPr>
                              <w:r w:rsidRPr="003A4CA5">
                                <w:rPr>
                                  <w:color w:val="FFFFFF" w:themeColor="background1"/>
                                  <w:sz w:val="40"/>
                                  <w:szCs w:val="40"/>
                                  <w:lang w:val="hy-AM"/>
                                </w:rPr>
                                <w:t>ՄԱՍ I: ՍՈՑԻԱԼ-ՏՆՏԵՍԱԿԱՆ ԶԱՐԳԱՑՄԱՆ, ՄԱԿՐ</w:t>
                              </w:r>
                              <w:r w:rsidRPr="00487DE5">
                                <w:rPr>
                                  <w:color w:val="FFFFFF" w:themeColor="background1"/>
                                  <w:sz w:val="40"/>
                                  <w:szCs w:val="40"/>
                                  <w:lang w:val="hy-AM"/>
                                </w:rPr>
                                <w:t>ՈՏՆՏԵՍԱ</w:t>
                              </w:r>
                              <w:r w:rsidRPr="003A4CA5">
                                <w:rPr>
                                  <w:color w:val="FFFFFF" w:themeColor="background1"/>
                                  <w:sz w:val="40"/>
                                  <w:szCs w:val="40"/>
                                  <w:lang w:val="hy-AM"/>
                                </w:rPr>
                                <w:t>ԿԱՆ ԶԱՐԳԱՑՄԱՆ ԵՎ ՀԱՐԿԱԲՅՈՒՋԵՏԱՅԻՆ ՔԱՂԱՔԱԿԱՆՈՒԹՅԱՆ</w:t>
                              </w:r>
                              <w:r>
                                <w:rPr>
                                  <w:color w:val="FFFFFF" w:themeColor="background1"/>
                                  <w:sz w:val="40"/>
                                  <w:szCs w:val="40"/>
                                  <w:lang w:val="hy-AM"/>
                                </w:rPr>
                                <w:t xml:space="preserve"> </w:t>
                              </w:r>
                              <w:r w:rsidRPr="003A4CA5">
                                <w:rPr>
                                  <w:color w:val="auto"/>
                                  <w:sz w:val="40"/>
                                  <w:szCs w:val="40"/>
                                  <w:lang w:val="hy-AM"/>
                                </w:rPr>
                                <w:t>ՀԻՄՆԱԿԱՆ ՈՒՂՂՈՒԹՅՈՒՆՆԵՐԻ ՄԱՍԻՆ</w:t>
                              </w:r>
                              <w:r w:rsidRPr="00202938">
                                <w:rPr>
                                  <w:b/>
                                  <w:color w:val="FFFFFF" w:themeColor="background1"/>
                                  <w:sz w:val="30"/>
                                  <w:szCs w:val="30"/>
                                  <w:lang w:val="hy-AM"/>
                                </w:rPr>
                                <w:t>Yerevan 2024</w:t>
                              </w:r>
                            </w:p>
                            <w:p w14:paraId="6520E2A7" w14:textId="77777777" w:rsidR="00147C8B" w:rsidRPr="00202938" w:rsidRDefault="00147C8B">
                              <w:pPr>
                                <w:rPr>
                                  <w:lang w:val="hy-AM"/>
                                </w:rPr>
                              </w:pPr>
                            </w:p>
                            <w:p w14:paraId="39A4030D" w14:textId="77777777" w:rsidR="00147C8B" w:rsidRPr="00A3353C" w:rsidRDefault="00147C8B" w:rsidP="00A3353C">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6415DB9E" w14:textId="77777777" w:rsidR="00147C8B" w:rsidRPr="00682390" w:rsidRDefault="00147C8B" w:rsidP="00FD0C29">
                              <w:pPr>
                                <w:rPr>
                                  <w:b/>
                                  <w:color w:val="FFFFFF" w:themeColor="background1"/>
                                  <w:sz w:val="30"/>
                                  <w:szCs w:val="30"/>
                                  <w:lang w:val="hy-AM"/>
                                </w:rPr>
                              </w:pPr>
                              <w:r w:rsidRPr="00A3353C">
                                <w:rPr>
                                  <w:sz w:val="44"/>
                                  <w:szCs w:val="44"/>
                                  <w:lang w:val="hy-AM"/>
                                </w:rPr>
                                <w:t>ՀԻՄՆԱԿԱՆ ՈՒՂՂՈՒԹՅՈՒՆՆԵՐԻ ՄԱՍԻՆ</w:t>
                              </w:r>
                              <w:r w:rsidRPr="00682390">
                                <w:rPr>
                                  <w:b/>
                                  <w:color w:val="FFFFFF" w:themeColor="background1"/>
                                  <w:sz w:val="30"/>
                                  <w:szCs w:val="30"/>
                                  <w:lang w:val="hy-AM"/>
                                </w:rPr>
                                <w:t>Yerevan 2024</w:t>
                              </w:r>
                            </w:p>
                            <w:p w14:paraId="35972AB2" w14:textId="77777777" w:rsidR="00147C8B" w:rsidRPr="00682390" w:rsidRDefault="00147C8B">
                              <w:pPr>
                                <w:rPr>
                                  <w:lang w:val="hy-AM"/>
                                </w:rPr>
                              </w:pPr>
                            </w:p>
                            <w:p w14:paraId="034DB088" w14:textId="77777777" w:rsidR="00147C8B" w:rsidRPr="00A3353C" w:rsidRDefault="00147C8B" w:rsidP="00A3353C">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5679F7EB" w14:textId="77777777" w:rsidR="00147C8B" w:rsidRPr="00682390" w:rsidRDefault="00147C8B" w:rsidP="00FD0C29">
                              <w:pPr>
                                <w:rPr>
                                  <w:b/>
                                  <w:color w:val="FFFFFF" w:themeColor="background1"/>
                                  <w:sz w:val="30"/>
                                  <w:szCs w:val="30"/>
                                  <w:lang w:val="hy-AM"/>
                                </w:rPr>
                              </w:pPr>
                              <w:r w:rsidRPr="00A3353C">
                                <w:rPr>
                                  <w:sz w:val="44"/>
                                  <w:szCs w:val="44"/>
                                  <w:lang w:val="hy-AM"/>
                                </w:rPr>
                                <w:t>ՀԻՄՆԱԿԱՆ ՈՒՂՂՈՒԹՅՈՒՆՆԵՐԻ ՄԱՍԻՆ</w:t>
                              </w:r>
                              <w:r w:rsidRPr="00682390">
                                <w:rPr>
                                  <w:b/>
                                  <w:color w:val="FFFFFF" w:themeColor="background1"/>
                                  <w:sz w:val="30"/>
                                  <w:szCs w:val="30"/>
                                  <w:lang w:val="hy-AM"/>
                                </w:rPr>
                                <w:t>Yerevan 2024</w:t>
                              </w:r>
                            </w:p>
                            <w:p w14:paraId="2028DA27" w14:textId="77777777" w:rsidR="00147C8B" w:rsidRPr="00682390" w:rsidRDefault="00147C8B">
                              <w:pPr>
                                <w:rPr>
                                  <w:lang w:val="hy-AM"/>
                                </w:rPr>
                              </w:pPr>
                            </w:p>
                            <w:p w14:paraId="5A45C43C" w14:textId="77777777" w:rsidR="00147C8B" w:rsidRPr="00A3353C" w:rsidRDefault="00147C8B" w:rsidP="00A3353C">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4186293C" w14:textId="77777777" w:rsidR="00147C8B" w:rsidRPr="00454DBB" w:rsidRDefault="00147C8B" w:rsidP="00FD0C29">
                              <w:pPr>
                                <w:rPr>
                                  <w:b/>
                                  <w:color w:val="FFFFFF" w:themeColor="background1"/>
                                  <w:sz w:val="30"/>
                                  <w:szCs w:val="30"/>
                                  <w:lang w:val="hy-AM"/>
                                </w:rPr>
                              </w:pPr>
                              <w:r w:rsidRPr="00A3353C">
                                <w:rPr>
                                  <w:sz w:val="44"/>
                                  <w:szCs w:val="44"/>
                                  <w:lang w:val="hy-AM"/>
                                </w:rPr>
                                <w:t>ՀԻՄՆԱԿԱՆ ՈՒՂՂՈՒԹՅՈՒՆՆԵՐԻ ՄԱՍԻՆ</w:t>
                              </w:r>
                              <w:r w:rsidRPr="00454DBB">
                                <w:rPr>
                                  <w:b/>
                                  <w:color w:val="FFFFFF" w:themeColor="background1"/>
                                  <w:sz w:val="30"/>
                                  <w:szCs w:val="30"/>
                                  <w:lang w:val="hy-AM"/>
                                </w:rPr>
                                <w:t>Yerevan 2024</w:t>
                              </w:r>
                            </w:p>
                            <w:p w14:paraId="52E8AACD" w14:textId="77777777" w:rsidR="00147C8B" w:rsidRPr="00454DBB" w:rsidRDefault="00147C8B">
                              <w:pPr>
                                <w:rPr>
                                  <w:lang w:val="hy-AM"/>
                                </w:rPr>
                              </w:pPr>
                            </w:p>
                            <w:p w14:paraId="42ED69AB" w14:textId="77777777" w:rsidR="00147C8B" w:rsidRPr="00454DBB" w:rsidRDefault="00147C8B" w:rsidP="00FD0C29">
                              <w:pPr>
                                <w:rPr>
                                  <w:b/>
                                  <w:color w:val="FFFFFF" w:themeColor="background1"/>
                                  <w:sz w:val="30"/>
                                  <w:szCs w:val="30"/>
                                  <w:lang w:val="hy-AM"/>
                                </w:rPr>
                              </w:pPr>
                              <w:r w:rsidRPr="003A4CA5">
                                <w:rPr>
                                  <w:color w:val="FFFFFF" w:themeColor="background1"/>
                                  <w:sz w:val="40"/>
                                  <w:szCs w:val="40"/>
                                  <w:lang w:val="hy-AM"/>
                                </w:rPr>
                                <w:t>ՄԱՍ I: ՍՈՑԻԱԼ-ՏՆՏԵՍԱԿԱՆ ԶԱՐԳԱՑՄԱՆ, ՄԱԿՐՈՏՆՏԵՍԱԿԱՆ ԶԱՐԳԱՑՄԱՆ ԵՎ ՀԱՐԿԱԲՅՈՒՋԵՏԱՅԻՆ ՔԱՂԱՔԱԿԱՆՈՒԹՅԱՆ</w:t>
                              </w:r>
                              <w:r>
                                <w:rPr>
                                  <w:color w:val="FFFFFF" w:themeColor="background1"/>
                                  <w:sz w:val="40"/>
                                  <w:szCs w:val="40"/>
                                  <w:lang w:val="hy-AM"/>
                                </w:rPr>
                                <w:t xml:space="preserve"> </w:t>
                              </w:r>
                              <w:r w:rsidRPr="003A4CA5">
                                <w:rPr>
                                  <w:color w:val="auto"/>
                                  <w:sz w:val="40"/>
                                  <w:szCs w:val="40"/>
                                  <w:lang w:val="hy-AM"/>
                                </w:rPr>
                                <w:t>ՀԻՄՆԱԿԱՆ ՈՒՂՂՈՒԹՅՈՒՆՆԵՐԻ ՄԱՍԻՆ</w:t>
                              </w:r>
                              <w:r w:rsidRPr="00454DBB">
                                <w:rPr>
                                  <w:b/>
                                  <w:color w:val="FFFFFF" w:themeColor="background1"/>
                                  <w:sz w:val="30"/>
                                  <w:szCs w:val="30"/>
                                  <w:lang w:val="hy-AM"/>
                                </w:rPr>
                                <w:t>Yerevan 2024</w:t>
                              </w:r>
                            </w:p>
                            <w:p w14:paraId="28FB8DE1" w14:textId="77777777" w:rsidR="00147C8B" w:rsidRPr="00454DBB" w:rsidRDefault="00147C8B">
                              <w:pPr>
                                <w:rPr>
                                  <w:lang w:val="hy-AM"/>
                                </w:rPr>
                              </w:pPr>
                            </w:p>
                            <w:p w14:paraId="557EB286" w14:textId="77777777" w:rsidR="00147C8B" w:rsidRPr="00A3353C" w:rsidRDefault="00147C8B" w:rsidP="00A3353C">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7893AAF3" w14:textId="77777777" w:rsidR="00147C8B" w:rsidRPr="00682390" w:rsidRDefault="00147C8B" w:rsidP="00FD0C29">
                              <w:pPr>
                                <w:rPr>
                                  <w:b/>
                                  <w:color w:val="FFFFFF" w:themeColor="background1"/>
                                  <w:sz w:val="30"/>
                                  <w:szCs w:val="30"/>
                                  <w:lang w:val="hy-AM"/>
                                </w:rPr>
                              </w:pPr>
                              <w:r w:rsidRPr="00A3353C">
                                <w:rPr>
                                  <w:sz w:val="44"/>
                                  <w:szCs w:val="44"/>
                                  <w:lang w:val="hy-AM"/>
                                </w:rPr>
                                <w:t>ՀԻՄՆԱԿԱՆ ՈՒՂՂՈՒԹՅՈՒՆՆԵՐԻ ՄԱՍԻՆ</w:t>
                              </w:r>
                              <w:r w:rsidRPr="00682390">
                                <w:rPr>
                                  <w:b/>
                                  <w:color w:val="FFFFFF" w:themeColor="background1"/>
                                  <w:sz w:val="30"/>
                                  <w:szCs w:val="30"/>
                                  <w:lang w:val="hy-AM"/>
                                </w:rPr>
                                <w:t>Yerevan 2024</w:t>
                              </w:r>
                            </w:p>
                            <w:p w14:paraId="5412182C" w14:textId="77777777" w:rsidR="00147C8B" w:rsidRPr="00682390" w:rsidRDefault="00147C8B">
                              <w:pPr>
                                <w:rPr>
                                  <w:lang w:val="hy-AM"/>
                                </w:rPr>
                              </w:pPr>
                            </w:p>
                            <w:p w14:paraId="55363F67" w14:textId="77777777" w:rsidR="00147C8B" w:rsidRPr="00A3353C" w:rsidRDefault="00147C8B" w:rsidP="00A3353C">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1D2B3015" w14:textId="77777777" w:rsidR="00147C8B" w:rsidRPr="00682390" w:rsidRDefault="00147C8B" w:rsidP="00FD0C29">
                              <w:pPr>
                                <w:rPr>
                                  <w:b/>
                                  <w:color w:val="FFFFFF" w:themeColor="background1"/>
                                  <w:sz w:val="30"/>
                                  <w:szCs w:val="30"/>
                                  <w:lang w:val="hy-AM"/>
                                </w:rPr>
                              </w:pPr>
                              <w:r w:rsidRPr="00A3353C">
                                <w:rPr>
                                  <w:sz w:val="44"/>
                                  <w:szCs w:val="44"/>
                                  <w:lang w:val="hy-AM"/>
                                </w:rPr>
                                <w:t>ՀԻՄՆԱԿԱՆ ՈՒՂՂՈՒԹՅՈՒՆՆԵՐԻ ՄԱՍԻՆ</w:t>
                              </w:r>
                              <w:r w:rsidRPr="00682390">
                                <w:rPr>
                                  <w:b/>
                                  <w:color w:val="FFFFFF" w:themeColor="background1"/>
                                  <w:sz w:val="30"/>
                                  <w:szCs w:val="30"/>
                                  <w:lang w:val="hy-AM"/>
                                </w:rPr>
                                <w:t>Yerevan 2024</w:t>
                              </w:r>
                            </w:p>
                            <w:p w14:paraId="1CE04B0E" w14:textId="77777777" w:rsidR="00147C8B" w:rsidRPr="00682390" w:rsidRDefault="00147C8B">
                              <w:pPr>
                                <w:rPr>
                                  <w:lang w:val="hy-AM"/>
                                </w:rPr>
                              </w:pPr>
                            </w:p>
                            <w:p w14:paraId="63AC1F1E" w14:textId="77777777" w:rsidR="00147C8B" w:rsidRPr="00A3353C" w:rsidRDefault="00147C8B" w:rsidP="00A3353C">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5D32A33B" w14:textId="77777777" w:rsidR="00147C8B" w:rsidRPr="003A5AE3" w:rsidRDefault="00147C8B" w:rsidP="00FD0C29">
                              <w:pPr>
                                <w:rPr>
                                  <w:b/>
                                  <w:color w:val="FFFFFF" w:themeColor="background1"/>
                                  <w:sz w:val="30"/>
                                  <w:szCs w:val="30"/>
                                  <w:lang w:val="hy-AM"/>
                                </w:rPr>
                              </w:pPr>
                              <w:r w:rsidRPr="00A3353C">
                                <w:rPr>
                                  <w:sz w:val="44"/>
                                  <w:szCs w:val="44"/>
                                  <w:lang w:val="hy-AM"/>
                                </w:rPr>
                                <w:t>ՀԻՄՆԱԿԱՆ ՈՒՂՂՈՒԹՅՈՒՆՆԵՐԻ ՄԱՍԻՆ</w:t>
                              </w:r>
                              <w:r w:rsidRPr="003A5AE3">
                                <w:rPr>
                                  <w:b/>
                                  <w:color w:val="FFFFFF" w:themeColor="background1"/>
                                  <w:sz w:val="30"/>
                                  <w:szCs w:val="30"/>
                                  <w:lang w:val="hy-AM"/>
                                </w:rPr>
                                <w:t>Yerevan 2024</w:t>
                              </w:r>
                            </w:p>
                            <w:p w14:paraId="7AACE665" w14:textId="77777777" w:rsidR="00147C8B" w:rsidRPr="003A5AE3" w:rsidRDefault="00147C8B">
                              <w:pPr>
                                <w:rPr>
                                  <w:lang w:val="hy-AM"/>
                                </w:rPr>
                              </w:pPr>
                            </w:p>
                            <w:p w14:paraId="560FBA55" w14:textId="77777777" w:rsidR="00147C8B" w:rsidRPr="003A5AE3" w:rsidRDefault="00147C8B" w:rsidP="00FD0C29">
                              <w:pPr>
                                <w:rPr>
                                  <w:b/>
                                  <w:color w:val="FFFFFF" w:themeColor="background1"/>
                                  <w:sz w:val="30"/>
                                  <w:szCs w:val="30"/>
                                  <w:lang w:val="hy-AM"/>
                                </w:rPr>
                              </w:pPr>
                              <w:r w:rsidRPr="003A4CA5">
                                <w:rPr>
                                  <w:color w:val="FFFFFF" w:themeColor="background1"/>
                                  <w:sz w:val="40"/>
                                  <w:szCs w:val="40"/>
                                  <w:lang w:val="hy-AM"/>
                                </w:rPr>
                                <w:t>ՄԱՍ I: ՍՈՑԻԱԼ-ՏՆՏԵՍԱԿԱՆ ԶԱՐԳԱՑՄԱՆ, ՄԱԿՐՈՏՆՏԵՍԱԿԱՆ ԶԱՐԳԱՑՄԱՆ ԵՎ ՀԱՐԿԱԲՅՈՒՋԵՏԱՅԻՆ ՔԱՂԱՔԱԿԱՆՈՒԹՅԱՆ</w:t>
                              </w:r>
                              <w:r>
                                <w:rPr>
                                  <w:color w:val="FFFFFF" w:themeColor="background1"/>
                                  <w:sz w:val="40"/>
                                  <w:szCs w:val="40"/>
                                  <w:lang w:val="hy-AM"/>
                                </w:rPr>
                                <w:t xml:space="preserve"> </w:t>
                              </w:r>
                              <w:r w:rsidRPr="003A4CA5">
                                <w:rPr>
                                  <w:color w:val="auto"/>
                                  <w:sz w:val="40"/>
                                  <w:szCs w:val="40"/>
                                  <w:lang w:val="hy-AM"/>
                                </w:rPr>
                                <w:t>ՀԻՄՆԱԿԱՆ ՈՒՂՂՈՒԹՅՈՒՆՆԵՐԻ ՄԱՍԻՆ</w:t>
                              </w:r>
                              <w:r w:rsidRPr="003A5AE3">
                                <w:rPr>
                                  <w:b/>
                                  <w:color w:val="FFFFFF" w:themeColor="background1"/>
                                  <w:sz w:val="30"/>
                                  <w:szCs w:val="30"/>
                                  <w:lang w:val="hy-AM"/>
                                </w:rPr>
                                <w:t>Yerevan 2024</w:t>
                              </w:r>
                            </w:p>
                            <w:p w14:paraId="346C42A5" w14:textId="77777777" w:rsidR="00147C8B" w:rsidRPr="003A5AE3" w:rsidRDefault="00147C8B">
                              <w:pPr>
                                <w:rPr>
                                  <w:lang w:val="hy-AM"/>
                                </w:rPr>
                              </w:pPr>
                            </w:p>
                            <w:p w14:paraId="38457FC5" w14:textId="77777777" w:rsidR="00147C8B" w:rsidRPr="00A3353C" w:rsidRDefault="00147C8B" w:rsidP="00A3353C">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5D437B83" w14:textId="77777777" w:rsidR="00147C8B" w:rsidRPr="00682390" w:rsidRDefault="00147C8B" w:rsidP="00FD0C29">
                              <w:pPr>
                                <w:rPr>
                                  <w:b/>
                                  <w:color w:val="FFFFFF" w:themeColor="background1"/>
                                  <w:sz w:val="30"/>
                                  <w:szCs w:val="30"/>
                                  <w:lang w:val="hy-AM"/>
                                </w:rPr>
                              </w:pPr>
                              <w:r w:rsidRPr="00A3353C">
                                <w:rPr>
                                  <w:sz w:val="44"/>
                                  <w:szCs w:val="44"/>
                                  <w:lang w:val="hy-AM"/>
                                </w:rPr>
                                <w:t>ՀԻՄՆԱԿԱՆ ՈՒՂՂՈՒԹՅՈՒՆՆԵՐԻ ՄԱՍԻՆ</w:t>
                              </w:r>
                              <w:r w:rsidRPr="00682390">
                                <w:rPr>
                                  <w:b/>
                                  <w:color w:val="FFFFFF" w:themeColor="background1"/>
                                  <w:sz w:val="30"/>
                                  <w:szCs w:val="30"/>
                                  <w:lang w:val="hy-AM"/>
                                </w:rPr>
                                <w:t>Yerevan 2024</w:t>
                              </w:r>
                            </w:p>
                            <w:p w14:paraId="00E62D5B" w14:textId="77777777" w:rsidR="00147C8B" w:rsidRPr="00682390" w:rsidRDefault="00147C8B">
                              <w:pPr>
                                <w:rPr>
                                  <w:lang w:val="hy-AM"/>
                                </w:rPr>
                              </w:pPr>
                            </w:p>
                            <w:p w14:paraId="1966AA97" w14:textId="77777777" w:rsidR="00147C8B" w:rsidRPr="00A3353C" w:rsidRDefault="00147C8B" w:rsidP="00A3353C">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12AB34FB" w14:textId="77777777" w:rsidR="00147C8B" w:rsidRPr="00682390" w:rsidRDefault="00147C8B" w:rsidP="00FD0C29">
                              <w:pPr>
                                <w:rPr>
                                  <w:b/>
                                  <w:color w:val="FFFFFF" w:themeColor="background1"/>
                                  <w:sz w:val="30"/>
                                  <w:szCs w:val="30"/>
                                  <w:lang w:val="hy-AM"/>
                                </w:rPr>
                              </w:pPr>
                              <w:r w:rsidRPr="00A3353C">
                                <w:rPr>
                                  <w:sz w:val="44"/>
                                  <w:szCs w:val="44"/>
                                  <w:lang w:val="hy-AM"/>
                                </w:rPr>
                                <w:t>ՀԻՄՆԱԿԱՆ ՈՒՂՂՈՒԹՅՈՒՆՆԵՐԻ ՄԱՍԻՆ</w:t>
                              </w:r>
                              <w:r w:rsidRPr="00682390">
                                <w:rPr>
                                  <w:b/>
                                  <w:color w:val="FFFFFF" w:themeColor="background1"/>
                                  <w:sz w:val="30"/>
                                  <w:szCs w:val="30"/>
                                  <w:lang w:val="hy-AM"/>
                                </w:rPr>
                                <w:t>Yerevan 2024</w:t>
                              </w:r>
                            </w:p>
                            <w:p w14:paraId="4D1C4328" w14:textId="77777777" w:rsidR="00147C8B" w:rsidRPr="00682390" w:rsidRDefault="00147C8B">
                              <w:pPr>
                                <w:rPr>
                                  <w:lang w:val="hy-AM"/>
                                </w:rPr>
                              </w:pPr>
                            </w:p>
                            <w:p w14:paraId="5049400B" w14:textId="77777777" w:rsidR="00147C8B" w:rsidRPr="00A3353C" w:rsidRDefault="00147C8B" w:rsidP="00A3353C">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252AB460" w14:textId="77777777" w:rsidR="00147C8B" w:rsidRPr="00454DBB" w:rsidRDefault="00147C8B" w:rsidP="00FD0C29">
                              <w:pPr>
                                <w:rPr>
                                  <w:b/>
                                  <w:color w:val="FFFFFF" w:themeColor="background1"/>
                                  <w:sz w:val="30"/>
                                  <w:szCs w:val="30"/>
                                  <w:lang w:val="hy-AM"/>
                                </w:rPr>
                              </w:pPr>
                              <w:r w:rsidRPr="00A3353C">
                                <w:rPr>
                                  <w:sz w:val="44"/>
                                  <w:szCs w:val="44"/>
                                  <w:lang w:val="hy-AM"/>
                                </w:rPr>
                                <w:t>ՀԻՄՆԱԿԱՆ ՈՒՂՂՈՒԹՅՈՒՆՆԵՐԻ ՄԱՍԻՆ</w:t>
                              </w:r>
                              <w:r w:rsidRPr="00454DBB">
                                <w:rPr>
                                  <w:b/>
                                  <w:color w:val="FFFFFF" w:themeColor="background1"/>
                                  <w:sz w:val="30"/>
                                  <w:szCs w:val="30"/>
                                  <w:lang w:val="hy-AM"/>
                                </w:rPr>
                                <w:t>Yerevan 2024</w:t>
                              </w:r>
                            </w:p>
                            <w:p w14:paraId="72567A33" w14:textId="77777777" w:rsidR="00147C8B" w:rsidRPr="00454DBB" w:rsidRDefault="00147C8B">
                              <w:pPr>
                                <w:rPr>
                                  <w:lang w:val="hy-AM"/>
                                </w:rPr>
                              </w:pPr>
                            </w:p>
                            <w:p w14:paraId="7A9AE09F" w14:textId="77777777" w:rsidR="00147C8B" w:rsidRPr="00454DBB" w:rsidRDefault="00147C8B" w:rsidP="00FD0C29">
                              <w:pPr>
                                <w:rPr>
                                  <w:b/>
                                  <w:color w:val="FFFFFF" w:themeColor="background1"/>
                                  <w:sz w:val="30"/>
                                  <w:szCs w:val="30"/>
                                  <w:lang w:val="hy-AM"/>
                                </w:rPr>
                              </w:pPr>
                              <w:r w:rsidRPr="003A4CA5">
                                <w:rPr>
                                  <w:color w:val="FFFFFF" w:themeColor="background1"/>
                                  <w:sz w:val="40"/>
                                  <w:szCs w:val="40"/>
                                  <w:lang w:val="hy-AM"/>
                                </w:rPr>
                                <w:t>ՄԱՍ I: ՍՈՑԻԱԼ-ՏՆՏԵՍԱԿԱՆ ԶԱՐԳԱՑՄԱՆ, ՄԱԿՐՈՏՆՏԵՍԱԿԱՆ ԶԱՐԳԱՑՄԱՆ ԵՎ ՀԱՐԿԱԲՅՈՒՋԵՏԱՅԻՆ ՔԱՂԱՔԱԿԱՆՈՒԹՅԱՆ</w:t>
                              </w:r>
                              <w:r>
                                <w:rPr>
                                  <w:color w:val="FFFFFF" w:themeColor="background1"/>
                                  <w:sz w:val="40"/>
                                  <w:szCs w:val="40"/>
                                  <w:lang w:val="hy-AM"/>
                                </w:rPr>
                                <w:t xml:space="preserve"> </w:t>
                              </w:r>
                              <w:r w:rsidRPr="003A4CA5">
                                <w:rPr>
                                  <w:color w:val="auto"/>
                                  <w:sz w:val="40"/>
                                  <w:szCs w:val="40"/>
                                  <w:lang w:val="hy-AM"/>
                                </w:rPr>
                                <w:t>ՀԻՄՆԱԿԱՆ ՈՒՂՂՈՒԹՅՈՒՆՆԵՐԻ ՄԱՍԻՆ</w:t>
                              </w:r>
                              <w:r w:rsidRPr="00454DBB">
                                <w:rPr>
                                  <w:b/>
                                  <w:color w:val="FFFFFF" w:themeColor="background1"/>
                                  <w:sz w:val="30"/>
                                  <w:szCs w:val="30"/>
                                  <w:lang w:val="hy-AM"/>
                                </w:rPr>
                                <w:t>Yerevan 2024</w:t>
                              </w:r>
                            </w:p>
                            <w:p w14:paraId="22A83BC2" w14:textId="77777777" w:rsidR="00147C8B" w:rsidRPr="00454DBB" w:rsidRDefault="00147C8B">
                              <w:pPr>
                                <w:rPr>
                                  <w:lang w:val="hy-AM"/>
                                </w:rPr>
                              </w:pPr>
                            </w:p>
                            <w:p w14:paraId="2B094F07" w14:textId="77777777" w:rsidR="00147C8B" w:rsidRPr="00A3353C" w:rsidRDefault="00147C8B" w:rsidP="00A3353C">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1F29994F" w14:textId="77777777" w:rsidR="00147C8B" w:rsidRPr="00682390" w:rsidRDefault="00147C8B" w:rsidP="00FD0C29">
                              <w:pPr>
                                <w:rPr>
                                  <w:b/>
                                  <w:color w:val="FFFFFF" w:themeColor="background1"/>
                                  <w:sz w:val="30"/>
                                  <w:szCs w:val="30"/>
                                  <w:lang w:val="hy-AM"/>
                                </w:rPr>
                              </w:pPr>
                              <w:r w:rsidRPr="00A3353C">
                                <w:rPr>
                                  <w:sz w:val="44"/>
                                  <w:szCs w:val="44"/>
                                  <w:lang w:val="hy-AM"/>
                                </w:rPr>
                                <w:t>ՀԻՄՆԱԿԱՆ ՈՒՂՂՈՒԹՅՈՒՆՆԵՐԻ ՄԱՍԻՆ</w:t>
                              </w:r>
                              <w:r w:rsidRPr="00682390">
                                <w:rPr>
                                  <w:b/>
                                  <w:color w:val="FFFFFF" w:themeColor="background1"/>
                                  <w:sz w:val="30"/>
                                  <w:szCs w:val="30"/>
                                  <w:lang w:val="hy-AM"/>
                                </w:rPr>
                                <w:t>Yerevan 2024</w:t>
                              </w:r>
                            </w:p>
                            <w:p w14:paraId="19EB3668" w14:textId="77777777" w:rsidR="00147C8B" w:rsidRPr="00682390" w:rsidRDefault="00147C8B">
                              <w:pPr>
                                <w:rPr>
                                  <w:lang w:val="hy-AM"/>
                                </w:rPr>
                              </w:pPr>
                            </w:p>
                            <w:p w14:paraId="6F92EAED" w14:textId="77777777" w:rsidR="00147C8B" w:rsidRPr="00A3353C" w:rsidRDefault="00147C8B" w:rsidP="00A3353C">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724B7A4F" w14:textId="77777777" w:rsidR="00147C8B" w:rsidRPr="00682390" w:rsidRDefault="00147C8B" w:rsidP="00FD0C29">
                              <w:pPr>
                                <w:rPr>
                                  <w:b/>
                                  <w:color w:val="FFFFFF" w:themeColor="background1"/>
                                  <w:sz w:val="30"/>
                                  <w:szCs w:val="30"/>
                                  <w:lang w:val="hy-AM"/>
                                </w:rPr>
                              </w:pPr>
                              <w:r w:rsidRPr="00A3353C">
                                <w:rPr>
                                  <w:sz w:val="44"/>
                                  <w:szCs w:val="44"/>
                                  <w:lang w:val="hy-AM"/>
                                </w:rPr>
                                <w:t>ՀԻՄՆԱԿԱՆ ՈՒՂՂՈՒԹՅՈՒՆՆԵՐԻ ՄԱՍԻՆ</w:t>
                              </w:r>
                              <w:r w:rsidRPr="00682390">
                                <w:rPr>
                                  <w:b/>
                                  <w:color w:val="FFFFFF" w:themeColor="background1"/>
                                  <w:sz w:val="30"/>
                                  <w:szCs w:val="30"/>
                                  <w:lang w:val="hy-AM"/>
                                </w:rPr>
                                <w:t>Yerevan 2024</w:t>
                              </w:r>
                            </w:p>
                            <w:p w14:paraId="54A01E69" w14:textId="77777777" w:rsidR="00147C8B" w:rsidRPr="00682390" w:rsidRDefault="00147C8B">
                              <w:pPr>
                                <w:rPr>
                                  <w:lang w:val="hy-AM"/>
                                </w:rPr>
                              </w:pPr>
                            </w:p>
                            <w:p w14:paraId="1DBB89C6" w14:textId="77777777" w:rsidR="00147C8B" w:rsidRPr="00A3353C" w:rsidRDefault="00147C8B" w:rsidP="00A3353C">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3EA12C6C" w14:textId="77777777" w:rsidR="00147C8B" w:rsidRPr="00A72B0A" w:rsidRDefault="00147C8B" w:rsidP="00FD0C29">
                              <w:pPr>
                                <w:rPr>
                                  <w:b/>
                                  <w:color w:val="FFFFFF" w:themeColor="background1"/>
                                  <w:sz w:val="30"/>
                                  <w:szCs w:val="30"/>
                                  <w:lang w:val="hy-AM"/>
                                </w:rPr>
                              </w:pPr>
                              <w:r w:rsidRPr="00A3353C">
                                <w:rPr>
                                  <w:sz w:val="44"/>
                                  <w:szCs w:val="44"/>
                                  <w:lang w:val="hy-AM"/>
                                </w:rPr>
                                <w:t>ՀԻՄՆԱԿԱՆ ՈՒՂՂՈՒԹՅՈՒՆՆԵՐԻ ՄԱՍԻՆ</w:t>
                              </w:r>
                              <w:r w:rsidRPr="00A72B0A">
                                <w:rPr>
                                  <w:b/>
                                  <w:color w:val="FFFFFF" w:themeColor="background1"/>
                                  <w:sz w:val="30"/>
                                  <w:szCs w:val="30"/>
                                  <w:lang w:val="hy-AM"/>
                                </w:rPr>
                                <w:t>Yerevan 2024</w:t>
                              </w:r>
                            </w:p>
                            <w:p w14:paraId="48320D9D" w14:textId="77777777" w:rsidR="00147C8B" w:rsidRPr="00A72B0A" w:rsidRDefault="00147C8B">
                              <w:pPr>
                                <w:rPr>
                                  <w:lang w:val="hy-AM"/>
                                </w:rPr>
                              </w:pPr>
                            </w:p>
                            <w:p w14:paraId="0D10ABBC" w14:textId="053076C9" w:rsidR="00147C8B" w:rsidRPr="00A72B0A" w:rsidRDefault="00147C8B" w:rsidP="00FD0C29">
                              <w:pPr>
                                <w:rPr>
                                  <w:b/>
                                  <w:color w:val="FFFFFF" w:themeColor="background1"/>
                                  <w:sz w:val="30"/>
                                  <w:szCs w:val="30"/>
                                  <w:lang w:val="hy-AM"/>
                                </w:rPr>
                              </w:pPr>
                              <w:r w:rsidRPr="00A72B0A">
                                <w:rPr>
                                  <w:color w:val="FFFFFF" w:themeColor="background1"/>
                                  <w:lang w:val="hy-AM"/>
                                </w:rPr>
                                <w:t xml:space="preserve">ՄԱՍ I: ՍՈՑԻԱԼ-ՏՆՏԵՍԱԿԱՆ ԶԱՐԳԱՑՄԱՆ, ՄԱԿՐՈՏՆՏԵՍԱԿԱՆ ԶԱՐԳԱՑՄԱՆ ԵՎ ՀԱՐԿԱԲՅՈՒՋԵՏԱՅԻՆ ՔԱՂԱՔԱԿԱՆՈՒԹՅԱՆ </w:t>
                              </w:r>
                              <w:r w:rsidRPr="003A4CA5">
                                <w:rPr>
                                  <w:color w:val="auto"/>
                                  <w:lang w:val="hy-AM"/>
                                </w:rPr>
                                <w:t>ՀԻՄՆԱԿԱՆ ՈՒՂՂՈՒԹՅՈՒՆՆԵՐԻ ՄԱՍԻՆ</w:t>
                              </w:r>
                              <w:r w:rsidRPr="00A72B0A">
                                <w:rPr>
                                  <w:b/>
                                  <w:color w:val="FFFFFF" w:themeColor="background1"/>
                                  <w:sz w:val="30"/>
                                  <w:szCs w:val="30"/>
                                  <w:lang w:val="hy-AM"/>
                                </w:rPr>
                                <w:t>Yerevan 2024</w:t>
                              </w:r>
                            </w:p>
                            <w:p w14:paraId="53990F68" w14:textId="77777777" w:rsidR="00147C8B" w:rsidRPr="00A72B0A" w:rsidRDefault="00147C8B">
                              <w:pPr>
                                <w:rPr>
                                  <w:lang w:val="hy-AM"/>
                                </w:rPr>
                              </w:pPr>
                            </w:p>
                            <w:p w14:paraId="31F0E6E4" w14:textId="77777777" w:rsidR="00147C8B" w:rsidRPr="00A3353C" w:rsidRDefault="00147C8B" w:rsidP="00A3353C">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01D69811" w14:textId="77777777" w:rsidR="00147C8B" w:rsidRPr="00682390" w:rsidRDefault="00147C8B" w:rsidP="00FD0C29">
                              <w:pPr>
                                <w:rPr>
                                  <w:b/>
                                  <w:color w:val="FFFFFF" w:themeColor="background1"/>
                                  <w:sz w:val="30"/>
                                  <w:szCs w:val="30"/>
                                  <w:lang w:val="hy-AM"/>
                                </w:rPr>
                              </w:pPr>
                              <w:r w:rsidRPr="00A3353C">
                                <w:rPr>
                                  <w:sz w:val="44"/>
                                  <w:szCs w:val="44"/>
                                  <w:lang w:val="hy-AM"/>
                                </w:rPr>
                                <w:t>ՀԻՄՆԱԿԱՆ ՈՒՂՂՈՒԹՅՈՒՆՆԵՐԻ ՄԱՍԻՆ</w:t>
                              </w:r>
                              <w:r w:rsidRPr="00682390">
                                <w:rPr>
                                  <w:b/>
                                  <w:color w:val="FFFFFF" w:themeColor="background1"/>
                                  <w:sz w:val="30"/>
                                  <w:szCs w:val="30"/>
                                  <w:lang w:val="hy-AM"/>
                                </w:rPr>
                                <w:t>Yerevan 2024</w:t>
                              </w:r>
                            </w:p>
                            <w:p w14:paraId="2094727C" w14:textId="77777777" w:rsidR="00147C8B" w:rsidRPr="00682390" w:rsidRDefault="00147C8B">
                              <w:pPr>
                                <w:rPr>
                                  <w:lang w:val="hy-AM"/>
                                </w:rPr>
                              </w:pPr>
                            </w:p>
                            <w:p w14:paraId="79F8BC43" w14:textId="77777777" w:rsidR="00147C8B" w:rsidRPr="00A3353C" w:rsidRDefault="00147C8B" w:rsidP="00A3353C">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565B568B" w14:textId="77777777" w:rsidR="00147C8B" w:rsidRPr="00682390" w:rsidRDefault="00147C8B" w:rsidP="00FD0C29">
                              <w:pPr>
                                <w:rPr>
                                  <w:b/>
                                  <w:color w:val="FFFFFF" w:themeColor="background1"/>
                                  <w:sz w:val="30"/>
                                  <w:szCs w:val="30"/>
                                  <w:lang w:val="hy-AM"/>
                                </w:rPr>
                              </w:pPr>
                              <w:r w:rsidRPr="00A3353C">
                                <w:rPr>
                                  <w:sz w:val="44"/>
                                  <w:szCs w:val="44"/>
                                  <w:lang w:val="hy-AM"/>
                                </w:rPr>
                                <w:t>ՀԻՄՆԱԿԱՆ ՈՒՂՂՈՒԹՅՈՒՆՆԵՐԻ ՄԱՍԻՆ</w:t>
                              </w:r>
                              <w:r w:rsidRPr="00682390">
                                <w:rPr>
                                  <w:b/>
                                  <w:color w:val="FFFFFF" w:themeColor="background1"/>
                                  <w:sz w:val="30"/>
                                  <w:szCs w:val="30"/>
                                  <w:lang w:val="hy-AM"/>
                                </w:rPr>
                                <w:t>Yerevan 2024</w:t>
                              </w:r>
                            </w:p>
                            <w:p w14:paraId="0913E43F" w14:textId="77777777" w:rsidR="00147C8B" w:rsidRPr="00682390" w:rsidRDefault="00147C8B">
                              <w:pPr>
                                <w:rPr>
                                  <w:lang w:val="hy-AM"/>
                                </w:rPr>
                              </w:pPr>
                            </w:p>
                            <w:p w14:paraId="5B27FEE1" w14:textId="77777777" w:rsidR="00147C8B" w:rsidRPr="00A3353C" w:rsidRDefault="00147C8B" w:rsidP="00A3353C">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2869EE35" w14:textId="77777777" w:rsidR="00147C8B" w:rsidRPr="00454DBB" w:rsidRDefault="00147C8B" w:rsidP="00FD0C29">
                              <w:pPr>
                                <w:rPr>
                                  <w:b/>
                                  <w:color w:val="FFFFFF" w:themeColor="background1"/>
                                  <w:sz w:val="30"/>
                                  <w:szCs w:val="30"/>
                                  <w:lang w:val="hy-AM"/>
                                </w:rPr>
                              </w:pPr>
                              <w:r w:rsidRPr="00A3353C">
                                <w:rPr>
                                  <w:sz w:val="44"/>
                                  <w:szCs w:val="44"/>
                                  <w:lang w:val="hy-AM"/>
                                </w:rPr>
                                <w:t>ՀԻՄՆԱԿԱՆ ՈՒՂՂՈՒԹՅՈՒՆՆԵՐԻ ՄԱՍԻՆ</w:t>
                              </w:r>
                              <w:r w:rsidRPr="00454DBB">
                                <w:rPr>
                                  <w:b/>
                                  <w:color w:val="FFFFFF" w:themeColor="background1"/>
                                  <w:sz w:val="30"/>
                                  <w:szCs w:val="30"/>
                                  <w:lang w:val="hy-AM"/>
                                </w:rPr>
                                <w:t>Yerevan 2024</w:t>
                              </w:r>
                            </w:p>
                            <w:p w14:paraId="02E43363" w14:textId="77777777" w:rsidR="00147C8B" w:rsidRPr="00454DBB" w:rsidRDefault="00147C8B">
                              <w:pPr>
                                <w:rPr>
                                  <w:lang w:val="hy-AM"/>
                                </w:rPr>
                              </w:pPr>
                            </w:p>
                            <w:p w14:paraId="0793FF10" w14:textId="77777777" w:rsidR="00147C8B" w:rsidRPr="00454DBB" w:rsidRDefault="00147C8B" w:rsidP="00FD0C29">
                              <w:pPr>
                                <w:rPr>
                                  <w:b/>
                                  <w:color w:val="FFFFFF" w:themeColor="background1"/>
                                  <w:sz w:val="30"/>
                                  <w:szCs w:val="30"/>
                                  <w:lang w:val="hy-AM"/>
                                </w:rPr>
                              </w:pPr>
                              <w:r w:rsidRPr="003A4CA5">
                                <w:rPr>
                                  <w:color w:val="FFFFFF" w:themeColor="background1"/>
                                  <w:sz w:val="40"/>
                                  <w:szCs w:val="40"/>
                                  <w:lang w:val="hy-AM"/>
                                </w:rPr>
                                <w:t>ՄԱՍ I: ՍՈՑԻԱԼ-ՏՆՏԵՍԱԿԱՆ ԶԱՐԳԱՑՄԱՆ, ՄԱԿՐՈՏՆՏԵՍԱԿԱՆ ԶԱՐԳԱՑՄԱՆ ԵՎ ՀԱՐԿԱԲՅՈՒՋԵՏԱՅԻՆ ՔԱՂԱՔԱԿԱՆՈՒԹՅԱՆ</w:t>
                              </w:r>
                              <w:r>
                                <w:rPr>
                                  <w:color w:val="FFFFFF" w:themeColor="background1"/>
                                  <w:sz w:val="40"/>
                                  <w:szCs w:val="40"/>
                                  <w:lang w:val="hy-AM"/>
                                </w:rPr>
                                <w:t xml:space="preserve"> </w:t>
                              </w:r>
                              <w:r w:rsidRPr="003A4CA5">
                                <w:rPr>
                                  <w:color w:val="auto"/>
                                  <w:sz w:val="40"/>
                                  <w:szCs w:val="40"/>
                                  <w:lang w:val="hy-AM"/>
                                </w:rPr>
                                <w:t>ՀԻՄՆԱԿԱՆ ՈՒՂՂՈՒԹՅՈՒՆՆԵՐԻ ՄԱՍԻՆ</w:t>
                              </w:r>
                              <w:r w:rsidRPr="00454DBB">
                                <w:rPr>
                                  <w:b/>
                                  <w:color w:val="FFFFFF" w:themeColor="background1"/>
                                  <w:sz w:val="30"/>
                                  <w:szCs w:val="30"/>
                                  <w:lang w:val="hy-AM"/>
                                </w:rPr>
                                <w:t>Yerevan 2024</w:t>
                              </w:r>
                            </w:p>
                            <w:p w14:paraId="53ACAEBA" w14:textId="77777777" w:rsidR="00147C8B" w:rsidRPr="00454DBB" w:rsidRDefault="00147C8B">
                              <w:pPr>
                                <w:rPr>
                                  <w:lang w:val="hy-AM"/>
                                </w:rPr>
                              </w:pPr>
                            </w:p>
                            <w:p w14:paraId="22B802F5" w14:textId="77777777" w:rsidR="00147C8B" w:rsidRPr="00A3353C" w:rsidRDefault="00147C8B" w:rsidP="00A3353C">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0856430E" w14:textId="77777777" w:rsidR="00147C8B" w:rsidRPr="00682390" w:rsidRDefault="00147C8B" w:rsidP="00FD0C29">
                              <w:pPr>
                                <w:rPr>
                                  <w:b/>
                                  <w:color w:val="FFFFFF" w:themeColor="background1"/>
                                  <w:sz w:val="30"/>
                                  <w:szCs w:val="30"/>
                                  <w:lang w:val="hy-AM"/>
                                </w:rPr>
                              </w:pPr>
                              <w:r w:rsidRPr="00A3353C">
                                <w:rPr>
                                  <w:sz w:val="44"/>
                                  <w:szCs w:val="44"/>
                                  <w:lang w:val="hy-AM"/>
                                </w:rPr>
                                <w:t>ՀԻՄՆԱԿԱՆ ՈՒՂՂՈՒԹՅՈՒՆՆԵՐԻ ՄԱՍԻՆ</w:t>
                              </w:r>
                              <w:r w:rsidRPr="00682390">
                                <w:rPr>
                                  <w:b/>
                                  <w:color w:val="FFFFFF" w:themeColor="background1"/>
                                  <w:sz w:val="30"/>
                                  <w:szCs w:val="30"/>
                                  <w:lang w:val="hy-AM"/>
                                </w:rPr>
                                <w:t>Yerevan 2024</w:t>
                              </w:r>
                            </w:p>
                            <w:p w14:paraId="70571F96" w14:textId="77777777" w:rsidR="00147C8B" w:rsidRPr="00682390" w:rsidRDefault="00147C8B">
                              <w:pPr>
                                <w:rPr>
                                  <w:lang w:val="hy-AM"/>
                                </w:rPr>
                              </w:pPr>
                            </w:p>
                            <w:p w14:paraId="5963C3D6" w14:textId="77777777" w:rsidR="00147C8B" w:rsidRPr="00A3353C" w:rsidRDefault="00147C8B" w:rsidP="00A3353C">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635CDCCE" w14:textId="77777777" w:rsidR="00147C8B" w:rsidRPr="00682390" w:rsidRDefault="00147C8B" w:rsidP="00FD0C29">
                              <w:pPr>
                                <w:rPr>
                                  <w:b/>
                                  <w:color w:val="FFFFFF" w:themeColor="background1"/>
                                  <w:sz w:val="30"/>
                                  <w:szCs w:val="30"/>
                                  <w:lang w:val="hy-AM"/>
                                </w:rPr>
                              </w:pPr>
                              <w:r w:rsidRPr="00A3353C">
                                <w:rPr>
                                  <w:sz w:val="44"/>
                                  <w:szCs w:val="44"/>
                                  <w:lang w:val="hy-AM"/>
                                </w:rPr>
                                <w:t>ՀԻՄՆԱԿԱՆ ՈՒՂՂՈՒԹՅՈՒՆՆԵՐԻ ՄԱՍԻՆ</w:t>
                              </w:r>
                              <w:r w:rsidRPr="00682390">
                                <w:rPr>
                                  <w:b/>
                                  <w:color w:val="FFFFFF" w:themeColor="background1"/>
                                  <w:sz w:val="30"/>
                                  <w:szCs w:val="30"/>
                                  <w:lang w:val="hy-AM"/>
                                </w:rPr>
                                <w:t>Yerevan 2024</w:t>
                              </w:r>
                            </w:p>
                            <w:p w14:paraId="7C8FB289" w14:textId="77777777" w:rsidR="00147C8B" w:rsidRPr="00682390" w:rsidRDefault="00147C8B">
                              <w:pPr>
                                <w:rPr>
                                  <w:lang w:val="hy-AM"/>
                                </w:rPr>
                              </w:pPr>
                            </w:p>
                            <w:p w14:paraId="2FC11A98" w14:textId="77777777" w:rsidR="00147C8B" w:rsidRPr="00A3353C" w:rsidRDefault="00147C8B" w:rsidP="00A3353C">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1E26178E" w14:textId="77777777" w:rsidR="00147C8B" w:rsidRPr="003A5AE3" w:rsidRDefault="00147C8B" w:rsidP="00FD0C29">
                              <w:pPr>
                                <w:rPr>
                                  <w:b/>
                                  <w:color w:val="FFFFFF" w:themeColor="background1"/>
                                  <w:sz w:val="30"/>
                                  <w:szCs w:val="30"/>
                                  <w:lang w:val="hy-AM"/>
                                </w:rPr>
                              </w:pPr>
                              <w:r w:rsidRPr="00A3353C">
                                <w:rPr>
                                  <w:sz w:val="44"/>
                                  <w:szCs w:val="44"/>
                                  <w:lang w:val="hy-AM"/>
                                </w:rPr>
                                <w:t>ՀԻՄՆԱԿԱՆ ՈՒՂՂՈՒԹՅՈՒՆՆԵՐԻ ՄԱՍԻՆ</w:t>
                              </w:r>
                              <w:r w:rsidRPr="003A5AE3">
                                <w:rPr>
                                  <w:b/>
                                  <w:color w:val="FFFFFF" w:themeColor="background1"/>
                                  <w:sz w:val="30"/>
                                  <w:szCs w:val="30"/>
                                  <w:lang w:val="hy-AM"/>
                                </w:rPr>
                                <w:t>Yerevan 2024</w:t>
                              </w:r>
                            </w:p>
                            <w:p w14:paraId="3662705D" w14:textId="77777777" w:rsidR="00147C8B" w:rsidRPr="003A5AE3" w:rsidRDefault="00147C8B">
                              <w:pPr>
                                <w:rPr>
                                  <w:lang w:val="hy-AM"/>
                                </w:rPr>
                              </w:pPr>
                            </w:p>
                            <w:p w14:paraId="797D6816" w14:textId="77777777" w:rsidR="00147C8B" w:rsidRPr="003A5AE3" w:rsidRDefault="00147C8B" w:rsidP="00FD0C29">
                              <w:pPr>
                                <w:rPr>
                                  <w:b/>
                                  <w:color w:val="FFFFFF" w:themeColor="background1"/>
                                  <w:sz w:val="30"/>
                                  <w:szCs w:val="30"/>
                                  <w:lang w:val="hy-AM"/>
                                </w:rPr>
                              </w:pPr>
                              <w:r w:rsidRPr="003A4CA5">
                                <w:rPr>
                                  <w:color w:val="FFFFFF" w:themeColor="background1"/>
                                  <w:sz w:val="40"/>
                                  <w:szCs w:val="40"/>
                                  <w:lang w:val="hy-AM"/>
                                </w:rPr>
                                <w:t>ՄԱՍ I: ՍՈՑԻԱԼ-ՏՆՏԵՍԱԿԱՆ ԶԱՐԳԱՑՄԱՆ, ՄԱԿՐՈՏՆՏԵՍԱԿԱՆ ԶԱՐԳԱՑՄԱՆ ԵՎ ՀԱՐԿԱԲՅՈՒՋԵՏԱՅԻՆ ՔԱՂԱՔԱԿԱՆՈՒԹՅԱՆ</w:t>
                              </w:r>
                              <w:r>
                                <w:rPr>
                                  <w:color w:val="FFFFFF" w:themeColor="background1"/>
                                  <w:sz w:val="40"/>
                                  <w:szCs w:val="40"/>
                                  <w:lang w:val="hy-AM"/>
                                </w:rPr>
                                <w:t xml:space="preserve"> </w:t>
                              </w:r>
                              <w:r w:rsidRPr="003A4CA5">
                                <w:rPr>
                                  <w:color w:val="auto"/>
                                  <w:sz w:val="40"/>
                                  <w:szCs w:val="40"/>
                                  <w:lang w:val="hy-AM"/>
                                </w:rPr>
                                <w:t>ՀԻՄՆԱԿԱՆ ՈՒՂՂՈՒԹՅՈՒՆՆԵՐԻ ՄԱՍԻՆ</w:t>
                              </w:r>
                              <w:r w:rsidRPr="003A5AE3">
                                <w:rPr>
                                  <w:b/>
                                  <w:color w:val="FFFFFF" w:themeColor="background1"/>
                                  <w:sz w:val="30"/>
                                  <w:szCs w:val="30"/>
                                  <w:lang w:val="hy-AM"/>
                                </w:rPr>
                                <w:t>Yerevan 2024</w:t>
                              </w:r>
                            </w:p>
                            <w:p w14:paraId="5B0F1F0F" w14:textId="77777777" w:rsidR="00147C8B" w:rsidRPr="003A5AE3" w:rsidRDefault="00147C8B">
                              <w:pPr>
                                <w:rPr>
                                  <w:lang w:val="hy-AM"/>
                                </w:rPr>
                              </w:pPr>
                            </w:p>
                            <w:p w14:paraId="6E276115" w14:textId="77777777" w:rsidR="00147C8B" w:rsidRPr="00A3353C" w:rsidRDefault="00147C8B" w:rsidP="00A3353C">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77C44C46" w14:textId="77777777" w:rsidR="00147C8B" w:rsidRPr="00682390" w:rsidRDefault="00147C8B" w:rsidP="00FD0C29">
                              <w:pPr>
                                <w:rPr>
                                  <w:b/>
                                  <w:color w:val="FFFFFF" w:themeColor="background1"/>
                                  <w:sz w:val="30"/>
                                  <w:szCs w:val="30"/>
                                  <w:lang w:val="hy-AM"/>
                                </w:rPr>
                              </w:pPr>
                              <w:r w:rsidRPr="00A3353C">
                                <w:rPr>
                                  <w:sz w:val="44"/>
                                  <w:szCs w:val="44"/>
                                  <w:lang w:val="hy-AM"/>
                                </w:rPr>
                                <w:t>ՀԻՄՆԱԿԱՆ ՈՒՂՂՈՒԹՅՈՒՆՆԵՐԻ ՄԱՍԻՆ</w:t>
                              </w:r>
                              <w:r w:rsidRPr="00682390">
                                <w:rPr>
                                  <w:b/>
                                  <w:color w:val="FFFFFF" w:themeColor="background1"/>
                                  <w:sz w:val="30"/>
                                  <w:szCs w:val="30"/>
                                  <w:lang w:val="hy-AM"/>
                                </w:rPr>
                                <w:t>Yerevan 2024</w:t>
                              </w:r>
                            </w:p>
                            <w:p w14:paraId="40AF1E21" w14:textId="77777777" w:rsidR="00147C8B" w:rsidRPr="00682390" w:rsidRDefault="00147C8B">
                              <w:pPr>
                                <w:rPr>
                                  <w:lang w:val="hy-AM"/>
                                </w:rPr>
                              </w:pPr>
                            </w:p>
                            <w:p w14:paraId="1923A5D7" w14:textId="77777777" w:rsidR="00147C8B" w:rsidRPr="00A3353C" w:rsidRDefault="00147C8B" w:rsidP="00A3353C">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079DF862" w14:textId="77777777" w:rsidR="00147C8B" w:rsidRPr="00682390" w:rsidRDefault="00147C8B" w:rsidP="00FD0C29">
                              <w:pPr>
                                <w:rPr>
                                  <w:b/>
                                  <w:color w:val="FFFFFF" w:themeColor="background1"/>
                                  <w:sz w:val="30"/>
                                  <w:szCs w:val="30"/>
                                  <w:lang w:val="hy-AM"/>
                                </w:rPr>
                              </w:pPr>
                              <w:r w:rsidRPr="00A3353C">
                                <w:rPr>
                                  <w:sz w:val="44"/>
                                  <w:szCs w:val="44"/>
                                  <w:lang w:val="hy-AM"/>
                                </w:rPr>
                                <w:t>ՀԻՄՆԱԿԱՆ ՈՒՂՂՈՒԹՅՈՒՆՆԵՐԻ ՄԱՍԻՆ</w:t>
                              </w:r>
                              <w:r w:rsidRPr="00682390">
                                <w:rPr>
                                  <w:b/>
                                  <w:color w:val="FFFFFF" w:themeColor="background1"/>
                                  <w:sz w:val="30"/>
                                  <w:szCs w:val="30"/>
                                  <w:lang w:val="hy-AM"/>
                                </w:rPr>
                                <w:t>Yerevan 2024</w:t>
                              </w:r>
                            </w:p>
                            <w:p w14:paraId="524E81D2" w14:textId="77777777" w:rsidR="00147C8B" w:rsidRPr="00682390" w:rsidRDefault="00147C8B">
                              <w:pPr>
                                <w:rPr>
                                  <w:lang w:val="hy-AM"/>
                                </w:rPr>
                              </w:pPr>
                            </w:p>
                            <w:p w14:paraId="28D7344D" w14:textId="77777777" w:rsidR="00147C8B" w:rsidRPr="00A3353C" w:rsidRDefault="00147C8B" w:rsidP="00A3353C">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62FE2DBC" w14:textId="77777777" w:rsidR="00147C8B" w:rsidRPr="00454DBB" w:rsidRDefault="00147C8B" w:rsidP="00FD0C29">
                              <w:pPr>
                                <w:rPr>
                                  <w:b/>
                                  <w:color w:val="FFFFFF" w:themeColor="background1"/>
                                  <w:sz w:val="30"/>
                                  <w:szCs w:val="30"/>
                                  <w:lang w:val="hy-AM"/>
                                </w:rPr>
                              </w:pPr>
                              <w:r w:rsidRPr="00A3353C">
                                <w:rPr>
                                  <w:sz w:val="44"/>
                                  <w:szCs w:val="44"/>
                                  <w:lang w:val="hy-AM"/>
                                </w:rPr>
                                <w:t>ՀԻՄՆԱԿԱՆ ՈՒՂՂՈՒԹՅՈՒՆՆԵՐԻ ՄԱՍԻՆ</w:t>
                              </w:r>
                              <w:r w:rsidRPr="00454DBB">
                                <w:rPr>
                                  <w:b/>
                                  <w:color w:val="FFFFFF" w:themeColor="background1"/>
                                  <w:sz w:val="30"/>
                                  <w:szCs w:val="30"/>
                                  <w:lang w:val="hy-AM"/>
                                </w:rPr>
                                <w:t>Yerevan 2024</w:t>
                              </w:r>
                            </w:p>
                            <w:p w14:paraId="4C2D753D" w14:textId="77777777" w:rsidR="00147C8B" w:rsidRPr="00454DBB" w:rsidRDefault="00147C8B">
                              <w:pPr>
                                <w:rPr>
                                  <w:lang w:val="hy-AM"/>
                                </w:rPr>
                              </w:pPr>
                            </w:p>
                            <w:p w14:paraId="06F78D3D" w14:textId="77777777" w:rsidR="00147C8B" w:rsidRPr="00454DBB" w:rsidRDefault="00147C8B" w:rsidP="00FD0C29">
                              <w:pPr>
                                <w:rPr>
                                  <w:b/>
                                  <w:color w:val="FFFFFF" w:themeColor="background1"/>
                                  <w:sz w:val="30"/>
                                  <w:szCs w:val="30"/>
                                  <w:lang w:val="hy-AM"/>
                                </w:rPr>
                              </w:pPr>
                              <w:r w:rsidRPr="003A4CA5">
                                <w:rPr>
                                  <w:color w:val="FFFFFF" w:themeColor="background1"/>
                                  <w:sz w:val="40"/>
                                  <w:szCs w:val="40"/>
                                  <w:lang w:val="hy-AM"/>
                                </w:rPr>
                                <w:t>ՄԱՍ I: ՍՈՑԻԱԼ-ՏՆՏԵՍԱԿԱՆ ԶԱՐԳԱՑՄԱՆ, ՄԱԿՐՈՏՆՏԵՍԱԿԱՆ ԶԱՐԳԱՑՄԱՆ ԵՎ ՀԱՐԿԱԲՅՈՒՋԵՏԱՅԻՆ ՔԱՂԱՔԱԿԱՆՈՒԹՅԱՆ</w:t>
                              </w:r>
                              <w:r>
                                <w:rPr>
                                  <w:color w:val="FFFFFF" w:themeColor="background1"/>
                                  <w:sz w:val="40"/>
                                  <w:szCs w:val="40"/>
                                  <w:lang w:val="hy-AM"/>
                                </w:rPr>
                                <w:t xml:space="preserve"> </w:t>
                              </w:r>
                              <w:r w:rsidRPr="003A4CA5">
                                <w:rPr>
                                  <w:color w:val="auto"/>
                                  <w:sz w:val="40"/>
                                  <w:szCs w:val="40"/>
                                  <w:lang w:val="hy-AM"/>
                                </w:rPr>
                                <w:t>ՀԻՄՆԱԿԱՆ ՈՒՂՂՈՒԹՅՈՒՆՆԵՐԻ ՄԱՍԻՆ</w:t>
                              </w:r>
                              <w:r w:rsidRPr="00454DBB">
                                <w:rPr>
                                  <w:b/>
                                  <w:color w:val="FFFFFF" w:themeColor="background1"/>
                                  <w:sz w:val="30"/>
                                  <w:szCs w:val="30"/>
                                  <w:lang w:val="hy-AM"/>
                                </w:rPr>
                                <w:t>Yerevan 2024</w:t>
                              </w:r>
                            </w:p>
                            <w:p w14:paraId="61F21C19" w14:textId="77777777" w:rsidR="00147C8B" w:rsidRPr="00454DBB" w:rsidRDefault="00147C8B">
                              <w:pPr>
                                <w:rPr>
                                  <w:lang w:val="hy-AM"/>
                                </w:rPr>
                              </w:pPr>
                            </w:p>
                            <w:p w14:paraId="202CDB1A" w14:textId="77777777" w:rsidR="00147C8B" w:rsidRPr="00A3353C" w:rsidRDefault="00147C8B" w:rsidP="00A3353C">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73DE3D1F" w14:textId="77777777" w:rsidR="00147C8B" w:rsidRPr="00682390" w:rsidRDefault="00147C8B" w:rsidP="00FD0C29">
                              <w:pPr>
                                <w:rPr>
                                  <w:b/>
                                  <w:color w:val="FFFFFF" w:themeColor="background1"/>
                                  <w:sz w:val="30"/>
                                  <w:szCs w:val="30"/>
                                  <w:lang w:val="hy-AM"/>
                                </w:rPr>
                              </w:pPr>
                              <w:r w:rsidRPr="00A3353C">
                                <w:rPr>
                                  <w:sz w:val="44"/>
                                  <w:szCs w:val="44"/>
                                  <w:lang w:val="hy-AM"/>
                                </w:rPr>
                                <w:t>ՀԻՄՆԱԿԱՆ ՈՒՂՂՈՒԹՅՈՒՆՆԵՐԻ ՄԱՍԻՆ</w:t>
                              </w:r>
                              <w:r w:rsidRPr="00682390">
                                <w:rPr>
                                  <w:b/>
                                  <w:color w:val="FFFFFF" w:themeColor="background1"/>
                                  <w:sz w:val="30"/>
                                  <w:szCs w:val="30"/>
                                  <w:lang w:val="hy-AM"/>
                                </w:rPr>
                                <w:t>Yerevan 2024</w:t>
                              </w:r>
                            </w:p>
                            <w:p w14:paraId="2FDBD5CF" w14:textId="77777777" w:rsidR="00147C8B" w:rsidRPr="00682390" w:rsidRDefault="00147C8B">
                              <w:pPr>
                                <w:rPr>
                                  <w:lang w:val="hy-AM"/>
                                </w:rPr>
                              </w:pPr>
                            </w:p>
                            <w:p w14:paraId="1FA6304E" w14:textId="77777777" w:rsidR="00147C8B" w:rsidRPr="00A3353C" w:rsidRDefault="00147C8B" w:rsidP="00A3353C">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4597EC77" w14:textId="77777777" w:rsidR="00147C8B" w:rsidRPr="00682390" w:rsidRDefault="00147C8B" w:rsidP="00FD0C29">
                              <w:pPr>
                                <w:rPr>
                                  <w:b/>
                                  <w:color w:val="FFFFFF" w:themeColor="background1"/>
                                  <w:sz w:val="30"/>
                                  <w:szCs w:val="30"/>
                                  <w:lang w:val="hy-AM"/>
                                </w:rPr>
                              </w:pPr>
                              <w:r w:rsidRPr="00A3353C">
                                <w:rPr>
                                  <w:sz w:val="44"/>
                                  <w:szCs w:val="44"/>
                                  <w:lang w:val="hy-AM"/>
                                </w:rPr>
                                <w:t>ՀԻՄՆԱԿԱՆ ՈՒՂՂՈՒԹՅՈՒՆՆԵՐԻ ՄԱՍԻՆ</w:t>
                              </w:r>
                              <w:r w:rsidRPr="00682390">
                                <w:rPr>
                                  <w:b/>
                                  <w:color w:val="FFFFFF" w:themeColor="background1"/>
                                  <w:sz w:val="30"/>
                                  <w:szCs w:val="30"/>
                                  <w:lang w:val="hy-AM"/>
                                </w:rPr>
                                <w:t>Yerevan 2024</w:t>
                              </w:r>
                            </w:p>
                            <w:p w14:paraId="705759AF" w14:textId="77777777" w:rsidR="00147C8B" w:rsidRPr="00682390" w:rsidRDefault="00147C8B">
                              <w:pPr>
                                <w:rPr>
                                  <w:lang w:val="hy-AM"/>
                                </w:rPr>
                              </w:pPr>
                            </w:p>
                            <w:p w14:paraId="62188136" w14:textId="77777777" w:rsidR="00147C8B" w:rsidRPr="00A3353C" w:rsidRDefault="00147C8B" w:rsidP="00A3353C">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6121F185" w14:textId="77777777" w:rsidR="00147C8B" w:rsidRPr="00202938" w:rsidRDefault="00147C8B" w:rsidP="00FD0C29">
                              <w:pPr>
                                <w:rPr>
                                  <w:b/>
                                  <w:color w:val="FFFFFF" w:themeColor="background1"/>
                                  <w:sz w:val="30"/>
                                  <w:szCs w:val="30"/>
                                  <w:lang w:val="hy-AM"/>
                                </w:rPr>
                              </w:pPr>
                              <w:r w:rsidRPr="00A3353C">
                                <w:rPr>
                                  <w:sz w:val="44"/>
                                  <w:szCs w:val="44"/>
                                  <w:lang w:val="hy-AM"/>
                                </w:rPr>
                                <w:t>ՀԻՄՆԱԿԱՆ ՈՒՂՂՈՒԹՅՈՒՆՆԵՐԻ ՄԱՍԻՆ</w:t>
                              </w:r>
                              <w:r w:rsidRPr="00202938">
                                <w:rPr>
                                  <w:b/>
                                  <w:color w:val="FFFFFF" w:themeColor="background1"/>
                                  <w:sz w:val="30"/>
                                  <w:szCs w:val="30"/>
                                  <w:lang w:val="hy-AM"/>
                                </w:rPr>
                                <w:t>Yerevan 2024</w:t>
                              </w:r>
                            </w:p>
                            <w:p w14:paraId="6E3B73A6" w14:textId="77777777" w:rsidR="00147C8B" w:rsidRPr="00202938" w:rsidRDefault="00147C8B">
                              <w:pPr>
                                <w:rPr>
                                  <w:lang w:val="hy-AM"/>
                                </w:rPr>
                              </w:pPr>
                            </w:p>
                            <w:p w14:paraId="455C6891" w14:textId="053076C9" w:rsidR="00147C8B" w:rsidRPr="00202938" w:rsidRDefault="00147C8B" w:rsidP="00FD0C29">
                              <w:pPr>
                                <w:rPr>
                                  <w:b/>
                                  <w:color w:val="FFFFFF" w:themeColor="background1"/>
                                  <w:sz w:val="30"/>
                                  <w:szCs w:val="30"/>
                                  <w:lang w:val="hy-AM"/>
                                </w:rPr>
                              </w:pPr>
                              <w:r w:rsidRPr="003A4CA5">
                                <w:rPr>
                                  <w:color w:val="FFFFFF" w:themeColor="background1"/>
                                  <w:sz w:val="40"/>
                                  <w:szCs w:val="40"/>
                                  <w:lang w:val="hy-AM"/>
                                </w:rPr>
                                <w:t>ՄԱՍ I: ՍՈՑԻԱԼ-ՏՆՏԵՍԱԿԱՆ ԶԱՐԳԱՑՄԱՆ, ՄԱԿՐ</w:t>
                              </w:r>
                              <w:r w:rsidRPr="00487DE5">
                                <w:rPr>
                                  <w:color w:val="FFFFFF" w:themeColor="background1"/>
                                  <w:sz w:val="40"/>
                                  <w:szCs w:val="40"/>
                                  <w:lang w:val="hy-AM"/>
                                </w:rPr>
                                <w:t>ՈՏՆՏԵՍԱ</w:t>
                              </w:r>
                              <w:r w:rsidRPr="003A4CA5">
                                <w:rPr>
                                  <w:color w:val="FFFFFF" w:themeColor="background1"/>
                                  <w:sz w:val="40"/>
                                  <w:szCs w:val="40"/>
                                  <w:lang w:val="hy-AM"/>
                                </w:rPr>
                                <w:t>ԿԱՆ ԶԱՐԳԱՑՄԱՆ ԵՎ ՀԱՐԿԱԲՅՈՒՋԵՏԱՅԻՆ ՔԱՂԱՔԱԿԱՆՈՒԹՅԱՆ</w:t>
                              </w:r>
                              <w:r>
                                <w:rPr>
                                  <w:color w:val="FFFFFF" w:themeColor="background1"/>
                                  <w:sz w:val="40"/>
                                  <w:szCs w:val="40"/>
                                  <w:lang w:val="hy-AM"/>
                                </w:rPr>
                                <w:t xml:space="preserve"> </w:t>
                              </w:r>
                              <w:r w:rsidRPr="003A4CA5">
                                <w:rPr>
                                  <w:color w:val="auto"/>
                                  <w:sz w:val="40"/>
                                  <w:szCs w:val="40"/>
                                  <w:lang w:val="hy-AM"/>
                                </w:rPr>
                                <w:t>ՀԻՄՆԱԿԱՆ ՈՒՂՂՈՒԹՅՈՒՆՆԵՐԻ ՄԱՍԻՆ</w:t>
                              </w:r>
                              <w:r w:rsidRPr="00202938">
                                <w:rPr>
                                  <w:b/>
                                  <w:color w:val="FFFFFF" w:themeColor="background1"/>
                                  <w:sz w:val="30"/>
                                  <w:szCs w:val="30"/>
                                  <w:lang w:val="hy-AM"/>
                                </w:rPr>
                                <w:t>Yerevan 2024</w:t>
                              </w:r>
                            </w:p>
                            <w:p w14:paraId="05244E82" w14:textId="77777777" w:rsidR="00147C8B" w:rsidRPr="00202938" w:rsidRDefault="00147C8B">
                              <w:pPr>
                                <w:rPr>
                                  <w:lang w:val="hy-AM"/>
                                </w:rPr>
                              </w:pPr>
                            </w:p>
                            <w:p w14:paraId="5CE47DCF" w14:textId="25131394" w:rsidR="00147C8B" w:rsidRPr="00A3353C" w:rsidRDefault="00147C8B" w:rsidP="00A3353C">
                              <w:pPr>
                                <w:pStyle w:val="TOC1"/>
                                <w:rPr>
                                  <w:rFonts w:asciiTheme="minorHAnsi" w:hAnsiTheme="minorHAnsi"/>
                                  <w:color w:val="FFFFFF" w:themeColor="background1"/>
                                  <w:szCs w:val="40"/>
                                  <w:lang w:val="hy-AM"/>
                                </w:rPr>
                              </w:pPr>
                              <w:bookmarkStart w:id="46" w:name="_Toc209625730"/>
                              <w:r w:rsidRPr="00A3353C">
                                <w:rPr>
                                  <w:rFonts w:asciiTheme="minorHAnsi" w:hAnsiTheme="minorHAnsi"/>
                                  <w:color w:val="FFFFFF" w:themeColor="background1"/>
                                  <w:szCs w:val="40"/>
                                  <w:lang w:val="hy-AM"/>
                                </w:rPr>
                                <w:t>ՄԱՍ I: ՍՈՑԻԱԼ-ՏՆՏԵՍԱԿԱՆ ԶԱՐԳԱՑՄԱՆ ԵՎ ՀԱՐԿԱԲՅՈՒՋԵՏԱՅԻՆ ՔԱՂԱՔԱԿԱՆՈՒԹՅԱՆ</w:t>
                              </w:r>
                              <w:bookmarkEnd w:id="46"/>
                              <w:r w:rsidRPr="00A3353C">
                                <w:rPr>
                                  <w:rFonts w:asciiTheme="minorHAnsi" w:hAnsiTheme="minorHAnsi"/>
                                  <w:color w:val="FFFFFF" w:themeColor="background1"/>
                                  <w:szCs w:val="40"/>
                                  <w:lang w:val="hy-AM"/>
                                </w:rPr>
                                <w:t xml:space="preserve"> </w:t>
                              </w:r>
                            </w:p>
                            <w:p w14:paraId="44BB4AF6" w14:textId="77777777" w:rsidR="00147C8B" w:rsidRPr="00682390" w:rsidRDefault="00147C8B" w:rsidP="00FD0C29">
                              <w:pPr>
                                <w:rPr>
                                  <w:b/>
                                  <w:color w:val="FFFFFF" w:themeColor="background1"/>
                                  <w:sz w:val="30"/>
                                  <w:szCs w:val="30"/>
                                  <w:lang w:val="hy-AM"/>
                                </w:rPr>
                              </w:pPr>
                              <w:r w:rsidRPr="00A3353C">
                                <w:rPr>
                                  <w:sz w:val="44"/>
                                  <w:szCs w:val="44"/>
                                  <w:lang w:val="hy-AM"/>
                                </w:rPr>
                                <w:t>ՀԻՄՆԱԿԱՆ ՈՒՂՂՈՒԹՅՈՒՆՆԵՐԻ ՄԱՍԻՆ</w:t>
                              </w:r>
                              <w:r w:rsidRPr="00682390">
                                <w:rPr>
                                  <w:b/>
                                  <w:color w:val="FFFFFF" w:themeColor="background1"/>
                                  <w:sz w:val="30"/>
                                  <w:szCs w:val="30"/>
                                  <w:lang w:val="hy-AM"/>
                                </w:rPr>
                                <w:t>Yerevan 2024</w:t>
                              </w:r>
                            </w:p>
                            <w:p w14:paraId="60379442" w14:textId="77777777" w:rsidR="00147C8B" w:rsidRPr="00682390" w:rsidRDefault="00147C8B">
                              <w:pPr>
                                <w:rPr>
                                  <w:lang w:val="hy-AM"/>
                                </w:rPr>
                              </w:pPr>
                            </w:p>
                            <w:p w14:paraId="4F3FA076" w14:textId="09246F1A" w:rsidR="00147C8B" w:rsidRPr="00A3353C" w:rsidRDefault="00147C8B" w:rsidP="00A3353C">
                              <w:pPr>
                                <w:pStyle w:val="TOC1"/>
                                <w:rPr>
                                  <w:rFonts w:asciiTheme="minorHAnsi" w:hAnsiTheme="minorHAnsi"/>
                                  <w:color w:val="FFFFFF" w:themeColor="background1"/>
                                  <w:szCs w:val="40"/>
                                  <w:lang w:val="hy-AM"/>
                                </w:rPr>
                              </w:pPr>
                              <w:bookmarkStart w:id="47" w:name="_Toc209625731"/>
                              <w:r w:rsidRPr="00A3353C">
                                <w:rPr>
                                  <w:rFonts w:asciiTheme="minorHAnsi" w:hAnsiTheme="minorHAnsi"/>
                                  <w:color w:val="FFFFFF" w:themeColor="background1"/>
                                  <w:szCs w:val="40"/>
                                  <w:lang w:val="hy-AM"/>
                                </w:rPr>
                                <w:t>ՄԱՍ I: ՍՈՑԻԱԼ-ՏՆՏԵՍԱԿԱՆ ԶԱՐԳԱՑՄԱՆ ԵՎ ՀԱՐԿԱԲՅՈՒՋԵՏԱՅԻՆ ՔԱՂԱՔԱԿԱՆՈՒԹՅԱՆ</w:t>
                              </w:r>
                              <w:bookmarkEnd w:id="47"/>
                              <w:r w:rsidRPr="00A3353C">
                                <w:rPr>
                                  <w:rFonts w:asciiTheme="minorHAnsi" w:hAnsiTheme="minorHAnsi"/>
                                  <w:color w:val="FFFFFF" w:themeColor="background1"/>
                                  <w:szCs w:val="40"/>
                                  <w:lang w:val="hy-AM"/>
                                </w:rPr>
                                <w:t xml:space="preserve"> </w:t>
                              </w:r>
                            </w:p>
                            <w:p w14:paraId="56FBABB4" w14:textId="77777777" w:rsidR="00147C8B" w:rsidRPr="00682390" w:rsidRDefault="00147C8B" w:rsidP="00FD0C29">
                              <w:pPr>
                                <w:rPr>
                                  <w:b/>
                                  <w:color w:val="FFFFFF" w:themeColor="background1"/>
                                  <w:sz w:val="30"/>
                                  <w:szCs w:val="30"/>
                                  <w:lang w:val="hy-AM"/>
                                </w:rPr>
                              </w:pPr>
                              <w:r w:rsidRPr="00A3353C">
                                <w:rPr>
                                  <w:sz w:val="44"/>
                                  <w:szCs w:val="44"/>
                                  <w:lang w:val="hy-AM"/>
                                </w:rPr>
                                <w:t>ՀԻՄՆԱԿԱՆ ՈՒՂՂՈՒԹՅՈՒՆՆԵՐԻ ՄԱՍԻՆ</w:t>
                              </w:r>
                              <w:r w:rsidRPr="00682390">
                                <w:rPr>
                                  <w:b/>
                                  <w:color w:val="FFFFFF" w:themeColor="background1"/>
                                  <w:sz w:val="30"/>
                                  <w:szCs w:val="30"/>
                                  <w:lang w:val="hy-AM"/>
                                </w:rPr>
                                <w:t>Yerevan 2024</w:t>
                              </w:r>
                            </w:p>
                            <w:p w14:paraId="0FF6F442" w14:textId="77777777" w:rsidR="00147C8B" w:rsidRPr="00682390" w:rsidRDefault="00147C8B">
                              <w:pPr>
                                <w:rPr>
                                  <w:lang w:val="hy-AM"/>
                                </w:rPr>
                              </w:pPr>
                            </w:p>
                            <w:p w14:paraId="10052F9E" w14:textId="3CB4AA3F" w:rsidR="00147C8B" w:rsidRPr="00A3353C" w:rsidRDefault="00147C8B" w:rsidP="00A3353C">
                              <w:pPr>
                                <w:pStyle w:val="TOC1"/>
                                <w:rPr>
                                  <w:rFonts w:asciiTheme="minorHAnsi" w:hAnsiTheme="minorHAnsi"/>
                                  <w:color w:val="FFFFFF" w:themeColor="background1"/>
                                  <w:szCs w:val="40"/>
                                  <w:lang w:val="hy-AM"/>
                                </w:rPr>
                              </w:pPr>
                              <w:bookmarkStart w:id="48" w:name="_Toc209625732"/>
                              <w:r w:rsidRPr="00A3353C">
                                <w:rPr>
                                  <w:rFonts w:asciiTheme="minorHAnsi" w:hAnsiTheme="minorHAnsi"/>
                                  <w:color w:val="FFFFFF" w:themeColor="background1"/>
                                  <w:szCs w:val="40"/>
                                  <w:lang w:val="hy-AM"/>
                                </w:rPr>
                                <w:t>ՄԱՍ I: ՍՈՑԻԱԼ-ՏՆՏԵՍԱԿԱՆ ԶԱՐԳԱՑՄԱՆ ԵՎ ՀԱՐԿԱԲՅՈՒՋԵՏԱՅԻՆ ՔԱՂԱՔԱԿԱՆՈՒԹՅԱՆ</w:t>
                              </w:r>
                              <w:bookmarkEnd w:id="48"/>
                              <w:r w:rsidRPr="00A3353C">
                                <w:rPr>
                                  <w:rFonts w:asciiTheme="minorHAnsi" w:hAnsiTheme="minorHAnsi"/>
                                  <w:color w:val="FFFFFF" w:themeColor="background1"/>
                                  <w:szCs w:val="40"/>
                                  <w:lang w:val="hy-AM"/>
                                </w:rPr>
                                <w:t xml:space="preserve"> </w:t>
                              </w:r>
                            </w:p>
                            <w:p w14:paraId="3200773F" w14:textId="77777777" w:rsidR="00147C8B" w:rsidRPr="00454DBB" w:rsidRDefault="00147C8B" w:rsidP="00FD0C29">
                              <w:pPr>
                                <w:rPr>
                                  <w:b/>
                                  <w:color w:val="FFFFFF" w:themeColor="background1"/>
                                  <w:sz w:val="30"/>
                                  <w:szCs w:val="30"/>
                                  <w:lang w:val="hy-AM"/>
                                </w:rPr>
                              </w:pPr>
                              <w:r w:rsidRPr="00A3353C">
                                <w:rPr>
                                  <w:sz w:val="44"/>
                                  <w:szCs w:val="44"/>
                                  <w:lang w:val="hy-AM"/>
                                </w:rPr>
                                <w:t>ՀԻՄՆԱԿԱՆ ՈՒՂՂՈՒԹՅՈՒՆՆԵՐԻ ՄԱՍԻՆ</w:t>
                              </w:r>
                              <w:r w:rsidRPr="00454DBB">
                                <w:rPr>
                                  <w:b/>
                                  <w:color w:val="FFFFFF" w:themeColor="background1"/>
                                  <w:sz w:val="30"/>
                                  <w:szCs w:val="30"/>
                                  <w:lang w:val="hy-AM"/>
                                </w:rPr>
                                <w:t>Yerevan 2024</w:t>
                              </w:r>
                            </w:p>
                            <w:p w14:paraId="56EB843A" w14:textId="77777777" w:rsidR="00147C8B" w:rsidRPr="00454DBB" w:rsidRDefault="00147C8B">
                              <w:pPr>
                                <w:rPr>
                                  <w:lang w:val="hy-AM"/>
                                </w:rPr>
                              </w:pPr>
                            </w:p>
                            <w:p w14:paraId="243C84D5" w14:textId="77777777" w:rsidR="00147C8B" w:rsidRPr="00454DBB" w:rsidRDefault="00147C8B" w:rsidP="00FD0C29">
                              <w:pPr>
                                <w:rPr>
                                  <w:b/>
                                  <w:color w:val="FFFFFF" w:themeColor="background1"/>
                                  <w:sz w:val="30"/>
                                  <w:szCs w:val="30"/>
                                  <w:lang w:val="hy-AM"/>
                                </w:rPr>
                              </w:pPr>
                              <w:r w:rsidRPr="003A4CA5">
                                <w:rPr>
                                  <w:color w:val="FFFFFF" w:themeColor="background1"/>
                                  <w:sz w:val="40"/>
                                  <w:szCs w:val="40"/>
                                  <w:lang w:val="hy-AM"/>
                                </w:rPr>
                                <w:t>ՄԱՍ I: ՍՈՑԻԱԼ-ՏՆՏԵՍԱԿԱՆ ԶԱՐԳԱՑՄԱՆ, ՄԱԿՐՈՏՆՏԵՍԱԿԱՆ ԶԱՐԳԱՑՄԱՆ ԵՎ ՀԱՐԿԱԲՅՈՒՋԵՏԱՅԻՆ ՔԱՂԱՔԱԿԱՆՈՒԹՅԱՆ</w:t>
                              </w:r>
                              <w:r>
                                <w:rPr>
                                  <w:color w:val="FFFFFF" w:themeColor="background1"/>
                                  <w:sz w:val="40"/>
                                  <w:szCs w:val="40"/>
                                  <w:lang w:val="hy-AM"/>
                                </w:rPr>
                                <w:t xml:space="preserve"> </w:t>
                              </w:r>
                              <w:r w:rsidRPr="003A4CA5">
                                <w:rPr>
                                  <w:color w:val="auto"/>
                                  <w:sz w:val="40"/>
                                  <w:szCs w:val="40"/>
                                  <w:lang w:val="hy-AM"/>
                                </w:rPr>
                                <w:t>ՀԻՄՆԱԿԱՆ ՈՒՂՂՈՒԹՅՈՒՆՆԵՐԻ ՄԱՍԻՆ</w:t>
                              </w:r>
                              <w:r w:rsidRPr="00454DBB">
                                <w:rPr>
                                  <w:b/>
                                  <w:color w:val="FFFFFF" w:themeColor="background1"/>
                                  <w:sz w:val="30"/>
                                  <w:szCs w:val="30"/>
                                  <w:lang w:val="hy-AM"/>
                                </w:rPr>
                                <w:t>Yerevan 2024</w:t>
                              </w:r>
                            </w:p>
                            <w:p w14:paraId="40C0981A" w14:textId="77777777" w:rsidR="00147C8B" w:rsidRPr="00454DBB" w:rsidRDefault="00147C8B">
                              <w:pPr>
                                <w:rPr>
                                  <w:lang w:val="hy-AM"/>
                                </w:rPr>
                              </w:pPr>
                            </w:p>
                            <w:p w14:paraId="3797E42E" w14:textId="2033D324" w:rsidR="00147C8B" w:rsidRPr="00A3353C" w:rsidRDefault="00147C8B" w:rsidP="00A3353C">
                              <w:pPr>
                                <w:pStyle w:val="TOC1"/>
                                <w:rPr>
                                  <w:rFonts w:asciiTheme="minorHAnsi" w:hAnsiTheme="minorHAnsi"/>
                                  <w:color w:val="FFFFFF" w:themeColor="background1"/>
                                  <w:szCs w:val="40"/>
                                  <w:lang w:val="hy-AM"/>
                                </w:rPr>
                              </w:pPr>
                              <w:bookmarkStart w:id="49" w:name="_Toc209625733"/>
                              <w:r w:rsidRPr="00A3353C">
                                <w:rPr>
                                  <w:rFonts w:asciiTheme="minorHAnsi" w:hAnsiTheme="minorHAnsi"/>
                                  <w:color w:val="FFFFFF" w:themeColor="background1"/>
                                  <w:szCs w:val="40"/>
                                  <w:lang w:val="hy-AM"/>
                                </w:rPr>
                                <w:t>ՄԱՍ I: ՍՈՑԻԱԼ-ՏՆՏԵՍԱԿԱՆ ԶԱՐԳԱՑՄԱՆ ԵՎ ՀԱՐԿԱԲՅՈՒՋԵՏԱՅԻՆ ՔԱՂԱՔԱԿԱՆՈՒԹՅԱՆ</w:t>
                              </w:r>
                              <w:bookmarkEnd w:id="49"/>
                              <w:r w:rsidRPr="00A3353C">
                                <w:rPr>
                                  <w:rFonts w:asciiTheme="minorHAnsi" w:hAnsiTheme="minorHAnsi"/>
                                  <w:color w:val="FFFFFF" w:themeColor="background1"/>
                                  <w:szCs w:val="40"/>
                                  <w:lang w:val="hy-AM"/>
                                </w:rPr>
                                <w:t xml:space="preserve"> </w:t>
                              </w:r>
                            </w:p>
                            <w:p w14:paraId="59197E2B" w14:textId="77777777" w:rsidR="00147C8B" w:rsidRPr="00682390" w:rsidRDefault="00147C8B" w:rsidP="00FD0C29">
                              <w:pPr>
                                <w:rPr>
                                  <w:b/>
                                  <w:color w:val="FFFFFF" w:themeColor="background1"/>
                                  <w:sz w:val="30"/>
                                  <w:szCs w:val="30"/>
                                  <w:lang w:val="hy-AM"/>
                                </w:rPr>
                              </w:pPr>
                              <w:r w:rsidRPr="00A3353C">
                                <w:rPr>
                                  <w:sz w:val="44"/>
                                  <w:szCs w:val="44"/>
                                  <w:lang w:val="hy-AM"/>
                                </w:rPr>
                                <w:t>ՀԻՄՆԱԿԱՆ ՈՒՂՂՈՒԹՅՈՒՆՆԵՐԻ ՄԱՍԻՆ</w:t>
                              </w:r>
                              <w:r w:rsidRPr="00682390">
                                <w:rPr>
                                  <w:b/>
                                  <w:color w:val="FFFFFF" w:themeColor="background1"/>
                                  <w:sz w:val="30"/>
                                  <w:szCs w:val="30"/>
                                  <w:lang w:val="hy-AM"/>
                                </w:rPr>
                                <w:t>Yerevan 2024</w:t>
                              </w:r>
                            </w:p>
                            <w:p w14:paraId="420A2012" w14:textId="77777777" w:rsidR="00147C8B" w:rsidRPr="00682390" w:rsidRDefault="00147C8B">
                              <w:pPr>
                                <w:rPr>
                                  <w:lang w:val="hy-AM"/>
                                </w:rPr>
                              </w:pPr>
                            </w:p>
                            <w:p w14:paraId="197D3453" w14:textId="6488D07E" w:rsidR="00147C8B" w:rsidRPr="00A3353C" w:rsidRDefault="00147C8B" w:rsidP="00A3353C">
                              <w:pPr>
                                <w:pStyle w:val="TOC1"/>
                                <w:rPr>
                                  <w:rFonts w:asciiTheme="minorHAnsi" w:hAnsiTheme="minorHAnsi"/>
                                  <w:color w:val="FFFFFF" w:themeColor="background1"/>
                                  <w:szCs w:val="40"/>
                                  <w:lang w:val="hy-AM"/>
                                </w:rPr>
                              </w:pPr>
                              <w:bookmarkStart w:id="50" w:name="_Toc209625734"/>
                              <w:r w:rsidRPr="00A3353C">
                                <w:rPr>
                                  <w:rFonts w:asciiTheme="minorHAnsi" w:hAnsiTheme="minorHAnsi"/>
                                  <w:color w:val="FFFFFF" w:themeColor="background1"/>
                                  <w:szCs w:val="40"/>
                                  <w:lang w:val="hy-AM"/>
                                </w:rPr>
                                <w:t>ՄԱՍ I: ՍՈՑԻԱԼ-ՏՆՏԵՍԱԿԱՆ ԶԱՐԳԱՑՄԱՆ ԵՎ ՀԱՐԿԱԲՅՈՒՋԵՏԱՅԻՆ ՔԱՂԱՔԱԿԱՆՈՒԹՅԱՆ</w:t>
                              </w:r>
                              <w:bookmarkEnd w:id="50"/>
                              <w:r w:rsidRPr="00A3353C">
                                <w:rPr>
                                  <w:rFonts w:asciiTheme="minorHAnsi" w:hAnsiTheme="minorHAnsi"/>
                                  <w:color w:val="FFFFFF" w:themeColor="background1"/>
                                  <w:szCs w:val="40"/>
                                  <w:lang w:val="hy-AM"/>
                                </w:rPr>
                                <w:t xml:space="preserve"> </w:t>
                              </w:r>
                            </w:p>
                            <w:p w14:paraId="734D0933" w14:textId="77777777" w:rsidR="00147C8B" w:rsidRPr="00682390" w:rsidRDefault="00147C8B" w:rsidP="00FD0C29">
                              <w:pPr>
                                <w:rPr>
                                  <w:b/>
                                  <w:color w:val="FFFFFF" w:themeColor="background1"/>
                                  <w:sz w:val="30"/>
                                  <w:szCs w:val="30"/>
                                  <w:lang w:val="hy-AM"/>
                                </w:rPr>
                              </w:pPr>
                              <w:r w:rsidRPr="00A3353C">
                                <w:rPr>
                                  <w:sz w:val="44"/>
                                  <w:szCs w:val="44"/>
                                  <w:lang w:val="hy-AM"/>
                                </w:rPr>
                                <w:t>ՀԻՄՆԱԿԱՆ ՈՒՂՂՈՒԹՅՈՒՆՆԵՐԻ ՄԱՍԻՆ</w:t>
                              </w:r>
                              <w:r w:rsidRPr="00682390">
                                <w:rPr>
                                  <w:b/>
                                  <w:color w:val="FFFFFF" w:themeColor="background1"/>
                                  <w:sz w:val="30"/>
                                  <w:szCs w:val="30"/>
                                  <w:lang w:val="hy-AM"/>
                                </w:rPr>
                                <w:t>Yerevan 2024</w:t>
                              </w:r>
                            </w:p>
                            <w:p w14:paraId="6D66DA71" w14:textId="77777777" w:rsidR="00147C8B" w:rsidRPr="00682390" w:rsidRDefault="00147C8B">
                              <w:pPr>
                                <w:rPr>
                                  <w:lang w:val="hy-AM"/>
                                </w:rPr>
                              </w:pPr>
                            </w:p>
                            <w:p w14:paraId="1DD71711" w14:textId="63BD7D07" w:rsidR="00147C8B" w:rsidRPr="00A3353C" w:rsidRDefault="00147C8B" w:rsidP="00A3353C">
                              <w:pPr>
                                <w:pStyle w:val="TOC1"/>
                                <w:rPr>
                                  <w:rFonts w:asciiTheme="minorHAnsi" w:hAnsiTheme="minorHAnsi"/>
                                  <w:color w:val="FFFFFF" w:themeColor="background1"/>
                                  <w:szCs w:val="40"/>
                                  <w:lang w:val="hy-AM"/>
                                </w:rPr>
                              </w:pPr>
                              <w:bookmarkStart w:id="51" w:name="_Toc209625735"/>
                              <w:r w:rsidRPr="00A3353C">
                                <w:rPr>
                                  <w:rFonts w:asciiTheme="minorHAnsi" w:hAnsiTheme="minorHAnsi"/>
                                  <w:color w:val="FFFFFF" w:themeColor="background1"/>
                                  <w:szCs w:val="40"/>
                                  <w:lang w:val="hy-AM"/>
                                </w:rPr>
                                <w:t>ՄԱՍ I: ՍՈՑԻԱԼ-ՏՆՏԵՍԱԿԱՆ ԶԱՐԳԱՑՄԱՆ ԵՎ ՀԱՐԿԱԲՅՈՒՋԵՏԱՅԻՆ ՔԱՂԱՔԱԿԱՆՈՒԹՅԱՆ</w:t>
                              </w:r>
                              <w:bookmarkEnd w:id="51"/>
                              <w:r w:rsidRPr="00A3353C">
                                <w:rPr>
                                  <w:rFonts w:asciiTheme="minorHAnsi" w:hAnsiTheme="minorHAnsi"/>
                                  <w:color w:val="FFFFFF" w:themeColor="background1"/>
                                  <w:szCs w:val="40"/>
                                  <w:lang w:val="hy-AM"/>
                                </w:rPr>
                                <w:t xml:space="preserve"> </w:t>
                              </w:r>
                            </w:p>
                            <w:p w14:paraId="5F9C9DF2" w14:textId="77777777" w:rsidR="00147C8B" w:rsidRPr="003A5AE3" w:rsidRDefault="00147C8B" w:rsidP="00FD0C29">
                              <w:pPr>
                                <w:rPr>
                                  <w:b/>
                                  <w:color w:val="FFFFFF" w:themeColor="background1"/>
                                  <w:sz w:val="30"/>
                                  <w:szCs w:val="30"/>
                                  <w:lang w:val="hy-AM"/>
                                </w:rPr>
                              </w:pPr>
                              <w:r w:rsidRPr="00A3353C">
                                <w:rPr>
                                  <w:sz w:val="44"/>
                                  <w:szCs w:val="44"/>
                                  <w:lang w:val="hy-AM"/>
                                </w:rPr>
                                <w:t>ՀԻՄՆԱԿԱՆ ՈՒՂՂՈՒԹՅՈՒՆՆԵՐԻ ՄԱՍԻՆ</w:t>
                              </w:r>
                              <w:r w:rsidRPr="003A5AE3">
                                <w:rPr>
                                  <w:b/>
                                  <w:color w:val="FFFFFF" w:themeColor="background1"/>
                                  <w:sz w:val="30"/>
                                  <w:szCs w:val="30"/>
                                  <w:lang w:val="hy-AM"/>
                                </w:rPr>
                                <w:t>Yerevan 2024</w:t>
                              </w:r>
                            </w:p>
                            <w:p w14:paraId="166444A7" w14:textId="77777777" w:rsidR="00147C8B" w:rsidRPr="003A5AE3" w:rsidRDefault="00147C8B">
                              <w:pPr>
                                <w:rPr>
                                  <w:lang w:val="hy-AM"/>
                                </w:rPr>
                              </w:pPr>
                            </w:p>
                            <w:p w14:paraId="66A72D27" w14:textId="053076C9" w:rsidR="00147C8B" w:rsidRPr="003A5AE3" w:rsidRDefault="00147C8B" w:rsidP="00FD0C29">
                              <w:pPr>
                                <w:rPr>
                                  <w:b/>
                                  <w:color w:val="FFFFFF" w:themeColor="background1"/>
                                  <w:sz w:val="30"/>
                                  <w:szCs w:val="30"/>
                                  <w:lang w:val="hy-AM"/>
                                </w:rPr>
                              </w:pPr>
                              <w:r w:rsidRPr="003A4CA5">
                                <w:rPr>
                                  <w:color w:val="FFFFFF" w:themeColor="background1"/>
                                  <w:sz w:val="40"/>
                                  <w:szCs w:val="40"/>
                                  <w:lang w:val="hy-AM"/>
                                </w:rPr>
                                <w:t>ՄԱՍ I: ՍՈՑԻԱԼ-ՏՆՏԵՍԱԿԱՆ ԶԱՐԳԱՑՄԱՆ, ՄԱԿՐՈՏՆՏԵՍԱԿԱՆ ԶԱՐԳԱՑՄԱՆ ԵՎ ՀԱՐԿԱԲՅՈՒՋԵՏԱՅԻՆ ՔԱՂԱՔԱԿԱՆՈՒԹՅԱՆ</w:t>
                              </w:r>
                              <w:r>
                                <w:rPr>
                                  <w:color w:val="FFFFFF" w:themeColor="background1"/>
                                  <w:sz w:val="40"/>
                                  <w:szCs w:val="40"/>
                                  <w:lang w:val="hy-AM"/>
                                </w:rPr>
                                <w:t xml:space="preserve"> </w:t>
                              </w:r>
                              <w:r w:rsidRPr="003A4CA5">
                                <w:rPr>
                                  <w:color w:val="auto"/>
                                  <w:sz w:val="40"/>
                                  <w:szCs w:val="40"/>
                                  <w:lang w:val="hy-AM"/>
                                </w:rPr>
                                <w:t>ՀԻՄՆԱԿԱՆ ՈՒՂՂՈՒԹՅՈՒՆՆԵՐԻ ՄԱՍԻՆ</w:t>
                              </w:r>
                              <w:r w:rsidRPr="003A5AE3">
                                <w:rPr>
                                  <w:b/>
                                  <w:color w:val="FFFFFF" w:themeColor="background1"/>
                                  <w:sz w:val="30"/>
                                  <w:szCs w:val="30"/>
                                  <w:lang w:val="hy-AM"/>
                                </w:rPr>
                                <w:t>Yerevan 2024</w:t>
                              </w:r>
                            </w:p>
                            <w:p w14:paraId="367C15B9" w14:textId="77777777" w:rsidR="00147C8B" w:rsidRPr="003A5AE3" w:rsidRDefault="00147C8B">
                              <w:pPr>
                                <w:rPr>
                                  <w:lang w:val="hy-AM"/>
                                </w:rPr>
                              </w:pPr>
                            </w:p>
                            <w:p w14:paraId="515A2AE7" w14:textId="51C620A9" w:rsidR="00147C8B" w:rsidRPr="00A3353C" w:rsidRDefault="00147C8B" w:rsidP="00A3353C">
                              <w:pPr>
                                <w:pStyle w:val="TOC1"/>
                                <w:rPr>
                                  <w:rFonts w:asciiTheme="minorHAnsi" w:hAnsiTheme="minorHAnsi"/>
                                  <w:color w:val="FFFFFF" w:themeColor="background1"/>
                                  <w:szCs w:val="40"/>
                                  <w:lang w:val="hy-AM"/>
                                </w:rPr>
                              </w:pPr>
                              <w:bookmarkStart w:id="52" w:name="_Toc183785462"/>
                              <w:bookmarkStart w:id="53" w:name="_Toc183787208"/>
                              <w:bookmarkStart w:id="54" w:name="_Toc183801038"/>
                              <w:bookmarkStart w:id="55" w:name="_Toc209625736"/>
                              <w:r w:rsidRPr="00A3353C">
                                <w:rPr>
                                  <w:rFonts w:asciiTheme="minorHAnsi" w:hAnsiTheme="minorHAnsi"/>
                                  <w:color w:val="FFFFFF" w:themeColor="background1"/>
                                  <w:szCs w:val="40"/>
                                  <w:lang w:val="hy-AM"/>
                                </w:rPr>
                                <w:t>ՄԱՍ I: ՍՈՑԻԱԼ-ՏՆՏԵՍԱԿԱՆ ԶԱՐԳԱՑՄԱՆ ԵՎ ՀԱՐԿԱԲՅՈՒՋԵՏԱՅԻՆ ՔԱՂԱՔԱԿԱՆՈՒԹՅԱՆ</w:t>
                              </w:r>
                              <w:bookmarkEnd w:id="52"/>
                              <w:bookmarkEnd w:id="53"/>
                              <w:bookmarkEnd w:id="54"/>
                              <w:bookmarkEnd w:id="55"/>
                              <w:r w:rsidRPr="00A3353C">
                                <w:rPr>
                                  <w:rFonts w:asciiTheme="minorHAnsi" w:hAnsiTheme="minorHAnsi"/>
                                  <w:color w:val="FFFFFF" w:themeColor="background1"/>
                                  <w:szCs w:val="40"/>
                                  <w:lang w:val="hy-AM"/>
                                </w:rPr>
                                <w:t xml:space="preserve"> </w:t>
                              </w:r>
                            </w:p>
                            <w:p w14:paraId="0B2CD1D0" w14:textId="77777777" w:rsidR="00147C8B" w:rsidRPr="00682390" w:rsidRDefault="00147C8B" w:rsidP="00FD0C29">
                              <w:pPr>
                                <w:rPr>
                                  <w:b/>
                                  <w:color w:val="FFFFFF" w:themeColor="background1"/>
                                  <w:sz w:val="30"/>
                                  <w:szCs w:val="30"/>
                                  <w:lang w:val="hy-AM"/>
                                </w:rPr>
                              </w:pPr>
                              <w:r w:rsidRPr="00A3353C">
                                <w:rPr>
                                  <w:sz w:val="44"/>
                                  <w:szCs w:val="44"/>
                                  <w:lang w:val="hy-AM"/>
                                </w:rPr>
                                <w:t>ՀԻՄՆԱԿԱՆ ՈՒՂՂՈՒԹՅՈՒՆՆԵՐԻ ՄԱՍԻՆ</w:t>
                              </w:r>
                              <w:r w:rsidRPr="00682390">
                                <w:rPr>
                                  <w:b/>
                                  <w:color w:val="FFFFFF" w:themeColor="background1"/>
                                  <w:sz w:val="30"/>
                                  <w:szCs w:val="30"/>
                                  <w:lang w:val="hy-AM"/>
                                </w:rPr>
                                <w:t>Yerevan 2024</w:t>
                              </w:r>
                            </w:p>
                            <w:p w14:paraId="5179CFA2" w14:textId="77777777" w:rsidR="00147C8B" w:rsidRPr="00682390" w:rsidRDefault="00147C8B">
                              <w:pPr>
                                <w:rPr>
                                  <w:lang w:val="hy-AM"/>
                                </w:rPr>
                              </w:pPr>
                            </w:p>
                            <w:p w14:paraId="491F6719" w14:textId="36E07250" w:rsidR="00147C8B" w:rsidRPr="00A3353C" w:rsidRDefault="00147C8B" w:rsidP="00A3353C">
                              <w:pPr>
                                <w:pStyle w:val="TOC1"/>
                                <w:rPr>
                                  <w:rFonts w:asciiTheme="minorHAnsi" w:hAnsiTheme="minorHAnsi"/>
                                  <w:color w:val="FFFFFF" w:themeColor="background1"/>
                                  <w:szCs w:val="40"/>
                                  <w:lang w:val="hy-AM"/>
                                </w:rPr>
                              </w:pPr>
                              <w:bookmarkStart w:id="56" w:name="_Toc183785463"/>
                              <w:bookmarkStart w:id="57" w:name="_Toc183787209"/>
                              <w:bookmarkStart w:id="58" w:name="_Toc183801039"/>
                              <w:bookmarkStart w:id="59" w:name="_Toc209625737"/>
                              <w:r w:rsidRPr="00A3353C">
                                <w:rPr>
                                  <w:rFonts w:asciiTheme="minorHAnsi" w:hAnsiTheme="minorHAnsi"/>
                                  <w:color w:val="FFFFFF" w:themeColor="background1"/>
                                  <w:szCs w:val="40"/>
                                  <w:lang w:val="hy-AM"/>
                                </w:rPr>
                                <w:t>ՄԱՍ I: ՍՈՑԻԱԼ-ՏՆՏԵՍԱԿԱՆ ԶԱՐԳԱՑՄԱՆ ԵՎ ՀԱՐԿԱԲՅՈՒՋԵՏԱՅԻՆ ՔԱՂԱՔԱԿԱՆՈՒԹՅԱՆ</w:t>
                              </w:r>
                              <w:bookmarkEnd w:id="56"/>
                              <w:bookmarkEnd w:id="57"/>
                              <w:bookmarkEnd w:id="58"/>
                              <w:bookmarkEnd w:id="59"/>
                              <w:r w:rsidRPr="00A3353C">
                                <w:rPr>
                                  <w:rFonts w:asciiTheme="minorHAnsi" w:hAnsiTheme="minorHAnsi"/>
                                  <w:color w:val="FFFFFF" w:themeColor="background1"/>
                                  <w:szCs w:val="40"/>
                                  <w:lang w:val="hy-AM"/>
                                </w:rPr>
                                <w:t xml:space="preserve"> </w:t>
                              </w:r>
                            </w:p>
                            <w:p w14:paraId="54C2FD7A" w14:textId="77777777" w:rsidR="00147C8B" w:rsidRPr="00682390" w:rsidRDefault="00147C8B" w:rsidP="00FD0C29">
                              <w:pPr>
                                <w:rPr>
                                  <w:b/>
                                  <w:color w:val="FFFFFF" w:themeColor="background1"/>
                                  <w:sz w:val="30"/>
                                  <w:szCs w:val="30"/>
                                  <w:lang w:val="hy-AM"/>
                                </w:rPr>
                              </w:pPr>
                              <w:r w:rsidRPr="00A3353C">
                                <w:rPr>
                                  <w:sz w:val="44"/>
                                  <w:szCs w:val="44"/>
                                  <w:lang w:val="hy-AM"/>
                                </w:rPr>
                                <w:t>ՀԻՄՆԱԿԱՆ ՈՒՂՂՈՒԹՅՈՒՆՆԵՐԻ ՄԱՍԻՆ</w:t>
                              </w:r>
                              <w:r w:rsidRPr="00682390">
                                <w:rPr>
                                  <w:b/>
                                  <w:color w:val="FFFFFF" w:themeColor="background1"/>
                                  <w:sz w:val="30"/>
                                  <w:szCs w:val="30"/>
                                  <w:lang w:val="hy-AM"/>
                                </w:rPr>
                                <w:t>Yerevan 2024</w:t>
                              </w:r>
                            </w:p>
                            <w:p w14:paraId="57831187" w14:textId="77777777" w:rsidR="00147C8B" w:rsidRPr="00682390" w:rsidRDefault="00147C8B">
                              <w:pPr>
                                <w:rPr>
                                  <w:lang w:val="hy-AM"/>
                                </w:rPr>
                              </w:pPr>
                            </w:p>
                            <w:p w14:paraId="5A444A93" w14:textId="6A5736E0" w:rsidR="00147C8B" w:rsidRPr="00A3353C" w:rsidRDefault="00147C8B" w:rsidP="00A3353C">
                              <w:pPr>
                                <w:pStyle w:val="TOC1"/>
                                <w:rPr>
                                  <w:rFonts w:asciiTheme="minorHAnsi" w:hAnsiTheme="minorHAnsi"/>
                                  <w:color w:val="FFFFFF" w:themeColor="background1"/>
                                  <w:szCs w:val="40"/>
                                  <w:lang w:val="hy-AM"/>
                                </w:rPr>
                              </w:pPr>
                              <w:bookmarkStart w:id="60" w:name="_Toc183785464"/>
                              <w:bookmarkStart w:id="61" w:name="_Toc183787210"/>
                              <w:bookmarkStart w:id="62" w:name="_Toc183801040"/>
                              <w:bookmarkStart w:id="63" w:name="_Toc209625738"/>
                              <w:r w:rsidRPr="00A3353C">
                                <w:rPr>
                                  <w:rFonts w:asciiTheme="minorHAnsi" w:hAnsiTheme="minorHAnsi"/>
                                  <w:color w:val="FFFFFF" w:themeColor="background1"/>
                                  <w:szCs w:val="40"/>
                                  <w:lang w:val="hy-AM"/>
                                </w:rPr>
                                <w:t>ՄԱՍ I: ՍՈՑԻԱԼ-ՏՆՏԵՍԱԿԱՆ ԶԱՐԳԱՑՄԱՆ ԵՎ ՀԱՐԿԱԲՅՈՒՋԵՏԱՅԻՆ ՔԱՂԱՔԱԿԱՆՈՒԹՅԱՆ</w:t>
                              </w:r>
                              <w:bookmarkEnd w:id="60"/>
                              <w:bookmarkEnd w:id="61"/>
                              <w:bookmarkEnd w:id="62"/>
                              <w:bookmarkEnd w:id="63"/>
                              <w:r w:rsidRPr="00A3353C">
                                <w:rPr>
                                  <w:rFonts w:asciiTheme="minorHAnsi" w:hAnsiTheme="minorHAnsi"/>
                                  <w:color w:val="FFFFFF" w:themeColor="background1"/>
                                  <w:szCs w:val="40"/>
                                  <w:lang w:val="hy-AM"/>
                                </w:rPr>
                                <w:t xml:space="preserve"> </w:t>
                              </w:r>
                            </w:p>
                            <w:p w14:paraId="08EDBDC6" w14:textId="77777777" w:rsidR="00147C8B" w:rsidRPr="00454DBB" w:rsidRDefault="00147C8B" w:rsidP="00FD0C29">
                              <w:pPr>
                                <w:rPr>
                                  <w:b/>
                                  <w:color w:val="FFFFFF" w:themeColor="background1"/>
                                  <w:sz w:val="30"/>
                                  <w:szCs w:val="30"/>
                                  <w:lang w:val="hy-AM"/>
                                </w:rPr>
                              </w:pPr>
                              <w:r w:rsidRPr="00A3353C">
                                <w:rPr>
                                  <w:sz w:val="44"/>
                                  <w:szCs w:val="44"/>
                                  <w:lang w:val="hy-AM"/>
                                </w:rPr>
                                <w:t>ՀԻՄՆԱԿԱՆ ՈՒՂՂՈՒԹՅՈՒՆՆԵՐԻ ՄԱՍԻՆ</w:t>
                              </w:r>
                              <w:r w:rsidRPr="00454DBB">
                                <w:rPr>
                                  <w:b/>
                                  <w:color w:val="FFFFFF" w:themeColor="background1"/>
                                  <w:sz w:val="30"/>
                                  <w:szCs w:val="30"/>
                                  <w:lang w:val="hy-AM"/>
                                </w:rPr>
                                <w:t>Yerevan 2024</w:t>
                              </w:r>
                            </w:p>
                            <w:p w14:paraId="23961CA3" w14:textId="77777777" w:rsidR="00147C8B" w:rsidRPr="00454DBB" w:rsidRDefault="00147C8B">
                              <w:pPr>
                                <w:rPr>
                                  <w:lang w:val="hy-AM"/>
                                </w:rPr>
                              </w:pPr>
                            </w:p>
                            <w:p w14:paraId="70125375" w14:textId="053076C9" w:rsidR="00147C8B" w:rsidRPr="00454DBB" w:rsidRDefault="00147C8B" w:rsidP="00FD0C29">
                              <w:pPr>
                                <w:rPr>
                                  <w:b/>
                                  <w:color w:val="FFFFFF" w:themeColor="background1"/>
                                  <w:sz w:val="30"/>
                                  <w:szCs w:val="30"/>
                                  <w:lang w:val="hy-AM"/>
                                </w:rPr>
                              </w:pPr>
                              <w:r w:rsidRPr="003A4CA5">
                                <w:rPr>
                                  <w:color w:val="FFFFFF" w:themeColor="background1"/>
                                  <w:sz w:val="40"/>
                                  <w:szCs w:val="40"/>
                                  <w:lang w:val="hy-AM"/>
                                </w:rPr>
                                <w:t>ՄԱՍ I: ՍՈՑԻԱԼ-ՏՆՏԵՍԱԿԱՆ ԶԱՐԳԱՑՄԱՆ, ՄԱԿՐՈՏՆՏԵՍԱԿԱՆ ԶԱՐԳԱՑՄԱՆ ԵՎ ՀԱՐԿԱԲՅՈՒՋԵՏԱՅԻՆ ՔԱՂԱՔԱԿԱՆՈՒԹՅԱՆ</w:t>
                              </w:r>
                              <w:r>
                                <w:rPr>
                                  <w:color w:val="FFFFFF" w:themeColor="background1"/>
                                  <w:sz w:val="40"/>
                                  <w:szCs w:val="40"/>
                                  <w:lang w:val="hy-AM"/>
                                </w:rPr>
                                <w:t xml:space="preserve"> </w:t>
                              </w:r>
                              <w:r w:rsidRPr="003A4CA5">
                                <w:rPr>
                                  <w:color w:val="auto"/>
                                  <w:sz w:val="40"/>
                                  <w:szCs w:val="40"/>
                                  <w:lang w:val="hy-AM"/>
                                </w:rPr>
                                <w:t>ՀԻՄՆԱԿԱՆ ՈՒՂՂՈՒԹՅՈՒՆՆԵՐԻ ՄԱՍԻՆ</w:t>
                              </w:r>
                              <w:r w:rsidRPr="00454DBB">
                                <w:rPr>
                                  <w:b/>
                                  <w:color w:val="FFFFFF" w:themeColor="background1"/>
                                  <w:sz w:val="30"/>
                                  <w:szCs w:val="30"/>
                                  <w:lang w:val="hy-AM"/>
                                </w:rPr>
                                <w:t>Yerevan 2024</w:t>
                              </w:r>
                            </w:p>
                            <w:p w14:paraId="0A18B5A1" w14:textId="77777777" w:rsidR="00147C8B" w:rsidRPr="00454DBB" w:rsidRDefault="00147C8B">
                              <w:pPr>
                                <w:rPr>
                                  <w:lang w:val="hy-AM"/>
                                </w:rPr>
                              </w:pPr>
                            </w:p>
                            <w:p w14:paraId="70FC9A5B" w14:textId="6108C211" w:rsidR="00147C8B" w:rsidRPr="00A3353C" w:rsidRDefault="00147C8B" w:rsidP="00A3353C">
                              <w:pPr>
                                <w:pStyle w:val="TOC1"/>
                                <w:rPr>
                                  <w:rFonts w:asciiTheme="minorHAnsi" w:hAnsiTheme="minorHAnsi"/>
                                  <w:color w:val="FFFFFF" w:themeColor="background1"/>
                                  <w:szCs w:val="40"/>
                                  <w:lang w:val="hy-AM"/>
                                </w:rPr>
                              </w:pPr>
                              <w:bookmarkStart w:id="64" w:name="_Toc178611126"/>
                              <w:bookmarkStart w:id="65" w:name="_Toc178611266"/>
                              <w:bookmarkStart w:id="66" w:name="_Toc178611474"/>
                              <w:bookmarkStart w:id="67" w:name="_Toc178612058"/>
                              <w:bookmarkStart w:id="68" w:name="_Toc183785465"/>
                              <w:bookmarkStart w:id="69" w:name="_Toc183787211"/>
                              <w:bookmarkStart w:id="70" w:name="_Toc183801041"/>
                              <w:bookmarkStart w:id="71" w:name="_Toc209625739"/>
                              <w:r w:rsidRPr="00A3353C">
                                <w:rPr>
                                  <w:rFonts w:asciiTheme="minorHAnsi" w:hAnsiTheme="minorHAnsi"/>
                                  <w:color w:val="FFFFFF" w:themeColor="background1"/>
                                  <w:szCs w:val="40"/>
                                  <w:lang w:val="hy-AM"/>
                                </w:rPr>
                                <w:t>ՄԱՍ I: ՍՈՑԻԱԼ-ՏՆՏԵՍԱԿԱՆ ԶԱՐԳԱՑՄԱՆ ԵՎ ՀԱՐԿԱԲՅՈՒՋԵՏԱՅԻՆ ՔԱՂԱՔԱԿԱՆՈՒԹՅԱՆ</w:t>
                              </w:r>
                              <w:bookmarkEnd w:id="64"/>
                              <w:bookmarkEnd w:id="65"/>
                              <w:bookmarkEnd w:id="66"/>
                              <w:bookmarkEnd w:id="67"/>
                              <w:bookmarkEnd w:id="68"/>
                              <w:bookmarkEnd w:id="69"/>
                              <w:bookmarkEnd w:id="70"/>
                              <w:bookmarkEnd w:id="71"/>
                              <w:r w:rsidRPr="00A3353C">
                                <w:rPr>
                                  <w:rFonts w:asciiTheme="minorHAnsi" w:hAnsiTheme="minorHAnsi"/>
                                  <w:color w:val="FFFFFF" w:themeColor="background1"/>
                                  <w:szCs w:val="40"/>
                                  <w:lang w:val="hy-AM"/>
                                </w:rPr>
                                <w:t xml:space="preserve"> </w:t>
                              </w:r>
                            </w:p>
                            <w:p w14:paraId="25BA9018" w14:textId="77777777" w:rsidR="00147C8B" w:rsidRPr="00682390" w:rsidRDefault="00147C8B" w:rsidP="00FD0C29">
                              <w:pPr>
                                <w:rPr>
                                  <w:b/>
                                  <w:color w:val="FFFFFF" w:themeColor="background1"/>
                                  <w:sz w:val="30"/>
                                  <w:szCs w:val="30"/>
                                  <w:lang w:val="hy-AM"/>
                                </w:rPr>
                              </w:pPr>
                              <w:r w:rsidRPr="00A3353C">
                                <w:rPr>
                                  <w:sz w:val="44"/>
                                  <w:szCs w:val="44"/>
                                  <w:lang w:val="hy-AM"/>
                                </w:rPr>
                                <w:t>ՀԻՄՆԱԿԱՆ ՈՒՂՂՈՒԹՅՈՒՆՆԵՐԻ ՄԱՍԻՆ</w:t>
                              </w:r>
                              <w:r w:rsidRPr="00682390">
                                <w:rPr>
                                  <w:b/>
                                  <w:color w:val="FFFFFF" w:themeColor="background1"/>
                                  <w:sz w:val="30"/>
                                  <w:szCs w:val="30"/>
                                  <w:lang w:val="hy-AM"/>
                                </w:rPr>
                                <w:t>Yerevan 2024</w:t>
                              </w:r>
                            </w:p>
                            <w:p w14:paraId="0136A617" w14:textId="77777777" w:rsidR="00147C8B" w:rsidRPr="00682390" w:rsidRDefault="00147C8B">
                              <w:pPr>
                                <w:rPr>
                                  <w:lang w:val="hy-AM"/>
                                </w:rPr>
                              </w:pPr>
                            </w:p>
                            <w:p w14:paraId="288E6AC4" w14:textId="0AE2AB69" w:rsidR="00147C8B" w:rsidRPr="00A3353C" w:rsidRDefault="00147C8B" w:rsidP="00A3353C">
                              <w:pPr>
                                <w:pStyle w:val="TOC1"/>
                                <w:rPr>
                                  <w:rFonts w:asciiTheme="minorHAnsi" w:hAnsiTheme="minorHAnsi"/>
                                  <w:color w:val="FFFFFF" w:themeColor="background1"/>
                                  <w:szCs w:val="40"/>
                                  <w:lang w:val="hy-AM"/>
                                </w:rPr>
                              </w:pPr>
                              <w:bookmarkStart w:id="72" w:name="_Toc178611127"/>
                              <w:bookmarkStart w:id="73" w:name="_Toc178611267"/>
                              <w:bookmarkStart w:id="74" w:name="_Toc178611475"/>
                              <w:bookmarkStart w:id="75" w:name="_Toc178612059"/>
                              <w:bookmarkStart w:id="76" w:name="_Toc183785466"/>
                              <w:bookmarkStart w:id="77" w:name="_Toc183787212"/>
                              <w:bookmarkStart w:id="78" w:name="_Toc183801042"/>
                              <w:bookmarkStart w:id="79" w:name="_Toc209625740"/>
                              <w:r w:rsidRPr="00A3353C">
                                <w:rPr>
                                  <w:rFonts w:asciiTheme="minorHAnsi" w:hAnsiTheme="minorHAnsi"/>
                                  <w:color w:val="FFFFFF" w:themeColor="background1"/>
                                  <w:szCs w:val="40"/>
                                  <w:lang w:val="hy-AM"/>
                                </w:rPr>
                                <w:t>ՄԱՍ I: ՍՈՑԻԱԼ-ՏՆՏԵՍԱԿԱՆ ԶԱՐԳԱՑՄԱՆ ԵՎ ՀԱՐԿԱԲՅՈՒՋԵՏԱՅԻՆ ՔԱՂԱՔԱԿԱՆՈՒԹՅԱՆ</w:t>
                              </w:r>
                              <w:bookmarkEnd w:id="72"/>
                              <w:bookmarkEnd w:id="73"/>
                              <w:bookmarkEnd w:id="74"/>
                              <w:bookmarkEnd w:id="75"/>
                              <w:bookmarkEnd w:id="76"/>
                              <w:bookmarkEnd w:id="77"/>
                              <w:bookmarkEnd w:id="78"/>
                              <w:bookmarkEnd w:id="79"/>
                              <w:r w:rsidRPr="00A3353C">
                                <w:rPr>
                                  <w:rFonts w:asciiTheme="minorHAnsi" w:hAnsiTheme="minorHAnsi"/>
                                  <w:color w:val="FFFFFF" w:themeColor="background1"/>
                                  <w:szCs w:val="40"/>
                                  <w:lang w:val="hy-AM"/>
                                </w:rPr>
                                <w:t xml:space="preserve"> </w:t>
                              </w:r>
                            </w:p>
                            <w:p w14:paraId="186560DB" w14:textId="77777777" w:rsidR="00147C8B" w:rsidRPr="00682390" w:rsidRDefault="00147C8B" w:rsidP="00FD0C29">
                              <w:pPr>
                                <w:rPr>
                                  <w:b/>
                                  <w:color w:val="FFFFFF" w:themeColor="background1"/>
                                  <w:sz w:val="30"/>
                                  <w:szCs w:val="30"/>
                                  <w:lang w:val="hy-AM"/>
                                </w:rPr>
                              </w:pPr>
                              <w:r w:rsidRPr="00A3353C">
                                <w:rPr>
                                  <w:sz w:val="44"/>
                                  <w:szCs w:val="44"/>
                                  <w:lang w:val="hy-AM"/>
                                </w:rPr>
                                <w:t>ՀԻՄՆԱԿԱՆ ՈՒՂՂՈՒԹՅՈՒՆՆԵՐԻ ՄԱՍԻՆ</w:t>
                              </w:r>
                              <w:r w:rsidRPr="00682390">
                                <w:rPr>
                                  <w:b/>
                                  <w:color w:val="FFFFFF" w:themeColor="background1"/>
                                  <w:sz w:val="30"/>
                                  <w:szCs w:val="30"/>
                                  <w:lang w:val="hy-AM"/>
                                </w:rPr>
                                <w:t>Yerevan 2024</w:t>
                              </w:r>
                            </w:p>
                            <w:p w14:paraId="04417F90" w14:textId="77777777" w:rsidR="00147C8B" w:rsidRPr="00682390" w:rsidRDefault="00147C8B">
                              <w:pPr>
                                <w:rPr>
                                  <w:lang w:val="hy-AM"/>
                                </w:rPr>
                              </w:pPr>
                            </w:p>
                            <w:p w14:paraId="5FC76E29" w14:textId="77777777" w:rsidR="00147C8B" w:rsidRPr="00A3353C" w:rsidRDefault="00147C8B" w:rsidP="00A3353C">
                              <w:pPr>
                                <w:pStyle w:val="TOC1"/>
                                <w:rPr>
                                  <w:rFonts w:asciiTheme="minorHAnsi" w:hAnsiTheme="minorHAnsi"/>
                                  <w:color w:val="FFFFFF" w:themeColor="background1"/>
                                  <w:szCs w:val="40"/>
                                  <w:lang w:val="hy-AM"/>
                                </w:rPr>
                              </w:pPr>
                              <w:bookmarkStart w:id="80" w:name="_Toc178611128"/>
                              <w:bookmarkStart w:id="81" w:name="_Toc178611268"/>
                              <w:bookmarkStart w:id="82" w:name="_Toc178611476"/>
                              <w:bookmarkStart w:id="83" w:name="_Toc178612060"/>
                              <w:bookmarkStart w:id="84" w:name="_Toc183785467"/>
                              <w:bookmarkStart w:id="85" w:name="_Toc183787213"/>
                              <w:bookmarkStart w:id="86" w:name="_Toc183801043"/>
                              <w:bookmarkStart w:id="87" w:name="_Toc209625741"/>
                              <w:r w:rsidRPr="00A3353C">
                                <w:rPr>
                                  <w:rFonts w:asciiTheme="minorHAnsi" w:hAnsiTheme="minorHAnsi"/>
                                  <w:color w:val="FFFFFF" w:themeColor="background1"/>
                                  <w:szCs w:val="40"/>
                                  <w:lang w:val="hy-AM"/>
                                </w:rPr>
                                <w:t>ՄԱՍ I: ՍՈՑԻԱԼ-ՏՆՏԵՍԱԿԱՆ ԶԱՐԳԱՑՄԱՆ ԵՎ ՀԱՐԿԱԲՅՈՒՋԵՏԱՅԻՆ ՔԱՂԱՔԱԿԱՆՈՒԹՅԱՆ</w:t>
                              </w:r>
                              <w:bookmarkEnd w:id="80"/>
                              <w:bookmarkEnd w:id="81"/>
                              <w:bookmarkEnd w:id="82"/>
                              <w:bookmarkEnd w:id="83"/>
                              <w:bookmarkEnd w:id="84"/>
                              <w:bookmarkEnd w:id="85"/>
                              <w:bookmarkEnd w:id="86"/>
                              <w:bookmarkEnd w:id="87"/>
                              <w:r w:rsidRPr="00A3353C">
                                <w:rPr>
                                  <w:rFonts w:asciiTheme="minorHAnsi" w:hAnsiTheme="minorHAnsi"/>
                                  <w:color w:val="FFFFFF" w:themeColor="background1"/>
                                  <w:szCs w:val="40"/>
                                  <w:lang w:val="hy-AM"/>
                                </w:rPr>
                                <w:t xml:space="preserve"> </w:t>
                              </w:r>
                            </w:p>
                            <w:p w14:paraId="0E9E651B" w14:textId="77777777" w:rsidR="00147C8B" w:rsidRDefault="00147C8B" w:rsidP="00FD0C29">
                              <w:pPr>
                                <w:rPr>
                                  <w:b/>
                                  <w:color w:val="FFFFFF" w:themeColor="background1"/>
                                  <w:sz w:val="30"/>
                                  <w:szCs w:val="30"/>
                                </w:rPr>
                              </w:pPr>
                              <w:r w:rsidRPr="00A3353C">
                                <w:rPr>
                                  <w:sz w:val="44"/>
                                  <w:szCs w:val="44"/>
                                  <w:lang w:val="hy-AM"/>
                                </w:rPr>
                                <w:t>ՀԻՄՆԱԿԱՆ ՈՒՂՂՈՒԹՅՈՒՆՆԵՐԻ ՄԱՍԻՆ</w:t>
                              </w:r>
                              <w:r>
                                <w:rPr>
                                  <w:b/>
                                  <w:color w:val="FFFFFF" w:themeColor="background1"/>
                                  <w:sz w:val="30"/>
                                  <w:szCs w:val="30"/>
                                </w:rPr>
                                <w:t>Yerevan 2024</w:t>
                              </w:r>
                            </w:p>
                          </w:txbxContent>
                        </v:textbox>
                        <w10:wrap anchorx="margin"/>
                      </v:shape>
                    </w:pict>
                  </mc:Fallback>
                </mc:AlternateContent>
              </w:r>
              <w:r w:rsidR="00FD0C29">
                <w:rPr>
                  <w:color w:val="000000" w:themeColor="text1"/>
                  <w:szCs w:val="20"/>
                </w:rPr>
                <w:br w:type="page"/>
              </w:r>
            </w:p>
          </w:sdtContent>
        </w:sdt>
      </w:sdtContent>
    </w:sdt>
    <w:p w14:paraId="3B104E79" w14:textId="77777777" w:rsidR="00E77731" w:rsidRPr="001135EE" w:rsidRDefault="00E77731" w:rsidP="002507D1">
      <w:pPr>
        <w:pStyle w:val="TOC1"/>
        <w:rPr>
          <w:rStyle w:val="Emphasis"/>
          <w:i w:val="0"/>
          <w:iCs w:val="0"/>
        </w:rPr>
      </w:pPr>
      <w:bookmarkStart w:id="44" w:name="_Toc178611129"/>
      <w:bookmarkStart w:id="45" w:name="_Toc178611269"/>
      <w:bookmarkStart w:id="46" w:name="_Toc178611477"/>
      <w:bookmarkStart w:id="47" w:name="_Toc183801044"/>
      <w:bookmarkStart w:id="48" w:name="_Toc209625742"/>
      <w:r w:rsidRPr="001135EE">
        <w:rPr>
          <w:rStyle w:val="Emphasis"/>
          <w:i w:val="0"/>
          <w:iCs w:val="0"/>
        </w:rPr>
        <w:lastRenderedPageBreak/>
        <w:t>ԲՈՎԱՆԴԱԿՈՒԹՅՈՒՆ</w:t>
      </w:r>
      <w:bookmarkEnd w:id="44"/>
      <w:bookmarkEnd w:id="45"/>
      <w:bookmarkEnd w:id="46"/>
      <w:bookmarkEnd w:id="47"/>
      <w:bookmarkEnd w:id="48"/>
    </w:p>
    <w:bookmarkStart w:id="49" w:name="_Toc69119177" w:displacedByCustomXml="next"/>
    <w:sdt>
      <w:sdtPr>
        <w:rPr>
          <w:b/>
          <w:noProof/>
        </w:rPr>
        <w:id w:val="827708720"/>
        <w:docPartObj>
          <w:docPartGallery w:val="Table of Contents"/>
          <w:docPartUnique/>
        </w:docPartObj>
      </w:sdtPr>
      <w:sdtEndPr>
        <w:rPr>
          <w:rStyle w:val="Hyperlink"/>
          <w:rFonts w:ascii="GHEA Grapalat" w:hAnsi="GHEA Grapalat"/>
          <w:b w:val="0"/>
          <w:color w:val="0563C1" w:themeColor="hyperlink"/>
          <w:sz w:val="20"/>
          <w:szCs w:val="20"/>
          <w:u w:val="single"/>
        </w:rPr>
      </w:sdtEndPr>
      <w:sdtContent>
        <w:p w14:paraId="2C2880FA" w14:textId="248CDC59" w:rsidR="00A72B0A" w:rsidRDefault="00A72B0A" w:rsidP="009D765F">
          <w:pPr>
            <w:pStyle w:val="TOCHeading"/>
            <w:numPr>
              <w:ilvl w:val="0"/>
              <w:numId w:val="0"/>
            </w:numPr>
          </w:pPr>
        </w:p>
        <w:p w14:paraId="3B690710" w14:textId="69093129" w:rsidR="00A426AA" w:rsidRPr="009D765F" w:rsidRDefault="00A72B0A" w:rsidP="009D765F">
          <w:pPr>
            <w:pStyle w:val="TOC10"/>
            <w:rPr>
              <w:rFonts w:ascii="GHEA Grapalat" w:hAnsi="GHEA Grapalat"/>
              <w:b w:val="0"/>
              <w:color w:val="auto"/>
              <w:sz w:val="20"/>
              <w:szCs w:val="20"/>
              <w:lang w:val="en-US"/>
            </w:rPr>
          </w:pPr>
          <w:r w:rsidRPr="00A426AA">
            <w:rPr>
              <w:rStyle w:val="Hyperlink"/>
              <w:rFonts w:ascii="GHEA Grapalat" w:hAnsi="GHEA Grapalat"/>
              <w:b w:val="0"/>
              <w:sz w:val="20"/>
              <w:szCs w:val="20"/>
            </w:rPr>
            <w:fldChar w:fldCharType="begin"/>
          </w:r>
          <w:r w:rsidRPr="00A426AA">
            <w:rPr>
              <w:rStyle w:val="Hyperlink"/>
              <w:rFonts w:ascii="GHEA Grapalat" w:hAnsi="GHEA Grapalat"/>
              <w:b w:val="0"/>
              <w:sz w:val="20"/>
              <w:szCs w:val="20"/>
            </w:rPr>
            <w:instrText xml:space="preserve"> TOC \o "1-3" \h \z \u </w:instrText>
          </w:r>
          <w:r w:rsidRPr="00A426AA">
            <w:rPr>
              <w:rStyle w:val="Hyperlink"/>
              <w:rFonts w:ascii="GHEA Grapalat" w:hAnsi="GHEA Grapalat"/>
              <w:b w:val="0"/>
              <w:sz w:val="20"/>
              <w:szCs w:val="20"/>
            </w:rPr>
            <w:fldChar w:fldCharType="separate"/>
          </w:r>
          <w:hyperlink w:anchor="_Toc215157656" w:history="1">
            <w:r w:rsidR="00A426AA" w:rsidRPr="009D765F">
              <w:rPr>
                <w:rStyle w:val="Hyperlink"/>
                <w:rFonts w:ascii="GHEA Grapalat" w:hAnsi="GHEA Grapalat"/>
                <w:b w:val="0"/>
                <w:sz w:val="20"/>
                <w:szCs w:val="20"/>
              </w:rPr>
              <w:t>ՎԱՐՉԱՊԵՏ ՆԻԿՈԼ ՓԱՇԻՆՅԱՆԻ ՈՒՂԵՐՁԸ ՀԱՅԱՍՏԱՆԻ ՀԱՆՐԱՊԵՏՈՒԹՅԱՆ 2026 ԹՎԱԿԱՆԻ ՊԵՏԱԿԱՆ ԲՅՈՒՋԵԻ ԸՆԴՈՒՆՄԱՆ ԱՌԻԹՈՎ</w:t>
            </w:r>
            <w:r w:rsidR="00A426AA" w:rsidRPr="009D765F">
              <w:rPr>
                <w:rFonts w:ascii="GHEA Grapalat" w:hAnsi="GHEA Grapalat"/>
                <w:b w:val="0"/>
                <w:webHidden/>
                <w:sz w:val="20"/>
                <w:szCs w:val="20"/>
              </w:rPr>
              <w:tab/>
            </w:r>
            <w:r w:rsidR="00A426AA" w:rsidRPr="009D765F">
              <w:rPr>
                <w:rFonts w:ascii="GHEA Grapalat" w:hAnsi="GHEA Grapalat"/>
                <w:b w:val="0"/>
                <w:webHidden/>
                <w:sz w:val="20"/>
                <w:szCs w:val="20"/>
              </w:rPr>
              <w:fldChar w:fldCharType="begin"/>
            </w:r>
            <w:r w:rsidR="00A426AA" w:rsidRPr="009D765F">
              <w:rPr>
                <w:rFonts w:ascii="GHEA Grapalat" w:hAnsi="GHEA Grapalat"/>
                <w:b w:val="0"/>
                <w:webHidden/>
                <w:sz w:val="20"/>
                <w:szCs w:val="20"/>
              </w:rPr>
              <w:instrText xml:space="preserve"> PAGEREF _Toc215157656 \h </w:instrText>
            </w:r>
            <w:r w:rsidR="00A426AA" w:rsidRPr="009D765F">
              <w:rPr>
                <w:rFonts w:ascii="GHEA Grapalat" w:hAnsi="GHEA Grapalat"/>
                <w:b w:val="0"/>
                <w:webHidden/>
                <w:sz w:val="20"/>
                <w:szCs w:val="20"/>
              </w:rPr>
            </w:r>
            <w:r w:rsidR="00A426AA" w:rsidRPr="009D765F">
              <w:rPr>
                <w:rFonts w:ascii="GHEA Grapalat" w:hAnsi="GHEA Grapalat"/>
                <w:b w:val="0"/>
                <w:webHidden/>
                <w:sz w:val="20"/>
                <w:szCs w:val="20"/>
              </w:rPr>
              <w:fldChar w:fldCharType="separate"/>
            </w:r>
            <w:r w:rsidR="00A426AA" w:rsidRPr="009D765F">
              <w:rPr>
                <w:rFonts w:ascii="GHEA Grapalat" w:hAnsi="GHEA Grapalat"/>
                <w:b w:val="0"/>
                <w:webHidden/>
                <w:sz w:val="20"/>
                <w:szCs w:val="20"/>
              </w:rPr>
              <w:t>6</w:t>
            </w:r>
            <w:r w:rsidR="00A426AA" w:rsidRPr="009D765F">
              <w:rPr>
                <w:rFonts w:ascii="GHEA Grapalat" w:hAnsi="GHEA Grapalat"/>
                <w:b w:val="0"/>
                <w:webHidden/>
                <w:sz w:val="20"/>
                <w:szCs w:val="20"/>
              </w:rPr>
              <w:fldChar w:fldCharType="end"/>
            </w:r>
          </w:hyperlink>
        </w:p>
        <w:p w14:paraId="4740BFF0" w14:textId="64C4718A" w:rsidR="00A426AA" w:rsidRPr="009D765F" w:rsidRDefault="0017075C" w:rsidP="009D765F">
          <w:pPr>
            <w:pStyle w:val="TOC20"/>
            <w:ind w:left="0"/>
            <w:rPr>
              <w:rFonts w:ascii="GHEA Grapalat" w:hAnsi="GHEA Grapalat"/>
              <w:b w:val="0"/>
              <w:color w:val="auto"/>
              <w:sz w:val="20"/>
              <w:szCs w:val="20"/>
              <w:lang w:val="en-US"/>
            </w:rPr>
          </w:pPr>
          <w:hyperlink w:anchor="_Toc215157657" w:history="1">
            <w:r w:rsidR="00A426AA" w:rsidRPr="009D765F">
              <w:rPr>
                <w:rStyle w:val="Hyperlink"/>
                <w:rFonts w:ascii="GHEA Grapalat" w:hAnsi="GHEA Grapalat"/>
                <w:b w:val="0"/>
                <w:sz w:val="20"/>
                <w:szCs w:val="20"/>
              </w:rPr>
              <w:t>ՀԱՅԱՍՏԱՆԻ ՀԱՆՐԱՊԵՏՈՒԹՅԱՆ ԿԱՌԱՎԱՐՈՒԹՅԱՆ ԶԵԿՈՒՅՑ</w:t>
            </w:r>
            <w:r w:rsidR="00A426AA" w:rsidRPr="009D765F">
              <w:rPr>
                <w:rFonts w:ascii="GHEA Grapalat" w:hAnsi="GHEA Grapalat"/>
                <w:b w:val="0"/>
                <w:webHidden/>
                <w:sz w:val="20"/>
                <w:szCs w:val="20"/>
              </w:rPr>
              <w:tab/>
            </w:r>
            <w:r w:rsidR="00A426AA" w:rsidRPr="009D765F">
              <w:rPr>
                <w:rFonts w:ascii="GHEA Grapalat" w:hAnsi="GHEA Grapalat"/>
                <w:b w:val="0"/>
                <w:webHidden/>
                <w:sz w:val="20"/>
                <w:szCs w:val="20"/>
              </w:rPr>
              <w:fldChar w:fldCharType="begin"/>
            </w:r>
            <w:r w:rsidR="00A426AA" w:rsidRPr="009D765F">
              <w:rPr>
                <w:rFonts w:ascii="GHEA Grapalat" w:hAnsi="GHEA Grapalat"/>
                <w:b w:val="0"/>
                <w:webHidden/>
                <w:sz w:val="20"/>
                <w:szCs w:val="20"/>
              </w:rPr>
              <w:instrText xml:space="preserve"> PAGEREF _Toc215157657 \h </w:instrText>
            </w:r>
            <w:r w:rsidR="00A426AA" w:rsidRPr="009D765F">
              <w:rPr>
                <w:rFonts w:ascii="GHEA Grapalat" w:hAnsi="GHEA Grapalat"/>
                <w:b w:val="0"/>
                <w:webHidden/>
                <w:sz w:val="20"/>
                <w:szCs w:val="20"/>
              </w:rPr>
            </w:r>
            <w:r w:rsidR="00A426AA" w:rsidRPr="009D765F">
              <w:rPr>
                <w:rFonts w:ascii="GHEA Grapalat" w:hAnsi="GHEA Grapalat"/>
                <w:b w:val="0"/>
                <w:webHidden/>
                <w:sz w:val="20"/>
                <w:szCs w:val="20"/>
              </w:rPr>
              <w:fldChar w:fldCharType="separate"/>
            </w:r>
            <w:r w:rsidR="00A426AA" w:rsidRPr="009D765F">
              <w:rPr>
                <w:rFonts w:ascii="GHEA Grapalat" w:hAnsi="GHEA Grapalat"/>
                <w:b w:val="0"/>
                <w:webHidden/>
                <w:sz w:val="20"/>
                <w:szCs w:val="20"/>
              </w:rPr>
              <w:t>8</w:t>
            </w:r>
            <w:r w:rsidR="00A426AA" w:rsidRPr="009D765F">
              <w:rPr>
                <w:rFonts w:ascii="GHEA Grapalat" w:hAnsi="GHEA Grapalat"/>
                <w:b w:val="0"/>
                <w:webHidden/>
                <w:sz w:val="20"/>
                <w:szCs w:val="20"/>
              </w:rPr>
              <w:fldChar w:fldCharType="end"/>
            </w:r>
          </w:hyperlink>
        </w:p>
        <w:p w14:paraId="1A102CD6" w14:textId="10C7E0A8" w:rsidR="00A426AA" w:rsidRPr="009D765F" w:rsidRDefault="0017075C" w:rsidP="009D765F">
          <w:pPr>
            <w:pStyle w:val="TOC20"/>
            <w:ind w:left="0"/>
            <w:rPr>
              <w:rFonts w:ascii="GHEA Grapalat" w:hAnsi="GHEA Grapalat"/>
              <w:b w:val="0"/>
              <w:color w:val="auto"/>
              <w:sz w:val="20"/>
              <w:szCs w:val="20"/>
              <w:lang w:val="en-US"/>
            </w:rPr>
          </w:pPr>
          <w:hyperlink w:anchor="_Toc215157658" w:history="1">
            <w:r w:rsidR="00A426AA" w:rsidRPr="009D765F">
              <w:rPr>
                <w:rStyle w:val="Hyperlink"/>
                <w:rFonts w:ascii="GHEA Grapalat" w:hAnsi="GHEA Grapalat"/>
                <w:b w:val="0"/>
                <w:sz w:val="20"/>
                <w:szCs w:val="20"/>
              </w:rPr>
              <w:t>ՆԵՐԱԾՈՒԹՅՈՒՆ</w:t>
            </w:r>
            <w:r w:rsidR="00A426AA" w:rsidRPr="009D765F">
              <w:rPr>
                <w:rFonts w:ascii="GHEA Grapalat" w:hAnsi="GHEA Grapalat"/>
                <w:b w:val="0"/>
                <w:webHidden/>
                <w:sz w:val="20"/>
                <w:szCs w:val="20"/>
              </w:rPr>
              <w:tab/>
            </w:r>
            <w:r w:rsidR="00A426AA" w:rsidRPr="009D765F">
              <w:rPr>
                <w:rFonts w:ascii="GHEA Grapalat" w:hAnsi="GHEA Grapalat"/>
                <w:b w:val="0"/>
                <w:webHidden/>
                <w:sz w:val="20"/>
                <w:szCs w:val="20"/>
              </w:rPr>
              <w:fldChar w:fldCharType="begin"/>
            </w:r>
            <w:r w:rsidR="00A426AA" w:rsidRPr="009D765F">
              <w:rPr>
                <w:rFonts w:ascii="GHEA Grapalat" w:hAnsi="GHEA Grapalat"/>
                <w:b w:val="0"/>
                <w:webHidden/>
                <w:sz w:val="20"/>
                <w:szCs w:val="20"/>
              </w:rPr>
              <w:instrText xml:space="preserve"> PAGEREF _Toc215157658 \h </w:instrText>
            </w:r>
            <w:r w:rsidR="00A426AA" w:rsidRPr="009D765F">
              <w:rPr>
                <w:rFonts w:ascii="GHEA Grapalat" w:hAnsi="GHEA Grapalat"/>
                <w:b w:val="0"/>
                <w:webHidden/>
                <w:sz w:val="20"/>
                <w:szCs w:val="20"/>
              </w:rPr>
            </w:r>
            <w:r w:rsidR="00A426AA" w:rsidRPr="009D765F">
              <w:rPr>
                <w:rFonts w:ascii="GHEA Grapalat" w:hAnsi="GHEA Grapalat"/>
                <w:b w:val="0"/>
                <w:webHidden/>
                <w:sz w:val="20"/>
                <w:szCs w:val="20"/>
              </w:rPr>
              <w:fldChar w:fldCharType="separate"/>
            </w:r>
            <w:r w:rsidR="00A426AA" w:rsidRPr="009D765F">
              <w:rPr>
                <w:rFonts w:ascii="GHEA Grapalat" w:hAnsi="GHEA Grapalat"/>
                <w:b w:val="0"/>
                <w:webHidden/>
                <w:sz w:val="20"/>
                <w:szCs w:val="20"/>
              </w:rPr>
              <w:t>8</w:t>
            </w:r>
            <w:r w:rsidR="00A426AA" w:rsidRPr="009D765F">
              <w:rPr>
                <w:rFonts w:ascii="GHEA Grapalat" w:hAnsi="GHEA Grapalat"/>
                <w:b w:val="0"/>
                <w:webHidden/>
                <w:sz w:val="20"/>
                <w:szCs w:val="20"/>
              </w:rPr>
              <w:fldChar w:fldCharType="end"/>
            </w:r>
          </w:hyperlink>
        </w:p>
        <w:p w14:paraId="7994CEA0" w14:textId="4308C9B8" w:rsidR="00A426AA" w:rsidRPr="009D765F" w:rsidRDefault="0017075C" w:rsidP="009D765F">
          <w:pPr>
            <w:pStyle w:val="TOC10"/>
            <w:rPr>
              <w:rFonts w:ascii="GHEA Grapalat" w:hAnsi="GHEA Grapalat"/>
              <w:b w:val="0"/>
              <w:color w:val="auto"/>
              <w:sz w:val="20"/>
              <w:szCs w:val="20"/>
              <w:lang w:val="en-US"/>
            </w:rPr>
          </w:pPr>
          <w:hyperlink w:anchor="_Toc215157659" w:history="1">
            <w:r w:rsidR="00A426AA" w:rsidRPr="009D765F">
              <w:rPr>
                <w:rStyle w:val="Hyperlink"/>
                <w:rFonts w:ascii="GHEA Grapalat" w:hAnsi="GHEA Grapalat"/>
                <w:b w:val="0"/>
                <w:sz w:val="20"/>
                <w:szCs w:val="20"/>
              </w:rPr>
              <w:t>ՄԱՍ I-Ա. 2026 ԹՎԱԿԱՆԻ ՍՈՑԻԱԼ-ՏՆՏԵՍԱԿԱՆ ԶԱՐԳԱՑՄԱՆ ՀԻՄՆԱԿԱՆ ՈՒՂՂՈՒԹՅՈՒՆՆԵՐԸ</w:t>
            </w:r>
            <w:r w:rsidR="00A426AA" w:rsidRPr="009D765F">
              <w:rPr>
                <w:rFonts w:ascii="GHEA Grapalat" w:hAnsi="GHEA Grapalat"/>
                <w:b w:val="0"/>
                <w:webHidden/>
                <w:sz w:val="20"/>
                <w:szCs w:val="20"/>
              </w:rPr>
              <w:tab/>
            </w:r>
            <w:r w:rsidR="00A426AA" w:rsidRPr="009D765F">
              <w:rPr>
                <w:rFonts w:ascii="GHEA Grapalat" w:hAnsi="GHEA Grapalat"/>
                <w:b w:val="0"/>
                <w:webHidden/>
                <w:sz w:val="20"/>
                <w:szCs w:val="20"/>
              </w:rPr>
              <w:fldChar w:fldCharType="begin"/>
            </w:r>
            <w:r w:rsidR="00A426AA" w:rsidRPr="009D765F">
              <w:rPr>
                <w:rFonts w:ascii="GHEA Grapalat" w:hAnsi="GHEA Grapalat"/>
                <w:b w:val="0"/>
                <w:webHidden/>
                <w:sz w:val="20"/>
                <w:szCs w:val="20"/>
              </w:rPr>
              <w:instrText xml:space="preserve"> PAGEREF _Toc215157659 \h </w:instrText>
            </w:r>
            <w:r w:rsidR="00A426AA" w:rsidRPr="009D765F">
              <w:rPr>
                <w:rFonts w:ascii="GHEA Grapalat" w:hAnsi="GHEA Grapalat"/>
                <w:b w:val="0"/>
                <w:webHidden/>
                <w:sz w:val="20"/>
                <w:szCs w:val="20"/>
              </w:rPr>
            </w:r>
            <w:r w:rsidR="00A426AA" w:rsidRPr="009D765F">
              <w:rPr>
                <w:rFonts w:ascii="GHEA Grapalat" w:hAnsi="GHEA Grapalat"/>
                <w:b w:val="0"/>
                <w:webHidden/>
                <w:sz w:val="20"/>
                <w:szCs w:val="20"/>
              </w:rPr>
              <w:fldChar w:fldCharType="separate"/>
            </w:r>
            <w:r w:rsidR="00A426AA" w:rsidRPr="009D765F">
              <w:rPr>
                <w:rFonts w:ascii="GHEA Grapalat" w:hAnsi="GHEA Grapalat"/>
                <w:b w:val="0"/>
                <w:webHidden/>
                <w:sz w:val="20"/>
                <w:szCs w:val="20"/>
              </w:rPr>
              <w:t>11</w:t>
            </w:r>
            <w:r w:rsidR="00A426AA" w:rsidRPr="009D765F">
              <w:rPr>
                <w:rFonts w:ascii="GHEA Grapalat" w:hAnsi="GHEA Grapalat"/>
                <w:b w:val="0"/>
                <w:webHidden/>
                <w:sz w:val="20"/>
                <w:szCs w:val="20"/>
              </w:rPr>
              <w:fldChar w:fldCharType="end"/>
            </w:r>
          </w:hyperlink>
        </w:p>
        <w:p w14:paraId="5CC7DBDD" w14:textId="136F364F" w:rsidR="00A426AA" w:rsidRPr="009D765F" w:rsidRDefault="0017075C" w:rsidP="009D765F">
          <w:pPr>
            <w:pStyle w:val="TOC20"/>
            <w:ind w:left="0"/>
            <w:rPr>
              <w:rFonts w:ascii="GHEA Grapalat" w:hAnsi="GHEA Grapalat"/>
              <w:b w:val="0"/>
              <w:color w:val="auto"/>
              <w:sz w:val="20"/>
              <w:szCs w:val="20"/>
              <w:lang w:val="en-US"/>
            </w:rPr>
          </w:pPr>
          <w:hyperlink w:anchor="_Toc215157660" w:history="1">
            <w:r w:rsidR="00A426AA" w:rsidRPr="009D765F">
              <w:rPr>
                <w:rStyle w:val="Hyperlink"/>
                <w:rFonts w:ascii="GHEA Grapalat" w:hAnsi="GHEA Grapalat"/>
                <w:b w:val="0"/>
                <w:sz w:val="20"/>
                <w:szCs w:val="20"/>
              </w:rPr>
              <w:t>2026 ԹՎԱԿԱՆԻ ՍՈՑԻԱԼ-ՏՆՏԵՍԱԿԱՆ ԶԱՐԳԱՑՄԱՆ ՀԻՄՆԱԿԱՆ ՈՒՂՂՈՒԹՅՈՒՆՆԵՐԸ</w:t>
            </w:r>
            <w:r w:rsidR="00A426AA" w:rsidRPr="009D765F">
              <w:rPr>
                <w:rFonts w:ascii="GHEA Grapalat" w:hAnsi="GHEA Grapalat"/>
                <w:b w:val="0"/>
                <w:webHidden/>
                <w:sz w:val="20"/>
                <w:szCs w:val="20"/>
              </w:rPr>
              <w:tab/>
            </w:r>
            <w:r w:rsidR="00A426AA" w:rsidRPr="009D765F">
              <w:rPr>
                <w:rFonts w:ascii="GHEA Grapalat" w:hAnsi="GHEA Grapalat"/>
                <w:b w:val="0"/>
                <w:webHidden/>
                <w:sz w:val="20"/>
                <w:szCs w:val="20"/>
              </w:rPr>
              <w:fldChar w:fldCharType="begin"/>
            </w:r>
            <w:r w:rsidR="00A426AA" w:rsidRPr="009D765F">
              <w:rPr>
                <w:rFonts w:ascii="GHEA Grapalat" w:hAnsi="GHEA Grapalat"/>
                <w:b w:val="0"/>
                <w:webHidden/>
                <w:sz w:val="20"/>
                <w:szCs w:val="20"/>
              </w:rPr>
              <w:instrText xml:space="preserve"> PAGEREF _Toc215157660 \h </w:instrText>
            </w:r>
            <w:r w:rsidR="00A426AA" w:rsidRPr="009D765F">
              <w:rPr>
                <w:rFonts w:ascii="GHEA Grapalat" w:hAnsi="GHEA Grapalat"/>
                <w:b w:val="0"/>
                <w:webHidden/>
                <w:sz w:val="20"/>
                <w:szCs w:val="20"/>
              </w:rPr>
            </w:r>
            <w:r w:rsidR="00A426AA" w:rsidRPr="009D765F">
              <w:rPr>
                <w:rFonts w:ascii="GHEA Grapalat" w:hAnsi="GHEA Grapalat"/>
                <w:b w:val="0"/>
                <w:webHidden/>
                <w:sz w:val="20"/>
                <w:szCs w:val="20"/>
              </w:rPr>
              <w:fldChar w:fldCharType="separate"/>
            </w:r>
            <w:r w:rsidR="00A426AA" w:rsidRPr="009D765F">
              <w:rPr>
                <w:rFonts w:ascii="GHEA Grapalat" w:hAnsi="GHEA Grapalat"/>
                <w:b w:val="0"/>
                <w:webHidden/>
                <w:sz w:val="20"/>
                <w:szCs w:val="20"/>
              </w:rPr>
              <w:t>11</w:t>
            </w:r>
            <w:r w:rsidR="00A426AA" w:rsidRPr="009D765F">
              <w:rPr>
                <w:rFonts w:ascii="GHEA Grapalat" w:hAnsi="GHEA Grapalat"/>
                <w:b w:val="0"/>
                <w:webHidden/>
                <w:sz w:val="20"/>
                <w:szCs w:val="20"/>
              </w:rPr>
              <w:fldChar w:fldCharType="end"/>
            </w:r>
          </w:hyperlink>
        </w:p>
        <w:p w14:paraId="7A4AA458" w14:textId="0C455827" w:rsidR="00A426AA" w:rsidRPr="009D765F" w:rsidRDefault="0017075C" w:rsidP="009D765F">
          <w:pPr>
            <w:pStyle w:val="TOC20"/>
            <w:ind w:left="0"/>
            <w:rPr>
              <w:rFonts w:ascii="GHEA Grapalat" w:hAnsi="GHEA Grapalat"/>
              <w:b w:val="0"/>
              <w:color w:val="auto"/>
              <w:sz w:val="20"/>
              <w:szCs w:val="20"/>
              <w:lang w:val="en-US"/>
            </w:rPr>
          </w:pPr>
          <w:hyperlink w:anchor="_Toc215157661" w:history="1">
            <w:r w:rsidR="00A426AA" w:rsidRPr="009D765F">
              <w:rPr>
                <w:rStyle w:val="Hyperlink"/>
                <w:rFonts w:ascii="GHEA Grapalat" w:hAnsi="GHEA Grapalat"/>
                <w:b w:val="0"/>
                <w:sz w:val="20"/>
                <w:szCs w:val="20"/>
              </w:rPr>
              <w:t>ՀԱՇՎԱՊԱՀԱԿԱՆ ՀԱՇՎԱՌՈՒՄ ԵՎ ԱՈՒԴԻՏՈՐԱԿԱՆ ԳՈՐԾՈՒՆԵՈՒԹՅՈՒՆ</w:t>
            </w:r>
            <w:r w:rsidR="00A426AA" w:rsidRPr="009D765F">
              <w:rPr>
                <w:rFonts w:ascii="GHEA Grapalat" w:hAnsi="GHEA Grapalat"/>
                <w:b w:val="0"/>
                <w:webHidden/>
                <w:sz w:val="20"/>
                <w:szCs w:val="20"/>
              </w:rPr>
              <w:tab/>
            </w:r>
            <w:r w:rsidR="00A426AA" w:rsidRPr="009D765F">
              <w:rPr>
                <w:rFonts w:ascii="GHEA Grapalat" w:hAnsi="GHEA Grapalat"/>
                <w:b w:val="0"/>
                <w:webHidden/>
                <w:sz w:val="20"/>
                <w:szCs w:val="20"/>
              </w:rPr>
              <w:fldChar w:fldCharType="begin"/>
            </w:r>
            <w:r w:rsidR="00A426AA" w:rsidRPr="009D765F">
              <w:rPr>
                <w:rFonts w:ascii="GHEA Grapalat" w:hAnsi="GHEA Grapalat"/>
                <w:b w:val="0"/>
                <w:webHidden/>
                <w:sz w:val="20"/>
                <w:szCs w:val="20"/>
              </w:rPr>
              <w:instrText xml:space="preserve"> PAGEREF _Toc215157661 \h </w:instrText>
            </w:r>
            <w:r w:rsidR="00A426AA" w:rsidRPr="009D765F">
              <w:rPr>
                <w:rFonts w:ascii="GHEA Grapalat" w:hAnsi="GHEA Grapalat"/>
                <w:b w:val="0"/>
                <w:webHidden/>
                <w:sz w:val="20"/>
                <w:szCs w:val="20"/>
              </w:rPr>
            </w:r>
            <w:r w:rsidR="00A426AA" w:rsidRPr="009D765F">
              <w:rPr>
                <w:rFonts w:ascii="GHEA Grapalat" w:hAnsi="GHEA Grapalat"/>
                <w:b w:val="0"/>
                <w:webHidden/>
                <w:sz w:val="20"/>
                <w:szCs w:val="20"/>
              </w:rPr>
              <w:fldChar w:fldCharType="separate"/>
            </w:r>
            <w:r w:rsidR="00A426AA" w:rsidRPr="009D765F">
              <w:rPr>
                <w:rFonts w:ascii="GHEA Grapalat" w:hAnsi="GHEA Grapalat"/>
                <w:b w:val="0"/>
                <w:webHidden/>
                <w:sz w:val="20"/>
                <w:szCs w:val="20"/>
              </w:rPr>
              <w:t>13</w:t>
            </w:r>
            <w:r w:rsidR="00A426AA" w:rsidRPr="009D765F">
              <w:rPr>
                <w:rFonts w:ascii="GHEA Grapalat" w:hAnsi="GHEA Grapalat"/>
                <w:b w:val="0"/>
                <w:webHidden/>
                <w:sz w:val="20"/>
                <w:szCs w:val="20"/>
              </w:rPr>
              <w:fldChar w:fldCharType="end"/>
            </w:r>
          </w:hyperlink>
        </w:p>
        <w:p w14:paraId="1C8FB5DD" w14:textId="6E3AC2F2" w:rsidR="00A426AA" w:rsidRPr="009D765F" w:rsidRDefault="0017075C" w:rsidP="009D765F">
          <w:pPr>
            <w:pStyle w:val="TOC20"/>
            <w:ind w:left="0"/>
            <w:rPr>
              <w:rFonts w:ascii="GHEA Grapalat" w:hAnsi="GHEA Grapalat"/>
              <w:b w:val="0"/>
              <w:color w:val="auto"/>
              <w:sz w:val="20"/>
              <w:szCs w:val="20"/>
              <w:lang w:val="en-US"/>
            </w:rPr>
          </w:pPr>
          <w:hyperlink w:anchor="_Toc215157662" w:history="1">
            <w:r w:rsidR="00A426AA" w:rsidRPr="009D765F">
              <w:rPr>
                <w:rStyle w:val="Hyperlink"/>
                <w:rFonts w:ascii="GHEA Grapalat" w:hAnsi="GHEA Grapalat"/>
                <w:b w:val="0"/>
                <w:sz w:val="20"/>
                <w:szCs w:val="20"/>
              </w:rPr>
              <w:t>ՊԵՏԱԿԱՆ ԵԿԱՄՈՒՏՆԵՐԻ ՎԱՐՉԱՐԱՐՈՒԹՅՈՒՆ</w:t>
            </w:r>
            <w:r w:rsidR="00A426AA" w:rsidRPr="009D765F">
              <w:rPr>
                <w:rFonts w:ascii="GHEA Grapalat" w:hAnsi="GHEA Grapalat"/>
                <w:b w:val="0"/>
                <w:webHidden/>
                <w:sz w:val="20"/>
                <w:szCs w:val="20"/>
              </w:rPr>
              <w:tab/>
            </w:r>
            <w:r w:rsidR="00A426AA" w:rsidRPr="009D765F">
              <w:rPr>
                <w:rFonts w:ascii="GHEA Grapalat" w:hAnsi="GHEA Grapalat"/>
                <w:b w:val="0"/>
                <w:webHidden/>
                <w:sz w:val="20"/>
                <w:szCs w:val="20"/>
              </w:rPr>
              <w:fldChar w:fldCharType="begin"/>
            </w:r>
            <w:r w:rsidR="00A426AA" w:rsidRPr="009D765F">
              <w:rPr>
                <w:rFonts w:ascii="GHEA Grapalat" w:hAnsi="GHEA Grapalat"/>
                <w:b w:val="0"/>
                <w:webHidden/>
                <w:sz w:val="20"/>
                <w:szCs w:val="20"/>
              </w:rPr>
              <w:instrText xml:space="preserve"> PAGEREF _Toc215157662 \h </w:instrText>
            </w:r>
            <w:r w:rsidR="00A426AA" w:rsidRPr="009D765F">
              <w:rPr>
                <w:rFonts w:ascii="GHEA Grapalat" w:hAnsi="GHEA Grapalat"/>
                <w:b w:val="0"/>
                <w:webHidden/>
                <w:sz w:val="20"/>
                <w:szCs w:val="20"/>
              </w:rPr>
            </w:r>
            <w:r w:rsidR="00A426AA" w:rsidRPr="009D765F">
              <w:rPr>
                <w:rFonts w:ascii="GHEA Grapalat" w:hAnsi="GHEA Grapalat"/>
                <w:b w:val="0"/>
                <w:webHidden/>
                <w:sz w:val="20"/>
                <w:szCs w:val="20"/>
              </w:rPr>
              <w:fldChar w:fldCharType="separate"/>
            </w:r>
            <w:r w:rsidR="00A426AA" w:rsidRPr="009D765F">
              <w:rPr>
                <w:rFonts w:ascii="GHEA Grapalat" w:hAnsi="GHEA Grapalat"/>
                <w:b w:val="0"/>
                <w:webHidden/>
                <w:sz w:val="20"/>
                <w:szCs w:val="20"/>
              </w:rPr>
              <w:t>14</w:t>
            </w:r>
            <w:r w:rsidR="00A426AA" w:rsidRPr="009D765F">
              <w:rPr>
                <w:rFonts w:ascii="GHEA Grapalat" w:hAnsi="GHEA Grapalat"/>
                <w:b w:val="0"/>
                <w:webHidden/>
                <w:sz w:val="20"/>
                <w:szCs w:val="20"/>
              </w:rPr>
              <w:fldChar w:fldCharType="end"/>
            </w:r>
          </w:hyperlink>
        </w:p>
        <w:p w14:paraId="5040965B" w14:textId="39174130" w:rsidR="00A426AA" w:rsidRPr="009D765F" w:rsidRDefault="0017075C" w:rsidP="009D765F">
          <w:pPr>
            <w:pStyle w:val="TOC20"/>
            <w:ind w:left="0"/>
            <w:rPr>
              <w:rFonts w:ascii="GHEA Grapalat" w:hAnsi="GHEA Grapalat"/>
              <w:b w:val="0"/>
              <w:color w:val="auto"/>
              <w:sz w:val="20"/>
              <w:szCs w:val="20"/>
              <w:lang w:val="en-US"/>
            </w:rPr>
          </w:pPr>
          <w:hyperlink w:anchor="_Toc215157663" w:history="1">
            <w:r w:rsidR="00A426AA" w:rsidRPr="009D765F">
              <w:rPr>
                <w:rStyle w:val="Hyperlink"/>
                <w:rFonts w:ascii="GHEA Grapalat" w:hAnsi="GHEA Grapalat"/>
                <w:b w:val="0"/>
                <w:sz w:val="20"/>
                <w:szCs w:val="20"/>
              </w:rPr>
              <w:t>ԲՅՈՒՋԵՆԵՐԻ ԿԱԶՄՄԱՆ ԲՆԱԳԱՎԱՌ</w:t>
            </w:r>
            <w:r w:rsidR="00A426AA" w:rsidRPr="009D765F">
              <w:rPr>
                <w:rFonts w:ascii="GHEA Grapalat" w:hAnsi="GHEA Grapalat"/>
                <w:b w:val="0"/>
                <w:webHidden/>
                <w:sz w:val="20"/>
                <w:szCs w:val="20"/>
              </w:rPr>
              <w:tab/>
            </w:r>
            <w:r w:rsidR="00A426AA" w:rsidRPr="009D765F">
              <w:rPr>
                <w:rFonts w:ascii="GHEA Grapalat" w:hAnsi="GHEA Grapalat"/>
                <w:b w:val="0"/>
                <w:webHidden/>
                <w:sz w:val="20"/>
                <w:szCs w:val="20"/>
              </w:rPr>
              <w:fldChar w:fldCharType="begin"/>
            </w:r>
            <w:r w:rsidR="00A426AA" w:rsidRPr="009D765F">
              <w:rPr>
                <w:rFonts w:ascii="GHEA Grapalat" w:hAnsi="GHEA Grapalat"/>
                <w:b w:val="0"/>
                <w:webHidden/>
                <w:sz w:val="20"/>
                <w:szCs w:val="20"/>
              </w:rPr>
              <w:instrText xml:space="preserve"> PAGEREF _Toc215157663 \h </w:instrText>
            </w:r>
            <w:r w:rsidR="00A426AA" w:rsidRPr="009D765F">
              <w:rPr>
                <w:rFonts w:ascii="GHEA Grapalat" w:hAnsi="GHEA Grapalat"/>
                <w:b w:val="0"/>
                <w:webHidden/>
                <w:sz w:val="20"/>
                <w:szCs w:val="20"/>
              </w:rPr>
            </w:r>
            <w:r w:rsidR="00A426AA" w:rsidRPr="009D765F">
              <w:rPr>
                <w:rFonts w:ascii="GHEA Grapalat" w:hAnsi="GHEA Grapalat"/>
                <w:b w:val="0"/>
                <w:webHidden/>
                <w:sz w:val="20"/>
                <w:szCs w:val="20"/>
              </w:rPr>
              <w:fldChar w:fldCharType="separate"/>
            </w:r>
            <w:r w:rsidR="00A426AA" w:rsidRPr="009D765F">
              <w:rPr>
                <w:rFonts w:ascii="GHEA Grapalat" w:hAnsi="GHEA Grapalat"/>
                <w:b w:val="0"/>
                <w:webHidden/>
                <w:sz w:val="20"/>
                <w:szCs w:val="20"/>
              </w:rPr>
              <w:t>16</w:t>
            </w:r>
            <w:r w:rsidR="00A426AA" w:rsidRPr="009D765F">
              <w:rPr>
                <w:rFonts w:ascii="GHEA Grapalat" w:hAnsi="GHEA Grapalat"/>
                <w:b w:val="0"/>
                <w:webHidden/>
                <w:sz w:val="20"/>
                <w:szCs w:val="20"/>
              </w:rPr>
              <w:fldChar w:fldCharType="end"/>
            </w:r>
          </w:hyperlink>
        </w:p>
        <w:p w14:paraId="58D50E4E" w14:textId="3F30E3B2" w:rsidR="00A426AA" w:rsidRPr="009D765F" w:rsidRDefault="0017075C" w:rsidP="009D765F">
          <w:pPr>
            <w:pStyle w:val="TOC10"/>
            <w:rPr>
              <w:rFonts w:ascii="GHEA Grapalat" w:hAnsi="GHEA Grapalat"/>
              <w:b w:val="0"/>
              <w:color w:val="auto"/>
              <w:sz w:val="20"/>
              <w:szCs w:val="20"/>
              <w:lang w:val="en-US"/>
            </w:rPr>
          </w:pPr>
          <w:hyperlink w:anchor="_Toc215157664" w:history="1">
            <w:r w:rsidR="00A426AA" w:rsidRPr="009D765F">
              <w:rPr>
                <w:rStyle w:val="Hyperlink"/>
                <w:rFonts w:ascii="GHEA Grapalat" w:hAnsi="GHEA Grapalat"/>
                <w:b w:val="0"/>
                <w:sz w:val="20"/>
                <w:szCs w:val="20"/>
              </w:rPr>
              <w:t>ՄԱՍ I-Բ. ՄԱԿՐՈՏՆՏԵՍԱԿԱՆ ԶԱՐԳԱՑՈՒՄՆԵՐ ԵՎ ԿԱՆԽԱՏԵՍՈՒՄՆԵՐ</w:t>
            </w:r>
            <w:r w:rsidR="00A426AA" w:rsidRPr="009D765F">
              <w:rPr>
                <w:rFonts w:ascii="GHEA Grapalat" w:hAnsi="GHEA Grapalat"/>
                <w:b w:val="0"/>
                <w:webHidden/>
                <w:sz w:val="20"/>
                <w:szCs w:val="20"/>
              </w:rPr>
              <w:tab/>
            </w:r>
            <w:r w:rsidR="00A426AA" w:rsidRPr="009D765F">
              <w:rPr>
                <w:rFonts w:ascii="GHEA Grapalat" w:hAnsi="GHEA Grapalat"/>
                <w:b w:val="0"/>
                <w:webHidden/>
                <w:sz w:val="20"/>
                <w:szCs w:val="20"/>
              </w:rPr>
              <w:fldChar w:fldCharType="begin"/>
            </w:r>
            <w:r w:rsidR="00A426AA" w:rsidRPr="009D765F">
              <w:rPr>
                <w:rFonts w:ascii="GHEA Grapalat" w:hAnsi="GHEA Grapalat"/>
                <w:b w:val="0"/>
                <w:webHidden/>
                <w:sz w:val="20"/>
                <w:szCs w:val="20"/>
              </w:rPr>
              <w:instrText xml:space="preserve"> PAGEREF _Toc215157664 \h </w:instrText>
            </w:r>
            <w:r w:rsidR="00A426AA" w:rsidRPr="009D765F">
              <w:rPr>
                <w:rFonts w:ascii="GHEA Grapalat" w:hAnsi="GHEA Grapalat"/>
                <w:b w:val="0"/>
                <w:webHidden/>
                <w:sz w:val="20"/>
                <w:szCs w:val="20"/>
              </w:rPr>
            </w:r>
            <w:r w:rsidR="00A426AA" w:rsidRPr="009D765F">
              <w:rPr>
                <w:rFonts w:ascii="GHEA Grapalat" w:hAnsi="GHEA Grapalat"/>
                <w:b w:val="0"/>
                <w:webHidden/>
                <w:sz w:val="20"/>
                <w:szCs w:val="20"/>
              </w:rPr>
              <w:fldChar w:fldCharType="separate"/>
            </w:r>
            <w:r w:rsidR="00A426AA" w:rsidRPr="009D765F">
              <w:rPr>
                <w:rFonts w:ascii="GHEA Grapalat" w:hAnsi="GHEA Grapalat"/>
                <w:b w:val="0"/>
                <w:webHidden/>
                <w:sz w:val="20"/>
                <w:szCs w:val="20"/>
              </w:rPr>
              <w:t>20</w:t>
            </w:r>
            <w:r w:rsidR="00A426AA" w:rsidRPr="009D765F">
              <w:rPr>
                <w:rFonts w:ascii="GHEA Grapalat" w:hAnsi="GHEA Grapalat"/>
                <w:b w:val="0"/>
                <w:webHidden/>
                <w:sz w:val="20"/>
                <w:szCs w:val="20"/>
              </w:rPr>
              <w:fldChar w:fldCharType="end"/>
            </w:r>
          </w:hyperlink>
        </w:p>
        <w:p w14:paraId="009299BC" w14:textId="6D85D18A" w:rsidR="00A426AA" w:rsidRPr="009D765F" w:rsidRDefault="0017075C" w:rsidP="009D765F">
          <w:pPr>
            <w:pStyle w:val="TOC20"/>
            <w:ind w:left="0"/>
            <w:rPr>
              <w:rFonts w:ascii="GHEA Grapalat" w:hAnsi="GHEA Grapalat"/>
              <w:b w:val="0"/>
              <w:color w:val="auto"/>
              <w:sz w:val="20"/>
              <w:szCs w:val="20"/>
              <w:lang w:val="en-US"/>
            </w:rPr>
          </w:pPr>
          <w:hyperlink w:anchor="_Toc215157665" w:history="1">
            <w:r w:rsidR="00A426AA" w:rsidRPr="009D765F">
              <w:rPr>
                <w:rStyle w:val="Hyperlink"/>
                <w:rFonts w:ascii="GHEA Grapalat" w:hAnsi="GHEA Grapalat"/>
                <w:b w:val="0"/>
                <w:sz w:val="20"/>
                <w:szCs w:val="20"/>
              </w:rPr>
              <w:t>1</w:t>
            </w:r>
            <w:r w:rsidR="00A426AA" w:rsidRPr="009D765F">
              <w:rPr>
                <w:rStyle w:val="Hyperlink"/>
                <w:rFonts w:ascii="Cambria Math" w:hAnsi="Cambria Math" w:cs="Cambria Math"/>
                <w:b w:val="0"/>
                <w:sz w:val="20"/>
                <w:szCs w:val="20"/>
              </w:rPr>
              <w:t>․</w:t>
            </w:r>
            <w:r w:rsidR="00A426AA" w:rsidRPr="009D765F">
              <w:rPr>
                <w:rStyle w:val="Hyperlink"/>
                <w:rFonts w:ascii="GHEA Grapalat" w:hAnsi="GHEA Grapalat"/>
                <w:b w:val="0"/>
                <w:sz w:val="20"/>
                <w:szCs w:val="20"/>
              </w:rPr>
              <w:t>1. ՄԱԿՐՈՏՆՏԵՍԱԿԱՆ ԱՄՓՈՓԱԳԻՐ ԵՎ ՇՐՋԱՆԱԿ</w:t>
            </w:r>
            <w:r w:rsidR="00A426AA" w:rsidRPr="009D765F">
              <w:rPr>
                <w:rFonts w:ascii="GHEA Grapalat" w:hAnsi="GHEA Grapalat"/>
                <w:b w:val="0"/>
                <w:webHidden/>
                <w:sz w:val="20"/>
                <w:szCs w:val="20"/>
              </w:rPr>
              <w:tab/>
            </w:r>
            <w:r w:rsidR="00A426AA" w:rsidRPr="009D765F">
              <w:rPr>
                <w:rFonts w:ascii="GHEA Grapalat" w:hAnsi="GHEA Grapalat"/>
                <w:b w:val="0"/>
                <w:webHidden/>
                <w:sz w:val="20"/>
                <w:szCs w:val="20"/>
              </w:rPr>
              <w:fldChar w:fldCharType="begin"/>
            </w:r>
            <w:r w:rsidR="00A426AA" w:rsidRPr="009D765F">
              <w:rPr>
                <w:rFonts w:ascii="GHEA Grapalat" w:hAnsi="GHEA Grapalat"/>
                <w:b w:val="0"/>
                <w:webHidden/>
                <w:sz w:val="20"/>
                <w:szCs w:val="20"/>
              </w:rPr>
              <w:instrText xml:space="preserve"> PAGEREF _Toc215157665 \h </w:instrText>
            </w:r>
            <w:r w:rsidR="00A426AA" w:rsidRPr="009D765F">
              <w:rPr>
                <w:rFonts w:ascii="GHEA Grapalat" w:hAnsi="GHEA Grapalat"/>
                <w:b w:val="0"/>
                <w:webHidden/>
                <w:sz w:val="20"/>
                <w:szCs w:val="20"/>
              </w:rPr>
            </w:r>
            <w:r w:rsidR="00A426AA" w:rsidRPr="009D765F">
              <w:rPr>
                <w:rFonts w:ascii="GHEA Grapalat" w:hAnsi="GHEA Grapalat"/>
                <w:b w:val="0"/>
                <w:webHidden/>
                <w:sz w:val="20"/>
                <w:szCs w:val="20"/>
              </w:rPr>
              <w:fldChar w:fldCharType="separate"/>
            </w:r>
            <w:r w:rsidR="00A426AA" w:rsidRPr="009D765F">
              <w:rPr>
                <w:rFonts w:ascii="GHEA Grapalat" w:hAnsi="GHEA Grapalat"/>
                <w:b w:val="0"/>
                <w:webHidden/>
                <w:sz w:val="20"/>
                <w:szCs w:val="20"/>
              </w:rPr>
              <w:t>20</w:t>
            </w:r>
            <w:r w:rsidR="00A426AA" w:rsidRPr="009D765F">
              <w:rPr>
                <w:rFonts w:ascii="GHEA Grapalat" w:hAnsi="GHEA Grapalat"/>
                <w:b w:val="0"/>
                <w:webHidden/>
                <w:sz w:val="20"/>
                <w:szCs w:val="20"/>
              </w:rPr>
              <w:fldChar w:fldCharType="end"/>
            </w:r>
          </w:hyperlink>
        </w:p>
        <w:p w14:paraId="13207B25" w14:textId="62485E34" w:rsidR="00A426AA" w:rsidRPr="009D765F" w:rsidRDefault="0017075C" w:rsidP="009D765F">
          <w:pPr>
            <w:pStyle w:val="TOC20"/>
            <w:ind w:left="0"/>
            <w:rPr>
              <w:rFonts w:ascii="GHEA Grapalat" w:hAnsi="GHEA Grapalat"/>
              <w:b w:val="0"/>
              <w:color w:val="auto"/>
              <w:sz w:val="20"/>
              <w:szCs w:val="20"/>
              <w:lang w:val="en-US"/>
            </w:rPr>
          </w:pPr>
          <w:hyperlink w:anchor="_Toc215157666" w:history="1">
            <w:r w:rsidR="00A426AA" w:rsidRPr="009D765F">
              <w:rPr>
                <w:rStyle w:val="Hyperlink"/>
                <w:rFonts w:ascii="GHEA Grapalat" w:hAnsi="GHEA Grapalat"/>
                <w:b w:val="0"/>
                <w:sz w:val="20"/>
                <w:szCs w:val="20"/>
              </w:rPr>
              <w:t>1.2. ՀԱՄԱՇԽԱՐՀԱՅԻՆ ՏՆՏԵՍՈՒԹՅԱՆ ԵՎ ԳՈՐԾԸՆԿԵՐ ԵՐԿՐՆԵՐԻ ԶԱՐԳԱՑՈՒՄՆԵՐ ԵՎ ԿԱՆԽԱՏԵՍՈՒՄՆԵՐ</w:t>
            </w:r>
            <w:r w:rsidR="00A426AA" w:rsidRPr="009D765F">
              <w:rPr>
                <w:rFonts w:ascii="GHEA Grapalat" w:hAnsi="GHEA Grapalat"/>
                <w:b w:val="0"/>
                <w:webHidden/>
                <w:sz w:val="20"/>
                <w:szCs w:val="20"/>
              </w:rPr>
              <w:tab/>
            </w:r>
            <w:r w:rsidR="00A426AA" w:rsidRPr="009D765F">
              <w:rPr>
                <w:rFonts w:ascii="GHEA Grapalat" w:hAnsi="GHEA Grapalat"/>
                <w:b w:val="0"/>
                <w:webHidden/>
                <w:sz w:val="20"/>
                <w:szCs w:val="20"/>
              </w:rPr>
              <w:fldChar w:fldCharType="begin"/>
            </w:r>
            <w:r w:rsidR="00A426AA" w:rsidRPr="009D765F">
              <w:rPr>
                <w:rFonts w:ascii="GHEA Grapalat" w:hAnsi="GHEA Grapalat"/>
                <w:b w:val="0"/>
                <w:webHidden/>
                <w:sz w:val="20"/>
                <w:szCs w:val="20"/>
              </w:rPr>
              <w:instrText xml:space="preserve"> PAGEREF _Toc215157666 \h </w:instrText>
            </w:r>
            <w:r w:rsidR="00A426AA" w:rsidRPr="009D765F">
              <w:rPr>
                <w:rFonts w:ascii="GHEA Grapalat" w:hAnsi="GHEA Grapalat"/>
                <w:b w:val="0"/>
                <w:webHidden/>
                <w:sz w:val="20"/>
                <w:szCs w:val="20"/>
              </w:rPr>
            </w:r>
            <w:r w:rsidR="00A426AA" w:rsidRPr="009D765F">
              <w:rPr>
                <w:rFonts w:ascii="GHEA Grapalat" w:hAnsi="GHEA Grapalat"/>
                <w:b w:val="0"/>
                <w:webHidden/>
                <w:sz w:val="20"/>
                <w:szCs w:val="20"/>
              </w:rPr>
              <w:fldChar w:fldCharType="separate"/>
            </w:r>
            <w:r w:rsidR="00A426AA" w:rsidRPr="009D765F">
              <w:rPr>
                <w:rFonts w:ascii="GHEA Grapalat" w:hAnsi="GHEA Grapalat"/>
                <w:b w:val="0"/>
                <w:webHidden/>
                <w:sz w:val="20"/>
                <w:szCs w:val="20"/>
              </w:rPr>
              <w:t>24</w:t>
            </w:r>
            <w:r w:rsidR="00A426AA" w:rsidRPr="009D765F">
              <w:rPr>
                <w:rFonts w:ascii="GHEA Grapalat" w:hAnsi="GHEA Grapalat"/>
                <w:b w:val="0"/>
                <w:webHidden/>
                <w:sz w:val="20"/>
                <w:szCs w:val="20"/>
              </w:rPr>
              <w:fldChar w:fldCharType="end"/>
            </w:r>
          </w:hyperlink>
        </w:p>
        <w:p w14:paraId="6020F69C" w14:textId="2AD206A3" w:rsidR="00A426AA" w:rsidRPr="009D765F" w:rsidRDefault="0017075C" w:rsidP="009D765F">
          <w:pPr>
            <w:pStyle w:val="TOC20"/>
            <w:ind w:left="0"/>
            <w:rPr>
              <w:rFonts w:ascii="GHEA Grapalat" w:hAnsi="GHEA Grapalat"/>
              <w:b w:val="0"/>
              <w:color w:val="auto"/>
              <w:sz w:val="20"/>
              <w:szCs w:val="20"/>
              <w:lang w:val="en-US"/>
            </w:rPr>
          </w:pPr>
          <w:hyperlink w:anchor="_Toc215157667" w:history="1">
            <w:r w:rsidR="00A426AA" w:rsidRPr="009D765F">
              <w:rPr>
                <w:rStyle w:val="Hyperlink"/>
                <w:rFonts w:ascii="GHEA Grapalat" w:hAnsi="GHEA Grapalat"/>
                <w:b w:val="0"/>
                <w:sz w:val="20"/>
                <w:szCs w:val="20"/>
              </w:rPr>
              <w:t>1.3. ՀՀ ՄԱԿՐՈՏՆՏԵՍԱԿԱՆ ԶԱՐԳԱՑՈՒՄՆԵՐ ԵՎ ԿԱՆԽԱՏԵՍՈՒՄՆԵՐ</w:t>
            </w:r>
            <w:r w:rsidR="00A426AA" w:rsidRPr="009D765F">
              <w:rPr>
                <w:rFonts w:ascii="GHEA Grapalat" w:hAnsi="GHEA Grapalat"/>
                <w:b w:val="0"/>
                <w:webHidden/>
                <w:sz w:val="20"/>
                <w:szCs w:val="20"/>
              </w:rPr>
              <w:tab/>
            </w:r>
            <w:r w:rsidR="00A426AA" w:rsidRPr="009D765F">
              <w:rPr>
                <w:rFonts w:ascii="GHEA Grapalat" w:hAnsi="GHEA Grapalat"/>
                <w:b w:val="0"/>
                <w:webHidden/>
                <w:sz w:val="20"/>
                <w:szCs w:val="20"/>
              </w:rPr>
              <w:fldChar w:fldCharType="begin"/>
            </w:r>
            <w:r w:rsidR="00A426AA" w:rsidRPr="009D765F">
              <w:rPr>
                <w:rFonts w:ascii="GHEA Grapalat" w:hAnsi="GHEA Grapalat"/>
                <w:b w:val="0"/>
                <w:webHidden/>
                <w:sz w:val="20"/>
                <w:szCs w:val="20"/>
              </w:rPr>
              <w:instrText xml:space="preserve"> PAGEREF _Toc215157667 \h </w:instrText>
            </w:r>
            <w:r w:rsidR="00A426AA" w:rsidRPr="009D765F">
              <w:rPr>
                <w:rFonts w:ascii="GHEA Grapalat" w:hAnsi="GHEA Grapalat"/>
                <w:b w:val="0"/>
                <w:webHidden/>
                <w:sz w:val="20"/>
                <w:szCs w:val="20"/>
              </w:rPr>
            </w:r>
            <w:r w:rsidR="00A426AA" w:rsidRPr="009D765F">
              <w:rPr>
                <w:rFonts w:ascii="GHEA Grapalat" w:hAnsi="GHEA Grapalat"/>
                <w:b w:val="0"/>
                <w:webHidden/>
                <w:sz w:val="20"/>
                <w:szCs w:val="20"/>
              </w:rPr>
              <w:fldChar w:fldCharType="separate"/>
            </w:r>
            <w:r w:rsidR="00A426AA" w:rsidRPr="009D765F">
              <w:rPr>
                <w:rFonts w:ascii="GHEA Grapalat" w:hAnsi="GHEA Grapalat"/>
                <w:b w:val="0"/>
                <w:webHidden/>
                <w:sz w:val="20"/>
                <w:szCs w:val="20"/>
              </w:rPr>
              <w:t>29</w:t>
            </w:r>
            <w:r w:rsidR="00A426AA" w:rsidRPr="009D765F">
              <w:rPr>
                <w:rFonts w:ascii="GHEA Grapalat" w:hAnsi="GHEA Grapalat"/>
                <w:b w:val="0"/>
                <w:webHidden/>
                <w:sz w:val="20"/>
                <w:szCs w:val="20"/>
              </w:rPr>
              <w:fldChar w:fldCharType="end"/>
            </w:r>
          </w:hyperlink>
        </w:p>
        <w:p w14:paraId="6BA19E8A" w14:textId="62EB0600" w:rsidR="00A426AA" w:rsidRPr="009D765F" w:rsidRDefault="0017075C" w:rsidP="009D765F">
          <w:pPr>
            <w:pStyle w:val="TOC30"/>
            <w:rPr>
              <w:rFonts w:ascii="GHEA Grapalat" w:hAnsi="GHEA Grapalat"/>
              <w:noProof/>
              <w:color w:val="auto"/>
              <w:sz w:val="20"/>
              <w:szCs w:val="20"/>
            </w:rPr>
          </w:pPr>
          <w:hyperlink w:anchor="_Toc215157668" w:history="1">
            <w:r w:rsidR="00A426AA" w:rsidRPr="009D765F">
              <w:rPr>
                <w:rStyle w:val="Hyperlink"/>
                <w:rFonts w:ascii="GHEA Grapalat" w:hAnsi="GHEA Grapalat"/>
                <w:noProof/>
                <w:sz w:val="20"/>
                <w:szCs w:val="20"/>
                <w:lang w:val="hy-AM"/>
              </w:rPr>
              <w:t>1.3.1. ՀՆԱ ԵՎ ՏՆՏԵՍԱԿԱՆ ԱՃ</w:t>
            </w:r>
            <w:r w:rsidR="00A426AA" w:rsidRPr="009D765F">
              <w:rPr>
                <w:rFonts w:ascii="GHEA Grapalat" w:hAnsi="GHEA Grapalat"/>
                <w:noProof/>
                <w:webHidden/>
                <w:sz w:val="20"/>
                <w:szCs w:val="20"/>
              </w:rPr>
              <w:tab/>
            </w:r>
            <w:r w:rsidR="00A426AA" w:rsidRPr="009D765F">
              <w:rPr>
                <w:rFonts w:ascii="GHEA Grapalat" w:hAnsi="GHEA Grapalat"/>
                <w:noProof/>
                <w:webHidden/>
                <w:sz w:val="20"/>
                <w:szCs w:val="20"/>
              </w:rPr>
              <w:fldChar w:fldCharType="begin"/>
            </w:r>
            <w:r w:rsidR="00A426AA" w:rsidRPr="009D765F">
              <w:rPr>
                <w:rFonts w:ascii="GHEA Grapalat" w:hAnsi="GHEA Grapalat"/>
                <w:noProof/>
                <w:webHidden/>
                <w:sz w:val="20"/>
                <w:szCs w:val="20"/>
              </w:rPr>
              <w:instrText xml:space="preserve"> PAGEREF _Toc215157668 \h </w:instrText>
            </w:r>
            <w:r w:rsidR="00A426AA" w:rsidRPr="009D765F">
              <w:rPr>
                <w:rFonts w:ascii="GHEA Grapalat" w:hAnsi="GHEA Grapalat"/>
                <w:noProof/>
                <w:webHidden/>
                <w:sz w:val="20"/>
                <w:szCs w:val="20"/>
              </w:rPr>
            </w:r>
            <w:r w:rsidR="00A426AA" w:rsidRPr="009D765F">
              <w:rPr>
                <w:rFonts w:ascii="GHEA Grapalat" w:hAnsi="GHEA Grapalat"/>
                <w:noProof/>
                <w:webHidden/>
                <w:sz w:val="20"/>
                <w:szCs w:val="20"/>
              </w:rPr>
              <w:fldChar w:fldCharType="separate"/>
            </w:r>
            <w:r w:rsidR="00A426AA" w:rsidRPr="009D765F">
              <w:rPr>
                <w:rFonts w:ascii="GHEA Grapalat" w:hAnsi="GHEA Grapalat"/>
                <w:noProof/>
                <w:webHidden/>
                <w:sz w:val="20"/>
                <w:szCs w:val="20"/>
              </w:rPr>
              <w:t>29</w:t>
            </w:r>
            <w:r w:rsidR="00A426AA" w:rsidRPr="009D765F">
              <w:rPr>
                <w:rFonts w:ascii="GHEA Grapalat" w:hAnsi="GHEA Grapalat"/>
                <w:noProof/>
                <w:webHidden/>
                <w:sz w:val="20"/>
                <w:szCs w:val="20"/>
              </w:rPr>
              <w:fldChar w:fldCharType="end"/>
            </w:r>
          </w:hyperlink>
        </w:p>
        <w:p w14:paraId="324C10D1" w14:textId="3DD81071" w:rsidR="00A426AA" w:rsidRPr="009D765F" w:rsidRDefault="0017075C" w:rsidP="009D765F">
          <w:pPr>
            <w:pStyle w:val="TOC30"/>
            <w:rPr>
              <w:rFonts w:ascii="GHEA Grapalat" w:hAnsi="GHEA Grapalat"/>
              <w:noProof/>
              <w:color w:val="auto"/>
              <w:sz w:val="20"/>
              <w:szCs w:val="20"/>
            </w:rPr>
          </w:pPr>
          <w:hyperlink w:anchor="_Toc215157669" w:history="1">
            <w:r w:rsidR="00A426AA" w:rsidRPr="009D765F">
              <w:rPr>
                <w:rStyle w:val="Hyperlink"/>
                <w:rFonts w:ascii="GHEA Grapalat" w:hAnsi="GHEA Grapalat"/>
                <w:noProof/>
                <w:sz w:val="20"/>
                <w:szCs w:val="20"/>
                <w:lang w:val="hy-AM"/>
              </w:rPr>
              <w:t>1.3.2. ԱՇԽԱՏԱՆՔԻ ՇՈՒԿԱ</w:t>
            </w:r>
            <w:r w:rsidR="00A426AA" w:rsidRPr="009D765F">
              <w:rPr>
                <w:rFonts w:ascii="GHEA Grapalat" w:hAnsi="GHEA Grapalat"/>
                <w:noProof/>
                <w:webHidden/>
                <w:sz w:val="20"/>
                <w:szCs w:val="20"/>
              </w:rPr>
              <w:tab/>
            </w:r>
            <w:r w:rsidR="00A426AA" w:rsidRPr="009D765F">
              <w:rPr>
                <w:rFonts w:ascii="GHEA Grapalat" w:hAnsi="GHEA Grapalat"/>
                <w:noProof/>
                <w:webHidden/>
                <w:sz w:val="20"/>
                <w:szCs w:val="20"/>
              </w:rPr>
              <w:fldChar w:fldCharType="begin"/>
            </w:r>
            <w:r w:rsidR="00A426AA" w:rsidRPr="009D765F">
              <w:rPr>
                <w:rFonts w:ascii="GHEA Grapalat" w:hAnsi="GHEA Grapalat"/>
                <w:noProof/>
                <w:webHidden/>
                <w:sz w:val="20"/>
                <w:szCs w:val="20"/>
              </w:rPr>
              <w:instrText xml:space="preserve"> PAGEREF _Toc215157669 \h </w:instrText>
            </w:r>
            <w:r w:rsidR="00A426AA" w:rsidRPr="009D765F">
              <w:rPr>
                <w:rFonts w:ascii="GHEA Grapalat" w:hAnsi="GHEA Grapalat"/>
                <w:noProof/>
                <w:webHidden/>
                <w:sz w:val="20"/>
                <w:szCs w:val="20"/>
              </w:rPr>
            </w:r>
            <w:r w:rsidR="00A426AA" w:rsidRPr="009D765F">
              <w:rPr>
                <w:rFonts w:ascii="GHEA Grapalat" w:hAnsi="GHEA Grapalat"/>
                <w:noProof/>
                <w:webHidden/>
                <w:sz w:val="20"/>
                <w:szCs w:val="20"/>
              </w:rPr>
              <w:fldChar w:fldCharType="separate"/>
            </w:r>
            <w:r w:rsidR="00A426AA" w:rsidRPr="009D765F">
              <w:rPr>
                <w:rFonts w:ascii="GHEA Grapalat" w:hAnsi="GHEA Grapalat"/>
                <w:noProof/>
                <w:webHidden/>
                <w:sz w:val="20"/>
                <w:szCs w:val="20"/>
              </w:rPr>
              <w:t>37</w:t>
            </w:r>
            <w:r w:rsidR="00A426AA" w:rsidRPr="009D765F">
              <w:rPr>
                <w:rFonts w:ascii="GHEA Grapalat" w:hAnsi="GHEA Grapalat"/>
                <w:noProof/>
                <w:webHidden/>
                <w:sz w:val="20"/>
                <w:szCs w:val="20"/>
              </w:rPr>
              <w:fldChar w:fldCharType="end"/>
            </w:r>
          </w:hyperlink>
        </w:p>
        <w:p w14:paraId="2B2DDEFE" w14:textId="4D19D7B6" w:rsidR="00A426AA" w:rsidRPr="009D765F" w:rsidRDefault="0017075C" w:rsidP="009D765F">
          <w:pPr>
            <w:pStyle w:val="TOC30"/>
            <w:rPr>
              <w:rFonts w:ascii="GHEA Grapalat" w:hAnsi="GHEA Grapalat"/>
              <w:noProof/>
              <w:color w:val="auto"/>
              <w:sz w:val="20"/>
              <w:szCs w:val="20"/>
            </w:rPr>
          </w:pPr>
          <w:hyperlink w:anchor="_Toc215157670" w:history="1">
            <w:r w:rsidR="00A426AA" w:rsidRPr="009D765F">
              <w:rPr>
                <w:rStyle w:val="Hyperlink"/>
                <w:rFonts w:ascii="GHEA Grapalat" w:hAnsi="GHEA Grapalat"/>
                <w:noProof/>
                <w:sz w:val="20"/>
                <w:szCs w:val="20"/>
                <w:lang w:val="hy-AM"/>
              </w:rPr>
              <w:t>1.3.3. ՀՀ ՎՃԱՐԱՅԻՆ ՀԱՇՎԵԿՇԻՌ, ԱՐՏԱՀԱՆՈՒՄ և ՆԵՐՄՈՒԾՈՒՄ</w:t>
            </w:r>
            <w:r w:rsidR="00A426AA" w:rsidRPr="009D765F">
              <w:rPr>
                <w:rFonts w:ascii="GHEA Grapalat" w:hAnsi="GHEA Grapalat"/>
                <w:noProof/>
                <w:webHidden/>
                <w:sz w:val="20"/>
                <w:szCs w:val="20"/>
              </w:rPr>
              <w:tab/>
            </w:r>
            <w:r w:rsidR="00A426AA" w:rsidRPr="009D765F">
              <w:rPr>
                <w:rFonts w:ascii="GHEA Grapalat" w:hAnsi="GHEA Grapalat"/>
                <w:noProof/>
                <w:webHidden/>
                <w:sz w:val="20"/>
                <w:szCs w:val="20"/>
              </w:rPr>
              <w:fldChar w:fldCharType="begin"/>
            </w:r>
            <w:r w:rsidR="00A426AA" w:rsidRPr="009D765F">
              <w:rPr>
                <w:rFonts w:ascii="GHEA Grapalat" w:hAnsi="GHEA Grapalat"/>
                <w:noProof/>
                <w:webHidden/>
                <w:sz w:val="20"/>
                <w:szCs w:val="20"/>
              </w:rPr>
              <w:instrText xml:space="preserve"> PAGEREF _Toc215157670 \h </w:instrText>
            </w:r>
            <w:r w:rsidR="00A426AA" w:rsidRPr="009D765F">
              <w:rPr>
                <w:rFonts w:ascii="GHEA Grapalat" w:hAnsi="GHEA Grapalat"/>
                <w:noProof/>
                <w:webHidden/>
                <w:sz w:val="20"/>
                <w:szCs w:val="20"/>
              </w:rPr>
            </w:r>
            <w:r w:rsidR="00A426AA" w:rsidRPr="009D765F">
              <w:rPr>
                <w:rFonts w:ascii="GHEA Grapalat" w:hAnsi="GHEA Grapalat"/>
                <w:noProof/>
                <w:webHidden/>
                <w:sz w:val="20"/>
                <w:szCs w:val="20"/>
              </w:rPr>
              <w:fldChar w:fldCharType="separate"/>
            </w:r>
            <w:r w:rsidR="00A426AA" w:rsidRPr="009D765F">
              <w:rPr>
                <w:rFonts w:ascii="GHEA Grapalat" w:hAnsi="GHEA Grapalat"/>
                <w:noProof/>
                <w:webHidden/>
                <w:sz w:val="20"/>
                <w:szCs w:val="20"/>
              </w:rPr>
              <w:t>39</w:t>
            </w:r>
            <w:r w:rsidR="00A426AA" w:rsidRPr="009D765F">
              <w:rPr>
                <w:rFonts w:ascii="GHEA Grapalat" w:hAnsi="GHEA Grapalat"/>
                <w:noProof/>
                <w:webHidden/>
                <w:sz w:val="20"/>
                <w:szCs w:val="20"/>
              </w:rPr>
              <w:fldChar w:fldCharType="end"/>
            </w:r>
          </w:hyperlink>
        </w:p>
        <w:p w14:paraId="19D0918A" w14:textId="3250109C" w:rsidR="00A426AA" w:rsidRPr="009D765F" w:rsidRDefault="0017075C" w:rsidP="009D765F">
          <w:pPr>
            <w:pStyle w:val="TOC30"/>
            <w:rPr>
              <w:rFonts w:ascii="GHEA Grapalat" w:hAnsi="GHEA Grapalat"/>
              <w:noProof/>
              <w:color w:val="auto"/>
              <w:sz w:val="20"/>
              <w:szCs w:val="20"/>
            </w:rPr>
          </w:pPr>
          <w:hyperlink w:anchor="_Toc215157671" w:history="1">
            <w:r w:rsidR="00A426AA" w:rsidRPr="009D765F">
              <w:rPr>
                <w:rStyle w:val="Hyperlink"/>
                <w:rFonts w:ascii="GHEA Grapalat" w:hAnsi="GHEA Grapalat"/>
                <w:noProof/>
                <w:sz w:val="20"/>
                <w:szCs w:val="20"/>
                <w:lang w:val="hy-AM"/>
              </w:rPr>
              <w:t>1.3.4. ԱՐԺՈՒԹԱՅԻՆ ՇՈՒԿԱ ԵՎ ՓՈԽԱՐԺԵՔՆԵՐ</w:t>
            </w:r>
            <w:r w:rsidR="00A426AA" w:rsidRPr="009D765F">
              <w:rPr>
                <w:rFonts w:ascii="GHEA Grapalat" w:hAnsi="GHEA Grapalat"/>
                <w:noProof/>
                <w:webHidden/>
                <w:sz w:val="20"/>
                <w:szCs w:val="20"/>
              </w:rPr>
              <w:tab/>
            </w:r>
            <w:r w:rsidR="00A426AA" w:rsidRPr="009D765F">
              <w:rPr>
                <w:rFonts w:ascii="GHEA Grapalat" w:hAnsi="GHEA Grapalat"/>
                <w:noProof/>
                <w:webHidden/>
                <w:sz w:val="20"/>
                <w:szCs w:val="20"/>
              </w:rPr>
              <w:fldChar w:fldCharType="begin"/>
            </w:r>
            <w:r w:rsidR="00A426AA" w:rsidRPr="009D765F">
              <w:rPr>
                <w:rFonts w:ascii="GHEA Grapalat" w:hAnsi="GHEA Grapalat"/>
                <w:noProof/>
                <w:webHidden/>
                <w:sz w:val="20"/>
                <w:szCs w:val="20"/>
              </w:rPr>
              <w:instrText xml:space="preserve"> PAGEREF _Toc215157671 \h </w:instrText>
            </w:r>
            <w:r w:rsidR="00A426AA" w:rsidRPr="009D765F">
              <w:rPr>
                <w:rFonts w:ascii="GHEA Grapalat" w:hAnsi="GHEA Grapalat"/>
                <w:noProof/>
                <w:webHidden/>
                <w:sz w:val="20"/>
                <w:szCs w:val="20"/>
              </w:rPr>
            </w:r>
            <w:r w:rsidR="00A426AA" w:rsidRPr="009D765F">
              <w:rPr>
                <w:rFonts w:ascii="GHEA Grapalat" w:hAnsi="GHEA Grapalat"/>
                <w:noProof/>
                <w:webHidden/>
                <w:sz w:val="20"/>
                <w:szCs w:val="20"/>
              </w:rPr>
              <w:fldChar w:fldCharType="separate"/>
            </w:r>
            <w:r w:rsidR="00A426AA" w:rsidRPr="009D765F">
              <w:rPr>
                <w:rFonts w:ascii="GHEA Grapalat" w:hAnsi="GHEA Grapalat"/>
                <w:noProof/>
                <w:webHidden/>
                <w:sz w:val="20"/>
                <w:szCs w:val="20"/>
              </w:rPr>
              <w:t>43</w:t>
            </w:r>
            <w:r w:rsidR="00A426AA" w:rsidRPr="009D765F">
              <w:rPr>
                <w:rFonts w:ascii="GHEA Grapalat" w:hAnsi="GHEA Grapalat"/>
                <w:noProof/>
                <w:webHidden/>
                <w:sz w:val="20"/>
                <w:szCs w:val="20"/>
              </w:rPr>
              <w:fldChar w:fldCharType="end"/>
            </w:r>
          </w:hyperlink>
        </w:p>
        <w:p w14:paraId="716C17BF" w14:textId="6D80BD49" w:rsidR="00A426AA" w:rsidRPr="009D765F" w:rsidRDefault="0017075C" w:rsidP="009D765F">
          <w:pPr>
            <w:pStyle w:val="TOC20"/>
            <w:ind w:left="0"/>
            <w:rPr>
              <w:rFonts w:ascii="GHEA Grapalat" w:hAnsi="GHEA Grapalat"/>
              <w:b w:val="0"/>
              <w:color w:val="auto"/>
              <w:sz w:val="20"/>
              <w:szCs w:val="20"/>
              <w:lang w:val="en-US"/>
            </w:rPr>
          </w:pPr>
          <w:hyperlink w:anchor="_Toc215157672" w:history="1">
            <w:r w:rsidR="00A426AA" w:rsidRPr="009D765F">
              <w:rPr>
                <w:rStyle w:val="Hyperlink"/>
                <w:rFonts w:ascii="GHEA Grapalat" w:hAnsi="GHEA Grapalat"/>
                <w:b w:val="0"/>
                <w:sz w:val="20"/>
                <w:szCs w:val="20"/>
              </w:rPr>
              <w:t>1.4. ԿԱՆԽԱՏԵՍՈՒՄՆԵՐԻ ՀԻՄՔՈՒՄ ԸՆԿԱԾ ԵՆԹԱԴՐՈՒԹՅՈՒՆՆԵՐԸ</w:t>
            </w:r>
            <w:r w:rsidR="00A426AA" w:rsidRPr="009D765F">
              <w:rPr>
                <w:rFonts w:ascii="GHEA Grapalat" w:hAnsi="GHEA Grapalat"/>
                <w:b w:val="0"/>
                <w:webHidden/>
                <w:sz w:val="20"/>
                <w:szCs w:val="20"/>
              </w:rPr>
              <w:tab/>
            </w:r>
            <w:r w:rsidR="00A426AA" w:rsidRPr="009D765F">
              <w:rPr>
                <w:rFonts w:ascii="GHEA Grapalat" w:hAnsi="GHEA Grapalat"/>
                <w:b w:val="0"/>
                <w:webHidden/>
                <w:sz w:val="20"/>
                <w:szCs w:val="20"/>
              </w:rPr>
              <w:fldChar w:fldCharType="begin"/>
            </w:r>
            <w:r w:rsidR="00A426AA" w:rsidRPr="009D765F">
              <w:rPr>
                <w:rFonts w:ascii="GHEA Grapalat" w:hAnsi="GHEA Grapalat"/>
                <w:b w:val="0"/>
                <w:webHidden/>
                <w:sz w:val="20"/>
                <w:szCs w:val="20"/>
              </w:rPr>
              <w:instrText xml:space="preserve"> PAGEREF _Toc215157672 \h </w:instrText>
            </w:r>
            <w:r w:rsidR="00A426AA" w:rsidRPr="009D765F">
              <w:rPr>
                <w:rFonts w:ascii="GHEA Grapalat" w:hAnsi="GHEA Grapalat"/>
                <w:b w:val="0"/>
                <w:webHidden/>
                <w:sz w:val="20"/>
                <w:szCs w:val="20"/>
              </w:rPr>
            </w:r>
            <w:r w:rsidR="00A426AA" w:rsidRPr="009D765F">
              <w:rPr>
                <w:rFonts w:ascii="GHEA Grapalat" w:hAnsi="GHEA Grapalat"/>
                <w:b w:val="0"/>
                <w:webHidden/>
                <w:sz w:val="20"/>
                <w:szCs w:val="20"/>
              </w:rPr>
              <w:fldChar w:fldCharType="separate"/>
            </w:r>
            <w:r w:rsidR="00A426AA" w:rsidRPr="009D765F">
              <w:rPr>
                <w:rFonts w:ascii="GHEA Grapalat" w:hAnsi="GHEA Grapalat"/>
                <w:b w:val="0"/>
                <w:webHidden/>
                <w:sz w:val="20"/>
                <w:szCs w:val="20"/>
              </w:rPr>
              <w:t>50</w:t>
            </w:r>
            <w:r w:rsidR="00A426AA" w:rsidRPr="009D765F">
              <w:rPr>
                <w:rFonts w:ascii="GHEA Grapalat" w:hAnsi="GHEA Grapalat"/>
                <w:b w:val="0"/>
                <w:webHidden/>
                <w:sz w:val="20"/>
                <w:szCs w:val="20"/>
              </w:rPr>
              <w:fldChar w:fldCharType="end"/>
            </w:r>
          </w:hyperlink>
        </w:p>
        <w:p w14:paraId="5AD7F891" w14:textId="182F0917" w:rsidR="00A426AA" w:rsidRPr="009D765F" w:rsidRDefault="0017075C" w:rsidP="009D765F">
          <w:pPr>
            <w:pStyle w:val="TOC20"/>
            <w:ind w:left="0"/>
            <w:rPr>
              <w:rFonts w:ascii="GHEA Grapalat" w:hAnsi="GHEA Grapalat"/>
              <w:b w:val="0"/>
              <w:color w:val="auto"/>
              <w:sz w:val="20"/>
              <w:szCs w:val="20"/>
              <w:lang w:val="en-US"/>
            </w:rPr>
          </w:pPr>
          <w:hyperlink w:anchor="_Toc215157673" w:history="1">
            <w:r w:rsidR="00A426AA" w:rsidRPr="009D765F">
              <w:rPr>
                <w:rStyle w:val="Hyperlink"/>
                <w:rFonts w:ascii="GHEA Grapalat" w:hAnsi="GHEA Grapalat"/>
                <w:b w:val="0"/>
                <w:sz w:val="20"/>
                <w:szCs w:val="20"/>
              </w:rPr>
              <w:t>1.5. ՄԱԿՐՈՏՆՏԵՍԱԿԱՆ ԿԱՆԽԱՏԵՍՈՒՄՆԵՐԻ ՌԻՍԿԵՐԸ</w:t>
            </w:r>
            <w:r w:rsidR="00A426AA" w:rsidRPr="009D765F">
              <w:rPr>
                <w:rFonts w:ascii="GHEA Grapalat" w:hAnsi="GHEA Grapalat"/>
                <w:b w:val="0"/>
                <w:webHidden/>
                <w:sz w:val="20"/>
                <w:szCs w:val="20"/>
              </w:rPr>
              <w:tab/>
            </w:r>
            <w:r w:rsidR="00A426AA" w:rsidRPr="009D765F">
              <w:rPr>
                <w:rFonts w:ascii="GHEA Grapalat" w:hAnsi="GHEA Grapalat"/>
                <w:b w:val="0"/>
                <w:webHidden/>
                <w:sz w:val="20"/>
                <w:szCs w:val="20"/>
              </w:rPr>
              <w:fldChar w:fldCharType="begin"/>
            </w:r>
            <w:r w:rsidR="00A426AA" w:rsidRPr="009D765F">
              <w:rPr>
                <w:rFonts w:ascii="GHEA Grapalat" w:hAnsi="GHEA Grapalat"/>
                <w:b w:val="0"/>
                <w:webHidden/>
                <w:sz w:val="20"/>
                <w:szCs w:val="20"/>
              </w:rPr>
              <w:instrText xml:space="preserve"> PAGEREF _Toc215157673 \h </w:instrText>
            </w:r>
            <w:r w:rsidR="00A426AA" w:rsidRPr="009D765F">
              <w:rPr>
                <w:rFonts w:ascii="GHEA Grapalat" w:hAnsi="GHEA Grapalat"/>
                <w:b w:val="0"/>
                <w:webHidden/>
                <w:sz w:val="20"/>
                <w:szCs w:val="20"/>
              </w:rPr>
            </w:r>
            <w:r w:rsidR="00A426AA" w:rsidRPr="009D765F">
              <w:rPr>
                <w:rFonts w:ascii="GHEA Grapalat" w:hAnsi="GHEA Grapalat"/>
                <w:b w:val="0"/>
                <w:webHidden/>
                <w:sz w:val="20"/>
                <w:szCs w:val="20"/>
              </w:rPr>
              <w:fldChar w:fldCharType="separate"/>
            </w:r>
            <w:r w:rsidR="00A426AA" w:rsidRPr="009D765F">
              <w:rPr>
                <w:rFonts w:ascii="GHEA Grapalat" w:hAnsi="GHEA Grapalat"/>
                <w:b w:val="0"/>
                <w:webHidden/>
                <w:sz w:val="20"/>
                <w:szCs w:val="20"/>
              </w:rPr>
              <w:t>54</w:t>
            </w:r>
            <w:r w:rsidR="00A426AA" w:rsidRPr="009D765F">
              <w:rPr>
                <w:rFonts w:ascii="GHEA Grapalat" w:hAnsi="GHEA Grapalat"/>
                <w:b w:val="0"/>
                <w:webHidden/>
                <w:sz w:val="20"/>
                <w:szCs w:val="20"/>
              </w:rPr>
              <w:fldChar w:fldCharType="end"/>
            </w:r>
          </w:hyperlink>
        </w:p>
        <w:p w14:paraId="2A67A805" w14:textId="39D2EDCD" w:rsidR="00A426AA" w:rsidRPr="009D765F" w:rsidRDefault="0017075C" w:rsidP="009D765F">
          <w:pPr>
            <w:pStyle w:val="TOC30"/>
            <w:rPr>
              <w:rFonts w:ascii="GHEA Grapalat" w:hAnsi="GHEA Grapalat"/>
              <w:noProof/>
              <w:color w:val="auto"/>
              <w:sz w:val="20"/>
              <w:szCs w:val="20"/>
            </w:rPr>
          </w:pPr>
          <w:hyperlink w:anchor="_Toc215157674" w:history="1">
            <w:r w:rsidR="00A426AA" w:rsidRPr="009D765F">
              <w:rPr>
                <w:rStyle w:val="Hyperlink"/>
                <w:rFonts w:ascii="GHEA Grapalat" w:hAnsi="GHEA Grapalat"/>
                <w:noProof/>
                <w:sz w:val="20"/>
                <w:szCs w:val="20"/>
              </w:rPr>
              <w:t>1.5.1. ՀՀ ՏՆՏԵՍԱԿԱՆ ԱՃԻ ԴԵՊԻ ՆԵՐՔև ՈՒՂՂՈՒԹՅԱՄԲ ՌԻՍԿԵՐ</w:t>
            </w:r>
            <w:r w:rsidR="00A426AA" w:rsidRPr="009D765F">
              <w:rPr>
                <w:rFonts w:ascii="GHEA Grapalat" w:hAnsi="GHEA Grapalat"/>
                <w:noProof/>
                <w:webHidden/>
                <w:sz w:val="20"/>
                <w:szCs w:val="20"/>
              </w:rPr>
              <w:tab/>
            </w:r>
            <w:r w:rsidR="00A426AA" w:rsidRPr="009D765F">
              <w:rPr>
                <w:rFonts w:ascii="GHEA Grapalat" w:hAnsi="GHEA Grapalat"/>
                <w:noProof/>
                <w:webHidden/>
                <w:sz w:val="20"/>
                <w:szCs w:val="20"/>
              </w:rPr>
              <w:fldChar w:fldCharType="begin"/>
            </w:r>
            <w:r w:rsidR="00A426AA" w:rsidRPr="009D765F">
              <w:rPr>
                <w:rFonts w:ascii="GHEA Grapalat" w:hAnsi="GHEA Grapalat"/>
                <w:noProof/>
                <w:webHidden/>
                <w:sz w:val="20"/>
                <w:szCs w:val="20"/>
              </w:rPr>
              <w:instrText xml:space="preserve"> PAGEREF _Toc215157674 \h </w:instrText>
            </w:r>
            <w:r w:rsidR="00A426AA" w:rsidRPr="009D765F">
              <w:rPr>
                <w:rFonts w:ascii="GHEA Grapalat" w:hAnsi="GHEA Grapalat"/>
                <w:noProof/>
                <w:webHidden/>
                <w:sz w:val="20"/>
                <w:szCs w:val="20"/>
              </w:rPr>
            </w:r>
            <w:r w:rsidR="00A426AA" w:rsidRPr="009D765F">
              <w:rPr>
                <w:rFonts w:ascii="GHEA Grapalat" w:hAnsi="GHEA Grapalat"/>
                <w:noProof/>
                <w:webHidden/>
                <w:sz w:val="20"/>
                <w:szCs w:val="20"/>
              </w:rPr>
              <w:fldChar w:fldCharType="separate"/>
            </w:r>
            <w:r w:rsidR="00A426AA" w:rsidRPr="009D765F">
              <w:rPr>
                <w:rFonts w:ascii="GHEA Grapalat" w:hAnsi="GHEA Grapalat"/>
                <w:noProof/>
                <w:webHidden/>
                <w:sz w:val="20"/>
                <w:szCs w:val="20"/>
              </w:rPr>
              <w:t>55</w:t>
            </w:r>
            <w:r w:rsidR="00A426AA" w:rsidRPr="009D765F">
              <w:rPr>
                <w:rFonts w:ascii="GHEA Grapalat" w:hAnsi="GHEA Grapalat"/>
                <w:noProof/>
                <w:webHidden/>
                <w:sz w:val="20"/>
                <w:szCs w:val="20"/>
              </w:rPr>
              <w:fldChar w:fldCharType="end"/>
            </w:r>
          </w:hyperlink>
        </w:p>
        <w:p w14:paraId="65A59D62" w14:textId="3EB4223C" w:rsidR="00A426AA" w:rsidRPr="009D765F" w:rsidRDefault="0017075C" w:rsidP="009D765F">
          <w:pPr>
            <w:pStyle w:val="TOC30"/>
            <w:rPr>
              <w:rFonts w:ascii="GHEA Grapalat" w:hAnsi="GHEA Grapalat"/>
              <w:noProof/>
              <w:color w:val="auto"/>
              <w:sz w:val="20"/>
              <w:szCs w:val="20"/>
            </w:rPr>
          </w:pPr>
          <w:hyperlink w:anchor="_Toc215157675" w:history="1">
            <w:r w:rsidR="00A426AA" w:rsidRPr="009D765F">
              <w:rPr>
                <w:rStyle w:val="Hyperlink"/>
                <w:rFonts w:ascii="GHEA Grapalat" w:hAnsi="GHEA Grapalat"/>
                <w:noProof/>
                <w:sz w:val="20"/>
                <w:szCs w:val="20"/>
                <w:lang w:val="hy-AM"/>
              </w:rPr>
              <w:t>1.5.2. ՏՆՏԵՍԱԿԱՆ ԱՃԻ ԴԵՊԻ ՎԵՐԵՎ ՈՒՂՂՈՒԹՅԱՄԲ ՌԻՍԿԵՐ</w:t>
            </w:r>
            <w:r w:rsidR="00A426AA" w:rsidRPr="009D765F">
              <w:rPr>
                <w:rFonts w:ascii="GHEA Grapalat" w:hAnsi="GHEA Grapalat"/>
                <w:noProof/>
                <w:webHidden/>
                <w:sz w:val="20"/>
                <w:szCs w:val="20"/>
              </w:rPr>
              <w:tab/>
            </w:r>
            <w:r w:rsidR="00A426AA" w:rsidRPr="009D765F">
              <w:rPr>
                <w:rFonts w:ascii="GHEA Grapalat" w:hAnsi="GHEA Grapalat"/>
                <w:noProof/>
                <w:webHidden/>
                <w:sz w:val="20"/>
                <w:szCs w:val="20"/>
              </w:rPr>
              <w:fldChar w:fldCharType="begin"/>
            </w:r>
            <w:r w:rsidR="00A426AA" w:rsidRPr="009D765F">
              <w:rPr>
                <w:rFonts w:ascii="GHEA Grapalat" w:hAnsi="GHEA Grapalat"/>
                <w:noProof/>
                <w:webHidden/>
                <w:sz w:val="20"/>
                <w:szCs w:val="20"/>
              </w:rPr>
              <w:instrText xml:space="preserve"> PAGEREF _Toc215157675 \h </w:instrText>
            </w:r>
            <w:r w:rsidR="00A426AA" w:rsidRPr="009D765F">
              <w:rPr>
                <w:rFonts w:ascii="GHEA Grapalat" w:hAnsi="GHEA Grapalat"/>
                <w:noProof/>
                <w:webHidden/>
                <w:sz w:val="20"/>
                <w:szCs w:val="20"/>
              </w:rPr>
            </w:r>
            <w:r w:rsidR="00A426AA" w:rsidRPr="009D765F">
              <w:rPr>
                <w:rFonts w:ascii="GHEA Grapalat" w:hAnsi="GHEA Grapalat"/>
                <w:noProof/>
                <w:webHidden/>
                <w:sz w:val="20"/>
                <w:szCs w:val="20"/>
              </w:rPr>
              <w:fldChar w:fldCharType="separate"/>
            </w:r>
            <w:r w:rsidR="00A426AA" w:rsidRPr="009D765F">
              <w:rPr>
                <w:rFonts w:ascii="GHEA Grapalat" w:hAnsi="GHEA Grapalat"/>
                <w:noProof/>
                <w:webHidden/>
                <w:sz w:val="20"/>
                <w:szCs w:val="20"/>
              </w:rPr>
              <w:t>56</w:t>
            </w:r>
            <w:r w:rsidR="00A426AA" w:rsidRPr="009D765F">
              <w:rPr>
                <w:rFonts w:ascii="GHEA Grapalat" w:hAnsi="GHEA Grapalat"/>
                <w:noProof/>
                <w:webHidden/>
                <w:sz w:val="20"/>
                <w:szCs w:val="20"/>
              </w:rPr>
              <w:fldChar w:fldCharType="end"/>
            </w:r>
          </w:hyperlink>
        </w:p>
        <w:p w14:paraId="1D93A314" w14:textId="76C4EBA4" w:rsidR="00A426AA" w:rsidRPr="009D765F" w:rsidRDefault="0017075C" w:rsidP="009D765F">
          <w:pPr>
            <w:pStyle w:val="TOC20"/>
            <w:ind w:left="0"/>
            <w:rPr>
              <w:rFonts w:ascii="GHEA Grapalat" w:hAnsi="GHEA Grapalat"/>
              <w:b w:val="0"/>
              <w:color w:val="auto"/>
              <w:sz w:val="20"/>
              <w:szCs w:val="20"/>
              <w:lang w:val="en-US"/>
            </w:rPr>
          </w:pPr>
          <w:hyperlink w:anchor="_Toc215157676" w:history="1">
            <w:r w:rsidR="00A426AA" w:rsidRPr="009D765F">
              <w:rPr>
                <w:rStyle w:val="Hyperlink"/>
                <w:rFonts w:ascii="GHEA Grapalat" w:hAnsi="GHEA Grapalat"/>
                <w:b w:val="0"/>
                <w:sz w:val="20"/>
                <w:szCs w:val="20"/>
              </w:rPr>
              <w:t>1.6. ՀԱՄԵՄԱՏՈՒԹՅՈՒՆ ՆԱԽՈՐԴ ԿԱՆԽԱՏԵՍՈՒՄՆԵՐԻ ՀԵՏ</w:t>
            </w:r>
            <w:r w:rsidR="00A426AA" w:rsidRPr="009D765F">
              <w:rPr>
                <w:rFonts w:ascii="GHEA Grapalat" w:hAnsi="GHEA Grapalat"/>
                <w:b w:val="0"/>
                <w:webHidden/>
                <w:sz w:val="20"/>
                <w:szCs w:val="20"/>
              </w:rPr>
              <w:tab/>
            </w:r>
            <w:r w:rsidR="00A426AA" w:rsidRPr="009D765F">
              <w:rPr>
                <w:rFonts w:ascii="GHEA Grapalat" w:hAnsi="GHEA Grapalat"/>
                <w:b w:val="0"/>
                <w:webHidden/>
                <w:sz w:val="20"/>
                <w:szCs w:val="20"/>
              </w:rPr>
              <w:fldChar w:fldCharType="begin"/>
            </w:r>
            <w:r w:rsidR="00A426AA" w:rsidRPr="009D765F">
              <w:rPr>
                <w:rFonts w:ascii="GHEA Grapalat" w:hAnsi="GHEA Grapalat"/>
                <w:b w:val="0"/>
                <w:webHidden/>
                <w:sz w:val="20"/>
                <w:szCs w:val="20"/>
              </w:rPr>
              <w:instrText xml:space="preserve"> PAGEREF _Toc215157676 \h </w:instrText>
            </w:r>
            <w:r w:rsidR="00A426AA" w:rsidRPr="009D765F">
              <w:rPr>
                <w:rFonts w:ascii="GHEA Grapalat" w:hAnsi="GHEA Grapalat"/>
                <w:b w:val="0"/>
                <w:webHidden/>
                <w:sz w:val="20"/>
                <w:szCs w:val="20"/>
              </w:rPr>
            </w:r>
            <w:r w:rsidR="00A426AA" w:rsidRPr="009D765F">
              <w:rPr>
                <w:rFonts w:ascii="GHEA Grapalat" w:hAnsi="GHEA Grapalat"/>
                <w:b w:val="0"/>
                <w:webHidden/>
                <w:sz w:val="20"/>
                <w:szCs w:val="20"/>
              </w:rPr>
              <w:fldChar w:fldCharType="separate"/>
            </w:r>
            <w:r w:rsidR="00A426AA" w:rsidRPr="009D765F">
              <w:rPr>
                <w:rFonts w:ascii="GHEA Grapalat" w:hAnsi="GHEA Grapalat"/>
                <w:b w:val="0"/>
                <w:webHidden/>
                <w:sz w:val="20"/>
                <w:szCs w:val="20"/>
              </w:rPr>
              <w:t>58</w:t>
            </w:r>
            <w:r w:rsidR="00A426AA" w:rsidRPr="009D765F">
              <w:rPr>
                <w:rFonts w:ascii="GHEA Grapalat" w:hAnsi="GHEA Grapalat"/>
                <w:b w:val="0"/>
                <w:webHidden/>
                <w:sz w:val="20"/>
                <w:szCs w:val="20"/>
              </w:rPr>
              <w:fldChar w:fldCharType="end"/>
            </w:r>
          </w:hyperlink>
        </w:p>
        <w:p w14:paraId="43E3EE03" w14:textId="40995F68" w:rsidR="00A426AA" w:rsidRPr="009D765F" w:rsidRDefault="0017075C" w:rsidP="009D765F">
          <w:pPr>
            <w:pStyle w:val="TOC10"/>
            <w:rPr>
              <w:rFonts w:ascii="GHEA Grapalat" w:hAnsi="GHEA Grapalat"/>
              <w:b w:val="0"/>
              <w:color w:val="auto"/>
              <w:sz w:val="20"/>
              <w:szCs w:val="20"/>
              <w:lang w:val="en-US"/>
            </w:rPr>
          </w:pPr>
          <w:hyperlink w:anchor="_Toc215157677" w:history="1">
            <w:r w:rsidR="00A426AA" w:rsidRPr="009D765F">
              <w:rPr>
                <w:rStyle w:val="Hyperlink"/>
                <w:rFonts w:ascii="GHEA Grapalat" w:hAnsi="GHEA Grapalat"/>
                <w:b w:val="0"/>
                <w:sz w:val="20"/>
                <w:szCs w:val="20"/>
              </w:rPr>
              <w:t>ՄԱՍ I-Գ. ՀԱՐԿԱԲՅՈՒՋԵՏԱՅԻՆ ՔԱՂԱՔԱԿԱՆՈՒԹՅԱՆ ՀԻՄՆԱԿԱՆ ՈՒՂՂՈՒԹՅՈՒՆՆԵՐԸ ԵՎ ԿԱՆԽԱՏԵՍՈՒՄՆԵՐԸ</w:t>
            </w:r>
            <w:r w:rsidR="00A426AA" w:rsidRPr="009D765F">
              <w:rPr>
                <w:rFonts w:ascii="GHEA Grapalat" w:hAnsi="GHEA Grapalat"/>
                <w:b w:val="0"/>
                <w:webHidden/>
                <w:sz w:val="20"/>
                <w:szCs w:val="20"/>
              </w:rPr>
              <w:tab/>
            </w:r>
            <w:r w:rsidR="00A426AA" w:rsidRPr="009D765F">
              <w:rPr>
                <w:rFonts w:ascii="GHEA Grapalat" w:hAnsi="GHEA Grapalat"/>
                <w:b w:val="0"/>
                <w:webHidden/>
                <w:sz w:val="20"/>
                <w:szCs w:val="20"/>
              </w:rPr>
              <w:fldChar w:fldCharType="begin"/>
            </w:r>
            <w:r w:rsidR="00A426AA" w:rsidRPr="009D765F">
              <w:rPr>
                <w:rFonts w:ascii="GHEA Grapalat" w:hAnsi="GHEA Grapalat"/>
                <w:b w:val="0"/>
                <w:webHidden/>
                <w:sz w:val="20"/>
                <w:szCs w:val="20"/>
              </w:rPr>
              <w:instrText xml:space="preserve"> PAGEREF _Toc215157677 \h </w:instrText>
            </w:r>
            <w:r w:rsidR="00A426AA" w:rsidRPr="009D765F">
              <w:rPr>
                <w:rFonts w:ascii="GHEA Grapalat" w:hAnsi="GHEA Grapalat"/>
                <w:b w:val="0"/>
                <w:webHidden/>
                <w:sz w:val="20"/>
                <w:szCs w:val="20"/>
              </w:rPr>
            </w:r>
            <w:r w:rsidR="00A426AA" w:rsidRPr="009D765F">
              <w:rPr>
                <w:rFonts w:ascii="GHEA Grapalat" w:hAnsi="GHEA Grapalat"/>
                <w:b w:val="0"/>
                <w:webHidden/>
                <w:sz w:val="20"/>
                <w:szCs w:val="20"/>
              </w:rPr>
              <w:fldChar w:fldCharType="separate"/>
            </w:r>
            <w:r w:rsidR="00A426AA" w:rsidRPr="009D765F">
              <w:rPr>
                <w:rFonts w:ascii="GHEA Grapalat" w:hAnsi="GHEA Grapalat"/>
                <w:b w:val="0"/>
                <w:webHidden/>
                <w:sz w:val="20"/>
                <w:szCs w:val="20"/>
              </w:rPr>
              <w:t>60</w:t>
            </w:r>
            <w:r w:rsidR="00A426AA" w:rsidRPr="009D765F">
              <w:rPr>
                <w:rFonts w:ascii="GHEA Grapalat" w:hAnsi="GHEA Grapalat"/>
                <w:b w:val="0"/>
                <w:webHidden/>
                <w:sz w:val="20"/>
                <w:szCs w:val="20"/>
              </w:rPr>
              <w:fldChar w:fldCharType="end"/>
            </w:r>
          </w:hyperlink>
        </w:p>
        <w:p w14:paraId="1A2EC854" w14:textId="322F8363" w:rsidR="00A426AA" w:rsidRPr="009D765F" w:rsidRDefault="0017075C" w:rsidP="009D765F">
          <w:pPr>
            <w:pStyle w:val="TOC20"/>
            <w:ind w:left="0"/>
            <w:rPr>
              <w:rFonts w:ascii="GHEA Grapalat" w:hAnsi="GHEA Grapalat"/>
              <w:b w:val="0"/>
              <w:color w:val="auto"/>
              <w:sz w:val="20"/>
              <w:szCs w:val="20"/>
              <w:lang w:val="en-US"/>
            </w:rPr>
          </w:pPr>
          <w:hyperlink w:anchor="_Toc215157678" w:history="1">
            <w:r w:rsidR="00A426AA" w:rsidRPr="009D765F">
              <w:rPr>
                <w:rStyle w:val="Hyperlink"/>
                <w:rFonts w:ascii="GHEA Grapalat" w:hAnsi="GHEA Grapalat"/>
                <w:b w:val="0"/>
                <w:sz w:val="20"/>
                <w:szCs w:val="20"/>
              </w:rPr>
              <w:t>2.1. ՀԱՐԿԱԲՅՈՒՋԵՏԱՅԻՆ ԸՆԴՀԱՆՈՒՐ ԱԿՆԱՐԿ ԵՎ ՀԱՐԿԱԲՅՈՒՋԵՏԱՅԻՆ ՇՐՋԱՆԱԿ</w:t>
            </w:r>
            <w:r w:rsidR="00A426AA" w:rsidRPr="009D765F">
              <w:rPr>
                <w:rFonts w:ascii="GHEA Grapalat" w:hAnsi="GHEA Grapalat"/>
                <w:b w:val="0"/>
                <w:webHidden/>
                <w:sz w:val="20"/>
                <w:szCs w:val="20"/>
              </w:rPr>
              <w:tab/>
            </w:r>
            <w:r w:rsidR="00A426AA" w:rsidRPr="009D765F">
              <w:rPr>
                <w:rFonts w:ascii="GHEA Grapalat" w:hAnsi="GHEA Grapalat"/>
                <w:b w:val="0"/>
                <w:webHidden/>
                <w:sz w:val="20"/>
                <w:szCs w:val="20"/>
              </w:rPr>
              <w:fldChar w:fldCharType="begin"/>
            </w:r>
            <w:r w:rsidR="00A426AA" w:rsidRPr="009D765F">
              <w:rPr>
                <w:rFonts w:ascii="GHEA Grapalat" w:hAnsi="GHEA Grapalat"/>
                <w:b w:val="0"/>
                <w:webHidden/>
                <w:sz w:val="20"/>
                <w:szCs w:val="20"/>
              </w:rPr>
              <w:instrText xml:space="preserve"> PAGEREF _Toc215157678 \h </w:instrText>
            </w:r>
            <w:r w:rsidR="00A426AA" w:rsidRPr="009D765F">
              <w:rPr>
                <w:rFonts w:ascii="GHEA Grapalat" w:hAnsi="GHEA Grapalat"/>
                <w:b w:val="0"/>
                <w:webHidden/>
                <w:sz w:val="20"/>
                <w:szCs w:val="20"/>
              </w:rPr>
            </w:r>
            <w:r w:rsidR="00A426AA" w:rsidRPr="009D765F">
              <w:rPr>
                <w:rFonts w:ascii="GHEA Grapalat" w:hAnsi="GHEA Grapalat"/>
                <w:b w:val="0"/>
                <w:webHidden/>
                <w:sz w:val="20"/>
                <w:szCs w:val="20"/>
              </w:rPr>
              <w:fldChar w:fldCharType="separate"/>
            </w:r>
            <w:r w:rsidR="00A426AA" w:rsidRPr="009D765F">
              <w:rPr>
                <w:rFonts w:ascii="GHEA Grapalat" w:hAnsi="GHEA Grapalat"/>
                <w:b w:val="0"/>
                <w:webHidden/>
                <w:sz w:val="20"/>
                <w:szCs w:val="20"/>
              </w:rPr>
              <w:t>60</w:t>
            </w:r>
            <w:r w:rsidR="00A426AA" w:rsidRPr="009D765F">
              <w:rPr>
                <w:rFonts w:ascii="GHEA Grapalat" w:hAnsi="GHEA Grapalat"/>
                <w:b w:val="0"/>
                <w:webHidden/>
                <w:sz w:val="20"/>
                <w:szCs w:val="20"/>
              </w:rPr>
              <w:fldChar w:fldCharType="end"/>
            </w:r>
          </w:hyperlink>
        </w:p>
        <w:p w14:paraId="0FC7ECD3" w14:textId="7D8C99AB" w:rsidR="00A426AA" w:rsidRPr="009D765F" w:rsidRDefault="0017075C" w:rsidP="009D765F">
          <w:pPr>
            <w:pStyle w:val="TOC20"/>
            <w:ind w:left="0"/>
            <w:rPr>
              <w:rFonts w:ascii="GHEA Grapalat" w:hAnsi="GHEA Grapalat"/>
              <w:b w:val="0"/>
              <w:color w:val="auto"/>
              <w:sz w:val="20"/>
              <w:szCs w:val="20"/>
              <w:lang w:val="en-US"/>
            </w:rPr>
          </w:pPr>
          <w:hyperlink w:anchor="_Toc215157679" w:history="1">
            <w:r w:rsidR="00A426AA" w:rsidRPr="009D765F">
              <w:rPr>
                <w:rStyle w:val="Hyperlink"/>
                <w:rFonts w:ascii="GHEA Grapalat" w:hAnsi="GHEA Grapalat"/>
                <w:b w:val="0"/>
                <w:sz w:val="20"/>
                <w:szCs w:val="20"/>
              </w:rPr>
              <w:t>2.2. ՀԱՐԿԱԲՅՈՒՋԵՏԱՅԻՆ ՔԱՂԱՔԱԿԱՆՈՒԹՅԱՆ ՄԻՏՈՒՄՆԵՐԸ ԵՎ ԿԱՆԽԱՏԵՍՈՒՄՆԵՐԸ</w:t>
            </w:r>
            <w:r w:rsidR="00A426AA" w:rsidRPr="009D765F">
              <w:rPr>
                <w:rFonts w:ascii="GHEA Grapalat" w:hAnsi="GHEA Grapalat"/>
                <w:b w:val="0"/>
                <w:webHidden/>
                <w:sz w:val="20"/>
                <w:szCs w:val="20"/>
              </w:rPr>
              <w:tab/>
            </w:r>
            <w:r w:rsidR="00A426AA" w:rsidRPr="009D765F">
              <w:rPr>
                <w:rFonts w:ascii="GHEA Grapalat" w:hAnsi="GHEA Grapalat"/>
                <w:b w:val="0"/>
                <w:webHidden/>
                <w:sz w:val="20"/>
                <w:szCs w:val="20"/>
              </w:rPr>
              <w:fldChar w:fldCharType="begin"/>
            </w:r>
            <w:r w:rsidR="00A426AA" w:rsidRPr="009D765F">
              <w:rPr>
                <w:rFonts w:ascii="GHEA Grapalat" w:hAnsi="GHEA Grapalat"/>
                <w:b w:val="0"/>
                <w:webHidden/>
                <w:sz w:val="20"/>
                <w:szCs w:val="20"/>
              </w:rPr>
              <w:instrText xml:space="preserve"> PAGEREF _Toc215157679 \h </w:instrText>
            </w:r>
            <w:r w:rsidR="00A426AA" w:rsidRPr="009D765F">
              <w:rPr>
                <w:rFonts w:ascii="GHEA Grapalat" w:hAnsi="GHEA Grapalat"/>
                <w:b w:val="0"/>
                <w:webHidden/>
                <w:sz w:val="20"/>
                <w:szCs w:val="20"/>
              </w:rPr>
            </w:r>
            <w:r w:rsidR="00A426AA" w:rsidRPr="009D765F">
              <w:rPr>
                <w:rFonts w:ascii="GHEA Grapalat" w:hAnsi="GHEA Grapalat"/>
                <w:b w:val="0"/>
                <w:webHidden/>
                <w:sz w:val="20"/>
                <w:szCs w:val="20"/>
              </w:rPr>
              <w:fldChar w:fldCharType="separate"/>
            </w:r>
            <w:r w:rsidR="00A426AA" w:rsidRPr="009D765F">
              <w:rPr>
                <w:rFonts w:ascii="GHEA Grapalat" w:hAnsi="GHEA Grapalat"/>
                <w:b w:val="0"/>
                <w:webHidden/>
                <w:sz w:val="20"/>
                <w:szCs w:val="20"/>
              </w:rPr>
              <w:t>63</w:t>
            </w:r>
            <w:r w:rsidR="00A426AA" w:rsidRPr="009D765F">
              <w:rPr>
                <w:rFonts w:ascii="GHEA Grapalat" w:hAnsi="GHEA Grapalat"/>
                <w:b w:val="0"/>
                <w:webHidden/>
                <w:sz w:val="20"/>
                <w:szCs w:val="20"/>
              </w:rPr>
              <w:fldChar w:fldCharType="end"/>
            </w:r>
          </w:hyperlink>
        </w:p>
        <w:p w14:paraId="03D517DF" w14:textId="31CA0195" w:rsidR="00A426AA" w:rsidRPr="009D765F" w:rsidRDefault="0017075C" w:rsidP="009D765F">
          <w:pPr>
            <w:pStyle w:val="TOC20"/>
            <w:ind w:left="0"/>
            <w:rPr>
              <w:rFonts w:ascii="GHEA Grapalat" w:hAnsi="GHEA Grapalat"/>
              <w:b w:val="0"/>
              <w:color w:val="auto"/>
              <w:sz w:val="20"/>
              <w:szCs w:val="20"/>
              <w:lang w:val="en-US"/>
            </w:rPr>
          </w:pPr>
          <w:hyperlink w:anchor="_Toc215157680" w:history="1">
            <w:r w:rsidR="00A426AA" w:rsidRPr="009D765F">
              <w:rPr>
                <w:rStyle w:val="Hyperlink"/>
                <w:rFonts w:ascii="GHEA Grapalat" w:hAnsi="GHEA Grapalat"/>
                <w:b w:val="0"/>
                <w:sz w:val="20"/>
                <w:szCs w:val="20"/>
              </w:rPr>
              <w:t>2.3. ՀԱՐԿԱԲՅՈՒՋԵՏԱՅԻՆ ՌԻՍԿԵՐ</w:t>
            </w:r>
            <w:r w:rsidR="00A426AA" w:rsidRPr="009D765F">
              <w:rPr>
                <w:rFonts w:ascii="GHEA Grapalat" w:hAnsi="GHEA Grapalat"/>
                <w:b w:val="0"/>
                <w:webHidden/>
                <w:sz w:val="20"/>
                <w:szCs w:val="20"/>
              </w:rPr>
              <w:tab/>
            </w:r>
            <w:r w:rsidR="00A426AA" w:rsidRPr="009D765F">
              <w:rPr>
                <w:rFonts w:ascii="GHEA Grapalat" w:hAnsi="GHEA Grapalat"/>
                <w:b w:val="0"/>
                <w:webHidden/>
                <w:sz w:val="20"/>
                <w:szCs w:val="20"/>
              </w:rPr>
              <w:fldChar w:fldCharType="begin"/>
            </w:r>
            <w:r w:rsidR="00A426AA" w:rsidRPr="009D765F">
              <w:rPr>
                <w:rFonts w:ascii="GHEA Grapalat" w:hAnsi="GHEA Grapalat"/>
                <w:b w:val="0"/>
                <w:webHidden/>
                <w:sz w:val="20"/>
                <w:szCs w:val="20"/>
              </w:rPr>
              <w:instrText xml:space="preserve"> PAGEREF _Toc215157680 \h </w:instrText>
            </w:r>
            <w:r w:rsidR="00A426AA" w:rsidRPr="009D765F">
              <w:rPr>
                <w:rFonts w:ascii="GHEA Grapalat" w:hAnsi="GHEA Grapalat"/>
                <w:b w:val="0"/>
                <w:webHidden/>
                <w:sz w:val="20"/>
                <w:szCs w:val="20"/>
              </w:rPr>
            </w:r>
            <w:r w:rsidR="00A426AA" w:rsidRPr="009D765F">
              <w:rPr>
                <w:rFonts w:ascii="GHEA Grapalat" w:hAnsi="GHEA Grapalat"/>
                <w:b w:val="0"/>
                <w:webHidden/>
                <w:sz w:val="20"/>
                <w:szCs w:val="20"/>
              </w:rPr>
              <w:fldChar w:fldCharType="separate"/>
            </w:r>
            <w:r w:rsidR="00A426AA" w:rsidRPr="009D765F">
              <w:rPr>
                <w:rFonts w:ascii="GHEA Grapalat" w:hAnsi="GHEA Grapalat"/>
                <w:b w:val="0"/>
                <w:webHidden/>
                <w:sz w:val="20"/>
                <w:szCs w:val="20"/>
              </w:rPr>
              <w:t>70</w:t>
            </w:r>
            <w:r w:rsidR="00A426AA" w:rsidRPr="009D765F">
              <w:rPr>
                <w:rFonts w:ascii="GHEA Grapalat" w:hAnsi="GHEA Grapalat"/>
                <w:b w:val="0"/>
                <w:webHidden/>
                <w:sz w:val="20"/>
                <w:szCs w:val="20"/>
              </w:rPr>
              <w:fldChar w:fldCharType="end"/>
            </w:r>
          </w:hyperlink>
        </w:p>
        <w:p w14:paraId="210188DA" w14:textId="1CC3F03B" w:rsidR="00A426AA" w:rsidRPr="009D765F" w:rsidRDefault="0017075C" w:rsidP="009D765F">
          <w:pPr>
            <w:pStyle w:val="TOC20"/>
            <w:ind w:left="0"/>
            <w:rPr>
              <w:rFonts w:ascii="GHEA Grapalat" w:hAnsi="GHEA Grapalat"/>
              <w:b w:val="0"/>
              <w:color w:val="auto"/>
              <w:sz w:val="20"/>
              <w:szCs w:val="20"/>
              <w:lang w:val="en-US"/>
            </w:rPr>
          </w:pPr>
          <w:hyperlink w:anchor="_Toc215157681" w:history="1">
            <w:r w:rsidR="00A426AA" w:rsidRPr="009D765F">
              <w:rPr>
                <w:rStyle w:val="Hyperlink"/>
                <w:rFonts w:ascii="GHEA Grapalat" w:hAnsi="GHEA Grapalat"/>
                <w:b w:val="0"/>
                <w:sz w:val="20"/>
                <w:szCs w:val="20"/>
              </w:rPr>
              <w:t xml:space="preserve">2.4. ՀԱՐԿԱԲՅՈՒՋԵՏԱՅԻՆ ՔԱՂԱՔԱԿԱՆՈՒԹՅԱՆ ՀԱՄԱՊԱՏԱՍԽԱՆՈՒԹՅՈՒՆԸ </w:t>
            </w:r>
            <w:r w:rsidR="009D765F">
              <w:rPr>
                <w:rStyle w:val="Hyperlink"/>
                <w:rFonts w:ascii="GHEA Grapalat" w:hAnsi="GHEA Grapalat"/>
                <w:b w:val="0"/>
                <w:sz w:val="20"/>
                <w:szCs w:val="20"/>
                <w:lang w:val="en-US"/>
              </w:rPr>
              <w:t xml:space="preserve">   </w:t>
            </w:r>
            <w:r w:rsidR="00A426AA" w:rsidRPr="009D765F">
              <w:rPr>
                <w:rStyle w:val="Hyperlink"/>
                <w:rFonts w:ascii="GHEA Grapalat" w:hAnsi="GHEA Grapalat"/>
                <w:b w:val="0"/>
                <w:sz w:val="20"/>
                <w:szCs w:val="20"/>
              </w:rPr>
              <w:t>ՀԱՐԿԱԲՅՈՒՋԵՏԱՅԻՆ ԿԱՆՈՆՆԵՐԻՆ</w:t>
            </w:r>
            <w:r w:rsidR="00A426AA" w:rsidRPr="009D765F">
              <w:rPr>
                <w:rFonts w:ascii="GHEA Grapalat" w:hAnsi="GHEA Grapalat"/>
                <w:b w:val="0"/>
                <w:webHidden/>
                <w:sz w:val="20"/>
                <w:szCs w:val="20"/>
              </w:rPr>
              <w:tab/>
            </w:r>
            <w:r w:rsidR="00A426AA" w:rsidRPr="009D765F">
              <w:rPr>
                <w:rFonts w:ascii="GHEA Grapalat" w:hAnsi="GHEA Grapalat"/>
                <w:b w:val="0"/>
                <w:webHidden/>
                <w:sz w:val="20"/>
                <w:szCs w:val="20"/>
              </w:rPr>
              <w:fldChar w:fldCharType="begin"/>
            </w:r>
            <w:r w:rsidR="00A426AA" w:rsidRPr="009D765F">
              <w:rPr>
                <w:rFonts w:ascii="GHEA Grapalat" w:hAnsi="GHEA Grapalat"/>
                <w:b w:val="0"/>
                <w:webHidden/>
                <w:sz w:val="20"/>
                <w:szCs w:val="20"/>
              </w:rPr>
              <w:instrText xml:space="preserve"> PAGEREF _Toc215157681 \h </w:instrText>
            </w:r>
            <w:r w:rsidR="00A426AA" w:rsidRPr="009D765F">
              <w:rPr>
                <w:rFonts w:ascii="GHEA Grapalat" w:hAnsi="GHEA Grapalat"/>
                <w:b w:val="0"/>
                <w:webHidden/>
                <w:sz w:val="20"/>
                <w:szCs w:val="20"/>
              </w:rPr>
            </w:r>
            <w:r w:rsidR="00A426AA" w:rsidRPr="009D765F">
              <w:rPr>
                <w:rFonts w:ascii="GHEA Grapalat" w:hAnsi="GHEA Grapalat"/>
                <w:b w:val="0"/>
                <w:webHidden/>
                <w:sz w:val="20"/>
                <w:szCs w:val="20"/>
              </w:rPr>
              <w:fldChar w:fldCharType="separate"/>
            </w:r>
            <w:r w:rsidR="00A426AA" w:rsidRPr="009D765F">
              <w:rPr>
                <w:rFonts w:ascii="GHEA Grapalat" w:hAnsi="GHEA Grapalat"/>
                <w:b w:val="0"/>
                <w:webHidden/>
                <w:sz w:val="20"/>
                <w:szCs w:val="20"/>
              </w:rPr>
              <w:t>73</w:t>
            </w:r>
            <w:r w:rsidR="00A426AA" w:rsidRPr="009D765F">
              <w:rPr>
                <w:rFonts w:ascii="GHEA Grapalat" w:hAnsi="GHEA Grapalat"/>
                <w:b w:val="0"/>
                <w:webHidden/>
                <w:sz w:val="20"/>
                <w:szCs w:val="20"/>
              </w:rPr>
              <w:fldChar w:fldCharType="end"/>
            </w:r>
          </w:hyperlink>
        </w:p>
        <w:p w14:paraId="52EBC792" w14:textId="7F19589A" w:rsidR="00A426AA" w:rsidRPr="009D765F" w:rsidRDefault="0017075C" w:rsidP="009D765F">
          <w:pPr>
            <w:pStyle w:val="TOC20"/>
            <w:tabs>
              <w:tab w:val="clear" w:pos="9736"/>
            </w:tabs>
            <w:ind w:left="0"/>
            <w:rPr>
              <w:rFonts w:ascii="GHEA Grapalat" w:hAnsi="GHEA Grapalat"/>
              <w:b w:val="0"/>
              <w:color w:val="auto"/>
              <w:sz w:val="20"/>
              <w:szCs w:val="20"/>
              <w:lang w:val="en-US"/>
            </w:rPr>
          </w:pPr>
          <w:hyperlink w:anchor="_Toc215157682" w:history="1">
            <w:r w:rsidR="00A426AA" w:rsidRPr="009D765F">
              <w:rPr>
                <w:rStyle w:val="Hyperlink"/>
                <w:rFonts w:ascii="GHEA Grapalat" w:hAnsi="GHEA Grapalat"/>
                <w:b w:val="0"/>
                <w:sz w:val="20"/>
                <w:szCs w:val="20"/>
              </w:rPr>
              <w:t>2.5. ՊԵՏԱԿԱՆ ԲՅՈՒՋԵԻ ՑՈՒՑԱՆԻՇՆԵՐԻ ԿԱՆԽԱՏԵՍՈՒՄՆԵՐԻ ՀԱՄԵՄԱՏԱԿԱՆ ԱՂՅՈՒՍԱԿՆԵՐ</w:t>
            </w:r>
            <w:r w:rsidR="009D765F">
              <w:rPr>
                <w:rStyle w:val="Hyperlink"/>
                <w:rFonts w:ascii="GHEA Grapalat" w:hAnsi="GHEA Grapalat"/>
                <w:b w:val="0"/>
                <w:sz w:val="20"/>
                <w:szCs w:val="20"/>
                <w:lang w:val="en-US"/>
              </w:rPr>
              <w:t>.</w:t>
            </w:r>
            <w:r w:rsidR="00A426AA" w:rsidRPr="009D765F">
              <w:rPr>
                <w:rFonts w:ascii="GHEA Grapalat" w:hAnsi="GHEA Grapalat"/>
                <w:b w:val="0"/>
                <w:webHidden/>
                <w:sz w:val="20"/>
                <w:szCs w:val="20"/>
              </w:rPr>
              <w:fldChar w:fldCharType="begin"/>
            </w:r>
            <w:r w:rsidR="00A426AA" w:rsidRPr="009D765F">
              <w:rPr>
                <w:rFonts w:ascii="GHEA Grapalat" w:hAnsi="GHEA Grapalat"/>
                <w:b w:val="0"/>
                <w:webHidden/>
                <w:sz w:val="20"/>
                <w:szCs w:val="20"/>
              </w:rPr>
              <w:instrText xml:space="preserve"> PAGEREF _Toc215157682 \h </w:instrText>
            </w:r>
            <w:r w:rsidR="00A426AA" w:rsidRPr="009D765F">
              <w:rPr>
                <w:rFonts w:ascii="GHEA Grapalat" w:hAnsi="GHEA Grapalat"/>
                <w:b w:val="0"/>
                <w:webHidden/>
                <w:sz w:val="20"/>
                <w:szCs w:val="20"/>
              </w:rPr>
            </w:r>
            <w:r w:rsidR="00A426AA" w:rsidRPr="009D765F">
              <w:rPr>
                <w:rFonts w:ascii="GHEA Grapalat" w:hAnsi="GHEA Grapalat"/>
                <w:b w:val="0"/>
                <w:webHidden/>
                <w:sz w:val="20"/>
                <w:szCs w:val="20"/>
              </w:rPr>
              <w:fldChar w:fldCharType="separate"/>
            </w:r>
            <w:r w:rsidR="00A426AA" w:rsidRPr="009D765F">
              <w:rPr>
                <w:rFonts w:ascii="GHEA Grapalat" w:hAnsi="GHEA Grapalat"/>
                <w:b w:val="0"/>
                <w:webHidden/>
                <w:sz w:val="20"/>
                <w:szCs w:val="20"/>
              </w:rPr>
              <w:t>77</w:t>
            </w:r>
            <w:r w:rsidR="00A426AA" w:rsidRPr="009D765F">
              <w:rPr>
                <w:rFonts w:ascii="GHEA Grapalat" w:hAnsi="GHEA Grapalat"/>
                <w:b w:val="0"/>
                <w:webHidden/>
                <w:sz w:val="20"/>
                <w:szCs w:val="20"/>
              </w:rPr>
              <w:fldChar w:fldCharType="end"/>
            </w:r>
          </w:hyperlink>
        </w:p>
        <w:p w14:paraId="3A54049B" w14:textId="0EDD3B8C" w:rsidR="00A426AA" w:rsidRPr="009D765F" w:rsidRDefault="0017075C" w:rsidP="009D765F">
          <w:pPr>
            <w:pStyle w:val="TOC10"/>
            <w:rPr>
              <w:rFonts w:ascii="GHEA Grapalat" w:hAnsi="GHEA Grapalat"/>
              <w:b w:val="0"/>
              <w:color w:val="auto"/>
              <w:sz w:val="20"/>
              <w:szCs w:val="20"/>
              <w:lang w:val="en-US"/>
            </w:rPr>
          </w:pPr>
          <w:hyperlink w:anchor="_Toc215157683" w:history="1">
            <w:r w:rsidR="00A426AA" w:rsidRPr="009D765F">
              <w:rPr>
                <w:rStyle w:val="Hyperlink"/>
                <w:rFonts w:ascii="GHEA Grapalat" w:hAnsi="GHEA Grapalat"/>
                <w:b w:val="0"/>
                <w:sz w:val="20"/>
                <w:szCs w:val="20"/>
              </w:rPr>
              <w:t>ՄԱՍ II -Ա ՊԵՏԱԿԱՆ ԲՅՈՒՋԵԻ ՑՈՒՑԱՆԻՇՆԵՐԻ ԿԱՆԽԱՏԵՍՈՒՄՆԵՐԸ</w:t>
            </w:r>
            <w:r w:rsidR="00A426AA" w:rsidRPr="009D765F">
              <w:rPr>
                <w:rFonts w:ascii="GHEA Grapalat" w:hAnsi="GHEA Grapalat"/>
                <w:b w:val="0"/>
                <w:webHidden/>
                <w:sz w:val="20"/>
                <w:szCs w:val="20"/>
              </w:rPr>
              <w:tab/>
            </w:r>
            <w:r w:rsidR="00A426AA" w:rsidRPr="009D765F">
              <w:rPr>
                <w:rFonts w:ascii="GHEA Grapalat" w:hAnsi="GHEA Grapalat"/>
                <w:b w:val="0"/>
                <w:webHidden/>
                <w:sz w:val="20"/>
                <w:szCs w:val="20"/>
              </w:rPr>
              <w:fldChar w:fldCharType="begin"/>
            </w:r>
            <w:r w:rsidR="00A426AA" w:rsidRPr="009D765F">
              <w:rPr>
                <w:rFonts w:ascii="GHEA Grapalat" w:hAnsi="GHEA Grapalat"/>
                <w:b w:val="0"/>
                <w:webHidden/>
                <w:sz w:val="20"/>
                <w:szCs w:val="20"/>
              </w:rPr>
              <w:instrText xml:space="preserve"> PAGEREF _Toc215157683 \h </w:instrText>
            </w:r>
            <w:r w:rsidR="00A426AA" w:rsidRPr="009D765F">
              <w:rPr>
                <w:rFonts w:ascii="GHEA Grapalat" w:hAnsi="GHEA Grapalat"/>
                <w:b w:val="0"/>
                <w:webHidden/>
                <w:sz w:val="20"/>
                <w:szCs w:val="20"/>
              </w:rPr>
            </w:r>
            <w:r w:rsidR="00A426AA" w:rsidRPr="009D765F">
              <w:rPr>
                <w:rFonts w:ascii="GHEA Grapalat" w:hAnsi="GHEA Grapalat"/>
                <w:b w:val="0"/>
                <w:webHidden/>
                <w:sz w:val="20"/>
                <w:szCs w:val="20"/>
              </w:rPr>
              <w:fldChar w:fldCharType="separate"/>
            </w:r>
            <w:r w:rsidR="00A426AA" w:rsidRPr="009D765F">
              <w:rPr>
                <w:rFonts w:ascii="GHEA Grapalat" w:hAnsi="GHEA Grapalat"/>
                <w:b w:val="0"/>
                <w:webHidden/>
                <w:sz w:val="20"/>
                <w:szCs w:val="20"/>
              </w:rPr>
              <w:t>82</w:t>
            </w:r>
            <w:r w:rsidR="00A426AA" w:rsidRPr="009D765F">
              <w:rPr>
                <w:rFonts w:ascii="GHEA Grapalat" w:hAnsi="GHEA Grapalat"/>
                <w:b w:val="0"/>
                <w:webHidden/>
                <w:sz w:val="20"/>
                <w:szCs w:val="20"/>
              </w:rPr>
              <w:fldChar w:fldCharType="end"/>
            </w:r>
          </w:hyperlink>
        </w:p>
        <w:p w14:paraId="44417C9C" w14:textId="5F85F068" w:rsidR="00A426AA" w:rsidRPr="009D765F" w:rsidRDefault="0017075C" w:rsidP="009D765F">
          <w:pPr>
            <w:pStyle w:val="TOC20"/>
            <w:ind w:left="0"/>
            <w:rPr>
              <w:rFonts w:ascii="GHEA Grapalat" w:hAnsi="GHEA Grapalat"/>
              <w:b w:val="0"/>
              <w:color w:val="auto"/>
              <w:sz w:val="20"/>
              <w:szCs w:val="20"/>
              <w:lang w:val="en-US"/>
            </w:rPr>
          </w:pPr>
          <w:hyperlink w:anchor="_Toc215157684" w:history="1">
            <w:r w:rsidR="00A426AA" w:rsidRPr="009D765F">
              <w:rPr>
                <w:rStyle w:val="Hyperlink"/>
                <w:rFonts w:ascii="GHEA Grapalat" w:hAnsi="GHEA Grapalat"/>
                <w:b w:val="0"/>
                <w:sz w:val="20"/>
                <w:szCs w:val="20"/>
              </w:rPr>
              <w:t>ՀԱՐԿԱԲՅՈՒՋԵՏԱՅԻՆ ՍԿԶԲՈՒՆՔՆԵՐԸ ԵՎ ՑՈՒՑԱՆԻՇՆԵՐԸ</w:t>
            </w:r>
            <w:r w:rsidR="00A426AA" w:rsidRPr="009D765F">
              <w:rPr>
                <w:rFonts w:ascii="GHEA Grapalat" w:hAnsi="GHEA Grapalat"/>
                <w:b w:val="0"/>
                <w:webHidden/>
                <w:sz w:val="20"/>
                <w:szCs w:val="20"/>
              </w:rPr>
              <w:tab/>
            </w:r>
            <w:r w:rsidR="00A426AA" w:rsidRPr="009D765F">
              <w:rPr>
                <w:rFonts w:ascii="GHEA Grapalat" w:hAnsi="GHEA Grapalat"/>
                <w:b w:val="0"/>
                <w:webHidden/>
                <w:sz w:val="20"/>
                <w:szCs w:val="20"/>
              </w:rPr>
              <w:fldChar w:fldCharType="begin"/>
            </w:r>
            <w:r w:rsidR="00A426AA" w:rsidRPr="009D765F">
              <w:rPr>
                <w:rFonts w:ascii="GHEA Grapalat" w:hAnsi="GHEA Grapalat"/>
                <w:b w:val="0"/>
                <w:webHidden/>
                <w:sz w:val="20"/>
                <w:szCs w:val="20"/>
              </w:rPr>
              <w:instrText xml:space="preserve"> PAGEREF _Toc215157684 \h </w:instrText>
            </w:r>
            <w:r w:rsidR="00A426AA" w:rsidRPr="009D765F">
              <w:rPr>
                <w:rFonts w:ascii="GHEA Grapalat" w:hAnsi="GHEA Grapalat"/>
                <w:b w:val="0"/>
                <w:webHidden/>
                <w:sz w:val="20"/>
                <w:szCs w:val="20"/>
              </w:rPr>
            </w:r>
            <w:r w:rsidR="00A426AA" w:rsidRPr="009D765F">
              <w:rPr>
                <w:rFonts w:ascii="GHEA Grapalat" w:hAnsi="GHEA Grapalat"/>
                <w:b w:val="0"/>
                <w:webHidden/>
                <w:sz w:val="20"/>
                <w:szCs w:val="20"/>
              </w:rPr>
              <w:fldChar w:fldCharType="separate"/>
            </w:r>
            <w:r w:rsidR="00A426AA" w:rsidRPr="009D765F">
              <w:rPr>
                <w:rFonts w:ascii="GHEA Grapalat" w:hAnsi="GHEA Grapalat"/>
                <w:b w:val="0"/>
                <w:webHidden/>
                <w:sz w:val="20"/>
                <w:szCs w:val="20"/>
              </w:rPr>
              <w:t>82</w:t>
            </w:r>
            <w:r w:rsidR="00A426AA" w:rsidRPr="009D765F">
              <w:rPr>
                <w:rFonts w:ascii="GHEA Grapalat" w:hAnsi="GHEA Grapalat"/>
                <w:b w:val="0"/>
                <w:webHidden/>
                <w:sz w:val="20"/>
                <w:szCs w:val="20"/>
              </w:rPr>
              <w:fldChar w:fldCharType="end"/>
            </w:r>
          </w:hyperlink>
        </w:p>
        <w:p w14:paraId="1F563F65" w14:textId="4FF6CE17" w:rsidR="00A426AA" w:rsidRPr="009D765F" w:rsidRDefault="0017075C" w:rsidP="009D765F">
          <w:pPr>
            <w:pStyle w:val="TOC20"/>
            <w:ind w:left="0"/>
            <w:rPr>
              <w:rFonts w:ascii="GHEA Grapalat" w:hAnsi="GHEA Grapalat"/>
              <w:b w:val="0"/>
              <w:color w:val="auto"/>
              <w:sz w:val="20"/>
              <w:szCs w:val="20"/>
              <w:lang w:val="en-US"/>
            </w:rPr>
          </w:pPr>
          <w:hyperlink w:anchor="_Toc215157685" w:history="1">
            <w:r w:rsidR="00A426AA" w:rsidRPr="009D765F">
              <w:rPr>
                <w:rStyle w:val="Hyperlink"/>
                <w:rFonts w:ascii="GHEA Grapalat" w:hAnsi="GHEA Grapalat"/>
                <w:b w:val="0"/>
                <w:sz w:val="20"/>
                <w:szCs w:val="20"/>
              </w:rPr>
              <w:t>2026 ԹՎԱԿԱՆԻ ԾԱԽՍԵՐԸ ԵՎ ԳԵՐԱԿԱՅՈՒԹՅՈՒՆՆԵՐԸ</w:t>
            </w:r>
            <w:r w:rsidR="00A426AA" w:rsidRPr="009D765F">
              <w:rPr>
                <w:rFonts w:ascii="GHEA Grapalat" w:hAnsi="GHEA Grapalat"/>
                <w:b w:val="0"/>
                <w:webHidden/>
                <w:sz w:val="20"/>
                <w:szCs w:val="20"/>
              </w:rPr>
              <w:tab/>
            </w:r>
            <w:r w:rsidR="00A426AA" w:rsidRPr="009D765F">
              <w:rPr>
                <w:rFonts w:ascii="GHEA Grapalat" w:hAnsi="GHEA Grapalat"/>
                <w:b w:val="0"/>
                <w:webHidden/>
                <w:sz w:val="20"/>
                <w:szCs w:val="20"/>
              </w:rPr>
              <w:fldChar w:fldCharType="begin"/>
            </w:r>
            <w:r w:rsidR="00A426AA" w:rsidRPr="009D765F">
              <w:rPr>
                <w:rFonts w:ascii="GHEA Grapalat" w:hAnsi="GHEA Grapalat"/>
                <w:b w:val="0"/>
                <w:webHidden/>
                <w:sz w:val="20"/>
                <w:szCs w:val="20"/>
              </w:rPr>
              <w:instrText xml:space="preserve"> PAGEREF _Toc215157685 \h </w:instrText>
            </w:r>
            <w:r w:rsidR="00A426AA" w:rsidRPr="009D765F">
              <w:rPr>
                <w:rFonts w:ascii="GHEA Grapalat" w:hAnsi="GHEA Grapalat"/>
                <w:b w:val="0"/>
                <w:webHidden/>
                <w:sz w:val="20"/>
                <w:szCs w:val="20"/>
              </w:rPr>
            </w:r>
            <w:r w:rsidR="00A426AA" w:rsidRPr="009D765F">
              <w:rPr>
                <w:rFonts w:ascii="GHEA Grapalat" w:hAnsi="GHEA Grapalat"/>
                <w:b w:val="0"/>
                <w:webHidden/>
                <w:sz w:val="20"/>
                <w:szCs w:val="20"/>
              </w:rPr>
              <w:fldChar w:fldCharType="separate"/>
            </w:r>
            <w:r w:rsidR="00A426AA" w:rsidRPr="009D765F">
              <w:rPr>
                <w:rFonts w:ascii="GHEA Grapalat" w:hAnsi="GHEA Grapalat"/>
                <w:b w:val="0"/>
                <w:webHidden/>
                <w:sz w:val="20"/>
                <w:szCs w:val="20"/>
              </w:rPr>
              <w:t>83</w:t>
            </w:r>
            <w:r w:rsidR="00A426AA" w:rsidRPr="009D765F">
              <w:rPr>
                <w:rFonts w:ascii="GHEA Grapalat" w:hAnsi="GHEA Grapalat"/>
                <w:b w:val="0"/>
                <w:webHidden/>
                <w:sz w:val="20"/>
                <w:szCs w:val="20"/>
              </w:rPr>
              <w:fldChar w:fldCharType="end"/>
            </w:r>
          </w:hyperlink>
        </w:p>
        <w:p w14:paraId="4ACACD8C" w14:textId="34ACA18B" w:rsidR="00A426AA" w:rsidRPr="009D765F" w:rsidRDefault="0017075C" w:rsidP="009D765F">
          <w:pPr>
            <w:pStyle w:val="TOC20"/>
            <w:ind w:left="0"/>
            <w:rPr>
              <w:rFonts w:ascii="GHEA Grapalat" w:hAnsi="GHEA Grapalat"/>
              <w:b w:val="0"/>
              <w:color w:val="auto"/>
              <w:sz w:val="20"/>
              <w:szCs w:val="20"/>
              <w:lang w:val="en-US"/>
            </w:rPr>
          </w:pPr>
          <w:hyperlink w:anchor="_Toc215157686" w:history="1">
            <w:r w:rsidR="00A426AA" w:rsidRPr="009D765F">
              <w:rPr>
                <w:rStyle w:val="Hyperlink"/>
                <w:rFonts w:ascii="GHEA Grapalat" w:hAnsi="GHEA Grapalat"/>
                <w:b w:val="0"/>
                <w:sz w:val="20"/>
                <w:szCs w:val="20"/>
              </w:rPr>
              <w:t>ՊԵՏԱԿԱՆ ԲՅՈՒՋԵԻ ԴԵՖԻՑԻՏԸ (ՊԱԿԱՍՈՒՐԴԸ) ԵՎ ՊԱՐՏՔԸ</w:t>
            </w:r>
            <w:r w:rsidR="00A426AA" w:rsidRPr="009D765F">
              <w:rPr>
                <w:rFonts w:ascii="GHEA Grapalat" w:hAnsi="GHEA Grapalat"/>
                <w:b w:val="0"/>
                <w:webHidden/>
                <w:sz w:val="20"/>
                <w:szCs w:val="20"/>
              </w:rPr>
              <w:tab/>
            </w:r>
            <w:r w:rsidR="00A426AA" w:rsidRPr="009D765F">
              <w:rPr>
                <w:rFonts w:ascii="GHEA Grapalat" w:hAnsi="GHEA Grapalat"/>
                <w:b w:val="0"/>
                <w:webHidden/>
                <w:sz w:val="20"/>
                <w:szCs w:val="20"/>
              </w:rPr>
              <w:fldChar w:fldCharType="begin"/>
            </w:r>
            <w:r w:rsidR="00A426AA" w:rsidRPr="009D765F">
              <w:rPr>
                <w:rFonts w:ascii="GHEA Grapalat" w:hAnsi="GHEA Grapalat"/>
                <w:b w:val="0"/>
                <w:webHidden/>
                <w:sz w:val="20"/>
                <w:szCs w:val="20"/>
              </w:rPr>
              <w:instrText xml:space="preserve"> PAGEREF _Toc215157686 \h </w:instrText>
            </w:r>
            <w:r w:rsidR="00A426AA" w:rsidRPr="009D765F">
              <w:rPr>
                <w:rFonts w:ascii="GHEA Grapalat" w:hAnsi="GHEA Grapalat"/>
                <w:b w:val="0"/>
                <w:webHidden/>
                <w:sz w:val="20"/>
                <w:szCs w:val="20"/>
              </w:rPr>
            </w:r>
            <w:r w:rsidR="00A426AA" w:rsidRPr="009D765F">
              <w:rPr>
                <w:rFonts w:ascii="GHEA Grapalat" w:hAnsi="GHEA Grapalat"/>
                <w:b w:val="0"/>
                <w:webHidden/>
                <w:sz w:val="20"/>
                <w:szCs w:val="20"/>
              </w:rPr>
              <w:fldChar w:fldCharType="separate"/>
            </w:r>
            <w:r w:rsidR="00A426AA" w:rsidRPr="009D765F">
              <w:rPr>
                <w:rFonts w:ascii="GHEA Grapalat" w:hAnsi="GHEA Grapalat"/>
                <w:b w:val="0"/>
                <w:webHidden/>
                <w:sz w:val="20"/>
                <w:szCs w:val="20"/>
              </w:rPr>
              <w:t>84</w:t>
            </w:r>
            <w:r w:rsidR="00A426AA" w:rsidRPr="009D765F">
              <w:rPr>
                <w:rFonts w:ascii="GHEA Grapalat" w:hAnsi="GHEA Grapalat"/>
                <w:b w:val="0"/>
                <w:webHidden/>
                <w:sz w:val="20"/>
                <w:szCs w:val="20"/>
              </w:rPr>
              <w:fldChar w:fldCharType="end"/>
            </w:r>
          </w:hyperlink>
        </w:p>
        <w:p w14:paraId="613C551D" w14:textId="05EA6E10" w:rsidR="00A426AA" w:rsidRPr="009D765F" w:rsidRDefault="0017075C" w:rsidP="009D765F">
          <w:pPr>
            <w:pStyle w:val="TOC20"/>
            <w:ind w:left="0"/>
            <w:rPr>
              <w:rFonts w:ascii="GHEA Grapalat" w:hAnsi="GHEA Grapalat"/>
              <w:b w:val="0"/>
              <w:color w:val="auto"/>
              <w:sz w:val="20"/>
              <w:szCs w:val="20"/>
              <w:lang w:val="en-US"/>
            </w:rPr>
          </w:pPr>
          <w:hyperlink w:anchor="_Toc215157687" w:history="1">
            <w:r w:rsidR="00A426AA" w:rsidRPr="009D765F">
              <w:rPr>
                <w:rStyle w:val="Hyperlink"/>
                <w:rFonts w:ascii="GHEA Grapalat" w:hAnsi="GHEA Grapalat"/>
                <w:b w:val="0"/>
                <w:sz w:val="20"/>
                <w:szCs w:val="20"/>
              </w:rPr>
              <w:t>ՊԵՏԱԿԱՆ ԲՅՈՒՋԵԻ ԴԵՖԻՑԻՏԻ ՖԻՆԱՆՍԱՎՈՐՄԱՆ ԱՂԲՅՈՒՐՆԵՐԸ</w:t>
            </w:r>
            <w:r w:rsidR="00A426AA" w:rsidRPr="009D765F">
              <w:rPr>
                <w:rFonts w:ascii="GHEA Grapalat" w:hAnsi="GHEA Grapalat"/>
                <w:b w:val="0"/>
                <w:webHidden/>
                <w:sz w:val="20"/>
                <w:szCs w:val="20"/>
              </w:rPr>
              <w:tab/>
            </w:r>
            <w:r w:rsidR="00A426AA" w:rsidRPr="009D765F">
              <w:rPr>
                <w:rFonts w:ascii="GHEA Grapalat" w:hAnsi="GHEA Grapalat"/>
                <w:b w:val="0"/>
                <w:webHidden/>
                <w:sz w:val="20"/>
                <w:szCs w:val="20"/>
              </w:rPr>
              <w:fldChar w:fldCharType="begin"/>
            </w:r>
            <w:r w:rsidR="00A426AA" w:rsidRPr="009D765F">
              <w:rPr>
                <w:rFonts w:ascii="GHEA Grapalat" w:hAnsi="GHEA Grapalat"/>
                <w:b w:val="0"/>
                <w:webHidden/>
                <w:sz w:val="20"/>
                <w:szCs w:val="20"/>
              </w:rPr>
              <w:instrText xml:space="preserve"> PAGEREF _Toc215157687 \h </w:instrText>
            </w:r>
            <w:r w:rsidR="00A426AA" w:rsidRPr="009D765F">
              <w:rPr>
                <w:rFonts w:ascii="GHEA Grapalat" w:hAnsi="GHEA Grapalat"/>
                <w:b w:val="0"/>
                <w:webHidden/>
                <w:sz w:val="20"/>
                <w:szCs w:val="20"/>
              </w:rPr>
            </w:r>
            <w:r w:rsidR="00A426AA" w:rsidRPr="009D765F">
              <w:rPr>
                <w:rFonts w:ascii="GHEA Grapalat" w:hAnsi="GHEA Grapalat"/>
                <w:b w:val="0"/>
                <w:webHidden/>
                <w:sz w:val="20"/>
                <w:szCs w:val="20"/>
              </w:rPr>
              <w:fldChar w:fldCharType="separate"/>
            </w:r>
            <w:r w:rsidR="00A426AA" w:rsidRPr="009D765F">
              <w:rPr>
                <w:rFonts w:ascii="GHEA Grapalat" w:hAnsi="GHEA Grapalat"/>
                <w:b w:val="0"/>
                <w:webHidden/>
                <w:sz w:val="20"/>
                <w:szCs w:val="20"/>
              </w:rPr>
              <w:t>85</w:t>
            </w:r>
            <w:r w:rsidR="00A426AA" w:rsidRPr="009D765F">
              <w:rPr>
                <w:rFonts w:ascii="GHEA Grapalat" w:hAnsi="GHEA Grapalat"/>
                <w:b w:val="0"/>
                <w:webHidden/>
                <w:sz w:val="20"/>
                <w:szCs w:val="20"/>
              </w:rPr>
              <w:fldChar w:fldCharType="end"/>
            </w:r>
          </w:hyperlink>
        </w:p>
        <w:p w14:paraId="629A30E5" w14:textId="402C4A53" w:rsidR="00A426AA" w:rsidRPr="009D765F" w:rsidRDefault="0017075C" w:rsidP="009D765F">
          <w:pPr>
            <w:pStyle w:val="TOC10"/>
            <w:rPr>
              <w:rFonts w:ascii="GHEA Grapalat" w:hAnsi="GHEA Grapalat"/>
              <w:b w:val="0"/>
              <w:color w:val="auto"/>
              <w:sz w:val="20"/>
              <w:szCs w:val="20"/>
              <w:lang w:val="en-US"/>
            </w:rPr>
          </w:pPr>
          <w:hyperlink w:anchor="_Toc215157688" w:history="1">
            <w:r w:rsidR="00A426AA" w:rsidRPr="009D765F">
              <w:rPr>
                <w:rStyle w:val="Hyperlink"/>
                <w:rFonts w:ascii="GHEA Grapalat" w:hAnsi="GHEA Grapalat"/>
                <w:b w:val="0"/>
                <w:sz w:val="20"/>
                <w:szCs w:val="20"/>
              </w:rPr>
              <w:t>ՄԱՍ II-Բ. ԵԿԱՄՈՒՏՆԵՐԻ ԿԱՆԽԱՏԵՍՈՒՄ</w:t>
            </w:r>
            <w:r w:rsidR="00A426AA" w:rsidRPr="009D765F">
              <w:rPr>
                <w:rFonts w:ascii="GHEA Grapalat" w:hAnsi="GHEA Grapalat"/>
                <w:b w:val="0"/>
                <w:webHidden/>
                <w:sz w:val="20"/>
                <w:szCs w:val="20"/>
              </w:rPr>
              <w:tab/>
            </w:r>
            <w:r w:rsidR="00A426AA" w:rsidRPr="009D765F">
              <w:rPr>
                <w:rFonts w:ascii="GHEA Grapalat" w:hAnsi="GHEA Grapalat"/>
                <w:b w:val="0"/>
                <w:webHidden/>
                <w:sz w:val="20"/>
                <w:szCs w:val="20"/>
              </w:rPr>
              <w:fldChar w:fldCharType="begin"/>
            </w:r>
            <w:r w:rsidR="00A426AA" w:rsidRPr="009D765F">
              <w:rPr>
                <w:rFonts w:ascii="GHEA Grapalat" w:hAnsi="GHEA Grapalat"/>
                <w:b w:val="0"/>
                <w:webHidden/>
                <w:sz w:val="20"/>
                <w:szCs w:val="20"/>
              </w:rPr>
              <w:instrText xml:space="preserve"> PAGEREF _Toc215157688 \h </w:instrText>
            </w:r>
            <w:r w:rsidR="00A426AA" w:rsidRPr="009D765F">
              <w:rPr>
                <w:rFonts w:ascii="GHEA Grapalat" w:hAnsi="GHEA Grapalat"/>
                <w:b w:val="0"/>
                <w:webHidden/>
                <w:sz w:val="20"/>
                <w:szCs w:val="20"/>
              </w:rPr>
            </w:r>
            <w:r w:rsidR="00A426AA" w:rsidRPr="009D765F">
              <w:rPr>
                <w:rFonts w:ascii="GHEA Grapalat" w:hAnsi="GHEA Grapalat"/>
                <w:b w:val="0"/>
                <w:webHidden/>
                <w:sz w:val="20"/>
                <w:szCs w:val="20"/>
              </w:rPr>
              <w:fldChar w:fldCharType="separate"/>
            </w:r>
            <w:r w:rsidR="00A426AA" w:rsidRPr="009D765F">
              <w:rPr>
                <w:rFonts w:ascii="GHEA Grapalat" w:hAnsi="GHEA Grapalat"/>
                <w:b w:val="0"/>
                <w:webHidden/>
                <w:sz w:val="20"/>
                <w:szCs w:val="20"/>
              </w:rPr>
              <w:t>87</w:t>
            </w:r>
            <w:r w:rsidR="00A426AA" w:rsidRPr="009D765F">
              <w:rPr>
                <w:rFonts w:ascii="GHEA Grapalat" w:hAnsi="GHEA Grapalat"/>
                <w:b w:val="0"/>
                <w:webHidden/>
                <w:sz w:val="20"/>
                <w:szCs w:val="20"/>
              </w:rPr>
              <w:fldChar w:fldCharType="end"/>
            </w:r>
          </w:hyperlink>
        </w:p>
        <w:p w14:paraId="5052A897" w14:textId="72EA031C" w:rsidR="00A426AA" w:rsidRPr="009D765F" w:rsidRDefault="0017075C" w:rsidP="009D765F">
          <w:pPr>
            <w:pStyle w:val="TOC10"/>
            <w:rPr>
              <w:rFonts w:ascii="GHEA Grapalat" w:hAnsi="GHEA Grapalat"/>
              <w:b w:val="0"/>
              <w:color w:val="auto"/>
              <w:sz w:val="20"/>
              <w:szCs w:val="20"/>
              <w:lang w:val="en-US"/>
            </w:rPr>
          </w:pPr>
          <w:hyperlink w:anchor="_Toc215157689" w:history="1">
            <w:r w:rsidR="00A426AA" w:rsidRPr="009D765F">
              <w:rPr>
                <w:rStyle w:val="Hyperlink"/>
                <w:rFonts w:ascii="GHEA Grapalat" w:hAnsi="GHEA Grapalat"/>
                <w:b w:val="0"/>
                <w:sz w:val="20"/>
                <w:szCs w:val="20"/>
              </w:rPr>
              <w:t>ՄԱՍ</w:t>
            </w:r>
            <w:r w:rsidR="00A426AA" w:rsidRPr="009D765F">
              <w:rPr>
                <w:rStyle w:val="Hyperlink"/>
                <w:rFonts w:ascii="GHEA Grapalat" w:hAnsi="GHEA Grapalat"/>
                <w:b w:val="0"/>
                <w:sz w:val="20"/>
                <w:szCs w:val="20"/>
                <w:lang w:val="af-ZA"/>
              </w:rPr>
              <w:t xml:space="preserve"> II–</w:t>
            </w:r>
            <w:r w:rsidR="00A426AA" w:rsidRPr="009D765F">
              <w:rPr>
                <w:rStyle w:val="Hyperlink"/>
                <w:rFonts w:ascii="GHEA Grapalat" w:hAnsi="GHEA Grapalat"/>
                <w:b w:val="0"/>
                <w:sz w:val="20"/>
                <w:szCs w:val="20"/>
              </w:rPr>
              <w:t>Գ</w:t>
            </w:r>
            <w:r w:rsidR="00A426AA" w:rsidRPr="009D765F">
              <w:rPr>
                <w:rStyle w:val="Hyperlink"/>
                <w:rFonts w:ascii="GHEA Grapalat" w:hAnsi="GHEA Grapalat"/>
                <w:b w:val="0"/>
                <w:sz w:val="20"/>
                <w:szCs w:val="20"/>
                <w:lang w:val="af-ZA"/>
              </w:rPr>
              <w:t xml:space="preserve">. </w:t>
            </w:r>
            <w:r w:rsidR="00A426AA" w:rsidRPr="009D765F">
              <w:rPr>
                <w:rStyle w:val="Hyperlink"/>
                <w:rFonts w:ascii="GHEA Grapalat" w:hAnsi="GHEA Grapalat"/>
                <w:b w:val="0"/>
                <w:sz w:val="20"/>
                <w:szCs w:val="20"/>
              </w:rPr>
              <w:t>ԾԱԽՍԵՐԻ</w:t>
            </w:r>
            <w:r w:rsidR="00A426AA" w:rsidRPr="009D765F">
              <w:rPr>
                <w:rStyle w:val="Hyperlink"/>
                <w:rFonts w:ascii="GHEA Grapalat" w:hAnsi="GHEA Grapalat"/>
                <w:b w:val="0"/>
                <w:sz w:val="20"/>
                <w:szCs w:val="20"/>
                <w:lang w:val="af-ZA"/>
              </w:rPr>
              <w:t xml:space="preserve"> </w:t>
            </w:r>
            <w:r w:rsidR="00A426AA" w:rsidRPr="009D765F">
              <w:rPr>
                <w:rStyle w:val="Hyperlink"/>
                <w:rFonts w:ascii="GHEA Grapalat" w:hAnsi="GHEA Grapalat"/>
                <w:b w:val="0"/>
                <w:sz w:val="20"/>
                <w:szCs w:val="20"/>
              </w:rPr>
              <w:t>ԿԱՆԽԱՏԵՍՈՒՄ</w:t>
            </w:r>
            <w:r w:rsidR="00A426AA" w:rsidRPr="009D765F">
              <w:rPr>
                <w:rFonts w:ascii="GHEA Grapalat" w:hAnsi="GHEA Grapalat"/>
                <w:b w:val="0"/>
                <w:webHidden/>
                <w:sz w:val="20"/>
                <w:szCs w:val="20"/>
              </w:rPr>
              <w:tab/>
            </w:r>
            <w:r w:rsidR="00A426AA" w:rsidRPr="009D765F">
              <w:rPr>
                <w:rFonts w:ascii="GHEA Grapalat" w:hAnsi="GHEA Grapalat"/>
                <w:b w:val="0"/>
                <w:webHidden/>
                <w:sz w:val="20"/>
                <w:szCs w:val="20"/>
              </w:rPr>
              <w:fldChar w:fldCharType="begin"/>
            </w:r>
            <w:r w:rsidR="00A426AA" w:rsidRPr="009D765F">
              <w:rPr>
                <w:rFonts w:ascii="GHEA Grapalat" w:hAnsi="GHEA Grapalat"/>
                <w:b w:val="0"/>
                <w:webHidden/>
                <w:sz w:val="20"/>
                <w:szCs w:val="20"/>
              </w:rPr>
              <w:instrText xml:space="preserve"> PAGEREF _Toc215157689 \h </w:instrText>
            </w:r>
            <w:r w:rsidR="00A426AA" w:rsidRPr="009D765F">
              <w:rPr>
                <w:rFonts w:ascii="GHEA Grapalat" w:hAnsi="GHEA Grapalat"/>
                <w:b w:val="0"/>
                <w:webHidden/>
                <w:sz w:val="20"/>
                <w:szCs w:val="20"/>
              </w:rPr>
            </w:r>
            <w:r w:rsidR="00A426AA" w:rsidRPr="009D765F">
              <w:rPr>
                <w:rFonts w:ascii="GHEA Grapalat" w:hAnsi="GHEA Grapalat"/>
                <w:b w:val="0"/>
                <w:webHidden/>
                <w:sz w:val="20"/>
                <w:szCs w:val="20"/>
              </w:rPr>
              <w:fldChar w:fldCharType="separate"/>
            </w:r>
            <w:r w:rsidR="00A426AA" w:rsidRPr="009D765F">
              <w:rPr>
                <w:rFonts w:ascii="GHEA Grapalat" w:hAnsi="GHEA Grapalat"/>
                <w:b w:val="0"/>
                <w:webHidden/>
                <w:sz w:val="20"/>
                <w:szCs w:val="20"/>
              </w:rPr>
              <w:t>95</w:t>
            </w:r>
            <w:r w:rsidR="00A426AA" w:rsidRPr="009D765F">
              <w:rPr>
                <w:rFonts w:ascii="GHEA Grapalat" w:hAnsi="GHEA Grapalat"/>
                <w:b w:val="0"/>
                <w:webHidden/>
                <w:sz w:val="20"/>
                <w:szCs w:val="20"/>
              </w:rPr>
              <w:fldChar w:fldCharType="end"/>
            </w:r>
          </w:hyperlink>
        </w:p>
        <w:p w14:paraId="0E1A9C2C" w14:textId="48E1D661" w:rsidR="00A426AA" w:rsidRPr="009D765F" w:rsidRDefault="0017075C" w:rsidP="009D765F">
          <w:pPr>
            <w:pStyle w:val="TOC20"/>
            <w:ind w:left="0"/>
            <w:rPr>
              <w:rFonts w:ascii="GHEA Grapalat" w:hAnsi="GHEA Grapalat"/>
              <w:b w:val="0"/>
              <w:color w:val="auto"/>
              <w:sz w:val="20"/>
              <w:szCs w:val="20"/>
              <w:lang w:val="en-US"/>
            </w:rPr>
          </w:pPr>
          <w:hyperlink w:anchor="_Toc215157690" w:history="1">
            <w:r w:rsidR="00A426AA" w:rsidRPr="009D765F">
              <w:rPr>
                <w:rStyle w:val="Hyperlink"/>
                <w:rFonts w:ascii="GHEA Grapalat" w:hAnsi="GHEA Grapalat"/>
                <w:b w:val="0"/>
                <w:sz w:val="20"/>
                <w:szCs w:val="20"/>
              </w:rPr>
              <w:t>ԾԱԽՍԵՐՆ ԸՍՏ ՏՆՏԵՍԱԳԻՏԱԿԱՆ ԴԱՍԱԿԱՐԳՄԱՆ</w:t>
            </w:r>
            <w:r w:rsidR="00A426AA" w:rsidRPr="009D765F">
              <w:rPr>
                <w:rFonts w:ascii="GHEA Grapalat" w:hAnsi="GHEA Grapalat"/>
                <w:b w:val="0"/>
                <w:webHidden/>
                <w:sz w:val="20"/>
                <w:szCs w:val="20"/>
              </w:rPr>
              <w:tab/>
            </w:r>
            <w:r w:rsidR="00A426AA" w:rsidRPr="009D765F">
              <w:rPr>
                <w:rFonts w:ascii="GHEA Grapalat" w:hAnsi="GHEA Grapalat"/>
                <w:b w:val="0"/>
                <w:webHidden/>
                <w:sz w:val="20"/>
                <w:szCs w:val="20"/>
              </w:rPr>
              <w:fldChar w:fldCharType="begin"/>
            </w:r>
            <w:r w:rsidR="00A426AA" w:rsidRPr="009D765F">
              <w:rPr>
                <w:rFonts w:ascii="GHEA Grapalat" w:hAnsi="GHEA Grapalat"/>
                <w:b w:val="0"/>
                <w:webHidden/>
                <w:sz w:val="20"/>
                <w:szCs w:val="20"/>
              </w:rPr>
              <w:instrText xml:space="preserve"> PAGEREF _Toc215157690 \h </w:instrText>
            </w:r>
            <w:r w:rsidR="00A426AA" w:rsidRPr="009D765F">
              <w:rPr>
                <w:rFonts w:ascii="GHEA Grapalat" w:hAnsi="GHEA Grapalat"/>
                <w:b w:val="0"/>
                <w:webHidden/>
                <w:sz w:val="20"/>
                <w:szCs w:val="20"/>
              </w:rPr>
            </w:r>
            <w:r w:rsidR="00A426AA" w:rsidRPr="009D765F">
              <w:rPr>
                <w:rFonts w:ascii="GHEA Grapalat" w:hAnsi="GHEA Grapalat"/>
                <w:b w:val="0"/>
                <w:webHidden/>
                <w:sz w:val="20"/>
                <w:szCs w:val="20"/>
              </w:rPr>
              <w:fldChar w:fldCharType="separate"/>
            </w:r>
            <w:r w:rsidR="00A426AA" w:rsidRPr="009D765F">
              <w:rPr>
                <w:rFonts w:ascii="GHEA Grapalat" w:hAnsi="GHEA Grapalat"/>
                <w:b w:val="0"/>
                <w:webHidden/>
                <w:sz w:val="20"/>
                <w:szCs w:val="20"/>
              </w:rPr>
              <w:t>95</w:t>
            </w:r>
            <w:r w:rsidR="00A426AA" w:rsidRPr="009D765F">
              <w:rPr>
                <w:rFonts w:ascii="GHEA Grapalat" w:hAnsi="GHEA Grapalat"/>
                <w:b w:val="0"/>
                <w:webHidden/>
                <w:sz w:val="20"/>
                <w:szCs w:val="20"/>
              </w:rPr>
              <w:fldChar w:fldCharType="end"/>
            </w:r>
          </w:hyperlink>
        </w:p>
        <w:p w14:paraId="2DE60C5E" w14:textId="4355D1EE" w:rsidR="00A426AA" w:rsidRPr="009D765F" w:rsidRDefault="0017075C" w:rsidP="009D765F">
          <w:pPr>
            <w:pStyle w:val="TOC20"/>
            <w:ind w:left="0"/>
            <w:rPr>
              <w:rFonts w:ascii="GHEA Grapalat" w:hAnsi="GHEA Grapalat"/>
              <w:b w:val="0"/>
              <w:color w:val="auto"/>
              <w:sz w:val="20"/>
              <w:szCs w:val="20"/>
              <w:lang w:val="en-US"/>
            </w:rPr>
          </w:pPr>
          <w:hyperlink w:anchor="_Toc215157691" w:history="1">
            <w:r w:rsidR="00A426AA" w:rsidRPr="009D765F">
              <w:rPr>
                <w:rStyle w:val="Hyperlink"/>
                <w:rFonts w:ascii="GHEA Grapalat" w:hAnsi="GHEA Grapalat"/>
                <w:b w:val="0"/>
                <w:sz w:val="20"/>
                <w:szCs w:val="20"/>
              </w:rPr>
              <w:t>ԾԱԽՍԵՐՆ ԸՍՏ ԳՈՐԾԱՌԱԿԱՆ ԴԱՍԱԿԱՐԳՄԱՆ</w:t>
            </w:r>
            <w:r w:rsidR="00A426AA" w:rsidRPr="009D765F">
              <w:rPr>
                <w:rFonts w:ascii="GHEA Grapalat" w:hAnsi="GHEA Grapalat"/>
                <w:b w:val="0"/>
                <w:webHidden/>
                <w:sz w:val="20"/>
                <w:szCs w:val="20"/>
              </w:rPr>
              <w:tab/>
            </w:r>
            <w:r w:rsidR="00A426AA" w:rsidRPr="009D765F">
              <w:rPr>
                <w:rFonts w:ascii="GHEA Grapalat" w:hAnsi="GHEA Grapalat"/>
                <w:b w:val="0"/>
                <w:webHidden/>
                <w:sz w:val="20"/>
                <w:szCs w:val="20"/>
              </w:rPr>
              <w:fldChar w:fldCharType="begin"/>
            </w:r>
            <w:r w:rsidR="00A426AA" w:rsidRPr="009D765F">
              <w:rPr>
                <w:rFonts w:ascii="GHEA Grapalat" w:hAnsi="GHEA Grapalat"/>
                <w:b w:val="0"/>
                <w:webHidden/>
                <w:sz w:val="20"/>
                <w:szCs w:val="20"/>
              </w:rPr>
              <w:instrText xml:space="preserve"> PAGEREF _Toc215157691 \h </w:instrText>
            </w:r>
            <w:r w:rsidR="00A426AA" w:rsidRPr="009D765F">
              <w:rPr>
                <w:rFonts w:ascii="GHEA Grapalat" w:hAnsi="GHEA Grapalat"/>
                <w:b w:val="0"/>
                <w:webHidden/>
                <w:sz w:val="20"/>
                <w:szCs w:val="20"/>
              </w:rPr>
            </w:r>
            <w:r w:rsidR="00A426AA" w:rsidRPr="009D765F">
              <w:rPr>
                <w:rFonts w:ascii="GHEA Grapalat" w:hAnsi="GHEA Grapalat"/>
                <w:b w:val="0"/>
                <w:webHidden/>
                <w:sz w:val="20"/>
                <w:szCs w:val="20"/>
              </w:rPr>
              <w:fldChar w:fldCharType="separate"/>
            </w:r>
            <w:r w:rsidR="00A426AA" w:rsidRPr="009D765F">
              <w:rPr>
                <w:rFonts w:ascii="GHEA Grapalat" w:hAnsi="GHEA Grapalat"/>
                <w:b w:val="0"/>
                <w:webHidden/>
                <w:sz w:val="20"/>
                <w:szCs w:val="20"/>
              </w:rPr>
              <w:t>100</w:t>
            </w:r>
            <w:r w:rsidR="00A426AA" w:rsidRPr="009D765F">
              <w:rPr>
                <w:rFonts w:ascii="GHEA Grapalat" w:hAnsi="GHEA Grapalat"/>
                <w:b w:val="0"/>
                <w:webHidden/>
                <w:sz w:val="20"/>
                <w:szCs w:val="20"/>
              </w:rPr>
              <w:fldChar w:fldCharType="end"/>
            </w:r>
          </w:hyperlink>
        </w:p>
        <w:p w14:paraId="6D753774" w14:textId="42AD230C" w:rsidR="00A426AA" w:rsidRPr="009D765F" w:rsidRDefault="0017075C" w:rsidP="009D765F">
          <w:pPr>
            <w:pStyle w:val="TOC20"/>
            <w:ind w:left="0"/>
            <w:rPr>
              <w:rFonts w:ascii="GHEA Grapalat" w:hAnsi="GHEA Grapalat"/>
              <w:b w:val="0"/>
              <w:color w:val="auto"/>
              <w:sz w:val="20"/>
              <w:szCs w:val="20"/>
              <w:lang w:val="en-US"/>
            </w:rPr>
          </w:pPr>
          <w:hyperlink w:anchor="_Toc215157692" w:history="1">
            <w:r w:rsidR="00A426AA" w:rsidRPr="009D765F">
              <w:rPr>
                <w:rStyle w:val="Hyperlink"/>
                <w:rFonts w:ascii="GHEA Grapalat" w:hAnsi="GHEA Grapalat"/>
                <w:b w:val="0"/>
                <w:sz w:val="20"/>
                <w:szCs w:val="20"/>
              </w:rPr>
              <w:t>ՂԱՐԱԲԱՂԻՑ ԲՌՆԻ ՏԵՂԱՀԱՆՎԱԾ ԲՆԱԿՉՈՒԹՅԱՆ ՕԺԱՆԴԱԿՈՒԹՅԱՆ ԾՐԱԳՐԵՐ</w:t>
            </w:r>
            <w:r w:rsidR="00A426AA" w:rsidRPr="009D765F">
              <w:rPr>
                <w:rFonts w:ascii="GHEA Grapalat" w:hAnsi="GHEA Grapalat"/>
                <w:b w:val="0"/>
                <w:webHidden/>
                <w:sz w:val="20"/>
                <w:szCs w:val="20"/>
              </w:rPr>
              <w:tab/>
            </w:r>
            <w:r w:rsidR="00A426AA" w:rsidRPr="009D765F">
              <w:rPr>
                <w:rFonts w:ascii="GHEA Grapalat" w:hAnsi="GHEA Grapalat"/>
                <w:b w:val="0"/>
                <w:webHidden/>
                <w:sz w:val="20"/>
                <w:szCs w:val="20"/>
              </w:rPr>
              <w:fldChar w:fldCharType="begin"/>
            </w:r>
            <w:r w:rsidR="00A426AA" w:rsidRPr="009D765F">
              <w:rPr>
                <w:rFonts w:ascii="GHEA Grapalat" w:hAnsi="GHEA Grapalat"/>
                <w:b w:val="0"/>
                <w:webHidden/>
                <w:sz w:val="20"/>
                <w:szCs w:val="20"/>
              </w:rPr>
              <w:instrText xml:space="preserve"> PAGEREF _Toc215157692 \h </w:instrText>
            </w:r>
            <w:r w:rsidR="00A426AA" w:rsidRPr="009D765F">
              <w:rPr>
                <w:rFonts w:ascii="GHEA Grapalat" w:hAnsi="GHEA Grapalat"/>
                <w:b w:val="0"/>
                <w:webHidden/>
                <w:sz w:val="20"/>
                <w:szCs w:val="20"/>
              </w:rPr>
            </w:r>
            <w:r w:rsidR="00A426AA" w:rsidRPr="009D765F">
              <w:rPr>
                <w:rFonts w:ascii="GHEA Grapalat" w:hAnsi="GHEA Grapalat"/>
                <w:b w:val="0"/>
                <w:webHidden/>
                <w:sz w:val="20"/>
                <w:szCs w:val="20"/>
              </w:rPr>
              <w:fldChar w:fldCharType="separate"/>
            </w:r>
            <w:r w:rsidR="00A426AA" w:rsidRPr="009D765F">
              <w:rPr>
                <w:rFonts w:ascii="GHEA Grapalat" w:hAnsi="GHEA Grapalat"/>
                <w:b w:val="0"/>
                <w:webHidden/>
                <w:sz w:val="20"/>
                <w:szCs w:val="20"/>
              </w:rPr>
              <w:t>104</w:t>
            </w:r>
            <w:r w:rsidR="00A426AA" w:rsidRPr="009D765F">
              <w:rPr>
                <w:rFonts w:ascii="GHEA Grapalat" w:hAnsi="GHEA Grapalat"/>
                <w:b w:val="0"/>
                <w:webHidden/>
                <w:sz w:val="20"/>
                <w:szCs w:val="20"/>
              </w:rPr>
              <w:fldChar w:fldCharType="end"/>
            </w:r>
          </w:hyperlink>
        </w:p>
        <w:p w14:paraId="44DD5E04" w14:textId="35C0BE35" w:rsidR="00A426AA" w:rsidRPr="009D765F" w:rsidRDefault="0017075C" w:rsidP="009D765F">
          <w:pPr>
            <w:pStyle w:val="TOC20"/>
            <w:ind w:left="0"/>
            <w:rPr>
              <w:rFonts w:ascii="GHEA Grapalat" w:hAnsi="GHEA Grapalat"/>
              <w:b w:val="0"/>
              <w:color w:val="auto"/>
              <w:sz w:val="20"/>
              <w:szCs w:val="20"/>
              <w:lang w:val="en-US"/>
            </w:rPr>
          </w:pPr>
          <w:hyperlink w:anchor="_Toc215157693" w:history="1">
            <w:r w:rsidR="00A426AA" w:rsidRPr="009D765F">
              <w:rPr>
                <w:rStyle w:val="Hyperlink"/>
                <w:rFonts w:ascii="GHEA Grapalat" w:hAnsi="GHEA Grapalat"/>
                <w:b w:val="0"/>
                <w:sz w:val="20"/>
                <w:szCs w:val="20"/>
              </w:rPr>
              <w:t>ՀՀ 2026 ԹՎԱԿԱՆԻ ՊԵՏԱԿԱՆ ԲՅՈՒՋԵԻՑ ՀԱՄԱՅՆՔՆԵՐԻՆ ՏՐՎՈՂ ՀԱՏԿԱՑՈՒՄՆԵՐԸ</w:t>
            </w:r>
            <w:r w:rsidR="00A426AA" w:rsidRPr="009D765F">
              <w:rPr>
                <w:rFonts w:ascii="GHEA Grapalat" w:hAnsi="GHEA Grapalat"/>
                <w:b w:val="0"/>
                <w:webHidden/>
                <w:sz w:val="20"/>
                <w:szCs w:val="20"/>
              </w:rPr>
              <w:tab/>
            </w:r>
            <w:r w:rsidR="00A426AA" w:rsidRPr="009D765F">
              <w:rPr>
                <w:rFonts w:ascii="GHEA Grapalat" w:hAnsi="GHEA Grapalat"/>
                <w:b w:val="0"/>
                <w:webHidden/>
                <w:sz w:val="20"/>
                <w:szCs w:val="20"/>
              </w:rPr>
              <w:fldChar w:fldCharType="begin"/>
            </w:r>
            <w:r w:rsidR="00A426AA" w:rsidRPr="009D765F">
              <w:rPr>
                <w:rFonts w:ascii="GHEA Grapalat" w:hAnsi="GHEA Grapalat"/>
                <w:b w:val="0"/>
                <w:webHidden/>
                <w:sz w:val="20"/>
                <w:szCs w:val="20"/>
              </w:rPr>
              <w:instrText xml:space="preserve"> PAGEREF _Toc215157693 \h </w:instrText>
            </w:r>
            <w:r w:rsidR="00A426AA" w:rsidRPr="009D765F">
              <w:rPr>
                <w:rFonts w:ascii="GHEA Grapalat" w:hAnsi="GHEA Grapalat"/>
                <w:b w:val="0"/>
                <w:webHidden/>
                <w:sz w:val="20"/>
                <w:szCs w:val="20"/>
              </w:rPr>
            </w:r>
            <w:r w:rsidR="00A426AA" w:rsidRPr="009D765F">
              <w:rPr>
                <w:rFonts w:ascii="GHEA Grapalat" w:hAnsi="GHEA Grapalat"/>
                <w:b w:val="0"/>
                <w:webHidden/>
                <w:sz w:val="20"/>
                <w:szCs w:val="20"/>
              </w:rPr>
              <w:fldChar w:fldCharType="separate"/>
            </w:r>
            <w:r w:rsidR="00A426AA" w:rsidRPr="009D765F">
              <w:rPr>
                <w:rFonts w:ascii="GHEA Grapalat" w:hAnsi="GHEA Grapalat"/>
                <w:b w:val="0"/>
                <w:webHidden/>
                <w:sz w:val="20"/>
                <w:szCs w:val="20"/>
              </w:rPr>
              <w:t>105</w:t>
            </w:r>
            <w:r w:rsidR="00A426AA" w:rsidRPr="009D765F">
              <w:rPr>
                <w:rFonts w:ascii="GHEA Grapalat" w:hAnsi="GHEA Grapalat"/>
                <w:b w:val="0"/>
                <w:webHidden/>
                <w:sz w:val="20"/>
                <w:szCs w:val="20"/>
              </w:rPr>
              <w:fldChar w:fldCharType="end"/>
            </w:r>
          </w:hyperlink>
        </w:p>
        <w:p w14:paraId="7B6CA979" w14:textId="28FBBBFD" w:rsidR="00A426AA" w:rsidRPr="009D765F" w:rsidRDefault="0017075C" w:rsidP="009D765F">
          <w:pPr>
            <w:pStyle w:val="TOC20"/>
            <w:ind w:left="0"/>
            <w:rPr>
              <w:rFonts w:ascii="GHEA Grapalat" w:hAnsi="GHEA Grapalat"/>
              <w:b w:val="0"/>
              <w:color w:val="auto"/>
              <w:sz w:val="20"/>
              <w:szCs w:val="20"/>
              <w:lang w:val="en-US"/>
            </w:rPr>
          </w:pPr>
          <w:hyperlink w:anchor="_Toc215157694" w:history="1">
            <w:r w:rsidR="00A426AA" w:rsidRPr="009D765F">
              <w:rPr>
                <w:rStyle w:val="Hyperlink"/>
                <w:rFonts w:ascii="GHEA Grapalat" w:hAnsi="GHEA Grapalat"/>
                <w:b w:val="0"/>
                <w:sz w:val="20"/>
                <w:szCs w:val="20"/>
              </w:rPr>
              <w:t>2026 ԹՎԱԿԱՆԻ ԲՅՈՒՋԵԻ ԱՌԱՋՆԱՀԵՐԹՈՒԹՅՈՒՆՆԵՐԸ</w:t>
            </w:r>
            <w:r w:rsidR="00A426AA" w:rsidRPr="009D765F">
              <w:rPr>
                <w:rFonts w:ascii="GHEA Grapalat" w:hAnsi="GHEA Grapalat"/>
                <w:b w:val="0"/>
                <w:webHidden/>
                <w:sz w:val="20"/>
                <w:szCs w:val="20"/>
              </w:rPr>
              <w:tab/>
            </w:r>
            <w:r w:rsidR="00A426AA" w:rsidRPr="009D765F">
              <w:rPr>
                <w:rFonts w:ascii="GHEA Grapalat" w:hAnsi="GHEA Grapalat"/>
                <w:b w:val="0"/>
                <w:webHidden/>
                <w:sz w:val="20"/>
                <w:szCs w:val="20"/>
              </w:rPr>
              <w:fldChar w:fldCharType="begin"/>
            </w:r>
            <w:r w:rsidR="00A426AA" w:rsidRPr="009D765F">
              <w:rPr>
                <w:rFonts w:ascii="GHEA Grapalat" w:hAnsi="GHEA Grapalat"/>
                <w:b w:val="0"/>
                <w:webHidden/>
                <w:sz w:val="20"/>
                <w:szCs w:val="20"/>
              </w:rPr>
              <w:instrText xml:space="preserve"> PAGEREF _Toc215157694 \h </w:instrText>
            </w:r>
            <w:r w:rsidR="00A426AA" w:rsidRPr="009D765F">
              <w:rPr>
                <w:rFonts w:ascii="GHEA Grapalat" w:hAnsi="GHEA Grapalat"/>
                <w:b w:val="0"/>
                <w:webHidden/>
                <w:sz w:val="20"/>
                <w:szCs w:val="20"/>
              </w:rPr>
            </w:r>
            <w:r w:rsidR="00A426AA" w:rsidRPr="009D765F">
              <w:rPr>
                <w:rFonts w:ascii="GHEA Grapalat" w:hAnsi="GHEA Grapalat"/>
                <w:b w:val="0"/>
                <w:webHidden/>
                <w:sz w:val="20"/>
                <w:szCs w:val="20"/>
              </w:rPr>
              <w:fldChar w:fldCharType="separate"/>
            </w:r>
            <w:r w:rsidR="00A426AA" w:rsidRPr="009D765F">
              <w:rPr>
                <w:rFonts w:ascii="GHEA Grapalat" w:hAnsi="GHEA Grapalat"/>
                <w:b w:val="0"/>
                <w:webHidden/>
                <w:sz w:val="20"/>
                <w:szCs w:val="20"/>
              </w:rPr>
              <w:t>105</w:t>
            </w:r>
            <w:r w:rsidR="00A426AA" w:rsidRPr="009D765F">
              <w:rPr>
                <w:rFonts w:ascii="GHEA Grapalat" w:hAnsi="GHEA Grapalat"/>
                <w:b w:val="0"/>
                <w:webHidden/>
                <w:sz w:val="20"/>
                <w:szCs w:val="20"/>
              </w:rPr>
              <w:fldChar w:fldCharType="end"/>
            </w:r>
          </w:hyperlink>
        </w:p>
        <w:p w14:paraId="12AE87FD" w14:textId="4850EF1E" w:rsidR="00A426AA" w:rsidRPr="009D765F" w:rsidRDefault="0017075C" w:rsidP="009D765F">
          <w:pPr>
            <w:pStyle w:val="TOC20"/>
            <w:ind w:left="0"/>
            <w:rPr>
              <w:rFonts w:ascii="GHEA Grapalat" w:hAnsi="GHEA Grapalat"/>
              <w:b w:val="0"/>
              <w:color w:val="auto"/>
              <w:sz w:val="20"/>
              <w:szCs w:val="20"/>
              <w:lang w:val="en-US"/>
            </w:rPr>
          </w:pPr>
          <w:hyperlink w:anchor="_Toc215157695" w:history="1">
            <w:r w:rsidR="00A426AA" w:rsidRPr="009D765F">
              <w:rPr>
                <w:rStyle w:val="Hyperlink"/>
                <w:rFonts w:ascii="GHEA Grapalat" w:hAnsi="GHEA Grapalat"/>
                <w:b w:val="0"/>
                <w:sz w:val="20"/>
                <w:szCs w:val="20"/>
              </w:rPr>
              <w:t>ՈԼՈՐՏԱՅԻՆ ԾԱԽՍԵՐԻ ՀԻՄՆԱԿԱՆ ՈՒՂՂՈՒԹՅՈՒՆՆԵՐԸ</w:t>
            </w:r>
            <w:r w:rsidR="00A426AA" w:rsidRPr="009D765F">
              <w:rPr>
                <w:rFonts w:ascii="GHEA Grapalat" w:hAnsi="GHEA Grapalat"/>
                <w:b w:val="0"/>
                <w:webHidden/>
                <w:sz w:val="20"/>
                <w:szCs w:val="20"/>
              </w:rPr>
              <w:tab/>
            </w:r>
            <w:r w:rsidR="00A426AA" w:rsidRPr="009D765F">
              <w:rPr>
                <w:rFonts w:ascii="GHEA Grapalat" w:hAnsi="GHEA Grapalat"/>
                <w:b w:val="0"/>
                <w:webHidden/>
                <w:sz w:val="20"/>
                <w:szCs w:val="20"/>
              </w:rPr>
              <w:fldChar w:fldCharType="begin"/>
            </w:r>
            <w:r w:rsidR="00A426AA" w:rsidRPr="009D765F">
              <w:rPr>
                <w:rFonts w:ascii="GHEA Grapalat" w:hAnsi="GHEA Grapalat"/>
                <w:b w:val="0"/>
                <w:webHidden/>
                <w:sz w:val="20"/>
                <w:szCs w:val="20"/>
              </w:rPr>
              <w:instrText xml:space="preserve"> PAGEREF _Toc215157695 \h </w:instrText>
            </w:r>
            <w:r w:rsidR="00A426AA" w:rsidRPr="009D765F">
              <w:rPr>
                <w:rFonts w:ascii="GHEA Grapalat" w:hAnsi="GHEA Grapalat"/>
                <w:b w:val="0"/>
                <w:webHidden/>
                <w:sz w:val="20"/>
                <w:szCs w:val="20"/>
              </w:rPr>
            </w:r>
            <w:r w:rsidR="00A426AA" w:rsidRPr="009D765F">
              <w:rPr>
                <w:rFonts w:ascii="GHEA Grapalat" w:hAnsi="GHEA Grapalat"/>
                <w:b w:val="0"/>
                <w:webHidden/>
                <w:sz w:val="20"/>
                <w:szCs w:val="20"/>
              </w:rPr>
              <w:fldChar w:fldCharType="separate"/>
            </w:r>
            <w:r w:rsidR="00A426AA" w:rsidRPr="009D765F">
              <w:rPr>
                <w:rFonts w:ascii="GHEA Grapalat" w:hAnsi="GHEA Grapalat"/>
                <w:b w:val="0"/>
                <w:webHidden/>
                <w:sz w:val="20"/>
                <w:szCs w:val="20"/>
              </w:rPr>
              <w:t>107</w:t>
            </w:r>
            <w:r w:rsidR="00A426AA" w:rsidRPr="009D765F">
              <w:rPr>
                <w:rFonts w:ascii="GHEA Grapalat" w:hAnsi="GHEA Grapalat"/>
                <w:b w:val="0"/>
                <w:webHidden/>
                <w:sz w:val="20"/>
                <w:szCs w:val="20"/>
              </w:rPr>
              <w:fldChar w:fldCharType="end"/>
            </w:r>
          </w:hyperlink>
        </w:p>
        <w:p w14:paraId="4CA3A04B" w14:textId="71183F1D" w:rsidR="00A426AA" w:rsidRPr="009D765F" w:rsidRDefault="0017075C" w:rsidP="009D765F">
          <w:pPr>
            <w:pStyle w:val="TOC20"/>
            <w:ind w:left="0"/>
            <w:rPr>
              <w:rFonts w:ascii="GHEA Grapalat" w:hAnsi="GHEA Grapalat"/>
              <w:b w:val="0"/>
              <w:color w:val="auto"/>
              <w:sz w:val="20"/>
              <w:szCs w:val="20"/>
              <w:lang w:val="en-US"/>
            </w:rPr>
          </w:pPr>
          <w:hyperlink w:anchor="_Toc215157696" w:history="1">
            <w:r w:rsidR="00A426AA" w:rsidRPr="009D765F">
              <w:rPr>
                <w:rStyle w:val="Hyperlink"/>
                <w:rFonts w:ascii="GHEA Grapalat" w:hAnsi="GHEA Grapalat"/>
                <w:b w:val="0"/>
                <w:sz w:val="20"/>
                <w:szCs w:val="20"/>
              </w:rPr>
              <w:t>ՊԵՏԱԿԱՆ ԻՇԽԱՆՈՒԹՅԱՆ ՄԱՐՄԻՆՆԵՐԻ ՊԱՀՊԱՆՄԱՆ ԾԱԽՍԵՐ</w:t>
            </w:r>
            <w:r w:rsidR="00A426AA" w:rsidRPr="009D765F">
              <w:rPr>
                <w:rFonts w:ascii="GHEA Grapalat" w:hAnsi="GHEA Grapalat"/>
                <w:b w:val="0"/>
                <w:webHidden/>
                <w:sz w:val="20"/>
                <w:szCs w:val="20"/>
              </w:rPr>
              <w:tab/>
            </w:r>
            <w:r w:rsidR="00A426AA" w:rsidRPr="009D765F">
              <w:rPr>
                <w:rFonts w:ascii="GHEA Grapalat" w:hAnsi="GHEA Grapalat"/>
                <w:b w:val="0"/>
                <w:webHidden/>
                <w:sz w:val="20"/>
                <w:szCs w:val="20"/>
              </w:rPr>
              <w:fldChar w:fldCharType="begin"/>
            </w:r>
            <w:r w:rsidR="00A426AA" w:rsidRPr="009D765F">
              <w:rPr>
                <w:rFonts w:ascii="GHEA Grapalat" w:hAnsi="GHEA Grapalat"/>
                <w:b w:val="0"/>
                <w:webHidden/>
                <w:sz w:val="20"/>
                <w:szCs w:val="20"/>
              </w:rPr>
              <w:instrText xml:space="preserve"> PAGEREF _Toc215157696 \h </w:instrText>
            </w:r>
            <w:r w:rsidR="00A426AA" w:rsidRPr="009D765F">
              <w:rPr>
                <w:rFonts w:ascii="GHEA Grapalat" w:hAnsi="GHEA Grapalat"/>
                <w:b w:val="0"/>
                <w:webHidden/>
                <w:sz w:val="20"/>
                <w:szCs w:val="20"/>
              </w:rPr>
            </w:r>
            <w:r w:rsidR="00A426AA" w:rsidRPr="009D765F">
              <w:rPr>
                <w:rFonts w:ascii="GHEA Grapalat" w:hAnsi="GHEA Grapalat"/>
                <w:b w:val="0"/>
                <w:webHidden/>
                <w:sz w:val="20"/>
                <w:szCs w:val="20"/>
              </w:rPr>
              <w:fldChar w:fldCharType="separate"/>
            </w:r>
            <w:r w:rsidR="00A426AA" w:rsidRPr="009D765F">
              <w:rPr>
                <w:rFonts w:ascii="GHEA Grapalat" w:hAnsi="GHEA Grapalat"/>
                <w:b w:val="0"/>
                <w:webHidden/>
                <w:sz w:val="20"/>
                <w:szCs w:val="20"/>
              </w:rPr>
              <w:t>109</w:t>
            </w:r>
            <w:r w:rsidR="00A426AA" w:rsidRPr="009D765F">
              <w:rPr>
                <w:rFonts w:ascii="GHEA Grapalat" w:hAnsi="GHEA Grapalat"/>
                <w:b w:val="0"/>
                <w:webHidden/>
                <w:sz w:val="20"/>
                <w:szCs w:val="20"/>
              </w:rPr>
              <w:fldChar w:fldCharType="end"/>
            </w:r>
          </w:hyperlink>
        </w:p>
        <w:p w14:paraId="3C493D9B" w14:textId="6FD66DB8" w:rsidR="00A426AA" w:rsidRPr="009D765F" w:rsidRDefault="0017075C" w:rsidP="009D765F">
          <w:pPr>
            <w:pStyle w:val="TOC10"/>
            <w:rPr>
              <w:rFonts w:ascii="GHEA Grapalat" w:hAnsi="GHEA Grapalat"/>
              <w:b w:val="0"/>
              <w:color w:val="auto"/>
              <w:sz w:val="20"/>
              <w:szCs w:val="20"/>
              <w:lang w:val="en-US"/>
            </w:rPr>
          </w:pPr>
          <w:hyperlink w:anchor="_Toc215157697" w:history="1">
            <w:r w:rsidR="00A426AA" w:rsidRPr="009D765F">
              <w:rPr>
                <w:rStyle w:val="Hyperlink"/>
                <w:rFonts w:ascii="GHEA Grapalat" w:hAnsi="GHEA Grapalat"/>
                <w:b w:val="0"/>
                <w:sz w:val="20"/>
                <w:szCs w:val="20"/>
              </w:rPr>
              <w:t>ՎԵՐԼՈՒԾՈՒԹՅՈՒՆՆԵՐ</w:t>
            </w:r>
            <w:r w:rsidR="00A426AA" w:rsidRPr="009D765F">
              <w:rPr>
                <w:rFonts w:ascii="GHEA Grapalat" w:hAnsi="GHEA Grapalat"/>
                <w:b w:val="0"/>
                <w:webHidden/>
                <w:sz w:val="20"/>
                <w:szCs w:val="20"/>
              </w:rPr>
              <w:tab/>
            </w:r>
            <w:r w:rsidR="00A426AA" w:rsidRPr="009D765F">
              <w:rPr>
                <w:rFonts w:ascii="GHEA Grapalat" w:hAnsi="GHEA Grapalat"/>
                <w:b w:val="0"/>
                <w:webHidden/>
                <w:sz w:val="20"/>
                <w:szCs w:val="20"/>
              </w:rPr>
              <w:fldChar w:fldCharType="begin"/>
            </w:r>
            <w:r w:rsidR="00A426AA" w:rsidRPr="009D765F">
              <w:rPr>
                <w:rFonts w:ascii="GHEA Grapalat" w:hAnsi="GHEA Grapalat"/>
                <w:b w:val="0"/>
                <w:webHidden/>
                <w:sz w:val="20"/>
                <w:szCs w:val="20"/>
              </w:rPr>
              <w:instrText xml:space="preserve"> PAGEREF _Toc215157697 \h </w:instrText>
            </w:r>
            <w:r w:rsidR="00A426AA" w:rsidRPr="009D765F">
              <w:rPr>
                <w:rFonts w:ascii="GHEA Grapalat" w:hAnsi="GHEA Grapalat"/>
                <w:b w:val="0"/>
                <w:webHidden/>
                <w:sz w:val="20"/>
                <w:szCs w:val="20"/>
              </w:rPr>
            </w:r>
            <w:r w:rsidR="00A426AA" w:rsidRPr="009D765F">
              <w:rPr>
                <w:rFonts w:ascii="GHEA Grapalat" w:hAnsi="GHEA Grapalat"/>
                <w:b w:val="0"/>
                <w:webHidden/>
                <w:sz w:val="20"/>
                <w:szCs w:val="20"/>
              </w:rPr>
              <w:fldChar w:fldCharType="separate"/>
            </w:r>
            <w:r w:rsidR="00A426AA" w:rsidRPr="009D765F">
              <w:rPr>
                <w:rFonts w:ascii="GHEA Grapalat" w:hAnsi="GHEA Grapalat"/>
                <w:b w:val="0"/>
                <w:webHidden/>
                <w:sz w:val="20"/>
                <w:szCs w:val="20"/>
              </w:rPr>
              <w:t>110</w:t>
            </w:r>
            <w:r w:rsidR="00A426AA" w:rsidRPr="009D765F">
              <w:rPr>
                <w:rFonts w:ascii="GHEA Grapalat" w:hAnsi="GHEA Grapalat"/>
                <w:b w:val="0"/>
                <w:webHidden/>
                <w:sz w:val="20"/>
                <w:szCs w:val="20"/>
              </w:rPr>
              <w:fldChar w:fldCharType="end"/>
            </w:r>
          </w:hyperlink>
        </w:p>
        <w:p w14:paraId="60CD2D69" w14:textId="2A4970BD" w:rsidR="00A426AA" w:rsidRPr="009D765F" w:rsidRDefault="0017075C" w:rsidP="009D765F">
          <w:pPr>
            <w:pStyle w:val="TOC20"/>
            <w:ind w:left="0"/>
            <w:rPr>
              <w:rFonts w:ascii="GHEA Grapalat" w:hAnsi="GHEA Grapalat"/>
              <w:b w:val="0"/>
              <w:color w:val="auto"/>
              <w:sz w:val="20"/>
              <w:szCs w:val="20"/>
              <w:lang w:val="en-US"/>
            </w:rPr>
          </w:pPr>
          <w:hyperlink w:anchor="_Toc215157698" w:history="1">
            <w:r w:rsidR="00A426AA" w:rsidRPr="009D765F">
              <w:rPr>
                <w:rStyle w:val="Hyperlink"/>
                <w:rFonts w:ascii="GHEA Grapalat" w:hAnsi="GHEA Grapalat"/>
                <w:b w:val="0"/>
                <w:sz w:val="20"/>
                <w:szCs w:val="20"/>
              </w:rPr>
              <w:t>1. ՀԱՅԱՍՏԱՆԻ ՀԱՆՐԱՊԵՏՈՒԹՅԱՆ ՊԵՏԱԿԱՆ ՊԱՐՏՔԸ</w:t>
            </w:r>
            <w:r w:rsidR="00A426AA" w:rsidRPr="009D765F">
              <w:rPr>
                <w:rFonts w:ascii="GHEA Grapalat" w:hAnsi="GHEA Grapalat"/>
                <w:b w:val="0"/>
                <w:webHidden/>
                <w:sz w:val="20"/>
                <w:szCs w:val="20"/>
              </w:rPr>
              <w:tab/>
            </w:r>
            <w:r w:rsidR="00A426AA" w:rsidRPr="009D765F">
              <w:rPr>
                <w:rFonts w:ascii="GHEA Grapalat" w:hAnsi="GHEA Grapalat"/>
                <w:b w:val="0"/>
                <w:webHidden/>
                <w:sz w:val="20"/>
                <w:szCs w:val="20"/>
              </w:rPr>
              <w:fldChar w:fldCharType="begin"/>
            </w:r>
            <w:r w:rsidR="00A426AA" w:rsidRPr="009D765F">
              <w:rPr>
                <w:rFonts w:ascii="GHEA Grapalat" w:hAnsi="GHEA Grapalat"/>
                <w:b w:val="0"/>
                <w:webHidden/>
                <w:sz w:val="20"/>
                <w:szCs w:val="20"/>
              </w:rPr>
              <w:instrText xml:space="preserve"> PAGEREF _Toc215157698 \h </w:instrText>
            </w:r>
            <w:r w:rsidR="00A426AA" w:rsidRPr="009D765F">
              <w:rPr>
                <w:rFonts w:ascii="GHEA Grapalat" w:hAnsi="GHEA Grapalat"/>
                <w:b w:val="0"/>
                <w:webHidden/>
                <w:sz w:val="20"/>
                <w:szCs w:val="20"/>
              </w:rPr>
            </w:r>
            <w:r w:rsidR="00A426AA" w:rsidRPr="009D765F">
              <w:rPr>
                <w:rFonts w:ascii="GHEA Grapalat" w:hAnsi="GHEA Grapalat"/>
                <w:b w:val="0"/>
                <w:webHidden/>
                <w:sz w:val="20"/>
                <w:szCs w:val="20"/>
              </w:rPr>
              <w:fldChar w:fldCharType="separate"/>
            </w:r>
            <w:r w:rsidR="00A426AA" w:rsidRPr="009D765F">
              <w:rPr>
                <w:rFonts w:ascii="GHEA Grapalat" w:hAnsi="GHEA Grapalat"/>
                <w:b w:val="0"/>
                <w:webHidden/>
                <w:sz w:val="20"/>
                <w:szCs w:val="20"/>
              </w:rPr>
              <w:t>111</w:t>
            </w:r>
            <w:r w:rsidR="00A426AA" w:rsidRPr="009D765F">
              <w:rPr>
                <w:rFonts w:ascii="GHEA Grapalat" w:hAnsi="GHEA Grapalat"/>
                <w:b w:val="0"/>
                <w:webHidden/>
                <w:sz w:val="20"/>
                <w:szCs w:val="20"/>
              </w:rPr>
              <w:fldChar w:fldCharType="end"/>
            </w:r>
          </w:hyperlink>
        </w:p>
        <w:p w14:paraId="3A5407A3" w14:textId="3C3CD5F4" w:rsidR="00A426AA" w:rsidRPr="009D765F" w:rsidRDefault="0017075C" w:rsidP="009D765F">
          <w:pPr>
            <w:pStyle w:val="TOC20"/>
            <w:ind w:left="0"/>
            <w:rPr>
              <w:rFonts w:ascii="GHEA Grapalat" w:hAnsi="GHEA Grapalat"/>
              <w:b w:val="0"/>
              <w:color w:val="auto"/>
              <w:sz w:val="20"/>
              <w:szCs w:val="20"/>
              <w:lang w:val="en-US"/>
            </w:rPr>
          </w:pPr>
          <w:hyperlink w:anchor="_Toc215157699" w:history="1">
            <w:r w:rsidR="00A426AA" w:rsidRPr="009D765F">
              <w:rPr>
                <w:rStyle w:val="Hyperlink"/>
                <w:rFonts w:ascii="GHEA Grapalat" w:hAnsi="GHEA Grapalat"/>
                <w:b w:val="0"/>
                <w:sz w:val="20"/>
                <w:szCs w:val="20"/>
              </w:rPr>
              <w:t>2. ՀԱՐԿԱԲՅՈՒՋԵՏԱՅԻՆ ՌԻՍԿԵՐԻ ԳՆԱՀԱՏՈՒՄ</w:t>
            </w:r>
            <w:r w:rsidR="00A426AA" w:rsidRPr="009D765F">
              <w:rPr>
                <w:rFonts w:ascii="GHEA Grapalat" w:hAnsi="GHEA Grapalat"/>
                <w:b w:val="0"/>
                <w:webHidden/>
                <w:sz w:val="20"/>
                <w:szCs w:val="20"/>
              </w:rPr>
              <w:tab/>
            </w:r>
            <w:r w:rsidR="00A426AA" w:rsidRPr="009D765F">
              <w:rPr>
                <w:rFonts w:ascii="GHEA Grapalat" w:hAnsi="GHEA Grapalat"/>
                <w:b w:val="0"/>
                <w:webHidden/>
                <w:sz w:val="20"/>
                <w:szCs w:val="20"/>
              </w:rPr>
              <w:fldChar w:fldCharType="begin"/>
            </w:r>
            <w:r w:rsidR="00A426AA" w:rsidRPr="009D765F">
              <w:rPr>
                <w:rFonts w:ascii="GHEA Grapalat" w:hAnsi="GHEA Grapalat"/>
                <w:b w:val="0"/>
                <w:webHidden/>
                <w:sz w:val="20"/>
                <w:szCs w:val="20"/>
              </w:rPr>
              <w:instrText xml:space="preserve"> PAGEREF _Toc215157699 \h </w:instrText>
            </w:r>
            <w:r w:rsidR="00A426AA" w:rsidRPr="009D765F">
              <w:rPr>
                <w:rFonts w:ascii="GHEA Grapalat" w:hAnsi="GHEA Grapalat"/>
                <w:b w:val="0"/>
                <w:webHidden/>
                <w:sz w:val="20"/>
                <w:szCs w:val="20"/>
              </w:rPr>
            </w:r>
            <w:r w:rsidR="00A426AA" w:rsidRPr="009D765F">
              <w:rPr>
                <w:rFonts w:ascii="GHEA Grapalat" w:hAnsi="GHEA Grapalat"/>
                <w:b w:val="0"/>
                <w:webHidden/>
                <w:sz w:val="20"/>
                <w:szCs w:val="20"/>
              </w:rPr>
              <w:fldChar w:fldCharType="separate"/>
            </w:r>
            <w:r w:rsidR="00A426AA" w:rsidRPr="009D765F">
              <w:rPr>
                <w:rFonts w:ascii="GHEA Grapalat" w:hAnsi="GHEA Grapalat"/>
                <w:b w:val="0"/>
                <w:webHidden/>
                <w:sz w:val="20"/>
                <w:szCs w:val="20"/>
              </w:rPr>
              <w:t>118</w:t>
            </w:r>
            <w:r w:rsidR="00A426AA" w:rsidRPr="009D765F">
              <w:rPr>
                <w:rFonts w:ascii="GHEA Grapalat" w:hAnsi="GHEA Grapalat"/>
                <w:b w:val="0"/>
                <w:webHidden/>
                <w:sz w:val="20"/>
                <w:szCs w:val="20"/>
              </w:rPr>
              <w:fldChar w:fldCharType="end"/>
            </w:r>
          </w:hyperlink>
        </w:p>
        <w:p w14:paraId="44B5C0AC" w14:textId="7872EFA0" w:rsidR="00A426AA" w:rsidRPr="009D765F" w:rsidRDefault="0017075C" w:rsidP="009D765F">
          <w:pPr>
            <w:pStyle w:val="TOC20"/>
            <w:ind w:left="0"/>
            <w:rPr>
              <w:rFonts w:ascii="GHEA Grapalat" w:hAnsi="GHEA Grapalat"/>
              <w:b w:val="0"/>
              <w:color w:val="auto"/>
              <w:sz w:val="20"/>
              <w:szCs w:val="20"/>
              <w:lang w:val="en-US"/>
            </w:rPr>
          </w:pPr>
          <w:hyperlink w:anchor="_Toc215157700" w:history="1">
            <w:r w:rsidR="00A426AA" w:rsidRPr="009D765F">
              <w:rPr>
                <w:rStyle w:val="Hyperlink"/>
                <w:rFonts w:ascii="GHEA Grapalat" w:hAnsi="GHEA Grapalat"/>
                <w:b w:val="0"/>
                <w:sz w:val="20"/>
                <w:szCs w:val="20"/>
              </w:rPr>
              <w:t>3. ՀԱՏՈՒԿ ՀԱՐԿԱԲՅՈՒՋԵՏԱՅԻՆ ՌԻՍԿԵՐԻ ՎԵՐԼՈՒԾՈՒԹՅՈՒՆ</w:t>
            </w:r>
            <w:r w:rsidR="00A426AA" w:rsidRPr="009D765F">
              <w:rPr>
                <w:rFonts w:ascii="GHEA Grapalat" w:hAnsi="GHEA Grapalat"/>
                <w:b w:val="0"/>
                <w:webHidden/>
                <w:sz w:val="20"/>
                <w:szCs w:val="20"/>
              </w:rPr>
              <w:tab/>
            </w:r>
            <w:r w:rsidR="00A426AA" w:rsidRPr="009D765F">
              <w:rPr>
                <w:rFonts w:ascii="GHEA Grapalat" w:hAnsi="GHEA Grapalat"/>
                <w:b w:val="0"/>
                <w:webHidden/>
                <w:sz w:val="20"/>
                <w:szCs w:val="20"/>
              </w:rPr>
              <w:fldChar w:fldCharType="begin"/>
            </w:r>
            <w:r w:rsidR="00A426AA" w:rsidRPr="009D765F">
              <w:rPr>
                <w:rFonts w:ascii="GHEA Grapalat" w:hAnsi="GHEA Grapalat"/>
                <w:b w:val="0"/>
                <w:webHidden/>
                <w:sz w:val="20"/>
                <w:szCs w:val="20"/>
              </w:rPr>
              <w:instrText xml:space="preserve"> PAGEREF _Toc215157700 \h </w:instrText>
            </w:r>
            <w:r w:rsidR="00A426AA" w:rsidRPr="009D765F">
              <w:rPr>
                <w:rFonts w:ascii="GHEA Grapalat" w:hAnsi="GHEA Grapalat"/>
                <w:b w:val="0"/>
                <w:webHidden/>
                <w:sz w:val="20"/>
                <w:szCs w:val="20"/>
              </w:rPr>
            </w:r>
            <w:r w:rsidR="00A426AA" w:rsidRPr="009D765F">
              <w:rPr>
                <w:rFonts w:ascii="GHEA Grapalat" w:hAnsi="GHEA Grapalat"/>
                <w:b w:val="0"/>
                <w:webHidden/>
                <w:sz w:val="20"/>
                <w:szCs w:val="20"/>
              </w:rPr>
              <w:fldChar w:fldCharType="separate"/>
            </w:r>
            <w:r w:rsidR="00A426AA" w:rsidRPr="009D765F">
              <w:rPr>
                <w:rFonts w:ascii="GHEA Grapalat" w:hAnsi="GHEA Grapalat"/>
                <w:b w:val="0"/>
                <w:webHidden/>
                <w:sz w:val="20"/>
                <w:szCs w:val="20"/>
              </w:rPr>
              <w:t>126</w:t>
            </w:r>
            <w:r w:rsidR="00A426AA" w:rsidRPr="009D765F">
              <w:rPr>
                <w:rFonts w:ascii="GHEA Grapalat" w:hAnsi="GHEA Grapalat"/>
                <w:b w:val="0"/>
                <w:webHidden/>
                <w:sz w:val="20"/>
                <w:szCs w:val="20"/>
              </w:rPr>
              <w:fldChar w:fldCharType="end"/>
            </w:r>
          </w:hyperlink>
        </w:p>
        <w:p w14:paraId="0BAD52C4" w14:textId="7C3F9289" w:rsidR="00A426AA" w:rsidRPr="009D765F" w:rsidRDefault="0017075C" w:rsidP="009D765F">
          <w:pPr>
            <w:pStyle w:val="TOC20"/>
            <w:ind w:left="0"/>
            <w:rPr>
              <w:rFonts w:ascii="GHEA Grapalat" w:hAnsi="GHEA Grapalat"/>
              <w:b w:val="0"/>
              <w:color w:val="auto"/>
              <w:sz w:val="20"/>
              <w:szCs w:val="20"/>
              <w:lang w:val="en-US"/>
            </w:rPr>
          </w:pPr>
          <w:hyperlink w:anchor="_Toc215157701" w:history="1">
            <w:r w:rsidR="00A426AA" w:rsidRPr="009D765F">
              <w:rPr>
                <w:rStyle w:val="Hyperlink"/>
                <w:rFonts w:ascii="GHEA Grapalat" w:hAnsi="GHEA Grapalat"/>
                <w:b w:val="0"/>
                <w:sz w:val="20"/>
                <w:szCs w:val="20"/>
              </w:rPr>
              <w:t>4. 2026 ԹՎԱԿԱՆԻ ՀԱՐԿԱՅԻՆ ԾԱԽՍԵՐԻ ԳՆԱՀԱՏԱԿԱՆԻ ՎԵՐԼՈՒԾՈՒԹՅՈՒՆ</w:t>
            </w:r>
            <w:r w:rsidR="00A426AA" w:rsidRPr="009D765F">
              <w:rPr>
                <w:rFonts w:ascii="GHEA Grapalat" w:hAnsi="GHEA Grapalat"/>
                <w:b w:val="0"/>
                <w:webHidden/>
                <w:sz w:val="20"/>
                <w:szCs w:val="20"/>
              </w:rPr>
              <w:tab/>
            </w:r>
            <w:r w:rsidR="00A426AA" w:rsidRPr="009D765F">
              <w:rPr>
                <w:rFonts w:ascii="GHEA Grapalat" w:hAnsi="GHEA Grapalat"/>
                <w:b w:val="0"/>
                <w:webHidden/>
                <w:sz w:val="20"/>
                <w:szCs w:val="20"/>
              </w:rPr>
              <w:fldChar w:fldCharType="begin"/>
            </w:r>
            <w:r w:rsidR="00A426AA" w:rsidRPr="009D765F">
              <w:rPr>
                <w:rFonts w:ascii="GHEA Grapalat" w:hAnsi="GHEA Grapalat"/>
                <w:b w:val="0"/>
                <w:webHidden/>
                <w:sz w:val="20"/>
                <w:szCs w:val="20"/>
              </w:rPr>
              <w:instrText xml:space="preserve"> PAGEREF _Toc215157701 \h </w:instrText>
            </w:r>
            <w:r w:rsidR="00A426AA" w:rsidRPr="009D765F">
              <w:rPr>
                <w:rFonts w:ascii="GHEA Grapalat" w:hAnsi="GHEA Grapalat"/>
                <w:b w:val="0"/>
                <w:webHidden/>
                <w:sz w:val="20"/>
                <w:szCs w:val="20"/>
              </w:rPr>
            </w:r>
            <w:r w:rsidR="00A426AA" w:rsidRPr="009D765F">
              <w:rPr>
                <w:rFonts w:ascii="GHEA Grapalat" w:hAnsi="GHEA Grapalat"/>
                <w:b w:val="0"/>
                <w:webHidden/>
                <w:sz w:val="20"/>
                <w:szCs w:val="20"/>
              </w:rPr>
              <w:fldChar w:fldCharType="separate"/>
            </w:r>
            <w:r w:rsidR="00A426AA" w:rsidRPr="009D765F">
              <w:rPr>
                <w:rFonts w:ascii="GHEA Grapalat" w:hAnsi="GHEA Grapalat"/>
                <w:b w:val="0"/>
                <w:webHidden/>
                <w:sz w:val="20"/>
                <w:szCs w:val="20"/>
              </w:rPr>
              <w:t>168</w:t>
            </w:r>
            <w:r w:rsidR="00A426AA" w:rsidRPr="009D765F">
              <w:rPr>
                <w:rFonts w:ascii="GHEA Grapalat" w:hAnsi="GHEA Grapalat"/>
                <w:b w:val="0"/>
                <w:webHidden/>
                <w:sz w:val="20"/>
                <w:szCs w:val="20"/>
              </w:rPr>
              <w:fldChar w:fldCharType="end"/>
            </w:r>
          </w:hyperlink>
        </w:p>
        <w:p w14:paraId="134CD93C" w14:textId="0EFA4711" w:rsidR="00A426AA" w:rsidRPr="009D765F" w:rsidRDefault="0017075C" w:rsidP="009D765F">
          <w:pPr>
            <w:pStyle w:val="TOC20"/>
            <w:ind w:left="0"/>
            <w:rPr>
              <w:rFonts w:ascii="GHEA Grapalat" w:hAnsi="GHEA Grapalat"/>
              <w:b w:val="0"/>
              <w:color w:val="auto"/>
              <w:sz w:val="20"/>
              <w:szCs w:val="20"/>
              <w:lang w:val="en-US"/>
            </w:rPr>
          </w:pPr>
          <w:hyperlink w:anchor="_Toc215157702" w:history="1">
            <w:r w:rsidR="00A426AA" w:rsidRPr="009D765F">
              <w:rPr>
                <w:rStyle w:val="Hyperlink"/>
                <w:rFonts w:ascii="GHEA Grapalat" w:hAnsi="GHEA Grapalat"/>
                <w:b w:val="0"/>
                <w:sz w:val="20"/>
                <w:szCs w:val="20"/>
              </w:rPr>
              <w:t>2026 ԹՎԱԿԱՆԻ ՀԱՐԿԱՅԻՆ ԾԱԽՍԵՐԻ ԳՆԱՀԱՏՄԱՆ ՄԵԹՈԴԱԲԱՆՈՒԹՅՈՒՆ</w:t>
            </w:r>
            <w:r w:rsidR="00A426AA" w:rsidRPr="009D765F">
              <w:rPr>
                <w:rFonts w:ascii="GHEA Grapalat" w:hAnsi="GHEA Grapalat"/>
                <w:b w:val="0"/>
                <w:webHidden/>
                <w:sz w:val="20"/>
                <w:szCs w:val="20"/>
              </w:rPr>
              <w:tab/>
            </w:r>
            <w:r w:rsidR="00A426AA" w:rsidRPr="009D765F">
              <w:rPr>
                <w:rFonts w:ascii="GHEA Grapalat" w:hAnsi="GHEA Grapalat"/>
                <w:b w:val="0"/>
                <w:webHidden/>
                <w:sz w:val="20"/>
                <w:szCs w:val="20"/>
              </w:rPr>
              <w:fldChar w:fldCharType="begin"/>
            </w:r>
            <w:r w:rsidR="00A426AA" w:rsidRPr="009D765F">
              <w:rPr>
                <w:rFonts w:ascii="GHEA Grapalat" w:hAnsi="GHEA Grapalat"/>
                <w:b w:val="0"/>
                <w:webHidden/>
                <w:sz w:val="20"/>
                <w:szCs w:val="20"/>
              </w:rPr>
              <w:instrText xml:space="preserve"> PAGEREF _Toc215157702 \h </w:instrText>
            </w:r>
            <w:r w:rsidR="00A426AA" w:rsidRPr="009D765F">
              <w:rPr>
                <w:rFonts w:ascii="GHEA Grapalat" w:hAnsi="GHEA Grapalat"/>
                <w:b w:val="0"/>
                <w:webHidden/>
                <w:sz w:val="20"/>
                <w:szCs w:val="20"/>
              </w:rPr>
            </w:r>
            <w:r w:rsidR="00A426AA" w:rsidRPr="009D765F">
              <w:rPr>
                <w:rFonts w:ascii="GHEA Grapalat" w:hAnsi="GHEA Grapalat"/>
                <w:b w:val="0"/>
                <w:webHidden/>
                <w:sz w:val="20"/>
                <w:szCs w:val="20"/>
              </w:rPr>
              <w:fldChar w:fldCharType="separate"/>
            </w:r>
            <w:r w:rsidR="00A426AA" w:rsidRPr="009D765F">
              <w:rPr>
                <w:rFonts w:ascii="GHEA Grapalat" w:hAnsi="GHEA Grapalat"/>
                <w:b w:val="0"/>
                <w:webHidden/>
                <w:sz w:val="20"/>
                <w:szCs w:val="20"/>
              </w:rPr>
              <w:t>177</w:t>
            </w:r>
            <w:r w:rsidR="00A426AA" w:rsidRPr="009D765F">
              <w:rPr>
                <w:rFonts w:ascii="GHEA Grapalat" w:hAnsi="GHEA Grapalat"/>
                <w:b w:val="0"/>
                <w:webHidden/>
                <w:sz w:val="20"/>
                <w:szCs w:val="20"/>
              </w:rPr>
              <w:fldChar w:fldCharType="end"/>
            </w:r>
          </w:hyperlink>
        </w:p>
        <w:p w14:paraId="063696D6" w14:textId="6DD5E5FF" w:rsidR="00A426AA" w:rsidRPr="00A426AA" w:rsidRDefault="0017075C" w:rsidP="009D765F">
          <w:pPr>
            <w:pStyle w:val="TOC20"/>
            <w:ind w:left="0"/>
            <w:rPr>
              <w:b w:val="0"/>
              <w:color w:val="auto"/>
              <w:lang w:val="en-US"/>
            </w:rPr>
          </w:pPr>
          <w:hyperlink w:anchor="_Toc215157703" w:history="1">
            <w:r w:rsidR="00A426AA" w:rsidRPr="009D765F">
              <w:rPr>
                <w:rStyle w:val="Hyperlink"/>
                <w:rFonts w:ascii="GHEA Grapalat" w:hAnsi="GHEA Grapalat"/>
                <w:b w:val="0"/>
                <w:sz w:val="20"/>
                <w:szCs w:val="20"/>
              </w:rPr>
              <w:t>ՀԱՎԵԼՎԱԾՆԵՐ</w:t>
            </w:r>
            <w:r w:rsidR="00A426AA" w:rsidRPr="009D765F">
              <w:rPr>
                <w:rFonts w:ascii="GHEA Grapalat" w:hAnsi="GHEA Grapalat"/>
                <w:b w:val="0"/>
                <w:webHidden/>
                <w:sz w:val="20"/>
                <w:szCs w:val="20"/>
              </w:rPr>
              <w:tab/>
            </w:r>
            <w:r w:rsidR="00A426AA" w:rsidRPr="009D765F">
              <w:rPr>
                <w:rFonts w:ascii="GHEA Grapalat" w:hAnsi="GHEA Grapalat"/>
                <w:b w:val="0"/>
                <w:webHidden/>
                <w:sz w:val="20"/>
                <w:szCs w:val="20"/>
              </w:rPr>
              <w:fldChar w:fldCharType="begin"/>
            </w:r>
            <w:r w:rsidR="00A426AA" w:rsidRPr="009D765F">
              <w:rPr>
                <w:rFonts w:ascii="GHEA Grapalat" w:hAnsi="GHEA Grapalat"/>
                <w:b w:val="0"/>
                <w:webHidden/>
                <w:sz w:val="20"/>
                <w:szCs w:val="20"/>
              </w:rPr>
              <w:instrText xml:space="preserve"> PAGEREF _Toc215157703 \h </w:instrText>
            </w:r>
            <w:r w:rsidR="00A426AA" w:rsidRPr="009D765F">
              <w:rPr>
                <w:rFonts w:ascii="GHEA Grapalat" w:hAnsi="GHEA Grapalat"/>
                <w:b w:val="0"/>
                <w:webHidden/>
                <w:sz w:val="20"/>
                <w:szCs w:val="20"/>
              </w:rPr>
            </w:r>
            <w:r w:rsidR="00A426AA" w:rsidRPr="009D765F">
              <w:rPr>
                <w:rFonts w:ascii="GHEA Grapalat" w:hAnsi="GHEA Grapalat"/>
                <w:b w:val="0"/>
                <w:webHidden/>
                <w:sz w:val="20"/>
                <w:szCs w:val="20"/>
              </w:rPr>
              <w:fldChar w:fldCharType="separate"/>
            </w:r>
            <w:r w:rsidR="00A426AA" w:rsidRPr="009D765F">
              <w:rPr>
                <w:rFonts w:ascii="GHEA Grapalat" w:hAnsi="GHEA Grapalat"/>
                <w:b w:val="0"/>
                <w:webHidden/>
                <w:sz w:val="20"/>
                <w:szCs w:val="20"/>
              </w:rPr>
              <w:t>183</w:t>
            </w:r>
            <w:r w:rsidR="00A426AA" w:rsidRPr="009D765F">
              <w:rPr>
                <w:rFonts w:ascii="GHEA Grapalat" w:hAnsi="GHEA Grapalat"/>
                <w:b w:val="0"/>
                <w:webHidden/>
                <w:sz w:val="20"/>
                <w:szCs w:val="20"/>
              </w:rPr>
              <w:fldChar w:fldCharType="end"/>
            </w:r>
          </w:hyperlink>
        </w:p>
        <w:p w14:paraId="28E8C4D3" w14:textId="19C87CD0" w:rsidR="00A72B0A" w:rsidRPr="007645A6" w:rsidRDefault="00A72B0A" w:rsidP="009D765F">
          <w:pPr>
            <w:pStyle w:val="TOC10"/>
            <w:rPr>
              <w:rStyle w:val="Hyperlink"/>
              <w:rFonts w:ascii="GHEA Grapalat" w:hAnsi="GHEA Grapalat"/>
              <w:b w:val="0"/>
              <w:sz w:val="20"/>
              <w:szCs w:val="20"/>
              <w:u w:val="none"/>
            </w:rPr>
          </w:pPr>
          <w:r w:rsidRPr="00A426AA">
            <w:rPr>
              <w:rStyle w:val="Hyperlink"/>
              <w:rFonts w:ascii="GHEA Grapalat" w:hAnsi="GHEA Grapalat"/>
              <w:b w:val="0"/>
              <w:sz w:val="20"/>
              <w:szCs w:val="20"/>
            </w:rPr>
            <w:fldChar w:fldCharType="end"/>
          </w:r>
        </w:p>
      </w:sdtContent>
    </w:sdt>
    <w:p w14:paraId="43FC65E1" w14:textId="6430083B" w:rsidR="00E77731" w:rsidRPr="001135EE" w:rsidRDefault="00D41F43" w:rsidP="004560DF">
      <w:r w:rsidRPr="007C2444">
        <w:rPr>
          <w:rFonts w:ascii="GHEA Grapalat" w:hAnsi="GHEA Grapalat"/>
        </w:rPr>
        <w:br w:type="page"/>
      </w:r>
      <w:bookmarkStart w:id="50" w:name="_Toc178611130"/>
      <w:bookmarkStart w:id="51" w:name="_Toc178611270"/>
      <w:bookmarkStart w:id="52" w:name="_Toc178611478"/>
      <w:bookmarkStart w:id="53" w:name="_Toc178612062"/>
      <w:bookmarkStart w:id="54" w:name="_Toc183785469"/>
      <w:r w:rsidR="00E77731" w:rsidRPr="001135EE">
        <w:lastRenderedPageBreak/>
        <w:t>ՕԳՏԱԳՈՐԾՎԱԾ ՀԱՊԱՎՈՒՄՆԵՐԻ ՑԱՆԿ</w:t>
      </w:r>
      <w:bookmarkEnd w:id="50"/>
      <w:bookmarkEnd w:id="51"/>
      <w:bookmarkEnd w:id="52"/>
      <w:bookmarkEnd w:id="53"/>
      <w:bookmarkEnd w:id="54"/>
      <w:bookmarkEnd w:id="49"/>
    </w:p>
    <w:p w14:paraId="44DD4952" w14:textId="77777777" w:rsidR="00E77731" w:rsidRPr="00C3014C" w:rsidRDefault="00E77731" w:rsidP="007A4C49">
      <w:pPr>
        <w:jc w:val="both"/>
      </w:pPr>
    </w:p>
    <w:tbl>
      <w:tblPr>
        <w:tblW w:w="9810" w:type="dxa"/>
        <w:tblLook w:val="04A0" w:firstRow="1" w:lastRow="0" w:firstColumn="1" w:lastColumn="0" w:noHBand="0" w:noVBand="1"/>
      </w:tblPr>
      <w:tblGrid>
        <w:gridCol w:w="1040"/>
        <w:gridCol w:w="8770"/>
      </w:tblGrid>
      <w:tr w:rsidR="00E77731" w:rsidRPr="00C3014C" w14:paraId="03535AD2" w14:textId="77777777" w:rsidTr="00202938">
        <w:tc>
          <w:tcPr>
            <w:tcW w:w="1040" w:type="dxa"/>
            <w:hideMark/>
          </w:tcPr>
          <w:p w14:paraId="7852ADCC" w14:textId="77777777" w:rsidR="00E77731" w:rsidRPr="00A75D09" w:rsidRDefault="00E77731" w:rsidP="00A75D09">
            <w:pPr>
              <w:pStyle w:val="BodyText1"/>
              <w:spacing w:before="0" w:line="240" w:lineRule="auto"/>
              <w:ind w:left="0"/>
              <w:rPr>
                <w:b/>
              </w:rPr>
            </w:pPr>
            <w:r w:rsidRPr="00A75D09">
              <w:rPr>
                <w:b/>
              </w:rPr>
              <w:t>ԱԱՀ</w:t>
            </w:r>
          </w:p>
        </w:tc>
        <w:tc>
          <w:tcPr>
            <w:tcW w:w="8770" w:type="dxa"/>
            <w:hideMark/>
          </w:tcPr>
          <w:p w14:paraId="16E2513D" w14:textId="77777777" w:rsidR="00E77731" w:rsidRPr="00A75D09" w:rsidRDefault="00A75D09" w:rsidP="00A75D09">
            <w:pPr>
              <w:pStyle w:val="BodyText1"/>
              <w:spacing w:before="0" w:line="240" w:lineRule="auto"/>
              <w:rPr>
                <w:lang w:val="hy-AM"/>
              </w:rPr>
            </w:pPr>
            <w:r>
              <w:t>Ա</w:t>
            </w:r>
            <w:r>
              <w:rPr>
                <w:lang w:val="hy-AM"/>
              </w:rPr>
              <w:t>վելացված արժեքի հարկ</w:t>
            </w:r>
          </w:p>
        </w:tc>
      </w:tr>
      <w:tr w:rsidR="00E77731" w:rsidRPr="00C3014C" w14:paraId="7B02BDCD" w14:textId="77777777" w:rsidTr="00202938">
        <w:tc>
          <w:tcPr>
            <w:tcW w:w="1040" w:type="dxa"/>
            <w:hideMark/>
          </w:tcPr>
          <w:p w14:paraId="2FCFCC9C" w14:textId="77777777" w:rsidR="00E77731" w:rsidRPr="00A75D09" w:rsidRDefault="00E77731" w:rsidP="00A75D09">
            <w:pPr>
              <w:pStyle w:val="BodyText1"/>
              <w:spacing w:before="0" w:line="240" w:lineRule="auto"/>
              <w:ind w:left="0"/>
              <w:rPr>
                <w:b/>
              </w:rPr>
            </w:pPr>
            <w:r w:rsidRPr="00A75D09">
              <w:rPr>
                <w:b/>
              </w:rPr>
              <w:t>ԱԶԲ</w:t>
            </w:r>
          </w:p>
        </w:tc>
        <w:tc>
          <w:tcPr>
            <w:tcW w:w="8770" w:type="dxa"/>
            <w:hideMark/>
          </w:tcPr>
          <w:p w14:paraId="51E9377E" w14:textId="77777777" w:rsidR="00E77731" w:rsidRPr="00C3014C" w:rsidRDefault="00E77731" w:rsidP="00A75D09">
            <w:pPr>
              <w:pStyle w:val="BodyText1"/>
              <w:spacing w:before="0" w:line="240" w:lineRule="auto"/>
            </w:pPr>
            <w:r w:rsidRPr="00C3014C">
              <w:t>Ասիական զարգացման բանկ</w:t>
            </w:r>
          </w:p>
        </w:tc>
      </w:tr>
      <w:tr w:rsidR="00E77731" w:rsidRPr="00C3014C" w14:paraId="77F047DF" w14:textId="77777777" w:rsidTr="00202938">
        <w:tc>
          <w:tcPr>
            <w:tcW w:w="1040" w:type="dxa"/>
            <w:hideMark/>
          </w:tcPr>
          <w:p w14:paraId="33386A4B" w14:textId="77777777" w:rsidR="00E77731" w:rsidRPr="00A75D09" w:rsidRDefault="00E77731" w:rsidP="00A75D09">
            <w:pPr>
              <w:pStyle w:val="BodyText1"/>
              <w:spacing w:before="0" w:line="240" w:lineRule="auto"/>
              <w:ind w:left="0"/>
              <w:rPr>
                <w:b/>
              </w:rPr>
            </w:pPr>
            <w:r w:rsidRPr="00A75D09">
              <w:rPr>
                <w:b/>
              </w:rPr>
              <w:t>ԱԷԿ</w:t>
            </w:r>
          </w:p>
        </w:tc>
        <w:tc>
          <w:tcPr>
            <w:tcW w:w="8770" w:type="dxa"/>
            <w:hideMark/>
          </w:tcPr>
          <w:p w14:paraId="16528CCD" w14:textId="77777777" w:rsidR="00E77731" w:rsidRPr="00C3014C" w:rsidRDefault="00E77731" w:rsidP="00A75D09">
            <w:pPr>
              <w:pStyle w:val="BodyText1"/>
              <w:spacing w:before="0" w:line="240" w:lineRule="auto"/>
            </w:pPr>
            <w:r w:rsidRPr="00C3014C">
              <w:t>Ատոմային էլեկտրակայան</w:t>
            </w:r>
          </w:p>
        </w:tc>
      </w:tr>
      <w:tr w:rsidR="00E77731" w:rsidRPr="009D765F" w14:paraId="14140B04" w14:textId="77777777" w:rsidTr="00202938">
        <w:tc>
          <w:tcPr>
            <w:tcW w:w="1040" w:type="dxa"/>
            <w:hideMark/>
          </w:tcPr>
          <w:p w14:paraId="18A69782" w14:textId="4D9676AE" w:rsidR="00743D62" w:rsidRPr="00743D62" w:rsidRDefault="00743D62" w:rsidP="00A75D09">
            <w:pPr>
              <w:pStyle w:val="BodyText1"/>
              <w:spacing w:before="0" w:line="240" w:lineRule="auto"/>
              <w:ind w:left="0"/>
              <w:rPr>
                <w:b/>
                <w:lang w:val="hy-AM"/>
              </w:rPr>
            </w:pPr>
            <w:r>
              <w:rPr>
                <w:b/>
                <w:lang w:val="hy-AM"/>
              </w:rPr>
              <w:t>ԱՀԿ</w:t>
            </w:r>
          </w:p>
          <w:p w14:paraId="58022714" w14:textId="33107007" w:rsidR="00E77731" w:rsidRPr="00A75D09" w:rsidRDefault="00E77731" w:rsidP="00A75D09">
            <w:pPr>
              <w:pStyle w:val="BodyText1"/>
              <w:spacing w:before="0" w:line="240" w:lineRule="auto"/>
              <w:ind w:left="0"/>
              <w:rPr>
                <w:b/>
                <w:lang w:val="hy-AM"/>
              </w:rPr>
            </w:pPr>
            <w:r w:rsidRPr="00A75D09">
              <w:rPr>
                <w:b/>
              </w:rPr>
              <w:t>ԱՄՆ</w:t>
            </w:r>
          </w:p>
        </w:tc>
        <w:tc>
          <w:tcPr>
            <w:tcW w:w="8770" w:type="dxa"/>
            <w:hideMark/>
          </w:tcPr>
          <w:p w14:paraId="65BCEE83" w14:textId="73AB5C2A" w:rsidR="00743D62" w:rsidRPr="00743D62" w:rsidRDefault="00743D62" w:rsidP="00A75D09">
            <w:pPr>
              <w:pStyle w:val="BodyText1"/>
              <w:spacing w:before="0" w:line="240" w:lineRule="auto"/>
              <w:rPr>
                <w:lang w:val="hy-AM"/>
              </w:rPr>
            </w:pPr>
            <w:r>
              <w:rPr>
                <w:lang w:val="hy-AM"/>
              </w:rPr>
              <w:t>Առողջապահության համաշխարհային կազմակերպություն</w:t>
            </w:r>
          </w:p>
          <w:p w14:paraId="65A207D9" w14:textId="2EB16002" w:rsidR="00E77731" w:rsidRPr="00B67765" w:rsidRDefault="00E77731" w:rsidP="00A75D09">
            <w:pPr>
              <w:pStyle w:val="BodyText1"/>
              <w:spacing w:before="0" w:line="240" w:lineRule="auto"/>
              <w:rPr>
                <w:lang w:val="hy-AM"/>
              </w:rPr>
            </w:pPr>
            <w:r w:rsidRPr="00B67765">
              <w:rPr>
                <w:lang w:val="hy-AM"/>
              </w:rPr>
              <w:t>Ամերիկայի միացյալ նահանգներ</w:t>
            </w:r>
          </w:p>
        </w:tc>
      </w:tr>
      <w:tr w:rsidR="00E77731" w:rsidRPr="00C3014C" w14:paraId="390E9EC7" w14:textId="77777777" w:rsidTr="00202938">
        <w:tc>
          <w:tcPr>
            <w:tcW w:w="1040" w:type="dxa"/>
            <w:hideMark/>
          </w:tcPr>
          <w:p w14:paraId="38B0A753" w14:textId="77777777" w:rsidR="00E77731" w:rsidRPr="00A75D09" w:rsidRDefault="00E77731" w:rsidP="00A75D09">
            <w:pPr>
              <w:pStyle w:val="BodyText1"/>
              <w:spacing w:before="0" w:line="240" w:lineRule="auto"/>
              <w:ind w:left="0"/>
              <w:rPr>
                <w:b/>
              </w:rPr>
            </w:pPr>
            <w:r w:rsidRPr="00A75D09">
              <w:rPr>
                <w:b/>
              </w:rPr>
              <w:t>ԱՄՀ</w:t>
            </w:r>
          </w:p>
        </w:tc>
        <w:tc>
          <w:tcPr>
            <w:tcW w:w="8770" w:type="dxa"/>
            <w:hideMark/>
          </w:tcPr>
          <w:p w14:paraId="6C0FE69A" w14:textId="77777777" w:rsidR="00E77731" w:rsidRPr="00C3014C" w:rsidRDefault="00E77731" w:rsidP="00A75D09">
            <w:pPr>
              <w:pStyle w:val="BodyText1"/>
              <w:spacing w:before="0" w:line="240" w:lineRule="auto"/>
            </w:pPr>
            <w:r w:rsidRPr="00C3014C">
              <w:t>Արժույթի միջազգային հիմնադրամ</w:t>
            </w:r>
          </w:p>
        </w:tc>
      </w:tr>
      <w:tr w:rsidR="00E77731" w:rsidRPr="00C3014C" w14:paraId="1798D101" w14:textId="77777777" w:rsidTr="00202938">
        <w:tc>
          <w:tcPr>
            <w:tcW w:w="1040" w:type="dxa"/>
            <w:hideMark/>
          </w:tcPr>
          <w:p w14:paraId="00EE0373" w14:textId="77777777" w:rsidR="00E77731" w:rsidRPr="00A75D09" w:rsidRDefault="00E77731" w:rsidP="00A75D09">
            <w:pPr>
              <w:pStyle w:val="BodyText1"/>
              <w:spacing w:before="0" w:line="240" w:lineRule="auto"/>
              <w:ind w:left="0"/>
              <w:rPr>
                <w:b/>
              </w:rPr>
            </w:pPr>
            <w:r w:rsidRPr="00A75D09">
              <w:rPr>
                <w:b/>
              </w:rPr>
              <w:t>ԱՊՀ</w:t>
            </w:r>
          </w:p>
        </w:tc>
        <w:tc>
          <w:tcPr>
            <w:tcW w:w="8770" w:type="dxa"/>
            <w:hideMark/>
          </w:tcPr>
          <w:p w14:paraId="46070D5F" w14:textId="77777777" w:rsidR="00E77731" w:rsidRPr="00C3014C" w:rsidRDefault="00E77731" w:rsidP="00A75D09">
            <w:pPr>
              <w:pStyle w:val="BodyText1"/>
              <w:spacing w:before="0" w:line="240" w:lineRule="auto"/>
            </w:pPr>
            <w:r w:rsidRPr="00C3014C">
              <w:t>Անկախ պետությունների համագործակցություն</w:t>
            </w:r>
          </w:p>
        </w:tc>
      </w:tr>
      <w:tr w:rsidR="00743D62" w:rsidRPr="00C3014C" w14:paraId="65ED0677" w14:textId="77777777" w:rsidTr="00202938">
        <w:tc>
          <w:tcPr>
            <w:tcW w:w="1040" w:type="dxa"/>
          </w:tcPr>
          <w:p w14:paraId="49E15801" w14:textId="7CFB1281" w:rsidR="00743D62" w:rsidRPr="00743D62" w:rsidRDefault="00743D62" w:rsidP="00A75D09">
            <w:pPr>
              <w:pStyle w:val="BodyText1"/>
              <w:spacing w:before="0" w:line="240" w:lineRule="auto"/>
              <w:ind w:left="0"/>
              <w:rPr>
                <w:b/>
                <w:lang w:val="hy-AM"/>
              </w:rPr>
            </w:pPr>
            <w:r>
              <w:rPr>
                <w:b/>
                <w:lang w:val="hy-AM"/>
              </w:rPr>
              <w:t>ԲՏՃՄ</w:t>
            </w:r>
          </w:p>
        </w:tc>
        <w:tc>
          <w:tcPr>
            <w:tcW w:w="8770" w:type="dxa"/>
          </w:tcPr>
          <w:p w14:paraId="64FA005E" w14:textId="4FAA67EB" w:rsidR="00743D62" w:rsidRPr="00743D62" w:rsidRDefault="00743D62" w:rsidP="00A75D09">
            <w:pPr>
              <w:pStyle w:val="BodyText1"/>
              <w:spacing w:before="0" w:line="240" w:lineRule="auto"/>
              <w:rPr>
                <w:lang w:val="hy-AM"/>
              </w:rPr>
            </w:pPr>
            <w:r>
              <w:rPr>
                <w:lang w:val="hy-AM"/>
              </w:rPr>
              <w:t>Բնագիտություն, տեխնոլոգիա, ճարտարագիտության, մաթեմատիկա</w:t>
            </w:r>
          </w:p>
        </w:tc>
      </w:tr>
      <w:tr w:rsidR="00E77731" w:rsidRPr="00C3014C" w14:paraId="7DF9C616" w14:textId="77777777" w:rsidTr="00202938">
        <w:tc>
          <w:tcPr>
            <w:tcW w:w="1040" w:type="dxa"/>
            <w:hideMark/>
          </w:tcPr>
          <w:p w14:paraId="5C96C9FC" w14:textId="77777777" w:rsidR="00E77731" w:rsidRPr="00A75D09" w:rsidRDefault="00E77731" w:rsidP="00A75D09">
            <w:pPr>
              <w:pStyle w:val="BodyText1"/>
              <w:spacing w:before="0" w:line="240" w:lineRule="auto"/>
              <w:ind w:left="0"/>
              <w:rPr>
                <w:b/>
                <w:lang w:val="hy-AM"/>
              </w:rPr>
            </w:pPr>
            <w:r w:rsidRPr="00A75D09">
              <w:rPr>
                <w:b/>
              </w:rPr>
              <w:t>ԲՈՒՀ</w:t>
            </w:r>
          </w:p>
        </w:tc>
        <w:tc>
          <w:tcPr>
            <w:tcW w:w="8770" w:type="dxa"/>
            <w:hideMark/>
          </w:tcPr>
          <w:p w14:paraId="1FCFB259" w14:textId="77777777" w:rsidR="00E77731" w:rsidRPr="00C3014C" w:rsidRDefault="00E77731" w:rsidP="00A75D09">
            <w:pPr>
              <w:pStyle w:val="BodyText1"/>
              <w:spacing w:before="0" w:line="240" w:lineRule="auto"/>
            </w:pPr>
            <w:r w:rsidRPr="00C3014C">
              <w:t>Բարձրագույն ուսումնական հաստատություն</w:t>
            </w:r>
          </w:p>
        </w:tc>
      </w:tr>
      <w:tr w:rsidR="00E77731" w:rsidRPr="00C3014C" w14:paraId="1A33ABD5" w14:textId="77777777" w:rsidTr="00202938">
        <w:tc>
          <w:tcPr>
            <w:tcW w:w="1040" w:type="dxa"/>
            <w:hideMark/>
          </w:tcPr>
          <w:p w14:paraId="67C55D61" w14:textId="77777777" w:rsidR="00E77731" w:rsidRPr="00A75D09" w:rsidRDefault="00E77731" w:rsidP="00A75D09">
            <w:pPr>
              <w:pStyle w:val="BodyText1"/>
              <w:spacing w:before="0" w:line="240" w:lineRule="auto"/>
              <w:ind w:left="0"/>
              <w:rPr>
                <w:b/>
              </w:rPr>
            </w:pPr>
            <w:r w:rsidRPr="00A75D09">
              <w:rPr>
                <w:b/>
              </w:rPr>
              <w:t>ԵԱՀԿ</w:t>
            </w:r>
          </w:p>
        </w:tc>
        <w:tc>
          <w:tcPr>
            <w:tcW w:w="8770" w:type="dxa"/>
            <w:hideMark/>
          </w:tcPr>
          <w:p w14:paraId="199C3F43" w14:textId="77777777" w:rsidR="00E77731" w:rsidRPr="00C3014C" w:rsidRDefault="00E77731" w:rsidP="00A75D09">
            <w:pPr>
              <w:pStyle w:val="BodyText1"/>
              <w:spacing w:before="0" w:line="240" w:lineRule="auto"/>
            </w:pPr>
            <w:r w:rsidRPr="00C3014C">
              <w:t>Եվրոպայում Անվտանգության և Համագործակցության Կազմակերպություն</w:t>
            </w:r>
          </w:p>
        </w:tc>
      </w:tr>
      <w:tr w:rsidR="00E77731" w:rsidRPr="009D765F" w14:paraId="6BE7B57D" w14:textId="77777777" w:rsidTr="00202938">
        <w:tc>
          <w:tcPr>
            <w:tcW w:w="1040" w:type="dxa"/>
            <w:hideMark/>
          </w:tcPr>
          <w:p w14:paraId="4B53D096" w14:textId="2995C7CE" w:rsidR="00743D62" w:rsidRDefault="00E77731" w:rsidP="00A75D09">
            <w:pPr>
              <w:pStyle w:val="BodyText1"/>
              <w:spacing w:before="0" w:line="240" w:lineRule="auto"/>
              <w:ind w:left="0"/>
              <w:rPr>
                <w:b/>
              </w:rPr>
            </w:pPr>
            <w:r w:rsidRPr="00A75D09">
              <w:rPr>
                <w:b/>
              </w:rPr>
              <w:t>ԵԱՏՄ</w:t>
            </w:r>
          </w:p>
          <w:p w14:paraId="721EE088" w14:textId="413250FF" w:rsidR="00E77731" w:rsidRPr="00743D62" w:rsidRDefault="00743D62" w:rsidP="00743D62">
            <w:pPr>
              <w:rPr>
                <w:b/>
                <w:lang w:val="hy-AM"/>
              </w:rPr>
            </w:pPr>
            <w:r w:rsidRPr="00743D62">
              <w:rPr>
                <w:b/>
                <w:lang w:val="hy-AM"/>
              </w:rPr>
              <w:t>ԵՆԲ</w:t>
            </w:r>
          </w:p>
        </w:tc>
        <w:tc>
          <w:tcPr>
            <w:tcW w:w="8770" w:type="dxa"/>
            <w:hideMark/>
          </w:tcPr>
          <w:p w14:paraId="1E0CBD99" w14:textId="77777777" w:rsidR="00E77731" w:rsidRPr="00B67765" w:rsidRDefault="00E77731" w:rsidP="00A75D09">
            <w:pPr>
              <w:pStyle w:val="BodyText1"/>
              <w:spacing w:before="0" w:line="240" w:lineRule="auto"/>
              <w:rPr>
                <w:lang w:val="hy-AM"/>
              </w:rPr>
            </w:pPr>
            <w:r w:rsidRPr="00B67765">
              <w:rPr>
                <w:lang w:val="hy-AM"/>
              </w:rPr>
              <w:t>Եվրասիական տնտեսական միություն</w:t>
            </w:r>
          </w:p>
          <w:p w14:paraId="6975EBE6" w14:textId="2163DB6E" w:rsidR="00743D62" w:rsidRPr="00743D62" w:rsidRDefault="00743D62" w:rsidP="00743D62">
            <w:pPr>
              <w:tabs>
                <w:tab w:val="left" w:pos="600"/>
              </w:tabs>
              <w:rPr>
                <w:lang w:val="hy-AM"/>
              </w:rPr>
            </w:pPr>
            <w:r>
              <w:rPr>
                <w:lang w:val="hy-AM"/>
              </w:rPr>
              <w:t xml:space="preserve">       Եվրոպական ներդրումային բանկ</w:t>
            </w:r>
          </w:p>
        </w:tc>
      </w:tr>
      <w:tr w:rsidR="00E77731" w:rsidRPr="00C3014C" w14:paraId="730CA319" w14:textId="77777777" w:rsidTr="00202938">
        <w:tc>
          <w:tcPr>
            <w:tcW w:w="1040" w:type="dxa"/>
            <w:hideMark/>
          </w:tcPr>
          <w:p w14:paraId="332A5B92" w14:textId="77777777" w:rsidR="00E77731" w:rsidRPr="00A75D09" w:rsidRDefault="00E77731" w:rsidP="00A75D09">
            <w:pPr>
              <w:pStyle w:val="BodyText1"/>
              <w:spacing w:before="0" w:line="240" w:lineRule="auto"/>
              <w:ind w:left="0"/>
              <w:rPr>
                <w:b/>
              </w:rPr>
            </w:pPr>
            <w:r w:rsidRPr="00A75D09">
              <w:rPr>
                <w:b/>
              </w:rPr>
              <w:t>ԵՄ</w:t>
            </w:r>
          </w:p>
        </w:tc>
        <w:tc>
          <w:tcPr>
            <w:tcW w:w="8770" w:type="dxa"/>
            <w:hideMark/>
          </w:tcPr>
          <w:p w14:paraId="7B07BDE3" w14:textId="77777777" w:rsidR="00E77731" w:rsidRPr="00C3014C" w:rsidRDefault="00E77731" w:rsidP="00A75D09">
            <w:pPr>
              <w:pStyle w:val="BodyText1"/>
              <w:spacing w:before="0" w:line="240" w:lineRule="auto"/>
            </w:pPr>
            <w:r w:rsidRPr="00C3014C">
              <w:t>Եվրոպական միություն</w:t>
            </w:r>
          </w:p>
        </w:tc>
      </w:tr>
      <w:tr w:rsidR="00E77731" w:rsidRPr="00C3014C" w14:paraId="3092BF01" w14:textId="77777777" w:rsidTr="00202938">
        <w:tc>
          <w:tcPr>
            <w:tcW w:w="1040" w:type="dxa"/>
            <w:hideMark/>
          </w:tcPr>
          <w:p w14:paraId="46D9FD2D" w14:textId="77777777" w:rsidR="00E77731" w:rsidRPr="00A75D09" w:rsidRDefault="00E77731" w:rsidP="00A75D09">
            <w:pPr>
              <w:pStyle w:val="BodyText1"/>
              <w:spacing w:before="0" w:line="240" w:lineRule="auto"/>
              <w:ind w:left="0"/>
              <w:rPr>
                <w:b/>
              </w:rPr>
            </w:pPr>
            <w:r w:rsidRPr="00A75D09">
              <w:rPr>
                <w:b/>
              </w:rPr>
              <w:t>ԶՄԲ</w:t>
            </w:r>
          </w:p>
        </w:tc>
        <w:tc>
          <w:tcPr>
            <w:tcW w:w="8770" w:type="dxa"/>
            <w:hideMark/>
          </w:tcPr>
          <w:p w14:paraId="33D2945F" w14:textId="77777777" w:rsidR="00E77731" w:rsidRPr="00C3014C" w:rsidRDefault="00E77731" w:rsidP="00A75D09">
            <w:pPr>
              <w:pStyle w:val="BodyText1"/>
              <w:spacing w:before="0" w:line="240" w:lineRule="auto"/>
            </w:pPr>
            <w:r w:rsidRPr="00C3014C">
              <w:t>Զարգացման Միջազգային Բանկ</w:t>
            </w:r>
          </w:p>
        </w:tc>
      </w:tr>
      <w:tr w:rsidR="00E77731" w:rsidRPr="00C3014C" w14:paraId="0001755A" w14:textId="77777777" w:rsidTr="00202938">
        <w:tc>
          <w:tcPr>
            <w:tcW w:w="1040" w:type="dxa"/>
            <w:hideMark/>
          </w:tcPr>
          <w:p w14:paraId="08B64F93" w14:textId="77777777" w:rsidR="00E77731" w:rsidRPr="00A75D09" w:rsidRDefault="00E77731" w:rsidP="00A75D09">
            <w:pPr>
              <w:pStyle w:val="BodyText1"/>
              <w:spacing w:before="0" w:line="240" w:lineRule="auto"/>
              <w:ind w:left="0"/>
              <w:rPr>
                <w:b/>
              </w:rPr>
            </w:pPr>
            <w:r w:rsidRPr="00A75D09">
              <w:rPr>
                <w:b/>
              </w:rPr>
              <w:t>ԶԼՄ</w:t>
            </w:r>
          </w:p>
        </w:tc>
        <w:tc>
          <w:tcPr>
            <w:tcW w:w="8770" w:type="dxa"/>
            <w:hideMark/>
          </w:tcPr>
          <w:p w14:paraId="55177572" w14:textId="77777777" w:rsidR="00E77731" w:rsidRPr="00C3014C" w:rsidRDefault="00E77731" w:rsidP="00A75D09">
            <w:pPr>
              <w:pStyle w:val="BodyText1"/>
              <w:spacing w:before="0" w:line="240" w:lineRule="auto"/>
            </w:pPr>
            <w:r w:rsidRPr="00C3014C">
              <w:t>Զանգվածային լրատվության միջոց</w:t>
            </w:r>
          </w:p>
        </w:tc>
      </w:tr>
      <w:tr w:rsidR="00E77731" w:rsidRPr="00C3014C" w14:paraId="67BF9084" w14:textId="77777777" w:rsidTr="00202938">
        <w:tc>
          <w:tcPr>
            <w:tcW w:w="1040" w:type="dxa"/>
            <w:hideMark/>
          </w:tcPr>
          <w:p w14:paraId="52FFB67D" w14:textId="77777777" w:rsidR="00E77731" w:rsidRPr="00A75D09" w:rsidRDefault="00E77731" w:rsidP="00A75D09">
            <w:pPr>
              <w:pStyle w:val="BodyText1"/>
              <w:spacing w:before="0" w:line="240" w:lineRule="auto"/>
              <w:ind w:left="0"/>
              <w:rPr>
                <w:b/>
              </w:rPr>
            </w:pPr>
            <w:r w:rsidRPr="00A75D09">
              <w:rPr>
                <w:b/>
              </w:rPr>
              <w:t>ԸԿԲՆ</w:t>
            </w:r>
          </w:p>
        </w:tc>
        <w:tc>
          <w:tcPr>
            <w:tcW w:w="8770" w:type="dxa"/>
            <w:hideMark/>
          </w:tcPr>
          <w:p w14:paraId="3708CD7A" w14:textId="77777777" w:rsidR="00E77731" w:rsidRPr="00C3014C" w:rsidRDefault="00E77731" w:rsidP="00A75D09">
            <w:pPr>
              <w:pStyle w:val="BodyText1"/>
              <w:spacing w:before="0" w:line="240" w:lineRule="auto"/>
            </w:pPr>
            <w:r w:rsidRPr="00C3014C">
              <w:t>Ընտանիքի կենսամակարդակի բարձրացմանն ուղղված նպաստներ</w:t>
            </w:r>
          </w:p>
        </w:tc>
      </w:tr>
      <w:tr w:rsidR="00E77731" w:rsidRPr="00C3014C" w14:paraId="7E64E950" w14:textId="77777777" w:rsidTr="00202938">
        <w:tc>
          <w:tcPr>
            <w:tcW w:w="1040" w:type="dxa"/>
            <w:hideMark/>
          </w:tcPr>
          <w:p w14:paraId="0F9803C7" w14:textId="77777777" w:rsidR="00E77731" w:rsidRPr="00A75D09" w:rsidRDefault="00E77731" w:rsidP="00A75D09">
            <w:pPr>
              <w:pStyle w:val="BodyText1"/>
              <w:spacing w:before="0" w:line="240" w:lineRule="auto"/>
              <w:ind w:left="0"/>
              <w:rPr>
                <w:b/>
                <w:lang w:val="hy-AM"/>
              </w:rPr>
            </w:pPr>
            <w:r w:rsidRPr="00A75D09">
              <w:rPr>
                <w:b/>
              </w:rPr>
              <w:t>ԽՍՀՄ</w:t>
            </w:r>
          </w:p>
        </w:tc>
        <w:tc>
          <w:tcPr>
            <w:tcW w:w="8770" w:type="dxa"/>
            <w:hideMark/>
          </w:tcPr>
          <w:p w14:paraId="55D5993F" w14:textId="77777777" w:rsidR="00E77731" w:rsidRPr="00C3014C" w:rsidRDefault="00E77731" w:rsidP="00A75D09">
            <w:pPr>
              <w:pStyle w:val="BodyText1"/>
              <w:spacing w:before="0" w:line="240" w:lineRule="auto"/>
            </w:pPr>
            <w:r w:rsidRPr="00C3014C">
              <w:t>Խորհրդային</w:t>
            </w:r>
            <w:r w:rsidRPr="00C3014C">
              <w:rPr>
                <w:rFonts w:ascii="Calibri" w:hAnsi="Calibri" w:cs="Calibri"/>
              </w:rPr>
              <w:t> </w:t>
            </w:r>
            <w:r w:rsidRPr="00C3014C">
              <w:t xml:space="preserve">Սոցիալիստական Հանրապետությունների Միություն </w:t>
            </w:r>
          </w:p>
        </w:tc>
      </w:tr>
      <w:tr w:rsidR="00E77731" w:rsidRPr="00C3014C" w14:paraId="616AC3EE" w14:textId="77777777" w:rsidTr="00202938">
        <w:tc>
          <w:tcPr>
            <w:tcW w:w="1040" w:type="dxa"/>
            <w:hideMark/>
          </w:tcPr>
          <w:p w14:paraId="0057A3B1" w14:textId="77777777" w:rsidR="00E77731" w:rsidRPr="00A75D09" w:rsidRDefault="00E77731" w:rsidP="00A75D09">
            <w:pPr>
              <w:pStyle w:val="BodyText1"/>
              <w:spacing w:before="0" w:line="240" w:lineRule="auto"/>
              <w:ind w:left="0"/>
              <w:rPr>
                <w:b/>
              </w:rPr>
            </w:pPr>
            <w:r w:rsidRPr="00A75D09">
              <w:rPr>
                <w:b/>
              </w:rPr>
              <w:t>ԿԲ</w:t>
            </w:r>
          </w:p>
        </w:tc>
        <w:tc>
          <w:tcPr>
            <w:tcW w:w="8770" w:type="dxa"/>
            <w:hideMark/>
          </w:tcPr>
          <w:p w14:paraId="3D2F7A11" w14:textId="77777777" w:rsidR="00E77731" w:rsidRPr="00C3014C" w:rsidRDefault="00E77731" w:rsidP="00A75D09">
            <w:pPr>
              <w:pStyle w:val="BodyText1"/>
              <w:spacing w:before="0" w:line="240" w:lineRule="auto"/>
            </w:pPr>
            <w:r w:rsidRPr="00C3014C">
              <w:t>ՀՀ Կենտրոնական բանկ</w:t>
            </w:r>
          </w:p>
        </w:tc>
      </w:tr>
      <w:tr w:rsidR="00E77731" w:rsidRPr="00C3014C" w14:paraId="39872EED" w14:textId="77777777" w:rsidTr="00202938">
        <w:tc>
          <w:tcPr>
            <w:tcW w:w="1040" w:type="dxa"/>
            <w:hideMark/>
          </w:tcPr>
          <w:p w14:paraId="57EB5CF2" w14:textId="77777777" w:rsidR="00E77731" w:rsidRPr="00A75D09" w:rsidRDefault="00E77731" w:rsidP="00A75D09">
            <w:pPr>
              <w:pStyle w:val="BodyText1"/>
              <w:spacing w:before="0" w:line="240" w:lineRule="auto"/>
              <w:ind w:left="0"/>
              <w:rPr>
                <w:b/>
              </w:rPr>
            </w:pPr>
            <w:r w:rsidRPr="00A75D09">
              <w:rPr>
                <w:b/>
              </w:rPr>
              <w:t>ԿԳՄՍՆ</w:t>
            </w:r>
          </w:p>
        </w:tc>
        <w:tc>
          <w:tcPr>
            <w:tcW w:w="8770" w:type="dxa"/>
            <w:hideMark/>
          </w:tcPr>
          <w:p w14:paraId="7B59A7CC" w14:textId="77777777" w:rsidR="00E77731" w:rsidRPr="00C3014C" w:rsidRDefault="00E77731" w:rsidP="00A75D09">
            <w:pPr>
              <w:pStyle w:val="BodyText1"/>
              <w:spacing w:before="0" w:line="240" w:lineRule="auto"/>
            </w:pPr>
            <w:r w:rsidRPr="00C3014C">
              <w:t>ՀՀ Կրթության, գիտության, մշակույթի և սպորտի նախարարություն</w:t>
            </w:r>
          </w:p>
        </w:tc>
      </w:tr>
      <w:tr w:rsidR="00E77731" w:rsidRPr="00C3014C" w14:paraId="7BE8923C" w14:textId="77777777" w:rsidTr="00202938">
        <w:tc>
          <w:tcPr>
            <w:tcW w:w="1040" w:type="dxa"/>
            <w:hideMark/>
          </w:tcPr>
          <w:p w14:paraId="78934416" w14:textId="77777777" w:rsidR="00E77731" w:rsidRPr="00A75D09" w:rsidRDefault="00E77731" w:rsidP="00A75D09">
            <w:pPr>
              <w:pStyle w:val="BodyText1"/>
              <w:spacing w:before="0" w:line="240" w:lineRule="auto"/>
              <w:ind w:left="0"/>
              <w:rPr>
                <w:b/>
              </w:rPr>
            </w:pPr>
            <w:r w:rsidRPr="00A75D09">
              <w:rPr>
                <w:b/>
              </w:rPr>
              <w:t>ՀԲ</w:t>
            </w:r>
          </w:p>
        </w:tc>
        <w:tc>
          <w:tcPr>
            <w:tcW w:w="8770" w:type="dxa"/>
            <w:hideMark/>
          </w:tcPr>
          <w:p w14:paraId="44A7FED9" w14:textId="77777777" w:rsidR="00E77731" w:rsidRPr="00C3014C" w:rsidRDefault="00E77731" w:rsidP="00A75D09">
            <w:pPr>
              <w:pStyle w:val="BodyText1"/>
              <w:spacing w:before="0" w:line="240" w:lineRule="auto"/>
            </w:pPr>
            <w:r w:rsidRPr="00C3014C">
              <w:t>Համաշխարհային բանկ</w:t>
            </w:r>
          </w:p>
        </w:tc>
      </w:tr>
      <w:tr w:rsidR="00E77731" w:rsidRPr="00C3014C" w14:paraId="20CDC115" w14:textId="77777777" w:rsidTr="00202938">
        <w:tc>
          <w:tcPr>
            <w:tcW w:w="1040" w:type="dxa"/>
            <w:hideMark/>
          </w:tcPr>
          <w:p w14:paraId="243F0BF9" w14:textId="77777777" w:rsidR="00E77731" w:rsidRPr="00A75D09" w:rsidRDefault="00E77731" w:rsidP="00A75D09">
            <w:pPr>
              <w:pStyle w:val="BodyText1"/>
              <w:spacing w:before="0" w:line="240" w:lineRule="auto"/>
              <w:ind w:left="0"/>
              <w:rPr>
                <w:b/>
              </w:rPr>
            </w:pPr>
            <w:r w:rsidRPr="00A75D09">
              <w:rPr>
                <w:b/>
              </w:rPr>
              <w:t>ՀՀ</w:t>
            </w:r>
          </w:p>
        </w:tc>
        <w:tc>
          <w:tcPr>
            <w:tcW w:w="8770" w:type="dxa"/>
            <w:hideMark/>
          </w:tcPr>
          <w:p w14:paraId="21BB12D2" w14:textId="77777777" w:rsidR="00E77731" w:rsidRPr="00C3014C" w:rsidRDefault="00E77731" w:rsidP="00A75D09">
            <w:pPr>
              <w:pStyle w:val="BodyText1"/>
              <w:spacing w:before="0" w:line="240" w:lineRule="auto"/>
            </w:pPr>
            <w:r w:rsidRPr="00C3014C">
              <w:t>Հայաստանի Հանրապետություն</w:t>
            </w:r>
          </w:p>
        </w:tc>
      </w:tr>
      <w:tr w:rsidR="00E77731" w:rsidRPr="00C3014C" w14:paraId="22C2370C" w14:textId="77777777" w:rsidTr="00202938">
        <w:tc>
          <w:tcPr>
            <w:tcW w:w="1040" w:type="dxa"/>
            <w:hideMark/>
          </w:tcPr>
          <w:p w14:paraId="1074FE5A" w14:textId="77777777" w:rsidR="00E77731" w:rsidRPr="00A75D09" w:rsidRDefault="00E77731" w:rsidP="00A75D09">
            <w:pPr>
              <w:pStyle w:val="BodyText1"/>
              <w:spacing w:before="0" w:line="240" w:lineRule="auto"/>
              <w:ind w:left="0"/>
              <w:rPr>
                <w:b/>
              </w:rPr>
            </w:pPr>
            <w:r w:rsidRPr="00A75D09">
              <w:rPr>
                <w:b/>
              </w:rPr>
              <w:t>ՀՆԱ</w:t>
            </w:r>
          </w:p>
        </w:tc>
        <w:tc>
          <w:tcPr>
            <w:tcW w:w="8770" w:type="dxa"/>
            <w:hideMark/>
          </w:tcPr>
          <w:p w14:paraId="734E6D40" w14:textId="77777777" w:rsidR="00E77731" w:rsidRPr="00C3014C" w:rsidRDefault="00E77731" w:rsidP="00A75D09">
            <w:pPr>
              <w:pStyle w:val="BodyText1"/>
              <w:spacing w:before="0" w:line="240" w:lineRule="auto"/>
            </w:pPr>
            <w:r w:rsidRPr="00C3014C">
              <w:t>Համախառն ներքին արդյունք</w:t>
            </w:r>
          </w:p>
        </w:tc>
      </w:tr>
      <w:tr w:rsidR="00E77731" w:rsidRPr="00C3014C" w14:paraId="29F0C99A" w14:textId="77777777" w:rsidTr="00202938">
        <w:tc>
          <w:tcPr>
            <w:tcW w:w="1040" w:type="dxa"/>
            <w:hideMark/>
          </w:tcPr>
          <w:p w14:paraId="0FC69883" w14:textId="77777777" w:rsidR="00E77731" w:rsidRPr="00A75D09" w:rsidRDefault="00E77731" w:rsidP="00A75D09">
            <w:pPr>
              <w:pStyle w:val="BodyText1"/>
              <w:spacing w:before="0" w:line="240" w:lineRule="auto"/>
              <w:ind w:left="0"/>
              <w:rPr>
                <w:b/>
              </w:rPr>
            </w:pPr>
            <w:r w:rsidRPr="00A75D09">
              <w:rPr>
                <w:b/>
              </w:rPr>
              <w:t>ՀԾԿՀ</w:t>
            </w:r>
          </w:p>
        </w:tc>
        <w:tc>
          <w:tcPr>
            <w:tcW w:w="8770" w:type="dxa"/>
            <w:hideMark/>
          </w:tcPr>
          <w:p w14:paraId="50D58233" w14:textId="77777777" w:rsidR="00E77731" w:rsidRPr="00C3014C" w:rsidRDefault="00E77731" w:rsidP="00A75D09">
            <w:pPr>
              <w:pStyle w:val="BodyText1"/>
              <w:spacing w:before="0" w:line="240" w:lineRule="auto"/>
            </w:pPr>
            <w:r w:rsidRPr="00C3014C">
              <w:t xml:space="preserve">ՀՀ Հանրային ծառայությունները կարգավորող հանձնաժողով </w:t>
            </w:r>
          </w:p>
        </w:tc>
      </w:tr>
      <w:tr w:rsidR="00E77731" w:rsidRPr="00C3014C" w14:paraId="0BF45413" w14:textId="77777777" w:rsidTr="00202938">
        <w:tc>
          <w:tcPr>
            <w:tcW w:w="1040" w:type="dxa"/>
            <w:hideMark/>
          </w:tcPr>
          <w:p w14:paraId="1572E214" w14:textId="77777777" w:rsidR="00E77731" w:rsidRPr="00A75D09" w:rsidRDefault="00E77731" w:rsidP="00A75D09">
            <w:pPr>
              <w:pStyle w:val="BodyText1"/>
              <w:spacing w:before="0" w:line="240" w:lineRule="auto"/>
              <w:ind w:left="0"/>
              <w:rPr>
                <w:b/>
              </w:rPr>
            </w:pPr>
            <w:r w:rsidRPr="00A75D09">
              <w:rPr>
                <w:b/>
              </w:rPr>
              <w:t>ՀԽՍՀ</w:t>
            </w:r>
          </w:p>
        </w:tc>
        <w:tc>
          <w:tcPr>
            <w:tcW w:w="8770" w:type="dxa"/>
            <w:hideMark/>
          </w:tcPr>
          <w:p w14:paraId="7357D787" w14:textId="77777777" w:rsidR="00E77731" w:rsidRPr="00C3014C" w:rsidRDefault="00E77731" w:rsidP="00A75D09">
            <w:pPr>
              <w:pStyle w:val="BodyText1"/>
              <w:spacing w:before="0" w:line="240" w:lineRule="auto"/>
            </w:pPr>
            <w:r w:rsidRPr="00C3014C">
              <w:t>Հայկական Խորհրդային Սոցիալիստական Հանրապետություն</w:t>
            </w:r>
          </w:p>
        </w:tc>
      </w:tr>
      <w:tr w:rsidR="00E77731" w:rsidRPr="00C3014C" w14:paraId="7C28E0BA" w14:textId="77777777" w:rsidTr="00202938">
        <w:tc>
          <w:tcPr>
            <w:tcW w:w="1040" w:type="dxa"/>
            <w:hideMark/>
          </w:tcPr>
          <w:p w14:paraId="374A2476" w14:textId="77777777" w:rsidR="00E77731" w:rsidRPr="00A75D09" w:rsidRDefault="00E77731" w:rsidP="00A75D09">
            <w:pPr>
              <w:pStyle w:val="BodyText1"/>
              <w:spacing w:before="0" w:line="240" w:lineRule="auto"/>
              <w:ind w:left="0"/>
              <w:rPr>
                <w:b/>
              </w:rPr>
            </w:pPr>
            <w:r w:rsidRPr="00A75D09">
              <w:rPr>
                <w:b/>
              </w:rPr>
              <w:t>ՁԻԱՀ</w:t>
            </w:r>
          </w:p>
        </w:tc>
        <w:tc>
          <w:tcPr>
            <w:tcW w:w="8770" w:type="dxa"/>
            <w:hideMark/>
          </w:tcPr>
          <w:p w14:paraId="32658840" w14:textId="77777777" w:rsidR="00E77731" w:rsidRPr="00C3014C" w:rsidRDefault="00E77731" w:rsidP="00A75D09">
            <w:pPr>
              <w:pStyle w:val="BodyText1"/>
              <w:spacing w:before="0" w:line="240" w:lineRule="auto"/>
            </w:pPr>
            <w:r w:rsidRPr="00C3014C">
              <w:t>Ձեռքբերովի</w:t>
            </w:r>
            <w:r w:rsidRPr="00C3014C">
              <w:rPr>
                <w:rFonts w:ascii="Calibri" w:hAnsi="Calibri" w:cs="Calibri"/>
              </w:rPr>
              <w:t> </w:t>
            </w:r>
            <w:r w:rsidRPr="00C3014C">
              <w:t>իմունային անբավարարության համախտանիշ</w:t>
            </w:r>
          </w:p>
        </w:tc>
      </w:tr>
      <w:tr w:rsidR="00743D62" w:rsidRPr="00C3014C" w14:paraId="72C7C7E3" w14:textId="77777777" w:rsidTr="00202938">
        <w:tc>
          <w:tcPr>
            <w:tcW w:w="1040" w:type="dxa"/>
          </w:tcPr>
          <w:p w14:paraId="66C3E28D" w14:textId="5903A536" w:rsidR="00743D62" w:rsidRPr="00743D62" w:rsidRDefault="00743D62" w:rsidP="00A75D09">
            <w:pPr>
              <w:pStyle w:val="BodyText1"/>
              <w:spacing w:before="0" w:line="240" w:lineRule="auto"/>
              <w:ind w:left="0"/>
              <w:rPr>
                <w:b/>
                <w:lang w:val="hy-AM"/>
              </w:rPr>
            </w:pPr>
            <w:r>
              <w:rPr>
                <w:b/>
                <w:lang w:val="hy-AM"/>
              </w:rPr>
              <w:t>ՄԱԿ</w:t>
            </w:r>
          </w:p>
        </w:tc>
        <w:tc>
          <w:tcPr>
            <w:tcW w:w="8770" w:type="dxa"/>
          </w:tcPr>
          <w:p w14:paraId="03D7398F" w14:textId="43D02B9A" w:rsidR="00743D62" w:rsidRPr="00743D62" w:rsidRDefault="00743D62" w:rsidP="00A75D09">
            <w:pPr>
              <w:pStyle w:val="BodyText1"/>
              <w:spacing w:before="0" w:line="240" w:lineRule="auto"/>
              <w:rPr>
                <w:lang w:val="hy-AM"/>
              </w:rPr>
            </w:pPr>
            <w:r>
              <w:rPr>
                <w:lang w:val="hy-AM"/>
              </w:rPr>
              <w:t>Միացյալ ազգերի կազմակերպություն</w:t>
            </w:r>
          </w:p>
        </w:tc>
      </w:tr>
      <w:tr w:rsidR="00E77731" w:rsidRPr="00C3014C" w14:paraId="7EF065BA" w14:textId="77777777" w:rsidTr="00202938">
        <w:tc>
          <w:tcPr>
            <w:tcW w:w="1040" w:type="dxa"/>
            <w:hideMark/>
          </w:tcPr>
          <w:p w14:paraId="47424BD6" w14:textId="77777777" w:rsidR="00E77731" w:rsidRPr="00A75D09" w:rsidRDefault="00E77731" w:rsidP="00A75D09">
            <w:pPr>
              <w:pStyle w:val="BodyText1"/>
              <w:spacing w:before="0" w:line="240" w:lineRule="auto"/>
              <w:ind w:left="0"/>
              <w:rPr>
                <w:b/>
              </w:rPr>
            </w:pPr>
            <w:r w:rsidRPr="00A75D09">
              <w:rPr>
                <w:b/>
              </w:rPr>
              <w:t>ՄԻԱՎ</w:t>
            </w:r>
          </w:p>
        </w:tc>
        <w:tc>
          <w:tcPr>
            <w:tcW w:w="8770" w:type="dxa"/>
            <w:hideMark/>
          </w:tcPr>
          <w:p w14:paraId="55642BC7" w14:textId="77777777" w:rsidR="00E77731" w:rsidRPr="00C3014C" w:rsidRDefault="00E77731" w:rsidP="00A75D09">
            <w:pPr>
              <w:pStyle w:val="BodyText1"/>
              <w:spacing w:before="0" w:line="240" w:lineRule="auto"/>
            </w:pPr>
            <w:r w:rsidRPr="00C3014C">
              <w:t>Մարդու իմունային անբավարարության վիրուս</w:t>
            </w:r>
          </w:p>
        </w:tc>
      </w:tr>
      <w:tr w:rsidR="00E77731" w:rsidRPr="00C3014C" w14:paraId="236D5B1E" w14:textId="77777777" w:rsidTr="00202938">
        <w:tc>
          <w:tcPr>
            <w:tcW w:w="1040" w:type="dxa"/>
            <w:hideMark/>
          </w:tcPr>
          <w:p w14:paraId="677B9B1C" w14:textId="77777777" w:rsidR="00E77731" w:rsidRPr="00A75D09" w:rsidRDefault="00E77731" w:rsidP="00A75D09">
            <w:pPr>
              <w:pStyle w:val="BodyText1"/>
              <w:spacing w:before="0" w:line="240" w:lineRule="auto"/>
              <w:ind w:left="0"/>
              <w:rPr>
                <w:b/>
              </w:rPr>
            </w:pPr>
            <w:r w:rsidRPr="00A75D09">
              <w:rPr>
                <w:b/>
              </w:rPr>
              <w:t>ՄԺԾԾ</w:t>
            </w:r>
          </w:p>
        </w:tc>
        <w:tc>
          <w:tcPr>
            <w:tcW w:w="8770" w:type="dxa"/>
            <w:hideMark/>
          </w:tcPr>
          <w:p w14:paraId="0BFA7BD5" w14:textId="77777777" w:rsidR="00E77731" w:rsidRPr="00C3014C" w:rsidRDefault="00E77731" w:rsidP="00A75D09">
            <w:pPr>
              <w:pStyle w:val="BodyText1"/>
              <w:spacing w:before="0" w:line="240" w:lineRule="auto"/>
            </w:pPr>
            <w:r w:rsidRPr="00C3014C">
              <w:t>ՀՀ պետական միջնաժամկետ ծախսերի ծրագիր</w:t>
            </w:r>
          </w:p>
        </w:tc>
      </w:tr>
      <w:tr w:rsidR="00E77731" w:rsidRPr="00C3014C" w14:paraId="23674CC5" w14:textId="77777777" w:rsidTr="00202938">
        <w:tc>
          <w:tcPr>
            <w:tcW w:w="1040" w:type="dxa"/>
            <w:hideMark/>
          </w:tcPr>
          <w:p w14:paraId="354D6557" w14:textId="77777777" w:rsidR="00E77731" w:rsidRPr="00A75D09" w:rsidRDefault="00E77731" w:rsidP="00A75D09">
            <w:pPr>
              <w:pStyle w:val="BodyText1"/>
              <w:spacing w:before="0" w:line="240" w:lineRule="auto"/>
              <w:ind w:left="0"/>
              <w:rPr>
                <w:b/>
              </w:rPr>
            </w:pPr>
            <w:r w:rsidRPr="00A75D09">
              <w:rPr>
                <w:b/>
              </w:rPr>
              <w:t>ՊԵԿ</w:t>
            </w:r>
          </w:p>
        </w:tc>
        <w:tc>
          <w:tcPr>
            <w:tcW w:w="8770" w:type="dxa"/>
            <w:hideMark/>
          </w:tcPr>
          <w:p w14:paraId="75359378" w14:textId="77777777" w:rsidR="00E77731" w:rsidRPr="00C3014C" w:rsidRDefault="00E77731" w:rsidP="00A75D09">
            <w:pPr>
              <w:pStyle w:val="BodyText1"/>
              <w:spacing w:before="0" w:line="240" w:lineRule="auto"/>
            </w:pPr>
            <w:r w:rsidRPr="00C3014C">
              <w:t xml:space="preserve">ՀՀ Պետական եկամուտների կոմիտե </w:t>
            </w:r>
          </w:p>
        </w:tc>
      </w:tr>
      <w:tr w:rsidR="00E77731" w:rsidRPr="00C3014C" w14:paraId="6F27D7DC" w14:textId="77777777" w:rsidTr="00202938">
        <w:tc>
          <w:tcPr>
            <w:tcW w:w="1040" w:type="dxa"/>
            <w:hideMark/>
          </w:tcPr>
          <w:p w14:paraId="4CF8E3E1" w14:textId="77777777" w:rsidR="00E77731" w:rsidRPr="00A75D09" w:rsidRDefault="00E77731" w:rsidP="00A75D09">
            <w:pPr>
              <w:pStyle w:val="BodyText1"/>
              <w:spacing w:before="0" w:line="240" w:lineRule="auto"/>
              <w:ind w:left="0"/>
              <w:rPr>
                <w:b/>
              </w:rPr>
            </w:pPr>
            <w:r w:rsidRPr="00A75D09">
              <w:rPr>
                <w:b/>
              </w:rPr>
              <w:t>ՊՄԳ</w:t>
            </w:r>
          </w:p>
        </w:tc>
        <w:tc>
          <w:tcPr>
            <w:tcW w:w="8770" w:type="dxa"/>
            <w:hideMark/>
          </w:tcPr>
          <w:p w14:paraId="034AFF11" w14:textId="77777777" w:rsidR="00E77731" w:rsidRPr="00C3014C" w:rsidRDefault="00E77731" w:rsidP="00A75D09">
            <w:pPr>
              <w:pStyle w:val="BodyText1"/>
              <w:spacing w:before="0" w:line="240" w:lineRule="auto"/>
            </w:pPr>
            <w:r w:rsidRPr="00C3014C">
              <w:t>Պետություն-մասնավոր գործընկերություն</w:t>
            </w:r>
          </w:p>
        </w:tc>
      </w:tr>
      <w:tr w:rsidR="00E77731" w:rsidRPr="00C3014C" w14:paraId="77345BD4" w14:textId="77777777" w:rsidTr="00202938">
        <w:tc>
          <w:tcPr>
            <w:tcW w:w="1040" w:type="dxa"/>
            <w:hideMark/>
          </w:tcPr>
          <w:p w14:paraId="669104F7" w14:textId="77777777" w:rsidR="00E77731" w:rsidRPr="00A75D09" w:rsidRDefault="00E77731" w:rsidP="00A75D09">
            <w:pPr>
              <w:pStyle w:val="BodyText1"/>
              <w:spacing w:before="0" w:line="240" w:lineRule="auto"/>
              <w:ind w:left="0"/>
              <w:rPr>
                <w:b/>
              </w:rPr>
            </w:pPr>
            <w:r w:rsidRPr="00A75D09">
              <w:rPr>
                <w:b/>
              </w:rPr>
              <w:lastRenderedPageBreak/>
              <w:t>ՊՆ</w:t>
            </w:r>
          </w:p>
        </w:tc>
        <w:tc>
          <w:tcPr>
            <w:tcW w:w="8770" w:type="dxa"/>
            <w:hideMark/>
          </w:tcPr>
          <w:p w14:paraId="647853D1" w14:textId="77777777" w:rsidR="00E77731" w:rsidRPr="00C3014C" w:rsidRDefault="00E77731" w:rsidP="00A75D09">
            <w:pPr>
              <w:pStyle w:val="BodyText1"/>
              <w:spacing w:before="0" w:line="240" w:lineRule="auto"/>
            </w:pPr>
            <w:r w:rsidRPr="00C3014C">
              <w:t>ՀՀ Պաշտպանության նախարարություն</w:t>
            </w:r>
          </w:p>
        </w:tc>
      </w:tr>
      <w:tr w:rsidR="00E77731" w:rsidRPr="00C3014C" w14:paraId="017CC1D6" w14:textId="77777777" w:rsidTr="00202938">
        <w:tc>
          <w:tcPr>
            <w:tcW w:w="1040" w:type="dxa"/>
            <w:hideMark/>
          </w:tcPr>
          <w:p w14:paraId="2EB3CB3A" w14:textId="77777777" w:rsidR="00E77731" w:rsidRPr="00A75D09" w:rsidRDefault="00E77731" w:rsidP="00A75D09">
            <w:pPr>
              <w:pStyle w:val="BodyText1"/>
              <w:spacing w:before="0" w:line="240" w:lineRule="auto"/>
              <w:ind w:left="0"/>
              <w:rPr>
                <w:b/>
              </w:rPr>
            </w:pPr>
            <w:r w:rsidRPr="00A75D09">
              <w:rPr>
                <w:b/>
              </w:rPr>
              <w:t>ՊՈԱԿ</w:t>
            </w:r>
          </w:p>
        </w:tc>
        <w:tc>
          <w:tcPr>
            <w:tcW w:w="8770" w:type="dxa"/>
            <w:hideMark/>
          </w:tcPr>
          <w:p w14:paraId="4288499C" w14:textId="77777777" w:rsidR="00E77731" w:rsidRPr="00C3014C" w:rsidRDefault="00E77731" w:rsidP="00A75D09">
            <w:pPr>
              <w:pStyle w:val="BodyText1"/>
              <w:spacing w:before="0" w:line="240" w:lineRule="auto"/>
            </w:pPr>
            <w:r w:rsidRPr="00C3014C">
              <w:t>Պետական ոչ առևտրային կազմակերպություն</w:t>
            </w:r>
          </w:p>
        </w:tc>
      </w:tr>
      <w:tr w:rsidR="00E77731" w:rsidRPr="00C3014C" w14:paraId="6893BCE5" w14:textId="77777777" w:rsidTr="00202938">
        <w:tc>
          <w:tcPr>
            <w:tcW w:w="1040" w:type="dxa"/>
            <w:hideMark/>
          </w:tcPr>
          <w:p w14:paraId="514DAE45" w14:textId="77777777" w:rsidR="00E77731" w:rsidRPr="00A75D09" w:rsidRDefault="00E77731" w:rsidP="00A75D09">
            <w:pPr>
              <w:pStyle w:val="BodyText1"/>
              <w:spacing w:before="0" w:line="240" w:lineRule="auto"/>
              <w:ind w:left="0"/>
              <w:rPr>
                <w:b/>
              </w:rPr>
            </w:pPr>
            <w:r w:rsidRPr="00A75D09">
              <w:rPr>
                <w:b/>
              </w:rPr>
              <w:t>ՌԴ</w:t>
            </w:r>
          </w:p>
        </w:tc>
        <w:tc>
          <w:tcPr>
            <w:tcW w:w="8770" w:type="dxa"/>
            <w:hideMark/>
          </w:tcPr>
          <w:p w14:paraId="2C237D89" w14:textId="77777777" w:rsidR="00E77731" w:rsidRPr="00C3014C" w:rsidRDefault="00E77731" w:rsidP="00A75D09">
            <w:pPr>
              <w:pStyle w:val="BodyText1"/>
              <w:spacing w:before="0" w:line="240" w:lineRule="auto"/>
            </w:pPr>
            <w:r w:rsidRPr="00C3014C">
              <w:t xml:space="preserve">Ռուսաստանի Դաշնություն </w:t>
            </w:r>
          </w:p>
        </w:tc>
      </w:tr>
      <w:tr w:rsidR="00E77731" w:rsidRPr="00C3014C" w14:paraId="4A60BB8A" w14:textId="77777777" w:rsidTr="00202938">
        <w:tc>
          <w:tcPr>
            <w:tcW w:w="1040" w:type="dxa"/>
            <w:hideMark/>
          </w:tcPr>
          <w:p w14:paraId="06C28C04" w14:textId="77777777" w:rsidR="00E77731" w:rsidRPr="00A75D09" w:rsidRDefault="00E77731" w:rsidP="00A75D09">
            <w:pPr>
              <w:pStyle w:val="BodyText1"/>
              <w:spacing w:before="0" w:line="240" w:lineRule="auto"/>
              <w:ind w:left="0"/>
              <w:rPr>
                <w:b/>
              </w:rPr>
            </w:pPr>
            <w:r w:rsidRPr="00A75D09">
              <w:rPr>
                <w:b/>
              </w:rPr>
              <w:t>ՍԳԻ</w:t>
            </w:r>
          </w:p>
        </w:tc>
        <w:tc>
          <w:tcPr>
            <w:tcW w:w="8770" w:type="dxa"/>
            <w:hideMark/>
          </w:tcPr>
          <w:p w14:paraId="70821B5D" w14:textId="77777777" w:rsidR="00E77731" w:rsidRPr="00C3014C" w:rsidRDefault="00E77731" w:rsidP="00A75D09">
            <w:pPr>
              <w:pStyle w:val="BodyText1"/>
              <w:spacing w:before="0" w:line="240" w:lineRule="auto"/>
            </w:pPr>
            <w:r w:rsidRPr="00C3014C">
              <w:t>Սպառողական գների ինդեքս</w:t>
            </w:r>
          </w:p>
        </w:tc>
      </w:tr>
      <w:tr w:rsidR="00E77731" w:rsidRPr="00C3014C" w14:paraId="7C5D9F1A" w14:textId="77777777" w:rsidTr="00202938">
        <w:tc>
          <w:tcPr>
            <w:tcW w:w="1040" w:type="dxa"/>
            <w:hideMark/>
          </w:tcPr>
          <w:p w14:paraId="7C07879A" w14:textId="77777777" w:rsidR="00E77731" w:rsidRPr="00A75D09" w:rsidRDefault="00E77731" w:rsidP="00A75D09">
            <w:pPr>
              <w:pStyle w:val="BodyText1"/>
              <w:spacing w:before="0" w:line="240" w:lineRule="auto"/>
              <w:ind w:left="0"/>
              <w:rPr>
                <w:b/>
              </w:rPr>
            </w:pPr>
            <w:r w:rsidRPr="00A75D09">
              <w:rPr>
                <w:b/>
              </w:rPr>
              <w:t>ՎԶՄԲ</w:t>
            </w:r>
          </w:p>
        </w:tc>
        <w:tc>
          <w:tcPr>
            <w:tcW w:w="8770" w:type="dxa"/>
            <w:hideMark/>
          </w:tcPr>
          <w:p w14:paraId="47EA236B" w14:textId="77777777" w:rsidR="00E77731" w:rsidRPr="00C3014C" w:rsidRDefault="00E77731" w:rsidP="00A75D09">
            <w:pPr>
              <w:pStyle w:val="BodyText1"/>
              <w:spacing w:before="0" w:line="240" w:lineRule="auto"/>
            </w:pPr>
            <w:r w:rsidRPr="00C3014C">
              <w:t>Վերակառուցման և զարգացման միջազգային բանկ</w:t>
            </w:r>
          </w:p>
        </w:tc>
      </w:tr>
      <w:tr w:rsidR="00E77731" w:rsidRPr="00C3014C" w14:paraId="0A95BA80" w14:textId="77777777" w:rsidTr="00202938">
        <w:tc>
          <w:tcPr>
            <w:tcW w:w="1040" w:type="dxa"/>
            <w:hideMark/>
          </w:tcPr>
          <w:p w14:paraId="2EADA37B" w14:textId="77777777" w:rsidR="00E77731" w:rsidRPr="00A75D09" w:rsidRDefault="00E77731" w:rsidP="00A75D09">
            <w:pPr>
              <w:pStyle w:val="BodyText1"/>
              <w:spacing w:before="0" w:line="240" w:lineRule="auto"/>
              <w:ind w:left="0"/>
              <w:rPr>
                <w:b/>
              </w:rPr>
            </w:pPr>
            <w:r w:rsidRPr="00A75D09">
              <w:rPr>
                <w:b/>
              </w:rPr>
              <w:t>ՏԻՄ</w:t>
            </w:r>
          </w:p>
        </w:tc>
        <w:tc>
          <w:tcPr>
            <w:tcW w:w="8770" w:type="dxa"/>
            <w:hideMark/>
          </w:tcPr>
          <w:p w14:paraId="5665630C" w14:textId="77777777" w:rsidR="00E77731" w:rsidRPr="00C3014C" w:rsidRDefault="00E77731" w:rsidP="00A75D09">
            <w:pPr>
              <w:pStyle w:val="BodyText1"/>
              <w:spacing w:before="0" w:line="240" w:lineRule="auto"/>
            </w:pPr>
            <w:r w:rsidRPr="00C3014C">
              <w:t>Տեղական ինքնակառավարում</w:t>
            </w:r>
          </w:p>
        </w:tc>
      </w:tr>
      <w:tr w:rsidR="00743D62" w:rsidRPr="009D765F" w14:paraId="51D8C59B" w14:textId="77777777" w:rsidTr="00202938">
        <w:tc>
          <w:tcPr>
            <w:tcW w:w="1040" w:type="dxa"/>
          </w:tcPr>
          <w:p w14:paraId="4E2C4D83" w14:textId="1E924410" w:rsidR="00743D62" w:rsidRPr="00743D62" w:rsidRDefault="00743D62" w:rsidP="00A75D09">
            <w:pPr>
              <w:pStyle w:val="BodyText1"/>
              <w:spacing w:before="0" w:line="240" w:lineRule="auto"/>
              <w:ind w:left="0"/>
              <w:rPr>
                <w:b/>
                <w:lang w:val="hy-AM"/>
              </w:rPr>
            </w:pPr>
            <w:r>
              <w:rPr>
                <w:b/>
                <w:lang w:val="hy-AM"/>
              </w:rPr>
              <w:t>ՏՀԶԿ</w:t>
            </w:r>
          </w:p>
        </w:tc>
        <w:tc>
          <w:tcPr>
            <w:tcW w:w="8770" w:type="dxa"/>
          </w:tcPr>
          <w:p w14:paraId="14A67B66" w14:textId="21B9EB0E" w:rsidR="00743D62" w:rsidRPr="00743D62" w:rsidRDefault="00743D62" w:rsidP="00A75D09">
            <w:pPr>
              <w:pStyle w:val="BodyText1"/>
              <w:spacing w:before="0" w:line="240" w:lineRule="auto"/>
              <w:rPr>
                <w:lang w:val="hy-AM"/>
              </w:rPr>
            </w:pPr>
            <w:r>
              <w:rPr>
                <w:lang w:val="hy-AM"/>
              </w:rPr>
              <w:t>Տնտեսական համագործակցության և զարգացման կազմակերպություն</w:t>
            </w:r>
          </w:p>
        </w:tc>
      </w:tr>
      <w:tr w:rsidR="00743D62" w:rsidRPr="00743D62" w14:paraId="7C4F7BCA" w14:textId="77777777" w:rsidTr="00202938">
        <w:tc>
          <w:tcPr>
            <w:tcW w:w="1040" w:type="dxa"/>
          </w:tcPr>
          <w:p w14:paraId="3E8ED429" w14:textId="16AFB3B8" w:rsidR="00743D62" w:rsidRPr="00743D62" w:rsidRDefault="00743D62" w:rsidP="00A75D09">
            <w:pPr>
              <w:pStyle w:val="BodyText1"/>
              <w:spacing w:before="0" w:line="240" w:lineRule="auto"/>
              <w:ind w:left="0"/>
              <w:rPr>
                <w:b/>
                <w:lang w:val="hy-AM"/>
              </w:rPr>
            </w:pPr>
            <w:r>
              <w:rPr>
                <w:b/>
                <w:lang w:val="hy-AM"/>
              </w:rPr>
              <w:t>ՏՀՏ</w:t>
            </w:r>
          </w:p>
        </w:tc>
        <w:tc>
          <w:tcPr>
            <w:tcW w:w="8770" w:type="dxa"/>
          </w:tcPr>
          <w:p w14:paraId="086DEDFB" w14:textId="008A186C" w:rsidR="00743D62" w:rsidRPr="00743D62" w:rsidRDefault="00743D62" w:rsidP="00A75D09">
            <w:pPr>
              <w:pStyle w:val="BodyText1"/>
              <w:spacing w:before="0" w:line="240" w:lineRule="auto"/>
              <w:rPr>
                <w:lang w:val="hy-AM"/>
              </w:rPr>
            </w:pPr>
            <w:r>
              <w:rPr>
                <w:lang w:val="hy-AM"/>
              </w:rPr>
              <w:t>Տեղեկատվական և հաղորդակցման տեխնոլոգիաներ</w:t>
            </w:r>
          </w:p>
        </w:tc>
      </w:tr>
      <w:tr w:rsidR="00E77731" w:rsidRPr="00C3014C" w14:paraId="6C80A4E0" w14:textId="77777777" w:rsidTr="00202938">
        <w:tc>
          <w:tcPr>
            <w:tcW w:w="1040" w:type="dxa"/>
            <w:hideMark/>
          </w:tcPr>
          <w:p w14:paraId="2D206CA2" w14:textId="77777777" w:rsidR="00E77731" w:rsidRPr="00A75D09" w:rsidRDefault="00E77731" w:rsidP="00A75D09">
            <w:pPr>
              <w:pStyle w:val="BodyText1"/>
              <w:spacing w:before="0" w:line="240" w:lineRule="auto"/>
              <w:ind w:left="0"/>
              <w:rPr>
                <w:b/>
              </w:rPr>
            </w:pPr>
            <w:r w:rsidRPr="00A75D09">
              <w:rPr>
                <w:b/>
              </w:rPr>
              <w:t>ՏՏ</w:t>
            </w:r>
          </w:p>
        </w:tc>
        <w:tc>
          <w:tcPr>
            <w:tcW w:w="8770" w:type="dxa"/>
            <w:hideMark/>
          </w:tcPr>
          <w:p w14:paraId="4FF45C2A" w14:textId="77777777" w:rsidR="00E77731" w:rsidRPr="00C3014C" w:rsidRDefault="00E77731" w:rsidP="00A75D09">
            <w:pPr>
              <w:pStyle w:val="BodyText1"/>
              <w:spacing w:before="0" w:line="240" w:lineRule="auto"/>
            </w:pPr>
            <w:r w:rsidRPr="00C3014C">
              <w:t>Տեղեկատվական տեխնոլոգիաներ</w:t>
            </w:r>
          </w:p>
        </w:tc>
      </w:tr>
      <w:tr w:rsidR="00743D62" w:rsidRPr="009D765F" w14:paraId="37C0F7E4" w14:textId="77777777" w:rsidTr="00202938">
        <w:tc>
          <w:tcPr>
            <w:tcW w:w="1040" w:type="dxa"/>
          </w:tcPr>
          <w:p w14:paraId="54400F0B" w14:textId="31794D84" w:rsidR="00743D62" w:rsidRPr="00743D62" w:rsidRDefault="00743D62" w:rsidP="00A75D09">
            <w:pPr>
              <w:pStyle w:val="BodyText1"/>
              <w:spacing w:before="0" w:line="240" w:lineRule="auto"/>
              <w:ind w:left="0"/>
              <w:rPr>
                <w:b/>
                <w:lang w:val="hy-AM"/>
              </w:rPr>
            </w:pPr>
            <w:r>
              <w:rPr>
                <w:b/>
                <w:lang w:val="hy-AM"/>
              </w:rPr>
              <w:t>ՎԶԵԲ</w:t>
            </w:r>
          </w:p>
        </w:tc>
        <w:tc>
          <w:tcPr>
            <w:tcW w:w="8770" w:type="dxa"/>
          </w:tcPr>
          <w:p w14:paraId="388DECC4" w14:textId="5C188FBF" w:rsidR="00743D62" w:rsidRPr="00743D62" w:rsidRDefault="00743D62" w:rsidP="00A75D09">
            <w:pPr>
              <w:pStyle w:val="BodyText1"/>
              <w:spacing w:before="0" w:line="240" w:lineRule="auto"/>
              <w:rPr>
                <w:lang w:val="hy-AM"/>
              </w:rPr>
            </w:pPr>
            <w:r>
              <w:rPr>
                <w:lang w:val="hy-AM"/>
              </w:rPr>
              <w:t>Վերակառուցման և զարգացման եվրոպական բանկ</w:t>
            </w:r>
          </w:p>
        </w:tc>
      </w:tr>
      <w:tr w:rsidR="00E77731" w:rsidRPr="00C3014C" w14:paraId="105F0E5D" w14:textId="77777777" w:rsidTr="00202938">
        <w:tc>
          <w:tcPr>
            <w:tcW w:w="1040" w:type="dxa"/>
            <w:hideMark/>
          </w:tcPr>
          <w:p w14:paraId="1E421B9D" w14:textId="77777777" w:rsidR="00E77731" w:rsidRPr="00A75D09" w:rsidRDefault="00E77731" w:rsidP="00A75D09">
            <w:pPr>
              <w:pStyle w:val="BodyText1"/>
              <w:spacing w:before="0" w:line="240" w:lineRule="auto"/>
              <w:ind w:left="0"/>
              <w:rPr>
                <w:b/>
              </w:rPr>
            </w:pPr>
            <w:r w:rsidRPr="00A75D09">
              <w:rPr>
                <w:b/>
              </w:rPr>
              <w:t>ՓԲԸ</w:t>
            </w:r>
          </w:p>
        </w:tc>
        <w:tc>
          <w:tcPr>
            <w:tcW w:w="8770" w:type="dxa"/>
            <w:hideMark/>
          </w:tcPr>
          <w:p w14:paraId="692A21C9" w14:textId="77777777" w:rsidR="00E77731" w:rsidRPr="00C3014C" w:rsidRDefault="00E77731" w:rsidP="00A75D09">
            <w:pPr>
              <w:pStyle w:val="BodyText1"/>
              <w:spacing w:before="0" w:line="240" w:lineRule="auto"/>
            </w:pPr>
            <w:r w:rsidRPr="00C3014C">
              <w:t>Փակ բաժնետիրական ընկերություն</w:t>
            </w:r>
          </w:p>
        </w:tc>
      </w:tr>
      <w:tr w:rsidR="00E77731" w:rsidRPr="00C3014C" w14:paraId="02EA5B35" w14:textId="77777777" w:rsidTr="00202938">
        <w:tc>
          <w:tcPr>
            <w:tcW w:w="1040" w:type="dxa"/>
            <w:hideMark/>
          </w:tcPr>
          <w:p w14:paraId="29B6C04E" w14:textId="77777777" w:rsidR="00E77731" w:rsidRPr="00A75D09" w:rsidRDefault="00E77731" w:rsidP="00A75D09">
            <w:pPr>
              <w:pStyle w:val="BodyText1"/>
              <w:spacing w:before="0" w:line="240" w:lineRule="auto"/>
              <w:ind w:left="0"/>
              <w:rPr>
                <w:b/>
              </w:rPr>
            </w:pPr>
            <w:r w:rsidRPr="00A75D09">
              <w:rPr>
                <w:b/>
              </w:rPr>
              <w:t>ՓՄՁ</w:t>
            </w:r>
          </w:p>
        </w:tc>
        <w:tc>
          <w:tcPr>
            <w:tcW w:w="8770" w:type="dxa"/>
            <w:hideMark/>
          </w:tcPr>
          <w:p w14:paraId="62FC44DA" w14:textId="77777777" w:rsidR="00E77731" w:rsidRPr="00C3014C" w:rsidRDefault="00E77731" w:rsidP="00A75D09">
            <w:pPr>
              <w:pStyle w:val="BodyText1"/>
              <w:spacing w:before="0" w:line="240" w:lineRule="auto"/>
            </w:pPr>
            <w:r w:rsidRPr="00C3014C">
              <w:t>Փոքր և միջին ձեռնարկատիրություն</w:t>
            </w:r>
          </w:p>
        </w:tc>
      </w:tr>
      <w:tr w:rsidR="00E77731" w:rsidRPr="00C3014C" w14:paraId="2FA9543E" w14:textId="77777777" w:rsidTr="00202938">
        <w:tc>
          <w:tcPr>
            <w:tcW w:w="1040" w:type="dxa"/>
            <w:hideMark/>
          </w:tcPr>
          <w:p w14:paraId="73B9A4F7" w14:textId="52359AB1" w:rsidR="00E77731" w:rsidRPr="00743D62" w:rsidRDefault="00E77731" w:rsidP="00A75D09">
            <w:pPr>
              <w:pStyle w:val="BodyText1"/>
              <w:spacing w:before="0" w:line="240" w:lineRule="auto"/>
              <w:ind w:left="0"/>
              <w:rPr>
                <w:b/>
                <w:lang w:val="hy-AM"/>
              </w:rPr>
            </w:pPr>
            <w:r w:rsidRPr="00A75D09">
              <w:rPr>
                <w:b/>
              </w:rPr>
              <w:t>ՔՀԿ</w:t>
            </w:r>
          </w:p>
        </w:tc>
        <w:tc>
          <w:tcPr>
            <w:tcW w:w="8770" w:type="dxa"/>
            <w:hideMark/>
          </w:tcPr>
          <w:p w14:paraId="33FA9816" w14:textId="77777777" w:rsidR="00E77731" w:rsidRPr="00C3014C" w:rsidRDefault="00E77731" w:rsidP="00A75D09">
            <w:pPr>
              <w:pStyle w:val="BodyText1"/>
              <w:spacing w:before="0" w:line="240" w:lineRule="auto"/>
            </w:pPr>
            <w:r w:rsidRPr="00C3014C">
              <w:t xml:space="preserve">Քաղաքացիական հասարակության կազմակերպություններ </w:t>
            </w:r>
          </w:p>
        </w:tc>
      </w:tr>
      <w:tr w:rsidR="00743D62" w:rsidRPr="00C3014C" w14:paraId="00F0C8D4" w14:textId="77777777" w:rsidTr="00202938">
        <w:tc>
          <w:tcPr>
            <w:tcW w:w="1040" w:type="dxa"/>
          </w:tcPr>
          <w:p w14:paraId="089F6632" w14:textId="5E46997F" w:rsidR="00743D62" w:rsidRPr="00743D62" w:rsidRDefault="00743D62" w:rsidP="00A75D09">
            <w:pPr>
              <w:pStyle w:val="BodyText1"/>
              <w:spacing w:before="0" w:line="240" w:lineRule="auto"/>
              <w:ind w:left="0"/>
              <w:rPr>
                <w:b/>
                <w:lang w:val="hy-AM"/>
              </w:rPr>
            </w:pPr>
            <w:r>
              <w:rPr>
                <w:b/>
                <w:lang w:val="hy-AM"/>
              </w:rPr>
              <w:t>ՕՊԵԿ</w:t>
            </w:r>
          </w:p>
        </w:tc>
        <w:tc>
          <w:tcPr>
            <w:tcW w:w="8770" w:type="dxa"/>
          </w:tcPr>
          <w:p w14:paraId="662051D8" w14:textId="3143AB79" w:rsidR="00743D62" w:rsidRPr="00743D62" w:rsidRDefault="00743D62" w:rsidP="00A75D09">
            <w:pPr>
              <w:pStyle w:val="BodyText1"/>
              <w:spacing w:before="0" w:line="240" w:lineRule="auto"/>
              <w:rPr>
                <w:lang w:val="hy-AM"/>
              </w:rPr>
            </w:pPr>
            <w:r>
              <w:rPr>
                <w:lang w:val="hy-AM"/>
              </w:rPr>
              <w:t>Նավթ արտահանող երկրների կազմակերպություն</w:t>
            </w:r>
          </w:p>
        </w:tc>
      </w:tr>
      <w:tr w:rsidR="00E77731" w:rsidRPr="00C3014C" w14:paraId="42315ECE" w14:textId="77777777" w:rsidTr="00202938">
        <w:tc>
          <w:tcPr>
            <w:tcW w:w="1040" w:type="dxa"/>
            <w:hideMark/>
          </w:tcPr>
          <w:p w14:paraId="0E11969C" w14:textId="77777777" w:rsidR="00E77731" w:rsidRPr="00A75D09" w:rsidRDefault="00E77731" w:rsidP="00A75D09">
            <w:pPr>
              <w:pStyle w:val="BodyText1"/>
              <w:spacing w:before="0" w:line="240" w:lineRule="auto"/>
              <w:ind w:left="0"/>
              <w:rPr>
                <w:b/>
              </w:rPr>
            </w:pPr>
            <w:r w:rsidRPr="00A75D09">
              <w:rPr>
                <w:b/>
              </w:rPr>
              <w:t>ՖՆ</w:t>
            </w:r>
          </w:p>
        </w:tc>
        <w:tc>
          <w:tcPr>
            <w:tcW w:w="8770" w:type="dxa"/>
            <w:hideMark/>
          </w:tcPr>
          <w:p w14:paraId="53CB881B" w14:textId="77777777" w:rsidR="00E77731" w:rsidRPr="00C3014C" w:rsidRDefault="00E77731" w:rsidP="00A75D09">
            <w:pPr>
              <w:pStyle w:val="BodyText1"/>
              <w:spacing w:before="0" w:line="240" w:lineRule="auto"/>
            </w:pPr>
            <w:r w:rsidRPr="00C3014C">
              <w:t>ՀՀ ֆինանսների նախարարություն</w:t>
            </w:r>
          </w:p>
        </w:tc>
      </w:tr>
    </w:tbl>
    <w:p w14:paraId="7B0EED5C" w14:textId="77777777" w:rsidR="006F2097" w:rsidRDefault="006F2097" w:rsidP="004C097E">
      <w:pPr>
        <w:pStyle w:val="TOC2"/>
        <w:spacing w:line="240" w:lineRule="auto"/>
        <w:rPr>
          <w:lang w:val="hy-AM"/>
        </w:rPr>
      </w:pPr>
      <w:bookmarkStart w:id="55" w:name="_Toc178356538"/>
      <w:bookmarkStart w:id="56" w:name="_Toc153184438"/>
      <w:bookmarkStart w:id="57" w:name="_Toc146910991"/>
      <w:bookmarkStart w:id="58" w:name="_Toc146743318"/>
      <w:bookmarkStart w:id="59" w:name="_Toc89428249"/>
    </w:p>
    <w:p w14:paraId="5B306CA5" w14:textId="77777777" w:rsidR="00435063" w:rsidRDefault="00435063" w:rsidP="006F2097">
      <w:pPr>
        <w:rPr>
          <w:lang w:val="hy-AM"/>
        </w:rPr>
      </w:pPr>
    </w:p>
    <w:p w14:paraId="79F94B17" w14:textId="77777777" w:rsidR="00435063" w:rsidRDefault="00435063">
      <w:pPr>
        <w:rPr>
          <w:lang w:val="hy-AM"/>
        </w:rPr>
      </w:pPr>
      <w:r>
        <w:rPr>
          <w:lang w:val="hy-AM"/>
        </w:rPr>
        <w:br w:type="page"/>
      </w:r>
    </w:p>
    <w:p w14:paraId="5A426F6D" w14:textId="77777777" w:rsidR="00C33D04" w:rsidRPr="00A22453" w:rsidRDefault="00C33D04" w:rsidP="00C33D04">
      <w:pPr>
        <w:pStyle w:val="TOC2"/>
        <w:jc w:val="both"/>
        <w:outlineLvl w:val="0"/>
        <w:rPr>
          <w:lang w:val="hy-AM"/>
        </w:rPr>
      </w:pPr>
      <w:bookmarkStart w:id="60" w:name="_Toc183801045"/>
      <w:bookmarkStart w:id="61" w:name="_Toc210117442"/>
      <w:bookmarkStart w:id="62" w:name="_Toc215157656"/>
      <w:bookmarkStart w:id="63" w:name="_Toc209625743"/>
      <w:bookmarkStart w:id="64" w:name="_Toc178356540"/>
      <w:bookmarkEnd w:id="55"/>
      <w:bookmarkEnd w:id="56"/>
      <w:bookmarkEnd w:id="57"/>
      <w:bookmarkEnd w:id="58"/>
      <w:bookmarkEnd w:id="59"/>
      <w:r w:rsidRPr="00A22453">
        <w:rPr>
          <w:lang w:val="hy-AM"/>
        </w:rPr>
        <w:lastRenderedPageBreak/>
        <w:t>ՎԱՐՉԱՊԵՏ</w:t>
      </w:r>
      <w:r>
        <w:rPr>
          <w:lang w:val="hy-AM"/>
        </w:rPr>
        <w:t xml:space="preserve"> </w:t>
      </w:r>
      <w:r w:rsidRPr="00A22453">
        <w:rPr>
          <w:lang w:val="hy-AM"/>
        </w:rPr>
        <w:t xml:space="preserve">ՆԻԿՈԼ ՓԱՇԻՆՅԱՆԻ ՈՒՂԵՐՁԸ ՀԱՅԱՍՏԱՆԻ </w:t>
      </w:r>
      <w:r>
        <w:rPr>
          <w:lang w:val="hy-AM"/>
        </w:rPr>
        <w:t>ՀԱՆՐԱՊԵՏՈՒԹՅԱՆ 2026</w:t>
      </w:r>
      <w:r w:rsidRPr="00A22453">
        <w:rPr>
          <w:lang w:val="hy-AM"/>
        </w:rPr>
        <w:t xml:space="preserve"> ԹՎԱԿԱՆԻ ՊԵՏԱԿԱՆ ԲՅՈՒՋԵԻ ԸՆԴՈՒՆՄԱՆ ԱՌԻԹՈՎ</w:t>
      </w:r>
      <w:bookmarkEnd w:id="60"/>
      <w:bookmarkEnd w:id="61"/>
      <w:bookmarkEnd w:id="62"/>
    </w:p>
    <w:p w14:paraId="6A05B17B" w14:textId="77777777" w:rsidR="00880ACB" w:rsidRDefault="00880ACB" w:rsidP="00C33D04">
      <w:pPr>
        <w:jc w:val="both"/>
        <w:rPr>
          <w:rFonts w:ascii="GHEA Grapalat" w:hAnsi="GHEA Grapalat"/>
          <w:lang w:val="hy-AM"/>
        </w:rPr>
      </w:pPr>
    </w:p>
    <w:p w14:paraId="51D43551" w14:textId="77777777" w:rsidR="00436DFE" w:rsidRPr="00436DFE" w:rsidRDefault="00C33D04" w:rsidP="00436DFE">
      <w:pPr>
        <w:ind w:right="357"/>
        <w:jc w:val="both"/>
        <w:rPr>
          <w:rFonts w:ascii="GHEA Grapalat" w:hAnsi="GHEA Grapalat" w:cs="GHEA Grapalat"/>
          <w:lang w:val="hy-AM"/>
        </w:rPr>
      </w:pPr>
      <w:r w:rsidRPr="003554B8">
        <w:rPr>
          <w:rFonts w:ascii="GHEA Grapalat" w:hAnsi="GHEA Grapalat"/>
          <w:noProof/>
        </w:rPr>
        <w:drawing>
          <wp:anchor distT="0" distB="0" distL="114300" distR="114300" simplePos="0" relativeHeight="251953152" behindDoc="1" locked="0" layoutInCell="1" allowOverlap="1" wp14:anchorId="264B7320" wp14:editId="378C5889">
            <wp:simplePos x="0" y="0"/>
            <wp:positionH relativeFrom="column">
              <wp:posOffset>276225</wp:posOffset>
            </wp:positionH>
            <wp:positionV relativeFrom="paragraph">
              <wp:posOffset>4445</wp:posOffset>
            </wp:positionV>
            <wp:extent cx="2381250" cy="2148205"/>
            <wp:effectExtent l="0" t="0" r="0" b="4445"/>
            <wp:wrapTight wrapText="bothSides">
              <wp:wrapPolygon edited="0">
                <wp:start x="0" y="0"/>
                <wp:lineTo x="0" y="21453"/>
                <wp:lineTo x="21427" y="21453"/>
                <wp:lineTo x="21427"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381250" cy="2148205"/>
                    </a:xfrm>
                    <a:prstGeom prst="rect">
                      <a:avLst/>
                    </a:prstGeom>
                    <a:noFill/>
                    <a:ln>
                      <a:noFill/>
                    </a:ln>
                  </pic:spPr>
                </pic:pic>
              </a:graphicData>
            </a:graphic>
            <wp14:sizeRelH relativeFrom="page">
              <wp14:pctWidth>0</wp14:pctWidth>
            </wp14:sizeRelH>
            <wp14:sizeRelV relativeFrom="page">
              <wp14:pctHeight>0</wp14:pctHeight>
            </wp14:sizeRelV>
          </wp:anchor>
        </w:drawing>
      </w:r>
      <w:r w:rsidR="00880ACB" w:rsidRPr="00880ACB">
        <w:rPr>
          <w:rFonts w:ascii="GHEA Grapalat" w:eastAsia="Times New Roman" w:hAnsi="GHEA Grapalat" w:cs="Sylfaen"/>
          <w:color w:val="000000"/>
          <w:lang w:val="hy-AM" w:eastAsia="ru-RU"/>
        </w:rPr>
        <w:t xml:space="preserve"> </w:t>
      </w:r>
      <w:r w:rsidR="00880ACB" w:rsidRPr="00880ACB">
        <w:rPr>
          <w:rFonts w:ascii="GHEA Grapalat" w:hAnsi="GHEA Grapalat" w:cs="GHEA Grapalat"/>
          <w:lang w:val="hy-AM"/>
        </w:rPr>
        <w:t xml:space="preserve">Հայաստանի՝ </w:t>
      </w:r>
      <w:r w:rsidR="00436DFE" w:rsidRPr="00436DFE">
        <w:rPr>
          <w:rFonts w:ascii="GHEA Grapalat" w:hAnsi="GHEA Grapalat" w:cs="GHEA Grapalat"/>
          <w:lang w:val="hy-AM"/>
        </w:rPr>
        <w:t>2026 թվականի պետական բյուջեն մշակվել է պատմական շրջադարձի պայմաններում։ Օգոստոսի 8-ին Վաշինգտոնում ստորագրված Հռչակագրով Հայաստանի և Ադրբեջանի միջև խաղաղություն է հաստատվել, ինչը Հայաստանի համար բացահայտել է տնտեսական կայուն աճի և առաջընթացի նոր ուղիներ, զարգացման և ներդրումների նոր հնարավորություններ:</w:t>
      </w:r>
    </w:p>
    <w:p w14:paraId="550E39FE" w14:textId="77777777" w:rsidR="00436DFE" w:rsidRPr="00436DFE" w:rsidRDefault="00436DFE" w:rsidP="00436DFE">
      <w:pPr>
        <w:ind w:right="357"/>
        <w:jc w:val="both"/>
        <w:rPr>
          <w:rFonts w:ascii="GHEA Grapalat" w:hAnsi="GHEA Grapalat" w:cs="GHEA Grapalat"/>
          <w:lang w:val="hy-AM"/>
        </w:rPr>
      </w:pPr>
      <w:r w:rsidRPr="00436DFE">
        <w:rPr>
          <w:rFonts w:ascii="Calibri" w:hAnsi="Calibri" w:cs="Calibri"/>
          <w:lang w:val="hy-AM"/>
        </w:rPr>
        <w:t> </w:t>
      </w:r>
    </w:p>
    <w:p w14:paraId="1DD3AFC0" w14:textId="77777777" w:rsidR="00436DFE" w:rsidRPr="00436DFE" w:rsidRDefault="00436DFE" w:rsidP="00436DFE">
      <w:pPr>
        <w:ind w:right="357"/>
        <w:jc w:val="both"/>
        <w:rPr>
          <w:rFonts w:ascii="GHEA Grapalat" w:hAnsi="GHEA Grapalat" w:cs="GHEA Grapalat"/>
          <w:lang w:val="hy-AM"/>
        </w:rPr>
      </w:pPr>
      <w:r w:rsidRPr="00436DFE">
        <w:rPr>
          <w:rFonts w:ascii="GHEA Grapalat" w:hAnsi="GHEA Grapalat" w:cs="GHEA Grapalat"/>
          <w:lang w:val="hy-AM"/>
        </w:rPr>
        <w:t>Այս բյուջեն գործող Կառավարության 5-րդ բյուջեն է, որով նախ և առաջ ապահովում ենք վերջին տարիներին մեկնարկած բարեփոխումների և ստանձնած պարտավորությունների կատարումը, ինչպես նաև ապահովում</w:t>
      </w:r>
      <w:r w:rsidRPr="00436DFE">
        <w:rPr>
          <w:rFonts w:ascii="Calibri" w:hAnsi="Calibri" w:cs="Calibri"/>
          <w:lang w:val="hy-AM"/>
        </w:rPr>
        <w:t> </w:t>
      </w:r>
      <w:r w:rsidRPr="00436DFE">
        <w:rPr>
          <w:rFonts w:ascii="GHEA Grapalat" w:hAnsi="GHEA Grapalat" w:cs="GHEA Grapalat"/>
          <w:lang w:val="hy-AM"/>
        </w:rPr>
        <w:t>նոր նախաձեռնությունների իրականացումը՝ Կառավարության ծրագրի առաջնահերթություններին համապատասխան:</w:t>
      </w:r>
    </w:p>
    <w:p w14:paraId="6627B75E" w14:textId="00575839" w:rsidR="00436DFE" w:rsidRPr="00436DFE" w:rsidRDefault="00436DFE" w:rsidP="00436DFE">
      <w:pPr>
        <w:ind w:right="357"/>
        <w:jc w:val="both"/>
        <w:rPr>
          <w:rFonts w:ascii="GHEA Grapalat" w:hAnsi="GHEA Grapalat" w:cs="GHEA Grapalat"/>
          <w:lang w:val="hy-AM"/>
        </w:rPr>
      </w:pPr>
      <w:r w:rsidRPr="00436DFE">
        <w:rPr>
          <w:rFonts w:ascii="Calibri" w:hAnsi="Calibri" w:cs="Calibri"/>
          <w:lang w:val="hy-AM"/>
        </w:rPr>
        <w:t> </w:t>
      </w:r>
      <w:r w:rsidRPr="00436DFE">
        <w:rPr>
          <w:rFonts w:ascii="GHEA Grapalat" w:hAnsi="GHEA Grapalat" w:cs="GHEA Grapalat"/>
          <w:lang w:val="hy-AM"/>
        </w:rPr>
        <w:t>2026 թվականի</w:t>
      </w:r>
      <w:r w:rsidRPr="00436DFE">
        <w:rPr>
          <w:rFonts w:ascii="Calibri" w:hAnsi="Calibri" w:cs="Calibri"/>
          <w:lang w:val="hy-AM"/>
        </w:rPr>
        <w:t> </w:t>
      </w:r>
      <w:r w:rsidRPr="00436DFE">
        <w:rPr>
          <w:rFonts w:ascii="GHEA Grapalat" w:hAnsi="GHEA Grapalat" w:cs="GHEA Grapalat"/>
          <w:lang w:val="hy-AM"/>
        </w:rPr>
        <w:t>բյուջեն կազմելիս առաջնորդվել ենք մի քանի հիմնական սկզբունքներով, որոնք, իրենց հերթին, բխում են մեր միասնական տեսլականից.</w:t>
      </w:r>
    </w:p>
    <w:p w14:paraId="08B8A44B" w14:textId="04218761" w:rsidR="00436DFE" w:rsidRPr="00436DFE" w:rsidRDefault="00436DFE" w:rsidP="00436DFE">
      <w:pPr>
        <w:ind w:right="357"/>
        <w:jc w:val="both"/>
        <w:rPr>
          <w:rFonts w:ascii="GHEA Grapalat" w:hAnsi="GHEA Grapalat" w:cs="GHEA Grapalat"/>
          <w:lang w:val="hy-AM"/>
        </w:rPr>
      </w:pPr>
      <w:r w:rsidRPr="00436DFE">
        <w:rPr>
          <w:rFonts w:ascii="Calibri" w:hAnsi="Calibri" w:cs="Calibri"/>
          <w:lang w:val="hy-AM"/>
        </w:rPr>
        <w:t> </w:t>
      </w:r>
      <w:r w:rsidRPr="00436DFE">
        <w:rPr>
          <w:rFonts w:ascii="GHEA Grapalat" w:hAnsi="GHEA Grapalat" w:cs="GHEA Grapalat"/>
          <w:lang w:val="hy-AM"/>
        </w:rPr>
        <w:t>-</w:t>
      </w:r>
      <w:r w:rsidRPr="00436DFE">
        <w:rPr>
          <w:rFonts w:ascii="Calibri" w:hAnsi="Calibri" w:cs="Calibri"/>
          <w:lang w:val="hy-AM"/>
        </w:rPr>
        <w:t> </w:t>
      </w:r>
      <w:r w:rsidRPr="00436DFE">
        <w:rPr>
          <w:rFonts w:ascii="GHEA Grapalat" w:hAnsi="GHEA Grapalat" w:cs="GHEA Grapalat"/>
          <w:lang w:val="hy-AM"/>
        </w:rPr>
        <w:t xml:space="preserve"> </w:t>
      </w:r>
      <w:r w:rsidRPr="00436DFE">
        <w:rPr>
          <w:rFonts w:ascii="GHEA Grapalat" w:hAnsi="GHEA Grapalat" w:cs="GHEA Grapalat"/>
          <w:lang w:val="hy-AM"/>
        </w:rPr>
        <w:tab/>
        <w:t>Ավելի արդյունավետ և հասանելի հանրային ծառայությունների մատուցում բոլոր այն քաղաքացիներին, ովքեր ունեն դրա կարիքը:</w:t>
      </w:r>
    </w:p>
    <w:p w14:paraId="2E839415" w14:textId="77777777" w:rsidR="00436DFE" w:rsidRPr="00436DFE" w:rsidRDefault="00436DFE" w:rsidP="00436DFE">
      <w:pPr>
        <w:ind w:right="357"/>
        <w:jc w:val="both"/>
        <w:rPr>
          <w:rFonts w:ascii="GHEA Grapalat" w:hAnsi="GHEA Grapalat" w:cs="GHEA Grapalat"/>
          <w:lang w:val="hy-AM"/>
        </w:rPr>
      </w:pPr>
      <w:r w:rsidRPr="00436DFE">
        <w:rPr>
          <w:rFonts w:ascii="GHEA Grapalat" w:hAnsi="GHEA Grapalat" w:cs="GHEA Grapalat"/>
          <w:lang w:val="hy-AM"/>
        </w:rPr>
        <w:t>-</w:t>
      </w:r>
      <w:r w:rsidRPr="00436DFE">
        <w:rPr>
          <w:rFonts w:ascii="Calibri" w:hAnsi="Calibri" w:cs="Calibri"/>
          <w:lang w:val="hy-AM"/>
        </w:rPr>
        <w:t> </w:t>
      </w:r>
      <w:r w:rsidRPr="00436DFE">
        <w:rPr>
          <w:rFonts w:ascii="GHEA Grapalat" w:hAnsi="GHEA Grapalat" w:cs="GHEA Grapalat"/>
          <w:lang w:val="hy-AM"/>
        </w:rPr>
        <w:t xml:space="preserve"> </w:t>
      </w:r>
      <w:r w:rsidRPr="00436DFE">
        <w:rPr>
          <w:rFonts w:ascii="GHEA Grapalat" w:hAnsi="GHEA Grapalat" w:cs="GHEA Grapalat"/>
          <w:lang w:val="hy-AM"/>
        </w:rPr>
        <w:tab/>
        <w:t>Ավելի արտադրողական և դիմակայուն տնտեսության կայացում, որը կապահովի մեր քաղաքացիների բարեկեցության և տնտեսական հնարավորությունների աճը։</w:t>
      </w:r>
    </w:p>
    <w:p w14:paraId="08D4C45F" w14:textId="77777777" w:rsidR="00436DFE" w:rsidRPr="00436DFE" w:rsidRDefault="00436DFE" w:rsidP="00436DFE">
      <w:pPr>
        <w:ind w:right="357"/>
        <w:jc w:val="both"/>
        <w:rPr>
          <w:rFonts w:ascii="GHEA Grapalat" w:hAnsi="GHEA Grapalat" w:cs="GHEA Grapalat"/>
          <w:lang w:val="hy-AM"/>
        </w:rPr>
      </w:pPr>
      <w:r w:rsidRPr="00436DFE">
        <w:rPr>
          <w:rFonts w:ascii="GHEA Grapalat" w:hAnsi="GHEA Grapalat" w:cs="GHEA Grapalat"/>
          <w:lang w:val="hy-AM"/>
        </w:rPr>
        <w:t>-</w:t>
      </w:r>
      <w:r w:rsidRPr="00436DFE">
        <w:rPr>
          <w:rFonts w:ascii="Calibri" w:hAnsi="Calibri" w:cs="Calibri"/>
          <w:lang w:val="hy-AM"/>
        </w:rPr>
        <w:t> </w:t>
      </w:r>
      <w:r w:rsidRPr="00436DFE">
        <w:rPr>
          <w:rFonts w:ascii="GHEA Grapalat" w:hAnsi="GHEA Grapalat" w:cs="GHEA Grapalat"/>
          <w:lang w:val="hy-AM"/>
        </w:rPr>
        <w:t xml:space="preserve"> </w:t>
      </w:r>
      <w:r w:rsidRPr="00436DFE">
        <w:rPr>
          <w:rFonts w:ascii="GHEA Grapalat" w:hAnsi="GHEA Grapalat" w:cs="GHEA Grapalat"/>
          <w:lang w:val="hy-AM"/>
        </w:rPr>
        <w:tab/>
        <w:t>Ծախսերի արդյունավետ պլանավորում՝ Կառավարության կողմից սահմանված ռազմավարական առաջնահերթությունների ֆինանսավորման նպատակով:</w:t>
      </w:r>
    </w:p>
    <w:p w14:paraId="330694C8" w14:textId="5A1A6A65" w:rsidR="00436DFE" w:rsidRPr="00436DFE" w:rsidRDefault="00436DFE" w:rsidP="00436DFE">
      <w:pPr>
        <w:ind w:right="357"/>
        <w:jc w:val="both"/>
        <w:rPr>
          <w:rFonts w:ascii="GHEA Grapalat" w:hAnsi="GHEA Grapalat" w:cs="GHEA Grapalat"/>
          <w:lang w:val="hy-AM"/>
        </w:rPr>
      </w:pPr>
      <w:r w:rsidRPr="00436DFE">
        <w:rPr>
          <w:rFonts w:ascii="Calibri" w:hAnsi="Calibri" w:cs="Calibri"/>
          <w:lang w:val="hy-AM"/>
        </w:rPr>
        <w:t> </w:t>
      </w:r>
      <w:r w:rsidRPr="00436DFE">
        <w:rPr>
          <w:rFonts w:ascii="GHEA Grapalat" w:hAnsi="GHEA Grapalat" w:cs="GHEA Grapalat"/>
          <w:lang w:val="hy-AM"/>
        </w:rPr>
        <w:t>Հենց այս սկզբունքների տրամաբանությունից բխում է նաև այն, որ 2026 թվականի բյուջեի առանցքում դրված է մարդկային կապիտալի զարգացումը, այլ կերպ ասած՝ մեր երեխաների կրթության և բոլոր քաղաքացիների առողջության մեջ ներդրում կատարելու միջոցով գրագետ և առողջ հանրություն ունենալու մեր երազանքի իրագործումը:</w:t>
      </w:r>
    </w:p>
    <w:p w14:paraId="1E868F61" w14:textId="74E02D77" w:rsidR="00436DFE" w:rsidRPr="00436DFE" w:rsidRDefault="00436DFE" w:rsidP="00436DFE">
      <w:pPr>
        <w:ind w:right="357"/>
        <w:jc w:val="both"/>
        <w:rPr>
          <w:rFonts w:ascii="GHEA Grapalat" w:hAnsi="GHEA Grapalat" w:cs="GHEA Grapalat"/>
          <w:lang w:val="hy-AM"/>
        </w:rPr>
      </w:pPr>
      <w:r w:rsidRPr="00436DFE">
        <w:rPr>
          <w:rFonts w:ascii="GHEA Grapalat" w:hAnsi="GHEA Grapalat" w:cs="GHEA Grapalat"/>
          <w:lang w:val="hy-AM"/>
        </w:rPr>
        <w:t xml:space="preserve">Սա, առաջին հերթին, արտահայտվում է առողջության </w:t>
      </w:r>
      <w:r w:rsidR="00E8598A">
        <w:rPr>
          <w:rFonts w:ascii="GHEA Grapalat" w:hAnsi="GHEA Grapalat" w:cs="GHEA Grapalat"/>
          <w:lang w:val="hy-AM"/>
        </w:rPr>
        <w:t>համընդհանուր</w:t>
      </w:r>
      <w:r w:rsidRPr="00436DFE">
        <w:rPr>
          <w:rFonts w:ascii="GHEA Grapalat" w:hAnsi="GHEA Grapalat" w:cs="GHEA Grapalat"/>
          <w:lang w:val="hy-AM"/>
        </w:rPr>
        <w:t xml:space="preserve"> ապահովագրության ներդրմամբ, որն իր էությամբ դառնում է յուրաքանչյուր քաղաքացու համար հասանելի բժշկական ծառայությունների տրամադրման անխախտ երաշխիք։ Միաժամանակ, 2026 թվականի պետական բյուջեով կրթության ոլորտում նախատեսվում է նոր չափորոշիչներին համապատասխան բարեփոխումների իրականացում,</w:t>
      </w:r>
      <w:r w:rsidRPr="00436DFE">
        <w:rPr>
          <w:rFonts w:ascii="Calibri" w:hAnsi="Calibri" w:cs="Calibri"/>
          <w:lang w:val="hy-AM"/>
        </w:rPr>
        <w:t> </w:t>
      </w:r>
      <w:r w:rsidRPr="00436DFE">
        <w:rPr>
          <w:rFonts w:ascii="GHEA Grapalat" w:hAnsi="GHEA Grapalat" w:cs="GHEA Grapalat"/>
          <w:lang w:val="hy-AM"/>
        </w:rPr>
        <w:t>ամբողջությամբ ավարտին ենք հասցնում «300 դպրոց, 500 մանկապարտեզ» ծրագիրը՝ մեր երեխաներին ընձեռելով արդյունավետ և ժամանակակից մեթոդներով կրթություն ստանալու հնարավորություններ։</w:t>
      </w:r>
    </w:p>
    <w:p w14:paraId="023C2DFB" w14:textId="77777777" w:rsidR="00436DFE" w:rsidRPr="00436DFE" w:rsidRDefault="00436DFE" w:rsidP="00436DFE">
      <w:pPr>
        <w:ind w:right="357"/>
        <w:jc w:val="both"/>
        <w:rPr>
          <w:rFonts w:ascii="GHEA Grapalat" w:hAnsi="GHEA Grapalat" w:cs="GHEA Grapalat"/>
          <w:lang w:val="hy-AM"/>
        </w:rPr>
      </w:pPr>
      <w:r w:rsidRPr="00436DFE">
        <w:rPr>
          <w:rFonts w:ascii="GHEA Grapalat" w:hAnsi="GHEA Grapalat" w:cs="GHEA Grapalat"/>
          <w:lang w:val="hy-AM"/>
        </w:rPr>
        <w:t>2026 թվականի պետական բյուջեի առանցքում նաև Ղարաբաղից բռնի տեղահանված մեր հայրենակիցների բարեկեցության ապահովմանն ուղղված քայլերն են: Բյուջեն ապահովում է, որ Ղարաբաղից բռնի տեղահանված մեր հայրենակիցները շարունակեն ստանալ պետության լիարժեք աջակցությունն ինտեգրման և բնակարանային ապահովման հարցում։</w:t>
      </w:r>
    </w:p>
    <w:p w14:paraId="34725955" w14:textId="77777777" w:rsidR="00436DFE" w:rsidRPr="00436DFE" w:rsidRDefault="00436DFE" w:rsidP="00436DFE">
      <w:pPr>
        <w:ind w:right="357"/>
        <w:jc w:val="both"/>
        <w:rPr>
          <w:rFonts w:ascii="GHEA Grapalat" w:hAnsi="GHEA Grapalat" w:cs="GHEA Grapalat"/>
          <w:lang w:val="hy-AM"/>
        </w:rPr>
      </w:pPr>
      <w:r w:rsidRPr="00436DFE">
        <w:rPr>
          <w:rFonts w:ascii="GHEA Grapalat" w:hAnsi="GHEA Grapalat" w:cs="GHEA Grapalat"/>
          <w:lang w:val="hy-AM"/>
        </w:rPr>
        <w:t>Արդյունավետ սոցիալական քաղաքականությունը պետք է ուղեկցվի պաշտպանական կարողությունների զարգացմամբ, և հենց այս համոզմամբ հաջորդ տարի մենք շարունակելու ենք էական ներդրումներ կատարել Հայաստանի Հանրապետության անվտանգության ամրապնդման ուղղությամբ, իրականացնել մեկնարկած լայնածավալ բարեփոխումները և արդիականացնել բանակը:</w:t>
      </w:r>
    </w:p>
    <w:p w14:paraId="3BF91446" w14:textId="7120442C" w:rsidR="00436DFE" w:rsidRPr="00436DFE" w:rsidRDefault="00436DFE" w:rsidP="00436DFE">
      <w:pPr>
        <w:ind w:right="357"/>
        <w:jc w:val="both"/>
        <w:rPr>
          <w:rFonts w:ascii="GHEA Grapalat" w:hAnsi="GHEA Grapalat" w:cs="GHEA Grapalat"/>
          <w:lang w:val="hy-AM"/>
        </w:rPr>
      </w:pPr>
      <w:r w:rsidRPr="00436DFE">
        <w:rPr>
          <w:rFonts w:ascii="Calibri" w:hAnsi="Calibri" w:cs="Calibri"/>
          <w:lang w:val="hy-AM"/>
        </w:rPr>
        <w:t> </w:t>
      </w:r>
      <w:r w:rsidRPr="00436DFE">
        <w:rPr>
          <w:rFonts w:ascii="GHEA Grapalat" w:hAnsi="GHEA Grapalat" w:cs="GHEA Grapalat"/>
          <w:lang w:val="hy-AM"/>
        </w:rPr>
        <w:t>Միևնույն ժամանակ, 2026 թվականը մեզ համար առանձնանում է ոչ միայն ներքին հաջողություններով ու սոցիալական պատասխանատվության գիտակցման ավելի բարձր մակարդակով, այլև միջազգային ասպարեզում առավել տեսանելի դառնալու հնարավորություններով. ապահովվել են անհրաժեշտ միջոցներ</w:t>
      </w:r>
      <w:r w:rsidRPr="00436DFE">
        <w:rPr>
          <w:rFonts w:ascii="Calibri" w:hAnsi="Calibri" w:cs="Calibri"/>
          <w:lang w:val="hy-AM"/>
        </w:rPr>
        <w:t> </w:t>
      </w:r>
      <w:r w:rsidRPr="00436DFE">
        <w:rPr>
          <w:rFonts w:ascii="GHEA Grapalat" w:hAnsi="GHEA Grapalat" w:cs="GHEA Grapalat"/>
          <w:lang w:val="hy-AM"/>
        </w:rPr>
        <w:t>Հայաստանի կողմից ստանձնված Կենսաբազմազանության մասին կոնվենցիայի COP17 համաժողովի և Եվրոպական քաղաքական համայնքի 8-րդ գագաթնաժողովի պատշաճ կազմակերպման համար։</w:t>
      </w:r>
    </w:p>
    <w:p w14:paraId="4CDC79C0" w14:textId="6F100F4A" w:rsidR="00436DFE" w:rsidRPr="00436DFE" w:rsidRDefault="00436DFE" w:rsidP="00436DFE">
      <w:pPr>
        <w:ind w:right="357"/>
        <w:jc w:val="both"/>
        <w:rPr>
          <w:rFonts w:ascii="GHEA Grapalat" w:hAnsi="GHEA Grapalat" w:cs="GHEA Grapalat"/>
          <w:lang w:val="hy-AM"/>
        </w:rPr>
      </w:pPr>
      <w:r w:rsidRPr="00436DFE">
        <w:rPr>
          <w:rFonts w:ascii="Calibri" w:hAnsi="Calibri" w:cs="Calibri"/>
          <w:lang w:val="hy-AM"/>
        </w:rPr>
        <w:t> </w:t>
      </w:r>
      <w:r w:rsidRPr="00436DFE">
        <w:rPr>
          <w:rFonts w:ascii="GHEA Grapalat" w:hAnsi="GHEA Grapalat" w:cs="GHEA Grapalat"/>
          <w:lang w:val="hy-AM"/>
        </w:rPr>
        <w:t>Նշված բոլոր ուղղություններով իրականացված քայլերը, կատարված ներդրումները և ապագայի համար ստանձնած պարտավորությունները մեզ առաջնորդում են դեպի Կառավարության գործունեության 2021-2026թթ. ծրագրի իրականացման եզրափակիչ շրջափուլ, որտեղ մտնում ենք մեր երկրի ապագայի նկատմամբ ավելի վստահ՝ ունենալով կայունության ամուր հիմքերի, գիտակցված պատասխանատվության և, ամենակարևորը, ժողովրդի վստահության անգնահատելի ուժը՝ հաջորդ ծրագրի համար նախանշելով ավելի հավակնոտ նպատակներ:</w:t>
      </w:r>
    </w:p>
    <w:p w14:paraId="33CB7DFC" w14:textId="1F81CE4D" w:rsidR="00C33D04" w:rsidRPr="00880ACB" w:rsidRDefault="00C33D04" w:rsidP="00436DFE">
      <w:pPr>
        <w:ind w:right="357"/>
        <w:jc w:val="both"/>
        <w:rPr>
          <w:rFonts w:ascii="GHEA Grapalat" w:hAnsi="GHEA Grapalat" w:cs="GHEA Grapalat"/>
          <w:lang w:val="hy-AM"/>
        </w:rPr>
      </w:pPr>
      <w:r w:rsidRPr="00880ACB">
        <w:rPr>
          <w:rFonts w:ascii="GHEA Grapalat" w:hAnsi="GHEA Grapalat" w:cs="GHEA Grapalat"/>
          <w:lang w:val="hy-AM"/>
        </w:rPr>
        <w:t xml:space="preserve"> </w:t>
      </w:r>
    </w:p>
    <w:p w14:paraId="20ACF54E" w14:textId="77777777" w:rsidR="00C33D04" w:rsidRPr="00436DFE" w:rsidRDefault="00C33D04" w:rsidP="00436DFE">
      <w:pPr>
        <w:jc w:val="both"/>
        <w:rPr>
          <w:rFonts w:ascii="GHEA Grapalat" w:hAnsi="GHEA Grapalat" w:cs="GHEA Grapalat"/>
          <w:lang w:val="hy-AM"/>
        </w:rPr>
      </w:pPr>
      <w:r w:rsidRPr="00436DFE">
        <w:rPr>
          <w:rFonts w:ascii="GHEA Grapalat" w:hAnsi="GHEA Grapalat" w:cs="GHEA Grapalat"/>
          <w:lang w:val="hy-AM"/>
        </w:rPr>
        <w:br w:type="page"/>
      </w:r>
    </w:p>
    <w:p w14:paraId="66E16D0A" w14:textId="77777777" w:rsidR="0084323C" w:rsidRPr="00C33D04" w:rsidRDefault="0084323C" w:rsidP="00FF3DD6">
      <w:pPr>
        <w:pStyle w:val="TOC2"/>
        <w:jc w:val="both"/>
        <w:outlineLvl w:val="1"/>
        <w:rPr>
          <w:lang w:val="hy-AM"/>
        </w:rPr>
      </w:pPr>
      <w:bookmarkStart w:id="65" w:name="_Toc215157657"/>
      <w:r w:rsidRPr="00C33D04">
        <w:rPr>
          <w:lang w:val="hy-AM"/>
        </w:rPr>
        <w:t>ՀԱՅԱՍՏԱՆԻ ՀԱՆՐԱՊԵՏՈՒԹՅԱՆ ԿԱՌԱՎԱՐՈՒԹՅԱՆ ԶԵԿՈՒՅՑ</w:t>
      </w:r>
      <w:bookmarkEnd w:id="63"/>
      <w:bookmarkEnd w:id="65"/>
    </w:p>
    <w:p w14:paraId="7121013B" w14:textId="10261998" w:rsidR="00E77731" w:rsidRPr="00A22453" w:rsidRDefault="00E77731" w:rsidP="00FF3DD6">
      <w:pPr>
        <w:pStyle w:val="TOC2"/>
        <w:jc w:val="both"/>
        <w:outlineLvl w:val="1"/>
        <w:rPr>
          <w:lang w:val="hy-AM"/>
        </w:rPr>
      </w:pPr>
      <w:bookmarkStart w:id="66" w:name="_Toc178612063"/>
      <w:bookmarkStart w:id="67" w:name="_Toc209625744"/>
      <w:bookmarkStart w:id="68" w:name="_Toc215157658"/>
      <w:r w:rsidRPr="00A22453">
        <w:rPr>
          <w:lang w:val="hy-AM"/>
        </w:rPr>
        <w:t>ՆԵՐԱԾՈՒԹՅՈՒՆ</w:t>
      </w:r>
      <w:bookmarkEnd w:id="64"/>
      <w:bookmarkEnd w:id="66"/>
      <w:bookmarkEnd w:id="67"/>
      <w:bookmarkEnd w:id="68"/>
    </w:p>
    <w:p w14:paraId="7EB85CE1" w14:textId="66EC3A03" w:rsidR="00682902" w:rsidRPr="00BA3BBF" w:rsidRDefault="00682902" w:rsidP="00BA3BBF">
      <w:pPr>
        <w:ind w:right="357"/>
        <w:jc w:val="both"/>
        <w:rPr>
          <w:rFonts w:ascii="GHEA Grapalat" w:hAnsi="GHEA Grapalat" w:cs="GHEA Grapalat"/>
          <w:lang w:val="hy-AM"/>
        </w:rPr>
      </w:pPr>
      <w:r w:rsidRPr="00BA3BBF">
        <w:rPr>
          <w:rFonts w:ascii="GHEA Grapalat" w:hAnsi="GHEA Grapalat" w:cs="GHEA Grapalat"/>
          <w:lang w:val="hy-AM"/>
        </w:rPr>
        <w:t>2026 թվականի պետական բյուջեի մասին օրենքի նախագծով ներկայացված բյուջեն միտված է լինելու հասարակությունն առավել երջանիկ և դիմակայուն դարձնելուն՝ ապահովելով ա</w:t>
      </w:r>
      <w:r w:rsidR="00BA3BBF">
        <w:rPr>
          <w:rFonts w:ascii="GHEA Grapalat" w:hAnsi="GHEA Grapalat" w:cs="GHEA Grapalat"/>
          <w:lang w:val="hy-AM"/>
        </w:rPr>
        <w:t>ն</w:t>
      </w:r>
      <w:r w:rsidRPr="00BA3BBF">
        <w:rPr>
          <w:rFonts w:ascii="GHEA Grapalat" w:hAnsi="GHEA Grapalat" w:cs="GHEA Grapalat"/>
          <w:lang w:val="hy-AM"/>
        </w:rPr>
        <w:t xml:space="preserve">վտանգ, բարեկեցիկ միջավայր: Բյուջեի կազմման հիմքում դրված է հնարավորությունների և ռիսկերի խելամիտ հաշվեկշռումը՝ առանձնակի կարևորելով մակրոտնտեսական կայունության ապահովումը և տնտեսական ներուժի բարձրացումը: </w:t>
      </w:r>
    </w:p>
    <w:p w14:paraId="01D0187B" w14:textId="77777777" w:rsidR="00682902" w:rsidRPr="00BA6C2B" w:rsidRDefault="00682902" w:rsidP="00682902">
      <w:pPr>
        <w:ind w:right="357"/>
        <w:jc w:val="both"/>
        <w:rPr>
          <w:rFonts w:ascii="GHEA Grapalat" w:hAnsi="GHEA Grapalat" w:cs="GHEA Grapalat"/>
          <w:lang w:val="hy-AM"/>
        </w:rPr>
      </w:pPr>
      <w:r w:rsidRPr="00BA6C2B">
        <w:rPr>
          <w:rFonts w:ascii="GHEA Grapalat" w:hAnsi="GHEA Grapalat" w:cs="GHEA Grapalat"/>
          <w:lang w:val="hy-AM"/>
        </w:rPr>
        <w:t>Տնտեսական աճ: ՀՀ տնտեսական աճի և, ըստ այդմ, հնարավորությունների ընդլայնումը պայմանավորված է լինելու նաև միջազգային մրցունակության աճով։  Իսկ միջազգային մրցունակության աճն ապահովելու նպատակով</w:t>
      </w:r>
      <w:r w:rsidRPr="00BA6C2B">
        <w:rPr>
          <w:rFonts w:ascii="GHEA Grapalat" w:hAnsi="GHEA Grapalat" w:cs="GHEA Grapalat"/>
          <w:bCs/>
          <w:lang w:val="hy-AM"/>
        </w:rPr>
        <w:t xml:space="preserve"> ՀՀ կառավարությունը նպատակադրել է զարգացնել այնպիսի տնտեսություն, որը մի կողմից աշխարհին կառաջարկի տեխնոլոգիական և նորարարական արտադրանք, իսկ մյուս կողմից իր մեծ թափով կառուցվող և արդիականացվող ենթակառուցվածքներով զգալիորեն կնպաստի տարածաշրջանի՝ տնտեսական ու մարդկային հոսքեր սպասարկելու կարողությունների բարձրացմանը։ Այս տեսանկյունից </w:t>
      </w:r>
      <w:r w:rsidRPr="00BA6C2B">
        <w:rPr>
          <w:rFonts w:ascii="GHEA Grapalat" w:hAnsi="GHEA Grapalat" w:cs="GHEA Grapalat"/>
          <w:lang w:val="hy-AM"/>
        </w:rPr>
        <w:t xml:space="preserve">ՀՀ կառավարությունը գիտելիքն ու նորարարությունը հռչակել է որպես տնտեսական զարգացման հիմնական շարժիչ ուժ։ </w:t>
      </w:r>
    </w:p>
    <w:p w14:paraId="0A892893" w14:textId="77777777" w:rsidR="00682902" w:rsidRPr="00BA6C2B" w:rsidRDefault="00682902" w:rsidP="00682902">
      <w:pPr>
        <w:ind w:right="357"/>
        <w:jc w:val="both"/>
        <w:rPr>
          <w:rFonts w:ascii="GHEA Grapalat" w:hAnsi="GHEA Grapalat"/>
          <w:lang w:val="hy-AM"/>
        </w:rPr>
      </w:pPr>
      <w:r w:rsidRPr="00BA6C2B">
        <w:rPr>
          <w:rFonts w:ascii="GHEA Grapalat" w:hAnsi="GHEA Grapalat" w:cs="GHEA Grapalat"/>
          <w:lang w:val="hy-AM"/>
        </w:rPr>
        <w:t>Այս պայմաններում, 2026թ. համար սպասվում է 5.4% տնտեսական աճ, հատկանշական է նաև այն հանգամանքը, որ այժմ կազմում ենք եռամյա բյուջե և մակրոտնտեսական  կանխատեսումներն իրականացնում ենք առաջիկա 3 տարիների համար:</w:t>
      </w:r>
    </w:p>
    <w:p w14:paraId="4AE63311" w14:textId="6DF43E49" w:rsidR="00682902" w:rsidRPr="00BA6C2B" w:rsidRDefault="00682902" w:rsidP="00682902">
      <w:pPr>
        <w:ind w:right="357"/>
        <w:jc w:val="both"/>
        <w:rPr>
          <w:rFonts w:ascii="GHEA Grapalat" w:hAnsi="GHEA Grapalat" w:cs="GHEA Grapalat"/>
          <w:lang w:val="hy-AM"/>
        </w:rPr>
      </w:pPr>
      <w:r w:rsidRPr="00BA6C2B">
        <w:rPr>
          <w:rFonts w:ascii="GHEA Grapalat" w:hAnsi="GHEA Grapalat" w:cs="GHEA Grapalat"/>
          <w:lang w:val="hy-AM"/>
        </w:rPr>
        <w:t xml:space="preserve">Հարկաբյուջետային քաղաքականություն: Անհետաձգելի կարիքների և կառուցվածքային բարեփոխումների համար «առաջ ընկած» ռեսուրսների ձևավորման պայմաններում պետական բյուջեի պակասուրդի և պարտքի որոշակի աճից հետո հարկաբյուջետային քաղաքականությունը ուղղված կլինի ծախսերի կառուցվածքի բարելավմամբ ուղեկցվող հարկաբյուջետային կոնսոլիդացիայի իրականացմանը։  Կառավարության պարտքի բեռը 2026-2028 թվականներին կհասնի 54-55%-ի մակարդակի, որից հետո, </w:t>
      </w:r>
      <w:r w:rsidRPr="00BA6C2B">
        <w:rPr>
          <w:rFonts w:ascii="GHEA Grapalat" w:hAnsi="GHEA Grapalat" w:cs="GHEA Grapalat"/>
          <w:bCs/>
          <w:lang w:val="hy-AM"/>
        </w:rPr>
        <w:t>բյուջեի պակասուրդի շարունակական նվազման (</w:t>
      </w:r>
      <w:r w:rsidRPr="00BA6C2B">
        <w:rPr>
          <w:rFonts w:ascii="GHEA Grapalat" w:hAnsi="GHEA Grapalat"/>
          <w:bCs/>
          <w:color w:val="000000"/>
          <w:lang w:val="hy-AM"/>
        </w:rPr>
        <w:t>2025թ ՀՆԱ-ում 5.5%-ի դիմաց այն 2028թ</w:t>
      </w:r>
      <w:r w:rsidRPr="00BA6C2B">
        <w:rPr>
          <w:rFonts w:ascii="Cambria Math" w:eastAsia="MS Mincho" w:hAnsi="Cambria Math" w:cs="Cambria Math"/>
          <w:bCs/>
          <w:color w:val="000000"/>
          <w:lang w:val="hy-AM"/>
        </w:rPr>
        <w:t>․</w:t>
      </w:r>
      <w:r w:rsidRPr="00BA6C2B">
        <w:rPr>
          <w:rFonts w:ascii="GHEA Grapalat" w:hAnsi="GHEA Grapalat"/>
          <w:bCs/>
          <w:color w:val="000000"/>
          <w:lang w:val="hy-AM"/>
        </w:rPr>
        <w:t>աստիճանաբար հասցնելով ՀՆԱ-ի 2.8%-ի</w:t>
      </w:r>
      <w:r w:rsidRPr="00BA6C2B">
        <w:rPr>
          <w:rFonts w:ascii="GHEA Grapalat" w:hAnsi="GHEA Grapalat" w:cs="GHEA Grapalat"/>
          <w:bCs/>
          <w:lang w:val="hy-AM"/>
        </w:rPr>
        <w:t>)</w:t>
      </w:r>
      <w:r w:rsidRPr="00BA6C2B">
        <w:rPr>
          <w:rFonts w:ascii="GHEA Grapalat" w:hAnsi="GHEA Grapalat" w:cs="GHEA Grapalat"/>
          <w:lang w:val="hy-AM"/>
        </w:rPr>
        <w:t xml:space="preserve"> արդյունքում կմոտենա 50%-ին մինչև 2030 թվականը։ Հարկաբյուջետային կոնսոլիդացիան կիրականացվի ընթացիկ ծախսերի օպտիմալացման և արդյունավետության բարձրացման պայմաններում ՀՆԱ-ում դերի որոշակի նվազմամբ, ինչը կզուգորդվի զսպող հարկաբյուջետային ազդակով միջնաժամկետի սկզբում, իսկ միջնաժամկետի վերջում հարկաբյուջետային քաղաքականության </w:t>
      </w:r>
      <w:r w:rsidR="006A1F08">
        <w:rPr>
          <w:rFonts w:ascii="GHEA Grapalat" w:hAnsi="GHEA Grapalat" w:cs="GHEA Grapalat"/>
          <w:lang w:val="hy-AM"/>
        </w:rPr>
        <w:t>դիրքն</w:t>
      </w:r>
      <w:r w:rsidRPr="00BA6C2B">
        <w:rPr>
          <w:rFonts w:ascii="GHEA Grapalat" w:hAnsi="GHEA Grapalat" w:cs="GHEA Grapalat"/>
          <w:lang w:val="hy-AM"/>
        </w:rPr>
        <w:t xml:space="preserve"> ամբողջական պահանջարկի վրա ազդեցության տեսանկյունից կվերադառնա չեզոքի՝ միաժամանակ ամբողջ հորիզոնում դրական ազդեցություն ունենալով տնտեսության ներուժի վրա։ Հարկաբյուջետային քաղաքականության համար, ընդհանուր առմամբ, առաջնահերթ է առկա ռեսուրսների առավել արդյունավետ օգտագործումը և հնարավոր ռիսկերի կառավարման կարողությունների ձևավորումը, ինչը, աճի ներուժի բարձրացման հետ, պետք է երաշխավորի հարկաբյուջետային կայունությունը երկարաժամկետում։</w:t>
      </w:r>
    </w:p>
    <w:p w14:paraId="7C41FEB2" w14:textId="77777777" w:rsidR="00682902" w:rsidRPr="00BA6C2B" w:rsidRDefault="00682902" w:rsidP="00682902">
      <w:pPr>
        <w:ind w:right="357"/>
        <w:jc w:val="both"/>
        <w:rPr>
          <w:rFonts w:ascii="GHEA Grapalat" w:hAnsi="GHEA Grapalat" w:cs="GHEA Grapalat"/>
          <w:lang w:val="hy-AM"/>
        </w:rPr>
      </w:pPr>
    </w:p>
    <w:p w14:paraId="0AD4E59C" w14:textId="77777777" w:rsidR="00682902" w:rsidRPr="00BA6C2B" w:rsidRDefault="00682902" w:rsidP="00682902">
      <w:pPr>
        <w:ind w:right="357"/>
        <w:jc w:val="both"/>
        <w:rPr>
          <w:rFonts w:ascii="GHEA Grapalat" w:eastAsia="Times New Roman" w:hAnsi="GHEA Grapalat" w:cs="Times New Roman"/>
          <w:lang w:val="hy-AM"/>
        </w:rPr>
      </w:pPr>
      <w:r w:rsidRPr="00BA6C2B">
        <w:rPr>
          <w:rFonts w:ascii="GHEA Grapalat" w:hAnsi="GHEA Grapalat" w:cs="GHEA Grapalat"/>
          <w:bCs/>
          <w:lang w:val="hy-AM"/>
        </w:rPr>
        <w:t>Հարկային քաղաքականություն։</w:t>
      </w:r>
      <w:r w:rsidRPr="00BA6C2B">
        <w:rPr>
          <w:rFonts w:ascii="GHEA Grapalat" w:hAnsi="GHEA Grapalat" w:cs="GHEA Grapalat"/>
          <w:lang w:val="hy-AM"/>
        </w:rPr>
        <w:t xml:space="preserve"> Հարկային քաղաքականությունը ուղղվում է տնտեսության ներդրումային գրավչության բարձրացմանն ու տնտեսական ակտիվության մակարդակի բարելավմանը՝ դրանով իսկ ստեղծելով կայուն նախադրյալներ՝ արտահանման և երկարաժամկետ տնտեսական աճի, հանրային բարիքի վերաբաշխման և հարկաբյուջետային կայունության ամրապնդման համար: Այս նպատակների իրականացման ուղղությամբ հարկային օրենսդրության բարելավման միջոցով կարևորվելու է ներդրողների համար արդար, ընկալելի և կանխատեսելի միջավայրի ձևավորումը: </w:t>
      </w:r>
    </w:p>
    <w:p w14:paraId="2479375D" w14:textId="4A62B946" w:rsidR="00682902" w:rsidRPr="00BA6C2B" w:rsidRDefault="00682902" w:rsidP="00682902">
      <w:pPr>
        <w:ind w:right="357"/>
        <w:jc w:val="both"/>
        <w:rPr>
          <w:rFonts w:ascii="GHEA Grapalat" w:eastAsia="Times New Roman" w:hAnsi="GHEA Grapalat" w:cs="Times New Roman"/>
          <w:lang w:val="hy-AM"/>
        </w:rPr>
      </w:pPr>
      <w:r w:rsidRPr="00BA6C2B">
        <w:rPr>
          <w:rFonts w:ascii="GHEA Grapalat" w:eastAsia="Calibri" w:hAnsi="GHEA Grapalat" w:cs="Sylfaen"/>
          <w:lang w:val="hy-AM"/>
        </w:rPr>
        <w:t>Հարկային վարչարարության բարելավման, ստվերի դեմ պայքարի, ինչպես նաև հարկային քաղաքականության միջոցառումների արդյունքում ակնկալվում է ապահովել հարկեր/ՀՆԱ հարաբերակցության շարունակական բարելավում՝ 2025թ. 1.0, 2026 թվականին՝ 0.4, իսկ հաջորդող տարիներին՝ 0.1 տոկոսային կետի շրջանակներում, որով միջնաժամկետի վերջին հարկեր/ՀՆԱ հարաբերակցությունը մոտենում է ներկա օրենսդրության և տնտեսական կառուցվածքի պայմաններում արդյունավետ հնարավորությունների սահմանագծին՝ ՀՆԱ-ում 25-26%-ի։</w:t>
      </w:r>
    </w:p>
    <w:p w14:paraId="066C3A5C" w14:textId="1193AFA5" w:rsidR="00C91777" w:rsidRPr="00BA6C2B" w:rsidRDefault="00682902" w:rsidP="00682902">
      <w:pPr>
        <w:ind w:right="357"/>
        <w:jc w:val="both"/>
        <w:rPr>
          <w:rFonts w:ascii="GHEA Grapalat" w:hAnsi="GHEA Grapalat" w:cs="GHEA Grapalat"/>
          <w:lang w:val="hy-AM"/>
        </w:rPr>
      </w:pPr>
      <w:r w:rsidRPr="00BA6C2B">
        <w:rPr>
          <w:rFonts w:ascii="GHEA Grapalat" w:hAnsi="GHEA Grapalat" w:cs="GHEA Grapalat"/>
          <w:bCs/>
          <w:lang w:val="hy-AM"/>
        </w:rPr>
        <w:t>Ծախսային քաղաքականություն։</w:t>
      </w:r>
      <w:r w:rsidRPr="00BA6C2B">
        <w:rPr>
          <w:rFonts w:ascii="GHEA Grapalat" w:hAnsi="GHEA Grapalat" w:cs="GHEA Grapalat"/>
          <w:lang w:val="hy-AM"/>
        </w:rPr>
        <w:t xml:space="preserve"> Ծախսային քաղաքականության արդյունավետության բարձրացման տեսանկյունից կարևորվում է հանրային ֆինանսների նպատակային, խնայողաբար և արդյունավետ օգտագործումը: Ծախսերի նպատակայնության բարձրացման առումով անցում է կատարվելու ռազմավարական պլանավորման, իսկ ծախսային ծրագրերի արդյունավետության և օգտավետության բարձրացման նպատակով ներդրվելու է բյուջետային ծրագրերի արդյունավետության գնահատման կանոնավոր գործընթաց: </w:t>
      </w:r>
    </w:p>
    <w:p w14:paraId="364D40D4" w14:textId="77777777" w:rsidR="00682902" w:rsidRPr="00682902" w:rsidRDefault="00682902" w:rsidP="00682902">
      <w:pPr>
        <w:ind w:right="357"/>
        <w:jc w:val="both"/>
        <w:rPr>
          <w:rFonts w:cs="GHEA Grapalat"/>
          <w:lang w:val="hy-AM"/>
        </w:rPr>
      </w:pPr>
      <w:r w:rsidRPr="00682902">
        <w:rPr>
          <w:rFonts w:cs="GHEA Grapalat"/>
          <w:lang w:val="hy-AM"/>
        </w:rPr>
        <w:t>Միջնաժամկետ հարկաբյուջետային շրջանակում ընթացիկ ծախսերը ՀՆԱ-ում կնվազեն հարկաբյուջետային կոնսոլիդացիա իրականացնելու նպատակադրումից ելնելով, իսկ կապիտալ ծախսերը՝ կկայունանան պատմական միջին մակարդակներից զգալիորեն բարձր մակարդակում, նպաստելով տնտեսական և անվտանգային ենթակառուցվածքների զարգացմանը։  Կապիտալ ծախսերի կշիռը ՀՆԱ-ում կայունանում է ՀՆԱ 5-6%-ի շրջանակներում մինչև 2028թ</w:t>
      </w:r>
      <w:r w:rsidRPr="00682902">
        <w:rPr>
          <w:rFonts w:ascii="Cambria Math" w:hAnsi="Cambria Math" w:cs="Cambria Math"/>
          <w:lang w:val="hy-AM"/>
        </w:rPr>
        <w:t>․</w:t>
      </w:r>
      <w:r w:rsidRPr="00682902">
        <w:rPr>
          <w:rFonts w:cs="GHEA Grapalat"/>
          <w:lang w:val="hy-AM"/>
        </w:rPr>
        <w:t>, իսկ ընթացիկ ծախսերը 2025թ-ի 24.6% սպասողական ցուցանիշից աստիճանաբար նվազելով 2028թ</w:t>
      </w:r>
      <w:r w:rsidRPr="00682902">
        <w:rPr>
          <w:rFonts w:ascii="Cambria Math" w:hAnsi="Cambria Math" w:cs="Cambria Math"/>
          <w:lang w:val="hy-AM"/>
        </w:rPr>
        <w:t>․</w:t>
      </w:r>
      <w:r w:rsidRPr="00682902">
        <w:rPr>
          <w:rFonts w:cs="GHEA Grapalat"/>
          <w:lang w:val="hy-AM"/>
        </w:rPr>
        <w:t>-ին կհասնեն ՀՆԱ 23%-ի։</w:t>
      </w:r>
    </w:p>
    <w:p w14:paraId="0654DF24" w14:textId="77777777" w:rsidR="00CB1367" w:rsidRDefault="00CB1367" w:rsidP="00CB1367">
      <w:pPr>
        <w:pStyle w:val="BodytextBullets"/>
        <w:numPr>
          <w:ilvl w:val="0"/>
          <w:numId w:val="0"/>
        </w:numPr>
        <w:ind w:left="360" w:hanging="360"/>
        <w:rPr>
          <w:lang w:val="hy-AM"/>
        </w:rPr>
      </w:pPr>
    </w:p>
    <w:p w14:paraId="3057C7E5" w14:textId="430733A3" w:rsidR="00E77731" w:rsidRPr="00E77731" w:rsidRDefault="00E77731" w:rsidP="00CB1367">
      <w:pPr>
        <w:pStyle w:val="BodytextBullets"/>
        <w:numPr>
          <w:ilvl w:val="0"/>
          <w:numId w:val="0"/>
        </w:numPr>
        <w:ind w:left="360" w:hanging="360"/>
        <w:rPr>
          <w:lang w:val="hy-AM"/>
        </w:rPr>
      </w:pPr>
      <w:r w:rsidRPr="00E77731">
        <w:rPr>
          <w:lang w:val="hy-AM"/>
        </w:rPr>
        <w:br w:type="page"/>
      </w:r>
    </w:p>
    <w:bookmarkStart w:id="69" w:name="_Toc178611132"/>
    <w:bookmarkStart w:id="70" w:name="_Toc178611272"/>
    <w:bookmarkStart w:id="71" w:name="_Toc178611480"/>
    <w:bookmarkStart w:id="72" w:name="_Toc178612064"/>
    <w:bookmarkStart w:id="73" w:name="_Toc183785473"/>
    <w:bookmarkStart w:id="74" w:name="_Toc183787218"/>
    <w:bookmarkStart w:id="75" w:name="_Toc183801048"/>
    <w:bookmarkStart w:id="76" w:name="_Toc209625745"/>
    <w:bookmarkStart w:id="77" w:name="_Toc153184441"/>
    <w:bookmarkStart w:id="78" w:name="_Toc83567430"/>
    <w:bookmarkStart w:id="79" w:name="_Toc26174882"/>
    <w:bookmarkStart w:id="80" w:name="_Toc178356541"/>
    <w:p w14:paraId="329C5E94" w14:textId="77777777" w:rsidR="00772E4F" w:rsidRDefault="00A3353C" w:rsidP="00B567C0">
      <w:pPr>
        <w:pStyle w:val="TOC1"/>
        <w:rPr>
          <w:lang w:val="hy-AM"/>
        </w:rPr>
      </w:pPr>
      <w:r>
        <w:rPr>
          <w:noProof/>
        </w:rPr>
        <mc:AlternateContent>
          <mc:Choice Requires="wps">
            <w:drawing>
              <wp:anchor distT="0" distB="0" distL="114300" distR="114300" simplePos="0" relativeHeight="251652094" behindDoc="0" locked="0" layoutInCell="1" allowOverlap="1" wp14:anchorId="44A9A575" wp14:editId="3B3D5E22">
                <wp:simplePos x="0" y="0"/>
                <wp:positionH relativeFrom="page">
                  <wp:posOffset>-71252</wp:posOffset>
                </wp:positionH>
                <wp:positionV relativeFrom="paragraph">
                  <wp:posOffset>-902525</wp:posOffset>
                </wp:positionV>
                <wp:extent cx="7677150" cy="5854535"/>
                <wp:effectExtent l="0" t="0" r="0" b="0"/>
                <wp:wrapNone/>
                <wp:docPr id="16120835" name="Rectangle 16120835"/>
                <wp:cNvGraphicFramePr/>
                <a:graphic xmlns:a="http://schemas.openxmlformats.org/drawingml/2006/main">
                  <a:graphicData uri="http://schemas.microsoft.com/office/word/2010/wordprocessingShape">
                    <wps:wsp>
                      <wps:cNvSpPr/>
                      <wps:spPr>
                        <a:xfrm>
                          <a:off x="0" y="0"/>
                          <a:ext cx="7677150" cy="5854535"/>
                        </a:xfrm>
                        <a:prstGeom prst="rect">
                          <a:avLst/>
                        </a:prstGeom>
                        <a:solidFill>
                          <a:srgbClr val="44546A">
                            <a:alpha val="96078"/>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rect w14:anchorId="6F5D52DA" id="Rectangle 16120835" o:spid="_x0000_s1026" style="position:absolute;margin-left:-5.6pt;margin-top:-71.05pt;width:604.5pt;height:461pt;z-index:25165209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" fillcolor="#44546a" stroked="f" strokeweight="1pt">
                <v:fill opacity="62965f"/>
                <w10:wrap anchorx="page"/>
              </v:rect>
            </w:pict>
          </mc:Fallback>
        </mc:AlternateContent>
      </w:r>
      <w:bookmarkEnd w:id="69"/>
      <w:bookmarkEnd w:id="70"/>
      <w:bookmarkEnd w:id="71"/>
      <w:bookmarkEnd w:id="72"/>
      <w:bookmarkEnd w:id="73"/>
      <w:bookmarkEnd w:id="74"/>
      <w:bookmarkEnd w:id="75"/>
      <w:bookmarkEnd w:id="76"/>
    </w:p>
    <w:p w14:paraId="33E52B0F" w14:textId="77777777" w:rsidR="00772E4F" w:rsidRDefault="00772E4F" w:rsidP="00B567C0">
      <w:pPr>
        <w:pStyle w:val="TOC1"/>
        <w:rPr>
          <w:lang w:val="hy-AM"/>
        </w:rPr>
      </w:pPr>
    </w:p>
    <w:p w14:paraId="79B1A960" w14:textId="77777777" w:rsidR="00772E4F" w:rsidRDefault="00772E4F" w:rsidP="00B567C0">
      <w:pPr>
        <w:pStyle w:val="TOC1"/>
        <w:rPr>
          <w:lang w:val="hy-AM"/>
        </w:rPr>
      </w:pPr>
    </w:p>
    <w:p w14:paraId="2FBBBA4B" w14:textId="77777777" w:rsidR="00772E4F" w:rsidRDefault="00772E4F" w:rsidP="00B567C0">
      <w:pPr>
        <w:pStyle w:val="TOC1"/>
        <w:rPr>
          <w:lang w:val="hy-AM"/>
        </w:rPr>
      </w:pPr>
    </w:p>
    <w:p w14:paraId="4FE690CF" w14:textId="77777777" w:rsidR="00772E4F" w:rsidRDefault="00772E4F" w:rsidP="00B567C0">
      <w:pPr>
        <w:pStyle w:val="TOC1"/>
        <w:rPr>
          <w:lang w:val="hy-AM"/>
        </w:rPr>
      </w:pPr>
    </w:p>
    <w:p w14:paraId="5B4E2C90" w14:textId="77777777" w:rsidR="00772E4F" w:rsidRDefault="00772E4F" w:rsidP="00B567C0">
      <w:pPr>
        <w:pStyle w:val="TOC1"/>
        <w:rPr>
          <w:lang w:val="hy-AM"/>
        </w:rPr>
      </w:pPr>
    </w:p>
    <w:p w14:paraId="61108892" w14:textId="77777777" w:rsidR="00772E4F" w:rsidRDefault="00772E4F" w:rsidP="00B567C0">
      <w:pPr>
        <w:pStyle w:val="TOC1"/>
        <w:rPr>
          <w:lang w:val="hy-AM"/>
        </w:rPr>
      </w:pPr>
    </w:p>
    <w:bookmarkStart w:id="81" w:name="_Toc178604099"/>
    <w:bookmarkStart w:id="82" w:name="_Toc178611133"/>
    <w:bookmarkStart w:id="83" w:name="_Toc178611273"/>
    <w:bookmarkStart w:id="84" w:name="_Toc178611481"/>
    <w:bookmarkStart w:id="85" w:name="_Toc178612065"/>
    <w:bookmarkStart w:id="86" w:name="_Toc183785475"/>
    <w:bookmarkStart w:id="87" w:name="_Toc183787220"/>
    <w:bookmarkStart w:id="88" w:name="_Toc183801050"/>
    <w:bookmarkStart w:id="89" w:name="_Toc209625746"/>
    <w:p w14:paraId="52543755" w14:textId="1E07FD52" w:rsidR="00772E4F" w:rsidRDefault="00FB6A31" w:rsidP="00B567C0">
      <w:pPr>
        <w:pStyle w:val="TOC1"/>
        <w:rPr>
          <w:lang w:val="hy-AM"/>
        </w:rPr>
      </w:pPr>
      <w:r>
        <w:rPr>
          <w:noProof/>
        </w:rPr>
        <mc:AlternateContent>
          <mc:Choice Requires="wps">
            <w:drawing>
              <wp:anchor distT="0" distB="0" distL="114300" distR="114300" simplePos="0" relativeHeight="251702272" behindDoc="0" locked="0" layoutInCell="1" allowOverlap="1" wp14:anchorId="3C511605" wp14:editId="69AA4384">
                <wp:simplePos x="0" y="0"/>
                <wp:positionH relativeFrom="page">
                  <wp:posOffset>397510</wp:posOffset>
                </wp:positionH>
                <wp:positionV relativeFrom="paragraph">
                  <wp:posOffset>275590</wp:posOffset>
                </wp:positionV>
                <wp:extent cx="7115175" cy="2481580"/>
                <wp:effectExtent l="0" t="0" r="0" b="0"/>
                <wp:wrapNone/>
                <wp:docPr id="29" name="Text Box 29"/>
                <wp:cNvGraphicFramePr/>
                <a:graphic xmlns:a="http://schemas.openxmlformats.org/drawingml/2006/main">
                  <a:graphicData uri="http://schemas.microsoft.com/office/word/2010/wordprocessingShape">
                    <wps:wsp>
                      <wps:cNvSpPr txBox="1"/>
                      <wps:spPr>
                        <a:xfrm>
                          <a:off x="0" y="0"/>
                          <a:ext cx="7115175" cy="2481580"/>
                        </a:xfrm>
                        <a:prstGeom prst="rect">
                          <a:avLst/>
                        </a:prstGeom>
                        <a:noFill/>
                        <a:ln w="6350">
                          <a:noFill/>
                        </a:ln>
                      </wps:spPr>
                      <wps:txbx>
                        <w:txbxContent>
                          <w:p w14:paraId="1FFB649F" w14:textId="053076C9" w:rsidR="00147C8B" w:rsidRPr="003A4CA5" w:rsidRDefault="00147C8B" w:rsidP="00A72B0A">
                            <w:pPr>
                              <w:pStyle w:val="TOC1"/>
                              <w:rPr>
                                <w:lang w:val="hy-AM"/>
                              </w:rPr>
                            </w:pPr>
                            <w:bookmarkStart w:id="90" w:name="_Toc209625747"/>
                            <w:r w:rsidRPr="00A72B0A">
                              <w:rPr>
                                <w:color w:val="FFFFFF" w:themeColor="background1"/>
                                <w:lang w:val="hy-AM"/>
                              </w:rPr>
                              <w:t xml:space="preserve">ՄԱՍ I: ՍՈՑԻԱԼ-ՏՆՏԵՍԱԿԱՆ ԶԱՐԳԱՑՄԱՆ, ՄԱԿՐՈՏՆՏԵՍԱԿԱՆ ԶԱՐԳԱՑՄԱՆ ԵՎ ՀԱՐԿԱԲՅՈՒՋԵՏԱՅԻՆ ՔԱՂԱՔԱԿԱՆՈՒԹՅԱՆ </w:t>
                            </w:r>
                            <w:r w:rsidRPr="003A4CA5">
                              <w:rPr>
                                <w:color w:val="auto"/>
                                <w:lang w:val="hy-AM"/>
                              </w:rPr>
                              <w:t>ՀԻՄՆԱԿԱՆ ՈՒՂՂՈՒԹՅՈՒՆՆԵՐԻ ՄԱՍԻՆ</w:t>
                            </w:r>
                            <w:bookmarkEnd w:id="9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511605" id="Text Box 29" o:spid="_x0000_s1031" type="#_x0000_t202" style="position:absolute;margin-left:31.3pt;margin-top:21.7pt;width:560.25pt;height:195.4pt;z-index:2517022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" filled="f" stroked="f" strokeweight=".5pt">
                <v:textbox>
                  <w:txbxContent>
                    <w:p w14:paraId="1FFB649F" w14:textId="053076C9" w:rsidR="00147C8B" w:rsidRPr="003A4CA5" w:rsidRDefault="00147C8B" w:rsidP="00A72B0A">
                      <w:pPr>
                        <w:pStyle w:val="TOC1"/>
                        <w:rPr>
                          <w:lang w:val="hy-AM"/>
                        </w:rPr>
                      </w:pPr>
                      <w:bookmarkStart w:id="136" w:name="_Toc209625747"/>
                      <w:r w:rsidRPr="00A72B0A">
                        <w:rPr>
                          <w:color w:val="FFFFFF" w:themeColor="background1"/>
                          <w:lang w:val="hy-AM"/>
                        </w:rPr>
                        <w:t xml:space="preserve">ՄԱՍ I: ՍՈՑԻԱԼ-ՏՆՏԵՍԱԿԱՆ ԶԱՐԳԱՑՄԱՆ, ՄԱԿՐՈՏՆՏԵՍԱԿԱՆ ԶԱՐԳԱՑՄԱՆ ԵՎ ՀԱՐԿԱԲՅՈՒՋԵՏԱՅԻՆ ՔԱՂԱՔԱԿԱՆՈՒԹՅԱՆ </w:t>
                      </w:r>
                      <w:r w:rsidRPr="003A4CA5">
                        <w:rPr>
                          <w:color w:val="auto"/>
                          <w:lang w:val="hy-AM"/>
                        </w:rPr>
                        <w:t>ՀԻՄՆԱԿԱՆ ՈՒՂՂՈՒԹՅՈՒՆՆԵՐԻ ՄԱՍԻՆ</w:t>
                      </w:r>
                      <w:bookmarkEnd w:id="136"/>
                    </w:p>
                  </w:txbxContent>
                </v:textbox>
                <w10:wrap anchorx="page"/>
              </v:shape>
            </w:pict>
          </mc:Fallback>
        </mc:AlternateContent>
      </w:r>
      <w:bookmarkEnd w:id="81"/>
      <w:bookmarkEnd w:id="82"/>
      <w:bookmarkEnd w:id="83"/>
      <w:bookmarkEnd w:id="84"/>
      <w:bookmarkEnd w:id="85"/>
      <w:bookmarkEnd w:id="86"/>
      <w:bookmarkEnd w:id="87"/>
      <w:bookmarkEnd w:id="88"/>
      <w:bookmarkEnd w:id="89"/>
    </w:p>
    <w:p w14:paraId="03DBA01C" w14:textId="17E74327" w:rsidR="00772E4F" w:rsidRDefault="00772E4F" w:rsidP="00B567C0">
      <w:pPr>
        <w:pStyle w:val="TOC1"/>
        <w:rPr>
          <w:lang w:val="hy-AM"/>
        </w:rPr>
      </w:pPr>
    </w:p>
    <w:p w14:paraId="1B99F8B0" w14:textId="77777777" w:rsidR="00772E4F" w:rsidRDefault="00772E4F" w:rsidP="00772E4F">
      <w:pPr>
        <w:pStyle w:val="TOC1"/>
        <w:jc w:val="right"/>
        <w:rPr>
          <w:lang w:val="hy-AM"/>
        </w:rPr>
      </w:pPr>
    </w:p>
    <w:p w14:paraId="7CE63959" w14:textId="77777777" w:rsidR="00772E4F" w:rsidRDefault="00772E4F" w:rsidP="00772E4F">
      <w:pPr>
        <w:pStyle w:val="TOC1"/>
        <w:jc w:val="right"/>
        <w:rPr>
          <w:lang w:val="hy-AM"/>
        </w:rPr>
      </w:pPr>
    </w:p>
    <w:p w14:paraId="2732FB20" w14:textId="77777777" w:rsidR="00772E4F" w:rsidRDefault="00772E4F" w:rsidP="00772E4F">
      <w:pPr>
        <w:pStyle w:val="TOC1"/>
        <w:jc w:val="right"/>
        <w:rPr>
          <w:lang w:val="hy-AM"/>
        </w:rPr>
      </w:pPr>
    </w:p>
    <w:p w14:paraId="69D8D4C3" w14:textId="77777777" w:rsidR="00772E4F" w:rsidRDefault="00772E4F" w:rsidP="002507D1">
      <w:pPr>
        <w:pStyle w:val="BodyText1"/>
        <w:rPr>
          <w:lang w:val="hy-AM"/>
        </w:rPr>
      </w:pPr>
    </w:p>
    <w:p w14:paraId="3E672A63" w14:textId="77777777" w:rsidR="00772E4F" w:rsidRDefault="00772E4F" w:rsidP="00772E4F">
      <w:pPr>
        <w:pStyle w:val="TOC1"/>
        <w:jc w:val="right"/>
        <w:rPr>
          <w:lang w:val="hy-AM"/>
        </w:rPr>
      </w:pPr>
    </w:p>
    <w:bookmarkEnd w:id="77"/>
    <w:bookmarkEnd w:id="78"/>
    <w:bookmarkEnd w:id="79"/>
    <w:bookmarkEnd w:id="80"/>
    <w:p w14:paraId="16D1E0DF" w14:textId="77777777" w:rsidR="00E77731" w:rsidRPr="00DE7062" w:rsidRDefault="00E77731" w:rsidP="007A4C49">
      <w:pPr>
        <w:jc w:val="both"/>
        <w:rPr>
          <w:lang w:val="hy-AM"/>
        </w:rPr>
      </w:pPr>
      <w:r w:rsidRPr="00E77731">
        <w:rPr>
          <w:lang w:val="hy-AM"/>
        </w:rPr>
        <w:br w:type="page"/>
      </w:r>
    </w:p>
    <w:p w14:paraId="3F918457" w14:textId="3F9EAA5C" w:rsidR="00682902" w:rsidRPr="00FC6AD2" w:rsidRDefault="00682902" w:rsidP="00104E7A">
      <w:pPr>
        <w:pStyle w:val="TOC2"/>
        <w:outlineLvl w:val="0"/>
        <w:rPr>
          <w:lang w:val="hy-AM"/>
        </w:rPr>
      </w:pPr>
      <w:bookmarkStart w:id="91" w:name="_Toc178356542"/>
      <w:bookmarkStart w:id="92" w:name="_Toc153184442"/>
      <w:bookmarkStart w:id="93" w:name="_Toc83567431"/>
      <w:bookmarkStart w:id="94" w:name="_Toc26174883"/>
      <w:bookmarkStart w:id="95" w:name="_Toc183801051"/>
      <w:bookmarkStart w:id="96" w:name="_Toc215157659"/>
      <w:bookmarkStart w:id="97" w:name="_Toc178356561"/>
      <w:bookmarkStart w:id="98" w:name="_Toc183801069"/>
      <w:bookmarkStart w:id="99" w:name="_Toc153184468"/>
      <w:bookmarkStart w:id="100" w:name="_Toc178356570"/>
      <w:r w:rsidRPr="00FC6AD2">
        <w:rPr>
          <w:lang w:val="hy-AM"/>
        </w:rPr>
        <w:t>ՄԱՍ I-Ա. 202</w:t>
      </w:r>
      <w:r w:rsidR="00F13254" w:rsidRPr="00F13254">
        <w:rPr>
          <w:lang w:val="hy-AM"/>
        </w:rPr>
        <w:t>6</w:t>
      </w:r>
      <w:r w:rsidRPr="00FC6AD2">
        <w:rPr>
          <w:lang w:val="hy-AM"/>
        </w:rPr>
        <w:t xml:space="preserve"> ԹՎԱԿԱՆԻ ՍՈՑԻԱԼ-ՏՆՏԵՍԱԿԱՆ ԶԱՐԳԱՑՄԱՆ ՀԻՄՆԱԿԱՆ ՈՒՂՂՈՒԹՅՈՒՆՆԵՐԸ</w:t>
      </w:r>
      <w:bookmarkEnd w:id="91"/>
      <w:bookmarkEnd w:id="92"/>
      <w:bookmarkEnd w:id="93"/>
      <w:bookmarkEnd w:id="94"/>
      <w:bookmarkEnd w:id="95"/>
      <w:bookmarkEnd w:id="96"/>
    </w:p>
    <w:p w14:paraId="17D3B88E" w14:textId="5CC8F4F2" w:rsidR="00F13254" w:rsidRPr="00F13254" w:rsidRDefault="00F13254" w:rsidP="00F13254">
      <w:pPr>
        <w:pStyle w:val="TOC3"/>
        <w:pBdr>
          <w:bottom w:val="single" w:sz="12" w:space="1" w:color="C3C3C7" w:themeColor="accent3" w:themeTint="66"/>
        </w:pBdr>
        <w:outlineLvl w:val="1"/>
        <w:rPr>
          <w:lang w:val="hy-AM"/>
        </w:rPr>
      </w:pPr>
      <w:bookmarkStart w:id="101" w:name="_Toc215157660"/>
      <w:r w:rsidRPr="00F13254">
        <w:rPr>
          <w:lang w:val="hy-AM"/>
        </w:rPr>
        <w:t>2026 ԹՎԱԿԱՆԻ ՍՈՑԻԱԼ-ՏՆՏԵՍԱԿԱՆ ԶԱՐԳԱՑՄԱՆ ՀԻՄՆԱԿԱՆ ՈՒՂՂՈՒԹՅՈՒՆՆԵՐԸ</w:t>
      </w:r>
      <w:bookmarkEnd w:id="101"/>
    </w:p>
    <w:p w14:paraId="139A6E72" w14:textId="77777777" w:rsidR="00682902" w:rsidRDefault="00682902" w:rsidP="00FE3BE4">
      <w:pPr>
        <w:pStyle w:val="TOC2"/>
        <w:rPr>
          <w:lang w:val="hy-AM"/>
        </w:rPr>
      </w:pPr>
    </w:p>
    <w:p w14:paraId="3801942E" w14:textId="77777777" w:rsidR="00BA6C2B" w:rsidRPr="00E55224" w:rsidRDefault="00BA6C2B" w:rsidP="00786D09">
      <w:pPr>
        <w:pStyle w:val="BodyText1"/>
        <w:ind w:left="0" w:right="357"/>
        <w:rPr>
          <w:szCs w:val="22"/>
          <w:lang w:val="hy-AM"/>
        </w:rPr>
      </w:pPr>
      <w:r w:rsidRPr="00E55224">
        <w:rPr>
          <w:szCs w:val="22"/>
          <w:lang w:val="hy-AM"/>
        </w:rPr>
        <w:t>ՀՀ կառավարությունը շարունակելու է հավատարիմ մնալ ՀՀ կառավարության` 2021 թվականի օգոստոսի 18-ի N 1363-Ա որոշմամբ հաստատված ՀՀ կառավարության 2021-2026թթ. ծրագրի առաջնահերթություններին։</w:t>
      </w:r>
    </w:p>
    <w:p w14:paraId="3E187CE8" w14:textId="77777777" w:rsidR="00682902" w:rsidRPr="00E55224" w:rsidRDefault="00682902" w:rsidP="00786D09">
      <w:pPr>
        <w:pStyle w:val="BodytextBullets"/>
        <w:numPr>
          <w:ilvl w:val="0"/>
          <w:numId w:val="0"/>
        </w:numPr>
        <w:spacing w:after="0"/>
        <w:ind w:hanging="360"/>
        <w:rPr>
          <w:szCs w:val="22"/>
          <w:lang w:val="hy-AM"/>
        </w:rPr>
      </w:pPr>
      <w:r w:rsidRPr="00E55224">
        <w:rPr>
          <w:szCs w:val="22"/>
          <w:lang w:val="hy-AM"/>
        </w:rPr>
        <w:t>ՀՀ կառավարության ծրագրի առաջնահերթություններին համահունչ 2026 թվականին  կիրականացվեն սոցիալական, կրթական, առողջապահական, տնտեսական աջակցության, ենթակառուցվածքային բնույթի մի շարք առաջնահերթ միջոցառումներ, որոնց արդյունքում ի թիվս այլ թիրախների, կապահովվի հետևյալ առանցքային թիրախների իրագործումը.</w:t>
      </w:r>
    </w:p>
    <w:p w14:paraId="4C7C9AC2" w14:textId="5A45F42C" w:rsidR="00682902" w:rsidRPr="00E55224" w:rsidRDefault="00682902" w:rsidP="00786D09">
      <w:pPr>
        <w:pStyle w:val="BodytextBullets"/>
        <w:spacing w:after="0"/>
        <w:ind w:left="0"/>
        <w:rPr>
          <w:szCs w:val="22"/>
          <w:lang w:val="hy-AM"/>
        </w:rPr>
      </w:pPr>
      <w:r w:rsidRPr="00E55224">
        <w:rPr>
          <w:szCs w:val="22"/>
          <w:lang w:val="hy-AM"/>
        </w:rPr>
        <w:t xml:space="preserve">կներդրվի առողջապահության </w:t>
      </w:r>
      <w:r w:rsidR="00E8598A">
        <w:rPr>
          <w:szCs w:val="22"/>
          <w:lang w:val="hy-AM"/>
        </w:rPr>
        <w:t>համընդհանուր</w:t>
      </w:r>
      <w:r w:rsidRPr="00E55224">
        <w:rPr>
          <w:szCs w:val="22"/>
          <w:lang w:val="hy-AM"/>
        </w:rPr>
        <w:t xml:space="preserve"> ապահովագրության համակարգը.  </w:t>
      </w:r>
    </w:p>
    <w:p w14:paraId="6349F372" w14:textId="33FE877A" w:rsidR="00682902" w:rsidRPr="00E55224" w:rsidRDefault="00682902" w:rsidP="00786D09">
      <w:pPr>
        <w:pStyle w:val="BodytextBullets"/>
        <w:spacing w:after="0"/>
        <w:ind w:left="0"/>
        <w:rPr>
          <w:szCs w:val="22"/>
          <w:lang w:val="hy-AM"/>
        </w:rPr>
      </w:pPr>
      <w:r w:rsidRPr="00E55224">
        <w:rPr>
          <w:szCs w:val="22"/>
          <w:lang w:val="hy-AM"/>
        </w:rPr>
        <w:t>կշարունակվի Ղարաբաղից ՀՀ բռնի տեղահանված անձանց կեցության, այդ թվում բնակարանային ապահովման և այլ ծախսերը հոգալու համար սոցիալական աջակցության ծրագիրը.</w:t>
      </w:r>
    </w:p>
    <w:p w14:paraId="270D36A1" w14:textId="10B69552" w:rsidR="00682902" w:rsidRPr="00E55224" w:rsidRDefault="00682902" w:rsidP="00786D09">
      <w:pPr>
        <w:pStyle w:val="BodytextBullets"/>
        <w:spacing w:after="0"/>
        <w:ind w:left="0"/>
        <w:rPr>
          <w:szCs w:val="22"/>
          <w:lang w:val="hy-AM"/>
        </w:rPr>
      </w:pPr>
      <w:r w:rsidRPr="00E55224">
        <w:rPr>
          <w:szCs w:val="22"/>
          <w:lang w:val="hy-AM"/>
        </w:rPr>
        <w:t>կգործարկվի ընտանիքների անապահովության գնահատման նոր համակարգը, 2026թ.-ից կկիրառվի ամբողջ հանրապետությունում, որի նպատակը Հայաստանում ծայրահեղ աղքատության հաղթահարումն է և անապահովության մակարդակի նվազեցումը.</w:t>
      </w:r>
    </w:p>
    <w:p w14:paraId="40F58CA4" w14:textId="328E0BB3" w:rsidR="00682902" w:rsidRPr="00E55224" w:rsidRDefault="00682902" w:rsidP="00786D09">
      <w:pPr>
        <w:pStyle w:val="BodytextBullets"/>
        <w:spacing w:after="0"/>
        <w:ind w:left="0"/>
        <w:rPr>
          <w:szCs w:val="22"/>
          <w:lang w:val="hy-AM"/>
        </w:rPr>
      </w:pPr>
      <w:r w:rsidRPr="00E55224">
        <w:rPr>
          <w:szCs w:val="22"/>
          <w:lang w:val="hy-AM"/>
        </w:rPr>
        <w:t>կշարունակվի անհուսալի վարկային պարտավորություններ ունեցող աշխատաշուկայից (ֆորմալ զբաղվածությունից) դուրս մնացած կամ մասնակի ֆորմալ զբաղվածություն ունեցող անձանց աջակցության ծրագիրը</w:t>
      </w:r>
      <w:r w:rsidR="00BA6C2B" w:rsidRPr="00E55224">
        <w:rPr>
          <w:szCs w:val="22"/>
          <w:lang w:val="hy-AM"/>
        </w:rPr>
        <w:t>.</w:t>
      </w:r>
    </w:p>
    <w:p w14:paraId="2721345D" w14:textId="08011776" w:rsidR="00682902" w:rsidRPr="00E55224" w:rsidRDefault="00BA6C2B" w:rsidP="00786D09">
      <w:pPr>
        <w:pStyle w:val="BodytextBullets"/>
        <w:spacing w:after="0"/>
        <w:ind w:left="0"/>
        <w:rPr>
          <w:szCs w:val="22"/>
          <w:lang w:val="hy-AM"/>
        </w:rPr>
      </w:pPr>
      <w:r w:rsidRPr="00E55224">
        <w:rPr>
          <w:szCs w:val="22"/>
          <w:lang w:val="hy-AM"/>
        </w:rPr>
        <w:t>կշարունակվի</w:t>
      </w:r>
      <w:r w:rsidR="00682902" w:rsidRPr="00E55224">
        <w:rPr>
          <w:szCs w:val="22"/>
          <w:lang w:val="hy-AM"/>
        </w:rPr>
        <w:t xml:space="preserve"> անկանխիկ եղանակով վճարումներից կենսաթոշակառուներին հետվճարի տրամադրումը.</w:t>
      </w:r>
    </w:p>
    <w:p w14:paraId="3FE2A3E2" w14:textId="29311DB1" w:rsidR="00682902" w:rsidRPr="00E55224" w:rsidRDefault="00682902" w:rsidP="00786D09">
      <w:pPr>
        <w:pStyle w:val="BodytextBullets"/>
        <w:spacing w:after="0"/>
        <w:ind w:left="0"/>
        <w:rPr>
          <w:szCs w:val="22"/>
          <w:lang w:val="hy-AM"/>
        </w:rPr>
      </w:pPr>
      <w:r w:rsidRPr="00E55224">
        <w:rPr>
          <w:szCs w:val="22"/>
          <w:lang w:val="hy-AM"/>
        </w:rPr>
        <w:t>«Ակադեմիական քաղաք» Ծրագրի իրականացման շրջանակներում շարունակվելու են նախագծման և կառուցման աշխատանքները, միջազգային խորհրդատվական ծառայությունների ձեռքբերումն ու պայմանագրերի սպասարկումը.</w:t>
      </w:r>
    </w:p>
    <w:p w14:paraId="74B5F59B" w14:textId="77777777" w:rsidR="00682902" w:rsidRPr="00E55224" w:rsidRDefault="00682902" w:rsidP="00786D09">
      <w:pPr>
        <w:pStyle w:val="BodytextBullets"/>
        <w:spacing w:after="0"/>
        <w:ind w:left="0"/>
        <w:rPr>
          <w:szCs w:val="22"/>
          <w:lang w:val="hy-AM"/>
        </w:rPr>
      </w:pPr>
      <w:r w:rsidRPr="00E55224">
        <w:rPr>
          <w:szCs w:val="22"/>
          <w:lang w:val="hy-AM"/>
        </w:rPr>
        <w:t>հանրակրթական դպրոցների ուսուցիչների, նախնական և միջին մասնագիտական, արտադպրոցական ուսումնական հաստատությունների, մանկավարժահոգեբանական աջակցության կենտրոնների մանկավարժական աշխատողների ատեստավորման արդյունքում կապահովվի վերջիններիս աշխատավարձերի աճը.</w:t>
      </w:r>
    </w:p>
    <w:p w14:paraId="039C39B7" w14:textId="36959A6B" w:rsidR="00682902" w:rsidRPr="00E55224" w:rsidRDefault="00682902" w:rsidP="00786D09">
      <w:pPr>
        <w:pStyle w:val="BodytextBullets"/>
        <w:spacing w:after="0"/>
        <w:ind w:left="0"/>
        <w:rPr>
          <w:szCs w:val="22"/>
          <w:lang w:val="hy-AM"/>
        </w:rPr>
      </w:pPr>
      <w:r w:rsidRPr="00E55224">
        <w:rPr>
          <w:szCs w:val="22"/>
          <w:lang w:val="hy-AM"/>
        </w:rPr>
        <w:t xml:space="preserve">կշարունակվի </w:t>
      </w:r>
      <w:r w:rsidR="00436DC0" w:rsidRPr="00E55224">
        <w:rPr>
          <w:szCs w:val="22"/>
          <w:lang w:val="hy-AM"/>
        </w:rPr>
        <w:t xml:space="preserve">կառավարության ծրագրով թիրախավորված </w:t>
      </w:r>
      <w:r w:rsidRPr="00E55224">
        <w:rPr>
          <w:szCs w:val="22"/>
          <w:lang w:val="hy-AM"/>
        </w:rPr>
        <w:t xml:space="preserve">թվով </w:t>
      </w:r>
      <w:r w:rsidR="00436DC0" w:rsidRPr="00E55224">
        <w:rPr>
          <w:szCs w:val="22"/>
          <w:lang w:val="hy-AM"/>
        </w:rPr>
        <w:t>300</w:t>
      </w:r>
      <w:r w:rsidRPr="00E55224">
        <w:rPr>
          <w:szCs w:val="22"/>
          <w:lang w:val="hy-AM"/>
        </w:rPr>
        <w:t xml:space="preserve"> դպրոցների և </w:t>
      </w:r>
      <w:r w:rsidR="00436DC0" w:rsidRPr="00E55224">
        <w:rPr>
          <w:szCs w:val="22"/>
          <w:lang w:val="hy-AM"/>
        </w:rPr>
        <w:t>500</w:t>
      </w:r>
      <w:r w:rsidRPr="00E55224">
        <w:rPr>
          <w:szCs w:val="22"/>
          <w:lang w:val="hy-AM"/>
        </w:rPr>
        <w:t xml:space="preserve"> մանկապարտեզների կառուցման, հիմնանորոգման և վերանորոգման աշխատանքները՝ ապահովելով նաև դրանց հագեցումը անհրաժեշտ գույքով և սարքավորումներով.</w:t>
      </w:r>
    </w:p>
    <w:p w14:paraId="1B5EE571" w14:textId="61D7F394" w:rsidR="00682902" w:rsidRPr="00E55224" w:rsidRDefault="00E55224" w:rsidP="00786D09">
      <w:pPr>
        <w:pStyle w:val="BodytextBullets"/>
        <w:spacing w:after="0"/>
        <w:ind w:left="0"/>
        <w:rPr>
          <w:rFonts w:eastAsiaTheme="majorEastAsia" w:cstheme="majorBidi"/>
          <w:bCs/>
          <w:kern w:val="24"/>
          <w:szCs w:val="22"/>
          <w:lang w:val="hy-AM"/>
        </w:rPr>
      </w:pPr>
      <w:r w:rsidRPr="00E55224">
        <w:rPr>
          <w:szCs w:val="22"/>
          <w:lang w:val="hy-AM"/>
        </w:rPr>
        <w:t>կշարունակվի</w:t>
      </w:r>
      <w:r w:rsidR="00682902" w:rsidRPr="00E55224">
        <w:rPr>
          <w:rFonts w:eastAsiaTheme="majorEastAsia" w:cstheme="majorBidi"/>
          <w:bCs/>
          <w:kern w:val="24"/>
          <w:szCs w:val="22"/>
          <w:lang w:val="hy-AM"/>
        </w:rPr>
        <w:t xml:space="preserve"> միջպետական, հանրապետական և մարզային նշանակության ավտոմոբիլային ճանապարհների և տրանսպորտային օբյեկտների հիմնանորոգման </w:t>
      </w:r>
      <w:r w:rsidR="00436DC0" w:rsidRPr="00E55224">
        <w:rPr>
          <w:rFonts w:eastAsiaTheme="majorEastAsia" w:cstheme="majorBidi"/>
          <w:bCs/>
          <w:kern w:val="24"/>
          <w:szCs w:val="22"/>
          <w:lang w:val="hy-AM"/>
        </w:rPr>
        <w:t>աշխատանքները</w:t>
      </w:r>
      <w:r w:rsidR="00682902" w:rsidRPr="00E55224">
        <w:rPr>
          <w:rFonts w:eastAsiaTheme="majorEastAsia" w:cstheme="majorBidi"/>
          <w:bCs/>
          <w:kern w:val="24"/>
          <w:szCs w:val="22"/>
          <w:lang w:val="hy-AM"/>
        </w:rPr>
        <w:t>.</w:t>
      </w:r>
    </w:p>
    <w:p w14:paraId="2294F03A" w14:textId="23FA9F65" w:rsidR="00682902" w:rsidRPr="00E55224" w:rsidRDefault="00682902" w:rsidP="00786D09">
      <w:pPr>
        <w:pStyle w:val="BodytextBullets"/>
        <w:spacing w:after="0"/>
        <w:ind w:left="0"/>
        <w:rPr>
          <w:rFonts w:eastAsiaTheme="majorEastAsia" w:cstheme="majorBidi"/>
          <w:bCs/>
          <w:kern w:val="24"/>
          <w:szCs w:val="22"/>
          <w:lang w:val="hy-AM"/>
        </w:rPr>
      </w:pPr>
      <w:r w:rsidRPr="00E55224">
        <w:rPr>
          <w:rFonts w:eastAsiaTheme="majorEastAsia" w:cstheme="majorBidi"/>
          <w:bCs/>
          <w:kern w:val="24"/>
          <w:szCs w:val="22"/>
          <w:lang w:val="hy-AM"/>
        </w:rPr>
        <w:t>վարկային միջոցների հաշվին կշարունակվի Հյուսիս-Հարավ ճանապարհային միջանցքի շինարարությ</w:t>
      </w:r>
      <w:r w:rsidR="00E55224" w:rsidRPr="00E55224">
        <w:rPr>
          <w:rFonts w:eastAsiaTheme="majorEastAsia" w:cstheme="majorBidi"/>
          <w:bCs/>
          <w:kern w:val="24"/>
          <w:szCs w:val="22"/>
          <w:lang w:val="hy-AM"/>
        </w:rPr>
        <w:t xml:space="preserve">ան </w:t>
      </w:r>
      <w:r w:rsidRPr="00E55224">
        <w:rPr>
          <w:rFonts w:eastAsiaTheme="majorEastAsia" w:cstheme="majorBidi"/>
          <w:bCs/>
          <w:kern w:val="24"/>
          <w:szCs w:val="22"/>
          <w:lang w:val="hy-AM"/>
        </w:rPr>
        <w:t>աշխատանքները.</w:t>
      </w:r>
    </w:p>
    <w:p w14:paraId="46D0A22F" w14:textId="6F06650C" w:rsidR="00682902" w:rsidRPr="00E55224" w:rsidRDefault="00682902" w:rsidP="00786D09">
      <w:pPr>
        <w:pStyle w:val="BodytextBullets"/>
        <w:spacing w:after="0"/>
        <w:ind w:left="0"/>
        <w:rPr>
          <w:szCs w:val="22"/>
          <w:lang w:val="hy-AM"/>
        </w:rPr>
      </w:pPr>
      <w:r w:rsidRPr="00E55224">
        <w:rPr>
          <w:szCs w:val="22"/>
          <w:lang w:val="hy-AM"/>
        </w:rPr>
        <w:t>կշարունակվի ջրային պաշարների մակերևութային հոսքի կառավարման նպատակով ջրամբարաշինության ծրագրերը</w:t>
      </w:r>
      <w:r w:rsidRPr="00E55224">
        <w:rPr>
          <w:rFonts w:eastAsiaTheme="majorEastAsia" w:cstheme="majorBidi"/>
          <w:bCs/>
          <w:kern w:val="24"/>
          <w:szCs w:val="22"/>
          <w:lang w:val="hy-AM"/>
        </w:rPr>
        <w:t>.</w:t>
      </w:r>
    </w:p>
    <w:p w14:paraId="4CEAB8FE" w14:textId="6FE99F46" w:rsidR="00682902" w:rsidRPr="00E55224" w:rsidRDefault="00682902" w:rsidP="00786D09">
      <w:pPr>
        <w:pStyle w:val="BodytextBullets"/>
        <w:spacing w:after="0"/>
        <w:ind w:left="0"/>
        <w:rPr>
          <w:rFonts w:eastAsiaTheme="majorEastAsia" w:cstheme="majorBidi"/>
          <w:bCs/>
          <w:kern w:val="24"/>
          <w:szCs w:val="22"/>
          <w:lang w:val="hy-AM"/>
        </w:rPr>
      </w:pPr>
      <w:r w:rsidRPr="00E55224">
        <w:rPr>
          <w:rFonts w:eastAsiaTheme="majorEastAsia" w:cstheme="majorBidi"/>
          <w:bCs/>
          <w:kern w:val="24"/>
          <w:szCs w:val="22"/>
          <w:lang w:val="hy-AM"/>
        </w:rPr>
        <w:t>կշարունակվի պետական աջակցության տրամադրումը բարձր տեխնոլոգիաների ոլորտում գործունեություն իրականացնող տնտեսավարող սուբյեկտներին՝ մասնագիտական աշխատանք կատարող միգրանտների (օտարերկրացիների), նոր աշխատողների ներգրավման և վերապատրաստման համար, իսկ 2026 թվականից կմեկնարկի նաև մասնագիտական աշխատանք կատարող միգրանտներին աջակցության տրամադրումը.</w:t>
      </w:r>
    </w:p>
    <w:p w14:paraId="63C7D2E5" w14:textId="592140C6" w:rsidR="00682902" w:rsidRPr="00E55224" w:rsidRDefault="00682902" w:rsidP="00786D09">
      <w:pPr>
        <w:pStyle w:val="BodytextBullets"/>
        <w:spacing w:after="0"/>
        <w:ind w:left="0"/>
        <w:rPr>
          <w:rFonts w:eastAsia="Times New Roman" w:cs="Arial"/>
          <w:szCs w:val="22"/>
          <w:lang w:val="hy-AM"/>
        </w:rPr>
      </w:pPr>
      <w:r w:rsidRPr="00E55224">
        <w:rPr>
          <w:rFonts w:eastAsia="Times New Roman" w:cs="Times New Roman"/>
          <w:bCs/>
          <w:kern w:val="24"/>
          <w:szCs w:val="22"/>
          <w:lang w:val="hy-AM"/>
        </w:rPr>
        <w:t>տնտեսության ոլորտում նախատեսվող</w:t>
      </w:r>
      <w:r w:rsidRPr="00E55224">
        <w:rPr>
          <w:rFonts w:eastAsia="SimSun" w:cs="Arial"/>
          <w:szCs w:val="22"/>
          <w:lang w:val="hy-AM"/>
        </w:rPr>
        <w:t xml:space="preserve"> խոշոր փոփոխությունները վերաբերվում են աջակցության գործող </w:t>
      </w:r>
      <w:r w:rsidRPr="00E55224">
        <w:rPr>
          <w:rFonts w:eastAsia="Times New Roman" w:cs="Arial"/>
          <w:szCs w:val="22"/>
          <w:lang w:val="hy-AM"/>
        </w:rPr>
        <w:t>(անասնաբուծության ճյուղում իրականացվող ներդրումային ծրագրերին, աշնանացան ցորենի մշակության հիմնական աշխատանքներին, ինտենսիվ այգեգործության զարգացման ծախսերին, տնտեսության արդիականացման միջոցառումներին աջակցություն) և նոր (տնամերձ հողամասերում այգեհիմնման և ոռոգման արդիական համակարգերի ներդրման) ծրագրերի</w:t>
      </w:r>
      <w:r w:rsidR="00E55224" w:rsidRPr="00E55224">
        <w:rPr>
          <w:rFonts w:eastAsia="Times New Roman" w:cs="Arial"/>
          <w:szCs w:val="22"/>
          <w:lang w:val="hy-AM"/>
        </w:rPr>
        <w:t>ն</w:t>
      </w:r>
      <w:r w:rsidRPr="00E55224">
        <w:rPr>
          <w:rFonts w:eastAsia="Times New Roman" w:cs="Arial"/>
          <w:szCs w:val="22"/>
          <w:lang w:val="hy-AM"/>
        </w:rPr>
        <w:t>.</w:t>
      </w:r>
    </w:p>
    <w:p w14:paraId="03F2873E" w14:textId="71854A1E" w:rsidR="00682902" w:rsidRPr="00E55224" w:rsidRDefault="00682902" w:rsidP="00786D09">
      <w:pPr>
        <w:pStyle w:val="BodytextBullets"/>
        <w:spacing w:after="0"/>
        <w:ind w:left="0"/>
        <w:rPr>
          <w:rFonts w:eastAsiaTheme="majorEastAsia" w:cstheme="majorBidi"/>
          <w:bCs/>
          <w:kern w:val="24"/>
          <w:szCs w:val="22"/>
          <w:lang w:val="hy-AM"/>
        </w:rPr>
      </w:pPr>
      <w:r w:rsidRPr="00E55224">
        <w:rPr>
          <w:rFonts w:eastAsiaTheme="majorEastAsia" w:cstheme="majorBidi"/>
          <w:bCs/>
          <w:kern w:val="24"/>
          <w:szCs w:val="22"/>
          <w:lang w:val="hy-AM"/>
        </w:rPr>
        <w:t xml:space="preserve">կմեկնարկի ավիացիայի աջակցության հաստատված ծրագրով ֆինանսական օժանդակության տրամադրումը այն ավիաընկերություններին, որոնք կփոխադրեն օդային ուղևորներին նոր ուղղություններից Երևանի «Զվարթնոց» և Գյումրու «Շիրակ» </w:t>
      </w:r>
      <w:r w:rsidR="00E55224" w:rsidRPr="00E55224">
        <w:rPr>
          <w:rFonts w:eastAsiaTheme="majorEastAsia" w:cstheme="majorBidi"/>
          <w:bCs/>
          <w:kern w:val="24"/>
          <w:szCs w:val="22"/>
          <w:lang w:val="hy-AM"/>
        </w:rPr>
        <w:t>օդանավակայաններ</w:t>
      </w:r>
      <w:r w:rsidRPr="00E55224">
        <w:rPr>
          <w:rFonts w:eastAsiaTheme="majorEastAsia" w:cstheme="majorBidi"/>
          <w:bCs/>
          <w:kern w:val="24"/>
          <w:szCs w:val="22"/>
          <w:lang w:val="hy-AM"/>
        </w:rPr>
        <w:t>.</w:t>
      </w:r>
    </w:p>
    <w:p w14:paraId="0A3B0628" w14:textId="06E8C3B7" w:rsidR="00682902" w:rsidRPr="00E55224" w:rsidRDefault="00682902" w:rsidP="00786D09">
      <w:pPr>
        <w:pStyle w:val="BodytextBullets"/>
        <w:spacing w:after="0"/>
        <w:ind w:left="0"/>
        <w:rPr>
          <w:rFonts w:eastAsiaTheme="majorEastAsia" w:cstheme="majorBidi"/>
          <w:bCs/>
          <w:kern w:val="24"/>
          <w:szCs w:val="22"/>
          <w:lang w:val="hy-AM"/>
        </w:rPr>
      </w:pPr>
      <w:r w:rsidRPr="00E55224">
        <w:rPr>
          <w:rFonts w:eastAsiaTheme="majorEastAsia" w:cstheme="majorBidi"/>
          <w:bCs/>
          <w:kern w:val="24"/>
          <w:szCs w:val="22"/>
          <w:lang w:val="hy-AM"/>
        </w:rPr>
        <w:t>կշարունակվի բնակարանների և անհատական բնակելի տների էներգաարդյունավետ վերանորոգման աշխատանքների պետական աջակցության ծրագ</w:t>
      </w:r>
      <w:r w:rsidR="00E55224" w:rsidRPr="00E55224">
        <w:rPr>
          <w:rFonts w:eastAsiaTheme="majorEastAsia" w:cstheme="majorBidi"/>
          <w:bCs/>
          <w:kern w:val="24"/>
          <w:szCs w:val="22"/>
          <w:lang w:val="hy-AM"/>
        </w:rPr>
        <w:t>ի</w:t>
      </w:r>
      <w:r w:rsidRPr="00E55224">
        <w:rPr>
          <w:rFonts w:eastAsiaTheme="majorEastAsia" w:cstheme="majorBidi"/>
          <w:bCs/>
          <w:kern w:val="24"/>
          <w:szCs w:val="22"/>
          <w:lang w:val="hy-AM"/>
        </w:rPr>
        <w:t>ր</w:t>
      </w:r>
      <w:r w:rsidR="00E55224" w:rsidRPr="00E55224">
        <w:rPr>
          <w:rFonts w:eastAsiaTheme="majorEastAsia" w:cstheme="majorBidi"/>
          <w:bCs/>
          <w:kern w:val="24"/>
          <w:szCs w:val="22"/>
          <w:lang w:val="hy-AM"/>
        </w:rPr>
        <w:t xml:space="preserve">ը. </w:t>
      </w:r>
    </w:p>
    <w:p w14:paraId="1567DB97" w14:textId="4137104B" w:rsidR="00682902" w:rsidRPr="00E55224" w:rsidRDefault="00682902" w:rsidP="00786D09">
      <w:pPr>
        <w:pStyle w:val="BodytextBullets"/>
        <w:spacing w:after="0"/>
        <w:ind w:left="0"/>
        <w:rPr>
          <w:rFonts w:eastAsiaTheme="majorEastAsia" w:cstheme="majorBidi"/>
          <w:bCs/>
          <w:kern w:val="24"/>
          <w:szCs w:val="22"/>
          <w:lang w:val="hy-AM"/>
        </w:rPr>
      </w:pPr>
      <w:r w:rsidRPr="00E55224">
        <w:rPr>
          <w:rFonts w:eastAsiaTheme="majorEastAsia" w:cstheme="majorBidi"/>
          <w:bCs/>
          <w:kern w:val="24"/>
          <w:szCs w:val="22"/>
          <w:lang w:val="hy-AM"/>
        </w:rPr>
        <w:t>կշարունակվի համայնքներում մասնակցային բյուջետավորմամբ սուբվենցիոն ծրագրերի իրականացումը.</w:t>
      </w:r>
    </w:p>
    <w:p w14:paraId="4C5FE607" w14:textId="4EBE83EB" w:rsidR="00682902" w:rsidRPr="00E55224" w:rsidRDefault="00E55224" w:rsidP="00786D09">
      <w:pPr>
        <w:pStyle w:val="BodytextBullets"/>
        <w:spacing w:after="0"/>
        <w:ind w:left="0"/>
        <w:rPr>
          <w:rFonts w:eastAsia="Times New Roman" w:cs="Arial"/>
          <w:bCs/>
          <w:szCs w:val="22"/>
          <w:lang w:val="hy-AM"/>
        </w:rPr>
      </w:pPr>
      <w:r w:rsidRPr="00E55224">
        <w:rPr>
          <w:rFonts w:eastAsia="Times New Roman" w:cs="Arial"/>
          <w:bCs/>
          <w:szCs w:val="22"/>
          <w:lang w:val="hy-AM"/>
        </w:rPr>
        <w:t>ն</w:t>
      </w:r>
      <w:r w:rsidR="00682902" w:rsidRPr="00E55224">
        <w:rPr>
          <w:rFonts w:eastAsia="Times New Roman" w:cs="Arial"/>
          <w:bCs/>
          <w:szCs w:val="22"/>
          <w:lang w:val="hy-AM"/>
        </w:rPr>
        <w:t>ախատեսվ</w:t>
      </w:r>
      <w:r w:rsidRPr="00E55224">
        <w:rPr>
          <w:rFonts w:eastAsia="Times New Roman" w:cs="Arial"/>
          <w:bCs/>
          <w:szCs w:val="22"/>
          <w:lang w:val="hy-AM"/>
        </w:rPr>
        <w:t>ում է</w:t>
      </w:r>
      <w:r w:rsidR="00682902" w:rsidRPr="00E55224">
        <w:rPr>
          <w:rFonts w:eastAsia="Times New Roman" w:cs="Arial"/>
          <w:bCs/>
          <w:szCs w:val="22"/>
          <w:lang w:val="hy-AM"/>
        </w:rPr>
        <w:t xml:space="preserve"> </w:t>
      </w:r>
      <w:r w:rsidRPr="00E55224">
        <w:rPr>
          <w:rFonts w:eastAsia="Times New Roman" w:cs="Arial"/>
          <w:bCs/>
          <w:szCs w:val="22"/>
          <w:lang w:val="hy-AM"/>
        </w:rPr>
        <w:t xml:space="preserve">փոխհատուցել </w:t>
      </w:r>
      <w:r w:rsidR="00682902" w:rsidRPr="00E55224">
        <w:rPr>
          <w:rFonts w:eastAsia="Times New Roman" w:cs="Arial"/>
          <w:bCs/>
          <w:szCs w:val="22"/>
          <w:lang w:val="hy-AM"/>
        </w:rPr>
        <w:t>անկանխիկ եղանակով սոցիալական ծախսեր կատարած հայտարարատու համարվող ֆիզիկական անձանց առո</w:t>
      </w:r>
      <w:r w:rsidRPr="00E55224">
        <w:rPr>
          <w:rFonts w:eastAsia="Times New Roman" w:cs="Arial"/>
          <w:bCs/>
          <w:szCs w:val="22"/>
          <w:lang w:val="hy-AM"/>
        </w:rPr>
        <w:t>ղջապահության և կրթության ծախսերը</w:t>
      </w:r>
      <w:r w:rsidR="00682902" w:rsidRPr="00E55224">
        <w:rPr>
          <w:rFonts w:eastAsia="Times New Roman" w:cs="Arial"/>
          <w:bCs/>
          <w:szCs w:val="22"/>
          <w:lang w:val="hy-AM"/>
        </w:rPr>
        <w:t>.</w:t>
      </w:r>
    </w:p>
    <w:p w14:paraId="160880E6" w14:textId="6B894135" w:rsidR="00682902" w:rsidRPr="00E55224" w:rsidRDefault="00E55224" w:rsidP="00786D09">
      <w:pPr>
        <w:pStyle w:val="BodytextBullets"/>
        <w:spacing w:after="0"/>
        <w:ind w:left="0"/>
        <w:rPr>
          <w:rFonts w:eastAsia="Times New Roman" w:cs="Arial"/>
          <w:bCs/>
          <w:szCs w:val="22"/>
          <w:lang w:val="hy-AM"/>
        </w:rPr>
      </w:pPr>
      <w:r w:rsidRPr="00E55224">
        <w:rPr>
          <w:rFonts w:eastAsia="Times New Roman" w:cs="Arial"/>
          <w:bCs/>
          <w:szCs w:val="22"/>
          <w:lang w:val="hy-AM"/>
        </w:rPr>
        <w:t>ն</w:t>
      </w:r>
      <w:r w:rsidR="00682902" w:rsidRPr="00E55224">
        <w:rPr>
          <w:rFonts w:eastAsia="Times New Roman" w:cs="Arial"/>
          <w:bCs/>
          <w:szCs w:val="22"/>
          <w:lang w:val="hy-AM"/>
        </w:rPr>
        <w:t>ախատեսվ</w:t>
      </w:r>
      <w:r w:rsidRPr="00E55224">
        <w:rPr>
          <w:rFonts w:eastAsia="Times New Roman" w:cs="Arial"/>
          <w:bCs/>
          <w:szCs w:val="22"/>
          <w:lang w:val="hy-AM"/>
        </w:rPr>
        <w:t xml:space="preserve">ում </w:t>
      </w:r>
      <w:r w:rsidR="00682902" w:rsidRPr="00E55224">
        <w:rPr>
          <w:rFonts w:eastAsia="Times New Roman" w:cs="Arial"/>
          <w:bCs/>
          <w:szCs w:val="22"/>
          <w:lang w:val="hy-AM"/>
        </w:rPr>
        <w:t>է անկանխիկ եղանակով վճարումներից հետվճարի</w:t>
      </w:r>
      <w:r w:rsidRPr="00E55224">
        <w:rPr>
          <w:rFonts w:eastAsia="Times New Roman" w:cs="Arial"/>
          <w:bCs/>
          <w:szCs w:val="22"/>
          <w:lang w:val="hy-AM"/>
        </w:rPr>
        <w:t xml:space="preserve"> տրամադրում</w:t>
      </w:r>
      <w:r w:rsidR="00682902" w:rsidRPr="00E55224">
        <w:rPr>
          <w:rFonts w:eastAsia="Times New Roman" w:cs="Arial"/>
          <w:bCs/>
          <w:szCs w:val="22"/>
          <w:lang w:val="hy-AM"/>
        </w:rPr>
        <w:t>.</w:t>
      </w:r>
    </w:p>
    <w:p w14:paraId="5F45AFAD" w14:textId="3294619A" w:rsidR="00682902" w:rsidRPr="00E55224" w:rsidRDefault="00E55224" w:rsidP="00786D09">
      <w:pPr>
        <w:pStyle w:val="BodytextBullets"/>
        <w:spacing w:after="0"/>
        <w:ind w:left="0"/>
        <w:rPr>
          <w:rFonts w:eastAsia="Times New Roman" w:cs="Arial"/>
          <w:bCs/>
          <w:szCs w:val="22"/>
          <w:lang w:val="hy-AM"/>
        </w:rPr>
      </w:pPr>
      <w:r w:rsidRPr="00E55224">
        <w:rPr>
          <w:rFonts w:eastAsia="Times New Roman" w:cs="Arial"/>
          <w:bCs/>
          <w:szCs w:val="22"/>
          <w:lang w:val="hy-AM"/>
        </w:rPr>
        <w:t>նախատեսվում է 2026թ Հայաստանում անցկացնել COP 17 համաժողովը</w:t>
      </w:r>
      <w:r w:rsidR="00682902" w:rsidRPr="00E55224">
        <w:rPr>
          <w:rFonts w:eastAsia="Times New Roman" w:cs="Arial"/>
          <w:bCs/>
          <w:szCs w:val="22"/>
          <w:lang w:val="hy-AM"/>
        </w:rPr>
        <w:t>.</w:t>
      </w:r>
    </w:p>
    <w:p w14:paraId="0F715B90" w14:textId="313CBC72" w:rsidR="00682902" w:rsidRPr="00E55224" w:rsidRDefault="00E55224" w:rsidP="00786D09">
      <w:pPr>
        <w:pStyle w:val="BodytextBullets"/>
        <w:spacing w:after="0"/>
        <w:ind w:left="0"/>
        <w:rPr>
          <w:rFonts w:eastAsia="Times New Roman" w:cs="Arial"/>
          <w:bCs/>
          <w:szCs w:val="22"/>
          <w:lang w:val="hy-AM"/>
        </w:rPr>
      </w:pPr>
      <w:r w:rsidRPr="00E55224">
        <w:rPr>
          <w:rFonts w:eastAsia="Times New Roman" w:cs="Arial"/>
          <w:bCs/>
          <w:szCs w:val="22"/>
          <w:lang w:val="hy-AM"/>
        </w:rPr>
        <w:t xml:space="preserve">նախատեսվում է 2026թ Հայաստանում անցկացնել </w:t>
      </w:r>
      <w:r w:rsidR="00682902" w:rsidRPr="00E55224">
        <w:rPr>
          <w:szCs w:val="22"/>
          <w:lang w:val="hy-AM"/>
        </w:rPr>
        <w:t xml:space="preserve">Եվրոպական քաղաքական համայնքի 8-րդ գագաթնաժողովը: </w:t>
      </w:r>
    </w:p>
    <w:p w14:paraId="1A8DD403" w14:textId="77777777" w:rsidR="00E55224" w:rsidRDefault="00E55224" w:rsidP="00786D09">
      <w:pPr>
        <w:pStyle w:val="TOC3"/>
        <w:pBdr>
          <w:bottom w:val="single" w:sz="12" w:space="1" w:color="C3C3C7" w:themeColor="accent3" w:themeTint="66"/>
        </w:pBdr>
        <w:rPr>
          <w:lang w:val="hy-AM"/>
        </w:rPr>
      </w:pPr>
    </w:p>
    <w:p w14:paraId="259BB114" w14:textId="77777777" w:rsidR="00E55224" w:rsidRDefault="00E55224" w:rsidP="00786D09">
      <w:pPr>
        <w:pStyle w:val="TOC3"/>
        <w:pBdr>
          <w:bottom w:val="single" w:sz="12" w:space="1" w:color="C3C3C7" w:themeColor="accent3" w:themeTint="66"/>
        </w:pBdr>
        <w:rPr>
          <w:lang w:val="hy-AM"/>
        </w:rPr>
      </w:pPr>
    </w:p>
    <w:p w14:paraId="1E1B7850" w14:textId="4C9D811F" w:rsidR="00BA6C2B" w:rsidRPr="007A1E67" w:rsidRDefault="00BA6C2B" w:rsidP="00786D09">
      <w:pPr>
        <w:pStyle w:val="TOC3"/>
        <w:pBdr>
          <w:bottom w:val="single" w:sz="12" w:space="1" w:color="C3C3C7" w:themeColor="accent3" w:themeTint="66"/>
        </w:pBdr>
        <w:outlineLvl w:val="1"/>
        <w:rPr>
          <w:lang w:val="hy-AM"/>
        </w:rPr>
      </w:pPr>
      <w:bookmarkStart w:id="102" w:name="_Toc215157661"/>
      <w:r w:rsidRPr="007A1E67">
        <w:rPr>
          <w:lang w:val="hy-AM"/>
        </w:rPr>
        <w:t xml:space="preserve">ՀԱՇՎԱՊԱՀԱԿԱՆ ՀԱՇՎԱՌՈՒՄ </w:t>
      </w:r>
      <w:r>
        <w:rPr>
          <w:lang w:val="hy-AM"/>
        </w:rPr>
        <w:t>ԵՎ</w:t>
      </w:r>
      <w:r w:rsidRPr="007A1E67">
        <w:rPr>
          <w:lang w:val="hy-AM"/>
        </w:rPr>
        <w:t xml:space="preserve"> ԱՈՒԴԻՏՈՐԱԿԱՆ</w:t>
      </w:r>
      <w:r w:rsidR="000177A4" w:rsidRPr="007645A6">
        <w:rPr>
          <w:lang w:val="hy-AM"/>
        </w:rPr>
        <w:t xml:space="preserve"> </w:t>
      </w:r>
      <w:r w:rsidRPr="007A1E67">
        <w:rPr>
          <w:lang w:val="hy-AM"/>
        </w:rPr>
        <w:t>ԳՈՐԾՈՒՆԵՈՒԹՅՈՒՆ</w:t>
      </w:r>
      <w:bookmarkEnd w:id="102"/>
    </w:p>
    <w:p w14:paraId="201F3CF4" w14:textId="77777777" w:rsidR="00FE1C51" w:rsidRDefault="00FE1C51" w:rsidP="00FE1C51">
      <w:pPr>
        <w:pStyle w:val="BodyText1"/>
        <w:ind w:left="0" w:right="357"/>
        <w:rPr>
          <w:lang w:val="hy-AM"/>
        </w:rPr>
      </w:pPr>
      <w:r>
        <w:rPr>
          <w:lang w:val="hy-AM"/>
        </w:rPr>
        <w:t>Հայաստանի Հանրապետության կառավարության նախաձեռնած հաշվապահական հաշվառման և աուդիտորական գործունեության ոլորտներում իրականացվող բարեփոխումների շրջանակում՝ 2026 թվականի ընթացքում շարունակվելու են «Հաշվապահական հաշվառման մասին», «Աուդիտորական գործունեության մասին», «Հաշվապահական հաշվառման և աուդիտորական գործունեության կարգավորման և հանրային վերահսկողության մասին» ՀՀ օրենքներով նախատեսված կառուցակարգերի կատարելագործման աշխատանքները, մասնավորապես նախատեսվում է շարունակել աուդիտի որակի հսկողության արտաքին գնահատման մեխանիզմների կատարելագործ</w:t>
      </w:r>
      <w:r>
        <w:rPr>
          <w:lang w:val="hy-AM"/>
        </w:rPr>
        <w:softHyphen/>
        <w:t>ման աշխատանքները, ինչը թույլ կտա բարձրացնել մատուցվող աուդիտորական ծառայությունների որակը և հանրային վստահությունը։</w:t>
      </w:r>
    </w:p>
    <w:p w14:paraId="69722BEA" w14:textId="77777777" w:rsidR="00FE1C51" w:rsidRDefault="00FE1C51" w:rsidP="00FE1C51">
      <w:pPr>
        <w:pStyle w:val="BodyText1"/>
        <w:ind w:left="0" w:right="357"/>
        <w:rPr>
          <w:lang w:val="hy-AM"/>
        </w:rPr>
      </w:pPr>
      <w:r>
        <w:rPr>
          <w:lang w:val="hy-AM"/>
        </w:rPr>
        <w:t>Հանրային հատվածի հաշվապահական հաշվառման ոլորտում՝ 2026 թվականի ընթացքում շարունակվելու է հանրային հատվածի հաշվապահների որակավորման գործընթացը՝ հաշվապահի որակավորման քննությունների կազմակերպման միջոցով։ Միաժամանակ, շարունակվելու են հանրային հատվածի կազմակերպությունների կողմից ներկայացված հաշվապահական հաշվառման գրանցամատյանների և ֆինանսական հաշվետվությունների փաթեթների մշտադիտարկման աշխատանքները։</w:t>
      </w:r>
    </w:p>
    <w:p w14:paraId="5C0B9097" w14:textId="77777777" w:rsidR="00FE1C51" w:rsidRDefault="00FE1C51" w:rsidP="00FE1C51">
      <w:pPr>
        <w:ind w:right="288"/>
        <w:jc w:val="both"/>
        <w:rPr>
          <w:lang w:val="hy-AM"/>
        </w:rPr>
      </w:pPr>
      <w:r>
        <w:rPr>
          <w:rFonts w:ascii="GHEA Grapalat" w:hAnsi="GHEA Grapalat"/>
          <w:szCs w:val="20"/>
          <w:lang w:val="hy-AM"/>
        </w:rPr>
        <w:t>Բացի այդ, հանրային հատվածի հաշվապահական հաշվառման ոլորտը կարգավորող իրավական ակտերի պրակտիկ կիրառության արդյունքում բացահայտված խնդիրների հիման վրա՝ նախատեսվում է իրականացնել ոլորտի մեթոդաբանության լավարկում։</w:t>
      </w:r>
    </w:p>
    <w:p w14:paraId="2212CD1E" w14:textId="77777777" w:rsidR="00BA6C2B" w:rsidRPr="00E77731" w:rsidRDefault="00BA6C2B" w:rsidP="00FE1C51">
      <w:pPr>
        <w:pStyle w:val="TOC3"/>
        <w:pBdr>
          <w:bottom w:val="single" w:sz="12" w:space="1" w:color="C3C3C7" w:themeColor="accent3" w:themeTint="66"/>
        </w:pBdr>
        <w:jc w:val="both"/>
        <w:rPr>
          <w:lang w:val="hy-AM"/>
        </w:rPr>
      </w:pPr>
      <w:r w:rsidRPr="007A1E67">
        <w:rPr>
          <w:lang w:val="hy-AM"/>
        </w:rPr>
        <w:t>ԵԿԱՄՈՒՏՆԵՐԻ ՔԱՂԱՔԱԿԱՆՈՒԹՅԱՆ ՈԼՈՐՏ</w:t>
      </w:r>
    </w:p>
    <w:p w14:paraId="4653C680" w14:textId="77777777" w:rsidR="00BA6C2B" w:rsidRPr="003309F8" w:rsidRDefault="00BA6C2B" w:rsidP="00786D09">
      <w:pPr>
        <w:pStyle w:val="BodyText1"/>
        <w:ind w:left="0" w:right="357"/>
        <w:rPr>
          <w:lang w:val="hy-AM"/>
        </w:rPr>
      </w:pPr>
      <w:r w:rsidRPr="003309F8">
        <w:rPr>
          <w:lang w:val="hy-AM"/>
        </w:rPr>
        <w:t>Եկամուտների քաղաքականության ոլորտում իրականացվելիք միջոցառումները բխելու են ՀՀ կառավարության ծրագրից:</w:t>
      </w:r>
    </w:p>
    <w:p w14:paraId="16F2E4BC" w14:textId="77777777" w:rsidR="00BA6C2B" w:rsidRPr="003309F8" w:rsidRDefault="00BA6C2B" w:rsidP="00786D09">
      <w:pPr>
        <w:pStyle w:val="BodyText1"/>
        <w:ind w:left="0" w:right="357"/>
        <w:rPr>
          <w:b/>
          <w:lang w:val="hy-AM"/>
        </w:rPr>
      </w:pPr>
      <w:r w:rsidRPr="003309F8">
        <w:rPr>
          <w:b/>
          <w:lang w:val="hy-AM"/>
        </w:rPr>
        <w:t>Հարկային քաղաքականության ոլորտում Կառավարության կողմից առաջիկայում կատարվելիք աշխատանքներն ուղղված են լինելու՝</w:t>
      </w:r>
    </w:p>
    <w:p w14:paraId="7F3DB7AA" w14:textId="77777777" w:rsidR="00BA6C2B" w:rsidRPr="00483A27" w:rsidRDefault="00BA6C2B" w:rsidP="00786D09">
      <w:pPr>
        <w:pStyle w:val="BodytextBullets"/>
        <w:ind w:left="0" w:right="357"/>
        <w:rPr>
          <w:lang w:val="hy-AM"/>
        </w:rPr>
      </w:pPr>
      <w:r w:rsidRPr="00483A27">
        <w:rPr>
          <w:lang w:val="hy-AM"/>
        </w:rPr>
        <w:t>hարկման այլընտրանքային համակարգերի ընդհանուր բարեփոխմանը՝ նպատակ ունենալով ապահովել հարկ</w:t>
      </w:r>
      <w:r w:rsidRPr="00483A27">
        <w:rPr>
          <w:lang w:val="hy-AM"/>
        </w:rPr>
        <w:softHyphen/>
        <w:t>ման տարբեր համակարգերի միջև հարկային բեռի արդարացի և հավասար բաշխում, ինչպես նաև նվազեցնել ստորին մակարդակում գտնվող հարկման համակարգերում արհեստա</w:t>
      </w:r>
      <w:r w:rsidRPr="00483A27">
        <w:rPr>
          <w:lang w:val="hy-AM"/>
        </w:rPr>
        <w:softHyphen/>
        <w:t>կանորեն տեղավորվելու և այդ կերպ հարկերի վճարումից խուսափելու, հարկման տար</w:t>
      </w:r>
      <w:r w:rsidRPr="00483A27">
        <w:rPr>
          <w:lang w:val="hy-AM"/>
        </w:rPr>
        <w:softHyphen/>
        <w:t>բեր համակարգերի միջև արհես</w:t>
      </w:r>
      <w:r w:rsidRPr="00483A27">
        <w:rPr>
          <w:lang w:val="hy-AM"/>
        </w:rPr>
        <w:softHyphen/>
        <w:t>տա</w:t>
      </w:r>
      <w:r w:rsidRPr="00483A27">
        <w:rPr>
          <w:lang w:val="hy-AM"/>
        </w:rPr>
        <w:softHyphen/>
        <w:t>կան գործարքների իրականացմամբ հարկային պլա</w:t>
      </w:r>
      <w:r w:rsidRPr="00483A27">
        <w:rPr>
          <w:lang w:val="hy-AM"/>
        </w:rPr>
        <w:softHyphen/>
        <w:t>նավորման և գործարքների փաս</w:t>
      </w:r>
      <w:r w:rsidRPr="00483A27">
        <w:rPr>
          <w:lang w:val="hy-AM"/>
        </w:rPr>
        <w:softHyphen/>
        <w:t>տա</w:t>
      </w:r>
      <w:r w:rsidRPr="00483A27">
        <w:rPr>
          <w:lang w:val="hy-AM"/>
        </w:rPr>
        <w:softHyphen/>
        <w:t>թղ</w:t>
      </w:r>
      <w:r w:rsidRPr="00483A27">
        <w:rPr>
          <w:lang w:val="hy-AM"/>
        </w:rPr>
        <w:softHyphen/>
        <w:t>թա</w:t>
      </w:r>
      <w:r w:rsidRPr="00483A27">
        <w:rPr>
          <w:lang w:val="hy-AM"/>
        </w:rPr>
        <w:softHyphen/>
        <w:t>վորման շղթայի ամբողջականության խաթար</w:t>
      </w:r>
      <w:r w:rsidRPr="00483A27">
        <w:rPr>
          <w:lang w:val="hy-AM"/>
        </w:rPr>
        <w:softHyphen/>
        <w:t>ման ռիսկերը,</w:t>
      </w:r>
    </w:p>
    <w:p w14:paraId="7DBBFDE0" w14:textId="77777777" w:rsidR="00BA6C2B" w:rsidRPr="00483A27" w:rsidRDefault="00BA6C2B" w:rsidP="00786D09">
      <w:pPr>
        <w:pStyle w:val="BodytextBullets"/>
        <w:ind w:left="0" w:right="357"/>
        <w:rPr>
          <w:lang w:val="hy-AM"/>
        </w:rPr>
      </w:pPr>
      <w:r w:rsidRPr="00483A27">
        <w:rPr>
          <w:lang w:val="hy-AM"/>
        </w:rPr>
        <w:t>միկրոձեռնարկատիրության հարկման համակարգի շրջանակում հարկվող գործունեության տեսակների շրջանակի կրճատմանը՝ նպատակ ունենալով ապահովել միկրոձեռնարկատիրության հարկման համակարգի առավել հասցեականությունը,</w:t>
      </w:r>
    </w:p>
    <w:p w14:paraId="300763CD" w14:textId="77777777" w:rsidR="00BA6C2B" w:rsidRPr="00483A27" w:rsidRDefault="00BA6C2B" w:rsidP="00786D09">
      <w:pPr>
        <w:pStyle w:val="BodytextBullets"/>
        <w:ind w:left="0" w:right="357"/>
        <w:rPr>
          <w:lang w:val="hy-AM"/>
        </w:rPr>
      </w:pPr>
      <w:r w:rsidRPr="00483A27">
        <w:rPr>
          <w:lang w:val="hy-AM"/>
        </w:rPr>
        <w:t>գույքի արժեքի հավելաճի տեսքով ստացվող պասիվ եկամուտների հարկման հնարավորությունների քննարկմանը,</w:t>
      </w:r>
    </w:p>
    <w:p w14:paraId="268C78D4" w14:textId="77777777" w:rsidR="00BA6C2B" w:rsidRDefault="00BA6C2B" w:rsidP="00786D09">
      <w:pPr>
        <w:pStyle w:val="BodytextBullets"/>
        <w:ind w:left="0" w:right="357" w:hanging="357"/>
        <w:rPr>
          <w:lang w:val="hy-AM"/>
        </w:rPr>
      </w:pPr>
      <w:r w:rsidRPr="00483A27">
        <w:rPr>
          <w:lang w:val="hy-AM"/>
        </w:rPr>
        <w:t>կրկնակի հարկումը բացառող համաձայնագրերի աշխարհագրության ընդլայնմանը՝ նպա</w:t>
      </w:r>
      <w:r w:rsidRPr="00483A27">
        <w:rPr>
          <w:lang w:val="hy-AM"/>
        </w:rPr>
        <w:softHyphen/>
        <w:t>տակ ունենալով նաև գործող համաձայնագրերը համապատասխանեցնել կրկնակի հարկումը բացա</w:t>
      </w:r>
      <w:r w:rsidRPr="00483A27">
        <w:rPr>
          <w:lang w:val="hy-AM"/>
        </w:rPr>
        <w:softHyphen/>
        <w:t xml:space="preserve">ռող համաձայնագրերին վերաբերող՝ միջազգայնորեն ընդունված արդի ստանդարտներին և մոտեցումներին: </w:t>
      </w:r>
    </w:p>
    <w:p w14:paraId="19B96CBE" w14:textId="77777777" w:rsidR="00BA6C2B" w:rsidRPr="007A1E67" w:rsidRDefault="00BA6C2B" w:rsidP="00C33D04">
      <w:pPr>
        <w:pStyle w:val="TOC3"/>
        <w:pBdr>
          <w:bottom w:val="single" w:sz="12" w:space="1" w:color="C3C3C7" w:themeColor="accent3" w:themeTint="66"/>
        </w:pBdr>
        <w:jc w:val="both"/>
        <w:outlineLvl w:val="1"/>
        <w:rPr>
          <w:lang w:val="hy-AM"/>
        </w:rPr>
      </w:pPr>
      <w:bookmarkStart w:id="103" w:name="_Toc215157662"/>
      <w:r w:rsidRPr="007A1E67">
        <w:rPr>
          <w:lang w:val="hy-AM"/>
        </w:rPr>
        <w:t>ՊԵՏԱԿԱՆ ԵԿԱՄՈՒՏՆԵՐԻ ՎԱՐՉԱՐԱՐՈՒԹՅՈՒՆ</w:t>
      </w:r>
      <w:bookmarkEnd w:id="103"/>
    </w:p>
    <w:p w14:paraId="798D7DA0" w14:textId="77777777" w:rsidR="00BA6C2B" w:rsidRPr="004B37E7" w:rsidRDefault="00BA6C2B" w:rsidP="00786D09">
      <w:pPr>
        <w:pStyle w:val="BodyText1"/>
        <w:ind w:left="0" w:right="357"/>
        <w:rPr>
          <w:lang w:val="hy-AM"/>
        </w:rPr>
      </w:pPr>
      <w:r w:rsidRPr="004B37E7">
        <w:rPr>
          <w:lang w:val="hy-AM"/>
        </w:rPr>
        <w:t>Պետական եկամուտների վարչարարության ոլորտում իրականացվելիք միջոցառումները բխելու են ՀՀ կառավարության 2021 թվականի նոյեմբերի 18-ի N 1902-Լ որոշմամբ հաստատված Հայաստանի Հանրապետության կառավարության 2021-2026թթ. գործունեության միջոցառումների ծրագրից, ինչպես նաև ՀՀ պետական եկամուտների կոմիտեի զարգացման և վարչարարության բարելավման ռազմավարական ծրագրերից:</w:t>
      </w:r>
    </w:p>
    <w:p w14:paraId="441963B4" w14:textId="77777777" w:rsidR="00BA6C2B" w:rsidRPr="004B37E7" w:rsidRDefault="00BA6C2B" w:rsidP="00786D09">
      <w:pPr>
        <w:pStyle w:val="BodyText1"/>
        <w:ind w:left="0" w:right="357"/>
        <w:rPr>
          <w:lang w:val="hy-AM"/>
        </w:rPr>
      </w:pPr>
      <w:r w:rsidRPr="004B37E7">
        <w:rPr>
          <w:lang w:val="hy-AM"/>
        </w:rPr>
        <w:t>2026 թվականի ընթացքում պետական եկամուտների կոմիտեի վարչարարությունն ուղղված է լինելու ներքոնշյալ նպատակների իրագործմանը.</w:t>
      </w:r>
    </w:p>
    <w:p w14:paraId="1D12BE8B" w14:textId="77777777" w:rsidR="00BA6C2B" w:rsidRPr="004B37E7" w:rsidRDefault="00BA6C2B" w:rsidP="00786D09">
      <w:pPr>
        <w:pStyle w:val="BodyText1"/>
        <w:ind w:left="0" w:right="357"/>
        <w:rPr>
          <w:b/>
          <w:lang w:val="hy-AM"/>
        </w:rPr>
      </w:pPr>
      <w:r w:rsidRPr="004B37E7">
        <w:rPr>
          <w:b/>
          <w:lang w:val="hy-AM"/>
        </w:rPr>
        <w:t>Հարկ վճարողներին և ԱՏԳ մասնակիցներին մատուցվող ծառայությունների ընդլայնում,  գործող համակարգերի արդիականացում և անխափան ու սահուն աշխատանքի ապահովում: Այս նպատակի շրջանակներում նախատեսվում է իրականացնել հետևյալ աշխատանքները</w:t>
      </w:r>
      <w:r w:rsidRPr="004B37E7">
        <w:rPr>
          <w:rFonts w:ascii="Cambria Math" w:hAnsi="Cambria Math" w:cs="Cambria Math"/>
          <w:b/>
          <w:lang w:val="hy-AM"/>
        </w:rPr>
        <w:t>․</w:t>
      </w:r>
      <w:r w:rsidRPr="004B37E7">
        <w:rPr>
          <w:b/>
          <w:lang w:val="hy-AM"/>
        </w:rPr>
        <w:t xml:space="preserve"> </w:t>
      </w:r>
    </w:p>
    <w:p w14:paraId="73249F47" w14:textId="77777777" w:rsidR="00BA6C2B" w:rsidRPr="00AD6C8A" w:rsidRDefault="00BA6C2B" w:rsidP="00786D09">
      <w:pPr>
        <w:pStyle w:val="BodytextBullets"/>
        <w:ind w:left="0" w:right="357"/>
        <w:rPr>
          <w:lang w:val="hy-AM" w:eastAsia="ru-RU"/>
        </w:rPr>
      </w:pPr>
      <w:r w:rsidRPr="00AD6C8A">
        <w:rPr>
          <w:lang w:val="hy-AM" w:eastAsia="ru-RU"/>
        </w:rPr>
        <w:t xml:space="preserve"> «Մաքսային միասնական հաշիվ» համակարգի ներդրման միջոցով արդիականացնել  մաքսային վճարների հաշվառման և գանձման համակարգը՝ նպաստելով մաքսային գործընթացների համար ծախսվող ժամանակի կրճատմանը,</w:t>
      </w:r>
    </w:p>
    <w:p w14:paraId="5EFF5D41" w14:textId="77777777" w:rsidR="00BA6C2B" w:rsidRPr="00AD6C8A" w:rsidRDefault="00BA6C2B" w:rsidP="00786D09">
      <w:pPr>
        <w:pStyle w:val="BodytextBullets"/>
        <w:ind w:left="0" w:right="357"/>
        <w:rPr>
          <w:lang w:val="hy-AM" w:eastAsia="ru-RU"/>
        </w:rPr>
      </w:pPr>
      <w:r w:rsidRPr="00AD6C8A">
        <w:rPr>
          <w:lang w:val="hy-AM" w:eastAsia="ru-RU"/>
        </w:rPr>
        <w:t>մաքսային գործընթացների ծախսատարությունը և ժամանակատարությունը նվազեցնելու նպատակով ստեղծել մաքսային ձևակերպումների ժամանակակից կենտրոն,</w:t>
      </w:r>
    </w:p>
    <w:p w14:paraId="05A96733" w14:textId="77777777" w:rsidR="00BA6C2B" w:rsidRPr="00AD6C8A" w:rsidRDefault="00BA6C2B" w:rsidP="00786D09">
      <w:pPr>
        <w:pStyle w:val="BodytextBullets"/>
        <w:ind w:left="0" w:right="357"/>
        <w:rPr>
          <w:lang w:val="hy-AM" w:eastAsia="ru-RU"/>
        </w:rPr>
      </w:pPr>
      <w:r w:rsidRPr="00AD6C8A">
        <w:rPr>
          <w:lang w:val="hy-AM" w:eastAsia="ru-RU"/>
        </w:rPr>
        <w:t>զարգացնել և արդիականացնել ՊԵԿ սերվերային և օպերացիոն համակարգերը, օպտիմալացնել տեղեկատվական շտեմարանների կառուցվածքը,</w:t>
      </w:r>
    </w:p>
    <w:p w14:paraId="4EE8C82C" w14:textId="77777777" w:rsidR="00BA6C2B" w:rsidRDefault="00BA6C2B" w:rsidP="00786D09">
      <w:pPr>
        <w:pStyle w:val="BodytextBullets"/>
        <w:ind w:left="0" w:right="357"/>
        <w:rPr>
          <w:lang w:val="hy-AM" w:eastAsia="ru-RU"/>
        </w:rPr>
      </w:pPr>
      <w:r w:rsidRPr="00AD6C8A">
        <w:rPr>
          <w:lang w:val="hy-AM" w:eastAsia="ru-RU"/>
        </w:rPr>
        <w:t>ավտոմատացնել անուղղակի հարկերի վճարման հայտարարությունների հաստատման գործընթացը</w:t>
      </w:r>
      <w:r>
        <w:rPr>
          <w:lang w:val="hy-AM" w:eastAsia="ru-RU"/>
        </w:rPr>
        <w:t>,</w:t>
      </w:r>
    </w:p>
    <w:p w14:paraId="5354261C" w14:textId="77777777" w:rsidR="00BA6C2B" w:rsidRPr="004B37E7" w:rsidRDefault="00BA6C2B" w:rsidP="00786D09">
      <w:pPr>
        <w:pStyle w:val="BodytextBullets"/>
        <w:ind w:left="0" w:right="357"/>
        <w:rPr>
          <w:lang w:val="hy-AM" w:eastAsia="ru-RU"/>
        </w:rPr>
      </w:pPr>
      <w:r>
        <w:rPr>
          <w:lang w:val="hy-AM" w:eastAsia="ru-RU"/>
        </w:rPr>
        <w:t>ապահովել համատարած հայտարարագրման համակարգի ամբողջական ներդրումը և սպասարկումը</w:t>
      </w:r>
      <w:r w:rsidRPr="0055386A">
        <w:rPr>
          <w:lang w:val="hy-AM" w:eastAsia="ru-RU"/>
        </w:rPr>
        <w:t>։</w:t>
      </w:r>
    </w:p>
    <w:p w14:paraId="5E46F01D" w14:textId="77777777" w:rsidR="00BA6C2B" w:rsidRPr="004B37E7" w:rsidRDefault="00BA6C2B" w:rsidP="00786D09">
      <w:pPr>
        <w:pStyle w:val="BodyText1"/>
        <w:ind w:left="0" w:right="357"/>
        <w:rPr>
          <w:b/>
          <w:lang w:val="hy-AM"/>
        </w:rPr>
      </w:pPr>
      <w:r w:rsidRPr="004B37E7">
        <w:rPr>
          <w:b/>
          <w:lang w:val="hy-AM"/>
        </w:rPr>
        <w:t>Հարկային և մաքսային վարչարարության արդյունավետության բարձրացում, հսկողական գործիքակազմի կատարելագործում, ստվերի կրճատում և կարգապահության բարելավում, որի շրջանակներում նախատեսվում է.</w:t>
      </w:r>
    </w:p>
    <w:p w14:paraId="6276709C" w14:textId="77777777" w:rsidR="00BA6C2B" w:rsidRPr="00AD6C8A" w:rsidRDefault="00BA6C2B" w:rsidP="00786D09">
      <w:pPr>
        <w:pStyle w:val="BodytextBullets"/>
        <w:ind w:left="0" w:right="357"/>
        <w:rPr>
          <w:lang w:val="hy-AM" w:eastAsia="ru-RU"/>
        </w:rPr>
      </w:pPr>
      <w:r w:rsidRPr="00AD6C8A">
        <w:rPr>
          <w:lang w:val="hy-AM" w:eastAsia="ru-RU"/>
        </w:rPr>
        <w:t>մեքենայական ուսուցման ու արհեստական բանականության գործիքակազմի ներդրման միջոցով կատարելագործել և ավտոմատացնել առկա վերլուծական գործիքները,</w:t>
      </w:r>
    </w:p>
    <w:p w14:paraId="74CAF5F9" w14:textId="77777777" w:rsidR="00BA6C2B" w:rsidRPr="00AD6C8A" w:rsidRDefault="00BA6C2B" w:rsidP="00786D09">
      <w:pPr>
        <w:pStyle w:val="BodytextBullets"/>
        <w:ind w:left="0" w:right="357"/>
        <w:rPr>
          <w:rFonts w:cs="Sylfaen"/>
          <w:lang w:val="hy-AM" w:eastAsia="ru-RU"/>
        </w:rPr>
      </w:pPr>
      <w:r w:rsidRPr="00AD6C8A">
        <w:rPr>
          <w:rFonts w:cs="Sylfaen"/>
          <w:lang w:val="hy-AM" w:eastAsia="ru-RU"/>
        </w:rPr>
        <w:t xml:space="preserve">ռիսկայնության գնահատման չափանիշների ավելացման միջոցով </w:t>
      </w:r>
      <w:r w:rsidRPr="00AD6C8A">
        <w:rPr>
          <w:lang w:val="hy-AM"/>
        </w:rPr>
        <w:t>կատարելագործել և ընդլայնել հարկային և մաքսային ինքնաշխատ ծանուցումների համակարգերը,</w:t>
      </w:r>
    </w:p>
    <w:p w14:paraId="294B417A" w14:textId="77777777" w:rsidR="00BA6C2B" w:rsidRPr="00AD6C8A" w:rsidRDefault="00BA6C2B" w:rsidP="00786D09">
      <w:pPr>
        <w:pStyle w:val="BodytextBullets"/>
        <w:ind w:left="0" w:right="357"/>
        <w:rPr>
          <w:lang w:val="hy-AM" w:eastAsia="ru-RU"/>
        </w:rPr>
      </w:pPr>
      <w:r w:rsidRPr="00AD6C8A">
        <w:rPr>
          <w:lang w:val="hy-AM" w:eastAsia="ru-RU"/>
        </w:rPr>
        <w:t>հարկային և մաքսային հսկողական գործիքակազմերի արդյունավետ կիրառման միջոցով նպաստել հարկման տարբեր համակարգերում գործարքների լիարժեք փաստաթղթավորմանը և հարկ վճարողների հարկային կարգապահության բարձրացմանը,</w:t>
      </w:r>
    </w:p>
    <w:p w14:paraId="471BAE13" w14:textId="77777777" w:rsidR="00BA6C2B" w:rsidRPr="00AD6C8A" w:rsidRDefault="00BA6C2B" w:rsidP="00786D09">
      <w:pPr>
        <w:pStyle w:val="BodytextBullets"/>
        <w:ind w:left="0" w:right="357"/>
        <w:rPr>
          <w:lang w:val="hy-AM" w:eastAsia="ru-RU"/>
        </w:rPr>
      </w:pPr>
      <w:r w:rsidRPr="00AD6C8A">
        <w:rPr>
          <w:lang w:val="hy-AM" w:eastAsia="ru-RU"/>
        </w:rPr>
        <w:t>կատարելագործել օրինապահ հարկ վճարողների համակարգը` հարկ վճարողների բարեխիղճ և օրինապահ վարքագծի խրախուսման, նրանց համար պարզեցված հարկային և մաքսային ընթացակարգերի ընդլայնման և ներդրման միջոցով,</w:t>
      </w:r>
    </w:p>
    <w:p w14:paraId="0BF1F70E" w14:textId="77777777" w:rsidR="00BA6C2B" w:rsidRPr="00AD6C8A" w:rsidRDefault="00BA6C2B" w:rsidP="00786D09">
      <w:pPr>
        <w:pStyle w:val="BodytextBullets"/>
        <w:ind w:left="0" w:right="357"/>
        <w:rPr>
          <w:lang w:val="hy-AM" w:eastAsia="ru-RU"/>
        </w:rPr>
      </w:pPr>
      <w:r w:rsidRPr="00AD6C8A">
        <w:rPr>
          <w:lang w:val="hy-AM" w:eastAsia="ru-RU"/>
        </w:rPr>
        <w:t>ներդնել վարչական ակտերի արդյունքների ինքնաշխատ հաշվառման համակարգը` ինտեգրելով դատական տեղեկատվական համակարգին (Datalex),</w:t>
      </w:r>
    </w:p>
    <w:p w14:paraId="5C9F99FE" w14:textId="77777777" w:rsidR="00BA6C2B" w:rsidRPr="00AD6C8A" w:rsidRDefault="00BA6C2B" w:rsidP="00786D09">
      <w:pPr>
        <w:pStyle w:val="BodytextBullets"/>
        <w:ind w:left="0" w:right="357"/>
        <w:rPr>
          <w:lang w:val="hy-AM" w:eastAsia="ru-RU"/>
        </w:rPr>
      </w:pPr>
      <w:r w:rsidRPr="00AD6C8A">
        <w:rPr>
          <w:lang w:val="hy-AM" w:eastAsia="ru-RU"/>
        </w:rPr>
        <w:t>ներդնել  դրոշմանիշային վճարների և պետական տուրքի ինքնաշխատ հաշվառման համակարգերը,</w:t>
      </w:r>
    </w:p>
    <w:p w14:paraId="71E3912B" w14:textId="77777777" w:rsidR="00BA6C2B" w:rsidRDefault="00BA6C2B" w:rsidP="00786D09">
      <w:pPr>
        <w:pStyle w:val="BodytextBullets"/>
        <w:ind w:left="0" w:right="357"/>
        <w:rPr>
          <w:lang w:val="hy-AM" w:eastAsia="ru-RU"/>
        </w:rPr>
      </w:pPr>
      <w:r w:rsidRPr="00AD6C8A">
        <w:rPr>
          <w:lang w:val="hy-AM" w:eastAsia="ru-RU"/>
        </w:rPr>
        <w:t>բարելավել պետական մարմինների և այլ կազմակերպությունների հետ տեղեկատվության փոխանակման գործընթացները,</w:t>
      </w:r>
    </w:p>
    <w:p w14:paraId="42450E0A" w14:textId="77777777" w:rsidR="00BA6C2B" w:rsidRPr="00AD6C8A" w:rsidRDefault="00BA6C2B" w:rsidP="00786D09">
      <w:pPr>
        <w:pStyle w:val="BodytextBullets"/>
        <w:ind w:left="0" w:right="357"/>
        <w:rPr>
          <w:lang w:val="hy-AM" w:eastAsia="ru-RU"/>
        </w:rPr>
      </w:pPr>
      <w:r w:rsidRPr="00AD6C8A">
        <w:rPr>
          <w:lang w:val="hy-AM" w:eastAsia="ru-RU"/>
        </w:rPr>
        <w:t>աշխատանքներ տանել Հայաստանում ՏՀԶԿ Միասնական հաշվետվողական ստանդարտի (Common Reporting Standard) և «Կրիպտոակտիվների հաշվետվողականությսն» ստանդարտի  ներդրման ուղղությամբ,</w:t>
      </w:r>
    </w:p>
    <w:p w14:paraId="6E38735E" w14:textId="77777777" w:rsidR="00BA6C2B" w:rsidRPr="00AD6C8A" w:rsidRDefault="00BA6C2B" w:rsidP="00786D09">
      <w:pPr>
        <w:pStyle w:val="BodytextBullets"/>
        <w:ind w:left="0" w:right="357"/>
        <w:rPr>
          <w:lang w:val="hy-AM" w:eastAsia="ru-RU"/>
        </w:rPr>
      </w:pPr>
      <w:r w:rsidRPr="00AD6C8A">
        <w:rPr>
          <w:lang w:val="hy-AM" w:eastAsia="ru-RU"/>
        </w:rPr>
        <w:t>ներդնել hարկային պարտավորությունների կատարումն ապահովող արդյունավետ գործիքակազմ,</w:t>
      </w:r>
    </w:p>
    <w:p w14:paraId="06AEBFE8" w14:textId="77777777" w:rsidR="00BA6C2B" w:rsidRPr="00AD6C8A" w:rsidRDefault="00BA6C2B" w:rsidP="00786D09">
      <w:pPr>
        <w:pStyle w:val="BodytextBullets"/>
        <w:ind w:left="0" w:right="357"/>
        <w:rPr>
          <w:lang w:val="hy-AM" w:eastAsia="ru-RU"/>
        </w:rPr>
      </w:pPr>
      <w:r>
        <w:rPr>
          <w:lang w:val="hy-AM" w:eastAsia="ru-RU"/>
        </w:rPr>
        <w:t xml:space="preserve">բարելավել </w:t>
      </w:r>
      <w:r w:rsidRPr="00AD6C8A">
        <w:rPr>
          <w:lang w:val="hy-AM" w:eastAsia="ru-RU"/>
        </w:rPr>
        <w:t xml:space="preserve">հարկային ստուգումների </w:t>
      </w:r>
      <w:r>
        <w:rPr>
          <w:lang w:val="hy-AM" w:eastAsia="ru-RU"/>
        </w:rPr>
        <w:t>կազմակերպման և իրականացման գործընթացները</w:t>
      </w:r>
      <w:r w:rsidRPr="00AD6C8A">
        <w:rPr>
          <w:lang w:val="hy-AM" w:eastAsia="ru-RU"/>
        </w:rPr>
        <w:t>,</w:t>
      </w:r>
    </w:p>
    <w:p w14:paraId="7904EA57" w14:textId="77777777" w:rsidR="00BA6C2B" w:rsidRDefault="00BA6C2B" w:rsidP="00786D09">
      <w:pPr>
        <w:pStyle w:val="BodytextBullets"/>
        <w:ind w:left="0" w:right="357"/>
        <w:rPr>
          <w:lang w:val="hy-AM" w:eastAsia="ru-RU"/>
        </w:rPr>
      </w:pPr>
      <w:r>
        <w:rPr>
          <w:lang w:val="hy-AM" w:eastAsia="ru-RU"/>
        </w:rPr>
        <w:t>ապահովել</w:t>
      </w:r>
      <w:r w:rsidRPr="00AD6C8A">
        <w:rPr>
          <w:lang w:val="hy-AM" w:eastAsia="ru-RU"/>
        </w:rPr>
        <w:t xml:space="preserve"> տնտեսության հարկունակ ո</w:t>
      </w:r>
      <w:r>
        <w:rPr>
          <w:lang w:val="hy-AM" w:eastAsia="ru-RU"/>
        </w:rPr>
        <w:t xml:space="preserve">լորտներում հարկային պոտենցիալի </w:t>
      </w:r>
      <w:r w:rsidRPr="00AD6C8A">
        <w:rPr>
          <w:lang w:val="hy-AM" w:eastAsia="ru-RU"/>
        </w:rPr>
        <w:t xml:space="preserve">և հարկային ճեղքի գնահատման </w:t>
      </w:r>
      <w:r>
        <w:rPr>
          <w:lang w:val="hy-AM" w:eastAsia="ru-RU"/>
        </w:rPr>
        <w:t>աշխատանքների իրականացումը,</w:t>
      </w:r>
    </w:p>
    <w:p w14:paraId="4C9EFB40" w14:textId="77777777" w:rsidR="00BA6C2B" w:rsidRPr="00AD6C8A" w:rsidRDefault="00BA6C2B" w:rsidP="00786D09">
      <w:pPr>
        <w:pStyle w:val="BodytextBullets"/>
        <w:ind w:left="0" w:right="357"/>
        <w:rPr>
          <w:lang w:val="hy-AM" w:eastAsia="ru-RU"/>
        </w:rPr>
      </w:pPr>
      <w:r>
        <w:rPr>
          <w:lang w:val="hy-AM" w:eastAsia="ru-RU"/>
        </w:rPr>
        <w:t>բարձրացնել</w:t>
      </w:r>
      <w:r w:rsidRPr="00AD6C8A">
        <w:rPr>
          <w:lang w:val="hy-AM" w:eastAsia="ru-RU"/>
        </w:rPr>
        <w:t xml:space="preserve"> խաղային գործունեության ոլորտի վերա</w:t>
      </w:r>
      <w:r>
        <w:rPr>
          <w:lang w:val="hy-AM" w:eastAsia="ru-RU"/>
        </w:rPr>
        <w:t>հսկողության արդյունավետությունը</w:t>
      </w:r>
      <w:r w:rsidRPr="00AD6C8A">
        <w:rPr>
          <w:lang w:val="hy-AM" w:eastAsia="ru-RU"/>
        </w:rPr>
        <w:t>։</w:t>
      </w:r>
    </w:p>
    <w:p w14:paraId="0A19929B" w14:textId="77777777" w:rsidR="00BA6C2B" w:rsidRPr="00E77731" w:rsidRDefault="00BA6C2B" w:rsidP="00786D09">
      <w:pPr>
        <w:pStyle w:val="BodytextBullets"/>
        <w:numPr>
          <w:ilvl w:val="0"/>
          <w:numId w:val="0"/>
        </w:numPr>
        <w:ind w:right="357"/>
        <w:rPr>
          <w:lang w:val="hy-AM"/>
        </w:rPr>
      </w:pPr>
    </w:p>
    <w:p w14:paraId="1219FB4F" w14:textId="77777777" w:rsidR="00BA6C2B" w:rsidRPr="004B37E7" w:rsidRDefault="00BA6C2B" w:rsidP="00786D09">
      <w:pPr>
        <w:pStyle w:val="BodyText1"/>
        <w:ind w:left="0" w:right="357"/>
        <w:rPr>
          <w:b/>
          <w:lang w:val="hy-AM"/>
        </w:rPr>
      </w:pPr>
      <w:r w:rsidRPr="004B37E7">
        <w:rPr>
          <w:b/>
          <w:lang w:val="hy-AM"/>
        </w:rPr>
        <w:t xml:space="preserve">Հարկ վճարող - ՊԵԿ փոխադարձ վստահության և համագործակցության ամրապնդում, կադրային քաղաքականության կատարելագործում, ներքին կառավարման գործընթացների բարելավում, որի շրջանակներում նախատեսվում են իրականացնել հետևյալ միջոցառումները. </w:t>
      </w:r>
    </w:p>
    <w:p w14:paraId="09CAC59E" w14:textId="77777777" w:rsidR="00BA6C2B" w:rsidRPr="004B37E7" w:rsidRDefault="00BA6C2B" w:rsidP="00786D09">
      <w:pPr>
        <w:pStyle w:val="BodytextBullets"/>
        <w:ind w:left="0" w:right="357"/>
        <w:rPr>
          <w:lang w:val="hy-AM"/>
        </w:rPr>
      </w:pPr>
      <w:r w:rsidRPr="004B37E7">
        <w:rPr>
          <w:lang w:val="hy-AM"/>
        </w:rPr>
        <w:t>Ապահովել ՊԵԿ կողմից իրականացվող վարչարարության նկատմամբ հարկ վճարողների դիրքորոշման գնահատման իրականացումը, ընդլայնել հարկային և մաքսային վարչարարության պարզեցման, փոփոխությունների իրականացման ժամանակ հարկ վճարողների հետ կանոնավոր հետադարձ կապի ապահովման ուղիները,</w:t>
      </w:r>
    </w:p>
    <w:p w14:paraId="430BEF8D" w14:textId="77777777" w:rsidR="00BA6C2B" w:rsidRPr="004B37E7" w:rsidRDefault="00BA6C2B" w:rsidP="00786D09">
      <w:pPr>
        <w:pStyle w:val="BodytextBullets"/>
        <w:ind w:left="0" w:right="357"/>
        <w:rPr>
          <w:lang w:val="hy-AM"/>
        </w:rPr>
      </w:pPr>
      <w:r w:rsidRPr="004B37E7">
        <w:rPr>
          <w:lang w:val="hy-AM"/>
        </w:rPr>
        <w:t>կիրառել «Հանրություն – ՊԵԿ» հաղորդակցության արդյունավետ, ժամանակակից գործիքներ, կատարելագործել գործող իրազեկման համակարգը,</w:t>
      </w:r>
    </w:p>
    <w:p w14:paraId="3BF1D40E" w14:textId="77777777" w:rsidR="00BA6C2B" w:rsidRPr="004B37E7" w:rsidRDefault="00BA6C2B" w:rsidP="00786D09">
      <w:pPr>
        <w:pStyle w:val="BodytextBullets"/>
        <w:ind w:left="0" w:right="357"/>
        <w:rPr>
          <w:lang w:val="hy-AM"/>
        </w:rPr>
      </w:pPr>
      <w:r w:rsidRPr="004B37E7">
        <w:rPr>
          <w:lang w:val="hy-AM"/>
        </w:rPr>
        <w:t>շարունակել աշխատանքները հարկ վճարողների ուսուցման համակարգերի կատարելագործման ուղղությամբ` հարկ վճարողների համար դասընթացների կազմակերպման, ՊԵԿ պաշտոնական կայքով, սոցիալական հարթակներով կամ այլ եղանակներով տեղեկատվական արշավների կազմակերպման միջոցով,</w:t>
      </w:r>
    </w:p>
    <w:p w14:paraId="47610323" w14:textId="77777777" w:rsidR="00BA6C2B" w:rsidRPr="004B37E7" w:rsidRDefault="00BA6C2B" w:rsidP="00786D09">
      <w:pPr>
        <w:pStyle w:val="BodytextBullets"/>
        <w:ind w:left="0" w:right="357"/>
        <w:rPr>
          <w:lang w:val="hy-AM"/>
        </w:rPr>
      </w:pPr>
      <w:r w:rsidRPr="004B37E7">
        <w:rPr>
          <w:lang w:val="hy-AM"/>
        </w:rPr>
        <w:t>հարկային և մաքսային ծառայողների մասնագիտական կարողությունների, անձնային որակների բարելավման և կոմպետենցիաների շարունակական կատարելագործման նպատակով ներդնել միջազգային լավագույն փորձին համապատասխանող ՊԵԿ մարդկային ռեսուրսների կառավարման արդի համակարգ, գնահատել հարկային/մաքսային ծառայողների ուսումնական կարիքներն ու կազմակերպել վերապատրաստման դասընթացներ,</w:t>
      </w:r>
    </w:p>
    <w:p w14:paraId="6FC23EB0" w14:textId="77777777" w:rsidR="00BA6C2B" w:rsidRPr="004B37E7" w:rsidRDefault="00BA6C2B" w:rsidP="00786D09">
      <w:pPr>
        <w:pStyle w:val="BodytextBullets"/>
        <w:ind w:left="0" w:right="357"/>
        <w:rPr>
          <w:lang w:val="hy-AM"/>
        </w:rPr>
      </w:pPr>
      <w:r w:rsidRPr="004B37E7">
        <w:rPr>
          <w:lang w:val="hy-AM"/>
        </w:rPr>
        <w:t>կատարելագործել և ընդլայնել կոռուպցիոն ռիսկերի նվազեցմանն ու կանխարգելմանն ուղղված ներքին վերահսկողության գործիքակազմը։</w:t>
      </w:r>
    </w:p>
    <w:p w14:paraId="09EBD223" w14:textId="77777777" w:rsidR="00BA6C2B" w:rsidRPr="004B37E7" w:rsidRDefault="00BA6C2B" w:rsidP="00786D09">
      <w:pPr>
        <w:pStyle w:val="BodyText1"/>
        <w:ind w:left="0" w:right="357"/>
        <w:rPr>
          <w:lang w:val="hy-AM"/>
        </w:rPr>
      </w:pPr>
      <w:r w:rsidRPr="004B37E7">
        <w:rPr>
          <w:lang w:val="hy-AM"/>
        </w:rPr>
        <w:t>Վերոնշյալ միջոցառումների իրագործման արդյունքում 2026 թվականի ընթացքում Պետական եկամուտների կոմիտեն նախատեսում է շարունակել հարկ վճարողներին որակյալ և արդի պահանջներին բավարարող ծառայությունների մատուցման ուղղությամբ որդեգրած քաղաքականությունը՝ հաստատված ռազմավարությանը համահունչ, խորացնել հարկ վճարողների հետ գործընկերային հարաբերությունները և հարկային կարգապահության բարելավման միջոցով նպաստել հարկեր/ՀՆԱ ցուցանիշի ավելացմանը։</w:t>
      </w:r>
    </w:p>
    <w:p w14:paraId="15D0338B" w14:textId="77777777" w:rsidR="00FF3DD6" w:rsidRPr="005C7539" w:rsidRDefault="00FF3DD6" w:rsidP="00C33D04">
      <w:pPr>
        <w:pStyle w:val="TOC3"/>
        <w:pBdr>
          <w:bottom w:val="single" w:sz="12" w:space="1" w:color="C3C3C7" w:themeColor="accent3" w:themeTint="66"/>
        </w:pBdr>
        <w:jc w:val="both"/>
        <w:outlineLvl w:val="1"/>
        <w:rPr>
          <w:color w:val="A6A6A6" w:themeColor="background1" w:themeShade="A6"/>
          <w:sz w:val="24"/>
          <w:lang w:val="hy-AM"/>
        </w:rPr>
      </w:pPr>
      <w:bookmarkStart w:id="104" w:name="_Toc178356555"/>
      <w:bookmarkStart w:id="105" w:name="_Toc183801063"/>
      <w:bookmarkStart w:id="106" w:name="_Toc215157663"/>
      <w:r w:rsidRPr="005C7539">
        <w:rPr>
          <w:color w:val="A6A6A6" w:themeColor="background1" w:themeShade="A6"/>
          <w:sz w:val="24"/>
          <w:lang w:val="hy-AM"/>
        </w:rPr>
        <w:t>ԲՅՈՒՋԵՆԵՐԻ ԿԱԶՄՄԱՆ ԲՆԱԳԱՎԱՌ</w:t>
      </w:r>
      <w:bookmarkEnd w:id="104"/>
      <w:bookmarkEnd w:id="105"/>
      <w:bookmarkEnd w:id="106"/>
    </w:p>
    <w:p w14:paraId="3AD4B52C" w14:textId="77777777" w:rsidR="00807480" w:rsidRPr="0072232C" w:rsidRDefault="00807480" w:rsidP="00807480">
      <w:pPr>
        <w:pStyle w:val="BodyText1"/>
        <w:ind w:left="0"/>
        <w:rPr>
          <w:b/>
          <w:color w:val="auto"/>
          <w:lang w:val="hy-AM"/>
        </w:rPr>
      </w:pPr>
      <w:r w:rsidRPr="0072232C">
        <w:rPr>
          <w:b/>
          <w:color w:val="auto"/>
          <w:lang w:val="hy-AM"/>
        </w:rPr>
        <w:t xml:space="preserve">Բյուջետային գործընթացում բազմամյա բյուջետավորման տարրերի ներդրում. </w:t>
      </w:r>
    </w:p>
    <w:p w14:paraId="0D372710" w14:textId="77777777" w:rsidR="00807480" w:rsidRPr="009F206F" w:rsidRDefault="00807480" w:rsidP="00807480">
      <w:pPr>
        <w:pStyle w:val="BodyText1"/>
        <w:ind w:left="0"/>
        <w:rPr>
          <w:b/>
          <w:color w:val="auto"/>
          <w:lang w:val="hy-AM"/>
        </w:rPr>
      </w:pPr>
      <w:r w:rsidRPr="009F206F">
        <w:rPr>
          <w:b/>
          <w:color w:val="auto"/>
          <w:lang w:val="hy-AM"/>
        </w:rPr>
        <w:t>Միջնաժամկետ մակրոտնտեսական, հարկաբյուջետային և ծախսային շրջանակների թարմացված տեղեկատվության ներկայացում բյուջետային փաստաթղթերում.</w:t>
      </w:r>
    </w:p>
    <w:p w14:paraId="17E24EA2" w14:textId="77777777" w:rsidR="00807480" w:rsidRDefault="00807480" w:rsidP="00807480">
      <w:pPr>
        <w:pStyle w:val="BodyText1"/>
        <w:ind w:left="0"/>
        <w:rPr>
          <w:rFonts w:ascii="Calibri" w:hAnsi="Calibri" w:cs="Calibri"/>
          <w:lang w:val="hy-AM"/>
        </w:rPr>
      </w:pPr>
      <w:r w:rsidRPr="00620DE7">
        <w:rPr>
          <w:lang w:val="hy-AM"/>
        </w:rPr>
        <w:t xml:space="preserve">ՀՀ 2026թ. պետական բյուջեի մասին օրենքի նախագծում վերանայվել են 2026-2028թթ ՄԺԾԾ-ով սահմանված մակրոտնտեսական և հարկաբյուջետայինև ծախսային գնահատականները: </w:t>
      </w:r>
      <w:r>
        <w:rPr>
          <w:lang w:val="hy-AM"/>
        </w:rPr>
        <w:t>Հնգամյա կտրվածքով ներկայացված մակրոտնտեսական և հարկաբյուջետային շրջանակները, ինչպես նաև ե</w:t>
      </w:r>
      <w:r w:rsidRPr="00620DE7">
        <w:rPr>
          <w:lang w:val="hy-AM"/>
        </w:rPr>
        <w:t>ռամյա</w:t>
      </w:r>
      <w:r>
        <w:rPr>
          <w:lang w:val="hy-AM"/>
        </w:rPr>
        <w:t xml:space="preserve"> կտրվածքով ներկայացված </w:t>
      </w:r>
      <w:r w:rsidRPr="00620DE7">
        <w:rPr>
          <w:lang w:val="hy-AM"/>
        </w:rPr>
        <w:t>ծախսային գնահատականները հնարավորություն են տալիս ՀՀ ԱԺ-ում 2026թ. պետական բյուջեն քննարկել միջնաժամկետ հնարավորությունների համատեքստում</w:t>
      </w:r>
      <w:r>
        <w:rPr>
          <w:lang w:val="hy-AM"/>
        </w:rPr>
        <w:t>,</w:t>
      </w:r>
      <w:r w:rsidRPr="00620DE7">
        <w:rPr>
          <w:lang w:val="hy-AM"/>
        </w:rPr>
        <w:t xml:space="preserve"> բարելավվել պլանավորման գործընթացը</w:t>
      </w:r>
      <w:r>
        <w:rPr>
          <w:lang w:val="hy-AM"/>
        </w:rPr>
        <w:t>՝</w:t>
      </w:r>
      <w:r w:rsidRPr="00620DE7">
        <w:rPr>
          <w:lang w:val="hy-AM"/>
        </w:rPr>
        <w:t xml:space="preserve"> ավելի սահուն անցում կատարել</w:t>
      </w:r>
      <w:r>
        <w:rPr>
          <w:lang w:val="hy-AM"/>
        </w:rPr>
        <w:t>ով</w:t>
      </w:r>
      <w:r w:rsidRPr="00620DE7">
        <w:rPr>
          <w:lang w:val="hy-AM"/>
        </w:rPr>
        <w:t xml:space="preserve"> 2027-2029 թվականների միջնաժամկետ ծախսային ծրագրին:</w:t>
      </w:r>
      <w:r w:rsidRPr="00620DE7">
        <w:rPr>
          <w:rFonts w:ascii="Calibri" w:hAnsi="Calibri" w:cs="Calibri"/>
          <w:lang w:val="hy-AM"/>
        </w:rPr>
        <w:t> </w:t>
      </w:r>
    </w:p>
    <w:p w14:paraId="5FEF4AB5" w14:textId="77777777" w:rsidR="00807480" w:rsidRDefault="00807480" w:rsidP="00807480">
      <w:pPr>
        <w:pStyle w:val="BodyText1"/>
        <w:ind w:left="0"/>
        <w:rPr>
          <w:b/>
          <w:bCs/>
          <w:color w:val="auto"/>
          <w:szCs w:val="22"/>
          <w:lang w:val="hy-AM"/>
        </w:rPr>
      </w:pPr>
      <w:r w:rsidRPr="00E96FC6">
        <w:rPr>
          <w:b/>
          <w:bCs/>
          <w:color w:val="auto"/>
          <w:szCs w:val="22"/>
          <w:lang w:val="hy-AM"/>
        </w:rPr>
        <w:t>ՄԺԾԾ և բյուջետային գործընթացների վերանայում</w:t>
      </w:r>
    </w:p>
    <w:p w14:paraId="7A11E1E2" w14:textId="77777777" w:rsidR="00807480" w:rsidRPr="00E96FC6" w:rsidRDefault="00807480" w:rsidP="00807480">
      <w:pPr>
        <w:pStyle w:val="BodyText1"/>
        <w:ind w:left="0"/>
        <w:rPr>
          <w:b/>
          <w:bCs/>
          <w:color w:val="auto"/>
          <w:szCs w:val="22"/>
          <w:lang w:val="hy-AM"/>
        </w:rPr>
      </w:pPr>
      <w:r>
        <w:rPr>
          <w:b/>
          <w:bCs/>
          <w:color w:val="auto"/>
          <w:szCs w:val="22"/>
          <w:lang w:val="hy-AM"/>
        </w:rPr>
        <w:t>2</w:t>
      </w:r>
      <w:r w:rsidRPr="00E96FC6">
        <w:rPr>
          <w:szCs w:val="22"/>
          <w:lang w:val="hy-AM"/>
        </w:rPr>
        <w:t>026-2028 թթ</w:t>
      </w:r>
      <w:r>
        <w:rPr>
          <w:szCs w:val="22"/>
          <w:lang w:val="hy-AM"/>
        </w:rPr>
        <w:t>.</w:t>
      </w:r>
      <w:r w:rsidRPr="00E96FC6">
        <w:rPr>
          <w:szCs w:val="22"/>
          <w:lang w:val="hy-AM"/>
        </w:rPr>
        <w:t xml:space="preserve"> միջնաժամկետ ծախսային ծրագիրը հաստատվել է որպես ռազմավարական մակարդակի փաստաթուղթ, </w:t>
      </w:r>
      <w:r w:rsidRPr="00E96FC6">
        <w:rPr>
          <w:rFonts w:cs="Calibri"/>
          <w:color w:val="000000"/>
          <w:szCs w:val="22"/>
          <w:lang w:val="hy-AM"/>
        </w:rPr>
        <w:t xml:space="preserve">ավելի մեծ շեշտադրում դնելով հարկաբյուջետային շրջանակների և ընդհանուր ծախսային քաղաքականության վրա: Մանրամասն ծախսային քաղաքականությունները ներկայացվել են </w:t>
      </w:r>
      <w:r>
        <w:rPr>
          <w:rFonts w:cs="Calibri"/>
          <w:color w:val="000000"/>
          <w:szCs w:val="22"/>
          <w:lang w:val="hy-AM"/>
        </w:rPr>
        <w:t xml:space="preserve">2026թ. </w:t>
      </w:r>
      <w:r w:rsidRPr="00E96FC6">
        <w:rPr>
          <w:rFonts w:cs="Calibri"/>
          <w:color w:val="000000"/>
          <w:szCs w:val="22"/>
          <w:lang w:val="hy-AM"/>
        </w:rPr>
        <w:t>բյուջետային փուլում</w:t>
      </w:r>
      <w:r>
        <w:rPr>
          <w:rFonts w:cs="Calibri"/>
          <w:color w:val="000000"/>
          <w:szCs w:val="22"/>
          <w:lang w:val="hy-AM"/>
        </w:rPr>
        <w:t>՝</w:t>
      </w:r>
      <w:r w:rsidRPr="00E96FC6">
        <w:rPr>
          <w:rFonts w:cs="Calibri"/>
          <w:color w:val="000000"/>
          <w:szCs w:val="22"/>
          <w:lang w:val="hy-AM"/>
        </w:rPr>
        <w:t xml:space="preserve"> ավելի շատ ժամանակ</w:t>
      </w:r>
      <w:r>
        <w:rPr>
          <w:rFonts w:cs="Calibri"/>
          <w:color w:val="000000"/>
          <w:szCs w:val="22"/>
          <w:lang w:val="hy-AM"/>
        </w:rPr>
        <w:t xml:space="preserve"> հատկացնելով քննարկումների համար:</w:t>
      </w:r>
    </w:p>
    <w:p w14:paraId="1B139D08" w14:textId="77777777" w:rsidR="00807480" w:rsidRPr="00BD5A1B" w:rsidRDefault="00807480" w:rsidP="00807480">
      <w:pPr>
        <w:rPr>
          <w:lang w:val="hy-AM"/>
        </w:rPr>
      </w:pPr>
    </w:p>
    <w:p w14:paraId="5A7BEE2F" w14:textId="77777777" w:rsidR="00807480" w:rsidRPr="00521707" w:rsidRDefault="00807480" w:rsidP="00807480">
      <w:pPr>
        <w:pStyle w:val="BodyText1"/>
        <w:ind w:left="0"/>
        <w:rPr>
          <w:b/>
          <w:color w:val="auto"/>
          <w:szCs w:val="22"/>
          <w:lang w:val="hy-AM"/>
        </w:rPr>
      </w:pPr>
      <w:r w:rsidRPr="00775E8F">
        <w:rPr>
          <w:b/>
          <w:bCs/>
          <w:color w:val="auto"/>
          <w:szCs w:val="22"/>
          <w:lang w:val="hy-AM"/>
        </w:rPr>
        <w:t>Բյուջետային ծախսերի և եկամուտների ներկայացում՝ խմբավորված ըստ առանձին պետական մարմինների</w:t>
      </w:r>
    </w:p>
    <w:p w14:paraId="5F6D5657" w14:textId="77777777" w:rsidR="00807480" w:rsidRPr="00521707" w:rsidRDefault="00807480" w:rsidP="00807480">
      <w:pPr>
        <w:jc w:val="both"/>
        <w:rPr>
          <w:rFonts w:ascii="GHEA Grapalat" w:hAnsi="GHEA Grapalat" w:cs="Segoe UI"/>
          <w:lang w:val="hy-AM"/>
        </w:rPr>
      </w:pPr>
      <w:r>
        <w:rPr>
          <w:rFonts w:ascii="GHEA Grapalat" w:hAnsi="GHEA Grapalat" w:cs="Segoe UI"/>
          <w:lang w:val="hy-AM"/>
        </w:rPr>
        <w:t>2026</w:t>
      </w:r>
      <w:r w:rsidRPr="00521707">
        <w:rPr>
          <w:rFonts w:ascii="GHEA Grapalat" w:hAnsi="GHEA Grapalat" w:cs="Segoe UI"/>
          <w:lang w:val="hy-AM"/>
        </w:rPr>
        <w:t>թ</w:t>
      </w:r>
      <w:r>
        <w:rPr>
          <w:rFonts w:ascii="GHEA Grapalat" w:hAnsi="GHEA Grapalat" w:cs="Segoe UI"/>
          <w:lang w:val="hy-AM"/>
        </w:rPr>
        <w:t>.</w:t>
      </w:r>
      <w:r w:rsidRPr="00521707">
        <w:rPr>
          <w:rFonts w:ascii="GHEA Grapalat" w:hAnsi="GHEA Grapalat" w:cs="Segoe UI"/>
          <w:lang w:val="hy-AM"/>
        </w:rPr>
        <w:t xml:space="preserve"> պետական բյուջեի մատչելիությունը մեծացնելու նպատակով յուրաքանչյուր գերատեսչության համար ստեղծվել է էլեկտրոնային պանակ, որում ամփոփվել է տվյալ գերատեսչությանն առնչվող տեղեկատվությունը</w:t>
      </w:r>
      <w:r>
        <w:rPr>
          <w:rFonts w:ascii="GHEA Grapalat" w:hAnsi="GHEA Grapalat" w:cs="Segoe UI"/>
          <w:lang w:val="hy-AM"/>
        </w:rPr>
        <w:t xml:space="preserve">: Այն ներառում է տվյալ գերատեսչության </w:t>
      </w:r>
      <w:r>
        <w:rPr>
          <w:rFonts w:ascii="GHEA Grapalat" w:hAnsi="GHEA Grapalat"/>
          <w:lang w:val="hy-AM"/>
        </w:rPr>
        <w:t>ս</w:t>
      </w:r>
      <w:r w:rsidRPr="00521707">
        <w:rPr>
          <w:rFonts w:ascii="GHEA Grapalat" w:hAnsi="GHEA Grapalat"/>
          <w:lang w:val="hy-AM"/>
        </w:rPr>
        <w:t>ոցիալ-տնտեսական զարգացման հիմնական ուղղությունները</w:t>
      </w:r>
      <w:r>
        <w:rPr>
          <w:rFonts w:ascii="GHEA Grapalat" w:hAnsi="GHEA Grapalat"/>
          <w:lang w:val="hy-AM"/>
        </w:rPr>
        <w:t>, սպասվող եկամուտները, ծախսերի տնտեսագիտական դասակարգումը և բյուջետային միջոցառումների արդյունքային ցուցանիշները: Սույն նորամուծությունը հնարավորություն կտա շահառուներին արագ և դյուրին կերպով գտնել իրենց հետաքրքրող բյուջետային տեղեկատվությունը:</w:t>
      </w:r>
    </w:p>
    <w:p w14:paraId="00963C93" w14:textId="77777777" w:rsidR="00807480" w:rsidRDefault="00807480" w:rsidP="00807480">
      <w:pPr>
        <w:pStyle w:val="BodyText1"/>
        <w:ind w:left="0"/>
        <w:rPr>
          <w:b/>
          <w:color w:val="auto"/>
          <w:lang w:val="hy-AM"/>
        </w:rPr>
      </w:pPr>
    </w:p>
    <w:p w14:paraId="1E9E7546" w14:textId="77777777" w:rsidR="00807480" w:rsidRPr="00B961AE" w:rsidRDefault="00807480" w:rsidP="00807480">
      <w:pPr>
        <w:pStyle w:val="BodyText1"/>
        <w:ind w:left="0"/>
        <w:rPr>
          <w:b/>
          <w:lang w:val="hy-AM"/>
        </w:rPr>
      </w:pPr>
      <w:r w:rsidRPr="00B961AE">
        <w:rPr>
          <w:b/>
          <w:lang w:val="hy-AM"/>
        </w:rPr>
        <w:t xml:space="preserve">Կապիտալ ծախսերի՝ հաջորդ բյուջետային տարիներ տեղափոխման մեխանիզմի ներմուծում. </w:t>
      </w:r>
    </w:p>
    <w:p w14:paraId="4005B5CE" w14:textId="77777777" w:rsidR="00807480" w:rsidRPr="00E77731" w:rsidRDefault="00807480" w:rsidP="00807480">
      <w:pPr>
        <w:pStyle w:val="BodyText1"/>
        <w:ind w:left="0"/>
        <w:rPr>
          <w:lang w:val="hy-AM"/>
        </w:rPr>
      </w:pPr>
      <w:r w:rsidRPr="00E77731">
        <w:rPr>
          <w:lang w:val="hy-AM"/>
        </w:rPr>
        <w:t>ՀՀ 202</w:t>
      </w:r>
      <w:r>
        <w:rPr>
          <w:lang w:val="hy-AM"/>
        </w:rPr>
        <w:t>6</w:t>
      </w:r>
      <w:r w:rsidRPr="00E77731">
        <w:rPr>
          <w:lang w:val="hy-AM"/>
        </w:rPr>
        <w:t>թ</w:t>
      </w:r>
      <w:r>
        <w:rPr>
          <w:lang w:val="hy-AM"/>
        </w:rPr>
        <w:t>.</w:t>
      </w:r>
      <w:r w:rsidRPr="00E77731">
        <w:rPr>
          <w:lang w:val="hy-AM"/>
        </w:rPr>
        <w:t xml:space="preserve"> պետական բյուջեի մասին օրենքի նախագծով ՀՀ կառավարությանը թույլատրվում է 202</w:t>
      </w:r>
      <w:r>
        <w:rPr>
          <w:lang w:val="hy-AM"/>
        </w:rPr>
        <w:t>6</w:t>
      </w:r>
      <w:r w:rsidRPr="00E77731">
        <w:rPr>
          <w:lang w:val="hy-AM"/>
        </w:rPr>
        <w:t>թ պետական բյուջեի փաստացի ձևավորված տարեսկզբի ազատ մնացորդի հաշվին ֆինանսավորել կապիտալ ծախսերի գծով 202</w:t>
      </w:r>
      <w:r>
        <w:rPr>
          <w:lang w:val="hy-AM"/>
        </w:rPr>
        <w:t>5</w:t>
      </w:r>
      <w:r w:rsidRPr="00E77731">
        <w:rPr>
          <w:lang w:val="hy-AM"/>
        </w:rPr>
        <w:t>թ</w:t>
      </w:r>
      <w:r>
        <w:rPr>
          <w:lang w:val="hy-AM"/>
        </w:rPr>
        <w:t>.</w:t>
      </w:r>
      <w:r w:rsidRPr="00E77731">
        <w:rPr>
          <w:lang w:val="hy-AM"/>
        </w:rPr>
        <w:t>-ին ստանձնված, սակայն 202</w:t>
      </w:r>
      <w:r>
        <w:rPr>
          <w:lang w:val="hy-AM"/>
        </w:rPr>
        <w:t>5</w:t>
      </w:r>
      <w:r w:rsidRPr="00E77731">
        <w:rPr>
          <w:lang w:val="hy-AM"/>
        </w:rPr>
        <w:t>թ</w:t>
      </w:r>
      <w:r>
        <w:rPr>
          <w:lang w:val="hy-AM"/>
        </w:rPr>
        <w:t>.</w:t>
      </w:r>
      <w:r w:rsidRPr="00E77731">
        <w:rPr>
          <w:lang w:val="hy-AM"/>
        </w:rPr>
        <w:t xml:space="preserve">-ի դեկտեմբերի 31-ի դրությամբ փաստացի չիրականացված պայմանագրային պարտավորությունները: Այդ դրույթները չեն տարածվի պաշտպանության ոլորտի կապիտալ ծախսերի </w:t>
      </w:r>
      <w:r>
        <w:rPr>
          <w:lang w:val="hy-AM"/>
        </w:rPr>
        <w:t>վրա</w:t>
      </w:r>
      <w:r w:rsidRPr="00E77731">
        <w:rPr>
          <w:lang w:val="hy-AM"/>
        </w:rPr>
        <w:t xml:space="preserve">: </w:t>
      </w:r>
      <w:r w:rsidRPr="00594A13">
        <w:rPr>
          <w:lang w:val="hy-AM"/>
        </w:rPr>
        <w:t xml:space="preserve">Տարեսկզբի ազատ </w:t>
      </w:r>
      <w:r w:rsidRPr="00400FCF">
        <w:rPr>
          <w:lang w:val="hy-AM"/>
        </w:rPr>
        <w:t xml:space="preserve">մնացորդի հաշվին ֆինանսավորման ենթակա կապիտալ ծախսերի ընտրության և </w:t>
      </w:r>
      <w:r w:rsidRPr="00BD5A1B">
        <w:rPr>
          <w:lang w:val="hy-AM"/>
        </w:rPr>
        <w:t xml:space="preserve">ֆինանսավորման կարգը </w:t>
      </w:r>
      <w:r w:rsidRPr="00E96FC6">
        <w:rPr>
          <w:lang w:val="hy-AM"/>
        </w:rPr>
        <w:t>կսահմանվի Կառավարության կողմից:</w:t>
      </w:r>
    </w:p>
    <w:p w14:paraId="361C67BB" w14:textId="77777777" w:rsidR="00807480" w:rsidRPr="00B961AE" w:rsidRDefault="00807480" w:rsidP="00807480">
      <w:pPr>
        <w:pStyle w:val="BodyText1"/>
        <w:ind w:left="0"/>
        <w:rPr>
          <w:b/>
          <w:lang w:val="hy-AM"/>
        </w:rPr>
      </w:pPr>
      <w:r w:rsidRPr="00B961AE">
        <w:rPr>
          <w:b/>
          <w:lang w:val="hy-AM"/>
        </w:rPr>
        <w:t xml:space="preserve">Բազմամյա պարտավորությունների գծով տեղեկատվության ներկայացում բյուջետային փաստաթղթերում. </w:t>
      </w:r>
    </w:p>
    <w:p w14:paraId="7AC44274" w14:textId="77777777" w:rsidR="00807480" w:rsidRPr="00E77731" w:rsidRDefault="00807480" w:rsidP="00807480">
      <w:pPr>
        <w:pStyle w:val="BodyText1"/>
        <w:ind w:left="0"/>
        <w:rPr>
          <w:lang w:val="hy-AM"/>
        </w:rPr>
      </w:pPr>
      <w:r w:rsidRPr="00E77731">
        <w:rPr>
          <w:lang w:val="hy-AM"/>
        </w:rPr>
        <w:t>ՀՀ 202</w:t>
      </w:r>
      <w:r>
        <w:rPr>
          <w:lang w:val="hy-AM"/>
        </w:rPr>
        <w:t>6</w:t>
      </w:r>
      <w:r w:rsidRPr="00E77731">
        <w:rPr>
          <w:lang w:val="hy-AM"/>
        </w:rPr>
        <w:t>թ</w:t>
      </w:r>
      <w:r>
        <w:rPr>
          <w:lang w:val="hy-AM"/>
        </w:rPr>
        <w:t>.</w:t>
      </w:r>
      <w:r w:rsidRPr="00E77731">
        <w:rPr>
          <w:lang w:val="hy-AM"/>
        </w:rPr>
        <w:t xml:space="preserve"> պետական բյուջեի մասին օրենքի նախագծում</w:t>
      </w:r>
      <w:r>
        <w:rPr>
          <w:lang w:val="hy-AM"/>
        </w:rPr>
        <w:t xml:space="preserve"> (2026</w:t>
      </w:r>
      <w:r w:rsidRPr="00E77731">
        <w:rPr>
          <w:lang w:val="hy-AM"/>
        </w:rPr>
        <w:t>թ այն կլինի ՀՀ կառավարության ուղերձի մաս) առանձին հավելվածով կներկայացվեն 202</w:t>
      </w:r>
      <w:r>
        <w:rPr>
          <w:lang w:val="hy-AM"/>
        </w:rPr>
        <w:t>6</w:t>
      </w:r>
      <w:r w:rsidRPr="00E77731">
        <w:rPr>
          <w:lang w:val="hy-AM"/>
        </w:rPr>
        <w:t>թ</w:t>
      </w:r>
      <w:r>
        <w:rPr>
          <w:lang w:val="hy-AM"/>
        </w:rPr>
        <w:t>.</w:t>
      </w:r>
      <w:r w:rsidRPr="00E77731">
        <w:rPr>
          <w:lang w:val="hy-AM"/>
        </w:rPr>
        <w:t xml:space="preserve"> պետական բյուջեում ներառված այն միջոցառումները, որոնք ունեն հստակ սահմանված ավարտի ժամկետ: Հավելվածով կբացահայտվեն այդ միջոցառումների բովանդակությունը, մեկնարկի և ավարտի տարեթվերը, ընդհանուր և մնացորդային արժեքները, ինչպես նաև 202</w:t>
      </w:r>
      <w:r>
        <w:rPr>
          <w:lang w:val="hy-AM"/>
        </w:rPr>
        <w:t>6</w:t>
      </w:r>
      <w:r w:rsidRPr="00E77731">
        <w:rPr>
          <w:lang w:val="hy-AM"/>
        </w:rPr>
        <w:t>թ-ին նախատեսվող ծախսերի մեծությունը: Դա հնարավորություն կտա ՀՀ ԱԺ բյուջետային քննարկումներում ծախսային միջոցառումները՝ ինչպես նախկինից շարունակվող, այնպես էլ նոր մեկնարկող, դիտարկել իրենց ողջ կենսացիկլի մեջ՝ հաշվի առնելով դրանց ֆիսկալ ազդեցությունը հետագա տարիների վրա:</w:t>
      </w:r>
    </w:p>
    <w:p w14:paraId="56364DF5" w14:textId="77777777" w:rsidR="00807480" w:rsidRPr="00B961AE" w:rsidRDefault="00807480" w:rsidP="00807480">
      <w:pPr>
        <w:pStyle w:val="BodyText1"/>
        <w:ind w:left="0"/>
        <w:rPr>
          <w:b/>
          <w:lang w:val="hy-AM"/>
        </w:rPr>
      </w:pPr>
      <w:r w:rsidRPr="00AD70DC">
        <w:rPr>
          <w:b/>
          <w:lang w:val="hy-AM"/>
        </w:rPr>
        <w:t>Այլ</w:t>
      </w:r>
      <w:r w:rsidRPr="00B961AE">
        <w:rPr>
          <w:b/>
          <w:lang w:val="hy-AM"/>
        </w:rPr>
        <w:t xml:space="preserve"> կարևոր փոփոխություններ բյուջետային գործընթացում. </w:t>
      </w:r>
    </w:p>
    <w:p w14:paraId="7C59868B" w14:textId="77777777" w:rsidR="00807480" w:rsidRPr="007A1E67" w:rsidRDefault="00807480" w:rsidP="00807480">
      <w:pPr>
        <w:pStyle w:val="BodyText1"/>
        <w:ind w:left="0"/>
        <w:rPr>
          <w:b/>
          <w:lang w:val="hy-AM"/>
        </w:rPr>
      </w:pPr>
      <w:r w:rsidRPr="007A1E67">
        <w:rPr>
          <w:b/>
          <w:lang w:val="hy-AM"/>
        </w:rPr>
        <w:t>Պետական կառավարման մարմինների կողմից տնօրինվող պետական գույքի համար վարձակալական վճարի արժեքի մոտարկում և ներառում բյուջետային փաստաթղթերում.</w:t>
      </w:r>
    </w:p>
    <w:p w14:paraId="118B7AD6" w14:textId="77777777" w:rsidR="00807480" w:rsidRPr="00E77731" w:rsidRDefault="00807480" w:rsidP="00807480">
      <w:pPr>
        <w:pStyle w:val="BodyText1"/>
        <w:ind w:left="0"/>
        <w:rPr>
          <w:lang w:val="hy-AM"/>
        </w:rPr>
      </w:pPr>
      <w:r w:rsidRPr="00E77731">
        <w:rPr>
          <w:lang w:val="hy-AM"/>
        </w:rPr>
        <w:t>ՀՀ 202</w:t>
      </w:r>
      <w:r>
        <w:rPr>
          <w:lang w:val="hy-AM"/>
        </w:rPr>
        <w:t>6</w:t>
      </w:r>
      <w:r w:rsidRPr="00E77731">
        <w:rPr>
          <w:lang w:val="hy-AM"/>
        </w:rPr>
        <w:t>թ</w:t>
      </w:r>
      <w:r>
        <w:rPr>
          <w:lang w:val="hy-AM"/>
        </w:rPr>
        <w:t>.</w:t>
      </w:r>
      <w:r w:rsidRPr="00E77731">
        <w:rPr>
          <w:lang w:val="hy-AM"/>
        </w:rPr>
        <w:t xml:space="preserve"> պետական բյուջեի մասին օրենքի նախագծ</w:t>
      </w:r>
      <w:r>
        <w:rPr>
          <w:lang w:val="hy-AM"/>
        </w:rPr>
        <w:t>ի՝</w:t>
      </w:r>
      <w:r w:rsidRPr="00E77731">
        <w:rPr>
          <w:lang w:val="hy-AM"/>
        </w:rPr>
        <w:t xml:space="preserve"> ՀՀ կառավարության </w:t>
      </w:r>
      <w:r>
        <w:rPr>
          <w:lang w:val="hy-AM"/>
        </w:rPr>
        <w:t>ուղերձ-բացատրագրի</w:t>
      </w:r>
      <w:r w:rsidRPr="00E77731">
        <w:rPr>
          <w:lang w:val="hy-AM"/>
        </w:rPr>
        <w:t xml:space="preserve"> առանձին հավելվածով կներկայացվեն պետական կառավարման մարմինների կողմից տնօրինվող պետական գույքի դիմաց՝ դրանց վարձակալության տրամադրման դեպքում, մոտարկված վարձակալական վճարների չափի գնահատականները: Հետագայում այդ վարձակալական վճարները կարտացոլվեն պետական բյուջեի համապատասխան եկամուտներում և ծախսերում, դրանով իսկ մեծացնելով հանրային ակտիվների կառավարման թափանցիկությունը և հիմքեր ստեղծելով դրա արդյունավետության բարձրացման և պետական մարմինների կողմից մատուցվող ծառայությունների իրական արժեքի գնահատման համար:</w:t>
      </w:r>
    </w:p>
    <w:p w14:paraId="2EF40C6E" w14:textId="77777777" w:rsidR="00807480" w:rsidRDefault="00807480" w:rsidP="00807480">
      <w:pPr>
        <w:rPr>
          <w:rFonts w:ascii="GHEA Grapalat" w:eastAsiaTheme="minorHAnsi" w:hAnsi="GHEA Grapalat" w:cs="Segoe UI"/>
          <w:b/>
          <w:bCs/>
          <w:color w:val="494949"/>
          <w:shd w:val="clear" w:color="auto" w:fill="FFFFFF"/>
          <w:lang w:val="hy-AM"/>
        </w:rPr>
      </w:pPr>
      <w:r>
        <w:rPr>
          <w:rFonts w:ascii="GHEA Grapalat" w:hAnsi="GHEA Grapalat" w:cs="Segoe UI"/>
          <w:b/>
          <w:bCs/>
          <w:color w:val="494949"/>
          <w:shd w:val="clear" w:color="auto" w:fill="FFFFFF"/>
          <w:lang w:val="hy-AM"/>
        </w:rPr>
        <w:t>Բազային բյուջեի գործիքակազմի ներդրում</w:t>
      </w:r>
    </w:p>
    <w:p w14:paraId="638DA3A3" w14:textId="0AB02D69" w:rsidR="00807480" w:rsidRDefault="00807480" w:rsidP="00807480">
      <w:pPr>
        <w:jc w:val="both"/>
        <w:rPr>
          <w:rFonts w:ascii="GHEA Grapalat" w:hAnsi="GHEA Grapalat" w:cs="Segoe UI"/>
          <w:color w:val="494949"/>
          <w:shd w:val="clear" w:color="auto" w:fill="FFFFFF"/>
          <w:lang w:val="hy-AM"/>
        </w:rPr>
      </w:pPr>
      <w:r w:rsidRPr="003A5A48">
        <w:rPr>
          <w:rFonts w:ascii="GHEA Grapalat" w:hAnsi="GHEA Grapalat"/>
          <w:lang w:val="hy-AM"/>
        </w:rPr>
        <w:t>Պետական բյուջեի պլանավորման գործընթացի արդյունավետությունը բարձրացնելու նպատակով կներդրվի ի բազային բյուջետավորման մեխանիզմը</w:t>
      </w:r>
      <w:r w:rsidRPr="009C759F">
        <w:rPr>
          <w:rFonts w:ascii="GHEA Grapalat" w:hAnsi="GHEA Grapalat" w:cs="Segoe UI"/>
          <w:color w:val="494949"/>
          <w:shd w:val="clear" w:color="auto" w:fill="FFFFFF"/>
          <w:lang w:val="hy-AM"/>
        </w:rPr>
        <w:t>: Ուսումնասիրելով բազա</w:t>
      </w:r>
      <w:r>
        <w:rPr>
          <w:rFonts w:ascii="GHEA Grapalat" w:hAnsi="GHEA Grapalat" w:cs="Segoe UI"/>
          <w:color w:val="494949"/>
          <w:shd w:val="clear" w:color="auto" w:fill="FFFFFF"/>
          <w:lang w:val="hy-AM"/>
        </w:rPr>
        <w:t>յին բյուջեի կազմման միջազգային փորձը, ի մի բերելով բազային բյուջետավորման հիմնական առանձնահատկությունները՝ կմշակվի հայեցակարգային փաստաթուղթ բազային բյուջեի վերաբերյալ, բյուջետային գործընթացի կազմակերպման մեթոդական ցուցումներում կներառվեն բազային բյուջեի սահմանման, կազմման և ճշգրտման վերաբերյալ դրույթներ:</w:t>
      </w:r>
    </w:p>
    <w:p w14:paraId="4BCB8F96" w14:textId="77777777" w:rsidR="00807480" w:rsidRPr="00AB6817" w:rsidRDefault="00807480" w:rsidP="00807480">
      <w:pPr>
        <w:pStyle w:val="BodyText1"/>
        <w:ind w:left="0"/>
        <w:rPr>
          <w:b/>
          <w:color w:val="auto"/>
          <w:lang w:val="hy-AM"/>
        </w:rPr>
      </w:pPr>
      <w:r w:rsidRPr="00AB6817">
        <w:rPr>
          <w:b/>
          <w:color w:val="auto"/>
          <w:lang w:val="hy-AM"/>
        </w:rPr>
        <w:t>Բյուջետային ծախսերի առաջնահերթությունների սահման</w:t>
      </w:r>
      <w:r>
        <w:rPr>
          <w:b/>
          <w:color w:val="auto"/>
          <w:lang w:val="hy-AM"/>
        </w:rPr>
        <w:t>ման</w:t>
      </w:r>
      <w:r w:rsidRPr="00AB6817">
        <w:rPr>
          <w:b/>
          <w:color w:val="auto"/>
          <w:lang w:val="hy-AM"/>
        </w:rPr>
        <w:t xml:space="preserve"> և ծախսերի այլընտրանքային սցենարների մշակ</w:t>
      </w:r>
      <w:r>
        <w:rPr>
          <w:b/>
          <w:color w:val="auto"/>
          <w:lang w:val="hy-AM"/>
        </w:rPr>
        <w:t>ման գործընթացների բարելավում</w:t>
      </w:r>
    </w:p>
    <w:p w14:paraId="5B50527F" w14:textId="77777777" w:rsidR="00807480" w:rsidRPr="00620DE7" w:rsidRDefault="00807480" w:rsidP="00807480">
      <w:pPr>
        <w:pStyle w:val="BodyText1"/>
        <w:ind w:left="0"/>
        <w:rPr>
          <w:lang w:val="hy-AM"/>
        </w:rPr>
      </w:pPr>
      <w:r w:rsidRPr="00620DE7">
        <w:rPr>
          <w:lang w:val="hy-AM"/>
        </w:rPr>
        <w:t xml:space="preserve">2026թ. կբարելավվեն բյուջետային ծախսերի առաջնահերթությունների որոշման և ըստ առաջնահերթությունների ծրագրերի դասակարգման չափորոշիչները, դրանք դարձնելով ավելի իրատեսական և կիրառական, կկանոնակարգվի ծախսային առաջնահերթությունների որոշման գործընթացը, այն դարձնելով բյուջետային գործընթացի մշտական մաս, ինչը հնարավորություն կտա միասնական չափորոշիչների հիման վրա գնահատել և սահմանել բյուջետային ծախսերի առաջնահերթությունները և մշակել ծախսային քաղաքականության այլընտրանքային սցենարներ՝ հնարավոր տնտեսական և ֆիսկալ ռիսկերին դիմակայելու համար: </w:t>
      </w:r>
    </w:p>
    <w:p w14:paraId="3379A648" w14:textId="77777777" w:rsidR="00807480" w:rsidRDefault="00807480" w:rsidP="00807480">
      <w:pPr>
        <w:jc w:val="both"/>
        <w:rPr>
          <w:rFonts w:ascii="GHEA Grapalat" w:hAnsi="GHEA Grapalat"/>
          <w:b/>
          <w:bCs/>
          <w:lang w:val="hy-AM"/>
        </w:rPr>
      </w:pPr>
      <w:r>
        <w:rPr>
          <w:rFonts w:ascii="GHEA Grapalat" w:hAnsi="GHEA Grapalat"/>
          <w:b/>
          <w:bCs/>
          <w:lang w:val="hy-AM"/>
        </w:rPr>
        <w:t>Բյուջետային ծախսերի վերաբաշխման և ՀՀ կառավարության պահուստային ֆոնդից հատկացումների գործընթացի կանոնակարգում և լավարկում</w:t>
      </w:r>
    </w:p>
    <w:p w14:paraId="5CECF152" w14:textId="77777777" w:rsidR="00807480" w:rsidRPr="003A5A48" w:rsidRDefault="00807480" w:rsidP="00807480">
      <w:pPr>
        <w:pStyle w:val="BodyText1"/>
        <w:ind w:left="0"/>
        <w:rPr>
          <w:lang w:val="hy-AM"/>
        </w:rPr>
      </w:pPr>
      <w:r w:rsidRPr="00B96CA8">
        <w:rPr>
          <w:lang w:val="hy-AM"/>
        </w:rPr>
        <w:t xml:space="preserve">2026թ. կկատարելագործվեն բյուջետային ծախսերի վերաբաշխման և ՀՀ կառավարության պահուստային ֆոնդից հատկացումների գործընթացները: Կհստակեցվեն բյուջետային </w:t>
      </w:r>
      <w:r w:rsidRPr="00BD5A1B">
        <w:rPr>
          <w:lang w:val="hy-AM"/>
        </w:rPr>
        <w:t xml:space="preserve">գլխավոր կարգադրիչների, </w:t>
      </w:r>
      <w:r w:rsidRPr="00E96FC6">
        <w:rPr>
          <w:lang w:val="hy-AM"/>
        </w:rPr>
        <w:t xml:space="preserve">Ֆինանսների նախարարության իրավասությունները, </w:t>
      </w:r>
      <w:r w:rsidRPr="008A405D">
        <w:rPr>
          <w:lang w:val="hy-AM"/>
        </w:rPr>
        <w:t xml:space="preserve">Կառավարության պահուստային ֆոնդում բյուջետային միջոցառման տեսակները </w:t>
      </w:r>
      <w:r w:rsidRPr="003A5A48">
        <w:rPr>
          <w:lang w:val="hy-AM"/>
        </w:rPr>
        <w:t xml:space="preserve">և այդ միջոցառումներից հատկացման դեպքերը և շրջանակները: </w:t>
      </w:r>
      <w:r>
        <w:rPr>
          <w:lang w:val="hy-AM"/>
        </w:rPr>
        <w:t>Պետական մարմինները</w:t>
      </w:r>
      <w:r w:rsidRPr="00BD5A1B">
        <w:rPr>
          <w:lang w:val="hy-AM"/>
        </w:rPr>
        <w:t xml:space="preserve"> կներկայացնեն ավելի համակարգված տեղեկատվություն վերաբաշխման և Կառավարության </w:t>
      </w:r>
      <w:r w:rsidRPr="00E96FC6">
        <w:rPr>
          <w:lang w:val="hy-AM"/>
        </w:rPr>
        <w:t xml:space="preserve">պահուստային ֆոնդից հատկացման անհրաժեշտության, առաջացած ազատ դրամական </w:t>
      </w:r>
      <w:r w:rsidRPr="008A405D">
        <w:rPr>
          <w:lang w:val="hy-AM"/>
        </w:rPr>
        <w:t xml:space="preserve">միջոցների և նոր ֆինանսական կարիքների մասով: </w:t>
      </w:r>
    </w:p>
    <w:p w14:paraId="08F2B67A" w14:textId="77777777" w:rsidR="00807480" w:rsidRPr="006F1929" w:rsidRDefault="00807480" w:rsidP="00807480">
      <w:pPr>
        <w:jc w:val="both"/>
        <w:rPr>
          <w:rFonts w:ascii="GHEA Grapalat" w:hAnsi="GHEA Grapalat"/>
          <w:b/>
          <w:bCs/>
          <w:lang w:val="hy-AM"/>
        </w:rPr>
      </w:pPr>
      <w:r w:rsidRPr="006F1929">
        <w:rPr>
          <w:rFonts w:ascii="GHEA Grapalat" w:hAnsi="GHEA Grapalat"/>
          <w:b/>
          <w:bCs/>
          <w:lang w:val="hy-AM"/>
        </w:rPr>
        <w:t>Հանրային ներդրումային ծրագրերի կառավարում</w:t>
      </w:r>
      <w:r>
        <w:rPr>
          <w:rFonts w:ascii="GHEA Grapalat" w:hAnsi="GHEA Grapalat"/>
          <w:b/>
          <w:bCs/>
          <w:lang w:val="hy-AM"/>
        </w:rPr>
        <w:t>.</w:t>
      </w:r>
    </w:p>
    <w:p w14:paraId="624F1812" w14:textId="77777777" w:rsidR="00807480" w:rsidRPr="006F1929" w:rsidRDefault="00807480" w:rsidP="00807480">
      <w:pPr>
        <w:pStyle w:val="BodyText1"/>
        <w:ind w:left="0"/>
        <w:rPr>
          <w:lang w:val="hy-AM"/>
        </w:rPr>
      </w:pPr>
      <w:r w:rsidRPr="006F1929">
        <w:rPr>
          <w:lang w:val="hy-AM"/>
        </w:rPr>
        <w:t xml:space="preserve">2026 թվականին կգործի հանրային ներադրումային ծրագրերի </w:t>
      </w:r>
      <w:r>
        <w:rPr>
          <w:lang w:val="hy-AM"/>
        </w:rPr>
        <w:t xml:space="preserve">վերհանման, </w:t>
      </w:r>
      <w:r w:rsidRPr="006F1929">
        <w:rPr>
          <w:lang w:val="hy-AM"/>
        </w:rPr>
        <w:t>մշակման, գնահատման</w:t>
      </w:r>
      <w:r>
        <w:rPr>
          <w:lang w:val="hy-AM"/>
        </w:rPr>
        <w:t>, առաջնահերությունների որոշման, իրականացման և մշտադիտարկման</w:t>
      </w:r>
      <w:r w:rsidRPr="006F1929">
        <w:rPr>
          <w:lang w:val="hy-AM"/>
        </w:rPr>
        <w:t xml:space="preserve"> նոր կատարելագործված կարգը, ինչպես նաև ոչ ֆինանսական ակտիվների գծով ծախսերի բյուջետավորման նոր կարգավորումները, ինչ</w:t>
      </w:r>
      <w:r>
        <w:rPr>
          <w:lang w:val="hy-AM"/>
        </w:rPr>
        <w:t>ը</w:t>
      </w:r>
      <w:r w:rsidRPr="006F1929">
        <w:rPr>
          <w:lang w:val="hy-AM"/>
        </w:rPr>
        <w:t xml:space="preserve"> հնարավորություն կտա հայտատու մարմիններին բյուջետային գործընթացի շրջանակում նախագծելու ավելի հիմնավոր և որակյալ ներդրումային ծրագրեր</w:t>
      </w:r>
      <w:r>
        <w:rPr>
          <w:lang w:val="hy-AM"/>
        </w:rPr>
        <w:t>:</w:t>
      </w:r>
    </w:p>
    <w:p w14:paraId="0F5B5BC2" w14:textId="77777777" w:rsidR="00807480" w:rsidRPr="007305AE" w:rsidRDefault="00807480" w:rsidP="00807480">
      <w:pPr>
        <w:pStyle w:val="BodyText1"/>
        <w:ind w:left="0"/>
        <w:rPr>
          <w:b/>
          <w:color w:val="auto"/>
          <w:lang w:val="hy-AM"/>
        </w:rPr>
      </w:pPr>
      <w:r w:rsidRPr="007305AE">
        <w:rPr>
          <w:b/>
          <w:color w:val="auto"/>
          <w:lang w:val="hy-AM"/>
        </w:rPr>
        <w:t xml:space="preserve">Բյուջետային ծրագրերի գնահատման գործընթացի ներդրում. </w:t>
      </w:r>
    </w:p>
    <w:p w14:paraId="3EDBE690" w14:textId="77777777" w:rsidR="00807480" w:rsidRPr="00620DE7" w:rsidRDefault="00807480" w:rsidP="00807480">
      <w:pPr>
        <w:pStyle w:val="BodyText1"/>
        <w:ind w:left="0" w:right="357"/>
        <w:rPr>
          <w:lang w:val="hy-AM"/>
        </w:rPr>
      </w:pPr>
      <w:r w:rsidRPr="00620DE7">
        <w:rPr>
          <w:lang w:val="hy-AM"/>
        </w:rPr>
        <w:t>Բյուջետային ծրագրի արդյունավետության և օգտավետության բարձրացման նպատակով 2025թ ՀՀ կառավարության կողմից հաստատվեց բյուջետային ծրագրերի գնահատման կարգը: ՀՀ ֆինանսների նախարարության ծրագրերի գնահատման և ներքին աուդիտի քաղաքականության նորաստեղծ վարչության կողմից աստիճանաբար կմեկնարկի ծրագրերի գնահատման կանոնավոր գործընթացը, որն ուղղված կլինի բյուջետային ծրագրերի ազդեցության գնահատմանը և արդյունքների բարելավմանը:</w:t>
      </w:r>
    </w:p>
    <w:p w14:paraId="1528E7EC" w14:textId="77777777" w:rsidR="00807480" w:rsidRPr="009C0506" w:rsidRDefault="00807480" w:rsidP="00807480">
      <w:pPr>
        <w:pStyle w:val="BodyText1"/>
        <w:ind w:left="0"/>
        <w:rPr>
          <w:bCs/>
          <w:color w:val="auto"/>
          <w:lang w:val="hy-AM"/>
        </w:rPr>
      </w:pPr>
      <w:r w:rsidRPr="0037312E">
        <w:rPr>
          <w:b/>
          <w:color w:val="auto"/>
          <w:lang w:val="hy-AM"/>
        </w:rPr>
        <w:t>Մասնակցային բյուջետավորման գործընթացի կատարելագործում</w:t>
      </w:r>
      <w:r w:rsidRPr="009C0506">
        <w:rPr>
          <w:b/>
          <w:color w:val="auto"/>
          <w:lang w:val="hy-AM"/>
        </w:rPr>
        <w:t>.</w:t>
      </w:r>
    </w:p>
    <w:p w14:paraId="5D5618C2" w14:textId="77777777" w:rsidR="00807480" w:rsidRPr="00620DE7" w:rsidRDefault="00807480" w:rsidP="00807480">
      <w:pPr>
        <w:pStyle w:val="BodyText1"/>
        <w:ind w:left="0" w:right="357"/>
        <w:rPr>
          <w:lang w:val="hy-AM"/>
        </w:rPr>
      </w:pPr>
      <w:r w:rsidRPr="00620DE7">
        <w:rPr>
          <w:lang w:val="hy-AM"/>
        </w:rPr>
        <w:t>2026թ</w:t>
      </w:r>
      <w:r w:rsidRPr="00620DE7">
        <w:rPr>
          <w:rFonts w:ascii="Cambria Math" w:hAnsi="Cambria Math" w:cs="Cambria Math"/>
          <w:lang w:val="hy-AM"/>
        </w:rPr>
        <w:t>․</w:t>
      </w:r>
      <w:r w:rsidRPr="00620DE7">
        <w:rPr>
          <w:lang w:val="hy-AM"/>
        </w:rPr>
        <w:t xml:space="preserve"> կշարունակվի ՀՀ պետական բյուջեից համայնքներին մասնակցային բյուջետավորման հիմունքներով սուբվենցիաների տրամադրման գործընթացը։ Մասնավորապես, կշարունակվեն գործող իրավակարգավորումների կատարելագործման աշխատանքները՝ գործընթացը դարձնելու ավելի մասնակցային, թափանցիկ և հաշվետու։ Նախատեսվում է նաև ընդլայնել գործընթացում ընդգրկված համայնքների շրջանակը՝ խթանելով բնակչության ակտիվ մասնակցությունը համայնքային ծրագրերի ձևավորմանն ու իրականացմանը։</w:t>
      </w:r>
    </w:p>
    <w:p w14:paraId="4B00A404" w14:textId="77777777" w:rsidR="00807480" w:rsidRDefault="00807480" w:rsidP="00807480">
      <w:pPr>
        <w:pStyle w:val="BodyText1"/>
        <w:ind w:left="0" w:right="357"/>
        <w:rPr>
          <w:lang w:val="hy-AM"/>
        </w:rPr>
      </w:pPr>
      <w:r w:rsidRPr="00620DE7">
        <w:rPr>
          <w:lang w:val="hy-AM"/>
        </w:rPr>
        <w:t>Այդ նպատակով, ՀՀ 2026 թվականի պետական բյուջեի նախագծով նախատեսվել է</w:t>
      </w:r>
      <w:r w:rsidRPr="00620DE7">
        <w:rPr>
          <w:rFonts w:ascii="Calibri" w:hAnsi="Calibri" w:cs="Calibri"/>
          <w:lang w:val="hy-AM"/>
        </w:rPr>
        <w:t> </w:t>
      </w:r>
      <w:r w:rsidRPr="00620DE7">
        <w:rPr>
          <w:b/>
          <w:bCs/>
          <w:lang w:val="hy-AM"/>
        </w:rPr>
        <w:t>2.0 մլրդ դրամ</w:t>
      </w:r>
      <w:r w:rsidRPr="00620DE7">
        <w:rPr>
          <w:rFonts w:ascii="Calibri" w:hAnsi="Calibri" w:cs="Calibri"/>
          <w:lang w:val="hy-AM"/>
        </w:rPr>
        <w:t> </w:t>
      </w:r>
      <w:r w:rsidRPr="00620DE7">
        <w:rPr>
          <w:lang w:val="hy-AM"/>
        </w:rPr>
        <w:t>՝ 2025թ</w:t>
      </w:r>
      <w:r w:rsidRPr="00620DE7">
        <w:rPr>
          <w:rFonts w:ascii="Cambria Math" w:hAnsi="Cambria Math" w:cs="Cambria Math"/>
          <w:lang w:val="hy-AM"/>
        </w:rPr>
        <w:t>․</w:t>
      </w:r>
      <w:r w:rsidRPr="00620DE7">
        <w:rPr>
          <w:lang w:val="hy-AM"/>
        </w:rPr>
        <w:t xml:space="preserve"> 1.0 մլրդ դրամի դիմաց։</w:t>
      </w:r>
    </w:p>
    <w:p w14:paraId="36E94748" w14:textId="77777777" w:rsidR="00BA6C2B" w:rsidRDefault="00BA6C2B" w:rsidP="00786D09">
      <w:pPr>
        <w:pStyle w:val="TOC2"/>
        <w:ind w:right="357"/>
        <w:jc w:val="both"/>
        <w:rPr>
          <w:lang w:val="hy-AM"/>
        </w:rPr>
      </w:pPr>
    </w:p>
    <w:p w14:paraId="2E606255" w14:textId="77777777" w:rsidR="00BA6C2B" w:rsidRDefault="00BA6C2B" w:rsidP="00786D09">
      <w:pPr>
        <w:pStyle w:val="TOC2"/>
        <w:jc w:val="both"/>
        <w:rPr>
          <w:lang w:val="hy-AM"/>
        </w:rPr>
      </w:pPr>
    </w:p>
    <w:p w14:paraId="0AD26361" w14:textId="785B3D5B" w:rsidR="001A37EE" w:rsidRDefault="001A37EE" w:rsidP="00786D09">
      <w:pPr>
        <w:rPr>
          <w:rFonts w:ascii="GHEA Grapalat" w:hAnsi="GHEA Grapalat"/>
          <w:szCs w:val="20"/>
          <w:lang w:val="hy-AM"/>
        </w:rPr>
      </w:pPr>
      <w:r>
        <w:rPr>
          <w:lang w:val="hy-AM"/>
        </w:rPr>
        <w:br w:type="page"/>
      </w:r>
    </w:p>
    <w:p w14:paraId="7A187E05" w14:textId="1AB81563" w:rsidR="00FE3BE4" w:rsidRPr="00FC6AD2" w:rsidRDefault="00FE3BE4" w:rsidP="00786D09">
      <w:pPr>
        <w:pStyle w:val="TOC2"/>
        <w:outlineLvl w:val="0"/>
        <w:rPr>
          <w:lang w:val="hy-AM"/>
        </w:rPr>
      </w:pPr>
      <w:bookmarkStart w:id="107" w:name="_Toc215157664"/>
      <w:r w:rsidRPr="00FC6AD2">
        <w:rPr>
          <w:lang w:val="hy-AM"/>
        </w:rPr>
        <w:t>ՄԱՍ I-Բ. ՄԱԿՐՈՏՆՏԵՍԱԿԱՆ ԶԱՐԳԱՑՈՒՄՆԵՐ ԵՎ ԿԱՆԽԱՏԵՍՈՒՄՆԵՐ</w:t>
      </w:r>
      <w:bookmarkEnd w:id="97"/>
      <w:bookmarkEnd w:id="98"/>
      <w:bookmarkEnd w:id="107"/>
      <w:r w:rsidRPr="00FC6AD2">
        <w:rPr>
          <w:lang w:val="hy-AM"/>
        </w:rPr>
        <w:t xml:space="preserve"> </w:t>
      </w:r>
    </w:p>
    <w:p w14:paraId="18A78173" w14:textId="77777777" w:rsidR="00FE3BE4" w:rsidRDefault="00FE3BE4" w:rsidP="00C33D04">
      <w:pPr>
        <w:pStyle w:val="TOC3"/>
        <w:pBdr>
          <w:bottom w:val="single" w:sz="8" w:space="1" w:color="C3C3C7" w:themeColor="accent3" w:themeTint="66"/>
        </w:pBdr>
        <w:outlineLvl w:val="1"/>
        <w:rPr>
          <w:lang w:val="hy-AM" w:eastAsia="ru-RU"/>
        </w:rPr>
      </w:pPr>
      <w:bookmarkStart w:id="108" w:name="_Toc51947412"/>
      <w:bookmarkStart w:id="109" w:name="_Toc52452085"/>
      <w:bookmarkStart w:id="110" w:name="_Toc57559412"/>
      <w:bookmarkStart w:id="111" w:name="_Toc83663894"/>
      <w:bookmarkStart w:id="112" w:name="_Toc83972830"/>
      <w:bookmarkStart w:id="113" w:name="_Toc115686016"/>
      <w:bookmarkStart w:id="114" w:name="_Toc178356562"/>
      <w:bookmarkStart w:id="115" w:name="_Toc183801070"/>
      <w:bookmarkStart w:id="116" w:name="_Toc215157665"/>
      <w:r>
        <w:rPr>
          <w:lang w:val="hy-AM"/>
        </w:rPr>
        <w:t>1</w:t>
      </w:r>
      <w:r>
        <w:rPr>
          <w:rFonts w:ascii="Cambria Math" w:hAnsi="Cambria Math" w:cs="Cambria Math"/>
          <w:lang w:val="hy-AM"/>
        </w:rPr>
        <w:t>․</w:t>
      </w:r>
      <w:r>
        <w:rPr>
          <w:lang w:val="hy-AM"/>
        </w:rPr>
        <w:t>1. ՄԱԿՐՈՏՆՏԵՍԱԿԱՆ ԱՄՓՈՓԱԳԻՐ ԵՎ ՇՐՋԱՆԱԿ</w:t>
      </w:r>
      <w:bookmarkEnd w:id="108"/>
      <w:bookmarkEnd w:id="109"/>
      <w:bookmarkEnd w:id="110"/>
      <w:bookmarkEnd w:id="111"/>
      <w:bookmarkEnd w:id="112"/>
      <w:bookmarkEnd w:id="113"/>
      <w:bookmarkEnd w:id="114"/>
      <w:bookmarkEnd w:id="115"/>
      <w:bookmarkEnd w:id="116"/>
      <w:r>
        <w:rPr>
          <w:lang w:val="hy-AM"/>
        </w:rPr>
        <w:t xml:space="preserve"> </w:t>
      </w:r>
    </w:p>
    <w:p w14:paraId="6D1DE786" w14:textId="77777777" w:rsidR="00FE3BE4" w:rsidRDefault="00FE3BE4" w:rsidP="00786D09">
      <w:pPr>
        <w:pStyle w:val="BodytextBullets"/>
        <w:ind w:left="0"/>
        <w:rPr>
          <w:rFonts w:eastAsia="Times New Roman"/>
          <w:lang w:val="hy-AM"/>
        </w:rPr>
      </w:pPr>
      <w:bookmarkStart w:id="117" w:name="_Toc146911023"/>
      <w:bookmarkStart w:id="118" w:name="_Toc115686017"/>
      <w:bookmarkStart w:id="119" w:name="_Toc83972831"/>
      <w:bookmarkStart w:id="120" w:name="_Toc83663895"/>
      <w:bookmarkStart w:id="121" w:name="_Toc57559413"/>
      <w:bookmarkStart w:id="122" w:name="_Toc52452086"/>
      <w:bookmarkStart w:id="123" w:name="_Toc51947413"/>
      <w:r w:rsidRPr="00030A2A">
        <w:rPr>
          <w:rFonts w:eastAsia="Times New Roman"/>
          <w:lang w:val="hy-AM"/>
        </w:rPr>
        <w:t xml:space="preserve">2022-2023 թվականները բնութագրվում են որպես </w:t>
      </w:r>
      <w:r w:rsidRPr="00030A2A">
        <w:rPr>
          <w:lang w:val="hy-AM"/>
        </w:rPr>
        <w:t>համաշխարհային արժեշղթաների խաթարումների, պարենային և հումքային ապրանքների միջազգային գների աճի, բարձր գնաճին հակազդող աննախադեպ զսպող դրամավարկային քաղաքականության ու համաշխարհային ֆինանսական պայմանների խստացման տարիներ։ 20</w:t>
      </w:r>
      <w:r w:rsidRPr="00030A2A">
        <w:rPr>
          <w:rFonts w:eastAsia="Times New Roman"/>
          <w:lang w:val="hy-AM"/>
        </w:rPr>
        <w:t>24թ. համաշխարհային տնտեսությունում և ՀՀ հիմնական գործընկ</w:t>
      </w:r>
      <w:r>
        <w:rPr>
          <w:rFonts w:eastAsia="Times New Roman"/>
          <w:lang w:val="hy-AM"/>
        </w:rPr>
        <w:t>եր երկրներում տնտեսական աճի տեմպերը կայունացել են՝ շարունակելով</w:t>
      </w:r>
      <w:r w:rsidRPr="00030A2A">
        <w:rPr>
          <w:rFonts w:eastAsia="Times New Roman"/>
          <w:lang w:val="hy-AM"/>
        </w:rPr>
        <w:t xml:space="preserve"> մնալ դրական տիրույթում` պայմանավորված սպառողական կայուն պահանջարկով, գնաճի տեմպերի թուլացմամբ և խոշոր տնտեսություններում շարունակվող հարկաբյուջետային և դրամավարկային քաղաքականությունների ճշգրտումներով։ Այս պայմաններում 2025թ</w:t>
      </w:r>
      <w:r w:rsidRPr="00030A2A">
        <w:rPr>
          <w:rFonts w:ascii="Cambria Math" w:eastAsia="Times New Roman" w:hAnsi="Cambria Math" w:cs="Cambria Math"/>
          <w:lang w:val="hy-AM"/>
        </w:rPr>
        <w:t>․</w:t>
      </w:r>
      <w:r w:rsidRPr="00030A2A">
        <w:rPr>
          <w:rFonts w:eastAsia="Times New Roman"/>
          <w:lang w:val="hy-AM"/>
        </w:rPr>
        <w:t xml:space="preserve"> </w:t>
      </w:r>
      <w:r w:rsidRPr="00030A2A">
        <w:rPr>
          <w:rFonts w:eastAsia="Times New Roman" w:cs="GHEA Grapalat"/>
          <w:lang w:val="hy-AM"/>
        </w:rPr>
        <w:t>գործընկեր</w:t>
      </w:r>
      <w:r w:rsidRPr="00030A2A">
        <w:rPr>
          <w:rFonts w:eastAsia="Times New Roman"/>
          <w:lang w:val="hy-AM"/>
        </w:rPr>
        <w:t xml:space="preserve"> </w:t>
      </w:r>
      <w:r w:rsidRPr="00030A2A">
        <w:rPr>
          <w:rFonts w:eastAsia="Times New Roman" w:cs="GHEA Grapalat"/>
          <w:lang w:val="hy-AM"/>
        </w:rPr>
        <w:t>երկրներում կանխա</w:t>
      </w:r>
      <w:r w:rsidRPr="00030A2A">
        <w:rPr>
          <w:rFonts w:eastAsia="Times New Roman"/>
          <w:lang w:val="hy-AM"/>
        </w:rPr>
        <w:t xml:space="preserve">տեսվում է տնտեսական աճի տեմպերի դանդաղում, իսկ միջնաժամկետում՝ իրենց պատմական միջին աճերից ցածր տնտեսական աճեր։ </w:t>
      </w:r>
    </w:p>
    <w:p w14:paraId="2F47FC36" w14:textId="2BF89FA1" w:rsidR="00FE3BE4" w:rsidRDefault="00FE3BE4" w:rsidP="00786D09">
      <w:pPr>
        <w:pStyle w:val="BodytextBullets"/>
        <w:ind w:left="0"/>
        <w:rPr>
          <w:lang w:val="hy-AM"/>
        </w:rPr>
      </w:pPr>
      <w:r w:rsidRPr="008B1558">
        <w:rPr>
          <w:lang w:val="hy-AM"/>
        </w:rPr>
        <w:t>2022-2023</w:t>
      </w:r>
      <w:r>
        <w:rPr>
          <w:lang w:val="hy-AM"/>
        </w:rPr>
        <w:t xml:space="preserve"> </w:t>
      </w:r>
      <w:r w:rsidRPr="008B1558">
        <w:rPr>
          <w:lang w:val="hy-AM"/>
        </w:rPr>
        <w:t>թ</w:t>
      </w:r>
      <w:r>
        <w:rPr>
          <w:lang w:val="hy-AM"/>
        </w:rPr>
        <w:t>վականներին</w:t>
      </w:r>
      <w:r w:rsidRPr="008B1558">
        <w:rPr>
          <w:lang w:val="hy-AM"/>
        </w:rPr>
        <w:t xml:space="preserve"> տնտեսական աճի տեմպերը, կրելով արտաքին և ներքին նպաստավոր գործոնների ազդեցությունը, կտրուկ արագացել են և միջինում գրանց</w:t>
      </w:r>
      <w:r>
        <w:rPr>
          <w:lang w:val="hy-AM"/>
        </w:rPr>
        <w:t>վ</w:t>
      </w:r>
      <w:r w:rsidRPr="008B1558">
        <w:rPr>
          <w:lang w:val="hy-AM"/>
        </w:rPr>
        <w:t xml:space="preserve">ել </w:t>
      </w:r>
      <w:r>
        <w:rPr>
          <w:lang w:val="hy-AM"/>
        </w:rPr>
        <w:t xml:space="preserve">է </w:t>
      </w:r>
      <w:r w:rsidRPr="008B1558">
        <w:rPr>
          <w:lang w:val="hy-AM"/>
        </w:rPr>
        <w:t>10.5%  աճ: Մասնավորապես՝ 2022</w:t>
      </w:r>
      <w:r>
        <w:rPr>
          <w:lang w:val="hy-AM"/>
        </w:rPr>
        <w:t xml:space="preserve"> </w:t>
      </w:r>
      <w:r w:rsidRPr="008B1558">
        <w:rPr>
          <w:lang w:val="hy-AM"/>
        </w:rPr>
        <w:t>թ</w:t>
      </w:r>
      <w:r>
        <w:rPr>
          <w:lang w:val="hy-AM"/>
        </w:rPr>
        <w:t>վականի</w:t>
      </w:r>
      <w:r w:rsidRPr="008B1558">
        <w:rPr>
          <w:lang w:val="hy-AM"/>
        </w:rPr>
        <w:t xml:space="preserve"> փետրվարի վերջերից սկիզբ առած ռուս-ուկրաինական հակամարտության և Ռուսաստանի դեմ կիրառված պատժամիջոցների հետևանքով տեղի է ունեցել դեպի Հայաստան մարդկանց (այդ թվում՝ զբոսաշրջիկների) ներհոսք, տեղեկատվական տեխնոլոգիաների ոլորտի ընկերությունների ՀՀ տեղափոխում, ՀՀ-ից դեպի Ռուսաստան արտահանման պահանջարկի ավելացում, պետական բյուջեից կապիտալ ծախսերի և բնակարանաշինության բարձր աճեր, ինչպես նաև 2023</w:t>
      </w:r>
      <w:r>
        <w:rPr>
          <w:lang w:val="hy-AM"/>
        </w:rPr>
        <w:t xml:space="preserve"> </w:t>
      </w:r>
      <w:r w:rsidRPr="008B1558">
        <w:rPr>
          <w:lang w:val="hy-AM"/>
        </w:rPr>
        <w:t>թ</w:t>
      </w:r>
      <w:r>
        <w:rPr>
          <w:lang w:val="hy-AM"/>
        </w:rPr>
        <w:t>վականի</w:t>
      </w:r>
      <w:r w:rsidRPr="008B1558">
        <w:rPr>
          <w:lang w:val="hy-AM"/>
        </w:rPr>
        <w:t xml:space="preserve"> սեպտեմբերի վերջից Ղարաբաղից ՀՀ բռնի տեղահանված մեր հայրենակիցների կողմից ձևավորվել է լրացուցիչ պահանջարկ:</w:t>
      </w:r>
      <w:r w:rsidRPr="00BB160E">
        <w:rPr>
          <w:lang w:val="hy-AM"/>
        </w:rPr>
        <w:t xml:space="preserve"> </w:t>
      </w:r>
    </w:p>
    <w:p w14:paraId="77A37942" w14:textId="7F3AB4AA" w:rsidR="00FE3BE4" w:rsidRPr="00BB160E" w:rsidRDefault="00FE3BE4" w:rsidP="00786D09">
      <w:pPr>
        <w:pStyle w:val="BodytextBullets"/>
        <w:ind w:left="0"/>
        <w:rPr>
          <w:lang w:val="hy-AM"/>
        </w:rPr>
      </w:pPr>
      <w:r w:rsidRPr="006A4940">
        <w:rPr>
          <w:lang w:val="hy-AM"/>
        </w:rPr>
        <w:t>2024</w:t>
      </w:r>
      <w:r>
        <w:rPr>
          <w:lang w:val="hy-AM"/>
        </w:rPr>
        <w:t xml:space="preserve"> </w:t>
      </w:r>
      <w:r w:rsidRPr="006A4940">
        <w:rPr>
          <w:lang w:val="hy-AM"/>
        </w:rPr>
        <w:t>թ</w:t>
      </w:r>
      <w:r>
        <w:rPr>
          <w:lang w:val="hy-AM"/>
        </w:rPr>
        <w:t>վականին</w:t>
      </w:r>
      <w:r w:rsidRPr="006A4940">
        <w:rPr>
          <w:lang w:val="hy-AM"/>
        </w:rPr>
        <w:t xml:space="preserve"> նպաստավոր արտաքին տնտեսական պայմանների դերի կայունացման պայմաններում տնտեսական աճը դանդաղել է, սակայն մնացել է բարձր մակարդակում՝ շարունակելով կրել տնտեսությունում իրականացվող մեծածավալ բնակարանային շինարարության, հիմնային մետաղների արտադրության կտրուկ աճի և Ղարաբաղից բռնի տեղահանված անձանց` ՀՀ տնտեսությանն ինտեգրման ազդեցությունները: Արդյունքում 2024</w:t>
      </w:r>
      <w:r>
        <w:rPr>
          <w:lang w:val="hy-AM"/>
        </w:rPr>
        <w:t xml:space="preserve"> </w:t>
      </w:r>
      <w:r w:rsidRPr="006A4940">
        <w:rPr>
          <w:lang w:val="hy-AM"/>
        </w:rPr>
        <w:t>թ</w:t>
      </w:r>
      <w:r>
        <w:rPr>
          <w:lang w:val="hy-AM"/>
        </w:rPr>
        <w:t>վականին</w:t>
      </w:r>
      <w:r w:rsidRPr="006A4940">
        <w:rPr>
          <w:lang w:val="hy-AM"/>
        </w:rPr>
        <w:t xml:space="preserve"> գրանցվել է ՀՆԱ-ի 5.9% իրական աճ՝ պայմանավորված հիմնականում ծառայությունների աճով</w:t>
      </w:r>
      <w:r>
        <w:rPr>
          <w:lang w:val="hy-AM"/>
        </w:rPr>
        <w:t>:</w:t>
      </w:r>
    </w:p>
    <w:p w14:paraId="556FCA6B" w14:textId="77777777" w:rsidR="00FE3BE4" w:rsidRPr="00F838E3" w:rsidRDefault="00FE3BE4" w:rsidP="00786D09">
      <w:pPr>
        <w:pStyle w:val="BodytextBullets"/>
        <w:ind w:left="0"/>
        <w:rPr>
          <w:rFonts w:eastAsia="GHEA Grapalat" w:cs="GHEA Grapalat"/>
          <w:color w:val="auto"/>
          <w:szCs w:val="22"/>
          <w:lang w:val="hy-AM"/>
        </w:rPr>
      </w:pPr>
      <w:r w:rsidRPr="00346C1F">
        <w:rPr>
          <w:rFonts w:eastAsia="GHEA Grapalat" w:cs="GHEA Grapalat"/>
          <w:szCs w:val="22"/>
          <w:lang w:val="hy-AM"/>
        </w:rPr>
        <w:t xml:space="preserve">Տնտեսական աճի բարձր տեմպերը շարունակվել են նաև 2025 թվականի առաջին կեսին՝ գրանցելով 5.6% տնտեսական աճ: Տնտեսության բոլոր ճյուղերում, բացառությամբ արդյունաբերության, գրանցվել են բարձր աճի տեմպեր, սակայն տնտեսական աճը պայմանավորված է եղել հիմնականում ծառայությունների և շինարարության աճերով: </w:t>
      </w:r>
      <w:r w:rsidRPr="00993FA5">
        <w:rPr>
          <w:rFonts w:eastAsia="GHEA Grapalat" w:cs="GHEA Grapalat"/>
          <w:szCs w:val="22"/>
          <w:lang w:val="hy-AM"/>
        </w:rPr>
        <w:t>Հուլիսին</w:t>
      </w:r>
      <w:r>
        <w:rPr>
          <w:rFonts w:eastAsia="GHEA Grapalat" w:cs="GHEA Grapalat"/>
          <w:szCs w:val="22"/>
          <w:lang w:val="hy-AM"/>
        </w:rPr>
        <w:t>,</w:t>
      </w:r>
      <w:r w:rsidRPr="00993FA5">
        <w:rPr>
          <w:rFonts w:eastAsia="GHEA Grapalat" w:cs="GHEA Grapalat"/>
          <w:szCs w:val="22"/>
          <w:lang w:val="hy-AM"/>
        </w:rPr>
        <w:t xml:space="preserve"> չնայած տնտեսական ակտիվության փոքր-ինչ դանդաղմանը՝ աճի բարձր տեմպերը պահպանվել են: Ծառայությունների և շինարարության ճյուղերի աճերը շարունակել են պայմանավորել տնտեսական ակտիվության աճը: Միաժամանակ արդյունաբերության աճի տեմպը վերականգնվել է՝ ևս դրական նպաստելով տնտեսական ակտիվությանը:</w:t>
      </w:r>
    </w:p>
    <w:p w14:paraId="3CB54503" w14:textId="4D4702E0" w:rsidR="00FE3BE4" w:rsidRPr="00E77731" w:rsidRDefault="00FE3BE4" w:rsidP="00786D09">
      <w:pPr>
        <w:pStyle w:val="BodytextBullets"/>
        <w:ind w:left="0"/>
        <w:rPr>
          <w:lang w:val="hy-AM"/>
        </w:rPr>
      </w:pPr>
      <w:r w:rsidRPr="00C4575E">
        <w:rPr>
          <w:lang w:val="hy-AM"/>
        </w:rPr>
        <w:t>Ընթացիկ տնտեսական զարգացումների պայմաններում 2025 թվականի համար սպասվում է շուրջ 5.2% տնտեսական աճ: Պետական կապիտալ ծախսերի դերի պահպանման, Սոթքի հանքավայրի անխափան գործունեության, ինչպես նաև Ամուլսարի շահագործման և կառուցվածքային բարեփոխումների</w:t>
      </w:r>
      <w:r>
        <w:rPr>
          <w:lang w:val="hy-AM"/>
        </w:rPr>
        <w:t xml:space="preserve"> </w:t>
      </w:r>
      <w:r w:rsidRPr="00C4575E">
        <w:rPr>
          <w:lang w:val="hy-AM"/>
        </w:rPr>
        <w:t>հնարավոր ազդեցությունների արդյունքում 2026 թվականի համար կանխատեսվում է շուրջ 5.4% տնտեսական աճ</w:t>
      </w:r>
      <w:r>
        <w:rPr>
          <w:lang w:val="hy-AM"/>
        </w:rPr>
        <w:t>:</w:t>
      </w:r>
      <w:r w:rsidRPr="00C4575E">
        <w:rPr>
          <w:lang w:val="hy-AM"/>
        </w:rPr>
        <w:t xml:space="preserve"> 2027-2028 թվականների համար</w:t>
      </w:r>
      <w:r>
        <w:rPr>
          <w:lang w:val="hy-AM"/>
        </w:rPr>
        <w:t xml:space="preserve"> տնտեսակ</w:t>
      </w:r>
      <w:r w:rsidR="005B1AAC">
        <w:rPr>
          <w:lang w:val="hy-AM"/>
        </w:rPr>
        <w:t>ա</w:t>
      </w:r>
      <w:r>
        <w:rPr>
          <w:lang w:val="hy-AM"/>
        </w:rPr>
        <w:t>ն աճը</w:t>
      </w:r>
      <w:r w:rsidRPr="008E0016">
        <w:rPr>
          <w:lang w:val="hy-AM"/>
        </w:rPr>
        <w:t xml:space="preserve"> </w:t>
      </w:r>
      <w:r>
        <w:rPr>
          <w:lang w:val="hy-AM"/>
        </w:rPr>
        <w:t>նույնպես կանխատեսվում է</w:t>
      </w:r>
      <w:r w:rsidRPr="008E0016">
        <w:rPr>
          <w:lang w:val="hy-AM"/>
        </w:rPr>
        <w:t xml:space="preserve"> </w:t>
      </w:r>
      <w:r w:rsidRPr="00C4575E">
        <w:rPr>
          <w:lang w:val="hy-AM"/>
        </w:rPr>
        <w:t>միջինում 5</w:t>
      </w:r>
      <w:r w:rsidRPr="00C4575E">
        <w:rPr>
          <w:rFonts w:ascii="Cambria Math" w:hAnsi="Cambria Math" w:cs="Cambria Math"/>
          <w:lang w:val="hy-AM"/>
        </w:rPr>
        <w:t>․</w:t>
      </w:r>
      <w:r w:rsidRPr="00AE0224">
        <w:rPr>
          <w:lang w:val="hy-AM"/>
        </w:rPr>
        <w:t>4</w:t>
      </w:r>
      <w:r w:rsidRPr="00C4575E">
        <w:rPr>
          <w:lang w:val="hy-AM"/>
        </w:rPr>
        <w:t>%:</w:t>
      </w:r>
      <w:r w:rsidRPr="00563443">
        <w:rPr>
          <w:lang w:val="hy-AM"/>
        </w:rPr>
        <w:t xml:space="preserve"> Այս պայմաններում ՀՀ կառավարության ծրագրի 2021-2026</w:t>
      </w:r>
      <w:r>
        <w:rPr>
          <w:lang w:val="hy-AM"/>
        </w:rPr>
        <w:t xml:space="preserve"> թվականների</w:t>
      </w:r>
      <w:r w:rsidRPr="00563443">
        <w:rPr>
          <w:lang w:val="hy-AM"/>
        </w:rPr>
        <w:t xml:space="preserve"> միջինում 7% աճը կապահովվի: </w:t>
      </w:r>
      <w:r w:rsidRPr="00AB06C2">
        <w:rPr>
          <w:lang w:val="hy-AM"/>
        </w:rPr>
        <w:t>Ընդ որում</w:t>
      </w:r>
      <w:r>
        <w:rPr>
          <w:lang w:val="hy-AM"/>
        </w:rPr>
        <w:t>՝</w:t>
      </w:r>
      <w:r w:rsidRPr="00AB06C2">
        <w:rPr>
          <w:lang w:val="hy-AM"/>
        </w:rPr>
        <w:t xml:space="preserve"> վերջին տարիներին ՀՀ տնտեսական աճի ներուժը բարձրացել է՝ հասնելով </w:t>
      </w:r>
      <w:r w:rsidRPr="00932CD5">
        <w:rPr>
          <w:lang w:val="hy-AM"/>
        </w:rPr>
        <w:t>5.0-5.5%:</w:t>
      </w:r>
      <w:r w:rsidRPr="00AB06C2">
        <w:rPr>
          <w:lang w:val="hy-AM"/>
        </w:rPr>
        <w:t xml:space="preserve"> Այս աճը պահպանելու և ավելի բարձր և կայուն աճի</w:t>
      </w:r>
      <w:bookmarkStart w:id="124" w:name="_Hlk170642081"/>
      <w:r w:rsidRPr="00AB06C2">
        <w:rPr>
          <w:lang w:val="hy-AM"/>
        </w:rPr>
        <w:t xml:space="preserve"> հասնելու համար անհրաժեշտ են լրացուցիչ ջանքեր՝ ուղղված արտադրողականության բարձրացմանը, ներդրումների և արտահանման խթանմանը։ Այս համատեքստում ՀՀ կառավարությունը հետամուտ է լինելու մարդկային և ֆիզիկական կապիտալում ներդրումների, մասնավոր ներդրումների, զբաղվածության և արտահանման խթանմանն ուղղված ռազմավարությունների արդյունավետ իրականացմանը</w:t>
      </w:r>
      <w:bookmarkEnd w:id="124"/>
      <w:r w:rsidRPr="00AB06C2">
        <w:rPr>
          <w:lang w:val="hy-AM"/>
        </w:rPr>
        <w:t>։</w:t>
      </w:r>
    </w:p>
    <w:p w14:paraId="11254B46" w14:textId="77777777" w:rsidR="00FE3BE4" w:rsidRPr="00E77731" w:rsidRDefault="00FE3BE4" w:rsidP="00786D09">
      <w:pPr>
        <w:pStyle w:val="BodytextBullets"/>
        <w:ind w:left="0"/>
        <w:rPr>
          <w:lang w:val="hy-AM"/>
        </w:rPr>
      </w:pPr>
      <w:r w:rsidRPr="00E77731">
        <w:rPr>
          <w:lang w:val="hy-AM"/>
        </w:rPr>
        <w:t xml:space="preserve">Տնտեսական ակտիվության աճի տեմպի դանդաղման և վերաարտահանման դերի </w:t>
      </w:r>
      <w:r>
        <w:rPr>
          <w:lang w:val="hy-AM"/>
        </w:rPr>
        <w:t xml:space="preserve">կտրուկ </w:t>
      </w:r>
      <w:r w:rsidRPr="00E77731">
        <w:rPr>
          <w:lang w:val="hy-AM"/>
        </w:rPr>
        <w:t xml:space="preserve">նվազման </w:t>
      </w:r>
      <w:r>
        <w:rPr>
          <w:lang w:val="hy-AM"/>
        </w:rPr>
        <w:t>հետևանքով 2025</w:t>
      </w:r>
      <w:r w:rsidRPr="00E77731">
        <w:rPr>
          <w:lang w:val="hy-AM"/>
        </w:rPr>
        <w:t xml:space="preserve">թ. սպասվում է արտահանման և ներմուծման զգալի </w:t>
      </w:r>
      <w:r>
        <w:rPr>
          <w:lang w:val="hy-AM"/>
        </w:rPr>
        <w:t>նվազ</w:t>
      </w:r>
      <w:r w:rsidRPr="00E77731">
        <w:rPr>
          <w:lang w:val="hy-AM"/>
        </w:rPr>
        <w:t xml:space="preserve">ում: Արդյունքում՝ </w:t>
      </w:r>
      <w:r>
        <w:rPr>
          <w:lang w:val="hy-AM"/>
        </w:rPr>
        <w:t>առևտրային հաշվեկշռի վատթարացմամբ պա</w:t>
      </w:r>
      <w:r w:rsidRPr="00E77731">
        <w:rPr>
          <w:lang w:val="hy-AM"/>
        </w:rPr>
        <w:t>յմանավորված 202</w:t>
      </w:r>
      <w:r>
        <w:rPr>
          <w:lang w:val="hy-AM"/>
        </w:rPr>
        <w:t>5</w:t>
      </w:r>
      <w:r w:rsidRPr="00E77731">
        <w:rPr>
          <w:lang w:val="hy-AM"/>
        </w:rPr>
        <w:t>թ. ընթացիկ հաշվի պակասուրդը ՀՆԱ-ում կշարունակի խորանալ՝ հասնելով ՀՆԱ-ում 5</w:t>
      </w:r>
      <w:r>
        <w:rPr>
          <w:lang w:val="hy-AM"/>
        </w:rPr>
        <w:t>.4</w:t>
      </w:r>
      <w:r w:rsidRPr="00E77731">
        <w:rPr>
          <w:lang w:val="hy-AM"/>
        </w:rPr>
        <w:t>%-ի</w:t>
      </w:r>
      <w:r>
        <w:rPr>
          <w:lang w:val="hy-AM"/>
        </w:rPr>
        <w:t>:</w:t>
      </w:r>
      <w:r w:rsidRPr="00DC5204">
        <w:rPr>
          <w:lang w:val="hy-AM"/>
        </w:rPr>
        <w:t xml:space="preserve"> </w:t>
      </w:r>
      <w:r>
        <w:rPr>
          <w:lang w:val="hy-AM"/>
        </w:rPr>
        <w:t>Վերաարտահանման</w:t>
      </w:r>
      <w:r w:rsidRPr="00DC5204">
        <w:rPr>
          <w:lang w:val="hy-AM"/>
        </w:rPr>
        <w:t xml:space="preserve"> չեզոքացման</w:t>
      </w:r>
      <w:r>
        <w:rPr>
          <w:lang w:val="hy-AM"/>
        </w:rPr>
        <w:t xml:space="preserve"> և ծառայությունների արտահանման առաջանցիկ աճի </w:t>
      </w:r>
      <w:r w:rsidRPr="006934A1">
        <w:rPr>
          <w:lang w:val="hy-AM"/>
        </w:rPr>
        <w:t>(</w:t>
      </w:r>
      <w:r>
        <w:rPr>
          <w:lang w:val="hy-AM"/>
        </w:rPr>
        <w:t>մասնավորապես, տուրիզմի աճով պայմանավորված</w:t>
      </w:r>
      <w:r w:rsidRPr="006934A1">
        <w:rPr>
          <w:lang w:val="hy-AM"/>
        </w:rPr>
        <w:t>)</w:t>
      </w:r>
      <w:r w:rsidRPr="00B91E49">
        <w:rPr>
          <w:lang w:val="hy-AM"/>
        </w:rPr>
        <w:t xml:space="preserve"> </w:t>
      </w:r>
      <w:r w:rsidRPr="00DC5204">
        <w:rPr>
          <w:lang w:val="hy-AM"/>
        </w:rPr>
        <w:t>պայմաններում ընթացիկ հաշվի պակասուրդը</w:t>
      </w:r>
      <w:r>
        <w:rPr>
          <w:lang w:val="hy-AM"/>
        </w:rPr>
        <w:t xml:space="preserve"> 2026թ.-ին փոքր-ինչ կբարելավվի, իսկ միջնաժամկետում</w:t>
      </w:r>
      <w:r w:rsidRPr="00DC5204">
        <w:rPr>
          <w:lang w:val="hy-AM"/>
        </w:rPr>
        <w:t xml:space="preserve"> կկայունանա երկարաժամկետ հավասարակշիռ մակարդակի շուրջ</w:t>
      </w:r>
      <w:r>
        <w:rPr>
          <w:lang w:val="hy-AM"/>
        </w:rPr>
        <w:t>:</w:t>
      </w:r>
    </w:p>
    <w:p w14:paraId="5EC58555" w14:textId="522CBB86" w:rsidR="00FE3BE4" w:rsidRPr="00A02B29" w:rsidRDefault="00FE3BE4" w:rsidP="00786D09">
      <w:pPr>
        <w:pStyle w:val="BodytextBullets"/>
        <w:ind w:left="0"/>
        <w:rPr>
          <w:lang w:val="hy-AM"/>
        </w:rPr>
      </w:pPr>
      <w:r w:rsidRPr="00A02B29">
        <w:rPr>
          <w:lang w:val="hy-AM"/>
        </w:rPr>
        <w:t>2026թ</w:t>
      </w:r>
      <w:r w:rsidRPr="00A02B29">
        <w:rPr>
          <w:rFonts w:ascii="Cambria Math" w:hAnsi="Cambria Math" w:cs="Cambria Math"/>
          <w:lang w:val="hy-AM"/>
        </w:rPr>
        <w:t>․</w:t>
      </w:r>
      <w:r w:rsidRPr="00A02B29">
        <w:rPr>
          <w:lang w:val="hy-AM"/>
        </w:rPr>
        <w:t>-ին և միջնաժամկետ հատվածի սկզբում՝ անհետաձգելի կարիքների և կառուցվածքային բարեփոխումների համար «առաջ ընկած» ռեսուրսների ձևավորման պայմաններում պետական բյուջեի պակասուրդի և պարտքի որոշակի աճից հետո հարկաբյուջետային քաղաքականությունը ուղղված կլինի ծախսերի կառուցվածքի բարելավմամբ ուղեկցվող հարկաբյուջետային կոնսոլիդացիայի իրականացմանը։  Կառավարության պարտքի բեռը 2026-2028 թվականներին կհասնի 5</w:t>
      </w:r>
      <w:r w:rsidR="00915C0D" w:rsidRPr="00F82E03">
        <w:rPr>
          <w:lang w:val="hy-AM"/>
        </w:rPr>
        <w:t>3</w:t>
      </w:r>
      <w:r w:rsidRPr="00A02B29">
        <w:rPr>
          <w:lang w:val="hy-AM"/>
        </w:rPr>
        <w:t>-5</w:t>
      </w:r>
      <w:r w:rsidR="00915C0D" w:rsidRPr="00F82E03">
        <w:rPr>
          <w:lang w:val="hy-AM"/>
        </w:rPr>
        <w:t>4</w:t>
      </w:r>
      <w:r w:rsidRPr="00A02B29">
        <w:rPr>
          <w:lang w:val="hy-AM"/>
        </w:rPr>
        <w:t>%-ի մակարդակի, որին միջնաժամկետ հատվածում կհակազդեն տնտեսական աճի և հարկաբյուջետային կոնսոլիդացիայի արդյունքում զգալի առաջնային հավելուրդի ձևավորման գործոնները։ Հարկաբյուջետային կոնսոլիդացիան կիրականացվի ընթացիկ ծախսերի օպտիմալացման և արդյունավետության բարձրացման պայմաններում ՀՆԱ-ում դերի որոշակի նվազմամբ</w:t>
      </w:r>
      <w:r>
        <w:rPr>
          <w:lang w:val="hy-AM"/>
        </w:rPr>
        <w:t xml:space="preserve">, </w:t>
      </w:r>
      <w:r w:rsidRPr="00A02B29">
        <w:rPr>
          <w:lang w:val="hy-AM"/>
        </w:rPr>
        <w:t xml:space="preserve">ինչը կզուգորդվի զսպող հարկաբյուջետային ազդակով միջնաժամկետի սկզբում, իսկ միջնաժամկետի վերջում հարկաբյուջետային քաղաքականության դիրքը ամբողջական պահանջարկի վրա ազդեցության տեսանկյունից կվերադառնա չեզոքի՝ միաժամանակ ամբողջ հորիզոնում դրական ազդեցություն ունենալով տնտեսության ներուժի վրա։ Հարկաբյուջետային քաղաքականության համար, ընդհանուր առմամբ, առաջնահերթ է առկա ռեսուրսների առավել արդյունավետ օգտագործումը և հնարավոր ռիսկերի կառավարման կարողությունների ձևավորումը, ինչը, աճի ներուժի բարձրացման հետ, պետք է երաշխավորի հարկաբյուջետային կայունությունը երկարաժամկետում։ </w:t>
      </w:r>
    </w:p>
    <w:p w14:paraId="5A9903F7" w14:textId="77777777" w:rsidR="00FE3BE4" w:rsidRPr="00E77731" w:rsidRDefault="00FE3BE4" w:rsidP="00786D09">
      <w:pPr>
        <w:pStyle w:val="BodytextBullets"/>
        <w:ind w:left="0"/>
        <w:rPr>
          <w:lang w:val="hy-AM"/>
        </w:rPr>
      </w:pPr>
      <w:r w:rsidRPr="005D3566">
        <w:rPr>
          <w:lang w:val="hy-AM"/>
        </w:rPr>
        <w:t>202</w:t>
      </w:r>
      <w:r w:rsidRPr="00896BD6">
        <w:rPr>
          <w:lang w:val="hy-AM"/>
        </w:rPr>
        <w:t>5</w:t>
      </w:r>
      <w:r w:rsidRPr="005D3566">
        <w:rPr>
          <w:lang w:val="hy-AM"/>
        </w:rPr>
        <w:t>թ</w:t>
      </w:r>
      <w:r w:rsidRPr="005D3566">
        <w:rPr>
          <w:rFonts w:ascii="Cambria Math" w:hAnsi="Cambria Math" w:cs="Cambria Math"/>
          <w:lang w:val="hy-AM"/>
        </w:rPr>
        <w:t>․</w:t>
      </w:r>
      <w:r w:rsidRPr="005D3566">
        <w:rPr>
          <w:lang w:val="hy-AM"/>
        </w:rPr>
        <w:t xml:space="preserve">-ին ինչպես միջին, այնպես էլ 12 ամսյա գնաճը </w:t>
      </w:r>
      <w:r>
        <w:rPr>
          <w:lang w:val="hy-AM"/>
        </w:rPr>
        <w:t xml:space="preserve">մոտ կլինեն նպատակային ցուցանիշին </w:t>
      </w:r>
      <w:r w:rsidRPr="005D3566">
        <w:rPr>
          <w:lang w:val="hy-AM"/>
        </w:rPr>
        <w:t xml:space="preserve">և միջնաժամկետում կկայունանան </w:t>
      </w:r>
      <w:r>
        <w:rPr>
          <w:lang w:val="hy-AM"/>
        </w:rPr>
        <w:t>3</w:t>
      </w:r>
      <w:r w:rsidRPr="005D3566">
        <w:rPr>
          <w:lang w:val="hy-AM"/>
        </w:rPr>
        <w:t xml:space="preserve">% </w:t>
      </w:r>
      <w:r>
        <w:rPr>
          <w:lang w:val="hy-AM"/>
        </w:rPr>
        <w:t xml:space="preserve">մակարդակի </w:t>
      </w:r>
      <w:r w:rsidRPr="005D3566">
        <w:rPr>
          <w:lang w:val="hy-AM"/>
        </w:rPr>
        <w:t>շուրջ: Մշտադիտարկելով տնտեսության զարգացման սցենարները, ԿԲ-</w:t>
      </w:r>
      <w:r>
        <w:rPr>
          <w:lang w:val="hy-AM"/>
        </w:rPr>
        <w:t>ն</w:t>
      </w:r>
      <w:r w:rsidRPr="005D3566">
        <w:rPr>
          <w:lang w:val="hy-AM"/>
        </w:rPr>
        <w:t xml:space="preserve"> պատրաստ է ձեռնարկել համարժեք գործողություններ՝ միջնաժամկետ հորիզոնում գնաճի</w:t>
      </w:r>
      <w:r>
        <w:rPr>
          <w:lang w:val="hy-AM"/>
        </w:rPr>
        <w:t xml:space="preserve"> թիրախային </w:t>
      </w:r>
      <w:r w:rsidRPr="005D3566">
        <w:rPr>
          <w:lang w:val="hy-AM"/>
        </w:rPr>
        <w:t>մակարդակի և գների կայունության նպատակի ապահովման համար</w:t>
      </w:r>
      <w:r w:rsidRPr="00E77731">
        <w:rPr>
          <w:lang w:val="hy-AM"/>
        </w:rPr>
        <w:t>:</w:t>
      </w:r>
    </w:p>
    <w:p w14:paraId="3B39FEC3" w14:textId="77777777" w:rsidR="00FE3BE4" w:rsidRPr="00534977" w:rsidRDefault="00FE3BE4" w:rsidP="00786D09">
      <w:pPr>
        <w:pStyle w:val="BodytextBullets"/>
        <w:ind w:left="0"/>
        <w:rPr>
          <w:lang w:val="hy-AM"/>
        </w:rPr>
      </w:pPr>
      <w:r w:rsidRPr="00561160">
        <w:rPr>
          <w:lang w:val="hy-AM"/>
        </w:rPr>
        <w:t xml:space="preserve">Ռուս-ուկրաինական շարունակվող հակամարտությունը և Ռուսաստանի դեմ կիրառվող աննախադեպ պատժամիջոցները աշխարհում ստեղծել են նոր իրականություն, որի  պայմաններում ինչպես աշխարհի և ՀՀ գործընկեր երկրների, այնպես էլ ՀՀ տնտեսական աճի </w:t>
      </w:r>
      <w:r>
        <w:rPr>
          <w:lang w:val="hy-AM"/>
        </w:rPr>
        <w:t>կանխատեսումներն</w:t>
      </w:r>
      <w:r w:rsidRPr="00561160">
        <w:rPr>
          <w:lang w:val="hy-AM"/>
        </w:rPr>
        <w:t xml:space="preserve"> իրենց մեջ կրում են մեծ անորոշություն: Այս պայմաններում, ինչպես աշխարհի և ՀՀ գործընկերների, այնպես էլ պետական բյուջեի շրջանակում ՀՀ տնտեսական աճի կանխատեսումների համար առկա են երկկողմանի ռիսկեր</w:t>
      </w:r>
      <w:r>
        <w:rPr>
          <w:lang w:val="hy-AM"/>
        </w:rPr>
        <w:t>:</w:t>
      </w:r>
    </w:p>
    <w:p w14:paraId="3AEF4520" w14:textId="77777777" w:rsidR="00FE3BE4" w:rsidRDefault="00FE3BE4" w:rsidP="00FE3BE4">
      <w:pPr>
        <w:rPr>
          <w:lang w:val="hy-AM"/>
        </w:rPr>
      </w:pPr>
      <w:r>
        <w:rPr>
          <w:lang w:val="hy-AM"/>
        </w:rPr>
        <w:br w:type="page"/>
      </w:r>
    </w:p>
    <w:p w14:paraId="083B9EA4" w14:textId="77777777" w:rsidR="00FE3BE4" w:rsidRPr="00B91E49" w:rsidRDefault="00FE3BE4" w:rsidP="00FE3BE4">
      <w:pPr>
        <w:pStyle w:val="BodytextBullets"/>
        <w:numPr>
          <w:ilvl w:val="0"/>
          <w:numId w:val="0"/>
        </w:numPr>
        <w:ind w:left="360" w:hanging="360"/>
        <w:rPr>
          <w:b/>
          <w:bCs/>
          <w:lang w:val="hy-AM"/>
        </w:rPr>
      </w:pPr>
      <w:r w:rsidRPr="003271D8">
        <w:rPr>
          <w:b/>
          <w:bCs/>
          <w:lang w:val="hy-AM"/>
        </w:rPr>
        <w:t>Աղյուսակ</w:t>
      </w:r>
      <w:r>
        <w:rPr>
          <w:b/>
          <w:bCs/>
          <w:lang w:val="hy-AM"/>
        </w:rPr>
        <w:t xml:space="preserve"> 1.1. 2026</w:t>
      </w:r>
      <w:r w:rsidRPr="003271D8">
        <w:rPr>
          <w:b/>
          <w:bCs/>
          <w:lang w:val="hy-AM"/>
        </w:rPr>
        <w:t>թ. պետական բյուջեի մակրոտնտեսական շրջանակ</w:t>
      </w:r>
    </w:p>
    <w:tbl>
      <w:tblPr>
        <w:tblpPr w:leftFromText="180" w:rightFromText="180" w:topFromText="120" w:vertAnchor="text" w:horzAnchor="margin" w:tblpX="-31" w:tblpY="47"/>
        <w:tblW w:w="9890" w:type="dxa"/>
        <w:tblBorders>
          <w:top w:val="single" w:sz="8" w:space="0" w:color="E1E1E3" w:themeColor="accent3" w:themeTint="33"/>
          <w:left w:val="single" w:sz="8" w:space="0" w:color="E1E1E3" w:themeColor="accent3" w:themeTint="33"/>
          <w:bottom w:val="single" w:sz="8" w:space="0" w:color="E1E1E3" w:themeColor="accent3" w:themeTint="33"/>
          <w:right w:val="single" w:sz="8" w:space="0" w:color="E1E1E3" w:themeColor="accent3" w:themeTint="33"/>
          <w:insideH w:val="single" w:sz="8" w:space="0" w:color="E1E1E3" w:themeColor="accent3" w:themeTint="33"/>
          <w:insideV w:val="single" w:sz="8" w:space="0" w:color="E1E1E3" w:themeColor="accent3" w:themeTint="33"/>
        </w:tblBorders>
        <w:tblLayout w:type="fixed"/>
        <w:tblLook w:val="04A0" w:firstRow="1" w:lastRow="0" w:firstColumn="1" w:lastColumn="0" w:noHBand="0" w:noVBand="1"/>
      </w:tblPr>
      <w:tblGrid>
        <w:gridCol w:w="2780"/>
        <w:gridCol w:w="1104"/>
        <w:gridCol w:w="1050"/>
        <w:gridCol w:w="1010"/>
        <w:gridCol w:w="1058"/>
        <w:gridCol w:w="951"/>
        <w:gridCol w:w="964"/>
        <w:gridCol w:w="973"/>
      </w:tblGrid>
      <w:tr w:rsidR="00FE3BE4" w:rsidRPr="003C098E" w14:paraId="4706D5C1" w14:textId="77777777" w:rsidTr="008D4E1E">
        <w:trPr>
          <w:trHeight w:val="288"/>
        </w:trPr>
        <w:tc>
          <w:tcPr>
            <w:tcW w:w="2780" w:type="dxa"/>
            <w:vMerge w:val="restart"/>
            <w:shd w:val="clear" w:color="auto" w:fill="D5DCE4" w:themeFill="text2" w:themeFillTint="33"/>
            <w:noWrap/>
            <w:vAlign w:val="center"/>
            <w:hideMark/>
          </w:tcPr>
          <w:p w14:paraId="7241AE06" w14:textId="77777777" w:rsidR="00FE3BE4" w:rsidRPr="00D41F43" w:rsidRDefault="00FE3BE4" w:rsidP="008D4E1E">
            <w:pPr>
              <w:spacing w:before="100" w:beforeAutospacing="1" w:after="100" w:afterAutospacing="1" w:line="240" w:lineRule="auto"/>
              <w:rPr>
                <w:sz w:val="16"/>
                <w:szCs w:val="16"/>
                <w:lang w:val="ru-RU"/>
              </w:rPr>
            </w:pPr>
            <w:r w:rsidRPr="00D41F43">
              <w:rPr>
                <w:sz w:val="16"/>
                <w:szCs w:val="16"/>
              </w:rPr>
              <w:t>Հիմնական մակրոտնտեսական ցուցանիշներ</w:t>
            </w:r>
          </w:p>
        </w:tc>
        <w:tc>
          <w:tcPr>
            <w:tcW w:w="1104" w:type="dxa"/>
            <w:shd w:val="clear" w:color="auto" w:fill="D5DCE4" w:themeFill="text2" w:themeFillTint="33"/>
            <w:vAlign w:val="center"/>
            <w:hideMark/>
          </w:tcPr>
          <w:p w14:paraId="5CBE2213" w14:textId="77777777" w:rsidR="00FE3BE4" w:rsidRPr="004127F8" w:rsidRDefault="00FE3BE4" w:rsidP="008D4E1E">
            <w:pPr>
              <w:spacing w:before="100" w:beforeAutospacing="1" w:after="100" w:afterAutospacing="1" w:line="240" w:lineRule="auto"/>
              <w:jc w:val="center"/>
              <w:rPr>
                <w:b/>
                <w:sz w:val="18"/>
                <w:szCs w:val="18"/>
                <w:lang w:val="hy-AM"/>
              </w:rPr>
            </w:pPr>
            <w:r w:rsidRPr="001D07F4">
              <w:rPr>
                <w:b/>
                <w:sz w:val="18"/>
                <w:szCs w:val="18"/>
              </w:rPr>
              <w:t>202</w:t>
            </w:r>
            <w:r>
              <w:rPr>
                <w:b/>
                <w:sz w:val="18"/>
                <w:szCs w:val="18"/>
                <w:lang w:val="hy-AM"/>
              </w:rPr>
              <w:t>2</w:t>
            </w:r>
          </w:p>
        </w:tc>
        <w:tc>
          <w:tcPr>
            <w:tcW w:w="1050" w:type="dxa"/>
            <w:shd w:val="clear" w:color="auto" w:fill="D5DCE4" w:themeFill="text2" w:themeFillTint="33"/>
            <w:vAlign w:val="center"/>
            <w:hideMark/>
          </w:tcPr>
          <w:p w14:paraId="052E2386" w14:textId="77777777" w:rsidR="00FE3BE4" w:rsidRPr="004127F8" w:rsidRDefault="00FE3BE4" w:rsidP="008D4E1E">
            <w:pPr>
              <w:spacing w:before="100" w:beforeAutospacing="1" w:after="100" w:afterAutospacing="1" w:line="240" w:lineRule="auto"/>
              <w:jc w:val="center"/>
              <w:rPr>
                <w:b/>
                <w:sz w:val="18"/>
                <w:szCs w:val="18"/>
                <w:lang w:val="hy-AM"/>
              </w:rPr>
            </w:pPr>
            <w:r w:rsidRPr="001D07F4">
              <w:rPr>
                <w:b/>
                <w:sz w:val="18"/>
                <w:szCs w:val="18"/>
              </w:rPr>
              <w:t>202</w:t>
            </w:r>
            <w:r>
              <w:rPr>
                <w:b/>
                <w:sz w:val="18"/>
                <w:szCs w:val="18"/>
                <w:lang w:val="hy-AM"/>
              </w:rPr>
              <w:t>3</w:t>
            </w:r>
          </w:p>
        </w:tc>
        <w:tc>
          <w:tcPr>
            <w:tcW w:w="1010" w:type="dxa"/>
            <w:shd w:val="clear" w:color="auto" w:fill="D5DCE4" w:themeFill="text2" w:themeFillTint="33"/>
            <w:vAlign w:val="center"/>
            <w:hideMark/>
          </w:tcPr>
          <w:p w14:paraId="56157F61" w14:textId="77777777" w:rsidR="00FE3BE4" w:rsidRPr="004127F8" w:rsidRDefault="00FE3BE4" w:rsidP="008D4E1E">
            <w:pPr>
              <w:spacing w:before="100" w:beforeAutospacing="1" w:after="100" w:afterAutospacing="1" w:line="240" w:lineRule="auto"/>
              <w:jc w:val="center"/>
              <w:rPr>
                <w:b/>
                <w:sz w:val="18"/>
                <w:szCs w:val="18"/>
                <w:lang w:val="hy-AM"/>
              </w:rPr>
            </w:pPr>
            <w:r w:rsidRPr="001D07F4">
              <w:rPr>
                <w:b/>
                <w:sz w:val="18"/>
                <w:szCs w:val="18"/>
              </w:rPr>
              <w:t>202</w:t>
            </w:r>
            <w:r>
              <w:rPr>
                <w:b/>
                <w:sz w:val="18"/>
                <w:szCs w:val="18"/>
                <w:lang w:val="hy-AM"/>
              </w:rPr>
              <w:t>4</w:t>
            </w:r>
          </w:p>
        </w:tc>
        <w:tc>
          <w:tcPr>
            <w:tcW w:w="1058" w:type="dxa"/>
            <w:shd w:val="clear" w:color="auto" w:fill="D5DCE4" w:themeFill="text2" w:themeFillTint="33"/>
            <w:vAlign w:val="center"/>
            <w:hideMark/>
          </w:tcPr>
          <w:p w14:paraId="11C492D1" w14:textId="77777777" w:rsidR="00FE3BE4" w:rsidRPr="004127F8" w:rsidRDefault="00FE3BE4" w:rsidP="008D4E1E">
            <w:pPr>
              <w:spacing w:before="100" w:beforeAutospacing="1" w:after="100" w:afterAutospacing="1" w:line="240" w:lineRule="auto"/>
              <w:jc w:val="center"/>
              <w:rPr>
                <w:b/>
                <w:sz w:val="18"/>
                <w:szCs w:val="18"/>
                <w:lang w:val="hy-AM"/>
              </w:rPr>
            </w:pPr>
            <w:r w:rsidRPr="001D07F4">
              <w:rPr>
                <w:b/>
                <w:sz w:val="18"/>
                <w:szCs w:val="18"/>
              </w:rPr>
              <w:t>202</w:t>
            </w:r>
            <w:r>
              <w:rPr>
                <w:b/>
                <w:sz w:val="18"/>
                <w:szCs w:val="18"/>
                <w:lang w:val="hy-AM"/>
              </w:rPr>
              <w:t>5</w:t>
            </w:r>
          </w:p>
        </w:tc>
        <w:tc>
          <w:tcPr>
            <w:tcW w:w="951" w:type="dxa"/>
            <w:shd w:val="clear" w:color="auto" w:fill="D5DCE4" w:themeFill="text2" w:themeFillTint="33"/>
            <w:vAlign w:val="center"/>
            <w:hideMark/>
          </w:tcPr>
          <w:p w14:paraId="3D4128F4" w14:textId="77777777" w:rsidR="00FE3BE4" w:rsidRPr="001D07F4" w:rsidRDefault="00FE3BE4" w:rsidP="008D4E1E">
            <w:pPr>
              <w:spacing w:before="100" w:beforeAutospacing="1" w:after="100" w:afterAutospacing="1" w:line="240" w:lineRule="auto"/>
              <w:jc w:val="center"/>
              <w:rPr>
                <w:b/>
                <w:sz w:val="18"/>
                <w:szCs w:val="18"/>
              </w:rPr>
            </w:pPr>
            <w:r w:rsidRPr="001D07F4">
              <w:rPr>
                <w:b/>
                <w:sz w:val="18"/>
                <w:szCs w:val="18"/>
              </w:rPr>
              <w:t>2</w:t>
            </w:r>
            <w:r>
              <w:rPr>
                <w:b/>
                <w:sz w:val="18"/>
                <w:szCs w:val="18"/>
              </w:rPr>
              <w:t>026</w:t>
            </w:r>
          </w:p>
        </w:tc>
        <w:tc>
          <w:tcPr>
            <w:tcW w:w="964" w:type="dxa"/>
            <w:shd w:val="clear" w:color="auto" w:fill="D5DCE4" w:themeFill="text2" w:themeFillTint="33"/>
            <w:vAlign w:val="center"/>
            <w:hideMark/>
          </w:tcPr>
          <w:p w14:paraId="07CCE7FE" w14:textId="77777777" w:rsidR="00FE3BE4" w:rsidRPr="004127F8" w:rsidRDefault="00FE3BE4" w:rsidP="008D4E1E">
            <w:pPr>
              <w:spacing w:before="100" w:beforeAutospacing="1" w:after="100" w:afterAutospacing="1" w:line="240" w:lineRule="auto"/>
              <w:jc w:val="center"/>
              <w:rPr>
                <w:b/>
                <w:sz w:val="18"/>
                <w:szCs w:val="18"/>
                <w:lang w:val="hy-AM"/>
              </w:rPr>
            </w:pPr>
            <w:r w:rsidRPr="001D07F4">
              <w:rPr>
                <w:b/>
                <w:sz w:val="18"/>
                <w:szCs w:val="18"/>
              </w:rPr>
              <w:t>202</w:t>
            </w:r>
            <w:r>
              <w:rPr>
                <w:b/>
                <w:sz w:val="18"/>
                <w:szCs w:val="18"/>
                <w:lang w:val="hy-AM"/>
              </w:rPr>
              <w:t>7</w:t>
            </w:r>
          </w:p>
        </w:tc>
        <w:tc>
          <w:tcPr>
            <w:tcW w:w="973" w:type="dxa"/>
            <w:shd w:val="clear" w:color="auto" w:fill="D5DCE4" w:themeFill="text2" w:themeFillTint="33"/>
            <w:vAlign w:val="center"/>
            <w:hideMark/>
          </w:tcPr>
          <w:p w14:paraId="5AECBC76" w14:textId="77777777" w:rsidR="00FE3BE4" w:rsidRPr="004127F8" w:rsidRDefault="00FE3BE4" w:rsidP="008D4E1E">
            <w:pPr>
              <w:spacing w:before="100" w:beforeAutospacing="1" w:after="100" w:afterAutospacing="1" w:line="240" w:lineRule="auto"/>
              <w:jc w:val="center"/>
              <w:rPr>
                <w:b/>
                <w:sz w:val="18"/>
                <w:szCs w:val="18"/>
                <w:lang w:val="hy-AM"/>
              </w:rPr>
            </w:pPr>
            <w:r w:rsidRPr="001D07F4">
              <w:rPr>
                <w:b/>
                <w:sz w:val="18"/>
                <w:szCs w:val="18"/>
              </w:rPr>
              <w:t>202</w:t>
            </w:r>
            <w:r>
              <w:rPr>
                <w:b/>
                <w:sz w:val="18"/>
                <w:szCs w:val="18"/>
                <w:lang w:val="hy-AM"/>
              </w:rPr>
              <w:t>8</w:t>
            </w:r>
          </w:p>
        </w:tc>
      </w:tr>
      <w:tr w:rsidR="00FE3BE4" w:rsidRPr="003C098E" w14:paraId="546097DD" w14:textId="77777777" w:rsidTr="008D4E1E">
        <w:trPr>
          <w:trHeight w:val="288"/>
        </w:trPr>
        <w:tc>
          <w:tcPr>
            <w:tcW w:w="2780" w:type="dxa"/>
            <w:vMerge/>
            <w:shd w:val="clear" w:color="auto" w:fill="D5DCE4" w:themeFill="text2" w:themeFillTint="33"/>
            <w:vAlign w:val="center"/>
            <w:hideMark/>
          </w:tcPr>
          <w:p w14:paraId="6C43339D" w14:textId="77777777" w:rsidR="00FE3BE4" w:rsidRPr="001D07F4" w:rsidRDefault="00FE3BE4" w:rsidP="008D4E1E">
            <w:pPr>
              <w:spacing w:before="100" w:beforeAutospacing="1" w:after="100" w:afterAutospacing="1" w:line="240" w:lineRule="auto"/>
              <w:rPr>
                <w:b/>
                <w:sz w:val="18"/>
                <w:szCs w:val="18"/>
                <w:lang w:val="ru-RU" w:eastAsia="ru-RU"/>
              </w:rPr>
            </w:pPr>
          </w:p>
        </w:tc>
        <w:tc>
          <w:tcPr>
            <w:tcW w:w="1104" w:type="dxa"/>
            <w:shd w:val="clear" w:color="auto" w:fill="D5DCE4" w:themeFill="text2" w:themeFillTint="33"/>
            <w:vAlign w:val="center"/>
            <w:hideMark/>
          </w:tcPr>
          <w:p w14:paraId="691FFA74" w14:textId="77777777" w:rsidR="00FE3BE4" w:rsidRPr="001D07F4" w:rsidRDefault="00FE3BE4" w:rsidP="008D4E1E">
            <w:pPr>
              <w:spacing w:before="100" w:beforeAutospacing="1" w:after="100" w:afterAutospacing="1" w:line="240" w:lineRule="auto"/>
              <w:jc w:val="center"/>
              <w:rPr>
                <w:b/>
                <w:sz w:val="18"/>
                <w:szCs w:val="18"/>
              </w:rPr>
            </w:pPr>
            <w:r w:rsidRPr="001D07F4">
              <w:rPr>
                <w:b/>
                <w:sz w:val="18"/>
                <w:szCs w:val="18"/>
              </w:rPr>
              <w:t>Փաստ</w:t>
            </w:r>
          </w:p>
        </w:tc>
        <w:tc>
          <w:tcPr>
            <w:tcW w:w="1050" w:type="dxa"/>
            <w:shd w:val="clear" w:color="auto" w:fill="D5DCE4" w:themeFill="text2" w:themeFillTint="33"/>
            <w:vAlign w:val="center"/>
            <w:hideMark/>
          </w:tcPr>
          <w:p w14:paraId="0AD82E0D" w14:textId="77777777" w:rsidR="00FE3BE4" w:rsidRPr="001D07F4" w:rsidRDefault="00FE3BE4" w:rsidP="008D4E1E">
            <w:pPr>
              <w:spacing w:before="100" w:beforeAutospacing="1" w:after="100" w:afterAutospacing="1" w:line="240" w:lineRule="auto"/>
              <w:jc w:val="center"/>
              <w:rPr>
                <w:b/>
                <w:sz w:val="18"/>
                <w:szCs w:val="18"/>
              </w:rPr>
            </w:pPr>
            <w:r w:rsidRPr="001D07F4">
              <w:rPr>
                <w:b/>
                <w:sz w:val="18"/>
                <w:szCs w:val="18"/>
              </w:rPr>
              <w:t>Փաստ</w:t>
            </w:r>
          </w:p>
        </w:tc>
        <w:tc>
          <w:tcPr>
            <w:tcW w:w="1010" w:type="dxa"/>
            <w:shd w:val="clear" w:color="auto" w:fill="D5DCE4" w:themeFill="text2" w:themeFillTint="33"/>
            <w:vAlign w:val="center"/>
            <w:hideMark/>
          </w:tcPr>
          <w:p w14:paraId="226B7082" w14:textId="77777777" w:rsidR="00FE3BE4" w:rsidRPr="001D07F4" w:rsidRDefault="00FE3BE4" w:rsidP="008D4E1E">
            <w:pPr>
              <w:spacing w:before="100" w:beforeAutospacing="1" w:after="100" w:afterAutospacing="1" w:line="240" w:lineRule="auto"/>
              <w:jc w:val="center"/>
              <w:rPr>
                <w:b/>
                <w:sz w:val="18"/>
                <w:szCs w:val="18"/>
              </w:rPr>
            </w:pPr>
            <w:r w:rsidRPr="001D07F4">
              <w:rPr>
                <w:b/>
                <w:sz w:val="18"/>
                <w:szCs w:val="18"/>
              </w:rPr>
              <w:t>փաստ</w:t>
            </w:r>
          </w:p>
        </w:tc>
        <w:tc>
          <w:tcPr>
            <w:tcW w:w="1058" w:type="dxa"/>
            <w:shd w:val="clear" w:color="auto" w:fill="D5DCE4" w:themeFill="text2" w:themeFillTint="33"/>
            <w:vAlign w:val="center"/>
            <w:hideMark/>
          </w:tcPr>
          <w:p w14:paraId="0EC7DF28" w14:textId="77777777" w:rsidR="00FE3BE4" w:rsidRPr="001D07F4" w:rsidRDefault="00FE3BE4" w:rsidP="008D4E1E">
            <w:pPr>
              <w:spacing w:before="100" w:beforeAutospacing="1" w:after="100" w:afterAutospacing="1" w:line="240" w:lineRule="auto"/>
              <w:jc w:val="center"/>
              <w:rPr>
                <w:b/>
                <w:sz w:val="18"/>
                <w:szCs w:val="18"/>
              </w:rPr>
            </w:pPr>
            <w:r w:rsidRPr="001D07F4">
              <w:rPr>
                <w:b/>
                <w:sz w:val="18"/>
                <w:szCs w:val="18"/>
              </w:rPr>
              <w:t>սպասում</w:t>
            </w:r>
          </w:p>
        </w:tc>
        <w:tc>
          <w:tcPr>
            <w:tcW w:w="951" w:type="dxa"/>
            <w:shd w:val="clear" w:color="auto" w:fill="D5DCE4" w:themeFill="text2" w:themeFillTint="33"/>
            <w:vAlign w:val="center"/>
            <w:hideMark/>
          </w:tcPr>
          <w:p w14:paraId="24C8B04A" w14:textId="77777777" w:rsidR="00FE3BE4" w:rsidRPr="001D07F4" w:rsidRDefault="00FE3BE4" w:rsidP="008D4E1E">
            <w:pPr>
              <w:spacing w:before="100" w:beforeAutospacing="1" w:after="100" w:afterAutospacing="1" w:line="240" w:lineRule="auto"/>
              <w:jc w:val="center"/>
              <w:rPr>
                <w:b/>
                <w:sz w:val="18"/>
                <w:szCs w:val="18"/>
              </w:rPr>
            </w:pPr>
            <w:r w:rsidRPr="001D07F4">
              <w:rPr>
                <w:b/>
                <w:sz w:val="18"/>
                <w:szCs w:val="18"/>
              </w:rPr>
              <w:t>ծրագիր</w:t>
            </w:r>
          </w:p>
        </w:tc>
        <w:tc>
          <w:tcPr>
            <w:tcW w:w="964" w:type="dxa"/>
            <w:shd w:val="clear" w:color="auto" w:fill="D5DCE4" w:themeFill="text2" w:themeFillTint="33"/>
            <w:vAlign w:val="center"/>
            <w:hideMark/>
          </w:tcPr>
          <w:p w14:paraId="421FC78C" w14:textId="77777777" w:rsidR="00FE3BE4" w:rsidRPr="001D07F4" w:rsidRDefault="00FE3BE4" w:rsidP="008D4E1E">
            <w:pPr>
              <w:spacing w:before="100" w:beforeAutospacing="1" w:after="100" w:afterAutospacing="1" w:line="240" w:lineRule="auto"/>
              <w:jc w:val="center"/>
              <w:rPr>
                <w:b/>
                <w:sz w:val="18"/>
                <w:szCs w:val="18"/>
              </w:rPr>
            </w:pPr>
            <w:r w:rsidRPr="001D07F4">
              <w:rPr>
                <w:b/>
                <w:sz w:val="18"/>
                <w:szCs w:val="18"/>
              </w:rPr>
              <w:t>կանխ.</w:t>
            </w:r>
          </w:p>
        </w:tc>
        <w:tc>
          <w:tcPr>
            <w:tcW w:w="973" w:type="dxa"/>
            <w:shd w:val="clear" w:color="auto" w:fill="D5DCE4" w:themeFill="text2" w:themeFillTint="33"/>
            <w:vAlign w:val="center"/>
            <w:hideMark/>
          </w:tcPr>
          <w:p w14:paraId="58371655" w14:textId="77777777" w:rsidR="00FE3BE4" w:rsidRPr="001D07F4" w:rsidRDefault="00FE3BE4" w:rsidP="008D4E1E">
            <w:pPr>
              <w:spacing w:before="100" w:beforeAutospacing="1" w:after="100" w:afterAutospacing="1" w:line="240" w:lineRule="auto"/>
              <w:jc w:val="center"/>
              <w:rPr>
                <w:b/>
                <w:sz w:val="18"/>
                <w:szCs w:val="18"/>
              </w:rPr>
            </w:pPr>
            <w:r w:rsidRPr="001D07F4">
              <w:rPr>
                <w:b/>
                <w:sz w:val="18"/>
                <w:szCs w:val="18"/>
              </w:rPr>
              <w:t>կանխ.</w:t>
            </w:r>
          </w:p>
        </w:tc>
      </w:tr>
      <w:tr w:rsidR="00FE3BE4" w:rsidRPr="003C098E" w14:paraId="01917E3B" w14:textId="77777777" w:rsidTr="008D4E1E">
        <w:trPr>
          <w:trHeight w:val="288"/>
        </w:trPr>
        <w:tc>
          <w:tcPr>
            <w:tcW w:w="2780" w:type="dxa"/>
            <w:noWrap/>
            <w:vAlign w:val="center"/>
            <w:hideMark/>
          </w:tcPr>
          <w:p w14:paraId="18AEE316" w14:textId="77777777" w:rsidR="00FE3BE4" w:rsidRPr="003C098E" w:rsidRDefault="00FE3BE4" w:rsidP="008D4E1E">
            <w:pPr>
              <w:spacing w:before="100" w:beforeAutospacing="1" w:after="100" w:afterAutospacing="1" w:line="240" w:lineRule="auto"/>
              <w:rPr>
                <w:sz w:val="18"/>
                <w:szCs w:val="18"/>
              </w:rPr>
            </w:pPr>
            <w:r w:rsidRPr="003C098E">
              <w:rPr>
                <w:sz w:val="18"/>
                <w:szCs w:val="18"/>
              </w:rPr>
              <w:t>Անվանական ՀՆԱ, մլրդ դրամ</w:t>
            </w:r>
          </w:p>
        </w:tc>
        <w:tc>
          <w:tcPr>
            <w:tcW w:w="1104" w:type="dxa"/>
            <w:vAlign w:val="center"/>
            <w:hideMark/>
          </w:tcPr>
          <w:p w14:paraId="084A88C1" w14:textId="77777777" w:rsidR="00FE3BE4" w:rsidRPr="003C098E" w:rsidRDefault="00FE3BE4" w:rsidP="008D4E1E">
            <w:pPr>
              <w:spacing w:before="100" w:beforeAutospacing="1" w:after="100" w:afterAutospacing="1" w:line="240" w:lineRule="auto"/>
              <w:jc w:val="center"/>
              <w:rPr>
                <w:sz w:val="18"/>
                <w:szCs w:val="18"/>
              </w:rPr>
            </w:pPr>
            <w:r w:rsidRPr="00A85C5E">
              <w:rPr>
                <w:sz w:val="18"/>
                <w:szCs w:val="18"/>
              </w:rPr>
              <w:t>8,501.4</w:t>
            </w:r>
          </w:p>
        </w:tc>
        <w:tc>
          <w:tcPr>
            <w:tcW w:w="1050" w:type="dxa"/>
            <w:vAlign w:val="center"/>
            <w:hideMark/>
          </w:tcPr>
          <w:p w14:paraId="2E6D0BB6" w14:textId="77777777" w:rsidR="00FE3BE4" w:rsidRPr="003C098E" w:rsidRDefault="00FE3BE4" w:rsidP="008D4E1E">
            <w:pPr>
              <w:spacing w:before="100" w:beforeAutospacing="1" w:after="100" w:afterAutospacing="1" w:line="240" w:lineRule="auto"/>
              <w:jc w:val="center"/>
              <w:rPr>
                <w:sz w:val="18"/>
                <w:szCs w:val="18"/>
              </w:rPr>
            </w:pPr>
            <w:r w:rsidRPr="00A85C5E">
              <w:rPr>
                <w:sz w:val="18"/>
                <w:szCs w:val="18"/>
              </w:rPr>
              <w:t>9,492.5</w:t>
            </w:r>
          </w:p>
        </w:tc>
        <w:tc>
          <w:tcPr>
            <w:tcW w:w="1010" w:type="dxa"/>
            <w:vAlign w:val="center"/>
            <w:hideMark/>
          </w:tcPr>
          <w:p w14:paraId="2867166B" w14:textId="77777777" w:rsidR="00FE3BE4" w:rsidRPr="003C098E" w:rsidRDefault="00FE3BE4" w:rsidP="008D4E1E">
            <w:pPr>
              <w:spacing w:before="100" w:beforeAutospacing="1" w:after="100" w:afterAutospacing="1" w:line="240" w:lineRule="auto"/>
              <w:jc w:val="center"/>
              <w:rPr>
                <w:sz w:val="18"/>
                <w:szCs w:val="18"/>
              </w:rPr>
            </w:pPr>
            <w:r w:rsidRPr="00A85C5E">
              <w:rPr>
                <w:sz w:val="18"/>
                <w:szCs w:val="18"/>
              </w:rPr>
              <w:t>10,193.4</w:t>
            </w:r>
          </w:p>
        </w:tc>
        <w:tc>
          <w:tcPr>
            <w:tcW w:w="1058" w:type="dxa"/>
            <w:vAlign w:val="center"/>
            <w:hideMark/>
          </w:tcPr>
          <w:p w14:paraId="15D3BD6C" w14:textId="77777777" w:rsidR="00FE3BE4" w:rsidRPr="003C098E" w:rsidRDefault="00FE3BE4" w:rsidP="008D4E1E">
            <w:pPr>
              <w:spacing w:before="100" w:beforeAutospacing="1" w:after="100" w:afterAutospacing="1" w:line="240" w:lineRule="auto"/>
              <w:jc w:val="center"/>
              <w:rPr>
                <w:sz w:val="18"/>
                <w:szCs w:val="18"/>
              </w:rPr>
            </w:pPr>
            <w:r w:rsidRPr="00120506">
              <w:rPr>
                <w:sz w:val="18"/>
                <w:szCs w:val="18"/>
              </w:rPr>
              <w:t>10,997.1</w:t>
            </w:r>
          </w:p>
        </w:tc>
        <w:tc>
          <w:tcPr>
            <w:tcW w:w="951" w:type="dxa"/>
            <w:vAlign w:val="center"/>
            <w:hideMark/>
          </w:tcPr>
          <w:p w14:paraId="771694B3" w14:textId="77777777" w:rsidR="00FE3BE4" w:rsidRPr="003C098E" w:rsidRDefault="00FE3BE4" w:rsidP="008D4E1E">
            <w:pPr>
              <w:spacing w:before="100" w:beforeAutospacing="1" w:after="100" w:afterAutospacing="1" w:line="240" w:lineRule="auto"/>
              <w:jc w:val="center"/>
              <w:rPr>
                <w:sz w:val="18"/>
                <w:szCs w:val="18"/>
              </w:rPr>
            </w:pPr>
            <w:r w:rsidRPr="00120506">
              <w:rPr>
                <w:sz w:val="18"/>
                <w:szCs w:val="18"/>
              </w:rPr>
              <w:t>11,933.7</w:t>
            </w:r>
          </w:p>
        </w:tc>
        <w:tc>
          <w:tcPr>
            <w:tcW w:w="964" w:type="dxa"/>
            <w:vAlign w:val="center"/>
            <w:hideMark/>
          </w:tcPr>
          <w:p w14:paraId="38538745" w14:textId="77777777" w:rsidR="00FE3BE4" w:rsidRPr="003C098E" w:rsidRDefault="00FE3BE4" w:rsidP="008D4E1E">
            <w:pPr>
              <w:spacing w:before="100" w:beforeAutospacing="1" w:after="100" w:afterAutospacing="1" w:line="240" w:lineRule="auto"/>
              <w:jc w:val="center"/>
              <w:rPr>
                <w:sz w:val="18"/>
                <w:szCs w:val="18"/>
              </w:rPr>
            </w:pPr>
            <w:r w:rsidRPr="00120506">
              <w:rPr>
                <w:sz w:val="18"/>
                <w:szCs w:val="18"/>
              </w:rPr>
              <w:t>12,952.8</w:t>
            </w:r>
          </w:p>
        </w:tc>
        <w:tc>
          <w:tcPr>
            <w:tcW w:w="973" w:type="dxa"/>
            <w:vAlign w:val="center"/>
            <w:hideMark/>
          </w:tcPr>
          <w:p w14:paraId="77793FCC" w14:textId="77777777" w:rsidR="00FE3BE4" w:rsidRPr="003C098E" w:rsidRDefault="00FE3BE4" w:rsidP="008D4E1E">
            <w:pPr>
              <w:spacing w:before="100" w:beforeAutospacing="1" w:after="100" w:afterAutospacing="1" w:line="240" w:lineRule="auto"/>
              <w:jc w:val="center"/>
              <w:rPr>
                <w:sz w:val="18"/>
                <w:szCs w:val="18"/>
              </w:rPr>
            </w:pPr>
            <w:r w:rsidRPr="00120506">
              <w:rPr>
                <w:sz w:val="18"/>
                <w:szCs w:val="18"/>
              </w:rPr>
              <w:t>14,050.8</w:t>
            </w:r>
          </w:p>
        </w:tc>
      </w:tr>
      <w:tr w:rsidR="00FE3BE4" w:rsidRPr="003C098E" w14:paraId="118E8C49" w14:textId="77777777" w:rsidTr="008D4E1E">
        <w:trPr>
          <w:trHeight w:val="288"/>
        </w:trPr>
        <w:tc>
          <w:tcPr>
            <w:tcW w:w="2780" w:type="dxa"/>
            <w:noWrap/>
            <w:vAlign w:val="center"/>
            <w:hideMark/>
          </w:tcPr>
          <w:p w14:paraId="45A4607F" w14:textId="77777777" w:rsidR="00FE3BE4" w:rsidRPr="003C098E" w:rsidRDefault="00FE3BE4" w:rsidP="008D4E1E">
            <w:pPr>
              <w:spacing w:before="100" w:beforeAutospacing="1" w:after="100" w:afterAutospacing="1" w:line="240" w:lineRule="auto"/>
              <w:rPr>
                <w:sz w:val="18"/>
                <w:szCs w:val="18"/>
              </w:rPr>
            </w:pPr>
            <w:r w:rsidRPr="003C098E">
              <w:rPr>
                <w:sz w:val="18"/>
                <w:szCs w:val="18"/>
              </w:rPr>
              <w:t>Տնտեսական աճ, %</w:t>
            </w:r>
          </w:p>
        </w:tc>
        <w:tc>
          <w:tcPr>
            <w:tcW w:w="1104" w:type="dxa"/>
            <w:vAlign w:val="center"/>
            <w:hideMark/>
          </w:tcPr>
          <w:p w14:paraId="4E16B16B" w14:textId="77777777" w:rsidR="00FE3BE4" w:rsidRPr="003C098E" w:rsidRDefault="00FE3BE4" w:rsidP="008D4E1E">
            <w:pPr>
              <w:spacing w:before="100" w:beforeAutospacing="1" w:after="100" w:afterAutospacing="1" w:line="240" w:lineRule="auto"/>
              <w:jc w:val="center"/>
              <w:rPr>
                <w:sz w:val="18"/>
                <w:szCs w:val="18"/>
              </w:rPr>
            </w:pPr>
            <w:r w:rsidRPr="00120506">
              <w:rPr>
                <w:sz w:val="18"/>
                <w:szCs w:val="18"/>
              </w:rPr>
              <w:t>12.6</w:t>
            </w:r>
          </w:p>
        </w:tc>
        <w:tc>
          <w:tcPr>
            <w:tcW w:w="1050" w:type="dxa"/>
            <w:vAlign w:val="center"/>
            <w:hideMark/>
          </w:tcPr>
          <w:p w14:paraId="57A12D89" w14:textId="77777777" w:rsidR="00FE3BE4" w:rsidRPr="003C098E" w:rsidRDefault="00FE3BE4" w:rsidP="008D4E1E">
            <w:pPr>
              <w:spacing w:before="100" w:beforeAutospacing="1" w:after="100" w:afterAutospacing="1" w:line="240" w:lineRule="auto"/>
              <w:jc w:val="center"/>
              <w:rPr>
                <w:sz w:val="18"/>
                <w:szCs w:val="18"/>
              </w:rPr>
            </w:pPr>
            <w:r w:rsidRPr="00120506">
              <w:rPr>
                <w:sz w:val="18"/>
                <w:szCs w:val="18"/>
              </w:rPr>
              <w:t>8.3</w:t>
            </w:r>
          </w:p>
        </w:tc>
        <w:tc>
          <w:tcPr>
            <w:tcW w:w="1010" w:type="dxa"/>
            <w:vAlign w:val="center"/>
            <w:hideMark/>
          </w:tcPr>
          <w:p w14:paraId="5D5CCE8A" w14:textId="77777777" w:rsidR="00FE3BE4" w:rsidRPr="003C098E" w:rsidRDefault="00FE3BE4" w:rsidP="008D4E1E">
            <w:pPr>
              <w:spacing w:before="100" w:beforeAutospacing="1" w:after="100" w:afterAutospacing="1" w:line="240" w:lineRule="auto"/>
              <w:jc w:val="center"/>
              <w:rPr>
                <w:sz w:val="18"/>
                <w:szCs w:val="18"/>
              </w:rPr>
            </w:pPr>
            <w:r w:rsidRPr="00120506">
              <w:rPr>
                <w:sz w:val="18"/>
                <w:szCs w:val="18"/>
              </w:rPr>
              <w:t>5.9</w:t>
            </w:r>
          </w:p>
        </w:tc>
        <w:tc>
          <w:tcPr>
            <w:tcW w:w="1058" w:type="dxa"/>
            <w:vAlign w:val="center"/>
            <w:hideMark/>
          </w:tcPr>
          <w:p w14:paraId="4C6C61F1" w14:textId="77777777" w:rsidR="00FE3BE4" w:rsidRPr="003C098E" w:rsidRDefault="00FE3BE4" w:rsidP="008D4E1E">
            <w:pPr>
              <w:spacing w:before="100" w:beforeAutospacing="1" w:after="100" w:afterAutospacing="1" w:line="240" w:lineRule="auto"/>
              <w:jc w:val="center"/>
              <w:rPr>
                <w:sz w:val="18"/>
                <w:szCs w:val="18"/>
              </w:rPr>
            </w:pPr>
            <w:r w:rsidRPr="00120506">
              <w:rPr>
                <w:sz w:val="18"/>
                <w:szCs w:val="18"/>
              </w:rPr>
              <w:t>5.2</w:t>
            </w:r>
          </w:p>
        </w:tc>
        <w:tc>
          <w:tcPr>
            <w:tcW w:w="951" w:type="dxa"/>
            <w:vAlign w:val="center"/>
            <w:hideMark/>
          </w:tcPr>
          <w:p w14:paraId="74F64446" w14:textId="77777777" w:rsidR="00FE3BE4" w:rsidRPr="00FC7FE1" w:rsidRDefault="00FE3BE4" w:rsidP="008D4E1E">
            <w:pPr>
              <w:spacing w:before="100" w:beforeAutospacing="1" w:after="100" w:afterAutospacing="1" w:line="240" w:lineRule="auto"/>
              <w:jc w:val="center"/>
              <w:rPr>
                <w:sz w:val="18"/>
                <w:szCs w:val="18"/>
                <w:lang w:val="hy-AM"/>
              </w:rPr>
            </w:pPr>
            <w:r w:rsidRPr="00120506">
              <w:rPr>
                <w:sz w:val="18"/>
                <w:szCs w:val="18"/>
              </w:rPr>
              <w:t>5.4</w:t>
            </w:r>
          </w:p>
        </w:tc>
        <w:tc>
          <w:tcPr>
            <w:tcW w:w="964" w:type="dxa"/>
            <w:vAlign w:val="center"/>
            <w:hideMark/>
          </w:tcPr>
          <w:p w14:paraId="26A61696" w14:textId="77777777" w:rsidR="00FE3BE4" w:rsidRPr="003C098E" w:rsidRDefault="00FE3BE4" w:rsidP="008D4E1E">
            <w:pPr>
              <w:spacing w:before="100" w:beforeAutospacing="1" w:after="100" w:afterAutospacing="1" w:line="240" w:lineRule="auto"/>
              <w:jc w:val="center"/>
              <w:rPr>
                <w:sz w:val="18"/>
                <w:szCs w:val="18"/>
              </w:rPr>
            </w:pPr>
            <w:r w:rsidRPr="00120506">
              <w:rPr>
                <w:sz w:val="18"/>
                <w:szCs w:val="18"/>
              </w:rPr>
              <w:t>5.4</w:t>
            </w:r>
          </w:p>
        </w:tc>
        <w:tc>
          <w:tcPr>
            <w:tcW w:w="973" w:type="dxa"/>
            <w:vAlign w:val="center"/>
            <w:hideMark/>
          </w:tcPr>
          <w:p w14:paraId="4CBD345C" w14:textId="77777777" w:rsidR="00FE3BE4" w:rsidRPr="003C098E" w:rsidRDefault="00FE3BE4" w:rsidP="008D4E1E">
            <w:pPr>
              <w:spacing w:before="100" w:beforeAutospacing="1" w:after="100" w:afterAutospacing="1" w:line="240" w:lineRule="auto"/>
              <w:jc w:val="center"/>
              <w:rPr>
                <w:sz w:val="18"/>
                <w:szCs w:val="18"/>
              </w:rPr>
            </w:pPr>
            <w:r w:rsidRPr="00120506">
              <w:rPr>
                <w:sz w:val="18"/>
                <w:szCs w:val="18"/>
              </w:rPr>
              <w:t>5.3</w:t>
            </w:r>
          </w:p>
        </w:tc>
      </w:tr>
      <w:tr w:rsidR="00FE3BE4" w:rsidRPr="003C098E" w14:paraId="3913EF26" w14:textId="77777777" w:rsidTr="008D4E1E">
        <w:trPr>
          <w:trHeight w:val="288"/>
        </w:trPr>
        <w:tc>
          <w:tcPr>
            <w:tcW w:w="2780" w:type="dxa"/>
            <w:noWrap/>
            <w:vAlign w:val="center"/>
            <w:hideMark/>
          </w:tcPr>
          <w:p w14:paraId="24A87E59" w14:textId="77777777" w:rsidR="00FE3BE4" w:rsidRPr="003C098E" w:rsidRDefault="00FE3BE4" w:rsidP="008D4E1E">
            <w:pPr>
              <w:spacing w:before="100" w:beforeAutospacing="1" w:after="100" w:afterAutospacing="1" w:line="240" w:lineRule="auto"/>
              <w:rPr>
                <w:sz w:val="18"/>
                <w:szCs w:val="18"/>
              </w:rPr>
            </w:pPr>
            <w:r w:rsidRPr="003C098E">
              <w:rPr>
                <w:sz w:val="18"/>
                <w:szCs w:val="18"/>
              </w:rPr>
              <w:t>ՀՆԱ դեֆլյատորի աճ, %</w:t>
            </w:r>
          </w:p>
        </w:tc>
        <w:tc>
          <w:tcPr>
            <w:tcW w:w="1104" w:type="dxa"/>
            <w:vAlign w:val="center"/>
            <w:hideMark/>
          </w:tcPr>
          <w:p w14:paraId="6F03EE27" w14:textId="77777777" w:rsidR="00FE3BE4" w:rsidRPr="003C098E" w:rsidRDefault="00FE3BE4" w:rsidP="008D4E1E">
            <w:pPr>
              <w:spacing w:before="100" w:beforeAutospacing="1" w:after="100" w:afterAutospacing="1" w:line="240" w:lineRule="auto"/>
              <w:jc w:val="center"/>
              <w:rPr>
                <w:sz w:val="18"/>
                <w:szCs w:val="18"/>
              </w:rPr>
            </w:pPr>
            <w:r w:rsidRPr="00120506">
              <w:rPr>
                <w:sz w:val="18"/>
                <w:szCs w:val="18"/>
              </w:rPr>
              <w:t>8.0</w:t>
            </w:r>
          </w:p>
        </w:tc>
        <w:tc>
          <w:tcPr>
            <w:tcW w:w="1050" w:type="dxa"/>
            <w:vAlign w:val="center"/>
            <w:hideMark/>
          </w:tcPr>
          <w:p w14:paraId="04D4357F" w14:textId="77777777" w:rsidR="00FE3BE4" w:rsidRPr="003C098E" w:rsidRDefault="00FE3BE4" w:rsidP="008D4E1E">
            <w:pPr>
              <w:spacing w:before="100" w:beforeAutospacing="1" w:after="100" w:afterAutospacing="1" w:line="240" w:lineRule="auto"/>
              <w:jc w:val="center"/>
              <w:rPr>
                <w:sz w:val="18"/>
                <w:szCs w:val="18"/>
              </w:rPr>
            </w:pPr>
            <w:r w:rsidRPr="00120506">
              <w:rPr>
                <w:sz w:val="18"/>
                <w:szCs w:val="18"/>
              </w:rPr>
              <w:t>3.1</w:t>
            </w:r>
          </w:p>
        </w:tc>
        <w:tc>
          <w:tcPr>
            <w:tcW w:w="1010" w:type="dxa"/>
            <w:vAlign w:val="center"/>
            <w:hideMark/>
          </w:tcPr>
          <w:p w14:paraId="5C150F31" w14:textId="77777777" w:rsidR="00FE3BE4" w:rsidRPr="003C098E" w:rsidRDefault="00FE3BE4" w:rsidP="008D4E1E">
            <w:pPr>
              <w:spacing w:before="100" w:beforeAutospacing="1" w:after="100" w:afterAutospacing="1" w:line="240" w:lineRule="auto"/>
              <w:jc w:val="center"/>
              <w:rPr>
                <w:sz w:val="18"/>
                <w:szCs w:val="18"/>
              </w:rPr>
            </w:pPr>
            <w:r w:rsidRPr="00120506">
              <w:rPr>
                <w:sz w:val="18"/>
                <w:szCs w:val="18"/>
              </w:rPr>
              <w:t>1.4</w:t>
            </w:r>
          </w:p>
        </w:tc>
        <w:tc>
          <w:tcPr>
            <w:tcW w:w="1058" w:type="dxa"/>
            <w:vAlign w:val="center"/>
            <w:hideMark/>
          </w:tcPr>
          <w:p w14:paraId="2EF4C4A3" w14:textId="77777777" w:rsidR="00FE3BE4" w:rsidRPr="003C098E" w:rsidRDefault="00FE3BE4" w:rsidP="008D4E1E">
            <w:pPr>
              <w:spacing w:before="100" w:beforeAutospacing="1" w:after="100" w:afterAutospacing="1" w:line="240" w:lineRule="auto"/>
              <w:jc w:val="center"/>
              <w:rPr>
                <w:sz w:val="18"/>
                <w:szCs w:val="18"/>
              </w:rPr>
            </w:pPr>
            <w:r w:rsidRPr="00120506">
              <w:rPr>
                <w:sz w:val="18"/>
                <w:szCs w:val="18"/>
              </w:rPr>
              <w:t>2.6</w:t>
            </w:r>
          </w:p>
        </w:tc>
        <w:tc>
          <w:tcPr>
            <w:tcW w:w="951" w:type="dxa"/>
            <w:vAlign w:val="center"/>
            <w:hideMark/>
          </w:tcPr>
          <w:p w14:paraId="7F286206" w14:textId="77777777" w:rsidR="00FE3BE4" w:rsidRPr="003C098E" w:rsidRDefault="00FE3BE4" w:rsidP="008D4E1E">
            <w:pPr>
              <w:spacing w:before="100" w:beforeAutospacing="1" w:after="100" w:afterAutospacing="1" w:line="240" w:lineRule="auto"/>
              <w:jc w:val="center"/>
              <w:rPr>
                <w:sz w:val="18"/>
                <w:szCs w:val="18"/>
              </w:rPr>
            </w:pPr>
            <w:r w:rsidRPr="00120506">
              <w:rPr>
                <w:sz w:val="18"/>
                <w:szCs w:val="18"/>
                <w:lang w:val="hy-AM"/>
              </w:rPr>
              <w:t>3.0</w:t>
            </w:r>
          </w:p>
        </w:tc>
        <w:tc>
          <w:tcPr>
            <w:tcW w:w="964" w:type="dxa"/>
            <w:vAlign w:val="center"/>
            <w:hideMark/>
          </w:tcPr>
          <w:p w14:paraId="4B4584F4" w14:textId="77777777" w:rsidR="00FE3BE4" w:rsidRPr="003C098E" w:rsidRDefault="00FE3BE4" w:rsidP="008D4E1E">
            <w:pPr>
              <w:spacing w:before="100" w:beforeAutospacing="1" w:after="100" w:afterAutospacing="1" w:line="240" w:lineRule="auto"/>
              <w:jc w:val="center"/>
              <w:rPr>
                <w:sz w:val="18"/>
                <w:szCs w:val="18"/>
              </w:rPr>
            </w:pPr>
            <w:r w:rsidRPr="00120506">
              <w:rPr>
                <w:sz w:val="18"/>
                <w:szCs w:val="18"/>
              </w:rPr>
              <w:t>3.0</w:t>
            </w:r>
          </w:p>
        </w:tc>
        <w:tc>
          <w:tcPr>
            <w:tcW w:w="973" w:type="dxa"/>
            <w:vAlign w:val="center"/>
            <w:hideMark/>
          </w:tcPr>
          <w:p w14:paraId="450A5962" w14:textId="77777777" w:rsidR="00FE3BE4" w:rsidRPr="003C098E" w:rsidRDefault="00FE3BE4" w:rsidP="008D4E1E">
            <w:pPr>
              <w:spacing w:before="100" w:beforeAutospacing="1" w:after="100" w:afterAutospacing="1" w:line="240" w:lineRule="auto"/>
              <w:jc w:val="center"/>
              <w:rPr>
                <w:sz w:val="18"/>
                <w:szCs w:val="18"/>
              </w:rPr>
            </w:pPr>
            <w:r w:rsidRPr="00120506">
              <w:rPr>
                <w:sz w:val="18"/>
                <w:szCs w:val="18"/>
              </w:rPr>
              <w:t>3.0</w:t>
            </w:r>
          </w:p>
        </w:tc>
      </w:tr>
      <w:tr w:rsidR="00FE3BE4" w:rsidRPr="003C098E" w14:paraId="2F38D69C" w14:textId="77777777" w:rsidTr="008D4E1E">
        <w:trPr>
          <w:trHeight w:val="288"/>
        </w:trPr>
        <w:tc>
          <w:tcPr>
            <w:tcW w:w="2780" w:type="dxa"/>
            <w:noWrap/>
            <w:vAlign w:val="center"/>
            <w:hideMark/>
          </w:tcPr>
          <w:p w14:paraId="4CCA69E2" w14:textId="77777777" w:rsidR="00FE3BE4" w:rsidRPr="003C098E" w:rsidRDefault="00FE3BE4" w:rsidP="008D4E1E">
            <w:pPr>
              <w:spacing w:before="100" w:beforeAutospacing="1" w:after="100" w:afterAutospacing="1" w:line="240" w:lineRule="auto"/>
              <w:rPr>
                <w:sz w:val="18"/>
                <w:szCs w:val="18"/>
              </w:rPr>
            </w:pPr>
            <w:r w:rsidRPr="003C098E">
              <w:rPr>
                <w:sz w:val="18"/>
                <w:szCs w:val="18"/>
              </w:rPr>
              <w:t>Գնաճ (ժամանակ. վերջ), %</w:t>
            </w:r>
          </w:p>
        </w:tc>
        <w:tc>
          <w:tcPr>
            <w:tcW w:w="1104" w:type="dxa"/>
            <w:vAlign w:val="center"/>
            <w:hideMark/>
          </w:tcPr>
          <w:p w14:paraId="0C4CDE38" w14:textId="77777777" w:rsidR="00FE3BE4" w:rsidRPr="005F2D76" w:rsidRDefault="00FE3BE4" w:rsidP="008D4E1E">
            <w:pPr>
              <w:spacing w:before="100" w:beforeAutospacing="1" w:after="100" w:afterAutospacing="1" w:line="240" w:lineRule="auto"/>
              <w:jc w:val="center"/>
              <w:rPr>
                <w:sz w:val="18"/>
                <w:szCs w:val="18"/>
                <w:lang w:val="hy-AM"/>
              </w:rPr>
            </w:pPr>
            <w:r>
              <w:rPr>
                <w:sz w:val="18"/>
                <w:szCs w:val="18"/>
                <w:lang w:val="hy-AM"/>
              </w:rPr>
              <w:t>8.3</w:t>
            </w:r>
          </w:p>
        </w:tc>
        <w:tc>
          <w:tcPr>
            <w:tcW w:w="1050" w:type="dxa"/>
            <w:vAlign w:val="center"/>
            <w:hideMark/>
          </w:tcPr>
          <w:p w14:paraId="7BF5B905" w14:textId="77777777" w:rsidR="00FE3BE4" w:rsidRPr="005F2D76" w:rsidRDefault="00FE3BE4" w:rsidP="008D4E1E">
            <w:pPr>
              <w:spacing w:before="100" w:beforeAutospacing="1" w:after="100" w:afterAutospacing="1" w:line="240" w:lineRule="auto"/>
              <w:jc w:val="center"/>
              <w:rPr>
                <w:sz w:val="18"/>
                <w:szCs w:val="18"/>
                <w:lang w:val="hy-AM"/>
              </w:rPr>
            </w:pPr>
            <w:r>
              <w:rPr>
                <w:sz w:val="18"/>
                <w:szCs w:val="18"/>
                <w:lang w:val="hy-AM"/>
              </w:rPr>
              <w:t>-0.6</w:t>
            </w:r>
          </w:p>
        </w:tc>
        <w:tc>
          <w:tcPr>
            <w:tcW w:w="1010" w:type="dxa"/>
            <w:vAlign w:val="center"/>
            <w:hideMark/>
          </w:tcPr>
          <w:p w14:paraId="1CC7FB3E" w14:textId="77777777" w:rsidR="00FE3BE4" w:rsidRPr="005F2D76" w:rsidRDefault="00FE3BE4" w:rsidP="008D4E1E">
            <w:pPr>
              <w:spacing w:before="100" w:beforeAutospacing="1" w:after="100" w:afterAutospacing="1" w:line="240" w:lineRule="auto"/>
              <w:jc w:val="center"/>
              <w:rPr>
                <w:sz w:val="18"/>
                <w:szCs w:val="18"/>
                <w:lang w:val="hy-AM"/>
              </w:rPr>
            </w:pPr>
            <w:r>
              <w:rPr>
                <w:sz w:val="18"/>
                <w:szCs w:val="18"/>
                <w:lang w:val="hy-AM"/>
              </w:rPr>
              <w:t>1.5</w:t>
            </w:r>
          </w:p>
        </w:tc>
        <w:tc>
          <w:tcPr>
            <w:tcW w:w="1058" w:type="dxa"/>
            <w:vAlign w:val="center"/>
            <w:hideMark/>
          </w:tcPr>
          <w:p w14:paraId="3EFE27E8" w14:textId="77777777" w:rsidR="00FE3BE4" w:rsidRPr="005F2D76" w:rsidRDefault="00FE3BE4" w:rsidP="008D4E1E">
            <w:pPr>
              <w:spacing w:before="100" w:beforeAutospacing="1" w:after="100" w:afterAutospacing="1" w:line="240" w:lineRule="auto"/>
              <w:jc w:val="center"/>
              <w:rPr>
                <w:sz w:val="18"/>
                <w:szCs w:val="18"/>
                <w:lang w:val="hy-AM"/>
              </w:rPr>
            </w:pPr>
            <w:r>
              <w:rPr>
                <w:sz w:val="18"/>
                <w:szCs w:val="18"/>
                <w:lang w:val="hy-AM"/>
              </w:rPr>
              <w:t>3.2</w:t>
            </w:r>
          </w:p>
        </w:tc>
        <w:tc>
          <w:tcPr>
            <w:tcW w:w="951" w:type="dxa"/>
            <w:vAlign w:val="center"/>
            <w:hideMark/>
          </w:tcPr>
          <w:p w14:paraId="374DB378" w14:textId="77777777" w:rsidR="00FE3BE4" w:rsidRPr="005F2D76" w:rsidRDefault="00FE3BE4" w:rsidP="008D4E1E">
            <w:pPr>
              <w:spacing w:before="100" w:beforeAutospacing="1" w:after="100" w:afterAutospacing="1" w:line="240" w:lineRule="auto"/>
              <w:jc w:val="center"/>
              <w:rPr>
                <w:sz w:val="18"/>
                <w:szCs w:val="18"/>
                <w:lang w:val="hy-AM"/>
              </w:rPr>
            </w:pPr>
            <w:r>
              <w:rPr>
                <w:sz w:val="18"/>
                <w:szCs w:val="18"/>
                <w:lang w:val="hy-AM"/>
              </w:rPr>
              <w:t>3.1</w:t>
            </w:r>
          </w:p>
        </w:tc>
        <w:tc>
          <w:tcPr>
            <w:tcW w:w="964" w:type="dxa"/>
            <w:vAlign w:val="center"/>
            <w:hideMark/>
          </w:tcPr>
          <w:p w14:paraId="3AEAC14F" w14:textId="77777777" w:rsidR="00FE3BE4" w:rsidRPr="005F2D76" w:rsidRDefault="00FE3BE4" w:rsidP="008D4E1E">
            <w:pPr>
              <w:spacing w:before="100" w:beforeAutospacing="1" w:after="100" w:afterAutospacing="1" w:line="240" w:lineRule="auto"/>
              <w:jc w:val="center"/>
              <w:rPr>
                <w:sz w:val="18"/>
                <w:szCs w:val="18"/>
                <w:lang w:val="hy-AM"/>
              </w:rPr>
            </w:pPr>
            <w:r>
              <w:rPr>
                <w:sz w:val="18"/>
                <w:szCs w:val="18"/>
                <w:lang w:val="hy-AM"/>
              </w:rPr>
              <w:t>3.1</w:t>
            </w:r>
          </w:p>
        </w:tc>
        <w:tc>
          <w:tcPr>
            <w:tcW w:w="973" w:type="dxa"/>
            <w:vAlign w:val="center"/>
            <w:hideMark/>
          </w:tcPr>
          <w:p w14:paraId="5B06CED0" w14:textId="77777777" w:rsidR="00FE3BE4" w:rsidRPr="003C098E" w:rsidRDefault="00FE3BE4" w:rsidP="008D4E1E">
            <w:pPr>
              <w:spacing w:before="100" w:beforeAutospacing="1" w:after="100" w:afterAutospacing="1" w:line="240" w:lineRule="auto"/>
              <w:jc w:val="center"/>
              <w:rPr>
                <w:sz w:val="18"/>
                <w:szCs w:val="18"/>
              </w:rPr>
            </w:pPr>
            <w:r>
              <w:rPr>
                <w:sz w:val="18"/>
                <w:szCs w:val="18"/>
                <w:lang w:val="hy-AM"/>
              </w:rPr>
              <w:t>3</w:t>
            </w:r>
            <w:r w:rsidRPr="003C098E">
              <w:rPr>
                <w:sz w:val="18"/>
                <w:szCs w:val="18"/>
              </w:rPr>
              <w:t>.0</w:t>
            </w:r>
          </w:p>
        </w:tc>
      </w:tr>
      <w:tr w:rsidR="00FE3BE4" w:rsidRPr="003C098E" w14:paraId="71E07F8A" w14:textId="77777777" w:rsidTr="008D4E1E">
        <w:trPr>
          <w:trHeight w:val="288"/>
        </w:trPr>
        <w:tc>
          <w:tcPr>
            <w:tcW w:w="2780" w:type="dxa"/>
            <w:vAlign w:val="center"/>
            <w:hideMark/>
          </w:tcPr>
          <w:p w14:paraId="328DD85E" w14:textId="77777777" w:rsidR="00FE3BE4" w:rsidRPr="003C098E" w:rsidRDefault="00FE3BE4" w:rsidP="008D4E1E">
            <w:pPr>
              <w:spacing w:before="100" w:beforeAutospacing="1" w:after="100" w:afterAutospacing="1" w:line="240" w:lineRule="auto"/>
              <w:rPr>
                <w:sz w:val="18"/>
                <w:szCs w:val="18"/>
              </w:rPr>
            </w:pPr>
            <w:r w:rsidRPr="003C098E">
              <w:rPr>
                <w:sz w:val="18"/>
                <w:szCs w:val="18"/>
              </w:rPr>
              <w:t>Գնաճ (միջին), %</w:t>
            </w:r>
          </w:p>
        </w:tc>
        <w:tc>
          <w:tcPr>
            <w:tcW w:w="1104" w:type="dxa"/>
            <w:vAlign w:val="center"/>
            <w:hideMark/>
          </w:tcPr>
          <w:p w14:paraId="06B262BF" w14:textId="77777777" w:rsidR="00FE3BE4" w:rsidRPr="005F2D76" w:rsidRDefault="00FE3BE4" w:rsidP="008D4E1E">
            <w:pPr>
              <w:spacing w:before="100" w:beforeAutospacing="1" w:after="100" w:afterAutospacing="1" w:line="240" w:lineRule="auto"/>
              <w:jc w:val="center"/>
              <w:rPr>
                <w:sz w:val="18"/>
                <w:szCs w:val="18"/>
                <w:lang w:val="hy-AM"/>
              </w:rPr>
            </w:pPr>
            <w:r>
              <w:rPr>
                <w:sz w:val="18"/>
                <w:szCs w:val="18"/>
                <w:lang w:val="hy-AM"/>
              </w:rPr>
              <w:t>8.6</w:t>
            </w:r>
          </w:p>
        </w:tc>
        <w:tc>
          <w:tcPr>
            <w:tcW w:w="1050" w:type="dxa"/>
            <w:vAlign w:val="center"/>
            <w:hideMark/>
          </w:tcPr>
          <w:p w14:paraId="0482EFA4" w14:textId="77777777" w:rsidR="00FE3BE4" w:rsidRPr="003C098E" w:rsidRDefault="00FE3BE4" w:rsidP="008D4E1E">
            <w:pPr>
              <w:spacing w:before="100" w:beforeAutospacing="1" w:after="100" w:afterAutospacing="1" w:line="240" w:lineRule="auto"/>
              <w:jc w:val="center"/>
              <w:rPr>
                <w:sz w:val="18"/>
                <w:szCs w:val="18"/>
              </w:rPr>
            </w:pPr>
            <w:r w:rsidRPr="003C098E">
              <w:rPr>
                <w:sz w:val="18"/>
                <w:szCs w:val="18"/>
              </w:rPr>
              <w:t>2.0</w:t>
            </w:r>
          </w:p>
        </w:tc>
        <w:tc>
          <w:tcPr>
            <w:tcW w:w="1010" w:type="dxa"/>
            <w:vAlign w:val="center"/>
            <w:hideMark/>
          </w:tcPr>
          <w:p w14:paraId="2E30072C" w14:textId="77777777" w:rsidR="00FE3BE4" w:rsidRPr="003C098E" w:rsidRDefault="00FE3BE4" w:rsidP="008D4E1E">
            <w:pPr>
              <w:spacing w:before="100" w:beforeAutospacing="1" w:after="100" w:afterAutospacing="1" w:line="240" w:lineRule="auto"/>
              <w:jc w:val="center"/>
              <w:rPr>
                <w:sz w:val="18"/>
                <w:szCs w:val="18"/>
              </w:rPr>
            </w:pPr>
            <w:r>
              <w:rPr>
                <w:sz w:val="18"/>
                <w:szCs w:val="18"/>
              </w:rPr>
              <w:t>0.</w:t>
            </w:r>
            <w:r>
              <w:rPr>
                <w:sz w:val="18"/>
                <w:szCs w:val="18"/>
                <w:lang w:val="hy-AM"/>
              </w:rPr>
              <w:t>3</w:t>
            </w:r>
          </w:p>
        </w:tc>
        <w:tc>
          <w:tcPr>
            <w:tcW w:w="1058" w:type="dxa"/>
            <w:vAlign w:val="center"/>
            <w:hideMark/>
          </w:tcPr>
          <w:p w14:paraId="038FFD5A" w14:textId="77777777" w:rsidR="00FE3BE4" w:rsidRPr="005F2D76" w:rsidRDefault="00FE3BE4" w:rsidP="008D4E1E">
            <w:pPr>
              <w:spacing w:before="100" w:beforeAutospacing="1" w:after="100" w:afterAutospacing="1" w:line="240" w:lineRule="auto"/>
              <w:jc w:val="center"/>
              <w:rPr>
                <w:sz w:val="18"/>
                <w:szCs w:val="18"/>
                <w:lang w:val="hy-AM"/>
              </w:rPr>
            </w:pPr>
            <w:r>
              <w:rPr>
                <w:sz w:val="18"/>
                <w:szCs w:val="18"/>
                <w:lang w:val="hy-AM"/>
              </w:rPr>
              <w:t>3</w:t>
            </w:r>
            <w:r>
              <w:rPr>
                <w:sz w:val="18"/>
                <w:szCs w:val="18"/>
              </w:rPr>
              <w:t>.</w:t>
            </w:r>
            <w:r>
              <w:rPr>
                <w:sz w:val="18"/>
                <w:szCs w:val="18"/>
                <w:lang w:val="hy-AM"/>
              </w:rPr>
              <w:t>3</w:t>
            </w:r>
          </w:p>
        </w:tc>
        <w:tc>
          <w:tcPr>
            <w:tcW w:w="951" w:type="dxa"/>
            <w:vAlign w:val="center"/>
            <w:hideMark/>
          </w:tcPr>
          <w:p w14:paraId="45F71B6B" w14:textId="77777777" w:rsidR="00FE3BE4" w:rsidRPr="005F2D76" w:rsidRDefault="00FE3BE4" w:rsidP="008D4E1E">
            <w:pPr>
              <w:spacing w:before="100" w:beforeAutospacing="1" w:after="100" w:afterAutospacing="1" w:line="240" w:lineRule="auto"/>
              <w:jc w:val="center"/>
              <w:rPr>
                <w:sz w:val="18"/>
                <w:szCs w:val="18"/>
                <w:lang w:val="hy-AM"/>
              </w:rPr>
            </w:pPr>
            <w:r>
              <w:rPr>
                <w:sz w:val="18"/>
                <w:szCs w:val="18"/>
              </w:rPr>
              <w:t>3.</w:t>
            </w:r>
            <w:r>
              <w:rPr>
                <w:sz w:val="18"/>
                <w:szCs w:val="18"/>
                <w:lang w:val="hy-AM"/>
              </w:rPr>
              <w:t>1</w:t>
            </w:r>
          </w:p>
        </w:tc>
        <w:tc>
          <w:tcPr>
            <w:tcW w:w="964" w:type="dxa"/>
            <w:vAlign w:val="center"/>
            <w:hideMark/>
          </w:tcPr>
          <w:p w14:paraId="33E3BAC7" w14:textId="77777777" w:rsidR="00FE3BE4" w:rsidRPr="003C098E" w:rsidRDefault="00FE3BE4" w:rsidP="008D4E1E">
            <w:pPr>
              <w:spacing w:before="100" w:beforeAutospacing="1" w:after="100" w:afterAutospacing="1" w:line="240" w:lineRule="auto"/>
              <w:jc w:val="center"/>
              <w:rPr>
                <w:sz w:val="18"/>
                <w:szCs w:val="18"/>
              </w:rPr>
            </w:pPr>
            <w:r>
              <w:rPr>
                <w:sz w:val="18"/>
                <w:szCs w:val="18"/>
                <w:lang w:val="hy-AM"/>
              </w:rPr>
              <w:t>3</w:t>
            </w:r>
            <w:r w:rsidRPr="003C098E">
              <w:rPr>
                <w:sz w:val="18"/>
                <w:szCs w:val="18"/>
              </w:rPr>
              <w:t>.0</w:t>
            </w:r>
          </w:p>
        </w:tc>
        <w:tc>
          <w:tcPr>
            <w:tcW w:w="973" w:type="dxa"/>
            <w:vAlign w:val="center"/>
            <w:hideMark/>
          </w:tcPr>
          <w:p w14:paraId="42813524" w14:textId="77777777" w:rsidR="00FE3BE4" w:rsidRPr="003C098E" w:rsidRDefault="00FE3BE4" w:rsidP="008D4E1E">
            <w:pPr>
              <w:spacing w:before="100" w:beforeAutospacing="1" w:after="100" w:afterAutospacing="1" w:line="240" w:lineRule="auto"/>
              <w:jc w:val="center"/>
              <w:rPr>
                <w:sz w:val="18"/>
                <w:szCs w:val="18"/>
              </w:rPr>
            </w:pPr>
            <w:r>
              <w:rPr>
                <w:sz w:val="18"/>
                <w:szCs w:val="18"/>
                <w:lang w:val="hy-AM"/>
              </w:rPr>
              <w:t>3</w:t>
            </w:r>
            <w:r w:rsidRPr="003C098E">
              <w:rPr>
                <w:sz w:val="18"/>
                <w:szCs w:val="18"/>
              </w:rPr>
              <w:t>.0</w:t>
            </w:r>
          </w:p>
        </w:tc>
      </w:tr>
      <w:tr w:rsidR="00FE3BE4" w:rsidRPr="003C098E" w14:paraId="5D7E6A01" w14:textId="77777777" w:rsidTr="008D4E1E">
        <w:trPr>
          <w:trHeight w:val="288"/>
        </w:trPr>
        <w:tc>
          <w:tcPr>
            <w:tcW w:w="9890" w:type="dxa"/>
            <w:gridSpan w:val="8"/>
            <w:shd w:val="clear" w:color="auto" w:fill="D5DCE4" w:themeFill="text2" w:themeFillTint="33"/>
            <w:noWrap/>
            <w:vAlign w:val="center"/>
            <w:hideMark/>
          </w:tcPr>
          <w:p w14:paraId="4C89CCB0" w14:textId="77777777" w:rsidR="00FE3BE4" w:rsidRPr="003C098E" w:rsidRDefault="00FE3BE4" w:rsidP="008D4E1E">
            <w:pPr>
              <w:spacing w:before="100" w:beforeAutospacing="1" w:after="100" w:afterAutospacing="1" w:line="240" w:lineRule="auto"/>
              <w:rPr>
                <w:sz w:val="18"/>
                <w:szCs w:val="18"/>
              </w:rPr>
            </w:pPr>
            <w:r w:rsidRPr="003C098E">
              <w:rPr>
                <w:sz w:val="18"/>
                <w:szCs w:val="18"/>
              </w:rPr>
              <w:t>ՀՆԱ իրական աճն ըստ ճյուղերի ավելացված արժեքների, %</w:t>
            </w:r>
          </w:p>
        </w:tc>
      </w:tr>
      <w:tr w:rsidR="00FE3BE4" w:rsidRPr="003C098E" w14:paraId="7D5B0747" w14:textId="77777777" w:rsidTr="008D4E1E">
        <w:trPr>
          <w:trHeight w:val="288"/>
        </w:trPr>
        <w:tc>
          <w:tcPr>
            <w:tcW w:w="2780" w:type="dxa"/>
            <w:noWrap/>
            <w:vAlign w:val="center"/>
            <w:hideMark/>
          </w:tcPr>
          <w:p w14:paraId="55B5A20C" w14:textId="77777777" w:rsidR="00FE3BE4" w:rsidRPr="003C098E" w:rsidRDefault="00FE3BE4" w:rsidP="008D4E1E">
            <w:pPr>
              <w:spacing w:before="100" w:beforeAutospacing="1" w:after="100" w:afterAutospacing="1" w:line="240" w:lineRule="auto"/>
              <w:rPr>
                <w:sz w:val="18"/>
                <w:szCs w:val="18"/>
              </w:rPr>
            </w:pPr>
            <w:r w:rsidRPr="003C098E">
              <w:rPr>
                <w:sz w:val="18"/>
                <w:szCs w:val="18"/>
              </w:rPr>
              <w:t>Արդյունաբերություն</w:t>
            </w:r>
          </w:p>
        </w:tc>
        <w:tc>
          <w:tcPr>
            <w:tcW w:w="1104" w:type="dxa"/>
            <w:vAlign w:val="center"/>
            <w:hideMark/>
          </w:tcPr>
          <w:p w14:paraId="34167F9A" w14:textId="77777777" w:rsidR="00FE3BE4" w:rsidRPr="003C098E" w:rsidRDefault="00FE3BE4" w:rsidP="008D4E1E">
            <w:pPr>
              <w:spacing w:before="100" w:beforeAutospacing="1" w:after="100" w:afterAutospacing="1" w:line="240" w:lineRule="auto"/>
              <w:jc w:val="center"/>
              <w:rPr>
                <w:sz w:val="18"/>
                <w:szCs w:val="18"/>
              </w:rPr>
            </w:pPr>
            <w:r w:rsidRPr="00120506">
              <w:rPr>
                <w:sz w:val="18"/>
                <w:szCs w:val="18"/>
              </w:rPr>
              <w:t>6.9</w:t>
            </w:r>
          </w:p>
        </w:tc>
        <w:tc>
          <w:tcPr>
            <w:tcW w:w="1050" w:type="dxa"/>
            <w:vAlign w:val="center"/>
            <w:hideMark/>
          </w:tcPr>
          <w:p w14:paraId="5E29F73B" w14:textId="77777777" w:rsidR="00FE3BE4" w:rsidRPr="003C098E" w:rsidRDefault="00FE3BE4" w:rsidP="008D4E1E">
            <w:pPr>
              <w:spacing w:before="100" w:beforeAutospacing="1" w:after="100" w:afterAutospacing="1" w:line="240" w:lineRule="auto"/>
              <w:jc w:val="center"/>
              <w:rPr>
                <w:sz w:val="18"/>
                <w:szCs w:val="18"/>
              </w:rPr>
            </w:pPr>
            <w:r w:rsidRPr="00120506">
              <w:rPr>
                <w:sz w:val="18"/>
                <w:szCs w:val="18"/>
              </w:rPr>
              <w:t>-3.0</w:t>
            </w:r>
          </w:p>
        </w:tc>
        <w:tc>
          <w:tcPr>
            <w:tcW w:w="1010" w:type="dxa"/>
            <w:vAlign w:val="center"/>
            <w:hideMark/>
          </w:tcPr>
          <w:p w14:paraId="0AFE8CCC" w14:textId="77777777" w:rsidR="00FE3BE4" w:rsidRPr="003C098E" w:rsidRDefault="00FE3BE4" w:rsidP="008D4E1E">
            <w:pPr>
              <w:spacing w:before="100" w:beforeAutospacing="1" w:after="100" w:afterAutospacing="1" w:line="240" w:lineRule="auto"/>
              <w:jc w:val="center"/>
              <w:rPr>
                <w:sz w:val="18"/>
                <w:szCs w:val="18"/>
              </w:rPr>
            </w:pPr>
            <w:r w:rsidRPr="00120506">
              <w:rPr>
                <w:sz w:val="18"/>
                <w:szCs w:val="18"/>
              </w:rPr>
              <w:t>3.6</w:t>
            </w:r>
          </w:p>
        </w:tc>
        <w:tc>
          <w:tcPr>
            <w:tcW w:w="1058" w:type="dxa"/>
            <w:vAlign w:val="center"/>
            <w:hideMark/>
          </w:tcPr>
          <w:p w14:paraId="626C12F9" w14:textId="77777777" w:rsidR="00FE3BE4" w:rsidRPr="003C098E" w:rsidRDefault="00FE3BE4" w:rsidP="008D4E1E">
            <w:pPr>
              <w:spacing w:before="100" w:beforeAutospacing="1" w:after="100" w:afterAutospacing="1" w:line="240" w:lineRule="auto"/>
              <w:jc w:val="center"/>
              <w:rPr>
                <w:sz w:val="18"/>
                <w:szCs w:val="18"/>
              </w:rPr>
            </w:pPr>
            <w:r w:rsidRPr="00D06A2D">
              <w:rPr>
                <w:sz w:val="18"/>
                <w:szCs w:val="18"/>
              </w:rPr>
              <w:t>0.2</w:t>
            </w:r>
          </w:p>
        </w:tc>
        <w:tc>
          <w:tcPr>
            <w:tcW w:w="951" w:type="dxa"/>
            <w:vAlign w:val="center"/>
            <w:hideMark/>
          </w:tcPr>
          <w:p w14:paraId="6720C261" w14:textId="77777777" w:rsidR="00FE3BE4" w:rsidRPr="003C098E" w:rsidRDefault="00FE3BE4" w:rsidP="008D4E1E">
            <w:pPr>
              <w:spacing w:before="100" w:beforeAutospacing="1" w:after="100" w:afterAutospacing="1" w:line="240" w:lineRule="auto"/>
              <w:jc w:val="center"/>
              <w:rPr>
                <w:sz w:val="18"/>
                <w:szCs w:val="18"/>
              </w:rPr>
            </w:pPr>
            <w:r w:rsidRPr="00D06A2D">
              <w:rPr>
                <w:sz w:val="18"/>
                <w:szCs w:val="18"/>
              </w:rPr>
              <w:t>8.2</w:t>
            </w:r>
          </w:p>
        </w:tc>
        <w:tc>
          <w:tcPr>
            <w:tcW w:w="964" w:type="dxa"/>
            <w:vAlign w:val="center"/>
            <w:hideMark/>
          </w:tcPr>
          <w:p w14:paraId="6ECE00F7" w14:textId="77777777" w:rsidR="00FE3BE4" w:rsidRPr="003C098E" w:rsidRDefault="00FE3BE4" w:rsidP="008D4E1E">
            <w:pPr>
              <w:spacing w:before="100" w:beforeAutospacing="1" w:after="100" w:afterAutospacing="1" w:line="240" w:lineRule="auto"/>
              <w:jc w:val="center"/>
              <w:rPr>
                <w:sz w:val="18"/>
                <w:szCs w:val="18"/>
              </w:rPr>
            </w:pPr>
            <w:r w:rsidRPr="00D06A2D">
              <w:rPr>
                <w:sz w:val="18"/>
                <w:szCs w:val="18"/>
              </w:rPr>
              <w:t>8.2</w:t>
            </w:r>
          </w:p>
        </w:tc>
        <w:tc>
          <w:tcPr>
            <w:tcW w:w="973" w:type="dxa"/>
            <w:vAlign w:val="center"/>
            <w:hideMark/>
          </w:tcPr>
          <w:p w14:paraId="7007FBFD" w14:textId="77777777" w:rsidR="00FE3BE4" w:rsidRPr="003C098E" w:rsidRDefault="00FE3BE4" w:rsidP="008D4E1E">
            <w:pPr>
              <w:spacing w:before="100" w:beforeAutospacing="1" w:after="100" w:afterAutospacing="1" w:line="240" w:lineRule="auto"/>
              <w:jc w:val="center"/>
              <w:rPr>
                <w:sz w:val="18"/>
                <w:szCs w:val="18"/>
              </w:rPr>
            </w:pPr>
            <w:r w:rsidRPr="00D06A2D">
              <w:rPr>
                <w:sz w:val="18"/>
                <w:szCs w:val="18"/>
              </w:rPr>
              <w:t>5.4</w:t>
            </w:r>
          </w:p>
        </w:tc>
      </w:tr>
      <w:tr w:rsidR="00FE3BE4" w:rsidRPr="003C098E" w14:paraId="54DF933F" w14:textId="77777777" w:rsidTr="008D4E1E">
        <w:trPr>
          <w:trHeight w:val="288"/>
        </w:trPr>
        <w:tc>
          <w:tcPr>
            <w:tcW w:w="2780" w:type="dxa"/>
            <w:vAlign w:val="center"/>
            <w:hideMark/>
          </w:tcPr>
          <w:p w14:paraId="28331E10" w14:textId="77777777" w:rsidR="00FE3BE4" w:rsidRPr="003C098E" w:rsidRDefault="00FE3BE4" w:rsidP="008D4E1E">
            <w:pPr>
              <w:spacing w:before="100" w:beforeAutospacing="1" w:after="100" w:afterAutospacing="1" w:line="240" w:lineRule="auto"/>
              <w:rPr>
                <w:sz w:val="18"/>
                <w:szCs w:val="18"/>
              </w:rPr>
            </w:pPr>
            <w:r w:rsidRPr="003C098E">
              <w:rPr>
                <w:sz w:val="18"/>
                <w:szCs w:val="18"/>
              </w:rPr>
              <w:t xml:space="preserve">Գյուղատնտեսություն </w:t>
            </w:r>
          </w:p>
        </w:tc>
        <w:tc>
          <w:tcPr>
            <w:tcW w:w="1104" w:type="dxa"/>
            <w:vAlign w:val="center"/>
            <w:hideMark/>
          </w:tcPr>
          <w:p w14:paraId="4C151B9C" w14:textId="77777777" w:rsidR="00FE3BE4" w:rsidRPr="003C098E" w:rsidRDefault="00FE3BE4" w:rsidP="008D4E1E">
            <w:pPr>
              <w:spacing w:before="100" w:beforeAutospacing="1" w:after="100" w:afterAutospacing="1" w:line="240" w:lineRule="auto"/>
              <w:jc w:val="center"/>
              <w:rPr>
                <w:sz w:val="18"/>
                <w:szCs w:val="18"/>
              </w:rPr>
            </w:pPr>
            <w:r w:rsidRPr="00120506">
              <w:rPr>
                <w:sz w:val="18"/>
                <w:szCs w:val="18"/>
              </w:rPr>
              <w:t>-2.8</w:t>
            </w:r>
          </w:p>
        </w:tc>
        <w:tc>
          <w:tcPr>
            <w:tcW w:w="1050" w:type="dxa"/>
            <w:vAlign w:val="center"/>
            <w:hideMark/>
          </w:tcPr>
          <w:p w14:paraId="60D11AAB" w14:textId="77777777" w:rsidR="00FE3BE4" w:rsidRPr="003C098E" w:rsidRDefault="00FE3BE4" w:rsidP="008D4E1E">
            <w:pPr>
              <w:spacing w:before="100" w:beforeAutospacing="1" w:after="100" w:afterAutospacing="1" w:line="240" w:lineRule="auto"/>
              <w:jc w:val="center"/>
              <w:rPr>
                <w:sz w:val="18"/>
                <w:szCs w:val="18"/>
              </w:rPr>
            </w:pPr>
            <w:r w:rsidRPr="00120506">
              <w:rPr>
                <w:sz w:val="18"/>
                <w:szCs w:val="18"/>
              </w:rPr>
              <w:t>-0.4</w:t>
            </w:r>
          </w:p>
        </w:tc>
        <w:tc>
          <w:tcPr>
            <w:tcW w:w="1010" w:type="dxa"/>
            <w:vAlign w:val="center"/>
            <w:hideMark/>
          </w:tcPr>
          <w:p w14:paraId="50F8FAA5" w14:textId="77777777" w:rsidR="00FE3BE4" w:rsidRPr="003C098E" w:rsidRDefault="00FE3BE4" w:rsidP="008D4E1E">
            <w:pPr>
              <w:spacing w:before="100" w:beforeAutospacing="1" w:after="100" w:afterAutospacing="1" w:line="240" w:lineRule="auto"/>
              <w:jc w:val="center"/>
              <w:rPr>
                <w:sz w:val="18"/>
                <w:szCs w:val="18"/>
              </w:rPr>
            </w:pPr>
            <w:r w:rsidRPr="00120506">
              <w:rPr>
                <w:sz w:val="18"/>
                <w:szCs w:val="18"/>
              </w:rPr>
              <w:t>1.5</w:t>
            </w:r>
          </w:p>
        </w:tc>
        <w:tc>
          <w:tcPr>
            <w:tcW w:w="1058" w:type="dxa"/>
            <w:vAlign w:val="center"/>
            <w:hideMark/>
          </w:tcPr>
          <w:p w14:paraId="7AB474B0" w14:textId="77777777" w:rsidR="00FE3BE4" w:rsidRPr="003C098E" w:rsidRDefault="00FE3BE4" w:rsidP="008D4E1E">
            <w:pPr>
              <w:spacing w:before="100" w:beforeAutospacing="1" w:after="100" w:afterAutospacing="1" w:line="240" w:lineRule="auto"/>
              <w:jc w:val="center"/>
              <w:rPr>
                <w:sz w:val="18"/>
                <w:szCs w:val="18"/>
              </w:rPr>
            </w:pPr>
            <w:r w:rsidRPr="00D06A2D">
              <w:rPr>
                <w:sz w:val="18"/>
                <w:szCs w:val="18"/>
              </w:rPr>
              <w:t>3.4</w:t>
            </w:r>
          </w:p>
        </w:tc>
        <w:tc>
          <w:tcPr>
            <w:tcW w:w="951" w:type="dxa"/>
            <w:vAlign w:val="center"/>
            <w:hideMark/>
          </w:tcPr>
          <w:p w14:paraId="77ED8197" w14:textId="77777777" w:rsidR="00FE3BE4" w:rsidRPr="003C098E" w:rsidRDefault="00FE3BE4" w:rsidP="008D4E1E">
            <w:pPr>
              <w:spacing w:before="100" w:beforeAutospacing="1" w:after="100" w:afterAutospacing="1" w:line="240" w:lineRule="auto"/>
              <w:jc w:val="center"/>
              <w:rPr>
                <w:sz w:val="18"/>
                <w:szCs w:val="18"/>
              </w:rPr>
            </w:pPr>
            <w:r w:rsidRPr="00D06A2D">
              <w:rPr>
                <w:sz w:val="18"/>
                <w:szCs w:val="18"/>
              </w:rPr>
              <w:t>2.7</w:t>
            </w:r>
          </w:p>
        </w:tc>
        <w:tc>
          <w:tcPr>
            <w:tcW w:w="964" w:type="dxa"/>
            <w:vAlign w:val="center"/>
            <w:hideMark/>
          </w:tcPr>
          <w:p w14:paraId="6D916F38" w14:textId="77777777" w:rsidR="00FE3BE4" w:rsidRPr="003C098E" w:rsidRDefault="00FE3BE4" w:rsidP="008D4E1E">
            <w:pPr>
              <w:spacing w:before="100" w:beforeAutospacing="1" w:after="100" w:afterAutospacing="1" w:line="240" w:lineRule="auto"/>
              <w:jc w:val="center"/>
              <w:rPr>
                <w:sz w:val="18"/>
                <w:szCs w:val="18"/>
              </w:rPr>
            </w:pPr>
            <w:r w:rsidRPr="00D06A2D">
              <w:rPr>
                <w:sz w:val="18"/>
                <w:szCs w:val="18"/>
              </w:rPr>
              <w:t>2.7</w:t>
            </w:r>
          </w:p>
        </w:tc>
        <w:tc>
          <w:tcPr>
            <w:tcW w:w="973" w:type="dxa"/>
            <w:vAlign w:val="center"/>
            <w:hideMark/>
          </w:tcPr>
          <w:p w14:paraId="7F64B0CD" w14:textId="77777777" w:rsidR="00FE3BE4" w:rsidRPr="003C098E" w:rsidRDefault="00FE3BE4" w:rsidP="008D4E1E">
            <w:pPr>
              <w:spacing w:before="100" w:beforeAutospacing="1" w:after="100" w:afterAutospacing="1" w:line="240" w:lineRule="auto"/>
              <w:jc w:val="center"/>
              <w:rPr>
                <w:sz w:val="18"/>
                <w:szCs w:val="18"/>
              </w:rPr>
            </w:pPr>
            <w:r w:rsidRPr="00D06A2D">
              <w:rPr>
                <w:sz w:val="18"/>
                <w:szCs w:val="18"/>
              </w:rPr>
              <w:t>2.6</w:t>
            </w:r>
          </w:p>
        </w:tc>
      </w:tr>
      <w:tr w:rsidR="00FE3BE4" w:rsidRPr="003C098E" w14:paraId="3A7ABEDA" w14:textId="77777777" w:rsidTr="008D4E1E">
        <w:trPr>
          <w:trHeight w:val="288"/>
        </w:trPr>
        <w:tc>
          <w:tcPr>
            <w:tcW w:w="2780" w:type="dxa"/>
            <w:noWrap/>
            <w:vAlign w:val="center"/>
            <w:hideMark/>
          </w:tcPr>
          <w:p w14:paraId="2020AB95" w14:textId="77777777" w:rsidR="00FE3BE4" w:rsidRPr="003C098E" w:rsidRDefault="00FE3BE4" w:rsidP="008D4E1E">
            <w:pPr>
              <w:spacing w:before="100" w:beforeAutospacing="1" w:after="100" w:afterAutospacing="1" w:line="240" w:lineRule="auto"/>
              <w:rPr>
                <w:sz w:val="18"/>
                <w:szCs w:val="18"/>
              </w:rPr>
            </w:pPr>
            <w:r w:rsidRPr="003C098E">
              <w:rPr>
                <w:sz w:val="18"/>
                <w:szCs w:val="18"/>
              </w:rPr>
              <w:t xml:space="preserve">Շինարարություն </w:t>
            </w:r>
          </w:p>
        </w:tc>
        <w:tc>
          <w:tcPr>
            <w:tcW w:w="1104" w:type="dxa"/>
            <w:vAlign w:val="center"/>
            <w:hideMark/>
          </w:tcPr>
          <w:p w14:paraId="206348D9" w14:textId="77777777" w:rsidR="00FE3BE4" w:rsidRPr="003C098E" w:rsidRDefault="00FE3BE4" w:rsidP="008D4E1E">
            <w:pPr>
              <w:spacing w:before="100" w:beforeAutospacing="1" w:after="100" w:afterAutospacing="1" w:line="240" w:lineRule="auto"/>
              <w:jc w:val="center"/>
              <w:rPr>
                <w:sz w:val="18"/>
                <w:szCs w:val="18"/>
              </w:rPr>
            </w:pPr>
            <w:r w:rsidRPr="00D06A2D">
              <w:rPr>
                <w:sz w:val="18"/>
                <w:szCs w:val="18"/>
              </w:rPr>
              <w:t>18.6</w:t>
            </w:r>
          </w:p>
        </w:tc>
        <w:tc>
          <w:tcPr>
            <w:tcW w:w="1050" w:type="dxa"/>
            <w:vAlign w:val="center"/>
            <w:hideMark/>
          </w:tcPr>
          <w:p w14:paraId="1BEE7EE2" w14:textId="77777777" w:rsidR="00FE3BE4" w:rsidRPr="003C098E" w:rsidRDefault="00FE3BE4" w:rsidP="008D4E1E">
            <w:pPr>
              <w:spacing w:before="100" w:beforeAutospacing="1" w:after="100" w:afterAutospacing="1" w:line="240" w:lineRule="auto"/>
              <w:jc w:val="center"/>
              <w:rPr>
                <w:sz w:val="18"/>
                <w:szCs w:val="18"/>
              </w:rPr>
            </w:pPr>
            <w:r w:rsidRPr="00D06A2D">
              <w:rPr>
                <w:sz w:val="18"/>
                <w:szCs w:val="18"/>
              </w:rPr>
              <w:t>15.6</w:t>
            </w:r>
          </w:p>
        </w:tc>
        <w:tc>
          <w:tcPr>
            <w:tcW w:w="1010" w:type="dxa"/>
            <w:vAlign w:val="center"/>
            <w:hideMark/>
          </w:tcPr>
          <w:p w14:paraId="2786539C" w14:textId="77777777" w:rsidR="00FE3BE4" w:rsidRPr="003C098E" w:rsidRDefault="00FE3BE4" w:rsidP="008D4E1E">
            <w:pPr>
              <w:spacing w:before="100" w:beforeAutospacing="1" w:after="100" w:afterAutospacing="1" w:line="240" w:lineRule="auto"/>
              <w:jc w:val="center"/>
              <w:rPr>
                <w:sz w:val="18"/>
                <w:szCs w:val="18"/>
              </w:rPr>
            </w:pPr>
            <w:r w:rsidRPr="00D06A2D">
              <w:rPr>
                <w:sz w:val="18"/>
                <w:szCs w:val="18"/>
              </w:rPr>
              <w:t>14.1</w:t>
            </w:r>
          </w:p>
        </w:tc>
        <w:tc>
          <w:tcPr>
            <w:tcW w:w="1058" w:type="dxa"/>
            <w:vAlign w:val="center"/>
            <w:hideMark/>
          </w:tcPr>
          <w:p w14:paraId="6742414A" w14:textId="77777777" w:rsidR="00FE3BE4" w:rsidRPr="003C098E" w:rsidRDefault="00FE3BE4" w:rsidP="008D4E1E">
            <w:pPr>
              <w:spacing w:before="100" w:beforeAutospacing="1" w:after="100" w:afterAutospacing="1" w:line="240" w:lineRule="auto"/>
              <w:jc w:val="center"/>
              <w:rPr>
                <w:sz w:val="18"/>
                <w:szCs w:val="18"/>
              </w:rPr>
            </w:pPr>
            <w:r w:rsidRPr="00D06A2D">
              <w:rPr>
                <w:sz w:val="18"/>
                <w:szCs w:val="18"/>
              </w:rPr>
              <w:t>16.0</w:t>
            </w:r>
          </w:p>
        </w:tc>
        <w:tc>
          <w:tcPr>
            <w:tcW w:w="951" w:type="dxa"/>
            <w:vAlign w:val="center"/>
            <w:hideMark/>
          </w:tcPr>
          <w:p w14:paraId="73CFA7DE" w14:textId="77777777" w:rsidR="00FE3BE4" w:rsidRPr="003C098E" w:rsidRDefault="00FE3BE4" w:rsidP="008D4E1E">
            <w:pPr>
              <w:spacing w:before="100" w:beforeAutospacing="1" w:after="100" w:afterAutospacing="1" w:line="240" w:lineRule="auto"/>
              <w:jc w:val="center"/>
              <w:rPr>
                <w:sz w:val="18"/>
                <w:szCs w:val="18"/>
              </w:rPr>
            </w:pPr>
            <w:r w:rsidRPr="00D06A2D">
              <w:rPr>
                <w:sz w:val="18"/>
                <w:szCs w:val="18"/>
              </w:rPr>
              <w:t>5.8</w:t>
            </w:r>
          </w:p>
        </w:tc>
        <w:tc>
          <w:tcPr>
            <w:tcW w:w="964" w:type="dxa"/>
            <w:vAlign w:val="center"/>
            <w:hideMark/>
          </w:tcPr>
          <w:p w14:paraId="0067F6C0" w14:textId="77777777" w:rsidR="00FE3BE4" w:rsidRPr="003C098E" w:rsidRDefault="00FE3BE4" w:rsidP="008D4E1E">
            <w:pPr>
              <w:spacing w:before="100" w:beforeAutospacing="1" w:after="100" w:afterAutospacing="1" w:line="240" w:lineRule="auto"/>
              <w:jc w:val="center"/>
              <w:rPr>
                <w:sz w:val="18"/>
                <w:szCs w:val="18"/>
              </w:rPr>
            </w:pPr>
            <w:r w:rsidRPr="00D06A2D">
              <w:rPr>
                <w:sz w:val="18"/>
                <w:szCs w:val="18"/>
              </w:rPr>
              <w:t>5.1</w:t>
            </w:r>
          </w:p>
        </w:tc>
        <w:tc>
          <w:tcPr>
            <w:tcW w:w="973" w:type="dxa"/>
            <w:vAlign w:val="center"/>
            <w:hideMark/>
          </w:tcPr>
          <w:p w14:paraId="2F71C40C" w14:textId="77777777" w:rsidR="00FE3BE4" w:rsidRPr="003C098E" w:rsidRDefault="00FE3BE4" w:rsidP="008D4E1E">
            <w:pPr>
              <w:spacing w:before="100" w:beforeAutospacing="1" w:after="100" w:afterAutospacing="1" w:line="240" w:lineRule="auto"/>
              <w:jc w:val="center"/>
              <w:rPr>
                <w:sz w:val="18"/>
                <w:szCs w:val="18"/>
              </w:rPr>
            </w:pPr>
            <w:r w:rsidRPr="00D06A2D">
              <w:rPr>
                <w:sz w:val="18"/>
                <w:szCs w:val="18"/>
              </w:rPr>
              <w:t>5.0</w:t>
            </w:r>
          </w:p>
        </w:tc>
      </w:tr>
      <w:tr w:rsidR="00FE3BE4" w:rsidRPr="003C098E" w14:paraId="37B04771" w14:textId="77777777" w:rsidTr="008D4E1E">
        <w:trPr>
          <w:trHeight w:val="288"/>
        </w:trPr>
        <w:tc>
          <w:tcPr>
            <w:tcW w:w="2780" w:type="dxa"/>
            <w:noWrap/>
            <w:vAlign w:val="center"/>
            <w:hideMark/>
          </w:tcPr>
          <w:p w14:paraId="11F885CB" w14:textId="77777777" w:rsidR="00FE3BE4" w:rsidRPr="003C098E" w:rsidRDefault="00FE3BE4" w:rsidP="008D4E1E">
            <w:pPr>
              <w:spacing w:before="100" w:beforeAutospacing="1" w:after="100" w:afterAutospacing="1" w:line="240" w:lineRule="auto"/>
              <w:rPr>
                <w:sz w:val="18"/>
                <w:szCs w:val="18"/>
              </w:rPr>
            </w:pPr>
            <w:r w:rsidRPr="003C098E">
              <w:rPr>
                <w:sz w:val="18"/>
                <w:szCs w:val="18"/>
              </w:rPr>
              <w:t>Ծառայություններ</w:t>
            </w:r>
          </w:p>
        </w:tc>
        <w:tc>
          <w:tcPr>
            <w:tcW w:w="1104" w:type="dxa"/>
            <w:vAlign w:val="center"/>
            <w:hideMark/>
          </w:tcPr>
          <w:p w14:paraId="063172FF" w14:textId="77777777" w:rsidR="00FE3BE4" w:rsidRPr="003C098E" w:rsidRDefault="00FE3BE4" w:rsidP="008D4E1E">
            <w:pPr>
              <w:spacing w:before="100" w:beforeAutospacing="1" w:after="100" w:afterAutospacing="1" w:line="240" w:lineRule="auto"/>
              <w:jc w:val="center"/>
              <w:rPr>
                <w:sz w:val="18"/>
                <w:szCs w:val="18"/>
              </w:rPr>
            </w:pPr>
            <w:r w:rsidRPr="00D06A2D">
              <w:rPr>
                <w:sz w:val="18"/>
                <w:szCs w:val="18"/>
              </w:rPr>
              <w:t>18.4</w:t>
            </w:r>
          </w:p>
        </w:tc>
        <w:tc>
          <w:tcPr>
            <w:tcW w:w="1050" w:type="dxa"/>
            <w:vAlign w:val="center"/>
            <w:hideMark/>
          </w:tcPr>
          <w:p w14:paraId="32156798" w14:textId="77777777" w:rsidR="00FE3BE4" w:rsidRPr="003C098E" w:rsidRDefault="00FE3BE4" w:rsidP="008D4E1E">
            <w:pPr>
              <w:spacing w:before="100" w:beforeAutospacing="1" w:after="100" w:afterAutospacing="1" w:line="240" w:lineRule="auto"/>
              <w:jc w:val="center"/>
              <w:rPr>
                <w:sz w:val="18"/>
                <w:szCs w:val="18"/>
              </w:rPr>
            </w:pPr>
            <w:r w:rsidRPr="00D06A2D">
              <w:rPr>
                <w:sz w:val="18"/>
                <w:szCs w:val="18"/>
              </w:rPr>
              <w:t>12.5</w:t>
            </w:r>
          </w:p>
        </w:tc>
        <w:tc>
          <w:tcPr>
            <w:tcW w:w="1010" w:type="dxa"/>
            <w:vAlign w:val="center"/>
            <w:hideMark/>
          </w:tcPr>
          <w:p w14:paraId="7A340C94" w14:textId="77777777" w:rsidR="00FE3BE4" w:rsidRPr="003C098E" w:rsidRDefault="00FE3BE4" w:rsidP="008D4E1E">
            <w:pPr>
              <w:spacing w:before="100" w:beforeAutospacing="1" w:after="100" w:afterAutospacing="1" w:line="240" w:lineRule="auto"/>
              <w:jc w:val="center"/>
              <w:rPr>
                <w:sz w:val="18"/>
                <w:szCs w:val="18"/>
              </w:rPr>
            </w:pPr>
            <w:r w:rsidRPr="00D06A2D">
              <w:rPr>
                <w:sz w:val="18"/>
                <w:szCs w:val="18"/>
              </w:rPr>
              <w:t>7.5</w:t>
            </w:r>
          </w:p>
        </w:tc>
        <w:tc>
          <w:tcPr>
            <w:tcW w:w="1058" w:type="dxa"/>
            <w:vAlign w:val="center"/>
            <w:hideMark/>
          </w:tcPr>
          <w:p w14:paraId="39D38C37" w14:textId="77777777" w:rsidR="00FE3BE4" w:rsidRPr="003C098E" w:rsidRDefault="00FE3BE4" w:rsidP="008D4E1E">
            <w:pPr>
              <w:spacing w:before="100" w:beforeAutospacing="1" w:after="100" w:afterAutospacing="1" w:line="240" w:lineRule="auto"/>
              <w:jc w:val="center"/>
              <w:rPr>
                <w:sz w:val="18"/>
                <w:szCs w:val="18"/>
              </w:rPr>
            </w:pPr>
            <w:r w:rsidRPr="00D06A2D">
              <w:rPr>
                <w:sz w:val="18"/>
                <w:szCs w:val="18"/>
              </w:rPr>
              <w:t>4.2</w:t>
            </w:r>
          </w:p>
        </w:tc>
        <w:tc>
          <w:tcPr>
            <w:tcW w:w="951" w:type="dxa"/>
            <w:vAlign w:val="center"/>
            <w:hideMark/>
          </w:tcPr>
          <w:p w14:paraId="03B6FCF7" w14:textId="77777777" w:rsidR="00FE3BE4" w:rsidRPr="003C098E" w:rsidRDefault="00FE3BE4" w:rsidP="008D4E1E">
            <w:pPr>
              <w:spacing w:before="100" w:beforeAutospacing="1" w:after="100" w:afterAutospacing="1" w:line="240" w:lineRule="auto"/>
              <w:jc w:val="center"/>
              <w:rPr>
                <w:sz w:val="18"/>
                <w:szCs w:val="18"/>
              </w:rPr>
            </w:pPr>
            <w:r w:rsidRPr="00D06A2D">
              <w:rPr>
                <w:sz w:val="18"/>
                <w:szCs w:val="18"/>
              </w:rPr>
              <w:t>4.8</w:t>
            </w:r>
          </w:p>
        </w:tc>
        <w:tc>
          <w:tcPr>
            <w:tcW w:w="964" w:type="dxa"/>
            <w:vAlign w:val="center"/>
            <w:hideMark/>
          </w:tcPr>
          <w:p w14:paraId="1E13412F" w14:textId="77777777" w:rsidR="00FE3BE4" w:rsidRPr="003C098E" w:rsidRDefault="00FE3BE4" w:rsidP="008D4E1E">
            <w:pPr>
              <w:spacing w:before="100" w:beforeAutospacing="1" w:after="100" w:afterAutospacing="1" w:line="240" w:lineRule="auto"/>
              <w:jc w:val="center"/>
              <w:rPr>
                <w:sz w:val="18"/>
                <w:szCs w:val="18"/>
              </w:rPr>
            </w:pPr>
            <w:r w:rsidRPr="00D06A2D">
              <w:rPr>
                <w:sz w:val="18"/>
                <w:szCs w:val="18"/>
              </w:rPr>
              <w:t>5.0</w:t>
            </w:r>
          </w:p>
        </w:tc>
        <w:tc>
          <w:tcPr>
            <w:tcW w:w="973" w:type="dxa"/>
            <w:vAlign w:val="center"/>
            <w:hideMark/>
          </w:tcPr>
          <w:p w14:paraId="63B87D6A" w14:textId="77777777" w:rsidR="00FE3BE4" w:rsidRPr="003C098E" w:rsidRDefault="00FE3BE4" w:rsidP="008D4E1E">
            <w:pPr>
              <w:spacing w:before="100" w:beforeAutospacing="1" w:after="100" w:afterAutospacing="1" w:line="240" w:lineRule="auto"/>
              <w:jc w:val="center"/>
              <w:rPr>
                <w:sz w:val="18"/>
                <w:szCs w:val="18"/>
              </w:rPr>
            </w:pPr>
            <w:r w:rsidRPr="00D06A2D">
              <w:rPr>
                <w:sz w:val="18"/>
                <w:szCs w:val="18"/>
              </w:rPr>
              <w:t>5.6</w:t>
            </w:r>
          </w:p>
        </w:tc>
      </w:tr>
      <w:tr w:rsidR="00FE3BE4" w:rsidRPr="003C098E" w14:paraId="73D2D1A8" w14:textId="77777777" w:rsidTr="008D4E1E">
        <w:trPr>
          <w:trHeight w:val="288"/>
        </w:trPr>
        <w:tc>
          <w:tcPr>
            <w:tcW w:w="2780" w:type="dxa"/>
            <w:noWrap/>
            <w:vAlign w:val="center"/>
            <w:hideMark/>
          </w:tcPr>
          <w:p w14:paraId="00B17E2A" w14:textId="77777777" w:rsidR="00FE3BE4" w:rsidRPr="003C098E" w:rsidRDefault="00FE3BE4" w:rsidP="008D4E1E">
            <w:pPr>
              <w:spacing w:before="100" w:beforeAutospacing="1" w:after="100" w:afterAutospacing="1" w:line="240" w:lineRule="auto"/>
              <w:rPr>
                <w:sz w:val="18"/>
                <w:szCs w:val="18"/>
              </w:rPr>
            </w:pPr>
            <w:r w:rsidRPr="003C098E">
              <w:rPr>
                <w:sz w:val="18"/>
                <w:szCs w:val="18"/>
              </w:rPr>
              <w:t>Զուտ հարկեր</w:t>
            </w:r>
          </w:p>
        </w:tc>
        <w:tc>
          <w:tcPr>
            <w:tcW w:w="1104" w:type="dxa"/>
            <w:vAlign w:val="center"/>
            <w:hideMark/>
          </w:tcPr>
          <w:p w14:paraId="3441C901" w14:textId="77777777" w:rsidR="00FE3BE4" w:rsidRPr="003C098E" w:rsidRDefault="00FE3BE4" w:rsidP="008D4E1E">
            <w:pPr>
              <w:spacing w:before="100" w:beforeAutospacing="1" w:after="100" w:afterAutospacing="1" w:line="240" w:lineRule="auto"/>
              <w:jc w:val="center"/>
              <w:rPr>
                <w:sz w:val="18"/>
                <w:szCs w:val="18"/>
              </w:rPr>
            </w:pPr>
            <w:r w:rsidRPr="00D06A2D">
              <w:rPr>
                <w:sz w:val="18"/>
                <w:szCs w:val="18"/>
              </w:rPr>
              <w:t>8.1</w:t>
            </w:r>
          </w:p>
        </w:tc>
        <w:tc>
          <w:tcPr>
            <w:tcW w:w="1050" w:type="dxa"/>
            <w:vAlign w:val="center"/>
            <w:hideMark/>
          </w:tcPr>
          <w:p w14:paraId="5AC90A99" w14:textId="77777777" w:rsidR="00FE3BE4" w:rsidRPr="003C098E" w:rsidRDefault="00FE3BE4" w:rsidP="008D4E1E">
            <w:pPr>
              <w:spacing w:before="100" w:beforeAutospacing="1" w:after="100" w:afterAutospacing="1" w:line="240" w:lineRule="auto"/>
              <w:jc w:val="center"/>
              <w:rPr>
                <w:sz w:val="18"/>
                <w:szCs w:val="18"/>
              </w:rPr>
            </w:pPr>
            <w:r w:rsidRPr="00D06A2D">
              <w:rPr>
                <w:sz w:val="18"/>
                <w:szCs w:val="18"/>
              </w:rPr>
              <w:t>11.0</w:t>
            </w:r>
          </w:p>
        </w:tc>
        <w:tc>
          <w:tcPr>
            <w:tcW w:w="1010" w:type="dxa"/>
            <w:vAlign w:val="center"/>
            <w:hideMark/>
          </w:tcPr>
          <w:p w14:paraId="6DA86FC0" w14:textId="77777777" w:rsidR="00FE3BE4" w:rsidRPr="003C098E" w:rsidRDefault="00FE3BE4" w:rsidP="008D4E1E">
            <w:pPr>
              <w:spacing w:before="100" w:beforeAutospacing="1" w:after="100" w:afterAutospacing="1" w:line="240" w:lineRule="auto"/>
              <w:jc w:val="center"/>
              <w:rPr>
                <w:sz w:val="18"/>
                <w:szCs w:val="18"/>
              </w:rPr>
            </w:pPr>
            <w:r w:rsidRPr="00D06A2D">
              <w:rPr>
                <w:sz w:val="18"/>
                <w:szCs w:val="18"/>
              </w:rPr>
              <w:t>-1.6</w:t>
            </w:r>
          </w:p>
        </w:tc>
        <w:tc>
          <w:tcPr>
            <w:tcW w:w="1058" w:type="dxa"/>
            <w:vAlign w:val="center"/>
            <w:hideMark/>
          </w:tcPr>
          <w:p w14:paraId="71D40AF0" w14:textId="77777777" w:rsidR="00FE3BE4" w:rsidRPr="003C098E" w:rsidRDefault="00FE3BE4" w:rsidP="008D4E1E">
            <w:pPr>
              <w:spacing w:before="100" w:beforeAutospacing="1" w:after="100" w:afterAutospacing="1" w:line="240" w:lineRule="auto"/>
              <w:jc w:val="center"/>
              <w:rPr>
                <w:sz w:val="18"/>
                <w:szCs w:val="18"/>
              </w:rPr>
            </w:pPr>
            <w:r w:rsidRPr="00D06A2D">
              <w:rPr>
                <w:sz w:val="18"/>
                <w:szCs w:val="18"/>
              </w:rPr>
              <w:t>12.6</w:t>
            </w:r>
          </w:p>
        </w:tc>
        <w:tc>
          <w:tcPr>
            <w:tcW w:w="951" w:type="dxa"/>
            <w:vAlign w:val="center"/>
            <w:hideMark/>
          </w:tcPr>
          <w:p w14:paraId="6EB4927E" w14:textId="77777777" w:rsidR="00FE3BE4" w:rsidRPr="00B90F4F" w:rsidRDefault="00FE3BE4" w:rsidP="008D4E1E">
            <w:pPr>
              <w:spacing w:before="100" w:beforeAutospacing="1" w:after="100" w:afterAutospacing="1" w:line="240" w:lineRule="auto"/>
              <w:jc w:val="center"/>
              <w:rPr>
                <w:sz w:val="18"/>
                <w:szCs w:val="18"/>
                <w:lang w:val="hy-AM"/>
              </w:rPr>
            </w:pPr>
            <w:r w:rsidRPr="00D06A2D">
              <w:rPr>
                <w:sz w:val="18"/>
                <w:szCs w:val="18"/>
              </w:rPr>
              <w:t>5.7</w:t>
            </w:r>
          </w:p>
        </w:tc>
        <w:tc>
          <w:tcPr>
            <w:tcW w:w="964" w:type="dxa"/>
            <w:vAlign w:val="center"/>
            <w:hideMark/>
          </w:tcPr>
          <w:p w14:paraId="2064EEFA" w14:textId="77777777" w:rsidR="00FE3BE4" w:rsidRPr="003C098E" w:rsidRDefault="00FE3BE4" w:rsidP="008D4E1E">
            <w:pPr>
              <w:spacing w:before="100" w:beforeAutospacing="1" w:after="100" w:afterAutospacing="1" w:line="240" w:lineRule="auto"/>
              <w:jc w:val="center"/>
              <w:rPr>
                <w:sz w:val="18"/>
                <w:szCs w:val="18"/>
              </w:rPr>
            </w:pPr>
            <w:r w:rsidRPr="00D06A2D">
              <w:rPr>
                <w:sz w:val="18"/>
                <w:szCs w:val="18"/>
              </w:rPr>
              <w:t>5.7</w:t>
            </w:r>
          </w:p>
        </w:tc>
        <w:tc>
          <w:tcPr>
            <w:tcW w:w="973" w:type="dxa"/>
            <w:vAlign w:val="center"/>
            <w:hideMark/>
          </w:tcPr>
          <w:p w14:paraId="5B30A265" w14:textId="77777777" w:rsidR="00FE3BE4" w:rsidRPr="003C098E" w:rsidRDefault="00FE3BE4" w:rsidP="008D4E1E">
            <w:pPr>
              <w:spacing w:before="100" w:beforeAutospacing="1" w:after="100" w:afterAutospacing="1" w:line="240" w:lineRule="auto"/>
              <w:jc w:val="center"/>
              <w:rPr>
                <w:sz w:val="18"/>
                <w:szCs w:val="18"/>
              </w:rPr>
            </w:pPr>
            <w:r w:rsidRPr="00D06A2D">
              <w:rPr>
                <w:sz w:val="18"/>
                <w:szCs w:val="18"/>
              </w:rPr>
              <w:t>5.8</w:t>
            </w:r>
          </w:p>
        </w:tc>
      </w:tr>
      <w:tr w:rsidR="00FE3BE4" w:rsidRPr="003C098E" w14:paraId="265882D7" w14:textId="77777777" w:rsidTr="008D4E1E">
        <w:trPr>
          <w:trHeight w:val="288"/>
        </w:trPr>
        <w:tc>
          <w:tcPr>
            <w:tcW w:w="9890" w:type="dxa"/>
            <w:gridSpan w:val="8"/>
            <w:shd w:val="clear" w:color="auto" w:fill="D5DCE4" w:themeFill="text2" w:themeFillTint="33"/>
            <w:noWrap/>
            <w:vAlign w:val="center"/>
            <w:hideMark/>
          </w:tcPr>
          <w:p w14:paraId="79C2197B" w14:textId="77777777" w:rsidR="00FE3BE4" w:rsidRPr="003C098E" w:rsidRDefault="00FE3BE4" w:rsidP="008D4E1E">
            <w:pPr>
              <w:spacing w:before="100" w:beforeAutospacing="1" w:after="100" w:afterAutospacing="1" w:line="240" w:lineRule="auto"/>
              <w:rPr>
                <w:sz w:val="18"/>
                <w:szCs w:val="18"/>
              </w:rPr>
            </w:pPr>
            <w:r w:rsidRPr="003C098E">
              <w:rPr>
                <w:sz w:val="18"/>
                <w:szCs w:val="18"/>
              </w:rPr>
              <w:t>ՀՆԱ ծախսային բաղադրիչների իրական աճերը, %</w:t>
            </w:r>
          </w:p>
        </w:tc>
      </w:tr>
      <w:tr w:rsidR="00FE3BE4" w:rsidRPr="008E0016" w14:paraId="37FE39CF" w14:textId="77777777" w:rsidTr="008D4E1E">
        <w:trPr>
          <w:trHeight w:val="288"/>
        </w:trPr>
        <w:tc>
          <w:tcPr>
            <w:tcW w:w="2780" w:type="dxa"/>
            <w:vAlign w:val="center"/>
            <w:hideMark/>
          </w:tcPr>
          <w:p w14:paraId="2CA02F06" w14:textId="77777777" w:rsidR="00FE3BE4" w:rsidRPr="003C098E" w:rsidRDefault="00FE3BE4" w:rsidP="008D4E1E">
            <w:pPr>
              <w:spacing w:before="100" w:beforeAutospacing="1" w:after="100" w:afterAutospacing="1" w:line="240" w:lineRule="auto"/>
              <w:rPr>
                <w:sz w:val="18"/>
                <w:szCs w:val="18"/>
              </w:rPr>
            </w:pPr>
            <w:r w:rsidRPr="003C098E">
              <w:rPr>
                <w:sz w:val="18"/>
                <w:szCs w:val="18"/>
              </w:rPr>
              <w:t>Վերջնական սպառում</w:t>
            </w:r>
          </w:p>
        </w:tc>
        <w:tc>
          <w:tcPr>
            <w:tcW w:w="1104" w:type="dxa"/>
            <w:vAlign w:val="center"/>
            <w:hideMark/>
          </w:tcPr>
          <w:p w14:paraId="1838C682" w14:textId="77777777" w:rsidR="00FE3BE4" w:rsidRPr="003C098E" w:rsidRDefault="00FE3BE4" w:rsidP="008D4E1E">
            <w:pPr>
              <w:spacing w:before="100" w:beforeAutospacing="1" w:after="100" w:afterAutospacing="1" w:line="240" w:lineRule="auto"/>
              <w:jc w:val="center"/>
              <w:rPr>
                <w:sz w:val="18"/>
                <w:szCs w:val="18"/>
              </w:rPr>
            </w:pPr>
            <w:r w:rsidRPr="00D06A2D">
              <w:rPr>
                <w:sz w:val="18"/>
                <w:szCs w:val="18"/>
              </w:rPr>
              <w:t>4.3</w:t>
            </w:r>
          </w:p>
        </w:tc>
        <w:tc>
          <w:tcPr>
            <w:tcW w:w="1050" w:type="dxa"/>
            <w:vAlign w:val="center"/>
            <w:hideMark/>
          </w:tcPr>
          <w:p w14:paraId="55242E16" w14:textId="77777777" w:rsidR="00FE3BE4" w:rsidRPr="003C098E" w:rsidRDefault="00FE3BE4" w:rsidP="008D4E1E">
            <w:pPr>
              <w:spacing w:before="100" w:beforeAutospacing="1" w:after="100" w:afterAutospacing="1" w:line="240" w:lineRule="auto"/>
              <w:jc w:val="center"/>
              <w:rPr>
                <w:sz w:val="18"/>
                <w:szCs w:val="18"/>
              </w:rPr>
            </w:pPr>
            <w:r w:rsidRPr="00D06A2D">
              <w:rPr>
                <w:sz w:val="18"/>
                <w:szCs w:val="18"/>
              </w:rPr>
              <w:t>6.8</w:t>
            </w:r>
          </w:p>
        </w:tc>
        <w:tc>
          <w:tcPr>
            <w:tcW w:w="1010" w:type="dxa"/>
            <w:vAlign w:val="center"/>
            <w:hideMark/>
          </w:tcPr>
          <w:p w14:paraId="6808D90F" w14:textId="77777777" w:rsidR="00FE3BE4" w:rsidRPr="003C098E" w:rsidRDefault="00FE3BE4" w:rsidP="008D4E1E">
            <w:pPr>
              <w:spacing w:before="100" w:beforeAutospacing="1" w:after="100" w:afterAutospacing="1" w:line="240" w:lineRule="auto"/>
              <w:jc w:val="center"/>
              <w:rPr>
                <w:sz w:val="18"/>
                <w:szCs w:val="18"/>
              </w:rPr>
            </w:pPr>
            <w:r w:rsidRPr="00D06A2D">
              <w:rPr>
                <w:sz w:val="18"/>
                <w:szCs w:val="18"/>
              </w:rPr>
              <w:t>5.2</w:t>
            </w:r>
          </w:p>
        </w:tc>
        <w:tc>
          <w:tcPr>
            <w:tcW w:w="1058" w:type="dxa"/>
            <w:hideMark/>
          </w:tcPr>
          <w:p w14:paraId="367BF0D6" w14:textId="77777777" w:rsidR="00FE3BE4" w:rsidRPr="003C098E" w:rsidRDefault="00FE3BE4" w:rsidP="008D4E1E">
            <w:pPr>
              <w:spacing w:before="100" w:beforeAutospacing="1" w:after="100" w:afterAutospacing="1" w:line="240" w:lineRule="auto"/>
              <w:jc w:val="center"/>
              <w:rPr>
                <w:sz w:val="18"/>
                <w:szCs w:val="18"/>
              </w:rPr>
            </w:pPr>
            <w:r w:rsidRPr="008E0016">
              <w:rPr>
                <w:sz w:val="18"/>
                <w:szCs w:val="18"/>
              </w:rPr>
              <w:t>7.3</w:t>
            </w:r>
          </w:p>
        </w:tc>
        <w:tc>
          <w:tcPr>
            <w:tcW w:w="951" w:type="dxa"/>
            <w:hideMark/>
          </w:tcPr>
          <w:p w14:paraId="4BD31A28" w14:textId="77777777" w:rsidR="00FE3BE4" w:rsidRPr="008E0016" w:rsidRDefault="00FE3BE4" w:rsidP="008D4E1E">
            <w:pPr>
              <w:spacing w:before="100" w:beforeAutospacing="1" w:after="100" w:afterAutospacing="1" w:line="240" w:lineRule="auto"/>
              <w:jc w:val="center"/>
              <w:rPr>
                <w:sz w:val="18"/>
                <w:szCs w:val="18"/>
              </w:rPr>
            </w:pPr>
            <w:r w:rsidRPr="008E0016">
              <w:rPr>
                <w:sz w:val="18"/>
                <w:szCs w:val="18"/>
              </w:rPr>
              <w:t>4.4</w:t>
            </w:r>
          </w:p>
        </w:tc>
        <w:tc>
          <w:tcPr>
            <w:tcW w:w="964" w:type="dxa"/>
            <w:hideMark/>
          </w:tcPr>
          <w:p w14:paraId="7C9F5741" w14:textId="77777777" w:rsidR="00FE3BE4" w:rsidRPr="003C098E" w:rsidRDefault="00FE3BE4" w:rsidP="008D4E1E">
            <w:pPr>
              <w:spacing w:before="100" w:beforeAutospacing="1" w:after="100" w:afterAutospacing="1" w:line="240" w:lineRule="auto"/>
              <w:jc w:val="center"/>
              <w:rPr>
                <w:sz w:val="18"/>
                <w:szCs w:val="18"/>
              </w:rPr>
            </w:pPr>
            <w:r w:rsidRPr="008E0016">
              <w:rPr>
                <w:sz w:val="18"/>
                <w:szCs w:val="18"/>
              </w:rPr>
              <w:t>4.4</w:t>
            </w:r>
          </w:p>
        </w:tc>
        <w:tc>
          <w:tcPr>
            <w:tcW w:w="973" w:type="dxa"/>
            <w:hideMark/>
          </w:tcPr>
          <w:p w14:paraId="07E359F1" w14:textId="77777777" w:rsidR="00FE3BE4" w:rsidRPr="003C098E" w:rsidRDefault="00FE3BE4" w:rsidP="008D4E1E">
            <w:pPr>
              <w:spacing w:before="100" w:beforeAutospacing="1" w:after="100" w:afterAutospacing="1" w:line="240" w:lineRule="auto"/>
              <w:jc w:val="center"/>
              <w:rPr>
                <w:sz w:val="18"/>
                <w:szCs w:val="18"/>
              </w:rPr>
            </w:pPr>
            <w:r w:rsidRPr="008E0016">
              <w:rPr>
                <w:sz w:val="18"/>
                <w:szCs w:val="18"/>
              </w:rPr>
              <w:t>4.3</w:t>
            </w:r>
          </w:p>
        </w:tc>
      </w:tr>
      <w:tr w:rsidR="00FE3BE4" w:rsidRPr="008E0016" w14:paraId="1D02EB9B" w14:textId="77777777" w:rsidTr="008D4E1E">
        <w:trPr>
          <w:trHeight w:val="288"/>
        </w:trPr>
        <w:tc>
          <w:tcPr>
            <w:tcW w:w="2780" w:type="dxa"/>
            <w:vAlign w:val="center"/>
            <w:hideMark/>
          </w:tcPr>
          <w:p w14:paraId="2EFC8A13" w14:textId="77777777" w:rsidR="00FE3BE4" w:rsidRPr="003C098E" w:rsidRDefault="00FE3BE4" w:rsidP="008D4E1E">
            <w:pPr>
              <w:spacing w:before="100" w:beforeAutospacing="1" w:after="100" w:afterAutospacing="1" w:line="240" w:lineRule="auto"/>
              <w:rPr>
                <w:sz w:val="18"/>
                <w:szCs w:val="18"/>
              </w:rPr>
            </w:pPr>
            <w:r w:rsidRPr="003C098E">
              <w:rPr>
                <w:sz w:val="18"/>
                <w:szCs w:val="18"/>
              </w:rPr>
              <w:t>Պետական</w:t>
            </w:r>
          </w:p>
        </w:tc>
        <w:tc>
          <w:tcPr>
            <w:tcW w:w="1104" w:type="dxa"/>
            <w:vAlign w:val="center"/>
            <w:hideMark/>
          </w:tcPr>
          <w:p w14:paraId="2949C682" w14:textId="77777777" w:rsidR="00FE3BE4" w:rsidRPr="003C098E" w:rsidRDefault="00FE3BE4" w:rsidP="008D4E1E">
            <w:pPr>
              <w:spacing w:before="100" w:beforeAutospacing="1" w:after="100" w:afterAutospacing="1" w:line="240" w:lineRule="auto"/>
              <w:jc w:val="center"/>
              <w:rPr>
                <w:sz w:val="18"/>
                <w:szCs w:val="18"/>
              </w:rPr>
            </w:pPr>
            <w:r w:rsidRPr="00D06A2D">
              <w:rPr>
                <w:sz w:val="18"/>
                <w:szCs w:val="18"/>
              </w:rPr>
              <w:t>-2.2</w:t>
            </w:r>
          </w:p>
        </w:tc>
        <w:tc>
          <w:tcPr>
            <w:tcW w:w="1050" w:type="dxa"/>
            <w:vAlign w:val="center"/>
            <w:hideMark/>
          </w:tcPr>
          <w:p w14:paraId="0E512745" w14:textId="77777777" w:rsidR="00FE3BE4" w:rsidRPr="003C098E" w:rsidRDefault="00FE3BE4" w:rsidP="008D4E1E">
            <w:pPr>
              <w:spacing w:before="100" w:beforeAutospacing="1" w:after="100" w:afterAutospacing="1" w:line="240" w:lineRule="auto"/>
              <w:jc w:val="center"/>
              <w:rPr>
                <w:sz w:val="18"/>
                <w:szCs w:val="18"/>
              </w:rPr>
            </w:pPr>
            <w:r w:rsidRPr="00D06A2D">
              <w:rPr>
                <w:sz w:val="18"/>
                <w:szCs w:val="18"/>
              </w:rPr>
              <w:t>10.2</w:t>
            </w:r>
          </w:p>
        </w:tc>
        <w:tc>
          <w:tcPr>
            <w:tcW w:w="1010" w:type="dxa"/>
            <w:vAlign w:val="center"/>
            <w:hideMark/>
          </w:tcPr>
          <w:p w14:paraId="5A5C44D4" w14:textId="77777777" w:rsidR="00FE3BE4" w:rsidRPr="003C098E" w:rsidRDefault="00FE3BE4" w:rsidP="008D4E1E">
            <w:pPr>
              <w:spacing w:before="100" w:beforeAutospacing="1" w:after="100" w:afterAutospacing="1" w:line="240" w:lineRule="auto"/>
              <w:jc w:val="center"/>
              <w:rPr>
                <w:sz w:val="18"/>
                <w:szCs w:val="18"/>
              </w:rPr>
            </w:pPr>
            <w:r w:rsidRPr="00D06A2D">
              <w:rPr>
                <w:sz w:val="18"/>
                <w:szCs w:val="18"/>
              </w:rPr>
              <w:t>-9.5</w:t>
            </w:r>
          </w:p>
        </w:tc>
        <w:tc>
          <w:tcPr>
            <w:tcW w:w="1058" w:type="dxa"/>
            <w:hideMark/>
          </w:tcPr>
          <w:p w14:paraId="20C94CCA" w14:textId="77777777" w:rsidR="00FE3BE4" w:rsidRPr="003C098E" w:rsidRDefault="00FE3BE4" w:rsidP="008D4E1E">
            <w:pPr>
              <w:spacing w:before="100" w:beforeAutospacing="1" w:after="100" w:afterAutospacing="1" w:line="240" w:lineRule="auto"/>
              <w:jc w:val="center"/>
              <w:rPr>
                <w:sz w:val="18"/>
                <w:szCs w:val="18"/>
              </w:rPr>
            </w:pPr>
            <w:r w:rsidRPr="008E0016">
              <w:rPr>
                <w:sz w:val="18"/>
                <w:szCs w:val="18"/>
              </w:rPr>
              <w:t>7.7</w:t>
            </w:r>
          </w:p>
        </w:tc>
        <w:tc>
          <w:tcPr>
            <w:tcW w:w="951" w:type="dxa"/>
            <w:hideMark/>
          </w:tcPr>
          <w:p w14:paraId="659397B4" w14:textId="77777777" w:rsidR="00FE3BE4" w:rsidRPr="008E0016" w:rsidRDefault="00FE3BE4" w:rsidP="008D4E1E">
            <w:pPr>
              <w:spacing w:before="100" w:beforeAutospacing="1" w:after="100" w:afterAutospacing="1" w:line="240" w:lineRule="auto"/>
              <w:jc w:val="center"/>
              <w:rPr>
                <w:sz w:val="18"/>
                <w:szCs w:val="18"/>
              </w:rPr>
            </w:pPr>
            <w:r w:rsidRPr="008E0016">
              <w:rPr>
                <w:sz w:val="18"/>
                <w:szCs w:val="18"/>
              </w:rPr>
              <w:t>-3.0</w:t>
            </w:r>
          </w:p>
        </w:tc>
        <w:tc>
          <w:tcPr>
            <w:tcW w:w="964" w:type="dxa"/>
            <w:hideMark/>
          </w:tcPr>
          <w:p w14:paraId="6A2FC8AD" w14:textId="77777777" w:rsidR="00FE3BE4" w:rsidRPr="00241D87" w:rsidRDefault="00FE3BE4" w:rsidP="008D4E1E">
            <w:pPr>
              <w:spacing w:before="100" w:beforeAutospacing="1" w:after="100" w:afterAutospacing="1" w:line="240" w:lineRule="auto"/>
              <w:jc w:val="center"/>
              <w:rPr>
                <w:sz w:val="18"/>
                <w:szCs w:val="18"/>
              </w:rPr>
            </w:pPr>
            <w:r w:rsidRPr="008E0016">
              <w:rPr>
                <w:sz w:val="18"/>
                <w:szCs w:val="18"/>
              </w:rPr>
              <w:t>-2.7</w:t>
            </w:r>
          </w:p>
        </w:tc>
        <w:tc>
          <w:tcPr>
            <w:tcW w:w="973" w:type="dxa"/>
            <w:hideMark/>
          </w:tcPr>
          <w:p w14:paraId="46329174" w14:textId="77777777" w:rsidR="00FE3BE4" w:rsidRPr="003C098E" w:rsidRDefault="00FE3BE4" w:rsidP="008D4E1E">
            <w:pPr>
              <w:spacing w:before="100" w:beforeAutospacing="1" w:after="100" w:afterAutospacing="1" w:line="240" w:lineRule="auto"/>
              <w:jc w:val="center"/>
              <w:rPr>
                <w:sz w:val="18"/>
                <w:szCs w:val="18"/>
              </w:rPr>
            </w:pPr>
            <w:r w:rsidRPr="008E0016">
              <w:rPr>
                <w:sz w:val="18"/>
                <w:szCs w:val="18"/>
              </w:rPr>
              <w:t>-1.3</w:t>
            </w:r>
          </w:p>
        </w:tc>
      </w:tr>
      <w:tr w:rsidR="00FE3BE4" w:rsidRPr="008E0016" w14:paraId="2936C29D" w14:textId="77777777" w:rsidTr="008D4E1E">
        <w:trPr>
          <w:trHeight w:val="288"/>
        </w:trPr>
        <w:tc>
          <w:tcPr>
            <w:tcW w:w="2780" w:type="dxa"/>
            <w:vAlign w:val="center"/>
            <w:hideMark/>
          </w:tcPr>
          <w:p w14:paraId="14155255" w14:textId="77777777" w:rsidR="00FE3BE4" w:rsidRPr="003C098E" w:rsidRDefault="00FE3BE4" w:rsidP="008D4E1E">
            <w:pPr>
              <w:spacing w:before="100" w:beforeAutospacing="1" w:after="100" w:afterAutospacing="1" w:line="240" w:lineRule="auto"/>
              <w:rPr>
                <w:sz w:val="18"/>
                <w:szCs w:val="18"/>
              </w:rPr>
            </w:pPr>
            <w:r w:rsidRPr="003C098E">
              <w:rPr>
                <w:sz w:val="18"/>
                <w:szCs w:val="18"/>
              </w:rPr>
              <w:t>Մասնավոր</w:t>
            </w:r>
          </w:p>
        </w:tc>
        <w:tc>
          <w:tcPr>
            <w:tcW w:w="1104" w:type="dxa"/>
            <w:vAlign w:val="center"/>
            <w:hideMark/>
          </w:tcPr>
          <w:p w14:paraId="11044320" w14:textId="77777777" w:rsidR="00FE3BE4" w:rsidRPr="003C098E" w:rsidRDefault="00FE3BE4" w:rsidP="008D4E1E">
            <w:pPr>
              <w:spacing w:before="100" w:beforeAutospacing="1" w:after="100" w:afterAutospacing="1" w:line="240" w:lineRule="auto"/>
              <w:jc w:val="center"/>
              <w:rPr>
                <w:sz w:val="18"/>
                <w:szCs w:val="18"/>
              </w:rPr>
            </w:pPr>
            <w:r w:rsidRPr="00D06A2D">
              <w:rPr>
                <w:sz w:val="18"/>
                <w:szCs w:val="18"/>
              </w:rPr>
              <w:t>5.6</w:t>
            </w:r>
          </w:p>
        </w:tc>
        <w:tc>
          <w:tcPr>
            <w:tcW w:w="1050" w:type="dxa"/>
            <w:vAlign w:val="center"/>
            <w:hideMark/>
          </w:tcPr>
          <w:p w14:paraId="6B8FD799" w14:textId="77777777" w:rsidR="00FE3BE4" w:rsidRPr="003C098E" w:rsidRDefault="00FE3BE4" w:rsidP="008D4E1E">
            <w:pPr>
              <w:spacing w:before="100" w:beforeAutospacing="1" w:after="100" w:afterAutospacing="1" w:line="240" w:lineRule="auto"/>
              <w:jc w:val="center"/>
              <w:rPr>
                <w:sz w:val="18"/>
                <w:szCs w:val="18"/>
              </w:rPr>
            </w:pPr>
            <w:r w:rsidRPr="00D06A2D">
              <w:rPr>
                <w:sz w:val="18"/>
                <w:szCs w:val="18"/>
              </w:rPr>
              <w:t>6.3</w:t>
            </w:r>
          </w:p>
        </w:tc>
        <w:tc>
          <w:tcPr>
            <w:tcW w:w="1010" w:type="dxa"/>
            <w:vAlign w:val="center"/>
            <w:hideMark/>
          </w:tcPr>
          <w:p w14:paraId="084EF289" w14:textId="77777777" w:rsidR="00FE3BE4" w:rsidRPr="003C098E" w:rsidRDefault="00FE3BE4" w:rsidP="008D4E1E">
            <w:pPr>
              <w:spacing w:before="100" w:beforeAutospacing="1" w:after="100" w:afterAutospacing="1" w:line="240" w:lineRule="auto"/>
              <w:jc w:val="center"/>
              <w:rPr>
                <w:sz w:val="18"/>
                <w:szCs w:val="18"/>
              </w:rPr>
            </w:pPr>
            <w:r w:rsidRPr="00D06A2D">
              <w:rPr>
                <w:sz w:val="18"/>
                <w:szCs w:val="18"/>
              </w:rPr>
              <w:t>7.9</w:t>
            </w:r>
          </w:p>
        </w:tc>
        <w:tc>
          <w:tcPr>
            <w:tcW w:w="1058" w:type="dxa"/>
            <w:hideMark/>
          </w:tcPr>
          <w:p w14:paraId="57BB1F40" w14:textId="77777777" w:rsidR="00FE3BE4" w:rsidRPr="003C098E" w:rsidRDefault="00FE3BE4" w:rsidP="008D4E1E">
            <w:pPr>
              <w:spacing w:before="100" w:beforeAutospacing="1" w:after="100" w:afterAutospacing="1" w:line="240" w:lineRule="auto"/>
              <w:jc w:val="center"/>
              <w:rPr>
                <w:sz w:val="18"/>
                <w:szCs w:val="18"/>
              </w:rPr>
            </w:pPr>
            <w:r w:rsidRPr="008E0016">
              <w:rPr>
                <w:sz w:val="18"/>
                <w:szCs w:val="18"/>
              </w:rPr>
              <w:t>7.3</w:t>
            </w:r>
          </w:p>
        </w:tc>
        <w:tc>
          <w:tcPr>
            <w:tcW w:w="951" w:type="dxa"/>
            <w:hideMark/>
          </w:tcPr>
          <w:p w14:paraId="40AABDE8" w14:textId="77777777" w:rsidR="00FE3BE4" w:rsidRPr="003C098E" w:rsidRDefault="00FE3BE4" w:rsidP="008D4E1E">
            <w:pPr>
              <w:spacing w:before="100" w:beforeAutospacing="1" w:after="100" w:afterAutospacing="1" w:line="240" w:lineRule="auto"/>
              <w:jc w:val="center"/>
              <w:rPr>
                <w:sz w:val="18"/>
                <w:szCs w:val="18"/>
              </w:rPr>
            </w:pPr>
            <w:r w:rsidRPr="008E0016">
              <w:rPr>
                <w:sz w:val="18"/>
                <w:szCs w:val="18"/>
              </w:rPr>
              <w:t>5.5</w:t>
            </w:r>
          </w:p>
        </w:tc>
        <w:tc>
          <w:tcPr>
            <w:tcW w:w="964" w:type="dxa"/>
            <w:hideMark/>
          </w:tcPr>
          <w:p w14:paraId="71443715" w14:textId="77777777" w:rsidR="00FE3BE4" w:rsidRPr="003C098E" w:rsidRDefault="00FE3BE4" w:rsidP="008D4E1E">
            <w:pPr>
              <w:spacing w:before="100" w:beforeAutospacing="1" w:after="100" w:afterAutospacing="1" w:line="240" w:lineRule="auto"/>
              <w:jc w:val="center"/>
              <w:rPr>
                <w:sz w:val="18"/>
                <w:szCs w:val="18"/>
              </w:rPr>
            </w:pPr>
            <w:r w:rsidRPr="008E0016">
              <w:rPr>
                <w:sz w:val="18"/>
                <w:szCs w:val="18"/>
              </w:rPr>
              <w:t>5.4</w:t>
            </w:r>
          </w:p>
        </w:tc>
        <w:tc>
          <w:tcPr>
            <w:tcW w:w="973" w:type="dxa"/>
            <w:hideMark/>
          </w:tcPr>
          <w:p w14:paraId="61021D9C" w14:textId="77777777" w:rsidR="00FE3BE4" w:rsidRPr="003C098E" w:rsidRDefault="00FE3BE4" w:rsidP="008D4E1E">
            <w:pPr>
              <w:spacing w:before="100" w:beforeAutospacing="1" w:after="100" w:afterAutospacing="1" w:line="240" w:lineRule="auto"/>
              <w:jc w:val="center"/>
              <w:rPr>
                <w:sz w:val="18"/>
                <w:szCs w:val="18"/>
              </w:rPr>
            </w:pPr>
            <w:r w:rsidRPr="008E0016">
              <w:rPr>
                <w:sz w:val="18"/>
                <w:szCs w:val="18"/>
              </w:rPr>
              <w:t>5.1</w:t>
            </w:r>
          </w:p>
        </w:tc>
      </w:tr>
      <w:tr w:rsidR="00FE3BE4" w:rsidRPr="008E0016" w14:paraId="4C64083B" w14:textId="77777777" w:rsidTr="008D4E1E">
        <w:trPr>
          <w:trHeight w:val="288"/>
        </w:trPr>
        <w:tc>
          <w:tcPr>
            <w:tcW w:w="2780" w:type="dxa"/>
            <w:vAlign w:val="center"/>
            <w:hideMark/>
          </w:tcPr>
          <w:p w14:paraId="34D4CBD1" w14:textId="77777777" w:rsidR="00FE3BE4" w:rsidRPr="003C098E" w:rsidRDefault="00FE3BE4" w:rsidP="008D4E1E">
            <w:pPr>
              <w:spacing w:before="100" w:beforeAutospacing="1" w:after="100" w:afterAutospacing="1" w:line="240" w:lineRule="auto"/>
              <w:rPr>
                <w:sz w:val="18"/>
                <w:szCs w:val="18"/>
              </w:rPr>
            </w:pPr>
            <w:r w:rsidRPr="003C098E">
              <w:rPr>
                <w:sz w:val="18"/>
                <w:szCs w:val="18"/>
              </w:rPr>
              <w:t>Հիմնական միջոցներում ներդրումներ</w:t>
            </w:r>
            <w:r w:rsidRPr="001D07F4">
              <w:rPr>
                <w:sz w:val="18"/>
                <w:szCs w:val="18"/>
                <w:vertAlign w:val="superscript"/>
              </w:rPr>
              <w:footnoteReference w:id="1"/>
            </w:r>
          </w:p>
        </w:tc>
        <w:tc>
          <w:tcPr>
            <w:tcW w:w="1104" w:type="dxa"/>
            <w:vAlign w:val="center"/>
            <w:hideMark/>
          </w:tcPr>
          <w:p w14:paraId="629BCF0A" w14:textId="77777777" w:rsidR="00FE3BE4" w:rsidRPr="003C098E" w:rsidRDefault="00FE3BE4" w:rsidP="008D4E1E">
            <w:pPr>
              <w:spacing w:before="100" w:beforeAutospacing="1" w:after="100" w:afterAutospacing="1" w:line="240" w:lineRule="auto"/>
              <w:jc w:val="center"/>
              <w:rPr>
                <w:sz w:val="18"/>
                <w:szCs w:val="18"/>
              </w:rPr>
            </w:pPr>
            <w:r w:rsidRPr="00D06A2D">
              <w:rPr>
                <w:sz w:val="18"/>
                <w:szCs w:val="18"/>
              </w:rPr>
              <w:t>14.0</w:t>
            </w:r>
          </w:p>
        </w:tc>
        <w:tc>
          <w:tcPr>
            <w:tcW w:w="1050" w:type="dxa"/>
            <w:vAlign w:val="center"/>
            <w:hideMark/>
          </w:tcPr>
          <w:p w14:paraId="0E62A2BB" w14:textId="77777777" w:rsidR="00FE3BE4" w:rsidRPr="003C098E" w:rsidRDefault="00FE3BE4" w:rsidP="008D4E1E">
            <w:pPr>
              <w:spacing w:before="100" w:beforeAutospacing="1" w:after="100" w:afterAutospacing="1" w:line="240" w:lineRule="auto"/>
              <w:jc w:val="center"/>
              <w:rPr>
                <w:sz w:val="18"/>
                <w:szCs w:val="18"/>
              </w:rPr>
            </w:pPr>
            <w:r w:rsidRPr="00D06A2D">
              <w:rPr>
                <w:sz w:val="18"/>
                <w:szCs w:val="18"/>
              </w:rPr>
              <w:t>9.0</w:t>
            </w:r>
          </w:p>
        </w:tc>
        <w:tc>
          <w:tcPr>
            <w:tcW w:w="1010" w:type="dxa"/>
            <w:vAlign w:val="center"/>
            <w:hideMark/>
          </w:tcPr>
          <w:p w14:paraId="79098937" w14:textId="77777777" w:rsidR="00FE3BE4" w:rsidRPr="003C098E" w:rsidRDefault="00FE3BE4" w:rsidP="008D4E1E">
            <w:pPr>
              <w:spacing w:before="100" w:beforeAutospacing="1" w:after="100" w:afterAutospacing="1" w:line="240" w:lineRule="auto"/>
              <w:jc w:val="center"/>
              <w:rPr>
                <w:sz w:val="18"/>
                <w:szCs w:val="18"/>
              </w:rPr>
            </w:pPr>
            <w:r w:rsidRPr="00D06A2D">
              <w:rPr>
                <w:sz w:val="18"/>
                <w:szCs w:val="18"/>
              </w:rPr>
              <w:t>11.2</w:t>
            </w:r>
          </w:p>
        </w:tc>
        <w:tc>
          <w:tcPr>
            <w:tcW w:w="1058" w:type="dxa"/>
            <w:hideMark/>
          </w:tcPr>
          <w:p w14:paraId="7DE20667" w14:textId="77777777" w:rsidR="00FE3BE4" w:rsidRPr="003C098E" w:rsidRDefault="00FE3BE4" w:rsidP="008D4E1E">
            <w:pPr>
              <w:spacing w:before="100" w:beforeAutospacing="1" w:after="100" w:afterAutospacing="1" w:line="240" w:lineRule="auto"/>
              <w:jc w:val="center"/>
              <w:rPr>
                <w:sz w:val="18"/>
                <w:szCs w:val="18"/>
              </w:rPr>
            </w:pPr>
            <w:r w:rsidRPr="008E0016">
              <w:rPr>
                <w:sz w:val="18"/>
                <w:szCs w:val="18"/>
              </w:rPr>
              <w:t>22.2</w:t>
            </w:r>
          </w:p>
        </w:tc>
        <w:tc>
          <w:tcPr>
            <w:tcW w:w="951" w:type="dxa"/>
            <w:hideMark/>
          </w:tcPr>
          <w:p w14:paraId="631C8E55" w14:textId="77777777" w:rsidR="00FE3BE4" w:rsidRPr="008E0016" w:rsidRDefault="00FE3BE4" w:rsidP="008D4E1E">
            <w:pPr>
              <w:spacing w:before="100" w:beforeAutospacing="1" w:after="100" w:afterAutospacing="1" w:line="240" w:lineRule="auto"/>
              <w:jc w:val="center"/>
              <w:rPr>
                <w:sz w:val="18"/>
                <w:szCs w:val="18"/>
              </w:rPr>
            </w:pPr>
            <w:r w:rsidRPr="008E0016">
              <w:rPr>
                <w:sz w:val="18"/>
                <w:szCs w:val="18"/>
              </w:rPr>
              <w:t>9.1</w:t>
            </w:r>
          </w:p>
        </w:tc>
        <w:tc>
          <w:tcPr>
            <w:tcW w:w="964" w:type="dxa"/>
            <w:hideMark/>
          </w:tcPr>
          <w:p w14:paraId="598D48E4" w14:textId="77777777" w:rsidR="00FE3BE4" w:rsidRPr="003C098E" w:rsidRDefault="00FE3BE4" w:rsidP="008D4E1E">
            <w:pPr>
              <w:spacing w:before="100" w:beforeAutospacing="1" w:after="100" w:afterAutospacing="1" w:line="240" w:lineRule="auto"/>
              <w:jc w:val="center"/>
              <w:rPr>
                <w:sz w:val="18"/>
                <w:szCs w:val="18"/>
              </w:rPr>
            </w:pPr>
            <w:r w:rsidRPr="008E0016">
              <w:rPr>
                <w:sz w:val="18"/>
                <w:szCs w:val="18"/>
              </w:rPr>
              <w:t>7.3</w:t>
            </w:r>
          </w:p>
        </w:tc>
        <w:tc>
          <w:tcPr>
            <w:tcW w:w="973" w:type="dxa"/>
            <w:hideMark/>
          </w:tcPr>
          <w:p w14:paraId="1C322FE4" w14:textId="77777777" w:rsidR="00FE3BE4" w:rsidRPr="003C098E" w:rsidRDefault="00FE3BE4" w:rsidP="008D4E1E">
            <w:pPr>
              <w:spacing w:before="100" w:beforeAutospacing="1" w:after="100" w:afterAutospacing="1" w:line="240" w:lineRule="auto"/>
              <w:jc w:val="center"/>
              <w:rPr>
                <w:sz w:val="18"/>
                <w:szCs w:val="18"/>
              </w:rPr>
            </w:pPr>
            <w:r w:rsidRPr="008E0016">
              <w:rPr>
                <w:sz w:val="18"/>
                <w:szCs w:val="18"/>
              </w:rPr>
              <w:t>7.5</w:t>
            </w:r>
          </w:p>
        </w:tc>
      </w:tr>
      <w:tr w:rsidR="00FE3BE4" w:rsidRPr="008E0016" w14:paraId="7692670C" w14:textId="77777777" w:rsidTr="008D4E1E">
        <w:trPr>
          <w:trHeight w:val="288"/>
        </w:trPr>
        <w:tc>
          <w:tcPr>
            <w:tcW w:w="2780" w:type="dxa"/>
            <w:vAlign w:val="center"/>
            <w:hideMark/>
          </w:tcPr>
          <w:p w14:paraId="349CA76F" w14:textId="77777777" w:rsidR="00FE3BE4" w:rsidRPr="003C098E" w:rsidRDefault="00FE3BE4" w:rsidP="008D4E1E">
            <w:pPr>
              <w:spacing w:before="100" w:beforeAutospacing="1" w:after="100" w:afterAutospacing="1" w:line="240" w:lineRule="auto"/>
              <w:rPr>
                <w:sz w:val="18"/>
                <w:szCs w:val="18"/>
              </w:rPr>
            </w:pPr>
            <w:r w:rsidRPr="003C098E">
              <w:rPr>
                <w:sz w:val="18"/>
                <w:szCs w:val="18"/>
              </w:rPr>
              <w:t>Պետական</w:t>
            </w:r>
          </w:p>
        </w:tc>
        <w:tc>
          <w:tcPr>
            <w:tcW w:w="1104" w:type="dxa"/>
            <w:vAlign w:val="center"/>
            <w:hideMark/>
          </w:tcPr>
          <w:p w14:paraId="78D02BA8" w14:textId="77777777" w:rsidR="00FE3BE4" w:rsidRPr="003C098E" w:rsidRDefault="00FE3BE4" w:rsidP="008D4E1E">
            <w:pPr>
              <w:spacing w:before="100" w:beforeAutospacing="1" w:after="100" w:afterAutospacing="1" w:line="240" w:lineRule="auto"/>
              <w:jc w:val="center"/>
              <w:rPr>
                <w:sz w:val="18"/>
                <w:szCs w:val="18"/>
              </w:rPr>
            </w:pPr>
            <w:r w:rsidRPr="00D06A2D">
              <w:rPr>
                <w:sz w:val="18"/>
                <w:szCs w:val="18"/>
              </w:rPr>
              <w:t>17.9</w:t>
            </w:r>
          </w:p>
        </w:tc>
        <w:tc>
          <w:tcPr>
            <w:tcW w:w="1050" w:type="dxa"/>
            <w:vAlign w:val="center"/>
            <w:hideMark/>
          </w:tcPr>
          <w:p w14:paraId="6527C02B" w14:textId="77777777" w:rsidR="00FE3BE4" w:rsidRPr="003C098E" w:rsidRDefault="00FE3BE4" w:rsidP="008D4E1E">
            <w:pPr>
              <w:spacing w:before="100" w:beforeAutospacing="1" w:after="100" w:afterAutospacing="1" w:line="240" w:lineRule="auto"/>
              <w:jc w:val="center"/>
              <w:rPr>
                <w:sz w:val="18"/>
                <w:szCs w:val="18"/>
              </w:rPr>
            </w:pPr>
            <w:r w:rsidRPr="00924DD2">
              <w:rPr>
                <w:sz w:val="18"/>
                <w:szCs w:val="18"/>
              </w:rPr>
              <w:t>31.6</w:t>
            </w:r>
          </w:p>
        </w:tc>
        <w:tc>
          <w:tcPr>
            <w:tcW w:w="1010" w:type="dxa"/>
            <w:vAlign w:val="center"/>
            <w:hideMark/>
          </w:tcPr>
          <w:p w14:paraId="41042071" w14:textId="77777777" w:rsidR="00FE3BE4" w:rsidRPr="003C098E" w:rsidRDefault="00FE3BE4" w:rsidP="008D4E1E">
            <w:pPr>
              <w:spacing w:before="100" w:beforeAutospacing="1" w:after="100" w:afterAutospacing="1" w:line="240" w:lineRule="auto"/>
              <w:jc w:val="center"/>
              <w:rPr>
                <w:sz w:val="18"/>
                <w:szCs w:val="18"/>
              </w:rPr>
            </w:pPr>
            <w:r w:rsidRPr="00924DD2">
              <w:rPr>
                <w:sz w:val="18"/>
                <w:szCs w:val="18"/>
              </w:rPr>
              <w:t>7.3</w:t>
            </w:r>
          </w:p>
        </w:tc>
        <w:tc>
          <w:tcPr>
            <w:tcW w:w="1058" w:type="dxa"/>
            <w:hideMark/>
          </w:tcPr>
          <w:p w14:paraId="565D5B54" w14:textId="77777777" w:rsidR="00FE3BE4" w:rsidRPr="008E0016" w:rsidRDefault="00FE3BE4" w:rsidP="008D4E1E">
            <w:pPr>
              <w:spacing w:before="100" w:beforeAutospacing="1" w:after="100" w:afterAutospacing="1" w:line="240" w:lineRule="auto"/>
              <w:jc w:val="center"/>
              <w:rPr>
                <w:sz w:val="18"/>
                <w:szCs w:val="18"/>
              </w:rPr>
            </w:pPr>
            <w:r w:rsidRPr="008E0016">
              <w:rPr>
                <w:sz w:val="18"/>
                <w:szCs w:val="18"/>
              </w:rPr>
              <w:t>22.5</w:t>
            </w:r>
          </w:p>
        </w:tc>
        <w:tc>
          <w:tcPr>
            <w:tcW w:w="951" w:type="dxa"/>
            <w:hideMark/>
          </w:tcPr>
          <w:p w14:paraId="56857BE8" w14:textId="77777777" w:rsidR="00FE3BE4" w:rsidRPr="008E0016" w:rsidRDefault="00FE3BE4" w:rsidP="008D4E1E">
            <w:pPr>
              <w:spacing w:before="100" w:beforeAutospacing="1" w:after="100" w:afterAutospacing="1" w:line="240" w:lineRule="auto"/>
              <w:jc w:val="center"/>
              <w:rPr>
                <w:sz w:val="18"/>
                <w:szCs w:val="18"/>
              </w:rPr>
            </w:pPr>
            <w:r w:rsidRPr="008E0016">
              <w:rPr>
                <w:sz w:val="18"/>
                <w:szCs w:val="18"/>
              </w:rPr>
              <w:t>16.6</w:t>
            </w:r>
          </w:p>
        </w:tc>
        <w:tc>
          <w:tcPr>
            <w:tcW w:w="964" w:type="dxa"/>
            <w:hideMark/>
          </w:tcPr>
          <w:p w14:paraId="59EF5DAE" w14:textId="77777777" w:rsidR="00FE3BE4" w:rsidRPr="008E0016" w:rsidRDefault="00FE3BE4" w:rsidP="008D4E1E">
            <w:pPr>
              <w:spacing w:before="100" w:beforeAutospacing="1" w:after="100" w:afterAutospacing="1" w:line="240" w:lineRule="auto"/>
              <w:jc w:val="center"/>
              <w:rPr>
                <w:sz w:val="18"/>
                <w:szCs w:val="18"/>
              </w:rPr>
            </w:pPr>
            <w:r w:rsidRPr="008E0016">
              <w:rPr>
                <w:sz w:val="18"/>
                <w:szCs w:val="18"/>
              </w:rPr>
              <w:t>11.0</w:t>
            </w:r>
          </w:p>
        </w:tc>
        <w:tc>
          <w:tcPr>
            <w:tcW w:w="973" w:type="dxa"/>
            <w:hideMark/>
          </w:tcPr>
          <w:p w14:paraId="4EE9B35A" w14:textId="77777777" w:rsidR="00FE3BE4" w:rsidRPr="008E0016" w:rsidRDefault="00FE3BE4" w:rsidP="008D4E1E">
            <w:pPr>
              <w:spacing w:before="100" w:beforeAutospacing="1" w:after="100" w:afterAutospacing="1" w:line="240" w:lineRule="auto"/>
              <w:jc w:val="center"/>
              <w:rPr>
                <w:sz w:val="18"/>
                <w:szCs w:val="18"/>
              </w:rPr>
            </w:pPr>
            <w:r w:rsidRPr="008E0016">
              <w:rPr>
                <w:sz w:val="18"/>
                <w:szCs w:val="18"/>
              </w:rPr>
              <w:t>12.4</w:t>
            </w:r>
          </w:p>
        </w:tc>
      </w:tr>
      <w:tr w:rsidR="00FE3BE4" w:rsidRPr="008E0016" w14:paraId="3CDC75F2" w14:textId="77777777" w:rsidTr="008D4E1E">
        <w:trPr>
          <w:trHeight w:val="288"/>
        </w:trPr>
        <w:tc>
          <w:tcPr>
            <w:tcW w:w="2780" w:type="dxa"/>
            <w:vAlign w:val="center"/>
            <w:hideMark/>
          </w:tcPr>
          <w:p w14:paraId="69883204" w14:textId="77777777" w:rsidR="00FE3BE4" w:rsidRPr="003C098E" w:rsidRDefault="00FE3BE4" w:rsidP="008D4E1E">
            <w:pPr>
              <w:spacing w:before="100" w:beforeAutospacing="1" w:after="100" w:afterAutospacing="1" w:line="240" w:lineRule="auto"/>
              <w:rPr>
                <w:sz w:val="18"/>
                <w:szCs w:val="18"/>
              </w:rPr>
            </w:pPr>
            <w:r w:rsidRPr="003C098E">
              <w:rPr>
                <w:sz w:val="18"/>
                <w:szCs w:val="18"/>
              </w:rPr>
              <w:t>Մասնավոր</w:t>
            </w:r>
          </w:p>
        </w:tc>
        <w:tc>
          <w:tcPr>
            <w:tcW w:w="1104" w:type="dxa"/>
            <w:vAlign w:val="center"/>
            <w:hideMark/>
          </w:tcPr>
          <w:p w14:paraId="28F3AAA2" w14:textId="77777777" w:rsidR="00FE3BE4" w:rsidRPr="003C098E" w:rsidRDefault="00FE3BE4" w:rsidP="008D4E1E">
            <w:pPr>
              <w:spacing w:before="100" w:beforeAutospacing="1" w:after="100" w:afterAutospacing="1" w:line="240" w:lineRule="auto"/>
              <w:jc w:val="center"/>
              <w:rPr>
                <w:sz w:val="18"/>
                <w:szCs w:val="18"/>
              </w:rPr>
            </w:pPr>
            <w:r w:rsidRPr="00D06A2D">
              <w:rPr>
                <w:sz w:val="18"/>
                <w:szCs w:val="18"/>
              </w:rPr>
              <w:t>13.5</w:t>
            </w:r>
          </w:p>
        </w:tc>
        <w:tc>
          <w:tcPr>
            <w:tcW w:w="1050" w:type="dxa"/>
            <w:vAlign w:val="center"/>
            <w:hideMark/>
          </w:tcPr>
          <w:p w14:paraId="26E5C0E6" w14:textId="77777777" w:rsidR="00FE3BE4" w:rsidRPr="003C098E" w:rsidRDefault="00FE3BE4" w:rsidP="008D4E1E">
            <w:pPr>
              <w:spacing w:before="100" w:beforeAutospacing="1" w:after="100" w:afterAutospacing="1" w:line="240" w:lineRule="auto"/>
              <w:jc w:val="center"/>
              <w:rPr>
                <w:sz w:val="18"/>
                <w:szCs w:val="18"/>
              </w:rPr>
            </w:pPr>
            <w:r w:rsidRPr="00924DD2">
              <w:rPr>
                <w:sz w:val="18"/>
                <w:szCs w:val="18"/>
              </w:rPr>
              <w:t>5.8</w:t>
            </w:r>
          </w:p>
        </w:tc>
        <w:tc>
          <w:tcPr>
            <w:tcW w:w="1010" w:type="dxa"/>
            <w:vAlign w:val="center"/>
            <w:hideMark/>
          </w:tcPr>
          <w:p w14:paraId="57260C4C" w14:textId="77777777" w:rsidR="00FE3BE4" w:rsidRPr="003C098E" w:rsidRDefault="00FE3BE4" w:rsidP="008D4E1E">
            <w:pPr>
              <w:spacing w:before="100" w:beforeAutospacing="1" w:after="100" w:afterAutospacing="1" w:line="240" w:lineRule="auto"/>
              <w:jc w:val="center"/>
              <w:rPr>
                <w:sz w:val="18"/>
                <w:szCs w:val="18"/>
              </w:rPr>
            </w:pPr>
            <w:r w:rsidRPr="00924DD2">
              <w:rPr>
                <w:sz w:val="18"/>
                <w:szCs w:val="18"/>
              </w:rPr>
              <w:t>11.9</w:t>
            </w:r>
          </w:p>
        </w:tc>
        <w:tc>
          <w:tcPr>
            <w:tcW w:w="1058" w:type="dxa"/>
            <w:hideMark/>
          </w:tcPr>
          <w:p w14:paraId="69B2AA28" w14:textId="77777777" w:rsidR="00FE3BE4" w:rsidRPr="003C098E" w:rsidRDefault="00FE3BE4" w:rsidP="008D4E1E">
            <w:pPr>
              <w:spacing w:before="100" w:beforeAutospacing="1" w:after="100" w:afterAutospacing="1" w:line="240" w:lineRule="auto"/>
              <w:jc w:val="center"/>
              <w:rPr>
                <w:sz w:val="18"/>
                <w:szCs w:val="18"/>
              </w:rPr>
            </w:pPr>
            <w:r w:rsidRPr="008E0016">
              <w:rPr>
                <w:sz w:val="18"/>
                <w:szCs w:val="18"/>
              </w:rPr>
              <w:t>22.1</w:t>
            </w:r>
          </w:p>
        </w:tc>
        <w:tc>
          <w:tcPr>
            <w:tcW w:w="951" w:type="dxa"/>
            <w:hideMark/>
          </w:tcPr>
          <w:p w14:paraId="0636A59D" w14:textId="77777777" w:rsidR="00FE3BE4" w:rsidRPr="003C098E" w:rsidRDefault="00FE3BE4" w:rsidP="008D4E1E">
            <w:pPr>
              <w:spacing w:before="100" w:beforeAutospacing="1" w:after="100" w:afterAutospacing="1" w:line="240" w:lineRule="auto"/>
              <w:jc w:val="center"/>
              <w:rPr>
                <w:sz w:val="18"/>
                <w:szCs w:val="18"/>
              </w:rPr>
            </w:pPr>
            <w:r w:rsidRPr="008E0016">
              <w:rPr>
                <w:sz w:val="18"/>
                <w:szCs w:val="18"/>
              </w:rPr>
              <w:t>7.8</w:t>
            </w:r>
          </w:p>
        </w:tc>
        <w:tc>
          <w:tcPr>
            <w:tcW w:w="964" w:type="dxa"/>
            <w:hideMark/>
          </w:tcPr>
          <w:p w14:paraId="797C2CC8" w14:textId="77777777" w:rsidR="00FE3BE4" w:rsidRPr="003C098E" w:rsidRDefault="00FE3BE4" w:rsidP="008D4E1E">
            <w:pPr>
              <w:spacing w:before="100" w:beforeAutospacing="1" w:after="100" w:afterAutospacing="1" w:line="240" w:lineRule="auto"/>
              <w:jc w:val="center"/>
              <w:rPr>
                <w:sz w:val="18"/>
                <w:szCs w:val="18"/>
              </w:rPr>
            </w:pPr>
            <w:r w:rsidRPr="008E0016">
              <w:rPr>
                <w:sz w:val="18"/>
                <w:szCs w:val="18"/>
              </w:rPr>
              <w:t>6.6</w:t>
            </w:r>
          </w:p>
        </w:tc>
        <w:tc>
          <w:tcPr>
            <w:tcW w:w="973" w:type="dxa"/>
            <w:hideMark/>
          </w:tcPr>
          <w:p w14:paraId="2BCEF011" w14:textId="77777777" w:rsidR="00FE3BE4" w:rsidRPr="003C098E" w:rsidRDefault="00FE3BE4" w:rsidP="008D4E1E">
            <w:pPr>
              <w:spacing w:before="100" w:beforeAutospacing="1" w:after="100" w:afterAutospacing="1" w:line="240" w:lineRule="auto"/>
              <w:jc w:val="center"/>
              <w:rPr>
                <w:sz w:val="18"/>
                <w:szCs w:val="18"/>
              </w:rPr>
            </w:pPr>
            <w:r w:rsidRPr="008E0016">
              <w:rPr>
                <w:sz w:val="18"/>
                <w:szCs w:val="18"/>
              </w:rPr>
              <w:t>6.6</w:t>
            </w:r>
          </w:p>
        </w:tc>
      </w:tr>
      <w:tr w:rsidR="00FE3BE4" w:rsidRPr="008E0016" w14:paraId="3FACD94F" w14:textId="77777777" w:rsidTr="008D4E1E">
        <w:trPr>
          <w:trHeight w:val="288"/>
        </w:trPr>
        <w:tc>
          <w:tcPr>
            <w:tcW w:w="2780" w:type="dxa"/>
            <w:vAlign w:val="center"/>
            <w:hideMark/>
          </w:tcPr>
          <w:p w14:paraId="70A5A079" w14:textId="77777777" w:rsidR="00FE3BE4" w:rsidRPr="003C098E" w:rsidRDefault="00FE3BE4" w:rsidP="008D4E1E">
            <w:pPr>
              <w:spacing w:before="100" w:beforeAutospacing="1" w:after="100" w:afterAutospacing="1" w:line="240" w:lineRule="auto"/>
              <w:rPr>
                <w:sz w:val="18"/>
                <w:szCs w:val="18"/>
              </w:rPr>
            </w:pPr>
            <w:r w:rsidRPr="003C098E">
              <w:rPr>
                <w:sz w:val="18"/>
                <w:szCs w:val="18"/>
              </w:rPr>
              <w:t xml:space="preserve">Արտահանում </w:t>
            </w:r>
          </w:p>
        </w:tc>
        <w:tc>
          <w:tcPr>
            <w:tcW w:w="1104" w:type="dxa"/>
            <w:vAlign w:val="center"/>
            <w:hideMark/>
          </w:tcPr>
          <w:p w14:paraId="1D0A40D0" w14:textId="77777777" w:rsidR="00FE3BE4" w:rsidRPr="003C098E" w:rsidRDefault="00FE3BE4" w:rsidP="008D4E1E">
            <w:pPr>
              <w:spacing w:before="100" w:beforeAutospacing="1" w:after="100" w:afterAutospacing="1" w:line="240" w:lineRule="auto"/>
              <w:jc w:val="center"/>
              <w:rPr>
                <w:sz w:val="18"/>
                <w:szCs w:val="18"/>
              </w:rPr>
            </w:pPr>
            <w:r w:rsidRPr="00924DD2">
              <w:rPr>
                <w:sz w:val="18"/>
                <w:szCs w:val="18"/>
              </w:rPr>
              <w:t>59.9</w:t>
            </w:r>
          </w:p>
        </w:tc>
        <w:tc>
          <w:tcPr>
            <w:tcW w:w="1050" w:type="dxa"/>
            <w:vAlign w:val="center"/>
            <w:hideMark/>
          </w:tcPr>
          <w:p w14:paraId="2D6532F8" w14:textId="77777777" w:rsidR="00FE3BE4" w:rsidRPr="003C098E" w:rsidRDefault="00FE3BE4" w:rsidP="008D4E1E">
            <w:pPr>
              <w:spacing w:before="100" w:beforeAutospacing="1" w:after="100" w:afterAutospacing="1" w:line="240" w:lineRule="auto"/>
              <w:jc w:val="center"/>
              <w:rPr>
                <w:sz w:val="18"/>
                <w:szCs w:val="18"/>
              </w:rPr>
            </w:pPr>
            <w:r w:rsidRPr="00924DD2">
              <w:rPr>
                <w:sz w:val="18"/>
                <w:szCs w:val="18"/>
              </w:rPr>
              <w:t>35.8</w:t>
            </w:r>
          </w:p>
        </w:tc>
        <w:tc>
          <w:tcPr>
            <w:tcW w:w="1010" w:type="dxa"/>
            <w:vAlign w:val="center"/>
            <w:hideMark/>
          </w:tcPr>
          <w:p w14:paraId="1E6131E8" w14:textId="77777777" w:rsidR="00FE3BE4" w:rsidRPr="003C098E" w:rsidRDefault="00FE3BE4" w:rsidP="008D4E1E">
            <w:pPr>
              <w:spacing w:before="100" w:beforeAutospacing="1" w:after="100" w:afterAutospacing="1" w:line="240" w:lineRule="auto"/>
              <w:jc w:val="center"/>
              <w:rPr>
                <w:sz w:val="18"/>
                <w:szCs w:val="18"/>
              </w:rPr>
            </w:pPr>
            <w:r w:rsidRPr="00924DD2">
              <w:rPr>
                <w:sz w:val="18"/>
                <w:szCs w:val="18"/>
              </w:rPr>
              <w:t>27.6</w:t>
            </w:r>
          </w:p>
        </w:tc>
        <w:tc>
          <w:tcPr>
            <w:tcW w:w="1058" w:type="dxa"/>
            <w:hideMark/>
          </w:tcPr>
          <w:p w14:paraId="11C454A5" w14:textId="77777777" w:rsidR="00FE3BE4" w:rsidRPr="003C098E" w:rsidRDefault="00FE3BE4" w:rsidP="008D4E1E">
            <w:pPr>
              <w:spacing w:before="100" w:beforeAutospacing="1" w:after="100" w:afterAutospacing="1" w:line="240" w:lineRule="auto"/>
              <w:jc w:val="center"/>
              <w:rPr>
                <w:sz w:val="18"/>
                <w:szCs w:val="18"/>
              </w:rPr>
            </w:pPr>
            <w:r w:rsidRPr="008E0016">
              <w:rPr>
                <w:sz w:val="18"/>
                <w:szCs w:val="18"/>
              </w:rPr>
              <w:t>-31.5</w:t>
            </w:r>
          </w:p>
        </w:tc>
        <w:tc>
          <w:tcPr>
            <w:tcW w:w="951" w:type="dxa"/>
            <w:hideMark/>
          </w:tcPr>
          <w:p w14:paraId="33EFFCBB" w14:textId="77777777" w:rsidR="00FE3BE4" w:rsidRPr="003C098E" w:rsidRDefault="00FE3BE4" w:rsidP="008D4E1E">
            <w:pPr>
              <w:spacing w:before="100" w:beforeAutospacing="1" w:after="100" w:afterAutospacing="1" w:line="240" w:lineRule="auto"/>
              <w:jc w:val="center"/>
              <w:rPr>
                <w:sz w:val="18"/>
                <w:szCs w:val="18"/>
              </w:rPr>
            </w:pPr>
            <w:r w:rsidRPr="008E0016">
              <w:rPr>
                <w:sz w:val="18"/>
                <w:szCs w:val="18"/>
              </w:rPr>
              <w:t>-6.4</w:t>
            </w:r>
          </w:p>
        </w:tc>
        <w:tc>
          <w:tcPr>
            <w:tcW w:w="964" w:type="dxa"/>
            <w:hideMark/>
          </w:tcPr>
          <w:p w14:paraId="18BF7404" w14:textId="77777777" w:rsidR="00FE3BE4" w:rsidRPr="003C098E" w:rsidRDefault="00FE3BE4" w:rsidP="008D4E1E">
            <w:pPr>
              <w:spacing w:before="100" w:beforeAutospacing="1" w:after="100" w:afterAutospacing="1" w:line="240" w:lineRule="auto"/>
              <w:jc w:val="center"/>
              <w:rPr>
                <w:sz w:val="18"/>
                <w:szCs w:val="18"/>
              </w:rPr>
            </w:pPr>
            <w:r w:rsidRPr="008E0016">
              <w:rPr>
                <w:sz w:val="18"/>
                <w:szCs w:val="18"/>
              </w:rPr>
              <w:t>2.6</w:t>
            </w:r>
          </w:p>
        </w:tc>
        <w:tc>
          <w:tcPr>
            <w:tcW w:w="973" w:type="dxa"/>
            <w:hideMark/>
          </w:tcPr>
          <w:p w14:paraId="03D28E61" w14:textId="77777777" w:rsidR="00FE3BE4" w:rsidRPr="003C098E" w:rsidRDefault="00FE3BE4" w:rsidP="008D4E1E">
            <w:pPr>
              <w:spacing w:before="100" w:beforeAutospacing="1" w:after="100" w:afterAutospacing="1" w:line="240" w:lineRule="auto"/>
              <w:jc w:val="center"/>
              <w:rPr>
                <w:sz w:val="18"/>
                <w:szCs w:val="18"/>
              </w:rPr>
            </w:pPr>
            <w:r w:rsidRPr="008E0016">
              <w:rPr>
                <w:sz w:val="18"/>
                <w:szCs w:val="18"/>
              </w:rPr>
              <w:t>4.1</w:t>
            </w:r>
          </w:p>
        </w:tc>
      </w:tr>
      <w:tr w:rsidR="00FE3BE4" w:rsidRPr="008E0016" w14:paraId="12ECE11C" w14:textId="77777777" w:rsidTr="008D4E1E">
        <w:trPr>
          <w:trHeight w:val="288"/>
        </w:trPr>
        <w:tc>
          <w:tcPr>
            <w:tcW w:w="2780" w:type="dxa"/>
            <w:vAlign w:val="center"/>
            <w:hideMark/>
          </w:tcPr>
          <w:p w14:paraId="65197CC5" w14:textId="77777777" w:rsidR="00FE3BE4" w:rsidRPr="003C098E" w:rsidRDefault="00FE3BE4" w:rsidP="008D4E1E">
            <w:pPr>
              <w:spacing w:before="100" w:beforeAutospacing="1" w:after="100" w:afterAutospacing="1" w:line="240" w:lineRule="auto"/>
              <w:rPr>
                <w:sz w:val="18"/>
                <w:szCs w:val="18"/>
              </w:rPr>
            </w:pPr>
            <w:r w:rsidRPr="003C098E">
              <w:rPr>
                <w:sz w:val="18"/>
                <w:szCs w:val="18"/>
              </w:rPr>
              <w:t xml:space="preserve">Ներմուծում </w:t>
            </w:r>
          </w:p>
        </w:tc>
        <w:tc>
          <w:tcPr>
            <w:tcW w:w="1104" w:type="dxa"/>
            <w:vAlign w:val="center"/>
            <w:hideMark/>
          </w:tcPr>
          <w:p w14:paraId="1DD47FF0" w14:textId="77777777" w:rsidR="00FE3BE4" w:rsidRPr="003C098E" w:rsidRDefault="00FE3BE4" w:rsidP="008D4E1E">
            <w:pPr>
              <w:spacing w:before="100" w:beforeAutospacing="1" w:after="100" w:afterAutospacing="1" w:line="240" w:lineRule="auto"/>
              <w:jc w:val="center"/>
              <w:rPr>
                <w:sz w:val="18"/>
                <w:szCs w:val="18"/>
              </w:rPr>
            </w:pPr>
            <w:r w:rsidRPr="00924DD2">
              <w:rPr>
                <w:sz w:val="18"/>
                <w:szCs w:val="18"/>
              </w:rPr>
              <w:t>35.0</w:t>
            </w:r>
          </w:p>
        </w:tc>
        <w:tc>
          <w:tcPr>
            <w:tcW w:w="1050" w:type="dxa"/>
            <w:vAlign w:val="center"/>
            <w:hideMark/>
          </w:tcPr>
          <w:p w14:paraId="7C3CE304" w14:textId="77777777" w:rsidR="00FE3BE4" w:rsidRPr="003C098E" w:rsidRDefault="00FE3BE4" w:rsidP="008D4E1E">
            <w:pPr>
              <w:spacing w:before="100" w:beforeAutospacing="1" w:after="100" w:afterAutospacing="1" w:line="240" w:lineRule="auto"/>
              <w:jc w:val="center"/>
              <w:rPr>
                <w:sz w:val="18"/>
                <w:szCs w:val="18"/>
              </w:rPr>
            </w:pPr>
            <w:r w:rsidRPr="00924DD2">
              <w:rPr>
                <w:sz w:val="18"/>
                <w:szCs w:val="18"/>
              </w:rPr>
              <w:t>35.4</w:t>
            </w:r>
          </w:p>
        </w:tc>
        <w:tc>
          <w:tcPr>
            <w:tcW w:w="1010" w:type="dxa"/>
            <w:vAlign w:val="center"/>
            <w:hideMark/>
          </w:tcPr>
          <w:p w14:paraId="46DDFF92" w14:textId="77777777" w:rsidR="00FE3BE4" w:rsidRPr="003C098E" w:rsidRDefault="00FE3BE4" w:rsidP="008D4E1E">
            <w:pPr>
              <w:spacing w:before="100" w:beforeAutospacing="1" w:after="100" w:afterAutospacing="1" w:line="240" w:lineRule="auto"/>
              <w:jc w:val="center"/>
              <w:rPr>
                <w:sz w:val="18"/>
                <w:szCs w:val="18"/>
              </w:rPr>
            </w:pPr>
            <w:r w:rsidRPr="00924DD2">
              <w:rPr>
                <w:sz w:val="18"/>
                <w:szCs w:val="18"/>
              </w:rPr>
              <w:t>28.3</w:t>
            </w:r>
          </w:p>
        </w:tc>
        <w:tc>
          <w:tcPr>
            <w:tcW w:w="1058" w:type="dxa"/>
            <w:hideMark/>
          </w:tcPr>
          <w:p w14:paraId="4DA26C44" w14:textId="77777777" w:rsidR="00FE3BE4" w:rsidRPr="003C098E" w:rsidRDefault="00FE3BE4" w:rsidP="008D4E1E">
            <w:pPr>
              <w:spacing w:before="100" w:beforeAutospacing="1" w:after="100" w:afterAutospacing="1" w:line="240" w:lineRule="auto"/>
              <w:jc w:val="center"/>
              <w:rPr>
                <w:sz w:val="18"/>
                <w:szCs w:val="18"/>
              </w:rPr>
            </w:pPr>
            <w:r w:rsidRPr="008E0016">
              <w:rPr>
                <w:sz w:val="18"/>
                <w:szCs w:val="18"/>
              </w:rPr>
              <w:t>-26.9</w:t>
            </w:r>
          </w:p>
        </w:tc>
        <w:tc>
          <w:tcPr>
            <w:tcW w:w="951" w:type="dxa"/>
            <w:hideMark/>
          </w:tcPr>
          <w:p w14:paraId="6B203994" w14:textId="77777777" w:rsidR="00FE3BE4" w:rsidRPr="003C098E" w:rsidRDefault="00FE3BE4" w:rsidP="008D4E1E">
            <w:pPr>
              <w:spacing w:before="100" w:beforeAutospacing="1" w:after="100" w:afterAutospacing="1" w:line="240" w:lineRule="auto"/>
              <w:jc w:val="center"/>
              <w:rPr>
                <w:sz w:val="18"/>
                <w:szCs w:val="18"/>
              </w:rPr>
            </w:pPr>
            <w:r w:rsidRPr="008E0016">
              <w:rPr>
                <w:sz w:val="18"/>
                <w:szCs w:val="18"/>
              </w:rPr>
              <w:t>-6.9</w:t>
            </w:r>
          </w:p>
        </w:tc>
        <w:tc>
          <w:tcPr>
            <w:tcW w:w="964" w:type="dxa"/>
            <w:hideMark/>
          </w:tcPr>
          <w:p w14:paraId="4E4DCA8A" w14:textId="77777777" w:rsidR="00FE3BE4" w:rsidRPr="003C098E" w:rsidRDefault="00FE3BE4" w:rsidP="008D4E1E">
            <w:pPr>
              <w:spacing w:before="100" w:beforeAutospacing="1" w:after="100" w:afterAutospacing="1" w:line="240" w:lineRule="auto"/>
              <w:jc w:val="center"/>
              <w:rPr>
                <w:sz w:val="18"/>
                <w:szCs w:val="18"/>
              </w:rPr>
            </w:pPr>
            <w:r w:rsidRPr="008E0016">
              <w:rPr>
                <w:sz w:val="18"/>
                <w:szCs w:val="18"/>
              </w:rPr>
              <w:t>1.5</w:t>
            </w:r>
          </w:p>
        </w:tc>
        <w:tc>
          <w:tcPr>
            <w:tcW w:w="973" w:type="dxa"/>
            <w:hideMark/>
          </w:tcPr>
          <w:p w14:paraId="19600001" w14:textId="77777777" w:rsidR="00FE3BE4" w:rsidRPr="003C098E" w:rsidRDefault="00FE3BE4" w:rsidP="008D4E1E">
            <w:pPr>
              <w:spacing w:before="100" w:beforeAutospacing="1" w:after="100" w:afterAutospacing="1" w:line="240" w:lineRule="auto"/>
              <w:jc w:val="center"/>
              <w:rPr>
                <w:sz w:val="18"/>
                <w:szCs w:val="18"/>
              </w:rPr>
            </w:pPr>
            <w:r w:rsidRPr="008E0016">
              <w:rPr>
                <w:sz w:val="18"/>
                <w:szCs w:val="18"/>
              </w:rPr>
              <w:t>2.5</w:t>
            </w:r>
          </w:p>
        </w:tc>
      </w:tr>
      <w:tr w:rsidR="00FE3BE4" w:rsidRPr="003C098E" w14:paraId="11B67114" w14:textId="77777777" w:rsidTr="008D4E1E">
        <w:trPr>
          <w:trHeight w:val="288"/>
        </w:trPr>
        <w:tc>
          <w:tcPr>
            <w:tcW w:w="9890" w:type="dxa"/>
            <w:gridSpan w:val="8"/>
            <w:shd w:val="clear" w:color="auto" w:fill="D5DCE4" w:themeFill="text2" w:themeFillTint="33"/>
            <w:noWrap/>
            <w:vAlign w:val="center"/>
            <w:hideMark/>
          </w:tcPr>
          <w:p w14:paraId="2484B23C" w14:textId="77777777" w:rsidR="00FE3BE4" w:rsidRPr="003C098E" w:rsidRDefault="00FE3BE4" w:rsidP="008D4E1E">
            <w:pPr>
              <w:spacing w:before="100" w:beforeAutospacing="1" w:after="100" w:afterAutospacing="1" w:line="240" w:lineRule="auto"/>
              <w:rPr>
                <w:sz w:val="18"/>
                <w:szCs w:val="18"/>
              </w:rPr>
            </w:pPr>
            <w:r w:rsidRPr="003C098E">
              <w:rPr>
                <w:sz w:val="18"/>
                <w:szCs w:val="18"/>
              </w:rPr>
              <w:t>Արտաքին հատված (մլն ԱՄՆ դոլար)</w:t>
            </w:r>
          </w:p>
        </w:tc>
      </w:tr>
      <w:tr w:rsidR="00FE3BE4" w:rsidRPr="003C098E" w14:paraId="53B5E433" w14:textId="77777777" w:rsidTr="008D4E1E">
        <w:trPr>
          <w:trHeight w:val="288"/>
        </w:trPr>
        <w:tc>
          <w:tcPr>
            <w:tcW w:w="2780" w:type="dxa"/>
            <w:vAlign w:val="center"/>
            <w:hideMark/>
          </w:tcPr>
          <w:p w14:paraId="1F1CD878" w14:textId="77777777" w:rsidR="00FE3BE4" w:rsidRPr="003C098E" w:rsidRDefault="00FE3BE4" w:rsidP="008D4E1E">
            <w:pPr>
              <w:spacing w:before="100" w:beforeAutospacing="1" w:after="100" w:afterAutospacing="1" w:line="240" w:lineRule="auto"/>
              <w:rPr>
                <w:sz w:val="18"/>
                <w:szCs w:val="18"/>
              </w:rPr>
            </w:pPr>
            <w:r w:rsidRPr="003C098E">
              <w:rPr>
                <w:sz w:val="18"/>
                <w:szCs w:val="18"/>
              </w:rPr>
              <w:t>Ընթացիկ հաշիվ</w:t>
            </w:r>
          </w:p>
        </w:tc>
        <w:tc>
          <w:tcPr>
            <w:tcW w:w="1104" w:type="dxa"/>
            <w:vAlign w:val="center"/>
          </w:tcPr>
          <w:p w14:paraId="30A94305" w14:textId="77777777" w:rsidR="00FE3BE4" w:rsidRPr="00FC7FE1" w:rsidRDefault="00FE3BE4" w:rsidP="008D4E1E">
            <w:pPr>
              <w:spacing w:before="100" w:beforeAutospacing="1" w:after="100" w:afterAutospacing="1" w:line="240" w:lineRule="auto"/>
              <w:jc w:val="center"/>
              <w:rPr>
                <w:sz w:val="18"/>
                <w:szCs w:val="18"/>
              </w:rPr>
            </w:pPr>
            <w:r w:rsidRPr="00180B2A">
              <w:rPr>
                <w:sz w:val="18"/>
                <w:szCs w:val="18"/>
              </w:rPr>
              <w:t>144</w:t>
            </w:r>
          </w:p>
        </w:tc>
        <w:tc>
          <w:tcPr>
            <w:tcW w:w="1050" w:type="dxa"/>
            <w:vAlign w:val="center"/>
          </w:tcPr>
          <w:p w14:paraId="687CDEF8" w14:textId="77777777" w:rsidR="00FE3BE4" w:rsidRPr="00FC7FE1" w:rsidRDefault="00FE3BE4" w:rsidP="008D4E1E">
            <w:pPr>
              <w:spacing w:before="100" w:beforeAutospacing="1" w:after="100" w:afterAutospacing="1" w:line="240" w:lineRule="auto"/>
              <w:jc w:val="center"/>
              <w:rPr>
                <w:sz w:val="18"/>
                <w:szCs w:val="18"/>
              </w:rPr>
            </w:pPr>
            <w:r w:rsidRPr="00180B2A">
              <w:rPr>
                <w:sz w:val="18"/>
                <w:szCs w:val="18"/>
              </w:rPr>
              <w:t>-670</w:t>
            </w:r>
          </w:p>
        </w:tc>
        <w:tc>
          <w:tcPr>
            <w:tcW w:w="1010" w:type="dxa"/>
            <w:vAlign w:val="center"/>
          </w:tcPr>
          <w:p w14:paraId="1982CD3A" w14:textId="77777777" w:rsidR="00FE3BE4" w:rsidRPr="00FC7FE1" w:rsidRDefault="00FE3BE4" w:rsidP="008D4E1E">
            <w:pPr>
              <w:spacing w:before="100" w:beforeAutospacing="1" w:after="100" w:afterAutospacing="1" w:line="240" w:lineRule="auto"/>
              <w:jc w:val="center"/>
              <w:rPr>
                <w:sz w:val="18"/>
                <w:szCs w:val="18"/>
              </w:rPr>
            </w:pPr>
            <w:r w:rsidRPr="00180B2A">
              <w:rPr>
                <w:sz w:val="18"/>
                <w:szCs w:val="18"/>
              </w:rPr>
              <w:t>-1,195</w:t>
            </w:r>
          </w:p>
        </w:tc>
        <w:tc>
          <w:tcPr>
            <w:tcW w:w="1058" w:type="dxa"/>
            <w:vAlign w:val="center"/>
          </w:tcPr>
          <w:p w14:paraId="4A07EA95" w14:textId="77777777" w:rsidR="00FE3BE4" w:rsidRPr="00FC7FE1" w:rsidRDefault="00FE3BE4" w:rsidP="008D4E1E">
            <w:pPr>
              <w:spacing w:before="100" w:beforeAutospacing="1" w:after="100" w:afterAutospacing="1" w:line="240" w:lineRule="auto"/>
              <w:jc w:val="center"/>
              <w:rPr>
                <w:sz w:val="18"/>
                <w:szCs w:val="18"/>
              </w:rPr>
            </w:pPr>
            <w:r w:rsidRPr="00180B2A">
              <w:rPr>
                <w:sz w:val="18"/>
                <w:szCs w:val="18"/>
              </w:rPr>
              <w:t>-1,509</w:t>
            </w:r>
          </w:p>
        </w:tc>
        <w:tc>
          <w:tcPr>
            <w:tcW w:w="951" w:type="dxa"/>
            <w:vAlign w:val="center"/>
          </w:tcPr>
          <w:p w14:paraId="2CBF3F08" w14:textId="77777777" w:rsidR="00FE3BE4" w:rsidRPr="00FC7FE1" w:rsidRDefault="00FE3BE4" w:rsidP="008D4E1E">
            <w:pPr>
              <w:spacing w:before="100" w:beforeAutospacing="1" w:after="100" w:afterAutospacing="1" w:line="240" w:lineRule="auto"/>
              <w:jc w:val="center"/>
              <w:rPr>
                <w:sz w:val="18"/>
                <w:szCs w:val="18"/>
              </w:rPr>
            </w:pPr>
            <w:r w:rsidRPr="00180B2A">
              <w:rPr>
                <w:sz w:val="18"/>
                <w:szCs w:val="18"/>
              </w:rPr>
              <w:t>-1,339</w:t>
            </w:r>
          </w:p>
        </w:tc>
        <w:tc>
          <w:tcPr>
            <w:tcW w:w="964" w:type="dxa"/>
            <w:vAlign w:val="center"/>
          </w:tcPr>
          <w:p w14:paraId="3FE1D4C5" w14:textId="77777777" w:rsidR="00FE3BE4" w:rsidRPr="00FC7FE1" w:rsidRDefault="00FE3BE4" w:rsidP="008D4E1E">
            <w:pPr>
              <w:spacing w:before="100" w:beforeAutospacing="1" w:after="100" w:afterAutospacing="1" w:line="240" w:lineRule="auto"/>
              <w:jc w:val="center"/>
              <w:rPr>
                <w:sz w:val="18"/>
                <w:szCs w:val="18"/>
              </w:rPr>
            </w:pPr>
            <w:r w:rsidRPr="00180B2A">
              <w:rPr>
                <w:sz w:val="18"/>
                <w:szCs w:val="18"/>
              </w:rPr>
              <w:t>-1,343</w:t>
            </w:r>
          </w:p>
        </w:tc>
        <w:tc>
          <w:tcPr>
            <w:tcW w:w="973" w:type="dxa"/>
            <w:vAlign w:val="center"/>
          </w:tcPr>
          <w:p w14:paraId="55AC729D" w14:textId="77777777" w:rsidR="00FE3BE4" w:rsidRPr="00FC7FE1" w:rsidRDefault="00FE3BE4" w:rsidP="008D4E1E">
            <w:pPr>
              <w:spacing w:before="100" w:beforeAutospacing="1" w:after="100" w:afterAutospacing="1" w:line="240" w:lineRule="auto"/>
              <w:jc w:val="center"/>
              <w:rPr>
                <w:sz w:val="18"/>
                <w:szCs w:val="18"/>
              </w:rPr>
            </w:pPr>
            <w:r w:rsidRPr="00180B2A">
              <w:rPr>
                <w:sz w:val="18"/>
                <w:szCs w:val="18"/>
              </w:rPr>
              <w:t>-1,350</w:t>
            </w:r>
          </w:p>
        </w:tc>
      </w:tr>
      <w:tr w:rsidR="00FE3BE4" w:rsidRPr="003C098E" w14:paraId="16311C7C" w14:textId="77777777" w:rsidTr="008D4E1E">
        <w:trPr>
          <w:trHeight w:val="288"/>
        </w:trPr>
        <w:tc>
          <w:tcPr>
            <w:tcW w:w="2780" w:type="dxa"/>
            <w:vAlign w:val="center"/>
            <w:hideMark/>
          </w:tcPr>
          <w:p w14:paraId="04005957" w14:textId="77777777" w:rsidR="00FE3BE4" w:rsidRPr="003C098E" w:rsidRDefault="00FE3BE4" w:rsidP="008D4E1E">
            <w:pPr>
              <w:spacing w:before="100" w:beforeAutospacing="1" w:after="100" w:afterAutospacing="1" w:line="240" w:lineRule="auto"/>
              <w:rPr>
                <w:sz w:val="18"/>
                <w:szCs w:val="18"/>
              </w:rPr>
            </w:pPr>
            <w:r w:rsidRPr="003C098E">
              <w:rPr>
                <w:sz w:val="18"/>
                <w:szCs w:val="18"/>
              </w:rPr>
              <w:t>Ապրանքների և ծառայությունների հաշվեկշիռ</w:t>
            </w:r>
          </w:p>
        </w:tc>
        <w:tc>
          <w:tcPr>
            <w:tcW w:w="1104" w:type="dxa"/>
            <w:vAlign w:val="center"/>
          </w:tcPr>
          <w:p w14:paraId="1C7005CC" w14:textId="77777777" w:rsidR="00FE3BE4" w:rsidRPr="00FC7FE1" w:rsidRDefault="00FE3BE4" w:rsidP="008D4E1E">
            <w:pPr>
              <w:spacing w:before="100" w:beforeAutospacing="1" w:after="100" w:afterAutospacing="1" w:line="240" w:lineRule="auto"/>
              <w:jc w:val="center"/>
              <w:rPr>
                <w:sz w:val="18"/>
                <w:szCs w:val="18"/>
              </w:rPr>
            </w:pPr>
            <w:r w:rsidRPr="00180B2A">
              <w:rPr>
                <w:sz w:val="18"/>
                <w:szCs w:val="18"/>
              </w:rPr>
              <w:t>-100</w:t>
            </w:r>
          </w:p>
        </w:tc>
        <w:tc>
          <w:tcPr>
            <w:tcW w:w="1050" w:type="dxa"/>
            <w:vAlign w:val="center"/>
          </w:tcPr>
          <w:p w14:paraId="109B1683" w14:textId="77777777" w:rsidR="00FE3BE4" w:rsidRPr="00FC7FE1" w:rsidRDefault="00FE3BE4" w:rsidP="008D4E1E">
            <w:pPr>
              <w:spacing w:before="100" w:beforeAutospacing="1" w:after="100" w:afterAutospacing="1" w:line="240" w:lineRule="auto"/>
              <w:jc w:val="center"/>
              <w:rPr>
                <w:sz w:val="18"/>
                <w:szCs w:val="18"/>
              </w:rPr>
            </w:pPr>
            <w:r w:rsidRPr="00180B2A">
              <w:rPr>
                <w:sz w:val="18"/>
                <w:szCs w:val="18"/>
              </w:rPr>
              <w:t>-343</w:t>
            </w:r>
          </w:p>
        </w:tc>
        <w:tc>
          <w:tcPr>
            <w:tcW w:w="1010" w:type="dxa"/>
            <w:vAlign w:val="center"/>
          </w:tcPr>
          <w:p w14:paraId="28BB6A4C" w14:textId="77777777" w:rsidR="00FE3BE4" w:rsidRPr="00FC7FE1" w:rsidRDefault="00FE3BE4" w:rsidP="008D4E1E">
            <w:pPr>
              <w:spacing w:before="100" w:beforeAutospacing="1" w:after="100" w:afterAutospacing="1" w:line="240" w:lineRule="auto"/>
              <w:jc w:val="center"/>
              <w:rPr>
                <w:sz w:val="18"/>
                <w:szCs w:val="18"/>
              </w:rPr>
            </w:pPr>
            <w:r w:rsidRPr="00180B2A">
              <w:rPr>
                <w:sz w:val="18"/>
                <w:szCs w:val="18"/>
              </w:rPr>
              <w:t>-732</w:t>
            </w:r>
          </w:p>
        </w:tc>
        <w:tc>
          <w:tcPr>
            <w:tcW w:w="1058" w:type="dxa"/>
            <w:vAlign w:val="center"/>
          </w:tcPr>
          <w:p w14:paraId="38E99CC2" w14:textId="77777777" w:rsidR="00FE3BE4" w:rsidRPr="00FC7FE1" w:rsidRDefault="00FE3BE4" w:rsidP="008D4E1E">
            <w:pPr>
              <w:spacing w:before="100" w:beforeAutospacing="1" w:after="100" w:afterAutospacing="1" w:line="240" w:lineRule="auto"/>
              <w:jc w:val="center"/>
              <w:rPr>
                <w:sz w:val="18"/>
                <w:szCs w:val="18"/>
              </w:rPr>
            </w:pPr>
            <w:r w:rsidRPr="00180B2A">
              <w:rPr>
                <w:sz w:val="18"/>
                <w:szCs w:val="18"/>
              </w:rPr>
              <w:t>-1,425</w:t>
            </w:r>
          </w:p>
        </w:tc>
        <w:tc>
          <w:tcPr>
            <w:tcW w:w="951" w:type="dxa"/>
            <w:vAlign w:val="center"/>
          </w:tcPr>
          <w:p w14:paraId="752F8C53" w14:textId="77777777" w:rsidR="00FE3BE4" w:rsidRPr="00FC7FE1" w:rsidRDefault="00FE3BE4" w:rsidP="008D4E1E">
            <w:pPr>
              <w:spacing w:before="100" w:beforeAutospacing="1" w:after="100" w:afterAutospacing="1" w:line="240" w:lineRule="auto"/>
              <w:jc w:val="center"/>
              <w:rPr>
                <w:sz w:val="18"/>
                <w:szCs w:val="18"/>
              </w:rPr>
            </w:pPr>
            <w:r w:rsidRPr="00180B2A">
              <w:rPr>
                <w:sz w:val="18"/>
                <w:szCs w:val="18"/>
              </w:rPr>
              <w:t>-1,351</w:t>
            </w:r>
          </w:p>
        </w:tc>
        <w:tc>
          <w:tcPr>
            <w:tcW w:w="964" w:type="dxa"/>
            <w:vAlign w:val="center"/>
          </w:tcPr>
          <w:p w14:paraId="3C2741CA" w14:textId="77777777" w:rsidR="00FE3BE4" w:rsidRPr="00FC7FE1" w:rsidRDefault="00FE3BE4" w:rsidP="008D4E1E">
            <w:pPr>
              <w:spacing w:before="100" w:beforeAutospacing="1" w:after="100" w:afterAutospacing="1" w:line="240" w:lineRule="auto"/>
              <w:jc w:val="center"/>
              <w:rPr>
                <w:sz w:val="18"/>
                <w:szCs w:val="18"/>
              </w:rPr>
            </w:pPr>
            <w:r w:rsidRPr="00180B2A">
              <w:rPr>
                <w:sz w:val="18"/>
                <w:szCs w:val="18"/>
              </w:rPr>
              <w:t>-1,352</w:t>
            </w:r>
          </w:p>
        </w:tc>
        <w:tc>
          <w:tcPr>
            <w:tcW w:w="973" w:type="dxa"/>
            <w:vAlign w:val="center"/>
          </w:tcPr>
          <w:p w14:paraId="4913C31D" w14:textId="77777777" w:rsidR="00FE3BE4" w:rsidRPr="00FC7FE1" w:rsidRDefault="00FE3BE4" w:rsidP="008D4E1E">
            <w:pPr>
              <w:spacing w:before="100" w:beforeAutospacing="1" w:after="100" w:afterAutospacing="1" w:line="240" w:lineRule="auto"/>
              <w:jc w:val="center"/>
              <w:rPr>
                <w:sz w:val="18"/>
                <w:szCs w:val="18"/>
              </w:rPr>
            </w:pPr>
            <w:r w:rsidRPr="00180B2A">
              <w:rPr>
                <w:sz w:val="18"/>
                <w:szCs w:val="18"/>
              </w:rPr>
              <w:t>-1,328</w:t>
            </w:r>
          </w:p>
        </w:tc>
      </w:tr>
      <w:tr w:rsidR="00FE3BE4" w:rsidRPr="003C098E" w14:paraId="2BFDE5FC" w14:textId="77777777" w:rsidTr="008D4E1E">
        <w:trPr>
          <w:trHeight w:val="288"/>
        </w:trPr>
        <w:tc>
          <w:tcPr>
            <w:tcW w:w="2780" w:type="dxa"/>
            <w:vAlign w:val="center"/>
            <w:hideMark/>
          </w:tcPr>
          <w:p w14:paraId="751E7891" w14:textId="77777777" w:rsidR="00FE3BE4" w:rsidRPr="003C098E" w:rsidRDefault="00FE3BE4" w:rsidP="008D4E1E">
            <w:pPr>
              <w:spacing w:before="100" w:beforeAutospacing="1" w:after="100" w:afterAutospacing="1" w:line="240" w:lineRule="auto"/>
              <w:rPr>
                <w:sz w:val="18"/>
                <w:szCs w:val="18"/>
              </w:rPr>
            </w:pPr>
            <w:r w:rsidRPr="003C098E">
              <w:rPr>
                <w:sz w:val="18"/>
                <w:szCs w:val="18"/>
              </w:rPr>
              <w:t>Արտահանում</w:t>
            </w:r>
          </w:p>
        </w:tc>
        <w:tc>
          <w:tcPr>
            <w:tcW w:w="1104" w:type="dxa"/>
            <w:vAlign w:val="center"/>
          </w:tcPr>
          <w:p w14:paraId="2D04435F" w14:textId="77777777" w:rsidR="00FE3BE4" w:rsidRPr="00B90F4F" w:rsidRDefault="00FE3BE4" w:rsidP="008D4E1E">
            <w:pPr>
              <w:spacing w:before="100" w:beforeAutospacing="1" w:after="100" w:afterAutospacing="1" w:line="240" w:lineRule="auto"/>
              <w:jc w:val="center"/>
              <w:rPr>
                <w:sz w:val="18"/>
                <w:szCs w:val="18"/>
              </w:rPr>
            </w:pPr>
            <w:r w:rsidRPr="00180B2A">
              <w:rPr>
                <w:sz w:val="18"/>
                <w:szCs w:val="18"/>
              </w:rPr>
              <w:t>10,339</w:t>
            </w:r>
          </w:p>
        </w:tc>
        <w:tc>
          <w:tcPr>
            <w:tcW w:w="1050" w:type="dxa"/>
            <w:vAlign w:val="center"/>
          </w:tcPr>
          <w:p w14:paraId="17994E2F" w14:textId="77777777" w:rsidR="00FE3BE4" w:rsidRPr="00FC7FE1" w:rsidRDefault="00FE3BE4" w:rsidP="008D4E1E">
            <w:pPr>
              <w:spacing w:before="100" w:beforeAutospacing="1" w:after="100" w:afterAutospacing="1" w:line="240" w:lineRule="auto"/>
              <w:jc w:val="center"/>
              <w:rPr>
                <w:sz w:val="18"/>
                <w:szCs w:val="18"/>
              </w:rPr>
            </w:pPr>
            <w:r w:rsidRPr="00180B2A">
              <w:rPr>
                <w:sz w:val="18"/>
                <w:szCs w:val="18"/>
              </w:rPr>
              <w:t>14,718</w:t>
            </w:r>
          </w:p>
        </w:tc>
        <w:tc>
          <w:tcPr>
            <w:tcW w:w="1010" w:type="dxa"/>
            <w:vAlign w:val="center"/>
          </w:tcPr>
          <w:p w14:paraId="6F591D2A" w14:textId="77777777" w:rsidR="00FE3BE4" w:rsidRPr="00FC7FE1" w:rsidRDefault="00FE3BE4" w:rsidP="008D4E1E">
            <w:pPr>
              <w:spacing w:before="100" w:beforeAutospacing="1" w:after="100" w:afterAutospacing="1" w:line="240" w:lineRule="auto"/>
              <w:jc w:val="center"/>
              <w:rPr>
                <w:sz w:val="18"/>
                <w:szCs w:val="18"/>
              </w:rPr>
            </w:pPr>
            <w:r w:rsidRPr="00180B2A">
              <w:rPr>
                <w:sz w:val="18"/>
                <w:szCs w:val="18"/>
              </w:rPr>
              <w:t>19,072</w:t>
            </w:r>
          </w:p>
        </w:tc>
        <w:tc>
          <w:tcPr>
            <w:tcW w:w="1058" w:type="dxa"/>
            <w:vAlign w:val="center"/>
          </w:tcPr>
          <w:p w14:paraId="48C0C806" w14:textId="77777777" w:rsidR="00FE3BE4" w:rsidRPr="00B90F4F" w:rsidRDefault="00FE3BE4" w:rsidP="008D4E1E">
            <w:pPr>
              <w:spacing w:before="100" w:beforeAutospacing="1" w:after="100" w:afterAutospacing="1" w:line="240" w:lineRule="auto"/>
              <w:jc w:val="center"/>
              <w:rPr>
                <w:sz w:val="18"/>
                <w:szCs w:val="18"/>
              </w:rPr>
            </w:pPr>
            <w:r w:rsidRPr="00180B2A">
              <w:rPr>
                <w:sz w:val="18"/>
                <w:szCs w:val="18"/>
              </w:rPr>
              <w:t>13,436</w:t>
            </w:r>
          </w:p>
        </w:tc>
        <w:tc>
          <w:tcPr>
            <w:tcW w:w="951" w:type="dxa"/>
            <w:vAlign w:val="center"/>
          </w:tcPr>
          <w:p w14:paraId="26C65A15" w14:textId="77777777" w:rsidR="00FE3BE4" w:rsidRPr="00FC7FE1" w:rsidRDefault="00FE3BE4" w:rsidP="008D4E1E">
            <w:pPr>
              <w:spacing w:before="100" w:beforeAutospacing="1" w:after="100" w:afterAutospacing="1" w:line="240" w:lineRule="auto"/>
              <w:jc w:val="center"/>
              <w:rPr>
                <w:sz w:val="18"/>
                <w:szCs w:val="18"/>
              </w:rPr>
            </w:pPr>
            <w:r w:rsidRPr="00180B2A">
              <w:rPr>
                <w:sz w:val="18"/>
                <w:szCs w:val="18"/>
              </w:rPr>
              <w:t>12,431</w:t>
            </w:r>
          </w:p>
        </w:tc>
        <w:tc>
          <w:tcPr>
            <w:tcW w:w="964" w:type="dxa"/>
            <w:vAlign w:val="center"/>
          </w:tcPr>
          <w:p w14:paraId="227AB18C" w14:textId="77777777" w:rsidR="00FE3BE4" w:rsidRPr="00B90F4F" w:rsidRDefault="00FE3BE4" w:rsidP="008D4E1E">
            <w:pPr>
              <w:spacing w:before="100" w:beforeAutospacing="1" w:after="100" w:afterAutospacing="1" w:line="240" w:lineRule="auto"/>
              <w:jc w:val="center"/>
              <w:rPr>
                <w:sz w:val="18"/>
                <w:szCs w:val="18"/>
              </w:rPr>
            </w:pPr>
            <w:r w:rsidRPr="00180B2A">
              <w:rPr>
                <w:sz w:val="18"/>
                <w:szCs w:val="18"/>
              </w:rPr>
              <w:t>12,781</w:t>
            </w:r>
          </w:p>
        </w:tc>
        <w:tc>
          <w:tcPr>
            <w:tcW w:w="973" w:type="dxa"/>
            <w:vAlign w:val="center"/>
          </w:tcPr>
          <w:p w14:paraId="57F9FA23" w14:textId="77777777" w:rsidR="00FE3BE4" w:rsidRPr="00B90F4F" w:rsidRDefault="00FE3BE4" w:rsidP="008D4E1E">
            <w:pPr>
              <w:spacing w:before="100" w:beforeAutospacing="1" w:after="100" w:afterAutospacing="1" w:line="240" w:lineRule="auto"/>
              <w:jc w:val="center"/>
              <w:rPr>
                <w:sz w:val="18"/>
                <w:szCs w:val="18"/>
              </w:rPr>
            </w:pPr>
            <w:r w:rsidRPr="00180B2A">
              <w:rPr>
                <w:sz w:val="18"/>
                <w:szCs w:val="18"/>
              </w:rPr>
              <w:t>13,351</w:t>
            </w:r>
          </w:p>
        </w:tc>
      </w:tr>
      <w:tr w:rsidR="00FE3BE4" w:rsidRPr="003C098E" w14:paraId="7D9B52F4" w14:textId="77777777" w:rsidTr="008D4E1E">
        <w:trPr>
          <w:trHeight w:val="288"/>
        </w:trPr>
        <w:tc>
          <w:tcPr>
            <w:tcW w:w="2780" w:type="dxa"/>
            <w:vAlign w:val="center"/>
            <w:hideMark/>
          </w:tcPr>
          <w:p w14:paraId="466CC326" w14:textId="77777777" w:rsidR="00FE3BE4" w:rsidRPr="003C098E" w:rsidRDefault="00FE3BE4" w:rsidP="008D4E1E">
            <w:pPr>
              <w:spacing w:before="100" w:beforeAutospacing="1" w:after="100" w:afterAutospacing="1" w:line="240" w:lineRule="auto"/>
              <w:rPr>
                <w:sz w:val="18"/>
                <w:szCs w:val="18"/>
              </w:rPr>
            </w:pPr>
            <w:r w:rsidRPr="003C098E">
              <w:rPr>
                <w:sz w:val="18"/>
                <w:szCs w:val="18"/>
              </w:rPr>
              <w:t>Փոփոխություն, %</w:t>
            </w:r>
          </w:p>
        </w:tc>
        <w:tc>
          <w:tcPr>
            <w:tcW w:w="1104" w:type="dxa"/>
            <w:vAlign w:val="center"/>
          </w:tcPr>
          <w:p w14:paraId="55875109" w14:textId="77777777" w:rsidR="00FE3BE4" w:rsidRPr="00B90F4F" w:rsidRDefault="00FE3BE4" w:rsidP="008D4E1E">
            <w:pPr>
              <w:spacing w:before="100" w:beforeAutospacing="1" w:after="100" w:afterAutospacing="1" w:line="240" w:lineRule="auto"/>
              <w:jc w:val="center"/>
              <w:rPr>
                <w:sz w:val="18"/>
                <w:szCs w:val="18"/>
              </w:rPr>
            </w:pPr>
            <w:r w:rsidRPr="00C247B3">
              <w:rPr>
                <w:sz w:val="18"/>
                <w:szCs w:val="18"/>
              </w:rPr>
              <w:t>107.7</w:t>
            </w:r>
          </w:p>
        </w:tc>
        <w:tc>
          <w:tcPr>
            <w:tcW w:w="1050" w:type="dxa"/>
            <w:vAlign w:val="center"/>
          </w:tcPr>
          <w:p w14:paraId="433CA401" w14:textId="77777777" w:rsidR="00FE3BE4" w:rsidRPr="00B90F4F" w:rsidRDefault="00FE3BE4" w:rsidP="008D4E1E">
            <w:pPr>
              <w:spacing w:before="100" w:beforeAutospacing="1" w:after="100" w:afterAutospacing="1" w:line="240" w:lineRule="auto"/>
              <w:jc w:val="center"/>
              <w:rPr>
                <w:sz w:val="18"/>
                <w:szCs w:val="18"/>
              </w:rPr>
            </w:pPr>
            <w:r w:rsidRPr="00C247B3">
              <w:rPr>
                <w:sz w:val="18"/>
                <w:szCs w:val="18"/>
              </w:rPr>
              <w:t>42.3</w:t>
            </w:r>
          </w:p>
        </w:tc>
        <w:tc>
          <w:tcPr>
            <w:tcW w:w="1010" w:type="dxa"/>
            <w:vAlign w:val="center"/>
          </w:tcPr>
          <w:p w14:paraId="086C9D1F" w14:textId="77777777" w:rsidR="00FE3BE4" w:rsidRPr="00B90F4F" w:rsidRDefault="00FE3BE4" w:rsidP="008D4E1E">
            <w:pPr>
              <w:spacing w:before="100" w:beforeAutospacing="1" w:after="100" w:afterAutospacing="1" w:line="240" w:lineRule="auto"/>
              <w:jc w:val="center"/>
              <w:rPr>
                <w:sz w:val="18"/>
                <w:szCs w:val="18"/>
              </w:rPr>
            </w:pPr>
            <w:r w:rsidRPr="00C247B3">
              <w:rPr>
                <w:sz w:val="18"/>
                <w:szCs w:val="18"/>
              </w:rPr>
              <w:t>29.6</w:t>
            </w:r>
          </w:p>
        </w:tc>
        <w:tc>
          <w:tcPr>
            <w:tcW w:w="1058" w:type="dxa"/>
            <w:vAlign w:val="center"/>
          </w:tcPr>
          <w:p w14:paraId="49D4712C" w14:textId="77777777" w:rsidR="00FE3BE4" w:rsidRPr="00B90F4F" w:rsidRDefault="00FE3BE4" w:rsidP="008D4E1E">
            <w:pPr>
              <w:spacing w:before="100" w:beforeAutospacing="1" w:after="100" w:afterAutospacing="1" w:line="240" w:lineRule="auto"/>
              <w:jc w:val="center"/>
              <w:rPr>
                <w:sz w:val="18"/>
                <w:szCs w:val="18"/>
              </w:rPr>
            </w:pPr>
            <w:r w:rsidRPr="00C247B3">
              <w:rPr>
                <w:sz w:val="18"/>
                <w:szCs w:val="18"/>
              </w:rPr>
              <w:t>-29.5</w:t>
            </w:r>
          </w:p>
        </w:tc>
        <w:tc>
          <w:tcPr>
            <w:tcW w:w="951" w:type="dxa"/>
            <w:vAlign w:val="center"/>
          </w:tcPr>
          <w:p w14:paraId="760686B0" w14:textId="77777777" w:rsidR="00FE3BE4" w:rsidRPr="00B90F4F" w:rsidRDefault="00FE3BE4" w:rsidP="008D4E1E">
            <w:pPr>
              <w:spacing w:before="100" w:beforeAutospacing="1" w:after="100" w:afterAutospacing="1" w:line="240" w:lineRule="auto"/>
              <w:jc w:val="center"/>
              <w:rPr>
                <w:sz w:val="18"/>
                <w:szCs w:val="18"/>
              </w:rPr>
            </w:pPr>
            <w:r w:rsidRPr="00C247B3">
              <w:rPr>
                <w:sz w:val="18"/>
                <w:szCs w:val="18"/>
              </w:rPr>
              <w:t>-7.5</w:t>
            </w:r>
          </w:p>
        </w:tc>
        <w:tc>
          <w:tcPr>
            <w:tcW w:w="964" w:type="dxa"/>
            <w:vAlign w:val="center"/>
          </w:tcPr>
          <w:p w14:paraId="736A08BE" w14:textId="77777777" w:rsidR="00FE3BE4" w:rsidRPr="00B90F4F" w:rsidRDefault="00FE3BE4" w:rsidP="008D4E1E">
            <w:pPr>
              <w:spacing w:before="100" w:beforeAutospacing="1" w:after="100" w:afterAutospacing="1" w:line="240" w:lineRule="auto"/>
              <w:jc w:val="center"/>
              <w:rPr>
                <w:sz w:val="18"/>
                <w:szCs w:val="18"/>
              </w:rPr>
            </w:pPr>
            <w:r w:rsidRPr="00C247B3">
              <w:rPr>
                <w:sz w:val="18"/>
                <w:szCs w:val="18"/>
              </w:rPr>
              <w:t>2.8</w:t>
            </w:r>
          </w:p>
        </w:tc>
        <w:tc>
          <w:tcPr>
            <w:tcW w:w="973" w:type="dxa"/>
            <w:vAlign w:val="center"/>
          </w:tcPr>
          <w:p w14:paraId="45DE5623" w14:textId="77777777" w:rsidR="00FE3BE4" w:rsidRPr="00B90F4F" w:rsidRDefault="00FE3BE4" w:rsidP="008D4E1E">
            <w:pPr>
              <w:spacing w:before="100" w:beforeAutospacing="1" w:after="100" w:afterAutospacing="1" w:line="240" w:lineRule="auto"/>
              <w:jc w:val="center"/>
              <w:rPr>
                <w:sz w:val="18"/>
                <w:szCs w:val="18"/>
              </w:rPr>
            </w:pPr>
            <w:r w:rsidRPr="00C247B3">
              <w:rPr>
                <w:sz w:val="18"/>
                <w:szCs w:val="18"/>
              </w:rPr>
              <w:t>4.5</w:t>
            </w:r>
          </w:p>
        </w:tc>
      </w:tr>
      <w:tr w:rsidR="00FE3BE4" w:rsidRPr="003C098E" w14:paraId="5BDEEB09" w14:textId="77777777" w:rsidTr="008D4E1E">
        <w:trPr>
          <w:trHeight w:val="288"/>
        </w:trPr>
        <w:tc>
          <w:tcPr>
            <w:tcW w:w="2780" w:type="dxa"/>
            <w:vAlign w:val="center"/>
            <w:hideMark/>
          </w:tcPr>
          <w:p w14:paraId="4ACA5D77" w14:textId="77777777" w:rsidR="00FE3BE4" w:rsidRPr="003C098E" w:rsidRDefault="00FE3BE4" w:rsidP="008D4E1E">
            <w:pPr>
              <w:spacing w:before="100" w:beforeAutospacing="1" w:after="100" w:afterAutospacing="1" w:line="240" w:lineRule="auto"/>
              <w:rPr>
                <w:sz w:val="18"/>
                <w:szCs w:val="18"/>
              </w:rPr>
            </w:pPr>
            <w:r w:rsidRPr="003C098E">
              <w:rPr>
                <w:sz w:val="18"/>
                <w:szCs w:val="18"/>
              </w:rPr>
              <w:t>Ներմուծում</w:t>
            </w:r>
          </w:p>
        </w:tc>
        <w:tc>
          <w:tcPr>
            <w:tcW w:w="1104" w:type="dxa"/>
            <w:vAlign w:val="center"/>
          </w:tcPr>
          <w:p w14:paraId="50707DC3" w14:textId="77777777" w:rsidR="00FE3BE4" w:rsidRPr="00B90F4F" w:rsidRDefault="00FE3BE4" w:rsidP="008D4E1E">
            <w:pPr>
              <w:spacing w:before="100" w:beforeAutospacing="1" w:after="100" w:afterAutospacing="1" w:line="240" w:lineRule="auto"/>
              <w:jc w:val="center"/>
              <w:rPr>
                <w:sz w:val="18"/>
                <w:szCs w:val="18"/>
              </w:rPr>
            </w:pPr>
            <w:r w:rsidRPr="00180B2A">
              <w:rPr>
                <w:sz w:val="18"/>
                <w:szCs w:val="18"/>
              </w:rPr>
              <w:t>10,439</w:t>
            </w:r>
          </w:p>
        </w:tc>
        <w:tc>
          <w:tcPr>
            <w:tcW w:w="1050" w:type="dxa"/>
            <w:vAlign w:val="center"/>
          </w:tcPr>
          <w:p w14:paraId="06959263" w14:textId="77777777" w:rsidR="00FE3BE4" w:rsidRPr="00B90F4F" w:rsidRDefault="00FE3BE4" w:rsidP="008D4E1E">
            <w:pPr>
              <w:spacing w:before="100" w:beforeAutospacing="1" w:after="100" w:afterAutospacing="1" w:line="240" w:lineRule="auto"/>
              <w:jc w:val="center"/>
              <w:rPr>
                <w:sz w:val="18"/>
                <w:szCs w:val="18"/>
              </w:rPr>
            </w:pPr>
            <w:r w:rsidRPr="00180B2A">
              <w:rPr>
                <w:sz w:val="18"/>
                <w:szCs w:val="18"/>
              </w:rPr>
              <w:t>15,062</w:t>
            </w:r>
          </w:p>
        </w:tc>
        <w:tc>
          <w:tcPr>
            <w:tcW w:w="1010" w:type="dxa"/>
            <w:vAlign w:val="center"/>
          </w:tcPr>
          <w:p w14:paraId="331D8CB3" w14:textId="77777777" w:rsidR="00FE3BE4" w:rsidRPr="00B90F4F" w:rsidRDefault="00FE3BE4" w:rsidP="008D4E1E">
            <w:pPr>
              <w:spacing w:before="100" w:beforeAutospacing="1" w:after="100" w:afterAutospacing="1" w:line="240" w:lineRule="auto"/>
              <w:jc w:val="center"/>
              <w:rPr>
                <w:sz w:val="18"/>
                <w:szCs w:val="18"/>
              </w:rPr>
            </w:pPr>
            <w:r w:rsidRPr="00180B2A">
              <w:rPr>
                <w:sz w:val="18"/>
                <w:szCs w:val="18"/>
              </w:rPr>
              <w:t>19,804</w:t>
            </w:r>
          </w:p>
        </w:tc>
        <w:tc>
          <w:tcPr>
            <w:tcW w:w="1058" w:type="dxa"/>
            <w:vAlign w:val="center"/>
          </w:tcPr>
          <w:p w14:paraId="0FAB735D" w14:textId="77777777" w:rsidR="00FE3BE4" w:rsidRPr="00B90F4F" w:rsidRDefault="00FE3BE4" w:rsidP="008D4E1E">
            <w:pPr>
              <w:spacing w:before="100" w:beforeAutospacing="1" w:after="100" w:afterAutospacing="1" w:line="240" w:lineRule="auto"/>
              <w:jc w:val="center"/>
              <w:rPr>
                <w:sz w:val="18"/>
                <w:szCs w:val="18"/>
              </w:rPr>
            </w:pPr>
            <w:r w:rsidRPr="00180B2A">
              <w:rPr>
                <w:sz w:val="18"/>
                <w:szCs w:val="18"/>
              </w:rPr>
              <w:t>14,861</w:t>
            </w:r>
          </w:p>
        </w:tc>
        <w:tc>
          <w:tcPr>
            <w:tcW w:w="951" w:type="dxa"/>
            <w:vAlign w:val="center"/>
          </w:tcPr>
          <w:p w14:paraId="3F758370" w14:textId="77777777" w:rsidR="00FE3BE4" w:rsidRPr="00B90F4F" w:rsidRDefault="00FE3BE4" w:rsidP="008D4E1E">
            <w:pPr>
              <w:spacing w:before="100" w:beforeAutospacing="1" w:after="100" w:afterAutospacing="1" w:line="240" w:lineRule="auto"/>
              <w:jc w:val="center"/>
              <w:rPr>
                <w:sz w:val="18"/>
                <w:szCs w:val="18"/>
              </w:rPr>
            </w:pPr>
            <w:r w:rsidRPr="00180B2A">
              <w:rPr>
                <w:sz w:val="18"/>
                <w:szCs w:val="18"/>
              </w:rPr>
              <w:t>13,781</w:t>
            </w:r>
          </w:p>
        </w:tc>
        <w:tc>
          <w:tcPr>
            <w:tcW w:w="964" w:type="dxa"/>
            <w:vAlign w:val="center"/>
          </w:tcPr>
          <w:p w14:paraId="1A403290" w14:textId="77777777" w:rsidR="00FE3BE4" w:rsidRPr="00B90F4F" w:rsidRDefault="00FE3BE4" w:rsidP="008D4E1E">
            <w:pPr>
              <w:spacing w:before="100" w:beforeAutospacing="1" w:after="100" w:afterAutospacing="1" w:line="240" w:lineRule="auto"/>
              <w:jc w:val="center"/>
              <w:rPr>
                <w:sz w:val="18"/>
                <w:szCs w:val="18"/>
              </w:rPr>
            </w:pPr>
            <w:r w:rsidRPr="00180B2A">
              <w:rPr>
                <w:sz w:val="18"/>
                <w:szCs w:val="18"/>
              </w:rPr>
              <w:t>14,133</w:t>
            </w:r>
          </w:p>
        </w:tc>
        <w:tc>
          <w:tcPr>
            <w:tcW w:w="973" w:type="dxa"/>
            <w:vAlign w:val="center"/>
          </w:tcPr>
          <w:p w14:paraId="2BE06DBE" w14:textId="77777777" w:rsidR="00FE3BE4" w:rsidRPr="00B90F4F" w:rsidRDefault="00FE3BE4" w:rsidP="008D4E1E">
            <w:pPr>
              <w:spacing w:before="100" w:beforeAutospacing="1" w:after="100" w:afterAutospacing="1" w:line="240" w:lineRule="auto"/>
              <w:jc w:val="center"/>
              <w:rPr>
                <w:sz w:val="18"/>
                <w:szCs w:val="18"/>
              </w:rPr>
            </w:pPr>
            <w:r w:rsidRPr="00180B2A">
              <w:rPr>
                <w:sz w:val="18"/>
                <w:szCs w:val="18"/>
              </w:rPr>
              <w:t>14,679</w:t>
            </w:r>
          </w:p>
        </w:tc>
      </w:tr>
      <w:tr w:rsidR="00FE3BE4" w:rsidRPr="003C098E" w14:paraId="755CC223" w14:textId="77777777" w:rsidTr="008D4E1E">
        <w:trPr>
          <w:trHeight w:val="288"/>
        </w:trPr>
        <w:tc>
          <w:tcPr>
            <w:tcW w:w="2780" w:type="dxa"/>
            <w:noWrap/>
            <w:vAlign w:val="center"/>
            <w:hideMark/>
          </w:tcPr>
          <w:p w14:paraId="11EBB062" w14:textId="77777777" w:rsidR="00FE3BE4" w:rsidRPr="003C098E" w:rsidRDefault="00FE3BE4" w:rsidP="008D4E1E">
            <w:pPr>
              <w:spacing w:before="100" w:beforeAutospacing="1" w:after="100" w:afterAutospacing="1" w:line="240" w:lineRule="auto"/>
              <w:rPr>
                <w:sz w:val="18"/>
                <w:szCs w:val="18"/>
              </w:rPr>
            </w:pPr>
            <w:r w:rsidRPr="003C098E">
              <w:rPr>
                <w:sz w:val="18"/>
                <w:szCs w:val="18"/>
              </w:rPr>
              <w:t>Փոփոխություն, %</w:t>
            </w:r>
          </w:p>
        </w:tc>
        <w:tc>
          <w:tcPr>
            <w:tcW w:w="1104" w:type="dxa"/>
            <w:vAlign w:val="center"/>
          </w:tcPr>
          <w:p w14:paraId="19DA5999" w14:textId="77777777" w:rsidR="00FE3BE4" w:rsidRPr="00B90F4F" w:rsidRDefault="00FE3BE4" w:rsidP="008D4E1E">
            <w:pPr>
              <w:spacing w:before="100" w:beforeAutospacing="1" w:after="100" w:afterAutospacing="1" w:line="240" w:lineRule="auto"/>
              <w:jc w:val="center"/>
              <w:rPr>
                <w:sz w:val="18"/>
                <w:szCs w:val="18"/>
              </w:rPr>
            </w:pPr>
            <w:r w:rsidRPr="00C247B3">
              <w:rPr>
                <w:sz w:val="18"/>
                <w:szCs w:val="18"/>
              </w:rPr>
              <w:t>71.3</w:t>
            </w:r>
          </w:p>
        </w:tc>
        <w:tc>
          <w:tcPr>
            <w:tcW w:w="1050" w:type="dxa"/>
            <w:vAlign w:val="center"/>
          </w:tcPr>
          <w:p w14:paraId="68AC0CAF" w14:textId="77777777" w:rsidR="00FE3BE4" w:rsidRPr="00B90F4F" w:rsidRDefault="00FE3BE4" w:rsidP="008D4E1E">
            <w:pPr>
              <w:spacing w:before="100" w:beforeAutospacing="1" w:after="100" w:afterAutospacing="1" w:line="240" w:lineRule="auto"/>
              <w:jc w:val="center"/>
              <w:rPr>
                <w:sz w:val="18"/>
                <w:szCs w:val="18"/>
              </w:rPr>
            </w:pPr>
            <w:r w:rsidRPr="00C247B3">
              <w:rPr>
                <w:sz w:val="18"/>
                <w:szCs w:val="18"/>
              </w:rPr>
              <w:t>44.3</w:t>
            </w:r>
          </w:p>
        </w:tc>
        <w:tc>
          <w:tcPr>
            <w:tcW w:w="1010" w:type="dxa"/>
            <w:vAlign w:val="center"/>
          </w:tcPr>
          <w:p w14:paraId="2B6F8811" w14:textId="77777777" w:rsidR="00FE3BE4" w:rsidRPr="00B90F4F" w:rsidRDefault="00FE3BE4" w:rsidP="008D4E1E">
            <w:pPr>
              <w:spacing w:before="100" w:beforeAutospacing="1" w:after="100" w:afterAutospacing="1" w:line="240" w:lineRule="auto"/>
              <w:jc w:val="center"/>
              <w:rPr>
                <w:sz w:val="18"/>
                <w:szCs w:val="18"/>
              </w:rPr>
            </w:pPr>
            <w:r w:rsidRPr="00C247B3">
              <w:rPr>
                <w:sz w:val="18"/>
                <w:szCs w:val="18"/>
              </w:rPr>
              <w:t>31.5</w:t>
            </w:r>
          </w:p>
        </w:tc>
        <w:tc>
          <w:tcPr>
            <w:tcW w:w="1058" w:type="dxa"/>
            <w:vAlign w:val="center"/>
          </w:tcPr>
          <w:p w14:paraId="70C3BCA1" w14:textId="77777777" w:rsidR="00FE3BE4" w:rsidRPr="00B90F4F" w:rsidRDefault="00FE3BE4" w:rsidP="008D4E1E">
            <w:pPr>
              <w:spacing w:before="100" w:beforeAutospacing="1" w:after="100" w:afterAutospacing="1" w:line="240" w:lineRule="auto"/>
              <w:jc w:val="center"/>
              <w:rPr>
                <w:sz w:val="18"/>
                <w:szCs w:val="18"/>
              </w:rPr>
            </w:pPr>
            <w:r w:rsidRPr="00C247B3">
              <w:rPr>
                <w:sz w:val="18"/>
                <w:szCs w:val="18"/>
              </w:rPr>
              <w:t>-25.0</w:t>
            </w:r>
          </w:p>
        </w:tc>
        <w:tc>
          <w:tcPr>
            <w:tcW w:w="951" w:type="dxa"/>
            <w:vAlign w:val="center"/>
          </w:tcPr>
          <w:p w14:paraId="20285F21" w14:textId="77777777" w:rsidR="00FE3BE4" w:rsidRPr="00B90F4F" w:rsidRDefault="00FE3BE4" w:rsidP="008D4E1E">
            <w:pPr>
              <w:spacing w:before="100" w:beforeAutospacing="1" w:after="100" w:afterAutospacing="1" w:line="240" w:lineRule="auto"/>
              <w:jc w:val="center"/>
              <w:rPr>
                <w:sz w:val="18"/>
                <w:szCs w:val="18"/>
              </w:rPr>
            </w:pPr>
            <w:r w:rsidRPr="00C247B3">
              <w:rPr>
                <w:sz w:val="18"/>
                <w:szCs w:val="18"/>
              </w:rPr>
              <w:t>-7.3</w:t>
            </w:r>
          </w:p>
        </w:tc>
        <w:tc>
          <w:tcPr>
            <w:tcW w:w="964" w:type="dxa"/>
            <w:vAlign w:val="center"/>
          </w:tcPr>
          <w:p w14:paraId="47D64B88" w14:textId="77777777" w:rsidR="00FE3BE4" w:rsidRPr="00B90F4F" w:rsidRDefault="00FE3BE4" w:rsidP="008D4E1E">
            <w:pPr>
              <w:spacing w:before="100" w:beforeAutospacing="1" w:after="100" w:afterAutospacing="1" w:line="240" w:lineRule="auto"/>
              <w:jc w:val="center"/>
              <w:rPr>
                <w:sz w:val="18"/>
                <w:szCs w:val="18"/>
              </w:rPr>
            </w:pPr>
            <w:r w:rsidRPr="00C247B3">
              <w:rPr>
                <w:sz w:val="18"/>
                <w:szCs w:val="18"/>
              </w:rPr>
              <w:t>2.6</w:t>
            </w:r>
          </w:p>
        </w:tc>
        <w:tc>
          <w:tcPr>
            <w:tcW w:w="973" w:type="dxa"/>
            <w:vAlign w:val="center"/>
          </w:tcPr>
          <w:p w14:paraId="031C7262" w14:textId="77777777" w:rsidR="00FE3BE4" w:rsidRPr="00B90F4F" w:rsidRDefault="00FE3BE4" w:rsidP="008D4E1E">
            <w:pPr>
              <w:spacing w:before="100" w:beforeAutospacing="1" w:after="100" w:afterAutospacing="1" w:line="240" w:lineRule="auto"/>
              <w:jc w:val="center"/>
              <w:rPr>
                <w:sz w:val="18"/>
                <w:szCs w:val="18"/>
              </w:rPr>
            </w:pPr>
            <w:r w:rsidRPr="00C247B3">
              <w:rPr>
                <w:sz w:val="18"/>
                <w:szCs w:val="18"/>
              </w:rPr>
              <w:t>3.9</w:t>
            </w:r>
          </w:p>
        </w:tc>
      </w:tr>
      <w:tr w:rsidR="00FE3BE4" w:rsidRPr="003C098E" w14:paraId="7B4CCA11" w14:textId="77777777" w:rsidTr="008D4E1E">
        <w:trPr>
          <w:trHeight w:val="288"/>
        </w:trPr>
        <w:tc>
          <w:tcPr>
            <w:tcW w:w="2780" w:type="dxa"/>
            <w:noWrap/>
            <w:vAlign w:val="center"/>
            <w:hideMark/>
          </w:tcPr>
          <w:p w14:paraId="02909CD3" w14:textId="77777777" w:rsidR="00FE3BE4" w:rsidRPr="003C098E" w:rsidRDefault="00FE3BE4" w:rsidP="008D4E1E">
            <w:pPr>
              <w:spacing w:before="100" w:beforeAutospacing="1" w:after="100" w:afterAutospacing="1" w:line="240" w:lineRule="auto"/>
              <w:rPr>
                <w:sz w:val="18"/>
                <w:szCs w:val="18"/>
              </w:rPr>
            </w:pPr>
            <w:r w:rsidRPr="003C098E">
              <w:rPr>
                <w:sz w:val="18"/>
                <w:szCs w:val="18"/>
              </w:rPr>
              <w:t>Դրամական փոխանցումներ</w:t>
            </w:r>
          </w:p>
        </w:tc>
        <w:tc>
          <w:tcPr>
            <w:tcW w:w="1104" w:type="dxa"/>
            <w:vAlign w:val="center"/>
          </w:tcPr>
          <w:p w14:paraId="00DD089F" w14:textId="77777777" w:rsidR="00FE3BE4" w:rsidRPr="00B90F4F" w:rsidRDefault="00FE3BE4" w:rsidP="008D4E1E">
            <w:pPr>
              <w:spacing w:before="100" w:beforeAutospacing="1" w:after="100" w:afterAutospacing="1" w:line="240" w:lineRule="auto"/>
              <w:jc w:val="center"/>
              <w:rPr>
                <w:sz w:val="18"/>
                <w:szCs w:val="18"/>
              </w:rPr>
            </w:pPr>
            <w:r w:rsidRPr="00180B2A">
              <w:rPr>
                <w:sz w:val="18"/>
                <w:szCs w:val="18"/>
              </w:rPr>
              <w:t>1,480</w:t>
            </w:r>
          </w:p>
        </w:tc>
        <w:tc>
          <w:tcPr>
            <w:tcW w:w="1050" w:type="dxa"/>
            <w:vAlign w:val="center"/>
          </w:tcPr>
          <w:p w14:paraId="3AA0778F" w14:textId="77777777" w:rsidR="00FE3BE4" w:rsidRPr="00B90F4F" w:rsidRDefault="00FE3BE4" w:rsidP="008D4E1E">
            <w:pPr>
              <w:spacing w:before="100" w:beforeAutospacing="1" w:after="100" w:afterAutospacing="1" w:line="240" w:lineRule="auto"/>
              <w:jc w:val="center"/>
              <w:rPr>
                <w:sz w:val="18"/>
                <w:szCs w:val="18"/>
              </w:rPr>
            </w:pPr>
            <w:r w:rsidRPr="00180B2A">
              <w:rPr>
                <w:sz w:val="18"/>
                <w:szCs w:val="18"/>
              </w:rPr>
              <w:t>1,013</w:t>
            </w:r>
          </w:p>
        </w:tc>
        <w:tc>
          <w:tcPr>
            <w:tcW w:w="1010" w:type="dxa"/>
            <w:vAlign w:val="center"/>
          </w:tcPr>
          <w:p w14:paraId="3917717A" w14:textId="77777777" w:rsidR="00FE3BE4" w:rsidRPr="00B90F4F" w:rsidRDefault="00FE3BE4" w:rsidP="008D4E1E">
            <w:pPr>
              <w:spacing w:before="100" w:beforeAutospacing="1" w:after="100" w:afterAutospacing="1" w:line="240" w:lineRule="auto"/>
              <w:jc w:val="center"/>
              <w:rPr>
                <w:sz w:val="18"/>
                <w:szCs w:val="18"/>
              </w:rPr>
            </w:pPr>
            <w:r w:rsidRPr="00180B2A">
              <w:rPr>
                <w:sz w:val="18"/>
                <w:szCs w:val="18"/>
              </w:rPr>
              <w:t>804</w:t>
            </w:r>
          </w:p>
        </w:tc>
        <w:tc>
          <w:tcPr>
            <w:tcW w:w="1058" w:type="dxa"/>
            <w:vAlign w:val="center"/>
          </w:tcPr>
          <w:p w14:paraId="53691575" w14:textId="77777777" w:rsidR="00FE3BE4" w:rsidRPr="00FC7FE1" w:rsidRDefault="00FE3BE4" w:rsidP="008D4E1E">
            <w:pPr>
              <w:spacing w:before="100" w:beforeAutospacing="1" w:after="100" w:afterAutospacing="1" w:line="240" w:lineRule="auto"/>
              <w:jc w:val="center"/>
              <w:rPr>
                <w:sz w:val="18"/>
                <w:szCs w:val="18"/>
              </w:rPr>
            </w:pPr>
            <w:r w:rsidRPr="00180B2A">
              <w:rPr>
                <w:sz w:val="18"/>
                <w:szCs w:val="18"/>
              </w:rPr>
              <w:t>936</w:t>
            </w:r>
          </w:p>
        </w:tc>
        <w:tc>
          <w:tcPr>
            <w:tcW w:w="951" w:type="dxa"/>
            <w:vAlign w:val="center"/>
          </w:tcPr>
          <w:p w14:paraId="016915EE" w14:textId="77777777" w:rsidR="00FE3BE4" w:rsidRPr="00FC7FE1" w:rsidRDefault="00FE3BE4" w:rsidP="008D4E1E">
            <w:pPr>
              <w:spacing w:before="100" w:beforeAutospacing="1" w:after="100" w:afterAutospacing="1" w:line="240" w:lineRule="auto"/>
              <w:jc w:val="center"/>
              <w:rPr>
                <w:sz w:val="18"/>
                <w:szCs w:val="18"/>
              </w:rPr>
            </w:pPr>
            <w:r w:rsidRPr="00180B2A">
              <w:rPr>
                <w:sz w:val="18"/>
                <w:szCs w:val="18"/>
              </w:rPr>
              <w:t>972</w:t>
            </w:r>
          </w:p>
        </w:tc>
        <w:tc>
          <w:tcPr>
            <w:tcW w:w="964" w:type="dxa"/>
            <w:vAlign w:val="center"/>
          </w:tcPr>
          <w:p w14:paraId="377AF892" w14:textId="77777777" w:rsidR="00FE3BE4" w:rsidRPr="00FC7FE1" w:rsidRDefault="00FE3BE4" w:rsidP="008D4E1E">
            <w:pPr>
              <w:spacing w:before="100" w:beforeAutospacing="1" w:after="100" w:afterAutospacing="1" w:line="240" w:lineRule="auto"/>
              <w:jc w:val="center"/>
              <w:rPr>
                <w:sz w:val="18"/>
                <w:szCs w:val="18"/>
              </w:rPr>
            </w:pPr>
            <w:r w:rsidRPr="00180B2A">
              <w:rPr>
                <w:sz w:val="18"/>
                <w:szCs w:val="18"/>
              </w:rPr>
              <w:t>1,005</w:t>
            </w:r>
          </w:p>
        </w:tc>
        <w:tc>
          <w:tcPr>
            <w:tcW w:w="973" w:type="dxa"/>
            <w:vAlign w:val="center"/>
          </w:tcPr>
          <w:p w14:paraId="039EB9DB" w14:textId="77777777" w:rsidR="00FE3BE4" w:rsidRPr="00FC7FE1" w:rsidRDefault="00FE3BE4" w:rsidP="008D4E1E">
            <w:pPr>
              <w:spacing w:before="100" w:beforeAutospacing="1" w:after="100" w:afterAutospacing="1" w:line="240" w:lineRule="auto"/>
              <w:jc w:val="center"/>
              <w:rPr>
                <w:sz w:val="18"/>
                <w:szCs w:val="18"/>
              </w:rPr>
            </w:pPr>
            <w:r w:rsidRPr="00180B2A">
              <w:rPr>
                <w:sz w:val="18"/>
                <w:szCs w:val="18"/>
              </w:rPr>
              <w:t>1,038</w:t>
            </w:r>
          </w:p>
        </w:tc>
      </w:tr>
      <w:tr w:rsidR="00FE3BE4" w:rsidRPr="003C098E" w14:paraId="72FEC78A" w14:textId="77777777" w:rsidTr="008D4E1E">
        <w:trPr>
          <w:trHeight w:val="288"/>
        </w:trPr>
        <w:tc>
          <w:tcPr>
            <w:tcW w:w="9890" w:type="dxa"/>
            <w:gridSpan w:val="8"/>
            <w:shd w:val="clear" w:color="auto" w:fill="D5DCE4" w:themeFill="text2" w:themeFillTint="33"/>
            <w:noWrap/>
            <w:vAlign w:val="center"/>
            <w:hideMark/>
          </w:tcPr>
          <w:p w14:paraId="4BF0E144" w14:textId="77777777" w:rsidR="00FE3BE4" w:rsidRPr="003C098E" w:rsidRDefault="00FE3BE4" w:rsidP="008D4E1E">
            <w:pPr>
              <w:spacing w:before="100" w:beforeAutospacing="1" w:after="100" w:afterAutospacing="1" w:line="240" w:lineRule="auto"/>
              <w:jc w:val="center"/>
              <w:rPr>
                <w:sz w:val="18"/>
                <w:szCs w:val="18"/>
              </w:rPr>
            </w:pPr>
            <w:r w:rsidRPr="003C098E">
              <w:rPr>
                <w:sz w:val="18"/>
                <w:szCs w:val="18"/>
              </w:rPr>
              <w:t>ՀՆԱ-ի նկատմամբ %</w:t>
            </w:r>
          </w:p>
        </w:tc>
      </w:tr>
      <w:tr w:rsidR="00FE3BE4" w:rsidRPr="003C098E" w14:paraId="5F58A565" w14:textId="77777777" w:rsidTr="008D4E1E">
        <w:trPr>
          <w:trHeight w:val="288"/>
        </w:trPr>
        <w:tc>
          <w:tcPr>
            <w:tcW w:w="2780" w:type="dxa"/>
            <w:noWrap/>
            <w:vAlign w:val="center"/>
            <w:hideMark/>
          </w:tcPr>
          <w:p w14:paraId="3339F12B" w14:textId="77777777" w:rsidR="00FE3BE4" w:rsidRPr="003C098E" w:rsidRDefault="00FE3BE4" w:rsidP="008D4E1E">
            <w:pPr>
              <w:spacing w:before="100" w:beforeAutospacing="1" w:after="100" w:afterAutospacing="1" w:line="240" w:lineRule="auto"/>
              <w:rPr>
                <w:sz w:val="18"/>
                <w:szCs w:val="18"/>
              </w:rPr>
            </w:pPr>
            <w:r w:rsidRPr="003C098E">
              <w:rPr>
                <w:sz w:val="18"/>
                <w:szCs w:val="18"/>
              </w:rPr>
              <w:t xml:space="preserve">Ընթացիկ հաշիվ </w:t>
            </w:r>
          </w:p>
        </w:tc>
        <w:tc>
          <w:tcPr>
            <w:tcW w:w="1104" w:type="dxa"/>
            <w:vAlign w:val="center"/>
          </w:tcPr>
          <w:p w14:paraId="50E5D829" w14:textId="77777777" w:rsidR="00FE3BE4" w:rsidRPr="003C098E" w:rsidRDefault="00FE3BE4" w:rsidP="008D4E1E">
            <w:pPr>
              <w:spacing w:before="100" w:beforeAutospacing="1" w:after="100" w:afterAutospacing="1" w:line="240" w:lineRule="auto"/>
              <w:jc w:val="center"/>
              <w:rPr>
                <w:sz w:val="18"/>
                <w:szCs w:val="18"/>
              </w:rPr>
            </w:pPr>
            <w:r w:rsidRPr="00C247B3">
              <w:rPr>
                <w:sz w:val="18"/>
                <w:szCs w:val="18"/>
              </w:rPr>
              <w:t>0.7</w:t>
            </w:r>
          </w:p>
        </w:tc>
        <w:tc>
          <w:tcPr>
            <w:tcW w:w="1050" w:type="dxa"/>
            <w:vAlign w:val="center"/>
          </w:tcPr>
          <w:p w14:paraId="1CA2790F" w14:textId="77777777" w:rsidR="00FE3BE4" w:rsidRPr="003C098E" w:rsidRDefault="00FE3BE4" w:rsidP="008D4E1E">
            <w:pPr>
              <w:spacing w:before="100" w:beforeAutospacing="1" w:after="100" w:afterAutospacing="1" w:line="240" w:lineRule="auto"/>
              <w:jc w:val="center"/>
              <w:rPr>
                <w:sz w:val="18"/>
                <w:szCs w:val="18"/>
              </w:rPr>
            </w:pPr>
            <w:r w:rsidRPr="00C247B3">
              <w:rPr>
                <w:sz w:val="18"/>
                <w:szCs w:val="18"/>
              </w:rPr>
              <w:t>-2.8</w:t>
            </w:r>
          </w:p>
        </w:tc>
        <w:tc>
          <w:tcPr>
            <w:tcW w:w="1010" w:type="dxa"/>
            <w:vAlign w:val="center"/>
          </w:tcPr>
          <w:p w14:paraId="200AF7F6" w14:textId="77777777" w:rsidR="00FE3BE4" w:rsidRPr="003C098E" w:rsidRDefault="00FE3BE4" w:rsidP="008D4E1E">
            <w:pPr>
              <w:spacing w:before="100" w:beforeAutospacing="1" w:after="100" w:afterAutospacing="1" w:line="240" w:lineRule="auto"/>
              <w:jc w:val="center"/>
              <w:rPr>
                <w:sz w:val="18"/>
                <w:szCs w:val="18"/>
              </w:rPr>
            </w:pPr>
            <w:r w:rsidRPr="00C247B3">
              <w:rPr>
                <w:sz w:val="18"/>
                <w:szCs w:val="18"/>
              </w:rPr>
              <w:t>-4.6</w:t>
            </w:r>
          </w:p>
        </w:tc>
        <w:tc>
          <w:tcPr>
            <w:tcW w:w="1058" w:type="dxa"/>
            <w:vAlign w:val="center"/>
          </w:tcPr>
          <w:p w14:paraId="5FD76518" w14:textId="77777777" w:rsidR="00FE3BE4" w:rsidRPr="003C098E" w:rsidRDefault="00FE3BE4" w:rsidP="008D4E1E">
            <w:pPr>
              <w:spacing w:before="100" w:beforeAutospacing="1" w:after="100" w:afterAutospacing="1" w:line="240" w:lineRule="auto"/>
              <w:jc w:val="center"/>
              <w:rPr>
                <w:sz w:val="18"/>
                <w:szCs w:val="18"/>
              </w:rPr>
            </w:pPr>
            <w:r w:rsidRPr="00C247B3">
              <w:rPr>
                <w:sz w:val="18"/>
                <w:szCs w:val="18"/>
              </w:rPr>
              <w:t>-5.4</w:t>
            </w:r>
          </w:p>
        </w:tc>
        <w:tc>
          <w:tcPr>
            <w:tcW w:w="951" w:type="dxa"/>
            <w:vAlign w:val="center"/>
          </w:tcPr>
          <w:p w14:paraId="654E238E" w14:textId="77777777" w:rsidR="00FE3BE4" w:rsidRPr="003C098E" w:rsidRDefault="00FE3BE4" w:rsidP="008D4E1E">
            <w:pPr>
              <w:spacing w:before="100" w:beforeAutospacing="1" w:after="100" w:afterAutospacing="1" w:line="240" w:lineRule="auto"/>
              <w:jc w:val="center"/>
              <w:rPr>
                <w:sz w:val="18"/>
                <w:szCs w:val="18"/>
              </w:rPr>
            </w:pPr>
            <w:r w:rsidRPr="00C247B3">
              <w:rPr>
                <w:sz w:val="18"/>
                <w:szCs w:val="18"/>
              </w:rPr>
              <w:t>-4.6</w:t>
            </w:r>
          </w:p>
        </w:tc>
        <w:tc>
          <w:tcPr>
            <w:tcW w:w="964" w:type="dxa"/>
            <w:vAlign w:val="center"/>
          </w:tcPr>
          <w:p w14:paraId="01B6F6A0" w14:textId="77777777" w:rsidR="00FE3BE4" w:rsidRPr="003C098E" w:rsidRDefault="00FE3BE4" w:rsidP="008D4E1E">
            <w:pPr>
              <w:spacing w:before="100" w:beforeAutospacing="1" w:after="100" w:afterAutospacing="1" w:line="240" w:lineRule="auto"/>
              <w:jc w:val="center"/>
              <w:rPr>
                <w:sz w:val="18"/>
                <w:szCs w:val="18"/>
              </w:rPr>
            </w:pPr>
            <w:r w:rsidRPr="00C247B3">
              <w:rPr>
                <w:sz w:val="18"/>
                <w:szCs w:val="18"/>
              </w:rPr>
              <w:t>-4.4</w:t>
            </w:r>
          </w:p>
        </w:tc>
        <w:tc>
          <w:tcPr>
            <w:tcW w:w="973" w:type="dxa"/>
            <w:vAlign w:val="center"/>
          </w:tcPr>
          <w:p w14:paraId="63200B26" w14:textId="77777777" w:rsidR="00FE3BE4" w:rsidRPr="003C098E" w:rsidRDefault="00FE3BE4" w:rsidP="008D4E1E">
            <w:pPr>
              <w:spacing w:before="100" w:beforeAutospacing="1" w:after="100" w:afterAutospacing="1" w:line="240" w:lineRule="auto"/>
              <w:jc w:val="center"/>
              <w:rPr>
                <w:sz w:val="18"/>
                <w:szCs w:val="18"/>
              </w:rPr>
            </w:pPr>
            <w:r w:rsidRPr="00C247B3">
              <w:rPr>
                <w:sz w:val="18"/>
                <w:szCs w:val="18"/>
              </w:rPr>
              <w:t>-4.2</w:t>
            </w:r>
          </w:p>
        </w:tc>
      </w:tr>
      <w:tr w:rsidR="00FE3BE4" w:rsidRPr="003C098E" w14:paraId="356EB8E6" w14:textId="77777777" w:rsidTr="008D4E1E">
        <w:trPr>
          <w:trHeight w:val="288"/>
        </w:trPr>
        <w:tc>
          <w:tcPr>
            <w:tcW w:w="2780" w:type="dxa"/>
            <w:noWrap/>
            <w:vAlign w:val="center"/>
            <w:hideMark/>
          </w:tcPr>
          <w:p w14:paraId="66CDF672" w14:textId="77777777" w:rsidR="00FE3BE4" w:rsidRPr="003C098E" w:rsidRDefault="00FE3BE4" w:rsidP="008D4E1E">
            <w:pPr>
              <w:spacing w:before="100" w:beforeAutospacing="1" w:after="100" w:afterAutospacing="1" w:line="240" w:lineRule="auto"/>
              <w:rPr>
                <w:sz w:val="18"/>
                <w:szCs w:val="18"/>
              </w:rPr>
            </w:pPr>
            <w:r w:rsidRPr="003C098E">
              <w:rPr>
                <w:sz w:val="18"/>
                <w:szCs w:val="18"/>
              </w:rPr>
              <w:t>Ապրանքների և ծառայությունների հաշվեկշիռ</w:t>
            </w:r>
          </w:p>
        </w:tc>
        <w:tc>
          <w:tcPr>
            <w:tcW w:w="1104" w:type="dxa"/>
            <w:vAlign w:val="center"/>
          </w:tcPr>
          <w:p w14:paraId="06745CB1" w14:textId="77777777" w:rsidR="00FE3BE4" w:rsidRPr="003C098E" w:rsidRDefault="00FE3BE4" w:rsidP="008D4E1E">
            <w:pPr>
              <w:spacing w:before="100" w:beforeAutospacing="1" w:after="100" w:afterAutospacing="1" w:line="240" w:lineRule="auto"/>
              <w:jc w:val="center"/>
              <w:rPr>
                <w:sz w:val="18"/>
                <w:szCs w:val="18"/>
              </w:rPr>
            </w:pPr>
            <w:r w:rsidRPr="00C247B3">
              <w:rPr>
                <w:sz w:val="18"/>
                <w:szCs w:val="18"/>
              </w:rPr>
              <w:t>-0.5</w:t>
            </w:r>
          </w:p>
        </w:tc>
        <w:tc>
          <w:tcPr>
            <w:tcW w:w="1050" w:type="dxa"/>
            <w:vAlign w:val="center"/>
          </w:tcPr>
          <w:p w14:paraId="3914ADA5" w14:textId="77777777" w:rsidR="00FE3BE4" w:rsidRPr="003C098E" w:rsidRDefault="00FE3BE4" w:rsidP="008D4E1E">
            <w:pPr>
              <w:spacing w:before="100" w:beforeAutospacing="1" w:after="100" w:afterAutospacing="1" w:line="240" w:lineRule="auto"/>
              <w:jc w:val="center"/>
              <w:rPr>
                <w:sz w:val="18"/>
                <w:szCs w:val="18"/>
              </w:rPr>
            </w:pPr>
            <w:r w:rsidRPr="00C247B3">
              <w:rPr>
                <w:sz w:val="18"/>
                <w:szCs w:val="18"/>
              </w:rPr>
              <w:t>-1.4</w:t>
            </w:r>
          </w:p>
        </w:tc>
        <w:tc>
          <w:tcPr>
            <w:tcW w:w="1010" w:type="dxa"/>
            <w:vAlign w:val="center"/>
          </w:tcPr>
          <w:p w14:paraId="69566762" w14:textId="77777777" w:rsidR="00FE3BE4" w:rsidRPr="003C098E" w:rsidRDefault="00FE3BE4" w:rsidP="008D4E1E">
            <w:pPr>
              <w:spacing w:before="100" w:beforeAutospacing="1" w:after="100" w:afterAutospacing="1" w:line="240" w:lineRule="auto"/>
              <w:jc w:val="center"/>
              <w:rPr>
                <w:sz w:val="18"/>
                <w:szCs w:val="18"/>
              </w:rPr>
            </w:pPr>
            <w:r w:rsidRPr="00C247B3">
              <w:rPr>
                <w:sz w:val="18"/>
                <w:szCs w:val="18"/>
              </w:rPr>
              <w:t>-2.8</w:t>
            </w:r>
          </w:p>
        </w:tc>
        <w:tc>
          <w:tcPr>
            <w:tcW w:w="1058" w:type="dxa"/>
            <w:vAlign w:val="center"/>
          </w:tcPr>
          <w:p w14:paraId="32C90FA4" w14:textId="77777777" w:rsidR="00FE3BE4" w:rsidRPr="003C098E" w:rsidRDefault="00FE3BE4" w:rsidP="008D4E1E">
            <w:pPr>
              <w:spacing w:before="100" w:beforeAutospacing="1" w:after="100" w:afterAutospacing="1" w:line="240" w:lineRule="auto"/>
              <w:jc w:val="center"/>
              <w:rPr>
                <w:sz w:val="18"/>
                <w:szCs w:val="18"/>
              </w:rPr>
            </w:pPr>
            <w:r w:rsidRPr="00C247B3">
              <w:rPr>
                <w:sz w:val="18"/>
                <w:szCs w:val="18"/>
              </w:rPr>
              <w:t>-5.1</w:t>
            </w:r>
          </w:p>
        </w:tc>
        <w:tc>
          <w:tcPr>
            <w:tcW w:w="951" w:type="dxa"/>
            <w:vAlign w:val="center"/>
          </w:tcPr>
          <w:p w14:paraId="6669D5C6" w14:textId="77777777" w:rsidR="00FE3BE4" w:rsidRPr="003C098E" w:rsidRDefault="00FE3BE4" w:rsidP="008D4E1E">
            <w:pPr>
              <w:spacing w:before="100" w:beforeAutospacing="1" w:after="100" w:afterAutospacing="1" w:line="240" w:lineRule="auto"/>
              <w:jc w:val="center"/>
              <w:rPr>
                <w:sz w:val="18"/>
                <w:szCs w:val="18"/>
              </w:rPr>
            </w:pPr>
            <w:r w:rsidRPr="00C247B3">
              <w:rPr>
                <w:sz w:val="18"/>
                <w:szCs w:val="18"/>
              </w:rPr>
              <w:t>-4.6</w:t>
            </w:r>
          </w:p>
        </w:tc>
        <w:tc>
          <w:tcPr>
            <w:tcW w:w="964" w:type="dxa"/>
            <w:vAlign w:val="center"/>
          </w:tcPr>
          <w:p w14:paraId="053B0CE9" w14:textId="77777777" w:rsidR="00FE3BE4" w:rsidRPr="003C098E" w:rsidRDefault="00FE3BE4" w:rsidP="008D4E1E">
            <w:pPr>
              <w:spacing w:before="100" w:beforeAutospacing="1" w:after="100" w:afterAutospacing="1" w:line="240" w:lineRule="auto"/>
              <w:jc w:val="center"/>
              <w:rPr>
                <w:sz w:val="18"/>
                <w:szCs w:val="18"/>
              </w:rPr>
            </w:pPr>
            <w:r w:rsidRPr="00C247B3">
              <w:rPr>
                <w:sz w:val="18"/>
                <w:szCs w:val="18"/>
              </w:rPr>
              <w:t>-4.4</w:t>
            </w:r>
          </w:p>
        </w:tc>
        <w:tc>
          <w:tcPr>
            <w:tcW w:w="973" w:type="dxa"/>
            <w:vAlign w:val="center"/>
          </w:tcPr>
          <w:p w14:paraId="456B0369" w14:textId="77777777" w:rsidR="00FE3BE4" w:rsidRPr="003C098E" w:rsidRDefault="00FE3BE4" w:rsidP="008D4E1E">
            <w:pPr>
              <w:spacing w:before="100" w:beforeAutospacing="1" w:after="100" w:afterAutospacing="1" w:line="240" w:lineRule="auto"/>
              <w:jc w:val="center"/>
              <w:rPr>
                <w:sz w:val="18"/>
                <w:szCs w:val="18"/>
              </w:rPr>
            </w:pPr>
            <w:r w:rsidRPr="00C247B3">
              <w:rPr>
                <w:sz w:val="18"/>
                <w:szCs w:val="18"/>
              </w:rPr>
              <w:t>-4.1</w:t>
            </w:r>
          </w:p>
        </w:tc>
      </w:tr>
      <w:tr w:rsidR="00FE3BE4" w:rsidRPr="003C098E" w14:paraId="519CAE38" w14:textId="77777777" w:rsidTr="008D4E1E">
        <w:trPr>
          <w:trHeight w:val="288"/>
        </w:trPr>
        <w:tc>
          <w:tcPr>
            <w:tcW w:w="2780" w:type="dxa"/>
            <w:vAlign w:val="center"/>
            <w:hideMark/>
          </w:tcPr>
          <w:p w14:paraId="73B81CA7" w14:textId="77777777" w:rsidR="00FE3BE4" w:rsidRPr="003C098E" w:rsidRDefault="00FE3BE4" w:rsidP="008D4E1E">
            <w:pPr>
              <w:spacing w:before="100" w:beforeAutospacing="1" w:after="100" w:afterAutospacing="1" w:line="240" w:lineRule="auto"/>
              <w:rPr>
                <w:sz w:val="18"/>
                <w:szCs w:val="18"/>
              </w:rPr>
            </w:pPr>
            <w:r w:rsidRPr="003C098E">
              <w:rPr>
                <w:sz w:val="18"/>
                <w:szCs w:val="18"/>
              </w:rPr>
              <w:t>Արտահանում</w:t>
            </w:r>
          </w:p>
        </w:tc>
        <w:tc>
          <w:tcPr>
            <w:tcW w:w="1104" w:type="dxa"/>
            <w:vAlign w:val="center"/>
          </w:tcPr>
          <w:p w14:paraId="79302F58" w14:textId="77777777" w:rsidR="00FE3BE4" w:rsidRPr="003C098E" w:rsidRDefault="00FE3BE4" w:rsidP="008D4E1E">
            <w:pPr>
              <w:spacing w:before="100" w:beforeAutospacing="1" w:after="100" w:afterAutospacing="1" w:line="240" w:lineRule="auto"/>
              <w:jc w:val="center"/>
              <w:rPr>
                <w:sz w:val="18"/>
                <w:szCs w:val="18"/>
              </w:rPr>
            </w:pPr>
            <w:r w:rsidRPr="00C247B3">
              <w:rPr>
                <w:sz w:val="18"/>
                <w:szCs w:val="18"/>
              </w:rPr>
              <w:t>53.0</w:t>
            </w:r>
          </w:p>
        </w:tc>
        <w:tc>
          <w:tcPr>
            <w:tcW w:w="1050" w:type="dxa"/>
            <w:vAlign w:val="center"/>
          </w:tcPr>
          <w:p w14:paraId="48954CC3" w14:textId="77777777" w:rsidR="00FE3BE4" w:rsidRPr="003C098E" w:rsidRDefault="00FE3BE4" w:rsidP="008D4E1E">
            <w:pPr>
              <w:spacing w:before="100" w:beforeAutospacing="1" w:after="100" w:afterAutospacing="1" w:line="240" w:lineRule="auto"/>
              <w:jc w:val="center"/>
              <w:rPr>
                <w:sz w:val="18"/>
                <w:szCs w:val="18"/>
              </w:rPr>
            </w:pPr>
            <w:r w:rsidRPr="00C247B3">
              <w:rPr>
                <w:sz w:val="18"/>
                <w:szCs w:val="18"/>
              </w:rPr>
              <w:t>60.9</w:t>
            </w:r>
          </w:p>
        </w:tc>
        <w:tc>
          <w:tcPr>
            <w:tcW w:w="1010" w:type="dxa"/>
            <w:vAlign w:val="center"/>
          </w:tcPr>
          <w:p w14:paraId="22AEB02E" w14:textId="77777777" w:rsidR="00FE3BE4" w:rsidRPr="003C098E" w:rsidRDefault="00FE3BE4" w:rsidP="008D4E1E">
            <w:pPr>
              <w:spacing w:before="100" w:beforeAutospacing="1" w:after="100" w:afterAutospacing="1" w:line="240" w:lineRule="auto"/>
              <w:jc w:val="center"/>
              <w:rPr>
                <w:sz w:val="18"/>
                <w:szCs w:val="18"/>
              </w:rPr>
            </w:pPr>
            <w:r w:rsidRPr="00C247B3">
              <w:rPr>
                <w:sz w:val="18"/>
                <w:szCs w:val="18"/>
              </w:rPr>
              <w:t>73.5</w:t>
            </w:r>
          </w:p>
        </w:tc>
        <w:tc>
          <w:tcPr>
            <w:tcW w:w="1058" w:type="dxa"/>
            <w:vAlign w:val="center"/>
          </w:tcPr>
          <w:p w14:paraId="22A9984C" w14:textId="77777777" w:rsidR="00FE3BE4" w:rsidRPr="003C098E" w:rsidRDefault="00FE3BE4" w:rsidP="008D4E1E">
            <w:pPr>
              <w:spacing w:before="100" w:beforeAutospacing="1" w:after="100" w:afterAutospacing="1" w:line="240" w:lineRule="auto"/>
              <w:jc w:val="center"/>
              <w:rPr>
                <w:sz w:val="18"/>
                <w:szCs w:val="18"/>
              </w:rPr>
            </w:pPr>
            <w:r w:rsidRPr="00C247B3">
              <w:rPr>
                <w:sz w:val="18"/>
                <w:szCs w:val="18"/>
              </w:rPr>
              <w:t>48.0</w:t>
            </w:r>
          </w:p>
        </w:tc>
        <w:tc>
          <w:tcPr>
            <w:tcW w:w="951" w:type="dxa"/>
            <w:vAlign w:val="center"/>
          </w:tcPr>
          <w:p w14:paraId="5F446F4D" w14:textId="77777777" w:rsidR="00FE3BE4" w:rsidRPr="003C098E" w:rsidRDefault="00FE3BE4" w:rsidP="008D4E1E">
            <w:pPr>
              <w:spacing w:before="100" w:beforeAutospacing="1" w:after="100" w:afterAutospacing="1" w:line="240" w:lineRule="auto"/>
              <w:jc w:val="center"/>
              <w:rPr>
                <w:sz w:val="18"/>
                <w:szCs w:val="18"/>
              </w:rPr>
            </w:pPr>
            <w:r w:rsidRPr="00C247B3">
              <w:rPr>
                <w:sz w:val="18"/>
                <w:szCs w:val="18"/>
              </w:rPr>
              <w:t>42.7</w:t>
            </w:r>
          </w:p>
        </w:tc>
        <w:tc>
          <w:tcPr>
            <w:tcW w:w="964" w:type="dxa"/>
            <w:vAlign w:val="center"/>
          </w:tcPr>
          <w:p w14:paraId="5F6ED90D" w14:textId="77777777" w:rsidR="00FE3BE4" w:rsidRPr="003C098E" w:rsidRDefault="00FE3BE4" w:rsidP="008D4E1E">
            <w:pPr>
              <w:spacing w:before="100" w:beforeAutospacing="1" w:after="100" w:afterAutospacing="1" w:line="240" w:lineRule="auto"/>
              <w:jc w:val="center"/>
              <w:rPr>
                <w:sz w:val="18"/>
                <w:szCs w:val="18"/>
              </w:rPr>
            </w:pPr>
            <w:r w:rsidRPr="00C247B3">
              <w:rPr>
                <w:sz w:val="18"/>
                <w:szCs w:val="18"/>
              </w:rPr>
              <w:t>41.7</w:t>
            </w:r>
          </w:p>
        </w:tc>
        <w:tc>
          <w:tcPr>
            <w:tcW w:w="973" w:type="dxa"/>
            <w:vAlign w:val="center"/>
          </w:tcPr>
          <w:p w14:paraId="3A89C022" w14:textId="77777777" w:rsidR="00FE3BE4" w:rsidRPr="003C098E" w:rsidRDefault="00FE3BE4" w:rsidP="008D4E1E">
            <w:pPr>
              <w:spacing w:before="100" w:beforeAutospacing="1" w:after="100" w:afterAutospacing="1" w:line="240" w:lineRule="auto"/>
              <w:jc w:val="center"/>
              <w:rPr>
                <w:sz w:val="18"/>
                <w:szCs w:val="18"/>
              </w:rPr>
            </w:pPr>
            <w:r w:rsidRPr="00C247B3">
              <w:rPr>
                <w:sz w:val="18"/>
                <w:szCs w:val="18"/>
              </w:rPr>
              <w:t>41.2</w:t>
            </w:r>
          </w:p>
        </w:tc>
      </w:tr>
      <w:tr w:rsidR="00FE3BE4" w:rsidRPr="003C098E" w14:paraId="2D6A55AF" w14:textId="77777777" w:rsidTr="008D4E1E">
        <w:trPr>
          <w:trHeight w:val="288"/>
        </w:trPr>
        <w:tc>
          <w:tcPr>
            <w:tcW w:w="2780" w:type="dxa"/>
            <w:vAlign w:val="center"/>
            <w:hideMark/>
          </w:tcPr>
          <w:p w14:paraId="02D47A55" w14:textId="77777777" w:rsidR="00FE3BE4" w:rsidRPr="003C098E" w:rsidRDefault="00FE3BE4" w:rsidP="008D4E1E">
            <w:pPr>
              <w:spacing w:before="100" w:beforeAutospacing="1" w:after="100" w:afterAutospacing="1" w:line="240" w:lineRule="auto"/>
              <w:rPr>
                <w:sz w:val="18"/>
                <w:szCs w:val="18"/>
              </w:rPr>
            </w:pPr>
            <w:r w:rsidRPr="003C098E">
              <w:rPr>
                <w:sz w:val="18"/>
                <w:szCs w:val="18"/>
              </w:rPr>
              <w:t>Ներմուծում</w:t>
            </w:r>
          </w:p>
        </w:tc>
        <w:tc>
          <w:tcPr>
            <w:tcW w:w="1104" w:type="dxa"/>
            <w:vAlign w:val="center"/>
          </w:tcPr>
          <w:p w14:paraId="2C65B625" w14:textId="77777777" w:rsidR="00FE3BE4" w:rsidRPr="003C098E" w:rsidRDefault="00FE3BE4" w:rsidP="008D4E1E">
            <w:pPr>
              <w:spacing w:before="100" w:beforeAutospacing="1" w:after="100" w:afterAutospacing="1" w:line="240" w:lineRule="auto"/>
              <w:jc w:val="center"/>
              <w:rPr>
                <w:sz w:val="18"/>
                <w:szCs w:val="18"/>
              </w:rPr>
            </w:pPr>
            <w:r w:rsidRPr="00C247B3">
              <w:rPr>
                <w:sz w:val="18"/>
                <w:szCs w:val="18"/>
              </w:rPr>
              <w:t>53.5</w:t>
            </w:r>
          </w:p>
        </w:tc>
        <w:tc>
          <w:tcPr>
            <w:tcW w:w="1050" w:type="dxa"/>
            <w:vAlign w:val="center"/>
          </w:tcPr>
          <w:p w14:paraId="550963D0" w14:textId="77777777" w:rsidR="00FE3BE4" w:rsidRPr="003C098E" w:rsidRDefault="00FE3BE4" w:rsidP="008D4E1E">
            <w:pPr>
              <w:spacing w:before="100" w:beforeAutospacing="1" w:after="100" w:afterAutospacing="1" w:line="240" w:lineRule="auto"/>
              <w:jc w:val="center"/>
              <w:rPr>
                <w:sz w:val="18"/>
                <w:szCs w:val="18"/>
              </w:rPr>
            </w:pPr>
            <w:r w:rsidRPr="00C247B3">
              <w:rPr>
                <w:sz w:val="18"/>
                <w:szCs w:val="18"/>
              </w:rPr>
              <w:t>62.3</w:t>
            </w:r>
          </w:p>
        </w:tc>
        <w:tc>
          <w:tcPr>
            <w:tcW w:w="1010" w:type="dxa"/>
            <w:vAlign w:val="center"/>
          </w:tcPr>
          <w:p w14:paraId="64470025" w14:textId="77777777" w:rsidR="00FE3BE4" w:rsidRPr="003C098E" w:rsidRDefault="00FE3BE4" w:rsidP="008D4E1E">
            <w:pPr>
              <w:spacing w:before="100" w:beforeAutospacing="1" w:after="100" w:afterAutospacing="1" w:line="240" w:lineRule="auto"/>
              <w:jc w:val="center"/>
              <w:rPr>
                <w:sz w:val="18"/>
                <w:szCs w:val="18"/>
              </w:rPr>
            </w:pPr>
            <w:r w:rsidRPr="00C247B3">
              <w:rPr>
                <w:sz w:val="18"/>
                <w:szCs w:val="18"/>
              </w:rPr>
              <w:t>76.3</w:t>
            </w:r>
          </w:p>
        </w:tc>
        <w:tc>
          <w:tcPr>
            <w:tcW w:w="1058" w:type="dxa"/>
            <w:vAlign w:val="center"/>
          </w:tcPr>
          <w:p w14:paraId="12DD86A0" w14:textId="77777777" w:rsidR="00FE3BE4" w:rsidRPr="003C098E" w:rsidRDefault="00FE3BE4" w:rsidP="008D4E1E">
            <w:pPr>
              <w:spacing w:before="100" w:beforeAutospacing="1" w:after="100" w:afterAutospacing="1" w:line="240" w:lineRule="auto"/>
              <w:jc w:val="center"/>
              <w:rPr>
                <w:sz w:val="18"/>
                <w:szCs w:val="18"/>
              </w:rPr>
            </w:pPr>
            <w:r w:rsidRPr="00C247B3">
              <w:rPr>
                <w:sz w:val="18"/>
                <w:szCs w:val="18"/>
              </w:rPr>
              <w:t>53.1</w:t>
            </w:r>
          </w:p>
        </w:tc>
        <w:tc>
          <w:tcPr>
            <w:tcW w:w="951" w:type="dxa"/>
            <w:vAlign w:val="center"/>
          </w:tcPr>
          <w:p w14:paraId="57827347" w14:textId="77777777" w:rsidR="00FE3BE4" w:rsidRPr="003C098E" w:rsidRDefault="00FE3BE4" w:rsidP="008D4E1E">
            <w:pPr>
              <w:spacing w:before="100" w:beforeAutospacing="1" w:after="100" w:afterAutospacing="1" w:line="240" w:lineRule="auto"/>
              <w:jc w:val="center"/>
              <w:rPr>
                <w:sz w:val="18"/>
                <w:szCs w:val="18"/>
              </w:rPr>
            </w:pPr>
            <w:r w:rsidRPr="00C247B3">
              <w:rPr>
                <w:sz w:val="18"/>
                <w:szCs w:val="18"/>
              </w:rPr>
              <w:t>47.3</w:t>
            </w:r>
          </w:p>
        </w:tc>
        <w:tc>
          <w:tcPr>
            <w:tcW w:w="964" w:type="dxa"/>
            <w:vAlign w:val="center"/>
          </w:tcPr>
          <w:p w14:paraId="428D4BC0" w14:textId="77777777" w:rsidR="00FE3BE4" w:rsidRPr="003C098E" w:rsidRDefault="00FE3BE4" w:rsidP="008D4E1E">
            <w:pPr>
              <w:spacing w:before="100" w:beforeAutospacing="1" w:after="100" w:afterAutospacing="1" w:line="240" w:lineRule="auto"/>
              <w:jc w:val="center"/>
              <w:rPr>
                <w:sz w:val="18"/>
                <w:szCs w:val="18"/>
              </w:rPr>
            </w:pPr>
            <w:r w:rsidRPr="00C247B3">
              <w:rPr>
                <w:sz w:val="18"/>
                <w:szCs w:val="18"/>
              </w:rPr>
              <w:t>46.1</w:t>
            </w:r>
          </w:p>
        </w:tc>
        <w:tc>
          <w:tcPr>
            <w:tcW w:w="973" w:type="dxa"/>
            <w:vAlign w:val="center"/>
          </w:tcPr>
          <w:p w14:paraId="419FE03D" w14:textId="77777777" w:rsidR="00FE3BE4" w:rsidRPr="003C098E" w:rsidRDefault="00FE3BE4" w:rsidP="008D4E1E">
            <w:pPr>
              <w:spacing w:before="100" w:beforeAutospacing="1" w:after="100" w:afterAutospacing="1" w:line="240" w:lineRule="auto"/>
              <w:jc w:val="center"/>
              <w:rPr>
                <w:sz w:val="18"/>
                <w:szCs w:val="18"/>
              </w:rPr>
            </w:pPr>
            <w:r w:rsidRPr="00C247B3">
              <w:rPr>
                <w:sz w:val="18"/>
                <w:szCs w:val="18"/>
              </w:rPr>
              <w:t>45.3</w:t>
            </w:r>
          </w:p>
        </w:tc>
      </w:tr>
      <w:tr w:rsidR="00FE3BE4" w:rsidRPr="003C098E" w14:paraId="009371C8" w14:textId="77777777" w:rsidTr="008D4E1E">
        <w:trPr>
          <w:trHeight w:val="288"/>
        </w:trPr>
        <w:tc>
          <w:tcPr>
            <w:tcW w:w="2780" w:type="dxa"/>
            <w:vAlign w:val="center"/>
            <w:hideMark/>
          </w:tcPr>
          <w:p w14:paraId="6365E606" w14:textId="77777777" w:rsidR="00FE3BE4" w:rsidRPr="003C098E" w:rsidRDefault="00FE3BE4" w:rsidP="008D4E1E">
            <w:pPr>
              <w:spacing w:before="100" w:beforeAutospacing="1" w:after="100" w:afterAutospacing="1" w:line="240" w:lineRule="auto"/>
              <w:rPr>
                <w:sz w:val="18"/>
                <w:szCs w:val="18"/>
              </w:rPr>
            </w:pPr>
            <w:r w:rsidRPr="003C098E">
              <w:rPr>
                <w:sz w:val="18"/>
                <w:szCs w:val="18"/>
              </w:rPr>
              <w:t>Դրամական փոխանցումներ</w:t>
            </w:r>
          </w:p>
        </w:tc>
        <w:tc>
          <w:tcPr>
            <w:tcW w:w="1104" w:type="dxa"/>
            <w:vAlign w:val="center"/>
          </w:tcPr>
          <w:p w14:paraId="57367102" w14:textId="77777777" w:rsidR="00FE3BE4" w:rsidRPr="003C098E" w:rsidRDefault="00FE3BE4" w:rsidP="008D4E1E">
            <w:pPr>
              <w:spacing w:before="100" w:beforeAutospacing="1" w:after="100" w:afterAutospacing="1" w:line="240" w:lineRule="auto"/>
              <w:jc w:val="center"/>
              <w:rPr>
                <w:sz w:val="18"/>
                <w:szCs w:val="18"/>
              </w:rPr>
            </w:pPr>
            <w:r w:rsidRPr="00C247B3">
              <w:rPr>
                <w:sz w:val="18"/>
                <w:szCs w:val="18"/>
              </w:rPr>
              <w:t>7.6</w:t>
            </w:r>
          </w:p>
        </w:tc>
        <w:tc>
          <w:tcPr>
            <w:tcW w:w="1050" w:type="dxa"/>
            <w:vAlign w:val="center"/>
          </w:tcPr>
          <w:p w14:paraId="5E9A4B17" w14:textId="77777777" w:rsidR="00FE3BE4" w:rsidRPr="003C098E" w:rsidRDefault="00FE3BE4" w:rsidP="008D4E1E">
            <w:pPr>
              <w:spacing w:before="100" w:beforeAutospacing="1" w:after="100" w:afterAutospacing="1" w:line="240" w:lineRule="auto"/>
              <w:jc w:val="center"/>
              <w:rPr>
                <w:sz w:val="18"/>
                <w:szCs w:val="18"/>
              </w:rPr>
            </w:pPr>
            <w:r w:rsidRPr="00C247B3">
              <w:rPr>
                <w:sz w:val="18"/>
                <w:szCs w:val="18"/>
              </w:rPr>
              <w:t>4.2</w:t>
            </w:r>
          </w:p>
        </w:tc>
        <w:tc>
          <w:tcPr>
            <w:tcW w:w="1010" w:type="dxa"/>
            <w:vAlign w:val="center"/>
          </w:tcPr>
          <w:p w14:paraId="603FAABD" w14:textId="77777777" w:rsidR="00FE3BE4" w:rsidRPr="003C098E" w:rsidRDefault="00FE3BE4" w:rsidP="008D4E1E">
            <w:pPr>
              <w:spacing w:before="100" w:beforeAutospacing="1" w:after="100" w:afterAutospacing="1" w:line="240" w:lineRule="auto"/>
              <w:jc w:val="center"/>
              <w:rPr>
                <w:sz w:val="18"/>
                <w:szCs w:val="18"/>
              </w:rPr>
            </w:pPr>
            <w:r w:rsidRPr="00C247B3">
              <w:rPr>
                <w:sz w:val="18"/>
                <w:szCs w:val="18"/>
              </w:rPr>
              <w:t>3.1</w:t>
            </w:r>
          </w:p>
        </w:tc>
        <w:tc>
          <w:tcPr>
            <w:tcW w:w="1058" w:type="dxa"/>
            <w:vAlign w:val="center"/>
          </w:tcPr>
          <w:p w14:paraId="0585F865" w14:textId="77777777" w:rsidR="00FE3BE4" w:rsidRPr="003C098E" w:rsidRDefault="00FE3BE4" w:rsidP="008D4E1E">
            <w:pPr>
              <w:spacing w:before="100" w:beforeAutospacing="1" w:after="100" w:afterAutospacing="1" w:line="240" w:lineRule="auto"/>
              <w:jc w:val="center"/>
              <w:rPr>
                <w:sz w:val="18"/>
                <w:szCs w:val="18"/>
              </w:rPr>
            </w:pPr>
            <w:r w:rsidRPr="00C247B3">
              <w:rPr>
                <w:sz w:val="18"/>
                <w:szCs w:val="18"/>
              </w:rPr>
              <w:t>3.3</w:t>
            </w:r>
          </w:p>
        </w:tc>
        <w:tc>
          <w:tcPr>
            <w:tcW w:w="951" w:type="dxa"/>
            <w:vAlign w:val="center"/>
          </w:tcPr>
          <w:p w14:paraId="7F96E519" w14:textId="77777777" w:rsidR="00FE3BE4" w:rsidRPr="003C098E" w:rsidRDefault="00FE3BE4" w:rsidP="008D4E1E">
            <w:pPr>
              <w:spacing w:before="100" w:beforeAutospacing="1" w:after="100" w:afterAutospacing="1" w:line="240" w:lineRule="auto"/>
              <w:jc w:val="center"/>
              <w:rPr>
                <w:sz w:val="18"/>
                <w:szCs w:val="18"/>
              </w:rPr>
            </w:pPr>
            <w:r w:rsidRPr="00C247B3">
              <w:rPr>
                <w:sz w:val="18"/>
                <w:szCs w:val="18"/>
              </w:rPr>
              <w:t>3.3</w:t>
            </w:r>
          </w:p>
        </w:tc>
        <w:tc>
          <w:tcPr>
            <w:tcW w:w="964" w:type="dxa"/>
            <w:vAlign w:val="center"/>
          </w:tcPr>
          <w:p w14:paraId="5ADFE8F1" w14:textId="77777777" w:rsidR="00FE3BE4" w:rsidRPr="003C098E" w:rsidRDefault="00FE3BE4" w:rsidP="008D4E1E">
            <w:pPr>
              <w:spacing w:before="100" w:beforeAutospacing="1" w:after="100" w:afterAutospacing="1" w:line="240" w:lineRule="auto"/>
              <w:jc w:val="center"/>
              <w:rPr>
                <w:sz w:val="18"/>
                <w:szCs w:val="18"/>
              </w:rPr>
            </w:pPr>
            <w:r w:rsidRPr="00C247B3">
              <w:rPr>
                <w:sz w:val="18"/>
                <w:szCs w:val="18"/>
              </w:rPr>
              <w:t>3.3</w:t>
            </w:r>
          </w:p>
        </w:tc>
        <w:tc>
          <w:tcPr>
            <w:tcW w:w="973" w:type="dxa"/>
            <w:vAlign w:val="center"/>
          </w:tcPr>
          <w:p w14:paraId="5AF83EF0" w14:textId="77777777" w:rsidR="00FE3BE4" w:rsidRPr="003C098E" w:rsidRDefault="00FE3BE4" w:rsidP="008D4E1E">
            <w:pPr>
              <w:spacing w:before="100" w:beforeAutospacing="1" w:after="100" w:afterAutospacing="1" w:line="240" w:lineRule="auto"/>
              <w:jc w:val="center"/>
              <w:rPr>
                <w:sz w:val="18"/>
                <w:szCs w:val="18"/>
              </w:rPr>
            </w:pPr>
            <w:r w:rsidRPr="00C247B3">
              <w:rPr>
                <w:sz w:val="18"/>
                <w:szCs w:val="18"/>
              </w:rPr>
              <w:t>3.2</w:t>
            </w:r>
          </w:p>
        </w:tc>
      </w:tr>
    </w:tbl>
    <w:p w14:paraId="3380AB0C" w14:textId="77777777" w:rsidR="00FE3BE4" w:rsidRPr="00E77731" w:rsidRDefault="00FE3BE4" w:rsidP="00104E7A">
      <w:pPr>
        <w:pStyle w:val="TOC3"/>
        <w:pBdr>
          <w:bottom w:val="single" w:sz="8" w:space="1" w:color="C3C3C7" w:themeColor="accent3" w:themeTint="66"/>
        </w:pBdr>
        <w:outlineLvl w:val="1"/>
        <w:rPr>
          <w:lang w:val="hy-AM"/>
        </w:rPr>
      </w:pPr>
      <w:bookmarkStart w:id="125" w:name="_Toc178356563"/>
      <w:bookmarkStart w:id="126" w:name="_Toc178612087"/>
      <w:bookmarkStart w:id="127" w:name="_Toc183801071"/>
      <w:bookmarkStart w:id="128" w:name="_Toc215157666"/>
      <w:r w:rsidRPr="00E77731">
        <w:rPr>
          <w:lang w:val="hy-AM"/>
        </w:rPr>
        <w:t>1.2. ՀԱՄԱՇԽԱՐՀԱՅԻՆ ՏՆՏԵՍՈՒԹՅԱՆ ԵՎ ԳՈՐԾԸՆԿԵՐ ԵՐԿՐՆԵՐԻ ԶԱՐԳԱՑՈՒՄՆԵՐ ԵՎ ԿԱՆԽԱՏԵՍՈՒՄՆԵՐ</w:t>
      </w:r>
      <w:bookmarkEnd w:id="117"/>
      <w:bookmarkEnd w:id="118"/>
      <w:bookmarkEnd w:id="119"/>
      <w:bookmarkEnd w:id="120"/>
      <w:bookmarkEnd w:id="121"/>
      <w:bookmarkEnd w:id="122"/>
      <w:bookmarkEnd w:id="123"/>
      <w:bookmarkEnd w:id="125"/>
      <w:bookmarkEnd w:id="126"/>
      <w:bookmarkEnd w:id="127"/>
      <w:bookmarkEnd w:id="128"/>
    </w:p>
    <w:p w14:paraId="6A2EB756" w14:textId="77777777" w:rsidR="00FE3BE4" w:rsidRPr="00D42838" w:rsidRDefault="00FE3BE4" w:rsidP="00FE3BE4">
      <w:pPr>
        <w:pStyle w:val="TOC4"/>
        <w:rPr>
          <w:lang w:val="hy-AM"/>
        </w:rPr>
      </w:pPr>
      <w:bookmarkStart w:id="129" w:name="_Toc146911024"/>
      <w:bookmarkStart w:id="130" w:name="_Toc115686018"/>
      <w:bookmarkStart w:id="131" w:name="_Toc83972832"/>
      <w:bookmarkStart w:id="132" w:name="_Toc83663896"/>
      <w:bookmarkStart w:id="133" w:name="_Toc57559414"/>
      <w:bookmarkStart w:id="134" w:name="_Toc45705389"/>
      <w:r w:rsidRPr="00D42838">
        <w:rPr>
          <w:lang w:val="hy-AM"/>
        </w:rPr>
        <w:t>ՏՆՏԵՍԱԿԱՆ ԶԱՐԳԱՑՈՒՄՆԵՐ</w:t>
      </w:r>
    </w:p>
    <w:p w14:paraId="1D3C4AA1" w14:textId="77777777" w:rsidR="00FE3BE4" w:rsidRPr="00226A7D" w:rsidRDefault="00FE3BE4" w:rsidP="00FE3BE4">
      <w:pPr>
        <w:pStyle w:val="BodyText1"/>
        <w:ind w:left="0"/>
        <w:rPr>
          <w:b/>
          <w:color w:val="auto"/>
          <w:lang w:val="hy-AM"/>
        </w:rPr>
      </w:pPr>
      <w:r w:rsidRPr="00226A7D">
        <w:rPr>
          <w:b/>
          <w:color w:val="auto"/>
          <w:lang w:val="hy-AM"/>
        </w:rPr>
        <w:t>2024 թվականին համաշխարհային տնտեսությունում և ՀՀ հիմնական գործընկեր երկրներում տնտեսական աճը շարունակել է մնալ դրական տիրույթում</w:t>
      </w:r>
      <w:r>
        <w:rPr>
          <w:b/>
          <w:color w:val="auto"/>
          <w:lang w:val="de-AT"/>
        </w:rPr>
        <w:t xml:space="preserve">. </w:t>
      </w:r>
      <w:r>
        <w:rPr>
          <w:b/>
          <w:color w:val="auto"/>
          <w:lang w:val="hy-AM"/>
        </w:rPr>
        <w:t xml:space="preserve">աճին նպաստել են </w:t>
      </w:r>
      <w:r w:rsidRPr="00226A7D">
        <w:rPr>
          <w:b/>
          <w:color w:val="auto"/>
          <w:lang w:val="de-AT"/>
        </w:rPr>
        <w:t xml:space="preserve">սպառողական կայուն </w:t>
      </w:r>
      <w:r>
        <w:rPr>
          <w:b/>
          <w:color w:val="auto"/>
          <w:lang w:val="de-AT"/>
        </w:rPr>
        <w:t>պահանջարկը</w:t>
      </w:r>
      <w:r w:rsidRPr="00226A7D">
        <w:rPr>
          <w:b/>
          <w:color w:val="auto"/>
          <w:lang w:val="de-AT"/>
        </w:rPr>
        <w:t>, գնաճի</w:t>
      </w:r>
      <w:r>
        <w:rPr>
          <w:b/>
          <w:color w:val="auto"/>
          <w:lang w:val="hy-AM"/>
        </w:rPr>
        <w:t xml:space="preserve"> տեմպերի թուլացումը</w:t>
      </w:r>
      <w:r w:rsidRPr="00226A7D">
        <w:rPr>
          <w:b/>
          <w:color w:val="auto"/>
          <w:lang w:val="de-AT"/>
        </w:rPr>
        <w:t xml:space="preserve"> և խոշոր տնտեսություններում շարունակվող հարկաբյուջետային և դրամավարկային քաղաքականությունների </w:t>
      </w:r>
      <w:r>
        <w:rPr>
          <w:b/>
          <w:color w:val="auto"/>
          <w:lang w:val="de-AT"/>
        </w:rPr>
        <w:t>ճշգրտումները</w:t>
      </w:r>
      <w:r w:rsidRPr="00226A7D">
        <w:rPr>
          <w:b/>
          <w:color w:val="auto"/>
          <w:lang w:val="hy-AM"/>
        </w:rPr>
        <w:t xml:space="preserve">։ </w:t>
      </w:r>
    </w:p>
    <w:p w14:paraId="2D07BF55" w14:textId="77777777" w:rsidR="00FE3BE4" w:rsidRDefault="00FE3BE4" w:rsidP="00FE3BE4">
      <w:pPr>
        <w:pStyle w:val="BodyText1"/>
        <w:ind w:left="0"/>
        <w:rPr>
          <w:lang w:val="hy-AM"/>
        </w:rPr>
      </w:pPr>
      <w:r w:rsidRPr="004B63B4">
        <w:rPr>
          <w:lang w:val="hy-AM"/>
        </w:rPr>
        <w:t xml:space="preserve">Արժույթի միջազգային հիմնադրամի </w:t>
      </w:r>
      <w:r w:rsidRPr="004B63B4">
        <w:rPr>
          <w:lang w:val="af-ZA"/>
        </w:rPr>
        <w:t>(</w:t>
      </w:r>
      <w:r w:rsidRPr="004B63B4">
        <w:rPr>
          <w:lang w:val="hy-AM"/>
        </w:rPr>
        <w:t>ԱՄՀ</w:t>
      </w:r>
      <w:r w:rsidRPr="004B63B4">
        <w:rPr>
          <w:lang w:val="af-ZA"/>
        </w:rPr>
        <w:t>)</w:t>
      </w:r>
      <w:r w:rsidRPr="004B63B4">
        <w:rPr>
          <w:lang w:val="hy-AM"/>
        </w:rPr>
        <w:t xml:space="preserve"> գնահատականներով 2024թ. համաշխարհային տնտեսական աճը կազմել է </w:t>
      </w:r>
      <w:r w:rsidRPr="004B63B4">
        <w:rPr>
          <w:lang w:val="af-ZA"/>
        </w:rPr>
        <w:t xml:space="preserve">3.3%` </w:t>
      </w:r>
      <w:r w:rsidRPr="004B63B4">
        <w:rPr>
          <w:lang w:val="hy-AM"/>
        </w:rPr>
        <w:t>նախորդ տարվա 3.5</w:t>
      </w:r>
      <w:r w:rsidRPr="004B63B4">
        <w:rPr>
          <w:lang w:val="af-ZA"/>
        </w:rPr>
        <w:t>%</w:t>
      </w:r>
      <w:r w:rsidRPr="004B63B4">
        <w:rPr>
          <w:lang w:val="hy-AM"/>
        </w:rPr>
        <w:t xml:space="preserve">-ի դիմաց, իսկ ՀՀ հիմնական գործընկեր երկրներից ՌԴ-ում գրանցվել է </w:t>
      </w:r>
      <w:r w:rsidRPr="004B63B4">
        <w:rPr>
          <w:lang w:val="af-ZA"/>
        </w:rPr>
        <w:t>4.</w:t>
      </w:r>
      <w:r>
        <w:rPr>
          <w:lang w:val="af-ZA"/>
        </w:rPr>
        <w:t>3</w:t>
      </w:r>
      <w:r w:rsidRPr="004B63B4">
        <w:rPr>
          <w:lang w:val="af-ZA"/>
        </w:rPr>
        <w:t>%</w:t>
      </w:r>
      <w:r w:rsidRPr="004B63B4">
        <w:rPr>
          <w:lang w:val="hy-AM"/>
        </w:rPr>
        <w:t xml:space="preserve"> աճ, Եվրագոտում՝ 0.9</w:t>
      </w:r>
      <w:r w:rsidRPr="004B63B4">
        <w:rPr>
          <w:lang w:val="af-ZA"/>
        </w:rPr>
        <w:t>%</w:t>
      </w:r>
      <w:r w:rsidRPr="004B63B4">
        <w:rPr>
          <w:lang w:val="hy-AM"/>
        </w:rPr>
        <w:t xml:space="preserve">, ԱՄՆ-ում՝ </w:t>
      </w:r>
      <w:r w:rsidRPr="004B63B4">
        <w:rPr>
          <w:lang w:val="af-ZA"/>
        </w:rPr>
        <w:t>2.8%,</w:t>
      </w:r>
      <w:r w:rsidRPr="004B63B4">
        <w:rPr>
          <w:lang w:val="hy-AM"/>
        </w:rPr>
        <w:t xml:space="preserve"> Չինաստանում՝ 5</w:t>
      </w:r>
      <w:r w:rsidRPr="004B63B4">
        <w:rPr>
          <w:lang w:val="af-ZA"/>
        </w:rPr>
        <w:t>%</w:t>
      </w:r>
      <w:r w:rsidRPr="004B63B4">
        <w:rPr>
          <w:lang w:val="hy-AM"/>
        </w:rPr>
        <w:t>:</w:t>
      </w:r>
    </w:p>
    <w:p w14:paraId="1D43E63D" w14:textId="77777777" w:rsidR="00FE3BE4" w:rsidRPr="00D340DD" w:rsidRDefault="00FE3BE4" w:rsidP="00FE3BE4">
      <w:pPr>
        <w:pStyle w:val="BodyText1"/>
        <w:ind w:left="0"/>
        <w:rPr>
          <w:lang w:val="hy-AM" w:eastAsia="ru-RU"/>
        </w:rPr>
      </w:pPr>
      <w:r w:rsidRPr="00EB06C1">
        <w:rPr>
          <w:lang w:val="de-AT"/>
        </w:rPr>
        <w:t>202</w:t>
      </w:r>
      <w:r w:rsidRPr="00EB06C1">
        <w:rPr>
          <w:lang w:val="hy-AM"/>
        </w:rPr>
        <w:t xml:space="preserve">5թ. առաջին կիսամյակում ՀՀ հիմնական գործընկեր երկրներում տնտեսական աճը շարունակել է մնալ դրական տիրույթում: </w:t>
      </w:r>
      <w:r w:rsidRPr="00177D9E">
        <w:rPr>
          <w:lang w:val="hy-AM"/>
        </w:rPr>
        <w:t>2025</w:t>
      </w:r>
      <w:r>
        <w:rPr>
          <w:lang w:val="hy-AM"/>
        </w:rPr>
        <w:t xml:space="preserve">թ. առաջին կիսամյակում ՀՀ հիմնական գործընկեր երկրներից ԱՄՆ-ում և ՌԴ-ում տնտեսական աճի տեմպերը կտրուկ դանդաղել են, մինչդեռ Եվրագոտում աճի տեմպերն արագացել են, Չինաստանում աճի արագացման միտումները պահպանվել են: </w:t>
      </w:r>
      <w:r w:rsidRPr="002A376B">
        <w:rPr>
          <w:lang w:val="af-ZA"/>
        </w:rPr>
        <w:t>202</w:t>
      </w:r>
      <w:r w:rsidRPr="00D340DD">
        <w:rPr>
          <w:lang w:val="hy-AM"/>
        </w:rPr>
        <w:t>5թ.</w:t>
      </w:r>
      <w:r w:rsidRPr="002A376B">
        <w:rPr>
          <w:lang w:val="af-ZA"/>
        </w:rPr>
        <w:t xml:space="preserve"> </w:t>
      </w:r>
      <w:r w:rsidRPr="00D340DD">
        <w:rPr>
          <w:lang w:val="hy-AM"/>
        </w:rPr>
        <w:t>առաջին կիսամյակում ԱՄՆ</w:t>
      </w:r>
      <w:r w:rsidRPr="002A376B">
        <w:rPr>
          <w:lang w:val="af-ZA"/>
        </w:rPr>
        <w:t xml:space="preserve"> </w:t>
      </w:r>
      <w:r w:rsidRPr="00D340DD">
        <w:rPr>
          <w:lang w:val="hy-AM"/>
        </w:rPr>
        <w:t>տնտեսությունը նախորդ տարվա համապատասխան ժամանակահատվածի նկատմամբ գրանցել</w:t>
      </w:r>
      <w:r w:rsidRPr="002A376B">
        <w:rPr>
          <w:lang w:val="af-ZA"/>
        </w:rPr>
        <w:t xml:space="preserve"> </w:t>
      </w:r>
      <w:r w:rsidRPr="00D340DD">
        <w:rPr>
          <w:lang w:val="hy-AM"/>
        </w:rPr>
        <w:t>է</w:t>
      </w:r>
      <w:r w:rsidRPr="002A376B">
        <w:rPr>
          <w:lang w:val="af-ZA"/>
        </w:rPr>
        <w:t xml:space="preserve"> </w:t>
      </w:r>
      <w:r w:rsidRPr="00D340DD">
        <w:rPr>
          <w:lang w:val="hy-AM"/>
        </w:rPr>
        <w:t xml:space="preserve">միջինում </w:t>
      </w:r>
      <w:r w:rsidRPr="002A376B">
        <w:rPr>
          <w:lang w:val="af-ZA"/>
        </w:rPr>
        <w:t xml:space="preserve">2% </w:t>
      </w:r>
      <w:r w:rsidRPr="00D340DD">
        <w:rPr>
          <w:lang w:val="hy-AM"/>
        </w:rPr>
        <w:t>աճ</w:t>
      </w:r>
      <w:r w:rsidRPr="002A376B">
        <w:rPr>
          <w:vertAlign w:val="superscript"/>
        </w:rPr>
        <w:footnoteReference w:id="2"/>
      </w:r>
      <w:r w:rsidRPr="00D340DD">
        <w:rPr>
          <w:lang w:val="hy-AM"/>
        </w:rPr>
        <w:t>՝ պայմանավորված մասնավոր սպառման աճով: Եվրագոտու</w:t>
      </w:r>
      <w:r w:rsidRPr="002A376B">
        <w:rPr>
          <w:lang w:val="af-ZA"/>
        </w:rPr>
        <w:t xml:space="preserve"> </w:t>
      </w:r>
      <w:r w:rsidRPr="00D340DD">
        <w:rPr>
          <w:lang w:val="hy-AM"/>
        </w:rPr>
        <w:t>տնտեսությունն</w:t>
      </w:r>
      <w:r w:rsidRPr="002A376B">
        <w:rPr>
          <w:lang w:val="af-ZA"/>
        </w:rPr>
        <w:t xml:space="preserve"> </w:t>
      </w:r>
      <w:r w:rsidRPr="00D340DD">
        <w:rPr>
          <w:lang w:val="hy-AM"/>
        </w:rPr>
        <w:t>ընթացիկ տարվա առաջին կիսամյակում</w:t>
      </w:r>
      <w:r>
        <w:rPr>
          <w:lang w:val="hy-AM"/>
        </w:rPr>
        <w:t xml:space="preserve"> միջինում</w:t>
      </w:r>
      <w:r w:rsidRPr="00D340DD">
        <w:rPr>
          <w:lang w:val="hy-AM"/>
        </w:rPr>
        <w:t xml:space="preserve"> գրանցել է 1.5</w:t>
      </w:r>
      <w:r w:rsidRPr="002A376B">
        <w:rPr>
          <w:lang w:val="af-ZA"/>
        </w:rPr>
        <w:t>%</w:t>
      </w:r>
      <w:r w:rsidRPr="00D340DD">
        <w:rPr>
          <w:lang w:val="hy-AM"/>
        </w:rPr>
        <w:t xml:space="preserve"> </w:t>
      </w:r>
      <w:r>
        <w:rPr>
          <w:lang w:val="hy-AM"/>
        </w:rPr>
        <w:t>աճ</w:t>
      </w:r>
      <w:r w:rsidRPr="002A376B">
        <w:rPr>
          <w:vertAlign w:val="superscript"/>
        </w:rPr>
        <w:footnoteReference w:id="3"/>
      </w:r>
      <w:r>
        <w:rPr>
          <w:lang w:val="hy-AM"/>
        </w:rPr>
        <w:t>:</w:t>
      </w:r>
      <w:r w:rsidRPr="00D340DD">
        <w:rPr>
          <w:lang w:val="hy-AM"/>
        </w:rPr>
        <w:t xml:space="preserve"> Առաջին եռամսյակում աճը պայմանավորված է եղել սպառման և ներդրումների, ինչպես նաև ԱՄՆ կողմից սահմանվող մաքսատուրքերի բարձրացման սպասումների հետևանքով զուտ արտահանման կտրուկ աճով: Երկրորդ եռամսյակում առաջանցիկ ցուցանիշները վկայում են գործարար ակտիվության աճի մասին, ինչին նպաստել են ծառայությունների ոլորտի աճը, ինչպես նաև արտադրական ոլորտի աստիճանական վերականգնումը: 2025թ. առաջին կիսամյակում Չինաստանում գրանցվել է միջինում 5.3% աճ՝ պայմանավորված կառավարության կողմից կիրառվող խթանող միջոցառումների շարունակականությամբ, առևտրային պատերազմի «փխրուն հրադադարով», արտահանման շուկաների դիվերսիֆիկացման ջանքերի արդյունքում արտահանման աճով, ինչպես նաև արդյունաբերական արտադրանքի և մանրածախ առևտրի ոլորտներում գրանցված աճի տեմպերով: Ռուսաստանի Դաշնությունում </w:t>
      </w:r>
      <w:r>
        <w:rPr>
          <w:lang w:val="hy-AM"/>
        </w:rPr>
        <w:t>առաջին կիսամյակում</w:t>
      </w:r>
      <w:r w:rsidRPr="00D340DD">
        <w:rPr>
          <w:lang w:val="hy-AM"/>
        </w:rPr>
        <w:t xml:space="preserve"> տնտեսական ակտիվությունը կտրուկ դանդաղել է՝ կազմելով միջինում</w:t>
      </w:r>
      <w:r>
        <w:rPr>
          <w:lang w:val="hy-AM"/>
        </w:rPr>
        <w:t xml:space="preserve"> 1.2</w:t>
      </w:r>
      <w:r w:rsidRPr="00D340DD">
        <w:rPr>
          <w:lang w:val="hy-AM"/>
        </w:rPr>
        <w:t>%</w:t>
      </w:r>
      <w:r w:rsidRPr="00B55C0C">
        <w:rPr>
          <w:vertAlign w:val="superscript"/>
        </w:rPr>
        <w:footnoteReference w:id="4"/>
      </w:r>
      <w:r w:rsidRPr="00D340DD">
        <w:rPr>
          <w:lang w:val="hy-AM"/>
        </w:rPr>
        <w:t xml:space="preserve">: </w:t>
      </w:r>
      <w:r>
        <w:rPr>
          <w:lang w:val="hy-AM"/>
        </w:rPr>
        <w:t>Գրանցված աճն ապահովվել է մշակող արդյունաբերության, շինարարության և ծառայությունների ոլորտների դանդաղ աճերի հաշվին։</w:t>
      </w:r>
    </w:p>
    <w:p w14:paraId="50E47B24" w14:textId="77777777" w:rsidR="00FE3BE4" w:rsidRPr="003271D8" w:rsidRDefault="00FE3BE4" w:rsidP="00FE3BE4">
      <w:pPr>
        <w:pStyle w:val="BodytextBullets"/>
        <w:numPr>
          <w:ilvl w:val="0"/>
          <w:numId w:val="0"/>
        </w:numPr>
        <w:ind w:left="360" w:hanging="360"/>
        <w:rPr>
          <w:b/>
          <w:bCs/>
          <w:lang w:val="hy-AM"/>
        </w:rPr>
      </w:pPr>
      <w:bookmarkStart w:id="135" w:name="_Toc178595120"/>
      <w:r w:rsidRPr="003271D8">
        <w:rPr>
          <w:b/>
          <w:bCs/>
          <w:lang w:val="hy-AM"/>
        </w:rPr>
        <w:t>Գծապատկեր 1.1. Գործընկեր երկրների տնտեսական աճեր, եռամսյակային, տ/տ, %</w:t>
      </w:r>
      <w:bookmarkEnd w:id="135"/>
    </w:p>
    <w:p w14:paraId="6854EAC5" w14:textId="77777777" w:rsidR="00FE3BE4" w:rsidRPr="00E77731" w:rsidRDefault="00FE3BE4" w:rsidP="00FE3BE4">
      <w:pPr>
        <w:jc w:val="right"/>
        <w:rPr>
          <w:lang w:val="hy-AM"/>
        </w:rPr>
      </w:pPr>
      <w:r w:rsidRPr="00C3014C">
        <w:rPr>
          <w:noProof/>
        </w:rPr>
        <w:drawing>
          <wp:inline distT="0" distB="0" distL="0" distR="0" wp14:anchorId="45E8921E" wp14:editId="063A599A">
            <wp:extent cx="6217920" cy="2341916"/>
            <wp:effectExtent l="0" t="0" r="11430" b="1270"/>
            <wp:docPr id="9" name="Chart 9"/>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r w:rsidRPr="00FC6AD2">
        <w:rPr>
          <w:rStyle w:val="Char0"/>
          <w:lang w:val="hy-AM"/>
        </w:rPr>
        <w:t>Աղբյուրը` ԱՄՆ տնտեսական վերլուծությունների բյուրո, Եվրոստատ, Չինաստանի վիճակագրության ազգային բյուրո, ՌԴ դաշնային պետական վիճակագրական ծառայություն</w:t>
      </w:r>
    </w:p>
    <w:p w14:paraId="39C02F01" w14:textId="54EA3FAC" w:rsidR="00781D38" w:rsidRDefault="00FE3BE4" w:rsidP="00FE3BE4">
      <w:pPr>
        <w:ind w:firstLine="567"/>
        <w:jc w:val="both"/>
        <w:rPr>
          <w:rFonts w:ascii="GHEA Grapalat" w:hAnsi="GHEA Grapalat" w:cs="GHEA Grapalat"/>
          <w:lang w:val="hy-AM"/>
        </w:rPr>
      </w:pPr>
      <w:r>
        <w:rPr>
          <w:rFonts w:ascii="GHEA Grapalat" w:hAnsi="GHEA Grapalat" w:cs="GHEA Grapalat"/>
          <w:lang w:val="hy-AM"/>
        </w:rPr>
        <w:t>Ընթացիկ տարվա հունվար-օգոստոս ամիսներին գ</w:t>
      </w:r>
      <w:r w:rsidRPr="00856197">
        <w:rPr>
          <w:rFonts w:ascii="GHEA Grapalat" w:hAnsi="GHEA Grapalat" w:cs="GHEA Grapalat"/>
          <w:lang w:val="hy-AM"/>
        </w:rPr>
        <w:t xml:space="preserve">նաճի տեմպերի թուլացմանը զուգահեռ </w:t>
      </w:r>
      <w:r>
        <w:rPr>
          <w:rFonts w:ascii="GHEA Grapalat" w:hAnsi="GHEA Grapalat" w:cs="GHEA Grapalat"/>
          <w:lang w:val="hy-AM"/>
        </w:rPr>
        <w:t xml:space="preserve">առաջատար տնտեսությունների </w:t>
      </w:r>
      <w:r w:rsidRPr="00856197">
        <w:rPr>
          <w:rFonts w:ascii="GHEA Grapalat" w:hAnsi="GHEA Grapalat" w:cs="GHEA Grapalat"/>
          <w:lang w:val="hy-AM"/>
        </w:rPr>
        <w:t>կենտրոնական բանկերի կողմից իրականացվող զսպող քաղաքականության դիրքն աստիճ</w:t>
      </w:r>
      <w:r>
        <w:rPr>
          <w:rFonts w:ascii="GHEA Grapalat" w:hAnsi="GHEA Grapalat" w:cs="GHEA Grapalat"/>
          <w:lang w:val="hy-AM"/>
        </w:rPr>
        <w:t>ա</w:t>
      </w:r>
      <w:r w:rsidRPr="00856197">
        <w:rPr>
          <w:rFonts w:ascii="GHEA Grapalat" w:hAnsi="GHEA Grapalat" w:cs="GHEA Grapalat"/>
          <w:lang w:val="hy-AM"/>
        </w:rPr>
        <w:t>նաբար թուլացել է:</w:t>
      </w:r>
      <w:r>
        <w:rPr>
          <w:rFonts w:ascii="GHEA Grapalat" w:hAnsi="GHEA Grapalat" w:cs="GHEA Grapalat"/>
          <w:lang w:val="hy-AM"/>
        </w:rPr>
        <w:t xml:space="preserve"> ԱՄՆ-ում տարեսկզբին գրանցված գնաճի նվազման տեմպերը մայիսից որոշակի արագացան՝ օգոստոսին կազմելով </w:t>
      </w:r>
      <w:r w:rsidRPr="00AB45B0">
        <w:rPr>
          <w:rFonts w:ascii="GHEA Grapalat" w:hAnsi="GHEA Grapalat" w:cs="GHEA Grapalat"/>
          <w:lang w:val="hy-AM"/>
        </w:rPr>
        <w:t>2.9%</w:t>
      </w:r>
      <w:r>
        <w:rPr>
          <w:rFonts w:ascii="Cambria Math" w:hAnsi="Cambria Math" w:cs="Cambria Math"/>
          <w:lang w:val="hy-AM"/>
        </w:rPr>
        <w:t>․</w:t>
      </w:r>
      <w:r>
        <w:rPr>
          <w:rFonts w:ascii="GHEA Grapalat" w:hAnsi="GHEA Grapalat" w:cs="GHEA Grapalat"/>
          <w:lang w:val="hy-AM"/>
        </w:rPr>
        <w:t xml:space="preserve"> արդյունքում, գնաճը շարունակում է գտնվել թիրախայինից բարձր մակարդակում։ Եվրագոտում գնաճը դանդաղել է և մոտեցել սահմանված թիրախային 2</w:t>
      </w:r>
      <w:r w:rsidRPr="00AB45B0">
        <w:rPr>
          <w:rFonts w:ascii="GHEA Grapalat" w:hAnsi="GHEA Grapalat" w:cs="GHEA Grapalat"/>
          <w:lang w:val="hy-AM"/>
        </w:rPr>
        <w:t>%</w:t>
      </w:r>
      <w:r>
        <w:rPr>
          <w:rFonts w:ascii="GHEA Grapalat" w:hAnsi="GHEA Grapalat" w:cs="GHEA Grapalat"/>
          <w:lang w:val="hy-AM"/>
        </w:rPr>
        <w:t xml:space="preserve"> մակարդակին։ Չինաստանում տարեսկզբից ի վեր գերակշռել են գնանկումային միտումները, հիմնականում, պայմանավորված սննդամթերքի գների անկմամբ և ներքին պահանջարկի թուլացմամբ։ Մինչդեռ, ՌԴ-ում գնաճի տեմպերն աստիճանաբար թուլացել են՝ օգոստոսին կազմելով 8</w:t>
      </w:r>
      <w:r w:rsidRPr="00A75DBA">
        <w:rPr>
          <w:rFonts w:ascii="GHEA Grapalat" w:hAnsi="GHEA Grapalat" w:cs="GHEA Grapalat"/>
          <w:lang w:val="hy-AM"/>
        </w:rPr>
        <w:t>.1%</w:t>
      </w:r>
      <w:r>
        <w:rPr>
          <w:rFonts w:ascii="GHEA Grapalat" w:hAnsi="GHEA Grapalat" w:cs="GHEA Grapalat"/>
          <w:lang w:val="hy-AM"/>
        </w:rPr>
        <w:t>՝ շարունակելով գտնվել թիրախային 4</w:t>
      </w:r>
      <w:r w:rsidRPr="00A75DBA">
        <w:rPr>
          <w:rFonts w:ascii="GHEA Grapalat" w:hAnsi="GHEA Grapalat" w:cs="GHEA Grapalat"/>
          <w:lang w:val="hy-AM"/>
        </w:rPr>
        <w:t>%</w:t>
      </w:r>
      <w:r>
        <w:rPr>
          <w:rFonts w:ascii="GHEA Grapalat" w:hAnsi="GHEA Grapalat" w:cs="GHEA Grapalat"/>
          <w:lang w:val="hy-AM"/>
        </w:rPr>
        <w:t xml:space="preserve"> մակարդակից բավականին բարձր մակարդակում։ </w:t>
      </w:r>
      <w:r w:rsidRPr="00FC6AD2">
        <w:rPr>
          <w:rStyle w:val="BodytextChar"/>
          <w:sz w:val="22"/>
          <w:szCs w:val="22"/>
          <w:lang w:val="hy-AM"/>
        </w:rPr>
        <w:t xml:space="preserve">Այս համատեքստում կենտրոնական բանկերի կողմից վարվող դրամավարկային </w:t>
      </w:r>
      <w:r>
        <w:rPr>
          <w:rStyle w:val="BodytextChar"/>
          <w:sz w:val="22"/>
          <w:szCs w:val="22"/>
          <w:lang w:val="hy-AM"/>
        </w:rPr>
        <w:t xml:space="preserve">քաղաքականության դիրքերն աստիճանաբար թուլացել են, բացառությամբ </w:t>
      </w:r>
      <w:r w:rsidRPr="00177D9E">
        <w:rPr>
          <w:rStyle w:val="BodytextChar"/>
          <w:sz w:val="22"/>
          <w:szCs w:val="22"/>
          <w:lang w:val="hy-AM"/>
        </w:rPr>
        <w:t>ԱՄՆ-ի</w:t>
      </w:r>
      <w:r w:rsidR="00781D38" w:rsidRPr="00F82E03">
        <w:rPr>
          <w:rStyle w:val="BodytextChar"/>
          <w:sz w:val="22"/>
          <w:szCs w:val="22"/>
          <w:lang w:val="hy-AM"/>
        </w:rPr>
        <w:t>.</w:t>
      </w:r>
      <w:r w:rsidRPr="00177D9E">
        <w:rPr>
          <w:rStyle w:val="BodytextChar"/>
          <w:sz w:val="22"/>
          <w:szCs w:val="22"/>
          <w:lang w:val="hy-AM"/>
        </w:rPr>
        <w:t xml:space="preserve"> տարեսկզբից քաղաքականության տոկոսադրույքը պահպանվել է </w:t>
      </w:r>
      <w:r w:rsidRPr="00177D9E">
        <w:rPr>
          <w:rFonts w:ascii="GHEA Grapalat" w:hAnsi="GHEA Grapalat"/>
          <w:lang w:val="hy-AM"/>
        </w:rPr>
        <w:t>4.25-4.50% միջակայքում</w:t>
      </w:r>
      <w:r w:rsidR="00781D38" w:rsidRPr="00F82E03">
        <w:rPr>
          <w:rFonts w:ascii="GHEA Grapalat" w:hAnsi="GHEA Grapalat"/>
          <w:lang w:val="hy-AM"/>
        </w:rPr>
        <w:t xml:space="preserve">` </w:t>
      </w:r>
      <w:r w:rsidR="00781D38">
        <w:rPr>
          <w:rFonts w:ascii="GHEA Grapalat" w:hAnsi="GHEA Grapalat"/>
          <w:lang w:val="hy-AM"/>
        </w:rPr>
        <w:t xml:space="preserve">պայմանավորված </w:t>
      </w:r>
      <w:r w:rsidR="00781D38">
        <w:rPr>
          <w:rFonts w:ascii="GHEA Grapalat" w:hAnsi="GHEA Grapalat" w:cs="GHEA Grapalat"/>
          <w:lang w:val="hy-AM"/>
        </w:rPr>
        <w:t xml:space="preserve">թիրախից բարձր գնաճի, </w:t>
      </w:r>
      <w:r w:rsidR="00781D38" w:rsidRPr="00856197">
        <w:rPr>
          <w:rFonts w:ascii="GHEA Grapalat" w:hAnsi="GHEA Grapalat" w:cs="GHEA Grapalat"/>
          <w:lang w:val="hy-AM"/>
        </w:rPr>
        <w:t>ԱՄՆ վարչակարգի մաքսատուրքերի, միգրացիոն և հարկային քաղաքականությունների տնտեսական ազդեցությունների սպասումներով:</w:t>
      </w:r>
      <w:r w:rsidR="00781D38">
        <w:rPr>
          <w:rFonts w:ascii="GHEA Grapalat" w:hAnsi="GHEA Grapalat"/>
          <w:lang w:val="hy-AM"/>
        </w:rPr>
        <w:t xml:space="preserve"> Եվ </w:t>
      </w:r>
      <w:r w:rsidR="00781D38" w:rsidRPr="00177D9E">
        <w:rPr>
          <w:rFonts w:ascii="GHEA Grapalat" w:hAnsi="GHEA Grapalat"/>
          <w:lang w:val="hy-AM"/>
        </w:rPr>
        <w:t>սեպտեմբերի 17-ի որոշմամբ</w:t>
      </w:r>
      <w:r w:rsidR="00781D38">
        <w:rPr>
          <w:rFonts w:ascii="GHEA Grapalat" w:hAnsi="GHEA Grapalat"/>
          <w:lang w:val="hy-AM"/>
        </w:rPr>
        <w:t xml:space="preserve"> </w:t>
      </w:r>
      <w:r w:rsidRPr="00177D9E">
        <w:rPr>
          <w:rFonts w:ascii="GHEA Grapalat" w:hAnsi="GHEA Grapalat"/>
          <w:lang w:val="hy-AM"/>
        </w:rPr>
        <w:t>ԱՄՆ ԴՊՀ</w:t>
      </w:r>
      <w:r w:rsidR="00781D38">
        <w:rPr>
          <w:rFonts w:ascii="GHEA Grapalat" w:hAnsi="GHEA Grapalat"/>
          <w:lang w:val="hy-AM"/>
        </w:rPr>
        <w:t>-ն</w:t>
      </w:r>
      <w:r w:rsidRPr="00177D9E">
        <w:rPr>
          <w:rFonts w:ascii="GHEA Grapalat" w:hAnsi="GHEA Grapalat"/>
          <w:lang w:val="hy-AM"/>
        </w:rPr>
        <w:t xml:space="preserve"> նվազեց</w:t>
      </w:r>
      <w:r w:rsidR="00781D38">
        <w:rPr>
          <w:rFonts w:ascii="GHEA Grapalat" w:hAnsi="GHEA Grapalat"/>
          <w:lang w:val="hy-AM"/>
        </w:rPr>
        <w:t>ր</w:t>
      </w:r>
      <w:r w:rsidRPr="00177D9E">
        <w:rPr>
          <w:rFonts w:ascii="GHEA Grapalat" w:hAnsi="GHEA Grapalat"/>
          <w:lang w:val="hy-AM"/>
        </w:rPr>
        <w:t>ել է</w:t>
      </w:r>
      <w:r w:rsidR="00781D38">
        <w:rPr>
          <w:rFonts w:ascii="GHEA Grapalat" w:hAnsi="GHEA Grapalat"/>
          <w:lang w:val="hy-AM"/>
        </w:rPr>
        <w:t xml:space="preserve"> տոկոսադրույքը</w:t>
      </w:r>
      <w:r w:rsidRPr="00177D9E">
        <w:rPr>
          <w:rFonts w:ascii="GHEA Grapalat" w:hAnsi="GHEA Grapalat"/>
          <w:lang w:val="hy-AM"/>
        </w:rPr>
        <w:t xml:space="preserve"> 0.25 տոկոսային կետով՝ սահմանելով 4.0-4.25% միջակայքում</w:t>
      </w:r>
      <w:r w:rsidRPr="00177D9E">
        <w:rPr>
          <w:rStyle w:val="BodytextChar"/>
          <w:sz w:val="22"/>
          <w:szCs w:val="22"/>
          <w:vertAlign w:val="superscript"/>
        </w:rPr>
        <w:footnoteReference w:id="5"/>
      </w:r>
      <w:r w:rsidRPr="00177D9E">
        <w:rPr>
          <w:rFonts w:ascii="GHEA Grapalat" w:hAnsi="GHEA Grapalat"/>
          <w:lang w:val="hy-AM"/>
        </w:rPr>
        <w:t>։</w:t>
      </w:r>
      <w:r>
        <w:rPr>
          <w:rFonts w:ascii="GHEA Grapalat" w:hAnsi="GHEA Grapalat"/>
          <w:lang w:val="hy-AM"/>
        </w:rPr>
        <w:t xml:space="preserve"> </w:t>
      </w:r>
      <w:r w:rsidR="00781D38">
        <w:rPr>
          <w:rFonts w:ascii="GHEA Grapalat" w:hAnsi="GHEA Grapalat" w:cs="GHEA Grapalat"/>
          <w:lang w:val="hy-AM"/>
        </w:rPr>
        <w:t xml:space="preserve"> </w:t>
      </w:r>
    </w:p>
    <w:p w14:paraId="75F179FA" w14:textId="00EA2E0A" w:rsidR="00FE3BE4" w:rsidRDefault="00FE3BE4" w:rsidP="00781D38">
      <w:pPr>
        <w:ind w:firstLine="567"/>
        <w:jc w:val="both"/>
        <w:rPr>
          <w:lang w:val="hy-AM"/>
        </w:rPr>
      </w:pPr>
      <w:r w:rsidRPr="00856197">
        <w:rPr>
          <w:rFonts w:ascii="GHEA Grapalat" w:hAnsi="GHEA Grapalat" w:cs="GHEA Grapalat"/>
          <w:lang w:val="hy-AM"/>
        </w:rPr>
        <w:t>ԵԿԲ կողմից տոկոսադրույքն ավելի արագ տեմպերով է նվազեցվել. տարեսկզբից</w:t>
      </w:r>
      <w:r w:rsidRPr="00177D9E">
        <w:rPr>
          <w:rFonts w:ascii="GHEA Grapalat" w:hAnsi="GHEA Grapalat" w:cs="GHEA Grapalat"/>
          <w:lang w:val="hy-AM"/>
        </w:rPr>
        <w:t xml:space="preserve"> </w:t>
      </w:r>
      <w:r>
        <w:rPr>
          <w:rFonts w:ascii="GHEA Grapalat" w:hAnsi="GHEA Grapalat" w:cs="GHEA Grapalat"/>
          <w:lang w:val="hy-AM"/>
        </w:rPr>
        <w:t xml:space="preserve">ԵԿԲ կողմից քաղաքականության տոկոսադրույքը </w:t>
      </w:r>
      <w:r w:rsidRPr="00856197">
        <w:rPr>
          <w:rFonts w:ascii="GHEA Grapalat" w:hAnsi="GHEA Grapalat" w:cs="GHEA Grapalat"/>
          <w:lang w:val="hy-AM"/>
        </w:rPr>
        <w:t xml:space="preserve">3.15% մակարդակից նվազեցվել է և </w:t>
      </w:r>
      <w:r>
        <w:rPr>
          <w:rFonts w:ascii="GHEA Grapalat" w:hAnsi="GHEA Grapalat" w:cs="GHEA Grapalat"/>
          <w:lang w:val="hy-AM"/>
        </w:rPr>
        <w:t>սեպտեմբերի</w:t>
      </w:r>
      <w:r w:rsidRPr="00856197">
        <w:rPr>
          <w:rFonts w:ascii="GHEA Grapalat" w:hAnsi="GHEA Grapalat" w:cs="GHEA Grapalat"/>
          <w:lang w:val="hy-AM"/>
        </w:rPr>
        <w:t xml:space="preserve"> դրությամբ </w:t>
      </w:r>
      <w:r>
        <w:rPr>
          <w:rFonts w:ascii="GHEA Grapalat" w:hAnsi="GHEA Grapalat" w:cs="GHEA Grapalat"/>
          <w:lang w:val="hy-AM"/>
        </w:rPr>
        <w:t>սահմանվել</w:t>
      </w:r>
      <w:r w:rsidRPr="00856197">
        <w:rPr>
          <w:rFonts w:ascii="GHEA Grapalat" w:hAnsi="GHEA Grapalat" w:cs="GHEA Grapalat"/>
          <w:lang w:val="hy-AM"/>
        </w:rPr>
        <w:t xml:space="preserve"> է 2.15%</w:t>
      </w:r>
      <w:r>
        <w:rPr>
          <w:rFonts w:ascii="GHEA Grapalat" w:hAnsi="GHEA Grapalat" w:cs="GHEA Grapalat"/>
          <w:lang w:val="hy-AM"/>
        </w:rPr>
        <w:t xml:space="preserve"> մակարդակում</w:t>
      </w:r>
      <w:r w:rsidRPr="00856197">
        <w:rPr>
          <w:rFonts w:ascii="GHEA Grapalat" w:hAnsi="GHEA Grapalat" w:cs="GHEA Grapalat"/>
          <w:lang w:val="hy-AM"/>
        </w:rPr>
        <w:t>: Քաղաքականության տոկոսադրույքի շարունակական նվազեցումները պայմանավորված են եղել գնաճի տեմպերի նվազմամբ, իսկ վերջին երկու ամի</w:t>
      </w:r>
      <w:r>
        <w:rPr>
          <w:rFonts w:ascii="GHEA Grapalat" w:hAnsi="GHEA Grapalat" w:cs="GHEA Grapalat"/>
          <w:lang w:val="hy-AM"/>
        </w:rPr>
        <w:t>ս</w:t>
      </w:r>
      <w:r w:rsidRPr="00856197">
        <w:rPr>
          <w:rFonts w:ascii="GHEA Grapalat" w:hAnsi="GHEA Grapalat" w:cs="GHEA Grapalat"/>
          <w:lang w:val="hy-AM"/>
        </w:rPr>
        <w:t>ներին</w:t>
      </w:r>
      <w:r>
        <w:rPr>
          <w:rFonts w:ascii="GHEA Grapalat" w:hAnsi="GHEA Grapalat" w:cs="GHEA Grapalat"/>
          <w:lang w:val="hy-AM"/>
        </w:rPr>
        <w:t>՝</w:t>
      </w:r>
      <w:r w:rsidRPr="00856197">
        <w:rPr>
          <w:rFonts w:ascii="GHEA Grapalat" w:hAnsi="GHEA Grapalat" w:cs="GHEA Grapalat"/>
          <w:lang w:val="hy-AM"/>
        </w:rPr>
        <w:t xml:space="preserve"> </w:t>
      </w:r>
      <w:r>
        <w:rPr>
          <w:rFonts w:ascii="GHEA Grapalat" w:hAnsi="GHEA Grapalat" w:cs="GHEA Grapalat"/>
          <w:lang w:val="hy-AM"/>
        </w:rPr>
        <w:t>թիրախին մոտ գտնվելու</w:t>
      </w:r>
      <w:r w:rsidRPr="00856197">
        <w:rPr>
          <w:rFonts w:ascii="GHEA Grapalat" w:hAnsi="GHEA Grapalat" w:cs="GHEA Grapalat"/>
          <w:lang w:val="hy-AM"/>
        </w:rPr>
        <w:t xml:space="preserve"> հանգամանքով: Չինաստանի բանկ</w:t>
      </w:r>
      <w:r>
        <w:rPr>
          <w:rFonts w:ascii="GHEA Grapalat" w:hAnsi="GHEA Grapalat" w:cs="GHEA Grapalat"/>
          <w:lang w:val="hy-AM"/>
        </w:rPr>
        <w:t>ը</w:t>
      </w:r>
      <w:r w:rsidRPr="00856197">
        <w:rPr>
          <w:rFonts w:ascii="GHEA Grapalat" w:hAnsi="GHEA Grapalat" w:cs="GHEA Grapalat"/>
          <w:lang w:val="hy-AM"/>
        </w:rPr>
        <w:t xml:space="preserve"> ընթացիկ տարվա հունվար-մայիս ամիսներին պահպանել է նախորդ տարվա հոկտեմբերին սահմանված տոկոսադրույքի 3.10% մակարդակը, սակայն </w:t>
      </w:r>
      <w:r>
        <w:rPr>
          <w:rFonts w:ascii="GHEA Grapalat" w:hAnsi="GHEA Grapalat" w:cs="GHEA Grapalat"/>
          <w:lang w:val="hy-AM"/>
        </w:rPr>
        <w:t>մայիսի վերջին</w:t>
      </w:r>
      <w:r w:rsidRPr="00856197">
        <w:rPr>
          <w:rFonts w:ascii="GHEA Grapalat" w:hAnsi="GHEA Grapalat" w:cs="GHEA Grapalat"/>
          <w:lang w:val="hy-AM"/>
        </w:rPr>
        <w:t xml:space="preserve"> նվազեց</w:t>
      </w:r>
      <w:r>
        <w:rPr>
          <w:rFonts w:ascii="GHEA Grapalat" w:hAnsi="GHEA Grapalat" w:cs="GHEA Grapalat"/>
          <w:lang w:val="hy-AM"/>
        </w:rPr>
        <w:t>ր</w:t>
      </w:r>
      <w:r w:rsidRPr="00856197">
        <w:rPr>
          <w:rFonts w:ascii="GHEA Grapalat" w:hAnsi="GHEA Grapalat" w:cs="GHEA Grapalat"/>
          <w:lang w:val="hy-AM"/>
        </w:rPr>
        <w:t>ել է 0.1 տոկոսային կետով՝ սահմանելով 3%, որը</w:t>
      </w:r>
      <w:r>
        <w:rPr>
          <w:rFonts w:ascii="GHEA Grapalat" w:hAnsi="GHEA Grapalat" w:cs="GHEA Grapalat"/>
          <w:lang w:val="hy-AM"/>
        </w:rPr>
        <w:t>,</w:t>
      </w:r>
      <w:r w:rsidRPr="00856197">
        <w:rPr>
          <w:rFonts w:ascii="GHEA Grapalat" w:hAnsi="GHEA Grapalat" w:cs="GHEA Grapalat"/>
          <w:lang w:val="hy-AM"/>
        </w:rPr>
        <w:t xml:space="preserve"> հիմնականում</w:t>
      </w:r>
      <w:r>
        <w:rPr>
          <w:rFonts w:ascii="GHEA Grapalat" w:hAnsi="GHEA Grapalat" w:cs="GHEA Grapalat"/>
          <w:lang w:val="hy-AM"/>
        </w:rPr>
        <w:t>,</w:t>
      </w:r>
      <w:r w:rsidRPr="00856197">
        <w:rPr>
          <w:rFonts w:ascii="GHEA Grapalat" w:hAnsi="GHEA Grapalat" w:cs="GHEA Grapalat"/>
          <w:lang w:val="hy-AM"/>
        </w:rPr>
        <w:t xml:space="preserve"> միտված է եղել թույլ տնտեսության աստիճանական վերականգնմանը՝ ԱՄՆ</w:t>
      </w:r>
      <w:r>
        <w:rPr>
          <w:rFonts w:ascii="GHEA Grapalat" w:hAnsi="GHEA Grapalat" w:cs="GHEA Grapalat"/>
          <w:lang w:val="hy-AM"/>
        </w:rPr>
        <w:t xml:space="preserve"> </w:t>
      </w:r>
      <w:r w:rsidRPr="00856197">
        <w:rPr>
          <w:rFonts w:ascii="GHEA Grapalat" w:hAnsi="GHEA Grapalat" w:cs="GHEA Grapalat"/>
          <w:lang w:val="hy-AM"/>
        </w:rPr>
        <w:t>վարչակազմի կողմից սահմանված մաքսատուրքերի և դրանց ազդեցությունների հետ կապված անորոշությունների պայմաններում: ՌԴ ԿԲ-ն պահպանել է նախորդ տարվա հոկտեմբերից տոկոսադրույքի սահմանված 21% մակարդակը, սակայն հունիսի</w:t>
      </w:r>
      <w:r>
        <w:rPr>
          <w:rFonts w:ascii="GHEA Grapalat" w:hAnsi="GHEA Grapalat" w:cs="GHEA Grapalat"/>
          <w:lang w:val="hy-AM"/>
        </w:rPr>
        <w:t>ց աստիճանաբար նվազեցրել է՝ սեպտեմբերին սահմանելով 17</w:t>
      </w:r>
      <w:r w:rsidRPr="00A75DBA">
        <w:rPr>
          <w:rFonts w:ascii="GHEA Grapalat" w:hAnsi="GHEA Grapalat" w:cs="GHEA Grapalat"/>
          <w:lang w:val="hy-AM"/>
        </w:rPr>
        <w:t>%</w:t>
      </w:r>
      <w:r>
        <w:rPr>
          <w:rFonts w:ascii="GHEA Grapalat" w:hAnsi="GHEA Grapalat" w:cs="GHEA Grapalat"/>
          <w:lang w:val="hy-AM"/>
        </w:rPr>
        <w:t>՝ պայմանավորված գնաճային ճնշումների աստիճանական թուլացմամբ։</w:t>
      </w:r>
    </w:p>
    <w:p w14:paraId="4BE150AC" w14:textId="77777777" w:rsidR="00FE3BE4" w:rsidRPr="00856197" w:rsidRDefault="00FE3BE4" w:rsidP="00FE3BE4">
      <w:pPr>
        <w:ind w:firstLine="567"/>
        <w:jc w:val="both"/>
        <w:rPr>
          <w:lang w:val="hy-AM"/>
        </w:rPr>
      </w:pPr>
    </w:p>
    <w:p w14:paraId="1DE0C335" w14:textId="77777777" w:rsidR="00FE3BE4" w:rsidRPr="00D42838" w:rsidRDefault="00FE3BE4" w:rsidP="00FE3BE4">
      <w:pPr>
        <w:pStyle w:val="TOC4"/>
        <w:pBdr>
          <w:bottom w:val="single" w:sz="8" w:space="1" w:color="E1E1E3" w:themeColor="accent3" w:themeTint="33"/>
        </w:pBdr>
        <w:ind w:left="-1080" w:firstLine="1080"/>
        <w:rPr>
          <w:lang w:val="hy-AM"/>
        </w:rPr>
      </w:pPr>
      <w:r w:rsidRPr="00D42838">
        <w:rPr>
          <w:lang w:val="hy-AM"/>
        </w:rPr>
        <w:t>Կանխատեսում</w:t>
      </w:r>
    </w:p>
    <w:p w14:paraId="52AD913C" w14:textId="77777777" w:rsidR="00FE3BE4" w:rsidRPr="004C0D34" w:rsidRDefault="00FE3BE4" w:rsidP="00FE3BE4">
      <w:pPr>
        <w:pStyle w:val="BodyText1"/>
        <w:ind w:left="0"/>
        <w:rPr>
          <w:color w:val="auto"/>
          <w:lang w:val="hy-AM"/>
        </w:rPr>
      </w:pPr>
      <w:r w:rsidRPr="00A75DBA">
        <w:rPr>
          <w:b/>
          <w:color w:val="auto"/>
          <w:lang w:val="hy-AM"/>
        </w:rPr>
        <w:t xml:space="preserve">ԱՄՀ հուլիս ամսվա կանխատեսումների համաձայն 2025 և 2026 թվականներին համաշխարհային </w:t>
      </w:r>
      <w:r w:rsidRPr="00281192">
        <w:rPr>
          <w:b/>
          <w:color w:val="auto"/>
          <w:lang w:val="hy-AM"/>
        </w:rPr>
        <w:t xml:space="preserve">տնտեսական աճը կդանդաղի՝ կազմելով, համապատասխանաբար, 3.0% և 3.1%՝ արտացոլելով </w:t>
      </w:r>
      <w:r w:rsidRPr="00281192">
        <w:rPr>
          <w:rFonts w:eastAsia="Times New Roman" w:cs="Courier New"/>
          <w:b/>
          <w:color w:val="auto"/>
          <w:lang w:val="hy-AM"/>
        </w:rPr>
        <w:t>նոր առևտրային միջոցառումների ուղղակի և անուղղակի ազդեցությունները, ինչպես նաև անորոշությունների բարձր մակարդակը</w:t>
      </w:r>
      <w:r w:rsidRPr="00A75DBA">
        <w:rPr>
          <w:b/>
          <w:color w:val="auto"/>
          <w:lang w:val="hy-AM"/>
        </w:rPr>
        <w:t>:</w:t>
      </w:r>
      <w:r>
        <w:rPr>
          <w:b/>
          <w:color w:val="auto"/>
          <w:lang w:val="hy-AM"/>
        </w:rPr>
        <w:t xml:space="preserve"> Միևնույն ժամանակ</w:t>
      </w:r>
      <w:r w:rsidRPr="0008274C">
        <w:rPr>
          <w:b/>
          <w:color w:val="auto"/>
          <w:lang w:val="hy-AM"/>
        </w:rPr>
        <w:t>, հուլիս ամսվա կանխատեսումների դեպի վերև վերանայումն առավելապես պայմանավորված է եղել մաքսատուր</w:t>
      </w:r>
      <w:r>
        <w:rPr>
          <w:b/>
          <w:color w:val="auto"/>
          <w:lang w:val="hy-AM"/>
        </w:rPr>
        <w:t>ք</w:t>
      </w:r>
      <w:r w:rsidRPr="0008274C">
        <w:rPr>
          <w:b/>
          <w:color w:val="auto"/>
          <w:lang w:val="hy-AM"/>
        </w:rPr>
        <w:t>երի արդյունավետ տոկոսադրույքի ավելի ցածր մակարդակով և համաշխարհային ֆինանսական պայմանների բարելավմամբ։</w:t>
      </w:r>
      <w:r w:rsidRPr="0008274C">
        <w:rPr>
          <w:color w:val="auto"/>
          <w:lang w:val="hy-AM"/>
        </w:rPr>
        <w:t xml:space="preserve"> ՀՀ հիմնական գործընկեր երկրներից ԱՄՆ-ում 2025 թվականին աճի արագացումից հետո սպասվում է կտրուկ դանդաղում՝ պայմանավորված ավելի թույլ մասնավոր պահանջարկի հեռանկարներով և ներգաղթի թուլացմամբ, որին կհակազդեն</w:t>
      </w:r>
      <w:r w:rsidRPr="00177D9E">
        <w:rPr>
          <w:color w:val="auto"/>
          <w:lang w:val="hy-AM"/>
        </w:rPr>
        <w:t xml:space="preserve"> </w:t>
      </w:r>
      <w:r w:rsidRPr="0008274C">
        <w:rPr>
          <w:color w:val="auto"/>
          <w:lang w:val="hy-AM"/>
        </w:rPr>
        <w:t>ավելի ցածր մաքսային դրույքաչափերը</w:t>
      </w:r>
      <w:r>
        <w:rPr>
          <w:color w:val="auto"/>
          <w:lang w:val="hy-AM"/>
        </w:rPr>
        <w:t>՝</w:t>
      </w:r>
      <w:r w:rsidRPr="00177D9E">
        <w:rPr>
          <w:color w:val="auto"/>
          <w:lang w:val="hy-AM"/>
        </w:rPr>
        <w:t xml:space="preserve"> </w:t>
      </w:r>
      <w:r>
        <w:rPr>
          <w:color w:val="auto"/>
          <w:lang w:val="hy-AM"/>
        </w:rPr>
        <w:t xml:space="preserve">ի համեմատ նախնական </w:t>
      </w:r>
      <w:r w:rsidRPr="00177D9E">
        <w:rPr>
          <w:color w:val="auto"/>
          <w:lang w:val="hy-AM"/>
        </w:rPr>
        <w:t>(</w:t>
      </w:r>
      <w:r>
        <w:rPr>
          <w:color w:val="auto"/>
          <w:lang w:val="hy-AM"/>
        </w:rPr>
        <w:t>ապրիլի 2-ին</w:t>
      </w:r>
      <w:r w:rsidRPr="00177D9E">
        <w:rPr>
          <w:color w:val="auto"/>
          <w:lang w:val="hy-AM"/>
        </w:rPr>
        <w:t>)</w:t>
      </w:r>
      <w:r>
        <w:rPr>
          <w:color w:val="auto"/>
          <w:lang w:val="hy-AM"/>
        </w:rPr>
        <w:t xml:space="preserve"> հայտարարությամբ նշված</w:t>
      </w:r>
      <w:r w:rsidRPr="00177D9E">
        <w:rPr>
          <w:color w:val="auto"/>
          <w:lang w:val="hy-AM"/>
        </w:rPr>
        <w:t xml:space="preserve"> </w:t>
      </w:r>
      <w:r>
        <w:rPr>
          <w:color w:val="auto"/>
          <w:lang w:val="hy-AM"/>
        </w:rPr>
        <w:t>դրույքաչափերի,</w:t>
      </w:r>
      <w:r w:rsidRPr="0008274C">
        <w:rPr>
          <w:color w:val="auto"/>
          <w:lang w:val="hy-AM"/>
        </w:rPr>
        <w:t xml:space="preserve"> և ավելի մեղմ ֆինանսական պայմանները:</w:t>
      </w:r>
      <w:r>
        <w:rPr>
          <w:color w:val="auto"/>
          <w:lang w:val="hy-AM"/>
        </w:rPr>
        <w:t xml:space="preserve"> </w:t>
      </w:r>
      <w:r w:rsidRPr="00555099">
        <w:rPr>
          <w:color w:val="auto"/>
          <w:lang w:val="hy-AM"/>
        </w:rPr>
        <w:t>Եվրագոտում 2025 թվականին տնտեսությունը կշարունակի աճել՝ պայմանավորված Իռլանդիայի դեղագործական արտադրանքի դեպի Միացյալ Նահանգներ արտահանման պատմականորեն մեծ աճ</w:t>
      </w:r>
      <w:r>
        <w:rPr>
          <w:color w:val="auto"/>
          <w:lang w:val="hy-AM"/>
        </w:rPr>
        <w:t>ով</w:t>
      </w:r>
      <w:r w:rsidRPr="00555099">
        <w:rPr>
          <w:color w:val="auto"/>
          <w:lang w:val="hy-AM"/>
        </w:rPr>
        <w:t xml:space="preserve">՝ նախնական բեռնման և նոր արտադրական հզորությունների </w:t>
      </w:r>
      <w:r>
        <w:rPr>
          <w:color w:val="auto"/>
          <w:lang w:val="hy-AM"/>
        </w:rPr>
        <w:t>ներդրման</w:t>
      </w:r>
      <w:r w:rsidRPr="00555099">
        <w:rPr>
          <w:color w:val="auto"/>
          <w:lang w:val="hy-AM"/>
        </w:rPr>
        <w:t xml:space="preserve"> </w:t>
      </w:r>
      <w:r>
        <w:rPr>
          <w:color w:val="auto"/>
          <w:lang w:val="hy-AM"/>
        </w:rPr>
        <w:t xml:space="preserve">արդյունքում, իսկ 2026 թվականին նախորդ տարվա արտահանման ազդեցությունները կթուլանան և տնտեսության աճը կպահպանվի պոտենցիալի շուրջ։ </w:t>
      </w:r>
      <w:r w:rsidRPr="0008274C">
        <w:rPr>
          <w:color w:val="auto"/>
          <w:lang w:val="hy-AM"/>
        </w:rPr>
        <w:t xml:space="preserve">Չինաստանում տնտեսական աճի վերանայումը պայմանավորված է եղել ընթացիկ տարվա աճի արագ տեմպերով և ԱՄՆ-Չինաստան մաքսատուրքի նվազեցմամբ։ ՀՀ ամենամեծ առևտրատնտեսական գործընկեր ՌԴ-ում 2025 թվականին կանխատեսվում է 0.9% </w:t>
      </w:r>
      <w:r>
        <w:rPr>
          <w:color w:val="auto"/>
          <w:lang w:val="hy-AM"/>
        </w:rPr>
        <w:t xml:space="preserve">տնտեսական </w:t>
      </w:r>
      <w:r w:rsidRPr="0008274C">
        <w:rPr>
          <w:color w:val="auto"/>
          <w:lang w:val="hy-AM"/>
        </w:rPr>
        <w:t xml:space="preserve">աճ: </w:t>
      </w:r>
      <w:r w:rsidRPr="00A75DBA">
        <w:rPr>
          <w:color w:val="auto"/>
          <w:lang w:val="hy-AM"/>
        </w:rPr>
        <w:t>Ընդ որում, ի համեմատ ապրիլ ամսվա կանխատեսումների ՀՀ հիմնական գործընկեր երկրների հուլիս ամսվա կանխատեսումները որոշ չափով վերանայվել են</w:t>
      </w:r>
      <w:r>
        <w:rPr>
          <w:color w:val="auto"/>
          <w:lang w:val="hy-AM"/>
        </w:rPr>
        <w:t>՝ հիմնականում, առավել դրական սպասումներով</w:t>
      </w:r>
      <w:r>
        <w:rPr>
          <w:rFonts w:asciiTheme="minorHAnsi" w:eastAsia="Microsoft YaHei" w:hAnsiTheme="minorHAnsi" w:cs="Microsoft YaHei"/>
          <w:color w:val="auto"/>
          <w:lang w:val="hy-AM"/>
        </w:rPr>
        <w:t xml:space="preserve">: </w:t>
      </w:r>
      <w:r w:rsidRPr="00A75DBA">
        <w:rPr>
          <w:color w:val="auto"/>
          <w:lang w:val="hy-AM"/>
        </w:rPr>
        <w:t>202</w:t>
      </w:r>
      <w:r>
        <w:rPr>
          <w:color w:val="auto"/>
          <w:lang w:val="hy-AM"/>
        </w:rPr>
        <w:t>6</w:t>
      </w:r>
      <w:r w:rsidRPr="00A75DBA">
        <w:rPr>
          <w:color w:val="auto"/>
          <w:lang w:val="hy-AM"/>
        </w:rPr>
        <w:t xml:space="preserve"> թվականին ՌԴ տնտեսության համար ապրիլի </w:t>
      </w:r>
      <w:r>
        <w:rPr>
          <w:color w:val="auto"/>
          <w:lang w:val="hy-AM"/>
        </w:rPr>
        <w:t>0.9</w:t>
      </w:r>
      <w:r w:rsidRPr="00A75DBA">
        <w:rPr>
          <w:color w:val="auto"/>
          <w:lang w:val="hy-AM"/>
        </w:rPr>
        <w:t xml:space="preserve">% աճի կանխատեսումը հուլիսին վերանայվել է </w:t>
      </w:r>
      <w:r>
        <w:rPr>
          <w:color w:val="auto"/>
          <w:lang w:val="hy-AM"/>
        </w:rPr>
        <w:t>1</w:t>
      </w:r>
      <w:r w:rsidRPr="00A75DBA">
        <w:rPr>
          <w:color w:val="auto"/>
          <w:lang w:val="hy-AM"/>
        </w:rPr>
        <w:t xml:space="preserve">%, Չինաստանի </w:t>
      </w:r>
      <w:r>
        <w:rPr>
          <w:color w:val="auto"/>
          <w:lang w:val="hy-AM"/>
        </w:rPr>
        <w:t>4.</w:t>
      </w:r>
      <w:r w:rsidRPr="00641817">
        <w:rPr>
          <w:color w:val="auto"/>
          <w:lang w:val="hy-AM"/>
        </w:rPr>
        <w:t>0</w:t>
      </w:r>
      <w:r w:rsidRPr="00A75DBA">
        <w:rPr>
          <w:color w:val="auto"/>
          <w:lang w:val="hy-AM"/>
        </w:rPr>
        <w:t>% աճի կանխատեսումը վերանայվել է դեպի վերև՝</w:t>
      </w:r>
      <w:r>
        <w:rPr>
          <w:color w:val="auto"/>
          <w:lang w:val="hy-AM"/>
        </w:rPr>
        <w:t xml:space="preserve"> 4.2</w:t>
      </w:r>
      <w:r w:rsidRPr="00A75DBA">
        <w:rPr>
          <w:color w:val="auto"/>
          <w:lang w:val="hy-AM"/>
        </w:rPr>
        <w:t>%</w:t>
      </w:r>
      <w:r>
        <w:rPr>
          <w:color w:val="auto"/>
          <w:lang w:val="hy-AM"/>
        </w:rPr>
        <w:t>,</w:t>
      </w:r>
      <w:r w:rsidRPr="00A75DBA">
        <w:rPr>
          <w:color w:val="auto"/>
          <w:lang w:val="hy-AM"/>
        </w:rPr>
        <w:t xml:space="preserve"> ԱՄՆ-ի </w:t>
      </w:r>
      <w:r>
        <w:rPr>
          <w:color w:val="auto"/>
          <w:lang w:val="hy-AM"/>
        </w:rPr>
        <w:t>տնտեսական աճի կանխատեսումը 1.7</w:t>
      </w:r>
      <w:r w:rsidRPr="00177D9E">
        <w:rPr>
          <w:color w:val="auto"/>
          <w:lang w:val="hy-AM"/>
        </w:rPr>
        <w:t>%-</w:t>
      </w:r>
      <w:r>
        <w:rPr>
          <w:color w:val="auto"/>
          <w:lang w:val="hy-AM"/>
        </w:rPr>
        <w:t>ից վերանայվել է 2</w:t>
      </w:r>
      <w:r w:rsidRPr="00177D9E">
        <w:rPr>
          <w:color w:val="auto"/>
          <w:lang w:val="hy-AM"/>
        </w:rPr>
        <w:t xml:space="preserve">%: </w:t>
      </w:r>
      <w:r>
        <w:rPr>
          <w:color w:val="auto"/>
          <w:lang w:val="hy-AM"/>
        </w:rPr>
        <w:t>Եվրագոտու հուլիսի կանխատեսումը պահպանվել է նույն</w:t>
      </w:r>
      <w:r w:rsidRPr="00A75DBA">
        <w:rPr>
          <w:color w:val="auto"/>
          <w:lang w:val="hy-AM"/>
        </w:rPr>
        <w:t xml:space="preserve"> մակարդակում՝</w:t>
      </w:r>
      <w:r>
        <w:rPr>
          <w:color w:val="auto"/>
          <w:lang w:val="hy-AM"/>
        </w:rPr>
        <w:t xml:space="preserve"> 1.2</w:t>
      </w:r>
      <w:r w:rsidRPr="00A75DBA">
        <w:rPr>
          <w:color w:val="auto"/>
          <w:lang w:val="hy-AM"/>
        </w:rPr>
        <w:t>%։</w:t>
      </w:r>
    </w:p>
    <w:p w14:paraId="67A9817D" w14:textId="77777777" w:rsidR="00FE3BE4" w:rsidRPr="003271D8" w:rsidRDefault="00FE3BE4" w:rsidP="00FE3BE4">
      <w:pPr>
        <w:pStyle w:val="BodytextBullets"/>
        <w:numPr>
          <w:ilvl w:val="0"/>
          <w:numId w:val="0"/>
        </w:numPr>
        <w:ind w:left="360" w:hanging="360"/>
        <w:rPr>
          <w:b/>
          <w:bCs/>
          <w:lang w:val="hy-AM"/>
        </w:rPr>
      </w:pPr>
      <w:r w:rsidRPr="003271D8">
        <w:rPr>
          <w:b/>
          <w:bCs/>
          <w:lang w:val="hy-AM"/>
        </w:rPr>
        <w:t xml:space="preserve">Աղյուսակ 1.2. ԱՄՀ կանխատեսումներ </w:t>
      </w:r>
    </w:p>
    <w:tbl>
      <w:tblPr>
        <w:tblW w:w="9730" w:type="dxa"/>
        <w:tblBorders>
          <w:top w:val="single" w:sz="8" w:space="0" w:color="E1E1E3" w:themeColor="accent3" w:themeTint="33"/>
          <w:left w:val="single" w:sz="8" w:space="0" w:color="E1E1E3" w:themeColor="accent3" w:themeTint="33"/>
          <w:bottom w:val="single" w:sz="8" w:space="0" w:color="E1E1E3" w:themeColor="accent3" w:themeTint="33"/>
          <w:right w:val="single" w:sz="8" w:space="0" w:color="E1E1E3" w:themeColor="accent3" w:themeTint="33"/>
          <w:insideH w:val="single" w:sz="8" w:space="0" w:color="E1E1E3" w:themeColor="accent3" w:themeTint="33"/>
          <w:insideV w:val="single" w:sz="8" w:space="0" w:color="E1E1E3" w:themeColor="accent3" w:themeTint="33"/>
        </w:tblBorders>
        <w:tblLayout w:type="fixed"/>
        <w:tblLook w:val="04A0" w:firstRow="1" w:lastRow="0" w:firstColumn="1" w:lastColumn="0" w:noHBand="0" w:noVBand="1"/>
      </w:tblPr>
      <w:tblGrid>
        <w:gridCol w:w="2203"/>
        <w:gridCol w:w="916"/>
        <w:gridCol w:w="812"/>
        <w:gridCol w:w="814"/>
        <w:gridCol w:w="815"/>
        <w:gridCol w:w="814"/>
        <w:gridCol w:w="813"/>
        <w:gridCol w:w="751"/>
        <w:gridCol w:w="877"/>
        <w:gridCol w:w="915"/>
      </w:tblGrid>
      <w:tr w:rsidR="00FE3BE4" w:rsidRPr="00FC6AD2" w14:paraId="50A12494" w14:textId="77777777" w:rsidTr="008D4E1E">
        <w:trPr>
          <w:trHeight w:val="432"/>
        </w:trPr>
        <w:tc>
          <w:tcPr>
            <w:tcW w:w="2203" w:type="dxa"/>
            <w:vMerge w:val="restart"/>
            <w:shd w:val="clear" w:color="auto" w:fill="D5DCE4" w:themeFill="text2" w:themeFillTint="33"/>
          </w:tcPr>
          <w:p w14:paraId="6CD97851" w14:textId="77777777" w:rsidR="00FE3BE4" w:rsidRPr="00903306" w:rsidRDefault="00FE3BE4" w:rsidP="008D4E1E">
            <w:pPr>
              <w:spacing w:before="100" w:beforeAutospacing="1" w:after="100" w:afterAutospacing="1" w:line="240" w:lineRule="auto"/>
              <w:rPr>
                <w:sz w:val="18"/>
                <w:szCs w:val="18"/>
                <w:lang w:val="hy-AM"/>
              </w:rPr>
            </w:pPr>
          </w:p>
        </w:tc>
        <w:tc>
          <w:tcPr>
            <w:tcW w:w="916" w:type="dxa"/>
            <w:shd w:val="clear" w:color="auto" w:fill="D5DCE4" w:themeFill="text2" w:themeFillTint="33"/>
            <w:vAlign w:val="center"/>
            <w:hideMark/>
          </w:tcPr>
          <w:p w14:paraId="6DE9A872" w14:textId="77777777" w:rsidR="00FE3BE4" w:rsidRPr="00FC6AD2" w:rsidRDefault="00FE3BE4" w:rsidP="008D4E1E">
            <w:pPr>
              <w:spacing w:before="100" w:beforeAutospacing="1" w:after="100" w:afterAutospacing="1" w:line="240" w:lineRule="auto"/>
              <w:jc w:val="center"/>
              <w:rPr>
                <w:sz w:val="18"/>
                <w:szCs w:val="18"/>
              </w:rPr>
            </w:pPr>
            <w:r>
              <w:rPr>
                <w:sz w:val="18"/>
                <w:szCs w:val="18"/>
              </w:rPr>
              <w:t>2024</w:t>
            </w:r>
          </w:p>
        </w:tc>
        <w:tc>
          <w:tcPr>
            <w:tcW w:w="2441" w:type="dxa"/>
            <w:gridSpan w:val="3"/>
            <w:shd w:val="clear" w:color="auto" w:fill="D5DCE4" w:themeFill="text2" w:themeFillTint="33"/>
            <w:vAlign w:val="center"/>
            <w:hideMark/>
          </w:tcPr>
          <w:p w14:paraId="37F00258" w14:textId="77777777" w:rsidR="00FE3BE4" w:rsidRPr="00FC6AD2" w:rsidRDefault="00FE3BE4" w:rsidP="008D4E1E">
            <w:pPr>
              <w:spacing w:before="100" w:beforeAutospacing="1" w:after="100" w:afterAutospacing="1" w:line="240" w:lineRule="auto"/>
              <w:jc w:val="center"/>
              <w:rPr>
                <w:sz w:val="18"/>
                <w:szCs w:val="18"/>
              </w:rPr>
            </w:pPr>
            <w:r>
              <w:rPr>
                <w:sz w:val="18"/>
                <w:szCs w:val="18"/>
              </w:rPr>
              <w:t>2025</w:t>
            </w:r>
            <w:r w:rsidRPr="00FC6AD2">
              <w:rPr>
                <w:sz w:val="18"/>
                <w:szCs w:val="18"/>
              </w:rPr>
              <w:t>թ.-ի կանխատեսում</w:t>
            </w:r>
          </w:p>
        </w:tc>
        <w:tc>
          <w:tcPr>
            <w:tcW w:w="2378" w:type="dxa"/>
            <w:gridSpan w:val="3"/>
            <w:shd w:val="clear" w:color="auto" w:fill="D5DCE4" w:themeFill="text2" w:themeFillTint="33"/>
            <w:vAlign w:val="center"/>
            <w:hideMark/>
          </w:tcPr>
          <w:p w14:paraId="0D96B739" w14:textId="77777777" w:rsidR="00FE3BE4" w:rsidRPr="00FC6AD2" w:rsidRDefault="00FE3BE4" w:rsidP="008D4E1E">
            <w:pPr>
              <w:spacing w:before="100" w:beforeAutospacing="1" w:after="100" w:afterAutospacing="1" w:line="240" w:lineRule="auto"/>
              <w:jc w:val="center"/>
              <w:rPr>
                <w:sz w:val="18"/>
                <w:szCs w:val="18"/>
              </w:rPr>
            </w:pPr>
            <w:r>
              <w:rPr>
                <w:sz w:val="18"/>
                <w:szCs w:val="18"/>
              </w:rPr>
              <w:t>2026</w:t>
            </w:r>
            <w:r w:rsidRPr="00FC6AD2">
              <w:rPr>
                <w:sz w:val="18"/>
                <w:szCs w:val="18"/>
              </w:rPr>
              <w:t>թ.-ի կանխատեսում</w:t>
            </w:r>
          </w:p>
        </w:tc>
        <w:tc>
          <w:tcPr>
            <w:tcW w:w="877" w:type="dxa"/>
            <w:shd w:val="clear" w:color="auto" w:fill="D5DCE4" w:themeFill="text2" w:themeFillTint="33"/>
            <w:vAlign w:val="center"/>
            <w:hideMark/>
          </w:tcPr>
          <w:p w14:paraId="69FFC398" w14:textId="77777777" w:rsidR="00FE3BE4" w:rsidRPr="00FC6AD2" w:rsidRDefault="00FE3BE4" w:rsidP="008D4E1E">
            <w:pPr>
              <w:spacing w:before="100" w:beforeAutospacing="1" w:after="100" w:afterAutospacing="1" w:line="240" w:lineRule="auto"/>
              <w:jc w:val="center"/>
              <w:rPr>
                <w:sz w:val="18"/>
                <w:szCs w:val="18"/>
              </w:rPr>
            </w:pPr>
            <w:r w:rsidRPr="00FC6AD2">
              <w:rPr>
                <w:sz w:val="18"/>
                <w:szCs w:val="18"/>
              </w:rPr>
              <w:t>2026թ</w:t>
            </w:r>
            <w:r w:rsidRPr="00FC6AD2">
              <w:rPr>
                <w:rFonts w:ascii="Cambria Math" w:hAnsi="Cambria Math" w:cs="Cambria Math"/>
                <w:sz w:val="18"/>
                <w:szCs w:val="18"/>
              </w:rPr>
              <w:t>․</w:t>
            </w:r>
          </w:p>
        </w:tc>
        <w:tc>
          <w:tcPr>
            <w:tcW w:w="915" w:type="dxa"/>
            <w:shd w:val="clear" w:color="auto" w:fill="D5DCE4" w:themeFill="text2" w:themeFillTint="33"/>
            <w:vAlign w:val="center"/>
            <w:hideMark/>
          </w:tcPr>
          <w:p w14:paraId="13FF9FC6" w14:textId="77777777" w:rsidR="00FE3BE4" w:rsidRPr="00FC6AD2" w:rsidRDefault="00FE3BE4" w:rsidP="008D4E1E">
            <w:pPr>
              <w:spacing w:before="100" w:beforeAutospacing="1" w:after="100" w:afterAutospacing="1" w:line="240" w:lineRule="auto"/>
              <w:jc w:val="center"/>
              <w:rPr>
                <w:sz w:val="18"/>
                <w:szCs w:val="18"/>
              </w:rPr>
            </w:pPr>
            <w:r w:rsidRPr="00FC6AD2">
              <w:rPr>
                <w:sz w:val="18"/>
                <w:szCs w:val="18"/>
              </w:rPr>
              <w:t>2027 թ</w:t>
            </w:r>
            <w:r w:rsidRPr="00FC6AD2">
              <w:rPr>
                <w:rFonts w:ascii="Cambria Math" w:hAnsi="Cambria Math" w:cs="Cambria Math"/>
                <w:sz w:val="18"/>
                <w:szCs w:val="18"/>
              </w:rPr>
              <w:t>․</w:t>
            </w:r>
          </w:p>
        </w:tc>
      </w:tr>
      <w:tr w:rsidR="00FE3BE4" w:rsidRPr="00FC6AD2" w14:paraId="6B957A95" w14:textId="77777777" w:rsidTr="008D4E1E">
        <w:trPr>
          <w:trHeight w:val="288"/>
        </w:trPr>
        <w:tc>
          <w:tcPr>
            <w:tcW w:w="2203" w:type="dxa"/>
            <w:vMerge/>
            <w:shd w:val="clear" w:color="auto" w:fill="D5DCE4" w:themeFill="text2" w:themeFillTint="33"/>
            <w:vAlign w:val="center"/>
            <w:hideMark/>
          </w:tcPr>
          <w:p w14:paraId="51051DB4" w14:textId="77777777" w:rsidR="00FE3BE4" w:rsidRPr="00FC6AD2" w:rsidRDefault="00FE3BE4" w:rsidP="008D4E1E">
            <w:pPr>
              <w:spacing w:before="100" w:beforeAutospacing="1" w:after="100" w:afterAutospacing="1" w:line="240" w:lineRule="auto"/>
              <w:jc w:val="both"/>
              <w:rPr>
                <w:sz w:val="18"/>
                <w:szCs w:val="18"/>
                <w:lang w:val="ru-RU" w:eastAsia="ru-RU"/>
              </w:rPr>
            </w:pPr>
          </w:p>
        </w:tc>
        <w:tc>
          <w:tcPr>
            <w:tcW w:w="916" w:type="dxa"/>
            <w:shd w:val="clear" w:color="auto" w:fill="D5DCE4" w:themeFill="text2" w:themeFillTint="33"/>
            <w:hideMark/>
          </w:tcPr>
          <w:p w14:paraId="4C51575C" w14:textId="77777777" w:rsidR="00FE3BE4" w:rsidRPr="00FC6AD2" w:rsidRDefault="00FE3BE4" w:rsidP="008D4E1E">
            <w:pPr>
              <w:spacing w:before="100" w:beforeAutospacing="1" w:after="100" w:afterAutospacing="1" w:line="240" w:lineRule="auto"/>
              <w:jc w:val="center"/>
              <w:rPr>
                <w:sz w:val="18"/>
                <w:szCs w:val="18"/>
              </w:rPr>
            </w:pPr>
            <w:r w:rsidRPr="00FC6AD2">
              <w:rPr>
                <w:sz w:val="18"/>
                <w:szCs w:val="18"/>
              </w:rPr>
              <w:t>Փաստ</w:t>
            </w:r>
          </w:p>
        </w:tc>
        <w:tc>
          <w:tcPr>
            <w:tcW w:w="812" w:type="dxa"/>
            <w:shd w:val="clear" w:color="auto" w:fill="D5DCE4" w:themeFill="text2" w:themeFillTint="33"/>
            <w:hideMark/>
          </w:tcPr>
          <w:p w14:paraId="67913D82" w14:textId="77777777" w:rsidR="00FE3BE4" w:rsidRPr="00FC6AD2" w:rsidRDefault="00FE3BE4" w:rsidP="008D4E1E">
            <w:pPr>
              <w:spacing w:before="100" w:beforeAutospacing="1" w:after="100" w:afterAutospacing="1" w:line="240" w:lineRule="auto"/>
              <w:jc w:val="center"/>
              <w:rPr>
                <w:sz w:val="18"/>
                <w:szCs w:val="18"/>
              </w:rPr>
            </w:pPr>
            <w:r>
              <w:rPr>
                <w:sz w:val="18"/>
                <w:szCs w:val="18"/>
              </w:rPr>
              <w:t>2025</w:t>
            </w:r>
            <w:r w:rsidRPr="00FC6AD2">
              <w:rPr>
                <w:sz w:val="18"/>
                <w:szCs w:val="18"/>
              </w:rPr>
              <w:t xml:space="preserve"> Հունվ</w:t>
            </w:r>
            <w:r w:rsidRPr="00FC6AD2">
              <w:rPr>
                <w:rFonts w:ascii="Cambria Math" w:hAnsi="Cambria Math" w:cs="Cambria Math"/>
                <w:sz w:val="18"/>
                <w:szCs w:val="18"/>
              </w:rPr>
              <w:t>․</w:t>
            </w:r>
          </w:p>
        </w:tc>
        <w:tc>
          <w:tcPr>
            <w:tcW w:w="814" w:type="dxa"/>
            <w:shd w:val="clear" w:color="auto" w:fill="D5DCE4" w:themeFill="text2" w:themeFillTint="33"/>
            <w:hideMark/>
          </w:tcPr>
          <w:p w14:paraId="49F1A34E" w14:textId="77777777" w:rsidR="00FE3BE4" w:rsidRPr="00FC6AD2" w:rsidRDefault="00FE3BE4" w:rsidP="008D4E1E">
            <w:pPr>
              <w:spacing w:before="100" w:beforeAutospacing="1" w:after="100" w:afterAutospacing="1" w:line="240" w:lineRule="auto"/>
              <w:jc w:val="center"/>
              <w:rPr>
                <w:sz w:val="18"/>
                <w:szCs w:val="18"/>
              </w:rPr>
            </w:pPr>
            <w:r>
              <w:rPr>
                <w:sz w:val="18"/>
                <w:szCs w:val="18"/>
              </w:rPr>
              <w:t>2025</w:t>
            </w:r>
            <w:r w:rsidRPr="00FC6AD2">
              <w:rPr>
                <w:sz w:val="18"/>
                <w:szCs w:val="18"/>
              </w:rPr>
              <w:t xml:space="preserve"> Ապրիլ</w:t>
            </w:r>
          </w:p>
        </w:tc>
        <w:tc>
          <w:tcPr>
            <w:tcW w:w="815" w:type="dxa"/>
            <w:shd w:val="clear" w:color="auto" w:fill="D5DCE4" w:themeFill="text2" w:themeFillTint="33"/>
            <w:hideMark/>
          </w:tcPr>
          <w:p w14:paraId="5612C392" w14:textId="77777777" w:rsidR="00FE3BE4" w:rsidRPr="00FC6AD2" w:rsidRDefault="00FE3BE4" w:rsidP="008D4E1E">
            <w:pPr>
              <w:spacing w:before="100" w:beforeAutospacing="1" w:after="100" w:afterAutospacing="1" w:line="240" w:lineRule="auto"/>
              <w:jc w:val="center"/>
              <w:rPr>
                <w:sz w:val="18"/>
                <w:szCs w:val="18"/>
                <w:lang w:val="hy-AM"/>
              </w:rPr>
            </w:pPr>
            <w:r>
              <w:rPr>
                <w:sz w:val="18"/>
                <w:szCs w:val="18"/>
              </w:rPr>
              <w:t>2025</w:t>
            </w:r>
            <w:r w:rsidRPr="00FC6AD2">
              <w:rPr>
                <w:sz w:val="18"/>
                <w:szCs w:val="18"/>
              </w:rPr>
              <w:t xml:space="preserve"> Հուլիս</w:t>
            </w:r>
          </w:p>
        </w:tc>
        <w:tc>
          <w:tcPr>
            <w:tcW w:w="814" w:type="dxa"/>
            <w:shd w:val="clear" w:color="auto" w:fill="D5DCE4" w:themeFill="text2" w:themeFillTint="33"/>
            <w:vAlign w:val="center"/>
            <w:hideMark/>
          </w:tcPr>
          <w:p w14:paraId="28E5A8E2" w14:textId="77777777" w:rsidR="00FE3BE4" w:rsidRPr="00FC6AD2" w:rsidRDefault="00FE3BE4" w:rsidP="008D4E1E">
            <w:pPr>
              <w:spacing w:before="100" w:beforeAutospacing="1" w:after="100" w:afterAutospacing="1" w:line="240" w:lineRule="auto"/>
              <w:jc w:val="center"/>
              <w:rPr>
                <w:sz w:val="18"/>
                <w:szCs w:val="18"/>
                <w:lang w:val="ru-RU"/>
              </w:rPr>
            </w:pPr>
            <w:r>
              <w:rPr>
                <w:sz w:val="18"/>
                <w:szCs w:val="18"/>
              </w:rPr>
              <w:t>2025</w:t>
            </w:r>
            <w:r w:rsidRPr="00FC6AD2">
              <w:rPr>
                <w:sz w:val="18"/>
                <w:szCs w:val="18"/>
              </w:rPr>
              <w:t xml:space="preserve"> Հունվ.</w:t>
            </w:r>
          </w:p>
        </w:tc>
        <w:tc>
          <w:tcPr>
            <w:tcW w:w="813" w:type="dxa"/>
            <w:shd w:val="clear" w:color="auto" w:fill="D5DCE4" w:themeFill="text2" w:themeFillTint="33"/>
            <w:hideMark/>
          </w:tcPr>
          <w:p w14:paraId="0D8CAEB6" w14:textId="77777777" w:rsidR="00FE3BE4" w:rsidRPr="00FC6AD2" w:rsidRDefault="00FE3BE4" w:rsidP="008D4E1E">
            <w:pPr>
              <w:spacing w:before="100" w:beforeAutospacing="1" w:after="100" w:afterAutospacing="1" w:line="240" w:lineRule="auto"/>
              <w:jc w:val="center"/>
              <w:rPr>
                <w:sz w:val="18"/>
                <w:szCs w:val="18"/>
              </w:rPr>
            </w:pPr>
            <w:r>
              <w:rPr>
                <w:sz w:val="18"/>
                <w:szCs w:val="18"/>
              </w:rPr>
              <w:t>2025</w:t>
            </w:r>
            <w:r w:rsidRPr="00FC6AD2">
              <w:rPr>
                <w:sz w:val="18"/>
                <w:szCs w:val="18"/>
              </w:rPr>
              <w:t xml:space="preserve"> Ապրիլ</w:t>
            </w:r>
          </w:p>
        </w:tc>
        <w:tc>
          <w:tcPr>
            <w:tcW w:w="751" w:type="dxa"/>
            <w:shd w:val="clear" w:color="auto" w:fill="D5DCE4" w:themeFill="text2" w:themeFillTint="33"/>
            <w:hideMark/>
          </w:tcPr>
          <w:p w14:paraId="69172FF7" w14:textId="77777777" w:rsidR="00FE3BE4" w:rsidRPr="00FC6AD2" w:rsidRDefault="00FE3BE4" w:rsidP="008D4E1E">
            <w:pPr>
              <w:spacing w:before="100" w:beforeAutospacing="1" w:after="100" w:afterAutospacing="1" w:line="240" w:lineRule="auto"/>
              <w:jc w:val="center"/>
              <w:rPr>
                <w:sz w:val="18"/>
                <w:szCs w:val="18"/>
                <w:lang w:val="hy-AM"/>
              </w:rPr>
            </w:pPr>
            <w:r>
              <w:rPr>
                <w:sz w:val="18"/>
                <w:szCs w:val="18"/>
              </w:rPr>
              <w:t>2025</w:t>
            </w:r>
            <w:r w:rsidRPr="00FC6AD2">
              <w:rPr>
                <w:sz w:val="18"/>
                <w:szCs w:val="18"/>
              </w:rPr>
              <w:t xml:space="preserve"> Հուլիս</w:t>
            </w:r>
          </w:p>
        </w:tc>
        <w:tc>
          <w:tcPr>
            <w:tcW w:w="877" w:type="dxa"/>
            <w:shd w:val="clear" w:color="auto" w:fill="D5DCE4" w:themeFill="text2" w:themeFillTint="33"/>
            <w:hideMark/>
          </w:tcPr>
          <w:p w14:paraId="39980B3F" w14:textId="77777777" w:rsidR="00FE3BE4" w:rsidRPr="00FC6AD2" w:rsidRDefault="00FE3BE4" w:rsidP="008D4E1E">
            <w:pPr>
              <w:spacing w:before="100" w:beforeAutospacing="1" w:after="100" w:afterAutospacing="1" w:line="240" w:lineRule="auto"/>
              <w:jc w:val="center"/>
              <w:rPr>
                <w:sz w:val="18"/>
                <w:szCs w:val="18"/>
                <w:lang w:val="ru-RU"/>
              </w:rPr>
            </w:pPr>
            <w:r>
              <w:rPr>
                <w:sz w:val="18"/>
                <w:szCs w:val="18"/>
              </w:rPr>
              <w:t>2025</w:t>
            </w:r>
            <w:r w:rsidRPr="00FC6AD2">
              <w:rPr>
                <w:sz w:val="18"/>
                <w:szCs w:val="18"/>
              </w:rPr>
              <w:t xml:space="preserve"> Ապրիլ</w:t>
            </w:r>
          </w:p>
        </w:tc>
        <w:tc>
          <w:tcPr>
            <w:tcW w:w="915" w:type="dxa"/>
            <w:shd w:val="clear" w:color="auto" w:fill="D5DCE4" w:themeFill="text2" w:themeFillTint="33"/>
            <w:hideMark/>
          </w:tcPr>
          <w:p w14:paraId="18F434AC" w14:textId="77777777" w:rsidR="00FE3BE4" w:rsidRPr="00FC6AD2" w:rsidRDefault="00FE3BE4" w:rsidP="008D4E1E">
            <w:pPr>
              <w:spacing w:before="100" w:beforeAutospacing="1" w:after="100" w:afterAutospacing="1" w:line="240" w:lineRule="auto"/>
              <w:jc w:val="center"/>
              <w:rPr>
                <w:sz w:val="18"/>
                <w:szCs w:val="18"/>
              </w:rPr>
            </w:pPr>
            <w:r>
              <w:rPr>
                <w:sz w:val="18"/>
                <w:szCs w:val="18"/>
              </w:rPr>
              <w:t>2025</w:t>
            </w:r>
            <w:r w:rsidRPr="00FC6AD2">
              <w:rPr>
                <w:sz w:val="18"/>
                <w:szCs w:val="18"/>
              </w:rPr>
              <w:t xml:space="preserve"> Ապրիլ</w:t>
            </w:r>
          </w:p>
        </w:tc>
      </w:tr>
      <w:tr w:rsidR="00FE3BE4" w:rsidRPr="00FC6AD2" w14:paraId="37D6211A" w14:textId="77777777" w:rsidTr="008D4E1E">
        <w:trPr>
          <w:trHeight w:val="432"/>
        </w:trPr>
        <w:tc>
          <w:tcPr>
            <w:tcW w:w="2203" w:type="dxa"/>
            <w:hideMark/>
          </w:tcPr>
          <w:p w14:paraId="608C86A3" w14:textId="77777777" w:rsidR="00FE3BE4" w:rsidRPr="00FC6AD2" w:rsidRDefault="00FE3BE4" w:rsidP="008D4E1E">
            <w:pPr>
              <w:spacing w:before="100" w:beforeAutospacing="1" w:after="100" w:afterAutospacing="1" w:line="240" w:lineRule="auto"/>
              <w:jc w:val="both"/>
              <w:rPr>
                <w:sz w:val="18"/>
                <w:szCs w:val="18"/>
              </w:rPr>
            </w:pPr>
            <w:r w:rsidRPr="00FC6AD2">
              <w:rPr>
                <w:sz w:val="18"/>
                <w:szCs w:val="18"/>
              </w:rPr>
              <w:t>Աշխարհի տնտեսական աճ, %</w:t>
            </w:r>
          </w:p>
        </w:tc>
        <w:tc>
          <w:tcPr>
            <w:tcW w:w="916" w:type="dxa"/>
            <w:vAlign w:val="center"/>
            <w:hideMark/>
          </w:tcPr>
          <w:p w14:paraId="0A15F342" w14:textId="77777777" w:rsidR="00FE3BE4" w:rsidRPr="00FC6AD2" w:rsidRDefault="00FE3BE4" w:rsidP="008D4E1E">
            <w:pPr>
              <w:spacing w:before="100" w:beforeAutospacing="1" w:after="100" w:afterAutospacing="1" w:line="240" w:lineRule="auto"/>
              <w:jc w:val="center"/>
              <w:rPr>
                <w:sz w:val="18"/>
                <w:szCs w:val="18"/>
              </w:rPr>
            </w:pPr>
            <w:r w:rsidRPr="00FC6AD2">
              <w:rPr>
                <w:sz w:val="18"/>
                <w:szCs w:val="18"/>
              </w:rPr>
              <w:t>3.3</w:t>
            </w:r>
          </w:p>
        </w:tc>
        <w:tc>
          <w:tcPr>
            <w:tcW w:w="812" w:type="dxa"/>
            <w:vAlign w:val="center"/>
          </w:tcPr>
          <w:p w14:paraId="0721EEDE" w14:textId="77777777" w:rsidR="00FE3BE4" w:rsidRPr="00FC6AD2" w:rsidRDefault="00FE3BE4" w:rsidP="008D4E1E">
            <w:pPr>
              <w:spacing w:before="100" w:beforeAutospacing="1" w:after="100" w:afterAutospacing="1" w:line="240" w:lineRule="auto"/>
              <w:jc w:val="center"/>
              <w:rPr>
                <w:sz w:val="18"/>
                <w:szCs w:val="18"/>
              </w:rPr>
            </w:pPr>
            <w:r>
              <w:rPr>
                <w:sz w:val="18"/>
                <w:szCs w:val="18"/>
              </w:rPr>
              <w:t>3.3</w:t>
            </w:r>
          </w:p>
        </w:tc>
        <w:tc>
          <w:tcPr>
            <w:tcW w:w="814" w:type="dxa"/>
            <w:vAlign w:val="center"/>
          </w:tcPr>
          <w:p w14:paraId="3BD55D7E" w14:textId="77777777" w:rsidR="00FE3BE4" w:rsidRPr="00FC6AD2" w:rsidRDefault="00FE3BE4" w:rsidP="008D4E1E">
            <w:pPr>
              <w:spacing w:before="100" w:beforeAutospacing="1" w:after="100" w:afterAutospacing="1" w:line="240" w:lineRule="auto"/>
              <w:jc w:val="center"/>
              <w:rPr>
                <w:sz w:val="18"/>
                <w:szCs w:val="18"/>
              </w:rPr>
            </w:pPr>
            <w:r>
              <w:rPr>
                <w:sz w:val="18"/>
                <w:szCs w:val="18"/>
              </w:rPr>
              <w:t>2.8</w:t>
            </w:r>
          </w:p>
        </w:tc>
        <w:tc>
          <w:tcPr>
            <w:tcW w:w="815" w:type="dxa"/>
            <w:vAlign w:val="center"/>
          </w:tcPr>
          <w:p w14:paraId="03707003" w14:textId="77777777" w:rsidR="00FE3BE4" w:rsidRPr="00FC6AD2" w:rsidRDefault="00FE3BE4" w:rsidP="008D4E1E">
            <w:pPr>
              <w:spacing w:before="100" w:beforeAutospacing="1" w:after="100" w:afterAutospacing="1" w:line="240" w:lineRule="auto"/>
              <w:jc w:val="center"/>
              <w:rPr>
                <w:sz w:val="18"/>
                <w:szCs w:val="18"/>
              </w:rPr>
            </w:pPr>
            <w:r>
              <w:rPr>
                <w:sz w:val="18"/>
                <w:szCs w:val="18"/>
              </w:rPr>
              <w:t>3.0</w:t>
            </w:r>
          </w:p>
        </w:tc>
        <w:tc>
          <w:tcPr>
            <w:tcW w:w="814" w:type="dxa"/>
            <w:vAlign w:val="center"/>
          </w:tcPr>
          <w:p w14:paraId="0B85D046" w14:textId="77777777" w:rsidR="00FE3BE4" w:rsidRPr="00FC6AD2" w:rsidRDefault="00FE3BE4" w:rsidP="008D4E1E">
            <w:pPr>
              <w:spacing w:before="100" w:beforeAutospacing="1" w:after="100" w:afterAutospacing="1" w:line="240" w:lineRule="auto"/>
              <w:jc w:val="center"/>
              <w:rPr>
                <w:sz w:val="18"/>
                <w:szCs w:val="18"/>
              </w:rPr>
            </w:pPr>
            <w:r>
              <w:rPr>
                <w:sz w:val="18"/>
                <w:szCs w:val="18"/>
              </w:rPr>
              <w:t>3.3</w:t>
            </w:r>
          </w:p>
        </w:tc>
        <w:tc>
          <w:tcPr>
            <w:tcW w:w="813" w:type="dxa"/>
            <w:vAlign w:val="center"/>
          </w:tcPr>
          <w:p w14:paraId="2793D536" w14:textId="77777777" w:rsidR="00FE3BE4" w:rsidRPr="00FC6AD2" w:rsidRDefault="00FE3BE4" w:rsidP="008D4E1E">
            <w:pPr>
              <w:spacing w:before="100" w:beforeAutospacing="1" w:after="100" w:afterAutospacing="1" w:line="240" w:lineRule="auto"/>
              <w:jc w:val="center"/>
              <w:rPr>
                <w:sz w:val="18"/>
                <w:szCs w:val="18"/>
              </w:rPr>
            </w:pPr>
            <w:r>
              <w:rPr>
                <w:sz w:val="18"/>
                <w:szCs w:val="18"/>
              </w:rPr>
              <w:t>3.0</w:t>
            </w:r>
          </w:p>
        </w:tc>
        <w:tc>
          <w:tcPr>
            <w:tcW w:w="751" w:type="dxa"/>
            <w:vAlign w:val="center"/>
          </w:tcPr>
          <w:p w14:paraId="6D6752E7" w14:textId="77777777" w:rsidR="00FE3BE4" w:rsidRPr="00FC6AD2" w:rsidRDefault="00FE3BE4" w:rsidP="008D4E1E">
            <w:pPr>
              <w:spacing w:before="100" w:beforeAutospacing="1" w:after="100" w:afterAutospacing="1" w:line="240" w:lineRule="auto"/>
              <w:jc w:val="center"/>
              <w:rPr>
                <w:sz w:val="18"/>
                <w:szCs w:val="18"/>
              </w:rPr>
            </w:pPr>
            <w:r>
              <w:rPr>
                <w:sz w:val="18"/>
                <w:szCs w:val="18"/>
              </w:rPr>
              <w:t>3.1</w:t>
            </w:r>
          </w:p>
        </w:tc>
        <w:tc>
          <w:tcPr>
            <w:tcW w:w="877" w:type="dxa"/>
            <w:vAlign w:val="center"/>
          </w:tcPr>
          <w:p w14:paraId="2FE46367" w14:textId="77777777" w:rsidR="00FE3BE4" w:rsidRPr="00FC6AD2" w:rsidRDefault="00FE3BE4" w:rsidP="008D4E1E">
            <w:pPr>
              <w:spacing w:before="100" w:beforeAutospacing="1" w:after="100" w:afterAutospacing="1" w:line="240" w:lineRule="auto"/>
              <w:jc w:val="center"/>
              <w:rPr>
                <w:sz w:val="18"/>
                <w:szCs w:val="18"/>
              </w:rPr>
            </w:pPr>
            <w:r>
              <w:rPr>
                <w:sz w:val="18"/>
                <w:szCs w:val="18"/>
              </w:rPr>
              <w:t>3.2</w:t>
            </w:r>
          </w:p>
        </w:tc>
        <w:tc>
          <w:tcPr>
            <w:tcW w:w="915" w:type="dxa"/>
            <w:vAlign w:val="center"/>
          </w:tcPr>
          <w:p w14:paraId="67C62714" w14:textId="77777777" w:rsidR="00FE3BE4" w:rsidRPr="00FC6AD2" w:rsidRDefault="00FE3BE4" w:rsidP="008D4E1E">
            <w:pPr>
              <w:spacing w:before="100" w:beforeAutospacing="1" w:after="100" w:afterAutospacing="1" w:line="240" w:lineRule="auto"/>
              <w:jc w:val="center"/>
              <w:rPr>
                <w:sz w:val="18"/>
                <w:szCs w:val="18"/>
              </w:rPr>
            </w:pPr>
            <w:r>
              <w:rPr>
                <w:sz w:val="18"/>
                <w:szCs w:val="18"/>
              </w:rPr>
              <w:t>3.2</w:t>
            </w:r>
          </w:p>
        </w:tc>
      </w:tr>
      <w:tr w:rsidR="00FE3BE4" w:rsidRPr="00FC6AD2" w14:paraId="6F0A9CC5" w14:textId="77777777" w:rsidTr="008D4E1E">
        <w:trPr>
          <w:trHeight w:val="432"/>
        </w:trPr>
        <w:tc>
          <w:tcPr>
            <w:tcW w:w="2203" w:type="dxa"/>
            <w:hideMark/>
          </w:tcPr>
          <w:p w14:paraId="2CC0BF6F" w14:textId="77777777" w:rsidR="00FE3BE4" w:rsidRPr="00FC6AD2" w:rsidRDefault="00FE3BE4" w:rsidP="008D4E1E">
            <w:pPr>
              <w:spacing w:before="100" w:beforeAutospacing="1" w:after="100" w:afterAutospacing="1" w:line="240" w:lineRule="auto"/>
              <w:jc w:val="both"/>
              <w:rPr>
                <w:sz w:val="18"/>
                <w:szCs w:val="18"/>
              </w:rPr>
            </w:pPr>
            <w:r w:rsidRPr="00FC6AD2">
              <w:rPr>
                <w:sz w:val="18"/>
                <w:szCs w:val="18"/>
              </w:rPr>
              <w:t>ՌԴ</w:t>
            </w:r>
          </w:p>
        </w:tc>
        <w:tc>
          <w:tcPr>
            <w:tcW w:w="916" w:type="dxa"/>
            <w:vAlign w:val="center"/>
            <w:hideMark/>
          </w:tcPr>
          <w:p w14:paraId="797CC8C2" w14:textId="77777777" w:rsidR="00FE3BE4" w:rsidRPr="00FC6AD2" w:rsidRDefault="00FE3BE4" w:rsidP="008D4E1E">
            <w:pPr>
              <w:spacing w:before="100" w:beforeAutospacing="1" w:after="100" w:afterAutospacing="1" w:line="240" w:lineRule="auto"/>
              <w:jc w:val="center"/>
              <w:rPr>
                <w:sz w:val="18"/>
                <w:szCs w:val="18"/>
              </w:rPr>
            </w:pPr>
            <w:r>
              <w:rPr>
                <w:sz w:val="18"/>
                <w:szCs w:val="18"/>
              </w:rPr>
              <w:t>4.3</w:t>
            </w:r>
          </w:p>
        </w:tc>
        <w:tc>
          <w:tcPr>
            <w:tcW w:w="812" w:type="dxa"/>
            <w:vAlign w:val="center"/>
          </w:tcPr>
          <w:p w14:paraId="432EA699" w14:textId="77777777" w:rsidR="00FE3BE4" w:rsidRPr="00FC6AD2" w:rsidRDefault="00FE3BE4" w:rsidP="008D4E1E">
            <w:pPr>
              <w:spacing w:before="100" w:beforeAutospacing="1" w:after="100" w:afterAutospacing="1" w:line="240" w:lineRule="auto"/>
              <w:jc w:val="center"/>
              <w:rPr>
                <w:sz w:val="18"/>
                <w:szCs w:val="18"/>
              </w:rPr>
            </w:pPr>
            <w:r>
              <w:rPr>
                <w:sz w:val="18"/>
                <w:szCs w:val="18"/>
              </w:rPr>
              <w:t>1.4</w:t>
            </w:r>
          </w:p>
        </w:tc>
        <w:tc>
          <w:tcPr>
            <w:tcW w:w="814" w:type="dxa"/>
            <w:vAlign w:val="center"/>
          </w:tcPr>
          <w:p w14:paraId="6FBA199D" w14:textId="77777777" w:rsidR="00FE3BE4" w:rsidRPr="00FC6AD2" w:rsidRDefault="00FE3BE4" w:rsidP="008D4E1E">
            <w:pPr>
              <w:spacing w:before="100" w:beforeAutospacing="1" w:after="100" w:afterAutospacing="1" w:line="240" w:lineRule="auto"/>
              <w:jc w:val="center"/>
              <w:rPr>
                <w:sz w:val="18"/>
                <w:szCs w:val="18"/>
              </w:rPr>
            </w:pPr>
            <w:r>
              <w:rPr>
                <w:sz w:val="18"/>
                <w:szCs w:val="18"/>
              </w:rPr>
              <w:t>1.5</w:t>
            </w:r>
          </w:p>
        </w:tc>
        <w:tc>
          <w:tcPr>
            <w:tcW w:w="815" w:type="dxa"/>
            <w:vAlign w:val="center"/>
          </w:tcPr>
          <w:p w14:paraId="51759AAA" w14:textId="77777777" w:rsidR="00FE3BE4" w:rsidRPr="00FC6AD2" w:rsidRDefault="00FE3BE4" w:rsidP="008D4E1E">
            <w:pPr>
              <w:spacing w:before="100" w:beforeAutospacing="1" w:after="100" w:afterAutospacing="1" w:line="240" w:lineRule="auto"/>
              <w:jc w:val="center"/>
              <w:rPr>
                <w:sz w:val="18"/>
                <w:szCs w:val="18"/>
              </w:rPr>
            </w:pPr>
            <w:r>
              <w:rPr>
                <w:sz w:val="18"/>
                <w:szCs w:val="18"/>
              </w:rPr>
              <w:t>0.9</w:t>
            </w:r>
          </w:p>
        </w:tc>
        <w:tc>
          <w:tcPr>
            <w:tcW w:w="814" w:type="dxa"/>
            <w:vAlign w:val="center"/>
          </w:tcPr>
          <w:p w14:paraId="27BB44B3" w14:textId="77777777" w:rsidR="00FE3BE4" w:rsidRPr="00FC6AD2" w:rsidRDefault="00FE3BE4" w:rsidP="008D4E1E">
            <w:pPr>
              <w:spacing w:before="100" w:beforeAutospacing="1" w:after="100" w:afterAutospacing="1" w:line="240" w:lineRule="auto"/>
              <w:jc w:val="center"/>
              <w:rPr>
                <w:sz w:val="18"/>
                <w:szCs w:val="18"/>
              </w:rPr>
            </w:pPr>
            <w:r>
              <w:rPr>
                <w:sz w:val="18"/>
                <w:szCs w:val="18"/>
              </w:rPr>
              <w:t>1.2</w:t>
            </w:r>
          </w:p>
        </w:tc>
        <w:tc>
          <w:tcPr>
            <w:tcW w:w="813" w:type="dxa"/>
            <w:vAlign w:val="center"/>
          </w:tcPr>
          <w:p w14:paraId="564751CE" w14:textId="77777777" w:rsidR="00FE3BE4" w:rsidRPr="00FC6AD2" w:rsidRDefault="00FE3BE4" w:rsidP="008D4E1E">
            <w:pPr>
              <w:spacing w:before="100" w:beforeAutospacing="1" w:after="100" w:afterAutospacing="1" w:line="240" w:lineRule="auto"/>
              <w:jc w:val="center"/>
              <w:rPr>
                <w:sz w:val="18"/>
                <w:szCs w:val="18"/>
              </w:rPr>
            </w:pPr>
            <w:r>
              <w:rPr>
                <w:sz w:val="18"/>
                <w:szCs w:val="18"/>
              </w:rPr>
              <w:t>0.9</w:t>
            </w:r>
          </w:p>
        </w:tc>
        <w:tc>
          <w:tcPr>
            <w:tcW w:w="751" w:type="dxa"/>
            <w:vAlign w:val="center"/>
          </w:tcPr>
          <w:p w14:paraId="091A3052" w14:textId="77777777" w:rsidR="00FE3BE4" w:rsidRPr="00FC6AD2" w:rsidRDefault="00FE3BE4" w:rsidP="008D4E1E">
            <w:pPr>
              <w:spacing w:before="100" w:beforeAutospacing="1" w:after="100" w:afterAutospacing="1" w:line="240" w:lineRule="auto"/>
              <w:jc w:val="center"/>
              <w:rPr>
                <w:sz w:val="18"/>
                <w:szCs w:val="18"/>
              </w:rPr>
            </w:pPr>
            <w:r>
              <w:rPr>
                <w:sz w:val="18"/>
                <w:szCs w:val="18"/>
              </w:rPr>
              <w:t>1.0</w:t>
            </w:r>
          </w:p>
        </w:tc>
        <w:tc>
          <w:tcPr>
            <w:tcW w:w="877" w:type="dxa"/>
            <w:vAlign w:val="center"/>
          </w:tcPr>
          <w:p w14:paraId="4CBC5D28" w14:textId="77777777" w:rsidR="00FE3BE4" w:rsidRPr="00FC6AD2" w:rsidRDefault="00FE3BE4" w:rsidP="008D4E1E">
            <w:pPr>
              <w:spacing w:before="100" w:beforeAutospacing="1" w:after="100" w:afterAutospacing="1" w:line="240" w:lineRule="auto"/>
              <w:jc w:val="center"/>
              <w:rPr>
                <w:sz w:val="18"/>
                <w:szCs w:val="18"/>
              </w:rPr>
            </w:pPr>
            <w:r>
              <w:rPr>
                <w:sz w:val="18"/>
                <w:szCs w:val="18"/>
              </w:rPr>
              <w:t>1.1</w:t>
            </w:r>
          </w:p>
        </w:tc>
        <w:tc>
          <w:tcPr>
            <w:tcW w:w="915" w:type="dxa"/>
            <w:vAlign w:val="center"/>
          </w:tcPr>
          <w:p w14:paraId="714E972D" w14:textId="77777777" w:rsidR="00FE3BE4" w:rsidRPr="00FC6AD2" w:rsidRDefault="00FE3BE4" w:rsidP="008D4E1E">
            <w:pPr>
              <w:spacing w:before="100" w:beforeAutospacing="1" w:after="100" w:afterAutospacing="1" w:line="240" w:lineRule="auto"/>
              <w:jc w:val="center"/>
              <w:rPr>
                <w:sz w:val="18"/>
                <w:szCs w:val="18"/>
              </w:rPr>
            </w:pPr>
            <w:r>
              <w:rPr>
                <w:sz w:val="18"/>
                <w:szCs w:val="18"/>
              </w:rPr>
              <w:t>1.1</w:t>
            </w:r>
          </w:p>
        </w:tc>
      </w:tr>
      <w:tr w:rsidR="00FE3BE4" w:rsidRPr="00FC6AD2" w14:paraId="1799FCC1" w14:textId="77777777" w:rsidTr="008D4E1E">
        <w:trPr>
          <w:trHeight w:val="432"/>
        </w:trPr>
        <w:tc>
          <w:tcPr>
            <w:tcW w:w="2203" w:type="dxa"/>
            <w:hideMark/>
          </w:tcPr>
          <w:p w14:paraId="052D227D" w14:textId="77777777" w:rsidR="00FE3BE4" w:rsidRPr="00FC6AD2" w:rsidRDefault="00FE3BE4" w:rsidP="008D4E1E">
            <w:pPr>
              <w:spacing w:before="100" w:beforeAutospacing="1" w:after="100" w:afterAutospacing="1" w:line="240" w:lineRule="auto"/>
              <w:jc w:val="both"/>
              <w:rPr>
                <w:sz w:val="18"/>
                <w:szCs w:val="18"/>
              </w:rPr>
            </w:pPr>
            <w:r w:rsidRPr="00FC6AD2">
              <w:rPr>
                <w:sz w:val="18"/>
                <w:szCs w:val="18"/>
              </w:rPr>
              <w:t>Եվրագոտի</w:t>
            </w:r>
          </w:p>
        </w:tc>
        <w:tc>
          <w:tcPr>
            <w:tcW w:w="916" w:type="dxa"/>
            <w:vAlign w:val="center"/>
            <w:hideMark/>
          </w:tcPr>
          <w:p w14:paraId="2F90BEB2" w14:textId="77777777" w:rsidR="00FE3BE4" w:rsidRPr="00FC6AD2" w:rsidRDefault="00FE3BE4" w:rsidP="008D4E1E">
            <w:pPr>
              <w:spacing w:before="100" w:beforeAutospacing="1" w:after="100" w:afterAutospacing="1" w:line="240" w:lineRule="auto"/>
              <w:jc w:val="center"/>
              <w:rPr>
                <w:sz w:val="18"/>
                <w:szCs w:val="18"/>
              </w:rPr>
            </w:pPr>
            <w:r>
              <w:rPr>
                <w:sz w:val="18"/>
                <w:szCs w:val="18"/>
              </w:rPr>
              <w:t>0.9</w:t>
            </w:r>
          </w:p>
        </w:tc>
        <w:tc>
          <w:tcPr>
            <w:tcW w:w="812" w:type="dxa"/>
            <w:vAlign w:val="center"/>
          </w:tcPr>
          <w:p w14:paraId="5EF08FB9" w14:textId="77777777" w:rsidR="00FE3BE4" w:rsidRPr="00FC6AD2" w:rsidRDefault="00FE3BE4" w:rsidP="008D4E1E">
            <w:pPr>
              <w:spacing w:before="100" w:beforeAutospacing="1" w:after="100" w:afterAutospacing="1" w:line="240" w:lineRule="auto"/>
              <w:jc w:val="center"/>
              <w:rPr>
                <w:sz w:val="18"/>
                <w:szCs w:val="18"/>
              </w:rPr>
            </w:pPr>
            <w:r>
              <w:rPr>
                <w:sz w:val="18"/>
                <w:szCs w:val="18"/>
              </w:rPr>
              <w:t>1.0</w:t>
            </w:r>
          </w:p>
        </w:tc>
        <w:tc>
          <w:tcPr>
            <w:tcW w:w="814" w:type="dxa"/>
            <w:vAlign w:val="center"/>
          </w:tcPr>
          <w:p w14:paraId="4DC69CF9" w14:textId="77777777" w:rsidR="00FE3BE4" w:rsidRPr="00FC6AD2" w:rsidRDefault="00FE3BE4" w:rsidP="008D4E1E">
            <w:pPr>
              <w:spacing w:before="100" w:beforeAutospacing="1" w:after="100" w:afterAutospacing="1" w:line="240" w:lineRule="auto"/>
              <w:jc w:val="center"/>
              <w:rPr>
                <w:sz w:val="18"/>
                <w:szCs w:val="18"/>
              </w:rPr>
            </w:pPr>
            <w:r>
              <w:rPr>
                <w:sz w:val="18"/>
                <w:szCs w:val="18"/>
              </w:rPr>
              <w:t>0.8</w:t>
            </w:r>
          </w:p>
        </w:tc>
        <w:tc>
          <w:tcPr>
            <w:tcW w:w="815" w:type="dxa"/>
            <w:vAlign w:val="center"/>
          </w:tcPr>
          <w:p w14:paraId="5780E475" w14:textId="77777777" w:rsidR="00FE3BE4" w:rsidRPr="00FC6AD2" w:rsidRDefault="00FE3BE4" w:rsidP="008D4E1E">
            <w:pPr>
              <w:spacing w:before="100" w:beforeAutospacing="1" w:after="100" w:afterAutospacing="1" w:line="240" w:lineRule="auto"/>
              <w:jc w:val="center"/>
              <w:rPr>
                <w:sz w:val="18"/>
                <w:szCs w:val="18"/>
              </w:rPr>
            </w:pPr>
            <w:r>
              <w:rPr>
                <w:sz w:val="18"/>
                <w:szCs w:val="18"/>
              </w:rPr>
              <w:t>1.0</w:t>
            </w:r>
          </w:p>
        </w:tc>
        <w:tc>
          <w:tcPr>
            <w:tcW w:w="814" w:type="dxa"/>
            <w:vAlign w:val="center"/>
          </w:tcPr>
          <w:p w14:paraId="06C93AD8" w14:textId="77777777" w:rsidR="00FE3BE4" w:rsidRPr="00FC6AD2" w:rsidRDefault="00FE3BE4" w:rsidP="008D4E1E">
            <w:pPr>
              <w:spacing w:before="100" w:beforeAutospacing="1" w:after="100" w:afterAutospacing="1" w:line="240" w:lineRule="auto"/>
              <w:jc w:val="center"/>
              <w:rPr>
                <w:sz w:val="18"/>
                <w:szCs w:val="18"/>
              </w:rPr>
            </w:pPr>
            <w:r>
              <w:rPr>
                <w:sz w:val="18"/>
                <w:szCs w:val="18"/>
              </w:rPr>
              <w:t>1.4</w:t>
            </w:r>
          </w:p>
        </w:tc>
        <w:tc>
          <w:tcPr>
            <w:tcW w:w="813" w:type="dxa"/>
            <w:vAlign w:val="center"/>
          </w:tcPr>
          <w:p w14:paraId="70E317E1" w14:textId="77777777" w:rsidR="00FE3BE4" w:rsidRPr="00FC6AD2" w:rsidRDefault="00FE3BE4" w:rsidP="008D4E1E">
            <w:pPr>
              <w:spacing w:before="100" w:beforeAutospacing="1" w:after="100" w:afterAutospacing="1" w:line="240" w:lineRule="auto"/>
              <w:jc w:val="center"/>
              <w:rPr>
                <w:sz w:val="18"/>
                <w:szCs w:val="18"/>
              </w:rPr>
            </w:pPr>
            <w:r>
              <w:rPr>
                <w:sz w:val="18"/>
                <w:szCs w:val="18"/>
              </w:rPr>
              <w:t>1.2</w:t>
            </w:r>
          </w:p>
        </w:tc>
        <w:tc>
          <w:tcPr>
            <w:tcW w:w="751" w:type="dxa"/>
            <w:vAlign w:val="center"/>
          </w:tcPr>
          <w:p w14:paraId="53180168" w14:textId="77777777" w:rsidR="00FE3BE4" w:rsidRPr="00FC6AD2" w:rsidRDefault="00FE3BE4" w:rsidP="008D4E1E">
            <w:pPr>
              <w:spacing w:before="100" w:beforeAutospacing="1" w:after="100" w:afterAutospacing="1" w:line="240" w:lineRule="auto"/>
              <w:jc w:val="center"/>
              <w:rPr>
                <w:sz w:val="18"/>
                <w:szCs w:val="18"/>
              </w:rPr>
            </w:pPr>
            <w:r>
              <w:rPr>
                <w:sz w:val="18"/>
                <w:szCs w:val="18"/>
              </w:rPr>
              <w:t>1.2</w:t>
            </w:r>
          </w:p>
        </w:tc>
        <w:tc>
          <w:tcPr>
            <w:tcW w:w="877" w:type="dxa"/>
            <w:vAlign w:val="center"/>
          </w:tcPr>
          <w:p w14:paraId="5AFAD78F" w14:textId="77777777" w:rsidR="00FE3BE4" w:rsidRPr="00FC6AD2" w:rsidRDefault="00FE3BE4" w:rsidP="008D4E1E">
            <w:pPr>
              <w:spacing w:before="100" w:beforeAutospacing="1" w:after="100" w:afterAutospacing="1" w:line="240" w:lineRule="auto"/>
              <w:jc w:val="center"/>
              <w:rPr>
                <w:sz w:val="18"/>
                <w:szCs w:val="18"/>
              </w:rPr>
            </w:pPr>
            <w:r>
              <w:rPr>
                <w:sz w:val="18"/>
                <w:szCs w:val="18"/>
              </w:rPr>
              <w:t>1.3</w:t>
            </w:r>
          </w:p>
        </w:tc>
        <w:tc>
          <w:tcPr>
            <w:tcW w:w="915" w:type="dxa"/>
            <w:vAlign w:val="center"/>
          </w:tcPr>
          <w:p w14:paraId="642C6E8D" w14:textId="77777777" w:rsidR="00FE3BE4" w:rsidRPr="00FC6AD2" w:rsidRDefault="00FE3BE4" w:rsidP="008D4E1E">
            <w:pPr>
              <w:spacing w:before="100" w:beforeAutospacing="1" w:after="100" w:afterAutospacing="1" w:line="240" w:lineRule="auto"/>
              <w:jc w:val="center"/>
              <w:rPr>
                <w:sz w:val="18"/>
                <w:szCs w:val="18"/>
              </w:rPr>
            </w:pPr>
            <w:r>
              <w:rPr>
                <w:sz w:val="18"/>
                <w:szCs w:val="18"/>
              </w:rPr>
              <w:t>1.3</w:t>
            </w:r>
          </w:p>
        </w:tc>
      </w:tr>
      <w:tr w:rsidR="00FE3BE4" w:rsidRPr="00FC6AD2" w14:paraId="51CE6B2D" w14:textId="77777777" w:rsidTr="008D4E1E">
        <w:trPr>
          <w:trHeight w:val="432"/>
        </w:trPr>
        <w:tc>
          <w:tcPr>
            <w:tcW w:w="2203" w:type="dxa"/>
            <w:hideMark/>
          </w:tcPr>
          <w:p w14:paraId="09823050" w14:textId="77777777" w:rsidR="00FE3BE4" w:rsidRPr="00FC6AD2" w:rsidRDefault="00FE3BE4" w:rsidP="008D4E1E">
            <w:pPr>
              <w:spacing w:before="100" w:beforeAutospacing="1" w:after="100" w:afterAutospacing="1" w:line="240" w:lineRule="auto"/>
              <w:jc w:val="both"/>
              <w:rPr>
                <w:sz w:val="18"/>
                <w:szCs w:val="18"/>
              </w:rPr>
            </w:pPr>
            <w:r w:rsidRPr="00FC6AD2">
              <w:rPr>
                <w:sz w:val="18"/>
                <w:szCs w:val="18"/>
              </w:rPr>
              <w:t>Չինաստան</w:t>
            </w:r>
          </w:p>
        </w:tc>
        <w:tc>
          <w:tcPr>
            <w:tcW w:w="916" w:type="dxa"/>
            <w:vAlign w:val="center"/>
            <w:hideMark/>
          </w:tcPr>
          <w:p w14:paraId="62842961" w14:textId="77777777" w:rsidR="00FE3BE4" w:rsidRPr="00FC6AD2" w:rsidRDefault="00FE3BE4" w:rsidP="008D4E1E">
            <w:pPr>
              <w:spacing w:before="100" w:beforeAutospacing="1" w:after="100" w:afterAutospacing="1" w:line="240" w:lineRule="auto"/>
              <w:jc w:val="center"/>
              <w:rPr>
                <w:sz w:val="18"/>
                <w:szCs w:val="18"/>
              </w:rPr>
            </w:pPr>
            <w:r>
              <w:rPr>
                <w:sz w:val="18"/>
                <w:szCs w:val="18"/>
              </w:rPr>
              <w:t>5.0</w:t>
            </w:r>
          </w:p>
        </w:tc>
        <w:tc>
          <w:tcPr>
            <w:tcW w:w="812" w:type="dxa"/>
            <w:vAlign w:val="center"/>
          </w:tcPr>
          <w:p w14:paraId="0334508C" w14:textId="77777777" w:rsidR="00FE3BE4" w:rsidRPr="00FC6AD2" w:rsidRDefault="00FE3BE4" w:rsidP="008D4E1E">
            <w:pPr>
              <w:spacing w:before="100" w:beforeAutospacing="1" w:after="100" w:afterAutospacing="1" w:line="240" w:lineRule="auto"/>
              <w:jc w:val="center"/>
              <w:rPr>
                <w:sz w:val="18"/>
                <w:szCs w:val="18"/>
              </w:rPr>
            </w:pPr>
            <w:r>
              <w:rPr>
                <w:sz w:val="18"/>
                <w:szCs w:val="18"/>
              </w:rPr>
              <w:t>4.6</w:t>
            </w:r>
          </w:p>
        </w:tc>
        <w:tc>
          <w:tcPr>
            <w:tcW w:w="814" w:type="dxa"/>
            <w:vAlign w:val="center"/>
          </w:tcPr>
          <w:p w14:paraId="0902CA54" w14:textId="77777777" w:rsidR="00FE3BE4" w:rsidRPr="00FC6AD2" w:rsidRDefault="00FE3BE4" w:rsidP="008D4E1E">
            <w:pPr>
              <w:spacing w:before="100" w:beforeAutospacing="1" w:after="100" w:afterAutospacing="1" w:line="240" w:lineRule="auto"/>
              <w:jc w:val="center"/>
              <w:rPr>
                <w:sz w:val="18"/>
                <w:szCs w:val="18"/>
              </w:rPr>
            </w:pPr>
            <w:r>
              <w:rPr>
                <w:sz w:val="18"/>
                <w:szCs w:val="18"/>
              </w:rPr>
              <w:t>4.0</w:t>
            </w:r>
          </w:p>
        </w:tc>
        <w:tc>
          <w:tcPr>
            <w:tcW w:w="815" w:type="dxa"/>
            <w:vAlign w:val="center"/>
          </w:tcPr>
          <w:p w14:paraId="4B18A639" w14:textId="77777777" w:rsidR="00FE3BE4" w:rsidRPr="00FC6AD2" w:rsidRDefault="00FE3BE4" w:rsidP="008D4E1E">
            <w:pPr>
              <w:spacing w:before="100" w:beforeAutospacing="1" w:after="100" w:afterAutospacing="1" w:line="240" w:lineRule="auto"/>
              <w:jc w:val="center"/>
              <w:rPr>
                <w:sz w:val="18"/>
                <w:szCs w:val="18"/>
              </w:rPr>
            </w:pPr>
            <w:r>
              <w:rPr>
                <w:sz w:val="18"/>
                <w:szCs w:val="18"/>
              </w:rPr>
              <w:t>4.8</w:t>
            </w:r>
          </w:p>
        </w:tc>
        <w:tc>
          <w:tcPr>
            <w:tcW w:w="814" w:type="dxa"/>
            <w:vAlign w:val="center"/>
          </w:tcPr>
          <w:p w14:paraId="0BADC1E7" w14:textId="77777777" w:rsidR="00FE3BE4" w:rsidRPr="00FC6AD2" w:rsidRDefault="00FE3BE4" w:rsidP="008D4E1E">
            <w:pPr>
              <w:spacing w:before="100" w:beforeAutospacing="1" w:after="100" w:afterAutospacing="1" w:line="240" w:lineRule="auto"/>
              <w:jc w:val="center"/>
              <w:rPr>
                <w:sz w:val="18"/>
                <w:szCs w:val="18"/>
              </w:rPr>
            </w:pPr>
            <w:r>
              <w:rPr>
                <w:sz w:val="18"/>
                <w:szCs w:val="18"/>
              </w:rPr>
              <w:t>4.5</w:t>
            </w:r>
          </w:p>
        </w:tc>
        <w:tc>
          <w:tcPr>
            <w:tcW w:w="813" w:type="dxa"/>
            <w:vAlign w:val="center"/>
          </w:tcPr>
          <w:p w14:paraId="23F46002" w14:textId="77777777" w:rsidR="00FE3BE4" w:rsidRPr="00FC6AD2" w:rsidRDefault="00FE3BE4" w:rsidP="008D4E1E">
            <w:pPr>
              <w:spacing w:before="100" w:beforeAutospacing="1" w:after="100" w:afterAutospacing="1" w:line="240" w:lineRule="auto"/>
              <w:jc w:val="center"/>
              <w:rPr>
                <w:sz w:val="18"/>
                <w:szCs w:val="18"/>
              </w:rPr>
            </w:pPr>
            <w:r>
              <w:rPr>
                <w:sz w:val="18"/>
                <w:szCs w:val="18"/>
              </w:rPr>
              <w:t>4.0</w:t>
            </w:r>
          </w:p>
        </w:tc>
        <w:tc>
          <w:tcPr>
            <w:tcW w:w="751" w:type="dxa"/>
            <w:vAlign w:val="center"/>
          </w:tcPr>
          <w:p w14:paraId="71140331" w14:textId="77777777" w:rsidR="00FE3BE4" w:rsidRPr="00FC6AD2" w:rsidRDefault="00FE3BE4" w:rsidP="008D4E1E">
            <w:pPr>
              <w:spacing w:before="100" w:beforeAutospacing="1" w:after="100" w:afterAutospacing="1" w:line="240" w:lineRule="auto"/>
              <w:jc w:val="center"/>
              <w:rPr>
                <w:sz w:val="18"/>
                <w:szCs w:val="18"/>
              </w:rPr>
            </w:pPr>
            <w:r>
              <w:rPr>
                <w:sz w:val="18"/>
                <w:szCs w:val="18"/>
              </w:rPr>
              <w:t>4.2</w:t>
            </w:r>
          </w:p>
        </w:tc>
        <w:tc>
          <w:tcPr>
            <w:tcW w:w="877" w:type="dxa"/>
            <w:vAlign w:val="center"/>
          </w:tcPr>
          <w:p w14:paraId="27CB602B" w14:textId="77777777" w:rsidR="00FE3BE4" w:rsidRPr="00FC6AD2" w:rsidRDefault="00FE3BE4" w:rsidP="008D4E1E">
            <w:pPr>
              <w:spacing w:before="100" w:beforeAutospacing="1" w:after="100" w:afterAutospacing="1" w:line="240" w:lineRule="auto"/>
              <w:jc w:val="center"/>
              <w:rPr>
                <w:sz w:val="18"/>
                <w:szCs w:val="18"/>
              </w:rPr>
            </w:pPr>
            <w:r>
              <w:rPr>
                <w:sz w:val="18"/>
                <w:szCs w:val="18"/>
              </w:rPr>
              <w:t>4.2</w:t>
            </w:r>
          </w:p>
        </w:tc>
        <w:tc>
          <w:tcPr>
            <w:tcW w:w="915" w:type="dxa"/>
            <w:vAlign w:val="center"/>
          </w:tcPr>
          <w:p w14:paraId="403524B8" w14:textId="77777777" w:rsidR="00FE3BE4" w:rsidRPr="00FC6AD2" w:rsidRDefault="00FE3BE4" w:rsidP="008D4E1E">
            <w:pPr>
              <w:spacing w:before="100" w:beforeAutospacing="1" w:after="100" w:afterAutospacing="1" w:line="240" w:lineRule="auto"/>
              <w:jc w:val="center"/>
              <w:rPr>
                <w:sz w:val="18"/>
                <w:szCs w:val="18"/>
              </w:rPr>
            </w:pPr>
            <w:r>
              <w:rPr>
                <w:sz w:val="18"/>
                <w:szCs w:val="18"/>
              </w:rPr>
              <w:t>4.1</w:t>
            </w:r>
          </w:p>
        </w:tc>
      </w:tr>
      <w:tr w:rsidR="00FE3BE4" w:rsidRPr="00FC6AD2" w14:paraId="05D75B30" w14:textId="77777777" w:rsidTr="008D4E1E">
        <w:trPr>
          <w:trHeight w:val="432"/>
        </w:trPr>
        <w:tc>
          <w:tcPr>
            <w:tcW w:w="2203" w:type="dxa"/>
            <w:hideMark/>
          </w:tcPr>
          <w:p w14:paraId="76F2905C" w14:textId="77777777" w:rsidR="00FE3BE4" w:rsidRPr="00FC6AD2" w:rsidRDefault="00FE3BE4" w:rsidP="008D4E1E">
            <w:pPr>
              <w:spacing w:before="100" w:beforeAutospacing="1" w:after="100" w:afterAutospacing="1" w:line="240" w:lineRule="auto"/>
              <w:jc w:val="both"/>
              <w:rPr>
                <w:sz w:val="18"/>
                <w:szCs w:val="18"/>
              </w:rPr>
            </w:pPr>
            <w:r w:rsidRPr="00FC6AD2">
              <w:rPr>
                <w:sz w:val="18"/>
                <w:szCs w:val="18"/>
              </w:rPr>
              <w:t>ԱՄՆ</w:t>
            </w:r>
          </w:p>
        </w:tc>
        <w:tc>
          <w:tcPr>
            <w:tcW w:w="916" w:type="dxa"/>
            <w:vAlign w:val="center"/>
            <w:hideMark/>
          </w:tcPr>
          <w:p w14:paraId="529912A8" w14:textId="77777777" w:rsidR="00FE3BE4" w:rsidRPr="00FC6AD2" w:rsidRDefault="00FE3BE4" w:rsidP="008D4E1E">
            <w:pPr>
              <w:spacing w:before="100" w:beforeAutospacing="1" w:after="100" w:afterAutospacing="1" w:line="240" w:lineRule="auto"/>
              <w:jc w:val="center"/>
              <w:rPr>
                <w:sz w:val="18"/>
                <w:szCs w:val="18"/>
              </w:rPr>
            </w:pPr>
            <w:r>
              <w:rPr>
                <w:sz w:val="18"/>
                <w:szCs w:val="18"/>
              </w:rPr>
              <w:t>2.8</w:t>
            </w:r>
          </w:p>
        </w:tc>
        <w:tc>
          <w:tcPr>
            <w:tcW w:w="812" w:type="dxa"/>
            <w:vAlign w:val="center"/>
          </w:tcPr>
          <w:p w14:paraId="556D8CF9" w14:textId="77777777" w:rsidR="00FE3BE4" w:rsidRPr="00FC6AD2" w:rsidRDefault="00FE3BE4" w:rsidP="008D4E1E">
            <w:pPr>
              <w:spacing w:before="100" w:beforeAutospacing="1" w:after="100" w:afterAutospacing="1" w:line="240" w:lineRule="auto"/>
              <w:jc w:val="center"/>
              <w:rPr>
                <w:sz w:val="18"/>
                <w:szCs w:val="18"/>
              </w:rPr>
            </w:pPr>
            <w:r>
              <w:rPr>
                <w:sz w:val="18"/>
                <w:szCs w:val="18"/>
              </w:rPr>
              <w:t>2.7</w:t>
            </w:r>
          </w:p>
        </w:tc>
        <w:tc>
          <w:tcPr>
            <w:tcW w:w="814" w:type="dxa"/>
            <w:vAlign w:val="center"/>
          </w:tcPr>
          <w:p w14:paraId="66C61368" w14:textId="77777777" w:rsidR="00FE3BE4" w:rsidRPr="00FC6AD2" w:rsidRDefault="00FE3BE4" w:rsidP="008D4E1E">
            <w:pPr>
              <w:spacing w:before="100" w:beforeAutospacing="1" w:after="100" w:afterAutospacing="1" w:line="240" w:lineRule="auto"/>
              <w:jc w:val="center"/>
              <w:rPr>
                <w:sz w:val="18"/>
                <w:szCs w:val="18"/>
              </w:rPr>
            </w:pPr>
            <w:r>
              <w:rPr>
                <w:sz w:val="18"/>
                <w:szCs w:val="18"/>
              </w:rPr>
              <w:t>1.8</w:t>
            </w:r>
          </w:p>
        </w:tc>
        <w:tc>
          <w:tcPr>
            <w:tcW w:w="815" w:type="dxa"/>
            <w:vAlign w:val="center"/>
          </w:tcPr>
          <w:p w14:paraId="57E36CA6" w14:textId="77777777" w:rsidR="00FE3BE4" w:rsidRPr="00FC6AD2" w:rsidRDefault="00FE3BE4" w:rsidP="008D4E1E">
            <w:pPr>
              <w:spacing w:before="100" w:beforeAutospacing="1" w:after="100" w:afterAutospacing="1" w:line="240" w:lineRule="auto"/>
              <w:jc w:val="center"/>
              <w:rPr>
                <w:sz w:val="18"/>
                <w:szCs w:val="18"/>
              </w:rPr>
            </w:pPr>
            <w:r>
              <w:rPr>
                <w:sz w:val="18"/>
                <w:szCs w:val="18"/>
              </w:rPr>
              <w:t>1.9</w:t>
            </w:r>
          </w:p>
        </w:tc>
        <w:tc>
          <w:tcPr>
            <w:tcW w:w="814" w:type="dxa"/>
            <w:vAlign w:val="center"/>
          </w:tcPr>
          <w:p w14:paraId="4ACBFD69" w14:textId="77777777" w:rsidR="00FE3BE4" w:rsidRPr="00FC6AD2" w:rsidRDefault="00FE3BE4" w:rsidP="008D4E1E">
            <w:pPr>
              <w:spacing w:before="100" w:beforeAutospacing="1" w:after="100" w:afterAutospacing="1" w:line="240" w:lineRule="auto"/>
              <w:jc w:val="center"/>
              <w:rPr>
                <w:sz w:val="18"/>
                <w:szCs w:val="18"/>
              </w:rPr>
            </w:pPr>
            <w:r>
              <w:rPr>
                <w:sz w:val="18"/>
                <w:szCs w:val="18"/>
              </w:rPr>
              <w:t>2.1</w:t>
            </w:r>
          </w:p>
        </w:tc>
        <w:tc>
          <w:tcPr>
            <w:tcW w:w="813" w:type="dxa"/>
            <w:vAlign w:val="center"/>
          </w:tcPr>
          <w:p w14:paraId="0EC58E92" w14:textId="77777777" w:rsidR="00FE3BE4" w:rsidRPr="00FC6AD2" w:rsidRDefault="00FE3BE4" w:rsidP="008D4E1E">
            <w:pPr>
              <w:spacing w:before="100" w:beforeAutospacing="1" w:after="100" w:afterAutospacing="1" w:line="240" w:lineRule="auto"/>
              <w:jc w:val="center"/>
              <w:rPr>
                <w:sz w:val="18"/>
                <w:szCs w:val="18"/>
              </w:rPr>
            </w:pPr>
            <w:r>
              <w:rPr>
                <w:sz w:val="18"/>
                <w:szCs w:val="18"/>
              </w:rPr>
              <w:t>1.7</w:t>
            </w:r>
          </w:p>
        </w:tc>
        <w:tc>
          <w:tcPr>
            <w:tcW w:w="751" w:type="dxa"/>
            <w:vAlign w:val="center"/>
          </w:tcPr>
          <w:p w14:paraId="4BFB4052" w14:textId="77777777" w:rsidR="00FE3BE4" w:rsidRPr="00FC6AD2" w:rsidRDefault="00FE3BE4" w:rsidP="008D4E1E">
            <w:pPr>
              <w:spacing w:before="100" w:beforeAutospacing="1" w:after="100" w:afterAutospacing="1" w:line="240" w:lineRule="auto"/>
              <w:jc w:val="center"/>
              <w:rPr>
                <w:sz w:val="18"/>
                <w:szCs w:val="18"/>
              </w:rPr>
            </w:pPr>
            <w:r>
              <w:rPr>
                <w:sz w:val="18"/>
                <w:szCs w:val="18"/>
              </w:rPr>
              <w:t>2.0</w:t>
            </w:r>
          </w:p>
        </w:tc>
        <w:tc>
          <w:tcPr>
            <w:tcW w:w="877" w:type="dxa"/>
            <w:vAlign w:val="center"/>
          </w:tcPr>
          <w:p w14:paraId="00DF55FF" w14:textId="77777777" w:rsidR="00FE3BE4" w:rsidRPr="00FC6AD2" w:rsidRDefault="00FE3BE4" w:rsidP="008D4E1E">
            <w:pPr>
              <w:spacing w:before="100" w:beforeAutospacing="1" w:after="100" w:afterAutospacing="1" w:line="240" w:lineRule="auto"/>
              <w:jc w:val="center"/>
              <w:rPr>
                <w:sz w:val="18"/>
                <w:szCs w:val="18"/>
              </w:rPr>
            </w:pPr>
            <w:r>
              <w:rPr>
                <w:sz w:val="18"/>
                <w:szCs w:val="18"/>
              </w:rPr>
              <w:t>2.0</w:t>
            </w:r>
          </w:p>
        </w:tc>
        <w:tc>
          <w:tcPr>
            <w:tcW w:w="915" w:type="dxa"/>
            <w:vAlign w:val="center"/>
          </w:tcPr>
          <w:p w14:paraId="12F2C0B3" w14:textId="77777777" w:rsidR="00FE3BE4" w:rsidRPr="006934A1" w:rsidRDefault="00FE3BE4" w:rsidP="008D4E1E">
            <w:pPr>
              <w:spacing w:before="100" w:beforeAutospacing="1" w:after="100" w:afterAutospacing="1" w:line="240" w:lineRule="auto"/>
              <w:jc w:val="center"/>
              <w:rPr>
                <w:rFonts w:ascii="Sylfaen" w:eastAsia="Microsoft YaHei" w:hAnsi="Sylfaen" w:cs="Microsoft YaHei"/>
                <w:sz w:val="18"/>
                <w:szCs w:val="18"/>
              </w:rPr>
            </w:pPr>
            <w:r>
              <w:rPr>
                <w:sz w:val="18"/>
                <w:szCs w:val="18"/>
              </w:rPr>
              <w:t>2</w:t>
            </w:r>
            <w:r>
              <w:rPr>
                <w:rFonts w:ascii="Microsoft YaHei" w:eastAsia="Microsoft YaHei" w:hAnsi="Microsoft YaHei" w:cs="Microsoft YaHei"/>
                <w:sz w:val="18"/>
                <w:szCs w:val="18"/>
              </w:rPr>
              <w:t>․</w:t>
            </w:r>
            <w:r>
              <w:rPr>
                <w:rFonts w:ascii="Sylfaen" w:eastAsia="Microsoft YaHei" w:hAnsi="Sylfaen" w:cs="Microsoft YaHei"/>
                <w:sz w:val="18"/>
                <w:szCs w:val="18"/>
              </w:rPr>
              <w:t>0</w:t>
            </w:r>
          </w:p>
        </w:tc>
      </w:tr>
      <w:tr w:rsidR="00FE3BE4" w:rsidRPr="00FC6AD2" w14:paraId="7EEDD744" w14:textId="77777777" w:rsidTr="008D4E1E">
        <w:trPr>
          <w:trHeight w:val="432"/>
        </w:trPr>
        <w:tc>
          <w:tcPr>
            <w:tcW w:w="2203" w:type="dxa"/>
            <w:hideMark/>
          </w:tcPr>
          <w:p w14:paraId="31D1FC58" w14:textId="77777777" w:rsidR="00FE3BE4" w:rsidRPr="00FC6AD2" w:rsidRDefault="00FE3BE4" w:rsidP="008D4E1E">
            <w:pPr>
              <w:spacing w:before="100" w:beforeAutospacing="1" w:after="100" w:afterAutospacing="1" w:line="240" w:lineRule="auto"/>
              <w:jc w:val="both"/>
              <w:rPr>
                <w:sz w:val="18"/>
                <w:szCs w:val="18"/>
              </w:rPr>
            </w:pPr>
            <w:r w:rsidRPr="00FC6AD2">
              <w:rPr>
                <w:sz w:val="18"/>
                <w:szCs w:val="18"/>
              </w:rPr>
              <w:t>Համաշխարհային առևտրի աճ, %</w:t>
            </w:r>
          </w:p>
        </w:tc>
        <w:tc>
          <w:tcPr>
            <w:tcW w:w="916" w:type="dxa"/>
            <w:vAlign w:val="center"/>
            <w:hideMark/>
          </w:tcPr>
          <w:p w14:paraId="5FCA8B21" w14:textId="77777777" w:rsidR="00FE3BE4" w:rsidRPr="00723FDB" w:rsidRDefault="00FE3BE4" w:rsidP="008D4E1E">
            <w:pPr>
              <w:spacing w:before="100" w:beforeAutospacing="1" w:after="100" w:afterAutospacing="1" w:line="240" w:lineRule="auto"/>
              <w:jc w:val="center"/>
              <w:rPr>
                <w:color w:val="auto"/>
                <w:sz w:val="18"/>
                <w:szCs w:val="18"/>
              </w:rPr>
            </w:pPr>
            <w:r w:rsidRPr="00723FDB">
              <w:rPr>
                <w:color w:val="auto"/>
                <w:sz w:val="18"/>
                <w:szCs w:val="18"/>
                <w:lang w:val="hy-AM"/>
              </w:rPr>
              <w:t>3</w:t>
            </w:r>
            <w:r w:rsidRPr="00723FDB">
              <w:rPr>
                <w:color w:val="auto"/>
                <w:sz w:val="18"/>
                <w:szCs w:val="18"/>
              </w:rPr>
              <w:t>.5</w:t>
            </w:r>
          </w:p>
        </w:tc>
        <w:tc>
          <w:tcPr>
            <w:tcW w:w="812" w:type="dxa"/>
            <w:vAlign w:val="center"/>
            <w:hideMark/>
          </w:tcPr>
          <w:p w14:paraId="78485A4C" w14:textId="77777777" w:rsidR="00FE3BE4" w:rsidRPr="00723FDB" w:rsidRDefault="00FE3BE4" w:rsidP="008D4E1E">
            <w:pPr>
              <w:spacing w:before="100" w:beforeAutospacing="1" w:after="100" w:afterAutospacing="1" w:line="240" w:lineRule="auto"/>
              <w:jc w:val="center"/>
              <w:rPr>
                <w:color w:val="auto"/>
                <w:sz w:val="18"/>
                <w:szCs w:val="18"/>
              </w:rPr>
            </w:pPr>
            <w:r w:rsidRPr="00723FDB">
              <w:rPr>
                <w:color w:val="auto"/>
                <w:sz w:val="18"/>
                <w:szCs w:val="18"/>
              </w:rPr>
              <w:t>3.2</w:t>
            </w:r>
          </w:p>
        </w:tc>
        <w:tc>
          <w:tcPr>
            <w:tcW w:w="814" w:type="dxa"/>
            <w:vAlign w:val="center"/>
            <w:hideMark/>
          </w:tcPr>
          <w:p w14:paraId="0ABD0DF3" w14:textId="77777777" w:rsidR="00FE3BE4" w:rsidRPr="00723FDB" w:rsidRDefault="00FE3BE4" w:rsidP="008D4E1E">
            <w:pPr>
              <w:spacing w:before="100" w:beforeAutospacing="1" w:after="100" w:afterAutospacing="1" w:line="240" w:lineRule="auto"/>
              <w:jc w:val="center"/>
              <w:rPr>
                <w:color w:val="auto"/>
                <w:sz w:val="18"/>
                <w:szCs w:val="18"/>
                <w:lang w:val="hy-AM"/>
              </w:rPr>
            </w:pPr>
            <w:r w:rsidRPr="00723FDB">
              <w:rPr>
                <w:color w:val="auto"/>
                <w:sz w:val="18"/>
                <w:szCs w:val="18"/>
              </w:rPr>
              <w:t>1.7</w:t>
            </w:r>
          </w:p>
        </w:tc>
        <w:tc>
          <w:tcPr>
            <w:tcW w:w="815" w:type="dxa"/>
            <w:vAlign w:val="center"/>
            <w:hideMark/>
          </w:tcPr>
          <w:p w14:paraId="11CCCBF7" w14:textId="77777777" w:rsidR="00FE3BE4" w:rsidRPr="00723FDB" w:rsidRDefault="00FE3BE4" w:rsidP="008D4E1E">
            <w:pPr>
              <w:spacing w:before="100" w:beforeAutospacing="1" w:after="100" w:afterAutospacing="1" w:line="240" w:lineRule="auto"/>
              <w:jc w:val="center"/>
              <w:rPr>
                <w:color w:val="auto"/>
                <w:sz w:val="18"/>
                <w:szCs w:val="18"/>
              </w:rPr>
            </w:pPr>
            <w:r w:rsidRPr="00723FDB">
              <w:rPr>
                <w:color w:val="auto"/>
                <w:sz w:val="18"/>
                <w:szCs w:val="18"/>
              </w:rPr>
              <w:t>2.6</w:t>
            </w:r>
          </w:p>
        </w:tc>
        <w:tc>
          <w:tcPr>
            <w:tcW w:w="814" w:type="dxa"/>
            <w:vAlign w:val="center"/>
            <w:hideMark/>
          </w:tcPr>
          <w:p w14:paraId="78B98E68" w14:textId="77777777" w:rsidR="00FE3BE4" w:rsidRPr="00723FDB" w:rsidRDefault="00FE3BE4" w:rsidP="008D4E1E">
            <w:pPr>
              <w:spacing w:before="100" w:beforeAutospacing="1" w:after="100" w:afterAutospacing="1" w:line="240" w:lineRule="auto"/>
              <w:jc w:val="center"/>
              <w:rPr>
                <w:color w:val="auto"/>
                <w:sz w:val="18"/>
                <w:szCs w:val="18"/>
              </w:rPr>
            </w:pPr>
            <w:r w:rsidRPr="00723FDB">
              <w:rPr>
                <w:color w:val="auto"/>
                <w:sz w:val="18"/>
                <w:szCs w:val="18"/>
              </w:rPr>
              <w:t>3.3</w:t>
            </w:r>
          </w:p>
        </w:tc>
        <w:tc>
          <w:tcPr>
            <w:tcW w:w="813" w:type="dxa"/>
            <w:vAlign w:val="center"/>
            <w:hideMark/>
          </w:tcPr>
          <w:p w14:paraId="01991728" w14:textId="77777777" w:rsidR="00FE3BE4" w:rsidRPr="00723FDB" w:rsidRDefault="00FE3BE4" w:rsidP="008D4E1E">
            <w:pPr>
              <w:spacing w:before="100" w:beforeAutospacing="1" w:after="100" w:afterAutospacing="1" w:line="240" w:lineRule="auto"/>
              <w:jc w:val="center"/>
              <w:rPr>
                <w:color w:val="auto"/>
                <w:sz w:val="18"/>
                <w:szCs w:val="18"/>
              </w:rPr>
            </w:pPr>
            <w:r w:rsidRPr="00723FDB">
              <w:rPr>
                <w:color w:val="auto"/>
                <w:sz w:val="18"/>
                <w:szCs w:val="18"/>
              </w:rPr>
              <w:t>2.5</w:t>
            </w:r>
          </w:p>
        </w:tc>
        <w:tc>
          <w:tcPr>
            <w:tcW w:w="751" w:type="dxa"/>
            <w:vAlign w:val="center"/>
            <w:hideMark/>
          </w:tcPr>
          <w:p w14:paraId="691A183E" w14:textId="77777777" w:rsidR="00FE3BE4" w:rsidRPr="00723FDB" w:rsidRDefault="00FE3BE4" w:rsidP="008D4E1E">
            <w:pPr>
              <w:spacing w:before="100" w:beforeAutospacing="1" w:after="100" w:afterAutospacing="1" w:line="240" w:lineRule="auto"/>
              <w:jc w:val="center"/>
              <w:rPr>
                <w:color w:val="auto"/>
                <w:sz w:val="18"/>
                <w:szCs w:val="18"/>
              </w:rPr>
            </w:pPr>
            <w:r w:rsidRPr="00723FDB">
              <w:rPr>
                <w:color w:val="auto"/>
                <w:sz w:val="18"/>
                <w:szCs w:val="18"/>
              </w:rPr>
              <w:t>1.9</w:t>
            </w:r>
          </w:p>
        </w:tc>
        <w:tc>
          <w:tcPr>
            <w:tcW w:w="877" w:type="dxa"/>
            <w:vAlign w:val="center"/>
            <w:hideMark/>
          </w:tcPr>
          <w:p w14:paraId="29210401" w14:textId="77777777" w:rsidR="00FE3BE4" w:rsidRPr="00723FDB" w:rsidRDefault="00FE3BE4" w:rsidP="008D4E1E">
            <w:pPr>
              <w:spacing w:before="100" w:beforeAutospacing="1" w:after="100" w:afterAutospacing="1" w:line="240" w:lineRule="auto"/>
              <w:jc w:val="center"/>
              <w:rPr>
                <w:color w:val="auto"/>
                <w:sz w:val="18"/>
                <w:szCs w:val="18"/>
              </w:rPr>
            </w:pPr>
            <w:r>
              <w:rPr>
                <w:color w:val="auto"/>
                <w:sz w:val="18"/>
                <w:szCs w:val="18"/>
              </w:rPr>
              <w:t>3.0</w:t>
            </w:r>
          </w:p>
        </w:tc>
        <w:tc>
          <w:tcPr>
            <w:tcW w:w="915" w:type="dxa"/>
            <w:vAlign w:val="center"/>
            <w:hideMark/>
          </w:tcPr>
          <w:p w14:paraId="72A35481" w14:textId="77777777" w:rsidR="00FE3BE4" w:rsidRPr="00723FDB" w:rsidRDefault="00FE3BE4" w:rsidP="008D4E1E">
            <w:pPr>
              <w:spacing w:before="100" w:beforeAutospacing="1" w:after="100" w:afterAutospacing="1" w:line="240" w:lineRule="auto"/>
              <w:jc w:val="center"/>
              <w:rPr>
                <w:color w:val="auto"/>
                <w:sz w:val="18"/>
                <w:szCs w:val="18"/>
              </w:rPr>
            </w:pPr>
            <w:r w:rsidRPr="00723FDB">
              <w:rPr>
                <w:color w:val="auto"/>
                <w:sz w:val="18"/>
                <w:szCs w:val="18"/>
              </w:rPr>
              <w:t>3.2</w:t>
            </w:r>
          </w:p>
        </w:tc>
      </w:tr>
    </w:tbl>
    <w:p w14:paraId="05683608" w14:textId="77777777" w:rsidR="00FE3BE4" w:rsidRPr="00C3014C" w:rsidRDefault="00FE3BE4" w:rsidP="00FE3BE4">
      <w:pPr>
        <w:pStyle w:val="a0"/>
        <w:rPr>
          <w:lang w:val="hy-AM" w:eastAsia="ru-RU"/>
        </w:rPr>
      </w:pPr>
      <w:r w:rsidRPr="00C3014C">
        <w:t>Աղբյուրը` ԱՄՀ «World Economic Outlook»</w:t>
      </w:r>
    </w:p>
    <w:p w14:paraId="09ED7ACB" w14:textId="77777777" w:rsidR="00FE3BE4" w:rsidRPr="00903306" w:rsidRDefault="00FE3BE4" w:rsidP="00FE3BE4">
      <w:pPr>
        <w:pStyle w:val="BodyText1"/>
        <w:ind w:left="0"/>
        <w:rPr>
          <w:b/>
          <w:color w:val="auto"/>
          <w:lang w:val="hy-AM"/>
        </w:rPr>
      </w:pPr>
      <w:r w:rsidRPr="00903306">
        <w:rPr>
          <w:b/>
          <w:color w:val="auto"/>
          <w:lang w:val="hy-AM"/>
        </w:rPr>
        <w:t xml:space="preserve">Համաշխարհային տնտեսության զարգացման թույլ տեմպերը, առևտրային </w:t>
      </w:r>
      <w:r>
        <w:rPr>
          <w:b/>
          <w:color w:val="auto"/>
          <w:lang w:val="hy-AM"/>
        </w:rPr>
        <w:t>քաղաքականո</w:t>
      </w:r>
      <w:r w:rsidRPr="00903306">
        <w:rPr>
          <w:b/>
          <w:color w:val="auto"/>
          <w:lang w:val="hy-AM"/>
        </w:rPr>
        <w:t>ւ</w:t>
      </w:r>
      <w:r>
        <w:rPr>
          <w:b/>
          <w:color w:val="auto"/>
          <w:lang w:val="hy-AM"/>
        </w:rPr>
        <w:t>թ</w:t>
      </w:r>
      <w:r w:rsidRPr="00903306">
        <w:rPr>
          <w:b/>
          <w:color w:val="auto"/>
          <w:lang w:val="hy-AM"/>
        </w:rPr>
        <w:t>յան անորոշությունները ճնշումներ են գործադրել հումքային և պարենային ապրանքների միջազգային գների վրա։ Համեմատաբար թույլ համաշխարհային պահանջարկը և առաջարկի էական աճը հանգեցրել են նավթի գների անկման, մինչդեռ պղնձի գների աճ է գրանցվել՝ վերականգնվող էներգիայի պահանջարկի և մետաղի առաջարկի կրճատման հետևանքով։</w:t>
      </w:r>
      <w:r>
        <w:rPr>
          <w:b/>
          <w:color w:val="auto"/>
          <w:lang w:val="hy-AM"/>
        </w:rPr>
        <w:t xml:space="preserve"> </w:t>
      </w:r>
      <w:r w:rsidRPr="0008274C">
        <w:rPr>
          <w:color w:val="auto"/>
          <w:lang w:val="hy-AM"/>
        </w:rPr>
        <w:t>2024 թվականին պղնձի տարեկան միջին գինը նախորդ տարվա նկատմամբ աճել է 7.7%-ով, ինչին</w:t>
      </w:r>
      <w:r>
        <w:rPr>
          <w:color w:val="auto"/>
          <w:lang w:val="hy-AM"/>
        </w:rPr>
        <w:t xml:space="preserve"> նպաստել են</w:t>
      </w:r>
      <w:r w:rsidRPr="0008274C">
        <w:rPr>
          <w:color w:val="auto"/>
          <w:lang w:val="hy-AM"/>
        </w:rPr>
        <w:t xml:space="preserve"> </w:t>
      </w:r>
      <w:r>
        <w:rPr>
          <w:color w:val="auto"/>
          <w:lang w:val="hy-AM"/>
        </w:rPr>
        <w:t>վերականգնվող էներգիայի պահանջարկի աճը, ինչպես նաև մետաղի առաջարկի կրճատումը</w:t>
      </w:r>
      <w:r w:rsidRPr="0008274C">
        <w:rPr>
          <w:color w:val="auto"/>
          <w:lang w:val="hy-AM"/>
        </w:rPr>
        <w:t>: Նավթի միջազգային գինը 2024 թվականին կազմել է 81 ԱՄՆ դոլար մեկ բարելի դիմաց՝ նվազելով 2.3%-ով</w:t>
      </w:r>
      <w:r>
        <w:rPr>
          <w:color w:val="auto"/>
          <w:lang w:val="hy-AM"/>
        </w:rPr>
        <w:t xml:space="preserve">՝ պայմանավորված Չինաստանի </w:t>
      </w:r>
      <w:r>
        <w:rPr>
          <w:color w:val="auto"/>
          <w:lang w:val="hy-AM"/>
        </w:rPr>
        <w:tab/>
        <w:t>տնտեսական ակտիվության դանդաղմամբ, ԵԳ-ի արդյունաբերական ոլորտի անկմամբ և ոչ ՕՊԵԿ+ անդամ երկրների կողմից առաջարկի աճով։ Պ</w:t>
      </w:r>
      <w:r w:rsidRPr="0008274C">
        <w:rPr>
          <w:color w:val="auto"/>
          <w:lang w:val="hy-AM"/>
        </w:rPr>
        <w:t>արենային ապրանքների միջազգային գինը նախորդ տարվա նկատմամբ նվազել է 2%-ով</w:t>
      </w:r>
      <w:r>
        <w:rPr>
          <w:color w:val="auto"/>
          <w:lang w:val="hy-AM"/>
        </w:rPr>
        <w:t>՝</w:t>
      </w:r>
      <w:r w:rsidRPr="0008274C">
        <w:rPr>
          <w:rFonts w:eastAsia="Times New Roman" w:cs="Times New Roman"/>
          <w:noProof/>
          <w:color w:val="auto"/>
          <w:szCs w:val="24"/>
          <w:lang w:val="hy-AM"/>
        </w:rPr>
        <w:t xml:space="preserve"> </w:t>
      </w:r>
      <w:r w:rsidRPr="0008274C">
        <w:rPr>
          <w:color w:val="auto"/>
          <w:lang w:val="hy-AM"/>
        </w:rPr>
        <w:t>պայմանավորված առաջարկի պայմանների բարելավման հետևանքով հացահատիկի և շաքարավազի գների կտրուկ նվազմամբ։</w:t>
      </w:r>
    </w:p>
    <w:p w14:paraId="768C85D3" w14:textId="760A8696" w:rsidR="00FE3BE4" w:rsidRPr="00177D9E" w:rsidRDefault="00FE3BE4" w:rsidP="00FE3BE4">
      <w:pPr>
        <w:pStyle w:val="BodyText1"/>
        <w:ind w:left="0"/>
        <w:rPr>
          <w:color w:val="auto"/>
          <w:lang w:val="hy-AM"/>
        </w:rPr>
      </w:pPr>
      <w:r w:rsidRPr="00341EB3">
        <w:rPr>
          <w:color w:val="auto"/>
          <w:lang w:val="hy-AM"/>
        </w:rPr>
        <w:t xml:space="preserve">2025 թվականի հունվար-օգոստոս ամիսներին նախորդ տարվա նույն ժամանակահատվածի նկատմամբ պղնձի միջազգային գինն աճել է 4.3%-ով` պայմանավորված մետաղի առաջարկի կրճատմամբ, առևտրային քաղաքականության անորոշություններով, ինչպես նաև դոլարի դիրքի թուլացմամբ։ Նավթի միջազգային գինը նվազել է 14.9%-ով, ինչը, հիմնականում, պայմանավորված է ՕՊԵԿ+ -ի կողմից հայտարարված նավթի արտադրության և արտահանման լրացուցիչ կրճատման պահանջի մեղմացմամբ, </w:t>
      </w:r>
      <w:r>
        <w:rPr>
          <w:color w:val="auto"/>
          <w:lang w:val="hy-AM"/>
        </w:rPr>
        <w:t xml:space="preserve">ոչ </w:t>
      </w:r>
      <w:r w:rsidRPr="00341EB3">
        <w:rPr>
          <w:color w:val="auto"/>
          <w:lang w:val="hy-AM"/>
        </w:rPr>
        <w:t>ՕՊԵԿ+ անդամ ե</w:t>
      </w:r>
      <w:r>
        <w:rPr>
          <w:color w:val="auto"/>
          <w:lang w:val="hy-AM"/>
        </w:rPr>
        <w:t>ր</w:t>
      </w:r>
      <w:r w:rsidRPr="00341EB3">
        <w:rPr>
          <w:color w:val="auto"/>
          <w:lang w:val="hy-AM"/>
        </w:rPr>
        <w:t xml:space="preserve">կրների կողմից առաջարկի աճով, </w:t>
      </w:r>
      <w:r w:rsidRPr="00C6338F">
        <w:rPr>
          <w:color w:val="auto"/>
          <w:lang w:val="hy-AM"/>
        </w:rPr>
        <w:t>ինչպես նաև</w:t>
      </w:r>
      <w:r>
        <w:rPr>
          <w:color w:val="auto"/>
          <w:lang w:val="hy-AM"/>
        </w:rPr>
        <w:t xml:space="preserve"> </w:t>
      </w:r>
      <w:r w:rsidRPr="00341EB3">
        <w:rPr>
          <w:color w:val="auto"/>
          <w:lang w:val="hy-AM"/>
        </w:rPr>
        <w:t>համաշխարհային տնտեսության աճի դանդաղման ազդակներով։ Մինչդեռ, պարենի միջազգային գներն աճել են 6.7%-ով՝ պայմանավորված որոշ ապրանքների (միս, կաթնամթերք և բուսական յուղեր) միջազգային գների աճով</w:t>
      </w:r>
      <w:r>
        <w:rPr>
          <w:color w:val="auto"/>
          <w:lang w:val="hy-AM"/>
        </w:rPr>
        <w:t xml:space="preserve">, </w:t>
      </w:r>
      <w:r w:rsidRPr="00341EB3">
        <w:rPr>
          <w:color w:val="auto"/>
          <w:lang w:val="hy-AM"/>
        </w:rPr>
        <w:t>որն էլ իր հերթին պայմանավորված է</w:t>
      </w:r>
      <w:r>
        <w:rPr>
          <w:color w:val="auto"/>
          <w:lang w:val="hy-AM"/>
        </w:rPr>
        <w:t xml:space="preserve"> եղել առաջարկի կրճատմամբ, ինչպես նաև որոշ ապրանքերի </w:t>
      </w:r>
      <w:r w:rsidRPr="00341EB3">
        <w:rPr>
          <w:color w:val="auto"/>
          <w:lang w:val="hy-AM"/>
        </w:rPr>
        <w:t>ներմուծման պահանջարկի աճով</w:t>
      </w:r>
      <w:r>
        <w:rPr>
          <w:color w:val="auto"/>
          <w:lang w:val="hy-AM"/>
        </w:rPr>
        <w:t xml:space="preserve">։ </w:t>
      </w:r>
      <w:r w:rsidRPr="00EB06C1">
        <w:rPr>
          <w:color w:val="auto"/>
          <w:lang w:val="hy-AM"/>
        </w:rPr>
        <w:t>Նշված ապրանքախմբերի գների աճին հակազդել է հացահատիկի և շաքարավազի գների անկումը, ինչն էլ պայմանավորված է եղել առաջարկի սեզոնային աճով:</w:t>
      </w:r>
    </w:p>
    <w:p w14:paraId="07F6E5D1" w14:textId="77777777" w:rsidR="00FE3BE4" w:rsidRPr="00D92F14" w:rsidRDefault="00FE3BE4" w:rsidP="00FE3BE4">
      <w:pPr>
        <w:spacing w:after="0"/>
        <w:jc w:val="both"/>
        <w:rPr>
          <w:lang w:val="hy-AM"/>
        </w:rPr>
      </w:pPr>
    </w:p>
    <w:p w14:paraId="25DB47A3" w14:textId="77777777" w:rsidR="00FE3BE4" w:rsidRPr="0008274C" w:rsidRDefault="00FE3BE4" w:rsidP="00FE3BE4">
      <w:pPr>
        <w:rPr>
          <w:lang w:val="hy-AM"/>
        </w:rPr>
      </w:pPr>
    </w:p>
    <w:p w14:paraId="68580158" w14:textId="77777777" w:rsidR="00FE3BE4" w:rsidRDefault="00FE3BE4" w:rsidP="00FE3BE4">
      <w:pPr>
        <w:rPr>
          <w:rFonts w:ascii="GHEA Grapalat" w:hAnsi="GHEA Grapalat"/>
          <w:szCs w:val="20"/>
          <w:lang w:val="hy-AM"/>
        </w:rPr>
      </w:pPr>
      <w:r>
        <w:rPr>
          <w:lang w:val="hy-AM"/>
        </w:rPr>
        <w:br w:type="page"/>
      </w:r>
    </w:p>
    <w:p w14:paraId="1338719A" w14:textId="6B189A50" w:rsidR="00FE3BE4" w:rsidRPr="000832D9" w:rsidRDefault="00FE3BE4" w:rsidP="00FE3BE4">
      <w:pPr>
        <w:pStyle w:val="a"/>
        <w:pBdr>
          <w:bottom w:val="single" w:sz="6" w:space="1" w:color="C3C3C7" w:themeColor="accent3" w:themeTint="66"/>
        </w:pBdr>
        <w:ind w:left="90"/>
        <w:rPr>
          <w:rStyle w:val="BodytextChar"/>
          <w:bCs/>
          <w:sz w:val="22"/>
          <w:szCs w:val="22"/>
        </w:rPr>
      </w:pPr>
      <w:bookmarkStart w:id="136" w:name="_Toc178612135"/>
      <w:r w:rsidRPr="000832D9">
        <w:rPr>
          <w:rStyle w:val="BodytextChar"/>
          <w:bCs/>
          <w:sz w:val="22"/>
          <w:szCs w:val="22"/>
        </w:rPr>
        <w:t>Միջազգային տնտեսական և ֆինանսական զարգացումները և կանխատեսումները</w:t>
      </w:r>
      <w:bookmarkEnd w:id="136"/>
    </w:p>
    <w:tbl>
      <w:tblPr>
        <w:tblW w:w="9792" w:type="dxa"/>
        <w:tblLayout w:type="fixed"/>
        <w:tblLook w:val="04A0" w:firstRow="1" w:lastRow="0" w:firstColumn="1" w:lastColumn="0" w:noHBand="0" w:noVBand="1"/>
      </w:tblPr>
      <w:tblGrid>
        <w:gridCol w:w="4896"/>
        <w:gridCol w:w="4896"/>
      </w:tblGrid>
      <w:tr w:rsidR="00FE3BE4" w:rsidRPr="00AC42F6" w14:paraId="2B913310" w14:textId="77777777" w:rsidTr="008D4E1E">
        <w:trPr>
          <w:trHeight w:val="3312"/>
        </w:trPr>
        <w:tc>
          <w:tcPr>
            <w:tcW w:w="4896" w:type="dxa"/>
            <w:hideMark/>
          </w:tcPr>
          <w:p w14:paraId="776AD23F" w14:textId="77777777" w:rsidR="00FE3BE4" w:rsidRPr="00AC42F6" w:rsidRDefault="00FE3BE4" w:rsidP="008D4E1E">
            <w:pPr>
              <w:pStyle w:val="Charts"/>
              <w:spacing w:before="120"/>
              <w:ind w:left="-14"/>
              <w:rPr>
                <w:sz w:val="20"/>
              </w:rPr>
            </w:pPr>
            <w:bookmarkStart w:id="137" w:name="_Toc178595121"/>
            <w:r w:rsidRPr="00AC42F6">
              <w:rPr>
                <w:noProof/>
                <w:sz w:val="20"/>
                <w:lang w:val="en-US"/>
              </w:rPr>
              <w:drawing>
                <wp:anchor distT="0" distB="0" distL="114300" distR="114300" simplePos="0" relativeHeight="251884544" behindDoc="1" locked="0" layoutInCell="1" allowOverlap="1" wp14:anchorId="078C0E1D" wp14:editId="2306259C">
                  <wp:simplePos x="0" y="0"/>
                  <wp:positionH relativeFrom="column">
                    <wp:posOffset>-2540</wp:posOffset>
                  </wp:positionH>
                  <wp:positionV relativeFrom="paragraph">
                    <wp:posOffset>493190</wp:posOffset>
                  </wp:positionV>
                  <wp:extent cx="2971800" cy="1645920"/>
                  <wp:effectExtent l="0" t="0" r="0" b="11430"/>
                  <wp:wrapTopAndBottom/>
                  <wp:docPr id="14" name="Chart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14:sizeRelH relativeFrom="margin">
                    <wp14:pctWidth>0</wp14:pctWidth>
                  </wp14:sizeRelH>
                  <wp14:sizeRelV relativeFrom="margin">
                    <wp14:pctHeight>0</wp14:pctHeight>
                  </wp14:sizeRelV>
                </wp:anchor>
              </w:drawing>
            </w:r>
            <w:r w:rsidRPr="00AC42F6">
              <w:rPr>
                <w:sz w:val="20"/>
              </w:rPr>
              <w:t>Գծապատկեր 1.2. Համաշխարհային և գործընկեր երկրների տնտեսական աճերը (%)</w:t>
            </w:r>
            <w:bookmarkEnd w:id="137"/>
          </w:p>
          <w:p w14:paraId="5810A8A8" w14:textId="77777777" w:rsidR="00FE3BE4" w:rsidRPr="00AC42F6" w:rsidRDefault="00FE3BE4" w:rsidP="008D4E1E">
            <w:pPr>
              <w:pStyle w:val="a0"/>
            </w:pPr>
            <w:r w:rsidRPr="00AC42F6">
              <w:t>Աղբյուրը՝ ԱՄՀ</w:t>
            </w:r>
          </w:p>
        </w:tc>
        <w:tc>
          <w:tcPr>
            <w:tcW w:w="4896" w:type="dxa"/>
            <w:hideMark/>
          </w:tcPr>
          <w:p w14:paraId="122312EB" w14:textId="77777777" w:rsidR="00FE3BE4" w:rsidRPr="00AC42F6" w:rsidRDefault="00FE3BE4" w:rsidP="008D4E1E">
            <w:pPr>
              <w:pStyle w:val="Charts"/>
              <w:spacing w:before="120"/>
              <w:rPr>
                <w:sz w:val="20"/>
              </w:rPr>
            </w:pPr>
            <w:bookmarkStart w:id="138" w:name="_Toc178595122"/>
            <w:r w:rsidRPr="00AC42F6">
              <w:rPr>
                <w:noProof/>
                <w:sz w:val="20"/>
                <w:lang w:val="en-US"/>
              </w:rPr>
              <w:drawing>
                <wp:anchor distT="0" distB="0" distL="114300" distR="114300" simplePos="0" relativeHeight="251885568" behindDoc="0" locked="0" layoutInCell="1" allowOverlap="1" wp14:anchorId="3DDD988E" wp14:editId="793252FA">
                  <wp:simplePos x="0" y="0"/>
                  <wp:positionH relativeFrom="column">
                    <wp:posOffset>-6985</wp:posOffset>
                  </wp:positionH>
                  <wp:positionV relativeFrom="paragraph">
                    <wp:posOffset>492269</wp:posOffset>
                  </wp:positionV>
                  <wp:extent cx="2971800" cy="1645920"/>
                  <wp:effectExtent l="0" t="0" r="0" b="11430"/>
                  <wp:wrapTopAndBottom/>
                  <wp:docPr id="15"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H relativeFrom="margin">
                    <wp14:pctWidth>0</wp14:pctWidth>
                  </wp14:sizeRelH>
                  <wp14:sizeRelV relativeFrom="margin">
                    <wp14:pctHeight>0</wp14:pctHeight>
                  </wp14:sizeRelV>
                </wp:anchor>
              </w:drawing>
            </w:r>
            <w:r w:rsidRPr="00AC42F6">
              <w:rPr>
                <w:sz w:val="20"/>
              </w:rPr>
              <w:t>Գծապատկեր 1.3. Հումքային ապրանքների գները (ԱՄՆ դոլար)</w:t>
            </w:r>
            <w:bookmarkEnd w:id="138"/>
          </w:p>
          <w:p w14:paraId="66998BB3" w14:textId="77777777" w:rsidR="00FE3BE4" w:rsidRPr="00AC42F6" w:rsidRDefault="00FE3BE4" w:rsidP="008D4E1E">
            <w:pPr>
              <w:pStyle w:val="a0"/>
            </w:pPr>
            <w:r w:rsidRPr="00AC42F6">
              <w:t xml:space="preserve">Աղբյուրը՝ կանխատեսումները ըստ Բլումբերգի </w:t>
            </w:r>
          </w:p>
        </w:tc>
      </w:tr>
      <w:tr w:rsidR="00FE3BE4" w:rsidRPr="009D765F" w14:paraId="3E0F0FF5" w14:textId="77777777" w:rsidTr="008D4E1E">
        <w:trPr>
          <w:trHeight w:val="20"/>
        </w:trPr>
        <w:tc>
          <w:tcPr>
            <w:tcW w:w="4896" w:type="dxa"/>
            <w:hideMark/>
          </w:tcPr>
          <w:p w14:paraId="7C60A8E7" w14:textId="349A032A" w:rsidR="00FE3BE4" w:rsidRPr="00955B6F" w:rsidRDefault="00FE3BE4" w:rsidP="008D4E1E">
            <w:pPr>
              <w:pStyle w:val="Charts"/>
              <w:spacing w:before="120"/>
              <w:rPr>
                <w:sz w:val="20"/>
              </w:rPr>
            </w:pPr>
            <w:bookmarkStart w:id="139" w:name="_Toc178595123"/>
            <w:r w:rsidRPr="00955B6F">
              <w:rPr>
                <w:rFonts w:ascii="Calibri" w:hAnsi="Calibri"/>
                <w:b w:val="0"/>
                <w:noProof/>
                <w:sz w:val="20"/>
                <w:lang w:val="en-US"/>
              </w:rPr>
              <w:drawing>
                <wp:anchor distT="0" distB="0" distL="114300" distR="114300" simplePos="0" relativeHeight="251895808" behindDoc="1" locked="0" layoutInCell="1" allowOverlap="1" wp14:anchorId="1AA64765" wp14:editId="780DA9DB">
                  <wp:simplePos x="0" y="0"/>
                  <wp:positionH relativeFrom="column">
                    <wp:posOffset>0</wp:posOffset>
                  </wp:positionH>
                  <wp:positionV relativeFrom="paragraph">
                    <wp:posOffset>658185</wp:posOffset>
                  </wp:positionV>
                  <wp:extent cx="2971800" cy="1645920"/>
                  <wp:effectExtent l="0" t="0" r="0" b="11430"/>
                  <wp:wrapTopAndBottom/>
                  <wp:docPr id="17" name="Chart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14:sizeRelH relativeFrom="margin">
                    <wp14:pctWidth>0</wp14:pctWidth>
                  </wp14:sizeRelH>
                  <wp14:sizeRelV relativeFrom="margin">
                    <wp14:pctHeight>0</wp14:pctHeight>
                  </wp14:sizeRelV>
                </wp:anchor>
              </w:drawing>
            </w:r>
            <w:r w:rsidRPr="00955B6F">
              <w:rPr>
                <w:sz w:val="20"/>
              </w:rPr>
              <w:t>Գծապատկեր 1.4. Համաշխարհային առևտրի դոլարային աճերը(%)</w:t>
            </w:r>
            <w:bookmarkEnd w:id="139"/>
            <w:r w:rsidRPr="00955B6F">
              <w:rPr>
                <w:sz w:val="20"/>
              </w:rPr>
              <w:t xml:space="preserve">     </w:t>
            </w:r>
            <w:r w:rsidRPr="00955B6F">
              <w:rPr>
                <w:rFonts w:ascii="Calibri" w:hAnsi="Calibri"/>
                <w:sz w:val="20"/>
              </w:rPr>
              <w:t xml:space="preserve">      </w:t>
            </w:r>
          </w:p>
          <w:p w14:paraId="233C99AF" w14:textId="77777777" w:rsidR="00FE3BE4" w:rsidRDefault="00FE3BE4" w:rsidP="008D4E1E">
            <w:pPr>
              <w:pStyle w:val="a0"/>
              <w:spacing w:after="0"/>
              <w:jc w:val="left"/>
              <w:rPr>
                <w:rFonts w:ascii="Calibri" w:hAnsi="Calibri"/>
                <w:b/>
                <w:noProof/>
                <w:sz w:val="20"/>
                <w:szCs w:val="20"/>
              </w:rPr>
            </w:pPr>
          </w:p>
          <w:p w14:paraId="66E09A79" w14:textId="77777777" w:rsidR="00FE3BE4" w:rsidRPr="00AC42F6" w:rsidRDefault="00FE3BE4" w:rsidP="008D4E1E">
            <w:pPr>
              <w:pStyle w:val="a0"/>
              <w:spacing w:after="0"/>
            </w:pPr>
            <w:r w:rsidRPr="00AC42F6">
              <w:t>Աղբյուրը՝ ԱՄՀ</w:t>
            </w:r>
          </w:p>
        </w:tc>
        <w:tc>
          <w:tcPr>
            <w:tcW w:w="4896" w:type="dxa"/>
            <w:hideMark/>
          </w:tcPr>
          <w:p w14:paraId="5193143C" w14:textId="77777777" w:rsidR="00FE3BE4" w:rsidRPr="00AC42F6" w:rsidRDefault="00FE3BE4" w:rsidP="008D4E1E">
            <w:pPr>
              <w:pStyle w:val="Charts"/>
              <w:spacing w:before="120" w:after="0"/>
              <w:rPr>
                <w:sz w:val="20"/>
              </w:rPr>
            </w:pPr>
            <w:bookmarkStart w:id="140" w:name="_Toc178595124"/>
            <w:r w:rsidRPr="00955B6F">
              <w:rPr>
                <w:rFonts w:ascii="Calibri" w:hAnsi="Calibri"/>
                <w:noProof/>
                <w:sz w:val="20"/>
                <w:lang w:val="en-US"/>
              </w:rPr>
              <w:drawing>
                <wp:anchor distT="0" distB="0" distL="114300" distR="114300" simplePos="0" relativeHeight="251894784" behindDoc="1" locked="0" layoutInCell="1" allowOverlap="1" wp14:anchorId="3F3A314B" wp14:editId="3681D21A">
                  <wp:simplePos x="0" y="0"/>
                  <wp:positionH relativeFrom="margin">
                    <wp:posOffset>-4445</wp:posOffset>
                  </wp:positionH>
                  <wp:positionV relativeFrom="paragraph">
                    <wp:posOffset>669644</wp:posOffset>
                  </wp:positionV>
                  <wp:extent cx="2971800" cy="1645920"/>
                  <wp:effectExtent l="0" t="0" r="0" b="11430"/>
                  <wp:wrapTight wrapText="bothSides">
                    <wp:wrapPolygon edited="0">
                      <wp:start x="0" y="0"/>
                      <wp:lineTo x="0" y="21500"/>
                      <wp:lineTo x="21462" y="21500"/>
                      <wp:lineTo x="21462" y="0"/>
                      <wp:lineTo x="0" y="0"/>
                    </wp:wrapPolygon>
                  </wp:wrapTight>
                  <wp:docPr id="20" name="Chart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14:sizeRelH relativeFrom="margin">
                    <wp14:pctWidth>0</wp14:pctWidth>
                  </wp14:sizeRelH>
                  <wp14:sizeRelV relativeFrom="margin">
                    <wp14:pctHeight>0</wp14:pctHeight>
                  </wp14:sizeRelV>
                </wp:anchor>
              </w:drawing>
            </w:r>
            <w:r w:rsidRPr="00955B6F">
              <w:rPr>
                <w:sz w:val="20"/>
              </w:rPr>
              <w:t xml:space="preserve">Գծապատկեր 1.5. </w:t>
            </w:r>
            <w:r>
              <w:rPr>
                <w:sz w:val="20"/>
              </w:rPr>
              <w:t>Դոլարի ինդեքսի և զ</w:t>
            </w:r>
            <w:r w:rsidRPr="00955B6F">
              <w:rPr>
                <w:sz w:val="20"/>
              </w:rPr>
              <w:t>արգացող երկրների ազգային արժույթների դոլարի նկատմամբ փոփոխությունները</w:t>
            </w:r>
            <w:r w:rsidRPr="00955B6F">
              <w:rPr>
                <w:sz w:val="20"/>
                <w:vertAlign w:val="superscript"/>
              </w:rPr>
              <w:footnoteReference w:id="6"/>
            </w:r>
            <w:bookmarkEnd w:id="140"/>
          </w:p>
          <w:p w14:paraId="127C1A71" w14:textId="77777777" w:rsidR="00FE3BE4" w:rsidRPr="009A43DC" w:rsidRDefault="00FE3BE4" w:rsidP="008D4E1E">
            <w:pPr>
              <w:pStyle w:val="a0"/>
              <w:spacing w:after="0"/>
              <w:rPr>
                <w:lang w:val="hy-AM"/>
              </w:rPr>
            </w:pPr>
            <w:r w:rsidRPr="009A43DC">
              <w:rPr>
                <w:lang w:val="hy-AM"/>
              </w:rPr>
              <w:t xml:space="preserve">Աղբյուրը՝ Բլումբերգ, ՀՀ ԿԲ, ՀՀ ՖՆ հաշվարկներ </w:t>
            </w:r>
          </w:p>
        </w:tc>
      </w:tr>
      <w:tr w:rsidR="00FE3BE4" w:rsidRPr="00AC42F6" w14:paraId="5EC928B1" w14:textId="77777777" w:rsidTr="008D4E1E">
        <w:trPr>
          <w:trHeight w:val="20"/>
        </w:trPr>
        <w:tc>
          <w:tcPr>
            <w:tcW w:w="4896" w:type="dxa"/>
            <w:hideMark/>
          </w:tcPr>
          <w:p w14:paraId="62E3F89A" w14:textId="4AAE01D8" w:rsidR="00FE3BE4" w:rsidRPr="007B0FBF" w:rsidRDefault="00FE3BE4" w:rsidP="008D4E1E">
            <w:pPr>
              <w:pStyle w:val="Charts"/>
              <w:spacing w:before="120"/>
              <w:rPr>
                <w:sz w:val="20"/>
              </w:rPr>
            </w:pPr>
            <w:bookmarkStart w:id="141" w:name="_Toc178595125"/>
            <w:r w:rsidRPr="007B0FBF">
              <w:rPr>
                <w:noProof/>
                <w:sz w:val="20"/>
                <w:lang w:val="en-US"/>
              </w:rPr>
              <w:drawing>
                <wp:anchor distT="0" distB="0" distL="114300" distR="114300" simplePos="0" relativeHeight="251886592" behindDoc="0" locked="0" layoutInCell="1" allowOverlap="1" wp14:anchorId="2D6610B4" wp14:editId="3F9B9A63">
                  <wp:simplePos x="0" y="0"/>
                  <wp:positionH relativeFrom="column">
                    <wp:posOffset>1905</wp:posOffset>
                  </wp:positionH>
                  <wp:positionV relativeFrom="paragraph">
                    <wp:posOffset>494030</wp:posOffset>
                  </wp:positionV>
                  <wp:extent cx="2926080" cy="1533525"/>
                  <wp:effectExtent l="0" t="0" r="7620" b="9525"/>
                  <wp:wrapTopAndBottom/>
                  <wp:docPr id="39" name="Chart 39"/>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14:sizeRelV relativeFrom="margin">
                    <wp14:pctHeight>0</wp14:pctHeight>
                  </wp14:sizeRelV>
                </wp:anchor>
              </w:drawing>
            </w:r>
            <w:r w:rsidRPr="007B0FBF">
              <w:rPr>
                <w:sz w:val="20"/>
              </w:rPr>
              <w:t>Գծապատկեր 1.6. Գործընկեր երկրների բաժնետոմսերի շուկաների ինդեքսները</w:t>
            </w:r>
            <w:bookmarkEnd w:id="141"/>
            <w:r w:rsidRPr="007B0FBF">
              <w:rPr>
                <w:sz w:val="20"/>
              </w:rPr>
              <w:t xml:space="preserve">  </w:t>
            </w:r>
          </w:p>
          <w:p w14:paraId="5EC51A8A" w14:textId="77777777" w:rsidR="00FE3BE4" w:rsidRPr="009A43DC" w:rsidRDefault="00FE3BE4" w:rsidP="008D4E1E">
            <w:pPr>
              <w:pStyle w:val="a0"/>
              <w:rPr>
                <w:lang w:val="hy-AM"/>
              </w:rPr>
            </w:pPr>
            <w:r w:rsidRPr="009A43DC">
              <w:rPr>
                <w:lang w:val="hy-AM"/>
              </w:rPr>
              <w:t>Աղբյուրը՝ Բլումբերգ, ՀՀ ՖՆ հաշվարկներ</w:t>
            </w:r>
          </w:p>
        </w:tc>
        <w:tc>
          <w:tcPr>
            <w:tcW w:w="4896" w:type="dxa"/>
          </w:tcPr>
          <w:p w14:paraId="0EDE4124" w14:textId="47C290E7" w:rsidR="00EC4E39" w:rsidRPr="00EC4E39" w:rsidRDefault="00EC4E39" w:rsidP="00EC4E39">
            <w:pPr>
              <w:pStyle w:val="Charts"/>
              <w:spacing w:before="120"/>
              <w:contextualSpacing/>
              <w:rPr>
                <w:color w:val="FF0000"/>
                <w:sz w:val="20"/>
              </w:rPr>
            </w:pPr>
            <w:bookmarkStart w:id="142" w:name="_Toc178595126"/>
            <w:r w:rsidRPr="00324F86">
              <w:rPr>
                <w:noProof/>
                <w:sz w:val="20"/>
                <w:lang w:val="en-US"/>
              </w:rPr>
              <w:drawing>
                <wp:anchor distT="0" distB="0" distL="114300" distR="114300" simplePos="0" relativeHeight="251927552" behindDoc="0" locked="0" layoutInCell="1" allowOverlap="1" wp14:anchorId="03D1AB44" wp14:editId="2C6504F8">
                  <wp:simplePos x="0" y="0"/>
                  <wp:positionH relativeFrom="column">
                    <wp:posOffset>-5715</wp:posOffset>
                  </wp:positionH>
                  <wp:positionV relativeFrom="paragraph">
                    <wp:posOffset>492760</wp:posOffset>
                  </wp:positionV>
                  <wp:extent cx="2889250" cy="1533525"/>
                  <wp:effectExtent l="0" t="0" r="6350" b="9525"/>
                  <wp:wrapTopAndBottom/>
                  <wp:docPr id="16120856" name="Chart 16120856"/>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14:sizeRelH relativeFrom="margin">
                    <wp14:pctWidth>0</wp14:pctWidth>
                  </wp14:sizeRelH>
                  <wp14:sizeRelV relativeFrom="margin">
                    <wp14:pctHeight>0</wp14:pctHeight>
                  </wp14:sizeRelV>
                </wp:anchor>
              </w:drawing>
            </w:r>
            <w:r w:rsidR="00FE3BE4" w:rsidRPr="00324F86">
              <w:rPr>
                <w:sz w:val="20"/>
              </w:rPr>
              <w:t>Գծապատկեր 1.7. Տարածաշրջանի</w:t>
            </w:r>
            <w:r w:rsidR="00FE3BE4" w:rsidRPr="00A87366">
              <w:rPr>
                <w:sz w:val="20"/>
              </w:rPr>
              <w:t xml:space="preserve"> </w:t>
            </w:r>
            <w:r w:rsidR="00FE3BE4">
              <w:rPr>
                <w:sz w:val="20"/>
              </w:rPr>
              <w:t>և Արևելյան Եվրոպայի</w:t>
            </w:r>
            <w:r w:rsidR="00FE3BE4" w:rsidRPr="00324F86">
              <w:rPr>
                <w:sz w:val="20"/>
              </w:rPr>
              <w:t xml:space="preserve"> երկրների ռիսկի հավելավճարները</w:t>
            </w:r>
            <w:r w:rsidR="00FE3BE4" w:rsidRPr="00324F86">
              <w:rPr>
                <w:sz w:val="20"/>
                <w:vertAlign w:val="superscript"/>
              </w:rPr>
              <w:footnoteReference w:id="7"/>
            </w:r>
            <w:bookmarkEnd w:id="142"/>
            <w:r w:rsidR="00FE3BE4" w:rsidRPr="000D4964">
              <w:rPr>
                <w:color w:val="FF0000"/>
                <w:sz w:val="20"/>
              </w:rPr>
              <w:t xml:space="preserve"> </w:t>
            </w:r>
          </w:p>
          <w:p w14:paraId="43F31067" w14:textId="767CD3D7" w:rsidR="00FE3BE4" w:rsidRPr="00EC4E39" w:rsidRDefault="00EC4E39" w:rsidP="00EC4E39">
            <w:pPr>
              <w:pStyle w:val="a0"/>
              <w:rPr>
                <w:lang w:val="hy-AM"/>
              </w:rPr>
            </w:pPr>
            <w:r w:rsidRPr="00EA616A">
              <w:t>Աղբյուրը՝ Բլումբերգ</w:t>
            </w:r>
          </w:p>
        </w:tc>
      </w:tr>
    </w:tbl>
    <w:p w14:paraId="662AF001" w14:textId="77777777" w:rsidR="00FE3BE4" w:rsidRDefault="00FE3BE4" w:rsidP="00FE3BE4">
      <w:pPr>
        <w:pStyle w:val="BodyText1"/>
        <w:rPr>
          <w:color w:val="auto"/>
          <w:lang w:val="hy-AM"/>
        </w:rPr>
      </w:pPr>
      <w:r w:rsidRPr="00341EB3">
        <w:rPr>
          <w:color w:val="auto"/>
        </w:rPr>
        <w:t xml:space="preserve">«Բլումբերգ» միջազգային կազմակերպության </w:t>
      </w:r>
      <w:r w:rsidRPr="00341EB3">
        <w:rPr>
          <w:color w:val="auto"/>
          <w:lang w:val="hy-AM"/>
        </w:rPr>
        <w:t>փետրվար</w:t>
      </w:r>
      <w:r w:rsidRPr="00341EB3">
        <w:rPr>
          <w:color w:val="auto"/>
        </w:rPr>
        <w:t xml:space="preserve"> ամսվա կանխատեսումների համեմատ օգոստոսին 202</w:t>
      </w:r>
      <w:r w:rsidRPr="00341EB3">
        <w:rPr>
          <w:color w:val="auto"/>
          <w:lang w:val="hy-AM"/>
        </w:rPr>
        <w:t>5-2028</w:t>
      </w:r>
      <w:r w:rsidRPr="00341EB3">
        <w:rPr>
          <w:color w:val="auto"/>
        </w:rPr>
        <w:t xml:space="preserve"> թվական</w:t>
      </w:r>
      <w:r w:rsidRPr="00341EB3">
        <w:rPr>
          <w:color w:val="auto"/>
          <w:lang w:val="hy-AM"/>
        </w:rPr>
        <w:t>ներ</w:t>
      </w:r>
      <w:r w:rsidRPr="00341EB3">
        <w:rPr>
          <w:color w:val="auto"/>
        </w:rPr>
        <w:t>ին նավթի միջազգային գնի կանխատեսումը վերանայվել է դեպի ներքև։</w:t>
      </w:r>
      <w:r>
        <w:rPr>
          <w:color w:val="auto"/>
          <w:lang w:val="hy-AM"/>
        </w:rPr>
        <w:t xml:space="preserve"> Կանխատեսման հիմնարար գործոններ են հանդիսացել ՕՊԵԿ+ երկրների կողմից արտադրության ընդլայնման տեմպերի արագացումը, ոչ ՕՊԵԿ+ անդամ երկրների կողմից առաջարկի աճը և համաշխարհային պահանջարկի թուլացումը: </w:t>
      </w:r>
      <w:r w:rsidRPr="00341EB3">
        <w:rPr>
          <w:color w:val="auto"/>
          <w:lang w:val="hy-AM"/>
        </w:rPr>
        <w:t>Պղնձի միջազգային գնի 2025 և 2026 թվականներին, ինչպես նաև միջնաժամկետում կանխատեսում</w:t>
      </w:r>
      <w:r>
        <w:rPr>
          <w:color w:val="auto"/>
          <w:lang w:val="hy-AM"/>
        </w:rPr>
        <w:t>ները</w:t>
      </w:r>
      <w:r w:rsidRPr="00341EB3">
        <w:rPr>
          <w:color w:val="auto"/>
          <w:lang w:val="hy-AM"/>
        </w:rPr>
        <w:t xml:space="preserve"> վերանայվել </w:t>
      </w:r>
      <w:r>
        <w:rPr>
          <w:color w:val="auto"/>
          <w:lang w:val="hy-AM"/>
        </w:rPr>
        <w:t>են</w:t>
      </w:r>
      <w:r w:rsidRPr="00341EB3">
        <w:rPr>
          <w:color w:val="auto"/>
          <w:lang w:val="hy-AM"/>
        </w:rPr>
        <w:t xml:space="preserve"> դեպի վերև։</w:t>
      </w:r>
      <w:r>
        <w:rPr>
          <w:color w:val="auto"/>
          <w:lang w:val="hy-AM"/>
        </w:rPr>
        <w:t xml:space="preserve"> Պղնձի գնի կանխատեսման հիմնարար գործոններն են եղել </w:t>
      </w:r>
      <w:r w:rsidRPr="00E625E6">
        <w:rPr>
          <w:color w:val="auto"/>
          <w:lang w:val="hy-AM"/>
        </w:rPr>
        <w:t>մաքսատուրքերի հետևանքով ԱՄՆ-ից դուրս պաշարների կրճատում</w:t>
      </w:r>
      <w:r>
        <w:rPr>
          <w:color w:val="auto"/>
          <w:lang w:val="hy-AM"/>
        </w:rPr>
        <w:t>ը</w:t>
      </w:r>
      <w:r w:rsidRPr="00E625E6">
        <w:rPr>
          <w:color w:val="auto"/>
          <w:lang w:val="hy-AM"/>
        </w:rPr>
        <w:t>, մետաղի նկատմամբ պահանջարկի աճ</w:t>
      </w:r>
      <w:r>
        <w:rPr>
          <w:color w:val="auto"/>
          <w:lang w:val="hy-AM"/>
        </w:rPr>
        <w:t>ը և հանքաքարի</w:t>
      </w:r>
      <w:r w:rsidRPr="00E625E6">
        <w:rPr>
          <w:color w:val="auto"/>
          <w:lang w:val="hy-AM"/>
        </w:rPr>
        <w:t xml:space="preserve"> առաջարկի սահմանափակումներ</w:t>
      </w:r>
      <w:r>
        <w:rPr>
          <w:color w:val="auto"/>
          <w:lang w:val="hy-AM"/>
        </w:rPr>
        <w:t>ը:</w:t>
      </w:r>
    </w:p>
    <w:p w14:paraId="1846512C" w14:textId="1BE1D31E" w:rsidR="00FE3BE4" w:rsidRPr="00E610CE" w:rsidRDefault="00FE3BE4" w:rsidP="00FE3BE4">
      <w:pPr>
        <w:pStyle w:val="BodyText1"/>
        <w:rPr>
          <w:lang w:val="hy-AM"/>
        </w:rPr>
      </w:pPr>
      <w:r w:rsidRPr="00E610CE">
        <w:rPr>
          <w:b/>
          <w:lang w:val="hy-AM"/>
        </w:rPr>
        <w:t>Միջազգային ապրանքային, արժութային և ֆինանսական շուկաներում որոշակի կայունություն է դիտվում:</w:t>
      </w:r>
      <w:r w:rsidRPr="00E610CE">
        <w:rPr>
          <w:lang w:val="hy-AM"/>
        </w:rPr>
        <w:t xml:space="preserve"> Համաշխարհային առևտրի տեմպերն արագացել են, իսկ ֆինանսական շուկաներում նկատվում </w:t>
      </w:r>
      <w:r>
        <w:rPr>
          <w:lang w:val="hy-AM"/>
        </w:rPr>
        <w:t>է</w:t>
      </w:r>
      <w:r w:rsidRPr="00E610CE">
        <w:rPr>
          <w:lang w:val="hy-AM"/>
        </w:rPr>
        <w:t xml:space="preserve"> բաժնետոմսերի գների վերականգնում։ Զարգացող երկրների արժույթները նախորդ տարվա ընթացքում և ընթացիկ տարում թուլացել են ԱՄՆ դոլարի նկատմամբ, միևնույն ժամանակ ԱՄՆ դոլարի դիրքերը շարունակել են թուլանալ: Ի համեմատ նախորդ տարվա արժեզրկման միտումների՝ ռուսական ռուբլու դիրքերը որոշակի վերականգնվել են: Այս պայմաններում</w:t>
      </w:r>
      <w:r w:rsidRPr="00A87366">
        <w:rPr>
          <w:lang w:val="hy-AM"/>
        </w:rPr>
        <w:t xml:space="preserve"> </w:t>
      </w:r>
      <w:r>
        <w:rPr>
          <w:lang w:val="hy-AM"/>
        </w:rPr>
        <w:t xml:space="preserve">տարածաշրջանի և Արևելյան Եվրոպայի </w:t>
      </w:r>
      <w:r w:rsidR="00603290">
        <w:rPr>
          <w:lang w:val="hy-AM"/>
        </w:rPr>
        <w:t xml:space="preserve">համադրելի </w:t>
      </w:r>
      <w:r>
        <w:rPr>
          <w:lang w:val="hy-AM"/>
        </w:rPr>
        <w:t xml:space="preserve">երկրների </w:t>
      </w:r>
      <w:r w:rsidRPr="00E610CE">
        <w:rPr>
          <w:lang w:val="hy-AM"/>
        </w:rPr>
        <w:t xml:space="preserve"> ռիսկի հավելավճարները նվազել են:</w:t>
      </w:r>
    </w:p>
    <w:p w14:paraId="5CA4D3A8" w14:textId="77777777" w:rsidR="00FE3BE4" w:rsidRDefault="00FE3BE4" w:rsidP="00FE3BE4">
      <w:pPr>
        <w:pStyle w:val="BodyText1"/>
        <w:rPr>
          <w:lang w:val="hy-AM"/>
        </w:rPr>
      </w:pPr>
      <w:r>
        <w:rPr>
          <w:lang w:val="hy-AM"/>
        </w:rPr>
        <w:t xml:space="preserve"> </w:t>
      </w:r>
    </w:p>
    <w:p w14:paraId="3A58C998" w14:textId="77777777" w:rsidR="00FE3BE4" w:rsidRPr="00E77731" w:rsidRDefault="00FE3BE4" w:rsidP="00104E7A">
      <w:pPr>
        <w:pStyle w:val="TOC3"/>
        <w:pBdr>
          <w:bottom w:val="single" w:sz="8" w:space="1" w:color="C3C3C7" w:themeColor="accent3" w:themeTint="66"/>
        </w:pBdr>
        <w:ind w:left="-1080" w:firstLine="1080"/>
        <w:outlineLvl w:val="1"/>
        <w:rPr>
          <w:lang w:val="hy-AM"/>
        </w:rPr>
      </w:pPr>
      <w:bookmarkStart w:id="143" w:name="_Toc178356564"/>
      <w:bookmarkStart w:id="144" w:name="_Toc178612088"/>
      <w:bookmarkStart w:id="145" w:name="_Toc183801072"/>
      <w:bookmarkStart w:id="146" w:name="_Toc215157667"/>
      <w:r w:rsidRPr="00E77731">
        <w:rPr>
          <w:lang w:val="hy-AM"/>
        </w:rPr>
        <w:t>1.3. ՀՀ ՄԱԿՐՈՏՆՏԵՍԱԿԱՆ ԶԱՐԳԱՑՈՒՄՆԵՐ ԵՎ ԿԱՆԽԱՏԵՍՈՒՄՆԵՐ</w:t>
      </w:r>
      <w:bookmarkEnd w:id="129"/>
      <w:bookmarkEnd w:id="130"/>
      <w:bookmarkEnd w:id="131"/>
      <w:bookmarkEnd w:id="132"/>
      <w:bookmarkEnd w:id="133"/>
      <w:bookmarkEnd w:id="143"/>
      <w:bookmarkEnd w:id="144"/>
      <w:bookmarkEnd w:id="145"/>
      <w:bookmarkEnd w:id="146"/>
    </w:p>
    <w:p w14:paraId="7B3AA5D4" w14:textId="77777777" w:rsidR="00FE3BE4" w:rsidRPr="00E77731" w:rsidRDefault="00FE3BE4" w:rsidP="00104E7A">
      <w:pPr>
        <w:pStyle w:val="TOC4"/>
        <w:outlineLvl w:val="2"/>
        <w:rPr>
          <w:lang w:val="hy-AM"/>
        </w:rPr>
      </w:pPr>
      <w:bookmarkStart w:id="147" w:name="_Toc170926293"/>
      <w:bookmarkStart w:id="148" w:name="_Toc170750532"/>
      <w:bookmarkStart w:id="149" w:name="_Toc170743028"/>
      <w:bookmarkStart w:id="150" w:name="_Toc215157668"/>
      <w:bookmarkStart w:id="151" w:name="_Toc146911025"/>
      <w:bookmarkStart w:id="152" w:name="_Toc115686019"/>
      <w:bookmarkStart w:id="153" w:name="_Toc83972833"/>
      <w:bookmarkStart w:id="154" w:name="_Toc83663897"/>
      <w:bookmarkStart w:id="155" w:name="_Toc57559415"/>
      <w:bookmarkStart w:id="156" w:name="_Toc52452088"/>
      <w:bookmarkStart w:id="157" w:name="_Toc51947415"/>
      <w:bookmarkStart w:id="158" w:name="_Toc46760406"/>
      <w:bookmarkEnd w:id="134"/>
      <w:r w:rsidRPr="00E77731">
        <w:rPr>
          <w:lang w:val="hy-AM"/>
        </w:rPr>
        <w:t xml:space="preserve">1.3.1. ՀՆԱ </w:t>
      </w:r>
      <w:r>
        <w:rPr>
          <w:lang w:val="hy-AM"/>
        </w:rPr>
        <w:t>ԵՎ</w:t>
      </w:r>
      <w:r w:rsidRPr="00E77731">
        <w:rPr>
          <w:lang w:val="hy-AM"/>
        </w:rPr>
        <w:t xml:space="preserve"> ՏՆՏԵՍԱԿԱՆ ԱՃ</w:t>
      </w:r>
      <w:bookmarkEnd w:id="147"/>
      <w:bookmarkEnd w:id="148"/>
      <w:bookmarkEnd w:id="149"/>
      <w:bookmarkEnd w:id="150"/>
    </w:p>
    <w:p w14:paraId="13F8BF83" w14:textId="4F77B1C7" w:rsidR="00FE3BE4" w:rsidRDefault="00FE3BE4" w:rsidP="00FE3BE4">
      <w:pPr>
        <w:pStyle w:val="BodytextBullets"/>
        <w:numPr>
          <w:ilvl w:val="0"/>
          <w:numId w:val="0"/>
        </w:numPr>
        <w:ind w:firstLine="450"/>
        <w:rPr>
          <w:lang w:val="hy-AM"/>
        </w:rPr>
      </w:pPr>
      <w:r w:rsidRPr="002B3477">
        <w:rPr>
          <w:b/>
          <w:lang w:val="hy-AM"/>
        </w:rPr>
        <w:t>2022-2023</w:t>
      </w:r>
      <w:r w:rsidRPr="002131C3">
        <w:rPr>
          <w:b/>
          <w:lang w:val="hy-AM"/>
        </w:rPr>
        <w:t xml:space="preserve"> </w:t>
      </w:r>
      <w:r w:rsidRPr="002B3477">
        <w:rPr>
          <w:b/>
          <w:lang w:val="hy-AM"/>
        </w:rPr>
        <w:t>թ</w:t>
      </w:r>
      <w:r>
        <w:rPr>
          <w:b/>
          <w:lang w:val="hy-AM"/>
        </w:rPr>
        <w:t>վականներին</w:t>
      </w:r>
      <w:r w:rsidRPr="002B3477">
        <w:rPr>
          <w:b/>
          <w:lang w:val="hy-AM"/>
        </w:rPr>
        <w:t xml:space="preserve"> տնտեսական աճի տեմպերը, կրելով արտաքին և ներքին նպաստավոր գործոնների ազդեցությունը, կտրուկ արագացել են և միջինում գրանցել 10.5%  աճ:</w:t>
      </w:r>
      <w:r>
        <w:rPr>
          <w:b/>
          <w:lang w:val="hy-AM"/>
        </w:rPr>
        <w:t xml:space="preserve"> Մասնավորապես՝</w:t>
      </w:r>
      <w:r w:rsidRPr="00BB160E">
        <w:rPr>
          <w:lang w:val="hy-AM"/>
        </w:rPr>
        <w:t xml:space="preserve"> 2022</w:t>
      </w:r>
      <w:r>
        <w:rPr>
          <w:lang w:val="hy-AM"/>
        </w:rPr>
        <w:t xml:space="preserve"> </w:t>
      </w:r>
      <w:r w:rsidRPr="00BB160E">
        <w:rPr>
          <w:lang w:val="hy-AM"/>
        </w:rPr>
        <w:t>թ</w:t>
      </w:r>
      <w:r>
        <w:rPr>
          <w:lang w:val="hy-AM"/>
        </w:rPr>
        <w:t>վականի</w:t>
      </w:r>
      <w:r w:rsidRPr="00BB160E">
        <w:rPr>
          <w:lang w:val="hy-AM"/>
        </w:rPr>
        <w:t xml:space="preserve"> փետրվարի վերջերից սկիզբ առած ռուս-ուկրաինական հակամարտության և Ռուսաստանի դեմ կիրառված պատժամիջոցների հետևանքով</w:t>
      </w:r>
      <w:r>
        <w:rPr>
          <w:lang w:val="hy-AM"/>
        </w:rPr>
        <w:t xml:space="preserve"> տեղի է ունեցել</w:t>
      </w:r>
      <w:r w:rsidRPr="00BB160E">
        <w:rPr>
          <w:lang w:val="hy-AM"/>
        </w:rPr>
        <w:t xml:space="preserve"> դեպի Հայաստան մարդկանց </w:t>
      </w:r>
      <w:r w:rsidRPr="002B3477">
        <w:rPr>
          <w:lang w:val="hy-AM"/>
        </w:rPr>
        <w:t>(</w:t>
      </w:r>
      <w:r>
        <w:rPr>
          <w:lang w:val="hy-AM"/>
        </w:rPr>
        <w:t>այդ թվում՝ զբոսաշրջիկների</w:t>
      </w:r>
      <w:r w:rsidRPr="002B3477">
        <w:rPr>
          <w:lang w:val="hy-AM"/>
        </w:rPr>
        <w:t xml:space="preserve">) </w:t>
      </w:r>
      <w:r w:rsidRPr="00BB160E">
        <w:rPr>
          <w:lang w:val="hy-AM"/>
        </w:rPr>
        <w:t>ներհոսք, տեղեկատվական տեխնոլոգիաների ոլորտի ընկերությունների ՀՀ տեղափոխ</w:t>
      </w:r>
      <w:r>
        <w:rPr>
          <w:lang w:val="hy-AM"/>
        </w:rPr>
        <w:t>ու</w:t>
      </w:r>
      <w:r w:rsidRPr="00BB160E">
        <w:rPr>
          <w:lang w:val="hy-AM"/>
        </w:rPr>
        <w:t>մ, ՀՀ-ից դեպի Ռուսաստան արտահանման պահանջարկի ավելաց</w:t>
      </w:r>
      <w:r>
        <w:rPr>
          <w:lang w:val="hy-AM"/>
        </w:rPr>
        <w:t>ու</w:t>
      </w:r>
      <w:r w:rsidRPr="00BB160E">
        <w:rPr>
          <w:lang w:val="hy-AM"/>
        </w:rPr>
        <w:t>մ, պետական բյուջեից կապիտալ ծախսերի և բնակարանաշինության բարձր աճեր, ինչպես նաև 2023</w:t>
      </w:r>
      <w:r>
        <w:rPr>
          <w:lang w:val="hy-AM"/>
        </w:rPr>
        <w:t xml:space="preserve"> </w:t>
      </w:r>
      <w:r w:rsidRPr="00BB160E">
        <w:rPr>
          <w:lang w:val="hy-AM"/>
        </w:rPr>
        <w:t>թ</w:t>
      </w:r>
      <w:r>
        <w:rPr>
          <w:lang w:val="hy-AM"/>
        </w:rPr>
        <w:t>վականի</w:t>
      </w:r>
      <w:r w:rsidRPr="00BB160E">
        <w:rPr>
          <w:lang w:val="hy-AM"/>
        </w:rPr>
        <w:t xml:space="preserve"> սեպտեմբերի վերջից Ղարաբաղից ՀՀ բռնի </w:t>
      </w:r>
      <w:r>
        <w:rPr>
          <w:lang w:val="hy-AM"/>
        </w:rPr>
        <w:t>տեղահ</w:t>
      </w:r>
      <w:r w:rsidRPr="00BB160E">
        <w:rPr>
          <w:lang w:val="hy-AM"/>
        </w:rPr>
        <w:t xml:space="preserve">անված </w:t>
      </w:r>
      <w:r w:rsidRPr="006E2A23">
        <w:rPr>
          <w:lang w:val="hy-AM"/>
        </w:rPr>
        <w:t>անձանց</w:t>
      </w:r>
      <w:r>
        <w:rPr>
          <w:lang w:val="hy-AM"/>
        </w:rPr>
        <w:t xml:space="preserve"> կողմից ձևավորվել է լրացուցիչ պահանջարկ:</w:t>
      </w:r>
      <w:r w:rsidRPr="00BB160E">
        <w:rPr>
          <w:lang w:val="hy-AM"/>
        </w:rPr>
        <w:t xml:space="preserve"> </w:t>
      </w:r>
    </w:p>
    <w:p w14:paraId="48D7C40E" w14:textId="77777777" w:rsidR="00FE3BE4" w:rsidRPr="0091257A" w:rsidRDefault="00FE3BE4" w:rsidP="00FE3BE4">
      <w:pPr>
        <w:pStyle w:val="BodytextBullets"/>
        <w:numPr>
          <w:ilvl w:val="0"/>
          <w:numId w:val="0"/>
        </w:numPr>
        <w:ind w:firstLine="450"/>
        <w:rPr>
          <w:lang w:val="hy-AM"/>
        </w:rPr>
      </w:pPr>
      <w:r w:rsidRPr="00B81E93">
        <w:rPr>
          <w:lang w:val="hy-AM"/>
        </w:rPr>
        <w:t>2022-202</w:t>
      </w:r>
      <w:r>
        <w:rPr>
          <w:lang w:val="hy-AM"/>
        </w:rPr>
        <w:t xml:space="preserve">3 </w:t>
      </w:r>
      <w:r w:rsidRPr="00B81E93">
        <w:rPr>
          <w:lang w:val="hy-AM"/>
        </w:rPr>
        <w:t>թ</w:t>
      </w:r>
      <w:r>
        <w:rPr>
          <w:lang w:val="hy-AM"/>
        </w:rPr>
        <w:t>վականներին ծառայությունների և շինարարության աճերն առաջանցիկ են եղել տնտեսական աճի նկատմամբ: Արդյունքում</w:t>
      </w:r>
      <w:r w:rsidRPr="00B81E93">
        <w:rPr>
          <w:lang w:val="hy-AM"/>
        </w:rPr>
        <w:t xml:space="preserve"> տնտեսական աճը հիմնականում պայմանավորված է եղել ծառայությունների</w:t>
      </w:r>
      <w:r w:rsidRPr="008540E7">
        <w:rPr>
          <w:lang w:val="hy-AM"/>
        </w:rPr>
        <w:t xml:space="preserve"> </w:t>
      </w:r>
      <w:r>
        <w:rPr>
          <w:lang w:val="hy-AM"/>
        </w:rPr>
        <w:t>և շինարարության</w:t>
      </w:r>
      <w:r w:rsidRPr="00B81E93">
        <w:rPr>
          <w:lang w:val="hy-AM"/>
        </w:rPr>
        <w:t xml:space="preserve"> աճ</w:t>
      </w:r>
      <w:r>
        <w:rPr>
          <w:lang w:val="hy-AM"/>
        </w:rPr>
        <w:t>եր</w:t>
      </w:r>
      <w:r w:rsidRPr="00B81E93">
        <w:rPr>
          <w:lang w:val="hy-AM"/>
        </w:rPr>
        <w:t>ով (նպաստում</w:t>
      </w:r>
      <w:r>
        <w:rPr>
          <w:lang w:val="hy-AM"/>
        </w:rPr>
        <w:t>ներ</w:t>
      </w:r>
      <w:r w:rsidRPr="00B81E93">
        <w:rPr>
          <w:lang w:val="hy-AM"/>
        </w:rPr>
        <w:t>ը՝</w:t>
      </w:r>
      <w:r>
        <w:rPr>
          <w:lang w:val="hy-AM"/>
        </w:rPr>
        <w:t xml:space="preserve"> համապատասխանաբար՝ միջինում՝</w:t>
      </w:r>
      <w:r w:rsidRPr="00B81E93">
        <w:rPr>
          <w:lang w:val="hy-AM"/>
        </w:rPr>
        <w:t xml:space="preserve"> </w:t>
      </w:r>
      <w:r w:rsidRPr="002A21BD">
        <w:rPr>
          <w:lang w:val="hy-AM"/>
        </w:rPr>
        <w:t>8</w:t>
      </w:r>
      <w:r w:rsidRPr="00B81E93">
        <w:rPr>
          <w:lang w:val="hy-AM"/>
        </w:rPr>
        <w:t>.</w:t>
      </w:r>
      <w:r w:rsidRPr="002A21BD">
        <w:rPr>
          <w:lang w:val="hy-AM"/>
        </w:rPr>
        <w:t>1</w:t>
      </w:r>
      <w:r>
        <w:rPr>
          <w:lang w:val="hy-AM"/>
        </w:rPr>
        <w:t xml:space="preserve"> և </w:t>
      </w:r>
      <w:r w:rsidRPr="008540E7">
        <w:rPr>
          <w:lang w:val="hy-AM"/>
        </w:rPr>
        <w:t>1.1</w:t>
      </w:r>
      <w:r w:rsidRPr="00B81E93">
        <w:rPr>
          <w:lang w:val="hy-AM"/>
        </w:rPr>
        <w:t xml:space="preserve"> տոկոսային կետ</w:t>
      </w:r>
      <w:r>
        <w:rPr>
          <w:lang w:val="hy-AM"/>
        </w:rPr>
        <w:t>եր</w:t>
      </w:r>
      <w:r w:rsidRPr="00B81E93">
        <w:rPr>
          <w:lang w:val="hy-AM"/>
        </w:rPr>
        <w:t xml:space="preserve">): Տնտեսական աճին նպաստել </w:t>
      </w:r>
      <w:r>
        <w:rPr>
          <w:lang w:val="hy-AM"/>
        </w:rPr>
        <w:t>է</w:t>
      </w:r>
      <w:r w:rsidRPr="00B81E93">
        <w:rPr>
          <w:lang w:val="hy-AM"/>
        </w:rPr>
        <w:t xml:space="preserve"> նաև արդյունաբերության</w:t>
      </w:r>
      <w:r>
        <w:rPr>
          <w:lang w:val="hy-AM"/>
        </w:rPr>
        <w:t xml:space="preserve"> աճը</w:t>
      </w:r>
      <w:r w:rsidRPr="00B81E93">
        <w:rPr>
          <w:lang w:val="hy-AM"/>
        </w:rPr>
        <w:t xml:space="preserve"> (նպաստումը՝ միջինում 0.</w:t>
      </w:r>
      <w:r>
        <w:rPr>
          <w:lang w:val="hy-AM"/>
        </w:rPr>
        <w:t>4</w:t>
      </w:r>
      <w:r w:rsidRPr="00B81E93">
        <w:rPr>
          <w:lang w:val="hy-AM"/>
        </w:rPr>
        <w:t xml:space="preserve"> տոկոսային կետ), իսկ գյուղատնտեսությունը տնտեսական աճի վրա ունեցել է փոքր-ինչ բացասական ազդեցություն: </w:t>
      </w:r>
      <w:r w:rsidRPr="0091257A">
        <w:rPr>
          <w:lang w:val="hy-AM"/>
        </w:rPr>
        <w:t xml:space="preserve">Պահանջարկի տեսանկյունից աճին նպաստել է ինչպես ներքին պահանջարկի (հիմնականում </w:t>
      </w:r>
      <w:r>
        <w:rPr>
          <w:lang w:val="hy-AM"/>
        </w:rPr>
        <w:t xml:space="preserve">մասնավոր </w:t>
      </w:r>
      <w:r w:rsidRPr="0091257A">
        <w:rPr>
          <w:lang w:val="hy-AM"/>
        </w:rPr>
        <w:t>սպառման և ներդրումների), այնպես էլ արտահանման աճը:</w:t>
      </w:r>
    </w:p>
    <w:p w14:paraId="18892129" w14:textId="3344327F" w:rsidR="00FE3BE4" w:rsidRDefault="00FE3BE4" w:rsidP="00FE3BE4">
      <w:pPr>
        <w:ind w:firstLine="567"/>
        <w:jc w:val="both"/>
        <w:rPr>
          <w:rFonts w:ascii="GHEA Grapalat" w:eastAsia="GHEA Grapalat" w:hAnsi="GHEA Grapalat" w:cs="GHEA Grapalat"/>
          <w:lang w:val="hy-AM"/>
        </w:rPr>
      </w:pPr>
      <w:r w:rsidRPr="00EB6537">
        <w:rPr>
          <w:rFonts w:ascii="GHEA Grapalat" w:hAnsi="GHEA Grapalat"/>
          <w:szCs w:val="20"/>
          <w:lang w:val="hy-AM"/>
        </w:rPr>
        <w:t>2024</w:t>
      </w:r>
      <w:r>
        <w:rPr>
          <w:rFonts w:ascii="GHEA Grapalat" w:hAnsi="GHEA Grapalat"/>
          <w:szCs w:val="20"/>
          <w:lang w:val="hy-AM"/>
        </w:rPr>
        <w:t xml:space="preserve"> </w:t>
      </w:r>
      <w:r w:rsidRPr="00EB6537">
        <w:rPr>
          <w:rFonts w:ascii="GHEA Grapalat" w:hAnsi="GHEA Grapalat"/>
          <w:szCs w:val="20"/>
          <w:lang w:val="hy-AM"/>
        </w:rPr>
        <w:t>թ</w:t>
      </w:r>
      <w:r>
        <w:rPr>
          <w:rFonts w:ascii="GHEA Grapalat" w:hAnsi="GHEA Grapalat"/>
          <w:szCs w:val="20"/>
          <w:lang w:val="hy-AM"/>
        </w:rPr>
        <w:t>վականին</w:t>
      </w:r>
      <w:r w:rsidRPr="00EB6537">
        <w:rPr>
          <w:rFonts w:ascii="GHEA Grapalat" w:hAnsi="GHEA Grapalat"/>
          <w:szCs w:val="20"/>
          <w:lang w:val="hy-AM"/>
        </w:rPr>
        <w:t xml:space="preserve"> </w:t>
      </w:r>
      <w:r w:rsidRPr="00C921DE">
        <w:rPr>
          <w:rFonts w:ascii="GHEA Grapalat" w:hAnsi="GHEA Grapalat"/>
          <w:lang w:val="hy-AM"/>
        </w:rPr>
        <w:t xml:space="preserve">նպաստավոր արտաքին տնտեսական պայմանների </w:t>
      </w:r>
      <w:r>
        <w:rPr>
          <w:rFonts w:eastAsia="GHEA Grapalat" w:cs="GHEA Grapalat"/>
          <w:lang w:val="hy-AM"/>
        </w:rPr>
        <w:t>կայունացման</w:t>
      </w:r>
      <w:r>
        <w:rPr>
          <w:lang w:val="hy-AM"/>
        </w:rPr>
        <w:t xml:space="preserve"> պայմաններում տնտեսական աճը </w:t>
      </w:r>
      <w:r w:rsidRPr="00EF7832">
        <w:rPr>
          <w:rFonts w:ascii="GHEA Grapalat" w:eastAsia="GHEA Grapalat" w:hAnsi="GHEA Grapalat" w:cs="GHEA Grapalat"/>
          <w:lang w:val="hy-AM"/>
        </w:rPr>
        <w:t xml:space="preserve">դանդաղել է, սակայն մնացել է բարձր մակարդակում՝ </w:t>
      </w:r>
      <w:r>
        <w:rPr>
          <w:rFonts w:eastAsia="GHEA Grapalat" w:cs="GHEA Grapalat"/>
          <w:lang w:val="hy-AM"/>
        </w:rPr>
        <w:t>շարունակելով</w:t>
      </w:r>
      <w:r w:rsidRPr="00EF7832">
        <w:rPr>
          <w:rFonts w:eastAsia="GHEA Grapalat" w:cs="GHEA Grapalat"/>
          <w:lang w:val="hy-AM"/>
        </w:rPr>
        <w:t xml:space="preserve"> կրել </w:t>
      </w:r>
      <w:r>
        <w:rPr>
          <w:rFonts w:eastAsia="GHEA Grapalat" w:cs="GHEA Grapalat"/>
          <w:lang w:val="hy-AM"/>
        </w:rPr>
        <w:t xml:space="preserve">տնտեսությունում իրականացվող մեծածավալ բնակարանային շինարարության, </w:t>
      </w:r>
      <w:r w:rsidRPr="00EF7832">
        <w:rPr>
          <w:rFonts w:ascii="GHEA Grapalat" w:eastAsia="GHEA Grapalat" w:hAnsi="GHEA Grapalat" w:cs="GHEA Grapalat"/>
          <w:lang w:val="hy-AM"/>
        </w:rPr>
        <w:t>և Ղարաբաղից բռնի տեղահանված անձանց</w:t>
      </w:r>
      <w:r w:rsidRPr="00EF7832">
        <w:rPr>
          <w:rFonts w:ascii="GHEA Grapalat" w:eastAsia="GHEA Grapalat" w:hAnsi="GHEA Grapalat" w:cs="GHEA Grapalat"/>
          <w:lang w:val="de-AT"/>
        </w:rPr>
        <w:t>`</w:t>
      </w:r>
      <w:r w:rsidRPr="00EF7832">
        <w:rPr>
          <w:rFonts w:ascii="GHEA Grapalat" w:eastAsia="GHEA Grapalat" w:hAnsi="GHEA Grapalat" w:cs="GHEA Grapalat"/>
          <w:lang w:val="hy-AM"/>
        </w:rPr>
        <w:t xml:space="preserve"> ՀՀ տնտեսությանն ինտեգրման ազդեցությունները: Արդյունքում 2024</w:t>
      </w:r>
      <w:r>
        <w:rPr>
          <w:rFonts w:ascii="GHEA Grapalat" w:eastAsia="GHEA Grapalat" w:hAnsi="GHEA Grapalat" w:cs="GHEA Grapalat"/>
          <w:lang w:val="hy-AM"/>
        </w:rPr>
        <w:t xml:space="preserve"> </w:t>
      </w:r>
      <w:r w:rsidRPr="00EF7832">
        <w:rPr>
          <w:rFonts w:ascii="GHEA Grapalat" w:eastAsia="GHEA Grapalat" w:hAnsi="GHEA Grapalat" w:cs="GHEA Grapalat"/>
          <w:lang w:val="hy-AM"/>
        </w:rPr>
        <w:t>թ</w:t>
      </w:r>
      <w:r>
        <w:rPr>
          <w:rFonts w:ascii="GHEA Grapalat" w:eastAsia="GHEA Grapalat" w:hAnsi="GHEA Grapalat" w:cs="GHEA Grapalat"/>
          <w:lang w:val="hy-AM"/>
        </w:rPr>
        <w:t>վականին</w:t>
      </w:r>
      <w:r w:rsidRPr="00EF7832">
        <w:rPr>
          <w:rFonts w:ascii="GHEA Grapalat" w:eastAsia="GHEA Grapalat" w:hAnsi="GHEA Grapalat" w:cs="GHEA Grapalat"/>
          <w:lang w:val="hy-AM"/>
        </w:rPr>
        <w:t xml:space="preserve"> գրանցվել է ՀՆԱ-ի 5.9% իրական աճ</w:t>
      </w:r>
      <w:r>
        <w:rPr>
          <w:rFonts w:eastAsia="GHEA Grapalat" w:cs="GHEA Grapalat"/>
          <w:lang w:val="hy-AM"/>
        </w:rPr>
        <w:t xml:space="preserve">՝ </w:t>
      </w:r>
      <w:r w:rsidRPr="00EF7832">
        <w:rPr>
          <w:rFonts w:ascii="GHEA Grapalat" w:eastAsia="GHEA Grapalat" w:hAnsi="GHEA Grapalat" w:cs="GHEA Grapalat"/>
          <w:lang w:val="hy-AM"/>
        </w:rPr>
        <w:t xml:space="preserve">պայմանավորված հիմնականում ծառայությունների </w:t>
      </w:r>
      <w:r>
        <w:rPr>
          <w:rFonts w:eastAsia="GHEA Grapalat" w:cs="GHEA Grapalat"/>
          <w:lang w:val="hy-AM"/>
        </w:rPr>
        <w:t xml:space="preserve">աճով </w:t>
      </w:r>
      <w:r w:rsidRPr="0095582E">
        <w:rPr>
          <w:rFonts w:ascii="GHEA Grapalat" w:eastAsia="GHEA Grapalat" w:hAnsi="GHEA Grapalat" w:cs="GHEA Grapalat"/>
          <w:lang w:val="hy-AM"/>
        </w:rPr>
        <w:t>(նպաստումը՝ 4.</w:t>
      </w:r>
      <w:r>
        <w:rPr>
          <w:rFonts w:ascii="GHEA Grapalat" w:eastAsia="GHEA Grapalat" w:hAnsi="GHEA Grapalat" w:cs="GHEA Grapalat"/>
          <w:lang w:val="hy-AM"/>
        </w:rPr>
        <w:t>4</w:t>
      </w:r>
      <w:r w:rsidRPr="0095582E">
        <w:rPr>
          <w:rFonts w:ascii="GHEA Grapalat" w:eastAsia="GHEA Grapalat" w:hAnsi="GHEA Grapalat" w:cs="GHEA Grapalat"/>
          <w:lang w:val="hy-AM"/>
        </w:rPr>
        <w:t xml:space="preserve"> տոկոսային կետ): Տնտեսության մյուս ճյուղերը ևս աճել են՝ նպաստելով տնտեսական աճին (շինարարություն՝ </w:t>
      </w:r>
      <w:r>
        <w:rPr>
          <w:rFonts w:ascii="GHEA Grapalat" w:eastAsia="GHEA Grapalat" w:hAnsi="GHEA Grapalat" w:cs="GHEA Grapalat"/>
          <w:lang w:val="hy-AM"/>
        </w:rPr>
        <w:t>1.0</w:t>
      </w:r>
      <w:r w:rsidRPr="0095582E">
        <w:rPr>
          <w:rFonts w:ascii="GHEA Grapalat" w:eastAsia="GHEA Grapalat" w:hAnsi="GHEA Grapalat" w:cs="GHEA Grapalat"/>
          <w:lang w:val="hy-AM"/>
        </w:rPr>
        <w:t>, արդյունաբերություն՝</w:t>
      </w:r>
      <w:r>
        <w:rPr>
          <w:rFonts w:ascii="GHEA Grapalat" w:eastAsia="GHEA Grapalat" w:hAnsi="GHEA Grapalat" w:cs="GHEA Grapalat"/>
          <w:lang w:val="hy-AM"/>
        </w:rPr>
        <w:t xml:space="preserve"> 0.6</w:t>
      </w:r>
      <w:r w:rsidRPr="0095582E">
        <w:rPr>
          <w:rFonts w:ascii="GHEA Grapalat" w:eastAsia="GHEA Grapalat" w:hAnsi="GHEA Grapalat" w:cs="GHEA Grapalat"/>
          <w:lang w:val="hy-AM"/>
        </w:rPr>
        <w:t xml:space="preserve"> և գյուղատնտեսություն՝ 0.1 տոկոսային կետեր</w:t>
      </w:r>
      <w:r>
        <w:rPr>
          <w:rFonts w:ascii="GHEA Grapalat" w:eastAsia="GHEA Grapalat" w:hAnsi="GHEA Grapalat" w:cs="GHEA Grapalat"/>
          <w:lang w:val="hy-AM"/>
        </w:rPr>
        <w:t>ով</w:t>
      </w:r>
      <w:r w:rsidRPr="0095582E">
        <w:rPr>
          <w:rFonts w:ascii="GHEA Grapalat" w:eastAsia="GHEA Grapalat" w:hAnsi="GHEA Grapalat" w:cs="GHEA Grapalat"/>
          <w:lang w:val="hy-AM"/>
        </w:rPr>
        <w:t>):</w:t>
      </w:r>
    </w:p>
    <w:p w14:paraId="5FC9CDBA" w14:textId="77777777" w:rsidR="00FE3BE4" w:rsidRDefault="00FE3BE4" w:rsidP="00FE3BE4">
      <w:pPr>
        <w:ind w:firstLine="567"/>
        <w:jc w:val="both"/>
        <w:rPr>
          <w:lang w:val="hy-AM"/>
        </w:rPr>
      </w:pPr>
      <w:r w:rsidRPr="00C324CE">
        <w:rPr>
          <w:lang w:val="hy-AM"/>
        </w:rPr>
        <w:t>Տնտեսական աճի տեմպերը</w:t>
      </w:r>
      <w:r w:rsidRPr="00BB160E">
        <w:rPr>
          <w:lang w:val="hy-AM"/>
        </w:rPr>
        <w:t xml:space="preserve"> շարունակվել են նաև 2025 թվականի առաջին կ</w:t>
      </w:r>
      <w:r>
        <w:rPr>
          <w:lang w:val="hy-AM"/>
        </w:rPr>
        <w:t xml:space="preserve">եսին՝ </w:t>
      </w:r>
      <w:r w:rsidRPr="00BB160E">
        <w:rPr>
          <w:lang w:val="hy-AM"/>
        </w:rPr>
        <w:t>գրանց</w:t>
      </w:r>
      <w:r>
        <w:rPr>
          <w:lang w:val="hy-AM"/>
        </w:rPr>
        <w:t>ելով</w:t>
      </w:r>
      <w:r w:rsidRPr="00BB160E">
        <w:rPr>
          <w:lang w:val="hy-AM"/>
        </w:rPr>
        <w:t xml:space="preserve"> </w:t>
      </w:r>
      <w:r>
        <w:rPr>
          <w:lang w:val="hy-AM"/>
        </w:rPr>
        <w:t>5.6</w:t>
      </w:r>
      <w:r w:rsidRPr="00BB160E">
        <w:rPr>
          <w:lang w:val="hy-AM"/>
        </w:rPr>
        <w:t xml:space="preserve">% </w:t>
      </w:r>
      <w:r>
        <w:rPr>
          <w:lang w:val="hy-AM"/>
        </w:rPr>
        <w:t>իր</w:t>
      </w:r>
      <w:r w:rsidRPr="00BB160E">
        <w:rPr>
          <w:lang w:val="hy-AM"/>
        </w:rPr>
        <w:t>ական աճ</w:t>
      </w:r>
      <w:r>
        <w:rPr>
          <w:lang w:val="hy-AM"/>
        </w:rPr>
        <w:t>: Տնտեսակա</w:t>
      </w:r>
      <w:r w:rsidRPr="00563443">
        <w:rPr>
          <w:lang w:val="hy-AM"/>
        </w:rPr>
        <w:t>ն աճը պայմանավորված է եղել հիմնականում ծառայությունների և շինարարության</w:t>
      </w:r>
      <w:r>
        <w:rPr>
          <w:lang w:val="hy-AM"/>
        </w:rPr>
        <w:t xml:space="preserve"> աճերով</w:t>
      </w:r>
      <w:r w:rsidRPr="00563443">
        <w:rPr>
          <w:lang w:val="hy-AM"/>
        </w:rPr>
        <w:t xml:space="preserve"> </w:t>
      </w:r>
      <w:r w:rsidRPr="007C5F1B">
        <w:rPr>
          <w:lang w:val="hy-AM"/>
        </w:rPr>
        <w:t>(նպաստում</w:t>
      </w:r>
      <w:r>
        <w:rPr>
          <w:lang w:val="hy-AM"/>
        </w:rPr>
        <w:t>ներ</w:t>
      </w:r>
      <w:r w:rsidRPr="007C5F1B">
        <w:rPr>
          <w:lang w:val="hy-AM"/>
        </w:rPr>
        <w:t>ը՝</w:t>
      </w:r>
      <w:r>
        <w:rPr>
          <w:lang w:val="hy-AM"/>
        </w:rPr>
        <w:t xml:space="preserve"> համապատասխանաբար՝</w:t>
      </w:r>
      <w:r w:rsidRPr="007C5F1B">
        <w:rPr>
          <w:lang w:val="hy-AM"/>
        </w:rPr>
        <w:t xml:space="preserve"> </w:t>
      </w:r>
      <w:r w:rsidRPr="00F63AFA">
        <w:rPr>
          <w:lang w:val="hy-AM"/>
        </w:rPr>
        <w:t xml:space="preserve">3.6 </w:t>
      </w:r>
      <w:r>
        <w:rPr>
          <w:lang w:val="hy-AM"/>
        </w:rPr>
        <w:t xml:space="preserve">և </w:t>
      </w:r>
      <w:r w:rsidRPr="007C5F1B">
        <w:rPr>
          <w:lang w:val="hy-AM"/>
        </w:rPr>
        <w:t>1.0 տոկոսային կետ</w:t>
      </w:r>
      <w:r>
        <w:rPr>
          <w:lang w:val="hy-AM"/>
        </w:rPr>
        <w:t>եր</w:t>
      </w:r>
      <w:r w:rsidRPr="007C5F1B">
        <w:rPr>
          <w:lang w:val="hy-AM"/>
        </w:rPr>
        <w:t>)</w:t>
      </w:r>
      <w:r>
        <w:rPr>
          <w:lang w:val="hy-AM"/>
        </w:rPr>
        <w:t xml:space="preserve">: </w:t>
      </w:r>
      <w:r w:rsidRPr="007C5F1B">
        <w:rPr>
          <w:lang w:val="hy-AM"/>
        </w:rPr>
        <w:t>Ծառայությունների 5.7% աճը պայմանավորված է եղել հիմնականում ֆինանսական և ապահովագրական գործունեություն (17.3%),</w:t>
      </w:r>
      <w:r>
        <w:rPr>
          <w:lang w:val="hy-AM"/>
        </w:rPr>
        <w:t xml:space="preserve"> ինչպես նաև</w:t>
      </w:r>
      <w:r w:rsidRPr="007C5F1B">
        <w:rPr>
          <w:lang w:val="hy-AM"/>
        </w:rPr>
        <w:t xml:space="preserve"> տեղեկատվություն և կապ (18.3%) ենթաճյուղերի աճերով։</w:t>
      </w:r>
      <w:r>
        <w:rPr>
          <w:lang w:val="hy-AM"/>
        </w:rPr>
        <w:t xml:space="preserve"> Չնայած 2025 թվականի երկրորդ եռամսյակում արդյունաբերության ճյուղի աճի վերականգնմանը՝ հունվար-հունիսի արդյունքներով ճյուղը նվազել է </w:t>
      </w:r>
      <w:r w:rsidRPr="00922F02">
        <w:rPr>
          <w:lang w:val="hy-AM"/>
        </w:rPr>
        <w:t>(</w:t>
      </w:r>
      <w:r>
        <w:rPr>
          <w:lang w:val="hy-AM"/>
        </w:rPr>
        <w:t>նվազումը՝ 4.7</w:t>
      </w:r>
      <w:r w:rsidRPr="007C5F1B">
        <w:rPr>
          <w:lang w:val="hy-AM"/>
        </w:rPr>
        <w:t>%</w:t>
      </w:r>
      <w:r w:rsidRPr="00922F02">
        <w:rPr>
          <w:lang w:val="hy-AM"/>
        </w:rPr>
        <w:t>)</w:t>
      </w:r>
      <w:r>
        <w:rPr>
          <w:lang w:val="hy-AM"/>
        </w:rPr>
        <w:t>՝ պայմանավորված մշակող արդյունաբերության նվազմամբ:</w:t>
      </w:r>
    </w:p>
    <w:tbl>
      <w:tblPr>
        <w:tblW w:w="0" w:type="auto"/>
        <w:tblLook w:val="04A0" w:firstRow="1" w:lastRow="0" w:firstColumn="1" w:lastColumn="0" w:noHBand="0" w:noVBand="1"/>
      </w:tblPr>
      <w:tblGrid>
        <w:gridCol w:w="9828"/>
        <w:gridCol w:w="222"/>
      </w:tblGrid>
      <w:tr w:rsidR="00FE3BE4" w:rsidRPr="009D765F" w14:paraId="5A1D73A5" w14:textId="77777777" w:rsidTr="008D4E1E">
        <w:trPr>
          <w:trHeight w:val="3430"/>
        </w:trPr>
        <w:tc>
          <w:tcPr>
            <w:tcW w:w="9524" w:type="dxa"/>
          </w:tcPr>
          <w:tbl>
            <w:tblPr>
              <w:tblW w:w="0" w:type="auto"/>
              <w:tblLook w:val="04A0" w:firstRow="1" w:lastRow="0" w:firstColumn="1" w:lastColumn="0" w:noHBand="0" w:noVBand="1"/>
            </w:tblPr>
            <w:tblGrid>
              <w:gridCol w:w="4806"/>
              <w:gridCol w:w="4806"/>
            </w:tblGrid>
            <w:tr w:rsidR="00FE3BE4" w:rsidRPr="009D765F" w14:paraId="07FC7EC6" w14:textId="77777777" w:rsidTr="008D4E1E">
              <w:trPr>
                <w:trHeight w:val="3430"/>
              </w:trPr>
              <w:tc>
                <w:tcPr>
                  <w:tcW w:w="4654" w:type="dxa"/>
                  <w:hideMark/>
                </w:tcPr>
                <w:p w14:paraId="5BE63C60" w14:textId="77777777" w:rsidR="00FE3BE4" w:rsidRPr="00C67AC2" w:rsidRDefault="00FE3BE4" w:rsidP="008D4E1E">
                  <w:pPr>
                    <w:pStyle w:val="Charts"/>
                    <w:spacing w:after="0"/>
                    <w:rPr>
                      <w:sz w:val="20"/>
                    </w:rPr>
                  </w:pPr>
                  <w:bookmarkStart w:id="159" w:name="_Toc178595127"/>
                  <w:r w:rsidRPr="007E4769">
                    <w:rPr>
                      <w:sz w:val="20"/>
                    </w:rPr>
                    <w:t>Գծապատկեր 1.9. ՀՆԱ աճ (%) և ճյուղերի նպաստումները ՀՆԱ աճին (տ.կ.)</w:t>
                  </w:r>
                  <w:bookmarkEnd w:id="159"/>
                </w:p>
                <w:p w14:paraId="2AA7069E" w14:textId="77777777" w:rsidR="00FE3BE4" w:rsidRDefault="00FE3BE4" w:rsidP="008D4E1E">
                  <w:pPr>
                    <w:pStyle w:val="a0"/>
                    <w:jc w:val="left"/>
                    <w:rPr>
                      <w:lang w:val="hy-AM"/>
                    </w:rPr>
                  </w:pPr>
                  <w:r w:rsidRPr="007E4769">
                    <w:rPr>
                      <w:noProof/>
                      <w:sz w:val="20"/>
                    </w:rPr>
                    <w:drawing>
                      <wp:anchor distT="0" distB="0" distL="114300" distR="114300" simplePos="0" relativeHeight="251901952" behindDoc="0" locked="0" layoutInCell="1" allowOverlap="1" wp14:anchorId="74318BD3" wp14:editId="2BCE0953">
                        <wp:simplePos x="0" y="0"/>
                        <wp:positionH relativeFrom="column">
                          <wp:posOffset>-59994</wp:posOffset>
                        </wp:positionH>
                        <wp:positionV relativeFrom="paragraph">
                          <wp:posOffset>281967</wp:posOffset>
                        </wp:positionV>
                        <wp:extent cx="2910840" cy="1752600"/>
                        <wp:effectExtent l="0" t="0" r="3810" b="0"/>
                        <wp:wrapTopAndBottom/>
                        <wp:docPr id="42" name="Chart 42">
                          <a:extLst xmlns:a="http://schemas.openxmlformats.org/drawingml/2006/main">
                            <a:ext uri="{FF2B5EF4-FFF2-40B4-BE49-F238E27FC236}">
                              <a16:creationId xmlns:a16="http://schemas.microsoft.com/office/drawing/2014/main" id="{B706C3B2-915B-4C24-A125-9A8A708CD22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14:sizeRelV relativeFrom="margin">
                          <wp14:pctHeight>0</wp14:pctHeight>
                        </wp14:sizeRelV>
                      </wp:anchor>
                    </w:drawing>
                  </w:r>
                </w:p>
                <w:p w14:paraId="64B5A9C6" w14:textId="77777777" w:rsidR="00FE3BE4" w:rsidRPr="007E4769" w:rsidRDefault="00FE3BE4" w:rsidP="008D4E1E">
                  <w:pPr>
                    <w:pStyle w:val="a0"/>
                    <w:jc w:val="left"/>
                    <w:rPr>
                      <w:lang w:val="hy-AM"/>
                    </w:rPr>
                  </w:pPr>
                  <w:r w:rsidRPr="007E4769">
                    <w:rPr>
                      <w:lang w:val="hy-AM"/>
                    </w:rPr>
                    <w:t xml:space="preserve">Աղբյուրը՝ ՀՀ ՎԿ, ՀՀ ՖՆ հաշվարկներ </w:t>
                  </w:r>
                </w:p>
              </w:tc>
              <w:tc>
                <w:tcPr>
                  <w:tcW w:w="4654" w:type="dxa"/>
                  <w:hideMark/>
                </w:tcPr>
                <w:p w14:paraId="283EEA9F" w14:textId="77777777" w:rsidR="00FE3BE4" w:rsidRPr="007E4769" w:rsidRDefault="00FE3BE4" w:rsidP="008D4E1E">
                  <w:pPr>
                    <w:pStyle w:val="Charts"/>
                    <w:rPr>
                      <w:sz w:val="20"/>
                    </w:rPr>
                  </w:pPr>
                  <w:bookmarkStart w:id="160" w:name="_Toc178595128"/>
                  <w:r w:rsidRPr="007E4769">
                    <w:rPr>
                      <w:noProof/>
                      <w:sz w:val="20"/>
                      <w:lang w:val="en-US"/>
                    </w:rPr>
                    <w:drawing>
                      <wp:anchor distT="0" distB="0" distL="114300" distR="114300" simplePos="0" relativeHeight="251900928" behindDoc="0" locked="0" layoutInCell="1" allowOverlap="1" wp14:anchorId="1A488FBE" wp14:editId="6CBF36A6">
                        <wp:simplePos x="0" y="0"/>
                        <wp:positionH relativeFrom="column">
                          <wp:posOffset>-33655</wp:posOffset>
                        </wp:positionH>
                        <wp:positionV relativeFrom="paragraph">
                          <wp:posOffset>858520</wp:posOffset>
                        </wp:positionV>
                        <wp:extent cx="2910840" cy="1752600"/>
                        <wp:effectExtent l="0" t="0" r="3810" b="0"/>
                        <wp:wrapTopAndBottom/>
                        <wp:docPr id="43" name="Chart 43">
                          <a:extLst xmlns:a="http://schemas.openxmlformats.org/drawingml/2006/main">
                            <a:ext uri="{FF2B5EF4-FFF2-40B4-BE49-F238E27FC236}">
                              <a16:creationId xmlns:a16="http://schemas.microsoft.com/office/drawing/2014/main" id="{B706C3B2-915B-4C24-A125-9A8A708CD22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14:sizeRelV relativeFrom="margin">
                          <wp14:pctHeight>0</wp14:pctHeight>
                        </wp14:sizeRelV>
                      </wp:anchor>
                    </w:drawing>
                  </w:r>
                  <w:r w:rsidRPr="007E4769">
                    <w:rPr>
                      <w:sz w:val="20"/>
                    </w:rPr>
                    <w:t>Գծապատկեր 1.10. ՀՆԱ աճ (%) և պահանջարկի</w:t>
                  </w:r>
                  <w:r>
                    <w:rPr>
                      <w:sz w:val="20"/>
                    </w:rPr>
                    <w:t xml:space="preserve"> </w:t>
                  </w:r>
                  <w:r w:rsidRPr="007E4769">
                    <w:rPr>
                      <w:sz w:val="20"/>
                    </w:rPr>
                    <w:t>բաղադրիչների նպաստումները ՀՆԱ աճին (տ.կ.)</w:t>
                  </w:r>
                  <w:bookmarkEnd w:id="160"/>
                </w:p>
                <w:p w14:paraId="10BB9980" w14:textId="77777777" w:rsidR="00FE3BE4" w:rsidRPr="007E4769" w:rsidRDefault="00FE3BE4" w:rsidP="008D4E1E">
                  <w:pPr>
                    <w:pStyle w:val="a0"/>
                    <w:jc w:val="left"/>
                    <w:rPr>
                      <w:lang w:val="hy-AM"/>
                    </w:rPr>
                  </w:pPr>
                  <w:r w:rsidRPr="007E4769">
                    <w:rPr>
                      <w:lang w:val="hy-AM"/>
                    </w:rPr>
                    <w:t>Աղբյուրը՝ ՀՀ ՎԿ, ՀՀ ՖՆ հաշվարկներ</w:t>
                  </w:r>
                </w:p>
              </w:tc>
            </w:tr>
          </w:tbl>
          <w:p w14:paraId="7C98190A" w14:textId="77777777" w:rsidR="00FE3BE4" w:rsidRPr="000267C5" w:rsidRDefault="00FE3BE4" w:rsidP="008D4E1E">
            <w:pPr>
              <w:pStyle w:val="a0"/>
              <w:rPr>
                <w:highlight w:val="yellow"/>
                <w:lang w:val="hy-AM"/>
              </w:rPr>
            </w:pPr>
          </w:p>
        </w:tc>
        <w:tc>
          <w:tcPr>
            <w:tcW w:w="222" w:type="dxa"/>
          </w:tcPr>
          <w:p w14:paraId="72058DCA" w14:textId="77777777" w:rsidR="00FE3BE4" w:rsidRPr="000267C5" w:rsidRDefault="00FE3BE4" w:rsidP="008D4E1E">
            <w:pPr>
              <w:pStyle w:val="a0"/>
              <w:rPr>
                <w:highlight w:val="yellow"/>
                <w:lang w:val="hy-AM"/>
              </w:rPr>
            </w:pPr>
          </w:p>
        </w:tc>
      </w:tr>
    </w:tbl>
    <w:p w14:paraId="36EA651F" w14:textId="77777777" w:rsidR="00FE3BE4" w:rsidRPr="003D49FC" w:rsidRDefault="00FE3BE4" w:rsidP="00FE3BE4">
      <w:pPr>
        <w:ind w:firstLine="567"/>
        <w:jc w:val="both"/>
        <w:rPr>
          <w:lang w:val="hy-AM"/>
        </w:rPr>
      </w:pPr>
      <w:r>
        <w:rPr>
          <w:lang w:val="hy-AM"/>
        </w:rPr>
        <w:t>Հ</w:t>
      </w:r>
      <w:r w:rsidRPr="00036089">
        <w:rPr>
          <w:lang w:val="hy-AM"/>
        </w:rPr>
        <w:t>ուլիսին</w:t>
      </w:r>
      <w:r>
        <w:rPr>
          <w:lang w:val="hy-AM"/>
        </w:rPr>
        <w:t>, չնայած նախորդ ամսվա նկատմամբ</w:t>
      </w:r>
      <w:r w:rsidRPr="00036089">
        <w:rPr>
          <w:lang w:val="hy-AM"/>
        </w:rPr>
        <w:t xml:space="preserve"> տնտեսական ակտիվության</w:t>
      </w:r>
      <w:r>
        <w:rPr>
          <w:lang w:val="hy-AM"/>
        </w:rPr>
        <w:t xml:space="preserve"> աճի</w:t>
      </w:r>
      <w:r w:rsidRPr="00036089">
        <w:rPr>
          <w:lang w:val="hy-AM"/>
        </w:rPr>
        <w:t xml:space="preserve"> փոքր-ինչ դանդաղմանը</w:t>
      </w:r>
      <w:r>
        <w:rPr>
          <w:lang w:val="hy-AM"/>
        </w:rPr>
        <w:t>,</w:t>
      </w:r>
      <w:r w:rsidRPr="00036089">
        <w:rPr>
          <w:lang w:val="hy-AM"/>
        </w:rPr>
        <w:t xml:space="preserve"> աճի բարձր տեմպերը պահպանվել են: Ծառայությունների և շինարարության ճյուղերի աճերը շարունակել են պայմանավորել տնտեսական ակտիվության աճը: Միաժամանակ արդյունաբերության աճի տեմպը վերականգնվել է՝ ևս դրական նպաստելով տնտեսական ակտիվությանը:</w:t>
      </w:r>
      <w:r w:rsidRPr="00563443">
        <w:rPr>
          <w:lang w:val="hy-AM"/>
        </w:rPr>
        <w:t xml:space="preserve"> </w:t>
      </w:r>
      <w:r w:rsidRPr="00C03648">
        <w:rPr>
          <w:lang w:val="hy-AM"/>
        </w:rPr>
        <w:t xml:space="preserve">Արդյունքում 2025 թվականի հունվար-հուլիսին արձանագրվել է տնտեսական ակտիվության </w:t>
      </w:r>
      <w:r>
        <w:rPr>
          <w:lang w:val="hy-AM"/>
        </w:rPr>
        <w:t xml:space="preserve">ցուցանիշի </w:t>
      </w:r>
      <w:r w:rsidRPr="00C03648">
        <w:rPr>
          <w:lang w:val="hy-AM"/>
        </w:rPr>
        <w:t>(ՏԱՑ) 7.1% աճ՝ պայմանավորված հիմնականում ծառայությունների</w:t>
      </w:r>
      <w:r>
        <w:rPr>
          <w:lang w:val="hy-AM"/>
        </w:rPr>
        <w:t xml:space="preserve"> և</w:t>
      </w:r>
      <w:r w:rsidRPr="00C03648">
        <w:rPr>
          <w:lang w:val="hy-AM"/>
        </w:rPr>
        <w:t xml:space="preserve"> շինարարության աճերով (համապատասխանաբար՝ 5.5, 1.5 տոկոսային կետ</w:t>
      </w:r>
      <w:r w:rsidRPr="002C0363">
        <w:rPr>
          <w:b/>
          <w:sz w:val="20"/>
          <w:szCs w:val="20"/>
          <w:vertAlign w:val="superscript"/>
        </w:rPr>
        <w:footnoteReference w:id="8"/>
      </w:r>
      <w:r w:rsidRPr="00C03648">
        <w:rPr>
          <w:lang w:val="hy-AM"/>
        </w:rPr>
        <w:t>)։ Առևտրի աճը ևս նպաստել է տնտեսական ակտիվությանը (</w:t>
      </w:r>
      <w:r w:rsidRPr="007C5F1B">
        <w:rPr>
          <w:lang w:val="hy-AM"/>
        </w:rPr>
        <w:t xml:space="preserve">նպաստումը՝ </w:t>
      </w:r>
      <w:r w:rsidRPr="00C03648">
        <w:rPr>
          <w:lang w:val="hy-AM"/>
        </w:rPr>
        <w:t>0.6 տոկոսային կետ):</w:t>
      </w:r>
      <w:r>
        <w:rPr>
          <w:lang w:val="hy-AM"/>
        </w:rPr>
        <w:t xml:space="preserve"> Չնայած արդյունաբերության ճյուղում հուլիս ամսին արձանագրվել է 4.2</w:t>
      </w:r>
      <w:r w:rsidRPr="00E62C63">
        <w:rPr>
          <w:lang w:val="hy-AM"/>
        </w:rPr>
        <w:t>%</w:t>
      </w:r>
      <w:r>
        <w:rPr>
          <w:lang w:val="hy-AM"/>
        </w:rPr>
        <w:t xml:space="preserve"> աճ՝ հունվար-հուլիսի արդյունքներով ճյուղը, կրելով </w:t>
      </w:r>
      <w:r w:rsidRPr="00EB6537">
        <w:rPr>
          <w:lang w:val="hy-AM"/>
        </w:rPr>
        <w:t xml:space="preserve">ոսկերչական արտադրատեսակների արտադրության </w:t>
      </w:r>
      <w:r>
        <w:rPr>
          <w:lang w:val="hy-AM"/>
        </w:rPr>
        <w:t>նվազման</w:t>
      </w:r>
      <w:r w:rsidRPr="00BB160E">
        <w:rPr>
          <w:lang w:val="hy-AM"/>
        </w:rPr>
        <w:t xml:space="preserve"> տնտեսական ազդեցությունները</w:t>
      </w:r>
      <w:r>
        <w:rPr>
          <w:lang w:val="hy-AM"/>
        </w:rPr>
        <w:t xml:space="preserve">, դեռևս նվազում է՝ բացասաբար ազդելով տնտեսական </w:t>
      </w:r>
      <w:r w:rsidRPr="00104C4E">
        <w:rPr>
          <w:lang w:val="hy-AM"/>
        </w:rPr>
        <w:t>ակտիվությանը</w:t>
      </w:r>
      <w:r>
        <w:rPr>
          <w:lang w:val="hy-AM"/>
        </w:rPr>
        <w:t>:</w:t>
      </w:r>
    </w:p>
    <w:tbl>
      <w:tblPr>
        <w:tblW w:w="9760" w:type="dxa"/>
        <w:tblLook w:val="04A0" w:firstRow="1" w:lastRow="0" w:firstColumn="1" w:lastColumn="0" w:noHBand="0" w:noVBand="1"/>
      </w:tblPr>
      <w:tblGrid>
        <w:gridCol w:w="9888"/>
        <w:gridCol w:w="222"/>
      </w:tblGrid>
      <w:tr w:rsidR="00FE3BE4" w:rsidRPr="006B1035" w14:paraId="128FD427" w14:textId="77777777" w:rsidTr="008D4E1E">
        <w:trPr>
          <w:trHeight w:val="4129"/>
        </w:trPr>
        <w:tc>
          <w:tcPr>
            <w:tcW w:w="9524" w:type="dxa"/>
          </w:tcPr>
          <w:tbl>
            <w:tblPr>
              <w:tblW w:w="0" w:type="auto"/>
              <w:tblLook w:val="04A0" w:firstRow="1" w:lastRow="0" w:firstColumn="1" w:lastColumn="0" w:noHBand="0" w:noVBand="1"/>
            </w:tblPr>
            <w:tblGrid>
              <w:gridCol w:w="4836"/>
              <w:gridCol w:w="4836"/>
            </w:tblGrid>
            <w:tr w:rsidR="00FE3BE4" w:rsidRPr="005F1D14" w14:paraId="520CF153" w14:textId="77777777" w:rsidTr="008D4E1E">
              <w:trPr>
                <w:trHeight w:val="4129"/>
              </w:trPr>
              <w:tc>
                <w:tcPr>
                  <w:tcW w:w="4836" w:type="dxa"/>
                  <w:hideMark/>
                </w:tcPr>
                <w:p w14:paraId="59362A7B" w14:textId="77777777" w:rsidR="00FE3BE4" w:rsidRPr="00C81F8D" w:rsidRDefault="00FE3BE4" w:rsidP="008D4E1E">
                  <w:pPr>
                    <w:pStyle w:val="Charts"/>
                    <w:spacing w:before="0"/>
                    <w:rPr>
                      <w:sz w:val="20"/>
                    </w:rPr>
                  </w:pPr>
                  <w:bookmarkStart w:id="161" w:name="_Toc178595129"/>
                  <w:r w:rsidRPr="00744548">
                    <w:rPr>
                      <w:noProof/>
                      <w:lang w:val="en-US"/>
                    </w:rPr>
                    <w:drawing>
                      <wp:anchor distT="0" distB="0" distL="114300" distR="114300" simplePos="0" relativeHeight="251897856" behindDoc="0" locked="0" layoutInCell="1" allowOverlap="1" wp14:anchorId="7EA07B35" wp14:editId="6DA398A9">
                        <wp:simplePos x="0" y="0"/>
                        <wp:positionH relativeFrom="column">
                          <wp:posOffset>-64135</wp:posOffset>
                        </wp:positionH>
                        <wp:positionV relativeFrom="paragraph">
                          <wp:posOffset>715010</wp:posOffset>
                        </wp:positionV>
                        <wp:extent cx="2926080" cy="1645920"/>
                        <wp:effectExtent l="0" t="0" r="7620" b="11430"/>
                        <wp:wrapTopAndBottom/>
                        <wp:docPr id="44" name="Chart 44"/>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14:sizeRelH relativeFrom="margin">
                          <wp14:pctWidth>0</wp14:pctWidth>
                        </wp14:sizeRelH>
                      </wp:anchor>
                    </w:drawing>
                  </w:r>
                  <w:r w:rsidRPr="00744548">
                    <w:rPr>
                      <w:sz w:val="20"/>
                    </w:rPr>
                    <w:t>Գծապատկեր 1.11. ՏԱՑ</w:t>
                  </w:r>
                  <w:r>
                    <w:rPr>
                      <w:sz w:val="20"/>
                    </w:rPr>
                    <w:t>-ի</w:t>
                  </w:r>
                  <w:r w:rsidRPr="00744548">
                    <w:rPr>
                      <w:sz w:val="20"/>
                    </w:rPr>
                    <w:t xml:space="preserve"> և տնտեսության ճյուղերի իրական աճերը նախորդ տարվա նույն ժամանակահատվածի նկատմամբ (կուտակ</w:t>
                  </w:r>
                  <w:r>
                    <w:rPr>
                      <w:sz w:val="20"/>
                    </w:rPr>
                    <w:t>ային</w:t>
                  </w:r>
                  <w:r w:rsidRPr="00744548">
                    <w:rPr>
                      <w:sz w:val="20"/>
                    </w:rPr>
                    <w:t>, %)</w:t>
                  </w:r>
                  <w:bookmarkEnd w:id="161"/>
                </w:p>
                <w:p w14:paraId="0E0890D2" w14:textId="77777777" w:rsidR="00FE3BE4" w:rsidRPr="005F1D14" w:rsidRDefault="00FE3BE4" w:rsidP="008D4E1E">
                  <w:pPr>
                    <w:pStyle w:val="a0"/>
                    <w:jc w:val="left"/>
                    <w:rPr>
                      <w:highlight w:val="yellow"/>
                    </w:rPr>
                  </w:pPr>
                  <w:r w:rsidRPr="00744548">
                    <w:t>Աղբյուրը՝ ՀՀ ՎԿ</w:t>
                  </w:r>
                </w:p>
              </w:tc>
              <w:tc>
                <w:tcPr>
                  <w:tcW w:w="4321" w:type="dxa"/>
                  <w:hideMark/>
                </w:tcPr>
                <w:p w14:paraId="79A87D7C" w14:textId="77777777" w:rsidR="00FE3BE4" w:rsidRPr="00744548" w:rsidRDefault="00FE3BE4" w:rsidP="008D4E1E">
                  <w:pPr>
                    <w:pStyle w:val="Charts"/>
                    <w:spacing w:before="0"/>
                    <w:rPr>
                      <w:sz w:val="20"/>
                    </w:rPr>
                  </w:pPr>
                  <w:bookmarkStart w:id="162" w:name="_Toc178595130"/>
                  <w:r w:rsidRPr="00744548">
                    <w:rPr>
                      <w:noProof/>
                      <w:sz w:val="20"/>
                      <w:lang w:val="en-US"/>
                    </w:rPr>
                    <w:drawing>
                      <wp:anchor distT="0" distB="0" distL="114300" distR="114300" simplePos="0" relativeHeight="251896832" behindDoc="1" locked="0" layoutInCell="1" allowOverlap="1" wp14:anchorId="382487B4" wp14:editId="6C76C50D">
                        <wp:simplePos x="0" y="0"/>
                        <wp:positionH relativeFrom="column">
                          <wp:posOffset>63500</wp:posOffset>
                        </wp:positionH>
                        <wp:positionV relativeFrom="paragraph">
                          <wp:posOffset>710565</wp:posOffset>
                        </wp:positionV>
                        <wp:extent cx="2926080" cy="1645920"/>
                        <wp:effectExtent l="0" t="0" r="7620" b="11430"/>
                        <wp:wrapTopAndBottom/>
                        <wp:docPr id="45" name="Chart 45"/>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14:sizeRelH relativeFrom="page">
                          <wp14:pctWidth>0</wp14:pctWidth>
                        </wp14:sizeRelH>
                        <wp14:sizeRelV relativeFrom="margin">
                          <wp14:pctHeight>0</wp14:pctHeight>
                        </wp14:sizeRelV>
                      </wp:anchor>
                    </w:drawing>
                  </w:r>
                  <w:r w:rsidRPr="00744548">
                    <w:rPr>
                      <w:sz w:val="20"/>
                    </w:rPr>
                    <w:t>Գծապատկեր 1.12. ՏԱՑ և տնտեսության ճյուղերի իրական աճերը նախորդ տարվա նույն ամսվա նկատմամբ (ամսական, %)</w:t>
                  </w:r>
                  <w:bookmarkEnd w:id="162"/>
                </w:p>
                <w:p w14:paraId="4FE2FCE6" w14:textId="77777777" w:rsidR="00FE3BE4" w:rsidRPr="005F1D14" w:rsidRDefault="00FE3BE4" w:rsidP="008D4E1E">
                  <w:pPr>
                    <w:pStyle w:val="a0"/>
                    <w:jc w:val="left"/>
                    <w:rPr>
                      <w:highlight w:val="yellow"/>
                    </w:rPr>
                  </w:pPr>
                  <w:r w:rsidRPr="00744548">
                    <w:t xml:space="preserve">Աղբյուրը՝ ՀՀ ՎԿ </w:t>
                  </w:r>
                </w:p>
              </w:tc>
            </w:tr>
            <w:tr w:rsidR="00FE3BE4" w:rsidRPr="00744548" w14:paraId="71B2CFA4" w14:textId="77777777" w:rsidTr="008D4E1E">
              <w:trPr>
                <w:trHeight w:val="3672"/>
              </w:trPr>
              <w:tc>
                <w:tcPr>
                  <w:tcW w:w="4836" w:type="dxa"/>
                  <w:hideMark/>
                </w:tcPr>
                <w:p w14:paraId="5592DAF6" w14:textId="77777777" w:rsidR="00FE3BE4" w:rsidRPr="00744548" w:rsidRDefault="00FE3BE4" w:rsidP="008D4E1E">
                  <w:pPr>
                    <w:rPr>
                      <w:b/>
                      <w:sz w:val="20"/>
                      <w:szCs w:val="20"/>
                    </w:rPr>
                  </w:pPr>
                  <w:r w:rsidRPr="00744548">
                    <w:rPr>
                      <w:b/>
                      <w:noProof/>
                      <w:sz w:val="20"/>
                      <w:szCs w:val="20"/>
                    </w:rPr>
                    <w:drawing>
                      <wp:anchor distT="0" distB="0" distL="114300" distR="114300" simplePos="0" relativeHeight="251898880" behindDoc="0" locked="0" layoutInCell="1" allowOverlap="1" wp14:anchorId="23727A90" wp14:editId="79D49D15">
                        <wp:simplePos x="0" y="0"/>
                        <wp:positionH relativeFrom="column">
                          <wp:posOffset>0</wp:posOffset>
                        </wp:positionH>
                        <wp:positionV relativeFrom="paragraph">
                          <wp:posOffset>742950</wp:posOffset>
                        </wp:positionV>
                        <wp:extent cx="2926080" cy="1645920"/>
                        <wp:effectExtent l="0" t="0" r="7620" b="11430"/>
                        <wp:wrapTopAndBottom/>
                        <wp:docPr id="48" name="Chart 48"/>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14:sizeRelH relativeFrom="margin">
                          <wp14:pctWidth>0</wp14:pctWidth>
                        </wp14:sizeRelH>
                        <wp14:sizeRelV relativeFrom="margin">
                          <wp14:pctHeight>0</wp14:pctHeight>
                        </wp14:sizeRelV>
                      </wp:anchor>
                    </w:drawing>
                  </w:r>
                  <w:r w:rsidRPr="00744548">
                    <w:rPr>
                      <w:b/>
                      <w:sz w:val="20"/>
                      <w:szCs w:val="20"/>
                    </w:rPr>
                    <w:t>Գծապատկեր 1.13. Տնտեսության ճյուղերի նպաստումները ՏԱՑ-ին (կուտակային, տ.կ.)</w:t>
                  </w:r>
                  <w:r w:rsidRPr="00744548">
                    <w:rPr>
                      <w:b/>
                      <w:sz w:val="20"/>
                      <w:szCs w:val="20"/>
                      <w:vertAlign w:val="superscript"/>
                    </w:rPr>
                    <w:footnoteReference w:id="9"/>
                  </w:r>
                  <w:r w:rsidRPr="00744548">
                    <w:rPr>
                      <w:b/>
                      <w:sz w:val="20"/>
                      <w:szCs w:val="20"/>
                    </w:rPr>
                    <w:t xml:space="preserve"> </w:t>
                  </w:r>
                </w:p>
                <w:p w14:paraId="7DE6F916" w14:textId="77777777" w:rsidR="00FE3BE4" w:rsidRPr="005F1D14" w:rsidRDefault="00FE3BE4" w:rsidP="008D4E1E">
                  <w:pPr>
                    <w:jc w:val="both"/>
                    <w:rPr>
                      <w:b/>
                      <w:sz w:val="20"/>
                      <w:szCs w:val="20"/>
                      <w:highlight w:val="yellow"/>
                    </w:rPr>
                  </w:pPr>
                </w:p>
                <w:p w14:paraId="20EECC83" w14:textId="77777777" w:rsidR="00FE3BE4" w:rsidRPr="005F1D14" w:rsidRDefault="00FE3BE4" w:rsidP="008D4E1E">
                  <w:pPr>
                    <w:pStyle w:val="a0"/>
                    <w:jc w:val="left"/>
                    <w:rPr>
                      <w:highlight w:val="yellow"/>
                    </w:rPr>
                  </w:pPr>
                  <w:r w:rsidRPr="00744548">
                    <w:t xml:space="preserve">Աղբյուրը՝ ՀՀ ՎԿ, ՀՀ ՖՆ հաշվարկներ </w:t>
                  </w:r>
                </w:p>
              </w:tc>
              <w:tc>
                <w:tcPr>
                  <w:tcW w:w="4321" w:type="dxa"/>
                  <w:hideMark/>
                </w:tcPr>
                <w:p w14:paraId="04287976" w14:textId="77777777" w:rsidR="00FE3BE4" w:rsidRPr="00744548" w:rsidRDefault="00FE3BE4" w:rsidP="008D4E1E">
                  <w:pPr>
                    <w:rPr>
                      <w:b/>
                      <w:sz w:val="20"/>
                      <w:szCs w:val="20"/>
                    </w:rPr>
                  </w:pPr>
                  <w:r w:rsidRPr="00744548">
                    <w:rPr>
                      <w:b/>
                      <w:noProof/>
                      <w:sz w:val="20"/>
                      <w:szCs w:val="20"/>
                    </w:rPr>
                    <w:drawing>
                      <wp:anchor distT="0" distB="0" distL="114300" distR="114300" simplePos="0" relativeHeight="251899904" behindDoc="0" locked="0" layoutInCell="1" allowOverlap="1" wp14:anchorId="6C9B265D" wp14:editId="171BA1D1">
                        <wp:simplePos x="0" y="0"/>
                        <wp:positionH relativeFrom="column">
                          <wp:posOffset>-2540</wp:posOffset>
                        </wp:positionH>
                        <wp:positionV relativeFrom="paragraph">
                          <wp:posOffset>736067</wp:posOffset>
                        </wp:positionV>
                        <wp:extent cx="2926080" cy="1645920"/>
                        <wp:effectExtent l="0" t="0" r="7620" b="11430"/>
                        <wp:wrapTopAndBottom/>
                        <wp:docPr id="60" name="Chart 60"/>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anchor>
                    </w:drawing>
                  </w:r>
                  <w:r w:rsidRPr="00744548">
                    <w:rPr>
                      <w:b/>
                      <w:sz w:val="20"/>
                      <w:szCs w:val="20"/>
                    </w:rPr>
                    <w:t>Գծապատկեր 1.14. Տնտեսության ճյուղերի նպաստումները ՏԱՑ-ին նախորդ տարվա նույն ամսվա նկատմամբ (ամսական, տ.կ.)</w:t>
                  </w:r>
                  <w:r w:rsidRPr="00744548">
                    <w:rPr>
                      <w:b/>
                      <w:sz w:val="20"/>
                      <w:szCs w:val="20"/>
                      <w:vertAlign w:val="superscript"/>
                    </w:rPr>
                    <w:t xml:space="preserve"> </w:t>
                  </w:r>
                  <w:r w:rsidRPr="00744548">
                    <w:rPr>
                      <w:b/>
                      <w:sz w:val="20"/>
                      <w:szCs w:val="20"/>
                      <w:vertAlign w:val="superscript"/>
                    </w:rPr>
                    <w:footnoteReference w:id="10"/>
                  </w:r>
                </w:p>
                <w:p w14:paraId="1FC85C5E" w14:textId="77777777" w:rsidR="00FE3BE4" w:rsidRDefault="00FE3BE4" w:rsidP="008D4E1E">
                  <w:pPr>
                    <w:pStyle w:val="a0"/>
                    <w:jc w:val="left"/>
                  </w:pPr>
                  <w:r w:rsidRPr="00744548">
                    <w:t>Աղբյուրը՝ ՀՀ ՎԿ, ՀՀ ՖՆ հաշվարկներ</w:t>
                  </w:r>
                </w:p>
                <w:p w14:paraId="648C33F9" w14:textId="77777777" w:rsidR="00FE3BE4" w:rsidRPr="00744548" w:rsidRDefault="00FE3BE4" w:rsidP="008D4E1E">
                  <w:pPr>
                    <w:pStyle w:val="a0"/>
                    <w:ind w:right="-403"/>
                    <w:jc w:val="left"/>
                  </w:pPr>
                </w:p>
              </w:tc>
            </w:tr>
          </w:tbl>
          <w:p w14:paraId="73D4ADE7" w14:textId="77777777" w:rsidR="00FE3BE4" w:rsidRPr="000267C5" w:rsidRDefault="00FE3BE4" w:rsidP="008D4E1E">
            <w:pPr>
              <w:pStyle w:val="a0"/>
              <w:rPr>
                <w:highlight w:val="yellow"/>
              </w:rPr>
            </w:pPr>
          </w:p>
        </w:tc>
        <w:tc>
          <w:tcPr>
            <w:tcW w:w="236" w:type="dxa"/>
          </w:tcPr>
          <w:p w14:paraId="41206357" w14:textId="77777777" w:rsidR="00FE3BE4" w:rsidRPr="000267C5" w:rsidRDefault="00FE3BE4" w:rsidP="008D4E1E">
            <w:pPr>
              <w:pStyle w:val="a0"/>
              <w:rPr>
                <w:highlight w:val="yellow"/>
              </w:rPr>
            </w:pPr>
          </w:p>
        </w:tc>
      </w:tr>
      <w:tr w:rsidR="00FE3BE4" w:rsidRPr="000267C5" w14:paraId="64913ECB" w14:textId="77777777" w:rsidTr="008D4E1E">
        <w:trPr>
          <w:trHeight w:val="80"/>
        </w:trPr>
        <w:tc>
          <w:tcPr>
            <w:tcW w:w="9524" w:type="dxa"/>
          </w:tcPr>
          <w:p w14:paraId="32CAA3F3" w14:textId="77777777" w:rsidR="00FE3BE4" w:rsidRPr="000267C5" w:rsidRDefault="00FE3BE4" w:rsidP="008D4E1E">
            <w:pPr>
              <w:pStyle w:val="a0"/>
              <w:ind w:right="-124"/>
              <w:rPr>
                <w:highlight w:val="yellow"/>
              </w:rPr>
            </w:pPr>
          </w:p>
        </w:tc>
        <w:tc>
          <w:tcPr>
            <w:tcW w:w="236" w:type="dxa"/>
          </w:tcPr>
          <w:p w14:paraId="23007B91" w14:textId="77777777" w:rsidR="00FE3BE4" w:rsidRPr="000267C5" w:rsidRDefault="00FE3BE4" w:rsidP="008D4E1E">
            <w:pPr>
              <w:pStyle w:val="a0"/>
              <w:rPr>
                <w:highlight w:val="yellow"/>
              </w:rPr>
            </w:pPr>
          </w:p>
        </w:tc>
      </w:tr>
    </w:tbl>
    <w:p w14:paraId="3322D8C6" w14:textId="77777777" w:rsidR="00FE3BE4" w:rsidRPr="002B00A3" w:rsidRDefault="00FE3BE4" w:rsidP="00FE3BE4">
      <w:pPr>
        <w:pStyle w:val="BodyText1"/>
        <w:ind w:left="0"/>
        <w:rPr>
          <w:lang w:val="hy-AM" w:eastAsia="ru-RU"/>
        </w:rPr>
      </w:pPr>
      <w:r w:rsidRPr="002B00A3">
        <w:rPr>
          <w:rStyle w:val="BodytextChar"/>
          <w:b/>
          <w:sz w:val="22"/>
          <w:szCs w:val="22"/>
        </w:rPr>
        <w:t>Ներքին պահանջարկի աճ</w:t>
      </w:r>
      <w:r>
        <w:rPr>
          <w:rStyle w:val="BodytextChar"/>
          <w:b/>
          <w:sz w:val="22"/>
          <w:szCs w:val="22"/>
          <w:lang w:val="hy-AM"/>
        </w:rPr>
        <w:t>ի տեմպերը</w:t>
      </w:r>
      <w:r w:rsidRPr="002B00A3">
        <w:rPr>
          <w:rStyle w:val="BodytextChar"/>
          <w:b/>
          <w:sz w:val="22"/>
          <w:szCs w:val="22"/>
        </w:rPr>
        <w:t xml:space="preserve"> շարունակվել </w:t>
      </w:r>
      <w:r>
        <w:rPr>
          <w:rStyle w:val="BodytextChar"/>
          <w:b/>
          <w:sz w:val="22"/>
          <w:szCs w:val="22"/>
          <w:lang w:val="hy-AM"/>
        </w:rPr>
        <w:t>են</w:t>
      </w:r>
      <w:r w:rsidRPr="002B00A3">
        <w:rPr>
          <w:rStyle w:val="BodytextChar"/>
          <w:b/>
          <w:sz w:val="22"/>
          <w:szCs w:val="22"/>
        </w:rPr>
        <w:t xml:space="preserve"> նաև 2025 թվականի առաջին կիսամյակում։</w:t>
      </w:r>
      <w:r w:rsidRPr="002B00A3">
        <w:rPr>
          <w:rStyle w:val="BodytextChar"/>
          <w:sz w:val="22"/>
          <w:szCs w:val="22"/>
        </w:rPr>
        <w:t xml:space="preserve"> Տնտեսական աճը պայմանավորված է եղել հիմնականում </w:t>
      </w:r>
      <w:r>
        <w:rPr>
          <w:rStyle w:val="BodytextChar"/>
          <w:sz w:val="22"/>
          <w:szCs w:val="22"/>
          <w:lang w:val="hy-AM"/>
        </w:rPr>
        <w:t xml:space="preserve">ներքին </w:t>
      </w:r>
      <w:r w:rsidRPr="002B00A3">
        <w:rPr>
          <w:rStyle w:val="BodytextChar"/>
          <w:sz w:val="22"/>
          <w:szCs w:val="22"/>
        </w:rPr>
        <w:t xml:space="preserve">մասնավոր </w:t>
      </w:r>
      <w:r>
        <w:rPr>
          <w:rStyle w:val="BodytextChar"/>
          <w:sz w:val="22"/>
          <w:szCs w:val="22"/>
          <w:lang w:val="hy-AM"/>
        </w:rPr>
        <w:t xml:space="preserve">պահանջարկի </w:t>
      </w:r>
      <w:r w:rsidRPr="009C3CB2">
        <w:rPr>
          <w:rStyle w:val="BodytextChar"/>
          <w:sz w:val="22"/>
          <w:szCs w:val="22"/>
        </w:rPr>
        <w:t>(</w:t>
      </w:r>
      <w:r w:rsidRPr="002B00A3">
        <w:rPr>
          <w:rStyle w:val="BodytextChar"/>
          <w:sz w:val="22"/>
          <w:szCs w:val="22"/>
        </w:rPr>
        <w:t>սպառման և ներդրումների</w:t>
      </w:r>
      <w:r w:rsidRPr="009C3CB2">
        <w:rPr>
          <w:rStyle w:val="BodytextChar"/>
          <w:sz w:val="22"/>
          <w:szCs w:val="22"/>
        </w:rPr>
        <w:t>)</w:t>
      </w:r>
      <w:r w:rsidRPr="002B00A3">
        <w:rPr>
          <w:rStyle w:val="BodytextChar"/>
          <w:sz w:val="22"/>
          <w:szCs w:val="22"/>
        </w:rPr>
        <w:t xml:space="preserve"> աճով։ Պետական սպառումը </w:t>
      </w:r>
      <w:r>
        <w:rPr>
          <w:rStyle w:val="BodytextChar"/>
          <w:sz w:val="22"/>
          <w:szCs w:val="22"/>
          <w:lang w:val="hy-AM"/>
        </w:rPr>
        <w:t xml:space="preserve">և ներդրումները նույնպես դրական են նպաստել </w:t>
      </w:r>
      <w:r w:rsidRPr="002B00A3">
        <w:rPr>
          <w:rStyle w:val="BodytextChar"/>
          <w:sz w:val="22"/>
          <w:szCs w:val="22"/>
        </w:rPr>
        <w:t xml:space="preserve">ներքին պահանջարկի աճին։ Նույն ժամանակահատվածում գրանցվել են արտահանման և ներմուծման </w:t>
      </w:r>
      <w:r w:rsidRPr="002B00A3">
        <w:rPr>
          <w:rStyle w:val="BodytextChar"/>
          <w:sz w:val="22"/>
          <w:szCs w:val="22"/>
          <w:lang w:val="hy-AM"/>
        </w:rPr>
        <w:t>նվազման</w:t>
      </w:r>
      <w:r w:rsidRPr="002B00A3">
        <w:rPr>
          <w:rStyle w:val="BodytextChar"/>
          <w:sz w:val="22"/>
          <w:szCs w:val="22"/>
        </w:rPr>
        <w:t xml:space="preserve"> բարձր տեմպեր</w:t>
      </w:r>
      <w:r w:rsidRPr="002B00A3">
        <w:rPr>
          <w:rStyle w:val="BodytextChar"/>
          <w:sz w:val="22"/>
          <w:szCs w:val="22"/>
          <w:lang w:val="hy-AM"/>
        </w:rPr>
        <w:t xml:space="preserve">՝ պայմանավորված վերամշակման և վերաարտահանման նպատակով ներմուծված թանկարժեք մետաղների ներմուծման գործոնի չեզոքացմամբ: </w:t>
      </w:r>
      <w:r w:rsidRPr="002B00A3">
        <w:rPr>
          <w:rStyle w:val="BodytextChar"/>
          <w:sz w:val="22"/>
          <w:szCs w:val="22"/>
        </w:rPr>
        <w:t xml:space="preserve">Ընդ որում՝ </w:t>
      </w:r>
      <w:r w:rsidRPr="002B00A3">
        <w:t xml:space="preserve">արտահանման </w:t>
      </w:r>
      <w:r w:rsidRPr="002B00A3">
        <w:rPr>
          <w:lang w:val="hy-AM"/>
        </w:rPr>
        <w:t xml:space="preserve">նվազումը առաջանցիկ է եղել ներմուծման նվազման </w:t>
      </w:r>
      <w:r w:rsidRPr="002B00A3">
        <w:t xml:space="preserve">նկատմամբ, ինչի արդյունքում զուտ արտահանումն </w:t>
      </w:r>
      <w:r w:rsidRPr="002B00A3">
        <w:rPr>
          <w:lang w:val="hy-AM"/>
        </w:rPr>
        <w:t xml:space="preserve">էական </w:t>
      </w:r>
      <w:r w:rsidRPr="002B00A3">
        <w:t xml:space="preserve">բացասական նպաստում </w:t>
      </w:r>
      <w:r w:rsidRPr="002B00A3">
        <w:rPr>
          <w:lang w:val="hy-AM"/>
        </w:rPr>
        <w:t xml:space="preserve">է ունեցել </w:t>
      </w:r>
      <w:r w:rsidRPr="002B00A3">
        <w:t>ՀՆԱ-ի իրական աճին:</w:t>
      </w:r>
    </w:p>
    <w:p w14:paraId="5AE2F467" w14:textId="77777777" w:rsidR="00FE3BE4" w:rsidRPr="000267C5" w:rsidRDefault="00FE3BE4" w:rsidP="00FE3BE4">
      <w:pPr>
        <w:pStyle w:val="BodyText1"/>
        <w:ind w:left="0"/>
        <w:rPr>
          <w:highlight w:val="yellow"/>
          <w:lang w:val="hy-AM"/>
        </w:rPr>
      </w:pPr>
      <w:r w:rsidRPr="009C3CB2">
        <w:rPr>
          <w:lang w:val="hy-AM"/>
        </w:rPr>
        <w:t>Տնտեսության ներքին պահանջարկի աճի միտումները շարունակվել են նաև հուլիսին՝ պայմանավորված տնօրինվող եկամտի, հիփոթեքային և սպառողական վարկավորման աճերով</w:t>
      </w:r>
      <w:r w:rsidRPr="002A3E9F">
        <w:rPr>
          <w:lang w:val="hy-AM"/>
        </w:rPr>
        <w:t xml:space="preserve">: </w:t>
      </w:r>
      <w:r w:rsidRPr="009C3CB2">
        <w:rPr>
          <w:lang w:val="hy-AM"/>
        </w:rPr>
        <w:t>Սպառման</w:t>
      </w:r>
      <w:r>
        <w:rPr>
          <w:lang w:val="hy-AM"/>
        </w:rPr>
        <w:t xml:space="preserve"> և ներդրումների</w:t>
      </w:r>
      <w:r w:rsidRPr="009C3CB2">
        <w:rPr>
          <w:lang w:val="hy-AM"/>
        </w:rPr>
        <w:t xml:space="preserve"> աճ</w:t>
      </w:r>
      <w:r>
        <w:rPr>
          <w:lang w:val="hy-AM"/>
        </w:rPr>
        <w:t>եր</w:t>
      </w:r>
      <w:r w:rsidRPr="009C3CB2">
        <w:rPr>
          <w:lang w:val="hy-AM"/>
        </w:rPr>
        <w:t>ի մասին են վկայում առևտրի</w:t>
      </w:r>
      <w:r>
        <w:rPr>
          <w:lang w:val="hy-AM"/>
        </w:rPr>
        <w:t>,</w:t>
      </w:r>
      <w:r w:rsidRPr="009C3CB2">
        <w:rPr>
          <w:lang w:val="hy-AM"/>
        </w:rPr>
        <w:t xml:space="preserve"> ծառայությունների</w:t>
      </w:r>
      <w:r>
        <w:rPr>
          <w:lang w:val="hy-AM"/>
        </w:rPr>
        <w:t xml:space="preserve"> և շինարարության թողարկումների շարունակվող</w:t>
      </w:r>
      <w:r w:rsidRPr="009C3CB2">
        <w:rPr>
          <w:lang w:val="hy-AM"/>
        </w:rPr>
        <w:t xml:space="preserve"> աճ</w:t>
      </w:r>
      <w:r>
        <w:rPr>
          <w:lang w:val="hy-AM"/>
        </w:rPr>
        <w:t>եր</w:t>
      </w:r>
      <w:r w:rsidRPr="009C3CB2">
        <w:rPr>
          <w:lang w:val="hy-AM"/>
        </w:rPr>
        <w:t>ը:</w:t>
      </w:r>
    </w:p>
    <w:p w14:paraId="4FC6F067" w14:textId="77777777" w:rsidR="00FE3BE4" w:rsidRPr="002A3E9F" w:rsidRDefault="00FE3BE4" w:rsidP="00FE3BE4">
      <w:pPr>
        <w:pStyle w:val="TOC4"/>
        <w:pBdr>
          <w:bottom w:val="single" w:sz="8" w:space="1" w:color="E1E1E3" w:themeColor="accent3" w:themeTint="33"/>
        </w:pBdr>
        <w:ind w:left="-1080" w:firstLine="1080"/>
        <w:rPr>
          <w:lang w:val="hy-AM"/>
        </w:rPr>
      </w:pPr>
      <w:r w:rsidRPr="002A3E9F">
        <w:rPr>
          <w:lang w:val="hy-AM"/>
        </w:rPr>
        <w:t>Կանխատեսում</w:t>
      </w:r>
    </w:p>
    <w:p w14:paraId="1E018938" w14:textId="77777777" w:rsidR="00FE3BE4" w:rsidRPr="00F80C6B" w:rsidRDefault="00FE3BE4" w:rsidP="00FE3BE4">
      <w:pPr>
        <w:pStyle w:val="BodyText1"/>
        <w:ind w:left="0"/>
        <w:rPr>
          <w:lang w:val="hy-AM"/>
        </w:rPr>
      </w:pPr>
      <w:r w:rsidRPr="00F80C6B">
        <w:rPr>
          <w:b/>
          <w:lang w:val="hy-AM"/>
        </w:rPr>
        <w:t>Ընթացիկ տնտեսական զարգացումների պայմաններում 2025 թվականի համար սպասվում է շուրջ 5.2% տնտեսական աճ: Պետական կապիտալ ծախսերի դերի պահպանման, Սոթքի հանքավայրի անխափան գործունեության, ինչպես նաև Ամուլսարի շահագործման և կառուցվածքային բարեփոխումների (առավել մանրամասն տե՛ս 1</w:t>
      </w:r>
      <w:r w:rsidRPr="00F80C6B">
        <w:rPr>
          <w:rFonts w:ascii="Cambria Math" w:hAnsi="Cambria Math" w:cs="Cambria Math"/>
          <w:b/>
          <w:lang w:val="hy-AM"/>
        </w:rPr>
        <w:t>․</w:t>
      </w:r>
      <w:r w:rsidRPr="00F80C6B">
        <w:rPr>
          <w:b/>
          <w:lang w:val="hy-AM"/>
        </w:rPr>
        <w:t>4 բաժնում) հնարավոր ազդեցությունների արդյունքում 2026 և 2027 թվականների համար կանխատեսվում են շուրջ 5.4% տնտեսական աճեր, իսկ 2028 թվականի համար՝ 5.3</w:t>
      </w:r>
      <w:r w:rsidRPr="006934A1">
        <w:rPr>
          <w:b/>
          <w:lang w:val="hy-AM"/>
        </w:rPr>
        <w:t>%</w:t>
      </w:r>
      <w:r w:rsidRPr="00F80C6B">
        <w:rPr>
          <w:b/>
          <w:lang w:val="hy-AM"/>
        </w:rPr>
        <w:t xml:space="preserve"> տնտեսական աճ: 2025 և 2026 թվականներին, ինչպես նաև միջնաժամկետում տնտեսական </w:t>
      </w:r>
      <w:r>
        <w:rPr>
          <w:b/>
          <w:lang w:val="hy-AM"/>
        </w:rPr>
        <w:t>աճին ամենամեծ նպաստումը կունենա</w:t>
      </w:r>
      <w:r w:rsidRPr="00F80C6B">
        <w:rPr>
          <w:b/>
          <w:lang w:val="hy-AM"/>
        </w:rPr>
        <w:t xml:space="preserve"> </w:t>
      </w:r>
      <w:r>
        <w:rPr>
          <w:b/>
          <w:lang w:val="hy-AM"/>
        </w:rPr>
        <w:t>ծառայություններ ոլորտի աճը</w:t>
      </w:r>
      <w:r w:rsidRPr="00F80C6B">
        <w:rPr>
          <w:b/>
          <w:lang w:val="hy-AM"/>
        </w:rPr>
        <w:t xml:space="preserve">: </w:t>
      </w:r>
      <w:r w:rsidRPr="00F80C6B">
        <w:rPr>
          <w:lang w:val="hy-AM"/>
        </w:rPr>
        <w:t>Տնտեսական աճին իրենց նպաստումը կունենան արդյունաբերության և շինարարության ճյուղերի աճերը, ինչը համահունչ է կառավարության նպատակադրած արտահանման և ներդրումային միջավայրի բարելավմանն ուղղված քաղաքականություններին: Գյուղատնտեսությունը նույնպես դրական ազդեցություն կունենա տնտեսական աճի վրա: Ամբողջական պահանջարկը նույնպես կաճի՝ հիմնականում պայմանավորված ներքին սպառողական և ներդրումային պահանջարկի աճով:</w:t>
      </w:r>
    </w:p>
    <w:p w14:paraId="3BF9EF1A" w14:textId="77777777" w:rsidR="00FE3BE4" w:rsidRPr="008F78CB" w:rsidRDefault="00FE3BE4" w:rsidP="00FE3BE4">
      <w:pPr>
        <w:pStyle w:val="BodyText1"/>
        <w:ind w:left="0"/>
        <w:rPr>
          <w:lang w:val="hy-AM"/>
        </w:rPr>
      </w:pPr>
      <w:r w:rsidRPr="00D621C6">
        <w:rPr>
          <w:lang w:val="hy-AM"/>
        </w:rPr>
        <w:t xml:space="preserve">2025 </w:t>
      </w:r>
      <w:r>
        <w:rPr>
          <w:lang w:val="hy-AM"/>
        </w:rPr>
        <w:t xml:space="preserve">և 2026 </w:t>
      </w:r>
      <w:r w:rsidRPr="00D621C6">
        <w:rPr>
          <w:lang w:val="hy-AM"/>
        </w:rPr>
        <w:t>թվական</w:t>
      </w:r>
      <w:r>
        <w:rPr>
          <w:lang w:val="hy-AM"/>
        </w:rPr>
        <w:t>ներ</w:t>
      </w:r>
      <w:r w:rsidRPr="00D621C6">
        <w:rPr>
          <w:lang w:val="hy-AM"/>
        </w:rPr>
        <w:t>ին, ինչպես նաև 202</w:t>
      </w:r>
      <w:r>
        <w:rPr>
          <w:lang w:val="hy-AM"/>
        </w:rPr>
        <w:t>7</w:t>
      </w:r>
      <w:r w:rsidRPr="00D621C6">
        <w:rPr>
          <w:lang w:val="hy-AM"/>
        </w:rPr>
        <w:t>-2028 թվականներին ՀՆԱ-ի դեֆլյատորը կաճի՝ պայմանավորված ՍԳԻ-ի և ապրանքների միջազգային գների զարգացումներով:</w:t>
      </w:r>
    </w:p>
    <w:p w14:paraId="7E569667" w14:textId="77777777" w:rsidR="00FE3BE4" w:rsidRPr="00064126" w:rsidRDefault="00FE3BE4" w:rsidP="00FE3BE4">
      <w:pPr>
        <w:pStyle w:val="BodyText1"/>
        <w:ind w:left="0"/>
        <w:rPr>
          <w:lang w:val="hy-AM"/>
        </w:rPr>
      </w:pPr>
      <w:r w:rsidRPr="00064126">
        <w:rPr>
          <w:lang w:val="hy-AM"/>
        </w:rPr>
        <w:t xml:space="preserve">Վերոնշյալ զարգացումների պայմաններում անվանական ՀՆԱ-ն 2025 թվականին կկազմի 10,997.1 մլրդ դրամ՝ 21 մլրդ դրամով ավել լինելով 2026-2028թթ. ՄԺԾԾ-ով կանխատեսվող և 105.6 մլրդ դրամով ավել` 2025 թվականի բյուջեով ծրագրած ցուցանիշից: Իսկ 2026 թվականին անվանական ՀՆԱ-ն կկազմի 11,933.7 մլրդ դրամ՝ շուրջ 46.8 մլրդ դրամով ավել լինելով 2026-2028 թվականների ՄԺԾԾ-ով կանխատեսվող ցուցանիշից: Միջնաժամկետում անվանական ՀՆԱ-ն կաճի միջինում 8.5%-ով՝ 2028 թվականին կազմելով 14,050.8 մլրդ դրամ։ </w:t>
      </w:r>
    </w:p>
    <w:p w14:paraId="5AD4E514" w14:textId="77777777" w:rsidR="00FE3BE4" w:rsidRPr="00611B37" w:rsidRDefault="00FE3BE4" w:rsidP="00FE3BE4">
      <w:pPr>
        <w:pStyle w:val="Charts"/>
        <w:rPr>
          <w:bCs/>
        </w:rPr>
      </w:pPr>
      <w:bookmarkStart w:id="163" w:name="_Toc178595131"/>
      <w:r w:rsidRPr="00611B37">
        <w:rPr>
          <w:bCs/>
          <w:noProof/>
          <w:lang w:val="en-US"/>
        </w:rPr>
        <w:drawing>
          <wp:anchor distT="0" distB="0" distL="114300" distR="114300" simplePos="0" relativeHeight="251909120" behindDoc="0" locked="0" layoutInCell="1" allowOverlap="1" wp14:anchorId="1A1B9549" wp14:editId="2F3ADA80">
            <wp:simplePos x="0" y="0"/>
            <wp:positionH relativeFrom="column">
              <wp:posOffset>45720</wp:posOffset>
            </wp:positionH>
            <wp:positionV relativeFrom="paragraph">
              <wp:posOffset>254000</wp:posOffset>
            </wp:positionV>
            <wp:extent cx="6392545" cy="2004060"/>
            <wp:effectExtent l="0" t="0" r="8255" b="15240"/>
            <wp:wrapSquare wrapText="bothSides"/>
            <wp:docPr id="63" name="Chart 63"/>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14:sizeRelH relativeFrom="margin">
              <wp14:pctWidth>0</wp14:pctWidth>
            </wp14:sizeRelH>
            <wp14:sizeRelV relativeFrom="margin">
              <wp14:pctHeight>0</wp14:pctHeight>
            </wp14:sizeRelV>
          </wp:anchor>
        </w:drawing>
      </w:r>
      <w:r w:rsidRPr="00611B37">
        <w:rPr>
          <w:bCs/>
        </w:rPr>
        <w:t>Գծապատկեր 1.15. Անվանական ՀՆԱ և տնտեսական աճ</w:t>
      </w:r>
      <w:bookmarkEnd w:id="163"/>
    </w:p>
    <w:p w14:paraId="34650D41" w14:textId="77777777" w:rsidR="00FE3BE4" w:rsidRPr="00611B37" w:rsidRDefault="00FE3BE4" w:rsidP="00FE3BE4">
      <w:pPr>
        <w:pStyle w:val="a0"/>
        <w:rPr>
          <w:lang w:val="hy-AM"/>
        </w:rPr>
      </w:pPr>
      <w:r w:rsidRPr="00611B37">
        <w:rPr>
          <w:lang w:val="hy-AM"/>
        </w:rPr>
        <w:t>Աղբյուրը՝ ՀՀ ՎԿ, ՀՀ ՖՆ հաշվարկներ և կանխատեսումներ</w:t>
      </w:r>
      <w:r w:rsidRPr="00611B37">
        <w:rPr>
          <w:noProof/>
          <w:lang w:val="hy-AM"/>
        </w:rPr>
        <w:t xml:space="preserve"> </w:t>
      </w:r>
    </w:p>
    <w:p w14:paraId="23BA3A0D" w14:textId="77777777" w:rsidR="00FE3BE4" w:rsidRPr="000267C5" w:rsidRDefault="00FE3BE4" w:rsidP="00FE3BE4">
      <w:pPr>
        <w:rPr>
          <w:highlight w:val="yellow"/>
          <w:lang w:val="hy-AM"/>
        </w:rPr>
      </w:pPr>
    </w:p>
    <w:tbl>
      <w:tblPr>
        <w:tblW w:w="0" w:type="auto"/>
        <w:tblLook w:val="04A0" w:firstRow="1" w:lastRow="0" w:firstColumn="1" w:lastColumn="0" w:noHBand="0" w:noVBand="1"/>
      </w:tblPr>
      <w:tblGrid>
        <w:gridCol w:w="9888"/>
        <w:gridCol w:w="222"/>
      </w:tblGrid>
      <w:tr w:rsidR="00FE3BE4" w:rsidRPr="009D765F" w14:paraId="33D9FF79" w14:textId="77777777" w:rsidTr="008D4E1E">
        <w:trPr>
          <w:trHeight w:val="628"/>
        </w:trPr>
        <w:tc>
          <w:tcPr>
            <w:tcW w:w="9524" w:type="dxa"/>
          </w:tcPr>
          <w:tbl>
            <w:tblPr>
              <w:tblW w:w="0" w:type="auto"/>
              <w:tblLook w:val="04A0" w:firstRow="1" w:lastRow="0" w:firstColumn="1" w:lastColumn="0" w:noHBand="0" w:noVBand="1"/>
            </w:tblPr>
            <w:tblGrid>
              <w:gridCol w:w="4836"/>
              <w:gridCol w:w="4836"/>
            </w:tblGrid>
            <w:tr w:rsidR="00FE3BE4" w:rsidRPr="009D765F" w14:paraId="57585B50" w14:textId="77777777" w:rsidTr="008D4E1E">
              <w:trPr>
                <w:trHeight w:val="628"/>
              </w:trPr>
              <w:tc>
                <w:tcPr>
                  <w:tcW w:w="4793" w:type="dxa"/>
                  <w:hideMark/>
                </w:tcPr>
                <w:p w14:paraId="3A51CA7B" w14:textId="77777777" w:rsidR="00FE3BE4" w:rsidRPr="005F1D14" w:rsidRDefault="00FE3BE4" w:rsidP="008D4E1E">
                  <w:pPr>
                    <w:pStyle w:val="Charts"/>
                    <w:spacing w:before="0"/>
                    <w:rPr>
                      <w:sz w:val="20"/>
                      <w:highlight w:val="yellow"/>
                    </w:rPr>
                  </w:pPr>
                  <w:bookmarkStart w:id="164" w:name="_Toc178595132"/>
                  <w:r w:rsidRPr="00E66ECF">
                    <w:rPr>
                      <w:noProof/>
                      <w:lang w:val="en-US"/>
                    </w:rPr>
                    <w:drawing>
                      <wp:anchor distT="0" distB="0" distL="114300" distR="114300" simplePos="0" relativeHeight="251913216" behindDoc="0" locked="0" layoutInCell="1" allowOverlap="1" wp14:anchorId="7FDD3730" wp14:editId="649B32B5">
                        <wp:simplePos x="0" y="0"/>
                        <wp:positionH relativeFrom="column">
                          <wp:posOffset>-60325</wp:posOffset>
                        </wp:positionH>
                        <wp:positionV relativeFrom="paragraph">
                          <wp:posOffset>483870</wp:posOffset>
                        </wp:positionV>
                        <wp:extent cx="2926080" cy="1713230"/>
                        <wp:effectExtent l="0" t="0" r="7620" b="1270"/>
                        <wp:wrapTopAndBottom/>
                        <wp:docPr id="1545876419" name="Chart 1545876419"/>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14:sizeRelV relativeFrom="margin">
                          <wp14:pctHeight>0</wp14:pctHeight>
                        </wp14:sizeRelV>
                      </wp:anchor>
                    </w:drawing>
                  </w:r>
                  <w:r w:rsidRPr="00E66ECF">
                    <w:rPr>
                      <w:sz w:val="20"/>
                    </w:rPr>
                    <w:t>Գծապատկեր 1.16. Տնտեսության առանձին ճյուղերի նպաստումները տնտեսական աճին</w:t>
                  </w:r>
                  <w:bookmarkEnd w:id="164"/>
                  <w:r w:rsidRPr="005F1D14">
                    <w:rPr>
                      <w:sz w:val="20"/>
                      <w:highlight w:val="yellow"/>
                    </w:rPr>
                    <w:t xml:space="preserve"> </w:t>
                  </w:r>
                </w:p>
                <w:p w14:paraId="6ED1AEA4" w14:textId="77777777" w:rsidR="00FE3BE4" w:rsidRPr="005F1D14" w:rsidRDefault="00FE3BE4" w:rsidP="008D4E1E">
                  <w:pPr>
                    <w:pStyle w:val="a0"/>
                    <w:rPr>
                      <w:sz w:val="16"/>
                      <w:szCs w:val="16"/>
                      <w:highlight w:val="yellow"/>
                      <w:lang w:val="hy-AM"/>
                    </w:rPr>
                  </w:pPr>
                  <w:r w:rsidRPr="00E66ECF">
                    <w:rPr>
                      <w:sz w:val="16"/>
                      <w:szCs w:val="16"/>
                      <w:lang w:val="hy-AM"/>
                    </w:rPr>
                    <w:t>Աղբյուրը՝ ՀՀ ՎԿ, ՀՀ ՖՆ հաշվարկներ և կանխատեսումներ</w:t>
                  </w:r>
                </w:p>
              </w:tc>
              <w:tc>
                <w:tcPr>
                  <w:tcW w:w="4937" w:type="dxa"/>
                  <w:hideMark/>
                </w:tcPr>
                <w:p w14:paraId="7D25C13C" w14:textId="77777777" w:rsidR="00FE3BE4" w:rsidRPr="00DB2BDA" w:rsidRDefault="00FE3BE4" w:rsidP="008D4E1E">
                  <w:pPr>
                    <w:pStyle w:val="Charts"/>
                    <w:spacing w:before="0"/>
                    <w:ind w:right="-43"/>
                    <w:rPr>
                      <w:sz w:val="20"/>
                    </w:rPr>
                  </w:pPr>
                  <w:bookmarkStart w:id="165" w:name="_Toc178595133"/>
                  <w:r w:rsidRPr="00E66ECF">
                    <w:rPr>
                      <w:noProof/>
                      <w:lang w:val="en-US"/>
                    </w:rPr>
                    <w:drawing>
                      <wp:anchor distT="0" distB="0" distL="114300" distR="114300" simplePos="0" relativeHeight="251910144" behindDoc="0" locked="0" layoutInCell="1" allowOverlap="1" wp14:anchorId="30F536C7" wp14:editId="4A432EC8">
                        <wp:simplePos x="0" y="0"/>
                        <wp:positionH relativeFrom="column">
                          <wp:posOffset>-55880</wp:posOffset>
                        </wp:positionH>
                        <wp:positionV relativeFrom="paragraph">
                          <wp:posOffset>483870</wp:posOffset>
                        </wp:positionV>
                        <wp:extent cx="2926080" cy="1698625"/>
                        <wp:effectExtent l="0" t="0" r="7620" b="15875"/>
                        <wp:wrapTopAndBottom/>
                        <wp:docPr id="1545876432" name="Chart 1545876432"/>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14:sizeRelV relativeFrom="margin">
                          <wp14:pctHeight>0</wp14:pctHeight>
                        </wp14:sizeRelV>
                      </wp:anchor>
                    </w:drawing>
                  </w:r>
                  <w:r w:rsidRPr="00E66ECF">
                    <w:rPr>
                      <w:sz w:val="20"/>
                    </w:rPr>
                    <w:t>Գծապատկեր 1.17. Տնտեսական աճին պահանջարկի բաղադրիչների նպաստումները</w:t>
                  </w:r>
                  <w:bookmarkEnd w:id="165"/>
                </w:p>
                <w:p w14:paraId="2C731E26" w14:textId="77777777" w:rsidR="00FE3BE4" w:rsidRPr="005F1D14" w:rsidRDefault="00FE3BE4" w:rsidP="008D4E1E">
                  <w:pPr>
                    <w:pStyle w:val="a0"/>
                    <w:rPr>
                      <w:sz w:val="16"/>
                      <w:szCs w:val="16"/>
                      <w:highlight w:val="yellow"/>
                      <w:lang w:val="hy-AM"/>
                    </w:rPr>
                  </w:pPr>
                  <w:r w:rsidRPr="00E66ECF">
                    <w:rPr>
                      <w:sz w:val="16"/>
                      <w:szCs w:val="16"/>
                      <w:lang w:val="hy-AM"/>
                    </w:rPr>
                    <w:t>Աղբյուրը՝ ՀՀ ՎԿ, ՀՀ ՖՆ հաշվարկներ և կանխատեսումներ</w:t>
                  </w:r>
                </w:p>
              </w:tc>
            </w:tr>
          </w:tbl>
          <w:p w14:paraId="73B3FF26" w14:textId="77777777" w:rsidR="00FE3BE4" w:rsidRPr="000267C5" w:rsidRDefault="00FE3BE4" w:rsidP="008D4E1E">
            <w:pPr>
              <w:pStyle w:val="a0"/>
              <w:rPr>
                <w:sz w:val="16"/>
                <w:szCs w:val="16"/>
                <w:highlight w:val="yellow"/>
                <w:lang w:val="hy-AM"/>
              </w:rPr>
            </w:pPr>
          </w:p>
        </w:tc>
        <w:tc>
          <w:tcPr>
            <w:tcW w:w="222" w:type="dxa"/>
          </w:tcPr>
          <w:p w14:paraId="5B505501" w14:textId="77777777" w:rsidR="00FE3BE4" w:rsidRPr="000267C5" w:rsidRDefault="00FE3BE4" w:rsidP="008D4E1E">
            <w:pPr>
              <w:pStyle w:val="a0"/>
              <w:rPr>
                <w:sz w:val="16"/>
                <w:szCs w:val="16"/>
                <w:highlight w:val="yellow"/>
                <w:lang w:val="hy-AM"/>
              </w:rPr>
            </w:pPr>
          </w:p>
        </w:tc>
      </w:tr>
    </w:tbl>
    <w:p w14:paraId="4D2AA550" w14:textId="77777777" w:rsidR="00FE3BE4" w:rsidRDefault="00FE3BE4" w:rsidP="00FE3BE4">
      <w:pPr>
        <w:pStyle w:val="TOC4"/>
        <w:pBdr>
          <w:bottom w:val="single" w:sz="8" w:space="1" w:color="E1E1E3" w:themeColor="accent3" w:themeTint="33"/>
        </w:pBdr>
        <w:ind w:left="-1080" w:firstLine="1080"/>
        <w:rPr>
          <w:highlight w:val="yellow"/>
          <w:lang w:val="hy-AM"/>
        </w:rPr>
      </w:pPr>
    </w:p>
    <w:p w14:paraId="7814DE87" w14:textId="77777777" w:rsidR="00FE3BE4" w:rsidRPr="00095A8B" w:rsidRDefault="00FE3BE4" w:rsidP="00FE3BE4">
      <w:pPr>
        <w:pStyle w:val="TOC4"/>
        <w:pBdr>
          <w:bottom w:val="single" w:sz="8" w:space="1" w:color="E1E1E3" w:themeColor="accent3" w:themeTint="33"/>
        </w:pBdr>
        <w:ind w:left="-1080" w:firstLine="1080"/>
        <w:rPr>
          <w:lang w:val="hy-AM"/>
        </w:rPr>
      </w:pPr>
      <w:r w:rsidRPr="00095A8B">
        <w:rPr>
          <w:lang w:val="hy-AM"/>
        </w:rPr>
        <w:t>Համախառն առաջարկի կանխատեսում</w:t>
      </w:r>
    </w:p>
    <w:p w14:paraId="53A9D388" w14:textId="77777777" w:rsidR="00FE3BE4" w:rsidRPr="00095A8B" w:rsidRDefault="00FE3BE4" w:rsidP="00FE3BE4">
      <w:pPr>
        <w:pStyle w:val="BodyText1"/>
        <w:ind w:left="0"/>
        <w:rPr>
          <w:lang w:val="hy-AM" w:eastAsia="ru-RU"/>
        </w:rPr>
      </w:pPr>
      <w:r w:rsidRPr="00095A8B">
        <w:rPr>
          <w:lang w:val="hy-AM"/>
        </w:rPr>
        <w:t>2025</w:t>
      </w:r>
      <w:r>
        <w:rPr>
          <w:lang w:val="hy-AM"/>
        </w:rPr>
        <w:t xml:space="preserve"> և 2026</w:t>
      </w:r>
      <w:r w:rsidRPr="00095A8B">
        <w:rPr>
          <w:lang w:val="hy-AM"/>
        </w:rPr>
        <w:t xml:space="preserve"> թվական</w:t>
      </w:r>
      <w:r>
        <w:rPr>
          <w:lang w:val="hy-AM"/>
        </w:rPr>
        <w:t>ներ</w:t>
      </w:r>
      <w:r w:rsidRPr="00095A8B">
        <w:rPr>
          <w:lang w:val="hy-AM"/>
        </w:rPr>
        <w:t xml:space="preserve">ին </w:t>
      </w:r>
      <w:r>
        <w:rPr>
          <w:lang w:val="hy-AM"/>
        </w:rPr>
        <w:t xml:space="preserve">շինարարության աճն առաջանցիկ կլինի տնտեսական աճի նկատմամբ, սակայն </w:t>
      </w:r>
      <w:r w:rsidRPr="00095A8B">
        <w:rPr>
          <w:lang w:val="hy-AM"/>
        </w:rPr>
        <w:t>տնտեսական աճը պայմանավորված կլինի հիմնականում ծառայությունների աճով:</w:t>
      </w:r>
      <w:r w:rsidRPr="00456AFB">
        <w:rPr>
          <w:lang w:val="hy-AM"/>
        </w:rPr>
        <w:t xml:space="preserve"> 2026 </w:t>
      </w:r>
      <w:r>
        <w:rPr>
          <w:lang w:val="hy-AM"/>
        </w:rPr>
        <w:t>թվականին կարագանա նաև արդյունաբերության աճի տեմպը՝ գերազանցելով ՀՆԱ-ի աճի տեմպին: 2025 թվականին շինարարության ճյուղը կաճի 16.0</w:t>
      </w:r>
      <w:r w:rsidRPr="00456AFB">
        <w:rPr>
          <w:lang w:val="hy-AM"/>
        </w:rPr>
        <w:t>%-</w:t>
      </w:r>
      <w:r>
        <w:rPr>
          <w:lang w:val="hy-AM"/>
        </w:rPr>
        <w:t xml:space="preserve">ով, ծառայությունները՝ </w:t>
      </w:r>
      <w:r w:rsidRPr="00456AFB">
        <w:rPr>
          <w:lang w:val="hy-AM"/>
        </w:rPr>
        <w:t>4.2%-</w:t>
      </w:r>
      <w:r>
        <w:rPr>
          <w:lang w:val="hy-AM"/>
        </w:rPr>
        <w:t xml:space="preserve">ով, գյուղատնտեսությունը՝ </w:t>
      </w:r>
      <w:r w:rsidRPr="00456AFB">
        <w:rPr>
          <w:lang w:val="hy-AM"/>
        </w:rPr>
        <w:t>3</w:t>
      </w:r>
      <w:r w:rsidRPr="006934A1">
        <w:rPr>
          <w:lang w:val="hy-AM"/>
        </w:rPr>
        <w:t>.</w:t>
      </w:r>
      <w:r w:rsidRPr="00456AFB">
        <w:rPr>
          <w:lang w:val="hy-AM"/>
        </w:rPr>
        <w:t>4%-</w:t>
      </w:r>
      <w:r>
        <w:rPr>
          <w:lang w:val="hy-AM"/>
        </w:rPr>
        <w:t>ով, իսկ արդյունաբերությունը՝ 0.2</w:t>
      </w:r>
      <w:r w:rsidRPr="00456AFB">
        <w:rPr>
          <w:lang w:val="hy-AM"/>
        </w:rPr>
        <w:t>%-</w:t>
      </w:r>
      <w:r>
        <w:rPr>
          <w:lang w:val="hy-AM"/>
        </w:rPr>
        <w:t>ով:</w:t>
      </w:r>
      <w:r w:rsidRPr="00095A8B">
        <w:rPr>
          <w:lang w:val="hy-AM"/>
        </w:rPr>
        <w:t xml:space="preserve"> </w:t>
      </w:r>
      <w:r>
        <w:rPr>
          <w:lang w:val="hy-AM"/>
        </w:rPr>
        <w:t xml:space="preserve">2026 թվականին արդյունաբերությունը կաճի </w:t>
      </w:r>
      <w:r w:rsidRPr="00BD1A90">
        <w:rPr>
          <w:lang w:val="hy-AM"/>
        </w:rPr>
        <w:t>8</w:t>
      </w:r>
      <w:r w:rsidRPr="006934A1">
        <w:rPr>
          <w:lang w:val="hy-AM"/>
        </w:rPr>
        <w:t>.</w:t>
      </w:r>
      <w:r w:rsidRPr="00BD1A90">
        <w:rPr>
          <w:lang w:val="hy-AM"/>
        </w:rPr>
        <w:t>2%-</w:t>
      </w:r>
      <w:r>
        <w:rPr>
          <w:lang w:val="hy-AM"/>
        </w:rPr>
        <w:t xml:space="preserve">ով, շինարարությունը՝ </w:t>
      </w:r>
      <w:r w:rsidRPr="00BD1A90">
        <w:rPr>
          <w:lang w:val="hy-AM"/>
        </w:rPr>
        <w:t>5</w:t>
      </w:r>
      <w:r w:rsidRPr="006934A1">
        <w:rPr>
          <w:lang w:val="hy-AM"/>
        </w:rPr>
        <w:t>.</w:t>
      </w:r>
      <w:r w:rsidRPr="00BD1A90">
        <w:rPr>
          <w:lang w:val="hy-AM"/>
        </w:rPr>
        <w:t>8%-</w:t>
      </w:r>
      <w:r w:rsidRPr="00057A5E">
        <w:rPr>
          <w:lang w:val="hy-AM"/>
        </w:rPr>
        <w:t xml:space="preserve">ով, ծառայությունները՝ </w:t>
      </w:r>
      <w:r w:rsidRPr="00BD1A90">
        <w:rPr>
          <w:lang w:val="hy-AM"/>
        </w:rPr>
        <w:t>4.8%-</w:t>
      </w:r>
      <w:r>
        <w:rPr>
          <w:lang w:val="hy-AM"/>
        </w:rPr>
        <w:t>ով, իսկ գյուղատնտեսությունը՝ 2.7</w:t>
      </w:r>
      <w:r w:rsidRPr="00BD1A90">
        <w:rPr>
          <w:lang w:val="hy-AM"/>
        </w:rPr>
        <w:t>%-</w:t>
      </w:r>
      <w:r>
        <w:rPr>
          <w:lang w:val="hy-AM"/>
        </w:rPr>
        <w:t>ով: 2027-2028 թվականներին,</w:t>
      </w:r>
      <w:r w:rsidRPr="00095A8B">
        <w:rPr>
          <w:lang w:val="hy-AM"/>
        </w:rPr>
        <w:t xml:space="preserve"> պայմանավորված ներքին և արտաքին պահանջարկի աճով, տնտեսությունում իրականացվող պետական և մասնավոր ներդրումներով, ինչպես նաև ՀՀ կառավարության կողմից արտահանման ու ներդրումների խթանմանն ուղղված քաղաքականություններով</w:t>
      </w:r>
      <w:r>
        <w:rPr>
          <w:lang w:val="hy-AM"/>
        </w:rPr>
        <w:t>,</w:t>
      </w:r>
      <w:r w:rsidRPr="00095A8B">
        <w:rPr>
          <w:lang w:val="hy-AM"/>
        </w:rPr>
        <w:t xml:space="preserve"> </w:t>
      </w:r>
      <w:r>
        <w:rPr>
          <w:lang w:val="hy-AM"/>
        </w:rPr>
        <w:t xml:space="preserve">արդյունաբերության աճի տեմպը կգերազանցի ՀՆԱ-ի աճի տեմպին և միջինում կկազմի </w:t>
      </w:r>
      <w:r w:rsidRPr="004A590F">
        <w:rPr>
          <w:lang w:val="hy-AM"/>
        </w:rPr>
        <w:t>6.8%</w:t>
      </w:r>
      <w:r>
        <w:rPr>
          <w:lang w:val="hy-AM"/>
        </w:rPr>
        <w:t xml:space="preserve"> </w:t>
      </w:r>
      <w:r w:rsidRPr="00095A8B">
        <w:rPr>
          <w:lang w:val="hy-AM"/>
        </w:rPr>
        <w:t>(պայմանավորված հանքարդյունաբերության</w:t>
      </w:r>
      <w:r w:rsidRPr="008C2C8D">
        <w:rPr>
          <w:lang w:val="hy-AM"/>
        </w:rPr>
        <w:t>,</w:t>
      </w:r>
      <w:r w:rsidRPr="00095A8B">
        <w:rPr>
          <w:lang w:val="hy-AM"/>
        </w:rPr>
        <w:t xml:space="preserve"> մասնավորապես</w:t>
      </w:r>
      <w:r w:rsidRPr="008C2C8D">
        <w:rPr>
          <w:lang w:val="hy-AM"/>
        </w:rPr>
        <w:t>`</w:t>
      </w:r>
      <w:r w:rsidRPr="00095A8B">
        <w:rPr>
          <w:lang w:val="hy-AM"/>
        </w:rPr>
        <w:t xml:space="preserve"> Ամուլսարի</w:t>
      </w:r>
      <w:r>
        <w:rPr>
          <w:lang w:val="hy-AM"/>
        </w:rPr>
        <w:t xml:space="preserve"> և</w:t>
      </w:r>
      <w:r w:rsidRPr="00095A8B">
        <w:rPr>
          <w:lang w:val="hy-AM"/>
        </w:rPr>
        <w:t xml:space="preserve"> Սոթքի</w:t>
      </w:r>
      <w:r w:rsidRPr="001254AD">
        <w:rPr>
          <w:lang w:val="hy-AM"/>
        </w:rPr>
        <w:t xml:space="preserve"> </w:t>
      </w:r>
      <w:r w:rsidRPr="00932CD5">
        <w:rPr>
          <w:lang w:val="hy-AM"/>
        </w:rPr>
        <w:t>գործունեությամբ, ինչպես նա</w:t>
      </w:r>
      <w:r w:rsidRPr="00095A8B">
        <w:rPr>
          <w:lang w:val="hy-AM"/>
        </w:rPr>
        <w:t>և մշակող արդյունաբերության աճով)</w:t>
      </w:r>
      <w:r w:rsidRPr="004A590F">
        <w:rPr>
          <w:lang w:val="hy-AM"/>
        </w:rPr>
        <w:t xml:space="preserve">, </w:t>
      </w:r>
      <w:r>
        <w:rPr>
          <w:lang w:val="hy-AM"/>
        </w:rPr>
        <w:t>իսկ ծ</w:t>
      </w:r>
      <w:r w:rsidRPr="00095A8B">
        <w:rPr>
          <w:lang w:val="hy-AM"/>
        </w:rPr>
        <w:t>առայությունները կաճեն միջինում 5.</w:t>
      </w:r>
      <w:r>
        <w:rPr>
          <w:lang w:val="hy-AM"/>
        </w:rPr>
        <w:t>3</w:t>
      </w:r>
      <w:r w:rsidRPr="00095A8B">
        <w:rPr>
          <w:lang w:val="hy-AM"/>
        </w:rPr>
        <w:t>%-ով (ծառայությունների աճը կշարունակի պայմանավորվել ՏՏ, զբոսաշրջության և ֆինանսական ծառայությունների աճերով), շինարարությունը՝ 5.</w:t>
      </w:r>
      <w:r>
        <w:rPr>
          <w:lang w:val="hy-AM"/>
        </w:rPr>
        <w:t>0</w:t>
      </w:r>
      <w:r w:rsidRPr="00095A8B">
        <w:rPr>
          <w:lang w:val="hy-AM"/>
        </w:rPr>
        <w:t xml:space="preserve">%-ով (պայմանավորված պետական կապիտալ ծախսերի (հիմնականում ենթակառուցվածքներում ներդրումների) և բնակարանային շինարարության աճերով), իսկ գյուղատնտեսությունը՝ 2.7%-ով (գյուղատնտեսության ոլորտի պետական օժանդակության ծրագրերով պայմանավորված ոլորտի աճով): </w:t>
      </w:r>
    </w:p>
    <w:tbl>
      <w:tblPr>
        <w:tblW w:w="0" w:type="auto"/>
        <w:tblLook w:val="04A0" w:firstRow="1" w:lastRow="0" w:firstColumn="1" w:lastColumn="0" w:noHBand="0" w:noVBand="1"/>
      </w:tblPr>
      <w:tblGrid>
        <w:gridCol w:w="9888"/>
        <w:gridCol w:w="517"/>
      </w:tblGrid>
      <w:tr w:rsidR="00FE3BE4" w:rsidRPr="009D765F" w14:paraId="676D500A" w14:textId="77777777" w:rsidTr="008D4E1E">
        <w:trPr>
          <w:trHeight w:val="3783"/>
        </w:trPr>
        <w:tc>
          <w:tcPr>
            <w:tcW w:w="5215" w:type="dxa"/>
          </w:tcPr>
          <w:tbl>
            <w:tblPr>
              <w:tblW w:w="0" w:type="auto"/>
              <w:jc w:val="center"/>
              <w:tblLook w:val="04A0" w:firstRow="1" w:lastRow="0" w:firstColumn="1" w:lastColumn="0" w:noHBand="0" w:noVBand="1"/>
            </w:tblPr>
            <w:tblGrid>
              <w:gridCol w:w="4836"/>
              <w:gridCol w:w="4836"/>
            </w:tblGrid>
            <w:tr w:rsidR="00FE3BE4" w:rsidRPr="009D765F" w14:paraId="69C3EC73" w14:textId="77777777" w:rsidTr="008D4E1E">
              <w:trPr>
                <w:trHeight w:val="3783"/>
                <w:jc w:val="center"/>
              </w:trPr>
              <w:tc>
                <w:tcPr>
                  <w:tcW w:w="5215" w:type="dxa"/>
                  <w:hideMark/>
                </w:tcPr>
                <w:p w14:paraId="3524F73A" w14:textId="77777777" w:rsidR="00FE3BE4" w:rsidRPr="005C169C" w:rsidRDefault="00FE3BE4" w:rsidP="008D4E1E">
                  <w:pPr>
                    <w:pStyle w:val="Charts"/>
                    <w:rPr>
                      <w:sz w:val="20"/>
                    </w:rPr>
                  </w:pPr>
                  <w:bookmarkStart w:id="166" w:name="_Toc178595134"/>
                  <w:r w:rsidRPr="005C169C">
                    <w:rPr>
                      <w:noProof/>
                      <w:lang w:val="en-US"/>
                    </w:rPr>
                    <w:drawing>
                      <wp:anchor distT="0" distB="0" distL="114300" distR="114300" simplePos="0" relativeHeight="251911168" behindDoc="0" locked="0" layoutInCell="1" allowOverlap="1" wp14:anchorId="0E669B3B" wp14:editId="115DE17B">
                        <wp:simplePos x="0" y="0"/>
                        <wp:positionH relativeFrom="column">
                          <wp:posOffset>44712</wp:posOffset>
                        </wp:positionH>
                        <wp:positionV relativeFrom="paragraph">
                          <wp:posOffset>742950</wp:posOffset>
                        </wp:positionV>
                        <wp:extent cx="2926080" cy="1645920"/>
                        <wp:effectExtent l="0" t="0" r="7620" b="11430"/>
                        <wp:wrapTopAndBottom/>
                        <wp:docPr id="1545876433" name="Chart 1545876433"/>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14:sizeRelH relativeFrom="page">
                          <wp14:pctWidth>0</wp14:pctWidth>
                        </wp14:sizeRelH>
                        <wp14:sizeRelV relativeFrom="margin">
                          <wp14:pctHeight>0</wp14:pctHeight>
                        </wp14:sizeRelV>
                      </wp:anchor>
                    </w:drawing>
                  </w:r>
                  <w:r w:rsidRPr="005C169C">
                    <w:rPr>
                      <w:sz w:val="20"/>
                    </w:rPr>
                    <w:t>Գծապատկեր 1.18. Ծախսային բաղադրիչների տեսակարար կշիռները ՀՆԱ-ի կազմում</w:t>
                  </w:r>
                  <w:bookmarkEnd w:id="166"/>
                </w:p>
                <w:p w14:paraId="662D3858" w14:textId="77777777" w:rsidR="00FE3BE4" w:rsidRPr="005C169C" w:rsidRDefault="00FE3BE4" w:rsidP="008D4E1E">
                  <w:pPr>
                    <w:pStyle w:val="a0"/>
                    <w:rPr>
                      <w:sz w:val="16"/>
                      <w:szCs w:val="16"/>
                      <w:lang w:val="hy-AM"/>
                    </w:rPr>
                  </w:pPr>
                  <w:r w:rsidRPr="005C169C">
                    <w:rPr>
                      <w:sz w:val="16"/>
                      <w:szCs w:val="16"/>
                      <w:lang w:val="hy-AM"/>
                    </w:rPr>
                    <w:t>Աղբյուրը՝ ՀՀ ՎԿ, ՀՀ ՖՆ հաշվարկներ և կանխատեսումներ</w:t>
                  </w:r>
                </w:p>
              </w:tc>
              <w:tc>
                <w:tcPr>
                  <w:tcW w:w="5030" w:type="dxa"/>
                  <w:hideMark/>
                </w:tcPr>
                <w:p w14:paraId="6FD784B9" w14:textId="77777777" w:rsidR="00FE3BE4" w:rsidRPr="005C169C" w:rsidRDefault="00FE3BE4" w:rsidP="008D4E1E">
                  <w:pPr>
                    <w:pStyle w:val="Charts"/>
                    <w:rPr>
                      <w:sz w:val="20"/>
                    </w:rPr>
                  </w:pPr>
                  <w:bookmarkStart w:id="167" w:name="_Toc178595135"/>
                  <w:r w:rsidRPr="005C169C">
                    <w:rPr>
                      <w:noProof/>
                      <w:sz w:val="20"/>
                      <w:lang w:val="en-US"/>
                    </w:rPr>
                    <w:drawing>
                      <wp:anchor distT="0" distB="0" distL="114300" distR="114300" simplePos="0" relativeHeight="251912192" behindDoc="0" locked="0" layoutInCell="1" allowOverlap="1" wp14:anchorId="599FE441" wp14:editId="660470C5">
                        <wp:simplePos x="0" y="0"/>
                        <wp:positionH relativeFrom="column">
                          <wp:posOffset>19119</wp:posOffset>
                        </wp:positionH>
                        <wp:positionV relativeFrom="paragraph">
                          <wp:posOffset>743585</wp:posOffset>
                        </wp:positionV>
                        <wp:extent cx="2926080" cy="1645920"/>
                        <wp:effectExtent l="0" t="0" r="7620" b="11430"/>
                        <wp:wrapTopAndBottom/>
                        <wp:docPr id="1545876434" name="Chart 1545876434"/>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14:sizeRelH relativeFrom="page">
                          <wp14:pctWidth>0</wp14:pctWidth>
                        </wp14:sizeRelH>
                        <wp14:sizeRelV relativeFrom="margin">
                          <wp14:pctHeight>0</wp14:pctHeight>
                        </wp14:sizeRelV>
                      </wp:anchor>
                    </w:drawing>
                  </w:r>
                  <w:r w:rsidRPr="005C169C">
                    <w:rPr>
                      <w:sz w:val="20"/>
                    </w:rPr>
                    <w:t>Գծապատկեր 1.19. Ճյուղերի տեսակարար կշիռները ՀՆԱ-ի կազմում</w:t>
                  </w:r>
                  <w:bookmarkEnd w:id="167"/>
                </w:p>
                <w:p w14:paraId="3A0B979B" w14:textId="77777777" w:rsidR="00FE3BE4" w:rsidRPr="005C169C" w:rsidRDefault="00FE3BE4" w:rsidP="008D4E1E">
                  <w:pPr>
                    <w:pStyle w:val="a0"/>
                    <w:rPr>
                      <w:sz w:val="16"/>
                      <w:szCs w:val="16"/>
                      <w:lang w:val="hy-AM"/>
                    </w:rPr>
                  </w:pPr>
                  <w:r w:rsidRPr="005C169C">
                    <w:rPr>
                      <w:sz w:val="16"/>
                      <w:szCs w:val="16"/>
                      <w:lang w:val="hy-AM"/>
                    </w:rPr>
                    <w:t>Աղբյուրը՝ ՀՀ ՎԿ, ՀՀ ՖՆ հաշվարկներ և կանխատեսումներ</w:t>
                  </w:r>
                </w:p>
              </w:tc>
            </w:tr>
          </w:tbl>
          <w:p w14:paraId="1C52DB22" w14:textId="77777777" w:rsidR="00FE3BE4" w:rsidRPr="000267C5" w:rsidRDefault="00FE3BE4" w:rsidP="008D4E1E">
            <w:pPr>
              <w:pStyle w:val="a0"/>
              <w:rPr>
                <w:sz w:val="16"/>
                <w:szCs w:val="16"/>
                <w:highlight w:val="yellow"/>
                <w:lang w:val="hy-AM"/>
              </w:rPr>
            </w:pPr>
          </w:p>
        </w:tc>
        <w:tc>
          <w:tcPr>
            <w:tcW w:w="5030" w:type="dxa"/>
          </w:tcPr>
          <w:p w14:paraId="31AD7BA6" w14:textId="77777777" w:rsidR="00FE3BE4" w:rsidRPr="000267C5" w:rsidRDefault="00FE3BE4" w:rsidP="008D4E1E">
            <w:pPr>
              <w:pStyle w:val="a0"/>
              <w:rPr>
                <w:sz w:val="16"/>
                <w:szCs w:val="16"/>
                <w:highlight w:val="yellow"/>
                <w:lang w:val="hy-AM"/>
              </w:rPr>
            </w:pPr>
          </w:p>
        </w:tc>
      </w:tr>
    </w:tbl>
    <w:p w14:paraId="67A48D6F" w14:textId="77777777" w:rsidR="00FE3BE4" w:rsidRPr="00154EA3" w:rsidRDefault="00FE3BE4" w:rsidP="00FE3BE4">
      <w:pPr>
        <w:pStyle w:val="TOC4"/>
        <w:pBdr>
          <w:bottom w:val="single" w:sz="8" w:space="1" w:color="E1E1E3" w:themeColor="accent3" w:themeTint="33"/>
        </w:pBdr>
        <w:ind w:left="-1080" w:firstLine="1080"/>
        <w:rPr>
          <w:lang w:val="hy-AM"/>
        </w:rPr>
      </w:pPr>
      <w:r w:rsidRPr="00154EA3">
        <w:rPr>
          <w:lang w:val="hy-AM"/>
        </w:rPr>
        <w:t>Համախառն պահանջարկի կանխատեսում</w:t>
      </w:r>
    </w:p>
    <w:p w14:paraId="2ED2DA8E" w14:textId="77777777" w:rsidR="00FE3BE4" w:rsidRDefault="00FE3BE4" w:rsidP="00FE3BE4">
      <w:pPr>
        <w:pStyle w:val="BodyText1"/>
        <w:ind w:left="0"/>
        <w:rPr>
          <w:lang w:val="hy-AM"/>
        </w:rPr>
      </w:pPr>
      <w:r w:rsidRPr="00154EA3">
        <w:rPr>
          <w:lang w:val="hy-AM"/>
        </w:rPr>
        <w:t xml:space="preserve">Ընթացիկ զարգացումների պայմաններում 2025 թվականին վերջնական սպառումը իրական արտահայտությամբ կաճի </w:t>
      </w:r>
      <w:r w:rsidRPr="006934A1">
        <w:rPr>
          <w:lang w:val="hy-AM"/>
        </w:rPr>
        <w:t>7</w:t>
      </w:r>
      <w:r w:rsidRPr="00154EA3">
        <w:rPr>
          <w:lang w:val="hy-AM"/>
        </w:rPr>
        <w:t>.3%-ով, իսկ ներդրումները՝ 22.</w:t>
      </w:r>
      <w:r w:rsidRPr="006934A1">
        <w:rPr>
          <w:lang w:val="hy-AM"/>
        </w:rPr>
        <w:t>2</w:t>
      </w:r>
      <w:r w:rsidRPr="00154EA3">
        <w:rPr>
          <w:lang w:val="hy-AM"/>
        </w:rPr>
        <w:t xml:space="preserve">%-ով։ Սպառման և ներդրումների աճին կնպաստեն տնօրինվող եկամտի և բնակարանային շինարարության </w:t>
      </w:r>
      <w:r>
        <w:rPr>
          <w:lang w:val="hy-AM"/>
        </w:rPr>
        <w:t>հետագա</w:t>
      </w:r>
      <w:r w:rsidRPr="00154EA3">
        <w:rPr>
          <w:lang w:val="hy-AM"/>
        </w:rPr>
        <w:t xml:space="preserve"> աճերը, ինչպես նաև ներդրումային միջավայրի բարելավմանն ուղղված պետական քաղաքա</w:t>
      </w:r>
      <w:r w:rsidRPr="00154EA3">
        <w:rPr>
          <w:lang w:val="hy-AM"/>
        </w:rPr>
        <w:softHyphen/>
        <w:t xml:space="preserve">կանությունն ու նախատեսվող պետական կապիտալ ծախսերը։ </w:t>
      </w:r>
      <w:r w:rsidRPr="006934A1">
        <w:rPr>
          <w:lang w:val="hy-AM"/>
        </w:rPr>
        <w:t xml:space="preserve">2026 </w:t>
      </w:r>
      <w:r>
        <w:rPr>
          <w:lang w:val="hy-AM"/>
        </w:rPr>
        <w:t xml:space="preserve">թվականին սպառման և ներդրումների աճերը կշարունակվեն համապատասխանաբար՝ </w:t>
      </w:r>
      <w:r w:rsidRPr="006934A1">
        <w:rPr>
          <w:lang w:val="hy-AM"/>
        </w:rPr>
        <w:t>4.4%</w:t>
      </w:r>
      <w:r>
        <w:rPr>
          <w:lang w:val="hy-AM"/>
        </w:rPr>
        <w:t>-ով</w:t>
      </w:r>
      <w:r w:rsidRPr="006934A1">
        <w:rPr>
          <w:lang w:val="hy-AM"/>
        </w:rPr>
        <w:t xml:space="preserve"> </w:t>
      </w:r>
      <w:r>
        <w:rPr>
          <w:lang w:val="hy-AM"/>
        </w:rPr>
        <w:t>և 9.1</w:t>
      </w:r>
      <w:r w:rsidRPr="006934A1">
        <w:rPr>
          <w:lang w:val="hy-AM"/>
        </w:rPr>
        <w:t>%</w:t>
      </w:r>
      <w:r>
        <w:rPr>
          <w:lang w:val="hy-AM"/>
        </w:rPr>
        <w:t>-ով</w:t>
      </w:r>
      <w:r w:rsidRPr="00C059AD">
        <w:rPr>
          <w:lang w:val="hy-AM"/>
        </w:rPr>
        <w:t xml:space="preserve">, </w:t>
      </w:r>
      <w:r>
        <w:rPr>
          <w:lang w:val="hy-AM"/>
        </w:rPr>
        <w:t>իսկ 2027-2028 թվականներին</w:t>
      </w:r>
      <w:r w:rsidRPr="006934A1">
        <w:rPr>
          <w:lang w:val="hy-AM"/>
        </w:rPr>
        <w:t xml:space="preserve"> </w:t>
      </w:r>
      <w:r w:rsidRPr="00154EA3">
        <w:rPr>
          <w:lang w:val="hy-AM"/>
        </w:rPr>
        <w:t>սպառումը միջինում կաճի 4.</w:t>
      </w:r>
      <w:r>
        <w:rPr>
          <w:lang w:val="hy-AM"/>
        </w:rPr>
        <w:t>4</w:t>
      </w:r>
      <w:r w:rsidRPr="00154EA3">
        <w:rPr>
          <w:lang w:val="hy-AM"/>
        </w:rPr>
        <w:t xml:space="preserve">%-ով, իսկ ներդրումները՝ </w:t>
      </w:r>
      <w:r>
        <w:rPr>
          <w:lang w:val="hy-AM"/>
        </w:rPr>
        <w:t>7</w:t>
      </w:r>
      <w:r w:rsidRPr="00154EA3">
        <w:rPr>
          <w:lang w:val="hy-AM"/>
        </w:rPr>
        <w:t xml:space="preserve">.4%-ով: </w:t>
      </w:r>
      <w:r>
        <w:rPr>
          <w:lang w:val="hy-AM"/>
        </w:rPr>
        <w:t>Ն</w:t>
      </w:r>
      <w:r w:rsidRPr="00154EA3">
        <w:rPr>
          <w:lang w:val="hy-AM"/>
        </w:rPr>
        <w:t>երդրումների վրա դրական ազդեցություն կունենա ՀՀ կառավարության կողմից ենթակառուցվածքներում ներդրումների նախատեսվող շարունակական աճը, ինչպես նաև մասնավոր ներդրումների խթանմանն ուղղված միջոցառումները, իսկ սպառումը պայմանավորված կլինի տնօրինվող եկամտի աճով։</w:t>
      </w:r>
    </w:p>
    <w:p w14:paraId="6A173D65" w14:textId="77777777" w:rsidR="00FE3BE4" w:rsidRPr="0084605D" w:rsidRDefault="00FE3BE4" w:rsidP="00FE3BE4">
      <w:pPr>
        <w:pStyle w:val="BodyText1"/>
        <w:ind w:left="0"/>
        <w:rPr>
          <w:highlight w:val="yellow"/>
          <w:lang w:val="hy-AM"/>
        </w:rPr>
      </w:pPr>
      <w:r w:rsidRPr="00F80C6B">
        <w:rPr>
          <w:lang w:val="hy-AM"/>
        </w:rPr>
        <w:t>Պայմանավորված վերամշակման և վերաարտահանման նպատակով ներմուծված թանկարժեք մետաղների ներմուծման գործոնի չեզոքացմամբ՝ 2025 թվականին արտահանումը և ներմուծումը կնվազեն 31.5%-ով և 26.9%-ով: Արտահանման և ներմուծման նվազման տեմպերը (համապատասխանաբար՝ 6.4% և 6.9%)՝ վերաարտահանման գործոնի աստիճանական չեզոքացման պայմաններում, կշարունակվեն նաև 2026 թվականին, սակայն նվազման տեմպերը զգալիորեն կդանդաղեն: ՀՀ և համաշխարհային տնտեսական աճերի, ՀՀ տնտեսության արտահանելի հատվածի զարգացումների, տնօրինվող եկամտի և զբոսաշրջության աճի, ինչպես նաև արտահանման խրախուսմանն ուղղված ՀՀ կառավարության քաղաքականության պայմաններում 2027-2028 թվականներին արտահանումը և ներմուծումը կվերականգնվեն և կաճեն՝ միջինում համապատասխանաբար՝ 3.3% և 2.0%-ով։</w:t>
      </w:r>
    </w:p>
    <w:p w14:paraId="189B344B" w14:textId="77777777" w:rsidR="00FE3BE4" w:rsidRPr="00E77731" w:rsidRDefault="00FE3BE4" w:rsidP="00FE3BE4">
      <w:pPr>
        <w:pStyle w:val="TOC4"/>
        <w:rPr>
          <w:lang w:val="hy-AM"/>
        </w:rPr>
      </w:pPr>
      <w:bookmarkStart w:id="168" w:name="_Toc170926294"/>
      <w:bookmarkStart w:id="169" w:name="_Toc170750533"/>
      <w:bookmarkStart w:id="170" w:name="_Toc170743029"/>
      <w:bookmarkStart w:id="171" w:name="_Toc77837846"/>
      <w:bookmarkStart w:id="172" w:name="_Toc77451194"/>
      <w:r w:rsidRPr="00E77731">
        <w:rPr>
          <w:lang w:val="hy-AM"/>
        </w:rPr>
        <w:t>1.3.1.1. ԹԻՐԱԽԱՅԻՆ ՏՆՏԵՍԱԿԱՆ ԱՃԻ ՍՑԵՆԱՐ</w:t>
      </w:r>
      <w:bookmarkEnd w:id="168"/>
      <w:bookmarkEnd w:id="169"/>
      <w:bookmarkEnd w:id="170"/>
      <w:bookmarkEnd w:id="171"/>
      <w:bookmarkEnd w:id="172"/>
    </w:p>
    <w:p w14:paraId="1531EA9B" w14:textId="77777777" w:rsidR="00FE3BE4" w:rsidRPr="000536C8" w:rsidRDefault="00FE3BE4" w:rsidP="00FE3BE4">
      <w:pPr>
        <w:tabs>
          <w:tab w:val="right" w:pos="0"/>
        </w:tabs>
        <w:spacing w:after="0"/>
        <w:jc w:val="both"/>
        <w:rPr>
          <w:b/>
          <w:lang w:val="hy-AM"/>
        </w:rPr>
      </w:pPr>
      <w:bookmarkStart w:id="173" w:name="_Hlk170635424"/>
      <w:r w:rsidRPr="000536C8">
        <w:rPr>
          <w:b/>
          <w:bCs/>
          <w:lang w:val="hy-AM"/>
        </w:rPr>
        <w:t xml:space="preserve">ՀՀ կառավարությունը նպատակադրել է հասնել միջինում առնվազն 7% տնտեսական աճի: Հատկանշական է, որ կանխատեսված սցենարում 2021-2026թթ. միջինում տնտեսական աճը կազմում է </w:t>
      </w:r>
      <w:r w:rsidRPr="00B11BC6">
        <w:rPr>
          <w:b/>
          <w:bCs/>
          <w:color w:val="auto"/>
          <w:lang w:val="hy-AM"/>
        </w:rPr>
        <w:t>7.2</w:t>
      </w:r>
      <w:r w:rsidRPr="000536C8">
        <w:rPr>
          <w:b/>
          <w:bCs/>
          <w:lang w:val="hy-AM"/>
        </w:rPr>
        <w:t>%, որը փոքր-ինչ բարձր է կառավարության նպատակադրած 7% տնտեսական աճի թիրախից: Ընդ որում, վերջին տարիներին ՀՀ տնտեսական աճի ներուժը բարձրացել է՝ հասնելով 5.0-5.5%: Այս աճը պահպանելու և ավելի բարձր և կայուն աճի հասնելու համար անհրաժեշտ են լրացուցիչ ջանքեր՝ ուղղված արտադրողականության բարձրացմանը, ներդրումների և արտահանման խթանմանը։</w:t>
      </w:r>
    </w:p>
    <w:p w14:paraId="3701E91E" w14:textId="77777777" w:rsidR="00FE3BE4" w:rsidRPr="00E77731" w:rsidRDefault="00FE3BE4" w:rsidP="00FE3BE4">
      <w:pPr>
        <w:pStyle w:val="BodyText1"/>
        <w:ind w:left="0"/>
        <w:rPr>
          <w:lang w:val="hy-AM"/>
        </w:rPr>
      </w:pPr>
      <w:r w:rsidRPr="000536C8">
        <w:rPr>
          <w:lang w:val="hy-AM"/>
        </w:rPr>
        <w:t>Հաշվի առնելով տնտեսության զարգացման ներկա իրավիճակը` միջնաժամկետում տնտեսական աճի ներուժի պահպանման և հետագա բարձրացման համար հնարավոր է հասնել միայն համապատասխան քաղաքականությունների և միջոցառումների իրականացման միջոցով, ուստի կառավարությունը ջանքեր է գործադրելու նպատակադրած աճի թիրախն ապահովելու համար՝ իրականացնելով տնտեսական աճի ներուժի բարձրացմանն ուղղված գործողություններ։</w:t>
      </w:r>
      <w:r w:rsidRPr="00E77731">
        <w:rPr>
          <w:lang w:val="hy-AM"/>
        </w:rPr>
        <w:t xml:space="preserve"> </w:t>
      </w:r>
    </w:p>
    <w:p w14:paraId="5F58EF33" w14:textId="77777777" w:rsidR="00FE3BE4" w:rsidRPr="00B23FA8" w:rsidRDefault="00FE3BE4" w:rsidP="00FE3BE4">
      <w:pPr>
        <w:pStyle w:val="Charts"/>
      </w:pPr>
      <w:bookmarkStart w:id="174" w:name="_Toc178595136"/>
      <w:bookmarkEnd w:id="173"/>
      <w:r w:rsidRPr="002E06F5">
        <w:rPr>
          <w:szCs w:val="22"/>
        </w:rPr>
        <w:t>Գծապատկեր 1</w:t>
      </w:r>
      <w:r w:rsidRPr="002E06F5">
        <w:rPr>
          <w:rFonts w:ascii="Cambria Math" w:hAnsi="Cambria Math" w:cs="Cambria Math"/>
          <w:szCs w:val="22"/>
        </w:rPr>
        <w:t>․</w:t>
      </w:r>
      <w:r w:rsidRPr="002E06F5">
        <w:rPr>
          <w:szCs w:val="22"/>
        </w:rPr>
        <w:t>20</w:t>
      </w:r>
      <w:r w:rsidRPr="00AD0FF5">
        <w:rPr>
          <w:rFonts w:ascii="Cambria Math" w:hAnsi="Cambria Math" w:cs="Cambria Math"/>
          <w:b w:val="0"/>
          <w:szCs w:val="22"/>
          <w:u w:val="single"/>
        </w:rPr>
        <w:t>․</w:t>
      </w:r>
      <w:r w:rsidRPr="002E445A">
        <w:t xml:space="preserve"> Կառավարության թիրախավորած 7% տնտեսական աճի և կանխատեսվող սցենարների համեմատականը, իրական ՀՆԱ, 2020=100</w:t>
      </w:r>
      <w:bookmarkEnd w:id="174"/>
    </w:p>
    <w:p w14:paraId="71DD666B" w14:textId="77777777" w:rsidR="00FE3BE4" w:rsidRPr="00C3014C" w:rsidRDefault="00FE3BE4" w:rsidP="00FE3BE4">
      <w:pPr>
        <w:jc w:val="both"/>
      </w:pPr>
      <w:r w:rsidRPr="000536C8">
        <w:rPr>
          <w:noProof/>
        </w:rPr>
        <w:drawing>
          <wp:inline distT="0" distB="0" distL="0" distR="0" wp14:anchorId="536729A1" wp14:editId="37B4ED31">
            <wp:extent cx="6122822" cy="2910840"/>
            <wp:effectExtent l="0" t="0" r="11430" b="3810"/>
            <wp:docPr id="1545876435" name="Chart 1545876435"/>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14:paraId="55AF107B" w14:textId="77777777" w:rsidR="00FE3BE4" w:rsidRPr="00F82AFE" w:rsidRDefault="00FE3BE4" w:rsidP="00FE3BE4">
      <w:pPr>
        <w:pStyle w:val="BodyText1"/>
        <w:spacing w:before="360"/>
        <w:ind w:left="0"/>
      </w:pPr>
      <w:r w:rsidRPr="005A2973">
        <w:t>Այդ առումով, սույն բաժնում նկարագրվում է 2026-20</w:t>
      </w:r>
      <w:r>
        <w:rPr>
          <w:lang w:val="hy-AM"/>
        </w:rPr>
        <w:t>28</w:t>
      </w:r>
      <w:r w:rsidRPr="005A2973">
        <w:t xml:space="preserve"> թվականներին տնտեսության ներուժի աստիճանական բարձրացման և ավելի բարձր տնտեսական աճի ապահովման համար անհրաժեշտ քաղաքականության ուղղությունները և այդ նպատակով ՀՀ կառավարության կողմից արդեն իսկ իրականացված և ապագա ջանքերը:</w:t>
      </w:r>
      <w:r w:rsidRPr="00F82AFE">
        <w:t xml:space="preserve"> </w:t>
      </w:r>
    </w:p>
    <w:p w14:paraId="38181108" w14:textId="77777777" w:rsidR="00FE3BE4" w:rsidRPr="00B567C0" w:rsidRDefault="00FE3BE4" w:rsidP="00FE3BE4">
      <w:pPr>
        <w:pStyle w:val="BodyText1"/>
        <w:ind w:left="0"/>
        <w:rPr>
          <w:rFonts w:asciiTheme="minorHAnsi" w:hAnsiTheme="minorHAnsi"/>
          <w:b/>
        </w:rPr>
      </w:pPr>
      <w:r w:rsidRPr="00B567C0">
        <w:rPr>
          <w:rFonts w:asciiTheme="minorHAnsi" w:hAnsiTheme="minorHAnsi"/>
          <w:b/>
        </w:rPr>
        <w:t>Տնտեսական աճ</w:t>
      </w:r>
    </w:p>
    <w:p w14:paraId="0E522B4A" w14:textId="2109EEE6" w:rsidR="00FE3BE4" w:rsidRDefault="00FE3BE4" w:rsidP="00FE3BE4">
      <w:pPr>
        <w:spacing w:after="0"/>
        <w:jc w:val="both"/>
        <w:rPr>
          <w:bCs/>
          <w:lang w:val="hy-AM"/>
        </w:rPr>
      </w:pPr>
      <w:r w:rsidRPr="000536C8">
        <w:rPr>
          <w:b/>
          <w:bCs/>
          <w:lang w:val="hy-AM"/>
        </w:rPr>
        <w:t>Չնայած 202</w:t>
      </w:r>
      <w:r>
        <w:rPr>
          <w:b/>
          <w:bCs/>
          <w:lang w:val="hy-AM"/>
        </w:rPr>
        <w:t>1</w:t>
      </w:r>
      <w:r w:rsidRPr="000536C8">
        <w:rPr>
          <w:b/>
          <w:bCs/>
          <w:lang w:val="hy-AM"/>
        </w:rPr>
        <w:t>-2024 թվականներին տնտեսությունը միջինում գրանցել է բարձր՝ 8.</w:t>
      </w:r>
      <w:r>
        <w:rPr>
          <w:b/>
          <w:bCs/>
          <w:lang w:val="hy-AM"/>
        </w:rPr>
        <w:t>2</w:t>
      </w:r>
      <w:r w:rsidRPr="000536C8">
        <w:rPr>
          <w:b/>
          <w:bCs/>
          <w:lang w:val="hy-AM"/>
        </w:rPr>
        <w:t xml:space="preserve">% իրական աճ, այնուամենայնիվ նշված ժամանակահատվածն աչքի է ընկել մի շարք կարևոր իրադարձություններով, որոնք նշանակալի ազդեցություն են ունեցել բարձր տնտեսական աճի ապահովման գործընթացում, որոնց ազդեցությունն առաջիկա տարիներին կչեզոքանա: </w:t>
      </w:r>
      <w:r w:rsidRPr="000536C8">
        <w:rPr>
          <w:bCs/>
          <w:lang w:val="hy-AM"/>
        </w:rPr>
        <w:t>Մասնավորապես՝ 2022 թվականի փետրվարի վերջերից սկիզբ առած ռուս-ուկրաինական հակամարտության և Ռուսաստանի դեմ կիրառված պատժամիջոցների հետևանքով տեղի է ունեցել դեպի Հայաստան մարդկանց ներհոսք, զբոսաշրջության զգալի ավելացում, տեղեկատվական տեխնոլոգիաների ոլորտի ընկերությունների ՀՀ տեղափոխում, ՀՀ-ից դեպի Ռուսաստան արտահանման պահանջարկի ավելացում, գրանցվել են պետական բյուջեից կապիտալ ծախսերի և բնակարանաշինության բարձր աճեր,</w:t>
      </w:r>
      <w:r w:rsidRPr="002F71E8">
        <w:rPr>
          <w:bCs/>
          <w:lang w:val="hy-AM"/>
        </w:rPr>
        <w:t xml:space="preserve"> </w:t>
      </w:r>
      <w:r w:rsidRPr="000536C8">
        <w:rPr>
          <w:bCs/>
          <w:lang w:val="hy-AM"/>
        </w:rPr>
        <w:t>ինչպես նաև 2023 թվականի սեպտեմբերի վերջից Ղարաբաղից ՀՀ են բռնի տեղահանվել ավելի քան 100,000 հայրենակիցներ:</w:t>
      </w:r>
    </w:p>
    <w:p w14:paraId="01535F06" w14:textId="77777777" w:rsidR="00FE3BE4" w:rsidRPr="00F41416" w:rsidRDefault="00FE3BE4" w:rsidP="00FE3BE4">
      <w:pPr>
        <w:spacing w:after="0"/>
        <w:jc w:val="both"/>
        <w:rPr>
          <w:bCs/>
          <w:lang w:val="hy-AM"/>
        </w:rPr>
      </w:pPr>
      <w:r w:rsidRPr="000536C8">
        <w:rPr>
          <w:rFonts w:eastAsia="Calibri" w:cs="Sylfaen"/>
          <w:lang w:val="hy-AM"/>
        </w:rPr>
        <w:t>Դեպի ՀՀ զբոսաշրջային մեծ հոսքերը, ՏՏ ոլորտի ընկերությունների և աշխատակիցների ՀՀ տեղափոխվելը, զբաղվածների թվաքանակի ավելացումը, ինչպես նաև պետական կապիտալ ծախսերի դերի շարունակական բարձրացումը հանգեցրել են տնտեսության ներուժի և ներուժային աճի բարձրացման։ Գնահատվում է, որ ՀՀ տնտեսության ներուժային աճը նախկին 4-4.5% գնահատված միջակայքից աճել է՝ հասնելով 5-5.5% միջակայքի: Չնայած այն հանգամանքին, որ կանխատեսված տնտեսական աճերի պարագայում 2021-2026թթ</w:t>
      </w:r>
      <w:r w:rsidRPr="000536C8">
        <w:rPr>
          <w:rFonts w:ascii="Cambria Math" w:eastAsia="Calibri" w:hAnsi="Cambria Math" w:cs="Cambria Math"/>
          <w:lang w:val="hy-AM"/>
        </w:rPr>
        <w:t>․</w:t>
      </w:r>
      <w:r w:rsidRPr="000536C8">
        <w:rPr>
          <w:rFonts w:eastAsia="Calibri" w:cs="Sylfaen"/>
          <w:lang w:val="hy-AM"/>
        </w:rPr>
        <w:t xml:space="preserve"> տնտեսական աճը միջինում գերազանցում է կառավարության նպատակադրած 7% տնտեսական աճի ցուցանիշը, սակայն միջնաժամկետում նշված ներուժային աճը պահպանելու և ավելի բարձր կայուն աճի հասնելու համար անհրաժեշտ են լրացուցիչ ջանքեր՝ ուղղված տնտեսական աճի ներուժի բարձրացմանը: Նշված թիրախին հասնելու համար հետագա տարիներին ՀՀ տնտեսությունը պետք է զարգանա առաջարկի վրա հիմնված տնտեսական աճի մոդելով (որն իր կենսունակությունն ապացուցել է աշխարհի բազմաթիվ երկրներում), որտեղ տնտեսական աճի առանցքային շարժիչը պետք է լինի արտահանելի հատվածը և արտահանումը (export-led growth model):</w:t>
      </w:r>
    </w:p>
    <w:p w14:paraId="767111F0" w14:textId="026C21F0" w:rsidR="00FE3BE4" w:rsidRPr="005848F8" w:rsidRDefault="00FE3BE4" w:rsidP="00FE3BE4">
      <w:pPr>
        <w:pStyle w:val="BodyText1"/>
        <w:ind w:left="0"/>
        <w:rPr>
          <w:rFonts w:asciiTheme="minorHAnsi" w:hAnsiTheme="minorHAnsi"/>
          <w:b/>
          <w:lang w:val="hy-AM"/>
        </w:rPr>
      </w:pPr>
      <w:r w:rsidRPr="005848F8">
        <w:rPr>
          <w:rFonts w:asciiTheme="minorHAnsi" w:hAnsiTheme="minorHAnsi"/>
          <w:b/>
          <w:lang w:val="hy-AM"/>
        </w:rPr>
        <w:t>Ներդրումներ և արտադրողականութ</w:t>
      </w:r>
      <w:r w:rsidR="00E25BE6">
        <w:rPr>
          <w:rFonts w:asciiTheme="minorHAnsi" w:hAnsiTheme="minorHAnsi"/>
          <w:b/>
          <w:lang w:val="hy-AM"/>
        </w:rPr>
        <w:t>յ</w:t>
      </w:r>
      <w:r w:rsidRPr="005848F8">
        <w:rPr>
          <w:rFonts w:asciiTheme="minorHAnsi" w:hAnsiTheme="minorHAnsi"/>
          <w:b/>
          <w:lang w:val="hy-AM"/>
        </w:rPr>
        <w:t>ուն</w:t>
      </w:r>
    </w:p>
    <w:p w14:paraId="6ACA1D32" w14:textId="77777777" w:rsidR="00FE3BE4" w:rsidRDefault="00FE3BE4" w:rsidP="00FE3BE4">
      <w:pPr>
        <w:spacing w:after="0"/>
        <w:jc w:val="both"/>
        <w:rPr>
          <w:lang w:val="hy-AM"/>
        </w:rPr>
      </w:pPr>
      <w:r w:rsidRPr="000536C8">
        <w:rPr>
          <w:lang w:val="hy-AM"/>
        </w:rPr>
        <w:t xml:space="preserve">Միջնաժամկետում բարձր և կայուն տնտեսական աճի հասնելու համար անհրաժեշտ է շարունակաբար բարձրացնել ներդրումների և արտադրողականության մակարդակը: Վերջինիս ապահովման համար անհրաժեշտ է իրականացնել արդյունավետ ներդրումային քաղաքականություն՝ ներդրումներն ուղղելով տնտեսության արտահանելի հատված, դեպի տեխնոլոգիաներ և ենթակառուցվածքներ, ապահովելով կապիտալի բարձր արտադրողականություն:  </w:t>
      </w:r>
    </w:p>
    <w:p w14:paraId="66CEFA07" w14:textId="77777777" w:rsidR="00FE3BE4" w:rsidRPr="00FF7C4F" w:rsidRDefault="00FE3BE4" w:rsidP="00FE3BE4">
      <w:pPr>
        <w:spacing w:after="0"/>
        <w:jc w:val="both"/>
        <w:rPr>
          <w:lang w:val="hy-AM"/>
        </w:rPr>
      </w:pPr>
      <w:r w:rsidRPr="000536C8">
        <w:rPr>
          <w:lang w:val="hy-AM"/>
        </w:rPr>
        <w:t>Բարձր տնտեսական աճի ապահովման համար կարևոր նախադրյալ է աշխատանքի և կապիտալի արտադրողականության բարձրացումը, ինչը հնարավոր է իրականացնել նոր տեխնոլոգիական լուծումների կիրառմամբ, գործարար և ներդրումային միջավայրի բարելավմամբ, աշխատուժի որակի բարձրացման և կրթական միջոցառումների իրականացմամբ</w:t>
      </w:r>
      <w:r w:rsidRPr="000536C8">
        <w:rPr>
          <w:rFonts w:ascii="Cambria Math" w:hAnsi="Cambria Math" w:cs="Cambria Math"/>
          <w:lang w:val="hy-AM"/>
        </w:rPr>
        <w:t>․</w:t>
      </w:r>
      <w:r w:rsidRPr="000536C8">
        <w:rPr>
          <w:lang w:val="hy-AM"/>
        </w:rPr>
        <w:t xml:space="preserve"> </w:t>
      </w:r>
      <w:r w:rsidRPr="000536C8">
        <w:rPr>
          <w:rFonts w:cs="GHEA Grapalat"/>
          <w:lang w:val="hy-AM"/>
        </w:rPr>
        <w:t>այս</w:t>
      </w:r>
      <w:r w:rsidRPr="000536C8">
        <w:rPr>
          <w:lang w:val="hy-AM"/>
        </w:rPr>
        <w:t xml:space="preserve"> </w:t>
      </w:r>
      <w:r w:rsidRPr="000536C8">
        <w:rPr>
          <w:rFonts w:cs="GHEA Grapalat"/>
          <w:lang w:val="hy-AM"/>
        </w:rPr>
        <w:t>ուղղությամբ</w:t>
      </w:r>
      <w:r w:rsidRPr="000536C8">
        <w:rPr>
          <w:lang w:val="hy-AM"/>
        </w:rPr>
        <w:t xml:space="preserve"> </w:t>
      </w:r>
      <w:r w:rsidRPr="000536C8">
        <w:rPr>
          <w:rFonts w:cs="GHEA Grapalat"/>
          <w:lang w:val="hy-AM"/>
        </w:rPr>
        <w:t>նշանակալի</w:t>
      </w:r>
      <w:r w:rsidRPr="000536C8">
        <w:rPr>
          <w:lang w:val="hy-AM"/>
        </w:rPr>
        <w:t xml:space="preserve"> </w:t>
      </w:r>
      <w:r w:rsidRPr="000536C8">
        <w:rPr>
          <w:rFonts w:cs="GHEA Grapalat"/>
          <w:lang w:val="hy-AM"/>
        </w:rPr>
        <w:t>արդյունքներ</w:t>
      </w:r>
      <w:r w:rsidRPr="000536C8">
        <w:rPr>
          <w:lang w:val="hy-AM"/>
        </w:rPr>
        <w:t xml:space="preserve"> </w:t>
      </w:r>
      <w:r w:rsidRPr="000536C8">
        <w:rPr>
          <w:rFonts w:cs="GHEA Grapalat"/>
          <w:lang w:val="hy-AM"/>
        </w:rPr>
        <w:t>կարող</w:t>
      </w:r>
      <w:r w:rsidRPr="000536C8">
        <w:rPr>
          <w:lang w:val="hy-AM"/>
        </w:rPr>
        <w:t xml:space="preserve"> </w:t>
      </w:r>
      <w:r w:rsidRPr="000536C8">
        <w:rPr>
          <w:rFonts w:cs="GHEA Grapalat"/>
          <w:lang w:val="hy-AM"/>
        </w:rPr>
        <w:t>են</w:t>
      </w:r>
      <w:r w:rsidRPr="000536C8">
        <w:rPr>
          <w:lang w:val="hy-AM"/>
        </w:rPr>
        <w:t xml:space="preserve"> </w:t>
      </w:r>
      <w:r w:rsidRPr="000536C8">
        <w:rPr>
          <w:rFonts w:cs="GHEA Grapalat"/>
          <w:lang w:val="hy-AM"/>
        </w:rPr>
        <w:t>գրանցվել</w:t>
      </w:r>
      <w:r w:rsidRPr="000536C8">
        <w:rPr>
          <w:lang w:val="hy-AM"/>
        </w:rPr>
        <w:t xml:space="preserve"> </w:t>
      </w:r>
      <w:r w:rsidRPr="000536C8">
        <w:rPr>
          <w:rFonts w:cs="GHEA Grapalat"/>
          <w:lang w:val="hy-AM"/>
        </w:rPr>
        <w:t>Կրթության</w:t>
      </w:r>
      <w:r w:rsidRPr="000536C8">
        <w:rPr>
          <w:lang w:val="hy-AM"/>
        </w:rPr>
        <w:t xml:space="preserve"> </w:t>
      </w:r>
      <w:r w:rsidRPr="000536C8">
        <w:rPr>
          <w:rFonts w:cs="GHEA Grapalat"/>
          <w:lang w:val="hy-AM"/>
        </w:rPr>
        <w:t>մինչև</w:t>
      </w:r>
      <w:r w:rsidRPr="000536C8">
        <w:rPr>
          <w:lang w:val="hy-AM"/>
        </w:rPr>
        <w:t xml:space="preserve"> 2030</w:t>
      </w:r>
      <w:r w:rsidRPr="000536C8">
        <w:rPr>
          <w:rFonts w:cs="GHEA Grapalat"/>
          <w:lang w:val="hy-AM"/>
        </w:rPr>
        <w:t>թ</w:t>
      </w:r>
      <w:r w:rsidRPr="000536C8">
        <w:rPr>
          <w:lang w:val="hy-AM"/>
        </w:rPr>
        <w:t xml:space="preserve">. </w:t>
      </w:r>
      <w:r w:rsidRPr="000536C8">
        <w:rPr>
          <w:rFonts w:cs="GHEA Grapalat"/>
          <w:lang w:val="hy-AM"/>
        </w:rPr>
        <w:t>զարգաց</w:t>
      </w:r>
      <w:r w:rsidRPr="000536C8">
        <w:rPr>
          <w:lang w:val="hy-AM"/>
        </w:rPr>
        <w:t>ման պետական ծրագրի, Զբաղվածության ռազմավարության, ներդրումների խթանման բարեփոխումների արդյունավետ իրականացման արդյունքում (առավել մանրամասն տե՛ս ՄԱՍ II. Ծախսային քաղաքականության ռազմավարությունը բաժնում):</w:t>
      </w:r>
    </w:p>
    <w:p w14:paraId="2D5AC9EB" w14:textId="77777777" w:rsidR="00FE3BE4" w:rsidRPr="00FF7C4F" w:rsidRDefault="00FE3BE4" w:rsidP="00FE3BE4">
      <w:pPr>
        <w:pStyle w:val="BodyText1"/>
        <w:ind w:left="0"/>
        <w:rPr>
          <w:rFonts w:asciiTheme="minorHAnsi" w:hAnsiTheme="minorHAnsi"/>
          <w:b/>
          <w:lang w:val="hy-AM"/>
        </w:rPr>
      </w:pPr>
      <w:r w:rsidRPr="00FF7C4F">
        <w:rPr>
          <w:rFonts w:asciiTheme="minorHAnsi" w:hAnsiTheme="minorHAnsi"/>
          <w:b/>
          <w:lang w:val="hy-AM"/>
        </w:rPr>
        <w:t>Արտահանելի հատված և արտահանում</w:t>
      </w:r>
    </w:p>
    <w:p w14:paraId="743E7269" w14:textId="750CCF19" w:rsidR="00B42B3E" w:rsidRPr="00B42B3E" w:rsidRDefault="00FE3BE4" w:rsidP="00B42B3E">
      <w:pPr>
        <w:pStyle w:val="BodyText1"/>
        <w:ind w:left="0"/>
        <w:rPr>
          <w:rFonts w:asciiTheme="minorHAnsi" w:hAnsiTheme="minorHAnsi"/>
          <w:lang w:val="hy-AM"/>
        </w:rPr>
      </w:pPr>
      <w:r w:rsidRPr="000536C8">
        <w:rPr>
          <w:b/>
          <w:bCs/>
          <w:lang w:val="hy-AM"/>
        </w:rPr>
        <w:t xml:space="preserve">Բարձր տնտեսական աճի ապահովման համար անհրաժեշտ է արտահանման տեմպերի արագացում ի հաշիվ ոչ հումքային բարձր ավելացված արժեք ստեղծող ապրանքատեսակների և արտահանելի ծառայությունների: </w:t>
      </w:r>
      <w:r w:rsidRPr="000536C8">
        <w:rPr>
          <w:bCs/>
          <w:lang w:val="hy-AM"/>
        </w:rPr>
        <w:t xml:space="preserve">Այսպես, բարձր աճի հասնելու համար պահանջվող մասնավոր ներդրումների ծավալների ապահովմանը զուգահեռ անհրաժեշտ </w:t>
      </w:r>
      <w:r>
        <w:rPr>
          <w:bCs/>
          <w:lang w:val="hy-AM"/>
        </w:rPr>
        <w:t>են</w:t>
      </w:r>
      <w:r w:rsidRPr="000536C8">
        <w:rPr>
          <w:bCs/>
          <w:lang w:val="hy-AM"/>
        </w:rPr>
        <w:t xml:space="preserve"> ապրանքների և ծառայությունների արտահանման ավելի բարձր և կայուն աճեր, ինչը հնարավոր կլինի տնտեսության արտահանելի հատվածի արտադրողական ճյուղերի էական բարելավման միջոցով: </w:t>
      </w:r>
      <w:r w:rsidRPr="007A7815">
        <w:rPr>
          <w:bCs/>
          <w:lang w:val="hy-AM"/>
        </w:rPr>
        <w:t>Այս թիրախների ապահովմանը կարող է նպաստել արտահանման խթանման միջոցառումների, մշակվող Արտահանման խթանման նոր ռազմավարության և ՏՏ ոլորտի խթանման ծրագրերի արդյունավետ իրականացումը (առավել մանրամասն տե՛ս ՄԱՍ II. Ծախսային քաղաքականության ռազմավարությունը բաժնում):</w:t>
      </w:r>
      <w:r w:rsidRPr="0046648E">
        <w:rPr>
          <w:rFonts w:asciiTheme="minorHAnsi" w:hAnsiTheme="minorHAnsi"/>
          <w:lang w:val="hy-AM"/>
        </w:rPr>
        <w:t xml:space="preserve"> </w:t>
      </w:r>
    </w:p>
    <w:p w14:paraId="33AA763C" w14:textId="77777777" w:rsidR="00FE3BE4" w:rsidRPr="00DD75C7" w:rsidRDefault="00FE3BE4" w:rsidP="00104E7A">
      <w:pPr>
        <w:pStyle w:val="TOC4"/>
        <w:outlineLvl w:val="2"/>
        <w:rPr>
          <w:lang w:val="hy-AM"/>
        </w:rPr>
      </w:pPr>
      <w:bookmarkStart w:id="175" w:name="_Toc170926295"/>
      <w:bookmarkStart w:id="176" w:name="_Toc170750534"/>
      <w:bookmarkStart w:id="177" w:name="_Toc170743030"/>
      <w:bookmarkStart w:id="178" w:name="_Toc215157669"/>
      <w:r w:rsidRPr="00DD75C7">
        <w:rPr>
          <w:lang w:val="hy-AM"/>
        </w:rPr>
        <w:t>1.3.2. ԱՇԽԱՏԱՆՔԻ ՇՈՒԿԱ</w:t>
      </w:r>
      <w:bookmarkEnd w:id="175"/>
      <w:bookmarkEnd w:id="176"/>
      <w:bookmarkEnd w:id="177"/>
      <w:bookmarkEnd w:id="178"/>
    </w:p>
    <w:p w14:paraId="2D86B4F7" w14:textId="77777777" w:rsidR="00FE3BE4" w:rsidRPr="000D31F5" w:rsidRDefault="00FE3BE4" w:rsidP="00FE3BE4">
      <w:pPr>
        <w:jc w:val="both"/>
        <w:rPr>
          <w:rFonts w:ascii="GHEA Grapalat" w:hAnsi="GHEA Grapalat"/>
          <w:szCs w:val="20"/>
          <w:lang w:val="hy-AM"/>
        </w:rPr>
      </w:pPr>
      <w:r w:rsidRPr="00EC31CF">
        <w:rPr>
          <w:rFonts w:ascii="GHEA Grapalat" w:hAnsi="GHEA Grapalat"/>
          <w:b/>
          <w:szCs w:val="20"/>
          <w:lang w:val="hy-AM"/>
        </w:rPr>
        <w:t>2022-2023 թվականների բարձր տնտեսական աճի պայմաններում գործազրկության մակարդակը նվազել է՝ ուղեկցվելով զբաղվածության աճով, սակայն 2024 թվականին գրանցվել է գործազրկության աճ և զբաղվածության նվազում,</w:t>
      </w:r>
      <w:r>
        <w:rPr>
          <w:rFonts w:ascii="GHEA Grapalat" w:hAnsi="GHEA Grapalat"/>
          <w:szCs w:val="20"/>
          <w:lang w:val="hy-AM"/>
        </w:rPr>
        <w:t xml:space="preserve"> </w:t>
      </w:r>
      <w:r w:rsidRPr="00332B90">
        <w:rPr>
          <w:b/>
          <w:bCs/>
          <w:lang w:val="hy-AM"/>
        </w:rPr>
        <w:t>իսկ վարձու աշխատողների թվաքանակը 2022-2024 թվականներին շարունակաբար աճել է</w:t>
      </w:r>
      <w:r w:rsidRPr="006876A1">
        <w:rPr>
          <w:rFonts w:ascii="GHEA Grapalat" w:hAnsi="GHEA Grapalat"/>
          <w:szCs w:val="20"/>
          <w:lang w:val="hy-AM"/>
        </w:rPr>
        <w:t xml:space="preserve">: </w:t>
      </w:r>
      <w:r w:rsidRPr="00D978C4">
        <w:rPr>
          <w:rFonts w:ascii="GHEA Grapalat" w:hAnsi="GHEA Grapalat"/>
          <w:szCs w:val="20"/>
          <w:lang w:val="hy-AM"/>
        </w:rPr>
        <w:t>2022-2023 թվականներին գործազրկության մակարդակը</w:t>
      </w:r>
      <w:r w:rsidRPr="00332B90">
        <w:rPr>
          <w:bCs/>
          <w:vertAlign w:val="superscript"/>
        </w:rPr>
        <w:footnoteReference w:id="11"/>
      </w:r>
      <w:r w:rsidRPr="00D978C4">
        <w:rPr>
          <w:rFonts w:ascii="GHEA Grapalat" w:hAnsi="GHEA Grapalat"/>
          <w:szCs w:val="20"/>
          <w:lang w:val="hy-AM"/>
        </w:rPr>
        <w:t xml:space="preserve"> 13.5%-ից նվազել է 12.4%-ի, </w:t>
      </w:r>
      <w:r w:rsidRPr="006358E2">
        <w:rPr>
          <w:rFonts w:ascii="GHEA Grapalat" w:hAnsi="GHEA Grapalat"/>
          <w:szCs w:val="20"/>
          <w:lang w:val="hy-AM"/>
        </w:rPr>
        <w:t>սակայն 2024 թվականին աճել է 1.5 տոկոսային կետով և կազմել</w:t>
      </w:r>
      <w:r>
        <w:rPr>
          <w:rFonts w:ascii="GHEA Grapalat" w:hAnsi="GHEA Grapalat"/>
          <w:szCs w:val="20"/>
          <w:lang w:val="hy-AM"/>
        </w:rPr>
        <w:t xml:space="preserve">՝ 13.9%, </w:t>
      </w:r>
      <w:r w:rsidRPr="006358E2">
        <w:rPr>
          <w:rFonts w:ascii="GHEA Grapalat" w:hAnsi="GHEA Grapalat"/>
          <w:szCs w:val="20"/>
          <w:lang w:val="hy-AM"/>
        </w:rPr>
        <w:t xml:space="preserve">իսկ </w:t>
      </w:r>
      <w:r w:rsidRPr="000D31F5">
        <w:rPr>
          <w:rFonts w:ascii="GHEA Grapalat" w:hAnsi="GHEA Grapalat"/>
          <w:szCs w:val="20"/>
          <w:lang w:val="hy-AM"/>
        </w:rPr>
        <w:t>2022-2024 թվականներին վարձու աշխատողների թվաքանակն աճել է</w:t>
      </w:r>
      <w:r>
        <w:rPr>
          <w:rFonts w:ascii="GHEA Grapalat" w:hAnsi="GHEA Grapalat"/>
          <w:szCs w:val="20"/>
          <w:lang w:val="hy-AM"/>
        </w:rPr>
        <w:t xml:space="preserve"> </w:t>
      </w:r>
      <w:r w:rsidRPr="000D31F5">
        <w:rPr>
          <w:rFonts w:ascii="GHEA Grapalat" w:hAnsi="GHEA Grapalat"/>
          <w:szCs w:val="20"/>
          <w:lang w:val="hy-AM"/>
        </w:rPr>
        <w:t>միջինում 5.4%-ով՝</w:t>
      </w:r>
      <w:r>
        <w:rPr>
          <w:rFonts w:ascii="GHEA Grapalat" w:hAnsi="GHEA Grapalat"/>
          <w:szCs w:val="20"/>
          <w:lang w:val="hy-AM"/>
        </w:rPr>
        <w:t xml:space="preserve"> </w:t>
      </w:r>
      <w:r w:rsidRPr="000D31F5">
        <w:rPr>
          <w:rFonts w:ascii="GHEA Grapalat" w:hAnsi="GHEA Grapalat"/>
          <w:szCs w:val="20"/>
          <w:lang w:val="hy-AM"/>
        </w:rPr>
        <w:t>պայմանավորված տնտեսական</w:t>
      </w:r>
      <w:r>
        <w:rPr>
          <w:rFonts w:ascii="GHEA Grapalat" w:hAnsi="GHEA Grapalat"/>
          <w:szCs w:val="20"/>
          <w:lang w:val="hy-AM"/>
        </w:rPr>
        <w:t xml:space="preserve"> դրական</w:t>
      </w:r>
      <w:r w:rsidRPr="000D31F5">
        <w:rPr>
          <w:rFonts w:ascii="GHEA Grapalat" w:hAnsi="GHEA Grapalat"/>
          <w:szCs w:val="20"/>
          <w:lang w:val="hy-AM"/>
        </w:rPr>
        <w:t xml:space="preserve"> </w:t>
      </w:r>
      <w:r>
        <w:rPr>
          <w:rFonts w:ascii="GHEA Grapalat" w:hAnsi="GHEA Grapalat"/>
          <w:szCs w:val="20"/>
          <w:lang w:val="hy-AM"/>
        </w:rPr>
        <w:t>զարգացումներով</w:t>
      </w:r>
      <w:r w:rsidRPr="000D31F5">
        <w:rPr>
          <w:rFonts w:ascii="GHEA Grapalat" w:hAnsi="GHEA Grapalat"/>
          <w:szCs w:val="20"/>
          <w:lang w:val="hy-AM"/>
        </w:rPr>
        <w:t>, նոր կազմակերպությունների ստեղծմամբ, ինչպես նաև</w:t>
      </w:r>
      <w:r>
        <w:rPr>
          <w:rFonts w:ascii="GHEA Grapalat" w:hAnsi="GHEA Grapalat"/>
          <w:szCs w:val="20"/>
          <w:lang w:val="hy-AM"/>
        </w:rPr>
        <w:t xml:space="preserve"> </w:t>
      </w:r>
      <w:r w:rsidRPr="000D31F5">
        <w:rPr>
          <w:rFonts w:ascii="GHEA Grapalat" w:hAnsi="GHEA Grapalat"/>
          <w:szCs w:val="20"/>
          <w:lang w:val="hy-AM"/>
        </w:rPr>
        <w:t xml:space="preserve">ստվերի կրճատմամբ։ </w:t>
      </w:r>
    </w:p>
    <w:p w14:paraId="23D9210D" w14:textId="404C31B6" w:rsidR="00FE3BE4" w:rsidRDefault="00FE3BE4" w:rsidP="00FE3BE4">
      <w:pPr>
        <w:jc w:val="both"/>
        <w:rPr>
          <w:bCs/>
          <w:lang w:val="hy-AM"/>
        </w:rPr>
      </w:pPr>
      <w:r w:rsidRPr="003D1E08">
        <w:rPr>
          <w:rFonts w:ascii="GHEA Grapalat" w:hAnsi="GHEA Grapalat"/>
          <w:szCs w:val="20"/>
          <w:lang w:val="hy-AM"/>
        </w:rPr>
        <w:t xml:space="preserve">2022-2023 թվականներին գործազուրկների թվաքանակը նվազել է միջինում </w:t>
      </w:r>
      <w:r>
        <w:rPr>
          <w:rFonts w:ascii="GHEA Grapalat" w:hAnsi="GHEA Grapalat"/>
          <w:szCs w:val="20"/>
          <w:lang w:val="hy-AM"/>
        </w:rPr>
        <w:t>8</w:t>
      </w:r>
      <w:r w:rsidRPr="003D1E08">
        <w:rPr>
          <w:rFonts w:ascii="GHEA Grapalat" w:hAnsi="GHEA Grapalat"/>
          <w:szCs w:val="20"/>
          <w:lang w:val="hy-AM"/>
        </w:rPr>
        <w:t>.</w:t>
      </w:r>
      <w:r>
        <w:rPr>
          <w:rFonts w:ascii="GHEA Grapalat" w:hAnsi="GHEA Grapalat"/>
          <w:szCs w:val="20"/>
          <w:lang w:val="hy-AM"/>
        </w:rPr>
        <w:t>4</w:t>
      </w:r>
      <w:r w:rsidRPr="003D1E08">
        <w:rPr>
          <w:rFonts w:ascii="GHEA Grapalat" w:hAnsi="GHEA Grapalat"/>
          <w:szCs w:val="20"/>
          <w:lang w:val="hy-AM"/>
        </w:rPr>
        <w:t xml:space="preserve">%-ով, իսկ զբաղվածների թվաքանակն աճել </w:t>
      </w:r>
      <w:r>
        <w:rPr>
          <w:rFonts w:ascii="GHEA Grapalat" w:hAnsi="GHEA Grapalat"/>
          <w:szCs w:val="20"/>
          <w:lang w:val="hy-AM"/>
        </w:rPr>
        <w:t>3</w:t>
      </w:r>
      <w:r w:rsidRPr="003D1E08">
        <w:rPr>
          <w:rFonts w:ascii="GHEA Grapalat" w:hAnsi="GHEA Grapalat"/>
          <w:szCs w:val="20"/>
          <w:lang w:val="hy-AM"/>
        </w:rPr>
        <w:t xml:space="preserve">.9%-ով: Սակայն 2024 թվականին ձևավորված միտումները փոխվել են՝ գործազուրկների թվաքանակն աճել է 12.7%-ով՝ կազմելով 187.9 հազար մարդ, իսկ զբաղվածներինը՝ նվազել 0.5%-ով՝ կազմելով 1,168.4 հազար մարդ: Գործազուրկների թվաքանակի աճը պայմանավորված է եղել ինչպես զբաղվածության նվազմամբ, այնպես էլ աշխատուժի առաջարկի ավելացմամբ: Գործազուրկների թվաքանակի աճին նպաստել է նաև </w:t>
      </w:r>
      <w:r w:rsidR="0055404A">
        <w:rPr>
          <w:rFonts w:ascii="GHEA Grapalat" w:hAnsi="GHEA Grapalat"/>
          <w:szCs w:val="20"/>
          <w:lang w:val="hy-AM"/>
        </w:rPr>
        <w:t>Ղարաբաղից</w:t>
      </w:r>
      <w:r w:rsidRPr="003D1E08">
        <w:rPr>
          <w:rFonts w:ascii="GHEA Grapalat" w:hAnsi="GHEA Grapalat"/>
          <w:szCs w:val="20"/>
          <w:lang w:val="hy-AM"/>
        </w:rPr>
        <w:t xml:space="preserve"> դեպի ՀՀ բռնի տեղահանված աշխատունակ բնակչության՝ ՀՀ աշխատաշուկայում դեռևս ոչ ամբողջական ներգրավվածությունը:</w:t>
      </w:r>
      <w:r w:rsidRPr="008E0C41">
        <w:rPr>
          <w:rFonts w:ascii="GHEA Grapalat" w:hAnsi="GHEA Grapalat"/>
          <w:szCs w:val="20"/>
          <w:lang w:val="hy-AM"/>
        </w:rPr>
        <w:t xml:space="preserve"> </w:t>
      </w:r>
      <w:r w:rsidRPr="003D1E08">
        <w:rPr>
          <w:bCs/>
          <w:lang w:val="hy-AM"/>
        </w:rPr>
        <w:t xml:space="preserve">Զբաղվածության </w:t>
      </w:r>
      <w:r>
        <w:rPr>
          <w:bCs/>
          <w:lang w:val="hy-AM"/>
        </w:rPr>
        <w:t>նվազումն իր հերթին</w:t>
      </w:r>
      <w:r w:rsidRPr="003D1E08">
        <w:rPr>
          <w:bCs/>
          <w:lang w:val="hy-AM"/>
        </w:rPr>
        <w:t xml:space="preserve"> պայմանավորված է եղել ոչ վարձու աշխատողների նվազմամբ: </w:t>
      </w:r>
    </w:p>
    <w:p w14:paraId="5BD5C7D6" w14:textId="77777777" w:rsidR="00FE3BE4" w:rsidRPr="00332B90" w:rsidRDefault="00FE3BE4" w:rsidP="00FE3BE4">
      <w:pPr>
        <w:jc w:val="both"/>
        <w:rPr>
          <w:bCs/>
          <w:lang w:val="hy-AM"/>
        </w:rPr>
      </w:pPr>
      <w:r w:rsidRPr="003D1E08">
        <w:rPr>
          <w:bCs/>
          <w:lang w:val="hy-AM"/>
        </w:rPr>
        <w:t xml:space="preserve">2022-2024 թվականներին վարձու աշխատողների թվաքանակը միջինում աճել է </w:t>
      </w:r>
      <w:r w:rsidRPr="008C069A">
        <w:rPr>
          <w:bCs/>
          <w:lang w:val="hy-AM"/>
        </w:rPr>
        <w:t xml:space="preserve">5.4%-ով` </w:t>
      </w:r>
      <w:r w:rsidRPr="003D1E08">
        <w:rPr>
          <w:bCs/>
          <w:lang w:val="hy-AM"/>
        </w:rPr>
        <w:t xml:space="preserve">իր վրա կրելով տնտեսական աճի, նոր կազմակերպությունների ստեղծման, ինչպես նաև ստվերի կրճատման ազդեցությունները։ Միաժամանակ, աշխատուժի մասնակցության մակարդակը 2022 </w:t>
      </w:r>
      <w:r>
        <w:rPr>
          <w:bCs/>
          <w:lang w:val="hy-AM"/>
        </w:rPr>
        <w:t>թվականի</w:t>
      </w:r>
      <w:r w:rsidRPr="003D1E08">
        <w:rPr>
          <w:bCs/>
          <w:lang w:val="hy-AM"/>
        </w:rPr>
        <w:t xml:space="preserve"> 58.8%-ից 2023 թվականին հասել է 60.3%-ի, որից հետո նվազել է՝ 2024 թվականին կազմելով 58.9%:</w:t>
      </w:r>
    </w:p>
    <w:p w14:paraId="33604DF6" w14:textId="4BEF9DDE" w:rsidR="00FE3BE4" w:rsidRPr="009677F4" w:rsidRDefault="00FE3BE4" w:rsidP="00FE3BE4">
      <w:pPr>
        <w:pStyle w:val="BodyText1"/>
        <w:ind w:left="0"/>
        <w:rPr>
          <w:lang w:val="hy-AM"/>
        </w:rPr>
      </w:pPr>
      <w:r w:rsidRPr="002206A6">
        <w:rPr>
          <w:b/>
          <w:lang w:val="hy-AM"/>
        </w:rPr>
        <w:t>2025 թվականին գործազրկությունը նվազել է, իսկ զբաղվածություն</w:t>
      </w:r>
      <w:r>
        <w:rPr>
          <w:b/>
          <w:lang w:val="hy-AM"/>
        </w:rPr>
        <w:t>ը,</w:t>
      </w:r>
      <w:r w:rsidRPr="002206A6">
        <w:rPr>
          <w:b/>
          <w:lang w:val="hy-AM"/>
        </w:rPr>
        <w:t xml:space="preserve"> վարձու աշխատողների թվ</w:t>
      </w:r>
      <w:r>
        <w:rPr>
          <w:b/>
          <w:lang w:val="hy-AM"/>
        </w:rPr>
        <w:t>աքանակը</w:t>
      </w:r>
      <w:r w:rsidRPr="002206A6">
        <w:rPr>
          <w:b/>
          <w:lang w:val="hy-AM"/>
        </w:rPr>
        <w:t xml:space="preserve"> և </w:t>
      </w:r>
      <w:r w:rsidR="009B20C3">
        <w:rPr>
          <w:b/>
          <w:lang w:val="hy-AM"/>
        </w:rPr>
        <w:t>աշխատավարձերն</w:t>
      </w:r>
      <w:r w:rsidRPr="002206A6">
        <w:rPr>
          <w:b/>
          <w:lang w:val="hy-AM"/>
        </w:rPr>
        <w:t xml:space="preserve"> աճել</w:t>
      </w:r>
      <w:r>
        <w:rPr>
          <w:b/>
          <w:lang w:val="hy-AM"/>
        </w:rPr>
        <w:t xml:space="preserve"> են</w:t>
      </w:r>
      <w:r w:rsidRPr="002206A6">
        <w:rPr>
          <w:b/>
          <w:lang w:val="hy-AM"/>
        </w:rPr>
        <w:t>։</w:t>
      </w:r>
      <w:r w:rsidRPr="002206A6">
        <w:rPr>
          <w:lang w:val="hy-AM"/>
        </w:rPr>
        <w:t xml:space="preserve"> 2025 թվականի առաջին եռամսյակում գործազրկության մակարդակը կազմել է 14.0%` նախորդ տարվա նույն ժամանակահատվածի նկատմամբ նվազելով 1.5 տոկոսային կետով, իսկ զբաղվածության մակարդակն աճել է 1.4 տոկոսային կետով՝ կազմելով 50.1%: Միաժամանակ բարձրացել է նաև աշխատուժի մասնակցության մակարդակը՝ 57.7%-ից հասնելով 58.2%-ի: </w:t>
      </w:r>
      <w:r w:rsidRPr="009677F4">
        <w:rPr>
          <w:lang w:val="hy-AM"/>
        </w:rPr>
        <w:t>Նույն ժամանակաշրջանում զբաղվածների թիվն աճել է 3.9%-ով՝ կազմելով 1,159.4 հազ</w:t>
      </w:r>
      <w:r>
        <w:rPr>
          <w:lang w:val="hy-AM"/>
        </w:rPr>
        <w:t>.</w:t>
      </w:r>
      <w:r w:rsidRPr="009677F4">
        <w:rPr>
          <w:lang w:val="hy-AM"/>
        </w:rPr>
        <w:t xml:space="preserve"> մարդ, իսկ գործազուրկների թիվը նվազել է 7.9%-ով և կազմել՝ 188.2 հազ. մարդ:</w:t>
      </w:r>
    </w:p>
    <w:p w14:paraId="109B9B74" w14:textId="461BED68" w:rsidR="00FE3BE4" w:rsidRPr="009677F4" w:rsidRDefault="00FE3BE4" w:rsidP="00FE3BE4">
      <w:pPr>
        <w:pStyle w:val="BodyText1"/>
        <w:ind w:left="0"/>
        <w:rPr>
          <w:lang w:val="hy-AM"/>
        </w:rPr>
      </w:pPr>
      <w:r w:rsidRPr="009677F4">
        <w:rPr>
          <w:lang w:val="hy-AM"/>
        </w:rPr>
        <w:t>2025 թվականի հունվար-հուլիսին պաշտոնապես գրանցված գործազուրկների միջին ամսական թվ</w:t>
      </w:r>
      <w:r>
        <w:rPr>
          <w:lang w:val="hy-AM"/>
        </w:rPr>
        <w:t>աքանակ</w:t>
      </w:r>
      <w:r w:rsidRPr="009677F4">
        <w:rPr>
          <w:lang w:val="hy-AM"/>
        </w:rPr>
        <w:t xml:space="preserve">ը նախորդ տարվա նույն ժամանակահատվածի նկատմամբ նվազել է 16.2%-ով՝ կազմելով 36,926 մարդ: Նշված ժամանակահատվածում </w:t>
      </w:r>
      <w:r>
        <w:rPr>
          <w:lang w:val="hy-AM"/>
        </w:rPr>
        <w:t xml:space="preserve">շուրջ </w:t>
      </w:r>
      <w:r w:rsidRPr="009677F4">
        <w:rPr>
          <w:lang w:val="hy-AM"/>
        </w:rPr>
        <w:t>5.0%-ով աճել է վարձու աշխատողների թվ</w:t>
      </w:r>
      <w:r>
        <w:rPr>
          <w:lang w:val="hy-AM"/>
        </w:rPr>
        <w:t>աքանակ</w:t>
      </w:r>
      <w:r w:rsidRPr="009677F4">
        <w:rPr>
          <w:lang w:val="hy-AM"/>
        </w:rPr>
        <w:t xml:space="preserve">ը, որին հիմնականում նպաստել են առևտրի, շինարարության և պետական կառավարման և պաշտպանության ոլորտներում աշխատողների թվի աճը։ Վարձու աշխատողների թվի աճին հիմնականում նպաստել են տնտեսության դրական զարգացումները, </w:t>
      </w:r>
      <w:r w:rsidR="0055404A">
        <w:rPr>
          <w:lang w:val="hy-AM"/>
        </w:rPr>
        <w:t>Ղարաբաղի</w:t>
      </w:r>
      <w:r w:rsidRPr="009177ED">
        <w:rPr>
          <w:lang w:val="hy-AM"/>
        </w:rPr>
        <w:t xml:space="preserve"> բնակչության որոշ մասի՝ ՀՀ աշխատանքի շուկայում ընդգրկումը, </w:t>
      </w:r>
      <w:r w:rsidRPr="009677F4">
        <w:rPr>
          <w:lang w:val="hy-AM"/>
        </w:rPr>
        <w:t>ինչպես նաև սեզոնային աշխատողների (հիմնականում շինարարության ոլորտում)՝ արտերկրում գործունեության իրականացման փոխարեն ՀՀ-ում գործունեություն իրականացնելու նախընտրությունը</w:t>
      </w:r>
      <w:r>
        <w:rPr>
          <w:lang w:val="hy-AM"/>
        </w:rPr>
        <w:t xml:space="preserve">, ինչպես նաև </w:t>
      </w:r>
      <w:r w:rsidRPr="009677F4">
        <w:rPr>
          <w:lang w:val="hy-AM"/>
        </w:rPr>
        <w:t>ստվերի կրճատումը:</w:t>
      </w:r>
    </w:p>
    <w:p w14:paraId="3CA776C0" w14:textId="77777777" w:rsidR="00FE3BE4" w:rsidRPr="00C72B02" w:rsidRDefault="00FE3BE4" w:rsidP="00FE3BE4">
      <w:pPr>
        <w:pStyle w:val="BodyText1"/>
        <w:ind w:left="0"/>
      </w:pPr>
      <w:r w:rsidRPr="00A96125">
        <w:rPr>
          <w:b/>
          <w:lang w:val="hy-AM"/>
        </w:rPr>
        <w:t>2025 և 2026 թվականներին, ինչպես նաև միջնաժամկետում տնտեսական աճի պայմաններում աշխատանքի շուկայում կդրսևորվեն դրական զարգացումներ։</w:t>
      </w:r>
      <w:r w:rsidRPr="00A96125">
        <w:rPr>
          <w:lang w:val="hy-AM"/>
        </w:rPr>
        <w:t xml:space="preserve"> </w:t>
      </w:r>
      <w:r w:rsidRPr="00A96125">
        <w:t>Այս պայմաններում ակնկալվում է զբաղվածության աճ և գործազրկության նվազում։</w:t>
      </w:r>
      <w:r w:rsidRPr="004C55C9">
        <w:t xml:space="preserve">  </w:t>
      </w:r>
    </w:p>
    <w:tbl>
      <w:tblPr>
        <w:tblW w:w="0" w:type="auto"/>
        <w:tblLook w:val="04A0" w:firstRow="1" w:lastRow="0" w:firstColumn="1" w:lastColumn="0" w:noHBand="0" w:noVBand="1"/>
      </w:tblPr>
      <w:tblGrid>
        <w:gridCol w:w="4836"/>
        <w:gridCol w:w="31"/>
        <w:gridCol w:w="4808"/>
        <w:gridCol w:w="61"/>
      </w:tblGrid>
      <w:tr w:rsidR="00FE3BE4" w:rsidRPr="002C5359" w14:paraId="5290AC66" w14:textId="77777777" w:rsidTr="008D4E1E">
        <w:trPr>
          <w:gridAfter w:val="1"/>
          <w:wAfter w:w="61" w:type="dxa"/>
          <w:trHeight w:val="269"/>
        </w:trPr>
        <w:tc>
          <w:tcPr>
            <w:tcW w:w="4836" w:type="dxa"/>
            <w:hideMark/>
          </w:tcPr>
          <w:p w14:paraId="7F8373C5" w14:textId="77777777" w:rsidR="00FE3BE4" w:rsidRPr="002C5359" w:rsidRDefault="00FE3BE4" w:rsidP="008D4E1E">
            <w:pPr>
              <w:pStyle w:val="Charts"/>
              <w:spacing w:before="0"/>
              <w:rPr>
                <w:lang w:val="en-US"/>
              </w:rPr>
            </w:pPr>
            <w:bookmarkStart w:id="179" w:name="_Toc178595137"/>
            <w:r w:rsidRPr="002C5359">
              <w:rPr>
                <w:noProof/>
                <w:lang w:val="en-US"/>
              </w:rPr>
              <w:drawing>
                <wp:anchor distT="0" distB="0" distL="114300" distR="114300" simplePos="0" relativeHeight="251904000" behindDoc="0" locked="0" layoutInCell="1" allowOverlap="1" wp14:anchorId="32FC3343" wp14:editId="10476F9A">
                  <wp:simplePos x="0" y="0"/>
                  <wp:positionH relativeFrom="column">
                    <wp:posOffset>-3412</wp:posOffset>
                  </wp:positionH>
                  <wp:positionV relativeFrom="paragraph">
                    <wp:posOffset>432435</wp:posOffset>
                  </wp:positionV>
                  <wp:extent cx="2926080" cy="1645920"/>
                  <wp:effectExtent l="0" t="0" r="7620" b="11430"/>
                  <wp:wrapTopAndBottom/>
                  <wp:docPr id="1545876436" name="Chart 1545876436"/>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14:sizeRelV relativeFrom="margin">
                    <wp14:pctHeight>0</wp14:pctHeight>
                  </wp14:sizeRelV>
                </wp:anchor>
              </w:drawing>
            </w:r>
            <w:r w:rsidRPr="002C5359">
              <w:rPr>
                <w:sz w:val="20"/>
              </w:rPr>
              <w:t>Գծապատկեր 1.21. Գործազրկություն և զբաղվածություն</w:t>
            </w:r>
            <w:bookmarkEnd w:id="179"/>
          </w:p>
          <w:p w14:paraId="70FD4C77" w14:textId="77777777" w:rsidR="00FE3BE4" w:rsidRPr="002C5359" w:rsidRDefault="00FE3BE4" w:rsidP="008D4E1E">
            <w:pPr>
              <w:pStyle w:val="a0"/>
            </w:pPr>
            <w:r w:rsidRPr="002C5359">
              <w:t>Աղբյուրը՝ ՀՀ ՎԿ</w:t>
            </w:r>
          </w:p>
        </w:tc>
        <w:tc>
          <w:tcPr>
            <w:tcW w:w="4839" w:type="dxa"/>
            <w:gridSpan w:val="2"/>
            <w:hideMark/>
          </w:tcPr>
          <w:p w14:paraId="406B73D5" w14:textId="77777777" w:rsidR="00FE3BE4" w:rsidRPr="002C5359" w:rsidRDefault="00FE3BE4" w:rsidP="008D4E1E">
            <w:pPr>
              <w:pStyle w:val="Charts"/>
              <w:spacing w:before="0"/>
              <w:rPr>
                <w:sz w:val="20"/>
              </w:rPr>
            </w:pPr>
            <w:bookmarkStart w:id="180" w:name="_Toc178595138"/>
            <w:r w:rsidRPr="002C5359">
              <w:rPr>
                <w:noProof/>
                <w:lang w:val="en-US"/>
              </w:rPr>
              <w:drawing>
                <wp:anchor distT="0" distB="0" distL="114300" distR="114300" simplePos="0" relativeHeight="251906048" behindDoc="0" locked="0" layoutInCell="1" allowOverlap="1" wp14:anchorId="1F912DC1" wp14:editId="1F95118B">
                  <wp:simplePos x="0" y="0"/>
                  <wp:positionH relativeFrom="column">
                    <wp:posOffset>-68580</wp:posOffset>
                  </wp:positionH>
                  <wp:positionV relativeFrom="paragraph">
                    <wp:posOffset>431800</wp:posOffset>
                  </wp:positionV>
                  <wp:extent cx="2926080" cy="1645920"/>
                  <wp:effectExtent l="0" t="0" r="7620" b="11430"/>
                  <wp:wrapTopAndBottom/>
                  <wp:docPr id="1545876437" name="Chart 1545876437"/>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14:sizeRelV relativeFrom="margin">
                    <wp14:pctHeight>0</wp14:pctHeight>
                  </wp14:sizeRelV>
                </wp:anchor>
              </w:drawing>
            </w:r>
            <w:r w:rsidRPr="002C5359">
              <w:rPr>
                <w:sz w:val="20"/>
              </w:rPr>
              <w:t>Գծապատկեր 1.22. Աշխատուժի մասնակցության մակարդակ և աշխատավարձ</w:t>
            </w:r>
            <w:bookmarkEnd w:id="180"/>
            <w:r w:rsidRPr="002C5359">
              <w:rPr>
                <w:sz w:val="20"/>
              </w:rPr>
              <w:t xml:space="preserve"> </w:t>
            </w:r>
          </w:p>
          <w:p w14:paraId="75477CEE" w14:textId="77777777" w:rsidR="00FE3BE4" w:rsidRPr="002C5359" w:rsidRDefault="00FE3BE4" w:rsidP="008D4E1E">
            <w:pPr>
              <w:jc w:val="right"/>
            </w:pPr>
            <w:r w:rsidRPr="002C5359">
              <w:rPr>
                <w:rStyle w:val="Char0"/>
              </w:rPr>
              <w:t>Աղբյուրը՝ ՀՀ ՎԿ</w:t>
            </w:r>
          </w:p>
        </w:tc>
      </w:tr>
      <w:tr w:rsidR="00FE3BE4" w:rsidRPr="00150612" w14:paraId="338DC8F2" w14:textId="77777777" w:rsidTr="008D4E1E">
        <w:trPr>
          <w:trHeight w:val="4161"/>
        </w:trPr>
        <w:tc>
          <w:tcPr>
            <w:tcW w:w="4867" w:type="dxa"/>
            <w:gridSpan w:val="2"/>
            <w:hideMark/>
          </w:tcPr>
          <w:p w14:paraId="13329B4D" w14:textId="77777777" w:rsidR="00FE3BE4" w:rsidRPr="002C5359" w:rsidRDefault="00FE3BE4" w:rsidP="008D4E1E">
            <w:pPr>
              <w:rPr>
                <w:lang w:val="hy-AM"/>
              </w:rPr>
            </w:pPr>
            <w:r w:rsidRPr="002C5359">
              <w:rPr>
                <w:noProof/>
              </w:rPr>
              <w:drawing>
                <wp:anchor distT="0" distB="0" distL="114300" distR="114300" simplePos="0" relativeHeight="251905024" behindDoc="0" locked="0" layoutInCell="1" allowOverlap="1" wp14:anchorId="34CEBF76" wp14:editId="7A93F405">
                  <wp:simplePos x="0" y="0"/>
                  <wp:positionH relativeFrom="column">
                    <wp:posOffset>-3175</wp:posOffset>
                  </wp:positionH>
                  <wp:positionV relativeFrom="paragraph">
                    <wp:posOffset>583468</wp:posOffset>
                  </wp:positionV>
                  <wp:extent cx="2926080" cy="1645920"/>
                  <wp:effectExtent l="0" t="0" r="7620" b="11430"/>
                  <wp:wrapTopAndBottom/>
                  <wp:docPr id="1545876438" name="Chart 1545876438"/>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anchor>
              </w:drawing>
            </w:r>
            <w:r w:rsidRPr="002C5359">
              <w:rPr>
                <w:rFonts w:ascii="GHEA Grapalat" w:hAnsi="GHEA Grapalat"/>
                <w:b/>
                <w:sz w:val="20"/>
                <w:szCs w:val="20"/>
                <w:lang w:val="hy-AM"/>
              </w:rPr>
              <w:t>Գծապատկեր 1.23. Գործազրկություն, զբաղվածներ, վարձու աշխատողներ</w:t>
            </w:r>
            <w:r w:rsidRPr="002C5359">
              <w:rPr>
                <w:lang w:val="hy-AM"/>
              </w:rPr>
              <w:t xml:space="preserve"> </w:t>
            </w:r>
          </w:p>
          <w:p w14:paraId="177C8F13" w14:textId="77777777" w:rsidR="00FE3BE4" w:rsidRPr="002C5359" w:rsidRDefault="00FE3BE4" w:rsidP="008D4E1E">
            <w:pPr>
              <w:pStyle w:val="a0"/>
            </w:pPr>
            <w:r w:rsidRPr="002C5359">
              <w:t>Աղբյուրը՝ ՀՀ ՎԿ</w:t>
            </w:r>
          </w:p>
        </w:tc>
        <w:tc>
          <w:tcPr>
            <w:tcW w:w="4869" w:type="dxa"/>
            <w:gridSpan w:val="2"/>
            <w:hideMark/>
          </w:tcPr>
          <w:p w14:paraId="208984ED" w14:textId="77777777" w:rsidR="00FE3BE4" w:rsidRPr="00150612" w:rsidRDefault="00FE3BE4" w:rsidP="008D4E1E">
            <w:pPr>
              <w:jc w:val="both"/>
              <w:rPr>
                <w:sz w:val="20"/>
                <w:szCs w:val="20"/>
              </w:rPr>
            </w:pPr>
            <w:r w:rsidRPr="00150612">
              <w:rPr>
                <w:rFonts w:ascii="GHEA Grapalat" w:hAnsi="GHEA Grapalat"/>
                <w:b/>
                <w:noProof/>
                <w:sz w:val="20"/>
                <w:szCs w:val="20"/>
              </w:rPr>
              <w:drawing>
                <wp:anchor distT="0" distB="0" distL="114300" distR="114300" simplePos="0" relativeHeight="251902976" behindDoc="1" locked="0" layoutInCell="1" allowOverlap="1" wp14:anchorId="19056213" wp14:editId="7E9028EC">
                  <wp:simplePos x="0" y="0"/>
                  <wp:positionH relativeFrom="column">
                    <wp:posOffset>52856</wp:posOffset>
                  </wp:positionH>
                  <wp:positionV relativeFrom="paragraph">
                    <wp:posOffset>583565</wp:posOffset>
                  </wp:positionV>
                  <wp:extent cx="2926080" cy="1645920"/>
                  <wp:effectExtent l="0" t="0" r="7620" b="11430"/>
                  <wp:wrapTopAndBottom/>
                  <wp:docPr id="1545876439" name="Chart 1545876439"/>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14:sizeRelH relativeFrom="page">
                    <wp14:pctWidth>0</wp14:pctWidth>
                  </wp14:sizeRelH>
                  <wp14:sizeRelV relativeFrom="margin">
                    <wp14:pctHeight>0</wp14:pctHeight>
                  </wp14:sizeRelV>
                </wp:anchor>
              </w:drawing>
            </w:r>
            <w:r w:rsidRPr="00150612">
              <w:rPr>
                <w:rFonts w:ascii="GHEA Grapalat" w:hAnsi="GHEA Grapalat"/>
                <w:b/>
                <w:sz w:val="20"/>
                <w:szCs w:val="20"/>
                <w:lang w:val="hy-AM"/>
              </w:rPr>
              <w:t>Գծապատկեր 1.24. Աշխատուժի մասնակցության մակարդակ և աշխատավարձ</w:t>
            </w:r>
            <w:r w:rsidRPr="00150612">
              <w:rPr>
                <w:sz w:val="20"/>
                <w:szCs w:val="20"/>
              </w:rPr>
              <w:t xml:space="preserve"> </w:t>
            </w:r>
          </w:p>
          <w:p w14:paraId="56BD3457" w14:textId="77777777" w:rsidR="00FE3BE4" w:rsidRPr="00150612" w:rsidRDefault="00FE3BE4" w:rsidP="008D4E1E">
            <w:pPr>
              <w:pStyle w:val="a0"/>
            </w:pPr>
            <w:r w:rsidRPr="00150612">
              <w:t>Աղբյուրը՝ ՀՀ ՎԿ</w:t>
            </w:r>
          </w:p>
        </w:tc>
      </w:tr>
    </w:tbl>
    <w:p w14:paraId="6162AF7F" w14:textId="77777777" w:rsidR="00FE3BE4" w:rsidRPr="00315B35" w:rsidRDefault="00FE3BE4" w:rsidP="00FE3BE4">
      <w:pPr>
        <w:jc w:val="both"/>
        <w:rPr>
          <w:rFonts w:ascii="GHEA Grapalat" w:hAnsi="GHEA Grapalat"/>
          <w:szCs w:val="20"/>
          <w:lang w:val="hy-AM"/>
        </w:rPr>
      </w:pPr>
      <w:r w:rsidRPr="00315B35">
        <w:rPr>
          <w:rFonts w:ascii="GHEA Grapalat" w:hAnsi="GHEA Grapalat"/>
          <w:b/>
          <w:szCs w:val="20"/>
          <w:lang w:val="hy-AM"/>
        </w:rPr>
        <w:t>2022-2024 թվականներին տնտեսական աճն ուղեկցվել է աշխատավարձերի աճով</w:t>
      </w:r>
      <w:r>
        <w:rPr>
          <w:rFonts w:ascii="GHEA Grapalat" w:hAnsi="GHEA Grapalat"/>
          <w:b/>
          <w:szCs w:val="20"/>
          <w:lang w:val="hy-AM"/>
        </w:rPr>
        <w:t>:</w:t>
      </w:r>
      <w:r w:rsidRPr="00315B35">
        <w:rPr>
          <w:rFonts w:ascii="GHEA Grapalat" w:hAnsi="GHEA Grapalat"/>
          <w:szCs w:val="20"/>
          <w:lang w:val="hy-AM"/>
        </w:rPr>
        <w:t xml:space="preserve"> </w:t>
      </w:r>
      <w:r>
        <w:rPr>
          <w:rFonts w:ascii="GHEA Grapalat" w:hAnsi="GHEA Grapalat"/>
          <w:szCs w:val="20"/>
          <w:lang w:val="hy-AM"/>
        </w:rPr>
        <w:t xml:space="preserve">Վերջին երեք տարիներին </w:t>
      </w:r>
      <w:r w:rsidRPr="00315B35">
        <w:rPr>
          <w:rFonts w:ascii="GHEA Grapalat" w:hAnsi="GHEA Grapalat"/>
          <w:szCs w:val="20"/>
          <w:lang w:val="hy-AM"/>
        </w:rPr>
        <w:t>գրանց</w:t>
      </w:r>
      <w:r>
        <w:rPr>
          <w:rFonts w:ascii="GHEA Grapalat" w:hAnsi="GHEA Grapalat"/>
          <w:szCs w:val="20"/>
          <w:lang w:val="hy-AM"/>
        </w:rPr>
        <w:t xml:space="preserve">վել է անվանական աշխատավարձերի </w:t>
      </w:r>
      <w:r w:rsidRPr="00315B35">
        <w:rPr>
          <w:rFonts w:ascii="GHEA Grapalat" w:hAnsi="GHEA Grapalat"/>
          <w:szCs w:val="20"/>
          <w:lang w:val="hy-AM"/>
        </w:rPr>
        <w:t>միջինում 12.</w:t>
      </w:r>
      <w:r>
        <w:rPr>
          <w:rFonts w:ascii="GHEA Grapalat" w:hAnsi="GHEA Grapalat"/>
          <w:szCs w:val="20"/>
        </w:rPr>
        <w:t>1</w:t>
      </w:r>
      <w:r w:rsidRPr="00315B35">
        <w:rPr>
          <w:rFonts w:ascii="GHEA Grapalat" w:hAnsi="GHEA Grapalat"/>
          <w:szCs w:val="20"/>
          <w:lang w:val="hy-AM"/>
        </w:rPr>
        <w:t>% աճ, իսկ իրական աշխատավարձերը միջինում աճել են 8.2%-ով:</w:t>
      </w:r>
    </w:p>
    <w:p w14:paraId="21F39532" w14:textId="77777777" w:rsidR="00FE3BE4" w:rsidRPr="00D8611C" w:rsidRDefault="00FE3BE4" w:rsidP="00FE3BE4">
      <w:pPr>
        <w:pStyle w:val="BodyText1"/>
        <w:ind w:left="0"/>
        <w:rPr>
          <w:lang w:val="hy-AM"/>
        </w:rPr>
      </w:pPr>
      <w:r w:rsidRPr="00D8611C">
        <w:rPr>
          <w:lang w:val="hy-AM"/>
        </w:rPr>
        <w:t>2025 թվականի հունվար-հուլիսին տնտեսությունում միջին ամսական անվանական աշխատավարձն աճել է 5.7%-ով՝ կազմելով 296,070 դրամ, ինչը հիմնականում պայմանավորված է եղել առևտրի, կրթության, մշակող արդյունաբերության ոլորտների աշխատավարձերի աճով:</w:t>
      </w:r>
    </w:p>
    <w:p w14:paraId="18AF74E2" w14:textId="77777777" w:rsidR="00FE3BE4" w:rsidRPr="006934A1" w:rsidRDefault="00FE3BE4" w:rsidP="00FE3BE4">
      <w:pPr>
        <w:pStyle w:val="BodyText1"/>
        <w:ind w:left="0"/>
        <w:rPr>
          <w:lang w:val="hy-AM"/>
        </w:rPr>
      </w:pPr>
      <w:r w:rsidRPr="00D8611C">
        <w:rPr>
          <w:lang w:val="hy-AM"/>
        </w:rPr>
        <w:t>Միաժամանակ, սպառողական գների ինդեքսի 3.2% աճի պայմաններում իրական աշխատավարձն աճել է շուրջ 2.5%-ով: Պետական հատվածում միջին ամսական անվանական աշխատավարձն աճել է 5.1%-ով՝ կազմելով 227,315 դրամ, մասնավոր հատվածում՝ 5.6%-ով՝ կազմելով 322,758 դրամ:</w:t>
      </w:r>
    </w:p>
    <w:p w14:paraId="1E23D427" w14:textId="77777777" w:rsidR="00FE3BE4" w:rsidRPr="00E77731" w:rsidRDefault="00FE3BE4" w:rsidP="00104E7A">
      <w:pPr>
        <w:pStyle w:val="TOC4"/>
        <w:outlineLvl w:val="2"/>
        <w:rPr>
          <w:lang w:val="hy-AM"/>
        </w:rPr>
      </w:pPr>
      <w:bookmarkStart w:id="181" w:name="_Toc170926296"/>
      <w:bookmarkStart w:id="182" w:name="_Toc170750535"/>
      <w:bookmarkStart w:id="183" w:name="_Toc170743031"/>
      <w:bookmarkStart w:id="184" w:name="_Toc215157670"/>
      <w:r w:rsidRPr="00E77731">
        <w:rPr>
          <w:lang w:val="hy-AM"/>
        </w:rPr>
        <w:t>1.3.3. ՀՀ ՎՃԱՐԱՅԻՆ ՀԱՇՎԵԿՇԻՌ, ԱՐՏԱՀԱՆՈՒՄ և ՆԵՐՄՈՒԾՈՒՄ</w:t>
      </w:r>
      <w:bookmarkEnd w:id="181"/>
      <w:bookmarkEnd w:id="182"/>
      <w:bookmarkEnd w:id="183"/>
      <w:bookmarkEnd w:id="184"/>
      <w:r w:rsidRPr="00E77731">
        <w:rPr>
          <w:lang w:val="hy-AM"/>
        </w:rPr>
        <w:t xml:space="preserve"> </w:t>
      </w:r>
    </w:p>
    <w:p w14:paraId="5F8E8BAC" w14:textId="77777777" w:rsidR="00FE3BE4" w:rsidRDefault="00FE3BE4" w:rsidP="00FE3BE4">
      <w:pPr>
        <w:pStyle w:val="BodyText1"/>
        <w:ind w:left="-90"/>
        <w:rPr>
          <w:rFonts w:eastAsia="Calibri" w:cs="Times Armenian"/>
          <w:color w:val="auto"/>
          <w:szCs w:val="22"/>
          <w:lang w:val="hy-AM"/>
        </w:rPr>
      </w:pPr>
      <w:bookmarkStart w:id="185" w:name="_Toc170926297"/>
      <w:bookmarkStart w:id="186" w:name="_Toc170750536"/>
      <w:bookmarkStart w:id="187" w:name="_Toc170743032"/>
      <w:bookmarkStart w:id="188" w:name="_Toc170926298"/>
      <w:bookmarkStart w:id="189" w:name="_Toc170750537"/>
      <w:bookmarkStart w:id="190" w:name="_Toc170743033"/>
      <w:r w:rsidRPr="00B567C0">
        <w:rPr>
          <w:b/>
          <w:lang w:val="hy-AM"/>
        </w:rPr>
        <w:t>202</w:t>
      </w:r>
      <w:r>
        <w:rPr>
          <w:b/>
          <w:lang w:val="hy-AM"/>
        </w:rPr>
        <w:t>2</w:t>
      </w:r>
      <w:r w:rsidRPr="00B567C0">
        <w:rPr>
          <w:b/>
          <w:lang w:val="hy-AM"/>
        </w:rPr>
        <w:t>-202</w:t>
      </w:r>
      <w:r>
        <w:rPr>
          <w:b/>
          <w:lang w:val="hy-AM"/>
        </w:rPr>
        <w:t>4</w:t>
      </w:r>
      <w:r w:rsidRPr="00B567C0">
        <w:rPr>
          <w:b/>
          <w:lang w:val="hy-AM"/>
        </w:rPr>
        <w:t xml:space="preserve">թթ. վճարային հաշվեկշռի ընթացիկ հաշվի պակասուրդը նախորդ երեք տարիների որոշակի վատթարացումից հետո բարելավվել է` միջինում կազմելով ՀՆԱ-ի </w:t>
      </w:r>
      <w:r>
        <w:rPr>
          <w:b/>
          <w:lang w:val="hy-AM"/>
        </w:rPr>
        <w:t>2.2</w:t>
      </w:r>
      <w:r w:rsidRPr="00B567C0">
        <w:rPr>
          <w:b/>
          <w:lang w:val="hy-AM"/>
        </w:rPr>
        <w:t>%-ը:</w:t>
      </w:r>
      <w:r w:rsidRPr="00E77731">
        <w:rPr>
          <w:lang w:val="hy-AM"/>
        </w:rPr>
        <w:t xml:space="preserve"> </w:t>
      </w:r>
      <w:r>
        <w:rPr>
          <w:rFonts w:eastAsia="Times New Roman" w:cs="Times New Roman"/>
          <w:color w:val="auto"/>
          <w:szCs w:val="22"/>
          <w:lang w:val="hy-AM"/>
        </w:rPr>
        <w:t>Ռ</w:t>
      </w:r>
      <w:r w:rsidRPr="000E5A88">
        <w:rPr>
          <w:rFonts w:eastAsia="Times New Roman" w:cs="Times New Roman"/>
          <w:color w:val="auto"/>
          <w:szCs w:val="22"/>
          <w:lang w:val="hy-AM"/>
        </w:rPr>
        <w:t>ուս-ուկրաինական հակամարտության և ՌԴ-ի նկատմամբ կիրառվող աննախադեպ պատժամիջոցների հետևանք</w:t>
      </w:r>
      <w:r w:rsidRPr="000E5A88">
        <w:rPr>
          <w:rFonts w:eastAsia="Calibri" w:cs="Times New Roman"/>
          <w:color w:val="auto"/>
          <w:szCs w:val="22"/>
          <w:lang w:val="hy-AM"/>
        </w:rPr>
        <w:t xml:space="preserve">ով ՀՀ-ից դեպի Ռուսաստան արտահանման պահանջարկի ավելացման, </w:t>
      </w:r>
      <w:r w:rsidRPr="000E5A88">
        <w:rPr>
          <w:rFonts w:eastAsia="Times New Roman" w:cs="Times New Roman"/>
          <w:color w:val="auto"/>
          <w:szCs w:val="22"/>
          <w:lang w:val="hy-AM"/>
        </w:rPr>
        <w:t>զբոսաշրջության զգալի ավելացման</w:t>
      </w:r>
      <w:r w:rsidRPr="000E5A88">
        <w:rPr>
          <w:rFonts w:eastAsia="Calibri" w:cs="Times New Roman"/>
          <w:color w:val="auto"/>
          <w:szCs w:val="22"/>
          <w:lang w:val="hy-AM"/>
        </w:rPr>
        <w:t xml:space="preserve"> </w:t>
      </w:r>
      <w:r w:rsidRPr="000E5A88">
        <w:rPr>
          <w:rFonts w:eastAsia="Calibri" w:cs="Times Armenian"/>
          <w:color w:val="auto"/>
          <w:szCs w:val="22"/>
          <w:lang w:val="hy-AM"/>
        </w:rPr>
        <w:t>պայմաններում ընթացիկ հաշվ</w:t>
      </w:r>
      <w:r>
        <w:rPr>
          <w:rFonts w:eastAsia="Calibri" w:cs="Times Armenian"/>
          <w:color w:val="auto"/>
          <w:szCs w:val="22"/>
          <w:lang w:val="hy-AM"/>
        </w:rPr>
        <w:t xml:space="preserve">ի բարելավումը հիմնականում պայմանավորվել </w:t>
      </w:r>
      <w:r w:rsidRPr="000E5A88">
        <w:rPr>
          <w:rFonts w:eastAsia="Calibri" w:cs="Times Armenian"/>
          <w:color w:val="auto"/>
          <w:szCs w:val="22"/>
          <w:lang w:val="hy-AM"/>
        </w:rPr>
        <w:t>է ապրանքների և ծառայությունների հաշվեկշռի բարելավմամբ։</w:t>
      </w:r>
      <w:r>
        <w:rPr>
          <w:rFonts w:eastAsia="Calibri" w:cs="Times Armenian"/>
          <w:color w:val="auto"/>
          <w:szCs w:val="22"/>
          <w:lang w:val="hy-AM"/>
        </w:rPr>
        <w:t xml:space="preserve"> </w:t>
      </w:r>
    </w:p>
    <w:p w14:paraId="7A912577" w14:textId="77777777" w:rsidR="00FE3BE4" w:rsidRDefault="00FE3BE4" w:rsidP="00FE3BE4">
      <w:pPr>
        <w:pStyle w:val="BodyText1"/>
        <w:ind w:left="-90"/>
        <w:rPr>
          <w:lang w:val="hy-AM"/>
        </w:rPr>
      </w:pPr>
      <w:r w:rsidRPr="000D4692">
        <w:rPr>
          <w:b/>
          <w:lang w:val="hy-AM"/>
        </w:rPr>
        <w:t>Ընթացիկ հաշվի պակասուրդը 2024թ. նախորդ տարվա համեմատ վատթարացել է՝ կազմելով ՀՆԱ-ի 4.6%-ը:</w:t>
      </w:r>
      <w:r w:rsidRPr="00AA3BBC">
        <w:rPr>
          <w:lang w:val="hy-AM"/>
        </w:rPr>
        <w:t xml:space="preserve"> </w:t>
      </w:r>
      <w:r>
        <w:rPr>
          <w:lang w:val="hy-AM"/>
        </w:rPr>
        <w:t>Վ</w:t>
      </w:r>
      <w:r w:rsidRPr="00AA3BBC">
        <w:rPr>
          <w:lang w:val="hy-AM"/>
        </w:rPr>
        <w:t>ատթարացումը հիմնականում պայմանավորված է եղել ծառայությունների հաշվեկշռի վատթարացմամբ, ինչպես նաև սկզբնական եկամուտների</w:t>
      </w:r>
      <w:r>
        <w:rPr>
          <w:lang w:val="hy-AM"/>
        </w:rPr>
        <w:t xml:space="preserve"> բացասական հաշվեկշռի խորացմամբ</w:t>
      </w:r>
      <w:r w:rsidRPr="00AA3BBC">
        <w:rPr>
          <w:lang w:val="hy-AM"/>
        </w:rPr>
        <w:t xml:space="preserve">: Դոլարային արտահայտությամբ ապրանքների և ծառայությունների բացասական հաշվեկշիռը կազմել է ՀՆԱ-ի </w:t>
      </w:r>
      <w:r>
        <w:rPr>
          <w:lang w:val="hy-AM"/>
        </w:rPr>
        <w:t>2</w:t>
      </w:r>
      <w:r w:rsidRPr="00AA3BBC">
        <w:rPr>
          <w:lang w:val="hy-AM"/>
        </w:rPr>
        <w:t>.8%-ը` նախորդ տարվա համեմատ վատթարանալով 1</w:t>
      </w:r>
      <w:r>
        <w:rPr>
          <w:lang w:val="hy-AM"/>
        </w:rPr>
        <w:t>.4</w:t>
      </w:r>
      <w:r w:rsidRPr="00AA3BBC">
        <w:rPr>
          <w:lang w:val="hy-AM"/>
        </w:rPr>
        <w:t xml:space="preserve"> տոկոսային կետով, </w:t>
      </w:r>
      <w:r>
        <w:rPr>
          <w:lang w:val="hy-AM"/>
        </w:rPr>
        <w:t>որին մեծ նպաստում է</w:t>
      </w:r>
      <w:r w:rsidRPr="00AA3BBC">
        <w:rPr>
          <w:lang w:val="hy-AM"/>
        </w:rPr>
        <w:t xml:space="preserve"> </w:t>
      </w:r>
      <w:r>
        <w:rPr>
          <w:lang w:val="hy-AM"/>
        </w:rPr>
        <w:t xml:space="preserve">ունեցել </w:t>
      </w:r>
      <w:r w:rsidRPr="00AA3BBC">
        <w:rPr>
          <w:lang w:val="hy-AM"/>
        </w:rPr>
        <w:t xml:space="preserve">ծառայությունների հաշվեկշռի՝ ՀՆԱ-ում </w:t>
      </w:r>
      <w:r>
        <w:rPr>
          <w:lang w:val="hy-AM"/>
        </w:rPr>
        <w:t>3</w:t>
      </w:r>
      <w:r w:rsidRPr="00AA3BBC">
        <w:rPr>
          <w:lang w:val="hy-AM"/>
        </w:rPr>
        <w:t xml:space="preserve"> տոկոսային կետ </w:t>
      </w:r>
      <w:r>
        <w:rPr>
          <w:lang w:val="hy-AM"/>
        </w:rPr>
        <w:t>վատթարացումը</w:t>
      </w:r>
      <w:r w:rsidRPr="00AA3BBC">
        <w:rPr>
          <w:lang w:val="hy-AM"/>
        </w:rPr>
        <w:t>:</w:t>
      </w:r>
      <w:r>
        <w:rPr>
          <w:lang w:val="hy-AM"/>
        </w:rPr>
        <w:t xml:space="preserve"> Դ</w:t>
      </w:r>
      <w:r w:rsidRPr="00AA3BBC">
        <w:rPr>
          <w:lang w:val="hy-AM"/>
        </w:rPr>
        <w:t>րամական փոխանցումները 2024թ. նվազել են շուրջ 2</w:t>
      </w:r>
      <w:r>
        <w:rPr>
          <w:lang w:val="hy-AM"/>
        </w:rPr>
        <w:t>1</w:t>
      </w:r>
      <w:r w:rsidRPr="00AA3BBC">
        <w:rPr>
          <w:lang w:val="hy-AM"/>
        </w:rPr>
        <w:t>%-ով` պայմանավորված ինչպես ներհոսքի նվազմամբ (հատկապես` ՌԴ</w:t>
      </w:r>
      <w:r>
        <w:rPr>
          <w:lang w:val="hy-AM"/>
        </w:rPr>
        <w:t>-</w:t>
      </w:r>
      <w:r w:rsidRPr="00AA3BBC">
        <w:rPr>
          <w:lang w:val="hy-AM"/>
        </w:rPr>
        <w:t xml:space="preserve">ից), այնպես էլ դեպի այլ երկրներ արտահոսքի ավելացմամբ: </w:t>
      </w:r>
      <w:r>
        <w:rPr>
          <w:lang w:val="hy-AM"/>
        </w:rPr>
        <w:t xml:space="preserve">Վերը նշված գործոններով պայմանավորված </w:t>
      </w:r>
      <w:r w:rsidRPr="00AA3BBC">
        <w:rPr>
          <w:lang w:val="hy-AM"/>
        </w:rPr>
        <w:t>2024թ. նախորդ տարվա համեմատ ՀՆԱ-ում ընթացիկ հաշվի պակասուրդը վատթարացել է 1.</w:t>
      </w:r>
      <w:r>
        <w:rPr>
          <w:lang w:val="hy-AM"/>
        </w:rPr>
        <w:t>8</w:t>
      </w:r>
      <w:r w:rsidRPr="00AA3BBC">
        <w:rPr>
          <w:lang w:val="hy-AM"/>
        </w:rPr>
        <w:t xml:space="preserve"> տոկոսային կետով:</w:t>
      </w:r>
    </w:p>
    <w:p w14:paraId="2D573A39" w14:textId="77777777" w:rsidR="00FE3BE4" w:rsidRDefault="00FE3BE4" w:rsidP="00FE3BE4">
      <w:pPr>
        <w:pStyle w:val="BodyText1"/>
        <w:ind w:left="-90"/>
        <w:rPr>
          <w:lang w:val="hy-AM"/>
        </w:rPr>
      </w:pPr>
      <w:r>
        <w:rPr>
          <w:b/>
          <w:bCs/>
          <w:lang w:val="hy-AM"/>
        </w:rPr>
        <w:t>2025թ. հունվար-հուլիս</w:t>
      </w:r>
      <w:r w:rsidRPr="00065CFD">
        <w:rPr>
          <w:b/>
          <w:bCs/>
          <w:lang w:val="hy-AM"/>
        </w:rPr>
        <w:t xml:space="preserve"> ամիսներին առևտրային հաշվեկշռի բացասական մնացորդը, արտահանման առաջանցիկ նվազմամբ պայմանավորված, նախորդ տարվա նույն ժամանակաշրջանի նկատմամբ վատթարացել է:</w:t>
      </w:r>
      <w:r w:rsidRPr="00AA3BBC">
        <w:rPr>
          <w:lang w:val="hy-AM"/>
        </w:rPr>
        <w:t xml:space="preserve"> Միաժամանակ, </w:t>
      </w:r>
      <w:r>
        <w:rPr>
          <w:lang w:val="hy-AM"/>
        </w:rPr>
        <w:t xml:space="preserve">վերը </w:t>
      </w:r>
      <w:r w:rsidRPr="00AA3BBC">
        <w:rPr>
          <w:lang w:val="hy-AM"/>
        </w:rPr>
        <w:t xml:space="preserve">նշված ժամանակահատվածում ՀՀ այցելած զբոսաշրջիկների թվաքանակը նվազել է, </w:t>
      </w:r>
      <w:r>
        <w:rPr>
          <w:lang w:val="hy-AM"/>
        </w:rPr>
        <w:t>իսկ</w:t>
      </w:r>
      <w:r w:rsidRPr="00AA3BBC">
        <w:rPr>
          <w:lang w:val="hy-AM"/>
        </w:rPr>
        <w:t xml:space="preserve"> ՀՀ-ից մեկնած զբոսաշրջիկների թվաքանակ</w:t>
      </w:r>
      <w:r>
        <w:rPr>
          <w:lang w:val="hy-AM"/>
        </w:rPr>
        <w:t>ն</w:t>
      </w:r>
      <w:r w:rsidRPr="00AA3BBC">
        <w:rPr>
          <w:lang w:val="hy-AM"/>
        </w:rPr>
        <w:t xml:space="preserve"> աճել</w:t>
      </w:r>
      <w:r>
        <w:rPr>
          <w:lang w:val="hy-AM"/>
        </w:rPr>
        <w:t xml:space="preserve"> է, որն իր </w:t>
      </w:r>
      <w:r w:rsidRPr="00AA3BBC">
        <w:rPr>
          <w:lang w:val="hy-AM"/>
        </w:rPr>
        <w:t xml:space="preserve">բացասական ազդեցություն </w:t>
      </w:r>
      <w:r>
        <w:rPr>
          <w:lang w:val="hy-AM"/>
        </w:rPr>
        <w:t xml:space="preserve">է ունեցել </w:t>
      </w:r>
      <w:r w:rsidRPr="00AA3BBC">
        <w:rPr>
          <w:lang w:val="hy-AM"/>
        </w:rPr>
        <w:t>ծառայությունների հաշվեկշռի վրա: Իսկ ՀՀ բանկերի միջոցով ֆիզիկական անձանց անունով արտերկրից ստացված ոչ առևտրային բնույթի զուտ դրամական փոխանցումներն աճել են</w:t>
      </w:r>
      <w:r>
        <w:rPr>
          <w:lang w:val="hy-AM"/>
        </w:rPr>
        <w:t xml:space="preserve"> 25.9</w:t>
      </w:r>
      <w:r w:rsidRPr="006934A1">
        <w:rPr>
          <w:lang w:val="hy-AM"/>
        </w:rPr>
        <w:t>%</w:t>
      </w:r>
      <w:r>
        <w:rPr>
          <w:lang w:val="hy-AM"/>
        </w:rPr>
        <w:t>-ով</w:t>
      </w:r>
      <w:r w:rsidRPr="00AA3BBC">
        <w:rPr>
          <w:lang w:val="hy-AM"/>
        </w:rPr>
        <w:t>:</w:t>
      </w:r>
    </w:p>
    <w:p w14:paraId="06615714" w14:textId="77777777" w:rsidR="00FE3BE4" w:rsidRPr="00EC243E" w:rsidRDefault="00FE3BE4" w:rsidP="00FE3BE4">
      <w:pPr>
        <w:rPr>
          <w:lang w:val="hy-AM"/>
        </w:rPr>
      </w:pPr>
    </w:p>
    <w:p w14:paraId="5F5660D9" w14:textId="77777777" w:rsidR="00FE3BE4" w:rsidRDefault="00FE3BE4" w:rsidP="00FE3BE4">
      <w:pPr>
        <w:pStyle w:val="BodyText1"/>
        <w:rPr>
          <w:lang w:val="hy-AM"/>
        </w:rPr>
      </w:pPr>
      <w:r w:rsidRPr="00AA3BBC">
        <w:rPr>
          <w:lang w:val="hy-AM"/>
        </w:rPr>
        <w:tab/>
      </w: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56"/>
        <w:gridCol w:w="5106"/>
      </w:tblGrid>
      <w:tr w:rsidR="00FE3BE4" w:rsidRPr="009D765F" w14:paraId="57BCB6B6" w14:textId="77777777" w:rsidTr="008D4E1E">
        <w:trPr>
          <w:trHeight w:val="5794"/>
        </w:trPr>
        <w:tc>
          <w:tcPr>
            <w:tcW w:w="4956" w:type="dxa"/>
          </w:tcPr>
          <w:p w14:paraId="0FCE42B8" w14:textId="77777777" w:rsidR="00FE3BE4" w:rsidRPr="00FE5713" w:rsidRDefault="00FE3BE4" w:rsidP="008D4E1E">
            <w:pPr>
              <w:keepNext/>
              <w:keepLines/>
              <w:tabs>
                <w:tab w:val="left" w:pos="0"/>
                <w:tab w:val="left" w:pos="284"/>
                <w:tab w:val="left" w:pos="1276"/>
                <w:tab w:val="left" w:pos="1888"/>
              </w:tabs>
              <w:autoSpaceDE w:val="0"/>
              <w:autoSpaceDN w:val="0"/>
              <w:adjustRightInd w:val="0"/>
              <w:spacing w:after="0"/>
              <w:contextualSpacing/>
              <w:rPr>
                <w:rFonts w:eastAsia="Calibri" w:cs="Sylfaen"/>
                <w:b/>
                <w:i/>
                <w:sz w:val="18"/>
                <w:lang w:val="hy-AM"/>
              </w:rPr>
            </w:pPr>
            <w:r w:rsidRPr="000536C8">
              <w:rPr>
                <w:rFonts w:eastAsia="Calibri" w:cs="Times New Roman"/>
                <w:b/>
                <w:i/>
                <w:noProof/>
                <w:sz w:val="18"/>
                <w:szCs w:val="18"/>
                <w:lang w:val="hy-AM"/>
              </w:rPr>
              <w:t>Գծապատկեր</w:t>
            </w:r>
            <w:r>
              <w:rPr>
                <w:rFonts w:eastAsia="Calibri" w:cs="Times New Roman"/>
                <w:b/>
                <w:i/>
                <w:noProof/>
                <w:sz w:val="18"/>
                <w:szCs w:val="18"/>
                <w:lang w:val="hy-AM"/>
              </w:rPr>
              <w:t xml:space="preserve"> 1.2</w:t>
            </w:r>
            <w:r w:rsidRPr="00C83848">
              <w:rPr>
                <w:rFonts w:eastAsia="Calibri" w:cs="Times New Roman"/>
                <w:b/>
                <w:i/>
                <w:noProof/>
                <w:sz w:val="18"/>
                <w:szCs w:val="18"/>
                <w:lang w:val="hy-AM"/>
              </w:rPr>
              <w:t>5</w:t>
            </w:r>
            <w:r w:rsidRPr="000536C8">
              <w:rPr>
                <w:rFonts w:eastAsia="Calibri" w:cs="Times New Roman"/>
                <w:b/>
                <w:i/>
                <w:noProof/>
                <w:sz w:val="18"/>
                <w:szCs w:val="18"/>
                <w:lang w:val="hy-AM"/>
              </w:rPr>
              <w:t xml:space="preserve">. </w:t>
            </w:r>
            <w:r w:rsidRPr="000536C8">
              <w:rPr>
                <w:rFonts w:eastAsia="Calibri" w:cs="Sylfaen"/>
                <w:i/>
                <w:sz w:val="18"/>
                <w:lang w:val="hy-AM"/>
              </w:rPr>
              <w:t>Ընթացիկ հաշվի և դրա բաղադրատարրերի դինամիկան, % ՀՆԱ-ում</w:t>
            </w:r>
          </w:p>
          <w:p w14:paraId="76E2572B" w14:textId="77777777" w:rsidR="00FE3BE4" w:rsidRPr="000536C8" w:rsidRDefault="00FE3BE4" w:rsidP="008D4E1E">
            <w:pPr>
              <w:keepNext/>
              <w:spacing w:after="0"/>
              <w:contextualSpacing/>
              <w:rPr>
                <w:rFonts w:eastAsia="GHEA Grapalat" w:cs="GHEA Grapalat"/>
                <w:i/>
                <w:sz w:val="18"/>
                <w:szCs w:val="18"/>
                <w:lang w:val="hy-AM"/>
              </w:rPr>
            </w:pPr>
            <w:r w:rsidRPr="000536C8">
              <w:rPr>
                <w:rFonts w:eastAsia="Times New Roman" w:cs="Times New Roman"/>
                <w:noProof/>
                <w:sz w:val="20"/>
                <w:szCs w:val="20"/>
              </w:rPr>
              <w:drawing>
                <wp:inline distT="0" distB="0" distL="0" distR="0" wp14:anchorId="7B7EE482" wp14:editId="4E115C51">
                  <wp:extent cx="3002400" cy="2519680"/>
                  <wp:effectExtent l="0" t="0" r="7620" b="13970"/>
                  <wp:docPr id="1545876440" name="Chart 13"/>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r w:rsidRPr="000536C8">
              <w:rPr>
                <w:rFonts w:eastAsia="GHEA Grapalat" w:cs="GHEA Grapalat"/>
                <w:i/>
                <w:sz w:val="16"/>
                <w:szCs w:val="16"/>
                <w:lang w:val="hy-AM"/>
              </w:rPr>
              <w:t>Աղբյուրը՝ ՀՀ ՎԿ, ՀՀ ՖՆ հաշվարկներ</w:t>
            </w:r>
          </w:p>
          <w:p w14:paraId="64371404" w14:textId="77777777" w:rsidR="00FE3BE4" w:rsidRPr="000536C8" w:rsidRDefault="00FE3BE4" w:rsidP="008D4E1E">
            <w:pPr>
              <w:keepNext/>
              <w:keepLines/>
              <w:tabs>
                <w:tab w:val="left" w:pos="0"/>
                <w:tab w:val="left" w:pos="284"/>
                <w:tab w:val="left" w:pos="1276"/>
                <w:tab w:val="left" w:pos="1888"/>
              </w:tabs>
              <w:autoSpaceDE w:val="0"/>
              <w:autoSpaceDN w:val="0"/>
              <w:adjustRightInd w:val="0"/>
              <w:spacing w:after="0"/>
              <w:contextualSpacing/>
              <w:rPr>
                <w:rFonts w:eastAsia="Calibri" w:cs="Sylfaen"/>
                <w:b/>
                <w:i/>
                <w:sz w:val="18"/>
                <w:lang w:val="hy-AM"/>
              </w:rPr>
            </w:pPr>
            <w:r w:rsidRPr="000536C8">
              <w:rPr>
                <w:rFonts w:eastAsia="Calibri" w:cs="Times New Roman"/>
                <w:b/>
                <w:i/>
                <w:noProof/>
                <w:sz w:val="18"/>
                <w:szCs w:val="18"/>
                <w:lang w:val="hy-AM"/>
              </w:rPr>
              <w:t>Գծապատկեր 1.2</w:t>
            </w:r>
            <w:r w:rsidRPr="00C83848">
              <w:rPr>
                <w:rFonts w:eastAsia="Calibri" w:cs="Times New Roman"/>
                <w:b/>
                <w:i/>
                <w:noProof/>
                <w:sz w:val="18"/>
                <w:szCs w:val="18"/>
                <w:lang w:val="hy-AM"/>
              </w:rPr>
              <w:t>7</w:t>
            </w:r>
            <w:r w:rsidRPr="000536C8">
              <w:rPr>
                <w:rFonts w:eastAsia="Calibri" w:cs="Times New Roman"/>
                <w:b/>
                <w:i/>
                <w:noProof/>
                <w:sz w:val="18"/>
                <w:szCs w:val="18"/>
                <w:lang w:val="hy-AM"/>
              </w:rPr>
              <w:t xml:space="preserve">. </w:t>
            </w:r>
            <w:r w:rsidRPr="000536C8">
              <w:rPr>
                <w:rFonts w:eastAsia="Calibri" w:cs="Sylfaen"/>
                <w:i/>
                <w:sz w:val="18"/>
                <w:lang w:val="hy-AM"/>
              </w:rPr>
              <w:t>Ծառայությունների արտահանում, ներմուծում և հաշվեկշռի դինամիկան, մլն ԱՄՆ դոլար</w:t>
            </w:r>
          </w:p>
          <w:p w14:paraId="3007BFFC" w14:textId="77777777" w:rsidR="00FE3BE4" w:rsidRPr="000536C8" w:rsidRDefault="00FE3BE4" w:rsidP="008D4E1E">
            <w:pPr>
              <w:keepNext/>
              <w:spacing w:after="0"/>
              <w:contextualSpacing/>
              <w:rPr>
                <w:rFonts w:eastAsia="GHEA Grapalat" w:cs="GHEA Grapalat"/>
                <w:b/>
                <w:i/>
                <w:sz w:val="20"/>
                <w:szCs w:val="20"/>
              </w:rPr>
            </w:pPr>
            <w:r w:rsidRPr="000536C8">
              <w:rPr>
                <w:rFonts w:eastAsia="Times New Roman" w:cs="Times New Roman"/>
                <w:noProof/>
              </w:rPr>
              <w:drawing>
                <wp:inline distT="0" distB="0" distL="0" distR="0" wp14:anchorId="0B0F6A78" wp14:editId="6974254E">
                  <wp:extent cx="2995200" cy="2355850"/>
                  <wp:effectExtent l="0" t="0" r="15240" b="6350"/>
                  <wp:docPr id="1545876441" name="Chart 1"/>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14:paraId="345CFAEB" w14:textId="77777777" w:rsidR="00FE3BE4" w:rsidRPr="000536C8" w:rsidRDefault="00FE3BE4" w:rsidP="008D4E1E">
            <w:pPr>
              <w:keepNext/>
              <w:spacing w:after="0"/>
              <w:contextualSpacing/>
              <w:rPr>
                <w:rFonts w:eastAsia="GHEA Grapalat" w:cs="GHEA Grapalat"/>
                <w:b/>
                <w:i/>
                <w:sz w:val="16"/>
                <w:szCs w:val="16"/>
              </w:rPr>
            </w:pPr>
            <w:r w:rsidRPr="000536C8">
              <w:rPr>
                <w:rFonts w:eastAsia="GHEA Grapalat" w:cs="GHEA Grapalat"/>
                <w:i/>
                <w:sz w:val="16"/>
                <w:szCs w:val="16"/>
              </w:rPr>
              <w:t>Աղբյուրը՝ ՀՀ ՎԿ, ՀՀ ՖՆ հաշվարկներ</w:t>
            </w:r>
          </w:p>
        </w:tc>
        <w:tc>
          <w:tcPr>
            <w:tcW w:w="5029" w:type="dxa"/>
          </w:tcPr>
          <w:p w14:paraId="6E12D113" w14:textId="77777777" w:rsidR="00FE3BE4" w:rsidRPr="000536C8" w:rsidRDefault="00FE3BE4" w:rsidP="008D4E1E">
            <w:pPr>
              <w:keepNext/>
              <w:keepLines/>
              <w:tabs>
                <w:tab w:val="left" w:pos="0"/>
                <w:tab w:val="left" w:pos="284"/>
                <w:tab w:val="left" w:pos="1276"/>
                <w:tab w:val="left" w:pos="1888"/>
              </w:tabs>
              <w:autoSpaceDE w:val="0"/>
              <w:autoSpaceDN w:val="0"/>
              <w:adjustRightInd w:val="0"/>
              <w:spacing w:after="0"/>
              <w:contextualSpacing/>
              <w:rPr>
                <w:rFonts w:eastAsia="GHEA Grapalat" w:cs="GHEA Grapalat"/>
                <w:i/>
                <w:sz w:val="16"/>
                <w:szCs w:val="16"/>
                <w:lang w:val="hy-AM"/>
              </w:rPr>
            </w:pPr>
            <w:r w:rsidRPr="000536C8">
              <w:rPr>
                <w:rFonts w:eastAsia="Calibri" w:cs="Times New Roman"/>
                <w:b/>
                <w:i/>
                <w:noProof/>
                <w:sz w:val="18"/>
                <w:szCs w:val="18"/>
              </w:rPr>
              <w:t>Գծապատկեր 1.2</w:t>
            </w:r>
            <w:r>
              <w:rPr>
                <w:rFonts w:eastAsia="Calibri" w:cs="Times New Roman"/>
                <w:b/>
                <w:i/>
                <w:noProof/>
                <w:sz w:val="18"/>
                <w:szCs w:val="18"/>
              </w:rPr>
              <w:t>6</w:t>
            </w:r>
            <w:r w:rsidRPr="000536C8">
              <w:rPr>
                <w:rFonts w:eastAsia="Calibri" w:cs="Times New Roman"/>
                <w:b/>
                <w:i/>
                <w:noProof/>
                <w:sz w:val="18"/>
                <w:szCs w:val="18"/>
              </w:rPr>
              <w:t xml:space="preserve">. </w:t>
            </w:r>
            <w:r w:rsidRPr="000536C8">
              <w:rPr>
                <w:rFonts w:eastAsia="Calibri" w:cs="Sylfaen"/>
                <w:i/>
                <w:sz w:val="18"/>
                <w:szCs w:val="18"/>
                <w:lang w:val="hy-AM"/>
              </w:rPr>
              <w:t>Ապրանքների արտահանման, ներմուծման և առևտրային հաշվի դինամիկան, մլն ԱՄՆ դոլար</w:t>
            </w:r>
            <w:r w:rsidRPr="000536C8">
              <w:rPr>
                <w:rFonts w:eastAsia="GHEA Grapalat" w:cs="GHEA Grapalat"/>
                <w:bCs/>
                <w:i/>
                <w:sz w:val="18"/>
                <w:lang w:val="hy-AM"/>
              </w:rPr>
              <w:t xml:space="preserve"> </w:t>
            </w:r>
            <w:r w:rsidRPr="000536C8">
              <w:rPr>
                <w:rFonts w:eastAsia="Calibri" w:cs="Sylfaen"/>
                <w:i/>
                <w:noProof/>
                <w:sz w:val="18"/>
              </w:rPr>
              <w:drawing>
                <wp:inline distT="0" distB="0" distL="0" distR="0" wp14:anchorId="27C80584" wp14:editId="3F886D2C">
                  <wp:extent cx="3044825" cy="2400300"/>
                  <wp:effectExtent l="0" t="0" r="3175" b="0"/>
                  <wp:docPr id="1545876442" name="Chart 4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r w:rsidRPr="000536C8">
              <w:rPr>
                <w:rFonts w:eastAsia="GHEA Grapalat" w:cs="GHEA Grapalat"/>
                <w:i/>
                <w:sz w:val="16"/>
                <w:szCs w:val="16"/>
                <w:lang w:val="hy-AM"/>
              </w:rPr>
              <w:t>Աղբյուրը՝ ՀՀ ՎԿ, ՀՀ ՖՆ հաշվարկներ</w:t>
            </w:r>
          </w:p>
          <w:p w14:paraId="62EBBF96" w14:textId="77777777" w:rsidR="00FE3BE4" w:rsidRPr="000536C8" w:rsidRDefault="00FE3BE4" w:rsidP="008D4E1E">
            <w:pPr>
              <w:keepNext/>
              <w:keepLines/>
              <w:tabs>
                <w:tab w:val="left" w:pos="0"/>
                <w:tab w:val="left" w:pos="284"/>
                <w:tab w:val="left" w:pos="1276"/>
                <w:tab w:val="left" w:pos="1888"/>
              </w:tabs>
              <w:autoSpaceDE w:val="0"/>
              <w:autoSpaceDN w:val="0"/>
              <w:adjustRightInd w:val="0"/>
              <w:spacing w:after="0"/>
              <w:contextualSpacing/>
              <w:rPr>
                <w:rFonts w:eastAsia="GHEA Grapalat" w:cs="GHEA Grapalat"/>
                <w:i/>
                <w:sz w:val="16"/>
                <w:szCs w:val="16"/>
                <w:lang w:val="hy-AM"/>
              </w:rPr>
            </w:pPr>
          </w:p>
          <w:p w14:paraId="0921B6BC" w14:textId="77777777" w:rsidR="00FE3BE4" w:rsidRPr="000536C8" w:rsidRDefault="00FE3BE4" w:rsidP="008D4E1E">
            <w:pPr>
              <w:keepNext/>
              <w:keepLines/>
              <w:tabs>
                <w:tab w:val="left" w:pos="0"/>
                <w:tab w:val="left" w:pos="284"/>
                <w:tab w:val="left" w:pos="1276"/>
                <w:tab w:val="left" w:pos="1888"/>
              </w:tabs>
              <w:autoSpaceDE w:val="0"/>
              <w:autoSpaceDN w:val="0"/>
              <w:adjustRightInd w:val="0"/>
              <w:spacing w:after="0"/>
              <w:contextualSpacing/>
              <w:rPr>
                <w:rFonts w:eastAsia="Calibri" w:cs="Sylfaen"/>
                <w:i/>
                <w:sz w:val="18"/>
                <w:lang w:val="hy-AM"/>
              </w:rPr>
            </w:pPr>
            <w:r w:rsidRPr="000536C8">
              <w:rPr>
                <w:rFonts w:eastAsia="Calibri" w:cs="Times New Roman"/>
                <w:b/>
                <w:i/>
                <w:noProof/>
                <w:sz w:val="18"/>
                <w:szCs w:val="18"/>
                <w:lang w:val="hy-AM"/>
              </w:rPr>
              <w:t>Գծապատկեր 1.2</w:t>
            </w:r>
            <w:r w:rsidRPr="00C83848">
              <w:rPr>
                <w:rFonts w:eastAsia="Calibri" w:cs="Times New Roman"/>
                <w:b/>
                <w:i/>
                <w:noProof/>
                <w:sz w:val="18"/>
                <w:szCs w:val="18"/>
                <w:lang w:val="hy-AM"/>
              </w:rPr>
              <w:t>8</w:t>
            </w:r>
            <w:r w:rsidRPr="000536C8">
              <w:rPr>
                <w:rFonts w:eastAsia="Calibri" w:cs="Times New Roman"/>
                <w:b/>
                <w:i/>
                <w:noProof/>
                <w:sz w:val="18"/>
                <w:szCs w:val="18"/>
                <w:lang w:val="hy-AM"/>
              </w:rPr>
              <w:t xml:space="preserve">. </w:t>
            </w:r>
            <w:r w:rsidRPr="000536C8">
              <w:rPr>
                <w:rFonts w:eastAsia="Calibri" w:cs="Sylfaen"/>
                <w:i/>
                <w:sz w:val="18"/>
                <w:lang w:val="hy-AM"/>
              </w:rPr>
              <w:t>Զուտ դրամական փոխանցումների դինամիկան, մլն ԱՄՆ դոլար</w:t>
            </w:r>
          </w:p>
          <w:p w14:paraId="6D6C0A95" w14:textId="77777777" w:rsidR="00FE3BE4" w:rsidRPr="000536C8" w:rsidRDefault="00FE3BE4" w:rsidP="008D4E1E">
            <w:pPr>
              <w:keepNext/>
              <w:spacing w:after="0"/>
              <w:contextualSpacing/>
              <w:rPr>
                <w:rFonts w:eastAsia="GHEA Grapalat" w:cs="GHEA Grapalat"/>
                <w:b/>
                <w:i/>
                <w:szCs w:val="24"/>
                <w:lang w:val="hy-AM"/>
              </w:rPr>
            </w:pPr>
            <w:r w:rsidRPr="000536C8">
              <w:rPr>
                <w:rFonts w:eastAsia="GHEA Grapalat" w:cs="GHEA Grapalat"/>
                <w:i/>
                <w:noProof/>
                <w:sz w:val="20"/>
                <w:szCs w:val="20"/>
              </w:rPr>
              <w:drawing>
                <wp:inline distT="0" distB="0" distL="0" distR="0" wp14:anchorId="6FD1111D" wp14:editId="428A8776">
                  <wp:extent cx="3090672" cy="2353945"/>
                  <wp:effectExtent l="0" t="0" r="14605" b="8255"/>
                  <wp:docPr id="1545876443" name="Chart 40"/>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p>
          <w:p w14:paraId="64DEF07C" w14:textId="77777777" w:rsidR="00FE3BE4" w:rsidRPr="000536C8" w:rsidRDefault="00FE3BE4" w:rsidP="008D4E1E">
            <w:pPr>
              <w:keepNext/>
              <w:spacing w:after="0"/>
              <w:contextualSpacing/>
              <w:rPr>
                <w:rFonts w:eastAsia="GHEA Grapalat" w:cs="GHEA Grapalat"/>
                <w:i/>
                <w:sz w:val="16"/>
                <w:szCs w:val="16"/>
                <w:lang w:val="hy-AM"/>
              </w:rPr>
            </w:pPr>
            <w:r w:rsidRPr="000536C8">
              <w:rPr>
                <w:rFonts w:eastAsia="GHEA Grapalat" w:cs="GHEA Grapalat"/>
                <w:i/>
                <w:sz w:val="16"/>
                <w:szCs w:val="16"/>
                <w:lang w:val="hy-AM"/>
              </w:rPr>
              <w:t>Աղբյուրը՝ ՀՀ ՎԿ, ՀՀ ՖՆ հաշվարկներ</w:t>
            </w:r>
          </w:p>
        </w:tc>
      </w:tr>
    </w:tbl>
    <w:p w14:paraId="7DBA5302" w14:textId="77777777" w:rsidR="00FE3BE4" w:rsidRPr="00DB5CF8" w:rsidRDefault="00FE3BE4" w:rsidP="00FE3BE4">
      <w:pPr>
        <w:pStyle w:val="BodyText1"/>
        <w:ind w:left="0"/>
        <w:rPr>
          <w:lang w:val="hy-AM"/>
        </w:rPr>
      </w:pPr>
    </w:p>
    <w:p w14:paraId="700F6D55" w14:textId="77777777" w:rsidR="00FE3BE4" w:rsidRDefault="00FE3BE4" w:rsidP="00FE3BE4">
      <w:pPr>
        <w:pStyle w:val="TOC4"/>
        <w:pBdr>
          <w:bottom w:val="single" w:sz="8" w:space="1" w:color="E1E1E3" w:themeColor="accent3" w:themeTint="33"/>
        </w:pBdr>
        <w:ind w:left="-1080" w:firstLine="1080"/>
        <w:rPr>
          <w:lang w:val="hy-AM"/>
        </w:rPr>
      </w:pPr>
      <w:r>
        <w:rPr>
          <w:lang w:val="hy-AM"/>
        </w:rPr>
        <w:t>Կանխատեսում</w:t>
      </w:r>
    </w:p>
    <w:p w14:paraId="1AE24E97" w14:textId="77777777" w:rsidR="00FE3BE4" w:rsidRPr="000536C8" w:rsidRDefault="00FE3BE4" w:rsidP="00FE3BE4">
      <w:pPr>
        <w:spacing w:after="0"/>
        <w:contextualSpacing/>
        <w:jc w:val="both"/>
        <w:rPr>
          <w:rFonts w:eastAsia="Calibri" w:cs="Sylfaen"/>
          <w:lang w:val="hy-AM"/>
        </w:rPr>
      </w:pPr>
      <w:r w:rsidRPr="00334BEF">
        <w:rPr>
          <w:rFonts w:eastAsia="Calibri" w:cs="Sylfaen"/>
          <w:b/>
          <w:lang w:val="hy-AM"/>
        </w:rPr>
        <w:t xml:space="preserve">2025թ. ընթացիկ հաշվի պակասուրդը </w:t>
      </w:r>
      <w:r w:rsidRPr="00CF79A4">
        <w:rPr>
          <w:rFonts w:eastAsia="Calibri" w:cs="Sylfaen"/>
          <w:b/>
          <w:lang w:val="hy-AM"/>
        </w:rPr>
        <w:t xml:space="preserve">2022-2024թթ. առաջացած դրական գործոնների ազդեցությունների </w:t>
      </w:r>
      <w:r>
        <w:rPr>
          <w:rFonts w:eastAsia="Calibri" w:cs="Sylfaen"/>
          <w:b/>
          <w:lang w:val="hy-AM"/>
        </w:rPr>
        <w:t xml:space="preserve">մասնակի </w:t>
      </w:r>
      <w:r w:rsidRPr="00CF79A4">
        <w:rPr>
          <w:rFonts w:eastAsia="Calibri" w:cs="Sylfaen"/>
          <w:b/>
          <w:lang w:val="hy-AM"/>
        </w:rPr>
        <w:t xml:space="preserve">չեզոքացման (մասնավորապես, </w:t>
      </w:r>
      <w:r>
        <w:rPr>
          <w:rFonts w:eastAsia="Calibri" w:cs="Sylfaen"/>
          <w:b/>
          <w:lang w:val="hy-AM"/>
        </w:rPr>
        <w:t xml:space="preserve">թանկարժեք մետաղների </w:t>
      </w:r>
      <w:r w:rsidRPr="00CF79A4">
        <w:rPr>
          <w:rFonts w:eastAsia="Calibri" w:cs="Sylfaen"/>
          <w:b/>
          <w:lang w:val="hy-AM"/>
        </w:rPr>
        <w:t xml:space="preserve">վերաարտահանման </w:t>
      </w:r>
      <w:r>
        <w:rPr>
          <w:rFonts w:eastAsia="Calibri" w:cs="Sylfaen"/>
          <w:b/>
          <w:lang w:val="hy-AM"/>
        </w:rPr>
        <w:t>կտրուկ կրճատման</w:t>
      </w:r>
      <w:r w:rsidRPr="00CF79A4">
        <w:rPr>
          <w:rFonts w:eastAsia="Calibri" w:cs="Sylfaen"/>
          <w:b/>
          <w:lang w:val="hy-AM"/>
        </w:rPr>
        <w:t xml:space="preserve">, ՌԴ-ից զբոսաշրջիկների հոսքերի </w:t>
      </w:r>
      <w:r>
        <w:rPr>
          <w:rFonts w:eastAsia="Calibri" w:cs="Sylfaen"/>
          <w:b/>
          <w:lang w:val="hy-AM"/>
        </w:rPr>
        <w:t>նվազման</w:t>
      </w:r>
      <w:r w:rsidRPr="00CF79A4">
        <w:rPr>
          <w:rFonts w:eastAsia="Calibri" w:cs="Sylfaen"/>
          <w:b/>
          <w:lang w:val="hy-AM"/>
        </w:rPr>
        <w:t xml:space="preserve">)  պայմաններում </w:t>
      </w:r>
      <w:r w:rsidRPr="00334BEF">
        <w:rPr>
          <w:rFonts w:eastAsia="Calibri" w:cs="Sylfaen"/>
          <w:b/>
          <w:lang w:val="hy-AM"/>
        </w:rPr>
        <w:t>կվատթարանա</w:t>
      </w:r>
      <w:r w:rsidRPr="000536C8">
        <w:rPr>
          <w:rFonts w:eastAsia="Calibri" w:cs="Sylfaen"/>
          <w:lang w:val="hy-AM"/>
        </w:rPr>
        <w:t xml:space="preserve">՝ </w:t>
      </w:r>
      <w:r w:rsidRPr="00334BEF">
        <w:rPr>
          <w:rFonts w:eastAsia="Calibri" w:cs="Sylfaen"/>
          <w:lang w:val="hy-AM"/>
        </w:rPr>
        <w:t>հասնելով ՀՆԱ-ում 5</w:t>
      </w:r>
      <w:r w:rsidRPr="006934A1">
        <w:rPr>
          <w:rFonts w:ascii="Cambria Math" w:eastAsia="Calibri" w:hAnsi="Cambria Math" w:cs="Cambria Math"/>
          <w:lang w:val="hy-AM"/>
        </w:rPr>
        <w:t>․</w:t>
      </w:r>
      <w:r w:rsidRPr="006934A1">
        <w:rPr>
          <w:rFonts w:eastAsia="Calibri" w:cs="Sylfaen"/>
          <w:lang w:val="hy-AM"/>
        </w:rPr>
        <w:t>4</w:t>
      </w:r>
      <w:r w:rsidRPr="00334BEF">
        <w:rPr>
          <w:rFonts w:eastAsia="Calibri" w:cs="Sylfaen"/>
          <w:lang w:val="hy-AM"/>
        </w:rPr>
        <w:t xml:space="preserve">% </w:t>
      </w:r>
      <w:r>
        <w:rPr>
          <w:rFonts w:eastAsia="Calibri" w:cs="Sylfaen"/>
          <w:lang w:val="hy-AM"/>
        </w:rPr>
        <w:t>մակարդակի</w:t>
      </w:r>
      <w:r w:rsidRPr="00334BEF">
        <w:rPr>
          <w:rFonts w:eastAsia="Calibri" w:cs="Sylfaen"/>
          <w:lang w:val="hy-AM"/>
        </w:rPr>
        <w:t>:</w:t>
      </w:r>
      <w:r w:rsidRPr="000536C8">
        <w:rPr>
          <w:rFonts w:eastAsia="Times New Roman" w:cs="Sylfaen"/>
          <w:color w:val="000000" w:themeColor="text1"/>
          <w:lang w:val="hy-AM"/>
        </w:rPr>
        <w:t xml:space="preserve"> </w:t>
      </w:r>
      <w:r>
        <w:rPr>
          <w:rFonts w:eastAsia="Times New Roman" w:cs="Sylfaen"/>
          <w:color w:val="000000" w:themeColor="text1"/>
          <w:lang w:val="hy-AM"/>
        </w:rPr>
        <w:t xml:space="preserve">2026թ. </w:t>
      </w:r>
      <w:r w:rsidRPr="000536C8">
        <w:rPr>
          <w:rFonts w:eastAsia="Times New Roman" w:cs="Sylfaen"/>
          <w:color w:val="000000" w:themeColor="text1"/>
          <w:lang w:val="hy-AM"/>
        </w:rPr>
        <w:t>ընթացիկ հաշվի պակասուրդը</w:t>
      </w:r>
      <w:r>
        <w:rPr>
          <w:rFonts w:eastAsia="Times New Roman" w:cs="Sylfaen"/>
          <w:color w:val="000000" w:themeColor="text1"/>
          <w:lang w:val="hy-AM"/>
        </w:rPr>
        <w:t>՝ ծառայությունների հաշվեկշռի բարելավմամբ և դրամական փոխանցումների աճով պայմանավորված,</w:t>
      </w:r>
      <w:r w:rsidRPr="000536C8">
        <w:rPr>
          <w:rFonts w:eastAsia="Times New Roman" w:cs="Sylfaen"/>
          <w:color w:val="000000" w:themeColor="text1"/>
          <w:lang w:val="hy-AM"/>
        </w:rPr>
        <w:t xml:space="preserve"> </w:t>
      </w:r>
      <w:r>
        <w:rPr>
          <w:rFonts w:eastAsia="Times New Roman" w:cs="Sylfaen"/>
          <w:color w:val="000000" w:themeColor="text1"/>
          <w:lang w:val="hy-AM"/>
        </w:rPr>
        <w:t>կբարելավվի՝ կազմելով 4.6</w:t>
      </w:r>
      <w:r w:rsidRPr="003D491E">
        <w:rPr>
          <w:rFonts w:eastAsia="Times New Roman" w:cs="Sylfaen"/>
          <w:color w:val="000000" w:themeColor="text1"/>
          <w:lang w:val="hy-AM"/>
        </w:rPr>
        <w:t xml:space="preserve">%, </w:t>
      </w:r>
      <w:r>
        <w:rPr>
          <w:rFonts w:eastAsia="Times New Roman" w:cs="Sylfaen"/>
          <w:color w:val="000000" w:themeColor="text1"/>
          <w:lang w:val="hy-AM"/>
        </w:rPr>
        <w:t>իսկ 2027-28թթ. կկայունանա</w:t>
      </w:r>
      <w:r w:rsidRPr="000536C8">
        <w:rPr>
          <w:rFonts w:eastAsia="Times New Roman" w:cs="Sylfaen"/>
          <w:color w:val="000000" w:themeColor="text1"/>
          <w:lang w:val="hy-AM"/>
        </w:rPr>
        <w:t xml:space="preserve"> իր երկարաժամկետ հավասարակշիռ մակարդակ</w:t>
      </w:r>
      <w:r>
        <w:rPr>
          <w:rFonts w:eastAsia="Times New Roman" w:cs="Sylfaen"/>
          <w:color w:val="000000" w:themeColor="text1"/>
          <w:lang w:val="hy-AM"/>
        </w:rPr>
        <w:t xml:space="preserve">ի շուրջ՝ միջինում կազմելով </w:t>
      </w:r>
      <w:r w:rsidRPr="00334BEF">
        <w:rPr>
          <w:rFonts w:eastAsia="Calibri" w:cs="Sylfaen"/>
          <w:lang w:val="hy-AM"/>
        </w:rPr>
        <w:t xml:space="preserve">ՀՆԱ-ում </w:t>
      </w:r>
      <w:r>
        <w:rPr>
          <w:rFonts w:eastAsia="Times New Roman" w:cs="Sylfaen"/>
          <w:color w:val="000000" w:themeColor="text1"/>
          <w:lang w:val="hy-AM"/>
        </w:rPr>
        <w:t>4.3</w:t>
      </w:r>
      <w:r w:rsidRPr="001C5D72">
        <w:rPr>
          <w:rFonts w:eastAsia="Times New Roman" w:cs="Sylfaen"/>
          <w:color w:val="000000" w:themeColor="text1"/>
          <w:lang w:val="hy-AM"/>
        </w:rPr>
        <w:t>%</w:t>
      </w:r>
      <w:r w:rsidRPr="000536C8">
        <w:rPr>
          <w:rFonts w:eastAsia="Calibri" w:cs="Sylfaen"/>
          <w:lang w:val="hy-AM"/>
        </w:rPr>
        <w:t>:</w:t>
      </w:r>
      <w:r w:rsidRPr="002F71E8">
        <w:rPr>
          <w:lang w:val="hy-AM"/>
        </w:rPr>
        <w:t xml:space="preserve"> </w:t>
      </w:r>
    </w:p>
    <w:p w14:paraId="76EDC24E" w14:textId="77777777" w:rsidR="00FE3BE4" w:rsidRPr="003A4878" w:rsidRDefault="00FE3BE4" w:rsidP="00FE3BE4">
      <w:pPr>
        <w:rPr>
          <w:lang w:val="hy-AM"/>
        </w:rPr>
      </w:pPr>
    </w:p>
    <w:p w14:paraId="1A44272B" w14:textId="77777777" w:rsidR="00FE3BE4" w:rsidRDefault="00FE3BE4" w:rsidP="00FE3BE4">
      <w:pPr>
        <w:pStyle w:val="BodyText1"/>
        <w:ind w:left="0"/>
        <w:rPr>
          <w:b/>
          <w:lang w:val="hy-AM"/>
        </w:rPr>
      </w:pPr>
      <w:r w:rsidRPr="00B567C0">
        <w:rPr>
          <w:b/>
          <w:lang w:val="hy-AM"/>
        </w:rPr>
        <w:t>Արտահանում</w:t>
      </w:r>
    </w:p>
    <w:p w14:paraId="439F67C6" w14:textId="5ADF5CA3" w:rsidR="00FE3BE4" w:rsidRPr="00706E32" w:rsidRDefault="00FE3BE4" w:rsidP="00FE3BE4">
      <w:pPr>
        <w:pStyle w:val="BodyText1"/>
        <w:ind w:left="0"/>
        <w:rPr>
          <w:lang w:val="hy-AM"/>
        </w:rPr>
      </w:pPr>
      <w:r w:rsidRPr="00B567C0">
        <w:rPr>
          <w:b/>
          <w:lang w:val="hy-AM"/>
        </w:rPr>
        <w:t>202</w:t>
      </w:r>
      <w:r>
        <w:rPr>
          <w:b/>
          <w:lang w:val="hy-AM"/>
        </w:rPr>
        <w:t>2</w:t>
      </w:r>
      <w:r w:rsidRPr="00B567C0">
        <w:rPr>
          <w:b/>
          <w:lang w:val="hy-AM"/>
        </w:rPr>
        <w:t>-202</w:t>
      </w:r>
      <w:r>
        <w:rPr>
          <w:b/>
          <w:lang w:val="hy-AM"/>
        </w:rPr>
        <w:t>4</w:t>
      </w:r>
      <w:r w:rsidRPr="00B567C0">
        <w:rPr>
          <w:b/>
          <w:lang w:val="hy-AM"/>
        </w:rPr>
        <w:t xml:space="preserve">թթ. միջինում արձանագրվել է ապրանքների և ծառայությունների դոլարային արտահանման </w:t>
      </w:r>
      <w:r>
        <w:rPr>
          <w:b/>
          <w:lang w:val="hy-AM"/>
        </w:rPr>
        <w:t>շուրջ 60</w:t>
      </w:r>
      <w:r w:rsidRPr="00B567C0">
        <w:rPr>
          <w:b/>
          <w:lang w:val="hy-AM"/>
        </w:rPr>
        <w:t>% աճ:</w:t>
      </w:r>
      <w:r w:rsidRPr="00E77731">
        <w:rPr>
          <w:lang w:val="hy-AM"/>
        </w:rPr>
        <w:t xml:space="preserve"> Ապրանքների արտահանումը 2022-202</w:t>
      </w:r>
      <w:r>
        <w:rPr>
          <w:lang w:val="hy-AM"/>
        </w:rPr>
        <w:t>4</w:t>
      </w:r>
      <w:r w:rsidRPr="00E77731">
        <w:rPr>
          <w:lang w:val="hy-AM"/>
        </w:rPr>
        <w:t>թթ. միջինում աճել է 6</w:t>
      </w:r>
      <w:r>
        <w:rPr>
          <w:lang w:val="hy-AM"/>
        </w:rPr>
        <w:t>1</w:t>
      </w:r>
      <w:r w:rsidRPr="00E77731">
        <w:rPr>
          <w:lang w:val="hy-AM"/>
        </w:rPr>
        <w:t>%-ով, որը հիմնականում պայմանավորվել է արտաքին որոշ շուկաներում (հատկապես՝ ՌԴ-ում և ԱՄԷ-ում) ՀՀ ապրանքների նկատմամբ պահանջարկի ավելացմամբ և վերաարտահանմամբ: Իսկ 2022-2</w:t>
      </w:r>
      <w:r>
        <w:rPr>
          <w:lang w:val="hy-AM"/>
        </w:rPr>
        <w:t>4</w:t>
      </w:r>
      <w:r w:rsidRPr="00E77731">
        <w:rPr>
          <w:lang w:val="hy-AM"/>
        </w:rPr>
        <w:t xml:space="preserve">թթ. ծառայությունների արտահանումը միջինում աճել է </w:t>
      </w:r>
      <w:r>
        <w:rPr>
          <w:lang w:val="hy-AM"/>
        </w:rPr>
        <w:t>61.1</w:t>
      </w:r>
      <w:r w:rsidRPr="00E77731">
        <w:rPr>
          <w:lang w:val="hy-AM"/>
        </w:rPr>
        <w:t>%-ով՝ հիմնականում պայմանավորված</w:t>
      </w:r>
      <w:r>
        <w:rPr>
          <w:lang w:val="hy-AM"/>
        </w:rPr>
        <w:t xml:space="preserve"> </w:t>
      </w:r>
      <w:r w:rsidRPr="00E77731">
        <w:rPr>
          <w:lang w:val="hy-AM"/>
        </w:rPr>
        <w:t xml:space="preserve">ՀՀ այցելած զբոսաշրջիկների թվաքանակի կտրուկ աճով, որին մեծ նպաստում է ունեցել ռուս-ուկրաինական հակամարտության արդյունքում ռուս զբոսաշրջիկների թվաքանակի կտրուկ աճը: </w:t>
      </w:r>
      <w:r>
        <w:rPr>
          <w:lang w:val="hy-AM"/>
        </w:rPr>
        <w:t xml:space="preserve">Ընդ որում, </w:t>
      </w:r>
      <w:r w:rsidRPr="000C7866">
        <w:rPr>
          <w:lang w:val="hy-AM"/>
        </w:rPr>
        <w:t>2023-24թթ</w:t>
      </w:r>
      <w:r>
        <w:rPr>
          <w:lang w:val="hy-AM"/>
        </w:rPr>
        <w:t>.</w:t>
      </w:r>
      <w:r w:rsidRPr="000C7866">
        <w:rPr>
          <w:lang w:val="hy-AM"/>
        </w:rPr>
        <w:t xml:space="preserve"> ՀՀ այցելած զբոսաշրջիկների թվաքանակը հատել է 2019 թվականի նախահամավարակային ժամանակաշրջանի մակարդակը, </w:t>
      </w:r>
      <w:r>
        <w:rPr>
          <w:lang w:val="hy-AM"/>
        </w:rPr>
        <w:t>սակայն</w:t>
      </w:r>
      <w:r w:rsidRPr="000C7866">
        <w:rPr>
          <w:lang w:val="hy-AM"/>
        </w:rPr>
        <w:t xml:space="preserve"> այն տեղի է ունեցել միայն ՌԴ-ից զբոսաշրջի</w:t>
      </w:r>
      <w:r w:rsidR="00E25BE6">
        <w:rPr>
          <w:lang w:val="hy-AM"/>
        </w:rPr>
        <w:t>կ</w:t>
      </w:r>
      <w:r w:rsidRPr="000C7866">
        <w:rPr>
          <w:lang w:val="hy-AM"/>
        </w:rPr>
        <w:t>ների աճի հաշվին:</w:t>
      </w:r>
      <w:r w:rsidRPr="00E77731">
        <w:rPr>
          <w:lang w:val="hy-AM"/>
        </w:rPr>
        <w:t xml:space="preserve"> Ծառայությունների արտահանման աճին դրական նպաստում է ունեցել նաև </w:t>
      </w:r>
      <w:r w:rsidRPr="00706E32">
        <w:rPr>
          <w:bCs/>
          <w:lang w:val="hy-AM"/>
        </w:rPr>
        <w:t>հեռահաղորդակցության, համակարգչային</w:t>
      </w:r>
      <w:r w:rsidRPr="00706E32">
        <w:rPr>
          <w:lang w:val="hy-AM"/>
        </w:rPr>
        <w:t xml:space="preserve"> և տեղեկատվական ծառայությունների արտահանումը:</w:t>
      </w:r>
    </w:p>
    <w:p w14:paraId="555CF7E3" w14:textId="77777777" w:rsidR="00FE3BE4" w:rsidRPr="00BC4C0A" w:rsidRDefault="00FE3BE4" w:rsidP="00FE3BE4">
      <w:pPr>
        <w:pStyle w:val="BodyText1"/>
        <w:ind w:left="0"/>
        <w:rPr>
          <w:lang w:val="hy-AM"/>
        </w:rPr>
      </w:pPr>
      <w:r w:rsidRPr="007F49F0">
        <w:rPr>
          <w:b/>
          <w:lang w:val="hy-AM"/>
        </w:rPr>
        <w:t>202</w:t>
      </w:r>
      <w:r>
        <w:rPr>
          <w:b/>
          <w:lang w:val="hy-AM"/>
        </w:rPr>
        <w:t>5</w:t>
      </w:r>
      <w:r w:rsidRPr="007F49F0">
        <w:rPr>
          <w:b/>
          <w:lang w:val="hy-AM"/>
        </w:rPr>
        <w:t xml:space="preserve">թ. հունվար-հուլիս ամիսներին արձանագրվել է ապրանքերի արտահանման </w:t>
      </w:r>
      <w:r>
        <w:rPr>
          <w:b/>
          <w:lang w:val="hy-AM"/>
        </w:rPr>
        <w:t xml:space="preserve">նվազում, որը </w:t>
      </w:r>
      <w:r w:rsidRPr="007F49F0">
        <w:rPr>
          <w:b/>
          <w:lang w:val="hy-AM"/>
        </w:rPr>
        <w:t xml:space="preserve">հիմնականում պայմանավորված </w:t>
      </w:r>
      <w:r>
        <w:rPr>
          <w:b/>
          <w:lang w:val="hy-AM"/>
        </w:rPr>
        <w:t xml:space="preserve">է եղել վերաարտահանման կտրուկ նվազմամբ </w:t>
      </w:r>
      <w:r w:rsidRPr="003D491E">
        <w:rPr>
          <w:lang w:val="hy-AM"/>
        </w:rPr>
        <w:t>(</w:t>
      </w:r>
      <w:r>
        <w:rPr>
          <w:lang w:val="hy-AM"/>
        </w:rPr>
        <w:t xml:space="preserve">տե՛ս </w:t>
      </w:r>
      <w:r w:rsidRPr="003D491E">
        <w:rPr>
          <w:lang w:val="hy-AM"/>
        </w:rPr>
        <w:t>Գծապատկեր 1.29)</w:t>
      </w:r>
      <w:r w:rsidRPr="00E77731">
        <w:rPr>
          <w:lang w:val="hy-AM"/>
        </w:rPr>
        <w:t>:</w:t>
      </w:r>
      <w:r>
        <w:rPr>
          <w:lang w:val="hy-AM"/>
        </w:rPr>
        <w:t xml:space="preserve"> </w:t>
      </w:r>
      <w:r w:rsidRPr="008F7C9F">
        <w:rPr>
          <w:lang w:val="hy-AM"/>
        </w:rPr>
        <w:t>Սակայն մայիս-</w:t>
      </w:r>
      <w:r>
        <w:rPr>
          <w:lang w:val="hy-AM"/>
        </w:rPr>
        <w:t>հուլ</w:t>
      </w:r>
      <w:r w:rsidRPr="008F7C9F">
        <w:rPr>
          <w:lang w:val="hy-AM"/>
        </w:rPr>
        <w:t>իս ամ</w:t>
      </w:r>
      <w:r>
        <w:rPr>
          <w:lang w:val="hy-AM"/>
        </w:rPr>
        <w:t>ի</w:t>
      </w:r>
      <w:r w:rsidRPr="008F7C9F">
        <w:rPr>
          <w:lang w:val="hy-AM"/>
        </w:rPr>
        <w:t>սներին արձանագրվել է նվազման տեմպի դանդաղում</w:t>
      </w:r>
      <w:r w:rsidRPr="00E77731">
        <w:rPr>
          <w:lang w:val="hy-AM"/>
        </w:rPr>
        <w:t>:</w:t>
      </w:r>
      <w:r>
        <w:rPr>
          <w:lang w:val="hy-AM"/>
        </w:rPr>
        <w:t xml:space="preserve"> </w:t>
      </w:r>
      <w:r w:rsidRPr="00BC4C0A">
        <w:rPr>
          <w:lang w:val="hy-AM"/>
        </w:rPr>
        <w:t xml:space="preserve"> </w:t>
      </w:r>
    </w:p>
    <w:p w14:paraId="6A9E9AF3" w14:textId="77777777" w:rsidR="00FE3BE4" w:rsidRPr="006B1D4C" w:rsidRDefault="00FE3BE4" w:rsidP="00FE3BE4">
      <w:pPr>
        <w:pStyle w:val="Charts"/>
      </w:pPr>
      <w:bookmarkStart w:id="191" w:name="_Toc178595142"/>
      <w:r w:rsidRPr="006B1D4C">
        <w:rPr>
          <w:noProof/>
          <w:lang w:val="en-US"/>
        </w:rPr>
        <w:drawing>
          <wp:anchor distT="0" distB="0" distL="114300" distR="114300" simplePos="0" relativeHeight="251888640" behindDoc="0" locked="0" layoutInCell="1" allowOverlap="1" wp14:anchorId="577B9282" wp14:editId="3AB05A7F">
            <wp:simplePos x="0" y="0"/>
            <wp:positionH relativeFrom="column">
              <wp:posOffset>329184</wp:posOffset>
            </wp:positionH>
            <wp:positionV relativeFrom="paragraph">
              <wp:posOffset>423926</wp:posOffset>
            </wp:positionV>
            <wp:extent cx="2926080" cy="1828800"/>
            <wp:effectExtent l="0" t="0" r="7620" b="0"/>
            <wp:wrapTopAndBottom/>
            <wp:docPr id="1545876444" name="Chart 1545876444"/>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14:sizeRelH relativeFrom="margin">
              <wp14:pctWidth>0</wp14:pctWidth>
            </wp14:sizeRelH>
            <wp14:sizeRelV relativeFrom="margin">
              <wp14:pctHeight>0</wp14:pctHeight>
            </wp14:sizeRelV>
          </wp:anchor>
        </w:drawing>
      </w:r>
      <w:r w:rsidRPr="006B1D4C">
        <w:rPr>
          <w:noProof/>
          <w:lang w:val="en-US"/>
        </w:rPr>
        <w:drawing>
          <wp:anchor distT="0" distB="0" distL="114300" distR="114300" simplePos="0" relativeHeight="251887616" behindDoc="0" locked="0" layoutInCell="1" allowOverlap="1" wp14:anchorId="1A8C88BD" wp14:editId="1C6682E5">
            <wp:simplePos x="0" y="0"/>
            <wp:positionH relativeFrom="column">
              <wp:posOffset>3514268</wp:posOffset>
            </wp:positionH>
            <wp:positionV relativeFrom="paragraph">
              <wp:posOffset>389255</wp:posOffset>
            </wp:positionV>
            <wp:extent cx="2926080" cy="1828800"/>
            <wp:effectExtent l="0" t="0" r="7620" b="0"/>
            <wp:wrapTopAndBottom/>
            <wp:docPr id="1545876445" name="Chart 1545876445"/>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14:sizeRelH relativeFrom="margin">
              <wp14:pctWidth>0</wp14:pctWidth>
            </wp14:sizeRelH>
            <wp14:sizeRelV relativeFrom="margin">
              <wp14:pctHeight>0</wp14:pctHeight>
            </wp14:sizeRelV>
          </wp:anchor>
        </w:drawing>
      </w:r>
      <w:r w:rsidRPr="006B1D4C">
        <w:t>Գծապատկեր 1.29</w:t>
      </w:r>
      <w:r>
        <w:rPr>
          <w:rFonts w:hint="eastAsia"/>
        </w:rPr>
        <w:t xml:space="preserve"> </w:t>
      </w:r>
      <w:r w:rsidRPr="006B1D4C">
        <w:t>202</w:t>
      </w:r>
      <w:r>
        <w:t>5</w:t>
      </w:r>
      <w:r w:rsidRPr="006B1D4C">
        <w:t>թ. ապրանքների արտահանման միտումները, %</w:t>
      </w:r>
      <w:bookmarkEnd w:id="191"/>
    </w:p>
    <w:p w14:paraId="61AB5429" w14:textId="77777777" w:rsidR="00FE3BE4" w:rsidRPr="006B1D4C" w:rsidRDefault="00FE3BE4" w:rsidP="00FE3BE4">
      <w:pPr>
        <w:pStyle w:val="a0"/>
        <w:ind w:right="116"/>
        <w:rPr>
          <w:lang w:val="hy-AM"/>
        </w:rPr>
      </w:pPr>
      <w:r w:rsidRPr="006B1D4C">
        <w:rPr>
          <w:lang w:val="hy-AM"/>
        </w:rPr>
        <w:t>Աղբյուրը՝ ՀՀ ՎԿ և ՀՀ ՖՆ հաշվարկներ</w:t>
      </w:r>
    </w:p>
    <w:p w14:paraId="04C89AB7" w14:textId="77777777" w:rsidR="00FE3BE4" w:rsidRPr="004118F4" w:rsidRDefault="00FE3BE4" w:rsidP="00FE3BE4">
      <w:pPr>
        <w:pStyle w:val="BodyText1"/>
        <w:ind w:left="90"/>
        <w:rPr>
          <w:lang w:val="hy-AM"/>
        </w:rPr>
      </w:pPr>
      <w:r>
        <w:rPr>
          <w:lang w:val="hy-AM"/>
        </w:rPr>
        <w:t>2025</w:t>
      </w:r>
      <w:r w:rsidRPr="004118F4">
        <w:rPr>
          <w:lang w:val="hy-AM"/>
        </w:rPr>
        <w:t xml:space="preserve"> թվականի </w:t>
      </w:r>
      <w:r>
        <w:rPr>
          <w:lang w:val="hy-AM"/>
        </w:rPr>
        <w:t>հունվար-հուլիս</w:t>
      </w:r>
      <w:r w:rsidRPr="004118F4">
        <w:rPr>
          <w:lang w:val="hy-AM"/>
        </w:rPr>
        <w:t xml:space="preserve"> ամիսներին ՀՀ այցելած զբոսաշրջիկների թվաքանակը</w:t>
      </w:r>
      <w:r>
        <w:rPr>
          <w:rStyle w:val="FootnoteReference"/>
          <w:lang w:val="hy-AM"/>
        </w:rPr>
        <w:footnoteReference w:id="12"/>
      </w:r>
      <w:r w:rsidRPr="004118F4">
        <w:rPr>
          <w:lang w:val="hy-AM"/>
        </w:rPr>
        <w:t xml:space="preserve"> նախորդ տարվա նույն ժամանակահատվածի համեմատ նվազել է, իսկ ՀՀ-ից մեկնած զբոսաշրջիկների թվաքանակն ավելացել է: 202</w:t>
      </w:r>
      <w:r>
        <w:rPr>
          <w:lang w:val="hy-AM"/>
        </w:rPr>
        <w:t>5</w:t>
      </w:r>
      <w:r w:rsidRPr="004118F4">
        <w:rPr>
          <w:lang w:val="hy-AM"/>
        </w:rPr>
        <w:t xml:space="preserve"> թվականի առաջին յոթ ամիսներին ՀՀ այցելած զբոսաշրջիկների թվաքանակը նախորդ տարվա նույն ժամանակահատվածի նկատմամբ նվազել է </w:t>
      </w:r>
      <w:r>
        <w:rPr>
          <w:lang w:val="hy-AM"/>
        </w:rPr>
        <w:t>1.1</w:t>
      </w:r>
      <w:r w:rsidRPr="004118F4">
        <w:rPr>
          <w:lang w:val="hy-AM"/>
        </w:rPr>
        <w:t>%</w:t>
      </w:r>
      <w:r>
        <w:rPr>
          <w:lang w:val="hy-AM"/>
        </w:rPr>
        <w:t>-ով</w:t>
      </w:r>
      <w:r w:rsidRPr="004118F4">
        <w:rPr>
          <w:lang w:val="hy-AM"/>
        </w:rPr>
        <w:t xml:space="preserve">, որին ՌԴ զբոսաշրջիկների </w:t>
      </w:r>
      <w:r>
        <w:rPr>
          <w:lang w:val="hy-AM"/>
        </w:rPr>
        <w:t xml:space="preserve">թվաքանակի նվազման բացասական </w:t>
      </w:r>
      <w:r w:rsidRPr="004118F4">
        <w:rPr>
          <w:lang w:val="hy-AM"/>
        </w:rPr>
        <w:t xml:space="preserve">նպաստումը կազմել է շուրջ </w:t>
      </w:r>
      <w:r>
        <w:rPr>
          <w:lang w:val="hy-AM"/>
        </w:rPr>
        <w:t>3.6</w:t>
      </w:r>
      <w:r w:rsidRPr="004118F4">
        <w:rPr>
          <w:lang w:val="hy-AM"/>
        </w:rPr>
        <w:t xml:space="preserve">%-ային կետ: </w:t>
      </w:r>
      <w:r>
        <w:rPr>
          <w:lang w:val="hy-AM"/>
        </w:rPr>
        <w:t xml:space="preserve">Իսկ նվազմանը հակազդել են </w:t>
      </w:r>
      <w:r w:rsidRPr="004118F4">
        <w:rPr>
          <w:lang w:val="hy-AM"/>
        </w:rPr>
        <w:t>այլ երկրներից ժամանած զբոսաշրջիկների</w:t>
      </w:r>
      <w:r>
        <w:rPr>
          <w:lang w:val="hy-AM"/>
        </w:rPr>
        <w:t xml:space="preserve"> թվաքանակի</w:t>
      </w:r>
      <w:r w:rsidRPr="00D90CCB">
        <w:rPr>
          <w:lang w:val="hy-AM"/>
        </w:rPr>
        <w:t xml:space="preserve"> </w:t>
      </w:r>
      <w:r>
        <w:rPr>
          <w:lang w:val="hy-AM"/>
        </w:rPr>
        <w:t>աճը</w:t>
      </w:r>
      <w:r w:rsidRPr="004118F4">
        <w:rPr>
          <w:lang w:val="hy-AM"/>
        </w:rPr>
        <w:t xml:space="preserve">, մասնավորապես, </w:t>
      </w:r>
      <w:r>
        <w:rPr>
          <w:lang w:val="hy-AM"/>
        </w:rPr>
        <w:t>Վրաստանից, Իրանից, Չինաստանից և այլ երկրներից</w:t>
      </w:r>
      <w:r w:rsidRPr="004118F4">
        <w:rPr>
          <w:lang w:val="hy-AM"/>
        </w:rPr>
        <w:t xml:space="preserve"> ժամանած</w:t>
      </w:r>
      <w:r>
        <w:rPr>
          <w:lang w:val="hy-AM"/>
        </w:rPr>
        <w:t xml:space="preserve"> զբոսաշրջիկների</w:t>
      </w:r>
      <w:r w:rsidRPr="004118F4">
        <w:rPr>
          <w:lang w:val="hy-AM"/>
        </w:rPr>
        <w:t xml:space="preserve"> </w:t>
      </w:r>
      <w:r>
        <w:rPr>
          <w:lang w:val="hy-AM"/>
        </w:rPr>
        <w:t>թվաքանակի աճը</w:t>
      </w:r>
      <w:r w:rsidRPr="004118F4">
        <w:rPr>
          <w:lang w:val="hy-AM"/>
        </w:rPr>
        <w:t xml:space="preserve">: </w:t>
      </w:r>
      <w:r w:rsidRPr="00D90CCB">
        <w:rPr>
          <w:lang w:val="hy-AM"/>
        </w:rPr>
        <w:t>Սակայն</w:t>
      </w:r>
      <w:r>
        <w:rPr>
          <w:lang w:val="hy-AM"/>
        </w:rPr>
        <w:t xml:space="preserve"> հատկանշական է այն հանգամանքը, որ</w:t>
      </w:r>
      <w:r w:rsidRPr="00D90CCB">
        <w:rPr>
          <w:lang w:val="hy-AM"/>
        </w:rPr>
        <w:t xml:space="preserve"> 2025թ. մայիս ամսից սկսած տարեսկզբի նվազումից հետո գրանցվել է ՀՀ այցելած զբոսաշրջիկների </w:t>
      </w:r>
      <w:r>
        <w:rPr>
          <w:lang w:val="hy-AM"/>
        </w:rPr>
        <w:t xml:space="preserve">թվաքանակի </w:t>
      </w:r>
      <w:r w:rsidRPr="00D90CCB">
        <w:rPr>
          <w:lang w:val="hy-AM"/>
        </w:rPr>
        <w:t>աճ</w:t>
      </w:r>
      <w:r>
        <w:rPr>
          <w:lang w:val="hy-AM"/>
        </w:rPr>
        <w:t xml:space="preserve">: </w:t>
      </w:r>
    </w:p>
    <w:p w14:paraId="1EE40E96" w14:textId="77777777" w:rsidR="00FE3BE4" w:rsidRPr="00495E3A" w:rsidRDefault="00FE3BE4" w:rsidP="00FE3BE4">
      <w:pPr>
        <w:pStyle w:val="TOC4"/>
        <w:pBdr>
          <w:bottom w:val="single" w:sz="8" w:space="1" w:color="E1E1E3" w:themeColor="accent3" w:themeTint="33"/>
        </w:pBdr>
        <w:ind w:left="90"/>
        <w:rPr>
          <w:lang w:val="hy-AM"/>
        </w:rPr>
      </w:pPr>
      <w:r w:rsidRPr="00B567C0">
        <w:rPr>
          <w:lang w:val="hy-AM"/>
        </w:rPr>
        <w:t>Կանխատեսում</w:t>
      </w:r>
    </w:p>
    <w:p w14:paraId="2E105B7F" w14:textId="0E060BD1" w:rsidR="00FE3BE4" w:rsidRPr="00A411DC" w:rsidRDefault="00FE3BE4" w:rsidP="00FE3BE4">
      <w:pPr>
        <w:pStyle w:val="BodyText1"/>
        <w:ind w:left="90"/>
        <w:rPr>
          <w:rFonts w:eastAsia="Calibri" w:cs="Sylfaen"/>
          <w:lang w:val="hy-AM"/>
        </w:rPr>
      </w:pPr>
      <w:r w:rsidRPr="00336A29">
        <w:rPr>
          <w:b/>
          <w:lang w:val="hy-AM"/>
        </w:rPr>
        <w:t>Առանց վերաարտահանման գործոնի ազդեցության 2025թ.</w:t>
      </w:r>
      <w:r>
        <w:rPr>
          <w:b/>
          <w:lang w:val="hy-AM"/>
        </w:rPr>
        <w:t xml:space="preserve"> ապրանքների արտահանումը կաճի 7.5</w:t>
      </w:r>
      <w:r w:rsidRPr="00EC243E">
        <w:rPr>
          <w:b/>
          <w:lang w:val="hy-AM"/>
        </w:rPr>
        <w:t>%</w:t>
      </w:r>
      <w:r>
        <w:rPr>
          <w:b/>
          <w:lang w:val="hy-AM"/>
        </w:rPr>
        <w:t>-ով, իսկ</w:t>
      </w:r>
      <w:r w:rsidRPr="006934A1">
        <w:rPr>
          <w:b/>
          <w:lang w:val="hy-AM"/>
        </w:rPr>
        <w:t xml:space="preserve"> </w:t>
      </w:r>
      <w:r>
        <w:rPr>
          <w:b/>
          <w:lang w:val="hy-AM"/>
        </w:rPr>
        <w:t xml:space="preserve">տնտեսական զարգացումներին համահունչ, ինչպես նաև Ամուլսարի շահագործմամբ պայմանավորված՝ </w:t>
      </w:r>
      <w:r w:rsidRPr="00336A29">
        <w:rPr>
          <w:b/>
          <w:lang w:val="hy-AM"/>
        </w:rPr>
        <w:t xml:space="preserve">միջնաժամկետում սպասվում </w:t>
      </w:r>
      <w:r>
        <w:rPr>
          <w:b/>
          <w:lang w:val="hy-AM"/>
        </w:rPr>
        <w:t>է</w:t>
      </w:r>
      <w:r w:rsidRPr="00336A29">
        <w:rPr>
          <w:b/>
          <w:lang w:val="hy-AM"/>
        </w:rPr>
        <w:t xml:space="preserve"> միջինում շուրջ </w:t>
      </w:r>
      <w:r>
        <w:rPr>
          <w:b/>
          <w:lang w:val="hy-AM"/>
        </w:rPr>
        <w:t>11.6</w:t>
      </w:r>
      <w:r w:rsidRPr="00336A29">
        <w:rPr>
          <w:b/>
          <w:lang w:val="hy-AM"/>
        </w:rPr>
        <w:t>% արտահանման աճ</w:t>
      </w:r>
      <w:r>
        <w:rPr>
          <w:lang w:val="hy-AM"/>
        </w:rPr>
        <w:t xml:space="preserve">: </w:t>
      </w:r>
      <w:r>
        <w:rPr>
          <w:rFonts w:eastAsia="Calibri" w:cs="Sylfaen"/>
          <w:lang w:val="hy-AM"/>
        </w:rPr>
        <w:t>Այնուամենայնիվ, հաշվի առնելով</w:t>
      </w:r>
      <w:r w:rsidRPr="000536C8">
        <w:rPr>
          <w:rFonts w:eastAsia="Calibri" w:cs="Sylfaen"/>
          <w:lang w:val="hy-AM"/>
        </w:rPr>
        <w:t xml:space="preserve"> վերաարտահանման գործոնի կտրուկ </w:t>
      </w:r>
      <w:r>
        <w:rPr>
          <w:rFonts w:eastAsia="Calibri" w:cs="Sylfaen"/>
          <w:lang w:val="hy-AM"/>
        </w:rPr>
        <w:t xml:space="preserve">անկումը </w:t>
      </w:r>
      <w:r w:rsidRPr="000536C8">
        <w:rPr>
          <w:rFonts w:eastAsia="Calibri" w:cs="Sylfaen"/>
          <w:lang w:val="hy-AM"/>
        </w:rPr>
        <w:t xml:space="preserve">(հատկապես՝ ոսկու, արծաթի և պլատինի) 2025թ. </w:t>
      </w:r>
      <w:r w:rsidRPr="000536C8">
        <w:rPr>
          <w:rFonts w:eastAsia="Calibri" w:cs="Times New Roman"/>
          <w:lang w:val="hy-AM"/>
        </w:rPr>
        <w:t xml:space="preserve">սպասվում է արտահանման </w:t>
      </w:r>
      <w:r>
        <w:rPr>
          <w:rFonts w:eastAsia="Calibri" w:cs="Times New Roman"/>
          <w:lang w:val="hy-AM"/>
        </w:rPr>
        <w:t xml:space="preserve">նվազում </w:t>
      </w:r>
      <w:r w:rsidRPr="007A02A5">
        <w:rPr>
          <w:rFonts w:eastAsia="Calibri" w:cs="Times New Roman"/>
          <w:lang w:val="hy-AM"/>
        </w:rPr>
        <w:t>(</w:t>
      </w:r>
      <w:r>
        <w:rPr>
          <w:rFonts w:eastAsia="Calibri" w:cs="Times New Roman"/>
          <w:lang w:val="hy-AM"/>
        </w:rPr>
        <w:t>շուրջ 43</w:t>
      </w:r>
      <w:r w:rsidRPr="007A02A5">
        <w:rPr>
          <w:rFonts w:eastAsia="Calibri" w:cs="Times New Roman"/>
          <w:lang w:val="hy-AM"/>
        </w:rPr>
        <w:t>%)</w:t>
      </w:r>
      <w:r>
        <w:rPr>
          <w:rFonts w:eastAsia="Calibri" w:cs="Times New Roman"/>
          <w:lang w:val="hy-AM"/>
        </w:rPr>
        <w:t>: Ռ</w:t>
      </w:r>
      <w:r w:rsidRPr="000536C8">
        <w:rPr>
          <w:rFonts w:eastAsia="Calibri" w:cs="Sylfaen"/>
          <w:lang w:val="hy-AM"/>
        </w:rPr>
        <w:t xml:space="preserve">ուս-ուկրաինական պատերազմի հետևանքով 2022-2024թթ. առաջացած դրական գործոնների թուլացման, մասնավորապես վերաարտահանման գործոնի չեզոքացման պայմաներում՝ 2026թ. համար կանխատեսվում է արտահանման </w:t>
      </w:r>
      <w:r>
        <w:rPr>
          <w:rFonts w:eastAsia="Calibri" w:cs="Sylfaen"/>
          <w:lang w:val="hy-AM"/>
        </w:rPr>
        <w:t>նվազում</w:t>
      </w:r>
      <w:r w:rsidRPr="000536C8">
        <w:rPr>
          <w:rFonts w:eastAsia="Calibri" w:cs="Sylfaen"/>
          <w:lang w:val="hy-AM"/>
        </w:rPr>
        <w:t xml:space="preserve"> շուրջ </w:t>
      </w:r>
      <w:r>
        <w:rPr>
          <w:rFonts w:eastAsia="Calibri" w:cs="Sylfaen"/>
          <w:lang w:val="hy-AM"/>
        </w:rPr>
        <w:t>16.5</w:t>
      </w:r>
      <w:r w:rsidRPr="000536C8">
        <w:rPr>
          <w:rFonts w:eastAsia="Calibri" w:cs="Sylfaen"/>
          <w:lang w:val="hy-AM"/>
        </w:rPr>
        <w:t>%</w:t>
      </w:r>
      <w:r>
        <w:rPr>
          <w:rFonts w:eastAsia="Calibri" w:cs="Sylfaen"/>
          <w:lang w:val="hy-AM"/>
        </w:rPr>
        <w:t>-ով</w:t>
      </w:r>
      <w:r w:rsidRPr="000536C8">
        <w:rPr>
          <w:rFonts w:eastAsia="Calibri" w:cs="Sylfaen"/>
          <w:lang w:val="hy-AM"/>
        </w:rPr>
        <w:t>, իսկ</w:t>
      </w:r>
      <w:r>
        <w:rPr>
          <w:rFonts w:eastAsia="Calibri" w:cs="Sylfaen"/>
          <w:lang w:val="hy-AM"/>
        </w:rPr>
        <w:t xml:space="preserve"> 2027-28</w:t>
      </w:r>
      <w:r w:rsidRPr="000536C8">
        <w:rPr>
          <w:rFonts w:eastAsia="Calibri" w:cs="Sylfaen"/>
          <w:lang w:val="hy-AM"/>
        </w:rPr>
        <w:t xml:space="preserve">թթ.՝ արտահանումը կսկսի աճել՝ միջինում շուրջ </w:t>
      </w:r>
      <w:r>
        <w:rPr>
          <w:rFonts w:eastAsia="Calibri" w:cs="Sylfaen"/>
          <w:lang w:val="hy-AM"/>
        </w:rPr>
        <w:t>2.6</w:t>
      </w:r>
      <w:r w:rsidRPr="000536C8">
        <w:rPr>
          <w:rFonts w:eastAsia="Calibri" w:cs="Sylfaen"/>
          <w:lang w:val="hy-AM"/>
        </w:rPr>
        <w:t xml:space="preserve">%-ով: </w:t>
      </w:r>
      <w:r w:rsidRPr="00322F7F">
        <w:rPr>
          <w:rFonts w:eastAsia="Calibri" w:cs="Sylfaen"/>
          <w:lang w:val="hy-AM"/>
        </w:rPr>
        <w:t>Ռուս-ուկրաինական պատերազմի հետևանքով 2022-2024թթ. առաջացած դրական գործոնների թուլացման</w:t>
      </w:r>
      <w:r>
        <w:rPr>
          <w:rFonts w:eastAsia="Calibri" w:cs="Sylfaen"/>
          <w:lang w:val="hy-AM"/>
        </w:rPr>
        <w:t xml:space="preserve"> </w:t>
      </w:r>
      <w:r w:rsidRPr="006934A1">
        <w:rPr>
          <w:rFonts w:eastAsia="Calibri" w:cs="Sylfaen"/>
          <w:lang w:val="hy-AM"/>
        </w:rPr>
        <w:t>(</w:t>
      </w:r>
      <w:r>
        <w:rPr>
          <w:rFonts w:eastAsia="Calibri" w:cs="Sylfaen"/>
          <w:lang w:val="hy-AM"/>
        </w:rPr>
        <w:t xml:space="preserve">մասնավորապես, ՌԴ-ից զբոսաշրջիկների նվազման և </w:t>
      </w:r>
      <w:r w:rsidRPr="00322F7F">
        <w:rPr>
          <w:rFonts w:eastAsia="Calibri" w:cs="Sylfaen"/>
          <w:lang w:val="hy-AM"/>
        </w:rPr>
        <w:t>համակարգչային և տեղեկատվական ծառայությունների արտահան</w:t>
      </w:r>
      <w:r>
        <w:rPr>
          <w:rFonts w:eastAsia="Calibri" w:cs="Sylfaen"/>
          <w:lang w:val="hy-AM"/>
        </w:rPr>
        <w:t>ման աճի տեմպերի դանդաղման</w:t>
      </w:r>
      <w:r w:rsidRPr="006934A1">
        <w:rPr>
          <w:rFonts w:eastAsia="Calibri" w:cs="Sylfaen"/>
          <w:lang w:val="hy-AM"/>
        </w:rPr>
        <w:t>)</w:t>
      </w:r>
      <w:r>
        <w:rPr>
          <w:rFonts w:eastAsia="Calibri" w:cs="Sylfaen"/>
          <w:lang w:val="hy-AM"/>
        </w:rPr>
        <w:t xml:space="preserve"> հետևանքով</w:t>
      </w:r>
      <w:r w:rsidRPr="00322F7F">
        <w:rPr>
          <w:rFonts w:eastAsia="Calibri" w:cs="Sylfaen"/>
          <w:lang w:val="hy-AM"/>
        </w:rPr>
        <w:t xml:space="preserve"> </w:t>
      </w:r>
      <w:r>
        <w:rPr>
          <w:rFonts w:eastAsia="Calibri" w:cs="Sylfaen"/>
          <w:lang w:val="hy-AM"/>
        </w:rPr>
        <w:t>2025թ. սպասվում է ծառայությունների արտահանման շուրջ 1.3</w:t>
      </w:r>
      <w:r w:rsidRPr="006934A1">
        <w:rPr>
          <w:rFonts w:eastAsia="Calibri" w:cs="Sylfaen"/>
          <w:lang w:val="hy-AM"/>
        </w:rPr>
        <w:t xml:space="preserve">% </w:t>
      </w:r>
      <w:r>
        <w:rPr>
          <w:rFonts w:eastAsia="Calibri" w:cs="Sylfaen"/>
          <w:lang w:val="hy-AM"/>
        </w:rPr>
        <w:t>աճ</w:t>
      </w:r>
      <w:r w:rsidRPr="006934A1">
        <w:rPr>
          <w:rFonts w:eastAsia="Calibri" w:cs="Sylfaen"/>
          <w:lang w:val="hy-AM"/>
        </w:rPr>
        <w:t>:</w:t>
      </w:r>
      <w:r>
        <w:rPr>
          <w:rFonts w:eastAsia="Calibri" w:cs="Sylfaen"/>
          <w:lang w:val="hy-AM"/>
        </w:rPr>
        <w:t xml:space="preserve"> 2026թ. ծառայությունների ա</w:t>
      </w:r>
      <w:r w:rsidR="00E25BE6">
        <w:rPr>
          <w:rFonts w:eastAsia="Calibri" w:cs="Sylfaen"/>
          <w:lang w:val="hy-AM"/>
        </w:rPr>
        <w:t>ր</w:t>
      </w:r>
      <w:r>
        <w:rPr>
          <w:rFonts w:eastAsia="Calibri" w:cs="Sylfaen"/>
          <w:lang w:val="hy-AM"/>
        </w:rPr>
        <w:t>տահանման աճը կկազմի 3.9</w:t>
      </w:r>
      <w:r w:rsidRPr="006934A1">
        <w:rPr>
          <w:rFonts w:eastAsia="Calibri" w:cs="Sylfaen"/>
          <w:lang w:val="hy-AM"/>
        </w:rPr>
        <w:t>% (</w:t>
      </w:r>
      <w:r w:rsidRPr="00322F7F">
        <w:rPr>
          <w:rFonts w:eastAsia="Calibri" w:cs="Sylfaen"/>
          <w:lang w:val="hy-AM"/>
        </w:rPr>
        <w:t>ՌԴ-ից զբոսաշրջիկների հոսքերի կայունացման</w:t>
      </w:r>
      <w:r>
        <w:rPr>
          <w:rFonts w:eastAsia="Calibri" w:cs="Sylfaen"/>
          <w:lang w:val="hy-AM"/>
        </w:rPr>
        <w:t xml:space="preserve"> պայմաններում</w:t>
      </w:r>
      <w:r w:rsidRPr="006934A1">
        <w:rPr>
          <w:rFonts w:eastAsia="Calibri" w:cs="Sylfaen"/>
          <w:lang w:val="hy-AM"/>
        </w:rPr>
        <w:t>)</w:t>
      </w:r>
      <w:r>
        <w:rPr>
          <w:rFonts w:eastAsia="Calibri" w:cs="Sylfaen"/>
          <w:lang w:val="hy-AM"/>
        </w:rPr>
        <w:t>, իսկ 2027-28թթ. միջինում կկազմի 4.7</w:t>
      </w:r>
      <w:r w:rsidRPr="006934A1">
        <w:rPr>
          <w:rFonts w:eastAsia="Calibri" w:cs="Sylfaen"/>
          <w:lang w:val="hy-AM"/>
        </w:rPr>
        <w:t>%:</w:t>
      </w:r>
      <w:r>
        <w:rPr>
          <w:rFonts w:eastAsia="Calibri" w:cs="Sylfaen"/>
          <w:lang w:val="hy-AM"/>
        </w:rPr>
        <w:t xml:space="preserve"> Նշված գործոնների ազդեցության արդյունքում 2025</w:t>
      </w:r>
      <w:r w:rsidRPr="00745501">
        <w:rPr>
          <w:rFonts w:eastAsia="Calibri" w:cs="Sylfaen"/>
          <w:lang w:val="hy-AM"/>
        </w:rPr>
        <w:t>-26</w:t>
      </w:r>
      <w:r>
        <w:rPr>
          <w:rFonts w:eastAsia="Calibri" w:cs="Sylfaen"/>
          <w:lang w:val="hy-AM"/>
        </w:rPr>
        <w:t>թթ.  սպասվում է ապրանքների և ծառայությունների արտահանման նվազում, համապատասխանաբար, 29.5 և 7.5</w:t>
      </w:r>
      <w:r w:rsidRPr="00745501">
        <w:rPr>
          <w:rFonts w:eastAsia="Calibri" w:cs="Sylfaen"/>
          <w:lang w:val="hy-AM"/>
        </w:rPr>
        <w:t>%</w:t>
      </w:r>
      <w:r w:rsidRPr="00092B66">
        <w:rPr>
          <w:rFonts w:eastAsia="Calibri" w:cs="Sylfaen"/>
          <w:lang w:val="hy-AM"/>
        </w:rPr>
        <w:t>%-</w:t>
      </w:r>
      <w:r>
        <w:rPr>
          <w:rFonts w:eastAsia="Calibri" w:cs="Sylfaen"/>
          <w:lang w:val="hy-AM"/>
        </w:rPr>
        <w:t>ով, իսկ 2027-28</w:t>
      </w:r>
      <w:r w:rsidRPr="000536C8">
        <w:rPr>
          <w:rFonts w:eastAsia="Calibri" w:cs="Sylfaen"/>
          <w:lang w:val="hy-AM"/>
        </w:rPr>
        <w:t>թթ.</w:t>
      </w:r>
      <w:r>
        <w:rPr>
          <w:rFonts w:eastAsia="Calibri" w:cs="Sylfaen"/>
          <w:lang w:val="hy-AM"/>
        </w:rPr>
        <w:t xml:space="preserve">՝ </w:t>
      </w:r>
      <w:r w:rsidRPr="000536C8">
        <w:rPr>
          <w:rFonts w:eastAsia="Calibri" w:cs="Sylfaen"/>
          <w:lang w:val="hy-AM"/>
        </w:rPr>
        <w:t>միջինում</w:t>
      </w:r>
      <w:r>
        <w:rPr>
          <w:rFonts w:eastAsia="Calibri" w:cs="Sylfaen"/>
          <w:lang w:val="hy-AM"/>
        </w:rPr>
        <w:t xml:space="preserve"> </w:t>
      </w:r>
      <w:r w:rsidRPr="000536C8">
        <w:rPr>
          <w:rFonts w:eastAsia="Calibri" w:cs="Sylfaen"/>
          <w:lang w:val="hy-AM"/>
        </w:rPr>
        <w:t xml:space="preserve">շուրջ </w:t>
      </w:r>
      <w:r>
        <w:rPr>
          <w:rFonts w:eastAsia="Calibri" w:cs="Sylfaen"/>
          <w:lang w:val="hy-AM"/>
        </w:rPr>
        <w:t>3.6</w:t>
      </w:r>
      <w:r w:rsidRPr="000536C8">
        <w:rPr>
          <w:rFonts w:eastAsia="Calibri" w:cs="Sylfaen"/>
          <w:lang w:val="hy-AM"/>
        </w:rPr>
        <w:t>%</w:t>
      </w:r>
      <w:r>
        <w:rPr>
          <w:rFonts w:eastAsia="Calibri" w:cs="Sylfaen"/>
          <w:lang w:val="hy-AM"/>
        </w:rPr>
        <w:t xml:space="preserve"> աճ:</w:t>
      </w:r>
    </w:p>
    <w:p w14:paraId="4492EA28" w14:textId="77777777" w:rsidR="00FE3BE4" w:rsidRPr="00F0524F" w:rsidRDefault="00FE3BE4" w:rsidP="00FE3BE4">
      <w:pPr>
        <w:ind w:left="90"/>
        <w:rPr>
          <w:lang w:val="hy-AM"/>
        </w:rPr>
      </w:pPr>
    </w:p>
    <w:p w14:paraId="532DE443" w14:textId="77777777" w:rsidR="00FE3BE4" w:rsidRDefault="00FE3BE4" w:rsidP="00FE3BE4">
      <w:pPr>
        <w:pStyle w:val="BodyText1"/>
        <w:ind w:left="90"/>
        <w:rPr>
          <w:b/>
          <w:lang w:val="hy-AM"/>
        </w:rPr>
      </w:pPr>
      <w:r w:rsidRPr="00950B3D">
        <w:rPr>
          <w:b/>
          <w:lang w:val="hy-AM"/>
        </w:rPr>
        <w:t>Ներմուծում</w:t>
      </w:r>
    </w:p>
    <w:p w14:paraId="229AAF1D" w14:textId="77777777" w:rsidR="00FE3BE4" w:rsidRPr="002507D1" w:rsidRDefault="00FE3BE4" w:rsidP="00FE3BE4">
      <w:pPr>
        <w:pStyle w:val="BodyText1"/>
        <w:ind w:left="90"/>
        <w:rPr>
          <w:lang w:val="hy-AM"/>
        </w:rPr>
      </w:pPr>
      <w:r w:rsidRPr="002507D1">
        <w:rPr>
          <w:lang w:val="hy-AM"/>
        </w:rPr>
        <w:t>202</w:t>
      </w:r>
      <w:r>
        <w:rPr>
          <w:lang w:val="hy-AM"/>
        </w:rPr>
        <w:t>2</w:t>
      </w:r>
      <w:r w:rsidRPr="002507D1">
        <w:rPr>
          <w:lang w:val="hy-AM"/>
        </w:rPr>
        <w:t>-202</w:t>
      </w:r>
      <w:r>
        <w:rPr>
          <w:lang w:val="hy-AM"/>
        </w:rPr>
        <w:t>4</w:t>
      </w:r>
      <w:r w:rsidRPr="002507D1">
        <w:rPr>
          <w:lang w:val="hy-AM"/>
        </w:rPr>
        <w:t>թթ. միջինում արձանագրվել է ապրանքների և ծառայությունների ներմուծման դոլարային</w:t>
      </w:r>
      <w:r>
        <w:rPr>
          <w:lang w:val="hy-AM"/>
        </w:rPr>
        <w:t xml:space="preserve"> 49</w:t>
      </w:r>
      <w:r w:rsidRPr="002507D1">
        <w:rPr>
          <w:lang w:val="hy-AM"/>
        </w:rPr>
        <w:t xml:space="preserve">% աճ: </w:t>
      </w:r>
      <w:r>
        <w:rPr>
          <w:lang w:val="hy-AM"/>
        </w:rPr>
        <w:t>2022-2024</w:t>
      </w:r>
      <w:r w:rsidRPr="002507D1">
        <w:rPr>
          <w:lang w:val="hy-AM"/>
        </w:rPr>
        <w:t>թթ. գրանց</w:t>
      </w:r>
      <w:r>
        <w:rPr>
          <w:lang w:val="hy-AM"/>
        </w:rPr>
        <w:t>վ</w:t>
      </w:r>
      <w:r w:rsidRPr="002507D1">
        <w:rPr>
          <w:lang w:val="hy-AM"/>
        </w:rPr>
        <w:t>ել</w:t>
      </w:r>
      <w:r>
        <w:rPr>
          <w:lang w:val="hy-AM"/>
        </w:rPr>
        <w:t xml:space="preserve"> է</w:t>
      </w:r>
      <w:r w:rsidRPr="002507D1">
        <w:rPr>
          <w:lang w:val="hy-AM"/>
        </w:rPr>
        <w:t xml:space="preserve"> բարձր աճ՝ պայմանավորված ներքին պահանջարկով, բարձր տնտեսական ակտիվությամբ և վերաարտահանման նպատակով իրականացված ներմուծմամբ: Նշված ժամանակահատվածում ծառայությունների ներմուծման աճի բարձր տեմպերը հիմնականում պայմանավորված են տնտեսական բարձր ակտիվությանը համահունչ բնակչության տնօրինվող եկամտի ավելացմամբ՝ պայմանավորված զբոսաշրջային ծառայությունների նկատմամբ ստեղծված պահանջարկով:</w:t>
      </w:r>
    </w:p>
    <w:p w14:paraId="233CBE09" w14:textId="77777777" w:rsidR="00FE3BE4" w:rsidRPr="002507D1" w:rsidRDefault="00FE3BE4" w:rsidP="00FE3BE4">
      <w:pPr>
        <w:pStyle w:val="BodyText1"/>
        <w:ind w:left="90"/>
        <w:rPr>
          <w:lang w:val="hy-AM"/>
        </w:rPr>
      </w:pPr>
      <w:r w:rsidRPr="00CF2B70">
        <w:rPr>
          <w:lang w:val="hy-AM"/>
        </w:rPr>
        <w:t>2025թ. առաջին կիսամյակում արձանագրվել է ապրանքների ներմուծման ծավալների նվազում</w:t>
      </w:r>
      <w:r>
        <w:rPr>
          <w:lang w:val="hy-AM"/>
        </w:rPr>
        <w:t xml:space="preserve"> (35.8</w:t>
      </w:r>
      <w:r w:rsidRPr="00CF2B70">
        <w:rPr>
          <w:lang w:val="hy-AM"/>
        </w:rPr>
        <w:t xml:space="preserve">%)՝ հիմնականում պայմանավորված վերաարտահանման նպատակով ներմուծվող թանկարժեք մետաղների ներմուծման ծավալների կտրուկ անկմամբ: </w:t>
      </w:r>
      <w:r w:rsidRPr="002507D1">
        <w:rPr>
          <w:lang w:val="hy-AM"/>
        </w:rPr>
        <w:t>Հատկանշական է, որ մայիս ամսից սկսած արձանագրվել է ներմուծման</w:t>
      </w:r>
      <w:r>
        <w:rPr>
          <w:lang w:val="hy-AM"/>
        </w:rPr>
        <w:t xml:space="preserve"> նվազման</w:t>
      </w:r>
      <w:r w:rsidRPr="002507D1">
        <w:rPr>
          <w:lang w:val="hy-AM"/>
        </w:rPr>
        <w:t xml:space="preserve"> </w:t>
      </w:r>
      <w:r>
        <w:rPr>
          <w:lang w:val="hy-AM"/>
        </w:rPr>
        <w:t>տ</w:t>
      </w:r>
      <w:r w:rsidRPr="002507D1">
        <w:rPr>
          <w:lang w:val="hy-AM"/>
        </w:rPr>
        <w:t>եմպի կտրուկ դանդաղում:</w:t>
      </w:r>
    </w:p>
    <w:p w14:paraId="6C531238" w14:textId="77777777" w:rsidR="00FE3BE4" w:rsidRPr="00C3014C" w:rsidRDefault="00FE3BE4" w:rsidP="00FE3BE4">
      <w:pPr>
        <w:pStyle w:val="Charts"/>
      </w:pPr>
      <w:bookmarkStart w:id="192" w:name="_Toc178595143"/>
      <w:r w:rsidRPr="006B1D4C">
        <w:rPr>
          <w:rFonts w:ascii="Calibri" w:hAnsi="Calibri" w:cs="Calibri"/>
          <w:noProof/>
          <w:sz w:val="16"/>
          <w:szCs w:val="16"/>
          <w:lang w:val="en-US"/>
        </w:rPr>
        <w:drawing>
          <wp:anchor distT="0" distB="0" distL="114300" distR="114300" simplePos="0" relativeHeight="251889664" behindDoc="0" locked="0" layoutInCell="1" allowOverlap="1" wp14:anchorId="23B84291" wp14:editId="6EDE7111">
            <wp:simplePos x="0" y="0"/>
            <wp:positionH relativeFrom="margin">
              <wp:posOffset>424282</wp:posOffset>
            </wp:positionH>
            <wp:positionV relativeFrom="paragraph">
              <wp:posOffset>435966</wp:posOffset>
            </wp:positionV>
            <wp:extent cx="2926080" cy="1828800"/>
            <wp:effectExtent l="0" t="0" r="7620" b="0"/>
            <wp:wrapTopAndBottom/>
            <wp:docPr id="1545876446" name="Chart 1545876446"/>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14:sizeRelH relativeFrom="margin">
              <wp14:pctWidth>0</wp14:pctWidth>
            </wp14:sizeRelH>
            <wp14:sizeRelV relativeFrom="margin">
              <wp14:pctHeight>0</wp14:pctHeight>
            </wp14:sizeRelV>
          </wp:anchor>
        </w:drawing>
      </w:r>
      <w:r w:rsidRPr="006B1D4C">
        <w:rPr>
          <w:rFonts w:ascii="Calibri" w:hAnsi="Calibri" w:cs="Calibri"/>
          <w:noProof/>
          <w:sz w:val="16"/>
          <w:szCs w:val="16"/>
          <w:lang w:val="en-US"/>
        </w:rPr>
        <w:drawing>
          <wp:anchor distT="0" distB="0" distL="114300" distR="114300" simplePos="0" relativeHeight="251890688" behindDoc="0" locked="0" layoutInCell="1" allowOverlap="1" wp14:anchorId="66A48273" wp14:editId="502D578F">
            <wp:simplePos x="0" y="0"/>
            <wp:positionH relativeFrom="page">
              <wp:posOffset>4304309</wp:posOffset>
            </wp:positionH>
            <wp:positionV relativeFrom="paragraph">
              <wp:posOffset>424205</wp:posOffset>
            </wp:positionV>
            <wp:extent cx="2926080" cy="1828800"/>
            <wp:effectExtent l="0" t="0" r="7620" b="0"/>
            <wp:wrapTopAndBottom/>
            <wp:docPr id="1545876447" name="Chart 1545876447"/>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14:sizeRelH relativeFrom="margin">
              <wp14:pctWidth>0</wp14:pctWidth>
            </wp14:sizeRelH>
            <wp14:sizeRelV relativeFrom="margin">
              <wp14:pctHeight>0</wp14:pctHeight>
            </wp14:sizeRelV>
          </wp:anchor>
        </w:drawing>
      </w:r>
      <w:r w:rsidRPr="00C3014C">
        <w:t>Գծապատկեր 1.30</w:t>
      </w:r>
      <w:r w:rsidRPr="00C3014C">
        <w:rPr>
          <w:rFonts w:ascii="MS Gothic" w:eastAsia="MS Gothic" w:hAnsi="MS Gothic" w:cs="MS Gothic" w:hint="eastAsia"/>
        </w:rPr>
        <w:t>․</w:t>
      </w:r>
      <w:r w:rsidRPr="00C3014C">
        <w:t xml:space="preserve"> 202</w:t>
      </w:r>
      <w:r>
        <w:t>5</w:t>
      </w:r>
      <w:r w:rsidRPr="00C3014C">
        <w:t>թ. ապրանքների ներմուծման միտումները, %</w:t>
      </w:r>
      <w:bookmarkEnd w:id="192"/>
    </w:p>
    <w:p w14:paraId="49EEDBF7" w14:textId="77777777" w:rsidR="00FE3BE4" w:rsidRPr="006B1D4C" w:rsidRDefault="00FE3BE4" w:rsidP="00FE3BE4">
      <w:pPr>
        <w:pStyle w:val="a0"/>
        <w:ind w:right="26"/>
        <w:rPr>
          <w:lang w:val="hy-AM"/>
        </w:rPr>
      </w:pPr>
      <w:r w:rsidRPr="006B1D4C">
        <w:rPr>
          <w:lang w:val="hy-AM"/>
        </w:rPr>
        <w:t>Աղբյուրը՝ ՀՀ ՎԿ և ՀՀ ՖՆ հաշվարկներ</w:t>
      </w:r>
    </w:p>
    <w:p w14:paraId="6B7962AD" w14:textId="77777777" w:rsidR="00FE3BE4" w:rsidRPr="007F49F0" w:rsidRDefault="00FE3BE4" w:rsidP="00FE3BE4">
      <w:pPr>
        <w:pStyle w:val="TOC4"/>
        <w:pBdr>
          <w:bottom w:val="single" w:sz="8" w:space="1" w:color="E1E1E3" w:themeColor="accent3" w:themeTint="33"/>
        </w:pBdr>
        <w:ind w:left="-1080" w:firstLine="1080"/>
        <w:rPr>
          <w:lang w:val="hy-AM"/>
        </w:rPr>
      </w:pPr>
      <w:r w:rsidRPr="007F49F0">
        <w:rPr>
          <w:lang w:val="hy-AM"/>
        </w:rPr>
        <w:t>Կանխատեսում</w:t>
      </w:r>
    </w:p>
    <w:p w14:paraId="2ACB7FC9" w14:textId="77777777" w:rsidR="00FE3BE4" w:rsidRPr="00A411DC" w:rsidRDefault="00FE3BE4" w:rsidP="00FE3BE4">
      <w:pPr>
        <w:pStyle w:val="BodyText1"/>
        <w:ind w:left="-90"/>
        <w:rPr>
          <w:rFonts w:eastAsia="Calibri" w:cs="Sylfaen"/>
          <w:lang w:val="hy-AM"/>
        </w:rPr>
      </w:pPr>
      <w:r w:rsidRPr="00495E3A">
        <w:rPr>
          <w:b/>
          <w:lang w:val="hy-AM"/>
        </w:rPr>
        <w:t>Փաստացի և կանխատեսվող հորիզոնում վերաարտահանման գործոնի ազդեցության բացառման պայմաններում</w:t>
      </w:r>
      <w:r>
        <w:rPr>
          <w:b/>
          <w:lang w:val="hy-AM"/>
        </w:rPr>
        <w:t xml:space="preserve"> կանխատեսվող հորիզոնում</w:t>
      </w:r>
      <w:r w:rsidRPr="00495E3A">
        <w:rPr>
          <w:b/>
          <w:lang w:val="hy-AM"/>
        </w:rPr>
        <w:t xml:space="preserve"> սպասվում են ներքին պահանջարկին և տնտեսական ակտիվությանը համահունչ ներմուծման </w:t>
      </w:r>
      <w:r>
        <w:rPr>
          <w:b/>
          <w:lang w:val="hy-AM"/>
        </w:rPr>
        <w:t>ծավալների փոխոխություններ</w:t>
      </w:r>
      <w:r w:rsidRPr="00495E3A">
        <w:rPr>
          <w:b/>
          <w:lang w:val="hy-AM"/>
        </w:rPr>
        <w:t>։</w:t>
      </w:r>
      <w:r w:rsidRPr="00495E3A">
        <w:rPr>
          <w:lang w:val="hy-AM"/>
        </w:rPr>
        <w:t xml:space="preserve"> </w:t>
      </w:r>
      <w:r>
        <w:rPr>
          <w:lang w:val="hy-AM"/>
        </w:rPr>
        <w:t>Ս</w:t>
      </w:r>
      <w:r w:rsidRPr="00495E3A">
        <w:rPr>
          <w:lang w:val="hy-AM"/>
        </w:rPr>
        <w:t>պասվող տնտեսական աճի և ապրանքների նկատմամբ ներքին պահանջարկի աճով, ինչպես նաև վերաարտահանման գործոնների</w:t>
      </w:r>
      <w:r>
        <w:rPr>
          <w:lang w:val="hy-AM"/>
        </w:rPr>
        <w:t xml:space="preserve"> կտրուկ </w:t>
      </w:r>
      <w:r w:rsidRPr="00495E3A">
        <w:rPr>
          <w:lang w:val="hy-AM"/>
        </w:rPr>
        <w:t>թուլացմամբ պայմանավորված</w:t>
      </w:r>
      <w:r>
        <w:rPr>
          <w:lang w:val="hy-AM"/>
        </w:rPr>
        <w:t xml:space="preserve"> 2025</w:t>
      </w:r>
      <w:r w:rsidRPr="00495E3A">
        <w:rPr>
          <w:lang w:val="hy-AM"/>
        </w:rPr>
        <w:t xml:space="preserve">թ. </w:t>
      </w:r>
      <w:r>
        <w:rPr>
          <w:lang w:val="hy-AM"/>
        </w:rPr>
        <w:t>ապրանքների ներմուծման</w:t>
      </w:r>
      <w:r w:rsidRPr="00495E3A">
        <w:rPr>
          <w:lang w:val="hy-AM"/>
        </w:rPr>
        <w:t xml:space="preserve"> անկում</w:t>
      </w:r>
      <w:r>
        <w:rPr>
          <w:lang w:val="hy-AM"/>
        </w:rPr>
        <w:t xml:space="preserve">ը կկազմի </w:t>
      </w:r>
      <w:r w:rsidRPr="00495E3A">
        <w:rPr>
          <w:lang w:val="hy-AM"/>
        </w:rPr>
        <w:t xml:space="preserve">շուրջ </w:t>
      </w:r>
      <w:r>
        <w:rPr>
          <w:lang w:val="hy-AM"/>
        </w:rPr>
        <w:t>32</w:t>
      </w:r>
      <w:r w:rsidRPr="00495E3A">
        <w:rPr>
          <w:lang w:val="hy-AM"/>
        </w:rPr>
        <w:t>%</w:t>
      </w:r>
      <w:r>
        <w:rPr>
          <w:lang w:val="hy-AM"/>
        </w:rPr>
        <w:t>: 2026</w:t>
      </w:r>
      <w:r w:rsidRPr="00495E3A">
        <w:rPr>
          <w:lang w:val="hy-AM"/>
        </w:rPr>
        <w:t>թ. վերաարտահանման գործոնի չեզոքացման</w:t>
      </w:r>
      <w:r>
        <w:rPr>
          <w:lang w:val="hy-AM"/>
        </w:rPr>
        <w:t xml:space="preserve"> շարունակման</w:t>
      </w:r>
      <w:r w:rsidRPr="00495E3A">
        <w:rPr>
          <w:lang w:val="hy-AM"/>
        </w:rPr>
        <w:t xml:space="preserve"> արդյունքում կարձանագրվի ներմուծման շուրջ</w:t>
      </w:r>
      <w:r>
        <w:rPr>
          <w:lang w:val="hy-AM"/>
        </w:rPr>
        <w:t xml:space="preserve"> 11.2</w:t>
      </w:r>
      <w:r w:rsidRPr="00495E3A">
        <w:rPr>
          <w:lang w:val="hy-AM"/>
        </w:rPr>
        <w:t xml:space="preserve">% </w:t>
      </w:r>
      <w:r>
        <w:rPr>
          <w:lang w:val="hy-AM"/>
        </w:rPr>
        <w:t xml:space="preserve">նվազում, իսկ </w:t>
      </w:r>
      <w:r w:rsidRPr="00495E3A">
        <w:rPr>
          <w:lang w:val="hy-AM"/>
        </w:rPr>
        <w:t>202</w:t>
      </w:r>
      <w:r>
        <w:rPr>
          <w:lang w:val="hy-AM"/>
        </w:rPr>
        <w:t>7-2028</w:t>
      </w:r>
      <w:r w:rsidRPr="00495E3A">
        <w:rPr>
          <w:lang w:val="hy-AM"/>
        </w:rPr>
        <w:t>թթ. պայմանավորված ներքին պահանջարկի աճով, ինչպես նաև ՀՀ կառավարության կողմից նախատեսվող պետական ներդրումների իրականացման և մասնավոր ներդրումների խթանման միջոցառումների ազդեցութ</w:t>
      </w:r>
      <w:r>
        <w:rPr>
          <w:lang w:val="hy-AM"/>
        </w:rPr>
        <w:t xml:space="preserve">յան արդյունքում </w:t>
      </w:r>
      <w:r w:rsidRPr="00495E3A">
        <w:rPr>
          <w:lang w:val="hy-AM"/>
        </w:rPr>
        <w:t xml:space="preserve">ներմուծման աճը միջինում կկազմի մոտ </w:t>
      </w:r>
      <w:r>
        <w:rPr>
          <w:lang w:val="hy-AM"/>
        </w:rPr>
        <w:t>2.7</w:t>
      </w:r>
      <w:r w:rsidRPr="00495E3A">
        <w:rPr>
          <w:lang w:val="hy-AM"/>
        </w:rPr>
        <w:t>%: Նման չափավոր աճը պայմանավորված է վերաարտահանման գործոնի նվազմամբ:</w:t>
      </w:r>
      <w:r>
        <w:rPr>
          <w:lang w:val="hy-AM"/>
        </w:rPr>
        <w:t xml:space="preserve"> 2025թ. սպասվում է ծառայությունների նվազում 1.3</w:t>
      </w:r>
      <w:r w:rsidRPr="006934A1">
        <w:rPr>
          <w:lang w:val="hy-AM"/>
        </w:rPr>
        <w:t>%</w:t>
      </w:r>
      <w:r>
        <w:rPr>
          <w:lang w:val="hy-AM"/>
        </w:rPr>
        <w:t xml:space="preserve">-ով՝ պայմանավորված վերաարտահանման գործոններով բեռնափոխադրումների ծառայությունների նվազմամբ </w:t>
      </w:r>
      <w:r w:rsidRPr="006934A1">
        <w:rPr>
          <w:lang w:val="hy-AM"/>
        </w:rPr>
        <w:t>(</w:t>
      </w:r>
      <w:r>
        <w:rPr>
          <w:lang w:val="hy-AM"/>
        </w:rPr>
        <w:t xml:space="preserve">մասնավորապես, </w:t>
      </w:r>
      <w:r w:rsidRPr="00FD7CD1">
        <w:rPr>
          <w:lang w:val="hy-AM"/>
        </w:rPr>
        <w:t>վերաարտահանման նպատակով իրականացված ներմուծ</w:t>
      </w:r>
      <w:r>
        <w:rPr>
          <w:lang w:val="hy-AM"/>
        </w:rPr>
        <w:t>ման կրճատ</w:t>
      </w:r>
      <w:r w:rsidRPr="00FD7CD1">
        <w:rPr>
          <w:lang w:val="hy-AM"/>
        </w:rPr>
        <w:t>մամբ</w:t>
      </w:r>
      <w:r w:rsidRPr="006934A1">
        <w:rPr>
          <w:lang w:val="hy-AM"/>
        </w:rPr>
        <w:t>)</w:t>
      </w:r>
      <w:r>
        <w:rPr>
          <w:lang w:val="hy-AM"/>
        </w:rPr>
        <w:t>: 2026թ.</w:t>
      </w:r>
      <w:r w:rsidRPr="00DC3CE6">
        <w:rPr>
          <w:lang w:val="hy-AM"/>
        </w:rPr>
        <w:t xml:space="preserve"> </w:t>
      </w:r>
      <w:r>
        <w:rPr>
          <w:lang w:val="hy-AM"/>
        </w:rPr>
        <w:t>ծառայությունների ներմուծումը կաճի 2.3</w:t>
      </w:r>
      <w:r w:rsidRPr="006934A1">
        <w:rPr>
          <w:lang w:val="hy-AM"/>
        </w:rPr>
        <w:t>%-</w:t>
      </w:r>
      <w:r>
        <w:rPr>
          <w:lang w:val="hy-AM"/>
        </w:rPr>
        <w:t>ով</w:t>
      </w:r>
      <w:r w:rsidRPr="006934A1">
        <w:rPr>
          <w:lang w:val="hy-AM"/>
        </w:rPr>
        <w:t>`</w:t>
      </w:r>
      <w:r w:rsidRPr="00DC3CE6">
        <w:rPr>
          <w:lang w:val="hy-AM"/>
        </w:rPr>
        <w:t xml:space="preserve"> </w:t>
      </w:r>
      <w:r w:rsidRPr="00495E3A">
        <w:rPr>
          <w:lang w:val="hy-AM"/>
        </w:rPr>
        <w:t>պայմանավորված ներքին պահանջարկի աճով</w:t>
      </w:r>
      <w:r>
        <w:rPr>
          <w:lang w:val="hy-AM"/>
        </w:rPr>
        <w:t>, իսկ 2027-2028թթ. միջինում</w:t>
      </w:r>
      <w:r w:rsidRPr="006934A1">
        <w:rPr>
          <w:lang w:val="hy-AM"/>
        </w:rPr>
        <w:t>`</w:t>
      </w:r>
      <w:r>
        <w:rPr>
          <w:lang w:val="hy-AM"/>
        </w:rPr>
        <w:t xml:space="preserve"> 4.3</w:t>
      </w:r>
      <w:r w:rsidRPr="006934A1">
        <w:rPr>
          <w:lang w:val="hy-AM"/>
        </w:rPr>
        <w:t xml:space="preserve">% </w:t>
      </w:r>
      <w:r>
        <w:rPr>
          <w:lang w:val="hy-AM"/>
        </w:rPr>
        <w:t>աճ</w:t>
      </w:r>
      <w:r w:rsidRPr="006934A1">
        <w:rPr>
          <w:lang w:val="hy-AM"/>
        </w:rPr>
        <w:t xml:space="preserve">: </w:t>
      </w:r>
      <w:r>
        <w:rPr>
          <w:rFonts w:eastAsia="Calibri" w:cs="Sylfaen"/>
          <w:lang w:val="hy-AM"/>
        </w:rPr>
        <w:t>Նշված գործոնների ազդեցության արդյունքում 2025</w:t>
      </w:r>
      <w:r w:rsidRPr="00745501">
        <w:rPr>
          <w:rFonts w:eastAsia="Calibri" w:cs="Sylfaen"/>
          <w:lang w:val="hy-AM"/>
        </w:rPr>
        <w:t>-26</w:t>
      </w:r>
      <w:r>
        <w:rPr>
          <w:rFonts w:eastAsia="Calibri" w:cs="Sylfaen"/>
          <w:lang w:val="hy-AM"/>
        </w:rPr>
        <w:t>թթ. սպասվում է ապրանքների և ծառայությունների ներմուծման նվազում, համապատասխանաբար, 25 և 7.3</w:t>
      </w:r>
      <w:r w:rsidRPr="00745501">
        <w:rPr>
          <w:rFonts w:eastAsia="Calibri" w:cs="Sylfaen"/>
          <w:lang w:val="hy-AM"/>
        </w:rPr>
        <w:t>%</w:t>
      </w:r>
      <w:r w:rsidRPr="00092B66">
        <w:rPr>
          <w:rFonts w:eastAsia="Calibri" w:cs="Sylfaen"/>
          <w:lang w:val="hy-AM"/>
        </w:rPr>
        <w:t>%-</w:t>
      </w:r>
      <w:r>
        <w:rPr>
          <w:rFonts w:eastAsia="Calibri" w:cs="Sylfaen"/>
          <w:lang w:val="hy-AM"/>
        </w:rPr>
        <w:t>ով, իսկ 2027-28</w:t>
      </w:r>
      <w:r w:rsidRPr="000536C8">
        <w:rPr>
          <w:rFonts w:eastAsia="Calibri" w:cs="Sylfaen"/>
          <w:lang w:val="hy-AM"/>
        </w:rPr>
        <w:t>թթ.</w:t>
      </w:r>
      <w:r>
        <w:rPr>
          <w:rFonts w:eastAsia="Calibri" w:cs="Sylfaen"/>
          <w:lang w:val="hy-AM"/>
        </w:rPr>
        <w:t xml:space="preserve">՝ </w:t>
      </w:r>
      <w:r w:rsidRPr="000536C8">
        <w:rPr>
          <w:rFonts w:eastAsia="Calibri" w:cs="Sylfaen"/>
          <w:lang w:val="hy-AM"/>
        </w:rPr>
        <w:t>միջինում</w:t>
      </w:r>
      <w:r>
        <w:rPr>
          <w:rFonts w:eastAsia="Calibri" w:cs="Sylfaen"/>
          <w:lang w:val="hy-AM"/>
        </w:rPr>
        <w:t xml:space="preserve"> </w:t>
      </w:r>
      <w:r w:rsidRPr="000536C8">
        <w:rPr>
          <w:rFonts w:eastAsia="Calibri" w:cs="Sylfaen"/>
          <w:lang w:val="hy-AM"/>
        </w:rPr>
        <w:t xml:space="preserve">շուրջ </w:t>
      </w:r>
      <w:r>
        <w:rPr>
          <w:rFonts w:eastAsia="Calibri" w:cs="Sylfaen"/>
          <w:lang w:val="hy-AM"/>
        </w:rPr>
        <w:t>3.2</w:t>
      </w:r>
      <w:r w:rsidRPr="000536C8">
        <w:rPr>
          <w:rFonts w:eastAsia="Calibri" w:cs="Sylfaen"/>
          <w:lang w:val="hy-AM"/>
        </w:rPr>
        <w:t>%</w:t>
      </w:r>
      <w:r>
        <w:rPr>
          <w:rFonts w:eastAsia="Calibri" w:cs="Sylfaen"/>
          <w:lang w:val="hy-AM"/>
        </w:rPr>
        <w:t xml:space="preserve"> աճ:</w:t>
      </w:r>
    </w:p>
    <w:p w14:paraId="5BF1FC16" w14:textId="77777777" w:rsidR="00FE3BE4" w:rsidRPr="00757864" w:rsidRDefault="00FE3BE4" w:rsidP="00FE3BE4">
      <w:pPr>
        <w:pStyle w:val="BodyText1"/>
        <w:rPr>
          <w:lang w:val="hy-AM"/>
        </w:rPr>
      </w:pPr>
    </w:p>
    <w:p w14:paraId="6D60CF6D" w14:textId="77777777" w:rsidR="00FE3BE4" w:rsidRPr="00DD75C7" w:rsidRDefault="00FE3BE4" w:rsidP="00104E7A">
      <w:pPr>
        <w:pStyle w:val="TOC4"/>
        <w:outlineLvl w:val="2"/>
        <w:rPr>
          <w:lang w:val="hy-AM"/>
        </w:rPr>
      </w:pPr>
      <w:bookmarkStart w:id="193" w:name="_Toc215157671"/>
      <w:bookmarkStart w:id="194" w:name="_Toc171671627"/>
      <w:bookmarkEnd w:id="185"/>
      <w:bookmarkEnd w:id="186"/>
      <w:bookmarkEnd w:id="187"/>
      <w:r w:rsidRPr="00DD75C7">
        <w:rPr>
          <w:lang w:val="hy-AM"/>
        </w:rPr>
        <w:t xml:space="preserve">1.3.4. ԱՐԺՈՒԹԱՅԻՆ ՇՈՒԿԱ </w:t>
      </w:r>
      <w:r>
        <w:rPr>
          <w:lang w:val="hy-AM"/>
        </w:rPr>
        <w:t>ԵՎ</w:t>
      </w:r>
      <w:r w:rsidRPr="00DD75C7">
        <w:rPr>
          <w:lang w:val="hy-AM"/>
        </w:rPr>
        <w:t xml:space="preserve"> ՓՈԽԱՐԺԵՔՆԵՐ</w:t>
      </w:r>
      <w:bookmarkEnd w:id="193"/>
    </w:p>
    <w:p w14:paraId="360276F8" w14:textId="77777777" w:rsidR="00FE3BE4" w:rsidRDefault="00FE3BE4" w:rsidP="00FE3BE4">
      <w:pPr>
        <w:pStyle w:val="BodyText1"/>
        <w:ind w:left="0"/>
        <w:rPr>
          <w:b/>
          <w:lang w:val="hy-AM"/>
        </w:rPr>
      </w:pPr>
      <w:r w:rsidRPr="00495E3A">
        <w:rPr>
          <w:b/>
          <w:lang w:val="hy-AM"/>
        </w:rPr>
        <w:t>Ֆիզիկական անձանց փոխանցումներ</w:t>
      </w:r>
    </w:p>
    <w:p w14:paraId="179AD100" w14:textId="77777777" w:rsidR="00FE3BE4" w:rsidRPr="00C247B3" w:rsidRDefault="00FE3BE4" w:rsidP="00FE3BE4">
      <w:pPr>
        <w:pStyle w:val="BodyText1"/>
        <w:ind w:left="0"/>
        <w:rPr>
          <w:rFonts w:eastAsia="Times New Roman" w:cs="Times New Roman"/>
          <w:b/>
          <w:lang w:val="hy-AM"/>
        </w:rPr>
      </w:pPr>
      <w:r w:rsidRPr="00495E3A">
        <w:rPr>
          <w:b/>
          <w:lang w:val="hy-AM"/>
        </w:rPr>
        <w:t>Դեպի ՀՀ ֆիզիկական անձանց զուտ փոխանցումները 202</w:t>
      </w:r>
      <w:r w:rsidRPr="00C247B3">
        <w:rPr>
          <w:b/>
          <w:lang w:val="hy-AM"/>
        </w:rPr>
        <w:t>2</w:t>
      </w:r>
      <w:r w:rsidRPr="00495E3A">
        <w:rPr>
          <w:b/>
          <w:lang w:val="hy-AM"/>
        </w:rPr>
        <w:t>-202</w:t>
      </w:r>
      <w:r w:rsidRPr="00C247B3">
        <w:rPr>
          <w:b/>
          <w:lang w:val="hy-AM"/>
        </w:rPr>
        <w:t>4</w:t>
      </w:r>
      <w:r w:rsidRPr="00495E3A">
        <w:rPr>
          <w:b/>
          <w:lang w:val="hy-AM"/>
        </w:rPr>
        <w:t>թթ</w:t>
      </w:r>
      <w:r w:rsidRPr="00495E3A">
        <w:rPr>
          <w:rFonts w:ascii="Cambria Math" w:hAnsi="Cambria Math" w:cs="Cambria Math"/>
          <w:b/>
          <w:lang w:val="hy-AM"/>
        </w:rPr>
        <w:t>․</w:t>
      </w:r>
      <w:r w:rsidRPr="00495E3A">
        <w:rPr>
          <w:b/>
          <w:lang w:val="hy-AM"/>
        </w:rPr>
        <w:t xml:space="preserve"> </w:t>
      </w:r>
      <w:r>
        <w:rPr>
          <w:b/>
          <w:lang w:val="hy-AM"/>
        </w:rPr>
        <w:t xml:space="preserve">պահպանում են </w:t>
      </w:r>
      <w:r w:rsidRPr="00495E3A">
        <w:rPr>
          <w:b/>
          <w:lang w:val="hy-AM"/>
        </w:rPr>
        <w:t>աննախադեպ մեծ ծավալներ</w:t>
      </w:r>
      <w:r>
        <w:rPr>
          <w:b/>
          <w:lang w:val="hy-AM"/>
        </w:rPr>
        <w:t>ը՝</w:t>
      </w:r>
      <w:r w:rsidRPr="00495E3A">
        <w:rPr>
          <w:b/>
          <w:lang w:val="hy-AM"/>
        </w:rPr>
        <w:t xml:space="preserve"> պայմանավորված ՌԴ-ից մեծ ներհոսքով։</w:t>
      </w:r>
      <w:r w:rsidRPr="00495E3A">
        <w:rPr>
          <w:lang w:val="hy-AM"/>
        </w:rPr>
        <w:t xml:space="preserve"> 202</w:t>
      </w:r>
      <w:r>
        <w:rPr>
          <w:lang w:val="hy-AM"/>
        </w:rPr>
        <w:t>2</w:t>
      </w:r>
      <w:r w:rsidRPr="00495E3A">
        <w:rPr>
          <w:lang w:val="hy-AM"/>
        </w:rPr>
        <w:t xml:space="preserve">թ. մինչև 2023թ. առաջին եռամսյակ ՀՀ բանկերի միջոցով ֆիզիկական անձանց անունով արտերկրից մուտք եղած և ՀՀ-ից արտերկիր կատարված առևտրային և ոչ առևտրային նպատակով զուտ փոխանցումները աճել են բարձր տեմպով։ Սակայն 2023 թվականի երկրորդ եռամսյակից մինչ տարեվերջ սկսել են նվազել։ </w:t>
      </w:r>
      <w:r w:rsidRPr="000536C8">
        <w:rPr>
          <w:rFonts w:eastAsia="GHEA Grapalat" w:cs="GHEA Grapalat"/>
          <w:lang w:val="hy-AM"/>
        </w:rPr>
        <w:t>2024թ. զուտ փոխանցումները հասել են 1.5 մլրդ դոլարի՝ 2023թ. 1.7 համեմատ նվազելով 8.8%-ով:</w:t>
      </w:r>
      <w:r w:rsidRPr="000536C8">
        <w:rPr>
          <w:lang w:val="hy-AM"/>
        </w:rPr>
        <w:t xml:space="preserve"> Ընդ որում, ՌԴ-ից զուտ փոխանցումները 2024թ. կազմել են 3.1 մլրդ դոլար՝ նախորդ տարվա 3.3 մլրդ դոլարի համեմատ նվազելով շուրջ</w:t>
      </w:r>
      <w:r>
        <w:rPr>
          <w:lang w:val="hy-AM"/>
        </w:rPr>
        <w:t xml:space="preserve"> 5.</w:t>
      </w:r>
      <w:r w:rsidRPr="00C247B3">
        <w:rPr>
          <w:lang w:val="hy-AM"/>
        </w:rPr>
        <w:t>3</w:t>
      </w:r>
      <w:r w:rsidRPr="000536C8">
        <w:rPr>
          <w:lang w:val="hy-AM"/>
        </w:rPr>
        <w:t>%-ով՝</w:t>
      </w:r>
      <w:r w:rsidRPr="000536C8">
        <w:rPr>
          <w:rFonts w:eastAsia="GHEA Grapalat" w:cs="GHEA Grapalat"/>
          <w:lang w:val="hy-AM"/>
        </w:rPr>
        <w:t xml:space="preserve"> հիմնականում պայմանավորված առաջին կիսամյակի նվազումով։ </w:t>
      </w:r>
    </w:p>
    <w:p w14:paraId="2950BCBA" w14:textId="386F83E7" w:rsidR="00FE3BE4" w:rsidRPr="00C247B3" w:rsidRDefault="00FE3BE4" w:rsidP="00FE3BE4">
      <w:pPr>
        <w:pStyle w:val="BodyText1"/>
        <w:ind w:left="0"/>
        <w:rPr>
          <w:lang w:val="hy-AM"/>
        </w:rPr>
      </w:pPr>
      <w:r w:rsidRPr="00813DF3">
        <w:rPr>
          <w:b/>
          <w:lang w:val="hy-AM"/>
        </w:rPr>
        <w:t>202</w:t>
      </w:r>
      <w:r w:rsidRPr="00C247B3">
        <w:rPr>
          <w:b/>
          <w:lang w:val="hy-AM"/>
        </w:rPr>
        <w:t>5</w:t>
      </w:r>
      <w:r w:rsidRPr="00813DF3">
        <w:rPr>
          <w:b/>
          <w:lang w:val="hy-AM"/>
        </w:rPr>
        <w:t xml:space="preserve">թ. </w:t>
      </w:r>
      <w:r>
        <w:rPr>
          <w:b/>
          <w:lang w:val="hy-AM"/>
        </w:rPr>
        <w:t>հունվար-հուլիս</w:t>
      </w:r>
      <w:r w:rsidRPr="00813DF3">
        <w:rPr>
          <w:b/>
          <w:lang w:val="hy-AM"/>
        </w:rPr>
        <w:t xml:space="preserve"> ամիսներին դեպի ՀՀ ֆիզիկական անձանց փոխանցումների ծավալները նախորդ տարվա համապատասխան ժամանակահատվածի նկատմամբ նվազել են</w:t>
      </w:r>
      <w:r w:rsidRPr="00813DF3">
        <w:rPr>
          <w:lang w:val="hy-AM"/>
        </w:rPr>
        <w:t>։ 202</w:t>
      </w:r>
      <w:r w:rsidRPr="00C247B3">
        <w:rPr>
          <w:lang w:val="hy-AM"/>
        </w:rPr>
        <w:t>5</w:t>
      </w:r>
      <w:r w:rsidRPr="00813DF3">
        <w:rPr>
          <w:lang w:val="hy-AM"/>
        </w:rPr>
        <w:t xml:space="preserve"> թվականի </w:t>
      </w:r>
      <w:r>
        <w:rPr>
          <w:b/>
          <w:lang w:val="hy-AM"/>
        </w:rPr>
        <w:t>հունվար-հուլիս</w:t>
      </w:r>
      <w:r w:rsidRPr="00813DF3">
        <w:rPr>
          <w:b/>
          <w:lang w:val="hy-AM"/>
        </w:rPr>
        <w:t xml:space="preserve"> </w:t>
      </w:r>
      <w:r w:rsidRPr="00813DF3">
        <w:rPr>
          <w:lang w:val="hy-AM"/>
        </w:rPr>
        <w:t xml:space="preserve">ամիսներին </w:t>
      </w:r>
      <w:r w:rsidRPr="005E7DF5">
        <w:rPr>
          <w:lang w:val="hy-AM"/>
        </w:rPr>
        <w:t>փոխանցումների զուտ ներհոսք</w:t>
      </w:r>
      <w:r>
        <w:rPr>
          <w:lang w:val="hy-AM"/>
        </w:rPr>
        <w:t>ը</w:t>
      </w:r>
      <w:r w:rsidRPr="005E7DF5">
        <w:rPr>
          <w:lang w:val="hy-AM"/>
        </w:rPr>
        <w:t xml:space="preserve"> նվազել է</w:t>
      </w:r>
      <w:r>
        <w:rPr>
          <w:lang w:val="hy-AM"/>
        </w:rPr>
        <w:t xml:space="preserve"> 5.5</w:t>
      </w:r>
      <w:r w:rsidRPr="005E7DF5">
        <w:rPr>
          <w:lang w:val="hy-AM"/>
        </w:rPr>
        <w:t>%-ով</w:t>
      </w:r>
      <w:r>
        <w:rPr>
          <w:lang w:val="hy-AM"/>
        </w:rPr>
        <w:t xml:space="preserve"> </w:t>
      </w:r>
      <w:r w:rsidRPr="006934A1">
        <w:rPr>
          <w:lang w:val="hy-AM"/>
        </w:rPr>
        <w:t xml:space="preserve">(716 </w:t>
      </w:r>
      <w:r>
        <w:rPr>
          <w:lang w:val="hy-AM"/>
        </w:rPr>
        <w:t>մլն դոլար</w:t>
      </w:r>
      <w:r w:rsidRPr="006934A1">
        <w:rPr>
          <w:lang w:val="hy-AM"/>
        </w:rPr>
        <w:t>)</w:t>
      </w:r>
      <w:r w:rsidRPr="005E7DF5">
        <w:rPr>
          <w:lang w:val="hy-AM"/>
        </w:rPr>
        <w:t>, որից ներհոսքն ավելացել է 9.3%-ով, իսկ արտահոսքը՝ 14.2%:</w:t>
      </w:r>
      <w:r>
        <w:rPr>
          <w:lang w:val="hy-AM"/>
        </w:rPr>
        <w:t xml:space="preserve"> Ը</w:t>
      </w:r>
      <w:r w:rsidRPr="00813DF3">
        <w:rPr>
          <w:lang w:val="hy-AM"/>
        </w:rPr>
        <w:t>նդ որում՝ ՌԴ-ից փոխանցումներ</w:t>
      </w:r>
      <w:r>
        <w:rPr>
          <w:lang w:val="hy-AM"/>
        </w:rPr>
        <w:t>ի</w:t>
      </w:r>
      <w:r w:rsidRPr="00813DF3">
        <w:rPr>
          <w:lang w:val="hy-AM"/>
        </w:rPr>
        <w:t xml:space="preserve"> զուտ </w:t>
      </w:r>
      <w:r>
        <w:rPr>
          <w:lang w:val="hy-AM"/>
        </w:rPr>
        <w:t xml:space="preserve">ներհոսքը </w:t>
      </w:r>
      <w:r w:rsidRPr="00813DF3">
        <w:rPr>
          <w:lang w:val="hy-AM"/>
        </w:rPr>
        <w:t>202</w:t>
      </w:r>
      <w:r w:rsidRPr="00C247B3">
        <w:rPr>
          <w:lang w:val="hy-AM"/>
        </w:rPr>
        <w:t>5</w:t>
      </w:r>
      <w:r w:rsidRPr="00813DF3">
        <w:rPr>
          <w:lang w:val="hy-AM"/>
        </w:rPr>
        <w:t xml:space="preserve"> թվականի </w:t>
      </w:r>
      <w:r>
        <w:rPr>
          <w:lang w:val="hy-AM"/>
        </w:rPr>
        <w:t>հունվար-հուլիս</w:t>
      </w:r>
      <w:r w:rsidRPr="00813DF3">
        <w:rPr>
          <w:lang w:val="hy-AM"/>
        </w:rPr>
        <w:t xml:space="preserve"> ամիսներին կազմել </w:t>
      </w:r>
      <w:r w:rsidR="00893957">
        <w:rPr>
          <w:lang w:val="hy-AM"/>
        </w:rPr>
        <w:t>է</w:t>
      </w:r>
      <w:r w:rsidRPr="00813DF3">
        <w:rPr>
          <w:lang w:val="hy-AM"/>
        </w:rPr>
        <w:t xml:space="preserve"> շուրջ 1</w:t>
      </w:r>
      <w:r w:rsidRPr="00813DF3">
        <w:rPr>
          <w:rFonts w:ascii="Cambria Math" w:hAnsi="Cambria Math" w:cs="Cambria Math"/>
          <w:lang w:val="hy-AM"/>
        </w:rPr>
        <w:t>․</w:t>
      </w:r>
      <w:r w:rsidRPr="00C247B3">
        <w:rPr>
          <w:lang w:val="hy-AM"/>
        </w:rPr>
        <w:t>7</w:t>
      </w:r>
      <w:r w:rsidRPr="00813DF3">
        <w:rPr>
          <w:lang w:val="hy-AM"/>
        </w:rPr>
        <w:t xml:space="preserve"> մլրդ դոլար՝ նախորդ տարվա նույն ժամանակահատվածի համեմատ </w:t>
      </w:r>
      <w:r w:rsidRPr="001062FB">
        <w:rPr>
          <w:lang w:val="hy-AM"/>
        </w:rPr>
        <w:t>աճել</w:t>
      </w:r>
      <w:r>
        <w:rPr>
          <w:lang w:val="hy-AM"/>
        </w:rPr>
        <w:t>ո</w:t>
      </w:r>
      <w:r w:rsidRPr="001062FB">
        <w:rPr>
          <w:lang w:val="hy-AM"/>
        </w:rPr>
        <w:t>վ</w:t>
      </w:r>
      <w:r w:rsidRPr="00813DF3">
        <w:rPr>
          <w:lang w:val="hy-AM"/>
        </w:rPr>
        <w:t xml:space="preserve"> </w:t>
      </w:r>
      <w:r w:rsidRPr="001062FB">
        <w:rPr>
          <w:lang w:val="hy-AM"/>
        </w:rPr>
        <w:t>5</w:t>
      </w:r>
      <w:r w:rsidRPr="001062FB">
        <w:rPr>
          <w:rFonts w:ascii="Times New Roman" w:hAnsi="Times New Roman" w:cs="Times New Roman"/>
          <w:lang w:val="hy-AM"/>
        </w:rPr>
        <w:t>․</w:t>
      </w:r>
      <w:r w:rsidRPr="001062FB">
        <w:rPr>
          <w:lang w:val="hy-AM"/>
        </w:rPr>
        <w:t>2</w:t>
      </w:r>
      <w:r w:rsidRPr="006934A1">
        <w:rPr>
          <w:lang w:val="hy-AM"/>
        </w:rPr>
        <w:t>%-</w:t>
      </w:r>
      <w:r>
        <w:rPr>
          <w:lang w:val="hy-AM"/>
        </w:rPr>
        <w:t>ով</w:t>
      </w:r>
      <w:r w:rsidRPr="00813DF3">
        <w:rPr>
          <w:lang w:val="hy-AM"/>
        </w:rPr>
        <w:t>։</w:t>
      </w:r>
      <w:r w:rsidRPr="00C247B3">
        <w:rPr>
          <w:lang w:val="hy-AM"/>
        </w:rPr>
        <w:t xml:space="preserve"> </w:t>
      </w:r>
      <w:r w:rsidRPr="00813DF3">
        <w:rPr>
          <w:lang w:val="hy-AM"/>
        </w:rPr>
        <w:t>Արդյունքում, 2023թ</w:t>
      </w:r>
      <w:r w:rsidRPr="00813DF3">
        <w:rPr>
          <w:rFonts w:ascii="Cambria Math" w:hAnsi="Cambria Math" w:cs="Cambria Math"/>
          <w:lang w:val="hy-AM"/>
        </w:rPr>
        <w:t>․</w:t>
      </w:r>
      <w:r w:rsidRPr="00813DF3">
        <w:rPr>
          <w:lang w:val="hy-AM"/>
        </w:rPr>
        <w:t>-ին ավելացած արտարժույթի ծավալները սկսել են նվազել՝ դեռևս մնալով բարձր մակարդակի վրա և պահպանելով ՀՀ-ում արտարժույթի բարձր առաջարկը:</w:t>
      </w:r>
    </w:p>
    <w:p w14:paraId="1964E93D" w14:textId="77777777" w:rsidR="00FE3BE4" w:rsidRPr="00B25C60" w:rsidRDefault="00FE3BE4" w:rsidP="00FE3BE4">
      <w:pPr>
        <w:pStyle w:val="Charts"/>
      </w:pPr>
      <w:bookmarkStart w:id="195" w:name="_Toc178595144"/>
      <w:r w:rsidRPr="00C3014C">
        <w:rPr>
          <w:noProof/>
          <w:lang w:val="en-US"/>
        </w:rPr>
        <w:drawing>
          <wp:anchor distT="0" distB="0" distL="114300" distR="114300" simplePos="0" relativeHeight="251882496" behindDoc="0" locked="0" layoutInCell="1" allowOverlap="1" wp14:anchorId="7684E45C" wp14:editId="63398E56">
            <wp:simplePos x="0" y="0"/>
            <wp:positionH relativeFrom="margin">
              <wp:align>left</wp:align>
            </wp:positionH>
            <wp:positionV relativeFrom="paragraph">
              <wp:posOffset>802640</wp:posOffset>
            </wp:positionV>
            <wp:extent cx="6210300" cy="2686050"/>
            <wp:effectExtent l="0" t="0" r="0" b="0"/>
            <wp:wrapTopAndBottom/>
            <wp:docPr id="1545876448" name="Chart 1545876448"/>
            <wp:cNvGraphicFramePr/>
            <a:graphic xmlns:a="http://schemas.openxmlformats.org/drawingml/2006/main">
              <a:graphicData uri="http://schemas.openxmlformats.org/drawingml/2006/chart">
                <c:chart xmlns:c="http://schemas.openxmlformats.org/drawingml/2006/chart" xmlns:r="http://schemas.openxmlformats.org/officeDocument/2006/relationships" r:id="rId42"/>
              </a:graphicData>
            </a:graphic>
            <wp14:sizeRelH relativeFrom="margin">
              <wp14:pctWidth>0</wp14:pctWidth>
            </wp14:sizeRelH>
            <wp14:sizeRelV relativeFrom="margin">
              <wp14:pctHeight>0</wp14:pctHeight>
            </wp14:sizeRelV>
          </wp:anchor>
        </w:drawing>
      </w:r>
      <w:r w:rsidRPr="00C3014C">
        <w:t>Գծապատկեր 1.31</w:t>
      </w:r>
      <w:r w:rsidRPr="00C3014C">
        <w:rPr>
          <w:rFonts w:ascii="Cambria Math" w:hAnsi="Cambria Math" w:cs="Cambria Math"/>
        </w:rPr>
        <w:t>․</w:t>
      </w:r>
      <w:r w:rsidRPr="00C3014C">
        <w:t xml:space="preserve"> ՀՀ բանկերի միջոցով ֆիզիկական անձանց անունով արտերկրից մուտք եղած և ՀՀ-ից ֆիզիկական անձանց կողմից արտերկիր կատարված զուտ փոխանցումներ, մլն ԱՄՆ դոլար</w:t>
      </w:r>
      <w:bookmarkEnd w:id="195"/>
      <w:r w:rsidRPr="00C3014C">
        <w:t xml:space="preserve"> </w:t>
      </w:r>
    </w:p>
    <w:p w14:paraId="4F548F71" w14:textId="77777777" w:rsidR="00FE3BE4" w:rsidRPr="005F3672" w:rsidRDefault="00FE3BE4" w:rsidP="00FE3BE4">
      <w:pPr>
        <w:pStyle w:val="a0"/>
        <w:ind w:right="26"/>
        <w:rPr>
          <w:lang w:val="hy-AM"/>
        </w:rPr>
      </w:pPr>
      <w:r w:rsidRPr="005F3672">
        <w:rPr>
          <w:lang w:val="hy-AM"/>
        </w:rPr>
        <w:t>Աղբյուրը՝ ՀՀ ԿԲ, ՀՀ ՖՆ հաշվարկներ</w:t>
      </w:r>
    </w:p>
    <w:p w14:paraId="7A0FCA6C" w14:textId="77777777" w:rsidR="00FE3BE4" w:rsidRDefault="00FE3BE4" w:rsidP="00FE3BE4">
      <w:pPr>
        <w:pStyle w:val="BodyText1"/>
        <w:ind w:left="0"/>
        <w:rPr>
          <w:b/>
          <w:lang w:val="hy-AM"/>
        </w:rPr>
      </w:pPr>
    </w:p>
    <w:p w14:paraId="4AD59269" w14:textId="77777777" w:rsidR="00FE3BE4" w:rsidRPr="00495E3A" w:rsidRDefault="00FE3BE4" w:rsidP="00FE3BE4">
      <w:pPr>
        <w:pStyle w:val="BodyText1"/>
        <w:ind w:left="0"/>
        <w:rPr>
          <w:b/>
          <w:lang w:val="hy-AM"/>
        </w:rPr>
      </w:pPr>
      <w:r w:rsidRPr="00495E3A">
        <w:rPr>
          <w:b/>
          <w:lang w:val="hy-AM"/>
        </w:rPr>
        <w:t>Արժութային շուկա</w:t>
      </w:r>
    </w:p>
    <w:p w14:paraId="7E5EA5AD" w14:textId="77777777" w:rsidR="00FE3BE4" w:rsidRPr="00495E3A" w:rsidRDefault="00FE3BE4" w:rsidP="00FE3BE4">
      <w:pPr>
        <w:pStyle w:val="BodyText1"/>
        <w:ind w:left="0"/>
        <w:rPr>
          <w:lang w:val="hy-AM"/>
        </w:rPr>
      </w:pPr>
      <w:r w:rsidRPr="00495E3A">
        <w:rPr>
          <w:b/>
          <w:lang w:val="hy-AM"/>
        </w:rPr>
        <w:t>202</w:t>
      </w:r>
      <w:r w:rsidRPr="00C247B3">
        <w:rPr>
          <w:b/>
          <w:lang w:val="hy-AM"/>
        </w:rPr>
        <w:t>2</w:t>
      </w:r>
      <w:r w:rsidRPr="00495E3A">
        <w:rPr>
          <w:b/>
          <w:lang w:val="hy-AM"/>
        </w:rPr>
        <w:t>-202</w:t>
      </w:r>
      <w:r w:rsidRPr="00C247B3">
        <w:rPr>
          <w:b/>
          <w:lang w:val="hy-AM"/>
        </w:rPr>
        <w:t>4</w:t>
      </w:r>
      <w:r w:rsidRPr="00495E3A">
        <w:rPr>
          <w:b/>
          <w:lang w:val="hy-AM"/>
        </w:rPr>
        <w:t>թթ</w:t>
      </w:r>
      <w:r w:rsidRPr="00495E3A">
        <w:rPr>
          <w:rFonts w:ascii="Cambria Math" w:hAnsi="Cambria Math" w:cs="Cambria Math"/>
          <w:b/>
          <w:lang w:val="hy-AM"/>
        </w:rPr>
        <w:t>․</w:t>
      </w:r>
      <w:r w:rsidRPr="00495E3A">
        <w:rPr>
          <w:b/>
          <w:lang w:val="hy-AM"/>
        </w:rPr>
        <w:t xml:space="preserve"> ՀՀ արժութային շուկայի շրջանառության ծավալները </w:t>
      </w:r>
      <w:r>
        <w:rPr>
          <w:b/>
          <w:lang w:val="hy-AM"/>
        </w:rPr>
        <w:t>գտնվել</w:t>
      </w:r>
      <w:r w:rsidRPr="00495E3A">
        <w:rPr>
          <w:b/>
          <w:lang w:val="hy-AM"/>
        </w:rPr>
        <w:t xml:space="preserve"> են աննախադեպ բարձր մակարդակում։</w:t>
      </w:r>
      <w:r w:rsidRPr="00495E3A">
        <w:rPr>
          <w:lang w:val="hy-AM"/>
        </w:rPr>
        <w:t xml:space="preserve"> Արժութային շուկայի </w:t>
      </w:r>
      <w:r>
        <w:rPr>
          <w:lang w:val="hy-AM"/>
        </w:rPr>
        <w:t>այսպիսի</w:t>
      </w:r>
      <w:r w:rsidRPr="00495E3A">
        <w:rPr>
          <w:lang w:val="hy-AM"/>
        </w:rPr>
        <w:t xml:space="preserve"> մեծ շրջանառությունը պայմանավորված է 2022թ</w:t>
      </w:r>
      <w:r w:rsidRPr="00495E3A">
        <w:rPr>
          <w:rFonts w:ascii="Cambria Math" w:hAnsi="Cambria Math" w:cs="Cambria Math"/>
          <w:lang w:val="hy-AM"/>
        </w:rPr>
        <w:t>․</w:t>
      </w:r>
      <w:r w:rsidRPr="00495E3A">
        <w:rPr>
          <w:lang w:val="hy-AM"/>
        </w:rPr>
        <w:t xml:space="preserve"> սկիզբ առած ռուս-ուկրաինական պատերազմի հետևանքով ՀՀ ներհոսած ռուբլու մեծ ծավալներով</w:t>
      </w:r>
      <w:r>
        <w:rPr>
          <w:lang w:val="hy-AM"/>
        </w:rPr>
        <w:t>:</w:t>
      </w:r>
      <w:r w:rsidRPr="00495E3A">
        <w:rPr>
          <w:lang w:val="hy-AM"/>
        </w:rPr>
        <w:t xml:space="preserve"> Այս մասին են փաստում 2022թ</w:t>
      </w:r>
      <w:r w:rsidRPr="00495E3A">
        <w:rPr>
          <w:rFonts w:ascii="Cambria Math" w:hAnsi="Cambria Math" w:cs="Cambria Math"/>
          <w:lang w:val="hy-AM"/>
        </w:rPr>
        <w:t>․</w:t>
      </w:r>
      <w:r w:rsidRPr="00495E3A">
        <w:rPr>
          <w:lang w:val="hy-AM"/>
        </w:rPr>
        <w:t xml:space="preserve"> երկրորդ եռամսյակից ՀՀ ներբանկային շուկայում ռուբլու զուտ առքի աննախադեպ բարձր ծավալները, որին զուգընթաց կտրուկ ավելացել են դոլարի և եվրոյի զուտ վաճառքի ծավալները։</w:t>
      </w:r>
      <w:r>
        <w:rPr>
          <w:lang w:val="hy-AM"/>
        </w:rPr>
        <w:t xml:space="preserve"> </w:t>
      </w:r>
      <w:r w:rsidRPr="00495E3A">
        <w:rPr>
          <w:lang w:val="hy-AM"/>
        </w:rPr>
        <w:t xml:space="preserve">Այս ժամանակահատվածում ՀՀ ԿԲ-ն արժութային շուկայում իրականացրել է միջամտություններ՝ </w:t>
      </w:r>
      <w:r w:rsidRPr="00F312FE">
        <w:rPr>
          <w:lang w:val="hy-AM"/>
        </w:rPr>
        <w:t>ֆինանսական շուկայի բնականոն գործունեությունն ապահովելու նպատակով</w:t>
      </w:r>
      <w:r w:rsidRPr="00495E3A">
        <w:rPr>
          <w:lang w:val="hy-AM"/>
        </w:rPr>
        <w:t>՝ մասնավորապես 202</w:t>
      </w:r>
      <w:r w:rsidRPr="00C247B3">
        <w:rPr>
          <w:lang w:val="hy-AM"/>
        </w:rPr>
        <w:t>3</w:t>
      </w:r>
      <w:r>
        <w:rPr>
          <w:lang w:val="hy-AM"/>
        </w:rPr>
        <w:t>թ</w:t>
      </w:r>
      <w:r w:rsidRPr="001062FB">
        <w:rPr>
          <w:rFonts w:ascii="Times New Roman" w:hAnsi="Times New Roman" w:cs="Times New Roman"/>
          <w:lang w:val="hy-AM"/>
        </w:rPr>
        <w:t>․</w:t>
      </w:r>
      <w:r w:rsidRPr="00E111AD">
        <w:rPr>
          <w:lang w:val="hy-AM"/>
        </w:rPr>
        <w:t xml:space="preserve"> </w:t>
      </w:r>
      <w:r w:rsidRPr="00495E3A">
        <w:rPr>
          <w:lang w:val="hy-AM"/>
        </w:rPr>
        <w:t xml:space="preserve">միջամտությունների ծավալը կազմել է </w:t>
      </w:r>
      <w:r w:rsidRPr="001062FB">
        <w:rPr>
          <w:lang w:val="hy-AM"/>
        </w:rPr>
        <w:t>1146.5</w:t>
      </w:r>
      <w:r w:rsidRPr="00495E3A">
        <w:rPr>
          <w:lang w:val="hy-AM"/>
        </w:rPr>
        <w:t xml:space="preserve"> մլն դոլար</w:t>
      </w:r>
      <w:r>
        <w:rPr>
          <w:lang w:val="hy-AM"/>
        </w:rPr>
        <w:t xml:space="preserve">, իսկ 2024թ.՝ </w:t>
      </w:r>
      <w:r w:rsidRPr="00C247B3">
        <w:rPr>
          <w:lang w:val="hy-AM"/>
        </w:rPr>
        <w:t>705.5</w:t>
      </w:r>
      <w:r>
        <w:rPr>
          <w:lang w:val="hy-AM"/>
        </w:rPr>
        <w:t xml:space="preserve"> մլն դոլար</w:t>
      </w:r>
      <w:r w:rsidRPr="00495E3A">
        <w:rPr>
          <w:lang w:val="hy-AM"/>
        </w:rPr>
        <w:t xml:space="preserve">։ </w:t>
      </w:r>
    </w:p>
    <w:p w14:paraId="1006CE65" w14:textId="77777777" w:rsidR="00FE3BE4" w:rsidRPr="002507D1" w:rsidRDefault="00FE3BE4" w:rsidP="00FE3BE4">
      <w:pPr>
        <w:pStyle w:val="BodyText1"/>
        <w:ind w:left="0"/>
        <w:rPr>
          <w:lang w:val="hy-AM"/>
        </w:rPr>
      </w:pPr>
      <w:r w:rsidRPr="002507D1">
        <w:rPr>
          <w:b/>
          <w:lang w:val="hy-AM"/>
        </w:rPr>
        <w:t>202</w:t>
      </w:r>
      <w:r w:rsidRPr="00C247B3">
        <w:rPr>
          <w:b/>
          <w:lang w:val="hy-AM"/>
        </w:rPr>
        <w:t>5</w:t>
      </w:r>
      <w:r w:rsidRPr="002507D1">
        <w:rPr>
          <w:b/>
          <w:lang w:val="hy-AM"/>
        </w:rPr>
        <w:t>թ. հունվար-օգոստոս ամիսներին ՀՀ արժութային շուկայի շրջանառության ծավալները շարունակել են պահպանվել բարձր մակարդակում:</w:t>
      </w:r>
      <w:r w:rsidRPr="002507D1">
        <w:rPr>
          <w:lang w:val="hy-AM"/>
        </w:rPr>
        <w:t xml:space="preserve"> 202</w:t>
      </w:r>
      <w:r>
        <w:rPr>
          <w:lang w:val="hy-AM"/>
        </w:rPr>
        <w:t>5</w:t>
      </w:r>
      <w:r w:rsidRPr="002507D1">
        <w:rPr>
          <w:lang w:val="hy-AM"/>
        </w:rPr>
        <w:t xml:space="preserve"> թվականի հունվար</w:t>
      </w:r>
      <w:r>
        <w:rPr>
          <w:lang w:val="hy-AM"/>
        </w:rPr>
        <w:t>ին</w:t>
      </w:r>
      <w:r w:rsidRPr="002507D1">
        <w:rPr>
          <w:lang w:val="hy-AM"/>
        </w:rPr>
        <w:t xml:space="preserve"> արտարժույթի ներբանկային առքը գերազանցել է </w:t>
      </w:r>
      <w:r>
        <w:rPr>
          <w:lang w:val="hy-AM"/>
        </w:rPr>
        <w:t>վաճ</w:t>
      </w:r>
      <w:r w:rsidRPr="002507D1">
        <w:rPr>
          <w:lang w:val="hy-AM"/>
        </w:rPr>
        <w:t xml:space="preserve">առքի ծավալները՝ պայմանավորված դոլարի և </w:t>
      </w:r>
      <w:r>
        <w:rPr>
          <w:lang w:val="hy-AM"/>
        </w:rPr>
        <w:t xml:space="preserve">ռուբլու </w:t>
      </w:r>
      <w:r w:rsidRPr="002507D1">
        <w:rPr>
          <w:lang w:val="hy-AM"/>
        </w:rPr>
        <w:t>առքի ծավալների աճով։</w:t>
      </w:r>
      <w:r>
        <w:rPr>
          <w:lang w:val="hy-AM"/>
        </w:rPr>
        <w:t xml:space="preserve"> Փետրվարին դիտվել է հակառակ պատկերը, մարտից մինչև օգոստոս կրկին առքի ծավալները</w:t>
      </w:r>
      <w:r w:rsidRPr="002507D1">
        <w:rPr>
          <w:lang w:val="hy-AM"/>
        </w:rPr>
        <w:t xml:space="preserve"> գերազանցել </w:t>
      </w:r>
      <w:r>
        <w:rPr>
          <w:lang w:val="hy-AM"/>
        </w:rPr>
        <w:t>են</w:t>
      </w:r>
      <w:r w:rsidRPr="002507D1">
        <w:rPr>
          <w:lang w:val="hy-AM"/>
        </w:rPr>
        <w:t xml:space="preserve"> </w:t>
      </w:r>
      <w:r>
        <w:rPr>
          <w:lang w:val="hy-AM"/>
        </w:rPr>
        <w:t>վաճ</w:t>
      </w:r>
      <w:r w:rsidRPr="002507D1">
        <w:rPr>
          <w:lang w:val="hy-AM"/>
        </w:rPr>
        <w:t>առքի</w:t>
      </w:r>
      <w:r>
        <w:rPr>
          <w:lang w:val="hy-AM"/>
        </w:rPr>
        <w:t>նը՝ պայմանավորված դոլարի և ռուբլու ձեռքբերումներով։</w:t>
      </w:r>
      <w:r w:rsidRPr="002507D1">
        <w:rPr>
          <w:lang w:val="hy-AM"/>
        </w:rPr>
        <w:t xml:space="preserve"> 202</w:t>
      </w:r>
      <w:r>
        <w:rPr>
          <w:lang w:val="hy-AM"/>
        </w:rPr>
        <w:t>5</w:t>
      </w:r>
      <w:r w:rsidRPr="002507D1">
        <w:rPr>
          <w:lang w:val="hy-AM"/>
        </w:rPr>
        <w:t xml:space="preserve"> թվականի առաջին </w:t>
      </w:r>
      <w:r>
        <w:rPr>
          <w:lang w:val="hy-AM"/>
        </w:rPr>
        <w:t>յոթ</w:t>
      </w:r>
      <w:r w:rsidRPr="002507D1">
        <w:rPr>
          <w:lang w:val="hy-AM"/>
        </w:rPr>
        <w:t xml:space="preserve"> ամիսներին </w:t>
      </w:r>
      <w:r w:rsidRPr="007E504A">
        <w:rPr>
          <w:lang w:val="hy-AM"/>
        </w:rPr>
        <w:t>ՀՀ ԿԲ-ն իրականացրել է 886</w:t>
      </w:r>
      <w:r w:rsidRPr="007E504A">
        <w:rPr>
          <w:rFonts w:ascii="Times New Roman" w:hAnsi="Times New Roman" w:cs="Times New Roman"/>
          <w:lang w:val="hy-AM"/>
        </w:rPr>
        <w:t>․</w:t>
      </w:r>
      <w:r w:rsidRPr="007E504A">
        <w:rPr>
          <w:lang w:val="hy-AM"/>
        </w:rPr>
        <w:t>9 մլն դոլար արտարժույթի զուտ առք:</w:t>
      </w:r>
    </w:p>
    <w:p w14:paraId="7028A592" w14:textId="77777777" w:rsidR="00FE3BE4" w:rsidRPr="002507D1" w:rsidRDefault="00FE3BE4" w:rsidP="00FE3BE4">
      <w:pPr>
        <w:jc w:val="both"/>
        <w:rPr>
          <w:lang w:val="hy-AM"/>
        </w:rPr>
      </w:pPr>
      <w:r w:rsidRPr="002507D1">
        <w:rPr>
          <w:lang w:val="hy-AM"/>
        </w:rPr>
        <w:t xml:space="preserve">  </w:t>
      </w:r>
    </w:p>
    <w:tbl>
      <w:tblPr>
        <w:tblW w:w="5000" w:type="pct"/>
        <w:tblLook w:val="04A0" w:firstRow="1" w:lastRow="0" w:firstColumn="1" w:lastColumn="0" w:noHBand="0" w:noVBand="1"/>
      </w:tblPr>
      <w:tblGrid>
        <w:gridCol w:w="5200"/>
        <w:gridCol w:w="5205"/>
      </w:tblGrid>
      <w:tr w:rsidR="00FE3BE4" w:rsidRPr="009D765F" w14:paraId="16B55E57" w14:textId="77777777" w:rsidTr="008D4E1E">
        <w:trPr>
          <w:trHeight w:val="901"/>
        </w:trPr>
        <w:tc>
          <w:tcPr>
            <w:tcW w:w="2499" w:type="pct"/>
            <w:hideMark/>
          </w:tcPr>
          <w:p w14:paraId="6264CAAC" w14:textId="77777777" w:rsidR="00FE3BE4" w:rsidRPr="005F3672" w:rsidRDefault="00FE3BE4" w:rsidP="008D4E1E">
            <w:pPr>
              <w:pStyle w:val="Charts"/>
              <w:spacing w:before="0"/>
              <w:rPr>
                <w:sz w:val="20"/>
              </w:rPr>
            </w:pPr>
            <w:bookmarkStart w:id="196" w:name="_Toc178595145"/>
            <w:r w:rsidRPr="00F5648C">
              <w:rPr>
                <w:sz w:val="20"/>
                <w:u w:val="single"/>
              </w:rPr>
              <w:t>Գծապատկեր 1.32.</w:t>
            </w:r>
            <w:r w:rsidRPr="005F3672">
              <w:rPr>
                <w:sz w:val="20"/>
              </w:rPr>
              <w:t xml:space="preserve"> ՀՀ արժութային (ներբանկային) շուկայի շրջանառության տվյալներն ըստ դրամային համարժեքների, զուտ մլրդ դրամ</w:t>
            </w:r>
            <w:bookmarkEnd w:id="196"/>
          </w:p>
        </w:tc>
        <w:tc>
          <w:tcPr>
            <w:tcW w:w="2501" w:type="pct"/>
            <w:hideMark/>
          </w:tcPr>
          <w:p w14:paraId="4FC01368" w14:textId="77777777" w:rsidR="00FE3BE4" w:rsidRPr="0074630F" w:rsidRDefault="00FE3BE4" w:rsidP="008D4E1E">
            <w:pPr>
              <w:pStyle w:val="Charts"/>
              <w:spacing w:before="0"/>
            </w:pPr>
            <w:bookmarkStart w:id="197" w:name="_Toc178595146"/>
            <w:r w:rsidRPr="000315BA">
              <w:rPr>
                <w:sz w:val="20"/>
                <w:u w:val="single"/>
              </w:rPr>
              <w:t>Գծապատկեր 1.33.</w:t>
            </w:r>
            <w:r w:rsidRPr="000315BA">
              <w:rPr>
                <w:sz w:val="20"/>
              </w:rPr>
              <w:t xml:space="preserve"> Փոխարժեք և ԿԲ գործառնություններ</w:t>
            </w:r>
            <w:bookmarkEnd w:id="197"/>
          </w:p>
        </w:tc>
      </w:tr>
      <w:tr w:rsidR="00FE3BE4" w:rsidRPr="009D765F" w14:paraId="20256998" w14:textId="77777777" w:rsidTr="008D4E1E">
        <w:trPr>
          <w:trHeight w:val="2304"/>
        </w:trPr>
        <w:tc>
          <w:tcPr>
            <w:tcW w:w="2499" w:type="pct"/>
            <w:hideMark/>
          </w:tcPr>
          <w:p w14:paraId="46F0F61D" w14:textId="77777777" w:rsidR="00FE3BE4" w:rsidRPr="00495E3A" w:rsidRDefault="00FE3BE4" w:rsidP="008D4E1E">
            <w:pPr>
              <w:pStyle w:val="a0"/>
              <w:ind w:right="177"/>
              <w:rPr>
                <w:lang w:val="hy-AM"/>
              </w:rPr>
            </w:pPr>
            <w:r w:rsidRPr="00C3014C">
              <w:rPr>
                <w:noProof/>
              </w:rPr>
              <w:drawing>
                <wp:anchor distT="0" distB="0" distL="114300" distR="114300" simplePos="0" relativeHeight="251880448" behindDoc="0" locked="0" layoutInCell="1" allowOverlap="1" wp14:anchorId="32166F41" wp14:editId="21B6EDAD">
                  <wp:simplePos x="0" y="0"/>
                  <wp:positionH relativeFrom="column">
                    <wp:posOffset>-1270</wp:posOffset>
                  </wp:positionH>
                  <wp:positionV relativeFrom="paragraph">
                    <wp:posOffset>0</wp:posOffset>
                  </wp:positionV>
                  <wp:extent cx="2926080" cy="2011680"/>
                  <wp:effectExtent l="0" t="0" r="7620" b="7620"/>
                  <wp:wrapTopAndBottom/>
                  <wp:docPr id="1545876449" name="Chart 1545876449"/>
                  <wp:cNvGraphicFramePr/>
                  <a:graphic xmlns:a="http://schemas.openxmlformats.org/drawingml/2006/main">
                    <a:graphicData uri="http://schemas.openxmlformats.org/drawingml/2006/chart">
                      <c:chart xmlns:c="http://schemas.openxmlformats.org/drawingml/2006/chart" xmlns:r="http://schemas.openxmlformats.org/officeDocument/2006/relationships" r:id="rId43"/>
                    </a:graphicData>
                  </a:graphic>
                  <wp14:sizeRelH relativeFrom="margin">
                    <wp14:pctWidth>0</wp14:pctWidth>
                  </wp14:sizeRelH>
                  <wp14:sizeRelV relativeFrom="margin">
                    <wp14:pctHeight>0</wp14:pctHeight>
                  </wp14:sizeRelV>
                </wp:anchor>
              </w:drawing>
            </w:r>
            <w:r w:rsidRPr="00495E3A">
              <w:rPr>
                <w:lang w:val="hy-AM"/>
              </w:rPr>
              <w:t>Աղբյուրը՝ ՀՀ ԿԲ, ՀՀ ՖՆ հաշվարկներ</w:t>
            </w:r>
            <w:r w:rsidRPr="00495E3A">
              <w:rPr>
                <w:noProof/>
                <w:lang w:val="hy-AM"/>
              </w:rPr>
              <w:t xml:space="preserve"> </w:t>
            </w:r>
          </w:p>
        </w:tc>
        <w:tc>
          <w:tcPr>
            <w:tcW w:w="2501" w:type="pct"/>
            <w:hideMark/>
          </w:tcPr>
          <w:p w14:paraId="251E8D74" w14:textId="77777777" w:rsidR="00FE3BE4" w:rsidRPr="00495E3A" w:rsidRDefault="00FE3BE4" w:rsidP="008D4E1E">
            <w:pPr>
              <w:pStyle w:val="a0"/>
              <w:rPr>
                <w:lang w:val="hy-AM"/>
              </w:rPr>
            </w:pPr>
            <w:r w:rsidRPr="00495E3A">
              <w:rPr>
                <w:lang w:val="hy-AM"/>
              </w:rPr>
              <w:t>Աղբյուրը՝ ՀՀ ԿԲ, ՀՀ ՖՆ հաշվարկներ</w:t>
            </w:r>
            <w:r w:rsidRPr="00495E3A">
              <w:rPr>
                <w:noProof/>
                <w:lang w:val="hy-AM"/>
              </w:rPr>
              <w:t xml:space="preserve"> </w:t>
            </w:r>
            <w:r w:rsidRPr="00C3014C">
              <w:rPr>
                <w:noProof/>
              </w:rPr>
              <w:drawing>
                <wp:anchor distT="0" distB="0" distL="114300" distR="114300" simplePos="0" relativeHeight="251881472" behindDoc="0" locked="0" layoutInCell="1" allowOverlap="1" wp14:anchorId="01C8D041" wp14:editId="0FEA0F41">
                  <wp:simplePos x="0" y="0"/>
                  <wp:positionH relativeFrom="column">
                    <wp:posOffset>83185</wp:posOffset>
                  </wp:positionH>
                  <wp:positionV relativeFrom="paragraph">
                    <wp:posOffset>0</wp:posOffset>
                  </wp:positionV>
                  <wp:extent cx="2926080" cy="2011680"/>
                  <wp:effectExtent l="0" t="0" r="7620" b="7620"/>
                  <wp:wrapTopAndBottom/>
                  <wp:docPr id="1545876450" name="Chart 1545876450"/>
                  <wp:cNvGraphicFramePr/>
                  <a:graphic xmlns:a="http://schemas.openxmlformats.org/drawingml/2006/main">
                    <a:graphicData uri="http://schemas.openxmlformats.org/drawingml/2006/chart">
                      <c:chart xmlns:c="http://schemas.openxmlformats.org/drawingml/2006/chart" xmlns:r="http://schemas.openxmlformats.org/officeDocument/2006/relationships" r:id="rId44"/>
                    </a:graphicData>
                  </a:graphic>
                  <wp14:sizeRelH relativeFrom="margin">
                    <wp14:pctWidth>0</wp14:pctWidth>
                  </wp14:sizeRelH>
                  <wp14:sizeRelV relativeFrom="margin">
                    <wp14:pctHeight>0</wp14:pctHeight>
                  </wp14:sizeRelV>
                </wp:anchor>
              </w:drawing>
            </w:r>
          </w:p>
        </w:tc>
      </w:tr>
    </w:tbl>
    <w:p w14:paraId="5650A683" w14:textId="77777777" w:rsidR="00FE3BE4" w:rsidRPr="00495E3A" w:rsidRDefault="00FE3BE4" w:rsidP="00FE3BE4">
      <w:pPr>
        <w:rPr>
          <w:b/>
          <w:lang w:val="hy-AM"/>
        </w:rPr>
      </w:pPr>
      <w:r w:rsidRPr="00495E3A">
        <w:rPr>
          <w:b/>
          <w:lang w:val="hy-AM"/>
        </w:rPr>
        <w:t>Երկկողմանի փոխարժեքներ</w:t>
      </w:r>
    </w:p>
    <w:p w14:paraId="6F10D591" w14:textId="77777777" w:rsidR="00FE3BE4" w:rsidRPr="001062FB" w:rsidRDefault="00FE3BE4" w:rsidP="00FE3BE4">
      <w:pPr>
        <w:spacing w:after="0"/>
        <w:jc w:val="both"/>
        <w:rPr>
          <w:rFonts w:eastAsia="Times New Roman" w:cs="Times New Roman"/>
          <w:b/>
          <w:color w:val="1F3763"/>
          <w:lang w:val="hy-AM"/>
        </w:rPr>
      </w:pPr>
      <w:r w:rsidRPr="00495E3A">
        <w:rPr>
          <w:b/>
          <w:lang w:val="hy-AM"/>
        </w:rPr>
        <w:t>202</w:t>
      </w:r>
      <w:r w:rsidRPr="00C247B3">
        <w:rPr>
          <w:b/>
          <w:lang w:val="hy-AM"/>
        </w:rPr>
        <w:t>2</w:t>
      </w:r>
      <w:r w:rsidRPr="00495E3A">
        <w:rPr>
          <w:b/>
          <w:lang w:val="hy-AM"/>
        </w:rPr>
        <w:t>-202</w:t>
      </w:r>
      <w:r w:rsidRPr="00C247B3">
        <w:rPr>
          <w:b/>
          <w:lang w:val="hy-AM"/>
        </w:rPr>
        <w:t>4</w:t>
      </w:r>
      <w:r w:rsidRPr="00495E3A">
        <w:rPr>
          <w:b/>
          <w:lang w:val="hy-AM"/>
        </w:rPr>
        <w:t>թթ. ՀՀ դրամն ԱՄՆ դոլարի, եվրոյի և ռուբլու նկատմամբ միջինում դրսևորել է արժևորման վարքագիծ` հիմնականում պայմանավորված 2022թ. արտարժույթի աննախադեպ մեծ ներհոսքով։</w:t>
      </w:r>
      <w:r w:rsidRPr="00495E3A">
        <w:rPr>
          <w:lang w:val="hy-AM"/>
        </w:rPr>
        <w:t xml:space="preserve"> 2022թ.</w:t>
      </w:r>
      <w:r>
        <w:rPr>
          <w:lang w:val="hy-AM"/>
        </w:rPr>
        <w:t xml:space="preserve"> տարեսկզբից մինչև երրորդ եռամսյակ </w:t>
      </w:r>
      <w:r w:rsidRPr="00495E3A">
        <w:rPr>
          <w:lang w:val="hy-AM"/>
        </w:rPr>
        <w:t>արձանագրվել է ՀՀ դրամի արժևորում դոլարի և եվրոյի նկատմամբ, այնուհետև, 202</w:t>
      </w:r>
      <w:r>
        <w:rPr>
          <w:lang w:val="hy-AM"/>
        </w:rPr>
        <w:t>2</w:t>
      </w:r>
      <w:r w:rsidRPr="00495E3A">
        <w:rPr>
          <w:lang w:val="hy-AM"/>
        </w:rPr>
        <w:t xml:space="preserve">թ. </w:t>
      </w:r>
      <w:r>
        <w:rPr>
          <w:lang w:val="hy-AM"/>
        </w:rPr>
        <w:t>չորրորդ եռամսյակից մինչև 2024թ</w:t>
      </w:r>
      <w:r>
        <w:rPr>
          <w:rFonts w:ascii="Times New Roman" w:hAnsi="Times New Roman" w:cs="Times New Roman"/>
          <w:lang w:val="hy-AM"/>
        </w:rPr>
        <w:t xml:space="preserve">․ </w:t>
      </w:r>
      <w:r w:rsidRPr="001062FB">
        <w:rPr>
          <w:lang w:val="hy-AM"/>
        </w:rPr>
        <w:t>տարեվերջ</w:t>
      </w:r>
      <w:r w:rsidRPr="00495E3A">
        <w:rPr>
          <w:lang w:val="hy-AM"/>
        </w:rPr>
        <w:t xml:space="preserve"> եվրոն և դոլարը դրսևորել են հարաբերական կայուն վարքագիծ։</w:t>
      </w:r>
      <w:r w:rsidRPr="00377158">
        <w:rPr>
          <w:szCs w:val="20"/>
          <w:lang w:val="hy-AM"/>
        </w:rPr>
        <w:t xml:space="preserve"> </w:t>
      </w:r>
      <w:r w:rsidRPr="001062FB">
        <w:rPr>
          <w:szCs w:val="20"/>
          <w:lang w:val="hy-AM"/>
        </w:rPr>
        <w:t>Դոլարի համար 2024թ</w:t>
      </w:r>
      <w:r w:rsidRPr="001062FB">
        <w:rPr>
          <w:rFonts w:ascii="Times New Roman" w:hAnsi="Times New Roman" w:cs="Times New Roman"/>
          <w:szCs w:val="20"/>
          <w:lang w:val="hy-AM"/>
        </w:rPr>
        <w:t>․</w:t>
      </w:r>
      <w:r w:rsidRPr="001062FB">
        <w:rPr>
          <w:szCs w:val="20"/>
          <w:lang w:val="hy-AM"/>
        </w:rPr>
        <w:t>-ին արժեզրկման առավելագույն արժեքը գրանցվել է 405.6 դրամ հունվարի 16-ին։ Միջին փոխարժեքը կազմել է 392.7 դրամ մեկ ԱՄՆ դոլարի դիմաց՝ նախորդ տարվա միջին փոխարժեքի՝ 392.5-ի նկատմամբ արժեզրկվելով 0.1%-ով: Եվրոյի նկատմամբ ՀՀ դրամը արժեզրկվել է 0.1%-ով, արժեզրկման առավելագույն 444.2 դրամ մեկ եվրոյի դիմաց արժեքին հասնելով 2024թ. հունվարի 11-ին։ ՀՀ դրամը ՌԴ ռուբլու նկատմամբ 2022թ. մարտին կտրուկ արժևորվել է՝ պայմանավորված ռուս-ուկրաինական հակամարտությամբ, ապա սկսել է կրկին արժեզրկվել մինչև հունիս, այնուհետև՝ նորից մտել արժևորման փուլ մինչև սեպտեմբեր, այնուհետև դրսևորել թույլ տատանողականությամբ կայուն վարքագիծ մինչև տարեվերջ։ Տարեվերջին 2023թ</w:t>
      </w:r>
      <w:r w:rsidRPr="001062FB">
        <w:rPr>
          <w:rFonts w:ascii="Times New Roman" w:hAnsi="Times New Roman" w:cs="Times New Roman"/>
          <w:szCs w:val="20"/>
          <w:lang w:val="hy-AM"/>
        </w:rPr>
        <w:t>․</w:t>
      </w:r>
      <w:r w:rsidRPr="001062FB">
        <w:rPr>
          <w:szCs w:val="20"/>
          <w:lang w:val="hy-AM"/>
        </w:rPr>
        <w:t xml:space="preserve"> համեմատ արժևորումը կազմել է 9</w:t>
      </w:r>
      <w:r w:rsidRPr="001062FB">
        <w:rPr>
          <w:rFonts w:ascii="Times New Roman" w:hAnsi="Times New Roman" w:cs="Times New Roman"/>
          <w:szCs w:val="20"/>
          <w:lang w:val="hy-AM"/>
        </w:rPr>
        <w:t>․</w:t>
      </w:r>
      <w:r w:rsidRPr="001062FB">
        <w:rPr>
          <w:szCs w:val="20"/>
          <w:lang w:val="hy-AM"/>
        </w:rPr>
        <w:t xml:space="preserve">6 տոկոս։  </w:t>
      </w:r>
    </w:p>
    <w:p w14:paraId="73DDFDAE" w14:textId="2923F595" w:rsidR="00FE3BE4" w:rsidRPr="001062FB" w:rsidRDefault="00FE3BE4" w:rsidP="00FE3BE4">
      <w:pPr>
        <w:spacing w:after="0"/>
        <w:jc w:val="both"/>
        <w:rPr>
          <w:lang w:val="hy-AM"/>
        </w:rPr>
      </w:pPr>
      <w:r w:rsidRPr="00023344">
        <w:rPr>
          <w:b/>
          <w:lang w:val="hy-AM"/>
        </w:rPr>
        <w:t>2025թ. հունվար-</w:t>
      </w:r>
      <w:r>
        <w:rPr>
          <w:b/>
          <w:lang w:val="hy-AM"/>
        </w:rPr>
        <w:t>օգոստոս</w:t>
      </w:r>
      <w:r w:rsidRPr="00023344">
        <w:rPr>
          <w:b/>
          <w:lang w:val="hy-AM"/>
        </w:rPr>
        <w:t xml:space="preserve"> ամիսներին ՀՀ դրամը արժևորվել է </w:t>
      </w:r>
      <w:r>
        <w:rPr>
          <w:b/>
          <w:lang w:val="hy-AM"/>
        </w:rPr>
        <w:t>ԱՄՆ դոլարի</w:t>
      </w:r>
      <w:r w:rsidRPr="00023344">
        <w:rPr>
          <w:b/>
          <w:lang w:val="hy-AM"/>
        </w:rPr>
        <w:t xml:space="preserve"> նկատմամբ</w:t>
      </w:r>
      <w:r>
        <w:rPr>
          <w:b/>
          <w:lang w:val="hy-AM"/>
        </w:rPr>
        <w:t>, իսկ ՌԴ ռուբլու և եվրոյի նկատմամբ՝ արժեզրկվել</w:t>
      </w:r>
      <w:r w:rsidRPr="00023344">
        <w:rPr>
          <w:b/>
          <w:lang w:val="hy-AM"/>
        </w:rPr>
        <w:t>։</w:t>
      </w:r>
      <w:r>
        <w:rPr>
          <w:b/>
          <w:lang w:val="hy-AM"/>
        </w:rPr>
        <w:t xml:space="preserve"> </w:t>
      </w:r>
      <w:r w:rsidRPr="00C20CE9">
        <w:rPr>
          <w:lang w:val="hy-AM"/>
        </w:rPr>
        <w:t>ՀՀ դրամը 2025թ</w:t>
      </w:r>
      <w:r w:rsidRPr="00C20CE9">
        <w:rPr>
          <w:rFonts w:ascii="Times New Roman" w:hAnsi="Times New Roman" w:cs="Times New Roman"/>
          <w:lang w:val="hy-AM"/>
        </w:rPr>
        <w:t>․</w:t>
      </w:r>
      <w:r w:rsidRPr="00C20CE9">
        <w:rPr>
          <w:lang w:val="hy-AM"/>
        </w:rPr>
        <w:t xml:space="preserve"> հունվար-</w:t>
      </w:r>
      <w:r>
        <w:rPr>
          <w:lang w:val="hy-AM"/>
        </w:rPr>
        <w:t xml:space="preserve">օգոստոս </w:t>
      </w:r>
      <w:r w:rsidRPr="00C20CE9">
        <w:rPr>
          <w:lang w:val="hy-AM"/>
        </w:rPr>
        <w:t xml:space="preserve">ամիսներին նախորդ տարվա նույն ժամանակահատվածի համեմատ </w:t>
      </w:r>
      <w:r>
        <w:rPr>
          <w:lang w:val="hy-AM"/>
        </w:rPr>
        <w:t xml:space="preserve">ԱՄՆ դոլարի նկատմամբ </w:t>
      </w:r>
      <w:r w:rsidRPr="00C20CE9">
        <w:rPr>
          <w:lang w:val="hy-AM"/>
        </w:rPr>
        <w:t>արժևորվել է</w:t>
      </w:r>
      <w:r>
        <w:rPr>
          <w:lang w:val="hy-AM"/>
        </w:rPr>
        <w:t xml:space="preserve"> 1</w:t>
      </w:r>
      <w:r>
        <w:rPr>
          <w:rFonts w:ascii="Times New Roman" w:hAnsi="Times New Roman" w:cs="Times New Roman"/>
          <w:lang w:val="hy-AM"/>
        </w:rPr>
        <w:t>․</w:t>
      </w:r>
      <w:r>
        <w:rPr>
          <w:lang w:val="hy-AM"/>
        </w:rPr>
        <w:t>2</w:t>
      </w:r>
      <w:r w:rsidRPr="00C247B3">
        <w:rPr>
          <w:lang w:val="hy-AM"/>
        </w:rPr>
        <w:t>%-</w:t>
      </w:r>
      <w:r>
        <w:rPr>
          <w:lang w:val="hy-AM"/>
        </w:rPr>
        <w:t>ով, իսկ եվրոյի և ՌԴ ռուբլու նկատմա</w:t>
      </w:r>
      <w:r w:rsidR="00E25BE6">
        <w:rPr>
          <w:lang w:val="hy-AM"/>
        </w:rPr>
        <w:t>մ</w:t>
      </w:r>
      <w:r>
        <w:rPr>
          <w:lang w:val="hy-AM"/>
        </w:rPr>
        <w:t xml:space="preserve">բ՝ արժեզրկվել, </w:t>
      </w:r>
      <w:r w:rsidRPr="001439B1">
        <w:rPr>
          <w:lang w:val="hy-AM"/>
        </w:rPr>
        <w:t>համապատասխանաբար</w:t>
      </w:r>
      <w:r>
        <w:rPr>
          <w:lang w:val="hy-AM"/>
        </w:rPr>
        <w:t>,</w:t>
      </w:r>
      <w:r w:rsidRPr="001439B1">
        <w:rPr>
          <w:lang w:val="hy-AM"/>
        </w:rPr>
        <w:t xml:space="preserve"> </w:t>
      </w:r>
      <w:r>
        <w:rPr>
          <w:lang w:val="hy-AM"/>
        </w:rPr>
        <w:t>1</w:t>
      </w:r>
      <w:r w:rsidRPr="001439B1">
        <w:rPr>
          <w:lang w:val="hy-AM"/>
        </w:rPr>
        <w:t>.</w:t>
      </w:r>
      <w:r>
        <w:rPr>
          <w:lang w:val="hy-AM"/>
        </w:rPr>
        <w:t>2</w:t>
      </w:r>
      <w:r w:rsidRPr="001062FB">
        <w:rPr>
          <w:lang w:val="hy-AM"/>
        </w:rPr>
        <w:t>% և</w:t>
      </w:r>
      <w:r w:rsidRPr="001439B1">
        <w:rPr>
          <w:lang w:val="hy-AM"/>
        </w:rPr>
        <w:t xml:space="preserve"> </w:t>
      </w:r>
      <w:r>
        <w:rPr>
          <w:lang w:val="hy-AM"/>
        </w:rPr>
        <w:t>4</w:t>
      </w:r>
      <w:r w:rsidRPr="001439B1">
        <w:rPr>
          <w:lang w:val="hy-AM"/>
        </w:rPr>
        <w:t>.</w:t>
      </w:r>
      <w:r>
        <w:rPr>
          <w:lang w:val="hy-AM"/>
        </w:rPr>
        <w:t>9</w:t>
      </w:r>
      <w:r w:rsidRPr="001062FB">
        <w:rPr>
          <w:lang w:val="hy-AM"/>
        </w:rPr>
        <w:t>%-ով:</w:t>
      </w:r>
    </w:p>
    <w:p w14:paraId="2659EC88" w14:textId="77777777" w:rsidR="00FE3BE4" w:rsidRPr="002507D1" w:rsidRDefault="00FE3BE4" w:rsidP="00FE3BE4">
      <w:pPr>
        <w:pStyle w:val="BodyText1"/>
        <w:ind w:left="0"/>
        <w:rPr>
          <w:rFonts w:asciiTheme="minorHAnsi" w:hAnsiTheme="minorHAnsi"/>
          <w:lang w:val="hy-AM"/>
        </w:rPr>
      </w:pPr>
      <w:r w:rsidRPr="002507D1">
        <w:rPr>
          <w:rFonts w:asciiTheme="minorHAnsi" w:hAnsiTheme="minorHAnsi"/>
          <w:b/>
          <w:lang w:val="hy-AM"/>
        </w:rPr>
        <w:t>ՀՀ արտաքին առևտրի տեսանկյունից առավել կարևոր արժույթներից բաղկացած զամբյուղի նկատմամբ ՀՀ ազգային արժույթն իրական արտահայտությամբ 202</w:t>
      </w:r>
      <w:r w:rsidRPr="00C247B3">
        <w:rPr>
          <w:rFonts w:asciiTheme="minorHAnsi" w:hAnsiTheme="minorHAnsi"/>
          <w:b/>
          <w:lang w:val="hy-AM"/>
        </w:rPr>
        <w:t>2</w:t>
      </w:r>
      <w:r w:rsidRPr="002507D1">
        <w:rPr>
          <w:rFonts w:asciiTheme="minorHAnsi" w:hAnsiTheme="minorHAnsi"/>
          <w:b/>
          <w:lang w:val="hy-AM"/>
        </w:rPr>
        <w:t>-202</w:t>
      </w:r>
      <w:r w:rsidRPr="00C247B3">
        <w:rPr>
          <w:rFonts w:asciiTheme="minorHAnsi" w:hAnsiTheme="minorHAnsi"/>
          <w:b/>
          <w:lang w:val="hy-AM"/>
        </w:rPr>
        <w:t>4</w:t>
      </w:r>
      <w:r w:rsidRPr="002507D1">
        <w:rPr>
          <w:rFonts w:asciiTheme="minorHAnsi" w:hAnsiTheme="minorHAnsi"/>
          <w:b/>
          <w:lang w:val="hy-AM"/>
        </w:rPr>
        <w:t>թթ. միջինում արժևորվել է 2</w:t>
      </w:r>
      <w:r w:rsidRPr="00C247B3">
        <w:rPr>
          <w:rFonts w:asciiTheme="minorHAnsi" w:hAnsiTheme="minorHAnsi"/>
          <w:b/>
          <w:lang w:val="hy-AM"/>
        </w:rPr>
        <w:t>3</w:t>
      </w:r>
      <w:r w:rsidRPr="002507D1">
        <w:rPr>
          <w:rFonts w:asciiTheme="minorHAnsi" w:hAnsiTheme="minorHAnsi"/>
          <w:b/>
          <w:lang w:val="hy-AM"/>
        </w:rPr>
        <w:t>.1%-ով:</w:t>
      </w:r>
      <w:r w:rsidRPr="002507D1">
        <w:rPr>
          <w:rFonts w:asciiTheme="minorHAnsi" w:hAnsiTheme="minorHAnsi"/>
          <w:lang w:val="hy-AM"/>
        </w:rPr>
        <w:t xml:space="preserve"> Իրական արդյունավետ փոխարժեքի արժևորման տեմպը 2024թ. հունվարին կտրուկ դանդաղել է և պահպանել այդ միտումը</w:t>
      </w:r>
      <w:r w:rsidRPr="00C247B3">
        <w:rPr>
          <w:rFonts w:asciiTheme="minorHAnsi" w:hAnsiTheme="minorHAnsi"/>
          <w:lang w:val="hy-AM"/>
        </w:rPr>
        <w:t xml:space="preserve"> </w:t>
      </w:r>
      <w:r>
        <w:rPr>
          <w:rFonts w:asciiTheme="minorHAnsi" w:hAnsiTheme="minorHAnsi"/>
          <w:lang w:val="hy-AM"/>
        </w:rPr>
        <w:t>մինչև տարեվերջ</w:t>
      </w:r>
      <w:r w:rsidRPr="002507D1">
        <w:rPr>
          <w:rFonts w:asciiTheme="minorHAnsi" w:hAnsiTheme="minorHAnsi"/>
          <w:lang w:val="hy-AM"/>
        </w:rPr>
        <w:t>։</w:t>
      </w:r>
    </w:p>
    <w:p w14:paraId="62D3DBAB" w14:textId="77777777" w:rsidR="00FE3BE4" w:rsidRPr="002507D1" w:rsidRDefault="00FE3BE4" w:rsidP="00FE3BE4">
      <w:pPr>
        <w:pStyle w:val="BodyText1"/>
        <w:ind w:left="0"/>
        <w:rPr>
          <w:rFonts w:asciiTheme="minorHAnsi" w:hAnsiTheme="minorHAnsi"/>
          <w:lang w:val="hy-AM"/>
        </w:rPr>
      </w:pPr>
      <w:r w:rsidRPr="00C2710D">
        <w:rPr>
          <w:rFonts w:asciiTheme="minorHAnsi" w:hAnsiTheme="minorHAnsi"/>
          <w:b/>
          <w:lang w:val="hy-AM"/>
        </w:rPr>
        <w:t>202</w:t>
      </w:r>
      <w:r w:rsidRPr="00C247B3">
        <w:rPr>
          <w:rFonts w:asciiTheme="minorHAnsi" w:hAnsiTheme="minorHAnsi"/>
          <w:b/>
          <w:lang w:val="hy-AM"/>
        </w:rPr>
        <w:t>5</w:t>
      </w:r>
      <w:r w:rsidRPr="00C2710D">
        <w:rPr>
          <w:rFonts w:asciiTheme="minorHAnsi" w:hAnsiTheme="minorHAnsi"/>
          <w:b/>
          <w:lang w:val="hy-AM"/>
        </w:rPr>
        <w:t>թ. սկզբից դրամը ՀՀ հիմնական գործընկեր երկ</w:t>
      </w:r>
      <w:r>
        <w:rPr>
          <w:rFonts w:asciiTheme="minorHAnsi" w:hAnsiTheme="minorHAnsi"/>
          <w:b/>
          <w:lang w:val="hy-AM"/>
        </w:rPr>
        <w:t>ր</w:t>
      </w:r>
      <w:r w:rsidRPr="00C2710D">
        <w:rPr>
          <w:rFonts w:asciiTheme="minorHAnsi" w:hAnsiTheme="minorHAnsi"/>
          <w:b/>
          <w:lang w:val="hy-AM"/>
        </w:rPr>
        <w:t xml:space="preserve">ների արժույթների նկատմամբ դրսևորել է </w:t>
      </w:r>
      <w:r>
        <w:rPr>
          <w:rFonts w:asciiTheme="minorHAnsi" w:hAnsiTheme="minorHAnsi"/>
          <w:b/>
          <w:lang w:val="hy-AM"/>
        </w:rPr>
        <w:t xml:space="preserve">իրական </w:t>
      </w:r>
      <w:r w:rsidRPr="00C2710D">
        <w:rPr>
          <w:rFonts w:asciiTheme="minorHAnsi" w:hAnsiTheme="minorHAnsi"/>
          <w:b/>
          <w:lang w:val="hy-AM"/>
        </w:rPr>
        <w:t xml:space="preserve">արդյունավետ փոխարժեքի </w:t>
      </w:r>
      <w:r>
        <w:rPr>
          <w:rFonts w:asciiTheme="minorHAnsi" w:hAnsiTheme="minorHAnsi"/>
          <w:b/>
          <w:lang w:val="hy-AM"/>
        </w:rPr>
        <w:t>արժեզրկման</w:t>
      </w:r>
      <w:r w:rsidRPr="00C2710D">
        <w:rPr>
          <w:rFonts w:asciiTheme="minorHAnsi" w:hAnsiTheme="minorHAnsi"/>
          <w:b/>
          <w:lang w:val="hy-AM"/>
        </w:rPr>
        <w:t xml:space="preserve"> վարքագիծ</w:t>
      </w:r>
      <w:r>
        <w:rPr>
          <w:rFonts w:ascii="Cambria Math" w:hAnsi="Cambria Math" w:cs="Cambria Math"/>
          <w:b/>
          <w:lang w:val="hy-AM"/>
        </w:rPr>
        <w:t xml:space="preserve">: </w:t>
      </w:r>
      <w:r w:rsidRPr="006934A1">
        <w:rPr>
          <w:rFonts w:asciiTheme="minorHAnsi" w:hAnsiTheme="minorHAnsi"/>
          <w:lang w:val="hy-AM"/>
        </w:rPr>
        <w:t xml:space="preserve">2025թ. հունվար-հուլիս ամիսներին </w:t>
      </w:r>
      <w:r w:rsidRPr="00C2710D">
        <w:rPr>
          <w:rFonts w:asciiTheme="minorHAnsi" w:hAnsiTheme="minorHAnsi"/>
          <w:lang w:val="hy-AM"/>
        </w:rPr>
        <w:t xml:space="preserve">ՀՀ դրամի իրական արդյունավետ </w:t>
      </w:r>
      <w:r>
        <w:rPr>
          <w:rFonts w:asciiTheme="minorHAnsi" w:hAnsiTheme="minorHAnsi"/>
          <w:lang w:val="hy-AM"/>
        </w:rPr>
        <w:t>փոխարժեքը</w:t>
      </w:r>
      <w:r w:rsidRPr="00C2710D">
        <w:rPr>
          <w:rFonts w:asciiTheme="minorHAnsi" w:hAnsiTheme="minorHAnsi"/>
          <w:lang w:val="hy-AM"/>
        </w:rPr>
        <w:t xml:space="preserve"> արժ</w:t>
      </w:r>
      <w:r>
        <w:rPr>
          <w:rFonts w:asciiTheme="minorHAnsi" w:hAnsiTheme="minorHAnsi"/>
          <w:lang w:val="hy-AM"/>
        </w:rPr>
        <w:t>եզրկվել է 0</w:t>
      </w:r>
      <w:r w:rsidRPr="00C2710D">
        <w:rPr>
          <w:rFonts w:asciiTheme="minorHAnsi" w:hAnsiTheme="minorHAnsi"/>
          <w:lang w:val="hy-AM"/>
        </w:rPr>
        <w:t>.</w:t>
      </w:r>
      <w:r>
        <w:rPr>
          <w:rFonts w:asciiTheme="minorHAnsi" w:hAnsiTheme="minorHAnsi"/>
          <w:lang w:val="hy-AM"/>
        </w:rPr>
        <w:t>7</w:t>
      </w:r>
      <w:r w:rsidRPr="00C2710D">
        <w:rPr>
          <w:rFonts w:asciiTheme="minorHAnsi" w:hAnsiTheme="minorHAnsi"/>
          <w:lang w:val="hy-AM"/>
        </w:rPr>
        <w:t>%</w:t>
      </w:r>
      <w:r>
        <w:rPr>
          <w:rFonts w:asciiTheme="minorHAnsi" w:hAnsiTheme="minorHAnsi"/>
          <w:lang w:val="hy-AM"/>
        </w:rPr>
        <w:t xml:space="preserve">-ով: Հատկանշական է այն հանգամանքը, որ 2020թ. փետրվարից սկիզբ առած արժևորման միտումներից հետո </w:t>
      </w:r>
      <w:r w:rsidRPr="00C2710D">
        <w:rPr>
          <w:rFonts w:asciiTheme="minorHAnsi" w:hAnsiTheme="minorHAnsi"/>
          <w:lang w:val="hy-AM"/>
        </w:rPr>
        <w:t>իրական արդյունավետ փոխարժեք</w:t>
      </w:r>
      <w:r>
        <w:rPr>
          <w:rFonts w:asciiTheme="minorHAnsi" w:hAnsiTheme="minorHAnsi"/>
          <w:lang w:val="hy-AM"/>
        </w:rPr>
        <w:t xml:space="preserve">ը 2025թ. ապրիլ ամսից սկսել է արժեզրկվել: Իսկ </w:t>
      </w:r>
      <w:r w:rsidRPr="00C2710D">
        <w:rPr>
          <w:rFonts w:asciiTheme="minorHAnsi" w:hAnsiTheme="minorHAnsi"/>
          <w:lang w:val="hy-AM"/>
        </w:rPr>
        <w:t>անվանական</w:t>
      </w:r>
      <w:r>
        <w:rPr>
          <w:rFonts w:asciiTheme="minorHAnsi" w:hAnsiTheme="minorHAnsi"/>
          <w:lang w:val="hy-AM"/>
        </w:rPr>
        <w:t xml:space="preserve"> </w:t>
      </w:r>
      <w:r w:rsidRPr="00E4370C">
        <w:rPr>
          <w:rFonts w:asciiTheme="minorHAnsi" w:hAnsiTheme="minorHAnsi"/>
          <w:lang w:val="hy-AM"/>
        </w:rPr>
        <w:t>արդյունավետ</w:t>
      </w:r>
      <w:r>
        <w:rPr>
          <w:rFonts w:asciiTheme="minorHAnsi" w:hAnsiTheme="minorHAnsi"/>
          <w:lang w:val="hy-AM"/>
        </w:rPr>
        <w:t xml:space="preserve"> փոխարժեքը</w:t>
      </w:r>
      <w:r w:rsidRPr="00C2710D">
        <w:rPr>
          <w:rFonts w:asciiTheme="minorHAnsi" w:hAnsiTheme="minorHAnsi"/>
          <w:lang w:val="hy-AM"/>
        </w:rPr>
        <w:t xml:space="preserve"> </w:t>
      </w:r>
      <w:r>
        <w:rPr>
          <w:rFonts w:asciiTheme="minorHAnsi" w:hAnsiTheme="minorHAnsi"/>
          <w:lang w:val="hy-AM"/>
        </w:rPr>
        <w:t xml:space="preserve">2025թ. </w:t>
      </w:r>
      <w:r w:rsidRPr="00C2710D">
        <w:rPr>
          <w:rFonts w:asciiTheme="minorHAnsi" w:hAnsiTheme="minorHAnsi"/>
          <w:lang w:val="hy-AM"/>
        </w:rPr>
        <w:t xml:space="preserve">հունվար-հուլիս ամիսներին </w:t>
      </w:r>
      <w:r>
        <w:rPr>
          <w:rFonts w:asciiTheme="minorHAnsi" w:hAnsiTheme="minorHAnsi"/>
          <w:lang w:val="hy-AM"/>
        </w:rPr>
        <w:t xml:space="preserve">նախորդ տարվա նույն ժամանակահատվածի նկատմամբ </w:t>
      </w:r>
      <w:r w:rsidRPr="00C2710D">
        <w:rPr>
          <w:rFonts w:asciiTheme="minorHAnsi" w:hAnsiTheme="minorHAnsi"/>
          <w:lang w:val="hy-AM"/>
        </w:rPr>
        <w:t>արժևոր</w:t>
      </w:r>
      <w:r>
        <w:rPr>
          <w:rFonts w:asciiTheme="minorHAnsi" w:hAnsiTheme="minorHAnsi"/>
          <w:lang w:val="hy-AM"/>
        </w:rPr>
        <w:t>վել է</w:t>
      </w:r>
      <w:r w:rsidRPr="00C2710D">
        <w:rPr>
          <w:rFonts w:asciiTheme="minorHAnsi" w:hAnsiTheme="minorHAnsi"/>
          <w:lang w:val="hy-AM"/>
        </w:rPr>
        <w:t xml:space="preserve"> 1.6%</w:t>
      </w:r>
      <w:r>
        <w:rPr>
          <w:rFonts w:asciiTheme="minorHAnsi" w:hAnsiTheme="minorHAnsi"/>
          <w:lang w:val="hy-AM"/>
        </w:rPr>
        <w:t>-ով:</w:t>
      </w:r>
    </w:p>
    <w:tbl>
      <w:tblPr>
        <w:tblW w:w="9432" w:type="dxa"/>
        <w:tblInd w:w="-95" w:type="dxa"/>
        <w:tblLook w:val="04A0" w:firstRow="1" w:lastRow="0" w:firstColumn="1" w:lastColumn="0" w:noHBand="0" w:noVBand="1"/>
      </w:tblPr>
      <w:tblGrid>
        <w:gridCol w:w="4836"/>
        <w:gridCol w:w="4836"/>
      </w:tblGrid>
      <w:tr w:rsidR="00FE3BE4" w:rsidRPr="009D765F" w14:paraId="6C425AA6" w14:textId="77777777" w:rsidTr="008D4E1E">
        <w:trPr>
          <w:trHeight w:val="4464"/>
        </w:trPr>
        <w:tc>
          <w:tcPr>
            <w:tcW w:w="4824" w:type="dxa"/>
            <w:hideMark/>
          </w:tcPr>
          <w:p w14:paraId="749F2D26" w14:textId="77777777" w:rsidR="00FE3BE4" w:rsidRPr="00F5648C" w:rsidRDefault="00FE3BE4" w:rsidP="008D4E1E">
            <w:pPr>
              <w:pStyle w:val="Charts"/>
              <w:spacing w:before="0"/>
              <w:rPr>
                <w:sz w:val="20"/>
              </w:rPr>
            </w:pPr>
            <w:bookmarkStart w:id="198" w:name="_Toc178595147"/>
            <w:r w:rsidRPr="00F5648C">
              <w:rPr>
                <w:sz w:val="20"/>
                <w:u w:val="single"/>
              </w:rPr>
              <w:t xml:space="preserve">Գծապատկեր 1.34. </w:t>
            </w:r>
            <w:r w:rsidRPr="00F5648C">
              <w:rPr>
                <w:sz w:val="20"/>
              </w:rPr>
              <w:t>ՀՀ դրամի անվանական փոխարժեքի դինամիկան հիմնական արժույթների նկատմամբ (աճ՝ դրամի արժևորում</w:t>
            </w:r>
            <w:r w:rsidRPr="00F5648C">
              <w:t>)</w:t>
            </w:r>
            <w:bookmarkEnd w:id="198"/>
          </w:p>
          <w:p w14:paraId="1993F894" w14:textId="77777777" w:rsidR="00FE3BE4" w:rsidRPr="00F5648C" w:rsidRDefault="00FE3BE4" w:rsidP="008D4E1E">
            <w:pPr>
              <w:jc w:val="right"/>
              <w:rPr>
                <w:lang w:val="hy-AM"/>
              </w:rPr>
            </w:pPr>
            <w:r w:rsidRPr="00C3014C">
              <w:rPr>
                <w:noProof/>
              </w:rPr>
              <w:drawing>
                <wp:inline distT="0" distB="0" distL="0" distR="0" wp14:anchorId="2157E897" wp14:editId="4482A745">
                  <wp:extent cx="2926080" cy="1828800"/>
                  <wp:effectExtent l="0" t="0" r="7620" b="0"/>
                  <wp:docPr id="1545876451" name="Chart 1545876451"/>
                  <wp:cNvGraphicFramePr/>
                  <a:graphic xmlns:a="http://schemas.openxmlformats.org/drawingml/2006/main">
                    <a:graphicData uri="http://schemas.openxmlformats.org/drawingml/2006/chart">
                      <c:chart xmlns:c="http://schemas.openxmlformats.org/drawingml/2006/chart" xmlns:r="http://schemas.openxmlformats.org/officeDocument/2006/relationships" r:id="rId45"/>
                    </a:graphicData>
                  </a:graphic>
                </wp:inline>
              </w:drawing>
            </w:r>
            <w:r w:rsidRPr="00F5648C">
              <w:rPr>
                <w:rStyle w:val="Char0"/>
                <w:lang w:val="hy-AM"/>
              </w:rPr>
              <w:t>Աղբյուրը՝ ՀՀ ԿԲ, ՀՀ ՖՆ հաշվարկներ</w:t>
            </w:r>
          </w:p>
        </w:tc>
        <w:tc>
          <w:tcPr>
            <w:tcW w:w="4608" w:type="dxa"/>
            <w:hideMark/>
          </w:tcPr>
          <w:p w14:paraId="5CB3FD49" w14:textId="77777777" w:rsidR="00FE3BE4" w:rsidRPr="00F5648C" w:rsidRDefault="00FE3BE4" w:rsidP="008D4E1E">
            <w:pPr>
              <w:pStyle w:val="Charts"/>
              <w:spacing w:before="0"/>
              <w:rPr>
                <w:sz w:val="20"/>
              </w:rPr>
            </w:pPr>
            <w:bookmarkStart w:id="199" w:name="_Toc178595148"/>
            <w:r w:rsidRPr="00C3014C">
              <w:rPr>
                <w:noProof/>
                <w:lang w:val="en-US"/>
              </w:rPr>
              <w:drawing>
                <wp:anchor distT="0" distB="0" distL="114300" distR="114300" simplePos="0" relativeHeight="251883520" behindDoc="0" locked="0" layoutInCell="1" allowOverlap="1" wp14:anchorId="6357E7AB" wp14:editId="3E5F70A6">
                  <wp:simplePos x="0" y="0"/>
                  <wp:positionH relativeFrom="column">
                    <wp:posOffset>36830</wp:posOffset>
                  </wp:positionH>
                  <wp:positionV relativeFrom="paragraph">
                    <wp:posOffset>600710</wp:posOffset>
                  </wp:positionV>
                  <wp:extent cx="2926080" cy="1828800"/>
                  <wp:effectExtent l="0" t="0" r="7620" b="0"/>
                  <wp:wrapTopAndBottom/>
                  <wp:docPr id="1545876459" name="Chart 1545876459"/>
                  <wp:cNvGraphicFramePr/>
                  <a:graphic xmlns:a="http://schemas.openxmlformats.org/drawingml/2006/main">
                    <a:graphicData uri="http://schemas.openxmlformats.org/drawingml/2006/chart">
                      <c:chart xmlns:c="http://schemas.openxmlformats.org/drawingml/2006/chart" xmlns:r="http://schemas.openxmlformats.org/officeDocument/2006/relationships" r:id="rId46"/>
                    </a:graphicData>
                  </a:graphic>
                </wp:anchor>
              </w:drawing>
            </w:r>
            <w:r w:rsidRPr="00F5648C">
              <w:rPr>
                <w:sz w:val="20"/>
                <w:u w:val="single"/>
              </w:rPr>
              <w:t xml:space="preserve">Գծապատկեր 1.35. </w:t>
            </w:r>
            <w:r w:rsidRPr="00BF2248">
              <w:rPr>
                <w:sz w:val="20"/>
              </w:rPr>
              <w:t>ՀՀ իրական և անվանական արդյունավետ փոխարժեքների կուտակային տ/տ աճերի դինամիկան (աճ՝ արժևորում)</w:t>
            </w:r>
            <w:bookmarkEnd w:id="199"/>
          </w:p>
          <w:p w14:paraId="0008CA37" w14:textId="77777777" w:rsidR="00FE3BE4" w:rsidRPr="00495E3A" w:rsidRDefault="00FE3BE4" w:rsidP="008D4E1E">
            <w:pPr>
              <w:pStyle w:val="a0"/>
              <w:rPr>
                <w:lang w:val="hy-AM"/>
              </w:rPr>
            </w:pPr>
            <w:r w:rsidRPr="00495E3A">
              <w:rPr>
                <w:lang w:val="hy-AM"/>
              </w:rPr>
              <w:t>Աղբյուրը՝ ՀՀ ԿԲ, ՀՀ ՖՆ հաշվարկներ</w:t>
            </w:r>
          </w:p>
        </w:tc>
      </w:tr>
    </w:tbl>
    <w:p w14:paraId="489C74C3" w14:textId="77777777" w:rsidR="00FE3BE4" w:rsidRPr="005112FD" w:rsidRDefault="00FE3BE4" w:rsidP="00FE3BE4">
      <w:pPr>
        <w:pStyle w:val="Charts"/>
      </w:pPr>
    </w:p>
    <w:p w14:paraId="35383807" w14:textId="77777777" w:rsidR="00FE3BE4" w:rsidRPr="00E77731" w:rsidRDefault="00FE3BE4" w:rsidP="00FE3BE4">
      <w:pPr>
        <w:pStyle w:val="TOC4"/>
        <w:rPr>
          <w:lang w:val="hy-AM"/>
        </w:rPr>
      </w:pPr>
      <w:r w:rsidRPr="00E77731">
        <w:rPr>
          <w:lang w:val="hy-AM"/>
        </w:rPr>
        <w:t xml:space="preserve">1.3.5. ԳՆԱՃ </w:t>
      </w:r>
      <w:r>
        <w:rPr>
          <w:lang w:val="hy-AM"/>
        </w:rPr>
        <w:t>ԵՎ</w:t>
      </w:r>
      <w:r w:rsidRPr="00E77731">
        <w:rPr>
          <w:lang w:val="hy-AM"/>
        </w:rPr>
        <w:t xml:space="preserve"> ԴՐԱՄԱՎԱՐԿԱՅԻՆ ՔԱՂԱՔԱԿԱՆՈՒԹՅՈՒՆ</w:t>
      </w:r>
      <w:bookmarkEnd w:id="194"/>
      <w:r w:rsidRPr="00E77731">
        <w:rPr>
          <w:lang w:val="hy-AM"/>
        </w:rPr>
        <w:t xml:space="preserve"> </w:t>
      </w:r>
    </w:p>
    <w:p w14:paraId="48CA408E" w14:textId="77777777" w:rsidR="00FE3BE4" w:rsidRPr="00E77731" w:rsidRDefault="00FE3BE4" w:rsidP="00FE3BE4">
      <w:pPr>
        <w:pStyle w:val="BodyText1"/>
        <w:rPr>
          <w:lang w:val="hy-AM"/>
        </w:rPr>
      </w:pPr>
      <w:r w:rsidRPr="00EB1575">
        <w:rPr>
          <w:b/>
          <w:lang w:val="hy-AM"/>
        </w:rPr>
        <w:t>2022</w:t>
      </w:r>
      <w:r>
        <w:rPr>
          <w:b/>
          <w:lang w:val="hy-AM"/>
        </w:rPr>
        <w:t>թ.-ին առաջարկի և պահանջարկի գործոնների միաժամանակյա ազդեցությամբ գնաճի տեմպերը զգալիորեն արագացել են, իսկ 2023թ.-ի ընթացքում այդ գործոնների հիմնական մասի չեզոքացման, ինչպես նաև ՀՀ դրամի արժևորման արդյունքում գնաճի տեմպերը կտրուկ դանդաղել են՝ տարվա կեսից ձևավորելով գնանկումային միջավայր, որը շարունակվել է</w:t>
      </w:r>
      <w:r w:rsidRPr="00EB1575">
        <w:rPr>
          <w:b/>
          <w:lang w:val="hy-AM"/>
        </w:rPr>
        <w:t xml:space="preserve"> </w:t>
      </w:r>
      <w:r w:rsidRPr="007F49F0">
        <w:rPr>
          <w:b/>
          <w:lang w:val="hy-AM"/>
        </w:rPr>
        <w:t>2024թ. առաջին ամիսներին</w:t>
      </w:r>
      <w:r>
        <w:rPr>
          <w:b/>
          <w:lang w:val="hy-AM"/>
        </w:rPr>
        <w:t xml:space="preserve"> և աստիճանաբար փոխակերպվել թույլ գնաճային զարգացումների՝ տարեվերջին ձևավորվելով ԿԲ նպատակային ցուցանիշից ցածր մակարդակում: Այս պայմաններում </w:t>
      </w:r>
      <w:r w:rsidRPr="00EB1575">
        <w:rPr>
          <w:b/>
          <w:lang w:val="hy-AM"/>
        </w:rPr>
        <w:t>2023-</w:t>
      </w:r>
      <w:r>
        <w:rPr>
          <w:b/>
          <w:lang w:val="hy-AM"/>
        </w:rPr>
        <w:t>2024 թվականների ընթացքում ԿԲ-ն նվազեցրել է քաղաքականության տոկոսադրույքը 3.75 տոկոսային կետով՝ ի վերջո սահմանելով այն 7</w:t>
      </w:r>
      <w:r w:rsidRPr="0043393A">
        <w:rPr>
          <w:b/>
          <w:lang w:val="hy-AM"/>
        </w:rPr>
        <w:t xml:space="preserve">% </w:t>
      </w:r>
      <w:r>
        <w:rPr>
          <w:b/>
          <w:lang w:val="hy-AM"/>
        </w:rPr>
        <w:t>մակարդակում:</w:t>
      </w:r>
      <w:r w:rsidRPr="0046648E">
        <w:rPr>
          <w:b/>
          <w:lang w:val="hy-AM"/>
        </w:rPr>
        <w:t xml:space="preserve"> </w:t>
      </w:r>
      <w:r w:rsidRPr="00EB1575">
        <w:rPr>
          <w:lang w:val="hy-AM"/>
        </w:rPr>
        <w:t>2022</w:t>
      </w:r>
      <w:r>
        <w:rPr>
          <w:lang w:val="hy-AM"/>
        </w:rPr>
        <w:t xml:space="preserve">թ.-ին ռուս-ուկրաինական հակամարտության սրման հետևանքով միջազգային ապրանքահումքային շուկաներում դիտված գների կտրուկ աճը, ՀՀ դրամի կարճատև արժեզրկումը, ինչպես նաև օտարերկրյա այցելուների կտրուկ ավելացմամբ պայմանավորված համախառն պահանջարկի զգալի աճը հանգեցրել են 12 ամսյա գնաճի արագացման: ՀՀ ԿԲ-ն արձագանքել է դրամավարկային պայմանների խստացմամբ՝ բարձրացնելով քաղաքականության տոկոսադրույքը </w:t>
      </w:r>
      <w:r w:rsidRPr="00E11715">
        <w:rPr>
          <w:lang w:val="hy-AM"/>
        </w:rPr>
        <w:t xml:space="preserve">3 </w:t>
      </w:r>
      <w:r>
        <w:rPr>
          <w:lang w:val="hy-AM"/>
        </w:rPr>
        <w:t>տոկոսային կետով՝ տարեվերջին հասցնելով այն 10.75</w:t>
      </w:r>
      <w:r w:rsidRPr="00EB1575">
        <w:rPr>
          <w:lang w:val="hy-AM"/>
        </w:rPr>
        <w:t>%-</w:t>
      </w:r>
      <w:r>
        <w:rPr>
          <w:lang w:val="hy-AM"/>
        </w:rPr>
        <w:t>ի:</w:t>
      </w:r>
      <w:r w:rsidRPr="00EB1575">
        <w:rPr>
          <w:lang w:val="hy-AM"/>
        </w:rPr>
        <w:t xml:space="preserve"> </w:t>
      </w:r>
      <w:r w:rsidRPr="00E77731">
        <w:rPr>
          <w:lang w:val="hy-AM"/>
        </w:rPr>
        <w:t>2023թ.-ին, պայմանավորված արտաքին հատվածից և աշխատաշուկայից փոխանցվող գնաճային ճնշումների թուլացմամբ, իսկ տարեվերջին՝ գնանկումային ազդեցություններով, գնաճային սպասումների նվազմամբ, ինչպես նաև իրականացված հետևողական զսպող դրամավարկային քաղաքականության ազդեցությամբ գնաճի տեմպերը զգալիորեն դանդաղել են, ապա՝ փոխա</w:t>
      </w:r>
      <w:r>
        <w:rPr>
          <w:lang w:val="hy-AM"/>
        </w:rPr>
        <w:t>կերպվել</w:t>
      </w:r>
      <w:r w:rsidRPr="00E77731">
        <w:rPr>
          <w:lang w:val="hy-AM"/>
        </w:rPr>
        <w:t xml:space="preserve"> գնանկումային միտումներ</w:t>
      </w:r>
      <w:r>
        <w:rPr>
          <w:lang w:val="hy-AM"/>
        </w:rPr>
        <w:t>ի</w:t>
      </w:r>
      <w:r w:rsidRPr="00E77731">
        <w:rPr>
          <w:lang w:val="hy-AM"/>
        </w:rPr>
        <w:t>, ինչի արդյունքում 12 ամսյա գնաճը դեկտեմբերին կազմել է -0.6%, իսկ միջին գնաճը` 2.0%:</w:t>
      </w:r>
      <w:r w:rsidRPr="00EB1575">
        <w:rPr>
          <w:b/>
          <w:lang w:val="hy-AM"/>
        </w:rPr>
        <w:t xml:space="preserve"> </w:t>
      </w:r>
      <w:r>
        <w:rPr>
          <w:lang w:val="hy-AM"/>
        </w:rPr>
        <w:t>2024թ.-ին գ</w:t>
      </w:r>
      <w:r w:rsidRPr="00E77731">
        <w:rPr>
          <w:lang w:val="hy-AM"/>
        </w:rPr>
        <w:t xml:space="preserve">նանկումային միջավայրը </w:t>
      </w:r>
      <w:r>
        <w:rPr>
          <w:lang w:val="hy-AM"/>
        </w:rPr>
        <w:t>շարունակվել</w:t>
      </w:r>
      <w:r w:rsidRPr="00E77731">
        <w:rPr>
          <w:lang w:val="hy-AM"/>
        </w:rPr>
        <w:t xml:space="preserve"> է</w:t>
      </w:r>
      <w:r>
        <w:rPr>
          <w:lang w:val="hy-AM"/>
        </w:rPr>
        <w:t xml:space="preserve"> հիմնականում</w:t>
      </w:r>
      <w:r w:rsidRPr="00E77731">
        <w:rPr>
          <w:lang w:val="hy-AM"/>
        </w:rPr>
        <w:t xml:space="preserve"> համաշխարհային տնտեսությունից փոխանցվող գնաճային ճնշումների զգալի թուլացման, փոխարժեքի արժևորման</w:t>
      </w:r>
      <w:r>
        <w:rPr>
          <w:lang w:val="hy-AM"/>
        </w:rPr>
        <w:t xml:space="preserve"> և </w:t>
      </w:r>
      <w:r w:rsidRPr="00E77731">
        <w:rPr>
          <w:lang w:val="hy-AM"/>
        </w:rPr>
        <w:t>զսպող դրամավարկային քաղաքականության լագային ազդեցությամբ: Այնուամենայնիվ, գնանկումային ճնշումներն աստիճանաբար մարել են, և</w:t>
      </w:r>
      <w:r>
        <w:rPr>
          <w:lang w:val="hy-AM"/>
        </w:rPr>
        <w:t xml:space="preserve">, հատկապես տարվա երկրորդ կեսին </w:t>
      </w:r>
      <w:r w:rsidRPr="00E77731">
        <w:rPr>
          <w:lang w:val="hy-AM"/>
        </w:rPr>
        <w:t>փոխարինվել թույլ գնաճային ազդեցություններով։ Արդյունքում</w:t>
      </w:r>
      <w:r>
        <w:rPr>
          <w:lang w:val="hy-AM"/>
        </w:rPr>
        <w:t xml:space="preserve">, տարեվերջին </w:t>
      </w:r>
      <w:r w:rsidRPr="00E77731">
        <w:rPr>
          <w:lang w:val="hy-AM"/>
        </w:rPr>
        <w:t>12 ամսյա գնաճը կազմել է 1.</w:t>
      </w:r>
      <w:r>
        <w:rPr>
          <w:lang w:val="hy-AM"/>
        </w:rPr>
        <w:t>5</w:t>
      </w:r>
      <w:r w:rsidRPr="00E77731">
        <w:rPr>
          <w:lang w:val="hy-AM"/>
        </w:rPr>
        <w:t>%, իսկ միջին գնաճը հունվար-</w:t>
      </w:r>
      <w:r>
        <w:rPr>
          <w:lang w:val="hy-AM"/>
        </w:rPr>
        <w:t>դեկտեմբեր</w:t>
      </w:r>
      <w:r w:rsidRPr="00E77731">
        <w:rPr>
          <w:lang w:val="hy-AM"/>
        </w:rPr>
        <w:t xml:space="preserve"> ամիսներին</w:t>
      </w:r>
      <w:r>
        <w:rPr>
          <w:lang w:val="hy-AM"/>
        </w:rPr>
        <w:t>՝ 0.3</w:t>
      </w:r>
      <w:r w:rsidRPr="00E77731">
        <w:rPr>
          <w:lang w:val="hy-AM"/>
        </w:rPr>
        <w:t>%:</w:t>
      </w:r>
    </w:p>
    <w:p w14:paraId="121B6387" w14:textId="77777777" w:rsidR="00FE3BE4" w:rsidRPr="0046648E" w:rsidRDefault="00FE3BE4" w:rsidP="00FE3BE4">
      <w:pPr>
        <w:pStyle w:val="BodyText1"/>
        <w:rPr>
          <w:lang w:val="hy-AM"/>
        </w:rPr>
      </w:pPr>
      <w:r w:rsidRPr="00EB1575">
        <w:rPr>
          <w:b/>
          <w:lang w:val="hy-AM"/>
        </w:rPr>
        <w:t xml:space="preserve">2025թ. հունվար-օգոստոս ամիսների ընթացքում գնաճը կայուն արագացել է և հաստատվել ԿԲ թիրախային միջակայքի վերին սահմանին մոտ, ինչը պայմանավորել է դրամավարկային պայմանների հետագա մեղմացման գործընթացի </w:t>
      </w:r>
      <w:r>
        <w:rPr>
          <w:b/>
          <w:lang w:val="hy-AM"/>
        </w:rPr>
        <w:t>կանգը</w:t>
      </w:r>
      <w:r w:rsidRPr="00EB1575">
        <w:rPr>
          <w:b/>
          <w:lang w:val="hy-AM"/>
        </w:rPr>
        <w:t xml:space="preserve">: </w:t>
      </w:r>
      <w:r>
        <w:rPr>
          <w:b/>
          <w:lang w:val="hy-AM"/>
        </w:rPr>
        <w:t>Տարեսկզբին վերաֆինանսավորման տոկոսադրույքի 0.25 տոկոսային կետ նվազումից հետո այն հաստատվել է 6.75</w:t>
      </w:r>
      <w:r w:rsidRPr="00EB1575">
        <w:rPr>
          <w:b/>
          <w:lang w:val="hy-AM"/>
        </w:rPr>
        <w:t xml:space="preserve">% </w:t>
      </w:r>
      <w:r>
        <w:rPr>
          <w:b/>
          <w:lang w:val="hy-AM"/>
        </w:rPr>
        <w:t xml:space="preserve">մակարդակում: </w:t>
      </w:r>
      <w:r>
        <w:rPr>
          <w:lang w:val="hy-AM"/>
        </w:rPr>
        <w:t>Գնաճի արագացումը պայմանավորված է եղել համաշխարհային տնտեսությունից փոխանցվող գնաճային ազդեցություններով և բարձր ներքին պահանջարկով. այն առավելապես արտացոլել է սննդամթերքի գների վերականգնման գործընթացը: 12 ամսյա գնաճը օգոստոսին կազմել է 3.6</w:t>
      </w:r>
      <w:r w:rsidRPr="00EB1575">
        <w:rPr>
          <w:lang w:val="hy-AM"/>
        </w:rPr>
        <w:t xml:space="preserve">%, </w:t>
      </w:r>
      <w:r>
        <w:rPr>
          <w:lang w:val="hy-AM"/>
        </w:rPr>
        <w:t>իսկ միջին գնաճը՝ 3.2</w:t>
      </w:r>
      <w:r w:rsidRPr="00EB1575">
        <w:rPr>
          <w:lang w:val="hy-AM"/>
        </w:rPr>
        <w:t>%</w:t>
      </w:r>
      <w:r w:rsidRPr="00E77731">
        <w:rPr>
          <w:lang w:val="hy-AM"/>
        </w:rPr>
        <w:t>:</w:t>
      </w:r>
      <w:bookmarkEnd w:id="188"/>
      <w:bookmarkEnd w:id="189"/>
      <w:bookmarkEnd w:id="190"/>
    </w:p>
    <w:p w14:paraId="3FC5E0A6" w14:textId="77777777" w:rsidR="00FE3BE4" w:rsidRPr="00F5648C" w:rsidRDefault="00FE3BE4" w:rsidP="00FE3BE4">
      <w:pPr>
        <w:pStyle w:val="Charts"/>
      </w:pPr>
      <w:bookmarkStart w:id="200" w:name="_Toc178595149"/>
      <w:r w:rsidRPr="00C3014C">
        <w:rPr>
          <w:noProof/>
          <w:lang w:val="en-US"/>
        </w:rPr>
        <w:drawing>
          <wp:anchor distT="0" distB="0" distL="114300" distR="114300" simplePos="0" relativeHeight="251891712" behindDoc="0" locked="0" layoutInCell="1" allowOverlap="1" wp14:anchorId="6E716EDD" wp14:editId="10B6F6F8">
            <wp:simplePos x="0" y="0"/>
            <wp:positionH relativeFrom="column">
              <wp:posOffset>-4445</wp:posOffset>
            </wp:positionH>
            <wp:positionV relativeFrom="paragraph">
              <wp:posOffset>565150</wp:posOffset>
            </wp:positionV>
            <wp:extent cx="6126480" cy="2077720"/>
            <wp:effectExtent l="0" t="0" r="7620" b="17780"/>
            <wp:wrapTopAndBottom/>
            <wp:docPr id="1545876460" name="Chart 1545876460"/>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47"/>
              </a:graphicData>
            </a:graphic>
            <wp14:sizeRelV relativeFrom="margin">
              <wp14:pctHeight>0</wp14:pctHeight>
            </wp14:sizeRelV>
          </wp:anchor>
        </w:drawing>
      </w:r>
      <w:r w:rsidRPr="00F5648C">
        <w:t>Գծապատկեր 1.36. Գնաճի տեմպերը և ԿԲ տոկոսադրույքը ըստ ամիսների, 202</w:t>
      </w:r>
      <w:r w:rsidRPr="00EB1575">
        <w:t>2</w:t>
      </w:r>
      <w:r w:rsidRPr="00F5648C">
        <w:t>-202</w:t>
      </w:r>
      <w:r w:rsidRPr="00EB1575">
        <w:t>5</w:t>
      </w:r>
      <w:r w:rsidRPr="00F5648C">
        <w:t>թ</w:t>
      </w:r>
      <w:r w:rsidRPr="00F5648C">
        <w:rPr>
          <w:rFonts w:ascii="Cambria Math" w:hAnsi="Cambria Math" w:cs="Cambria Math"/>
        </w:rPr>
        <w:t>․</w:t>
      </w:r>
      <w:r w:rsidRPr="00F5648C">
        <w:t xml:space="preserve"> </w:t>
      </w:r>
      <w:r>
        <w:t>օգոստոս</w:t>
      </w:r>
      <w:r w:rsidRPr="00F5648C">
        <w:t>, %</w:t>
      </w:r>
      <w:bookmarkEnd w:id="200"/>
    </w:p>
    <w:p w14:paraId="25481965" w14:textId="77777777" w:rsidR="00FE3BE4" w:rsidRPr="00495E3A" w:rsidRDefault="00FE3BE4" w:rsidP="00FE3BE4">
      <w:pPr>
        <w:pStyle w:val="a0"/>
        <w:ind w:right="116"/>
        <w:rPr>
          <w:lang w:val="hy-AM"/>
        </w:rPr>
      </w:pPr>
      <w:r w:rsidRPr="00495E3A">
        <w:rPr>
          <w:lang w:val="hy-AM"/>
        </w:rPr>
        <w:t>Աղբյուրը՝ ՀՀ ԿԲ</w:t>
      </w:r>
    </w:p>
    <w:p w14:paraId="5A031068" w14:textId="77777777" w:rsidR="00FE3BE4" w:rsidRPr="00495E3A" w:rsidRDefault="00FE3BE4" w:rsidP="00FE3BE4">
      <w:pPr>
        <w:pStyle w:val="BodyText1"/>
        <w:rPr>
          <w:lang w:val="hy-AM"/>
        </w:rPr>
      </w:pPr>
      <w:r w:rsidRPr="00495E3A">
        <w:rPr>
          <w:b/>
          <w:lang w:val="hy-AM"/>
        </w:rPr>
        <w:t>Դրամավարկային քաղաքականության փոխանցումային մեխանիզմը ինչպես քաղաքականության խստացման, այնպես էլ մեղմացման շրջափուլերում համեմատաբար արդյունավետ է գործել պետական պարտատոմսերի</w:t>
      </w:r>
      <w:r>
        <w:rPr>
          <w:b/>
          <w:lang w:val="hy-AM"/>
        </w:rPr>
        <w:t xml:space="preserve"> շուկայում, մինչդեռ վարկերի և ավանդների շուկաներում դրա ազդեցությունը եղել է սահմանափակ: </w:t>
      </w:r>
      <w:r>
        <w:rPr>
          <w:lang w:val="hy-AM"/>
        </w:rPr>
        <w:t xml:space="preserve">ԿԲ-ի կողմից վերաֆինանսավորման տոկոսադրույքի բարձրացման, ինչպես նաև նվազեցման փուլերում վարկերի և ավանդների տոկոսադրույքները ֆինանսական շուկաներում ճշգրտվել են անհամաչափ կերպով՝ համեմատած միջբանկային ռեպոյի և կարճաժամկետ պետական պարտատոմսերի շուկաների հետ, որոնք </w:t>
      </w:r>
      <w:r w:rsidRPr="00495E3A">
        <w:rPr>
          <w:lang w:val="hy-AM"/>
        </w:rPr>
        <w:t xml:space="preserve">սովորաբար </w:t>
      </w:r>
      <w:r>
        <w:rPr>
          <w:lang w:val="hy-AM"/>
        </w:rPr>
        <w:t xml:space="preserve">առավել </w:t>
      </w:r>
      <w:r w:rsidRPr="00495E3A">
        <w:rPr>
          <w:lang w:val="hy-AM"/>
        </w:rPr>
        <w:t xml:space="preserve">զգայուն են դրամավարկային քաղաքականության որոշումների նկատմամբ։ </w:t>
      </w:r>
    </w:p>
    <w:p w14:paraId="42994205" w14:textId="77777777" w:rsidR="00FE3BE4" w:rsidRDefault="00FE3BE4" w:rsidP="00FE3BE4">
      <w:pPr>
        <w:pStyle w:val="BodyText1"/>
        <w:rPr>
          <w:lang w:val="hy-AM"/>
        </w:rPr>
      </w:pPr>
      <w:r w:rsidRPr="005D3566">
        <w:rPr>
          <w:lang w:val="hy-AM"/>
        </w:rPr>
        <w:t>2024 թվականի ընթացքում դրամավարկային քաղաքականության տոկոսադրույքի շարունակական նվազումը հանգեցրել է պետական պարտատոմսերի տոկոսադրույքների նվազման՝ հիմնականում եկամտաբերության կորի կարճաժամկետ հատվածում: Ավանդների տոկոսադրույքները ընդհանուր առմամբ շարունակել են գտնվել իրենց միջին տոկոսադրույքների շուրջ, իսկ վարկերի տոկոսադրույքները որոշակի բարձրացել են, ինչը մեծապես պայմանավորված է մինչև մեկ տարի ժամկետով իրավաբանական անձանց վարկերի տոկոսադրույքների աճով:</w:t>
      </w:r>
      <w:r>
        <w:rPr>
          <w:lang w:val="hy-AM"/>
        </w:rPr>
        <w:t xml:space="preserve"> </w:t>
      </w:r>
    </w:p>
    <w:p w14:paraId="0C86844C" w14:textId="77777777" w:rsidR="00FE3BE4" w:rsidRDefault="00FE3BE4" w:rsidP="00FE3BE4">
      <w:pPr>
        <w:pStyle w:val="BodyText1"/>
        <w:rPr>
          <w:b/>
          <w:lang w:val="hy-AM"/>
        </w:rPr>
      </w:pPr>
      <w:r>
        <w:rPr>
          <w:lang w:val="hy-AM"/>
        </w:rPr>
        <w:t>2025 թվականի հունվար-</w:t>
      </w:r>
      <w:r w:rsidRPr="00830DC8">
        <w:rPr>
          <w:lang w:val="hy-AM"/>
        </w:rPr>
        <w:t>օգոստոս</w:t>
      </w:r>
      <w:r>
        <w:rPr>
          <w:lang w:val="hy-AM"/>
        </w:rPr>
        <w:t xml:space="preserve"> ամիսներին պետական պարտատոմսերի տոկոսադրույքները եկամտաբերության կորի կարճաժամկետ և միջնաժամկետ հատվածներում նվազել են՝ հիմնականում պայմանավորված նախորդ տարվա ընթացքում իրականացված դրամավարկային պայմանների աստիճանական մեղմացմամբ: </w:t>
      </w:r>
      <w:r w:rsidRPr="00EB1575">
        <w:rPr>
          <w:rFonts w:eastAsia="GHEA Grapalat" w:cs="GHEA Grapalat"/>
          <w:iCs/>
          <w:color w:val="000000"/>
          <w:szCs w:val="22"/>
          <w:lang w:val="hy-AM"/>
        </w:rPr>
        <w:t>Միաժամանակ, ավանդների տոկոսադրույքները շարունակում են պահպանվել իրենց միջին մակարդակներում, իսկ վարկերի տոկոսադրույքները որոշակի աճել են` պայմանավորված իրավաբանական անձանց տրամադրվող վարկերի տոկոսադրույքների աճով։ Հիփոթեքային և սպառողական վարկերի տոկոսադրույքները շարունակում են պահպանվել կայուն մակարդակներում</w:t>
      </w:r>
      <w:r w:rsidRPr="005D3566">
        <w:rPr>
          <w:lang w:val="hy-AM"/>
        </w:rPr>
        <w:t>:</w:t>
      </w:r>
      <w:r>
        <w:rPr>
          <w:lang w:val="hy-AM"/>
        </w:rPr>
        <w:t xml:space="preserve"> </w:t>
      </w:r>
      <w:r w:rsidRPr="005D3566">
        <w:rPr>
          <w:lang w:val="hy-AM"/>
        </w:rPr>
        <w:br w:type="page"/>
      </w:r>
    </w:p>
    <w:p w14:paraId="1F8E2038" w14:textId="77777777" w:rsidR="00FE3BE4" w:rsidRPr="00C3014C" w:rsidRDefault="00FE3BE4" w:rsidP="00FE3BE4">
      <w:pPr>
        <w:pStyle w:val="Charts"/>
      </w:pPr>
      <w:bookmarkStart w:id="201" w:name="_Toc178595150"/>
      <w:r w:rsidRPr="00C3014C">
        <w:t>Գծապատկեր 1.37. Գնաճի նպաստումները խոշոր ապրանքախմբերով, ըստ եռամսյակների, տոկոսային կետ</w:t>
      </w:r>
      <w:bookmarkEnd w:id="201"/>
    </w:p>
    <w:p w14:paraId="2A76B832" w14:textId="77777777" w:rsidR="00FE3BE4" w:rsidRPr="00C3014C" w:rsidRDefault="00FE3BE4" w:rsidP="00FE3BE4">
      <w:pPr>
        <w:jc w:val="both"/>
      </w:pPr>
      <w:r w:rsidRPr="00C3014C">
        <w:rPr>
          <w:noProof/>
        </w:rPr>
        <w:drawing>
          <wp:inline distT="0" distB="0" distL="0" distR="0" wp14:anchorId="562D441C" wp14:editId="219AD2F8">
            <wp:extent cx="3070860" cy="2286000"/>
            <wp:effectExtent l="0" t="0" r="15240" b="0"/>
            <wp:docPr id="1545876461" name="Chart 1545876461"/>
            <wp:cNvGraphicFramePr/>
            <a:graphic xmlns:a="http://schemas.openxmlformats.org/drawingml/2006/main">
              <a:graphicData uri="http://schemas.openxmlformats.org/drawingml/2006/chart">
                <c:chart xmlns:c="http://schemas.openxmlformats.org/drawingml/2006/chart" xmlns:r="http://schemas.openxmlformats.org/officeDocument/2006/relationships" r:id="rId48"/>
              </a:graphicData>
            </a:graphic>
          </wp:inline>
        </w:drawing>
      </w:r>
      <w:r w:rsidRPr="00F5648C">
        <w:rPr>
          <w:rFonts w:ascii="Calibri" w:hAnsi="Calibri" w:cs="Calibri"/>
          <w:noProof/>
          <w:sz w:val="16"/>
          <w:szCs w:val="16"/>
        </w:rPr>
        <w:drawing>
          <wp:inline distT="0" distB="0" distL="0" distR="0" wp14:anchorId="4B9C440B" wp14:editId="44EB2C91">
            <wp:extent cx="3070800" cy="2286000"/>
            <wp:effectExtent l="0" t="0" r="15875" b="0"/>
            <wp:docPr id="1545876462" name="Chart 1545876462"/>
            <wp:cNvGraphicFramePr/>
            <a:graphic xmlns:a="http://schemas.openxmlformats.org/drawingml/2006/main">
              <a:graphicData uri="http://schemas.openxmlformats.org/drawingml/2006/chart">
                <c:chart xmlns:c="http://schemas.openxmlformats.org/drawingml/2006/chart" xmlns:r="http://schemas.openxmlformats.org/officeDocument/2006/relationships" r:id="rId49"/>
              </a:graphicData>
            </a:graphic>
          </wp:inline>
        </w:drawing>
      </w:r>
      <w:r w:rsidRPr="00C3014C">
        <w:rPr>
          <w:noProof/>
        </w:rPr>
        <w:drawing>
          <wp:inline distT="0" distB="0" distL="0" distR="0" wp14:anchorId="0D1996F6" wp14:editId="29C11E81">
            <wp:extent cx="6057900" cy="399011"/>
            <wp:effectExtent l="0" t="0" r="0" b="1270"/>
            <wp:docPr id="1545876463" name="Chart 1545876463"/>
            <wp:cNvGraphicFramePr/>
            <a:graphic xmlns:a="http://schemas.openxmlformats.org/drawingml/2006/main">
              <a:graphicData uri="http://schemas.openxmlformats.org/drawingml/2006/chart">
                <c:chart xmlns:c="http://schemas.openxmlformats.org/drawingml/2006/chart" xmlns:r="http://schemas.openxmlformats.org/officeDocument/2006/relationships" r:id="rId50"/>
              </a:graphicData>
            </a:graphic>
          </wp:inline>
        </w:drawing>
      </w:r>
    </w:p>
    <w:p w14:paraId="27852451" w14:textId="77777777" w:rsidR="00FE3BE4" w:rsidRPr="00C3014C" w:rsidRDefault="00FE3BE4" w:rsidP="00FE3BE4">
      <w:pPr>
        <w:pStyle w:val="a0"/>
      </w:pPr>
      <w:r w:rsidRPr="00C3014C">
        <w:t>Աղբյուրը՝ ՀՀ ՎԿ և ՀՀ ՖՆ հաշվարկներ</w:t>
      </w:r>
    </w:p>
    <w:p w14:paraId="39CEFC36" w14:textId="77777777" w:rsidR="00FE3BE4" w:rsidRPr="009A3CD0" w:rsidRDefault="00FE3BE4" w:rsidP="00FE3BE4">
      <w:pPr>
        <w:pStyle w:val="TOC4"/>
        <w:pBdr>
          <w:bottom w:val="single" w:sz="8" w:space="1" w:color="E1E1E3" w:themeColor="accent3" w:themeTint="33"/>
        </w:pBdr>
        <w:ind w:left="-1080" w:firstLine="1080"/>
        <w:rPr>
          <w:lang w:val="hy-AM"/>
        </w:rPr>
      </w:pPr>
      <w:r w:rsidRPr="009A3CD0">
        <w:rPr>
          <w:lang w:val="hy-AM"/>
        </w:rPr>
        <w:t>Կանխատեսում</w:t>
      </w:r>
    </w:p>
    <w:p w14:paraId="54AE73B7" w14:textId="77777777" w:rsidR="00FE3BE4" w:rsidRPr="005D3566" w:rsidRDefault="00FE3BE4" w:rsidP="00FE3BE4">
      <w:pPr>
        <w:pStyle w:val="BodyText1"/>
        <w:rPr>
          <w:lang w:val="hy-AM"/>
        </w:rPr>
      </w:pPr>
      <w:r w:rsidRPr="005D3566">
        <w:rPr>
          <w:lang w:val="hy-AM"/>
        </w:rPr>
        <w:t>202</w:t>
      </w:r>
      <w:r w:rsidRPr="00EB1575">
        <w:rPr>
          <w:lang w:val="hy-AM"/>
        </w:rPr>
        <w:t>5</w:t>
      </w:r>
      <w:r w:rsidRPr="005D3566">
        <w:rPr>
          <w:lang w:val="hy-AM"/>
        </w:rPr>
        <w:t>թ</w:t>
      </w:r>
      <w:r w:rsidRPr="005D3566">
        <w:rPr>
          <w:rFonts w:ascii="Cambria Math" w:hAnsi="Cambria Math" w:cs="Cambria Math"/>
          <w:lang w:val="hy-AM"/>
        </w:rPr>
        <w:t>․</w:t>
      </w:r>
      <w:r w:rsidRPr="005D3566">
        <w:rPr>
          <w:lang w:val="hy-AM"/>
        </w:rPr>
        <w:t xml:space="preserve">-ին ինչպես միջին, այնպես էլ 12 ամսյա գնաճը </w:t>
      </w:r>
      <w:r>
        <w:rPr>
          <w:lang w:val="hy-AM"/>
        </w:rPr>
        <w:t xml:space="preserve">մոտ կլինեն նպատակային ցուցանիշին </w:t>
      </w:r>
      <w:r w:rsidRPr="005D3566">
        <w:rPr>
          <w:lang w:val="hy-AM"/>
        </w:rPr>
        <w:t xml:space="preserve">և միջնաժամկետում կկայունանան </w:t>
      </w:r>
      <w:r>
        <w:rPr>
          <w:lang w:val="hy-AM"/>
        </w:rPr>
        <w:t>3</w:t>
      </w:r>
      <w:r w:rsidRPr="005D3566">
        <w:rPr>
          <w:lang w:val="hy-AM"/>
        </w:rPr>
        <w:t xml:space="preserve">% </w:t>
      </w:r>
      <w:r>
        <w:rPr>
          <w:lang w:val="hy-AM"/>
        </w:rPr>
        <w:t xml:space="preserve">մակարդակի </w:t>
      </w:r>
      <w:r w:rsidRPr="005D3566">
        <w:rPr>
          <w:lang w:val="hy-AM"/>
        </w:rPr>
        <w:t>շուրջ: Մշտադիտարկելով տնտեսության զարգացման սցենարները, ԿԲ-</w:t>
      </w:r>
      <w:r>
        <w:rPr>
          <w:lang w:val="hy-AM"/>
        </w:rPr>
        <w:t>ն</w:t>
      </w:r>
      <w:r w:rsidRPr="005D3566">
        <w:rPr>
          <w:lang w:val="hy-AM"/>
        </w:rPr>
        <w:t xml:space="preserve"> պատրաստ է ձեռնարկել համարժեք գործողություններ՝ միջնաժամկետ հորիզոնում գնաճի</w:t>
      </w:r>
      <w:r>
        <w:rPr>
          <w:lang w:val="hy-AM"/>
        </w:rPr>
        <w:t xml:space="preserve"> թիրախային </w:t>
      </w:r>
      <w:r w:rsidRPr="005D3566">
        <w:rPr>
          <w:lang w:val="hy-AM"/>
        </w:rPr>
        <w:t>մակարդակի և գների կայունության նպատակի ապահովման համար</w:t>
      </w:r>
      <w:r w:rsidRPr="006325B3">
        <w:rPr>
          <w:vertAlign w:val="superscript"/>
          <w:lang w:val="hy-AM"/>
        </w:rPr>
        <w:t xml:space="preserve"> </w:t>
      </w:r>
      <w:r w:rsidRPr="007F49F0">
        <w:rPr>
          <w:vertAlign w:val="superscript"/>
        </w:rPr>
        <w:footnoteReference w:id="13"/>
      </w:r>
      <w:r w:rsidRPr="005D3566">
        <w:rPr>
          <w:lang w:val="hy-AM"/>
        </w:rPr>
        <w:t>:</w:t>
      </w:r>
    </w:p>
    <w:p w14:paraId="439A13FD" w14:textId="77777777" w:rsidR="00FE3BE4" w:rsidRPr="00C3014C" w:rsidRDefault="00FE3BE4" w:rsidP="00FE3BE4">
      <w:pPr>
        <w:pStyle w:val="Charts"/>
      </w:pPr>
      <w:bookmarkStart w:id="202" w:name="_Toc178595151"/>
      <w:r w:rsidRPr="00C3014C">
        <w:rPr>
          <w:noProof/>
          <w:lang w:val="en-US"/>
        </w:rPr>
        <w:drawing>
          <wp:anchor distT="0" distB="0" distL="114300" distR="114300" simplePos="0" relativeHeight="251892736" behindDoc="0" locked="0" layoutInCell="1" allowOverlap="1" wp14:anchorId="70BC0B1C" wp14:editId="79031F9D">
            <wp:simplePos x="0" y="0"/>
            <wp:positionH relativeFrom="column">
              <wp:posOffset>3133725</wp:posOffset>
            </wp:positionH>
            <wp:positionV relativeFrom="paragraph">
              <wp:posOffset>587375</wp:posOffset>
            </wp:positionV>
            <wp:extent cx="3070800" cy="2286000"/>
            <wp:effectExtent l="0" t="0" r="15875" b="0"/>
            <wp:wrapTopAndBottom/>
            <wp:docPr id="1545876464" name="Chart 1545876464"/>
            <wp:cNvGraphicFramePr/>
            <a:graphic xmlns:a="http://schemas.openxmlformats.org/drawingml/2006/main">
              <a:graphicData uri="http://schemas.openxmlformats.org/drawingml/2006/chart">
                <c:chart xmlns:c="http://schemas.openxmlformats.org/drawingml/2006/chart" xmlns:r="http://schemas.openxmlformats.org/officeDocument/2006/relationships" r:id="rId51"/>
              </a:graphicData>
            </a:graphic>
            <wp14:sizeRelH relativeFrom="margin">
              <wp14:pctWidth>0</wp14:pctWidth>
            </wp14:sizeRelH>
            <wp14:sizeRelV relativeFrom="margin">
              <wp14:pctHeight>0</wp14:pctHeight>
            </wp14:sizeRelV>
          </wp:anchor>
        </w:drawing>
      </w:r>
      <w:r w:rsidRPr="00C3014C">
        <w:rPr>
          <w:noProof/>
          <w:lang w:val="en-US"/>
        </w:rPr>
        <w:drawing>
          <wp:anchor distT="0" distB="0" distL="114300" distR="114300" simplePos="0" relativeHeight="251893760" behindDoc="0" locked="0" layoutInCell="1" allowOverlap="1" wp14:anchorId="07E0C05A" wp14:editId="543FE8FA">
            <wp:simplePos x="0" y="0"/>
            <wp:positionH relativeFrom="column">
              <wp:posOffset>0</wp:posOffset>
            </wp:positionH>
            <wp:positionV relativeFrom="paragraph">
              <wp:posOffset>584200</wp:posOffset>
            </wp:positionV>
            <wp:extent cx="3070800" cy="2286000"/>
            <wp:effectExtent l="0" t="0" r="15875" b="0"/>
            <wp:wrapTopAndBottom/>
            <wp:docPr id="1545876465" name="Chart 1545876465"/>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52"/>
              </a:graphicData>
            </a:graphic>
            <wp14:sizeRelH relativeFrom="margin">
              <wp14:pctWidth>0</wp14:pctWidth>
            </wp14:sizeRelH>
            <wp14:sizeRelV relativeFrom="margin">
              <wp14:pctHeight>0</wp14:pctHeight>
            </wp14:sizeRelV>
          </wp:anchor>
        </w:drawing>
      </w:r>
      <w:r w:rsidRPr="00C3014C">
        <w:t>Գծապատկեր 1.38. Դրամավարկային քաղաքականության ազդեցությունները ֆինանսական շուկայում և գնաճի կանխատեսումները</w:t>
      </w:r>
      <w:bookmarkEnd w:id="202"/>
    </w:p>
    <w:p w14:paraId="08FDA8F4" w14:textId="77777777" w:rsidR="00FE3BE4" w:rsidRPr="002507D1" w:rsidRDefault="00FE3BE4" w:rsidP="00FE3BE4">
      <w:pPr>
        <w:jc w:val="both"/>
        <w:rPr>
          <w:lang w:val="hy-AM"/>
        </w:rPr>
      </w:pPr>
    </w:p>
    <w:p w14:paraId="06475C88" w14:textId="77777777" w:rsidR="00FE3BE4" w:rsidRPr="002507D1" w:rsidRDefault="00FE3BE4" w:rsidP="00104E7A">
      <w:pPr>
        <w:pStyle w:val="TOC3"/>
        <w:pBdr>
          <w:bottom w:val="single" w:sz="6" w:space="1" w:color="C3C3C7" w:themeColor="accent3" w:themeTint="66"/>
        </w:pBdr>
        <w:outlineLvl w:val="1"/>
        <w:rPr>
          <w:lang w:val="hy-AM"/>
        </w:rPr>
      </w:pPr>
      <w:bookmarkStart w:id="203" w:name="_Toc178356565"/>
      <w:bookmarkStart w:id="204" w:name="_Toc178612089"/>
      <w:bookmarkStart w:id="205" w:name="_Toc183801073"/>
      <w:bookmarkStart w:id="206" w:name="_Toc215157672"/>
      <w:r w:rsidRPr="002507D1">
        <w:rPr>
          <w:lang w:val="hy-AM"/>
        </w:rPr>
        <w:t>1.4. ԿԱՆԽԱՏԵՍՈՒՄՆԵՐԻ ՀԻՄՔՈՒՄ ԸՆԿԱԾ ԵՆԹԱԴՐՈՒԹՅՈՒՆՆԵՐԸ</w:t>
      </w:r>
      <w:bookmarkEnd w:id="151"/>
      <w:bookmarkEnd w:id="152"/>
      <w:bookmarkEnd w:id="153"/>
      <w:bookmarkEnd w:id="154"/>
      <w:bookmarkEnd w:id="155"/>
      <w:bookmarkEnd w:id="156"/>
      <w:bookmarkEnd w:id="157"/>
      <w:bookmarkEnd w:id="158"/>
      <w:bookmarkEnd w:id="203"/>
      <w:bookmarkEnd w:id="204"/>
      <w:bookmarkEnd w:id="205"/>
      <w:bookmarkEnd w:id="206"/>
    </w:p>
    <w:p w14:paraId="7AB5703F" w14:textId="6D14D3FD" w:rsidR="00FE3BE4" w:rsidRDefault="00FE3BE4" w:rsidP="00FE3BE4">
      <w:pPr>
        <w:pStyle w:val="BodyText1"/>
        <w:spacing w:line="264" w:lineRule="auto"/>
        <w:rPr>
          <w:lang w:val="hy-AM"/>
        </w:rPr>
      </w:pPr>
      <w:bookmarkStart w:id="207" w:name="_Toc146911026"/>
      <w:bookmarkStart w:id="208" w:name="_Toc115686020"/>
      <w:bookmarkStart w:id="209" w:name="_Toc83972834"/>
      <w:bookmarkStart w:id="210" w:name="_Toc83663898"/>
      <w:bookmarkStart w:id="211" w:name="_Toc57559417"/>
      <w:bookmarkStart w:id="212" w:name="_Toc52452090"/>
      <w:bookmarkStart w:id="213" w:name="_Toc51947417"/>
      <w:bookmarkStart w:id="214" w:name="_Toc51360534"/>
      <w:bookmarkStart w:id="215" w:name="_Toc46154348"/>
      <w:r w:rsidRPr="002507D1">
        <w:rPr>
          <w:lang w:val="hy-AM"/>
        </w:rPr>
        <w:t>202</w:t>
      </w:r>
      <w:r w:rsidRPr="005F52D9">
        <w:rPr>
          <w:lang w:val="hy-AM"/>
        </w:rPr>
        <w:t>6</w:t>
      </w:r>
      <w:r w:rsidRPr="002507D1">
        <w:rPr>
          <w:lang w:val="hy-AM"/>
        </w:rPr>
        <w:t xml:space="preserve"> թվականի Պետական բյուջեի մակրոտնտեսական շրջանակի կանխատեսումներն իրականացվել են ՀՀ ՖՆ կողմից՝ կիրառելով տնտեսաչափական մոդելներ, և առանձին շոկերի և հարկաբյուջետային միջոցառումների ազդեցությունների գնահատման համար՝ ՀՀ ՖՆ Արարատ հարկաբյուջետային ռազմավարության դինամիկ ստոխաստիկ ընդհանուր հավասարակշռության (Ararat Fiscal Strategy Model) մոդելը</w:t>
      </w:r>
      <w:r w:rsidRPr="00850F7C">
        <w:rPr>
          <w:vertAlign w:val="superscript"/>
        </w:rPr>
        <w:footnoteReference w:id="14"/>
      </w:r>
      <w:r w:rsidRPr="002507D1">
        <w:rPr>
          <w:lang w:val="hy-AM"/>
        </w:rPr>
        <w:t>, որոնց համար տեղեկատվական հիմք են հանդիսացել 202</w:t>
      </w:r>
      <w:r w:rsidRPr="005F52D9">
        <w:rPr>
          <w:lang w:val="hy-AM"/>
        </w:rPr>
        <w:t>5</w:t>
      </w:r>
      <w:r w:rsidRPr="002507D1">
        <w:rPr>
          <w:lang w:val="hy-AM"/>
        </w:rPr>
        <w:t>թ. օգոստոս ամսվա դրությամբ հասանելի նե</w:t>
      </w:r>
      <w:r>
        <w:rPr>
          <w:lang w:val="hy-AM"/>
        </w:rPr>
        <w:t>ր</w:t>
      </w:r>
      <w:r w:rsidRPr="002507D1">
        <w:rPr>
          <w:lang w:val="hy-AM"/>
        </w:rPr>
        <w:t>քին և արտաքին ընթացիկ տնտեսական և ֆինանսական զարգացումները, ինչպես նաև ՀՀ գործընկեր երկրների տնտեսական զարգացումների և հումքային ապրանքների համաշխարհային գների միջազգային կառույցների կողմից արված կանխատեսումները: Մասնավորապես՝</w:t>
      </w:r>
      <w:r>
        <w:rPr>
          <w:lang w:val="hy-AM"/>
        </w:rPr>
        <w:t xml:space="preserve"> </w:t>
      </w:r>
    </w:p>
    <w:p w14:paraId="1DA00C7C" w14:textId="77777777" w:rsidR="00FE3BE4" w:rsidRDefault="00FE3BE4" w:rsidP="00FE3BE4">
      <w:pPr>
        <w:rPr>
          <w:lang w:val="hy-AM"/>
        </w:rPr>
      </w:pPr>
      <w:r>
        <w:rPr>
          <w:noProof/>
        </w:rPr>
        <mc:AlternateContent>
          <mc:Choice Requires="wps">
            <w:drawing>
              <wp:anchor distT="0" distB="0" distL="114300" distR="114300" simplePos="0" relativeHeight="251907072" behindDoc="0" locked="0" layoutInCell="1" allowOverlap="1" wp14:anchorId="32D9A613" wp14:editId="71D5E18D">
                <wp:simplePos x="0" y="0"/>
                <wp:positionH relativeFrom="column">
                  <wp:posOffset>136133</wp:posOffset>
                </wp:positionH>
                <wp:positionV relativeFrom="paragraph">
                  <wp:posOffset>12093</wp:posOffset>
                </wp:positionV>
                <wp:extent cx="6457950" cy="5065159"/>
                <wp:effectExtent l="0" t="0" r="28575" b="21590"/>
                <wp:wrapNone/>
                <wp:docPr id="2" name="Text Box 2"/>
                <wp:cNvGraphicFramePr/>
                <a:graphic xmlns:a="http://schemas.openxmlformats.org/drawingml/2006/main">
                  <a:graphicData uri="http://schemas.microsoft.com/office/word/2010/wordprocessingShape">
                    <wps:wsp>
                      <wps:cNvSpPr txBox="1"/>
                      <wps:spPr>
                        <a:xfrm>
                          <a:off x="0" y="0"/>
                          <a:ext cx="6457950" cy="5065159"/>
                        </a:xfrm>
                        <a:prstGeom prst="rect">
                          <a:avLst/>
                        </a:prstGeom>
                        <a:solidFill>
                          <a:srgbClr val="5B9BD5">
                            <a:lumMod val="20000"/>
                            <a:lumOff val="80000"/>
                          </a:srgbClr>
                        </a:solidFill>
                        <a:ln w="6350">
                          <a:solidFill>
                            <a:srgbClr val="5B9BD5">
                              <a:lumMod val="60000"/>
                              <a:lumOff val="40000"/>
                            </a:srgbClr>
                          </a:solidFill>
                        </a:ln>
                      </wps:spPr>
                      <wps:txbx id="7">
                        <w:txbxContent>
                          <w:p w14:paraId="7A82E758" w14:textId="77777777" w:rsidR="00147C8B" w:rsidRPr="000536EA" w:rsidRDefault="00147C8B" w:rsidP="00FE3BE4">
                            <w:pPr>
                              <w:jc w:val="both"/>
                              <w:rPr>
                                <w:rFonts w:ascii="GHEA Grapalat" w:hAnsi="GHEA Grapalat"/>
                                <w:b/>
                                <w:bCs/>
                                <w:i/>
                                <w:iCs/>
                                <w:sz w:val="20"/>
                                <w:szCs w:val="20"/>
                                <w:lang w:val="hy-AM"/>
                              </w:rPr>
                            </w:pPr>
                            <w:r w:rsidRPr="000536EA">
                              <w:rPr>
                                <w:rFonts w:ascii="GHEA Grapalat" w:hAnsi="GHEA Grapalat"/>
                                <w:b/>
                                <w:bCs/>
                                <w:i/>
                                <w:iCs/>
                                <w:sz w:val="20"/>
                                <w:szCs w:val="20"/>
                                <w:lang w:val="hy-AM"/>
                              </w:rPr>
                              <w:t xml:space="preserve">Ներգիր 1։ Մակրոտնտեսական ցուցանիշների միջնաժամկետ կանխատեսման կիսակառուցվածքային մոդել </w:t>
                            </w:r>
                            <w:r w:rsidRPr="000536EA">
                              <w:rPr>
                                <w:rFonts w:ascii="GHEA Grapalat" w:hAnsi="GHEA Grapalat"/>
                                <w:b/>
                                <w:bCs/>
                                <w:i/>
                                <w:iCs/>
                                <w:sz w:val="20"/>
                                <w:szCs w:val="20"/>
                              </w:rPr>
                              <w:t>(Semi-Structural Gap/SSGM)</w:t>
                            </w:r>
                          </w:p>
                          <w:p w14:paraId="0AF20DD6" w14:textId="77777777" w:rsidR="00147C8B" w:rsidRPr="000536EA" w:rsidRDefault="00147C8B" w:rsidP="00FE3BE4">
                            <w:pPr>
                              <w:spacing w:after="0"/>
                              <w:ind w:firstLine="720"/>
                              <w:jc w:val="both"/>
                              <w:rPr>
                                <w:rFonts w:ascii="GHEA Grapalat" w:hAnsi="GHEA Grapalat"/>
                                <w:sz w:val="20"/>
                                <w:szCs w:val="20"/>
                                <w:lang w:val="hy-AM"/>
                              </w:rPr>
                            </w:pPr>
                            <w:r w:rsidRPr="000536EA">
                              <w:rPr>
                                <w:rFonts w:ascii="GHEA Grapalat" w:hAnsi="GHEA Grapalat"/>
                                <w:sz w:val="20"/>
                                <w:szCs w:val="20"/>
                                <w:lang w:val="hy-AM"/>
                              </w:rPr>
                              <w:t>Հայաստանի Հանրապետության Ֆինանսների նախարարությունը Արժույթի միջազգային հիմնադրամի փորձագետների հետ համագործակցությամբ 2023-2025թթ. ընթացքում մշակել է մակրոտնտեսական ցուցանիշների կանխատեսման միասնական համակարգ, որը միտված է էապես բարձրացնելու ռազմավարական փաստաթղթերի (ՀՀ պետական բյուջեի նախագիծ և միջնաժամկետ ծախսերի ծրագիր) մշակման գործընթացի արդյունավետությունը՝ միջնաժամկետ կանխատեսումների համատեքստում։ Գործիքի ներդրումը նպատակ ունի բարելավել հարկաբյուջետային քաղաքականության որոշումները, դրա մշակումը դարձնել առավել նպատակային և հիմնավորված, ի վերջո նպատակ հետապնդելով ապահովել հարկաբյուջետային կայունությունը:</w:t>
                            </w:r>
                          </w:p>
                          <w:p w14:paraId="03098FC1" w14:textId="77777777" w:rsidR="00147C8B" w:rsidRPr="000536EA" w:rsidRDefault="00147C8B" w:rsidP="00FE3BE4">
                            <w:pPr>
                              <w:spacing w:after="0"/>
                              <w:ind w:firstLine="720"/>
                              <w:jc w:val="both"/>
                              <w:rPr>
                                <w:rFonts w:ascii="GHEA Grapalat" w:hAnsi="GHEA Grapalat"/>
                                <w:sz w:val="20"/>
                                <w:szCs w:val="20"/>
                                <w:lang w:val="hy-AM"/>
                              </w:rPr>
                            </w:pPr>
                            <w:r w:rsidRPr="000536EA">
                              <w:rPr>
                                <w:rFonts w:ascii="GHEA Grapalat" w:hAnsi="GHEA Grapalat"/>
                                <w:sz w:val="20"/>
                                <w:szCs w:val="20"/>
                                <w:lang w:val="hy-AM"/>
                              </w:rPr>
                              <w:t>Համակարգը ապահովում է կանխատեսումների ներդաշնակությունը, հնարավորություն է տալիս մակրոտնտեսական ցուցանիշների միջնաժամկետ կանխատեսումները իրականացնել առավել արդյունավետ, ընդլայնում է նախարարության կարողությունները՝ համապարփակ և համադրելի</w:t>
                            </w:r>
                            <w:r>
                              <w:rPr>
                                <w:rFonts w:ascii="GHEA Grapalat" w:hAnsi="GHEA Grapalat"/>
                                <w:sz w:val="20"/>
                                <w:szCs w:val="20"/>
                                <w:lang w:val="hy-AM"/>
                              </w:rPr>
                              <w:t xml:space="preserve"> </w:t>
                            </w:r>
                            <w:r w:rsidRPr="000536EA">
                              <w:rPr>
                                <w:rFonts w:ascii="GHEA Grapalat" w:hAnsi="GHEA Grapalat"/>
                                <w:sz w:val="20"/>
                                <w:szCs w:val="20"/>
                                <w:lang w:val="hy-AM"/>
                              </w:rPr>
                              <w:t>մակրոտնտեսական կանխատեսումներ իրականացնելու, ինչպես նաև տարբեր տնտեսական և աշխարհաքաղաքական պայմաններում այլընտրանքային սցենարներ ձևավորելու ուղղությամբ:</w:t>
                            </w:r>
                          </w:p>
                          <w:p w14:paraId="20DC9DC1" w14:textId="77777777" w:rsidR="00147C8B" w:rsidRPr="000536EA" w:rsidRDefault="00147C8B" w:rsidP="00FE3BE4">
                            <w:pPr>
                              <w:spacing w:after="0"/>
                              <w:ind w:firstLine="720"/>
                              <w:jc w:val="both"/>
                              <w:rPr>
                                <w:rFonts w:ascii="GHEA Grapalat" w:hAnsi="GHEA Grapalat"/>
                                <w:sz w:val="20"/>
                                <w:szCs w:val="20"/>
                                <w:lang w:val="hy-AM"/>
                              </w:rPr>
                            </w:pPr>
                            <w:r w:rsidRPr="000536EA">
                              <w:rPr>
                                <w:rFonts w:ascii="GHEA Grapalat" w:hAnsi="GHEA Grapalat"/>
                                <w:sz w:val="20"/>
                                <w:szCs w:val="20"/>
                                <w:lang w:val="hy-AM"/>
                              </w:rPr>
                              <w:t xml:space="preserve">Այս գործիքը հնարավորություն է տալիս ավելի հստակ պատկերացում կազմել տնտեսության հետագծի, պարբերաշրջանային զարգացումների մասին և բարձրացնում է մակրոտնտեսական կանխատեսումների որակը, միևնույն ժամանակ գնահատելով պետական ծախսերի, առանձին հարկատեսակների և պարտքի կայունության մակրոտնտեսական ազդեցությունները։ Գործիքը հնարավորություն է տալիս ապահովել Կառավարության կողմից պլանավորվող պետական ծախսերի ու պակասուրդի համապատասխանությունը «Բյուջետային համակարգի մասին» օրենքով սահմանված հարկաբյուջետային կանոններին, բացի այդ, այն բարելավում է քաղաքականության թափանցիկությունն ու հրապարակային հաղորդակցությունը:  </w:t>
                            </w:r>
                          </w:p>
                          <w:p w14:paraId="4A9CC943" w14:textId="77777777" w:rsidR="00147C8B" w:rsidRPr="000536EA" w:rsidRDefault="00147C8B" w:rsidP="00FE3BE4">
                            <w:pPr>
                              <w:spacing w:after="0"/>
                              <w:ind w:firstLine="720"/>
                              <w:jc w:val="both"/>
                              <w:rPr>
                                <w:rFonts w:ascii="GHEA Grapalat" w:hAnsi="GHEA Grapalat"/>
                                <w:sz w:val="20"/>
                                <w:szCs w:val="20"/>
                                <w:lang w:val="hy-AM"/>
                              </w:rPr>
                            </w:pPr>
                            <w:r w:rsidRPr="000536EA">
                              <w:rPr>
                                <w:rFonts w:ascii="GHEA Grapalat" w:hAnsi="GHEA Grapalat"/>
                                <w:sz w:val="20"/>
                                <w:szCs w:val="20"/>
                                <w:lang w:val="hy-AM"/>
                              </w:rPr>
                              <w:t>Այսպիսով, մակրոտնտեսական ցուցանիշների կանխատեսման նոր մոդելը առաջահայաց է (forward-looking), կիսակառուցվածքային և բաղկացած է տնտեսությունը բնութագրող հիմնական բաժիններից։ Տնտեսության իրական հատվածը ներկայացնող բաժինը բնութագրում է տնտեսական ակտիվությունը, մասնավորապես՝ ՀՆԱ ծախսային բաղադրիչների երկարաժամկետ միտումները, պարբերաշրջանային տատանումները և գնային զարգացումները: Մոդելի արտաքին հատվածը բնութագրում է ՀՀ՝ խոշոր առևտրային գործընկերների հետ փոխհարաբերությունները՝ ներառելով արտաքին տնտեսական միջավայրը բնութագրող մակրոտնտեսական հիմնարարները՝ արտահանումը, ներմուծումը, փոխարժեքը, դրամական փոխանցումները: Հարկաբյուջետային հատվածը ընդգրկում է պետական եկամուտները՝ ներառյալ հիմնական խոշոր հարկատեսակները (ԱԱՀ, եկամտային հարկ, շահութահարկ, մաքսատուրք և այլ հարկեր), ծախսերը, պետական պարտքը, բյուջեի պակասուրդը և հարկաբյուջետային կանոնները։ Մոդելում զետեղված է նաև դրամավարկային հատված՝ քաղաքականության արձագանքման ֆունկցիայի տեսքով: Արդյունքում, մոդելը հնարավորություն է ընձեռում համադրել տնտեսության վերոնշյալ հիմնական հատվածները, ինչպես նաև տնտեսական զարգացումները բնութագրել և կանխատեսել համակարգի ներսում՝ հաշվի առնելով վերոնշյալ հատվածների միջև առկա կապերն ու փոխազդեցությունները։</w:t>
                            </w:r>
                          </w:p>
                          <w:p w14:paraId="7BE1D924" w14:textId="77777777" w:rsidR="00147C8B" w:rsidRPr="000536EA" w:rsidRDefault="00147C8B" w:rsidP="00FE3BE4">
                            <w:pPr>
                              <w:spacing w:after="0"/>
                              <w:ind w:firstLine="720"/>
                              <w:jc w:val="both"/>
                              <w:rPr>
                                <w:rFonts w:ascii="GHEA Grapalat" w:hAnsi="GHEA Grapalat"/>
                                <w:sz w:val="20"/>
                                <w:szCs w:val="20"/>
                                <w:lang w:val="hy-AM"/>
                              </w:rPr>
                            </w:pPr>
                            <w:r w:rsidRPr="000536EA">
                              <w:rPr>
                                <w:rFonts w:ascii="GHEA Grapalat" w:hAnsi="GHEA Grapalat"/>
                                <w:sz w:val="20"/>
                                <w:szCs w:val="20"/>
                                <w:lang w:val="hy-AM"/>
                              </w:rPr>
                              <w:t xml:space="preserve"> </w:t>
                            </w:r>
                            <w:r w:rsidRPr="000536EA">
                              <w:rPr>
                                <w:rFonts w:ascii="GHEA Grapalat" w:hAnsi="GHEA Grapalat"/>
                                <w:sz w:val="20"/>
                                <w:szCs w:val="20"/>
                                <w:lang w:val="hy-AM"/>
                              </w:rPr>
                              <w:tab/>
                              <w:t>Կանխատեսումների գործիքի մշակման նախնական փուլն արդեն ավարտված է, և այն ներկայումս վավերացման փուլում է։ Այս ընթացքում ֆինանսների նախարարությունը կգնահատի գործիքի արդյունավետությունը կանխատեսումների և բյուջեի պլանավորման շրջանում։ Համակարգի լիարժեք ներդրումից հետո այն առանցքային դեր կունենա նախարարության մակրոֆիսկալ շրջանակի ձևավորման, ռիսկերի գնահատման և սցենարային վերլուծության գործընթացում՝ ներառյալ պետական բյուջեի և միջնաժամկետ ծախսերի ծրագրի մշակման գործընթացներում։</w:t>
                            </w:r>
                          </w:p>
                          <w:p w14:paraId="22543710" w14:textId="77777777" w:rsidR="00147C8B" w:rsidRPr="000536EA" w:rsidRDefault="00147C8B" w:rsidP="00FE3BE4">
                            <w:pPr>
                              <w:spacing w:after="0"/>
                              <w:ind w:firstLine="720"/>
                              <w:jc w:val="both"/>
                              <w:rPr>
                                <w:rFonts w:ascii="GHEA Grapalat" w:hAnsi="GHEA Grapalat"/>
                                <w:sz w:val="20"/>
                                <w:szCs w:val="20"/>
                                <w:lang w:val="hy-AM"/>
                              </w:rPr>
                            </w:pPr>
                            <w:r w:rsidRPr="000536EA">
                              <w:rPr>
                                <w:rFonts w:ascii="GHEA Grapalat" w:hAnsi="GHEA Grapalat"/>
                                <w:sz w:val="20"/>
                                <w:szCs w:val="20"/>
                                <w:lang w:val="hy-AM"/>
                              </w:rPr>
                              <w:t xml:space="preserve">Ստորև ներկայացված են մոդելի կիրառմամբ իրականացված որոշ արդյունքներ: </w:t>
                            </w:r>
                            <w:r w:rsidRPr="000536EA">
                              <w:rPr>
                                <w:rFonts w:ascii="GHEA Grapalat" w:hAnsi="GHEA Grapalat"/>
                                <w:sz w:val="20"/>
                                <w:szCs w:val="20"/>
                                <w:lang w:val="hy-AM"/>
                              </w:rPr>
                              <w:tab/>
                            </w:r>
                          </w:p>
                          <w:tbl>
                            <w:tblPr>
                              <w:tblW w:w="0" w:type="auto"/>
                              <w:tblLook w:val="04A0" w:firstRow="1" w:lastRow="0" w:firstColumn="1" w:lastColumn="0" w:noHBand="0" w:noVBand="1"/>
                            </w:tblPr>
                            <w:tblGrid>
                              <w:gridCol w:w="4971"/>
                              <w:gridCol w:w="4971"/>
                            </w:tblGrid>
                            <w:tr w:rsidR="00147C8B" w:rsidRPr="007645A6" w14:paraId="2AE1264A" w14:textId="77777777" w:rsidTr="008D4E1E">
                              <w:tc>
                                <w:tcPr>
                                  <w:tcW w:w="4918" w:type="dxa"/>
                                  <w:hideMark/>
                                </w:tcPr>
                                <w:p w14:paraId="13D11364" w14:textId="73F0D907" w:rsidR="00147C8B" w:rsidRPr="003625D6" w:rsidRDefault="00147C8B" w:rsidP="008D4E1E">
                                  <w:pPr>
                                    <w:pStyle w:val="Charts"/>
                                    <w:spacing w:before="0"/>
                                    <w:contextualSpacing/>
                                    <w:rPr>
                                      <w:b w:val="0"/>
                                      <w:sz w:val="20"/>
                                    </w:rPr>
                                  </w:pPr>
                                  <w:r w:rsidRPr="000536EA">
                                    <w:rPr>
                                      <w:b w:val="0"/>
                                      <w:sz w:val="20"/>
                                    </w:rPr>
                                    <w:t>Գծապատկեր 1. ՀՆԱ ճեղքը</w:t>
                                  </w:r>
                                  <w:r>
                                    <w:rPr>
                                      <w:b w:val="0"/>
                                      <w:sz w:val="20"/>
                                    </w:rPr>
                                    <w:t xml:space="preserve"> </w:t>
                                  </w:r>
                                  <w:r w:rsidRPr="003625D6">
                                    <w:rPr>
                                      <w:b w:val="0"/>
                                      <w:sz w:val="20"/>
                                    </w:rPr>
                                    <w:t>(%)</w:t>
                                  </w:r>
                                  <w:r w:rsidRPr="000536EA">
                                    <w:rPr>
                                      <w:b w:val="0"/>
                                      <w:sz w:val="20"/>
                                    </w:rPr>
                                    <w:t>՝ ըստ ծախսային բաղադրիչների</w:t>
                                  </w:r>
                                  <w:r>
                                    <w:rPr>
                                      <w:b w:val="0"/>
                                      <w:sz w:val="20"/>
                                    </w:rPr>
                                    <w:t xml:space="preserve">  </w:t>
                                  </w:r>
                                  <w:r w:rsidRPr="003625D6">
                                    <w:rPr>
                                      <w:b w:val="0"/>
                                      <w:sz w:val="20"/>
                                    </w:rPr>
                                    <w:t>(%</w:t>
                                  </w:r>
                                  <w:r>
                                    <w:rPr>
                                      <w:b w:val="0"/>
                                      <w:sz w:val="20"/>
                                    </w:rPr>
                                    <w:t>-ային կետ</w:t>
                                  </w:r>
                                  <w:r w:rsidRPr="003625D6">
                                    <w:rPr>
                                      <w:b w:val="0"/>
                                      <w:sz w:val="20"/>
                                    </w:rPr>
                                    <w:t>)</w:t>
                                  </w:r>
                                </w:p>
                              </w:tc>
                              <w:tc>
                                <w:tcPr>
                                  <w:tcW w:w="4828" w:type="dxa"/>
                                  <w:hideMark/>
                                </w:tcPr>
                                <w:p w14:paraId="56E1AE1B" w14:textId="77777777" w:rsidR="00147C8B" w:rsidRPr="000536EA" w:rsidRDefault="00147C8B" w:rsidP="008D4E1E">
                                  <w:pPr>
                                    <w:pStyle w:val="Charts"/>
                                    <w:spacing w:before="0"/>
                                    <w:contextualSpacing/>
                                    <w:rPr>
                                      <w:b w:val="0"/>
                                      <w:sz w:val="20"/>
                                    </w:rPr>
                                  </w:pPr>
                                  <w:r w:rsidRPr="000536EA">
                                    <w:rPr>
                                      <w:b w:val="0"/>
                                      <w:sz w:val="20"/>
                                    </w:rPr>
                                    <w:t xml:space="preserve">Գծապատկեր 2. Տնտեսական աճի կանխատեսումների հավանականային բաշխումը </w:t>
                                  </w:r>
                                </w:p>
                              </w:tc>
                            </w:tr>
                            <w:tr w:rsidR="00147C8B" w:rsidRPr="00812204" w14:paraId="799D9278" w14:textId="77777777" w:rsidTr="008D4E1E">
                              <w:tc>
                                <w:tcPr>
                                  <w:tcW w:w="4918" w:type="dxa"/>
                                  <w:hideMark/>
                                </w:tcPr>
                                <w:p w14:paraId="1A86AE9D" w14:textId="77777777" w:rsidR="00147C8B" w:rsidRPr="00C3014C" w:rsidRDefault="00147C8B" w:rsidP="008D4E1E">
                                  <w:pPr>
                                    <w:contextualSpacing/>
                                    <w:jc w:val="both"/>
                                  </w:pPr>
                                  <w:r w:rsidRPr="00741675">
                                    <w:rPr>
                                      <w:noProof/>
                                    </w:rPr>
                                    <w:drawing>
                                      <wp:inline distT="0" distB="0" distL="0" distR="0" wp14:anchorId="30BE1F8D" wp14:editId="6C3E609C">
                                        <wp:extent cx="3019425" cy="1941816"/>
                                        <wp:effectExtent l="0" t="0" r="0" b="1905"/>
                                        <wp:docPr id="1545876417" name="Picture 1545876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3056743" cy="1965816"/>
                                                </a:xfrm>
                                                <a:prstGeom prst="rect">
                                                  <a:avLst/>
                                                </a:prstGeom>
                                                <a:noFill/>
                                                <a:ln>
                                                  <a:noFill/>
                                                </a:ln>
                                              </pic:spPr>
                                            </pic:pic>
                                          </a:graphicData>
                                        </a:graphic>
                                      </wp:inline>
                                    </w:drawing>
                                  </w:r>
                                </w:p>
                              </w:tc>
                              <w:tc>
                                <w:tcPr>
                                  <w:tcW w:w="4828" w:type="dxa"/>
                                  <w:hideMark/>
                                </w:tcPr>
                                <w:p w14:paraId="3BE58CAF" w14:textId="5F3CE89A" w:rsidR="00147C8B" w:rsidRDefault="00147C8B" w:rsidP="008D4E1E">
                                  <w:pPr>
                                    <w:pStyle w:val="NormalWeb"/>
                                    <w:contextualSpacing/>
                                  </w:pPr>
                                  <w:r w:rsidRPr="00A22F7D">
                                    <w:rPr>
                                      <w:noProof/>
                                      <w:lang w:val="en-US" w:eastAsia="en-US"/>
                                    </w:rPr>
                                    <w:drawing>
                                      <wp:inline distT="0" distB="0" distL="0" distR="0" wp14:anchorId="3EB44226" wp14:editId="6AC52CBE">
                                        <wp:extent cx="3019425" cy="1880171"/>
                                        <wp:effectExtent l="0" t="0" r="0" b="1905"/>
                                        <wp:docPr id="1545876420" name="Picture 1545876420" descr="C:\QPM\Intro\Model\qmff_prod\amf2025Sept\reports\fig\amf2025Sept_fc_D4L_GD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QPM\Intro\Model\qmff_prod\amf2025Sept\reports\fig\amf2025Sept_fc_D4L_GDP.png"/>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3019425" cy="1880171"/>
                                                </a:xfrm>
                                                <a:prstGeom prst="rect">
                                                  <a:avLst/>
                                                </a:prstGeom>
                                                <a:noFill/>
                                                <a:ln>
                                                  <a:noFill/>
                                                </a:ln>
                                              </pic:spPr>
                                            </pic:pic>
                                          </a:graphicData>
                                        </a:graphic>
                                      </wp:inline>
                                    </w:drawing>
                                  </w:r>
                                </w:p>
                                <w:p w14:paraId="7052F2A2" w14:textId="77777777" w:rsidR="00147C8B" w:rsidRDefault="00147C8B" w:rsidP="008D4E1E">
                                  <w:pPr>
                                    <w:pStyle w:val="NormalWeb"/>
                                    <w:contextualSpacing/>
                                  </w:pPr>
                                </w:p>
                                <w:p w14:paraId="3933219F" w14:textId="77777777" w:rsidR="00147C8B" w:rsidRPr="00812204" w:rsidRDefault="00147C8B" w:rsidP="008D4E1E">
                                  <w:pPr>
                                    <w:pStyle w:val="a0"/>
                                    <w:contextualSpacing/>
                                    <w:rPr>
                                      <w:lang w:val="hy-AM" w:eastAsia="ru-RU"/>
                                    </w:rPr>
                                  </w:pPr>
                                </w:p>
                              </w:tc>
                            </w:tr>
                          </w:tbl>
                          <w:p w14:paraId="2D091143" w14:textId="77777777" w:rsidR="00147C8B" w:rsidRDefault="00147C8B" w:rsidP="00FE3BE4">
                            <w:pPr>
                              <w:spacing w:after="0"/>
                              <w:jc w:val="both"/>
                              <w:rPr>
                                <w:rFonts w:ascii="GHEA Grapalat" w:hAnsi="GHEA Grapalat"/>
                                <w:sz w:val="18"/>
                                <w:szCs w:val="18"/>
                                <w:lang w:val="hy-AM"/>
                              </w:rPr>
                            </w:pPr>
                          </w:p>
                          <w:p w14:paraId="4FE800FE" w14:textId="77777777" w:rsidR="00147C8B" w:rsidRDefault="00147C8B" w:rsidP="00FE3BE4">
                            <w:pPr>
                              <w:spacing w:after="0"/>
                              <w:jc w:val="both"/>
                              <w:rPr>
                                <w:rFonts w:ascii="GHEA Grapalat" w:hAnsi="GHEA Grapalat"/>
                                <w:sz w:val="18"/>
                                <w:szCs w:val="18"/>
                                <w:lang w:val="hy-AM"/>
                              </w:rPr>
                            </w:pPr>
                          </w:p>
                          <w:p w14:paraId="127AFF52" w14:textId="77777777" w:rsidR="00147C8B" w:rsidRPr="00E4756A" w:rsidRDefault="00147C8B" w:rsidP="00FE3BE4">
                            <w:pPr>
                              <w:spacing w:after="0"/>
                              <w:jc w:val="both"/>
                              <w:rPr>
                                <w:rFonts w:ascii="GHEA Grapalat" w:hAnsi="GHEA Grapalat"/>
                                <w:sz w:val="18"/>
                                <w:szCs w:val="18"/>
                                <w:lang w:val="hy-AM"/>
                              </w:rPr>
                            </w:pPr>
                            <w:r w:rsidRPr="008B3F87">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p>
                          <w:p w14:paraId="13A1A79C" w14:textId="77777777" w:rsidR="00147C8B" w:rsidRPr="00E4756A" w:rsidRDefault="00147C8B" w:rsidP="00FE3BE4">
                            <w:pPr>
                              <w:rPr>
                                <w:lang w:val="hy-AM"/>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2D9A613" id="_x0000_t202" coordsize="21600,21600" o:spt="202" path="m,l,21600r21600,l21600,xe">
                <v:stroke joinstyle="miter"/>
                <v:path gradientshapeok="t" o:connecttype="rect"/>
              </v:shapetype>
              <v:shape id="Text Box 2" o:spid="_x0000_s1032" type="#_x0000_t202" style="position:absolute;margin-left:10.7pt;margin-top:.95pt;width:508.5pt;height:398.85pt;z-index:251907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" fillcolor="#deebf7" strokecolor="#9dc3e6" strokeweight=".5pt">
                <v:textbox style="mso-next-textbox:#Text Box 25">
                  <w:txbxContent>
                    <w:p w14:paraId="7A82E758" w14:textId="77777777" w:rsidR="00147C8B" w:rsidRPr="000536EA" w:rsidRDefault="00147C8B" w:rsidP="00FE3BE4">
                      <w:pPr>
                        <w:jc w:val="both"/>
                        <w:rPr>
                          <w:rFonts w:ascii="GHEA Grapalat" w:hAnsi="GHEA Grapalat"/>
                          <w:b/>
                          <w:bCs/>
                          <w:i/>
                          <w:iCs/>
                          <w:sz w:val="20"/>
                          <w:szCs w:val="20"/>
                          <w:lang w:val="hy-AM"/>
                        </w:rPr>
                      </w:pPr>
                      <w:r w:rsidRPr="000536EA">
                        <w:rPr>
                          <w:rFonts w:ascii="GHEA Grapalat" w:hAnsi="GHEA Grapalat"/>
                          <w:b/>
                          <w:bCs/>
                          <w:i/>
                          <w:iCs/>
                          <w:sz w:val="20"/>
                          <w:szCs w:val="20"/>
                          <w:lang w:val="hy-AM"/>
                        </w:rPr>
                        <w:t xml:space="preserve">Ներգիր 1։ Մակրոտնտեսական ցուցանիշների միջնաժամկետ կանխատեսման կիսակառուցվածքային մոդել </w:t>
                      </w:r>
                      <w:r w:rsidRPr="000536EA">
                        <w:rPr>
                          <w:rFonts w:ascii="GHEA Grapalat" w:hAnsi="GHEA Grapalat"/>
                          <w:b/>
                          <w:bCs/>
                          <w:i/>
                          <w:iCs/>
                          <w:sz w:val="20"/>
                          <w:szCs w:val="20"/>
                        </w:rPr>
                        <w:t>(Semi-Structural Gap/SSGM)</w:t>
                      </w:r>
                    </w:p>
                    <w:p w14:paraId="0AF20DD6" w14:textId="77777777" w:rsidR="00147C8B" w:rsidRPr="000536EA" w:rsidRDefault="00147C8B" w:rsidP="00FE3BE4">
                      <w:pPr>
                        <w:spacing w:after="0"/>
                        <w:ind w:firstLine="720"/>
                        <w:jc w:val="both"/>
                        <w:rPr>
                          <w:rFonts w:ascii="GHEA Grapalat" w:hAnsi="GHEA Grapalat"/>
                          <w:sz w:val="20"/>
                          <w:szCs w:val="20"/>
                          <w:lang w:val="hy-AM"/>
                        </w:rPr>
                      </w:pPr>
                      <w:r w:rsidRPr="000536EA">
                        <w:rPr>
                          <w:rFonts w:ascii="GHEA Grapalat" w:hAnsi="GHEA Grapalat"/>
                          <w:sz w:val="20"/>
                          <w:szCs w:val="20"/>
                          <w:lang w:val="hy-AM"/>
                        </w:rPr>
                        <w:t>Հայաստանի Հանրապետության Ֆինանսների նախարարությունը Արժույթի միջազգային հիմնադրամի փորձագետների հետ համագործակցությամբ 2023-2025թթ. ընթացքում մշակել է մակրոտնտեսական ցուցանիշների կանխատեսման միասնական համակարգ, որը միտված է էապես բարձրացնելու ռազմավարական փաստաթղթերի (ՀՀ պետական բյուջեի նախագիծ և միջնաժամկետ ծախսերի ծրագիր) մշակման գործընթացի արդյունավետությունը՝ միջնաժամկետ կանխատեսումների համատեքստում։ Գործիքի ներդրումը նպատակ ունի բարելավել հարկաբյուջետային քաղաքականության որոշումները, դրա մշակումը դարձնել առավել նպատակային և հիմնավորված, ի վերջո նպատակ հետապնդելով ապահովել հարկաբյուջետային կայունությունը:</w:t>
                      </w:r>
                    </w:p>
                    <w:p w14:paraId="03098FC1" w14:textId="77777777" w:rsidR="00147C8B" w:rsidRPr="000536EA" w:rsidRDefault="00147C8B" w:rsidP="00FE3BE4">
                      <w:pPr>
                        <w:spacing w:after="0"/>
                        <w:ind w:firstLine="720"/>
                        <w:jc w:val="both"/>
                        <w:rPr>
                          <w:rFonts w:ascii="GHEA Grapalat" w:hAnsi="GHEA Grapalat"/>
                          <w:sz w:val="20"/>
                          <w:szCs w:val="20"/>
                          <w:lang w:val="hy-AM"/>
                        </w:rPr>
                      </w:pPr>
                      <w:r w:rsidRPr="000536EA">
                        <w:rPr>
                          <w:rFonts w:ascii="GHEA Grapalat" w:hAnsi="GHEA Grapalat"/>
                          <w:sz w:val="20"/>
                          <w:szCs w:val="20"/>
                          <w:lang w:val="hy-AM"/>
                        </w:rPr>
                        <w:t>Համակարգը ապահովում է կանխատեսումների ներդաշնակությունը, հնարավորություն է տալիս մակրոտնտեսական ցուցանիշների միջնաժամկետ կանխատեսումները իրականացնել առավել արդյունավետ, ընդլայնում է նախարարության կարողությունները՝ համապարփակ և համադրելի</w:t>
                      </w:r>
                      <w:r>
                        <w:rPr>
                          <w:rFonts w:ascii="GHEA Grapalat" w:hAnsi="GHEA Grapalat"/>
                          <w:sz w:val="20"/>
                          <w:szCs w:val="20"/>
                          <w:lang w:val="hy-AM"/>
                        </w:rPr>
                        <w:t xml:space="preserve"> </w:t>
                      </w:r>
                      <w:r w:rsidRPr="000536EA">
                        <w:rPr>
                          <w:rFonts w:ascii="GHEA Grapalat" w:hAnsi="GHEA Grapalat"/>
                          <w:sz w:val="20"/>
                          <w:szCs w:val="20"/>
                          <w:lang w:val="hy-AM"/>
                        </w:rPr>
                        <w:t>մակրոտնտեսական կանխատեսումներ իրականացնելու, ինչպես նաև տարբեր տնտեսական և աշխարհաքաղաքական պայմաններում այլընտրանքային սցենարներ ձևավորելու ուղղությամբ:</w:t>
                      </w:r>
                    </w:p>
                    <w:p w14:paraId="20DC9DC1" w14:textId="77777777" w:rsidR="00147C8B" w:rsidRPr="000536EA" w:rsidRDefault="00147C8B" w:rsidP="00FE3BE4">
                      <w:pPr>
                        <w:spacing w:after="0"/>
                        <w:ind w:firstLine="720"/>
                        <w:jc w:val="both"/>
                        <w:rPr>
                          <w:rFonts w:ascii="GHEA Grapalat" w:hAnsi="GHEA Grapalat"/>
                          <w:sz w:val="20"/>
                          <w:szCs w:val="20"/>
                          <w:lang w:val="hy-AM"/>
                        </w:rPr>
                      </w:pPr>
                      <w:r w:rsidRPr="000536EA">
                        <w:rPr>
                          <w:rFonts w:ascii="GHEA Grapalat" w:hAnsi="GHEA Grapalat"/>
                          <w:sz w:val="20"/>
                          <w:szCs w:val="20"/>
                          <w:lang w:val="hy-AM"/>
                        </w:rPr>
                        <w:t xml:space="preserve">Այս գործիքը հնարավորություն է տալիս ավելի հստակ պատկերացում կազմել տնտեսության հետագծի, պարբերաշրջանային զարգացումների մասին և բարձրացնում է մակրոտնտեսական կանխատեսումների որակը, միևնույն ժամանակ գնահատելով պետական ծախսերի, առանձին հարկատեսակների և պարտքի կայունության մակրոտնտեսական ազդեցությունները։ Գործիքը հնարավորություն է տալիս ապահովել Կառավարության կողմից պլանավորվող պետական ծախսերի ու պակասուրդի համապատասխանությունը «Բյուջետային համակարգի մասին» օրենքով սահմանված հարկաբյուջետային կանոններին, բացի այդ, այն բարելավում է քաղաքականության թափանցիկությունն ու հրապարակային հաղորդակցությունը:  </w:t>
                      </w:r>
                    </w:p>
                    <w:p w14:paraId="4A9CC943" w14:textId="77777777" w:rsidR="00147C8B" w:rsidRPr="000536EA" w:rsidRDefault="00147C8B" w:rsidP="00FE3BE4">
                      <w:pPr>
                        <w:spacing w:after="0"/>
                        <w:ind w:firstLine="720"/>
                        <w:jc w:val="both"/>
                        <w:rPr>
                          <w:rFonts w:ascii="GHEA Grapalat" w:hAnsi="GHEA Grapalat"/>
                          <w:sz w:val="20"/>
                          <w:szCs w:val="20"/>
                          <w:lang w:val="hy-AM"/>
                        </w:rPr>
                      </w:pPr>
                      <w:r w:rsidRPr="000536EA">
                        <w:rPr>
                          <w:rFonts w:ascii="GHEA Grapalat" w:hAnsi="GHEA Grapalat"/>
                          <w:sz w:val="20"/>
                          <w:szCs w:val="20"/>
                          <w:lang w:val="hy-AM"/>
                        </w:rPr>
                        <w:t>Այսպիսով, մակրոտնտեսական ցուցանիշների կանխատեսման նոր մոդելը առաջահայաց է (forward-looking), կիսակառուցվածքային և բաղկացած է տնտեսությունը բնութագրող հիմնական բաժիններից։ Տնտեսության իրական հատվածը ներկայացնող բաժինը բնութագրում է տնտեսական ակտիվությունը, մասնավորապես՝ ՀՆԱ ծախսային բաղադրիչների երկարաժամկետ միտումները, պարբերաշրջանային տատանումները և գնային զարգացումները: Մոդելի արտաքին հատվածը բնութագրում է ՀՀ՝ խոշոր առևտրային գործընկերների հետ փոխհարաբերությունները՝ ներառելով արտաքին տնտեսական միջավայրը բնութագրող մակրոտնտեսական հիմնարարները՝ արտահանումը, ներմուծումը, փոխարժեքը, դրամական փոխանցումները: Հարկաբյուջետային հատվածը ընդգրկում է պետական եկամուտները՝ ներառյալ հիմնական խոշոր հարկատեսակները (ԱԱՀ, եկամտային հարկ, շահութահարկ, մաքսատուրք և այլ հարկեր), ծախսերը, պետական պարտքը, բյուջեի պակասուրդը և հարկաբյուջետային կանոնները։ Մոդելում զետեղված է նաև դրամավարկային հատված՝ քաղաքականության արձագանքման ֆունկցիայի տեսքով: Արդյունքում, մոդելը հնարավորություն է ընձեռում համադրել տնտեսության վերոնշյալ հիմնական հատվածները, ինչպես նաև տնտեսական զարգացումները բնութագրել և կանխատեսել համակարգի ներսում՝ հաշվի առնելով վերոնշյալ հատվածների միջև առկա կապերն ու փոխազդեցությունները։</w:t>
                      </w:r>
                    </w:p>
                    <w:p w14:paraId="7BE1D924" w14:textId="77777777" w:rsidR="00147C8B" w:rsidRPr="000536EA" w:rsidRDefault="00147C8B" w:rsidP="00FE3BE4">
                      <w:pPr>
                        <w:spacing w:after="0"/>
                        <w:ind w:firstLine="720"/>
                        <w:jc w:val="both"/>
                        <w:rPr>
                          <w:rFonts w:ascii="GHEA Grapalat" w:hAnsi="GHEA Grapalat"/>
                          <w:sz w:val="20"/>
                          <w:szCs w:val="20"/>
                          <w:lang w:val="hy-AM"/>
                        </w:rPr>
                      </w:pPr>
                      <w:r w:rsidRPr="000536EA">
                        <w:rPr>
                          <w:rFonts w:ascii="GHEA Grapalat" w:hAnsi="GHEA Grapalat"/>
                          <w:sz w:val="20"/>
                          <w:szCs w:val="20"/>
                          <w:lang w:val="hy-AM"/>
                        </w:rPr>
                        <w:t xml:space="preserve"> </w:t>
                      </w:r>
                      <w:r w:rsidRPr="000536EA">
                        <w:rPr>
                          <w:rFonts w:ascii="GHEA Grapalat" w:hAnsi="GHEA Grapalat"/>
                          <w:sz w:val="20"/>
                          <w:szCs w:val="20"/>
                          <w:lang w:val="hy-AM"/>
                        </w:rPr>
                        <w:tab/>
                        <w:t>Կանխատեսումների գործիքի մշակման նախնական փուլն արդեն ավարտված է, և այն ներկայումս վավերացման փուլում է։ Այս ընթացքում ֆինանսների նախարարությունը կգնահատի գործիքի արդյունավետությունը կանխատեսումների և բյուջեի պլանավորման շրջանում։ Համակարգի լիարժեք ներդրումից հետո այն առանցքային դեր կունենա նախարարության մակրոֆիսկալ շրջանակի ձևավորման, ռիսկերի գնահատման և սցենարային վերլուծության գործընթացում՝ ներառյալ պետական բյուջեի և միջնաժամկետ ծախսերի ծրագրի մշակման գործընթացներում։</w:t>
                      </w:r>
                    </w:p>
                    <w:p w14:paraId="22543710" w14:textId="77777777" w:rsidR="00147C8B" w:rsidRPr="000536EA" w:rsidRDefault="00147C8B" w:rsidP="00FE3BE4">
                      <w:pPr>
                        <w:spacing w:after="0"/>
                        <w:ind w:firstLine="720"/>
                        <w:jc w:val="both"/>
                        <w:rPr>
                          <w:rFonts w:ascii="GHEA Grapalat" w:hAnsi="GHEA Grapalat"/>
                          <w:sz w:val="20"/>
                          <w:szCs w:val="20"/>
                          <w:lang w:val="hy-AM"/>
                        </w:rPr>
                      </w:pPr>
                      <w:r w:rsidRPr="000536EA">
                        <w:rPr>
                          <w:rFonts w:ascii="GHEA Grapalat" w:hAnsi="GHEA Grapalat"/>
                          <w:sz w:val="20"/>
                          <w:szCs w:val="20"/>
                          <w:lang w:val="hy-AM"/>
                        </w:rPr>
                        <w:t xml:space="preserve">Ստորև ներկայացված են մոդելի կիրառմամբ իրականացված որոշ արդյունքներ: </w:t>
                      </w:r>
                      <w:r w:rsidRPr="000536EA">
                        <w:rPr>
                          <w:rFonts w:ascii="GHEA Grapalat" w:hAnsi="GHEA Grapalat"/>
                          <w:sz w:val="20"/>
                          <w:szCs w:val="20"/>
                          <w:lang w:val="hy-AM"/>
                        </w:rPr>
                        <w:tab/>
                      </w:r>
                    </w:p>
                    <w:tbl>
                      <w:tblPr>
                        <w:tblW w:w="0" w:type="auto"/>
                        <w:tblLook w:val="04A0" w:firstRow="1" w:lastRow="0" w:firstColumn="1" w:lastColumn="0" w:noHBand="0" w:noVBand="1"/>
                      </w:tblPr>
                      <w:tblGrid>
                        <w:gridCol w:w="4971"/>
                        <w:gridCol w:w="4971"/>
                      </w:tblGrid>
                      <w:tr w:rsidR="00147C8B" w:rsidRPr="007645A6" w14:paraId="2AE1264A" w14:textId="77777777" w:rsidTr="008D4E1E">
                        <w:tc>
                          <w:tcPr>
                            <w:tcW w:w="4918" w:type="dxa"/>
                            <w:hideMark/>
                          </w:tcPr>
                          <w:p w14:paraId="13D11364" w14:textId="73F0D907" w:rsidR="00147C8B" w:rsidRPr="003625D6" w:rsidRDefault="00147C8B" w:rsidP="008D4E1E">
                            <w:pPr>
                              <w:pStyle w:val="Charts"/>
                              <w:spacing w:before="0"/>
                              <w:contextualSpacing/>
                              <w:rPr>
                                <w:b w:val="0"/>
                                <w:sz w:val="20"/>
                              </w:rPr>
                            </w:pPr>
                            <w:r w:rsidRPr="000536EA">
                              <w:rPr>
                                <w:b w:val="0"/>
                                <w:sz w:val="20"/>
                              </w:rPr>
                              <w:t>Գծապատկեր 1. ՀՆԱ ճեղքը</w:t>
                            </w:r>
                            <w:r>
                              <w:rPr>
                                <w:b w:val="0"/>
                                <w:sz w:val="20"/>
                              </w:rPr>
                              <w:t xml:space="preserve"> </w:t>
                            </w:r>
                            <w:r w:rsidRPr="003625D6">
                              <w:rPr>
                                <w:b w:val="0"/>
                                <w:sz w:val="20"/>
                              </w:rPr>
                              <w:t>(%)</w:t>
                            </w:r>
                            <w:r w:rsidRPr="000536EA">
                              <w:rPr>
                                <w:b w:val="0"/>
                                <w:sz w:val="20"/>
                              </w:rPr>
                              <w:t>՝ ըստ ծախսային բաղադրիչների</w:t>
                            </w:r>
                            <w:r>
                              <w:rPr>
                                <w:b w:val="0"/>
                                <w:sz w:val="20"/>
                              </w:rPr>
                              <w:t xml:space="preserve">  </w:t>
                            </w:r>
                            <w:r w:rsidRPr="003625D6">
                              <w:rPr>
                                <w:b w:val="0"/>
                                <w:sz w:val="20"/>
                              </w:rPr>
                              <w:t>(%</w:t>
                            </w:r>
                            <w:r>
                              <w:rPr>
                                <w:b w:val="0"/>
                                <w:sz w:val="20"/>
                              </w:rPr>
                              <w:t>-ային կետ</w:t>
                            </w:r>
                            <w:r w:rsidRPr="003625D6">
                              <w:rPr>
                                <w:b w:val="0"/>
                                <w:sz w:val="20"/>
                              </w:rPr>
                              <w:t>)</w:t>
                            </w:r>
                          </w:p>
                        </w:tc>
                        <w:tc>
                          <w:tcPr>
                            <w:tcW w:w="4828" w:type="dxa"/>
                            <w:hideMark/>
                          </w:tcPr>
                          <w:p w14:paraId="56E1AE1B" w14:textId="77777777" w:rsidR="00147C8B" w:rsidRPr="000536EA" w:rsidRDefault="00147C8B" w:rsidP="008D4E1E">
                            <w:pPr>
                              <w:pStyle w:val="Charts"/>
                              <w:spacing w:before="0"/>
                              <w:contextualSpacing/>
                              <w:rPr>
                                <w:b w:val="0"/>
                                <w:sz w:val="20"/>
                              </w:rPr>
                            </w:pPr>
                            <w:r w:rsidRPr="000536EA">
                              <w:rPr>
                                <w:b w:val="0"/>
                                <w:sz w:val="20"/>
                              </w:rPr>
                              <w:t xml:space="preserve">Գծապատկեր 2. Տնտեսական աճի կանխատեսումների հավանականային բաշխումը </w:t>
                            </w:r>
                          </w:p>
                        </w:tc>
                      </w:tr>
                      <w:tr w:rsidR="00147C8B" w:rsidRPr="00812204" w14:paraId="799D9278" w14:textId="77777777" w:rsidTr="008D4E1E">
                        <w:tc>
                          <w:tcPr>
                            <w:tcW w:w="4918" w:type="dxa"/>
                            <w:hideMark/>
                          </w:tcPr>
                          <w:p w14:paraId="1A86AE9D" w14:textId="77777777" w:rsidR="00147C8B" w:rsidRPr="00C3014C" w:rsidRDefault="00147C8B" w:rsidP="008D4E1E">
                            <w:pPr>
                              <w:contextualSpacing/>
                              <w:jc w:val="both"/>
                            </w:pPr>
                            <w:r w:rsidRPr="00741675">
                              <w:rPr>
                                <w:noProof/>
                              </w:rPr>
                              <w:drawing>
                                <wp:inline distT="0" distB="0" distL="0" distR="0" wp14:anchorId="30BE1F8D" wp14:editId="6C3E609C">
                                  <wp:extent cx="3019425" cy="1941816"/>
                                  <wp:effectExtent l="0" t="0" r="0" b="1905"/>
                                  <wp:docPr id="1545876417" name="Picture 1545876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3056743" cy="1965816"/>
                                          </a:xfrm>
                                          <a:prstGeom prst="rect">
                                            <a:avLst/>
                                          </a:prstGeom>
                                          <a:noFill/>
                                          <a:ln>
                                            <a:noFill/>
                                          </a:ln>
                                        </pic:spPr>
                                      </pic:pic>
                                    </a:graphicData>
                                  </a:graphic>
                                </wp:inline>
                              </w:drawing>
                            </w:r>
                          </w:p>
                        </w:tc>
                        <w:tc>
                          <w:tcPr>
                            <w:tcW w:w="4828" w:type="dxa"/>
                            <w:hideMark/>
                          </w:tcPr>
                          <w:p w14:paraId="3BE58CAF" w14:textId="5F3CE89A" w:rsidR="00147C8B" w:rsidRDefault="00147C8B" w:rsidP="008D4E1E">
                            <w:pPr>
                              <w:pStyle w:val="NormalWeb"/>
                              <w:contextualSpacing/>
                            </w:pPr>
                            <w:r w:rsidRPr="00A22F7D">
                              <w:rPr>
                                <w:noProof/>
                                <w:lang w:val="en-US" w:eastAsia="en-US"/>
                              </w:rPr>
                              <w:drawing>
                                <wp:inline distT="0" distB="0" distL="0" distR="0" wp14:anchorId="3EB44226" wp14:editId="6AC52CBE">
                                  <wp:extent cx="3019425" cy="1880171"/>
                                  <wp:effectExtent l="0" t="0" r="0" b="1905"/>
                                  <wp:docPr id="1545876420" name="Picture 1545876420" descr="C:\QPM\Intro\Model\qmff_prod\amf2025Sept\reports\fig\amf2025Sept_fc_D4L_GD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QPM\Intro\Model\qmff_prod\amf2025Sept\reports\fig\amf2025Sept_fc_D4L_GDP.png"/>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3019425" cy="1880171"/>
                                          </a:xfrm>
                                          <a:prstGeom prst="rect">
                                            <a:avLst/>
                                          </a:prstGeom>
                                          <a:noFill/>
                                          <a:ln>
                                            <a:noFill/>
                                          </a:ln>
                                        </pic:spPr>
                                      </pic:pic>
                                    </a:graphicData>
                                  </a:graphic>
                                </wp:inline>
                              </w:drawing>
                            </w:r>
                          </w:p>
                          <w:p w14:paraId="7052F2A2" w14:textId="77777777" w:rsidR="00147C8B" w:rsidRDefault="00147C8B" w:rsidP="008D4E1E">
                            <w:pPr>
                              <w:pStyle w:val="NormalWeb"/>
                              <w:contextualSpacing/>
                            </w:pPr>
                          </w:p>
                          <w:p w14:paraId="3933219F" w14:textId="77777777" w:rsidR="00147C8B" w:rsidRPr="00812204" w:rsidRDefault="00147C8B" w:rsidP="008D4E1E">
                            <w:pPr>
                              <w:pStyle w:val="a0"/>
                              <w:contextualSpacing/>
                              <w:rPr>
                                <w:lang w:val="hy-AM" w:eastAsia="ru-RU"/>
                              </w:rPr>
                            </w:pPr>
                          </w:p>
                        </w:tc>
                      </w:tr>
                    </w:tbl>
                    <w:p w14:paraId="2D091143" w14:textId="77777777" w:rsidR="00147C8B" w:rsidRDefault="00147C8B" w:rsidP="00FE3BE4">
                      <w:pPr>
                        <w:spacing w:after="0"/>
                        <w:jc w:val="both"/>
                        <w:rPr>
                          <w:rFonts w:ascii="GHEA Grapalat" w:hAnsi="GHEA Grapalat"/>
                          <w:sz w:val="18"/>
                          <w:szCs w:val="18"/>
                          <w:lang w:val="hy-AM"/>
                        </w:rPr>
                      </w:pPr>
                    </w:p>
                    <w:p w14:paraId="4FE800FE" w14:textId="77777777" w:rsidR="00147C8B" w:rsidRDefault="00147C8B" w:rsidP="00FE3BE4">
                      <w:pPr>
                        <w:spacing w:after="0"/>
                        <w:jc w:val="both"/>
                        <w:rPr>
                          <w:rFonts w:ascii="GHEA Grapalat" w:hAnsi="GHEA Grapalat"/>
                          <w:sz w:val="18"/>
                          <w:szCs w:val="18"/>
                          <w:lang w:val="hy-AM"/>
                        </w:rPr>
                      </w:pPr>
                    </w:p>
                    <w:p w14:paraId="127AFF52" w14:textId="77777777" w:rsidR="00147C8B" w:rsidRPr="00E4756A" w:rsidRDefault="00147C8B" w:rsidP="00FE3BE4">
                      <w:pPr>
                        <w:spacing w:after="0"/>
                        <w:jc w:val="both"/>
                        <w:rPr>
                          <w:rFonts w:ascii="GHEA Grapalat" w:hAnsi="GHEA Grapalat"/>
                          <w:sz w:val="18"/>
                          <w:szCs w:val="18"/>
                          <w:lang w:val="hy-AM"/>
                        </w:rPr>
                      </w:pPr>
                      <w:r w:rsidRPr="008B3F87">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p>
                    <w:p w14:paraId="13A1A79C" w14:textId="77777777" w:rsidR="00147C8B" w:rsidRPr="00E4756A" w:rsidRDefault="00147C8B" w:rsidP="00FE3BE4">
                      <w:pPr>
                        <w:rPr>
                          <w:lang w:val="hy-AM"/>
                        </w:rPr>
                      </w:pPr>
                    </w:p>
                  </w:txbxContent>
                </v:textbox>
              </v:shape>
            </w:pict>
          </mc:Fallback>
        </mc:AlternateContent>
      </w:r>
    </w:p>
    <w:p w14:paraId="200BC498" w14:textId="77777777" w:rsidR="00FE3BE4" w:rsidRDefault="00FE3BE4" w:rsidP="00FE3BE4">
      <w:pPr>
        <w:rPr>
          <w:lang w:val="hy-AM"/>
        </w:rPr>
      </w:pPr>
    </w:p>
    <w:p w14:paraId="7E81C2FF" w14:textId="77777777" w:rsidR="00FE3BE4" w:rsidRDefault="00FE3BE4" w:rsidP="00FE3BE4">
      <w:pPr>
        <w:rPr>
          <w:lang w:val="hy-AM"/>
        </w:rPr>
      </w:pPr>
    </w:p>
    <w:p w14:paraId="5322B14A" w14:textId="77777777" w:rsidR="00FE3BE4" w:rsidRDefault="00FE3BE4" w:rsidP="00FE3BE4">
      <w:pPr>
        <w:rPr>
          <w:lang w:val="hy-AM"/>
        </w:rPr>
      </w:pPr>
    </w:p>
    <w:p w14:paraId="74F83913" w14:textId="77777777" w:rsidR="00FE3BE4" w:rsidRDefault="00FE3BE4" w:rsidP="00FE3BE4">
      <w:pPr>
        <w:rPr>
          <w:lang w:val="hy-AM"/>
        </w:rPr>
      </w:pPr>
    </w:p>
    <w:p w14:paraId="71B27BE5" w14:textId="77777777" w:rsidR="00FE3BE4" w:rsidRDefault="00FE3BE4" w:rsidP="00FE3BE4">
      <w:pPr>
        <w:rPr>
          <w:lang w:val="hy-AM"/>
        </w:rPr>
      </w:pPr>
    </w:p>
    <w:p w14:paraId="6747F2E8" w14:textId="77777777" w:rsidR="00FE3BE4" w:rsidRDefault="00FE3BE4" w:rsidP="00FE3BE4">
      <w:pPr>
        <w:rPr>
          <w:lang w:val="hy-AM"/>
        </w:rPr>
      </w:pPr>
    </w:p>
    <w:p w14:paraId="4E3E8BB7" w14:textId="77777777" w:rsidR="00FE3BE4" w:rsidRDefault="00FE3BE4" w:rsidP="00FE3BE4">
      <w:pPr>
        <w:rPr>
          <w:lang w:val="hy-AM"/>
        </w:rPr>
      </w:pPr>
    </w:p>
    <w:p w14:paraId="5082D8BA" w14:textId="77777777" w:rsidR="00FE3BE4" w:rsidRDefault="00FE3BE4" w:rsidP="00FE3BE4">
      <w:pPr>
        <w:rPr>
          <w:lang w:val="hy-AM"/>
        </w:rPr>
      </w:pPr>
    </w:p>
    <w:p w14:paraId="46C12AF7" w14:textId="77777777" w:rsidR="00FE3BE4" w:rsidRPr="000536EA" w:rsidRDefault="00FE3BE4" w:rsidP="00FE3BE4">
      <w:pPr>
        <w:pStyle w:val="TOC4"/>
        <w:tabs>
          <w:tab w:val="left" w:pos="90"/>
        </w:tabs>
        <w:rPr>
          <w:lang w:val="hy-AM"/>
        </w:rPr>
      </w:pPr>
      <w:r>
        <w:rPr>
          <w:noProof/>
        </w:rPr>
        <mc:AlternateContent>
          <mc:Choice Requires="wps">
            <w:drawing>
              <wp:anchor distT="0" distB="0" distL="114300" distR="114300" simplePos="0" relativeHeight="251908096" behindDoc="0" locked="0" layoutInCell="1" allowOverlap="1" wp14:anchorId="36B538FF" wp14:editId="466B2DA5">
                <wp:simplePos x="0" y="0"/>
                <wp:positionH relativeFrom="column">
                  <wp:posOffset>53340</wp:posOffset>
                </wp:positionH>
                <wp:positionV relativeFrom="paragraph">
                  <wp:posOffset>0</wp:posOffset>
                </wp:positionV>
                <wp:extent cx="6519545" cy="6986270"/>
                <wp:effectExtent l="0" t="0" r="14605" b="24130"/>
                <wp:wrapTopAndBottom/>
                <wp:docPr id="25" name="Text Box 25"/>
                <wp:cNvGraphicFramePr/>
                <a:graphic xmlns:a="http://schemas.openxmlformats.org/drawingml/2006/main">
                  <a:graphicData uri="http://schemas.microsoft.com/office/word/2010/wordprocessingShape">
                    <wps:wsp>
                      <wps:cNvSpPr txBox="1"/>
                      <wps:spPr>
                        <a:xfrm>
                          <a:off x="0" y="0"/>
                          <a:ext cx="6519545" cy="6986270"/>
                        </a:xfrm>
                        <a:prstGeom prst="rect">
                          <a:avLst/>
                        </a:prstGeom>
                        <a:solidFill>
                          <a:srgbClr val="5B9BD5">
                            <a:lumMod val="20000"/>
                            <a:lumOff val="80000"/>
                          </a:srgbClr>
                        </a:solidFill>
                        <a:ln w="6350">
                          <a:solidFill>
                            <a:srgbClr val="5B9BD5"/>
                          </a:solidFill>
                        </a:ln>
                      </wps:spPr>
                      <wps:linkedTxbx id="7" seq="1"/>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36B538FF" id="Text Box 25" o:spid="_x0000_s1033" type="#_x0000_t202" style="position:absolute;margin-left:4.2pt;margin-top:0;width:513.35pt;height:550.1pt;z-index:251908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" fillcolor="#deebf7" strokecolor="#5b9bd5" strokeweight=".5pt">
                <v:textbox>
                  <w:txbxContent/>
                </v:textbox>
                <w10:wrap type="topAndBottom"/>
              </v:shape>
            </w:pict>
          </mc:Fallback>
        </mc:AlternateContent>
      </w:r>
    </w:p>
    <w:p w14:paraId="7B9A25EF" w14:textId="77777777" w:rsidR="00FE3BE4" w:rsidRPr="00850F7C" w:rsidRDefault="00FE3BE4" w:rsidP="00FE3BE4">
      <w:pPr>
        <w:pStyle w:val="TOC4"/>
        <w:tabs>
          <w:tab w:val="left" w:pos="90"/>
        </w:tabs>
      </w:pPr>
      <w:r w:rsidRPr="00850F7C">
        <w:t>ԱՐՏԱՔԻՆ ԳՈՐԾՈՆՆԵՐ</w:t>
      </w:r>
    </w:p>
    <w:p w14:paraId="63AE4AB7" w14:textId="77777777" w:rsidR="00FE3BE4" w:rsidRDefault="00FE3BE4" w:rsidP="00FE3BE4">
      <w:pPr>
        <w:pStyle w:val="BodytextBullets"/>
      </w:pPr>
      <w:r>
        <w:t>2025թ</w:t>
      </w:r>
      <w:r>
        <w:rPr>
          <w:rFonts w:ascii="Cambria Math" w:hAnsi="Cambria Math" w:cs="Cambria Math"/>
        </w:rPr>
        <w:t>․</w:t>
      </w:r>
      <w:r>
        <w:t xml:space="preserve"> համաշխարհային տնտեսության, այդ թվում գործընկեր երկրների թույլ զարգացումների, և դրամավարկային քաղաքականության զսպող դիրքի թուլացման պայմաններում 2025 թվականի հուլիս ամսվա ԱՄՀ կանխատեսումների համաձայն 2025 թվականին սպասվում է տնտեսական աճի տեմպերի դանդաղում՝ բացառությամբ Եվրագոտու։ ԱՄՆ-ում աճը կդանդաղի՝ կազմելով 1.9%, Չինաստանում՝ 4.8%, ՌԴ-ում՝ 0.9%, Եվրագոտում կարագանա՝ կազմելով 1.0%։ Հատկանշական է, որ ՀՀ հիմնական գործընկեր երկրների 2025թ. տնտեսական աճերի վերջին կանխատեսումները ապրիլ ամսվա կանխատեսումների համեմատ վերանայվել են դեպի վերև (բացառությամբ՝</w:t>
      </w:r>
      <w:r>
        <w:rPr>
          <w:lang w:val="hy-AM"/>
        </w:rPr>
        <w:t xml:space="preserve"> </w:t>
      </w:r>
      <w:r>
        <w:t>ՌԴ-ի)՝</w:t>
      </w:r>
      <w:r>
        <w:rPr>
          <w:lang w:val="hy-AM"/>
        </w:rPr>
        <w:t xml:space="preserve"> </w:t>
      </w:r>
      <w:r>
        <w:t>հիմնականում, պայմանավորված ԱՄՆ վարչակարգի կողմից</w:t>
      </w:r>
      <w:r>
        <w:rPr>
          <w:lang w:val="hy-AM"/>
        </w:rPr>
        <w:t xml:space="preserve"> </w:t>
      </w:r>
      <w:r w:rsidRPr="00742893">
        <w:t xml:space="preserve">նախնական (ապրիլի 2-ին) հայտարարությամբ նշված դրույքաչափերի համեմատ ավելի ցածր </w:t>
      </w:r>
      <w:r>
        <w:t>մաքսատուրքերի դրույքաչափեր</w:t>
      </w:r>
      <w:r>
        <w:rPr>
          <w:lang w:val="hy-AM"/>
        </w:rPr>
        <w:t xml:space="preserve">ով </w:t>
      </w:r>
      <w:r>
        <w:t>և ֆինանսական պայմանների բարելավմամբ։</w:t>
      </w:r>
    </w:p>
    <w:p w14:paraId="3075494A" w14:textId="77777777" w:rsidR="00FE3BE4" w:rsidRDefault="00FE3BE4" w:rsidP="00FE3BE4">
      <w:pPr>
        <w:pStyle w:val="BodytextBullets"/>
      </w:pPr>
      <w:r>
        <w:t xml:space="preserve">ՀՀ գործընկեր երկրների տնտեսությունների համար 2026թ. և միջնաժամկետում կանխատեսվում է իրենց նախաճգնաժամային ներուժային աճերից ցածր տնտեսական աճեր։ </w:t>
      </w:r>
    </w:p>
    <w:p w14:paraId="1E896A8F" w14:textId="77777777" w:rsidR="00FE3BE4" w:rsidRDefault="00FE3BE4" w:rsidP="00FE3BE4">
      <w:pPr>
        <w:pStyle w:val="BodytextBullets"/>
      </w:pPr>
      <w:r>
        <w:t>2025թ. նավթի բորսային գինը կնվազի, իսկ պղնձինը՝ կաճի: Ըստ «Բլումբերգ» միջազգային հեղինակավոր կազմակերպության կանխատեսումների 2025թ. նավթի միջազգային գինը կնվազի 15.7%-ով, իսկ պղնձինը կաճի 3.7%-ով: 2026թ. նավթի գինը կնվազի 4.4%-ով և պղնձի գինը կաճի 2.5%-ով:</w:t>
      </w:r>
    </w:p>
    <w:p w14:paraId="18C9BF27" w14:textId="77777777" w:rsidR="00FE3BE4" w:rsidRPr="006934A1" w:rsidRDefault="00FE3BE4" w:rsidP="00FE3BE4">
      <w:pPr>
        <w:pStyle w:val="BodytextBullets"/>
        <w:rPr>
          <w:lang w:val="hy-AM"/>
        </w:rPr>
      </w:pPr>
      <w:r w:rsidRPr="00850F7C">
        <w:t xml:space="preserve">Ենթադրվում է, որ ՀՀ ծառայությունների արտահանման </w:t>
      </w:r>
      <w:r>
        <w:rPr>
          <w:lang w:val="hy-AM"/>
        </w:rPr>
        <w:t xml:space="preserve">աճի </w:t>
      </w:r>
      <w:r w:rsidRPr="00850F7C">
        <w:t xml:space="preserve">տեմպը </w:t>
      </w:r>
      <w:r>
        <w:rPr>
          <w:lang w:val="hy-AM"/>
        </w:rPr>
        <w:t xml:space="preserve">2025թ. որոշակի </w:t>
      </w:r>
      <w:r w:rsidRPr="006934A1">
        <w:rPr>
          <w:lang w:val="hy-AM"/>
        </w:rPr>
        <w:t xml:space="preserve">դանդաղելու է՝ պայմանավորված ռուս զբոսաշրջիկների ներհոսքի </w:t>
      </w:r>
      <w:r>
        <w:rPr>
          <w:lang w:val="hy-AM"/>
        </w:rPr>
        <w:t xml:space="preserve">նվազմամբ: 2026թ. </w:t>
      </w:r>
      <w:r w:rsidRPr="006934A1">
        <w:rPr>
          <w:lang w:val="hy-AM"/>
        </w:rPr>
        <w:t xml:space="preserve">ՀՀ ծառայությունների արտահանման </w:t>
      </w:r>
      <w:r>
        <w:rPr>
          <w:lang w:val="hy-AM"/>
        </w:rPr>
        <w:t xml:space="preserve">աճի </w:t>
      </w:r>
      <w:r w:rsidRPr="006934A1">
        <w:rPr>
          <w:lang w:val="hy-AM"/>
        </w:rPr>
        <w:t>տեմպը</w:t>
      </w:r>
      <w:r>
        <w:rPr>
          <w:lang w:val="hy-AM"/>
        </w:rPr>
        <w:t xml:space="preserve"> որոշակի կարագանա՝ պայմանավորված</w:t>
      </w:r>
      <w:r w:rsidRPr="002F698D">
        <w:rPr>
          <w:lang w:val="hy-AM"/>
        </w:rPr>
        <w:t xml:space="preserve"> </w:t>
      </w:r>
      <w:r>
        <w:rPr>
          <w:lang w:val="hy-AM"/>
        </w:rPr>
        <w:t>զբոսաշրջային</w:t>
      </w:r>
      <w:r w:rsidRPr="002F698D">
        <w:rPr>
          <w:lang w:val="hy-AM"/>
        </w:rPr>
        <w:t xml:space="preserve"> հոսքերի </w:t>
      </w:r>
      <w:r>
        <w:rPr>
          <w:lang w:val="hy-AM"/>
        </w:rPr>
        <w:t>աճով</w:t>
      </w:r>
      <w:r w:rsidRPr="006934A1">
        <w:rPr>
          <w:lang w:val="hy-AM"/>
        </w:rPr>
        <w:t xml:space="preserve">: </w:t>
      </w:r>
    </w:p>
    <w:p w14:paraId="0EB6EE6C" w14:textId="77777777" w:rsidR="00FE3BE4" w:rsidRPr="006934A1" w:rsidRDefault="00FE3BE4" w:rsidP="00FE3BE4">
      <w:pPr>
        <w:pStyle w:val="BodytextBullets"/>
        <w:spacing w:line="264" w:lineRule="auto"/>
        <w:rPr>
          <w:lang w:val="hy-AM"/>
        </w:rPr>
      </w:pPr>
      <w:r w:rsidRPr="006934A1">
        <w:rPr>
          <w:lang w:val="hy-AM"/>
        </w:rPr>
        <w:t>202</w:t>
      </w:r>
      <w:r>
        <w:rPr>
          <w:lang w:val="hy-AM"/>
        </w:rPr>
        <w:t>5</w:t>
      </w:r>
      <w:r w:rsidRPr="006934A1">
        <w:rPr>
          <w:lang w:val="hy-AM"/>
        </w:rPr>
        <w:t>թ. սպասվում է զուտ դրամական փոխանցումների շուրջ 16</w:t>
      </w:r>
      <w:r>
        <w:rPr>
          <w:lang w:val="hy-AM"/>
        </w:rPr>
        <w:t>.4</w:t>
      </w:r>
      <w:r w:rsidRPr="006934A1">
        <w:rPr>
          <w:lang w:val="hy-AM"/>
        </w:rPr>
        <w:t xml:space="preserve">% </w:t>
      </w:r>
      <w:r>
        <w:rPr>
          <w:lang w:val="hy-AM"/>
        </w:rPr>
        <w:t>աճ</w:t>
      </w:r>
      <w:r w:rsidRPr="006934A1">
        <w:rPr>
          <w:lang w:val="hy-AM"/>
        </w:rPr>
        <w:t xml:space="preserve">, որին </w:t>
      </w:r>
      <w:r>
        <w:rPr>
          <w:lang w:val="hy-AM"/>
        </w:rPr>
        <w:t>մեծ</w:t>
      </w:r>
      <w:r w:rsidRPr="006934A1">
        <w:rPr>
          <w:lang w:val="hy-AM"/>
        </w:rPr>
        <w:t xml:space="preserve"> նպաստ</w:t>
      </w:r>
      <w:r>
        <w:rPr>
          <w:lang w:val="hy-AM"/>
        </w:rPr>
        <w:t>ում</w:t>
      </w:r>
      <w:r w:rsidRPr="006934A1">
        <w:rPr>
          <w:lang w:val="hy-AM"/>
        </w:rPr>
        <w:t xml:space="preserve"> է </w:t>
      </w:r>
      <w:r>
        <w:rPr>
          <w:lang w:val="hy-AM"/>
        </w:rPr>
        <w:t xml:space="preserve">ունենալու </w:t>
      </w:r>
      <w:r w:rsidRPr="006934A1">
        <w:rPr>
          <w:lang w:val="hy-AM"/>
        </w:rPr>
        <w:t xml:space="preserve">ՌԴ-ից </w:t>
      </w:r>
      <w:r>
        <w:rPr>
          <w:lang w:val="hy-AM"/>
        </w:rPr>
        <w:t xml:space="preserve">և ԱՄՆ-ից </w:t>
      </w:r>
      <w:r w:rsidRPr="006934A1">
        <w:rPr>
          <w:lang w:val="hy-AM"/>
        </w:rPr>
        <w:t xml:space="preserve">դրամական փոխանցումների </w:t>
      </w:r>
      <w:r>
        <w:rPr>
          <w:lang w:val="hy-AM"/>
        </w:rPr>
        <w:t>աճը</w:t>
      </w:r>
      <w:r w:rsidRPr="006934A1">
        <w:rPr>
          <w:lang w:val="hy-AM"/>
        </w:rPr>
        <w:t>: Կանխատեսումների համաձայն 202</w:t>
      </w:r>
      <w:r>
        <w:rPr>
          <w:lang w:val="hy-AM"/>
        </w:rPr>
        <w:t>6</w:t>
      </w:r>
      <w:r w:rsidRPr="006934A1">
        <w:rPr>
          <w:lang w:val="hy-AM"/>
        </w:rPr>
        <w:t>-202</w:t>
      </w:r>
      <w:r>
        <w:rPr>
          <w:lang w:val="hy-AM"/>
        </w:rPr>
        <w:t>8</w:t>
      </w:r>
      <w:r w:rsidRPr="006934A1">
        <w:rPr>
          <w:lang w:val="hy-AM"/>
        </w:rPr>
        <w:t xml:space="preserve">թթ. դրամական փոխանցումները միջինում կաճեն շուրջ </w:t>
      </w:r>
      <w:r>
        <w:rPr>
          <w:lang w:val="hy-AM"/>
        </w:rPr>
        <w:t>3.9</w:t>
      </w:r>
      <w:r w:rsidRPr="006934A1">
        <w:rPr>
          <w:lang w:val="hy-AM"/>
        </w:rPr>
        <w:t>%-ով:</w:t>
      </w:r>
    </w:p>
    <w:p w14:paraId="1AE56201" w14:textId="77777777" w:rsidR="00FE3BE4" w:rsidRPr="006934A1" w:rsidRDefault="00FE3BE4" w:rsidP="00FE3BE4">
      <w:pPr>
        <w:pStyle w:val="BodytextBullets"/>
        <w:spacing w:line="264" w:lineRule="auto"/>
        <w:rPr>
          <w:lang w:val="hy-AM"/>
        </w:rPr>
      </w:pPr>
      <w:r w:rsidRPr="006934A1">
        <w:rPr>
          <w:lang w:val="hy-AM"/>
        </w:rPr>
        <w:t>ՌԴ դեմ կիրառված պատժամիջոցների արդյունքում ՌԴ-ից դեպի Հայաստան տեղափոխված ՏՏ ոլորտի ընկերությունների և աշխատակիցների որոշ մասը 2026թ. ընթացքում և միջնաժամկետում կմնան Հայաստանում:</w:t>
      </w:r>
    </w:p>
    <w:p w14:paraId="6CED7FC0" w14:textId="77777777" w:rsidR="00FE3BE4" w:rsidRPr="006934A1" w:rsidRDefault="00FE3BE4" w:rsidP="00FE3BE4">
      <w:pPr>
        <w:pStyle w:val="TOC4"/>
        <w:rPr>
          <w:lang w:val="hy-AM"/>
        </w:rPr>
      </w:pPr>
      <w:r w:rsidRPr="006934A1">
        <w:rPr>
          <w:lang w:val="hy-AM"/>
        </w:rPr>
        <w:t>ԿԱՌՈՒՑՎԱԾՔԱՅԻՆ ԲԱՐԵՓՈԽՈՒՄՆԵՐ</w:t>
      </w:r>
    </w:p>
    <w:p w14:paraId="6E4ADC36" w14:textId="77777777" w:rsidR="00FE3BE4" w:rsidRPr="006934A1" w:rsidRDefault="00FE3BE4" w:rsidP="00FE3BE4">
      <w:pPr>
        <w:pStyle w:val="BodytextBullets"/>
        <w:numPr>
          <w:ilvl w:val="0"/>
          <w:numId w:val="0"/>
        </w:numPr>
        <w:spacing w:line="264" w:lineRule="auto"/>
        <w:ind w:left="504"/>
        <w:rPr>
          <w:lang w:val="hy-AM"/>
        </w:rPr>
      </w:pPr>
      <w:r w:rsidRPr="006934A1">
        <w:rPr>
          <w:lang w:val="hy-AM"/>
        </w:rPr>
        <w:t>Կառուցվածքային բարեփոխումների ազդեցության չափի գնահատման համար հիմք է հանդիսացել աշխարհի 90 երկրների պանելային տվյալների հիման վրա Արժույթի միջազգային հիմնադրամի կատարած գնահատականները, որոնք հուշում են, որ կառուցվածքային բարեփոխումների (աշխատանքի շուկա, ֆինանսական համակարգ, կապիտալի հաշվի բացություն, արտաքին առևտրի բացություն, ապրանքային շուկաներ և պետական կառավարում) էական ջանքը կարող է 6 տարում ՀՆԱ-ի շուրջ 7% աճ ապահովել</w:t>
      </w:r>
      <w:r w:rsidRPr="007B26C1">
        <w:rPr>
          <w:vertAlign w:val="superscript"/>
        </w:rPr>
        <w:footnoteReference w:id="15"/>
      </w:r>
      <w:r w:rsidRPr="006934A1">
        <w:rPr>
          <w:lang w:val="hy-AM"/>
        </w:rPr>
        <w:t>։ Համադրելով ԱՄՀ գնահատականներում կիրառված կառուցվածքային բարեփոխումների ուղղությունները, և ՀՀ կառավարության ծրագրով ուղենշված՝ գործարար միջավայրը և պետական կառավարման արդյունավետությունը բարելավող միջոցառումները, ՀՀ համար կառուցվածքային բարեփոխումների հնարավոր ազդեցությունը գնահատվել է տարեկան 0</w:t>
      </w:r>
      <w:r w:rsidRPr="006934A1">
        <w:rPr>
          <w:rFonts w:ascii="Cambria Math" w:hAnsi="Cambria Math" w:cs="Cambria Math"/>
          <w:lang w:val="hy-AM"/>
        </w:rPr>
        <w:t>․</w:t>
      </w:r>
      <w:r w:rsidRPr="006934A1">
        <w:rPr>
          <w:lang w:val="hy-AM"/>
        </w:rPr>
        <w:t>5%-ային կետ միջնաժամկետ հատվածի համար։</w:t>
      </w:r>
    </w:p>
    <w:p w14:paraId="48EF005F" w14:textId="77777777" w:rsidR="00FE3BE4" w:rsidRPr="006934A1" w:rsidRDefault="00FE3BE4" w:rsidP="00FE3BE4">
      <w:pPr>
        <w:pStyle w:val="TOC4"/>
        <w:rPr>
          <w:lang w:val="hy-AM"/>
        </w:rPr>
      </w:pPr>
      <w:r w:rsidRPr="006934A1">
        <w:rPr>
          <w:lang w:val="hy-AM"/>
        </w:rPr>
        <w:t xml:space="preserve">ՏՆՏԵՍՈՒԹՅԱՆ ՆԵՐՈՒԺ </w:t>
      </w:r>
      <w:r>
        <w:rPr>
          <w:lang w:val="hy-AM"/>
        </w:rPr>
        <w:t>ԵՎ</w:t>
      </w:r>
      <w:r w:rsidRPr="006934A1">
        <w:rPr>
          <w:lang w:val="hy-AM"/>
        </w:rPr>
        <w:t xml:space="preserve"> ՊԱՐԲԵՐԱՇՐՋԱՆՆԵՐ</w:t>
      </w:r>
    </w:p>
    <w:p w14:paraId="13EE26FD" w14:textId="77777777" w:rsidR="00FE3BE4" w:rsidRPr="006934A1" w:rsidRDefault="00FE3BE4" w:rsidP="00FE3BE4">
      <w:pPr>
        <w:pStyle w:val="BodytextBullets"/>
        <w:numPr>
          <w:ilvl w:val="0"/>
          <w:numId w:val="0"/>
        </w:numPr>
        <w:spacing w:line="264" w:lineRule="auto"/>
        <w:ind w:left="504"/>
        <w:rPr>
          <w:lang w:val="hy-AM"/>
        </w:rPr>
      </w:pPr>
      <w:r w:rsidRPr="006934A1">
        <w:rPr>
          <w:lang w:val="hy-AM"/>
        </w:rPr>
        <w:t>2023-2024թ</w:t>
      </w:r>
      <w:r w:rsidRPr="006934A1">
        <w:rPr>
          <w:rFonts w:ascii="Cambria Math" w:hAnsi="Cambria Math" w:cs="Cambria Math"/>
          <w:lang w:val="hy-AM"/>
        </w:rPr>
        <w:t>․</w:t>
      </w:r>
      <w:r w:rsidRPr="006934A1">
        <w:rPr>
          <w:lang w:val="hy-AM"/>
        </w:rPr>
        <w:t xml:space="preserve"> դրական զարգացումների պայմաններում ՀՀ տնտեսությունը գտնվել է ներուժային մակարդակից ավելի բարձր դիրքում՝ մտնելով տնտեսական պարբերաշրջանի վերելքի փուլ: Կանխատեսված տնտեսական զարգացումների պայմաններում 2025թ. ավարտին դրական ճեղքը աստիճանաբար կփոքրանա և 2026թ. տնտեսությունը կմոտենա իր ներուժային մակարդակին։ Հատկանշական է, որ վերջին տարիների դրական զարգացումները, մասնավորապես, դեպի ՀՀ զբոսաշրջային մեծ հոսքերը, ՏՏ ոլորտի ընկերությունների և աշխատակիցների ՀՀ տեղափոխվելը, զբաղվածների թվաքանակի ավելացումը, ինչպես նաև պետական կապիտալ ծախսերի դերի շարունակական բարձրացումը հանգեցրել են տնտեսության ներուժի և ներուժային աճի բարձրացման։ Այժմ, ըստ գնահատումների ներուժային տնտեսական աճը 4-4.5% միջակայքից աճել է՝ հասնելով 5-5.5% միջակայք. այս հանգամանքն իր դրական ազդեցությունը կթողնի միջնաժամկետ հատվածում:</w:t>
      </w:r>
    </w:p>
    <w:p w14:paraId="325A6FA8" w14:textId="77777777" w:rsidR="00FE3BE4" w:rsidRDefault="00FE3BE4" w:rsidP="00FE3BE4">
      <w:pPr>
        <w:pStyle w:val="TOC4"/>
      </w:pPr>
      <w:r w:rsidRPr="00850F7C">
        <w:t>ՀԱՐԿԱԲՅՈՒՋԵՏԱՅԻՆ ՔԱՂԱՔԱԿԱՆՈՒԹՅՈՒՆ</w:t>
      </w:r>
    </w:p>
    <w:p w14:paraId="527A5F44" w14:textId="7B934567" w:rsidR="00FE3BE4" w:rsidRPr="000073F7" w:rsidRDefault="00FE3BE4" w:rsidP="00FE3BE4">
      <w:pPr>
        <w:pStyle w:val="BodytextBullets"/>
        <w:rPr>
          <w:lang w:val="hy-AM"/>
        </w:rPr>
      </w:pPr>
      <w:r w:rsidRPr="00850F7C">
        <w:t>2025թ. և միջնաժամկետ հատվածում հարկաբյուջետային քաղաքականությունն ուղղված կլինի կառուցվածքային բարեփոխումների սահուն ընթացքը երաշխավորելու և ֆիզիկական ու մարդկային կապիտալում ներդրումների մակարդակի էական բարձրացման միջոցով տնտեսության դիմակայունության ամրապնդմանն ու աճի ներուժի բարձրացմանը։</w:t>
      </w:r>
      <w:r>
        <w:rPr>
          <w:lang w:val="hy-AM"/>
        </w:rPr>
        <w:t xml:space="preserve"> Ընդ որում մ</w:t>
      </w:r>
      <w:r w:rsidRPr="000073F7">
        <w:rPr>
          <w:lang w:val="hy-AM"/>
        </w:rPr>
        <w:t>իջնաժամկետ հատվածի սկզբում՝</w:t>
      </w:r>
      <w:r>
        <w:rPr>
          <w:lang w:val="hy-AM"/>
        </w:rPr>
        <w:t xml:space="preserve"> </w:t>
      </w:r>
      <w:r w:rsidRPr="000073F7">
        <w:rPr>
          <w:lang w:val="hy-AM"/>
        </w:rPr>
        <w:t>անհետաձգելի կարիքների և կառուցվածքային բարեփոխումների համար հավելյալ ռեսուրսների ձևավորման պայմաններում պետական բյուջեի պակասուրդի և պարտքի որոշակի աճից հետո հարկաբյուջետային քաղաքականությունը ուղղված կլինի ծախսերի կառուցվածքի բարելավմամբ ուղեկցվող հարկաբյուջետային կոնսոլիդացիայի իրականացմանը։ Կառավարության պարտքի բեռը 2026-2028 թվականներին կհասնի 5</w:t>
      </w:r>
      <w:r w:rsidR="007645A6" w:rsidRPr="007645A6">
        <w:rPr>
          <w:lang w:val="hy-AM"/>
        </w:rPr>
        <w:t>3</w:t>
      </w:r>
      <w:r w:rsidR="007645A6">
        <w:rPr>
          <w:lang w:val="hy-AM"/>
        </w:rPr>
        <w:t>-5</w:t>
      </w:r>
      <w:r w:rsidR="007645A6" w:rsidRPr="007645A6">
        <w:rPr>
          <w:lang w:val="hy-AM"/>
        </w:rPr>
        <w:t>4</w:t>
      </w:r>
      <w:r w:rsidRPr="000073F7">
        <w:rPr>
          <w:lang w:val="hy-AM"/>
        </w:rPr>
        <w:t>%-ի մակարդակի, որին միջնաժամկետ հատվածում կհակազդեն տնտեսական աճի և հարկաբյուջետային կոնսոլիդացիայի արդյունքում զգալի առաջնային հավելուրդի ձևավորման գործոնները։ Հարկաբյուջետային կոնսոլիդացիան կիրականացվի ընթացիկ ծախսերի օպտիմալացման և արդյունավետության բարձրացման պայմաններում ՀՆԱ-ում դերի որոշակի նվազմամբ, ինչը կզուգորդվի զսպող հարկաբյուջետային ազդակով միջնաժամկետի սկզբում, իսկ միջնաժամկետի վերջում հարկաբյուջետային քաղաքականության դիրքը ամբողջական պահանջարկի վրա ազդեցության տեսանկյունից կվերադառնա չեզոքի՝ միաժամանակ ամբողջ հորիզոնում դրական ազդեցություն ունենալով տնտեսության ներուժի վրա։</w:t>
      </w:r>
    </w:p>
    <w:p w14:paraId="3BA5885F" w14:textId="77777777" w:rsidR="00FE3BE4" w:rsidRPr="000073F7" w:rsidRDefault="00FE3BE4" w:rsidP="00FE3BE4">
      <w:pPr>
        <w:pStyle w:val="BodytextBullets"/>
        <w:rPr>
          <w:lang w:val="hy-AM"/>
        </w:rPr>
      </w:pPr>
      <w:r w:rsidRPr="000073F7">
        <w:rPr>
          <w:lang w:val="hy-AM"/>
        </w:rPr>
        <w:t xml:space="preserve">Միջնաժամկետում հարկային վարչարարության բարելավման, ստվերի դեմ պայքարի, ինչպես նաև հարկային քաղաքականության միջոցառումների արդյունքում ակնկալվում է ապահովել հարկեր/ՀՆԱ հարաբերակցության շարունակական բարելավում՝ </w:t>
      </w:r>
      <w:r w:rsidRPr="00B670FD">
        <w:rPr>
          <w:lang w:val="hy-AM"/>
        </w:rPr>
        <w:t>2026թ</w:t>
      </w:r>
      <w:r w:rsidRPr="00B670FD">
        <w:rPr>
          <w:rFonts w:ascii="Cambria Math" w:hAnsi="Cambria Math" w:cs="Cambria Math"/>
          <w:lang w:val="hy-AM"/>
        </w:rPr>
        <w:t>․</w:t>
      </w:r>
      <w:r w:rsidRPr="00B670FD">
        <w:rPr>
          <w:lang w:val="hy-AM"/>
        </w:rPr>
        <w:t>-ին 0.4 տոկոսային կետով, իսկ հաջորդող տարիներին՝ 2027-2028թթ</w:t>
      </w:r>
      <w:r w:rsidRPr="00B670FD">
        <w:rPr>
          <w:rFonts w:ascii="Cambria Math" w:hAnsi="Cambria Math" w:cs="Cambria Math"/>
          <w:lang w:val="hy-AM"/>
        </w:rPr>
        <w:t>․</w:t>
      </w:r>
      <w:r w:rsidRPr="00B670FD">
        <w:rPr>
          <w:lang w:val="hy-AM"/>
        </w:rPr>
        <w:t>-ին յուրաքանչյուրում 0.1 տոկոսային կետի շրջանակներում, որով միջնաժամկետի վերջին հարկեր/ՀՆԱ հարաբերակցությունը մոտենում է ներկա օրենսդրության և տնտեսական կառուցվածքի պայմաններում արդյունավետ հնարավորությունների սահմանագծին՝ ՀՆԱ-ում 25-26%-ի։</w:t>
      </w:r>
    </w:p>
    <w:p w14:paraId="586D8817" w14:textId="77777777" w:rsidR="00FE3BE4" w:rsidRPr="000073F7" w:rsidRDefault="00FE3BE4" w:rsidP="00FE3BE4">
      <w:pPr>
        <w:pStyle w:val="BodytextBullets"/>
        <w:rPr>
          <w:rFonts w:asciiTheme="minorHAnsi" w:hAnsiTheme="minorHAnsi"/>
          <w:szCs w:val="22"/>
          <w:lang w:val="hy-AM"/>
        </w:rPr>
      </w:pPr>
      <w:r w:rsidRPr="000073F7">
        <w:rPr>
          <w:rFonts w:asciiTheme="minorHAnsi" w:hAnsiTheme="minorHAnsi"/>
          <w:szCs w:val="22"/>
          <w:lang w:val="hy-AM"/>
        </w:rPr>
        <w:t>2026թ</w:t>
      </w:r>
      <w:r w:rsidRPr="000073F7">
        <w:rPr>
          <w:rFonts w:ascii="Cambria Math" w:hAnsi="Cambria Math" w:cs="Cambria Math"/>
          <w:szCs w:val="22"/>
          <w:lang w:val="hy-AM"/>
        </w:rPr>
        <w:t>․</w:t>
      </w:r>
      <w:r w:rsidRPr="000073F7">
        <w:rPr>
          <w:rFonts w:asciiTheme="minorHAnsi" w:hAnsiTheme="minorHAnsi"/>
          <w:szCs w:val="22"/>
          <w:lang w:val="hy-AM"/>
        </w:rPr>
        <w:t>-ի Պետական բյուջեի ծախսային մասը առաջնորդվում է միջնաժամկետում հարկաբյուջետային կոնսոլիդացիա ապահովելու և տնտեսական և անվտանգային ենթակառուցվածքների ամրապնդման նպատակադրումներով, ըստ այդմ, միջնաժամկետում ընթացիկ ծախսերի կշի</w:t>
      </w:r>
      <w:r>
        <w:rPr>
          <w:rFonts w:asciiTheme="minorHAnsi" w:hAnsiTheme="minorHAnsi"/>
          <w:szCs w:val="22"/>
          <w:lang w:val="hy-AM"/>
        </w:rPr>
        <w:t>ռ</w:t>
      </w:r>
      <w:r w:rsidRPr="000073F7">
        <w:rPr>
          <w:rFonts w:asciiTheme="minorHAnsi" w:hAnsiTheme="minorHAnsi"/>
          <w:szCs w:val="22"/>
          <w:lang w:val="hy-AM"/>
        </w:rPr>
        <w:t>ը ՀՆԱ-ում կնվազի, իսկ կապիտալ ծախսերը կկայունանան պատմական մակարդակներից զգալիորեն բարձր մակարդակում։ Կապիտալ ծախսերի կշիռը ՀՆԱ-ում կայունանում է 5.7%-ի շրջանակներում մինչև 2028թ</w:t>
      </w:r>
      <w:r w:rsidRPr="000073F7">
        <w:rPr>
          <w:rFonts w:ascii="Cambria Math" w:hAnsi="Cambria Math" w:cs="Cambria Math"/>
          <w:szCs w:val="22"/>
          <w:lang w:val="hy-AM"/>
        </w:rPr>
        <w:t>․</w:t>
      </w:r>
      <w:r w:rsidRPr="000073F7">
        <w:rPr>
          <w:rFonts w:asciiTheme="minorHAnsi" w:hAnsiTheme="minorHAnsi"/>
          <w:szCs w:val="22"/>
          <w:lang w:val="hy-AM"/>
        </w:rPr>
        <w:t>, իսկ ընթացիկ ծախսերը 2025թ-ի 24.6% սպասվող ցուցանիշից աստիճանաբար նվազելով 2028թ</w:t>
      </w:r>
      <w:r w:rsidRPr="000073F7">
        <w:rPr>
          <w:rFonts w:ascii="Cambria Math" w:hAnsi="Cambria Math" w:cs="Cambria Math"/>
          <w:szCs w:val="22"/>
          <w:lang w:val="hy-AM"/>
        </w:rPr>
        <w:t>․</w:t>
      </w:r>
      <w:r w:rsidRPr="000073F7">
        <w:rPr>
          <w:rFonts w:asciiTheme="minorHAnsi" w:hAnsiTheme="minorHAnsi"/>
          <w:szCs w:val="22"/>
          <w:lang w:val="hy-AM"/>
        </w:rPr>
        <w:t xml:space="preserve">-ին կհասնեն ՀՆԱ 23.0%-ի։  </w:t>
      </w:r>
    </w:p>
    <w:p w14:paraId="7D0AC38D" w14:textId="77777777" w:rsidR="00FE3BE4" w:rsidRPr="00850F7C" w:rsidRDefault="00FE3BE4" w:rsidP="00FE3BE4">
      <w:pPr>
        <w:pStyle w:val="TOC4"/>
      </w:pPr>
      <w:r w:rsidRPr="00850F7C">
        <w:t xml:space="preserve">ԳՆԱՃ </w:t>
      </w:r>
      <w:r>
        <w:rPr>
          <w:lang w:val="hy-AM"/>
        </w:rPr>
        <w:t xml:space="preserve">ԵՎ </w:t>
      </w:r>
      <w:r w:rsidRPr="00850F7C">
        <w:t>ԴՐԱՄԱՎԱՐԿԱՅԻՆ ՔԱՂԱՔԱԿԱՆՈՒԹՅՈՒՆ</w:t>
      </w:r>
    </w:p>
    <w:p w14:paraId="20FCF954" w14:textId="77777777" w:rsidR="00FE3BE4" w:rsidRPr="00850F7C" w:rsidRDefault="00FE3BE4" w:rsidP="00FE3BE4">
      <w:pPr>
        <w:pStyle w:val="BodytextBullets"/>
      </w:pPr>
      <w:r w:rsidRPr="005D3566">
        <w:rPr>
          <w:lang w:val="hy-AM"/>
        </w:rPr>
        <w:t>202</w:t>
      </w:r>
      <w:r w:rsidRPr="000B7563">
        <w:rPr>
          <w:lang w:val="hy-AM"/>
        </w:rPr>
        <w:t>5</w:t>
      </w:r>
      <w:r w:rsidRPr="005D3566">
        <w:rPr>
          <w:lang w:val="hy-AM"/>
        </w:rPr>
        <w:t>թ</w:t>
      </w:r>
      <w:r w:rsidRPr="005D3566">
        <w:rPr>
          <w:rFonts w:ascii="Cambria Math" w:hAnsi="Cambria Math" w:cs="Cambria Math"/>
          <w:lang w:val="hy-AM"/>
        </w:rPr>
        <w:t>․</w:t>
      </w:r>
      <w:r w:rsidRPr="005D3566">
        <w:rPr>
          <w:lang w:val="hy-AM"/>
        </w:rPr>
        <w:t xml:space="preserve">-ին ինչպես միջին, այնպես էլ 12 ամսյա գնաճը </w:t>
      </w:r>
      <w:r>
        <w:rPr>
          <w:lang w:val="hy-AM"/>
        </w:rPr>
        <w:t xml:space="preserve">մոտ կլինեն նպատակային ցուցանիշին </w:t>
      </w:r>
      <w:r w:rsidRPr="005D3566">
        <w:rPr>
          <w:lang w:val="hy-AM"/>
        </w:rPr>
        <w:t xml:space="preserve">և միջնաժամկետում կկայունանան </w:t>
      </w:r>
      <w:r>
        <w:rPr>
          <w:lang w:val="hy-AM"/>
        </w:rPr>
        <w:t>3</w:t>
      </w:r>
      <w:r w:rsidRPr="005D3566">
        <w:rPr>
          <w:lang w:val="hy-AM"/>
        </w:rPr>
        <w:t xml:space="preserve">% </w:t>
      </w:r>
      <w:r>
        <w:rPr>
          <w:lang w:val="hy-AM"/>
        </w:rPr>
        <w:t xml:space="preserve">մակարդակի </w:t>
      </w:r>
      <w:r w:rsidRPr="005D3566">
        <w:rPr>
          <w:lang w:val="hy-AM"/>
        </w:rPr>
        <w:t>շուրջ</w:t>
      </w:r>
      <w:r w:rsidRPr="00850F7C">
        <w:t>:</w:t>
      </w:r>
    </w:p>
    <w:p w14:paraId="23F5BDCB" w14:textId="77777777" w:rsidR="00FE3BE4" w:rsidRPr="00850F7C" w:rsidRDefault="00FE3BE4" w:rsidP="00FE3BE4">
      <w:pPr>
        <w:pStyle w:val="BodytextBullets"/>
      </w:pPr>
      <w:r w:rsidRPr="00850F7C">
        <w:t>Մշտադիտարկելով տնտեսության զարգացման սցենարները, ԿԲ-</w:t>
      </w:r>
      <w:r>
        <w:rPr>
          <w:lang w:val="hy-AM"/>
        </w:rPr>
        <w:t>ն</w:t>
      </w:r>
      <w:r w:rsidRPr="00850F7C">
        <w:t xml:space="preserve"> պատրաստ է ձեռնարկել համարժեք գործողություններ՝ միջնաժամկետ հորիզոնում գնաճի</w:t>
      </w:r>
      <w:r>
        <w:t xml:space="preserve"> </w:t>
      </w:r>
      <w:r>
        <w:rPr>
          <w:lang w:val="hy-AM"/>
        </w:rPr>
        <w:t xml:space="preserve">թիրախային </w:t>
      </w:r>
      <w:r w:rsidRPr="00850F7C">
        <w:t>մակարդակի և գների կայունության նպատակի ապահովման համար:</w:t>
      </w:r>
    </w:p>
    <w:p w14:paraId="257EEA04" w14:textId="77777777" w:rsidR="00FE3BE4" w:rsidRPr="00C3014C" w:rsidRDefault="00FE3BE4" w:rsidP="00104E7A">
      <w:pPr>
        <w:pStyle w:val="TOC3"/>
        <w:pBdr>
          <w:bottom w:val="single" w:sz="6" w:space="1" w:color="C3C3C7" w:themeColor="accent3" w:themeTint="66"/>
        </w:pBdr>
        <w:ind w:left="-1080" w:firstLine="1080"/>
        <w:outlineLvl w:val="1"/>
      </w:pPr>
      <w:bookmarkStart w:id="216" w:name="_Toc178356566"/>
      <w:bookmarkStart w:id="217" w:name="_Toc178612090"/>
      <w:bookmarkStart w:id="218" w:name="_Toc183801074"/>
      <w:bookmarkStart w:id="219" w:name="_Toc215157673"/>
      <w:r w:rsidRPr="00C3014C">
        <w:t>1.5. ՄԱԿՐՈՏՆՏԵՍԱԿԱՆ ԿԱՆԽԱՏԵՍՈՒՄՆԵՐԻ ՌԻՍԿԵՐԸ</w:t>
      </w:r>
      <w:bookmarkEnd w:id="207"/>
      <w:bookmarkEnd w:id="208"/>
      <w:bookmarkEnd w:id="209"/>
      <w:bookmarkEnd w:id="210"/>
      <w:bookmarkEnd w:id="211"/>
      <w:bookmarkEnd w:id="212"/>
      <w:bookmarkEnd w:id="213"/>
      <w:bookmarkEnd w:id="214"/>
      <w:bookmarkEnd w:id="215"/>
      <w:bookmarkEnd w:id="216"/>
      <w:bookmarkEnd w:id="217"/>
      <w:bookmarkEnd w:id="218"/>
      <w:bookmarkEnd w:id="219"/>
    </w:p>
    <w:p w14:paraId="10E46A0E" w14:textId="0CAC0C2D" w:rsidR="00FE3BE4" w:rsidRDefault="00FE3BE4" w:rsidP="00FE3BE4">
      <w:pPr>
        <w:pStyle w:val="BodyText1"/>
      </w:pPr>
      <w:r w:rsidRPr="00C3014C">
        <w:t>Կանխատեսման առկա ռիսկերը պայմանավորվում են ինչպես արտաքին, այնպես էլ ներքին տնտեսական գործոններով, որոնք կարող են հանգեցնել ինչպես տնտեսական աճի տեմպերի ավելացմանը, այնպես էլ նվազմանը՝ ներկայացված կենտրոնական կանխատեսումների համեմատ: Ռիսկերի տեղի ունենալու դեպքում շեղումներ կարձանագրվեն սույն փաստաթղթի 1.4 բաժնում ներկայացված ենթադրություններից՝ հանգեցնելով մակրոտնտեսական կանխատեսումներից շեղումների և դրա հետևանքով էլ հարկաբյուջետային շրջանակի ցուցանիշների շեղման այս պետական բյուջեի շրջանակից։</w:t>
      </w:r>
    </w:p>
    <w:p w14:paraId="3F5BC462" w14:textId="290B876C" w:rsidR="00491228" w:rsidRDefault="00491228" w:rsidP="00491228">
      <w:r>
        <w:rPr>
          <w:noProof/>
        </w:rPr>
        <mc:AlternateContent>
          <mc:Choice Requires="wps">
            <w:drawing>
              <wp:anchor distT="0" distB="0" distL="114300" distR="114300" simplePos="0" relativeHeight="251954176" behindDoc="0" locked="0" layoutInCell="1" allowOverlap="1" wp14:anchorId="3A56F3B4" wp14:editId="3616C18A">
                <wp:simplePos x="0" y="0"/>
                <wp:positionH relativeFrom="margin">
                  <wp:align>left</wp:align>
                </wp:positionH>
                <wp:positionV relativeFrom="paragraph">
                  <wp:posOffset>60960</wp:posOffset>
                </wp:positionV>
                <wp:extent cx="6378480" cy="3429000"/>
                <wp:effectExtent l="0" t="0" r="22860" b="19050"/>
                <wp:wrapNone/>
                <wp:docPr id="21" name="Text Box 21"/>
                <wp:cNvGraphicFramePr/>
                <a:graphic xmlns:a="http://schemas.openxmlformats.org/drawingml/2006/main">
                  <a:graphicData uri="http://schemas.microsoft.com/office/word/2010/wordprocessingShape">
                    <wps:wsp>
                      <wps:cNvSpPr txBox="1"/>
                      <wps:spPr>
                        <a:xfrm>
                          <a:off x="0" y="0"/>
                          <a:ext cx="6378480" cy="3429000"/>
                        </a:xfrm>
                        <a:prstGeom prst="rect">
                          <a:avLst/>
                        </a:prstGeom>
                        <a:solidFill>
                          <a:schemeClr val="accent1">
                            <a:lumMod val="20000"/>
                            <a:lumOff val="80000"/>
                          </a:schemeClr>
                        </a:solidFill>
                        <a:ln w="6350">
                          <a:solidFill>
                            <a:schemeClr val="accent1">
                              <a:lumMod val="60000"/>
                              <a:lumOff val="40000"/>
                            </a:schemeClr>
                          </a:solidFill>
                        </a:ln>
                      </wps:spPr>
                      <wps:txbx id="8">
                        <w:txbxContent>
                          <w:p w14:paraId="05783356" w14:textId="77777777" w:rsidR="00147C8B" w:rsidRPr="000536EA" w:rsidRDefault="00147C8B" w:rsidP="00491228">
                            <w:pPr>
                              <w:jc w:val="both"/>
                              <w:rPr>
                                <w:rFonts w:ascii="GHEA Grapalat" w:hAnsi="GHEA Grapalat"/>
                                <w:b/>
                                <w:bCs/>
                                <w:i/>
                                <w:iCs/>
                                <w:sz w:val="20"/>
                                <w:szCs w:val="20"/>
                                <w:lang w:val="hy-AM"/>
                              </w:rPr>
                            </w:pPr>
                            <w:r w:rsidRPr="000536EA">
                              <w:rPr>
                                <w:rFonts w:ascii="GHEA Grapalat" w:hAnsi="GHEA Grapalat"/>
                                <w:b/>
                                <w:bCs/>
                                <w:i/>
                                <w:iCs/>
                                <w:sz w:val="20"/>
                                <w:szCs w:val="20"/>
                                <w:lang w:val="hy-AM"/>
                              </w:rPr>
                              <w:t>Ներ</w:t>
                            </w:r>
                            <w:r>
                              <w:rPr>
                                <w:rFonts w:ascii="GHEA Grapalat" w:hAnsi="GHEA Grapalat"/>
                                <w:b/>
                                <w:bCs/>
                                <w:i/>
                                <w:iCs/>
                                <w:sz w:val="20"/>
                                <w:szCs w:val="20"/>
                                <w:lang w:val="hy-AM"/>
                              </w:rPr>
                              <w:t>գ</w:t>
                            </w:r>
                            <w:r w:rsidRPr="000536EA">
                              <w:rPr>
                                <w:rFonts w:ascii="GHEA Grapalat" w:hAnsi="GHEA Grapalat"/>
                                <w:b/>
                                <w:bCs/>
                                <w:i/>
                                <w:iCs/>
                                <w:sz w:val="20"/>
                                <w:szCs w:val="20"/>
                                <w:lang w:val="hy-AM"/>
                              </w:rPr>
                              <w:t xml:space="preserve">իր </w:t>
                            </w:r>
                            <w:r>
                              <w:rPr>
                                <w:rFonts w:ascii="GHEA Grapalat" w:hAnsi="GHEA Grapalat"/>
                                <w:b/>
                                <w:bCs/>
                                <w:i/>
                                <w:iCs/>
                                <w:sz w:val="20"/>
                                <w:szCs w:val="20"/>
                              </w:rPr>
                              <w:t>2</w:t>
                            </w:r>
                            <w:r w:rsidRPr="000536EA">
                              <w:rPr>
                                <w:rFonts w:ascii="GHEA Grapalat" w:hAnsi="GHEA Grapalat"/>
                                <w:b/>
                                <w:bCs/>
                                <w:i/>
                                <w:iCs/>
                                <w:sz w:val="20"/>
                                <w:szCs w:val="20"/>
                                <w:lang w:val="hy-AM"/>
                              </w:rPr>
                              <w:t xml:space="preserve">։ </w:t>
                            </w:r>
                            <w:r w:rsidRPr="008513EA">
                              <w:rPr>
                                <w:rFonts w:ascii="GHEA Grapalat" w:hAnsi="GHEA Grapalat"/>
                                <w:b/>
                                <w:bCs/>
                                <w:i/>
                                <w:iCs/>
                                <w:sz w:val="20"/>
                                <w:szCs w:val="20"/>
                                <w:lang w:val="hy-AM"/>
                              </w:rPr>
                              <w:t>ՀՆԱ ծախսային բաղադրիչների և տնտեսության ճյուղերի կանխատեսումների մոդելային համակարգ</w:t>
                            </w:r>
                          </w:p>
                          <w:p w14:paraId="6F562B21" w14:textId="77777777" w:rsidR="00147C8B" w:rsidRDefault="00147C8B" w:rsidP="00491228">
                            <w:pPr>
                              <w:spacing w:after="0"/>
                              <w:ind w:firstLine="720"/>
                              <w:contextualSpacing/>
                              <w:jc w:val="both"/>
                              <w:rPr>
                                <w:rFonts w:ascii="GHEA Grapalat" w:hAnsi="GHEA Grapalat"/>
                                <w:sz w:val="20"/>
                                <w:szCs w:val="20"/>
                                <w:lang w:val="hy-AM"/>
                              </w:rPr>
                            </w:pPr>
                            <w:r w:rsidRPr="008513EA">
                              <w:rPr>
                                <w:rFonts w:ascii="GHEA Grapalat" w:hAnsi="GHEA Grapalat"/>
                                <w:sz w:val="20"/>
                                <w:szCs w:val="20"/>
                                <w:lang w:val="hy-AM"/>
                              </w:rPr>
                              <w:t xml:space="preserve">Ի հավելումն ՖՆ տնտեսաչափական գործիքակազմի՝ ՌԴ ՖՆ գիտահետազոտական ֆինանսական ինստիտուտի գործընկերների հետ համատեղ մշակվել է ՀՆԱ ծախսային բաղադրիչների և տնտեսության ճյուղերի կանխատեսումների մոդելային համակարգ: Վերջինս, հիմնվելով տարբեր վիճակագրական և տնտեսագիտական չափանիշների վրա, հնարավորություն է տալիս գնահատված մեծաքանակ մոդելներից ընտրել լավագույնները: Մոդելային համակարգը կառուցված է R ծրագրային միջավայրում, ինչը հնարավորություն է ընձեռում կարճ ժամկետում գնահատել մեծաքանակ տնտեսաչափական մոդելներ և ընտրել կանխատեսման համար առավել արդյունավետ մոդելները: Էկոնոմետրիկ գնահատման արդյունքները պահպանվում են օգտագործողին հարմար ձևաչափով և պարունակում են բոլոր անհրաժեշտ որակական չափանիշները, ինչը թույլ է տալիս ընտրել առավել ճշգրիտ և բովանդակալից մոդելներ:  Կանխատեսման </w:t>
                            </w:r>
                            <w:r>
                              <w:rPr>
                                <w:rFonts w:ascii="GHEA Grapalat" w:hAnsi="GHEA Grapalat"/>
                                <w:sz w:val="20"/>
                                <w:szCs w:val="20"/>
                                <w:lang w:val="hy-AM"/>
                              </w:rPr>
                              <w:t>գործընթացն</w:t>
                            </w:r>
                            <w:r w:rsidRPr="008513EA">
                              <w:rPr>
                                <w:rFonts w:ascii="GHEA Grapalat" w:hAnsi="GHEA Grapalat"/>
                                <w:sz w:val="20"/>
                                <w:szCs w:val="20"/>
                                <w:lang w:val="hy-AM"/>
                              </w:rPr>
                              <w:t xml:space="preserve"> իրականացվում է վերևից ներքև /top-down/ մոտեցմամբ, որտեղ, օրինակ, տնտեսական աճի կանխատեսումները ընդունվում են տրված և իրականացվում են պայմանական կանխատեսումներ:</w:t>
                            </w:r>
                          </w:p>
                          <w:p w14:paraId="57C1765D" w14:textId="77777777" w:rsidR="00147C8B" w:rsidRDefault="00147C8B" w:rsidP="00491228">
                            <w:pPr>
                              <w:spacing w:after="0"/>
                              <w:ind w:firstLine="720"/>
                              <w:contextualSpacing/>
                              <w:jc w:val="both"/>
                              <w:rPr>
                                <w:rFonts w:ascii="GHEA Grapalat" w:hAnsi="GHEA Grapalat"/>
                                <w:sz w:val="20"/>
                                <w:szCs w:val="20"/>
                                <w:lang w:val="hy-AM"/>
                              </w:rPr>
                            </w:pPr>
                            <w:r>
                              <w:rPr>
                                <w:rFonts w:ascii="GHEA Grapalat" w:hAnsi="GHEA Grapalat"/>
                                <w:sz w:val="20"/>
                                <w:szCs w:val="20"/>
                                <w:lang w:val="hy-AM"/>
                              </w:rPr>
                              <w:t>Մոդելային համակարգը համալրված է նաև կարճաժամկետ ընթացիկ կանխատեսումներ իրականացնելու</w:t>
                            </w:r>
                            <w:r w:rsidRPr="00EE7257">
                              <w:rPr>
                                <w:rFonts w:ascii="GHEA Grapalat" w:hAnsi="GHEA Grapalat"/>
                                <w:sz w:val="20"/>
                                <w:szCs w:val="20"/>
                                <w:lang w:val="hy-AM"/>
                              </w:rPr>
                              <w:t xml:space="preserve"> </w:t>
                            </w:r>
                            <w:r w:rsidRPr="00B755E6">
                              <w:rPr>
                                <w:rFonts w:ascii="GHEA Grapalat" w:hAnsi="GHEA Grapalat"/>
                                <w:sz w:val="20"/>
                                <w:szCs w:val="20"/>
                                <w:lang w:val="hy-AM"/>
                              </w:rPr>
                              <w:t>(Nowcasting)</w:t>
                            </w:r>
                            <w:r>
                              <w:rPr>
                                <w:rFonts w:ascii="GHEA Grapalat" w:hAnsi="GHEA Grapalat"/>
                                <w:sz w:val="20"/>
                                <w:szCs w:val="20"/>
                                <w:lang w:val="hy-AM"/>
                              </w:rPr>
                              <w:t xml:space="preserve"> գործիքակազմով, որը հնարավորություն է տալիս իրականացնելու տնտեսական աճի, ինչպես նաև ՀՆԱ առանձին</w:t>
                            </w:r>
                            <w:r w:rsidRPr="00B755E6">
                              <w:rPr>
                                <w:rFonts w:ascii="GHEA Grapalat" w:hAnsi="GHEA Grapalat"/>
                                <w:sz w:val="20"/>
                                <w:szCs w:val="20"/>
                                <w:lang w:val="hy-AM"/>
                              </w:rPr>
                              <w:t xml:space="preserve"> բաղադրիչների</w:t>
                            </w:r>
                            <w:r>
                              <w:rPr>
                                <w:rFonts w:ascii="GHEA Grapalat" w:hAnsi="GHEA Grapalat"/>
                                <w:sz w:val="20"/>
                                <w:szCs w:val="20"/>
                                <w:lang w:val="hy-AM"/>
                              </w:rPr>
                              <w:t xml:space="preserve"> կարճաժամկետ </w:t>
                            </w:r>
                            <w:r w:rsidRPr="00B755E6">
                              <w:rPr>
                                <w:rFonts w:ascii="GHEA Grapalat" w:hAnsi="GHEA Grapalat"/>
                                <w:sz w:val="20"/>
                                <w:szCs w:val="20"/>
                                <w:lang w:val="hy-AM"/>
                              </w:rPr>
                              <w:t>(</w:t>
                            </w:r>
                            <w:r>
                              <w:rPr>
                                <w:rFonts w:ascii="GHEA Grapalat" w:hAnsi="GHEA Grapalat"/>
                                <w:sz w:val="20"/>
                                <w:szCs w:val="20"/>
                                <w:lang w:val="hy-AM"/>
                              </w:rPr>
                              <w:t>ընթացիկ եռամսյակի համար</w:t>
                            </w:r>
                            <w:r w:rsidRPr="00B755E6">
                              <w:rPr>
                                <w:rFonts w:ascii="GHEA Grapalat" w:hAnsi="GHEA Grapalat"/>
                                <w:sz w:val="20"/>
                                <w:szCs w:val="20"/>
                                <w:lang w:val="hy-AM"/>
                              </w:rPr>
                              <w:t>)</w:t>
                            </w:r>
                            <w:r>
                              <w:rPr>
                                <w:rFonts w:ascii="GHEA Grapalat" w:hAnsi="GHEA Grapalat"/>
                                <w:sz w:val="20"/>
                                <w:szCs w:val="20"/>
                                <w:lang w:val="hy-AM"/>
                              </w:rPr>
                              <w:t xml:space="preserve"> կանխատեսումներ:</w:t>
                            </w:r>
                            <w:r w:rsidRPr="009B4E92">
                              <w:rPr>
                                <w:rFonts w:ascii="GHEA Grapalat" w:hAnsi="GHEA Grapalat"/>
                                <w:sz w:val="20"/>
                                <w:szCs w:val="20"/>
                                <w:lang w:val="hy-AM"/>
                              </w:rPr>
                              <w:t xml:space="preserve"> </w:t>
                            </w:r>
                          </w:p>
                          <w:p w14:paraId="33E6C4D9" w14:textId="77777777" w:rsidR="00147C8B" w:rsidRDefault="00147C8B" w:rsidP="00491228">
                            <w:pPr>
                              <w:ind w:firstLine="709"/>
                              <w:jc w:val="both"/>
                              <w:rPr>
                                <w:rFonts w:ascii="GHEA Grapalat" w:hAnsi="GHEA Grapalat"/>
                                <w:sz w:val="20"/>
                                <w:szCs w:val="20"/>
                                <w:lang w:val="hy-AM"/>
                              </w:rPr>
                            </w:pPr>
                            <w:r>
                              <w:rPr>
                                <w:rFonts w:ascii="GHEA Grapalat" w:hAnsi="GHEA Grapalat"/>
                                <w:sz w:val="20"/>
                                <w:szCs w:val="20"/>
                                <w:lang w:val="hy-AM"/>
                              </w:rPr>
                              <w:t xml:space="preserve">Կարճաժամկետ կանխատեսումների մոդելային համակարգը ներառում է </w:t>
                            </w:r>
                            <w:r w:rsidRPr="007C6E68">
                              <w:rPr>
                                <w:rFonts w:ascii="GHEA Grapalat" w:hAnsi="GHEA Grapalat"/>
                                <w:sz w:val="20"/>
                                <w:szCs w:val="20"/>
                                <w:lang w:val="hy-AM"/>
                              </w:rPr>
                              <w:t>MIDAS</w:t>
                            </w:r>
                            <w:r w:rsidRPr="0026013C">
                              <w:rPr>
                                <w:rFonts w:ascii="GHEA Grapalat" w:hAnsi="GHEA Grapalat"/>
                                <w:sz w:val="20"/>
                                <w:szCs w:val="20"/>
                                <w:lang w:val="hy-AM"/>
                              </w:rPr>
                              <w:t xml:space="preserve"> (Mixed Data Sampling)</w:t>
                            </w:r>
                            <w:r>
                              <w:rPr>
                                <w:rFonts w:ascii="GHEA Grapalat" w:hAnsi="GHEA Grapalat"/>
                                <w:sz w:val="20"/>
                                <w:szCs w:val="20"/>
                                <w:lang w:val="hy-AM"/>
                              </w:rPr>
                              <w:t xml:space="preserve"> մոդելներ, որոնք, հիմնվելով ավելի բարձր հաճախականությամբ հրապարակվող ցուցանիշների </w:t>
                            </w:r>
                            <w:r w:rsidRPr="00682163">
                              <w:rPr>
                                <w:rFonts w:ascii="GHEA Grapalat" w:hAnsi="GHEA Grapalat"/>
                                <w:sz w:val="20"/>
                                <w:szCs w:val="20"/>
                                <w:lang w:val="hy-AM"/>
                              </w:rPr>
                              <w:t>(</w:t>
                            </w:r>
                            <w:r>
                              <w:rPr>
                                <w:rFonts w:ascii="GHEA Grapalat" w:hAnsi="GHEA Grapalat"/>
                                <w:sz w:val="20"/>
                                <w:szCs w:val="20"/>
                                <w:lang w:val="hy-AM"/>
                              </w:rPr>
                              <w:t>ամսական տվյալներ</w:t>
                            </w:r>
                            <w:r w:rsidRPr="00682163">
                              <w:rPr>
                                <w:rFonts w:ascii="GHEA Grapalat" w:hAnsi="GHEA Grapalat"/>
                                <w:sz w:val="20"/>
                                <w:szCs w:val="20"/>
                                <w:lang w:val="hy-AM"/>
                              </w:rPr>
                              <w:t>)</w:t>
                            </w:r>
                            <w:r>
                              <w:rPr>
                                <w:rFonts w:ascii="GHEA Grapalat" w:hAnsi="GHEA Grapalat"/>
                                <w:sz w:val="20"/>
                                <w:szCs w:val="20"/>
                                <w:lang w:val="hy-AM"/>
                              </w:rPr>
                              <w:t xml:space="preserve"> վրա, իրականացնում են ցածր հաճախականությամբ հրապարակվող</w:t>
                            </w:r>
                            <w:r w:rsidRPr="00F16DEF">
                              <w:rPr>
                                <w:rFonts w:ascii="GHEA Grapalat" w:hAnsi="GHEA Grapalat"/>
                                <w:sz w:val="20"/>
                                <w:szCs w:val="20"/>
                                <w:lang w:val="hy-AM"/>
                              </w:rPr>
                              <w:t xml:space="preserve"> </w:t>
                            </w:r>
                            <w:r>
                              <w:rPr>
                                <w:rFonts w:ascii="GHEA Grapalat" w:hAnsi="GHEA Grapalat"/>
                                <w:sz w:val="20"/>
                                <w:szCs w:val="20"/>
                                <w:lang w:val="hy-AM"/>
                              </w:rPr>
                              <w:t xml:space="preserve">ցուցանիշների </w:t>
                            </w:r>
                            <w:r w:rsidRPr="00682163">
                              <w:rPr>
                                <w:rFonts w:ascii="GHEA Grapalat" w:hAnsi="GHEA Grapalat"/>
                                <w:sz w:val="20"/>
                                <w:szCs w:val="20"/>
                                <w:lang w:val="hy-AM"/>
                              </w:rPr>
                              <w:t>(</w:t>
                            </w:r>
                            <w:r>
                              <w:rPr>
                                <w:rFonts w:ascii="GHEA Grapalat" w:hAnsi="GHEA Grapalat"/>
                                <w:sz w:val="20"/>
                                <w:szCs w:val="20"/>
                                <w:lang w:val="hy-AM"/>
                              </w:rPr>
                              <w:t>եռամսյակային տվյալներ</w:t>
                            </w:r>
                            <w:r w:rsidRPr="00682163">
                              <w:rPr>
                                <w:rFonts w:ascii="GHEA Grapalat" w:hAnsi="GHEA Grapalat"/>
                                <w:sz w:val="20"/>
                                <w:szCs w:val="20"/>
                                <w:lang w:val="hy-AM"/>
                              </w:rPr>
                              <w:t>)</w:t>
                            </w:r>
                            <w:r>
                              <w:rPr>
                                <w:rFonts w:ascii="GHEA Grapalat" w:hAnsi="GHEA Grapalat"/>
                                <w:sz w:val="20"/>
                                <w:szCs w:val="20"/>
                                <w:lang w:val="hy-AM"/>
                              </w:rPr>
                              <w:t xml:space="preserve"> կարճաժամկետ կանխատեսումներ: </w:t>
                            </w:r>
                            <w:r w:rsidRPr="009E12F5">
                              <w:rPr>
                                <w:rFonts w:ascii="GHEA Grapalat" w:hAnsi="GHEA Grapalat"/>
                                <w:sz w:val="20"/>
                                <w:szCs w:val="20"/>
                                <w:lang w:val="hy-AM"/>
                              </w:rPr>
                              <w:t>Այստեղ փոփոխականների ընտրությունն իրականացվում է</w:t>
                            </w:r>
                            <w:r>
                              <w:rPr>
                                <w:rFonts w:ascii="GHEA Grapalat" w:hAnsi="GHEA Grapalat"/>
                                <w:sz w:val="20"/>
                                <w:szCs w:val="20"/>
                                <w:lang w:val="hy-AM"/>
                              </w:rPr>
                              <w:t xml:space="preserve"> մեքենայական ուսուցման մեջ կիրառվող</w:t>
                            </w:r>
                            <w:r w:rsidRPr="009E12F5">
                              <w:rPr>
                                <w:rFonts w:ascii="GHEA Grapalat" w:hAnsi="GHEA Grapalat"/>
                                <w:sz w:val="20"/>
                                <w:szCs w:val="20"/>
                                <w:lang w:val="hy-AM"/>
                              </w:rPr>
                              <w:t xml:space="preserve"> Elastic Net մոտեցմամբ: </w:t>
                            </w:r>
                          </w:p>
                          <w:p w14:paraId="371A845C" w14:textId="77777777" w:rsidR="00147C8B" w:rsidRPr="00BE54D1" w:rsidRDefault="00147C8B" w:rsidP="00491228">
                            <w:pPr>
                              <w:rPr>
                                <w:rFonts w:ascii="GHEA Grapalat" w:hAnsi="GHEA Grapalat"/>
                                <w:i/>
                                <w:sz w:val="20"/>
                                <w:lang w:val="hy-AM"/>
                              </w:rPr>
                            </w:pPr>
                            <w:r w:rsidRPr="00BE54D1">
                              <w:rPr>
                                <w:rFonts w:ascii="GHEA Grapalat" w:hAnsi="GHEA Grapalat"/>
                                <w:i/>
                                <w:sz w:val="20"/>
                                <w:lang w:val="hy-AM"/>
                              </w:rPr>
                              <w:t>Գծապատկեր 1.</w:t>
                            </w:r>
                            <w:r w:rsidRPr="009E12F5">
                              <w:rPr>
                                <w:rFonts w:ascii="GHEA Grapalat" w:hAnsi="GHEA Grapalat"/>
                                <w:sz w:val="20"/>
                                <w:szCs w:val="20"/>
                                <w:lang w:val="hy-AM"/>
                              </w:rPr>
                              <w:t xml:space="preserve"> </w:t>
                            </w:r>
                            <w:r w:rsidRPr="00BE54D1">
                              <w:rPr>
                                <w:rFonts w:ascii="GHEA Grapalat" w:hAnsi="GHEA Grapalat"/>
                                <w:i/>
                                <w:sz w:val="20"/>
                                <w:lang w:val="hy-AM"/>
                              </w:rPr>
                              <w:t xml:space="preserve">Տնտեսական աճի եռամսյակային կանխատեսումներ, </w:t>
                            </w:r>
                            <w:r w:rsidRPr="009E12F5">
                              <w:rPr>
                                <w:rFonts w:ascii="GHEA Grapalat" w:hAnsi="GHEA Grapalat"/>
                                <w:i/>
                                <w:sz w:val="20"/>
                                <w:lang w:val="hy-AM"/>
                              </w:rPr>
                              <w:t>%</w:t>
                            </w:r>
                            <w:r w:rsidRPr="00BE54D1">
                              <w:rPr>
                                <w:rFonts w:ascii="GHEA Grapalat" w:hAnsi="GHEA Grapalat"/>
                                <w:i/>
                                <w:sz w:val="20"/>
                                <w:lang w:val="hy-AM"/>
                              </w:rPr>
                              <w:t xml:space="preserve"> </w:t>
                            </w:r>
                          </w:p>
                          <w:p w14:paraId="0F549ADC" w14:textId="77777777" w:rsidR="00147C8B" w:rsidRPr="00BE54D1" w:rsidRDefault="00147C8B" w:rsidP="00491228">
                            <w:pPr>
                              <w:rPr>
                                <w:lang w:val="hy-AM"/>
                              </w:rPr>
                            </w:pPr>
                            <w:r w:rsidRPr="00BE54D1">
                              <w:rPr>
                                <w:noProof/>
                              </w:rPr>
                              <w:drawing>
                                <wp:inline distT="0" distB="0" distL="0" distR="0" wp14:anchorId="3BC5B0CE" wp14:editId="2A1CA23C">
                                  <wp:extent cx="4191856" cy="2366645"/>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4194552" cy="2368167"/>
                                          </a:xfrm>
                                          <a:prstGeom prst="rect">
                                            <a:avLst/>
                                          </a:prstGeom>
                                          <a:noFill/>
                                          <a:ln>
                                            <a:noFill/>
                                          </a:ln>
                                        </pic:spPr>
                                      </pic:pic>
                                    </a:graphicData>
                                  </a:graphic>
                                </wp:inline>
                              </w:drawing>
                            </w:r>
                          </w:p>
                          <w:p w14:paraId="1E109704" w14:textId="77777777" w:rsidR="00147C8B" w:rsidRPr="00F82E03" w:rsidRDefault="00147C8B">
                            <w:pPr>
                              <w:rPr>
                                <w:lang w:val="hy-AM"/>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A56F3B4" id="Text Box 21" o:spid="_x0000_s1034" type="#_x0000_t202" style="position:absolute;margin-left:0;margin-top:4.8pt;width:502.25pt;height:270pt;z-index:251954176;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" fillcolor="#deeaf6 [660]" strokecolor="#9cc2e5 [1940]" strokeweight=".5pt">
                <v:textbox style="mso-next-textbox:#Text Box 26">
                  <w:txbxContent>
                    <w:p w14:paraId="05783356" w14:textId="77777777" w:rsidR="00147C8B" w:rsidRPr="000536EA" w:rsidRDefault="00147C8B" w:rsidP="00491228">
                      <w:pPr>
                        <w:jc w:val="both"/>
                        <w:rPr>
                          <w:rFonts w:ascii="GHEA Grapalat" w:hAnsi="GHEA Grapalat"/>
                          <w:b/>
                          <w:bCs/>
                          <w:i/>
                          <w:iCs/>
                          <w:sz w:val="20"/>
                          <w:szCs w:val="20"/>
                          <w:lang w:val="hy-AM"/>
                        </w:rPr>
                      </w:pPr>
                      <w:r w:rsidRPr="000536EA">
                        <w:rPr>
                          <w:rFonts w:ascii="GHEA Grapalat" w:hAnsi="GHEA Grapalat"/>
                          <w:b/>
                          <w:bCs/>
                          <w:i/>
                          <w:iCs/>
                          <w:sz w:val="20"/>
                          <w:szCs w:val="20"/>
                          <w:lang w:val="hy-AM"/>
                        </w:rPr>
                        <w:t>Ներ</w:t>
                      </w:r>
                      <w:r>
                        <w:rPr>
                          <w:rFonts w:ascii="GHEA Grapalat" w:hAnsi="GHEA Grapalat"/>
                          <w:b/>
                          <w:bCs/>
                          <w:i/>
                          <w:iCs/>
                          <w:sz w:val="20"/>
                          <w:szCs w:val="20"/>
                          <w:lang w:val="hy-AM"/>
                        </w:rPr>
                        <w:t>գ</w:t>
                      </w:r>
                      <w:r w:rsidRPr="000536EA">
                        <w:rPr>
                          <w:rFonts w:ascii="GHEA Grapalat" w:hAnsi="GHEA Grapalat"/>
                          <w:b/>
                          <w:bCs/>
                          <w:i/>
                          <w:iCs/>
                          <w:sz w:val="20"/>
                          <w:szCs w:val="20"/>
                          <w:lang w:val="hy-AM"/>
                        </w:rPr>
                        <w:t xml:space="preserve">իր </w:t>
                      </w:r>
                      <w:r>
                        <w:rPr>
                          <w:rFonts w:ascii="GHEA Grapalat" w:hAnsi="GHEA Grapalat"/>
                          <w:b/>
                          <w:bCs/>
                          <w:i/>
                          <w:iCs/>
                          <w:sz w:val="20"/>
                          <w:szCs w:val="20"/>
                        </w:rPr>
                        <w:t>2</w:t>
                      </w:r>
                      <w:r w:rsidRPr="000536EA">
                        <w:rPr>
                          <w:rFonts w:ascii="GHEA Grapalat" w:hAnsi="GHEA Grapalat"/>
                          <w:b/>
                          <w:bCs/>
                          <w:i/>
                          <w:iCs/>
                          <w:sz w:val="20"/>
                          <w:szCs w:val="20"/>
                          <w:lang w:val="hy-AM"/>
                        </w:rPr>
                        <w:t xml:space="preserve">։ </w:t>
                      </w:r>
                      <w:r w:rsidRPr="008513EA">
                        <w:rPr>
                          <w:rFonts w:ascii="GHEA Grapalat" w:hAnsi="GHEA Grapalat"/>
                          <w:b/>
                          <w:bCs/>
                          <w:i/>
                          <w:iCs/>
                          <w:sz w:val="20"/>
                          <w:szCs w:val="20"/>
                          <w:lang w:val="hy-AM"/>
                        </w:rPr>
                        <w:t>ՀՆԱ ծախսային բաղադրիչների և տնտեսության ճյուղերի կանխատեսումների մոդելային համակարգ</w:t>
                      </w:r>
                    </w:p>
                    <w:p w14:paraId="6F562B21" w14:textId="77777777" w:rsidR="00147C8B" w:rsidRDefault="00147C8B" w:rsidP="00491228">
                      <w:pPr>
                        <w:spacing w:after="0"/>
                        <w:ind w:firstLine="720"/>
                        <w:contextualSpacing/>
                        <w:jc w:val="both"/>
                        <w:rPr>
                          <w:rFonts w:ascii="GHEA Grapalat" w:hAnsi="GHEA Grapalat"/>
                          <w:sz w:val="20"/>
                          <w:szCs w:val="20"/>
                          <w:lang w:val="hy-AM"/>
                        </w:rPr>
                      </w:pPr>
                      <w:r w:rsidRPr="008513EA">
                        <w:rPr>
                          <w:rFonts w:ascii="GHEA Grapalat" w:hAnsi="GHEA Grapalat"/>
                          <w:sz w:val="20"/>
                          <w:szCs w:val="20"/>
                          <w:lang w:val="hy-AM"/>
                        </w:rPr>
                        <w:t xml:space="preserve">Ի հավելումն ՖՆ տնտեսաչափական գործիքակազմի՝ ՌԴ ՖՆ գիտահետազոտական ֆինանսական ինստիտուտի գործընկերների հետ համատեղ մշակվել է ՀՆԱ ծախսային բաղադրիչների և տնտեսության ճյուղերի կանխատեսումների մոդելային համակարգ: Վերջինս, հիմնվելով տարբեր վիճակագրական և տնտեսագիտական չափանիշների վրա, հնարավորություն է տալիս գնահատված մեծաքանակ մոդելներից ընտրել լավագույնները: Մոդելային համակարգը կառուցված է R ծրագրային միջավայրում, ինչը հնարավորություն է ընձեռում կարճ ժամկետում գնահատել մեծաքանակ տնտեսաչափական մոդելներ և ընտրել կանխատեսման համար առավել արդյունավետ մոդելները: Էկոնոմետրիկ գնահատման արդյունքները պահպանվում են օգտագործողին հարմար ձևաչափով և պարունակում են բոլոր անհրաժեշտ որակական չափանիշները, ինչը թույլ է տալիս ընտրել առավել ճշգրիտ և բովանդակալից մոդելներ:  Կանխատեսման </w:t>
                      </w:r>
                      <w:r>
                        <w:rPr>
                          <w:rFonts w:ascii="GHEA Grapalat" w:hAnsi="GHEA Grapalat"/>
                          <w:sz w:val="20"/>
                          <w:szCs w:val="20"/>
                          <w:lang w:val="hy-AM"/>
                        </w:rPr>
                        <w:t>գործընթացն</w:t>
                      </w:r>
                      <w:r w:rsidRPr="008513EA">
                        <w:rPr>
                          <w:rFonts w:ascii="GHEA Grapalat" w:hAnsi="GHEA Grapalat"/>
                          <w:sz w:val="20"/>
                          <w:szCs w:val="20"/>
                          <w:lang w:val="hy-AM"/>
                        </w:rPr>
                        <w:t xml:space="preserve"> իրականացվում է վերևից ներքև /top-down/ մոտեցմամբ, որտեղ, օրինակ, տնտեսական աճի կանխատեսումները ընդունվում են տրված և իրականացվում են պայմանական կանխատեսումներ:</w:t>
                      </w:r>
                    </w:p>
                    <w:p w14:paraId="57C1765D" w14:textId="77777777" w:rsidR="00147C8B" w:rsidRDefault="00147C8B" w:rsidP="00491228">
                      <w:pPr>
                        <w:spacing w:after="0"/>
                        <w:ind w:firstLine="720"/>
                        <w:contextualSpacing/>
                        <w:jc w:val="both"/>
                        <w:rPr>
                          <w:rFonts w:ascii="GHEA Grapalat" w:hAnsi="GHEA Grapalat"/>
                          <w:sz w:val="20"/>
                          <w:szCs w:val="20"/>
                          <w:lang w:val="hy-AM"/>
                        </w:rPr>
                      </w:pPr>
                      <w:r>
                        <w:rPr>
                          <w:rFonts w:ascii="GHEA Grapalat" w:hAnsi="GHEA Grapalat"/>
                          <w:sz w:val="20"/>
                          <w:szCs w:val="20"/>
                          <w:lang w:val="hy-AM"/>
                        </w:rPr>
                        <w:t>Մոդելային համակարգը համալրված է նաև կարճաժամկետ ընթացիկ կանխատեսումներ իրականացնելու</w:t>
                      </w:r>
                      <w:r w:rsidRPr="00EE7257">
                        <w:rPr>
                          <w:rFonts w:ascii="GHEA Grapalat" w:hAnsi="GHEA Grapalat"/>
                          <w:sz w:val="20"/>
                          <w:szCs w:val="20"/>
                          <w:lang w:val="hy-AM"/>
                        </w:rPr>
                        <w:t xml:space="preserve"> </w:t>
                      </w:r>
                      <w:r w:rsidRPr="00B755E6">
                        <w:rPr>
                          <w:rFonts w:ascii="GHEA Grapalat" w:hAnsi="GHEA Grapalat"/>
                          <w:sz w:val="20"/>
                          <w:szCs w:val="20"/>
                          <w:lang w:val="hy-AM"/>
                        </w:rPr>
                        <w:t>(Nowcasting)</w:t>
                      </w:r>
                      <w:r>
                        <w:rPr>
                          <w:rFonts w:ascii="GHEA Grapalat" w:hAnsi="GHEA Grapalat"/>
                          <w:sz w:val="20"/>
                          <w:szCs w:val="20"/>
                          <w:lang w:val="hy-AM"/>
                        </w:rPr>
                        <w:t xml:space="preserve"> գործիքակազմով, որը հնարավորություն է տալիս իրականացնելու տնտեսական աճի, ինչպես նաև ՀՆԱ առանձին</w:t>
                      </w:r>
                      <w:r w:rsidRPr="00B755E6">
                        <w:rPr>
                          <w:rFonts w:ascii="GHEA Grapalat" w:hAnsi="GHEA Grapalat"/>
                          <w:sz w:val="20"/>
                          <w:szCs w:val="20"/>
                          <w:lang w:val="hy-AM"/>
                        </w:rPr>
                        <w:t xml:space="preserve"> բաղադրիչների</w:t>
                      </w:r>
                      <w:r>
                        <w:rPr>
                          <w:rFonts w:ascii="GHEA Grapalat" w:hAnsi="GHEA Grapalat"/>
                          <w:sz w:val="20"/>
                          <w:szCs w:val="20"/>
                          <w:lang w:val="hy-AM"/>
                        </w:rPr>
                        <w:t xml:space="preserve"> կարճաժամկետ </w:t>
                      </w:r>
                      <w:r w:rsidRPr="00B755E6">
                        <w:rPr>
                          <w:rFonts w:ascii="GHEA Grapalat" w:hAnsi="GHEA Grapalat"/>
                          <w:sz w:val="20"/>
                          <w:szCs w:val="20"/>
                          <w:lang w:val="hy-AM"/>
                        </w:rPr>
                        <w:t>(</w:t>
                      </w:r>
                      <w:r>
                        <w:rPr>
                          <w:rFonts w:ascii="GHEA Grapalat" w:hAnsi="GHEA Grapalat"/>
                          <w:sz w:val="20"/>
                          <w:szCs w:val="20"/>
                          <w:lang w:val="hy-AM"/>
                        </w:rPr>
                        <w:t>ընթացիկ եռամսյակի համար</w:t>
                      </w:r>
                      <w:r w:rsidRPr="00B755E6">
                        <w:rPr>
                          <w:rFonts w:ascii="GHEA Grapalat" w:hAnsi="GHEA Grapalat"/>
                          <w:sz w:val="20"/>
                          <w:szCs w:val="20"/>
                          <w:lang w:val="hy-AM"/>
                        </w:rPr>
                        <w:t>)</w:t>
                      </w:r>
                      <w:r>
                        <w:rPr>
                          <w:rFonts w:ascii="GHEA Grapalat" w:hAnsi="GHEA Grapalat"/>
                          <w:sz w:val="20"/>
                          <w:szCs w:val="20"/>
                          <w:lang w:val="hy-AM"/>
                        </w:rPr>
                        <w:t xml:space="preserve"> կանխատեսումներ:</w:t>
                      </w:r>
                      <w:r w:rsidRPr="009B4E92">
                        <w:rPr>
                          <w:rFonts w:ascii="GHEA Grapalat" w:hAnsi="GHEA Grapalat"/>
                          <w:sz w:val="20"/>
                          <w:szCs w:val="20"/>
                          <w:lang w:val="hy-AM"/>
                        </w:rPr>
                        <w:t xml:space="preserve"> </w:t>
                      </w:r>
                    </w:p>
                    <w:p w14:paraId="33E6C4D9" w14:textId="77777777" w:rsidR="00147C8B" w:rsidRDefault="00147C8B" w:rsidP="00491228">
                      <w:pPr>
                        <w:ind w:firstLine="709"/>
                        <w:jc w:val="both"/>
                        <w:rPr>
                          <w:rFonts w:ascii="GHEA Grapalat" w:hAnsi="GHEA Grapalat"/>
                          <w:sz w:val="20"/>
                          <w:szCs w:val="20"/>
                          <w:lang w:val="hy-AM"/>
                        </w:rPr>
                      </w:pPr>
                      <w:r>
                        <w:rPr>
                          <w:rFonts w:ascii="GHEA Grapalat" w:hAnsi="GHEA Grapalat"/>
                          <w:sz w:val="20"/>
                          <w:szCs w:val="20"/>
                          <w:lang w:val="hy-AM"/>
                        </w:rPr>
                        <w:t xml:space="preserve">Կարճաժամկետ կանխատեսումների մոդելային համակարգը ներառում է </w:t>
                      </w:r>
                      <w:r w:rsidRPr="007C6E68">
                        <w:rPr>
                          <w:rFonts w:ascii="GHEA Grapalat" w:hAnsi="GHEA Grapalat"/>
                          <w:sz w:val="20"/>
                          <w:szCs w:val="20"/>
                          <w:lang w:val="hy-AM"/>
                        </w:rPr>
                        <w:t>MIDAS</w:t>
                      </w:r>
                      <w:r w:rsidRPr="0026013C">
                        <w:rPr>
                          <w:rFonts w:ascii="GHEA Grapalat" w:hAnsi="GHEA Grapalat"/>
                          <w:sz w:val="20"/>
                          <w:szCs w:val="20"/>
                          <w:lang w:val="hy-AM"/>
                        </w:rPr>
                        <w:t xml:space="preserve"> (Mixed Data Sampling)</w:t>
                      </w:r>
                      <w:r>
                        <w:rPr>
                          <w:rFonts w:ascii="GHEA Grapalat" w:hAnsi="GHEA Grapalat"/>
                          <w:sz w:val="20"/>
                          <w:szCs w:val="20"/>
                          <w:lang w:val="hy-AM"/>
                        </w:rPr>
                        <w:t xml:space="preserve"> մոդելներ, որոնք, հիմնվելով ավելի բարձր հաճախականությամբ հրապարակվող ցուցանիշների </w:t>
                      </w:r>
                      <w:r w:rsidRPr="00682163">
                        <w:rPr>
                          <w:rFonts w:ascii="GHEA Grapalat" w:hAnsi="GHEA Grapalat"/>
                          <w:sz w:val="20"/>
                          <w:szCs w:val="20"/>
                          <w:lang w:val="hy-AM"/>
                        </w:rPr>
                        <w:t>(</w:t>
                      </w:r>
                      <w:r>
                        <w:rPr>
                          <w:rFonts w:ascii="GHEA Grapalat" w:hAnsi="GHEA Grapalat"/>
                          <w:sz w:val="20"/>
                          <w:szCs w:val="20"/>
                          <w:lang w:val="hy-AM"/>
                        </w:rPr>
                        <w:t>ամսական տվյալներ</w:t>
                      </w:r>
                      <w:r w:rsidRPr="00682163">
                        <w:rPr>
                          <w:rFonts w:ascii="GHEA Grapalat" w:hAnsi="GHEA Grapalat"/>
                          <w:sz w:val="20"/>
                          <w:szCs w:val="20"/>
                          <w:lang w:val="hy-AM"/>
                        </w:rPr>
                        <w:t>)</w:t>
                      </w:r>
                      <w:r>
                        <w:rPr>
                          <w:rFonts w:ascii="GHEA Grapalat" w:hAnsi="GHEA Grapalat"/>
                          <w:sz w:val="20"/>
                          <w:szCs w:val="20"/>
                          <w:lang w:val="hy-AM"/>
                        </w:rPr>
                        <w:t xml:space="preserve"> վրա, իրականացնում են ցածր հաճախականությամբ հրապարակվող</w:t>
                      </w:r>
                      <w:r w:rsidRPr="00F16DEF">
                        <w:rPr>
                          <w:rFonts w:ascii="GHEA Grapalat" w:hAnsi="GHEA Grapalat"/>
                          <w:sz w:val="20"/>
                          <w:szCs w:val="20"/>
                          <w:lang w:val="hy-AM"/>
                        </w:rPr>
                        <w:t xml:space="preserve"> </w:t>
                      </w:r>
                      <w:r>
                        <w:rPr>
                          <w:rFonts w:ascii="GHEA Grapalat" w:hAnsi="GHEA Grapalat"/>
                          <w:sz w:val="20"/>
                          <w:szCs w:val="20"/>
                          <w:lang w:val="hy-AM"/>
                        </w:rPr>
                        <w:t xml:space="preserve">ցուցանիշների </w:t>
                      </w:r>
                      <w:r w:rsidRPr="00682163">
                        <w:rPr>
                          <w:rFonts w:ascii="GHEA Grapalat" w:hAnsi="GHEA Grapalat"/>
                          <w:sz w:val="20"/>
                          <w:szCs w:val="20"/>
                          <w:lang w:val="hy-AM"/>
                        </w:rPr>
                        <w:t>(</w:t>
                      </w:r>
                      <w:r>
                        <w:rPr>
                          <w:rFonts w:ascii="GHEA Grapalat" w:hAnsi="GHEA Grapalat"/>
                          <w:sz w:val="20"/>
                          <w:szCs w:val="20"/>
                          <w:lang w:val="hy-AM"/>
                        </w:rPr>
                        <w:t>եռամսյակային տվյալներ</w:t>
                      </w:r>
                      <w:r w:rsidRPr="00682163">
                        <w:rPr>
                          <w:rFonts w:ascii="GHEA Grapalat" w:hAnsi="GHEA Grapalat"/>
                          <w:sz w:val="20"/>
                          <w:szCs w:val="20"/>
                          <w:lang w:val="hy-AM"/>
                        </w:rPr>
                        <w:t>)</w:t>
                      </w:r>
                      <w:r>
                        <w:rPr>
                          <w:rFonts w:ascii="GHEA Grapalat" w:hAnsi="GHEA Grapalat"/>
                          <w:sz w:val="20"/>
                          <w:szCs w:val="20"/>
                          <w:lang w:val="hy-AM"/>
                        </w:rPr>
                        <w:t xml:space="preserve"> կարճաժամկետ կանխատեսումներ: </w:t>
                      </w:r>
                      <w:r w:rsidRPr="009E12F5">
                        <w:rPr>
                          <w:rFonts w:ascii="GHEA Grapalat" w:hAnsi="GHEA Grapalat"/>
                          <w:sz w:val="20"/>
                          <w:szCs w:val="20"/>
                          <w:lang w:val="hy-AM"/>
                        </w:rPr>
                        <w:t>Այստեղ փոփոխականների ընտրությունն իրականացվում է</w:t>
                      </w:r>
                      <w:r>
                        <w:rPr>
                          <w:rFonts w:ascii="GHEA Grapalat" w:hAnsi="GHEA Grapalat"/>
                          <w:sz w:val="20"/>
                          <w:szCs w:val="20"/>
                          <w:lang w:val="hy-AM"/>
                        </w:rPr>
                        <w:t xml:space="preserve"> մեքենայական ուսուցման մեջ կիրառվող</w:t>
                      </w:r>
                      <w:r w:rsidRPr="009E12F5">
                        <w:rPr>
                          <w:rFonts w:ascii="GHEA Grapalat" w:hAnsi="GHEA Grapalat"/>
                          <w:sz w:val="20"/>
                          <w:szCs w:val="20"/>
                          <w:lang w:val="hy-AM"/>
                        </w:rPr>
                        <w:t xml:space="preserve"> Elastic Net մոտեցմամբ: </w:t>
                      </w:r>
                    </w:p>
                    <w:p w14:paraId="371A845C" w14:textId="77777777" w:rsidR="00147C8B" w:rsidRPr="00BE54D1" w:rsidRDefault="00147C8B" w:rsidP="00491228">
                      <w:pPr>
                        <w:rPr>
                          <w:rFonts w:ascii="GHEA Grapalat" w:hAnsi="GHEA Grapalat"/>
                          <w:i/>
                          <w:sz w:val="20"/>
                          <w:lang w:val="hy-AM"/>
                        </w:rPr>
                      </w:pPr>
                      <w:r w:rsidRPr="00BE54D1">
                        <w:rPr>
                          <w:rFonts w:ascii="GHEA Grapalat" w:hAnsi="GHEA Grapalat"/>
                          <w:i/>
                          <w:sz w:val="20"/>
                          <w:lang w:val="hy-AM"/>
                        </w:rPr>
                        <w:t>Գծապատկեր 1.</w:t>
                      </w:r>
                      <w:r w:rsidRPr="009E12F5">
                        <w:rPr>
                          <w:rFonts w:ascii="GHEA Grapalat" w:hAnsi="GHEA Grapalat"/>
                          <w:sz w:val="20"/>
                          <w:szCs w:val="20"/>
                          <w:lang w:val="hy-AM"/>
                        </w:rPr>
                        <w:t xml:space="preserve"> </w:t>
                      </w:r>
                      <w:r w:rsidRPr="00BE54D1">
                        <w:rPr>
                          <w:rFonts w:ascii="GHEA Grapalat" w:hAnsi="GHEA Grapalat"/>
                          <w:i/>
                          <w:sz w:val="20"/>
                          <w:lang w:val="hy-AM"/>
                        </w:rPr>
                        <w:t xml:space="preserve">Տնտեսական աճի եռամսյակային կանխատեսումներ, </w:t>
                      </w:r>
                      <w:r w:rsidRPr="009E12F5">
                        <w:rPr>
                          <w:rFonts w:ascii="GHEA Grapalat" w:hAnsi="GHEA Grapalat"/>
                          <w:i/>
                          <w:sz w:val="20"/>
                          <w:lang w:val="hy-AM"/>
                        </w:rPr>
                        <w:t>%</w:t>
                      </w:r>
                      <w:r w:rsidRPr="00BE54D1">
                        <w:rPr>
                          <w:rFonts w:ascii="GHEA Grapalat" w:hAnsi="GHEA Grapalat"/>
                          <w:i/>
                          <w:sz w:val="20"/>
                          <w:lang w:val="hy-AM"/>
                        </w:rPr>
                        <w:t xml:space="preserve"> </w:t>
                      </w:r>
                    </w:p>
                    <w:p w14:paraId="0F549ADC" w14:textId="77777777" w:rsidR="00147C8B" w:rsidRPr="00BE54D1" w:rsidRDefault="00147C8B" w:rsidP="00491228">
                      <w:pPr>
                        <w:rPr>
                          <w:lang w:val="hy-AM"/>
                        </w:rPr>
                      </w:pPr>
                      <w:r w:rsidRPr="00BE54D1">
                        <w:rPr>
                          <w:noProof/>
                        </w:rPr>
                        <w:drawing>
                          <wp:inline distT="0" distB="0" distL="0" distR="0" wp14:anchorId="3BC5B0CE" wp14:editId="2A1CA23C">
                            <wp:extent cx="4191856" cy="2366645"/>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4194552" cy="2368167"/>
                                    </a:xfrm>
                                    <a:prstGeom prst="rect">
                                      <a:avLst/>
                                    </a:prstGeom>
                                    <a:noFill/>
                                    <a:ln>
                                      <a:noFill/>
                                    </a:ln>
                                  </pic:spPr>
                                </pic:pic>
                              </a:graphicData>
                            </a:graphic>
                          </wp:inline>
                        </w:drawing>
                      </w:r>
                    </w:p>
                    <w:p w14:paraId="1E109704" w14:textId="77777777" w:rsidR="00147C8B" w:rsidRPr="00F82E03" w:rsidRDefault="00147C8B">
                      <w:pPr>
                        <w:rPr>
                          <w:lang w:val="hy-AM"/>
                        </w:rPr>
                      </w:pPr>
                    </w:p>
                  </w:txbxContent>
                </v:textbox>
                <w10:wrap anchorx="margin"/>
              </v:shape>
            </w:pict>
          </mc:Fallback>
        </mc:AlternateContent>
      </w:r>
    </w:p>
    <w:p w14:paraId="337B3D4A" w14:textId="72F97206" w:rsidR="00491228" w:rsidRDefault="00491228" w:rsidP="00491228"/>
    <w:p w14:paraId="6698516E" w14:textId="5CDF6886" w:rsidR="00491228" w:rsidRDefault="00491228" w:rsidP="00491228"/>
    <w:p w14:paraId="01B9C1E9" w14:textId="343F403D" w:rsidR="00491228" w:rsidRDefault="00491228" w:rsidP="00491228"/>
    <w:p w14:paraId="79903082" w14:textId="5BCE77B6" w:rsidR="00491228" w:rsidRDefault="00491228" w:rsidP="00491228"/>
    <w:p w14:paraId="1AD36DC4" w14:textId="26B0AE80" w:rsidR="00491228" w:rsidRDefault="00491228" w:rsidP="00491228"/>
    <w:p w14:paraId="63233C64" w14:textId="3A0E23BC" w:rsidR="00491228" w:rsidRDefault="00491228" w:rsidP="00491228"/>
    <w:p w14:paraId="4B7DB591" w14:textId="2CC645F1" w:rsidR="00491228" w:rsidRDefault="00491228" w:rsidP="00491228"/>
    <w:p w14:paraId="4D75F9DA" w14:textId="7E9E3A9A" w:rsidR="00491228" w:rsidRDefault="00491228" w:rsidP="00491228"/>
    <w:p w14:paraId="173B125F" w14:textId="77777777" w:rsidR="00491228" w:rsidRPr="00491228" w:rsidRDefault="00491228" w:rsidP="00491228"/>
    <w:p w14:paraId="7D9BAB6F" w14:textId="77777777" w:rsidR="00491228" w:rsidRDefault="00491228" w:rsidP="00FE3BE4">
      <w:pPr>
        <w:pStyle w:val="BodyText1"/>
      </w:pPr>
    </w:p>
    <w:p w14:paraId="66CA39D3" w14:textId="3F3548F9" w:rsidR="00491228" w:rsidRDefault="00491228" w:rsidP="00FE3BE4">
      <w:pPr>
        <w:pStyle w:val="BodyText1"/>
      </w:pPr>
      <w:r>
        <w:rPr>
          <w:noProof/>
        </w:rPr>
        <mc:AlternateContent>
          <mc:Choice Requires="wps">
            <w:drawing>
              <wp:anchor distT="0" distB="0" distL="114300" distR="114300" simplePos="0" relativeHeight="251955200" behindDoc="0" locked="0" layoutInCell="1" allowOverlap="1" wp14:anchorId="7A3D4A5A" wp14:editId="5466996B">
                <wp:simplePos x="0" y="0"/>
                <wp:positionH relativeFrom="column">
                  <wp:posOffset>285750</wp:posOffset>
                </wp:positionH>
                <wp:positionV relativeFrom="paragraph">
                  <wp:posOffset>47625</wp:posOffset>
                </wp:positionV>
                <wp:extent cx="6378480" cy="4514850"/>
                <wp:effectExtent l="0" t="0" r="22860" b="19050"/>
                <wp:wrapNone/>
                <wp:docPr id="26" name="Text Box 26"/>
                <wp:cNvGraphicFramePr/>
                <a:graphic xmlns:a="http://schemas.openxmlformats.org/drawingml/2006/main">
                  <a:graphicData uri="http://schemas.microsoft.com/office/word/2010/wordprocessingShape">
                    <wps:wsp>
                      <wps:cNvSpPr txBox="1"/>
                      <wps:spPr>
                        <a:xfrm>
                          <a:off x="0" y="0"/>
                          <a:ext cx="6378480" cy="4514850"/>
                        </a:xfrm>
                        <a:prstGeom prst="rect">
                          <a:avLst/>
                        </a:prstGeom>
                        <a:solidFill>
                          <a:schemeClr val="accent1">
                            <a:lumMod val="20000"/>
                            <a:lumOff val="80000"/>
                          </a:schemeClr>
                        </a:solidFill>
                        <a:ln w="6350">
                          <a:solidFill>
                            <a:schemeClr val="accent1">
                              <a:lumMod val="60000"/>
                              <a:lumOff val="40000"/>
                            </a:schemeClr>
                          </a:solidFill>
                        </a:ln>
                      </wps:spPr>
                      <wps:linkedTxbx id="8" seq="1"/>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3D4A5A" id="Text Box 26" o:spid="_x0000_s1035" type="#_x0000_t202" style="position:absolute;left:0;text-align:left;margin-left:22.5pt;margin-top:3.75pt;width:502.25pt;height:355.5pt;z-index:251955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" fillcolor="#deeaf6 [660]" strokecolor="#9cc2e5 [1940]" strokeweight=".5pt">
                <v:textbox>
                  <w:txbxContent/>
                </v:textbox>
              </v:shape>
            </w:pict>
          </mc:Fallback>
        </mc:AlternateContent>
      </w:r>
    </w:p>
    <w:p w14:paraId="4AD22266" w14:textId="77777777" w:rsidR="00491228" w:rsidRDefault="00491228" w:rsidP="00FE3BE4">
      <w:pPr>
        <w:pStyle w:val="BodyText1"/>
      </w:pPr>
    </w:p>
    <w:p w14:paraId="4160853C" w14:textId="77777777" w:rsidR="00491228" w:rsidRDefault="00491228" w:rsidP="00FE3BE4">
      <w:pPr>
        <w:pStyle w:val="BodyText1"/>
      </w:pPr>
    </w:p>
    <w:p w14:paraId="0B10F7E0" w14:textId="77777777" w:rsidR="00491228" w:rsidRDefault="00491228" w:rsidP="00FE3BE4">
      <w:pPr>
        <w:pStyle w:val="BodyText1"/>
      </w:pPr>
    </w:p>
    <w:p w14:paraId="0F337EFB" w14:textId="77777777" w:rsidR="00491228" w:rsidRDefault="00491228" w:rsidP="00FE3BE4">
      <w:pPr>
        <w:pStyle w:val="BodyText1"/>
      </w:pPr>
    </w:p>
    <w:p w14:paraId="459ADB35" w14:textId="77777777" w:rsidR="00491228" w:rsidRDefault="00491228" w:rsidP="00FE3BE4">
      <w:pPr>
        <w:pStyle w:val="BodyText1"/>
      </w:pPr>
    </w:p>
    <w:p w14:paraId="1EB6EA4F" w14:textId="77777777" w:rsidR="00491228" w:rsidRDefault="00491228" w:rsidP="00FE3BE4">
      <w:pPr>
        <w:pStyle w:val="BodyText1"/>
      </w:pPr>
    </w:p>
    <w:p w14:paraId="0BB279D0" w14:textId="77777777" w:rsidR="00491228" w:rsidRDefault="00491228" w:rsidP="00FE3BE4">
      <w:pPr>
        <w:pStyle w:val="BodyText1"/>
      </w:pPr>
    </w:p>
    <w:p w14:paraId="50971F1E" w14:textId="77777777" w:rsidR="00491228" w:rsidRDefault="00491228" w:rsidP="00FE3BE4">
      <w:pPr>
        <w:pStyle w:val="BodyText1"/>
      </w:pPr>
    </w:p>
    <w:p w14:paraId="7AC2B521" w14:textId="77777777" w:rsidR="00491228" w:rsidRDefault="00491228" w:rsidP="00FE3BE4">
      <w:pPr>
        <w:pStyle w:val="BodyText1"/>
      </w:pPr>
    </w:p>
    <w:p w14:paraId="065A26C4" w14:textId="77777777" w:rsidR="00491228" w:rsidRDefault="00491228" w:rsidP="00FE3BE4">
      <w:pPr>
        <w:pStyle w:val="BodyText1"/>
      </w:pPr>
    </w:p>
    <w:p w14:paraId="1E0B4108" w14:textId="77777777" w:rsidR="00491228" w:rsidRDefault="00491228" w:rsidP="00FE3BE4">
      <w:pPr>
        <w:pStyle w:val="BodyText1"/>
      </w:pPr>
    </w:p>
    <w:p w14:paraId="0480AAE2" w14:textId="77777777" w:rsidR="00491228" w:rsidRDefault="00491228" w:rsidP="00FE3BE4">
      <w:pPr>
        <w:pStyle w:val="BodyText1"/>
      </w:pPr>
    </w:p>
    <w:p w14:paraId="44F2D7C2" w14:textId="77777777" w:rsidR="00491228" w:rsidRDefault="00491228" w:rsidP="00FE3BE4">
      <w:pPr>
        <w:pStyle w:val="BodyText1"/>
      </w:pPr>
    </w:p>
    <w:p w14:paraId="7E85AC87" w14:textId="77777777" w:rsidR="00491228" w:rsidRDefault="00491228" w:rsidP="00FE3BE4">
      <w:pPr>
        <w:pStyle w:val="BodyText1"/>
      </w:pPr>
    </w:p>
    <w:p w14:paraId="12E04DB6" w14:textId="77777777" w:rsidR="00491228" w:rsidRDefault="00491228" w:rsidP="00FE3BE4">
      <w:pPr>
        <w:pStyle w:val="BodyText1"/>
      </w:pPr>
    </w:p>
    <w:p w14:paraId="25C56352" w14:textId="734400D1" w:rsidR="00FE3BE4" w:rsidRPr="00C3014C" w:rsidRDefault="00FE3BE4" w:rsidP="00FE3BE4">
      <w:pPr>
        <w:pStyle w:val="BodyText1"/>
      </w:pPr>
      <w:r w:rsidRPr="00C3014C">
        <w:t>COVID-19 համավարակի հետևանքները դեռ չհաղթահարած տարածաշրջանում սկսված ռուս-ուկրաինական հակամարտությունը առաջացրել է աշխարհաքաղաքական և տնտեսական մարտահրավերներ, որոնք բացասական հետևանքներ են ունեցել ոչ միայն տարածաշրջանում, այլ նաև ամբողջ աշխարհում, այդ թվում՝ ՀՀ համար Ռուսաստանից հետո երկրորդ ամենամեծ առևտրային գործընկեր՝ Եվրագոտու երկրներում։ Թեև նշված գործոնները առաջ են բերել նաև ՀՀ տնտեսության համար դրական զարգացումներ (դեպի Հայաստան մարդկանց ներհոսքի, զբոսաշրջության զգալի ավելացման, տեղեկատվական տեխնոլոգիաների ոլորտի ընկերությունների ՀՀ տեղափոխման, ՀՀ-ից դեպի Ռուսաստան արտահանման պահանջարկի ավելացման), այնուամենայնիվ Ռուս-ուկրաինական հակամարտությանը, ինչպես նաև Ռուսաստանի դեմ կիրառված աննախադեպ պատժամիջոցների վերաբերյալ անորոշությունները դեռևս պահպանվում են՝ արտացոլվելով ՀՀ տնտեսական աճի կանխատեսումների շուրջ անորոշություններում:</w:t>
      </w:r>
    </w:p>
    <w:p w14:paraId="21D49D8B" w14:textId="409E8054" w:rsidR="00B42B3E" w:rsidRDefault="00FE3BE4" w:rsidP="00491228">
      <w:pPr>
        <w:pStyle w:val="BodyText1"/>
      </w:pPr>
      <w:r w:rsidRPr="00C3014C">
        <w:t xml:space="preserve">Վերոնշյալ իրողությունների պայմաններում տնտեսական աճի կանխատեսումների շուրջ ինչպես կարճաժամկետում, այնպես էլ միջնաժամկետում առկա են անորոշություններ։ </w:t>
      </w:r>
      <w:bookmarkStart w:id="220" w:name="_Toc178356567"/>
      <w:bookmarkStart w:id="221" w:name="_Toc170926301"/>
      <w:bookmarkStart w:id="222" w:name="_Toc170750540"/>
      <w:bookmarkStart w:id="223" w:name="_Toc170743036"/>
    </w:p>
    <w:p w14:paraId="09D114AF" w14:textId="09ABDF70" w:rsidR="00B42B3E" w:rsidRDefault="00B42B3E" w:rsidP="00B42B3E"/>
    <w:p w14:paraId="38F1E7F5" w14:textId="77777777" w:rsidR="00491228" w:rsidRPr="00491228" w:rsidRDefault="00491228"/>
    <w:p w14:paraId="68601FA6" w14:textId="77777777" w:rsidR="00FE3BE4" w:rsidRPr="00C3014C" w:rsidRDefault="00FE3BE4" w:rsidP="00104E7A">
      <w:pPr>
        <w:pStyle w:val="TOC4"/>
        <w:outlineLvl w:val="2"/>
      </w:pPr>
      <w:bookmarkStart w:id="224" w:name="_Toc215157674"/>
      <w:r w:rsidRPr="00C3014C">
        <w:t>1.5.1. ՀՀ ՏՆՏԵՍԱԿԱՆ ԱՃԻ ԴԵՊԻ ՆԵՐՔև ՈՒՂՂՈՒԹՅԱՄԲ ՌԻՍԿԵՐ</w:t>
      </w:r>
      <w:bookmarkEnd w:id="220"/>
      <w:bookmarkEnd w:id="221"/>
      <w:bookmarkEnd w:id="222"/>
      <w:bookmarkEnd w:id="223"/>
      <w:bookmarkEnd w:id="224"/>
    </w:p>
    <w:p w14:paraId="4AAB0C94" w14:textId="77777777" w:rsidR="00FE3BE4" w:rsidRPr="00B86B56" w:rsidRDefault="00FE3BE4" w:rsidP="00FE3BE4">
      <w:pPr>
        <w:pStyle w:val="BodyText1"/>
        <w:ind w:left="0"/>
        <w:rPr>
          <w:b/>
        </w:rPr>
      </w:pPr>
      <w:r w:rsidRPr="00B86B56">
        <w:rPr>
          <w:b/>
        </w:rPr>
        <w:t>Արտաքին միջավայրից բխող դեպի ներքև ռիսկերը պայմանավորված են՝</w:t>
      </w:r>
    </w:p>
    <w:p w14:paraId="1F0E6B79" w14:textId="77777777" w:rsidR="00FE3BE4" w:rsidRPr="000536C8" w:rsidRDefault="00FE3BE4" w:rsidP="00FE3BE4">
      <w:pPr>
        <w:numPr>
          <w:ilvl w:val="0"/>
          <w:numId w:val="46"/>
        </w:numPr>
        <w:spacing w:after="0"/>
        <w:ind w:left="0" w:firstLine="0"/>
        <w:contextualSpacing/>
        <w:jc w:val="both"/>
        <w:rPr>
          <w:rFonts w:eastAsia="Calibri" w:cs="Sylfaen"/>
          <w:bCs/>
          <w:lang w:val="hy-AM"/>
        </w:rPr>
      </w:pPr>
      <w:r w:rsidRPr="000536C8">
        <w:rPr>
          <w:rFonts w:eastAsia="Calibri" w:cs="Sylfaen"/>
          <w:bCs/>
          <w:lang w:val="hy-AM"/>
        </w:rPr>
        <w:t>Ռուս-ուկրաինական պատերազմի արդյունքում առաջացած դրական գործոնների (ՌԴ-ից զբոսաշրջային հոսքերի, դրամական փոխանցումների, ՏՏ ոլորտի ընկերությունների և աշխատակիցների դեպի ՀՀ տեղափոխման) չեզոքացմամբ և հոսքերի հետշրջմամբ,</w:t>
      </w:r>
    </w:p>
    <w:p w14:paraId="073DD568" w14:textId="77777777" w:rsidR="00FE3BE4" w:rsidRPr="000536C8" w:rsidRDefault="00FE3BE4" w:rsidP="00FE3BE4">
      <w:pPr>
        <w:numPr>
          <w:ilvl w:val="0"/>
          <w:numId w:val="46"/>
        </w:numPr>
        <w:spacing w:after="0"/>
        <w:ind w:left="0" w:firstLine="0"/>
        <w:contextualSpacing/>
        <w:jc w:val="both"/>
        <w:rPr>
          <w:rFonts w:eastAsia="Calibri" w:cs="Sylfaen"/>
          <w:bCs/>
          <w:lang w:val="hy-AM"/>
        </w:rPr>
      </w:pPr>
      <w:r w:rsidRPr="000536C8">
        <w:rPr>
          <w:rFonts w:eastAsia="Calibri" w:cs="Sylfaen"/>
          <w:bCs/>
          <w:lang w:val="hy-AM"/>
        </w:rPr>
        <w:t>ՌԴ-ում ՀՀ ապրանքների արտահանման՝ վերջին տարիների վերափոխումների արդյունքում ընդլայնված շուկայի նեղացմամբ,</w:t>
      </w:r>
    </w:p>
    <w:p w14:paraId="6A309F17" w14:textId="77777777" w:rsidR="00FE3BE4" w:rsidRPr="000536C8" w:rsidRDefault="00FE3BE4" w:rsidP="00FE3BE4">
      <w:pPr>
        <w:numPr>
          <w:ilvl w:val="0"/>
          <w:numId w:val="46"/>
        </w:numPr>
        <w:spacing w:after="0"/>
        <w:ind w:left="0" w:firstLine="0"/>
        <w:contextualSpacing/>
        <w:jc w:val="both"/>
        <w:rPr>
          <w:rFonts w:eastAsia="Calibri" w:cs="Sylfaen"/>
          <w:bCs/>
          <w:lang w:val="hy-AM"/>
        </w:rPr>
      </w:pPr>
      <w:r w:rsidRPr="000536C8">
        <w:rPr>
          <w:rFonts w:eastAsia="Calibri" w:cs="Sylfaen"/>
          <w:bCs/>
          <w:lang w:val="hy-AM"/>
        </w:rPr>
        <w:t>ՀՀ ապրանքների արտահանման մատակարարումների լոգիստիկ խնդիրների խորացմամբ,</w:t>
      </w:r>
    </w:p>
    <w:p w14:paraId="66542AEA" w14:textId="77777777" w:rsidR="00FE3BE4" w:rsidRPr="000536C8" w:rsidRDefault="00FE3BE4" w:rsidP="00FE3BE4">
      <w:pPr>
        <w:numPr>
          <w:ilvl w:val="0"/>
          <w:numId w:val="46"/>
        </w:numPr>
        <w:spacing w:after="0"/>
        <w:ind w:left="0" w:firstLine="0"/>
        <w:contextualSpacing/>
        <w:jc w:val="both"/>
        <w:rPr>
          <w:rFonts w:eastAsia="Calibri" w:cs="Sylfaen"/>
          <w:bCs/>
          <w:lang w:val="hy-AM"/>
        </w:rPr>
      </w:pPr>
      <w:r w:rsidRPr="000536C8">
        <w:rPr>
          <w:rFonts w:eastAsia="Times New Roman" w:cs="Tahoma"/>
          <w:lang w:val="hy-AM"/>
        </w:rPr>
        <w:t>Աշխարհաքաղաքական</w:t>
      </w:r>
      <w:r w:rsidRPr="000536C8">
        <w:rPr>
          <w:rFonts w:eastAsia="Times New Roman" w:cs="Tahoma"/>
          <w:lang w:val="it-IT"/>
        </w:rPr>
        <w:t xml:space="preserve"> իրա</w:t>
      </w:r>
      <w:r w:rsidRPr="000536C8">
        <w:rPr>
          <w:rFonts w:eastAsia="Times New Roman" w:cs="Tahoma"/>
          <w:lang w:val="hy-AM"/>
        </w:rPr>
        <w:t>վիճակով</w:t>
      </w:r>
      <w:r w:rsidRPr="000536C8">
        <w:rPr>
          <w:rFonts w:eastAsia="Times New Roman" w:cs="Tahoma"/>
          <w:lang w:val="it-IT"/>
        </w:rPr>
        <w:t xml:space="preserve">, </w:t>
      </w:r>
      <w:r w:rsidRPr="000536C8">
        <w:rPr>
          <w:rFonts w:eastAsia="Times New Roman" w:cs="Tahoma"/>
          <w:lang w:val="hy-AM"/>
        </w:rPr>
        <w:t>այդ</w:t>
      </w:r>
      <w:r w:rsidRPr="000536C8">
        <w:rPr>
          <w:rFonts w:eastAsia="Times New Roman" w:cs="Tahoma"/>
          <w:lang w:val="it-IT"/>
        </w:rPr>
        <w:t xml:space="preserve"> </w:t>
      </w:r>
      <w:r w:rsidRPr="000536C8">
        <w:rPr>
          <w:rFonts w:eastAsia="Times New Roman" w:cs="Tahoma"/>
          <w:lang w:val="hy-AM"/>
        </w:rPr>
        <w:t>թվում</w:t>
      </w:r>
      <w:r w:rsidRPr="000536C8">
        <w:rPr>
          <w:rFonts w:eastAsia="Times New Roman" w:cs="Tahoma"/>
          <w:lang w:val="it-IT"/>
        </w:rPr>
        <w:t xml:space="preserve">` </w:t>
      </w:r>
      <w:r w:rsidRPr="000536C8">
        <w:rPr>
          <w:rFonts w:eastAsia="Times New Roman" w:cs="Tahoma"/>
          <w:lang w:val="hy-AM"/>
        </w:rPr>
        <w:t>տարածաշրջանային ռազմական հակամարտությունների առկայությամբ,</w:t>
      </w:r>
    </w:p>
    <w:p w14:paraId="45FF52FC" w14:textId="77777777" w:rsidR="00FE3BE4" w:rsidRPr="000536C8" w:rsidRDefault="00FE3BE4" w:rsidP="00FE3BE4">
      <w:pPr>
        <w:numPr>
          <w:ilvl w:val="0"/>
          <w:numId w:val="46"/>
        </w:numPr>
        <w:spacing w:after="0"/>
        <w:ind w:left="0" w:firstLine="0"/>
        <w:contextualSpacing/>
        <w:jc w:val="both"/>
        <w:rPr>
          <w:rFonts w:eastAsia="Calibri" w:cs="Sylfaen"/>
          <w:bCs/>
          <w:lang w:val="hy-AM"/>
        </w:rPr>
      </w:pPr>
      <w:r w:rsidRPr="000536C8">
        <w:rPr>
          <w:rFonts w:eastAsia="Calibri" w:cs="Sylfaen"/>
          <w:bCs/>
          <w:lang w:val="hy-AM"/>
        </w:rPr>
        <w:t>Տարածաշրջանային հակամարտությունների (մերձավորարևելյան և ռուս-ուկրաինական հակամարտություններ) արդյունքում պարենային և ոչ պարենային ապրանքների գների աճով,</w:t>
      </w:r>
    </w:p>
    <w:p w14:paraId="6F1F70AD" w14:textId="6391259A" w:rsidR="00FE3BE4" w:rsidRPr="002F71E8" w:rsidRDefault="00FE3BE4" w:rsidP="00FE3BE4">
      <w:pPr>
        <w:numPr>
          <w:ilvl w:val="0"/>
          <w:numId w:val="46"/>
        </w:numPr>
        <w:spacing w:after="0"/>
        <w:ind w:left="0" w:firstLine="0"/>
        <w:contextualSpacing/>
        <w:jc w:val="both"/>
        <w:rPr>
          <w:rFonts w:eastAsia="Calibri" w:cs="Sylfaen"/>
          <w:bCs/>
          <w:color w:val="000000" w:themeColor="text1"/>
          <w:lang w:val="hy-AM"/>
        </w:rPr>
      </w:pPr>
      <w:r w:rsidRPr="002F71E8">
        <w:rPr>
          <w:rFonts w:eastAsia="Calibri" w:cs="Sylfaen"/>
          <w:bCs/>
          <w:color w:val="000000" w:themeColor="text1"/>
          <w:lang w:val="hy-AM"/>
        </w:rPr>
        <w:t>Առևտրային պայմանների սրացման և առևտրային քաղաքականության անորոշությունների պահպանման արդյունքում գործընկեր երկրների տնտեսական աճերի, հետևաբար և ՀՀ արտաքին պահանջարկի դանդաղում:</w:t>
      </w:r>
    </w:p>
    <w:p w14:paraId="2432829A" w14:textId="77777777" w:rsidR="00FE3BE4" w:rsidRPr="000D5401" w:rsidRDefault="00FE3BE4" w:rsidP="00FE3BE4">
      <w:pPr>
        <w:spacing w:line="264" w:lineRule="auto"/>
        <w:jc w:val="both"/>
        <w:rPr>
          <w:b/>
          <w:lang w:val="hy-AM"/>
        </w:rPr>
      </w:pPr>
      <w:r w:rsidRPr="000D5401">
        <w:rPr>
          <w:b/>
          <w:lang w:val="hy-AM"/>
        </w:rPr>
        <w:t>Ներքին միջավայրից բխող դեպի ներքև ռիսկերը պայմանավորված են՝</w:t>
      </w:r>
    </w:p>
    <w:p w14:paraId="40C91B32" w14:textId="77777777" w:rsidR="00FE3BE4" w:rsidRPr="00C31BDB" w:rsidRDefault="00FE3BE4" w:rsidP="00FE3BE4">
      <w:pPr>
        <w:pStyle w:val="BodytextBullets"/>
        <w:numPr>
          <w:ilvl w:val="0"/>
          <w:numId w:val="3"/>
        </w:numPr>
        <w:spacing w:line="264" w:lineRule="auto"/>
        <w:ind w:left="360"/>
        <w:rPr>
          <w:lang w:val="hy-AM"/>
        </w:rPr>
      </w:pPr>
      <w:bookmarkStart w:id="225" w:name="_Toc178356568"/>
      <w:bookmarkStart w:id="226" w:name="_Toc170926302"/>
      <w:bookmarkStart w:id="227" w:name="_Toc170750541"/>
      <w:bookmarkStart w:id="228" w:name="_Toc170743037"/>
      <w:r w:rsidRPr="00C31BDB">
        <w:rPr>
          <w:lang w:val="hy-AM"/>
        </w:rPr>
        <w:t>Պետական կապիտալ ծախսերի հնարավոր թերակատարմամբ,</w:t>
      </w:r>
    </w:p>
    <w:p w14:paraId="7E25316A" w14:textId="77777777" w:rsidR="00FE3BE4" w:rsidRPr="00C31BDB" w:rsidRDefault="00FE3BE4" w:rsidP="00FE3BE4">
      <w:pPr>
        <w:pStyle w:val="BodytextBullets"/>
        <w:numPr>
          <w:ilvl w:val="0"/>
          <w:numId w:val="3"/>
        </w:numPr>
        <w:spacing w:line="264" w:lineRule="auto"/>
        <w:ind w:left="360"/>
        <w:rPr>
          <w:lang w:val="hy-AM"/>
        </w:rPr>
      </w:pPr>
      <w:r w:rsidRPr="0071349A">
        <w:rPr>
          <w:rFonts w:eastAsia="Calibri" w:cs="Sylfaen"/>
          <w:bCs/>
          <w:lang w:val="hy-AM"/>
        </w:rPr>
        <w:t>Սոթքի հանքավայրի ստորգետնյա եղանակով շահագործման հետ կապված խոչընդոտներ ի հայտ գալու հետևանքով հանքավայրի արդյունահանման դանդաղմամբ</w:t>
      </w:r>
      <w:r w:rsidRPr="00C31BDB">
        <w:rPr>
          <w:lang w:val="hy-AM"/>
        </w:rPr>
        <w:t>,</w:t>
      </w:r>
    </w:p>
    <w:p w14:paraId="73E5B10E" w14:textId="77777777" w:rsidR="00FE3BE4" w:rsidRPr="00C31BDB" w:rsidRDefault="00FE3BE4" w:rsidP="00FE3BE4">
      <w:pPr>
        <w:pStyle w:val="BodytextBullets"/>
        <w:numPr>
          <w:ilvl w:val="0"/>
          <w:numId w:val="3"/>
        </w:numPr>
        <w:spacing w:line="264" w:lineRule="auto"/>
        <w:ind w:left="360"/>
        <w:rPr>
          <w:lang w:val="hy-AM"/>
        </w:rPr>
      </w:pPr>
      <w:r w:rsidRPr="00C31BDB">
        <w:rPr>
          <w:lang w:val="hy-AM"/>
        </w:rPr>
        <w:t>Ամուլսարի շահագործման հնարավոր հետաձգմամբ կամ սպասվածից ավելի քիչ հանքարդյունահանմամբ,</w:t>
      </w:r>
    </w:p>
    <w:p w14:paraId="4DC66889" w14:textId="77777777" w:rsidR="00FE3BE4" w:rsidRPr="00C31BDB" w:rsidRDefault="00FE3BE4" w:rsidP="00FE3BE4">
      <w:pPr>
        <w:pStyle w:val="BodytextBullets"/>
        <w:numPr>
          <w:ilvl w:val="0"/>
          <w:numId w:val="3"/>
        </w:numPr>
        <w:spacing w:line="264" w:lineRule="auto"/>
        <w:ind w:left="360"/>
        <w:rPr>
          <w:lang w:val="hy-AM"/>
        </w:rPr>
      </w:pPr>
      <w:r w:rsidRPr="00C31BDB">
        <w:rPr>
          <w:lang w:val="hy-AM"/>
        </w:rPr>
        <w:t xml:space="preserve">ՀՀ կառավարության կառուցվածքային բարեփոխումների և արտահանման ու ներդրումների խթանման քաղաքականության ակնկալվող արդյունքների սպասվածից ավելի ուշ արտահայտմամբ, </w:t>
      </w:r>
    </w:p>
    <w:p w14:paraId="2BD24E55" w14:textId="77777777" w:rsidR="00202938" w:rsidRDefault="00202938" w:rsidP="00FE3BE4">
      <w:pPr>
        <w:pStyle w:val="BodytextBullets"/>
        <w:numPr>
          <w:ilvl w:val="0"/>
          <w:numId w:val="3"/>
        </w:numPr>
        <w:spacing w:line="264" w:lineRule="auto"/>
        <w:ind w:left="360"/>
        <w:rPr>
          <w:lang w:val="hy-AM"/>
        </w:rPr>
      </w:pPr>
    </w:p>
    <w:p w14:paraId="4FA532C0" w14:textId="180C52D4" w:rsidR="00FE3BE4" w:rsidRPr="00C31BDB" w:rsidRDefault="00FE3BE4" w:rsidP="00FE3BE4">
      <w:pPr>
        <w:pStyle w:val="BodytextBullets"/>
        <w:numPr>
          <w:ilvl w:val="0"/>
          <w:numId w:val="3"/>
        </w:numPr>
        <w:spacing w:line="264" w:lineRule="auto"/>
        <w:ind w:left="360"/>
        <w:rPr>
          <w:lang w:val="hy-AM"/>
        </w:rPr>
      </w:pPr>
      <w:r w:rsidRPr="00C31BDB">
        <w:rPr>
          <w:lang w:val="hy-AM"/>
        </w:rPr>
        <w:t>Ղարաբաղից ՀՀ բռնի տեղահանված անձանց ՀՀ տնտեսական գործընթացներում սպասվածից ավելի դանդաղ ինտեգրմամբ,</w:t>
      </w:r>
    </w:p>
    <w:p w14:paraId="0F98C792" w14:textId="77777777" w:rsidR="00FE3BE4" w:rsidRPr="00F33496" w:rsidRDefault="00FE3BE4" w:rsidP="00FE3BE4">
      <w:pPr>
        <w:pStyle w:val="BodytextBullets"/>
        <w:numPr>
          <w:ilvl w:val="0"/>
          <w:numId w:val="3"/>
        </w:numPr>
        <w:spacing w:line="264" w:lineRule="auto"/>
        <w:ind w:left="360"/>
        <w:rPr>
          <w:color w:val="A6A6A6" w:themeColor="background1" w:themeShade="A6"/>
          <w:lang w:val="hy-AM"/>
        </w:rPr>
      </w:pPr>
      <w:r w:rsidRPr="005848F8">
        <w:rPr>
          <w:lang w:val="hy-AM"/>
        </w:rPr>
        <w:t>Բնա</w:t>
      </w:r>
      <w:r w:rsidRPr="005848F8">
        <w:rPr>
          <w:lang w:val="hy-AM"/>
        </w:rPr>
        <w:softHyphen/>
        <w:t>կլիմայական անբարենպաստ պայման</w:t>
      </w:r>
      <w:r w:rsidRPr="005848F8">
        <w:rPr>
          <w:lang w:val="hy-AM"/>
        </w:rPr>
        <w:softHyphen/>
        <w:t>ների շարունակական դրսևորման հետևանքով գյուղատնտեսության ճյուղում հնարավոր բացասական զարգացումներով:</w:t>
      </w:r>
    </w:p>
    <w:p w14:paraId="732CDB04" w14:textId="77777777" w:rsidR="00FE3BE4" w:rsidRPr="00F33496" w:rsidRDefault="00FE3BE4" w:rsidP="00104E7A">
      <w:pPr>
        <w:pStyle w:val="TOC4"/>
        <w:outlineLvl w:val="2"/>
        <w:rPr>
          <w:lang w:val="hy-AM"/>
        </w:rPr>
      </w:pPr>
      <w:bookmarkStart w:id="229" w:name="_Toc215157675"/>
      <w:r w:rsidRPr="00F33496">
        <w:rPr>
          <w:lang w:val="hy-AM"/>
        </w:rPr>
        <w:t>1.5.2. ՏՆՏԵՍԱԿԱՆ ԱՃԻ ԴԵՊԻ ՎԵՐ</w:t>
      </w:r>
      <w:r>
        <w:rPr>
          <w:lang w:val="hy-AM"/>
        </w:rPr>
        <w:t>ԵՎ</w:t>
      </w:r>
      <w:r w:rsidRPr="00F33496">
        <w:rPr>
          <w:lang w:val="hy-AM"/>
        </w:rPr>
        <w:t xml:space="preserve"> ՈՒՂՂՈՒԹՅԱՄԲ ՌԻՍԿԵՐ</w:t>
      </w:r>
      <w:bookmarkEnd w:id="225"/>
      <w:bookmarkEnd w:id="226"/>
      <w:bookmarkEnd w:id="227"/>
      <w:bookmarkEnd w:id="228"/>
      <w:bookmarkEnd w:id="229"/>
      <w:r w:rsidRPr="00F33496">
        <w:rPr>
          <w:lang w:val="hy-AM"/>
        </w:rPr>
        <w:t xml:space="preserve"> </w:t>
      </w:r>
    </w:p>
    <w:p w14:paraId="1ADB2463" w14:textId="77777777" w:rsidR="00FE3BE4" w:rsidRPr="00F33496" w:rsidRDefault="00FE3BE4" w:rsidP="00FE3BE4">
      <w:pPr>
        <w:pStyle w:val="BodyText1"/>
        <w:ind w:left="0"/>
        <w:rPr>
          <w:b/>
          <w:lang w:val="hy-AM"/>
        </w:rPr>
      </w:pPr>
      <w:r w:rsidRPr="00F33496">
        <w:rPr>
          <w:b/>
          <w:lang w:val="hy-AM"/>
        </w:rPr>
        <w:t xml:space="preserve">Արտաքին գործոններից բխող դեպի վերև ռիսկերը պայմանավորված են՝ </w:t>
      </w:r>
    </w:p>
    <w:p w14:paraId="640FAE39" w14:textId="77777777" w:rsidR="00FE3BE4" w:rsidRPr="00F33496" w:rsidRDefault="00FE3BE4" w:rsidP="00FE3BE4">
      <w:pPr>
        <w:pStyle w:val="BodytextBullets"/>
        <w:numPr>
          <w:ilvl w:val="0"/>
          <w:numId w:val="3"/>
        </w:numPr>
        <w:ind w:left="360"/>
        <w:rPr>
          <w:lang w:val="hy-AM"/>
        </w:rPr>
      </w:pPr>
      <w:r w:rsidRPr="00F33496">
        <w:rPr>
          <w:lang w:val="hy-AM"/>
        </w:rPr>
        <w:t xml:space="preserve">Գլոբալ և տարածաշրջանային տնտեսական և աշխարհաքաղաքական վերափոխումների արդյունքում Հայաստանը՝ որպես առևտրային, լոգիստիկ և ֆինանսական հանգույց ծառայելու հնարավորությամբ, </w:t>
      </w:r>
    </w:p>
    <w:p w14:paraId="489BACC1" w14:textId="77777777" w:rsidR="00FE3BE4" w:rsidRPr="00F33496" w:rsidRDefault="00FE3BE4" w:rsidP="00FE3BE4">
      <w:pPr>
        <w:pStyle w:val="BodytextBullets"/>
        <w:numPr>
          <w:ilvl w:val="0"/>
          <w:numId w:val="3"/>
        </w:numPr>
        <w:ind w:left="360"/>
        <w:rPr>
          <w:lang w:val="hy-AM"/>
        </w:rPr>
      </w:pPr>
      <w:r w:rsidRPr="00F33496">
        <w:rPr>
          <w:lang w:val="hy-AM"/>
        </w:rPr>
        <w:t>Ռուսաստանից դեպի Հայաստան կապիտալի և տեղեկատվական տեխնոլոգիաների ոլորտի ընկերությունների նոր ներհոսքով։</w:t>
      </w:r>
    </w:p>
    <w:p w14:paraId="173F3F1C" w14:textId="77777777" w:rsidR="00FE3BE4" w:rsidRPr="00C31BDB" w:rsidRDefault="00FE3BE4" w:rsidP="00FE3BE4">
      <w:pPr>
        <w:pStyle w:val="BodytextBullets"/>
        <w:numPr>
          <w:ilvl w:val="0"/>
          <w:numId w:val="0"/>
        </w:numPr>
        <w:rPr>
          <w:b/>
          <w:lang w:val="hy-AM"/>
        </w:rPr>
      </w:pPr>
      <w:bookmarkStart w:id="230" w:name="_Toc178595152"/>
      <w:r w:rsidRPr="00C31BDB">
        <w:rPr>
          <w:b/>
          <w:lang w:val="hy-AM"/>
        </w:rPr>
        <w:t xml:space="preserve">Ներքին միջավայրից բխող դեպի վերև ռիսկերը պայմանավորված են` </w:t>
      </w:r>
    </w:p>
    <w:p w14:paraId="7064C439" w14:textId="77777777" w:rsidR="00FE3BE4" w:rsidRPr="00755A71" w:rsidRDefault="00FE3BE4" w:rsidP="00FE3BE4">
      <w:pPr>
        <w:pStyle w:val="BodytextBullets"/>
        <w:numPr>
          <w:ilvl w:val="0"/>
          <w:numId w:val="3"/>
        </w:numPr>
        <w:tabs>
          <w:tab w:val="left" w:pos="360"/>
        </w:tabs>
        <w:ind w:left="90" w:hanging="90"/>
        <w:rPr>
          <w:lang w:val="hy-AM"/>
        </w:rPr>
      </w:pPr>
      <w:r w:rsidRPr="00755A71">
        <w:rPr>
          <w:lang w:val="hy-AM"/>
        </w:rPr>
        <w:t>Ավելի բարձր կայուն տնտեսական աճին հասնելու համար անհրաժեշտ լրացուցիչ ջանքերի, մասնավորապես, մարդկային և ֆիզիկական կապիտալում ներդրումների, ինչպես նաև մասնավոր ներդրումների, զբաղվածության, արտահանման խթանմանը և տնտեսության արտադրողականության բարձրացմանն ուղղված միջոցառումների սպասվածից առավել արագ և արդյունավետ իրականացմամբ,</w:t>
      </w:r>
    </w:p>
    <w:p w14:paraId="64C8C19B" w14:textId="77777777" w:rsidR="00FE3BE4" w:rsidRPr="00C31BDB" w:rsidRDefault="00FE3BE4" w:rsidP="00FE3BE4">
      <w:pPr>
        <w:pStyle w:val="BodytextBullets"/>
        <w:numPr>
          <w:ilvl w:val="0"/>
          <w:numId w:val="3"/>
        </w:numPr>
        <w:tabs>
          <w:tab w:val="left" w:pos="360"/>
        </w:tabs>
        <w:ind w:left="90" w:hanging="90"/>
        <w:rPr>
          <w:lang w:val="hy-AM"/>
        </w:rPr>
      </w:pPr>
      <w:r w:rsidRPr="00C31BDB">
        <w:rPr>
          <w:lang w:val="hy-AM"/>
        </w:rPr>
        <w:t>Ամուլսարի հանքավայրի սպասվածից ավելի շատ արդյունահանմամբ,</w:t>
      </w:r>
    </w:p>
    <w:p w14:paraId="04B83DBD" w14:textId="682D2DEC" w:rsidR="00FE3BE4" w:rsidRPr="00C31BDB" w:rsidRDefault="00FE3BE4" w:rsidP="00FE3BE4">
      <w:pPr>
        <w:pStyle w:val="BodytextBullets"/>
        <w:numPr>
          <w:ilvl w:val="0"/>
          <w:numId w:val="3"/>
        </w:numPr>
        <w:tabs>
          <w:tab w:val="left" w:pos="360"/>
        </w:tabs>
        <w:ind w:left="90" w:hanging="90"/>
        <w:rPr>
          <w:lang w:val="hy-AM"/>
        </w:rPr>
      </w:pPr>
      <w:r w:rsidRPr="00C31BDB">
        <w:rPr>
          <w:lang w:val="hy-AM"/>
        </w:rPr>
        <w:t>Ղարաբաղից ՀՀ բռնի տեղահանված անձանց ՀՀ տնտեսական գործընթացներում սպասվածից ավելի արագ ինտեգրմամբ:</w:t>
      </w:r>
    </w:p>
    <w:p w14:paraId="2B253AC0" w14:textId="77777777" w:rsidR="00FE3BE4" w:rsidRPr="00F80C6B" w:rsidRDefault="00FE3BE4" w:rsidP="00FE3BE4">
      <w:pPr>
        <w:pStyle w:val="Charts"/>
        <w:rPr>
          <w:bCs/>
        </w:rPr>
      </w:pPr>
      <w:r w:rsidRPr="00F80C6B">
        <w:rPr>
          <w:bCs/>
        </w:rPr>
        <w:t>Գծապատկեր 1.39. Իրական ՀՆԱ-ի աճի կանխատեսման հավանականությունների բաշխումը (Fan Chart)</w:t>
      </w:r>
      <w:bookmarkEnd w:id="230"/>
      <w:r w:rsidRPr="00F80C6B">
        <w:rPr>
          <w:bCs/>
        </w:rPr>
        <w:t xml:space="preserve"> </w:t>
      </w:r>
    </w:p>
    <w:p w14:paraId="4E4BAF57" w14:textId="77777777" w:rsidR="00FE3BE4" w:rsidRPr="00F80C6B" w:rsidRDefault="00FE3BE4" w:rsidP="00FE3BE4">
      <w:pPr>
        <w:pStyle w:val="Charts"/>
      </w:pPr>
      <w:r w:rsidRPr="00F80C6B">
        <w:rPr>
          <w:noProof/>
          <w:lang w:val="en-US"/>
        </w:rPr>
        <w:drawing>
          <wp:inline distT="0" distB="0" distL="0" distR="0" wp14:anchorId="147C86B9" wp14:editId="0FF07D80">
            <wp:extent cx="6134100" cy="2305050"/>
            <wp:effectExtent l="0" t="0" r="0" b="0"/>
            <wp:docPr id="1545876466" name="Chart 1545876466">
              <a:extLst xmlns:a="http://schemas.openxmlformats.org/drawingml/2006/main">
                <a:ext uri="{FF2B5EF4-FFF2-40B4-BE49-F238E27FC236}">
                  <a16:creationId xmlns:a16="http://schemas.microsoft.com/office/drawing/2014/main" id="{AF9CAEAC-C67E-4B59-9E77-955B97C9C03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6"/>
              </a:graphicData>
            </a:graphic>
          </wp:inline>
        </w:drawing>
      </w:r>
    </w:p>
    <w:p w14:paraId="10E94578" w14:textId="416FE2FD" w:rsidR="00FE3BE4" w:rsidRPr="00B27127" w:rsidRDefault="00FE3BE4" w:rsidP="00B27127">
      <w:pPr>
        <w:pStyle w:val="a0"/>
        <w:jc w:val="left"/>
        <w:rPr>
          <w:rStyle w:val="Char"/>
          <w:b w:val="0"/>
          <w:color w:val="A6A6A6" w:themeColor="background1" w:themeShade="A6"/>
        </w:rPr>
      </w:pPr>
      <w:r w:rsidRPr="00F80C6B">
        <w:rPr>
          <w:lang w:val="hy-AM"/>
        </w:rPr>
        <w:t>Աղբյուրը՝ ՀՀ ՖՆ գնահատումներ և կանխատեսումներ</w:t>
      </w:r>
    </w:p>
    <w:p w14:paraId="601ACEE7" w14:textId="77777777" w:rsidR="00FE3BE4" w:rsidRPr="00F80C6B" w:rsidRDefault="00FE3BE4" w:rsidP="00FE3BE4">
      <w:pPr>
        <w:jc w:val="both"/>
        <w:rPr>
          <w:rFonts w:ascii="GHEA Grapalat" w:hAnsi="GHEA Grapalat"/>
          <w:bCs/>
          <w:szCs w:val="20"/>
          <w:lang w:val="hy-AM"/>
        </w:rPr>
      </w:pPr>
      <w:r w:rsidRPr="00F80C6B">
        <w:rPr>
          <w:rFonts w:ascii="GHEA Grapalat" w:hAnsi="GHEA Grapalat"/>
          <w:bCs/>
          <w:szCs w:val="20"/>
          <w:lang w:val="hy-AM"/>
        </w:rPr>
        <w:t xml:space="preserve">Աղյուսակ 1.3. Իրական </w:t>
      </w:r>
      <w:r w:rsidRPr="005B23CE">
        <w:rPr>
          <w:rFonts w:ascii="GHEA Grapalat" w:hAnsi="GHEA Grapalat"/>
          <w:bCs/>
          <w:szCs w:val="20"/>
          <w:lang w:val="hy-AM"/>
        </w:rPr>
        <w:t>ՀՆԱ</w:t>
      </w:r>
      <w:r w:rsidRPr="00F80C6B">
        <w:rPr>
          <w:rFonts w:ascii="GHEA Grapalat" w:hAnsi="GHEA Grapalat"/>
          <w:bCs/>
          <w:szCs w:val="20"/>
          <w:lang w:val="hy-AM"/>
        </w:rPr>
        <w:t>-ի աճի կանխատեսման հավանականությունների բաշխումը</w:t>
      </w:r>
      <w:r w:rsidRPr="00F80C6B">
        <w:rPr>
          <w:rFonts w:ascii="GHEA Grapalat" w:hAnsi="GHEA Grapalat"/>
          <w:b/>
          <w:bCs/>
          <w:szCs w:val="20"/>
          <w:vertAlign w:val="superscript"/>
          <w:lang w:val="hy-AM"/>
        </w:rPr>
        <w:footnoteReference w:id="16"/>
      </w:r>
    </w:p>
    <w:tbl>
      <w:tblPr>
        <w:tblW w:w="9730" w:type="dxa"/>
        <w:tblInd w:w="-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48"/>
        <w:gridCol w:w="1818"/>
        <w:gridCol w:w="1711"/>
        <w:gridCol w:w="1818"/>
        <w:gridCol w:w="1935"/>
      </w:tblGrid>
      <w:tr w:rsidR="00FE3BE4" w:rsidRPr="009D765F" w14:paraId="509D142C" w14:textId="77777777" w:rsidTr="008D4E1E">
        <w:trPr>
          <w:trHeight w:val="432"/>
        </w:trPr>
        <w:tc>
          <w:tcPr>
            <w:tcW w:w="2448" w:type="dxa"/>
            <w:vMerge w:val="restart"/>
            <w:shd w:val="clear" w:color="auto" w:fill="D5DCE4" w:themeFill="text2" w:themeFillTint="33"/>
            <w:hideMark/>
          </w:tcPr>
          <w:p w14:paraId="7F806A9A" w14:textId="77777777" w:rsidR="00FE3BE4" w:rsidRPr="00F80C6B" w:rsidRDefault="00FE3BE4" w:rsidP="008D4E1E">
            <w:pPr>
              <w:spacing w:before="0" w:after="0" w:line="240" w:lineRule="auto"/>
              <w:jc w:val="center"/>
              <w:rPr>
                <w:sz w:val="18"/>
                <w:szCs w:val="18"/>
                <w:lang w:val="ru-RU"/>
              </w:rPr>
            </w:pPr>
            <w:r w:rsidRPr="00F80C6B">
              <w:rPr>
                <w:sz w:val="18"/>
                <w:szCs w:val="18"/>
              </w:rPr>
              <w:t>Տնտեսական աճի</w:t>
            </w:r>
            <w:r w:rsidRPr="005B23CE">
              <w:rPr>
                <w:sz w:val="18"/>
                <w:szCs w:val="18"/>
              </w:rPr>
              <w:t xml:space="preserve"> </w:t>
            </w:r>
            <w:r w:rsidRPr="00F80C6B">
              <w:rPr>
                <w:sz w:val="18"/>
                <w:szCs w:val="18"/>
              </w:rPr>
              <w:t>միջակայքը, %</w:t>
            </w:r>
          </w:p>
        </w:tc>
        <w:tc>
          <w:tcPr>
            <w:tcW w:w="7282" w:type="dxa"/>
            <w:gridSpan w:val="4"/>
            <w:shd w:val="clear" w:color="auto" w:fill="D5DCE4" w:themeFill="text2" w:themeFillTint="33"/>
            <w:vAlign w:val="center"/>
            <w:hideMark/>
          </w:tcPr>
          <w:p w14:paraId="7C868B5B" w14:textId="77777777" w:rsidR="00FE3BE4" w:rsidRPr="00F80C6B" w:rsidRDefault="00FE3BE4" w:rsidP="008D4E1E">
            <w:pPr>
              <w:spacing w:before="0" w:after="0" w:line="240" w:lineRule="auto"/>
              <w:jc w:val="center"/>
              <w:rPr>
                <w:sz w:val="18"/>
                <w:szCs w:val="18"/>
                <w:lang w:val="ru-RU"/>
              </w:rPr>
            </w:pPr>
            <w:r w:rsidRPr="00F80C6B">
              <w:rPr>
                <w:sz w:val="18"/>
                <w:szCs w:val="18"/>
              </w:rPr>
              <w:t>Տնտեսական</w:t>
            </w:r>
            <w:r w:rsidRPr="00F80C6B">
              <w:rPr>
                <w:sz w:val="18"/>
                <w:szCs w:val="18"/>
                <w:lang w:val="ru-RU"/>
              </w:rPr>
              <w:t xml:space="preserve"> </w:t>
            </w:r>
            <w:r w:rsidRPr="00F80C6B">
              <w:rPr>
                <w:sz w:val="18"/>
                <w:szCs w:val="18"/>
              </w:rPr>
              <w:t>աճի</w:t>
            </w:r>
            <w:r w:rsidRPr="00F80C6B">
              <w:rPr>
                <w:sz w:val="18"/>
                <w:szCs w:val="18"/>
                <w:lang w:val="ru-RU"/>
              </w:rPr>
              <w:t xml:space="preserve">` </w:t>
            </w:r>
            <w:r w:rsidRPr="00F80C6B">
              <w:rPr>
                <w:sz w:val="18"/>
                <w:szCs w:val="18"/>
              </w:rPr>
              <w:t>տվյալ</w:t>
            </w:r>
            <w:r w:rsidRPr="00F80C6B">
              <w:rPr>
                <w:sz w:val="18"/>
                <w:szCs w:val="18"/>
                <w:lang w:val="ru-RU"/>
              </w:rPr>
              <w:t xml:space="preserve"> </w:t>
            </w:r>
            <w:r w:rsidRPr="00F80C6B">
              <w:rPr>
                <w:sz w:val="18"/>
                <w:szCs w:val="18"/>
              </w:rPr>
              <w:t>միջակայքում</w:t>
            </w:r>
            <w:r w:rsidRPr="00F80C6B">
              <w:rPr>
                <w:sz w:val="18"/>
                <w:szCs w:val="18"/>
                <w:lang w:val="ru-RU"/>
              </w:rPr>
              <w:t xml:space="preserve"> </w:t>
            </w:r>
            <w:r w:rsidRPr="00F80C6B">
              <w:rPr>
                <w:sz w:val="18"/>
                <w:szCs w:val="18"/>
              </w:rPr>
              <w:t>ձևավորվելու</w:t>
            </w:r>
            <w:r w:rsidRPr="00F80C6B">
              <w:rPr>
                <w:sz w:val="18"/>
                <w:szCs w:val="18"/>
                <w:lang w:val="ru-RU"/>
              </w:rPr>
              <w:t xml:space="preserve"> </w:t>
            </w:r>
            <w:r w:rsidRPr="00F80C6B">
              <w:rPr>
                <w:sz w:val="18"/>
                <w:szCs w:val="18"/>
              </w:rPr>
              <w:t>հավանականությունը</w:t>
            </w:r>
            <w:r w:rsidRPr="00F80C6B">
              <w:rPr>
                <w:sz w:val="18"/>
                <w:szCs w:val="18"/>
                <w:lang w:val="ru-RU"/>
              </w:rPr>
              <w:t>, %</w:t>
            </w:r>
          </w:p>
        </w:tc>
      </w:tr>
      <w:tr w:rsidR="00FE3BE4" w:rsidRPr="00F80C6B" w14:paraId="4CF9F6A8" w14:textId="77777777" w:rsidTr="008D4E1E">
        <w:trPr>
          <w:trHeight w:val="432"/>
        </w:trPr>
        <w:tc>
          <w:tcPr>
            <w:tcW w:w="2448" w:type="dxa"/>
            <w:vMerge/>
            <w:vAlign w:val="center"/>
            <w:hideMark/>
          </w:tcPr>
          <w:p w14:paraId="351BCE67" w14:textId="77777777" w:rsidR="00FE3BE4" w:rsidRPr="00F80C6B" w:rsidRDefault="00FE3BE4" w:rsidP="008D4E1E">
            <w:pPr>
              <w:spacing w:before="0" w:after="0" w:line="240" w:lineRule="auto"/>
              <w:jc w:val="both"/>
              <w:rPr>
                <w:sz w:val="18"/>
                <w:szCs w:val="18"/>
                <w:lang w:val="ru-RU" w:eastAsia="ru-RU"/>
              </w:rPr>
            </w:pPr>
          </w:p>
        </w:tc>
        <w:tc>
          <w:tcPr>
            <w:tcW w:w="1818" w:type="dxa"/>
            <w:shd w:val="clear" w:color="auto" w:fill="D5DCE4" w:themeFill="text2" w:themeFillTint="33"/>
            <w:vAlign w:val="center"/>
            <w:hideMark/>
          </w:tcPr>
          <w:p w14:paraId="06CA06E9" w14:textId="77777777" w:rsidR="00FE3BE4" w:rsidRPr="00F80C6B" w:rsidRDefault="00FE3BE4" w:rsidP="008D4E1E">
            <w:pPr>
              <w:spacing w:before="0" w:after="0" w:line="240" w:lineRule="auto"/>
              <w:jc w:val="center"/>
              <w:rPr>
                <w:b/>
                <w:sz w:val="18"/>
                <w:szCs w:val="18"/>
                <w:lang w:val="hy-AM"/>
              </w:rPr>
            </w:pPr>
            <w:r w:rsidRPr="00F80C6B">
              <w:rPr>
                <w:b/>
                <w:sz w:val="18"/>
                <w:szCs w:val="18"/>
              </w:rPr>
              <w:t>2025</w:t>
            </w:r>
          </w:p>
        </w:tc>
        <w:tc>
          <w:tcPr>
            <w:tcW w:w="1711" w:type="dxa"/>
            <w:shd w:val="clear" w:color="auto" w:fill="D5DCE4" w:themeFill="text2" w:themeFillTint="33"/>
            <w:noWrap/>
            <w:vAlign w:val="center"/>
            <w:hideMark/>
          </w:tcPr>
          <w:p w14:paraId="0F77C2AF" w14:textId="77777777" w:rsidR="00FE3BE4" w:rsidRPr="00F80C6B" w:rsidRDefault="00FE3BE4" w:rsidP="008D4E1E">
            <w:pPr>
              <w:spacing w:before="0" w:after="0" w:line="240" w:lineRule="auto"/>
              <w:jc w:val="center"/>
              <w:rPr>
                <w:b/>
                <w:sz w:val="18"/>
                <w:szCs w:val="18"/>
              </w:rPr>
            </w:pPr>
            <w:r w:rsidRPr="00F80C6B">
              <w:rPr>
                <w:b/>
                <w:sz w:val="18"/>
                <w:szCs w:val="18"/>
              </w:rPr>
              <w:t>2026</w:t>
            </w:r>
          </w:p>
        </w:tc>
        <w:tc>
          <w:tcPr>
            <w:tcW w:w="1818" w:type="dxa"/>
            <w:shd w:val="clear" w:color="auto" w:fill="D5DCE4" w:themeFill="text2" w:themeFillTint="33"/>
            <w:vAlign w:val="center"/>
            <w:hideMark/>
          </w:tcPr>
          <w:p w14:paraId="0074633C" w14:textId="77777777" w:rsidR="00FE3BE4" w:rsidRPr="00F80C6B" w:rsidRDefault="00FE3BE4" w:rsidP="008D4E1E">
            <w:pPr>
              <w:spacing w:before="0" w:after="0" w:line="240" w:lineRule="auto"/>
              <w:jc w:val="center"/>
              <w:rPr>
                <w:b/>
                <w:sz w:val="18"/>
                <w:szCs w:val="18"/>
              </w:rPr>
            </w:pPr>
            <w:r w:rsidRPr="00F80C6B">
              <w:rPr>
                <w:b/>
                <w:sz w:val="18"/>
                <w:szCs w:val="18"/>
              </w:rPr>
              <w:t>2027</w:t>
            </w:r>
          </w:p>
        </w:tc>
        <w:tc>
          <w:tcPr>
            <w:tcW w:w="1935" w:type="dxa"/>
            <w:shd w:val="clear" w:color="auto" w:fill="D5DCE4" w:themeFill="text2" w:themeFillTint="33"/>
            <w:noWrap/>
            <w:vAlign w:val="center"/>
            <w:hideMark/>
          </w:tcPr>
          <w:p w14:paraId="0C0F95FE" w14:textId="77777777" w:rsidR="00FE3BE4" w:rsidRPr="00F80C6B" w:rsidRDefault="00FE3BE4" w:rsidP="008D4E1E">
            <w:pPr>
              <w:spacing w:before="0" w:after="0" w:line="240" w:lineRule="auto"/>
              <w:jc w:val="center"/>
              <w:rPr>
                <w:b/>
                <w:sz w:val="18"/>
                <w:szCs w:val="18"/>
              </w:rPr>
            </w:pPr>
            <w:r w:rsidRPr="00F80C6B">
              <w:rPr>
                <w:b/>
                <w:sz w:val="18"/>
                <w:szCs w:val="18"/>
              </w:rPr>
              <w:t>2028</w:t>
            </w:r>
          </w:p>
        </w:tc>
      </w:tr>
      <w:tr w:rsidR="00FE3BE4" w:rsidRPr="00F80C6B" w14:paraId="66D74DBB" w14:textId="77777777" w:rsidTr="008D4E1E">
        <w:trPr>
          <w:trHeight w:val="432"/>
        </w:trPr>
        <w:tc>
          <w:tcPr>
            <w:tcW w:w="2448" w:type="dxa"/>
            <w:noWrap/>
            <w:vAlign w:val="center"/>
            <w:hideMark/>
          </w:tcPr>
          <w:p w14:paraId="2C787804" w14:textId="77777777" w:rsidR="00FE3BE4" w:rsidRPr="00F80C6B" w:rsidRDefault="00FE3BE4" w:rsidP="008D4E1E">
            <w:pPr>
              <w:spacing w:before="0" w:after="0" w:line="240" w:lineRule="auto"/>
              <w:jc w:val="center"/>
              <w:rPr>
                <w:sz w:val="18"/>
                <w:szCs w:val="18"/>
              </w:rPr>
            </w:pPr>
            <w:r w:rsidRPr="00F80C6B">
              <w:rPr>
                <w:sz w:val="18"/>
                <w:szCs w:val="18"/>
              </w:rPr>
              <w:t>2.0%-3.5%</w:t>
            </w:r>
          </w:p>
        </w:tc>
        <w:tc>
          <w:tcPr>
            <w:tcW w:w="1818" w:type="dxa"/>
            <w:noWrap/>
            <w:hideMark/>
          </w:tcPr>
          <w:p w14:paraId="24A0FFAE" w14:textId="77777777" w:rsidR="00FE3BE4" w:rsidRPr="00F80C6B" w:rsidRDefault="00FE3BE4" w:rsidP="008D4E1E">
            <w:pPr>
              <w:spacing w:before="0" w:after="0" w:line="240" w:lineRule="auto"/>
              <w:jc w:val="center"/>
              <w:rPr>
                <w:sz w:val="18"/>
                <w:szCs w:val="18"/>
                <w:lang w:val="ru-RU"/>
              </w:rPr>
            </w:pPr>
            <w:r w:rsidRPr="005B23CE">
              <w:t>0.150</w:t>
            </w:r>
          </w:p>
        </w:tc>
        <w:tc>
          <w:tcPr>
            <w:tcW w:w="1711" w:type="dxa"/>
            <w:noWrap/>
            <w:hideMark/>
          </w:tcPr>
          <w:p w14:paraId="4F7D81F6" w14:textId="77777777" w:rsidR="00FE3BE4" w:rsidRPr="00F80C6B" w:rsidRDefault="00FE3BE4" w:rsidP="008D4E1E">
            <w:pPr>
              <w:spacing w:before="0" w:after="0" w:line="240" w:lineRule="auto"/>
              <w:jc w:val="center"/>
              <w:rPr>
                <w:sz w:val="18"/>
                <w:szCs w:val="18"/>
              </w:rPr>
            </w:pPr>
            <w:r w:rsidRPr="00F80C6B">
              <w:t>0.142</w:t>
            </w:r>
          </w:p>
        </w:tc>
        <w:tc>
          <w:tcPr>
            <w:tcW w:w="1818" w:type="dxa"/>
            <w:noWrap/>
            <w:hideMark/>
          </w:tcPr>
          <w:p w14:paraId="1CEFACB6" w14:textId="77777777" w:rsidR="00FE3BE4" w:rsidRPr="00F80C6B" w:rsidRDefault="00FE3BE4" w:rsidP="008D4E1E">
            <w:pPr>
              <w:spacing w:before="0" w:after="0" w:line="240" w:lineRule="auto"/>
              <w:jc w:val="center"/>
              <w:rPr>
                <w:sz w:val="18"/>
                <w:szCs w:val="18"/>
              </w:rPr>
            </w:pPr>
            <w:r w:rsidRPr="00F80C6B">
              <w:t>0.140</w:t>
            </w:r>
          </w:p>
        </w:tc>
        <w:tc>
          <w:tcPr>
            <w:tcW w:w="1935" w:type="dxa"/>
            <w:noWrap/>
            <w:hideMark/>
          </w:tcPr>
          <w:p w14:paraId="31C17CA3" w14:textId="77777777" w:rsidR="00FE3BE4" w:rsidRPr="00F80C6B" w:rsidRDefault="00FE3BE4" w:rsidP="008D4E1E">
            <w:pPr>
              <w:spacing w:before="0" w:after="0" w:line="240" w:lineRule="auto"/>
              <w:jc w:val="center"/>
              <w:rPr>
                <w:sz w:val="18"/>
                <w:szCs w:val="18"/>
              </w:rPr>
            </w:pPr>
            <w:r w:rsidRPr="00F80C6B">
              <w:t>0.143</w:t>
            </w:r>
          </w:p>
        </w:tc>
      </w:tr>
      <w:tr w:rsidR="00FE3BE4" w:rsidRPr="00F80C6B" w14:paraId="5C72DA0D" w14:textId="77777777" w:rsidTr="008D4E1E">
        <w:trPr>
          <w:trHeight w:val="432"/>
        </w:trPr>
        <w:tc>
          <w:tcPr>
            <w:tcW w:w="2448" w:type="dxa"/>
            <w:noWrap/>
            <w:vAlign w:val="center"/>
            <w:hideMark/>
          </w:tcPr>
          <w:p w14:paraId="6CCDFAF0" w14:textId="77777777" w:rsidR="00FE3BE4" w:rsidRPr="00F80C6B" w:rsidRDefault="00FE3BE4" w:rsidP="008D4E1E">
            <w:pPr>
              <w:spacing w:before="0" w:after="0" w:line="240" w:lineRule="auto"/>
              <w:jc w:val="center"/>
              <w:rPr>
                <w:sz w:val="18"/>
                <w:szCs w:val="18"/>
              </w:rPr>
            </w:pPr>
            <w:r w:rsidRPr="00F80C6B">
              <w:rPr>
                <w:sz w:val="18"/>
                <w:szCs w:val="18"/>
              </w:rPr>
              <w:t>3.5%-5.0%</w:t>
            </w:r>
          </w:p>
        </w:tc>
        <w:tc>
          <w:tcPr>
            <w:tcW w:w="1818" w:type="dxa"/>
            <w:noWrap/>
            <w:hideMark/>
          </w:tcPr>
          <w:p w14:paraId="3520BAA1" w14:textId="77777777" w:rsidR="00FE3BE4" w:rsidRPr="00F80C6B" w:rsidRDefault="00FE3BE4" w:rsidP="008D4E1E">
            <w:pPr>
              <w:spacing w:before="0" w:after="0" w:line="240" w:lineRule="auto"/>
              <w:jc w:val="center"/>
              <w:rPr>
                <w:sz w:val="18"/>
                <w:szCs w:val="18"/>
              </w:rPr>
            </w:pPr>
            <w:r w:rsidRPr="005B23CE">
              <w:t>0.260</w:t>
            </w:r>
          </w:p>
        </w:tc>
        <w:tc>
          <w:tcPr>
            <w:tcW w:w="1711" w:type="dxa"/>
            <w:noWrap/>
            <w:hideMark/>
          </w:tcPr>
          <w:p w14:paraId="43A48CA1" w14:textId="77777777" w:rsidR="00FE3BE4" w:rsidRPr="00F80C6B" w:rsidRDefault="00FE3BE4" w:rsidP="008D4E1E">
            <w:pPr>
              <w:spacing w:before="0" w:after="0" w:line="240" w:lineRule="auto"/>
              <w:jc w:val="center"/>
              <w:rPr>
                <w:sz w:val="18"/>
                <w:szCs w:val="18"/>
              </w:rPr>
            </w:pPr>
            <w:r w:rsidRPr="00F80C6B">
              <w:t>0.206</w:t>
            </w:r>
          </w:p>
        </w:tc>
        <w:tc>
          <w:tcPr>
            <w:tcW w:w="1818" w:type="dxa"/>
            <w:noWrap/>
            <w:hideMark/>
          </w:tcPr>
          <w:p w14:paraId="1AB3C3AC" w14:textId="77777777" w:rsidR="00FE3BE4" w:rsidRPr="00F80C6B" w:rsidRDefault="00FE3BE4" w:rsidP="008D4E1E">
            <w:pPr>
              <w:spacing w:before="0" w:after="0" w:line="240" w:lineRule="auto"/>
              <w:jc w:val="center"/>
              <w:rPr>
                <w:sz w:val="18"/>
                <w:szCs w:val="18"/>
              </w:rPr>
            </w:pPr>
            <w:r w:rsidRPr="00F80C6B">
              <w:t>0.198</w:t>
            </w:r>
          </w:p>
        </w:tc>
        <w:tc>
          <w:tcPr>
            <w:tcW w:w="1935" w:type="dxa"/>
            <w:noWrap/>
            <w:hideMark/>
          </w:tcPr>
          <w:p w14:paraId="7D666663" w14:textId="77777777" w:rsidR="00FE3BE4" w:rsidRPr="00F80C6B" w:rsidRDefault="00FE3BE4" w:rsidP="008D4E1E">
            <w:pPr>
              <w:spacing w:before="0" w:after="0" w:line="240" w:lineRule="auto"/>
              <w:jc w:val="center"/>
              <w:rPr>
                <w:sz w:val="18"/>
                <w:szCs w:val="18"/>
              </w:rPr>
            </w:pPr>
            <w:r w:rsidRPr="00F80C6B">
              <w:t>0.199</w:t>
            </w:r>
          </w:p>
        </w:tc>
      </w:tr>
      <w:tr w:rsidR="00FE3BE4" w:rsidRPr="00F80C6B" w14:paraId="72D3EBAA" w14:textId="77777777" w:rsidTr="008D4E1E">
        <w:trPr>
          <w:trHeight w:val="432"/>
        </w:trPr>
        <w:tc>
          <w:tcPr>
            <w:tcW w:w="2448" w:type="dxa"/>
            <w:noWrap/>
            <w:vAlign w:val="center"/>
            <w:hideMark/>
          </w:tcPr>
          <w:p w14:paraId="3D2408C1" w14:textId="77777777" w:rsidR="00FE3BE4" w:rsidRPr="00F80C6B" w:rsidRDefault="00FE3BE4" w:rsidP="008D4E1E">
            <w:pPr>
              <w:spacing w:before="0" w:after="0" w:line="240" w:lineRule="auto"/>
              <w:jc w:val="center"/>
              <w:rPr>
                <w:b/>
                <w:sz w:val="18"/>
                <w:szCs w:val="18"/>
                <w:lang w:val="hy-AM"/>
              </w:rPr>
            </w:pPr>
            <w:r w:rsidRPr="00F80C6B">
              <w:rPr>
                <w:b/>
                <w:sz w:val="18"/>
                <w:szCs w:val="18"/>
              </w:rPr>
              <w:t>5.0%-6.5%</w:t>
            </w:r>
          </w:p>
        </w:tc>
        <w:tc>
          <w:tcPr>
            <w:tcW w:w="1818" w:type="dxa"/>
            <w:noWrap/>
            <w:hideMark/>
          </w:tcPr>
          <w:p w14:paraId="2A709A66" w14:textId="77777777" w:rsidR="00FE3BE4" w:rsidRPr="00F80C6B" w:rsidRDefault="00FE3BE4" w:rsidP="008D4E1E">
            <w:pPr>
              <w:spacing w:before="0" w:after="0" w:line="240" w:lineRule="auto"/>
              <w:jc w:val="center"/>
              <w:rPr>
                <w:b/>
                <w:sz w:val="18"/>
                <w:szCs w:val="18"/>
                <w:lang w:val="ru-RU"/>
              </w:rPr>
            </w:pPr>
            <w:r w:rsidRPr="005B23CE">
              <w:rPr>
                <w:b/>
              </w:rPr>
              <w:t>0.275</w:t>
            </w:r>
          </w:p>
        </w:tc>
        <w:tc>
          <w:tcPr>
            <w:tcW w:w="1711" w:type="dxa"/>
            <w:noWrap/>
            <w:hideMark/>
          </w:tcPr>
          <w:p w14:paraId="3CDFFD11" w14:textId="77777777" w:rsidR="00FE3BE4" w:rsidRPr="00F80C6B" w:rsidRDefault="00FE3BE4" w:rsidP="008D4E1E">
            <w:pPr>
              <w:spacing w:before="0" w:after="0" w:line="240" w:lineRule="auto"/>
              <w:jc w:val="center"/>
              <w:rPr>
                <w:b/>
                <w:sz w:val="18"/>
                <w:szCs w:val="18"/>
              </w:rPr>
            </w:pPr>
            <w:r w:rsidRPr="00F80C6B">
              <w:rPr>
                <w:b/>
              </w:rPr>
              <w:t>0.220</w:t>
            </w:r>
          </w:p>
        </w:tc>
        <w:tc>
          <w:tcPr>
            <w:tcW w:w="1818" w:type="dxa"/>
            <w:noWrap/>
            <w:hideMark/>
          </w:tcPr>
          <w:p w14:paraId="77FC4FFC" w14:textId="77777777" w:rsidR="00FE3BE4" w:rsidRPr="00F80C6B" w:rsidRDefault="00FE3BE4" w:rsidP="008D4E1E">
            <w:pPr>
              <w:spacing w:before="0" w:after="0" w:line="240" w:lineRule="auto"/>
              <w:jc w:val="center"/>
              <w:rPr>
                <w:b/>
                <w:sz w:val="18"/>
                <w:szCs w:val="18"/>
              </w:rPr>
            </w:pPr>
            <w:r w:rsidRPr="00F80C6B">
              <w:rPr>
                <w:b/>
              </w:rPr>
              <w:t>0.212</w:t>
            </w:r>
          </w:p>
        </w:tc>
        <w:tc>
          <w:tcPr>
            <w:tcW w:w="1935" w:type="dxa"/>
            <w:noWrap/>
            <w:hideMark/>
          </w:tcPr>
          <w:p w14:paraId="25957C72" w14:textId="77777777" w:rsidR="00FE3BE4" w:rsidRPr="00F80C6B" w:rsidRDefault="00FE3BE4" w:rsidP="008D4E1E">
            <w:pPr>
              <w:spacing w:before="0" w:after="0" w:line="240" w:lineRule="auto"/>
              <w:jc w:val="center"/>
              <w:rPr>
                <w:b/>
                <w:sz w:val="18"/>
                <w:szCs w:val="18"/>
              </w:rPr>
            </w:pPr>
            <w:r w:rsidRPr="00F80C6B">
              <w:rPr>
                <w:b/>
              </w:rPr>
              <w:t>0.210</w:t>
            </w:r>
          </w:p>
        </w:tc>
      </w:tr>
      <w:tr w:rsidR="00FE3BE4" w:rsidRPr="00F80C6B" w14:paraId="7FD5F033" w14:textId="77777777" w:rsidTr="008D4E1E">
        <w:trPr>
          <w:trHeight w:val="432"/>
        </w:trPr>
        <w:tc>
          <w:tcPr>
            <w:tcW w:w="2448" w:type="dxa"/>
            <w:noWrap/>
            <w:vAlign w:val="center"/>
            <w:hideMark/>
          </w:tcPr>
          <w:p w14:paraId="4704D92F" w14:textId="77777777" w:rsidR="00FE3BE4" w:rsidRPr="00F80C6B" w:rsidRDefault="00FE3BE4" w:rsidP="008D4E1E">
            <w:pPr>
              <w:spacing w:before="0" w:after="0" w:line="240" w:lineRule="auto"/>
              <w:jc w:val="center"/>
              <w:rPr>
                <w:sz w:val="18"/>
                <w:szCs w:val="18"/>
                <w:lang w:val="hy-AM"/>
              </w:rPr>
            </w:pPr>
            <w:r w:rsidRPr="00F80C6B">
              <w:rPr>
                <w:sz w:val="18"/>
                <w:szCs w:val="18"/>
              </w:rPr>
              <w:t>6.5%-8.0%</w:t>
            </w:r>
          </w:p>
        </w:tc>
        <w:tc>
          <w:tcPr>
            <w:tcW w:w="1818" w:type="dxa"/>
            <w:noWrap/>
            <w:hideMark/>
          </w:tcPr>
          <w:p w14:paraId="200CC6CE" w14:textId="77777777" w:rsidR="00FE3BE4" w:rsidRPr="00F80C6B" w:rsidRDefault="00FE3BE4" w:rsidP="008D4E1E">
            <w:pPr>
              <w:spacing w:before="0" w:after="0" w:line="240" w:lineRule="auto"/>
              <w:jc w:val="center"/>
              <w:rPr>
                <w:sz w:val="18"/>
                <w:szCs w:val="18"/>
                <w:lang w:val="ru-RU"/>
              </w:rPr>
            </w:pPr>
            <w:r w:rsidRPr="005B23CE">
              <w:t>0.171</w:t>
            </w:r>
          </w:p>
        </w:tc>
        <w:tc>
          <w:tcPr>
            <w:tcW w:w="1711" w:type="dxa"/>
            <w:noWrap/>
            <w:hideMark/>
          </w:tcPr>
          <w:p w14:paraId="25338170" w14:textId="77777777" w:rsidR="00FE3BE4" w:rsidRPr="00F80C6B" w:rsidRDefault="00FE3BE4" w:rsidP="008D4E1E">
            <w:pPr>
              <w:spacing w:before="0" w:after="0" w:line="240" w:lineRule="auto"/>
              <w:jc w:val="center"/>
              <w:rPr>
                <w:sz w:val="18"/>
                <w:szCs w:val="18"/>
              </w:rPr>
            </w:pPr>
            <w:r w:rsidRPr="00F80C6B">
              <w:t>0.172</w:t>
            </w:r>
          </w:p>
        </w:tc>
        <w:tc>
          <w:tcPr>
            <w:tcW w:w="1818" w:type="dxa"/>
            <w:noWrap/>
            <w:hideMark/>
          </w:tcPr>
          <w:p w14:paraId="43F96CCB" w14:textId="77777777" w:rsidR="00FE3BE4" w:rsidRPr="00F80C6B" w:rsidRDefault="00FE3BE4" w:rsidP="008D4E1E">
            <w:pPr>
              <w:spacing w:before="0" w:after="0" w:line="240" w:lineRule="auto"/>
              <w:jc w:val="center"/>
              <w:rPr>
                <w:sz w:val="18"/>
                <w:szCs w:val="18"/>
              </w:rPr>
            </w:pPr>
            <w:r w:rsidRPr="00F80C6B">
              <w:t>0.169</w:t>
            </w:r>
          </w:p>
        </w:tc>
        <w:tc>
          <w:tcPr>
            <w:tcW w:w="1935" w:type="dxa"/>
            <w:noWrap/>
            <w:hideMark/>
          </w:tcPr>
          <w:p w14:paraId="52CF900C" w14:textId="77777777" w:rsidR="00FE3BE4" w:rsidRPr="00F80C6B" w:rsidRDefault="00FE3BE4" w:rsidP="008D4E1E">
            <w:pPr>
              <w:spacing w:before="0" w:after="0" w:line="240" w:lineRule="auto"/>
              <w:jc w:val="center"/>
              <w:rPr>
                <w:sz w:val="18"/>
                <w:szCs w:val="18"/>
              </w:rPr>
            </w:pPr>
            <w:r w:rsidRPr="00F80C6B">
              <w:t>0.166</w:t>
            </w:r>
          </w:p>
        </w:tc>
      </w:tr>
    </w:tbl>
    <w:p w14:paraId="4D6CDE8B" w14:textId="77777777" w:rsidR="00FE3BE4" w:rsidRPr="00F80C6B" w:rsidRDefault="00FE3BE4" w:rsidP="00FE3BE4">
      <w:pPr>
        <w:jc w:val="both"/>
        <w:rPr>
          <w:rFonts w:ascii="GHEA Grapalat" w:hAnsi="GHEA Grapalat"/>
          <w:b/>
          <w:bCs/>
          <w:szCs w:val="20"/>
          <w:lang w:val="hy-AM"/>
        </w:rPr>
      </w:pPr>
    </w:p>
    <w:p w14:paraId="50FE727E" w14:textId="64A26AD0" w:rsidR="003676BB" w:rsidRDefault="00FE3BE4" w:rsidP="00FE3BE4">
      <w:pPr>
        <w:pStyle w:val="BodyText1"/>
        <w:ind w:left="0"/>
        <w:rPr>
          <w:lang w:val="hy-AM"/>
        </w:rPr>
      </w:pPr>
      <w:r w:rsidRPr="00F80C6B">
        <w:rPr>
          <w:rFonts w:eastAsia="Calibri" w:cs="Sylfaen"/>
          <w:lang w:val="hy-AM"/>
        </w:rPr>
        <w:t>Ինչպես երևում է Գծապատկեր 1.39-ից, իրական ՀՆԱ-ի տարեկան աճի կենտրոնական կանխատեսումներից շեղման ռիսկերը դեպի ներքև են: 2025-2028թթ.</w:t>
      </w:r>
      <w:r w:rsidRPr="00F80C6B" w:rsidDel="00301E27">
        <w:rPr>
          <w:rFonts w:eastAsia="Calibri" w:cs="Sylfaen"/>
          <w:lang w:val="hy-AM"/>
        </w:rPr>
        <w:t xml:space="preserve"> </w:t>
      </w:r>
      <w:r w:rsidRPr="00F80C6B">
        <w:rPr>
          <w:rFonts w:eastAsia="Calibri" w:cs="Sylfaen"/>
          <w:lang w:val="hy-AM"/>
        </w:rPr>
        <w:t>տնտեսական աճի ձևավորման ամենաբարձր հավանականությունը գտնվում է կենտրոնական կանխատեսումները պարունակող համապատասխան միջակայքում՝ այն մուգ կարմիր է, իսկ Աղյուսակ 1.3-ում՝ հոծ նշումով), իսկ դեպի ներքև ռիսկերը ավելի բարձր են։</w:t>
      </w:r>
    </w:p>
    <w:p w14:paraId="6A0A103A" w14:textId="77777777" w:rsidR="00FE3BE4" w:rsidRPr="003E7987" w:rsidRDefault="00FE3BE4" w:rsidP="00104E7A">
      <w:pPr>
        <w:pStyle w:val="TOC3"/>
        <w:pBdr>
          <w:bottom w:val="single" w:sz="6" w:space="1" w:color="C3C3C7" w:themeColor="accent3" w:themeTint="66"/>
        </w:pBdr>
        <w:outlineLvl w:val="1"/>
        <w:rPr>
          <w:lang w:val="hy-AM"/>
        </w:rPr>
      </w:pPr>
      <w:bookmarkStart w:id="231" w:name="_Toc178356569"/>
      <w:bookmarkStart w:id="232" w:name="_Toc178612091"/>
      <w:bookmarkStart w:id="233" w:name="_Toc183801075"/>
      <w:bookmarkStart w:id="234" w:name="_Toc215157676"/>
      <w:r w:rsidRPr="003E7987">
        <w:rPr>
          <w:lang w:val="hy-AM"/>
        </w:rPr>
        <w:t>1.6. ՀԱՄԵՄԱՏՈՒԹՅՈՒՆ ՆԱԽՈՐԴ ԿԱՆԽԱՏԵՍՈՒՄՆԵՐԻ ՀԵՏ</w:t>
      </w:r>
      <w:bookmarkEnd w:id="231"/>
      <w:bookmarkEnd w:id="232"/>
      <w:bookmarkEnd w:id="233"/>
      <w:bookmarkEnd w:id="234"/>
    </w:p>
    <w:p w14:paraId="1F1D6DA5" w14:textId="77777777" w:rsidR="00FE3BE4" w:rsidRDefault="00FE3BE4" w:rsidP="00FE3BE4">
      <w:pPr>
        <w:jc w:val="both"/>
        <w:rPr>
          <w:rFonts w:ascii="GHEA Grapalat" w:hAnsi="GHEA Grapalat"/>
          <w:bCs/>
          <w:szCs w:val="20"/>
        </w:rPr>
      </w:pPr>
      <w:r w:rsidRPr="000832D9">
        <w:rPr>
          <w:rFonts w:ascii="GHEA Grapalat" w:hAnsi="GHEA Grapalat"/>
          <w:bCs/>
          <w:szCs w:val="20"/>
          <w:lang w:val="hy-AM"/>
        </w:rPr>
        <w:t xml:space="preserve">Աղյուսակ 1.4. </w:t>
      </w:r>
      <w:r w:rsidRPr="0027036A">
        <w:rPr>
          <w:rFonts w:ascii="GHEA Grapalat" w:hAnsi="GHEA Grapalat"/>
          <w:bCs/>
          <w:szCs w:val="20"/>
        </w:rPr>
        <w:t>ՀՆԱ-ի կանխատեսումները</w:t>
      </w:r>
    </w:p>
    <w:tbl>
      <w:tblPr>
        <w:tblpPr w:leftFromText="180" w:rightFromText="180" w:topFromText="120" w:vertAnchor="text" w:tblpY="1"/>
        <w:tblOverlap w:val="never"/>
        <w:tblW w:w="9637" w:type="dxa"/>
        <w:tblBorders>
          <w:top w:val="single" w:sz="4" w:space="0" w:color="E1E1E3" w:themeColor="accent3" w:themeTint="33"/>
          <w:left w:val="single" w:sz="4" w:space="0" w:color="E1E1E3" w:themeColor="accent3" w:themeTint="33"/>
          <w:bottom w:val="single" w:sz="4" w:space="0" w:color="E1E1E3" w:themeColor="accent3" w:themeTint="33"/>
          <w:right w:val="single" w:sz="4" w:space="0" w:color="E1E1E3" w:themeColor="accent3" w:themeTint="33"/>
          <w:insideH w:val="single" w:sz="4" w:space="0" w:color="E1E1E3" w:themeColor="accent3" w:themeTint="33"/>
          <w:insideV w:val="single" w:sz="4" w:space="0" w:color="E1E1E3" w:themeColor="accent3" w:themeTint="33"/>
        </w:tblBorders>
        <w:tblLayout w:type="fixed"/>
        <w:tblLook w:val="04A0" w:firstRow="1" w:lastRow="0" w:firstColumn="1" w:lastColumn="0" w:noHBand="0" w:noVBand="1"/>
      </w:tblPr>
      <w:tblGrid>
        <w:gridCol w:w="1470"/>
        <w:gridCol w:w="2359"/>
        <w:gridCol w:w="1032"/>
        <w:gridCol w:w="1125"/>
        <w:gridCol w:w="1217"/>
        <w:gridCol w:w="1217"/>
        <w:gridCol w:w="1217"/>
      </w:tblGrid>
      <w:tr w:rsidR="00FE3BE4" w:rsidRPr="000267C5" w14:paraId="4E69EBBC" w14:textId="77777777" w:rsidTr="00396FB2">
        <w:trPr>
          <w:trHeight w:val="321"/>
        </w:trPr>
        <w:tc>
          <w:tcPr>
            <w:tcW w:w="1470" w:type="dxa"/>
            <w:vMerge w:val="restart"/>
            <w:shd w:val="clear" w:color="auto" w:fill="D5DCE4" w:themeFill="text2" w:themeFillTint="33"/>
            <w:noWrap/>
            <w:vAlign w:val="center"/>
            <w:hideMark/>
          </w:tcPr>
          <w:p w14:paraId="47040DFC" w14:textId="77777777" w:rsidR="00FE3BE4" w:rsidRPr="006B377E" w:rsidRDefault="00FE3BE4" w:rsidP="008D4E1E">
            <w:pPr>
              <w:spacing w:before="0" w:after="0" w:line="240" w:lineRule="auto"/>
              <w:jc w:val="center"/>
              <w:rPr>
                <w:b/>
                <w:sz w:val="18"/>
                <w:szCs w:val="18"/>
                <w:lang w:val="ru-RU"/>
              </w:rPr>
            </w:pPr>
            <w:bookmarkStart w:id="235" w:name="OLE_LINK1"/>
            <w:r w:rsidRPr="006B377E">
              <w:rPr>
                <w:b/>
                <w:sz w:val="18"/>
                <w:szCs w:val="18"/>
              </w:rPr>
              <w:t>Ցուցանիշներ</w:t>
            </w:r>
          </w:p>
        </w:tc>
        <w:tc>
          <w:tcPr>
            <w:tcW w:w="2359" w:type="dxa"/>
            <w:vMerge w:val="restart"/>
            <w:shd w:val="clear" w:color="auto" w:fill="D5DCE4" w:themeFill="text2" w:themeFillTint="33"/>
            <w:vAlign w:val="center"/>
            <w:hideMark/>
          </w:tcPr>
          <w:p w14:paraId="01995B7C" w14:textId="77777777" w:rsidR="00FE3BE4" w:rsidRPr="006B377E" w:rsidRDefault="00FE3BE4" w:rsidP="008D4E1E">
            <w:pPr>
              <w:spacing w:before="0" w:after="0" w:line="240" w:lineRule="auto"/>
              <w:jc w:val="center"/>
              <w:rPr>
                <w:b/>
                <w:sz w:val="18"/>
                <w:szCs w:val="18"/>
              </w:rPr>
            </w:pPr>
            <w:r w:rsidRPr="006B377E">
              <w:rPr>
                <w:b/>
                <w:sz w:val="18"/>
                <w:szCs w:val="18"/>
              </w:rPr>
              <w:t>Ծրագիր</w:t>
            </w:r>
          </w:p>
        </w:tc>
        <w:tc>
          <w:tcPr>
            <w:tcW w:w="1032" w:type="dxa"/>
            <w:shd w:val="clear" w:color="auto" w:fill="D5DCE4" w:themeFill="text2" w:themeFillTint="33"/>
            <w:vAlign w:val="center"/>
            <w:hideMark/>
          </w:tcPr>
          <w:p w14:paraId="73575CD7" w14:textId="77777777" w:rsidR="00FE3BE4" w:rsidRPr="00DB297C" w:rsidRDefault="00FE3BE4" w:rsidP="008D4E1E">
            <w:pPr>
              <w:spacing w:before="0" w:after="0" w:line="240" w:lineRule="auto"/>
              <w:jc w:val="center"/>
              <w:rPr>
                <w:b/>
                <w:sz w:val="18"/>
                <w:szCs w:val="18"/>
                <w:lang w:val="hy-AM"/>
              </w:rPr>
            </w:pPr>
            <w:r w:rsidRPr="00DB297C">
              <w:rPr>
                <w:b/>
                <w:sz w:val="18"/>
                <w:szCs w:val="18"/>
              </w:rPr>
              <w:t>202</w:t>
            </w:r>
            <w:r w:rsidRPr="00DB297C">
              <w:rPr>
                <w:b/>
                <w:sz w:val="18"/>
                <w:szCs w:val="18"/>
                <w:lang w:val="hy-AM"/>
              </w:rPr>
              <w:t>4</w:t>
            </w:r>
          </w:p>
        </w:tc>
        <w:tc>
          <w:tcPr>
            <w:tcW w:w="1125" w:type="dxa"/>
            <w:shd w:val="clear" w:color="auto" w:fill="D5DCE4" w:themeFill="text2" w:themeFillTint="33"/>
            <w:vAlign w:val="center"/>
            <w:hideMark/>
          </w:tcPr>
          <w:p w14:paraId="7991982B" w14:textId="77777777" w:rsidR="00FE3BE4" w:rsidRPr="00DB297C" w:rsidRDefault="00FE3BE4" w:rsidP="008D4E1E">
            <w:pPr>
              <w:spacing w:before="0" w:after="0" w:line="240" w:lineRule="auto"/>
              <w:jc w:val="center"/>
              <w:rPr>
                <w:b/>
                <w:sz w:val="18"/>
                <w:szCs w:val="18"/>
              </w:rPr>
            </w:pPr>
            <w:r w:rsidRPr="00DB297C">
              <w:rPr>
                <w:b/>
                <w:sz w:val="18"/>
                <w:szCs w:val="18"/>
              </w:rPr>
              <w:t>2025</w:t>
            </w:r>
          </w:p>
        </w:tc>
        <w:tc>
          <w:tcPr>
            <w:tcW w:w="1217" w:type="dxa"/>
            <w:shd w:val="clear" w:color="auto" w:fill="D5DCE4" w:themeFill="text2" w:themeFillTint="33"/>
            <w:vAlign w:val="center"/>
            <w:hideMark/>
          </w:tcPr>
          <w:p w14:paraId="61879CEF" w14:textId="77777777" w:rsidR="00FE3BE4" w:rsidRPr="00DB297C" w:rsidRDefault="00FE3BE4" w:rsidP="008D4E1E">
            <w:pPr>
              <w:spacing w:before="0" w:after="0" w:line="240" w:lineRule="auto"/>
              <w:jc w:val="center"/>
              <w:rPr>
                <w:b/>
                <w:sz w:val="18"/>
                <w:szCs w:val="18"/>
              </w:rPr>
            </w:pPr>
            <w:r w:rsidRPr="00DB297C">
              <w:rPr>
                <w:b/>
                <w:sz w:val="18"/>
                <w:szCs w:val="18"/>
              </w:rPr>
              <w:t>2026</w:t>
            </w:r>
          </w:p>
        </w:tc>
        <w:tc>
          <w:tcPr>
            <w:tcW w:w="1217" w:type="dxa"/>
            <w:shd w:val="clear" w:color="auto" w:fill="D5DCE4" w:themeFill="text2" w:themeFillTint="33"/>
            <w:vAlign w:val="center"/>
            <w:hideMark/>
          </w:tcPr>
          <w:p w14:paraId="2A9C6BA5" w14:textId="77777777" w:rsidR="00FE3BE4" w:rsidRPr="00DB297C" w:rsidRDefault="00FE3BE4" w:rsidP="008D4E1E">
            <w:pPr>
              <w:spacing w:before="0" w:after="0" w:line="240" w:lineRule="auto"/>
              <w:jc w:val="center"/>
              <w:rPr>
                <w:b/>
                <w:sz w:val="18"/>
                <w:szCs w:val="18"/>
              </w:rPr>
            </w:pPr>
            <w:r w:rsidRPr="00DB297C">
              <w:rPr>
                <w:b/>
                <w:sz w:val="18"/>
                <w:szCs w:val="18"/>
              </w:rPr>
              <w:t>2027</w:t>
            </w:r>
          </w:p>
        </w:tc>
        <w:tc>
          <w:tcPr>
            <w:tcW w:w="1217" w:type="dxa"/>
            <w:shd w:val="clear" w:color="auto" w:fill="D5DCE4" w:themeFill="text2" w:themeFillTint="33"/>
            <w:vAlign w:val="center"/>
            <w:hideMark/>
          </w:tcPr>
          <w:p w14:paraId="4DDA6538" w14:textId="77777777" w:rsidR="00FE3BE4" w:rsidRPr="00DB297C" w:rsidRDefault="00FE3BE4" w:rsidP="008D4E1E">
            <w:pPr>
              <w:spacing w:before="0" w:after="0" w:line="240" w:lineRule="auto"/>
              <w:jc w:val="center"/>
              <w:rPr>
                <w:b/>
                <w:sz w:val="18"/>
                <w:szCs w:val="18"/>
              </w:rPr>
            </w:pPr>
            <w:r w:rsidRPr="00DB297C">
              <w:rPr>
                <w:b/>
                <w:sz w:val="18"/>
                <w:szCs w:val="18"/>
              </w:rPr>
              <w:t>2028</w:t>
            </w:r>
          </w:p>
        </w:tc>
      </w:tr>
      <w:tr w:rsidR="00FE3BE4" w:rsidRPr="000267C5" w14:paraId="181F8E49" w14:textId="77777777" w:rsidTr="00396FB2">
        <w:trPr>
          <w:trHeight w:val="321"/>
        </w:trPr>
        <w:tc>
          <w:tcPr>
            <w:tcW w:w="1470" w:type="dxa"/>
            <w:vMerge/>
            <w:shd w:val="clear" w:color="auto" w:fill="D5DCE4" w:themeFill="text2" w:themeFillTint="33"/>
            <w:hideMark/>
          </w:tcPr>
          <w:p w14:paraId="508575B2" w14:textId="77777777" w:rsidR="00FE3BE4" w:rsidRPr="000267C5" w:rsidRDefault="00FE3BE4" w:rsidP="008D4E1E">
            <w:pPr>
              <w:spacing w:before="0" w:after="0" w:line="240" w:lineRule="auto"/>
              <w:rPr>
                <w:b/>
                <w:sz w:val="18"/>
                <w:szCs w:val="18"/>
                <w:highlight w:val="yellow"/>
                <w:lang w:val="ru-RU" w:eastAsia="ru-RU"/>
              </w:rPr>
            </w:pPr>
          </w:p>
        </w:tc>
        <w:tc>
          <w:tcPr>
            <w:tcW w:w="2359" w:type="dxa"/>
            <w:vMerge/>
            <w:shd w:val="clear" w:color="auto" w:fill="D5DCE4" w:themeFill="text2" w:themeFillTint="33"/>
            <w:vAlign w:val="center"/>
            <w:hideMark/>
          </w:tcPr>
          <w:p w14:paraId="2B0104CF" w14:textId="77777777" w:rsidR="00FE3BE4" w:rsidRPr="000267C5" w:rsidRDefault="00FE3BE4" w:rsidP="008D4E1E">
            <w:pPr>
              <w:spacing w:before="0" w:after="0" w:line="240" w:lineRule="auto"/>
              <w:rPr>
                <w:b/>
                <w:sz w:val="18"/>
                <w:szCs w:val="18"/>
                <w:highlight w:val="yellow"/>
                <w:lang w:val="ru-RU" w:eastAsia="ru-RU"/>
              </w:rPr>
            </w:pPr>
          </w:p>
        </w:tc>
        <w:tc>
          <w:tcPr>
            <w:tcW w:w="1032" w:type="dxa"/>
            <w:shd w:val="clear" w:color="auto" w:fill="D5DCE4" w:themeFill="text2" w:themeFillTint="33"/>
            <w:hideMark/>
          </w:tcPr>
          <w:p w14:paraId="61223630" w14:textId="77777777" w:rsidR="00FE3BE4" w:rsidRPr="00DB297C" w:rsidRDefault="00FE3BE4" w:rsidP="008D4E1E">
            <w:pPr>
              <w:spacing w:before="0" w:after="0" w:line="240" w:lineRule="auto"/>
              <w:jc w:val="center"/>
              <w:rPr>
                <w:b/>
                <w:sz w:val="18"/>
                <w:szCs w:val="18"/>
              </w:rPr>
            </w:pPr>
            <w:r w:rsidRPr="00DB297C">
              <w:rPr>
                <w:b/>
                <w:sz w:val="18"/>
                <w:szCs w:val="18"/>
              </w:rPr>
              <w:t>փաստ*/կանխ.</w:t>
            </w:r>
          </w:p>
        </w:tc>
        <w:tc>
          <w:tcPr>
            <w:tcW w:w="1125" w:type="dxa"/>
            <w:shd w:val="clear" w:color="auto" w:fill="D5DCE4" w:themeFill="text2" w:themeFillTint="33"/>
            <w:hideMark/>
          </w:tcPr>
          <w:p w14:paraId="7885CA18" w14:textId="77777777" w:rsidR="00FE3BE4" w:rsidRPr="00DB297C" w:rsidRDefault="00FE3BE4" w:rsidP="008D4E1E">
            <w:pPr>
              <w:spacing w:before="0" w:after="0" w:line="240" w:lineRule="auto"/>
              <w:jc w:val="center"/>
              <w:rPr>
                <w:b/>
                <w:sz w:val="18"/>
                <w:szCs w:val="18"/>
              </w:rPr>
            </w:pPr>
            <w:r w:rsidRPr="00DB297C">
              <w:rPr>
                <w:b/>
                <w:sz w:val="18"/>
                <w:szCs w:val="18"/>
              </w:rPr>
              <w:t>կանխ.</w:t>
            </w:r>
          </w:p>
        </w:tc>
        <w:tc>
          <w:tcPr>
            <w:tcW w:w="1217" w:type="dxa"/>
            <w:shd w:val="clear" w:color="auto" w:fill="D5DCE4" w:themeFill="text2" w:themeFillTint="33"/>
            <w:hideMark/>
          </w:tcPr>
          <w:p w14:paraId="3FA6E1D2" w14:textId="77777777" w:rsidR="00FE3BE4" w:rsidRPr="00DB297C" w:rsidRDefault="00FE3BE4" w:rsidP="008D4E1E">
            <w:pPr>
              <w:spacing w:before="0" w:after="0" w:line="240" w:lineRule="auto"/>
              <w:jc w:val="center"/>
              <w:rPr>
                <w:b/>
                <w:sz w:val="18"/>
                <w:szCs w:val="18"/>
              </w:rPr>
            </w:pPr>
            <w:r w:rsidRPr="00DB297C">
              <w:rPr>
                <w:b/>
                <w:sz w:val="18"/>
                <w:szCs w:val="18"/>
              </w:rPr>
              <w:t>կանխ.</w:t>
            </w:r>
          </w:p>
        </w:tc>
        <w:tc>
          <w:tcPr>
            <w:tcW w:w="1217" w:type="dxa"/>
            <w:shd w:val="clear" w:color="auto" w:fill="D5DCE4" w:themeFill="text2" w:themeFillTint="33"/>
            <w:hideMark/>
          </w:tcPr>
          <w:p w14:paraId="00320CBC" w14:textId="77777777" w:rsidR="00FE3BE4" w:rsidRPr="00DB297C" w:rsidRDefault="00FE3BE4" w:rsidP="008D4E1E">
            <w:pPr>
              <w:spacing w:before="0" w:after="0" w:line="240" w:lineRule="auto"/>
              <w:jc w:val="center"/>
              <w:rPr>
                <w:b/>
                <w:sz w:val="18"/>
                <w:szCs w:val="18"/>
              </w:rPr>
            </w:pPr>
            <w:r w:rsidRPr="00DB297C">
              <w:rPr>
                <w:b/>
                <w:sz w:val="18"/>
                <w:szCs w:val="18"/>
              </w:rPr>
              <w:t>կանխ.</w:t>
            </w:r>
          </w:p>
        </w:tc>
        <w:tc>
          <w:tcPr>
            <w:tcW w:w="1217" w:type="dxa"/>
            <w:shd w:val="clear" w:color="auto" w:fill="D5DCE4" w:themeFill="text2" w:themeFillTint="33"/>
            <w:hideMark/>
          </w:tcPr>
          <w:p w14:paraId="1B1F3ACD" w14:textId="77777777" w:rsidR="00FE3BE4" w:rsidRPr="00DB297C" w:rsidRDefault="00FE3BE4" w:rsidP="008D4E1E">
            <w:pPr>
              <w:spacing w:before="0" w:after="0" w:line="240" w:lineRule="auto"/>
              <w:jc w:val="center"/>
              <w:rPr>
                <w:b/>
                <w:sz w:val="18"/>
                <w:szCs w:val="18"/>
              </w:rPr>
            </w:pPr>
            <w:r w:rsidRPr="00DB297C">
              <w:rPr>
                <w:b/>
                <w:sz w:val="18"/>
                <w:szCs w:val="18"/>
              </w:rPr>
              <w:t>կանխ.</w:t>
            </w:r>
          </w:p>
        </w:tc>
      </w:tr>
      <w:tr w:rsidR="00FE3BE4" w:rsidRPr="000267C5" w14:paraId="6D766369" w14:textId="77777777" w:rsidTr="00396FB2">
        <w:trPr>
          <w:trHeight w:val="385"/>
        </w:trPr>
        <w:tc>
          <w:tcPr>
            <w:tcW w:w="1470" w:type="dxa"/>
            <w:vMerge w:val="restart"/>
            <w:vAlign w:val="center"/>
            <w:hideMark/>
          </w:tcPr>
          <w:p w14:paraId="0DA25725" w14:textId="77777777" w:rsidR="00FE3BE4" w:rsidRPr="00A435FB" w:rsidRDefault="00FE3BE4" w:rsidP="008D4E1E">
            <w:pPr>
              <w:spacing w:before="0" w:after="0" w:line="240" w:lineRule="auto"/>
              <w:rPr>
                <w:sz w:val="18"/>
                <w:szCs w:val="18"/>
              </w:rPr>
            </w:pPr>
            <w:r w:rsidRPr="00A435FB">
              <w:rPr>
                <w:sz w:val="18"/>
                <w:szCs w:val="18"/>
              </w:rPr>
              <w:t>Անվանական ՀՆԱ, մլրդ դրամ</w:t>
            </w:r>
          </w:p>
        </w:tc>
        <w:tc>
          <w:tcPr>
            <w:tcW w:w="2359" w:type="dxa"/>
            <w:vAlign w:val="center"/>
            <w:hideMark/>
          </w:tcPr>
          <w:p w14:paraId="27F5EB01" w14:textId="77777777" w:rsidR="00FE3BE4" w:rsidRPr="000267C5" w:rsidRDefault="00FE3BE4" w:rsidP="008D4E1E">
            <w:pPr>
              <w:spacing w:before="0" w:after="0" w:line="240" w:lineRule="auto"/>
              <w:rPr>
                <w:sz w:val="18"/>
                <w:szCs w:val="18"/>
                <w:highlight w:val="yellow"/>
              </w:rPr>
            </w:pPr>
            <w:r w:rsidRPr="006B377E">
              <w:rPr>
                <w:sz w:val="18"/>
                <w:szCs w:val="18"/>
              </w:rPr>
              <w:t>202</w:t>
            </w:r>
            <w:r w:rsidRPr="006B377E">
              <w:rPr>
                <w:sz w:val="18"/>
                <w:szCs w:val="18"/>
                <w:lang w:val="hy-AM"/>
              </w:rPr>
              <w:t>6</w:t>
            </w:r>
            <w:r w:rsidRPr="006B377E">
              <w:rPr>
                <w:sz w:val="18"/>
                <w:szCs w:val="18"/>
              </w:rPr>
              <w:t xml:space="preserve"> Պետական բյուջե</w:t>
            </w:r>
          </w:p>
        </w:tc>
        <w:tc>
          <w:tcPr>
            <w:tcW w:w="1032" w:type="dxa"/>
            <w:vAlign w:val="center"/>
            <w:hideMark/>
          </w:tcPr>
          <w:p w14:paraId="2045408F" w14:textId="77777777" w:rsidR="00FE3BE4" w:rsidRPr="009104C1" w:rsidRDefault="00FE3BE4" w:rsidP="008D4E1E">
            <w:pPr>
              <w:spacing w:before="0" w:after="0" w:line="240" w:lineRule="auto"/>
              <w:jc w:val="center"/>
              <w:rPr>
                <w:sz w:val="18"/>
                <w:szCs w:val="18"/>
              </w:rPr>
            </w:pPr>
            <w:r w:rsidRPr="009104C1">
              <w:rPr>
                <w:sz w:val="18"/>
                <w:szCs w:val="18"/>
              </w:rPr>
              <w:t>10,193</w:t>
            </w:r>
          </w:p>
        </w:tc>
        <w:tc>
          <w:tcPr>
            <w:tcW w:w="1125" w:type="dxa"/>
            <w:noWrap/>
            <w:vAlign w:val="center"/>
            <w:hideMark/>
          </w:tcPr>
          <w:p w14:paraId="1BCA7476" w14:textId="77777777" w:rsidR="00FE3BE4" w:rsidRPr="009104C1" w:rsidRDefault="00FE3BE4" w:rsidP="008D4E1E">
            <w:pPr>
              <w:spacing w:before="0" w:after="0" w:line="240" w:lineRule="auto"/>
              <w:jc w:val="center"/>
              <w:rPr>
                <w:sz w:val="18"/>
                <w:szCs w:val="18"/>
              </w:rPr>
            </w:pPr>
            <w:r w:rsidRPr="009104C1">
              <w:rPr>
                <w:sz w:val="18"/>
                <w:szCs w:val="18"/>
              </w:rPr>
              <w:t>10,997</w:t>
            </w:r>
          </w:p>
        </w:tc>
        <w:tc>
          <w:tcPr>
            <w:tcW w:w="1217" w:type="dxa"/>
            <w:vAlign w:val="center"/>
            <w:hideMark/>
          </w:tcPr>
          <w:p w14:paraId="40E2836C" w14:textId="77777777" w:rsidR="00FE3BE4" w:rsidRPr="009104C1" w:rsidRDefault="00FE3BE4" w:rsidP="008D4E1E">
            <w:pPr>
              <w:spacing w:before="0" w:after="0" w:line="240" w:lineRule="auto"/>
              <w:jc w:val="center"/>
              <w:rPr>
                <w:sz w:val="18"/>
                <w:szCs w:val="18"/>
                <w:lang w:val="hy-AM"/>
              </w:rPr>
            </w:pPr>
            <w:r w:rsidRPr="009104C1">
              <w:rPr>
                <w:sz w:val="18"/>
                <w:szCs w:val="18"/>
              </w:rPr>
              <w:t>11,93</w:t>
            </w:r>
            <w:r>
              <w:rPr>
                <w:sz w:val="18"/>
                <w:szCs w:val="18"/>
                <w:lang w:val="hy-AM"/>
              </w:rPr>
              <w:t>4</w:t>
            </w:r>
          </w:p>
        </w:tc>
        <w:tc>
          <w:tcPr>
            <w:tcW w:w="1217" w:type="dxa"/>
            <w:noWrap/>
            <w:vAlign w:val="center"/>
            <w:hideMark/>
          </w:tcPr>
          <w:p w14:paraId="4CD894AF" w14:textId="77777777" w:rsidR="00FE3BE4" w:rsidRPr="009104C1" w:rsidRDefault="00FE3BE4" w:rsidP="008D4E1E">
            <w:pPr>
              <w:spacing w:before="0" w:after="0" w:line="240" w:lineRule="auto"/>
              <w:jc w:val="center"/>
              <w:rPr>
                <w:sz w:val="18"/>
                <w:szCs w:val="18"/>
                <w:lang w:val="hy-AM"/>
              </w:rPr>
            </w:pPr>
            <w:r w:rsidRPr="009104C1">
              <w:rPr>
                <w:sz w:val="18"/>
                <w:szCs w:val="18"/>
              </w:rPr>
              <w:t>12,95</w:t>
            </w:r>
            <w:r>
              <w:rPr>
                <w:sz w:val="18"/>
                <w:szCs w:val="18"/>
                <w:lang w:val="hy-AM"/>
              </w:rPr>
              <w:t>3</w:t>
            </w:r>
          </w:p>
        </w:tc>
        <w:tc>
          <w:tcPr>
            <w:tcW w:w="1217" w:type="dxa"/>
            <w:noWrap/>
            <w:vAlign w:val="center"/>
            <w:hideMark/>
          </w:tcPr>
          <w:p w14:paraId="2BCCDE3C" w14:textId="77777777" w:rsidR="00FE3BE4" w:rsidRPr="009104C1" w:rsidRDefault="00FE3BE4" w:rsidP="008D4E1E">
            <w:pPr>
              <w:spacing w:before="0" w:after="0" w:line="240" w:lineRule="auto"/>
              <w:jc w:val="center"/>
              <w:rPr>
                <w:sz w:val="18"/>
                <w:szCs w:val="18"/>
                <w:lang w:val="hy-AM"/>
              </w:rPr>
            </w:pPr>
            <w:r w:rsidRPr="009104C1">
              <w:rPr>
                <w:sz w:val="18"/>
                <w:szCs w:val="18"/>
              </w:rPr>
              <w:t>14,05</w:t>
            </w:r>
            <w:r>
              <w:rPr>
                <w:sz w:val="18"/>
                <w:szCs w:val="18"/>
                <w:lang w:val="hy-AM"/>
              </w:rPr>
              <w:t>1</w:t>
            </w:r>
          </w:p>
        </w:tc>
      </w:tr>
      <w:tr w:rsidR="00FE3BE4" w:rsidRPr="000267C5" w14:paraId="23A0659B" w14:textId="77777777" w:rsidTr="00396FB2">
        <w:trPr>
          <w:trHeight w:val="385"/>
        </w:trPr>
        <w:tc>
          <w:tcPr>
            <w:tcW w:w="1470" w:type="dxa"/>
            <w:vMerge/>
            <w:vAlign w:val="center"/>
            <w:hideMark/>
          </w:tcPr>
          <w:p w14:paraId="71D09526" w14:textId="77777777" w:rsidR="00FE3BE4" w:rsidRPr="000267C5" w:rsidRDefault="00FE3BE4" w:rsidP="008D4E1E">
            <w:pPr>
              <w:spacing w:before="0" w:after="0" w:line="240" w:lineRule="auto"/>
              <w:rPr>
                <w:sz w:val="18"/>
                <w:szCs w:val="18"/>
                <w:highlight w:val="yellow"/>
                <w:lang w:val="ru-RU" w:eastAsia="ru-RU"/>
              </w:rPr>
            </w:pPr>
          </w:p>
        </w:tc>
        <w:tc>
          <w:tcPr>
            <w:tcW w:w="2359" w:type="dxa"/>
            <w:vAlign w:val="center"/>
            <w:hideMark/>
          </w:tcPr>
          <w:p w14:paraId="69F6C31F" w14:textId="77777777" w:rsidR="00FE3BE4" w:rsidRPr="000267C5" w:rsidRDefault="00FE3BE4" w:rsidP="008D4E1E">
            <w:pPr>
              <w:spacing w:before="0" w:after="0" w:line="240" w:lineRule="auto"/>
              <w:rPr>
                <w:sz w:val="18"/>
                <w:szCs w:val="18"/>
                <w:highlight w:val="yellow"/>
              </w:rPr>
            </w:pPr>
            <w:r w:rsidRPr="00C963CE">
              <w:rPr>
                <w:sz w:val="18"/>
                <w:szCs w:val="18"/>
              </w:rPr>
              <w:t>202</w:t>
            </w:r>
            <w:r w:rsidRPr="00C963CE">
              <w:rPr>
                <w:sz w:val="18"/>
                <w:szCs w:val="18"/>
                <w:lang w:val="hy-AM"/>
              </w:rPr>
              <w:t>6</w:t>
            </w:r>
            <w:r w:rsidRPr="00C963CE">
              <w:rPr>
                <w:sz w:val="18"/>
                <w:szCs w:val="18"/>
              </w:rPr>
              <w:t>-202</w:t>
            </w:r>
            <w:r w:rsidRPr="00C963CE">
              <w:rPr>
                <w:sz w:val="18"/>
                <w:szCs w:val="18"/>
                <w:lang w:val="hy-AM"/>
              </w:rPr>
              <w:t>8</w:t>
            </w:r>
            <w:r w:rsidRPr="00C963CE">
              <w:rPr>
                <w:sz w:val="18"/>
                <w:szCs w:val="18"/>
              </w:rPr>
              <w:t xml:space="preserve"> ՄԺԾԾ</w:t>
            </w:r>
          </w:p>
        </w:tc>
        <w:tc>
          <w:tcPr>
            <w:tcW w:w="1032" w:type="dxa"/>
            <w:vAlign w:val="center"/>
            <w:hideMark/>
          </w:tcPr>
          <w:p w14:paraId="3AA860E4" w14:textId="77777777" w:rsidR="00FE3BE4" w:rsidRPr="00E044BA" w:rsidRDefault="00FE3BE4" w:rsidP="008D4E1E">
            <w:pPr>
              <w:spacing w:before="0" w:after="0" w:line="240" w:lineRule="auto"/>
              <w:jc w:val="center"/>
              <w:rPr>
                <w:sz w:val="18"/>
                <w:szCs w:val="18"/>
              </w:rPr>
            </w:pPr>
            <w:r w:rsidRPr="00E044BA">
              <w:rPr>
                <w:sz w:val="18"/>
                <w:szCs w:val="18"/>
              </w:rPr>
              <w:t>10,193</w:t>
            </w:r>
          </w:p>
        </w:tc>
        <w:tc>
          <w:tcPr>
            <w:tcW w:w="1125" w:type="dxa"/>
            <w:noWrap/>
            <w:vAlign w:val="center"/>
            <w:hideMark/>
          </w:tcPr>
          <w:p w14:paraId="6899E27E" w14:textId="77777777" w:rsidR="00FE3BE4" w:rsidRPr="00E044BA" w:rsidRDefault="00FE3BE4" w:rsidP="008D4E1E">
            <w:pPr>
              <w:spacing w:before="0" w:after="0" w:line="240" w:lineRule="auto"/>
              <w:jc w:val="center"/>
              <w:rPr>
                <w:sz w:val="18"/>
                <w:szCs w:val="18"/>
              </w:rPr>
            </w:pPr>
            <w:r w:rsidRPr="00E044BA">
              <w:rPr>
                <w:sz w:val="18"/>
                <w:szCs w:val="18"/>
              </w:rPr>
              <w:t>10,976</w:t>
            </w:r>
          </w:p>
        </w:tc>
        <w:tc>
          <w:tcPr>
            <w:tcW w:w="1217" w:type="dxa"/>
            <w:vAlign w:val="center"/>
            <w:hideMark/>
          </w:tcPr>
          <w:p w14:paraId="7292E98A" w14:textId="77777777" w:rsidR="00FE3BE4" w:rsidRPr="00E044BA" w:rsidRDefault="00FE3BE4" w:rsidP="008D4E1E">
            <w:pPr>
              <w:spacing w:before="0" w:after="0" w:line="240" w:lineRule="auto"/>
              <w:jc w:val="center"/>
              <w:rPr>
                <w:sz w:val="18"/>
                <w:szCs w:val="18"/>
              </w:rPr>
            </w:pPr>
            <w:r w:rsidRPr="00E044BA">
              <w:rPr>
                <w:sz w:val="18"/>
                <w:szCs w:val="18"/>
              </w:rPr>
              <w:t>11,887</w:t>
            </w:r>
          </w:p>
        </w:tc>
        <w:tc>
          <w:tcPr>
            <w:tcW w:w="1217" w:type="dxa"/>
            <w:noWrap/>
            <w:vAlign w:val="center"/>
            <w:hideMark/>
          </w:tcPr>
          <w:p w14:paraId="0916574F" w14:textId="77777777" w:rsidR="00FE3BE4" w:rsidRPr="00E044BA" w:rsidRDefault="00FE3BE4" w:rsidP="008D4E1E">
            <w:pPr>
              <w:spacing w:before="0" w:after="0" w:line="240" w:lineRule="auto"/>
              <w:jc w:val="center"/>
              <w:rPr>
                <w:sz w:val="18"/>
                <w:szCs w:val="18"/>
              </w:rPr>
            </w:pPr>
            <w:r w:rsidRPr="00E044BA">
              <w:rPr>
                <w:sz w:val="18"/>
                <w:szCs w:val="18"/>
              </w:rPr>
              <w:t>12,893</w:t>
            </w:r>
          </w:p>
        </w:tc>
        <w:tc>
          <w:tcPr>
            <w:tcW w:w="1217" w:type="dxa"/>
            <w:noWrap/>
            <w:vAlign w:val="center"/>
            <w:hideMark/>
          </w:tcPr>
          <w:p w14:paraId="3920350F" w14:textId="77777777" w:rsidR="00FE3BE4" w:rsidRPr="00E044BA" w:rsidRDefault="00FE3BE4" w:rsidP="008D4E1E">
            <w:pPr>
              <w:spacing w:before="0" w:after="0" w:line="240" w:lineRule="auto"/>
              <w:jc w:val="center"/>
              <w:rPr>
                <w:sz w:val="18"/>
                <w:szCs w:val="18"/>
              </w:rPr>
            </w:pPr>
            <w:r w:rsidRPr="00E044BA">
              <w:rPr>
                <w:sz w:val="18"/>
                <w:szCs w:val="18"/>
              </w:rPr>
              <w:t>13,977</w:t>
            </w:r>
          </w:p>
        </w:tc>
      </w:tr>
      <w:tr w:rsidR="00FE3BE4" w:rsidRPr="000267C5" w14:paraId="5E0CE09A" w14:textId="77777777" w:rsidTr="00396FB2">
        <w:trPr>
          <w:trHeight w:val="385"/>
        </w:trPr>
        <w:tc>
          <w:tcPr>
            <w:tcW w:w="1470" w:type="dxa"/>
            <w:vMerge/>
            <w:vAlign w:val="center"/>
            <w:hideMark/>
          </w:tcPr>
          <w:p w14:paraId="5B66A706" w14:textId="77777777" w:rsidR="00FE3BE4" w:rsidRPr="000267C5" w:rsidRDefault="00FE3BE4" w:rsidP="008D4E1E">
            <w:pPr>
              <w:spacing w:before="0" w:after="0" w:line="240" w:lineRule="auto"/>
              <w:rPr>
                <w:sz w:val="18"/>
                <w:szCs w:val="18"/>
                <w:highlight w:val="yellow"/>
                <w:lang w:val="ru-RU" w:eastAsia="ru-RU"/>
              </w:rPr>
            </w:pPr>
          </w:p>
        </w:tc>
        <w:tc>
          <w:tcPr>
            <w:tcW w:w="2359" w:type="dxa"/>
            <w:vAlign w:val="center"/>
            <w:hideMark/>
          </w:tcPr>
          <w:p w14:paraId="0C228878" w14:textId="77777777" w:rsidR="00FE3BE4" w:rsidRPr="00EA27C7" w:rsidRDefault="00FE3BE4" w:rsidP="008D4E1E">
            <w:pPr>
              <w:spacing w:before="0" w:after="0" w:line="240" w:lineRule="auto"/>
              <w:rPr>
                <w:sz w:val="18"/>
                <w:szCs w:val="18"/>
              </w:rPr>
            </w:pPr>
            <w:r w:rsidRPr="00EA27C7">
              <w:rPr>
                <w:sz w:val="18"/>
                <w:szCs w:val="18"/>
              </w:rPr>
              <w:t>2025 Պետական բյուջե</w:t>
            </w:r>
          </w:p>
        </w:tc>
        <w:tc>
          <w:tcPr>
            <w:tcW w:w="1032" w:type="dxa"/>
            <w:vAlign w:val="center"/>
            <w:hideMark/>
          </w:tcPr>
          <w:p w14:paraId="23DA1DAA" w14:textId="77777777" w:rsidR="00FE3BE4" w:rsidRPr="00CD73AE" w:rsidRDefault="00FE3BE4" w:rsidP="008D4E1E">
            <w:pPr>
              <w:spacing w:before="0" w:after="0" w:line="240" w:lineRule="auto"/>
              <w:jc w:val="center"/>
              <w:rPr>
                <w:sz w:val="18"/>
                <w:szCs w:val="18"/>
              </w:rPr>
            </w:pPr>
            <w:r w:rsidRPr="00CD73AE">
              <w:rPr>
                <w:sz w:val="18"/>
                <w:szCs w:val="18"/>
              </w:rPr>
              <w:t>10,110</w:t>
            </w:r>
          </w:p>
        </w:tc>
        <w:tc>
          <w:tcPr>
            <w:tcW w:w="1125" w:type="dxa"/>
            <w:noWrap/>
            <w:vAlign w:val="center"/>
            <w:hideMark/>
          </w:tcPr>
          <w:p w14:paraId="01B0D3D6" w14:textId="77777777" w:rsidR="00FE3BE4" w:rsidRPr="00CD73AE" w:rsidRDefault="00FE3BE4" w:rsidP="008D4E1E">
            <w:pPr>
              <w:spacing w:before="0" w:after="0" w:line="240" w:lineRule="auto"/>
              <w:jc w:val="center"/>
              <w:rPr>
                <w:sz w:val="18"/>
                <w:szCs w:val="18"/>
                <w:lang w:val="hy-AM"/>
              </w:rPr>
            </w:pPr>
            <w:r w:rsidRPr="00CD73AE">
              <w:rPr>
                <w:sz w:val="18"/>
                <w:szCs w:val="18"/>
              </w:rPr>
              <w:t>10,89</w:t>
            </w:r>
            <w:r>
              <w:rPr>
                <w:sz w:val="18"/>
                <w:szCs w:val="18"/>
                <w:lang w:val="hy-AM"/>
              </w:rPr>
              <w:t>2</w:t>
            </w:r>
          </w:p>
        </w:tc>
        <w:tc>
          <w:tcPr>
            <w:tcW w:w="1217" w:type="dxa"/>
            <w:vAlign w:val="center"/>
            <w:hideMark/>
          </w:tcPr>
          <w:p w14:paraId="77BB5A62" w14:textId="77777777" w:rsidR="00FE3BE4" w:rsidRPr="00CD73AE" w:rsidRDefault="00FE3BE4" w:rsidP="008D4E1E">
            <w:pPr>
              <w:spacing w:before="0" w:after="0" w:line="240" w:lineRule="auto"/>
              <w:jc w:val="center"/>
              <w:rPr>
                <w:sz w:val="18"/>
                <w:szCs w:val="18"/>
              </w:rPr>
            </w:pPr>
            <w:r w:rsidRPr="00CD73AE">
              <w:rPr>
                <w:sz w:val="18"/>
                <w:szCs w:val="18"/>
              </w:rPr>
              <w:t>11,916</w:t>
            </w:r>
          </w:p>
        </w:tc>
        <w:tc>
          <w:tcPr>
            <w:tcW w:w="1217" w:type="dxa"/>
            <w:noWrap/>
            <w:vAlign w:val="center"/>
            <w:hideMark/>
          </w:tcPr>
          <w:p w14:paraId="698750CC" w14:textId="77777777" w:rsidR="00FE3BE4" w:rsidRPr="00CD73AE" w:rsidRDefault="00FE3BE4" w:rsidP="008D4E1E">
            <w:pPr>
              <w:spacing w:before="0" w:after="0" w:line="240" w:lineRule="auto"/>
              <w:jc w:val="center"/>
              <w:rPr>
                <w:sz w:val="18"/>
                <w:szCs w:val="18"/>
              </w:rPr>
            </w:pPr>
            <w:r w:rsidRPr="00CD73AE">
              <w:rPr>
                <w:sz w:val="18"/>
                <w:szCs w:val="18"/>
              </w:rPr>
              <w:t>13,037</w:t>
            </w:r>
          </w:p>
        </w:tc>
        <w:tc>
          <w:tcPr>
            <w:tcW w:w="1217" w:type="dxa"/>
            <w:noWrap/>
            <w:vAlign w:val="center"/>
            <w:hideMark/>
          </w:tcPr>
          <w:p w14:paraId="073381F2" w14:textId="77777777" w:rsidR="00FE3BE4" w:rsidRPr="00CD73AE" w:rsidRDefault="00FE3BE4" w:rsidP="008D4E1E">
            <w:pPr>
              <w:spacing w:before="0" w:after="0" w:line="240" w:lineRule="auto"/>
              <w:jc w:val="center"/>
              <w:rPr>
                <w:sz w:val="18"/>
                <w:szCs w:val="18"/>
              </w:rPr>
            </w:pPr>
            <w:r w:rsidRPr="00CD73AE">
              <w:rPr>
                <w:sz w:val="18"/>
                <w:szCs w:val="18"/>
              </w:rPr>
              <w:t>-</w:t>
            </w:r>
          </w:p>
        </w:tc>
      </w:tr>
      <w:tr w:rsidR="00FE3BE4" w:rsidRPr="000267C5" w14:paraId="5D3B085C" w14:textId="77777777" w:rsidTr="00396FB2">
        <w:trPr>
          <w:trHeight w:val="385"/>
        </w:trPr>
        <w:tc>
          <w:tcPr>
            <w:tcW w:w="1470" w:type="dxa"/>
            <w:vMerge/>
            <w:vAlign w:val="center"/>
            <w:hideMark/>
          </w:tcPr>
          <w:p w14:paraId="2F115CEC" w14:textId="77777777" w:rsidR="00FE3BE4" w:rsidRPr="000267C5" w:rsidRDefault="00FE3BE4" w:rsidP="008D4E1E">
            <w:pPr>
              <w:spacing w:before="0" w:after="0" w:line="240" w:lineRule="auto"/>
              <w:rPr>
                <w:sz w:val="18"/>
                <w:szCs w:val="18"/>
                <w:highlight w:val="yellow"/>
                <w:lang w:val="ru-RU" w:eastAsia="ru-RU"/>
              </w:rPr>
            </w:pPr>
          </w:p>
        </w:tc>
        <w:tc>
          <w:tcPr>
            <w:tcW w:w="2359" w:type="dxa"/>
            <w:vAlign w:val="center"/>
            <w:hideMark/>
          </w:tcPr>
          <w:p w14:paraId="48268F91" w14:textId="77777777" w:rsidR="00FE3BE4" w:rsidRPr="00EA27C7" w:rsidRDefault="00FE3BE4" w:rsidP="008D4E1E">
            <w:pPr>
              <w:spacing w:before="0" w:after="0" w:line="240" w:lineRule="auto"/>
              <w:rPr>
                <w:sz w:val="18"/>
                <w:szCs w:val="18"/>
              </w:rPr>
            </w:pPr>
            <w:r w:rsidRPr="00EA27C7">
              <w:rPr>
                <w:sz w:val="18"/>
                <w:szCs w:val="18"/>
              </w:rPr>
              <w:t>202</w:t>
            </w:r>
            <w:r w:rsidRPr="00EA27C7">
              <w:rPr>
                <w:sz w:val="18"/>
                <w:szCs w:val="18"/>
                <w:lang w:val="hy-AM"/>
              </w:rPr>
              <w:t>5</w:t>
            </w:r>
            <w:r w:rsidRPr="00EA27C7">
              <w:rPr>
                <w:sz w:val="18"/>
                <w:szCs w:val="18"/>
              </w:rPr>
              <w:t>-202</w:t>
            </w:r>
            <w:r w:rsidRPr="00EA27C7">
              <w:rPr>
                <w:sz w:val="18"/>
                <w:szCs w:val="18"/>
                <w:lang w:val="hy-AM"/>
              </w:rPr>
              <w:t>7</w:t>
            </w:r>
            <w:r w:rsidRPr="00EA27C7">
              <w:rPr>
                <w:sz w:val="18"/>
                <w:szCs w:val="18"/>
              </w:rPr>
              <w:t xml:space="preserve"> ՄԺԾԾ</w:t>
            </w:r>
          </w:p>
        </w:tc>
        <w:tc>
          <w:tcPr>
            <w:tcW w:w="1032" w:type="dxa"/>
            <w:vAlign w:val="center"/>
            <w:hideMark/>
          </w:tcPr>
          <w:p w14:paraId="0A5E929C" w14:textId="77777777" w:rsidR="00FE3BE4" w:rsidRPr="00F95C3E" w:rsidRDefault="00FE3BE4" w:rsidP="008D4E1E">
            <w:pPr>
              <w:spacing w:before="0" w:after="0" w:line="240" w:lineRule="auto"/>
              <w:jc w:val="center"/>
              <w:rPr>
                <w:sz w:val="18"/>
                <w:szCs w:val="18"/>
              </w:rPr>
            </w:pPr>
            <w:r w:rsidRPr="00F95C3E">
              <w:rPr>
                <w:sz w:val="18"/>
                <w:szCs w:val="18"/>
              </w:rPr>
              <w:t>10,235</w:t>
            </w:r>
          </w:p>
        </w:tc>
        <w:tc>
          <w:tcPr>
            <w:tcW w:w="1125" w:type="dxa"/>
            <w:noWrap/>
            <w:vAlign w:val="center"/>
            <w:hideMark/>
          </w:tcPr>
          <w:p w14:paraId="692B117C" w14:textId="77777777" w:rsidR="00FE3BE4" w:rsidRPr="00F95C3E" w:rsidRDefault="00FE3BE4" w:rsidP="008D4E1E">
            <w:pPr>
              <w:spacing w:before="0" w:after="0" w:line="240" w:lineRule="auto"/>
              <w:jc w:val="center"/>
              <w:rPr>
                <w:sz w:val="18"/>
                <w:szCs w:val="18"/>
              </w:rPr>
            </w:pPr>
            <w:r w:rsidRPr="00F95C3E">
              <w:rPr>
                <w:sz w:val="18"/>
                <w:szCs w:val="18"/>
              </w:rPr>
              <w:t>11,197</w:t>
            </w:r>
          </w:p>
        </w:tc>
        <w:tc>
          <w:tcPr>
            <w:tcW w:w="1217" w:type="dxa"/>
            <w:vAlign w:val="center"/>
            <w:hideMark/>
          </w:tcPr>
          <w:p w14:paraId="344A9F55" w14:textId="77777777" w:rsidR="00FE3BE4" w:rsidRPr="00F95C3E" w:rsidRDefault="00FE3BE4" w:rsidP="008D4E1E">
            <w:pPr>
              <w:spacing w:before="0" w:after="0" w:line="240" w:lineRule="auto"/>
              <w:jc w:val="center"/>
              <w:rPr>
                <w:sz w:val="18"/>
                <w:szCs w:val="18"/>
              </w:rPr>
            </w:pPr>
            <w:r w:rsidRPr="00F95C3E">
              <w:rPr>
                <w:sz w:val="18"/>
                <w:szCs w:val="18"/>
              </w:rPr>
              <w:t>12,309</w:t>
            </w:r>
          </w:p>
        </w:tc>
        <w:tc>
          <w:tcPr>
            <w:tcW w:w="1217" w:type="dxa"/>
            <w:noWrap/>
            <w:vAlign w:val="center"/>
            <w:hideMark/>
          </w:tcPr>
          <w:p w14:paraId="2DCF5F30" w14:textId="77777777" w:rsidR="00FE3BE4" w:rsidRPr="00F95C3E" w:rsidRDefault="00FE3BE4" w:rsidP="008D4E1E">
            <w:pPr>
              <w:spacing w:before="0" w:after="0" w:line="240" w:lineRule="auto"/>
              <w:jc w:val="center"/>
              <w:rPr>
                <w:sz w:val="18"/>
                <w:szCs w:val="18"/>
              </w:rPr>
            </w:pPr>
            <w:r w:rsidRPr="00F95C3E">
              <w:rPr>
                <w:sz w:val="18"/>
                <w:szCs w:val="18"/>
              </w:rPr>
              <w:t>13,505</w:t>
            </w:r>
          </w:p>
        </w:tc>
        <w:tc>
          <w:tcPr>
            <w:tcW w:w="1217" w:type="dxa"/>
            <w:noWrap/>
            <w:vAlign w:val="center"/>
            <w:hideMark/>
          </w:tcPr>
          <w:p w14:paraId="07839014" w14:textId="77777777" w:rsidR="00FE3BE4" w:rsidRPr="00F95C3E" w:rsidRDefault="00FE3BE4" w:rsidP="008D4E1E">
            <w:pPr>
              <w:spacing w:before="0" w:after="0" w:line="240" w:lineRule="auto"/>
              <w:jc w:val="center"/>
              <w:rPr>
                <w:sz w:val="18"/>
                <w:szCs w:val="18"/>
              </w:rPr>
            </w:pPr>
            <w:r w:rsidRPr="00F95C3E">
              <w:rPr>
                <w:sz w:val="18"/>
                <w:szCs w:val="18"/>
              </w:rPr>
              <w:t>-</w:t>
            </w:r>
          </w:p>
        </w:tc>
      </w:tr>
      <w:tr w:rsidR="00FE3BE4" w:rsidRPr="000267C5" w14:paraId="62038AA4" w14:textId="77777777" w:rsidTr="00396FB2">
        <w:trPr>
          <w:trHeight w:val="385"/>
        </w:trPr>
        <w:tc>
          <w:tcPr>
            <w:tcW w:w="1470" w:type="dxa"/>
            <w:vMerge w:val="restart"/>
            <w:vAlign w:val="center"/>
            <w:hideMark/>
          </w:tcPr>
          <w:p w14:paraId="3CBC9AFF" w14:textId="77777777" w:rsidR="00FE3BE4" w:rsidRPr="000267C5" w:rsidRDefault="00FE3BE4" w:rsidP="008D4E1E">
            <w:pPr>
              <w:spacing w:before="0" w:after="0" w:line="240" w:lineRule="auto"/>
              <w:rPr>
                <w:sz w:val="18"/>
                <w:szCs w:val="18"/>
                <w:highlight w:val="yellow"/>
              </w:rPr>
            </w:pPr>
            <w:r w:rsidRPr="00A435FB">
              <w:rPr>
                <w:sz w:val="18"/>
                <w:szCs w:val="18"/>
              </w:rPr>
              <w:t>Տնտեսական (իրական ՀՆԱ-ի) աճ, %</w:t>
            </w:r>
          </w:p>
        </w:tc>
        <w:tc>
          <w:tcPr>
            <w:tcW w:w="2359" w:type="dxa"/>
            <w:vAlign w:val="center"/>
            <w:hideMark/>
          </w:tcPr>
          <w:p w14:paraId="2A92FFDB" w14:textId="77777777" w:rsidR="00FE3BE4" w:rsidRPr="000267C5" w:rsidRDefault="00FE3BE4" w:rsidP="008D4E1E">
            <w:pPr>
              <w:spacing w:before="0" w:after="0" w:line="240" w:lineRule="auto"/>
              <w:rPr>
                <w:sz w:val="18"/>
                <w:szCs w:val="18"/>
                <w:highlight w:val="yellow"/>
              </w:rPr>
            </w:pPr>
            <w:r w:rsidRPr="006B377E">
              <w:rPr>
                <w:sz w:val="18"/>
                <w:szCs w:val="18"/>
              </w:rPr>
              <w:t>202</w:t>
            </w:r>
            <w:r w:rsidRPr="006B377E">
              <w:rPr>
                <w:sz w:val="18"/>
                <w:szCs w:val="18"/>
                <w:lang w:val="hy-AM"/>
              </w:rPr>
              <w:t>6</w:t>
            </w:r>
            <w:r w:rsidRPr="006B377E">
              <w:rPr>
                <w:sz w:val="18"/>
                <w:szCs w:val="18"/>
              </w:rPr>
              <w:t xml:space="preserve"> Պետական բյուջե</w:t>
            </w:r>
          </w:p>
        </w:tc>
        <w:tc>
          <w:tcPr>
            <w:tcW w:w="1032" w:type="dxa"/>
            <w:vAlign w:val="center"/>
            <w:hideMark/>
          </w:tcPr>
          <w:p w14:paraId="646E3884" w14:textId="77777777" w:rsidR="00FE3BE4" w:rsidRPr="000B7964" w:rsidRDefault="00FE3BE4" w:rsidP="008D4E1E">
            <w:pPr>
              <w:spacing w:before="0" w:after="0" w:line="240" w:lineRule="auto"/>
              <w:jc w:val="center"/>
              <w:rPr>
                <w:sz w:val="18"/>
                <w:szCs w:val="18"/>
              </w:rPr>
            </w:pPr>
            <w:r w:rsidRPr="000B7964">
              <w:rPr>
                <w:sz w:val="18"/>
                <w:szCs w:val="18"/>
              </w:rPr>
              <w:t>5.9</w:t>
            </w:r>
          </w:p>
        </w:tc>
        <w:tc>
          <w:tcPr>
            <w:tcW w:w="1125" w:type="dxa"/>
            <w:noWrap/>
            <w:vAlign w:val="center"/>
            <w:hideMark/>
          </w:tcPr>
          <w:p w14:paraId="737B167D" w14:textId="77777777" w:rsidR="00FE3BE4" w:rsidRPr="000B7964" w:rsidRDefault="00FE3BE4" w:rsidP="008D4E1E">
            <w:pPr>
              <w:spacing w:before="0" w:after="0" w:line="240" w:lineRule="auto"/>
              <w:jc w:val="center"/>
              <w:rPr>
                <w:sz w:val="18"/>
                <w:szCs w:val="18"/>
              </w:rPr>
            </w:pPr>
            <w:r w:rsidRPr="000B7964">
              <w:rPr>
                <w:sz w:val="18"/>
                <w:szCs w:val="18"/>
              </w:rPr>
              <w:t>5.2</w:t>
            </w:r>
          </w:p>
        </w:tc>
        <w:tc>
          <w:tcPr>
            <w:tcW w:w="1217" w:type="dxa"/>
            <w:vAlign w:val="center"/>
            <w:hideMark/>
          </w:tcPr>
          <w:p w14:paraId="541AA0E3" w14:textId="77777777" w:rsidR="00FE3BE4" w:rsidRPr="000B7964" w:rsidRDefault="00FE3BE4" w:rsidP="008D4E1E">
            <w:pPr>
              <w:spacing w:before="0" w:after="0" w:line="240" w:lineRule="auto"/>
              <w:jc w:val="center"/>
              <w:rPr>
                <w:sz w:val="18"/>
                <w:szCs w:val="18"/>
              </w:rPr>
            </w:pPr>
            <w:r w:rsidRPr="000B7964">
              <w:rPr>
                <w:sz w:val="18"/>
                <w:szCs w:val="18"/>
              </w:rPr>
              <w:t>5.4</w:t>
            </w:r>
          </w:p>
        </w:tc>
        <w:tc>
          <w:tcPr>
            <w:tcW w:w="1217" w:type="dxa"/>
            <w:noWrap/>
            <w:vAlign w:val="center"/>
            <w:hideMark/>
          </w:tcPr>
          <w:p w14:paraId="1C9AF876" w14:textId="77777777" w:rsidR="00FE3BE4" w:rsidRPr="000B7964" w:rsidRDefault="00FE3BE4" w:rsidP="008D4E1E">
            <w:pPr>
              <w:spacing w:before="0" w:after="0" w:line="240" w:lineRule="auto"/>
              <w:jc w:val="center"/>
              <w:rPr>
                <w:sz w:val="18"/>
                <w:szCs w:val="18"/>
              </w:rPr>
            </w:pPr>
            <w:r w:rsidRPr="000B7964">
              <w:rPr>
                <w:sz w:val="18"/>
                <w:szCs w:val="18"/>
              </w:rPr>
              <w:t>5.4</w:t>
            </w:r>
          </w:p>
        </w:tc>
        <w:tc>
          <w:tcPr>
            <w:tcW w:w="1217" w:type="dxa"/>
            <w:noWrap/>
            <w:vAlign w:val="center"/>
            <w:hideMark/>
          </w:tcPr>
          <w:p w14:paraId="003A9219" w14:textId="77777777" w:rsidR="00FE3BE4" w:rsidRPr="000B7964" w:rsidRDefault="00FE3BE4" w:rsidP="008D4E1E">
            <w:pPr>
              <w:spacing w:before="0" w:after="0" w:line="240" w:lineRule="auto"/>
              <w:jc w:val="center"/>
              <w:rPr>
                <w:sz w:val="18"/>
                <w:szCs w:val="18"/>
              </w:rPr>
            </w:pPr>
            <w:r w:rsidRPr="000B7964">
              <w:rPr>
                <w:sz w:val="18"/>
                <w:szCs w:val="18"/>
              </w:rPr>
              <w:t>5.3</w:t>
            </w:r>
          </w:p>
        </w:tc>
      </w:tr>
      <w:tr w:rsidR="00FE3BE4" w:rsidRPr="000267C5" w14:paraId="55D4A201" w14:textId="77777777" w:rsidTr="00396FB2">
        <w:trPr>
          <w:trHeight w:val="385"/>
        </w:trPr>
        <w:tc>
          <w:tcPr>
            <w:tcW w:w="1470" w:type="dxa"/>
            <w:vMerge/>
            <w:vAlign w:val="center"/>
            <w:hideMark/>
          </w:tcPr>
          <w:p w14:paraId="3CEAB34F" w14:textId="77777777" w:rsidR="00FE3BE4" w:rsidRPr="000267C5" w:rsidRDefault="00FE3BE4" w:rsidP="008D4E1E">
            <w:pPr>
              <w:spacing w:before="0" w:after="0" w:line="240" w:lineRule="auto"/>
              <w:rPr>
                <w:sz w:val="18"/>
                <w:szCs w:val="18"/>
                <w:highlight w:val="yellow"/>
                <w:lang w:val="ru-RU" w:eastAsia="ru-RU"/>
              </w:rPr>
            </w:pPr>
          </w:p>
        </w:tc>
        <w:tc>
          <w:tcPr>
            <w:tcW w:w="2359" w:type="dxa"/>
            <w:vAlign w:val="center"/>
            <w:hideMark/>
          </w:tcPr>
          <w:p w14:paraId="12EDBDFC" w14:textId="77777777" w:rsidR="00FE3BE4" w:rsidRPr="000267C5" w:rsidRDefault="00FE3BE4" w:rsidP="008D4E1E">
            <w:pPr>
              <w:spacing w:before="0" w:after="0" w:line="240" w:lineRule="auto"/>
              <w:rPr>
                <w:sz w:val="18"/>
                <w:szCs w:val="18"/>
                <w:highlight w:val="yellow"/>
              </w:rPr>
            </w:pPr>
            <w:r w:rsidRPr="00C963CE">
              <w:rPr>
                <w:sz w:val="18"/>
                <w:szCs w:val="18"/>
              </w:rPr>
              <w:t>202</w:t>
            </w:r>
            <w:r w:rsidRPr="00C963CE">
              <w:rPr>
                <w:sz w:val="18"/>
                <w:szCs w:val="18"/>
                <w:lang w:val="hy-AM"/>
              </w:rPr>
              <w:t>6</w:t>
            </w:r>
            <w:r w:rsidRPr="00C963CE">
              <w:rPr>
                <w:sz w:val="18"/>
                <w:szCs w:val="18"/>
              </w:rPr>
              <w:t>-202</w:t>
            </w:r>
            <w:r w:rsidRPr="00C963CE">
              <w:rPr>
                <w:sz w:val="18"/>
                <w:szCs w:val="18"/>
                <w:lang w:val="hy-AM"/>
              </w:rPr>
              <w:t>8</w:t>
            </w:r>
            <w:r w:rsidRPr="00C963CE">
              <w:rPr>
                <w:sz w:val="18"/>
                <w:szCs w:val="18"/>
              </w:rPr>
              <w:t xml:space="preserve"> ՄԺԾԾ</w:t>
            </w:r>
          </w:p>
        </w:tc>
        <w:tc>
          <w:tcPr>
            <w:tcW w:w="1032" w:type="dxa"/>
            <w:vAlign w:val="center"/>
            <w:hideMark/>
          </w:tcPr>
          <w:p w14:paraId="459E2FAF" w14:textId="77777777" w:rsidR="00FE3BE4" w:rsidRPr="00B67AFE" w:rsidRDefault="00FE3BE4" w:rsidP="008D4E1E">
            <w:pPr>
              <w:spacing w:before="0" w:after="0" w:line="240" w:lineRule="auto"/>
              <w:jc w:val="center"/>
              <w:rPr>
                <w:sz w:val="18"/>
                <w:szCs w:val="18"/>
              </w:rPr>
            </w:pPr>
            <w:r w:rsidRPr="00B67AFE">
              <w:rPr>
                <w:sz w:val="18"/>
                <w:szCs w:val="18"/>
              </w:rPr>
              <w:t>5.9</w:t>
            </w:r>
          </w:p>
        </w:tc>
        <w:tc>
          <w:tcPr>
            <w:tcW w:w="1125" w:type="dxa"/>
            <w:noWrap/>
            <w:vAlign w:val="center"/>
            <w:hideMark/>
          </w:tcPr>
          <w:p w14:paraId="60981CD2" w14:textId="77777777" w:rsidR="00FE3BE4" w:rsidRPr="00B67AFE" w:rsidRDefault="00FE3BE4" w:rsidP="008D4E1E">
            <w:pPr>
              <w:spacing w:before="0" w:after="0" w:line="240" w:lineRule="auto"/>
              <w:jc w:val="center"/>
              <w:rPr>
                <w:sz w:val="18"/>
                <w:szCs w:val="18"/>
              </w:rPr>
            </w:pPr>
            <w:r w:rsidRPr="00B67AFE">
              <w:rPr>
                <w:sz w:val="18"/>
                <w:szCs w:val="18"/>
              </w:rPr>
              <w:t>5.1</w:t>
            </w:r>
          </w:p>
        </w:tc>
        <w:tc>
          <w:tcPr>
            <w:tcW w:w="1217" w:type="dxa"/>
            <w:vAlign w:val="center"/>
            <w:hideMark/>
          </w:tcPr>
          <w:p w14:paraId="469692BC" w14:textId="77777777" w:rsidR="00FE3BE4" w:rsidRPr="00B67AFE" w:rsidRDefault="00FE3BE4" w:rsidP="008D4E1E">
            <w:pPr>
              <w:spacing w:before="0" w:after="0" w:line="240" w:lineRule="auto"/>
              <w:jc w:val="center"/>
              <w:rPr>
                <w:sz w:val="18"/>
                <w:szCs w:val="18"/>
              </w:rPr>
            </w:pPr>
            <w:r w:rsidRPr="00B67AFE">
              <w:rPr>
                <w:sz w:val="18"/>
                <w:szCs w:val="18"/>
              </w:rPr>
              <w:t>5.1</w:t>
            </w:r>
          </w:p>
        </w:tc>
        <w:tc>
          <w:tcPr>
            <w:tcW w:w="1217" w:type="dxa"/>
            <w:noWrap/>
            <w:vAlign w:val="center"/>
            <w:hideMark/>
          </w:tcPr>
          <w:p w14:paraId="19880619" w14:textId="77777777" w:rsidR="00FE3BE4" w:rsidRPr="00B67AFE" w:rsidRDefault="00FE3BE4" w:rsidP="008D4E1E">
            <w:pPr>
              <w:spacing w:before="0" w:after="0" w:line="240" w:lineRule="auto"/>
              <w:jc w:val="center"/>
              <w:rPr>
                <w:sz w:val="18"/>
                <w:szCs w:val="18"/>
              </w:rPr>
            </w:pPr>
            <w:r w:rsidRPr="00B67AFE">
              <w:rPr>
                <w:sz w:val="18"/>
                <w:szCs w:val="18"/>
              </w:rPr>
              <w:t>5.3</w:t>
            </w:r>
          </w:p>
        </w:tc>
        <w:tc>
          <w:tcPr>
            <w:tcW w:w="1217" w:type="dxa"/>
            <w:noWrap/>
            <w:vAlign w:val="center"/>
            <w:hideMark/>
          </w:tcPr>
          <w:p w14:paraId="125EB1B8" w14:textId="77777777" w:rsidR="00FE3BE4" w:rsidRPr="00B67AFE" w:rsidRDefault="00FE3BE4" w:rsidP="008D4E1E">
            <w:pPr>
              <w:spacing w:before="0" w:after="0" w:line="240" w:lineRule="auto"/>
              <w:jc w:val="center"/>
              <w:rPr>
                <w:sz w:val="18"/>
                <w:szCs w:val="18"/>
              </w:rPr>
            </w:pPr>
            <w:r w:rsidRPr="00B67AFE">
              <w:rPr>
                <w:sz w:val="18"/>
                <w:szCs w:val="18"/>
              </w:rPr>
              <w:t>5.2</w:t>
            </w:r>
          </w:p>
        </w:tc>
      </w:tr>
      <w:tr w:rsidR="00FE3BE4" w:rsidRPr="000267C5" w14:paraId="11AA8B5F" w14:textId="77777777" w:rsidTr="00396FB2">
        <w:trPr>
          <w:trHeight w:val="385"/>
        </w:trPr>
        <w:tc>
          <w:tcPr>
            <w:tcW w:w="1470" w:type="dxa"/>
            <w:vMerge/>
            <w:vAlign w:val="center"/>
            <w:hideMark/>
          </w:tcPr>
          <w:p w14:paraId="5957E91D" w14:textId="77777777" w:rsidR="00FE3BE4" w:rsidRPr="000267C5" w:rsidRDefault="00FE3BE4" w:rsidP="008D4E1E">
            <w:pPr>
              <w:spacing w:before="0" w:after="0" w:line="240" w:lineRule="auto"/>
              <w:rPr>
                <w:sz w:val="18"/>
                <w:szCs w:val="18"/>
                <w:highlight w:val="yellow"/>
                <w:lang w:val="ru-RU" w:eastAsia="ru-RU"/>
              </w:rPr>
            </w:pPr>
          </w:p>
        </w:tc>
        <w:tc>
          <w:tcPr>
            <w:tcW w:w="2359" w:type="dxa"/>
            <w:vAlign w:val="center"/>
            <w:hideMark/>
          </w:tcPr>
          <w:p w14:paraId="1C96D4D4" w14:textId="77777777" w:rsidR="00FE3BE4" w:rsidRPr="000267C5" w:rsidRDefault="00FE3BE4" w:rsidP="008D4E1E">
            <w:pPr>
              <w:spacing w:before="0" w:after="0" w:line="240" w:lineRule="auto"/>
              <w:rPr>
                <w:sz w:val="18"/>
                <w:szCs w:val="18"/>
                <w:highlight w:val="yellow"/>
              </w:rPr>
            </w:pPr>
            <w:r w:rsidRPr="00EA27C7">
              <w:rPr>
                <w:sz w:val="18"/>
                <w:szCs w:val="18"/>
              </w:rPr>
              <w:t>2025 Պետական բյուջե</w:t>
            </w:r>
          </w:p>
        </w:tc>
        <w:tc>
          <w:tcPr>
            <w:tcW w:w="1032" w:type="dxa"/>
            <w:vAlign w:val="center"/>
            <w:hideMark/>
          </w:tcPr>
          <w:p w14:paraId="616F93F1" w14:textId="77777777" w:rsidR="00FE3BE4" w:rsidRPr="00031DEA" w:rsidRDefault="00FE3BE4" w:rsidP="008D4E1E">
            <w:pPr>
              <w:spacing w:before="0" w:after="0" w:line="240" w:lineRule="auto"/>
              <w:jc w:val="center"/>
              <w:rPr>
                <w:sz w:val="18"/>
                <w:szCs w:val="18"/>
              </w:rPr>
            </w:pPr>
            <w:r w:rsidRPr="00031DEA">
              <w:rPr>
                <w:sz w:val="18"/>
                <w:szCs w:val="18"/>
              </w:rPr>
              <w:t>5.8</w:t>
            </w:r>
          </w:p>
        </w:tc>
        <w:tc>
          <w:tcPr>
            <w:tcW w:w="1125" w:type="dxa"/>
            <w:noWrap/>
            <w:vAlign w:val="center"/>
            <w:hideMark/>
          </w:tcPr>
          <w:p w14:paraId="108B76F8" w14:textId="77777777" w:rsidR="00FE3BE4" w:rsidRPr="00031DEA" w:rsidRDefault="00FE3BE4" w:rsidP="008D4E1E">
            <w:pPr>
              <w:spacing w:before="0" w:after="0" w:line="240" w:lineRule="auto"/>
              <w:jc w:val="center"/>
              <w:rPr>
                <w:sz w:val="18"/>
                <w:szCs w:val="18"/>
              </w:rPr>
            </w:pPr>
            <w:r w:rsidRPr="00031DEA">
              <w:rPr>
                <w:sz w:val="18"/>
                <w:szCs w:val="18"/>
              </w:rPr>
              <w:t>5.1</w:t>
            </w:r>
          </w:p>
        </w:tc>
        <w:tc>
          <w:tcPr>
            <w:tcW w:w="1217" w:type="dxa"/>
            <w:vAlign w:val="center"/>
            <w:hideMark/>
          </w:tcPr>
          <w:p w14:paraId="515FC995" w14:textId="77777777" w:rsidR="00FE3BE4" w:rsidRPr="00031DEA" w:rsidRDefault="00FE3BE4" w:rsidP="008D4E1E">
            <w:pPr>
              <w:spacing w:before="0" w:after="0" w:line="240" w:lineRule="auto"/>
              <w:jc w:val="center"/>
              <w:rPr>
                <w:sz w:val="18"/>
                <w:szCs w:val="18"/>
              </w:rPr>
            </w:pPr>
            <w:r w:rsidRPr="00031DEA">
              <w:rPr>
                <w:sz w:val="18"/>
                <w:szCs w:val="18"/>
              </w:rPr>
              <w:t>5.2</w:t>
            </w:r>
          </w:p>
        </w:tc>
        <w:tc>
          <w:tcPr>
            <w:tcW w:w="1217" w:type="dxa"/>
            <w:noWrap/>
            <w:vAlign w:val="center"/>
            <w:hideMark/>
          </w:tcPr>
          <w:p w14:paraId="62C52986" w14:textId="77777777" w:rsidR="00FE3BE4" w:rsidRPr="00031DEA" w:rsidRDefault="00FE3BE4" w:rsidP="008D4E1E">
            <w:pPr>
              <w:spacing w:before="0" w:after="0" w:line="240" w:lineRule="auto"/>
              <w:jc w:val="center"/>
              <w:rPr>
                <w:sz w:val="18"/>
                <w:szCs w:val="18"/>
              </w:rPr>
            </w:pPr>
            <w:r w:rsidRPr="00031DEA">
              <w:rPr>
                <w:sz w:val="18"/>
                <w:szCs w:val="18"/>
              </w:rPr>
              <w:t>5.2</w:t>
            </w:r>
          </w:p>
        </w:tc>
        <w:tc>
          <w:tcPr>
            <w:tcW w:w="1217" w:type="dxa"/>
            <w:noWrap/>
            <w:vAlign w:val="center"/>
            <w:hideMark/>
          </w:tcPr>
          <w:p w14:paraId="40D6F610" w14:textId="77777777" w:rsidR="00FE3BE4" w:rsidRPr="00031DEA" w:rsidRDefault="00FE3BE4" w:rsidP="008D4E1E">
            <w:pPr>
              <w:spacing w:before="0" w:after="0" w:line="240" w:lineRule="auto"/>
              <w:jc w:val="center"/>
              <w:rPr>
                <w:sz w:val="18"/>
                <w:szCs w:val="18"/>
              </w:rPr>
            </w:pPr>
            <w:r w:rsidRPr="00031DEA">
              <w:rPr>
                <w:sz w:val="18"/>
                <w:szCs w:val="18"/>
              </w:rPr>
              <w:t>-</w:t>
            </w:r>
          </w:p>
        </w:tc>
      </w:tr>
      <w:tr w:rsidR="00FE3BE4" w:rsidRPr="000267C5" w14:paraId="4EE0CBC8" w14:textId="77777777" w:rsidTr="00396FB2">
        <w:trPr>
          <w:trHeight w:val="385"/>
        </w:trPr>
        <w:tc>
          <w:tcPr>
            <w:tcW w:w="1470" w:type="dxa"/>
            <w:vMerge/>
            <w:vAlign w:val="center"/>
            <w:hideMark/>
          </w:tcPr>
          <w:p w14:paraId="56B180E5" w14:textId="77777777" w:rsidR="00FE3BE4" w:rsidRPr="000267C5" w:rsidRDefault="00FE3BE4" w:rsidP="008D4E1E">
            <w:pPr>
              <w:spacing w:before="0" w:after="0" w:line="240" w:lineRule="auto"/>
              <w:rPr>
                <w:sz w:val="18"/>
                <w:szCs w:val="18"/>
                <w:highlight w:val="yellow"/>
                <w:lang w:val="ru-RU" w:eastAsia="ru-RU"/>
              </w:rPr>
            </w:pPr>
          </w:p>
        </w:tc>
        <w:tc>
          <w:tcPr>
            <w:tcW w:w="2359" w:type="dxa"/>
            <w:vAlign w:val="center"/>
            <w:hideMark/>
          </w:tcPr>
          <w:p w14:paraId="72AAB2AC" w14:textId="77777777" w:rsidR="00FE3BE4" w:rsidRPr="000267C5" w:rsidRDefault="00FE3BE4" w:rsidP="008D4E1E">
            <w:pPr>
              <w:spacing w:before="0" w:after="0" w:line="240" w:lineRule="auto"/>
              <w:rPr>
                <w:sz w:val="18"/>
                <w:szCs w:val="18"/>
                <w:highlight w:val="yellow"/>
              </w:rPr>
            </w:pPr>
            <w:r w:rsidRPr="00EA27C7">
              <w:rPr>
                <w:sz w:val="18"/>
                <w:szCs w:val="18"/>
              </w:rPr>
              <w:t>202</w:t>
            </w:r>
            <w:r w:rsidRPr="00EA27C7">
              <w:rPr>
                <w:sz w:val="18"/>
                <w:szCs w:val="18"/>
                <w:lang w:val="hy-AM"/>
              </w:rPr>
              <w:t>5</w:t>
            </w:r>
            <w:r w:rsidRPr="00EA27C7">
              <w:rPr>
                <w:sz w:val="18"/>
                <w:szCs w:val="18"/>
              </w:rPr>
              <w:t>-202</w:t>
            </w:r>
            <w:r w:rsidRPr="00EA27C7">
              <w:rPr>
                <w:sz w:val="18"/>
                <w:szCs w:val="18"/>
                <w:lang w:val="hy-AM"/>
              </w:rPr>
              <w:t>7</w:t>
            </w:r>
            <w:r w:rsidRPr="00EA27C7">
              <w:rPr>
                <w:sz w:val="18"/>
                <w:szCs w:val="18"/>
              </w:rPr>
              <w:t xml:space="preserve"> ՄԺԾԾ</w:t>
            </w:r>
          </w:p>
        </w:tc>
        <w:tc>
          <w:tcPr>
            <w:tcW w:w="1032" w:type="dxa"/>
            <w:vAlign w:val="center"/>
            <w:hideMark/>
          </w:tcPr>
          <w:p w14:paraId="19955664" w14:textId="77777777" w:rsidR="00FE3BE4" w:rsidRPr="00A702C0" w:rsidRDefault="00FE3BE4" w:rsidP="008D4E1E">
            <w:pPr>
              <w:spacing w:before="0" w:after="0" w:line="240" w:lineRule="auto"/>
              <w:jc w:val="center"/>
              <w:rPr>
                <w:sz w:val="18"/>
                <w:szCs w:val="18"/>
              </w:rPr>
            </w:pPr>
            <w:r w:rsidRPr="00A702C0">
              <w:rPr>
                <w:sz w:val="18"/>
                <w:szCs w:val="18"/>
              </w:rPr>
              <w:t>6.3</w:t>
            </w:r>
          </w:p>
        </w:tc>
        <w:tc>
          <w:tcPr>
            <w:tcW w:w="1125" w:type="dxa"/>
            <w:noWrap/>
            <w:vAlign w:val="center"/>
            <w:hideMark/>
          </w:tcPr>
          <w:p w14:paraId="111FEF02" w14:textId="77777777" w:rsidR="00FE3BE4" w:rsidRPr="00A702C0" w:rsidRDefault="00FE3BE4" w:rsidP="008D4E1E">
            <w:pPr>
              <w:spacing w:before="0" w:after="0" w:line="240" w:lineRule="auto"/>
              <w:jc w:val="center"/>
              <w:rPr>
                <w:sz w:val="18"/>
                <w:szCs w:val="18"/>
              </w:rPr>
            </w:pPr>
            <w:r w:rsidRPr="00A702C0">
              <w:rPr>
                <w:sz w:val="18"/>
                <w:szCs w:val="18"/>
              </w:rPr>
              <w:t>5.8</w:t>
            </w:r>
          </w:p>
        </w:tc>
        <w:tc>
          <w:tcPr>
            <w:tcW w:w="1217" w:type="dxa"/>
            <w:vAlign w:val="center"/>
            <w:hideMark/>
          </w:tcPr>
          <w:p w14:paraId="1120C771" w14:textId="77777777" w:rsidR="00FE3BE4" w:rsidRPr="00A702C0" w:rsidRDefault="00FE3BE4" w:rsidP="008D4E1E">
            <w:pPr>
              <w:spacing w:before="0" w:after="0" w:line="240" w:lineRule="auto"/>
              <w:jc w:val="center"/>
              <w:rPr>
                <w:sz w:val="18"/>
                <w:szCs w:val="18"/>
              </w:rPr>
            </w:pPr>
            <w:r w:rsidRPr="00A702C0">
              <w:rPr>
                <w:sz w:val="18"/>
                <w:szCs w:val="18"/>
              </w:rPr>
              <w:t>5.7</w:t>
            </w:r>
          </w:p>
        </w:tc>
        <w:tc>
          <w:tcPr>
            <w:tcW w:w="1217" w:type="dxa"/>
            <w:noWrap/>
            <w:vAlign w:val="center"/>
            <w:hideMark/>
          </w:tcPr>
          <w:p w14:paraId="318FF7DE" w14:textId="77777777" w:rsidR="00FE3BE4" w:rsidRPr="00A702C0" w:rsidRDefault="00FE3BE4" w:rsidP="008D4E1E">
            <w:pPr>
              <w:spacing w:before="0" w:after="0" w:line="240" w:lineRule="auto"/>
              <w:jc w:val="center"/>
              <w:rPr>
                <w:sz w:val="18"/>
                <w:szCs w:val="18"/>
              </w:rPr>
            </w:pPr>
            <w:r w:rsidRPr="00A702C0">
              <w:rPr>
                <w:sz w:val="18"/>
                <w:szCs w:val="18"/>
              </w:rPr>
              <w:t>5.5</w:t>
            </w:r>
          </w:p>
        </w:tc>
        <w:tc>
          <w:tcPr>
            <w:tcW w:w="1217" w:type="dxa"/>
            <w:noWrap/>
            <w:vAlign w:val="center"/>
            <w:hideMark/>
          </w:tcPr>
          <w:p w14:paraId="7B24D3DD" w14:textId="77777777" w:rsidR="00FE3BE4" w:rsidRPr="00A702C0" w:rsidRDefault="00FE3BE4" w:rsidP="008D4E1E">
            <w:pPr>
              <w:spacing w:before="0" w:after="0" w:line="240" w:lineRule="auto"/>
              <w:jc w:val="center"/>
              <w:rPr>
                <w:sz w:val="18"/>
                <w:szCs w:val="18"/>
              </w:rPr>
            </w:pPr>
            <w:r w:rsidRPr="00A702C0">
              <w:rPr>
                <w:sz w:val="18"/>
                <w:szCs w:val="18"/>
              </w:rPr>
              <w:t>-</w:t>
            </w:r>
          </w:p>
        </w:tc>
      </w:tr>
      <w:tr w:rsidR="00FE3BE4" w:rsidRPr="000267C5" w14:paraId="450883FA" w14:textId="77777777" w:rsidTr="00396FB2">
        <w:trPr>
          <w:trHeight w:val="385"/>
        </w:trPr>
        <w:tc>
          <w:tcPr>
            <w:tcW w:w="1470" w:type="dxa"/>
            <w:vMerge w:val="restart"/>
            <w:vAlign w:val="center"/>
            <w:hideMark/>
          </w:tcPr>
          <w:p w14:paraId="20F6934C" w14:textId="77777777" w:rsidR="00FE3BE4" w:rsidRPr="000267C5" w:rsidRDefault="00FE3BE4" w:rsidP="008D4E1E">
            <w:pPr>
              <w:spacing w:before="0" w:after="0" w:line="240" w:lineRule="auto"/>
              <w:rPr>
                <w:sz w:val="18"/>
                <w:szCs w:val="18"/>
                <w:highlight w:val="yellow"/>
              </w:rPr>
            </w:pPr>
            <w:r w:rsidRPr="00A435FB">
              <w:rPr>
                <w:sz w:val="18"/>
                <w:szCs w:val="18"/>
              </w:rPr>
              <w:t>ՀՆԱ-ի դեֆլյատորի աճ, %</w:t>
            </w:r>
          </w:p>
        </w:tc>
        <w:tc>
          <w:tcPr>
            <w:tcW w:w="2359" w:type="dxa"/>
            <w:vAlign w:val="center"/>
            <w:hideMark/>
          </w:tcPr>
          <w:p w14:paraId="2E7D83B5" w14:textId="77777777" w:rsidR="00FE3BE4" w:rsidRPr="000267C5" w:rsidRDefault="00FE3BE4" w:rsidP="008D4E1E">
            <w:pPr>
              <w:spacing w:before="0" w:after="0" w:line="240" w:lineRule="auto"/>
              <w:rPr>
                <w:sz w:val="18"/>
                <w:szCs w:val="18"/>
                <w:highlight w:val="yellow"/>
              </w:rPr>
            </w:pPr>
            <w:r w:rsidRPr="006B377E">
              <w:rPr>
                <w:sz w:val="18"/>
                <w:szCs w:val="18"/>
              </w:rPr>
              <w:t>202</w:t>
            </w:r>
            <w:r w:rsidRPr="006B377E">
              <w:rPr>
                <w:sz w:val="18"/>
                <w:szCs w:val="18"/>
                <w:lang w:val="hy-AM"/>
              </w:rPr>
              <w:t>6</w:t>
            </w:r>
            <w:r w:rsidRPr="006B377E">
              <w:rPr>
                <w:sz w:val="18"/>
                <w:szCs w:val="18"/>
              </w:rPr>
              <w:t xml:space="preserve"> Պետական բյուջե</w:t>
            </w:r>
          </w:p>
        </w:tc>
        <w:tc>
          <w:tcPr>
            <w:tcW w:w="1032" w:type="dxa"/>
            <w:vAlign w:val="center"/>
            <w:hideMark/>
          </w:tcPr>
          <w:p w14:paraId="203279F8" w14:textId="77777777" w:rsidR="00FE3BE4" w:rsidRPr="0043287D" w:rsidRDefault="00FE3BE4" w:rsidP="008D4E1E">
            <w:pPr>
              <w:spacing w:before="0" w:after="0" w:line="240" w:lineRule="auto"/>
              <w:jc w:val="center"/>
              <w:rPr>
                <w:sz w:val="18"/>
                <w:szCs w:val="18"/>
              </w:rPr>
            </w:pPr>
            <w:r w:rsidRPr="0043287D">
              <w:rPr>
                <w:sz w:val="18"/>
                <w:szCs w:val="18"/>
              </w:rPr>
              <w:t>1.4</w:t>
            </w:r>
          </w:p>
        </w:tc>
        <w:tc>
          <w:tcPr>
            <w:tcW w:w="1125" w:type="dxa"/>
            <w:noWrap/>
            <w:vAlign w:val="center"/>
            <w:hideMark/>
          </w:tcPr>
          <w:p w14:paraId="4B7DCFF2" w14:textId="77777777" w:rsidR="00FE3BE4" w:rsidRPr="0043287D" w:rsidRDefault="00FE3BE4" w:rsidP="008D4E1E">
            <w:pPr>
              <w:spacing w:before="0" w:after="0" w:line="240" w:lineRule="auto"/>
              <w:jc w:val="center"/>
              <w:rPr>
                <w:sz w:val="18"/>
                <w:szCs w:val="18"/>
              </w:rPr>
            </w:pPr>
            <w:r w:rsidRPr="0043287D">
              <w:rPr>
                <w:sz w:val="18"/>
                <w:szCs w:val="18"/>
              </w:rPr>
              <w:t>2.6</w:t>
            </w:r>
          </w:p>
        </w:tc>
        <w:tc>
          <w:tcPr>
            <w:tcW w:w="1217" w:type="dxa"/>
            <w:vAlign w:val="center"/>
            <w:hideMark/>
          </w:tcPr>
          <w:p w14:paraId="349F613D" w14:textId="77777777" w:rsidR="00FE3BE4" w:rsidRPr="0043287D" w:rsidRDefault="00FE3BE4" w:rsidP="008D4E1E">
            <w:pPr>
              <w:spacing w:before="0" w:after="0" w:line="240" w:lineRule="auto"/>
              <w:jc w:val="center"/>
              <w:rPr>
                <w:sz w:val="18"/>
                <w:szCs w:val="18"/>
              </w:rPr>
            </w:pPr>
            <w:r w:rsidRPr="0043287D">
              <w:rPr>
                <w:sz w:val="18"/>
                <w:szCs w:val="18"/>
              </w:rPr>
              <w:t>3.0</w:t>
            </w:r>
          </w:p>
        </w:tc>
        <w:tc>
          <w:tcPr>
            <w:tcW w:w="1217" w:type="dxa"/>
            <w:noWrap/>
            <w:vAlign w:val="center"/>
            <w:hideMark/>
          </w:tcPr>
          <w:p w14:paraId="61623155" w14:textId="77777777" w:rsidR="00FE3BE4" w:rsidRPr="0043287D" w:rsidRDefault="00FE3BE4" w:rsidP="008D4E1E">
            <w:pPr>
              <w:spacing w:before="0" w:after="0" w:line="240" w:lineRule="auto"/>
              <w:jc w:val="center"/>
              <w:rPr>
                <w:sz w:val="18"/>
                <w:szCs w:val="18"/>
              </w:rPr>
            </w:pPr>
            <w:r w:rsidRPr="0043287D">
              <w:rPr>
                <w:sz w:val="18"/>
                <w:szCs w:val="18"/>
              </w:rPr>
              <w:t>3.0</w:t>
            </w:r>
          </w:p>
        </w:tc>
        <w:tc>
          <w:tcPr>
            <w:tcW w:w="1217" w:type="dxa"/>
            <w:noWrap/>
            <w:vAlign w:val="center"/>
            <w:hideMark/>
          </w:tcPr>
          <w:p w14:paraId="0F0B715C" w14:textId="77777777" w:rsidR="00FE3BE4" w:rsidRPr="0043287D" w:rsidRDefault="00FE3BE4" w:rsidP="008D4E1E">
            <w:pPr>
              <w:spacing w:before="0" w:after="0" w:line="240" w:lineRule="auto"/>
              <w:jc w:val="center"/>
              <w:rPr>
                <w:sz w:val="18"/>
                <w:szCs w:val="18"/>
              </w:rPr>
            </w:pPr>
            <w:r w:rsidRPr="0043287D">
              <w:rPr>
                <w:sz w:val="18"/>
                <w:szCs w:val="18"/>
              </w:rPr>
              <w:t>3.0</w:t>
            </w:r>
          </w:p>
        </w:tc>
      </w:tr>
      <w:tr w:rsidR="00FE3BE4" w:rsidRPr="000267C5" w14:paraId="63DB29DB" w14:textId="77777777" w:rsidTr="00396FB2">
        <w:trPr>
          <w:trHeight w:val="385"/>
        </w:trPr>
        <w:tc>
          <w:tcPr>
            <w:tcW w:w="1470" w:type="dxa"/>
            <w:vMerge/>
            <w:vAlign w:val="center"/>
            <w:hideMark/>
          </w:tcPr>
          <w:p w14:paraId="72BBF871" w14:textId="77777777" w:rsidR="00FE3BE4" w:rsidRPr="000267C5" w:rsidRDefault="00FE3BE4" w:rsidP="008D4E1E">
            <w:pPr>
              <w:spacing w:before="0" w:after="0" w:line="240" w:lineRule="auto"/>
              <w:rPr>
                <w:sz w:val="18"/>
                <w:szCs w:val="18"/>
                <w:highlight w:val="yellow"/>
                <w:lang w:val="ru-RU" w:eastAsia="ru-RU"/>
              </w:rPr>
            </w:pPr>
          </w:p>
        </w:tc>
        <w:tc>
          <w:tcPr>
            <w:tcW w:w="2359" w:type="dxa"/>
            <w:vAlign w:val="center"/>
            <w:hideMark/>
          </w:tcPr>
          <w:p w14:paraId="3036F319" w14:textId="77777777" w:rsidR="00FE3BE4" w:rsidRPr="000267C5" w:rsidRDefault="00FE3BE4" w:rsidP="008D4E1E">
            <w:pPr>
              <w:spacing w:before="0" w:after="0" w:line="240" w:lineRule="auto"/>
              <w:rPr>
                <w:sz w:val="18"/>
                <w:szCs w:val="18"/>
                <w:highlight w:val="yellow"/>
              </w:rPr>
            </w:pPr>
            <w:r w:rsidRPr="00C963CE">
              <w:rPr>
                <w:sz w:val="18"/>
                <w:szCs w:val="18"/>
              </w:rPr>
              <w:t>202</w:t>
            </w:r>
            <w:r w:rsidRPr="00C963CE">
              <w:rPr>
                <w:sz w:val="18"/>
                <w:szCs w:val="18"/>
                <w:lang w:val="hy-AM"/>
              </w:rPr>
              <w:t>6</w:t>
            </w:r>
            <w:r w:rsidRPr="00C963CE">
              <w:rPr>
                <w:sz w:val="18"/>
                <w:szCs w:val="18"/>
              </w:rPr>
              <w:t>-202</w:t>
            </w:r>
            <w:r w:rsidRPr="00C963CE">
              <w:rPr>
                <w:sz w:val="18"/>
                <w:szCs w:val="18"/>
                <w:lang w:val="hy-AM"/>
              </w:rPr>
              <w:t>8</w:t>
            </w:r>
            <w:r w:rsidRPr="00C963CE">
              <w:rPr>
                <w:sz w:val="18"/>
                <w:szCs w:val="18"/>
              </w:rPr>
              <w:t xml:space="preserve"> ՄԺԾԾ</w:t>
            </w:r>
          </w:p>
        </w:tc>
        <w:tc>
          <w:tcPr>
            <w:tcW w:w="1032" w:type="dxa"/>
            <w:vAlign w:val="center"/>
            <w:hideMark/>
          </w:tcPr>
          <w:p w14:paraId="4718DD39" w14:textId="77777777" w:rsidR="00FE3BE4" w:rsidRPr="007B4355" w:rsidRDefault="00FE3BE4" w:rsidP="008D4E1E">
            <w:pPr>
              <w:spacing w:before="0" w:after="0" w:line="240" w:lineRule="auto"/>
              <w:jc w:val="center"/>
              <w:rPr>
                <w:sz w:val="18"/>
                <w:szCs w:val="18"/>
              </w:rPr>
            </w:pPr>
            <w:r w:rsidRPr="007B4355">
              <w:rPr>
                <w:sz w:val="18"/>
                <w:szCs w:val="18"/>
              </w:rPr>
              <w:t>1.4</w:t>
            </w:r>
          </w:p>
        </w:tc>
        <w:tc>
          <w:tcPr>
            <w:tcW w:w="1125" w:type="dxa"/>
            <w:noWrap/>
            <w:vAlign w:val="center"/>
            <w:hideMark/>
          </w:tcPr>
          <w:p w14:paraId="1FEBB710" w14:textId="77777777" w:rsidR="00FE3BE4" w:rsidRPr="007B4355" w:rsidRDefault="00FE3BE4" w:rsidP="008D4E1E">
            <w:pPr>
              <w:spacing w:before="0" w:after="0" w:line="240" w:lineRule="auto"/>
              <w:jc w:val="center"/>
              <w:rPr>
                <w:sz w:val="18"/>
                <w:szCs w:val="18"/>
              </w:rPr>
            </w:pPr>
            <w:r w:rsidRPr="007B4355">
              <w:rPr>
                <w:sz w:val="18"/>
                <w:szCs w:val="18"/>
              </w:rPr>
              <w:t>2.5</w:t>
            </w:r>
          </w:p>
        </w:tc>
        <w:tc>
          <w:tcPr>
            <w:tcW w:w="1217" w:type="dxa"/>
            <w:vAlign w:val="center"/>
            <w:hideMark/>
          </w:tcPr>
          <w:p w14:paraId="30DAB51C" w14:textId="77777777" w:rsidR="00FE3BE4" w:rsidRPr="007B4355" w:rsidRDefault="00FE3BE4" w:rsidP="008D4E1E">
            <w:pPr>
              <w:spacing w:before="0" w:after="0" w:line="240" w:lineRule="auto"/>
              <w:jc w:val="center"/>
              <w:rPr>
                <w:sz w:val="18"/>
                <w:szCs w:val="18"/>
              </w:rPr>
            </w:pPr>
            <w:r w:rsidRPr="007B4355">
              <w:rPr>
                <w:sz w:val="18"/>
                <w:szCs w:val="18"/>
              </w:rPr>
              <w:t>3.0</w:t>
            </w:r>
          </w:p>
        </w:tc>
        <w:tc>
          <w:tcPr>
            <w:tcW w:w="1217" w:type="dxa"/>
            <w:noWrap/>
            <w:vAlign w:val="center"/>
            <w:hideMark/>
          </w:tcPr>
          <w:p w14:paraId="5162B3E9" w14:textId="77777777" w:rsidR="00FE3BE4" w:rsidRPr="007B4355" w:rsidRDefault="00FE3BE4" w:rsidP="008D4E1E">
            <w:pPr>
              <w:spacing w:before="0" w:after="0" w:line="240" w:lineRule="auto"/>
              <w:jc w:val="center"/>
              <w:rPr>
                <w:sz w:val="18"/>
                <w:szCs w:val="18"/>
              </w:rPr>
            </w:pPr>
            <w:r w:rsidRPr="007B4355">
              <w:rPr>
                <w:sz w:val="18"/>
                <w:szCs w:val="18"/>
              </w:rPr>
              <w:t>3.0</w:t>
            </w:r>
          </w:p>
        </w:tc>
        <w:tc>
          <w:tcPr>
            <w:tcW w:w="1217" w:type="dxa"/>
            <w:noWrap/>
            <w:vAlign w:val="center"/>
            <w:hideMark/>
          </w:tcPr>
          <w:p w14:paraId="529CC916" w14:textId="77777777" w:rsidR="00FE3BE4" w:rsidRPr="007B4355" w:rsidRDefault="00FE3BE4" w:rsidP="008D4E1E">
            <w:pPr>
              <w:spacing w:before="0" w:after="0" w:line="240" w:lineRule="auto"/>
              <w:jc w:val="center"/>
              <w:rPr>
                <w:sz w:val="18"/>
                <w:szCs w:val="18"/>
              </w:rPr>
            </w:pPr>
            <w:r w:rsidRPr="007B4355">
              <w:rPr>
                <w:sz w:val="18"/>
                <w:szCs w:val="18"/>
              </w:rPr>
              <w:t>3.0</w:t>
            </w:r>
          </w:p>
        </w:tc>
      </w:tr>
      <w:tr w:rsidR="00FE3BE4" w:rsidRPr="000267C5" w14:paraId="1959C103" w14:textId="77777777" w:rsidTr="00396FB2">
        <w:trPr>
          <w:trHeight w:val="385"/>
        </w:trPr>
        <w:tc>
          <w:tcPr>
            <w:tcW w:w="1470" w:type="dxa"/>
            <w:vMerge/>
            <w:vAlign w:val="center"/>
            <w:hideMark/>
          </w:tcPr>
          <w:p w14:paraId="69E1A0BB" w14:textId="77777777" w:rsidR="00FE3BE4" w:rsidRPr="000267C5" w:rsidRDefault="00FE3BE4" w:rsidP="008D4E1E">
            <w:pPr>
              <w:spacing w:before="0" w:after="0" w:line="240" w:lineRule="auto"/>
              <w:rPr>
                <w:sz w:val="18"/>
                <w:szCs w:val="18"/>
                <w:highlight w:val="yellow"/>
                <w:lang w:val="ru-RU" w:eastAsia="ru-RU"/>
              </w:rPr>
            </w:pPr>
          </w:p>
        </w:tc>
        <w:tc>
          <w:tcPr>
            <w:tcW w:w="2359" w:type="dxa"/>
            <w:vAlign w:val="center"/>
            <w:hideMark/>
          </w:tcPr>
          <w:p w14:paraId="0FE00E89" w14:textId="77777777" w:rsidR="00FE3BE4" w:rsidRPr="000267C5" w:rsidRDefault="00FE3BE4" w:rsidP="008D4E1E">
            <w:pPr>
              <w:spacing w:before="0" w:after="0" w:line="240" w:lineRule="auto"/>
              <w:rPr>
                <w:sz w:val="18"/>
                <w:szCs w:val="18"/>
                <w:highlight w:val="yellow"/>
              </w:rPr>
            </w:pPr>
            <w:r w:rsidRPr="00EA27C7">
              <w:rPr>
                <w:sz w:val="18"/>
                <w:szCs w:val="18"/>
              </w:rPr>
              <w:t>2025 Պետական բյուջե</w:t>
            </w:r>
          </w:p>
        </w:tc>
        <w:tc>
          <w:tcPr>
            <w:tcW w:w="1032" w:type="dxa"/>
            <w:vAlign w:val="center"/>
            <w:hideMark/>
          </w:tcPr>
          <w:p w14:paraId="219A6720" w14:textId="77777777" w:rsidR="00FE3BE4" w:rsidRPr="0092127B" w:rsidRDefault="00FE3BE4" w:rsidP="008D4E1E">
            <w:pPr>
              <w:spacing w:before="0" w:after="0" w:line="240" w:lineRule="auto"/>
              <w:jc w:val="center"/>
              <w:rPr>
                <w:sz w:val="18"/>
                <w:szCs w:val="18"/>
              </w:rPr>
            </w:pPr>
            <w:r w:rsidRPr="0092127B">
              <w:rPr>
                <w:sz w:val="18"/>
                <w:szCs w:val="18"/>
              </w:rPr>
              <w:t>1.1</w:t>
            </w:r>
          </w:p>
        </w:tc>
        <w:tc>
          <w:tcPr>
            <w:tcW w:w="1125" w:type="dxa"/>
            <w:noWrap/>
            <w:vAlign w:val="center"/>
            <w:hideMark/>
          </w:tcPr>
          <w:p w14:paraId="3B7309CC" w14:textId="77777777" w:rsidR="00FE3BE4" w:rsidRPr="0092127B" w:rsidRDefault="00FE3BE4" w:rsidP="008D4E1E">
            <w:pPr>
              <w:spacing w:before="0" w:after="0" w:line="240" w:lineRule="auto"/>
              <w:jc w:val="center"/>
              <w:rPr>
                <w:sz w:val="18"/>
                <w:szCs w:val="18"/>
              </w:rPr>
            </w:pPr>
            <w:r w:rsidRPr="0092127B">
              <w:rPr>
                <w:sz w:val="18"/>
                <w:szCs w:val="18"/>
              </w:rPr>
              <w:t>2.5</w:t>
            </w:r>
          </w:p>
        </w:tc>
        <w:tc>
          <w:tcPr>
            <w:tcW w:w="1217" w:type="dxa"/>
            <w:vAlign w:val="center"/>
            <w:hideMark/>
          </w:tcPr>
          <w:p w14:paraId="474BA26A" w14:textId="77777777" w:rsidR="00FE3BE4" w:rsidRPr="0092127B" w:rsidRDefault="00FE3BE4" w:rsidP="008D4E1E">
            <w:pPr>
              <w:spacing w:before="0" w:after="0" w:line="240" w:lineRule="auto"/>
              <w:jc w:val="center"/>
              <w:rPr>
                <w:sz w:val="18"/>
                <w:szCs w:val="18"/>
              </w:rPr>
            </w:pPr>
            <w:r w:rsidRPr="0092127B">
              <w:rPr>
                <w:sz w:val="18"/>
                <w:szCs w:val="18"/>
              </w:rPr>
              <w:t>4.0</w:t>
            </w:r>
          </w:p>
        </w:tc>
        <w:tc>
          <w:tcPr>
            <w:tcW w:w="1217" w:type="dxa"/>
            <w:noWrap/>
            <w:vAlign w:val="center"/>
            <w:hideMark/>
          </w:tcPr>
          <w:p w14:paraId="3BA2850A" w14:textId="77777777" w:rsidR="00FE3BE4" w:rsidRPr="0092127B" w:rsidRDefault="00FE3BE4" w:rsidP="008D4E1E">
            <w:pPr>
              <w:spacing w:before="0" w:after="0" w:line="240" w:lineRule="auto"/>
              <w:jc w:val="center"/>
              <w:rPr>
                <w:sz w:val="18"/>
                <w:szCs w:val="18"/>
              </w:rPr>
            </w:pPr>
            <w:r w:rsidRPr="0092127B">
              <w:rPr>
                <w:sz w:val="18"/>
                <w:szCs w:val="18"/>
              </w:rPr>
              <w:t>4.0</w:t>
            </w:r>
          </w:p>
        </w:tc>
        <w:tc>
          <w:tcPr>
            <w:tcW w:w="1217" w:type="dxa"/>
            <w:noWrap/>
            <w:vAlign w:val="center"/>
            <w:hideMark/>
          </w:tcPr>
          <w:p w14:paraId="64D6A3E0" w14:textId="77777777" w:rsidR="00FE3BE4" w:rsidRPr="0092127B" w:rsidRDefault="00FE3BE4" w:rsidP="008D4E1E">
            <w:pPr>
              <w:spacing w:before="0" w:after="0" w:line="240" w:lineRule="auto"/>
              <w:jc w:val="center"/>
              <w:rPr>
                <w:sz w:val="18"/>
                <w:szCs w:val="18"/>
              </w:rPr>
            </w:pPr>
            <w:r w:rsidRPr="0092127B">
              <w:rPr>
                <w:sz w:val="18"/>
                <w:szCs w:val="18"/>
              </w:rPr>
              <w:t>1.1</w:t>
            </w:r>
          </w:p>
        </w:tc>
      </w:tr>
      <w:tr w:rsidR="00FE3BE4" w:rsidRPr="000267C5" w14:paraId="3224C054" w14:textId="77777777" w:rsidTr="00396FB2">
        <w:trPr>
          <w:trHeight w:val="385"/>
        </w:trPr>
        <w:tc>
          <w:tcPr>
            <w:tcW w:w="1470" w:type="dxa"/>
            <w:vMerge/>
            <w:vAlign w:val="center"/>
            <w:hideMark/>
          </w:tcPr>
          <w:p w14:paraId="234E5480" w14:textId="77777777" w:rsidR="00FE3BE4" w:rsidRPr="000267C5" w:rsidRDefault="00FE3BE4" w:rsidP="008D4E1E">
            <w:pPr>
              <w:spacing w:before="0" w:after="0" w:line="240" w:lineRule="auto"/>
              <w:rPr>
                <w:sz w:val="18"/>
                <w:szCs w:val="18"/>
                <w:highlight w:val="yellow"/>
                <w:lang w:val="ru-RU" w:eastAsia="ru-RU"/>
              </w:rPr>
            </w:pPr>
          </w:p>
        </w:tc>
        <w:tc>
          <w:tcPr>
            <w:tcW w:w="2359" w:type="dxa"/>
            <w:vAlign w:val="center"/>
            <w:hideMark/>
          </w:tcPr>
          <w:p w14:paraId="0F0C8620" w14:textId="77777777" w:rsidR="00FE3BE4" w:rsidRPr="000267C5" w:rsidRDefault="00FE3BE4" w:rsidP="008D4E1E">
            <w:pPr>
              <w:spacing w:before="0" w:after="0" w:line="240" w:lineRule="auto"/>
              <w:rPr>
                <w:sz w:val="18"/>
                <w:szCs w:val="18"/>
                <w:highlight w:val="yellow"/>
              </w:rPr>
            </w:pPr>
            <w:r w:rsidRPr="00EA27C7">
              <w:rPr>
                <w:sz w:val="18"/>
                <w:szCs w:val="18"/>
              </w:rPr>
              <w:t>202</w:t>
            </w:r>
            <w:r w:rsidRPr="00EA27C7">
              <w:rPr>
                <w:sz w:val="18"/>
                <w:szCs w:val="18"/>
                <w:lang w:val="hy-AM"/>
              </w:rPr>
              <w:t>5</w:t>
            </w:r>
            <w:r w:rsidRPr="00EA27C7">
              <w:rPr>
                <w:sz w:val="18"/>
                <w:szCs w:val="18"/>
              </w:rPr>
              <w:t>-202</w:t>
            </w:r>
            <w:r w:rsidRPr="00EA27C7">
              <w:rPr>
                <w:sz w:val="18"/>
                <w:szCs w:val="18"/>
                <w:lang w:val="hy-AM"/>
              </w:rPr>
              <w:t>7</w:t>
            </w:r>
            <w:r w:rsidRPr="00EA27C7">
              <w:rPr>
                <w:sz w:val="18"/>
                <w:szCs w:val="18"/>
              </w:rPr>
              <w:t xml:space="preserve"> ՄԺԾԾ</w:t>
            </w:r>
          </w:p>
        </w:tc>
        <w:tc>
          <w:tcPr>
            <w:tcW w:w="1032" w:type="dxa"/>
            <w:vAlign w:val="center"/>
            <w:hideMark/>
          </w:tcPr>
          <w:p w14:paraId="6E822202" w14:textId="77777777" w:rsidR="00FE3BE4" w:rsidRPr="0007163F" w:rsidRDefault="00FE3BE4" w:rsidP="008D4E1E">
            <w:pPr>
              <w:spacing w:before="0" w:after="0" w:line="240" w:lineRule="auto"/>
              <w:jc w:val="center"/>
              <w:rPr>
                <w:sz w:val="18"/>
                <w:szCs w:val="18"/>
              </w:rPr>
            </w:pPr>
            <w:r w:rsidRPr="0007163F">
              <w:rPr>
                <w:sz w:val="18"/>
                <w:szCs w:val="18"/>
              </w:rPr>
              <w:t>1.3</w:t>
            </w:r>
          </w:p>
        </w:tc>
        <w:tc>
          <w:tcPr>
            <w:tcW w:w="1125" w:type="dxa"/>
            <w:noWrap/>
            <w:vAlign w:val="center"/>
            <w:hideMark/>
          </w:tcPr>
          <w:p w14:paraId="115FA343" w14:textId="77777777" w:rsidR="00FE3BE4" w:rsidRPr="0007163F" w:rsidRDefault="00FE3BE4" w:rsidP="008D4E1E">
            <w:pPr>
              <w:spacing w:before="0" w:after="0" w:line="240" w:lineRule="auto"/>
              <w:jc w:val="center"/>
              <w:rPr>
                <w:sz w:val="18"/>
                <w:szCs w:val="18"/>
              </w:rPr>
            </w:pPr>
            <w:r w:rsidRPr="0007163F">
              <w:rPr>
                <w:sz w:val="18"/>
                <w:szCs w:val="18"/>
              </w:rPr>
              <w:t>3.4</w:t>
            </w:r>
          </w:p>
        </w:tc>
        <w:tc>
          <w:tcPr>
            <w:tcW w:w="1217" w:type="dxa"/>
            <w:vAlign w:val="center"/>
            <w:hideMark/>
          </w:tcPr>
          <w:p w14:paraId="1D06F09F" w14:textId="77777777" w:rsidR="00FE3BE4" w:rsidRPr="0007163F" w:rsidRDefault="00FE3BE4" w:rsidP="008D4E1E">
            <w:pPr>
              <w:spacing w:before="0" w:after="0" w:line="240" w:lineRule="auto"/>
              <w:jc w:val="center"/>
              <w:rPr>
                <w:sz w:val="18"/>
                <w:szCs w:val="18"/>
              </w:rPr>
            </w:pPr>
            <w:r w:rsidRPr="0007163F">
              <w:rPr>
                <w:sz w:val="18"/>
                <w:szCs w:val="18"/>
              </w:rPr>
              <w:t>4.0</w:t>
            </w:r>
          </w:p>
        </w:tc>
        <w:tc>
          <w:tcPr>
            <w:tcW w:w="1217" w:type="dxa"/>
            <w:noWrap/>
            <w:vAlign w:val="center"/>
            <w:hideMark/>
          </w:tcPr>
          <w:p w14:paraId="2E49CED7" w14:textId="77777777" w:rsidR="00FE3BE4" w:rsidRPr="0007163F" w:rsidRDefault="00FE3BE4" w:rsidP="008D4E1E">
            <w:pPr>
              <w:spacing w:before="0" w:after="0" w:line="240" w:lineRule="auto"/>
              <w:jc w:val="center"/>
              <w:rPr>
                <w:sz w:val="18"/>
                <w:szCs w:val="18"/>
              </w:rPr>
            </w:pPr>
            <w:r w:rsidRPr="0007163F">
              <w:rPr>
                <w:sz w:val="18"/>
                <w:szCs w:val="18"/>
              </w:rPr>
              <w:t>4.0</w:t>
            </w:r>
          </w:p>
        </w:tc>
        <w:tc>
          <w:tcPr>
            <w:tcW w:w="1217" w:type="dxa"/>
            <w:noWrap/>
            <w:vAlign w:val="center"/>
            <w:hideMark/>
          </w:tcPr>
          <w:p w14:paraId="6090E818" w14:textId="77777777" w:rsidR="00FE3BE4" w:rsidRPr="0007163F" w:rsidRDefault="00FE3BE4" w:rsidP="008D4E1E">
            <w:pPr>
              <w:spacing w:before="0" w:after="0" w:line="240" w:lineRule="auto"/>
              <w:jc w:val="center"/>
              <w:rPr>
                <w:sz w:val="18"/>
                <w:szCs w:val="18"/>
              </w:rPr>
            </w:pPr>
            <w:r w:rsidRPr="0007163F">
              <w:rPr>
                <w:sz w:val="18"/>
                <w:szCs w:val="18"/>
              </w:rPr>
              <w:t>-</w:t>
            </w:r>
          </w:p>
        </w:tc>
      </w:tr>
    </w:tbl>
    <w:bookmarkEnd w:id="235"/>
    <w:p w14:paraId="46F327AA" w14:textId="77777777" w:rsidR="00FE3BE4" w:rsidRPr="00E77731" w:rsidRDefault="00FE3BE4" w:rsidP="00FE3BE4">
      <w:pPr>
        <w:pStyle w:val="a0"/>
        <w:jc w:val="left"/>
        <w:rPr>
          <w:lang w:val="hy-AM" w:eastAsia="ru-RU"/>
        </w:rPr>
      </w:pPr>
      <w:r w:rsidRPr="005D3566">
        <w:rPr>
          <w:lang w:val="hy-AM"/>
        </w:rPr>
        <w:t>* 2025-2027 ՄԺԾԾ համար 2023թ. ցուցանիշները փաստացի են</w:t>
      </w:r>
      <w:r>
        <w:rPr>
          <w:lang w:val="hy-AM"/>
        </w:rPr>
        <w:t xml:space="preserve">, </w:t>
      </w:r>
      <w:r w:rsidRPr="00E77731">
        <w:rPr>
          <w:lang w:val="hy-AM"/>
        </w:rPr>
        <w:t>Աղբյուրը ՝ ՀՀ ՖՆ կանխատեսումներ</w:t>
      </w:r>
    </w:p>
    <w:p w14:paraId="794573BB" w14:textId="77777777" w:rsidR="00FE3BE4" w:rsidRDefault="00FE3BE4" w:rsidP="00FE3BE4">
      <w:pPr>
        <w:jc w:val="both"/>
        <w:rPr>
          <w:rFonts w:ascii="GHEA Grapalat" w:hAnsi="GHEA Grapalat"/>
          <w:bCs/>
          <w:szCs w:val="20"/>
        </w:rPr>
      </w:pPr>
      <w:r w:rsidRPr="0027036A">
        <w:rPr>
          <w:rFonts w:ascii="GHEA Grapalat" w:hAnsi="GHEA Grapalat"/>
          <w:bCs/>
          <w:szCs w:val="20"/>
        </w:rPr>
        <w:t xml:space="preserve">Աղյուսակ 1.5. Ընթացիկ հաշվի կանխատեսումները </w:t>
      </w:r>
    </w:p>
    <w:tbl>
      <w:tblPr>
        <w:tblpPr w:leftFromText="180" w:rightFromText="180" w:topFromText="120" w:vertAnchor="text" w:tblpY="1"/>
        <w:tblOverlap w:val="never"/>
        <w:tblW w:w="9772" w:type="dxa"/>
        <w:tblBorders>
          <w:top w:val="single" w:sz="4" w:space="0" w:color="E1E1E3" w:themeColor="accent3" w:themeTint="33"/>
          <w:left w:val="single" w:sz="4" w:space="0" w:color="E1E1E3" w:themeColor="accent3" w:themeTint="33"/>
          <w:bottom w:val="single" w:sz="4" w:space="0" w:color="E1E1E3" w:themeColor="accent3" w:themeTint="33"/>
          <w:right w:val="single" w:sz="4" w:space="0" w:color="E1E1E3" w:themeColor="accent3" w:themeTint="33"/>
          <w:insideH w:val="single" w:sz="4" w:space="0" w:color="E1E1E3" w:themeColor="accent3" w:themeTint="33"/>
          <w:insideV w:val="single" w:sz="4" w:space="0" w:color="E1E1E3" w:themeColor="accent3" w:themeTint="33"/>
        </w:tblBorders>
        <w:tblLayout w:type="fixed"/>
        <w:tblLook w:val="04A0" w:firstRow="1" w:lastRow="0" w:firstColumn="1" w:lastColumn="0" w:noHBand="0" w:noVBand="1"/>
      </w:tblPr>
      <w:tblGrid>
        <w:gridCol w:w="1490"/>
        <w:gridCol w:w="2302"/>
        <w:gridCol w:w="1044"/>
        <w:gridCol w:w="1234"/>
        <w:gridCol w:w="1329"/>
        <w:gridCol w:w="1234"/>
        <w:gridCol w:w="1139"/>
      </w:tblGrid>
      <w:tr w:rsidR="00FE3BE4" w:rsidRPr="00DB297C" w14:paraId="569E637C" w14:textId="77777777" w:rsidTr="00396FB2">
        <w:trPr>
          <w:trHeight w:val="339"/>
        </w:trPr>
        <w:tc>
          <w:tcPr>
            <w:tcW w:w="1490" w:type="dxa"/>
            <w:vMerge w:val="restart"/>
            <w:shd w:val="clear" w:color="auto" w:fill="D5DCE4" w:themeFill="text2" w:themeFillTint="33"/>
            <w:noWrap/>
            <w:vAlign w:val="center"/>
            <w:hideMark/>
          </w:tcPr>
          <w:p w14:paraId="7875B801" w14:textId="77777777" w:rsidR="00FE3BE4" w:rsidRPr="006B377E" w:rsidRDefault="00FE3BE4" w:rsidP="008D4E1E">
            <w:pPr>
              <w:spacing w:before="0" w:after="0" w:line="240" w:lineRule="auto"/>
              <w:jc w:val="center"/>
              <w:rPr>
                <w:b/>
                <w:sz w:val="18"/>
                <w:szCs w:val="18"/>
                <w:lang w:val="ru-RU"/>
              </w:rPr>
            </w:pPr>
            <w:r w:rsidRPr="006B377E">
              <w:rPr>
                <w:b/>
                <w:sz w:val="18"/>
                <w:szCs w:val="18"/>
              </w:rPr>
              <w:t>Ցուցանիշներ</w:t>
            </w:r>
          </w:p>
        </w:tc>
        <w:tc>
          <w:tcPr>
            <w:tcW w:w="2302" w:type="dxa"/>
            <w:vMerge w:val="restart"/>
            <w:shd w:val="clear" w:color="auto" w:fill="D5DCE4" w:themeFill="text2" w:themeFillTint="33"/>
            <w:vAlign w:val="center"/>
            <w:hideMark/>
          </w:tcPr>
          <w:p w14:paraId="5720EDEE" w14:textId="77777777" w:rsidR="00FE3BE4" w:rsidRPr="006B377E" w:rsidRDefault="00FE3BE4" w:rsidP="008D4E1E">
            <w:pPr>
              <w:spacing w:before="0" w:after="0" w:line="240" w:lineRule="auto"/>
              <w:jc w:val="center"/>
              <w:rPr>
                <w:b/>
                <w:sz w:val="18"/>
                <w:szCs w:val="18"/>
              </w:rPr>
            </w:pPr>
            <w:r w:rsidRPr="006B377E">
              <w:rPr>
                <w:b/>
                <w:sz w:val="18"/>
                <w:szCs w:val="18"/>
              </w:rPr>
              <w:t>Ծրագիր</w:t>
            </w:r>
          </w:p>
        </w:tc>
        <w:tc>
          <w:tcPr>
            <w:tcW w:w="1044" w:type="dxa"/>
            <w:shd w:val="clear" w:color="auto" w:fill="D5DCE4" w:themeFill="text2" w:themeFillTint="33"/>
            <w:vAlign w:val="center"/>
            <w:hideMark/>
          </w:tcPr>
          <w:p w14:paraId="2554AF23" w14:textId="77777777" w:rsidR="00FE3BE4" w:rsidRPr="00DB297C" w:rsidRDefault="00FE3BE4" w:rsidP="008D4E1E">
            <w:pPr>
              <w:spacing w:before="0" w:after="0" w:line="240" w:lineRule="auto"/>
              <w:jc w:val="center"/>
              <w:rPr>
                <w:b/>
                <w:sz w:val="18"/>
                <w:szCs w:val="18"/>
                <w:lang w:val="hy-AM"/>
              </w:rPr>
            </w:pPr>
            <w:r w:rsidRPr="00DB297C">
              <w:rPr>
                <w:b/>
                <w:sz w:val="18"/>
                <w:szCs w:val="18"/>
              </w:rPr>
              <w:t>202</w:t>
            </w:r>
            <w:r w:rsidRPr="00DB297C">
              <w:rPr>
                <w:b/>
                <w:sz w:val="18"/>
                <w:szCs w:val="18"/>
                <w:lang w:val="hy-AM"/>
              </w:rPr>
              <w:t>4</w:t>
            </w:r>
          </w:p>
        </w:tc>
        <w:tc>
          <w:tcPr>
            <w:tcW w:w="1234" w:type="dxa"/>
            <w:shd w:val="clear" w:color="auto" w:fill="D5DCE4" w:themeFill="text2" w:themeFillTint="33"/>
            <w:vAlign w:val="center"/>
            <w:hideMark/>
          </w:tcPr>
          <w:p w14:paraId="3CCF85DE" w14:textId="77777777" w:rsidR="00FE3BE4" w:rsidRPr="00DB297C" w:rsidRDefault="00FE3BE4" w:rsidP="008D4E1E">
            <w:pPr>
              <w:spacing w:before="0" w:after="0" w:line="240" w:lineRule="auto"/>
              <w:jc w:val="center"/>
              <w:rPr>
                <w:b/>
                <w:sz w:val="18"/>
                <w:szCs w:val="18"/>
              </w:rPr>
            </w:pPr>
            <w:r w:rsidRPr="00DB297C">
              <w:rPr>
                <w:b/>
                <w:sz w:val="18"/>
                <w:szCs w:val="18"/>
              </w:rPr>
              <w:t>2025</w:t>
            </w:r>
          </w:p>
        </w:tc>
        <w:tc>
          <w:tcPr>
            <w:tcW w:w="1329" w:type="dxa"/>
            <w:shd w:val="clear" w:color="auto" w:fill="D5DCE4" w:themeFill="text2" w:themeFillTint="33"/>
            <w:vAlign w:val="center"/>
            <w:hideMark/>
          </w:tcPr>
          <w:p w14:paraId="004F5950" w14:textId="77777777" w:rsidR="00FE3BE4" w:rsidRPr="00DB297C" w:rsidRDefault="00FE3BE4" w:rsidP="008D4E1E">
            <w:pPr>
              <w:spacing w:before="0" w:after="0" w:line="240" w:lineRule="auto"/>
              <w:jc w:val="center"/>
              <w:rPr>
                <w:b/>
                <w:sz w:val="18"/>
                <w:szCs w:val="18"/>
              </w:rPr>
            </w:pPr>
            <w:r w:rsidRPr="00DB297C">
              <w:rPr>
                <w:b/>
                <w:sz w:val="18"/>
                <w:szCs w:val="18"/>
              </w:rPr>
              <w:t>2026</w:t>
            </w:r>
          </w:p>
        </w:tc>
        <w:tc>
          <w:tcPr>
            <w:tcW w:w="1234" w:type="dxa"/>
            <w:shd w:val="clear" w:color="auto" w:fill="D5DCE4" w:themeFill="text2" w:themeFillTint="33"/>
            <w:vAlign w:val="center"/>
            <w:hideMark/>
          </w:tcPr>
          <w:p w14:paraId="7F22065C" w14:textId="77777777" w:rsidR="00FE3BE4" w:rsidRPr="00DB297C" w:rsidRDefault="00FE3BE4" w:rsidP="008D4E1E">
            <w:pPr>
              <w:spacing w:before="0" w:after="0" w:line="240" w:lineRule="auto"/>
              <w:jc w:val="center"/>
              <w:rPr>
                <w:b/>
                <w:sz w:val="18"/>
                <w:szCs w:val="18"/>
              </w:rPr>
            </w:pPr>
            <w:r w:rsidRPr="00DB297C">
              <w:rPr>
                <w:b/>
                <w:sz w:val="18"/>
                <w:szCs w:val="18"/>
              </w:rPr>
              <w:t>2027</w:t>
            </w:r>
          </w:p>
        </w:tc>
        <w:tc>
          <w:tcPr>
            <w:tcW w:w="1139" w:type="dxa"/>
            <w:shd w:val="clear" w:color="auto" w:fill="D5DCE4" w:themeFill="text2" w:themeFillTint="33"/>
            <w:vAlign w:val="center"/>
            <w:hideMark/>
          </w:tcPr>
          <w:p w14:paraId="575AEF62" w14:textId="77777777" w:rsidR="00FE3BE4" w:rsidRPr="00DB297C" w:rsidRDefault="00FE3BE4" w:rsidP="008D4E1E">
            <w:pPr>
              <w:spacing w:before="0" w:after="0" w:line="240" w:lineRule="auto"/>
              <w:jc w:val="center"/>
              <w:rPr>
                <w:b/>
                <w:sz w:val="18"/>
                <w:szCs w:val="18"/>
              </w:rPr>
            </w:pPr>
            <w:r w:rsidRPr="00DB297C">
              <w:rPr>
                <w:b/>
                <w:sz w:val="18"/>
                <w:szCs w:val="18"/>
              </w:rPr>
              <w:t>2028</w:t>
            </w:r>
          </w:p>
        </w:tc>
      </w:tr>
      <w:tr w:rsidR="00FE3BE4" w:rsidRPr="00DB297C" w14:paraId="5A9B5F3E" w14:textId="77777777" w:rsidTr="00396FB2">
        <w:trPr>
          <w:trHeight w:val="339"/>
        </w:trPr>
        <w:tc>
          <w:tcPr>
            <w:tcW w:w="1490" w:type="dxa"/>
            <w:vMerge/>
            <w:shd w:val="clear" w:color="auto" w:fill="D5DCE4" w:themeFill="text2" w:themeFillTint="33"/>
            <w:hideMark/>
          </w:tcPr>
          <w:p w14:paraId="155B6092" w14:textId="77777777" w:rsidR="00FE3BE4" w:rsidRPr="000267C5" w:rsidRDefault="00FE3BE4" w:rsidP="008D4E1E">
            <w:pPr>
              <w:spacing w:before="0" w:after="0" w:line="240" w:lineRule="auto"/>
              <w:rPr>
                <w:b/>
                <w:sz w:val="18"/>
                <w:szCs w:val="18"/>
                <w:highlight w:val="yellow"/>
                <w:lang w:val="ru-RU" w:eastAsia="ru-RU"/>
              </w:rPr>
            </w:pPr>
          </w:p>
        </w:tc>
        <w:tc>
          <w:tcPr>
            <w:tcW w:w="2302" w:type="dxa"/>
            <w:vMerge/>
            <w:shd w:val="clear" w:color="auto" w:fill="D5DCE4" w:themeFill="text2" w:themeFillTint="33"/>
            <w:vAlign w:val="center"/>
            <w:hideMark/>
          </w:tcPr>
          <w:p w14:paraId="6D947051" w14:textId="77777777" w:rsidR="00FE3BE4" w:rsidRPr="000267C5" w:rsidRDefault="00FE3BE4" w:rsidP="008D4E1E">
            <w:pPr>
              <w:spacing w:before="0" w:after="0" w:line="240" w:lineRule="auto"/>
              <w:rPr>
                <w:b/>
                <w:sz w:val="18"/>
                <w:szCs w:val="18"/>
                <w:highlight w:val="yellow"/>
                <w:lang w:val="ru-RU" w:eastAsia="ru-RU"/>
              </w:rPr>
            </w:pPr>
          </w:p>
        </w:tc>
        <w:tc>
          <w:tcPr>
            <w:tcW w:w="1044" w:type="dxa"/>
            <w:shd w:val="clear" w:color="auto" w:fill="D5DCE4" w:themeFill="text2" w:themeFillTint="33"/>
            <w:hideMark/>
          </w:tcPr>
          <w:p w14:paraId="72A5C4DD" w14:textId="77777777" w:rsidR="00FE3BE4" w:rsidRPr="00DB297C" w:rsidRDefault="00FE3BE4" w:rsidP="008D4E1E">
            <w:pPr>
              <w:spacing w:before="0" w:after="0" w:line="240" w:lineRule="auto"/>
              <w:jc w:val="center"/>
              <w:rPr>
                <w:b/>
                <w:sz w:val="18"/>
                <w:szCs w:val="18"/>
              </w:rPr>
            </w:pPr>
            <w:r w:rsidRPr="00DB297C">
              <w:rPr>
                <w:b/>
                <w:sz w:val="18"/>
                <w:szCs w:val="18"/>
              </w:rPr>
              <w:t>փաստ*/կանխ.</w:t>
            </w:r>
          </w:p>
        </w:tc>
        <w:tc>
          <w:tcPr>
            <w:tcW w:w="1234" w:type="dxa"/>
            <w:shd w:val="clear" w:color="auto" w:fill="D5DCE4" w:themeFill="text2" w:themeFillTint="33"/>
            <w:hideMark/>
          </w:tcPr>
          <w:p w14:paraId="5C7E52C9" w14:textId="77777777" w:rsidR="00FE3BE4" w:rsidRPr="00DB297C" w:rsidRDefault="00FE3BE4" w:rsidP="008D4E1E">
            <w:pPr>
              <w:spacing w:before="0" w:after="0" w:line="240" w:lineRule="auto"/>
              <w:jc w:val="center"/>
              <w:rPr>
                <w:b/>
                <w:sz w:val="18"/>
                <w:szCs w:val="18"/>
              </w:rPr>
            </w:pPr>
            <w:r w:rsidRPr="00DB297C">
              <w:rPr>
                <w:b/>
                <w:sz w:val="18"/>
                <w:szCs w:val="18"/>
              </w:rPr>
              <w:t>կանխ.</w:t>
            </w:r>
          </w:p>
        </w:tc>
        <w:tc>
          <w:tcPr>
            <w:tcW w:w="1329" w:type="dxa"/>
            <w:shd w:val="clear" w:color="auto" w:fill="D5DCE4" w:themeFill="text2" w:themeFillTint="33"/>
            <w:hideMark/>
          </w:tcPr>
          <w:p w14:paraId="753AD6A3" w14:textId="77777777" w:rsidR="00FE3BE4" w:rsidRPr="00DB297C" w:rsidRDefault="00FE3BE4" w:rsidP="008D4E1E">
            <w:pPr>
              <w:spacing w:before="0" w:after="0" w:line="240" w:lineRule="auto"/>
              <w:jc w:val="center"/>
              <w:rPr>
                <w:b/>
                <w:sz w:val="18"/>
                <w:szCs w:val="18"/>
              </w:rPr>
            </w:pPr>
            <w:r w:rsidRPr="00DB297C">
              <w:rPr>
                <w:b/>
                <w:sz w:val="18"/>
                <w:szCs w:val="18"/>
              </w:rPr>
              <w:t>կանխ.</w:t>
            </w:r>
          </w:p>
        </w:tc>
        <w:tc>
          <w:tcPr>
            <w:tcW w:w="1234" w:type="dxa"/>
            <w:shd w:val="clear" w:color="auto" w:fill="D5DCE4" w:themeFill="text2" w:themeFillTint="33"/>
            <w:hideMark/>
          </w:tcPr>
          <w:p w14:paraId="6D492173" w14:textId="77777777" w:rsidR="00FE3BE4" w:rsidRPr="00DB297C" w:rsidRDefault="00FE3BE4" w:rsidP="008D4E1E">
            <w:pPr>
              <w:spacing w:before="0" w:after="0" w:line="240" w:lineRule="auto"/>
              <w:jc w:val="center"/>
              <w:rPr>
                <w:b/>
                <w:sz w:val="18"/>
                <w:szCs w:val="18"/>
              </w:rPr>
            </w:pPr>
            <w:r w:rsidRPr="00DB297C">
              <w:rPr>
                <w:b/>
                <w:sz w:val="18"/>
                <w:szCs w:val="18"/>
              </w:rPr>
              <w:t>կանխ.</w:t>
            </w:r>
          </w:p>
        </w:tc>
        <w:tc>
          <w:tcPr>
            <w:tcW w:w="1139" w:type="dxa"/>
            <w:shd w:val="clear" w:color="auto" w:fill="D5DCE4" w:themeFill="text2" w:themeFillTint="33"/>
            <w:hideMark/>
          </w:tcPr>
          <w:p w14:paraId="29952AE5" w14:textId="77777777" w:rsidR="00FE3BE4" w:rsidRPr="00DB297C" w:rsidRDefault="00FE3BE4" w:rsidP="008D4E1E">
            <w:pPr>
              <w:spacing w:before="0" w:after="0" w:line="240" w:lineRule="auto"/>
              <w:jc w:val="center"/>
              <w:rPr>
                <w:b/>
                <w:sz w:val="18"/>
                <w:szCs w:val="18"/>
              </w:rPr>
            </w:pPr>
            <w:r w:rsidRPr="00DB297C">
              <w:rPr>
                <w:b/>
                <w:sz w:val="18"/>
                <w:szCs w:val="18"/>
              </w:rPr>
              <w:t>կանխ.</w:t>
            </w:r>
          </w:p>
        </w:tc>
      </w:tr>
      <w:tr w:rsidR="00FE3BE4" w:rsidRPr="00DB297C" w14:paraId="6ACECB86" w14:textId="77777777" w:rsidTr="00396FB2">
        <w:trPr>
          <w:trHeight w:val="407"/>
        </w:trPr>
        <w:tc>
          <w:tcPr>
            <w:tcW w:w="1490" w:type="dxa"/>
            <w:vMerge w:val="restart"/>
            <w:vAlign w:val="center"/>
            <w:hideMark/>
          </w:tcPr>
          <w:p w14:paraId="15A1B561" w14:textId="77777777" w:rsidR="00FE3BE4" w:rsidRPr="00A435FB" w:rsidRDefault="00FE3BE4" w:rsidP="008D4E1E">
            <w:pPr>
              <w:spacing w:before="0" w:after="0" w:line="240" w:lineRule="auto"/>
              <w:rPr>
                <w:sz w:val="18"/>
                <w:szCs w:val="18"/>
              </w:rPr>
            </w:pPr>
            <w:r w:rsidRPr="0020002D">
              <w:rPr>
                <w:sz w:val="18"/>
                <w:szCs w:val="18"/>
              </w:rPr>
              <w:t>Ընթացիկ հաշիվ, մլն ԱՄՆ դոլար</w:t>
            </w:r>
          </w:p>
        </w:tc>
        <w:tc>
          <w:tcPr>
            <w:tcW w:w="2302" w:type="dxa"/>
            <w:vAlign w:val="center"/>
            <w:hideMark/>
          </w:tcPr>
          <w:p w14:paraId="77B7F445" w14:textId="77777777" w:rsidR="00FE3BE4" w:rsidRPr="000267C5" w:rsidRDefault="00FE3BE4" w:rsidP="008D4E1E">
            <w:pPr>
              <w:spacing w:before="0" w:after="0" w:line="240" w:lineRule="auto"/>
              <w:rPr>
                <w:sz w:val="18"/>
                <w:szCs w:val="18"/>
                <w:highlight w:val="yellow"/>
              </w:rPr>
            </w:pPr>
            <w:r w:rsidRPr="006B377E">
              <w:rPr>
                <w:sz w:val="18"/>
                <w:szCs w:val="18"/>
              </w:rPr>
              <w:t>202</w:t>
            </w:r>
            <w:r w:rsidRPr="006B377E">
              <w:rPr>
                <w:sz w:val="18"/>
                <w:szCs w:val="18"/>
                <w:lang w:val="hy-AM"/>
              </w:rPr>
              <w:t>6</w:t>
            </w:r>
            <w:r w:rsidRPr="006B377E">
              <w:rPr>
                <w:sz w:val="18"/>
                <w:szCs w:val="18"/>
              </w:rPr>
              <w:t xml:space="preserve"> Պետական բյուջե</w:t>
            </w:r>
          </w:p>
        </w:tc>
        <w:tc>
          <w:tcPr>
            <w:tcW w:w="1044" w:type="dxa"/>
            <w:vAlign w:val="center"/>
          </w:tcPr>
          <w:p w14:paraId="6722F772" w14:textId="77777777" w:rsidR="00FE3BE4" w:rsidRPr="00CF531F" w:rsidRDefault="00FE3BE4" w:rsidP="008D4E1E">
            <w:pPr>
              <w:spacing w:before="0" w:after="0" w:line="240" w:lineRule="auto"/>
              <w:jc w:val="center"/>
              <w:rPr>
                <w:sz w:val="18"/>
                <w:szCs w:val="18"/>
              </w:rPr>
            </w:pPr>
            <w:r w:rsidRPr="00CF531F">
              <w:rPr>
                <w:sz w:val="18"/>
                <w:szCs w:val="18"/>
              </w:rPr>
              <w:t>-1,195</w:t>
            </w:r>
          </w:p>
        </w:tc>
        <w:tc>
          <w:tcPr>
            <w:tcW w:w="1234" w:type="dxa"/>
            <w:noWrap/>
            <w:vAlign w:val="center"/>
          </w:tcPr>
          <w:p w14:paraId="437BBE55" w14:textId="77777777" w:rsidR="00FE3BE4" w:rsidRPr="00CF531F" w:rsidRDefault="00FE3BE4" w:rsidP="008D4E1E">
            <w:pPr>
              <w:spacing w:before="0" w:after="0" w:line="240" w:lineRule="auto"/>
              <w:jc w:val="center"/>
              <w:rPr>
                <w:sz w:val="18"/>
                <w:szCs w:val="18"/>
              </w:rPr>
            </w:pPr>
            <w:r w:rsidRPr="00CF531F">
              <w:rPr>
                <w:sz w:val="18"/>
                <w:szCs w:val="18"/>
              </w:rPr>
              <w:t>-1,512</w:t>
            </w:r>
          </w:p>
        </w:tc>
        <w:tc>
          <w:tcPr>
            <w:tcW w:w="1329" w:type="dxa"/>
            <w:vAlign w:val="center"/>
          </w:tcPr>
          <w:p w14:paraId="7D41AE9F" w14:textId="77777777" w:rsidR="00FE3BE4" w:rsidRPr="00CF531F" w:rsidRDefault="00FE3BE4" w:rsidP="008D4E1E">
            <w:pPr>
              <w:spacing w:before="0" w:after="0" w:line="240" w:lineRule="auto"/>
              <w:jc w:val="center"/>
              <w:rPr>
                <w:sz w:val="18"/>
                <w:szCs w:val="18"/>
              </w:rPr>
            </w:pPr>
            <w:r w:rsidRPr="00CF531F">
              <w:rPr>
                <w:sz w:val="18"/>
                <w:szCs w:val="18"/>
              </w:rPr>
              <w:t>-1,345</w:t>
            </w:r>
          </w:p>
        </w:tc>
        <w:tc>
          <w:tcPr>
            <w:tcW w:w="1234" w:type="dxa"/>
            <w:noWrap/>
            <w:vAlign w:val="center"/>
          </w:tcPr>
          <w:p w14:paraId="5BD5119B" w14:textId="77777777" w:rsidR="00FE3BE4" w:rsidRPr="00CF531F" w:rsidRDefault="00FE3BE4" w:rsidP="008D4E1E">
            <w:pPr>
              <w:spacing w:before="0" w:after="0" w:line="240" w:lineRule="auto"/>
              <w:jc w:val="center"/>
              <w:rPr>
                <w:sz w:val="18"/>
                <w:szCs w:val="18"/>
              </w:rPr>
            </w:pPr>
            <w:r w:rsidRPr="00CF531F">
              <w:rPr>
                <w:sz w:val="18"/>
                <w:szCs w:val="18"/>
              </w:rPr>
              <w:t>-1,352</w:t>
            </w:r>
          </w:p>
        </w:tc>
        <w:tc>
          <w:tcPr>
            <w:tcW w:w="1139" w:type="dxa"/>
            <w:noWrap/>
            <w:vAlign w:val="center"/>
          </w:tcPr>
          <w:p w14:paraId="18114D4A" w14:textId="77777777" w:rsidR="00FE3BE4" w:rsidRPr="00CF531F" w:rsidRDefault="00FE3BE4" w:rsidP="008D4E1E">
            <w:pPr>
              <w:spacing w:before="0" w:after="0" w:line="240" w:lineRule="auto"/>
              <w:jc w:val="center"/>
              <w:rPr>
                <w:sz w:val="18"/>
                <w:szCs w:val="18"/>
              </w:rPr>
            </w:pPr>
            <w:r w:rsidRPr="00CF531F">
              <w:rPr>
                <w:sz w:val="18"/>
                <w:szCs w:val="18"/>
              </w:rPr>
              <w:t>-1,357</w:t>
            </w:r>
          </w:p>
        </w:tc>
      </w:tr>
      <w:tr w:rsidR="00FE3BE4" w:rsidRPr="00E044BA" w14:paraId="7887D966" w14:textId="77777777" w:rsidTr="00396FB2">
        <w:trPr>
          <w:trHeight w:val="407"/>
        </w:trPr>
        <w:tc>
          <w:tcPr>
            <w:tcW w:w="1490" w:type="dxa"/>
            <w:vMerge/>
            <w:vAlign w:val="center"/>
            <w:hideMark/>
          </w:tcPr>
          <w:p w14:paraId="1A62C400" w14:textId="77777777" w:rsidR="00FE3BE4" w:rsidRPr="000267C5" w:rsidRDefault="00FE3BE4" w:rsidP="008D4E1E">
            <w:pPr>
              <w:spacing w:before="0" w:after="0" w:line="240" w:lineRule="auto"/>
              <w:rPr>
                <w:sz w:val="18"/>
                <w:szCs w:val="18"/>
                <w:highlight w:val="yellow"/>
                <w:lang w:val="ru-RU" w:eastAsia="ru-RU"/>
              </w:rPr>
            </w:pPr>
          </w:p>
        </w:tc>
        <w:tc>
          <w:tcPr>
            <w:tcW w:w="2302" w:type="dxa"/>
            <w:vAlign w:val="center"/>
            <w:hideMark/>
          </w:tcPr>
          <w:p w14:paraId="5A05F244" w14:textId="77777777" w:rsidR="00FE3BE4" w:rsidRPr="000267C5" w:rsidRDefault="00FE3BE4" w:rsidP="008D4E1E">
            <w:pPr>
              <w:spacing w:before="0" w:after="0" w:line="240" w:lineRule="auto"/>
              <w:rPr>
                <w:sz w:val="18"/>
                <w:szCs w:val="18"/>
                <w:highlight w:val="yellow"/>
              </w:rPr>
            </w:pPr>
            <w:r w:rsidRPr="00C963CE">
              <w:rPr>
                <w:sz w:val="18"/>
                <w:szCs w:val="18"/>
              </w:rPr>
              <w:t>202</w:t>
            </w:r>
            <w:r w:rsidRPr="00C963CE">
              <w:rPr>
                <w:sz w:val="18"/>
                <w:szCs w:val="18"/>
                <w:lang w:val="hy-AM"/>
              </w:rPr>
              <w:t>6</w:t>
            </w:r>
            <w:r w:rsidRPr="00C963CE">
              <w:rPr>
                <w:sz w:val="18"/>
                <w:szCs w:val="18"/>
              </w:rPr>
              <w:t>-202</w:t>
            </w:r>
            <w:r w:rsidRPr="00C963CE">
              <w:rPr>
                <w:sz w:val="18"/>
                <w:szCs w:val="18"/>
                <w:lang w:val="hy-AM"/>
              </w:rPr>
              <w:t>8</w:t>
            </w:r>
            <w:r w:rsidRPr="00C963CE">
              <w:rPr>
                <w:sz w:val="18"/>
                <w:szCs w:val="18"/>
              </w:rPr>
              <w:t xml:space="preserve"> ՄԺԾԾ</w:t>
            </w:r>
          </w:p>
        </w:tc>
        <w:tc>
          <w:tcPr>
            <w:tcW w:w="1044" w:type="dxa"/>
          </w:tcPr>
          <w:p w14:paraId="312BF25F" w14:textId="77777777" w:rsidR="00FE3BE4" w:rsidRPr="00E044BA" w:rsidRDefault="00FE3BE4" w:rsidP="008D4E1E">
            <w:pPr>
              <w:spacing w:before="0" w:after="0" w:line="240" w:lineRule="auto"/>
              <w:jc w:val="center"/>
              <w:rPr>
                <w:sz w:val="18"/>
                <w:szCs w:val="18"/>
              </w:rPr>
            </w:pPr>
            <w:r w:rsidRPr="00CF531F">
              <w:rPr>
                <w:sz w:val="18"/>
                <w:szCs w:val="18"/>
              </w:rPr>
              <w:t>-1,195</w:t>
            </w:r>
          </w:p>
        </w:tc>
        <w:tc>
          <w:tcPr>
            <w:tcW w:w="1234" w:type="dxa"/>
            <w:noWrap/>
          </w:tcPr>
          <w:p w14:paraId="7DFDEDEA" w14:textId="77777777" w:rsidR="00FE3BE4" w:rsidRPr="00E044BA" w:rsidRDefault="00FE3BE4" w:rsidP="008D4E1E">
            <w:pPr>
              <w:spacing w:before="0" w:after="0" w:line="240" w:lineRule="auto"/>
              <w:jc w:val="center"/>
              <w:rPr>
                <w:sz w:val="18"/>
                <w:szCs w:val="18"/>
              </w:rPr>
            </w:pPr>
            <w:r w:rsidRPr="00CF531F">
              <w:rPr>
                <w:sz w:val="18"/>
                <w:szCs w:val="18"/>
              </w:rPr>
              <w:t>-1,350</w:t>
            </w:r>
          </w:p>
        </w:tc>
        <w:tc>
          <w:tcPr>
            <w:tcW w:w="1329" w:type="dxa"/>
          </w:tcPr>
          <w:p w14:paraId="119D2E2F" w14:textId="77777777" w:rsidR="00FE3BE4" w:rsidRPr="00E044BA" w:rsidRDefault="00FE3BE4" w:rsidP="008D4E1E">
            <w:pPr>
              <w:spacing w:before="0" w:after="0" w:line="240" w:lineRule="auto"/>
              <w:jc w:val="center"/>
              <w:rPr>
                <w:sz w:val="18"/>
                <w:szCs w:val="18"/>
              </w:rPr>
            </w:pPr>
            <w:r w:rsidRPr="00CF531F">
              <w:rPr>
                <w:sz w:val="18"/>
                <w:szCs w:val="18"/>
              </w:rPr>
              <w:t>-1,332</w:t>
            </w:r>
          </w:p>
        </w:tc>
        <w:tc>
          <w:tcPr>
            <w:tcW w:w="1234" w:type="dxa"/>
            <w:noWrap/>
          </w:tcPr>
          <w:p w14:paraId="5601846F" w14:textId="77777777" w:rsidR="00FE3BE4" w:rsidRPr="00E044BA" w:rsidRDefault="00FE3BE4" w:rsidP="008D4E1E">
            <w:pPr>
              <w:spacing w:before="0" w:after="0" w:line="240" w:lineRule="auto"/>
              <w:jc w:val="center"/>
              <w:rPr>
                <w:sz w:val="18"/>
                <w:szCs w:val="18"/>
              </w:rPr>
            </w:pPr>
            <w:r w:rsidRPr="00CF531F">
              <w:rPr>
                <w:sz w:val="18"/>
                <w:szCs w:val="18"/>
              </w:rPr>
              <w:t>-1,427</w:t>
            </w:r>
          </w:p>
        </w:tc>
        <w:tc>
          <w:tcPr>
            <w:tcW w:w="1139" w:type="dxa"/>
            <w:noWrap/>
          </w:tcPr>
          <w:p w14:paraId="13427B7B" w14:textId="77777777" w:rsidR="00FE3BE4" w:rsidRPr="00E044BA" w:rsidRDefault="00FE3BE4" w:rsidP="008D4E1E">
            <w:pPr>
              <w:spacing w:before="0" w:after="0" w:line="240" w:lineRule="auto"/>
              <w:jc w:val="center"/>
              <w:rPr>
                <w:sz w:val="18"/>
                <w:szCs w:val="18"/>
              </w:rPr>
            </w:pPr>
            <w:r w:rsidRPr="00CF531F">
              <w:rPr>
                <w:sz w:val="18"/>
                <w:szCs w:val="18"/>
              </w:rPr>
              <w:t>-1,479</w:t>
            </w:r>
          </w:p>
        </w:tc>
      </w:tr>
      <w:tr w:rsidR="00FE3BE4" w:rsidRPr="00CD73AE" w14:paraId="075D53B6" w14:textId="77777777" w:rsidTr="00396FB2">
        <w:trPr>
          <w:trHeight w:val="407"/>
        </w:trPr>
        <w:tc>
          <w:tcPr>
            <w:tcW w:w="1490" w:type="dxa"/>
            <w:vMerge/>
            <w:vAlign w:val="center"/>
            <w:hideMark/>
          </w:tcPr>
          <w:p w14:paraId="0EAC1558" w14:textId="77777777" w:rsidR="00FE3BE4" w:rsidRPr="000267C5" w:rsidRDefault="00FE3BE4" w:rsidP="008D4E1E">
            <w:pPr>
              <w:spacing w:before="0" w:after="0" w:line="240" w:lineRule="auto"/>
              <w:rPr>
                <w:sz w:val="18"/>
                <w:szCs w:val="18"/>
                <w:highlight w:val="yellow"/>
                <w:lang w:val="ru-RU" w:eastAsia="ru-RU"/>
              </w:rPr>
            </w:pPr>
          </w:p>
        </w:tc>
        <w:tc>
          <w:tcPr>
            <w:tcW w:w="2302" w:type="dxa"/>
            <w:vAlign w:val="center"/>
            <w:hideMark/>
          </w:tcPr>
          <w:p w14:paraId="7ABB8B09" w14:textId="77777777" w:rsidR="00FE3BE4" w:rsidRPr="00EA27C7" w:rsidRDefault="00FE3BE4" w:rsidP="008D4E1E">
            <w:pPr>
              <w:spacing w:before="0" w:after="0" w:line="240" w:lineRule="auto"/>
              <w:rPr>
                <w:sz w:val="18"/>
                <w:szCs w:val="18"/>
              </w:rPr>
            </w:pPr>
            <w:r w:rsidRPr="00EA27C7">
              <w:rPr>
                <w:sz w:val="18"/>
                <w:szCs w:val="18"/>
              </w:rPr>
              <w:t>2025 Պետական բյուջե</w:t>
            </w:r>
          </w:p>
        </w:tc>
        <w:tc>
          <w:tcPr>
            <w:tcW w:w="1044" w:type="dxa"/>
          </w:tcPr>
          <w:p w14:paraId="07D1CFB6" w14:textId="77777777" w:rsidR="00FE3BE4" w:rsidRPr="00CD73AE" w:rsidRDefault="00FE3BE4" w:rsidP="008D4E1E">
            <w:pPr>
              <w:spacing w:before="0" w:after="0" w:line="240" w:lineRule="auto"/>
              <w:jc w:val="center"/>
              <w:rPr>
                <w:sz w:val="18"/>
                <w:szCs w:val="18"/>
              </w:rPr>
            </w:pPr>
            <w:r>
              <w:rPr>
                <w:sz w:val="18"/>
                <w:szCs w:val="18"/>
              </w:rPr>
              <w:t>-1,275</w:t>
            </w:r>
          </w:p>
        </w:tc>
        <w:tc>
          <w:tcPr>
            <w:tcW w:w="1234" w:type="dxa"/>
            <w:noWrap/>
          </w:tcPr>
          <w:p w14:paraId="171A1AEA" w14:textId="77777777" w:rsidR="00FE3BE4" w:rsidRPr="00CF531F" w:rsidRDefault="00FE3BE4" w:rsidP="008D4E1E">
            <w:pPr>
              <w:spacing w:before="0" w:after="0" w:line="240" w:lineRule="auto"/>
              <w:jc w:val="center"/>
              <w:rPr>
                <w:sz w:val="18"/>
                <w:szCs w:val="18"/>
              </w:rPr>
            </w:pPr>
            <w:r>
              <w:rPr>
                <w:sz w:val="18"/>
                <w:szCs w:val="18"/>
              </w:rPr>
              <w:t>-1,406</w:t>
            </w:r>
          </w:p>
        </w:tc>
        <w:tc>
          <w:tcPr>
            <w:tcW w:w="1329" w:type="dxa"/>
          </w:tcPr>
          <w:p w14:paraId="5F873369" w14:textId="77777777" w:rsidR="00FE3BE4" w:rsidRPr="00CD73AE" w:rsidRDefault="00FE3BE4" w:rsidP="008D4E1E">
            <w:pPr>
              <w:spacing w:before="0" w:after="0" w:line="240" w:lineRule="auto"/>
              <w:jc w:val="center"/>
              <w:rPr>
                <w:sz w:val="18"/>
                <w:szCs w:val="18"/>
              </w:rPr>
            </w:pPr>
            <w:r>
              <w:rPr>
                <w:sz w:val="18"/>
                <w:szCs w:val="18"/>
              </w:rPr>
              <w:t>-1,403</w:t>
            </w:r>
          </w:p>
        </w:tc>
        <w:tc>
          <w:tcPr>
            <w:tcW w:w="1234" w:type="dxa"/>
            <w:noWrap/>
          </w:tcPr>
          <w:p w14:paraId="60CC2A05" w14:textId="77777777" w:rsidR="00FE3BE4" w:rsidRPr="00CD73AE" w:rsidRDefault="00FE3BE4" w:rsidP="008D4E1E">
            <w:pPr>
              <w:spacing w:before="0" w:after="0" w:line="240" w:lineRule="auto"/>
              <w:jc w:val="center"/>
              <w:rPr>
                <w:sz w:val="18"/>
                <w:szCs w:val="18"/>
              </w:rPr>
            </w:pPr>
            <w:r>
              <w:rPr>
                <w:sz w:val="18"/>
                <w:szCs w:val="18"/>
              </w:rPr>
              <w:t>-1,448</w:t>
            </w:r>
          </w:p>
        </w:tc>
        <w:tc>
          <w:tcPr>
            <w:tcW w:w="1139" w:type="dxa"/>
            <w:noWrap/>
            <w:vAlign w:val="center"/>
          </w:tcPr>
          <w:p w14:paraId="1374EAB8" w14:textId="77777777" w:rsidR="00FE3BE4" w:rsidRPr="00CD73AE" w:rsidRDefault="00FE3BE4" w:rsidP="008D4E1E">
            <w:pPr>
              <w:spacing w:before="0" w:after="0" w:line="240" w:lineRule="auto"/>
              <w:jc w:val="center"/>
              <w:rPr>
                <w:sz w:val="18"/>
                <w:szCs w:val="18"/>
              </w:rPr>
            </w:pPr>
          </w:p>
        </w:tc>
      </w:tr>
      <w:tr w:rsidR="00FE3BE4" w:rsidRPr="00F95C3E" w14:paraId="2AF1B50C" w14:textId="77777777" w:rsidTr="00396FB2">
        <w:trPr>
          <w:trHeight w:val="407"/>
        </w:trPr>
        <w:tc>
          <w:tcPr>
            <w:tcW w:w="1490" w:type="dxa"/>
            <w:vMerge/>
            <w:vAlign w:val="center"/>
            <w:hideMark/>
          </w:tcPr>
          <w:p w14:paraId="22612FCE" w14:textId="77777777" w:rsidR="00FE3BE4" w:rsidRPr="000267C5" w:rsidRDefault="00FE3BE4" w:rsidP="008D4E1E">
            <w:pPr>
              <w:spacing w:before="0" w:after="0" w:line="240" w:lineRule="auto"/>
              <w:rPr>
                <w:sz w:val="18"/>
                <w:szCs w:val="18"/>
                <w:highlight w:val="yellow"/>
                <w:lang w:val="ru-RU" w:eastAsia="ru-RU"/>
              </w:rPr>
            </w:pPr>
          </w:p>
        </w:tc>
        <w:tc>
          <w:tcPr>
            <w:tcW w:w="2302" w:type="dxa"/>
            <w:vAlign w:val="center"/>
            <w:hideMark/>
          </w:tcPr>
          <w:p w14:paraId="0573BEA4" w14:textId="77777777" w:rsidR="00FE3BE4" w:rsidRPr="00EA27C7" w:rsidRDefault="00FE3BE4" w:rsidP="008D4E1E">
            <w:pPr>
              <w:spacing w:before="0" w:after="0" w:line="240" w:lineRule="auto"/>
              <w:rPr>
                <w:sz w:val="18"/>
                <w:szCs w:val="18"/>
              </w:rPr>
            </w:pPr>
            <w:r w:rsidRPr="00EA27C7">
              <w:rPr>
                <w:sz w:val="18"/>
                <w:szCs w:val="18"/>
              </w:rPr>
              <w:t>202</w:t>
            </w:r>
            <w:r w:rsidRPr="00EA27C7">
              <w:rPr>
                <w:sz w:val="18"/>
                <w:szCs w:val="18"/>
                <w:lang w:val="hy-AM"/>
              </w:rPr>
              <w:t>5</w:t>
            </w:r>
            <w:r w:rsidRPr="00EA27C7">
              <w:rPr>
                <w:sz w:val="18"/>
                <w:szCs w:val="18"/>
              </w:rPr>
              <w:t>-202</w:t>
            </w:r>
            <w:r w:rsidRPr="00EA27C7">
              <w:rPr>
                <w:sz w:val="18"/>
                <w:szCs w:val="18"/>
                <w:lang w:val="hy-AM"/>
              </w:rPr>
              <w:t>7</w:t>
            </w:r>
            <w:r w:rsidRPr="00EA27C7">
              <w:rPr>
                <w:sz w:val="18"/>
                <w:szCs w:val="18"/>
              </w:rPr>
              <w:t xml:space="preserve"> ՄԺԾԾ</w:t>
            </w:r>
          </w:p>
        </w:tc>
        <w:tc>
          <w:tcPr>
            <w:tcW w:w="1044" w:type="dxa"/>
          </w:tcPr>
          <w:p w14:paraId="44655406" w14:textId="77777777" w:rsidR="00FE3BE4" w:rsidRPr="00F95C3E" w:rsidRDefault="00FE3BE4" w:rsidP="008D4E1E">
            <w:pPr>
              <w:spacing w:before="0" w:after="0" w:line="240" w:lineRule="auto"/>
              <w:jc w:val="center"/>
              <w:rPr>
                <w:sz w:val="18"/>
                <w:szCs w:val="18"/>
              </w:rPr>
            </w:pPr>
            <w:r>
              <w:rPr>
                <w:rFonts w:eastAsia="Times New Roman" w:cs="Times New Roman"/>
                <w:color w:val="000000"/>
                <w:sz w:val="18"/>
                <w:szCs w:val="24"/>
              </w:rPr>
              <w:t>-778</w:t>
            </w:r>
          </w:p>
        </w:tc>
        <w:tc>
          <w:tcPr>
            <w:tcW w:w="1234" w:type="dxa"/>
            <w:noWrap/>
          </w:tcPr>
          <w:p w14:paraId="7E5537BA" w14:textId="77777777" w:rsidR="00FE3BE4" w:rsidRPr="00CF531F" w:rsidRDefault="00FE3BE4" w:rsidP="008D4E1E">
            <w:pPr>
              <w:spacing w:before="0" w:after="0" w:line="240" w:lineRule="auto"/>
              <w:jc w:val="center"/>
              <w:rPr>
                <w:sz w:val="18"/>
                <w:szCs w:val="18"/>
              </w:rPr>
            </w:pPr>
            <w:r>
              <w:rPr>
                <w:rFonts w:eastAsia="Times New Roman" w:cs="Times New Roman"/>
                <w:color w:val="000000"/>
                <w:sz w:val="18"/>
                <w:szCs w:val="24"/>
              </w:rPr>
              <w:t>-901</w:t>
            </w:r>
          </w:p>
        </w:tc>
        <w:tc>
          <w:tcPr>
            <w:tcW w:w="1329" w:type="dxa"/>
          </w:tcPr>
          <w:p w14:paraId="2647DAB3" w14:textId="77777777" w:rsidR="00FE3BE4" w:rsidRPr="00CF531F" w:rsidRDefault="00FE3BE4" w:rsidP="008D4E1E">
            <w:pPr>
              <w:spacing w:before="0" w:after="0" w:line="240" w:lineRule="auto"/>
              <w:jc w:val="center"/>
              <w:rPr>
                <w:sz w:val="18"/>
                <w:szCs w:val="18"/>
              </w:rPr>
            </w:pPr>
            <w:r>
              <w:rPr>
                <w:rFonts w:eastAsia="Times New Roman" w:cs="Times New Roman"/>
                <w:color w:val="000000"/>
                <w:sz w:val="18"/>
                <w:szCs w:val="24"/>
              </w:rPr>
              <w:t>-1,241</w:t>
            </w:r>
          </w:p>
        </w:tc>
        <w:tc>
          <w:tcPr>
            <w:tcW w:w="1234" w:type="dxa"/>
            <w:noWrap/>
          </w:tcPr>
          <w:p w14:paraId="2D9DCFE2" w14:textId="77777777" w:rsidR="00FE3BE4" w:rsidRPr="00CF531F" w:rsidRDefault="00FE3BE4" w:rsidP="008D4E1E">
            <w:pPr>
              <w:spacing w:before="0" w:after="0" w:line="240" w:lineRule="auto"/>
              <w:jc w:val="center"/>
              <w:rPr>
                <w:sz w:val="18"/>
                <w:szCs w:val="18"/>
              </w:rPr>
            </w:pPr>
            <w:r>
              <w:rPr>
                <w:rFonts w:eastAsia="Times New Roman" w:cs="Times New Roman"/>
                <w:color w:val="000000"/>
                <w:sz w:val="18"/>
                <w:szCs w:val="24"/>
              </w:rPr>
              <w:t>-1,463</w:t>
            </w:r>
          </w:p>
        </w:tc>
        <w:tc>
          <w:tcPr>
            <w:tcW w:w="1139" w:type="dxa"/>
            <w:noWrap/>
            <w:vAlign w:val="center"/>
          </w:tcPr>
          <w:p w14:paraId="1A3CD630" w14:textId="77777777" w:rsidR="00FE3BE4" w:rsidRPr="00CF531F" w:rsidRDefault="00FE3BE4" w:rsidP="008D4E1E">
            <w:pPr>
              <w:spacing w:before="0" w:after="0" w:line="240" w:lineRule="auto"/>
              <w:jc w:val="center"/>
              <w:rPr>
                <w:sz w:val="18"/>
                <w:szCs w:val="18"/>
              </w:rPr>
            </w:pPr>
          </w:p>
        </w:tc>
      </w:tr>
      <w:tr w:rsidR="00FE3BE4" w:rsidRPr="000B7964" w14:paraId="52A2E4A9" w14:textId="77777777" w:rsidTr="00396FB2">
        <w:trPr>
          <w:trHeight w:val="407"/>
        </w:trPr>
        <w:tc>
          <w:tcPr>
            <w:tcW w:w="1490" w:type="dxa"/>
            <w:vMerge w:val="restart"/>
            <w:vAlign w:val="center"/>
            <w:hideMark/>
          </w:tcPr>
          <w:p w14:paraId="15BB5D63" w14:textId="77777777" w:rsidR="00FE3BE4" w:rsidRPr="000267C5" w:rsidRDefault="00FE3BE4" w:rsidP="008D4E1E">
            <w:pPr>
              <w:spacing w:before="0" w:after="0" w:line="240" w:lineRule="auto"/>
              <w:rPr>
                <w:sz w:val="18"/>
                <w:szCs w:val="18"/>
                <w:highlight w:val="yellow"/>
              </w:rPr>
            </w:pPr>
            <w:r w:rsidRPr="0020002D">
              <w:rPr>
                <w:sz w:val="18"/>
                <w:szCs w:val="18"/>
              </w:rPr>
              <w:t>Ընթացիկ հաշիվ, %-ով՝ ՀՆԱ-ի նկատմամբ</w:t>
            </w:r>
          </w:p>
        </w:tc>
        <w:tc>
          <w:tcPr>
            <w:tcW w:w="2302" w:type="dxa"/>
            <w:vAlign w:val="center"/>
            <w:hideMark/>
          </w:tcPr>
          <w:p w14:paraId="4FFA5224" w14:textId="77777777" w:rsidR="00FE3BE4" w:rsidRPr="000267C5" w:rsidRDefault="00FE3BE4" w:rsidP="008D4E1E">
            <w:pPr>
              <w:spacing w:before="0" w:after="0" w:line="240" w:lineRule="auto"/>
              <w:rPr>
                <w:sz w:val="18"/>
                <w:szCs w:val="18"/>
                <w:highlight w:val="yellow"/>
              </w:rPr>
            </w:pPr>
            <w:r w:rsidRPr="006B377E">
              <w:rPr>
                <w:sz w:val="18"/>
                <w:szCs w:val="18"/>
              </w:rPr>
              <w:t>202</w:t>
            </w:r>
            <w:r w:rsidRPr="006B377E">
              <w:rPr>
                <w:sz w:val="18"/>
                <w:szCs w:val="18"/>
                <w:lang w:val="hy-AM"/>
              </w:rPr>
              <w:t>6</w:t>
            </w:r>
            <w:r w:rsidRPr="006B377E">
              <w:rPr>
                <w:sz w:val="18"/>
                <w:szCs w:val="18"/>
              </w:rPr>
              <w:t xml:space="preserve"> Պետական բյուջե</w:t>
            </w:r>
          </w:p>
        </w:tc>
        <w:tc>
          <w:tcPr>
            <w:tcW w:w="1044" w:type="dxa"/>
            <w:vAlign w:val="center"/>
          </w:tcPr>
          <w:p w14:paraId="512E0B3D" w14:textId="77777777" w:rsidR="00FE3BE4" w:rsidRPr="00CF531F" w:rsidRDefault="00FE3BE4" w:rsidP="008D4E1E">
            <w:pPr>
              <w:spacing w:before="0" w:after="0" w:line="240" w:lineRule="auto"/>
              <w:jc w:val="center"/>
              <w:rPr>
                <w:sz w:val="18"/>
                <w:szCs w:val="18"/>
              </w:rPr>
            </w:pPr>
            <w:r w:rsidRPr="00CF531F">
              <w:rPr>
                <w:sz w:val="18"/>
                <w:szCs w:val="18"/>
              </w:rPr>
              <w:t>-4.6</w:t>
            </w:r>
          </w:p>
        </w:tc>
        <w:tc>
          <w:tcPr>
            <w:tcW w:w="1234" w:type="dxa"/>
            <w:noWrap/>
            <w:vAlign w:val="center"/>
          </w:tcPr>
          <w:p w14:paraId="6E720D08" w14:textId="77777777" w:rsidR="00FE3BE4" w:rsidRPr="00CF531F" w:rsidRDefault="00FE3BE4" w:rsidP="008D4E1E">
            <w:pPr>
              <w:spacing w:before="0" w:after="0" w:line="240" w:lineRule="auto"/>
              <w:jc w:val="center"/>
              <w:rPr>
                <w:sz w:val="18"/>
                <w:szCs w:val="18"/>
              </w:rPr>
            </w:pPr>
            <w:r w:rsidRPr="00CF531F">
              <w:rPr>
                <w:sz w:val="18"/>
                <w:szCs w:val="18"/>
              </w:rPr>
              <w:t>-5.4</w:t>
            </w:r>
          </w:p>
        </w:tc>
        <w:tc>
          <w:tcPr>
            <w:tcW w:w="1329" w:type="dxa"/>
            <w:vAlign w:val="center"/>
          </w:tcPr>
          <w:p w14:paraId="286ADEFF" w14:textId="77777777" w:rsidR="00FE3BE4" w:rsidRPr="00CF531F" w:rsidRDefault="00FE3BE4" w:rsidP="008D4E1E">
            <w:pPr>
              <w:spacing w:before="0" w:after="0" w:line="240" w:lineRule="auto"/>
              <w:jc w:val="center"/>
              <w:rPr>
                <w:sz w:val="18"/>
                <w:szCs w:val="18"/>
              </w:rPr>
            </w:pPr>
            <w:r w:rsidRPr="00CF531F">
              <w:rPr>
                <w:sz w:val="18"/>
                <w:szCs w:val="18"/>
              </w:rPr>
              <w:t>-4.6</w:t>
            </w:r>
          </w:p>
        </w:tc>
        <w:tc>
          <w:tcPr>
            <w:tcW w:w="1234" w:type="dxa"/>
            <w:noWrap/>
            <w:vAlign w:val="center"/>
          </w:tcPr>
          <w:p w14:paraId="26F9B67A" w14:textId="77777777" w:rsidR="00FE3BE4" w:rsidRPr="00CF531F" w:rsidRDefault="00FE3BE4" w:rsidP="008D4E1E">
            <w:pPr>
              <w:spacing w:before="0" w:after="0" w:line="240" w:lineRule="auto"/>
              <w:jc w:val="center"/>
              <w:rPr>
                <w:sz w:val="18"/>
                <w:szCs w:val="18"/>
              </w:rPr>
            </w:pPr>
            <w:r w:rsidRPr="00CF531F">
              <w:rPr>
                <w:sz w:val="18"/>
                <w:szCs w:val="18"/>
              </w:rPr>
              <w:t>-4.4</w:t>
            </w:r>
          </w:p>
        </w:tc>
        <w:tc>
          <w:tcPr>
            <w:tcW w:w="1139" w:type="dxa"/>
            <w:noWrap/>
            <w:vAlign w:val="center"/>
          </w:tcPr>
          <w:p w14:paraId="54DA37FE" w14:textId="77777777" w:rsidR="00FE3BE4" w:rsidRPr="00CF531F" w:rsidRDefault="00FE3BE4" w:rsidP="008D4E1E">
            <w:pPr>
              <w:spacing w:before="0" w:after="0" w:line="240" w:lineRule="auto"/>
              <w:jc w:val="center"/>
              <w:rPr>
                <w:sz w:val="18"/>
                <w:szCs w:val="18"/>
              </w:rPr>
            </w:pPr>
            <w:r w:rsidRPr="00CF531F">
              <w:rPr>
                <w:sz w:val="18"/>
                <w:szCs w:val="18"/>
              </w:rPr>
              <w:t>-4.2</w:t>
            </w:r>
          </w:p>
        </w:tc>
      </w:tr>
      <w:tr w:rsidR="00FE3BE4" w:rsidRPr="00B67AFE" w14:paraId="6FB4F0DF" w14:textId="77777777" w:rsidTr="00396FB2">
        <w:trPr>
          <w:trHeight w:val="407"/>
        </w:trPr>
        <w:tc>
          <w:tcPr>
            <w:tcW w:w="1490" w:type="dxa"/>
            <w:vMerge/>
            <w:vAlign w:val="center"/>
            <w:hideMark/>
          </w:tcPr>
          <w:p w14:paraId="4E2B1BFB" w14:textId="77777777" w:rsidR="00FE3BE4" w:rsidRPr="000267C5" w:rsidRDefault="00FE3BE4" w:rsidP="008D4E1E">
            <w:pPr>
              <w:spacing w:before="0" w:after="0" w:line="240" w:lineRule="auto"/>
              <w:rPr>
                <w:sz w:val="18"/>
                <w:szCs w:val="18"/>
                <w:highlight w:val="yellow"/>
                <w:lang w:val="ru-RU" w:eastAsia="ru-RU"/>
              </w:rPr>
            </w:pPr>
          </w:p>
        </w:tc>
        <w:tc>
          <w:tcPr>
            <w:tcW w:w="2302" w:type="dxa"/>
            <w:vAlign w:val="center"/>
            <w:hideMark/>
          </w:tcPr>
          <w:p w14:paraId="66DD5E4C" w14:textId="77777777" w:rsidR="00FE3BE4" w:rsidRPr="000267C5" w:rsidRDefault="00FE3BE4" w:rsidP="008D4E1E">
            <w:pPr>
              <w:spacing w:before="0" w:after="0" w:line="240" w:lineRule="auto"/>
              <w:rPr>
                <w:sz w:val="18"/>
                <w:szCs w:val="18"/>
                <w:highlight w:val="yellow"/>
              </w:rPr>
            </w:pPr>
            <w:r w:rsidRPr="00C963CE">
              <w:rPr>
                <w:sz w:val="18"/>
                <w:szCs w:val="18"/>
              </w:rPr>
              <w:t>202</w:t>
            </w:r>
            <w:r w:rsidRPr="00C963CE">
              <w:rPr>
                <w:sz w:val="18"/>
                <w:szCs w:val="18"/>
                <w:lang w:val="hy-AM"/>
              </w:rPr>
              <w:t>6</w:t>
            </w:r>
            <w:r w:rsidRPr="00C963CE">
              <w:rPr>
                <w:sz w:val="18"/>
                <w:szCs w:val="18"/>
              </w:rPr>
              <w:t>-202</w:t>
            </w:r>
            <w:r w:rsidRPr="00C963CE">
              <w:rPr>
                <w:sz w:val="18"/>
                <w:szCs w:val="18"/>
                <w:lang w:val="hy-AM"/>
              </w:rPr>
              <w:t>8</w:t>
            </w:r>
            <w:r w:rsidRPr="00C963CE">
              <w:rPr>
                <w:sz w:val="18"/>
                <w:szCs w:val="18"/>
              </w:rPr>
              <w:t xml:space="preserve"> ՄԺԾԾ</w:t>
            </w:r>
          </w:p>
        </w:tc>
        <w:tc>
          <w:tcPr>
            <w:tcW w:w="1044" w:type="dxa"/>
            <w:vAlign w:val="center"/>
          </w:tcPr>
          <w:p w14:paraId="55777BF3" w14:textId="77777777" w:rsidR="00FE3BE4" w:rsidRPr="00B67AFE" w:rsidRDefault="00FE3BE4" w:rsidP="008D4E1E">
            <w:pPr>
              <w:spacing w:before="0" w:after="0" w:line="240" w:lineRule="auto"/>
              <w:jc w:val="center"/>
              <w:rPr>
                <w:sz w:val="18"/>
                <w:szCs w:val="18"/>
              </w:rPr>
            </w:pPr>
            <w:r w:rsidRPr="00CF531F">
              <w:rPr>
                <w:sz w:val="18"/>
                <w:szCs w:val="18"/>
              </w:rPr>
              <w:t>-4.6</w:t>
            </w:r>
          </w:p>
        </w:tc>
        <w:tc>
          <w:tcPr>
            <w:tcW w:w="1234" w:type="dxa"/>
            <w:noWrap/>
            <w:vAlign w:val="center"/>
          </w:tcPr>
          <w:p w14:paraId="63DAFA28" w14:textId="77777777" w:rsidR="00FE3BE4" w:rsidRPr="00B67AFE" w:rsidRDefault="00FE3BE4" w:rsidP="008D4E1E">
            <w:pPr>
              <w:spacing w:before="0" w:after="0" w:line="240" w:lineRule="auto"/>
              <w:jc w:val="center"/>
              <w:rPr>
                <w:sz w:val="18"/>
                <w:szCs w:val="18"/>
              </w:rPr>
            </w:pPr>
            <w:r w:rsidRPr="00CF531F">
              <w:rPr>
                <w:sz w:val="18"/>
                <w:szCs w:val="18"/>
              </w:rPr>
              <w:t>-5.0</w:t>
            </w:r>
          </w:p>
        </w:tc>
        <w:tc>
          <w:tcPr>
            <w:tcW w:w="1329" w:type="dxa"/>
            <w:vAlign w:val="center"/>
          </w:tcPr>
          <w:p w14:paraId="62BBCB69" w14:textId="77777777" w:rsidR="00FE3BE4" w:rsidRPr="00B67AFE" w:rsidRDefault="00FE3BE4" w:rsidP="008D4E1E">
            <w:pPr>
              <w:spacing w:before="0" w:after="0" w:line="240" w:lineRule="auto"/>
              <w:jc w:val="center"/>
              <w:rPr>
                <w:sz w:val="18"/>
                <w:szCs w:val="18"/>
              </w:rPr>
            </w:pPr>
            <w:r w:rsidRPr="00CF531F">
              <w:rPr>
                <w:sz w:val="18"/>
                <w:szCs w:val="18"/>
              </w:rPr>
              <w:t>-4.7</w:t>
            </w:r>
          </w:p>
        </w:tc>
        <w:tc>
          <w:tcPr>
            <w:tcW w:w="1234" w:type="dxa"/>
            <w:noWrap/>
            <w:vAlign w:val="center"/>
          </w:tcPr>
          <w:p w14:paraId="59777726" w14:textId="77777777" w:rsidR="00FE3BE4" w:rsidRPr="00B67AFE" w:rsidRDefault="00FE3BE4" w:rsidP="008D4E1E">
            <w:pPr>
              <w:spacing w:before="0" w:after="0" w:line="240" w:lineRule="auto"/>
              <w:jc w:val="center"/>
              <w:rPr>
                <w:sz w:val="18"/>
                <w:szCs w:val="18"/>
              </w:rPr>
            </w:pPr>
            <w:r w:rsidRPr="00CF531F">
              <w:rPr>
                <w:sz w:val="18"/>
                <w:szCs w:val="18"/>
              </w:rPr>
              <w:t>-4.7</w:t>
            </w:r>
          </w:p>
        </w:tc>
        <w:tc>
          <w:tcPr>
            <w:tcW w:w="1139" w:type="dxa"/>
            <w:noWrap/>
            <w:vAlign w:val="center"/>
          </w:tcPr>
          <w:p w14:paraId="5722DE3F" w14:textId="77777777" w:rsidR="00FE3BE4" w:rsidRPr="00B67AFE" w:rsidRDefault="00FE3BE4" w:rsidP="008D4E1E">
            <w:pPr>
              <w:spacing w:before="0" w:after="0" w:line="240" w:lineRule="auto"/>
              <w:jc w:val="center"/>
              <w:rPr>
                <w:sz w:val="18"/>
                <w:szCs w:val="18"/>
              </w:rPr>
            </w:pPr>
            <w:r w:rsidRPr="00CF531F">
              <w:rPr>
                <w:sz w:val="18"/>
                <w:szCs w:val="18"/>
              </w:rPr>
              <w:t>-4.7</w:t>
            </w:r>
          </w:p>
        </w:tc>
      </w:tr>
      <w:tr w:rsidR="00FE3BE4" w:rsidRPr="00031DEA" w14:paraId="4156E4FF" w14:textId="77777777" w:rsidTr="00396FB2">
        <w:trPr>
          <w:trHeight w:val="407"/>
        </w:trPr>
        <w:tc>
          <w:tcPr>
            <w:tcW w:w="1490" w:type="dxa"/>
            <w:vMerge/>
            <w:vAlign w:val="center"/>
            <w:hideMark/>
          </w:tcPr>
          <w:p w14:paraId="0B89A0FD" w14:textId="77777777" w:rsidR="00FE3BE4" w:rsidRPr="000267C5" w:rsidRDefault="00FE3BE4" w:rsidP="008D4E1E">
            <w:pPr>
              <w:spacing w:before="0" w:after="0" w:line="240" w:lineRule="auto"/>
              <w:rPr>
                <w:sz w:val="18"/>
                <w:szCs w:val="18"/>
                <w:highlight w:val="yellow"/>
                <w:lang w:val="ru-RU" w:eastAsia="ru-RU"/>
              </w:rPr>
            </w:pPr>
          </w:p>
        </w:tc>
        <w:tc>
          <w:tcPr>
            <w:tcW w:w="2302" w:type="dxa"/>
            <w:vAlign w:val="center"/>
            <w:hideMark/>
          </w:tcPr>
          <w:p w14:paraId="39F1B4B2" w14:textId="77777777" w:rsidR="00FE3BE4" w:rsidRPr="000267C5" w:rsidRDefault="00FE3BE4" w:rsidP="008D4E1E">
            <w:pPr>
              <w:spacing w:before="0" w:after="0" w:line="240" w:lineRule="auto"/>
              <w:rPr>
                <w:sz w:val="18"/>
                <w:szCs w:val="18"/>
                <w:highlight w:val="yellow"/>
              </w:rPr>
            </w:pPr>
            <w:r w:rsidRPr="00EA27C7">
              <w:rPr>
                <w:sz w:val="18"/>
                <w:szCs w:val="18"/>
              </w:rPr>
              <w:t>2025 Պետական բյուջե</w:t>
            </w:r>
          </w:p>
        </w:tc>
        <w:tc>
          <w:tcPr>
            <w:tcW w:w="1044" w:type="dxa"/>
            <w:vAlign w:val="center"/>
          </w:tcPr>
          <w:p w14:paraId="08ADDFA4" w14:textId="77777777" w:rsidR="00FE3BE4" w:rsidRPr="00031DEA" w:rsidRDefault="00FE3BE4" w:rsidP="008D4E1E">
            <w:pPr>
              <w:spacing w:before="0" w:after="0" w:line="240" w:lineRule="auto"/>
              <w:jc w:val="center"/>
              <w:rPr>
                <w:sz w:val="18"/>
                <w:szCs w:val="18"/>
              </w:rPr>
            </w:pPr>
            <w:r w:rsidRPr="00FC7FE1">
              <w:rPr>
                <w:sz w:val="18"/>
                <w:szCs w:val="18"/>
              </w:rPr>
              <w:t>-5.0</w:t>
            </w:r>
          </w:p>
        </w:tc>
        <w:tc>
          <w:tcPr>
            <w:tcW w:w="1234" w:type="dxa"/>
            <w:noWrap/>
            <w:vAlign w:val="center"/>
          </w:tcPr>
          <w:p w14:paraId="11695B4A" w14:textId="77777777" w:rsidR="00FE3BE4" w:rsidRPr="00031DEA" w:rsidRDefault="00FE3BE4" w:rsidP="008D4E1E">
            <w:pPr>
              <w:spacing w:before="0" w:after="0" w:line="240" w:lineRule="auto"/>
              <w:jc w:val="center"/>
              <w:rPr>
                <w:sz w:val="18"/>
                <w:szCs w:val="18"/>
              </w:rPr>
            </w:pPr>
            <w:r w:rsidRPr="00FC7FE1">
              <w:rPr>
                <w:sz w:val="18"/>
                <w:szCs w:val="18"/>
              </w:rPr>
              <w:t>-5.3</w:t>
            </w:r>
          </w:p>
        </w:tc>
        <w:tc>
          <w:tcPr>
            <w:tcW w:w="1329" w:type="dxa"/>
            <w:vAlign w:val="center"/>
          </w:tcPr>
          <w:p w14:paraId="11DFEF04" w14:textId="77777777" w:rsidR="00FE3BE4" w:rsidRPr="00031DEA" w:rsidRDefault="00FE3BE4" w:rsidP="008D4E1E">
            <w:pPr>
              <w:spacing w:before="0" w:after="0" w:line="240" w:lineRule="auto"/>
              <w:jc w:val="center"/>
              <w:rPr>
                <w:sz w:val="18"/>
                <w:szCs w:val="18"/>
              </w:rPr>
            </w:pPr>
            <w:r w:rsidRPr="00FC7FE1">
              <w:rPr>
                <w:sz w:val="18"/>
                <w:szCs w:val="18"/>
              </w:rPr>
              <w:t>-5.1</w:t>
            </w:r>
          </w:p>
        </w:tc>
        <w:tc>
          <w:tcPr>
            <w:tcW w:w="1234" w:type="dxa"/>
            <w:noWrap/>
            <w:vAlign w:val="center"/>
          </w:tcPr>
          <w:p w14:paraId="56E12AB8" w14:textId="77777777" w:rsidR="00FE3BE4" w:rsidRPr="00031DEA" w:rsidRDefault="00FE3BE4" w:rsidP="008D4E1E">
            <w:pPr>
              <w:spacing w:before="0" w:after="0" w:line="240" w:lineRule="auto"/>
              <w:jc w:val="center"/>
              <w:rPr>
                <w:sz w:val="18"/>
                <w:szCs w:val="18"/>
              </w:rPr>
            </w:pPr>
            <w:r w:rsidRPr="00FC7FE1">
              <w:rPr>
                <w:sz w:val="18"/>
                <w:szCs w:val="18"/>
              </w:rPr>
              <w:t>-5.0</w:t>
            </w:r>
          </w:p>
        </w:tc>
        <w:tc>
          <w:tcPr>
            <w:tcW w:w="1139" w:type="dxa"/>
            <w:noWrap/>
            <w:vAlign w:val="center"/>
          </w:tcPr>
          <w:p w14:paraId="1730AC83" w14:textId="77777777" w:rsidR="00FE3BE4" w:rsidRPr="00031DEA" w:rsidRDefault="00FE3BE4" w:rsidP="008D4E1E">
            <w:pPr>
              <w:spacing w:before="0" w:after="0" w:line="240" w:lineRule="auto"/>
              <w:jc w:val="center"/>
              <w:rPr>
                <w:sz w:val="18"/>
                <w:szCs w:val="18"/>
              </w:rPr>
            </w:pPr>
          </w:p>
        </w:tc>
      </w:tr>
      <w:tr w:rsidR="00FE3BE4" w:rsidRPr="00A702C0" w14:paraId="57C6AE8A" w14:textId="77777777" w:rsidTr="00396FB2">
        <w:trPr>
          <w:trHeight w:val="407"/>
        </w:trPr>
        <w:tc>
          <w:tcPr>
            <w:tcW w:w="1490" w:type="dxa"/>
            <w:vMerge/>
            <w:vAlign w:val="center"/>
            <w:hideMark/>
          </w:tcPr>
          <w:p w14:paraId="3D9BE873" w14:textId="77777777" w:rsidR="00FE3BE4" w:rsidRPr="000267C5" w:rsidRDefault="00FE3BE4" w:rsidP="008D4E1E">
            <w:pPr>
              <w:spacing w:before="0" w:after="0" w:line="240" w:lineRule="auto"/>
              <w:rPr>
                <w:sz w:val="18"/>
                <w:szCs w:val="18"/>
                <w:highlight w:val="yellow"/>
                <w:lang w:val="ru-RU" w:eastAsia="ru-RU"/>
              </w:rPr>
            </w:pPr>
          </w:p>
        </w:tc>
        <w:tc>
          <w:tcPr>
            <w:tcW w:w="2302" w:type="dxa"/>
            <w:vAlign w:val="center"/>
            <w:hideMark/>
          </w:tcPr>
          <w:p w14:paraId="21314724" w14:textId="77777777" w:rsidR="00FE3BE4" w:rsidRPr="000267C5" w:rsidRDefault="00FE3BE4" w:rsidP="008D4E1E">
            <w:pPr>
              <w:spacing w:before="0" w:after="0" w:line="240" w:lineRule="auto"/>
              <w:rPr>
                <w:sz w:val="18"/>
                <w:szCs w:val="18"/>
                <w:highlight w:val="yellow"/>
              </w:rPr>
            </w:pPr>
            <w:r w:rsidRPr="00EA27C7">
              <w:rPr>
                <w:sz w:val="18"/>
                <w:szCs w:val="18"/>
              </w:rPr>
              <w:t>202</w:t>
            </w:r>
            <w:r w:rsidRPr="00EA27C7">
              <w:rPr>
                <w:sz w:val="18"/>
                <w:szCs w:val="18"/>
                <w:lang w:val="hy-AM"/>
              </w:rPr>
              <w:t>5</w:t>
            </w:r>
            <w:r w:rsidRPr="00EA27C7">
              <w:rPr>
                <w:sz w:val="18"/>
                <w:szCs w:val="18"/>
              </w:rPr>
              <w:t>-202</w:t>
            </w:r>
            <w:r w:rsidRPr="00EA27C7">
              <w:rPr>
                <w:sz w:val="18"/>
                <w:szCs w:val="18"/>
                <w:lang w:val="hy-AM"/>
              </w:rPr>
              <w:t>7</w:t>
            </w:r>
            <w:r w:rsidRPr="00EA27C7">
              <w:rPr>
                <w:sz w:val="18"/>
                <w:szCs w:val="18"/>
              </w:rPr>
              <w:t xml:space="preserve"> ՄԺԾԾ</w:t>
            </w:r>
          </w:p>
        </w:tc>
        <w:tc>
          <w:tcPr>
            <w:tcW w:w="1044" w:type="dxa"/>
          </w:tcPr>
          <w:p w14:paraId="7A82EEDD" w14:textId="77777777" w:rsidR="00FE3BE4" w:rsidRPr="00A702C0" w:rsidRDefault="00FE3BE4" w:rsidP="008D4E1E">
            <w:pPr>
              <w:spacing w:before="0" w:after="0" w:line="240" w:lineRule="auto"/>
              <w:jc w:val="center"/>
              <w:rPr>
                <w:sz w:val="18"/>
                <w:szCs w:val="18"/>
              </w:rPr>
            </w:pPr>
            <w:r w:rsidRPr="00D94E0C">
              <w:rPr>
                <w:rFonts w:eastAsia="Times New Roman" w:cs="Times New Roman"/>
                <w:color w:val="000000"/>
                <w:sz w:val="18"/>
                <w:szCs w:val="24"/>
              </w:rPr>
              <w:t>-3.2</w:t>
            </w:r>
          </w:p>
        </w:tc>
        <w:tc>
          <w:tcPr>
            <w:tcW w:w="1234" w:type="dxa"/>
            <w:noWrap/>
          </w:tcPr>
          <w:p w14:paraId="0C129CBC" w14:textId="77777777" w:rsidR="00FE3BE4" w:rsidRPr="00A702C0" w:rsidRDefault="00FE3BE4" w:rsidP="008D4E1E">
            <w:pPr>
              <w:spacing w:before="0" w:after="0" w:line="240" w:lineRule="auto"/>
              <w:jc w:val="center"/>
              <w:rPr>
                <w:sz w:val="18"/>
                <w:szCs w:val="18"/>
              </w:rPr>
            </w:pPr>
            <w:r w:rsidRPr="00D94E0C">
              <w:rPr>
                <w:rFonts w:eastAsia="Times New Roman" w:cs="Times New Roman"/>
                <w:color w:val="000000"/>
                <w:sz w:val="18"/>
                <w:szCs w:val="24"/>
              </w:rPr>
              <w:t>-3.5</w:t>
            </w:r>
          </w:p>
        </w:tc>
        <w:tc>
          <w:tcPr>
            <w:tcW w:w="1329" w:type="dxa"/>
          </w:tcPr>
          <w:p w14:paraId="411382EE" w14:textId="77777777" w:rsidR="00FE3BE4" w:rsidRPr="00A702C0" w:rsidRDefault="00FE3BE4" w:rsidP="008D4E1E">
            <w:pPr>
              <w:spacing w:before="0" w:after="0" w:line="240" w:lineRule="auto"/>
              <w:jc w:val="center"/>
              <w:rPr>
                <w:sz w:val="18"/>
                <w:szCs w:val="18"/>
              </w:rPr>
            </w:pPr>
            <w:r w:rsidRPr="00D94E0C">
              <w:rPr>
                <w:rFonts w:eastAsia="Times New Roman" w:cs="Times New Roman"/>
                <w:color w:val="000000"/>
                <w:sz w:val="18"/>
                <w:szCs w:val="24"/>
              </w:rPr>
              <w:t>-4.6</w:t>
            </w:r>
          </w:p>
        </w:tc>
        <w:tc>
          <w:tcPr>
            <w:tcW w:w="1234" w:type="dxa"/>
            <w:noWrap/>
          </w:tcPr>
          <w:p w14:paraId="2492CBDD" w14:textId="77777777" w:rsidR="00FE3BE4" w:rsidRPr="00A702C0" w:rsidRDefault="00FE3BE4" w:rsidP="008D4E1E">
            <w:pPr>
              <w:spacing w:before="0" w:after="0" w:line="240" w:lineRule="auto"/>
              <w:jc w:val="center"/>
              <w:rPr>
                <w:sz w:val="18"/>
                <w:szCs w:val="18"/>
              </w:rPr>
            </w:pPr>
            <w:r w:rsidRPr="00D94E0C">
              <w:rPr>
                <w:rFonts w:eastAsia="Times New Roman" w:cs="Times New Roman"/>
                <w:color w:val="000000"/>
                <w:sz w:val="18"/>
                <w:szCs w:val="24"/>
              </w:rPr>
              <w:t>-5.1</w:t>
            </w:r>
          </w:p>
        </w:tc>
        <w:tc>
          <w:tcPr>
            <w:tcW w:w="1139" w:type="dxa"/>
            <w:noWrap/>
            <w:vAlign w:val="center"/>
          </w:tcPr>
          <w:p w14:paraId="2EA3AA3D" w14:textId="77777777" w:rsidR="00FE3BE4" w:rsidRPr="00A702C0" w:rsidRDefault="00FE3BE4" w:rsidP="008D4E1E">
            <w:pPr>
              <w:spacing w:before="0" w:after="0" w:line="240" w:lineRule="auto"/>
              <w:jc w:val="center"/>
              <w:rPr>
                <w:sz w:val="18"/>
                <w:szCs w:val="18"/>
              </w:rPr>
            </w:pPr>
          </w:p>
        </w:tc>
      </w:tr>
    </w:tbl>
    <w:p w14:paraId="5E8AEC59" w14:textId="77777777" w:rsidR="00FE3BE4" w:rsidRDefault="00FE3BE4" w:rsidP="00FE3BE4">
      <w:pPr>
        <w:pStyle w:val="a0"/>
        <w:rPr>
          <w:lang w:val="hy-AM" w:eastAsia="ru-RU"/>
        </w:rPr>
      </w:pPr>
      <w:r w:rsidRPr="00C3014C">
        <w:t>* 202</w:t>
      </w:r>
      <w:r>
        <w:rPr>
          <w:lang w:val="hy-AM"/>
        </w:rPr>
        <w:t>6</w:t>
      </w:r>
      <w:r w:rsidRPr="00C3014C">
        <w:t>-202</w:t>
      </w:r>
      <w:r>
        <w:rPr>
          <w:lang w:val="hy-AM"/>
        </w:rPr>
        <w:t>8</w:t>
      </w:r>
      <w:r w:rsidRPr="00C3014C">
        <w:t xml:space="preserve"> ՄԺԾԾ համար</w:t>
      </w:r>
      <w:r>
        <w:t xml:space="preserve"> 2024</w:t>
      </w:r>
      <w:r w:rsidRPr="00C3014C">
        <w:t>թ. ցուցանիշները փաստացի են</w:t>
      </w:r>
      <w:r>
        <w:rPr>
          <w:lang w:val="hy-AM"/>
        </w:rPr>
        <w:t xml:space="preserve">, </w:t>
      </w:r>
      <w:r w:rsidRPr="00E77731">
        <w:rPr>
          <w:lang w:val="hy-AM"/>
        </w:rPr>
        <w:t>Աղբյուրը ՝ ՀՀ ՖՆ կանխատեսումներ</w:t>
      </w:r>
    </w:p>
    <w:p w14:paraId="57E53DA7" w14:textId="1835AE82" w:rsidR="00FE3BE4" w:rsidRDefault="00FE3BE4">
      <w:pPr>
        <w:rPr>
          <w:rFonts w:ascii="GHEA Grapalat" w:hAnsi="GHEA Grapalat"/>
          <w:b/>
          <w:color w:val="44546A" w:themeColor="text2"/>
          <w:sz w:val="30"/>
          <w:szCs w:val="20"/>
          <w:lang w:val="hy-AM"/>
        </w:rPr>
      </w:pPr>
      <w:r>
        <w:rPr>
          <w:lang w:val="hy-AM"/>
        </w:rPr>
        <w:br w:type="page"/>
      </w:r>
    </w:p>
    <w:p w14:paraId="04DC4D1D" w14:textId="77777777" w:rsidR="00CB39D1" w:rsidRPr="00CB39D1" w:rsidRDefault="00CB39D1" w:rsidP="00104E7A">
      <w:pPr>
        <w:pStyle w:val="Heading1"/>
        <w:numPr>
          <w:ilvl w:val="0"/>
          <w:numId w:val="0"/>
        </w:numPr>
        <w:rPr>
          <w:rFonts w:ascii="GHEA Grapalat" w:hAnsi="GHEA Grapalat"/>
          <w:b/>
          <w:color w:val="44546A" w:themeColor="text2"/>
          <w:sz w:val="30"/>
          <w:szCs w:val="20"/>
        </w:rPr>
      </w:pPr>
      <w:bookmarkStart w:id="236" w:name="_Toc183801076"/>
      <w:bookmarkStart w:id="237" w:name="_Toc215157677"/>
      <w:bookmarkStart w:id="238" w:name="_Toc115686026"/>
      <w:bookmarkStart w:id="239" w:name="_Toc83972838"/>
      <w:bookmarkStart w:id="240" w:name="_Toc83199222"/>
      <w:bookmarkStart w:id="241" w:name="_Toc57655454"/>
      <w:bookmarkStart w:id="242" w:name="_Toc46154353"/>
      <w:bookmarkStart w:id="243" w:name="_Toc45838524"/>
      <w:bookmarkStart w:id="244" w:name="_Toc178356572"/>
      <w:bookmarkStart w:id="245" w:name="_Hlk152316627"/>
      <w:bookmarkStart w:id="246" w:name="_Toc153184474"/>
      <w:bookmarkStart w:id="247" w:name="_Toc83972843"/>
      <w:bookmarkStart w:id="248" w:name="_Toc26174926"/>
      <w:bookmarkStart w:id="249" w:name="_Toc178356576"/>
      <w:bookmarkEnd w:id="99"/>
      <w:bookmarkEnd w:id="100"/>
      <w:r w:rsidRPr="00CB39D1">
        <w:rPr>
          <w:rFonts w:ascii="GHEA Grapalat" w:hAnsi="GHEA Grapalat"/>
          <w:b/>
          <w:color w:val="44546A" w:themeColor="text2"/>
          <w:sz w:val="30"/>
          <w:szCs w:val="20"/>
        </w:rPr>
        <w:t>ՄԱՍ I-Գ. ՀԱՐԿԱԲՅՈՒՋԵՏԱՅԻՆ ՔԱՂԱՔԱԿԱՆՈՒԹՅԱՆ ՀԻՄՆԱԿԱՆ ՈՒՂՂՈՒԹՅՈՒՆՆԵՐԸ ԵՎ ԿԱՆԽԱՏԵՍՈՒՄՆԵՐԸ</w:t>
      </w:r>
      <w:bookmarkEnd w:id="236"/>
      <w:bookmarkEnd w:id="237"/>
    </w:p>
    <w:p w14:paraId="1286F6A1" w14:textId="77777777" w:rsidR="00CB39D1" w:rsidRPr="00CB39D1" w:rsidRDefault="00CB39D1" w:rsidP="00104E7A">
      <w:pPr>
        <w:pStyle w:val="Heading2"/>
        <w:rPr>
          <w:rFonts w:ascii="GHEA Grapalat" w:hAnsi="GHEA Grapalat"/>
          <w:color w:val="A5A6AC" w:themeColor="accent3" w:themeTint="99"/>
          <w:sz w:val="28"/>
          <w:szCs w:val="20"/>
          <w:lang w:val="hy-AM"/>
        </w:rPr>
      </w:pPr>
      <w:bookmarkStart w:id="250" w:name="_Toc46154351"/>
      <w:bookmarkStart w:id="251" w:name="_Toc57655453"/>
      <w:bookmarkStart w:id="252" w:name="_Toc83199221"/>
      <w:bookmarkStart w:id="253" w:name="_Toc83972837"/>
      <w:bookmarkStart w:id="254" w:name="_Toc115686025"/>
      <w:bookmarkStart w:id="255" w:name="_Toc178356571"/>
      <w:bookmarkStart w:id="256" w:name="_Toc183801077"/>
      <w:bookmarkStart w:id="257" w:name="_Toc215157678"/>
      <w:r w:rsidRPr="00CB39D1">
        <w:rPr>
          <w:rFonts w:ascii="GHEA Grapalat" w:hAnsi="GHEA Grapalat"/>
          <w:color w:val="A5A6AC" w:themeColor="accent3" w:themeTint="99"/>
          <w:sz w:val="28"/>
          <w:szCs w:val="20"/>
          <w:lang w:val="hy-AM"/>
        </w:rPr>
        <w:t xml:space="preserve">2.1. </w:t>
      </w:r>
      <w:bookmarkStart w:id="258" w:name="_Toc45838522"/>
      <w:r w:rsidRPr="00CB39D1">
        <w:rPr>
          <w:rFonts w:ascii="GHEA Grapalat" w:hAnsi="GHEA Grapalat"/>
          <w:color w:val="A5A6AC" w:themeColor="accent3" w:themeTint="99"/>
          <w:sz w:val="28"/>
          <w:szCs w:val="20"/>
          <w:lang w:val="hy-AM"/>
        </w:rPr>
        <w:t>ՀԱՐԿԱԲՅՈՒՋԵՏԱՅԻՆ ԸՆԴՀԱՆՈՒՐ ԱԿՆԱՐԿ ԵՎ ՀԱՐԿԱԲՅՈՒՋԵՏԱՅԻՆ ՇՐՋԱՆԱԿ</w:t>
      </w:r>
      <w:bookmarkEnd w:id="250"/>
      <w:bookmarkEnd w:id="251"/>
      <w:bookmarkEnd w:id="252"/>
      <w:bookmarkEnd w:id="253"/>
      <w:bookmarkEnd w:id="254"/>
      <w:bookmarkEnd w:id="255"/>
      <w:bookmarkEnd w:id="256"/>
      <w:bookmarkEnd w:id="258"/>
      <w:bookmarkEnd w:id="257"/>
    </w:p>
    <w:p w14:paraId="5EB02E97" w14:textId="19B34853" w:rsidR="00CB39D1" w:rsidRPr="00CB39D1" w:rsidRDefault="00CB39D1" w:rsidP="00CB39D1">
      <w:pPr>
        <w:numPr>
          <w:ilvl w:val="0"/>
          <w:numId w:val="24"/>
        </w:numPr>
        <w:jc w:val="both"/>
        <w:rPr>
          <w:rFonts w:ascii="GHEA Grapalat" w:hAnsi="GHEA Grapalat"/>
          <w:szCs w:val="20"/>
          <w:lang w:val="hy-AM" w:eastAsia="ru-RU"/>
        </w:rPr>
      </w:pPr>
      <w:r w:rsidRPr="00CB39D1">
        <w:rPr>
          <w:rFonts w:ascii="GHEA Grapalat" w:hAnsi="GHEA Grapalat"/>
          <w:szCs w:val="20"/>
          <w:lang w:val="hy-AM"/>
        </w:rPr>
        <w:t>2020-2021 թվականներին կորոնավիրուսի համավարակի և 44-օրյա պատերազմի հետևանքներին հակազդելու համար հարկաբյուջետային կանոնների «բացառիկ դեպքի» կարգավորումների ներքո իրականացված հակապարբերաշրջանային խթանող քաղաքականության արդյունքում գրանցված պարտքի բեռի աճից հետո 2022-2023 թվականներին հարկաբյուջետային քաղաքականությունը ոչ միայն վերադարձել է բնականոն իրավիճակների տրամաբանությանը, այլև հնարավոր է եղել կտրուկ կրճատել բյուջեի պակասուրդը և կառավարության պարտքի մակարդակը՝ հասցնելով վերջինս պարտքի կայունության տեսակետից անվտանգ համարվող 40-50%-ի միջակայք։ 2025 թվականին Կառավարության պարտքի բեռը կազմել է 48.0%, ինչի արդյունքում, գտնվելով հարկաբյուջետային կանոնների տեսանկյունից առավել մեղմ սահմանափակումների և ձևավորված հավելյալ հարկաբյուջետային տարածքի տիրույթում, Կառավարությունը սկսել է ձևավորված հարկաբյուջետային տարածքն օգտագործել տնտեսական ներուժի բարձրացմանը, այդ թվում՝ կառուցվածքային բարեփոխումներին, ֆիզիկական և մարդկային կապիտալին ուղղվող ծախսերի դերի բարձ</w:t>
      </w:r>
      <w:r w:rsidR="00E25BE6">
        <w:rPr>
          <w:rFonts w:ascii="GHEA Grapalat" w:hAnsi="GHEA Grapalat"/>
          <w:szCs w:val="20"/>
          <w:lang w:val="hy-AM"/>
        </w:rPr>
        <w:t>ր</w:t>
      </w:r>
      <w:r w:rsidRPr="00CB39D1">
        <w:rPr>
          <w:rFonts w:ascii="GHEA Grapalat" w:hAnsi="GHEA Grapalat"/>
          <w:szCs w:val="20"/>
          <w:lang w:val="hy-AM"/>
        </w:rPr>
        <w:t xml:space="preserve">ացման համար, այդպիսով ամրապնդելով նաև երկարաժամկետ հարկաբյուջետային կայունությունը։ </w:t>
      </w:r>
    </w:p>
    <w:p w14:paraId="27F84839" w14:textId="3D25D143" w:rsidR="00CB39D1" w:rsidRPr="00CB39D1" w:rsidRDefault="00CB39D1" w:rsidP="00CB39D1">
      <w:pPr>
        <w:numPr>
          <w:ilvl w:val="0"/>
          <w:numId w:val="24"/>
        </w:numPr>
        <w:jc w:val="both"/>
        <w:rPr>
          <w:rFonts w:ascii="GHEA Grapalat" w:hAnsi="GHEA Grapalat"/>
          <w:szCs w:val="20"/>
          <w:lang w:val="hy-AM"/>
        </w:rPr>
      </w:pPr>
      <w:r w:rsidRPr="00CB39D1">
        <w:rPr>
          <w:rFonts w:ascii="GHEA Grapalat" w:hAnsi="GHEA Grapalat"/>
          <w:szCs w:val="20"/>
          <w:lang w:val="hy-AM"/>
        </w:rPr>
        <w:t>Միջնաժամկետ հատվածի սկզբում՝ անհետաձգելի կարիքների և կառուցվածքային բարեփոխումների համար հավելյալ ռեսուրսների ձևավորման պայմաններում պետական բյուջեի պակասուրդի և պարտքի որոշակի աճից հետո հարկաբյուջետային քաղաքականությունը ուղղված կլինի ծախսերի կառուցվածքի բարելավմամբ ուղեկցվող հարկաբյուջետային կոնսոլիդացիայի իրականացմանը։ Կառավարության պարտքի բեռը 2026-2028 թվականներին կհասնի 5</w:t>
      </w:r>
      <w:r w:rsidR="00915C0D" w:rsidRPr="00F82E03">
        <w:rPr>
          <w:rFonts w:ascii="GHEA Grapalat" w:hAnsi="GHEA Grapalat"/>
          <w:szCs w:val="20"/>
          <w:lang w:val="hy-AM"/>
        </w:rPr>
        <w:t>3</w:t>
      </w:r>
      <w:r w:rsidRPr="00CB39D1">
        <w:rPr>
          <w:rFonts w:ascii="GHEA Grapalat" w:hAnsi="GHEA Grapalat"/>
          <w:szCs w:val="20"/>
          <w:lang w:val="hy-AM"/>
        </w:rPr>
        <w:t>-5</w:t>
      </w:r>
      <w:r w:rsidR="00915C0D" w:rsidRPr="00F82E03">
        <w:rPr>
          <w:rFonts w:ascii="GHEA Grapalat" w:hAnsi="GHEA Grapalat"/>
          <w:szCs w:val="20"/>
          <w:lang w:val="hy-AM"/>
        </w:rPr>
        <w:t>4</w:t>
      </w:r>
      <w:r w:rsidRPr="00CB39D1">
        <w:rPr>
          <w:rFonts w:ascii="GHEA Grapalat" w:hAnsi="GHEA Grapalat"/>
          <w:szCs w:val="20"/>
          <w:lang w:val="hy-AM"/>
        </w:rPr>
        <w:t>%-ի մակարդակի, որին միջնաժամկետ հատվածում կհակազդեն տնտեսական աճի և հարկաբյուջետային կոնսոլիդացիայի արդյունքում զգալի առաջնային հավելուրդի ձևավորման գործոնները։ Հարկաբյուջետային կոնսոլիդացիան կիրականացվի ընթացիկ ծախսերի օպտիմալացման և արդյունավետության բարձրացման պայմաններում ՀՆԱ-ում դերի որոշակի նվազմամբ, ինչը կզուգորդվի զսպող հարկաբյուջետային ազդակով միջնաժամկետի սկզբում, իսկ միջնաժամկետի վերջում հարկաբյուջետային քաղաքականության դիրքը ամբողջական պահանջարկի վրա ազդեցության տեսանկյունից կվերադառնա չեզոքի՝ միաժամանակ ամբողջ հորիզոնում դրական ազդեցություն ունենալով տնտեսության ներուժի վրա։ Հարկաբյուջետային քաղաքականության համար, ընդհանուր առմամբ, առաջնահերթ է առկա ռեսուրսների առավել արդյունավետ օգտագործումը և հնարավոր ռիսկերի կառավարման կարողությունների ձևավորումը, ինչը, աճի ներուժի բարձրացման հետ, պետք է երաշխավորի հարկաբյուջետային կայունությունը երկարաժամկետում։ Հարկային վարչարարության բարելավման, ստվերի դեմ պայքարի, ինչպես նաև հարկային քաղաքականության միջոցառումների արդյունքում ակնկալվում է 2026թ</w:t>
      </w:r>
      <w:r w:rsidRPr="00CB39D1">
        <w:rPr>
          <w:rFonts w:ascii="Cambria Math" w:hAnsi="Cambria Math" w:cs="Cambria Math"/>
          <w:szCs w:val="20"/>
          <w:lang w:val="hy-AM"/>
        </w:rPr>
        <w:t>․</w:t>
      </w:r>
      <w:r w:rsidRPr="00CB39D1">
        <w:rPr>
          <w:rFonts w:ascii="GHEA Grapalat" w:hAnsi="GHEA Grapalat"/>
          <w:szCs w:val="20"/>
          <w:lang w:val="hy-AM"/>
        </w:rPr>
        <w:t>-ին ապահովել հարկեր/ՀՆԱ հարաբերակցության շարունակական բարելավում 0.4 տոկոսային կետով, իսկ հաջորդող տարիներին՝ 2027-2028թթ</w:t>
      </w:r>
      <w:r w:rsidRPr="00CB39D1">
        <w:rPr>
          <w:rFonts w:ascii="Cambria Math" w:hAnsi="Cambria Math" w:cs="Cambria Math"/>
          <w:szCs w:val="20"/>
          <w:lang w:val="hy-AM"/>
        </w:rPr>
        <w:t>․</w:t>
      </w:r>
      <w:r w:rsidRPr="00CB39D1">
        <w:rPr>
          <w:rFonts w:ascii="GHEA Grapalat" w:hAnsi="GHEA Grapalat"/>
          <w:szCs w:val="20"/>
          <w:lang w:val="hy-AM"/>
        </w:rPr>
        <w:t xml:space="preserve">-ին յուրաքանչյուրում 0.1 տոկոսային կետի շրջանակներում, որով միջնաժամկետի վերջին հարկեր/ՀՆԱ հարաբերակցությունը մոտենում է ներկա օրենսդրության և տնտեսական կառուցվածքի պայմաններում արդյունավետ հնարավորությունների սահմանագծին՝ ՀՆԱ-ում 25-26%-ի։ </w:t>
      </w:r>
    </w:p>
    <w:p w14:paraId="7AF785B9" w14:textId="476A19FF" w:rsidR="00CB39D1" w:rsidRPr="00CB39D1" w:rsidRDefault="00F2788F" w:rsidP="00CB39D1">
      <w:pPr>
        <w:numPr>
          <w:ilvl w:val="0"/>
          <w:numId w:val="24"/>
        </w:numPr>
        <w:jc w:val="both"/>
        <w:rPr>
          <w:rFonts w:ascii="GHEA Grapalat" w:hAnsi="GHEA Grapalat"/>
          <w:szCs w:val="20"/>
          <w:lang w:val="hy-AM"/>
        </w:rPr>
      </w:pPr>
      <w:r>
        <w:rPr>
          <w:rFonts w:ascii="GHEA Grapalat" w:hAnsi="GHEA Grapalat"/>
          <w:szCs w:val="20"/>
          <w:lang w:val="hy-AM"/>
        </w:rPr>
        <w:t>2026</w:t>
      </w:r>
      <w:r w:rsidR="00CB39D1" w:rsidRPr="00CB39D1">
        <w:rPr>
          <w:rFonts w:ascii="GHEA Grapalat" w:hAnsi="GHEA Grapalat"/>
          <w:szCs w:val="20"/>
          <w:lang w:val="hy-AM"/>
        </w:rPr>
        <w:t>թ</w:t>
      </w:r>
      <w:r w:rsidR="00CB39D1" w:rsidRPr="00CB39D1">
        <w:rPr>
          <w:rFonts w:ascii="Cambria Math" w:hAnsi="Cambria Math" w:cs="Cambria Math"/>
          <w:szCs w:val="20"/>
          <w:lang w:val="hy-AM"/>
        </w:rPr>
        <w:t>․</w:t>
      </w:r>
      <w:r w:rsidR="00CB39D1" w:rsidRPr="00CB39D1">
        <w:rPr>
          <w:rFonts w:ascii="GHEA Grapalat" w:hAnsi="GHEA Grapalat"/>
          <w:szCs w:val="20"/>
          <w:lang w:val="hy-AM"/>
        </w:rPr>
        <w:t>-ի Պետական բյուջեի ծախսային մասը առաջնորդվում է միջնաժամկետում հարկաբյուջետային կոնսոլիդացիա ապահովելու և տնտեսական և անվտանգային ենթակառուցվածքների ամրապնդման նպատակադրումներով, ըստ այդմ, միջնաժամկետում  ընթացիկ ծախսերի կշիռը ՀՆԱ-ում կնվազի, իսկ կապիտալ ծախսերը կկայունանան պատմական մակարդակներից զգալիորեն բարձր մակարդակում։ Կապիտալ ծախսերի կշիռը ՀՆԱ-ում կայունանում է 5.7%-ի շրջանակներում մինչև 2028թ</w:t>
      </w:r>
      <w:r w:rsidR="00CB39D1" w:rsidRPr="00CB39D1">
        <w:rPr>
          <w:rFonts w:ascii="Cambria Math" w:hAnsi="Cambria Math" w:cs="Cambria Math"/>
          <w:szCs w:val="20"/>
          <w:lang w:val="hy-AM"/>
        </w:rPr>
        <w:t>․</w:t>
      </w:r>
      <w:r w:rsidR="00CB39D1" w:rsidRPr="00CB39D1">
        <w:rPr>
          <w:rFonts w:ascii="GHEA Grapalat" w:hAnsi="GHEA Grapalat"/>
          <w:szCs w:val="20"/>
          <w:lang w:val="hy-AM"/>
        </w:rPr>
        <w:t>, իսկ ընթացիկ ծախսերը 2025թ-ի 24.6% սպասվող ցուցանիշից աստիճանաբար նվազելով 2028թ</w:t>
      </w:r>
      <w:r w:rsidR="00CB39D1" w:rsidRPr="00CB39D1">
        <w:rPr>
          <w:rFonts w:ascii="Cambria Math" w:hAnsi="Cambria Math" w:cs="Cambria Math"/>
          <w:szCs w:val="20"/>
          <w:lang w:val="hy-AM"/>
        </w:rPr>
        <w:t>․</w:t>
      </w:r>
      <w:r w:rsidR="00CB39D1" w:rsidRPr="00CB39D1">
        <w:rPr>
          <w:rFonts w:ascii="GHEA Grapalat" w:hAnsi="GHEA Grapalat"/>
          <w:szCs w:val="20"/>
          <w:lang w:val="hy-AM"/>
        </w:rPr>
        <w:t>-ին կհասնեն ՀՆԱ 23.0%-ի։</w:t>
      </w:r>
    </w:p>
    <w:p w14:paraId="04D2144E" w14:textId="04EF3621" w:rsidR="00CB39D1" w:rsidRPr="00CB39D1" w:rsidRDefault="00CB39D1" w:rsidP="00CB39D1">
      <w:pPr>
        <w:numPr>
          <w:ilvl w:val="0"/>
          <w:numId w:val="24"/>
        </w:numPr>
        <w:jc w:val="both"/>
        <w:rPr>
          <w:rFonts w:ascii="GHEA Grapalat" w:hAnsi="GHEA Grapalat"/>
          <w:szCs w:val="20"/>
          <w:lang w:val="hy-AM"/>
        </w:rPr>
      </w:pPr>
      <w:r w:rsidRPr="00CB39D1">
        <w:rPr>
          <w:rFonts w:ascii="GHEA Grapalat" w:hAnsi="GHEA Grapalat"/>
          <w:szCs w:val="20"/>
          <w:lang w:val="hy-AM"/>
        </w:rPr>
        <w:t xml:space="preserve">2026 թվականի պետական բյուջեի և միջնաժամկետ հարկաբյուջետային շրջանակի հիմնական ռիսկերը վերաբերում են մակրոտնտեսական անբարենպաստ զարգացումներին, հարկային եկամուտներ/ՀՆԱ ցուցանիշի թիրախավորված բարելավումների ոչ ամբողջական ապահովմանը, միջազգային ֆինանսական շուկաների իրավիճակի վատթարացմանը և ՀՀ կառավարության փոխառության հնարավորությունների սահմանափակմանը, լրացուցիչ ծախսային կարիքների առաջացմանը, և ծախսերի թերակատարմանը և ավելի թույլ խթանող ազդակի ձևավորմանը։ Սցենարային վերլուծության միջոցով նշված ռիսկերին տրվել է քանակական արտահայտություն, և դրանց կառավարման համար ձեռնարկվել են համարժեք </w:t>
      </w:r>
      <w:r w:rsidR="00B46AEA">
        <w:rPr>
          <w:rFonts w:ascii="GHEA Grapalat" w:hAnsi="GHEA Grapalat"/>
          <w:szCs w:val="20"/>
          <w:lang w:val="hy-AM"/>
        </w:rPr>
        <w:t>միջոցառումներ</w:t>
      </w:r>
      <w:r w:rsidR="00926949">
        <w:rPr>
          <w:rFonts w:ascii="GHEA Grapalat" w:hAnsi="GHEA Grapalat"/>
          <w:szCs w:val="20"/>
          <w:lang w:val="hy-AM"/>
        </w:rPr>
        <w:t xml:space="preserve">: </w:t>
      </w:r>
      <w:r w:rsidR="00926949" w:rsidRPr="00926949">
        <w:rPr>
          <w:rFonts w:ascii="GHEA Grapalat" w:hAnsi="GHEA Grapalat"/>
          <w:szCs w:val="20"/>
          <w:lang w:val="hy-AM"/>
        </w:rPr>
        <w:t>Գ</w:t>
      </w:r>
      <w:r w:rsidR="00B46AEA" w:rsidRPr="00926949">
        <w:rPr>
          <w:rFonts w:ascii="GHEA Grapalat" w:hAnsi="GHEA Grapalat"/>
          <w:szCs w:val="20"/>
          <w:lang w:val="hy-AM"/>
        </w:rPr>
        <w:t>նահատված ռիսկի չափը, առարկայացման դեպքում</w:t>
      </w:r>
      <w:r w:rsidR="00926949">
        <w:rPr>
          <w:rFonts w:ascii="GHEA Grapalat" w:hAnsi="GHEA Grapalat"/>
          <w:szCs w:val="20"/>
          <w:lang w:val="hy-AM"/>
        </w:rPr>
        <w:t>,</w:t>
      </w:r>
      <w:r w:rsidR="00B46AEA" w:rsidRPr="00926949">
        <w:rPr>
          <w:rFonts w:ascii="GHEA Grapalat" w:hAnsi="GHEA Grapalat"/>
          <w:szCs w:val="20"/>
          <w:lang w:val="hy-AM"/>
        </w:rPr>
        <w:t xml:space="preserve"> մասնակիորեն կկլանվի հարկաբյուջետային ռիսկերի կառավարման պահուստային ֆոնդով, որը 2026թ. համար նախատեսված է 39.3 մլրդ դրամ</w:t>
      </w:r>
      <w:r w:rsidRPr="00CB39D1">
        <w:rPr>
          <w:rFonts w:ascii="GHEA Grapalat" w:hAnsi="GHEA Grapalat"/>
          <w:szCs w:val="20"/>
          <w:lang w:val="hy-AM"/>
        </w:rPr>
        <w:t>, ինչպես նաև գանձապետական կայունացման հաշվում առնվազն ՀՆԱ 1% չափով «իրացվելիության բարձիկի» ստեղծման ճանապարհով։ Միաժամանակ, տարբեր ռիսկերի առարկայացման պարագայում կառավարությունը կկիրառի հասանելի գործիքները եկամտային ներուժի բարձրացման նպատակով (այդ թվում՝ հարկային վարչարարության լրացուցիչ գործիքների կիրառում), կճշգրտվեն ծախսային առաջնահերթություններն ու շրջանակը, իսկ հարկաբյուջետային կայունության ռիսկերի առարկայացման դեպքում՝ կվերանայվի նաև ծախսային շրջանակը։</w:t>
      </w:r>
    </w:p>
    <w:p w14:paraId="0A619ED3" w14:textId="77777777" w:rsidR="00CB39D1" w:rsidRPr="00CB39D1" w:rsidRDefault="00CB39D1" w:rsidP="00CB39D1">
      <w:pPr>
        <w:rPr>
          <w:b/>
          <w:lang w:val="hy-AM"/>
        </w:rPr>
      </w:pPr>
      <w:r w:rsidRPr="00CB39D1">
        <w:rPr>
          <w:lang w:val="hy-AM"/>
        </w:rPr>
        <w:br w:type="page"/>
      </w:r>
    </w:p>
    <w:p w14:paraId="5E16B7C0" w14:textId="77777777" w:rsidR="00CB39D1" w:rsidRPr="00CB39D1" w:rsidRDefault="00CB39D1" w:rsidP="00CB39D1">
      <w:pPr>
        <w:jc w:val="both"/>
        <w:rPr>
          <w:rFonts w:ascii="GHEA Grapalat" w:hAnsi="GHEA Grapalat"/>
          <w:bCs/>
          <w:szCs w:val="20"/>
          <w:lang w:val="hy-AM"/>
        </w:rPr>
      </w:pPr>
      <w:r w:rsidRPr="00CB39D1">
        <w:rPr>
          <w:rFonts w:ascii="GHEA Grapalat" w:hAnsi="GHEA Grapalat"/>
          <w:bCs/>
          <w:szCs w:val="20"/>
          <w:lang w:val="hy-AM"/>
        </w:rPr>
        <w:t>Աղյուսակ 2.1. 2026 թվականի և միջնաժամկետ հորիզոնի հարկաբյուջետային շրջանակ, մլրդ դրամ</w:t>
      </w:r>
    </w:p>
    <w:tbl>
      <w:tblPr>
        <w:tblW w:w="10250" w:type="dxa"/>
        <w:jc w:val="center"/>
        <w:tblBorders>
          <w:top w:val="single" w:sz="4" w:space="0" w:color="E1E1E3" w:themeColor="accent3" w:themeTint="33"/>
          <w:left w:val="single" w:sz="4" w:space="0" w:color="E1E1E3" w:themeColor="accent3" w:themeTint="33"/>
          <w:bottom w:val="single" w:sz="4" w:space="0" w:color="E1E1E3" w:themeColor="accent3" w:themeTint="33"/>
          <w:right w:val="single" w:sz="4" w:space="0" w:color="E1E1E3" w:themeColor="accent3" w:themeTint="33"/>
          <w:insideH w:val="single" w:sz="4" w:space="0" w:color="E1E1E3" w:themeColor="accent3" w:themeTint="33"/>
          <w:insideV w:val="single" w:sz="4" w:space="0" w:color="E1E1E3" w:themeColor="accent3" w:themeTint="33"/>
        </w:tblBorders>
        <w:tblLook w:val="04A0" w:firstRow="1" w:lastRow="0" w:firstColumn="1" w:lastColumn="0" w:noHBand="0" w:noVBand="1"/>
      </w:tblPr>
      <w:tblGrid>
        <w:gridCol w:w="1860"/>
        <w:gridCol w:w="859"/>
        <w:gridCol w:w="893"/>
        <w:gridCol w:w="895"/>
        <w:gridCol w:w="989"/>
        <w:gridCol w:w="1579"/>
        <w:gridCol w:w="1605"/>
        <w:gridCol w:w="1570"/>
      </w:tblGrid>
      <w:tr w:rsidR="00915C0D" w:rsidRPr="00CB39D1" w14:paraId="4469D690" w14:textId="77777777" w:rsidTr="00915C0D">
        <w:trPr>
          <w:trHeight w:val="415"/>
          <w:jc w:val="center"/>
        </w:trPr>
        <w:tc>
          <w:tcPr>
            <w:tcW w:w="1975" w:type="dxa"/>
            <w:shd w:val="clear" w:color="auto" w:fill="D5DCE4" w:themeFill="text2" w:themeFillTint="33"/>
            <w:vAlign w:val="center"/>
          </w:tcPr>
          <w:p w14:paraId="28943C4F" w14:textId="77777777" w:rsidR="00CB39D1" w:rsidRPr="00CB39D1" w:rsidRDefault="00CB39D1" w:rsidP="00CB39D1">
            <w:pPr>
              <w:spacing w:before="0" w:after="0" w:line="240" w:lineRule="auto"/>
              <w:rPr>
                <w:sz w:val="18"/>
                <w:szCs w:val="18"/>
                <w:lang w:val="hy-AM"/>
              </w:rPr>
            </w:pPr>
            <w:r w:rsidRPr="00CB39D1">
              <w:rPr>
                <w:rFonts w:ascii="Calibri" w:hAnsi="Calibri" w:cs="Calibri"/>
                <w:sz w:val="18"/>
                <w:szCs w:val="18"/>
                <w:lang w:val="hy-AM"/>
              </w:rPr>
              <w:t> </w:t>
            </w:r>
          </w:p>
        </w:tc>
        <w:tc>
          <w:tcPr>
            <w:tcW w:w="747" w:type="dxa"/>
            <w:shd w:val="clear" w:color="auto" w:fill="D5DCE4" w:themeFill="text2" w:themeFillTint="33"/>
            <w:noWrap/>
            <w:vAlign w:val="center"/>
          </w:tcPr>
          <w:p w14:paraId="59DA6A54" w14:textId="77777777" w:rsidR="00CB39D1" w:rsidRPr="00CB39D1" w:rsidRDefault="00CB39D1" w:rsidP="00CB39D1">
            <w:pPr>
              <w:spacing w:before="0" w:after="0" w:line="240" w:lineRule="auto"/>
              <w:jc w:val="center"/>
              <w:rPr>
                <w:b/>
                <w:sz w:val="18"/>
                <w:szCs w:val="18"/>
                <w:lang w:val="hy-AM"/>
              </w:rPr>
            </w:pPr>
            <w:r w:rsidRPr="00CB39D1">
              <w:rPr>
                <w:b/>
                <w:sz w:val="18"/>
                <w:szCs w:val="18"/>
              </w:rPr>
              <w:t>2022</w:t>
            </w:r>
          </w:p>
        </w:tc>
        <w:tc>
          <w:tcPr>
            <w:tcW w:w="893" w:type="dxa"/>
            <w:shd w:val="clear" w:color="auto" w:fill="D5DCE4" w:themeFill="text2" w:themeFillTint="33"/>
            <w:noWrap/>
            <w:vAlign w:val="center"/>
          </w:tcPr>
          <w:p w14:paraId="2B2E0B3C" w14:textId="77777777" w:rsidR="00CB39D1" w:rsidRPr="00CB39D1" w:rsidRDefault="00CB39D1" w:rsidP="00CB39D1">
            <w:pPr>
              <w:spacing w:before="0" w:after="0" w:line="240" w:lineRule="auto"/>
              <w:jc w:val="center"/>
              <w:rPr>
                <w:b/>
                <w:sz w:val="18"/>
                <w:szCs w:val="18"/>
              </w:rPr>
            </w:pPr>
            <w:r w:rsidRPr="00CB39D1">
              <w:rPr>
                <w:b/>
                <w:sz w:val="18"/>
                <w:szCs w:val="18"/>
              </w:rPr>
              <w:t>2023</w:t>
            </w:r>
          </w:p>
        </w:tc>
        <w:tc>
          <w:tcPr>
            <w:tcW w:w="895" w:type="dxa"/>
            <w:shd w:val="clear" w:color="auto" w:fill="D5DCE4" w:themeFill="text2" w:themeFillTint="33"/>
            <w:noWrap/>
            <w:vAlign w:val="center"/>
          </w:tcPr>
          <w:p w14:paraId="2071B3CC" w14:textId="77777777" w:rsidR="00CB39D1" w:rsidRPr="00CB39D1" w:rsidRDefault="00CB39D1" w:rsidP="00CB39D1">
            <w:pPr>
              <w:spacing w:before="0" w:after="0" w:line="240" w:lineRule="auto"/>
              <w:jc w:val="center"/>
              <w:rPr>
                <w:b/>
                <w:sz w:val="18"/>
                <w:szCs w:val="18"/>
              </w:rPr>
            </w:pPr>
            <w:r w:rsidRPr="00CB39D1">
              <w:rPr>
                <w:b/>
                <w:sz w:val="18"/>
                <w:szCs w:val="18"/>
              </w:rPr>
              <w:t>2024</w:t>
            </w:r>
          </w:p>
        </w:tc>
        <w:tc>
          <w:tcPr>
            <w:tcW w:w="986" w:type="dxa"/>
            <w:shd w:val="clear" w:color="auto" w:fill="D5DCE4" w:themeFill="text2" w:themeFillTint="33"/>
            <w:noWrap/>
            <w:vAlign w:val="center"/>
          </w:tcPr>
          <w:p w14:paraId="450B5906" w14:textId="77777777" w:rsidR="00CB39D1" w:rsidRPr="00CB39D1" w:rsidRDefault="00CB39D1" w:rsidP="00CB39D1">
            <w:pPr>
              <w:spacing w:before="0" w:after="0" w:line="240" w:lineRule="auto"/>
              <w:jc w:val="center"/>
              <w:rPr>
                <w:b/>
                <w:sz w:val="18"/>
                <w:szCs w:val="18"/>
                <w:lang w:val="hy-AM"/>
              </w:rPr>
            </w:pPr>
            <w:r w:rsidRPr="00CB39D1">
              <w:rPr>
                <w:b/>
                <w:sz w:val="18"/>
                <w:szCs w:val="18"/>
              </w:rPr>
              <w:t>202</w:t>
            </w:r>
            <w:r w:rsidRPr="00CB39D1">
              <w:rPr>
                <w:b/>
                <w:sz w:val="18"/>
                <w:szCs w:val="18"/>
                <w:lang w:val="hy-AM"/>
              </w:rPr>
              <w:t>5</w:t>
            </w:r>
          </w:p>
        </w:tc>
        <w:tc>
          <w:tcPr>
            <w:tcW w:w="1579" w:type="dxa"/>
            <w:shd w:val="clear" w:color="auto" w:fill="D5DCE4" w:themeFill="text2" w:themeFillTint="33"/>
            <w:noWrap/>
            <w:vAlign w:val="center"/>
          </w:tcPr>
          <w:p w14:paraId="5F6312B2" w14:textId="77777777" w:rsidR="00CB39D1" w:rsidRPr="00CB39D1" w:rsidRDefault="00CB39D1" w:rsidP="00CB39D1">
            <w:pPr>
              <w:spacing w:before="0" w:after="0" w:line="240" w:lineRule="auto"/>
              <w:jc w:val="center"/>
              <w:rPr>
                <w:b/>
                <w:sz w:val="18"/>
                <w:szCs w:val="18"/>
                <w:lang w:val="hy-AM"/>
              </w:rPr>
            </w:pPr>
            <w:r w:rsidRPr="00CB39D1">
              <w:rPr>
                <w:b/>
                <w:sz w:val="18"/>
                <w:szCs w:val="18"/>
              </w:rPr>
              <w:t>202</w:t>
            </w:r>
            <w:r w:rsidRPr="00CB39D1">
              <w:rPr>
                <w:b/>
                <w:sz w:val="18"/>
                <w:szCs w:val="18"/>
                <w:lang w:val="hy-AM"/>
              </w:rPr>
              <w:t>6</w:t>
            </w:r>
          </w:p>
        </w:tc>
        <w:tc>
          <w:tcPr>
            <w:tcW w:w="1605" w:type="dxa"/>
            <w:shd w:val="clear" w:color="auto" w:fill="D5DCE4" w:themeFill="text2" w:themeFillTint="33"/>
            <w:noWrap/>
            <w:vAlign w:val="center"/>
          </w:tcPr>
          <w:p w14:paraId="76D1167F" w14:textId="77777777" w:rsidR="00CB39D1" w:rsidRPr="00CB39D1" w:rsidRDefault="00CB39D1" w:rsidP="00CB39D1">
            <w:pPr>
              <w:spacing w:before="0" w:after="0" w:line="240" w:lineRule="auto"/>
              <w:jc w:val="center"/>
              <w:rPr>
                <w:b/>
                <w:sz w:val="18"/>
                <w:szCs w:val="18"/>
                <w:lang w:val="hy-AM"/>
              </w:rPr>
            </w:pPr>
            <w:r w:rsidRPr="00CB39D1">
              <w:rPr>
                <w:b/>
                <w:sz w:val="18"/>
                <w:szCs w:val="18"/>
              </w:rPr>
              <w:t>202</w:t>
            </w:r>
            <w:r w:rsidRPr="00CB39D1">
              <w:rPr>
                <w:b/>
                <w:sz w:val="18"/>
                <w:szCs w:val="18"/>
                <w:lang w:val="hy-AM"/>
              </w:rPr>
              <w:t>7</w:t>
            </w:r>
          </w:p>
        </w:tc>
        <w:tc>
          <w:tcPr>
            <w:tcW w:w="1570" w:type="dxa"/>
            <w:shd w:val="clear" w:color="auto" w:fill="D5DCE4" w:themeFill="text2" w:themeFillTint="33"/>
            <w:noWrap/>
            <w:vAlign w:val="center"/>
          </w:tcPr>
          <w:p w14:paraId="4E58EC30" w14:textId="77777777" w:rsidR="00CB39D1" w:rsidRPr="00CB39D1" w:rsidRDefault="00CB39D1" w:rsidP="00CB39D1">
            <w:pPr>
              <w:spacing w:before="0" w:after="0" w:line="240" w:lineRule="auto"/>
              <w:jc w:val="center"/>
              <w:rPr>
                <w:b/>
                <w:sz w:val="18"/>
                <w:szCs w:val="18"/>
                <w:lang w:val="hy-AM"/>
              </w:rPr>
            </w:pPr>
            <w:r w:rsidRPr="00CB39D1">
              <w:rPr>
                <w:b/>
                <w:sz w:val="18"/>
                <w:szCs w:val="18"/>
              </w:rPr>
              <w:t>202</w:t>
            </w:r>
            <w:r w:rsidRPr="00CB39D1">
              <w:rPr>
                <w:b/>
                <w:sz w:val="18"/>
                <w:szCs w:val="18"/>
                <w:lang w:val="hy-AM"/>
              </w:rPr>
              <w:t>8</w:t>
            </w:r>
          </w:p>
        </w:tc>
      </w:tr>
      <w:tr w:rsidR="00915C0D" w:rsidRPr="00CB39D1" w14:paraId="7C7D4DAF" w14:textId="77777777" w:rsidTr="00F82E03">
        <w:trPr>
          <w:trHeight w:val="415"/>
          <w:jc w:val="center"/>
        </w:trPr>
        <w:tc>
          <w:tcPr>
            <w:tcW w:w="1975" w:type="dxa"/>
            <w:shd w:val="clear" w:color="auto" w:fill="D5DCE4" w:themeFill="text2" w:themeFillTint="33"/>
            <w:vAlign w:val="center"/>
          </w:tcPr>
          <w:p w14:paraId="2B592615" w14:textId="77777777" w:rsidR="00CB39D1" w:rsidRPr="00CB39D1" w:rsidRDefault="00CB39D1" w:rsidP="00CB39D1">
            <w:pPr>
              <w:spacing w:before="0" w:after="0" w:line="240" w:lineRule="auto"/>
              <w:rPr>
                <w:sz w:val="18"/>
                <w:szCs w:val="18"/>
              </w:rPr>
            </w:pPr>
          </w:p>
        </w:tc>
        <w:tc>
          <w:tcPr>
            <w:tcW w:w="2535" w:type="dxa"/>
            <w:gridSpan w:val="3"/>
            <w:shd w:val="clear" w:color="auto" w:fill="D5DCE4" w:themeFill="text2" w:themeFillTint="33"/>
            <w:noWrap/>
            <w:vAlign w:val="center"/>
          </w:tcPr>
          <w:p w14:paraId="1616D051" w14:textId="77777777" w:rsidR="00CB39D1" w:rsidRPr="00CB39D1" w:rsidRDefault="00CB39D1" w:rsidP="00CB39D1">
            <w:pPr>
              <w:spacing w:before="0" w:after="0" w:line="240" w:lineRule="auto"/>
              <w:jc w:val="center"/>
              <w:rPr>
                <w:sz w:val="18"/>
                <w:szCs w:val="18"/>
              </w:rPr>
            </w:pPr>
            <w:r w:rsidRPr="00CB39D1">
              <w:rPr>
                <w:sz w:val="18"/>
                <w:szCs w:val="18"/>
              </w:rPr>
              <w:t>Փաստացի</w:t>
            </w:r>
          </w:p>
        </w:tc>
        <w:tc>
          <w:tcPr>
            <w:tcW w:w="986" w:type="dxa"/>
            <w:shd w:val="clear" w:color="auto" w:fill="D5DCE4" w:themeFill="text2" w:themeFillTint="33"/>
            <w:noWrap/>
            <w:vAlign w:val="center"/>
          </w:tcPr>
          <w:p w14:paraId="0442815B" w14:textId="77777777" w:rsidR="00CB39D1" w:rsidRPr="00CB39D1" w:rsidRDefault="00CB39D1" w:rsidP="00CB39D1">
            <w:pPr>
              <w:spacing w:before="0" w:after="0" w:line="240" w:lineRule="auto"/>
              <w:jc w:val="center"/>
              <w:rPr>
                <w:sz w:val="18"/>
                <w:szCs w:val="18"/>
              </w:rPr>
            </w:pPr>
            <w:r w:rsidRPr="00CB39D1">
              <w:rPr>
                <w:sz w:val="18"/>
                <w:szCs w:val="18"/>
              </w:rPr>
              <w:t>Սպասում</w:t>
            </w:r>
          </w:p>
        </w:tc>
        <w:tc>
          <w:tcPr>
            <w:tcW w:w="1579" w:type="dxa"/>
            <w:shd w:val="clear" w:color="auto" w:fill="D5DCE4" w:themeFill="text2" w:themeFillTint="33"/>
            <w:noWrap/>
            <w:vAlign w:val="center"/>
          </w:tcPr>
          <w:p w14:paraId="06692FF1" w14:textId="77777777" w:rsidR="00CB39D1" w:rsidRPr="00CB39D1" w:rsidRDefault="00CB39D1" w:rsidP="00CB39D1">
            <w:pPr>
              <w:spacing w:before="0" w:after="0" w:line="240" w:lineRule="auto"/>
              <w:jc w:val="center"/>
              <w:rPr>
                <w:sz w:val="18"/>
                <w:szCs w:val="18"/>
              </w:rPr>
            </w:pPr>
            <w:r w:rsidRPr="00CB39D1">
              <w:rPr>
                <w:sz w:val="18"/>
                <w:szCs w:val="18"/>
              </w:rPr>
              <w:t>202</w:t>
            </w:r>
            <w:r w:rsidRPr="00CB39D1">
              <w:rPr>
                <w:sz w:val="18"/>
                <w:szCs w:val="18"/>
                <w:lang w:val="hy-AM"/>
              </w:rPr>
              <w:t>6</w:t>
            </w:r>
            <w:r w:rsidRPr="00CB39D1">
              <w:rPr>
                <w:sz w:val="18"/>
                <w:szCs w:val="18"/>
              </w:rPr>
              <w:t>թ</w:t>
            </w:r>
            <w:r w:rsidRPr="00CB39D1">
              <w:rPr>
                <w:rFonts w:ascii="Cambria Math" w:hAnsi="Cambria Math" w:cs="Cambria Math"/>
                <w:sz w:val="18"/>
                <w:szCs w:val="18"/>
              </w:rPr>
              <w:t>․</w:t>
            </w:r>
            <w:r w:rsidRPr="00CB39D1">
              <w:rPr>
                <w:sz w:val="18"/>
                <w:szCs w:val="18"/>
              </w:rPr>
              <w:t xml:space="preserve"> պետական բյուջե</w:t>
            </w:r>
          </w:p>
        </w:tc>
        <w:tc>
          <w:tcPr>
            <w:tcW w:w="3175" w:type="dxa"/>
            <w:gridSpan w:val="2"/>
            <w:shd w:val="clear" w:color="auto" w:fill="D5DCE4" w:themeFill="text2" w:themeFillTint="33"/>
            <w:noWrap/>
            <w:vAlign w:val="center"/>
          </w:tcPr>
          <w:p w14:paraId="0C60E6A7" w14:textId="77777777" w:rsidR="00CB39D1" w:rsidRPr="00CB39D1" w:rsidRDefault="00CB39D1" w:rsidP="00CB39D1">
            <w:pPr>
              <w:spacing w:before="0" w:after="0" w:line="240" w:lineRule="auto"/>
              <w:jc w:val="center"/>
              <w:rPr>
                <w:sz w:val="18"/>
                <w:szCs w:val="18"/>
              </w:rPr>
            </w:pPr>
            <w:r w:rsidRPr="00CB39D1">
              <w:rPr>
                <w:sz w:val="18"/>
                <w:szCs w:val="18"/>
              </w:rPr>
              <w:t>Կանխատեսում</w:t>
            </w:r>
          </w:p>
        </w:tc>
      </w:tr>
      <w:tr w:rsidR="00915C0D" w:rsidRPr="00CB39D1" w14:paraId="6D7BA50E" w14:textId="77777777" w:rsidTr="00915C0D">
        <w:trPr>
          <w:trHeight w:val="553"/>
          <w:jc w:val="center"/>
        </w:trPr>
        <w:tc>
          <w:tcPr>
            <w:tcW w:w="1975" w:type="dxa"/>
            <w:vAlign w:val="center"/>
            <w:hideMark/>
          </w:tcPr>
          <w:p w14:paraId="6E1A3B8A" w14:textId="77777777" w:rsidR="00915C0D" w:rsidRPr="00CB39D1" w:rsidRDefault="00915C0D" w:rsidP="00915C0D">
            <w:pPr>
              <w:spacing w:before="0" w:after="0" w:line="240" w:lineRule="auto"/>
              <w:rPr>
                <w:sz w:val="18"/>
                <w:szCs w:val="18"/>
              </w:rPr>
            </w:pPr>
            <w:r w:rsidRPr="00CB39D1">
              <w:rPr>
                <w:sz w:val="18"/>
                <w:szCs w:val="18"/>
              </w:rPr>
              <w:t xml:space="preserve">Պետական բյուջեի եկամուտներ </w:t>
            </w:r>
          </w:p>
        </w:tc>
        <w:tc>
          <w:tcPr>
            <w:tcW w:w="747" w:type="dxa"/>
            <w:noWrap/>
            <w:vAlign w:val="center"/>
            <w:hideMark/>
          </w:tcPr>
          <w:p w14:paraId="7F6B1ED5" w14:textId="77777777" w:rsidR="00915C0D" w:rsidRPr="00CB39D1" w:rsidRDefault="00915C0D" w:rsidP="00915C0D">
            <w:pPr>
              <w:spacing w:before="0" w:after="0" w:line="240" w:lineRule="auto"/>
              <w:jc w:val="center"/>
              <w:rPr>
                <w:sz w:val="18"/>
                <w:szCs w:val="18"/>
              </w:rPr>
            </w:pPr>
            <w:r w:rsidRPr="00CB39D1">
              <w:rPr>
                <w:sz w:val="18"/>
                <w:szCs w:val="18"/>
              </w:rPr>
              <w:t>2,099.6</w:t>
            </w:r>
          </w:p>
        </w:tc>
        <w:tc>
          <w:tcPr>
            <w:tcW w:w="893" w:type="dxa"/>
            <w:noWrap/>
            <w:vAlign w:val="center"/>
            <w:hideMark/>
          </w:tcPr>
          <w:p w14:paraId="4B8ABB67" w14:textId="77777777" w:rsidR="00915C0D" w:rsidRPr="00CB39D1" w:rsidRDefault="00915C0D" w:rsidP="00915C0D">
            <w:pPr>
              <w:spacing w:before="0" w:after="0" w:line="240" w:lineRule="auto"/>
              <w:jc w:val="center"/>
              <w:rPr>
                <w:sz w:val="18"/>
                <w:szCs w:val="18"/>
              </w:rPr>
            </w:pPr>
            <w:r w:rsidRPr="00CB39D1">
              <w:rPr>
                <w:sz w:val="18"/>
                <w:szCs w:val="18"/>
              </w:rPr>
              <w:t>2,410.7</w:t>
            </w:r>
          </w:p>
        </w:tc>
        <w:tc>
          <w:tcPr>
            <w:tcW w:w="895" w:type="dxa"/>
            <w:noWrap/>
            <w:vAlign w:val="center"/>
            <w:hideMark/>
          </w:tcPr>
          <w:p w14:paraId="24443928" w14:textId="77777777" w:rsidR="00915C0D" w:rsidRPr="00CB39D1" w:rsidRDefault="00915C0D" w:rsidP="00915C0D">
            <w:pPr>
              <w:spacing w:before="0" w:after="0" w:line="240" w:lineRule="auto"/>
              <w:jc w:val="center"/>
              <w:rPr>
                <w:sz w:val="18"/>
                <w:szCs w:val="18"/>
              </w:rPr>
            </w:pPr>
            <w:r w:rsidRPr="00CB39D1">
              <w:rPr>
                <w:sz w:val="18"/>
                <w:szCs w:val="18"/>
              </w:rPr>
              <w:t>2,579.2</w:t>
            </w:r>
          </w:p>
        </w:tc>
        <w:tc>
          <w:tcPr>
            <w:tcW w:w="986" w:type="dxa"/>
            <w:noWrap/>
            <w:vAlign w:val="center"/>
            <w:hideMark/>
          </w:tcPr>
          <w:p w14:paraId="68518C18" w14:textId="77777777" w:rsidR="00915C0D" w:rsidRPr="00CB39D1" w:rsidRDefault="00915C0D" w:rsidP="00915C0D">
            <w:pPr>
              <w:spacing w:before="0" w:after="0" w:line="240" w:lineRule="auto"/>
              <w:jc w:val="center"/>
              <w:rPr>
                <w:sz w:val="18"/>
                <w:szCs w:val="18"/>
              </w:rPr>
            </w:pPr>
            <w:r w:rsidRPr="00CB39D1">
              <w:rPr>
                <w:sz w:val="18"/>
                <w:szCs w:val="18"/>
              </w:rPr>
              <w:t>2,832.8</w:t>
            </w:r>
          </w:p>
        </w:tc>
        <w:tc>
          <w:tcPr>
            <w:tcW w:w="1579" w:type="dxa"/>
            <w:noWrap/>
            <w:vAlign w:val="center"/>
            <w:hideMark/>
          </w:tcPr>
          <w:p w14:paraId="1B786962" w14:textId="48E60AE6" w:rsidR="00915C0D" w:rsidRPr="00CB39D1" w:rsidRDefault="00915C0D" w:rsidP="00915C0D">
            <w:pPr>
              <w:spacing w:before="0" w:after="0" w:line="240" w:lineRule="auto"/>
              <w:jc w:val="center"/>
              <w:rPr>
                <w:sz w:val="18"/>
                <w:szCs w:val="18"/>
              </w:rPr>
            </w:pPr>
            <w:r w:rsidRPr="00F82E03">
              <w:rPr>
                <w:sz w:val="18"/>
                <w:szCs w:val="18"/>
              </w:rPr>
              <w:t>3,090.9</w:t>
            </w:r>
          </w:p>
        </w:tc>
        <w:tc>
          <w:tcPr>
            <w:tcW w:w="1605" w:type="dxa"/>
            <w:noWrap/>
            <w:vAlign w:val="center"/>
            <w:hideMark/>
          </w:tcPr>
          <w:p w14:paraId="756FA752" w14:textId="096EFA13" w:rsidR="00915C0D" w:rsidRPr="00CB39D1" w:rsidRDefault="00915C0D" w:rsidP="00915C0D">
            <w:pPr>
              <w:spacing w:before="0" w:after="0" w:line="240" w:lineRule="auto"/>
              <w:jc w:val="center"/>
              <w:rPr>
                <w:sz w:val="18"/>
                <w:szCs w:val="18"/>
              </w:rPr>
            </w:pPr>
            <w:r w:rsidRPr="00F82E03">
              <w:rPr>
                <w:sz w:val="18"/>
                <w:szCs w:val="18"/>
              </w:rPr>
              <w:t>3,352.6</w:t>
            </w:r>
          </w:p>
        </w:tc>
        <w:tc>
          <w:tcPr>
            <w:tcW w:w="1570" w:type="dxa"/>
            <w:noWrap/>
            <w:vAlign w:val="center"/>
            <w:hideMark/>
          </w:tcPr>
          <w:p w14:paraId="5772E302" w14:textId="4C2C1E13" w:rsidR="00915C0D" w:rsidRPr="00CB39D1" w:rsidRDefault="00915C0D" w:rsidP="00915C0D">
            <w:pPr>
              <w:spacing w:before="0" w:after="0" w:line="240" w:lineRule="auto"/>
              <w:jc w:val="center"/>
              <w:rPr>
                <w:sz w:val="18"/>
                <w:szCs w:val="18"/>
              </w:rPr>
            </w:pPr>
            <w:r w:rsidRPr="00F82E03">
              <w:rPr>
                <w:sz w:val="18"/>
                <w:szCs w:val="18"/>
              </w:rPr>
              <w:t>3,638.2</w:t>
            </w:r>
          </w:p>
        </w:tc>
      </w:tr>
      <w:tr w:rsidR="00915C0D" w:rsidRPr="00CB39D1" w14:paraId="549A84E3" w14:textId="77777777" w:rsidTr="00F82E03">
        <w:trPr>
          <w:trHeight w:val="553"/>
          <w:jc w:val="center"/>
        </w:trPr>
        <w:tc>
          <w:tcPr>
            <w:tcW w:w="1975" w:type="dxa"/>
            <w:vAlign w:val="center"/>
            <w:hideMark/>
          </w:tcPr>
          <w:p w14:paraId="3B78086A" w14:textId="77777777" w:rsidR="00CB39D1" w:rsidRPr="00CB39D1" w:rsidRDefault="00CB39D1" w:rsidP="00CB39D1">
            <w:pPr>
              <w:spacing w:before="0" w:after="0" w:line="240" w:lineRule="auto"/>
              <w:rPr>
                <w:sz w:val="18"/>
                <w:szCs w:val="18"/>
              </w:rPr>
            </w:pPr>
            <w:r w:rsidRPr="00CB39D1">
              <w:rPr>
                <w:sz w:val="18"/>
                <w:szCs w:val="18"/>
              </w:rPr>
              <w:t>Հարկային եկամուտներ և տուրքեր</w:t>
            </w:r>
          </w:p>
        </w:tc>
        <w:tc>
          <w:tcPr>
            <w:tcW w:w="747" w:type="dxa"/>
            <w:noWrap/>
            <w:vAlign w:val="center"/>
            <w:hideMark/>
          </w:tcPr>
          <w:p w14:paraId="06E7ADF1" w14:textId="77777777" w:rsidR="00CB39D1" w:rsidRPr="00CB39D1" w:rsidRDefault="00CB39D1" w:rsidP="00CB39D1">
            <w:pPr>
              <w:spacing w:before="0" w:after="0" w:line="240" w:lineRule="auto"/>
              <w:jc w:val="center"/>
              <w:rPr>
                <w:sz w:val="18"/>
                <w:szCs w:val="18"/>
              </w:rPr>
            </w:pPr>
            <w:r w:rsidRPr="00CB39D1">
              <w:rPr>
                <w:sz w:val="18"/>
                <w:szCs w:val="18"/>
              </w:rPr>
              <w:t>1,962.5</w:t>
            </w:r>
          </w:p>
        </w:tc>
        <w:tc>
          <w:tcPr>
            <w:tcW w:w="893" w:type="dxa"/>
            <w:noWrap/>
            <w:vAlign w:val="center"/>
            <w:hideMark/>
          </w:tcPr>
          <w:p w14:paraId="0108AB74" w14:textId="77777777" w:rsidR="00CB39D1" w:rsidRPr="00CB39D1" w:rsidRDefault="00CB39D1" w:rsidP="00CB39D1">
            <w:pPr>
              <w:spacing w:before="0" w:after="0" w:line="240" w:lineRule="auto"/>
              <w:jc w:val="center"/>
              <w:rPr>
                <w:sz w:val="18"/>
                <w:szCs w:val="18"/>
              </w:rPr>
            </w:pPr>
            <w:r w:rsidRPr="00CB39D1">
              <w:rPr>
                <w:sz w:val="18"/>
                <w:szCs w:val="18"/>
              </w:rPr>
              <w:t>2,273.9</w:t>
            </w:r>
          </w:p>
        </w:tc>
        <w:tc>
          <w:tcPr>
            <w:tcW w:w="895" w:type="dxa"/>
            <w:noWrap/>
            <w:vAlign w:val="center"/>
            <w:hideMark/>
          </w:tcPr>
          <w:p w14:paraId="44A63DC2" w14:textId="77777777" w:rsidR="00CB39D1" w:rsidRPr="00CB39D1" w:rsidRDefault="00CB39D1" w:rsidP="00CB39D1">
            <w:pPr>
              <w:spacing w:before="0" w:after="0" w:line="240" w:lineRule="auto"/>
              <w:jc w:val="center"/>
              <w:rPr>
                <w:sz w:val="18"/>
                <w:szCs w:val="18"/>
              </w:rPr>
            </w:pPr>
            <w:r w:rsidRPr="00CB39D1">
              <w:rPr>
                <w:sz w:val="18"/>
                <w:szCs w:val="18"/>
              </w:rPr>
              <w:t>2,390.9</w:t>
            </w:r>
          </w:p>
        </w:tc>
        <w:tc>
          <w:tcPr>
            <w:tcW w:w="986" w:type="dxa"/>
            <w:noWrap/>
            <w:vAlign w:val="center"/>
            <w:hideMark/>
          </w:tcPr>
          <w:p w14:paraId="389C134B" w14:textId="77777777" w:rsidR="00CB39D1" w:rsidRPr="00CB39D1" w:rsidRDefault="00CB39D1" w:rsidP="00CB39D1">
            <w:pPr>
              <w:spacing w:before="0" w:after="0" w:line="240" w:lineRule="auto"/>
              <w:jc w:val="center"/>
              <w:rPr>
                <w:sz w:val="18"/>
                <w:szCs w:val="18"/>
              </w:rPr>
            </w:pPr>
            <w:r w:rsidRPr="00CB39D1">
              <w:rPr>
                <w:sz w:val="18"/>
                <w:szCs w:val="18"/>
              </w:rPr>
              <w:t>2,690.4</w:t>
            </w:r>
          </w:p>
        </w:tc>
        <w:tc>
          <w:tcPr>
            <w:tcW w:w="1579" w:type="dxa"/>
            <w:noWrap/>
            <w:vAlign w:val="center"/>
            <w:hideMark/>
          </w:tcPr>
          <w:p w14:paraId="569D050D" w14:textId="77777777" w:rsidR="00CB39D1" w:rsidRPr="00CB39D1" w:rsidRDefault="00CB39D1" w:rsidP="00CB39D1">
            <w:pPr>
              <w:spacing w:before="0" w:after="0" w:line="240" w:lineRule="auto"/>
              <w:jc w:val="center"/>
              <w:rPr>
                <w:sz w:val="18"/>
                <w:szCs w:val="18"/>
              </w:rPr>
            </w:pPr>
            <w:r w:rsidRPr="00CB39D1">
              <w:rPr>
                <w:sz w:val="18"/>
                <w:szCs w:val="18"/>
              </w:rPr>
              <w:t>2,972.9</w:t>
            </w:r>
          </w:p>
        </w:tc>
        <w:tc>
          <w:tcPr>
            <w:tcW w:w="1605" w:type="dxa"/>
            <w:noWrap/>
            <w:vAlign w:val="center"/>
            <w:hideMark/>
          </w:tcPr>
          <w:p w14:paraId="60D7B7A3" w14:textId="77777777" w:rsidR="00CB39D1" w:rsidRPr="00CB39D1" w:rsidRDefault="00CB39D1" w:rsidP="00CB39D1">
            <w:pPr>
              <w:spacing w:before="0" w:after="0" w:line="240" w:lineRule="auto"/>
              <w:jc w:val="center"/>
              <w:rPr>
                <w:sz w:val="18"/>
                <w:szCs w:val="18"/>
              </w:rPr>
            </w:pPr>
            <w:r w:rsidRPr="00CB39D1">
              <w:rPr>
                <w:sz w:val="18"/>
                <w:szCs w:val="18"/>
              </w:rPr>
              <w:t>3,244.9</w:t>
            </w:r>
          </w:p>
        </w:tc>
        <w:tc>
          <w:tcPr>
            <w:tcW w:w="1570" w:type="dxa"/>
            <w:noWrap/>
            <w:vAlign w:val="center"/>
            <w:hideMark/>
          </w:tcPr>
          <w:p w14:paraId="4EACC1FA" w14:textId="77777777" w:rsidR="00CB39D1" w:rsidRPr="00CB39D1" w:rsidRDefault="00CB39D1" w:rsidP="00CB39D1">
            <w:pPr>
              <w:spacing w:before="0" w:after="0" w:line="240" w:lineRule="auto"/>
              <w:jc w:val="center"/>
              <w:rPr>
                <w:sz w:val="18"/>
                <w:szCs w:val="18"/>
              </w:rPr>
            </w:pPr>
            <w:r w:rsidRPr="00CB39D1">
              <w:rPr>
                <w:sz w:val="18"/>
                <w:szCs w:val="18"/>
              </w:rPr>
              <w:t>3,533.9</w:t>
            </w:r>
          </w:p>
        </w:tc>
      </w:tr>
      <w:tr w:rsidR="00915C0D" w:rsidRPr="00CB39D1" w14:paraId="483F10A0" w14:textId="77777777" w:rsidTr="00915C0D">
        <w:trPr>
          <w:trHeight w:val="553"/>
          <w:jc w:val="center"/>
        </w:trPr>
        <w:tc>
          <w:tcPr>
            <w:tcW w:w="1975" w:type="dxa"/>
            <w:vAlign w:val="center"/>
            <w:hideMark/>
          </w:tcPr>
          <w:p w14:paraId="46E8D5FA" w14:textId="77777777" w:rsidR="00915C0D" w:rsidRPr="00CB39D1" w:rsidRDefault="00915C0D" w:rsidP="00915C0D">
            <w:pPr>
              <w:spacing w:before="0" w:after="0" w:line="240" w:lineRule="auto"/>
              <w:rPr>
                <w:sz w:val="18"/>
                <w:szCs w:val="18"/>
              </w:rPr>
            </w:pPr>
            <w:r w:rsidRPr="00CB39D1">
              <w:rPr>
                <w:sz w:val="18"/>
                <w:szCs w:val="18"/>
              </w:rPr>
              <w:t>Պետական բյուջեի ծախսեր</w:t>
            </w:r>
          </w:p>
        </w:tc>
        <w:tc>
          <w:tcPr>
            <w:tcW w:w="747" w:type="dxa"/>
            <w:noWrap/>
            <w:vAlign w:val="center"/>
            <w:hideMark/>
          </w:tcPr>
          <w:p w14:paraId="6D65A5AB" w14:textId="77777777" w:rsidR="00915C0D" w:rsidRPr="00CB39D1" w:rsidRDefault="00915C0D" w:rsidP="00915C0D">
            <w:pPr>
              <w:spacing w:before="0" w:after="0" w:line="240" w:lineRule="auto"/>
              <w:jc w:val="center"/>
              <w:rPr>
                <w:sz w:val="18"/>
                <w:szCs w:val="18"/>
              </w:rPr>
            </w:pPr>
            <w:r w:rsidRPr="00CB39D1">
              <w:rPr>
                <w:sz w:val="18"/>
                <w:szCs w:val="18"/>
              </w:rPr>
              <w:t>2,279.1</w:t>
            </w:r>
          </w:p>
        </w:tc>
        <w:tc>
          <w:tcPr>
            <w:tcW w:w="893" w:type="dxa"/>
            <w:noWrap/>
            <w:vAlign w:val="center"/>
            <w:hideMark/>
          </w:tcPr>
          <w:p w14:paraId="6F9186C2" w14:textId="77777777" w:rsidR="00915C0D" w:rsidRPr="00CB39D1" w:rsidRDefault="00915C0D" w:rsidP="00915C0D">
            <w:pPr>
              <w:spacing w:before="0" w:after="0" w:line="240" w:lineRule="auto"/>
              <w:jc w:val="center"/>
              <w:rPr>
                <w:sz w:val="18"/>
                <w:szCs w:val="18"/>
              </w:rPr>
            </w:pPr>
            <w:r w:rsidRPr="00CB39D1">
              <w:rPr>
                <w:sz w:val="18"/>
                <w:szCs w:val="18"/>
              </w:rPr>
              <w:t>2,599.6</w:t>
            </w:r>
          </w:p>
        </w:tc>
        <w:tc>
          <w:tcPr>
            <w:tcW w:w="895" w:type="dxa"/>
            <w:noWrap/>
            <w:vAlign w:val="center"/>
            <w:hideMark/>
          </w:tcPr>
          <w:p w14:paraId="3CEBA136" w14:textId="77777777" w:rsidR="00915C0D" w:rsidRPr="00CB39D1" w:rsidRDefault="00915C0D" w:rsidP="00915C0D">
            <w:pPr>
              <w:spacing w:before="0" w:after="0" w:line="240" w:lineRule="auto"/>
              <w:jc w:val="center"/>
              <w:rPr>
                <w:sz w:val="18"/>
                <w:szCs w:val="18"/>
              </w:rPr>
            </w:pPr>
            <w:r w:rsidRPr="00CB39D1">
              <w:rPr>
                <w:sz w:val="18"/>
                <w:szCs w:val="18"/>
              </w:rPr>
              <w:t>2,955.3</w:t>
            </w:r>
          </w:p>
        </w:tc>
        <w:tc>
          <w:tcPr>
            <w:tcW w:w="986" w:type="dxa"/>
            <w:noWrap/>
            <w:vAlign w:val="center"/>
            <w:hideMark/>
          </w:tcPr>
          <w:p w14:paraId="36945B47" w14:textId="77777777" w:rsidR="00915C0D" w:rsidRPr="00CB39D1" w:rsidRDefault="00915C0D" w:rsidP="00915C0D">
            <w:pPr>
              <w:spacing w:before="0" w:after="0" w:line="240" w:lineRule="auto"/>
              <w:jc w:val="center"/>
              <w:rPr>
                <w:sz w:val="18"/>
                <w:szCs w:val="18"/>
              </w:rPr>
            </w:pPr>
            <w:r w:rsidRPr="00CB39D1">
              <w:rPr>
                <w:sz w:val="18"/>
                <w:szCs w:val="18"/>
              </w:rPr>
              <w:t>3,432.6</w:t>
            </w:r>
          </w:p>
        </w:tc>
        <w:tc>
          <w:tcPr>
            <w:tcW w:w="1579" w:type="dxa"/>
            <w:noWrap/>
            <w:vAlign w:val="center"/>
            <w:hideMark/>
          </w:tcPr>
          <w:p w14:paraId="747E7148" w14:textId="07618F2E" w:rsidR="00915C0D" w:rsidRPr="00CB39D1" w:rsidRDefault="00915C0D" w:rsidP="00915C0D">
            <w:pPr>
              <w:spacing w:before="0" w:after="0" w:line="240" w:lineRule="auto"/>
              <w:jc w:val="center"/>
              <w:rPr>
                <w:sz w:val="18"/>
                <w:szCs w:val="18"/>
              </w:rPr>
            </w:pPr>
            <w:r w:rsidRPr="00F82E03">
              <w:rPr>
                <w:sz w:val="18"/>
                <w:szCs w:val="18"/>
              </w:rPr>
              <w:t>3,627.6</w:t>
            </w:r>
          </w:p>
        </w:tc>
        <w:tc>
          <w:tcPr>
            <w:tcW w:w="1605" w:type="dxa"/>
            <w:noWrap/>
            <w:vAlign w:val="center"/>
            <w:hideMark/>
          </w:tcPr>
          <w:p w14:paraId="31CCC3BB" w14:textId="44BE8FFB" w:rsidR="00915C0D" w:rsidRPr="00CB39D1" w:rsidRDefault="00915C0D" w:rsidP="00915C0D">
            <w:pPr>
              <w:spacing w:before="0" w:after="0" w:line="240" w:lineRule="auto"/>
              <w:jc w:val="center"/>
              <w:rPr>
                <w:sz w:val="18"/>
                <w:szCs w:val="18"/>
              </w:rPr>
            </w:pPr>
            <w:r w:rsidRPr="00F82E03">
              <w:rPr>
                <w:sz w:val="18"/>
                <w:szCs w:val="18"/>
              </w:rPr>
              <w:t>3,801.0</w:t>
            </w:r>
          </w:p>
        </w:tc>
        <w:tc>
          <w:tcPr>
            <w:tcW w:w="1570" w:type="dxa"/>
            <w:noWrap/>
            <w:vAlign w:val="center"/>
            <w:hideMark/>
          </w:tcPr>
          <w:p w14:paraId="177D980E" w14:textId="5DA679D5" w:rsidR="00915C0D" w:rsidRPr="00CB39D1" w:rsidRDefault="00915C0D" w:rsidP="00915C0D">
            <w:pPr>
              <w:spacing w:before="0" w:after="0" w:line="240" w:lineRule="auto"/>
              <w:jc w:val="center"/>
              <w:rPr>
                <w:sz w:val="18"/>
                <w:szCs w:val="18"/>
              </w:rPr>
            </w:pPr>
            <w:r w:rsidRPr="00F82E03">
              <w:rPr>
                <w:sz w:val="18"/>
                <w:szCs w:val="18"/>
              </w:rPr>
              <w:t>4,030.6</w:t>
            </w:r>
          </w:p>
        </w:tc>
      </w:tr>
      <w:tr w:rsidR="00915C0D" w:rsidRPr="00CB39D1" w14:paraId="1E56B77A" w14:textId="77777777" w:rsidTr="00915C0D">
        <w:trPr>
          <w:trHeight w:val="553"/>
          <w:jc w:val="center"/>
        </w:trPr>
        <w:tc>
          <w:tcPr>
            <w:tcW w:w="1975" w:type="dxa"/>
            <w:vAlign w:val="center"/>
            <w:hideMark/>
          </w:tcPr>
          <w:p w14:paraId="366DA52A" w14:textId="77777777" w:rsidR="00915C0D" w:rsidRPr="00CB39D1" w:rsidRDefault="00915C0D" w:rsidP="00915C0D">
            <w:pPr>
              <w:spacing w:before="0" w:after="0" w:line="240" w:lineRule="auto"/>
              <w:rPr>
                <w:sz w:val="18"/>
                <w:szCs w:val="18"/>
              </w:rPr>
            </w:pPr>
            <w:r w:rsidRPr="00CB39D1">
              <w:rPr>
                <w:sz w:val="18"/>
                <w:szCs w:val="18"/>
              </w:rPr>
              <w:t>Ընթացիկ ծախսեր</w:t>
            </w:r>
          </w:p>
        </w:tc>
        <w:tc>
          <w:tcPr>
            <w:tcW w:w="747" w:type="dxa"/>
            <w:noWrap/>
            <w:vAlign w:val="center"/>
            <w:hideMark/>
          </w:tcPr>
          <w:p w14:paraId="27660A56" w14:textId="77777777" w:rsidR="00915C0D" w:rsidRPr="00CB39D1" w:rsidRDefault="00915C0D" w:rsidP="00915C0D">
            <w:pPr>
              <w:spacing w:before="0" w:after="0" w:line="240" w:lineRule="auto"/>
              <w:jc w:val="center"/>
              <w:rPr>
                <w:sz w:val="18"/>
                <w:szCs w:val="18"/>
              </w:rPr>
            </w:pPr>
            <w:r w:rsidRPr="00CB39D1">
              <w:rPr>
                <w:sz w:val="18"/>
                <w:szCs w:val="18"/>
              </w:rPr>
              <w:t>1,898.7</w:t>
            </w:r>
          </w:p>
        </w:tc>
        <w:tc>
          <w:tcPr>
            <w:tcW w:w="893" w:type="dxa"/>
            <w:noWrap/>
            <w:vAlign w:val="center"/>
            <w:hideMark/>
          </w:tcPr>
          <w:p w14:paraId="10A74310" w14:textId="77777777" w:rsidR="00915C0D" w:rsidRPr="00CB39D1" w:rsidRDefault="00915C0D" w:rsidP="00915C0D">
            <w:pPr>
              <w:spacing w:before="0" w:after="0" w:line="240" w:lineRule="auto"/>
              <w:jc w:val="center"/>
              <w:rPr>
                <w:sz w:val="18"/>
                <w:szCs w:val="18"/>
              </w:rPr>
            </w:pPr>
            <w:r w:rsidRPr="00CB39D1">
              <w:rPr>
                <w:sz w:val="18"/>
                <w:szCs w:val="18"/>
              </w:rPr>
              <w:t>2,127.0</w:t>
            </w:r>
          </w:p>
        </w:tc>
        <w:tc>
          <w:tcPr>
            <w:tcW w:w="895" w:type="dxa"/>
            <w:noWrap/>
            <w:vAlign w:val="center"/>
            <w:hideMark/>
          </w:tcPr>
          <w:p w14:paraId="7BC46AAA" w14:textId="77777777" w:rsidR="00915C0D" w:rsidRPr="00CB39D1" w:rsidRDefault="00915C0D" w:rsidP="00915C0D">
            <w:pPr>
              <w:spacing w:before="0" w:after="0" w:line="240" w:lineRule="auto"/>
              <w:jc w:val="center"/>
              <w:rPr>
                <w:sz w:val="18"/>
                <w:szCs w:val="18"/>
              </w:rPr>
            </w:pPr>
            <w:r w:rsidRPr="00CB39D1">
              <w:rPr>
                <w:sz w:val="18"/>
                <w:szCs w:val="18"/>
              </w:rPr>
              <w:t>2,413.6</w:t>
            </w:r>
          </w:p>
        </w:tc>
        <w:tc>
          <w:tcPr>
            <w:tcW w:w="986" w:type="dxa"/>
            <w:noWrap/>
            <w:vAlign w:val="center"/>
            <w:hideMark/>
          </w:tcPr>
          <w:p w14:paraId="393D0241" w14:textId="77777777" w:rsidR="00915C0D" w:rsidRPr="00CB39D1" w:rsidRDefault="00915C0D" w:rsidP="00915C0D">
            <w:pPr>
              <w:spacing w:before="0" w:after="0" w:line="240" w:lineRule="auto"/>
              <w:jc w:val="center"/>
              <w:rPr>
                <w:sz w:val="18"/>
                <w:szCs w:val="18"/>
              </w:rPr>
            </w:pPr>
            <w:r w:rsidRPr="00CB39D1">
              <w:rPr>
                <w:sz w:val="18"/>
                <w:szCs w:val="18"/>
              </w:rPr>
              <w:t>2,702.8</w:t>
            </w:r>
          </w:p>
        </w:tc>
        <w:tc>
          <w:tcPr>
            <w:tcW w:w="1579" w:type="dxa"/>
            <w:noWrap/>
            <w:vAlign w:val="center"/>
            <w:hideMark/>
          </w:tcPr>
          <w:p w14:paraId="748C533F" w14:textId="56478083" w:rsidR="00915C0D" w:rsidRPr="00CB39D1" w:rsidRDefault="00915C0D" w:rsidP="00915C0D">
            <w:pPr>
              <w:spacing w:before="0" w:after="0" w:line="240" w:lineRule="auto"/>
              <w:jc w:val="center"/>
              <w:rPr>
                <w:sz w:val="18"/>
                <w:szCs w:val="18"/>
              </w:rPr>
            </w:pPr>
            <w:r w:rsidRPr="00F82E03">
              <w:rPr>
                <w:sz w:val="18"/>
                <w:szCs w:val="18"/>
              </w:rPr>
              <w:t>2,923.5</w:t>
            </w:r>
          </w:p>
        </w:tc>
        <w:tc>
          <w:tcPr>
            <w:tcW w:w="1605" w:type="dxa"/>
            <w:noWrap/>
            <w:vAlign w:val="center"/>
            <w:hideMark/>
          </w:tcPr>
          <w:p w14:paraId="46629DB5" w14:textId="5670A36C" w:rsidR="00915C0D" w:rsidRPr="00CB39D1" w:rsidRDefault="00915C0D" w:rsidP="00915C0D">
            <w:pPr>
              <w:spacing w:before="0" w:after="0" w:line="240" w:lineRule="auto"/>
              <w:jc w:val="center"/>
              <w:rPr>
                <w:sz w:val="18"/>
                <w:szCs w:val="18"/>
              </w:rPr>
            </w:pPr>
            <w:r w:rsidRPr="00F82E03">
              <w:rPr>
                <w:sz w:val="18"/>
                <w:szCs w:val="18"/>
              </w:rPr>
              <w:t>3,082.0</w:t>
            </w:r>
          </w:p>
        </w:tc>
        <w:tc>
          <w:tcPr>
            <w:tcW w:w="1570" w:type="dxa"/>
            <w:noWrap/>
            <w:vAlign w:val="center"/>
            <w:hideMark/>
          </w:tcPr>
          <w:p w14:paraId="5049127A" w14:textId="496AD598" w:rsidR="00915C0D" w:rsidRPr="00CB39D1" w:rsidRDefault="00915C0D" w:rsidP="00915C0D">
            <w:pPr>
              <w:spacing w:before="0" w:after="0" w:line="240" w:lineRule="auto"/>
              <w:jc w:val="center"/>
              <w:rPr>
                <w:sz w:val="18"/>
                <w:szCs w:val="18"/>
              </w:rPr>
            </w:pPr>
            <w:r w:rsidRPr="00F82E03">
              <w:rPr>
                <w:sz w:val="18"/>
                <w:szCs w:val="18"/>
              </w:rPr>
              <w:t>3,227.6</w:t>
            </w:r>
          </w:p>
        </w:tc>
      </w:tr>
      <w:tr w:rsidR="00915C0D" w:rsidRPr="00CB39D1" w14:paraId="09379B64" w14:textId="77777777" w:rsidTr="00F82E03">
        <w:trPr>
          <w:trHeight w:val="553"/>
          <w:jc w:val="center"/>
        </w:trPr>
        <w:tc>
          <w:tcPr>
            <w:tcW w:w="1975" w:type="dxa"/>
            <w:vAlign w:val="center"/>
            <w:hideMark/>
          </w:tcPr>
          <w:p w14:paraId="7FC97F09" w14:textId="77777777" w:rsidR="00CB39D1" w:rsidRPr="00CB39D1" w:rsidRDefault="00CB39D1" w:rsidP="00CB39D1">
            <w:pPr>
              <w:spacing w:before="0" w:after="0" w:line="240" w:lineRule="auto"/>
              <w:rPr>
                <w:sz w:val="18"/>
                <w:szCs w:val="18"/>
              </w:rPr>
            </w:pPr>
            <w:r w:rsidRPr="00CB39D1">
              <w:rPr>
                <w:sz w:val="18"/>
                <w:szCs w:val="18"/>
              </w:rPr>
              <w:t>Ոչ ֆինանսական ակտիվների հետ գործառնություններ</w:t>
            </w:r>
          </w:p>
        </w:tc>
        <w:tc>
          <w:tcPr>
            <w:tcW w:w="747" w:type="dxa"/>
            <w:noWrap/>
            <w:vAlign w:val="center"/>
            <w:hideMark/>
          </w:tcPr>
          <w:p w14:paraId="701B738E" w14:textId="77777777" w:rsidR="00CB39D1" w:rsidRPr="00CB39D1" w:rsidRDefault="00CB39D1" w:rsidP="00CB39D1">
            <w:pPr>
              <w:spacing w:before="0" w:after="0" w:line="240" w:lineRule="auto"/>
              <w:jc w:val="center"/>
              <w:rPr>
                <w:sz w:val="18"/>
                <w:szCs w:val="18"/>
              </w:rPr>
            </w:pPr>
            <w:r w:rsidRPr="00CB39D1">
              <w:rPr>
                <w:sz w:val="18"/>
                <w:szCs w:val="18"/>
              </w:rPr>
              <w:t>380.4</w:t>
            </w:r>
          </w:p>
        </w:tc>
        <w:tc>
          <w:tcPr>
            <w:tcW w:w="893" w:type="dxa"/>
            <w:noWrap/>
            <w:vAlign w:val="center"/>
            <w:hideMark/>
          </w:tcPr>
          <w:p w14:paraId="682CEF04" w14:textId="77777777" w:rsidR="00CB39D1" w:rsidRPr="00CB39D1" w:rsidRDefault="00CB39D1" w:rsidP="00CB39D1">
            <w:pPr>
              <w:spacing w:before="0" w:after="0" w:line="240" w:lineRule="auto"/>
              <w:jc w:val="center"/>
              <w:rPr>
                <w:sz w:val="18"/>
                <w:szCs w:val="18"/>
              </w:rPr>
            </w:pPr>
            <w:r w:rsidRPr="00CB39D1">
              <w:rPr>
                <w:sz w:val="18"/>
                <w:szCs w:val="18"/>
              </w:rPr>
              <w:t>472.6</w:t>
            </w:r>
          </w:p>
        </w:tc>
        <w:tc>
          <w:tcPr>
            <w:tcW w:w="895" w:type="dxa"/>
            <w:noWrap/>
            <w:vAlign w:val="center"/>
            <w:hideMark/>
          </w:tcPr>
          <w:p w14:paraId="1EDA63F7" w14:textId="77777777" w:rsidR="00CB39D1" w:rsidRPr="00CB39D1" w:rsidRDefault="00CB39D1" w:rsidP="00CB39D1">
            <w:pPr>
              <w:spacing w:before="0" w:after="0" w:line="240" w:lineRule="auto"/>
              <w:jc w:val="center"/>
              <w:rPr>
                <w:sz w:val="18"/>
                <w:szCs w:val="18"/>
              </w:rPr>
            </w:pPr>
            <w:r w:rsidRPr="00CB39D1">
              <w:rPr>
                <w:sz w:val="18"/>
                <w:szCs w:val="18"/>
              </w:rPr>
              <w:t>541.7</w:t>
            </w:r>
          </w:p>
        </w:tc>
        <w:tc>
          <w:tcPr>
            <w:tcW w:w="986" w:type="dxa"/>
            <w:noWrap/>
            <w:vAlign w:val="center"/>
            <w:hideMark/>
          </w:tcPr>
          <w:p w14:paraId="3B39C9B5" w14:textId="77777777" w:rsidR="00CB39D1" w:rsidRPr="00CB39D1" w:rsidRDefault="00CB39D1" w:rsidP="00CB39D1">
            <w:pPr>
              <w:spacing w:before="0" w:after="0" w:line="240" w:lineRule="auto"/>
              <w:jc w:val="center"/>
              <w:rPr>
                <w:sz w:val="18"/>
                <w:szCs w:val="18"/>
              </w:rPr>
            </w:pPr>
            <w:r w:rsidRPr="00CB39D1">
              <w:rPr>
                <w:sz w:val="18"/>
                <w:szCs w:val="18"/>
              </w:rPr>
              <w:t>729.9</w:t>
            </w:r>
          </w:p>
        </w:tc>
        <w:tc>
          <w:tcPr>
            <w:tcW w:w="1579" w:type="dxa"/>
            <w:noWrap/>
            <w:vAlign w:val="center"/>
            <w:hideMark/>
          </w:tcPr>
          <w:p w14:paraId="32FBE977" w14:textId="77777777" w:rsidR="00CB39D1" w:rsidRPr="00CB39D1" w:rsidRDefault="00CB39D1" w:rsidP="00CB39D1">
            <w:pPr>
              <w:spacing w:before="0" w:after="0" w:line="240" w:lineRule="auto"/>
              <w:jc w:val="center"/>
              <w:rPr>
                <w:sz w:val="18"/>
                <w:szCs w:val="18"/>
              </w:rPr>
            </w:pPr>
            <w:r w:rsidRPr="00CB39D1">
              <w:rPr>
                <w:sz w:val="18"/>
                <w:szCs w:val="18"/>
              </w:rPr>
              <w:t>704.1</w:t>
            </w:r>
          </w:p>
        </w:tc>
        <w:tc>
          <w:tcPr>
            <w:tcW w:w="1605" w:type="dxa"/>
            <w:noWrap/>
            <w:vAlign w:val="center"/>
            <w:hideMark/>
          </w:tcPr>
          <w:p w14:paraId="0538435D" w14:textId="77777777" w:rsidR="00CB39D1" w:rsidRPr="00CB39D1" w:rsidRDefault="00CB39D1" w:rsidP="00CB39D1">
            <w:pPr>
              <w:spacing w:before="0" w:after="0" w:line="240" w:lineRule="auto"/>
              <w:jc w:val="center"/>
              <w:rPr>
                <w:sz w:val="18"/>
                <w:szCs w:val="18"/>
              </w:rPr>
            </w:pPr>
            <w:r w:rsidRPr="00CB39D1">
              <w:rPr>
                <w:sz w:val="18"/>
                <w:szCs w:val="18"/>
              </w:rPr>
              <w:t>7</w:t>
            </w:r>
            <w:r w:rsidRPr="00F82E03">
              <w:rPr>
                <w:sz w:val="18"/>
                <w:szCs w:val="18"/>
              </w:rPr>
              <w:t>19.1</w:t>
            </w:r>
          </w:p>
        </w:tc>
        <w:tc>
          <w:tcPr>
            <w:tcW w:w="1570" w:type="dxa"/>
            <w:noWrap/>
            <w:vAlign w:val="center"/>
            <w:hideMark/>
          </w:tcPr>
          <w:p w14:paraId="5A7D050D" w14:textId="77777777" w:rsidR="00CB39D1" w:rsidRPr="00CB39D1" w:rsidRDefault="00CB39D1" w:rsidP="00CB39D1">
            <w:pPr>
              <w:spacing w:before="0" w:after="0" w:line="240" w:lineRule="auto"/>
              <w:jc w:val="center"/>
              <w:rPr>
                <w:sz w:val="18"/>
                <w:szCs w:val="18"/>
              </w:rPr>
            </w:pPr>
            <w:r w:rsidRPr="00F82E03">
              <w:rPr>
                <w:sz w:val="18"/>
                <w:szCs w:val="18"/>
              </w:rPr>
              <w:t>803</w:t>
            </w:r>
            <w:r w:rsidRPr="00CB39D1">
              <w:rPr>
                <w:sz w:val="18"/>
                <w:szCs w:val="18"/>
              </w:rPr>
              <w:t>.</w:t>
            </w:r>
            <w:r w:rsidRPr="00F82E03">
              <w:rPr>
                <w:sz w:val="18"/>
                <w:szCs w:val="18"/>
              </w:rPr>
              <w:t>1</w:t>
            </w:r>
          </w:p>
        </w:tc>
      </w:tr>
      <w:tr w:rsidR="00915C0D" w:rsidRPr="00CB39D1" w14:paraId="1805A03A" w14:textId="77777777" w:rsidTr="00915C0D">
        <w:trPr>
          <w:trHeight w:val="553"/>
          <w:jc w:val="center"/>
        </w:trPr>
        <w:tc>
          <w:tcPr>
            <w:tcW w:w="1975" w:type="dxa"/>
            <w:vAlign w:val="center"/>
            <w:hideMark/>
          </w:tcPr>
          <w:p w14:paraId="355112BC" w14:textId="77777777" w:rsidR="00915C0D" w:rsidRPr="00CB39D1" w:rsidRDefault="00915C0D" w:rsidP="00915C0D">
            <w:pPr>
              <w:spacing w:before="0" w:after="0" w:line="240" w:lineRule="auto"/>
              <w:rPr>
                <w:sz w:val="18"/>
                <w:szCs w:val="18"/>
              </w:rPr>
            </w:pPr>
            <w:r w:rsidRPr="00CB39D1">
              <w:rPr>
                <w:sz w:val="18"/>
                <w:szCs w:val="18"/>
              </w:rPr>
              <w:t>Պետական բյուջեի պակասուրդ</w:t>
            </w:r>
          </w:p>
        </w:tc>
        <w:tc>
          <w:tcPr>
            <w:tcW w:w="747" w:type="dxa"/>
            <w:noWrap/>
            <w:vAlign w:val="center"/>
            <w:hideMark/>
          </w:tcPr>
          <w:p w14:paraId="0248941C" w14:textId="77777777" w:rsidR="00915C0D" w:rsidRPr="00CB39D1" w:rsidRDefault="00915C0D" w:rsidP="00915C0D">
            <w:pPr>
              <w:spacing w:before="0" w:after="0" w:line="240" w:lineRule="auto"/>
              <w:jc w:val="center"/>
              <w:rPr>
                <w:sz w:val="18"/>
                <w:szCs w:val="18"/>
              </w:rPr>
            </w:pPr>
            <w:r w:rsidRPr="00CB39D1">
              <w:rPr>
                <w:sz w:val="18"/>
                <w:szCs w:val="18"/>
              </w:rPr>
              <w:t>-179.5</w:t>
            </w:r>
          </w:p>
        </w:tc>
        <w:tc>
          <w:tcPr>
            <w:tcW w:w="893" w:type="dxa"/>
            <w:noWrap/>
            <w:vAlign w:val="center"/>
            <w:hideMark/>
          </w:tcPr>
          <w:p w14:paraId="3566B989" w14:textId="77777777" w:rsidR="00915C0D" w:rsidRPr="00CB39D1" w:rsidRDefault="00915C0D" w:rsidP="00915C0D">
            <w:pPr>
              <w:spacing w:before="0" w:after="0" w:line="240" w:lineRule="auto"/>
              <w:jc w:val="center"/>
              <w:rPr>
                <w:sz w:val="18"/>
                <w:szCs w:val="18"/>
              </w:rPr>
            </w:pPr>
            <w:r w:rsidRPr="00CB39D1">
              <w:rPr>
                <w:sz w:val="18"/>
                <w:szCs w:val="18"/>
              </w:rPr>
              <w:t>-188.9</w:t>
            </w:r>
          </w:p>
        </w:tc>
        <w:tc>
          <w:tcPr>
            <w:tcW w:w="895" w:type="dxa"/>
            <w:noWrap/>
            <w:vAlign w:val="center"/>
            <w:hideMark/>
          </w:tcPr>
          <w:p w14:paraId="40E87B90" w14:textId="77777777" w:rsidR="00915C0D" w:rsidRPr="00CB39D1" w:rsidRDefault="00915C0D" w:rsidP="00915C0D">
            <w:pPr>
              <w:spacing w:before="0" w:after="0" w:line="240" w:lineRule="auto"/>
              <w:jc w:val="center"/>
              <w:rPr>
                <w:sz w:val="18"/>
                <w:szCs w:val="18"/>
              </w:rPr>
            </w:pPr>
            <w:r w:rsidRPr="00CB39D1">
              <w:rPr>
                <w:sz w:val="18"/>
                <w:szCs w:val="18"/>
              </w:rPr>
              <w:t>-376.1</w:t>
            </w:r>
          </w:p>
        </w:tc>
        <w:tc>
          <w:tcPr>
            <w:tcW w:w="986" w:type="dxa"/>
            <w:noWrap/>
            <w:vAlign w:val="center"/>
            <w:hideMark/>
          </w:tcPr>
          <w:p w14:paraId="31D91609" w14:textId="77777777" w:rsidR="00915C0D" w:rsidRPr="00CB39D1" w:rsidRDefault="00915C0D" w:rsidP="00915C0D">
            <w:pPr>
              <w:spacing w:before="0" w:after="0" w:line="240" w:lineRule="auto"/>
              <w:jc w:val="center"/>
              <w:rPr>
                <w:sz w:val="18"/>
                <w:szCs w:val="18"/>
              </w:rPr>
            </w:pPr>
            <w:r w:rsidRPr="00CB39D1">
              <w:rPr>
                <w:sz w:val="18"/>
                <w:szCs w:val="18"/>
              </w:rPr>
              <w:t>-599.8</w:t>
            </w:r>
          </w:p>
        </w:tc>
        <w:tc>
          <w:tcPr>
            <w:tcW w:w="1579" w:type="dxa"/>
            <w:noWrap/>
            <w:vAlign w:val="center"/>
            <w:hideMark/>
          </w:tcPr>
          <w:p w14:paraId="702F1F20" w14:textId="2290FE2A" w:rsidR="00915C0D" w:rsidRPr="00CB39D1" w:rsidRDefault="00915C0D" w:rsidP="00915C0D">
            <w:pPr>
              <w:spacing w:before="0" w:after="0" w:line="240" w:lineRule="auto"/>
              <w:jc w:val="center"/>
              <w:rPr>
                <w:sz w:val="18"/>
                <w:szCs w:val="18"/>
              </w:rPr>
            </w:pPr>
            <w:r w:rsidRPr="00F82E03">
              <w:rPr>
                <w:sz w:val="18"/>
                <w:szCs w:val="18"/>
              </w:rPr>
              <w:t>-536.8</w:t>
            </w:r>
          </w:p>
        </w:tc>
        <w:tc>
          <w:tcPr>
            <w:tcW w:w="1605" w:type="dxa"/>
            <w:noWrap/>
            <w:vAlign w:val="center"/>
            <w:hideMark/>
          </w:tcPr>
          <w:p w14:paraId="5AC9EFE1" w14:textId="2F7351D9" w:rsidR="00915C0D" w:rsidRPr="00CB39D1" w:rsidRDefault="00915C0D" w:rsidP="00915C0D">
            <w:pPr>
              <w:spacing w:before="0" w:after="0" w:line="240" w:lineRule="auto"/>
              <w:jc w:val="center"/>
              <w:rPr>
                <w:sz w:val="18"/>
                <w:szCs w:val="18"/>
              </w:rPr>
            </w:pPr>
            <w:r w:rsidRPr="00F82E03">
              <w:rPr>
                <w:sz w:val="18"/>
                <w:szCs w:val="18"/>
              </w:rPr>
              <w:t>-448.4</w:t>
            </w:r>
          </w:p>
        </w:tc>
        <w:tc>
          <w:tcPr>
            <w:tcW w:w="1570" w:type="dxa"/>
            <w:noWrap/>
            <w:vAlign w:val="center"/>
            <w:hideMark/>
          </w:tcPr>
          <w:p w14:paraId="10048241" w14:textId="7617BB55" w:rsidR="00915C0D" w:rsidRPr="00CB39D1" w:rsidRDefault="00915C0D" w:rsidP="00915C0D">
            <w:pPr>
              <w:spacing w:before="0" w:after="0" w:line="240" w:lineRule="auto"/>
              <w:jc w:val="center"/>
              <w:rPr>
                <w:sz w:val="18"/>
                <w:szCs w:val="18"/>
              </w:rPr>
            </w:pPr>
            <w:r w:rsidRPr="00F82E03">
              <w:rPr>
                <w:sz w:val="18"/>
                <w:szCs w:val="18"/>
              </w:rPr>
              <w:t>-392.4</w:t>
            </w:r>
          </w:p>
        </w:tc>
      </w:tr>
      <w:tr w:rsidR="00915C0D" w:rsidRPr="00CB39D1" w14:paraId="4E7864B6" w14:textId="77777777" w:rsidTr="00F82E03">
        <w:trPr>
          <w:trHeight w:val="553"/>
          <w:jc w:val="center"/>
        </w:trPr>
        <w:tc>
          <w:tcPr>
            <w:tcW w:w="1975" w:type="dxa"/>
            <w:vAlign w:val="center"/>
            <w:hideMark/>
          </w:tcPr>
          <w:p w14:paraId="2AE095C8" w14:textId="77777777" w:rsidR="00915C0D" w:rsidRPr="00CB39D1" w:rsidRDefault="00915C0D" w:rsidP="00915C0D">
            <w:pPr>
              <w:spacing w:before="0" w:after="0" w:line="240" w:lineRule="auto"/>
              <w:rPr>
                <w:sz w:val="18"/>
                <w:szCs w:val="18"/>
              </w:rPr>
            </w:pPr>
            <w:r w:rsidRPr="00CB39D1">
              <w:rPr>
                <w:sz w:val="18"/>
                <w:szCs w:val="18"/>
              </w:rPr>
              <w:t>Կառավարության պարտք</w:t>
            </w:r>
          </w:p>
        </w:tc>
        <w:tc>
          <w:tcPr>
            <w:tcW w:w="747" w:type="dxa"/>
            <w:noWrap/>
            <w:vAlign w:val="center"/>
            <w:hideMark/>
          </w:tcPr>
          <w:p w14:paraId="04DEE2CA" w14:textId="77777777" w:rsidR="00915C0D" w:rsidRPr="00CB39D1" w:rsidRDefault="00915C0D" w:rsidP="00915C0D">
            <w:pPr>
              <w:spacing w:before="0" w:after="0" w:line="240" w:lineRule="auto"/>
              <w:jc w:val="center"/>
              <w:rPr>
                <w:sz w:val="18"/>
                <w:szCs w:val="18"/>
              </w:rPr>
            </w:pPr>
            <w:r w:rsidRPr="00CB39D1">
              <w:rPr>
                <w:sz w:val="18"/>
                <w:szCs w:val="18"/>
              </w:rPr>
              <w:t>3969.7</w:t>
            </w:r>
          </w:p>
        </w:tc>
        <w:tc>
          <w:tcPr>
            <w:tcW w:w="893" w:type="dxa"/>
            <w:noWrap/>
            <w:vAlign w:val="center"/>
            <w:hideMark/>
          </w:tcPr>
          <w:p w14:paraId="75AF1DA5" w14:textId="77777777" w:rsidR="00915C0D" w:rsidRPr="00CB39D1" w:rsidRDefault="00915C0D" w:rsidP="00915C0D">
            <w:pPr>
              <w:spacing w:before="0" w:after="0" w:line="240" w:lineRule="auto"/>
              <w:jc w:val="center"/>
              <w:rPr>
                <w:sz w:val="18"/>
                <w:szCs w:val="18"/>
              </w:rPr>
            </w:pPr>
            <w:r w:rsidRPr="00CB39D1">
              <w:rPr>
                <w:sz w:val="18"/>
                <w:szCs w:val="18"/>
              </w:rPr>
              <w:t>4571.9</w:t>
            </w:r>
          </w:p>
        </w:tc>
        <w:tc>
          <w:tcPr>
            <w:tcW w:w="895" w:type="dxa"/>
            <w:noWrap/>
            <w:vAlign w:val="center"/>
            <w:hideMark/>
          </w:tcPr>
          <w:p w14:paraId="5A1140F8" w14:textId="77777777" w:rsidR="00915C0D" w:rsidRPr="00CB39D1" w:rsidRDefault="00915C0D" w:rsidP="00915C0D">
            <w:pPr>
              <w:spacing w:before="0" w:after="0" w:line="240" w:lineRule="auto"/>
              <w:jc w:val="center"/>
              <w:rPr>
                <w:sz w:val="18"/>
                <w:szCs w:val="18"/>
              </w:rPr>
            </w:pPr>
            <w:r w:rsidRPr="00CB39D1">
              <w:rPr>
                <w:sz w:val="18"/>
                <w:szCs w:val="18"/>
              </w:rPr>
              <w:t>4,892.8</w:t>
            </w:r>
          </w:p>
        </w:tc>
        <w:tc>
          <w:tcPr>
            <w:tcW w:w="986" w:type="dxa"/>
            <w:noWrap/>
            <w:vAlign w:val="center"/>
            <w:hideMark/>
          </w:tcPr>
          <w:p w14:paraId="62F65803" w14:textId="077AB35A" w:rsidR="00915C0D" w:rsidRPr="00CB39D1" w:rsidRDefault="00915C0D" w:rsidP="00915C0D">
            <w:pPr>
              <w:spacing w:before="0" w:after="0" w:line="240" w:lineRule="auto"/>
              <w:jc w:val="center"/>
              <w:rPr>
                <w:sz w:val="18"/>
                <w:szCs w:val="18"/>
              </w:rPr>
            </w:pPr>
            <w:r w:rsidRPr="00F82E03">
              <w:rPr>
                <w:sz w:val="18"/>
                <w:szCs w:val="18"/>
              </w:rPr>
              <w:t>5,448.4</w:t>
            </w:r>
          </w:p>
        </w:tc>
        <w:tc>
          <w:tcPr>
            <w:tcW w:w="1579" w:type="dxa"/>
            <w:noWrap/>
            <w:vAlign w:val="center"/>
            <w:hideMark/>
          </w:tcPr>
          <w:p w14:paraId="1F9B56D7" w14:textId="633C63AD" w:rsidR="00915C0D" w:rsidRPr="00CB39D1" w:rsidRDefault="00915C0D" w:rsidP="00915C0D">
            <w:pPr>
              <w:spacing w:before="0" w:after="0" w:line="240" w:lineRule="auto"/>
              <w:jc w:val="center"/>
              <w:rPr>
                <w:sz w:val="18"/>
                <w:szCs w:val="18"/>
              </w:rPr>
            </w:pPr>
            <w:r w:rsidRPr="00F82E03">
              <w:rPr>
                <w:sz w:val="18"/>
                <w:szCs w:val="18"/>
              </w:rPr>
              <w:t>6,310.3</w:t>
            </w:r>
          </w:p>
        </w:tc>
        <w:tc>
          <w:tcPr>
            <w:tcW w:w="1605" w:type="dxa"/>
            <w:noWrap/>
            <w:vAlign w:val="center"/>
            <w:hideMark/>
          </w:tcPr>
          <w:p w14:paraId="255F313A" w14:textId="1EC8D9A3" w:rsidR="00915C0D" w:rsidRPr="00CB39D1" w:rsidRDefault="00915C0D" w:rsidP="00915C0D">
            <w:pPr>
              <w:spacing w:before="0" w:after="0" w:line="240" w:lineRule="auto"/>
              <w:jc w:val="center"/>
              <w:rPr>
                <w:sz w:val="18"/>
                <w:szCs w:val="18"/>
              </w:rPr>
            </w:pPr>
            <w:r w:rsidRPr="00F82E03">
              <w:rPr>
                <w:sz w:val="18"/>
                <w:szCs w:val="18"/>
              </w:rPr>
              <w:t>6,951.5</w:t>
            </w:r>
          </w:p>
        </w:tc>
        <w:tc>
          <w:tcPr>
            <w:tcW w:w="1570" w:type="dxa"/>
            <w:noWrap/>
            <w:vAlign w:val="center"/>
            <w:hideMark/>
          </w:tcPr>
          <w:p w14:paraId="4FF03D9C" w14:textId="1A520A60" w:rsidR="00915C0D" w:rsidRPr="00CB39D1" w:rsidRDefault="00915C0D" w:rsidP="00915C0D">
            <w:pPr>
              <w:spacing w:before="0" w:after="0" w:line="240" w:lineRule="auto"/>
              <w:jc w:val="center"/>
              <w:rPr>
                <w:sz w:val="18"/>
                <w:szCs w:val="18"/>
              </w:rPr>
            </w:pPr>
            <w:r w:rsidRPr="00F82E03">
              <w:rPr>
                <w:sz w:val="18"/>
                <w:szCs w:val="18"/>
              </w:rPr>
              <w:t>7,544.2</w:t>
            </w:r>
          </w:p>
        </w:tc>
      </w:tr>
      <w:tr w:rsidR="00CB39D1" w:rsidRPr="00CB39D1" w14:paraId="05F603FC" w14:textId="77777777" w:rsidTr="00F82E03">
        <w:trPr>
          <w:trHeight w:val="553"/>
          <w:jc w:val="center"/>
        </w:trPr>
        <w:tc>
          <w:tcPr>
            <w:tcW w:w="10250" w:type="dxa"/>
            <w:gridSpan w:val="8"/>
            <w:shd w:val="clear" w:color="auto" w:fill="D5DCE4" w:themeFill="text2" w:themeFillTint="33"/>
            <w:noWrap/>
            <w:vAlign w:val="center"/>
            <w:hideMark/>
          </w:tcPr>
          <w:p w14:paraId="7BBC6830" w14:textId="77777777" w:rsidR="00CB39D1" w:rsidRPr="00CB39D1" w:rsidRDefault="00CB39D1" w:rsidP="00CB39D1">
            <w:pPr>
              <w:spacing w:before="0" w:after="0" w:line="240" w:lineRule="auto"/>
              <w:rPr>
                <w:sz w:val="18"/>
                <w:szCs w:val="18"/>
              </w:rPr>
            </w:pPr>
            <w:r w:rsidRPr="00CB39D1">
              <w:rPr>
                <w:sz w:val="18"/>
                <w:szCs w:val="18"/>
              </w:rPr>
              <w:t>կշիռը ՀՆԱ</w:t>
            </w:r>
            <w:r w:rsidRPr="00CB39D1">
              <w:rPr>
                <w:sz w:val="18"/>
                <w:szCs w:val="18"/>
                <w:shd w:val="clear" w:color="auto" w:fill="D5DCE4" w:themeFill="text2" w:themeFillTint="33"/>
              </w:rPr>
              <w:t>-ում, %</w:t>
            </w:r>
          </w:p>
        </w:tc>
      </w:tr>
      <w:tr w:rsidR="00915C0D" w:rsidRPr="00CB39D1" w14:paraId="0CA4095D" w14:textId="77777777" w:rsidTr="00F82E03">
        <w:trPr>
          <w:trHeight w:val="553"/>
          <w:jc w:val="center"/>
        </w:trPr>
        <w:tc>
          <w:tcPr>
            <w:tcW w:w="1975" w:type="dxa"/>
            <w:vAlign w:val="center"/>
            <w:hideMark/>
          </w:tcPr>
          <w:p w14:paraId="4A03887A" w14:textId="77777777" w:rsidR="00CB39D1" w:rsidRPr="00CB39D1" w:rsidRDefault="00CB39D1" w:rsidP="00CB39D1">
            <w:pPr>
              <w:spacing w:before="0" w:after="0" w:line="240" w:lineRule="auto"/>
              <w:rPr>
                <w:sz w:val="18"/>
                <w:szCs w:val="18"/>
              </w:rPr>
            </w:pPr>
            <w:r w:rsidRPr="00CB39D1">
              <w:rPr>
                <w:sz w:val="18"/>
                <w:szCs w:val="18"/>
              </w:rPr>
              <w:t>Պետական բյուջեի եկամուտներ</w:t>
            </w:r>
          </w:p>
        </w:tc>
        <w:tc>
          <w:tcPr>
            <w:tcW w:w="747" w:type="dxa"/>
            <w:noWrap/>
            <w:vAlign w:val="center"/>
            <w:hideMark/>
          </w:tcPr>
          <w:p w14:paraId="0497976D" w14:textId="77777777" w:rsidR="00CB39D1" w:rsidRPr="00CB39D1" w:rsidRDefault="00CB39D1" w:rsidP="00CB39D1">
            <w:pPr>
              <w:spacing w:before="0" w:after="0" w:line="240" w:lineRule="auto"/>
              <w:jc w:val="center"/>
              <w:rPr>
                <w:sz w:val="18"/>
                <w:szCs w:val="18"/>
              </w:rPr>
            </w:pPr>
            <w:r w:rsidRPr="00CB39D1">
              <w:rPr>
                <w:sz w:val="18"/>
                <w:szCs w:val="18"/>
              </w:rPr>
              <w:t>24.7</w:t>
            </w:r>
          </w:p>
        </w:tc>
        <w:tc>
          <w:tcPr>
            <w:tcW w:w="893" w:type="dxa"/>
            <w:noWrap/>
            <w:vAlign w:val="center"/>
            <w:hideMark/>
          </w:tcPr>
          <w:p w14:paraId="4698E1AD" w14:textId="77777777" w:rsidR="00CB39D1" w:rsidRPr="00CB39D1" w:rsidRDefault="00CB39D1" w:rsidP="00CB39D1">
            <w:pPr>
              <w:spacing w:before="0" w:after="0" w:line="240" w:lineRule="auto"/>
              <w:jc w:val="center"/>
              <w:rPr>
                <w:sz w:val="18"/>
                <w:szCs w:val="18"/>
              </w:rPr>
            </w:pPr>
            <w:r w:rsidRPr="00CB39D1">
              <w:rPr>
                <w:sz w:val="18"/>
                <w:szCs w:val="18"/>
              </w:rPr>
              <w:t>25.4</w:t>
            </w:r>
          </w:p>
        </w:tc>
        <w:tc>
          <w:tcPr>
            <w:tcW w:w="895" w:type="dxa"/>
            <w:noWrap/>
            <w:vAlign w:val="center"/>
            <w:hideMark/>
          </w:tcPr>
          <w:p w14:paraId="721682B6" w14:textId="77777777" w:rsidR="00CB39D1" w:rsidRPr="00CB39D1" w:rsidRDefault="00CB39D1" w:rsidP="00CB39D1">
            <w:pPr>
              <w:spacing w:before="0" w:after="0" w:line="240" w:lineRule="auto"/>
              <w:jc w:val="center"/>
              <w:rPr>
                <w:sz w:val="18"/>
                <w:szCs w:val="18"/>
              </w:rPr>
            </w:pPr>
            <w:r w:rsidRPr="00CB39D1">
              <w:rPr>
                <w:sz w:val="18"/>
                <w:szCs w:val="18"/>
              </w:rPr>
              <w:t>25.3</w:t>
            </w:r>
          </w:p>
        </w:tc>
        <w:tc>
          <w:tcPr>
            <w:tcW w:w="986" w:type="dxa"/>
            <w:noWrap/>
            <w:vAlign w:val="center"/>
            <w:hideMark/>
          </w:tcPr>
          <w:p w14:paraId="64A16A4A" w14:textId="77777777" w:rsidR="00CB39D1" w:rsidRPr="00CB39D1" w:rsidRDefault="00CB39D1" w:rsidP="00CB39D1">
            <w:pPr>
              <w:spacing w:before="0" w:after="0" w:line="240" w:lineRule="auto"/>
              <w:jc w:val="center"/>
              <w:rPr>
                <w:sz w:val="18"/>
                <w:szCs w:val="18"/>
              </w:rPr>
            </w:pPr>
            <w:r w:rsidRPr="00CB39D1">
              <w:rPr>
                <w:sz w:val="18"/>
                <w:szCs w:val="18"/>
              </w:rPr>
              <w:t>25.8</w:t>
            </w:r>
          </w:p>
        </w:tc>
        <w:tc>
          <w:tcPr>
            <w:tcW w:w="1579" w:type="dxa"/>
            <w:noWrap/>
            <w:vAlign w:val="center"/>
            <w:hideMark/>
          </w:tcPr>
          <w:p w14:paraId="1F77818F" w14:textId="77777777" w:rsidR="00CB39D1" w:rsidRPr="00CB39D1" w:rsidRDefault="00CB39D1" w:rsidP="00CB39D1">
            <w:pPr>
              <w:spacing w:before="0" w:after="0" w:line="240" w:lineRule="auto"/>
              <w:jc w:val="center"/>
              <w:rPr>
                <w:sz w:val="18"/>
                <w:szCs w:val="18"/>
              </w:rPr>
            </w:pPr>
            <w:r w:rsidRPr="00CB39D1">
              <w:rPr>
                <w:sz w:val="18"/>
                <w:szCs w:val="18"/>
              </w:rPr>
              <w:t>25.9</w:t>
            </w:r>
          </w:p>
        </w:tc>
        <w:tc>
          <w:tcPr>
            <w:tcW w:w="1605" w:type="dxa"/>
            <w:noWrap/>
            <w:vAlign w:val="center"/>
            <w:hideMark/>
          </w:tcPr>
          <w:p w14:paraId="46B21B46" w14:textId="77777777" w:rsidR="00CB39D1" w:rsidRPr="00CB39D1" w:rsidRDefault="00CB39D1" w:rsidP="00CB39D1">
            <w:pPr>
              <w:spacing w:before="0" w:after="0" w:line="240" w:lineRule="auto"/>
              <w:jc w:val="center"/>
              <w:rPr>
                <w:sz w:val="18"/>
                <w:szCs w:val="18"/>
              </w:rPr>
            </w:pPr>
            <w:r w:rsidRPr="00CB39D1">
              <w:rPr>
                <w:sz w:val="18"/>
                <w:szCs w:val="18"/>
              </w:rPr>
              <w:t>25.9</w:t>
            </w:r>
          </w:p>
        </w:tc>
        <w:tc>
          <w:tcPr>
            <w:tcW w:w="1570" w:type="dxa"/>
            <w:noWrap/>
            <w:vAlign w:val="center"/>
            <w:hideMark/>
          </w:tcPr>
          <w:p w14:paraId="39CD1B7B" w14:textId="77777777" w:rsidR="00CB39D1" w:rsidRPr="00CB39D1" w:rsidRDefault="00CB39D1" w:rsidP="00CB39D1">
            <w:pPr>
              <w:spacing w:before="0" w:after="0" w:line="240" w:lineRule="auto"/>
              <w:jc w:val="center"/>
              <w:rPr>
                <w:sz w:val="18"/>
                <w:szCs w:val="18"/>
              </w:rPr>
            </w:pPr>
            <w:r w:rsidRPr="00CB39D1">
              <w:rPr>
                <w:sz w:val="18"/>
                <w:szCs w:val="18"/>
              </w:rPr>
              <w:t>25.9</w:t>
            </w:r>
          </w:p>
        </w:tc>
      </w:tr>
      <w:tr w:rsidR="00915C0D" w:rsidRPr="00CB39D1" w14:paraId="4C316B41" w14:textId="77777777" w:rsidTr="00F82E03">
        <w:trPr>
          <w:trHeight w:val="553"/>
          <w:jc w:val="center"/>
        </w:trPr>
        <w:tc>
          <w:tcPr>
            <w:tcW w:w="1975" w:type="dxa"/>
            <w:vAlign w:val="center"/>
            <w:hideMark/>
          </w:tcPr>
          <w:p w14:paraId="0C07F9CC" w14:textId="77777777" w:rsidR="00CB39D1" w:rsidRPr="00CB39D1" w:rsidRDefault="00CB39D1" w:rsidP="00CB39D1">
            <w:pPr>
              <w:spacing w:before="0" w:after="0" w:line="240" w:lineRule="auto"/>
              <w:rPr>
                <w:sz w:val="18"/>
                <w:szCs w:val="18"/>
              </w:rPr>
            </w:pPr>
            <w:r w:rsidRPr="00CB39D1">
              <w:rPr>
                <w:sz w:val="18"/>
                <w:szCs w:val="18"/>
              </w:rPr>
              <w:t>Հարկային եկամուտներ և տուրքեր</w:t>
            </w:r>
          </w:p>
        </w:tc>
        <w:tc>
          <w:tcPr>
            <w:tcW w:w="747" w:type="dxa"/>
            <w:noWrap/>
            <w:vAlign w:val="center"/>
            <w:hideMark/>
          </w:tcPr>
          <w:p w14:paraId="2906C5C0" w14:textId="77777777" w:rsidR="00CB39D1" w:rsidRPr="00CB39D1" w:rsidRDefault="00CB39D1" w:rsidP="00CB39D1">
            <w:pPr>
              <w:spacing w:before="0" w:after="0" w:line="240" w:lineRule="auto"/>
              <w:jc w:val="center"/>
              <w:rPr>
                <w:sz w:val="18"/>
                <w:szCs w:val="18"/>
              </w:rPr>
            </w:pPr>
            <w:r w:rsidRPr="00CB39D1">
              <w:rPr>
                <w:sz w:val="18"/>
                <w:szCs w:val="18"/>
              </w:rPr>
              <w:t>23.1</w:t>
            </w:r>
          </w:p>
        </w:tc>
        <w:tc>
          <w:tcPr>
            <w:tcW w:w="893" w:type="dxa"/>
            <w:noWrap/>
            <w:vAlign w:val="center"/>
            <w:hideMark/>
          </w:tcPr>
          <w:p w14:paraId="03DD2AE6" w14:textId="77777777" w:rsidR="00CB39D1" w:rsidRPr="00CB39D1" w:rsidRDefault="00CB39D1" w:rsidP="00CB39D1">
            <w:pPr>
              <w:spacing w:before="0" w:after="0" w:line="240" w:lineRule="auto"/>
              <w:jc w:val="center"/>
              <w:rPr>
                <w:sz w:val="18"/>
                <w:szCs w:val="18"/>
              </w:rPr>
            </w:pPr>
            <w:r w:rsidRPr="00CB39D1">
              <w:rPr>
                <w:sz w:val="18"/>
                <w:szCs w:val="18"/>
              </w:rPr>
              <w:t>24.0</w:t>
            </w:r>
          </w:p>
        </w:tc>
        <w:tc>
          <w:tcPr>
            <w:tcW w:w="895" w:type="dxa"/>
            <w:noWrap/>
            <w:vAlign w:val="center"/>
            <w:hideMark/>
          </w:tcPr>
          <w:p w14:paraId="56C36C5B" w14:textId="77777777" w:rsidR="00CB39D1" w:rsidRPr="00CB39D1" w:rsidRDefault="00CB39D1" w:rsidP="00CB39D1">
            <w:pPr>
              <w:spacing w:before="0" w:after="0" w:line="240" w:lineRule="auto"/>
              <w:jc w:val="center"/>
              <w:rPr>
                <w:sz w:val="18"/>
                <w:szCs w:val="18"/>
              </w:rPr>
            </w:pPr>
            <w:r w:rsidRPr="00CB39D1">
              <w:rPr>
                <w:sz w:val="18"/>
                <w:szCs w:val="18"/>
              </w:rPr>
              <w:t>23.5</w:t>
            </w:r>
          </w:p>
        </w:tc>
        <w:tc>
          <w:tcPr>
            <w:tcW w:w="986" w:type="dxa"/>
            <w:noWrap/>
            <w:vAlign w:val="center"/>
            <w:hideMark/>
          </w:tcPr>
          <w:p w14:paraId="2220BEBF" w14:textId="77777777" w:rsidR="00CB39D1" w:rsidRPr="00CB39D1" w:rsidRDefault="00CB39D1" w:rsidP="00CB39D1">
            <w:pPr>
              <w:spacing w:before="0" w:after="0" w:line="240" w:lineRule="auto"/>
              <w:jc w:val="center"/>
              <w:rPr>
                <w:sz w:val="18"/>
                <w:szCs w:val="18"/>
              </w:rPr>
            </w:pPr>
            <w:r w:rsidRPr="00CB39D1">
              <w:rPr>
                <w:sz w:val="18"/>
                <w:szCs w:val="18"/>
              </w:rPr>
              <w:t>24.5</w:t>
            </w:r>
          </w:p>
        </w:tc>
        <w:tc>
          <w:tcPr>
            <w:tcW w:w="1579" w:type="dxa"/>
            <w:noWrap/>
            <w:vAlign w:val="center"/>
            <w:hideMark/>
          </w:tcPr>
          <w:p w14:paraId="5D425723" w14:textId="77777777" w:rsidR="00CB39D1" w:rsidRPr="00CB39D1" w:rsidRDefault="00CB39D1" w:rsidP="00CB39D1">
            <w:pPr>
              <w:spacing w:before="0" w:after="0" w:line="240" w:lineRule="auto"/>
              <w:jc w:val="center"/>
              <w:rPr>
                <w:sz w:val="18"/>
                <w:szCs w:val="18"/>
              </w:rPr>
            </w:pPr>
            <w:r w:rsidRPr="00CB39D1">
              <w:rPr>
                <w:sz w:val="18"/>
                <w:szCs w:val="18"/>
              </w:rPr>
              <w:t>24.9</w:t>
            </w:r>
          </w:p>
        </w:tc>
        <w:tc>
          <w:tcPr>
            <w:tcW w:w="1605" w:type="dxa"/>
            <w:noWrap/>
            <w:vAlign w:val="center"/>
            <w:hideMark/>
          </w:tcPr>
          <w:p w14:paraId="5515CAEE" w14:textId="77777777" w:rsidR="00CB39D1" w:rsidRPr="00CB39D1" w:rsidRDefault="00CB39D1" w:rsidP="00CB39D1">
            <w:pPr>
              <w:spacing w:before="0" w:after="0" w:line="240" w:lineRule="auto"/>
              <w:jc w:val="center"/>
              <w:rPr>
                <w:sz w:val="18"/>
                <w:szCs w:val="18"/>
              </w:rPr>
            </w:pPr>
            <w:r w:rsidRPr="00CB39D1">
              <w:rPr>
                <w:sz w:val="18"/>
                <w:szCs w:val="18"/>
              </w:rPr>
              <w:t>25.1</w:t>
            </w:r>
          </w:p>
        </w:tc>
        <w:tc>
          <w:tcPr>
            <w:tcW w:w="1570" w:type="dxa"/>
            <w:noWrap/>
            <w:vAlign w:val="center"/>
            <w:hideMark/>
          </w:tcPr>
          <w:p w14:paraId="4016F7E9" w14:textId="77777777" w:rsidR="00CB39D1" w:rsidRPr="00CB39D1" w:rsidRDefault="00CB39D1" w:rsidP="00CB39D1">
            <w:pPr>
              <w:spacing w:before="0" w:after="0" w:line="240" w:lineRule="auto"/>
              <w:jc w:val="center"/>
              <w:rPr>
                <w:sz w:val="18"/>
                <w:szCs w:val="18"/>
              </w:rPr>
            </w:pPr>
            <w:r w:rsidRPr="00CB39D1">
              <w:rPr>
                <w:sz w:val="18"/>
                <w:szCs w:val="18"/>
              </w:rPr>
              <w:t>25.2</w:t>
            </w:r>
          </w:p>
        </w:tc>
      </w:tr>
      <w:tr w:rsidR="00915C0D" w:rsidRPr="00CB39D1" w14:paraId="384A11AD" w14:textId="77777777" w:rsidTr="00F82E03">
        <w:trPr>
          <w:trHeight w:val="553"/>
          <w:jc w:val="center"/>
        </w:trPr>
        <w:tc>
          <w:tcPr>
            <w:tcW w:w="1975" w:type="dxa"/>
            <w:vAlign w:val="center"/>
            <w:hideMark/>
          </w:tcPr>
          <w:p w14:paraId="1EEC6CA4" w14:textId="77777777" w:rsidR="00CB39D1" w:rsidRPr="00CB39D1" w:rsidRDefault="00CB39D1" w:rsidP="00CB39D1">
            <w:pPr>
              <w:spacing w:before="0" w:after="0" w:line="240" w:lineRule="auto"/>
              <w:rPr>
                <w:sz w:val="18"/>
                <w:szCs w:val="18"/>
              </w:rPr>
            </w:pPr>
            <w:r w:rsidRPr="00CB39D1">
              <w:rPr>
                <w:sz w:val="18"/>
                <w:szCs w:val="18"/>
              </w:rPr>
              <w:t>Պետական բյուջեի ծախսեր</w:t>
            </w:r>
          </w:p>
        </w:tc>
        <w:tc>
          <w:tcPr>
            <w:tcW w:w="747" w:type="dxa"/>
            <w:noWrap/>
            <w:vAlign w:val="center"/>
            <w:hideMark/>
          </w:tcPr>
          <w:p w14:paraId="6F1082C0" w14:textId="77777777" w:rsidR="00CB39D1" w:rsidRPr="00CB39D1" w:rsidRDefault="00CB39D1" w:rsidP="00CB39D1">
            <w:pPr>
              <w:spacing w:before="0" w:after="0" w:line="240" w:lineRule="auto"/>
              <w:jc w:val="center"/>
              <w:rPr>
                <w:sz w:val="18"/>
                <w:szCs w:val="18"/>
              </w:rPr>
            </w:pPr>
            <w:r w:rsidRPr="00CB39D1">
              <w:rPr>
                <w:sz w:val="18"/>
                <w:szCs w:val="18"/>
              </w:rPr>
              <w:t>26.8</w:t>
            </w:r>
          </w:p>
        </w:tc>
        <w:tc>
          <w:tcPr>
            <w:tcW w:w="893" w:type="dxa"/>
            <w:noWrap/>
            <w:vAlign w:val="center"/>
            <w:hideMark/>
          </w:tcPr>
          <w:p w14:paraId="67750246" w14:textId="77777777" w:rsidR="00CB39D1" w:rsidRPr="00CB39D1" w:rsidRDefault="00CB39D1" w:rsidP="00CB39D1">
            <w:pPr>
              <w:spacing w:before="0" w:after="0" w:line="240" w:lineRule="auto"/>
              <w:jc w:val="center"/>
              <w:rPr>
                <w:sz w:val="18"/>
                <w:szCs w:val="18"/>
              </w:rPr>
            </w:pPr>
            <w:r w:rsidRPr="00CB39D1">
              <w:rPr>
                <w:sz w:val="18"/>
                <w:szCs w:val="18"/>
              </w:rPr>
              <w:t>27.4</w:t>
            </w:r>
          </w:p>
        </w:tc>
        <w:tc>
          <w:tcPr>
            <w:tcW w:w="895" w:type="dxa"/>
            <w:noWrap/>
            <w:vAlign w:val="center"/>
            <w:hideMark/>
          </w:tcPr>
          <w:p w14:paraId="0EE52175" w14:textId="77777777" w:rsidR="00CB39D1" w:rsidRPr="00CB39D1" w:rsidRDefault="00CB39D1" w:rsidP="00CB39D1">
            <w:pPr>
              <w:spacing w:before="0" w:after="0" w:line="240" w:lineRule="auto"/>
              <w:jc w:val="center"/>
              <w:rPr>
                <w:sz w:val="18"/>
                <w:szCs w:val="18"/>
              </w:rPr>
            </w:pPr>
            <w:r w:rsidRPr="00CB39D1">
              <w:rPr>
                <w:sz w:val="18"/>
                <w:szCs w:val="18"/>
              </w:rPr>
              <w:t>29.0</w:t>
            </w:r>
          </w:p>
        </w:tc>
        <w:tc>
          <w:tcPr>
            <w:tcW w:w="986" w:type="dxa"/>
            <w:noWrap/>
            <w:vAlign w:val="center"/>
            <w:hideMark/>
          </w:tcPr>
          <w:p w14:paraId="074139CF" w14:textId="77777777" w:rsidR="00CB39D1" w:rsidRPr="00CB39D1" w:rsidRDefault="00CB39D1" w:rsidP="00CB39D1">
            <w:pPr>
              <w:spacing w:before="0" w:after="0" w:line="240" w:lineRule="auto"/>
              <w:jc w:val="center"/>
              <w:rPr>
                <w:sz w:val="18"/>
                <w:szCs w:val="18"/>
              </w:rPr>
            </w:pPr>
            <w:r w:rsidRPr="00CB39D1">
              <w:rPr>
                <w:sz w:val="18"/>
                <w:szCs w:val="18"/>
              </w:rPr>
              <w:t>31.2</w:t>
            </w:r>
          </w:p>
        </w:tc>
        <w:tc>
          <w:tcPr>
            <w:tcW w:w="1579" w:type="dxa"/>
            <w:noWrap/>
            <w:vAlign w:val="center"/>
            <w:hideMark/>
          </w:tcPr>
          <w:p w14:paraId="6C53656E" w14:textId="77777777" w:rsidR="00CB39D1" w:rsidRPr="00CB39D1" w:rsidRDefault="00CB39D1" w:rsidP="00CB39D1">
            <w:pPr>
              <w:spacing w:before="0" w:after="0" w:line="240" w:lineRule="auto"/>
              <w:jc w:val="center"/>
              <w:rPr>
                <w:sz w:val="18"/>
                <w:szCs w:val="18"/>
              </w:rPr>
            </w:pPr>
            <w:r w:rsidRPr="00CB39D1">
              <w:rPr>
                <w:sz w:val="18"/>
                <w:szCs w:val="18"/>
              </w:rPr>
              <w:t>30.4</w:t>
            </w:r>
          </w:p>
        </w:tc>
        <w:tc>
          <w:tcPr>
            <w:tcW w:w="1605" w:type="dxa"/>
            <w:noWrap/>
            <w:vAlign w:val="center"/>
            <w:hideMark/>
          </w:tcPr>
          <w:p w14:paraId="566725BF" w14:textId="77777777" w:rsidR="00CB39D1" w:rsidRPr="00CB39D1" w:rsidRDefault="00CB39D1" w:rsidP="00CB39D1">
            <w:pPr>
              <w:spacing w:before="0" w:after="0" w:line="240" w:lineRule="auto"/>
              <w:jc w:val="center"/>
              <w:rPr>
                <w:sz w:val="18"/>
                <w:szCs w:val="18"/>
              </w:rPr>
            </w:pPr>
            <w:r w:rsidRPr="00CB39D1">
              <w:rPr>
                <w:sz w:val="18"/>
                <w:szCs w:val="18"/>
              </w:rPr>
              <w:t>29.</w:t>
            </w:r>
            <w:r w:rsidRPr="00CB39D1">
              <w:rPr>
                <w:sz w:val="18"/>
                <w:szCs w:val="18"/>
                <w:lang w:val="hy-AM"/>
              </w:rPr>
              <w:t>3</w:t>
            </w:r>
          </w:p>
        </w:tc>
        <w:tc>
          <w:tcPr>
            <w:tcW w:w="1570" w:type="dxa"/>
            <w:noWrap/>
            <w:vAlign w:val="center"/>
            <w:hideMark/>
          </w:tcPr>
          <w:p w14:paraId="4E1FE2BB" w14:textId="77777777" w:rsidR="00CB39D1" w:rsidRPr="00CB39D1" w:rsidRDefault="00CB39D1" w:rsidP="00CB39D1">
            <w:pPr>
              <w:spacing w:before="0" w:after="0" w:line="240" w:lineRule="auto"/>
              <w:jc w:val="center"/>
              <w:rPr>
                <w:sz w:val="18"/>
                <w:szCs w:val="18"/>
              </w:rPr>
            </w:pPr>
            <w:r w:rsidRPr="00CB39D1">
              <w:rPr>
                <w:sz w:val="18"/>
                <w:szCs w:val="18"/>
              </w:rPr>
              <w:t>28.7</w:t>
            </w:r>
          </w:p>
        </w:tc>
      </w:tr>
      <w:tr w:rsidR="00915C0D" w:rsidRPr="00CB39D1" w14:paraId="78B254BF" w14:textId="77777777" w:rsidTr="00F82E03">
        <w:trPr>
          <w:trHeight w:val="553"/>
          <w:jc w:val="center"/>
        </w:trPr>
        <w:tc>
          <w:tcPr>
            <w:tcW w:w="1975" w:type="dxa"/>
            <w:vAlign w:val="center"/>
            <w:hideMark/>
          </w:tcPr>
          <w:p w14:paraId="0C94E95A" w14:textId="77777777" w:rsidR="00CB39D1" w:rsidRPr="00CB39D1" w:rsidRDefault="00CB39D1" w:rsidP="00CB39D1">
            <w:pPr>
              <w:spacing w:before="0" w:after="0" w:line="240" w:lineRule="auto"/>
              <w:rPr>
                <w:sz w:val="18"/>
                <w:szCs w:val="18"/>
              </w:rPr>
            </w:pPr>
            <w:r w:rsidRPr="00CB39D1">
              <w:rPr>
                <w:sz w:val="18"/>
                <w:szCs w:val="18"/>
              </w:rPr>
              <w:t>Ընթացիկ ծախսեր</w:t>
            </w:r>
          </w:p>
        </w:tc>
        <w:tc>
          <w:tcPr>
            <w:tcW w:w="747" w:type="dxa"/>
            <w:noWrap/>
            <w:vAlign w:val="center"/>
            <w:hideMark/>
          </w:tcPr>
          <w:p w14:paraId="47C8CA75" w14:textId="77777777" w:rsidR="00CB39D1" w:rsidRPr="00CB39D1" w:rsidRDefault="00CB39D1" w:rsidP="00CB39D1">
            <w:pPr>
              <w:spacing w:before="0" w:after="0" w:line="240" w:lineRule="auto"/>
              <w:jc w:val="center"/>
              <w:rPr>
                <w:sz w:val="18"/>
                <w:szCs w:val="18"/>
              </w:rPr>
            </w:pPr>
            <w:r w:rsidRPr="00CB39D1">
              <w:rPr>
                <w:sz w:val="18"/>
                <w:szCs w:val="18"/>
              </w:rPr>
              <w:t>22.3</w:t>
            </w:r>
          </w:p>
        </w:tc>
        <w:tc>
          <w:tcPr>
            <w:tcW w:w="893" w:type="dxa"/>
            <w:noWrap/>
            <w:vAlign w:val="center"/>
            <w:hideMark/>
          </w:tcPr>
          <w:p w14:paraId="7D0BBD25" w14:textId="77777777" w:rsidR="00CB39D1" w:rsidRPr="00CB39D1" w:rsidRDefault="00CB39D1" w:rsidP="00CB39D1">
            <w:pPr>
              <w:spacing w:before="0" w:after="0" w:line="240" w:lineRule="auto"/>
              <w:jc w:val="center"/>
              <w:rPr>
                <w:sz w:val="18"/>
                <w:szCs w:val="18"/>
              </w:rPr>
            </w:pPr>
            <w:r w:rsidRPr="00CB39D1">
              <w:rPr>
                <w:sz w:val="18"/>
                <w:szCs w:val="18"/>
              </w:rPr>
              <w:t>22.4</w:t>
            </w:r>
          </w:p>
        </w:tc>
        <w:tc>
          <w:tcPr>
            <w:tcW w:w="895" w:type="dxa"/>
            <w:noWrap/>
            <w:vAlign w:val="center"/>
            <w:hideMark/>
          </w:tcPr>
          <w:p w14:paraId="4664420E" w14:textId="77777777" w:rsidR="00CB39D1" w:rsidRPr="00CB39D1" w:rsidRDefault="00CB39D1" w:rsidP="00CB39D1">
            <w:pPr>
              <w:spacing w:before="0" w:after="0" w:line="240" w:lineRule="auto"/>
              <w:jc w:val="center"/>
              <w:rPr>
                <w:sz w:val="18"/>
                <w:szCs w:val="18"/>
              </w:rPr>
            </w:pPr>
            <w:r w:rsidRPr="00CB39D1">
              <w:rPr>
                <w:sz w:val="18"/>
                <w:szCs w:val="18"/>
              </w:rPr>
              <w:t>23.7</w:t>
            </w:r>
          </w:p>
        </w:tc>
        <w:tc>
          <w:tcPr>
            <w:tcW w:w="986" w:type="dxa"/>
            <w:noWrap/>
            <w:vAlign w:val="center"/>
            <w:hideMark/>
          </w:tcPr>
          <w:p w14:paraId="0F46F89E" w14:textId="77777777" w:rsidR="00CB39D1" w:rsidRPr="00CB39D1" w:rsidRDefault="00CB39D1" w:rsidP="00CB39D1">
            <w:pPr>
              <w:spacing w:before="0" w:after="0" w:line="240" w:lineRule="auto"/>
              <w:jc w:val="center"/>
              <w:rPr>
                <w:sz w:val="18"/>
                <w:szCs w:val="18"/>
              </w:rPr>
            </w:pPr>
            <w:r w:rsidRPr="00CB39D1">
              <w:rPr>
                <w:sz w:val="18"/>
                <w:szCs w:val="18"/>
              </w:rPr>
              <w:t>24.6</w:t>
            </w:r>
          </w:p>
        </w:tc>
        <w:tc>
          <w:tcPr>
            <w:tcW w:w="1579" w:type="dxa"/>
            <w:noWrap/>
            <w:vAlign w:val="center"/>
            <w:hideMark/>
          </w:tcPr>
          <w:p w14:paraId="30BC7D99" w14:textId="77777777" w:rsidR="00CB39D1" w:rsidRPr="00CB39D1" w:rsidRDefault="00CB39D1" w:rsidP="00CB39D1">
            <w:pPr>
              <w:spacing w:before="0" w:after="0" w:line="240" w:lineRule="auto"/>
              <w:jc w:val="center"/>
              <w:rPr>
                <w:sz w:val="18"/>
                <w:szCs w:val="18"/>
              </w:rPr>
            </w:pPr>
            <w:r w:rsidRPr="00CB39D1">
              <w:rPr>
                <w:sz w:val="18"/>
                <w:szCs w:val="18"/>
              </w:rPr>
              <w:t>24.5</w:t>
            </w:r>
          </w:p>
        </w:tc>
        <w:tc>
          <w:tcPr>
            <w:tcW w:w="1605" w:type="dxa"/>
            <w:noWrap/>
            <w:vAlign w:val="center"/>
            <w:hideMark/>
          </w:tcPr>
          <w:p w14:paraId="4A2B12E6" w14:textId="77777777" w:rsidR="00CB39D1" w:rsidRPr="00CB39D1" w:rsidRDefault="00CB39D1" w:rsidP="00CB39D1">
            <w:pPr>
              <w:spacing w:before="0" w:after="0" w:line="240" w:lineRule="auto"/>
              <w:jc w:val="center"/>
              <w:rPr>
                <w:sz w:val="18"/>
                <w:szCs w:val="18"/>
              </w:rPr>
            </w:pPr>
            <w:r w:rsidRPr="00CB39D1">
              <w:rPr>
                <w:sz w:val="18"/>
                <w:szCs w:val="18"/>
              </w:rPr>
              <w:t>23.</w:t>
            </w:r>
            <w:r w:rsidRPr="00CB39D1">
              <w:rPr>
                <w:sz w:val="18"/>
                <w:szCs w:val="18"/>
                <w:lang w:val="hy-AM"/>
              </w:rPr>
              <w:t>8</w:t>
            </w:r>
          </w:p>
        </w:tc>
        <w:tc>
          <w:tcPr>
            <w:tcW w:w="1570" w:type="dxa"/>
            <w:noWrap/>
            <w:vAlign w:val="center"/>
            <w:hideMark/>
          </w:tcPr>
          <w:p w14:paraId="7180E3DC" w14:textId="77777777" w:rsidR="00CB39D1" w:rsidRPr="00CB39D1" w:rsidRDefault="00CB39D1" w:rsidP="00CB39D1">
            <w:pPr>
              <w:spacing w:before="0" w:after="0" w:line="240" w:lineRule="auto"/>
              <w:jc w:val="center"/>
              <w:rPr>
                <w:sz w:val="18"/>
                <w:szCs w:val="18"/>
              </w:rPr>
            </w:pPr>
            <w:r w:rsidRPr="00CB39D1">
              <w:rPr>
                <w:sz w:val="18"/>
                <w:szCs w:val="18"/>
              </w:rPr>
              <w:t>2</w:t>
            </w:r>
            <w:r w:rsidRPr="00CB39D1">
              <w:rPr>
                <w:sz w:val="18"/>
                <w:szCs w:val="18"/>
                <w:lang w:val="hy-AM"/>
              </w:rPr>
              <w:t>3</w:t>
            </w:r>
            <w:r w:rsidRPr="00CB39D1">
              <w:rPr>
                <w:sz w:val="18"/>
                <w:szCs w:val="18"/>
              </w:rPr>
              <w:t>.</w:t>
            </w:r>
            <w:r w:rsidRPr="00CB39D1">
              <w:rPr>
                <w:sz w:val="18"/>
                <w:szCs w:val="18"/>
                <w:lang w:val="hy-AM"/>
              </w:rPr>
              <w:t>0</w:t>
            </w:r>
          </w:p>
        </w:tc>
      </w:tr>
      <w:tr w:rsidR="00915C0D" w:rsidRPr="00CB39D1" w14:paraId="5DE1C2D5" w14:textId="77777777" w:rsidTr="00F82E03">
        <w:trPr>
          <w:trHeight w:val="553"/>
          <w:jc w:val="center"/>
        </w:trPr>
        <w:tc>
          <w:tcPr>
            <w:tcW w:w="1975" w:type="dxa"/>
            <w:vAlign w:val="center"/>
            <w:hideMark/>
          </w:tcPr>
          <w:p w14:paraId="6C6A1DE4" w14:textId="77777777" w:rsidR="00CB39D1" w:rsidRPr="00CB39D1" w:rsidRDefault="00CB39D1" w:rsidP="00CB39D1">
            <w:pPr>
              <w:spacing w:before="0" w:after="0" w:line="240" w:lineRule="auto"/>
              <w:rPr>
                <w:sz w:val="18"/>
                <w:szCs w:val="18"/>
              </w:rPr>
            </w:pPr>
            <w:r w:rsidRPr="00CB39D1">
              <w:rPr>
                <w:sz w:val="18"/>
                <w:szCs w:val="18"/>
              </w:rPr>
              <w:t>Ոչ ֆինանսական ակտիվների հետ գործառնություններ</w:t>
            </w:r>
          </w:p>
        </w:tc>
        <w:tc>
          <w:tcPr>
            <w:tcW w:w="747" w:type="dxa"/>
            <w:noWrap/>
            <w:vAlign w:val="center"/>
            <w:hideMark/>
          </w:tcPr>
          <w:p w14:paraId="3E09B36E" w14:textId="77777777" w:rsidR="00CB39D1" w:rsidRPr="00CB39D1" w:rsidRDefault="00CB39D1" w:rsidP="00CB39D1">
            <w:pPr>
              <w:spacing w:before="0" w:after="0" w:line="240" w:lineRule="auto"/>
              <w:jc w:val="center"/>
              <w:rPr>
                <w:sz w:val="18"/>
                <w:szCs w:val="18"/>
              </w:rPr>
            </w:pPr>
            <w:r w:rsidRPr="00CB39D1">
              <w:rPr>
                <w:sz w:val="18"/>
                <w:szCs w:val="18"/>
              </w:rPr>
              <w:t>4.5</w:t>
            </w:r>
          </w:p>
        </w:tc>
        <w:tc>
          <w:tcPr>
            <w:tcW w:w="893" w:type="dxa"/>
            <w:noWrap/>
            <w:vAlign w:val="center"/>
            <w:hideMark/>
          </w:tcPr>
          <w:p w14:paraId="153569B1" w14:textId="77777777" w:rsidR="00CB39D1" w:rsidRPr="00CB39D1" w:rsidRDefault="00CB39D1" w:rsidP="00CB39D1">
            <w:pPr>
              <w:spacing w:before="0" w:after="0" w:line="240" w:lineRule="auto"/>
              <w:jc w:val="center"/>
              <w:rPr>
                <w:sz w:val="18"/>
                <w:szCs w:val="18"/>
              </w:rPr>
            </w:pPr>
            <w:r w:rsidRPr="00CB39D1">
              <w:rPr>
                <w:sz w:val="18"/>
                <w:szCs w:val="18"/>
              </w:rPr>
              <w:t>5.0</w:t>
            </w:r>
          </w:p>
        </w:tc>
        <w:tc>
          <w:tcPr>
            <w:tcW w:w="895" w:type="dxa"/>
            <w:noWrap/>
            <w:vAlign w:val="center"/>
            <w:hideMark/>
          </w:tcPr>
          <w:p w14:paraId="3D245FE7" w14:textId="77777777" w:rsidR="00CB39D1" w:rsidRPr="00CB39D1" w:rsidRDefault="00CB39D1" w:rsidP="00CB39D1">
            <w:pPr>
              <w:spacing w:before="0" w:after="0" w:line="240" w:lineRule="auto"/>
              <w:jc w:val="center"/>
              <w:rPr>
                <w:sz w:val="18"/>
                <w:szCs w:val="18"/>
              </w:rPr>
            </w:pPr>
            <w:r w:rsidRPr="00CB39D1">
              <w:rPr>
                <w:sz w:val="18"/>
                <w:szCs w:val="18"/>
              </w:rPr>
              <w:t>5.3</w:t>
            </w:r>
          </w:p>
        </w:tc>
        <w:tc>
          <w:tcPr>
            <w:tcW w:w="986" w:type="dxa"/>
            <w:noWrap/>
            <w:vAlign w:val="center"/>
            <w:hideMark/>
          </w:tcPr>
          <w:p w14:paraId="377FE807" w14:textId="77777777" w:rsidR="00CB39D1" w:rsidRPr="00CB39D1" w:rsidRDefault="00CB39D1" w:rsidP="00CB39D1">
            <w:pPr>
              <w:spacing w:before="0" w:after="0" w:line="240" w:lineRule="auto"/>
              <w:jc w:val="center"/>
              <w:rPr>
                <w:sz w:val="18"/>
                <w:szCs w:val="18"/>
              </w:rPr>
            </w:pPr>
            <w:r w:rsidRPr="00CB39D1">
              <w:rPr>
                <w:sz w:val="18"/>
                <w:szCs w:val="18"/>
              </w:rPr>
              <w:t>6.6</w:t>
            </w:r>
          </w:p>
        </w:tc>
        <w:tc>
          <w:tcPr>
            <w:tcW w:w="1579" w:type="dxa"/>
            <w:noWrap/>
            <w:vAlign w:val="center"/>
            <w:hideMark/>
          </w:tcPr>
          <w:p w14:paraId="40F5167B" w14:textId="77777777" w:rsidR="00CB39D1" w:rsidRPr="00CB39D1" w:rsidRDefault="00CB39D1" w:rsidP="00CB39D1">
            <w:pPr>
              <w:spacing w:before="0" w:after="0" w:line="240" w:lineRule="auto"/>
              <w:jc w:val="center"/>
              <w:rPr>
                <w:sz w:val="18"/>
                <w:szCs w:val="18"/>
              </w:rPr>
            </w:pPr>
            <w:r w:rsidRPr="00CB39D1">
              <w:rPr>
                <w:sz w:val="18"/>
                <w:szCs w:val="18"/>
              </w:rPr>
              <w:t>5.9</w:t>
            </w:r>
          </w:p>
        </w:tc>
        <w:tc>
          <w:tcPr>
            <w:tcW w:w="1605" w:type="dxa"/>
            <w:noWrap/>
            <w:vAlign w:val="center"/>
            <w:hideMark/>
          </w:tcPr>
          <w:p w14:paraId="156C4088" w14:textId="77777777" w:rsidR="00CB39D1" w:rsidRPr="00CB39D1" w:rsidRDefault="00CB39D1" w:rsidP="00CB39D1">
            <w:pPr>
              <w:spacing w:before="0" w:after="0" w:line="240" w:lineRule="auto"/>
              <w:jc w:val="center"/>
              <w:rPr>
                <w:sz w:val="18"/>
                <w:szCs w:val="18"/>
              </w:rPr>
            </w:pPr>
            <w:r w:rsidRPr="00CB39D1">
              <w:rPr>
                <w:sz w:val="18"/>
                <w:szCs w:val="18"/>
              </w:rPr>
              <w:t>5.</w:t>
            </w:r>
            <w:r w:rsidRPr="00CB39D1">
              <w:rPr>
                <w:sz w:val="18"/>
                <w:szCs w:val="18"/>
                <w:lang w:val="hy-AM"/>
              </w:rPr>
              <w:t>6</w:t>
            </w:r>
          </w:p>
        </w:tc>
        <w:tc>
          <w:tcPr>
            <w:tcW w:w="1570" w:type="dxa"/>
            <w:noWrap/>
            <w:vAlign w:val="center"/>
            <w:hideMark/>
          </w:tcPr>
          <w:p w14:paraId="74F45EB2" w14:textId="77777777" w:rsidR="00CB39D1" w:rsidRPr="00CB39D1" w:rsidRDefault="00CB39D1" w:rsidP="00CB39D1">
            <w:pPr>
              <w:spacing w:before="0" w:after="0" w:line="240" w:lineRule="auto"/>
              <w:jc w:val="center"/>
              <w:rPr>
                <w:sz w:val="18"/>
                <w:szCs w:val="18"/>
              </w:rPr>
            </w:pPr>
            <w:r w:rsidRPr="00CB39D1">
              <w:rPr>
                <w:sz w:val="18"/>
                <w:szCs w:val="18"/>
              </w:rPr>
              <w:t>5.</w:t>
            </w:r>
            <w:r w:rsidRPr="00CB39D1">
              <w:rPr>
                <w:sz w:val="18"/>
                <w:szCs w:val="18"/>
                <w:lang w:val="hy-AM"/>
              </w:rPr>
              <w:t>7</w:t>
            </w:r>
          </w:p>
        </w:tc>
      </w:tr>
      <w:tr w:rsidR="00915C0D" w:rsidRPr="00CB39D1" w14:paraId="6A81C1DF" w14:textId="77777777" w:rsidTr="00F82E03">
        <w:trPr>
          <w:trHeight w:val="553"/>
          <w:jc w:val="center"/>
        </w:trPr>
        <w:tc>
          <w:tcPr>
            <w:tcW w:w="1975" w:type="dxa"/>
            <w:vAlign w:val="center"/>
            <w:hideMark/>
          </w:tcPr>
          <w:p w14:paraId="38FC3C12" w14:textId="77777777" w:rsidR="00CB39D1" w:rsidRPr="00CB39D1" w:rsidRDefault="00CB39D1" w:rsidP="00CB39D1">
            <w:pPr>
              <w:spacing w:before="0" w:after="0" w:line="240" w:lineRule="auto"/>
              <w:rPr>
                <w:sz w:val="18"/>
                <w:szCs w:val="18"/>
              </w:rPr>
            </w:pPr>
            <w:r w:rsidRPr="00CB39D1">
              <w:rPr>
                <w:sz w:val="18"/>
                <w:szCs w:val="18"/>
              </w:rPr>
              <w:t>Պետական բյուջեի պակասուրդ</w:t>
            </w:r>
          </w:p>
        </w:tc>
        <w:tc>
          <w:tcPr>
            <w:tcW w:w="747" w:type="dxa"/>
            <w:noWrap/>
            <w:vAlign w:val="center"/>
            <w:hideMark/>
          </w:tcPr>
          <w:p w14:paraId="3F995E73" w14:textId="77777777" w:rsidR="00CB39D1" w:rsidRPr="00CB39D1" w:rsidRDefault="00CB39D1" w:rsidP="00CB39D1">
            <w:pPr>
              <w:spacing w:before="0" w:after="0" w:line="240" w:lineRule="auto"/>
              <w:jc w:val="center"/>
              <w:rPr>
                <w:sz w:val="18"/>
                <w:szCs w:val="18"/>
              </w:rPr>
            </w:pPr>
            <w:r w:rsidRPr="00CB39D1">
              <w:rPr>
                <w:sz w:val="18"/>
                <w:szCs w:val="18"/>
              </w:rPr>
              <w:t>-2.1</w:t>
            </w:r>
          </w:p>
        </w:tc>
        <w:tc>
          <w:tcPr>
            <w:tcW w:w="893" w:type="dxa"/>
            <w:noWrap/>
            <w:vAlign w:val="center"/>
            <w:hideMark/>
          </w:tcPr>
          <w:p w14:paraId="79C9286E" w14:textId="77777777" w:rsidR="00CB39D1" w:rsidRPr="00CB39D1" w:rsidRDefault="00CB39D1" w:rsidP="00CB39D1">
            <w:pPr>
              <w:spacing w:before="0" w:after="0" w:line="240" w:lineRule="auto"/>
              <w:jc w:val="center"/>
              <w:rPr>
                <w:sz w:val="18"/>
                <w:szCs w:val="18"/>
              </w:rPr>
            </w:pPr>
            <w:r w:rsidRPr="00CB39D1">
              <w:rPr>
                <w:sz w:val="18"/>
                <w:szCs w:val="18"/>
              </w:rPr>
              <w:t>-2.0</w:t>
            </w:r>
          </w:p>
        </w:tc>
        <w:tc>
          <w:tcPr>
            <w:tcW w:w="895" w:type="dxa"/>
            <w:noWrap/>
            <w:vAlign w:val="center"/>
            <w:hideMark/>
          </w:tcPr>
          <w:p w14:paraId="35210F2E" w14:textId="77777777" w:rsidR="00CB39D1" w:rsidRPr="00CB39D1" w:rsidRDefault="00CB39D1" w:rsidP="00CB39D1">
            <w:pPr>
              <w:spacing w:before="0" w:after="0" w:line="240" w:lineRule="auto"/>
              <w:jc w:val="center"/>
              <w:rPr>
                <w:sz w:val="18"/>
                <w:szCs w:val="18"/>
              </w:rPr>
            </w:pPr>
            <w:r w:rsidRPr="00CB39D1">
              <w:rPr>
                <w:sz w:val="18"/>
                <w:szCs w:val="18"/>
              </w:rPr>
              <w:t>-3.7</w:t>
            </w:r>
          </w:p>
        </w:tc>
        <w:tc>
          <w:tcPr>
            <w:tcW w:w="986" w:type="dxa"/>
            <w:noWrap/>
            <w:vAlign w:val="center"/>
            <w:hideMark/>
          </w:tcPr>
          <w:p w14:paraId="50501E11" w14:textId="77777777" w:rsidR="00CB39D1" w:rsidRPr="00CB39D1" w:rsidRDefault="00CB39D1" w:rsidP="00CB39D1">
            <w:pPr>
              <w:spacing w:before="0" w:after="0" w:line="240" w:lineRule="auto"/>
              <w:jc w:val="center"/>
              <w:rPr>
                <w:sz w:val="18"/>
                <w:szCs w:val="18"/>
              </w:rPr>
            </w:pPr>
            <w:r w:rsidRPr="00CB39D1">
              <w:rPr>
                <w:sz w:val="18"/>
                <w:szCs w:val="18"/>
              </w:rPr>
              <w:t>-5.5</w:t>
            </w:r>
          </w:p>
        </w:tc>
        <w:tc>
          <w:tcPr>
            <w:tcW w:w="1579" w:type="dxa"/>
            <w:noWrap/>
            <w:vAlign w:val="center"/>
            <w:hideMark/>
          </w:tcPr>
          <w:p w14:paraId="2C9E6185" w14:textId="77777777" w:rsidR="00CB39D1" w:rsidRPr="00CB39D1" w:rsidRDefault="00CB39D1" w:rsidP="00CB39D1">
            <w:pPr>
              <w:spacing w:before="0" w:after="0" w:line="240" w:lineRule="auto"/>
              <w:jc w:val="center"/>
              <w:rPr>
                <w:sz w:val="18"/>
                <w:szCs w:val="18"/>
              </w:rPr>
            </w:pPr>
            <w:r w:rsidRPr="00CB39D1">
              <w:rPr>
                <w:sz w:val="18"/>
                <w:szCs w:val="18"/>
              </w:rPr>
              <w:t>-4.5</w:t>
            </w:r>
          </w:p>
        </w:tc>
        <w:tc>
          <w:tcPr>
            <w:tcW w:w="1605" w:type="dxa"/>
            <w:noWrap/>
            <w:vAlign w:val="center"/>
            <w:hideMark/>
          </w:tcPr>
          <w:p w14:paraId="53100202" w14:textId="77777777" w:rsidR="00CB39D1" w:rsidRPr="00CB39D1" w:rsidRDefault="00CB39D1" w:rsidP="00CB39D1">
            <w:pPr>
              <w:spacing w:before="0" w:after="0" w:line="240" w:lineRule="auto"/>
              <w:jc w:val="center"/>
              <w:rPr>
                <w:sz w:val="18"/>
                <w:szCs w:val="18"/>
              </w:rPr>
            </w:pPr>
            <w:r w:rsidRPr="00CB39D1">
              <w:rPr>
                <w:sz w:val="18"/>
                <w:szCs w:val="18"/>
              </w:rPr>
              <w:t>-3.5</w:t>
            </w:r>
          </w:p>
        </w:tc>
        <w:tc>
          <w:tcPr>
            <w:tcW w:w="1570" w:type="dxa"/>
            <w:noWrap/>
            <w:vAlign w:val="center"/>
            <w:hideMark/>
          </w:tcPr>
          <w:p w14:paraId="2829E6A3" w14:textId="77777777" w:rsidR="00CB39D1" w:rsidRPr="00CB39D1" w:rsidRDefault="00CB39D1" w:rsidP="00CB39D1">
            <w:pPr>
              <w:spacing w:before="0" w:after="0" w:line="240" w:lineRule="auto"/>
              <w:jc w:val="center"/>
              <w:rPr>
                <w:sz w:val="18"/>
                <w:szCs w:val="18"/>
              </w:rPr>
            </w:pPr>
            <w:r w:rsidRPr="00CB39D1">
              <w:rPr>
                <w:sz w:val="18"/>
                <w:szCs w:val="18"/>
              </w:rPr>
              <w:t>-2.8</w:t>
            </w:r>
          </w:p>
        </w:tc>
      </w:tr>
      <w:tr w:rsidR="00915C0D" w:rsidRPr="00CB39D1" w14:paraId="7A5132CE" w14:textId="77777777" w:rsidTr="00F82E03">
        <w:trPr>
          <w:trHeight w:val="553"/>
          <w:jc w:val="center"/>
        </w:trPr>
        <w:tc>
          <w:tcPr>
            <w:tcW w:w="1975" w:type="dxa"/>
            <w:vAlign w:val="center"/>
            <w:hideMark/>
          </w:tcPr>
          <w:p w14:paraId="0EF76CDE" w14:textId="77777777" w:rsidR="00915C0D" w:rsidRPr="00CB39D1" w:rsidRDefault="00915C0D" w:rsidP="00915C0D">
            <w:pPr>
              <w:spacing w:before="0" w:after="0" w:line="240" w:lineRule="auto"/>
              <w:rPr>
                <w:sz w:val="18"/>
                <w:szCs w:val="18"/>
              </w:rPr>
            </w:pPr>
            <w:r w:rsidRPr="00CB39D1">
              <w:rPr>
                <w:sz w:val="18"/>
                <w:szCs w:val="18"/>
              </w:rPr>
              <w:t>Կառավարության պարտք</w:t>
            </w:r>
          </w:p>
        </w:tc>
        <w:tc>
          <w:tcPr>
            <w:tcW w:w="747" w:type="dxa"/>
            <w:noWrap/>
            <w:vAlign w:val="center"/>
            <w:hideMark/>
          </w:tcPr>
          <w:p w14:paraId="451846DB" w14:textId="77777777" w:rsidR="00915C0D" w:rsidRPr="00CB39D1" w:rsidRDefault="00915C0D" w:rsidP="00915C0D">
            <w:pPr>
              <w:spacing w:before="0" w:after="0" w:line="240" w:lineRule="auto"/>
              <w:jc w:val="center"/>
              <w:rPr>
                <w:sz w:val="18"/>
                <w:szCs w:val="18"/>
              </w:rPr>
            </w:pPr>
            <w:r w:rsidRPr="00CB39D1">
              <w:rPr>
                <w:sz w:val="18"/>
                <w:szCs w:val="18"/>
              </w:rPr>
              <w:t>46.7</w:t>
            </w:r>
          </w:p>
        </w:tc>
        <w:tc>
          <w:tcPr>
            <w:tcW w:w="893" w:type="dxa"/>
            <w:noWrap/>
            <w:vAlign w:val="center"/>
            <w:hideMark/>
          </w:tcPr>
          <w:p w14:paraId="4F6320F7" w14:textId="77777777" w:rsidR="00915C0D" w:rsidRPr="00CB39D1" w:rsidRDefault="00915C0D" w:rsidP="00915C0D">
            <w:pPr>
              <w:spacing w:before="0" w:after="0" w:line="240" w:lineRule="auto"/>
              <w:jc w:val="center"/>
              <w:rPr>
                <w:sz w:val="18"/>
                <w:szCs w:val="18"/>
              </w:rPr>
            </w:pPr>
            <w:r w:rsidRPr="00CB39D1">
              <w:rPr>
                <w:sz w:val="18"/>
                <w:szCs w:val="18"/>
              </w:rPr>
              <w:t>48.2</w:t>
            </w:r>
          </w:p>
        </w:tc>
        <w:tc>
          <w:tcPr>
            <w:tcW w:w="895" w:type="dxa"/>
            <w:noWrap/>
            <w:vAlign w:val="center"/>
            <w:hideMark/>
          </w:tcPr>
          <w:p w14:paraId="28F482AB" w14:textId="77777777" w:rsidR="00915C0D" w:rsidRPr="00CB39D1" w:rsidRDefault="00915C0D" w:rsidP="00915C0D">
            <w:pPr>
              <w:spacing w:before="0" w:after="0" w:line="240" w:lineRule="auto"/>
              <w:jc w:val="center"/>
              <w:rPr>
                <w:sz w:val="18"/>
                <w:szCs w:val="18"/>
              </w:rPr>
            </w:pPr>
            <w:r w:rsidRPr="00CB39D1">
              <w:rPr>
                <w:sz w:val="18"/>
                <w:szCs w:val="18"/>
              </w:rPr>
              <w:t>48.0</w:t>
            </w:r>
          </w:p>
        </w:tc>
        <w:tc>
          <w:tcPr>
            <w:tcW w:w="986" w:type="dxa"/>
            <w:noWrap/>
            <w:vAlign w:val="center"/>
            <w:hideMark/>
          </w:tcPr>
          <w:p w14:paraId="474592EB" w14:textId="5864B547" w:rsidR="00915C0D" w:rsidRPr="00CB39D1" w:rsidRDefault="00915C0D" w:rsidP="00915C0D">
            <w:pPr>
              <w:spacing w:before="0" w:after="0" w:line="240" w:lineRule="auto"/>
              <w:jc w:val="center"/>
              <w:rPr>
                <w:sz w:val="18"/>
                <w:szCs w:val="18"/>
              </w:rPr>
            </w:pPr>
            <w:r w:rsidRPr="00F82E03">
              <w:rPr>
                <w:sz w:val="18"/>
                <w:szCs w:val="18"/>
              </w:rPr>
              <w:t>49.5</w:t>
            </w:r>
          </w:p>
        </w:tc>
        <w:tc>
          <w:tcPr>
            <w:tcW w:w="1579" w:type="dxa"/>
            <w:noWrap/>
            <w:vAlign w:val="center"/>
            <w:hideMark/>
          </w:tcPr>
          <w:p w14:paraId="53220F12" w14:textId="2A8B4BAC" w:rsidR="00915C0D" w:rsidRPr="00CB39D1" w:rsidRDefault="00915C0D" w:rsidP="00915C0D">
            <w:pPr>
              <w:spacing w:before="0" w:after="0" w:line="240" w:lineRule="auto"/>
              <w:jc w:val="center"/>
              <w:rPr>
                <w:sz w:val="18"/>
                <w:szCs w:val="18"/>
              </w:rPr>
            </w:pPr>
            <w:r w:rsidRPr="00F82E03">
              <w:rPr>
                <w:sz w:val="18"/>
                <w:szCs w:val="18"/>
              </w:rPr>
              <w:t>52.9</w:t>
            </w:r>
          </w:p>
        </w:tc>
        <w:tc>
          <w:tcPr>
            <w:tcW w:w="1605" w:type="dxa"/>
            <w:noWrap/>
            <w:vAlign w:val="center"/>
            <w:hideMark/>
          </w:tcPr>
          <w:p w14:paraId="5CA90D3D" w14:textId="3CE2C805" w:rsidR="00915C0D" w:rsidRPr="00CB39D1" w:rsidRDefault="00915C0D" w:rsidP="00915C0D">
            <w:pPr>
              <w:spacing w:before="0" w:after="0" w:line="240" w:lineRule="auto"/>
              <w:jc w:val="center"/>
              <w:rPr>
                <w:sz w:val="18"/>
                <w:szCs w:val="18"/>
              </w:rPr>
            </w:pPr>
            <w:r w:rsidRPr="00F82E03">
              <w:rPr>
                <w:sz w:val="18"/>
                <w:szCs w:val="18"/>
              </w:rPr>
              <w:t>53.7</w:t>
            </w:r>
          </w:p>
        </w:tc>
        <w:tc>
          <w:tcPr>
            <w:tcW w:w="1570" w:type="dxa"/>
            <w:noWrap/>
            <w:vAlign w:val="center"/>
            <w:hideMark/>
          </w:tcPr>
          <w:p w14:paraId="5C6DC5FC" w14:textId="63204D0B" w:rsidR="00915C0D" w:rsidRPr="00CB39D1" w:rsidRDefault="00915C0D" w:rsidP="00915C0D">
            <w:pPr>
              <w:spacing w:before="0" w:after="0" w:line="240" w:lineRule="auto"/>
              <w:jc w:val="center"/>
              <w:rPr>
                <w:sz w:val="18"/>
                <w:szCs w:val="18"/>
              </w:rPr>
            </w:pPr>
            <w:r w:rsidRPr="00F82E03">
              <w:rPr>
                <w:sz w:val="18"/>
                <w:szCs w:val="18"/>
              </w:rPr>
              <w:t>53.7</w:t>
            </w:r>
          </w:p>
        </w:tc>
      </w:tr>
    </w:tbl>
    <w:p w14:paraId="1816F602" w14:textId="77777777" w:rsidR="00CB39D1" w:rsidRPr="00CB39D1" w:rsidRDefault="00CB39D1" w:rsidP="00CB39D1">
      <w:pPr>
        <w:rPr>
          <w:rFonts w:ascii="GHEA Grapalat" w:hAnsi="GHEA Grapalat"/>
          <w:color w:val="A5A6AC" w:themeColor="accent3" w:themeTint="99"/>
          <w:sz w:val="28"/>
          <w:szCs w:val="20"/>
        </w:rPr>
      </w:pPr>
      <w:r w:rsidRPr="00CB39D1">
        <w:br w:type="page"/>
      </w:r>
    </w:p>
    <w:p w14:paraId="43E8773A" w14:textId="77777777" w:rsidR="00CB39D1" w:rsidRPr="00CB39D1" w:rsidRDefault="00CB39D1" w:rsidP="00104E7A">
      <w:pPr>
        <w:pStyle w:val="Heading2"/>
        <w:rPr>
          <w:rFonts w:ascii="GHEA Grapalat" w:hAnsi="GHEA Grapalat"/>
          <w:color w:val="A5A6AC" w:themeColor="accent3" w:themeTint="99"/>
          <w:sz w:val="28"/>
          <w:szCs w:val="20"/>
        </w:rPr>
      </w:pPr>
      <w:bookmarkStart w:id="259" w:name="_Toc178612094"/>
      <w:bookmarkStart w:id="260" w:name="_Toc183801078"/>
      <w:bookmarkStart w:id="261" w:name="_Toc215157679"/>
      <w:bookmarkStart w:id="262" w:name="_Toc115686028"/>
      <w:bookmarkStart w:id="263" w:name="_Toc83972840"/>
      <w:bookmarkStart w:id="264" w:name="_Toc178356573"/>
      <w:bookmarkStart w:id="265" w:name="_Toc178612095"/>
      <w:bookmarkStart w:id="266" w:name="_Toc183801079"/>
      <w:bookmarkEnd w:id="238"/>
      <w:bookmarkEnd w:id="239"/>
      <w:bookmarkEnd w:id="240"/>
      <w:bookmarkEnd w:id="241"/>
      <w:bookmarkEnd w:id="242"/>
      <w:bookmarkEnd w:id="243"/>
      <w:bookmarkEnd w:id="244"/>
      <w:bookmarkEnd w:id="245"/>
      <w:r w:rsidRPr="00CB39D1">
        <w:rPr>
          <w:rFonts w:ascii="GHEA Grapalat" w:hAnsi="GHEA Grapalat"/>
          <w:color w:val="A5A6AC" w:themeColor="accent3" w:themeTint="99"/>
          <w:sz w:val="28"/>
          <w:szCs w:val="20"/>
        </w:rPr>
        <w:t>2.2. ՀԱՐԿԱԲՅՈՒՋԵՏԱՅԻՆ ՔԱՂԱՔԱԿԱՆՈՒԹՅԱՆ ՄԻՏՈՒՄՆԵՐԸ ԵՎ ԿԱՆԽԱՏԵՍՈՒՄՆԵՐԸ</w:t>
      </w:r>
      <w:bookmarkEnd w:id="259"/>
      <w:bookmarkEnd w:id="260"/>
      <w:bookmarkEnd w:id="261"/>
    </w:p>
    <w:p w14:paraId="4832D75E" w14:textId="77777777" w:rsidR="00CB39D1" w:rsidRPr="00CB39D1" w:rsidRDefault="00CB39D1" w:rsidP="00CB39D1">
      <w:pPr>
        <w:spacing w:before="360" w:after="0"/>
        <w:rPr>
          <w:rFonts w:ascii="GHEA Grapalat" w:hAnsi="GHEA Grapalat"/>
          <w:color w:val="A6A6A6" w:themeColor="background1" w:themeShade="A6"/>
          <w:szCs w:val="20"/>
          <w:lang w:eastAsia="ru-RU"/>
        </w:rPr>
      </w:pPr>
      <w:bookmarkStart w:id="267" w:name="_Toc45840842"/>
      <w:bookmarkStart w:id="268" w:name="_Toc45841159"/>
      <w:bookmarkEnd w:id="267"/>
      <w:bookmarkEnd w:id="268"/>
      <w:r w:rsidRPr="00CB39D1">
        <w:rPr>
          <w:rFonts w:ascii="GHEA Grapalat" w:hAnsi="GHEA Grapalat"/>
          <w:color w:val="A6A6A6" w:themeColor="background1" w:themeShade="A6"/>
          <w:szCs w:val="20"/>
        </w:rPr>
        <w:t>ՎԵՐՋԻՆ ԵՐԵՔ ՏԱՐԻՆԵՐԻ ԶԱՐԳԱՑՈՒՄՆԵՐ</w:t>
      </w:r>
    </w:p>
    <w:p w14:paraId="617D0F2F" w14:textId="6512C5CC" w:rsidR="00CB39D1" w:rsidRPr="00CB39D1" w:rsidRDefault="00CB39D1" w:rsidP="00CB39D1">
      <w:pPr>
        <w:ind w:left="432"/>
        <w:jc w:val="both"/>
        <w:rPr>
          <w:rFonts w:ascii="GHEA Grapalat" w:hAnsi="GHEA Grapalat"/>
          <w:szCs w:val="20"/>
          <w:lang w:val="hy-AM"/>
        </w:rPr>
      </w:pPr>
      <w:r w:rsidRPr="00CB39D1">
        <w:rPr>
          <w:rFonts w:ascii="GHEA Grapalat" w:hAnsi="GHEA Grapalat"/>
          <w:szCs w:val="20"/>
        </w:rPr>
        <w:t>2020-2021 թվականներին կորոնավիրուսի համավարակի և 44-օրյա պատերազմի հետևանքներին հակազդելու համար հարկաբյուջետային կանոնների «բացառիկ դեպքի» կարգավորումների ներքո իրականացվել է հակապարբերաշրջանային խթանող քաղաքականություն՝ հակազդելով բացասական տնտեսական շոկերի ազդեցությանը և նպաստելով տնտեսության վերականգմանը։ Տնտեսական ցնցումների հաղթահարումից հետո հարկաբյուջետային քաղաքականության առաջնահերթություն է դարձել բնականոն իրավիճակների համար նախատեսված հարկաբյուջետային կանոններին համապատասխանության վերականգնումն ու տնտեսական ցնցումների արդյունքում բարձրացած պակասուրդի և պարտքի մակարդակների կրճատումը՝ զուգահեռ հարկային քաղաքականության և վարչարարության բարեփոխումների միջոցով ընդլայնելով եկամտային կարողությունը։ Արդյունքում 2022-2023 թվականներին հնարավոր է դարձել վերականգնել հարկաբյուջետային քաղաքականության բնականոն իրավիճակների տրամաբանությունը՝ կառավարության պարտքի բեռը նվազեցնելով պարտքի կայունության տեսակետից անվտանգ համարվող 40-50%-ի միջակայք</w:t>
      </w:r>
      <w:r w:rsidRPr="00CB39D1">
        <w:rPr>
          <w:rFonts w:ascii="GHEA Grapalat" w:hAnsi="GHEA Grapalat"/>
          <w:szCs w:val="20"/>
          <w:lang w:val="hy-AM"/>
        </w:rPr>
        <w:t>,</w:t>
      </w:r>
      <w:r w:rsidRPr="00CB39D1">
        <w:rPr>
          <w:rFonts w:ascii="GHEA Grapalat" w:hAnsi="GHEA Grapalat"/>
          <w:szCs w:val="20"/>
        </w:rPr>
        <w:t xml:space="preserve"> և պահպանել այդ միջակայքում 2023-2024 թվականներին։</w:t>
      </w:r>
      <w:r w:rsidRPr="00CB39D1">
        <w:rPr>
          <w:rFonts w:ascii="GHEA Grapalat" w:hAnsi="GHEA Grapalat"/>
          <w:szCs w:val="20"/>
          <w:lang w:val="hy-AM"/>
        </w:rPr>
        <w:t xml:space="preserve"> 2024 թվականին հարկաբյուջետային քաղաքականությունը գտնվել է կանոններով առավել մեղմ սահմանափակման տիրույթում, հնարավորություն ունենալով ծախսերի մակարդակի բարձրացմամբ արձագանքել անհետաձգելի կարիքներին։ Միաժամանակ, կառավարությունը սկսել է ձևավորված հարկաբյուջետային տարածքն օգտագործել տնտեսական ներուժի բարձրացմանը, այդ թվում՝ կառուցվածքային բարեփոխումներին, ֆիզիկական և մարդկային կապիտալին ուղղվող ծախսերի դերի բարձ</w:t>
      </w:r>
      <w:r w:rsidR="00E25BE6">
        <w:rPr>
          <w:rFonts w:ascii="GHEA Grapalat" w:hAnsi="GHEA Grapalat"/>
          <w:szCs w:val="20"/>
          <w:lang w:val="hy-AM"/>
        </w:rPr>
        <w:t>ր</w:t>
      </w:r>
      <w:r w:rsidRPr="00CB39D1">
        <w:rPr>
          <w:rFonts w:ascii="GHEA Grapalat" w:hAnsi="GHEA Grapalat"/>
          <w:szCs w:val="20"/>
          <w:lang w:val="hy-AM"/>
        </w:rPr>
        <w:t>ացման համար, այդպիսով ամրապնդելով նաև երկարաժամկետ հարկաբյուջետային կայունությունը։</w:t>
      </w:r>
    </w:p>
    <w:p w14:paraId="15BC5658" w14:textId="77777777" w:rsidR="00CB39D1" w:rsidRPr="00CB39D1" w:rsidRDefault="00CB39D1" w:rsidP="00CB39D1">
      <w:pPr>
        <w:spacing w:before="360" w:after="0"/>
        <w:rPr>
          <w:rFonts w:ascii="GHEA Grapalat" w:hAnsi="GHEA Grapalat"/>
          <w:color w:val="A6A6A6" w:themeColor="background1" w:themeShade="A6"/>
          <w:szCs w:val="20"/>
          <w:lang w:val="hy-AM"/>
        </w:rPr>
      </w:pPr>
      <w:r w:rsidRPr="00CB39D1">
        <w:rPr>
          <w:rFonts w:ascii="GHEA Grapalat" w:hAnsi="GHEA Grapalat"/>
          <w:color w:val="A6A6A6" w:themeColor="background1" w:themeShade="A6"/>
          <w:szCs w:val="20"/>
          <w:lang w:val="hy-AM"/>
        </w:rPr>
        <w:t>ՊԵՏԱԿԱՆ ԲՅՈՒՋԵԻ ԵԿԱՄՈՒՏՆԵՐԸ</w:t>
      </w:r>
    </w:p>
    <w:p w14:paraId="75492064" w14:textId="77777777" w:rsidR="00CB39D1" w:rsidRPr="00CB39D1" w:rsidRDefault="00CB39D1" w:rsidP="00CB39D1">
      <w:pPr>
        <w:ind w:left="432"/>
        <w:jc w:val="both"/>
        <w:rPr>
          <w:rFonts w:ascii="GHEA Grapalat" w:hAnsi="GHEA Grapalat"/>
          <w:szCs w:val="20"/>
          <w:lang w:val="hy-AM"/>
        </w:rPr>
      </w:pPr>
      <w:r w:rsidRPr="00CB39D1">
        <w:rPr>
          <w:rFonts w:ascii="GHEA Grapalat" w:hAnsi="GHEA Grapalat"/>
          <w:szCs w:val="20"/>
          <w:lang w:val="hy-AM"/>
        </w:rPr>
        <w:t xml:space="preserve">2022-2024 թվականներին պետական բյուջեի եկամուտների կշիռը ՀՆԱ-ում աճել է 0.9%-ային կետով` 2024թ-ին 2021թ.-ի նկատմամբ կազմելով 25.3%, անվանական արտահայտությամբ աճը կազմել է 872.7 մլրդ դրամ։ Մինչդեռ հարկային եկամուտների կշիռը ՀՆԱ-ում աճել է 0.4%-ային կետով, իսկ անվանական արտահայտությամբ աճը կազմել է 781.3 մլրդ դրամ։ Հարկային եկամուտների աճը պայմանավորվել է տնտեսական աճին զուգահեռ հարկման բազաների ընդլայնմամբ, հարկային վարչարարության բարելավմամբ և դրա հետևանքով հարկային ճեղքի նվազմամբ, ինչպես նաև տնտեսության կառուցվածքային փոփոխություններով ի օգուտ հարկունակ ոլորտների։  </w:t>
      </w:r>
    </w:p>
    <w:p w14:paraId="116CA5E6" w14:textId="77777777" w:rsidR="00CB39D1" w:rsidRPr="00CB39D1" w:rsidRDefault="00CB39D1" w:rsidP="00CB39D1">
      <w:pPr>
        <w:spacing w:before="240"/>
        <w:ind w:left="432"/>
        <w:jc w:val="both"/>
        <w:rPr>
          <w:rFonts w:ascii="GHEA Grapalat" w:hAnsi="GHEA Grapalat"/>
          <w:color w:val="A6A6A6" w:themeColor="background1" w:themeShade="A6"/>
          <w:szCs w:val="20"/>
          <w:lang w:val="hy-AM"/>
        </w:rPr>
      </w:pPr>
      <w:r w:rsidRPr="00CB39D1">
        <w:rPr>
          <w:rFonts w:ascii="GHEA Grapalat" w:hAnsi="GHEA Grapalat"/>
          <w:color w:val="A6A6A6" w:themeColor="background1" w:themeShade="A6"/>
          <w:szCs w:val="20"/>
          <w:lang w:val="hy-AM"/>
        </w:rPr>
        <w:t>ՊԵՏԱԿԱՆ ԲՅՈՒՋԵԻ ԾԱԽՍԵՐԸ</w:t>
      </w:r>
    </w:p>
    <w:p w14:paraId="10252EEA" w14:textId="77777777" w:rsidR="00CB39D1" w:rsidRPr="00CB39D1" w:rsidRDefault="00CB39D1" w:rsidP="00CB39D1">
      <w:pPr>
        <w:ind w:left="432"/>
        <w:jc w:val="both"/>
        <w:rPr>
          <w:rFonts w:ascii="GHEA Grapalat" w:hAnsi="GHEA Grapalat"/>
          <w:szCs w:val="20"/>
          <w:lang w:val="hy-AM"/>
        </w:rPr>
      </w:pPr>
      <w:r w:rsidRPr="00CB39D1">
        <w:rPr>
          <w:rFonts w:ascii="GHEA Grapalat" w:hAnsi="GHEA Grapalat"/>
          <w:szCs w:val="20"/>
          <w:lang w:val="hy-AM"/>
        </w:rPr>
        <w:t>2022-2024 թթ. ՀՀ պետական բյուջեի ծախսերի կշիռը ՀՆԱ-ում չի փոփոխվել՝ 2024թ.-ին 2021թ-ի համեմատ կազմելով 29.0%, մինչդեռ ծախսերի ծավալն աճել է 928.3 մլրդ դրամով։ Նույն ժամանակահատվածում ընթացիկ ծախսերի կշիռը ՀՆԱ-ում նվազել է 2.2%-ային կետով (բացարձակ ծավալի աճը՝ 602.9 մլրդ դրամ), իսկ ոչ ֆինանսական ակտիվների հետ գործառնությունների կշիռը ՀՆԱ-ում աճել է 2.2%-ային կետով (բացարձակ ծավալի աճ՝ 325.4 մլրդ դրամ)։ Նշված ժամանակահատվածում ՀՆԱ-ում ծախսերի կշռի միտումները պայմանավորված են 2020թ</w:t>
      </w:r>
      <w:r w:rsidRPr="00CB39D1">
        <w:rPr>
          <w:rFonts w:ascii="Cambria Math" w:hAnsi="Cambria Math" w:cs="Cambria Math"/>
          <w:szCs w:val="20"/>
          <w:lang w:val="hy-AM"/>
        </w:rPr>
        <w:t>․</w:t>
      </w:r>
      <w:r w:rsidRPr="00CB39D1">
        <w:rPr>
          <w:rFonts w:ascii="GHEA Grapalat" w:hAnsi="GHEA Grapalat"/>
          <w:szCs w:val="20"/>
          <w:lang w:val="hy-AM"/>
        </w:rPr>
        <w:t xml:space="preserve">-ին հակապարբերաշրջանային հարկաբյուջետային քաղաքականության պայմաններում ծախսերի մակարդակի զգալի աճով, և հաջորդ տարիներին, հարկաբյուջետային կանոնների տրամաբանությանը համահունչ, իրականացված հարկաբյուջետային կոնսոլիդացիայով և ընթացիկ ծախսերի առավել զսպված վարքագծով։ Միաժամանակ, քննարկվող ժամանակահատվածում տեսանելի է ծախսերի կառուցվածքի զգալի փոփոխությունը ի օգուտ կապիտալ ծախսերի, որոնց դեպքում, համահունչ ենթակառուցվածքային ներդրումների դերի մեծացման նպատակադրմանը, գրանցվել են ինչպես ծրագրային մակարդակների բարձրացումներ, այնպես էլ կատարողականի բարելավումներ։ </w:t>
      </w:r>
    </w:p>
    <w:p w14:paraId="7D858FFC" w14:textId="77777777" w:rsidR="00CB39D1" w:rsidRPr="00CB39D1" w:rsidRDefault="00CB39D1" w:rsidP="00CB39D1">
      <w:pPr>
        <w:spacing w:before="240"/>
        <w:ind w:left="432"/>
        <w:jc w:val="both"/>
        <w:rPr>
          <w:rFonts w:ascii="GHEA Grapalat" w:hAnsi="GHEA Grapalat"/>
          <w:color w:val="A6A6A6" w:themeColor="background1" w:themeShade="A6"/>
          <w:szCs w:val="20"/>
          <w:lang w:val="hy-AM"/>
        </w:rPr>
      </w:pPr>
      <w:r w:rsidRPr="00CB39D1">
        <w:rPr>
          <w:rFonts w:ascii="GHEA Grapalat" w:hAnsi="GHEA Grapalat"/>
          <w:color w:val="A6A6A6" w:themeColor="background1" w:themeShade="A6"/>
          <w:szCs w:val="20"/>
          <w:lang w:val="hy-AM"/>
        </w:rPr>
        <w:t>ՊԵՏԱԿԱՆ ԲՅՈՒՋԵԻ ՊԱԿԱՍՈՒՐԴԸ, ՊԱՐՏՔԸ և ՀԱՐԿԱԲՅՈՒՋԵՏԱՅԻՆ ԱԶԴԱԿԸ</w:t>
      </w:r>
    </w:p>
    <w:p w14:paraId="07F1B39B" w14:textId="409460F1" w:rsidR="00CB39D1" w:rsidRPr="00CB39D1" w:rsidRDefault="00CB39D1" w:rsidP="00CB39D1">
      <w:pPr>
        <w:ind w:left="432"/>
        <w:jc w:val="both"/>
        <w:rPr>
          <w:rFonts w:ascii="GHEA Grapalat" w:hAnsi="GHEA Grapalat"/>
          <w:szCs w:val="20"/>
          <w:lang w:val="hy-AM"/>
        </w:rPr>
      </w:pPr>
      <w:r w:rsidRPr="00CB39D1">
        <w:rPr>
          <w:rFonts w:ascii="GHEA Grapalat" w:hAnsi="GHEA Grapalat"/>
          <w:szCs w:val="20"/>
          <w:lang w:val="hy-AM"/>
        </w:rPr>
        <w:t>2022-2024 թթ</w:t>
      </w:r>
      <w:r w:rsidRPr="00CB39D1">
        <w:rPr>
          <w:rFonts w:ascii="Cambria Math" w:hAnsi="Cambria Math" w:cs="Cambria Math"/>
          <w:szCs w:val="20"/>
          <w:lang w:val="hy-AM"/>
        </w:rPr>
        <w:t>․</w:t>
      </w:r>
      <w:r w:rsidRPr="00CB39D1">
        <w:rPr>
          <w:rFonts w:ascii="GHEA Grapalat" w:hAnsi="GHEA Grapalat"/>
          <w:szCs w:val="20"/>
          <w:lang w:val="hy-AM"/>
        </w:rPr>
        <w:t xml:space="preserve"> պետական բյուջեի պակասուրդ/ՀՆԱ ցուցանիշը զգալիորեն կրճատվել է՝ 2021թ</w:t>
      </w:r>
      <w:r w:rsidRPr="00CB39D1">
        <w:rPr>
          <w:rFonts w:ascii="Cambria Math" w:hAnsi="Cambria Math" w:cs="Cambria Math"/>
          <w:szCs w:val="20"/>
          <w:lang w:val="hy-AM"/>
        </w:rPr>
        <w:t>․</w:t>
      </w:r>
      <w:r w:rsidRPr="00CB39D1">
        <w:rPr>
          <w:rFonts w:ascii="GHEA Grapalat" w:hAnsi="GHEA Grapalat"/>
          <w:szCs w:val="20"/>
          <w:lang w:val="hy-AM"/>
        </w:rPr>
        <w:t xml:space="preserve"> 4.6% ցուցանիշի դիմաց 2023թ</w:t>
      </w:r>
      <w:r w:rsidRPr="00CB39D1">
        <w:rPr>
          <w:rFonts w:ascii="Cambria Math" w:hAnsi="Cambria Math" w:cs="Cambria Math"/>
          <w:szCs w:val="20"/>
          <w:lang w:val="hy-AM"/>
        </w:rPr>
        <w:t>․</w:t>
      </w:r>
      <w:r w:rsidRPr="00CB39D1">
        <w:rPr>
          <w:rFonts w:ascii="GHEA Grapalat" w:hAnsi="GHEA Grapalat"/>
          <w:szCs w:val="20"/>
          <w:lang w:val="hy-AM"/>
        </w:rPr>
        <w:t>-ին կազմելով ՀՆԱ 2.0%-ը, իսկ 2024թ</w:t>
      </w:r>
      <w:r w:rsidRPr="00CB39D1">
        <w:rPr>
          <w:rFonts w:ascii="Cambria Math" w:hAnsi="Cambria Math" w:cs="Cambria Math"/>
          <w:szCs w:val="20"/>
          <w:lang w:val="hy-AM"/>
        </w:rPr>
        <w:t>․</w:t>
      </w:r>
      <w:r w:rsidRPr="00CB39D1">
        <w:rPr>
          <w:rFonts w:ascii="GHEA Grapalat" w:hAnsi="GHEA Grapalat"/>
          <w:szCs w:val="20"/>
          <w:lang w:val="hy-AM"/>
        </w:rPr>
        <w:t xml:space="preserve">-ին, </w:t>
      </w:r>
      <w:r w:rsidR="0055404A">
        <w:rPr>
          <w:rFonts w:ascii="GHEA Grapalat" w:hAnsi="GHEA Grapalat"/>
          <w:szCs w:val="20"/>
          <w:lang w:val="hy-AM"/>
        </w:rPr>
        <w:t>Ղարաբաղի</w:t>
      </w:r>
      <w:r w:rsidRPr="00CB39D1">
        <w:rPr>
          <w:rFonts w:ascii="GHEA Grapalat" w:hAnsi="GHEA Grapalat"/>
          <w:szCs w:val="20"/>
          <w:lang w:val="hy-AM"/>
        </w:rPr>
        <w:t xml:space="preserve"> զուտ վարկավորման փոխակերպմամբ </w:t>
      </w:r>
      <w:r w:rsidR="0055404A">
        <w:rPr>
          <w:rFonts w:ascii="GHEA Grapalat" w:hAnsi="GHEA Grapalat"/>
          <w:szCs w:val="20"/>
          <w:lang w:val="hy-AM"/>
        </w:rPr>
        <w:t>Ղարաբաղից</w:t>
      </w:r>
      <w:r w:rsidRPr="00CB39D1">
        <w:rPr>
          <w:rFonts w:ascii="GHEA Grapalat" w:hAnsi="GHEA Grapalat"/>
          <w:szCs w:val="20"/>
          <w:lang w:val="hy-AM"/>
        </w:rPr>
        <w:t xml:space="preserve"> բռնի տեղահանված բնակչության աջակցության միջոցառումների, կազմել 3.7% (ընդ որում, հարկաբյուջետային տեսանկյունից պակասուրդի աճը 2024թ</w:t>
      </w:r>
      <w:r w:rsidRPr="00CB39D1">
        <w:rPr>
          <w:rFonts w:ascii="Cambria Math" w:hAnsi="Cambria Math" w:cs="Cambria Math"/>
          <w:szCs w:val="20"/>
          <w:lang w:val="hy-AM"/>
        </w:rPr>
        <w:t>․</w:t>
      </w:r>
      <w:r w:rsidRPr="00CB39D1">
        <w:rPr>
          <w:rFonts w:ascii="GHEA Grapalat" w:hAnsi="GHEA Grapalat"/>
          <w:szCs w:val="20"/>
          <w:lang w:val="hy-AM"/>
        </w:rPr>
        <w:t xml:space="preserve"> կկազմի 0</w:t>
      </w:r>
      <w:r w:rsidRPr="00CB39D1">
        <w:rPr>
          <w:rFonts w:ascii="Cambria Math" w:hAnsi="Cambria Math" w:cs="Cambria Math"/>
          <w:szCs w:val="20"/>
          <w:lang w:val="hy-AM"/>
        </w:rPr>
        <w:t>․</w:t>
      </w:r>
      <w:r w:rsidRPr="00CB39D1">
        <w:rPr>
          <w:rFonts w:ascii="GHEA Grapalat" w:hAnsi="GHEA Grapalat"/>
          <w:szCs w:val="20"/>
          <w:lang w:val="hy-AM"/>
        </w:rPr>
        <w:t>1%-ային կետ՝ 2023թ</w:t>
      </w:r>
      <w:r w:rsidRPr="00CB39D1">
        <w:rPr>
          <w:rFonts w:ascii="Cambria Math" w:hAnsi="Cambria Math" w:cs="Cambria Math"/>
          <w:szCs w:val="20"/>
          <w:lang w:val="hy-AM"/>
        </w:rPr>
        <w:t>․</w:t>
      </w:r>
      <w:r w:rsidRPr="00CB39D1">
        <w:rPr>
          <w:rFonts w:ascii="GHEA Grapalat" w:hAnsi="GHEA Grapalat"/>
          <w:szCs w:val="20"/>
          <w:lang w:val="hy-AM"/>
        </w:rPr>
        <w:t xml:space="preserve">-ի զուտ վարկավորումը պակասուրդը նվազեցնող գործոն չդիտարկելու դեպքում): Պակասուրդի մակարդակի նվազման պայմաններում հարկաբյուջետային քաղաքականության ազդեցությունը ամբողջական պահանջարկի վրա զսպող է եղել 2021-2023 թվականներին, իսկ 2024 թվականին մոտ եղել չեզոքին։ </w:t>
      </w:r>
    </w:p>
    <w:p w14:paraId="5E83FAED" w14:textId="77777777" w:rsidR="00CB39D1" w:rsidRPr="00CB39D1" w:rsidRDefault="00CB39D1" w:rsidP="00CB39D1">
      <w:pPr>
        <w:ind w:left="432"/>
        <w:jc w:val="both"/>
        <w:rPr>
          <w:rFonts w:ascii="GHEA Grapalat" w:hAnsi="GHEA Grapalat"/>
          <w:szCs w:val="20"/>
          <w:lang w:val="hy-AM"/>
        </w:rPr>
      </w:pPr>
      <w:r w:rsidRPr="00CB39D1">
        <w:rPr>
          <w:rFonts w:ascii="GHEA Grapalat" w:hAnsi="GHEA Grapalat"/>
          <w:szCs w:val="20"/>
          <w:lang w:val="hy-AM"/>
        </w:rPr>
        <w:t>Ընդ որում, եթե 2021թ</w:t>
      </w:r>
      <w:r w:rsidRPr="00CB39D1">
        <w:rPr>
          <w:rFonts w:ascii="Cambria Math" w:hAnsi="Cambria Math" w:cs="Cambria Math"/>
          <w:szCs w:val="20"/>
          <w:lang w:val="hy-AM"/>
        </w:rPr>
        <w:t>․</w:t>
      </w:r>
      <w:r w:rsidRPr="00CB39D1">
        <w:rPr>
          <w:rFonts w:ascii="GHEA Grapalat" w:hAnsi="GHEA Grapalat"/>
          <w:szCs w:val="20"/>
          <w:lang w:val="hy-AM"/>
        </w:rPr>
        <w:t xml:space="preserve">-ին զսպող հարկաբյուջետային քաղաքականության ուղղությունը պայմանավորված էր հարկաբյուջետային կոնսոլիդացիա իրականացնելու և բնականոն իրավիճակների համար նախատեսված հարկաբյուջետային կանոններին համապատասխանության աստիճանական վերականգման նպատակադրմամբ, 2022-2023 թվականներին, ներուժայինից բարձր տնտեսական աճի պայմաններում, զսպող քաղաքականությունը անհրաժեշտ է դարձել նաև տնտեսական պարբերաշրջանը կայունացնելու տրամաբանությամբ։ Իսկ 2024 թվականին, տնտեսական աճի՝ իր ներուժային մակարդակին մոտենալու պայմաններում հարկաբյուջետային քաղաքականության ազդեցությունը ամբողջական պահանջարկի վրա մոտ է եղել չեզոքին։  </w:t>
      </w:r>
    </w:p>
    <w:p w14:paraId="083E4A17" w14:textId="05346358" w:rsidR="00CB39D1" w:rsidRPr="00CB39D1" w:rsidRDefault="00CB39D1" w:rsidP="00CB39D1">
      <w:pPr>
        <w:ind w:left="432"/>
        <w:jc w:val="both"/>
        <w:rPr>
          <w:rFonts w:ascii="GHEA Grapalat" w:hAnsi="GHEA Grapalat"/>
          <w:szCs w:val="20"/>
          <w:lang w:val="hy-AM"/>
        </w:rPr>
      </w:pPr>
      <w:r w:rsidRPr="00CB39D1">
        <w:rPr>
          <w:rFonts w:ascii="GHEA Grapalat" w:hAnsi="GHEA Grapalat"/>
          <w:szCs w:val="20"/>
          <w:lang w:val="hy-AM"/>
        </w:rPr>
        <w:t>2022-2024 թթ</w:t>
      </w:r>
      <w:r w:rsidRPr="00CB39D1">
        <w:rPr>
          <w:rFonts w:ascii="Cambria Math" w:hAnsi="Cambria Math" w:cs="Cambria Math"/>
          <w:szCs w:val="20"/>
          <w:lang w:val="hy-AM"/>
        </w:rPr>
        <w:t>․</w:t>
      </w:r>
      <w:r w:rsidRPr="00CB39D1">
        <w:rPr>
          <w:rFonts w:ascii="GHEA Grapalat" w:hAnsi="GHEA Grapalat"/>
          <w:szCs w:val="20"/>
          <w:lang w:val="hy-AM"/>
        </w:rPr>
        <w:t xml:space="preserve"> չեզոքին մոտ հարկաբյուջետային քաղաքականության ու բյուջեի պակասուրդի աճի (պայմանավորված </w:t>
      </w:r>
      <w:r w:rsidR="0055404A">
        <w:rPr>
          <w:rFonts w:ascii="GHEA Grapalat" w:hAnsi="GHEA Grapalat"/>
          <w:szCs w:val="20"/>
          <w:lang w:val="hy-AM"/>
        </w:rPr>
        <w:t>Ղարաբաղի</w:t>
      </w:r>
      <w:r w:rsidRPr="00CB39D1">
        <w:rPr>
          <w:rFonts w:ascii="GHEA Grapalat" w:hAnsi="GHEA Grapalat"/>
          <w:szCs w:val="20"/>
          <w:lang w:val="hy-AM"/>
        </w:rPr>
        <w:t xml:space="preserve"> զուտ վարկավորման՝ </w:t>
      </w:r>
      <w:r w:rsidR="0055404A">
        <w:rPr>
          <w:rFonts w:ascii="GHEA Grapalat" w:hAnsi="GHEA Grapalat"/>
          <w:szCs w:val="20"/>
          <w:lang w:val="hy-AM"/>
        </w:rPr>
        <w:t>Ղարաբաղից</w:t>
      </w:r>
      <w:r w:rsidRPr="00CB39D1">
        <w:rPr>
          <w:rFonts w:ascii="GHEA Grapalat" w:hAnsi="GHEA Grapalat"/>
          <w:szCs w:val="20"/>
          <w:lang w:val="hy-AM"/>
        </w:rPr>
        <w:t xml:space="preserve"> բռնի տեղահանված բնակչության աջակցության միջոցառումների փոխակերպմամբ), ՀՆԱ աճի տեմպի աստիճանաբար դանդաղմա</w:t>
      </w:r>
      <w:r w:rsidR="003321F4">
        <w:rPr>
          <w:rFonts w:ascii="GHEA Grapalat" w:hAnsi="GHEA Grapalat"/>
          <w:szCs w:val="20"/>
          <w:lang w:val="hy-AM"/>
        </w:rPr>
        <w:t>մ</w:t>
      </w:r>
      <w:r w:rsidRPr="00CB39D1">
        <w:rPr>
          <w:rFonts w:ascii="GHEA Grapalat" w:hAnsi="GHEA Grapalat"/>
          <w:szCs w:val="20"/>
          <w:lang w:val="hy-AM"/>
        </w:rPr>
        <w:t>բ և փոխարժեքի արժևորման պայմաններում կառավարության պարտք/ՀՆԱ ցուցանիշը 2021թ</w:t>
      </w:r>
      <w:r w:rsidRPr="00CB39D1">
        <w:rPr>
          <w:rFonts w:ascii="Cambria Math" w:hAnsi="Cambria Math" w:cs="Cambria Math"/>
          <w:szCs w:val="20"/>
          <w:lang w:val="hy-AM"/>
        </w:rPr>
        <w:t>․</w:t>
      </w:r>
      <w:r w:rsidRPr="00CB39D1">
        <w:rPr>
          <w:rFonts w:ascii="GHEA Grapalat" w:hAnsi="GHEA Grapalat"/>
          <w:szCs w:val="20"/>
          <w:lang w:val="hy-AM"/>
        </w:rPr>
        <w:t xml:space="preserve"> 60.2% մակարդակից նվազել է 2024թ-ին կազմելով 48.0%, ընդհանուր առմամբ՝ 12.2%-ային կետով։ </w:t>
      </w:r>
    </w:p>
    <w:p w14:paraId="58AD0EB9" w14:textId="77777777" w:rsidR="00CB39D1" w:rsidRPr="00CB39D1" w:rsidRDefault="00CB39D1" w:rsidP="00CB39D1">
      <w:pPr>
        <w:spacing w:before="360" w:after="0"/>
        <w:rPr>
          <w:rFonts w:ascii="GHEA Grapalat" w:hAnsi="GHEA Grapalat"/>
          <w:color w:val="A6A6A6" w:themeColor="background1" w:themeShade="A6"/>
          <w:szCs w:val="20"/>
          <w:lang w:val="hy-AM"/>
        </w:rPr>
      </w:pPr>
      <w:r w:rsidRPr="00CB39D1">
        <w:rPr>
          <w:rFonts w:ascii="GHEA Grapalat" w:hAnsi="GHEA Grapalat"/>
          <w:color w:val="A6A6A6" w:themeColor="background1" w:themeShade="A6"/>
          <w:szCs w:val="20"/>
          <w:lang w:val="hy-AM"/>
        </w:rPr>
        <w:t>2025Թ. ԸՆԹԱՑԻԿ ԶԱՐԳԱՑՈՒՄՆԵՐ</w:t>
      </w:r>
    </w:p>
    <w:p w14:paraId="021ABC28" w14:textId="1E26DA88" w:rsidR="00CB39D1" w:rsidRPr="00CB39D1" w:rsidRDefault="00CB39D1" w:rsidP="00CB39D1">
      <w:pPr>
        <w:ind w:left="432"/>
        <w:jc w:val="both"/>
        <w:rPr>
          <w:rFonts w:ascii="GHEA Grapalat" w:hAnsi="GHEA Grapalat"/>
          <w:szCs w:val="20"/>
          <w:lang w:val="hy-AM"/>
        </w:rPr>
      </w:pPr>
      <w:r w:rsidRPr="00CB39D1">
        <w:rPr>
          <w:rFonts w:ascii="GHEA Grapalat" w:hAnsi="GHEA Grapalat"/>
          <w:szCs w:val="20"/>
          <w:lang w:val="hy-AM"/>
        </w:rPr>
        <w:t xml:space="preserve">Հունվար-օգոստոս ամիսներին պետական բյուջեի և՛ </w:t>
      </w:r>
      <w:r w:rsidR="0001225E">
        <w:rPr>
          <w:rFonts w:ascii="GHEA Grapalat" w:hAnsi="GHEA Grapalat"/>
          <w:szCs w:val="20"/>
          <w:lang w:val="hy-AM"/>
        </w:rPr>
        <w:t>եկամուտներն</w:t>
      </w:r>
      <w:r w:rsidRPr="00CB39D1">
        <w:rPr>
          <w:rFonts w:ascii="GHEA Grapalat" w:hAnsi="GHEA Grapalat"/>
          <w:szCs w:val="20"/>
          <w:lang w:val="hy-AM"/>
        </w:rPr>
        <w:t xml:space="preserve">, և՛ </w:t>
      </w:r>
      <w:r w:rsidR="0001225E">
        <w:rPr>
          <w:rFonts w:ascii="GHEA Grapalat" w:hAnsi="GHEA Grapalat"/>
          <w:szCs w:val="20"/>
          <w:lang w:val="hy-AM"/>
        </w:rPr>
        <w:t>ծախսերն</w:t>
      </w:r>
      <w:r w:rsidRPr="00CB39D1">
        <w:rPr>
          <w:rFonts w:ascii="GHEA Grapalat" w:hAnsi="GHEA Grapalat"/>
          <w:szCs w:val="20"/>
          <w:lang w:val="hy-AM"/>
        </w:rPr>
        <w:t xml:space="preserve"> աճել են բավականին բարձր տեմպերով, արդյունքում ծախսերը գերազանցել են եկամուտների մեծությանը և պետական բյուջեի թիրախներին համապատասխան ձևավորվել է պետական բյուջեի պակասուրդ: </w:t>
      </w:r>
    </w:p>
    <w:p w14:paraId="56B1020D" w14:textId="77777777" w:rsidR="00CB39D1" w:rsidRPr="00CB39D1" w:rsidRDefault="00CB39D1" w:rsidP="00CB39D1">
      <w:pPr>
        <w:rPr>
          <w:lang w:val="hy-AM"/>
        </w:rPr>
      </w:pPr>
    </w:p>
    <w:p w14:paraId="5FA89D6A" w14:textId="77777777" w:rsidR="00CB39D1" w:rsidRPr="00CB39D1" w:rsidRDefault="00CB39D1" w:rsidP="00CB39D1">
      <w:pPr>
        <w:spacing w:before="240"/>
        <w:ind w:left="432"/>
        <w:jc w:val="both"/>
        <w:rPr>
          <w:rFonts w:ascii="GHEA Grapalat" w:hAnsi="GHEA Grapalat"/>
          <w:color w:val="A6A6A6" w:themeColor="background1" w:themeShade="A6"/>
          <w:szCs w:val="20"/>
          <w:lang w:val="hy-AM"/>
        </w:rPr>
      </w:pPr>
      <w:r w:rsidRPr="00CB39D1">
        <w:rPr>
          <w:rFonts w:ascii="GHEA Grapalat" w:hAnsi="GHEA Grapalat"/>
          <w:color w:val="A6A6A6" w:themeColor="background1" w:themeShade="A6"/>
          <w:szCs w:val="20"/>
          <w:lang w:val="hy-AM"/>
        </w:rPr>
        <w:t>ՊԵՏԱԿԱՆ ԲՅՈՒՋԵԻ ԵԿԱՄՈՒՏՆԵՐԸ</w:t>
      </w:r>
    </w:p>
    <w:p w14:paraId="62ABE38B" w14:textId="77777777" w:rsidR="00CB39D1" w:rsidRPr="00CB39D1" w:rsidRDefault="00CB39D1" w:rsidP="00CB39D1">
      <w:pPr>
        <w:ind w:left="432"/>
        <w:jc w:val="both"/>
        <w:rPr>
          <w:rFonts w:ascii="GHEA Grapalat" w:hAnsi="GHEA Grapalat"/>
          <w:b/>
          <w:szCs w:val="20"/>
          <w:lang w:val="hy-AM"/>
        </w:rPr>
      </w:pPr>
      <w:r w:rsidRPr="00CB39D1">
        <w:rPr>
          <w:rFonts w:ascii="GHEA Grapalat" w:hAnsi="GHEA Grapalat"/>
          <w:b/>
          <w:szCs w:val="20"/>
          <w:lang w:val="hy-AM"/>
        </w:rPr>
        <w:t xml:space="preserve">2025թ. </w:t>
      </w:r>
      <w:bookmarkStart w:id="269" w:name="_Hlk209389481"/>
      <w:r w:rsidRPr="00CB39D1">
        <w:rPr>
          <w:rFonts w:ascii="GHEA Grapalat" w:hAnsi="GHEA Grapalat"/>
          <w:b/>
          <w:szCs w:val="20"/>
          <w:lang w:val="hy-AM"/>
        </w:rPr>
        <w:t>հունվար-օգոստոս</w:t>
      </w:r>
      <w:bookmarkEnd w:id="269"/>
      <w:r w:rsidRPr="00CB39D1">
        <w:rPr>
          <w:rFonts w:ascii="GHEA Grapalat" w:hAnsi="GHEA Grapalat"/>
          <w:b/>
          <w:szCs w:val="20"/>
          <w:lang w:val="hy-AM"/>
        </w:rPr>
        <w:t xml:space="preserve"> ամիսներին արձանագրվել է ՀՀ պետական բյուջեի եկամուտների աճի տեմպի արագացում՝ պայմանավորված նախորդ տարվա համեմատաբար ցածր բազայով և տնտեսության առանձին ոլորտների հարկման ժամանակային առանձնահատկություններով, ինչպես նաև հարկային վարչարարության արդյունավետության և թիրախայնության բարձրացմամբ։ </w:t>
      </w:r>
    </w:p>
    <w:p w14:paraId="774524E2" w14:textId="695C5102" w:rsidR="00CB39D1" w:rsidRPr="00CB39D1" w:rsidRDefault="00CB39D1" w:rsidP="00CB39D1">
      <w:pPr>
        <w:ind w:left="432"/>
        <w:jc w:val="both"/>
        <w:rPr>
          <w:rFonts w:ascii="GHEA Grapalat" w:hAnsi="GHEA Grapalat"/>
          <w:szCs w:val="20"/>
          <w:lang w:val="hy-AM"/>
        </w:rPr>
      </w:pPr>
      <w:r w:rsidRPr="00CB39D1">
        <w:rPr>
          <w:rFonts w:ascii="GHEA Grapalat" w:hAnsi="GHEA Grapalat"/>
          <w:szCs w:val="20"/>
          <w:lang w:val="hy-AM"/>
        </w:rPr>
        <w:t>2025թ. հունվար-օգոստոս ամիսների արդյունքներով ՀՀ պետական բյուջեի ընդհանուր եկամուտները կազմել են 1868.5 մլրդ դրամ՝ նախորդ տարվա նույն ժամանակահատվածի համեմատ աճելով 15.1%-ով, իսկ հարկերը և տուրքերը կազմել են 1769.3 մլրդ դրամ՝ նախորդ տարվա նույն ժամանակահատվածի համեմատ աճելով 14.3%-ով: Նախորդ տարվա համեմատությամբ հարկային եկամուտների աճի տեմպի արագացումը պայմանավորված է հարկային վարչարարության արդյունավետության բարձրացմամբ, նախորդ տարում տնտեսությունում (հատկապես՝ ֆինանսական գործունության ոլորտում) արձա</w:t>
      </w:r>
      <w:r w:rsidR="003321F4">
        <w:rPr>
          <w:rFonts w:ascii="GHEA Grapalat" w:hAnsi="GHEA Grapalat"/>
          <w:szCs w:val="20"/>
          <w:lang w:val="hy-AM"/>
        </w:rPr>
        <w:t>ն</w:t>
      </w:r>
      <w:r w:rsidRPr="00CB39D1">
        <w:rPr>
          <w:rFonts w:ascii="GHEA Grapalat" w:hAnsi="GHEA Grapalat"/>
          <w:szCs w:val="20"/>
          <w:lang w:val="hy-AM"/>
        </w:rPr>
        <w:t>ագրված հարաբերականորեն բարձր շահույթներով, տնտեսության առանձին ոլորտներում (մասնավորապես՝ շինարարության ոլորտում) հարկերի վճարման ժամանակային առանձնահատկություններով, ինչպես նաև նախորդ տարում ներմուծումից գանձվող հարկերի որոշակի նվազմանը հաջորդած վերականգնողական աճով: Ընդ որում, արագացմանը նպաստել է նաև ընթացիկ ամիսներում գնաճային միջավայրի ձևավորման և ԿԲ թիրախին մոտենալու հանգամանքը։</w:t>
      </w:r>
    </w:p>
    <w:p w14:paraId="32A4E6B1" w14:textId="77777777" w:rsidR="00CB39D1" w:rsidRPr="00CB39D1" w:rsidRDefault="00CB39D1" w:rsidP="00CB39D1">
      <w:pPr>
        <w:spacing w:before="240"/>
        <w:ind w:left="432"/>
        <w:jc w:val="both"/>
        <w:rPr>
          <w:rFonts w:ascii="GHEA Grapalat" w:hAnsi="GHEA Grapalat"/>
          <w:color w:val="A6A6A6" w:themeColor="background1" w:themeShade="A6"/>
          <w:szCs w:val="20"/>
          <w:lang w:val="hy-AM"/>
        </w:rPr>
      </w:pPr>
      <w:r w:rsidRPr="00CB39D1">
        <w:rPr>
          <w:rFonts w:ascii="GHEA Grapalat" w:hAnsi="GHEA Grapalat"/>
          <w:color w:val="A6A6A6" w:themeColor="background1" w:themeShade="A6"/>
          <w:szCs w:val="20"/>
          <w:lang w:val="hy-AM"/>
        </w:rPr>
        <w:t>ՊԵՏԱԿԱՆ ԲՅՈՒՋԵԻ ԾԱԽՍԵՐԸ</w:t>
      </w:r>
    </w:p>
    <w:p w14:paraId="7B32E00D" w14:textId="77777777" w:rsidR="00CB39D1" w:rsidRPr="00CB39D1" w:rsidRDefault="00CB39D1" w:rsidP="00CB39D1">
      <w:pPr>
        <w:ind w:left="432"/>
        <w:jc w:val="both"/>
        <w:rPr>
          <w:rFonts w:ascii="GHEA Grapalat" w:hAnsi="GHEA Grapalat"/>
          <w:szCs w:val="20"/>
          <w:lang w:val="hy-AM"/>
        </w:rPr>
      </w:pPr>
      <w:r w:rsidRPr="00CB39D1">
        <w:rPr>
          <w:rFonts w:ascii="GHEA Grapalat" w:hAnsi="GHEA Grapalat"/>
          <w:b/>
          <w:szCs w:val="20"/>
          <w:lang w:val="hy-AM"/>
        </w:rPr>
        <w:t>2025 թ. առաջին ութ ամիսներին պետական բյուջեի ծախսերը ևս աճել են բարձր տեմպերով:</w:t>
      </w:r>
      <w:r w:rsidRPr="00CB39D1">
        <w:rPr>
          <w:rFonts w:ascii="GHEA Grapalat" w:hAnsi="GHEA Grapalat"/>
          <w:szCs w:val="20"/>
          <w:lang w:val="hy-AM"/>
        </w:rPr>
        <w:t xml:space="preserve"> Պետական բյուջեի ծախսերը կազմել են 1929.2 մլրդ դրամ՝ նախորդ տարվա նույն ժամանակահատվածի համեմատ աճելով 12.9%-ով: Նույն ժամանակահատվածում ընթացիկ ծախսերը կազմել են 1575.0 մլրդ դրամ` նախորդ տարվա նույն ժամանակահատվածի համեմատ աճելով 7.7%</w:t>
      </w:r>
      <w:r w:rsidRPr="00CB39D1">
        <w:rPr>
          <w:rFonts w:ascii="GHEA Grapalat" w:hAnsi="GHEA Grapalat"/>
          <w:szCs w:val="20"/>
          <w:lang w:val="hy-AM"/>
        </w:rPr>
        <w:noBreakHyphen/>
        <w:t>ով: Ոչ ֆինանսական ակտիվների հետ գործառնությունները կազմել են 354.2 մլրդ դրամ, որում ոչ ֆինանսական ակտիվների գծով ծախսերը (կապիտալ ծախսեր) կազմել են 356.5 մլրդ դրամ` նախորդ տարվա նույն ժամանակահատվածի նկատմամբ աճելով 39.3%</w:t>
      </w:r>
      <w:r w:rsidRPr="00CB39D1">
        <w:rPr>
          <w:rFonts w:ascii="GHEA Grapalat" w:hAnsi="GHEA Grapalat"/>
          <w:szCs w:val="20"/>
          <w:lang w:val="hy-AM"/>
        </w:rPr>
        <w:noBreakHyphen/>
        <w:t xml:space="preserve">ով: </w:t>
      </w:r>
    </w:p>
    <w:p w14:paraId="69CA4510" w14:textId="77777777" w:rsidR="00CB39D1" w:rsidRPr="00CB39D1" w:rsidRDefault="00CB39D1" w:rsidP="00CB39D1">
      <w:pPr>
        <w:rPr>
          <w:lang w:val="hy-AM"/>
        </w:rPr>
      </w:pPr>
    </w:p>
    <w:tbl>
      <w:tblPr>
        <w:tblW w:w="0" w:type="auto"/>
        <w:tblLook w:val="04A0" w:firstRow="1" w:lastRow="0" w:firstColumn="1" w:lastColumn="0" w:noHBand="0" w:noVBand="1"/>
      </w:tblPr>
      <w:tblGrid>
        <w:gridCol w:w="4986"/>
        <w:gridCol w:w="4836"/>
      </w:tblGrid>
      <w:tr w:rsidR="00CB39D1" w:rsidRPr="009D765F" w14:paraId="67A7E07F" w14:textId="77777777" w:rsidTr="008D4E1E">
        <w:tc>
          <w:tcPr>
            <w:tcW w:w="4918" w:type="dxa"/>
            <w:hideMark/>
          </w:tcPr>
          <w:p w14:paraId="0FC857D9" w14:textId="77777777" w:rsidR="00CB39D1" w:rsidRPr="00CB39D1" w:rsidRDefault="00CB39D1" w:rsidP="00CB39D1">
            <w:pPr>
              <w:spacing w:before="0" w:line="240" w:lineRule="auto"/>
              <w:jc w:val="both"/>
              <w:rPr>
                <w:rFonts w:ascii="GHEA Grapalat" w:hAnsi="GHEA Grapalat"/>
                <w:b/>
                <w:sz w:val="20"/>
                <w:szCs w:val="20"/>
                <w:lang w:val="hy-AM"/>
              </w:rPr>
            </w:pPr>
            <w:r w:rsidRPr="00CB39D1">
              <w:rPr>
                <w:rFonts w:ascii="GHEA Grapalat" w:hAnsi="GHEA Grapalat"/>
                <w:b/>
                <w:sz w:val="20"/>
                <w:szCs w:val="20"/>
                <w:lang w:val="hy-AM"/>
              </w:rPr>
              <w:t>Գծապատկեր 2.1. Պետական բյուջեի հարկային եկամուտները և դրանց աճի տեմպը 2024-2025 թթ., կուտակային</w:t>
            </w:r>
          </w:p>
        </w:tc>
        <w:tc>
          <w:tcPr>
            <w:tcW w:w="4828" w:type="dxa"/>
            <w:hideMark/>
          </w:tcPr>
          <w:p w14:paraId="13DEDBED" w14:textId="77777777" w:rsidR="00CB39D1" w:rsidRPr="00CB39D1" w:rsidRDefault="00CB39D1" w:rsidP="00CB39D1">
            <w:pPr>
              <w:spacing w:before="0" w:line="240" w:lineRule="auto"/>
              <w:jc w:val="both"/>
              <w:rPr>
                <w:rFonts w:ascii="GHEA Grapalat" w:hAnsi="GHEA Grapalat"/>
                <w:b/>
                <w:szCs w:val="20"/>
                <w:lang w:val="hy-AM"/>
              </w:rPr>
            </w:pPr>
            <w:r w:rsidRPr="00CB39D1">
              <w:rPr>
                <w:rFonts w:ascii="GHEA Grapalat" w:hAnsi="GHEA Grapalat"/>
                <w:b/>
                <w:sz w:val="20"/>
                <w:szCs w:val="20"/>
                <w:lang w:val="hy-AM"/>
              </w:rPr>
              <w:t>Գծապատկեր 2.2. Պետական բյուջեի ծախսերի աճը և դրան նպաստումները 2024-2025 թթ. ըստ ամիսների</w:t>
            </w:r>
          </w:p>
        </w:tc>
      </w:tr>
      <w:tr w:rsidR="00CB39D1" w:rsidRPr="00CB39D1" w14:paraId="73E45AA0" w14:textId="77777777" w:rsidTr="008D4E1E">
        <w:tc>
          <w:tcPr>
            <w:tcW w:w="4918" w:type="dxa"/>
            <w:hideMark/>
          </w:tcPr>
          <w:p w14:paraId="2E5C5A54" w14:textId="77777777" w:rsidR="00CB39D1" w:rsidRPr="00CB39D1" w:rsidRDefault="00CB39D1" w:rsidP="00CB39D1">
            <w:pPr>
              <w:jc w:val="both"/>
            </w:pPr>
            <w:r w:rsidRPr="00CB39D1">
              <w:rPr>
                <w:noProof/>
              </w:rPr>
              <w:drawing>
                <wp:inline distT="0" distB="0" distL="0" distR="0" wp14:anchorId="035C2D53" wp14:editId="02438147">
                  <wp:extent cx="3019425" cy="1645920"/>
                  <wp:effectExtent l="0" t="0" r="9525" b="11430"/>
                  <wp:docPr id="1545876470" name="Chart 1545876470"/>
                  <wp:cNvGraphicFramePr/>
                  <a:graphic xmlns:a="http://schemas.openxmlformats.org/drawingml/2006/main">
                    <a:graphicData uri="http://schemas.openxmlformats.org/drawingml/2006/chart">
                      <c:chart xmlns:c="http://schemas.openxmlformats.org/drawingml/2006/chart" xmlns:r="http://schemas.openxmlformats.org/officeDocument/2006/relationships" r:id="rId57"/>
                    </a:graphicData>
                  </a:graphic>
                </wp:inline>
              </w:drawing>
            </w:r>
          </w:p>
        </w:tc>
        <w:tc>
          <w:tcPr>
            <w:tcW w:w="4828" w:type="dxa"/>
            <w:hideMark/>
          </w:tcPr>
          <w:p w14:paraId="28021B77" w14:textId="77777777" w:rsidR="00CB39D1" w:rsidRPr="00CB39D1" w:rsidRDefault="00CB39D1" w:rsidP="00CB39D1">
            <w:pPr>
              <w:spacing w:before="0"/>
              <w:jc w:val="right"/>
              <w:rPr>
                <w:i/>
                <w:color w:val="A6A6A6" w:themeColor="background1" w:themeShade="A6"/>
                <w:sz w:val="18"/>
                <w:lang w:val="hy-AM" w:eastAsia="ru-RU"/>
              </w:rPr>
            </w:pPr>
            <w:r w:rsidRPr="00CB39D1">
              <w:rPr>
                <w:i/>
                <w:noProof/>
                <w:color w:val="C45911" w:themeColor="accent2" w:themeShade="BF"/>
                <w:sz w:val="18"/>
              </w:rPr>
              <w:drawing>
                <wp:anchor distT="0" distB="0" distL="114300" distR="114300" simplePos="0" relativeHeight="251923456" behindDoc="0" locked="0" layoutInCell="1" allowOverlap="1" wp14:anchorId="72C33624" wp14:editId="4600E982">
                  <wp:simplePos x="0" y="0"/>
                  <wp:positionH relativeFrom="column">
                    <wp:posOffset>15688</wp:posOffset>
                  </wp:positionH>
                  <wp:positionV relativeFrom="paragraph">
                    <wp:posOffset>76200</wp:posOffset>
                  </wp:positionV>
                  <wp:extent cx="2926080" cy="1645920"/>
                  <wp:effectExtent l="0" t="0" r="7620" b="11430"/>
                  <wp:wrapTopAndBottom/>
                  <wp:docPr id="1545876471" name="Chart 1545876471"/>
                  <wp:cNvGraphicFramePr/>
                  <a:graphic xmlns:a="http://schemas.openxmlformats.org/drawingml/2006/main">
                    <a:graphicData uri="http://schemas.openxmlformats.org/drawingml/2006/chart">
                      <c:chart xmlns:c="http://schemas.openxmlformats.org/drawingml/2006/chart" xmlns:r="http://schemas.openxmlformats.org/officeDocument/2006/relationships" r:id="rId58"/>
                    </a:graphicData>
                  </a:graphic>
                </wp:anchor>
              </w:drawing>
            </w:r>
            <w:r w:rsidRPr="00CB39D1">
              <w:rPr>
                <w:i/>
                <w:color w:val="A6A6A6" w:themeColor="background1" w:themeShade="A6"/>
                <w:sz w:val="18"/>
              </w:rPr>
              <w:t>Աղբյուրը՝ ՀՀ ՖՆ</w:t>
            </w:r>
          </w:p>
        </w:tc>
      </w:tr>
    </w:tbl>
    <w:p w14:paraId="1A75A762" w14:textId="77777777" w:rsidR="00CB39D1" w:rsidRPr="00CB39D1" w:rsidRDefault="00CB39D1" w:rsidP="00CB39D1">
      <w:pPr>
        <w:spacing w:before="240"/>
        <w:ind w:left="432"/>
        <w:jc w:val="both"/>
        <w:rPr>
          <w:rFonts w:ascii="GHEA Grapalat" w:hAnsi="GHEA Grapalat"/>
          <w:color w:val="A6A6A6" w:themeColor="background1" w:themeShade="A6"/>
          <w:szCs w:val="20"/>
          <w:lang w:val="hy-AM"/>
        </w:rPr>
      </w:pPr>
      <w:r w:rsidRPr="00CB39D1">
        <w:rPr>
          <w:rFonts w:ascii="GHEA Grapalat" w:hAnsi="GHEA Grapalat"/>
          <w:color w:val="A6A6A6" w:themeColor="background1" w:themeShade="A6"/>
          <w:szCs w:val="20"/>
          <w:lang w:val="hy-AM"/>
        </w:rPr>
        <w:t>ՊԵՏԱԿԱՆ ԲՅՈՒՋԵԻ ՊԱԿԱՍՈՒՐԴԸ</w:t>
      </w:r>
    </w:p>
    <w:p w14:paraId="2EA32CCD" w14:textId="159CB49D" w:rsidR="00CB39D1" w:rsidRPr="00CB39D1" w:rsidRDefault="00CB39D1" w:rsidP="00CB39D1">
      <w:pPr>
        <w:ind w:left="432"/>
        <w:jc w:val="both"/>
        <w:rPr>
          <w:rFonts w:ascii="GHEA Grapalat" w:hAnsi="GHEA Grapalat"/>
          <w:szCs w:val="20"/>
          <w:lang w:val="hy-AM"/>
        </w:rPr>
      </w:pPr>
      <w:r w:rsidRPr="00CB39D1">
        <w:rPr>
          <w:rFonts w:ascii="GHEA Grapalat" w:hAnsi="GHEA Grapalat"/>
          <w:b/>
          <w:szCs w:val="20"/>
          <w:lang w:val="hy-AM"/>
        </w:rPr>
        <w:t>Պետական բյուջեն ընթացիկ ամիսներին, 2025թ</w:t>
      </w:r>
      <w:r w:rsidRPr="00CB39D1">
        <w:rPr>
          <w:rFonts w:ascii="Cambria Math" w:hAnsi="Cambria Math" w:cs="Cambria Math"/>
          <w:b/>
          <w:szCs w:val="20"/>
          <w:lang w:val="hy-AM"/>
        </w:rPr>
        <w:t>․</w:t>
      </w:r>
      <w:r w:rsidRPr="00CB39D1">
        <w:rPr>
          <w:rFonts w:ascii="GHEA Grapalat" w:hAnsi="GHEA Grapalat"/>
          <w:b/>
          <w:szCs w:val="20"/>
          <w:lang w:val="hy-AM"/>
        </w:rPr>
        <w:t xml:space="preserve"> պետական բյուջեի թիրախներին համահունչ ձևավորվել է պակասուրդով:</w:t>
      </w:r>
      <w:r w:rsidRPr="00CB39D1">
        <w:rPr>
          <w:rFonts w:ascii="GHEA Grapalat" w:hAnsi="GHEA Grapalat"/>
          <w:szCs w:val="20"/>
          <w:lang w:val="hy-AM"/>
        </w:rPr>
        <w:t xml:space="preserve"> 2025թ. առաջին ութ ամիսներին ձևավորվել է պետական բյուջեի 60.7 մլրդ դրամ պակասուրդ՝ նախորդ տարվա նույն ժամանակահատվածի 84.6</w:t>
      </w:r>
      <w:r w:rsidRPr="00CB39D1">
        <w:rPr>
          <w:rFonts w:ascii="Calibri" w:hAnsi="Calibri" w:cs="Calibri"/>
          <w:szCs w:val="20"/>
          <w:lang w:val="hy-AM"/>
        </w:rPr>
        <w:t> </w:t>
      </w:r>
      <w:r w:rsidRPr="00CB39D1">
        <w:rPr>
          <w:rFonts w:ascii="GHEA Grapalat" w:hAnsi="GHEA Grapalat"/>
          <w:szCs w:val="20"/>
          <w:lang w:val="hy-AM"/>
        </w:rPr>
        <w:t xml:space="preserve">մլրդ դրամ պակասուրդի դիմաց: </w:t>
      </w:r>
    </w:p>
    <w:p w14:paraId="44FA71EA" w14:textId="4C4DE2A8" w:rsidR="00CB39D1" w:rsidRPr="00CB39D1" w:rsidRDefault="00CB39D1" w:rsidP="00CB39D1">
      <w:pPr>
        <w:spacing w:before="360" w:after="0"/>
        <w:rPr>
          <w:rFonts w:ascii="GHEA Grapalat" w:hAnsi="GHEA Grapalat"/>
          <w:color w:val="A6A6A6" w:themeColor="background1" w:themeShade="A6"/>
          <w:szCs w:val="20"/>
          <w:lang w:val="hy-AM"/>
        </w:rPr>
      </w:pPr>
      <w:r w:rsidRPr="00CB39D1">
        <w:rPr>
          <w:rFonts w:ascii="GHEA Grapalat" w:hAnsi="GHEA Grapalat"/>
          <w:color w:val="A6A6A6" w:themeColor="background1" w:themeShade="A6"/>
          <w:szCs w:val="20"/>
          <w:lang w:val="hy-AM"/>
        </w:rPr>
        <w:t>ԿԱՐՃԱԺԱՄԿԵՏ</w:t>
      </w:r>
      <w:r w:rsidR="00E9229D">
        <w:rPr>
          <w:rFonts w:ascii="GHEA Grapalat" w:hAnsi="GHEA Grapalat"/>
          <w:color w:val="A6A6A6" w:themeColor="background1" w:themeShade="A6"/>
          <w:szCs w:val="20"/>
          <w:lang w:val="hy-AM"/>
        </w:rPr>
        <w:t xml:space="preserve"> </w:t>
      </w:r>
      <w:r w:rsidRPr="00CB39D1">
        <w:rPr>
          <w:rFonts w:ascii="GHEA Grapalat" w:hAnsi="GHEA Grapalat"/>
          <w:color w:val="A6A6A6" w:themeColor="background1" w:themeShade="A6"/>
          <w:szCs w:val="20"/>
          <w:lang w:val="hy-AM"/>
        </w:rPr>
        <w:t xml:space="preserve">ԵՎ ՄԻՋՆԱԺԱՄԿԵՏ ԿԱՆԽԱՏԵՍՈՒՄՆԵՐ </w:t>
      </w:r>
    </w:p>
    <w:p w14:paraId="56F0F5BF" w14:textId="77777777" w:rsidR="00CB39D1" w:rsidRPr="00CB39D1" w:rsidRDefault="00CB39D1" w:rsidP="00CB39D1">
      <w:pPr>
        <w:ind w:left="432"/>
        <w:jc w:val="both"/>
        <w:rPr>
          <w:rFonts w:ascii="GHEA Grapalat" w:hAnsi="GHEA Grapalat"/>
          <w:szCs w:val="20"/>
          <w:lang w:val="hy-AM"/>
        </w:rPr>
      </w:pPr>
      <w:r w:rsidRPr="00CB39D1">
        <w:rPr>
          <w:rFonts w:ascii="GHEA Grapalat" w:hAnsi="GHEA Grapalat"/>
          <w:b/>
          <w:szCs w:val="20"/>
          <w:lang w:val="hy-AM"/>
        </w:rPr>
        <w:t>2025 թվականին հարկաբյուջետային քաղաքականությունը թիրախավորում է էականորեն մեծացնել կապիտալ ծախսերի կշիռը ՀՆԱ-ում՝ հասցնելով 6.6%-ի, բարձրացնել ծախսերի արդյունավետությունը և պահպանել պետական պարտքի կայունությունը:</w:t>
      </w:r>
      <w:r w:rsidRPr="00CB39D1">
        <w:rPr>
          <w:rFonts w:ascii="GHEA Grapalat" w:hAnsi="GHEA Grapalat"/>
          <w:szCs w:val="20"/>
          <w:lang w:val="hy-AM"/>
        </w:rPr>
        <w:t xml:space="preserve"> 2025թ</w:t>
      </w:r>
      <w:r w:rsidRPr="00CB39D1">
        <w:rPr>
          <w:rFonts w:ascii="Cambria Math" w:hAnsi="Cambria Math" w:cs="Cambria Math"/>
          <w:szCs w:val="20"/>
          <w:lang w:val="hy-AM"/>
        </w:rPr>
        <w:t>․</w:t>
      </w:r>
      <w:r w:rsidRPr="00CB39D1">
        <w:rPr>
          <w:rFonts w:ascii="GHEA Grapalat" w:hAnsi="GHEA Grapalat"/>
          <w:szCs w:val="20"/>
          <w:lang w:val="hy-AM"/>
        </w:rPr>
        <w:t xml:space="preserve"> հարկաբյուջետային քաղաքականությունը իրականացվում է բնականոն իրավիճակների համար սահմանված ծախսային կանոնների ներքո, ընդ որում՝ հաշվի առնելով նախորդ տարիներին 50%-ից ցածր մակարդակում ձևավորված կառավարության պարտք/ՀՆԱ հարաբերակցությունը, հարկաբյուջետային կանոնները վերաբերում են միայն «ոսկե կանոնների» պահպանմանը։ Միաժամանակ, կառավարության պարտք/ՀՆԱ ցուցանիշը կպահպանվի 50%-ի շրջանակներում։</w:t>
      </w:r>
    </w:p>
    <w:p w14:paraId="7510951F" w14:textId="77777777" w:rsidR="00CB39D1" w:rsidRPr="00CB39D1" w:rsidRDefault="00CB39D1" w:rsidP="00CB39D1">
      <w:pPr>
        <w:ind w:left="432"/>
        <w:jc w:val="both"/>
        <w:rPr>
          <w:rFonts w:ascii="GHEA Grapalat" w:hAnsi="GHEA Grapalat"/>
          <w:szCs w:val="20"/>
          <w:lang w:val="hy-AM"/>
        </w:rPr>
      </w:pPr>
      <w:r w:rsidRPr="00CB39D1">
        <w:rPr>
          <w:rFonts w:ascii="GHEA Grapalat" w:hAnsi="GHEA Grapalat"/>
          <w:szCs w:val="20"/>
          <w:lang w:val="hy-AM"/>
        </w:rPr>
        <w:t>2025թ</w:t>
      </w:r>
      <w:r w:rsidRPr="00CB39D1">
        <w:rPr>
          <w:rFonts w:ascii="Cambria Math" w:hAnsi="Cambria Math" w:cs="Cambria Math"/>
          <w:szCs w:val="20"/>
          <w:lang w:val="hy-AM"/>
        </w:rPr>
        <w:t>․</w:t>
      </w:r>
      <w:r w:rsidRPr="00CB39D1">
        <w:rPr>
          <w:rFonts w:ascii="GHEA Grapalat" w:hAnsi="GHEA Grapalat"/>
          <w:szCs w:val="20"/>
          <w:lang w:val="hy-AM"/>
        </w:rPr>
        <w:t>-ին հարկային վարչարարության բարելավման, օրենսդրության փոփոխությունների և</w:t>
      </w:r>
      <w:r w:rsidRPr="00CB39D1">
        <w:rPr>
          <w:rFonts w:ascii="GHEA Grapalat" w:eastAsia="Calibri" w:hAnsi="GHEA Grapalat" w:cs="GHEA Grapalat"/>
          <w:bCs/>
          <w:lang w:val="hy-AM"/>
        </w:rPr>
        <w:t xml:space="preserve"> տնտեսական գործոնների (հարկման բազաների՝ անվանական ՀՆԱ-ն գերազանցող աճ)</w:t>
      </w:r>
      <w:r w:rsidRPr="00CB39D1">
        <w:rPr>
          <w:rFonts w:ascii="GHEA Grapalat" w:hAnsi="GHEA Grapalat"/>
          <w:szCs w:val="20"/>
          <w:lang w:val="hy-AM"/>
        </w:rPr>
        <w:t xml:space="preserve"> արդյունքում հարկային եկամուտները ՀՆԱ-ի նկատմամբ կբարելավվեն շուրջ 1.0 տոկոսային կետով՝ կազմելով 24.5% կամ 2,690.4 մլրդ դրամ: 2025թ.-ի պետական բյուջեի ընդհանուր ծախսերը ՀՆԱ-ի նկատմամբ կավելանա շուրջ 2.2 տոկոսային կետով՝ կազմելով 31.2%: Ընդհանուր ծախսերում ընթացիկ ծախսերը ՀՆԱ-ի նկատմամբ կավելանան 0.9 տոկոսային կետով, իսկ կապիտալ ծախսերը կավելանան 1.3 տոկոսային կետով: Ծախսերի ծավալը նախորդ տարվա համեմատ կաճի շուրջ 16.2%-ով՝ կազմելով 3,432.6 մլրդ դրամ: 2025 թվականին, ընթացիկ և կապիտալ ծախսերի ավելացման հաշվին պետական բյուջեի պակասուրդը կավելանա՝ կազմելով ՀՆԱ-ի 5</w:t>
      </w:r>
      <w:r w:rsidRPr="00CB39D1">
        <w:rPr>
          <w:rFonts w:ascii="Cambria Math" w:hAnsi="Cambria Math" w:cs="Cambria Math"/>
          <w:szCs w:val="20"/>
          <w:lang w:val="hy-AM"/>
        </w:rPr>
        <w:t>․</w:t>
      </w:r>
      <w:r w:rsidRPr="00CB39D1">
        <w:rPr>
          <w:rFonts w:ascii="GHEA Grapalat" w:hAnsi="GHEA Grapalat"/>
          <w:szCs w:val="20"/>
          <w:lang w:val="hy-AM"/>
        </w:rPr>
        <w:t xml:space="preserve">5%-ը։ </w:t>
      </w:r>
    </w:p>
    <w:p w14:paraId="1835C651" w14:textId="0AFF9E83" w:rsidR="00CB39D1" w:rsidRPr="00CB39D1" w:rsidRDefault="00CB39D1" w:rsidP="00CB39D1">
      <w:pPr>
        <w:ind w:left="432"/>
        <w:jc w:val="both"/>
        <w:rPr>
          <w:rFonts w:ascii="GHEA Grapalat" w:hAnsi="GHEA Grapalat"/>
          <w:szCs w:val="20"/>
          <w:lang w:val="hy-AM"/>
        </w:rPr>
      </w:pPr>
      <w:r w:rsidRPr="00CB39D1">
        <w:rPr>
          <w:rFonts w:ascii="GHEA Grapalat" w:hAnsi="GHEA Grapalat"/>
          <w:szCs w:val="20"/>
          <w:lang w:val="hy-AM"/>
        </w:rPr>
        <w:t xml:space="preserve">Արդյունքում, պետական բյուջեի պակասուրդը կկազմի 599.8 մլրդ դրամ՝ 2024թ. նկատմամբ ավելանալով շուրջ 223.7 մլրդ դրամով, կամ ՀՆԱ-ի շուրջ 1.8 տոկոսային կետով: Այնուամենայնիվ, պետք է հաշվի առնել, որ 2024թ. ծախսերում ներառված են նաև Ղարաբաղից բռնի տեղահանված բնակչության աջակցության միջոցառումների համար նախատեսված ծախսերը (որոնք հարկաբյուջետային տեսանկյունից համադրելի են նախկինում պակասուրդի ֆինանսավորման աղբյուրներում արտացոլվող Ղարաբաղին ուղղվող միջպետական վարկին), հետևաբար պետական բյուջեի ծախսերի և պակասուրդի աճն իրականում ավելի չափավոր է։ </w:t>
      </w:r>
    </w:p>
    <w:p w14:paraId="6205D53C" w14:textId="77777777" w:rsidR="00CB39D1" w:rsidRPr="00CB39D1" w:rsidRDefault="00CB39D1" w:rsidP="00CB39D1">
      <w:pPr>
        <w:ind w:left="432"/>
        <w:jc w:val="both"/>
        <w:rPr>
          <w:rFonts w:ascii="GHEA Grapalat" w:hAnsi="GHEA Grapalat"/>
          <w:szCs w:val="20"/>
          <w:lang w:val="hy-AM"/>
        </w:rPr>
      </w:pPr>
      <w:r w:rsidRPr="00CB39D1">
        <w:rPr>
          <w:rFonts w:ascii="GHEA Grapalat" w:hAnsi="GHEA Grapalat"/>
          <w:szCs w:val="20"/>
          <w:lang w:val="hy-AM"/>
        </w:rPr>
        <w:t>Հարկաբյուջետային քաղաքականության ազդեցությունը 2025թ</w:t>
      </w:r>
      <w:r w:rsidRPr="00CB39D1">
        <w:rPr>
          <w:rFonts w:ascii="Cambria Math" w:hAnsi="Cambria Math" w:cs="Cambria Math"/>
          <w:szCs w:val="20"/>
          <w:lang w:val="hy-AM"/>
        </w:rPr>
        <w:t>․</w:t>
      </w:r>
      <w:r w:rsidRPr="00CB39D1">
        <w:rPr>
          <w:rFonts w:ascii="GHEA Grapalat" w:hAnsi="GHEA Grapalat"/>
          <w:szCs w:val="20"/>
          <w:lang w:val="hy-AM"/>
        </w:rPr>
        <w:t>-ին մոտ կլինի չեզոքի՝ հաշվի առնելով տնտեսական աճի կայունացումը ներուժային մակարդակի շուրջ, ինչպես նաև պետական բյուջեի ծախսերի աճի կառուցվածքը։ 2026թ</w:t>
      </w:r>
      <w:r w:rsidRPr="00CB39D1">
        <w:rPr>
          <w:rFonts w:ascii="Cambria Math" w:hAnsi="Cambria Math" w:cs="Cambria Math"/>
          <w:szCs w:val="20"/>
          <w:lang w:val="hy-AM"/>
        </w:rPr>
        <w:t>․</w:t>
      </w:r>
      <w:r w:rsidRPr="00CB39D1">
        <w:rPr>
          <w:rFonts w:ascii="GHEA Grapalat" w:hAnsi="GHEA Grapalat"/>
          <w:szCs w:val="20"/>
          <w:lang w:val="hy-AM"/>
        </w:rPr>
        <w:t>-ին, հաշվի առնելով տնտեսական աճի կայունացումը ներուժային մակարդակի շուրջ և դրան համահունչ՝ տնտեսությունում ամբողջական պահանջարկի վրա ազդեցություն ունեցող ծախսերի կայուն մակարդակի պահպանումը, հարկաբյուջետային քաղաքականության ուղղությունը կլինի մոտ չեզոք դիրքին՝ 2026թ</w:t>
      </w:r>
      <w:r w:rsidRPr="00CB39D1">
        <w:rPr>
          <w:rFonts w:ascii="Cambria Math" w:hAnsi="Cambria Math" w:cs="Cambria Math"/>
          <w:szCs w:val="20"/>
          <w:lang w:val="hy-AM"/>
        </w:rPr>
        <w:t>․</w:t>
      </w:r>
      <w:r w:rsidRPr="00CB39D1">
        <w:rPr>
          <w:rFonts w:ascii="GHEA Grapalat" w:hAnsi="GHEA Grapalat"/>
          <w:szCs w:val="20"/>
          <w:lang w:val="hy-AM"/>
        </w:rPr>
        <w:t xml:space="preserve">-ին դեպի ներքև փոքր շեղմամբ, իսկ հաջորդ տարիներին՝ զսպող ազդեցությամբ՝ արտացոլելով կառավարության պարտքի բեռի կայունացման նպատակադրումը։ </w:t>
      </w:r>
    </w:p>
    <w:p w14:paraId="14D24766" w14:textId="77777777" w:rsidR="00CB39D1" w:rsidRPr="00CB39D1" w:rsidRDefault="00CB39D1" w:rsidP="00CB39D1">
      <w:pPr>
        <w:ind w:left="432"/>
        <w:jc w:val="both"/>
        <w:rPr>
          <w:rFonts w:ascii="GHEA Grapalat" w:hAnsi="GHEA Grapalat"/>
          <w:b/>
          <w:szCs w:val="20"/>
          <w:lang w:val="hy-AM"/>
        </w:rPr>
      </w:pPr>
      <w:r w:rsidRPr="00CB39D1">
        <w:rPr>
          <w:rFonts w:ascii="GHEA Grapalat" w:hAnsi="GHEA Grapalat"/>
          <w:b/>
          <w:szCs w:val="20"/>
          <w:lang w:val="hy-AM"/>
        </w:rPr>
        <w:t>2026թ</w:t>
      </w:r>
      <w:r w:rsidRPr="00CB39D1">
        <w:rPr>
          <w:rFonts w:ascii="Cambria Math" w:hAnsi="Cambria Math" w:cs="Cambria Math"/>
          <w:b/>
          <w:szCs w:val="20"/>
          <w:lang w:val="hy-AM"/>
        </w:rPr>
        <w:t>․</w:t>
      </w:r>
      <w:r w:rsidRPr="00CB39D1">
        <w:rPr>
          <w:rFonts w:ascii="GHEA Grapalat" w:hAnsi="GHEA Grapalat"/>
          <w:b/>
          <w:szCs w:val="20"/>
          <w:lang w:val="hy-AM"/>
        </w:rPr>
        <w:t xml:space="preserve">-ին հարկեր/ՀՆԱ հարաբերակցությունը կբարելավվի 0.4%-ային կետով և կկազմի 24.9%՝ արտացոլելով հարկային վարչարարության ջանքերը (0.3%-ային կետ) և հարկային օրենսդրության բարեփոխումները (0.2%-ային կետ)։ Խոշոր հարկատեսակներից բարելավման մեջ ամենամեծ նպաստումը կունենա ավելացված արժեքի հարկը։ </w:t>
      </w:r>
    </w:p>
    <w:p w14:paraId="6209DD68" w14:textId="77777777" w:rsidR="00CB39D1" w:rsidRPr="00CB39D1" w:rsidRDefault="00CB39D1" w:rsidP="00CB39D1">
      <w:pPr>
        <w:ind w:left="432"/>
        <w:jc w:val="both"/>
        <w:rPr>
          <w:rFonts w:ascii="GHEA Grapalat" w:hAnsi="GHEA Grapalat"/>
          <w:szCs w:val="20"/>
          <w:lang w:val="hy-AM"/>
        </w:rPr>
      </w:pPr>
      <w:r w:rsidRPr="00CB39D1">
        <w:rPr>
          <w:rFonts w:ascii="GHEA Grapalat" w:hAnsi="GHEA Grapalat"/>
          <w:b/>
          <w:szCs w:val="20"/>
          <w:lang w:val="hy-AM"/>
        </w:rPr>
        <w:t>Միջնաժամկետ հատվածում հարկային վարչարարության բարելավման, ստվերի դեմ պայքարի, ինչպես նաև հարկային քաղաքականության միջոցառումների արդյունքում ակնկալվում է շարունակել ապահովել հարկեր/ՀՆԱ հարաբերակցության բարելավումները՝ 2028թ</w:t>
      </w:r>
      <w:r w:rsidRPr="00CB39D1">
        <w:rPr>
          <w:rFonts w:ascii="Cambria Math" w:hAnsi="Cambria Math" w:cs="Cambria Math"/>
          <w:b/>
          <w:szCs w:val="20"/>
          <w:lang w:val="hy-AM"/>
        </w:rPr>
        <w:t>․</w:t>
      </w:r>
      <w:r w:rsidRPr="00CB39D1">
        <w:rPr>
          <w:rFonts w:ascii="GHEA Grapalat" w:hAnsi="GHEA Grapalat"/>
          <w:b/>
          <w:szCs w:val="20"/>
          <w:lang w:val="hy-AM"/>
        </w:rPr>
        <w:t>-ին հասցնելով 25.2%-ի։</w:t>
      </w:r>
      <w:r w:rsidRPr="00CB39D1">
        <w:rPr>
          <w:rFonts w:ascii="GHEA Grapalat" w:hAnsi="GHEA Grapalat"/>
          <w:szCs w:val="20"/>
          <w:lang w:val="hy-AM"/>
        </w:rPr>
        <w:t xml:space="preserve"> Ակնկալվում է, որ հարկային եկամուտների բարելավումը կապահովվի բոլոր հիմնական հարկատեսակների գծով՝ բխելով ինչպես հարկման բազաների, այնպես էլ օրենսդրության և վարչարարության միջոցառումների ազդեցությունից։ Միջնաժամկետ հատվածում հարկային վարչարարության ազդեցությունը սպասվում է պահպանել 0</w:t>
      </w:r>
      <w:r w:rsidRPr="00CB39D1">
        <w:rPr>
          <w:rFonts w:ascii="Cambria Math" w:hAnsi="Cambria Math" w:cs="Cambria Math"/>
          <w:szCs w:val="20"/>
          <w:lang w:val="hy-AM"/>
        </w:rPr>
        <w:t>․</w:t>
      </w:r>
      <w:r w:rsidRPr="00CB39D1">
        <w:rPr>
          <w:rFonts w:ascii="GHEA Grapalat" w:hAnsi="GHEA Grapalat"/>
          <w:szCs w:val="20"/>
          <w:lang w:val="hy-AM"/>
        </w:rPr>
        <w:t xml:space="preserve">2-0.3%-ային կետի շրջանակներում։ </w:t>
      </w:r>
    </w:p>
    <w:p w14:paraId="2F7FD851" w14:textId="77777777" w:rsidR="00CB39D1" w:rsidRPr="00CB39D1" w:rsidRDefault="00CB39D1" w:rsidP="00CB39D1">
      <w:pPr>
        <w:jc w:val="both"/>
        <w:rPr>
          <w:rFonts w:ascii="GHEA Grapalat" w:hAnsi="GHEA Grapalat"/>
          <w:lang w:val="hy-AM"/>
        </w:rPr>
      </w:pPr>
      <w:bookmarkStart w:id="270" w:name="_Hlk152316570"/>
      <w:r w:rsidRPr="00CB39D1">
        <w:rPr>
          <w:rFonts w:ascii="GHEA Grapalat" w:hAnsi="GHEA Grapalat"/>
          <w:bCs/>
          <w:szCs w:val="20"/>
          <w:lang w:val="hy-AM"/>
        </w:rPr>
        <w:t>Աղյուսակ 2.2. Հարկային եկամուտների կանխատեսումներն ըստ առանձին հարկատեսակների</w:t>
      </w:r>
      <w:r w:rsidRPr="00CB39D1">
        <w:rPr>
          <w:rFonts w:ascii="GHEA Grapalat" w:hAnsi="GHEA Grapalat"/>
          <w:bCs/>
          <w:szCs w:val="20"/>
          <w:vertAlign w:val="superscript"/>
        </w:rPr>
        <w:footnoteReference w:id="17"/>
      </w:r>
      <w:bookmarkEnd w:id="270"/>
    </w:p>
    <w:tbl>
      <w:tblPr>
        <w:tblW w:w="9840" w:type="dxa"/>
        <w:tblBorders>
          <w:top w:val="single" w:sz="4" w:space="0" w:color="E1E1E3"/>
          <w:left w:val="single" w:sz="4" w:space="0" w:color="E1E1E3"/>
          <w:bottom w:val="single" w:sz="4" w:space="0" w:color="E1E1E3"/>
          <w:right w:val="single" w:sz="4" w:space="0" w:color="E1E1E3"/>
          <w:insideH w:val="single" w:sz="4" w:space="0" w:color="E1E1E3"/>
          <w:insideV w:val="single" w:sz="4" w:space="0" w:color="E1E1E3"/>
        </w:tblBorders>
        <w:tblLook w:val="04A0" w:firstRow="1" w:lastRow="0" w:firstColumn="1" w:lastColumn="0" w:noHBand="0" w:noVBand="1"/>
      </w:tblPr>
      <w:tblGrid>
        <w:gridCol w:w="2405"/>
        <w:gridCol w:w="854"/>
        <w:gridCol w:w="848"/>
        <w:gridCol w:w="837"/>
        <w:gridCol w:w="846"/>
        <w:gridCol w:w="857"/>
        <w:gridCol w:w="635"/>
        <w:gridCol w:w="635"/>
        <w:gridCol w:w="638"/>
        <w:gridCol w:w="638"/>
        <w:gridCol w:w="647"/>
      </w:tblGrid>
      <w:tr w:rsidR="00CB39D1" w:rsidRPr="00CB39D1" w14:paraId="0A05DEAC" w14:textId="77777777" w:rsidTr="008D4E1E">
        <w:trPr>
          <w:trHeight w:val="360"/>
        </w:trPr>
        <w:tc>
          <w:tcPr>
            <w:tcW w:w="2405" w:type="dxa"/>
            <w:vMerge w:val="restart"/>
            <w:shd w:val="clear" w:color="auto" w:fill="D5DCE4"/>
            <w:noWrap/>
            <w:vAlign w:val="center"/>
            <w:hideMark/>
          </w:tcPr>
          <w:p w14:paraId="569A66BA" w14:textId="77777777" w:rsidR="00CB39D1" w:rsidRPr="00CB39D1" w:rsidRDefault="00CB39D1" w:rsidP="00CB39D1">
            <w:pPr>
              <w:spacing w:after="0" w:line="240" w:lineRule="auto"/>
              <w:rPr>
                <w:rFonts w:ascii="GHEA Grapalat" w:eastAsia="Times New Roman" w:hAnsi="GHEA Grapalat" w:cs="Times New Roman"/>
                <w:color w:val="404040"/>
                <w:sz w:val="18"/>
                <w:szCs w:val="18"/>
                <w:lang w:val="hy-AM"/>
              </w:rPr>
            </w:pPr>
            <w:r w:rsidRPr="00CB39D1">
              <w:rPr>
                <w:rFonts w:ascii="Calibri" w:eastAsia="Times New Roman" w:hAnsi="Calibri" w:cs="Calibri"/>
                <w:color w:val="404040"/>
                <w:sz w:val="18"/>
                <w:szCs w:val="18"/>
                <w:lang w:val="hy-AM"/>
              </w:rPr>
              <w:t> </w:t>
            </w:r>
          </w:p>
        </w:tc>
        <w:tc>
          <w:tcPr>
            <w:tcW w:w="4242" w:type="dxa"/>
            <w:gridSpan w:val="5"/>
            <w:shd w:val="clear" w:color="auto" w:fill="D5DCE4"/>
            <w:noWrap/>
            <w:vAlign w:val="center"/>
            <w:hideMark/>
          </w:tcPr>
          <w:p w14:paraId="7C63DC76" w14:textId="77777777" w:rsidR="00CB39D1" w:rsidRPr="00CB39D1" w:rsidRDefault="00CB39D1" w:rsidP="00CB39D1">
            <w:pPr>
              <w:spacing w:after="0" w:line="240" w:lineRule="auto"/>
              <w:jc w:val="center"/>
              <w:rPr>
                <w:rFonts w:ascii="GHEA Grapalat" w:eastAsia="Times New Roman" w:hAnsi="GHEA Grapalat" w:cs="Times New Roman"/>
                <w:color w:val="404040"/>
                <w:sz w:val="18"/>
                <w:szCs w:val="18"/>
                <w:lang w:val="ru-RU"/>
              </w:rPr>
            </w:pPr>
            <w:r w:rsidRPr="00CB39D1">
              <w:rPr>
                <w:rFonts w:ascii="GHEA Grapalat" w:eastAsia="Times New Roman" w:hAnsi="GHEA Grapalat" w:cs="Times New Roman"/>
                <w:color w:val="404040"/>
                <w:sz w:val="18"/>
                <w:szCs w:val="18"/>
              </w:rPr>
              <w:t>Մլրդ դրամ</w:t>
            </w:r>
          </w:p>
        </w:tc>
        <w:tc>
          <w:tcPr>
            <w:tcW w:w="3193" w:type="dxa"/>
            <w:gridSpan w:val="5"/>
            <w:shd w:val="clear" w:color="auto" w:fill="D5DCE4"/>
            <w:noWrap/>
            <w:vAlign w:val="center"/>
            <w:hideMark/>
          </w:tcPr>
          <w:p w14:paraId="1E0D947A" w14:textId="77777777" w:rsidR="00CB39D1" w:rsidRPr="00CB39D1" w:rsidRDefault="00CB39D1" w:rsidP="00CB39D1">
            <w:pPr>
              <w:spacing w:after="0" w:line="240" w:lineRule="auto"/>
              <w:jc w:val="center"/>
              <w:rPr>
                <w:rFonts w:ascii="GHEA Grapalat" w:eastAsia="Times New Roman" w:hAnsi="GHEA Grapalat" w:cs="Times New Roman"/>
                <w:color w:val="404040"/>
                <w:sz w:val="18"/>
                <w:szCs w:val="18"/>
              </w:rPr>
            </w:pPr>
            <w:r w:rsidRPr="00CB39D1">
              <w:rPr>
                <w:rFonts w:ascii="GHEA Grapalat" w:eastAsia="Times New Roman" w:hAnsi="GHEA Grapalat" w:cs="Times New Roman"/>
                <w:color w:val="404040"/>
                <w:sz w:val="18"/>
                <w:szCs w:val="18"/>
              </w:rPr>
              <w:t>% ՀՆԱ-ում</w:t>
            </w:r>
          </w:p>
        </w:tc>
      </w:tr>
      <w:tr w:rsidR="00CB39D1" w:rsidRPr="00CB39D1" w14:paraId="3F0A78C1" w14:textId="77777777" w:rsidTr="008D4E1E">
        <w:trPr>
          <w:trHeight w:val="360"/>
        </w:trPr>
        <w:tc>
          <w:tcPr>
            <w:tcW w:w="0" w:type="auto"/>
            <w:vMerge/>
            <w:shd w:val="clear" w:color="auto" w:fill="D5DCE4"/>
            <w:vAlign w:val="center"/>
            <w:hideMark/>
          </w:tcPr>
          <w:p w14:paraId="1E3C1180" w14:textId="77777777" w:rsidR="00CB39D1" w:rsidRPr="00CB39D1" w:rsidRDefault="00CB39D1" w:rsidP="00CB39D1">
            <w:pPr>
              <w:spacing w:after="0" w:line="240" w:lineRule="auto"/>
              <w:rPr>
                <w:rFonts w:ascii="GHEA Grapalat" w:eastAsia="Times New Roman" w:hAnsi="GHEA Grapalat" w:cs="Times New Roman"/>
                <w:color w:val="404040"/>
                <w:sz w:val="18"/>
                <w:szCs w:val="18"/>
                <w:lang w:val="hy-AM" w:eastAsia="ru-RU"/>
              </w:rPr>
            </w:pPr>
          </w:p>
        </w:tc>
        <w:tc>
          <w:tcPr>
            <w:tcW w:w="854" w:type="dxa"/>
            <w:shd w:val="clear" w:color="auto" w:fill="D5DCE4"/>
            <w:noWrap/>
            <w:vAlign w:val="center"/>
            <w:hideMark/>
          </w:tcPr>
          <w:p w14:paraId="01782B01" w14:textId="77777777" w:rsidR="00CB39D1" w:rsidRPr="00CB39D1" w:rsidRDefault="00CB39D1" w:rsidP="00CB39D1">
            <w:pPr>
              <w:spacing w:after="0" w:line="240" w:lineRule="auto"/>
              <w:jc w:val="center"/>
              <w:rPr>
                <w:rFonts w:ascii="GHEA Grapalat" w:eastAsia="Times New Roman" w:hAnsi="GHEA Grapalat" w:cs="Times New Roman"/>
                <w:b/>
                <w:color w:val="404040"/>
                <w:sz w:val="18"/>
                <w:szCs w:val="18"/>
              </w:rPr>
            </w:pPr>
            <w:r w:rsidRPr="00CB39D1">
              <w:rPr>
                <w:rFonts w:ascii="GHEA Grapalat" w:eastAsia="Times New Roman" w:hAnsi="GHEA Grapalat" w:cs="Times New Roman"/>
                <w:b/>
                <w:color w:val="404040"/>
                <w:sz w:val="18"/>
                <w:szCs w:val="18"/>
              </w:rPr>
              <w:t>2024</w:t>
            </w:r>
          </w:p>
        </w:tc>
        <w:tc>
          <w:tcPr>
            <w:tcW w:w="848" w:type="dxa"/>
            <w:shd w:val="clear" w:color="auto" w:fill="D5DCE4"/>
            <w:noWrap/>
            <w:vAlign w:val="center"/>
            <w:hideMark/>
          </w:tcPr>
          <w:p w14:paraId="7A166E1F" w14:textId="77777777" w:rsidR="00CB39D1" w:rsidRPr="00CB39D1" w:rsidRDefault="00CB39D1" w:rsidP="00CB39D1">
            <w:pPr>
              <w:spacing w:after="0" w:line="240" w:lineRule="auto"/>
              <w:jc w:val="center"/>
              <w:rPr>
                <w:rFonts w:ascii="GHEA Grapalat" w:eastAsia="Times New Roman" w:hAnsi="GHEA Grapalat" w:cs="Times New Roman"/>
                <w:b/>
                <w:color w:val="404040"/>
                <w:sz w:val="18"/>
                <w:szCs w:val="18"/>
              </w:rPr>
            </w:pPr>
            <w:r w:rsidRPr="00CB39D1">
              <w:rPr>
                <w:rFonts w:ascii="GHEA Grapalat" w:eastAsia="Times New Roman" w:hAnsi="GHEA Grapalat" w:cs="Times New Roman"/>
                <w:b/>
                <w:color w:val="404040"/>
                <w:sz w:val="18"/>
                <w:szCs w:val="18"/>
              </w:rPr>
              <w:t>2025</w:t>
            </w:r>
          </w:p>
        </w:tc>
        <w:tc>
          <w:tcPr>
            <w:tcW w:w="837" w:type="dxa"/>
            <w:shd w:val="clear" w:color="auto" w:fill="D5DCE4"/>
            <w:noWrap/>
            <w:vAlign w:val="center"/>
            <w:hideMark/>
          </w:tcPr>
          <w:p w14:paraId="498B9446" w14:textId="77777777" w:rsidR="00CB39D1" w:rsidRPr="00CB39D1" w:rsidRDefault="00CB39D1" w:rsidP="00CB39D1">
            <w:pPr>
              <w:spacing w:after="0" w:line="240" w:lineRule="auto"/>
              <w:jc w:val="center"/>
              <w:rPr>
                <w:rFonts w:ascii="GHEA Grapalat" w:eastAsia="Times New Roman" w:hAnsi="GHEA Grapalat" w:cs="Times New Roman"/>
                <w:b/>
                <w:color w:val="404040"/>
                <w:sz w:val="18"/>
                <w:szCs w:val="18"/>
              </w:rPr>
            </w:pPr>
            <w:r w:rsidRPr="00CB39D1">
              <w:rPr>
                <w:rFonts w:ascii="GHEA Grapalat" w:eastAsia="Times New Roman" w:hAnsi="GHEA Grapalat" w:cs="Times New Roman"/>
                <w:b/>
                <w:color w:val="404040"/>
                <w:sz w:val="18"/>
                <w:szCs w:val="18"/>
              </w:rPr>
              <w:t>2026</w:t>
            </w:r>
          </w:p>
        </w:tc>
        <w:tc>
          <w:tcPr>
            <w:tcW w:w="846" w:type="dxa"/>
            <w:shd w:val="clear" w:color="auto" w:fill="D5DCE4"/>
            <w:noWrap/>
            <w:vAlign w:val="center"/>
            <w:hideMark/>
          </w:tcPr>
          <w:p w14:paraId="0AC40DEF" w14:textId="77777777" w:rsidR="00CB39D1" w:rsidRPr="00CB39D1" w:rsidRDefault="00CB39D1" w:rsidP="00CB39D1">
            <w:pPr>
              <w:spacing w:after="0" w:line="240" w:lineRule="auto"/>
              <w:jc w:val="center"/>
              <w:rPr>
                <w:rFonts w:ascii="GHEA Grapalat" w:eastAsia="Times New Roman" w:hAnsi="GHEA Grapalat" w:cs="Times New Roman"/>
                <w:b/>
                <w:color w:val="404040"/>
                <w:sz w:val="18"/>
                <w:szCs w:val="18"/>
              </w:rPr>
            </w:pPr>
            <w:r w:rsidRPr="00CB39D1">
              <w:rPr>
                <w:rFonts w:ascii="GHEA Grapalat" w:eastAsia="Times New Roman" w:hAnsi="GHEA Grapalat" w:cs="Times New Roman"/>
                <w:b/>
                <w:color w:val="404040"/>
                <w:sz w:val="18"/>
                <w:szCs w:val="18"/>
              </w:rPr>
              <w:t>2027</w:t>
            </w:r>
          </w:p>
        </w:tc>
        <w:tc>
          <w:tcPr>
            <w:tcW w:w="857" w:type="dxa"/>
            <w:shd w:val="clear" w:color="auto" w:fill="D5DCE4"/>
            <w:noWrap/>
            <w:vAlign w:val="center"/>
            <w:hideMark/>
          </w:tcPr>
          <w:p w14:paraId="1E574EC3" w14:textId="77777777" w:rsidR="00CB39D1" w:rsidRPr="00CB39D1" w:rsidRDefault="00CB39D1" w:rsidP="00CB39D1">
            <w:pPr>
              <w:spacing w:after="0" w:line="240" w:lineRule="auto"/>
              <w:jc w:val="center"/>
              <w:rPr>
                <w:rFonts w:ascii="GHEA Grapalat" w:eastAsia="Times New Roman" w:hAnsi="GHEA Grapalat" w:cs="Times New Roman"/>
                <w:b/>
                <w:color w:val="404040"/>
                <w:sz w:val="18"/>
                <w:szCs w:val="18"/>
              </w:rPr>
            </w:pPr>
            <w:r w:rsidRPr="00CB39D1">
              <w:rPr>
                <w:rFonts w:ascii="GHEA Grapalat" w:eastAsia="Times New Roman" w:hAnsi="GHEA Grapalat" w:cs="Times New Roman"/>
                <w:b/>
                <w:color w:val="404040"/>
                <w:sz w:val="18"/>
                <w:szCs w:val="18"/>
              </w:rPr>
              <w:t>2028</w:t>
            </w:r>
          </w:p>
        </w:tc>
        <w:tc>
          <w:tcPr>
            <w:tcW w:w="635" w:type="dxa"/>
            <w:shd w:val="clear" w:color="auto" w:fill="D5DCE4"/>
            <w:noWrap/>
            <w:vAlign w:val="center"/>
            <w:hideMark/>
          </w:tcPr>
          <w:p w14:paraId="16754684" w14:textId="77777777" w:rsidR="00CB39D1" w:rsidRPr="00CB39D1" w:rsidRDefault="00CB39D1" w:rsidP="00CB39D1">
            <w:pPr>
              <w:spacing w:after="0" w:line="240" w:lineRule="auto"/>
              <w:jc w:val="center"/>
              <w:rPr>
                <w:rFonts w:ascii="GHEA Grapalat" w:eastAsia="Times New Roman" w:hAnsi="GHEA Grapalat" w:cs="Times New Roman"/>
                <w:b/>
                <w:color w:val="404040"/>
                <w:sz w:val="18"/>
                <w:szCs w:val="18"/>
              </w:rPr>
            </w:pPr>
            <w:r w:rsidRPr="00CB39D1">
              <w:rPr>
                <w:rFonts w:ascii="GHEA Grapalat" w:eastAsia="Times New Roman" w:hAnsi="GHEA Grapalat" w:cs="Times New Roman"/>
                <w:b/>
                <w:color w:val="404040"/>
                <w:sz w:val="18"/>
                <w:szCs w:val="18"/>
              </w:rPr>
              <w:t>2024</w:t>
            </w:r>
          </w:p>
        </w:tc>
        <w:tc>
          <w:tcPr>
            <w:tcW w:w="635" w:type="dxa"/>
            <w:shd w:val="clear" w:color="auto" w:fill="D5DCE4"/>
            <w:noWrap/>
            <w:vAlign w:val="center"/>
            <w:hideMark/>
          </w:tcPr>
          <w:p w14:paraId="2C1EE7DB" w14:textId="77777777" w:rsidR="00CB39D1" w:rsidRPr="00CB39D1" w:rsidRDefault="00CB39D1" w:rsidP="00CB39D1">
            <w:pPr>
              <w:spacing w:after="0" w:line="240" w:lineRule="auto"/>
              <w:jc w:val="center"/>
              <w:rPr>
                <w:rFonts w:ascii="GHEA Grapalat" w:eastAsia="Times New Roman" w:hAnsi="GHEA Grapalat" w:cs="Times New Roman"/>
                <w:b/>
                <w:color w:val="404040"/>
                <w:sz w:val="18"/>
                <w:szCs w:val="18"/>
              </w:rPr>
            </w:pPr>
            <w:r w:rsidRPr="00CB39D1">
              <w:rPr>
                <w:rFonts w:ascii="GHEA Grapalat" w:eastAsia="Times New Roman" w:hAnsi="GHEA Grapalat" w:cs="Times New Roman"/>
                <w:b/>
                <w:color w:val="404040"/>
                <w:sz w:val="18"/>
                <w:szCs w:val="18"/>
              </w:rPr>
              <w:t>2025</w:t>
            </w:r>
          </w:p>
        </w:tc>
        <w:tc>
          <w:tcPr>
            <w:tcW w:w="638" w:type="dxa"/>
            <w:shd w:val="clear" w:color="auto" w:fill="D5DCE4"/>
            <w:noWrap/>
            <w:vAlign w:val="center"/>
            <w:hideMark/>
          </w:tcPr>
          <w:p w14:paraId="38B19559" w14:textId="77777777" w:rsidR="00CB39D1" w:rsidRPr="00CB39D1" w:rsidRDefault="00CB39D1" w:rsidP="00CB39D1">
            <w:pPr>
              <w:spacing w:after="0" w:line="240" w:lineRule="auto"/>
              <w:jc w:val="center"/>
              <w:rPr>
                <w:rFonts w:ascii="GHEA Grapalat" w:eastAsia="Times New Roman" w:hAnsi="GHEA Grapalat" w:cs="Times New Roman"/>
                <w:b/>
                <w:color w:val="404040"/>
                <w:sz w:val="18"/>
                <w:szCs w:val="18"/>
              </w:rPr>
            </w:pPr>
            <w:r w:rsidRPr="00CB39D1">
              <w:rPr>
                <w:rFonts w:ascii="GHEA Grapalat" w:eastAsia="Times New Roman" w:hAnsi="GHEA Grapalat" w:cs="Times New Roman"/>
                <w:b/>
                <w:color w:val="404040"/>
                <w:sz w:val="18"/>
                <w:szCs w:val="18"/>
              </w:rPr>
              <w:t>2026</w:t>
            </w:r>
          </w:p>
        </w:tc>
        <w:tc>
          <w:tcPr>
            <w:tcW w:w="638" w:type="dxa"/>
            <w:shd w:val="clear" w:color="auto" w:fill="D5DCE4"/>
            <w:noWrap/>
            <w:vAlign w:val="center"/>
            <w:hideMark/>
          </w:tcPr>
          <w:p w14:paraId="0FBB5A8A" w14:textId="77777777" w:rsidR="00CB39D1" w:rsidRPr="00CB39D1" w:rsidRDefault="00CB39D1" w:rsidP="00CB39D1">
            <w:pPr>
              <w:spacing w:after="0" w:line="240" w:lineRule="auto"/>
              <w:jc w:val="center"/>
              <w:rPr>
                <w:rFonts w:ascii="GHEA Grapalat" w:eastAsia="Times New Roman" w:hAnsi="GHEA Grapalat" w:cs="Times New Roman"/>
                <w:b/>
                <w:color w:val="404040"/>
                <w:sz w:val="18"/>
                <w:szCs w:val="18"/>
              </w:rPr>
            </w:pPr>
            <w:r w:rsidRPr="00CB39D1">
              <w:rPr>
                <w:rFonts w:ascii="GHEA Grapalat" w:eastAsia="Times New Roman" w:hAnsi="GHEA Grapalat" w:cs="Times New Roman"/>
                <w:b/>
                <w:color w:val="404040"/>
                <w:sz w:val="18"/>
                <w:szCs w:val="18"/>
              </w:rPr>
              <w:t>2027</w:t>
            </w:r>
          </w:p>
        </w:tc>
        <w:tc>
          <w:tcPr>
            <w:tcW w:w="647" w:type="dxa"/>
            <w:shd w:val="clear" w:color="auto" w:fill="D5DCE4"/>
            <w:noWrap/>
            <w:vAlign w:val="center"/>
            <w:hideMark/>
          </w:tcPr>
          <w:p w14:paraId="218D267E" w14:textId="77777777" w:rsidR="00CB39D1" w:rsidRPr="00CB39D1" w:rsidRDefault="00CB39D1" w:rsidP="00CB39D1">
            <w:pPr>
              <w:spacing w:after="0" w:line="240" w:lineRule="auto"/>
              <w:jc w:val="center"/>
              <w:rPr>
                <w:rFonts w:ascii="GHEA Grapalat" w:eastAsia="Times New Roman" w:hAnsi="GHEA Grapalat" w:cs="Times New Roman"/>
                <w:b/>
                <w:color w:val="404040"/>
                <w:sz w:val="18"/>
                <w:szCs w:val="18"/>
              </w:rPr>
            </w:pPr>
            <w:r w:rsidRPr="00CB39D1">
              <w:rPr>
                <w:rFonts w:ascii="GHEA Grapalat" w:eastAsia="Times New Roman" w:hAnsi="GHEA Grapalat" w:cs="Times New Roman"/>
                <w:b/>
                <w:color w:val="404040"/>
                <w:sz w:val="18"/>
                <w:szCs w:val="18"/>
              </w:rPr>
              <w:t>2028</w:t>
            </w:r>
          </w:p>
        </w:tc>
      </w:tr>
      <w:tr w:rsidR="00CB39D1" w:rsidRPr="00CB39D1" w14:paraId="619D25DE" w14:textId="77777777" w:rsidTr="008D4E1E">
        <w:trPr>
          <w:trHeight w:val="432"/>
        </w:trPr>
        <w:tc>
          <w:tcPr>
            <w:tcW w:w="2405" w:type="dxa"/>
            <w:vAlign w:val="center"/>
            <w:hideMark/>
          </w:tcPr>
          <w:p w14:paraId="0FC75ACF" w14:textId="77777777" w:rsidR="00CB39D1" w:rsidRPr="00CB39D1" w:rsidRDefault="00CB39D1" w:rsidP="00CB39D1">
            <w:pPr>
              <w:spacing w:after="0" w:line="240" w:lineRule="auto"/>
              <w:rPr>
                <w:rFonts w:ascii="GHEA Grapalat" w:eastAsia="Times New Roman" w:hAnsi="GHEA Grapalat" w:cs="Times New Roman"/>
                <w:color w:val="404040"/>
                <w:sz w:val="18"/>
                <w:szCs w:val="18"/>
              </w:rPr>
            </w:pPr>
            <w:r w:rsidRPr="00CB39D1">
              <w:rPr>
                <w:rFonts w:ascii="GHEA Grapalat" w:eastAsia="Times New Roman" w:hAnsi="GHEA Grapalat" w:cs="Times New Roman"/>
                <w:color w:val="404040"/>
                <w:sz w:val="18"/>
                <w:szCs w:val="18"/>
              </w:rPr>
              <w:t>Ընդամենը հարկեր և տուրքեր</w:t>
            </w:r>
          </w:p>
        </w:tc>
        <w:tc>
          <w:tcPr>
            <w:tcW w:w="854" w:type="dxa"/>
            <w:noWrap/>
            <w:hideMark/>
          </w:tcPr>
          <w:p w14:paraId="6DF370BE" w14:textId="77777777" w:rsidR="00CB39D1" w:rsidRPr="00CB39D1" w:rsidRDefault="00CB39D1" w:rsidP="00CB39D1">
            <w:pPr>
              <w:spacing w:after="0" w:line="240" w:lineRule="auto"/>
              <w:jc w:val="center"/>
              <w:rPr>
                <w:rFonts w:ascii="GHEA Grapalat" w:eastAsia="Times New Roman" w:hAnsi="GHEA Grapalat" w:cs="Times New Roman"/>
                <w:color w:val="404040"/>
                <w:sz w:val="18"/>
                <w:szCs w:val="18"/>
              </w:rPr>
            </w:pPr>
            <w:r w:rsidRPr="00CB39D1">
              <w:rPr>
                <w:rFonts w:ascii="GHEA Grapalat" w:eastAsia="Times New Roman" w:hAnsi="GHEA Grapalat" w:cs="Times New Roman"/>
                <w:color w:val="404040"/>
                <w:sz w:val="18"/>
                <w:szCs w:val="18"/>
              </w:rPr>
              <w:t>2,390.9</w:t>
            </w:r>
          </w:p>
        </w:tc>
        <w:tc>
          <w:tcPr>
            <w:tcW w:w="848" w:type="dxa"/>
            <w:noWrap/>
            <w:hideMark/>
          </w:tcPr>
          <w:p w14:paraId="2F39160C" w14:textId="77777777" w:rsidR="00CB39D1" w:rsidRPr="00CB39D1" w:rsidRDefault="00CB39D1" w:rsidP="00CB39D1">
            <w:pPr>
              <w:spacing w:after="0" w:line="240" w:lineRule="auto"/>
              <w:jc w:val="center"/>
              <w:rPr>
                <w:rFonts w:ascii="GHEA Grapalat" w:eastAsia="Times New Roman" w:hAnsi="GHEA Grapalat" w:cs="Times New Roman"/>
                <w:color w:val="404040"/>
                <w:sz w:val="18"/>
                <w:szCs w:val="18"/>
              </w:rPr>
            </w:pPr>
            <w:r w:rsidRPr="00CB39D1">
              <w:rPr>
                <w:rFonts w:ascii="GHEA Grapalat" w:eastAsia="Times New Roman" w:hAnsi="GHEA Grapalat" w:cs="Times New Roman"/>
                <w:color w:val="404040"/>
                <w:sz w:val="18"/>
                <w:szCs w:val="18"/>
              </w:rPr>
              <w:t>2,690.4</w:t>
            </w:r>
          </w:p>
        </w:tc>
        <w:tc>
          <w:tcPr>
            <w:tcW w:w="837" w:type="dxa"/>
            <w:noWrap/>
            <w:hideMark/>
          </w:tcPr>
          <w:p w14:paraId="3C0F88ED" w14:textId="77777777" w:rsidR="00CB39D1" w:rsidRPr="00CB39D1" w:rsidRDefault="00CB39D1" w:rsidP="00CB39D1">
            <w:pPr>
              <w:spacing w:after="0" w:line="240" w:lineRule="auto"/>
              <w:jc w:val="center"/>
              <w:rPr>
                <w:rFonts w:ascii="GHEA Grapalat" w:eastAsia="Times New Roman" w:hAnsi="GHEA Grapalat" w:cs="Times New Roman"/>
                <w:color w:val="404040"/>
                <w:sz w:val="18"/>
                <w:szCs w:val="18"/>
              </w:rPr>
            </w:pPr>
            <w:r w:rsidRPr="00CB39D1">
              <w:rPr>
                <w:rFonts w:ascii="GHEA Grapalat" w:eastAsia="Times New Roman" w:hAnsi="GHEA Grapalat" w:cs="Times New Roman"/>
                <w:color w:val="404040"/>
                <w:sz w:val="18"/>
                <w:szCs w:val="18"/>
              </w:rPr>
              <w:t>2,972.9</w:t>
            </w:r>
          </w:p>
        </w:tc>
        <w:tc>
          <w:tcPr>
            <w:tcW w:w="846" w:type="dxa"/>
            <w:noWrap/>
            <w:hideMark/>
          </w:tcPr>
          <w:p w14:paraId="3B04B946" w14:textId="77777777" w:rsidR="00CB39D1" w:rsidRPr="00CB39D1" w:rsidRDefault="00CB39D1" w:rsidP="00CB39D1">
            <w:pPr>
              <w:spacing w:after="0" w:line="240" w:lineRule="auto"/>
              <w:jc w:val="center"/>
              <w:rPr>
                <w:rFonts w:ascii="GHEA Grapalat" w:eastAsia="Times New Roman" w:hAnsi="GHEA Grapalat" w:cs="Times New Roman"/>
                <w:color w:val="404040"/>
                <w:sz w:val="18"/>
                <w:szCs w:val="18"/>
              </w:rPr>
            </w:pPr>
            <w:r w:rsidRPr="00CB39D1">
              <w:rPr>
                <w:rFonts w:ascii="GHEA Grapalat" w:eastAsia="Times New Roman" w:hAnsi="GHEA Grapalat" w:cs="Times New Roman"/>
                <w:color w:val="404040"/>
                <w:sz w:val="18"/>
                <w:szCs w:val="18"/>
              </w:rPr>
              <w:t>3,244.9</w:t>
            </w:r>
          </w:p>
        </w:tc>
        <w:tc>
          <w:tcPr>
            <w:tcW w:w="857" w:type="dxa"/>
            <w:noWrap/>
            <w:hideMark/>
          </w:tcPr>
          <w:p w14:paraId="3F448FB7" w14:textId="77777777" w:rsidR="00CB39D1" w:rsidRPr="00CB39D1" w:rsidRDefault="00CB39D1" w:rsidP="00CB39D1">
            <w:pPr>
              <w:spacing w:after="0" w:line="240" w:lineRule="auto"/>
              <w:jc w:val="center"/>
              <w:rPr>
                <w:rFonts w:ascii="GHEA Grapalat" w:eastAsia="Times New Roman" w:hAnsi="GHEA Grapalat" w:cs="Times New Roman"/>
                <w:color w:val="404040"/>
                <w:sz w:val="18"/>
                <w:szCs w:val="18"/>
              </w:rPr>
            </w:pPr>
            <w:r w:rsidRPr="00CB39D1">
              <w:rPr>
                <w:rFonts w:ascii="GHEA Grapalat" w:eastAsia="Times New Roman" w:hAnsi="GHEA Grapalat" w:cs="Times New Roman"/>
                <w:color w:val="404040"/>
                <w:sz w:val="18"/>
                <w:szCs w:val="18"/>
              </w:rPr>
              <w:t>3,533.9</w:t>
            </w:r>
          </w:p>
        </w:tc>
        <w:tc>
          <w:tcPr>
            <w:tcW w:w="635" w:type="dxa"/>
            <w:noWrap/>
            <w:hideMark/>
          </w:tcPr>
          <w:p w14:paraId="444A3ECA" w14:textId="77777777" w:rsidR="00CB39D1" w:rsidRPr="00CB39D1" w:rsidRDefault="00CB39D1" w:rsidP="00CB39D1">
            <w:pPr>
              <w:spacing w:after="0" w:line="240" w:lineRule="auto"/>
              <w:jc w:val="center"/>
              <w:rPr>
                <w:rFonts w:ascii="GHEA Grapalat" w:eastAsia="Times New Roman" w:hAnsi="GHEA Grapalat" w:cs="Times New Roman"/>
                <w:color w:val="404040"/>
                <w:sz w:val="18"/>
                <w:szCs w:val="18"/>
              </w:rPr>
            </w:pPr>
            <w:r w:rsidRPr="00CB39D1">
              <w:rPr>
                <w:rFonts w:ascii="GHEA Grapalat" w:eastAsia="Times New Roman" w:hAnsi="GHEA Grapalat" w:cs="Times New Roman"/>
                <w:color w:val="404040"/>
                <w:sz w:val="18"/>
                <w:szCs w:val="18"/>
              </w:rPr>
              <w:t>23.5</w:t>
            </w:r>
          </w:p>
        </w:tc>
        <w:tc>
          <w:tcPr>
            <w:tcW w:w="635" w:type="dxa"/>
            <w:noWrap/>
            <w:hideMark/>
          </w:tcPr>
          <w:p w14:paraId="6F57A704" w14:textId="77777777" w:rsidR="00CB39D1" w:rsidRPr="00CB39D1" w:rsidRDefault="00CB39D1" w:rsidP="00CB39D1">
            <w:pPr>
              <w:spacing w:after="0" w:line="240" w:lineRule="auto"/>
              <w:jc w:val="center"/>
              <w:rPr>
                <w:rFonts w:ascii="GHEA Grapalat" w:eastAsia="Times New Roman" w:hAnsi="GHEA Grapalat" w:cs="Times New Roman"/>
                <w:color w:val="404040"/>
                <w:sz w:val="18"/>
                <w:szCs w:val="18"/>
              </w:rPr>
            </w:pPr>
            <w:r w:rsidRPr="00CB39D1">
              <w:rPr>
                <w:rFonts w:ascii="GHEA Grapalat" w:eastAsia="Times New Roman" w:hAnsi="GHEA Grapalat" w:cs="Times New Roman"/>
                <w:color w:val="404040"/>
                <w:sz w:val="18"/>
                <w:szCs w:val="18"/>
              </w:rPr>
              <w:t>24.5</w:t>
            </w:r>
          </w:p>
        </w:tc>
        <w:tc>
          <w:tcPr>
            <w:tcW w:w="638" w:type="dxa"/>
            <w:noWrap/>
            <w:hideMark/>
          </w:tcPr>
          <w:p w14:paraId="10AF4A47" w14:textId="77777777" w:rsidR="00CB39D1" w:rsidRPr="00CB39D1" w:rsidRDefault="00CB39D1" w:rsidP="00CB39D1">
            <w:pPr>
              <w:spacing w:after="0" w:line="240" w:lineRule="auto"/>
              <w:jc w:val="center"/>
              <w:rPr>
                <w:rFonts w:ascii="GHEA Grapalat" w:eastAsia="Times New Roman" w:hAnsi="GHEA Grapalat" w:cs="Times New Roman"/>
                <w:color w:val="404040"/>
                <w:sz w:val="18"/>
                <w:szCs w:val="18"/>
              </w:rPr>
            </w:pPr>
            <w:r w:rsidRPr="00CB39D1">
              <w:rPr>
                <w:rFonts w:ascii="GHEA Grapalat" w:eastAsia="Times New Roman" w:hAnsi="GHEA Grapalat" w:cs="Times New Roman"/>
                <w:color w:val="404040"/>
                <w:sz w:val="18"/>
                <w:szCs w:val="18"/>
              </w:rPr>
              <w:t>24.9</w:t>
            </w:r>
          </w:p>
        </w:tc>
        <w:tc>
          <w:tcPr>
            <w:tcW w:w="638" w:type="dxa"/>
            <w:noWrap/>
            <w:hideMark/>
          </w:tcPr>
          <w:p w14:paraId="2FC14928" w14:textId="77777777" w:rsidR="00CB39D1" w:rsidRPr="00CB39D1" w:rsidRDefault="00CB39D1" w:rsidP="00CB39D1">
            <w:pPr>
              <w:spacing w:after="0" w:line="240" w:lineRule="auto"/>
              <w:jc w:val="center"/>
              <w:rPr>
                <w:rFonts w:ascii="GHEA Grapalat" w:eastAsia="Times New Roman" w:hAnsi="GHEA Grapalat" w:cs="Times New Roman"/>
                <w:color w:val="404040"/>
                <w:sz w:val="18"/>
                <w:szCs w:val="18"/>
              </w:rPr>
            </w:pPr>
            <w:r w:rsidRPr="00CB39D1">
              <w:rPr>
                <w:rFonts w:ascii="GHEA Grapalat" w:eastAsia="Times New Roman" w:hAnsi="GHEA Grapalat" w:cs="Times New Roman"/>
                <w:color w:val="404040"/>
                <w:sz w:val="18"/>
                <w:szCs w:val="18"/>
              </w:rPr>
              <w:t>25.1</w:t>
            </w:r>
          </w:p>
        </w:tc>
        <w:tc>
          <w:tcPr>
            <w:tcW w:w="647" w:type="dxa"/>
            <w:noWrap/>
            <w:hideMark/>
          </w:tcPr>
          <w:p w14:paraId="25204253" w14:textId="77777777" w:rsidR="00CB39D1" w:rsidRPr="00CB39D1" w:rsidRDefault="00CB39D1" w:rsidP="00CB39D1">
            <w:pPr>
              <w:spacing w:after="0" w:line="240" w:lineRule="auto"/>
              <w:jc w:val="center"/>
              <w:rPr>
                <w:rFonts w:ascii="GHEA Grapalat" w:eastAsia="Times New Roman" w:hAnsi="GHEA Grapalat" w:cs="Times New Roman"/>
                <w:color w:val="404040"/>
                <w:sz w:val="18"/>
                <w:szCs w:val="18"/>
              </w:rPr>
            </w:pPr>
            <w:r w:rsidRPr="00CB39D1">
              <w:rPr>
                <w:rFonts w:ascii="GHEA Grapalat" w:eastAsia="Times New Roman" w:hAnsi="GHEA Grapalat" w:cs="Times New Roman"/>
                <w:color w:val="404040"/>
                <w:sz w:val="18"/>
                <w:szCs w:val="18"/>
              </w:rPr>
              <w:t>25.2</w:t>
            </w:r>
          </w:p>
        </w:tc>
      </w:tr>
      <w:tr w:rsidR="00CB39D1" w:rsidRPr="00CB39D1" w14:paraId="0797CBD8" w14:textId="77777777" w:rsidTr="008D4E1E">
        <w:trPr>
          <w:trHeight w:val="432"/>
        </w:trPr>
        <w:tc>
          <w:tcPr>
            <w:tcW w:w="2405" w:type="dxa"/>
            <w:vAlign w:val="center"/>
            <w:hideMark/>
          </w:tcPr>
          <w:p w14:paraId="64C2ACEF" w14:textId="77777777" w:rsidR="00CB39D1" w:rsidRPr="00CB39D1" w:rsidRDefault="00CB39D1" w:rsidP="00CB39D1">
            <w:pPr>
              <w:spacing w:after="0" w:line="240" w:lineRule="auto"/>
              <w:rPr>
                <w:rFonts w:ascii="GHEA Grapalat" w:eastAsia="Times New Roman" w:hAnsi="GHEA Grapalat" w:cs="Times New Roman"/>
                <w:color w:val="404040"/>
                <w:sz w:val="18"/>
                <w:szCs w:val="18"/>
              </w:rPr>
            </w:pPr>
            <w:r w:rsidRPr="00CB39D1">
              <w:rPr>
                <w:rFonts w:ascii="GHEA Grapalat" w:eastAsia="Times New Roman" w:hAnsi="GHEA Grapalat" w:cs="Times New Roman"/>
                <w:color w:val="404040"/>
                <w:sz w:val="18"/>
                <w:szCs w:val="18"/>
              </w:rPr>
              <w:t>Ավելացված արժեքի հարկ</w:t>
            </w:r>
          </w:p>
        </w:tc>
        <w:tc>
          <w:tcPr>
            <w:tcW w:w="854" w:type="dxa"/>
            <w:noWrap/>
            <w:hideMark/>
          </w:tcPr>
          <w:p w14:paraId="1B712D42" w14:textId="77777777" w:rsidR="00CB39D1" w:rsidRPr="00CB39D1" w:rsidRDefault="00CB39D1" w:rsidP="00CB39D1">
            <w:pPr>
              <w:spacing w:after="0" w:line="240" w:lineRule="auto"/>
              <w:jc w:val="center"/>
              <w:rPr>
                <w:rFonts w:ascii="GHEA Grapalat" w:eastAsia="Times New Roman" w:hAnsi="GHEA Grapalat" w:cs="Times New Roman"/>
                <w:color w:val="404040"/>
                <w:sz w:val="18"/>
                <w:szCs w:val="18"/>
              </w:rPr>
            </w:pPr>
            <w:r w:rsidRPr="00CB39D1">
              <w:rPr>
                <w:rFonts w:ascii="GHEA Grapalat" w:eastAsia="Times New Roman" w:hAnsi="GHEA Grapalat" w:cs="Times New Roman"/>
                <w:color w:val="404040"/>
                <w:sz w:val="18"/>
                <w:szCs w:val="18"/>
              </w:rPr>
              <w:t>755.9</w:t>
            </w:r>
          </w:p>
        </w:tc>
        <w:tc>
          <w:tcPr>
            <w:tcW w:w="848" w:type="dxa"/>
            <w:noWrap/>
            <w:hideMark/>
          </w:tcPr>
          <w:p w14:paraId="5FE20E0C" w14:textId="77777777" w:rsidR="00CB39D1" w:rsidRPr="00CB39D1" w:rsidRDefault="00CB39D1" w:rsidP="00CB39D1">
            <w:pPr>
              <w:spacing w:after="0" w:line="240" w:lineRule="auto"/>
              <w:jc w:val="center"/>
              <w:rPr>
                <w:rFonts w:ascii="GHEA Grapalat" w:eastAsia="Times New Roman" w:hAnsi="GHEA Grapalat" w:cs="Times New Roman"/>
                <w:color w:val="404040"/>
                <w:sz w:val="18"/>
                <w:szCs w:val="18"/>
              </w:rPr>
            </w:pPr>
            <w:r w:rsidRPr="00CB39D1">
              <w:rPr>
                <w:rFonts w:ascii="GHEA Grapalat" w:eastAsia="Times New Roman" w:hAnsi="GHEA Grapalat" w:cs="Times New Roman"/>
                <w:color w:val="404040"/>
                <w:sz w:val="18"/>
                <w:szCs w:val="18"/>
              </w:rPr>
              <w:t>904.8</w:t>
            </w:r>
          </w:p>
        </w:tc>
        <w:tc>
          <w:tcPr>
            <w:tcW w:w="837" w:type="dxa"/>
            <w:noWrap/>
            <w:hideMark/>
          </w:tcPr>
          <w:p w14:paraId="7E41D0BA" w14:textId="77777777" w:rsidR="00CB39D1" w:rsidRPr="00CB39D1" w:rsidRDefault="00CB39D1" w:rsidP="00CB39D1">
            <w:pPr>
              <w:spacing w:after="0" w:line="240" w:lineRule="auto"/>
              <w:jc w:val="center"/>
              <w:rPr>
                <w:rFonts w:ascii="GHEA Grapalat" w:eastAsia="Times New Roman" w:hAnsi="GHEA Grapalat" w:cs="Times New Roman"/>
                <w:color w:val="404040"/>
                <w:sz w:val="18"/>
                <w:szCs w:val="18"/>
              </w:rPr>
            </w:pPr>
            <w:r w:rsidRPr="00CB39D1">
              <w:rPr>
                <w:rFonts w:ascii="GHEA Grapalat" w:eastAsia="Times New Roman" w:hAnsi="GHEA Grapalat" w:cs="Times New Roman"/>
                <w:color w:val="404040"/>
                <w:sz w:val="18"/>
                <w:szCs w:val="18"/>
              </w:rPr>
              <w:t>992.2</w:t>
            </w:r>
          </w:p>
        </w:tc>
        <w:tc>
          <w:tcPr>
            <w:tcW w:w="846" w:type="dxa"/>
            <w:noWrap/>
            <w:hideMark/>
          </w:tcPr>
          <w:p w14:paraId="3DF15EC4" w14:textId="77777777" w:rsidR="00CB39D1" w:rsidRPr="00CB39D1" w:rsidRDefault="00CB39D1" w:rsidP="00CB39D1">
            <w:pPr>
              <w:spacing w:after="0" w:line="240" w:lineRule="auto"/>
              <w:jc w:val="center"/>
              <w:rPr>
                <w:rFonts w:ascii="GHEA Grapalat" w:eastAsia="Times New Roman" w:hAnsi="GHEA Grapalat" w:cs="Times New Roman"/>
                <w:color w:val="404040"/>
                <w:sz w:val="18"/>
                <w:szCs w:val="18"/>
              </w:rPr>
            </w:pPr>
            <w:r w:rsidRPr="00CB39D1">
              <w:rPr>
                <w:rFonts w:ascii="GHEA Grapalat" w:eastAsia="Times New Roman" w:hAnsi="GHEA Grapalat" w:cs="Times New Roman"/>
                <w:color w:val="404040"/>
                <w:sz w:val="18"/>
                <w:szCs w:val="18"/>
              </w:rPr>
              <w:t>1,078.9</w:t>
            </w:r>
          </w:p>
        </w:tc>
        <w:tc>
          <w:tcPr>
            <w:tcW w:w="857" w:type="dxa"/>
            <w:noWrap/>
            <w:hideMark/>
          </w:tcPr>
          <w:p w14:paraId="6FCD4DF5" w14:textId="77777777" w:rsidR="00CB39D1" w:rsidRPr="00CB39D1" w:rsidRDefault="00CB39D1" w:rsidP="00CB39D1">
            <w:pPr>
              <w:spacing w:after="0" w:line="240" w:lineRule="auto"/>
              <w:jc w:val="center"/>
              <w:rPr>
                <w:rFonts w:ascii="GHEA Grapalat" w:eastAsia="Times New Roman" w:hAnsi="GHEA Grapalat" w:cs="Times New Roman"/>
                <w:color w:val="404040"/>
                <w:sz w:val="18"/>
                <w:szCs w:val="18"/>
              </w:rPr>
            </w:pPr>
            <w:r w:rsidRPr="00CB39D1">
              <w:rPr>
                <w:rFonts w:ascii="GHEA Grapalat" w:eastAsia="Times New Roman" w:hAnsi="GHEA Grapalat" w:cs="Times New Roman"/>
                <w:color w:val="404040"/>
                <w:sz w:val="18"/>
                <w:szCs w:val="18"/>
              </w:rPr>
              <w:t>1,171.8</w:t>
            </w:r>
          </w:p>
        </w:tc>
        <w:tc>
          <w:tcPr>
            <w:tcW w:w="635" w:type="dxa"/>
            <w:noWrap/>
            <w:hideMark/>
          </w:tcPr>
          <w:p w14:paraId="32349828" w14:textId="77777777" w:rsidR="00CB39D1" w:rsidRPr="00CB39D1" w:rsidRDefault="00CB39D1" w:rsidP="00CB39D1">
            <w:pPr>
              <w:spacing w:after="0" w:line="240" w:lineRule="auto"/>
              <w:jc w:val="center"/>
              <w:rPr>
                <w:rFonts w:ascii="GHEA Grapalat" w:eastAsia="Times New Roman" w:hAnsi="GHEA Grapalat" w:cs="Times New Roman"/>
                <w:color w:val="404040"/>
                <w:sz w:val="18"/>
                <w:szCs w:val="18"/>
              </w:rPr>
            </w:pPr>
            <w:r w:rsidRPr="00CB39D1">
              <w:rPr>
                <w:rFonts w:ascii="GHEA Grapalat" w:eastAsia="Times New Roman" w:hAnsi="GHEA Grapalat" w:cs="Times New Roman"/>
                <w:color w:val="404040"/>
                <w:sz w:val="18"/>
                <w:szCs w:val="18"/>
              </w:rPr>
              <w:t>7.4</w:t>
            </w:r>
          </w:p>
        </w:tc>
        <w:tc>
          <w:tcPr>
            <w:tcW w:w="635" w:type="dxa"/>
            <w:noWrap/>
            <w:hideMark/>
          </w:tcPr>
          <w:p w14:paraId="26BDFC97" w14:textId="77777777" w:rsidR="00CB39D1" w:rsidRPr="00CB39D1" w:rsidRDefault="00CB39D1" w:rsidP="00CB39D1">
            <w:pPr>
              <w:spacing w:after="0" w:line="240" w:lineRule="auto"/>
              <w:jc w:val="center"/>
              <w:rPr>
                <w:rFonts w:ascii="GHEA Grapalat" w:eastAsia="Times New Roman" w:hAnsi="GHEA Grapalat" w:cs="Times New Roman"/>
                <w:color w:val="404040"/>
                <w:sz w:val="18"/>
                <w:szCs w:val="18"/>
              </w:rPr>
            </w:pPr>
            <w:r w:rsidRPr="00CB39D1">
              <w:rPr>
                <w:rFonts w:ascii="GHEA Grapalat" w:eastAsia="Times New Roman" w:hAnsi="GHEA Grapalat" w:cs="Times New Roman"/>
                <w:color w:val="404040"/>
                <w:sz w:val="18"/>
                <w:szCs w:val="18"/>
              </w:rPr>
              <w:t>8.2</w:t>
            </w:r>
          </w:p>
        </w:tc>
        <w:tc>
          <w:tcPr>
            <w:tcW w:w="638" w:type="dxa"/>
            <w:noWrap/>
            <w:hideMark/>
          </w:tcPr>
          <w:p w14:paraId="61900053" w14:textId="77777777" w:rsidR="00CB39D1" w:rsidRPr="00CB39D1" w:rsidRDefault="00CB39D1" w:rsidP="00CB39D1">
            <w:pPr>
              <w:spacing w:after="0" w:line="240" w:lineRule="auto"/>
              <w:jc w:val="center"/>
              <w:rPr>
                <w:rFonts w:ascii="GHEA Grapalat" w:eastAsia="Times New Roman" w:hAnsi="GHEA Grapalat" w:cs="Times New Roman"/>
                <w:color w:val="404040"/>
                <w:sz w:val="18"/>
                <w:szCs w:val="18"/>
              </w:rPr>
            </w:pPr>
            <w:r w:rsidRPr="00CB39D1">
              <w:rPr>
                <w:rFonts w:ascii="GHEA Grapalat" w:eastAsia="Times New Roman" w:hAnsi="GHEA Grapalat" w:cs="Times New Roman"/>
                <w:color w:val="404040"/>
                <w:sz w:val="18"/>
                <w:szCs w:val="18"/>
              </w:rPr>
              <w:t>8.3</w:t>
            </w:r>
          </w:p>
        </w:tc>
        <w:tc>
          <w:tcPr>
            <w:tcW w:w="638" w:type="dxa"/>
            <w:noWrap/>
            <w:hideMark/>
          </w:tcPr>
          <w:p w14:paraId="6C695754" w14:textId="77777777" w:rsidR="00CB39D1" w:rsidRPr="00CB39D1" w:rsidRDefault="00CB39D1" w:rsidP="00CB39D1">
            <w:pPr>
              <w:spacing w:after="0" w:line="240" w:lineRule="auto"/>
              <w:jc w:val="center"/>
              <w:rPr>
                <w:rFonts w:ascii="GHEA Grapalat" w:eastAsia="Times New Roman" w:hAnsi="GHEA Grapalat" w:cs="Times New Roman"/>
                <w:color w:val="404040"/>
                <w:sz w:val="18"/>
                <w:szCs w:val="18"/>
              </w:rPr>
            </w:pPr>
            <w:r w:rsidRPr="00CB39D1">
              <w:rPr>
                <w:rFonts w:ascii="GHEA Grapalat" w:eastAsia="Times New Roman" w:hAnsi="GHEA Grapalat" w:cs="Times New Roman"/>
                <w:color w:val="404040"/>
                <w:sz w:val="18"/>
                <w:szCs w:val="18"/>
              </w:rPr>
              <w:t>8.3</w:t>
            </w:r>
          </w:p>
        </w:tc>
        <w:tc>
          <w:tcPr>
            <w:tcW w:w="647" w:type="dxa"/>
            <w:noWrap/>
            <w:hideMark/>
          </w:tcPr>
          <w:p w14:paraId="20480FED" w14:textId="77777777" w:rsidR="00CB39D1" w:rsidRPr="00CB39D1" w:rsidRDefault="00CB39D1" w:rsidP="00CB39D1">
            <w:pPr>
              <w:spacing w:after="0" w:line="240" w:lineRule="auto"/>
              <w:jc w:val="center"/>
              <w:rPr>
                <w:rFonts w:ascii="GHEA Grapalat" w:eastAsia="Times New Roman" w:hAnsi="GHEA Grapalat" w:cs="Times New Roman"/>
                <w:color w:val="404040"/>
                <w:sz w:val="18"/>
                <w:szCs w:val="18"/>
              </w:rPr>
            </w:pPr>
            <w:r w:rsidRPr="00CB39D1">
              <w:rPr>
                <w:rFonts w:ascii="GHEA Grapalat" w:eastAsia="Times New Roman" w:hAnsi="GHEA Grapalat" w:cs="Times New Roman"/>
                <w:color w:val="404040"/>
                <w:sz w:val="18"/>
                <w:szCs w:val="18"/>
              </w:rPr>
              <w:t>8.3</w:t>
            </w:r>
          </w:p>
        </w:tc>
      </w:tr>
      <w:tr w:rsidR="00CB39D1" w:rsidRPr="00CB39D1" w14:paraId="1DF07215" w14:textId="77777777" w:rsidTr="008D4E1E">
        <w:trPr>
          <w:trHeight w:val="432"/>
        </w:trPr>
        <w:tc>
          <w:tcPr>
            <w:tcW w:w="2405" w:type="dxa"/>
            <w:vAlign w:val="center"/>
            <w:hideMark/>
          </w:tcPr>
          <w:p w14:paraId="6573E1A7" w14:textId="77777777" w:rsidR="00CB39D1" w:rsidRPr="00CB39D1" w:rsidRDefault="00CB39D1" w:rsidP="00CB39D1">
            <w:pPr>
              <w:spacing w:after="0" w:line="240" w:lineRule="auto"/>
              <w:rPr>
                <w:rFonts w:ascii="GHEA Grapalat" w:eastAsia="Times New Roman" w:hAnsi="GHEA Grapalat" w:cs="Times New Roman"/>
                <w:color w:val="404040"/>
                <w:sz w:val="18"/>
                <w:szCs w:val="18"/>
              </w:rPr>
            </w:pPr>
            <w:r w:rsidRPr="00CB39D1">
              <w:rPr>
                <w:rFonts w:ascii="GHEA Grapalat" w:eastAsia="Times New Roman" w:hAnsi="GHEA Grapalat" w:cs="Times New Roman"/>
                <w:color w:val="404040"/>
                <w:sz w:val="18"/>
                <w:szCs w:val="18"/>
              </w:rPr>
              <w:t>Եկամտային հարկ</w:t>
            </w:r>
          </w:p>
        </w:tc>
        <w:tc>
          <w:tcPr>
            <w:tcW w:w="854" w:type="dxa"/>
            <w:noWrap/>
            <w:hideMark/>
          </w:tcPr>
          <w:p w14:paraId="29A4A8BF" w14:textId="77777777" w:rsidR="00CB39D1" w:rsidRPr="00CB39D1" w:rsidRDefault="00CB39D1" w:rsidP="00CB39D1">
            <w:pPr>
              <w:spacing w:after="0" w:line="240" w:lineRule="auto"/>
              <w:jc w:val="center"/>
              <w:rPr>
                <w:rFonts w:ascii="GHEA Grapalat" w:eastAsia="Times New Roman" w:hAnsi="GHEA Grapalat" w:cs="Times New Roman"/>
                <w:color w:val="404040"/>
                <w:sz w:val="18"/>
                <w:szCs w:val="18"/>
              </w:rPr>
            </w:pPr>
            <w:r w:rsidRPr="00CB39D1">
              <w:rPr>
                <w:rFonts w:ascii="GHEA Grapalat" w:eastAsia="Times New Roman" w:hAnsi="GHEA Grapalat" w:cs="Times New Roman"/>
                <w:color w:val="404040"/>
                <w:sz w:val="18"/>
                <w:szCs w:val="18"/>
              </w:rPr>
              <w:t>650.1</w:t>
            </w:r>
          </w:p>
        </w:tc>
        <w:tc>
          <w:tcPr>
            <w:tcW w:w="848" w:type="dxa"/>
            <w:noWrap/>
            <w:hideMark/>
          </w:tcPr>
          <w:p w14:paraId="2CEA8280" w14:textId="77777777" w:rsidR="00CB39D1" w:rsidRPr="00CB39D1" w:rsidRDefault="00CB39D1" w:rsidP="00CB39D1">
            <w:pPr>
              <w:spacing w:after="0" w:line="240" w:lineRule="auto"/>
              <w:jc w:val="center"/>
              <w:rPr>
                <w:rFonts w:ascii="GHEA Grapalat" w:eastAsia="Times New Roman" w:hAnsi="GHEA Grapalat" w:cs="Times New Roman"/>
                <w:color w:val="404040"/>
                <w:sz w:val="18"/>
                <w:szCs w:val="18"/>
              </w:rPr>
            </w:pPr>
            <w:r w:rsidRPr="00CB39D1">
              <w:rPr>
                <w:rFonts w:ascii="GHEA Grapalat" w:eastAsia="Times New Roman" w:hAnsi="GHEA Grapalat" w:cs="Times New Roman"/>
                <w:color w:val="404040"/>
                <w:sz w:val="18"/>
                <w:szCs w:val="18"/>
              </w:rPr>
              <w:t>714.6</w:t>
            </w:r>
          </w:p>
        </w:tc>
        <w:tc>
          <w:tcPr>
            <w:tcW w:w="837" w:type="dxa"/>
            <w:noWrap/>
            <w:hideMark/>
          </w:tcPr>
          <w:p w14:paraId="3B9D3D8B" w14:textId="77777777" w:rsidR="00CB39D1" w:rsidRPr="00CB39D1" w:rsidRDefault="00CB39D1" w:rsidP="00CB39D1">
            <w:pPr>
              <w:spacing w:after="0" w:line="240" w:lineRule="auto"/>
              <w:jc w:val="center"/>
              <w:rPr>
                <w:rFonts w:ascii="GHEA Grapalat" w:eastAsia="Times New Roman" w:hAnsi="GHEA Grapalat" w:cs="Times New Roman"/>
                <w:color w:val="404040"/>
                <w:sz w:val="18"/>
                <w:szCs w:val="18"/>
              </w:rPr>
            </w:pPr>
            <w:r w:rsidRPr="00CB39D1">
              <w:rPr>
                <w:rFonts w:ascii="GHEA Grapalat" w:eastAsia="Times New Roman" w:hAnsi="GHEA Grapalat" w:cs="Times New Roman"/>
                <w:color w:val="404040"/>
                <w:sz w:val="18"/>
                <w:szCs w:val="18"/>
              </w:rPr>
              <w:t>776.3</w:t>
            </w:r>
          </w:p>
        </w:tc>
        <w:tc>
          <w:tcPr>
            <w:tcW w:w="846" w:type="dxa"/>
            <w:noWrap/>
            <w:hideMark/>
          </w:tcPr>
          <w:p w14:paraId="1A4EDD8F" w14:textId="77777777" w:rsidR="00CB39D1" w:rsidRPr="00CB39D1" w:rsidRDefault="00CB39D1" w:rsidP="00CB39D1">
            <w:pPr>
              <w:spacing w:after="0" w:line="240" w:lineRule="auto"/>
              <w:jc w:val="center"/>
              <w:rPr>
                <w:rFonts w:ascii="GHEA Grapalat" w:eastAsia="Times New Roman" w:hAnsi="GHEA Grapalat" w:cs="Times New Roman"/>
                <w:color w:val="404040"/>
                <w:sz w:val="18"/>
                <w:szCs w:val="18"/>
              </w:rPr>
            </w:pPr>
            <w:r w:rsidRPr="00CB39D1">
              <w:rPr>
                <w:rFonts w:ascii="GHEA Grapalat" w:eastAsia="Times New Roman" w:hAnsi="GHEA Grapalat" w:cs="Times New Roman"/>
                <w:color w:val="404040"/>
                <w:sz w:val="18"/>
                <w:szCs w:val="18"/>
              </w:rPr>
              <w:t>839.4</w:t>
            </w:r>
          </w:p>
        </w:tc>
        <w:tc>
          <w:tcPr>
            <w:tcW w:w="857" w:type="dxa"/>
            <w:noWrap/>
            <w:hideMark/>
          </w:tcPr>
          <w:p w14:paraId="5E96652E" w14:textId="77777777" w:rsidR="00CB39D1" w:rsidRPr="00CB39D1" w:rsidRDefault="00CB39D1" w:rsidP="00CB39D1">
            <w:pPr>
              <w:spacing w:after="0" w:line="240" w:lineRule="auto"/>
              <w:jc w:val="center"/>
              <w:rPr>
                <w:rFonts w:ascii="GHEA Grapalat" w:eastAsia="Times New Roman" w:hAnsi="GHEA Grapalat" w:cs="Times New Roman"/>
                <w:color w:val="404040"/>
                <w:sz w:val="18"/>
                <w:szCs w:val="18"/>
              </w:rPr>
            </w:pPr>
            <w:r w:rsidRPr="00CB39D1">
              <w:rPr>
                <w:rFonts w:ascii="GHEA Grapalat" w:eastAsia="Times New Roman" w:hAnsi="GHEA Grapalat" w:cs="Times New Roman"/>
                <w:color w:val="404040"/>
                <w:sz w:val="18"/>
                <w:szCs w:val="18"/>
              </w:rPr>
              <w:t>908.4</w:t>
            </w:r>
          </w:p>
        </w:tc>
        <w:tc>
          <w:tcPr>
            <w:tcW w:w="635" w:type="dxa"/>
            <w:noWrap/>
            <w:hideMark/>
          </w:tcPr>
          <w:p w14:paraId="4AB47252" w14:textId="77777777" w:rsidR="00CB39D1" w:rsidRPr="00CB39D1" w:rsidRDefault="00CB39D1" w:rsidP="00CB39D1">
            <w:pPr>
              <w:spacing w:after="0" w:line="240" w:lineRule="auto"/>
              <w:jc w:val="center"/>
              <w:rPr>
                <w:rFonts w:ascii="GHEA Grapalat" w:eastAsia="Times New Roman" w:hAnsi="GHEA Grapalat" w:cs="Times New Roman"/>
                <w:color w:val="404040"/>
                <w:sz w:val="18"/>
                <w:szCs w:val="18"/>
              </w:rPr>
            </w:pPr>
            <w:r w:rsidRPr="00CB39D1">
              <w:rPr>
                <w:rFonts w:ascii="GHEA Grapalat" w:eastAsia="Times New Roman" w:hAnsi="GHEA Grapalat" w:cs="Times New Roman"/>
                <w:color w:val="404040"/>
                <w:sz w:val="18"/>
                <w:szCs w:val="18"/>
              </w:rPr>
              <w:t>6.4</w:t>
            </w:r>
          </w:p>
        </w:tc>
        <w:tc>
          <w:tcPr>
            <w:tcW w:w="635" w:type="dxa"/>
            <w:noWrap/>
            <w:hideMark/>
          </w:tcPr>
          <w:p w14:paraId="0792A11D" w14:textId="77777777" w:rsidR="00CB39D1" w:rsidRPr="00CB39D1" w:rsidRDefault="00CB39D1" w:rsidP="00CB39D1">
            <w:pPr>
              <w:spacing w:after="0" w:line="240" w:lineRule="auto"/>
              <w:jc w:val="center"/>
              <w:rPr>
                <w:rFonts w:ascii="GHEA Grapalat" w:eastAsia="Times New Roman" w:hAnsi="GHEA Grapalat" w:cs="Times New Roman"/>
                <w:color w:val="404040"/>
                <w:sz w:val="18"/>
                <w:szCs w:val="18"/>
              </w:rPr>
            </w:pPr>
            <w:r w:rsidRPr="00CB39D1">
              <w:rPr>
                <w:rFonts w:ascii="GHEA Grapalat" w:eastAsia="Times New Roman" w:hAnsi="GHEA Grapalat" w:cs="Times New Roman"/>
                <w:color w:val="404040"/>
                <w:sz w:val="18"/>
                <w:szCs w:val="18"/>
              </w:rPr>
              <w:t>6.5</w:t>
            </w:r>
          </w:p>
        </w:tc>
        <w:tc>
          <w:tcPr>
            <w:tcW w:w="638" w:type="dxa"/>
            <w:noWrap/>
            <w:hideMark/>
          </w:tcPr>
          <w:p w14:paraId="1F3B898A" w14:textId="77777777" w:rsidR="00CB39D1" w:rsidRPr="00CB39D1" w:rsidRDefault="00CB39D1" w:rsidP="00CB39D1">
            <w:pPr>
              <w:spacing w:after="0" w:line="240" w:lineRule="auto"/>
              <w:jc w:val="center"/>
              <w:rPr>
                <w:rFonts w:ascii="GHEA Grapalat" w:eastAsia="Times New Roman" w:hAnsi="GHEA Grapalat" w:cs="Times New Roman"/>
                <w:color w:val="404040"/>
                <w:sz w:val="18"/>
                <w:szCs w:val="18"/>
              </w:rPr>
            </w:pPr>
            <w:r w:rsidRPr="00CB39D1">
              <w:rPr>
                <w:rFonts w:ascii="GHEA Grapalat" w:eastAsia="Times New Roman" w:hAnsi="GHEA Grapalat" w:cs="Times New Roman"/>
                <w:color w:val="404040"/>
                <w:sz w:val="18"/>
                <w:szCs w:val="18"/>
              </w:rPr>
              <w:t>6.5</w:t>
            </w:r>
          </w:p>
        </w:tc>
        <w:tc>
          <w:tcPr>
            <w:tcW w:w="638" w:type="dxa"/>
            <w:noWrap/>
            <w:hideMark/>
          </w:tcPr>
          <w:p w14:paraId="4A1828DB" w14:textId="77777777" w:rsidR="00CB39D1" w:rsidRPr="00CB39D1" w:rsidRDefault="00CB39D1" w:rsidP="00CB39D1">
            <w:pPr>
              <w:spacing w:after="0" w:line="240" w:lineRule="auto"/>
              <w:jc w:val="center"/>
              <w:rPr>
                <w:rFonts w:ascii="GHEA Grapalat" w:eastAsia="Times New Roman" w:hAnsi="GHEA Grapalat" w:cs="Times New Roman"/>
                <w:color w:val="404040"/>
                <w:sz w:val="18"/>
                <w:szCs w:val="18"/>
              </w:rPr>
            </w:pPr>
            <w:r w:rsidRPr="00CB39D1">
              <w:rPr>
                <w:rFonts w:ascii="GHEA Grapalat" w:eastAsia="Times New Roman" w:hAnsi="GHEA Grapalat" w:cs="Times New Roman"/>
                <w:color w:val="404040"/>
                <w:sz w:val="18"/>
                <w:szCs w:val="18"/>
              </w:rPr>
              <w:t>6.5</w:t>
            </w:r>
          </w:p>
        </w:tc>
        <w:tc>
          <w:tcPr>
            <w:tcW w:w="647" w:type="dxa"/>
            <w:noWrap/>
            <w:hideMark/>
          </w:tcPr>
          <w:p w14:paraId="1BE43C77" w14:textId="77777777" w:rsidR="00CB39D1" w:rsidRPr="00CB39D1" w:rsidRDefault="00CB39D1" w:rsidP="00CB39D1">
            <w:pPr>
              <w:spacing w:after="0" w:line="240" w:lineRule="auto"/>
              <w:jc w:val="center"/>
              <w:rPr>
                <w:rFonts w:ascii="GHEA Grapalat" w:eastAsia="Times New Roman" w:hAnsi="GHEA Grapalat" w:cs="Times New Roman"/>
                <w:color w:val="404040"/>
                <w:sz w:val="18"/>
                <w:szCs w:val="18"/>
              </w:rPr>
            </w:pPr>
            <w:r w:rsidRPr="00CB39D1">
              <w:rPr>
                <w:rFonts w:ascii="GHEA Grapalat" w:eastAsia="Times New Roman" w:hAnsi="GHEA Grapalat" w:cs="Times New Roman"/>
                <w:color w:val="404040"/>
                <w:sz w:val="18"/>
                <w:szCs w:val="18"/>
              </w:rPr>
              <w:t>6.5</w:t>
            </w:r>
          </w:p>
        </w:tc>
      </w:tr>
      <w:tr w:rsidR="00CB39D1" w:rsidRPr="00CB39D1" w14:paraId="4A6F43A6" w14:textId="77777777" w:rsidTr="008D4E1E">
        <w:trPr>
          <w:trHeight w:val="432"/>
        </w:trPr>
        <w:tc>
          <w:tcPr>
            <w:tcW w:w="2405" w:type="dxa"/>
            <w:vAlign w:val="center"/>
            <w:hideMark/>
          </w:tcPr>
          <w:p w14:paraId="2C5542BB" w14:textId="77777777" w:rsidR="00CB39D1" w:rsidRPr="00CB39D1" w:rsidRDefault="00CB39D1" w:rsidP="00CB39D1">
            <w:pPr>
              <w:spacing w:after="0" w:line="240" w:lineRule="auto"/>
              <w:rPr>
                <w:rFonts w:ascii="GHEA Grapalat" w:eastAsia="Times New Roman" w:hAnsi="GHEA Grapalat" w:cs="Times New Roman"/>
                <w:color w:val="404040"/>
                <w:sz w:val="18"/>
                <w:szCs w:val="18"/>
              </w:rPr>
            </w:pPr>
            <w:r w:rsidRPr="00CB39D1">
              <w:rPr>
                <w:rFonts w:ascii="GHEA Grapalat" w:eastAsia="Times New Roman" w:hAnsi="GHEA Grapalat" w:cs="Times New Roman"/>
                <w:color w:val="404040"/>
                <w:sz w:val="18"/>
                <w:szCs w:val="18"/>
              </w:rPr>
              <w:t>Սոցիալական վճարումներ</w:t>
            </w:r>
          </w:p>
        </w:tc>
        <w:tc>
          <w:tcPr>
            <w:tcW w:w="854" w:type="dxa"/>
            <w:noWrap/>
            <w:hideMark/>
          </w:tcPr>
          <w:p w14:paraId="5DEDD520" w14:textId="77777777" w:rsidR="00CB39D1" w:rsidRPr="00CB39D1" w:rsidRDefault="00CB39D1" w:rsidP="00CB39D1">
            <w:pPr>
              <w:spacing w:after="0" w:line="240" w:lineRule="auto"/>
              <w:jc w:val="center"/>
              <w:rPr>
                <w:rFonts w:ascii="GHEA Grapalat" w:eastAsia="Times New Roman" w:hAnsi="GHEA Grapalat" w:cs="Times New Roman"/>
                <w:color w:val="404040"/>
                <w:sz w:val="18"/>
                <w:szCs w:val="18"/>
              </w:rPr>
            </w:pPr>
            <w:r w:rsidRPr="00CB39D1">
              <w:rPr>
                <w:rFonts w:ascii="GHEA Grapalat" w:eastAsia="Times New Roman" w:hAnsi="GHEA Grapalat" w:cs="Times New Roman"/>
                <w:color w:val="404040"/>
                <w:sz w:val="18"/>
                <w:szCs w:val="18"/>
              </w:rPr>
              <w:t>103.4</w:t>
            </w:r>
          </w:p>
        </w:tc>
        <w:tc>
          <w:tcPr>
            <w:tcW w:w="848" w:type="dxa"/>
            <w:noWrap/>
            <w:hideMark/>
          </w:tcPr>
          <w:p w14:paraId="08161AA0" w14:textId="77777777" w:rsidR="00CB39D1" w:rsidRPr="00CB39D1" w:rsidRDefault="00CB39D1" w:rsidP="00CB39D1">
            <w:pPr>
              <w:spacing w:after="0" w:line="240" w:lineRule="auto"/>
              <w:jc w:val="center"/>
              <w:rPr>
                <w:rFonts w:ascii="GHEA Grapalat" w:eastAsia="Times New Roman" w:hAnsi="GHEA Grapalat" w:cs="Times New Roman"/>
                <w:color w:val="404040"/>
                <w:sz w:val="18"/>
                <w:szCs w:val="18"/>
              </w:rPr>
            </w:pPr>
            <w:r w:rsidRPr="00CB39D1">
              <w:rPr>
                <w:rFonts w:ascii="GHEA Grapalat" w:eastAsia="Times New Roman" w:hAnsi="GHEA Grapalat" w:cs="Times New Roman"/>
                <w:color w:val="404040"/>
                <w:sz w:val="18"/>
                <w:szCs w:val="18"/>
              </w:rPr>
              <w:t>113.7</w:t>
            </w:r>
          </w:p>
        </w:tc>
        <w:tc>
          <w:tcPr>
            <w:tcW w:w="837" w:type="dxa"/>
            <w:noWrap/>
            <w:hideMark/>
          </w:tcPr>
          <w:p w14:paraId="5308121D" w14:textId="77777777" w:rsidR="00CB39D1" w:rsidRPr="00CB39D1" w:rsidRDefault="00CB39D1" w:rsidP="00CB39D1">
            <w:pPr>
              <w:spacing w:after="0" w:line="240" w:lineRule="auto"/>
              <w:jc w:val="center"/>
              <w:rPr>
                <w:rFonts w:ascii="GHEA Grapalat" w:eastAsia="Times New Roman" w:hAnsi="GHEA Grapalat" w:cs="Times New Roman"/>
                <w:color w:val="404040"/>
                <w:sz w:val="18"/>
                <w:szCs w:val="18"/>
              </w:rPr>
            </w:pPr>
            <w:r w:rsidRPr="00CB39D1">
              <w:rPr>
                <w:rFonts w:ascii="GHEA Grapalat" w:eastAsia="Times New Roman" w:hAnsi="GHEA Grapalat" w:cs="Times New Roman"/>
                <w:color w:val="404040"/>
                <w:sz w:val="18"/>
                <w:szCs w:val="18"/>
              </w:rPr>
              <w:t>123.0</w:t>
            </w:r>
          </w:p>
        </w:tc>
        <w:tc>
          <w:tcPr>
            <w:tcW w:w="846" w:type="dxa"/>
            <w:noWrap/>
            <w:hideMark/>
          </w:tcPr>
          <w:p w14:paraId="77ABBFE5" w14:textId="77777777" w:rsidR="00CB39D1" w:rsidRPr="00CB39D1" w:rsidRDefault="00CB39D1" w:rsidP="00CB39D1">
            <w:pPr>
              <w:spacing w:after="0" w:line="240" w:lineRule="auto"/>
              <w:jc w:val="center"/>
              <w:rPr>
                <w:rFonts w:ascii="GHEA Grapalat" w:eastAsia="Times New Roman" w:hAnsi="GHEA Grapalat" w:cs="Times New Roman"/>
                <w:color w:val="404040"/>
                <w:sz w:val="18"/>
                <w:szCs w:val="18"/>
              </w:rPr>
            </w:pPr>
            <w:r w:rsidRPr="00CB39D1">
              <w:rPr>
                <w:rFonts w:ascii="GHEA Grapalat" w:eastAsia="Times New Roman" w:hAnsi="GHEA Grapalat" w:cs="Times New Roman"/>
                <w:color w:val="404040"/>
                <w:sz w:val="18"/>
                <w:szCs w:val="18"/>
              </w:rPr>
              <w:t>133.4</w:t>
            </w:r>
          </w:p>
        </w:tc>
        <w:tc>
          <w:tcPr>
            <w:tcW w:w="857" w:type="dxa"/>
            <w:noWrap/>
            <w:hideMark/>
          </w:tcPr>
          <w:p w14:paraId="12ED9A79" w14:textId="77777777" w:rsidR="00CB39D1" w:rsidRPr="00CB39D1" w:rsidRDefault="00CB39D1" w:rsidP="00CB39D1">
            <w:pPr>
              <w:spacing w:after="0" w:line="240" w:lineRule="auto"/>
              <w:jc w:val="center"/>
              <w:rPr>
                <w:rFonts w:ascii="GHEA Grapalat" w:eastAsia="Times New Roman" w:hAnsi="GHEA Grapalat" w:cs="Times New Roman"/>
                <w:color w:val="404040"/>
                <w:sz w:val="18"/>
                <w:szCs w:val="18"/>
              </w:rPr>
            </w:pPr>
            <w:r w:rsidRPr="00CB39D1">
              <w:rPr>
                <w:rFonts w:ascii="GHEA Grapalat" w:eastAsia="Times New Roman" w:hAnsi="GHEA Grapalat" w:cs="Times New Roman"/>
                <w:color w:val="404040"/>
                <w:sz w:val="18"/>
                <w:szCs w:val="18"/>
              </w:rPr>
              <w:t>145.4</w:t>
            </w:r>
          </w:p>
        </w:tc>
        <w:tc>
          <w:tcPr>
            <w:tcW w:w="635" w:type="dxa"/>
            <w:noWrap/>
            <w:hideMark/>
          </w:tcPr>
          <w:p w14:paraId="404BC52F" w14:textId="77777777" w:rsidR="00CB39D1" w:rsidRPr="00CB39D1" w:rsidRDefault="00CB39D1" w:rsidP="00CB39D1">
            <w:pPr>
              <w:spacing w:after="0" w:line="240" w:lineRule="auto"/>
              <w:jc w:val="center"/>
              <w:rPr>
                <w:rFonts w:ascii="GHEA Grapalat" w:eastAsia="Times New Roman" w:hAnsi="GHEA Grapalat" w:cs="Times New Roman"/>
                <w:color w:val="404040"/>
                <w:sz w:val="18"/>
                <w:szCs w:val="18"/>
              </w:rPr>
            </w:pPr>
            <w:r w:rsidRPr="00CB39D1">
              <w:rPr>
                <w:rFonts w:ascii="GHEA Grapalat" w:eastAsia="Times New Roman" w:hAnsi="GHEA Grapalat" w:cs="Times New Roman"/>
                <w:color w:val="404040"/>
                <w:sz w:val="18"/>
                <w:szCs w:val="18"/>
              </w:rPr>
              <w:t>1.0</w:t>
            </w:r>
          </w:p>
        </w:tc>
        <w:tc>
          <w:tcPr>
            <w:tcW w:w="635" w:type="dxa"/>
            <w:noWrap/>
            <w:hideMark/>
          </w:tcPr>
          <w:p w14:paraId="35D882E0" w14:textId="77777777" w:rsidR="00CB39D1" w:rsidRPr="00CB39D1" w:rsidRDefault="00CB39D1" w:rsidP="00CB39D1">
            <w:pPr>
              <w:spacing w:after="0" w:line="240" w:lineRule="auto"/>
              <w:jc w:val="center"/>
              <w:rPr>
                <w:rFonts w:ascii="GHEA Grapalat" w:eastAsia="Times New Roman" w:hAnsi="GHEA Grapalat" w:cs="Times New Roman"/>
                <w:color w:val="404040"/>
                <w:sz w:val="18"/>
                <w:szCs w:val="18"/>
              </w:rPr>
            </w:pPr>
            <w:r w:rsidRPr="00CB39D1">
              <w:rPr>
                <w:rFonts w:ascii="GHEA Grapalat" w:eastAsia="Times New Roman" w:hAnsi="GHEA Grapalat" w:cs="Times New Roman"/>
                <w:color w:val="404040"/>
                <w:sz w:val="18"/>
                <w:szCs w:val="18"/>
              </w:rPr>
              <w:t>1.0</w:t>
            </w:r>
          </w:p>
        </w:tc>
        <w:tc>
          <w:tcPr>
            <w:tcW w:w="638" w:type="dxa"/>
            <w:noWrap/>
            <w:hideMark/>
          </w:tcPr>
          <w:p w14:paraId="4E21AD4E" w14:textId="77777777" w:rsidR="00CB39D1" w:rsidRPr="00CB39D1" w:rsidRDefault="00CB39D1" w:rsidP="00CB39D1">
            <w:pPr>
              <w:spacing w:after="0" w:line="240" w:lineRule="auto"/>
              <w:jc w:val="center"/>
              <w:rPr>
                <w:rFonts w:ascii="GHEA Grapalat" w:eastAsia="Times New Roman" w:hAnsi="GHEA Grapalat" w:cs="Times New Roman"/>
                <w:color w:val="404040"/>
                <w:sz w:val="18"/>
                <w:szCs w:val="18"/>
              </w:rPr>
            </w:pPr>
            <w:r w:rsidRPr="00CB39D1">
              <w:rPr>
                <w:rFonts w:ascii="GHEA Grapalat" w:eastAsia="Times New Roman" w:hAnsi="GHEA Grapalat" w:cs="Times New Roman"/>
                <w:color w:val="404040"/>
                <w:sz w:val="18"/>
                <w:szCs w:val="18"/>
              </w:rPr>
              <w:t>1.0</w:t>
            </w:r>
          </w:p>
        </w:tc>
        <w:tc>
          <w:tcPr>
            <w:tcW w:w="638" w:type="dxa"/>
            <w:noWrap/>
            <w:hideMark/>
          </w:tcPr>
          <w:p w14:paraId="7D0272AF" w14:textId="77777777" w:rsidR="00CB39D1" w:rsidRPr="00CB39D1" w:rsidRDefault="00CB39D1" w:rsidP="00CB39D1">
            <w:pPr>
              <w:spacing w:after="0" w:line="240" w:lineRule="auto"/>
              <w:jc w:val="center"/>
              <w:rPr>
                <w:rFonts w:ascii="GHEA Grapalat" w:eastAsia="Times New Roman" w:hAnsi="GHEA Grapalat" w:cs="Times New Roman"/>
                <w:color w:val="404040"/>
                <w:sz w:val="18"/>
                <w:szCs w:val="18"/>
              </w:rPr>
            </w:pPr>
            <w:r w:rsidRPr="00CB39D1">
              <w:rPr>
                <w:rFonts w:ascii="GHEA Grapalat" w:eastAsia="Times New Roman" w:hAnsi="GHEA Grapalat" w:cs="Times New Roman"/>
                <w:color w:val="404040"/>
                <w:sz w:val="18"/>
                <w:szCs w:val="18"/>
              </w:rPr>
              <w:t>1.0</w:t>
            </w:r>
          </w:p>
        </w:tc>
        <w:tc>
          <w:tcPr>
            <w:tcW w:w="647" w:type="dxa"/>
            <w:noWrap/>
            <w:hideMark/>
          </w:tcPr>
          <w:p w14:paraId="61F68C3F" w14:textId="77777777" w:rsidR="00CB39D1" w:rsidRPr="00CB39D1" w:rsidRDefault="00CB39D1" w:rsidP="00CB39D1">
            <w:pPr>
              <w:spacing w:after="0" w:line="240" w:lineRule="auto"/>
              <w:jc w:val="center"/>
              <w:rPr>
                <w:rFonts w:ascii="GHEA Grapalat" w:eastAsia="Times New Roman" w:hAnsi="GHEA Grapalat" w:cs="Times New Roman"/>
                <w:color w:val="404040"/>
                <w:sz w:val="18"/>
                <w:szCs w:val="18"/>
              </w:rPr>
            </w:pPr>
            <w:r w:rsidRPr="00CB39D1">
              <w:rPr>
                <w:rFonts w:ascii="GHEA Grapalat" w:eastAsia="Times New Roman" w:hAnsi="GHEA Grapalat" w:cs="Times New Roman"/>
                <w:color w:val="404040"/>
                <w:sz w:val="18"/>
                <w:szCs w:val="18"/>
              </w:rPr>
              <w:t>1.0</w:t>
            </w:r>
          </w:p>
        </w:tc>
      </w:tr>
      <w:tr w:rsidR="00CB39D1" w:rsidRPr="00CB39D1" w14:paraId="3235C9AB" w14:textId="77777777" w:rsidTr="008D4E1E">
        <w:trPr>
          <w:trHeight w:val="432"/>
        </w:trPr>
        <w:tc>
          <w:tcPr>
            <w:tcW w:w="2405" w:type="dxa"/>
            <w:noWrap/>
            <w:vAlign w:val="center"/>
            <w:hideMark/>
          </w:tcPr>
          <w:p w14:paraId="29830D53" w14:textId="77777777" w:rsidR="00CB39D1" w:rsidRPr="00CB39D1" w:rsidRDefault="00CB39D1" w:rsidP="00CB39D1">
            <w:pPr>
              <w:spacing w:after="0" w:line="240" w:lineRule="auto"/>
              <w:rPr>
                <w:rFonts w:ascii="GHEA Grapalat" w:eastAsia="Times New Roman" w:hAnsi="GHEA Grapalat" w:cs="Times New Roman"/>
                <w:color w:val="404040"/>
                <w:sz w:val="18"/>
                <w:szCs w:val="18"/>
              </w:rPr>
            </w:pPr>
            <w:r w:rsidRPr="00CB39D1">
              <w:rPr>
                <w:rFonts w:ascii="GHEA Grapalat" w:eastAsia="Times New Roman" w:hAnsi="GHEA Grapalat" w:cs="Times New Roman"/>
                <w:color w:val="404040"/>
                <w:sz w:val="18"/>
                <w:szCs w:val="18"/>
              </w:rPr>
              <w:t>Շահութահարկ</w:t>
            </w:r>
          </w:p>
        </w:tc>
        <w:tc>
          <w:tcPr>
            <w:tcW w:w="854" w:type="dxa"/>
            <w:noWrap/>
            <w:hideMark/>
          </w:tcPr>
          <w:p w14:paraId="23A2F0B6" w14:textId="77777777" w:rsidR="00CB39D1" w:rsidRPr="00CB39D1" w:rsidRDefault="00CB39D1" w:rsidP="00CB39D1">
            <w:pPr>
              <w:spacing w:after="0" w:line="240" w:lineRule="auto"/>
              <w:jc w:val="center"/>
              <w:rPr>
                <w:rFonts w:ascii="GHEA Grapalat" w:eastAsia="Times New Roman" w:hAnsi="GHEA Grapalat" w:cs="Times New Roman"/>
                <w:color w:val="404040"/>
                <w:sz w:val="18"/>
                <w:szCs w:val="18"/>
              </w:rPr>
            </w:pPr>
            <w:r w:rsidRPr="00CB39D1">
              <w:rPr>
                <w:rFonts w:ascii="GHEA Grapalat" w:eastAsia="Times New Roman" w:hAnsi="GHEA Grapalat" w:cs="Times New Roman"/>
                <w:color w:val="404040"/>
                <w:sz w:val="18"/>
                <w:szCs w:val="18"/>
              </w:rPr>
              <w:t>335.7</w:t>
            </w:r>
          </w:p>
        </w:tc>
        <w:tc>
          <w:tcPr>
            <w:tcW w:w="848" w:type="dxa"/>
            <w:noWrap/>
            <w:hideMark/>
          </w:tcPr>
          <w:p w14:paraId="3CF93B80" w14:textId="77777777" w:rsidR="00CB39D1" w:rsidRPr="00CB39D1" w:rsidRDefault="00CB39D1" w:rsidP="00CB39D1">
            <w:pPr>
              <w:spacing w:after="0" w:line="240" w:lineRule="auto"/>
              <w:jc w:val="center"/>
              <w:rPr>
                <w:rFonts w:ascii="GHEA Grapalat" w:eastAsia="Times New Roman" w:hAnsi="GHEA Grapalat" w:cs="Times New Roman"/>
                <w:color w:val="404040"/>
                <w:sz w:val="18"/>
                <w:szCs w:val="18"/>
              </w:rPr>
            </w:pPr>
            <w:r w:rsidRPr="00CB39D1">
              <w:rPr>
                <w:rFonts w:ascii="GHEA Grapalat" w:eastAsia="Times New Roman" w:hAnsi="GHEA Grapalat" w:cs="Times New Roman"/>
                <w:color w:val="404040"/>
                <w:sz w:val="18"/>
                <w:szCs w:val="18"/>
              </w:rPr>
              <w:t>394.8</w:t>
            </w:r>
          </w:p>
        </w:tc>
        <w:tc>
          <w:tcPr>
            <w:tcW w:w="837" w:type="dxa"/>
            <w:noWrap/>
            <w:hideMark/>
          </w:tcPr>
          <w:p w14:paraId="406C7EFB" w14:textId="77777777" w:rsidR="00CB39D1" w:rsidRPr="00CB39D1" w:rsidRDefault="00CB39D1" w:rsidP="00CB39D1">
            <w:pPr>
              <w:spacing w:after="0" w:line="240" w:lineRule="auto"/>
              <w:jc w:val="center"/>
              <w:rPr>
                <w:rFonts w:ascii="GHEA Grapalat" w:eastAsia="Times New Roman" w:hAnsi="GHEA Grapalat" w:cs="Times New Roman"/>
                <w:color w:val="404040"/>
                <w:sz w:val="18"/>
                <w:szCs w:val="18"/>
              </w:rPr>
            </w:pPr>
            <w:r w:rsidRPr="00CB39D1">
              <w:rPr>
                <w:rFonts w:ascii="GHEA Grapalat" w:eastAsia="Times New Roman" w:hAnsi="GHEA Grapalat" w:cs="Times New Roman"/>
                <w:color w:val="404040"/>
                <w:sz w:val="18"/>
                <w:szCs w:val="18"/>
              </w:rPr>
              <w:t>433.3</w:t>
            </w:r>
          </w:p>
        </w:tc>
        <w:tc>
          <w:tcPr>
            <w:tcW w:w="846" w:type="dxa"/>
            <w:noWrap/>
            <w:hideMark/>
          </w:tcPr>
          <w:p w14:paraId="1D504917" w14:textId="77777777" w:rsidR="00CB39D1" w:rsidRPr="00CB39D1" w:rsidRDefault="00CB39D1" w:rsidP="00CB39D1">
            <w:pPr>
              <w:spacing w:after="0" w:line="240" w:lineRule="auto"/>
              <w:jc w:val="center"/>
              <w:rPr>
                <w:rFonts w:ascii="GHEA Grapalat" w:eastAsia="Times New Roman" w:hAnsi="GHEA Grapalat" w:cs="Times New Roman"/>
                <w:color w:val="404040"/>
                <w:sz w:val="18"/>
                <w:szCs w:val="18"/>
              </w:rPr>
            </w:pPr>
            <w:r w:rsidRPr="00CB39D1">
              <w:rPr>
                <w:rFonts w:ascii="GHEA Grapalat" w:eastAsia="Times New Roman" w:hAnsi="GHEA Grapalat" w:cs="Times New Roman"/>
                <w:color w:val="404040"/>
                <w:sz w:val="18"/>
                <w:szCs w:val="18"/>
              </w:rPr>
              <w:t>472.7</w:t>
            </w:r>
          </w:p>
        </w:tc>
        <w:tc>
          <w:tcPr>
            <w:tcW w:w="857" w:type="dxa"/>
            <w:noWrap/>
            <w:hideMark/>
          </w:tcPr>
          <w:p w14:paraId="2C10AC08" w14:textId="77777777" w:rsidR="00CB39D1" w:rsidRPr="00CB39D1" w:rsidRDefault="00CB39D1" w:rsidP="00CB39D1">
            <w:pPr>
              <w:spacing w:after="0" w:line="240" w:lineRule="auto"/>
              <w:jc w:val="center"/>
              <w:rPr>
                <w:rFonts w:ascii="GHEA Grapalat" w:eastAsia="Times New Roman" w:hAnsi="GHEA Grapalat" w:cs="Times New Roman"/>
                <w:color w:val="404040"/>
                <w:sz w:val="18"/>
                <w:szCs w:val="18"/>
              </w:rPr>
            </w:pPr>
            <w:r w:rsidRPr="00CB39D1">
              <w:rPr>
                <w:rFonts w:ascii="GHEA Grapalat" w:eastAsia="Times New Roman" w:hAnsi="GHEA Grapalat" w:cs="Times New Roman"/>
                <w:color w:val="404040"/>
                <w:sz w:val="18"/>
                <w:szCs w:val="18"/>
              </w:rPr>
              <w:t>512.6</w:t>
            </w:r>
          </w:p>
        </w:tc>
        <w:tc>
          <w:tcPr>
            <w:tcW w:w="635" w:type="dxa"/>
            <w:noWrap/>
            <w:hideMark/>
          </w:tcPr>
          <w:p w14:paraId="16A47CFC" w14:textId="77777777" w:rsidR="00CB39D1" w:rsidRPr="00CB39D1" w:rsidRDefault="00CB39D1" w:rsidP="00CB39D1">
            <w:pPr>
              <w:spacing w:after="0" w:line="240" w:lineRule="auto"/>
              <w:jc w:val="center"/>
              <w:rPr>
                <w:rFonts w:ascii="GHEA Grapalat" w:eastAsia="Times New Roman" w:hAnsi="GHEA Grapalat" w:cs="Times New Roman"/>
                <w:color w:val="404040"/>
                <w:sz w:val="18"/>
                <w:szCs w:val="18"/>
              </w:rPr>
            </w:pPr>
            <w:r w:rsidRPr="00CB39D1">
              <w:rPr>
                <w:rFonts w:ascii="GHEA Grapalat" w:eastAsia="Times New Roman" w:hAnsi="GHEA Grapalat" w:cs="Times New Roman"/>
                <w:color w:val="404040"/>
                <w:sz w:val="18"/>
                <w:szCs w:val="18"/>
              </w:rPr>
              <w:t>3.3</w:t>
            </w:r>
          </w:p>
        </w:tc>
        <w:tc>
          <w:tcPr>
            <w:tcW w:w="635" w:type="dxa"/>
            <w:noWrap/>
            <w:hideMark/>
          </w:tcPr>
          <w:p w14:paraId="3F5B8D5D" w14:textId="77777777" w:rsidR="00CB39D1" w:rsidRPr="00CB39D1" w:rsidRDefault="00CB39D1" w:rsidP="00CB39D1">
            <w:pPr>
              <w:spacing w:after="0" w:line="240" w:lineRule="auto"/>
              <w:jc w:val="center"/>
              <w:rPr>
                <w:rFonts w:ascii="GHEA Grapalat" w:eastAsia="Times New Roman" w:hAnsi="GHEA Grapalat" w:cs="Times New Roman"/>
                <w:color w:val="404040"/>
                <w:sz w:val="18"/>
                <w:szCs w:val="18"/>
              </w:rPr>
            </w:pPr>
            <w:r w:rsidRPr="00CB39D1">
              <w:rPr>
                <w:rFonts w:ascii="GHEA Grapalat" w:eastAsia="Times New Roman" w:hAnsi="GHEA Grapalat" w:cs="Times New Roman"/>
                <w:color w:val="404040"/>
                <w:sz w:val="18"/>
                <w:szCs w:val="18"/>
              </w:rPr>
              <w:t>3.6</w:t>
            </w:r>
          </w:p>
        </w:tc>
        <w:tc>
          <w:tcPr>
            <w:tcW w:w="638" w:type="dxa"/>
            <w:noWrap/>
            <w:hideMark/>
          </w:tcPr>
          <w:p w14:paraId="364AFD01" w14:textId="77777777" w:rsidR="00CB39D1" w:rsidRPr="00CB39D1" w:rsidRDefault="00CB39D1" w:rsidP="00CB39D1">
            <w:pPr>
              <w:spacing w:after="0" w:line="240" w:lineRule="auto"/>
              <w:jc w:val="center"/>
              <w:rPr>
                <w:rFonts w:ascii="GHEA Grapalat" w:eastAsia="Times New Roman" w:hAnsi="GHEA Grapalat" w:cs="Times New Roman"/>
                <w:color w:val="404040"/>
                <w:sz w:val="18"/>
                <w:szCs w:val="18"/>
              </w:rPr>
            </w:pPr>
            <w:r w:rsidRPr="00CB39D1">
              <w:rPr>
                <w:rFonts w:ascii="GHEA Grapalat" w:eastAsia="Times New Roman" w:hAnsi="GHEA Grapalat" w:cs="Times New Roman"/>
                <w:color w:val="404040"/>
                <w:sz w:val="18"/>
                <w:szCs w:val="18"/>
              </w:rPr>
              <w:t>3.6</w:t>
            </w:r>
          </w:p>
        </w:tc>
        <w:tc>
          <w:tcPr>
            <w:tcW w:w="638" w:type="dxa"/>
            <w:noWrap/>
            <w:hideMark/>
          </w:tcPr>
          <w:p w14:paraId="75D8EF7E" w14:textId="77777777" w:rsidR="00CB39D1" w:rsidRPr="00CB39D1" w:rsidRDefault="00CB39D1" w:rsidP="00CB39D1">
            <w:pPr>
              <w:spacing w:after="0" w:line="240" w:lineRule="auto"/>
              <w:jc w:val="center"/>
              <w:rPr>
                <w:rFonts w:ascii="GHEA Grapalat" w:eastAsia="Times New Roman" w:hAnsi="GHEA Grapalat" w:cs="Times New Roman"/>
                <w:color w:val="404040"/>
                <w:sz w:val="18"/>
                <w:szCs w:val="18"/>
              </w:rPr>
            </w:pPr>
            <w:r w:rsidRPr="00CB39D1">
              <w:rPr>
                <w:rFonts w:ascii="GHEA Grapalat" w:eastAsia="Times New Roman" w:hAnsi="GHEA Grapalat" w:cs="Times New Roman"/>
                <w:color w:val="404040"/>
                <w:sz w:val="18"/>
                <w:szCs w:val="18"/>
              </w:rPr>
              <w:t>3.6</w:t>
            </w:r>
          </w:p>
        </w:tc>
        <w:tc>
          <w:tcPr>
            <w:tcW w:w="647" w:type="dxa"/>
            <w:noWrap/>
            <w:hideMark/>
          </w:tcPr>
          <w:p w14:paraId="1E68B6B4" w14:textId="77777777" w:rsidR="00CB39D1" w:rsidRPr="00CB39D1" w:rsidRDefault="00CB39D1" w:rsidP="00CB39D1">
            <w:pPr>
              <w:spacing w:after="0" w:line="240" w:lineRule="auto"/>
              <w:jc w:val="center"/>
              <w:rPr>
                <w:rFonts w:ascii="GHEA Grapalat" w:eastAsia="Times New Roman" w:hAnsi="GHEA Grapalat" w:cs="Times New Roman"/>
                <w:color w:val="404040"/>
                <w:sz w:val="18"/>
                <w:szCs w:val="18"/>
              </w:rPr>
            </w:pPr>
            <w:r w:rsidRPr="00CB39D1">
              <w:rPr>
                <w:rFonts w:ascii="GHEA Grapalat" w:eastAsia="Times New Roman" w:hAnsi="GHEA Grapalat" w:cs="Times New Roman"/>
                <w:color w:val="404040"/>
                <w:sz w:val="18"/>
                <w:szCs w:val="18"/>
              </w:rPr>
              <w:t>3.6</w:t>
            </w:r>
          </w:p>
        </w:tc>
      </w:tr>
      <w:tr w:rsidR="00CB39D1" w:rsidRPr="00CB39D1" w14:paraId="6AD1EEDC" w14:textId="77777777" w:rsidTr="008D4E1E">
        <w:trPr>
          <w:trHeight w:val="432"/>
        </w:trPr>
        <w:tc>
          <w:tcPr>
            <w:tcW w:w="2405" w:type="dxa"/>
            <w:noWrap/>
            <w:vAlign w:val="center"/>
            <w:hideMark/>
          </w:tcPr>
          <w:p w14:paraId="54867A63" w14:textId="77777777" w:rsidR="00CB39D1" w:rsidRPr="00CB39D1" w:rsidRDefault="00CB39D1" w:rsidP="00CB39D1">
            <w:pPr>
              <w:spacing w:after="0" w:line="240" w:lineRule="auto"/>
              <w:rPr>
                <w:rFonts w:ascii="GHEA Grapalat" w:eastAsia="Times New Roman" w:hAnsi="GHEA Grapalat" w:cs="Times New Roman"/>
                <w:color w:val="404040"/>
                <w:sz w:val="18"/>
                <w:szCs w:val="18"/>
              </w:rPr>
            </w:pPr>
            <w:r w:rsidRPr="00CB39D1">
              <w:rPr>
                <w:rFonts w:ascii="GHEA Grapalat" w:eastAsia="Times New Roman" w:hAnsi="GHEA Grapalat" w:cs="Times New Roman"/>
                <w:color w:val="404040"/>
                <w:sz w:val="18"/>
                <w:szCs w:val="18"/>
              </w:rPr>
              <w:t>Ակցիզային հարկ</w:t>
            </w:r>
          </w:p>
        </w:tc>
        <w:tc>
          <w:tcPr>
            <w:tcW w:w="854" w:type="dxa"/>
            <w:noWrap/>
            <w:hideMark/>
          </w:tcPr>
          <w:p w14:paraId="46121CEE" w14:textId="77777777" w:rsidR="00CB39D1" w:rsidRPr="00CB39D1" w:rsidRDefault="00CB39D1" w:rsidP="00CB39D1">
            <w:pPr>
              <w:spacing w:after="0" w:line="240" w:lineRule="auto"/>
              <w:jc w:val="center"/>
              <w:rPr>
                <w:rFonts w:ascii="GHEA Grapalat" w:eastAsia="Times New Roman" w:hAnsi="GHEA Grapalat" w:cs="Times New Roman"/>
                <w:color w:val="404040"/>
                <w:sz w:val="18"/>
                <w:szCs w:val="18"/>
              </w:rPr>
            </w:pPr>
            <w:r w:rsidRPr="00CB39D1">
              <w:rPr>
                <w:rFonts w:ascii="GHEA Grapalat" w:eastAsia="Times New Roman" w:hAnsi="GHEA Grapalat" w:cs="Times New Roman"/>
                <w:color w:val="404040"/>
                <w:sz w:val="18"/>
                <w:szCs w:val="18"/>
              </w:rPr>
              <w:t>146.5</w:t>
            </w:r>
          </w:p>
        </w:tc>
        <w:tc>
          <w:tcPr>
            <w:tcW w:w="848" w:type="dxa"/>
            <w:noWrap/>
            <w:hideMark/>
          </w:tcPr>
          <w:p w14:paraId="3FEC9EB1" w14:textId="77777777" w:rsidR="00CB39D1" w:rsidRPr="00CB39D1" w:rsidRDefault="00CB39D1" w:rsidP="00CB39D1">
            <w:pPr>
              <w:spacing w:after="0" w:line="240" w:lineRule="auto"/>
              <w:jc w:val="center"/>
              <w:rPr>
                <w:rFonts w:ascii="GHEA Grapalat" w:eastAsia="Times New Roman" w:hAnsi="GHEA Grapalat" w:cs="Times New Roman"/>
                <w:color w:val="404040"/>
                <w:sz w:val="18"/>
                <w:szCs w:val="18"/>
              </w:rPr>
            </w:pPr>
            <w:r w:rsidRPr="00CB39D1">
              <w:rPr>
                <w:rFonts w:ascii="GHEA Grapalat" w:eastAsia="Times New Roman" w:hAnsi="GHEA Grapalat" w:cs="Times New Roman"/>
                <w:color w:val="404040"/>
                <w:sz w:val="18"/>
                <w:szCs w:val="18"/>
              </w:rPr>
              <w:t>164.6</w:t>
            </w:r>
          </w:p>
        </w:tc>
        <w:tc>
          <w:tcPr>
            <w:tcW w:w="837" w:type="dxa"/>
            <w:noWrap/>
            <w:hideMark/>
          </w:tcPr>
          <w:p w14:paraId="7390CA09" w14:textId="77777777" w:rsidR="00CB39D1" w:rsidRPr="00CB39D1" w:rsidRDefault="00CB39D1" w:rsidP="00CB39D1">
            <w:pPr>
              <w:spacing w:after="0" w:line="240" w:lineRule="auto"/>
              <w:jc w:val="center"/>
              <w:rPr>
                <w:rFonts w:ascii="GHEA Grapalat" w:eastAsia="Times New Roman" w:hAnsi="GHEA Grapalat" w:cs="Times New Roman"/>
                <w:color w:val="404040"/>
                <w:sz w:val="18"/>
                <w:szCs w:val="18"/>
              </w:rPr>
            </w:pPr>
            <w:r w:rsidRPr="00CB39D1">
              <w:rPr>
                <w:rFonts w:ascii="GHEA Grapalat" w:eastAsia="Times New Roman" w:hAnsi="GHEA Grapalat" w:cs="Times New Roman"/>
                <w:color w:val="404040"/>
                <w:sz w:val="18"/>
                <w:szCs w:val="18"/>
              </w:rPr>
              <w:t>183.3</w:t>
            </w:r>
          </w:p>
        </w:tc>
        <w:tc>
          <w:tcPr>
            <w:tcW w:w="846" w:type="dxa"/>
            <w:noWrap/>
            <w:hideMark/>
          </w:tcPr>
          <w:p w14:paraId="14A39E07" w14:textId="77777777" w:rsidR="00CB39D1" w:rsidRPr="00CB39D1" w:rsidRDefault="00CB39D1" w:rsidP="00CB39D1">
            <w:pPr>
              <w:spacing w:after="0" w:line="240" w:lineRule="auto"/>
              <w:jc w:val="center"/>
              <w:rPr>
                <w:rFonts w:ascii="GHEA Grapalat" w:eastAsia="Times New Roman" w:hAnsi="GHEA Grapalat" w:cs="Times New Roman"/>
                <w:color w:val="404040"/>
                <w:sz w:val="18"/>
                <w:szCs w:val="18"/>
              </w:rPr>
            </w:pPr>
            <w:r w:rsidRPr="00CB39D1">
              <w:rPr>
                <w:rFonts w:ascii="GHEA Grapalat" w:eastAsia="Times New Roman" w:hAnsi="GHEA Grapalat" w:cs="Times New Roman"/>
                <w:color w:val="404040"/>
                <w:sz w:val="18"/>
                <w:szCs w:val="18"/>
              </w:rPr>
              <w:t>199.1</w:t>
            </w:r>
          </w:p>
        </w:tc>
        <w:tc>
          <w:tcPr>
            <w:tcW w:w="857" w:type="dxa"/>
            <w:noWrap/>
            <w:hideMark/>
          </w:tcPr>
          <w:p w14:paraId="63F2359A" w14:textId="77777777" w:rsidR="00CB39D1" w:rsidRPr="00CB39D1" w:rsidRDefault="00CB39D1" w:rsidP="00CB39D1">
            <w:pPr>
              <w:spacing w:after="0" w:line="240" w:lineRule="auto"/>
              <w:jc w:val="center"/>
              <w:rPr>
                <w:rFonts w:ascii="GHEA Grapalat" w:eastAsia="Times New Roman" w:hAnsi="GHEA Grapalat" w:cs="Times New Roman"/>
                <w:color w:val="404040"/>
                <w:sz w:val="18"/>
                <w:szCs w:val="18"/>
              </w:rPr>
            </w:pPr>
            <w:r w:rsidRPr="00CB39D1">
              <w:rPr>
                <w:rFonts w:ascii="GHEA Grapalat" w:eastAsia="Times New Roman" w:hAnsi="GHEA Grapalat" w:cs="Times New Roman"/>
                <w:color w:val="404040"/>
                <w:sz w:val="18"/>
                <w:szCs w:val="18"/>
              </w:rPr>
              <w:t>219.5</w:t>
            </w:r>
          </w:p>
        </w:tc>
        <w:tc>
          <w:tcPr>
            <w:tcW w:w="635" w:type="dxa"/>
            <w:noWrap/>
            <w:hideMark/>
          </w:tcPr>
          <w:p w14:paraId="5DFF4496" w14:textId="77777777" w:rsidR="00CB39D1" w:rsidRPr="00CB39D1" w:rsidRDefault="00CB39D1" w:rsidP="00CB39D1">
            <w:pPr>
              <w:spacing w:after="0" w:line="240" w:lineRule="auto"/>
              <w:jc w:val="center"/>
              <w:rPr>
                <w:rFonts w:ascii="GHEA Grapalat" w:eastAsia="Times New Roman" w:hAnsi="GHEA Grapalat" w:cs="Times New Roman"/>
                <w:color w:val="404040"/>
                <w:sz w:val="18"/>
                <w:szCs w:val="18"/>
              </w:rPr>
            </w:pPr>
            <w:r w:rsidRPr="00CB39D1">
              <w:rPr>
                <w:rFonts w:ascii="GHEA Grapalat" w:eastAsia="Times New Roman" w:hAnsi="GHEA Grapalat" w:cs="Times New Roman"/>
                <w:color w:val="404040"/>
                <w:sz w:val="18"/>
                <w:szCs w:val="18"/>
              </w:rPr>
              <w:t>1.4</w:t>
            </w:r>
          </w:p>
        </w:tc>
        <w:tc>
          <w:tcPr>
            <w:tcW w:w="635" w:type="dxa"/>
            <w:noWrap/>
            <w:hideMark/>
          </w:tcPr>
          <w:p w14:paraId="24F7210F" w14:textId="77777777" w:rsidR="00CB39D1" w:rsidRPr="00CB39D1" w:rsidRDefault="00CB39D1" w:rsidP="00CB39D1">
            <w:pPr>
              <w:spacing w:after="0" w:line="240" w:lineRule="auto"/>
              <w:jc w:val="center"/>
              <w:rPr>
                <w:rFonts w:ascii="GHEA Grapalat" w:eastAsia="Times New Roman" w:hAnsi="GHEA Grapalat" w:cs="Times New Roman"/>
                <w:color w:val="404040"/>
                <w:sz w:val="18"/>
                <w:szCs w:val="18"/>
              </w:rPr>
            </w:pPr>
            <w:r w:rsidRPr="00CB39D1">
              <w:rPr>
                <w:rFonts w:ascii="GHEA Grapalat" w:eastAsia="Times New Roman" w:hAnsi="GHEA Grapalat" w:cs="Times New Roman"/>
                <w:color w:val="404040"/>
                <w:sz w:val="18"/>
                <w:szCs w:val="18"/>
              </w:rPr>
              <w:t>1.5</w:t>
            </w:r>
          </w:p>
        </w:tc>
        <w:tc>
          <w:tcPr>
            <w:tcW w:w="638" w:type="dxa"/>
            <w:noWrap/>
            <w:hideMark/>
          </w:tcPr>
          <w:p w14:paraId="37BC0BE0" w14:textId="77777777" w:rsidR="00CB39D1" w:rsidRPr="00CB39D1" w:rsidRDefault="00CB39D1" w:rsidP="00CB39D1">
            <w:pPr>
              <w:spacing w:after="0" w:line="240" w:lineRule="auto"/>
              <w:jc w:val="center"/>
              <w:rPr>
                <w:rFonts w:ascii="GHEA Grapalat" w:eastAsia="Times New Roman" w:hAnsi="GHEA Grapalat" w:cs="Times New Roman"/>
                <w:color w:val="404040"/>
                <w:sz w:val="18"/>
                <w:szCs w:val="18"/>
              </w:rPr>
            </w:pPr>
            <w:r w:rsidRPr="00CB39D1">
              <w:rPr>
                <w:rFonts w:ascii="GHEA Grapalat" w:eastAsia="Times New Roman" w:hAnsi="GHEA Grapalat" w:cs="Times New Roman"/>
                <w:color w:val="404040"/>
                <w:sz w:val="18"/>
                <w:szCs w:val="18"/>
              </w:rPr>
              <w:t>1.5</w:t>
            </w:r>
          </w:p>
        </w:tc>
        <w:tc>
          <w:tcPr>
            <w:tcW w:w="638" w:type="dxa"/>
            <w:noWrap/>
            <w:hideMark/>
          </w:tcPr>
          <w:p w14:paraId="44205888" w14:textId="77777777" w:rsidR="00CB39D1" w:rsidRPr="00CB39D1" w:rsidRDefault="00CB39D1" w:rsidP="00CB39D1">
            <w:pPr>
              <w:spacing w:after="0" w:line="240" w:lineRule="auto"/>
              <w:jc w:val="center"/>
              <w:rPr>
                <w:rFonts w:ascii="GHEA Grapalat" w:eastAsia="Times New Roman" w:hAnsi="GHEA Grapalat" w:cs="Times New Roman"/>
                <w:color w:val="404040"/>
                <w:sz w:val="18"/>
                <w:szCs w:val="18"/>
              </w:rPr>
            </w:pPr>
            <w:r w:rsidRPr="00CB39D1">
              <w:rPr>
                <w:rFonts w:ascii="GHEA Grapalat" w:eastAsia="Times New Roman" w:hAnsi="GHEA Grapalat" w:cs="Times New Roman"/>
                <w:color w:val="404040"/>
                <w:sz w:val="18"/>
                <w:szCs w:val="18"/>
              </w:rPr>
              <w:t>1.5</w:t>
            </w:r>
          </w:p>
        </w:tc>
        <w:tc>
          <w:tcPr>
            <w:tcW w:w="647" w:type="dxa"/>
            <w:noWrap/>
            <w:hideMark/>
          </w:tcPr>
          <w:p w14:paraId="27F1302D" w14:textId="77777777" w:rsidR="00CB39D1" w:rsidRPr="00CB39D1" w:rsidRDefault="00CB39D1" w:rsidP="00CB39D1">
            <w:pPr>
              <w:spacing w:after="0" w:line="240" w:lineRule="auto"/>
              <w:jc w:val="center"/>
              <w:rPr>
                <w:rFonts w:ascii="GHEA Grapalat" w:eastAsia="Times New Roman" w:hAnsi="GHEA Grapalat" w:cs="Times New Roman"/>
                <w:color w:val="404040"/>
                <w:sz w:val="18"/>
                <w:szCs w:val="18"/>
              </w:rPr>
            </w:pPr>
            <w:r w:rsidRPr="00CB39D1">
              <w:rPr>
                <w:rFonts w:ascii="GHEA Grapalat" w:eastAsia="Times New Roman" w:hAnsi="GHEA Grapalat" w:cs="Times New Roman"/>
                <w:color w:val="404040"/>
                <w:sz w:val="18"/>
                <w:szCs w:val="18"/>
              </w:rPr>
              <w:t>1.6</w:t>
            </w:r>
          </w:p>
        </w:tc>
      </w:tr>
      <w:tr w:rsidR="00CB39D1" w:rsidRPr="00CB39D1" w14:paraId="07629475" w14:textId="77777777" w:rsidTr="008D4E1E">
        <w:trPr>
          <w:trHeight w:val="432"/>
        </w:trPr>
        <w:tc>
          <w:tcPr>
            <w:tcW w:w="2405" w:type="dxa"/>
            <w:noWrap/>
            <w:vAlign w:val="center"/>
            <w:hideMark/>
          </w:tcPr>
          <w:p w14:paraId="12C556D3" w14:textId="77777777" w:rsidR="00CB39D1" w:rsidRPr="00CB39D1" w:rsidRDefault="00CB39D1" w:rsidP="00CB39D1">
            <w:pPr>
              <w:spacing w:after="0" w:line="240" w:lineRule="auto"/>
              <w:rPr>
                <w:rFonts w:ascii="GHEA Grapalat" w:eastAsia="Times New Roman" w:hAnsi="GHEA Grapalat" w:cs="Times New Roman"/>
                <w:color w:val="404040"/>
                <w:sz w:val="18"/>
                <w:szCs w:val="18"/>
              </w:rPr>
            </w:pPr>
            <w:r w:rsidRPr="00CB39D1">
              <w:rPr>
                <w:rFonts w:ascii="GHEA Grapalat" w:eastAsia="Times New Roman" w:hAnsi="GHEA Grapalat" w:cs="Times New Roman"/>
                <w:color w:val="404040"/>
                <w:sz w:val="18"/>
                <w:szCs w:val="18"/>
              </w:rPr>
              <w:t>Մաքսատուրք</w:t>
            </w:r>
          </w:p>
        </w:tc>
        <w:tc>
          <w:tcPr>
            <w:tcW w:w="854" w:type="dxa"/>
            <w:noWrap/>
            <w:hideMark/>
          </w:tcPr>
          <w:p w14:paraId="37A09B85" w14:textId="77777777" w:rsidR="00CB39D1" w:rsidRPr="00CB39D1" w:rsidRDefault="00CB39D1" w:rsidP="00CB39D1">
            <w:pPr>
              <w:spacing w:after="0" w:line="240" w:lineRule="auto"/>
              <w:jc w:val="center"/>
              <w:rPr>
                <w:rFonts w:ascii="GHEA Grapalat" w:eastAsia="Times New Roman" w:hAnsi="GHEA Grapalat" w:cs="Times New Roman"/>
                <w:color w:val="404040"/>
                <w:sz w:val="18"/>
                <w:szCs w:val="18"/>
              </w:rPr>
            </w:pPr>
            <w:r w:rsidRPr="00CB39D1">
              <w:rPr>
                <w:rFonts w:ascii="GHEA Grapalat" w:eastAsia="Times New Roman" w:hAnsi="GHEA Grapalat" w:cs="Times New Roman"/>
                <w:color w:val="404040"/>
                <w:sz w:val="18"/>
                <w:szCs w:val="18"/>
              </w:rPr>
              <w:t>76.2</w:t>
            </w:r>
          </w:p>
        </w:tc>
        <w:tc>
          <w:tcPr>
            <w:tcW w:w="848" w:type="dxa"/>
            <w:noWrap/>
            <w:hideMark/>
          </w:tcPr>
          <w:p w14:paraId="277B0001" w14:textId="77777777" w:rsidR="00CB39D1" w:rsidRPr="00CB39D1" w:rsidRDefault="00CB39D1" w:rsidP="00CB39D1">
            <w:pPr>
              <w:spacing w:after="0" w:line="240" w:lineRule="auto"/>
              <w:jc w:val="center"/>
              <w:rPr>
                <w:rFonts w:ascii="GHEA Grapalat" w:eastAsia="Times New Roman" w:hAnsi="GHEA Grapalat" w:cs="Times New Roman"/>
                <w:color w:val="404040"/>
                <w:sz w:val="18"/>
                <w:szCs w:val="18"/>
              </w:rPr>
            </w:pPr>
            <w:r w:rsidRPr="00CB39D1">
              <w:rPr>
                <w:rFonts w:ascii="GHEA Grapalat" w:eastAsia="Times New Roman" w:hAnsi="GHEA Grapalat" w:cs="Times New Roman"/>
                <w:color w:val="404040"/>
                <w:sz w:val="18"/>
                <w:szCs w:val="18"/>
              </w:rPr>
              <w:t>74.4</w:t>
            </w:r>
          </w:p>
        </w:tc>
        <w:tc>
          <w:tcPr>
            <w:tcW w:w="837" w:type="dxa"/>
            <w:noWrap/>
            <w:hideMark/>
          </w:tcPr>
          <w:p w14:paraId="34BBF32A" w14:textId="77777777" w:rsidR="00CB39D1" w:rsidRPr="00CB39D1" w:rsidRDefault="00CB39D1" w:rsidP="00CB39D1">
            <w:pPr>
              <w:spacing w:after="0" w:line="240" w:lineRule="auto"/>
              <w:jc w:val="center"/>
              <w:rPr>
                <w:rFonts w:ascii="GHEA Grapalat" w:eastAsia="Times New Roman" w:hAnsi="GHEA Grapalat" w:cs="Times New Roman"/>
                <w:color w:val="404040"/>
                <w:sz w:val="18"/>
                <w:szCs w:val="18"/>
              </w:rPr>
            </w:pPr>
            <w:r w:rsidRPr="00CB39D1">
              <w:rPr>
                <w:rFonts w:ascii="GHEA Grapalat" w:eastAsia="Times New Roman" w:hAnsi="GHEA Grapalat" w:cs="Times New Roman"/>
                <w:color w:val="404040"/>
                <w:sz w:val="18"/>
                <w:szCs w:val="18"/>
              </w:rPr>
              <w:t>76.8</w:t>
            </w:r>
          </w:p>
        </w:tc>
        <w:tc>
          <w:tcPr>
            <w:tcW w:w="846" w:type="dxa"/>
            <w:noWrap/>
            <w:hideMark/>
          </w:tcPr>
          <w:p w14:paraId="296C7311" w14:textId="77777777" w:rsidR="00CB39D1" w:rsidRPr="00CB39D1" w:rsidRDefault="00CB39D1" w:rsidP="00CB39D1">
            <w:pPr>
              <w:spacing w:after="0" w:line="240" w:lineRule="auto"/>
              <w:jc w:val="center"/>
              <w:rPr>
                <w:rFonts w:ascii="GHEA Grapalat" w:eastAsia="Times New Roman" w:hAnsi="GHEA Grapalat" w:cs="Times New Roman"/>
                <w:color w:val="404040"/>
                <w:sz w:val="18"/>
                <w:szCs w:val="18"/>
              </w:rPr>
            </w:pPr>
            <w:r w:rsidRPr="00CB39D1">
              <w:rPr>
                <w:rFonts w:ascii="GHEA Grapalat" w:eastAsia="Times New Roman" w:hAnsi="GHEA Grapalat" w:cs="Times New Roman"/>
                <w:color w:val="404040"/>
                <w:sz w:val="18"/>
                <w:szCs w:val="18"/>
              </w:rPr>
              <w:t>80.9</w:t>
            </w:r>
          </w:p>
        </w:tc>
        <w:tc>
          <w:tcPr>
            <w:tcW w:w="857" w:type="dxa"/>
            <w:noWrap/>
            <w:hideMark/>
          </w:tcPr>
          <w:p w14:paraId="408720BA" w14:textId="77777777" w:rsidR="00CB39D1" w:rsidRPr="00CB39D1" w:rsidRDefault="00CB39D1" w:rsidP="00CB39D1">
            <w:pPr>
              <w:spacing w:after="0" w:line="240" w:lineRule="auto"/>
              <w:jc w:val="center"/>
              <w:rPr>
                <w:rFonts w:ascii="GHEA Grapalat" w:eastAsia="Times New Roman" w:hAnsi="GHEA Grapalat" w:cs="Times New Roman"/>
                <w:color w:val="404040"/>
                <w:sz w:val="18"/>
                <w:szCs w:val="18"/>
              </w:rPr>
            </w:pPr>
            <w:r w:rsidRPr="00CB39D1">
              <w:rPr>
                <w:rFonts w:ascii="GHEA Grapalat" w:eastAsia="Times New Roman" w:hAnsi="GHEA Grapalat" w:cs="Times New Roman"/>
                <w:color w:val="404040"/>
                <w:sz w:val="18"/>
                <w:szCs w:val="18"/>
              </w:rPr>
              <w:t>86.1</w:t>
            </w:r>
          </w:p>
        </w:tc>
        <w:tc>
          <w:tcPr>
            <w:tcW w:w="635" w:type="dxa"/>
            <w:noWrap/>
            <w:hideMark/>
          </w:tcPr>
          <w:p w14:paraId="1AFF5956" w14:textId="77777777" w:rsidR="00CB39D1" w:rsidRPr="00CB39D1" w:rsidRDefault="00CB39D1" w:rsidP="00CB39D1">
            <w:pPr>
              <w:spacing w:after="0" w:line="240" w:lineRule="auto"/>
              <w:jc w:val="center"/>
              <w:rPr>
                <w:rFonts w:ascii="GHEA Grapalat" w:eastAsia="Times New Roman" w:hAnsi="GHEA Grapalat" w:cs="Times New Roman"/>
                <w:color w:val="404040"/>
                <w:sz w:val="18"/>
                <w:szCs w:val="18"/>
              </w:rPr>
            </w:pPr>
            <w:r w:rsidRPr="00CB39D1">
              <w:rPr>
                <w:rFonts w:ascii="GHEA Grapalat" w:eastAsia="Times New Roman" w:hAnsi="GHEA Grapalat" w:cs="Times New Roman"/>
                <w:color w:val="404040"/>
                <w:sz w:val="18"/>
                <w:szCs w:val="18"/>
              </w:rPr>
              <w:t>0.7</w:t>
            </w:r>
          </w:p>
        </w:tc>
        <w:tc>
          <w:tcPr>
            <w:tcW w:w="635" w:type="dxa"/>
            <w:noWrap/>
            <w:hideMark/>
          </w:tcPr>
          <w:p w14:paraId="511302F2" w14:textId="77777777" w:rsidR="00CB39D1" w:rsidRPr="00CB39D1" w:rsidRDefault="00CB39D1" w:rsidP="00CB39D1">
            <w:pPr>
              <w:spacing w:after="0" w:line="240" w:lineRule="auto"/>
              <w:jc w:val="center"/>
              <w:rPr>
                <w:rFonts w:ascii="GHEA Grapalat" w:eastAsia="Times New Roman" w:hAnsi="GHEA Grapalat" w:cs="Times New Roman"/>
                <w:color w:val="404040"/>
                <w:sz w:val="18"/>
                <w:szCs w:val="18"/>
              </w:rPr>
            </w:pPr>
            <w:r w:rsidRPr="00CB39D1">
              <w:rPr>
                <w:rFonts w:ascii="GHEA Grapalat" w:eastAsia="Times New Roman" w:hAnsi="GHEA Grapalat" w:cs="Times New Roman"/>
                <w:color w:val="404040"/>
                <w:sz w:val="18"/>
                <w:szCs w:val="18"/>
              </w:rPr>
              <w:t>0.7</w:t>
            </w:r>
          </w:p>
        </w:tc>
        <w:tc>
          <w:tcPr>
            <w:tcW w:w="638" w:type="dxa"/>
            <w:noWrap/>
            <w:hideMark/>
          </w:tcPr>
          <w:p w14:paraId="6164DB6C" w14:textId="77777777" w:rsidR="00CB39D1" w:rsidRPr="00CB39D1" w:rsidRDefault="00CB39D1" w:rsidP="00CB39D1">
            <w:pPr>
              <w:spacing w:after="0" w:line="240" w:lineRule="auto"/>
              <w:jc w:val="center"/>
              <w:rPr>
                <w:rFonts w:ascii="GHEA Grapalat" w:eastAsia="Times New Roman" w:hAnsi="GHEA Grapalat" w:cs="Times New Roman"/>
                <w:color w:val="404040"/>
                <w:sz w:val="18"/>
                <w:szCs w:val="18"/>
              </w:rPr>
            </w:pPr>
            <w:r w:rsidRPr="00CB39D1">
              <w:rPr>
                <w:rFonts w:ascii="GHEA Grapalat" w:eastAsia="Times New Roman" w:hAnsi="GHEA Grapalat" w:cs="Times New Roman"/>
                <w:color w:val="404040"/>
                <w:sz w:val="18"/>
                <w:szCs w:val="18"/>
              </w:rPr>
              <w:t>0.6</w:t>
            </w:r>
          </w:p>
        </w:tc>
        <w:tc>
          <w:tcPr>
            <w:tcW w:w="638" w:type="dxa"/>
            <w:noWrap/>
            <w:hideMark/>
          </w:tcPr>
          <w:p w14:paraId="7542B272" w14:textId="77777777" w:rsidR="00CB39D1" w:rsidRPr="00CB39D1" w:rsidRDefault="00CB39D1" w:rsidP="00CB39D1">
            <w:pPr>
              <w:spacing w:after="0" w:line="240" w:lineRule="auto"/>
              <w:jc w:val="center"/>
              <w:rPr>
                <w:rFonts w:ascii="GHEA Grapalat" w:eastAsia="Times New Roman" w:hAnsi="GHEA Grapalat" w:cs="Times New Roman"/>
                <w:color w:val="404040"/>
                <w:sz w:val="18"/>
                <w:szCs w:val="18"/>
              </w:rPr>
            </w:pPr>
            <w:r w:rsidRPr="00CB39D1">
              <w:rPr>
                <w:rFonts w:ascii="GHEA Grapalat" w:eastAsia="Times New Roman" w:hAnsi="GHEA Grapalat" w:cs="Times New Roman"/>
                <w:color w:val="404040"/>
                <w:sz w:val="18"/>
                <w:szCs w:val="18"/>
              </w:rPr>
              <w:t>0.6</w:t>
            </w:r>
          </w:p>
        </w:tc>
        <w:tc>
          <w:tcPr>
            <w:tcW w:w="647" w:type="dxa"/>
            <w:noWrap/>
            <w:hideMark/>
          </w:tcPr>
          <w:p w14:paraId="1AC4B50E" w14:textId="77777777" w:rsidR="00CB39D1" w:rsidRPr="00CB39D1" w:rsidRDefault="00CB39D1" w:rsidP="00CB39D1">
            <w:pPr>
              <w:spacing w:after="0" w:line="240" w:lineRule="auto"/>
              <w:jc w:val="center"/>
              <w:rPr>
                <w:rFonts w:ascii="GHEA Grapalat" w:eastAsia="Times New Roman" w:hAnsi="GHEA Grapalat" w:cs="Times New Roman"/>
                <w:color w:val="404040"/>
                <w:sz w:val="18"/>
                <w:szCs w:val="18"/>
              </w:rPr>
            </w:pPr>
            <w:r w:rsidRPr="00CB39D1">
              <w:rPr>
                <w:rFonts w:ascii="GHEA Grapalat" w:eastAsia="Times New Roman" w:hAnsi="GHEA Grapalat" w:cs="Times New Roman"/>
                <w:color w:val="404040"/>
                <w:sz w:val="18"/>
                <w:szCs w:val="18"/>
              </w:rPr>
              <w:t>0.6</w:t>
            </w:r>
          </w:p>
        </w:tc>
      </w:tr>
      <w:tr w:rsidR="00CB39D1" w:rsidRPr="00CB39D1" w14:paraId="6EF9B852" w14:textId="77777777" w:rsidTr="008D4E1E">
        <w:trPr>
          <w:trHeight w:val="432"/>
        </w:trPr>
        <w:tc>
          <w:tcPr>
            <w:tcW w:w="2405" w:type="dxa"/>
            <w:vAlign w:val="center"/>
            <w:hideMark/>
          </w:tcPr>
          <w:p w14:paraId="6BE61316" w14:textId="77777777" w:rsidR="00CB39D1" w:rsidRPr="00CB39D1" w:rsidRDefault="00CB39D1" w:rsidP="00CB39D1">
            <w:pPr>
              <w:spacing w:after="0" w:line="240" w:lineRule="auto"/>
              <w:rPr>
                <w:rFonts w:ascii="GHEA Grapalat" w:eastAsia="Times New Roman" w:hAnsi="GHEA Grapalat" w:cs="Times New Roman"/>
                <w:color w:val="404040"/>
                <w:sz w:val="18"/>
                <w:szCs w:val="18"/>
              </w:rPr>
            </w:pPr>
            <w:r w:rsidRPr="00CB39D1">
              <w:rPr>
                <w:rFonts w:ascii="GHEA Grapalat" w:eastAsia="Times New Roman" w:hAnsi="GHEA Grapalat" w:cs="Times New Roman"/>
                <w:color w:val="404040"/>
                <w:sz w:val="18"/>
                <w:szCs w:val="18"/>
              </w:rPr>
              <w:t>Շրջանառության հարկ</w:t>
            </w:r>
          </w:p>
        </w:tc>
        <w:tc>
          <w:tcPr>
            <w:tcW w:w="854" w:type="dxa"/>
            <w:noWrap/>
            <w:hideMark/>
          </w:tcPr>
          <w:p w14:paraId="747710E0" w14:textId="77777777" w:rsidR="00CB39D1" w:rsidRPr="00CB39D1" w:rsidRDefault="00CB39D1" w:rsidP="00CB39D1">
            <w:pPr>
              <w:spacing w:after="0" w:line="240" w:lineRule="auto"/>
              <w:jc w:val="center"/>
              <w:rPr>
                <w:rFonts w:ascii="GHEA Grapalat" w:eastAsia="Times New Roman" w:hAnsi="GHEA Grapalat" w:cs="Times New Roman"/>
                <w:color w:val="404040"/>
                <w:sz w:val="18"/>
                <w:szCs w:val="18"/>
              </w:rPr>
            </w:pPr>
            <w:r w:rsidRPr="00CB39D1">
              <w:rPr>
                <w:rFonts w:ascii="GHEA Grapalat" w:eastAsia="Times New Roman" w:hAnsi="GHEA Grapalat" w:cs="Times New Roman"/>
                <w:color w:val="404040"/>
                <w:sz w:val="18"/>
                <w:szCs w:val="18"/>
              </w:rPr>
              <w:t>60.9</w:t>
            </w:r>
          </w:p>
        </w:tc>
        <w:tc>
          <w:tcPr>
            <w:tcW w:w="848" w:type="dxa"/>
            <w:noWrap/>
            <w:hideMark/>
          </w:tcPr>
          <w:p w14:paraId="16CF5225" w14:textId="77777777" w:rsidR="00CB39D1" w:rsidRPr="00CB39D1" w:rsidRDefault="00CB39D1" w:rsidP="00CB39D1">
            <w:pPr>
              <w:spacing w:after="0" w:line="240" w:lineRule="auto"/>
              <w:jc w:val="center"/>
              <w:rPr>
                <w:rFonts w:ascii="GHEA Grapalat" w:eastAsia="Times New Roman" w:hAnsi="GHEA Grapalat" w:cs="Times New Roman"/>
                <w:color w:val="404040"/>
                <w:sz w:val="18"/>
                <w:szCs w:val="18"/>
              </w:rPr>
            </w:pPr>
            <w:r w:rsidRPr="00CB39D1">
              <w:rPr>
                <w:rFonts w:ascii="GHEA Grapalat" w:eastAsia="Times New Roman" w:hAnsi="GHEA Grapalat" w:cs="Times New Roman"/>
                <w:color w:val="404040"/>
                <w:sz w:val="18"/>
                <w:szCs w:val="18"/>
              </w:rPr>
              <w:t>78.1</w:t>
            </w:r>
          </w:p>
        </w:tc>
        <w:tc>
          <w:tcPr>
            <w:tcW w:w="837" w:type="dxa"/>
            <w:noWrap/>
            <w:hideMark/>
          </w:tcPr>
          <w:p w14:paraId="2A8F1728" w14:textId="77777777" w:rsidR="00CB39D1" w:rsidRPr="00CB39D1" w:rsidRDefault="00CB39D1" w:rsidP="00CB39D1">
            <w:pPr>
              <w:spacing w:after="0" w:line="240" w:lineRule="auto"/>
              <w:jc w:val="center"/>
              <w:rPr>
                <w:rFonts w:ascii="GHEA Grapalat" w:eastAsia="Times New Roman" w:hAnsi="GHEA Grapalat" w:cs="Times New Roman"/>
                <w:color w:val="404040"/>
                <w:sz w:val="18"/>
                <w:szCs w:val="18"/>
              </w:rPr>
            </w:pPr>
            <w:r w:rsidRPr="00CB39D1">
              <w:rPr>
                <w:rFonts w:ascii="GHEA Grapalat" w:eastAsia="Times New Roman" w:hAnsi="GHEA Grapalat" w:cs="Times New Roman"/>
                <w:color w:val="404040"/>
                <w:sz w:val="18"/>
                <w:szCs w:val="18"/>
              </w:rPr>
              <w:t>90.4</w:t>
            </w:r>
          </w:p>
        </w:tc>
        <w:tc>
          <w:tcPr>
            <w:tcW w:w="846" w:type="dxa"/>
            <w:noWrap/>
            <w:hideMark/>
          </w:tcPr>
          <w:p w14:paraId="4E781878" w14:textId="77777777" w:rsidR="00CB39D1" w:rsidRPr="00CB39D1" w:rsidRDefault="00CB39D1" w:rsidP="00CB39D1">
            <w:pPr>
              <w:spacing w:after="0" w:line="240" w:lineRule="auto"/>
              <w:jc w:val="center"/>
              <w:rPr>
                <w:rFonts w:ascii="GHEA Grapalat" w:eastAsia="Times New Roman" w:hAnsi="GHEA Grapalat" w:cs="Times New Roman"/>
                <w:color w:val="404040"/>
                <w:sz w:val="18"/>
                <w:szCs w:val="18"/>
              </w:rPr>
            </w:pPr>
            <w:r w:rsidRPr="00CB39D1">
              <w:rPr>
                <w:rFonts w:ascii="GHEA Grapalat" w:eastAsia="Times New Roman" w:hAnsi="GHEA Grapalat" w:cs="Times New Roman"/>
                <w:color w:val="404040"/>
                <w:sz w:val="18"/>
                <w:szCs w:val="18"/>
              </w:rPr>
              <w:t>98.5</w:t>
            </w:r>
          </w:p>
        </w:tc>
        <w:tc>
          <w:tcPr>
            <w:tcW w:w="857" w:type="dxa"/>
            <w:noWrap/>
            <w:hideMark/>
          </w:tcPr>
          <w:p w14:paraId="704FA39C" w14:textId="77777777" w:rsidR="00CB39D1" w:rsidRPr="00CB39D1" w:rsidRDefault="00CB39D1" w:rsidP="00CB39D1">
            <w:pPr>
              <w:spacing w:after="0" w:line="240" w:lineRule="auto"/>
              <w:jc w:val="center"/>
              <w:rPr>
                <w:rFonts w:ascii="GHEA Grapalat" w:eastAsia="Times New Roman" w:hAnsi="GHEA Grapalat" w:cs="Times New Roman"/>
                <w:color w:val="404040"/>
                <w:sz w:val="18"/>
                <w:szCs w:val="18"/>
              </w:rPr>
            </w:pPr>
            <w:r w:rsidRPr="00CB39D1">
              <w:rPr>
                <w:rFonts w:ascii="GHEA Grapalat" w:eastAsia="Times New Roman" w:hAnsi="GHEA Grapalat" w:cs="Times New Roman"/>
                <w:color w:val="404040"/>
                <w:sz w:val="18"/>
                <w:szCs w:val="18"/>
              </w:rPr>
              <w:t>107.5</w:t>
            </w:r>
          </w:p>
        </w:tc>
        <w:tc>
          <w:tcPr>
            <w:tcW w:w="635" w:type="dxa"/>
            <w:noWrap/>
            <w:hideMark/>
          </w:tcPr>
          <w:p w14:paraId="3A4486B7" w14:textId="77777777" w:rsidR="00CB39D1" w:rsidRPr="00CB39D1" w:rsidRDefault="00CB39D1" w:rsidP="00CB39D1">
            <w:pPr>
              <w:spacing w:after="0" w:line="240" w:lineRule="auto"/>
              <w:jc w:val="center"/>
              <w:rPr>
                <w:rFonts w:ascii="GHEA Grapalat" w:eastAsia="Times New Roman" w:hAnsi="GHEA Grapalat" w:cs="Times New Roman"/>
                <w:color w:val="404040"/>
                <w:sz w:val="18"/>
                <w:szCs w:val="18"/>
              </w:rPr>
            </w:pPr>
            <w:r w:rsidRPr="00CB39D1">
              <w:rPr>
                <w:rFonts w:ascii="GHEA Grapalat" w:eastAsia="Times New Roman" w:hAnsi="GHEA Grapalat" w:cs="Times New Roman"/>
                <w:color w:val="404040"/>
                <w:sz w:val="18"/>
                <w:szCs w:val="18"/>
              </w:rPr>
              <w:t>0.6</w:t>
            </w:r>
          </w:p>
        </w:tc>
        <w:tc>
          <w:tcPr>
            <w:tcW w:w="635" w:type="dxa"/>
            <w:noWrap/>
            <w:hideMark/>
          </w:tcPr>
          <w:p w14:paraId="71F0FBCF" w14:textId="77777777" w:rsidR="00CB39D1" w:rsidRPr="00CB39D1" w:rsidRDefault="00CB39D1" w:rsidP="00CB39D1">
            <w:pPr>
              <w:spacing w:after="0" w:line="240" w:lineRule="auto"/>
              <w:jc w:val="center"/>
              <w:rPr>
                <w:rFonts w:ascii="GHEA Grapalat" w:eastAsia="Times New Roman" w:hAnsi="GHEA Grapalat" w:cs="Times New Roman"/>
                <w:color w:val="404040"/>
                <w:sz w:val="18"/>
                <w:szCs w:val="18"/>
              </w:rPr>
            </w:pPr>
            <w:r w:rsidRPr="00CB39D1">
              <w:rPr>
                <w:rFonts w:ascii="GHEA Grapalat" w:eastAsia="Times New Roman" w:hAnsi="GHEA Grapalat" w:cs="Times New Roman"/>
                <w:color w:val="404040"/>
                <w:sz w:val="18"/>
                <w:szCs w:val="18"/>
              </w:rPr>
              <w:t>0.7</w:t>
            </w:r>
          </w:p>
        </w:tc>
        <w:tc>
          <w:tcPr>
            <w:tcW w:w="638" w:type="dxa"/>
            <w:noWrap/>
            <w:hideMark/>
          </w:tcPr>
          <w:p w14:paraId="44F93287" w14:textId="77777777" w:rsidR="00CB39D1" w:rsidRPr="00CB39D1" w:rsidRDefault="00CB39D1" w:rsidP="00CB39D1">
            <w:pPr>
              <w:spacing w:after="0" w:line="240" w:lineRule="auto"/>
              <w:jc w:val="center"/>
              <w:rPr>
                <w:rFonts w:ascii="GHEA Grapalat" w:eastAsia="Times New Roman" w:hAnsi="GHEA Grapalat" w:cs="Times New Roman"/>
                <w:color w:val="404040"/>
                <w:sz w:val="18"/>
                <w:szCs w:val="18"/>
              </w:rPr>
            </w:pPr>
            <w:r w:rsidRPr="00CB39D1">
              <w:rPr>
                <w:rFonts w:ascii="GHEA Grapalat" w:eastAsia="Times New Roman" w:hAnsi="GHEA Grapalat" w:cs="Times New Roman"/>
                <w:color w:val="404040"/>
                <w:sz w:val="18"/>
                <w:szCs w:val="18"/>
              </w:rPr>
              <w:t>0.8</w:t>
            </w:r>
          </w:p>
        </w:tc>
        <w:tc>
          <w:tcPr>
            <w:tcW w:w="638" w:type="dxa"/>
            <w:noWrap/>
            <w:hideMark/>
          </w:tcPr>
          <w:p w14:paraId="2714487A" w14:textId="77777777" w:rsidR="00CB39D1" w:rsidRPr="00CB39D1" w:rsidRDefault="00CB39D1" w:rsidP="00CB39D1">
            <w:pPr>
              <w:spacing w:after="0" w:line="240" w:lineRule="auto"/>
              <w:jc w:val="center"/>
              <w:rPr>
                <w:rFonts w:ascii="GHEA Grapalat" w:eastAsia="Times New Roman" w:hAnsi="GHEA Grapalat" w:cs="Times New Roman"/>
                <w:color w:val="404040"/>
                <w:sz w:val="18"/>
                <w:szCs w:val="18"/>
              </w:rPr>
            </w:pPr>
            <w:r w:rsidRPr="00CB39D1">
              <w:rPr>
                <w:rFonts w:ascii="GHEA Grapalat" w:eastAsia="Times New Roman" w:hAnsi="GHEA Grapalat" w:cs="Times New Roman"/>
                <w:color w:val="404040"/>
                <w:sz w:val="18"/>
                <w:szCs w:val="18"/>
              </w:rPr>
              <w:t>0.8</w:t>
            </w:r>
          </w:p>
        </w:tc>
        <w:tc>
          <w:tcPr>
            <w:tcW w:w="647" w:type="dxa"/>
            <w:noWrap/>
            <w:hideMark/>
          </w:tcPr>
          <w:p w14:paraId="502D2538" w14:textId="77777777" w:rsidR="00CB39D1" w:rsidRPr="00CB39D1" w:rsidRDefault="00CB39D1" w:rsidP="00CB39D1">
            <w:pPr>
              <w:spacing w:after="0" w:line="240" w:lineRule="auto"/>
              <w:jc w:val="center"/>
              <w:rPr>
                <w:rFonts w:ascii="GHEA Grapalat" w:eastAsia="Times New Roman" w:hAnsi="GHEA Grapalat" w:cs="Times New Roman"/>
                <w:color w:val="404040"/>
                <w:sz w:val="18"/>
                <w:szCs w:val="18"/>
              </w:rPr>
            </w:pPr>
            <w:r w:rsidRPr="00CB39D1">
              <w:rPr>
                <w:rFonts w:ascii="GHEA Grapalat" w:eastAsia="Times New Roman" w:hAnsi="GHEA Grapalat" w:cs="Times New Roman"/>
                <w:color w:val="404040"/>
                <w:sz w:val="18"/>
                <w:szCs w:val="18"/>
              </w:rPr>
              <w:t>0.8</w:t>
            </w:r>
          </w:p>
        </w:tc>
      </w:tr>
      <w:tr w:rsidR="00CB39D1" w:rsidRPr="00CB39D1" w14:paraId="436D660C" w14:textId="77777777" w:rsidTr="008D4E1E">
        <w:trPr>
          <w:trHeight w:val="432"/>
        </w:trPr>
        <w:tc>
          <w:tcPr>
            <w:tcW w:w="2405" w:type="dxa"/>
            <w:noWrap/>
            <w:vAlign w:val="center"/>
            <w:hideMark/>
          </w:tcPr>
          <w:p w14:paraId="7D211FF7" w14:textId="77777777" w:rsidR="00CB39D1" w:rsidRPr="00CB39D1" w:rsidRDefault="00CB39D1" w:rsidP="00CB39D1">
            <w:pPr>
              <w:spacing w:after="0" w:line="240" w:lineRule="auto"/>
              <w:rPr>
                <w:rFonts w:ascii="GHEA Grapalat" w:eastAsia="Times New Roman" w:hAnsi="GHEA Grapalat" w:cs="Times New Roman"/>
                <w:color w:val="404040"/>
                <w:sz w:val="18"/>
                <w:szCs w:val="18"/>
              </w:rPr>
            </w:pPr>
            <w:r w:rsidRPr="00CB39D1">
              <w:rPr>
                <w:rFonts w:ascii="GHEA Grapalat" w:eastAsia="Times New Roman" w:hAnsi="GHEA Grapalat" w:cs="Times New Roman"/>
                <w:color w:val="404040"/>
                <w:sz w:val="18"/>
                <w:szCs w:val="18"/>
              </w:rPr>
              <w:t>Այլ հարկեր</w:t>
            </w:r>
          </w:p>
        </w:tc>
        <w:tc>
          <w:tcPr>
            <w:tcW w:w="854" w:type="dxa"/>
            <w:noWrap/>
            <w:hideMark/>
          </w:tcPr>
          <w:p w14:paraId="7AD4426F" w14:textId="77777777" w:rsidR="00CB39D1" w:rsidRPr="00CB39D1" w:rsidRDefault="00CB39D1" w:rsidP="00CB39D1">
            <w:pPr>
              <w:spacing w:after="0" w:line="240" w:lineRule="auto"/>
              <w:jc w:val="center"/>
              <w:rPr>
                <w:rFonts w:ascii="GHEA Grapalat" w:eastAsia="Times New Roman" w:hAnsi="GHEA Grapalat" w:cs="Times New Roman"/>
                <w:color w:val="404040"/>
                <w:sz w:val="18"/>
                <w:szCs w:val="18"/>
              </w:rPr>
            </w:pPr>
            <w:r w:rsidRPr="00CB39D1">
              <w:rPr>
                <w:rFonts w:ascii="GHEA Grapalat" w:eastAsia="Times New Roman" w:hAnsi="GHEA Grapalat" w:cs="Times New Roman"/>
                <w:color w:val="404040"/>
                <w:sz w:val="18"/>
                <w:szCs w:val="18"/>
              </w:rPr>
              <w:t>262.2</w:t>
            </w:r>
          </w:p>
        </w:tc>
        <w:tc>
          <w:tcPr>
            <w:tcW w:w="848" w:type="dxa"/>
            <w:noWrap/>
            <w:hideMark/>
          </w:tcPr>
          <w:p w14:paraId="3C059855" w14:textId="77777777" w:rsidR="00CB39D1" w:rsidRPr="00CB39D1" w:rsidRDefault="00CB39D1" w:rsidP="00CB39D1">
            <w:pPr>
              <w:spacing w:after="0" w:line="240" w:lineRule="auto"/>
              <w:jc w:val="center"/>
              <w:rPr>
                <w:rFonts w:ascii="GHEA Grapalat" w:eastAsia="Times New Roman" w:hAnsi="GHEA Grapalat" w:cs="Times New Roman"/>
                <w:color w:val="404040"/>
                <w:sz w:val="18"/>
                <w:szCs w:val="18"/>
              </w:rPr>
            </w:pPr>
            <w:r w:rsidRPr="00CB39D1">
              <w:rPr>
                <w:rFonts w:ascii="GHEA Grapalat" w:eastAsia="Times New Roman" w:hAnsi="GHEA Grapalat" w:cs="Times New Roman"/>
                <w:color w:val="404040"/>
                <w:sz w:val="18"/>
                <w:szCs w:val="18"/>
              </w:rPr>
              <w:t>245.5</w:t>
            </w:r>
          </w:p>
        </w:tc>
        <w:tc>
          <w:tcPr>
            <w:tcW w:w="837" w:type="dxa"/>
            <w:noWrap/>
            <w:hideMark/>
          </w:tcPr>
          <w:p w14:paraId="3DB1C008" w14:textId="77777777" w:rsidR="00CB39D1" w:rsidRPr="00CB39D1" w:rsidRDefault="00CB39D1" w:rsidP="00CB39D1">
            <w:pPr>
              <w:spacing w:after="0" w:line="240" w:lineRule="auto"/>
              <w:jc w:val="center"/>
              <w:rPr>
                <w:rFonts w:ascii="GHEA Grapalat" w:eastAsia="Times New Roman" w:hAnsi="GHEA Grapalat" w:cs="Times New Roman"/>
                <w:color w:val="404040"/>
                <w:sz w:val="18"/>
                <w:szCs w:val="18"/>
              </w:rPr>
            </w:pPr>
            <w:r w:rsidRPr="00CB39D1">
              <w:rPr>
                <w:rFonts w:ascii="GHEA Grapalat" w:eastAsia="Times New Roman" w:hAnsi="GHEA Grapalat" w:cs="Times New Roman"/>
                <w:color w:val="404040"/>
                <w:sz w:val="18"/>
                <w:szCs w:val="18"/>
              </w:rPr>
              <w:t>297.6</w:t>
            </w:r>
          </w:p>
        </w:tc>
        <w:tc>
          <w:tcPr>
            <w:tcW w:w="846" w:type="dxa"/>
            <w:noWrap/>
            <w:hideMark/>
          </w:tcPr>
          <w:p w14:paraId="6720D3DD" w14:textId="77777777" w:rsidR="00CB39D1" w:rsidRPr="00CB39D1" w:rsidRDefault="00CB39D1" w:rsidP="00CB39D1">
            <w:pPr>
              <w:spacing w:after="0" w:line="240" w:lineRule="auto"/>
              <w:jc w:val="center"/>
              <w:rPr>
                <w:rFonts w:ascii="GHEA Grapalat" w:eastAsia="Times New Roman" w:hAnsi="GHEA Grapalat" w:cs="Times New Roman"/>
                <w:color w:val="404040"/>
                <w:sz w:val="18"/>
                <w:szCs w:val="18"/>
              </w:rPr>
            </w:pPr>
            <w:r w:rsidRPr="00CB39D1">
              <w:rPr>
                <w:rFonts w:ascii="GHEA Grapalat" w:eastAsia="Times New Roman" w:hAnsi="GHEA Grapalat" w:cs="Times New Roman"/>
                <w:color w:val="404040"/>
                <w:sz w:val="18"/>
                <w:szCs w:val="18"/>
              </w:rPr>
              <w:t>342.0</w:t>
            </w:r>
          </w:p>
        </w:tc>
        <w:tc>
          <w:tcPr>
            <w:tcW w:w="857" w:type="dxa"/>
            <w:noWrap/>
            <w:hideMark/>
          </w:tcPr>
          <w:p w14:paraId="716CA0C5" w14:textId="77777777" w:rsidR="00CB39D1" w:rsidRPr="00CB39D1" w:rsidRDefault="00CB39D1" w:rsidP="00CB39D1">
            <w:pPr>
              <w:spacing w:after="0" w:line="240" w:lineRule="auto"/>
              <w:jc w:val="center"/>
              <w:rPr>
                <w:rFonts w:ascii="GHEA Grapalat" w:eastAsia="Times New Roman" w:hAnsi="GHEA Grapalat" w:cs="Times New Roman"/>
                <w:color w:val="404040"/>
                <w:sz w:val="18"/>
                <w:szCs w:val="18"/>
              </w:rPr>
            </w:pPr>
            <w:r w:rsidRPr="00CB39D1">
              <w:rPr>
                <w:rFonts w:ascii="GHEA Grapalat" w:eastAsia="Times New Roman" w:hAnsi="GHEA Grapalat" w:cs="Times New Roman"/>
                <w:color w:val="404040"/>
                <w:sz w:val="18"/>
                <w:szCs w:val="18"/>
              </w:rPr>
              <w:t>382.6</w:t>
            </w:r>
          </w:p>
        </w:tc>
        <w:tc>
          <w:tcPr>
            <w:tcW w:w="635" w:type="dxa"/>
            <w:noWrap/>
            <w:hideMark/>
          </w:tcPr>
          <w:p w14:paraId="6F609D73" w14:textId="77777777" w:rsidR="00CB39D1" w:rsidRPr="00CB39D1" w:rsidRDefault="00CB39D1" w:rsidP="00CB39D1">
            <w:pPr>
              <w:spacing w:after="0" w:line="240" w:lineRule="auto"/>
              <w:jc w:val="center"/>
              <w:rPr>
                <w:rFonts w:ascii="GHEA Grapalat" w:eastAsia="Times New Roman" w:hAnsi="GHEA Grapalat" w:cs="Times New Roman"/>
                <w:color w:val="404040"/>
                <w:sz w:val="18"/>
                <w:szCs w:val="18"/>
              </w:rPr>
            </w:pPr>
            <w:r w:rsidRPr="00CB39D1">
              <w:rPr>
                <w:rFonts w:ascii="GHEA Grapalat" w:eastAsia="Times New Roman" w:hAnsi="GHEA Grapalat" w:cs="Times New Roman"/>
                <w:color w:val="404040"/>
                <w:sz w:val="18"/>
                <w:szCs w:val="18"/>
              </w:rPr>
              <w:t>2.6</w:t>
            </w:r>
          </w:p>
        </w:tc>
        <w:tc>
          <w:tcPr>
            <w:tcW w:w="635" w:type="dxa"/>
            <w:noWrap/>
            <w:hideMark/>
          </w:tcPr>
          <w:p w14:paraId="68853697" w14:textId="77777777" w:rsidR="00CB39D1" w:rsidRPr="00CB39D1" w:rsidRDefault="00CB39D1" w:rsidP="00CB39D1">
            <w:pPr>
              <w:spacing w:after="0" w:line="240" w:lineRule="auto"/>
              <w:jc w:val="center"/>
              <w:rPr>
                <w:rFonts w:ascii="GHEA Grapalat" w:eastAsia="Times New Roman" w:hAnsi="GHEA Grapalat" w:cs="Times New Roman"/>
                <w:color w:val="404040"/>
                <w:sz w:val="18"/>
                <w:szCs w:val="18"/>
              </w:rPr>
            </w:pPr>
            <w:r w:rsidRPr="00CB39D1">
              <w:rPr>
                <w:rFonts w:ascii="GHEA Grapalat" w:eastAsia="Times New Roman" w:hAnsi="GHEA Grapalat" w:cs="Times New Roman"/>
                <w:color w:val="404040"/>
                <w:sz w:val="18"/>
                <w:szCs w:val="18"/>
              </w:rPr>
              <w:t>2.2</w:t>
            </w:r>
          </w:p>
        </w:tc>
        <w:tc>
          <w:tcPr>
            <w:tcW w:w="638" w:type="dxa"/>
            <w:noWrap/>
            <w:hideMark/>
          </w:tcPr>
          <w:p w14:paraId="598C3BC2" w14:textId="77777777" w:rsidR="00CB39D1" w:rsidRPr="00CB39D1" w:rsidRDefault="00CB39D1" w:rsidP="00CB39D1">
            <w:pPr>
              <w:spacing w:after="0" w:line="240" w:lineRule="auto"/>
              <w:jc w:val="center"/>
              <w:rPr>
                <w:rFonts w:ascii="GHEA Grapalat" w:eastAsia="Times New Roman" w:hAnsi="GHEA Grapalat" w:cs="Times New Roman"/>
                <w:color w:val="404040"/>
                <w:sz w:val="18"/>
                <w:szCs w:val="18"/>
              </w:rPr>
            </w:pPr>
            <w:r w:rsidRPr="00CB39D1">
              <w:rPr>
                <w:rFonts w:ascii="GHEA Grapalat" w:eastAsia="Times New Roman" w:hAnsi="GHEA Grapalat" w:cs="Times New Roman"/>
                <w:color w:val="404040"/>
                <w:sz w:val="18"/>
                <w:szCs w:val="18"/>
              </w:rPr>
              <w:t>2.5</w:t>
            </w:r>
          </w:p>
        </w:tc>
        <w:tc>
          <w:tcPr>
            <w:tcW w:w="638" w:type="dxa"/>
            <w:noWrap/>
            <w:hideMark/>
          </w:tcPr>
          <w:p w14:paraId="73DD79CF" w14:textId="77777777" w:rsidR="00CB39D1" w:rsidRPr="00CB39D1" w:rsidRDefault="00CB39D1" w:rsidP="00CB39D1">
            <w:pPr>
              <w:spacing w:after="0" w:line="240" w:lineRule="auto"/>
              <w:jc w:val="center"/>
              <w:rPr>
                <w:rFonts w:ascii="GHEA Grapalat" w:eastAsia="Times New Roman" w:hAnsi="GHEA Grapalat" w:cs="Times New Roman"/>
                <w:color w:val="404040"/>
                <w:sz w:val="18"/>
                <w:szCs w:val="18"/>
              </w:rPr>
            </w:pPr>
            <w:r w:rsidRPr="00CB39D1">
              <w:rPr>
                <w:rFonts w:ascii="GHEA Grapalat" w:eastAsia="Times New Roman" w:hAnsi="GHEA Grapalat" w:cs="Times New Roman"/>
                <w:color w:val="404040"/>
                <w:sz w:val="18"/>
                <w:szCs w:val="18"/>
              </w:rPr>
              <w:t>2.6</w:t>
            </w:r>
          </w:p>
        </w:tc>
        <w:tc>
          <w:tcPr>
            <w:tcW w:w="647" w:type="dxa"/>
            <w:noWrap/>
            <w:hideMark/>
          </w:tcPr>
          <w:p w14:paraId="1296EF77" w14:textId="77777777" w:rsidR="00CB39D1" w:rsidRPr="00CB39D1" w:rsidRDefault="00CB39D1" w:rsidP="00CB39D1">
            <w:pPr>
              <w:spacing w:after="0" w:line="240" w:lineRule="auto"/>
              <w:jc w:val="center"/>
              <w:rPr>
                <w:rFonts w:ascii="GHEA Grapalat" w:eastAsia="Times New Roman" w:hAnsi="GHEA Grapalat" w:cs="Times New Roman"/>
                <w:color w:val="404040"/>
                <w:sz w:val="18"/>
                <w:szCs w:val="18"/>
              </w:rPr>
            </w:pPr>
            <w:r w:rsidRPr="00CB39D1">
              <w:rPr>
                <w:rFonts w:ascii="GHEA Grapalat" w:eastAsia="Times New Roman" w:hAnsi="GHEA Grapalat" w:cs="Times New Roman"/>
                <w:color w:val="404040"/>
                <w:sz w:val="18"/>
                <w:szCs w:val="18"/>
              </w:rPr>
              <w:t>2.7</w:t>
            </w:r>
          </w:p>
        </w:tc>
      </w:tr>
    </w:tbl>
    <w:p w14:paraId="56F0AE94" w14:textId="77777777" w:rsidR="00CB39D1" w:rsidRPr="00CB39D1" w:rsidRDefault="00CB39D1" w:rsidP="00CB39D1"/>
    <w:p w14:paraId="6A6643E5" w14:textId="247FE2A1" w:rsidR="00CB39D1" w:rsidRPr="00F82E03" w:rsidRDefault="00CB39D1" w:rsidP="00CB39D1">
      <w:pPr>
        <w:jc w:val="both"/>
        <w:rPr>
          <w:rFonts w:ascii="GHEA Grapalat" w:hAnsi="GHEA Grapalat"/>
          <w:szCs w:val="20"/>
          <w:lang w:val="hy-AM"/>
        </w:rPr>
      </w:pPr>
      <w:r w:rsidRPr="00CB39D1">
        <w:rPr>
          <w:rFonts w:ascii="GHEA Grapalat" w:hAnsi="GHEA Grapalat"/>
          <w:szCs w:val="20"/>
        </w:rPr>
        <w:t xml:space="preserve">Միջնաժամկետ հատվածում ընթացիկ ծախսերը նվազում են՝ արտացոլելով հարկաբյուջետային կոնսոլիդացիայի ազդեցությունը, իսկ կապիտալ ծախսերը </w:t>
      </w:r>
      <w:r w:rsidRPr="00CB39D1">
        <w:rPr>
          <w:rFonts w:ascii="GHEA Grapalat" w:hAnsi="GHEA Grapalat"/>
          <w:szCs w:val="20"/>
          <w:lang w:val="hy-AM"/>
        </w:rPr>
        <w:t xml:space="preserve">կայունանում </w:t>
      </w:r>
      <w:r w:rsidRPr="00CB39D1">
        <w:rPr>
          <w:rFonts w:ascii="GHEA Grapalat" w:hAnsi="GHEA Grapalat"/>
          <w:szCs w:val="20"/>
        </w:rPr>
        <w:t>պատմական մակարդակներից զգալիորեն բարձր մակարդակում՝</w:t>
      </w:r>
      <w:r w:rsidRPr="00CB39D1">
        <w:rPr>
          <w:rFonts w:ascii="GHEA Grapalat" w:hAnsi="GHEA Grapalat"/>
          <w:szCs w:val="20"/>
          <w:lang w:val="hy-AM"/>
        </w:rPr>
        <w:t xml:space="preserve"> պայմանավորված</w:t>
      </w:r>
      <w:r w:rsidRPr="00CB39D1">
        <w:rPr>
          <w:rFonts w:ascii="GHEA Grapalat" w:hAnsi="GHEA Grapalat"/>
          <w:szCs w:val="20"/>
        </w:rPr>
        <w:t xml:space="preserve"> տնտեսական և անվտանգային ենթակառուցվածքների ամրապնդման </w:t>
      </w:r>
      <w:r w:rsidRPr="00CB39D1">
        <w:rPr>
          <w:rFonts w:ascii="GHEA Grapalat" w:hAnsi="GHEA Grapalat"/>
          <w:szCs w:val="20"/>
          <w:lang w:val="hy-AM"/>
        </w:rPr>
        <w:t>նպատակադրմամբ</w:t>
      </w:r>
      <w:r w:rsidRPr="00CB39D1">
        <w:rPr>
          <w:rFonts w:ascii="GHEA Grapalat" w:hAnsi="GHEA Grapalat"/>
          <w:szCs w:val="20"/>
        </w:rPr>
        <w:t xml:space="preserve">։ </w:t>
      </w:r>
      <w:r w:rsidRPr="00591C26">
        <w:rPr>
          <w:rFonts w:ascii="GHEA Grapalat" w:hAnsi="GHEA Grapalat"/>
          <w:szCs w:val="20"/>
          <w:lang w:val="hy-AM"/>
        </w:rPr>
        <w:t>Հաշվի առնելով 2025 թվականին պետական բյուջեի կապիտալ ծախսերի համար «առաջ բերված» հնարավորություններ ձևավորելու տրամաբանությ</w:t>
      </w:r>
      <w:r w:rsidR="00591C26">
        <w:rPr>
          <w:rFonts w:ascii="GHEA Grapalat" w:hAnsi="GHEA Grapalat"/>
          <w:szCs w:val="20"/>
          <w:lang w:val="hy-AM"/>
        </w:rPr>
        <w:t>ունը,</w:t>
      </w:r>
      <w:r w:rsidRPr="00591C26">
        <w:rPr>
          <w:rFonts w:ascii="GHEA Grapalat" w:hAnsi="GHEA Grapalat"/>
          <w:szCs w:val="20"/>
          <w:lang w:val="hy-AM"/>
        </w:rPr>
        <w:t xml:space="preserve"> պետական բյուջեի պակասուրդ</w:t>
      </w:r>
      <w:r w:rsidR="00591C26">
        <w:rPr>
          <w:rFonts w:ascii="GHEA Grapalat" w:hAnsi="GHEA Grapalat"/>
          <w:szCs w:val="20"/>
          <w:lang w:val="hy-AM"/>
        </w:rPr>
        <w:t>ը</w:t>
      </w:r>
      <w:r w:rsidR="00FA14DC">
        <w:rPr>
          <w:rFonts w:ascii="GHEA Grapalat" w:hAnsi="GHEA Grapalat"/>
          <w:szCs w:val="20"/>
          <w:lang w:val="hy-AM"/>
        </w:rPr>
        <w:t xml:space="preserve"> </w:t>
      </w:r>
      <w:r w:rsidR="00591C26">
        <w:rPr>
          <w:rFonts w:ascii="GHEA Grapalat" w:hAnsi="GHEA Grapalat"/>
          <w:szCs w:val="20"/>
          <w:lang w:val="hy-AM"/>
        </w:rPr>
        <w:t xml:space="preserve"> կհասնի </w:t>
      </w:r>
      <w:r w:rsidR="00FA14DC">
        <w:rPr>
          <w:rFonts w:ascii="GHEA Grapalat" w:hAnsi="GHEA Grapalat"/>
          <w:szCs w:val="20"/>
          <w:lang w:val="hy-AM"/>
        </w:rPr>
        <w:t>ՀՆԱ</w:t>
      </w:r>
      <w:r w:rsidR="00591C26">
        <w:rPr>
          <w:rFonts w:ascii="GHEA Grapalat" w:hAnsi="GHEA Grapalat"/>
          <w:szCs w:val="20"/>
          <w:lang w:val="hy-AM"/>
        </w:rPr>
        <w:t xml:space="preserve">-ում </w:t>
      </w:r>
      <w:r w:rsidRPr="00591C26">
        <w:rPr>
          <w:rFonts w:ascii="GHEA Grapalat" w:hAnsi="GHEA Grapalat"/>
          <w:szCs w:val="20"/>
          <w:lang w:val="hy-AM"/>
        </w:rPr>
        <w:t>5</w:t>
      </w:r>
      <w:r w:rsidRPr="00591C26">
        <w:rPr>
          <w:rFonts w:ascii="Cambria Math" w:hAnsi="Cambria Math" w:cs="Cambria Math"/>
          <w:szCs w:val="20"/>
          <w:lang w:val="hy-AM"/>
        </w:rPr>
        <w:t>․</w:t>
      </w:r>
      <w:r w:rsidRPr="00591C26">
        <w:rPr>
          <w:rFonts w:ascii="GHEA Grapalat" w:hAnsi="GHEA Grapalat"/>
          <w:szCs w:val="20"/>
          <w:lang w:val="hy-AM"/>
        </w:rPr>
        <w:t>5%</w:t>
      </w:r>
      <w:r w:rsidR="00591C26">
        <w:rPr>
          <w:rFonts w:ascii="GHEA Grapalat" w:hAnsi="GHEA Grapalat"/>
          <w:szCs w:val="20"/>
          <w:lang w:val="hy-AM"/>
        </w:rPr>
        <w:t xml:space="preserve">-ի: Իսկ </w:t>
      </w:r>
      <w:r w:rsidRPr="00591C26">
        <w:rPr>
          <w:rFonts w:ascii="GHEA Grapalat" w:hAnsi="GHEA Grapalat"/>
          <w:szCs w:val="20"/>
          <w:lang w:val="hy-AM"/>
        </w:rPr>
        <w:t>հաջորդող տարիներին ծրագրվում է իրականացնել էական հարկաբյուջետային կոնսոլիդացիա՝ պետական բյուջեի պակասուրդը</w:t>
      </w:r>
      <w:r w:rsidR="00591C26">
        <w:rPr>
          <w:rFonts w:ascii="GHEA Grapalat" w:hAnsi="GHEA Grapalat"/>
          <w:szCs w:val="20"/>
          <w:lang w:val="hy-AM"/>
        </w:rPr>
        <w:t xml:space="preserve"> ՀՆԱ-ում</w:t>
      </w:r>
      <w:r w:rsidRPr="00591C26">
        <w:rPr>
          <w:rFonts w:ascii="GHEA Grapalat" w:hAnsi="GHEA Grapalat"/>
          <w:szCs w:val="20"/>
          <w:lang w:val="hy-AM"/>
        </w:rPr>
        <w:t xml:space="preserve"> նվազեցնելով մինչև </w:t>
      </w:r>
      <w:r w:rsidRPr="00CB39D1">
        <w:rPr>
          <w:rFonts w:ascii="GHEA Grapalat" w:hAnsi="GHEA Grapalat"/>
          <w:szCs w:val="20"/>
          <w:lang w:val="hy-AM"/>
        </w:rPr>
        <w:t>2.8</w:t>
      </w:r>
      <w:r w:rsidRPr="00591C26">
        <w:rPr>
          <w:rFonts w:ascii="GHEA Grapalat" w:hAnsi="GHEA Grapalat"/>
          <w:szCs w:val="20"/>
          <w:lang w:val="hy-AM"/>
        </w:rPr>
        <w:t>% մակարդակի 20</w:t>
      </w:r>
      <w:r w:rsidRPr="00CB39D1">
        <w:rPr>
          <w:rFonts w:ascii="GHEA Grapalat" w:hAnsi="GHEA Grapalat"/>
          <w:szCs w:val="20"/>
          <w:lang w:val="hy-AM"/>
        </w:rPr>
        <w:t>28</w:t>
      </w:r>
      <w:r w:rsidRPr="00591C26">
        <w:rPr>
          <w:rFonts w:ascii="GHEA Grapalat" w:hAnsi="GHEA Grapalat"/>
          <w:szCs w:val="20"/>
          <w:lang w:val="hy-AM"/>
        </w:rPr>
        <w:t xml:space="preserve"> թ</w:t>
      </w:r>
      <w:r w:rsidRPr="00CB39D1">
        <w:rPr>
          <w:rFonts w:ascii="GHEA Grapalat" w:hAnsi="GHEA Grapalat"/>
          <w:szCs w:val="20"/>
          <w:lang w:val="hy-AM"/>
        </w:rPr>
        <w:t>վական</w:t>
      </w:r>
      <w:r w:rsidRPr="00591C26">
        <w:rPr>
          <w:rFonts w:ascii="GHEA Grapalat" w:hAnsi="GHEA Grapalat"/>
          <w:szCs w:val="20"/>
          <w:lang w:val="hy-AM"/>
        </w:rPr>
        <w:t xml:space="preserve">ին։ </w:t>
      </w:r>
      <w:r w:rsidRPr="00E1053C">
        <w:rPr>
          <w:rFonts w:ascii="GHEA Grapalat" w:hAnsi="GHEA Grapalat"/>
          <w:szCs w:val="20"/>
          <w:lang w:val="hy-AM"/>
        </w:rPr>
        <w:t>Միջնաժամկետ հատվածում պարտքի բեռի նվազումն ապահովվում է տնտեսական աճի և զգալի առաջնային հավելուրդի ձևավորման պայմաններում, որը 20</w:t>
      </w:r>
      <w:r w:rsidRPr="00CB39D1">
        <w:rPr>
          <w:rFonts w:ascii="GHEA Grapalat" w:hAnsi="GHEA Grapalat"/>
          <w:szCs w:val="20"/>
          <w:lang w:val="hy-AM"/>
        </w:rPr>
        <w:t>28</w:t>
      </w:r>
      <w:r w:rsidRPr="00E1053C">
        <w:rPr>
          <w:rFonts w:ascii="GHEA Grapalat" w:hAnsi="GHEA Grapalat"/>
          <w:szCs w:val="20"/>
          <w:lang w:val="hy-AM"/>
        </w:rPr>
        <w:t>թ</w:t>
      </w:r>
      <w:r w:rsidRPr="00E1053C">
        <w:rPr>
          <w:rFonts w:ascii="Cambria Math" w:hAnsi="Cambria Math" w:cs="Cambria Math"/>
          <w:szCs w:val="20"/>
          <w:lang w:val="hy-AM"/>
        </w:rPr>
        <w:t>․</w:t>
      </w:r>
      <w:r w:rsidRPr="00E1053C">
        <w:rPr>
          <w:rFonts w:ascii="GHEA Grapalat" w:hAnsi="GHEA Grapalat"/>
          <w:szCs w:val="20"/>
          <w:lang w:val="hy-AM"/>
        </w:rPr>
        <w:t xml:space="preserve">-ին հասնում </w:t>
      </w:r>
      <w:r w:rsidRPr="00F82E03">
        <w:rPr>
          <w:rFonts w:ascii="GHEA Grapalat" w:hAnsi="GHEA Grapalat"/>
          <w:szCs w:val="20"/>
          <w:lang w:val="hy-AM"/>
        </w:rPr>
        <w:t xml:space="preserve">է ՀՆԱ </w:t>
      </w:r>
      <w:r w:rsidRPr="00CB39D1">
        <w:rPr>
          <w:rFonts w:ascii="GHEA Grapalat" w:hAnsi="GHEA Grapalat"/>
          <w:szCs w:val="20"/>
          <w:lang w:val="hy-AM"/>
        </w:rPr>
        <w:t>0.9</w:t>
      </w:r>
      <w:r w:rsidRPr="00F82E03">
        <w:rPr>
          <w:rFonts w:ascii="GHEA Grapalat" w:hAnsi="GHEA Grapalat"/>
          <w:szCs w:val="20"/>
          <w:lang w:val="hy-AM"/>
        </w:rPr>
        <w:t>%-ին։ Միաժամանակ, պարտքի իրական տոկոսադրույքի աճը (արտացոլված տոկոսային ծախսերի աճով) հակազդում է պարտքը նվազեցնող գործոնների ազդեցությանը, և հնարավորության չի տալիս ապահովել պարտքի բեռի ավելի արագ նվազում։</w:t>
      </w:r>
    </w:p>
    <w:p w14:paraId="7047AA1D" w14:textId="77777777" w:rsidR="00CB39D1" w:rsidRPr="00F82E03" w:rsidRDefault="00CB39D1" w:rsidP="00CB39D1">
      <w:pPr>
        <w:jc w:val="both"/>
        <w:rPr>
          <w:rFonts w:ascii="GHEA Grapalat" w:hAnsi="GHEA Grapalat"/>
          <w:bCs/>
          <w:szCs w:val="20"/>
          <w:lang w:val="hy-AM"/>
        </w:rPr>
      </w:pPr>
      <w:bookmarkStart w:id="271" w:name="_Toc178595155"/>
      <w:r w:rsidRPr="00F82E03">
        <w:rPr>
          <w:rFonts w:ascii="GHEA Grapalat" w:hAnsi="GHEA Grapalat"/>
          <w:bCs/>
          <w:szCs w:val="20"/>
          <w:lang w:val="hy-AM"/>
        </w:rPr>
        <w:t>Գծապատկեր 2.3. Պետական բյուջեի եկամուտները, ծախսերը և հաշվեկշիռը (մլրդ դրամով) և պետական բյուջեի պակասուրդի մակարդակները (կշիռը ՀՆԱ-ում, %)</w:t>
      </w:r>
      <w:bookmarkEnd w:id="271"/>
    </w:p>
    <w:p w14:paraId="08561964" w14:textId="77777777" w:rsidR="00CB39D1" w:rsidRPr="00F82E03" w:rsidRDefault="00CB39D1" w:rsidP="00CB39D1">
      <w:pPr>
        <w:jc w:val="both"/>
        <w:rPr>
          <w:rFonts w:ascii="GHEA Grapalat" w:hAnsi="GHEA Grapalat"/>
          <w:bCs/>
          <w:szCs w:val="20"/>
          <w:lang w:val="hy-AM"/>
        </w:rPr>
      </w:pPr>
      <w:r w:rsidRPr="00CB39D1">
        <w:rPr>
          <w:noProof/>
        </w:rPr>
        <w:drawing>
          <wp:anchor distT="0" distB="0" distL="114300" distR="114300" simplePos="0" relativeHeight="251916288" behindDoc="0" locked="0" layoutInCell="1" allowOverlap="1" wp14:anchorId="2C0AF652" wp14:editId="0716CAE8">
            <wp:simplePos x="0" y="0"/>
            <wp:positionH relativeFrom="column">
              <wp:posOffset>3246120</wp:posOffset>
            </wp:positionH>
            <wp:positionV relativeFrom="paragraph">
              <wp:posOffset>290195</wp:posOffset>
            </wp:positionV>
            <wp:extent cx="2926080" cy="1920240"/>
            <wp:effectExtent l="0" t="0" r="7620" b="3810"/>
            <wp:wrapTopAndBottom/>
            <wp:docPr id="1545876472" name="Chart 154587647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59"/>
              </a:graphicData>
            </a:graphic>
          </wp:anchor>
        </w:drawing>
      </w:r>
      <w:r w:rsidRPr="00CB39D1">
        <w:rPr>
          <w:noProof/>
        </w:rPr>
        <w:drawing>
          <wp:anchor distT="0" distB="0" distL="114300" distR="114300" simplePos="0" relativeHeight="251917312" behindDoc="0" locked="0" layoutInCell="1" allowOverlap="1" wp14:anchorId="62FFC2B0" wp14:editId="6FF6477F">
            <wp:simplePos x="0" y="0"/>
            <wp:positionH relativeFrom="column">
              <wp:posOffset>0</wp:posOffset>
            </wp:positionH>
            <wp:positionV relativeFrom="paragraph">
              <wp:posOffset>289560</wp:posOffset>
            </wp:positionV>
            <wp:extent cx="2926080" cy="1920240"/>
            <wp:effectExtent l="0" t="0" r="7620" b="3810"/>
            <wp:wrapTopAndBottom/>
            <wp:docPr id="1545876473" name="Chart 154587647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60"/>
              </a:graphicData>
            </a:graphic>
            <wp14:sizeRelV relativeFrom="margin">
              <wp14:pctHeight>0</wp14:pctHeight>
            </wp14:sizeRelV>
          </wp:anchor>
        </w:drawing>
      </w:r>
    </w:p>
    <w:p w14:paraId="6A18D8BC" w14:textId="77777777" w:rsidR="00CB39D1" w:rsidRPr="00CB39D1" w:rsidRDefault="00CB39D1" w:rsidP="00CB39D1">
      <w:pPr>
        <w:spacing w:before="0"/>
        <w:ind w:right="26"/>
        <w:jc w:val="center"/>
        <w:rPr>
          <w:i/>
          <w:color w:val="A6A6A6" w:themeColor="background1" w:themeShade="A6"/>
          <w:sz w:val="18"/>
          <w:lang w:val="hy-AM"/>
        </w:rPr>
      </w:pPr>
      <w:r w:rsidRPr="00CB39D1">
        <w:rPr>
          <w:i/>
          <w:color w:val="A6A6A6" w:themeColor="background1" w:themeShade="A6"/>
          <w:sz w:val="18"/>
          <w:lang w:val="hy-AM"/>
        </w:rPr>
        <w:t xml:space="preserve"> Աղբյուրը՝ ՀՀ ՖՆ </w:t>
      </w:r>
    </w:p>
    <w:p w14:paraId="563F821B" w14:textId="1AFEF66B" w:rsidR="00CB39D1" w:rsidRPr="00CB39D1" w:rsidRDefault="00CB39D1" w:rsidP="00CB39D1">
      <w:pPr>
        <w:jc w:val="both"/>
        <w:rPr>
          <w:rFonts w:ascii="GHEA Grapalat" w:hAnsi="GHEA Grapalat"/>
          <w:szCs w:val="20"/>
          <w:lang w:val="hy-AM"/>
        </w:rPr>
      </w:pPr>
      <w:r w:rsidRPr="00CB39D1">
        <w:rPr>
          <w:rFonts w:ascii="GHEA Grapalat" w:hAnsi="GHEA Grapalat"/>
          <w:szCs w:val="20"/>
          <w:lang w:val="hy-AM"/>
        </w:rPr>
        <w:t>2026թ.-ին հարկաբյուջետային քաղաքականությունը կունենա հիմնականում չեզոքին մոտ ազդեցություն ամբողջական պահանջարկի վրա՝ եկամուտների</w:t>
      </w:r>
      <w:r w:rsidR="00CA33D9">
        <w:rPr>
          <w:rFonts w:ascii="GHEA Grapalat" w:hAnsi="GHEA Grapalat"/>
          <w:szCs w:val="20"/>
          <w:lang w:val="hy-AM"/>
        </w:rPr>
        <w:t xml:space="preserve"> </w:t>
      </w:r>
      <w:r w:rsidR="00FA14DC">
        <w:rPr>
          <w:rFonts w:ascii="GHEA Grapalat" w:hAnsi="GHEA Grapalat"/>
          <w:szCs w:val="20"/>
          <w:lang w:val="hy-AM"/>
        </w:rPr>
        <w:t xml:space="preserve">և </w:t>
      </w:r>
      <w:r w:rsidR="00C56182">
        <w:rPr>
          <w:rFonts w:ascii="GHEA Grapalat" w:hAnsi="GHEA Grapalat"/>
          <w:szCs w:val="20"/>
          <w:lang w:val="hy-AM"/>
        </w:rPr>
        <w:t xml:space="preserve">ծախսերի </w:t>
      </w:r>
      <w:r w:rsidR="00FA14DC">
        <w:rPr>
          <w:rFonts w:ascii="GHEA Grapalat" w:hAnsi="GHEA Grapalat"/>
          <w:szCs w:val="20"/>
          <w:lang w:val="hy-AM"/>
        </w:rPr>
        <w:t>չեզոք</w:t>
      </w:r>
      <w:r w:rsidRPr="00CB39D1">
        <w:rPr>
          <w:rFonts w:ascii="GHEA Grapalat" w:hAnsi="GHEA Grapalat"/>
          <w:szCs w:val="20"/>
          <w:lang w:val="hy-AM"/>
        </w:rPr>
        <w:t xml:space="preserve"> ազդեցություններով։ </w:t>
      </w:r>
    </w:p>
    <w:p w14:paraId="5D6F2F88" w14:textId="65D3AA7E" w:rsidR="00CB39D1" w:rsidRPr="00CB39D1" w:rsidRDefault="00CB39D1" w:rsidP="00CB39D1">
      <w:pPr>
        <w:jc w:val="both"/>
        <w:rPr>
          <w:rFonts w:ascii="GHEA Grapalat" w:hAnsi="GHEA Grapalat"/>
          <w:szCs w:val="20"/>
          <w:lang w:val="hy-AM"/>
        </w:rPr>
      </w:pPr>
      <w:r w:rsidRPr="00CB39D1">
        <w:rPr>
          <w:rFonts w:ascii="GHEA Grapalat" w:hAnsi="GHEA Grapalat"/>
          <w:szCs w:val="20"/>
          <w:lang w:val="hy-AM"/>
        </w:rPr>
        <w:t>Պայմանավորված միջնաժամկետ հատվածում հարկաբյուջետային կոնսոլիդացիա ապահովելու նպատակադրմամբ, հարկաբյուջետային քաղաքականությունը միջնաժամկետի սկզբում կունենա հիմնականում զսպող ազդեցություն ամբողջական պահանջարկի վրա՝ եկամուտների</w:t>
      </w:r>
      <w:r w:rsidR="00906432">
        <w:rPr>
          <w:rFonts w:ascii="GHEA Grapalat" w:hAnsi="GHEA Grapalat"/>
          <w:szCs w:val="20"/>
          <w:lang w:val="hy-AM"/>
        </w:rPr>
        <w:t xml:space="preserve"> չեզոք</w:t>
      </w:r>
      <w:r w:rsidRPr="00CB39D1">
        <w:rPr>
          <w:rFonts w:ascii="GHEA Grapalat" w:hAnsi="GHEA Grapalat"/>
          <w:szCs w:val="20"/>
          <w:lang w:val="hy-AM"/>
        </w:rPr>
        <w:t xml:space="preserve"> և ծախսերի զսպող ազդեցություններով։ Վերջինս հնարավորություն է տալիս պետական բյուջեի պակասուրդը պարտքը կայունացնող մակարդակ</w:t>
      </w:r>
      <w:r w:rsidR="003321F4">
        <w:rPr>
          <w:rFonts w:ascii="GHEA Grapalat" w:hAnsi="GHEA Grapalat"/>
          <w:szCs w:val="20"/>
          <w:lang w:val="hy-AM"/>
        </w:rPr>
        <w:t>ի</w:t>
      </w:r>
      <w:r w:rsidRPr="00CB39D1">
        <w:rPr>
          <w:rFonts w:ascii="GHEA Grapalat" w:hAnsi="GHEA Grapalat"/>
          <w:szCs w:val="20"/>
          <w:lang w:val="hy-AM"/>
        </w:rPr>
        <w:t xml:space="preserve"> նվազեցնելուց հետո ապահովել հարկաբյուջետային քաղաքականության չեզոք դիրք ամբողջական պահանջարկի տեսանկյունից արդեն միջնաժամկետի վերջում։ Միաժամանակ, ծախսերի կառուցվածքի բարելավման և արդյունավետության բարձրացմամբ կառավարությունը ակնկալում է դրական ազդեցություն ունենալ տնտեսական ներուժի վրա՝ այդ կերպ չեզոքացնելով պակասուրդի ճշգրտումից բխող զսպող հարկաբյուջետային ազդակի ազդեցությունը։</w:t>
      </w:r>
    </w:p>
    <w:p w14:paraId="0D7F5990" w14:textId="77777777" w:rsidR="00CB39D1" w:rsidRPr="00CB39D1" w:rsidRDefault="00CB39D1" w:rsidP="00CB39D1">
      <w:pPr>
        <w:rPr>
          <w:rFonts w:ascii="GHEA Grapalat" w:hAnsi="GHEA Grapalat"/>
          <w:bCs/>
          <w:szCs w:val="20"/>
          <w:lang w:val="hy-AM"/>
        </w:rPr>
      </w:pPr>
      <w:bookmarkStart w:id="272" w:name="_Toc178595156"/>
      <w:r w:rsidRPr="00CB39D1">
        <w:rPr>
          <w:rFonts w:ascii="GHEA Grapalat" w:hAnsi="GHEA Grapalat"/>
          <w:bCs/>
          <w:szCs w:val="20"/>
          <w:lang w:val="hy-AM"/>
        </w:rPr>
        <w:t>Գծապատկեր 2.4. Հարկաբյուջետային ազդակը</w:t>
      </w:r>
      <w:r w:rsidRPr="00CB39D1">
        <w:rPr>
          <w:rFonts w:ascii="GHEA Grapalat" w:hAnsi="GHEA Grapalat"/>
          <w:bCs/>
          <w:szCs w:val="20"/>
          <w:vertAlign w:val="superscript"/>
        </w:rPr>
        <w:footnoteReference w:id="18"/>
      </w:r>
      <w:bookmarkEnd w:id="272"/>
    </w:p>
    <w:p w14:paraId="699BA507" w14:textId="77777777" w:rsidR="00CB39D1" w:rsidRPr="00CB39D1" w:rsidRDefault="00CB39D1" w:rsidP="00CB39D1">
      <w:pPr>
        <w:jc w:val="both"/>
      </w:pPr>
      <w:r w:rsidRPr="00CB39D1">
        <w:rPr>
          <w:noProof/>
        </w:rPr>
        <mc:AlternateContent>
          <mc:Choice Requires="wps">
            <w:drawing>
              <wp:anchor distT="0" distB="0" distL="114300" distR="114300" simplePos="0" relativeHeight="251918336" behindDoc="0" locked="0" layoutInCell="1" allowOverlap="1" wp14:anchorId="171D3D21" wp14:editId="57BEE16B">
                <wp:simplePos x="0" y="0"/>
                <wp:positionH relativeFrom="column">
                  <wp:posOffset>2905124</wp:posOffset>
                </wp:positionH>
                <wp:positionV relativeFrom="paragraph">
                  <wp:posOffset>38100</wp:posOffset>
                </wp:positionV>
                <wp:extent cx="3004185" cy="2057407"/>
                <wp:effectExtent l="0" t="0" r="5715" b="0"/>
                <wp:wrapNone/>
                <wp:docPr id="1545876469" name="Rounded Rectangle 1"/>
                <wp:cNvGraphicFramePr/>
                <a:graphic xmlns:a="http://schemas.openxmlformats.org/drawingml/2006/main">
                  <a:graphicData uri="http://schemas.microsoft.com/office/word/2010/wordprocessingShape">
                    <wps:wsp>
                      <wps:cNvSpPr/>
                      <wps:spPr>
                        <a:xfrm>
                          <a:off x="0" y="0"/>
                          <a:ext cx="3004185" cy="2057407"/>
                        </a:xfrm>
                        <a:prstGeom prst="rect">
                          <a:avLst/>
                        </a:prstGeom>
                        <a:solidFill>
                          <a:sysClr val="window" lastClr="FFFFFF">
                            <a:lumMod val="85000"/>
                            <a:alpha val="30000"/>
                          </a:sysClr>
                        </a:solidFill>
                        <a:ln>
                          <a:noFill/>
                        </a:ln>
                        <a:effectLst/>
                      </wps:spPr>
                      <wps:bodyPr rot="0" spcFirstLastPara="0"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rect w14:anchorId="7FD8DD5B" id="Rounded Rectangle 1" o:spid="_x0000_s1026" style="position:absolute;margin-left:228.75pt;margin-top:3pt;width:236.55pt;height:162pt;z-index:251918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" fillcolor="#d9d9d9" stroked="f">
                <v:fill opacity="19789f"/>
              </v:rect>
            </w:pict>
          </mc:Fallback>
        </mc:AlternateContent>
      </w:r>
      <w:r w:rsidRPr="00CB39D1">
        <w:rPr>
          <w:noProof/>
        </w:rPr>
        <w:drawing>
          <wp:inline distT="0" distB="0" distL="0" distR="0" wp14:anchorId="50DABC2F" wp14:editId="5C8E9974">
            <wp:extent cx="6172200" cy="2461260"/>
            <wp:effectExtent l="0" t="0" r="0" b="15240"/>
            <wp:docPr id="1545876474" name="Chart 154587647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61"/>
              </a:graphicData>
            </a:graphic>
          </wp:inline>
        </w:drawing>
      </w:r>
    </w:p>
    <w:p w14:paraId="1316F4D5" w14:textId="77777777" w:rsidR="00CB39D1" w:rsidRPr="00CB39D1" w:rsidRDefault="00CB39D1" w:rsidP="00CB39D1">
      <w:pPr>
        <w:spacing w:before="0"/>
        <w:jc w:val="right"/>
        <w:rPr>
          <w:i/>
          <w:color w:val="A6A6A6" w:themeColor="background1" w:themeShade="A6"/>
          <w:sz w:val="18"/>
        </w:rPr>
      </w:pPr>
      <w:r w:rsidRPr="00CB39D1">
        <w:rPr>
          <w:i/>
          <w:color w:val="A6A6A6" w:themeColor="background1" w:themeShade="A6"/>
          <w:sz w:val="18"/>
        </w:rPr>
        <w:t>Աղբյուրը՝ ՀՀ ՖՆ գնահատականներ</w:t>
      </w:r>
    </w:p>
    <w:p w14:paraId="72BB4972" w14:textId="77777777" w:rsidR="00CB39D1" w:rsidRPr="00CB39D1" w:rsidRDefault="00CB39D1" w:rsidP="00CB39D1">
      <w:pPr>
        <w:spacing w:after="0"/>
        <w:jc w:val="both"/>
        <w:rPr>
          <w:rFonts w:ascii="GHEA Grapalat" w:hAnsi="GHEA Grapalat"/>
          <w:szCs w:val="20"/>
          <w:lang w:val="hy-AM"/>
        </w:rPr>
      </w:pPr>
      <w:r w:rsidRPr="00CB39D1">
        <w:rPr>
          <w:rFonts w:ascii="GHEA Grapalat" w:hAnsi="GHEA Grapalat"/>
          <w:b/>
          <w:bCs/>
          <w:szCs w:val="20"/>
          <w:lang w:val="hy-AM"/>
        </w:rPr>
        <w:t>Միջնաժամկետ հարկաբյուջետային շրջանակն ամրապնդում է «ոսկե կանոնների» տրամաբանությունը:</w:t>
      </w:r>
      <w:r w:rsidRPr="00CB39D1">
        <w:rPr>
          <w:rFonts w:ascii="GHEA Grapalat" w:hAnsi="GHEA Grapalat"/>
          <w:szCs w:val="20"/>
          <w:lang w:val="hy-AM"/>
        </w:rPr>
        <w:t xml:space="preserve"> Մասնավորապես, ընդհանուր ծախսերում կապիտալ ծախսերի բարձր մասնաբաժնի ապահովմամբ և ծրագրված հարկաբյուջետային կոնսոլիդացիայով կապիտալ ծախսերի ծավալը միջնաժամկետ ժամանակահատվածում զգալիորեն կգերազանցի պետական բյուջեի պակասուրդի մեծությանը։ Միաժամանակ, թեպետ կառավարության պարտք/ՀՆԱ՝ 60%-ից ցածր մակարդակի պայմաններում «ակտիվ չէ» ընթացիկ ծախսերի գծով «ոսկե կանոնը», հարկաբյուջետային շրջանակը ապահովում է կառավարության սեփական հնարավորությունների և ընթացիկ ծախսերի մեծացող դրական ճեղքվածք՝ ապահովելով հարկաբյուջետային քաղաքականության երկարաժամկետ կայունությունը։</w:t>
      </w:r>
    </w:p>
    <w:p w14:paraId="15FD91DA" w14:textId="77777777" w:rsidR="00CB39D1" w:rsidRPr="00CB39D1" w:rsidRDefault="00CB39D1" w:rsidP="00CB39D1">
      <w:pPr>
        <w:spacing w:after="0"/>
        <w:jc w:val="both"/>
        <w:rPr>
          <w:rFonts w:ascii="GHEA Grapalat" w:hAnsi="GHEA Grapalat"/>
          <w:szCs w:val="20"/>
          <w:lang w:val="hy-AM"/>
        </w:rPr>
      </w:pPr>
    </w:p>
    <w:p w14:paraId="3BD1205A" w14:textId="77777777" w:rsidR="00CB39D1" w:rsidRPr="00CB39D1" w:rsidRDefault="00CB39D1" w:rsidP="00CB39D1">
      <w:pPr>
        <w:spacing w:after="0"/>
        <w:jc w:val="both"/>
        <w:rPr>
          <w:lang w:val="hy-AM"/>
        </w:rPr>
      </w:pPr>
      <w:r w:rsidRPr="00CB39D1">
        <w:rPr>
          <w:bCs/>
          <w:sz w:val="20"/>
          <w:lang w:val="hy-AM"/>
        </w:rPr>
        <w:t>Գծապատկեր 2.5. Ընթացիկ և կապիտալ ծախսերի համապատասխանությունը</w:t>
      </w:r>
      <w:r w:rsidRPr="00CB39D1">
        <w:rPr>
          <w:b/>
          <w:bCs/>
          <w:sz w:val="20"/>
          <w:lang w:val="hy-AM"/>
        </w:rPr>
        <w:t xml:space="preserve"> </w:t>
      </w:r>
      <w:r w:rsidRPr="00CB39D1">
        <w:rPr>
          <w:bCs/>
          <w:sz w:val="20"/>
          <w:lang w:val="hy-AM"/>
        </w:rPr>
        <w:t>«ոսկե կանոնների</w:t>
      </w:r>
      <w:r w:rsidRPr="00CB39D1">
        <w:rPr>
          <w:b/>
          <w:bCs/>
          <w:sz w:val="20"/>
          <w:lang w:val="hy-AM"/>
        </w:rPr>
        <w:t>ն</w:t>
      </w:r>
      <w:r w:rsidRPr="00CB39D1">
        <w:rPr>
          <w:bCs/>
          <w:sz w:val="20"/>
          <w:lang w:val="hy-AM"/>
        </w:rPr>
        <w:t>»</w:t>
      </w:r>
      <w:r w:rsidRPr="00CB39D1">
        <w:rPr>
          <w:noProof/>
        </w:rPr>
        <w:drawing>
          <wp:anchor distT="0" distB="0" distL="114300" distR="114300" simplePos="0" relativeHeight="251919360" behindDoc="0" locked="0" layoutInCell="1" allowOverlap="1" wp14:anchorId="20B47F3A" wp14:editId="030279E9">
            <wp:simplePos x="0" y="0"/>
            <wp:positionH relativeFrom="column">
              <wp:posOffset>3230245</wp:posOffset>
            </wp:positionH>
            <wp:positionV relativeFrom="paragraph">
              <wp:posOffset>401681</wp:posOffset>
            </wp:positionV>
            <wp:extent cx="2926080" cy="1645920"/>
            <wp:effectExtent l="0" t="0" r="7620" b="11430"/>
            <wp:wrapTopAndBottom/>
            <wp:docPr id="1545876475" name="Chart 1545876475"/>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62"/>
              </a:graphicData>
            </a:graphic>
          </wp:anchor>
        </w:drawing>
      </w:r>
      <w:r w:rsidRPr="00CB39D1">
        <w:rPr>
          <w:noProof/>
        </w:rPr>
        <w:drawing>
          <wp:anchor distT="0" distB="0" distL="114300" distR="114300" simplePos="0" relativeHeight="251920384" behindDoc="0" locked="0" layoutInCell="1" allowOverlap="1" wp14:anchorId="51957C5F" wp14:editId="1F83958A">
            <wp:simplePos x="0" y="0"/>
            <wp:positionH relativeFrom="column">
              <wp:posOffset>3175</wp:posOffset>
            </wp:positionH>
            <wp:positionV relativeFrom="paragraph">
              <wp:posOffset>402281</wp:posOffset>
            </wp:positionV>
            <wp:extent cx="2926080" cy="1645920"/>
            <wp:effectExtent l="0" t="0" r="7620" b="11430"/>
            <wp:wrapTopAndBottom/>
            <wp:docPr id="1545876476" name="Chart 1545876476"/>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63"/>
              </a:graphicData>
            </a:graphic>
            <wp14:sizeRelH relativeFrom="page">
              <wp14:pctWidth>0</wp14:pctWidth>
            </wp14:sizeRelH>
            <wp14:sizeRelV relativeFrom="page">
              <wp14:pctHeight>0</wp14:pctHeight>
            </wp14:sizeRelV>
          </wp:anchor>
        </w:drawing>
      </w:r>
    </w:p>
    <w:p w14:paraId="3623BE52" w14:textId="77777777" w:rsidR="00247767" w:rsidRDefault="00247767" w:rsidP="00CB39D1">
      <w:pPr>
        <w:spacing w:before="0"/>
        <w:ind w:right="26"/>
        <w:jc w:val="right"/>
        <w:rPr>
          <w:i/>
          <w:color w:val="A6A6A6" w:themeColor="background1" w:themeShade="A6"/>
          <w:sz w:val="18"/>
          <w:lang w:val="hy-AM"/>
        </w:rPr>
      </w:pPr>
    </w:p>
    <w:p w14:paraId="60D2F376" w14:textId="19C1AD58" w:rsidR="00CB39D1" w:rsidRPr="00CB39D1" w:rsidRDefault="00CB39D1" w:rsidP="00CB39D1">
      <w:pPr>
        <w:spacing w:before="0"/>
        <w:ind w:right="26"/>
        <w:jc w:val="right"/>
        <w:rPr>
          <w:i/>
          <w:color w:val="A6A6A6" w:themeColor="background1" w:themeShade="A6"/>
          <w:sz w:val="18"/>
          <w:lang w:val="hy-AM"/>
        </w:rPr>
      </w:pPr>
      <w:r w:rsidRPr="00CB39D1">
        <w:rPr>
          <w:i/>
          <w:color w:val="A6A6A6" w:themeColor="background1" w:themeShade="A6"/>
          <w:sz w:val="18"/>
          <w:lang w:val="hy-AM"/>
        </w:rPr>
        <w:t>Աղբյուրը՝ ՀՀ ՖՆ</w:t>
      </w:r>
    </w:p>
    <w:p w14:paraId="17D2DCBF" w14:textId="77777777" w:rsidR="00CB39D1" w:rsidRPr="00CB39D1" w:rsidRDefault="00CB39D1" w:rsidP="00CB39D1">
      <w:pPr>
        <w:spacing w:before="360" w:line="240" w:lineRule="auto"/>
        <w:jc w:val="both"/>
        <w:rPr>
          <w:rFonts w:ascii="GHEA Grapalat" w:hAnsi="GHEA Grapalat"/>
          <w:b/>
          <w:szCs w:val="20"/>
          <w:lang w:val="hy-AM"/>
        </w:rPr>
      </w:pPr>
      <w:r w:rsidRPr="00CB39D1">
        <w:rPr>
          <w:rFonts w:ascii="GHEA Grapalat" w:hAnsi="GHEA Grapalat"/>
          <w:bCs/>
          <w:noProof/>
          <w:sz w:val="20"/>
          <w:szCs w:val="18"/>
        </w:rPr>
        <w:drawing>
          <wp:anchor distT="0" distB="0" distL="114300" distR="114300" simplePos="0" relativeHeight="251922432" behindDoc="0" locked="0" layoutInCell="1" allowOverlap="1" wp14:anchorId="6A980BEA" wp14:editId="0C92AC0F">
            <wp:simplePos x="0" y="0"/>
            <wp:positionH relativeFrom="column">
              <wp:posOffset>3226435</wp:posOffset>
            </wp:positionH>
            <wp:positionV relativeFrom="paragraph">
              <wp:posOffset>438785</wp:posOffset>
            </wp:positionV>
            <wp:extent cx="2926080" cy="2286000"/>
            <wp:effectExtent l="0" t="0" r="7620" b="0"/>
            <wp:wrapTopAndBottom/>
            <wp:docPr id="16120843" name="Chart 1612084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64"/>
              </a:graphicData>
            </a:graphic>
            <wp14:sizeRelV relativeFrom="margin">
              <wp14:pctHeight>0</wp14:pctHeight>
            </wp14:sizeRelV>
          </wp:anchor>
        </w:drawing>
      </w:r>
      <w:r w:rsidRPr="00CB39D1">
        <w:rPr>
          <w:rFonts w:ascii="GHEA Grapalat" w:hAnsi="GHEA Grapalat"/>
          <w:bCs/>
          <w:noProof/>
          <w:sz w:val="20"/>
          <w:szCs w:val="18"/>
        </w:rPr>
        <w:drawing>
          <wp:anchor distT="0" distB="0" distL="114300" distR="114300" simplePos="0" relativeHeight="251921408" behindDoc="0" locked="0" layoutInCell="1" allowOverlap="1" wp14:anchorId="40E1E3B5" wp14:editId="3437559D">
            <wp:simplePos x="0" y="0"/>
            <wp:positionH relativeFrom="column">
              <wp:posOffset>5080</wp:posOffset>
            </wp:positionH>
            <wp:positionV relativeFrom="paragraph">
              <wp:posOffset>431638</wp:posOffset>
            </wp:positionV>
            <wp:extent cx="2926080" cy="2286000"/>
            <wp:effectExtent l="0" t="0" r="7620" b="0"/>
            <wp:wrapTopAndBottom/>
            <wp:docPr id="16120844" name="Chart 16120844"/>
            <wp:cNvGraphicFramePr/>
            <a:graphic xmlns:a="http://schemas.openxmlformats.org/drawingml/2006/main">
              <a:graphicData uri="http://schemas.openxmlformats.org/drawingml/2006/chart">
                <c:chart xmlns:c="http://schemas.openxmlformats.org/drawingml/2006/chart" xmlns:r="http://schemas.openxmlformats.org/officeDocument/2006/relationships" r:id="rId65"/>
              </a:graphicData>
            </a:graphic>
            <wp14:sizeRelV relativeFrom="margin">
              <wp14:pctHeight>0</wp14:pctHeight>
            </wp14:sizeRelV>
          </wp:anchor>
        </w:drawing>
      </w:r>
      <w:r w:rsidRPr="00CB39D1">
        <w:rPr>
          <w:rFonts w:ascii="GHEA Grapalat" w:hAnsi="GHEA Grapalat"/>
          <w:bCs/>
          <w:sz w:val="20"/>
          <w:szCs w:val="18"/>
          <w:lang w:val="hy-AM"/>
        </w:rPr>
        <w:t>Գծապատկեր 2.6. ՀՀ կառավարության պարտքի դինամիկան և այն պայմանավորող գործոնները</w:t>
      </w:r>
      <w:r w:rsidRPr="00CB39D1">
        <w:rPr>
          <w:rFonts w:ascii="GHEA Grapalat" w:hAnsi="GHEA Grapalat"/>
          <w:b/>
          <w:sz w:val="18"/>
          <w:szCs w:val="16"/>
          <w:vertAlign w:val="superscript"/>
          <w:lang w:val="hy-AM"/>
        </w:rPr>
        <w:footnoteReference w:id="19"/>
      </w:r>
    </w:p>
    <w:p w14:paraId="0F6B4DED" w14:textId="77777777" w:rsidR="00CB39D1" w:rsidRPr="00CB39D1" w:rsidRDefault="00CB39D1" w:rsidP="00CB39D1">
      <w:pPr>
        <w:spacing w:after="0"/>
        <w:jc w:val="both"/>
        <w:rPr>
          <w:rFonts w:ascii="GHEA Grapalat" w:hAnsi="GHEA Grapalat"/>
          <w:szCs w:val="20"/>
          <w:lang w:val="hy-AM"/>
        </w:rPr>
      </w:pPr>
    </w:p>
    <w:p w14:paraId="22993BF7" w14:textId="77777777" w:rsidR="00CB39D1" w:rsidRPr="00CB39D1" w:rsidRDefault="00CB39D1" w:rsidP="00CB39D1">
      <w:pPr>
        <w:spacing w:before="0"/>
        <w:ind w:right="116"/>
        <w:jc w:val="right"/>
        <w:rPr>
          <w:i/>
          <w:color w:val="A6A6A6" w:themeColor="background1" w:themeShade="A6"/>
          <w:sz w:val="18"/>
          <w:lang w:val="hy-AM"/>
        </w:rPr>
      </w:pPr>
      <w:r w:rsidRPr="00CB39D1">
        <w:rPr>
          <w:i/>
          <w:color w:val="A6A6A6" w:themeColor="background1" w:themeShade="A6"/>
          <w:sz w:val="18"/>
          <w:lang w:val="hy-AM"/>
        </w:rPr>
        <w:t>Աղբյուրը՝ ՀՀ ՖՆ</w:t>
      </w:r>
    </w:p>
    <w:p w14:paraId="6B9E356A" w14:textId="77777777" w:rsidR="00CB39D1" w:rsidRPr="00CB39D1" w:rsidRDefault="00CB39D1" w:rsidP="00104E7A">
      <w:pPr>
        <w:pStyle w:val="Heading2"/>
        <w:rPr>
          <w:rFonts w:ascii="GHEA Grapalat" w:hAnsi="GHEA Grapalat"/>
          <w:color w:val="A5A6AC" w:themeColor="accent3" w:themeTint="99"/>
          <w:sz w:val="28"/>
          <w:szCs w:val="20"/>
          <w:lang w:val="hy-AM"/>
        </w:rPr>
      </w:pPr>
      <w:bookmarkStart w:id="273" w:name="_Toc215157680"/>
      <w:bookmarkEnd w:id="262"/>
      <w:bookmarkEnd w:id="263"/>
      <w:bookmarkEnd w:id="264"/>
      <w:bookmarkEnd w:id="265"/>
      <w:bookmarkEnd w:id="266"/>
      <w:r w:rsidRPr="00CB39D1">
        <w:rPr>
          <w:rFonts w:ascii="GHEA Grapalat" w:hAnsi="GHEA Grapalat"/>
          <w:color w:val="A5A6AC" w:themeColor="accent3" w:themeTint="99"/>
          <w:sz w:val="28"/>
          <w:szCs w:val="20"/>
          <w:lang w:val="hy-AM"/>
        </w:rPr>
        <w:t>2.3. ՀԱՐԿԱԲՅՈՒՋԵՏԱՅԻՆ ՌԻՍԿԵՐ</w:t>
      </w:r>
      <w:bookmarkEnd w:id="273"/>
    </w:p>
    <w:p w14:paraId="2F7416AD" w14:textId="77777777" w:rsidR="00CB39D1" w:rsidRPr="00CB39D1" w:rsidRDefault="00CB39D1" w:rsidP="00CB39D1">
      <w:pPr>
        <w:jc w:val="both"/>
        <w:rPr>
          <w:lang w:val="hy-AM"/>
        </w:rPr>
      </w:pPr>
      <w:r w:rsidRPr="00CB39D1">
        <w:rPr>
          <w:lang w:val="hy-AM"/>
        </w:rPr>
        <w:t>Հարկաբյուջետային կանխատեսումները հիմնված են մի շարք ենթադրությունների և հիմնական դատողությունների վրա, որոնց համար օգտագործվել է տվյալ պահի դրությամբ առկա և հասանելի ամբողջ տեղեկատվությունը: Ինչպես ցանկացած կանխատեսում, հարկաբյուջետային կանխատեսումները նույնպես պարունակում են ռիսկեր կապված նրա հետ, որ փաստացի իրադարձությունները կարող են տարբերվել սպասումներից: 2026 թվականի պետական բյուջեի հիմնական մակրոտնտեսական բնույթի հարկաբյուջետային ռիսկերը հետևյալն են.</w:t>
      </w:r>
    </w:p>
    <w:p w14:paraId="1396A55F" w14:textId="77777777" w:rsidR="00CB39D1" w:rsidRPr="00CB39D1" w:rsidRDefault="00CB39D1" w:rsidP="00CB39D1">
      <w:pPr>
        <w:jc w:val="both"/>
        <w:rPr>
          <w:rFonts w:ascii="GHEA Grapalat" w:hAnsi="GHEA Grapalat"/>
          <w:b/>
          <w:szCs w:val="20"/>
          <w:lang w:val="hy-AM"/>
        </w:rPr>
      </w:pPr>
      <w:r w:rsidRPr="00CB39D1">
        <w:rPr>
          <w:rFonts w:ascii="GHEA Grapalat" w:hAnsi="GHEA Grapalat"/>
          <w:b/>
          <w:szCs w:val="20"/>
          <w:lang w:val="hy-AM"/>
        </w:rPr>
        <w:t>Ներքին կամ արտաքին ցնցումների ներքո մակրոտնտեսական անբարենպաստ զարգացումների ռիսկ</w:t>
      </w:r>
    </w:p>
    <w:p w14:paraId="1552DBAC" w14:textId="77777777" w:rsidR="00CB39D1" w:rsidRPr="00CB39D1" w:rsidRDefault="00CB39D1" w:rsidP="00CB39D1">
      <w:pPr>
        <w:ind w:left="288"/>
        <w:jc w:val="both"/>
        <w:rPr>
          <w:lang w:val="hy-AM"/>
        </w:rPr>
      </w:pPr>
      <w:r w:rsidRPr="00CB39D1">
        <w:rPr>
          <w:lang w:val="hy-AM"/>
        </w:rPr>
        <w:t xml:space="preserve">«1.5. Մակրոտնտեսական կանխատեսումների ռիսկերը» բաժնում քննարկված՝ արտաքին կամ ներքին միջավայրից բխող ռիսկերը, ինչպես, օրինակ ռուս-ուկրաինական պատերազմի արդյունքում առաջացած դրական գործոնների չեզոքացումը և մարդկանց ու կապիտալի գրանցված հոսքերի հետշրջումը, տարածաշրջանային և աշխարհաքաղաքական լարվածությունների սրման պայմաններում ներմուծվող ռազմավարական ապրանքների գների հնարավոր բարձրացումը, ՀՀ ապրանքների արտահանման մատակարարումների լոգիստիկ խնդիրների խորացումը բացասաբար կանդրադառնան ֆինանսավորման պահանջի վրա՝ մի կողմից հանգեցնելով սպասվածից փոքր հարկման բազաների ձևավորման, մյուս կողմից՝ ծախսային ճնշումների մեծացման։ </w:t>
      </w:r>
    </w:p>
    <w:p w14:paraId="26C204C4" w14:textId="77777777" w:rsidR="00CB39D1" w:rsidRPr="00CB39D1" w:rsidRDefault="00CB39D1" w:rsidP="00CB39D1">
      <w:pPr>
        <w:jc w:val="both"/>
        <w:rPr>
          <w:rFonts w:ascii="GHEA Grapalat" w:hAnsi="GHEA Grapalat"/>
          <w:b/>
          <w:szCs w:val="20"/>
          <w:lang w:val="hy-AM"/>
        </w:rPr>
      </w:pPr>
      <w:r w:rsidRPr="00CB39D1">
        <w:rPr>
          <w:rFonts w:ascii="GHEA Grapalat" w:hAnsi="GHEA Grapalat"/>
          <w:b/>
          <w:szCs w:val="20"/>
          <w:lang w:val="hy-AM"/>
        </w:rPr>
        <w:t xml:space="preserve">Հարկեր/ՀՆԱ ցուցանիշի՝ հարկային վարչարարության ազդեցությամբ սպասվողից ավելի դանդաղ բարելավման ռիսկ։ </w:t>
      </w:r>
    </w:p>
    <w:p w14:paraId="7C3D9E47" w14:textId="77777777" w:rsidR="00CB39D1" w:rsidRPr="00CB39D1" w:rsidRDefault="00CB39D1" w:rsidP="00CB39D1">
      <w:pPr>
        <w:ind w:left="288"/>
        <w:jc w:val="both"/>
        <w:rPr>
          <w:lang w:val="hy-AM"/>
        </w:rPr>
      </w:pPr>
      <w:r w:rsidRPr="00CB39D1">
        <w:rPr>
          <w:lang w:val="hy-AM"/>
        </w:rPr>
        <w:t>Միջնաժամկետ հատվածի համար պլանավորված է հարկեր/ՀՆԱ բարելավումներում հարկային վարչարարության</w:t>
      </w:r>
      <w:r w:rsidRPr="00CB39D1">
        <w:rPr>
          <w:rFonts w:ascii="GHEA Grapalat" w:hAnsi="GHEA Grapalat"/>
          <w:szCs w:val="20"/>
          <w:lang w:val="hy-AM"/>
        </w:rPr>
        <w:t xml:space="preserve"> </w:t>
      </w:r>
      <w:r w:rsidRPr="00CB39D1">
        <w:rPr>
          <w:lang w:val="hy-AM"/>
        </w:rPr>
        <w:t>միջինում 0</w:t>
      </w:r>
      <w:r w:rsidRPr="00CB39D1">
        <w:rPr>
          <w:rFonts w:ascii="Cambria Math" w:hAnsi="Cambria Math" w:cs="Cambria Math"/>
          <w:lang w:val="hy-AM"/>
        </w:rPr>
        <w:t>․</w:t>
      </w:r>
      <w:r w:rsidRPr="00CB39D1">
        <w:rPr>
          <w:lang w:val="hy-AM"/>
        </w:rPr>
        <w:t xml:space="preserve">3%-ային կետ մասնակցություն 2025-2028 թվականներին։ Հարկային վարչարարության արդյունքում հարկեր/ՀՆԱ բարելավումները պետք է տեղի ունենան հարկային վարչարարության առկա ճեղքի նվազեցման հաշվին, որի վրա հարկային վարչարարության միջոցառումների ազդեցությունը ոչ գծային է, և այդ թվում՝ զգայուն տնտեսական պարբերաշրջանից։ </w:t>
      </w:r>
    </w:p>
    <w:p w14:paraId="62EE0A25" w14:textId="77777777" w:rsidR="00CB39D1" w:rsidRPr="00CB39D1" w:rsidRDefault="00CB39D1" w:rsidP="00CB39D1">
      <w:pPr>
        <w:jc w:val="both"/>
        <w:rPr>
          <w:rFonts w:ascii="GHEA Grapalat" w:hAnsi="GHEA Grapalat"/>
          <w:b/>
          <w:szCs w:val="20"/>
          <w:lang w:val="hy-AM"/>
        </w:rPr>
      </w:pPr>
      <w:r w:rsidRPr="00CB39D1">
        <w:rPr>
          <w:rFonts w:ascii="GHEA Grapalat" w:hAnsi="GHEA Grapalat"/>
          <w:b/>
          <w:szCs w:val="20"/>
          <w:lang w:val="hy-AM"/>
        </w:rPr>
        <w:t>Միջազգային ֆինանսական շուկաների անկայունության և ֆինանսավորման պայմանների վատթարացման ռիսկ:</w:t>
      </w:r>
    </w:p>
    <w:p w14:paraId="61080D20" w14:textId="77777777" w:rsidR="00CB39D1" w:rsidRPr="00CB39D1" w:rsidRDefault="00CB39D1" w:rsidP="00CB39D1">
      <w:pPr>
        <w:ind w:left="288"/>
        <w:jc w:val="both"/>
        <w:rPr>
          <w:lang w:val="hy-AM"/>
        </w:rPr>
      </w:pPr>
      <w:r w:rsidRPr="00CB39D1">
        <w:rPr>
          <w:lang w:val="hy-AM"/>
        </w:rPr>
        <w:t xml:space="preserve">Համաշխարհային տնտեսության հեռանկարների շուրջ անորոշությունը, այդ թվում՝ ԱՄՆ կողմից մաքսատուրքերի քաղաքականության շուրջ անորոշություններով, ինչպես նաև ռուս-ուկրաինական պատերազմի երկարումից բխող բացասական ազդեցություններով, իր արտացոլումն է գտնում համաշխարհային ֆինանսական շուկայի պայմաններում, հանգեցնելով տոկոսադրույքների ավելի բարձր հետագծի։ Զարգացած երկրներում տոկոսադրույքների սպասվող նվազեցման փոխարեն դրանց բարձր մակարդակի պահպանումը կամ հետագա աճը, ցածր եկամտային և զարգացող երկրներում պարտքային հիմնախնդիրների սրումը, համաշխարհային ֆինանսական շուկայում այլ ռիսկերի առարկայացումը կարող է վատթարացնել միջազգային ֆինանսական շուկաներից փոխառությունների պայմանները ՀՀ կառավարության համար և դժվարեցնել բյուջեի պակասուրդի ֆինանսավորումը։ Պարտքի կայունության և պարտքի կառավարման ռազմավարության իրականացման համար նման ռիսկերի շրջանակն արտացոլված է համապատասխան բաժիններում։  </w:t>
      </w:r>
    </w:p>
    <w:p w14:paraId="0CEC5CBE" w14:textId="77777777" w:rsidR="00CB39D1" w:rsidRPr="00CB39D1" w:rsidRDefault="00CB39D1" w:rsidP="00CB39D1">
      <w:pPr>
        <w:jc w:val="both"/>
        <w:rPr>
          <w:rFonts w:ascii="GHEA Grapalat" w:hAnsi="GHEA Grapalat"/>
          <w:b/>
          <w:szCs w:val="20"/>
          <w:lang w:val="hy-AM"/>
        </w:rPr>
      </w:pPr>
      <w:r w:rsidRPr="00CB39D1">
        <w:rPr>
          <w:rFonts w:ascii="GHEA Grapalat" w:hAnsi="GHEA Grapalat"/>
          <w:b/>
          <w:szCs w:val="20"/>
          <w:lang w:val="hy-AM"/>
        </w:rPr>
        <w:t>Լրացուցիչ ֆինանսավորման պահանջ առաջացնող այլ ներքին ռիսկեր։</w:t>
      </w:r>
    </w:p>
    <w:p w14:paraId="62AEAFE0" w14:textId="136E2FAB" w:rsidR="00CB39D1" w:rsidRPr="00CB39D1" w:rsidRDefault="00CB39D1" w:rsidP="00CB39D1">
      <w:pPr>
        <w:ind w:left="288"/>
        <w:jc w:val="both"/>
        <w:rPr>
          <w:rFonts w:ascii="GHEA Grapalat" w:hAnsi="GHEA Grapalat"/>
          <w:b/>
          <w:szCs w:val="20"/>
          <w:lang w:val="hy-AM"/>
        </w:rPr>
      </w:pPr>
      <w:r w:rsidRPr="00CB39D1">
        <w:rPr>
          <w:rFonts w:ascii="GHEA Grapalat" w:hAnsi="GHEA Grapalat"/>
          <w:szCs w:val="20"/>
          <w:lang w:val="hy-AM"/>
        </w:rPr>
        <w:t xml:space="preserve">Նման ռիսկերի շարքում են Ղարաբաղից բռնի տեղահանված անձանց՝ ՀՀ տնտեսությանը ինտեգրման դանդաղումը և աջակցության ծրագրերի երկարաձգումը, տարածաշրջանային անվտանգային միջավայրի վատթարացման պայմաններում անվտանգությանն ու պաշտպանությանն ուղղվող միջոցների ծավալի աճի լրացուցիչ կարիքի առաջացումը, արտահանելի հատվածի համար տնտեսական աջակցության լրացուցիչ ծրագրերի իրականացումը և այլ հնարավոր ծախսային ճնշումները։ </w:t>
      </w:r>
    </w:p>
    <w:p w14:paraId="629E0FD2" w14:textId="77777777" w:rsidR="00CB39D1" w:rsidRPr="00CB39D1" w:rsidRDefault="00CB39D1" w:rsidP="00CB39D1">
      <w:pPr>
        <w:jc w:val="both"/>
        <w:rPr>
          <w:rFonts w:ascii="GHEA Grapalat" w:hAnsi="GHEA Grapalat"/>
          <w:b/>
          <w:szCs w:val="20"/>
          <w:lang w:val="hy-AM"/>
        </w:rPr>
      </w:pPr>
    </w:p>
    <w:p w14:paraId="64D1D742" w14:textId="77777777" w:rsidR="00CB39D1" w:rsidRPr="00CB39D1" w:rsidRDefault="00CB39D1" w:rsidP="00CB39D1">
      <w:pPr>
        <w:jc w:val="both"/>
        <w:rPr>
          <w:rFonts w:ascii="GHEA Grapalat" w:hAnsi="GHEA Grapalat"/>
          <w:b/>
          <w:szCs w:val="20"/>
          <w:lang w:val="hy-AM"/>
        </w:rPr>
      </w:pPr>
      <w:r w:rsidRPr="00CB39D1">
        <w:rPr>
          <w:rFonts w:ascii="GHEA Grapalat" w:hAnsi="GHEA Grapalat"/>
          <w:b/>
          <w:szCs w:val="20"/>
          <w:lang w:val="hy-AM"/>
        </w:rPr>
        <w:t>Ծախսերի թերակատարում և ավելի թույլ խթանող ազդակի ձևավորում</w:t>
      </w:r>
    </w:p>
    <w:p w14:paraId="613BF55D" w14:textId="77777777" w:rsidR="00CB39D1" w:rsidRPr="00CB39D1" w:rsidRDefault="00CB39D1" w:rsidP="00CB39D1">
      <w:pPr>
        <w:ind w:left="432"/>
        <w:jc w:val="both"/>
        <w:rPr>
          <w:rFonts w:ascii="GHEA Grapalat" w:hAnsi="GHEA Grapalat"/>
          <w:b/>
          <w:szCs w:val="20"/>
          <w:lang w:val="hy-AM"/>
        </w:rPr>
      </w:pPr>
      <w:r w:rsidRPr="00CB39D1">
        <w:rPr>
          <w:rFonts w:ascii="GHEA Grapalat" w:hAnsi="GHEA Grapalat"/>
          <w:szCs w:val="20"/>
          <w:lang w:val="hy-AM"/>
        </w:rPr>
        <w:t xml:space="preserve">2026 թվականի պետական բյուջեի հարկաբյուջետային սցենարում նախատեսվել է կապիտալ ծախսերի կայունացում բարձր՝ ՀՆԱ շուրջ 6%-ի շրջանակներում: Սակայն հաշվի առնելով նախորդ տարիների փաստացի կատարողականները (չնայած այն հանգամանքին, որ առկա է եղել կատարողականների բարելավման միտում), առկա է ծրագրավորված ցուցանիշների թերակատարման ռիսկ, ինչը կարող է բացասական ազդեցություն ունենալ ինչպես ամբողջական պահանջարկի և ընթացիկ տնտեսական ցուցանիշների վրա, այնպես էլ ունենալ երկարաժամկետ ազդեցություններ տնտեսության ներուժի վրա։ </w:t>
      </w:r>
      <w:r w:rsidRPr="00CB39D1">
        <w:rPr>
          <w:rFonts w:ascii="GHEA Grapalat" w:hAnsi="GHEA Grapalat"/>
          <w:b/>
          <w:szCs w:val="20"/>
          <w:lang w:val="hy-AM"/>
        </w:rPr>
        <w:t>Հարկաբյուջետային շրջանակի հնարավոր փոփոխությունները մակրոտնտեսական կանխատեսումների շեղումների դեպքում և սթրես թեստերի ներքո</w:t>
      </w:r>
      <w:r w:rsidRPr="00CB39D1">
        <w:rPr>
          <w:rFonts w:ascii="GHEA Grapalat" w:hAnsi="GHEA Grapalat"/>
          <w:b/>
          <w:szCs w:val="20"/>
          <w:vertAlign w:val="superscript"/>
        </w:rPr>
        <w:footnoteReference w:id="20"/>
      </w:r>
      <w:r w:rsidRPr="00CB39D1">
        <w:rPr>
          <w:rFonts w:ascii="GHEA Grapalat" w:hAnsi="GHEA Grapalat"/>
          <w:b/>
          <w:szCs w:val="20"/>
          <w:vertAlign w:val="superscript"/>
          <w:lang w:val="hy-AM"/>
        </w:rPr>
        <w:t>.</w:t>
      </w:r>
    </w:p>
    <w:p w14:paraId="5440CA53" w14:textId="77777777" w:rsidR="00CB39D1" w:rsidRPr="00CB39D1" w:rsidRDefault="00CB39D1" w:rsidP="00CB39D1">
      <w:pPr>
        <w:jc w:val="both"/>
        <w:rPr>
          <w:rFonts w:ascii="GHEA Grapalat" w:hAnsi="GHEA Grapalat"/>
          <w:b/>
          <w:szCs w:val="20"/>
          <w:lang w:val="hy-AM"/>
        </w:rPr>
      </w:pPr>
      <w:r w:rsidRPr="00CB39D1">
        <w:rPr>
          <w:rFonts w:ascii="GHEA Grapalat" w:hAnsi="GHEA Grapalat"/>
          <w:b/>
          <w:szCs w:val="20"/>
          <w:lang w:val="hy-AM"/>
        </w:rPr>
        <w:t>Հարկային եկամուտներ</w:t>
      </w:r>
    </w:p>
    <w:p w14:paraId="549EAE50" w14:textId="77777777" w:rsidR="00CB39D1" w:rsidRPr="00CB39D1" w:rsidRDefault="00CB39D1" w:rsidP="00CB39D1">
      <w:pPr>
        <w:ind w:left="432"/>
        <w:jc w:val="both"/>
        <w:rPr>
          <w:rFonts w:ascii="GHEA Grapalat" w:hAnsi="GHEA Grapalat"/>
          <w:szCs w:val="20"/>
          <w:lang w:val="hy-AM"/>
        </w:rPr>
      </w:pPr>
      <w:r w:rsidRPr="00CB39D1">
        <w:rPr>
          <w:rFonts w:ascii="GHEA Grapalat" w:hAnsi="GHEA Grapalat"/>
          <w:szCs w:val="20"/>
          <w:lang w:val="hy-AM"/>
        </w:rPr>
        <w:t>2026թ. և միջնաժամկետ հորիզոնում ՀՀ պետական բյուջեի հարկային եկամուտների վրա գնահատվել են մակրոտնտեսական ցուցանիշների՝ իրական ՀՆԱ-ի աճի, գնաճի, փոխարժեքի տատանողականության և ներմուծման ռիսկերի շեղման ազդեցությունները: Հարկային եկամուտների վրա ազդող վերոնշյալ ռիսկերի միաժամանակյա ի հայտ գալու պարագայում հարկային եկամուտների ծրագրված մակարդակից առավելագույն շեղումը 2026-ի համար կկազմի շուրջ 52.6 մլրդ ՀՀ դրամ, իսկ 2027 և 2028 թթ.-ի համար համապատասխանաբար 78.3 մլրդ ՀՀ դրամ և 93.3 մլրդ ՀՀ դրամ</w:t>
      </w:r>
    </w:p>
    <w:p w14:paraId="66921CEF" w14:textId="77777777" w:rsidR="00CB39D1" w:rsidRPr="00CB39D1" w:rsidRDefault="00CB39D1" w:rsidP="00CB39D1">
      <w:pPr>
        <w:jc w:val="both"/>
        <w:rPr>
          <w:rFonts w:ascii="GHEA Grapalat" w:hAnsi="GHEA Grapalat"/>
          <w:b/>
          <w:szCs w:val="20"/>
          <w:lang w:val="hy-AM"/>
        </w:rPr>
      </w:pPr>
      <w:r w:rsidRPr="00CB39D1">
        <w:rPr>
          <w:rFonts w:ascii="GHEA Grapalat" w:hAnsi="GHEA Grapalat"/>
          <w:b/>
          <w:szCs w:val="20"/>
          <w:lang w:val="hy-AM"/>
        </w:rPr>
        <w:t>Պետական բյուջեի ծախսեր</w:t>
      </w:r>
    </w:p>
    <w:p w14:paraId="0E6CEFEB" w14:textId="095D5BC8" w:rsidR="00CB39D1" w:rsidRPr="00CB39D1" w:rsidRDefault="00CB39D1" w:rsidP="00CB39D1">
      <w:pPr>
        <w:ind w:left="432"/>
        <w:jc w:val="both"/>
        <w:rPr>
          <w:rFonts w:ascii="GHEA Grapalat" w:hAnsi="GHEA Grapalat"/>
          <w:szCs w:val="20"/>
          <w:lang w:val="hy-AM"/>
        </w:rPr>
      </w:pPr>
      <w:r w:rsidRPr="00CB39D1">
        <w:rPr>
          <w:rFonts w:ascii="GHEA Grapalat" w:hAnsi="GHEA Grapalat"/>
          <w:szCs w:val="20"/>
          <w:lang w:val="hy-AM"/>
        </w:rPr>
        <w:t xml:space="preserve">Կանխատեսումներում մեծ ուշադրություն է դարձվում նաև պետական բյուջեի ծախսերի պլանավորված մակարդակների ապահովումը խաթարող ռիսկերին, որոնք կարող են հանգեցնել լրացուցիչ ֆինանսավորման պահանջի առաջացման: ՀՀ պետական բյուջեի ծախսերի վրա գնահատված է մակրոտնտեսական ցուցանիշների՝ իրական ՀՆԱ-ի աճի, գնաճի, փոխարժեքի տատանողականության և ներմուծման, կանխատեսումներից շեղման, ինչպես նաև՝ հարկային քաղաքականության և վարչարարության պլանավորված ուղեգծից ավելի դանդաղ իրականացման ռիսկերի ամփոփ գնահատականը։ Նշված ռիսկերի միաժամանակյա ի հայտ գալու պարագայում 2026թ-ի ՀՀ պետական բյուջեի պակասուրդի լրացուցիչ ֆինանսավորման պահանջը առավելագույնը կկազմի շուրջ 51.8 մլրդ ՀՀ դրամ կամ ՀՆԱ-ի 0.4%-ը, իսկ 2027 և 2028 թթ.-ին կկազմի համապատասխանաբար 79.5 և 95.4 մլրդ ՀՀ դրամ կամ ՀՆԱ-ի 0.6-0.7%-ը: </w:t>
      </w:r>
      <w:r w:rsidRPr="00B46AEA">
        <w:rPr>
          <w:rFonts w:ascii="GHEA Grapalat" w:hAnsi="GHEA Grapalat"/>
          <w:b/>
          <w:szCs w:val="20"/>
          <w:lang w:val="hy-AM"/>
        </w:rPr>
        <w:t xml:space="preserve">Պետք է նշել, որ գնահատված ռիսկի չափը, առարկայացման դեպքում մասնակիորեն կկլանվի </w:t>
      </w:r>
      <w:r w:rsidR="00F722C7" w:rsidRPr="00B46AEA">
        <w:rPr>
          <w:rFonts w:ascii="GHEA Grapalat" w:hAnsi="GHEA Grapalat"/>
          <w:b/>
          <w:szCs w:val="20"/>
          <w:lang w:val="hy-AM"/>
        </w:rPr>
        <w:t>հարկաբյուջետային ռիսկերի կառավարման</w:t>
      </w:r>
      <w:r w:rsidRPr="00B46AEA">
        <w:rPr>
          <w:rFonts w:ascii="GHEA Grapalat" w:hAnsi="GHEA Grapalat"/>
          <w:b/>
          <w:szCs w:val="20"/>
          <w:lang w:val="hy-AM"/>
        </w:rPr>
        <w:t xml:space="preserve"> պահուստային ֆոնդով, որը </w:t>
      </w:r>
      <w:r w:rsidR="00F722C7" w:rsidRPr="00B46AEA">
        <w:rPr>
          <w:rFonts w:ascii="GHEA Grapalat" w:hAnsi="GHEA Grapalat"/>
          <w:b/>
          <w:szCs w:val="20"/>
          <w:lang w:val="hy-AM"/>
        </w:rPr>
        <w:t>2026թ. համար նախատեսված է 39.3 մլրդ դրամ, իսկ 2027</w:t>
      </w:r>
      <w:r w:rsidR="00B46AEA" w:rsidRPr="00B46AEA">
        <w:rPr>
          <w:rFonts w:ascii="GHEA Grapalat" w:hAnsi="GHEA Grapalat"/>
          <w:b/>
          <w:szCs w:val="20"/>
          <w:lang w:val="hy-AM"/>
        </w:rPr>
        <w:t>թ.</w:t>
      </w:r>
      <w:r w:rsidR="00F722C7" w:rsidRPr="00B46AEA">
        <w:rPr>
          <w:rFonts w:ascii="GHEA Grapalat" w:hAnsi="GHEA Grapalat"/>
          <w:b/>
          <w:szCs w:val="20"/>
          <w:lang w:val="hy-AM"/>
        </w:rPr>
        <w:t xml:space="preserve"> և 2028թ. համար, համապատասխանաբար, 57.7 և 71.6 մլրդ դրամ</w:t>
      </w:r>
      <w:r w:rsidR="00F722C7">
        <w:rPr>
          <w:rFonts w:ascii="GHEA Grapalat" w:hAnsi="GHEA Grapalat"/>
          <w:szCs w:val="20"/>
          <w:lang w:val="hy-AM"/>
        </w:rPr>
        <w:t xml:space="preserve">, </w:t>
      </w:r>
      <w:r w:rsidRPr="009C22CA">
        <w:rPr>
          <w:rFonts w:ascii="GHEA Grapalat" w:hAnsi="GHEA Grapalat"/>
          <w:szCs w:val="20"/>
          <w:lang w:val="hy-AM"/>
        </w:rPr>
        <w:t>իսկ լրացուցիչ մասը՝ կկլանվի ՀՀ կառավարության կողմից ապահովվող՝ նվազագույնը ՀՆԱ 1%-ի չափով իրացվելիության «բարձիկի» միջոցով։</w:t>
      </w:r>
      <w:r w:rsidRPr="00CB39D1">
        <w:rPr>
          <w:rFonts w:ascii="GHEA Grapalat" w:hAnsi="GHEA Grapalat"/>
          <w:szCs w:val="20"/>
          <w:lang w:val="hy-AM"/>
        </w:rPr>
        <w:t xml:space="preserve"> </w:t>
      </w:r>
    </w:p>
    <w:p w14:paraId="043CBDDA" w14:textId="77777777" w:rsidR="00CB39D1" w:rsidRPr="00CB39D1" w:rsidRDefault="00CB39D1" w:rsidP="00CB39D1">
      <w:pPr>
        <w:ind w:left="432"/>
        <w:jc w:val="both"/>
        <w:rPr>
          <w:rFonts w:ascii="GHEA Grapalat" w:hAnsi="GHEA Grapalat"/>
          <w:szCs w:val="20"/>
          <w:lang w:val="hy-AM"/>
        </w:rPr>
      </w:pPr>
      <w:r w:rsidRPr="00CB39D1">
        <w:rPr>
          <w:rFonts w:ascii="GHEA Grapalat" w:hAnsi="GHEA Grapalat"/>
          <w:b/>
          <w:szCs w:val="20"/>
          <w:lang w:val="hy-AM"/>
        </w:rPr>
        <w:t>Ամփոփելով հարկաբյուջետային ռիսկերի նկարագրությունը կարող ենք նշել, որ 2026-2028թթ. հարկաբյուջետային շրջանակի հիմնական ռիսկերը վերաբերում են մակրոտնտեսական անբարենպաստ զարգացումներին, հարկային եկամուտներ/ՀՆԱ ցուցանիշի թիրախավորված բարելավումների ոչ ամբողջական ապահովմանը, միջազգային ֆինանսական շուկաների իրավիճակի վատթարացմանը և ՀՀ կառավարության փոխառության հնարավորությունների սահմանափակմանը, լրացուցիչ ծախսային կարիքների առաջացմանը, ծախսերի թերակատարմանը և ավելի թույլ խթանող ազդակի ձևավորմանը։</w:t>
      </w:r>
      <w:r w:rsidRPr="00CB39D1">
        <w:rPr>
          <w:rFonts w:ascii="GHEA Grapalat" w:hAnsi="GHEA Grapalat"/>
          <w:szCs w:val="20"/>
          <w:lang w:val="hy-AM"/>
        </w:rPr>
        <w:t xml:space="preserve"> Սցենարային վերլուծության միջոցով նշված ռիսկերին տրվել է քանակական արտահայտություն, և դրանց կառավարման համար ձեռնարկվել են համարժեք միջոցառումներ՝ պետական բյուջեում պահուստային ֆոնդերի ձևավորմամբ։ Մասնավորապես, 2026թ</w:t>
      </w:r>
      <w:r w:rsidRPr="00CB39D1">
        <w:rPr>
          <w:rFonts w:ascii="Cambria Math" w:hAnsi="Cambria Math" w:cs="Cambria Math"/>
          <w:szCs w:val="20"/>
          <w:lang w:val="hy-AM"/>
        </w:rPr>
        <w:t>․</w:t>
      </w:r>
      <w:r w:rsidRPr="00CB39D1">
        <w:rPr>
          <w:rFonts w:ascii="GHEA Grapalat" w:hAnsi="GHEA Grapalat"/>
          <w:szCs w:val="20"/>
          <w:lang w:val="hy-AM"/>
        </w:rPr>
        <w:t>-ի համար մակրոտնտեսական ռիսկերի կառավարման նպատակով սահմանվել է 39.3 մլրդ դրամի պահուստային ֆոնդ, 2027թ</w:t>
      </w:r>
      <w:r w:rsidRPr="00CB39D1">
        <w:rPr>
          <w:rFonts w:ascii="Cambria Math" w:hAnsi="Cambria Math" w:cs="Cambria Math"/>
          <w:szCs w:val="20"/>
          <w:lang w:val="hy-AM"/>
        </w:rPr>
        <w:t>․</w:t>
      </w:r>
      <w:r w:rsidRPr="00CB39D1">
        <w:rPr>
          <w:rFonts w:ascii="GHEA Grapalat" w:hAnsi="GHEA Grapalat"/>
          <w:szCs w:val="20"/>
          <w:lang w:val="hy-AM"/>
        </w:rPr>
        <w:t>-ի համար՝ 57.7 մլրդ դրամ, իսկ 2028թ</w:t>
      </w:r>
      <w:r w:rsidRPr="00CB39D1">
        <w:rPr>
          <w:rFonts w:ascii="Cambria Math" w:hAnsi="Cambria Math" w:cs="Cambria Math"/>
          <w:szCs w:val="20"/>
          <w:lang w:val="hy-AM"/>
        </w:rPr>
        <w:t>․</w:t>
      </w:r>
      <w:r w:rsidRPr="00CB39D1">
        <w:rPr>
          <w:rFonts w:ascii="GHEA Grapalat" w:hAnsi="GHEA Grapalat"/>
          <w:szCs w:val="20"/>
          <w:lang w:val="hy-AM"/>
        </w:rPr>
        <w:t>-ի համար՝ 71.6 մլրդ դրամ։ Միաժամանակ, այլ ռիսկերի նկատմամբ դիմակայունության ապահովման համար գանձապետական կայունացման հաշվում նախատեսվում է ապահովել ՀՆԱ առնվազն 1% չափով «իրացվելիության բարձիկի»։ Այս միջոցառումները հնարավորություն կտան ապահովել պետական բյուջեի դիմադրողականությունը հնարավոր ցնցումների նկատմամբ։</w:t>
      </w:r>
    </w:p>
    <w:p w14:paraId="294BFF81" w14:textId="77777777" w:rsidR="00CB39D1" w:rsidRPr="00CB39D1" w:rsidRDefault="00CB39D1" w:rsidP="00CB39D1">
      <w:pPr>
        <w:ind w:left="432"/>
        <w:jc w:val="both"/>
        <w:rPr>
          <w:rFonts w:ascii="GHEA Grapalat" w:hAnsi="GHEA Grapalat"/>
          <w:szCs w:val="20"/>
          <w:lang w:val="hy-AM"/>
        </w:rPr>
      </w:pPr>
      <w:r w:rsidRPr="00CB39D1">
        <w:rPr>
          <w:rFonts w:ascii="GHEA Grapalat" w:hAnsi="GHEA Grapalat"/>
          <w:szCs w:val="20"/>
          <w:lang w:val="hy-AM"/>
        </w:rPr>
        <w:t xml:space="preserve">Միաժամանակ, տարբեր ռիսկերի առարկայացման պարագայում կառավարությունը կկիրառի հասանելի գործիքները եկամտային ներուժի բարձրացման նպատակով (այդ թվում՝ հարկային վարչարարության լրացուցիչ գործիքների կիրառում), կճշգրտվեն ծախսային առաջնահերթություններն ու շրջանակը, իսկ հարկաբյուջետային կայունության ռիսկերի առարկայացման դեպքում՝ կվերանայվի հարկաբյուջետային շրջանակը։ </w:t>
      </w:r>
    </w:p>
    <w:p w14:paraId="6395D140" w14:textId="77777777" w:rsidR="00CB39D1" w:rsidRPr="00CB39D1" w:rsidRDefault="00CB39D1" w:rsidP="00104E7A">
      <w:pPr>
        <w:pStyle w:val="Heading2"/>
        <w:rPr>
          <w:rFonts w:ascii="GHEA Grapalat" w:hAnsi="GHEA Grapalat"/>
          <w:color w:val="A5A6AC" w:themeColor="accent3" w:themeTint="99"/>
          <w:sz w:val="28"/>
          <w:szCs w:val="20"/>
          <w:lang w:val="hy-AM"/>
        </w:rPr>
      </w:pPr>
      <w:bookmarkStart w:id="274" w:name="_Toc178356574"/>
      <w:bookmarkStart w:id="275" w:name="_Toc170926309"/>
      <w:bookmarkStart w:id="276" w:name="_Toc170750548"/>
      <w:bookmarkStart w:id="277" w:name="_Toc138956190"/>
      <w:bookmarkStart w:id="278" w:name="_Toc107428585"/>
      <w:bookmarkStart w:id="279" w:name="_Toc178612096"/>
      <w:bookmarkStart w:id="280" w:name="_Toc183801080"/>
      <w:bookmarkStart w:id="281" w:name="_Toc215157681"/>
      <w:r w:rsidRPr="00CB39D1">
        <w:rPr>
          <w:rFonts w:ascii="GHEA Grapalat" w:hAnsi="GHEA Grapalat"/>
          <w:color w:val="A5A6AC" w:themeColor="accent3" w:themeTint="99"/>
          <w:sz w:val="28"/>
          <w:szCs w:val="20"/>
          <w:lang w:val="hy-AM"/>
        </w:rPr>
        <w:t>2.4. ՀԱՐԿԱԲՅՈՒՋԵՏԱՅԻՆ ՔԱՂԱՔԱԿԱՆՈՒԹՅԱՆ ՀԱՄԱՊԱՏԱՍԽԱՆՈՒԹՅՈՒՆԸ ՀԱՐԿԱԲՅՈՒՋԵՏԱՅԻՆ ԿԱՆՈՆՆԵՐԻՆ</w:t>
      </w:r>
      <w:bookmarkEnd w:id="274"/>
      <w:bookmarkEnd w:id="275"/>
      <w:bookmarkEnd w:id="276"/>
      <w:bookmarkEnd w:id="277"/>
      <w:bookmarkEnd w:id="278"/>
      <w:bookmarkEnd w:id="279"/>
      <w:bookmarkEnd w:id="280"/>
      <w:bookmarkEnd w:id="281"/>
    </w:p>
    <w:p w14:paraId="058978D8" w14:textId="677784CF" w:rsidR="00CB39D1" w:rsidRPr="004A3867" w:rsidRDefault="00CB39D1" w:rsidP="00CB39D1">
      <w:pPr>
        <w:ind w:left="432"/>
        <w:jc w:val="both"/>
        <w:rPr>
          <w:rFonts w:ascii="GHEA Grapalat" w:hAnsi="GHEA Grapalat"/>
          <w:szCs w:val="20"/>
          <w:lang w:val="hy-AM"/>
        </w:rPr>
      </w:pPr>
      <w:r w:rsidRPr="00CB39D1">
        <w:rPr>
          <w:rFonts w:ascii="GHEA Grapalat" w:hAnsi="GHEA Grapalat"/>
          <w:szCs w:val="20"/>
          <w:lang w:val="hy-AM"/>
        </w:rPr>
        <w:t>ՀՀ հարկաբյուջետային կանոնների ներկա համակարգը գործարկվել է ՀՀ Ազգային ժողովի կողմից 2017 թ. դեկտեմբերի 20-ին ՀՀ բյուջետային համակարգի մասին և Պետական պա</w:t>
      </w:r>
      <w:r w:rsidR="00EB5FF9">
        <w:rPr>
          <w:rFonts w:ascii="GHEA Grapalat" w:hAnsi="GHEA Grapalat"/>
          <w:szCs w:val="20"/>
          <w:lang w:val="hy-AM"/>
        </w:rPr>
        <w:t>ր</w:t>
      </w:r>
      <w:r w:rsidRPr="00CB39D1">
        <w:rPr>
          <w:rFonts w:ascii="GHEA Grapalat" w:hAnsi="GHEA Grapalat"/>
          <w:szCs w:val="20"/>
          <w:lang w:val="hy-AM"/>
        </w:rPr>
        <w:t>տքի մասին ՀՀ օրենքներում փոփոխություններ և լրացումն</w:t>
      </w:r>
      <w:r w:rsidRPr="00CB39D1">
        <w:rPr>
          <w:rFonts w:ascii="GHEA Grapalat" w:hAnsi="GHEA Grapalat"/>
          <w:szCs w:val="20"/>
          <w:lang w:val="hy-AM"/>
        </w:rPr>
        <w:softHyphen/>
        <w:t xml:space="preserve">եր կատարող օրենքների, ինչպես նաև ՀՀ Կառավարության՝ 2018 թ. օգոստոսի 23-ի N 942-Ն որոշման ընդունմամբ: Կանոնների համակարգը ներառում է ծախսային կանոններ, որոնք ուժի մեջ են մտնում պարտքի սահմանված շեմերը գերազանցելիս։ </w:t>
      </w:r>
      <w:r w:rsidRPr="004A3867">
        <w:rPr>
          <w:rFonts w:ascii="GHEA Grapalat" w:hAnsi="GHEA Grapalat"/>
          <w:szCs w:val="20"/>
          <w:lang w:val="hy-AM"/>
        </w:rPr>
        <w:t>Մասնավորապես.</w:t>
      </w:r>
    </w:p>
    <w:p w14:paraId="05ED9BDD" w14:textId="77777777" w:rsidR="00CB39D1" w:rsidRPr="009C0506" w:rsidRDefault="00CB39D1" w:rsidP="00CB39D1">
      <w:pPr>
        <w:numPr>
          <w:ilvl w:val="0"/>
          <w:numId w:val="24"/>
        </w:numPr>
        <w:jc w:val="both"/>
        <w:rPr>
          <w:rFonts w:ascii="GHEA Grapalat" w:hAnsi="GHEA Grapalat"/>
          <w:szCs w:val="20"/>
          <w:lang w:val="hy-AM"/>
        </w:rPr>
      </w:pPr>
      <w:r w:rsidRPr="009C0506">
        <w:rPr>
          <w:rFonts w:ascii="GHEA Grapalat" w:hAnsi="GHEA Grapalat"/>
          <w:szCs w:val="20"/>
          <w:lang w:val="hy-AM"/>
        </w:rPr>
        <w:t>Երբ ՀՀ կառավարության պարտք/ՀՆԱ հարաբերակցությունը գերազանցում է 40%-ը, պետական բյուջեի կապիտալ ծախսերը չպետք է փոքր լինեն բյուջեի պակասուրդից:</w:t>
      </w:r>
    </w:p>
    <w:p w14:paraId="078112E7" w14:textId="77777777" w:rsidR="00CB39D1" w:rsidRPr="009C0506" w:rsidRDefault="00CB39D1" w:rsidP="00CB39D1">
      <w:pPr>
        <w:numPr>
          <w:ilvl w:val="0"/>
          <w:numId w:val="24"/>
        </w:numPr>
        <w:jc w:val="both"/>
        <w:rPr>
          <w:rFonts w:ascii="GHEA Grapalat" w:hAnsi="GHEA Grapalat"/>
          <w:szCs w:val="20"/>
          <w:lang w:val="hy-AM"/>
        </w:rPr>
      </w:pPr>
      <w:r w:rsidRPr="009C0506">
        <w:rPr>
          <w:rFonts w:ascii="GHEA Grapalat" w:hAnsi="GHEA Grapalat"/>
          <w:szCs w:val="20"/>
          <w:lang w:val="hy-AM"/>
        </w:rPr>
        <w:t>ՀՀ կառավարության պարտք/ՀՆԱ 50-60% միջակայքում ընթացիկ առաջնային ծախսերի աճի տեմպը սահմանափակվում է նախորդ 7 տարիների ՀՆԱ-ների միջին աճով, ինչպես նաև հաջորդ տարում կազմվող պետական միջնաժամկետ ծախսերի ծրագրում ՀՀ կառավարությունը ներկայացնում է միջոցառումների ծրագիր՝ համախառն ներքին արդյունքի նկատմամբ ՀՀ կառավարության պարտքի մակարդակի կանխատեսվող հետագիծը 5 տարիների ընթացքում 50 տոկոսից նվազեցնելու համար:</w:t>
      </w:r>
    </w:p>
    <w:p w14:paraId="7DBEE26F" w14:textId="77777777" w:rsidR="00CB39D1" w:rsidRPr="009C0506" w:rsidRDefault="00CB39D1" w:rsidP="00CB39D1">
      <w:pPr>
        <w:numPr>
          <w:ilvl w:val="0"/>
          <w:numId w:val="24"/>
        </w:numPr>
        <w:jc w:val="both"/>
        <w:rPr>
          <w:rFonts w:ascii="GHEA Grapalat" w:hAnsi="GHEA Grapalat"/>
          <w:szCs w:val="20"/>
          <w:lang w:val="hy-AM"/>
        </w:rPr>
      </w:pPr>
      <w:r w:rsidRPr="009C0506">
        <w:rPr>
          <w:rFonts w:ascii="GHEA Grapalat" w:hAnsi="GHEA Grapalat"/>
          <w:szCs w:val="20"/>
          <w:lang w:val="hy-AM"/>
        </w:rPr>
        <w:t xml:space="preserve">Երբ ՀՀ կառավարության պարտքը գերազանցում է ՀՆԱ 60%-ը, ընթացիկ առաջնային ծախսերի աճի տեմպը սահմանափակվում է նախորդ 7 տարիների ՀՆԱ-ների միջին աճից 0.5 տոկոսային կետով նվազեցված ցուցանիշով, ընթացիկ ծախսերը սահմանափակվում են հարկերի և տուրքերի մեծությամբ, ինչպես նաև ՀՀ կառավարությունը Ազգային ժողովի ֆինանսավարկային և բյուջետային ու տնտեսական հարցերի մշտական հանձնաժողովների քննարկմանը ներկայացնում է միջոցառումների ծրագիր՝ ՀՆԱ նկատմամբ ՀՀ կառավարության պարտքի մակարդակի կանխատեսվող հետագիծը 5 տարիների ընթացքում 60 տոկոսից նվազեցնելու համար: </w:t>
      </w:r>
    </w:p>
    <w:p w14:paraId="1F01B735" w14:textId="77777777" w:rsidR="00CB39D1" w:rsidRPr="009C0506" w:rsidRDefault="00CB39D1" w:rsidP="00CB39D1">
      <w:pPr>
        <w:numPr>
          <w:ilvl w:val="0"/>
          <w:numId w:val="24"/>
        </w:numPr>
        <w:jc w:val="both"/>
        <w:rPr>
          <w:rFonts w:ascii="GHEA Grapalat" w:hAnsi="GHEA Grapalat"/>
          <w:szCs w:val="20"/>
          <w:lang w:val="hy-AM"/>
        </w:rPr>
      </w:pPr>
      <w:r w:rsidRPr="009C0506">
        <w:rPr>
          <w:rFonts w:ascii="GHEA Grapalat" w:hAnsi="GHEA Grapalat"/>
          <w:szCs w:val="20"/>
          <w:lang w:val="hy-AM"/>
        </w:rPr>
        <w:t>Ներկայացված սահմանափակումները չեն գործում ՀՀ կառավարության որոշմամբ սահմանված բացառիկ դեպքերում՝ ելնելով խոշորածավալ տարերային և տեխնածին աղետների, պատերազմական գործողությունների, տնտեսությունը խաղաղ ժամանակաշրջանից պատերազմական ժամանակաշրջանի փոխադրման, տնտեսական ցնցման հանգամանքներով պայմանավորված բացասական տնտեսական զարգացումների պարագայում:</w:t>
      </w:r>
    </w:p>
    <w:p w14:paraId="1FDE41E6" w14:textId="77777777" w:rsidR="00CB39D1" w:rsidRPr="00867F9E" w:rsidRDefault="00CB39D1" w:rsidP="00CB39D1">
      <w:pPr>
        <w:ind w:left="432"/>
        <w:jc w:val="both"/>
        <w:rPr>
          <w:rFonts w:ascii="GHEA Grapalat" w:hAnsi="GHEA Grapalat"/>
          <w:szCs w:val="20"/>
          <w:lang w:val="hy-AM"/>
        </w:rPr>
      </w:pPr>
      <w:r w:rsidRPr="009C0506">
        <w:rPr>
          <w:rFonts w:ascii="GHEA Grapalat" w:hAnsi="GHEA Grapalat"/>
          <w:b/>
          <w:szCs w:val="20"/>
          <w:lang w:val="hy-AM"/>
        </w:rPr>
        <w:t>2021-2024 թվականներին հարկաբյուջետային քաղաքականությունը աստիճանաբար վերադարձել է բնականոն իրավիճակների համար գործող կանոններին համապատասխանության տիրույթ` COVID-19 համավարակի և 44-օրյա պատերազմի տնտեսական և հարկաբյուջետային հետևանքների ազդեցությամբ «բացառիկ դեպքի» կարգավորումների ակտիվացումից հետո։</w:t>
      </w:r>
      <w:r w:rsidRPr="009C0506">
        <w:rPr>
          <w:rFonts w:ascii="GHEA Grapalat" w:hAnsi="GHEA Grapalat"/>
          <w:szCs w:val="20"/>
          <w:lang w:val="hy-AM"/>
        </w:rPr>
        <w:t xml:space="preserve"> </w:t>
      </w:r>
      <w:r w:rsidRPr="00867F9E">
        <w:rPr>
          <w:rFonts w:ascii="GHEA Grapalat" w:hAnsi="GHEA Grapalat"/>
          <w:szCs w:val="20"/>
          <w:lang w:val="hy-AM"/>
        </w:rPr>
        <w:t>Ընդ որում, 2021թ</w:t>
      </w:r>
      <w:r w:rsidRPr="00867F9E">
        <w:rPr>
          <w:rFonts w:ascii="Cambria Math" w:hAnsi="Cambria Math" w:cs="Cambria Math"/>
          <w:szCs w:val="20"/>
          <w:lang w:val="hy-AM"/>
        </w:rPr>
        <w:t>․</w:t>
      </w:r>
      <w:r w:rsidRPr="00867F9E">
        <w:rPr>
          <w:rFonts w:ascii="GHEA Grapalat" w:hAnsi="GHEA Grapalat"/>
          <w:szCs w:val="20"/>
          <w:lang w:val="hy-AM"/>
        </w:rPr>
        <w:t xml:space="preserve">-ին, այդ հետևանքների ոչ ամբողջական հաղթահարման պայմաններում «բացառիկ դեպքի» կարգավորումները պահպանվել են, սակայն կառավարությունը կրճատել է կանոններից շեղման չափերը։ </w:t>
      </w:r>
    </w:p>
    <w:p w14:paraId="2C92DFA2" w14:textId="3962C022" w:rsidR="00CB39D1" w:rsidRPr="00F76E1D" w:rsidRDefault="00CB39D1" w:rsidP="00CB39D1">
      <w:pPr>
        <w:ind w:left="432"/>
        <w:jc w:val="both"/>
        <w:rPr>
          <w:rFonts w:ascii="GHEA Grapalat" w:hAnsi="GHEA Grapalat"/>
          <w:szCs w:val="20"/>
          <w:lang w:val="hy-AM"/>
        </w:rPr>
      </w:pPr>
      <w:r w:rsidRPr="00F76E1D">
        <w:rPr>
          <w:rFonts w:ascii="GHEA Grapalat" w:hAnsi="GHEA Grapalat"/>
          <w:szCs w:val="20"/>
          <w:lang w:val="hy-AM"/>
        </w:rPr>
        <w:t>2022թ.-ին արդեն կապիտալ ծախսերի կանոնին համապատասխանությունը վերականգնվել է, և պետական բյուջեի կապիտալ ծախսերը գերազանցել են պետական բյուջեի պակասուրդը շուրջ 201 մլրդ դրամով, իսկ ընթացիկ առաջնային ծախսերի շեղման չափը կանոնից կրճատվել է 30 մլրդ դրամ</w:t>
      </w:r>
      <w:r w:rsidR="00EB5FF9">
        <w:rPr>
          <w:rFonts w:ascii="GHEA Grapalat" w:hAnsi="GHEA Grapalat"/>
          <w:szCs w:val="20"/>
          <w:lang w:val="hy-AM"/>
        </w:rPr>
        <w:t>ով</w:t>
      </w:r>
      <w:r w:rsidRPr="00F76E1D">
        <w:rPr>
          <w:rFonts w:ascii="GHEA Grapalat" w:hAnsi="GHEA Grapalat"/>
          <w:szCs w:val="20"/>
          <w:lang w:val="hy-AM"/>
        </w:rPr>
        <w:t xml:space="preserve">։ 2023 թվականին պետական բյուջեի կապիտալ ծախսերը գերազանցել են պետական բյուջեի պակասուրդը շուրջ 283.7 մլրդ դրամով, իսկ ընթացիկ առաջնային ծախսերի շեղման չափը կանոնից կազմել է 42.6 մլրդ դրամ։ Կարևոր է նշել, որ ընթացիկ ծախսերի մասով շեղումները գրանցվել են տարվա ընթացքում պետական բյուջեի եկամուտների պլանի բարձրացման պայմաններում՝ համապատասխան տարիների պետական բյուջեի մասին օրենքի դրույթներին (ինչը թույլ է տալիս ավելացնել ծախսերը հարկային եկամուտների ավելացման պարագայում), բացի այդ՝ պլանավորված մակարդակից ծախսերի ավելացումները հիմնականում միանգամյա ծախսերի բնույթ են կրել և չեն ենթադրել երկարաժամկետ ծախսային պարտավորությունների բեռի ավելացում (օրինակ՝ </w:t>
      </w:r>
      <w:r w:rsidR="0055404A">
        <w:rPr>
          <w:rFonts w:ascii="GHEA Grapalat" w:hAnsi="GHEA Grapalat"/>
          <w:szCs w:val="20"/>
          <w:lang w:val="hy-AM"/>
        </w:rPr>
        <w:t>Ղարաբաղից</w:t>
      </w:r>
      <w:r w:rsidRPr="00F76E1D">
        <w:rPr>
          <w:rFonts w:ascii="GHEA Grapalat" w:hAnsi="GHEA Grapalat"/>
          <w:szCs w:val="20"/>
          <w:lang w:val="hy-AM"/>
        </w:rPr>
        <w:t xml:space="preserve"> բռնի տեղահանված անձանց սոցիալական կարիքների ուղղությամբ կատարված ծախսերը), ինչի արդյունքում հաշվարկված շեղումը գնահատվում է որպես երկարաժամկետ ճնշումներ չառաջացնող և հարկաբյուջետային կայունության տեսակետից վտանգներ չի ստեղծում։</w:t>
      </w:r>
    </w:p>
    <w:p w14:paraId="199A23D8" w14:textId="77777777" w:rsidR="00CB39D1" w:rsidRPr="002C5ABD" w:rsidRDefault="00CB39D1" w:rsidP="00CB39D1">
      <w:pPr>
        <w:ind w:left="432"/>
        <w:jc w:val="both"/>
        <w:rPr>
          <w:lang w:val="hy-AM"/>
        </w:rPr>
      </w:pPr>
      <w:r w:rsidRPr="002C5ABD">
        <w:rPr>
          <w:lang w:val="hy-AM"/>
        </w:rPr>
        <w:t xml:space="preserve">Միաժամանակ, կառավարությունը վերականգնել է համապատասխանությունը նաև պարտքի կանոնին, հաշվի առնելով, որ 2022թ.-ի վերջի դրությամբ ՀՀ կառավարության պարտք/ՀՆԱ հարաբերակցությունը կազմել է 46.7%, իսկ 2023 </w:t>
      </w:r>
      <w:r w:rsidRPr="00CB39D1">
        <w:rPr>
          <w:lang w:val="hy-AM"/>
        </w:rPr>
        <w:t xml:space="preserve">և 2024 </w:t>
      </w:r>
      <w:r w:rsidRPr="002C5ABD">
        <w:rPr>
          <w:lang w:val="hy-AM"/>
        </w:rPr>
        <w:t>թ</w:t>
      </w:r>
      <w:r w:rsidRPr="00CB39D1">
        <w:rPr>
          <w:lang w:val="hy-AM"/>
        </w:rPr>
        <w:t>թ</w:t>
      </w:r>
      <w:r w:rsidRPr="002C5ABD">
        <w:rPr>
          <w:rFonts w:ascii="Cambria Math" w:hAnsi="Cambria Math" w:cs="Cambria Math"/>
          <w:lang w:val="hy-AM"/>
        </w:rPr>
        <w:t>․</w:t>
      </w:r>
      <w:r w:rsidRPr="002C5ABD">
        <w:rPr>
          <w:lang w:val="hy-AM"/>
        </w:rPr>
        <w:t>-ի վերջին՝</w:t>
      </w:r>
      <w:r w:rsidRPr="00CB39D1">
        <w:rPr>
          <w:lang w:val="hy-AM"/>
        </w:rPr>
        <w:t xml:space="preserve"> համապատասխանաբար</w:t>
      </w:r>
      <w:r w:rsidRPr="002C5ABD">
        <w:rPr>
          <w:lang w:val="hy-AM"/>
        </w:rPr>
        <w:t xml:space="preserve"> 48</w:t>
      </w:r>
      <w:r w:rsidRPr="002C5ABD">
        <w:rPr>
          <w:rFonts w:ascii="Cambria Math" w:hAnsi="Cambria Math" w:cs="Cambria Math"/>
          <w:lang w:val="hy-AM"/>
        </w:rPr>
        <w:t>․</w:t>
      </w:r>
      <w:r w:rsidRPr="002C5ABD">
        <w:rPr>
          <w:lang w:val="hy-AM"/>
        </w:rPr>
        <w:t>2%</w:t>
      </w:r>
      <w:r w:rsidRPr="00CB39D1">
        <w:rPr>
          <w:lang w:val="hy-AM"/>
        </w:rPr>
        <w:t xml:space="preserve"> և 48</w:t>
      </w:r>
      <w:r w:rsidRPr="002C5ABD">
        <w:rPr>
          <w:lang w:val="hy-AM"/>
        </w:rPr>
        <w:t>.0%` ցածր լինելով 50%-ի շեմից՝ այդպիսով ոչ միայն ապահովելով ՀՀ կառավարության պարտքի նվազեցման 2022-2026թթ. վերանայված ծրագրի թիրախը, այլ նաև նվազեցնելով պարտքը դեպի ապահով մակարդակներ։</w:t>
      </w:r>
    </w:p>
    <w:p w14:paraId="495DCEB7" w14:textId="77777777" w:rsidR="00CB39D1" w:rsidRPr="002C5ABD" w:rsidRDefault="00CB39D1" w:rsidP="00CB39D1">
      <w:pPr>
        <w:ind w:left="432"/>
        <w:jc w:val="both"/>
        <w:rPr>
          <w:lang w:val="hy-AM"/>
        </w:rPr>
      </w:pPr>
      <w:r w:rsidRPr="002C5ABD">
        <w:rPr>
          <w:b/>
          <w:bCs/>
          <w:lang w:val="hy-AM"/>
        </w:rPr>
        <w:t>2024 թվականից հարկաբյուջետային քաղաքականությունը մուտք է գործել կանոններով սահմանափակման առավել մեղմ տիրույթ։</w:t>
      </w:r>
      <w:r w:rsidRPr="002C5ABD">
        <w:rPr>
          <w:lang w:val="hy-AM"/>
        </w:rPr>
        <w:t xml:space="preserve"> Կառավարության պարտք/ՀՆԱ ցուցանիշի նվազումը հարկաբյուջետային քաղաքականությունը տեղափոխել է կանոններով սահմանափակման առավել մեղմ ռեժիմների՝ թույլ տալով վարել առավել ճկուն հարկաբյուջետային քաղաքականություն ընթացիկ ծախսերի մասով, սակայն պահպանելով «ոսկե կանոններին» համապատասխանությունը։ </w:t>
      </w:r>
    </w:p>
    <w:p w14:paraId="2ED013A1" w14:textId="77777777" w:rsidR="00CB39D1" w:rsidRPr="00CB39D1" w:rsidRDefault="00CB39D1" w:rsidP="00CB39D1">
      <w:pPr>
        <w:ind w:left="432"/>
        <w:jc w:val="both"/>
        <w:rPr>
          <w:rFonts w:ascii="GHEA Grapalat" w:hAnsi="GHEA Grapalat"/>
          <w:b/>
          <w:szCs w:val="20"/>
          <w:lang w:val="hy-AM"/>
        </w:rPr>
      </w:pPr>
      <w:r w:rsidRPr="002C5ABD">
        <w:rPr>
          <w:lang w:val="hy-AM"/>
        </w:rPr>
        <w:t>Միջնաժամկետ հատվածում, հիմք ընդունելով պարտքի մակարդակի կանխատեսվող բարձրացումը ՀՆԱ 50%-ից, հարկաբյուջետային քաղաքականության սահմանափակումը ընթացիկ ծախսերի կանոնով վերականգնվելու է։ Միջնաժամկետ հատվածում ծրագրված ընթացիկ ծախսերի աճը զգալիորեն զիջում է կանոնի սահմանափակումը՝ ելնելով հարկաբյուջետային կոնսոլիդացիայի նպատակադրումից։ Ըստ էության, ընթացիկ ծախսերի շրջանակը ևս ենթադրում է միջնաժամկետի սկզբում «առաջ բերված» լրացուցիչ հնարավորությունների ձևավորում, որոնք նախ և առաջ կծառայեն անհետաձգելի ծախսային կարիքների ֆինանսավորմանը։</w:t>
      </w:r>
      <w:r w:rsidRPr="002C5ABD">
        <w:rPr>
          <w:lang w:val="hy-AM"/>
        </w:rPr>
        <w:br w:type="page"/>
      </w:r>
    </w:p>
    <w:p w14:paraId="7F8DD676" w14:textId="77777777" w:rsidR="00CB39D1" w:rsidRPr="00CB39D1" w:rsidRDefault="00CB39D1" w:rsidP="00CB39D1">
      <w:pPr>
        <w:jc w:val="both"/>
        <w:rPr>
          <w:rFonts w:ascii="GHEA Grapalat" w:hAnsi="GHEA Grapalat"/>
          <w:bCs/>
          <w:szCs w:val="20"/>
          <w:lang w:val="hy-AM"/>
        </w:rPr>
      </w:pPr>
      <w:r w:rsidRPr="00CB39D1">
        <w:rPr>
          <w:rFonts w:ascii="GHEA Grapalat" w:hAnsi="GHEA Grapalat"/>
          <w:bCs/>
          <w:szCs w:val="20"/>
          <w:lang w:val="hy-AM"/>
        </w:rPr>
        <w:t>Աղյուսակ 2.2. Փաստացի և ծրագրավորված հարկաբյուջետային քաղաքականության համապատասխանությունը հարկաբյուջետային կանոններին</w:t>
      </w:r>
    </w:p>
    <w:tbl>
      <w:tblPr>
        <w:tblW w:w="9726" w:type="dxa"/>
        <w:tblBorders>
          <w:top w:val="single" w:sz="4" w:space="0" w:color="E1E1E3" w:themeColor="accent3" w:themeTint="33"/>
          <w:left w:val="single" w:sz="4" w:space="0" w:color="E1E1E3" w:themeColor="accent3" w:themeTint="33"/>
          <w:bottom w:val="single" w:sz="4" w:space="0" w:color="E1E1E3" w:themeColor="accent3" w:themeTint="33"/>
          <w:right w:val="single" w:sz="4" w:space="0" w:color="E1E1E3" w:themeColor="accent3" w:themeTint="33"/>
          <w:insideH w:val="single" w:sz="4" w:space="0" w:color="E1E1E3" w:themeColor="accent3" w:themeTint="33"/>
          <w:insideV w:val="single" w:sz="4" w:space="0" w:color="E1E1E3" w:themeColor="accent3" w:themeTint="33"/>
        </w:tblBorders>
        <w:tblLook w:val="04A0" w:firstRow="1" w:lastRow="0" w:firstColumn="1" w:lastColumn="0" w:noHBand="0" w:noVBand="1"/>
      </w:tblPr>
      <w:tblGrid>
        <w:gridCol w:w="690"/>
        <w:gridCol w:w="1075"/>
        <w:gridCol w:w="2215"/>
        <w:gridCol w:w="2131"/>
        <w:gridCol w:w="2046"/>
        <w:gridCol w:w="1569"/>
      </w:tblGrid>
      <w:tr w:rsidR="00CB39D1" w:rsidRPr="00CB39D1" w14:paraId="3B929AA0" w14:textId="77777777" w:rsidTr="008D4E1E">
        <w:trPr>
          <w:trHeight w:val="20"/>
        </w:trPr>
        <w:tc>
          <w:tcPr>
            <w:tcW w:w="1765" w:type="dxa"/>
            <w:gridSpan w:val="2"/>
            <w:tcBorders>
              <w:top w:val="single" w:sz="4" w:space="0" w:color="E1E1E3" w:themeColor="accent3" w:themeTint="33"/>
              <w:left w:val="single" w:sz="4" w:space="0" w:color="E1E1E3" w:themeColor="accent3" w:themeTint="33"/>
              <w:bottom w:val="single" w:sz="4" w:space="0" w:color="E1E1E3" w:themeColor="accent3" w:themeTint="33"/>
              <w:right w:val="single" w:sz="4" w:space="0" w:color="E1E1E3" w:themeColor="accent3" w:themeTint="33"/>
            </w:tcBorders>
            <w:shd w:val="clear" w:color="auto" w:fill="D5DCE4" w:themeFill="text2" w:themeFillTint="33"/>
            <w:noWrap/>
            <w:vAlign w:val="center"/>
            <w:hideMark/>
          </w:tcPr>
          <w:p w14:paraId="7F6957F0" w14:textId="77777777" w:rsidR="00CB39D1" w:rsidRPr="00CB39D1" w:rsidRDefault="00CB39D1" w:rsidP="00CB39D1">
            <w:pPr>
              <w:spacing w:line="240" w:lineRule="auto"/>
              <w:rPr>
                <w:sz w:val="18"/>
                <w:szCs w:val="18"/>
              </w:rPr>
            </w:pPr>
            <w:r w:rsidRPr="00CB39D1">
              <w:rPr>
                <w:sz w:val="18"/>
                <w:szCs w:val="18"/>
              </w:rPr>
              <w:t>Կանոնի ցուցանիշ</w:t>
            </w:r>
          </w:p>
        </w:tc>
        <w:tc>
          <w:tcPr>
            <w:tcW w:w="2215" w:type="dxa"/>
            <w:tcBorders>
              <w:top w:val="single" w:sz="4" w:space="0" w:color="E1E1E3" w:themeColor="accent3" w:themeTint="33"/>
              <w:left w:val="single" w:sz="4" w:space="0" w:color="E1E1E3" w:themeColor="accent3" w:themeTint="33"/>
              <w:bottom w:val="single" w:sz="4" w:space="0" w:color="E1E1E3" w:themeColor="accent3" w:themeTint="33"/>
              <w:right w:val="single" w:sz="4" w:space="0" w:color="E1E1E3" w:themeColor="accent3" w:themeTint="33"/>
            </w:tcBorders>
            <w:shd w:val="clear" w:color="auto" w:fill="D5DCE4" w:themeFill="text2" w:themeFillTint="33"/>
            <w:noWrap/>
            <w:hideMark/>
          </w:tcPr>
          <w:p w14:paraId="075F81C2" w14:textId="77777777" w:rsidR="00CB39D1" w:rsidRPr="00CB39D1" w:rsidRDefault="00CB39D1" w:rsidP="00CB39D1">
            <w:pPr>
              <w:spacing w:line="240" w:lineRule="auto"/>
              <w:jc w:val="center"/>
              <w:rPr>
                <w:rFonts w:cs="Calibri"/>
                <w:sz w:val="18"/>
                <w:szCs w:val="18"/>
              </w:rPr>
            </w:pPr>
            <w:r w:rsidRPr="00CB39D1">
              <w:rPr>
                <w:rFonts w:cs="Calibri"/>
                <w:sz w:val="18"/>
                <w:szCs w:val="18"/>
              </w:rPr>
              <w:t>Պետական բյուջեի ոչ ֆինանսական ակտիվների գծով ծախսեր</w:t>
            </w:r>
          </w:p>
        </w:tc>
        <w:tc>
          <w:tcPr>
            <w:tcW w:w="2131" w:type="dxa"/>
            <w:tcBorders>
              <w:top w:val="single" w:sz="4" w:space="0" w:color="E1E1E3" w:themeColor="accent3" w:themeTint="33"/>
              <w:left w:val="single" w:sz="4" w:space="0" w:color="E1E1E3" w:themeColor="accent3" w:themeTint="33"/>
              <w:bottom w:val="single" w:sz="4" w:space="0" w:color="E1E1E3" w:themeColor="accent3" w:themeTint="33"/>
              <w:right w:val="single" w:sz="4" w:space="0" w:color="E1E1E3" w:themeColor="accent3" w:themeTint="33"/>
            </w:tcBorders>
            <w:shd w:val="clear" w:color="auto" w:fill="D5DCE4" w:themeFill="text2" w:themeFillTint="33"/>
            <w:noWrap/>
            <w:hideMark/>
          </w:tcPr>
          <w:p w14:paraId="7601B4C8" w14:textId="77777777" w:rsidR="00CB39D1" w:rsidRPr="00CB39D1" w:rsidRDefault="00CB39D1" w:rsidP="00CB39D1">
            <w:pPr>
              <w:spacing w:line="240" w:lineRule="auto"/>
              <w:jc w:val="center"/>
              <w:rPr>
                <w:rFonts w:cs="Calibri"/>
                <w:sz w:val="18"/>
                <w:szCs w:val="18"/>
              </w:rPr>
            </w:pPr>
            <w:r w:rsidRPr="00CB39D1">
              <w:rPr>
                <w:rFonts w:cs="Calibri"/>
                <w:sz w:val="18"/>
                <w:szCs w:val="18"/>
              </w:rPr>
              <w:t>Պետական բյուջեի ընթացիկ առաջնային ծախսերի աճի տեմպ</w:t>
            </w:r>
          </w:p>
        </w:tc>
        <w:tc>
          <w:tcPr>
            <w:tcW w:w="2046" w:type="dxa"/>
            <w:tcBorders>
              <w:top w:val="single" w:sz="4" w:space="0" w:color="E1E1E3" w:themeColor="accent3" w:themeTint="33"/>
              <w:left w:val="single" w:sz="4" w:space="0" w:color="E1E1E3" w:themeColor="accent3" w:themeTint="33"/>
              <w:bottom w:val="single" w:sz="4" w:space="0" w:color="E1E1E3" w:themeColor="accent3" w:themeTint="33"/>
              <w:right w:val="single" w:sz="4" w:space="0" w:color="E1E1E3" w:themeColor="accent3" w:themeTint="33"/>
            </w:tcBorders>
            <w:shd w:val="clear" w:color="auto" w:fill="D5DCE4" w:themeFill="text2" w:themeFillTint="33"/>
            <w:hideMark/>
          </w:tcPr>
          <w:p w14:paraId="3A815D89" w14:textId="77777777" w:rsidR="00CB39D1" w:rsidRPr="00CB39D1" w:rsidRDefault="00CB39D1" w:rsidP="00CB39D1">
            <w:pPr>
              <w:spacing w:line="240" w:lineRule="auto"/>
              <w:jc w:val="center"/>
              <w:rPr>
                <w:rFonts w:cs="Calibri"/>
                <w:sz w:val="18"/>
                <w:szCs w:val="18"/>
              </w:rPr>
            </w:pPr>
            <w:r w:rsidRPr="00CB39D1">
              <w:rPr>
                <w:rFonts w:cs="Calibri"/>
                <w:sz w:val="18"/>
                <w:szCs w:val="18"/>
              </w:rPr>
              <w:t>Պետական բյուջեի ընթացիկ ծախսեր</w:t>
            </w:r>
          </w:p>
        </w:tc>
        <w:tc>
          <w:tcPr>
            <w:tcW w:w="1569" w:type="dxa"/>
            <w:vMerge w:val="restart"/>
            <w:tcBorders>
              <w:left w:val="single" w:sz="4" w:space="0" w:color="E1E1E3" w:themeColor="accent3" w:themeTint="33"/>
            </w:tcBorders>
            <w:shd w:val="clear" w:color="auto" w:fill="D5DCE4" w:themeFill="text2" w:themeFillTint="33"/>
            <w:noWrap/>
            <w:vAlign w:val="center"/>
            <w:hideMark/>
          </w:tcPr>
          <w:p w14:paraId="0FEE146F" w14:textId="77777777" w:rsidR="00CB39D1" w:rsidRPr="00CB39D1" w:rsidRDefault="00CB39D1" w:rsidP="00CB39D1">
            <w:pPr>
              <w:jc w:val="center"/>
              <w:rPr>
                <w:rFonts w:cs="Calibri"/>
                <w:color w:val="404040"/>
                <w:sz w:val="16"/>
                <w:szCs w:val="16"/>
              </w:rPr>
            </w:pPr>
            <w:r w:rsidRPr="00CB39D1">
              <w:rPr>
                <w:rFonts w:cs="Calibri"/>
                <w:sz w:val="16"/>
                <w:szCs w:val="16"/>
              </w:rPr>
              <w:t>Կառավարության պարտք/ՀՆԱ, %</w:t>
            </w:r>
          </w:p>
        </w:tc>
      </w:tr>
      <w:tr w:rsidR="00CB39D1" w:rsidRPr="00CB39D1" w14:paraId="65F0DB65" w14:textId="77777777" w:rsidTr="008D4E1E">
        <w:trPr>
          <w:trHeight w:val="20"/>
        </w:trPr>
        <w:tc>
          <w:tcPr>
            <w:tcW w:w="1765" w:type="dxa"/>
            <w:gridSpan w:val="2"/>
            <w:tcBorders>
              <w:top w:val="single" w:sz="4" w:space="0" w:color="E1E1E3" w:themeColor="accent3" w:themeTint="33"/>
              <w:left w:val="single" w:sz="4" w:space="0" w:color="E1E1E3" w:themeColor="accent3" w:themeTint="33"/>
              <w:bottom w:val="single" w:sz="4" w:space="0" w:color="E1E1E3" w:themeColor="accent3" w:themeTint="33"/>
              <w:right w:val="single" w:sz="4" w:space="0" w:color="E1E1E3" w:themeColor="accent3" w:themeTint="33"/>
            </w:tcBorders>
            <w:shd w:val="clear" w:color="auto" w:fill="D5DCE4" w:themeFill="text2" w:themeFillTint="33"/>
            <w:noWrap/>
            <w:vAlign w:val="center"/>
            <w:hideMark/>
          </w:tcPr>
          <w:p w14:paraId="0242BDBA" w14:textId="77777777" w:rsidR="00CB39D1" w:rsidRPr="00CB39D1" w:rsidRDefault="00CB39D1" w:rsidP="00CB39D1">
            <w:pPr>
              <w:spacing w:line="240" w:lineRule="auto"/>
              <w:rPr>
                <w:sz w:val="18"/>
                <w:szCs w:val="18"/>
              </w:rPr>
            </w:pPr>
            <w:r w:rsidRPr="00CB39D1">
              <w:rPr>
                <w:sz w:val="18"/>
                <w:szCs w:val="18"/>
              </w:rPr>
              <w:t>Ուղենիշային ցուցանիշ</w:t>
            </w:r>
          </w:p>
        </w:tc>
        <w:tc>
          <w:tcPr>
            <w:tcW w:w="2215" w:type="dxa"/>
            <w:tcBorders>
              <w:top w:val="single" w:sz="4" w:space="0" w:color="E1E1E3" w:themeColor="accent3" w:themeTint="33"/>
              <w:left w:val="single" w:sz="4" w:space="0" w:color="E1E1E3" w:themeColor="accent3" w:themeTint="33"/>
              <w:bottom w:val="single" w:sz="4" w:space="0" w:color="E1E1E3" w:themeColor="accent3" w:themeTint="33"/>
              <w:right w:val="single" w:sz="4" w:space="0" w:color="E1E1E3" w:themeColor="accent3" w:themeTint="33"/>
            </w:tcBorders>
            <w:shd w:val="clear" w:color="auto" w:fill="D5DCE4" w:themeFill="text2" w:themeFillTint="33"/>
            <w:vAlign w:val="center"/>
            <w:hideMark/>
          </w:tcPr>
          <w:p w14:paraId="557534A1" w14:textId="77777777" w:rsidR="00CB39D1" w:rsidRPr="00CB39D1" w:rsidRDefault="00CB39D1" w:rsidP="00CB39D1">
            <w:pPr>
              <w:spacing w:line="240" w:lineRule="auto"/>
              <w:rPr>
                <w:rFonts w:cs="Calibri"/>
                <w:i/>
                <w:color w:val="6B6C74" w:themeColor="accent3"/>
                <w:sz w:val="14"/>
                <w:szCs w:val="14"/>
              </w:rPr>
            </w:pPr>
            <w:r w:rsidRPr="00CB39D1">
              <w:rPr>
                <w:rFonts w:cs="Calibri"/>
                <w:i/>
                <w:color w:val="6B6C74" w:themeColor="accent3"/>
                <w:sz w:val="14"/>
                <w:szCs w:val="14"/>
              </w:rPr>
              <w:t>&gt;/= պետական բյուջեի պակասուրդ, մլրդ դրամ</w:t>
            </w:r>
          </w:p>
        </w:tc>
        <w:tc>
          <w:tcPr>
            <w:tcW w:w="2131" w:type="dxa"/>
            <w:tcBorders>
              <w:top w:val="single" w:sz="4" w:space="0" w:color="E1E1E3" w:themeColor="accent3" w:themeTint="33"/>
              <w:left w:val="single" w:sz="4" w:space="0" w:color="E1E1E3" w:themeColor="accent3" w:themeTint="33"/>
              <w:bottom w:val="single" w:sz="4" w:space="0" w:color="E1E1E3" w:themeColor="accent3" w:themeTint="33"/>
              <w:right w:val="single" w:sz="4" w:space="0" w:color="E1E1E3" w:themeColor="accent3" w:themeTint="33"/>
            </w:tcBorders>
            <w:shd w:val="clear" w:color="auto" w:fill="D5DCE4" w:themeFill="text2" w:themeFillTint="33"/>
            <w:vAlign w:val="center"/>
            <w:hideMark/>
          </w:tcPr>
          <w:p w14:paraId="0C70D6D7" w14:textId="77777777" w:rsidR="00CB39D1" w:rsidRPr="00CB39D1" w:rsidRDefault="00CB39D1" w:rsidP="00CB39D1">
            <w:pPr>
              <w:spacing w:line="240" w:lineRule="auto"/>
              <w:rPr>
                <w:rFonts w:cs="Calibri"/>
                <w:i/>
                <w:color w:val="6B6C74" w:themeColor="accent3"/>
                <w:sz w:val="14"/>
                <w:szCs w:val="14"/>
              </w:rPr>
            </w:pPr>
            <w:r w:rsidRPr="00CB39D1">
              <w:rPr>
                <w:rFonts w:cs="Calibri"/>
                <w:i/>
                <w:color w:val="6B6C74" w:themeColor="accent3"/>
                <w:sz w:val="14"/>
                <w:szCs w:val="14"/>
              </w:rPr>
              <w:t>&lt;/= նախորդ 7 տարիների անվանական ՀՆԱ աճի միջին տեմպ, %</w:t>
            </w:r>
          </w:p>
        </w:tc>
        <w:tc>
          <w:tcPr>
            <w:tcW w:w="2046" w:type="dxa"/>
            <w:tcBorders>
              <w:top w:val="single" w:sz="4" w:space="0" w:color="E1E1E3" w:themeColor="accent3" w:themeTint="33"/>
              <w:left w:val="single" w:sz="4" w:space="0" w:color="E1E1E3" w:themeColor="accent3" w:themeTint="33"/>
              <w:bottom w:val="single" w:sz="4" w:space="0" w:color="E1E1E3" w:themeColor="accent3" w:themeTint="33"/>
              <w:right w:val="single" w:sz="4" w:space="0" w:color="E1E1E3" w:themeColor="accent3" w:themeTint="33"/>
            </w:tcBorders>
            <w:shd w:val="clear" w:color="auto" w:fill="D5DCE4" w:themeFill="text2" w:themeFillTint="33"/>
            <w:vAlign w:val="center"/>
            <w:hideMark/>
          </w:tcPr>
          <w:p w14:paraId="5FEEB21F" w14:textId="77777777" w:rsidR="00CB39D1" w:rsidRPr="00CB39D1" w:rsidRDefault="00CB39D1" w:rsidP="00CB39D1">
            <w:pPr>
              <w:spacing w:line="240" w:lineRule="auto"/>
              <w:rPr>
                <w:rFonts w:cs="Calibri"/>
                <w:i/>
                <w:color w:val="6B6C74" w:themeColor="accent3"/>
                <w:sz w:val="14"/>
                <w:szCs w:val="14"/>
              </w:rPr>
            </w:pPr>
            <w:r w:rsidRPr="00CB39D1">
              <w:rPr>
                <w:rFonts w:cs="Calibri"/>
                <w:i/>
                <w:color w:val="6B6C74" w:themeColor="accent3"/>
                <w:sz w:val="14"/>
                <w:szCs w:val="14"/>
              </w:rPr>
              <w:t>&lt;/= հարկային եկամուտների և տուրքերի ծավալ, մլրդ դրամ</w:t>
            </w:r>
          </w:p>
        </w:tc>
        <w:tc>
          <w:tcPr>
            <w:tcW w:w="1569" w:type="dxa"/>
            <w:vMerge/>
            <w:tcBorders>
              <w:left w:val="single" w:sz="4" w:space="0" w:color="E1E1E3" w:themeColor="accent3" w:themeTint="33"/>
            </w:tcBorders>
            <w:shd w:val="clear" w:color="auto" w:fill="D9E2F3" w:themeFill="accent5" w:themeFillTint="33"/>
            <w:noWrap/>
            <w:vAlign w:val="center"/>
            <w:hideMark/>
          </w:tcPr>
          <w:p w14:paraId="63343C0E" w14:textId="77777777" w:rsidR="00CB39D1" w:rsidRPr="00CB39D1" w:rsidRDefault="00CB39D1" w:rsidP="00CB39D1">
            <w:pPr>
              <w:spacing w:before="0" w:after="0" w:line="240" w:lineRule="auto"/>
              <w:jc w:val="center"/>
              <w:rPr>
                <w:rFonts w:eastAsia="Times New Roman" w:cs="Times New Roman"/>
                <w:color w:val="auto"/>
                <w:sz w:val="18"/>
                <w:szCs w:val="18"/>
              </w:rPr>
            </w:pPr>
          </w:p>
        </w:tc>
      </w:tr>
      <w:tr w:rsidR="00CB39D1" w:rsidRPr="00CB39D1" w14:paraId="585FA8B3" w14:textId="77777777" w:rsidTr="00F82E03">
        <w:trPr>
          <w:trHeight w:val="432"/>
        </w:trPr>
        <w:tc>
          <w:tcPr>
            <w:tcW w:w="690" w:type="dxa"/>
            <w:vMerge w:val="restart"/>
            <w:tcBorders>
              <w:top w:val="single" w:sz="4" w:space="0" w:color="E1E1E3" w:themeColor="accent3" w:themeTint="33"/>
            </w:tcBorders>
            <w:noWrap/>
            <w:vAlign w:val="center"/>
          </w:tcPr>
          <w:p w14:paraId="641DAAA0" w14:textId="77777777" w:rsidR="00CB39D1" w:rsidRPr="00CB39D1" w:rsidRDefault="00CB39D1" w:rsidP="00CB39D1">
            <w:pPr>
              <w:spacing w:before="0" w:after="0" w:line="240" w:lineRule="auto"/>
              <w:jc w:val="center"/>
              <w:rPr>
                <w:rFonts w:eastAsia="Times New Roman" w:cs="Times New Roman"/>
                <w:color w:val="auto"/>
                <w:sz w:val="18"/>
                <w:szCs w:val="18"/>
              </w:rPr>
            </w:pPr>
            <w:r w:rsidRPr="00CB39D1">
              <w:rPr>
                <w:rFonts w:eastAsia="Times New Roman" w:cs="Times New Roman"/>
                <w:color w:val="auto"/>
                <w:sz w:val="18"/>
                <w:szCs w:val="18"/>
              </w:rPr>
              <w:t>2021</w:t>
            </w:r>
          </w:p>
        </w:tc>
        <w:tc>
          <w:tcPr>
            <w:tcW w:w="1075" w:type="dxa"/>
            <w:tcBorders>
              <w:top w:val="single" w:sz="4" w:space="0" w:color="E1E1E3" w:themeColor="accent3" w:themeTint="33"/>
            </w:tcBorders>
            <w:noWrap/>
            <w:vAlign w:val="center"/>
          </w:tcPr>
          <w:p w14:paraId="61279C68" w14:textId="77777777" w:rsidR="00CB39D1" w:rsidRPr="00CB39D1" w:rsidRDefault="00CB39D1" w:rsidP="00CB39D1">
            <w:pPr>
              <w:spacing w:before="0" w:after="0" w:line="240" w:lineRule="auto"/>
              <w:jc w:val="center"/>
              <w:rPr>
                <w:rFonts w:eastAsia="Times New Roman" w:cs="Times New Roman"/>
                <w:color w:val="auto"/>
                <w:sz w:val="18"/>
                <w:szCs w:val="18"/>
                <w:lang w:val="hy-AM"/>
              </w:rPr>
            </w:pPr>
            <w:r w:rsidRPr="00CB39D1">
              <w:rPr>
                <w:rFonts w:eastAsia="Times New Roman" w:cs="Times New Roman"/>
                <w:color w:val="auto"/>
                <w:sz w:val="18"/>
                <w:szCs w:val="18"/>
                <w:lang w:val="hy-AM"/>
              </w:rPr>
              <w:t>Սահման.</w:t>
            </w:r>
          </w:p>
        </w:tc>
        <w:tc>
          <w:tcPr>
            <w:tcW w:w="2215" w:type="dxa"/>
            <w:tcBorders>
              <w:top w:val="single" w:sz="4" w:space="0" w:color="E1E1E3" w:themeColor="accent3" w:themeTint="33"/>
            </w:tcBorders>
            <w:noWrap/>
            <w:vAlign w:val="center"/>
          </w:tcPr>
          <w:p w14:paraId="47A82B48" w14:textId="77777777" w:rsidR="00CB39D1" w:rsidRPr="00CB39D1" w:rsidRDefault="00CB39D1" w:rsidP="00CB39D1">
            <w:pPr>
              <w:spacing w:before="0" w:after="0" w:line="240" w:lineRule="auto"/>
              <w:jc w:val="center"/>
              <w:rPr>
                <w:rFonts w:eastAsia="Times New Roman" w:cs="Times New Roman"/>
                <w:color w:val="auto"/>
                <w:sz w:val="18"/>
                <w:szCs w:val="18"/>
                <w:lang w:val="hy-AM"/>
              </w:rPr>
            </w:pPr>
            <w:r w:rsidRPr="00CB39D1">
              <w:rPr>
                <w:rFonts w:eastAsia="Times New Roman" w:cs="Times New Roman"/>
                <w:color w:val="auto"/>
                <w:sz w:val="18"/>
                <w:szCs w:val="18"/>
                <w:lang w:val="hy-AM"/>
              </w:rPr>
              <w:t>321.0</w:t>
            </w:r>
          </w:p>
        </w:tc>
        <w:tc>
          <w:tcPr>
            <w:tcW w:w="2131" w:type="dxa"/>
            <w:tcBorders>
              <w:top w:val="single" w:sz="4" w:space="0" w:color="E1E1E3" w:themeColor="accent3" w:themeTint="33"/>
            </w:tcBorders>
            <w:noWrap/>
            <w:vAlign w:val="center"/>
          </w:tcPr>
          <w:p w14:paraId="19913968" w14:textId="77777777" w:rsidR="00CB39D1" w:rsidRPr="00CB39D1" w:rsidRDefault="00CB39D1" w:rsidP="00CB39D1">
            <w:pPr>
              <w:spacing w:before="0" w:after="0" w:line="240" w:lineRule="auto"/>
              <w:jc w:val="center"/>
              <w:rPr>
                <w:rFonts w:eastAsia="Times New Roman" w:cs="Times New Roman"/>
                <w:color w:val="auto"/>
                <w:sz w:val="18"/>
                <w:szCs w:val="18"/>
                <w:lang w:val="hy-AM"/>
              </w:rPr>
            </w:pPr>
            <w:r w:rsidRPr="00CB39D1">
              <w:rPr>
                <w:rFonts w:eastAsia="Times New Roman" w:cs="Times New Roman"/>
                <w:color w:val="auto"/>
                <w:sz w:val="18"/>
                <w:szCs w:val="18"/>
                <w:lang w:val="hy-AM"/>
              </w:rPr>
              <w:t>6.3</w:t>
            </w:r>
          </w:p>
        </w:tc>
        <w:tc>
          <w:tcPr>
            <w:tcW w:w="2046" w:type="dxa"/>
            <w:tcBorders>
              <w:top w:val="single" w:sz="4" w:space="0" w:color="E1E1E3" w:themeColor="accent3" w:themeTint="33"/>
            </w:tcBorders>
            <w:noWrap/>
            <w:vAlign w:val="center"/>
          </w:tcPr>
          <w:p w14:paraId="735412DC" w14:textId="77777777" w:rsidR="00CB39D1" w:rsidRPr="00CB39D1" w:rsidRDefault="00CB39D1" w:rsidP="00CB39D1">
            <w:pPr>
              <w:spacing w:before="0" w:after="0" w:line="240" w:lineRule="auto"/>
              <w:jc w:val="center"/>
              <w:rPr>
                <w:rFonts w:eastAsia="Times New Roman" w:cs="Times New Roman"/>
                <w:color w:val="auto"/>
                <w:sz w:val="18"/>
                <w:szCs w:val="18"/>
                <w:lang w:val="hy-AM"/>
              </w:rPr>
            </w:pPr>
            <w:r w:rsidRPr="00CB39D1">
              <w:rPr>
                <w:rFonts w:eastAsia="Times New Roman" w:cs="Times New Roman"/>
                <w:color w:val="auto"/>
                <w:sz w:val="18"/>
                <w:szCs w:val="18"/>
                <w:lang w:val="hy-AM"/>
              </w:rPr>
              <w:t>-</w:t>
            </w:r>
          </w:p>
        </w:tc>
        <w:tc>
          <w:tcPr>
            <w:tcW w:w="1569" w:type="dxa"/>
            <w:noWrap/>
            <w:vAlign w:val="center"/>
          </w:tcPr>
          <w:p w14:paraId="7B647815" w14:textId="77777777" w:rsidR="00CB39D1" w:rsidRPr="00CB39D1" w:rsidRDefault="00CB39D1" w:rsidP="00CB39D1">
            <w:pPr>
              <w:spacing w:before="0" w:after="0" w:line="240" w:lineRule="auto"/>
              <w:jc w:val="center"/>
              <w:rPr>
                <w:rFonts w:eastAsia="Times New Roman" w:cs="Times New Roman"/>
                <w:color w:val="auto"/>
                <w:sz w:val="18"/>
                <w:szCs w:val="18"/>
                <w:lang w:val="hy-AM"/>
              </w:rPr>
            </w:pPr>
            <w:r w:rsidRPr="00CB39D1">
              <w:rPr>
                <w:rFonts w:eastAsia="Times New Roman" w:cs="Times New Roman"/>
                <w:color w:val="auto"/>
                <w:sz w:val="18"/>
                <w:szCs w:val="18"/>
                <w:lang w:val="hy-AM"/>
              </w:rPr>
              <w:t>60.2</w:t>
            </w:r>
          </w:p>
        </w:tc>
      </w:tr>
      <w:tr w:rsidR="00CB39D1" w:rsidRPr="00CB39D1" w14:paraId="78AFBEB7" w14:textId="77777777" w:rsidTr="00F82E03">
        <w:trPr>
          <w:trHeight w:val="432"/>
        </w:trPr>
        <w:tc>
          <w:tcPr>
            <w:tcW w:w="690" w:type="dxa"/>
            <w:vMerge/>
            <w:noWrap/>
            <w:vAlign w:val="center"/>
          </w:tcPr>
          <w:p w14:paraId="68D7CA98" w14:textId="77777777" w:rsidR="00CB39D1" w:rsidRPr="00CB39D1" w:rsidRDefault="00CB39D1" w:rsidP="00CB39D1">
            <w:pPr>
              <w:spacing w:before="0" w:after="0" w:line="240" w:lineRule="auto"/>
              <w:jc w:val="center"/>
              <w:rPr>
                <w:rFonts w:eastAsia="Times New Roman" w:cs="Times New Roman"/>
                <w:color w:val="auto"/>
                <w:sz w:val="18"/>
                <w:szCs w:val="18"/>
              </w:rPr>
            </w:pPr>
          </w:p>
        </w:tc>
        <w:tc>
          <w:tcPr>
            <w:tcW w:w="1075" w:type="dxa"/>
            <w:noWrap/>
            <w:vAlign w:val="center"/>
          </w:tcPr>
          <w:p w14:paraId="398414D1" w14:textId="77777777" w:rsidR="00CB39D1" w:rsidRPr="00CB39D1" w:rsidRDefault="00CB39D1" w:rsidP="00CB39D1">
            <w:pPr>
              <w:spacing w:before="0" w:after="0" w:line="240" w:lineRule="auto"/>
              <w:jc w:val="center"/>
              <w:rPr>
                <w:rFonts w:eastAsia="Times New Roman" w:cs="Times New Roman"/>
                <w:color w:val="auto"/>
                <w:sz w:val="18"/>
                <w:szCs w:val="18"/>
                <w:lang w:val="hy-AM"/>
              </w:rPr>
            </w:pPr>
            <w:r w:rsidRPr="00CB39D1">
              <w:rPr>
                <w:rFonts w:eastAsia="Times New Roman" w:cs="Times New Roman"/>
                <w:color w:val="auto"/>
                <w:sz w:val="18"/>
                <w:szCs w:val="18"/>
                <w:lang w:val="hy-AM"/>
              </w:rPr>
              <w:t>Պլան</w:t>
            </w:r>
          </w:p>
        </w:tc>
        <w:tc>
          <w:tcPr>
            <w:tcW w:w="2215" w:type="dxa"/>
            <w:noWrap/>
            <w:vAlign w:val="center"/>
          </w:tcPr>
          <w:p w14:paraId="1B1F6979" w14:textId="77777777" w:rsidR="00CB39D1" w:rsidRPr="00CB39D1" w:rsidRDefault="00CB39D1" w:rsidP="00CB39D1">
            <w:pPr>
              <w:spacing w:before="0" w:after="0" w:line="240" w:lineRule="auto"/>
              <w:jc w:val="center"/>
              <w:rPr>
                <w:rFonts w:eastAsia="Times New Roman" w:cs="Times New Roman"/>
                <w:color w:val="auto"/>
                <w:sz w:val="18"/>
                <w:szCs w:val="18"/>
                <w:lang w:val="hy-AM"/>
              </w:rPr>
            </w:pPr>
            <w:r w:rsidRPr="00CB39D1">
              <w:rPr>
                <w:rFonts w:eastAsia="Times New Roman" w:cs="Times New Roman"/>
                <w:color w:val="auto"/>
                <w:sz w:val="18"/>
                <w:szCs w:val="18"/>
                <w:lang w:val="hy-AM"/>
              </w:rPr>
              <w:t>216.0</w:t>
            </w:r>
          </w:p>
        </w:tc>
        <w:tc>
          <w:tcPr>
            <w:tcW w:w="2131" w:type="dxa"/>
            <w:noWrap/>
            <w:vAlign w:val="center"/>
          </w:tcPr>
          <w:p w14:paraId="1F1E0EBE" w14:textId="77777777" w:rsidR="00CB39D1" w:rsidRPr="00CB39D1" w:rsidRDefault="00CB39D1" w:rsidP="00CB39D1">
            <w:pPr>
              <w:spacing w:before="0" w:after="0" w:line="240" w:lineRule="auto"/>
              <w:jc w:val="center"/>
              <w:rPr>
                <w:rFonts w:eastAsia="Times New Roman" w:cs="Times New Roman"/>
                <w:color w:val="auto"/>
                <w:sz w:val="18"/>
                <w:szCs w:val="18"/>
                <w:lang w:val="hy-AM"/>
              </w:rPr>
            </w:pPr>
            <w:r w:rsidRPr="00CB39D1">
              <w:rPr>
                <w:rFonts w:eastAsia="Times New Roman" w:cs="Times New Roman"/>
                <w:color w:val="auto"/>
                <w:sz w:val="18"/>
                <w:szCs w:val="18"/>
                <w:lang w:val="hy-AM"/>
              </w:rPr>
              <w:t>12.8</w:t>
            </w:r>
          </w:p>
        </w:tc>
        <w:tc>
          <w:tcPr>
            <w:tcW w:w="2046" w:type="dxa"/>
            <w:noWrap/>
            <w:vAlign w:val="center"/>
          </w:tcPr>
          <w:p w14:paraId="5F2842F2" w14:textId="77777777" w:rsidR="00CB39D1" w:rsidRPr="00CB39D1" w:rsidRDefault="00CB39D1" w:rsidP="00CB39D1">
            <w:pPr>
              <w:spacing w:before="0" w:after="0" w:line="240" w:lineRule="auto"/>
              <w:jc w:val="center"/>
              <w:rPr>
                <w:rFonts w:eastAsia="Times New Roman" w:cs="Times New Roman"/>
                <w:color w:val="auto"/>
                <w:sz w:val="18"/>
                <w:szCs w:val="18"/>
                <w:lang w:val="hy-AM"/>
              </w:rPr>
            </w:pPr>
            <w:r w:rsidRPr="00CB39D1">
              <w:rPr>
                <w:rFonts w:eastAsia="Times New Roman" w:cs="Times New Roman"/>
                <w:color w:val="auto"/>
                <w:sz w:val="18"/>
                <w:szCs w:val="18"/>
                <w:lang w:val="hy-AM"/>
              </w:rPr>
              <w:t>1810.7</w:t>
            </w:r>
          </w:p>
        </w:tc>
        <w:tc>
          <w:tcPr>
            <w:tcW w:w="1569" w:type="dxa"/>
            <w:noWrap/>
            <w:vAlign w:val="center"/>
          </w:tcPr>
          <w:p w14:paraId="269D3966" w14:textId="77777777" w:rsidR="00CB39D1" w:rsidRPr="00CB39D1" w:rsidRDefault="00CB39D1" w:rsidP="00CB39D1">
            <w:pPr>
              <w:spacing w:before="0" w:after="0" w:line="240" w:lineRule="auto"/>
              <w:jc w:val="center"/>
              <w:rPr>
                <w:rFonts w:eastAsia="Times New Roman" w:cs="Times New Roman"/>
                <w:color w:val="auto"/>
                <w:sz w:val="18"/>
                <w:szCs w:val="18"/>
                <w:lang w:val="hy-AM"/>
              </w:rPr>
            </w:pPr>
          </w:p>
        </w:tc>
      </w:tr>
      <w:tr w:rsidR="00CB39D1" w:rsidRPr="00CB39D1" w14:paraId="1DFF679B" w14:textId="77777777" w:rsidTr="00F82E03">
        <w:trPr>
          <w:trHeight w:val="432"/>
        </w:trPr>
        <w:tc>
          <w:tcPr>
            <w:tcW w:w="690" w:type="dxa"/>
            <w:vMerge w:val="restart"/>
            <w:noWrap/>
            <w:vAlign w:val="center"/>
          </w:tcPr>
          <w:p w14:paraId="09346952" w14:textId="77777777" w:rsidR="00CB39D1" w:rsidRPr="00CB39D1" w:rsidRDefault="00CB39D1" w:rsidP="00CB39D1">
            <w:pPr>
              <w:spacing w:before="0" w:after="0" w:line="240" w:lineRule="auto"/>
              <w:jc w:val="center"/>
              <w:rPr>
                <w:rFonts w:eastAsia="Times New Roman" w:cs="Times New Roman"/>
                <w:color w:val="auto"/>
                <w:sz w:val="18"/>
                <w:szCs w:val="18"/>
              </w:rPr>
            </w:pPr>
            <w:r w:rsidRPr="00CB39D1">
              <w:rPr>
                <w:rFonts w:eastAsia="Times New Roman" w:cs="Times New Roman"/>
                <w:color w:val="auto"/>
                <w:sz w:val="18"/>
                <w:szCs w:val="18"/>
              </w:rPr>
              <w:t>2022</w:t>
            </w:r>
          </w:p>
        </w:tc>
        <w:tc>
          <w:tcPr>
            <w:tcW w:w="1075" w:type="dxa"/>
            <w:noWrap/>
            <w:vAlign w:val="center"/>
          </w:tcPr>
          <w:p w14:paraId="3AB92590" w14:textId="77777777" w:rsidR="00CB39D1" w:rsidRPr="00CB39D1" w:rsidRDefault="00CB39D1" w:rsidP="00CB39D1">
            <w:pPr>
              <w:spacing w:before="0" w:after="0" w:line="240" w:lineRule="auto"/>
              <w:jc w:val="center"/>
              <w:rPr>
                <w:rFonts w:eastAsia="Times New Roman" w:cs="Times New Roman"/>
                <w:color w:val="auto"/>
                <w:sz w:val="18"/>
                <w:szCs w:val="18"/>
                <w:lang w:val="hy-AM"/>
              </w:rPr>
            </w:pPr>
            <w:r w:rsidRPr="00CB39D1">
              <w:rPr>
                <w:rFonts w:eastAsia="Times New Roman" w:cs="Times New Roman"/>
                <w:color w:val="auto"/>
                <w:sz w:val="18"/>
                <w:szCs w:val="18"/>
                <w:lang w:val="hy-AM"/>
              </w:rPr>
              <w:t>Սահման.</w:t>
            </w:r>
          </w:p>
        </w:tc>
        <w:tc>
          <w:tcPr>
            <w:tcW w:w="2215" w:type="dxa"/>
            <w:noWrap/>
            <w:vAlign w:val="center"/>
          </w:tcPr>
          <w:p w14:paraId="6BE2D6AF" w14:textId="77777777" w:rsidR="00CB39D1" w:rsidRPr="00CB39D1" w:rsidRDefault="00CB39D1" w:rsidP="00CB39D1">
            <w:pPr>
              <w:spacing w:before="0" w:after="0" w:line="240" w:lineRule="auto"/>
              <w:jc w:val="center"/>
              <w:rPr>
                <w:rFonts w:eastAsia="Times New Roman" w:cs="Times New Roman"/>
                <w:color w:val="auto"/>
                <w:sz w:val="18"/>
                <w:szCs w:val="18"/>
                <w:lang w:val="hy-AM"/>
              </w:rPr>
            </w:pPr>
            <w:r w:rsidRPr="00CB39D1">
              <w:rPr>
                <w:rFonts w:eastAsia="Times New Roman" w:cs="Times New Roman"/>
                <w:color w:val="auto"/>
                <w:sz w:val="18"/>
                <w:szCs w:val="18"/>
                <w:lang w:val="hy-AM"/>
              </w:rPr>
              <w:t>180.0</w:t>
            </w:r>
          </w:p>
        </w:tc>
        <w:tc>
          <w:tcPr>
            <w:tcW w:w="2131" w:type="dxa"/>
            <w:noWrap/>
            <w:vAlign w:val="center"/>
          </w:tcPr>
          <w:p w14:paraId="7852DB73" w14:textId="77777777" w:rsidR="00CB39D1" w:rsidRPr="00CB39D1" w:rsidRDefault="00CB39D1" w:rsidP="00CB39D1">
            <w:pPr>
              <w:spacing w:before="0" w:after="0" w:line="240" w:lineRule="auto"/>
              <w:jc w:val="center"/>
              <w:rPr>
                <w:rFonts w:eastAsia="Times New Roman" w:cs="Times New Roman"/>
                <w:color w:val="auto"/>
                <w:sz w:val="18"/>
                <w:szCs w:val="18"/>
                <w:lang w:val="hy-AM"/>
              </w:rPr>
            </w:pPr>
            <w:r w:rsidRPr="00CB39D1">
              <w:rPr>
                <w:rFonts w:eastAsia="Times New Roman" w:cs="Times New Roman"/>
                <w:color w:val="auto"/>
                <w:sz w:val="18"/>
                <w:szCs w:val="18"/>
                <w:lang w:val="hy-AM"/>
              </w:rPr>
              <w:t>4.1</w:t>
            </w:r>
          </w:p>
        </w:tc>
        <w:tc>
          <w:tcPr>
            <w:tcW w:w="2046" w:type="dxa"/>
            <w:noWrap/>
            <w:vAlign w:val="center"/>
          </w:tcPr>
          <w:p w14:paraId="1DB9CFED" w14:textId="77777777" w:rsidR="00CB39D1" w:rsidRPr="00CB39D1" w:rsidRDefault="00CB39D1" w:rsidP="00CB39D1">
            <w:pPr>
              <w:spacing w:before="0" w:after="0" w:line="240" w:lineRule="auto"/>
              <w:jc w:val="center"/>
              <w:rPr>
                <w:rFonts w:eastAsia="Times New Roman" w:cs="Times New Roman"/>
                <w:color w:val="auto"/>
                <w:sz w:val="18"/>
                <w:szCs w:val="18"/>
                <w:lang w:val="hy-AM"/>
              </w:rPr>
            </w:pPr>
            <w:r w:rsidRPr="00CB39D1">
              <w:rPr>
                <w:rFonts w:eastAsia="Times New Roman" w:cs="Times New Roman"/>
                <w:color w:val="auto"/>
                <w:sz w:val="18"/>
                <w:szCs w:val="18"/>
                <w:lang w:val="hy-AM"/>
              </w:rPr>
              <w:t>1926.0</w:t>
            </w:r>
          </w:p>
        </w:tc>
        <w:tc>
          <w:tcPr>
            <w:tcW w:w="1569" w:type="dxa"/>
            <w:noWrap/>
            <w:vAlign w:val="center"/>
          </w:tcPr>
          <w:p w14:paraId="7C6A8864" w14:textId="77777777" w:rsidR="00CB39D1" w:rsidRPr="00CB39D1" w:rsidRDefault="00CB39D1" w:rsidP="00CB39D1">
            <w:pPr>
              <w:spacing w:before="0" w:after="0" w:line="240" w:lineRule="auto"/>
              <w:jc w:val="center"/>
              <w:rPr>
                <w:rFonts w:eastAsia="Times New Roman" w:cs="Times New Roman"/>
                <w:color w:val="auto"/>
                <w:sz w:val="18"/>
                <w:szCs w:val="18"/>
                <w:lang w:val="hy-AM"/>
              </w:rPr>
            </w:pPr>
            <w:r w:rsidRPr="00CB39D1">
              <w:rPr>
                <w:rFonts w:eastAsia="Times New Roman" w:cs="Times New Roman"/>
                <w:color w:val="auto"/>
                <w:sz w:val="18"/>
                <w:szCs w:val="18"/>
                <w:lang w:val="hy-AM"/>
              </w:rPr>
              <w:t>46.7</w:t>
            </w:r>
          </w:p>
        </w:tc>
      </w:tr>
      <w:tr w:rsidR="00CB39D1" w:rsidRPr="00CB39D1" w14:paraId="316C1669" w14:textId="77777777" w:rsidTr="00F82E03">
        <w:trPr>
          <w:trHeight w:val="432"/>
        </w:trPr>
        <w:tc>
          <w:tcPr>
            <w:tcW w:w="690" w:type="dxa"/>
            <w:vMerge/>
            <w:noWrap/>
            <w:vAlign w:val="center"/>
          </w:tcPr>
          <w:p w14:paraId="6A3661C6" w14:textId="77777777" w:rsidR="00CB39D1" w:rsidRPr="00CB39D1" w:rsidRDefault="00CB39D1" w:rsidP="00CB39D1">
            <w:pPr>
              <w:spacing w:before="0" w:after="0" w:line="240" w:lineRule="auto"/>
              <w:jc w:val="center"/>
              <w:rPr>
                <w:rFonts w:eastAsia="Times New Roman" w:cs="Times New Roman"/>
                <w:color w:val="auto"/>
                <w:sz w:val="18"/>
                <w:szCs w:val="18"/>
              </w:rPr>
            </w:pPr>
          </w:p>
        </w:tc>
        <w:tc>
          <w:tcPr>
            <w:tcW w:w="1075" w:type="dxa"/>
            <w:noWrap/>
            <w:vAlign w:val="center"/>
          </w:tcPr>
          <w:p w14:paraId="4351D92C" w14:textId="77777777" w:rsidR="00CB39D1" w:rsidRPr="00CB39D1" w:rsidRDefault="00CB39D1" w:rsidP="00CB39D1">
            <w:pPr>
              <w:spacing w:before="0" w:after="0" w:line="240" w:lineRule="auto"/>
              <w:jc w:val="center"/>
              <w:rPr>
                <w:rFonts w:eastAsia="Times New Roman" w:cs="Times New Roman"/>
                <w:color w:val="auto"/>
                <w:sz w:val="18"/>
                <w:szCs w:val="18"/>
                <w:lang w:val="hy-AM"/>
              </w:rPr>
            </w:pPr>
            <w:r w:rsidRPr="00CB39D1">
              <w:rPr>
                <w:rFonts w:eastAsia="Times New Roman" w:cs="Times New Roman"/>
                <w:color w:val="auto"/>
                <w:sz w:val="18"/>
                <w:szCs w:val="18"/>
                <w:lang w:val="hy-AM"/>
              </w:rPr>
              <w:t>Պլան</w:t>
            </w:r>
          </w:p>
        </w:tc>
        <w:tc>
          <w:tcPr>
            <w:tcW w:w="2215" w:type="dxa"/>
            <w:noWrap/>
            <w:vAlign w:val="center"/>
          </w:tcPr>
          <w:p w14:paraId="36054A92" w14:textId="77777777" w:rsidR="00CB39D1" w:rsidRPr="00CB39D1" w:rsidRDefault="00CB39D1" w:rsidP="00CB39D1">
            <w:pPr>
              <w:spacing w:before="0" w:after="0" w:line="240" w:lineRule="auto"/>
              <w:jc w:val="center"/>
              <w:rPr>
                <w:rFonts w:eastAsia="Times New Roman" w:cs="Times New Roman"/>
                <w:color w:val="auto"/>
                <w:sz w:val="18"/>
                <w:szCs w:val="18"/>
                <w:lang w:val="hy-AM"/>
              </w:rPr>
            </w:pPr>
            <w:r w:rsidRPr="00CB39D1">
              <w:rPr>
                <w:rFonts w:eastAsia="Times New Roman" w:cs="Times New Roman"/>
                <w:color w:val="auto"/>
                <w:sz w:val="18"/>
                <w:szCs w:val="18"/>
                <w:lang w:val="hy-AM"/>
              </w:rPr>
              <w:t>380.0</w:t>
            </w:r>
          </w:p>
        </w:tc>
        <w:tc>
          <w:tcPr>
            <w:tcW w:w="2131" w:type="dxa"/>
            <w:noWrap/>
            <w:vAlign w:val="center"/>
          </w:tcPr>
          <w:p w14:paraId="040A97DD" w14:textId="77777777" w:rsidR="00CB39D1" w:rsidRPr="00CB39D1" w:rsidRDefault="00CB39D1" w:rsidP="00CB39D1">
            <w:pPr>
              <w:spacing w:before="0" w:after="0" w:line="240" w:lineRule="auto"/>
              <w:jc w:val="center"/>
              <w:rPr>
                <w:rFonts w:eastAsia="Times New Roman" w:cs="Times New Roman"/>
                <w:color w:val="auto"/>
                <w:sz w:val="18"/>
                <w:szCs w:val="18"/>
                <w:lang w:val="hy-AM"/>
              </w:rPr>
            </w:pPr>
            <w:r w:rsidRPr="00CB39D1">
              <w:rPr>
                <w:rFonts w:eastAsia="Times New Roman" w:cs="Times New Roman"/>
                <w:color w:val="auto"/>
                <w:sz w:val="18"/>
                <w:szCs w:val="18"/>
                <w:lang w:val="hy-AM"/>
              </w:rPr>
              <w:t>5.3</w:t>
            </w:r>
          </w:p>
        </w:tc>
        <w:tc>
          <w:tcPr>
            <w:tcW w:w="2046" w:type="dxa"/>
            <w:noWrap/>
            <w:vAlign w:val="center"/>
          </w:tcPr>
          <w:p w14:paraId="25709E14" w14:textId="77777777" w:rsidR="00CB39D1" w:rsidRPr="00CB39D1" w:rsidRDefault="00CB39D1" w:rsidP="00CB39D1">
            <w:pPr>
              <w:spacing w:before="0" w:after="0" w:line="240" w:lineRule="auto"/>
              <w:jc w:val="center"/>
              <w:rPr>
                <w:rFonts w:eastAsia="Times New Roman" w:cs="Times New Roman"/>
                <w:color w:val="auto"/>
                <w:sz w:val="18"/>
                <w:szCs w:val="18"/>
                <w:lang w:val="hy-AM"/>
              </w:rPr>
            </w:pPr>
            <w:r w:rsidRPr="00CB39D1">
              <w:rPr>
                <w:rFonts w:eastAsia="Times New Roman" w:cs="Times New Roman"/>
                <w:color w:val="auto"/>
                <w:sz w:val="18"/>
                <w:szCs w:val="18"/>
                <w:lang w:val="hy-AM"/>
              </w:rPr>
              <w:t>1898.7</w:t>
            </w:r>
          </w:p>
        </w:tc>
        <w:tc>
          <w:tcPr>
            <w:tcW w:w="1569" w:type="dxa"/>
            <w:noWrap/>
            <w:vAlign w:val="center"/>
          </w:tcPr>
          <w:p w14:paraId="6C6D1FDB" w14:textId="77777777" w:rsidR="00CB39D1" w:rsidRPr="00CB39D1" w:rsidRDefault="00CB39D1" w:rsidP="00CB39D1">
            <w:pPr>
              <w:spacing w:before="0" w:after="0" w:line="240" w:lineRule="auto"/>
              <w:jc w:val="center"/>
              <w:rPr>
                <w:rFonts w:eastAsia="Times New Roman" w:cs="Times New Roman"/>
                <w:color w:val="auto"/>
                <w:sz w:val="18"/>
                <w:szCs w:val="18"/>
                <w:lang w:val="hy-AM"/>
              </w:rPr>
            </w:pPr>
          </w:p>
        </w:tc>
      </w:tr>
      <w:tr w:rsidR="00CB39D1" w:rsidRPr="00CB39D1" w14:paraId="4D23AADD" w14:textId="77777777" w:rsidTr="00F82E03">
        <w:trPr>
          <w:trHeight w:val="432"/>
        </w:trPr>
        <w:tc>
          <w:tcPr>
            <w:tcW w:w="690" w:type="dxa"/>
            <w:vMerge w:val="restart"/>
            <w:noWrap/>
            <w:vAlign w:val="center"/>
            <w:hideMark/>
          </w:tcPr>
          <w:p w14:paraId="1AA48BBE" w14:textId="77777777" w:rsidR="00CB39D1" w:rsidRPr="00CB39D1" w:rsidRDefault="00CB39D1" w:rsidP="00CB39D1">
            <w:pPr>
              <w:spacing w:before="0" w:after="0" w:line="240" w:lineRule="auto"/>
              <w:jc w:val="center"/>
              <w:rPr>
                <w:rFonts w:eastAsia="Times New Roman" w:cs="Times New Roman"/>
                <w:color w:val="auto"/>
                <w:sz w:val="18"/>
                <w:szCs w:val="18"/>
              </w:rPr>
            </w:pPr>
            <w:r w:rsidRPr="00CB39D1">
              <w:rPr>
                <w:rFonts w:eastAsia="Times New Roman" w:cs="Times New Roman"/>
                <w:color w:val="auto"/>
                <w:sz w:val="18"/>
                <w:szCs w:val="18"/>
              </w:rPr>
              <w:t>2023</w:t>
            </w:r>
          </w:p>
        </w:tc>
        <w:tc>
          <w:tcPr>
            <w:tcW w:w="1075" w:type="dxa"/>
            <w:noWrap/>
            <w:vAlign w:val="center"/>
            <w:hideMark/>
          </w:tcPr>
          <w:p w14:paraId="3591CA72" w14:textId="77777777" w:rsidR="00CB39D1" w:rsidRPr="00CB39D1" w:rsidRDefault="00CB39D1" w:rsidP="00CB39D1">
            <w:pPr>
              <w:spacing w:before="0" w:after="0" w:line="240" w:lineRule="auto"/>
              <w:jc w:val="center"/>
              <w:rPr>
                <w:rFonts w:eastAsia="Times New Roman" w:cs="Times New Roman"/>
                <w:color w:val="auto"/>
                <w:sz w:val="18"/>
                <w:szCs w:val="18"/>
                <w:lang w:val="hy-AM"/>
              </w:rPr>
            </w:pPr>
            <w:r w:rsidRPr="00CB39D1">
              <w:rPr>
                <w:rFonts w:eastAsia="Times New Roman" w:cs="Times New Roman"/>
                <w:color w:val="auto"/>
                <w:sz w:val="18"/>
                <w:szCs w:val="18"/>
                <w:lang w:val="hy-AM"/>
              </w:rPr>
              <w:t>Սահման.</w:t>
            </w:r>
          </w:p>
        </w:tc>
        <w:tc>
          <w:tcPr>
            <w:tcW w:w="2215" w:type="dxa"/>
            <w:noWrap/>
            <w:vAlign w:val="center"/>
            <w:hideMark/>
          </w:tcPr>
          <w:p w14:paraId="351049C3" w14:textId="77777777" w:rsidR="00CB39D1" w:rsidRPr="00CB39D1" w:rsidRDefault="00CB39D1" w:rsidP="00CB39D1">
            <w:pPr>
              <w:spacing w:before="0" w:after="0" w:line="240" w:lineRule="auto"/>
              <w:jc w:val="center"/>
              <w:rPr>
                <w:rFonts w:eastAsia="Times New Roman" w:cs="Times New Roman"/>
                <w:color w:val="auto"/>
                <w:sz w:val="18"/>
                <w:szCs w:val="18"/>
                <w:lang w:val="hy-AM"/>
              </w:rPr>
            </w:pPr>
            <w:r w:rsidRPr="00CB39D1">
              <w:rPr>
                <w:rFonts w:eastAsia="Times New Roman" w:cs="Times New Roman"/>
                <w:color w:val="auto"/>
                <w:sz w:val="18"/>
                <w:szCs w:val="18"/>
                <w:lang w:val="hy-AM"/>
              </w:rPr>
              <w:t>274.0</w:t>
            </w:r>
          </w:p>
        </w:tc>
        <w:tc>
          <w:tcPr>
            <w:tcW w:w="2131" w:type="dxa"/>
            <w:noWrap/>
            <w:vAlign w:val="center"/>
            <w:hideMark/>
          </w:tcPr>
          <w:p w14:paraId="4CEA8938" w14:textId="77777777" w:rsidR="00CB39D1" w:rsidRPr="00CB39D1" w:rsidRDefault="00CB39D1" w:rsidP="00CB39D1">
            <w:pPr>
              <w:spacing w:before="0" w:after="0" w:line="240" w:lineRule="auto"/>
              <w:jc w:val="center"/>
              <w:rPr>
                <w:rFonts w:eastAsia="Times New Roman" w:cs="Times New Roman"/>
                <w:color w:val="auto"/>
                <w:sz w:val="18"/>
                <w:szCs w:val="18"/>
                <w:lang w:val="hy-AM"/>
              </w:rPr>
            </w:pPr>
            <w:r w:rsidRPr="00CB39D1">
              <w:rPr>
                <w:rFonts w:eastAsia="Times New Roman" w:cs="Times New Roman"/>
                <w:color w:val="auto"/>
                <w:sz w:val="18"/>
                <w:szCs w:val="18"/>
                <w:lang w:val="hy-AM"/>
              </w:rPr>
              <w:t>5.1</w:t>
            </w:r>
          </w:p>
        </w:tc>
        <w:tc>
          <w:tcPr>
            <w:tcW w:w="2046" w:type="dxa"/>
            <w:noWrap/>
            <w:vAlign w:val="center"/>
            <w:hideMark/>
          </w:tcPr>
          <w:p w14:paraId="5C9EF8D7" w14:textId="77777777" w:rsidR="00CB39D1" w:rsidRPr="00CB39D1" w:rsidRDefault="00CB39D1" w:rsidP="00CB39D1">
            <w:pPr>
              <w:spacing w:before="0" w:after="0" w:line="240" w:lineRule="auto"/>
              <w:jc w:val="center"/>
              <w:rPr>
                <w:rFonts w:eastAsia="Times New Roman" w:cs="Times New Roman"/>
                <w:color w:val="auto"/>
                <w:sz w:val="18"/>
                <w:szCs w:val="18"/>
                <w:lang w:val="hy-AM"/>
              </w:rPr>
            </w:pPr>
            <w:r w:rsidRPr="00CB39D1">
              <w:rPr>
                <w:rFonts w:eastAsia="Times New Roman" w:cs="Times New Roman"/>
                <w:color w:val="auto"/>
                <w:sz w:val="18"/>
                <w:szCs w:val="18"/>
                <w:lang w:val="hy-AM"/>
              </w:rPr>
              <w:t>2235.0</w:t>
            </w:r>
          </w:p>
        </w:tc>
        <w:tc>
          <w:tcPr>
            <w:tcW w:w="1569" w:type="dxa"/>
            <w:noWrap/>
            <w:vAlign w:val="center"/>
            <w:hideMark/>
          </w:tcPr>
          <w:p w14:paraId="59BD4597" w14:textId="77777777" w:rsidR="00CB39D1" w:rsidRPr="00CB39D1" w:rsidRDefault="00CB39D1" w:rsidP="00CB39D1">
            <w:pPr>
              <w:spacing w:before="0" w:after="0" w:line="240" w:lineRule="auto"/>
              <w:jc w:val="center"/>
              <w:rPr>
                <w:rFonts w:eastAsia="Times New Roman" w:cs="Times New Roman"/>
                <w:color w:val="auto"/>
                <w:sz w:val="18"/>
                <w:szCs w:val="18"/>
                <w:lang w:val="hy-AM"/>
              </w:rPr>
            </w:pPr>
            <w:r w:rsidRPr="00CB39D1">
              <w:rPr>
                <w:rFonts w:eastAsia="Times New Roman" w:cs="Times New Roman"/>
                <w:color w:val="auto"/>
                <w:sz w:val="18"/>
                <w:szCs w:val="18"/>
                <w:lang w:val="hy-AM"/>
              </w:rPr>
              <w:t>48.2</w:t>
            </w:r>
          </w:p>
        </w:tc>
      </w:tr>
      <w:tr w:rsidR="00CB39D1" w:rsidRPr="00CB39D1" w14:paraId="01106864" w14:textId="77777777" w:rsidTr="00F82E03">
        <w:trPr>
          <w:trHeight w:val="432"/>
        </w:trPr>
        <w:tc>
          <w:tcPr>
            <w:tcW w:w="690" w:type="dxa"/>
            <w:vMerge/>
            <w:noWrap/>
            <w:vAlign w:val="center"/>
            <w:hideMark/>
          </w:tcPr>
          <w:p w14:paraId="6C5EC789" w14:textId="77777777" w:rsidR="00CB39D1" w:rsidRPr="00CB39D1" w:rsidRDefault="00CB39D1" w:rsidP="00CB39D1">
            <w:pPr>
              <w:spacing w:before="0" w:after="0" w:line="240" w:lineRule="auto"/>
              <w:jc w:val="center"/>
              <w:rPr>
                <w:rFonts w:eastAsia="Times New Roman" w:cs="Times New Roman"/>
                <w:color w:val="auto"/>
                <w:sz w:val="18"/>
                <w:szCs w:val="18"/>
              </w:rPr>
            </w:pPr>
          </w:p>
        </w:tc>
        <w:tc>
          <w:tcPr>
            <w:tcW w:w="1075" w:type="dxa"/>
            <w:noWrap/>
            <w:vAlign w:val="center"/>
            <w:hideMark/>
          </w:tcPr>
          <w:p w14:paraId="0B19B827" w14:textId="77777777" w:rsidR="00CB39D1" w:rsidRPr="00CB39D1" w:rsidRDefault="00CB39D1" w:rsidP="00CB39D1">
            <w:pPr>
              <w:spacing w:before="0" w:after="0" w:line="240" w:lineRule="auto"/>
              <w:jc w:val="center"/>
              <w:rPr>
                <w:rFonts w:eastAsia="Times New Roman" w:cs="Times New Roman"/>
                <w:color w:val="auto"/>
                <w:sz w:val="18"/>
                <w:szCs w:val="18"/>
                <w:lang w:val="hy-AM"/>
              </w:rPr>
            </w:pPr>
            <w:r w:rsidRPr="00CB39D1">
              <w:rPr>
                <w:rFonts w:eastAsia="Times New Roman" w:cs="Times New Roman"/>
                <w:color w:val="auto"/>
                <w:sz w:val="18"/>
                <w:szCs w:val="18"/>
                <w:lang w:val="hy-AM"/>
              </w:rPr>
              <w:t>Պլան</w:t>
            </w:r>
          </w:p>
        </w:tc>
        <w:tc>
          <w:tcPr>
            <w:tcW w:w="2215" w:type="dxa"/>
            <w:noWrap/>
            <w:vAlign w:val="center"/>
            <w:hideMark/>
          </w:tcPr>
          <w:p w14:paraId="74BA5A80" w14:textId="77777777" w:rsidR="00CB39D1" w:rsidRPr="00CB39D1" w:rsidRDefault="00CB39D1" w:rsidP="00CB39D1">
            <w:pPr>
              <w:spacing w:before="0" w:after="0" w:line="240" w:lineRule="auto"/>
              <w:jc w:val="center"/>
              <w:rPr>
                <w:rFonts w:eastAsia="Times New Roman" w:cs="Times New Roman"/>
                <w:color w:val="auto"/>
                <w:sz w:val="18"/>
                <w:szCs w:val="18"/>
                <w:lang w:val="hy-AM"/>
              </w:rPr>
            </w:pPr>
            <w:r w:rsidRPr="00CB39D1">
              <w:rPr>
                <w:rFonts w:eastAsia="Times New Roman" w:cs="Times New Roman"/>
                <w:color w:val="auto"/>
                <w:sz w:val="18"/>
                <w:szCs w:val="18"/>
                <w:lang w:val="hy-AM"/>
              </w:rPr>
              <w:t>494.4</w:t>
            </w:r>
          </w:p>
        </w:tc>
        <w:tc>
          <w:tcPr>
            <w:tcW w:w="2131" w:type="dxa"/>
            <w:noWrap/>
            <w:vAlign w:val="center"/>
            <w:hideMark/>
          </w:tcPr>
          <w:p w14:paraId="2C2ED264" w14:textId="77777777" w:rsidR="00CB39D1" w:rsidRPr="00CB39D1" w:rsidRDefault="00CB39D1" w:rsidP="00CB39D1">
            <w:pPr>
              <w:spacing w:before="0" w:after="0" w:line="240" w:lineRule="auto"/>
              <w:jc w:val="center"/>
              <w:rPr>
                <w:rFonts w:eastAsia="Times New Roman" w:cs="Times New Roman"/>
                <w:color w:val="auto"/>
                <w:sz w:val="18"/>
                <w:szCs w:val="18"/>
                <w:lang w:val="hy-AM"/>
              </w:rPr>
            </w:pPr>
            <w:r w:rsidRPr="00CB39D1">
              <w:rPr>
                <w:rFonts w:eastAsia="Times New Roman" w:cs="Times New Roman"/>
                <w:color w:val="auto"/>
                <w:sz w:val="18"/>
                <w:szCs w:val="18"/>
                <w:lang w:val="hy-AM"/>
              </w:rPr>
              <w:t>5.9</w:t>
            </w:r>
          </w:p>
        </w:tc>
        <w:tc>
          <w:tcPr>
            <w:tcW w:w="2046" w:type="dxa"/>
            <w:noWrap/>
            <w:vAlign w:val="center"/>
            <w:hideMark/>
          </w:tcPr>
          <w:p w14:paraId="1B4A23C4" w14:textId="77777777" w:rsidR="00CB39D1" w:rsidRPr="00CB39D1" w:rsidRDefault="00CB39D1" w:rsidP="00CB39D1">
            <w:pPr>
              <w:spacing w:before="0" w:after="0" w:line="240" w:lineRule="auto"/>
              <w:jc w:val="center"/>
              <w:rPr>
                <w:rFonts w:eastAsia="Times New Roman" w:cs="Times New Roman"/>
                <w:color w:val="auto"/>
                <w:sz w:val="18"/>
                <w:szCs w:val="18"/>
                <w:lang w:val="hy-AM"/>
              </w:rPr>
            </w:pPr>
            <w:r w:rsidRPr="00CB39D1">
              <w:rPr>
                <w:rFonts w:eastAsia="Times New Roman" w:cs="Times New Roman"/>
                <w:color w:val="auto"/>
                <w:sz w:val="18"/>
                <w:szCs w:val="18"/>
                <w:lang w:val="hy-AM"/>
              </w:rPr>
              <w:t>2127.0</w:t>
            </w:r>
          </w:p>
        </w:tc>
        <w:tc>
          <w:tcPr>
            <w:tcW w:w="1569" w:type="dxa"/>
            <w:noWrap/>
            <w:vAlign w:val="center"/>
            <w:hideMark/>
          </w:tcPr>
          <w:p w14:paraId="064ADD17" w14:textId="77777777" w:rsidR="00CB39D1" w:rsidRPr="00CB39D1" w:rsidRDefault="00CB39D1" w:rsidP="00CB39D1">
            <w:pPr>
              <w:spacing w:before="0" w:after="0" w:line="240" w:lineRule="auto"/>
              <w:jc w:val="center"/>
              <w:rPr>
                <w:rFonts w:eastAsia="Times New Roman" w:cs="Times New Roman"/>
                <w:color w:val="auto"/>
                <w:sz w:val="18"/>
                <w:szCs w:val="18"/>
                <w:lang w:val="hy-AM"/>
              </w:rPr>
            </w:pPr>
          </w:p>
        </w:tc>
      </w:tr>
      <w:tr w:rsidR="00CB39D1" w:rsidRPr="00CB39D1" w14:paraId="561B4EAF" w14:textId="77777777" w:rsidTr="00F82E03">
        <w:trPr>
          <w:trHeight w:val="432"/>
        </w:trPr>
        <w:tc>
          <w:tcPr>
            <w:tcW w:w="690" w:type="dxa"/>
            <w:vMerge w:val="restart"/>
            <w:noWrap/>
            <w:vAlign w:val="center"/>
            <w:hideMark/>
          </w:tcPr>
          <w:p w14:paraId="6D817E2C" w14:textId="77777777" w:rsidR="00CB39D1" w:rsidRPr="00CB39D1" w:rsidRDefault="00CB39D1" w:rsidP="00CB39D1">
            <w:pPr>
              <w:spacing w:before="0" w:after="0" w:line="240" w:lineRule="auto"/>
              <w:jc w:val="center"/>
              <w:rPr>
                <w:rFonts w:eastAsia="Times New Roman" w:cs="Times New Roman"/>
                <w:color w:val="auto"/>
                <w:sz w:val="18"/>
                <w:szCs w:val="18"/>
              </w:rPr>
            </w:pPr>
            <w:r w:rsidRPr="00CB39D1">
              <w:rPr>
                <w:rFonts w:eastAsia="Times New Roman" w:cs="Times New Roman"/>
                <w:color w:val="auto"/>
                <w:sz w:val="18"/>
                <w:szCs w:val="18"/>
              </w:rPr>
              <w:t>2024</w:t>
            </w:r>
          </w:p>
        </w:tc>
        <w:tc>
          <w:tcPr>
            <w:tcW w:w="1075" w:type="dxa"/>
            <w:noWrap/>
            <w:vAlign w:val="center"/>
            <w:hideMark/>
          </w:tcPr>
          <w:p w14:paraId="1BD24085" w14:textId="77777777" w:rsidR="00CB39D1" w:rsidRPr="00CB39D1" w:rsidRDefault="00CB39D1" w:rsidP="00CB39D1">
            <w:pPr>
              <w:spacing w:before="0" w:after="0" w:line="240" w:lineRule="auto"/>
              <w:jc w:val="center"/>
              <w:rPr>
                <w:rFonts w:eastAsia="Times New Roman" w:cs="Times New Roman"/>
                <w:color w:val="auto"/>
                <w:sz w:val="18"/>
                <w:szCs w:val="18"/>
                <w:lang w:val="hy-AM"/>
              </w:rPr>
            </w:pPr>
            <w:r w:rsidRPr="00CB39D1">
              <w:rPr>
                <w:rFonts w:eastAsia="Times New Roman" w:cs="Times New Roman"/>
                <w:color w:val="auto"/>
                <w:sz w:val="18"/>
                <w:szCs w:val="18"/>
                <w:lang w:val="hy-AM"/>
              </w:rPr>
              <w:t>Սահման.</w:t>
            </w:r>
          </w:p>
        </w:tc>
        <w:tc>
          <w:tcPr>
            <w:tcW w:w="2215" w:type="dxa"/>
            <w:noWrap/>
            <w:vAlign w:val="center"/>
            <w:hideMark/>
          </w:tcPr>
          <w:p w14:paraId="6C01E7EF" w14:textId="77777777" w:rsidR="00CB39D1" w:rsidRPr="00CB39D1" w:rsidRDefault="00CB39D1" w:rsidP="00CB39D1">
            <w:pPr>
              <w:spacing w:before="0" w:after="0" w:line="240" w:lineRule="auto"/>
              <w:jc w:val="center"/>
              <w:rPr>
                <w:rFonts w:eastAsia="Times New Roman" w:cs="Times New Roman"/>
                <w:color w:val="auto"/>
                <w:sz w:val="18"/>
                <w:szCs w:val="18"/>
                <w:lang w:val="hy-AM"/>
              </w:rPr>
            </w:pPr>
            <w:r w:rsidRPr="00CB39D1">
              <w:rPr>
                <w:rFonts w:eastAsia="Times New Roman" w:cs="Times New Roman"/>
                <w:color w:val="auto"/>
                <w:sz w:val="18"/>
                <w:szCs w:val="18"/>
                <w:lang w:val="hy-AM"/>
              </w:rPr>
              <w:t>376.1</w:t>
            </w:r>
          </w:p>
        </w:tc>
        <w:tc>
          <w:tcPr>
            <w:tcW w:w="2131" w:type="dxa"/>
            <w:noWrap/>
            <w:vAlign w:val="center"/>
            <w:hideMark/>
          </w:tcPr>
          <w:p w14:paraId="202BAFD1" w14:textId="77777777" w:rsidR="00CB39D1" w:rsidRPr="00CB39D1" w:rsidRDefault="00CB39D1" w:rsidP="00CB39D1">
            <w:pPr>
              <w:spacing w:before="0" w:after="0" w:line="240" w:lineRule="auto"/>
              <w:jc w:val="center"/>
              <w:rPr>
                <w:rFonts w:eastAsia="Times New Roman" w:cs="Times New Roman"/>
                <w:color w:val="auto"/>
                <w:sz w:val="18"/>
                <w:szCs w:val="18"/>
                <w:lang w:val="hy-AM"/>
              </w:rPr>
            </w:pPr>
            <w:r w:rsidRPr="00CB39D1">
              <w:rPr>
                <w:rFonts w:eastAsia="Times New Roman" w:cs="Times New Roman"/>
                <w:color w:val="auto"/>
                <w:sz w:val="18"/>
                <w:szCs w:val="18"/>
                <w:lang w:val="hy-AM"/>
              </w:rPr>
              <w:t>-</w:t>
            </w:r>
          </w:p>
        </w:tc>
        <w:tc>
          <w:tcPr>
            <w:tcW w:w="2046" w:type="dxa"/>
            <w:noWrap/>
            <w:vAlign w:val="center"/>
            <w:hideMark/>
          </w:tcPr>
          <w:p w14:paraId="47049F4B" w14:textId="77777777" w:rsidR="00CB39D1" w:rsidRPr="00CB39D1" w:rsidRDefault="00CB39D1" w:rsidP="00CB39D1">
            <w:pPr>
              <w:spacing w:before="0" w:after="0" w:line="240" w:lineRule="auto"/>
              <w:jc w:val="center"/>
              <w:rPr>
                <w:rFonts w:eastAsia="Times New Roman" w:cs="Times New Roman"/>
                <w:color w:val="auto"/>
                <w:sz w:val="18"/>
                <w:szCs w:val="18"/>
                <w:lang w:val="hy-AM"/>
              </w:rPr>
            </w:pPr>
            <w:r w:rsidRPr="00CB39D1">
              <w:rPr>
                <w:rFonts w:eastAsia="Times New Roman" w:cs="Times New Roman"/>
                <w:color w:val="auto"/>
                <w:sz w:val="18"/>
                <w:szCs w:val="18"/>
                <w:lang w:val="hy-AM"/>
              </w:rPr>
              <w:t>-</w:t>
            </w:r>
          </w:p>
        </w:tc>
        <w:tc>
          <w:tcPr>
            <w:tcW w:w="1569" w:type="dxa"/>
            <w:noWrap/>
            <w:vAlign w:val="center"/>
            <w:hideMark/>
          </w:tcPr>
          <w:p w14:paraId="175FED32" w14:textId="77777777" w:rsidR="00CB39D1" w:rsidRPr="00CB39D1" w:rsidRDefault="00CB39D1" w:rsidP="00CB39D1">
            <w:pPr>
              <w:spacing w:before="0" w:after="0" w:line="240" w:lineRule="auto"/>
              <w:jc w:val="center"/>
              <w:rPr>
                <w:rFonts w:eastAsia="Times New Roman" w:cs="Times New Roman"/>
                <w:color w:val="auto"/>
                <w:sz w:val="18"/>
                <w:szCs w:val="18"/>
                <w:lang w:val="hy-AM"/>
              </w:rPr>
            </w:pPr>
            <w:r w:rsidRPr="00CB39D1">
              <w:rPr>
                <w:rFonts w:eastAsia="Times New Roman" w:cs="Times New Roman"/>
                <w:color w:val="auto"/>
                <w:sz w:val="18"/>
                <w:szCs w:val="18"/>
                <w:lang w:val="hy-AM"/>
              </w:rPr>
              <w:t>48.0</w:t>
            </w:r>
          </w:p>
        </w:tc>
      </w:tr>
      <w:tr w:rsidR="00CB39D1" w:rsidRPr="00CB39D1" w14:paraId="48253A13" w14:textId="77777777" w:rsidTr="00F82E03">
        <w:trPr>
          <w:trHeight w:val="432"/>
        </w:trPr>
        <w:tc>
          <w:tcPr>
            <w:tcW w:w="690" w:type="dxa"/>
            <w:vMerge/>
            <w:noWrap/>
            <w:vAlign w:val="center"/>
            <w:hideMark/>
          </w:tcPr>
          <w:p w14:paraId="70A68044" w14:textId="77777777" w:rsidR="00CB39D1" w:rsidRPr="00CB39D1" w:rsidRDefault="00CB39D1" w:rsidP="00CB39D1">
            <w:pPr>
              <w:spacing w:before="0" w:after="0" w:line="240" w:lineRule="auto"/>
              <w:jc w:val="center"/>
              <w:rPr>
                <w:rFonts w:eastAsia="Times New Roman" w:cs="Times New Roman"/>
                <w:color w:val="auto"/>
                <w:sz w:val="18"/>
                <w:szCs w:val="18"/>
              </w:rPr>
            </w:pPr>
          </w:p>
        </w:tc>
        <w:tc>
          <w:tcPr>
            <w:tcW w:w="1075" w:type="dxa"/>
            <w:noWrap/>
            <w:vAlign w:val="center"/>
            <w:hideMark/>
          </w:tcPr>
          <w:p w14:paraId="3E9391BC" w14:textId="77777777" w:rsidR="00CB39D1" w:rsidRPr="00CB39D1" w:rsidRDefault="00CB39D1" w:rsidP="00CB39D1">
            <w:pPr>
              <w:spacing w:before="0" w:after="0" w:line="240" w:lineRule="auto"/>
              <w:jc w:val="center"/>
              <w:rPr>
                <w:rFonts w:eastAsia="Times New Roman" w:cs="Times New Roman"/>
                <w:color w:val="auto"/>
                <w:sz w:val="18"/>
                <w:szCs w:val="18"/>
                <w:lang w:val="hy-AM"/>
              </w:rPr>
            </w:pPr>
            <w:r w:rsidRPr="00CB39D1">
              <w:rPr>
                <w:rFonts w:eastAsia="Times New Roman" w:cs="Times New Roman"/>
                <w:color w:val="auto"/>
                <w:sz w:val="18"/>
                <w:szCs w:val="18"/>
                <w:lang w:val="hy-AM"/>
              </w:rPr>
              <w:t>Պլան</w:t>
            </w:r>
          </w:p>
        </w:tc>
        <w:tc>
          <w:tcPr>
            <w:tcW w:w="2215" w:type="dxa"/>
            <w:noWrap/>
            <w:vAlign w:val="center"/>
            <w:hideMark/>
          </w:tcPr>
          <w:p w14:paraId="3E4ABBD4" w14:textId="77777777" w:rsidR="00CB39D1" w:rsidRPr="00CB39D1" w:rsidRDefault="00CB39D1" w:rsidP="00CB39D1">
            <w:pPr>
              <w:spacing w:before="0" w:after="0" w:line="240" w:lineRule="auto"/>
              <w:jc w:val="center"/>
              <w:rPr>
                <w:rFonts w:eastAsia="Times New Roman" w:cs="Times New Roman"/>
                <w:color w:val="auto"/>
                <w:sz w:val="18"/>
                <w:szCs w:val="18"/>
                <w:lang w:val="hy-AM"/>
              </w:rPr>
            </w:pPr>
            <w:r w:rsidRPr="00CB39D1">
              <w:rPr>
                <w:rFonts w:eastAsia="Times New Roman" w:cs="Times New Roman"/>
                <w:color w:val="auto"/>
                <w:sz w:val="18"/>
                <w:szCs w:val="18"/>
                <w:lang w:val="hy-AM"/>
              </w:rPr>
              <w:t>557.8</w:t>
            </w:r>
          </w:p>
        </w:tc>
        <w:tc>
          <w:tcPr>
            <w:tcW w:w="2131" w:type="dxa"/>
            <w:noWrap/>
            <w:vAlign w:val="center"/>
            <w:hideMark/>
          </w:tcPr>
          <w:p w14:paraId="54148862" w14:textId="77777777" w:rsidR="00CB39D1" w:rsidRPr="00CB39D1" w:rsidRDefault="00CB39D1" w:rsidP="00CB39D1">
            <w:pPr>
              <w:spacing w:before="0" w:after="0" w:line="240" w:lineRule="auto"/>
              <w:jc w:val="center"/>
              <w:rPr>
                <w:rFonts w:eastAsia="Times New Roman" w:cs="Times New Roman"/>
                <w:color w:val="auto"/>
                <w:sz w:val="18"/>
                <w:szCs w:val="18"/>
                <w:lang w:val="hy-AM"/>
              </w:rPr>
            </w:pPr>
            <w:r w:rsidRPr="00CB39D1">
              <w:rPr>
                <w:rFonts w:eastAsia="Times New Roman" w:cs="Times New Roman"/>
                <w:color w:val="auto"/>
                <w:sz w:val="18"/>
                <w:szCs w:val="18"/>
                <w:lang w:val="hy-AM"/>
              </w:rPr>
              <w:t>13.1</w:t>
            </w:r>
          </w:p>
        </w:tc>
        <w:tc>
          <w:tcPr>
            <w:tcW w:w="2046" w:type="dxa"/>
            <w:noWrap/>
            <w:vAlign w:val="center"/>
            <w:hideMark/>
          </w:tcPr>
          <w:p w14:paraId="32C105AC" w14:textId="77777777" w:rsidR="00CB39D1" w:rsidRPr="00CB39D1" w:rsidRDefault="00CB39D1" w:rsidP="00CB39D1">
            <w:pPr>
              <w:spacing w:before="0" w:after="0" w:line="240" w:lineRule="auto"/>
              <w:jc w:val="center"/>
              <w:rPr>
                <w:rFonts w:eastAsia="Times New Roman" w:cs="Times New Roman"/>
                <w:color w:val="auto"/>
                <w:sz w:val="18"/>
                <w:szCs w:val="18"/>
                <w:lang w:val="hy-AM"/>
              </w:rPr>
            </w:pPr>
            <w:r w:rsidRPr="00CB39D1">
              <w:rPr>
                <w:rFonts w:eastAsia="Times New Roman" w:cs="Times New Roman"/>
                <w:color w:val="auto"/>
                <w:sz w:val="18"/>
                <w:szCs w:val="18"/>
                <w:lang w:val="hy-AM"/>
              </w:rPr>
              <w:t>2413.6</w:t>
            </w:r>
          </w:p>
        </w:tc>
        <w:tc>
          <w:tcPr>
            <w:tcW w:w="1569" w:type="dxa"/>
            <w:noWrap/>
            <w:vAlign w:val="center"/>
            <w:hideMark/>
          </w:tcPr>
          <w:p w14:paraId="32036ACE" w14:textId="77777777" w:rsidR="00CB39D1" w:rsidRPr="00CB39D1" w:rsidRDefault="00CB39D1" w:rsidP="00CB39D1">
            <w:pPr>
              <w:spacing w:before="0" w:after="0" w:line="240" w:lineRule="auto"/>
              <w:jc w:val="center"/>
              <w:rPr>
                <w:rFonts w:eastAsia="Times New Roman" w:cs="Times New Roman"/>
                <w:color w:val="auto"/>
                <w:sz w:val="18"/>
                <w:szCs w:val="18"/>
                <w:lang w:val="hy-AM"/>
              </w:rPr>
            </w:pPr>
          </w:p>
        </w:tc>
      </w:tr>
      <w:tr w:rsidR="00906432" w:rsidRPr="00CB39D1" w14:paraId="751BF936" w14:textId="77777777" w:rsidTr="00F82E03">
        <w:trPr>
          <w:trHeight w:val="432"/>
        </w:trPr>
        <w:tc>
          <w:tcPr>
            <w:tcW w:w="690" w:type="dxa"/>
            <w:vMerge w:val="restart"/>
            <w:noWrap/>
            <w:vAlign w:val="center"/>
            <w:hideMark/>
          </w:tcPr>
          <w:p w14:paraId="5731D18E" w14:textId="77777777" w:rsidR="00906432" w:rsidRPr="00CB39D1" w:rsidRDefault="00906432" w:rsidP="00906432">
            <w:pPr>
              <w:spacing w:before="0" w:after="0" w:line="240" w:lineRule="auto"/>
              <w:jc w:val="center"/>
              <w:rPr>
                <w:rFonts w:eastAsia="Times New Roman" w:cs="Times New Roman"/>
                <w:color w:val="auto"/>
                <w:sz w:val="18"/>
                <w:szCs w:val="18"/>
              </w:rPr>
            </w:pPr>
            <w:r w:rsidRPr="00CB39D1">
              <w:rPr>
                <w:rFonts w:eastAsia="Times New Roman" w:cs="Times New Roman"/>
                <w:color w:val="auto"/>
                <w:sz w:val="18"/>
                <w:szCs w:val="18"/>
              </w:rPr>
              <w:t>2025</w:t>
            </w:r>
          </w:p>
        </w:tc>
        <w:tc>
          <w:tcPr>
            <w:tcW w:w="1075" w:type="dxa"/>
            <w:noWrap/>
            <w:vAlign w:val="center"/>
            <w:hideMark/>
          </w:tcPr>
          <w:p w14:paraId="2D410895" w14:textId="77777777" w:rsidR="00906432" w:rsidRPr="00CB39D1" w:rsidRDefault="00906432" w:rsidP="00906432">
            <w:pPr>
              <w:spacing w:before="0" w:after="0" w:line="240" w:lineRule="auto"/>
              <w:jc w:val="center"/>
              <w:rPr>
                <w:rFonts w:eastAsia="Times New Roman" w:cs="Times New Roman"/>
                <w:color w:val="auto"/>
                <w:sz w:val="18"/>
                <w:szCs w:val="18"/>
                <w:lang w:val="hy-AM"/>
              </w:rPr>
            </w:pPr>
            <w:r w:rsidRPr="00CB39D1">
              <w:rPr>
                <w:rFonts w:eastAsia="Times New Roman" w:cs="Times New Roman"/>
                <w:color w:val="auto"/>
                <w:sz w:val="18"/>
                <w:szCs w:val="18"/>
                <w:lang w:val="hy-AM"/>
              </w:rPr>
              <w:t>Սահման.</w:t>
            </w:r>
          </w:p>
        </w:tc>
        <w:tc>
          <w:tcPr>
            <w:tcW w:w="2215" w:type="dxa"/>
            <w:noWrap/>
            <w:vAlign w:val="center"/>
            <w:hideMark/>
          </w:tcPr>
          <w:p w14:paraId="32F3075C" w14:textId="1C71A5D4" w:rsidR="00906432" w:rsidRPr="00CB39D1" w:rsidRDefault="00906432" w:rsidP="00906432">
            <w:pPr>
              <w:spacing w:before="0" w:after="0" w:line="240" w:lineRule="auto"/>
              <w:jc w:val="center"/>
              <w:rPr>
                <w:rFonts w:eastAsia="Times New Roman" w:cs="Times New Roman"/>
                <w:color w:val="auto"/>
                <w:sz w:val="18"/>
                <w:szCs w:val="18"/>
                <w:lang w:val="hy-AM"/>
              </w:rPr>
            </w:pPr>
            <w:r w:rsidRPr="00F82E03">
              <w:rPr>
                <w:rFonts w:eastAsia="Times New Roman" w:cs="Times New Roman"/>
                <w:color w:val="auto"/>
                <w:sz w:val="18"/>
                <w:szCs w:val="18"/>
                <w:lang w:val="hy-AM"/>
              </w:rPr>
              <w:t>599.8</w:t>
            </w:r>
          </w:p>
        </w:tc>
        <w:tc>
          <w:tcPr>
            <w:tcW w:w="2131" w:type="dxa"/>
            <w:noWrap/>
            <w:vAlign w:val="center"/>
            <w:hideMark/>
          </w:tcPr>
          <w:p w14:paraId="306E15FC" w14:textId="4EF388D0" w:rsidR="00906432" w:rsidRPr="00CB39D1" w:rsidRDefault="00906432" w:rsidP="00906432">
            <w:pPr>
              <w:spacing w:before="0" w:after="0" w:line="240" w:lineRule="auto"/>
              <w:jc w:val="center"/>
              <w:rPr>
                <w:rFonts w:eastAsia="Times New Roman" w:cs="Times New Roman"/>
                <w:color w:val="auto"/>
                <w:sz w:val="18"/>
                <w:szCs w:val="18"/>
                <w:lang w:val="hy-AM"/>
              </w:rPr>
            </w:pPr>
            <w:r w:rsidRPr="00F82E03">
              <w:rPr>
                <w:rFonts w:eastAsia="Times New Roman" w:cs="Times New Roman"/>
                <w:color w:val="auto"/>
                <w:sz w:val="18"/>
                <w:szCs w:val="18"/>
                <w:lang w:val="hy-AM"/>
              </w:rPr>
              <w:t>-</w:t>
            </w:r>
          </w:p>
        </w:tc>
        <w:tc>
          <w:tcPr>
            <w:tcW w:w="2046" w:type="dxa"/>
            <w:noWrap/>
            <w:vAlign w:val="center"/>
            <w:hideMark/>
          </w:tcPr>
          <w:p w14:paraId="0A4E3BEB" w14:textId="6FD46262" w:rsidR="00906432" w:rsidRPr="00CB39D1" w:rsidRDefault="00906432" w:rsidP="00906432">
            <w:pPr>
              <w:spacing w:before="0" w:after="0" w:line="240" w:lineRule="auto"/>
              <w:jc w:val="center"/>
              <w:rPr>
                <w:rFonts w:eastAsia="Times New Roman" w:cs="Times New Roman"/>
                <w:color w:val="auto"/>
                <w:sz w:val="18"/>
                <w:szCs w:val="18"/>
                <w:lang w:val="hy-AM"/>
              </w:rPr>
            </w:pPr>
            <w:r w:rsidRPr="00F82E03">
              <w:rPr>
                <w:rFonts w:eastAsia="Times New Roman" w:cs="Times New Roman"/>
                <w:color w:val="auto"/>
                <w:sz w:val="18"/>
                <w:szCs w:val="18"/>
                <w:lang w:val="hy-AM"/>
              </w:rPr>
              <w:t>-</w:t>
            </w:r>
          </w:p>
        </w:tc>
        <w:tc>
          <w:tcPr>
            <w:tcW w:w="1569" w:type="dxa"/>
            <w:noWrap/>
            <w:vAlign w:val="center"/>
            <w:hideMark/>
          </w:tcPr>
          <w:p w14:paraId="765D51E7" w14:textId="41CF4D1A" w:rsidR="00906432" w:rsidRPr="00CB39D1" w:rsidRDefault="00906432" w:rsidP="00906432">
            <w:pPr>
              <w:spacing w:before="0" w:after="0" w:line="240" w:lineRule="auto"/>
              <w:jc w:val="center"/>
              <w:rPr>
                <w:rFonts w:eastAsia="Times New Roman" w:cs="Times New Roman"/>
                <w:color w:val="auto"/>
                <w:sz w:val="18"/>
                <w:szCs w:val="18"/>
                <w:lang w:val="hy-AM"/>
              </w:rPr>
            </w:pPr>
            <w:r w:rsidRPr="00F82E03">
              <w:rPr>
                <w:rFonts w:eastAsia="Times New Roman" w:cs="Times New Roman"/>
                <w:color w:val="auto"/>
                <w:sz w:val="18"/>
                <w:szCs w:val="18"/>
                <w:lang w:val="hy-AM"/>
              </w:rPr>
              <w:t>49.5</w:t>
            </w:r>
          </w:p>
        </w:tc>
      </w:tr>
      <w:tr w:rsidR="00906432" w:rsidRPr="00CB39D1" w14:paraId="5E881AA3" w14:textId="77777777" w:rsidTr="00F82E03">
        <w:trPr>
          <w:trHeight w:val="432"/>
        </w:trPr>
        <w:tc>
          <w:tcPr>
            <w:tcW w:w="690" w:type="dxa"/>
            <w:vMerge/>
            <w:noWrap/>
            <w:vAlign w:val="center"/>
            <w:hideMark/>
          </w:tcPr>
          <w:p w14:paraId="4D3474D8" w14:textId="77777777" w:rsidR="00906432" w:rsidRPr="00CB39D1" w:rsidRDefault="00906432" w:rsidP="00906432">
            <w:pPr>
              <w:spacing w:before="0" w:after="0" w:line="240" w:lineRule="auto"/>
              <w:jc w:val="center"/>
              <w:rPr>
                <w:rFonts w:eastAsia="Times New Roman" w:cs="Times New Roman"/>
                <w:color w:val="auto"/>
                <w:sz w:val="18"/>
                <w:szCs w:val="18"/>
              </w:rPr>
            </w:pPr>
          </w:p>
        </w:tc>
        <w:tc>
          <w:tcPr>
            <w:tcW w:w="1075" w:type="dxa"/>
            <w:noWrap/>
            <w:vAlign w:val="center"/>
            <w:hideMark/>
          </w:tcPr>
          <w:p w14:paraId="70734F6B" w14:textId="77777777" w:rsidR="00906432" w:rsidRPr="00CB39D1" w:rsidRDefault="00906432" w:rsidP="00906432">
            <w:pPr>
              <w:spacing w:before="0" w:after="0" w:line="240" w:lineRule="auto"/>
              <w:jc w:val="center"/>
              <w:rPr>
                <w:rFonts w:eastAsia="Times New Roman" w:cs="Times New Roman"/>
                <w:color w:val="auto"/>
                <w:sz w:val="18"/>
                <w:szCs w:val="18"/>
                <w:lang w:val="hy-AM"/>
              </w:rPr>
            </w:pPr>
            <w:r w:rsidRPr="00CB39D1">
              <w:rPr>
                <w:rFonts w:eastAsia="Times New Roman" w:cs="Times New Roman"/>
                <w:color w:val="auto"/>
                <w:sz w:val="18"/>
                <w:szCs w:val="18"/>
                <w:lang w:val="hy-AM"/>
              </w:rPr>
              <w:t>Պլան</w:t>
            </w:r>
          </w:p>
        </w:tc>
        <w:tc>
          <w:tcPr>
            <w:tcW w:w="2215" w:type="dxa"/>
            <w:noWrap/>
            <w:vAlign w:val="center"/>
            <w:hideMark/>
          </w:tcPr>
          <w:p w14:paraId="12BAAA9E" w14:textId="48CDAFE4" w:rsidR="00906432" w:rsidRPr="00CB39D1" w:rsidRDefault="00906432" w:rsidP="00906432">
            <w:pPr>
              <w:spacing w:before="0" w:after="0" w:line="240" w:lineRule="auto"/>
              <w:jc w:val="center"/>
              <w:rPr>
                <w:rFonts w:eastAsia="Times New Roman" w:cs="Times New Roman"/>
                <w:color w:val="auto"/>
                <w:sz w:val="18"/>
                <w:szCs w:val="18"/>
                <w:lang w:val="hy-AM"/>
              </w:rPr>
            </w:pPr>
            <w:r w:rsidRPr="00F82E03">
              <w:rPr>
                <w:rFonts w:eastAsia="Times New Roman" w:cs="Times New Roman"/>
                <w:color w:val="auto"/>
                <w:sz w:val="18"/>
                <w:szCs w:val="18"/>
                <w:lang w:val="hy-AM"/>
              </w:rPr>
              <w:t>744.9</w:t>
            </w:r>
          </w:p>
        </w:tc>
        <w:tc>
          <w:tcPr>
            <w:tcW w:w="2131" w:type="dxa"/>
            <w:noWrap/>
            <w:vAlign w:val="center"/>
            <w:hideMark/>
          </w:tcPr>
          <w:p w14:paraId="1E3034DC" w14:textId="15E1A8AE" w:rsidR="00906432" w:rsidRPr="00CB39D1" w:rsidRDefault="00906432" w:rsidP="00906432">
            <w:pPr>
              <w:spacing w:before="0" w:after="0" w:line="240" w:lineRule="auto"/>
              <w:jc w:val="center"/>
              <w:rPr>
                <w:rFonts w:eastAsia="Times New Roman" w:cs="Times New Roman"/>
                <w:color w:val="auto"/>
                <w:sz w:val="18"/>
                <w:szCs w:val="18"/>
                <w:lang w:val="hy-AM"/>
              </w:rPr>
            </w:pPr>
            <w:r w:rsidRPr="00F82E03">
              <w:rPr>
                <w:rFonts w:eastAsia="Times New Roman" w:cs="Times New Roman"/>
                <w:color w:val="auto"/>
                <w:sz w:val="18"/>
                <w:szCs w:val="18"/>
                <w:lang w:val="hy-AM"/>
              </w:rPr>
              <w:t>13.7</w:t>
            </w:r>
          </w:p>
        </w:tc>
        <w:tc>
          <w:tcPr>
            <w:tcW w:w="2046" w:type="dxa"/>
            <w:noWrap/>
            <w:vAlign w:val="center"/>
            <w:hideMark/>
          </w:tcPr>
          <w:p w14:paraId="3A689E02" w14:textId="0D10CF70" w:rsidR="00906432" w:rsidRPr="00CB39D1" w:rsidRDefault="00906432" w:rsidP="00906432">
            <w:pPr>
              <w:spacing w:before="0" w:after="0" w:line="240" w:lineRule="auto"/>
              <w:jc w:val="center"/>
              <w:rPr>
                <w:rFonts w:eastAsia="Times New Roman" w:cs="Times New Roman"/>
                <w:color w:val="auto"/>
                <w:sz w:val="18"/>
                <w:szCs w:val="18"/>
                <w:lang w:val="hy-AM"/>
              </w:rPr>
            </w:pPr>
            <w:r w:rsidRPr="00F82E03">
              <w:rPr>
                <w:rFonts w:eastAsia="Times New Roman" w:cs="Times New Roman"/>
                <w:color w:val="auto"/>
                <w:sz w:val="18"/>
                <w:szCs w:val="18"/>
                <w:lang w:val="hy-AM"/>
              </w:rPr>
              <w:t>2702.8</w:t>
            </w:r>
          </w:p>
        </w:tc>
        <w:tc>
          <w:tcPr>
            <w:tcW w:w="1569" w:type="dxa"/>
            <w:noWrap/>
            <w:vAlign w:val="center"/>
            <w:hideMark/>
          </w:tcPr>
          <w:p w14:paraId="5A829482" w14:textId="77777777" w:rsidR="00906432" w:rsidRPr="00CB39D1" w:rsidRDefault="00906432" w:rsidP="00906432">
            <w:pPr>
              <w:spacing w:before="0" w:after="0" w:line="240" w:lineRule="auto"/>
              <w:jc w:val="center"/>
              <w:rPr>
                <w:rFonts w:eastAsia="Times New Roman" w:cs="Times New Roman"/>
                <w:color w:val="auto"/>
                <w:sz w:val="18"/>
                <w:szCs w:val="18"/>
                <w:lang w:val="hy-AM"/>
              </w:rPr>
            </w:pPr>
          </w:p>
        </w:tc>
      </w:tr>
      <w:tr w:rsidR="00906432" w:rsidRPr="00CB39D1" w14:paraId="049FAA31" w14:textId="77777777" w:rsidTr="00F82E03">
        <w:trPr>
          <w:trHeight w:val="432"/>
        </w:trPr>
        <w:tc>
          <w:tcPr>
            <w:tcW w:w="690" w:type="dxa"/>
            <w:vMerge w:val="restart"/>
            <w:noWrap/>
            <w:vAlign w:val="center"/>
            <w:hideMark/>
          </w:tcPr>
          <w:p w14:paraId="2672D022" w14:textId="77777777" w:rsidR="00906432" w:rsidRPr="00CB39D1" w:rsidRDefault="00906432" w:rsidP="00906432">
            <w:pPr>
              <w:spacing w:before="0" w:after="0" w:line="240" w:lineRule="auto"/>
              <w:jc w:val="center"/>
              <w:rPr>
                <w:rFonts w:eastAsia="Times New Roman" w:cs="Times New Roman"/>
                <w:color w:val="auto"/>
                <w:sz w:val="18"/>
                <w:szCs w:val="18"/>
              </w:rPr>
            </w:pPr>
            <w:r w:rsidRPr="00CB39D1">
              <w:rPr>
                <w:rFonts w:eastAsia="Times New Roman" w:cs="Times New Roman"/>
                <w:color w:val="auto"/>
                <w:sz w:val="18"/>
                <w:szCs w:val="18"/>
              </w:rPr>
              <w:t>2026</w:t>
            </w:r>
          </w:p>
        </w:tc>
        <w:tc>
          <w:tcPr>
            <w:tcW w:w="1075" w:type="dxa"/>
            <w:noWrap/>
            <w:vAlign w:val="center"/>
            <w:hideMark/>
          </w:tcPr>
          <w:p w14:paraId="1DA777EE" w14:textId="77777777" w:rsidR="00906432" w:rsidRPr="00CB39D1" w:rsidRDefault="00906432" w:rsidP="00906432">
            <w:pPr>
              <w:spacing w:before="0" w:after="0" w:line="240" w:lineRule="auto"/>
              <w:jc w:val="center"/>
              <w:rPr>
                <w:rFonts w:eastAsia="Times New Roman" w:cs="Times New Roman"/>
                <w:color w:val="auto"/>
                <w:sz w:val="18"/>
                <w:szCs w:val="18"/>
                <w:lang w:val="hy-AM"/>
              </w:rPr>
            </w:pPr>
            <w:r w:rsidRPr="00CB39D1">
              <w:rPr>
                <w:rFonts w:eastAsia="Times New Roman" w:cs="Times New Roman"/>
                <w:color w:val="auto"/>
                <w:sz w:val="18"/>
                <w:szCs w:val="18"/>
                <w:lang w:val="hy-AM"/>
              </w:rPr>
              <w:t>Սահման.</w:t>
            </w:r>
          </w:p>
        </w:tc>
        <w:tc>
          <w:tcPr>
            <w:tcW w:w="2215" w:type="dxa"/>
            <w:noWrap/>
            <w:vAlign w:val="center"/>
            <w:hideMark/>
          </w:tcPr>
          <w:p w14:paraId="3CB09531" w14:textId="58F2C651" w:rsidR="00906432" w:rsidRPr="00CB39D1" w:rsidRDefault="00906432" w:rsidP="00906432">
            <w:pPr>
              <w:spacing w:before="0" w:after="0" w:line="240" w:lineRule="auto"/>
              <w:jc w:val="center"/>
              <w:rPr>
                <w:rFonts w:eastAsia="Times New Roman" w:cs="Times New Roman"/>
                <w:color w:val="auto"/>
                <w:sz w:val="18"/>
                <w:szCs w:val="18"/>
                <w:lang w:val="hy-AM"/>
              </w:rPr>
            </w:pPr>
            <w:r w:rsidRPr="00F82E03">
              <w:rPr>
                <w:rFonts w:eastAsia="Times New Roman" w:cs="Times New Roman"/>
                <w:color w:val="auto"/>
                <w:sz w:val="18"/>
                <w:szCs w:val="18"/>
                <w:lang w:val="hy-AM"/>
              </w:rPr>
              <w:t>536.8</w:t>
            </w:r>
          </w:p>
        </w:tc>
        <w:tc>
          <w:tcPr>
            <w:tcW w:w="2131" w:type="dxa"/>
            <w:noWrap/>
            <w:vAlign w:val="center"/>
            <w:hideMark/>
          </w:tcPr>
          <w:p w14:paraId="5D584753" w14:textId="74AEE7F7" w:rsidR="00906432" w:rsidRPr="00CB39D1" w:rsidRDefault="00906432" w:rsidP="00906432">
            <w:pPr>
              <w:spacing w:before="0" w:after="0" w:line="240" w:lineRule="auto"/>
              <w:jc w:val="center"/>
              <w:rPr>
                <w:rFonts w:eastAsia="Times New Roman" w:cs="Times New Roman"/>
                <w:color w:val="auto"/>
                <w:sz w:val="18"/>
                <w:szCs w:val="18"/>
                <w:lang w:val="hy-AM"/>
              </w:rPr>
            </w:pPr>
            <w:r w:rsidRPr="00F82E03">
              <w:rPr>
                <w:rFonts w:eastAsia="Times New Roman" w:cs="Times New Roman"/>
                <w:color w:val="auto"/>
                <w:sz w:val="18"/>
                <w:szCs w:val="18"/>
                <w:lang w:val="hy-AM"/>
              </w:rPr>
              <w:t>9.3</w:t>
            </w:r>
          </w:p>
        </w:tc>
        <w:tc>
          <w:tcPr>
            <w:tcW w:w="2046" w:type="dxa"/>
            <w:noWrap/>
            <w:vAlign w:val="center"/>
            <w:hideMark/>
          </w:tcPr>
          <w:p w14:paraId="1EB522C8" w14:textId="7505E710" w:rsidR="00906432" w:rsidRPr="00CB39D1" w:rsidRDefault="00906432" w:rsidP="00906432">
            <w:pPr>
              <w:spacing w:before="0" w:after="0" w:line="240" w:lineRule="auto"/>
              <w:jc w:val="center"/>
              <w:rPr>
                <w:rFonts w:eastAsia="Times New Roman" w:cs="Times New Roman"/>
                <w:color w:val="auto"/>
                <w:sz w:val="18"/>
                <w:szCs w:val="18"/>
                <w:lang w:val="hy-AM"/>
              </w:rPr>
            </w:pPr>
            <w:r w:rsidRPr="00F82E03">
              <w:rPr>
                <w:rFonts w:eastAsia="Times New Roman" w:cs="Times New Roman"/>
                <w:color w:val="auto"/>
                <w:sz w:val="18"/>
                <w:szCs w:val="18"/>
                <w:lang w:val="hy-AM"/>
              </w:rPr>
              <w:t>-</w:t>
            </w:r>
          </w:p>
        </w:tc>
        <w:tc>
          <w:tcPr>
            <w:tcW w:w="1569" w:type="dxa"/>
            <w:noWrap/>
            <w:vAlign w:val="center"/>
            <w:hideMark/>
          </w:tcPr>
          <w:p w14:paraId="26040E27" w14:textId="7E7E4639" w:rsidR="00906432" w:rsidRPr="00CB39D1" w:rsidRDefault="00906432" w:rsidP="00906432">
            <w:pPr>
              <w:spacing w:before="0" w:after="0" w:line="240" w:lineRule="auto"/>
              <w:jc w:val="center"/>
              <w:rPr>
                <w:rFonts w:eastAsia="Times New Roman" w:cs="Times New Roman"/>
                <w:color w:val="auto"/>
                <w:sz w:val="18"/>
                <w:szCs w:val="18"/>
                <w:lang w:val="hy-AM"/>
              </w:rPr>
            </w:pPr>
            <w:r w:rsidRPr="00F82E03">
              <w:rPr>
                <w:rFonts w:eastAsia="Times New Roman" w:cs="Times New Roman"/>
                <w:color w:val="auto"/>
                <w:sz w:val="18"/>
                <w:szCs w:val="18"/>
                <w:lang w:val="hy-AM"/>
              </w:rPr>
              <w:t>52.9</w:t>
            </w:r>
          </w:p>
        </w:tc>
      </w:tr>
      <w:tr w:rsidR="00906432" w:rsidRPr="00CB39D1" w14:paraId="3106338C" w14:textId="77777777" w:rsidTr="00F82E03">
        <w:trPr>
          <w:trHeight w:val="432"/>
        </w:trPr>
        <w:tc>
          <w:tcPr>
            <w:tcW w:w="690" w:type="dxa"/>
            <w:vMerge/>
            <w:noWrap/>
            <w:vAlign w:val="center"/>
            <w:hideMark/>
          </w:tcPr>
          <w:p w14:paraId="7C50B9DE" w14:textId="77777777" w:rsidR="00906432" w:rsidRPr="00CB39D1" w:rsidRDefault="00906432" w:rsidP="00906432">
            <w:pPr>
              <w:spacing w:before="0" w:after="0" w:line="240" w:lineRule="auto"/>
              <w:jc w:val="center"/>
              <w:rPr>
                <w:rFonts w:eastAsia="Times New Roman" w:cs="Times New Roman"/>
                <w:color w:val="auto"/>
                <w:sz w:val="18"/>
                <w:szCs w:val="18"/>
              </w:rPr>
            </w:pPr>
          </w:p>
        </w:tc>
        <w:tc>
          <w:tcPr>
            <w:tcW w:w="1075" w:type="dxa"/>
            <w:noWrap/>
            <w:vAlign w:val="center"/>
            <w:hideMark/>
          </w:tcPr>
          <w:p w14:paraId="3FF76FF6" w14:textId="77777777" w:rsidR="00906432" w:rsidRPr="00CB39D1" w:rsidRDefault="00906432" w:rsidP="00906432">
            <w:pPr>
              <w:spacing w:before="0" w:after="0" w:line="240" w:lineRule="auto"/>
              <w:jc w:val="center"/>
              <w:rPr>
                <w:rFonts w:eastAsia="Times New Roman" w:cs="Times New Roman"/>
                <w:color w:val="auto"/>
                <w:sz w:val="18"/>
                <w:szCs w:val="18"/>
                <w:lang w:val="hy-AM"/>
              </w:rPr>
            </w:pPr>
            <w:r w:rsidRPr="00CB39D1">
              <w:rPr>
                <w:rFonts w:eastAsia="Times New Roman" w:cs="Times New Roman"/>
                <w:color w:val="auto"/>
                <w:sz w:val="18"/>
                <w:szCs w:val="18"/>
                <w:lang w:val="hy-AM"/>
              </w:rPr>
              <w:t>Պլան</w:t>
            </w:r>
          </w:p>
        </w:tc>
        <w:tc>
          <w:tcPr>
            <w:tcW w:w="2215" w:type="dxa"/>
            <w:noWrap/>
            <w:vAlign w:val="center"/>
          </w:tcPr>
          <w:p w14:paraId="128F0304" w14:textId="4D58EAD3" w:rsidR="00906432" w:rsidRPr="00CB39D1" w:rsidRDefault="00906432" w:rsidP="00906432">
            <w:pPr>
              <w:spacing w:before="0" w:after="0" w:line="240" w:lineRule="auto"/>
              <w:jc w:val="center"/>
              <w:rPr>
                <w:rFonts w:eastAsia="Times New Roman" w:cs="Times New Roman"/>
                <w:color w:val="auto"/>
                <w:sz w:val="18"/>
                <w:szCs w:val="18"/>
                <w:lang w:val="hy-AM"/>
              </w:rPr>
            </w:pPr>
            <w:r w:rsidRPr="00F82E03">
              <w:rPr>
                <w:rFonts w:eastAsia="Times New Roman" w:cs="Times New Roman"/>
                <w:color w:val="auto"/>
                <w:sz w:val="18"/>
                <w:szCs w:val="18"/>
                <w:lang w:val="hy-AM"/>
              </w:rPr>
              <w:t>714.1</w:t>
            </w:r>
          </w:p>
        </w:tc>
        <w:tc>
          <w:tcPr>
            <w:tcW w:w="2131" w:type="dxa"/>
            <w:noWrap/>
            <w:vAlign w:val="center"/>
            <w:hideMark/>
          </w:tcPr>
          <w:p w14:paraId="13737158" w14:textId="67356CB4" w:rsidR="00906432" w:rsidRPr="00CB39D1" w:rsidRDefault="00906432" w:rsidP="00906432">
            <w:pPr>
              <w:spacing w:before="0" w:after="0" w:line="240" w:lineRule="auto"/>
              <w:jc w:val="center"/>
              <w:rPr>
                <w:rFonts w:eastAsia="Times New Roman" w:cs="Times New Roman"/>
                <w:color w:val="auto"/>
                <w:sz w:val="18"/>
                <w:szCs w:val="18"/>
                <w:lang w:val="hy-AM"/>
              </w:rPr>
            </w:pPr>
            <w:r w:rsidRPr="00F82E03">
              <w:rPr>
                <w:rFonts w:eastAsia="Times New Roman" w:cs="Times New Roman"/>
                <w:color w:val="auto"/>
                <w:sz w:val="18"/>
                <w:szCs w:val="18"/>
                <w:lang w:val="hy-AM"/>
              </w:rPr>
              <w:t>-</w:t>
            </w:r>
          </w:p>
        </w:tc>
        <w:tc>
          <w:tcPr>
            <w:tcW w:w="2046" w:type="dxa"/>
            <w:noWrap/>
            <w:vAlign w:val="center"/>
            <w:hideMark/>
          </w:tcPr>
          <w:p w14:paraId="4ECFFBFC" w14:textId="07981D3F" w:rsidR="00906432" w:rsidRPr="00CB39D1" w:rsidRDefault="00906432" w:rsidP="00906432">
            <w:pPr>
              <w:spacing w:before="0" w:after="0" w:line="240" w:lineRule="auto"/>
              <w:jc w:val="center"/>
              <w:rPr>
                <w:rFonts w:eastAsia="Times New Roman" w:cs="Times New Roman"/>
                <w:color w:val="auto"/>
                <w:sz w:val="18"/>
                <w:szCs w:val="18"/>
                <w:lang w:val="hy-AM"/>
              </w:rPr>
            </w:pPr>
            <w:r w:rsidRPr="00F82E03">
              <w:rPr>
                <w:rFonts w:eastAsia="Times New Roman" w:cs="Times New Roman"/>
                <w:color w:val="auto"/>
                <w:sz w:val="18"/>
                <w:szCs w:val="18"/>
                <w:lang w:val="hy-AM"/>
              </w:rPr>
              <w:t>2923.5</w:t>
            </w:r>
          </w:p>
        </w:tc>
        <w:tc>
          <w:tcPr>
            <w:tcW w:w="1569" w:type="dxa"/>
            <w:noWrap/>
            <w:vAlign w:val="center"/>
            <w:hideMark/>
          </w:tcPr>
          <w:p w14:paraId="1C02C32C" w14:textId="77777777" w:rsidR="00906432" w:rsidRPr="00CB39D1" w:rsidRDefault="00906432" w:rsidP="00906432">
            <w:pPr>
              <w:spacing w:before="0" w:after="0" w:line="240" w:lineRule="auto"/>
              <w:jc w:val="center"/>
              <w:rPr>
                <w:rFonts w:eastAsia="Times New Roman" w:cs="Times New Roman"/>
                <w:color w:val="auto"/>
                <w:sz w:val="18"/>
                <w:szCs w:val="18"/>
                <w:lang w:val="hy-AM"/>
              </w:rPr>
            </w:pPr>
          </w:p>
        </w:tc>
      </w:tr>
      <w:tr w:rsidR="00906432" w:rsidRPr="00CB39D1" w14:paraId="2D4FD772" w14:textId="77777777" w:rsidTr="00F82E03">
        <w:trPr>
          <w:trHeight w:val="432"/>
        </w:trPr>
        <w:tc>
          <w:tcPr>
            <w:tcW w:w="690" w:type="dxa"/>
            <w:vMerge w:val="restart"/>
            <w:noWrap/>
            <w:vAlign w:val="center"/>
            <w:hideMark/>
          </w:tcPr>
          <w:p w14:paraId="55F43D0D" w14:textId="77777777" w:rsidR="00906432" w:rsidRPr="00CB39D1" w:rsidRDefault="00906432" w:rsidP="00906432">
            <w:pPr>
              <w:spacing w:before="0" w:after="0" w:line="240" w:lineRule="auto"/>
              <w:jc w:val="center"/>
              <w:rPr>
                <w:rFonts w:eastAsia="Times New Roman" w:cs="Times New Roman"/>
                <w:color w:val="auto"/>
                <w:sz w:val="18"/>
                <w:szCs w:val="18"/>
              </w:rPr>
            </w:pPr>
            <w:r w:rsidRPr="00CB39D1">
              <w:rPr>
                <w:rFonts w:eastAsia="Times New Roman" w:cs="Times New Roman"/>
                <w:color w:val="auto"/>
                <w:sz w:val="18"/>
                <w:szCs w:val="18"/>
              </w:rPr>
              <w:t>2027</w:t>
            </w:r>
          </w:p>
        </w:tc>
        <w:tc>
          <w:tcPr>
            <w:tcW w:w="1075" w:type="dxa"/>
            <w:noWrap/>
            <w:vAlign w:val="center"/>
            <w:hideMark/>
          </w:tcPr>
          <w:p w14:paraId="15D70899" w14:textId="77777777" w:rsidR="00906432" w:rsidRPr="00CB39D1" w:rsidRDefault="00906432" w:rsidP="00906432">
            <w:pPr>
              <w:spacing w:before="0" w:after="0" w:line="240" w:lineRule="auto"/>
              <w:jc w:val="center"/>
              <w:rPr>
                <w:rFonts w:eastAsia="Times New Roman" w:cs="Times New Roman"/>
                <w:color w:val="auto"/>
                <w:sz w:val="18"/>
                <w:szCs w:val="18"/>
                <w:lang w:val="hy-AM"/>
              </w:rPr>
            </w:pPr>
            <w:r w:rsidRPr="00CB39D1">
              <w:rPr>
                <w:rFonts w:eastAsia="Times New Roman" w:cs="Times New Roman"/>
                <w:color w:val="auto"/>
                <w:sz w:val="18"/>
                <w:szCs w:val="18"/>
                <w:lang w:val="hy-AM"/>
              </w:rPr>
              <w:t>Սահման.</w:t>
            </w:r>
          </w:p>
        </w:tc>
        <w:tc>
          <w:tcPr>
            <w:tcW w:w="2215" w:type="dxa"/>
            <w:noWrap/>
            <w:vAlign w:val="center"/>
          </w:tcPr>
          <w:p w14:paraId="75718622" w14:textId="71A6A3EB" w:rsidR="00906432" w:rsidRPr="00CB39D1" w:rsidRDefault="00906432" w:rsidP="00906432">
            <w:pPr>
              <w:spacing w:before="0" w:after="0" w:line="240" w:lineRule="auto"/>
              <w:jc w:val="center"/>
              <w:rPr>
                <w:rFonts w:eastAsia="Times New Roman" w:cs="Times New Roman"/>
                <w:color w:val="auto"/>
                <w:sz w:val="18"/>
                <w:szCs w:val="18"/>
                <w:lang w:val="hy-AM"/>
              </w:rPr>
            </w:pPr>
            <w:r w:rsidRPr="00F82E03">
              <w:rPr>
                <w:rFonts w:eastAsia="Times New Roman" w:cs="Times New Roman"/>
                <w:color w:val="auto"/>
                <w:sz w:val="18"/>
                <w:szCs w:val="18"/>
                <w:lang w:val="hy-AM"/>
              </w:rPr>
              <w:t>448.4</w:t>
            </w:r>
          </w:p>
        </w:tc>
        <w:tc>
          <w:tcPr>
            <w:tcW w:w="2131" w:type="dxa"/>
            <w:noWrap/>
            <w:vAlign w:val="center"/>
            <w:hideMark/>
          </w:tcPr>
          <w:p w14:paraId="1F33BB2B" w14:textId="20EB6AC1" w:rsidR="00906432" w:rsidRPr="00CB39D1" w:rsidRDefault="00906432" w:rsidP="00906432">
            <w:pPr>
              <w:spacing w:before="0" w:after="0" w:line="240" w:lineRule="auto"/>
              <w:jc w:val="center"/>
              <w:rPr>
                <w:rFonts w:eastAsia="Times New Roman" w:cs="Times New Roman"/>
                <w:color w:val="auto"/>
                <w:sz w:val="18"/>
                <w:szCs w:val="18"/>
                <w:lang w:val="hy-AM"/>
              </w:rPr>
            </w:pPr>
            <w:r w:rsidRPr="00F82E03">
              <w:rPr>
                <w:rFonts w:eastAsia="Times New Roman" w:cs="Times New Roman"/>
                <w:color w:val="auto"/>
                <w:sz w:val="18"/>
                <w:szCs w:val="18"/>
                <w:lang w:val="hy-AM"/>
              </w:rPr>
              <w:t>9.2</w:t>
            </w:r>
          </w:p>
        </w:tc>
        <w:tc>
          <w:tcPr>
            <w:tcW w:w="2046" w:type="dxa"/>
            <w:noWrap/>
            <w:vAlign w:val="center"/>
            <w:hideMark/>
          </w:tcPr>
          <w:p w14:paraId="1EA01AFE" w14:textId="026B35AD" w:rsidR="00906432" w:rsidRPr="00CB39D1" w:rsidRDefault="00906432" w:rsidP="00906432">
            <w:pPr>
              <w:spacing w:before="0" w:after="0" w:line="240" w:lineRule="auto"/>
              <w:jc w:val="center"/>
              <w:rPr>
                <w:rFonts w:eastAsia="Times New Roman" w:cs="Times New Roman"/>
                <w:color w:val="auto"/>
                <w:sz w:val="18"/>
                <w:szCs w:val="18"/>
                <w:lang w:val="hy-AM"/>
              </w:rPr>
            </w:pPr>
            <w:r w:rsidRPr="00F82E03">
              <w:rPr>
                <w:rFonts w:eastAsia="Times New Roman" w:cs="Times New Roman"/>
                <w:color w:val="auto"/>
                <w:sz w:val="18"/>
                <w:szCs w:val="18"/>
                <w:lang w:val="hy-AM"/>
              </w:rPr>
              <w:t>-</w:t>
            </w:r>
          </w:p>
        </w:tc>
        <w:tc>
          <w:tcPr>
            <w:tcW w:w="1569" w:type="dxa"/>
            <w:noWrap/>
            <w:vAlign w:val="center"/>
            <w:hideMark/>
          </w:tcPr>
          <w:p w14:paraId="7F3848DA" w14:textId="65F6CCDE" w:rsidR="00906432" w:rsidRPr="00CB39D1" w:rsidRDefault="00906432" w:rsidP="00906432">
            <w:pPr>
              <w:spacing w:before="0" w:after="0" w:line="240" w:lineRule="auto"/>
              <w:jc w:val="center"/>
              <w:rPr>
                <w:rFonts w:eastAsia="Times New Roman" w:cs="Times New Roman"/>
                <w:color w:val="auto"/>
                <w:sz w:val="18"/>
                <w:szCs w:val="18"/>
                <w:lang w:val="hy-AM"/>
              </w:rPr>
            </w:pPr>
            <w:r w:rsidRPr="00F82E03">
              <w:rPr>
                <w:rFonts w:eastAsia="Times New Roman" w:cs="Times New Roman"/>
                <w:color w:val="auto"/>
                <w:sz w:val="18"/>
                <w:szCs w:val="18"/>
                <w:lang w:val="hy-AM"/>
              </w:rPr>
              <w:t>53.7</w:t>
            </w:r>
          </w:p>
        </w:tc>
      </w:tr>
      <w:tr w:rsidR="00906432" w:rsidRPr="00CB39D1" w14:paraId="0D1C38C7" w14:textId="77777777" w:rsidTr="00F82E03">
        <w:trPr>
          <w:trHeight w:val="432"/>
        </w:trPr>
        <w:tc>
          <w:tcPr>
            <w:tcW w:w="690" w:type="dxa"/>
            <w:vMerge/>
            <w:noWrap/>
            <w:vAlign w:val="center"/>
            <w:hideMark/>
          </w:tcPr>
          <w:p w14:paraId="6B08FAD1" w14:textId="77777777" w:rsidR="00906432" w:rsidRPr="00CB39D1" w:rsidRDefault="00906432" w:rsidP="00906432">
            <w:pPr>
              <w:spacing w:before="0" w:after="0" w:line="240" w:lineRule="auto"/>
              <w:jc w:val="center"/>
              <w:rPr>
                <w:rFonts w:eastAsia="Times New Roman" w:cs="Times New Roman"/>
                <w:color w:val="auto"/>
                <w:sz w:val="18"/>
                <w:szCs w:val="18"/>
              </w:rPr>
            </w:pPr>
          </w:p>
        </w:tc>
        <w:tc>
          <w:tcPr>
            <w:tcW w:w="1075" w:type="dxa"/>
            <w:noWrap/>
            <w:vAlign w:val="center"/>
            <w:hideMark/>
          </w:tcPr>
          <w:p w14:paraId="528B0BED" w14:textId="77777777" w:rsidR="00906432" w:rsidRPr="00CB39D1" w:rsidRDefault="00906432" w:rsidP="00906432">
            <w:pPr>
              <w:spacing w:before="0" w:after="0" w:line="240" w:lineRule="auto"/>
              <w:jc w:val="center"/>
              <w:rPr>
                <w:rFonts w:eastAsia="Times New Roman" w:cs="Times New Roman"/>
                <w:color w:val="auto"/>
                <w:sz w:val="18"/>
                <w:szCs w:val="18"/>
                <w:lang w:val="hy-AM"/>
              </w:rPr>
            </w:pPr>
            <w:r w:rsidRPr="00CB39D1">
              <w:rPr>
                <w:rFonts w:eastAsia="Times New Roman" w:cs="Times New Roman"/>
                <w:color w:val="auto"/>
                <w:sz w:val="18"/>
                <w:szCs w:val="18"/>
                <w:lang w:val="hy-AM"/>
              </w:rPr>
              <w:t>Պլան</w:t>
            </w:r>
          </w:p>
        </w:tc>
        <w:tc>
          <w:tcPr>
            <w:tcW w:w="2215" w:type="dxa"/>
            <w:noWrap/>
            <w:vAlign w:val="center"/>
          </w:tcPr>
          <w:p w14:paraId="3B55616F" w14:textId="481E4222" w:rsidR="00906432" w:rsidRPr="00CB39D1" w:rsidRDefault="00906432" w:rsidP="00906432">
            <w:pPr>
              <w:spacing w:before="0" w:after="0" w:line="240" w:lineRule="auto"/>
              <w:jc w:val="center"/>
              <w:rPr>
                <w:rFonts w:eastAsia="Times New Roman" w:cs="Times New Roman"/>
                <w:color w:val="auto"/>
                <w:sz w:val="18"/>
                <w:szCs w:val="18"/>
                <w:lang w:val="hy-AM"/>
              </w:rPr>
            </w:pPr>
            <w:r w:rsidRPr="00F82E03">
              <w:rPr>
                <w:rFonts w:eastAsia="Times New Roman" w:cs="Times New Roman"/>
                <w:color w:val="auto"/>
                <w:sz w:val="18"/>
                <w:szCs w:val="18"/>
                <w:lang w:val="hy-AM"/>
              </w:rPr>
              <w:t>729.1</w:t>
            </w:r>
          </w:p>
        </w:tc>
        <w:tc>
          <w:tcPr>
            <w:tcW w:w="2131" w:type="dxa"/>
            <w:noWrap/>
            <w:vAlign w:val="center"/>
            <w:hideMark/>
          </w:tcPr>
          <w:p w14:paraId="5587AD19" w14:textId="4BDBE8E5" w:rsidR="00906432" w:rsidRPr="00CB39D1" w:rsidRDefault="00906432" w:rsidP="00906432">
            <w:pPr>
              <w:spacing w:before="0" w:after="0" w:line="240" w:lineRule="auto"/>
              <w:jc w:val="center"/>
              <w:rPr>
                <w:rFonts w:eastAsia="Times New Roman" w:cs="Times New Roman"/>
                <w:color w:val="auto"/>
                <w:sz w:val="18"/>
                <w:szCs w:val="18"/>
                <w:lang w:val="hy-AM"/>
              </w:rPr>
            </w:pPr>
            <w:r w:rsidRPr="00F82E03">
              <w:rPr>
                <w:rFonts w:eastAsia="Times New Roman" w:cs="Times New Roman"/>
                <w:color w:val="auto"/>
                <w:sz w:val="18"/>
                <w:szCs w:val="18"/>
                <w:lang w:val="hy-AM"/>
              </w:rPr>
              <w:t>4.2</w:t>
            </w:r>
          </w:p>
        </w:tc>
        <w:tc>
          <w:tcPr>
            <w:tcW w:w="2046" w:type="dxa"/>
            <w:noWrap/>
            <w:vAlign w:val="center"/>
            <w:hideMark/>
          </w:tcPr>
          <w:p w14:paraId="510886C0" w14:textId="4E826B2A" w:rsidR="00906432" w:rsidRPr="00CB39D1" w:rsidRDefault="00906432" w:rsidP="00906432">
            <w:pPr>
              <w:spacing w:before="0" w:after="0" w:line="240" w:lineRule="auto"/>
              <w:jc w:val="center"/>
              <w:rPr>
                <w:rFonts w:eastAsia="Times New Roman" w:cs="Times New Roman"/>
                <w:color w:val="auto"/>
                <w:sz w:val="18"/>
                <w:szCs w:val="18"/>
                <w:lang w:val="hy-AM"/>
              </w:rPr>
            </w:pPr>
            <w:r w:rsidRPr="00F82E03">
              <w:rPr>
                <w:rFonts w:eastAsia="Times New Roman" w:cs="Times New Roman"/>
                <w:color w:val="auto"/>
                <w:sz w:val="18"/>
                <w:szCs w:val="18"/>
                <w:lang w:val="hy-AM"/>
              </w:rPr>
              <w:t>3082.0</w:t>
            </w:r>
          </w:p>
        </w:tc>
        <w:tc>
          <w:tcPr>
            <w:tcW w:w="1569" w:type="dxa"/>
            <w:noWrap/>
            <w:vAlign w:val="center"/>
            <w:hideMark/>
          </w:tcPr>
          <w:p w14:paraId="4F265874" w14:textId="77777777" w:rsidR="00906432" w:rsidRPr="00CB39D1" w:rsidRDefault="00906432" w:rsidP="00906432">
            <w:pPr>
              <w:spacing w:before="0" w:after="0" w:line="240" w:lineRule="auto"/>
              <w:jc w:val="center"/>
              <w:rPr>
                <w:rFonts w:eastAsia="Times New Roman" w:cs="Times New Roman"/>
                <w:color w:val="auto"/>
                <w:sz w:val="18"/>
                <w:szCs w:val="18"/>
                <w:lang w:val="hy-AM"/>
              </w:rPr>
            </w:pPr>
          </w:p>
        </w:tc>
      </w:tr>
      <w:tr w:rsidR="00906432" w:rsidRPr="00CB39D1" w14:paraId="15B62114" w14:textId="77777777" w:rsidTr="00F82E03">
        <w:trPr>
          <w:trHeight w:val="432"/>
        </w:trPr>
        <w:tc>
          <w:tcPr>
            <w:tcW w:w="690" w:type="dxa"/>
            <w:vMerge w:val="restart"/>
            <w:noWrap/>
            <w:vAlign w:val="center"/>
          </w:tcPr>
          <w:p w14:paraId="0EBAED95" w14:textId="77777777" w:rsidR="00906432" w:rsidRPr="00CB39D1" w:rsidRDefault="00906432" w:rsidP="00906432">
            <w:pPr>
              <w:spacing w:before="0" w:after="0" w:line="240" w:lineRule="auto"/>
              <w:jc w:val="center"/>
              <w:rPr>
                <w:rFonts w:eastAsia="Times New Roman" w:cs="Times New Roman"/>
                <w:color w:val="auto"/>
                <w:sz w:val="18"/>
                <w:szCs w:val="18"/>
                <w:lang w:val="hy-AM"/>
              </w:rPr>
            </w:pPr>
            <w:r w:rsidRPr="00CB39D1">
              <w:rPr>
                <w:rFonts w:eastAsia="Times New Roman" w:cs="Times New Roman"/>
                <w:color w:val="auto"/>
                <w:sz w:val="18"/>
                <w:szCs w:val="18"/>
                <w:lang w:val="hy-AM"/>
              </w:rPr>
              <w:t>2028</w:t>
            </w:r>
          </w:p>
        </w:tc>
        <w:tc>
          <w:tcPr>
            <w:tcW w:w="1075" w:type="dxa"/>
            <w:noWrap/>
            <w:vAlign w:val="center"/>
          </w:tcPr>
          <w:p w14:paraId="343924F4" w14:textId="77777777" w:rsidR="00906432" w:rsidRPr="00CB39D1" w:rsidRDefault="00906432" w:rsidP="00906432">
            <w:pPr>
              <w:spacing w:before="0" w:after="0" w:line="240" w:lineRule="auto"/>
              <w:jc w:val="center"/>
              <w:rPr>
                <w:rFonts w:eastAsia="Times New Roman" w:cs="Times New Roman"/>
                <w:color w:val="auto"/>
                <w:sz w:val="18"/>
                <w:szCs w:val="18"/>
                <w:lang w:val="hy-AM"/>
              </w:rPr>
            </w:pPr>
            <w:r w:rsidRPr="00CB39D1">
              <w:rPr>
                <w:rFonts w:eastAsia="Times New Roman" w:cs="Times New Roman"/>
                <w:color w:val="auto"/>
                <w:sz w:val="18"/>
                <w:szCs w:val="18"/>
                <w:lang w:val="hy-AM"/>
              </w:rPr>
              <w:t>Սահման.</w:t>
            </w:r>
          </w:p>
        </w:tc>
        <w:tc>
          <w:tcPr>
            <w:tcW w:w="2215" w:type="dxa"/>
            <w:noWrap/>
            <w:vAlign w:val="center"/>
          </w:tcPr>
          <w:p w14:paraId="0F4B647C" w14:textId="7C55F927" w:rsidR="00906432" w:rsidRPr="00CB39D1" w:rsidRDefault="00906432" w:rsidP="00906432">
            <w:pPr>
              <w:spacing w:before="0" w:after="0" w:line="240" w:lineRule="auto"/>
              <w:jc w:val="center"/>
              <w:rPr>
                <w:rFonts w:eastAsia="Times New Roman" w:cs="Times New Roman"/>
                <w:color w:val="auto"/>
                <w:sz w:val="18"/>
                <w:szCs w:val="18"/>
                <w:lang w:val="hy-AM"/>
              </w:rPr>
            </w:pPr>
            <w:r w:rsidRPr="00F82E03">
              <w:rPr>
                <w:rFonts w:eastAsia="Times New Roman" w:cs="Times New Roman"/>
                <w:color w:val="auto"/>
                <w:sz w:val="18"/>
                <w:szCs w:val="18"/>
                <w:lang w:val="hy-AM"/>
              </w:rPr>
              <w:t>392.4</w:t>
            </w:r>
          </w:p>
        </w:tc>
        <w:tc>
          <w:tcPr>
            <w:tcW w:w="2131" w:type="dxa"/>
            <w:noWrap/>
            <w:vAlign w:val="center"/>
          </w:tcPr>
          <w:p w14:paraId="5A5A933B" w14:textId="094457A4" w:rsidR="00906432" w:rsidRPr="00CB39D1" w:rsidRDefault="00906432" w:rsidP="00906432">
            <w:pPr>
              <w:spacing w:before="0" w:after="0" w:line="240" w:lineRule="auto"/>
              <w:jc w:val="center"/>
              <w:rPr>
                <w:rFonts w:eastAsia="Times New Roman" w:cs="Times New Roman"/>
                <w:color w:val="auto"/>
                <w:sz w:val="18"/>
                <w:szCs w:val="18"/>
                <w:lang w:val="hy-AM"/>
              </w:rPr>
            </w:pPr>
            <w:r w:rsidRPr="00F82E03">
              <w:rPr>
                <w:rFonts w:eastAsia="Times New Roman" w:cs="Times New Roman"/>
                <w:color w:val="auto"/>
                <w:sz w:val="18"/>
                <w:szCs w:val="18"/>
                <w:lang w:val="hy-AM"/>
              </w:rPr>
              <w:t>11.2</w:t>
            </w:r>
          </w:p>
        </w:tc>
        <w:tc>
          <w:tcPr>
            <w:tcW w:w="2046" w:type="dxa"/>
            <w:noWrap/>
            <w:vAlign w:val="center"/>
          </w:tcPr>
          <w:p w14:paraId="5FCF2263" w14:textId="1DE2D578" w:rsidR="00906432" w:rsidRPr="00CB39D1" w:rsidRDefault="00906432" w:rsidP="00906432">
            <w:pPr>
              <w:spacing w:before="0" w:after="0" w:line="240" w:lineRule="auto"/>
              <w:jc w:val="center"/>
              <w:rPr>
                <w:rFonts w:eastAsia="Times New Roman" w:cs="Times New Roman"/>
                <w:color w:val="auto"/>
                <w:sz w:val="18"/>
                <w:szCs w:val="18"/>
                <w:lang w:val="hy-AM"/>
              </w:rPr>
            </w:pPr>
            <w:r w:rsidRPr="00F82E03">
              <w:rPr>
                <w:rFonts w:eastAsia="Times New Roman" w:cs="Times New Roman"/>
                <w:color w:val="auto"/>
                <w:sz w:val="18"/>
                <w:szCs w:val="18"/>
                <w:lang w:val="hy-AM"/>
              </w:rPr>
              <w:t>-</w:t>
            </w:r>
          </w:p>
        </w:tc>
        <w:tc>
          <w:tcPr>
            <w:tcW w:w="1569" w:type="dxa"/>
            <w:noWrap/>
            <w:vAlign w:val="center"/>
          </w:tcPr>
          <w:p w14:paraId="286715A5" w14:textId="22241A7D" w:rsidR="00906432" w:rsidRPr="00CB39D1" w:rsidRDefault="00906432" w:rsidP="00906432">
            <w:pPr>
              <w:spacing w:before="0" w:after="0" w:line="240" w:lineRule="auto"/>
              <w:jc w:val="center"/>
              <w:rPr>
                <w:rFonts w:eastAsia="Times New Roman" w:cs="Times New Roman"/>
                <w:color w:val="auto"/>
                <w:sz w:val="18"/>
                <w:szCs w:val="18"/>
                <w:lang w:val="hy-AM"/>
              </w:rPr>
            </w:pPr>
            <w:r w:rsidRPr="00F82E03">
              <w:rPr>
                <w:rFonts w:eastAsia="Times New Roman" w:cs="Times New Roman"/>
                <w:color w:val="auto"/>
                <w:sz w:val="18"/>
                <w:szCs w:val="18"/>
                <w:lang w:val="hy-AM"/>
              </w:rPr>
              <w:t>53.7</w:t>
            </w:r>
          </w:p>
        </w:tc>
      </w:tr>
      <w:tr w:rsidR="00906432" w:rsidRPr="00CB39D1" w14:paraId="2B11930A" w14:textId="77777777" w:rsidTr="00F82E03">
        <w:trPr>
          <w:trHeight w:val="432"/>
        </w:trPr>
        <w:tc>
          <w:tcPr>
            <w:tcW w:w="690" w:type="dxa"/>
            <w:vMerge/>
            <w:noWrap/>
            <w:vAlign w:val="center"/>
          </w:tcPr>
          <w:p w14:paraId="071FB058" w14:textId="77777777" w:rsidR="00906432" w:rsidRPr="00CB39D1" w:rsidRDefault="00906432" w:rsidP="00906432">
            <w:pPr>
              <w:spacing w:before="0" w:after="0" w:line="240" w:lineRule="auto"/>
              <w:jc w:val="center"/>
              <w:rPr>
                <w:rFonts w:eastAsia="Times New Roman" w:cs="Times New Roman"/>
                <w:color w:val="auto"/>
                <w:sz w:val="18"/>
                <w:szCs w:val="18"/>
              </w:rPr>
            </w:pPr>
          </w:p>
        </w:tc>
        <w:tc>
          <w:tcPr>
            <w:tcW w:w="1075" w:type="dxa"/>
            <w:noWrap/>
            <w:vAlign w:val="center"/>
          </w:tcPr>
          <w:p w14:paraId="65BCDCA9" w14:textId="77777777" w:rsidR="00906432" w:rsidRPr="00CB39D1" w:rsidRDefault="00906432" w:rsidP="00906432">
            <w:pPr>
              <w:spacing w:before="0" w:after="0" w:line="240" w:lineRule="auto"/>
              <w:jc w:val="center"/>
              <w:rPr>
                <w:rFonts w:eastAsia="Times New Roman" w:cs="Times New Roman"/>
                <w:color w:val="auto"/>
                <w:sz w:val="18"/>
                <w:szCs w:val="18"/>
                <w:lang w:val="hy-AM"/>
              </w:rPr>
            </w:pPr>
            <w:r w:rsidRPr="00CB39D1">
              <w:rPr>
                <w:rFonts w:eastAsia="Times New Roman" w:cs="Times New Roman"/>
                <w:color w:val="auto"/>
                <w:sz w:val="18"/>
                <w:szCs w:val="18"/>
                <w:lang w:val="hy-AM"/>
              </w:rPr>
              <w:t>Պլան</w:t>
            </w:r>
          </w:p>
        </w:tc>
        <w:tc>
          <w:tcPr>
            <w:tcW w:w="2215" w:type="dxa"/>
            <w:noWrap/>
            <w:vAlign w:val="center"/>
          </w:tcPr>
          <w:p w14:paraId="196A1E2E" w14:textId="5E18E23C" w:rsidR="00906432" w:rsidRPr="00CB39D1" w:rsidRDefault="00906432" w:rsidP="00906432">
            <w:pPr>
              <w:spacing w:before="0" w:after="0" w:line="240" w:lineRule="auto"/>
              <w:jc w:val="center"/>
              <w:rPr>
                <w:rFonts w:eastAsia="Times New Roman" w:cs="Times New Roman"/>
                <w:color w:val="auto"/>
                <w:sz w:val="18"/>
                <w:szCs w:val="18"/>
                <w:lang w:val="hy-AM"/>
              </w:rPr>
            </w:pPr>
            <w:r w:rsidRPr="00F82E03">
              <w:rPr>
                <w:rFonts w:eastAsia="Times New Roman" w:cs="Times New Roman"/>
                <w:color w:val="auto"/>
                <w:sz w:val="18"/>
                <w:szCs w:val="18"/>
                <w:lang w:val="hy-AM"/>
              </w:rPr>
              <w:t>813.1</w:t>
            </w:r>
          </w:p>
        </w:tc>
        <w:tc>
          <w:tcPr>
            <w:tcW w:w="2131" w:type="dxa"/>
            <w:noWrap/>
            <w:vAlign w:val="center"/>
          </w:tcPr>
          <w:p w14:paraId="17149BF0" w14:textId="7BABF3CE" w:rsidR="00906432" w:rsidRPr="00CB39D1" w:rsidRDefault="00906432" w:rsidP="00906432">
            <w:pPr>
              <w:spacing w:before="0" w:after="0" w:line="240" w:lineRule="auto"/>
              <w:jc w:val="center"/>
              <w:rPr>
                <w:rFonts w:eastAsia="Times New Roman" w:cs="Times New Roman"/>
                <w:color w:val="auto"/>
                <w:sz w:val="18"/>
                <w:szCs w:val="18"/>
                <w:lang w:val="hy-AM"/>
              </w:rPr>
            </w:pPr>
            <w:r w:rsidRPr="00F82E03">
              <w:rPr>
                <w:rFonts w:eastAsia="Times New Roman" w:cs="Times New Roman"/>
                <w:color w:val="auto"/>
                <w:sz w:val="18"/>
                <w:szCs w:val="18"/>
                <w:lang w:val="hy-AM"/>
              </w:rPr>
              <w:t>3.9</w:t>
            </w:r>
          </w:p>
        </w:tc>
        <w:tc>
          <w:tcPr>
            <w:tcW w:w="2046" w:type="dxa"/>
            <w:noWrap/>
            <w:vAlign w:val="center"/>
          </w:tcPr>
          <w:p w14:paraId="0CAEF5C5" w14:textId="0EB52824" w:rsidR="00906432" w:rsidRPr="00CB39D1" w:rsidRDefault="00906432" w:rsidP="00906432">
            <w:pPr>
              <w:spacing w:before="0" w:after="0" w:line="240" w:lineRule="auto"/>
              <w:jc w:val="center"/>
              <w:rPr>
                <w:rFonts w:eastAsia="Times New Roman" w:cs="Times New Roman"/>
                <w:color w:val="auto"/>
                <w:sz w:val="18"/>
                <w:szCs w:val="18"/>
                <w:lang w:val="hy-AM"/>
              </w:rPr>
            </w:pPr>
            <w:r w:rsidRPr="00F82E03">
              <w:rPr>
                <w:rFonts w:eastAsia="Times New Roman" w:cs="Times New Roman"/>
                <w:color w:val="auto"/>
                <w:sz w:val="18"/>
                <w:szCs w:val="18"/>
                <w:lang w:val="hy-AM"/>
              </w:rPr>
              <w:t>3227.6</w:t>
            </w:r>
          </w:p>
        </w:tc>
        <w:tc>
          <w:tcPr>
            <w:tcW w:w="1569" w:type="dxa"/>
            <w:noWrap/>
            <w:vAlign w:val="center"/>
          </w:tcPr>
          <w:p w14:paraId="2F174728" w14:textId="77777777" w:rsidR="00906432" w:rsidRPr="00CB39D1" w:rsidRDefault="00906432" w:rsidP="00906432">
            <w:pPr>
              <w:spacing w:before="0" w:after="0" w:line="240" w:lineRule="auto"/>
              <w:jc w:val="center"/>
              <w:rPr>
                <w:rFonts w:eastAsia="Times New Roman" w:cs="Times New Roman"/>
                <w:color w:val="auto"/>
                <w:sz w:val="18"/>
                <w:szCs w:val="18"/>
                <w:lang w:val="hy-AM"/>
              </w:rPr>
            </w:pPr>
          </w:p>
        </w:tc>
      </w:tr>
    </w:tbl>
    <w:p w14:paraId="5C42A160" w14:textId="77777777" w:rsidR="00CB39D1" w:rsidRPr="00CB39D1" w:rsidRDefault="00CB39D1" w:rsidP="00CB39D1">
      <w:pPr>
        <w:jc w:val="both"/>
        <w:rPr>
          <w:rFonts w:ascii="GHEA Grapalat" w:hAnsi="GHEA Grapalat"/>
          <w:bCs/>
          <w:szCs w:val="20"/>
          <w:lang w:val="hy-AM"/>
        </w:rPr>
      </w:pPr>
    </w:p>
    <w:p w14:paraId="0335C94E" w14:textId="77777777" w:rsidR="00CB39D1" w:rsidRPr="00CB39D1" w:rsidRDefault="00CB39D1" w:rsidP="00CB39D1">
      <w:pPr>
        <w:spacing w:before="0"/>
        <w:jc w:val="right"/>
        <w:rPr>
          <w:i/>
          <w:color w:val="A6A6A6" w:themeColor="background1" w:themeShade="A6"/>
          <w:sz w:val="18"/>
          <w:lang w:val="hy-AM"/>
        </w:rPr>
      </w:pPr>
      <w:r w:rsidRPr="00CB39D1">
        <w:rPr>
          <w:i/>
          <w:color w:val="A6A6A6" w:themeColor="background1" w:themeShade="A6"/>
          <w:sz w:val="18"/>
          <w:lang w:val="hy-AM"/>
        </w:rPr>
        <w:t>«-»-ը նշանակում է, որ պետական պարտքի առկա չափի դեպքում կիրառելի չէ</w:t>
      </w:r>
    </w:p>
    <w:p w14:paraId="41785841" w14:textId="77777777" w:rsidR="00CB39D1" w:rsidRPr="00CB39D1" w:rsidRDefault="00CB39D1" w:rsidP="00CB39D1">
      <w:pPr>
        <w:jc w:val="both"/>
        <w:rPr>
          <w:lang w:val="hy-AM"/>
        </w:rPr>
      </w:pPr>
    </w:p>
    <w:p w14:paraId="40DE81D1" w14:textId="77777777" w:rsidR="00CB39D1" w:rsidRPr="00CB39D1" w:rsidRDefault="00CB39D1" w:rsidP="00CB39D1">
      <w:pPr>
        <w:jc w:val="both"/>
        <w:rPr>
          <w:lang w:val="hy-AM"/>
        </w:rPr>
      </w:pPr>
      <w:bookmarkStart w:id="282" w:name="_Toc152228531"/>
      <w:bookmarkStart w:id="283" w:name="_Toc115686029"/>
      <w:bookmarkStart w:id="284" w:name="_Toc83972841"/>
      <w:bookmarkStart w:id="285" w:name="_Toc57655457"/>
      <w:bookmarkStart w:id="286" w:name="_Toc52452096"/>
      <w:bookmarkStart w:id="287" w:name="_Toc46154356"/>
      <w:bookmarkStart w:id="288" w:name="_Toc45838555"/>
    </w:p>
    <w:p w14:paraId="3327155B" w14:textId="77777777" w:rsidR="00CB39D1" w:rsidRPr="00CB39D1" w:rsidRDefault="00CB39D1" w:rsidP="00CB39D1">
      <w:pPr>
        <w:rPr>
          <w:lang w:val="hy-AM"/>
        </w:rPr>
      </w:pPr>
      <w:bookmarkStart w:id="289" w:name="_Toc178356575"/>
      <w:r w:rsidRPr="00CB39D1">
        <w:rPr>
          <w:lang w:val="hy-AM"/>
        </w:rPr>
        <w:br w:type="page"/>
      </w:r>
    </w:p>
    <w:p w14:paraId="7D6B0325" w14:textId="77777777" w:rsidR="00CB39D1" w:rsidRPr="00CB39D1" w:rsidRDefault="00CB39D1" w:rsidP="00F13254">
      <w:pPr>
        <w:pStyle w:val="Heading2"/>
        <w:rPr>
          <w:rFonts w:ascii="GHEA Grapalat" w:hAnsi="GHEA Grapalat"/>
          <w:color w:val="A5A6AC" w:themeColor="accent3" w:themeTint="99"/>
          <w:sz w:val="28"/>
          <w:szCs w:val="20"/>
          <w:lang w:val="hy-AM"/>
        </w:rPr>
      </w:pPr>
      <w:bookmarkStart w:id="290" w:name="_Toc178612097"/>
      <w:bookmarkStart w:id="291" w:name="_Toc183801081"/>
      <w:bookmarkStart w:id="292" w:name="_Toc215157682"/>
      <w:bookmarkEnd w:id="282"/>
      <w:bookmarkEnd w:id="283"/>
      <w:bookmarkEnd w:id="284"/>
      <w:bookmarkEnd w:id="285"/>
      <w:bookmarkEnd w:id="286"/>
      <w:bookmarkEnd w:id="287"/>
      <w:bookmarkEnd w:id="288"/>
      <w:bookmarkEnd w:id="289"/>
      <w:r w:rsidRPr="00CB39D1">
        <w:rPr>
          <w:rFonts w:ascii="GHEA Grapalat" w:hAnsi="GHEA Grapalat"/>
          <w:color w:val="A5A6AC" w:themeColor="accent3" w:themeTint="99"/>
          <w:sz w:val="28"/>
          <w:szCs w:val="20"/>
          <w:lang w:val="hy-AM"/>
        </w:rPr>
        <w:t>2.5. ՊԵՏԱԿԱՆ ԲՅՈՒՋԵԻ ՑՈՒՑԱՆԻՇՆԵՐԻ ԿԱՆԽԱՏԵՍՈՒՄՆԵՐԻ ՀԱՄԵՄԱՏԱԿԱՆ ԱՂՅՈՒՍԱԿՆԵՐ</w:t>
      </w:r>
      <w:bookmarkEnd w:id="290"/>
      <w:bookmarkEnd w:id="291"/>
      <w:bookmarkEnd w:id="292"/>
    </w:p>
    <w:p w14:paraId="0D64A066" w14:textId="39BC565D" w:rsidR="00CB39D1" w:rsidRDefault="00CB39D1" w:rsidP="00CB39D1">
      <w:pPr>
        <w:jc w:val="both"/>
        <w:rPr>
          <w:rFonts w:ascii="GHEA Grapalat" w:hAnsi="GHEA Grapalat"/>
          <w:bCs/>
          <w:szCs w:val="20"/>
          <w:lang w:val="hy-AM"/>
        </w:rPr>
      </w:pPr>
      <w:r w:rsidRPr="00CB39D1">
        <w:rPr>
          <w:rFonts w:ascii="GHEA Grapalat" w:hAnsi="GHEA Grapalat"/>
          <w:bCs/>
          <w:szCs w:val="20"/>
          <w:lang w:val="hy-AM"/>
        </w:rPr>
        <w:t>Աղյուսակ 2.3. Պետական բյուջեի եկամուտների կանխատեսումների համեմատական աղյուսակը, մլրդ դրամ</w:t>
      </w:r>
    </w:p>
    <w:tbl>
      <w:tblPr>
        <w:tblW w:w="9821" w:type="dxa"/>
        <w:tblBorders>
          <w:top w:val="single" w:sz="8" w:space="0" w:color="E1E1E3" w:themeColor="accent3" w:themeTint="33"/>
          <w:left w:val="single" w:sz="8" w:space="0" w:color="E1E1E3" w:themeColor="accent3" w:themeTint="33"/>
          <w:bottom w:val="single" w:sz="8" w:space="0" w:color="E1E1E3" w:themeColor="accent3" w:themeTint="33"/>
          <w:right w:val="single" w:sz="8" w:space="0" w:color="E1E1E3" w:themeColor="accent3" w:themeTint="33"/>
          <w:insideH w:val="single" w:sz="8" w:space="0" w:color="E1E1E3" w:themeColor="accent3" w:themeTint="33"/>
          <w:insideV w:val="single" w:sz="8" w:space="0" w:color="E1E1E3" w:themeColor="accent3" w:themeTint="33"/>
        </w:tblBorders>
        <w:tblLook w:val="04A0" w:firstRow="1" w:lastRow="0" w:firstColumn="1" w:lastColumn="0" w:noHBand="0" w:noVBand="1"/>
      </w:tblPr>
      <w:tblGrid>
        <w:gridCol w:w="1188"/>
        <w:gridCol w:w="2841"/>
        <w:gridCol w:w="902"/>
        <w:gridCol w:w="950"/>
        <w:gridCol w:w="848"/>
        <w:gridCol w:w="1046"/>
        <w:gridCol w:w="987"/>
        <w:gridCol w:w="1059"/>
      </w:tblGrid>
      <w:tr w:rsidR="008409DC" w:rsidRPr="00CB39D1" w14:paraId="0710FF57" w14:textId="77777777" w:rsidTr="008409DC">
        <w:trPr>
          <w:trHeight w:val="336"/>
        </w:trPr>
        <w:tc>
          <w:tcPr>
            <w:tcW w:w="1188" w:type="dxa"/>
            <w:shd w:val="clear" w:color="auto" w:fill="D5DCE4" w:themeFill="text2" w:themeFillTint="33"/>
            <w:vAlign w:val="center"/>
            <w:hideMark/>
          </w:tcPr>
          <w:p w14:paraId="4FBAD4F0" w14:textId="77777777" w:rsidR="008409DC" w:rsidRPr="00CB39D1" w:rsidRDefault="008409DC" w:rsidP="00147C8B">
            <w:pPr>
              <w:spacing w:before="0" w:after="0" w:line="240" w:lineRule="auto"/>
              <w:jc w:val="center"/>
              <w:rPr>
                <w:b/>
                <w:sz w:val="18"/>
                <w:szCs w:val="18"/>
                <w:lang w:val="ru-RU"/>
              </w:rPr>
            </w:pPr>
            <w:r w:rsidRPr="00CB39D1">
              <w:rPr>
                <w:b/>
                <w:sz w:val="18"/>
                <w:szCs w:val="18"/>
              </w:rPr>
              <w:t>Ընդունման տարին</w:t>
            </w:r>
          </w:p>
        </w:tc>
        <w:tc>
          <w:tcPr>
            <w:tcW w:w="2841" w:type="dxa"/>
            <w:shd w:val="clear" w:color="auto" w:fill="D5DCE4" w:themeFill="text2" w:themeFillTint="33"/>
            <w:noWrap/>
            <w:vAlign w:val="center"/>
            <w:hideMark/>
          </w:tcPr>
          <w:p w14:paraId="4D87D94C" w14:textId="77777777" w:rsidR="008409DC" w:rsidRPr="00CB39D1" w:rsidRDefault="008409DC" w:rsidP="00147C8B">
            <w:pPr>
              <w:spacing w:before="0" w:after="0" w:line="240" w:lineRule="auto"/>
              <w:jc w:val="both"/>
              <w:rPr>
                <w:b/>
                <w:sz w:val="18"/>
                <w:szCs w:val="18"/>
              </w:rPr>
            </w:pPr>
            <w:r w:rsidRPr="00CB39D1">
              <w:rPr>
                <w:b/>
                <w:sz w:val="18"/>
                <w:szCs w:val="18"/>
              </w:rPr>
              <w:t>Ծրագիր</w:t>
            </w:r>
          </w:p>
        </w:tc>
        <w:tc>
          <w:tcPr>
            <w:tcW w:w="902" w:type="dxa"/>
            <w:tcBorders>
              <w:bottom w:val="single" w:sz="8" w:space="0" w:color="E1E1E3" w:themeColor="accent3" w:themeTint="33"/>
            </w:tcBorders>
            <w:shd w:val="clear" w:color="auto" w:fill="D5DCE4" w:themeFill="text2" w:themeFillTint="33"/>
            <w:noWrap/>
            <w:vAlign w:val="center"/>
            <w:hideMark/>
          </w:tcPr>
          <w:p w14:paraId="6FA817D7" w14:textId="77777777" w:rsidR="008409DC" w:rsidRPr="00CB39D1" w:rsidRDefault="008409DC" w:rsidP="00147C8B">
            <w:pPr>
              <w:spacing w:before="0" w:after="0" w:line="240" w:lineRule="auto"/>
              <w:jc w:val="center"/>
              <w:rPr>
                <w:b/>
                <w:sz w:val="18"/>
                <w:szCs w:val="18"/>
              </w:rPr>
            </w:pPr>
            <w:r w:rsidRPr="00CB39D1">
              <w:rPr>
                <w:b/>
                <w:sz w:val="18"/>
                <w:szCs w:val="18"/>
              </w:rPr>
              <w:t>2023</w:t>
            </w:r>
          </w:p>
        </w:tc>
        <w:tc>
          <w:tcPr>
            <w:tcW w:w="950" w:type="dxa"/>
            <w:tcBorders>
              <w:bottom w:val="single" w:sz="8" w:space="0" w:color="E1E1E3" w:themeColor="accent3" w:themeTint="33"/>
            </w:tcBorders>
            <w:shd w:val="clear" w:color="auto" w:fill="D5DCE4" w:themeFill="text2" w:themeFillTint="33"/>
            <w:noWrap/>
            <w:vAlign w:val="center"/>
            <w:hideMark/>
          </w:tcPr>
          <w:p w14:paraId="1EA78E24" w14:textId="77777777" w:rsidR="008409DC" w:rsidRPr="00CB39D1" w:rsidRDefault="008409DC" w:rsidP="00147C8B">
            <w:pPr>
              <w:spacing w:before="0" w:after="0" w:line="240" w:lineRule="auto"/>
              <w:jc w:val="center"/>
              <w:rPr>
                <w:b/>
                <w:sz w:val="18"/>
                <w:szCs w:val="18"/>
              </w:rPr>
            </w:pPr>
            <w:r w:rsidRPr="00CB39D1">
              <w:rPr>
                <w:b/>
                <w:sz w:val="18"/>
                <w:szCs w:val="18"/>
              </w:rPr>
              <w:t>2024</w:t>
            </w:r>
          </w:p>
        </w:tc>
        <w:tc>
          <w:tcPr>
            <w:tcW w:w="848" w:type="dxa"/>
            <w:tcBorders>
              <w:bottom w:val="single" w:sz="8" w:space="0" w:color="E1E1E3" w:themeColor="accent3" w:themeTint="33"/>
            </w:tcBorders>
            <w:shd w:val="clear" w:color="auto" w:fill="D5DCE4" w:themeFill="text2" w:themeFillTint="33"/>
            <w:noWrap/>
            <w:vAlign w:val="center"/>
            <w:hideMark/>
          </w:tcPr>
          <w:p w14:paraId="1D04B872" w14:textId="77777777" w:rsidR="008409DC" w:rsidRPr="00CB39D1" w:rsidRDefault="008409DC" w:rsidP="00147C8B">
            <w:pPr>
              <w:spacing w:before="0" w:after="0" w:line="240" w:lineRule="auto"/>
              <w:jc w:val="center"/>
              <w:rPr>
                <w:b/>
                <w:sz w:val="18"/>
                <w:szCs w:val="18"/>
              </w:rPr>
            </w:pPr>
            <w:r w:rsidRPr="00CB39D1">
              <w:rPr>
                <w:b/>
                <w:sz w:val="18"/>
                <w:szCs w:val="18"/>
              </w:rPr>
              <w:t>2025</w:t>
            </w:r>
          </w:p>
        </w:tc>
        <w:tc>
          <w:tcPr>
            <w:tcW w:w="1046" w:type="dxa"/>
            <w:tcBorders>
              <w:bottom w:val="single" w:sz="8" w:space="0" w:color="E1E1E3" w:themeColor="accent3" w:themeTint="33"/>
            </w:tcBorders>
            <w:shd w:val="clear" w:color="auto" w:fill="D5DCE4" w:themeFill="text2" w:themeFillTint="33"/>
            <w:noWrap/>
            <w:vAlign w:val="center"/>
            <w:hideMark/>
          </w:tcPr>
          <w:p w14:paraId="5924BE30" w14:textId="77777777" w:rsidR="008409DC" w:rsidRPr="00CB39D1" w:rsidRDefault="008409DC" w:rsidP="00147C8B">
            <w:pPr>
              <w:spacing w:before="0" w:after="0" w:line="240" w:lineRule="auto"/>
              <w:jc w:val="center"/>
              <w:rPr>
                <w:b/>
                <w:sz w:val="18"/>
                <w:szCs w:val="18"/>
              </w:rPr>
            </w:pPr>
            <w:r w:rsidRPr="00CB39D1">
              <w:rPr>
                <w:b/>
                <w:sz w:val="18"/>
                <w:szCs w:val="18"/>
              </w:rPr>
              <w:t>2026</w:t>
            </w:r>
          </w:p>
        </w:tc>
        <w:tc>
          <w:tcPr>
            <w:tcW w:w="987" w:type="dxa"/>
            <w:tcBorders>
              <w:bottom w:val="single" w:sz="8" w:space="0" w:color="E1E1E3" w:themeColor="accent3" w:themeTint="33"/>
            </w:tcBorders>
            <w:shd w:val="clear" w:color="auto" w:fill="D5DCE4" w:themeFill="text2" w:themeFillTint="33"/>
            <w:noWrap/>
            <w:vAlign w:val="center"/>
            <w:hideMark/>
          </w:tcPr>
          <w:p w14:paraId="71A109EE" w14:textId="77777777" w:rsidR="008409DC" w:rsidRPr="00CB39D1" w:rsidRDefault="008409DC" w:rsidP="00147C8B">
            <w:pPr>
              <w:spacing w:before="0" w:after="0" w:line="240" w:lineRule="auto"/>
              <w:jc w:val="center"/>
              <w:rPr>
                <w:b/>
                <w:sz w:val="18"/>
                <w:szCs w:val="18"/>
              </w:rPr>
            </w:pPr>
            <w:r w:rsidRPr="00CB39D1">
              <w:rPr>
                <w:b/>
                <w:sz w:val="18"/>
                <w:szCs w:val="18"/>
              </w:rPr>
              <w:t>2027</w:t>
            </w:r>
          </w:p>
        </w:tc>
        <w:tc>
          <w:tcPr>
            <w:tcW w:w="1059" w:type="dxa"/>
            <w:tcBorders>
              <w:bottom w:val="single" w:sz="8" w:space="0" w:color="E1E1E3" w:themeColor="accent3" w:themeTint="33"/>
            </w:tcBorders>
            <w:shd w:val="clear" w:color="auto" w:fill="D5DCE4" w:themeFill="text2" w:themeFillTint="33"/>
            <w:vAlign w:val="center"/>
          </w:tcPr>
          <w:p w14:paraId="4A06EF23" w14:textId="77777777" w:rsidR="008409DC" w:rsidRPr="00CB39D1" w:rsidRDefault="008409DC" w:rsidP="00147C8B">
            <w:pPr>
              <w:spacing w:before="0" w:after="0" w:line="240" w:lineRule="auto"/>
              <w:jc w:val="center"/>
              <w:rPr>
                <w:b/>
                <w:sz w:val="18"/>
                <w:szCs w:val="18"/>
              </w:rPr>
            </w:pPr>
            <w:r w:rsidRPr="00CB39D1">
              <w:rPr>
                <w:b/>
                <w:sz w:val="18"/>
                <w:szCs w:val="18"/>
              </w:rPr>
              <w:t>2028</w:t>
            </w:r>
          </w:p>
        </w:tc>
      </w:tr>
      <w:tr w:rsidR="008409DC" w:rsidRPr="00CB39D1" w14:paraId="0F828686" w14:textId="77777777" w:rsidTr="008409DC">
        <w:trPr>
          <w:trHeight w:val="336"/>
        </w:trPr>
        <w:tc>
          <w:tcPr>
            <w:tcW w:w="1188" w:type="dxa"/>
            <w:vMerge w:val="restart"/>
            <w:vAlign w:val="center"/>
            <w:hideMark/>
          </w:tcPr>
          <w:p w14:paraId="3220561E" w14:textId="77777777" w:rsidR="008409DC" w:rsidRPr="00CB39D1" w:rsidRDefault="008409DC" w:rsidP="00147C8B">
            <w:pPr>
              <w:spacing w:before="0" w:after="0" w:line="240" w:lineRule="auto"/>
              <w:jc w:val="center"/>
              <w:rPr>
                <w:sz w:val="18"/>
                <w:szCs w:val="18"/>
              </w:rPr>
            </w:pPr>
            <w:r w:rsidRPr="00CB39D1">
              <w:rPr>
                <w:sz w:val="18"/>
                <w:szCs w:val="18"/>
              </w:rPr>
              <w:t>-</w:t>
            </w:r>
          </w:p>
        </w:tc>
        <w:tc>
          <w:tcPr>
            <w:tcW w:w="2841" w:type="dxa"/>
            <w:noWrap/>
            <w:vAlign w:val="center"/>
            <w:hideMark/>
          </w:tcPr>
          <w:p w14:paraId="1D948881" w14:textId="77777777" w:rsidR="008409DC" w:rsidRPr="00CB39D1" w:rsidRDefault="008409DC" w:rsidP="00147C8B">
            <w:pPr>
              <w:spacing w:before="0" w:after="0" w:line="240" w:lineRule="auto"/>
              <w:jc w:val="both"/>
              <w:rPr>
                <w:sz w:val="18"/>
                <w:szCs w:val="18"/>
              </w:rPr>
            </w:pPr>
            <w:r w:rsidRPr="00CB39D1">
              <w:rPr>
                <w:sz w:val="18"/>
                <w:szCs w:val="18"/>
              </w:rPr>
              <w:t>Փաստացի</w:t>
            </w:r>
          </w:p>
        </w:tc>
        <w:tc>
          <w:tcPr>
            <w:tcW w:w="902" w:type="dxa"/>
            <w:tcBorders>
              <w:top w:val="single" w:sz="8" w:space="0" w:color="E1E1E3" w:themeColor="accent3" w:themeTint="33"/>
              <w:bottom w:val="single" w:sz="8" w:space="0" w:color="E1E1E3" w:themeColor="accent3" w:themeTint="33"/>
              <w:right w:val="single" w:sz="8" w:space="0" w:color="E1E1E3" w:themeColor="accent3" w:themeTint="33"/>
            </w:tcBorders>
            <w:vAlign w:val="center"/>
            <w:hideMark/>
          </w:tcPr>
          <w:p w14:paraId="66457AE7" w14:textId="77777777" w:rsidR="008409DC" w:rsidRPr="00CB39D1" w:rsidRDefault="008409DC" w:rsidP="00147C8B">
            <w:pPr>
              <w:spacing w:before="0" w:after="0" w:line="240" w:lineRule="auto"/>
              <w:jc w:val="center"/>
              <w:rPr>
                <w:sz w:val="18"/>
                <w:szCs w:val="18"/>
              </w:rPr>
            </w:pPr>
            <w:r w:rsidRPr="00CB39D1">
              <w:rPr>
                <w:sz w:val="18"/>
                <w:szCs w:val="18"/>
              </w:rPr>
              <w:t>2,410.7</w:t>
            </w:r>
          </w:p>
        </w:tc>
        <w:tc>
          <w:tcPr>
            <w:tcW w:w="950" w:type="dxa"/>
            <w:tcBorders>
              <w:top w:val="single" w:sz="8" w:space="0" w:color="E1E1E3" w:themeColor="accent3" w:themeTint="33"/>
              <w:left w:val="single" w:sz="8" w:space="0" w:color="E1E1E3" w:themeColor="accent3" w:themeTint="33"/>
              <w:bottom w:val="single" w:sz="8" w:space="0" w:color="E1E1E3" w:themeColor="accent3" w:themeTint="33"/>
              <w:right w:val="single" w:sz="8" w:space="0" w:color="E1E1E3" w:themeColor="accent3" w:themeTint="33"/>
            </w:tcBorders>
            <w:noWrap/>
            <w:vAlign w:val="center"/>
            <w:hideMark/>
          </w:tcPr>
          <w:p w14:paraId="1288D90C" w14:textId="77777777" w:rsidR="008409DC" w:rsidRPr="00CB39D1" w:rsidRDefault="008409DC" w:rsidP="00147C8B">
            <w:pPr>
              <w:spacing w:before="0" w:after="0" w:line="240" w:lineRule="auto"/>
              <w:jc w:val="center"/>
              <w:rPr>
                <w:sz w:val="18"/>
                <w:szCs w:val="18"/>
              </w:rPr>
            </w:pPr>
            <w:r w:rsidRPr="00CB39D1">
              <w:rPr>
                <w:sz w:val="18"/>
                <w:szCs w:val="18"/>
              </w:rPr>
              <w:t>2,579.2</w:t>
            </w:r>
          </w:p>
        </w:tc>
        <w:tc>
          <w:tcPr>
            <w:tcW w:w="848" w:type="dxa"/>
            <w:tcBorders>
              <w:top w:val="single" w:sz="8" w:space="0" w:color="E1E1E3" w:themeColor="accent3" w:themeTint="33"/>
              <w:left w:val="single" w:sz="8" w:space="0" w:color="E1E1E3" w:themeColor="accent3" w:themeTint="33"/>
              <w:bottom w:val="single" w:sz="8" w:space="0" w:color="E1E1E3" w:themeColor="accent3" w:themeTint="33"/>
              <w:right w:val="single" w:sz="8" w:space="0" w:color="E1E1E3" w:themeColor="accent3" w:themeTint="33"/>
            </w:tcBorders>
            <w:noWrap/>
            <w:vAlign w:val="center"/>
            <w:hideMark/>
          </w:tcPr>
          <w:p w14:paraId="26FB4EC5" w14:textId="77777777" w:rsidR="008409DC" w:rsidRPr="00CB39D1" w:rsidRDefault="008409DC" w:rsidP="00147C8B">
            <w:pPr>
              <w:spacing w:before="0" w:after="0" w:line="240" w:lineRule="auto"/>
              <w:jc w:val="center"/>
              <w:rPr>
                <w:sz w:val="18"/>
                <w:szCs w:val="18"/>
              </w:rPr>
            </w:pPr>
          </w:p>
        </w:tc>
        <w:tc>
          <w:tcPr>
            <w:tcW w:w="1046" w:type="dxa"/>
            <w:tcBorders>
              <w:top w:val="single" w:sz="8" w:space="0" w:color="E1E1E3" w:themeColor="accent3" w:themeTint="33"/>
              <w:left w:val="single" w:sz="8" w:space="0" w:color="E1E1E3" w:themeColor="accent3" w:themeTint="33"/>
              <w:bottom w:val="single" w:sz="8" w:space="0" w:color="E1E1E3" w:themeColor="accent3" w:themeTint="33"/>
              <w:right w:val="single" w:sz="8" w:space="0" w:color="E1E1E3" w:themeColor="accent3" w:themeTint="33"/>
            </w:tcBorders>
            <w:noWrap/>
            <w:vAlign w:val="center"/>
            <w:hideMark/>
          </w:tcPr>
          <w:p w14:paraId="120991E4" w14:textId="77777777" w:rsidR="008409DC" w:rsidRPr="00CB39D1" w:rsidRDefault="008409DC" w:rsidP="00147C8B">
            <w:pPr>
              <w:spacing w:before="0" w:after="0" w:line="240" w:lineRule="auto"/>
              <w:jc w:val="center"/>
              <w:rPr>
                <w:sz w:val="18"/>
                <w:szCs w:val="18"/>
              </w:rPr>
            </w:pPr>
          </w:p>
        </w:tc>
        <w:tc>
          <w:tcPr>
            <w:tcW w:w="987" w:type="dxa"/>
            <w:tcBorders>
              <w:top w:val="single" w:sz="8" w:space="0" w:color="E1E1E3" w:themeColor="accent3" w:themeTint="33"/>
              <w:left w:val="single" w:sz="8" w:space="0" w:color="E1E1E3" w:themeColor="accent3" w:themeTint="33"/>
              <w:bottom w:val="single" w:sz="8" w:space="0" w:color="E1E1E3" w:themeColor="accent3" w:themeTint="33"/>
              <w:right w:val="single" w:sz="8" w:space="0" w:color="E1E1E3" w:themeColor="accent3" w:themeTint="33"/>
            </w:tcBorders>
            <w:vAlign w:val="center"/>
            <w:hideMark/>
          </w:tcPr>
          <w:p w14:paraId="142EA5C2" w14:textId="77777777" w:rsidR="008409DC" w:rsidRPr="00CB39D1" w:rsidRDefault="008409DC" w:rsidP="00147C8B">
            <w:pPr>
              <w:spacing w:before="0" w:after="0" w:line="240" w:lineRule="auto"/>
              <w:jc w:val="center"/>
              <w:rPr>
                <w:sz w:val="18"/>
                <w:szCs w:val="18"/>
              </w:rPr>
            </w:pPr>
          </w:p>
        </w:tc>
        <w:tc>
          <w:tcPr>
            <w:tcW w:w="1059" w:type="dxa"/>
            <w:tcBorders>
              <w:top w:val="single" w:sz="8" w:space="0" w:color="E1E1E3" w:themeColor="accent3" w:themeTint="33"/>
              <w:left w:val="single" w:sz="8" w:space="0" w:color="E1E1E3" w:themeColor="accent3" w:themeTint="33"/>
              <w:bottom w:val="single" w:sz="8" w:space="0" w:color="E1E1E3" w:themeColor="accent3" w:themeTint="33"/>
            </w:tcBorders>
          </w:tcPr>
          <w:p w14:paraId="5C99B35B" w14:textId="77777777" w:rsidR="008409DC" w:rsidRPr="00CB39D1" w:rsidRDefault="008409DC" w:rsidP="00147C8B">
            <w:pPr>
              <w:spacing w:before="0" w:after="0" w:line="240" w:lineRule="auto"/>
              <w:jc w:val="center"/>
              <w:rPr>
                <w:sz w:val="18"/>
                <w:szCs w:val="18"/>
              </w:rPr>
            </w:pPr>
          </w:p>
        </w:tc>
      </w:tr>
      <w:tr w:rsidR="008409DC" w:rsidRPr="00CB39D1" w14:paraId="739840C4" w14:textId="77777777" w:rsidTr="008409DC">
        <w:trPr>
          <w:trHeight w:val="336"/>
        </w:trPr>
        <w:tc>
          <w:tcPr>
            <w:tcW w:w="1188" w:type="dxa"/>
            <w:vMerge/>
            <w:vAlign w:val="center"/>
            <w:hideMark/>
          </w:tcPr>
          <w:p w14:paraId="1D6F7BB4" w14:textId="77777777" w:rsidR="008409DC" w:rsidRPr="00CB39D1" w:rsidRDefault="008409DC" w:rsidP="00147C8B">
            <w:pPr>
              <w:spacing w:before="0" w:after="0" w:line="240" w:lineRule="auto"/>
              <w:jc w:val="center"/>
              <w:rPr>
                <w:sz w:val="18"/>
                <w:szCs w:val="18"/>
                <w:lang w:val="ru-RU" w:eastAsia="ru-RU"/>
              </w:rPr>
            </w:pPr>
          </w:p>
        </w:tc>
        <w:tc>
          <w:tcPr>
            <w:tcW w:w="2841" w:type="dxa"/>
            <w:noWrap/>
            <w:vAlign w:val="center"/>
            <w:hideMark/>
          </w:tcPr>
          <w:p w14:paraId="58E964A2" w14:textId="77777777" w:rsidR="008409DC" w:rsidRPr="00CB39D1" w:rsidRDefault="008409DC" w:rsidP="00147C8B">
            <w:pPr>
              <w:spacing w:before="0" w:after="0" w:line="240" w:lineRule="auto"/>
              <w:jc w:val="both"/>
              <w:rPr>
                <w:i/>
                <w:color w:val="A5A6AC" w:themeColor="accent3" w:themeTint="99"/>
                <w:sz w:val="18"/>
                <w:szCs w:val="18"/>
              </w:rPr>
            </w:pPr>
            <w:r w:rsidRPr="00CB39D1">
              <w:rPr>
                <w:i/>
                <w:color w:val="A5A6AC" w:themeColor="accent3" w:themeTint="99"/>
                <w:sz w:val="18"/>
                <w:szCs w:val="18"/>
              </w:rPr>
              <w:t>%-ով՝ ՀՆԱ-ի նկատմամբ</w:t>
            </w:r>
          </w:p>
        </w:tc>
        <w:tc>
          <w:tcPr>
            <w:tcW w:w="902" w:type="dxa"/>
            <w:tcBorders>
              <w:top w:val="single" w:sz="8" w:space="0" w:color="E1E1E3" w:themeColor="accent3" w:themeTint="33"/>
              <w:bottom w:val="single" w:sz="8" w:space="0" w:color="E1E1E3" w:themeColor="accent3" w:themeTint="33"/>
              <w:right w:val="single" w:sz="8" w:space="0" w:color="E1E1E3" w:themeColor="accent3" w:themeTint="33"/>
            </w:tcBorders>
            <w:vAlign w:val="center"/>
            <w:hideMark/>
          </w:tcPr>
          <w:p w14:paraId="0CC67631" w14:textId="77777777" w:rsidR="008409DC" w:rsidRPr="00CB39D1" w:rsidRDefault="008409DC" w:rsidP="00147C8B">
            <w:pPr>
              <w:spacing w:before="0" w:after="0" w:line="240" w:lineRule="auto"/>
              <w:jc w:val="center"/>
              <w:rPr>
                <w:i/>
                <w:color w:val="A5A6AC" w:themeColor="accent3" w:themeTint="99"/>
                <w:sz w:val="18"/>
                <w:szCs w:val="18"/>
              </w:rPr>
            </w:pPr>
            <w:r w:rsidRPr="00CB39D1">
              <w:rPr>
                <w:i/>
                <w:color w:val="A5A6AC" w:themeColor="accent3" w:themeTint="99"/>
                <w:sz w:val="18"/>
                <w:szCs w:val="18"/>
              </w:rPr>
              <w:t>25.4%</w:t>
            </w:r>
          </w:p>
        </w:tc>
        <w:tc>
          <w:tcPr>
            <w:tcW w:w="950" w:type="dxa"/>
            <w:tcBorders>
              <w:top w:val="single" w:sz="8" w:space="0" w:color="E1E1E3" w:themeColor="accent3" w:themeTint="33"/>
              <w:left w:val="single" w:sz="8" w:space="0" w:color="E1E1E3" w:themeColor="accent3" w:themeTint="33"/>
              <w:bottom w:val="single" w:sz="8" w:space="0" w:color="E1E1E3" w:themeColor="accent3" w:themeTint="33"/>
              <w:right w:val="single" w:sz="8" w:space="0" w:color="E1E1E3" w:themeColor="accent3" w:themeTint="33"/>
            </w:tcBorders>
            <w:noWrap/>
            <w:vAlign w:val="center"/>
            <w:hideMark/>
          </w:tcPr>
          <w:p w14:paraId="34B0F963" w14:textId="77777777" w:rsidR="008409DC" w:rsidRPr="00CB39D1" w:rsidRDefault="008409DC" w:rsidP="00147C8B">
            <w:pPr>
              <w:spacing w:before="0" w:after="0" w:line="240" w:lineRule="auto"/>
              <w:jc w:val="center"/>
              <w:rPr>
                <w:i/>
                <w:color w:val="A5A6AC" w:themeColor="accent3" w:themeTint="99"/>
                <w:sz w:val="18"/>
                <w:szCs w:val="18"/>
              </w:rPr>
            </w:pPr>
            <w:r w:rsidRPr="00CB39D1">
              <w:rPr>
                <w:i/>
                <w:color w:val="A5A6AC" w:themeColor="accent3" w:themeTint="99"/>
                <w:sz w:val="18"/>
                <w:szCs w:val="18"/>
              </w:rPr>
              <w:t>25.3%</w:t>
            </w:r>
          </w:p>
        </w:tc>
        <w:tc>
          <w:tcPr>
            <w:tcW w:w="848" w:type="dxa"/>
            <w:tcBorders>
              <w:top w:val="single" w:sz="8" w:space="0" w:color="E1E1E3" w:themeColor="accent3" w:themeTint="33"/>
              <w:left w:val="single" w:sz="8" w:space="0" w:color="E1E1E3" w:themeColor="accent3" w:themeTint="33"/>
              <w:bottom w:val="single" w:sz="8" w:space="0" w:color="E1E1E3" w:themeColor="accent3" w:themeTint="33"/>
              <w:right w:val="single" w:sz="8" w:space="0" w:color="E1E1E3" w:themeColor="accent3" w:themeTint="33"/>
            </w:tcBorders>
            <w:noWrap/>
            <w:vAlign w:val="center"/>
            <w:hideMark/>
          </w:tcPr>
          <w:p w14:paraId="045C1EAA" w14:textId="77777777" w:rsidR="008409DC" w:rsidRPr="00CB39D1" w:rsidRDefault="008409DC" w:rsidP="00147C8B">
            <w:pPr>
              <w:spacing w:before="0" w:after="0" w:line="240" w:lineRule="auto"/>
              <w:jc w:val="center"/>
              <w:rPr>
                <w:i/>
                <w:color w:val="A5A6AC" w:themeColor="accent3" w:themeTint="99"/>
                <w:sz w:val="18"/>
                <w:szCs w:val="18"/>
              </w:rPr>
            </w:pPr>
          </w:p>
        </w:tc>
        <w:tc>
          <w:tcPr>
            <w:tcW w:w="1046" w:type="dxa"/>
            <w:tcBorders>
              <w:top w:val="single" w:sz="8" w:space="0" w:color="E1E1E3" w:themeColor="accent3" w:themeTint="33"/>
              <w:left w:val="single" w:sz="8" w:space="0" w:color="E1E1E3" w:themeColor="accent3" w:themeTint="33"/>
              <w:bottom w:val="single" w:sz="8" w:space="0" w:color="E1E1E3" w:themeColor="accent3" w:themeTint="33"/>
              <w:right w:val="single" w:sz="8" w:space="0" w:color="E1E1E3" w:themeColor="accent3" w:themeTint="33"/>
            </w:tcBorders>
            <w:noWrap/>
            <w:vAlign w:val="center"/>
            <w:hideMark/>
          </w:tcPr>
          <w:p w14:paraId="5D110F1C" w14:textId="77777777" w:rsidR="008409DC" w:rsidRPr="00CB39D1" w:rsidRDefault="008409DC" w:rsidP="00147C8B">
            <w:pPr>
              <w:spacing w:before="0" w:after="0" w:line="240" w:lineRule="auto"/>
              <w:jc w:val="center"/>
              <w:rPr>
                <w:i/>
                <w:color w:val="A5A6AC" w:themeColor="accent3" w:themeTint="99"/>
                <w:sz w:val="18"/>
                <w:szCs w:val="18"/>
              </w:rPr>
            </w:pPr>
          </w:p>
        </w:tc>
        <w:tc>
          <w:tcPr>
            <w:tcW w:w="987" w:type="dxa"/>
            <w:tcBorders>
              <w:top w:val="single" w:sz="8" w:space="0" w:color="E1E1E3" w:themeColor="accent3" w:themeTint="33"/>
              <w:left w:val="single" w:sz="8" w:space="0" w:color="E1E1E3" w:themeColor="accent3" w:themeTint="33"/>
              <w:bottom w:val="single" w:sz="8" w:space="0" w:color="E1E1E3" w:themeColor="accent3" w:themeTint="33"/>
              <w:right w:val="single" w:sz="8" w:space="0" w:color="E1E1E3" w:themeColor="accent3" w:themeTint="33"/>
            </w:tcBorders>
            <w:vAlign w:val="center"/>
            <w:hideMark/>
          </w:tcPr>
          <w:p w14:paraId="727D9D94" w14:textId="77777777" w:rsidR="008409DC" w:rsidRPr="00CB39D1" w:rsidRDefault="008409DC" w:rsidP="00147C8B">
            <w:pPr>
              <w:spacing w:before="0" w:after="0" w:line="240" w:lineRule="auto"/>
              <w:jc w:val="center"/>
              <w:rPr>
                <w:i/>
                <w:color w:val="A5A6AC" w:themeColor="accent3" w:themeTint="99"/>
                <w:sz w:val="18"/>
                <w:szCs w:val="18"/>
              </w:rPr>
            </w:pPr>
          </w:p>
        </w:tc>
        <w:tc>
          <w:tcPr>
            <w:tcW w:w="1059" w:type="dxa"/>
            <w:tcBorders>
              <w:top w:val="single" w:sz="8" w:space="0" w:color="E1E1E3" w:themeColor="accent3" w:themeTint="33"/>
              <w:left w:val="single" w:sz="8" w:space="0" w:color="E1E1E3" w:themeColor="accent3" w:themeTint="33"/>
              <w:bottom w:val="single" w:sz="8" w:space="0" w:color="E1E1E3" w:themeColor="accent3" w:themeTint="33"/>
            </w:tcBorders>
          </w:tcPr>
          <w:p w14:paraId="581332FF" w14:textId="77777777" w:rsidR="008409DC" w:rsidRPr="00CB39D1" w:rsidRDefault="008409DC" w:rsidP="00147C8B">
            <w:pPr>
              <w:spacing w:before="0" w:after="0" w:line="240" w:lineRule="auto"/>
              <w:jc w:val="center"/>
              <w:rPr>
                <w:i/>
                <w:color w:val="A5A6AC" w:themeColor="accent3" w:themeTint="99"/>
                <w:sz w:val="18"/>
                <w:szCs w:val="18"/>
              </w:rPr>
            </w:pPr>
          </w:p>
        </w:tc>
      </w:tr>
      <w:tr w:rsidR="008409DC" w:rsidRPr="00CB39D1" w14:paraId="6527C406" w14:textId="77777777" w:rsidTr="008409DC">
        <w:trPr>
          <w:trHeight w:val="336"/>
        </w:trPr>
        <w:tc>
          <w:tcPr>
            <w:tcW w:w="1188" w:type="dxa"/>
            <w:vMerge w:val="restart"/>
            <w:vAlign w:val="center"/>
            <w:hideMark/>
          </w:tcPr>
          <w:p w14:paraId="32F9A121" w14:textId="77777777" w:rsidR="008409DC" w:rsidRPr="00CB39D1" w:rsidRDefault="008409DC" w:rsidP="00147C8B">
            <w:pPr>
              <w:spacing w:before="0" w:after="0" w:line="240" w:lineRule="auto"/>
              <w:jc w:val="center"/>
              <w:rPr>
                <w:sz w:val="18"/>
                <w:szCs w:val="18"/>
              </w:rPr>
            </w:pPr>
            <w:r w:rsidRPr="00CB39D1">
              <w:rPr>
                <w:sz w:val="18"/>
                <w:szCs w:val="18"/>
              </w:rPr>
              <w:t>2022</w:t>
            </w:r>
          </w:p>
        </w:tc>
        <w:tc>
          <w:tcPr>
            <w:tcW w:w="2841" w:type="dxa"/>
            <w:noWrap/>
            <w:vAlign w:val="center"/>
            <w:hideMark/>
          </w:tcPr>
          <w:p w14:paraId="2DA747A1" w14:textId="77777777" w:rsidR="008409DC" w:rsidRPr="00CB39D1" w:rsidRDefault="008409DC" w:rsidP="00147C8B">
            <w:pPr>
              <w:spacing w:before="0" w:after="0" w:line="240" w:lineRule="auto"/>
              <w:jc w:val="both"/>
              <w:rPr>
                <w:sz w:val="18"/>
                <w:szCs w:val="18"/>
              </w:rPr>
            </w:pPr>
            <w:r w:rsidRPr="00CB39D1">
              <w:rPr>
                <w:sz w:val="18"/>
                <w:szCs w:val="18"/>
              </w:rPr>
              <w:t>ՄԺԾԾ 2023-2025</w:t>
            </w:r>
          </w:p>
        </w:tc>
        <w:tc>
          <w:tcPr>
            <w:tcW w:w="902" w:type="dxa"/>
            <w:vAlign w:val="center"/>
            <w:hideMark/>
          </w:tcPr>
          <w:p w14:paraId="0573C0C3" w14:textId="77777777" w:rsidR="008409DC" w:rsidRPr="00CB39D1" w:rsidRDefault="008409DC" w:rsidP="00147C8B">
            <w:pPr>
              <w:spacing w:before="0" w:after="0" w:line="240" w:lineRule="auto"/>
              <w:jc w:val="center"/>
              <w:rPr>
                <w:sz w:val="18"/>
                <w:szCs w:val="18"/>
              </w:rPr>
            </w:pPr>
            <w:r w:rsidRPr="00CB39D1">
              <w:rPr>
                <w:sz w:val="18"/>
                <w:szCs w:val="18"/>
              </w:rPr>
              <w:t>2,305.7</w:t>
            </w:r>
          </w:p>
        </w:tc>
        <w:tc>
          <w:tcPr>
            <w:tcW w:w="950" w:type="dxa"/>
            <w:vAlign w:val="center"/>
            <w:hideMark/>
          </w:tcPr>
          <w:p w14:paraId="44B6A114" w14:textId="77777777" w:rsidR="008409DC" w:rsidRPr="00CB39D1" w:rsidRDefault="008409DC" w:rsidP="00147C8B">
            <w:pPr>
              <w:spacing w:before="0" w:after="0" w:line="240" w:lineRule="auto"/>
              <w:jc w:val="center"/>
              <w:rPr>
                <w:sz w:val="18"/>
                <w:szCs w:val="18"/>
              </w:rPr>
            </w:pPr>
            <w:r w:rsidRPr="00CB39D1">
              <w:rPr>
                <w:sz w:val="18"/>
                <w:szCs w:val="18"/>
              </w:rPr>
              <w:t>2,609.6</w:t>
            </w:r>
          </w:p>
        </w:tc>
        <w:tc>
          <w:tcPr>
            <w:tcW w:w="848" w:type="dxa"/>
            <w:vAlign w:val="center"/>
            <w:hideMark/>
          </w:tcPr>
          <w:p w14:paraId="2D4E447F" w14:textId="77777777" w:rsidR="008409DC" w:rsidRPr="00CB39D1" w:rsidRDefault="008409DC" w:rsidP="00147C8B">
            <w:pPr>
              <w:spacing w:before="0" w:after="0" w:line="240" w:lineRule="auto"/>
              <w:jc w:val="center"/>
              <w:rPr>
                <w:sz w:val="18"/>
                <w:szCs w:val="18"/>
              </w:rPr>
            </w:pPr>
            <w:r w:rsidRPr="00CB39D1">
              <w:rPr>
                <w:sz w:val="18"/>
                <w:szCs w:val="18"/>
              </w:rPr>
              <w:t>2,940.6</w:t>
            </w:r>
          </w:p>
        </w:tc>
        <w:tc>
          <w:tcPr>
            <w:tcW w:w="1046" w:type="dxa"/>
            <w:noWrap/>
            <w:vAlign w:val="center"/>
            <w:hideMark/>
          </w:tcPr>
          <w:p w14:paraId="2EA699E0" w14:textId="77777777" w:rsidR="008409DC" w:rsidRPr="00CB39D1" w:rsidRDefault="008409DC" w:rsidP="00147C8B">
            <w:pPr>
              <w:spacing w:before="0" w:after="0" w:line="240" w:lineRule="auto"/>
              <w:jc w:val="center"/>
              <w:rPr>
                <w:sz w:val="18"/>
                <w:szCs w:val="18"/>
              </w:rPr>
            </w:pPr>
          </w:p>
        </w:tc>
        <w:tc>
          <w:tcPr>
            <w:tcW w:w="987" w:type="dxa"/>
            <w:vAlign w:val="center"/>
            <w:hideMark/>
          </w:tcPr>
          <w:p w14:paraId="4869E2C4" w14:textId="77777777" w:rsidR="008409DC" w:rsidRPr="00CB39D1" w:rsidRDefault="008409DC" w:rsidP="00147C8B">
            <w:pPr>
              <w:spacing w:before="0" w:after="0" w:line="240" w:lineRule="auto"/>
              <w:jc w:val="center"/>
              <w:rPr>
                <w:sz w:val="18"/>
                <w:szCs w:val="18"/>
              </w:rPr>
            </w:pPr>
          </w:p>
        </w:tc>
        <w:tc>
          <w:tcPr>
            <w:tcW w:w="1059" w:type="dxa"/>
          </w:tcPr>
          <w:p w14:paraId="212D627B" w14:textId="77777777" w:rsidR="008409DC" w:rsidRPr="00CB39D1" w:rsidRDefault="008409DC" w:rsidP="00147C8B">
            <w:pPr>
              <w:spacing w:before="0" w:after="0" w:line="240" w:lineRule="auto"/>
              <w:jc w:val="center"/>
              <w:rPr>
                <w:sz w:val="18"/>
                <w:szCs w:val="18"/>
              </w:rPr>
            </w:pPr>
          </w:p>
        </w:tc>
      </w:tr>
      <w:tr w:rsidR="008409DC" w:rsidRPr="00CB39D1" w14:paraId="27C9B0E6" w14:textId="77777777" w:rsidTr="008409DC">
        <w:trPr>
          <w:trHeight w:val="336"/>
        </w:trPr>
        <w:tc>
          <w:tcPr>
            <w:tcW w:w="1188" w:type="dxa"/>
            <w:vMerge/>
            <w:vAlign w:val="center"/>
            <w:hideMark/>
          </w:tcPr>
          <w:p w14:paraId="419814FD" w14:textId="77777777" w:rsidR="008409DC" w:rsidRPr="00CB39D1" w:rsidRDefault="008409DC" w:rsidP="00147C8B">
            <w:pPr>
              <w:spacing w:before="0" w:after="0" w:line="240" w:lineRule="auto"/>
              <w:jc w:val="center"/>
              <w:rPr>
                <w:sz w:val="18"/>
                <w:szCs w:val="18"/>
                <w:lang w:val="ru-RU" w:eastAsia="ru-RU"/>
              </w:rPr>
            </w:pPr>
          </w:p>
        </w:tc>
        <w:tc>
          <w:tcPr>
            <w:tcW w:w="2841" w:type="dxa"/>
            <w:vAlign w:val="center"/>
            <w:hideMark/>
          </w:tcPr>
          <w:p w14:paraId="0269FC97" w14:textId="77777777" w:rsidR="008409DC" w:rsidRPr="00CB39D1" w:rsidRDefault="008409DC" w:rsidP="00147C8B">
            <w:pPr>
              <w:spacing w:before="0" w:after="0" w:line="240" w:lineRule="auto"/>
              <w:jc w:val="both"/>
              <w:rPr>
                <w:i/>
                <w:color w:val="A5A6AC" w:themeColor="accent3" w:themeTint="99"/>
                <w:sz w:val="18"/>
                <w:szCs w:val="18"/>
              </w:rPr>
            </w:pPr>
            <w:r w:rsidRPr="00CB39D1">
              <w:rPr>
                <w:i/>
                <w:color w:val="A5A6AC" w:themeColor="accent3" w:themeTint="99"/>
                <w:sz w:val="18"/>
                <w:szCs w:val="18"/>
              </w:rPr>
              <w:t>%-ով՝ ՀՆԱ-ի նկատմամբ</w:t>
            </w:r>
          </w:p>
        </w:tc>
        <w:tc>
          <w:tcPr>
            <w:tcW w:w="902" w:type="dxa"/>
            <w:vAlign w:val="center"/>
            <w:hideMark/>
          </w:tcPr>
          <w:p w14:paraId="370BD5B1" w14:textId="77777777" w:rsidR="008409DC" w:rsidRPr="00CB39D1" w:rsidRDefault="008409DC" w:rsidP="00147C8B">
            <w:pPr>
              <w:spacing w:before="0" w:after="0" w:line="240" w:lineRule="auto"/>
              <w:jc w:val="center"/>
              <w:rPr>
                <w:i/>
                <w:color w:val="A5A6AC" w:themeColor="accent3" w:themeTint="99"/>
                <w:sz w:val="18"/>
                <w:szCs w:val="18"/>
              </w:rPr>
            </w:pPr>
            <w:r w:rsidRPr="00CB39D1">
              <w:rPr>
                <w:i/>
                <w:color w:val="A5A6AC" w:themeColor="accent3" w:themeTint="99"/>
                <w:sz w:val="18"/>
                <w:szCs w:val="18"/>
              </w:rPr>
              <w:t>25.47%</w:t>
            </w:r>
          </w:p>
        </w:tc>
        <w:tc>
          <w:tcPr>
            <w:tcW w:w="950" w:type="dxa"/>
            <w:vAlign w:val="center"/>
            <w:hideMark/>
          </w:tcPr>
          <w:p w14:paraId="5C11C0EA" w14:textId="77777777" w:rsidR="008409DC" w:rsidRPr="00CB39D1" w:rsidRDefault="008409DC" w:rsidP="00147C8B">
            <w:pPr>
              <w:spacing w:before="0" w:after="0" w:line="240" w:lineRule="auto"/>
              <w:jc w:val="center"/>
              <w:rPr>
                <w:i/>
                <w:color w:val="A5A6AC" w:themeColor="accent3" w:themeTint="99"/>
                <w:sz w:val="18"/>
                <w:szCs w:val="18"/>
              </w:rPr>
            </w:pPr>
            <w:r w:rsidRPr="00CB39D1">
              <w:rPr>
                <w:i/>
                <w:color w:val="A5A6AC" w:themeColor="accent3" w:themeTint="99"/>
                <w:sz w:val="18"/>
                <w:szCs w:val="18"/>
              </w:rPr>
              <w:t>25.81%</w:t>
            </w:r>
          </w:p>
        </w:tc>
        <w:tc>
          <w:tcPr>
            <w:tcW w:w="848" w:type="dxa"/>
            <w:vAlign w:val="center"/>
            <w:hideMark/>
          </w:tcPr>
          <w:p w14:paraId="3022CB24" w14:textId="77777777" w:rsidR="008409DC" w:rsidRPr="00CB39D1" w:rsidRDefault="008409DC" w:rsidP="00147C8B">
            <w:pPr>
              <w:spacing w:before="0" w:after="0" w:line="240" w:lineRule="auto"/>
              <w:jc w:val="center"/>
              <w:rPr>
                <w:i/>
                <w:color w:val="A5A6AC" w:themeColor="accent3" w:themeTint="99"/>
                <w:sz w:val="18"/>
                <w:szCs w:val="18"/>
              </w:rPr>
            </w:pPr>
            <w:r w:rsidRPr="00CB39D1">
              <w:rPr>
                <w:i/>
                <w:color w:val="A5A6AC" w:themeColor="accent3" w:themeTint="99"/>
                <w:sz w:val="18"/>
                <w:szCs w:val="18"/>
              </w:rPr>
              <w:t>26.15%</w:t>
            </w:r>
          </w:p>
        </w:tc>
        <w:tc>
          <w:tcPr>
            <w:tcW w:w="1046" w:type="dxa"/>
            <w:noWrap/>
            <w:vAlign w:val="center"/>
            <w:hideMark/>
          </w:tcPr>
          <w:p w14:paraId="41D800C4" w14:textId="77777777" w:rsidR="008409DC" w:rsidRPr="00CB39D1" w:rsidRDefault="008409DC" w:rsidP="00147C8B">
            <w:pPr>
              <w:spacing w:before="0" w:after="0" w:line="240" w:lineRule="auto"/>
              <w:jc w:val="center"/>
              <w:rPr>
                <w:i/>
                <w:color w:val="A5A6AC" w:themeColor="accent3" w:themeTint="99"/>
                <w:sz w:val="18"/>
                <w:szCs w:val="18"/>
              </w:rPr>
            </w:pPr>
          </w:p>
        </w:tc>
        <w:tc>
          <w:tcPr>
            <w:tcW w:w="987" w:type="dxa"/>
            <w:vAlign w:val="center"/>
            <w:hideMark/>
          </w:tcPr>
          <w:p w14:paraId="16A22D22" w14:textId="77777777" w:rsidR="008409DC" w:rsidRPr="00CB39D1" w:rsidRDefault="008409DC" w:rsidP="00147C8B">
            <w:pPr>
              <w:spacing w:before="0" w:after="0" w:line="240" w:lineRule="auto"/>
              <w:jc w:val="center"/>
              <w:rPr>
                <w:i/>
                <w:color w:val="A5A6AC" w:themeColor="accent3" w:themeTint="99"/>
                <w:sz w:val="18"/>
                <w:szCs w:val="18"/>
              </w:rPr>
            </w:pPr>
          </w:p>
        </w:tc>
        <w:tc>
          <w:tcPr>
            <w:tcW w:w="1059" w:type="dxa"/>
          </w:tcPr>
          <w:p w14:paraId="66AA213B" w14:textId="77777777" w:rsidR="008409DC" w:rsidRPr="00CB39D1" w:rsidRDefault="008409DC" w:rsidP="00147C8B">
            <w:pPr>
              <w:spacing w:before="0" w:after="0" w:line="240" w:lineRule="auto"/>
              <w:jc w:val="center"/>
              <w:rPr>
                <w:i/>
                <w:color w:val="A5A6AC" w:themeColor="accent3" w:themeTint="99"/>
                <w:sz w:val="18"/>
                <w:szCs w:val="18"/>
              </w:rPr>
            </w:pPr>
          </w:p>
        </w:tc>
      </w:tr>
      <w:tr w:rsidR="008409DC" w:rsidRPr="00CB39D1" w14:paraId="404DA9D5" w14:textId="77777777" w:rsidTr="008409DC">
        <w:trPr>
          <w:trHeight w:val="336"/>
        </w:trPr>
        <w:tc>
          <w:tcPr>
            <w:tcW w:w="1188" w:type="dxa"/>
            <w:vMerge/>
            <w:vAlign w:val="center"/>
            <w:hideMark/>
          </w:tcPr>
          <w:p w14:paraId="7F942092" w14:textId="77777777" w:rsidR="008409DC" w:rsidRPr="00CB39D1" w:rsidRDefault="008409DC" w:rsidP="00147C8B">
            <w:pPr>
              <w:spacing w:before="0" w:after="0" w:line="240" w:lineRule="auto"/>
              <w:jc w:val="center"/>
              <w:rPr>
                <w:sz w:val="18"/>
                <w:szCs w:val="18"/>
                <w:lang w:val="ru-RU" w:eastAsia="ru-RU"/>
              </w:rPr>
            </w:pPr>
          </w:p>
        </w:tc>
        <w:tc>
          <w:tcPr>
            <w:tcW w:w="2841" w:type="dxa"/>
            <w:noWrap/>
            <w:vAlign w:val="center"/>
            <w:hideMark/>
          </w:tcPr>
          <w:p w14:paraId="70B28A01" w14:textId="77777777" w:rsidR="008409DC" w:rsidRPr="00CB39D1" w:rsidRDefault="008409DC" w:rsidP="00147C8B">
            <w:pPr>
              <w:spacing w:before="0" w:after="0" w:line="240" w:lineRule="auto"/>
              <w:jc w:val="both"/>
              <w:rPr>
                <w:sz w:val="18"/>
                <w:szCs w:val="18"/>
              </w:rPr>
            </w:pPr>
            <w:r w:rsidRPr="00CB39D1">
              <w:rPr>
                <w:sz w:val="18"/>
                <w:szCs w:val="18"/>
              </w:rPr>
              <w:t>2023թ. Պետական բյուջե</w:t>
            </w:r>
          </w:p>
        </w:tc>
        <w:tc>
          <w:tcPr>
            <w:tcW w:w="902" w:type="dxa"/>
            <w:vAlign w:val="center"/>
            <w:hideMark/>
          </w:tcPr>
          <w:p w14:paraId="0C654A11" w14:textId="77777777" w:rsidR="008409DC" w:rsidRPr="00CB39D1" w:rsidRDefault="008409DC" w:rsidP="00147C8B">
            <w:pPr>
              <w:spacing w:before="0" w:after="0" w:line="240" w:lineRule="auto"/>
              <w:jc w:val="center"/>
              <w:rPr>
                <w:sz w:val="18"/>
                <w:szCs w:val="18"/>
              </w:rPr>
            </w:pPr>
            <w:r w:rsidRPr="00CB39D1">
              <w:rPr>
                <w:sz w:val="18"/>
                <w:szCs w:val="18"/>
              </w:rPr>
              <w:t>2,353.9</w:t>
            </w:r>
          </w:p>
        </w:tc>
        <w:tc>
          <w:tcPr>
            <w:tcW w:w="950" w:type="dxa"/>
            <w:vAlign w:val="center"/>
            <w:hideMark/>
          </w:tcPr>
          <w:p w14:paraId="24D731D7" w14:textId="77777777" w:rsidR="008409DC" w:rsidRPr="00CB39D1" w:rsidRDefault="008409DC" w:rsidP="00147C8B">
            <w:pPr>
              <w:spacing w:before="0" w:after="0" w:line="240" w:lineRule="auto"/>
              <w:jc w:val="center"/>
              <w:rPr>
                <w:sz w:val="18"/>
                <w:szCs w:val="18"/>
              </w:rPr>
            </w:pPr>
          </w:p>
        </w:tc>
        <w:tc>
          <w:tcPr>
            <w:tcW w:w="848" w:type="dxa"/>
            <w:vAlign w:val="center"/>
            <w:hideMark/>
          </w:tcPr>
          <w:p w14:paraId="6E9FB967" w14:textId="77777777" w:rsidR="008409DC" w:rsidRPr="00CB39D1" w:rsidRDefault="008409DC" w:rsidP="00147C8B">
            <w:pPr>
              <w:spacing w:before="0" w:after="0" w:line="240" w:lineRule="auto"/>
              <w:jc w:val="center"/>
              <w:rPr>
                <w:sz w:val="18"/>
                <w:szCs w:val="18"/>
              </w:rPr>
            </w:pPr>
          </w:p>
        </w:tc>
        <w:tc>
          <w:tcPr>
            <w:tcW w:w="1046" w:type="dxa"/>
            <w:noWrap/>
            <w:vAlign w:val="center"/>
            <w:hideMark/>
          </w:tcPr>
          <w:p w14:paraId="00989C62" w14:textId="77777777" w:rsidR="008409DC" w:rsidRPr="00CB39D1" w:rsidRDefault="008409DC" w:rsidP="00147C8B">
            <w:pPr>
              <w:spacing w:before="0" w:after="0" w:line="240" w:lineRule="auto"/>
              <w:jc w:val="center"/>
              <w:rPr>
                <w:sz w:val="18"/>
                <w:szCs w:val="18"/>
              </w:rPr>
            </w:pPr>
          </w:p>
        </w:tc>
        <w:tc>
          <w:tcPr>
            <w:tcW w:w="987" w:type="dxa"/>
            <w:vAlign w:val="center"/>
            <w:hideMark/>
          </w:tcPr>
          <w:p w14:paraId="79B407BB" w14:textId="77777777" w:rsidR="008409DC" w:rsidRPr="00CB39D1" w:rsidRDefault="008409DC" w:rsidP="00147C8B">
            <w:pPr>
              <w:spacing w:before="0" w:after="0" w:line="240" w:lineRule="auto"/>
              <w:jc w:val="center"/>
              <w:rPr>
                <w:sz w:val="18"/>
                <w:szCs w:val="18"/>
              </w:rPr>
            </w:pPr>
          </w:p>
        </w:tc>
        <w:tc>
          <w:tcPr>
            <w:tcW w:w="1059" w:type="dxa"/>
          </w:tcPr>
          <w:p w14:paraId="0A99909E" w14:textId="77777777" w:rsidR="008409DC" w:rsidRPr="00CB39D1" w:rsidRDefault="008409DC" w:rsidP="00147C8B">
            <w:pPr>
              <w:spacing w:before="0" w:after="0" w:line="240" w:lineRule="auto"/>
              <w:jc w:val="center"/>
              <w:rPr>
                <w:sz w:val="18"/>
                <w:szCs w:val="18"/>
              </w:rPr>
            </w:pPr>
          </w:p>
        </w:tc>
      </w:tr>
      <w:tr w:rsidR="008409DC" w:rsidRPr="00CB39D1" w14:paraId="2A5EADB9" w14:textId="77777777" w:rsidTr="008409DC">
        <w:trPr>
          <w:trHeight w:val="336"/>
        </w:trPr>
        <w:tc>
          <w:tcPr>
            <w:tcW w:w="1188" w:type="dxa"/>
            <w:vMerge/>
            <w:vAlign w:val="center"/>
            <w:hideMark/>
          </w:tcPr>
          <w:p w14:paraId="7E791F33" w14:textId="77777777" w:rsidR="008409DC" w:rsidRPr="00CB39D1" w:rsidRDefault="008409DC" w:rsidP="00147C8B">
            <w:pPr>
              <w:spacing w:before="0" w:after="0" w:line="240" w:lineRule="auto"/>
              <w:jc w:val="center"/>
              <w:rPr>
                <w:sz w:val="18"/>
                <w:szCs w:val="18"/>
                <w:lang w:val="ru-RU" w:eastAsia="ru-RU"/>
              </w:rPr>
            </w:pPr>
          </w:p>
        </w:tc>
        <w:tc>
          <w:tcPr>
            <w:tcW w:w="2841" w:type="dxa"/>
            <w:vAlign w:val="center"/>
            <w:hideMark/>
          </w:tcPr>
          <w:p w14:paraId="07AEEB08" w14:textId="77777777" w:rsidR="008409DC" w:rsidRPr="00CB39D1" w:rsidRDefault="008409DC" w:rsidP="00147C8B">
            <w:pPr>
              <w:spacing w:before="0" w:after="0" w:line="240" w:lineRule="auto"/>
              <w:jc w:val="both"/>
              <w:rPr>
                <w:i/>
                <w:color w:val="A5A6AC" w:themeColor="accent3" w:themeTint="99"/>
                <w:sz w:val="18"/>
                <w:szCs w:val="18"/>
              </w:rPr>
            </w:pPr>
            <w:r w:rsidRPr="00CB39D1">
              <w:rPr>
                <w:i/>
                <w:color w:val="A5A6AC" w:themeColor="accent3" w:themeTint="99"/>
                <w:sz w:val="18"/>
                <w:szCs w:val="18"/>
              </w:rPr>
              <w:t>%-ով՝ ՀՆԱ-ի նկատմամբ</w:t>
            </w:r>
          </w:p>
        </w:tc>
        <w:tc>
          <w:tcPr>
            <w:tcW w:w="902" w:type="dxa"/>
            <w:vAlign w:val="center"/>
            <w:hideMark/>
          </w:tcPr>
          <w:p w14:paraId="5C7B3CFD" w14:textId="77777777" w:rsidR="008409DC" w:rsidRPr="00CB39D1" w:rsidRDefault="008409DC" w:rsidP="00147C8B">
            <w:pPr>
              <w:spacing w:before="0" w:after="0" w:line="240" w:lineRule="auto"/>
              <w:jc w:val="center"/>
              <w:rPr>
                <w:i/>
                <w:color w:val="A5A6AC" w:themeColor="accent3" w:themeTint="99"/>
                <w:sz w:val="18"/>
                <w:szCs w:val="18"/>
              </w:rPr>
            </w:pPr>
            <w:r w:rsidRPr="00CB39D1">
              <w:rPr>
                <w:i/>
                <w:color w:val="A5A6AC" w:themeColor="accent3" w:themeTint="99"/>
                <w:sz w:val="18"/>
                <w:szCs w:val="18"/>
              </w:rPr>
              <w:t>25.26%</w:t>
            </w:r>
          </w:p>
        </w:tc>
        <w:tc>
          <w:tcPr>
            <w:tcW w:w="950" w:type="dxa"/>
            <w:vAlign w:val="center"/>
            <w:hideMark/>
          </w:tcPr>
          <w:p w14:paraId="7EDFA0C1" w14:textId="77777777" w:rsidR="008409DC" w:rsidRPr="00CB39D1" w:rsidRDefault="008409DC" w:rsidP="00147C8B">
            <w:pPr>
              <w:spacing w:before="0" w:after="0" w:line="240" w:lineRule="auto"/>
              <w:jc w:val="center"/>
              <w:rPr>
                <w:i/>
                <w:color w:val="A5A6AC" w:themeColor="accent3" w:themeTint="99"/>
                <w:sz w:val="18"/>
                <w:szCs w:val="18"/>
              </w:rPr>
            </w:pPr>
          </w:p>
        </w:tc>
        <w:tc>
          <w:tcPr>
            <w:tcW w:w="848" w:type="dxa"/>
            <w:vAlign w:val="center"/>
            <w:hideMark/>
          </w:tcPr>
          <w:p w14:paraId="64270D10" w14:textId="77777777" w:rsidR="008409DC" w:rsidRPr="00CB39D1" w:rsidRDefault="008409DC" w:rsidP="00147C8B">
            <w:pPr>
              <w:spacing w:before="0" w:after="0" w:line="240" w:lineRule="auto"/>
              <w:jc w:val="center"/>
              <w:rPr>
                <w:i/>
                <w:color w:val="A5A6AC" w:themeColor="accent3" w:themeTint="99"/>
                <w:sz w:val="18"/>
                <w:szCs w:val="18"/>
              </w:rPr>
            </w:pPr>
          </w:p>
        </w:tc>
        <w:tc>
          <w:tcPr>
            <w:tcW w:w="1046" w:type="dxa"/>
            <w:vAlign w:val="center"/>
            <w:hideMark/>
          </w:tcPr>
          <w:p w14:paraId="492D0FE1" w14:textId="77777777" w:rsidR="008409DC" w:rsidRPr="00CB39D1" w:rsidRDefault="008409DC" w:rsidP="00147C8B">
            <w:pPr>
              <w:spacing w:before="0" w:after="0" w:line="240" w:lineRule="auto"/>
              <w:jc w:val="center"/>
              <w:rPr>
                <w:i/>
                <w:color w:val="A5A6AC" w:themeColor="accent3" w:themeTint="99"/>
                <w:sz w:val="18"/>
                <w:szCs w:val="18"/>
              </w:rPr>
            </w:pPr>
          </w:p>
        </w:tc>
        <w:tc>
          <w:tcPr>
            <w:tcW w:w="987" w:type="dxa"/>
            <w:vAlign w:val="center"/>
            <w:hideMark/>
          </w:tcPr>
          <w:p w14:paraId="60C7083F" w14:textId="77777777" w:rsidR="008409DC" w:rsidRPr="00CB39D1" w:rsidRDefault="008409DC" w:rsidP="00147C8B">
            <w:pPr>
              <w:spacing w:before="0" w:after="0" w:line="240" w:lineRule="auto"/>
              <w:jc w:val="center"/>
              <w:rPr>
                <w:i/>
                <w:color w:val="A5A6AC" w:themeColor="accent3" w:themeTint="99"/>
                <w:sz w:val="18"/>
                <w:szCs w:val="18"/>
              </w:rPr>
            </w:pPr>
          </w:p>
        </w:tc>
        <w:tc>
          <w:tcPr>
            <w:tcW w:w="1059" w:type="dxa"/>
          </w:tcPr>
          <w:p w14:paraId="4E944D1A" w14:textId="77777777" w:rsidR="008409DC" w:rsidRPr="00CB39D1" w:rsidRDefault="008409DC" w:rsidP="00147C8B">
            <w:pPr>
              <w:spacing w:before="0" w:after="0" w:line="240" w:lineRule="auto"/>
              <w:jc w:val="center"/>
              <w:rPr>
                <w:i/>
                <w:color w:val="A5A6AC" w:themeColor="accent3" w:themeTint="99"/>
                <w:sz w:val="18"/>
                <w:szCs w:val="18"/>
              </w:rPr>
            </w:pPr>
          </w:p>
        </w:tc>
      </w:tr>
      <w:tr w:rsidR="008409DC" w:rsidRPr="00CB39D1" w14:paraId="3E9D094A" w14:textId="77777777" w:rsidTr="008409DC">
        <w:trPr>
          <w:trHeight w:val="336"/>
        </w:trPr>
        <w:tc>
          <w:tcPr>
            <w:tcW w:w="1188" w:type="dxa"/>
            <w:vMerge w:val="restart"/>
            <w:vAlign w:val="center"/>
            <w:hideMark/>
          </w:tcPr>
          <w:p w14:paraId="0D3B4C6E" w14:textId="77777777" w:rsidR="008409DC" w:rsidRPr="00CB39D1" w:rsidRDefault="008409DC" w:rsidP="00147C8B">
            <w:pPr>
              <w:spacing w:before="0" w:after="0" w:line="240" w:lineRule="auto"/>
              <w:jc w:val="center"/>
              <w:rPr>
                <w:sz w:val="18"/>
                <w:szCs w:val="18"/>
              </w:rPr>
            </w:pPr>
            <w:r w:rsidRPr="00CB39D1">
              <w:rPr>
                <w:sz w:val="18"/>
                <w:szCs w:val="18"/>
              </w:rPr>
              <w:t>2023</w:t>
            </w:r>
          </w:p>
        </w:tc>
        <w:tc>
          <w:tcPr>
            <w:tcW w:w="2841" w:type="dxa"/>
            <w:noWrap/>
            <w:vAlign w:val="center"/>
            <w:hideMark/>
          </w:tcPr>
          <w:p w14:paraId="36EFD09C" w14:textId="77777777" w:rsidR="008409DC" w:rsidRPr="00CB39D1" w:rsidRDefault="008409DC" w:rsidP="00147C8B">
            <w:pPr>
              <w:spacing w:before="0" w:after="0" w:line="240" w:lineRule="auto"/>
              <w:jc w:val="both"/>
              <w:rPr>
                <w:sz w:val="18"/>
                <w:szCs w:val="18"/>
              </w:rPr>
            </w:pPr>
            <w:r w:rsidRPr="00CB39D1">
              <w:rPr>
                <w:sz w:val="18"/>
                <w:szCs w:val="18"/>
              </w:rPr>
              <w:t>ՄԺԾԾ 2024-2026</w:t>
            </w:r>
          </w:p>
        </w:tc>
        <w:tc>
          <w:tcPr>
            <w:tcW w:w="902" w:type="dxa"/>
            <w:vAlign w:val="center"/>
            <w:hideMark/>
          </w:tcPr>
          <w:p w14:paraId="2922B070" w14:textId="77777777" w:rsidR="008409DC" w:rsidRPr="00CB39D1" w:rsidRDefault="008409DC" w:rsidP="00147C8B">
            <w:pPr>
              <w:spacing w:before="0" w:after="0" w:line="240" w:lineRule="auto"/>
              <w:jc w:val="center"/>
              <w:rPr>
                <w:sz w:val="18"/>
                <w:szCs w:val="18"/>
              </w:rPr>
            </w:pPr>
            <w:r w:rsidRPr="00CB39D1">
              <w:rPr>
                <w:sz w:val="18"/>
                <w:szCs w:val="18"/>
              </w:rPr>
              <w:t>2,385.7</w:t>
            </w:r>
          </w:p>
        </w:tc>
        <w:tc>
          <w:tcPr>
            <w:tcW w:w="950" w:type="dxa"/>
            <w:vAlign w:val="center"/>
            <w:hideMark/>
          </w:tcPr>
          <w:p w14:paraId="32D78245" w14:textId="77777777" w:rsidR="008409DC" w:rsidRPr="00CB39D1" w:rsidRDefault="008409DC" w:rsidP="00147C8B">
            <w:pPr>
              <w:spacing w:before="0" w:after="0" w:line="240" w:lineRule="auto"/>
              <w:jc w:val="center"/>
              <w:rPr>
                <w:sz w:val="18"/>
                <w:szCs w:val="18"/>
              </w:rPr>
            </w:pPr>
            <w:r w:rsidRPr="00CB39D1">
              <w:rPr>
                <w:sz w:val="18"/>
                <w:szCs w:val="18"/>
              </w:rPr>
              <w:t>2,671.1</w:t>
            </w:r>
          </w:p>
        </w:tc>
        <w:tc>
          <w:tcPr>
            <w:tcW w:w="848" w:type="dxa"/>
            <w:vAlign w:val="center"/>
            <w:hideMark/>
          </w:tcPr>
          <w:p w14:paraId="10AD52C8" w14:textId="77777777" w:rsidR="008409DC" w:rsidRPr="00CB39D1" w:rsidRDefault="008409DC" w:rsidP="00147C8B">
            <w:pPr>
              <w:spacing w:before="0" w:after="0" w:line="240" w:lineRule="auto"/>
              <w:jc w:val="center"/>
              <w:rPr>
                <w:sz w:val="18"/>
                <w:szCs w:val="18"/>
              </w:rPr>
            </w:pPr>
            <w:r w:rsidRPr="00CB39D1">
              <w:rPr>
                <w:sz w:val="18"/>
                <w:szCs w:val="18"/>
              </w:rPr>
              <w:t>2,986.4</w:t>
            </w:r>
          </w:p>
        </w:tc>
        <w:tc>
          <w:tcPr>
            <w:tcW w:w="1046" w:type="dxa"/>
            <w:vAlign w:val="center"/>
            <w:hideMark/>
          </w:tcPr>
          <w:p w14:paraId="644D8198" w14:textId="77777777" w:rsidR="008409DC" w:rsidRPr="00CB39D1" w:rsidRDefault="008409DC" w:rsidP="00147C8B">
            <w:pPr>
              <w:spacing w:before="0" w:after="0" w:line="240" w:lineRule="auto"/>
              <w:jc w:val="center"/>
              <w:rPr>
                <w:sz w:val="18"/>
                <w:szCs w:val="18"/>
              </w:rPr>
            </w:pPr>
            <w:r w:rsidRPr="00CB39D1">
              <w:rPr>
                <w:sz w:val="18"/>
                <w:szCs w:val="18"/>
              </w:rPr>
              <w:t>3,367.4</w:t>
            </w:r>
          </w:p>
        </w:tc>
        <w:tc>
          <w:tcPr>
            <w:tcW w:w="987" w:type="dxa"/>
            <w:vAlign w:val="center"/>
            <w:hideMark/>
          </w:tcPr>
          <w:p w14:paraId="0C71943D" w14:textId="77777777" w:rsidR="008409DC" w:rsidRPr="00CB39D1" w:rsidRDefault="008409DC" w:rsidP="00147C8B">
            <w:pPr>
              <w:spacing w:before="0" w:after="0" w:line="240" w:lineRule="auto"/>
              <w:jc w:val="center"/>
              <w:rPr>
                <w:sz w:val="18"/>
                <w:szCs w:val="18"/>
              </w:rPr>
            </w:pPr>
          </w:p>
        </w:tc>
        <w:tc>
          <w:tcPr>
            <w:tcW w:w="1059" w:type="dxa"/>
          </w:tcPr>
          <w:p w14:paraId="7C50B0D6" w14:textId="77777777" w:rsidR="008409DC" w:rsidRPr="00CB39D1" w:rsidRDefault="008409DC" w:rsidP="00147C8B">
            <w:pPr>
              <w:spacing w:before="0" w:after="0" w:line="240" w:lineRule="auto"/>
              <w:jc w:val="center"/>
              <w:rPr>
                <w:sz w:val="18"/>
                <w:szCs w:val="18"/>
              </w:rPr>
            </w:pPr>
          </w:p>
        </w:tc>
      </w:tr>
      <w:tr w:rsidR="008409DC" w:rsidRPr="00CB39D1" w14:paraId="3957243B" w14:textId="77777777" w:rsidTr="008409DC">
        <w:trPr>
          <w:trHeight w:val="336"/>
        </w:trPr>
        <w:tc>
          <w:tcPr>
            <w:tcW w:w="1188" w:type="dxa"/>
            <w:vMerge/>
            <w:vAlign w:val="center"/>
            <w:hideMark/>
          </w:tcPr>
          <w:p w14:paraId="297A25FD" w14:textId="77777777" w:rsidR="008409DC" w:rsidRPr="00CB39D1" w:rsidRDefault="008409DC" w:rsidP="00147C8B">
            <w:pPr>
              <w:spacing w:before="0" w:after="0" w:line="240" w:lineRule="auto"/>
              <w:jc w:val="center"/>
              <w:rPr>
                <w:sz w:val="18"/>
                <w:szCs w:val="18"/>
                <w:lang w:val="ru-RU" w:eastAsia="ru-RU"/>
              </w:rPr>
            </w:pPr>
          </w:p>
        </w:tc>
        <w:tc>
          <w:tcPr>
            <w:tcW w:w="2841" w:type="dxa"/>
            <w:vAlign w:val="center"/>
            <w:hideMark/>
          </w:tcPr>
          <w:p w14:paraId="4E102709" w14:textId="77777777" w:rsidR="008409DC" w:rsidRPr="00CB39D1" w:rsidRDefault="008409DC" w:rsidP="00147C8B">
            <w:pPr>
              <w:spacing w:before="0" w:after="0" w:line="240" w:lineRule="auto"/>
              <w:jc w:val="both"/>
              <w:rPr>
                <w:i/>
                <w:color w:val="A5A6AC" w:themeColor="accent3" w:themeTint="99"/>
                <w:sz w:val="18"/>
                <w:szCs w:val="18"/>
              </w:rPr>
            </w:pPr>
            <w:r w:rsidRPr="00CB39D1">
              <w:rPr>
                <w:i/>
                <w:color w:val="A5A6AC" w:themeColor="accent3" w:themeTint="99"/>
                <w:sz w:val="18"/>
                <w:szCs w:val="18"/>
              </w:rPr>
              <w:t>%-ով՝ ՀՆԱ-ի նկատմամբ</w:t>
            </w:r>
          </w:p>
        </w:tc>
        <w:tc>
          <w:tcPr>
            <w:tcW w:w="902" w:type="dxa"/>
            <w:vAlign w:val="center"/>
            <w:hideMark/>
          </w:tcPr>
          <w:p w14:paraId="5CB67316" w14:textId="77777777" w:rsidR="008409DC" w:rsidRPr="00CB39D1" w:rsidRDefault="008409DC" w:rsidP="00147C8B">
            <w:pPr>
              <w:spacing w:before="0" w:after="0" w:line="240" w:lineRule="auto"/>
              <w:jc w:val="center"/>
              <w:rPr>
                <w:i/>
                <w:color w:val="A5A6AC" w:themeColor="accent3" w:themeTint="99"/>
                <w:sz w:val="18"/>
                <w:szCs w:val="18"/>
              </w:rPr>
            </w:pPr>
            <w:r w:rsidRPr="00CB39D1">
              <w:rPr>
                <w:i/>
                <w:color w:val="A5A6AC" w:themeColor="accent3" w:themeTint="99"/>
                <w:sz w:val="18"/>
                <w:szCs w:val="18"/>
              </w:rPr>
              <w:t>25.02%</w:t>
            </w:r>
          </w:p>
        </w:tc>
        <w:tc>
          <w:tcPr>
            <w:tcW w:w="950" w:type="dxa"/>
            <w:vAlign w:val="center"/>
            <w:hideMark/>
          </w:tcPr>
          <w:p w14:paraId="5E6A05A2" w14:textId="77777777" w:rsidR="008409DC" w:rsidRPr="00CB39D1" w:rsidRDefault="008409DC" w:rsidP="00147C8B">
            <w:pPr>
              <w:spacing w:before="0" w:after="0" w:line="240" w:lineRule="auto"/>
              <w:jc w:val="center"/>
              <w:rPr>
                <w:i/>
                <w:color w:val="A5A6AC" w:themeColor="accent3" w:themeTint="99"/>
                <w:sz w:val="18"/>
                <w:szCs w:val="18"/>
              </w:rPr>
            </w:pPr>
            <w:r w:rsidRPr="00CB39D1">
              <w:rPr>
                <w:i/>
                <w:color w:val="A5A6AC" w:themeColor="accent3" w:themeTint="99"/>
                <w:sz w:val="18"/>
                <w:szCs w:val="18"/>
              </w:rPr>
              <w:t>25.18%</w:t>
            </w:r>
          </w:p>
        </w:tc>
        <w:tc>
          <w:tcPr>
            <w:tcW w:w="848" w:type="dxa"/>
            <w:vAlign w:val="center"/>
            <w:hideMark/>
          </w:tcPr>
          <w:p w14:paraId="2466EE3F" w14:textId="77777777" w:rsidR="008409DC" w:rsidRPr="00CB39D1" w:rsidRDefault="008409DC" w:rsidP="00147C8B">
            <w:pPr>
              <w:spacing w:before="0" w:after="0" w:line="240" w:lineRule="auto"/>
              <w:jc w:val="center"/>
              <w:rPr>
                <w:i/>
                <w:color w:val="A5A6AC" w:themeColor="accent3" w:themeTint="99"/>
                <w:sz w:val="18"/>
                <w:szCs w:val="18"/>
              </w:rPr>
            </w:pPr>
            <w:r w:rsidRPr="00CB39D1">
              <w:rPr>
                <w:i/>
                <w:color w:val="A5A6AC" w:themeColor="accent3" w:themeTint="99"/>
                <w:sz w:val="18"/>
                <w:szCs w:val="18"/>
              </w:rPr>
              <w:t>25.30%</w:t>
            </w:r>
          </w:p>
        </w:tc>
        <w:tc>
          <w:tcPr>
            <w:tcW w:w="1046" w:type="dxa"/>
            <w:vAlign w:val="center"/>
            <w:hideMark/>
          </w:tcPr>
          <w:p w14:paraId="1BCEAAED" w14:textId="77777777" w:rsidR="008409DC" w:rsidRPr="00CB39D1" w:rsidRDefault="008409DC" w:rsidP="00147C8B">
            <w:pPr>
              <w:spacing w:before="0" w:after="0" w:line="240" w:lineRule="auto"/>
              <w:jc w:val="center"/>
              <w:rPr>
                <w:i/>
                <w:color w:val="A5A6AC" w:themeColor="accent3" w:themeTint="99"/>
                <w:sz w:val="18"/>
                <w:szCs w:val="18"/>
              </w:rPr>
            </w:pPr>
            <w:r w:rsidRPr="00CB39D1">
              <w:rPr>
                <w:i/>
                <w:color w:val="A5A6AC" w:themeColor="accent3" w:themeTint="99"/>
                <w:sz w:val="18"/>
                <w:szCs w:val="18"/>
              </w:rPr>
              <w:t>25.63%</w:t>
            </w:r>
          </w:p>
        </w:tc>
        <w:tc>
          <w:tcPr>
            <w:tcW w:w="987" w:type="dxa"/>
            <w:vAlign w:val="center"/>
            <w:hideMark/>
          </w:tcPr>
          <w:p w14:paraId="627FF6E0" w14:textId="77777777" w:rsidR="008409DC" w:rsidRPr="00CB39D1" w:rsidRDefault="008409DC" w:rsidP="00147C8B">
            <w:pPr>
              <w:spacing w:before="0" w:after="0" w:line="240" w:lineRule="auto"/>
              <w:jc w:val="center"/>
              <w:rPr>
                <w:i/>
                <w:color w:val="A5A6AC" w:themeColor="accent3" w:themeTint="99"/>
                <w:sz w:val="18"/>
                <w:szCs w:val="18"/>
              </w:rPr>
            </w:pPr>
          </w:p>
        </w:tc>
        <w:tc>
          <w:tcPr>
            <w:tcW w:w="1059" w:type="dxa"/>
          </w:tcPr>
          <w:p w14:paraId="622ED2BA" w14:textId="77777777" w:rsidR="008409DC" w:rsidRPr="00CB39D1" w:rsidRDefault="008409DC" w:rsidP="00147C8B">
            <w:pPr>
              <w:spacing w:before="0" w:after="0" w:line="240" w:lineRule="auto"/>
              <w:jc w:val="center"/>
              <w:rPr>
                <w:i/>
                <w:color w:val="A5A6AC" w:themeColor="accent3" w:themeTint="99"/>
                <w:sz w:val="18"/>
                <w:szCs w:val="18"/>
              </w:rPr>
            </w:pPr>
          </w:p>
        </w:tc>
      </w:tr>
      <w:tr w:rsidR="008409DC" w:rsidRPr="00CB39D1" w14:paraId="46F9EEEB" w14:textId="77777777" w:rsidTr="008409DC">
        <w:trPr>
          <w:trHeight w:val="336"/>
        </w:trPr>
        <w:tc>
          <w:tcPr>
            <w:tcW w:w="1188" w:type="dxa"/>
            <w:vMerge/>
            <w:vAlign w:val="center"/>
            <w:hideMark/>
          </w:tcPr>
          <w:p w14:paraId="5F15AC2C" w14:textId="77777777" w:rsidR="008409DC" w:rsidRPr="00CB39D1" w:rsidRDefault="008409DC" w:rsidP="00147C8B">
            <w:pPr>
              <w:spacing w:before="0" w:after="0" w:line="240" w:lineRule="auto"/>
              <w:jc w:val="center"/>
              <w:rPr>
                <w:sz w:val="18"/>
                <w:szCs w:val="18"/>
                <w:lang w:val="ru-RU" w:eastAsia="ru-RU"/>
              </w:rPr>
            </w:pPr>
          </w:p>
        </w:tc>
        <w:tc>
          <w:tcPr>
            <w:tcW w:w="2841" w:type="dxa"/>
            <w:noWrap/>
            <w:vAlign w:val="center"/>
            <w:hideMark/>
          </w:tcPr>
          <w:p w14:paraId="5D7AEB6D" w14:textId="77777777" w:rsidR="008409DC" w:rsidRPr="00CB39D1" w:rsidRDefault="008409DC" w:rsidP="00147C8B">
            <w:pPr>
              <w:spacing w:before="0" w:after="0" w:line="240" w:lineRule="auto"/>
              <w:jc w:val="both"/>
              <w:rPr>
                <w:sz w:val="18"/>
                <w:szCs w:val="18"/>
              </w:rPr>
            </w:pPr>
            <w:r w:rsidRPr="00CB39D1">
              <w:rPr>
                <w:sz w:val="18"/>
                <w:szCs w:val="18"/>
              </w:rPr>
              <w:t>2024թ. Պետական բյուջե</w:t>
            </w:r>
          </w:p>
        </w:tc>
        <w:tc>
          <w:tcPr>
            <w:tcW w:w="902" w:type="dxa"/>
            <w:vAlign w:val="center"/>
            <w:hideMark/>
          </w:tcPr>
          <w:p w14:paraId="4FA68D76" w14:textId="77777777" w:rsidR="008409DC" w:rsidRPr="00CB39D1" w:rsidRDefault="008409DC" w:rsidP="00147C8B">
            <w:pPr>
              <w:spacing w:before="0" w:after="0" w:line="240" w:lineRule="auto"/>
              <w:jc w:val="center"/>
              <w:rPr>
                <w:sz w:val="18"/>
                <w:szCs w:val="18"/>
              </w:rPr>
            </w:pPr>
            <w:r w:rsidRPr="00CB39D1">
              <w:rPr>
                <w:sz w:val="18"/>
                <w:szCs w:val="18"/>
              </w:rPr>
              <w:t>2,408.1</w:t>
            </w:r>
          </w:p>
        </w:tc>
        <w:tc>
          <w:tcPr>
            <w:tcW w:w="950" w:type="dxa"/>
            <w:vAlign w:val="center"/>
            <w:hideMark/>
          </w:tcPr>
          <w:p w14:paraId="438DD20A" w14:textId="77777777" w:rsidR="008409DC" w:rsidRPr="00CB39D1" w:rsidRDefault="008409DC" w:rsidP="00147C8B">
            <w:pPr>
              <w:spacing w:before="0" w:after="0" w:line="240" w:lineRule="auto"/>
              <w:jc w:val="center"/>
              <w:rPr>
                <w:sz w:val="18"/>
                <w:szCs w:val="18"/>
              </w:rPr>
            </w:pPr>
            <w:r w:rsidRPr="00CB39D1">
              <w:rPr>
                <w:sz w:val="18"/>
                <w:szCs w:val="18"/>
              </w:rPr>
              <w:t>2,663.1</w:t>
            </w:r>
          </w:p>
        </w:tc>
        <w:tc>
          <w:tcPr>
            <w:tcW w:w="848" w:type="dxa"/>
            <w:noWrap/>
            <w:vAlign w:val="center"/>
            <w:hideMark/>
          </w:tcPr>
          <w:p w14:paraId="32BFB23C" w14:textId="77777777" w:rsidR="008409DC" w:rsidRPr="00CB39D1" w:rsidRDefault="008409DC" w:rsidP="00147C8B">
            <w:pPr>
              <w:spacing w:before="0" w:after="0" w:line="240" w:lineRule="auto"/>
              <w:jc w:val="center"/>
              <w:rPr>
                <w:sz w:val="18"/>
                <w:szCs w:val="18"/>
              </w:rPr>
            </w:pPr>
          </w:p>
        </w:tc>
        <w:tc>
          <w:tcPr>
            <w:tcW w:w="1046" w:type="dxa"/>
            <w:vAlign w:val="center"/>
            <w:hideMark/>
          </w:tcPr>
          <w:p w14:paraId="7F257126" w14:textId="77777777" w:rsidR="008409DC" w:rsidRPr="00CB39D1" w:rsidRDefault="008409DC" w:rsidP="00147C8B">
            <w:pPr>
              <w:spacing w:before="0" w:after="0" w:line="240" w:lineRule="auto"/>
              <w:jc w:val="center"/>
              <w:rPr>
                <w:sz w:val="18"/>
                <w:szCs w:val="18"/>
              </w:rPr>
            </w:pPr>
          </w:p>
        </w:tc>
        <w:tc>
          <w:tcPr>
            <w:tcW w:w="987" w:type="dxa"/>
            <w:vAlign w:val="center"/>
            <w:hideMark/>
          </w:tcPr>
          <w:p w14:paraId="5A72B856" w14:textId="77777777" w:rsidR="008409DC" w:rsidRPr="00CB39D1" w:rsidRDefault="008409DC" w:rsidP="00147C8B">
            <w:pPr>
              <w:spacing w:before="0" w:after="0" w:line="240" w:lineRule="auto"/>
              <w:jc w:val="center"/>
              <w:rPr>
                <w:sz w:val="18"/>
                <w:szCs w:val="18"/>
              </w:rPr>
            </w:pPr>
          </w:p>
        </w:tc>
        <w:tc>
          <w:tcPr>
            <w:tcW w:w="1059" w:type="dxa"/>
          </w:tcPr>
          <w:p w14:paraId="7E16AD0E" w14:textId="77777777" w:rsidR="008409DC" w:rsidRPr="00CB39D1" w:rsidRDefault="008409DC" w:rsidP="00147C8B">
            <w:pPr>
              <w:spacing w:before="0" w:after="0" w:line="240" w:lineRule="auto"/>
              <w:jc w:val="center"/>
              <w:rPr>
                <w:sz w:val="18"/>
                <w:szCs w:val="18"/>
              </w:rPr>
            </w:pPr>
          </w:p>
        </w:tc>
      </w:tr>
      <w:tr w:rsidR="008409DC" w:rsidRPr="00CB39D1" w14:paraId="00FB0799" w14:textId="77777777" w:rsidTr="008409DC">
        <w:trPr>
          <w:trHeight w:val="336"/>
        </w:trPr>
        <w:tc>
          <w:tcPr>
            <w:tcW w:w="1188" w:type="dxa"/>
            <w:vMerge/>
            <w:vAlign w:val="center"/>
            <w:hideMark/>
          </w:tcPr>
          <w:p w14:paraId="7D4F7885" w14:textId="77777777" w:rsidR="008409DC" w:rsidRPr="00CB39D1" w:rsidRDefault="008409DC" w:rsidP="00147C8B">
            <w:pPr>
              <w:spacing w:before="0" w:after="0" w:line="240" w:lineRule="auto"/>
              <w:jc w:val="center"/>
              <w:rPr>
                <w:sz w:val="18"/>
                <w:szCs w:val="18"/>
                <w:lang w:val="ru-RU" w:eastAsia="ru-RU"/>
              </w:rPr>
            </w:pPr>
          </w:p>
        </w:tc>
        <w:tc>
          <w:tcPr>
            <w:tcW w:w="2841" w:type="dxa"/>
            <w:vAlign w:val="center"/>
            <w:hideMark/>
          </w:tcPr>
          <w:p w14:paraId="6CCF8DA2" w14:textId="77777777" w:rsidR="008409DC" w:rsidRPr="00CB39D1" w:rsidRDefault="008409DC" w:rsidP="00147C8B">
            <w:pPr>
              <w:spacing w:before="0" w:after="0" w:line="240" w:lineRule="auto"/>
              <w:jc w:val="both"/>
              <w:rPr>
                <w:i/>
                <w:color w:val="A5A6AC" w:themeColor="accent3" w:themeTint="99"/>
                <w:sz w:val="18"/>
                <w:szCs w:val="18"/>
              </w:rPr>
            </w:pPr>
            <w:r w:rsidRPr="00CB39D1">
              <w:rPr>
                <w:i/>
                <w:color w:val="A5A6AC" w:themeColor="accent3" w:themeTint="99"/>
                <w:sz w:val="18"/>
                <w:szCs w:val="18"/>
              </w:rPr>
              <w:t>%-ով՝ ՀՆԱ-ի նկատմամբ</w:t>
            </w:r>
          </w:p>
        </w:tc>
        <w:tc>
          <w:tcPr>
            <w:tcW w:w="902" w:type="dxa"/>
            <w:vAlign w:val="center"/>
            <w:hideMark/>
          </w:tcPr>
          <w:p w14:paraId="717981D9" w14:textId="77777777" w:rsidR="008409DC" w:rsidRPr="00CB39D1" w:rsidRDefault="008409DC" w:rsidP="00147C8B">
            <w:pPr>
              <w:spacing w:before="0" w:after="0" w:line="240" w:lineRule="auto"/>
              <w:jc w:val="center"/>
              <w:rPr>
                <w:i/>
                <w:color w:val="A5A6AC" w:themeColor="accent3" w:themeTint="99"/>
                <w:sz w:val="18"/>
                <w:szCs w:val="18"/>
              </w:rPr>
            </w:pPr>
            <w:r w:rsidRPr="00CB39D1">
              <w:rPr>
                <w:i/>
                <w:color w:val="A5A6AC" w:themeColor="accent3" w:themeTint="99"/>
                <w:sz w:val="18"/>
                <w:szCs w:val="18"/>
              </w:rPr>
              <w:t>25.48%</w:t>
            </w:r>
          </w:p>
        </w:tc>
        <w:tc>
          <w:tcPr>
            <w:tcW w:w="950" w:type="dxa"/>
            <w:vAlign w:val="center"/>
            <w:hideMark/>
          </w:tcPr>
          <w:p w14:paraId="5D7767BA" w14:textId="77777777" w:rsidR="008409DC" w:rsidRPr="00CB39D1" w:rsidRDefault="008409DC" w:rsidP="00147C8B">
            <w:pPr>
              <w:spacing w:before="0" w:after="0" w:line="240" w:lineRule="auto"/>
              <w:jc w:val="center"/>
              <w:rPr>
                <w:i/>
                <w:color w:val="A5A6AC" w:themeColor="accent3" w:themeTint="99"/>
                <w:sz w:val="18"/>
                <w:szCs w:val="18"/>
              </w:rPr>
            </w:pPr>
            <w:r w:rsidRPr="00CB39D1">
              <w:rPr>
                <w:i/>
                <w:color w:val="A5A6AC" w:themeColor="accent3" w:themeTint="99"/>
                <w:sz w:val="18"/>
                <w:szCs w:val="18"/>
              </w:rPr>
              <w:t>25.30%</w:t>
            </w:r>
          </w:p>
        </w:tc>
        <w:tc>
          <w:tcPr>
            <w:tcW w:w="848" w:type="dxa"/>
            <w:vAlign w:val="center"/>
            <w:hideMark/>
          </w:tcPr>
          <w:p w14:paraId="48D33B30" w14:textId="77777777" w:rsidR="008409DC" w:rsidRPr="00CB39D1" w:rsidRDefault="008409DC" w:rsidP="00147C8B">
            <w:pPr>
              <w:spacing w:before="0" w:after="0" w:line="240" w:lineRule="auto"/>
              <w:jc w:val="center"/>
              <w:rPr>
                <w:i/>
                <w:color w:val="A5A6AC" w:themeColor="accent3" w:themeTint="99"/>
                <w:sz w:val="18"/>
                <w:szCs w:val="18"/>
              </w:rPr>
            </w:pPr>
          </w:p>
        </w:tc>
        <w:tc>
          <w:tcPr>
            <w:tcW w:w="1046" w:type="dxa"/>
            <w:vAlign w:val="center"/>
            <w:hideMark/>
          </w:tcPr>
          <w:p w14:paraId="6A927A80" w14:textId="77777777" w:rsidR="008409DC" w:rsidRPr="00CB39D1" w:rsidRDefault="008409DC" w:rsidP="00147C8B">
            <w:pPr>
              <w:spacing w:before="0" w:after="0" w:line="240" w:lineRule="auto"/>
              <w:jc w:val="center"/>
              <w:rPr>
                <w:i/>
                <w:color w:val="A5A6AC" w:themeColor="accent3" w:themeTint="99"/>
                <w:sz w:val="18"/>
                <w:szCs w:val="18"/>
              </w:rPr>
            </w:pPr>
          </w:p>
        </w:tc>
        <w:tc>
          <w:tcPr>
            <w:tcW w:w="987" w:type="dxa"/>
            <w:vAlign w:val="center"/>
            <w:hideMark/>
          </w:tcPr>
          <w:p w14:paraId="10726714" w14:textId="77777777" w:rsidR="008409DC" w:rsidRPr="00CB39D1" w:rsidRDefault="008409DC" w:rsidP="00147C8B">
            <w:pPr>
              <w:spacing w:before="0" w:after="0" w:line="240" w:lineRule="auto"/>
              <w:jc w:val="center"/>
              <w:rPr>
                <w:i/>
                <w:color w:val="A5A6AC" w:themeColor="accent3" w:themeTint="99"/>
                <w:sz w:val="18"/>
                <w:szCs w:val="18"/>
              </w:rPr>
            </w:pPr>
          </w:p>
        </w:tc>
        <w:tc>
          <w:tcPr>
            <w:tcW w:w="1059" w:type="dxa"/>
          </w:tcPr>
          <w:p w14:paraId="0FE9374C" w14:textId="77777777" w:rsidR="008409DC" w:rsidRPr="00CB39D1" w:rsidRDefault="008409DC" w:rsidP="00147C8B">
            <w:pPr>
              <w:spacing w:before="0" w:after="0" w:line="240" w:lineRule="auto"/>
              <w:jc w:val="center"/>
              <w:rPr>
                <w:i/>
                <w:color w:val="A5A6AC" w:themeColor="accent3" w:themeTint="99"/>
                <w:sz w:val="18"/>
                <w:szCs w:val="18"/>
              </w:rPr>
            </w:pPr>
          </w:p>
        </w:tc>
      </w:tr>
      <w:tr w:rsidR="008409DC" w:rsidRPr="00CB39D1" w14:paraId="6C183E7D" w14:textId="77777777" w:rsidTr="008409DC">
        <w:trPr>
          <w:trHeight w:val="336"/>
        </w:trPr>
        <w:tc>
          <w:tcPr>
            <w:tcW w:w="1188" w:type="dxa"/>
            <w:vMerge w:val="restart"/>
            <w:vAlign w:val="center"/>
            <w:hideMark/>
          </w:tcPr>
          <w:p w14:paraId="395F39C5" w14:textId="77777777" w:rsidR="008409DC" w:rsidRPr="00CB39D1" w:rsidRDefault="008409DC" w:rsidP="00147C8B">
            <w:pPr>
              <w:spacing w:before="0" w:after="0" w:line="240" w:lineRule="auto"/>
              <w:jc w:val="center"/>
              <w:rPr>
                <w:sz w:val="18"/>
                <w:szCs w:val="18"/>
              </w:rPr>
            </w:pPr>
            <w:r w:rsidRPr="00CB39D1">
              <w:rPr>
                <w:sz w:val="18"/>
                <w:szCs w:val="18"/>
              </w:rPr>
              <w:t>2024</w:t>
            </w:r>
          </w:p>
        </w:tc>
        <w:tc>
          <w:tcPr>
            <w:tcW w:w="2841" w:type="dxa"/>
            <w:noWrap/>
            <w:vAlign w:val="center"/>
            <w:hideMark/>
          </w:tcPr>
          <w:p w14:paraId="15381575" w14:textId="77777777" w:rsidR="008409DC" w:rsidRPr="00CB39D1" w:rsidRDefault="008409DC" w:rsidP="00147C8B">
            <w:pPr>
              <w:spacing w:before="0" w:after="0" w:line="240" w:lineRule="auto"/>
              <w:jc w:val="both"/>
              <w:rPr>
                <w:sz w:val="18"/>
                <w:szCs w:val="18"/>
              </w:rPr>
            </w:pPr>
            <w:r w:rsidRPr="00CB39D1">
              <w:rPr>
                <w:sz w:val="18"/>
                <w:szCs w:val="18"/>
              </w:rPr>
              <w:t>ՄԺԾԾ 2025-2027</w:t>
            </w:r>
          </w:p>
        </w:tc>
        <w:tc>
          <w:tcPr>
            <w:tcW w:w="902" w:type="dxa"/>
            <w:vAlign w:val="center"/>
            <w:hideMark/>
          </w:tcPr>
          <w:p w14:paraId="239BF51C" w14:textId="77777777" w:rsidR="008409DC" w:rsidRPr="00CB39D1" w:rsidRDefault="008409DC" w:rsidP="00147C8B">
            <w:pPr>
              <w:spacing w:before="0" w:after="0" w:line="240" w:lineRule="auto"/>
              <w:jc w:val="center"/>
              <w:rPr>
                <w:sz w:val="18"/>
                <w:szCs w:val="18"/>
              </w:rPr>
            </w:pPr>
          </w:p>
        </w:tc>
        <w:tc>
          <w:tcPr>
            <w:tcW w:w="950" w:type="dxa"/>
            <w:vAlign w:val="center"/>
            <w:hideMark/>
          </w:tcPr>
          <w:p w14:paraId="3116F137" w14:textId="77777777" w:rsidR="008409DC" w:rsidRPr="00CB39D1" w:rsidRDefault="008409DC" w:rsidP="00147C8B">
            <w:pPr>
              <w:spacing w:before="0" w:after="0" w:line="240" w:lineRule="auto"/>
              <w:jc w:val="center"/>
              <w:rPr>
                <w:sz w:val="18"/>
                <w:szCs w:val="18"/>
              </w:rPr>
            </w:pPr>
            <w:r w:rsidRPr="00CB39D1">
              <w:rPr>
                <w:sz w:val="18"/>
                <w:szCs w:val="18"/>
              </w:rPr>
              <w:t>2,634.7</w:t>
            </w:r>
          </w:p>
        </w:tc>
        <w:tc>
          <w:tcPr>
            <w:tcW w:w="848" w:type="dxa"/>
            <w:vAlign w:val="center"/>
            <w:hideMark/>
          </w:tcPr>
          <w:p w14:paraId="58308DBE" w14:textId="77777777" w:rsidR="008409DC" w:rsidRPr="00CB39D1" w:rsidRDefault="008409DC" w:rsidP="00147C8B">
            <w:pPr>
              <w:spacing w:before="0" w:after="0" w:line="240" w:lineRule="auto"/>
              <w:jc w:val="center"/>
              <w:rPr>
                <w:sz w:val="18"/>
                <w:szCs w:val="18"/>
              </w:rPr>
            </w:pPr>
            <w:r w:rsidRPr="00CB39D1">
              <w:rPr>
                <w:sz w:val="18"/>
                <w:szCs w:val="18"/>
              </w:rPr>
              <w:t>2,897.6</w:t>
            </w:r>
          </w:p>
        </w:tc>
        <w:tc>
          <w:tcPr>
            <w:tcW w:w="1046" w:type="dxa"/>
            <w:vAlign w:val="center"/>
            <w:hideMark/>
          </w:tcPr>
          <w:p w14:paraId="59BA85CB" w14:textId="77777777" w:rsidR="008409DC" w:rsidRPr="00CB39D1" w:rsidRDefault="008409DC" w:rsidP="00147C8B">
            <w:pPr>
              <w:spacing w:before="0" w:after="0" w:line="240" w:lineRule="auto"/>
              <w:jc w:val="center"/>
              <w:rPr>
                <w:sz w:val="18"/>
                <w:szCs w:val="18"/>
              </w:rPr>
            </w:pPr>
            <w:r w:rsidRPr="00CB39D1">
              <w:rPr>
                <w:sz w:val="18"/>
                <w:szCs w:val="18"/>
              </w:rPr>
              <w:t>3,258.2</w:t>
            </w:r>
          </w:p>
        </w:tc>
        <w:tc>
          <w:tcPr>
            <w:tcW w:w="987" w:type="dxa"/>
            <w:vAlign w:val="center"/>
            <w:hideMark/>
          </w:tcPr>
          <w:p w14:paraId="63AB996E" w14:textId="77777777" w:rsidR="008409DC" w:rsidRPr="00CB39D1" w:rsidRDefault="008409DC" w:rsidP="00147C8B">
            <w:pPr>
              <w:spacing w:before="0" w:after="0" w:line="240" w:lineRule="auto"/>
              <w:jc w:val="center"/>
              <w:rPr>
                <w:sz w:val="18"/>
                <w:szCs w:val="18"/>
              </w:rPr>
            </w:pPr>
            <w:r w:rsidRPr="00CB39D1">
              <w:rPr>
                <w:sz w:val="18"/>
                <w:szCs w:val="18"/>
              </w:rPr>
              <w:t>3,614.1</w:t>
            </w:r>
          </w:p>
        </w:tc>
        <w:tc>
          <w:tcPr>
            <w:tcW w:w="1059" w:type="dxa"/>
          </w:tcPr>
          <w:p w14:paraId="492A0540" w14:textId="77777777" w:rsidR="008409DC" w:rsidRPr="00CB39D1" w:rsidRDefault="008409DC" w:rsidP="00147C8B">
            <w:pPr>
              <w:spacing w:before="0" w:after="0" w:line="240" w:lineRule="auto"/>
              <w:jc w:val="center"/>
              <w:rPr>
                <w:sz w:val="18"/>
                <w:szCs w:val="18"/>
              </w:rPr>
            </w:pPr>
          </w:p>
        </w:tc>
      </w:tr>
      <w:tr w:rsidR="008409DC" w:rsidRPr="00CB39D1" w14:paraId="3C6F053D" w14:textId="77777777" w:rsidTr="008409DC">
        <w:trPr>
          <w:trHeight w:val="336"/>
        </w:trPr>
        <w:tc>
          <w:tcPr>
            <w:tcW w:w="1188" w:type="dxa"/>
            <w:vMerge/>
            <w:vAlign w:val="center"/>
            <w:hideMark/>
          </w:tcPr>
          <w:p w14:paraId="7922443B" w14:textId="77777777" w:rsidR="008409DC" w:rsidRPr="00CB39D1" w:rsidRDefault="008409DC" w:rsidP="00147C8B">
            <w:pPr>
              <w:spacing w:before="0" w:after="0" w:line="240" w:lineRule="auto"/>
              <w:jc w:val="both"/>
              <w:rPr>
                <w:sz w:val="18"/>
                <w:szCs w:val="18"/>
                <w:lang w:val="ru-RU" w:eastAsia="ru-RU"/>
              </w:rPr>
            </w:pPr>
          </w:p>
        </w:tc>
        <w:tc>
          <w:tcPr>
            <w:tcW w:w="2841" w:type="dxa"/>
            <w:noWrap/>
            <w:vAlign w:val="center"/>
            <w:hideMark/>
          </w:tcPr>
          <w:p w14:paraId="32A09155" w14:textId="77777777" w:rsidR="008409DC" w:rsidRPr="00CB39D1" w:rsidRDefault="008409DC" w:rsidP="00147C8B">
            <w:pPr>
              <w:spacing w:before="0" w:after="0" w:line="240" w:lineRule="auto"/>
              <w:jc w:val="both"/>
              <w:rPr>
                <w:i/>
                <w:color w:val="A5A6AC" w:themeColor="accent3" w:themeTint="99"/>
                <w:sz w:val="18"/>
                <w:szCs w:val="18"/>
              </w:rPr>
            </w:pPr>
            <w:r w:rsidRPr="00CB39D1">
              <w:rPr>
                <w:i/>
                <w:color w:val="A5A6AC" w:themeColor="accent3" w:themeTint="99"/>
                <w:sz w:val="18"/>
                <w:szCs w:val="18"/>
              </w:rPr>
              <w:t>%-ով՝ ՀՆԱ-ի նկատմամբ</w:t>
            </w:r>
          </w:p>
        </w:tc>
        <w:tc>
          <w:tcPr>
            <w:tcW w:w="902" w:type="dxa"/>
            <w:vAlign w:val="center"/>
            <w:hideMark/>
          </w:tcPr>
          <w:p w14:paraId="54F43422" w14:textId="77777777" w:rsidR="008409DC" w:rsidRPr="00CB39D1" w:rsidRDefault="008409DC" w:rsidP="00147C8B">
            <w:pPr>
              <w:spacing w:before="0" w:after="0" w:line="240" w:lineRule="auto"/>
              <w:jc w:val="center"/>
              <w:rPr>
                <w:i/>
                <w:color w:val="A5A6AC" w:themeColor="accent3" w:themeTint="99"/>
                <w:sz w:val="18"/>
                <w:szCs w:val="18"/>
              </w:rPr>
            </w:pPr>
          </w:p>
        </w:tc>
        <w:tc>
          <w:tcPr>
            <w:tcW w:w="950" w:type="dxa"/>
            <w:vAlign w:val="center"/>
            <w:hideMark/>
          </w:tcPr>
          <w:p w14:paraId="3780D66B" w14:textId="77777777" w:rsidR="008409DC" w:rsidRPr="00CB39D1" w:rsidRDefault="008409DC" w:rsidP="00147C8B">
            <w:pPr>
              <w:spacing w:before="0" w:after="0" w:line="240" w:lineRule="auto"/>
              <w:jc w:val="center"/>
              <w:rPr>
                <w:i/>
                <w:color w:val="A5A6AC" w:themeColor="accent3" w:themeTint="99"/>
                <w:sz w:val="18"/>
                <w:szCs w:val="18"/>
              </w:rPr>
            </w:pPr>
            <w:r w:rsidRPr="00CB39D1">
              <w:rPr>
                <w:i/>
                <w:color w:val="A5A6AC" w:themeColor="accent3" w:themeTint="99"/>
                <w:sz w:val="18"/>
                <w:szCs w:val="18"/>
              </w:rPr>
              <w:t>25.74%</w:t>
            </w:r>
          </w:p>
        </w:tc>
        <w:tc>
          <w:tcPr>
            <w:tcW w:w="848" w:type="dxa"/>
            <w:vAlign w:val="center"/>
            <w:hideMark/>
          </w:tcPr>
          <w:p w14:paraId="64AE8715" w14:textId="77777777" w:rsidR="008409DC" w:rsidRPr="00CB39D1" w:rsidRDefault="008409DC" w:rsidP="00147C8B">
            <w:pPr>
              <w:spacing w:before="0" w:after="0" w:line="240" w:lineRule="auto"/>
              <w:jc w:val="center"/>
              <w:rPr>
                <w:i/>
                <w:color w:val="A5A6AC" w:themeColor="accent3" w:themeTint="99"/>
                <w:sz w:val="18"/>
                <w:szCs w:val="18"/>
              </w:rPr>
            </w:pPr>
            <w:r w:rsidRPr="00CB39D1">
              <w:rPr>
                <w:i/>
                <w:color w:val="A5A6AC" w:themeColor="accent3" w:themeTint="99"/>
                <w:sz w:val="18"/>
                <w:szCs w:val="18"/>
              </w:rPr>
              <w:t>25.88%</w:t>
            </w:r>
          </w:p>
        </w:tc>
        <w:tc>
          <w:tcPr>
            <w:tcW w:w="1046" w:type="dxa"/>
            <w:vAlign w:val="center"/>
            <w:hideMark/>
          </w:tcPr>
          <w:p w14:paraId="16812405" w14:textId="77777777" w:rsidR="008409DC" w:rsidRPr="00CB39D1" w:rsidRDefault="008409DC" w:rsidP="00147C8B">
            <w:pPr>
              <w:spacing w:before="0" w:after="0" w:line="240" w:lineRule="auto"/>
              <w:jc w:val="center"/>
              <w:rPr>
                <w:i/>
                <w:color w:val="A5A6AC" w:themeColor="accent3" w:themeTint="99"/>
                <w:sz w:val="18"/>
                <w:szCs w:val="18"/>
              </w:rPr>
            </w:pPr>
            <w:r w:rsidRPr="00CB39D1">
              <w:rPr>
                <w:i/>
                <w:color w:val="A5A6AC" w:themeColor="accent3" w:themeTint="99"/>
                <w:sz w:val="18"/>
                <w:szCs w:val="18"/>
              </w:rPr>
              <w:t>26.47%</w:t>
            </w:r>
          </w:p>
        </w:tc>
        <w:tc>
          <w:tcPr>
            <w:tcW w:w="987" w:type="dxa"/>
            <w:vAlign w:val="center"/>
            <w:hideMark/>
          </w:tcPr>
          <w:p w14:paraId="734FA32A" w14:textId="77777777" w:rsidR="008409DC" w:rsidRPr="00CB39D1" w:rsidRDefault="008409DC" w:rsidP="00147C8B">
            <w:pPr>
              <w:spacing w:before="0" w:after="0" w:line="240" w:lineRule="auto"/>
              <w:jc w:val="center"/>
              <w:rPr>
                <w:i/>
                <w:color w:val="A5A6AC" w:themeColor="accent3" w:themeTint="99"/>
                <w:sz w:val="18"/>
                <w:szCs w:val="18"/>
              </w:rPr>
            </w:pPr>
            <w:r w:rsidRPr="00CB39D1">
              <w:rPr>
                <w:i/>
                <w:color w:val="A5A6AC" w:themeColor="accent3" w:themeTint="99"/>
                <w:sz w:val="18"/>
                <w:szCs w:val="18"/>
              </w:rPr>
              <w:t>26.76%</w:t>
            </w:r>
          </w:p>
        </w:tc>
        <w:tc>
          <w:tcPr>
            <w:tcW w:w="1059" w:type="dxa"/>
          </w:tcPr>
          <w:p w14:paraId="513369CF" w14:textId="77777777" w:rsidR="008409DC" w:rsidRPr="00CB39D1" w:rsidRDefault="008409DC" w:rsidP="00147C8B">
            <w:pPr>
              <w:spacing w:before="0" w:after="0" w:line="240" w:lineRule="auto"/>
              <w:jc w:val="center"/>
              <w:rPr>
                <w:i/>
                <w:color w:val="A5A6AC" w:themeColor="accent3" w:themeTint="99"/>
                <w:sz w:val="18"/>
                <w:szCs w:val="18"/>
              </w:rPr>
            </w:pPr>
          </w:p>
        </w:tc>
      </w:tr>
      <w:tr w:rsidR="008409DC" w:rsidRPr="00CB39D1" w14:paraId="04D5019A" w14:textId="77777777" w:rsidTr="008409DC">
        <w:trPr>
          <w:trHeight w:val="336"/>
        </w:trPr>
        <w:tc>
          <w:tcPr>
            <w:tcW w:w="1188" w:type="dxa"/>
            <w:vMerge/>
            <w:vAlign w:val="center"/>
            <w:hideMark/>
          </w:tcPr>
          <w:p w14:paraId="0A28C33D" w14:textId="77777777" w:rsidR="008409DC" w:rsidRPr="00CB39D1" w:rsidRDefault="008409DC" w:rsidP="00147C8B">
            <w:pPr>
              <w:spacing w:before="0" w:after="0" w:line="240" w:lineRule="auto"/>
              <w:jc w:val="both"/>
              <w:rPr>
                <w:sz w:val="18"/>
                <w:szCs w:val="18"/>
                <w:lang w:val="ru-RU" w:eastAsia="ru-RU"/>
              </w:rPr>
            </w:pPr>
          </w:p>
        </w:tc>
        <w:tc>
          <w:tcPr>
            <w:tcW w:w="2841" w:type="dxa"/>
            <w:noWrap/>
            <w:vAlign w:val="center"/>
            <w:hideMark/>
          </w:tcPr>
          <w:p w14:paraId="58D6B8FA" w14:textId="77777777" w:rsidR="008409DC" w:rsidRPr="00CB39D1" w:rsidRDefault="008409DC" w:rsidP="00147C8B">
            <w:pPr>
              <w:spacing w:before="0" w:after="0" w:line="240" w:lineRule="auto"/>
              <w:jc w:val="both"/>
              <w:rPr>
                <w:sz w:val="18"/>
                <w:szCs w:val="18"/>
              </w:rPr>
            </w:pPr>
            <w:r w:rsidRPr="00CB39D1">
              <w:rPr>
                <w:sz w:val="18"/>
                <w:szCs w:val="18"/>
              </w:rPr>
              <w:t>2025թ. Պետական բյուջե</w:t>
            </w:r>
          </w:p>
        </w:tc>
        <w:tc>
          <w:tcPr>
            <w:tcW w:w="902" w:type="dxa"/>
            <w:vAlign w:val="center"/>
            <w:hideMark/>
          </w:tcPr>
          <w:p w14:paraId="4083230A" w14:textId="77777777" w:rsidR="008409DC" w:rsidRPr="00CB39D1" w:rsidRDefault="008409DC" w:rsidP="00147C8B">
            <w:pPr>
              <w:spacing w:before="0" w:after="0" w:line="240" w:lineRule="auto"/>
              <w:jc w:val="center"/>
              <w:rPr>
                <w:sz w:val="18"/>
                <w:szCs w:val="18"/>
              </w:rPr>
            </w:pPr>
          </w:p>
        </w:tc>
        <w:tc>
          <w:tcPr>
            <w:tcW w:w="950" w:type="dxa"/>
            <w:vAlign w:val="center"/>
            <w:hideMark/>
          </w:tcPr>
          <w:p w14:paraId="01E416C5" w14:textId="77777777" w:rsidR="008409DC" w:rsidRPr="00CB39D1" w:rsidRDefault="008409DC" w:rsidP="00147C8B">
            <w:pPr>
              <w:spacing w:before="0" w:after="0" w:line="240" w:lineRule="auto"/>
              <w:jc w:val="center"/>
              <w:rPr>
                <w:sz w:val="18"/>
                <w:szCs w:val="18"/>
              </w:rPr>
            </w:pPr>
            <w:r w:rsidRPr="00CB39D1">
              <w:rPr>
                <w:sz w:val="18"/>
                <w:szCs w:val="18"/>
              </w:rPr>
              <w:t>2,593.6</w:t>
            </w:r>
          </w:p>
        </w:tc>
        <w:tc>
          <w:tcPr>
            <w:tcW w:w="848" w:type="dxa"/>
            <w:vAlign w:val="center"/>
            <w:hideMark/>
          </w:tcPr>
          <w:p w14:paraId="264A38C4" w14:textId="77777777" w:rsidR="008409DC" w:rsidRPr="00CB39D1" w:rsidRDefault="008409DC" w:rsidP="00147C8B">
            <w:pPr>
              <w:spacing w:before="0" w:after="0" w:line="240" w:lineRule="auto"/>
              <w:jc w:val="center"/>
              <w:rPr>
                <w:sz w:val="18"/>
                <w:szCs w:val="18"/>
              </w:rPr>
            </w:pPr>
            <w:r w:rsidRPr="00CB39D1">
              <w:rPr>
                <w:rFonts w:ascii="GHEA Grapalat" w:hAnsi="GHEA Grapalat" w:cs="Arial"/>
                <w:bCs/>
                <w:color w:val="000000"/>
                <w:sz w:val="18"/>
                <w:szCs w:val="18"/>
              </w:rPr>
              <w:t>2,837.6</w:t>
            </w:r>
          </w:p>
        </w:tc>
        <w:tc>
          <w:tcPr>
            <w:tcW w:w="1046" w:type="dxa"/>
            <w:vAlign w:val="center"/>
            <w:hideMark/>
          </w:tcPr>
          <w:p w14:paraId="08708FB3" w14:textId="77777777" w:rsidR="008409DC" w:rsidRPr="00CB39D1" w:rsidRDefault="008409DC" w:rsidP="00147C8B">
            <w:pPr>
              <w:spacing w:before="0" w:after="0" w:line="240" w:lineRule="auto"/>
              <w:jc w:val="center"/>
              <w:rPr>
                <w:sz w:val="18"/>
                <w:szCs w:val="18"/>
              </w:rPr>
            </w:pPr>
            <w:r w:rsidRPr="00CB39D1">
              <w:rPr>
                <w:rFonts w:ascii="GHEA Grapalat" w:hAnsi="GHEA Grapalat" w:cs="Arial"/>
                <w:bCs/>
                <w:color w:val="000000"/>
                <w:sz w:val="18"/>
                <w:szCs w:val="18"/>
              </w:rPr>
              <w:t>3,123.2</w:t>
            </w:r>
          </w:p>
        </w:tc>
        <w:tc>
          <w:tcPr>
            <w:tcW w:w="987" w:type="dxa"/>
            <w:vAlign w:val="center"/>
            <w:hideMark/>
          </w:tcPr>
          <w:p w14:paraId="61457DFF" w14:textId="77777777" w:rsidR="008409DC" w:rsidRPr="00CB39D1" w:rsidRDefault="008409DC" w:rsidP="00147C8B">
            <w:pPr>
              <w:spacing w:before="0" w:after="0" w:line="240" w:lineRule="auto"/>
              <w:jc w:val="center"/>
              <w:rPr>
                <w:sz w:val="18"/>
                <w:szCs w:val="18"/>
              </w:rPr>
            </w:pPr>
            <w:r w:rsidRPr="00CB39D1">
              <w:rPr>
                <w:rFonts w:ascii="GHEA Grapalat" w:hAnsi="GHEA Grapalat" w:cs="Arial"/>
                <w:bCs/>
                <w:color w:val="000000"/>
                <w:sz w:val="18"/>
                <w:szCs w:val="18"/>
              </w:rPr>
              <w:t>3,458.6</w:t>
            </w:r>
          </w:p>
        </w:tc>
        <w:tc>
          <w:tcPr>
            <w:tcW w:w="1059" w:type="dxa"/>
          </w:tcPr>
          <w:p w14:paraId="41FF93C7" w14:textId="77777777" w:rsidR="008409DC" w:rsidRPr="00CB39D1" w:rsidRDefault="008409DC" w:rsidP="00147C8B">
            <w:pPr>
              <w:spacing w:before="0" w:after="0" w:line="240" w:lineRule="auto"/>
              <w:jc w:val="center"/>
              <w:rPr>
                <w:rFonts w:ascii="GHEA Grapalat" w:hAnsi="GHEA Grapalat" w:cs="Arial"/>
                <w:bCs/>
                <w:color w:val="000000"/>
                <w:sz w:val="18"/>
                <w:szCs w:val="18"/>
              </w:rPr>
            </w:pPr>
          </w:p>
        </w:tc>
      </w:tr>
      <w:tr w:rsidR="008409DC" w:rsidRPr="00CB39D1" w14:paraId="7FA6B555" w14:textId="77777777" w:rsidTr="008409DC">
        <w:trPr>
          <w:trHeight w:val="336"/>
        </w:trPr>
        <w:tc>
          <w:tcPr>
            <w:tcW w:w="1188" w:type="dxa"/>
            <w:vMerge/>
            <w:vAlign w:val="center"/>
            <w:hideMark/>
          </w:tcPr>
          <w:p w14:paraId="7AAB2F48" w14:textId="77777777" w:rsidR="008409DC" w:rsidRPr="00CB39D1" w:rsidRDefault="008409DC" w:rsidP="00147C8B">
            <w:pPr>
              <w:spacing w:before="0" w:after="0" w:line="240" w:lineRule="auto"/>
              <w:jc w:val="both"/>
              <w:rPr>
                <w:sz w:val="18"/>
                <w:szCs w:val="18"/>
                <w:lang w:val="ru-RU" w:eastAsia="ru-RU"/>
              </w:rPr>
            </w:pPr>
          </w:p>
        </w:tc>
        <w:tc>
          <w:tcPr>
            <w:tcW w:w="2841" w:type="dxa"/>
            <w:vAlign w:val="center"/>
            <w:hideMark/>
          </w:tcPr>
          <w:p w14:paraId="1441E228" w14:textId="77777777" w:rsidR="008409DC" w:rsidRPr="00CB39D1" w:rsidRDefault="008409DC" w:rsidP="00147C8B">
            <w:pPr>
              <w:spacing w:before="0" w:after="0" w:line="240" w:lineRule="auto"/>
              <w:jc w:val="both"/>
              <w:rPr>
                <w:i/>
                <w:color w:val="A5A6AC" w:themeColor="accent3" w:themeTint="99"/>
                <w:sz w:val="18"/>
                <w:szCs w:val="18"/>
              </w:rPr>
            </w:pPr>
            <w:r w:rsidRPr="00CB39D1">
              <w:rPr>
                <w:i/>
                <w:color w:val="A5A6AC" w:themeColor="accent3" w:themeTint="99"/>
                <w:sz w:val="18"/>
                <w:szCs w:val="18"/>
              </w:rPr>
              <w:t>%-ով՝ ՀՆԱ-ի նկատմամբ</w:t>
            </w:r>
          </w:p>
        </w:tc>
        <w:tc>
          <w:tcPr>
            <w:tcW w:w="902" w:type="dxa"/>
            <w:vAlign w:val="center"/>
            <w:hideMark/>
          </w:tcPr>
          <w:p w14:paraId="3E8DDBE4" w14:textId="77777777" w:rsidR="008409DC" w:rsidRPr="00CB39D1" w:rsidRDefault="008409DC" w:rsidP="00147C8B">
            <w:pPr>
              <w:spacing w:before="0" w:after="0" w:line="240" w:lineRule="auto"/>
              <w:jc w:val="center"/>
              <w:rPr>
                <w:i/>
                <w:color w:val="A5A6AC" w:themeColor="accent3" w:themeTint="99"/>
                <w:sz w:val="18"/>
                <w:szCs w:val="18"/>
              </w:rPr>
            </w:pPr>
          </w:p>
        </w:tc>
        <w:tc>
          <w:tcPr>
            <w:tcW w:w="950" w:type="dxa"/>
            <w:vAlign w:val="center"/>
            <w:hideMark/>
          </w:tcPr>
          <w:p w14:paraId="63399EFB" w14:textId="77777777" w:rsidR="008409DC" w:rsidRPr="00CB39D1" w:rsidRDefault="008409DC" w:rsidP="00147C8B">
            <w:pPr>
              <w:spacing w:before="0" w:after="0" w:line="240" w:lineRule="auto"/>
              <w:jc w:val="center"/>
              <w:rPr>
                <w:i/>
                <w:color w:val="A5A6AC" w:themeColor="accent3" w:themeTint="99"/>
                <w:sz w:val="18"/>
                <w:szCs w:val="18"/>
              </w:rPr>
            </w:pPr>
            <w:r w:rsidRPr="00CB39D1">
              <w:rPr>
                <w:i/>
                <w:color w:val="A5A6AC" w:themeColor="accent3" w:themeTint="99"/>
                <w:sz w:val="18"/>
                <w:szCs w:val="18"/>
              </w:rPr>
              <w:t>25.65%</w:t>
            </w:r>
          </w:p>
        </w:tc>
        <w:tc>
          <w:tcPr>
            <w:tcW w:w="848" w:type="dxa"/>
            <w:tcBorders>
              <w:bottom w:val="single" w:sz="8" w:space="0" w:color="E1E1E3" w:themeColor="accent3" w:themeTint="33"/>
            </w:tcBorders>
            <w:vAlign w:val="center"/>
            <w:hideMark/>
          </w:tcPr>
          <w:p w14:paraId="3494E544" w14:textId="77777777" w:rsidR="008409DC" w:rsidRPr="00CB39D1" w:rsidRDefault="008409DC" w:rsidP="00147C8B">
            <w:pPr>
              <w:spacing w:before="0" w:after="0" w:line="240" w:lineRule="auto"/>
              <w:jc w:val="center"/>
              <w:rPr>
                <w:i/>
                <w:color w:val="A5A6AC" w:themeColor="accent3" w:themeTint="99"/>
                <w:sz w:val="18"/>
                <w:szCs w:val="18"/>
              </w:rPr>
            </w:pPr>
            <w:r w:rsidRPr="00CB39D1">
              <w:rPr>
                <w:i/>
                <w:color w:val="A5A6AC" w:themeColor="accent3" w:themeTint="99"/>
                <w:sz w:val="18"/>
                <w:szCs w:val="18"/>
              </w:rPr>
              <w:t>26.1%</w:t>
            </w:r>
          </w:p>
        </w:tc>
        <w:tc>
          <w:tcPr>
            <w:tcW w:w="1046" w:type="dxa"/>
            <w:tcBorders>
              <w:bottom w:val="single" w:sz="8" w:space="0" w:color="E1E1E3" w:themeColor="accent3" w:themeTint="33"/>
            </w:tcBorders>
            <w:vAlign w:val="center"/>
            <w:hideMark/>
          </w:tcPr>
          <w:p w14:paraId="4F2C32A0" w14:textId="77777777" w:rsidR="008409DC" w:rsidRPr="00CB39D1" w:rsidRDefault="008409DC" w:rsidP="00147C8B">
            <w:pPr>
              <w:spacing w:before="0" w:after="0" w:line="240" w:lineRule="auto"/>
              <w:jc w:val="center"/>
              <w:rPr>
                <w:i/>
                <w:color w:val="A5A6AC" w:themeColor="accent3" w:themeTint="99"/>
                <w:sz w:val="18"/>
                <w:szCs w:val="18"/>
              </w:rPr>
            </w:pPr>
            <w:r w:rsidRPr="00CB39D1">
              <w:rPr>
                <w:i/>
                <w:color w:val="A5A6AC" w:themeColor="accent3" w:themeTint="99"/>
                <w:sz w:val="18"/>
                <w:szCs w:val="18"/>
              </w:rPr>
              <w:t>26.20%</w:t>
            </w:r>
          </w:p>
        </w:tc>
        <w:tc>
          <w:tcPr>
            <w:tcW w:w="987" w:type="dxa"/>
            <w:tcBorders>
              <w:bottom w:val="single" w:sz="8" w:space="0" w:color="E1E1E3" w:themeColor="accent3" w:themeTint="33"/>
            </w:tcBorders>
            <w:vAlign w:val="center"/>
            <w:hideMark/>
          </w:tcPr>
          <w:p w14:paraId="6D9F048E" w14:textId="77777777" w:rsidR="008409DC" w:rsidRPr="00CB39D1" w:rsidRDefault="008409DC" w:rsidP="00147C8B">
            <w:pPr>
              <w:spacing w:before="0" w:after="0" w:line="240" w:lineRule="auto"/>
              <w:jc w:val="center"/>
              <w:rPr>
                <w:i/>
                <w:color w:val="A5A6AC" w:themeColor="accent3" w:themeTint="99"/>
                <w:sz w:val="18"/>
                <w:szCs w:val="18"/>
              </w:rPr>
            </w:pPr>
            <w:r w:rsidRPr="00CB39D1">
              <w:rPr>
                <w:i/>
                <w:color w:val="A5A6AC" w:themeColor="accent3" w:themeTint="99"/>
                <w:sz w:val="18"/>
                <w:szCs w:val="18"/>
              </w:rPr>
              <w:t>26.53%</w:t>
            </w:r>
          </w:p>
        </w:tc>
        <w:tc>
          <w:tcPr>
            <w:tcW w:w="1059" w:type="dxa"/>
            <w:tcBorders>
              <w:bottom w:val="single" w:sz="8" w:space="0" w:color="E1E1E3" w:themeColor="accent3" w:themeTint="33"/>
            </w:tcBorders>
          </w:tcPr>
          <w:p w14:paraId="087EB306" w14:textId="77777777" w:rsidR="008409DC" w:rsidRPr="00CB39D1" w:rsidRDefault="008409DC" w:rsidP="00147C8B">
            <w:pPr>
              <w:spacing w:before="0" w:after="0" w:line="240" w:lineRule="auto"/>
              <w:jc w:val="center"/>
              <w:rPr>
                <w:i/>
                <w:color w:val="A5A6AC" w:themeColor="accent3" w:themeTint="99"/>
                <w:sz w:val="18"/>
                <w:szCs w:val="18"/>
              </w:rPr>
            </w:pPr>
          </w:p>
        </w:tc>
      </w:tr>
      <w:tr w:rsidR="008409DC" w:rsidRPr="00CB39D1" w14:paraId="7E2E53D7" w14:textId="77777777" w:rsidTr="008409DC">
        <w:trPr>
          <w:trHeight w:val="336"/>
        </w:trPr>
        <w:tc>
          <w:tcPr>
            <w:tcW w:w="1188" w:type="dxa"/>
            <w:vMerge w:val="restart"/>
            <w:vAlign w:val="center"/>
          </w:tcPr>
          <w:p w14:paraId="39877B03" w14:textId="77777777" w:rsidR="008409DC" w:rsidRPr="00CB39D1" w:rsidRDefault="008409DC" w:rsidP="00147C8B">
            <w:pPr>
              <w:spacing w:before="0" w:after="0" w:line="240" w:lineRule="auto"/>
              <w:jc w:val="center"/>
              <w:rPr>
                <w:sz w:val="18"/>
                <w:szCs w:val="18"/>
                <w:lang w:val="ru-RU" w:eastAsia="ru-RU"/>
              </w:rPr>
            </w:pPr>
            <w:r w:rsidRPr="00CB39D1">
              <w:rPr>
                <w:sz w:val="18"/>
                <w:szCs w:val="18"/>
              </w:rPr>
              <w:t>2025</w:t>
            </w:r>
          </w:p>
        </w:tc>
        <w:tc>
          <w:tcPr>
            <w:tcW w:w="2841" w:type="dxa"/>
            <w:vAlign w:val="center"/>
          </w:tcPr>
          <w:p w14:paraId="1D86E2C1" w14:textId="77777777" w:rsidR="008409DC" w:rsidRPr="00CB39D1" w:rsidRDefault="008409DC" w:rsidP="00147C8B">
            <w:pPr>
              <w:spacing w:before="0" w:after="0" w:line="240" w:lineRule="auto"/>
              <w:jc w:val="both"/>
              <w:rPr>
                <w:sz w:val="18"/>
                <w:szCs w:val="18"/>
              </w:rPr>
            </w:pPr>
            <w:r w:rsidRPr="00CB39D1">
              <w:rPr>
                <w:sz w:val="18"/>
                <w:szCs w:val="18"/>
              </w:rPr>
              <w:t xml:space="preserve"> ՄԺԾԾ 2026-2028</w:t>
            </w:r>
          </w:p>
        </w:tc>
        <w:tc>
          <w:tcPr>
            <w:tcW w:w="902" w:type="dxa"/>
            <w:vAlign w:val="center"/>
          </w:tcPr>
          <w:p w14:paraId="5AB5D696" w14:textId="77777777" w:rsidR="008409DC" w:rsidRPr="00CB39D1" w:rsidRDefault="008409DC" w:rsidP="00147C8B">
            <w:pPr>
              <w:spacing w:before="0" w:after="0" w:line="240" w:lineRule="auto"/>
              <w:jc w:val="center"/>
              <w:rPr>
                <w:i/>
                <w:color w:val="A5A6AC" w:themeColor="accent3" w:themeTint="99"/>
                <w:sz w:val="18"/>
                <w:szCs w:val="18"/>
              </w:rPr>
            </w:pPr>
          </w:p>
        </w:tc>
        <w:tc>
          <w:tcPr>
            <w:tcW w:w="950" w:type="dxa"/>
            <w:vAlign w:val="center"/>
          </w:tcPr>
          <w:p w14:paraId="0CF6157B" w14:textId="77777777" w:rsidR="008409DC" w:rsidRPr="00CB39D1" w:rsidRDefault="008409DC" w:rsidP="00147C8B">
            <w:pPr>
              <w:spacing w:before="0" w:after="0" w:line="240" w:lineRule="auto"/>
              <w:jc w:val="center"/>
              <w:rPr>
                <w:i/>
                <w:color w:val="A5A6AC" w:themeColor="accent3" w:themeTint="99"/>
                <w:sz w:val="18"/>
                <w:szCs w:val="18"/>
              </w:rPr>
            </w:pPr>
          </w:p>
        </w:tc>
        <w:tc>
          <w:tcPr>
            <w:tcW w:w="848" w:type="dxa"/>
            <w:tcBorders>
              <w:top w:val="single" w:sz="8" w:space="0" w:color="E1E1E3" w:themeColor="accent3" w:themeTint="33"/>
              <w:left w:val="nil"/>
              <w:bottom w:val="single" w:sz="8" w:space="0" w:color="E1E1E3" w:themeColor="accent3" w:themeTint="33"/>
              <w:right w:val="single" w:sz="8" w:space="0" w:color="E1E1E3" w:themeColor="accent3" w:themeTint="33"/>
            </w:tcBorders>
            <w:vAlign w:val="center"/>
          </w:tcPr>
          <w:p w14:paraId="57A2D31E" w14:textId="77777777" w:rsidR="008409DC" w:rsidRPr="00CB39D1" w:rsidRDefault="008409DC" w:rsidP="00147C8B">
            <w:pPr>
              <w:spacing w:before="0" w:after="0" w:line="240" w:lineRule="auto"/>
              <w:jc w:val="center"/>
              <w:rPr>
                <w:sz w:val="18"/>
                <w:szCs w:val="18"/>
              </w:rPr>
            </w:pPr>
            <w:r w:rsidRPr="00CB39D1">
              <w:rPr>
                <w:sz w:val="18"/>
                <w:szCs w:val="18"/>
              </w:rPr>
              <w:t>2,773.2</w:t>
            </w:r>
          </w:p>
        </w:tc>
        <w:tc>
          <w:tcPr>
            <w:tcW w:w="1046" w:type="dxa"/>
            <w:tcBorders>
              <w:top w:val="single" w:sz="8" w:space="0" w:color="E1E1E3" w:themeColor="accent3" w:themeTint="33"/>
              <w:left w:val="single" w:sz="8" w:space="0" w:color="E1E1E3" w:themeColor="accent3" w:themeTint="33"/>
              <w:bottom w:val="single" w:sz="8" w:space="0" w:color="E1E1E3" w:themeColor="accent3" w:themeTint="33"/>
              <w:right w:val="single" w:sz="8" w:space="0" w:color="E1E1E3" w:themeColor="accent3" w:themeTint="33"/>
            </w:tcBorders>
            <w:vAlign w:val="center"/>
          </w:tcPr>
          <w:p w14:paraId="1C8A1206" w14:textId="77777777" w:rsidR="008409DC" w:rsidRPr="00CB39D1" w:rsidRDefault="008409DC" w:rsidP="00147C8B">
            <w:pPr>
              <w:spacing w:before="0" w:after="0" w:line="240" w:lineRule="auto"/>
              <w:jc w:val="center"/>
              <w:rPr>
                <w:sz w:val="18"/>
                <w:szCs w:val="18"/>
              </w:rPr>
            </w:pPr>
            <w:r w:rsidRPr="00CB39D1">
              <w:rPr>
                <w:sz w:val="18"/>
                <w:szCs w:val="18"/>
              </w:rPr>
              <w:t>3,049.3</w:t>
            </w:r>
          </w:p>
        </w:tc>
        <w:tc>
          <w:tcPr>
            <w:tcW w:w="987" w:type="dxa"/>
            <w:tcBorders>
              <w:top w:val="single" w:sz="8" w:space="0" w:color="E1E1E3" w:themeColor="accent3" w:themeTint="33"/>
              <w:left w:val="single" w:sz="8" w:space="0" w:color="E1E1E3" w:themeColor="accent3" w:themeTint="33"/>
              <w:bottom w:val="single" w:sz="8" w:space="0" w:color="E1E1E3" w:themeColor="accent3" w:themeTint="33"/>
              <w:right w:val="single" w:sz="8" w:space="0" w:color="E1E1E3" w:themeColor="accent3" w:themeTint="33"/>
            </w:tcBorders>
            <w:vAlign w:val="center"/>
          </w:tcPr>
          <w:p w14:paraId="77E227C6" w14:textId="77777777" w:rsidR="008409DC" w:rsidRPr="00CB39D1" w:rsidRDefault="008409DC" w:rsidP="00147C8B">
            <w:pPr>
              <w:spacing w:before="0" w:after="0" w:line="240" w:lineRule="auto"/>
              <w:jc w:val="center"/>
              <w:rPr>
                <w:sz w:val="18"/>
                <w:szCs w:val="18"/>
              </w:rPr>
            </w:pPr>
            <w:r w:rsidRPr="00CB39D1">
              <w:rPr>
                <w:sz w:val="18"/>
                <w:szCs w:val="18"/>
              </w:rPr>
              <w:t>3,308.4</w:t>
            </w:r>
          </w:p>
        </w:tc>
        <w:tc>
          <w:tcPr>
            <w:tcW w:w="1059" w:type="dxa"/>
            <w:tcBorders>
              <w:top w:val="single" w:sz="8" w:space="0" w:color="E1E1E3" w:themeColor="accent3" w:themeTint="33"/>
              <w:left w:val="single" w:sz="8" w:space="0" w:color="E1E1E3" w:themeColor="accent3" w:themeTint="33"/>
              <w:bottom w:val="single" w:sz="8" w:space="0" w:color="E1E1E3" w:themeColor="accent3" w:themeTint="33"/>
              <w:right w:val="single" w:sz="8" w:space="0" w:color="E1E1E3" w:themeColor="accent3" w:themeTint="33"/>
            </w:tcBorders>
            <w:vAlign w:val="center"/>
          </w:tcPr>
          <w:p w14:paraId="3A1CCE97" w14:textId="77777777" w:rsidR="008409DC" w:rsidRPr="00CB39D1" w:rsidRDefault="008409DC" w:rsidP="00147C8B">
            <w:pPr>
              <w:spacing w:before="0" w:after="0" w:line="240" w:lineRule="auto"/>
              <w:jc w:val="center"/>
              <w:rPr>
                <w:sz w:val="18"/>
                <w:szCs w:val="18"/>
              </w:rPr>
            </w:pPr>
            <w:r w:rsidRPr="00CB39D1">
              <w:rPr>
                <w:sz w:val="18"/>
                <w:szCs w:val="18"/>
              </w:rPr>
              <w:t>3,603.2</w:t>
            </w:r>
          </w:p>
        </w:tc>
      </w:tr>
      <w:tr w:rsidR="008409DC" w:rsidRPr="00CB39D1" w14:paraId="4BDAF78F" w14:textId="77777777" w:rsidTr="008409DC">
        <w:trPr>
          <w:trHeight w:val="336"/>
        </w:trPr>
        <w:tc>
          <w:tcPr>
            <w:tcW w:w="1188" w:type="dxa"/>
            <w:vMerge/>
            <w:vAlign w:val="center"/>
          </w:tcPr>
          <w:p w14:paraId="525348E7" w14:textId="77777777" w:rsidR="008409DC" w:rsidRPr="00CB39D1" w:rsidRDefault="008409DC" w:rsidP="00147C8B">
            <w:pPr>
              <w:spacing w:before="0" w:after="0" w:line="240" w:lineRule="auto"/>
              <w:jc w:val="both"/>
              <w:rPr>
                <w:sz w:val="18"/>
                <w:szCs w:val="18"/>
                <w:lang w:val="ru-RU" w:eastAsia="ru-RU"/>
              </w:rPr>
            </w:pPr>
          </w:p>
        </w:tc>
        <w:tc>
          <w:tcPr>
            <w:tcW w:w="2841" w:type="dxa"/>
            <w:vAlign w:val="center"/>
          </w:tcPr>
          <w:p w14:paraId="6020B20A" w14:textId="77777777" w:rsidR="008409DC" w:rsidRPr="00CB39D1" w:rsidRDefault="008409DC" w:rsidP="00147C8B">
            <w:pPr>
              <w:spacing w:before="0" w:after="0" w:line="240" w:lineRule="auto"/>
              <w:jc w:val="both"/>
              <w:rPr>
                <w:sz w:val="18"/>
                <w:szCs w:val="18"/>
              </w:rPr>
            </w:pPr>
            <w:r w:rsidRPr="00CB39D1">
              <w:rPr>
                <w:i/>
                <w:color w:val="A5A6AC" w:themeColor="accent3" w:themeTint="99"/>
                <w:sz w:val="18"/>
                <w:szCs w:val="18"/>
              </w:rPr>
              <w:t>%-ով՝ ՀՆԱ-ի նկատմամբ</w:t>
            </w:r>
          </w:p>
        </w:tc>
        <w:tc>
          <w:tcPr>
            <w:tcW w:w="902" w:type="dxa"/>
            <w:vAlign w:val="center"/>
          </w:tcPr>
          <w:p w14:paraId="615B0797" w14:textId="77777777" w:rsidR="008409DC" w:rsidRPr="00CB39D1" w:rsidRDefault="008409DC" w:rsidP="00147C8B">
            <w:pPr>
              <w:spacing w:before="0" w:after="0" w:line="240" w:lineRule="auto"/>
              <w:jc w:val="center"/>
              <w:rPr>
                <w:i/>
                <w:color w:val="A5A6AC" w:themeColor="accent3" w:themeTint="99"/>
                <w:sz w:val="18"/>
                <w:szCs w:val="18"/>
              </w:rPr>
            </w:pPr>
          </w:p>
        </w:tc>
        <w:tc>
          <w:tcPr>
            <w:tcW w:w="950" w:type="dxa"/>
            <w:vAlign w:val="center"/>
          </w:tcPr>
          <w:p w14:paraId="7C3F2383" w14:textId="77777777" w:rsidR="008409DC" w:rsidRPr="00CB39D1" w:rsidRDefault="008409DC" w:rsidP="00147C8B">
            <w:pPr>
              <w:spacing w:before="0" w:after="0" w:line="240" w:lineRule="auto"/>
              <w:jc w:val="center"/>
              <w:rPr>
                <w:i/>
                <w:color w:val="A5A6AC" w:themeColor="accent3" w:themeTint="99"/>
                <w:sz w:val="18"/>
                <w:szCs w:val="18"/>
              </w:rPr>
            </w:pPr>
          </w:p>
        </w:tc>
        <w:tc>
          <w:tcPr>
            <w:tcW w:w="848" w:type="dxa"/>
            <w:tcBorders>
              <w:top w:val="single" w:sz="8" w:space="0" w:color="E1E1E3" w:themeColor="accent3" w:themeTint="33"/>
              <w:left w:val="nil"/>
              <w:bottom w:val="single" w:sz="8" w:space="0" w:color="E1E1E3" w:themeColor="accent3" w:themeTint="33"/>
              <w:right w:val="single" w:sz="8" w:space="0" w:color="E1E1E3" w:themeColor="accent3" w:themeTint="33"/>
            </w:tcBorders>
            <w:vAlign w:val="center"/>
          </w:tcPr>
          <w:p w14:paraId="1D425BDE" w14:textId="77777777" w:rsidR="008409DC" w:rsidRPr="00CB39D1" w:rsidRDefault="008409DC" w:rsidP="00147C8B">
            <w:pPr>
              <w:spacing w:before="0" w:after="0" w:line="240" w:lineRule="auto"/>
              <w:jc w:val="center"/>
              <w:rPr>
                <w:i/>
                <w:color w:val="A5A6AC" w:themeColor="accent3" w:themeTint="99"/>
                <w:sz w:val="18"/>
                <w:szCs w:val="18"/>
              </w:rPr>
            </w:pPr>
            <w:r w:rsidRPr="00CB39D1">
              <w:rPr>
                <w:i/>
                <w:color w:val="A5A6AC" w:themeColor="accent3" w:themeTint="99"/>
                <w:sz w:val="18"/>
                <w:szCs w:val="18"/>
              </w:rPr>
              <w:t>25.3%</w:t>
            </w:r>
          </w:p>
        </w:tc>
        <w:tc>
          <w:tcPr>
            <w:tcW w:w="1046" w:type="dxa"/>
            <w:tcBorders>
              <w:top w:val="single" w:sz="8" w:space="0" w:color="E1E1E3" w:themeColor="accent3" w:themeTint="33"/>
              <w:left w:val="single" w:sz="8" w:space="0" w:color="E1E1E3" w:themeColor="accent3" w:themeTint="33"/>
              <w:bottom w:val="single" w:sz="8" w:space="0" w:color="E1E1E3" w:themeColor="accent3" w:themeTint="33"/>
              <w:right w:val="single" w:sz="8" w:space="0" w:color="E1E1E3" w:themeColor="accent3" w:themeTint="33"/>
            </w:tcBorders>
            <w:vAlign w:val="center"/>
          </w:tcPr>
          <w:p w14:paraId="15CB101E" w14:textId="77777777" w:rsidR="008409DC" w:rsidRPr="00CB39D1" w:rsidRDefault="008409DC" w:rsidP="00147C8B">
            <w:pPr>
              <w:spacing w:before="0" w:after="0" w:line="240" w:lineRule="auto"/>
              <w:jc w:val="center"/>
              <w:rPr>
                <w:i/>
                <w:color w:val="A5A6AC" w:themeColor="accent3" w:themeTint="99"/>
                <w:sz w:val="18"/>
                <w:szCs w:val="18"/>
              </w:rPr>
            </w:pPr>
            <w:r w:rsidRPr="00CB39D1">
              <w:rPr>
                <w:i/>
                <w:color w:val="A5A6AC" w:themeColor="accent3" w:themeTint="99"/>
                <w:sz w:val="18"/>
                <w:szCs w:val="18"/>
              </w:rPr>
              <w:t>25.7%</w:t>
            </w:r>
          </w:p>
        </w:tc>
        <w:tc>
          <w:tcPr>
            <w:tcW w:w="987" w:type="dxa"/>
            <w:tcBorders>
              <w:top w:val="single" w:sz="8" w:space="0" w:color="E1E1E3" w:themeColor="accent3" w:themeTint="33"/>
              <w:left w:val="single" w:sz="8" w:space="0" w:color="E1E1E3" w:themeColor="accent3" w:themeTint="33"/>
              <w:bottom w:val="single" w:sz="8" w:space="0" w:color="E1E1E3" w:themeColor="accent3" w:themeTint="33"/>
              <w:right w:val="single" w:sz="8" w:space="0" w:color="E1E1E3" w:themeColor="accent3" w:themeTint="33"/>
            </w:tcBorders>
            <w:vAlign w:val="center"/>
          </w:tcPr>
          <w:p w14:paraId="2A3618C8" w14:textId="77777777" w:rsidR="008409DC" w:rsidRPr="00CB39D1" w:rsidRDefault="008409DC" w:rsidP="00147C8B">
            <w:pPr>
              <w:spacing w:before="0" w:after="0" w:line="240" w:lineRule="auto"/>
              <w:jc w:val="center"/>
              <w:rPr>
                <w:i/>
                <w:color w:val="A5A6AC" w:themeColor="accent3" w:themeTint="99"/>
                <w:sz w:val="18"/>
                <w:szCs w:val="18"/>
              </w:rPr>
            </w:pPr>
            <w:r w:rsidRPr="00CB39D1">
              <w:rPr>
                <w:i/>
                <w:color w:val="A5A6AC" w:themeColor="accent3" w:themeTint="99"/>
                <w:sz w:val="18"/>
                <w:szCs w:val="18"/>
              </w:rPr>
              <w:t>25.7%</w:t>
            </w:r>
          </w:p>
        </w:tc>
        <w:tc>
          <w:tcPr>
            <w:tcW w:w="1059" w:type="dxa"/>
            <w:tcBorders>
              <w:top w:val="single" w:sz="8" w:space="0" w:color="E1E1E3" w:themeColor="accent3" w:themeTint="33"/>
              <w:left w:val="single" w:sz="8" w:space="0" w:color="E1E1E3" w:themeColor="accent3" w:themeTint="33"/>
              <w:bottom w:val="single" w:sz="8" w:space="0" w:color="E1E1E3" w:themeColor="accent3" w:themeTint="33"/>
              <w:right w:val="single" w:sz="8" w:space="0" w:color="E1E1E3" w:themeColor="accent3" w:themeTint="33"/>
            </w:tcBorders>
            <w:vAlign w:val="center"/>
          </w:tcPr>
          <w:p w14:paraId="786167E0" w14:textId="77777777" w:rsidR="008409DC" w:rsidRPr="00CB39D1" w:rsidRDefault="008409DC" w:rsidP="00147C8B">
            <w:pPr>
              <w:spacing w:before="0" w:after="0" w:line="240" w:lineRule="auto"/>
              <w:jc w:val="center"/>
              <w:rPr>
                <w:i/>
                <w:color w:val="A5A6AC" w:themeColor="accent3" w:themeTint="99"/>
                <w:sz w:val="18"/>
                <w:szCs w:val="18"/>
              </w:rPr>
            </w:pPr>
            <w:r w:rsidRPr="00CB39D1">
              <w:rPr>
                <w:i/>
                <w:color w:val="A5A6AC" w:themeColor="accent3" w:themeTint="99"/>
                <w:sz w:val="18"/>
                <w:szCs w:val="18"/>
              </w:rPr>
              <w:t>25.8%</w:t>
            </w:r>
          </w:p>
        </w:tc>
      </w:tr>
      <w:tr w:rsidR="008409DC" w:rsidRPr="00CB39D1" w14:paraId="18DBE50A" w14:textId="77777777" w:rsidTr="008409DC">
        <w:trPr>
          <w:trHeight w:val="336"/>
        </w:trPr>
        <w:tc>
          <w:tcPr>
            <w:tcW w:w="1188" w:type="dxa"/>
            <w:vMerge/>
            <w:vAlign w:val="center"/>
          </w:tcPr>
          <w:p w14:paraId="2A57F41B" w14:textId="77777777" w:rsidR="008409DC" w:rsidRPr="00CB39D1" w:rsidRDefault="008409DC" w:rsidP="00147C8B">
            <w:pPr>
              <w:spacing w:before="0" w:after="0" w:line="240" w:lineRule="auto"/>
              <w:jc w:val="both"/>
              <w:rPr>
                <w:sz w:val="18"/>
                <w:szCs w:val="18"/>
                <w:lang w:val="ru-RU" w:eastAsia="ru-RU"/>
              </w:rPr>
            </w:pPr>
          </w:p>
        </w:tc>
        <w:tc>
          <w:tcPr>
            <w:tcW w:w="2841" w:type="dxa"/>
            <w:vAlign w:val="center"/>
          </w:tcPr>
          <w:p w14:paraId="0B3C6A68" w14:textId="77777777" w:rsidR="008409DC" w:rsidRPr="00CB39D1" w:rsidRDefault="008409DC" w:rsidP="00147C8B">
            <w:pPr>
              <w:spacing w:before="0" w:after="0" w:line="240" w:lineRule="auto"/>
              <w:jc w:val="both"/>
              <w:rPr>
                <w:i/>
                <w:color w:val="A5A6AC" w:themeColor="accent3" w:themeTint="99"/>
                <w:sz w:val="18"/>
                <w:szCs w:val="18"/>
              </w:rPr>
            </w:pPr>
            <w:r w:rsidRPr="00CB39D1">
              <w:rPr>
                <w:sz w:val="18"/>
                <w:szCs w:val="18"/>
              </w:rPr>
              <w:t>2026թ. Պետական բյուջե</w:t>
            </w:r>
          </w:p>
        </w:tc>
        <w:tc>
          <w:tcPr>
            <w:tcW w:w="902" w:type="dxa"/>
            <w:vAlign w:val="center"/>
          </w:tcPr>
          <w:p w14:paraId="27CACCE8" w14:textId="77777777" w:rsidR="008409DC" w:rsidRPr="00CB39D1" w:rsidRDefault="008409DC" w:rsidP="00147C8B">
            <w:pPr>
              <w:spacing w:before="0" w:after="0" w:line="240" w:lineRule="auto"/>
              <w:jc w:val="center"/>
              <w:rPr>
                <w:i/>
                <w:color w:val="A5A6AC" w:themeColor="accent3" w:themeTint="99"/>
                <w:sz w:val="18"/>
                <w:szCs w:val="18"/>
              </w:rPr>
            </w:pPr>
          </w:p>
        </w:tc>
        <w:tc>
          <w:tcPr>
            <w:tcW w:w="950" w:type="dxa"/>
            <w:vAlign w:val="center"/>
          </w:tcPr>
          <w:p w14:paraId="2A23B1CE" w14:textId="77777777" w:rsidR="008409DC" w:rsidRPr="00CB39D1" w:rsidRDefault="008409DC" w:rsidP="00147C8B">
            <w:pPr>
              <w:spacing w:before="0" w:after="0" w:line="240" w:lineRule="auto"/>
              <w:jc w:val="center"/>
              <w:rPr>
                <w:i/>
                <w:color w:val="A5A6AC" w:themeColor="accent3" w:themeTint="99"/>
                <w:sz w:val="18"/>
                <w:szCs w:val="18"/>
              </w:rPr>
            </w:pPr>
          </w:p>
        </w:tc>
        <w:tc>
          <w:tcPr>
            <w:tcW w:w="848" w:type="dxa"/>
            <w:vAlign w:val="center"/>
          </w:tcPr>
          <w:p w14:paraId="3668F74A" w14:textId="77777777" w:rsidR="008409DC" w:rsidRPr="00CB39D1" w:rsidRDefault="008409DC" w:rsidP="00147C8B">
            <w:pPr>
              <w:spacing w:before="0" w:after="0" w:line="240" w:lineRule="auto"/>
              <w:jc w:val="center"/>
              <w:rPr>
                <w:i/>
                <w:color w:val="A5A6AC" w:themeColor="accent3" w:themeTint="99"/>
                <w:sz w:val="18"/>
                <w:szCs w:val="18"/>
              </w:rPr>
            </w:pPr>
            <w:r w:rsidRPr="00CB39D1">
              <w:rPr>
                <w:sz w:val="18"/>
                <w:szCs w:val="18"/>
              </w:rPr>
              <w:t>2,832.8</w:t>
            </w:r>
          </w:p>
        </w:tc>
        <w:tc>
          <w:tcPr>
            <w:tcW w:w="1046" w:type="dxa"/>
            <w:vAlign w:val="center"/>
          </w:tcPr>
          <w:p w14:paraId="73E3A859" w14:textId="77777777" w:rsidR="008409DC" w:rsidRPr="00CB39D1" w:rsidRDefault="008409DC" w:rsidP="00147C8B">
            <w:pPr>
              <w:spacing w:before="0" w:after="0" w:line="240" w:lineRule="auto"/>
              <w:jc w:val="center"/>
              <w:rPr>
                <w:i/>
                <w:color w:val="A5A6AC" w:themeColor="accent3" w:themeTint="99"/>
                <w:sz w:val="18"/>
                <w:szCs w:val="18"/>
              </w:rPr>
            </w:pPr>
            <w:r w:rsidRPr="00CB39D1">
              <w:rPr>
                <w:sz w:val="18"/>
                <w:szCs w:val="18"/>
              </w:rPr>
              <w:t>3,09</w:t>
            </w:r>
            <w:r w:rsidRPr="00CB39D1">
              <w:rPr>
                <w:sz w:val="18"/>
                <w:szCs w:val="18"/>
                <w:lang w:val="hy-AM"/>
              </w:rPr>
              <w:t>0</w:t>
            </w:r>
            <w:r w:rsidRPr="00CB39D1">
              <w:rPr>
                <w:sz w:val="18"/>
                <w:szCs w:val="18"/>
              </w:rPr>
              <w:t>.</w:t>
            </w:r>
            <w:r w:rsidRPr="00CB39D1">
              <w:rPr>
                <w:sz w:val="18"/>
                <w:szCs w:val="18"/>
                <w:lang w:val="hy-AM"/>
              </w:rPr>
              <w:t>9</w:t>
            </w:r>
          </w:p>
        </w:tc>
        <w:tc>
          <w:tcPr>
            <w:tcW w:w="987" w:type="dxa"/>
            <w:vAlign w:val="center"/>
          </w:tcPr>
          <w:p w14:paraId="7FBE4FB2" w14:textId="38BB3FB6" w:rsidR="008409DC" w:rsidRPr="008409DC" w:rsidRDefault="008409DC" w:rsidP="00147C8B">
            <w:pPr>
              <w:spacing w:before="0" w:after="0" w:line="240" w:lineRule="auto"/>
              <w:jc w:val="center"/>
              <w:rPr>
                <w:i/>
                <w:color w:val="A5A6AC" w:themeColor="accent3" w:themeTint="99"/>
                <w:sz w:val="18"/>
                <w:szCs w:val="18"/>
              </w:rPr>
            </w:pPr>
            <w:r w:rsidRPr="00CB39D1">
              <w:rPr>
                <w:sz w:val="18"/>
                <w:szCs w:val="18"/>
              </w:rPr>
              <w:t>3,352.</w:t>
            </w:r>
            <w:r>
              <w:rPr>
                <w:sz w:val="18"/>
                <w:szCs w:val="18"/>
              </w:rPr>
              <w:t>6</w:t>
            </w:r>
          </w:p>
        </w:tc>
        <w:tc>
          <w:tcPr>
            <w:tcW w:w="1059" w:type="dxa"/>
            <w:vAlign w:val="center"/>
          </w:tcPr>
          <w:p w14:paraId="4304591F" w14:textId="32E8711F" w:rsidR="008409DC" w:rsidRPr="008409DC" w:rsidRDefault="008409DC" w:rsidP="00147C8B">
            <w:pPr>
              <w:spacing w:before="0" w:after="0" w:line="240" w:lineRule="auto"/>
              <w:jc w:val="center"/>
              <w:rPr>
                <w:i/>
                <w:color w:val="A5A6AC" w:themeColor="accent3" w:themeTint="99"/>
                <w:sz w:val="18"/>
                <w:szCs w:val="18"/>
              </w:rPr>
            </w:pPr>
            <w:r w:rsidRPr="00CB39D1">
              <w:rPr>
                <w:sz w:val="18"/>
                <w:szCs w:val="18"/>
              </w:rPr>
              <w:t>3,63</w:t>
            </w:r>
            <w:r w:rsidRPr="00CB39D1">
              <w:rPr>
                <w:sz w:val="18"/>
                <w:szCs w:val="18"/>
                <w:lang w:val="hy-AM"/>
              </w:rPr>
              <w:t>8</w:t>
            </w:r>
            <w:r w:rsidRPr="00CB39D1">
              <w:rPr>
                <w:sz w:val="18"/>
                <w:szCs w:val="18"/>
              </w:rPr>
              <w:t>.</w:t>
            </w:r>
            <w:r>
              <w:rPr>
                <w:sz w:val="18"/>
                <w:szCs w:val="18"/>
              </w:rPr>
              <w:t>2</w:t>
            </w:r>
          </w:p>
        </w:tc>
      </w:tr>
      <w:tr w:rsidR="008409DC" w:rsidRPr="00CB39D1" w14:paraId="4B1DDAD8" w14:textId="77777777" w:rsidTr="008409DC">
        <w:trPr>
          <w:trHeight w:val="336"/>
        </w:trPr>
        <w:tc>
          <w:tcPr>
            <w:tcW w:w="1188" w:type="dxa"/>
            <w:vMerge/>
            <w:vAlign w:val="center"/>
          </w:tcPr>
          <w:p w14:paraId="46EE5DE4" w14:textId="77777777" w:rsidR="008409DC" w:rsidRPr="00CB39D1" w:rsidRDefault="008409DC" w:rsidP="00147C8B">
            <w:pPr>
              <w:spacing w:before="0" w:after="0" w:line="240" w:lineRule="auto"/>
              <w:jc w:val="both"/>
              <w:rPr>
                <w:sz w:val="18"/>
                <w:szCs w:val="18"/>
                <w:lang w:val="ru-RU" w:eastAsia="ru-RU"/>
              </w:rPr>
            </w:pPr>
          </w:p>
        </w:tc>
        <w:tc>
          <w:tcPr>
            <w:tcW w:w="2841" w:type="dxa"/>
            <w:vAlign w:val="center"/>
          </w:tcPr>
          <w:p w14:paraId="4194C294" w14:textId="77777777" w:rsidR="008409DC" w:rsidRPr="00CB39D1" w:rsidRDefault="008409DC" w:rsidP="00147C8B">
            <w:pPr>
              <w:spacing w:before="0" w:after="0" w:line="240" w:lineRule="auto"/>
              <w:jc w:val="both"/>
              <w:rPr>
                <w:i/>
                <w:color w:val="A5A6AC" w:themeColor="accent3" w:themeTint="99"/>
                <w:sz w:val="18"/>
                <w:szCs w:val="18"/>
              </w:rPr>
            </w:pPr>
            <w:r w:rsidRPr="00CB39D1">
              <w:rPr>
                <w:i/>
                <w:color w:val="A5A6AC" w:themeColor="accent3" w:themeTint="99"/>
                <w:sz w:val="18"/>
                <w:szCs w:val="18"/>
              </w:rPr>
              <w:t>%-ով՝ ՀՆԱ-ի նկատմամբ</w:t>
            </w:r>
          </w:p>
        </w:tc>
        <w:tc>
          <w:tcPr>
            <w:tcW w:w="902" w:type="dxa"/>
            <w:vAlign w:val="center"/>
          </w:tcPr>
          <w:p w14:paraId="02F97DF0" w14:textId="77777777" w:rsidR="008409DC" w:rsidRPr="00CB39D1" w:rsidRDefault="008409DC" w:rsidP="00147C8B">
            <w:pPr>
              <w:spacing w:before="0" w:after="0" w:line="240" w:lineRule="auto"/>
              <w:jc w:val="center"/>
              <w:rPr>
                <w:i/>
                <w:color w:val="A5A6AC" w:themeColor="accent3" w:themeTint="99"/>
                <w:sz w:val="18"/>
                <w:szCs w:val="18"/>
              </w:rPr>
            </w:pPr>
          </w:p>
        </w:tc>
        <w:tc>
          <w:tcPr>
            <w:tcW w:w="950" w:type="dxa"/>
            <w:vAlign w:val="center"/>
          </w:tcPr>
          <w:p w14:paraId="38610F51" w14:textId="77777777" w:rsidR="008409DC" w:rsidRPr="00CB39D1" w:rsidRDefault="008409DC" w:rsidP="00147C8B">
            <w:pPr>
              <w:spacing w:before="0" w:after="0" w:line="240" w:lineRule="auto"/>
              <w:jc w:val="center"/>
              <w:rPr>
                <w:i/>
                <w:color w:val="A5A6AC" w:themeColor="accent3" w:themeTint="99"/>
                <w:sz w:val="18"/>
                <w:szCs w:val="18"/>
              </w:rPr>
            </w:pPr>
          </w:p>
        </w:tc>
        <w:tc>
          <w:tcPr>
            <w:tcW w:w="848" w:type="dxa"/>
            <w:vAlign w:val="center"/>
          </w:tcPr>
          <w:p w14:paraId="7E9579EE" w14:textId="77777777" w:rsidR="008409DC" w:rsidRPr="00CB39D1" w:rsidRDefault="008409DC" w:rsidP="00147C8B">
            <w:pPr>
              <w:spacing w:before="0" w:after="0" w:line="240" w:lineRule="auto"/>
              <w:jc w:val="center"/>
              <w:rPr>
                <w:i/>
                <w:color w:val="A5A6AC" w:themeColor="accent3" w:themeTint="99"/>
                <w:sz w:val="18"/>
                <w:szCs w:val="18"/>
              </w:rPr>
            </w:pPr>
            <w:r w:rsidRPr="00CB39D1">
              <w:rPr>
                <w:i/>
                <w:color w:val="A5A6AC" w:themeColor="accent3" w:themeTint="99"/>
                <w:sz w:val="18"/>
                <w:szCs w:val="18"/>
              </w:rPr>
              <w:t>25.8%</w:t>
            </w:r>
          </w:p>
        </w:tc>
        <w:tc>
          <w:tcPr>
            <w:tcW w:w="1046" w:type="dxa"/>
            <w:vAlign w:val="center"/>
          </w:tcPr>
          <w:p w14:paraId="477398B2" w14:textId="77777777" w:rsidR="008409DC" w:rsidRPr="00CB39D1" w:rsidRDefault="008409DC" w:rsidP="00147C8B">
            <w:pPr>
              <w:spacing w:before="0" w:after="0" w:line="240" w:lineRule="auto"/>
              <w:jc w:val="center"/>
              <w:rPr>
                <w:i/>
                <w:color w:val="A5A6AC" w:themeColor="accent3" w:themeTint="99"/>
                <w:sz w:val="18"/>
                <w:szCs w:val="18"/>
              </w:rPr>
            </w:pPr>
            <w:r w:rsidRPr="00CB39D1">
              <w:rPr>
                <w:i/>
                <w:color w:val="A5A6AC" w:themeColor="accent3" w:themeTint="99"/>
                <w:sz w:val="18"/>
                <w:szCs w:val="18"/>
              </w:rPr>
              <w:t>25.9%</w:t>
            </w:r>
          </w:p>
        </w:tc>
        <w:tc>
          <w:tcPr>
            <w:tcW w:w="987" w:type="dxa"/>
            <w:vAlign w:val="center"/>
          </w:tcPr>
          <w:p w14:paraId="38B5BA9C" w14:textId="77777777" w:rsidR="008409DC" w:rsidRPr="00CB39D1" w:rsidRDefault="008409DC" w:rsidP="00147C8B">
            <w:pPr>
              <w:spacing w:before="0" w:after="0" w:line="240" w:lineRule="auto"/>
              <w:jc w:val="center"/>
              <w:rPr>
                <w:i/>
                <w:color w:val="A5A6AC" w:themeColor="accent3" w:themeTint="99"/>
                <w:sz w:val="18"/>
                <w:szCs w:val="18"/>
              </w:rPr>
            </w:pPr>
            <w:r w:rsidRPr="00CB39D1">
              <w:rPr>
                <w:i/>
                <w:color w:val="A5A6AC" w:themeColor="accent3" w:themeTint="99"/>
                <w:sz w:val="18"/>
                <w:szCs w:val="18"/>
              </w:rPr>
              <w:t>25.9%</w:t>
            </w:r>
          </w:p>
        </w:tc>
        <w:tc>
          <w:tcPr>
            <w:tcW w:w="1059" w:type="dxa"/>
            <w:vAlign w:val="center"/>
          </w:tcPr>
          <w:p w14:paraId="2EC4B343" w14:textId="77777777" w:rsidR="008409DC" w:rsidRPr="00CB39D1" w:rsidRDefault="008409DC" w:rsidP="00147C8B">
            <w:pPr>
              <w:spacing w:before="0" w:after="0" w:line="240" w:lineRule="auto"/>
              <w:jc w:val="center"/>
              <w:rPr>
                <w:i/>
                <w:color w:val="A5A6AC" w:themeColor="accent3" w:themeTint="99"/>
                <w:sz w:val="18"/>
                <w:szCs w:val="18"/>
              </w:rPr>
            </w:pPr>
            <w:r w:rsidRPr="00CB39D1">
              <w:rPr>
                <w:i/>
                <w:color w:val="A5A6AC" w:themeColor="accent3" w:themeTint="99"/>
                <w:sz w:val="18"/>
                <w:szCs w:val="18"/>
              </w:rPr>
              <w:t>25.9%</w:t>
            </w:r>
          </w:p>
        </w:tc>
      </w:tr>
    </w:tbl>
    <w:p w14:paraId="5444929F" w14:textId="77777777" w:rsidR="00CB39D1" w:rsidRPr="00CB39D1" w:rsidRDefault="00CB39D1" w:rsidP="00CB39D1">
      <w:pPr>
        <w:jc w:val="both"/>
        <w:rPr>
          <w:rFonts w:ascii="GHEA Grapalat" w:hAnsi="GHEA Grapalat"/>
          <w:bCs/>
          <w:szCs w:val="20"/>
        </w:rPr>
      </w:pPr>
      <w:r w:rsidRPr="00CB39D1">
        <w:rPr>
          <w:rFonts w:ascii="GHEA Grapalat" w:hAnsi="GHEA Grapalat"/>
          <w:bCs/>
          <w:szCs w:val="20"/>
        </w:rPr>
        <w:t>Աղյուսակ 2.4. Պետական բյուջեի հարկային եկամուտների կանխատեսումների համեմատական աղյուսակը, մլրդ դրամ</w:t>
      </w:r>
    </w:p>
    <w:tbl>
      <w:tblPr>
        <w:tblW w:w="9630" w:type="dxa"/>
        <w:tblBorders>
          <w:top w:val="single" w:sz="8" w:space="0" w:color="E1E1E3" w:themeColor="accent3" w:themeTint="33"/>
          <w:left w:val="single" w:sz="8" w:space="0" w:color="E1E1E3" w:themeColor="accent3" w:themeTint="33"/>
          <w:bottom w:val="single" w:sz="8" w:space="0" w:color="E1E1E3" w:themeColor="accent3" w:themeTint="33"/>
          <w:right w:val="single" w:sz="8" w:space="0" w:color="E1E1E3" w:themeColor="accent3" w:themeTint="33"/>
          <w:insideH w:val="single" w:sz="8" w:space="0" w:color="E1E1E3" w:themeColor="accent3" w:themeTint="33"/>
          <w:insideV w:val="single" w:sz="8" w:space="0" w:color="E1E1E3" w:themeColor="accent3" w:themeTint="33"/>
        </w:tblBorders>
        <w:tblLook w:val="04A0" w:firstRow="1" w:lastRow="0" w:firstColumn="1" w:lastColumn="0" w:noHBand="0" w:noVBand="1"/>
      </w:tblPr>
      <w:tblGrid>
        <w:gridCol w:w="1188"/>
        <w:gridCol w:w="2915"/>
        <w:gridCol w:w="846"/>
        <w:gridCol w:w="854"/>
        <w:gridCol w:w="857"/>
        <w:gridCol w:w="990"/>
        <w:gridCol w:w="992"/>
        <w:gridCol w:w="988"/>
      </w:tblGrid>
      <w:tr w:rsidR="00CB39D1" w:rsidRPr="00CB39D1" w14:paraId="455551D0" w14:textId="77777777" w:rsidTr="008D4E1E">
        <w:trPr>
          <w:trHeight w:val="317"/>
        </w:trPr>
        <w:tc>
          <w:tcPr>
            <w:tcW w:w="1188" w:type="dxa"/>
            <w:shd w:val="clear" w:color="auto" w:fill="D5DCE4" w:themeFill="text2" w:themeFillTint="33"/>
            <w:vAlign w:val="center"/>
            <w:hideMark/>
          </w:tcPr>
          <w:p w14:paraId="65B9BCEB" w14:textId="77777777" w:rsidR="00CB39D1" w:rsidRPr="00CB39D1" w:rsidRDefault="00CB39D1" w:rsidP="00CB39D1">
            <w:pPr>
              <w:spacing w:before="0" w:after="0" w:line="240" w:lineRule="auto"/>
              <w:jc w:val="both"/>
              <w:rPr>
                <w:b/>
                <w:sz w:val="18"/>
                <w:szCs w:val="18"/>
                <w:lang w:val="ru-RU"/>
              </w:rPr>
            </w:pPr>
            <w:r w:rsidRPr="00CB39D1">
              <w:rPr>
                <w:b/>
                <w:sz w:val="18"/>
                <w:szCs w:val="18"/>
              </w:rPr>
              <w:t>Ընդունման տարին</w:t>
            </w:r>
          </w:p>
        </w:tc>
        <w:tc>
          <w:tcPr>
            <w:tcW w:w="2915" w:type="dxa"/>
            <w:shd w:val="clear" w:color="auto" w:fill="D5DCE4" w:themeFill="text2" w:themeFillTint="33"/>
            <w:noWrap/>
            <w:vAlign w:val="center"/>
            <w:hideMark/>
          </w:tcPr>
          <w:p w14:paraId="21917770" w14:textId="77777777" w:rsidR="00CB39D1" w:rsidRPr="00CB39D1" w:rsidRDefault="00CB39D1" w:rsidP="00CB39D1">
            <w:pPr>
              <w:spacing w:before="0" w:after="0" w:line="240" w:lineRule="auto"/>
              <w:jc w:val="both"/>
              <w:rPr>
                <w:b/>
                <w:sz w:val="18"/>
                <w:szCs w:val="18"/>
              </w:rPr>
            </w:pPr>
            <w:r w:rsidRPr="00CB39D1">
              <w:rPr>
                <w:b/>
                <w:sz w:val="18"/>
                <w:szCs w:val="18"/>
              </w:rPr>
              <w:t>Ծրագիր</w:t>
            </w:r>
          </w:p>
        </w:tc>
        <w:tc>
          <w:tcPr>
            <w:tcW w:w="846" w:type="dxa"/>
            <w:shd w:val="clear" w:color="auto" w:fill="D5DCE4" w:themeFill="text2" w:themeFillTint="33"/>
            <w:noWrap/>
            <w:vAlign w:val="center"/>
            <w:hideMark/>
          </w:tcPr>
          <w:p w14:paraId="649FC506" w14:textId="77777777" w:rsidR="00CB39D1" w:rsidRPr="00CB39D1" w:rsidRDefault="00CB39D1" w:rsidP="00CB39D1">
            <w:pPr>
              <w:spacing w:before="0" w:after="0" w:line="240" w:lineRule="auto"/>
              <w:jc w:val="center"/>
              <w:rPr>
                <w:b/>
                <w:sz w:val="18"/>
                <w:szCs w:val="18"/>
              </w:rPr>
            </w:pPr>
            <w:r w:rsidRPr="00CB39D1">
              <w:rPr>
                <w:b/>
                <w:sz w:val="18"/>
                <w:szCs w:val="18"/>
              </w:rPr>
              <w:t>2023</w:t>
            </w:r>
          </w:p>
        </w:tc>
        <w:tc>
          <w:tcPr>
            <w:tcW w:w="850" w:type="dxa"/>
            <w:tcBorders>
              <w:bottom w:val="single" w:sz="8" w:space="0" w:color="E1E1E3" w:themeColor="accent3" w:themeTint="33"/>
            </w:tcBorders>
            <w:shd w:val="clear" w:color="auto" w:fill="D5DCE4" w:themeFill="text2" w:themeFillTint="33"/>
            <w:noWrap/>
            <w:vAlign w:val="center"/>
            <w:hideMark/>
          </w:tcPr>
          <w:p w14:paraId="60566001" w14:textId="77777777" w:rsidR="00CB39D1" w:rsidRPr="00CB39D1" w:rsidRDefault="00CB39D1" w:rsidP="00CB39D1">
            <w:pPr>
              <w:spacing w:before="0" w:after="0" w:line="240" w:lineRule="auto"/>
              <w:jc w:val="center"/>
              <w:rPr>
                <w:b/>
                <w:sz w:val="18"/>
                <w:szCs w:val="18"/>
              </w:rPr>
            </w:pPr>
            <w:r w:rsidRPr="00CB39D1">
              <w:rPr>
                <w:b/>
                <w:sz w:val="18"/>
                <w:szCs w:val="18"/>
              </w:rPr>
              <w:t>2024</w:t>
            </w:r>
          </w:p>
        </w:tc>
        <w:tc>
          <w:tcPr>
            <w:tcW w:w="857" w:type="dxa"/>
            <w:shd w:val="clear" w:color="auto" w:fill="D5DCE4" w:themeFill="text2" w:themeFillTint="33"/>
            <w:noWrap/>
            <w:vAlign w:val="center"/>
            <w:hideMark/>
          </w:tcPr>
          <w:p w14:paraId="6CADE49F" w14:textId="77777777" w:rsidR="00CB39D1" w:rsidRPr="00CB39D1" w:rsidRDefault="00CB39D1" w:rsidP="00CB39D1">
            <w:pPr>
              <w:spacing w:before="0" w:after="0" w:line="240" w:lineRule="auto"/>
              <w:jc w:val="center"/>
              <w:rPr>
                <w:b/>
                <w:sz w:val="18"/>
                <w:szCs w:val="18"/>
              </w:rPr>
            </w:pPr>
            <w:r w:rsidRPr="00CB39D1">
              <w:rPr>
                <w:b/>
                <w:sz w:val="18"/>
                <w:szCs w:val="18"/>
              </w:rPr>
              <w:t>2025</w:t>
            </w:r>
          </w:p>
        </w:tc>
        <w:tc>
          <w:tcPr>
            <w:tcW w:w="990" w:type="dxa"/>
            <w:shd w:val="clear" w:color="auto" w:fill="D5DCE4" w:themeFill="text2" w:themeFillTint="33"/>
            <w:noWrap/>
            <w:vAlign w:val="center"/>
            <w:hideMark/>
          </w:tcPr>
          <w:p w14:paraId="662894EE" w14:textId="77777777" w:rsidR="00CB39D1" w:rsidRPr="00CB39D1" w:rsidRDefault="00CB39D1" w:rsidP="00CB39D1">
            <w:pPr>
              <w:spacing w:before="0" w:after="0" w:line="240" w:lineRule="auto"/>
              <w:jc w:val="center"/>
              <w:rPr>
                <w:b/>
                <w:sz w:val="18"/>
                <w:szCs w:val="18"/>
              </w:rPr>
            </w:pPr>
            <w:r w:rsidRPr="00CB39D1">
              <w:rPr>
                <w:b/>
                <w:sz w:val="18"/>
                <w:szCs w:val="18"/>
              </w:rPr>
              <w:t>2026</w:t>
            </w:r>
          </w:p>
        </w:tc>
        <w:tc>
          <w:tcPr>
            <w:tcW w:w="992" w:type="dxa"/>
            <w:shd w:val="clear" w:color="auto" w:fill="D5DCE4" w:themeFill="text2" w:themeFillTint="33"/>
            <w:noWrap/>
            <w:vAlign w:val="center"/>
            <w:hideMark/>
          </w:tcPr>
          <w:p w14:paraId="3DE66154" w14:textId="77777777" w:rsidR="00CB39D1" w:rsidRPr="00CB39D1" w:rsidRDefault="00CB39D1" w:rsidP="00CB39D1">
            <w:pPr>
              <w:spacing w:before="0" w:after="0" w:line="240" w:lineRule="auto"/>
              <w:jc w:val="center"/>
              <w:rPr>
                <w:b/>
                <w:sz w:val="18"/>
                <w:szCs w:val="18"/>
              </w:rPr>
            </w:pPr>
            <w:r w:rsidRPr="00CB39D1">
              <w:rPr>
                <w:b/>
                <w:sz w:val="18"/>
                <w:szCs w:val="18"/>
              </w:rPr>
              <w:t>2027</w:t>
            </w:r>
          </w:p>
        </w:tc>
        <w:tc>
          <w:tcPr>
            <w:tcW w:w="992" w:type="dxa"/>
            <w:shd w:val="clear" w:color="auto" w:fill="D5DCE4" w:themeFill="text2" w:themeFillTint="33"/>
            <w:vAlign w:val="center"/>
          </w:tcPr>
          <w:p w14:paraId="4A309873" w14:textId="77777777" w:rsidR="00CB39D1" w:rsidRPr="00CB39D1" w:rsidRDefault="00CB39D1" w:rsidP="00CB39D1">
            <w:pPr>
              <w:spacing w:before="0" w:after="0" w:line="240" w:lineRule="auto"/>
              <w:jc w:val="center"/>
              <w:rPr>
                <w:b/>
                <w:sz w:val="18"/>
                <w:szCs w:val="18"/>
              </w:rPr>
            </w:pPr>
            <w:r w:rsidRPr="00CB39D1">
              <w:rPr>
                <w:b/>
                <w:sz w:val="18"/>
                <w:szCs w:val="18"/>
              </w:rPr>
              <w:t>2028</w:t>
            </w:r>
          </w:p>
        </w:tc>
      </w:tr>
      <w:tr w:rsidR="00CB39D1" w:rsidRPr="00CB39D1" w14:paraId="3C51658C" w14:textId="77777777" w:rsidTr="008D4E1E">
        <w:trPr>
          <w:trHeight w:val="317"/>
        </w:trPr>
        <w:tc>
          <w:tcPr>
            <w:tcW w:w="1188" w:type="dxa"/>
            <w:vMerge w:val="restart"/>
            <w:vAlign w:val="center"/>
            <w:hideMark/>
          </w:tcPr>
          <w:p w14:paraId="753070D3" w14:textId="77777777" w:rsidR="00CB39D1" w:rsidRPr="00CB39D1" w:rsidRDefault="00CB39D1" w:rsidP="00CB39D1">
            <w:pPr>
              <w:spacing w:before="0" w:after="0" w:line="240" w:lineRule="auto"/>
              <w:jc w:val="center"/>
              <w:rPr>
                <w:sz w:val="18"/>
                <w:szCs w:val="18"/>
              </w:rPr>
            </w:pPr>
            <w:r w:rsidRPr="00CB39D1">
              <w:rPr>
                <w:sz w:val="18"/>
                <w:szCs w:val="18"/>
              </w:rPr>
              <w:t>-</w:t>
            </w:r>
          </w:p>
        </w:tc>
        <w:tc>
          <w:tcPr>
            <w:tcW w:w="2915" w:type="dxa"/>
            <w:noWrap/>
            <w:vAlign w:val="center"/>
            <w:hideMark/>
          </w:tcPr>
          <w:p w14:paraId="5E654DCE" w14:textId="77777777" w:rsidR="00CB39D1" w:rsidRPr="00CB39D1" w:rsidRDefault="00CB39D1" w:rsidP="00CB39D1">
            <w:pPr>
              <w:spacing w:before="0" w:after="0" w:line="240" w:lineRule="auto"/>
              <w:rPr>
                <w:sz w:val="18"/>
                <w:szCs w:val="18"/>
              </w:rPr>
            </w:pPr>
            <w:r w:rsidRPr="00CB39D1">
              <w:rPr>
                <w:sz w:val="18"/>
                <w:szCs w:val="18"/>
              </w:rPr>
              <w:t>Փաստացի</w:t>
            </w:r>
          </w:p>
        </w:tc>
        <w:tc>
          <w:tcPr>
            <w:tcW w:w="846" w:type="dxa"/>
            <w:vAlign w:val="center"/>
            <w:hideMark/>
          </w:tcPr>
          <w:p w14:paraId="6F66BB1D" w14:textId="77777777" w:rsidR="00CB39D1" w:rsidRPr="00CB39D1" w:rsidRDefault="00CB39D1" w:rsidP="00CB39D1">
            <w:pPr>
              <w:spacing w:before="0" w:after="0" w:line="240" w:lineRule="auto"/>
              <w:jc w:val="center"/>
              <w:rPr>
                <w:sz w:val="18"/>
                <w:szCs w:val="18"/>
              </w:rPr>
            </w:pPr>
            <w:r w:rsidRPr="00CB39D1">
              <w:rPr>
                <w:sz w:val="18"/>
                <w:szCs w:val="18"/>
              </w:rPr>
              <w:t>2,273.9</w:t>
            </w:r>
          </w:p>
        </w:tc>
        <w:tc>
          <w:tcPr>
            <w:tcW w:w="850" w:type="dxa"/>
            <w:tcBorders>
              <w:top w:val="single" w:sz="8" w:space="0" w:color="E1E1E3" w:themeColor="accent3" w:themeTint="33"/>
              <w:left w:val="nil"/>
              <w:bottom w:val="single" w:sz="8" w:space="0" w:color="E1E1E3" w:themeColor="accent3" w:themeTint="33"/>
              <w:right w:val="single" w:sz="8" w:space="0" w:color="E1E1E3" w:themeColor="accent3" w:themeTint="33"/>
            </w:tcBorders>
            <w:noWrap/>
            <w:vAlign w:val="center"/>
            <w:hideMark/>
          </w:tcPr>
          <w:p w14:paraId="53253B39" w14:textId="77777777" w:rsidR="00CB39D1" w:rsidRPr="00CB39D1" w:rsidRDefault="00CB39D1" w:rsidP="00CB39D1">
            <w:pPr>
              <w:spacing w:before="0" w:after="0" w:line="240" w:lineRule="auto"/>
              <w:jc w:val="center"/>
              <w:rPr>
                <w:sz w:val="18"/>
                <w:szCs w:val="18"/>
              </w:rPr>
            </w:pPr>
            <w:r w:rsidRPr="00CB39D1">
              <w:rPr>
                <w:sz w:val="18"/>
                <w:szCs w:val="18"/>
              </w:rPr>
              <w:t>2,390.9</w:t>
            </w:r>
          </w:p>
        </w:tc>
        <w:tc>
          <w:tcPr>
            <w:tcW w:w="857" w:type="dxa"/>
            <w:tcBorders>
              <w:left w:val="single" w:sz="8" w:space="0" w:color="E1E1E3" w:themeColor="accent3" w:themeTint="33"/>
            </w:tcBorders>
            <w:noWrap/>
            <w:vAlign w:val="center"/>
            <w:hideMark/>
          </w:tcPr>
          <w:p w14:paraId="565DE4EE" w14:textId="77777777" w:rsidR="00CB39D1" w:rsidRPr="00CB39D1" w:rsidRDefault="00CB39D1" w:rsidP="00CB39D1">
            <w:pPr>
              <w:spacing w:before="0" w:after="0" w:line="240" w:lineRule="auto"/>
              <w:jc w:val="center"/>
              <w:rPr>
                <w:sz w:val="18"/>
                <w:szCs w:val="18"/>
              </w:rPr>
            </w:pPr>
          </w:p>
        </w:tc>
        <w:tc>
          <w:tcPr>
            <w:tcW w:w="990" w:type="dxa"/>
            <w:noWrap/>
            <w:vAlign w:val="center"/>
            <w:hideMark/>
          </w:tcPr>
          <w:p w14:paraId="6B245586" w14:textId="77777777" w:rsidR="00CB39D1" w:rsidRPr="00CB39D1" w:rsidRDefault="00CB39D1" w:rsidP="00CB39D1">
            <w:pPr>
              <w:spacing w:before="0" w:after="0" w:line="240" w:lineRule="auto"/>
              <w:jc w:val="center"/>
              <w:rPr>
                <w:sz w:val="18"/>
                <w:szCs w:val="18"/>
              </w:rPr>
            </w:pPr>
          </w:p>
        </w:tc>
        <w:tc>
          <w:tcPr>
            <w:tcW w:w="992" w:type="dxa"/>
            <w:vAlign w:val="center"/>
            <w:hideMark/>
          </w:tcPr>
          <w:p w14:paraId="6BF1F86D" w14:textId="77777777" w:rsidR="00CB39D1" w:rsidRPr="00CB39D1" w:rsidRDefault="00CB39D1" w:rsidP="00CB39D1">
            <w:pPr>
              <w:spacing w:before="0" w:after="0" w:line="240" w:lineRule="auto"/>
              <w:jc w:val="center"/>
              <w:rPr>
                <w:sz w:val="18"/>
                <w:szCs w:val="18"/>
              </w:rPr>
            </w:pPr>
          </w:p>
        </w:tc>
        <w:tc>
          <w:tcPr>
            <w:tcW w:w="992" w:type="dxa"/>
          </w:tcPr>
          <w:p w14:paraId="3CD46C74" w14:textId="77777777" w:rsidR="00CB39D1" w:rsidRPr="00CB39D1" w:rsidRDefault="00CB39D1" w:rsidP="00CB39D1">
            <w:pPr>
              <w:spacing w:before="0" w:after="0" w:line="240" w:lineRule="auto"/>
              <w:jc w:val="center"/>
              <w:rPr>
                <w:sz w:val="18"/>
                <w:szCs w:val="18"/>
              </w:rPr>
            </w:pPr>
          </w:p>
        </w:tc>
      </w:tr>
      <w:tr w:rsidR="00CB39D1" w:rsidRPr="00CB39D1" w14:paraId="12F5754A" w14:textId="77777777" w:rsidTr="008D4E1E">
        <w:trPr>
          <w:trHeight w:val="317"/>
        </w:trPr>
        <w:tc>
          <w:tcPr>
            <w:tcW w:w="1188" w:type="dxa"/>
            <w:vMerge/>
            <w:vAlign w:val="center"/>
            <w:hideMark/>
          </w:tcPr>
          <w:p w14:paraId="19B189AC" w14:textId="77777777" w:rsidR="00CB39D1" w:rsidRPr="00CB39D1" w:rsidRDefault="00CB39D1" w:rsidP="00CB39D1">
            <w:pPr>
              <w:spacing w:before="0" w:after="0" w:line="240" w:lineRule="auto"/>
              <w:jc w:val="center"/>
              <w:rPr>
                <w:sz w:val="18"/>
                <w:szCs w:val="18"/>
                <w:lang w:val="ru-RU" w:eastAsia="ru-RU"/>
              </w:rPr>
            </w:pPr>
          </w:p>
        </w:tc>
        <w:tc>
          <w:tcPr>
            <w:tcW w:w="2915" w:type="dxa"/>
            <w:noWrap/>
            <w:vAlign w:val="center"/>
            <w:hideMark/>
          </w:tcPr>
          <w:p w14:paraId="4AFB4ED8" w14:textId="77777777" w:rsidR="00CB39D1" w:rsidRPr="00CB39D1" w:rsidRDefault="00CB39D1" w:rsidP="00CB39D1">
            <w:pPr>
              <w:spacing w:before="0" w:after="0" w:line="240" w:lineRule="auto"/>
              <w:jc w:val="both"/>
              <w:rPr>
                <w:i/>
                <w:color w:val="A5A6AC" w:themeColor="accent3" w:themeTint="99"/>
                <w:sz w:val="18"/>
                <w:szCs w:val="18"/>
              </w:rPr>
            </w:pPr>
            <w:r w:rsidRPr="00CB39D1">
              <w:rPr>
                <w:i/>
                <w:color w:val="A5A6AC" w:themeColor="accent3" w:themeTint="99"/>
                <w:sz w:val="18"/>
                <w:szCs w:val="18"/>
              </w:rPr>
              <w:t>%-ով՝ ՀՆԱ-ի նկատմամբ</w:t>
            </w:r>
          </w:p>
        </w:tc>
        <w:tc>
          <w:tcPr>
            <w:tcW w:w="846" w:type="dxa"/>
            <w:vAlign w:val="center"/>
            <w:hideMark/>
          </w:tcPr>
          <w:p w14:paraId="260C99A0" w14:textId="77777777" w:rsidR="00CB39D1" w:rsidRPr="00CB39D1" w:rsidRDefault="00CB39D1" w:rsidP="00CB39D1">
            <w:pPr>
              <w:spacing w:before="0" w:after="0" w:line="240" w:lineRule="auto"/>
              <w:jc w:val="center"/>
              <w:rPr>
                <w:i/>
                <w:color w:val="A5A6AC" w:themeColor="accent3" w:themeTint="99"/>
                <w:sz w:val="18"/>
                <w:szCs w:val="18"/>
              </w:rPr>
            </w:pPr>
            <w:r w:rsidRPr="00CB39D1">
              <w:rPr>
                <w:i/>
                <w:color w:val="A5A6AC" w:themeColor="accent3" w:themeTint="99"/>
                <w:sz w:val="18"/>
                <w:szCs w:val="18"/>
              </w:rPr>
              <w:t>24.0%</w:t>
            </w:r>
          </w:p>
        </w:tc>
        <w:tc>
          <w:tcPr>
            <w:tcW w:w="850" w:type="dxa"/>
            <w:tcBorders>
              <w:top w:val="single" w:sz="8" w:space="0" w:color="E1E1E3" w:themeColor="accent3" w:themeTint="33"/>
              <w:left w:val="nil"/>
              <w:bottom w:val="single" w:sz="8" w:space="0" w:color="E1E1E3" w:themeColor="accent3" w:themeTint="33"/>
              <w:right w:val="single" w:sz="8" w:space="0" w:color="E1E1E3" w:themeColor="accent3" w:themeTint="33"/>
            </w:tcBorders>
            <w:noWrap/>
            <w:vAlign w:val="center"/>
            <w:hideMark/>
          </w:tcPr>
          <w:p w14:paraId="4C6E4AD8" w14:textId="77777777" w:rsidR="00CB39D1" w:rsidRPr="00CB39D1" w:rsidRDefault="00CB39D1" w:rsidP="00CB39D1">
            <w:pPr>
              <w:spacing w:before="0" w:after="0" w:line="240" w:lineRule="auto"/>
              <w:jc w:val="center"/>
              <w:rPr>
                <w:i/>
                <w:color w:val="A5A6AC" w:themeColor="accent3" w:themeTint="99"/>
                <w:sz w:val="18"/>
                <w:szCs w:val="18"/>
              </w:rPr>
            </w:pPr>
            <w:r w:rsidRPr="00CB39D1">
              <w:rPr>
                <w:i/>
                <w:color w:val="A5A6AC" w:themeColor="accent3" w:themeTint="99"/>
                <w:sz w:val="18"/>
                <w:szCs w:val="18"/>
              </w:rPr>
              <w:t>23.5%</w:t>
            </w:r>
          </w:p>
        </w:tc>
        <w:tc>
          <w:tcPr>
            <w:tcW w:w="857" w:type="dxa"/>
            <w:tcBorders>
              <w:left w:val="single" w:sz="8" w:space="0" w:color="E1E1E3" w:themeColor="accent3" w:themeTint="33"/>
            </w:tcBorders>
            <w:noWrap/>
            <w:vAlign w:val="center"/>
            <w:hideMark/>
          </w:tcPr>
          <w:p w14:paraId="3E3A1164" w14:textId="77777777" w:rsidR="00CB39D1" w:rsidRPr="00CB39D1" w:rsidRDefault="00CB39D1" w:rsidP="00CB39D1">
            <w:pPr>
              <w:spacing w:before="0" w:after="0" w:line="240" w:lineRule="auto"/>
              <w:jc w:val="center"/>
              <w:rPr>
                <w:i/>
                <w:color w:val="A5A6AC" w:themeColor="accent3" w:themeTint="99"/>
                <w:sz w:val="18"/>
                <w:szCs w:val="18"/>
              </w:rPr>
            </w:pPr>
          </w:p>
        </w:tc>
        <w:tc>
          <w:tcPr>
            <w:tcW w:w="990" w:type="dxa"/>
            <w:noWrap/>
            <w:vAlign w:val="center"/>
            <w:hideMark/>
          </w:tcPr>
          <w:p w14:paraId="54BA09C3" w14:textId="77777777" w:rsidR="00CB39D1" w:rsidRPr="00CB39D1" w:rsidRDefault="00CB39D1" w:rsidP="00CB39D1">
            <w:pPr>
              <w:spacing w:before="0" w:after="0" w:line="240" w:lineRule="auto"/>
              <w:jc w:val="center"/>
              <w:rPr>
                <w:i/>
                <w:color w:val="A5A6AC" w:themeColor="accent3" w:themeTint="99"/>
                <w:sz w:val="18"/>
                <w:szCs w:val="18"/>
              </w:rPr>
            </w:pPr>
          </w:p>
        </w:tc>
        <w:tc>
          <w:tcPr>
            <w:tcW w:w="992" w:type="dxa"/>
            <w:vAlign w:val="center"/>
            <w:hideMark/>
          </w:tcPr>
          <w:p w14:paraId="00154EEB" w14:textId="77777777" w:rsidR="00CB39D1" w:rsidRPr="00CB39D1" w:rsidRDefault="00CB39D1" w:rsidP="00CB39D1">
            <w:pPr>
              <w:spacing w:before="0" w:after="0" w:line="240" w:lineRule="auto"/>
              <w:jc w:val="center"/>
              <w:rPr>
                <w:i/>
                <w:color w:val="A5A6AC" w:themeColor="accent3" w:themeTint="99"/>
                <w:sz w:val="18"/>
                <w:szCs w:val="18"/>
              </w:rPr>
            </w:pPr>
          </w:p>
        </w:tc>
        <w:tc>
          <w:tcPr>
            <w:tcW w:w="992" w:type="dxa"/>
          </w:tcPr>
          <w:p w14:paraId="4C812F03" w14:textId="77777777" w:rsidR="00CB39D1" w:rsidRPr="00CB39D1" w:rsidRDefault="00CB39D1" w:rsidP="00CB39D1">
            <w:pPr>
              <w:spacing w:before="0" w:after="0" w:line="240" w:lineRule="auto"/>
              <w:jc w:val="center"/>
              <w:rPr>
                <w:i/>
                <w:color w:val="A5A6AC" w:themeColor="accent3" w:themeTint="99"/>
                <w:sz w:val="18"/>
                <w:szCs w:val="18"/>
              </w:rPr>
            </w:pPr>
          </w:p>
        </w:tc>
      </w:tr>
      <w:tr w:rsidR="00CB39D1" w:rsidRPr="00CB39D1" w14:paraId="6E5B7E95" w14:textId="77777777" w:rsidTr="008D4E1E">
        <w:trPr>
          <w:trHeight w:val="317"/>
        </w:trPr>
        <w:tc>
          <w:tcPr>
            <w:tcW w:w="1188" w:type="dxa"/>
            <w:vMerge w:val="restart"/>
            <w:vAlign w:val="center"/>
            <w:hideMark/>
          </w:tcPr>
          <w:p w14:paraId="6DA147E9" w14:textId="77777777" w:rsidR="00CB39D1" w:rsidRPr="00CB39D1" w:rsidRDefault="00CB39D1" w:rsidP="00CB39D1">
            <w:pPr>
              <w:spacing w:before="0" w:after="0" w:line="240" w:lineRule="auto"/>
              <w:jc w:val="center"/>
              <w:rPr>
                <w:sz w:val="18"/>
                <w:szCs w:val="18"/>
              </w:rPr>
            </w:pPr>
            <w:r w:rsidRPr="00CB39D1">
              <w:rPr>
                <w:sz w:val="18"/>
                <w:szCs w:val="18"/>
              </w:rPr>
              <w:t>2022</w:t>
            </w:r>
          </w:p>
        </w:tc>
        <w:tc>
          <w:tcPr>
            <w:tcW w:w="2915" w:type="dxa"/>
            <w:noWrap/>
            <w:vAlign w:val="center"/>
            <w:hideMark/>
          </w:tcPr>
          <w:p w14:paraId="5F50A00B" w14:textId="77777777" w:rsidR="00CB39D1" w:rsidRPr="00CB39D1" w:rsidRDefault="00CB39D1" w:rsidP="00CB39D1">
            <w:pPr>
              <w:spacing w:before="0" w:after="0" w:line="240" w:lineRule="auto"/>
              <w:rPr>
                <w:sz w:val="18"/>
                <w:szCs w:val="18"/>
              </w:rPr>
            </w:pPr>
            <w:r w:rsidRPr="00CB39D1">
              <w:rPr>
                <w:sz w:val="18"/>
                <w:szCs w:val="18"/>
              </w:rPr>
              <w:t>ՄԺԾԾ 2023-2025</w:t>
            </w:r>
          </w:p>
        </w:tc>
        <w:tc>
          <w:tcPr>
            <w:tcW w:w="846" w:type="dxa"/>
            <w:vAlign w:val="center"/>
            <w:hideMark/>
          </w:tcPr>
          <w:p w14:paraId="33189D24" w14:textId="77777777" w:rsidR="00CB39D1" w:rsidRPr="00CB39D1" w:rsidRDefault="00CB39D1" w:rsidP="00CB39D1">
            <w:pPr>
              <w:spacing w:before="0" w:after="0" w:line="240" w:lineRule="auto"/>
              <w:jc w:val="center"/>
              <w:rPr>
                <w:sz w:val="18"/>
                <w:szCs w:val="18"/>
              </w:rPr>
            </w:pPr>
            <w:r w:rsidRPr="00CB39D1">
              <w:rPr>
                <w:sz w:val="18"/>
                <w:szCs w:val="18"/>
              </w:rPr>
              <w:t>2,228.3</w:t>
            </w:r>
          </w:p>
        </w:tc>
        <w:tc>
          <w:tcPr>
            <w:tcW w:w="850" w:type="dxa"/>
            <w:tcBorders>
              <w:top w:val="single" w:sz="8" w:space="0" w:color="E1E1E3" w:themeColor="accent3" w:themeTint="33"/>
            </w:tcBorders>
            <w:vAlign w:val="center"/>
            <w:hideMark/>
          </w:tcPr>
          <w:p w14:paraId="52512B12" w14:textId="77777777" w:rsidR="00CB39D1" w:rsidRPr="00CB39D1" w:rsidRDefault="00CB39D1" w:rsidP="00CB39D1">
            <w:pPr>
              <w:spacing w:before="0" w:after="0" w:line="240" w:lineRule="auto"/>
              <w:jc w:val="center"/>
              <w:rPr>
                <w:sz w:val="18"/>
                <w:szCs w:val="18"/>
              </w:rPr>
            </w:pPr>
            <w:r w:rsidRPr="00CB39D1">
              <w:rPr>
                <w:sz w:val="18"/>
                <w:szCs w:val="18"/>
              </w:rPr>
              <w:t>2,539.0</w:t>
            </w:r>
          </w:p>
        </w:tc>
        <w:tc>
          <w:tcPr>
            <w:tcW w:w="857" w:type="dxa"/>
            <w:vAlign w:val="center"/>
            <w:hideMark/>
          </w:tcPr>
          <w:p w14:paraId="0EEE25D6" w14:textId="77777777" w:rsidR="00CB39D1" w:rsidRPr="00CB39D1" w:rsidRDefault="00CB39D1" w:rsidP="00CB39D1">
            <w:pPr>
              <w:spacing w:before="0" w:after="0" w:line="240" w:lineRule="auto"/>
              <w:jc w:val="center"/>
              <w:rPr>
                <w:sz w:val="18"/>
                <w:szCs w:val="18"/>
              </w:rPr>
            </w:pPr>
            <w:r w:rsidRPr="00CB39D1">
              <w:rPr>
                <w:sz w:val="18"/>
                <w:szCs w:val="18"/>
              </w:rPr>
              <w:t>2,874.4</w:t>
            </w:r>
          </w:p>
        </w:tc>
        <w:tc>
          <w:tcPr>
            <w:tcW w:w="990" w:type="dxa"/>
            <w:noWrap/>
            <w:vAlign w:val="center"/>
            <w:hideMark/>
          </w:tcPr>
          <w:p w14:paraId="612E437B" w14:textId="77777777" w:rsidR="00CB39D1" w:rsidRPr="00CB39D1" w:rsidRDefault="00CB39D1" w:rsidP="00CB39D1">
            <w:pPr>
              <w:spacing w:before="0" w:after="0" w:line="240" w:lineRule="auto"/>
              <w:jc w:val="center"/>
              <w:rPr>
                <w:sz w:val="18"/>
                <w:szCs w:val="18"/>
              </w:rPr>
            </w:pPr>
          </w:p>
        </w:tc>
        <w:tc>
          <w:tcPr>
            <w:tcW w:w="992" w:type="dxa"/>
            <w:vAlign w:val="center"/>
            <w:hideMark/>
          </w:tcPr>
          <w:p w14:paraId="46DF9D20" w14:textId="77777777" w:rsidR="00CB39D1" w:rsidRPr="00CB39D1" w:rsidRDefault="00CB39D1" w:rsidP="00CB39D1">
            <w:pPr>
              <w:spacing w:before="0" w:after="0" w:line="240" w:lineRule="auto"/>
              <w:jc w:val="center"/>
              <w:rPr>
                <w:sz w:val="18"/>
                <w:szCs w:val="18"/>
              </w:rPr>
            </w:pPr>
          </w:p>
        </w:tc>
        <w:tc>
          <w:tcPr>
            <w:tcW w:w="992" w:type="dxa"/>
          </w:tcPr>
          <w:p w14:paraId="0B9BAD7E" w14:textId="77777777" w:rsidR="00CB39D1" w:rsidRPr="00CB39D1" w:rsidRDefault="00CB39D1" w:rsidP="00CB39D1">
            <w:pPr>
              <w:spacing w:before="0" w:after="0" w:line="240" w:lineRule="auto"/>
              <w:jc w:val="center"/>
              <w:rPr>
                <w:sz w:val="18"/>
                <w:szCs w:val="18"/>
              </w:rPr>
            </w:pPr>
          </w:p>
        </w:tc>
      </w:tr>
      <w:tr w:rsidR="00CB39D1" w:rsidRPr="00CB39D1" w14:paraId="10254992" w14:textId="77777777" w:rsidTr="008D4E1E">
        <w:trPr>
          <w:trHeight w:val="317"/>
        </w:trPr>
        <w:tc>
          <w:tcPr>
            <w:tcW w:w="1188" w:type="dxa"/>
            <w:vMerge/>
            <w:vAlign w:val="center"/>
            <w:hideMark/>
          </w:tcPr>
          <w:p w14:paraId="471402BB" w14:textId="77777777" w:rsidR="00CB39D1" w:rsidRPr="00CB39D1" w:rsidRDefault="00CB39D1" w:rsidP="00CB39D1">
            <w:pPr>
              <w:spacing w:before="0" w:after="0" w:line="240" w:lineRule="auto"/>
              <w:jc w:val="center"/>
              <w:rPr>
                <w:sz w:val="18"/>
                <w:szCs w:val="18"/>
                <w:lang w:val="ru-RU" w:eastAsia="ru-RU"/>
              </w:rPr>
            </w:pPr>
          </w:p>
        </w:tc>
        <w:tc>
          <w:tcPr>
            <w:tcW w:w="2915" w:type="dxa"/>
            <w:vAlign w:val="center"/>
            <w:hideMark/>
          </w:tcPr>
          <w:p w14:paraId="65B98949" w14:textId="77777777" w:rsidR="00CB39D1" w:rsidRPr="00CB39D1" w:rsidRDefault="00CB39D1" w:rsidP="00CB39D1">
            <w:pPr>
              <w:spacing w:before="0" w:after="0" w:line="240" w:lineRule="auto"/>
              <w:jc w:val="both"/>
              <w:rPr>
                <w:i/>
                <w:color w:val="A5A6AC" w:themeColor="accent3" w:themeTint="99"/>
                <w:sz w:val="18"/>
                <w:szCs w:val="18"/>
              </w:rPr>
            </w:pPr>
            <w:r w:rsidRPr="00CB39D1">
              <w:rPr>
                <w:i/>
                <w:color w:val="A5A6AC" w:themeColor="accent3" w:themeTint="99"/>
                <w:sz w:val="18"/>
                <w:szCs w:val="18"/>
              </w:rPr>
              <w:t>%-ով՝ ՀՆԱ-ի նկատմամբ</w:t>
            </w:r>
          </w:p>
        </w:tc>
        <w:tc>
          <w:tcPr>
            <w:tcW w:w="846" w:type="dxa"/>
            <w:vAlign w:val="center"/>
            <w:hideMark/>
          </w:tcPr>
          <w:p w14:paraId="19D4AF0E" w14:textId="77777777" w:rsidR="00CB39D1" w:rsidRPr="00CB39D1" w:rsidRDefault="00CB39D1" w:rsidP="00CB39D1">
            <w:pPr>
              <w:spacing w:before="0" w:after="0" w:line="240" w:lineRule="auto"/>
              <w:jc w:val="center"/>
              <w:rPr>
                <w:i/>
                <w:color w:val="A5A6AC" w:themeColor="accent3" w:themeTint="99"/>
                <w:sz w:val="18"/>
                <w:szCs w:val="18"/>
              </w:rPr>
            </w:pPr>
            <w:r w:rsidRPr="00CB39D1">
              <w:rPr>
                <w:i/>
                <w:color w:val="A5A6AC" w:themeColor="accent3" w:themeTint="99"/>
                <w:sz w:val="18"/>
                <w:szCs w:val="18"/>
              </w:rPr>
              <w:t>24.57%</w:t>
            </w:r>
          </w:p>
        </w:tc>
        <w:tc>
          <w:tcPr>
            <w:tcW w:w="850" w:type="dxa"/>
            <w:vAlign w:val="center"/>
            <w:hideMark/>
          </w:tcPr>
          <w:p w14:paraId="0F4C7764" w14:textId="77777777" w:rsidR="00CB39D1" w:rsidRPr="00CB39D1" w:rsidRDefault="00CB39D1" w:rsidP="00CB39D1">
            <w:pPr>
              <w:spacing w:before="0" w:after="0" w:line="240" w:lineRule="auto"/>
              <w:jc w:val="center"/>
              <w:rPr>
                <w:i/>
                <w:color w:val="A5A6AC" w:themeColor="accent3" w:themeTint="99"/>
                <w:sz w:val="18"/>
                <w:szCs w:val="18"/>
              </w:rPr>
            </w:pPr>
            <w:r w:rsidRPr="00CB39D1">
              <w:rPr>
                <w:i/>
                <w:color w:val="A5A6AC" w:themeColor="accent3" w:themeTint="99"/>
                <w:sz w:val="18"/>
                <w:szCs w:val="18"/>
              </w:rPr>
              <w:t>25.11%</w:t>
            </w:r>
          </w:p>
        </w:tc>
        <w:tc>
          <w:tcPr>
            <w:tcW w:w="857" w:type="dxa"/>
            <w:vAlign w:val="center"/>
            <w:hideMark/>
          </w:tcPr>
          <w:p w14:paraId="038CFFDD" w14:textId="77777777" w:rsidR="00CB39D1" w:rsidRPr="00CB39D1" w:rsidRDefault="00CB39D1" w:rsidP="00CB39D1">
            <w:pPr>
              <w:spacing w:before="0" w:after="0" w:line="240" w:lineRule="auto"/>
              <w:jc w:val="center"/>
              <w:rPr>
                <w:i/>
                <w:color w:val="A5A6AC" w:themeColor="accent3" w:themeTint="99"/>
                <w:sz w:val="18"/>
                <w:szCs w:val="18"/>
              </w:rPr>
            </w:pPr>
            <w:r w:rsidRPr="00CB39D1">
              <w:rPr>
                <w:i/>
                <w:color w:val="A5A6AC" w:themeColor="accent3" w:themeTint="99"/>
                <w:sz w:val="18"/>
                <w:szCs w:val="18"/>
              </w:rPr>
              <w:t>25.55%</w:t>
            </w:r>
          </w:p>
        </w:tc>
        <w:tc>
          <w:tcPr>
            <w:tcW w:w="990" w:type="dxa"/>
            <w:noWrap/>
            <w:vAlign w:val="center"/>
            <w:hideMark/>
          </w:tcPr>
          <w:p w14:paraId="53406E2B" w14:textId="77777777" w:rsidR="00CB39D1" w:rsidRPr="00CB39D1" w:rsidRDefault="00CB39D1" w:rsidP="00CB39D1">
            <w:pPr>
              <w:spacing w:before="0" w:after="0" w:line="240" w:lineRule="auto"/>
              <w:jc w:val="center"/>
              <w:rPr>
                <w:i/>
                <w:color w:val="A5A6AC" w:themeColor="accent3" w:themeTint="99"/>
                <w:sz w:val="18"/>
                <w:szCs w:val="18"/>
              </w:rPr>
            </w:pPr>
          </w:p>
        </w:tc>
        <w:tc>
          <w:tcPr>
            <w:tcW w:w="992" w:type="dxa"/>
            <w:vAlign w:val="center"/>
            <w:hideMark/>
          </w:tcPr>
          <w:p w14:paraId="69CF39E4" w14:textId="77777777" w:rsidR="00CB39D1" w:rsidRPr="00CB39D1" w:rsidRDefault="00CB39D1" w:rsidP="00CB39D1">
            <w:pPr>
              <w:spacing w:before="0" w:after="0" w:line="240" w:lineRule="auto"/>
              <w:jc w:val="center"/>
              <w:rPr>
                <w:i/>
                <w:color w:val="A5A6AC" w:themeColor="accent3" w:themeTint="99"/>
                <w:sz w:val="18"/>
                <w:szCs w:val="18"/>
              </w:rPr>
            </w:pPr>
          </w:p>
        </w:tc>
        <w:tc>
          <w:tcPr>
            <w:tcW w:w="992" w:type="dxa"/>
          </w:tcPr>
          <w:p w14:paraId="4DECCA9A" w14:textId="77777777" w:rsidR="00CB39D1" w:rsidRPr="00CB39D1" w:rsidRDefault="00CB39D1" w:rsidP="00CB39D1">
            <w:pPr>
              <w:spacing w:before="0" w:after="0" w:line="240" w:lineRule="auto"/>
              <w:jc w:val="center"/>
              <w:rPr>
                <w:i/>
                <w:color w:val="A5A6AC" w:themeColor="accent3" w:themeTint="99"/>
                <w:sz w:val="18"/>
                <w:szCs w:val="18"/>
              </w:rPr>
            </w:pPr>
          </w:p>
        </w:tc>
      </w:tr>
      <w:tr w:rsidR="00CB39D1" w:rsidRPr="00CB39D1" w14:paraId="6565CB57" w14:textId="77777777" w:rsidTr="008D4E1E">
        <w:trPr>
          <w:trHeight w:val="317"/>
        </w:trPr>
        <w:tc>
          <w:tcPr>
            <w:tcW w:w="1188" w:type="dxa"/>
            <w:vMerge/>
            <w:vAlign w:val="center"/>
            <w:hideMark/>
          </w:tcPr>
          <w:p w14:paraId="01840E6E" w14:textId="77777777" w:rsidR="00CB39D1" w:rsidRPr="00CB39D1" w:rsidRDefault="00CB39D1" w:rsidP="00CB39D1">
            <w:pPr>
              <w:spacing w:before="0" w:after="0" w:line="240" w:lineRule="auto"/>
              <w:jc w:val="center"/>
              <w:rPr>
                <w:sz w:val="18"/>
                <w:szCs w:val="18"/>
                <w:lang w:val="ru-RU" w:eastAsia="ru-RU"/>
              </w:rPr>
            </w:pPr>
          </w:p>
        </w:tc>
        <w:tc>
          <w:tcPr>
            <w:tcW w:w="2915" w:type="dxa"/>
            <w:noWrap/>
            <w:vAlign w:val="center"/>
            <w:hideMark/>
          </w:tcPr>
          <w:p w14:paraId="422A41C4" w14:textId="77777777" w:rsidR="00CB39D1" w:rsidRPr="00CB39D1" w:rsidRDefault="00CB39D1" w:rsidP="00CB39D1">
            <w:pPr>
              <w:spacing w:before="0" w:after="0" w:line="240" w:lineRule="auto"/>
              <w:rPr>
                <w:sz w:val="18"/>
                <w:szCs w:val="18"/>
              </w:rPr>
            </w:pPr>
            <w:r w:rsidRPr="00CB39D1">
              <w:rPr>
                <w:sz w:val="18"/>
                <w:szCs w:val="18"/>
              </w:rPr>
              <w:t>2023թ. Պետական բյուջե</w:t>
            </w:r>
          </w:p>
        </w:tc>
        <w:tc>
          <w:tcPr>
            <w:tcW w:w="846" w:type="dxa"/>
            <w:vAlign w:val="center"/>
            <w:hideMark/>
          </w:tcPr>
          <w:p w14:paraId="6A29D1B2" w14:textId="77777777" w:rsidR="00CB39D1" w:rsidRPr="00CB39D1" w:rsidRDefault="00CB39D1" w:rsidP="00CB39D1">
            <w:pPr>
              <w:spacing w:before="0" w:after="0" w:line="240" w:lineRule="auto"/>
              <w:jc w:val="center"/>
              <w:rPr>
                <w:sz w:val="18"/>
                <w:szCs w:val="18"/>
              </w:rPr>
            </w:pPr>
            <w:r w:rsidRPr="00CB39D1">
              <w:rPr>
                <w:sz w:val="18"/>
                <w:szCs w:val="18"/>
              </w:rPr>
              <w:t>2,255.6</w:t>
            </w:r>
          </w:p>
        </w:tc>
        <w:tc>
          <w:tcPr>
            <w:tcW w:w="850" w:type="dxa"/>
            <w:vAlign w:val="center"/>
            <w:hideMark/>
          </w:tcPr>
          <w:p w14:paraId="615E88A2" w14:textId="77777777" w:rsidR="00CB39D1" w:rsidRPr="00CB39D1" w:rsidRDefault="00CB39D1" w:rsidP="00CB39D1">
            <w:pPr>
              <w:spacing w:before="0" w:after="0" w:line="240" w:lineRule="auto"/>
              <w:jc w:val="center"/>
              <w:rPr>
                <w:sz w:val="18"/>
                <w:szCs w:val="18"/>
              </w:rPr>
            </w:pPr>
          </w:p>
        </w:tc>
        <w:tc>
          <w:tcPr>
            <w:tcW w:w="857" w:type="dxa"/>
            <w:vAlign w:val="center"/>
            <w:hideMark/>
          </w:tcPr>
          <w:p w14:paraId="02AC8912" w14:textId="77777777" w:rsidR="00CB39D1" w:rsidRPr="00CB39D1" w:rsidRDefault="00CB39D1" w:rsidP="00CB39D1">
            <w:pPr>
              <w:spacing w:before="0" w:after="0" w:line="240" w:lineRule="auto"/>
              <w:jc w:val="center"/>
              <w:rPr>
                <w:sz w:val="18"/>
                <w:szCs w:val="18"/>
              </w:rPr>
            </w:pPr>
          </w:p>
        </w:tc>
        <w:tc>
          <w:tcPr>
            <w:tcW w:w="990" w:type="dxa"/>
            <w:noWrap/>
            <w:vAlign w:val="center"/>
            <w:hideMark/>
          </w:tcPr>
          <w:p w14:paraId="30131F54" w14:textId="77777777" w:rsidR="00CB39D1" w:rsidRPr="00CB39D1" w:rsidRDefault="00CB39D1" w:rsidP="00CB39D1">
            <w:pPr>
              <w:spacing w:before="0" w:after="0" w:line="240" w:lineRule="auto"/>
              <w:jc w:val="center"/>
              <w:rPr>
                <w:sz w:val="18"/>
                <w:szCs w:val="18"/>
              </w:rPr>
            </w:pPr>
          </w:p>
        </w:tc>
        <w:tc>
          <w:tcPr>
            <w:tcW w:w="992" w:type="dxa"/>
            <w:vAlign w:val="center"/>
            <w:hideMark/>
          </w:tcPr>
          <w:p w14:paraId="68A59E4D" w14:textId="77777777" w:rsidR="00CB39D1" w:rsidRPr="00CB39D1" w:rsidRDefault="00CB39D1" w:rsidP="00CB39D1">
            <w:pPr>
              <w:spacing w:before="0" w:after="0" w:line="240" w:lineRule="auto"/>
              <w:jc w:val="center"/>
              <w:rPr>
                <w:sz w:val="18"/>
                <w:szCs w:val="18"/>
              </w:rPr>
            </w:pPr>
          </w:p>
        </w:tc>
        <w:tc>
          <w:tcPr>
            <w:tcW w:w="992" w:type="dxa"/>
          </w:tcPr>
          <w:p w14:paraId="34B6D713" w14:textId="77777777" w:rsidR="00CB39D1" w:rsidRPr="00CB39D1" w:rsidRDefault="00CB39D1" w:rsidP="00CB39D1">
            <w:pPr>
              <w:spacing w:before="0" w:after="0" w:line="240" w:lineRule="auto"/>
              <w:jc w:val="center"/>
              <w:rPr>
                <w:sz w:val="18"/>
                <w:szCs w:val="18"/>
              </w:rPr>
            </w:pPr>
          </w:p>
        </w:tc>
      </w:tr>
      <w:tr w:rsidR="00CB39D1" w:rsidRPr="00CB39D1" w14:paraId="251A32E3" w14:textId="77777777" w:rsidTr="008D4E1E">
        <w:trPr>
          <w:trHeight w:val="317"/>
        </w:trPr>
        <w:tc>
          <w:tcPr>
            <w:tcW w:w="1188" w:type="dxa"/>
            <w:vMerge/>
            <w:vAlign w:val="center"/>
            <w:hideMark/>
          </w:tcPr>
          <w:p w14:paraId="0D36C7D6" w14:textId="77777777" w:rsidR="00CB39D1" w:rsidRPr="00CB39D1" w:rsidRDefault="00CB39D1" w:rsidP="00CB39D1">
            <w:pPr>
              <w:spacing w:before="0" w:after="0" w:line="240" w:lineRule="auto"/>
              <w:jc w:val="center"/>
              <w:rPr>
                <w:sz w:val="18"/>
                <w:szCs w:val="18"/>
                <w:lang w:val="ru-RU" w:eastAsia="ru-RU"/>
              </w:rPr>
            </w:pPr>
          </w:p>
        </w:tc>
        <w:tc>
          <w:tcPr>
            <w:tcW w:w="2915" w:type="dxa"/>
            <w:vAlign w:val="center"/>
            <w:hideMark/>
          </w:tcPr>
          <w:p w14:paraId="099D208E" w14:textId="77777777" w:rsidR="00CB39D1" w:rsidRPr="00CB39D1" w:rsidRDefault="00CB39D1" w:rsidP="00CB39D1">
            <w:pPr>
              <w:spacing w:before="0" w:after="0" w:line="240" w:lineRule="auto"/>
              <w:jc w:val="both"/>
              <w:rPr>
                <w:i/>
                <w:color w:val="A5A6AC" w:themeColor="accent3" w:themeTint="99"/>
                <w:sz w:val="18"/>
                <w:szCs w:val="18"/>
              </w:rPr>
            </w:pPr>
            <w:r w:rsidRPr="00CB39D1">
              <w:rPr>
                <w:i/>
                <w:color w:val="A5A6AC" w:themeColor="accent3" w:themeTint="99"/>
                <w:sz w:val="18"/>
                <w:szCs w:val="18"/>
              </w:rPr>
              <w:t>%-ով՝ ՀՆԱ-ի նկատմամբ</w:t>
            </w:r>
          </w:p>
        </w:tc>
        <w:tc>
          <w:tcPr>
            <w:tcW w:w="846" w:type="dxa"/>
            <w:vAlign w:val="center"/>
            <w:hideMark/>
          </w:tcPr>
          <w:p w14:paraId="6BF6A9D2" w14:textId="77777777" w:rsidR="00CB39D1" w:rsidRPr="00CB39D1" w:rsidRDefault="00CB39D1" w:rsidP="00CB39D1">
            <w:pPr>
              <w:spacing w:before="0" w:after="0" w:line="240" w:lineRule="auto"/>
              <w:jc w:val="center"/>
              <w:rPr>
                <w:i/>
                <w:color w:val="A5A6AC" w:themeColor="accent3" w:themeTint="99"/>
                <w:sz w:val="18"/>
                <w:szCs w:val="18"/>
              </w:rPr>
            </w:pPr>
            <w:r w:rsidRPr="00CB39D1">
              <w:rPr>
                <w:i/>
                <w:color w:val="A5A6AC" w:themeColor="accent3" w:themeTint="99"/>
                <w:sz w:val="18"/>
                <w:szCs w:val="18"/>
              </w:rPr>
              <w:t>24.21%</w:t>
            </w:r>
          </w:p>
        </w:tc>
        <w:tc>
          <w:tcPr>
            <w:tcW w:w="850" w:type="dxa"/>
            <w:vAlign w:val="center"/>
            <w:hideMark/>
          </w:tcPr>
          <w:p w14:paraId="70DDCD01" w14:textId="77777777" w:rsidR="00CB39D1" w:rsidRPr="00CB39D1" w:rsidRDefault="00CB39D1" w:rsidP="00CB39D1">
            <w:pPr>
              <w:spacing w:before="0" w:after="0" w:line="240" w:lineRule="auto"/>
              <w:jc w:val="center"/>
              <w:rPr>
                <w:i/>
                <w:color w:val="A5A6AC" w:themeColor="accent3" w:themeTint="99"/>
                <w:sz w:val="18"/>
                <w:szCs w:val="18"/>
              </w:rPr>
            </w:pPr>
          </w:p>
        </w:tc>
        <w:tc>
          <w:tcPr>
            <w:tcW w:w="857" w:type="dxa"/>
            <w:vAlign w:val="center"/>
            <w:hideMark/>
          </w:tcPr>
          <w:p w14:paraId="080E98FA" w14:textId="77777777" w:rsidR="00CB39D1" w:rsidRPr="00CB39D1" w:rsidRDefault="00CB39D1" w:rsidP="00CB39D1">
            <w:pPr>
              <w:spacing w:before="0" w:after="0" w:line="240" w:lineRule="auto"/>
              <w:jc w:val="center"/>
              <w:rPr>
                <w:i/>
                <w:color w:val="A5A6AC" w:themeColor="accent3" w:themeTint="99"/>
                <w:sz w:val="18"/>
                <w:szCs w:val="18"/>
              </w:rPr>
            </w:pPr>
          </w:p>
        </w:tc>
        <w:tc>
          <w:tcPr>
            <w:tcW w:w="990" w:type="dxa"/>
            <w:vAlign w:val="center"/>
            <w:hideMark/>
          </w:tcPr>
          <w:p w14:paraId="330F5ACE" w14:textId="77777777" w:rsidR="00CB39D1" w:rsidRPr="00CB39D1" w:rsidRDefault="00CB39D1" w:rsidP="00CB39D1">
            <w:pPr>
              <w:spacing w:before="0" w:after="0" w:line="240" w:lineRule="auto"/>
              <w:jc w:val="center"/>
              <w:rPr>
                <w:i/>
                <w:color w:val="A5A6AC" w:themeColor="accent3" w:themeTint="99"/>
                <w:sz w:val="18"/>
                <w:szCs w:val="18"/>
              </w:rPr>
            </w:pPr>
          </w:p>
        </w:tc>
        <w:tc>
          <w:tcPr>
            <w:tcW w:w="992" w:type="dxa"/>
            <w:vAlign w:val="center"/>
            <w:hideMark/>
          </w:tcPr>
          <w:p w14:paraId="6F1B5C36" w14:textId="77777777" w:rsidR="00CB39D1" w:rsidRPr="00CB39D1" w:rsidRDefault="00CB39D1" w:rsidP="00CB39D1">
            <w:pPr>
              <w:spacing w:before="0" w:after="0" w:line="240" w:lineRule="auto"/>
              <w:jc w:val="center"/>
              <w:rPr>
                <w:i/>
                <w:color w:val="A5A6AC" w:themeColor="accent3" w:themeTint="99"/>
                <w:sz w:val="18"/>
                <w:szCs w:val="18"/>
              </w:rPr>
            </w:pPr>
          </w:p>
        </w:tc>
        <w:tc>
          <w:tcPr>
            <w:tcW w:w="992" w:type="dxa"/>
          </w:tcPr>
          <w:p w14:paraId="07AD797C" w14:textId="77777777" w:rsidR="00CB39D1" w:rsidRPr="00CB39D1" w:rsidRDefault="00CB39D1" w:rsidP="00CB39D1">
            <w:pPr>
              <w:spacing w:before="0" w:after="0" w:line="240" w:lineRule="auto"/>
              <w:jc w:val="center"/>
              <w:rPr>
                <w:i/>
                <w:color w:val="A5A6AC" w:themeColor="accent3" w:themeTint="99"/>
                <w:sz w:val="18"/>
                <w:szCs w:val="18"/>
              </w:rPr>
            </w:pPr>
          </w:p>
        </w:tc>
      </w:tr>
      <w:tr w:rsidR="00CB39D1" w:rsidRPr="00CB39D1" w14:paraId="16E143C1" w14:textId="77777777" w:rsidTr="008D4E1E">
        <w:trPr>
          <w:trHeight w:val="317"/>
        </w:trPr>
        <w:tc>
          <w:tcPr>
            <w:tcW w:w="1188" w:type="dxa"/>
            <w:vMerge w:val="restart"/>
            <w:vAlign w:val="center"/>
            <w:hideMark/>
          </w:tcPr>
          <w:p w14:paraId="791EE1B6" w14:textId="77777777" w:rsidR="00CB39D1" w:rsidRPr="00CB39D1" w:rsidRDefault="00CB39D1" w:rsidP="00CB39D1">
            <w:pPr>
              <w:spacing w:before="0" w:after="0" w:line="240" w:lineRule="auto"/>
              <w:jc w:val="center"/>
              <w:rPr>
                <w:sz w:val="18"/>
                <w:szCs w:val="18"/>
              </w:rPr>
            </w:pPr>
            <w:r w:rsidRPr="00CB39D1">
              <w:rPr>
                <w:sz w:val="18"/>
                <w:szCs w:val="18"/>
              </w:rPr>
              <w:t>2023</w:t>
            </w:r>
          </w:p>
        </w:tc>
        <w:tc>
          <w:tcPr>
            <w:tcW w:w="2915" w:type="dxa"/>
            <w:noWrap/>
            <w:vAlign w:val="center"/>
            <w:hideMark/>
          </w:tcPr>
          <w:p w14:paraId="30C60C9D" w14:textId="77777777" w:rsidR="00CB39D1" w:rsidRPr="00CB39D1" w:rsidRDefault="00CB39D1" w:rsidP="00CB39D1">
            <w:pPr>
              <w:spacing w:before="0" w:after="0" w:line="240" w:lineRule="auto"/>
              <w:rPr>
                <w:sz w:val="18"/>
                <w:szCs w:val="18"/>
              </w:rPr>
            </w:pPr>
            <w:r w:rsidRPr="00CB39D1">
              <w:rPr>
                <w:sz w:val="18"/>
                <w:szCs w:val="18"/>
              </w:rPr>
              <w:t>ՄԺԾԾ 2024-2026</w:t>
            </w:r>
          </w:p>
        </w:tc>
        <w:tc>
          <w:tcPr>
            <w:tcW w:w="846" w:type="dxa"/>
            <w:vAlign w:val="center"/>
            <w:hideMark/>
          </w:tcPr>
          <w:p w14:paraId="38DEA280" w14:textId="77777777" w:rsidR="00CB39D1" w:rsidRPr="00CB39D1" w:rsidRDefault="00CB39D1" w:rsidP="00CB39D1">
            <w:pPr>
              <w:spacing w:before="0" w:after="0" w:line="240" w:lineRule="auto"/>
              <w:jc w:val="center"/>
              <w:rPr>
                <w:sz w:val="18"/>
                <w:szCs w:val="18"/>
              </w:rPr>
            </w:pPr>
            <w:r w:rsidRPr="00CB39D1">
              <w:rPr>
                <w:sz w:val="18"/>
                <w:szCs w:val="18"/>
              </w:rPr>
              <w:t>2,287.4</w:t>
            </w:r>
          </w:p>
        </w:tc>
        <w:tc>
          <w:tcPr>
            <w:tcW w:w="850" w:type="dxa"/>
            <w:vAlign w:val="center"/>
            <w:hideMark/>
          </w:tcPr>
          <w:p w14:paraId="500CDC92" w14:textId="77777777" w:rsidR="00CB39D1" w:rsidRPr="00CB39D1" w:rsidRDefault="00CB39D1" w:rsidP="00CB39D1">
            <w:pPr>
              <w:spacing w:before="0" w:after="0" w:line="240" w:lineRule="auto"/>
              <w:jc w:val="center"/>
              <w:rPr>
                <w:sz w:val="18"/>
                <w:szCs w:val="18"/>
              </w:rPr>
            </w:pPr>
            <w:r w:rsidRPr="00CB39D1">
              <w:rPr>
                <w:sz w:val="18"/>
                <w:szCs w:val="18"/>
              </w:rPr>
              <w:t>2,573.1</w:t>
            </w:r>
          </w:p>
        </w:tc>
        <w:tc>
          <w:tcPr>
            <w:tcW w:w="857" w:type="dxa"/>
            <w:vAlign w:val="center"/>
            <w:hideMark/>
          </w:tcPr>
          <w:p w14:paraId="18769F3D" w14:textId="77777777" w:rsidR="00CB39D1" w:rsidRPr="00CB39D1" w:rsidRDefault="00CB39D1" w:rsidP="00CB39D1">
            <w:pPr>
              <w:spacing w:before="0" w:after="0" w:line="240" w:lineRule="auto"/>
              <w:jc w:val="center"/>
              <w:rPr>
                <w:sz w:val="18"/>
                <w:szCs w:val="18"/>
              </w:rPr>
            </w:pPr>
            <w:r w:rsidRPr="00CB39D1">
              <w:rPr>
                <w:sz w:val="18"/>
                <w:szCs w:val="18"/>
              </w:rPr>
              <w:t>2,896.9</w:t>
            </w:r>
          </w:p>
        </w:tc>
        <w:tc>
          <w:tcPr>
            <w:tcW w:w="990" w:type="dxa"/>
            <w:vAlign w:val="center"/>
            <w:hideMark/>
          </w:tcPr>
          <w:p w14:paraId="19C7A49B" w14:textId="77777777" w:rsidR="00CB39D1" w:rsidRPr="00CB39D1" w:rsidRDefault="00CB39D1" w:rsidP="00CB39D1">
            <w:pPr>
              <w:spacing w:before="0" w:after="0" w:line="240" w:lineRule="auto"/>
              <w:jc w:val="center"/>
              <w:rPr>
                <w:sz w:val="18"/>
                <w:szCs w:val="18"/>
              </w:rPr>
            </w:pPr>
            <w:r w:rsidRPr="00CB39D1">
              <w:rPr>
                <w:sz w:val="18"/>
                <w:szCs w:val="18"/>
              </w:rPr>
              <w:t>3,281.2</w:t>
            </w:r>
          </w:p>
        </w:tc>
        <w:tc>
          <w:tcPr>
            <w:tcW w:w="992" w:type="dxa"/>
            <w:vAlign w:val="center"/>
            <w:hideMark/>
          </w:tcPr>
          <w:p w14:paraId="1B027FB0" w14:textId="77777777" w:rsidR="00CB39D1" w:rsidRPr="00CB39D1" w:rsidRDefault="00CB39D1" w:rsidP="00CB39D1">
            <w:pPr>
              <w:spacing w:before="0" w:after="0" w:line="240" w:lineRule="auto"/>
              <w:jc w:val="center"/>
              <w:rPr>
                <w:sz w:val="18"/>
                <w:szCs w:val="18"/>
              </w:rPr>
            </w:pPr>
          </w:p>
        </w:tc>
        <w:tc>
          <w:tcPr>
            <w:tcW w:w="992" w:type="dxa"/>
          </w:tcPr>
          <w:p w14:paraId="49E95150" w14:textId="77777777" w:rsidR="00CB39D1" w:rsidRPr="00CB39D1" w:rsidRDefault="00CB39D1" w:rsidP="00CB39D1">
            <w:pPr>
              <w:spacing w:before="0" w:after="0" w:line="240" w:lineRule="auto"/>
              <w:jc w:val="center"/>
              <w:rPr>
                <w:sz w:val="18"/>
                <w:szCs w:val="18"/>
              </w:rPr>
            </w:pPr>
          </w:p>
        </w:tc>
      </w:tr>
      <w:tr w:rsidR="00CB39D1" w:rsidRPr="00CB39D1" w14:paraId="314831BD" w14:textId="77777777" w:rsidTr="008D4E1E">
        <w:trPr>
          <w:trHeight w:val="317"/>
        </w:trPr>
        <w:tc>
          <w:tcPr>
            <w:tcW w:w="1188" w:type="dxa"/>
            <w:vMerge/>
            <w:vAlign w:val="center"/>
            <w:hideMark/>
          </w:tcPr>
          <w:p w14:paraId="5AF106D9" w14:textId="77777777" w:rsidR="00CB39D1" w:rsidRPr="00CB39D1" w:rsidRDefault="00CB39D1" w:rsidP="00CB39D1">
            <w:pPr>
              <w:spacing w:before="0" w:after="0" w:line="240" w:lineRule="auto"/>
              <w:jc w:val="center"/>
              <w:rPr>
                <w:sz w:val="18"/>
                <w:szCs w:val="18"/>
                <w:lang w:val="ru-RU" w:eastAsia="ru-RU"/>
              </w:rPr>
            </w:pPr>
          </w:p>
        </w:tc>
        <w:tc>
          <w:tcPr>
            <w:tcW w:w="2915" w:type="dxa"/>
            <w:vAlign w:val="center"/>
            <w:hideMark/>
          </w:tcPr>
          <w:p w14:paraId="6BA09476" w14:textId="77777777" w:rsidR="00CB39D1" w:rsidRPr="00CB39D1" w:rsidRDefault="00CB39D1" w:rsidP="00CB39D1">
            <w:pPr>
              <w:spacing w:before="0" w:after="0" w:line="240" w:lineRule="auto"/>
              <w:jc w:val="both"/>
              <w:rPr>
                <w:i/>
                <w:color w:val="A5A6AC" w:themeColor="accent3" w:themeTint="99"/>
                <w:sz w:val="18"/>
                <w:szCs w:val="18"/>
              </w:rPr>
            </w:pPr>
            <w:r w:rsidRPr="00CB39D1">
              <w:rPr>
                <w:i/>
                <w:color w:val="A5A6AC" w:themeColor="accent3" w:themeTint="99"/>
                <w:sz w:val="18"/>
                <w:szCs w:val="18"/>
              </w:rPr>
              <w:t>%-ով՝ ՀՆԱ-ի նկատմամբ</w:t>
            </w:r>
          </w:p>
        </w:tc>
        <w:tc>
          <w:tcPr>
            <w:tcW w:w="846" w:type="dxa"/>
            <w:vAlign w:val="center"/>
            <w:hideMark/>
          </w:tcPr>
          <w:p w14:paraId="0A6C66B6" w14:textId="77777777" w:rsidR="00CB39D1" w:rsidRPr="00CB39D1" w:rsidRDefault="00CB39D1" w:rsidP="00CB39D1">
            <w:pPr>
              <w:spacing w:before="0" w:after="0" w:line="240" w:lineRule="auto"/>
              <w:jc w:val="center"/>
              <w:rPr>
                <w:i/>
                <w:color w:val="A5A6AC" w:themeColor="accent3" w:themeTint="99"/>
                <w:sz w:val="18"/>
                <w:szCs w:val="18"/>
              </w:rPr>
            </w:pPr>
            <w:r w:rsidRPr="00CB39D1">
              <w:rPr>
                <w:i/>
                <w:color w:val="A5A6AC" w:themeColor="accent3" w:themeTint="99"/>
                <w:sz w:val="18"/>
                <w:szCs w:val="18"/>
              </w:rPr>
              <w:t>23.99%</w:t>
            </w:r>
          </w:p>
        </w:tc>
        <w:tc>
          <w:tcPr>
            <w:tcW w:w="850" w:type="dxa"/>
            <w:vAlign w:val="center"/>
            <w:hideMark/>
          </w:tcPr>
          <w:p w14:paraId="7BAD00B2" w14:textId="77777777" w:rsidR="00CB39D1" w:rsidRPr="00CB39D1" w:rsidRDefault="00CB39D1" w:rsidP="00CB39D1">
            <w:pPr>
              <w:spacing w:before="0" w:after="0" w:line="240" w:lineRule="auto"/>
              <w:jc w:val="center"/>
              <w:rPr>
                <w:i/>
                <w:color w:val="A5A6AC" w:themeColor="accent3" w:themeTint="99"/>
                <w:sz w:val="18"/>
                <w:szCs w:val="18"/>
              </w:rPr>
            </w:pPr>
            <w:r w:rsidRPr="00CB39D1">
              <w:rPr>
                <w:i/>
                <w:color w:val="A5A6AC" w:themeColor="accent3" w:themeTint="99"/>
                <w:sz w:val="18"/>
                <w:szCs w:val="18"/>
              </w:rPr>
              <w:t>24.26%</w:t>
            </w:r>
          </w:p>
        </w:tc>
        <w:tc>
          <w:tcPr>
            <w:tcW w:w="857" w:type="dxa"/>
            <w:vAlign w:val="center"/>
            <w:hideMark/>
          </w:tcPr>
          <w:p w14:paraId="3700AFCA" w14:textId="77777777" w:rsidR="00CB39D1" w:rsidRPr="00CB39D1" w:rsidRDefault="00CB39D1" w:rsidP="00CB39D1">
            <w:pPr>
              <w:spacing w:before="0" w:after="0" w:line="240" w:lineRule="auto"/>
              <w:jc w:val="center"/>
              <w:rPr>
                <w:i/>
                <w:color w:val="A5A6AC" w:themeColor="accent3" w:themeTint="99"/>
                <w:sz w:val="18"/>
                <w:szCs w:val="18"/>
              </w:rPr>
            </w:pPr>
            <w:r w:rsidRPr="00CB39D1">
              <w:rPr>
                <w:i/>
                <w:color w:val="A5A6AC" w:themeColor="accent3" w:themeTint="99"/>
                <w:sz w:val="18"/>
                <w:szCs w:val="18"/>
              </w:rPr>
              <w:t>24.54%</w:t>
            </w:r>
          </w:p>
        </w:tc>
        <w:tc>
          <w:tcPr>
            <w:tcW w:w="990" w:type="dxa"/>
            <w:vAlign w:val="center"/>
            <w:hideMark/>
          </w:tcPr>
          <w:p w14:paraId="3064AD6D" w14:textId="77777777" w:rsidR="00CB39D1" w:rsidRPr="00CB39D1" w:rsidRDefault="00CB39D1" w:rsidP="00CB39D1">
            <w:pPr>
              <w:spacing w:before="0" w:after="0" w:line="240" w:lineRule="auto"/>
              <w:jc w:val="center"/>
              <w:rPr>
                <w:i/>
                <w:color w:val="A5A6AC" w:themeColor="accent3" w:themeTint="99"/>
                <w:sz w:val="18"/>
                <w:szCs w:val="18"/>
              </w:rPr>
            </w:pPr>
            <w:r w:rsidRPr="00CB39D1">
              <w:rPr>
                <w:i/>
                <w:color w:val="A5A6AC" w:themeColor="accent3" w:themeTint="99"/>
                <w:sz w:val="18"/>
                <w:szCs w:val="18"/>
              </w:rPr>
              <w:t>24.98%</w:t>
            </w:r>
          </w:p>
        </w:tc>
        <w:tc>
          <w:tcPr>
            <w:tcW w:w="992" w:type="dxa"/>
            <w:vAlign w:val="center"/>
            <w:hideMark/>
          </w:tcPr>
          <w:p w14:paraId="215E0EA8" w14:textId="77777777" w:rsidR="00CB39D1" w:rsidRPr="00CB39D1" w:rsidRDefault="00CB39D1" w:rsidP="00CB39D1">
            <w:pPr>
              <w:spacing w:before="0" w:after="0" w:line="240" w:lineRule="auto"/>
              <w:jc w:val="center"/>
              <w:rPr>
                <w:i/>
                <w:color w:val="A5A6AC" w:themeColor="accent3" w:themeTint="99"/>
                <w:sz w:val="18"/>
                <w:szCs w:val="18"/>
              </w:rPr>
            </w:pPr>
          </w:p>
        </w:tc>
        <w:tc>
          <w:tcPr>
            <w:tcW w:w="992" w:type="dxa"/>
          </w:tcPr>
          <w:p w14:paraId="306517A0" w14:textId="77777777" w:rsidR="00CB39D1" w:rsidRPr="00CB39D1" w:rsidRDefault="00CB39D1" w:rsidP="00CB39D1">
            <w:pPr>
              <w:spacing w:before="0" w:after="0" w:line="240" w:lineRule="auto"/>
              <w:jc w:val="center"/>
              <w:rPr>
                <w:i/>
                <w:color w:val="A5A6AC" w:themeColor="accent3" w:themeTint="99"/>
                <w:sz w:val="18"/>
                <w:szCs w:val="18"/>
              </w:rPr>
            </w:pPr>
          </w:p>
        </w:tc>
      </w:tr>
      <w:tr w:rsidR="00CB39D1" w:rsidRPr="00CB39D1" w14:paraId="05E178E0" w14:textId="77777777" w:rsidTr="008D4E1E">
        <w:trPr>
          <w:trHeight w:val="317"/>
        </w:trPr>
        <w:tc>
          <w:tcPr>
            <w:tcW w:w="1188" w:type="dxa"/>
            <w:vMerge/>
            <w:vAlign w:val="center"/>
            <w:hideMark/>
          </w:tcPr>
          <w:p w14:paraId="39A8E69E" w14:textId="77777777" w:rsidR="00CB39D1" w:rsidRPr="00CB39D1" w:rsidRDefault="00CB39D1" w:rsidP="00CB39D1">
            <w:pPr>
              <w:spacing w:before="0" w:after="0" w:line="240" w:lineRule="auto"/>
              <w:jc w:val="center"/>
              <w:rPr>
                <w:sz w:val="18"/>
                <w:szCs w:val="18"/>
                <w:lang w:val="ru-RU" w:eastAsia="ru-RU"/>
              </w:rPr>
            </w:pPr>
          </w:p>
        </w:tc>
        <w:tc>
          <w:tcPr>
            <w:tcW w:w="2915" w:type="dxa"/>
            <w:noWrap/>
            <w:vAlign w:val="center"/>
            <w:hideMark/>
          </w:tcPr>
          <w:p w14:paraId="1FA415C4" w14:textId="77777777" w:rsidR="00CB39D1" w:rsidRPr="00CB39D1" w:rsidRDefault="00CB39D1" w:rsidP="00CB39D1">
            <w:pPr>
              <w:spacing w:before="0" w:after="0" w:line="240" w:lineRule="auto"/>
              <w:rPr>
                <w:sz w:val="18"/>
                <w:szCs w:val="18"/>
              </w:rPr>
            </w:pPr>
            <w:r w:rsidRPr="00CB39D1">
              <w:rPr>
                <w:sz w:val="18"/>
                <w:szCs w:val="18"/>
              </w:rPr>
              <w:t>2024թ. Պետական բյուջե</w:t>
            </w:r>
          </w:p>
        </w:tc>
        <w:tc>
          <w:tcPr>
            <w:tcW w:w="846" w:type="dxa"/>
            <w:vAlign w:val="center"/>
            <w:hideMark/>
          </w:tcPr>
          <w:p w14:paraId="74E3B5EC" w14:textId="77777777" w:rsidR="00CB39D1" w:rsidRPr="00CB39D1" w:rsidRDefault="00CB39D1" w:rsidP="00CB39D1">
            <w:pPr>
              <w:spacing w:before="0" w:after="0" w:line="240" w:lineRule="auto"/>
              <w:jc w:val="center"/>
              <w:rPr>
                <w:sz w:val="18"/>
                <w:szCs w:val="18"/>
              </w:rPr>
            </w:pPr>
            <w:r w:rsidRPr="00CB39D1">
              <w:rPr>
                <w:sz w:val="18"/>
                <w:szCs w:val="18"/>
              </w:rPr>
              <w:t>2,277.8</w:t>
            </w:r>
          </w:p>
        </w:tc>
        <w:tc>
          <w:tcPr>
            <w:tcW w:w="850" w:type="dxa"/>
            <w:vAlign w:val="center"/>
            <w:hideMark/>
          </w:tcPr>
          <w:p w14:paraId="5EC72800" w14:textId="77777777" w:rsidR="00CB39D1" w:rsidRPr="00CB39D1" w:rsidRDefault="00CB39D1" w:rsidP="00CB39D1">
            <w:pPr>
              <w:spacing w:before="0" w:after="0" w:line="240" w:lineRule="auto"/>
              <w:jc w:val="center"/>
              <w:rPr>
                <w:sz w:val="18"/>
                <w:szCs w:val="18"/>
              </w:rPr>
            </w:pPr>
            <w:r w:rsidRPr="00CB39D1">
              <w:rPr>
                <w:sz w:val="18"/>
                <w:szCs w:val="18"/>
              </w:rPr>
              <w:t>2,553.1</w:t>
            </w:r>
          </w:p>
        </w:tc>
        <w:tc>
          <w:tcPr>
            <w:tcW w:w="857" w:type="dxa"/>
            <w:vAlign w:val="center"/>
            <w:hideMark/>
          </w:tcPr>
          <w:p w14:paraId="19567F37" w14:textId="77777777" w:rsidR="00CB39D1" w:rsidRPr="00CB39D1" w:rsidRDefault="00CB39D1" w:rsidP="00CB39D1">
            <w:pPr>
              <w:spacing w:before="0" w:after="0" w:line="240" w:lineRule="auto"/>
              <w:jc w:val="center"/>
              <w:rPr>
                <w:sz w:val="18"/>
                <w:szCs w:val="18"/>
              </w:rPr>
            </w:pPr>
          </w:p>
        </w:tc>
        <w:tc>
          <w:tcPr>
            <w:tcW w:w="990" w:type="dxa"/>
            <w:noWrap/>
            <w:vAlign w:val="center"/>
            <w:hideMark/>
          </w:tcPr>
          <w:p w14:paraId="265B1415" w14:textId="77777777" w:rsidR="00CB39D1" w:rsidRPr="00CB39D1" w:rsidRDefault="00CB39D1" w:rsidP="00CB39D1">
            <w:pPr>
              <w:spacing w:before="0" w:after="0" w:line="240" w:lineRule="auto"/>
              <w:jc w:val="center"/>
              <w:rPr>
                <w:sz w:val="18"/>
                <w:szCs w:val="18"/>
              </w:rPr>
            </w:pPr>
          </w:p>
        </w:tc>
        <w:tc>
          <w:tcPr>
            <w:tcW w:w="992" w:type="dxa"/>
            <w:vAlign w:val="center"/>
            <w:hideMark/>
          </w:tcPr>
          <w:p w14:paraId="0F1E3ED3" w14:textId="77777777" w:rsidR="00CB39D1" w:rsidRPr="00CB39D1" w:rsidRDefault="00CB39D1" w:rsidP="00CB39D1">
            <w:pPr>
              <w:spacing w:before="0" w:after="0" w:line="240" w:lineRule="auto"/>
              <w:jc w:val="center"/>
              <w:rPr>
                <w:sz w:val="18"/>
                <w:szCs w:val="18"/>
              </w:rPr>
            </w:pPr>
          </w:p>
        </w:tc>
        <w:tc>
          <w:tcPr>
            <w:tcW w:w="992" w:type="dxa"/>
          </w:tcPr>
          <w:p w14:paraId="165CEC49" w14:textId="77777777" w:rsidR="00CB39D1" w:rsidRPr="00CB39D1" w:rsidRDefault="00CB39D1" w:rsidP="00CB39D1">
            <w:pPr>
              <w:spacing w:before="0" w:after="0" w:line="240" w:lineRule="auto"/>
              <w:jc w:val="center"/>
              <w:rPr>
                <w:sz w:val="18"/>
                <w:szCs w:val="18"/>
              </w:rPr>
            </w:pPr>
          </w:p>
        </w:tc>
      </w:tr>
      <w:tr w:rsidR="00CB39D1" w:rsidRPr="00CB39D1" w14:paraId="456BCA06" w14:textId="77777777" w:rsidTr="008D4E1E">
        <w:trPr>
          <w:trHeight w:val="317"/>
        </w:trPr>
        <w:tc>
          <w:tcPr>
            <w:tcW w:w="1188" w:type="dxa"/>
            <w:vMerge/>
            <w:vAlign w:val="center"/>
            <w:hideMark/>
          </w:tcPr>
          <w:p w14:paraId="35E6E060" w14:textId="77777777" w:rsidR="00CB39D1" w:rsidRPr="00CB39D1" w:rsidRDefault="00CB39D1" w:rsidP="00CB39D1">
            <w:pPr>
              <w:spacing w:before="0" w:after="0" w:line="240" w:lineRule="auto"/>
              <w:jc w:val="center"/>
              <w:rPr>
                <w:sz w:val="18"/>
                <w:szCs w:val="18"/>
                <w:lang w:val="ru-RU" w:eastAsia="ru-RU"/>
              </w:rPr>
            </w:pPr>
          </w:p>
        </w:tc>
        <w:tc>
          <w:tcPr>
            <w:tcW w:w="2915" w:type="dxa"/>
            <w:vAlign w:val="center"/>
            <w:hideMark/>
          </w:tcPr>
          <w:p w14:paraId="753A82C9" w14:textId="77777777" w:rsidR="00CB39D1" w:rsidRPr="00CB39D1" w:rsidRDefault="00CB39D1" w:rsidP="00CB39D1">
            <w:pPr>
              <w:spacing w:before="0" w:after="0" w:line="240" w:lineRule="auto"/>
              <w:jc w:val="both"/>
              <w:rPr>
                <w:i/>
                <w:color w:val="A5A6AC" w:themeColor="accent3" w:themeTint="99"/>
                <w:sz w:val="18"/>
                <w:szCs w:val="18"/>
              </w:rPr>
            </w:pPr>
            <w:r w:rsidRPr="00CB39D1">
              <w:rPr>
                <w:i/>
                <w:color w:val="A5A6AC" w:themeColor="accent3" w:themeTint="99"/>
                <w:sz w:val="18"/>
                <w:szCs w:val="18"/>
              </w:rPr>
              <w:t>%-ով՝ ՀՆԱ-ի նկատմամբ</w:t>
            </w:r>
          </w:p>
        </w:tc>
        <w:tc>
          <w:tcPr>
            <w:tcW w:w="846" w:type="dxa"/>
            <w:vAlign w:val="center"/>
            <w:hideMark/>
          </w:tcPr>
          <w:p w14:paraId="60B856E6" w14:textId="77777777" w:rsidR="00CB39D1" w:rsidRPr="00CB39D1" w:rsidRDefault="00CB39D1" w:rsidP="00CB39D1">
            <w:pPr>
              <w:spacing w:before="0" w:after="0" w:line="240" w:lineRule="auto"/>
              <w:jc w:val="center"/>
              <w:rPr>
                <w:i/>
                <w:color w:val="A5A6AC" w:themeColor="accent3" w:themeTint="99"/>
                <w:sz w:val="18"/>
                <w:szCs w:val="18"/>
              </w:rPr>
            </w:pPr>
            <w:r w:rsidRPr="00CB39D1">
              <w:rPr>
                <w:i/>
                <w:color w:val="A5A6AC" w:themeColor="accent3" w:themeTint="99"/>
                <w:sz w:val="18"/>
                <w:szCs w:val="18"/>
              </w:rPr>
              <w:t>24.10%</w:t>
            </w:r>
          </w:p>
        </w:tc>
        <w:tc>
          <w:tcPr>
            <w:tcW w:w="850" w:type="dxa"/>
            <w:vAlign w:val="center"/>
            <w:hideMark/>
          </w:tcPr>
          <w:p w14:paraId="1AEA9564" w14:textId="77777777" w:rsidR="00CB39D1" w:rsidRPr="00CB39D1" w:rsidRDefault="00CB39D1" w:rsidP="00CB39D1">
            <w:pPr>
              <w:spacing w:before="0" w:after="0" w:line="240" w:lineRule="auto"/>
              <w:jc w:val="center"/>
              <w:rPr>
                <w:i/>
                <w:color w:val="A5A6AC" w:themeColor="accent3" w:themeTint="99"/>
                <w:sz w:val="18"/>
                <w:szCs w:val="18"/>
              </w:rPr>
            </w:pPr>
            <w:r w:rsidRPr="00CB39D1">
              <w:rPr>
                <w:i/>
                <w:color w:val="A5A6AC" w:themeColor="accent3" w:themeTint="99"/>
                <w:sz w:val="18"/>
                <w:szCs w:val="18"/>
              </w:rPr>
              <w:t>24.3%</w:t>
            </w:r>
          </w:p>
        </w:tc>
        <w:tc>
          <w:tcPr>
            <w:tcW w:w="857" w:type="dxa"/>
            <w:vAlign w:val="center"/>
            <w:hideMark/>
          </w:tcPr>
          <w:p w14:paraId="3471DD05" w14:textId="77777777" w:rsidR="00CB39D1" w:rsidRPr="00CB39D1" w:rsidRDefault="00CB39D1" w:rsidP="00CB39D1">
            <w:pPr>
              <w:spacing w:before="0" w:after="0" w:line="240" w:lineRule="auto"/>
              <w:jc w:val="center"/>
              <w:rPr>
                <w:i/>
                <w:color w:val="A5A6AC" w:themeColor="accent3" w:themeTint="99"/>
                <w:sz w:val="18"/>
                <w:szCs w:val="18"/>
              </w:rPr>
            </w:pPr>
          </w:p>
        </w:tc>
        <w:tc>
          <w:tcPr>
            <w:tcW w:w="990" w:type="dxa"/>
            <w:noWrap/>
            <w:vAlign w:val="center"/>
            <w:hideMark/>
          </w:tcPr>
          <w:p w14:paraId="0F38CB6E" w14:textId="77777777" w:rsidR="00CB39D1" w:rsidRPr="00CB39D1" w:rsidRDefault="00CB39D1" w:rsidP="00CB39D1">
            <w:pPr>
              <w:spacing w:before="0" w:after="0" w:line="240" w:lineRule="auto"/>
              <w:jc w:val="center"/>
              <w:rPr>
                <w:i/>
                <w:color w:val="A5A6AC" w:themeColor="accent3" w:themeTint="99"/>
                <w:sz w:val="18"/>
                <w:szCs w:val="18"/>
              </w:rPr>
            </w:pPr>
          </w:p>
        </w:tc>
        <w:tc>
          <w:tcPr>
            <w:tcW w:w="992" w:type="dxa"/>
            <w:vAlign w:val="center"/>
            <w:hideMark/>
          </w:tcPr>
          <w:p w14:paraId="10E100CC" w14:textId="77777777" w:rsidR="00CB39D1" w:rsidRPr="00CB39D1" w:rsidRDefault="00CB39D1" w:rsidP="00CB39D1">
            <w:pPr>
              <w:spacing w:before="0" w:after="0" w:line="240" w:lineRule="auto"/>
              <w:jc w:val="center"/>
              <w:rPr>
                <w:i/>
                <w:color w:val="A5A6AC" w:themeColor="accent3" w:themeTint="99"/>
                <w:sz w:val="18"/>
                <w:szCs w:val="18"/>
              </w:rPr>
            </w:pPr>
          </w:p>
        </w:tc>
        <w:tc>
          <w:tcPr>
            <w:tcW w:w="992" w:type="dxa"/>
          </w:tcPr>
          <w:p w14:paraId="22E850AD" w14:textId="77777777" w:rsidR="00CB39D1" w:rsidRPr="00CB39D1" w:rsidRDefault="00CB39D1" w:rsidP="00CB39D1">
            <w:pPr>
              <w:spacing w:before="0" w:after="0" w:line="240" w:lineRule="auto"/>
              <w:jc w:val="center"/>
              <w:rPr>
                <w:i/>
                <w:color w:val="A5A6AC" w:themeColor="accent3" w:themeTint="99"/>
                <w:sz w:val="18"/>
                <w:szCs w:val="18"/>
              </w:rPr>
            </w:pPr>
          </w:p>
        </w:tc>
      </w:tr>
      <w:tr w:rsidR="00CB39D1" w:rsidRPr="00CB39D1" w14:paraId="6D42AB35" w14:textId="77777777" w:rsidTr="008D4E1E">
        <w:trPr>
          <w:trHeight w:val="317"/>
        </w:trPr>
        <w:tc>
          <w:tcPr>
            <w:tcW w:w="1188" w:type="dxa"/>
            <w:vMerge w:val="restart"/>
            <w:vAlign w:val="center"/>
            <w:hideMark/>
          </w:tcPr>
          <w:p w14:paraId="53322577" w14:textId="77777777" w:rsidR="00CB39D1" w:rsidRPr="00CB39D1" w:rsidRDefault="00CB39D1" w:rsidP="00CB39D1">
            <w:pPr>
              <w:spacing w:before="0" w:after="0" w:line="240" w:lineRule="auto"/>
              <w:jc w:val="center"/>
              <w:rPr>
                <w:sz w:val="18"/>
                <w:szCs w:val="18"/>
              </w:rPr>
            </w:pPr>
            <w:r w:rsidRPr="00CB39D1">
              <w:rPr>
                <w:sz w:val="18"/>
                <w:szCs w:val="18"/>
              </w:rPr>
              <w:t>2024</w:t>
            </w:r>
          </w:p>
        </w:tc>
        <w:tc>
          <w:tcPr>
            <w:tcW w:w="2915" w:type="dxa"/>
            <w:noWrap/>
            <w:vAlign w:val="center"/>
            <w:hideMark/>
          </w:tcPr>
          <w:p w14:paraId="45D4258A" w14:textId="77777777" w:rsidR="00CB39D1" w:rsidRPr="00CB39D1" w:rsidRDefault="00CB39D1" w:rsidP="00CB39D1">
            <w:pPr>
              <w:spacing w:before="0" w:after="0" w:line="240" w:lineRule="auto"/>
              <w:rPr>
                <w:sz w:val="18"/>
                <w:szCs w:val="18"/>
              </w:rPr>
            </w:pPr>
            <w:r w:rsidRPr="00CB39D1">
              <w:rPr>
                <w:sz w:val="18"/>
                <w:szCs w:val="18"/>
              </w:rPr>
              <w:t>ՄԺԾԾ 2025-2027</w:t>
            </w:r>
          </w:p>
        </w:tc>
        <w:tc>
          <w:tcPr>
            <w:tcW w:w="846" w:type="dxa"/>
            <w:vAlign w:val="center"/>
            <w:hideMark/>
          </w:tcPr>
          <w:p w14:paraId="76B0FAC4" w14:textId="77777777" w:rsidR="00CB39D1" w:rsidRPr="00CB39D1" w:rsidRDefault="00CB39D1" w:rsidP="00CB39D1">
            <w:pPr>
              <w:spacing w:before="0" w:after="0" w:line="240" w:lineRule="auto"/>
              <w:jc w:val="center"/>
              <w:rPr>
                <w:sz w:val="18"/>
                <w:szCs w:val="18"/>
              </w:rPr>
            </w:pPr>
          </w:p>
        </w:tc>
        <w:tc>
          <w:tcPr>
            <w:tcW w:w="850" w:type="dxa"/>
            <w:vAlign w:val="center"/>
            <w:hideMark/>
          </w:tcPr>
          <w:p w14:paraId="7E913706" w14:textId="77777777" w:rsidR="00CB39D1" w:rsidRPr="00CB39D1" w:rsidRDefault="00CB39D1" w:rsidP="00CB39D1">
            <w:pPr>
              <w:spacing w:before="0" w:after="0" w:line="240" w:lineRule="auto"/>
              <w:jc w:val="center"/>
              <w:rPr>
                <w:sz w:val="18"/>
                <w:szCs w:val="18"/>
              </w:rPr>
            </w:pPr>
            <w:r w:rsidRPr="00CB39D1">
              <w:rPr>
                <w:sz w:val="18"/>
                <w:szCs w:val="18"/>
              </w:rPr>
              <w:t>2,496.9</w:t>
            </w:r>
          </w:p>
        </w:tc>
        <w:tc>
          <w:tcPr>
            <w:tcW w:w="857" w:type="dxa"/>
            <w:vAlign w:val="center"/>
            <w:hideMark/>
          </w:tcPr>
          <w:p w14:paraId="23F8CAE8" w14:textId="77777777" w:rsidR="00CB39D1" w:rsidRPr="00CB39D1" w:rsidRDefault="00CB39D1" w:rsidP="00CB39D1">
            <w:pPr>
              <w:spacing w:before="0" w:after="0" w:line="240" w:lineRule="auto"/>
              <w:jc w:val="center"/>
              <w:rPr>
                <w:sz w:val="18"/>
                <w:szCs w:val="18"/>
              </w:rPr>
            </w:pPr>
            <w:r w:rsidRPr="00CB39D1">
              <w:rPr>
                <w:sz w:val="18"/>
                <w:szCs w:val="18"/>
              </w:rPr>
              <w:t>2,812.3</w:t>
            </w:r>
          </w:p>
        </w:tc>
        <w:tc>
          <w:tcPr>
            <w:tcW w:w="990" w:type="dxa"/>
            <w:vAlign w:val="center"/>
            <w:hideMark/>
          </w:tcPr>
          <w:p w14:paraId="1A8CE526" w14:textId="77777777" w:rsidR="00CB39D1" w:rsidRPr="00CB39D1" w:rsidRDefault="00CB39D1" w:rsidP="00CB39D1">
            <w:pPr>
              <w:spacing w:before="0" w:after="0" w:line="240" w:lineRule="auto"/>
              <w:jc w:val="center"/>
              <w:rPr>
                <w:sz w:val="18"/>
                <w:szCs w:val="18"/>
              </w:rPr>
            </w:pPr>
            <w:r w:rsidRPr="00CB39D1">
              <w:rPr>
                <w:sz w:val="18"/>
                <w:szCs w:val="18"/>
              </w:rPr>
              <w:t>3,182.0</w:t>
            </w:r>
          </w:p>
        </w:tc>
        <w:tc>
          <w:tcPr>
            <w:tcW w:w="992" w:type="dxa"/>
            <w:vAlign w:val="center"/>
            <w:hideMark/>
          </w:tcPr>
          <w:p w14:paraId="2A3FA57E" w14:textId="77777777" w:rsidR="00CB39D1" w:rsidRPr="00CB39D1" w:rsidRDefault="00CB39D1" w:rsidP="00CB39D1">
            <w:pPr>
              <w:spacing w:before="0" w:after="0" w:line="240" w:lineRule="auto"/>
              <w:jc w:val="center"/>
              <w:rPr>
                <w:sz w:val="18"/>
                <w:szCs w:val="18"/>
              </w:rPr>
            </w:pPr>
            <w:r w:rsidRPr="00CB39D1">
              <w:rPr>
                <w:sz w:val="18"/>
                <w:szCs w:val="18"/>
              </w:rPr>
              <w:t>3,541.2</w:t>
            </w:r>
          </w:p>
        </w:tc>
        <w:tc>
          <w:tcPr>
            <w:tcW w:w="992" w:type="dxa"/>
          </w:tcPr>
          <w:p w14:paraId="66BC9F93" w14:textId="77777777" w:rsidR="00CB39D1" w:rsidRPr="00CB39D1" w:rsidRDefault="00CB39D1" w:rsidP="00CB39D1">
            <w:pPr>
              <w:spacing w:before="0" w:after="0" w:line="240" w:lineRule="auto"/>
              <w:jc w:val="center"/>
              <w:rPr>
                <w:sz w:val="18"/>
                <w:szCs w:val="18"/>
              </w:rPr>
            </w:pPr>
          </w:p>
        </w:tc>
      </w:tr>
      <w:tr w:rsidR="00CB39D1" w:rsidRPr="00CB39D1" w14:paraId="6E168A5A" w14:textId="77777777" w:rsidTr="008D4E1E">
        <w:trPr>
          <w:trHeight w:val="317"/>
        </w:trPr>
        <w:tc>
          <w:tcPr>
            <w:tcW w:w="1188" w:type="dxa"/>
            <w:vMerge/>
            <w:vAlign w:val="center"/>
            <w:hideMark/>
          </w:tcPr>
          <w:p w14:paraId="31AF042B" w14:textId="77777777" w:rsidR="00CB39D1" w:rsidRPr="00CB39D1" w:rsidRDefault="00CB39D1" w:rsidP="00CB39D1">
            <w:pPr>
              <w:spacing w:before="0" w:after="0" w:line="240" w:lineRule="auto"/>
              <w:jc w:val="center"/>
              <w:rPr>
                <w:sz w:val="18"/>
                <w:szCs w:val="18"/>
                <w:lang w:val="ru-RU" w:eastAsia="ru-RU"/>
              </w:rPr>
            </w:pPr>
          </w:p>
        </w:tc>
        <w:tc>
          <w:tcPr>
            <w:tcW w:w="2915" w:type="dxa"/>
            <w:vAlign w:val="center"/>
            <w:hideMark/>
          </w:tcPr>
          <w:p w14:paraId="223FBF76" w14:textId="77777777" w:rsidR="00CB39D1" w:rsidRPr="00CB39D1" w:rsidRDefault="00CB39D1" w:rsidP="00CB39D1">
            <w:pPr>
              <w:spacing w:before="0" w:after="0" w:line="240" w:lineRule="auto"/>
              <w:jc w:val="both"/>
              <w:rPr>
                <w:i/>
                <w:color w:val="A5A6AC" w:themeColor="accent3" w:themeTint="99"/>
                <w:sz w:val="18"/>
                <w:szCs w:val="18"/>
              </w:rPr>
            </w:pPr>
            <w:r w:rsidRPr="00CB39D1">
              <w:rPr>
                <w:i/>
                <w:color w:val="A5A6AC" w:themeColor="accent3" w:themeTint="99"/>
                <w:sz w:val="18"/>
                <w:szCs w:val="18"/>
              </w:rPr>
              <w:t>%-ով՝ ՀՆԱ-ի նկատմամբ</w:t>
            </w:r>
          </w:p>
        </w:tc>
        <w:tc>
          <w:tcPr>
            <w:tcW w:w="846" w:type="dxa"/>
            <w:vAlign w:val="center"/>
            <w:hideMark/>
          </w:tcPr>
          <w:p w14:paraId="02A0E38B" w14:textId="77777777" w:rsidR="00CB39D1" w:rsidRPr="00CB39D1" w:rsidRDefault="00CB39D1" w:rsidP="00CB39D1">
            <w:pPr>
              <w:spacing w:before="0" w:after="0" w:line="240" w:lineRule="auto"/>
              <w:jc w:val="center"/>
              <w:rPr>
                <w:i/>
                <w:color w:val="A5A6AC" w:themeColor="accent3" w:themeTint="99"/>
                <w:sz w:val="18"/>
                <w:szCs w:val="18"/>
              </w:rPr>
            </w:pPr>
          </w:p>
        </w:tc>
        <w:tc>
          <w:tcPr>
            <w:tcW w:w="850" w:type="dxa"/>
            <w:vAlign w:val="center"/>
            <w:hideMark/>
          </w:tcPr>
          <w:p w14:paraId="7145FE85" w14:textId="77777777" w:rsidR="00CB39D1" w:rsidRPr="00CB39D1" w:rsidRDefault="00CB39D1" w:rsidP="00CB39D1">
            <w:pPr>
              <w:spacing w:before="0" w:after="0" w:line="240" w:lineRule="auto"/>
              <w:jc w:val="center"/>
              <w:rPr>
                <w:i/>
                <w:color w:val="A5A6AC" w:themeColor="accent3" w:themeTint="99"/>
                <w:sz w:val="18"/>
                <w:szCs w:val="18"/>
              </w:rPr>
            </w:pPr>
            <w:r w:rsidRPr="00CB39D1">
              <w:rPr>
                <w:i/>
                <w:color w:val="A5A6AC" w:themeColor="accent3" w:themeTint="99"/>
                <w:sz w:val="18"/>
                <w:szCs w:val="18"/>
              </w:rPr>
              <w:t>24.39%</w:t>
            </w:r>
          </w:p>
        </w:tc>
        <w:tc>
          <w:tcPr>
            <w:tcW w:w="857" w:type="dxa"/>
            <w:vAlign w:val="center"/>
            <w:hideMark/>
          </w:tcPr>
          <w:p w14:paraId="254228E9" w14:textId="77777777" w:rsidR="00CB39D1" w:rsidRPr="00CB39D1" w:rsidRDefault="00CB39D1" w:rsidP="00CB39D1">
            <w:pPr>
              <w:spacing w:before="0" w:after="0" w:line="240" w:lineRule="auto"/>
              <w:jc w:val="center"/>
              <w:rPr>
                <w:i/>
                <w:color w:val="A5A6AC" w:themeColor="accent3" w:themeTint="99"/>
                <w:sz w:val="18"/>
                <w:szCs w:val="18"/>
              </w:rPr>
            </w:pPr>
            <w:r w:rsidRPr="00CB39D1">
              <w:rPr>
                <w:i/>
                <w:color w:val="A5A6AC" w:themeColor="accent3" w:themeTint="99"/>
                <w:sz w:val="18"/>
                <w:szCs w:val="18"/>
              </w:rPr>
              <w:t>25.12%</w:t>
            </w:r>
          </w:p>
        </w:tc>
        <w:tc>
          <w:tcPr>
            <w:tcW w:w="990" w:type="dxa"/>
            <w:vAlign w:val="center"/>
            <w:hideMark/>
          </w:tcPr>
          <w:p w14:paraId="76282F1C" w14:textId="77777777" w:rsidR="00CB39D1" w:rsidRPr="00CB39D1" w:rsidRDefault="00CB39D1" w:rsidP="00CB39D1">
            <w:pPr>
              <w:spacing w:before="0" w:after="0" w:line="240" w:lineRule="auto"/>
              <w:jc w:val="center"/>
              <w:rPr>
                <w:i/>
                <w:color w:val="A5A6AC" w:themeColor="accent3" w:themeTint="99"/>
                <w:sz w:val="18"/>
                <w:szCs w:val="18"/>
              </w:rPr>
            </w:pPr>
            <w:r w:rsidRPr="00CB39D1">
              <w:rPr>
                <w:i/>
                <w:color w:val="A5A6AC" w:themeColor="accent3" w:themeTint="99"/>
                <w:sz w:val="18"/>
                <w:szCs w:val="18"/>
              </w:rPr>
              <w:t>25.85%</w:t>
            </w:r>
          </w:p>
        </w:tc>
        <w:tc>
          <w:tcPr>
            <w:tcW w:w="992" w:type="dxa"/>
            <w:vAlign w:val="center"/>
            <w:hideMark/>
          </w:tcPr>
          <w:p w14:paraId="7EA43569" w14:textId="77777777" w:rsidR="00CB39D1" w:rsidRPr="00CB39D1" w:rsidRDefault="00CB39D1" w:rsidP="00CB39D1">
            <w:pPr>
              <w:spacing w:before="0" w:after="0" w:line="240" w:lineRule="auto"/>
              <w:jc w:val="center"/>
              <w:rPr>
                <w:i/>
                <w:color w:val="A5A6AC" w:themeColor="accent3" w:themeTint="99"/>
                <w:sz w:val="18"/>
                <w:szCs w:val="18"/>
              </w:rPr>
            </w:pPr>
            <w:r w:rsidRPr="00CB39D1">
              <w:rPr>
                <w:i/>
                <w:color w:val="A5A6AC" w:themeColor="accent3" w:themeTint="99"/>
                <w:sz w:val="18"/>
                <w:szCs w:val="18"/>
              </w:rPr>
              <w:t>26.22%</w:t>
            </w:r>
          </w:p>
        </w:tc>
        <w:tc>
          <w:tcPr>
            <w:tcW w:w="992" w:type="dxa"/>
          </w:tcPr>
          <w:p w14:paraId="7CA2013D" w14:textId="77777777" w:rsidR="00CB39D1" w:rsidRPr="00CB39D1" w:rsidRDefault="00CB39D1" w:rsidP="00CB39D1">
            <w:pPr>
              <w:spacing w:before="0" w:after="0" w:line="240" w:lineRule="auto"/>
              <w:jc w:val="center"/>
              <w:rPr>
                <w:i/>
                <w:color w:val="A5A6AC" w:themeColor="accent3" w:themeTint="99"/>
                <w:sz w:val="18"/>
                <w:szCs w:val="18"/>
              </w:rPr>
            </w:pPr>
          </w:p>
        </w:tc>
      </w:tr>
      <w:tr w:rsidR="00CB39D1" w:rsidRPr="00CB39D1" w14:paraId="4332E303" w14:textId="77777777" w:rsidTr="008D4E1E">
        <w:trPr>
          <w:trHeight w:val="317"/>
        </w:trPr>
        <w:tc>
          <w:tcPr>
            <w:tcW w:w="1188" w:type="dxa"/>
            <w:vMerge/>
            <w:vAlign w:val="center"/>
            <w:hideMark/>
          </w:tcPr>
          <w:p w14:paraId="71C68F03" w14:textId="77777777" w:rsidR="00CB39D1" w:rsidRPr="00CB39D1" w:rsidRDefault="00CB39D1" w:rsidP="00CB39D1">
            <w:pPr>
              <w:spacing w:before="0" w:after="0" w:line="240" w:lineRule="auto"/>
              <w:jc w:val="center"/>
              <w:rPr>
                <w:sz w:val="18"/>
                <w:szCs w:val="18"/>
                <w:lang w:val="ru-RU" w:eastAsia="ru-RU"/>
              </w:rPr>
            </w:pPr>
          </w:p>
        </w:tc>
        <w:tc>
          <w:tcPr>
            <w:tcW w:w="2915" w:type="dxa"/>
            <w:noWrap/>
            <w:vAlign w:val="center"/>
            <w:hideMark/>
          </w:tcPr>
          <w:p w14:paraId="69694AB7" w14:textId="77777777" w:rsidR="00CB39D1" w:rsidRPr="00CB39D1" w:rsidRDefault="00CB39D1" w:rsidP="00CB39D1">
            <w:pPr>
              <w:spacing w:before="0" w:after="0" w:line="240" w:lineRule="auto"/>
              <w:rPr>
                <w:sz w:val="18"/>
                <w:szCs w:val="18"/>
              </w:rPr>
            </w:pPr>
            <w:r w:rsidRPr="00CB39D1">
              <w:rPr>
                <w:sz w:val="18"/>
                <w:szCs w:val="18"/>
              </w:rPr>
              <w:t>2025թ. Պետական բյուջե</w:t>
            </w:r>
          </w:p>
        </w:tc>
        <w:tc>
          <w:tcPr>
            <w:tcW w:w="846" w:type="dxa"/>
            <w:vAlign w:val="center"/>
            <w:hideMark/>
          </w:tcPr>
          <w:p w14:paraId="07644C97" w14:textId="77777777" w:rsidR="00CB39D1" w:rsidRPr="00CB39D1" w:rsidRDefault="00CB39D1" w:rsidP="00CB39D1">
            <w:pPr>
              <w:spacing w:before="0" w:after="0" w:line="240" w:lineRule="auto"/>
              <w:jc w:val="center"/>
              <w:rPr>
                <w:sz w:val="18"/>
                <w:szCs w:val="18"/>
              </w:rPr>
            </w:pPr>
          </w:p>
        </w:tc>
        <w:tc>
          <w:tcPr>
            <w:tcW w:w="850" w:type="dxa"/>
            <w:vAlign w:val="center"/>
            <w:hideMark/>
          </w:tcPr>
          <w:p w14:paraId="2DDAE4DE" w14:textId="77777777" w:rsidR="00CB39D1" w:rsidRPr="00CB39D1" w:rsidRDefault="00CB39D1" w:rsidP="00CB39D1">
            <w:pPr>
              <w:spacing w:before="0" w:after="0" w:line="240" w:lineRule="auto"/>
              <w:jc w:val="center"/>
              <w:rPr>
                <w:sz w:val="18"/>
                <w:szCs w:val="18"/>
              </w:rPr>
            </w:pPr>
            <w:r w:rsidRPr="00CB39D1">
              <w:rPr>
                <w:sz w:val="18"/>
                <w:szCs w:val="18"/>
              </w:rPr>
              <w:t>2,455.8</w:t>
            </w:r>
          </w:p>
        </w:tc>
        <w:tc>
          <w:tcPr>
            <w:tcW w:w="857" w:type="dxa"/>
            <w:vAlign w:val="center"/>
            <w:hideMark/>
          </w:tcPr>
          <w:p w14:paraId="418AF256" w14:textId="77777777" w:rsidR="00CB39D1" w:rsidRPr="00CB39D1" w:rsidRDefault="00CB39D1" w:rsidP="00CB39D1">
            <w:pPr>
              <w:spacing w:before="0" w:after="0" w:line="240" w:lineRule="auto"/>
              <w:jc w:val="center"/>
              <w:rPr>
                <w:sz w:val="18"/>
                <w:szCs w:val="18"/>
              </w:rPr>
            </w:pPr>
            <w:r w:rsidRPr="00CB39D1">
              <w:rPr>
                <w:sz w:val="18"/>
                <w:szCs w:val="18"/>
              </w:rPr>
              <w:t>2,720.3</w:t>
            </w:r>
          </w:p>
        </w:tc>
        <w:tc>
          <w:tcPr>
            <w:tcW w:w="990" w:type="dxa"/>
            <w:vAlign w:val="center"/>
            <w:hideMark/>
          </w:tcPr>
          <w:p w14:paraId="0A7FB758" w14:textId="77777777" w:rsidR="00CB39D1" w:rsidRPr="00CB39D1" w:rsidRDefault="00CB39D1" w:rsidP="00CB39D1">
            <w:pPr>
              <w:spacing w:before="0" w:after="0" w:line="240" w:lineRule="auto"/>
              <w:jc w:val="center"/>
              <w:rPr>
                <w:sz w:val="18"/>
                <w:szCs w:val="18"/>
              </w:rPr>
            </w:pPr>
            <w:r w:rsidRPr="00CB39D1">
              <w:rPr>
                <w:sz w:val="18"/>
                <w:szCs w:val="18"/>
              </w:rPr>
              <w:t>3,047.0</w:t>
            </w:r>
          </w:p>
        </w:tc>
        <w:tc>
          <w:tcPr>
            <w:tcW w:w="992" w:type="dxa"/>
            <w:vAlign w:val="center"/>
            <w:hideMark/>
          </w:tcPr>
          <w:p w14:paraId="60A9663C" w14:textId="77777777" w:rsidR="00CB39D1" w:rsidRPr="00CB39D1" w:rsidRDefault="00CB39D1" w:rsidP="00CB39D1">
            <w:pPr>
              <w:spacing w:before="0" w:after="0" w:line="240" w:lineRule="auto"/>
              <w:jc w:val="center"/>
              <w:rPr>
                <w:sz w:val="18"/>
                <w:szCs w:val="18"/>
              </w:rPr>
            </w:pPr>
            <w:r w:rsidRPr="00CB39D1">
              <w:rPr>
                <w:sz w:val="18"/>
                <w:szCs w:val="18"/>
              </w:rPr>
              <w:t>3,385.8</w:t>
            </w:r>
          </w:p>
        </w:tc>
        <w:tc>
          <w:tcPr>
            <w:tcW w:w="992" w:type="dxa"/>
          </w:tcPr>
          <w:p w14:paraId="5DC3FFA2" w14:textId="77777777" w:rsidR="00CB39D1" w:rsidRPr="00CB39D1" w:rsidRDefault="00CB39D1" w:rsidP="00CB39D1">
            <w:pPr>
              <w:spacing w:before="0" w:after="0" w:line="240" w:lineRule="auto"/>
              <w:jc w:val="center"/>
              <w:rPr>
                <w:sz w:val="18"/>
                <w:szCs w:val="18"/>
              </w:rPr>
            </w:pPr>
          </w:p>
        </w:tc>
      </w:tr>
      <w:tr w:rsidR="00CB39D1" w:rsidRPr="00CB39D1" w14:paraId="4557D8D3" w14:textId="77777777" w:rsidTr="008D4E1E">
        <w:trPr>
          <w:trHeight w:val="317"/>
        </w:trPr>
        <w:tc>
          <w:tcPr>
            <w:tcW w:w="1188" w:type="dxa"/>
            <w:vMerge/>
            <w:vAlign w:val="center"/>
            <w:hideMark/>
          </w:tcPr>
          <w:p w14:paraId="123BB8EB" w14:textId="77777777" w:rsidR="00CB39D1" w:rsidRPr="00CB39D1" w:rsidRDefault="00CB39D1" w:rsidP="00CB39D1">
            <w:pPr>
              <w:spacing w:before="0" w:after="0" w:line="240" w:lineRule="auto"/>
              <w:jc w:val="center"/>
              <w:rPr>
                <w:sz w:val="18"/>
                <w:szCs w:val="18"/>
                <w:lang w:eastAsia="ru-RU"/>
              </w:rPr>
            </w:pPr>
          </w:p>
        </w:tc>
        <w:tc>
          <w:tcPr>
            <w:tcW w:w="2915" w:type="dxa"/>
            <w:vAlign w:val="center"/>
            <w:hideMark/>
          </w:tcPr>
          <w:p w14:paraId="1831C625" w14:textId="77777777" w:rsidR="00CB39D1" w:rsidRPr="00CB39D1" w:rsidRDefault="00CB39D1" w:rsidP="00CB39D1">
            <w:pPr>
              <w:spacing w:before="0" w:after="0" w:line="240" w:lineRule="auto"/>
              <w:jc w:val="both"/>
              <w:rPr>
                <w:i/>
                <w:color w:val="A5A6AC" w:themeColor="accent3" w:themeTint="99"/>
                <w:sz w:val="18"/>
                <w:szCs w:val="18"/>
              </w:rPr>
            </w:pPr>
            <w:r w:rsidRPr="00CB39D1">
              <w:rPr>
                <w:i/>
                <w:color w:val="A5A6AC" w:themeColor="accent3" w:themeTint="99"/>
                <w:sz w:val="18"/>
                <w:szCs w:val="18"/>
              </w:rPr>
              <w:t>%-ով՝ ՀՆԱ-ի նկատմամբ</w:t>
            </w:r>
          </w:p>
        </w:tc>
        <w:tc>
          <w:tcPr>
            <w:tcW w:w="846" w:type="dxa"/>
            <w:vAlign w:val="center"/>
            <w:hideMark/>
          </w:tcPr>
          <w:p w14:paraId="488B4AD0" w14:textId="77777777" w:rsidR="00CB39D1" w:rsidRPr="00CB39D1" w:rsidRDefault="00CB39D1" w:rsidP="00CB39D1">
            <w:pPr>
              <w:spacing w:before="0" w:after="0" w:line="240" w:lineRule="auto"/>
              <w:jc w:val="center"/>
              <w:rPr>
                <w:i/>
                <w:color w:val="A5A6AC" w:themeColor="accent3" w:themeTint="99"/>
                <w:sz w:val="18"/>
                <w:szCs w:val="18"/>
              </w:rPr>
            </w:pPr>
          </w:p>
        </w:tc>
        <w:tc>
          <w:tcPr>
            <w:tcW w:w="850" w:type="dxa"/>
            <w:vAlign w:val="center"/>
            <w:hideMark/>
          </w:tcPr>
          <w:p w14:paraId="22C1F172" w14:textId="77777777" w:rsidR="00CB39D1" w:rsidRPr="00CB39D1" w:rsidRDefault="00CB39D1" w:rsidP="00CB39D1">
            <w:pPr>
              <w:spacing w:before="0" w:after="0" w:line="240" w:lineRule="auto"/>
              <w:jc w:val="center"/>
              <w:rPr>
                <w:i/>
                <w:color w:val="A5A6AC" w:themeColor="accent3" w:themeTint="99"/>
                <w:sz w:val="18"/>
                <w:szCs w:val="18"/>
              </w:rPr>
            </w:pPr>
            <w:r w:rsidRPr="00CB39D1">
              <w:rPr>
                <w:i/>
                <w:color w:val="A5A6AC" w:themeColor="accent3" w:themeTint="99"/>
                <w:sz w:val="18"/>
                <w:szCs w:val="18"/>
              </w:rPr>
              <w:t>24.29%</w:t>
            </w:r>
          </w:p>
        </w:tc>
        <w:tc>
          <w:tcPr>
            <w:tcW w:w="857" w:type="dxa"/>
            <w:tcBorders>
              <w:bottom w:val="single" w:sz="8" w:space="0" w:color="E1E1E3" w:themeColor="accent3" w:themeTint="33"/>
            </w:tcBorders>
            <w:vAlign w:val="center"/>
            <w:hideMark/>
          </w:tcPr>
          <w:p w14:paraId="05585AC4" w14:textId="77777777" w:rsidR="00CB39D1" w:rsidRPr="00CB39D1" w:rsidRDefault="00CB39D1" w:rsidP="00CB39D1">
            <w:pPr>
              <w:spacing w:before="0" w:after="0" w:line="240" w:lineRule="auto"/>
              <w:jc w:val="center"/>
              <w:rPr>
                <w:i/>
                <w:color w:val="A5A6AC" w:themeColor="accent3" w:themeTint="99"/>
                <w:sz w:val="18"/>
                <w:szCs w:val="18"/>
              </w:rPr>
            </w:pPr>
            <w:r w:rsidRPr="00CB39D1">
              <w:rPr>
                <w:i/>
                <w:color w:val="A5A6AC" w:themeColor="accent3" w:themeTint="99"/>
                <w:sz w:val="18"/>
                <w:szCs w:val="18"/>
              </w:rPr>
              <w:t>24.98%</w:t>
            </w:r>
          </w:p>
        </w:tc>
        <w:tc>
          <w:tcPr>
            <w:tcW w:w="990" w:type="dxa"/>
            <w:tcBorders>
              <w:bottom w:val="single" w:sz="8" w:space="0" w:color="E1E1E3" w:themeColor="accent3" w:themeTint="33"/>
            </w:tcBorders>
            <w:vAlign w:val="center"/>
            <w:hideMark/>
          </w:tcPr>
          <w:p w14:paraId="299EB518" w14:textId="77777777" w:rsidR="00CB39D1" w:rsidRPr="00CB39D1" w:rsidRDefault="00CB39D1" w:rsidP="00CB39D1">
            <w:pPr>
              <w:spacing w:before="0" w:after="0" w:line="240" w:lineRule="auto"/>
              <w:jc w:val="center"/>
              <w:rPr>
                <w:i/>
                <w:color w:val="A5A6AC" w:themeColor="accent3" w:themeTint="99"/>
                <w:sz w:val="18"/>
                <w:szCs w:val="18"/>
              </w:rPr>
            </w:pPr>
            <w:r w:rsidRPr="00CB39D1">
              <w:rPr>
                <w:i/>
                <w:color w:val="A5A6AC" w:themeColor="accent3" w:themeTint="99"/>
                <w:sz w:val="18"/>
                <w:szCs w:val="18"/>
              </w:rPr>
              <w:t>25.57%</w:t>
            </w:r>
          </w:p>
        </w:tc>
        <w:tc>
          <w:tcPr>
            <w:tcW w:w="992" w:type="dxa"/>
            <w:tcBorders>
              <w:bottom w:val="single" w:sz="8" w:space="0" w:color="E1E1E3" w:themeColor="accent3" w:themeTint="33"/>
            </w:tcBorders>
            <w:vAlign w:val="center"/>
            <w:hideMark/>
          </w:tcPr>
          <w:p w14:paraId="489633C8" w14:textId="77777777" w:rsidR="00CB39D1" w:rsidRPr="00CB39D1" w:rsidRDefault="00CB39D1" w:rsidP="00CB39D1">
            <w:pPr>
              <w:spacing w:before="0" w:after="0" w:line="240" w:lineRule="auto"/>
              <w:jc w:val="center"/>
              <w:rPr>
                <w:i/>
                <w:color w:val="A5A6AC" w:themeColor="accent3" w:themeTint="99"/>
                <w:sz w:val="18"/>
                <w:szCs w:val="18"/>
              </w:rPr>
            </w:pPr>
            <w:r w:rsidRPr="00CB39D1">
              <w:rPr>
                <w:i/>
                <w:color w:val="A5A6AC" w:themeColor="accent3" w:themeTint="99"/>
                <w:sz w:val="18"/>
                <w:szCs w:val="18"/>
              </w:rPr>
              <w:t>25.97%</w:t>
            </w:r>
          </w:p>
        </w:tc>
        <w:tc>
          <w:tcPr>
            <w:tcW w:w="992" w:type="dxa"/>
            <w:tcBorders>
              <w:bottom w:val="single" w:sz="8" w:space="0" w:color="E1E1E3" w:themeColor="accent3" w:themeTint="33"/>
            </w:tcBorders>
          </w:tcPr>
          <w:p w14:paraId="454D663C" w14:textId="77777777" w:rsidR="00CB39D1" w:rsidRPr="00CB39D1" w:rsidRDefault="00CB39D1" w:rsidP="00CB39D1">
            <w:pPr>
              <w:spacing w:before="0" w:after="0" w:line="240" w:lineRule="auto"/>
              <w:jc w:val="center"/>
              <w:rPr>
                <w:i/>
                <w:color w:val="A5A6AC" w:themeColor="accent3" w:themeTint="99"/>
                <w:sz w:val="18"/>
                <w:szCs w:val="18"/>
              </w:rPr>
            </w:pPr>
          </w:p>
        </w:tc>
      </w:tr>
      <w:tr w:rsidR="00CB39D1" w:rsidRPr="00CB39D1" w14:paraId="2D1DF840" w14:textId="77777777" w:rsidTr="008D4E1E">
        <w:trPr>
          <w:trHeight w:val="317"/>
        </w:trPr>
        <w:tc>
          <w:tcPr>
            <w:tcW w:w="1188" w:type="dxa"/>
            <w:vMerge w:val="restart"/>
            <w:vAlign w:val="center"/>
          </w:tcPr>
          <w:p w14:paraId="5625E600" w14:textId="77777777" w:rsidR="00CB39D1" w:rsidRPr="00CB39D1" w:rsidRDefault="00CB39D1" w:rsidP="00CB39D1">
            <w:pPr>
              <w:spacing w:before="0" w:after="0" w:line="240" w:lineRule="auto"/>
              <w:jc w:val="center"/>
              <w:rPr>
                <w:sz w:val="18"/>
                <w:szCs w:val="18"/>
                <w:lang w:eastAsia="ru-RU"/>
              </w:rPr>
            </w:pPr>
            <w:r w:rsidRPr="00CB39D1">
              <w:rPr>
                <w:sz w:val="18"/>
                <w:szCs w:val="18"/>
              </w:rPr>
              <w:t>2025</w:t>
            </w:r>
          </w:p>
        </w:tc>
        <w:tc>
          <w:tcPr>
            <w:tcW w:w="2915" w:type="dxa"/>
            <w:vAlign w:val="center"/>
          </w:tcPr>
          <w:p w14:paraId="06F5758E" w14:textId="77777777" w:rsidR="00CB39D1" w:rsidRPr="00CB39D1" w:rsidRDefault="00CB39D1" w:rsidP="00CB39D1">
            <w:pPr>
              <w:spacing w:before="0" w:after="0" w:line="240" w:lineRule="auto"/>
              <w:jc w:val="both"/>
              <w:rPr>
                <w:i/>
                <w:color w:val="A5A6AC" w:themeColor="accent3" w:themeTint="99"/>
                <w:sz w:val="18"/>
                <w:szCs w:val="18"/>
              </w:rPr>
            </w:pPr>
            <w:r w:rsidRPr="00CB39D1">
              <w:rPr>
                <w:sz w:val="18"/>
                <w:szCs w:val="18"/>
              </w:rPr>
              <w:t xml:space="preserve"> ՄԺԾԾ 2026-2028</w:t>
            </w:r>
          </w:p>
        </w:tc>
        <w:tc>
          <w:tcPr>
            <w:tcW w:w="846" w:type="dxa"/>
            <w:vAlign w:val="center"/>
          </w:tcPr>
          <w:p w14:paraId="11AB7D1D" w14:textId="77777777" w:rsidR="00CB39D1" w:rsidRPr="00CB39D1" w:rsidRDefault="00CB39D1" w:rsidP="00CB39D1">
            <w:pPr>
              <w:spacing w:before="0" w:after="0" w:line="240" w:lineRule="auto"/>
              <w:jc w:val="center"/>
              <w:rPr>
                <w:i/>
                <w:color w:val="A5A6AC" w:themeColor="accent3" w:themeTint="99"/>
                <w:sz w:val="18"/>
                <w:szCs w:val="18"/>
              </w:rPr>
            </w:pPr>
          </w:p>
        </w:tc>
        <w:tc>
          <w:tcPr>
            <w:tcW w:w="850" w:type="dxa"/>
            <w:vAlign w:val="center"/>
          </w:tcPr>
          <w:p w14:paraId="7AEB81AC" w14:textId="77777777" w:rsidR="00CB39D1" w:rsidRPr="00CB39D1" w:rsidRDefault="00CB39D1" w:rsidP="00CB39D1">
            <w:pPr>
              <w:spacing w:before="0" w:after="0" w:line="240" w:lineRule="auto"/>
              <w:jc w:val="center"/>
              <w:rPr>
                <w:i/>
                <w:color w:val="A5A6AC" w:themeColor="accent3" w:themeTint="99"/>
                <w:sz w:val="18"/>
                <w:szCs w:val="18"/>
              </w:rPr>
            </w:pPr>
          </w:p>
        </w:tc>
        <w:tc>
          <w:tcPr>
            <w:tcW w:w="857" w:type="dxa"/>
            <w:tcBorders>
              <w:top w:val="single" w:sz="8" w:space="0" w:color="E1E1E3" w:themeColor="accent3" w:themeTint="33"/>
              <w:left w:val="nil"/>
              <w:bottom w:val="single" w:sz="8" w:space="0" w:color="E1E1E3" w:themeColor="accent3" w:themeTint="33"/>
              <w:right w:val="single" w:sz="8" w:space="0" w:color="E1E1E3" w:themeColor="accent3" w:themeTint="33"/>
            </w:tcBorders>
            <w:vAlign w:val="center"/>
          </w:tcPr>
          <w:p w14:paraId="37DA8FE8" w14:textId="77777777" w:rsidR="00CB39D1" w:rsidRPr="00CB39D1" w:rsidRDefault="00CB39D1" w:rsidP="00CB39D1">
            <w:pPr>
              <w:spacing w:before="0" w:after="0" w:line="240" w:lineRule="auto"/>
              <w:jc w:val="center"/>
              <w:rPr>
                <w:sz w:val="18"/>
                <w:szCs w:val="18"/>
              </w:rPr>
            </w:pPr>
            <w:r w:rsidRPr="00CB39D1">
              <w:rPr>
                <w:sz w:val="18"/>
                <w:szCs w:val="18"/>
              </w:rPr>
              <w:t>2,655.9</w:t>
            </w:r>
          </w:p>
        </w:tc>
        <w:tc>
          <w:tcPr>
            <w:tcW w:w="990" w:type="dxa"/>
            <w:tcBorders>
              <w:top w:val="single" w:sz="8" w:space="0" w:color="E1E1E3" w:themeColor="accent3" w:themeTint="33"/>
              <w:left w:val="single" w:sz="8" w:space="0" w:color="E1E1E3" w:themeColor="accent3" w:themeTint="33"/>
              <w:bottom w:val="single" w:sz="8" w:space="0" w:color="E1E1E3" w:themeColor="accent3" w:themeTint="33"/>
              <w:right w:val="single" w:sz="8" w:space="0" w:color="E1E1E3" w:themeColor="accent3" w:themeTint="33"/>
            </w:tcBorders>
            <w:vAlign w:val="center"/>
          </w:tcPr>
          <w:p w14:paraId="56CF8AD3" w14:textId="77777777" w:rsidR="00CB39D1" w:rsidRPr="00CB39D1" w:rsidRDefault="00CB39D1" w:rsidP="00CB39D1">
            <w:pPr>
              <w:spacing w:before="0" w:after="0" w:line="240" w:lineRule="auto"/>
              <w:jc w:val="center"/>
              <w:rPr>
                <w:sz w:val="18"/>
                <w:szCs w:val="18"/>
              </w:rPr>
            </w:pPr>
            <w:r w:rsidRPr="00CB39D1">
              <w:rPr>
                <w:sz w:val="18"/>
                <w:szCs w:val="18"/>
              </w:rPr>
              <w:t>2,934.9</w:t>
            </w:r>
          </w:p>
        </w:tc>
        <w:tc>
          <w:tcPr>
            <w:tcW w:w="992" w:type="dxa"/>
            <w:tcBorders>
              <w:top w:val="single" w:sz="8" w:space="0" w:color="E1E1E3" w:themeColor="accent3" w:themeTint="33"/>
              <w:left w:val="single" w:sz="8" w:space="0" w:color="E1E1E3" w:themeColor="accent3" w:themeTint="33"/>
              <w:bottom w:val="single" w:sz="8" w:space="0" w:color="E1E1E3" w:themeColor="accent3" w:themeTint="33"/>
              <w:right w:val="single" w:sz="8" w:space="0" w:color="E1E1E3" w:themeColor="accent3" w:themeTint="33"/>
            </w:tcBorders>
            <w:vAlign w:val="center"/>
          </w:tcPr>
          <w:p w14:paraId="730DAECB" w14:textId="77777777" w:rsidR="00CB39D1" w:rsidRPr="00CB39D1" w:rsidRDefault="00CB39D1" w:rsidP="00CB39D1">
            <w:pPr>
              <w:spacing w:before="0" w:after="0" w:line="240" w:lineRule="auto"/>
              <w:jc w:val="center"/>
              <w:rPr>
                <w:sz w:val="18"/>
                <w:szCs w:val="18"/>
              </w:rPr>
            </w:pPr>
            <w:r w:rsidRPr="00CB39D1">
              <w:rPr>
                <w:sz w:val="18"/>
                <w:szCs w:val="18"/>
              </w:rPr>
              <w:t>3,206.1</w:t>
            </w:r>
          </w:p>
        </w:tc>
        <w:tc>
          <w:tcPr>
            <w:tcW w:w="992" w:type="dxa"/>
            <w:tcBorders>
              <w:top w:val="single" w:sz="8" w:space="0" w:color="E1E1E3" w:themeColor="accent3" w:themeTint="33"/>
              <w:left w:val="single" w:sz="8" w:space="0" w:color="E1E1E3" w:themeColor="accent3" w:themeTint="33"/>
              <w:bottom w:val="single" w:sz="8" w:space="0" w:color="E1E1E3" w:themeColor="accent3" w:themeTint="33"/>
              <w:right w:val="single" w:sz="8" w:space="0" w:color="E1E1E3" w:themeColor="accent3" w:themeTint="33"/>
            </w:tcBorders>
            <w:vAlign w:val="center"/>
          </w:tcPr>
          <w:p w14:paraId="6EF7A265" w14:textId="77777777" w:rsidR="00CB39D1" w:rsidRPr="00CB39D1" w:rsidRDefault="00CB39D1" w:rsidP="00CB39D1">
            <w:pPr>
              <w:spacing w:before="0" w:after="0" w:line="240" w:lineRule="auto"/>
              <w:jc w:val="center"/>
              <w:rPr>
                <w:sz w:val="18"/>
                <w:szCs w:val="18"/>
              </w:rPr>
            </w:pPr>
            <w:r w:rsidRPr="00CB39D1">
              <w:rPr>
                <w:sz w:val="18"/>
                <w:szCs w:val="18"/>
              </w:rPr>
              <w:t>3,503.3</w:t>
            </w:r>
          </w:p>
        </w:tc>
      </w:tr>
      <w:tr w:rsidR="00CB39D1" w:rsidRPr="00CB39D1" w14:paraId="043127C2" w14:textId="77777777" w:rsidTr="008D4E1E">
        <w:trPr>
          <w:trHeight w:val="317"/>
        </w:trPr>
        <w:tc>
          <w:tcPr>
            <w:tcW w:w="1188" w:type="dxa"/>
            <w:vMerge/>
            <w:vAlign w:val="center"/>
          </w:tcPr>
          <w:p w14:paraId="71C976F4" w14:textId="77777777" w:rsidR="00CB39D1" w:rsidRPr="00CB39D1" w:rsidRDefault="00CB39D1" w:rsidP="00CB39D1">
            <w:pPr>
              <w:spacing w:before="0" w:after="0" w:line="240" w:lineRule="auto"/>
              <w:jc w:val="center"/>
              <w:rPr>
                <w:sz w:val="18"/>
                <w:szCs w:val="18"/>
                <w:lang w:eastAsia="ru-RU"/>
              </w:rPr>
            </w:pPr>
          </w:p>
        </w:tc>
        <w:tc>
          <w:tcPr>
            <w:tcW w:w="2915" w:type="dxa"/>
            <w:vAlign w:val="center"/>
          </w:tcPr>
          <w:p w14:paraId="58E56853" w14:textId="77777777" w:rsidR="00CB39D1" w:rsidRPr="00CB39D1" w:rsidRDefault="00CB39D1" w:rsidP="00CB39D1">
            <w:pPr>
              <w:spacing w:before="0" w:after="0" w:line="240" w:lineRule="auto"/>
              <w:jc w:val="both"/>
              <w:rPr>
                <w:i/>
                <w:color w:val="A5A6AC" w:themeColor="accent3" w:themeTint="99"/>
                <w:sz w:val="18"/>
                <w:szCs w:val="18"/>
              </w:rPr>
            </w:pPr>
            <w:r w:rsidRPr="00CB39D1">
              <w:rPr>
                <w:i/>
                <w:color w:val="A5A6AC" w:themeColor="accent3" w:themeTint="99"/>
                <w:sz w:val="18"/>
                <w:szCs w:val="18"/>
              </w:rPr>
              <w:t>%-ով՝ ՀՆԱ-ի նկատմամբ</w:t>
            </w:r>
          </w:p>
        </w:tc>
        <w:tc>
          <w:tcPr>
            <w:tcW w:w="846" w:type="dxa"/>
            <w:vAlign w:val="center"/>
          </w:tcPr>
          <w:p w14:paraId="73E01164" w14:textId="77777777" w:rsidR="00CB39D1" w:rsidRPr="00CB39D1" w:rsidRDefault="00CB39D1" w:rsidP="00CB39D1">
            <w:pPr>
              <w:spacing w:before="0" w:after="0" w:line="240" w:lineRule="auto"/>
              <w:jc w:val="center"/>
              <w:rPr>
                <w:i/>
                <w:color w:val="A5A6AC" w:themeColor="accent3" w:themeTint="99"/>
                <w:sz w:val="18"/>
                <w:szCs w:val="18"/>
              </w:rPr>
            </w:pPr>
          </w:p>
        </w:tc>
        <w:tc>
          <w:tcPr>
            <w:tcW w:w="850" w:type="dxa"/>
            <w:vAlign w:val="center"/>
          </w:tcPr>
          <w:p w14:paraId="76080FFA" w14:textId="77777777" w:rsidR="00CB39D1" w:rsidRPr="00CB39D1" w:rsidRDefault="00CB39D1" w:rsidP="00CB39D1">
            <w:pPr>
              <w:spacing w:before="0" w:after="0" w:line="240" w:lineRule="auto"/>
              <w:jc w:val="center"/>
              <w:rPr>
                <w:i/>
                <w:color w:val="A5A6AC" w:themeColor="accent3" w:themeTint="99"/>
                <w:sz w:val="18"/>
                <w:szCs w:val="18"/>
              </w:rPr>
            </w:pPr>
          </w:p>
        </w:tc>
        <w:tc>
          <w:tcPr>
            <w:tcW w:w="857" w:type="dxa"/>
            <w:tcBorders>
              <w:top w:val="single" w:sz="8" w:space="0" w:color="E1E1E3" w:themeColor="accent3" w:themeTint="33"/>
              <w:left w:val="nil"/>
              <w:bottom w:val="single" w:sz="8" w:space="0" w:color="E1E1E3" w:themeColor="accent3" w:themeTint="33"/>
              <w:right w:val="single" w:sz="8" w:space="0" w:color="E1E1E3" w:themeColor="accent3" w:themeTint="33"/>
            </w:tcBorders>
            <w:vAlign w:val="center"/>
          </w:tcPr>
          <w:p w14:paraId="2E59E454" w14:textId="77777777" w:rsidR="00CB39D1" w:rsidRPr="00CB39D1" w:rsidRDefault="00CB39D1" w:rsidP="00CB39D1">
            <w:pPr>
              <w:spacing w:before="0" w:after="0" w:line="240" w:lineRule="auto"/>
              <w:jc w:val="center"/>
              <w:rPr>
                <w:i/>
                <w:color w:val="A5A6AC" w:themeColor="accent3" w:themeTint="99"/>
                <w:sz w:val="18"/>
                <w:szCs w:val="18"/>
              </w:rPr>
            </w:pPr>
            <w:r w:rsidRPr="00CB39D1">
              <w:rPr>
                <w:i/>
                <w:color w:val="A5A6AC" w:themeColor="accent3" w:themeTint="99"/>
                <w:sz w:val="18"/>
                <w:szCs w:val="18"/>
              </w:rPr>
              <w:t>24.2%</w:t>
            </w:r>
          </w:p>
        </w:tc>
        <w:tc>
          <w:tcPr>
            <w:tcW w:w="990" w:type="dxa"/>
            <w:tcBorders>
              <w:top w:val="single" w:sz="8" w:space="0" w:color="E1E1E3" w:themeColor="accent3" w:themeTint="33"/>
              <w:left w:val="single" w:sz="8" w:space="0" w:color="E1E1E3" w:themeColor="accent3" w:themeTint="33"/>
              <w:bottom w:val="single" w:sz="8" w:space="0" w:color="E1E1E3" w:themeColor="accent3" w:themeTint="33"/>
              <w:right w:val="single" w:sz="8" w:space="0" w:color="E1E1E3" w:themeColor="accent3" w:themeTint="33"/>
            </w:tcBorders>
            <w:vAlign w:val="center"/>
          </w:tcPr>
          <w:p w14:paraId="499943C1" w14:textId="77777777" w:rsidR="00CB39D1" w:rsidRPr="00CB39D1" w:rsidRDefault="00CB39D1" w:rsidP="00CB39D1">
            <w:pPr>
              <w:spacing w:before="0" w:after="0" w:line="240" w:lineRule="auto"/>
              <w:jc w:val="center"/>
              <w:rPr>
                <w:i/>
                <w:color w:val="A5A6AC" w:themeColor="accent3" w:themeTint="99"/>
                <w:sz w:val="18"/>
                <w:szCs w:val="18"/>
              </w:rPr>
            </w:pPr>
            <w:r w:rsidRPr="00CB39D1">
              <w:rPr>
                <w:i/>
                <w:color w:val="A5A6AC" w:themeColor="accent3" w:themeTint="99"/>
                <w:sz w:val="18"/>
                <w:szCs w:val="18"/>
              </w:rPr>
              <w:t>24.7%</w:t>
            </w:r>
          </w:p>
        </w:tc>
        <w:tc>
          <w:tcPr>
            <w:tcW w:w="992" w:type="dxa"/>
            <w:tcBorders>
              <w:top w:val="single" w:sz="8" w:space="0" w:color="E1E1E3" w:themeColor="accent3" w:themeTint="33"/>
              <w:left w:val="single" w:sz="8" w:space="0" w:color="E1E1E3" w:themeColor="accent3" w:themeTint="33"/>
              <w:bottom w:val="single" w:sz="8" w:space="0" w:color="E1E1E3" w:themeColor="accent3" w:themeTint="33"/>
              <w:right w:val="single" w:sz="8" w:space="0" w:color="E1E1E3" w:themeColor="accent3" w:themeTint="33"/>
            </w:tcBorders>
            <w:vAlign w:val="center"/>
          </w:tcPr>
          <w:p w14:paraId="17C929C5" w14:textId="77777777" w:rsidR="00CB39D1" w:rsidRPr="00CB39D1" w:rsidRDefault="00CB39D1" w:rsidP="00CB39D1">
            <w:pPr>
              <w:spacing w:before="0" w:after="0" w:line="240" w:lineRule="auto"/>
              <w:jc w:val="center"/>
              <w:rPr>
                <w:i/>
                <w:color w:val="A5A6AC" w:themeColor="accent3" w:themeTint="99"/>
                <w:sz w:val="18"/>
                <w:szCs w:val="18"/>
              </w:rPr>
            </w:pPr>
            <w:r w:rsidRPr="00CB39D1">
              <w:rPr>
                <w:i/>
                <w:color w:val="A5A6AC" w:themeColor="accent3" w:themeTint="99"/>
                <w:sz w:val="18"/>
                <w:szCs w:val="18"/>
              </w:rPr>
              <w:t>24.9%</w:t>
            </w:r>
          </w:p>
        </w:tc>
        <w:tc>
          <w:tcPr>
            <w:tcW w:w="992" w:type="dxa"/>
            <w:tcBorders>
              <w:top w:val="single" w:sz="8" w:space="0" w:color="E1E1E3" w:themeColor="accent3" w:themeTint="33"/>
              <w:left w:val="single" w:sz="8" w:space="0" w:color="E1E1E3" w:themeColor="accent3" w:themeTint="33"/>
              <w:bottom w:val="single" w:sz="8" w:space="0" w:color="E1E1E3" w:themeColor="accent3" w:themeTint="33"/>
              <w:right w:val="single" w:sz="8" w:space="0" w:color="E1E1E3" w:themeColor="accent3" w:themeTint="33"/>
            </w:tcBorders>
            <w:vAlign w:val="center"/>
          </w:tcPr>
          <w:p w14:paraId="1B541833" w14:textId="77777777" w:rsidR="00CB39D1" w:rsidRPr="00CB39D1" w:rsidRDefault="00CB39D1" w:rsidP="00CB39D1">
            <w:pPr>
              <w:spacing w:before="0" w:after="0" w:line="240" w:lineRule="auto"/>
              <w:jc w:val="center"/>
              <w:rPr>
                <w:i/>
                <w:color w:val="A5A6AC" w:themeColor="accent3" w:themeTint="99"/>
                <w:sz w:val="18"/>
                <w:szCs w:val="18"/>
              </w:rPr>
            </w:pPr>
            <w:r w:rsidRPr="00CB39D1">
              <w:rPr>
                <w:i/>
                <w:color w:val="A5A6AC" w:themeColor="accent3" w:themeTint="99"/>
                <w:sz w:val="18"/>
                <w:szCs w:val="18"/>
              </w:rPr>
              <w:t>25.1%</w:t>
            </w:r>
          </w:p>
        </w:tc>
      </w:tr>
      <w:tr w:rsidR="00CB39D1" w:rsidRPr="00CB39D1" w14:paraId="22B75020" w14:textId="77777777" w:rsidTr="008D4E1E">
        <w:trPr>
          <w:trHeight w:val="317"/>
        </w:trPr>
        <w:tc>
          <w:tcPr>
            <w:tcW w:w="1188" w:type="dxa"/>
            <w:vMerge/>
            <w:vAlign w:val="center"/>
          </w:tcPr>
          <w:p w14:paraId="6CCEFF09" w14:textId="77777777" w:rsidR="00CB39D1" w:rsidRPr="00CB39D1" w:rsidRDefault="00CB39D1" w:rsidP="00CB39D1">
            <w:pPr>
              <w:spacing w:before="0" w:after="0" w:line="240" w:lineRule="auto"/>
              <w:jc w:val="center"/>
              <w:rPr>
                <w:sz w:val="18"/>
                <w:szCs w:val="18"/>
                <w:lang w:eastAsia="ru-RU"/>
              </w:rPr>
            </w:pPr>
          </w:p>
        </w:tc>
        <w:tc>
          <w:tcPr>
            <w:tcW w:w="2915" w:type="dxa"/>
            <w:vAlign w:val="center"/>
          </w:tcPr>
          <w:p w14:paraId="5C1AF9FF" w14:textId="77777777" w:rsidR="00CB39D1" w:rsidRPr="00CB39D1" w:rsidRDefault="00CB39D1" w:rsidP="00CB39D1">
            <w:pPr>
              <w:spacing w:before="0" w:after="0" w:line="240" w:lineRule="auto"/>
              <w:jc w:val="both"/>
              <w:rPr>
                <w:i/>
                <w:color w:val="A5A6AC" w:themeColor="accent3" w:themeTint="99"/>
                <w:sz w:val="18"/>
                <w:szCs w:val="18"/>
              </w:rPr>
            </w:pPr>
            <w:r w:rsidRPr="00CB39D1">
              <w:rPr>
                <w:sz w:val="18"/>
                <w:szCs w:val="18"/>
              </w:rPr>
              <w:t>2026թ. Պետական բյուջե</w:t>
            </w:r>
          </w:p>
        </w:tc>
        <w:tc>
          <w:tcPr>
            <w:tcW w:w="846" w:type="dxa"/>
            <w:vAlign w:val="center"/>
          </w:tcPr>
          <w:p w14:paraId="11F5A40D" w14:textId="77777777" w:rsidR="00CB39D1" w:rsidRPr="00CB39D1" w:rsidRDefault="00CB39D1" w:rsidP="00CB39D1">
            <w:pPr>
              <w:spacing w:before="0" w:after="0" w:line="240" w:lineRule="auto"/>
              <w:jc w:val="center"/>
              <w:rPr>
                <w:i/>
                <w:color w:val="A5A6AC" w:themeColor="accent3" w:themeTint="99"/>
                <w:sz w:val="18"/>
                <w:szCs w:val="18"/>
              </w:rPr>
            </w:pPr>
          </w:p>
        </w:tc>
        <w:tc>
          <w:tcPr>
            <w:tcW w:w="850" w:type="dxa"/>
            <w:vAlign w:val="center"/>
          </w:tcPr>
          <w:p w14:paraId="17A3363B" w14:textId="77777777" w:rsidR="00CB39D1" w:rsidRPr="00CB39D1" w:rsidRDefault="00CB39D1" w:rsidP="00CB39D1">
            <w:pPr>
              <w:spacing w:before="0" w:after="0" w:line="240" w:lineRule="auto"/>
              <w:jc w:val="center"/>
              <w:rPr>
                <w:i/>
                <w:color w:val="A5A6AC" w:themeColor="accent3" w:themeTint="99"/>
                <w:sz w:val="18"/>
                <w:szCs w:val="18"/>
              </w:rPr>
            </w:pPr>
          </w:p>
        </w:tc>
        <w:tc>
          <w:tcPr>
            <w:tcW w:w="857" w:type="dxa"/>
            <w:vAlign w:val="center"/>
          </w:tcPr>
          <w:p w14:paraId="6B642F0D" w14:textId="77777777" w:rsidR="00CB39D1" w:rsidRPr="00CB39D1" w:rsidRDefault="00CB39D1" w:rsidP="00CB39D1">
            <w:pPr>
              <w:spacing w:before="0" w:after="0" w:line="240" w:lineRule="auto"/>
              <w:jc w:val="center"/>
              <w:rPr>
                <w:i/>
                <w:color w:val="A5A6AC" w:themeColor="accent3" w:themeTint="99"/>
                <w:sz w:val="18"/>
                <w:szCs w:val="18"/>
              </w:rPr>
            </w:pPr>
            <w:r w:rsidRPr="00CB39D1">
              <w:rPr>
                <w:sz w:val="18"/>
                <w:szCs w:val="18"/>
              </w:rPr>
              <w:t>2,690.4</w:t>
            </w:r>
          </w:p>
        </w:tc>
        <w:tc>
          <w:tcPr>
            <w:tcW w:w="990" w:type="dxa"/>
            <w:vAlign w:val="center"/>
          </w:tcPr>
          <w:p w14:paraId="7D6DF9B5" w14:textId="77777777" w:rsidR="00CB39D1" w:rsidRPr="00CB39D1" w:rsidRDefault="00CB39D1" w:rsidP="00CB39D1">
            <w:pPr>
              <w:spacing w:before="0" w:after="0" w:line="240" w:lineRule="auto"/>
              <w:jc w:val="center"/>
              <w:rPr>
                <w:i/>
                <w:color w:val="A5A6AC" w:themeColor="accent3" w:themeTint="99"/>
                <w:sz w:val="18"/>
                <w:szCs w:val="18"/>
              </w:rPr>
            </w:pPr>
            <w:r w:rsidRPr="00CB39D1">
              <w:rPr>
                <w:sz w:val="18"/>
                <w:szCs w:val="18"/>
              </w:rPr>
              <w:t>2,972.9</w:t>
            </w:r>
          </w:p>
        </w:tc>
        <w:tc>
          <w:tcPr>
            <w:tcW w:w="992" w:type="dxa"/>
            <w:vAlign w:val="center"/>
          </w:tcPr>
          <w:p w14:paraId="7F119BD9" w14:textId="77777777" w:rsidR="00CB39D1" w:rsidRPr="00CB39D1" w:rsidRDefault="00CB39D1" w:rsidP="00CB39D1">
            <w:pPr>
              <w:spacing w:before="0" w:after="0" w:line="240" w:lineRule="auto"/>
              <w:jc w:val="center"/>
              <w:rPr>
                <w:i/>
                <w:color w:val="A5A6AC" w:themeColor="accent3" w:themeTint="99"/>
                <w:sz w:val="18"/>
                <w:szCs w:val="18"/>
              </w:rPr>
            </w:pPr>
            <w:r w:rsidRPr="00CB39D1">
              <w:rPr>
                <w:sz w:val="18"/>
                <w:szCs w:val="18"/>
              </w:rPr>
              <w:t>3,244.9</w:t>
            </w:r>
          </w:p>
        </w:tc>
        <w:tc>
          <w:tcPr>
            <w:tcW w:w="992" w:type="dxa"/>
            <w:vAlign w:val="center"/>
          </w:tcPr>
          <w:p w14:paraId="6194C0DA" w14:textId="77777777" w:rsidR="00CB39D1" w:rsidRPr="00CB39D1" w:rsidRDefault="00CB39D1" w:rsidP="00CB39D1">
            <w:pPr>
              <w:spacing w:before="0" w:after="0" w:line="240" w:lineRule="auto"/>
              <w:jc w:val="center"/>
              <w:rPr>
                <w:i/>
                <w:color w:val="A5A6AC" w:themeColor="accent3" w:themeTint="99"/>
                <w:sz w:val="18"/>
                <w:szCs w:val="18"/>
              </w:rPr>
            </w:pPr>
            <w:r w:rsidRPr="00CB39D1">
              <w:rPr>
                <w:sz w:val="18"/>
                <w:szCs w:val="18"/>
              </w:rPr>
              <w:t>3,533.9</w:t>
            </w:r>
          </w:p>
        </w:tc>
      </w:tr>
      <w:tr w:rsidR="00CB39D1" w:rsidRPr="00CB39D1" w14:paraId="67E25895" w14:textId="77777777" w:rsidTr="008D4E1E">
        <w:trPr>
          <w:trHeight w:val="317"/>
        </w:trPr>
        <w:tc>
          <w:tcPr>
            <w:tcW w:w="1188" w:type="dxa"/>
            <w:vMerge/>
            <w:vAlign w:val="center"/>
          </w:tcPr>
          <w:p w14:paraId="6D89A8CC" w14:textId="77777777" w:rsidR="00CB39D1" w:rsidRPr="00CB39D1" w:rsidRDefault="00CB39D1" w:rsidP="00CB39D1">
            <w:pPr>
              <w:spacing w:before="0" w:after="0" w:line="240" w:lineRule="auto"/>
              <w:jc w:val="center"/>
              <w:rPr>
                <w:sz w:val="18"/>
                <w:szCs w:val="18"/>
                <w:lang w:eastAsia="ru-RU"/>
              </w:rPr>
            </w:pPr>
          </w:p>
        </w:tc>
        <w:tc>
          <w:tcPr>
            <w:tcW w:w="2915" w:type="dxa"/>
            <w:vAlign w:val="center"/>
          </w:tcPr>
          <w:p w14:paraId="551D9DC2" w14:textId="77777777" w:rsidR="00CB39D1" w:rsidRPr="00CB39D1" w:rsidRDefault="00CB39D1" w:rsidP="00CB39D1">
            <w:pPr>
              <w:spacing w:before="0" w:after="0" w:line="240" w:lineRule="auto"/>
              <w:jc w:val="both"/>
              <w:rPr>
                <w:i/>
                <w:color w:val="A5A6AC" w:themeColor="accent3" w:themeTint="99"/>
                <w:sz w:val="18"/>
                <w:szCs w:val="18"/>
              </w:rPr>
            </w:pPr>
            <w:r w:rsidRPr="00CB39D1">
              <w:rPr>
                <w:i/>
                <w:color w:val="A5A6AC" w:themeColor="accent3" w:themeTint="99"/>
                <w:sz w:val="18"/>
                <w:szCs w:val="18"/>
              </w:rPr>
              <w:t>%-ով՝ ՀՆԱ-ի նկատմամբ</w:t>
            </w:r>
          </w:p>
        </w:tc>
        <w:tc>
          <w:tcPr>
            <w:tcW w:w="846" w:type="dxa"/>
            <w:vAlign w:val="center"/>
          </w:tcPr>
          <w:p w14:paraId="6C39FADC" w14:textId="77777777" w:rsidR="00CB39D1" w:rsidRPr="00CB39D1" w:rsidRDefault="00CB39D1" w:rsidP="00CB39D1">
            <w:pPr>
              <w:spacing w:before="0" w:after="0" w:line="240" w:lineRule="auto"/>
              <w:jc w:val="center"/>
              <w:rPr>
                <w:i/>
                <w:color w:val="A5A6AC" w:themeColor="accent3" w:themeTint="99"/>
                <w:sz w:val="18"/>
                <w:szCs w:val="18"/>
              </w:rPr>
            </w:pPr>
          </w:p>
        </w:tc>
        <w:tc>
          <w:tcPr>
            <w:tcW w:w="850" w:type="dxa"/>
            <w:vAlign w:val="center"/>
          </w:tcPr>
          <w:p w14:paraId="0759AC88" w14:textId="77777777" w:rsidR="00CB39D1" w:rsidRPr="00CB39D1" w:rsidRDefault="00CB39D1" w:rsidP="00CB39D1">
            <w:pPr>
              <w:spacing w:before="0" w:after="0" w:line="240" w:lineRule="auto"/>
              <w:jc w:val="center"/>
              <w:rPr>
                <w:i/>
                <w:color w:val="A5A6AC" w:themeColor="accent3" w:themeTint="99"/>
                <w:sz w:val="18"/>
                <w:szCs w:val="18"/>
              </w:rPr>
            </w:pPr>
          </w:p>
        </w:tc>
        <w:tc>
          <w:tcPr>
            <w:tcW w:w="857" w:type="dxa"/>
            <w:vAlign w:val="center"/>
          </w:tcPr>
          <w:p w14:paraId="163C9262" w14:textId="77777777" w:rsidR="00CB39D1" w:rsidRPr="00CB39D1" w:rsidRDefault="00CB39D1" w:rsidP="00CB39D1">
            <w:pPr>
              <w:spacing w:before="0" w:after="0" w:line="240" w:lineRule="auto"/>
              <w:jc w:val="center"/>
              <w:rPr>
                <w:i/>
                <w:color w:val="A5A6AC" w:themeColor="accent3" w:themeTint="99"/>
                <w:sz w:val="18"/>
                <w:szCs w:val="18"/>
              </w:rPr>
            </w:pPr>
            <w:r w:rsidRPr="00CB39D1">
              <w:rPr>
                <w:i/>
                <w:color w:val="A5A6AC" w:themeColor="accent3" w:themeTint="99"/>
                <w:sz w:val="18"/>
                <w:szCs w:val="18"/>
              </w:rPr>
              <w:t>24.5%</w:t>
            </w:r>
          </w:p>
        </w:tc>
        <w:tc>
          <w:tcPr>
            <w:tcW w:w="990" w:type="dxa"/>
            <w:vAlign w:val="center"/>
          </w:tcPr>
          <w:p w14:paraId="2CC87D30" w14:textId="77777777" w:rsidR="00CB39D1" w:rsidRPr="00CB39D1" w:rsidRDefault="00CB39D1" w:rsidP="00CB39D1">
            <w:pPr>
              <w:spacing w:before="0" w:after="0" w:line="240" w:lineRule="auto"/>
              <w:jc w:val="center"/>
              <w:rPr>
                <w:i/>
                <w:color w:val="A5A6AC" w:themeColor="accent3" w:themeTint="99"/>
                <w:sz w:val="18"/>
                <w:szCs w:val="18"/>
              </w:rPr>
            </w:pPr>
            <w:r w:rsidRPr="00CB39D1">
              <w:rPr>
                <w:i/>
                <w:color w:val="A5A6AC" w:themeColor="accent3" w:themeTint="99"/>
                <w:sz w:val="18"/>
                <w:szCs w:val="18"/>
              </w:rPr>
              <w:t>24.9%</w:t>
            </w:r>
          </w:p>
        </w:tc>
        <w:tc>
          <w:tcPr>
            <w:tcW w:w="992" w:type="dxa"/>
            <w:vAlign w:val="center"/>
          </w:tcPr>
          <w:p w14:paraId="22776E22" w14:textId="77777777" w:rsidR="00CB39D1" w:rsidRPr="00CB39D1" w:rsidRDefault="00CB39D1" w:rsidP="00CB39D1">
            <w:pPr>
              <w:spacing w:before="0" w:after="0" w:line="240" w:lineRule="auto"/>
              <w:jc w:val="center"/>
              <w:rPr>
                <w:i/>
                <w:color w:val="A5A6AC" w:themeColor="accent3" w:themeTint="99"/>
                <w:sz w:val="18"/>
                <w:szCs w:val="18"/>
              </w:rPr>
            </w:pPr>
            <w:r w:rsidRPr="00CB39D1">
              <w:rPr>
                <w:i/>
                <w:color w:val="A5A6AC" w:themeColor="accent3" w:themeTint="99"/>
                <w:sz w:val="18"/>
                <w:szCs w:val="18"/>
              </w:rPr>
              <w:t>25.1%</w:t>
            </w:r>
          </w:p>
        </w:tc>
        <w:tc>
          <w:tcPr>
            <w:tcW w:w="992" w:type="dxa"/>
            <w:vAlign w:val="center"/>
          </w:tcPr>
          <w:p w14:paraId="5AC8E411" w14:textId="77777777" w:rsidR="00CB39D1" w:rsidRPr="00CB39D1" w:rsidRDefault="00CB39D1" w:rsidP="00CB39D1">
            <w:pPr>
              <w:spacing w:before="0" w:after="0" w:line="240" w:lineRule="auto"/>
              <w:jc w:val="center"/>
              <w:rPr>
                <w:i/>
                <w:color w:val="A5A6AC" w:themeColor="accent3" w:themeTint="99"/>
                <w:sz w:val="18"/>
                <w:szCs w:val="18"/>
              </w:rPr>
            </w:pPr>
            <w:r w:rsidRPr="00CB39D1">
              <w:rPr>
                <w:i/>
                <w:color w:val="A5A6AC" w:themeColor="accent3" w:themeTint="99"/>
                <w:sz w:val="18"/>
                <w:szCs w:val="18"/>
              </w:rPr>
              <w:t>25.2%</w:t>
            </w:r>
          </w:p>
        </w:tc>
      </w:tr>
    </w:tbl>
    <w:p w14:paraId="716D485B" w14:textId="77777777" w:rsidR="00CB39D1" w:rsidRPr="00CB39D1" w:rsidRDefault="00CB39D1" w:rsidP="00CB39D1">
      <w:pPr>
        <w:jc w:val="both"/>
        <w:rPr>
          <w:rFonts w:ascii="GHEA Grapalat" w:hAnsi="GHEA Grapalat"/>
          <w:bCs/>
          <w:szCs w:val="20"/>
        </w:rPr>
      </w:pPr>
      <w:r w:rsidRPr="00CB39D1">
        <w:rPr>
          <w:rFonts w:ascii="GHEA Grapalat" w:hAnsi="GHEA Grapalat"/>
          <w:bCs/>
          <w:szCs w:val="20"/>
        </w:rPr>
        <w:t>Աղյուսակ 2.5. Պետական բյուջեի ծախսերի կանխատեսումների համեմատական աղյուսակը, մլրդ դրամ</w:t>
      </w:r>
    </w:p>
    <w:tbl>
      <w:tblPr>
        <w:tblW w:w="9726" w:type="dxa"/>
        <w:tblBorders>
          <w:top w:val="single" w:sz="8" w:space="0" w:color="E1E1E3" w:themeColor="accent3" w:themeTint="33"/>
          <w:left w:val="single" w:sz="8" w:space="0" w:color="E1E1E3" w:themeColor="accent3" w:themeTint="33"/>
          <w:bottom w:val="single" w:sz="8" w:space="0" w:color="E1E1E3" w:themeColor="accent3" w:themeTint="33"/>
          <w:right w:val="single" w:sz="8" w:space="0" w:color="E1E1E3" w:themeColor="accent3" w:themeTint="33"/>
          <w:insideH w:val="single" w:sz="8" w:space="0" w:color="E1E1E3" w:themeColor="accent3" w:themeTint="33"/>
          <w:insideV w:val="single" w:sz="8" w:space="0" w:color="E1E1E3" w:themeColor="accent3" w:themeTint="33"/>
        </w:tblBorders>
        <w:tblLayout w:type="fixed"/>
        <w:tblLook w:val="04A0" w:firstRow="1" w:lastRow="0" w:firstColumn="1" w:lastColumn="0" w:noHBand="0" w:noVBand="1"/>
      </w:tblPr>
      <w:tblGrid>
        <w:gridCol w:w="1266"/>
        <w:gridCol w:w="2835"/>
        <w:gridCol w:w="851"/>
        <w:gridCol w:w="850"/>
        <w:gridCol w:w="851"/>
        <w:gridCol w:w="992"/>
        <w:gridCol w:w="992"/>
        <w:gridCol w:w="1089"/>
      </w:tblGrid>
      <w:tr w:rsidR="00CB39D1" w:rsidRPr="00CB39D1" w14:paraId="4F62CA0D" w14:textId="77777777" w:rsidTr="008D4E1E">
        <w:trPr>
          <w:trHeight w:val="331"/>
        </w:trPr>
        <w:tc>
          <w:tcPr>
            <w:tcW w:w="1266" w:type="dxa"/>
            <w:shd w:val="clear" w:color="auto" w:fill="D5DCE4" w:themeFill="text2" w:themeFillTint="33"/>
            <w:vAlign w:val="center"/>
            <w:hideMark/>
          </w:tcPr>
          <w:p w14:paraId="087DD169" w14:textId="77777777" w:rsidR="00CB39D1" w:rsidRPr="00CB39D1" w:rsidRDefault="00CB39D1" w:rsidP="00CB39D1">
            <w:pPr>
              <w:spacing w:before="0" w:after="0" w:line="240" w:lineRule="auto"/>
              <w:rPr>
                <w:b/>
                <w:sz w:val="18"/>
                <w:szCs w:val="18"/>
              </w:rPr>
            </w:pPr>
            <w:r w:rsidRPr="00CB39D1">
              <w:rPr>
                <w:b/>
                <w:sz w:val="18"/>
                <w:szCs w:val="18"/>
              </w:rPr>
              <w:t>Ընդունման տարին</w:t>
            </w:r>
          </w:p>
        </w:tc>
        <w:tc>
          <w:tcPr>
            <w:tcW w:w="2835" w:type="dxa"/>
            <w:shd w:val="clear" w:color="auto" w:fill="D5DCE4" w:themeFill="text2" w:themeFillTint="33"/>
            <w:noWrap/>
            <w:vAlign w:val="center"/>
            <w:hideMark/>
          </w:tcPr>
          <w:p w14:paraId="5DD7507B" w14:textId="77777777" w:rsidR="00CB39D1" w:rsidRPr="00CB39D1" w:rsidRDefault="00CB39D1" w:rsidP="00CB39D1">
            <w:pPr>
              <w:spacing w:before="0" w:after="0" w:line="240" w:lineRule="auto"/>
              <w:rPr>
                <w:b/>
                <w:sz w:val="18"/>
                <w:szCs w:val="18"/>
              </w:rPr>
            </w:pPr>
            <w:r w:rsidRPr="00CB39D1">
              <w:rPr>
                <w:b/>
                <w:sz w:val="18"/>
                <w:szCs w:val="18"/>
              </w:rPr>
              <w:t>Ծրագիր</w:t>
            </w:r>
          </w:p>
        </w:tc>
        <w:tc>
          <w:tcPr>
            <w:tcW w:w="851" w:type="dxa"/>
            <w:shd w:val="clear" w:color="auto" w:fill="D5DCE4" w:themeFill="text2" w:themeFillTint="33"/>
            <w:noWrap/>
            <w:vAlign w:val="center"/>
            <w:hideMark/>
          </w:tcPr>
          <w:p w14:paraId="28376663" w14:textId="77777777" w:rsidR="00CB39D1" w:rsidRPr="00CB39D1" w:rsidRDefault="00CB39D1" w:rsidP="00CB39D1">
            <w:pPr>
              <w:spacing w:before="0" w:after="0" w:line="240" w:lineRule="auto"/>
              <w:jc w:val="center"/>
              <w:rPr>
                <w:b/>
                <w:sz w:val="18"/>
                <w:szCs w:val="18"/>
              </w:rPr>
            </w:pPr>
            <w:r w:rsidRPr="00CB39D1">
              <w:rPr>
                <w:b/>
                <w:sz w:val="18"/>
                <w:szCs w:val="18"/>
              </w:rPr>
              <w:t>2023</w:t>
            </w:r>
          </w:p>
        </w:tc>
        <w:tc>
          <w:tcPr>
            <w:tcW w:w="850" w:type="dxa"/>
            <w:shd w:val="clear" w:color="auto" w:fill="D5DCE4" w:themeFill="text2" w:themeFillTint="33"/>
            <w:noWrap/>
            <w:vAlign w:val="center"/>
            <w:hideMark/>
          </w:tcPr>
          <w:p w14:paraId="705FA66C" w14:textId="77777777" w:rsidR="00CB39D1" w:rsidRPr="00CB39D1" w:rsidRDefault="00CB39D1" w:rsidP="00CB39D1">
            <w:pPr>
              <w:spacing w:before="0" w:after="0" w:line="240" w:lineRule="auto"/>
              <w:jc w:val="center"/>
              <w:rPr>
                <w:b/>
                <w:sz w:val="18"/>
                <w:szCs w:val="18"/>
              </w:rPr>
            </w:pPr>
            <w:r w:rsidRPr="00CB39D1">
              <w:rPr>
                <w:b/>
                <w:sz w:val="18"/>
                <w:szCs w:val="18"/>
              </w:rPr>
              <w:t>2024</w:t>
            </w:r>
          </w:p>
        </w:tc>
        <w:tc>
          <w:tcPr>
            <w:tcW w:w="851" w:type="dxa"/>
            <w:shd w:val="clear" w:color="auto" w:fill="D5DCE4" w:themeFill="text2" w:themeFillTint="33"/>
            <w:noWrap/>
            <w:vAlign w:val="center"/>
            <w:hideMark/>
          </w:tcPr>
          <w:p w14:paraId="208081DC" w14:textId="77777777" w:rsidR="00CB39D1" w:rsidRPr="00CB39D1" w:rsidRDefault="00CB39D1" w:rsidP="00CB39D1">
            <w:pPr>
              <w:spacing w:before="0" w:after="0" w:line="240" w:lineRule="auto"/>
              <w:jc w:val="center"/>
              <w:rPr>
                <w:b/>
                <w:sz w:val="18"/>
                <w:szCs w:val="18"/>
              </w:rPr>
            </w:pPr>
            <w:r w:rsidRPr="00CB39D1">
              <w:rPr>
                <w:b/>
                <w:sz w:val="18"/>
                <w:szCs w:val="18"/>
              </w:rPr>
              <w:t>2025</w:t>
            </w:r>
          </w:p>
        </w:tc>
        <w:tc>
          <w:tcPr>
            <w:tcW w:w="992" w:type="dxa"/>
            <w:shd w:val="clear" w:color="auto" w:fill="D5DCE4" w:themeFill="text2" w:themeFillTint="33"/>
            <w:noWrap/>
            <w:vAlign w:val="center"/>
            <w:hideMark/>
          </w:tcPr>
          <w:p w14:paraId="7D029BE0" w14:textId="77777777" w:rsidR="00CB39D1" w:rsidRPr="00CB39D1" w:rsidRDefault="00CB39D1" w:rsidP="00CB39D1">
            <w:pPr>
              <w:spacing w:before="0" w:after="0" w:line="240" w:lineRule="auto"/>
              <w:jc w:val="center"/>
              <w:rPr>
                <w:b/>
                <w:sz w:val="18"/>
                <w:szCs w:val="18"/>
              </w:rPr>
            </w:pPr>
            <w:r w:rsidRPr="00CB39D1">
              <w:rPr>
                <w:b/>
                <w:sz w:val="18"/>
                <w:szCs w:val="18"/>
              </w:rPr>
              <w:t>2026</w:t>
            </w:r>
          </w:p>
        </w:tc>
        <w:tc>
          <w:tcPr>
            <w:tcW w:w="992" w:type="dxa"/>
            <w:shd w:val="clear" w:color="auto" w:fill="D5DCE4" w:themeFill="text2" w:themeFillTint="33"/>
            <w:noWrap/>
            <w:vAlign w:val="center"/>
            <w:hideMark/>
          </w:tcPr>
          <w:p w14:paraId="6822E11A" w14:textId="77777777" w:rsidR="00CB39D1" w:rsidRPr="00CB39D1" w:rsidRDefault="00CB39D1" w:rsidP="00CB39D1">
            <w:pPr>
              <w:spacing w:before="0" w:after="0" w:line="240" w:lineRule="auto"/>
              <w:jc w:val="center"/>
              <w:rPr>
                <w:b/>
                <w:sz w:val="18"/>
                <w:szCs w:val="18"/>
              </w:rPr>
            </w:pPr>
            <w:r w:rsidRPr="00CB39D1">
              <w:rPr>
                <w:b/>
                <w:sz w:val="18"/>
                <w:szCs w:val="18"/>
              </w:rPr>
              <w:t>2027</w:t>
            </w:r>
          </w:p>
        </w:tc>
        <w:tc>
          <w:tcPr>
            <w:tcW w:w="1089" w:type="dxa"/>
            <w:shd w:val="clear" w:color="auto" w:fill="D5DCE4" w:themeFill="text2" w:themeFillTint="33"/>
            <w:vAlign w:val="center"/>
          </w:tcPr>
          <w:p w14:paraId="1D227EAF" w14:textId="77777777" w:rsidR="00CB39D1" w:rsidRPr="00CB39D1" w:rsidRDefault="00CB39D1" w:rsidP="00CB39D1">
            <w:pPr>
              <w:spacing w:before="0" w:after="0" w:line="240" w:lineRule="auto"/>
              <w:jc w:val="center"/>
              <w:rPr>
                <w:b/>
                <w:sz w:val="18"/>
                <w:szCs w:val="18"/>
              </w:rPr>
            </w:pPr>
            <w:r w:rsidRPr="00CB39D1">
              <w:rPr>
                <w:b/>
                <w:sz w:val="18"/>
                <w:szCs w:val="18"/>
              </w:rPr>
              <w:t>2028</w:t>
            </w:r>
          </w:p>
        </w:tc>
      </w:tr>
      <w:tr w:rsidR="00CB39D1" w:rsidRPr="00CB39D1" w14:paraId="6C84B01F" w14:textId="77777777" w:rsidTr="008D4E1E">
        <w:trPr>
          <w:trHeight w:val="331"/>
        </w:trPr>
        <w:tc>
          <w:tcPr>
            <w:tcW w:w="1266" w:type="dxa"/>
            <w:vMerge w:val="restart"/>
            <w:vAlign w:val="center"/>
            <w:hideMark/>
          </w:tcPr>
          <w:p w14:paraId="1BEE43B2" w14:textId="77777777" w:rsidR="00CB39D1" w:rsidRPr="00CB39D1" w:rsidRDefault="00CB39D1" w:rsidP="00CB39D1">
            <w:pPr>
              <w:spacing w:before="0" w:after="0" w:line="240" w:lineRule="auto"/>
              <w:jc w:val="center"/>
              <w:rPr>
                <w:sz w:val="18"/>
                <w:szCs w:val="18"/>
              </w:rPr>
            </w:pPr>
            <w:r w:rsidRPr="00CB39D1">
              <w:rPr>
                <w:sz w:val="18"/>
                <w:szCs w:val="18"/>
              </w:rPr>
              <w:t>-</w:t>
            </w:r>
          </w:p>
        </w:tc>
        <w:tc>
          <w:tcPr>
            <w:tcW w:w="2835" w:type="dxa"/>
            <w:noWrap/>
            <w:vAlign w:val="center"/>
            <w:hideMark/>
          </w:tcPr>
          <w:p w14:paraId="1EA7B784" w14:textId="77777777" w:rsidR="00CB39D1" w:rsidRPr="00CB39D1" w:rsidRDefault="00CB39D1" w:rsidP="00CB39D1">
            <w:pPr>
              <w:spacing w:before="0" w:after="0" w:line="240" w:lineRule="auto"/>
              <w:jc w:val="both"/>
              <w:rPr>
                <w:sz w:val="18"/>
                <w:szCs w:val="18"/>
              </w:rPr>
            </w:pPr>
            <w:r w:rsidRPr="00CB39D1">
              <w:rPr>
                <w:sz w:val="18"/>
                <w:szCs w:val="18"/>
              </w:rPr>
              <w:t>Փաստացի</w:t>
            </w:r>
          </w:p>
        </w:tc>
        <w:tc>
          <w:tcPr>
            <w:tcW w:w="851" w:type="dxa"/>
            <w:vAlign w:val="center"/>
            <w:hideMark/>
          </w:tcPr>
          <w:p w14:paraId="2338111B" w14:textId="77777777" w:rsidR="00CB39D1" w:rsidRPr="00CB39D1" w:rsidRDefault="00CB39D1" w:rsidP="00CB39D1">
            <w:pPr>
              <w:spacing w:before="0" w:after="0" w:line="240" w:lineRule="auto"/>
              <w:jc w:val="center"/>
              <w:rPr>
                <w:sz w:val="18"/>
                <w:szCs w:val="18"/>
              </w:rPr>
            </w:pPr>
            <w:r w:rsidRPr="00CB39D1">
              <w:rPr>
                <w:sz w:val="18"/>
                <w:szCs w:val="18"/>
              </w:rPr>
              <w:t>2,599.6</w:t>
            </w:r>
          </w:p>
        </w:tc>
        <w:tc>
          <w:tcPr>
            <w:tcW w:w="850" w:type="dxa"/>
            <w:noWrap/>
            <w:vAlign w:val="center"/>
            <w:hideMark/>
          </w:tcPr>
          <w:p w14:paraId="38F4FD98" w14:textId="77777777" w:rsidR="00CB39D1" w:rsidRPr="00CB39D1" w:rsidRDefault="00CB39D1" w:rsidP="00CB39D1">
            <w:pPr>
              <w:spacing w:before="0" w:after="0" w:line="240" w:lineRule="auto"/>
              <w:jc w:val="center"/>
              <w:rPr>
                <w:sz w:val="18"/>
                <w:szCs w:val="18"/>
              </w:rPr>
            </w:pPr>
            <w:r w:rsidRPr="00CB39D1">
              <w:rPr>
                <w:sz w:val="18"/>
                <w:szCs w:val="18"/>
              </w:rPr>
              <w:t>2,955.3</w:t>
            </w:r>
          </w:p>
        </w:tc>
        <w:tc>
          <w:tcPr>
            <w:tcW w:w="851" w:type="dxa"/>
            <w:noWrap/>
            <w:vAlign w:val="center"/>
            <w:hideMark/>
          </w:tcPr>
          <w:p w14:paraId="29B18052" w14:textId="77777777" w:rsidR="00CB39D1" w:rsidRPr="00CB39D1" w:rsidRDefault="00CB39D1" w:rsidP="00CB39D1">
            <w:pPr>
              <w:spacing w:before="0" w:after="0" w:line="240" w:lineRule="auto"/>
              <w:jc w:val="center"/>
              <w:rPr>
                <w:sz w:val="18"/>
                <w:szCs w:val="18"/>
              </w:rPr>
            </w:pPr>
          </w:p>
        </w:tc>
        <w:tc>
          <w:tcPr>
            <w:tcW w:w="992" w:type="dxa"/>
            <w:noWrap/>
            <w:vAlign w:val="center"/>
            <w:hideMark/>
          </w:tcPr>
          <w:p w14:paraId="199483F0" w14:textId="77777777" w:rsidR="00CB39D1" w:rsidRPr="00CB39D1" w:rsidRDefault="00CB39D1" w:rsidP="00CB39D1">
            <w:pPr>
              <w:spacing w:before="0" w:after="0" w:line="240" w:lineRule="auto"/>
              <w:jc w:val="center"/>
              <w:rPr>
                <w:sz w:val="18"/>
                <w:szCs w:val="18"/>
              </w:rPr>
            </w:pPr>
          </w:p>
        </w:tc>
        <w:tc>
          <w:tcPr>
            <w:tcW w:w="992" w:type="dxa"/>
            <w:vAlign w:val="center"/>
            <w:hideMark/>
          </w:tcPr>
          <w:p w14:paraId="71963FDD" w14:textId="77777777" w:rsidR="00CB39D1" w:rsidRPr="00CB39D1" w:rsidRDefault="00CB39D1" w:rsidP="00CB39D1">
            <w:pPr>
              <w:spacing w:before="0" w:after="0" w:line="240" w:lineRule="auto"/>
              <w:jc w:val="center"/>
              <w:rPr>
                <w:sz w:val="18"/>
                <w:szCs w:val="18"/>
              </w:rPr>
            </w:pPr>
          </w:p>
        </w:tc>
        <w:tc>
          <w:tcPr>
            <w:tcW w:w="1089" w:type="dxa"/>
          </w:tcPr>
          <w:p w14:paraId="2C1CEB89" w14:textId="77777777" w:rsidR="00CB39D1" w:rsidRPr="00CB39D1" w:rsidRDefault="00CB39D1" w:rsidP="00CB39D1">
            <w:pPr>
              <w:spacing w:before="0" w:after="0" w:line="240" w:lineRule="auto"/>
              <w:jc w:val="center"/>
              <w:rPr>
                <w:sz w:val="18"/>
                <w:szCs w:val="18"/>
              </w:rPr>
            </w:pPr>
          </w:p>
        </w:tc>
      </w:tr>
      <w:tr w:rsidR="00CB39D1" w:rsidRPr="00CB39D1" w14:paraId="3A3CA21B" w14:textId="77777777" w:rsidTr="008D4E1E">
        <w:trPr>
          <w:trHeight w:val="331"/>
        </w:trPr>
        <w:tc>
          <w:tcPr>
            <w:tcW w:w="1266" w:type="dxa"/>
            <w:vMerge/>
            <w:vAlign w:val="center"/>
            <w:hideMark/>
          </w:tcPr>
          <w:p w14:paraId="39658ECC" w14:textId="77777777" w:rsidR="00CB39D1" w:rsidRPr="00CB39D1" w:rsidRDefault="00CB39D1" w:rsidP="00CB39D1">
            <w:pPr>
              <w:spacing w:before="0" w:after="0" w:line="240" w:lineRule="auto"/>
              <w:jc w:val="center"/>
              <w:rPr>
                <w:sz w:val="18"/>
                <w:szCs w:val="18"/>
                <w:lang w:val="ru-RU" w:eastAsia="ru-RU"/>
              </w:rPr>
            </w:pPr>
          </w:p>
        </w:tc>
        <w:tc>
          <w:tcPr>
            <w:tcW w:w="2835" w:type="dxa"/>
            <w:noWrap/>
            <w:vAlign w:val="center"/>
            <w:hideMark/>
          </w:tcPr>
          <w:p w14:paraId="0823F391" w14:textId="77777777" w:rsidR="00CB39D1" w:rsidRPr="00CB39D1" w:rsidRDefault="00CB39D1" w:rsidP="00CB39D1">
            <w:pPr>
              <w:spacing w:before="0" w:after="0" w:line="240" w:lineRule="auto"/>
              <w:jc w:val="both"/>
              <w:rPr>
                <w:i/>
                <w:color w:val="A5A6AC" w:themeColor="accent3" w:themeTint="99"/>
                <w:sz w:val="18"/>
                <w:szCs w:val="18"/>
              </w:rPr>
            </w:pPr>
            <w:r w:rsidRPr="00CB39D1">
              <w:rPr>
                <w:i/>
                <w:color w:val="A5A6AC" w:themeColor="accent3" w:themeTint="99"/>
                <w:sz w:val="18"/>
                <w:szCs w:val="18"/>
              </w:rPr>
              <w:t>%-ով՝ ՀՆԱ-ի նկատմամբ</w:t>
            </w:r>
          </w:p>
        </w:tc>
        <w:tc>
          <w:tcPr>
            <w:tcW w:w="851" w:type="dxa"/>
            <w:vAlign w:val="center"/>
            <w:hideMark/>
          </w:tcPr>
          <w:p w14:paraId="6643B1C7" w14:textId="77777777" w:rsidR="00CB39D1" w:rsidRPr="00CB39D1" w:rsidRDefault="00CB39D1" w:rsidP="00CB39D1">
            <w:pPr>
              <w:spacing w:before="0" w:after="0" w:line="240" w:lineRule="auto"/>
              <w:jc w:val="center"/>
              <w:rPr>
                <w:i/>
                <w:color w:val="A5A6AC" w:themeColor="accent3" w:themeTint="99"/>
                <w:sz w:val="18"/>
                <w:szCs w:val="18"/>
              </w:rPr>
            </w:pPr>
            <w:r w:rsidRPr="00CB39D1">
              <w:rPr>
                <w:i/>
                <w:color w:val="A5A6AC" w:themeColor="accent3" w:themeTint="99"/>
                <w:sz w:val="18"/>
                <w:szCs w:val="18"/>
              </w:rPr>
              <w:t>27.4%</w:t>
            </w:r>
          </w:p>
        </w:tc>
        <w:tc>
          <w:tcPr>
            <w:tcW w:w="850" w:type="dxa"/>
            <w:noWrap/>
            <w:vAlign w:val="center"/>
            <w:hideMark/>
          </w:tcPr>
          <w:p w14:paraId="4E0810A9" w14:textId="77777777" w:rsidR="00CB39D1" w:rsidRPr="00CB39D1" w:rsidRDefault="00CB39D1" w:rsidP="00CB39D1">
            <w:pPr>
              <w:spacing w:before="0" w:after="0" w:line="240" w:lineRule="auto"/>
              <w:jc w:val="center"/>
              <w:rPr>
                <w:i/>
                <w:color w:val="A5A6AC" w:themeColor="accent3" w:themeTint="99"/>
                <w:sz w:val="18"/>
                <w:szCs w:val="18"/>
              </w:rPr>
            </w:pPr>
            <w:r w:rsidRPr="00CB39D1">
              <w:rPr>
                <w:i/>
                <w:color w:val="A5A6AC" w:themeColor="accent3" w:themeTint="99"/>
                <w:sz w:val="18"/>
                <w:szCs w:val="18"/>
              </w:rPr>
              <w:t>29.0%</w:t>
            </w:r>
          </w:p>
        </w:tc>
        <w:tc>
          <w:tcPr>
            <w:tcW w:w="851" w:type="dxa"/>
            <w:noWrap/>
            <w:vAlign w:val="center"/>
            <w:hideMark/>
          </w:tcPr>
          <w:p w14:paraId="2673F66B" w14:textId="77777777" w:rsidR="00CB39D1" w:rsidRPr="00CB39D1" w:rsidRDefault="00CB39D1" w:rsidP="00CB39D1">
            <w:pPr>
              <w:spacing w:before="0" w:after="0" w:line="240" w:lineRule="auto"/>
              <w:jc w:val="center"/>
              <w:rPr>
                <w:i/>
                <w:color w:val="A5A6AC" w:themeColor="accent3" w:themeTint="99"/>
                <w:sz w:val="18"/>
                <w:szCs w:val="18"/>
              </w:rPr>
            </w:pPr>
          </w:p>
        </w:tc>
        <w:tc>
          <w:tcPr>
            <w:tcW w:w="992" w:type="dxa"/>
            <w:noWrap/>
            <w:vAlign w:val="center"/>
            <w:hideMark/>
          </w:tcPr>
          <w:p w14:paraId="49C1243D" w14:textId="77777777" w:rsidR="00CB39D1" w:rsidRPr="00CB39D1" w:rsidRDefault="00CB39D1" w:rsidP="00CB39D1">
            <w:pPr>
              <w:spacing w:before="0" w:after="0" w:line="240" w:lineRule="auto"/>
              <w:jc w:val="center"/>
              <w:rPr>
                <w:i/>
                <w:color w:val="A5A6AC" w:themeColor="accent3" w:themeTint="99"/>
                <w:sz w:val="18"/>
                <w:szCs w:val="18"/>
              </w:rPr>
            </w:pPr>
          </w:p>
        </w:tc>
        <w:tc>
          <w:tcPr>
            <w:tcW w:w="992" w:type="dxa"/>
            <w:vAlign w:val="center"/>
            <w:hideMark/>
          </w:tcPr>
          <w:p w14:paraId="119808F0" w14:textId="77777777" w:rsidR="00CB39D1" w:rsidRPr="00CB39D1" w:rsidRDefault="00CB39D1" w:rsidP="00CB39D1">
            <w:pPr>
              <w:spacing w:before="0" w:after="0" w:line="240" w:lineRule="auto"/>
              <w:jc w:val="center"/>
              <w:rPr>
                <w:i/>
                <w:color w:val="A5A6AC" w:themeColor="accent3" w:themeTint="99"/>
                <w:sz w:val="18"/>
                <w:szCs w:val="18"/>
              </w:rPr>
            </w:pPr>
          </w:p>
        </w:tc>
        <w:tc>
          <w:tcPr>
            <w:tcW w:w="1089" w:type="dxa"/>
          </w:tcPr>
          <w:p w14:paraId="109B8B53" w14:textId="77777777" w:rsidR="00CB39D1" w:rsidRPr="00CB39D1" w:rsidRDefault="00CB39D1" w:rsidP="00CB39D1">
            <w:pPr>
              <w:spacing w:before="0" w:after="0" w:line="240" w:lineRule="auto"/>
              <w:jc w:val="center"/>
              <w:rPr>
                <w:i/>
                <w:color w:val="A5A6AC" w:themeColor="accent3" w:themeTint="99"/>
                <w:sz w:val="18"/>
                <w:szCs w:val="18"/>
              </w:rPr>
            </w:pPr>
          </w:p>
        </w:tc>
      </w:tr>
      <w:tr w:rsidR="00CB39D1" w:rsidRPr="00CB39D1" w14:paraId="71F1BDF5" w14:textId="77777777" w:rsidTr="008D4E1E">
        <w:trPr>
          <w:trHeight w:val="331"/>
        </w:trPr>
        <w:tc>
          <w:tcPr>
            <w:tcW w:w="1266" w:type="dxa"/>
            <w:vMerge w:val="restart"/>
            <w:vAlign w:val="center"/>
            <w:hideMark/>
          </w:tcPr>
          <w:p w14:paraId="4323AD11" w14:textId="77777777" w:rsidR="00CB39D1" w:rsidRPr="00CB39D1" w:rsidRDefault="00CB39D1" w:rsidP="00CB39D1">
            <w:pPr>
              <w:spacing w:before="0" w:after="0" w:line="240" w:lineRule="auto"/>
              <w:jc w:val="center"/>
              <w:rPr>
                <w:sz w:val="18"/>
                <w:szCs w:val="18"/>
              </w:rPr>
            </w:pPr>
            <w:r w:rsidRPr="00CB39D1">
              <w:rPr>
                <w:sz w:val="18"/>
                <w:szCs w:val="18"/>
              </w:rPr>
              <w:t>2022</w:t>
            </w:r>
          </w:p>
        </w:tc>
        <w:tc>
          <w:tcPr>
            <w:tcW w:w="2835" w:type="dxa"/>
            <w:noWrap/>
            <w:vAlign w:val="center"/>
            <w:hideMark/>
          </w:tcPr>
          <w:p w14:paraId="4AB3350D" w14:textId="77777777" w:rsidR="00CB39D1" w:rsidRPr="00CB39D1" w:rsidRDefault="00CB39D1" w:rsidP="00CB39D1">
            <w:pPr>
              <w:spacing w:before="0" w:after="0" w:line="240" w:lineRule="auto"/>
              <w:jc w:val="both"/>
              <w:rPr>
                <w:sz w:val="18"/>
                <w:szCs w:val="18"/>
              </w:rPr>
            </w:pPr>
            <w:r w:rsidRPr="00CB39D1">
              <w:rPr>
                <w:sz w:val="18"/>
                <w:szCs w:val="18"/>
              </w:rPr>
              <w:t>ՄԺԾԾ 2023-2025</w:t>
            </w:r>
          </w:p>
        </w:tc>
        <w:tc>
          <w:tcPr>
            <w:tcW w:w="851" w:type="dxa"/>
            <w:vAlign w:val="center"/>
            <w:hideMark/>
          </w:tcPr>
          <w:p w14:paraId="5806FF53" w14:textId="77777777" w:rsidR="00CB39D1" w:rsidRPr="00CB39D1" w:rsidRDefault="00CB39D1" w:rsidP="00CB39D1">
            <w:pPr>
              <w:spacing w:before="0" w:after="0" w:line="240" w:lineRule="auto"/>
              <w:jc w:val="center"/>
              <w:rPr>
                <w:sz w:val="18"/>
                <w:szCs w:val="18"/>
              </w:rPr>
            </w:pPr>
            <w:r w:rsidRPr="00CB39D1">
              <w:rPr>
                <w:sz w:val="18"/>
                <w:szCs w:val="18"/>
              </w:rPr>
              <w:t>2,597.9</w:t>
            </w:r>
          </w:p>
        </w:tc>
        <w:tc>
          <w:tcPr>
            <w:tcW w:w="850" w:type="dxa"/>
            <w:vAlign w:val="center"/>
            <w:hideMark/>
          </w:tcPr>
          <w:p w14:paraId="1F7DF78F" w14:textId="77777777" w:rsidR="00CB39D1" w:rsidRPr="00CB39D1" w:rsidRDefault="00CB39D1" w:rsidP="00CB39D1">
            <w:pPr>
              <w:spacing w:before="0" w:after="0" w:line="240" w:lineRule="auto"/>
              <w:jc w:val="center"/>
              <w:rPr>
                <w:sz w:val="18"/>
                <w:szCs w:val="18"/>
              </w:rPr>
            </w:pPr>
            <w:r w:rsidRPr="00CB39D1">
              <w:rPr>
                <w:sz w:val="18"/>
                <w:szCs w:val="18"/>
              </w:rPr>
              <w:t>2,882.9</w:t>
            </w:r>
          </w:p>
        </w:tc>
        <w:tc>
          <w:tcPr>
            <w:tcW w:w="851" w:type="dxa"/>
            <w:vAlign w:val="center"/>
            <w:hideMark/>
          </w:tcPr>
          <w:p w14:paraId="3E8EEBB6" w14:textId="77777777" w:rsidR="00CB39D1" w:rsidRPr="00CB39D1" w:rsidRDefault="00CB39D1" w:rsidP="00CB39D1">
            <w:pPr>
              <w:spacing w:before="0" w:after="0" w:line="240" w:lineRule="auto"/>
              <w:jc w:val="center"/>
              <w:rPr>
                <w:sz w:val="18"/>
                <w:szCs w:val="18"/>
              </w:rPr>
            </w:pPr>
            <w:r w:rsidRPr="00CB39D1">
              <w:rPr>
                <w:sz w:val="18"/>
                <w:szCs w:val="18"/>
              </w:rPr>
              <w:t>3,223.0</w:t>
            </w:r>
          </w:p>
        </w:tc>
        <w:tc>
          <w:tcPr>
            <w:tcW w:w="992" w:type="dxa"/>
            <w:noWrap/>
            <w:vAlign w:val="center"/>
            <w:hideMark/>
          </w:tcPr>
          <w:p w14:paraId="0BF578E4" w14:textId="77777777" w:rsidR="00CB39D1" w:rsidRPr="00CB39D1" w:rsidRDefault="00CB39D1" w:rsidP="00CB39D1">
            <w:pPr>
              <w:spacing w:before="0" w:after="0" w:line="240" w:lineRule="auto"/>
              <w:jc w:val="center"/>
              <w:rPr>
                <w:sz w:val="18"/>
                <w:szCs w:val="18"/>
              </w:rPr>
            </w:pPr>
          </w:p>
        </w:tc>
        <w:tc>
          <w:tcPr>
            <w:tcW w:w="992" w:type="dxa"/>
            <w:vAlign w:val="center"/>
            <w:hideMark/>
          </w:tcPr>
          <w:p w14:paraId="632B7926" w14:textId="77777777" w:rsidR="00CB39D1" w:rsidRPr="00CB39D1" w:rsidRDefault="00CB39D1" w:rsidP="00CB39D1">
            <w:pPr>
              <w:spacing w:before="0" w:after="0" w:line="240" w:lineRule="auto"/>
              <w:jc w:val="center"/>
              <w:rPr>
                <w:sz w:val="18"/>
                <w:szCs w:val="18"/>
              </w:rPr>
            </w:pPr>
          </w:p>
        </w:tc>
        <w:tc>
          <w:tcPr>
            <w:tcW w:w="1089" w:type="dxa"/>
          </w:tcPr>
          <w:p w14:paraId="15D39B19" w14:textId="77777777" w:rsidR="00CB39D1" w:rsidRPr="00CB39D1" w:rsidRDefault="00CB39D1" w:rsidP="00CB39D1">
            <w:pPr>
              <w:spacing w:before="0" w:after="0" w:line="240" w:lineRule="auto"/>
              <w:jc w:val="center"/>
              <w:rPr>
                <w:sz w:val="18"/>
                <w:szCs w:val="18"/>
              </w:rPr>
            </w:pPr>
          </w:p>
        </w:tc>
      </w:tr>
      <w:tr w:rsidR="00CB39D1" w:rsidRPr="00CB39D1" w14:paraId="0C64C29B" w14:textId="77777777" w:rsidTr="008D4E1E">
        <w:trPr>
          <w:trHeight w:val="331"/>
        </w:trPr>
        <w:tc>
          <w:tcPr>
            <w:tcW w:w="1266" w:type="dxa"/>
            <w:vMerge/>
            <w:vAlign w:val="center"/>
            <w:hideMark/>
          </w:tcPr>
          <w:p w14:paraId="621162D4" w14:textId="77777777" w:rsidR="00CB39D1" w:rsidRPr="00CB39D1" w:rsidRDefault="00CB39D1" w:rsidP="00CB39D1">
            <w:pPr>
              <w:spacing w:before="0" w:after="0" w:line="240" w:lineRule="auto"/>
              <w:jc w:val="center"/>
              <w:rPr>
                <w:sz w:val="18"/>
                <w:szCs w:val="18"/>
                <w:lang w:val="ru-RU" w:eastAsia="ru-RU"/>
              </w:rPr>
            </w:pPr>
          </w:p>
        </w:tc>
        <w:tc>
          <w:tcPr>
            <w:tcW w:w="2835" w:type="dxa"/>
            <w:vAlign w:val="center"/>
            <w:hideMark/>
          </w:tcPr>
          <w:p w14:paraId="50093E8C" w14:textId="77777777" w:rsidR="00CB39D1" w:rsidRPr="00CB39D1" w:rsidRDefault="00CB39D1" w:rsidP="00CB39D1">
            <w:pPr>
              <w:spacing w:before="0" w:after="0" w:line="240" w:lineRule="auto"/>
              <w:jc w:val="both"/>
              <w:rPr>
                <w:i/>
                <w:color w:val="A5A6AC" w:themeColor="accent3" w:themeTint="99"/>
                <w:sz w:val="18"/>
                <w:szCs w:val="18"/>
              </w:rPr>
            </w:pPr>
            <w:r w:rsidRPr="00CB39D1">
              <w:rPr>
                <w:i/>
                <w:color w:val="A5A6AC" w:themeColor="accent3" w:themeTint="99"/>
                <w:sz w:val="18"/>
                <w:szCs w:val="18"/>
              </w:rPr>
              <w:t>%-ով՝ ՀՆԱ-ի նկատմամբ</w:t>
            </w:r>
          </w:p>
        </w:tc>
        <w:tc>
          <w:tcPr>
            <w:tcW w:w="851" w:type="dxa"/>
            <w:vAlign w:val="center"/>
            <w:hideMark/>
          </w:tcPr>
          <w:p w14:paraId="0DB17168" w14:textId="77777777" w:rsidR="00CB39D1" w:rsidRPr="00CB39D1" w:rsidRDefault="00CB39D1" w:rsidP="00CB39D1">
            <w:pPr>
              <w:spacing w:before="0" w:after="0" w:line="240" w:lineRule="auto"/>
              <w:jc w:val="center"/>
              <w:rPr>
                <w:i/>
                <w:color w:val="A5A6AC" w:themeColor="accent3" w:themeTint="99"/>
                <w:sz w:val="18"/>
                <w:szCs w:val="18"/>
              </w:rPr>
            </w:pPr>
            <w:r w:rsidRPr="00CB39D1">
              <w:rPr>
                <w:i/>
                <w:color w:val="A5A6AC" w:themeColor="accent3" w:themeTint="99"/>
                <w:sz w:val="18"/>
                <w:szCs w:val="18"/>
              </w:rPr>
              <w:t>28.67%</w:t>
            </w:r>
          </w:p>
        </w:tc>
        <w:tc>
          <w:tcPr>
            <w:tcW w:w="850" w:type="dxa"/>
            <w:vAlign w:val="center"/>
            <w:hideMark/>
          </w:tcPr>
          <w:p w14:paraId="6B584F83" w14:textId="77777777" w:rsidR="00CB39D1" w:rsidRPr="00CB39D1" w:rsidRDefault="00CB39D1" w:rsidP="00CB39D1">
            <w:pPr>
              <w:spacing w:before="0" w:after="0" w:line="240" w:lineRule="auto"/>
              <w:jc w:val="center"/>
              <w:rPr>
                <w:i/>
                <w:color w:val="A5A6AC" w:themeColor="accent3" w:themeTint="99"/>
                <w:sz w:val="18"/>
                <w:szCs w:val="18"/>
              </w:rPr>
            </w:pPr>
            <w:r w:rsidRPr="00CB39D1">
              <w:rPr>
                <w:i/>
                <w:color w:val="A5A6AC" w:themeColor="accent3" w:themeTint="99"/>
                <w:sz w:val="18"/>
                <w:szCs w:val="18"/>
              </w:rPr>
              <w:t>28.51%</w:t>
            </w:r>
          </w:p>
        </w:tc>
        <w:tc>
          <w:tcPr>
            <w:tcW w:w="851" w:type="dxa"/>
            <w:vAlign w:val="center"/>
            <w:hideMark/>
          </w:tcPr>
          <w:p w14:paraId="35EF3F4A" w14:textId="77777777" w:rsidR="00CB39D1" w:rsidRPr="00CB39D1" w:rsidRDefault="00CB39D1" w:rsidP="00CB39D1">
            <w:pPr>
              <w:spacing w:before="0" w:after="0" w:line="240" w:lineRule="auto"/>
              <w:jc w:val="center"/>
              <w:rPr>
                <w:i/>
                <w:color w:val="A5A6AC" w:themeColor="accent3" w:themeTint="99"/>
                <w:sz w:val="18"/>
                <w:szCs w:val="18"/>
              </w:rPr>
            </w:pPr>
            <w:r w:rsidRPr="00CB39D1">
              <w:rPr>
                <w:i/>
                <w:color w:val="A5A6AC" w:themeColor="accent3" w:themeTint="99"/>
                <w:sz w:val="18"/>
                <w:szCs w:val="18"/>
              </w:rPr>
              <w:t>28.65%</w:t>
            </w:r>
          </w:p>
        </w:tc>
        <w:tc>
          <w:tcPr>
            <w:tcW w:w="992" w:type="dxa"/>
            <w:noWrap/>
            <w:vAlign w:val="center"/>
            <w:hideMark/>
          </w:tcPr>
          <w:p w14:paraId="365BC689" w14:textId="77777777" w:rsidR="00CB39D1" w:rsidRPr="00CB39D1" w:rsidRDefault="00CB39D1" w:rsidP="00CB39D1">
            <w:pPr>
              <w:spacing w:before="0" w:after="0" w:line="240" w:lineRule="auto"/>
              <w:jc w:val="center"/>
              <w:rPr>
                <w:i/>
                <w:color w:val="A5A6AC" w:themeColor="accent3" w:themeTint="99"/>
                <w:sz w:val="18"/>
                <w:szCs w:val="18"/>
              </w:rPr>
            </w:pPr>
          </w:p>
        </w:tc>
        <w:tc>
          <w:tcPr>
            <w:tcW w:w="992" w:type="dxa"/>
            <w:vAlign w:val="center"/>
            <w:hideMark/>
          </w:tcPr>
          <w:p w14:paraId="79DC48A3" w14:textId="77777777" w:rsidR="00CB39D1" w:rsidRPr="00CB39D1" w:rsidRDefault="00CB39D1" w:rsidP="00CB39D1">
            <w:pPr>
              <w:spacing w:before="0" w:after="0" w:line="240" w:lineRule="auto"/>
              <w:jc w:val="center"/>
              <w:rPr>
                <w:i/>
                <w:color w:val="A5A6AC" w:themeColor="accent3" w:themeTint="99"/>
                <w:sz w:val="18"/>
                <w:szCs w:val="18"/>
              </w:rPr>
            </w:pPr>
          </w:p>
        </w:tc>
        <w:tc>
          <w:tcPr>
            <w:tcW w:w="1089" w:type="dxa"/>
          </w:tcPr>
          <w:p w14:paraId="12DB9160" w14:textId="77777777" w:rsidR="00CB39D1" w:rsidRPr="00CB39D1" w:rsidRDefault="00CB39D1" w:rsidP="00CB39D1">
            <w:pPr>
              <w:spacing w:before="0" w:after="0" w:line="240" w:lineRule="auto"/>
              <w:jc w:val="center"/>
              <w:rPr>
                <w:i/>
                <w:color w:val="A5A6AC" w:themeColor="accent3" w:themeTint="99"/>
                <w:sz w:val="18"/>
                <w:szCs w:val="18"/>
              </w:rPr>
            </w:pPr>
          </w:p>
        </w:tc>
      </w:tr>
      <w:tr w:rsidR="00CB39D1" w:rsidRPr="00CB39D1" w14:paraId="1B172ADF" w14:textId="77777777" w:rsidTr="008D4E1E">
        <w:trPr>
          <w:trHeight w:val="331"/>
        </w:trPr>
        <w:tc>
          <w:tcPr>
            <w:tcW w:w="1266" w:type="dxa"/>
            <w:vMerge/>
            <w:vAlign w:val="center"/>
            <w:hideMark/>
          </w:tcPr>
          <w:p w14:paraId="108A66AA" w14:textId="77777777" w:rsidR="00CB39D1" w:rsidRPr="00CB39D1" w:rsidRDefault="00CB39D1" w:rsidP="00CB39D1">
            <w:pPr>
              <w:spacing w:before="0" w:after="0" w:line="240" w:lineRule="auto"/>
              <w:jc w:val="center"/>
              <w:rPr>
                <w:sz w:val="18"/>
                <w:szCs w:val="18"/>
                <w:lang w:val="ru-RU" w:eastAsia="ru-RU"/>
              </w:rPr>
            </w:pPr>
          </w:p>
        </w:tc>
        <w:tc>
          <w:tcPr>
            <w:tcW w:w="2835" w:type="dxa"/>
            <w:noWrap/>
            <w:vAlign w:val="center"/>
            <w:hideMark/>
          </w:tcPr>
          <w:p w14:paraId="28913DA2" w14:textId="77777777" w:rsidR="00CB39D1" w:rsidRPr="00CB39D1" w:rsidRDefault="00CB39D1" w:rsidP="00CB39D1">
            <w:pPr>
              <w:spacing w:before="0" w:after="0" w:line="240" w:lineRule="auto"/>
              <w:jc w:val="both"/>
              <w:rPr>
                <w:sz w:val="18"/>
                <w:szCs w:val="18"/>
              </w:rPr>
            </w:pPr>
            <w:r w:rsidRPr="00CB39D1">
              <w:rPr>
                <w:sz w:val="18"/>
                <w:szCs w:val="18"/>
              </w:rPr>
              <w:t>2023թ. Պետական բյուջե</w:t>
            </w:r>
          </w:p>
        </w:tc>
        <w:tc>
          <w:tcPr>
            <w:tcW w:w="851" w:type="dxa"/>
            <w:vAlign w:val="center"/>
            <w:hideMark/>
          </w:tcPr>
          <w:p w14:paraId="66F63A54" w14:textId="77777777" w:rsidR="00CB39D1" w:rsidRPr="00CB39D1" w:rsidRDefault="00CB39D1" w:rsidP="00CB39D1">
            <w:pPr>
              <w:spacing w:before="0" w:after="0" w:line="240" w:lineRule="auto"/>
              <w:jc w:val="center"/>
              <w:rPr>
                <w:sz w:val="18"/>
                <w:szCs w:val="18"/>
              </w:rPr>
            </w:pPr>
            <w:r w:rsidRPr="00CB39D1">
              <w:rPr>
                <w:sz w:val="18"/>
                <w:szCs w:val="18"/>
              </w:rPr>
              <w:t>2,642.9</w:t>
            </w:r>
          </w:p>
        </w:tc>
        <w:tc>
          <w:tcPr>
            <w:tcW w:w="850" w:type="dxa"/>
            <w:vAlign w:val="center"/>
            <w:hideMark/>
          </w:tcPr>
          <w:p w14:paraId="0F28977D" w14:textId="77777777" w:rsidR="00CB39D1" w:rsidRPr="00CB39D1" w:rsidRDefault="00CB39D1" w:rsidP="00CB39D1">
            <w:pPr>
              <w:spacing w:before="0" w:after="0" w:line="240" w:lineRule="auto"/>
              <w:jc w:val="center"/>
              <w:rPr>
                <w:sz w:val="18"/>
                <w:szCs w:val="18"/>
              </w:rPr>
            </w:pPr>
          </w:p>
        </w:tc>
        <w:tc>
          <w:tcPr>
            <w:tcW w:w="851" w:type="dxa"/>
            <w:vAlign w:val="center"/>
            <w:hideMark/>
          </w:tcPr>
          <w:p w14:paraId="23484A43" w14:textId="77777777" w:rsidR="00CB39D1" w:rsidRPr="00CB39D1" w:rsidRDefault="00CB39D1" w:rsidP="00CB39D1">
            <w:pPr>
              <w:spacing w:before="0" w:after="0" w:line="240" w:lineRule="auto"/>
              <w:jc w:val="center"/>
              <w:rPr>
                <w:sz w:val="18"/>
                <w:szCs w:val="18"/>
              </w:rPr>
            </w:pPr>
          </w:p>
        </w:tc>
        <w:tc>
          <w:tcPr>
            <w:tcW w:w="992" w:type="dxa"/>
            <w:noWrap/>
            <w:vAlign w:val="center"/>
            <w:hideMark/>
          </w:tcPr>
          <w:p w14:paraId="2755BA7E" w14:textId="77777777" w:rsidR="00CB39D1" w:rsidRPr="00CB39D1" w:rsidRDefault="00CB39D1" w:rsidP="00CB39D1">
            <w:pPr>
              <w:spacing w:before="0" w:after="0" w:line="240" w:lineRule="auto"/>
              <w:jc w:val="center"/>
              <w:rPr>
                <w:sz w:val="18"/>
                <w:szCs w:val="18"/>
              </w:rPr>
            </w:pPr>
          </w:p>
        </w:tc>
        <w:tc>
          <w:tcPr>
            <w:tcW w:w="992" w:type="dxa"/>
            <w:vAlign w:val="center"/>
            <w:hideMark/>
          </w:tcPr>
          <w:p w14:paraId="1EE0388F" w14:textId="77777777" w:rsidR="00CB39D1" w:rsidRPr="00CB39D1" w:rsidRDefault="00CB39D1" w:rsidP="00CB39D1">
            <w:pPr>
              <w:spacing w:before="0" w:after="0" w:line="240" w:lineRule="auto"/>
              <w:jc w:val="center"/>
              <w:rPr>
                <w:sz w:val="18"/>
                <w:szCs w:val="18"/>
              </w:rPr>
            </w:pPr>
          </w:p>
        </w:tc>
        <w:tc>
          <w:tcPr>
            <w:tcW w:w="1089" w:type="dxa"/>
          </w:tcPr>
          <w:p w14:paraId="1AE6960D" w14:textId="77777777" w:rsidR="00CB39D1" w:rsidRPr="00CB39D1" w:rsidRDefault="00CB39D1" w:rsidP="00CB39D1">
            <w:pPr>
              <w:spacing w:before="0" w:after="0" w:line="240" w:lineRule="auto"/>
              <w:jc w:val="center"/>
              <w:rPr>
                <w:sz w:val="18"/>
                <w:szCs w:val="18"/>
              </w:rPr>
            </w:pPr>
          </w:p>
        </w:tc>
      </w:tr>
      <w:tr w:rsidR="00CB39D1" w:rsidRPr="00CB39D1" w14:paraId="2CC45FE4" w14:textId="77777777" w:rsidTr="008D4E1E">
        <w:trPr>
          <w:trHeight w:val="331"/>
        </w:trPr>
        <w:tc>
          <w:tcPr>
            <w:tcW w:w="1266" w:type="dxa"/>
            <w:vMerge/>
            <w:vAlign w:val="center"/>
            <w:hideMark/>
          </w:tcPr>
          <w:p w14:paraId="62D45EB0" w14:textId="77777777" w:rsidR="00CB39D1" w:rsidRPr="00CB39D1" w:rsidRDefault="00CB39D1" w:rsidP="00CB39D1">
            <w:pPr>
              <w:spacing w:before="0" w:after="0" w:line="240" w:lineRule="auto"/>
              <w:jc w:val="center"/>
              <w:rPr>
                <w:sz w:val="18"/>
                <w:szCs w:val="18"/>
                <w:lang w:val="ru-RU" w:eastAsia="ru-RU"/>
              </w:rPr>
            </w:pPr>
          </w:p>
        </w:tc>
        <w:tc>
          <w:tcPr>
            <w:tcW w:w="2835" w:type="dxa"/>
            <w:vAlign w:val="center"/>
            <w:hideMark/>
          </w:tcPr>
          <w:p w14:paraId="08417031" w14:textId="77777777" w:rsidR="00CB39D1" w:rsidRPr="00CB39D1" w:rsidRDefault="00CB39D1" w:rsidP="00CB39D1">
            <w:pPr>
              <w:spacing w:before="0" w:after="0" w:line="240" w:lineRule="auto"/>
              <w:jc w:val="both"/>
              <w:rPr>
                <w:i/>
                <w:color w:val="A5A6AC" w:themeColor="accent3" w:themeTint="99"/>
                <w:sz w:val="18"/>
                <w:szCs w:val="18"/>
              </w:rPr>
            </w:pPr>
            <w:r w:rsidRPr="00CB39D1">
              <w:rPr>
                <w:i/>
                <w:color w:val="A5A6AC" w:themeColor="accent3" w:themeTint="99"/>
                <w:sz w:val="18"/>
                <w:szCs w:val="18"/>
              </w:rPr>
              <w:t>%-ով՝ ՀՆԱ-ի նկատմամբ</w:t>
            </w:r>
          </w:p>
        </w:tc>
        <w:tc>
          <w:tcPr>
            <w:tcW w:w="851" w:type="dxa"/>
            <w:vAlign w:val="center"/>
            <w:hideMark/>
          </w:tcPr>
          <w:p w14:paraId="5179AAA4" w14:textId="77777777" w:rsidR="00CB39D1" w:rsidRPr="00CB39D1" w:rsidRDefault="00CB39D1" w:rsidP="00CB39D1">
            <w:pPr>
              <w:spacing w:before="0" w:after="0" w:line="240" w:lineRule="auto"/>
              <w:jc w:val="center"/>
              <w:rPr>
                <w:i/>
                <w:color w:val="A5A6AC" w:themeColor="accent3" w:themeTint="99"/>
                <w:sz w:val="18"/>
                <w:szCs w:val="18"/>
              </w:rPr>
            </w:pPr>
            <w:r w:rsidRPr="00CB39D1">
              <w:rPr>
                <w:i/>
                <w:color w:val="A5A6AC" w:themeColor="accent3" w:themeTint="99"/>
                <w:sz w:val="18"/>
                <w:szCs w:val="18"/>
              </w:rPr>
              <w:t>28.36%</w:t>
            </w:r>
          </w:p>
        </w:tc>
        <w:tc>
          <w:tcPr>
            <w:tcW w:w="850" w:type="dxa"/>
            <w:vAlign w:val="center"/>
            <w:hideMark/>
          </w:tcPr>
          <w:p w14:paraId="4394412D" w14:textId="77777777" w:rsidR="00CB39D1" w:rsidRPr="00CB39D1" w:rsidRDefault="00CB39D1" w:rsidP="00CB39D1">
            <w:pPr>
              <w:spacing w:before="0" w:after="0" w:line="240" w:lineRule="auto"/>
              <w:jc w:val="center"/>
              <w:rPr>
                <w:i/>
                <w:color w:val="A5A6AC" w:themeColor="accent3" w:themeTint="99"/>
                <w:sz w:val="18"/>
                <w:szCs w:val="18"/>
              </w:rPr>
            </w:pPr>
          </w:p>
        </w:tc>
        <w:tc>
          <w:tcPr>
            <w:tcW w:w="851" w:type="dxa"/>
            <w:vAlign w:val="center"/>
            <w:hideMark/>
          </w:tcPr>
          <w:p w14:paraId="29952EE5" w14:textId="77777777" w:rsidR="00CB39D1" w:rsidRPr="00CB39D1" w:rsidRDefault="00CB39D1" w:rsidP="00CB39D1">
            <w:pPr>
              <w:spacing w:before="0" w:after="0" w:line="240" w:lineRule="auto"/>
              <w:jc w:val="center"/>
              <w:rPr>
                <w:i/>
                <w:color w:val="A5A6AC" w:themeColor="accent3" w:themeTint="99"/>
                <w:sz w:val="18"/>
                <w:szCs w:val="18"/>
              </w:rPr>
            </w:pPr>
          </w:p>
        </w:tc>
        <w:tc>
          <w:tcPr>
            <w:tcW w:w="992" w:type="dxa"/>
            <w:vAlign w:val="center"/>
            <w:hideMark/>
          </w:tcPr>
          <w:p w14:paraId="5B34CEF9" w14:textId="77777777" w:rsidR="00CB39D1" w:rsidRPr="00CB39D1" w:rsidRDefault="00CB39D1" w:rsidP="00CB39D1">
            <w:pPr>
              <w:spacing w:before="0" w:after="0" w:line="240" w:lineRule="auto"/>
              <w:jc w:val="center"/>
              <w:rPr>
                <w:i/>
                <w:color w:val="A5A6AC" w:themeColor="accent3" w:themeTint="99"/>
                <w:sz w:val="18"/>
                <w:szCs w:val="18"/>
              </w:rPr>
            </w:pPr>
          </w:p>
        </w:tc>
        <w:tc>
          <w:tcPr>
            <w:tcW w:w="992" w:type="dxa"/>
            <w:vAlign w:val="center"/>
            <w:hideMark/>
          </w:tcPr>
          <w:p w14:paraId="13F500C0" w14:textId="77777777" w:rsidR="00CB39D1" w:rsidRPr="00CB39D1" w:rsidRDefault="00CB39D1" w:rsidP="00CB39D1">
            <w:pPr>
              <w:spacing w:before="0" w:after="0" w:line="240" w:lineRule="auto"/>
              <w:jc w:val="center"/>
              <w:rPr>
                <w:i/>
                <w:color w:val="A5A6AC" w:themeColor="accent3" w:themeTint="99"/>
                <w:sz w:val="18"/>
                <w:szCs w:val="18"/>
              </w:rPr>
            </w:pPr>
          </w:p>
        </w:tc>
        <w:tc>
          <w:tcPr>
            <w:tcW w:w="1089" w:type="dxa"/>
          </w:tcPr>
          <w:p w14:paraId="392A7482" w14:textId="77777777" w:rsidR="00CB39D1" w:rsidRPr="00CB39D1" w:rsidRDefault="00CB39D1" w:rsidP="00CB39D1">
            <w:pPr>
              <w:spacing w:before="0" w:after="0" w:line="240" w:lineRule="auto"/>
              <w:jc w:val="center"/>
              <w:rPr>
                <w:i/>
                <w:color w:val="A5A6AC" w:themeColor="accent3" w:themeTint="99"/>
                <w:sz w:val="18"/>
                <w:szCs w:val="18"/>
              </w:rPr>
            </w:pPr>
          </w:p>
        </w:tc>
      </w:tr>
      <w:tr w:rsidR="00CB39D1" w:rsidRPr="00CB39D1" w14:paraId="718F019B" w14:textId="77777777" w:rsidTr="008D4E1E">
        <w:trPr>
          <w:trHeight w:val="331"/>
        </w:trPr>
        <w:tc>
          <w:tcPr>
            <w:tcW w:w="1266" w:type="dxa"/>
            <w:vMerge w:val="restart"/>
            <w:vAlign w:val="center"/>
            <w:hideMark/>
          </w:tcPr>
          <w:p w14:paraId="049F7E4E" w14:textId="77777777" w:rsidR="00CB39D1" w:rsidRPr="00CB39D1" w:rsidRDefault="00CB39D1" w:rsidP="00CB39D1">
            <w:pPr>
              <w:spacing w:before="0" w:after="0" w:line="240" w:lineRule="auto"/>
              <w:jc w:val="center"/>
              <w:rPr>
                <w:sz w:val="18"/>
                <w:szCs w:val="18"/>
              </w:rPr>
            </w:pPr>
            <w:r w:rsidRPr="00CB39D1">
              <w:rPr>
                <w:sz w:val="18"/>
                <w:szCs w:val="18"/>
              </w:rPr>
              <w:t>2023</w:t>
            </w:r>
          </w:p>
        </w:tc>
        <w:tc>
          <w:tcPr>
            <w:tcW w:w="2835" w:type="dxa"/>
            <w:noWrap/>
            <w:vAlign w:val="center"/>
            <w:hideMark/>
          </w:tcPr>
          <w:p w14:paraId="75BD2CF5" w14:textId="77777777" w:rsidR="00CB39D1" w:rsidRPr="00CB39D1" w:rsidRDefault="00CB39D1" w:rsidP="00CB39D1">
            <w:pPr>
              <w:spacing w:before="0" w:after="0" w:line="240" w:lineRule="auto"/>
              <w:jc w:val="both"/>
              <w:rPr>
                <w:sz w:val="18"/>
                <w:szCs w:val="18"/>
              </w:rPr>
            </w:pPr>
            <w:r w:rsidRPr="00CB39D1">
              <w:rPr>
                <w:sz w:val="18"/>
                <w:szCs w:val="18"/>
              </w:rPr>
              <w:t>ՄԺԾԾ 2024-2026</w:t>
            </w:r>
          </w:p>
        </w:tc>
        <w:tc>
          <w:tcPr>
            <w:tcW w:w="851" w:type="dxa"/>
            <w:vAlign w:val="center"/>
            <w:hideMark/>
          </w:tcPr>
          <w:p w14:paraId="75729CCD" w14:textId="77777777" w:rsidR="00CB39D1" w:rsidRPr="00CB39D1" w:rsidRDefault="00CB39D1" w:rsidP="00CB39D1">
            <w:pPr>
              <w:spacing w:before="0" w:after="0" w:line="240" w:lineRule="auto"/>
              <w:jc w:val="center"/>
              <w:rPr>
                <w:sz w:val="18"/>
                <w:szCs w:val="18"/>
              </w:rPr>
            </w:pPr>
            <w:r w:rsidRPr="00CB39D1">
              <w:rPr>
                <w:sz w:val="18"/>
                <w:szCs w:val="18"/>
              </w:rPr>
              <w:t>2,659.6</w:t>
            </w:r>
          </w:p>
        </w:tc>
        <w:tc>
          <w:tcPr>
            <w:tcW w:w="850" w:type="dxa"/>
            <w:vAlign w:val="center"/>
            <w:hideMark/>
          </w:tcPr>
          <w:p w14:paraId="48F65098" w14:textId="77777777" w:rsidR="00CB39D1" w:rsidRPr="00CB39D1" w:rsidRDefault="00CB39D1" w:rsidP="00CB39D1">
            <w:pPr>
              <w:spacing w:before="0" w:after="0" w:line="240" w:lineRule="auto"/>
              <w:jc w:val="center"/>
              <w:rPr>
                <w:sz w:val="18"/>
                <w:szCs w:val="18"/>
              </w:rPr>
            </w:pPr>
            <w:r w:rsidRPr="00CB39D1">
              <w:rPr>
                <w:sz w:val="18"/>
                <w:szCs w:val="18"/>
              </w:rPr>
              <w:t>2,973.6</w:t>
            </w:r>
          </w:p>
        </w:tc>
        <w:tc>
          <w:tcPr>
            <w:tcW w:w="851" w:type="dxa"/>
            <w:vAlign w:val="center"/>
            <w:hideMark/>
          </w:tcPr>
          <w:p w14:paraId="2C7EB541" w14:textId="77777777" w:rsidR="00CB39D1" w:rsidRPr="00CB39D1" w:rsidRDefault="00CB39D1" w:rsidP="00CB39D1">
            <w:pPr>
              <w:spacing w:before="0" w:after="0" w:line="240" w:lineRule="auto"/>
              <w:jc w:val="center"/>
              <w:rPr>
                <w:sz w:val="18"/>
                <w:szCs w:val="18"/>
              </w:rPr>
            </w:pPr>
            <w:r w:rsidRPr="00CB39D1">
              <w:rPr>
                <w:sz w:val="18"/>
                <w:szCs w:val="18"/>
              </w:rPr>
              <w:t>3,306.1</w:t>
            </w:r>
          </w:p>
        </w:tc>
        <w:tc>
          <w:tcPr>
            <w:tcW w:w="992" w:type="dxa"/>
            <w:vAlign w:val="center"/>
            <w:hideMark/>
          </w:tcPr>
          <w:p w14:paraId="13FC56E2" w14:textId="77777777" w:rsidR="00CB39D1" w:rsidRPr="00CB39D1" w:rsidRDefault="00CB39D1" w:rsidP="00CB39D1">
            <w:pPr>
              <w:spacing w:before="0" w:after="0" w:line="240" w:lineRule="auto"/>
              <w:jc w:val="center"/>
              <w:rPr>
                <w:sz w:val="18"/>
                <w:szCs w:val="18"/>
              </w:rPr>
            </w:pPr>
            <w:r w:rsidRPr="00CB39D1">
              <w:rPr>
                <w:sz w:val="18"/>
                <w:szCs w:val="18"/>
              </w:rPr>
              <w:t>3,701.9</w:t>
            </w:r>
          </w:p>
        </w:tc>
        <w:tc>
          <w:tcPr>
            <w:tcW w:w="992" w:type="dxa"/>
            <w:vAlign w:val="center"/>
            <w:hideMark/>
          </w:tcPr>
          <w:p w14:paraId="529DCE87" w14:textId="77777777" w:rsidR="00CB39D1" w:rsidRPr="00CB39D1" w:rsidRDefault="00CB39D1" w:rsidP="00CB39D1">
            <w:pPr>
              <w:spacing w:before="0" w:after="0" w:line="240" w:lineRule="auto"/>
              <w:jc w:val="center"/>
              <w:rPr>
                <w:sz w:val="18"/>
                <w:szCs w:val="18"/>
              </w:rPr>
            </w:pPr>
          </w:p>
        </w:tc>
        <w:tc>
          <w:tcPr>
            <w:tcW w:w="1089" w:type="dxa"/>
          </w:tcPr>
          <w:p w14:paraId="0B08F440" w14:textId="77777777" w:rsidR="00CB39D1" w:rsidRPr="00CB39D1" w:rsidRDefault="00CB39D1" w:rsidP="00CB39D1">
            <w:pPr>
              <w:spacing w:before="0" w:after="0" w:line="240" w:lineRule="auto"/>
              <w:jc w:val="center"/>
              <w:rPr>
                <w:sz w:val="18"/>
                <w:szCs w:val="18"/>
              </w:rPr>
            </w:pPr>
          </w:p>
        </w:tc>
      </w:tr>
      <w:tr w:rsidR="00CB39D1" w:rsidRPr="00CB39D1" w14:paraId="1F42CE84" w14:textId="77777777" w:rsidTr="008D4E1E">
        <w:trPr>
          <w:trHeight w:val="331"/>
        </w:trPr>
        <w:tc>
          <w:tcPr>
            <w:tcW w:w="1266" w:type="dxa"/>
            <w:vMerge/>
            <w:vAlign w:val="center"/>
            <w:hideMark/>
          </w:tcPr>
          <w:p w14:paraId="163D86A8" w14:textId="77777777" w:rsidR="00CB39D1" w:rsidRPr="00CB39D1" w:rsidRDefault="00CB39D1" w:rsidP="00CB39D1">
            <w:pPr>
              <w:spacing w:before="0" w:after="0" w:line="240" w:lineRule="auto"/>
              <w:jc w:val="center"/>
              <w:rPr>
                <w:sz w:val="18"/>
                <w:szCs w:val="18"/>
                <w:lang w:val="ru-RU" w:eastAsia="ru-RU"/>
              </w:rPr>
            </w:pPr>
          </w:p>
        </w:tc>
        <w:tc>
          <w:tcPr>
            <w:tcW w:w="2835" w:type="dxa"/>
            <w:vAlign w:val="center"/>
            <w:hideMark/>
          </w:tcPr>
          <w:p w14:paraId="51638B82" w14:textId="77777777" w:rsidR="00CB39D1" w:rsidRPr="00CB39D1" w:rsidRDefault="00CB39D1" w:rsidP="00CB39D1">
            <w:pPr>
              <w:spacing w:before="0" w:after="0" w:line="240" w:lineRule="auto"/>
              <w:jc w:val="both"/>
              <w:rPr>
                <w:i/>
                <w:color w:val="A5A6AC" w:themeColor="accent3" w:themeTint="99"/>
                <w:sz w:val="18"/>
                <w:szCs w:val="18"/>
              </w:rPr>
            </w:pPr>
            <w:r w:rsidRPr="00CB39D1">
              <w:rPr>
                <w:i/>
                <w:color w:val="A5A6AC" w:themeColor="accent3" w:themeTint="99"/>
                <w:sz w:val="18"/>
                <w:szCs w:val="18"/>
              </w:rPr>
              <w:t>%-ով՝ ՀՆԱ-ի նկատմամբ</w:t>
            </w:r>
          </w:p>
        </w:tc>
        <w:tc>
          <w:tcPr>
            <w:tcW w:w="851" w:type="dxa"/>
            <w:vAlign w:val="center"/>
            <w:hideMark/>
          </w:tcPr>
          <w:p w14:paraId="72EBE812" w14:textId="77777777" w:rsidR="00CB39D1" w:rsidRPr="00CB39D1" w:rsidRDefault="00CB39D1" w:rsidP="00CB39D1">
            <w:pPr>
              <w:spacing w:before="0" w:after="0" w:line="240" w:lineRule="auto"/>
              <w:jc w:val="center"/>
              <w:rPr>
                <w:i/>
                <w:color w:val="A5A6AC" w:themeColor="accent3" w:themeTint="99"/>
                <w:sz w:val="18"/>
                <w:szCs w:val="18"/>
              </w:rPr>
            </w:pPr>
            <w:r w:rsidRPr="00CB39D1">
              <w:rPr>
                <w:i/>
                <w:color w:val="A5A6AC" w:themeColor="accent3" w:themeTint="99"/>
                <w:sz w:val="18"/>
                <w:szCs w:val="18"/>
              </w:rPr>
              <w:t>27.9%</w:t>
            </w:r>
          </w:p>
        </w:tc>
        <w:tc>
          <w:tcPr>
            <w:tcW w:w="850" w:type="dxa"/>
            <w:vAlign w:val="center"/>
            <w:hideMark/>
          </w:tcPr>
          <w:p w14:paraId="5F32DF51" w14:textId="77777777" w:rsidR="00CB39D1" w:rsidRPr="00CB39D1" w:rsidRDefault="00CB39D1" w:rsidP="00CB39D1">
            <w:pPr>
              <w:spacing w:before="0" w:after="0" w:line="240" w:lineRule="auto"/>
              <w:jc w:val="center"/>
              <w:rPr>
                <w:i/>
                <w:color w:val="A5A6AC" w:themeColor="accent3" w:themeTint="99"/>
                <w:sz w:val="18"/>
                <w:szCs w:val="18"/>
              </w:rPr>
            </w:pPr>
            <w:r w:rsidRPr="00CB39D1">
              <w:rPr>
                <w:i/>
                <w:color w:val="A5A6AC" w:themeColor="accent3" w:themeTint="99"/>
                <w:sz w:val="18"/>
                <w:szCs w:val="18"/>
              </w:rPr>
              <w:t>28.0%</w:t>
            </w:r>
          </w:p>
        </w:tc>
        <w:tc>
          <w:tcPr>
            <w:tcW w:w="851" w:type="dxa"/>
            <w:vAlign w:val="center"/>
            <w:hideMark/>
          </w:tcPr>
          <w:p w14:paraId="3DAE0C1B" w14:textId="77777777" w:rsidR="00CB39D1" w:rsidRPr="00CB39D1" w:rsidRDefault="00CB39D1" w:rsidP="00CB39D1">
            <w:pPr>
              <w:spacing w:before="0" w:after="0" w:line="240" w:lineRule="auto"/>
              <w:jc w:val="center"/>
              <w:rPr>
                <w:i/>
                <w:color w:val="A5A6AC" w:themeColor="accent3" w:themeTint="99"/>
                <w:sz w:val="18"/>
                <w:szCs w:val="18"/>
              </w:rPr>
            </w:pPr>
            <w:r w:rsidRPr="00CB39D1">
              <w:rPr>
                <w:i/>
                <w:color w:val="A5A6AC" w:themeColor="accent3" w:themeTint="99"/>
                <w:sz w:val="18"/>
                <w:szCs w:val="18"/>
              </w:rPr>
              <w:t>28.0%</w:t>
            </w:r>
          </w:p>
        </w:tc>
        <w:tc>
          <w:tcPr>
            <w:tcW w:w="992" w:type="dxa"/>
            <w:vAlign w:val="center"/>
            <w:hideMark/>
          </w:tcPr>
          <w:p w14:paraId="59132DF1" w14:textId="77777777" w:rsidR="00CB39D1" w:rsidRPr="00CB39D1" w:rsidRDefault="00CB39D1" w:rsidP="00CB39D1">
            <w:pPr>
              <w:spacing w:before="0" w:after="0" w:line="240" w:lineRule="auto"/>
              <w:jc w:val="center"/>
              <w:rPr>
                <w:i/>
                <w:color w:val="A5A6AC" w:themeColor="accent3" w:themeTint="99"/>
                <w:sz w:val="18"/>
                <w:szCs w:val="18"/>
              </w:rPr>
            </w:pPr>
            <w:r w:rsidRPr="00CB39D1">
              <w:rPr>
                <w:i/>
                <w:color w:val="A5A6AC" w:themeColor="accent3" w:themeTint="99"/>
                <w:sz w:val="18"/>
                <w:szCs w:val="18"/>
              </w:rPr>
              <w:t>28.2%</w:t>
            </w:r>
          </w:p>
        </w:tc>
        <w:tc>
          <w:tcPr>
            <w:tcW w:w="992" w:type="dxa"/>
            <w:vAlign w:val="center"/>
            <w:hideMark/>
          </w:tcPr>
          <w:p w14:paraId="4FD650FD" w14:textId="77777777" w:rsidR="00CB39D1" w:rsidRPr="00CB39D1" w:rsidRDefault="00CB39D1" w:rsidP="00CB39D1">
            <w:pPr>
              <w:spacing w:before="0" w:after="0" w:line="240" w:lineRule="auto"/>
              <w:jc w:val="center"/>
              <w:rPr>
                <w:i/>
                <w:color w:val="A5A6AC" w:themeColor="accent3" w:themeTint="99"/>
                <w:sz w:val="18"/>
                <w:szCs w:val="18"/>
              </w:rPr>
            </w:pPr>
          </w:p>
        </w:tc>
        <w:tc>
          <w:tcPr>
            <w:tcW w:w="1089" w:type="dxa"/>
          </w:tcPr>
          <w:p w14:paraId="6BEDDCF7" w14:textId="77777777" w:rsidR="00CB39D1" w:rsidRPr="00CB39D1" w:rsidRDefault="00CB39D1" w:rsidP="00CB39D1">
            <w:pPr>
              <w:spacing w:before="0" w:after="0" w:line="240" w:lineRule="auto"/>
              <w:jc w:val="center"/>
              <w:rPr>
                <w:i/>
                <w:color w:val="A5A6AC" w:themeColor="accent3" w:themeTint="99"/>
                <w:sz w:val="18"/>
                <w:szCs w:val="18"/>
              </w:rPr>
            </w:pPr>
          </w:p>
        </w:tc>
      </w:tr>
      <w:tr w:rsidR="00CB39D1" w:rsidRPr="00CB39D1" w14:paraId="49370E24" w14:textId="77777777" w:rsidTr="008D4E1E">
        <w:trPr>
          <w:trHeight w:val="331"/>
        </w:trPr>
        <w:tc>
          <w:tcPr>
            <w:tcW w:w="1266" w:type="dxa"/>
            <w:vMerge/>
            <w:vAlign w:val="center"/>
            <w:hideMark/>
          </w:tcPr>
          <w:p w14:paraId="60F96F40" w14:textId="77777777" w:rsidR="00CB39D1" w:rsidRPr="00CB39D1" w:rsidRDefault="00CB39D1" w:rsidP="00CB39D1">
            <w:pPr>
              <w:spacing w:before="0" w:after="0" w:line="240" w:lineRule="auto"/>
              <w:jc w:val="center"/>
              <w:rPr>
                <w:sz w:val="18"/>
                <w:szCs w:val="18"/>
                <w:lang w:val="ru-RU" w:eastAsia="ru-RU"/>
              </w:rPr>
            </w:pPr>
          </w:p>
        </w:tc>
        <w:tc>
          <w:tcPr>
            <w:tcW w:w="2835" w:type="dxa"/>
            <w:noWrap/>
            <w:vAlign w:val="center"/>
            <w:hideMark/>
          </w:tcPr>
          <w:p w14:paraId="5C2DC729" w14:textId="77777777" w:rsidR="00CB39D1" w:rsidRPr="00CB39D1" w:rsidRDefault="00CB39D1" w:rsidP="00CB39D1">
            <w:pPr>
              <w:spacing w:before="0" w:after="0" w:line="240" w:lineRule="auto"/>
              <w:jc w:val="both"/>
              <w:rPr>
                <w:sz w:val="18"/>
                <w:szCs w:val="18"/>
              </w:rPr>
            </w:pPr>
            <w:r w:rsidRPr="00CB39D1">
              <w:rPr>
                <w:sz w:val="18"/>
                <w:szCs w:val="18"/>
              </w:rPr>
              <w:t>2024թ. Պետական բյուջե</w:t>
            </w:r>
          </w:p>
        </w:tc>
        <w:tc>
          <w:tcPr>
            <w:tcW w:w="851" w:type="dxa"/>
            <w:vAlign w:val="center"/>
            <w:hideMark/>
          </w:tcPr>
          <w:p w14:paraId="633E52B9" w14:textId="77777777" w:rsidR="00CB39D1" w:rsidRPr="00CB39D1" w:rsidRDefault="00CB39D1" w:rsidP="00CB39D1">
            <w:pPr>
              <w:spacing w:before="0" w:after="0" w:line="240" w:lineRule="auto"/>
              <w:jc w:val="center"/>
              <w:rPr>
                <w:sz w:val="18"/>
                <w:szCs w:val="18"/>
              </w:rPr>
            </w:pPr>
            <w:r w:rsidRPr="00CB39D1">
              <w:rPr>
                <w:sz w:val="18"/>
                <w:szCs w:val="18"/>
              </w:rPr>
              <w:t>2,653.4</w:t>
            </w:r>
          </w:p>
        </w:tc>
        <w:tc>
          <w:tcPr>
            <w:tcW w:w="850" w:type="dxa"/>
            <w:vAlign w:val="center"/>
            <w:hideMark/>
          </w:tcPr>
          <w:p w14:paraId="68F87373" w14:textId="77777777" w:rsidR="00CB39D1" w:rsidRPr="00CB39D1" w:rsidRDefault="00CB39D1" w:rsidP="00CB39D1">
            <w:pPr>
              <w:spacing w:before="0" w:after="0" w:line="240" w:lineRule="auto"/>
              <w:jc w:val="center"/>
              <w:rPr>
                <w:sz w:val="18"/>
                <w:szCs w:val="18"/>
              </w:rPr>
            </w:pPr>
            <w:r w:rsidRPr="00CB39D1">
              <w:rPr>
                <w:sz w:val="18"/>
                <w:szCs w:val="18"/>
              </w:rPr>
              <w:t>3,146.0</w:t>
            </w:r>
          </w:p>
        </w:tc>
        <w:tc>
          <w:tcPr>
            <w:tcW w:w="851" w:type="dxa"/>
            <w:vAlign w:val="center"/>
            <w:hideMark/>
          </w:tcPr>
          <w:p w14:paraId="1E71E05D" w14:textId="77777777" w:rsidR="00CB39D1" w:rsidRPr="00CB39D1" w:rsidRDefault="00CB39D1" w:rsidP="00CB39D1">
            <w:pPr>
              <w:spacing w:before="0" w:after="0" w:line="240" w:lineRule="auto"/>
              <w:jc w:val="center"/>
              <w:rPr>
                <w:sz w:val="18"/>
                <w:szCs w:val="18"/>
              </w:rPr>
            </w:pPr>
          </w:p>
        </w:tc>
        <w:tc>
          <w:tcPr>
            <w:tcW w:w="992" w:type="dxa"/>
            <w:noWrap/>
            <w:vAlign w:val="center"/>
            <w:hideMark/>
          </w:tcPr>
          <w:p w14:paraId="11B9249B" w14:textId="77777777" w:rsidR="00CB39D1" w:rsidRPr="00CB39D1" w:rsidRDefault="00CB39D1" w:rsidP="00CB39D1">
            <w:pPr>
              <w:spacing w:before="0" w:after="0" w:line="240" w:lineRule="auto"/>
              <w:jc w:val="center"/>
              <w:rPr>
                <w:sz w:val="18"/>
                <w:szCs w:val="18"/>
              </w:rPr>
            </w:pPr>
          </w:p>
        </w:tc>
        <w:tc>
          <w:tcPr>
            <w:tcW w:w="992" w:type="dxa"/>
            <w:vAlign w:val="center"/>
            <w:hideMark/>
          </w:tcPr>
          <w:p w14:paraId="06BE1977" w14:textId="77777777" w:rsidR="00CB39D1" w:rsidRPr="00CB39D1" w:rsidRDefault="00CB39D1" w:rsidP="00CB39D1">
            <w:pPr>
              <w:spacing w:before="0" w:after="0" w:line="240" w:lineRule="auto"/>
              <w:jc w:val="center"/>
              <w:rPr>
                <w:sz w:val="18"/>
                <w:szCs w:val="18"/>
              </w:rPr>
            </w:pPr>
          </w:p>
        </w:tc>
        <w:tc>
          <w:tcPr>
            <w:tcW w:w="1089" w:type="dxa"/>
          </w:tcPr>
          <w:p w14:paraId="45E3A4D3" w14:textId="77777777" w:rsidR="00CB39D1" w:rsidRPr="00CB39D1" w:rsidRDefault="00CB39D1" w:rsidP="00CB39D1">
            <w:pPr>
              <w:spacing w:before="0" w:after="0" w:line="240" w:lineRule="auto"/>
              <w:jc w:val="center"/>
              <w:rPr>
                <w:sz w:val="18"/>
                <w:szCs w:val="18"/>
              </w:rPr>
            </w:pPr>
          </w:p>
        </w:tc>
      </w:tr>
      <w:tr w:rsidR="00CB39D1" w:rsidRPr="00CB39D1" w14:paraId="2837D0A9" w14:textId="77777777" w:rsidTr="008D4E1E">
        <w:trPr>
          <w:trHeight w:val="331"/>
        </w:trPr>
        <w:tc>
          <w:tcPr>
            <w:tcW w:w="1266" w:type="dxa"/>
            <w:vMerge/>
            <w:vAlign w:val="center"/>
            <w:hideMark/>
          </w:tcPr>
          <w:p w14:paraId="60264C99" w14:textId="77777777" w:rsidR="00CB39D1" w:rsidRPr="00CB39D1" w:rsidRDefault="00CB39D1" w:rsidP="00CB39D1">
            <w:pPr>
              <w:spacing w:before="0" w:after="0" w:line="240" w:lineRule="auto"/>
              <w:jc w:val="center"/>
              <w:rPr>
                <w:sz w:val="18"/>
                <w:szCs w:val="18"/>
                <w:lang w:val="ru-RU" w:eastAsia="ru-RU"/>
              </w:rPr>
            </w:pPr>
          </w:p>
        </w:tc>
        <w:tc>
          <w:tcPr>
            <w:tcW w:w="2835" w:type="dxa"/>
            <w:vAlign w:val="center"/>
            <w:hideMark/>
          </w:tcPr>
          <w:p w14:paraId="38557B66" w14:textId="77777777" w:rsidR="00CB39D1" w:rsidRPr="00CB39D1" w:rsidRDefault="00CB39D1" w:rsidP="00CB39D1">
            <w:pPr>
              <w:spacing w:before="0" w:after="0" w:line="240" w:lineRule="auto"/>
              <w:jc w:val="both"/>
              <w:rPr>
                <w:i/>
                <w:color w:val="A5A6AC" w:themeColor="accent3" w:themeTint="99"/>
                <w:sz w:val="18"/>
                <w:szCs w:val="18"/>
              </w:rPr>
            </w:pPr>
            <w:r w:rsidRPr="00CB39D1">
              <w:rPr>
                <w:i/>
                <w:color w:val="A5A6AC" w:themeColor="accent3" w:themeTint="99"/>
                <w:sz w:val="18"/>
                <w:szCs w:val="18"/>
              </w:rPr>
              <w:t>%-ով՝ ՀՆԱ-ի նկատմամբ</w:t>
            </w:r>
          </w:p>
        </w:tc>
        <w:tc>
          <w:tcPr>
            <w:tcW w:w="851" w:type="dxa"/>
            <w:vAlign w:val="center"/>
            <w:hideMark/>
          </w:tcPr>
          <w:p w14:paraId="426BCE86" w14:textId="77777777" w:rsidR="00CB39D1" w:rsidRPr="00CB39D1" w:rsidRDefault="00CB39D1" w:rsidP="00CB39D1">
            <w:pPr>
              <w:spacing w:before="0" w:after="0" w:line="240" w:lineRule="auto"/>
              <w:jc w:val="center"/>
              <w:rPr>
                <w:i/>
                <w:color w:val="A5A6AC" w:themeColor="accent3" w:themeTint="99"/>
                <w:sz w:val="18"/>
                <w:szCs w:val="18"/>
              </w:rPr>
            </w:pPr>
            <w:r w:rsidRPr="00CB39D1">
              <w:rPr>
                <w:i/>
                <w:color w:val="A5A6AC" w:themeColor="accent3" w:themeTint="99"/>
                <w:sz w:val="18"/>
                <w:szCs w:val="18"/>
              </w:rPr>
              <w:t>28.1%</w:t>
            </w:r>
          </w:p>
        </w:tc>
        <w:tc>
          <w:tcPr>
            <w:tcW w:w="850" w:type="dxa"/>
            <w:vAlign w:val="center"/>
            <w:hideMark/>
          </w:tcPr>
          <w:p w14:paraId="3CDEB5AF" w14:textId="77777777" w:rsidR="00CB39D1" w:rsidRPr="00CB39D1" w:rsidRDefault="00CB39D1" w:rsidP="00CB39D1">
            <w:pPr>
              <w:spacing w:before="0" w:after="0" w:line="240" w:lineRule="auto"/>
              <w:jc w:val="center"/>
              <w:rPr>
                <w:i/>
                <w:color w:val="A5A6AC" w:themeColor="accent3" w:themeTint="99"/>
                <w:sz w:val="18"/>
                <w:szCs w:val="18"/>
              </w:rPr>
            </w:pPr>
            <w:r w:rsidRPr="00CB39D1">
              <w:rPr>
                <w:i/>
                <w:color w:val="A5A6AC" w:themeColor="accent3" w:themeTint="99"/>
                <w:sz w:val="18"/>
                <w:szCs w:val="18"/>
              </w:rPr>
              <w:t>29.9%</w:t>
            </w:r>
          </w:p>
        </w:tc>
        <w:tc>
          <w:tcPr>
            <w:tcW w:w="851" w:type="dxa"/>
            <w:vAlign w:val="center"/>
            <w:hideMark/>
          </w:tcPr>
          <w:p w14:paraId="46ECCD98" w14:textId="77777777" w:rsidR="00CB39D1" w:rsidRPr="00CB39D1" w:rsidRDefault="00CB39D1" w:rsidP="00CB39D1">
            <w:pPr>
              <w:spacing w:before="0" w:after="0" w:line="240" w:lineRule="auto"/>
              <w:jc w:val="center"/>
              <w:rPr>
                <w:i/>
                <w:color w:val="A5A6AC" w:themeColor="accent3" w:themeTint="99"/>
                <w:sz w:val="18"/>
                <w:szCs w:val="18"/>
              </w:rPr>
            </w:pPr>
          </w:p>
        </w:tc>
        <w:tc>
          <w:tcPr>
            <w:tcW w:w="992" w:type="dxa"/>
            <w:noWrap/>
            <w:vAlign w:val="center"/>
            <w:hideMark/>
          </w:tcPr>
          <w:p w14:paraId="059823F4" w14:textId="77777777" w:rsidR="00CB39D1" w:rsidRPr="00CB39D1" w:rsidRDefault="00CB39D1" w:rsidP="00CB39D1">
            <w:pPr>
              <w:spacing w:before="0" w:after="0" w:line="240" w:lineRule="auto"/>
              <w:jc w:val="center"/>
              <w:rPr>
                <w:i/>
                <w:color w:val="A5A6AC" w:themeColor="accent3" w:themeTint="99"/>
                <w:sz w:val="18"/>
                <w:szCs w:val="18"/>
              </w:rPr>
            </w:pPr>
          </w:p>
        </w:tc>
        <w:tc>
          <w:tcPr>
            <w:tcW w:w="992" w:type="dxa"/>
            <w:vAlign w:val="center"/>
            <w:hideMark/>
          </w:tcPr>
          <w:p w14:paraId="38A7F20D" w14:textId="77777777" w:rsidR="00CB39D1" w:rsidRPr="00CB39D1" w:rsidRDefault="00CB39D1" w:rsidP="00CB39D1">
            <w:pPr>
              <w:spacing w:before="0" w:after="0" w:line="240" w:lineRule="auto"/>
              <w:jc w:val="center"/>
              <w:rPr>
                <w:i/>
                <w:color w:val="A5A6AC" w:themeColor="accent3" w:themeTint="99"/>
                <w:sz w:val="18"/>
                <w:szCs w:val="18"/>
              </w:rPr>
            </w:pPr>
          </w:p>
        </w:tc>
        <w:tc>
          <w:tcPr>
            <w:tcW w:w="1089" w:type="dxa"/>
          </w:tcPr>
          <w:p w14:paraId="1DFDAF39" w14:textId="77777777" w:rsidR="00CB39D1" w:rsidRPr="00CB39D1" w:rsidRDefault="00CB39D1" w:rsidP="00CB39D1">
            <w:pPr>
              <w:spacing w:before="0" w:after="0" w:line="240" w:lineRule="auto"/>
              <w:jc w:val="center"/>
              <w:rPr>
                <w:i/>
                <w:color w:val="A5A6AC" w:themeColor="accent3" w:themeTint="99"/>
                <w:sz w:val="18"/>
                <w:szCs w:val="18"/>
              </w:rPr>
            </w:pPr>
          </w:p>
        </w:tc>
      </w:tr>
      <w:tr w:rsidR="00CB39D1" w:rsidRPr="00CB39D1" w14:paraId="0E169C74" w14:textId="77777777" w:rsidTr="008D4E1E">
        <w:trPr>
          <w:trHeight w:val="331"/>
        </w:trPr>
        <w:tc>
          <w:tcPr>
            <w:tcW w:w="1266" w:type="dxa"/>
            <w:vMerge w:val="restart"/>
            <w:vAlign w:val="center"/>
            <w:hideMark/>
          </w:tcPr>
          <w:p w14:paraId="004CAAA8" w14:textId="77777777" w:rsidR="00CB39D1" w:rsidRPr="00CB39D1" w:rsidRDefault="00CB39D1" w:rsidP="00CB39D1">
            <w:pPr>
              <w:spacing w:before="0" w:after="0" w:line="240" w:lineRule="auto"/>
              <w:jc w:val="center"/>
              <w:rPr>
                <w:sz w:val="18"/>
                <w:szCs w:val="18"/>
              </w:rPr>
            </w:pPr>
            <w:r w:rsidRPr="00CB39D1">
              <w:rPr>
                <w:sz w:val="18"/>
                <w:szCs w:val="18"/>
              </w:rPr>
              <w:t>2024</w:t>
            </w:r>
          </w:p>
        </w:tc>
        <w:tc>
          <w:tcPr>
            <w:tcW w:w="2835" w:type="dxa"/>
            <w:noWrap/>
            <w:vAlign w:val="center"/>
            <w:hideMark/>
          </w:tcPr>
          <w:p w14:paraId="183B988B" w14:textId="77777777" w:rsidR="00CB39D1" w:rsidRPr="00CB39D1" w:rsidRDefault="00CB39D1" w:rsidP="00CB39D1">
            <w:pPr>
              <w:spacing w:before="0" w:after="0" w:line="240" w:lineRule="auto"/>
              <w:jc w:val="both"/>
              <w:rPr>
                <w:sz w:val="18"/>
                <w:szCs w:val="18"/>
              </w:rPr>
            </w:pPr>
            <w:r w:rsidRPr="00CB39D1">
              <w:rPr>
                <w:sz w:val="18"/>
                <w:szCs w:val="18"/>
              </w:rPr>
              <w:t>ՄԺԾԾ 2025-2027</w:t>
            </w:r>
          </w:p>
        </w:tc>
        <w:tc>
          <w:tcPr>
            <w:tcW w:w="851" w:type="dxa"/>
            <w:vAlign w:val="center"/>
            <w:hideMark/>
          </w:tcPr>
          <w:p w14:paraId="4157D81A" w14:textId="77777777" w:rsidR="00CB39D1" w:rsidRPr="00CB39D1" w:rsidRDefault="00CB39D1" w:rsidP="00CB39D1">
            <w:pPr>
              <w:spacing w:before="0" w:after="0" w:line="240" w:lineRule="auto"/>
              <w:jc w:val="center"/>
              <w:rPr>
                <w:sz w:val="18"/>
                <w:szCs w:val="18"/>
              </w:rPr>
            </w:pPr>
          </w:p>
        </w:tc>
        <w:tc>
          <w:tcPr>
            <w:tcW w:w="850" w:type="dxa"/>
            <w:vAlign w:val="center"/>
            <w:hideMark/>
          </w:tcPr>
          <w:p w14:paraId="620A29DA" w14:textId="77777777" w:rsidR="00CB39D1" w:rsidRPr="00CB39D1" w:rsidRDefault="00CB39D1" w:rsidP="00CB39D1">
            <w:pPr>
              <w:spacing w:before="0" w:after="0" w:line="240" w:lineRule="auto"/>
              <w:jc w:val="center"/>
              <w:rPr>
                <w:sz w:val="18"/>
                <w:szCs w:val="18"/>
              </w:rPr>
            </w:pPr>
            <w:r w:rsidRPr="00CB39D1">
              <w:rPr>
                <w:sz w:val="18"/>
                <w:szCs w:val="18"/>
              </w:rPr>
              <w:t>3,117.6</w:t>
            </w:r>
          </w:p>
        </w:tc>
        <w:tc>
          <w:tcPr>
            <w:tcW w:w="851" w:type="dxa"/>
            <w:vAlign w:val="center"/>
            <w:hideMark/>
          </w:tcPr>
          <w:p w14:paraId="3AF47C64" w14:textId="77777777" w:rsidR="00CB39D1" w:rsidRPr="00CB39D1" w:rsidRDefault="00CB39D1" w:rsidP="00CB39D1">
            <w:pPr>
              <w:spacing w:before="0" w:after="0" w:line="240" w:lineRule="auto"/>
              <w:jc w:val="center"/>
              <w:rPr>
                <w:sz w:val="18"/>
                <w:szCs w:val="18"/>
              </w:rPr>
            </w:pPr>
            <w:r w:rsidRPr="00CB39D1">
              <w:rPr>
                <w:sz w:val="18"/>
                <w:szCs w:val="18"/>
              </w:rPr>
              <w:t>3,513.4</w:t>
            </w:r>
          </w:p>
        </w:tc>
        <w:tc>
          <w:tcPr>
            <w:tcW w:w="992" w:type="dxa"/>
            <w:vAlign w:val="center"/>
            <w:hideMark/>
          </w:tcPr>
          <w:p w14:paraId="5054ED42" w14:textId="77777777" w:rsidR="00CB39D1" w:rsidRPr="00CB39D1" w:rsidRDefault="00CB39D1" w:rsidP="00CB39D1">
            <w:pPr>
              <w:spacing w:before="0" w:after="0" w:line="240" w:lineRule="auto"/>
              <w:jc w:val="center"/>
              <w:rPr>
                <w:sz w:val="18"/>
                <w:szCs w:val="18"/>
              </w:rPr>
            </w:pPr>
            <w:r w:rsidRPr="00CB39D1">
              <w:rPr>
                <w:sz w:val="18"/>
                <w:szCs w:val="18"/>
              </w:rPr>
              <w:t>3,812.1</w:t>
            </w:r>
          </w:p>
        </w:tc>
        <w:tc>
          <w:tcPr>
            <w:tcW w:w="992" w:type="dxa"/>
            <w:vAlign w:val="center"/>
            <w:hideMark/>
          </w:tcPr>
          <w:p w14:paraId="651ECA27" w14:textId="77777777" w:rsidR="00CB39D1" w:rsidRPr="00CB39D1" w:rsidRDefault="00CB39D1" w:rsidP="00CB39D1">
            <w:pPr>
              <w:spacing w:before="0" w:after="0" w:line="240" w:lineRule="auto"/>
              <w:jc w:val="center"/>
              <w:rPr>
                <w:sz w:val="18"/>
                <w:szCs w:val="18"/>
              </w:rPr>
            </w:pPr>
            <w:r w:rsidRPr="00CB39D1">
              <w:rPr>
                <w:sz w:val="18"/>
                <w:szCs w:val="18"/>
              </w:rPr>
              <w:t>4,086.8</w:t>
            </w:r>
          </w:p>
        </w:tc>
        <w:tc>
          <w:tcPr>
            <w:tcW w:w="1089" w:type="dxa"/>
          </w:tcPr>
          <w:p w14:paraId="693E1774" w14:textId="77777777" w:rsidR="00CB39D1" w:rsidRPr="00CB39D1" w:rsidRDefault="00CB39D1" w:rsidP="00CB39D1">
            <w:pPr>
              <w:spacing w:before="0" w:after="0" w:line="240" w:lineRule="auto"/>
              <w:jc w:val="center"/>
              <w:rPr>
                <w:sz w:val="18"/>
                <w:szCs w:val="18"/>
              </w:rPr>
            </w:pPr>
          </w:p>
        </w:tc>
      </w:tr>
      <w:tr w:rsidR="00CB39D1" w:rsidRPr="00CB39D1" w14:paraId="0353AED2" w14:textId="77777777" w:rsidTr="008D4E1E">
        <w:trPr>
          <w:trHeight w:val="331"/>
        </w:trPr>
        <w:tc>
          <w:tcPr>
            <w:tcW w:w="1266" w:type="dxa"/>
            <w:vMerge/>
            <w:vAlign w:val="center"/>
            <w:hideMark/>
          </w:tcPr>
          <w:p w14:paraId="147CC36B" w14:textId="77777777" w:rsidR="00CB39D1" w:rsidRPr="00CB39D1" w:rsidRDefault="00CB39D1" w:rsidP="00CB39D1">
            <w:pPr>
              <w:spacing w:before="0" w:after="0" w:line="240" w:lineRule="auto"/>
              <w:jc w:val="center"/>
              <w:rPr>
                <w:sz w:val="18"/>
                <w:szCs w:val="18"/>
              </w:rPr>
            </w:pPr>
          </w:p>
        </w:tc>
        <w:tc>
          <w:tcPr>
            <w:tcW w:w="2835" w:type="dxa"/>
            <w:vAlign w:val="center"/>
            <w:hideMark/>
          </w:tcPr>
          <w:p w14:paraId="116198F8" w14:textId="77777777" w:rsidR="00CB39D1" w:rsidRPr="00CB39D1" w:rsidRDefault="00CB39D1" w:rsidP="00CB39D1">
            <w:pPr>
              <w:spacing w:before="0" w:after="0" w:line="240" w:lineRule="auto"/>
              <w:jc w:val="both"/>
              <w:rPr>
                <w:i/>
                <w:color w:val="A5A6AC" w:themeColor="accent3" w:themeTint="99"/>
                <w:sz w:val="18"/>
                <w:szCs w:val="18"/>
              </w:rPr>
            </w:pPr>
            <w:r w:rsidRPr="00CB39D1">
              <w:rPr>
                <w:i/>
                <w:color w:val="A5A6AC" w:themeColor="accent3" w:themeTint="99"/>
                <w:sz w:val="18"/>
                <w:szCs w:val="18"/>
              </w:rPr>
              <w:t>%-ով՝ ՀՆԱ-ի նկատմամբ</w:t>
            </w:r>
          </w:p>
        </w:tc>
        <w:tc>
          <w:tcPr>
            <w:tcW w:w="851" w:type="dxa"/>
            <w:vAlign w:val="center"/>
            <w:hideMark/>
          </w:tcPr>
          <w:p w14:paraId="6836254D" w14:textId="77777777" w:rsidR="00CB39D1" w:rsidRPr="00CB39D1" w:rsidRDefault="00CB39D1" w:rsidP="00CB39D1">
            <w:pPr>
              <w:spacing w:before="0" w:after="0" w:line="240" w:lineRule="auto"/>
              <w:jc w:val="center"/>
              <w:rPr>
                <w:i/>
                <w:color w:val="A5A6AC" w:themeColor="accent3" w:themeTint="99"/>
                <w:sz w:val="18"/>
                <w:szCs w:val="18"/>
              </w:rPr>
            </w:pPr>
          </w:p>
        </w:tc>
        <w:tc>
          <w:tcPr>
            <w:tcW w:w="850" w:type="dxa"/>
            <w:vAlign w:val="center"/>
            <w:hideMark/>
          </w:tcPr>
          <w:p w14:paraId="0041F88F" w14:textId="77777777" w:rsidR="00CB39D1" w:rsidRPr="00CB39D1" w:rsidRDefault="00CB39D1" w:rsidP="00CB39D1">
            <w:pPr>
              <w:spacing w:before="0" w:after="0" w:line="240" w:lineRule="auto"/>
              <w:jc w:val="center"/>
              <w:rPr>
                <w:i/>
                <w:color w:val="A5A6AC" w:themeColor="accent3" w:themeTint="99"/>
                <w:sz w:val="18"/>
                <w:szCs w:val="18"/>
              </w:rPr>
            </w:pPr>
            <w:r w:rsidRPr="00CB39D1">
              <w:rPr>
                <w:i/>
                <w:color w:val="A5A6AC" w:themeColor="accent3" w:themeTint="99"/>
                <w:sz w:val="18"/>
                <w:szCs w:val="18"/>
              </w:rPr>
              <w:t>30.5%</w:t>
            </w:r>
          </w:p>
        </w:tc>
        <w:tc>
          <w:tcPr>
            <w:tcW w:w="851" w:type="dxa"/>
            <w:vAlign w:val="center"/>
            <w:hideMark/>
          </w:tcPr>
          <w:p w14:paraId="7DE9238B" w14:textId="77777777" w:rsidR="00CB39D1" w:rsidRPr="00CB39D1" w:rsidRDefault="00CB39D1" w:rsidP="00CB39D1">
            <w:pPr>
              <w:spacing w:before="0" w:after="0" w:line="240" w:lineRule="auto"/>
              <w:jc w:val="center"/>
              <w:rPr>
                <w:i/>
                <w:color w:val="A5A6AC" w:themeColor="accent3" w:themeTint="99"/>
                <w:sz w:val="18"/>
                <w:szCs w:val="18"/>
              </w:rPr>
            </w:pPr>
            <w:r w:rsidRPr="00CB39D1">
              <w:rPr>
                <w:i/>
                <w:color w:val="A5A6AC" w:themeColor="accent3" w:themeTint="99"/>
                <w:sz w:val="18"/>
                <w:szCs w:val="18"/>
              </w:rPr>
              <w:t>31.4%</w:t>
            </w:r>
          </w:p>
        </w:tc>
        <w:tc>
          <w:tcPr>
            <w:tcW w:w="992" w:type="dxa"/>
            <w:vAlign w:val="center"/>
            <w:hideMark/>
          </w:tcPr>
          <w:p w14:paraId="74058208" w14:textId="77777777" w:rsidR="00CB39D1" w:rsidRPr="00CB39D1" w:rsidRDefault="00CB39D1" w:rsidP="00CB39D1">
            <w:pPr>
              <w:spacing w:before="0" w:after="0" w:line="240" w:lineRule="auto"/>
              <w:jc w:val="center"/>
              <w:rPr>
                <w:i/>
                <w:color w:val="A5A6AC" w:themeColor="accent3" w:themeTint="99"/>
                <w:sz w:val="18"/>
                <w:szCs w:val="18"/>
              </w:rPr>
            </w:pPr>
            <w:r w:rsidRPr="00CB39D1">
              <w:rPr>
                <w:i/>
                <w:color w:val="A5A6AC" w:themeColor="accent3" w:themeTint="99"/>
                <w:sz w:val="18"/>
                <w:szCs w:val="18"/>
              </w:rPr>
              <w:t>31.0%</w:t>
            </w:r>
          </w:p>
        </w:tc>
        <w:tc>
          <w:tcPr>
            <w:tcW w:w="992" w:type="dxa"/>
            <w:vAlign w:val="center"/>
            <w:hideMark/>
          </w:tcPr>
          <w:p w14:paraId="125A62C6" w14:textId="77777777" w:rsidR="00CB39D1" w:rsidRPr="00CB39D1" w:rsidRDefault="00CB39D1" w:rsidP="00CB39D1">
            <w:pPr>
              <w:spacing w:before="0" w:after="0" w:line="240" w:lineRule="auto"/>
              <w:jc w:val="center"/>
              <w:rPr>
                <w:i/>
                <w:color w:val="A5A6AC" w:themeColor="accent3" w:themeTint="99"/>
                <w:sz w:val="18"/>
                <w:szCs w:val="18"/>
              </w:rPr>
            </w:pPr>
            <w:r w:rsidRPr="00CB39D1">
              <w:rPr>
                <w:i/>
                <w:color w:val="A5A6AC" w:themeColor="accent3" w:themeTint="99"/>
                <w:sz w:val="18"/>
                <w:szCs w:val="18"/>
              </w:rPr>
              <w:t>30.3%</w:t>
            </w:r>
          </w:p>
        </w:tc>
        <w:tc>
          <w:tcPr>
            <w:tcW w:w="1089" w:type="dxa"/>
          </w:tcPr>
          <w:p w14:paraId="308BEEC4" w14:textId="77777777" w:rsidR="00CB39D1" w:rsidRPr="00CB39D1" w:rsidRDefault="00CB39D1" w:rsidP="00CB39D1">
            <w:pPr>
              <w:spacing w:before="0" w:after="0" w:line="240" w:lineRule="auto"/>
              <w:jc w:val="center"/>
              <w:rPr>
                <w:i/>
                <w:color w:val="A5A6AC" w:themeColor="accent3" w:themeTint="99"/>
                <w:sz w:val="18"/>
                <w:szCs w:val="18"/>
              </w:rPr>
            </w:pPr>
          </w:p>
        </w:tc>
      </w:tr>
      <w:tr w:rsidR="00CB39D1" w:rsidRPr="00CB39D1" w14:paraId="6CF15F09" w14:textId="77777777" w:rsidTr="008D4E1E">
        <w:trPr>
          <w:trHeight w:val="331"/>
        </w:trPr>
        <w:tc>
          <w:tcPr>
            <w:tcW w:w="1266" w:type="dxa"/>
            <w:vMerge/>
            <w:vAlign w:val="center"/>
            <w:hideMark/>
          </w:tcPr>
          <w:p w14:paraId="3C666B0E" w14:textId="77777777" w:rsidR="00CB39D1" w:rsidRPr="00CB39D1" w:rsidRDefault="00CB39D1" w:rsidP="00CB39D1">
            <w:pPr>
              <w:spacing w:before="0" w:after="0" w:line="240" w:lineRule="auto"/>
              <w:jc w:val="both"/>
              <w:rPr>
                <w:sz w:val="18"/>
                <w:szCs w:val="18"/>
                <w:lang w:val="ru-RU" w:eastAsia="ru-RU"/>
              </w:rPr>
            </w:pPr>
          </w:p>
        </w:tc>
        <w:tc>
          <w:tcPr>
            <w:tcW w:w="2835" w:type="dxa"/>
            <w:noWrap/>
            <w:vAlign w:val="center"/>
            <w:hideMark/>
          </w:tcPr>
          <w:p w14:paraId="4025DDD7" w14:textId="77777777" w:rsidR="00CB39D1" w:rsidRPr="00CB39D1" w:rsidRDefault="00CB39D1" w:rsidP="00CB39D1">
            <w:pPr>
              <w:spacing w:before="0" w:after="0" w:line="240" w:lineRule="auto"/>
              <w:jc w:val="both"/>
              <w:rPr>
                <w:sz w:val="18"/>
                <w:szCs w:val="18"/>
              </w:rPr>
            </w:pPr>
            <w:r w:rsidRPr="00CB39D1">
              <w:rPr>
                <w:sz w:val="18"/>
                <w:szCs w:val="18"/>
              </w:rPr>
              <w:t>2025թ. Պետական բյուջե</w:t>
            </w:r>
          </w:p>
        </w:tc>
        <w:tc>
          <w:tcPr>
            <w:tcW w:w="851" w:type="dxa"/>
            <w:vAlign w:val="center"/>
            <w:hideMark/>
          </w:tcPr>
          <w:p w14:paraId="07BC6537" w14:textId="77777777" w:rsidR="00CB39D1" w:rsidRPr="00CB39D1" w:rsidRDefault="00CB39D1" w:rsidP="00CB39D1">
            <w:pPr>
              <w:spacing w:before="0" w:after="0" w:line="240" w:lineRule="auto"/>
              <w:jc w:val="center"/>
              <w:rPr>
                <w:sz w:val="18"/>
                <w:szCs w:val="18"/>
              </w:rPr>
            </w:pPr>
          </w:p>
        </w:tc>
        <w:tc>
          <w:tcPr>
            <w:tcW w:w="850" w:type="dxa"/>
            <w:vAlign w:val="center"/>
            <w:hideMark/>
          </w:tcPr>
          <w:p w14:paraId="618395DE" w14:textId="77777777" w:rsidR="00CB39D1" w:rsidRPr="00CB39D1" w:rsidRDefault="00CB39D1" w:rsidP="00CB39D1">
            <w:pPr>
              <w:spacing w:before="0" w:after="0" w:line="240" w:lineRule="auto"/>
              <w:jc w:val="center"/>
              <w:rPr>
                <w:sz w:val="18"/>
                <w:szCs w:val="18"/>
              </w:rPr>
            </w:pPr>
            <w:r w:rsidRPr="00CB39D1">
              <w:rPr>
                <w:sz w:val="18"/>
                <w:szCs w:val="18"/>
              </w:rPr>
              <w:t>3,076.5</w:t>
            </w:r>
          </w:p>
        </w:tc>
        <w:tc>
          <w:tcPr>
            <w:tcW w:w="851" w:type="dxa"/>
            <w:vAlign w:val="center"/>
            <w:hideMark/>
          </w:tcPr>
          <w:p w14:paraId="101949E8" w14:textId="77777777" w:rsidR="00CB39D1" w:rsidRPr="00CB39D1" w:rsidRDefault="00CB39D1" w:rsidP="00CB39D1">
            <w:pPr>
              <w:spacing w:before="0" w:after="0" w:line="240" w:lineRule="auto"/>
              <w:jc w:val="center"/>
              <w:rPr>
                <w:sz w:val="18"/>
                <w:szCs w:val="18"/>
              </w:rPr>
            </w:pPr>
            <w:r w:rsidRPr="00CB39D1">
              <w:rPr>
                <w:sz w:val="18"/>
                <w:szCs w:val="18"/>
              </w:rPr>
              <w:t>3,441.6</w:t>
            </w:r>
          </w:p>
        </w:tc>
        <w:tc>
          <w:tcPr>
            <w:tcW w:w="992" w:type="dxa"/>
            <w:vAlign w:val="center"/>
            <w:hideMark/>
          </w:tcPr>
          <w:p w14:paraId="3534FE1B" w14:textId="77777777" w:rsidR="00CB39D1" w:rsidRPr="00CB39D1" w:rsidRDefault="00CB39D1" w:rsidP="00CB39D1">
            <w:pPr>
              <w:spacing w:before="0" w:after="0" w:line="240" w:lineRule="auto"/>
              <w:jc w:val="center"/>
              <w:rPr>
                <w:sz w:val="18"/>
                <w:szCs w:val="18"/>
              </w:rPr>
            </w:pPr>
            <w:r w:rsidRPr="00CB39D1">
              <w:rPr>
                <w:sz w:val="18"/>
                <w:szCs w:val="18"/>
              </w:rPr>
              <w:t>3,629.5</w:t>
            </w:r>
          </w:p>
        </w:tc>
        <w:tc>
          <w:tcPr>
            <w:tcW w:w="992" w:type="dxa"/>
            <w:vAlign w:val="center"/>
            <w:hideMark/>
          </w:tcPr>
          <w:p w14:paraId="4D052DD2" w14:textId="77777777" w:rsidR="00CB39D1" w:rsidRPr="00CB39D1" w:rsidRDefault="00CB39D1" w:rsidP="00CB39D1">
            <w:pPr>
              <w:spacing w:before="0" w:after="0" w:line="240" w:lineRule="auto"/>
              <w:jc w:val="center"/>
              <w:rPr>
                <w:sz w:val="18"/>
                <w:szCs w:val="18"/>
              </w:rPr>
            </w:pPr>
            <w:r w:rsidRPr="00CB39D1">
              <w:rPr>
                <w:sz w:val="18"/>
                <w:szCs w:val="18"/>
              </w:rPr>
              <w:t>3,849.8</w:t>
            </w:r>
          </w:p>
        </w:tc>
        <w:tc>
          <w:tcPr>
            <w:tcW w:w="1089" w:type="dxa"/>
          </w:tcPr>
          <w:p w14:paraId="5ABBAD3A" w14:textId="77777777" w:rsidR="00CB39D1" w:rsidRPr="00CB39D1" w:rsidRDefault="00CB39D1" w:rsidP="00CB39D1">
            <w:pPr>
              <w:spacing w:before="0" w:after="0" w:line="240" w:lineRule="auto"/>
              <w:jc w:val="center"/>
              <w:rPr>
                <w:sz w:val="18"/>
                <w:szCs w:val="18"/>
              </w:rPr>
            </w:pPr>
          </w:p>
        </w:tc>
      </w:tr>
      <w:tr w:rsidR="00CB39D1" w:rsidRPr="00CB39D1" w14:paraId="5E36227B" w14:textId="77777777" w:rsidTr="008D4E1E">
        <w:trPr>
          <w:trHeight w:val="331"/>
        </w:trPr>
        <w:tc>
          <w:tcPr>
            <w:tcW w:w="1266" w:type="dxa"/>
            <w:vMerge/>
            <w:vAlign w:val="center"/>
            <w:hideMark/>
          </w:tcPr>
          <w:p w14:paraId="02D7DBBA" w14:textId="77777777" w:rsidR="00CB39D1" w:rsidRPr="00CB39D1" w:rsidRDefault="00CB39D1" w:rsidP="00CB39D1">
            <w:pPr>
              <w:spacing w:before="0" w:after="0" w:line="240" w:lineRule="auto"/>
              <w:jc w:val="both"/>
              <w:rPr>
                <w:sz w:val="18"/>
                <w:szCs w:val="18"/>
                <w:lang w:eastAsia="ru-RU"/>
              </w:rPr>
            </w:pPr>
          </w:p>
        </w:tc>
        <w:tc>
          <w:tcPr>
            <w:tcW w:w="2835" w:type="dxa"/>
            <w:vAlign w:val="center"/>
            <w:hideMark/>
          </w:tcPr>
          <w:p w14:paraId="2E152100" w14:textId="77777777" w:rsidR="00CB39D1" w:rsidRPr="00CB39D1" w:rsidRDefault="00CB39D1" w:rsidP="00CB39D1">
            <w:pPr>
              <w:spacing w:before="0" w:after="0" w:line="240" w:lineRule="auto"/>
              <w:jc w:val="both"/>
              <w:rPr>
                <w:i/>
                <w:color w:val="A5A6AC" w:themeColor="accent3" w:themeTint="99"/>
                <w:sz w:val="18"/>
                <w:szCs w:val="18"/>
              </w:rPr>
            </w:pPr>
            <w:r w:rsidRPr="00CB39D1">
              <w:rPr>
                <w:i/>
                <w:color w:val="A5A6AC" w:themeColor="accent3" w:themeTint="99"/>
                <w:sz w:val="18"/>
                <w:szCs w:val="18"/>
              </w:rPr>
              <w:t>%-ով՝ ՀՆԱ-ի նկատմամբ</w:t>
            </w:r>
          </w:p>
        </w:tc>
        <w:tc>
          <w:tcPr>
            <w:tcW w:w="851" w:type="dxa"/>
            <w:vAlign w:val="center"/>
            <w:hideMark/>
          </w:tcPr>
          <w:p w14:paraId="7B9FB9D7" w14:textId="77777777" w:rsidR="00CB39D1" w:rsidRPr="00CB39D1" w:rsidRDefault="00CB39D1" w:rsidP="00CB39D1">
            <w:pPr>
              <w:spacing w:before="0" w:after="0" w:line="240" w:lineRule="auto"/>
              <w:jc w:val="center"/>
              <w:rPr>
                <w:i/>
                <w:color w:val="A5A6AC" w:themeColor="accent3" w:themeTint="99"/>
                <w:sz w:val="18"/>
                <w:szCs w:val="18"/>
              </w:rPr>
            </w:pPr>
          </w:p>
        </w:tc>
        <w:tc>
          <w:tcPr>
            <w:tcW w:w="850" w:type="dxa"/>
            <w:tcBorders>
              <w:bottom w:val="single" w:sz="8" w:space="0" w:color="E1E1E3" w:themeColor="accent3" w:themeTint="33"/>
            </w:tcBorders>
            <w:vAlign w:val="center"/>
            <w:hideMark/>
          </w:tcPr>
          <w:p w14:paraId="39A970D5" w14:textId="77777777" w:rsidR="00CB39D1" w:rsidRPr="00CB39D1" w:rsidRDefault="00CB39D1" w:rsidP="00CB39D1">
            <w:pPr>
              <w:spacing w:before="0" w:after="0" w:line="240" w:lineRule="auto"/>
              <w:jc w:val="center"/>
              <w:rPr>
                <w:i/>
                <w:color w:val="A5A6AC" w:themeColor="accent3" w:themeTint="99"/>
                <w:sz w:val="18"/>
                <w:szCs w:val="18"/>
              </w:rPr>
            </w:pPr>
            <w:r w:rsidRPr="00CB39D1">
              <w:rPr>
                <w:i/>
                <w:color w:val="A5A6AC" w:themeColor="accent3" w:themeTint="99"/>
                <w:sz w:val="18"/>
                <w:szCs w:val="18"/>
              </w:rPr>
              <w:t>30.4%</w:t>
            </w:r>
          </w:p>
        </w:tc>
        <w:tc>
          <w:tcPr>
            <w:tcW w:w="851" w:type="dxa"/>
            <w:tcBorders>
              <w:bottom w:val="single" w:sz="8" w:space="0" w:color="E1E1E3" w:themeColor="accent3" w:themeTint="33"/>
            </w:tcBorders>
            <w:vAlign w:val="center"/>
            <w:hideMark/>
          </w:tcPr>
          <w:p w14:paraId="345A5B72" w14:textId="77777777" w:rsidR="00CB39D1" w:rsidRPr="00CB39D1" w:rsidRDefault="00CB39D1" w:rsidP="00CB39D1">
            <w:pPr>
              <w:spacing w:before="0" w:after="0" w:line="240" w:lineRule="auto"/>
              <w:jc w:val="center"/>
              <w:rPr>
                <w:i/>
                <w:color w:val="A5A6AC" w:themeColor="accent3" w:themeTint="99"/>
                <w:sz w:val="18"/>
                <w:szCs w:val="18"/>
              </w:rPr>
            </w:pPr>
            <w:r w:rsidRPr="00CB39D1">
              <w:rPr>
                <w:i/>
                <w:color w:val="A5A6AC" w:themeColor="accent3" w:themeTint="99"/>
                <w:sz w:val="18"/>
                <w:szCs w:val="18"/>
              </w:rPr>
              <w:t>31.6%</w:t>
            </w:r>
          </w:p>
        </w:tc>
        <w:tc>
          <w:tcPr>
            <w:tcW w:w="992" w:type="dxa"/>
            <w:tcBorders>
              <w:bottom w:val="single" w:sz="8" w:space="0" w:color="E1E1E3" w:themeColor="accent3" w:themeTint="33"/>
            </w:tcBorders>
            <w:vAlign w:val="center"/>
            <w:hideMark/>
          </w:tcPr>
          <w:p w14:paraId="0972E382" w14:textId="77777777" w:rsidR="00CB39D1" w:rsidRPr="00CB39D1" w:rsidRDefault="00CB39D1" w:rsidP="00CB39D1">
            <w:pPr>
              <w:spacing w:before="0" w:after="0" w:line="240" w:lineRule="auto"/>
              <w:jc w:val="center"/>
              <w:rPr>
                <w:i/>
                <w:color w:val="A5A6AC" w:themeColor="accent3" w:themeTint="99"/>
                <w:sz w:val="18"/>
                <w:szCs w:val="18"/>
              </w:rPr>
            </w:pPr>
            <w:r w:rsidRPr="00CB39D1">
              <w:rPr>
                <w:i/>
                <w:color w:val="A5A6AC" w:themeColor="accent3" w:themeTint="99"/>
                <w:sz w:val="18"/>
                <w:szCs w:val="18"/>
              </w:rPr>
              <w:t>30.5%</w:t>
            </w:r>
          </w:p>
        </w:tc>
        <w:tc>
          <w:tcPr>
            <w:tcW w:w="992" w:type="dxa"/>
            <w:tcBorders>
              <w:bottom w:val="single" w:sz="8" w:space="0" w:color="E1E1E3" w:themeColor="accent3" w:themeTint="33"/>
            </w:tcBorders>
            <w:vAlign w:val="center"/>
            <w:hideMark/>
          </w:tcPr>
          <w:p w14:paraId="178EA375" w14:textId="77777777" w:rsidR="00CB39D1" w:rsidRPr="00CB39D1" w:rsidRDefault="00CB39D1" w:rsidP="00CB39D1">
            <w:pPr>
              <w:spacing w:before="0" w:after="0" w:line="240" w:lineRule="auto"/>
              <w:jc w:val="center"/>
              <w:rPr>
                <w:i/>
                <w:color w:val="A5A6AC" w:themeColor="accent3" w:themeTint="99"/>
                <w:sz w:val="18"/>
                <w:szCs w:val="18"/>
              </w:rPr>
            </w:pPr>
            <w:r w:rsidRPr="00CB39D1">
              <w:rPr>
                <w:i/>
                <w:color w:val="A5A6AC" w:themeColor="accent3" w:themeTint="99"/>
                <w:sz w:val="18"/>
                <w:szCs w:val="18"/>
              </w:rPr>
              <w:t>29.5%</w:t>
            </w:r>
          </w:p>
        </w:tc>
        <w:tc>
          <w:tcPr>
            <w:tcW w:w="1089" w:type="dxa"/>
            <w:tcBorders>
              <w:bottom w:val="single" w:sz="8" w:space="0" w:color="E1E1E3" w:themeColor="accent3" w:themeTint="33"/>
            </w:tcBorders>
          </w:tcPr>
          <w:p w14:paraId="56217FF1" w14:textId="77777777" w:rsidR="00CB39D1" w:rsidRPr="00CB39D1" w:rsidRDefault="00CB39D1" w:rsidP="00CB39D1">
            <w:pPr>
              <w:spacing w:before="0" w:after="0" w:line="240" w:lineRule="auto"/>
              <w:jc w:val="center"/>
              <w:rPr>
                <w:i/>
                <w:color w:val="A5A6AC" w:themeColor="accent3" w:themeTint="99"/>
                <w:sz w:val="18"/>
                <w:szCs w:val="18"/>
              </w:rPr>
            </w:pPr>
          </w:p>
        </w:tc>
      </w:tr>
      <w:tr w:rsidR="00CB39D1" w:rsidRPr="00CB39D1" w14:paraId="26D37B41" w14:textId="77777777" w:rsidTr="008D4E1E">
        <w:trPr>
          <w:trHeight w:val="331"/>
        </w:trPr>
        <w:tc>
          <w:tcPr>
            <w:tcW w:w="1266" w:type="dxa"/>
            <w:vMerge w:val="restart"/>
            <w:vAlign w:val="center"/>
          </w:tcPr>
          <w:p w14:paraId="5DD5B208" w14:textId="77777777" w:rsidR="00CB39D1" w:rsidRPr="00CB39D1" w:rsidRDefault="00CB39D1" w:rsidP="00CB39D1">
            <w:pPr>
              <w:spacing w:before="0" w:after="0" w:line="240" w:lineRule="auto"/>
              <w:jc w:val="center"/>
              <w:rPr>
                <w:sz w:val="18"/>
                <w:szCs w:val="18"/>
                <w:lang w:eastAsia="ru-RU"/>
              </w:rPr>
            </w:pPr>
            <w:r w:rsidRPr="00CB39D1">
              <w:rPr>
                <w:sz w:val="18"/>
                <w:szCs w:val="18"/>
              </w:rPr>
              <w:t>2025</w:t>
            </w:r>
          </w:p>
        </w:tc>
        <w:tc>
          <w:tcPr>
            <w:tcW w:w="2835" w:type="dxa"/>
            <w:vAlign w:val="center"/>
          </w:tcPr>
          <w:p w14:paraId="6A1BC594" w14:textId="77777777" w:rsidR="00CB39D1" w:rsidRPr="00CB39D1" w:rsidRDefault="00CB39D1" w:rsidP="00CB39D1">
            <w:pPr>
              <w:spacing w:before="0" w:after="0" w:line="240" w:lineRule="auto"/>
              <w:jc w:val="both"/>
              <w:rPr>
                <w:i/>
                <w:color w:val="A5A6AC" w:themeColor="accent3" w:themeTint="99"/>
                <w:sz w:val="18"/>
                <w:szCs w:val="18"/>
              </w:rPr>
            </w:pPr>
            <w:r w:rsidRPr="00CB39D1">
              <w:rPr>
                <w:sz w:val="18"/>
                <w:szCs w:val="18"/>
              </w:rPr>
              <w:t xml:space="preserve"> ՄԺԾԾ 2026-2028</w:t>
            </w:r>
          </w:p>
        </w:tc>
        <w:tc>
          <w:tcPr>
            <w:tcW w:w="851" w:type="dxa"/>
            <w:vAlign w:val="center"/>
          </w:tcPr>
          <w:p w14:paraId="4677B574" w14:textId="77777777" w:rsidR="00CB39D1" w:rsidRPr="00CB39D1" w:rsidRDefault="00CB39D1" w:rsidP="00CB39D1">
            <w:pPr>
              <w:spacing w:before="0" w:after="0" w:line="240" w:lineRule="auto"/>
              <w:jc w:val="center"/>
              <w:rPr>
                <w:i/>
                <w:color w:val="A5A6AC" w:themeColor="accent3" w:themeTint="99"/>
                <w:sz w:val="18"/>
                <w:szCs w:val="18"/>
              </w:rPr>
            </w:pPr>
          </w:p>
        </w:tc>
        <w:tc>
          <w:tcPr>
            <w:tcW w:w="850" w:type="dxa"/>
            <w:tcBorders>
              <w:top w:val="single" w:sz="8" w:space="0" w:color="E1E1E3" w:themeColor="accent3" w:themeTint="33"/>
              <w:bottom w:val="single" w:sz="8" w:space="0" w:color="E1E1E3" w:themeColor="accent3" w:themeTint="33"/>
              <w:right w:val="single" w:sz="8" w:space="0" w:color="E1E1E3" w:themeColor="accent3" w:themeTint="33"/>
            </w:tcBorders>
            <w:vAlign w:val="center"/>
          </w:tcPr>
          <w:p w14:paraId="7978F230" w14:textId="77777777" w:rsidR="00CB39D1" w:rsidRPr="00CB39D1" w:rsidRDefault="00CB39D1" w:rsidP="00CB39D1">
            <w:pPr>
              <w:spacing w:before="0" w:after="0" w:line="240" w:lineRule="auto"/>
              <w:jc w:val="center"/>
              <w:rPr>
                <w:i/>
                <w:color w:val="A5A6AC" w:themeColor="accent3" w:themeTint="99"/>
                <w:sz w:val="18"/>
                <w:szCs w:val="18"/>
              </w:rPr>
            </w:pPr>
          </w:p>
        </w:tc>
        <w:tc>
          <w:tcPr>
            <w:tcW w:w="851" w:type="dxa"/>
            <w:tcBorders>
              <w:top w:val="single" w:sz="8" w:space="0" w:color="E1E1E3" w:themeColor="accent3" w:themeTint="33"/>
              <w:left w:val="single" w:sz="8" w:space="0" w:color="E1E1E3" w:themeColor="accent3" w:themeTint="33"/>
              <w:bottom w:val="single" w:sz="8" w:space="0" w:color="E1E1E3" w:themeColor="accent3" w:themeTint="33"/>
              <w:right w:val="single" w:sz="8" w:space="0" w:color="E1E1E3" w:themeColor="accent3" w:themeTint="33"/>
            </w:tcBorders>
            <w:vAlign w:val="center"/>
          </w:tcPr>
          <w:p w14:paraId="2FF00D7B" w14:textId="77777777" w:rsidR="00CB39D1" w:rsidRPr="00CB39D1" w:rsidRDefault="00CB39D1" w:rsidP="00CB39D1">
            <w:pPr>
              <w:spacing w:before="0" w:after="0" w:line="240" w:lineRule="auto"/>
              <w:jc w:val="center"/>
              <w:rPr>
                <w:sz w:val="18"/>
                <w:szCs w:val="18"/>
              </w:rPr>
            </w:pPr>
            <w:r w:rsidRPr="00CB39D1">
              <w:rPr>
                <w:sz w:val="18"/>
                <w:szCs w:val="18"/>
              </w:rPr>
              <w:t>3,376.9</w:t>
            </w:r>
          </w:p>
        </w:tc>
        <w:tc>
          <w:tcPr>
            <w:tcW w:w="992" w:type="dxa"/>
            <w:tcBorders>
              <w:top w:val="single" w:sz="8" w:space="0" w:color="E1E1E3" w:themeColor="accent3" w:themeTint="33"/>
              <w:left w:val="single" w:sz="8" w:space="0" w:color="E1E1E3" w:themeColor="accent3" w:themeTint="33"/>
              <w:bottom w:val="single" w:sz="8" w:space="0" w:color="E1E1E3" w:themeColor="accent3" w:themeTint="33"/>
              <w:right w:val="single" w:sz="8" w:space="0" w:color="E1E1E3" w:themeColor="accent3" w:themeTint="33"/>
            </w:tcBorders>
            <w:vAlign w:val="center"/>
          </w:tcPr>
          <w:p w14:paraId="2741ECD8" w14:textId="77777777" w:rsidR="00CB39D1" w:rsidRPr="00CB39D1" w:rsidRDefault="00CB39D1" w:rsidP="00CB39D1">
            <w:pPr>
              <w:spacing w:before="0" w:after="0" w:line="240" w:lineRule="auto"/>
              <w:jc w:val="center"/>
              <w:rPr>
                <w:sz w:val="18"/>
                <w:szCs w:val="18"/>
              </w:rPr>
            </w:pPr>
            <w:r w:rsidRPr="00CB39D1">
              <w:rPr>
                <w:sz w:val="18"/>
                <w:szCs w:val="18"/>
              </w:rPr>
              <w:t>3,584.7</w:t>
            </w:r>
          </w:p>
        </w:tc>
        <w:tc>
          <w:tcPr>
            <w:tcW w:w="992" w:type="dxa"/>
            <w:tcBorders>
              <w:top w:val="single" w:sz="8" w:space="0" w:color="E1E1E3" w:themeColor="accent3" w:themeTint="33"/>
              <w:left w:val="single" w:sz="8" w:space="0" w:color="E1E1E3" w:themeColor="accent3" w:themeTint="33"/>
              <w:bottom w:val="single" w:sz="8" w:space="0" w:color="E1E1E3" w:themeColor="accent3" w:themeTint="33"/>
              <w:right w:val="single" w:sz="8" w:space="0" w:color="E1E1E3" w:themeColor="accent3" w:themeTint="33"/>
            </w:tcBorders>
            <w:vAlign w:val="center"/>
          </w:tcPr>
          <w:p w14:paraId="2727E70C" w14:textId="77777777" w:rsidR="00CB39D1" w:rsidRPr="00CB39D1" w:rsidRDefault="00CB39D1" w:rsidP="00CB39D1">
            <w:pPr>
              <w:spacing w:before="0" w:after="0" w:line="240" w:lineRule="auto"/>
              <w:jc w:val="center"/>
              <w:rPr>
                <w:sz w:val="18"/>
                <w:szCs w:val="18"/>
              </w:rPr>
            </w:pPr>
            <w:r w:rsidRPr="00CB39D1">
              <w:rPr>
                <w:sz w:val="18"/>
                <w:szCs w:val="18"/>
              </w:rPr>
              <w:t>3,755.4</w:t>
            </w:r>
          </w:p>
        </w:tc>
        <w:tc>
          <w:tcPr>
            <w:tcW w:w="1089" w:type="dxa"/>
            <w:tcBorders>
              <w:top w:val="single" w:sz="8" w:space="0" w:color="E1E1E3" w:themeColor="accent3" w:themeTint="33"/>
              <w:left w:val="single" w:sz="8" w:space="0" w:color="E1E1E3" w:themeColor="accent3" w:themeTint="33"/>
              <w:bottom w:val="single" w:sz="8" w:space="0" w:color="E1E1E3" w:themeColor="accent3" w:themeTint="33"/>
              <w:right w:val="single" w:sz="8" w:space="0" w:color="E1E1E3" w:themeColor="accent3" w:themeTint="33"/>
            </w:tcBorders>
            <w:vAlign w:val="center"/>
          </w:tcPr>
          <w:p w14:paraId="40D78343" w14:textId="77777777" w:rsidR="00CB39D1" w:rsidRPr="00CB39D1" w:rsidRDefault="00CB39D1" w:rsidP="00CB39D1">
            <w:pPr>
              <w:spacing w:before="0" w:after="0" w:line="240" w:lineRule="auto"/>
              <w:jc w:val="center"/>
              <w:rPr>
                <w:sz w:val="18"/>
                <w:szCs w:val="18"/>
              </w:rPr>
            </w:pPr>
            <w:r w:rsidRPr="00CB39D1">
              <w:rPr>
                <w:sz w:val="18"/>
                <w:szCs w:val="18"/>
              </w:rPr>
              <w:t>3,994.6</w:t>
            </w:r>
          </w:p>
        </w:tc>
      </w:tr>
      <w:tr w:rsidR="00CB39D1" w:rsidRPr="00CB39D1" w14:paraId="385EC4DD" w14:textId="77777777" w:rsidTr="008D4E1E">
        <w:trPr>
          <w:trHeight w:val="331"/>
        </w:trPr>
        <w:tc>
          <w:tcPr>
            <w:tcW w:w="1266" w:type="dxa"/>
            <w:vMerge/>
            <w:vAlign w:val="center"/>
          </w:tcPr>
          <w:p w14:paraId="1A2C4542" w14:textId="77777777" w:rsidR="00CB39D1" w:rsidRPr="00CB39D1" w:rsidRDefault="00CB39D1" w:rsidP="00CB39D1">
            <w:pPr>
              <w:spacing w:before="0" w:after="0" w:line="240" w:lineRule="auto"/>
              <w:jc w:val="both"/>
              <w:rPr>
                <w:sz w:val="18"/>
                <w:szCs w:val="18"/>
                <w:lang w:eastAsia="ru-RU"/>
              </w:rPr>
            </w:pPr>
          </w:p>
        </w:tc>
        <w:tc>
          <w:tcPr>
            <w:tcW w:w="2835" w:type="dxa"/>
            <w:vAlign w:val="center"/>
          </w:tcPr>
          <w:p w14:paraId="2F69A3E2" w14:textId="77777777" w:rsidR="00CB39D1" w:rsidRPr="00CB39D1" w:rsidRDefault="00CB39D1" w:rsidP="00CB39D1">
            <w:pPr>
              <w:spacing w:before="0" w:after="0" w:line="240" w:lineRule="auto"/>
              <w:jc w:val="both"/>
              <w:rPr>
                <w:i/>
                <w:color w:val="A5A6AC" w:themeColor="accent3" w:themeTint="99"/>
                <w:sz w:val="18"/>
                <w:szCs w:val="18"/>
              </w:rPr>
            </w:pPr>
            <w:r w:rsidRPr="00CB39D1">
              <w:rPr>
                <w:i/>
                <w:color w:val="A5A6AC" w:themeColor="accent3" w:themeTint="99"/>
                <w:sz w:val="18"/>
                <w:szCs w:val="18"/>
              </w:rPr>
              <w:t>%-ով՝ ՀՆԱ-ի նկատմամբ</w:t>
            </w:r>
          </w:p>
        </w:tc>
        <w:tc>
          <w:tcPr>
            <w:tcW w:w="851" w:type="dxa"/>
            <w:vAlign w:val="center"/>
          </w:tcPr>
          <w:p w14:paraId="02C0E3B5" w14:textId="77777777" w:rsidR="00CB39D1" w:rsidRPr="00CB39D1" w:rsidRDefault="00CB39D1" w:rsidP="00CB39D1">
            <w:pPr>
              <w:spacing w:before="0" w:after="0" w:line="240" w:lineRule="auto"/>
              <w:jc w:val="center"/>
              <w:rPr>
                <w:i/>
                <w:color w:val="A5A6AC" w:themeColor="accent3" w:themeTint="99"/>
                <w:sz w:val="18"/>
                <w:szCs w:val="18"/>
              </w:rPr>
            </w:pPr>
          </w:p>
        </w:tc>
        <w:tc>
          <w:tcPr>
            <w:tcW w:w="850" w:type="dxa"/>
            <w:tcBorders>
              <w:top w:val="single" w:sz="8" w:space="0" w:color="E1E1E3" w:themeColor="accent3" w:themeTint="33"/>
              <w:bottom w:val="single" w:sz="8" w:space="0" w:color="E1E1E3" w:themeColor="accent3" w:themeTint="33"/>
              <w:right w:val="single" w:sz="8" w:space="0" w:color="E1E1E3" w:themeColor="accent3" w:themeTint="33"/>
            </w:tcBorders>
            <w:vAlign w:val="center"/>
          </w:tcPr>
          <w:p w14:paraId="3CEC389F" w14:textId="77777777" w:rsidR="00CB39D1" w:rsidRPr="00CB39D1" w:rsidRDefault="00CB39D1" w:rsidP="00CB39D1">
            <w:pPr>
              <w:spacing w:before="0" w:after="0" w:line="240" w:lineRule="auto"/>
              <w:jc w:val="center"/>
              <w:rPr>
                <w:i/>
                <w:color w:val="A5A6AC" w:themeColor="accent3" w:themeTint="99"/>
                <w:sz w:val="18"/>
                <w:szCs w:val="18"/>
              </w:rPr>
            </w:pPr>
          </w:p>
        </w:tc>
        <w:tc>
          <w:tcPr>
            <w:tcW w:w="851" w:type="dxa"/>
            <w:tcBorders>
              <w:top w:val="single" w:sz="8" w:space="0" w:color="E1E1E3" w:themeColor="accent3" w:themeTint="33"/>
              <w:left w:val="single" w:sz="8" w:space="0" w:color="E1E1E3" w:themeColor="accent3" w:themeTint="33"/>
              <w:bottom w:val="single" w:sz="8" w:space="0" w:color="E1E1E3" w:themeColor="accent3" w:themeTint="33"/>
              <w:right w:val="single" w:sz="8" w:space="0" w:color="E1E1E3" w:themeColor="accent3" w:themeTint="33"/>
            </w:tcBorders>
            <w:vAlign w:val="center"/>
          </w:tcPr>
          <w:p w14:paraId="4D450980" w14:textId="77777777" w:rsidR="00CB39D1" w:rsidRPr="00CB39D1" w:rsidRDefault="00CB39D1" w:rsidP="00CB39D1">
            <w:pPr>
              <w:spacing w:before="0" w:after="0" w:line="240" w:lineRule="auto"/>
              <w:jc w:val="center"/>
              <w:rPr>
                <w:i/>
                <w:color w:val="A5A6AC" w:themeColor="accent3" w:themeTint="99"/>
                <w:sz w:val="18"/>
                <w:szCs w:val="18"/>
              </w:rPr>
            </w:pPr>
            <w:r w:rsidRPr="00CB39D1">
              <w:rPr>
                <w:i/>
                <w:color w:val="A5A6AC" w:themeColor="accent3" w:themeTint="99"/>
                <w:sz w:val="18"/>
                <w:szCs w:val="18"/>
              </w:rPr>
              <w:t>30.8%</w:t>
            </w:r>
          </w:p>
        </w:tc>
        <w:tc>
          <w:tcPr>
            <w:tcW w:w="992" w:type="dxa"/>
            <w:tcBorders>
              <w:top w:val="single" w:sz="8" w:space="0" w:color="E1E1E3" w:themeColor="accent3" w:themeTint="33"/>
              <w:left w:val="single" w:sz="8" w:space="0" w:color="E1E1E3" w:themeColor="accent3" w:themeTint="33"/>
              <w:bottom w:val="single" w:sz="8" w:space="0" w:color="E1E1E3" w:themeColor="accent3" w:themeTint="33"/>
              <w:right w:val="single" w:sz="8" w:space="0" w:color="E1E1E3" w:themeColor="accent3" w:themeTint="33"/>
            </w:tcBorders>
            <w:vAlign w:val="center"/>
          </w:tcPr>
          <w:p w14:paraId="6C8A46E5" w14:textId="77777777" w:rsidR="00CB39D1" w:rsidRPr="00CB39D1" w:rsidRDefault="00CB39D1" w:rsidP="00CB39D1">
            <w:pPr>
              <w:spacing w:before="0" w:after="0" w:line="240" w:lineRule="auto"/>
              <w:jc w:val="center"/>
              <w:rPr>
                <w:i/>
                <w:color w:val="A5A6AC" w:themeColor="accent3" w:themeTint="99"/>
                <w:sz w:val="18"/>
                <w:szCs w:val="18"/>
              </w:rPr>
            </w:pPr>
            <w:r w:rsidRPr="00CB39D1">
              <w:rPr>
                <w:i/>
                <w:color w:val="A5A6AC" w:themeColor="accent3" w:themeTint="99"/>
                <w:sz w:val="18"/>
                <w:szCs w:val="18"/>
              </w:rPr>
              <w:t>30.2%</w:t>
            </w:r>
          </w:p>
        </w:tc>
        <w:tc>
          <w:tcPr>
            <w:tcW w:w="992" w:type="dxa"/>
            <w:tcBorders>
              <w:top w:val="single" w:sz="8" w:space="0" w:color="E1E1E3" w:themeColor="accent3" w:themeTint="33"/>
              <w:left w:val="single" w:sz="8" w:space="0" w:color="E1E1E3" w:themeColor="accent3" w:themeTint="33"/>
              <w:bottom w:val="single" w:sz="8" w:space="0" w:color="E1E1E3" w:themeColor="accent3" w:themeTint="33"/>
              <w:right w:val="single" w:sz="8" w:space="0" w:color="E1E1E3" w:themeColor="accent3" w:themeTint="33"/>
            </w:tcBorders>
            <w:vAlign w:val="center"/>
          </w:tcPr>
          <w:p w14:paraId="0FCE9F67" w14:textId="77777777" w:rsidR="00CB39D1" w:rsidRPr="00CB39D1" w:rsidRDefault="00CB39D1" w:rsidP="00CB39D1">
            <w:pPr>
              <w:spacing w:before="0" w:after="0" w:line="240" w:lineRule="auto"/>
              <w:jc w:val="center"/>
              <w:rPr>
                <w:i/>
                <w:color w:val="A5A6AC" w:themeColor="accent3" w:themeTint="99"/>
                <w:sz w:val="18"/>
                <w:szCs w:val="18"/>
              </w:rPr>
            </w:pPr>
            <w:r w:rsidRPr="00CB39D1">
              <w:rPr>
                <w:i/>
                <w:color w:val="A5A6AC" w:themeColor="accent3" w:themeTint="99"/>
                <w:sz w:val="18"/>
                <w:szCs w:val="18"/>
              </w:rPr>
              <w:t>29.1%</w:t>
            </w:r>
          </w:p>
        </w:tc>
        <w:tc>
          <w:tcPr>
            <w:tcW w:w="1089" w:type="dxa"/>
            <w:tcBorders>
              <w:top w:val="single" w:sz="8" w:space="0" w:color="E1E1E3" w:themeColor="accent3" w:themeTint="33"/>
              <w:left w:val="single" w:sz="8" w:space="0" w:color="E1E1E3" w:themeColor="accent3" w:themeTint="33"/>
              <w:bottom w:val="single" w:sz="8" w:space="0" w:color="E1E1E3" w:themeColor="accent3" w:themeTint="33"/>
              <w:right w:val="single" w:sz="8" w:space="0" w:color="E1E1E3" w:themeColor="accent3" w:themeTint="33"/>
            </w:tcBorders>
            <w:vAlign w:val="center"/>
          </w:tcPr>
          <w:p w14:paraId="04C5EE97" w14:textId="77777777" w:rsidR="00CB39D1" w:rsidRPr="00CB39D1" w:rsidRDefault="00CB39D1" w:rsidP="00CB39D1">
            <w:pPr>
              <w:spacing w:before="0" w:after="0" w:line="240" w:lineRule="auto"/>
              <w:jc w:val="center"/>
              <w:rPr>
                <w:i/>
                <w:color w:val="A5A6AC" w:themeColor="accent3" w:themeTint="99"/>
                <w:sz w:val="18"/>
                <w:szCs w:val="18"/>
              </w:rPr>
            </w:pPr>
            <w:r w:rsidRPr="00CB39D1">
              <w:rPr>
                <w:i/>
                <w:color w:val="A5A6AC" w:themeColor="accent3" w:themeTint="99"/>
                <w:sz w:val="18"/>
                <w:szCs w:val="18"/>
              </w:rPr>
              <w:t>28.6%</w:t>
            </w:r>
          </w:p>
        </w:tc>
      </w:tr>
      <w:tr w:rsidR="00CB39D1" w:rsidRPr="00CB39D1" w14:paraId="21462959" w14:textId="77777777" w:rsidTr="008D4E1E">
        <w:trPr>
          <w:trHeight w:val="331"/>
        </w:trPr>
        <w:tc>
          <w:tcPr>
            <w:tcW w:w="1266" w:type="dxa"/>
            <w:vMerge/>
            <w:vAlign w:val="center"/>
          </w:tcPr>
          <w:p w14:paraId="26B319FE" w14:textId="77777777" w:rsidR="00CB39D1" w:rsidRPr="00CB39D1" w:rsidRDefault="00CB39D1" w:rsidP="00CB39D1">
            <w:pPr>
              <w:spacing w:before="0" w:after="0" w:line="240" w:lineRule="auto"/>
              <w:jc w:val="both"/>
              <w:rPr>
                <w:sz w:val="18"/>
                <w:szCs w:val="18"/>
                <w:lang w:eastAsia="ru-RU"/>
              </w:rPr>
            </w:pPr>
          </w:p>
        </w:tc>
        <w:tc>
          <w:tcPr>
            <w:tcW w:w="2835" w:type="dxa"/>
            <w:vAlign w:val="center"/>
          </w:tcPr>
          <w:p w14:paraId="3FF8F898" w14:textId="77777777" w:rsidR="00CB39D1" w:rsidRPr="00CB39D1" w:rsidRDefault="00CB39D1" w:rsidP="00CB39D1">
            <w:pPr>
              <w:spacing w:before="0" w:after="0" w:line="240" w:lineRule="auto"/>
              <w:jc w:val="both"/>
              <w:rPr>
                <w:i/>
                <w:color w:val="A5A6AC" w:themeColor="accent3" w:themeTint="99"/>
                <w:sz w:val="18"/>
                <w:szCs w:val="18"/>
              </w:rPr>
            </w:pPr>
            <w:r w:rsidRPr="00CB39D1">
              <w:rPr>
                <w:sz w:val="18"/>
                <w:szCs w:val="18"/>
              </w:rPr>
              <w:t>2026թ. Պետական բյուջե</w:t>
            </w:r>
          </w:p>
        </w:tc>
        <w:tc>
          <w:tcPr>
            <w:tcW w:w="851" w:type="dxa"/>
            <w:vAlign w:val="center"/>
          </w:tcPr>
          <w:p w14:paraId="4D65B875" w14:textId="77777777" w:rsidR="00CB39D1" w:rsidRPr="00CB39D1" w:rsidRDefault="00CB39D1" w:rsidP="00CB39D1">
            <w:pPr>
              <w:spacing w:before="0" w:after="0" w:line="240" w:lineRule="auto"/>
              <w:jc w:val="center"/>
              <w:rPr>
                <w:i/>
                <w:color w:val="A5A6AC" w:themeColor="accent3" w:themeTint="99"/>
                <w:sz w:val="18"/>
                <w:szCs w:val="18"/>
              </w:rPr>
            </w:pPr>
          </w:p>
        </w:tc>
        <w:tc>
          <w:tcPr>
            <w:tcW w:w="850" w:type="dxa"/>
            <w:vAlign w:val="center"/>
          </w:tcPr>
          <w:p w14:paraId="52624728" w14:textId="77777777" w:rsidR="00CB39D1" w:rsidRPr="00CB39D1" w:rsidRDefault="00CB39D1" w:rsidP="00CB39D1">
            <w:pPr>
              <w:spacing w:before="0" w:after="0" w:line="240" w:lineRule="auto"/>
              <w:jc w:val="center"/>
              <w:rPr>
                <w:i/>
                <w:color w:val="A5A6AC" w:themeColor="accent3" w:themeTint="99"/>
                <w:sz w:val="18"/>
                <w:szCs w:val="18"/>
              </w:rPr>
            </w:pPr>
          </w:p>
        </w:tc>
        <w:tc>
          <w:tcPr>
            <w:tcW w:w="851" w:type="dxa"/>
            <w:vAlign w:val="center"/>
          </w:tcPr>
          <w:p w14:paraId="1F509D87" w14:textId="77777777" w:rsidR="00CB39D1" w:rsidRPr="00CB39D1" w:rsidRDefault="00CB39D1" w:rsidP="00CB39D1">
            <w:pPr>
              <w:spacing w:before="0" w:after="0" w:line="240" w:lineRule="auto"/>
              <w:jc w:val="center"/>
              <w:rPr>
                <w:i/>
                <w:color w:val="A5A6AC" w:themeColor="accent3" w:themeTint="99"/>
                <w:sz w:val="18"/>
                <w:szCs w:val="18"/>
              </w:rPr>
            </w:pPr>
            <w:r w:rsidRPr="00CB39D1">
              <w:rPr>
                <w:sz w:val="18"/>
                <w:szCs w:val="18"/>
              </w:rPr>
              <w:t>3,432.6</w:t>
            </w:r>
          </w:p>
        </w:tc>
        <w:tc>
          <w:tcPr>
            <w:tcW w:w="992" w:type="dxa"/>
            <w:vAlign w:val="center"/>
          </w:tcPr>
          <w:p w14:paraId="72B80F45" w14:textId="42514189" w:rsidR="00CB39D1" w:rsidRPr="00CB39D1" w:rsidRDefault="00CB39D1" w:rsidP="00CB39D1">
            <w:pPr>
              <w:spacing w:before="0" w:after="0" w:line="240" w:lineRule="auto"/>
              <w:jc w:val="center"/>
              <w:rPr>
                <w:i/>
                <w:color w:val="A5A6AC" w:themeColor="accent3" w:themeTint="99"/>
                <w:sz w:val="18"/>
                <w:szCs w:val="18"/>
              </w:rPr>
            </w:pPr>
            <w:r w:rsidRPr="00CB39D1">
              <w:rPr>
                <w:sz w:val="18"/>
                <w:szCs w:val="18"/>
              </w:rPr>
              <w:t>3,62</w:t>
            </w:r>
            <w:r w:rsidR="0016771D">
              <w:rPr>
                <w:sz w:val="18"/>
                <w:szCs w:val="18"/>
                <w:lang w:val="hy-AM"/>
              </w:rPr>
              <w:t>7</w:t>
            </w:r>
            <w:r w:rsidRPr="00CB39D1">
              <w:rPr>
                <w:sz w:val="18"/>
                <w:szCs w:val="18"/>
              </w:rPr>
              <w:t>.</w:t>
            </w:r>
            <w:r w:rsidR="0016771D">
              <w:rPr>
                <w:sz w:val="18"/>
                <w:szCs w:val="18"/>
                <w:lang w:val="hy-AM"/>
              </w:rPr>
              <w:t>6</w:t>
            </w:r>
          </w:p>
        </w:tc>
        <w:tc>
          <w:tcPr>
            <w:tcW w:w="992" w:type="dxa"/>
            <w:vAlign w:val="center"/>
          </w:tcPr>
          <w:p w14:paraId="1A2EB1FF" w14:textId="424BF95D" w:rsidR="00CB39D1" w:rsidRPr="00CB39D1" w:rsidRDefault="00CB39D1" w:rsidP="00CB39D1">
            <w:pPr>
              <w:spacing w:before="0" w:after="0" w:line="240" w:lineRule="auto"/>
              <w:jc w:val="center"/>
              <w:rPr>
                <w:i/>
                <w:color w:val="A5A6AC" w:themeColor="accent3" w:themeTint="99"/>
                <w:sz w:val="18"/>
                <w:szCs w:val="18"/>
              </w:rPr>
            </w:pPr>
            <w:r w:rsidRPr="00CB39D1">
              <w:rPr>
                <w:sz w:val="18"/>
                <w:szCs w:val="18"/>
              </w:rPr>
              <w:t>3,801.</w:t>
            </w:r>
            <w:r w:rsidR="0016771D">
              <w:rPr>
                <w:sz w:val="18"/>
                <w:szCs w:val="18"/>
                <w:lang w:val="hy-AM"/>
              </w:rPr>
              <w:t>0</w:t>
            </w:r>
          </w:p>
        </w:tc>
        <w:tc>
          <w:tcPr>
            <w:tcW w:w="1089" w:type="dxa"/>
            <w:vAlign w:val="center"/>
          </w:tcPr>
          <w:p w14:paraId="0C6F34B8" w14:textId="599BAD03" w:rsidR="00CB39D1" w:rsidRPr="00CB39D1" w:rsidRDefault="00CB39D1" w:rsidP="00CB39D1">
            <w:pPr>
              <w:spacing w:before="0" w:after="0" w:line="240" w:lineRule="auto"/>
              <w:jc w:val="center"/>
              <w:rPr>
                <w:i/>
                <w:color w:val="A5A6AC" w:themeColor="accent3" w:themeTint="99"/>
                <w:sz w:val="18"/>
                <w:szCs w:val="18"/>
              </w:rPr>
            </w:pPr>
            <w:r w:rsidRPr="00CB39D1">
              <w:rPr>
                <w:sz w:val="18"/>
                <w:szCs w:val="18"/>
              </w:rPr>
              <w:t>4,0</w:t>
            </w:r>
            <w:r w:rsidRPr="00CB39D1">
              <w:rPr>
                <w:sz w:val="18"/>
                <w:szCs w:val="18"/>
                <w:lang w:val="hy-AM"/>
              </w:rPr>
              <w:t>3</w:t>
            </w:r>
            <w:r w:rsidR="0016771D">
              <w:rPr>
                <w:sz w:val="18"/>
                <w:szCs w:val="18"/>
                <w:lang w:val="hy-AM"/>
              </w:rPr>
              <w:t>0</w:t>
            </w:r>
            <w:r w:rsidRPr="00CB39D1">
              <w:rPr>
                <w:sz w:val="18"/>
                <w:szCs w:val="18"/>
                <w:lang w:val="hy-AM"/>
              </w:rPr>
              <w:t>.</w:t>
            </w:r>
            <w:r w:rsidR="0016771D">
              <w:rPr>
                <w:sz w:val="18"/>
                <w:szCs w:val="18"/>
                <w:lang w:val="hy-AM"/>
              </w:rPr>
              <w:t>6</w:t>
            </w:r>
          </w:p>
        </w:tc>
      </w:tr>
      <w:tr w:rsidR="00CB39D1" w:rsidRPr="00CB39D1" w14:paraId="155E638A" w14:textId="77777777" w:rsidTr="008D4E1E">
        <w:trPr>
          <w:trHeight w:val="331"/>
        </w:trPr>
        <w:tc>
          <w:tcPr>
            <w:tcW w:w="1266" w:type="dxa"/>
            <w:vMerge/>
            <w:vAlign w:val="center"/>
          </w:tcPr>
          <w:p w14:paraId="1BACFF25" w14:textId="77777777" w:rsidR="00CB39D1" w:rsidRPr="00CB39D1" w:rsidRDefault="00CB39D1" w:rsidP="00CB39D1">
            <w:pPr>
              <w:spacing w:before="0" w:after="0" w:line="240" w:lineRule="auto"/>
              <w:jc w:val="both"/>
              <w:rPr>
                <w:sz w:val="18"/>
                <w:szCs w:val="18"/>
                <w:lang w:eastAsia="ru-RU"/>
              </w:rPr>
            </w:pPr>
          </w:p>
        </w:tc>
        <w:tc>
          <w:tcPr>
            <w:tcW w:w="2835" w:type="dxa"/>
            <w:vAlign w:val="center"/>
          </w:tcPr>
          <w:p w14:paraId="56C4F0AD" w14:textId="77777777" w:rsidR="00CB39D1" w:rsidRPr="00CB39D1" w:rsidRDefault="00CB39D1" w:rsidP="00CB39D1">
            <w:pPr>
              <w:spacing w:before="0" w:after="0" w:line="240" w:lineRule="auto"/>
              <w:jc w:val="both"/>
              <w:rPr>
                <w:i/>
                <w:color w:val="A5A6AC" w:themeColor="accent3" w:themeTint="99"/>
                <w:sz w:val="18"/>
                <w:szCs w:val="18"/>
              </w:rPr>
            </w:pPr>
            <w:r w:rsidRPr="00CB39D1">
              <w:rPr>
                <w:i/>
                <w:color w:val="A5A6AC" w:themeColor="accent3" w:themeTint="99"/>
                <w:sz w:val="18"/>
                <w:szCs w:val="18"/>
              </w:rPr>
              <w:t>%-ով՝ ՀՆԱ-ի նկատմամբ</w:t>
            </w:r>
          </w:p>
        </w:tc>
        <w:tc>
          <w:tcPr>
            <w:tcW w:w="851" w:type="dxa"/>
            <w:vAlign w:val="center"/>
          </w:tcPr>
          <w:p w14:paraId="5C520C90" w14:textId="77777777" w:rsidR="00CB39D1" w:rsidRPr="00CB39D1" w:rsidRDefault="00CB39D1" w:rsidP="00CB39D1">
            <w:pPr>
              <w:spacing w:before="0" w:after="0" w:line="240" w:lineRule="auto"/>
              <w:jc w:val="center"/>
              <w:rPr>
                <w:i/>
                <w:color w:val="A5A6AC" w:themeColor="accent3" w:themeTint="99"/>
                <w:sz w:val="18"/>
                <w:szCs w:val="18"/>
              </w:rPr>
            </w:pPr>
          </w:p>
        </w:tc>
        <w:tc>
          <w:tcPr>
            <w:tcW w:w="850" w:type="dxa"/>
            <w:vAlign w:val="center"/>
          </w:tcPr>
          <w:p w14:paraId="52B8E9D8" w14:textId="77777777" w:rsidR="00CB39D1" w:rsidRPr="00CB39D1" w:rsidRDefault="00CB39D1" w:rsidP="00CB39D1">
            <w:pPr>
              <w:spacing w:before="0" w:after="0" w:line="240" w:lineRule="auto"/>
              <w:jc w:val="center"/>
              <w:rPr>
                <w:i/>
                <w:color w:val="A5A6AC" w:themeColor="accent3" w:themeTint="99"/>
                <w:sz w:val="18"/>
                <w:szCs w:val="18"/>
              </w:rPr>
            </w:pPr>
          </w:p>
        </w:tc>
        <w:tc>
          <w:tcPr>
            <w:tcW w:w="851" w:type="dxa"/>
            <w:vAlign w:val="center"/>
          </w:tcPr>
          <w:p w14:paraId="1AEFF523" w14:textId="77777777" w:rsidR="00CB39D1" w:rsidRPr="00CB39D1" w:rsidRDefault="00CB39D1" w:rsidP="00CB39D1">
            <w:pPr>
              <w:spacing w:before="0" w:after="0" w:line="240" w:lineRule="auto"/>
              <w:jc w:val="center"/>
              <w:rPr>
                <w:i/>
                <w:color w:val="A5A6AC" w:themeColor="accent3" w:themeTint="99"/>
                <w:sz w:val="18"/>
                <w:szCs w:val="18"/>
              </w:rPr>
            </w:pPr>
            <w:r w:rsidRPr="00CB39D1">
              <w:rPr>
                <w:i/>
                <w:color w:val="A5A6AC" w:themeColor="accent3" w:themeTint="99"/>
                <w:sz w:val="18"/>
                <w:szCs w:val="18"/>
              </w:rPr>
              <w:t>31.2%</w:t>
            </w:r>
          </w:p>
        </w:tc>
        <w:tc>
          <w:tcPr>
            <w:tcW w:w="992" w:type="dxa"/>
            <w:vAlign w:val="center"/>
          </w:tcPr>
          <w:p w14:paraId="029C0840" w14:textId="77777777" w:rsidR="00CB39D1" w:rsidRPr="00CB39D1" w:rsidRDefault="00CB39D1" w:rsidP="00CB39D1">
            <w:pPr>
              <w:spacing w:before="0" w:after="0" w:line="240" w:lineRule="auto"/>
              <w:jc w:val="center"/>
              <w:rPr>
                <w:i/>
                <w:color w:val="A5A6AC" w:themeColor="accent3" w:themeTint="99"/>
                <w:sz w:val="18"/>
                <w:szCs w:val="18"/>
              </w:rPr>
            </w:pPr>
            <w:r w:rsidRPr="00CB39D1">
              <w:rPr>
                <w:i/>
                <w:color w:val="A5A6AC" w:themeColor="accent3" w:themeTint="99"/>
                <w:sz w:val="18"/>
                <w:szCs w:val="18"/>
              </w:rPr>
              <w:t>30.4%</w:t>
            </w:r>
          </w:p>
        </w:tc>
        <w:tc>
          <w:tcPr>
            <w:tcW w:w="992" w:type="dxa"/>
            <w:vAlign w:val="center"/>
          </w:tcPr>
          <w:p w14:paraId="36F52C22" w14:textId="77777777" w:rsidR="00CB39D1" w:rsidRPr="00CB39D1" w:rsidRDefault="00CB39D1" w:rsidP="00CB39D1">
            <w:pPr>
              <w:spacing w:before="0" w:after="0" w:line="240" w:lineRule="auto"/>
              <w:jc w:val="center"/>
              <w:rPr>
                <w:i/>
                <w:color w:val="A5A6AC" w:themeColor="accent3" w:themeTint="99"/>
                <w:sz w:val="18"/>
                <w:szCs w:val="18"/>
              </w:rPr>
            </w:pPr>
            <w:r w:rsidRPr="00CB39D1">
              <w:rPr>
                <w:i/>
                <w:color w:val="A5A6AC" w:themeColor="accent3" w:themeTint="99"/>
                <w:sz w:val="18"/>
                <w:szCs w:val="18"/>
              </w:rPr>
              <w:t>29.</w:t>
            </w:r>
            <w:r w:rsidRPr="00CB39D1">
              <w:rPr>
                <w:i/>
                <w:color w:val="A5A6AC" w:themeColor="accent3" w:themeTint="99"/>
                <w:sz w:val="18"/>
                <w:szCs w:val="18"/>
                <w:lang w:val="hy-AM"/>
              </w:rPr>
              <w:t>3</w:t>
            </w:r>
            <w:r w:rsidRPr="00CB39D1">
              <w:rPr>
                <w:i/>
                <w:color w:val="A5A6AC" w:themeColor="accent3" w:themeTint="99"/>
                <w:sz w:val="18"/>
                <w:szCs w:val="18"/>
              </w:rPr>
              <w:t>%</w:t>
            </w:r>
          </w:p>
        </w:tc>
        <w:tc>
          <w:tcPr>
            <w:tcW w:w="1089" w:type="dxa"/>
            <w:vAlign w:val="center"/>
          </w:tcPr>
          <w:p w14:paraId="76AAE69F" w14:textId="77777777" w:rsidR="00CB39D1" w:rsidRPr="00CB39D1" w:rsidRDefault="00CB39D1" w:rsidP="00CB39D1">
            <w:pPr>
              <w:spacing w:before="0" w:after="0" w:line="240" w:lineRule="auto"/>
              <w:jc w:val="center"/>
              <w:rPr>
                <w:i/>
                <w:color w:val="A5A6AC" w:themeColor="accent3" w:themeTint="99"/>
                <w:sz w:val="18"/>
                <w:szCs w:val="18"/>
              </w:rPr>
            </w:pPr>
            <w:r w:rsidRPr="00CB39D1">
              <w:rPr>
                <w:i/>
                <w:color w:val="A5A6AC" w:themeColor="accent3" w:themeTint="99"/>
                <w:sz w:val="18"/>
                <w:szCs w:val="18"/>
              </w:rPr>
              <w:t>28.7%</w:t>
            </w:r>
          </w:p>
        </w:tc>
      </w:tr>
    </w:tbl>
    <w:p w14:paraId="611D6FAF" w14:textId="77777777" w:rsidR="00CB39D1" w:rsidRPr="00CB39D1" w:rsidRDefault="00CB39D1" w:rsidP="00CB39D1">
      <w:pPr>
        <w:jc w:val="both"/>
        <w:rPr>
          <w:rFonts w:ascii="GHEA Grapalat" w:hAnsi="GHEA Grapalat"/>
          <w:bCs/>
          <w:szCs w:val="20"/>
        </w:rPr>
      </w:pPr>
      <w:r w:rsidRPr="00CB39D1">
        <w:rPr>
          <w:rFonts w:ascii="GHEA Grapalat" w:hAnsi="GHEA Grapalat"/>
          <w:bCs/>
          <w:szCs w:val="20"/>
        </w:rPr>
        <w:t>Աղյուսակ 2.6. Պետական բյուջեի ընթացիկ ծախսերի կանխատեսումների համեմատական աղյուսակը, մլրդ դրամ</w:t>
      </w:r>
    </w:p>
    <w:tbl>
      <w:tblPr>
        <w:tblW w:w="9833" w:type="dxa"/>
        <w:tblBorders>
          <w:top w:val="single" w:sz="8" w:space="0" w:color="E1E1E3" w:themeColor="accent3" w:themeTint="33"/>
          <w:left w:val="single" w:sz="8" w:space="0" w:color="E1E1E3" w:themeColor="accent3" w:themeTint="33"/>
          <w:bottom w:val="single" w:sz="8" w:space="0" w:color="E1E1E3" w:themeColor="accent3" w:themeTint="33"/>
          <w:right w:val="single" w:sz="8" w:space="0" w:color="E1E1E3" w:themeColor="accent3" w:themeTint="33"/>
          <w:insideH w:val="single" w:sz="8" w:space="0" w:color="E1E1E3" w:themeColor="accent3" w:themeTint="33"/>
          <w:insideV w:val="single" w:sz="8" w:space="0" w:color="E1E1E3" w:themeColor="accent3" w:themeTint="33"/>
        </w:tblBorders>
        <w:tblLook w:val="04A0" w:firstRow="1" w:lastRow="0" w:firstColumn="1" w:lastColumn="0" w:noHBand="0" w:noVBand="1"/>
      </w:tblPr>
      <w:tblGrid>
        <w:gridCol w:w="1188"/>
        <w:gridCol w:w="2769"/>
        <w:gridCol w:w="885"/>
        <w:gridCol w:w="942"/>
        <w:gridCol w:w="857"/>
        <w:gridCol w:w="1070"/>
        <w:gridCol w:w="1081"/>
        <w:gridCol w:w="1041"/>
      </w:tblGrid>
      <w:tr w:rsidR="00CB39D1" w:rsidRPr="00CB39D1" w14:paraId="30D8F284" w14:textId="77777777" w:rsidTr="008D4E1E">
        <w:trPr>
          <w:trHeight w:val="331"/>
        </w:trPr>
        <w:tc>
          <w:tcPr>
            <w:tcW w:w="1162" w:type="dxa"/>
            <w:shd w:val="clear" w:color="auto" w:fill="D5DCE4" w:themeFill="text2" w:themeFillTint="33"/>
            <w:vAlign w:val="center"/>
            <w:hideMark/>
          </w:tcPr>
          <w:p w14:paraId="41528283" w14:textId="77777777" w:rsidR="00CB39D1" w:rsidRPr="00CB39D1" w:rsidRDefault="00CB39D1" w:rsidP="00CB39D1">
            <w:pPr>
              <w:spacing w:before="0" w:after="0" w:line="240" w:lineRule="auto"/>
              <w:rPr>
                <w:b/>
                <w:sz w:val="18"/>
                <w:szCs w:val="18"/>
                <w:lang w:val="ru-RU"/>
              </w:rPr>
            </w:pPr>
            <w:r w:rsidRPr="00CB39D1">
              <w:rPr>
                <w:b/>
                <w:sz w:val="18"/>
                <w:szCs w:val="18"/>
              </w:rPr>
              <w:t>Ընդունման տարին</w:t>
            </w:r>
          </w:p>
        </w:tc>
        <w:tc>
          <w:tcPr>
            <w:tcW w:w="2769" w:type="dxa"/>
            <w:shd w:val="clear" w:color="auto" w:fill="D5DCE4" w:themeFill="text2" w:themeFillTint="33"/>
            <w:noWrap/>
            <w:vAlign w:val="center"/>
            <w:hideMark/>
          </w:tcPr>
          <w:p w14:paraId="1565B1AF" w14:textId="77777777" w:rsidR="00CB39D1" w:rsidRPr="00CB39D1" w:rsidRDefault="00CB39D1" w:rsidP="00CB39D1">
            <w:pPr>
              <w:spacing w:before="0" w:after="0" w:line="240" w:lineRule="auto"/>
              <w:rPr>
                <w:b/>
                <w:sz w:val="18"/>
                <w:szCs w:val="18"/>
              </w:rPr>
            </w:pPr>
            <w:r w:rsidRPr="00CB39D1">
              <w:rPr>
                <w:b/>
                <w:sz w:val="18"/>
                <w:szCs w:val="18"/>
              </w:rPr>
              <w:t>Ծրագիր</w:t>
            </w:r>
          </w:p>
        </w:tc>
        <w:tc>
          <w:tcPr>
            <w:tcW w:w="885" w:type="dxa"/>
            <w:shd w:val="clear" w:color="auto" w:fill="D5DCE4" w:themeFill="text2" w:themeFillTint="33"/>
            <w:noWrap/>
            <w:vAlign w:val="center"/>
            <w:hideMark/>
          </w:tcPr>
          <w:p w14:paraId="795E5519" w14:textId="77777777" w:rsidR="00CB39D1" w:rsidRPr="00CB39D1" w:rsidRDefault="00CB39D1" w:rsidP="00CB39D1">
            <w:pPr>
              <w:spacing w:before="0" w:after="0" w:line="240" w:lineRule="auto"/>
              <w:jc w:val="center"/>
              <w:rPr>
                <w:b/>
                <w:sz w:val="18"/>
                <w:szCs w:val="18"/>
              </w:rPr>
            </w:pPr>
            <w:r w:rsidRPr="00CB39D1">
              <w:rPr>
                <w:b/>
                <w:sz w:val="18"/>
                <w:szCs w:val="18"/>
              </w:rPr>
              <w:t>2023</w:t>
            </w:r>
          </w:p>
        </w:tc>
        <w:tc>
          <w:tcPr>
            <w:tcW w:w="942" w:type="dxa"/>
            <w:shd w:val="clear" w:color="auto" w:fill="D5DCE4" w:themeFill="text2" w:themeFillTint="33"/>
            <w:noWrap/>
            <w:vAlign w:val="center"/>
            <w:hideMark/>
          </w:tcPr>
          <w:p w14:paraId="32F387B6" w14:textId="77777777" w:rsidR="00CB39D1" w:rsidRPr="00CB39D1" w:rsidRDefault="00CB39D1" w:rsidP="00CB39D1">
            <w:pPr>
              <w:spacing w:before="0" w:after="0" w:line="240" w:lineRule="auto"/>
              <w:jc w:val="center"/>
              <w:rPr>
                <w:b/>
                <w:sz w:val="18"/>
                <w:szCs w:val="18"/>
              </w:rPr>
            </w:pPr>
            <w:r w:rsidRPr="00CB39D1">
              <w:rPr>
                <w:b/>
                <w:sz w:val="18"/>
                <w:szCs w:val="18"/>
              </w:rPr>
              <w:t>2024</w:t>
            </w:r>
          </w:p>
        </w:tc>
        <w:tc>
          <w:tcPr>
            <w:tcW w:w="841" w:type="dxa"/>
            <w:shd w:val="clear" w:color="auto" w:fill="D5DCE4" w:themeFill="text2" w:themeFillTint="33"/>
            <w:noWrap/>
            <w:vAlign w:val="center"/>
            <w:hideMark/>
          </w:tcPr>
          <w:p w14:paraId="43AA0CAF" w14:textId="77777777" w:rsidR="00CB39D1" w:rsidRPr="00CB39D1" w:rsidRDefault="00CB39D1" w:rsidP="00CB39D1">
            <w:pPr>
              <w:spacing w:before="0" w:after="0" w:line="240" w:lineRule="auto"/>
              <w:jc w:val="center"/>
              <w:rPr>
                <w:b/>
                <w:sz w:val="18"/>
                <w:szCs w:val="18"/>
              </w:rPr>
            </w:pPr>
            <w:r w:rsidRPr="00CB39D1">
              <w:rPr>
                <w:b/>
                <w:sz w:val="18"/>
                <w:szCs w:val="18"/>
              </w:rPr>
              <w:t>2025</w:t>
            </w:r>
          </w:p>
        </w:tc>
        <w:tc>
          <w:tcPr>
            <w:tcW w:w="1070" w:type="dxa"/>
            <w:shd w:val="clear" w:color="auto" w:fill="D5DCE4" w:themeFill="text2" w:themeFillTint="33"/>
            <w:noWrap/>
            <w:vAlign w:val="center"/>
            <w:hideMark/>
          </w:tcPr>
          <w:p w14:paraId="6DB57EEC" w14:textId="77777777" w:rsidR="00CB39D1" w:rsidRPr="00CB39D1" w:rsidRDefault="00CB39D1" w:rsidP="00CB39D1">
            <w:pPr>
              <w:spacing w:before="0" w:after="0" w:line="240" w:lineRule="auto"/>
              <w:jc w:val="center"/>
              <w:rPr>
                <w:b/>
                <w:sz w:val="18"/>
                <w:szCs w:val="18"/>
              </w:rPr>
            </w:pPr>
            <w:r w:rsidRPr="00CB39D1">
              <w:rPr>
                <w:b/>
                <w:sz w:val="18"/>
                <w:szCs w:val="18"/>
              </w:rPr>
              <w:t>2026</w:t>
            </w:r>
          </w:p>
        </w:tc>
        <w:tc>
          <w:tcPr>
            <w:tcW w:w="1081" w:type="dxa"/>
            <w:shd w:val="clear" w:color="auto" w:fill="D5DCE4" w:themeFill="text2" w:themeFillTint="33"/>
            <w:noWrap/>
            <w:vAlign w:val="center"/>
            <w:hideMark/>
          </w:tcPr>
          <w:p w14:paraId="66D30C68" w14:textId="77777777" w:rsidR="00CB39D1" w:rsidRPr="00CB39D1" w:rsidRDefault="00CB39D1" w:rsidP="00CB39D1">
            <w:pPr>
              <w:spacing w:before="0" w:after="0" w:line="240" w:lineRule="auto"/>
              <w:jc w:val="center"/>
              <w:rPr>
                <w:b/>
                <w:sz w:val="18"/>
                <w:szCs w:val="18"/>
              </w:rPr>
            </w:pPr>
            <w:r w:rsidRPr="00CB39D1">
              <w:rPr>
                <w:b/>
                <w:sz w:val="18"/>
                <w:szCs w:val="18"/>
              </w:rPr>
              <w:t>2027</w:t>
            </w:r>
          </w:p>
        </w:tc>
        <w:tc>
          <w:tcPr>
            <w:tcW w:w="1083" w:type="dxa"/>
            <w:shd w:val="clear" w:color="auto" w:fill="D5DCE4" w:themeFill="text2" w:themeFillTint="33"/>
            <w:vAlign w:val="center"/>
          </w:tcPr>
          <w:p w14:paraId="498FE88B" w14:textId="77777777" w:rsidR="00CB39D1" w:rsidRPr="00CB39D1" w:rsidRDefault="00CB39D1" w:rsidP="00CB39D1">
            <w:pPr>
              <w:spacing w:before="0" w:after="0" w:line="240" w:lineRule="auto"/>
              <w:jc w:val="center"/>
              <w:rPr>
                <w:b/>
                <w:sz w:val="18"/>
                <w:szCs w:val="18"/>
              </w:rPr>
            </w:pPr>
            <w:r w:rsidRPr="00CB39D1">
              <w:rPr>
                <w:b/>
                <w:sz w:val="18"/>
                <w:szCs w:val="18"/>
              </w:rPr>
              <w:t>2028</w:t>
            </w:r>
          </w:p>
        </w:tc>
      </w:tr>
      <w:tr w:rsidR="00CB39D1" w:rsidRPr="00CB39D1" w14:paraId="66895B6D" w14:textId="77777777" w:rsidTr="008D4E1E">
        <w:trPr>
          <w:trHeight w:val="331"/>
        </w:trPr>
        <w:tc>
          <w:tcPr>
            <w:tcW w:w="1162" w:type="dxa"/>
            <w:vMerge w:val="restart"/>
            <w:vAlign w:val="center"/>
            <w:hideMark/>
          </w:tcPr>
          <w:p w14:paraId="0DDC7983" w14:textId="77777777" w:rsidR="00CB39D1" w:rsidRPr="00CB39D1" w:rsidRDefault="00CB39D1" w:rsidP="00CB39D1">
            <w:pPr>
              <w:spacing w:before="0" w:after="0" w:line="240" w:lineRule="auto"/>
              <w:jc w:val="center"/>
              <w:rPr>
                <w:sz w:val="18"/>
                <w:szCs w:val="18"/>
              </w:rPr>
            </w:pPr>
            <w:r w:rsidRPr="00CB39D1">
              <w:rPr>
                <w:sz w:val="18"/>
                <w:szCs w:val="18"/>
              </w:rPr>
              <w:t>-</w:t>
            </w:r>
          </w:p>
        </w:tc>
        <w:tc>
          <w:tcPr>
            <w:tcW w:w="2769" w:type="dxa"/>
            <w:noWrap/>
            <w:vAlign w:val="center"/>
            <w:hideMark/>
          </w:tcPr>
          <w:p w14:paraId="5E2E5BF9" w14:textId="77777777" w:rsidR="00CB39D1" w:rsidRPr="00CB39D1" w:rsidRDefault="00CB39D1" w:rsidP="00CB39D1">
            <w:pPr>
              <w:spacing w:before="0" w:after="0" w:line="240" w:lineRule="auto"/>
              <w:rPr>
                <w:sz w:val="18"/>
                <w:szCs w:val="18"/>
              </w:rPr>
            </w:pPr>
            <w:r w:rsidRPr="00CB39D1">
              <w:rPr>
                <w:sz w:val="18"/>
                <w:szCs w:val="18"/>
              </w:rPr>
              <w:t>Փաստացի</w:t>
            </w:r>
          </w:p>
        </w:tc>
        <w:tc>
          <w:tcPr>
            <w:tcW w:w="885" w:type="dxa"/>
            <w:vAlign w:val="center"/>
            <w:hideMark/>
          </w:tcPr>
          <w:p w14:paraId="338B40F1" w14:textId="77777777" w:rsidR="00CB39D1" w:rsidRPr="00CB39D1" w:rsidRDefault="00CB39D1" w:rsidP="00CB39D1">
            <w:pPr>
              <w:spacing w:before="0" w:after="0" w:line="240" w:lineRule="auto"/>
              <w:jc w:val="center"/>
              <w:rPr>
                <w:sz w:val="18"/>
                <w:szCs w:val="18"/>
              </w:rPr>
            </w:pPr>
            <w:r w:rsidRPr="00CB39D1">
              <w:rPr>
                <w:sz w:val="18"/>
                <w:szCs w:val="18"/>
              </w:rPr>
              <w:t>2,127.0</w:t>
            </w:r>
          </w:p>
        </w:tc>
        <w:tc>
          <w:tcPr>
            <w:tcW w:w="942" w:type="dxa"/>
            <w:noWrap/>
            <w:vAlign w:val="center"/>
            <w:hideMark/>
          </w:tcPr>
          <w:p w14:paraId="00471D18" w14:textId="77777777" w:rsidR="00CB39D1" w:rsidRPr="00CB39D1" w:rsidRDefault="00CB39D1" w:rsidP="00CB39D1">
            <w:pPr>
              <w:spacing w:before="0" w:after="0" w:line="240" w:lineRule="auto"/>
              <w:jc w:val="center"/>
              <w:rPr>
                <w:sz w:val="18"/>
                <w:szCs w:val="18"/>
              </w:rPr>
            </w:pPr>
            <w:r w:rsidRPr="00CB39D1">
              <w:rPr>
                <w:sz w:val="18"/>
                <w:szCs w:val="18"/>
              </w:rPr>
              <w:t>2,413.6</w:t>
            </w:r>
          </w:p>
        </w:tc>
        <w:tc>
          <w:tcPr>
            <w:tcW w:w="841" w:type="dxa"/>
            <w:noWrap/>
            <w:vAlign w:val="center"/>
            <w:hideMark/>
          </w:tcPr>
          <w:p w14:paraId="4333D665" w14:textId="77777777" w:rsidR="00CB39D1" w:rsidRPr="00CB39D1" w:rsidRDefault="00CB39D1" w:rsidP="00CB39D1">
            <w:pPr>
              <w:spacing w:before="0" w:after="0" w:line="240" w:lineRule="auto"/>
              <w:jc w:val="center"/>
              <w:rPr>
                <w:sz w:val="18"/>
                <w:szCs w:val="18"/>
              </w:rPr>
            </w:pPr>
          </w:p>
        </w:tc>
        <w:tc>
          <w:tcPr>
            <w:tcW w:w="1070" w:type="dxa"/>
            <w:noWrap/>
            <w:vAlign w:val="center"/>
            <w:hideMark/>
          </w:tcPr>
          <w:p w14:paraId="36B4AEC5" w14:textId="77777777" w:rsidR="00CB39D1" w:rsidRPr="00CB39D1" w:rsidRDefault="00CB39D1" w:rsidP="00CB39D1">
            <w:pPr>
              <w:spacing w:before="0" w:after="0" w:line="240" w:lineRule="auto"/>
              <w:jc w:val="center"/>
              <w:rPr>
                <w:sz w:val="18"/>
                <w:szCs w:val="18"/>
              </w:rPr>
            </w:pPr>
          </w:p>
        </w:tc>
        <w:tc>
          <w:tcPr>
            <w:tcW w:w="1081" w:type="dxa"/>
            <w:vAlign w:val="center"/>
            <w:hideMark/>
          </w:tcPr>
          <w:p w14:paraId="4CA187C5" w14:textId="77777777" w:rsidR="00CB39D1" w:rsidRPr="00CB39D1" w:rsidRDefault="00CB39D1" w:rsidP="00CB39D1">
            <w:pPr>
              <w:spacing w:before="0" w:after="0" w:line="240" w:lineRule="auto"/>
              <w:jc w:val="center"/>
              <w:rPr>
                <w:sz w:val="18"/>
                <w:szCs w:val="18"/>
              </w:rPr>
            </w:pPr>
          </w:p>
        </w:tc>
        <w:tc>
          <w:tcPr>
            <w:tcW w:w="1083" w:type="dxa"/>
          </w:tcPr>
          <w:p w14:paraId="6BE25FFD" w14:textId="77777777" w:rsidR="00CB39D1" w:rsidRPr="00CB39D1" w:rsidRDefault="00CB39D1" w:rsidP="00CB39D1">
            <w:pPr>
              <w:spacing w:before="0" w:after="0" w:line="240" w:lineRule="auto"/>
              <w:jc w:val="center"/>
              <w:rPr>
                <w:sz w:val="18"/>
                <w:szCs w:val="18"/>
              </w:rPr>
            </w:pPr>
          </w:p>
        </w:tc>
      </w:tr>
      <w:tr w:rsidR="00CB39D1" w:rsidRPr="00CB39D1" w14:paraId="600F4961" w14:textId="77777777" w:rsidTr="008D4E1E">
        <w:trPr>
          <w:trHeight w:val="331"/>
        </w:trPr>
        <w:tc>
          <w:tcPr>
            <w:tcW w:w="1162" w:type="dxa"/>
            <w:vMerge/>
            <w:vAlign w:val="center"/>
            <w:hideMark/>
          </w:tcPr>
          <w:p w14:paraId="3E8561CE" w14:textId="77777777" w:rsidR="00CB39D1" w:rsidRPr="00CB39D1" w:rsidRDefault="00CB39D1" w:rsidP="00CB39D1">
            <w:pPr>
              <w:spacing w:before="0" w:after="0" w:line="240" w:lineRule="auto"/>
              <w:jc w:val="center"/>
              <w:rPr>
                <w:sz w:val="18"/>
                <w:szCs w:val="18"/>
                <w:lang w:val="ru-RU" w:eastAsia="ru-RU"/>
              </w:rPr>
            </w:pPr>
          </w:p>
        </w:tc>
        <w:tc>
          <w:tcPr>
            <w:tcW w:w="2769" w:type="dxa"/>
            <w:noWrap/>
            <w:vAlign w:val="center"/>
            <w:hideMark/>
          </w:tcPr>
          <w:p w14:paraId="1E05E352" w14:textId="77777777" w:rsidR="00CB39D1" w:rsidRPr="00CB39D1" w:rsidRDefault="00CB39D1" w:rsidP="00CB39D1">
            <w:pPr>
              <w:spacing w:before="0" w:after="0" w:line="240" w:lineRule="auto"/>
              <w:rPr>
                <w:i/>
                <w:color w:val="A5A6AC" w:themeColor="accent3" w:themeTint="99"/>
                <w:sz w:val="18"/>
                <w:szCs w:val="18"/>
              </w:rPr>
            </w:pPr>
            <w:r w:rsidRPr="00CB39D1">
              <w:rPr>
                <w:i/>
                <w:color w:val="A5A6AC" w:themeColor="accent3" w:themeTint="99"/>
                <w:sz w:val="18"/>
                <w:szCs w:val="18"/>
              </w:rPr>
              <w:t>%-ով՝ ՀՆԱ-ի նկատմամբ</w:t>
            </w:r>
          </w:p>
        </w:tc>
        <w:tc>
          <w:tcPr>
            <w:tcW w:w="885" w:type="dxa"/>
            <w:vAlign w:val="center"/>
            <w:hideMark/>
          </w:tcPr>
          <w:p w14:paraId="62EE7F34" w14:textId="77777777" w:rsidR="00CB39D1" w:rsidRPr="00CB39D1" w:rsidRDefault="00CB39D1" w:rsidP="00CB39D1">
            <w:pPr>
              <w:spacing w:before="0" w:after="0" w:line="240" w:lineRule="auto"/>
              <w:jc w:val="center"/>
              <w:rPr>
                <w:i/>
                <w:color w:val="A5A6AC" w:themeColor="accent3" w:themeTint="99"/>
                <w:sz w:val="18"/>
                <w:szCs w:val="18"/>
              </w:rPr>
            </w:pPr>
            <w:r w:rsidRPr="00CB39D1">
              <w:rPr>
                <w:i/>
                <w:color w:val="A5A6AC" w:themeColor="accent3" w:themeTint="99"/>
                <w:sz w:val="18"/>
                <w:szCs w:val="18"/>
              </w:rPr>
              <w:t>22.4%</w:t>
            </w:r>
          </w:p>
        </w:tc>
        <w:tc>
          <w:tcPr>
            <w:tcW w:w="942" w:type="dxa"/>
            <w:noWrap/>
            <w:vAlign w:val="center"/>
            <w:hideMark/>
          </w:tcPr>
          <w:p w14:paraId="7292D37E" w14:textId="77777777" w:rsidR="00CB39D1" w:rsidRPr="00CB39D1" w:rsidRDefault="00CB39D1" w:rsidP="00CB39D1">
            <w:pPr>
              <w:spacing w:before="0" w:after="0" w:line="240" w:lineRule="auto"/>
              <w:jc w:val="center"/>
              <w:rPr>
                <w:i/>
                <w:color w:val="A5A6AC" w:themeColor="accent3" w:themeTint="99"/>
                <w:sz w:val="18"/>
                <w:szCs w:val="18"/>
              </w:rPr>
            </w:pPr>
            <w:r w:rsidRPr="00CB39D1">
              <w:rPr>
                <w:i/>
                <w:color w:val="A5A6AC" w:themeColor="accent3" w:themeTint="99"/>
                <w:sz w:val="18"/>
                <w:szCs w:val="18"/>
              </w:rPr>
              <w:t>23.7%</w:t>
            </w:r>
          </w:p>
        </w:tc>
        <w:tc>
          <w:tcPr>
            <w:tcW w:w="841" w:type="dxa"/>
            <w:noWrap/>
            <w:vAlign w:val="center"/>
            <w:hideMark/>
          </w:tcPr>
          <w:p w14:paraId="05C86E4E" w14:textId="77777777" w:rsidR="00CB39D1" w:rsidRPr="00CB39D1" w:rsidRDefault="00CB39D1" w:rsidP="00CB39D1">
            <w:pPr>
              <w:spacing w:before="0" w:after="0" w:line="240" w:lineRule="auto"/>
              <w:jc w:val="center"/>
              <w:rPr>
                <w:i/>
                <w:color w:val="A5A6AC" w:themeColor="accent3" w:themeTint="99"/>
                <w:sz w:val="18"/>
                <w:szCs w:val="18"/>
              </w:rPr>
            </w:pPr>
          </w:p>
        </w:tc>
        <w:tc>
          <w:tcPr>
            <w:tcW w:w="1070" w:type="dxa"/>
            <w:noWrap/>
            <w:vAlign w:val="center"/>
            <w:hideMark/>
          </w:tcPr>
          <w:p w14:paraId="753C5E9B" w14:textId="77777777" w:rsidR="00CB39D1" w:rsidRPr="00CB39D1" w:rsidRDefault="00CB39D1" w:rsidP="00CB39D1">
            <w:pPr>
              <w:spacing w:before="0" w:after="0" w:line="240" w:lineRule="auto"/>
              <w:jc w:val="center"/>
              <w:rPr>
                <w:i/>
                <w:color w:val="A5A6AC" w:themeColor="accent3" w:themeTint="99"/>
                <w:sz w:val="18"/>
                <w:szCs w:val="18"/>
              </w:rPr>
            </w:pPr>
          </w:p>
        </w:tc>
        <w:tc>
          <w:tcPr>
            <w:tcW w:w="1081" w:type="dxa"/>
            <w:vAlign w:val="center"/>
            <w:hideMark/>
          </w:tcPr>
          <w:p w14:paraId="280649F6" w14:textId="77777777" w:rsidR="00CB39D1" w:rsidRPr="00CB39D1" w:rsidRDefault="00CB39D1" w:rsidP="00CB39D1">
            <w:pPr>
              <w:spacing w:before="0" w:after="0" w:line="240" w:lineRule="auto"/>
              <w:jc w:val="center"/>
              <w:rPr>
                <w:i/>
                <w:color w:val="A5A6AC" w:themeColor="accent3" w:themeTint="99"/>
                <w:sz w:val="18"/>
                <w:szCs w:val="18"/>
              </w:rPr>
            </w:pPr>
          </w:p>
        </w:tc>
        <w:tc>
          <w:tcPr>
            <w:tcW w:w="1083" w:type="dxa"/>
          </w:tcPr>
          <w:p w14:paraId="14501A57" w14:textId="77777777" w:rsidR="00CB39D1" w:rsidRPr="00CB39D1" w:rsidRDefault="00CB39D1" w:rsidP="00CB39D1">
            <w:pPr>
              <w:spacing w:before="0" w:after="0" w:line="240" w:lineRule="auto"/>
              <w:jc w:val="center"/>
              <w:rPr>
                <w:i/>
                <w:color w:val="A5A6AC" w:themeColor="accent3" w:themeTint="99"/>
                <w:sz w:val="18"/>
                <w:szCs w:val="18"/>
              </w:rPr>
            </w:pPr>
          </w:p>
        </w:tc>
      </w:tr>
      <w:tr w:rsidR="00CB39D1" w:rsidRPr="00CB39D1" w14:paraId="468124CC" w14:textId="77777777" w:rsidTr="008D4E1E">
        <w:trPr>
          <w:trHeight w:val="331"/>
        </w:trPr>
        <w:tc>
          <w:tcPr>
            <w:tcW w:w="1162" w:type="dxa"/>
            <w:vMerge w:val="restart"/>
            <w:vAlign w:val="center"/>
            <w:hideMark/>
          </w:tcPr>
          <w:p w14:paraId="457EFCE8" w14:textId="77777777" w:rsidR="00CB39D1" w:rsidRPr="00CB39D1" w:rsidRDefault="00CB39D1" w:rsidP="00CB39D1">
            <w:pPr>
              <w:spacing w:before="0" w:after="0" w:line="240" w:lineRule="auto"/>
              <w:jc w:val="center"/>
              <w:rPr>
                <w:sz w:val="18"/>
                <w:szCs w:val="18"/>
              </w:rPr>
            </w:pPr>
            <w:r w:rsidRPr="00CB39D1">
              <w:rPr>
                <w:sz w:val="18"/>
                <w:szCs w:val="18"/>
              </w:rPr>
              <w:t>2022</w:t>
            </w:r>
          </w:p>
        </w:tc>
        <w:tc>
          <w:tcPr>
            <w:tcW w:w="2769" w:type="dxa"/>
            <w:noWrap/>
            <w:vAlign w:val="center"/>
            <w:hideMark/>
          </w:tcPr>
          <w:p w14:paraId="33B934FC" w14:textId="77777777" w:rsidR="00CB39D1" w:rsidRPr="00CB39D1" w:rsidRDefault="00CB39D1" w:rsidP="00CB39D1">
            <w:pPr>
              <w:spacing w:before="0" w:after="0" w:line="240" w:lineRule="auto"/>
              <w:rPr>
                <w:sz w:val="18"/>
                <w:szCs w:val="18"/>
              </w:rPr>
            </w:pPr>
            <w:r w:rsidRPr="00CB39D1">
              <w:rPr>
                <w:sz w:val="18"/>
                <w:szCs w:val="18"/>
              </w:rPr>
              <w:t>ՄԺԾԾ 2023-2025</w:t>
            </w:r>
          </w:p>
        </w:tc>
        <w:tc>
          <w:tcPr>
            <w:tcW w:w="885" w:type="dxa"/>
            <w:vAlign w:val="center"/>
            <w:hideMark/>
          </w:tcPr>
          <w:p w14:paraId="6332862E" w14:textId="77777777" w:rsidR="00CB39D1" w:rsidRPr="00CB39D1" w:rsidRDefault="00CB39D1" w:rsidP="00CB39D1">
            <w:pPr>
              <w:spacing w:before="0" w:after="0" w:line="240" w:lineRule="auto"/>
              <w:jc w:val="center"/>
              <w:rPr>
                <w:sz w:val="18"/>
                <w:szCs w:val="18"/>
              </w:rPr>
            </w:pPr>
            <w:r w:rsidRPr="00CB39D1">
              <w:rPr>
                <w:sz w:val="18"/>
                <w:szCs w:val="18"/>
              </w:rPr>
              <w:t>2,082.6</w:t>
            </w:r>
          </w:p>
        </w:tc>
        <w:tc>
          <w:tcPr>
            <w:tcW w:w="942" w:type="dxa"/>
            <w:vAlign w:val="center"/>
            <w:hideMark/>
          </w:tcPr>
          <w:p w14:paraId="24527C5D" w14:textId="77777777" w:rsidR="00CB39D1" w:rsidRPr="00CB39D1" w:rsidRDefault="00CB39D1" w:rsidP="00CB39D1">
            <w:pPr>
              <w:spacing w:before="0" w:after="0" w:line="240" w:lineRule="auto"/>
              <w:jc w:val="center"/>
              <w:rPr>
                <w:sz w:val="18"/>
                <w:szCs w:val="18"/>
              </w:rPr>
            </w:pPr>
            <w:r w:rsidRPr="00CB39D1">
              <w:rPr>
                <w:sz w:val="18"/>
                <w:szCs w:val="18"/>
              </w:rPr>
              <w:t>2,293.2</w:t>
            </w:r>
          </w:p>
        </w:tc>
        <w:tc>
          <w:tcPr>
            <w:tcW w:w="841" w:type="dxa"/>
            <w:vAlign w:val="center"/>
            <w:hideMark/>
          </w:tcPr>
          <w:p w14:paraId="0B79B39C" w14:textId="77777777" w:rsidR="00CB39D1" w:rsidRPr="00CB39D1" w:rsidRDefault="00CB39D1" w:rsidP="00CB39D1">
            <w:pPr>
              <w:spacing w:before="0" w:after="0" w:line="240" w:lineRule="auto"/>
              <w:jc w:val="center"/>
              <w:rPr>
                <w:sz w:val="18"/>
                <w:szCs w:val="18"/>
              </w:rPr>
            </w:pPr>
            <w:r w:rsidRPr="00CB39D1">
              <w:rPr>
                <w:sz w:val="18"/>
                <w:szCs w:val="18"/>
              </w:rPr>
              <w:t>2,512.2</w:t>
            </w:r>
          </w:p>
        </w:tc>
        <w:tc>
          <w:tcPr>
            <w:tcW w:w="1070" w:type="dxa"/>
            <w:noWrap/>
            <w:vAlign w:val="center"/>
            <w:hideMark/>
          </w:tcPr>
          <w:p w14:paraId="56EC2782" w14:textId="77777777" w:rsidR="00CB39D1" w:rsidRPr="00CB39D1" w:rsidRDefault="00CB39D1" w:rsidP="00CB39D1">
            <w:pPr>
              <w:spacing w:before="0" w:after="0" w:line="240" w:lineRule="auto"/>
              <w:jc w:val="center"/>
              <w:rPr>
                <w:sz w:val="18"/>
                <w:szCs w:val="18"/>
              </w:rPr>
            </w:pPr>
          </w:p>
        </w:tc>
        <w:tc>
          <w:tcPr>
            <w:tcW w:w="1081" w:type="dxa"/>
            <w:vAlign w:val="center"/>
            <w:hideMark/>
          </w:tcPr>
          <w:p w14:paraId="3CB49D23" w14:textId="77777777" w:rsidR="00CB39D1" w:rsidRPr="00CB39D1" w:rsidRDefault="00CB39D1" w:rsidP="00CB39D1">
            <w:pPr>
              <w:spacing w:before="0" w:after="0" w:line="240" w:lineRule="auto"/>
              <w:jc w:val="center"/>
              <w:rPr>
                <w:sz w:val="18"/>
                <w:szCs w:val="18"/>
              </w:rPr>
            </w:pPr>
          </w:p>
        </w:tc>
        <w:tc>
          <w:tcPr>
            <w:tcW w:w="1083" w:type="dxa"/>
          </w:tcPr>
          <w:p w14:paraId="77FD2BAB" w14:textId="77777777" w:rsidR="00CB39D1" w:rsidRPr="00CB39D1" w:rsidRDefault="00CB39D1" w:rsidP="00CB39D1">
            <w:pPr>
              <w:spacing w:before="0" w:after="0" w:line="240" w:lineRule="auto"/>
              <w:jc w:val="center"/>
              <w:rPr>
                <w:sz w:val="18"/>
                <w:szCs w:val="18"/>
              </w:rPr>
            </w:pPr>
          </w:p>
        </w:tc>
      </w:tr>
      <w:tr w:rsidR="00CB39D1" w:rsidRPr="00CB39D1" w14:paraId="5576F09C" w14:textId="77777777" w:rsidTr="008D4E1E">
        <w:trPr>
          <w:trHeight w:val="331"/>
        </w:trPr>
        <w:tc>
          <w:tcPr>
            <w:tcW w:w="1162" w:type="dxa"/>
            <w:vMerge/>
            <w:vAlign w:val="center"/>
            <w:hideMark/>
          </w:tcPr>
          <w:p w14:paraId="636D92AE" w14:textId="77777777" w:rsidR="00CB39D1" w:rsidRPr="00CB39D1" w:rsidRDefault="00CB39D1" w:rsidP="00CB39D1">
            <w:pPr>
              <w:spacing w:before="0" w:after="0" w:line="240" w:lineRule="auto"/>
              <w:jc w:val="center"/>
              <w:rPr>
                <w:sz w:val="18"/>
                <w:szCs w:val="18"/>
                <w:lang w:val="ru-RU" w:eastAsia="ru-RU"/>
              </w:rPr>
            </w:pPr>
          </w:p>
        </w:tc>
        <w:tc>
          <w:tcPr>
            <w:tcW w:w="2769" w:type="dxa"/>
            <w:vAlign w:val="center"/>
            <w:hideMark/>
          </w:tcPr>
          <w:p w14:paraId="7DA0FE9D" w14:textId="77777777" w:rsidR="00CB39D1" w:rsidRPr="00CB39D1" w:rsidRDefault="00CB39D1" w:rsidP="00CB39D1">
            <w:pPr>
              <w:spacing w:before="0" w:after="0" w:line="240" w:lineRule="auto"/>
              <w:rPr>
                <w:i/>
                <w:color w:val="A5A6AC" w:themeColor="accent3" w:themeTint="99"/>
                <w:sz w:val="18"/>
                <w:szCs w:val="18"/>
              </w:rPr>
            </w:pPr>
            <w:r w:rsidRPr="00CB39D1">
              <w:rPr>
                <w:i/>
                <w:color w:val="A5A6AC" w:themeColor="accent3" w:themeTint="99"/>
                <w:sz w:val="18"/>
                <w:szCs w:val="18"/>
              </w:rPr>
              <w:t>%-ով՝ ՀՆԱ-ի նկատմամբ</w:t>
            </w:r>
          </w:p>
        </w:tc>
        <w:tc>
          <w:tcPr>
            <w:tcW w:w="885" w:type="dxa"/>
            <w:vAlign w:val="center"/>
            <w:hideMark/>
          </w:tcPr>
          <w:p w14:paraId="2454D256" w14:textId="77777777" w:rsidR="00CB39D1" w:rsidRPr="00CB39D1" w:rsidRDefault="00CB39D1" w:rsidP="00CB39D1">
            <w:pPr>
              <w:spacing w:before="0" w:after="0" w:line="240" w:lineRule="auto"/>
              <w:jc w:val="center"/>
              <w:rPr>
                <w:i/>
                <w:color w:val="A5A6AC" w:themeColor="accent3" w:themeTint="99"/>
                <w:sz w:val="18"/>
                <w:szCs w:val="18"/>
              </w:rPr>
            </w:pPr>
            <w:r w:rsidRPr="00CB39D1">
              <w:rPr>
                <w:i/>
                <w:color w:val="A5A6AC" w:themeColor="accent3" w:themeTint="99"/>
                <w:sz w:val="18"/>
                <w:szCs w:val="18"/>
              </w:rPr>
              <w:t>22.97%</w:t>
            </w:r>
          </w:p>
        </w:tc>
        <w:tc>
          <w:tcPr>
            <w:tcW w:w="942" w:type="dxa"/>
            <w:vAlign w:val="center"/>
            <w:hideMark/>
          </w:tcPr>
          <w:p w14:paraId="6515E61C" w14:textId="77777777" w:rsidR="00CB39D1" w:rsidRPr="00CB39D1" w:rsidRDefault="00CB39D1" w:rsidP="00CB39D1">
            <w:pPr>
              <w:spacing w:before="0" w:after="0" w:line="240" w:lineRule="auto"/>
              <w:jc w:val="center"/>
              <w:rPr>
                <w:i/>
                <w:color w:val="A5A6AC" w:themeColor="accent3" w:themeTint="99"/>
                <w:sz w:val="18"/>
                <w:szCs w:val="18"/>
              </w:rPr>
            </w:pPr>
            <w:r w:rsidRPr="00CB39D1">
              <w:rPr>
                <w:i/>
                <w:color w:val="A5A6AC" w:themeColor="accent3" w:themeTint="99"/>
                <w:sz w:val="18"/>
                <w:szCs w:val="18"/>
              </w:rPr>
              <w:t>22.71%</w:t>
            </w:r>
          </w:p>
        </w:tc>
        <w:tc>
          <w:tcPr>
            <w:tcW w:w="841" w:type="dxa"/>
            <w:vAlign w:val="center"/>
            <w:hideMark/>
          </w:tcPr>
          <w:p w14:paraId="1429BB35" w14:textId="77777777" w:rsidR="00CB39D1" w:rsidRPr="00CB39D1" w:rsidRDefault="00CB39D1" w:rsidP="00CB39D1">
            <w:pPr>
              <w:spacing w:before="0" w:after="0" w:line="240" w:lineRule="auto"/>
              <w:jc w:val="center"/>
              <w:rPr>
                <w:i/>
                <w:color w:val="A5A6AC" w:themeColor="accent3" w:themeTint="99"/>
                <w:sz w:val="18"/>
                <w:szCs w:val="18"/>
              </w:rPr>
            </w:pPr>
            <w:r w:rsidRPr="00CB39D1">
              <w:rPr>
                <w:i/>
                <w:color w:val="A5A6AC" w:themeColor="accent3" w:themeTint="99"/>
                <w:sz w:val="18"/>
                <w:szCs w:val="18"/>
              </w:rPr>
              <w:t>22.35%</w:t>
            </w:r>
          </w:p>
        </w:tc>
        <w:tc>
          <w:tcPr>
            <w:tcW w:w="1070" w:type="dxa"/>
            <w:noWrap/>
            <w:vAlign w:val="center"/>
            <w:hideMark/>
          </w:tcPr>
          <w:p w14:paraId="1FFF9D79" w14:textId="77777777" w:rsidR="00CB39D1" w:rsidRPr="00CB39D1" w:rsidRDefault="00CB39D1" w:rsidP="00CB39D1">
            <w:pPr>
              <w:spacing w:before="0" w:after="0" w:line="240" w:lineRule="auto"/>
              <w:jc w:val="center"/>
              <w:rPr>
                <w:i/>
                <w:color w:val="A5A6AC" w:themeColor="accent3" w:themeTint="99"/>
                <w:sz w:val="18"/>
                <w:szCs w:val="18"/>
              </w:rPr>
            </w:pPr>
          </w:p>
        </w:tc>
        <w:tc>
          <w:tcPr>
            <w:tcW w:w="1081" w:type="dxa"/>
            <w:vAlign w:val="center"/>
            <w:hideMark/>
          </w:tcPr>
          <w:p w14:paraId="2C48EDCB" w14:textId="77777777" w:rsidR="00CB39D1" w:rsidRPr="00CB39D1" w:rsidRDefault="00CB39D1" w:rsidP="00CB39D1">
            <w:pPr>
              <w:spacing w:before="0" w:after="0" w:line="240" w:lineRule="auto"/>
              <w:jc w:val="center"/>
              <w:rPr>
                <w:i/>
                <w:color w:val="A5A6AC" w:themeColor="accent3" w:themeTint="99"/>
                <w:sz w:val="18"/>
                <w:szCs w:val="18"/>
              </w:rPr>
            </w:pPr>
          </w:p>
        </w:tc>
        <w:tc>
          <w:tcPr>
            <w:tcW w:w="1083" w:type="dxa"/>
          </w:tcPr>
          <w:p w14:paraId="04D75F7D" w14:textId="77777777" w:rsidR="00CB39D1" w:rsidRPr="00CB39D1" w:rsidRDefault="00CB39D1" w:rsidP="00CB39D1">
            <w:pPr>
              <w:spacing w:before="0" w:after="0" w:line="240" w:lineRule="auto"/>
              <w:jc w:val="center"/>
              <w:rPr>
                <w:i/>
                <w:color w:val="A5A6AC" w:themeColor="accent3" w:themeTint="99"/>
                <w:sz w:val="18"/>
                <w:szCs w:val="18"/>
              </w:rPr>
            </w:pPr>
          </w:p>
        </w:tc>
      </w:tr>
      <w:tr w:rsidR="00CB39D1" w:rsidRPr="00CB39D1" w14:paraId="0139A470" w14:textId="77777777" w:rsidTr="008D4E1E">
        <w:trPr>
          <w:trHeight w:val="331"/>
        </w:trPr>
        <w:tc>
          <w:tcPr>
            <w:tcW w:w="1162" w:type="dxa"/>
            <w:vMerge/>
            <w:vAlign w:val="center"/>
            <w:hideMark/>
          </w:tcPr>
          <w:p w14:paraId="4EF98556" w14:textId="77777777" w:rsidR="00CB39D1" w:rsidRPr="00CB39D1" w:rsidRDefault="00CB39D1" w:rsidP="00CB39D1">
            <w:pPr>
              <w:spacing w:before="0" w:after="0" w:line="240" w:lineRule="auto"/>
              <w:jc w:val="center"/>
              <w:rPr>
                <w:sz w:val="18"/>
                <w:szCs w:val="18"/>
                <w:lang w:val="ru-RU" w:eastAsia="ru-RU"/>
              </w:rPr>
            </w:pPr>
          </w:p>
        </w:tc>
        <w:tc>
          <w:tcPr>
            <w:tcW w:w="2769" w:type="dxa"/>
            <w:noWrap/>
            <w:vAlign w:val="center"/>
            <w:hideMark/>
          </w:tcPr>
          <w:p w14:paraId="557D06F6" w14:textId="77777777" w:rsidR="00CB39D1" w:rsidRPr="00CB39D1" w:rsidRDefault="00CB39D1" w:rsidP="00CB39D1">
            <w:pPr>
              <w:spacing w:before="0" w:after="0" w:line="240" w:lineRule="auto"/>
              <w:rPr>
                <w:sz w:val="18"/>
                <w:szCs w:val="18"/>
              </w:rPr>
            </w:pPr>
            <w:r w:rsidRPr="00CB39D1">
              <w:rPr>
                <w:sz w:val="18"/>
                <w:szCs w:val="18"/>
              </w:rPr>
              <w:t>2023թ. Պետական բյուջե</w:t>
            </w:r>
          </w:p>
        </w:tc>
        <w:tc>
          <w:tcPr>
            <w:tcW w:w="885" w:type="dxa"/>
            <w:vAlign w:val="center"/>
            <w:hideMark/>
          </w:tcPr>
          <w:p w14:paraId="3880F996" w14:textId="77777777" w:rsidR="00CB39D1" w:rsidRPr="00CB39D1" w:rsidRDefault="00CB39D1" w:rsidP="00CB39D1">
            <w:pPr>
              <w:spacing w:before="0" w:after="0" w:line="240" w:lineRule="auto"/>
              <w:jc w:val="center"/>
              <w:rPr>
                <w:sz w:val="18"/>
                <w:szCs w:val="18"/>
              </w:rPr>
            </w:pPr>
            <w:r w:rsidRPr="00CB39D1">
              <w:rPr>
                <w:sz w:val="18"/>
                <w:szCs w:val="18"/>
              </w:rPr>
              <w:t>2,095.2</w:t>
            </w:r>
          </w:p>
        </w:tc>
        <w:tc>
          <w:tcPr>
            <w:tcW w:w="942" w:type="dxa"/>
            <w:vAlign w:val="center"/>
            <w:hideMark/>
          </w:tcPr>
          <w:p w14:paraId="46F3D0C0" w14:textId="77777777" w:rsidR="00CB39D1" w:rsidRPr="00CB39D1" w:rsidRDefault="00CB39D1" w:rsidP="00CB39D1">
            <w:pPr>
              <w:spacing w:before="0" w:after="0" w:line="240" w:lineRule="auto"/>
              <w:jc w:val="center"/>
              <w:rPr>
                <w:sz w:val="18"/>
                <w:szCs w:val="18"/>
              </w:rPr>
            </w:pPr>
          </w:p>
        </w:tc>
        <w:tc>
          <w:tcPr>
            <w:tcW w:w="841" w:type="dxa"/>
            <w:vAlign w:val="center"/>
            <w:hideMark/>
          </w:tcPr>
          <w:p w14:paraId="129C26C0" w14:textId="77777777" w:rsidR="00CB39D1" w:rsidRPr="00CB39D1" w:rsidRDefault="00CB39D1" w:rsidP="00CB39D1">
            <w:pPr>
              <w:spacing w:before="0" w:after="0" w:line="240" w:lineRule="auto"/>
              <w:jc w:val="center"/>
              <w:rPr>
                <w:sz w:val="18"/>
                <w:szCs w:val="18"/>
              </w:rPr>
            </w:pPr>
          </w:p>
        </w:tc>
        <w:tc>
          <w:tcPr>
            <w:tcW w:w="1070" w:type="dxa"/>
            <w:noWrap/>
            <w:vAlign w:val="center"/>
            <w:hideMark/>
          </w:tcPr>
          <w:p w14:paraId="0B8754CB" w14:textId="77777777" w:rsidR="00CB39D1" w:rsidRPr="00CB39D1" w:rsidRDefault="00CB39D1" w:rsidP="00CB39D1">
            <w:pPr>
              <w:spacing w:before="0" w:after="0" w:line="240" w:lineRule="auto"/>
              <w:jc w:val="center"/>
              <w:rPr>
                <w:sz w:val="18"/>
                <w:szCs w:val="18"/>
              </w:rPr>
            </w:pPr>
          </w:p>
        </w:tc>
        <w:tc>
          <w:tcPr>
            <w:tcW w:w="1081" w:type="dxa"/>
            <w:vAlign w:val="center"/>
            <w:hideMark/>
          </w:tcPr>
          <w:p w14:paraId="61CC9655" w14:textId="77777777" w:rsidR="00CB39D1" w:rsidRPr="00CB39D1" w:rsidRDefault="00CB39D1" w:rsidP="00CB39D1">
            <w:pPr>
              <w:spacing w:before="0" w:after="0" w:line="240" w:lineRule="auto"/>
              <w:jc w:val="center"/>
              <w:rPr>
                <w:sz w:val="18"/>
                <w:szCs w:val="18"/>
              </w:rPr>
            </w:pPr>
          </w:p>
        </w:tc>
        <w:tc>
          <w:tcPr>
            <w:tcW w:w="1083" w:type="dxa"/>
          </w:tcPr>
          <w:p w14:paraId="00B029A1" w14:textId="77777777" w:rsidR="00CB39D1" w:rsidRPr="00CB39D1" w:rsidRDefault="00CB39D1" w:rsidP="00CB39D1">
            <w:pPr>
              <w:spacing w:before="0" w:after="0" w:line="240" w:lineRule="auto"/>
              <w:jc w:val="center"/>
              <w:rPr>
                <w:sz w:val="18"/>
                <w:szCs w:val="18"/>
              </w:rPr>
            </w:pPr>
          </w:p>
        </w:tc>
      </w:tr>
      <w:tr w:rsidR="00CB39D1" w:rsidRPr="00CB39D1" w14:paraId="22F354C1" w14:textId="77777777" w:rsidTr="008D4E1E">
        <w:trPr>
          <w:trHeight w:val="331"/>
        </w:trPr>
        <w:tc>
          <w:tcPr>
            <w:tcW w:w="1162" w:type="dxa"/>
            <w:vMerge/>
            <w:vAlign w:val="center"/>
            <w:hideMark/>
          </w:tcPr>
          <w:p w14:paraId="1B6610D7" w14:textId="77777777" w:rsidR="00CB39D1" w:rsidRPr="00CB39D1" w:rsidRDefault="00CB39D1" w:rsidP="00CB39D1">
            <w:pPr>
              <w:spacing w:before="0" w:after="0" w:line="240" w:lineRule="auto"/>
              <w:jc w:val="center"/>
              <w:rPr>
                <w:sz w:val="18"/>
                <w:szCs w:val="18"/>
                <w:lang w:val="ru-RU" w:eastAsia="ru-RU"/>
              </w:rPr>
            </w:pPr>
          </w:p>
        </w:tc>
        <w:tc>
          <w:tcPr>
            <w:tcW w:w="2769" w:type="dxa"/>
            <w:vAlign w:val="center"/>
            <w:hideMark/>
          </w:tcPr>
          <w:p w14:paraId="35A0D744" w14:textId="77777777" w:rsidR="00CB39D1" w:rsidRPr="00CB39D1" w:rsidRDefault="00CB39D1" w:rsidP="00CB39D1">
            <w:pPr>
              <w:spacing w:before="0" w:after="0" w:line="240" w:lineRule="auto"/>
              <w:rPr>
                <w:i/>
                <w:color w:val="A5A6AC" w:themeColor="accent3" w:themeTint="99"/>
                <w:sz w:val="18"/>
                <w:szCs w:val="18"/>
              </w:rPr>
            </w:pPr>
            <w:r w:rsidRPr="00CB39D1">
              <w:rPr>
                <w:i/>
                <w:color w:val="A5A6AC" w:themeColor="accent3" w:themeTint="99"/>
                <w:sz w:val="18"/>
                <w:szCs w:val="18"/>
              </w:rPr>
              <w:t>%-ով՝ ՀՆԱ-ի նկատմամբ</w:t>
            </w:r>
          </w:p>
        </w:tc>
        <w:tc>
          <w:tcPr>
            <w:tcW w:w="885" w:type="dxa"/>
            <w:vAlign w:val="center"/>
            <w:hideMark/>
          </w:tcPr>
          <w:p w14:paraId="766F1E02" w14:textId="77777777" w:rsidR="00CB39D1" w:rsidRPr="00CB39D1" w:rsidRDefault="00CB39D1" w:rsidP="00CB39D1">
            <w:pPr>
              <w:spacing w:before="0" w:after="0" w:line="240" w:lineRule="auto"/>
              <w:jc w:val="center"/>
              <w:rPr>
                <w:i/>
                <w:color w:val="A5A6AC" w:themeColor="accent3" w:themeTint="99"/>
                <w:sz w:val="18"/>
                <w:szCs w:val="18"/>
              </w:rPr>
            </w:pPr>
            <w:r w:rsidRPr="00CB39D1">
              <w:rPr>
                <w:i/>
                <w:color w:val="A5A6AC" w:themeColor="accent3" w:themeTint="99"/>
                <w:sz w:val="18"/>
                <w:szCs w:val="18"/>
              </w:rPr>
              <w:t>22.48%</w:t>
            </w:r>
          </w:p>
        </w:tc>
        <w:tc>
          <w:tcPr>
            <w:tcW w:w="942" w:type="dxa"/>
            <w:vAlign w:val="center"/>
            <w:hideMark/>
          </w:tcPr>
          <w:p w14:paraId="1FDF3434" w14:textId="77777777" w:rsidR="00CB39D1" w:rsidRPr="00CB39D1" w:rsidRDefault="00CB39D1" w:rsidP="00CB39D1">
            <w:pPr>
              <w:spacing w:before="0" w:after="0" w:line="240" w:lineRule="auto"/>
              <w:jc w:val="center"/>
              <w:rPr>
                <w:i/>
                <w:color w:val="A5A6AC" w:themeColor="accent3" w:themeTint="99"/>
                <w:sz w:val="18"/>
                <w:szCs w:val="18"/>
              </w:rPr>
            </w:pPr>
          </w:p>
        </w:tc>
        <w:tc>
          <w:tcPr>
            <w:tcW w:w="841" w:type="dxa"/>
            <w:vAlign w:val="center"/>
            <w:hideMark/>
          </w:tcPr>
          <w:p w14:paraId="50E283EF" w14:textId="77777777" w:rsidR="00CB39D1" w:rsidRPr="00CB39D1" w:rsidRDefault="00CB39D1" w:rsidP="00CB39D1">
            <w:pPr>
              <w:spacing w:before="0" w:after="0" w:line="240" w:lineRule="auto"/>
              <w:jc w:val="center"/>
              <w:rPr>
                <w:i/>
                <w:color w:val="A5A6AC" w:themeColor="accent3" w:themeTint="99"/>
                <w:sz w:val="18"/>
                <w:szCs w:val="18"/>
              </w:rPr>
            </w:pPr>
          </w:p>
        </w:tc>
        <w:tc>
          <w:tcPr>
            <w:tcW w:w="1070" w:type="dxa"/>
            <w:vAlign w:val="center"/>
            <w:hideMark/>
          </w:tcPr>
          <w:p w14:paraId="1CEC47E2" w14:textId="77777777" w:rsidR="00CB39D1" w:rsidRPr="00CB39D1" w:rsidRDefault="00CB39D1" w:rsidP="00CB39D1">
            <w:pPr>
              <w:spacing w:before="0" w:after="0" w:line="240" w:lineRule="auto"/>
              <w:jc w:val="center"/>
              <w:rPr>
                <w:i/>
                <w:color w:val="A5A6AC" w:themeColor="accent3" w:themeTint="99"/>
                <w:sz w:val="18"/>
                <w:szCs w:val="18"/>
              </w:rPr>
            </w:pPr>
          </w:p>
        </w:tc>
        <w:tc>
          <w:tcPr>
            <w:tcW w:w="1081" w:type="dxa"/>
            <w:vAlign w:val="center"/>
            <w:hideMark/>
          </w:tcPr>
          <w:p w14:paraId="2F8E7DB2" w14:textId="77777777" w:rsidR="00CB39D1" w:rsidRPr="00CB39D1" w:rsidRDefault="00CB39D1" w:rsidP="00CB39D1">
            <w:pPr>
              <w:spacing w:before="0" w:after="0" w:line="240" w:lineRule="auto"/>
              <w:jc w:val="center"/>
              <w:rPr>
                <w:i/>
                <w:color w:val="A5A6AC" w:themeColor="accent3" w:themeTint="99"/>
                <w:sz w:val="18"/>
                <w:szCs w:val="18"/>
              </w:rPr>
            </w:pPr>
          </w:p>
        </w:tc>
        <w:tc>
          <w:tcPr>
            <w:tcW w:w="1083" w:type="dxa"/>
          </w:tcPr>
          <w:p w14:paraId="0878F247" w14:textId="77777777" w:rsidR="00CB39D1" w:rsidRPr="00CB39D1" w:rsidRDefault="00CB39D1" w:rsidP="00CB39D1">
            <w:pPr>
              <w:spacing w:before="0" w:after="0" w:line="240" w:lineRule="auto"/>
              <w:jc w:val="center"/>
              <w:rPr>
                <w:i/>
                <w:color w:val="A5A6AC" w:themeColor="accent3" w:themeTint="99"/>
                <w:sz w:val="18"/>
                <w:szCs w:val="18"/>
              </w:rPr>
            </w:pPr>
          </w:p>
        </w:tc>
      </w:tr>
      <w:tr w:rsidR="00CB39D1" w:rsidRPr="00CB39D1" w14:paraId="32AD9721" w14:textId="77777777" w:rsidTr="008D4E1E">
        <w:trPr>
          <w:trHeight w:val="331"/>
        </w:trPr>
        <w:tc>
          <w:tcPr>
            <w:tcW w:w="1162" w:type="dxa"/>
            <w:vMerge w:val="restart"/>
            <w:vAlign w:val="center"/>
            <w:hideMark/>
          </w:tcPr>
          <w:p w14:paraId="6C07241C" w14:textId="77777777" w:rsidR="00CB39D1" w:rsidRPr="00CB39D1" w:rsidRDefault="00CB39D1" w:rsidP="00CB39D1">
            <w:pPr>
              <w:spacing w:before="0" w:after="0" w:line="240" w:lineRule="auto"/>
              <w:jc w:val="center"/>
              <w:rPr>
                <w:sz w:val="18"/>
                <w:szCs w:val="18"/>
              </w:rPr>
            </w:pPr>
            <w:r w:rsidRPr="00CB39D1">
              <w:rPr>
                <w:sz w:val="18"/>
                <w:szCs w:val="18"/>
              </w:rPr>
              <w:t>2023</w:t>
            </w:r>
          </w:p>
        </w:tc>
        <w:tc>
          <w:tcPr>
            <w:tcW w:w="2769" w:type="dxa"/>
            <w:noWrap/>
            <w:vAlign w:val="center"/>
            <w:hideMark/>
          </w:tcPr>
          <w:p w14:paraId="6901489F" w14:textId="77777777" w:rsidR="00CB39D1" w:rsidRPr="00CB39D1" w:rsidRDefault="00CB39D1" w:rsidP="00CB39D1">
            <w:pPr>
              <w:spacing w:before="0" w:after="0" w:line="240" w:lineRule="auto"/>
              <w:rPr>
                <w:sz w:val="18"/>
                <w:szCs w:val="18"/>
              </w:rPr>
            </w:pPr>
            <w:r w:rsidRPr="00CB39D1">
              <w:rPr>
                <w:sz w:val="18"/>
                <w:szCs w:val="18"/>
              </w:rPr>
              <w:t>ՄԺԾԾ 2024-2026</w:t>
            </w:r>
          </w:p>
        </w:tc>
        <w:tc>
          <w:tcPr>
            <w:tcW w:w="885" w:type="dxa"/>
            <w:vAlign w:val="center"/>
            <w:hideMark/>
          </w:tcPr>
          <w:p w14:paraId="714BDEBD" w14:textId="77777777" w:rsidR="00CB39D1" w:rsidRPr="00CB39D1" w:rsidRDefault="00CB39D1" w:rsidP="00CB39D1">
            <w:pPr>
              <w:spacing w:before="0" w:after="0" w:line="240" w:lineRule="auto"/>
              <w:jc w:val="center"/>
              <w:rPr>
                <w:sz w:val="18"/>
                <w:szCs w:val="18"/>
              </w:rPr>
            </w:pPr>
            <w:r w:rsidRPr="00CB39D1">
              <w:rPr>
                <w:sz w:val="18"/>
                <w:szCs w:val="18"/>
              </w:rPr>
              <w:t>2,095.3</w:t>
            </w:r>
          </w:p>
        </w:tc>
        <w:tc>
          <w:tcPr>
            <w:tcW w:w="942" w:type="dxa"/>
            <w:vAlign w:val="center"/>
            <w:hideMark/>
          </w:tcPr>
          <w:p w14:paraId="06ACF6D8" w14:textId="77777777" w:rsidR="00CB39D1" w:rsidRPr="00CB39D1" w:rsidRDefault="00CB39D1" w:rsidP="00CB39D1">
            <w:pPr>
              <w:spacing w:before="0" w:after="0" w:line="240" w:lineRule="auto"/>
              <w:jc w:val="center"/>
              <w:rPr>
                <w:sz w:val="18"/>
                <w:szCs w:val="18"/>
              </w:rPr>
            </w:pPr>
            <w:r w:rsidRPr="00CB39D1">
              <w:rPr>
                <w:sz w:val="18"/>
                <w:szCs w:val="18"/>
              </w:rPr>
              <w:t>2,308.3</w:t>
            </w:r>
          </w:p>
        </w:tc>
        <w:tc>
          <w:tcPr>
            <w:tcW w:w="841" w:type="dxa"/>
            <w:vAlign w:val="center"/>
            <w:hideMark/>
          </w:tcPr>
          <w:p w14:paraId="34866B73" w14:textId="77777777" w:rsidR="00CB39D1" w:rsidRPr="00CB39D1" w:rsidRDefault="00CB39D1" w:rsidP="00CB39D1">
            <w:pPr>
              <w:spacing w:before="0" w:after="0" w:line="240" w:lineRule="auto"/>
              <w:jc w:val="center"/>
              <w:rPr>
                <w:sz w:val="18"/>
                <w:szCs w:val="18"/>
              </w:rPr>
            </w:pPr>
            <w:r w:rsidRPr="00CB39D1">
              <w:rPr>
                <w:sz w:val="18"/>
                <w:szCs w:val="18"/>
              </w:rPr>
              <w:t>2,537.2</w:t>
            </w:r>
          </w:p>
        </w:tc>
        <w:tc>
          <w:tcPr>
            <w:tcW w:w="1070" w:type="dxa"/>
            <w:vAlign w:val="center"/>
            <w:hideMark/>
          </w:tcPr>
          <w:p w14:paraId="23D4F059" w14:textId="77777777" w:rsidR="00CB39D1" w:rsidRPr="00CB39D1" w:rsidRDefault="00CB39D1" w:rsidP="00CB39D1">
            <w:pPr>
              <w:spacing w:before="0" w:after="0" w:line="240" w:lineRule="auto"/>
              <w:jc w:val="center"/>
              <w:rPr>
                <w:sz w:val="18"/>
                <w:szCs w:val="18"/>
              </w:rPr>
            </w:pPr>
            <w:r w:rsidRPr="00CB39D1">
              <w:rPr>
                <w:sz w:val="18"/>
                <w:szCs w:val="18"/>
              </w:rPr>
              <w:t>2,839.1</w:t>
            </w:r>
          </w:p>
        </w:tc>
        <w:tc>
          <w:tcPr>
            <w:tcW w:w="1081" w:type="dxa"/>
            <w:vAlign w:val="center"/>
            <w:hideMark/>
          </w:tcPr>
          <w:p w14:paraId="3B154A71" w14:textId="77777777" w:rsidR="00CB39D1" w:rsidRPr="00CB39D1" w:rsidRDefault="00CB39D1" w:rsidP="00CB39D1">
            <w:pPr>
              <w:spacing w:before="0" w:after="0" w:line="240" w:lineRule="auto"/>
              <w:jc w:val="center"/>
              <w:rPr>
                <w:sz w:val="18"/>
                <w:szCs w:val="18"/>
              </w:rPr>
            </w:pPr>
          </w:p>
        </w:tc>
        <w:tc>
          <w:tcPr>
            <w:tcW w:w="1083" w:type="dxa"/>
          </w:tcPr>
          <w:p w14:paraId="3AD5AF29" w14:textId="77777777" w:rsidR="00CB39D1" w:rsidRPr="00CB39D1" w:rsidRDefault="00CB39D1" w:rsidP="00CB39D1">
            <w:pPr>
              <w:spacing w:before="0" w:after="0" w:line="240" w:lineRule="auto"/>
              <w:jc w:val="center"/>
              <w:rPr>
                <w:sz w:val="18"/>
                <w:szCs w:val="18"/>
              </w:rPr>
            </w:pPr>
          </w:p>
        </w:tc>
      </w:tr>
      <w:tr w:rsidR="00CB39D1" w:rsidRPr="00CB39D1" w14:paraId="7D4B9FB3" w14:textId="77777777" w:rsidTr="008D4E1E">
        <w:trPr>
          <w:trHeight w:val="331"/>
        </w:trPr>
        <w:tc>
          <w:tcPr>
            <w:tcW w:w="1162" w:type="dxa"/>
            <w:vMerge/>
            <w:vAlign w:val="center"/>
            <w:hideMark/>
          </w:tcPr>
          <w:p w14:paraId="488BA1A8" w14:textId="77777777" w:rsidR="00CB39D1" w:rsidRPr="00CB39D1" w:rsidRDefault="00CB39D1" w:rsidP="00CB39D1">
            <w:pPr>
              <w:spacing w:before="0" w:after="0" w:line="240" w:lineRule="auto"/>
              <w:jc w:val="center"/>
              <w:rPr>
                <w:sz w:val="18"/>
                <w:szCs w:val="18"/>
                <w:lang w:val="ru-RU" w:eastAsia="ru-RU"/>
              </w:rPr>
            </w:pPr>
          </w:p>
        </w:tc>
        <w:tc>
          <w:tcPr>
            <w:tcW w:w="2769" w:type="dxa"/>
            <w:vAlign w:val="center"/>
            <w:hideMark/>
          </w:tcPr>
          <w:p w14:paraId="2FC58D9D" w14:textId="77777777" w:rsidR="00CB39D1" w:rsidRPr="00CB39D1" w:rsidRDefault="00CB39D1" w:rsidP="00CB39D1">
            <w:pPr>
              <w:spacing w:before="0" w:after="0" w:line="240" w:lineRule="auto"/>
              <w:rPr>
                <w:i/>
                <w:color w:val="A5A6AC" w:themeColor="accent3" w:themeTint="99"/>
                <w:sz w:val="18"/>
                <w:szCs w:val="18"/>
              </w:rPr>
            </w:pPr>
            <w:r w:rsidRPr="00CB39D1">
              <w:rPr>
                <w:i/>
                <w:color w:val="A5A6AC" w:themeColor="accent3" w:themeTint="99"/>
                <w:sz w:val="18"/>
                <w:szCs w:val="18"/>
              </w:rPr>
              <w:t>%-ով՝ ՀՆԱ-ի նկատմամբ</w:t>
            </w:r>
          </w:p>
        </w:tc>
        <w:tc>
          <w:tcPr>
            <w:tcW w:w="885" w:type="dxa"/>
            <w:vAlign w:val="center"/>
            <w:hideMark/>
          </w:tcPr>
          <w:p w14:paraId="48D682DF" w14:textId="77777777" w:rsidR="00CB39D1" w:rsidRPr="00CB39D1" w:rsidRDefault="00CB39D1" w:rsidP="00CB39D1">
            <w:pPr>
              <w:spacing w:before="0" w:after="0" w:line="240" w:lineRule="auto"/>
              <w:jc w:val="center"/>
              <w:rPr>
                <w:i/>
                <w:color w:val="A5A6AC" w:themeColor="accent3" w:themeTint="99"/>
                <w:sz w:val="18"/>
                <w:szCs w:val="18"/>
              </w:rPr>
            </w:pPr>
            <w:r w:rsidRPr="00CB39D1">
              <w:rPr>
                <w:i/>
                <w:color w:val="A5A6AC" w:themeColor="accent3" w:themeTint="99"/>
                <w:sz w:val="18"/>
                <w:szCs w:val="18"/>
              </w:rPr>
              <w:t>21.98%</w:t>
            </w:r>
          </w:p>
        </w:tc>
        <w:tc>
          <w:tcPr>
            <w:tcW w:w="942" w:type="dxa"/>
            <w:vAlign w:val="center"/>
            <w:hideMark/>
          </w:tcPr>
          <w:p w14:paraId="68677FBF" w14:textId="77777777" w:rsidR="00CB39D1" w:rsidRPr="00CB39D1" w:rsidRDefault="00CB39D1" w:rsidP="00CB39D1">
            <w:pPr>
              <w:spacing w:before="0" w:after="0" w:line="240" w:lineRule="auto"/>
              <w:jc w:val="center"/>
              <w:rPr>
                <w:i/>
                <w:color w:val="A5A6AC" w:themeColor="accent3" w:themeTint="99"/>
                <w:sz w:val="18"/>
                <w:szCs w:val="18"/>
              </w:rPr>
            </w:pPr>
            <w:r w:rsidRPr="00CB39D1">
              <w:rPr>
                <w:i/>
                <w:color w:val="A5A6AC" w:themeColor="accent3" w:themeTint="99"/>
                <w:sz w:val="18"/>
                <w:szCs w:val="18"/>
              </w:rPr>
              <w:t>21.76%</w:t>
            </w:r>
          </w:p>
        </w:tc>
        <w:tc>
          <w:tcPr>
            <w:tcW w:w="841" w:type="dxa"/>
            <w:vAlign w:val="center"/>
            <w:hideMark/>
          </w:tcPr>
          <w:p w14:paraId="659CC150" w14:textId="77777777" w:rsidR="00CB39D1" w:rsidRPr="00CB39D1" w:rsidRDefault="00CB39D1" w:rsidP="00CB39D1">
            <w:pPr>
              <w:spacing w:before="0" w:after="0" w:line="240" w:lineRule="auto"/>
              <w:jc w:val="center"/>
              <w:rPr>
                <w:i/>
                <w:color w:val="A5A6AC" w:themeColor="accent3" w:themeTint="99"/>
                <w:sz w:val="18"/>
                <w:szCs w:val="18"/>
              </w:rPr>
            </w:pPr>
            <w:r w:rsidRPr="00CB39D1">
              <w:rPr>
                <w:i/>
                <w:color w:val="A5A6AC" w:themeColor="accent3" w:themeTint="99"/>
                <w:sz w:val="18"/>
                <w:szCs w:val="18"/>
              </w:rPr>
              <w:t>21.49%</w:t>
            </w:r>
          </w:p>
        </w:tc>
        <w:tc>
          <w:tcPr>
            <w:tcW w:w="1070" w:type="dxa"/>
            <w:vAlign w:val="center"/>
            <w:hideMark/>
          </w:tcPr>
          <w:p w14:paraId="49B10EBA" w14:textId="77777777" w:rsidR="00CB39D1" w:rsidRPr="00CB39D1" w:rsidRDefault="00CB39D1" w:rsidP="00CB39D1">
            <w:pPr>
              <w:spacing w:before="0" w:after="0" w:line="240" w:lineRule="auto"/>
              <w:jc w:val="center"/>
              <w:rPr>
                <w:i/>
                <w:color w:val="A5A6AC" w:themeColor="accent3" w:themeTint="99"/>
                <w:sz w:val="18"/>
                <w:szCs w:val="18"/>
              </w:rPr>
            </w:pPr>
            <w:r w:rsidRPr="00CB39D1">
              <w:rPr>
                <w:i/>
                <w:color w:val="A5A6AC" w:themeColor="accent3" w:themeTint="99"/>
                <w:sz w:val="18"/>
                <w:szCs w:val="18"/>
              </w:rPr>
              <w:t>21.61%</w:t>
            </w:r>
          </w:p>
        </w:tc>
        <w:tc>
          <w:tcPr>
            <w:tcW w:w="1081" w:type="dxa"/>
            <w:vAlign w:val="center"/>
            <w:hideMark/>
          </w:tcPr>
          <w:p w14:paraId="288EC84B" w14:textId="77777777" w:rsidR="00CB39D1" w:rsidRPr="00CB39D1" w:rsidRDefault="00CB39D1" w:rsidP="00CB39D1">
            <w:pPr>
              <w:spacing w:before="0" w:after="0" w:line="240" w:lineRule="auto"/>
              <w:jc w:val="center"/>
              <w:rPr>
                <w:i/>
                <w:color w:val="A5A6AC" w:themeColor="accent3" w:themeTint="99"/>
                <w:sz w:val="18"/>
                <w:szCs w:val="18"/>
              </w:rPr>
            </w:pPr>
          </w:p>
        </w:tc>
        <w:tc>
          <w:tcPr>
            <w:tcW w:w="1083" w:type="dxa"/>
          </w:tcPr>
          <w:p w14:paraId="08A6AD1B" w14:textId="77777777" w:rsidR="00CB39D1" w:rsidRPr="00CB39D1" w:rsidRDefault="00CB39D1" w:rsidP="00CB39D1">
            <w:pPr>
              <w:spacing w:before="0" w:after="0" w:line="240" w:lineRule="auto"/>
              <w:jc w:val="center"/>
              <w:rPr>
                <w:i/>
                <w:color w:val="A5A6AC" w:themeColor="accent3" w:themeTint="99"/>
                <w:sz w:val="18"/>
                <w:szCs w:val="18"/>
              </w:rPr>
            </w:pPr>
          </w:p>
        </w:tc>
      </w:tr>
      <w:tr w:rsidR="00CB39D1" w:rsidRPr="00CB39D1" w14:paraId="58AC3233" w14:textId="77777777" w:rsidTr="008D4E1E">
        <w:trPr>
          <w:trHeight w:val="331"/>
        </w:trPr>
        <w:tc>
          <w:tcPr>
            <w:tcW w:w="1162" w:type="dxa"/>
            <w:vMerge/>
            <w:vAlign w:val="center"/>
            <w:hideMark/>
          </w:tcPr>
          <w:p w14:paraId="593A8D63" w14:textId="77777777" w:rsidR="00CB39D1" w:rsidRPr="00CB39D1" w:rsidRDefault="00CB39D1" w:rsidP="00CB39D1">
            <w:pPr>
              <w:spacing w:before="0" w:after="0" w:line="240" w:lineRule="auto"/>
              <w:jc w:val="center"/>
              <w:rPr>
                <w:sz w:val="18"/>
                <w:szCs w:val="18"/>
                <w:lang w:val="ru-RU" w:eastAsia="ru-RU"/>
              </w:rPr>
            </w:pPr>
          </w:p>
        </w:tc>
        <w:tc>
          <w:tcPr>
            <w:tcW w:w="2769" w:type="dxa"/>
            <w:noWrap/>
            <w:vAlign w:val="center"/>
            <w:hideMark/>
          </w:tcPr>
          <w:p w14:paraId="364EF671" w14:textId="77777777" w:rsidR="00CB39D1" w:rsidRPr="00CB39D1" w:rsidRDefault="00CB39D1" w:rsidP="00CB39D1">
            <w:pPr>
              <w:spacing w:before="0" w:after="0" w:line="240" w:lineRule="auto"/>
              <w:rPr>
                <w:sz w:val="18"/>
                <w:szCs w:val="18"/>
              </w:rPr>
            </w:pPr>
            <w:r w:rsidRPr="00CB39D1">
              <w:rPr>
                <w:sz w:val="18"/>
                <w:szCs w:val="18"/>
              </w:rPr>
              <w:t>2024թ. Պետական բյուջե</w:t>
            </w:r>
          </w:p>
        </w:tc>
        <w:tc>
          <w:tcPr>
            <w:tcW w:w="885" w:type="dxa"/>
            <w:vAlign w:val="center"/>
            <w:hideMark/>
          </w:tcPr>
          <w:p w14:paraId="0E5120F9" w14:textId="77777777" w:rsidR="00CB39D1" w:rsidRPr="00CB39D1" w:rsidRDefault="00CB39D1" w:rsidP="00CB39D1">
            <w:pPr>
              <w:spacing w:before="0" w:after="0" w:line="240" w:lineRule="auto"/>
              <w:jc w:val="center"/>
              <w:rPr>
                <w:sz w:val="18"/>
                <w:szCs w:val="18"/>
              </w:rPr>
            </w:pPr>
            <w:r w:rsidRPr="00CB39D1">
              <w:rPr>
                <w:sz w:val="18"/>
                <w:szCs w:val="18"/>
              </w:rPr>
              <w:t>2,091.3</w:t>
            </w:r>
          </w:p>
        </w:tc>
        <w:tc>
          <w:tcPr>
            <w:tcW w:w="942" w:type="dxa"/>
            <w:vAlign w:val="center"/>
            <w:hideMark/>
          </w:tcPr>
          <w:p w14:paraId="596AB4B7" w14:textId="77777777" w:rsidR="00CB39D1" w:rsidRPr="00CB39D1" w:rsidRDefault="00CB39D1" w:rsidP="00CB39D1">
            <w:pPr>
              <w:spacing w:before="0" w:after="0" w:line="240" w:lineRule="auto"/>
              <w:jc w:val="center"/>
              <w:rPr>
                <w:sz w:val="18"/>
                <w:szCs w:val="18"/>
              </w:rPr>
            </w:pPr>
            <w:r w:rsidRPr="00CB39D1">
              <w:rPr>
                <w:sz w:val="18"/>
                <w:szCs w:val="18"/>
              </w:rPr>
              <w:t>2,450.7</w:t>
            </w:r>
          </w:p>
        </w:tc>
        <w:tc>
          <w:tcPr>
            <w:tcW w:w="841" w:type="dxa"/>
            <w:vAlign w:val="center"/>
            <w:hideMark/>
          </w:tcPr>
          <w:p w14:paraId="6DA3BC86" w14:textId="77777777" w:rsidR="00CB39D1" w:rsidRPr="00CB39D1" w:rsidRDefault="00CB39D1" w:rsidP="00CB39D1">
            <w:pPr>
              <w:spacing w:before="0" w:after="0" w:line="240" w:lineRule="auto"/>
              <w:jc w:val="center"/>
              <w:rPr>
                <w:sz w:val="18"/>
                <w:szCs w:val="18"/>
              </w:rPr>
            </w:pPr>
          </w:p>
        </w:tc>
        <w:tc>
          <w:tcPr>
            <w:tcW w:w="1070" w:type="dxa"/>
            <w:noWrap/>
            <w:vAlign w:val="center"/>
            <w:hideMark/>
          </w:tcPr>
          <w:p w14:paraId="3D845E09" w14:textId="77777777" w:rsidR="00CB39D1" w:rsidRPr="00CB39D1" w:rsidRDefault="00CB39D1" w:rsidP="00CB39D1">
            <w:pPr>
              <w:spacing w:before="0" w:after="0" w:line="240" w:lineRule="auto"/>
              <w:jc w:val="center"/>
              <w:rPr>
                <w:sz w:val="18"/>
                <w:szCs w:val="18"/>
              </w:rPr>
            </w:pPr>
          </w:p>
        </w:tc>
        <w:tc>
          <w:tcPr>
            <w:tcW w:w="1081" w:type="dxa"/>
            <w:vAlign w:val="center"/>
            <w:hideMark/>
          </w:tcPr>
          <w:p w14:paraId="1A1854C4" w14:textId="77777777" w:rsidR="00CB39D1" w:rsidRPr="00CB39D1" w:rsidRDefault="00CB39D1" w:rsidP="00CB39D1">
            <w:pPr>
              <w:spacing w:before="0" w:after="0" w:line="240" w:lineRule="auto"/>
              <w:jc w:val="center"/>
              <w:rPr>
                <w:sz w:val="18"/>
                <w:szCs w:val="18"/>
              </w:rPr>
            </w:pPr>
          </w:p>
        </w:tc>
        <w:tc>
          <w:tcPr>
            <w:tcW w:w="1083" w:type="dxa"/>
          </w:tcPr>
          <w:p w14:paraId="3278A059" w14:textId="77777777" w:rsidR="00CB39D1" w:rsidRPr="00CB39D1" w:rsidRDefault="00CB39D1" w:rsidP="00CB39D1">
            <w:pPr>
              <w:spacing w:before="0" w:after="0" w:line="240" w:lineRule="auto"/>
              <w:jc w:val="center"/>
              <w:rPr>
                <w:sz w:val="18"/>
                <w:szCs w:val="18"/>
              </w:rPr>
            </w:pPr>
          </w:p>
        </w:tc>
      </w:tr>
      <w:tr w:rsidR="00CB39D1" w:rsidRPr="00CB39D1" w14:paraId="21501C00" w14:textId="77777777" w:rsidTr="008D4E1E">
        <w:trPr>
          <w:trHeight w:val="331"/>
        </w:trPr>
        <w:tc>
          <w:tcPr>
            <w:tcW w:w="1162" w:type="dxa"/>
            <w:vMerge/>
            <w:vAlign w:val="center"/>
            <w:hideMark/>
          </w:tcPr>
          <w:p w14:paraId="610EAD63" w14:textId="77777777" w:rsidR="00CB39D1" w:rsidRPr="00CB39D1" w:rsidRDefault="00CB39D1" w:rsidP="00CB39D1">
            <w:pPr>
              <w:spacing w:before="0" w:after="0" w:line="240" w:lineRule="auto"/>
              <w:jc w:val="center"/>
              <w:rPr>
                <w:sz w:val="18"/>
                <w:szCs w:val="18"/>
                <w:lang w:val="ru-RU" w:eastAsia="ru-RU"/>
              </w:rPr>
            </w:pPr>
          </w:p>
        </w:tc>
        <w:tc>
          <w:tcPr>
            <w:tcW w:w="2769" w:type="dxa"/>
            <w:vAlign w:val="center"/>
            <w:hideMark/>
          </w:tcPr>
          <w:p w14:paraId="0B1E8729" w14:textId="77777777" w:rsidR="00CB39D1" w:rsidRPr="00CB39D1" w:rsidRDefault="00CB39D1" w:rsidP="00CB39D1">
            <w:pPr>
              <w:spacing w:before="0" w:after="0" w:line="240" w:lineRule="auto"/>
              <w:rPr>
                <w:i/>
                <w:color w:val="A5A6AC" w:themeColor="accent3" w:themeTint="99"/>
                <w:sz w:val="18"/>
                <w:szCs w:val="18"/>
              </w:rPr>
            </w:pPr>
            <w:r w:rsidRPr="00CB39D1">
              <w:rPr>
                <w:i/>
                <w:color w:val="A5A6AC" w:themeColor="accent3" w:themeTint="99"/>
                <w:sz w:val="18"/>
                <w:szCs w:val="18"/>
              </w:rPr>
              <w:t>%-ով՝ ՀՆԱ-ի նկատմամբ</w:t>
            </w:r>
          </w:p>
        </w:tc>
        <w:tc>
          <w:tcPr>
            <w:tcW w:w="885" w:type="dxa"/>
            <w:vAlign w:val="center"/>
            <w:hideMark/>
          </w:tcPr>
          <w:p w14:paraId="2D33DB5B" w14:textId="77777777" w:rsidR="00CB39D1" w:rsidRPr="00CB39D1" w:rsidRDefault="00CB39D1" w:rsidP="00CB39D1">
            <w:pPr>
              <w:spacing w:before="0" w:after="0" w:line="240" w:lineRule="auto"/>
              <w:jc w:val="center"/>
              <w:rPr>
                <w:i/>
                <w:color w:val="A5A6AC" w:themeColor="accent3" w:themeTint="99"/>
                <w:sz w:val="18"/>
                <w:szCs w:val="18"/>
              </w:rPr>
            </w:pPr>
            <w:r w:rsidRPr="00CB39D1">
              <w:rPr>
                <w:i/>
                <w:color w:val="A5A6AC" w:themeColor="accent3" w:themeTint="99"/>
                <w:sz w:val="18"/>
                <w:szCs w:val="18"/>
              </w:rPr>
              <w:t>22.13%</w:t>
            </w:r>
          </w:p>
        </w:tc>
        <w:tc>
          <w:tcPr>
            <w:tcW w:w="942" w:type="dxa"/>
            <w:vAlign w:val="center"/>
            <w:hideMark/>
          </w:tcPr>
          <w:p w14:paraId="3972F306" w14:textId="77777777" w:rsidR="00CB39D1" w:rsidRPr="00CB39D1" w:rsidRDefault="00CB39D1" w:rsidP="00CB39D1">
            <w:pPr>
              <w:spacing w:before="0" w:after="0" w:line="240" w:lineRule="auto"/>
              <w:jc w:val="center"/>
              <w:rPr>
                <w:i/>
                <w:color w:val="A5A6AC" w:themeColor="accent3" w:themeTint="99"/>
                <w:sz w:val="18"/>
                <w:szCs w:val="18"/>
              </w:rPr>
            </w:pPr>
            <w:r w:rsidRPr="00CB39D1">
              <w:rPr>
                <w:i/>
                <w:color w:val="A5A6AC" w:themeColor="accent3" w:themeTint="99"/>
                <w:sz w:val="18"/>
                <w:szCs w:val="18"/>
              </w:rPr>
              <w:t>23.3%</w:t>
            </w:r>
          </w:p>
        </w:tc>
        <w:tc>
          <w:tcPr>
            <w:tcW w:w="841" w:type="dxa"/>
            <w:vAlign w:val="center"/>
            <w:hideMark/>
          </w:tcPr>
          <w:p w14:paraId="09E1F32B" w14:textId="77777777" w:rsidR="00CB39D1" w:rsidRPr="00CB39D1" w:rsidRDefault="00CB39D1" w:rsidP="00CB39D1">
            <w:pPr>
              <w:spacing w:before="0" w:after="0" w:line="240" w:lineRule="auto"/>
              <w:jc w:val="center"/>
              <w:rPr>
                <w:i/>
                <w:color w:val="A5A6AC" w:themeColor="accent3" w:themeTint="99"/>
                <w:sz w:val="18"/>
                <w:szCs w:val="18"/>
              </w:rPr>
            </w:pPr>
          </w:p>
        </w:tc>
        <w:tc>
          <w:tcPr>
            <w:tcW w:w="1070" w:type="dxa"/>
            <w:noWrap/>
            <w:vAlign w:val="center"/>
            <w:hideMark/>
          </w:tcPr>
          <w:p w14:paraId="3C3A5EC3" w14:textId="77777777" w:rsidR="00CB39D1" w:rsidRPr="00CB39D1" w:rsidRDefault="00CB39D1" w:rsidP="00CB39D1">
            <w:pPr>
              <w:spacing w:before="0" w:after="0" w:line="240" w:lineRule="auto"/>
              <w:jc w:val="center"/>
              <w:rPr>
                <w:i/>
                <w:color w:val="A5A6AC" w:themeColor="accent3" w:themeTint="99"/>
                <w:sz w:val="18"/>
                <w:szCs w:val="18"/>
              </w:rPr>
            </w:pPr>
          </w:p>
        </w:tc>
        <w:tc>
          <w:tcPr>
            <w:tcW w:w="1081" w:type="dxa"/>
            <w:vAlign w:val="center"/>
            <w:hideMark/>
          </w:tcPr>
          <w:p w14:paraId="265223C7" w14:textId="77777777" w:rsidR="00CB39D1" w:rsidRPr="00CB39D1" w:rsidRDefault="00CB39D1" w:rsidP="00CB39D1">
            <w:pPr>
              <w:spacing w:before="0" w:after="0" w:line="240" w:lineRule="auto"/>
              <w:jc w:val="center"/>
              <w:rPr>
                <w:i/>
                <w:color w:val="A5A6AC" w:themeColor="accent3" w:themeTint="99"/>
                <w:sz w:val="18"/>
                <w:szCs w:val="18"/>
              </w:rPr>
            </w:pPr>
          </w:p>
        </w:tc>
        <w:tc>
          <w:tcPr>
            <w:tcW w:w="1083" w:type="dxa"/>
          </w:tcPr>
          <w:p w14:paraId="383340F7" w14:textId="77777777" w:rsidR="00CB39D1" w:rsidRPr="00CB39D1" w:rsidRDefault="00CB39D1" w:rsidP="00CB39D1">
            <w:pPr>
              <w:spacing w:before="0" w:after="0" w:line="240" w:lineRule="auto"/>
              <w:jc w:val="center"/>
              <w:rPr>
                <w:i/>
                <w:color w:val="A5A6AC" w:themeColor="accent3" w:themeTint="99"/>
                <w:sz w:val="18"/>
                <w:szCs w:val="18"/>
              </w:rPr>
            </w:pPr>
          </w:p>
        </w:tc>
      </w:tr>
      <w:tr w:rsidR="00CB39D1" w:rsidRPr="00CB39D1" w14:paraId="32DE2F6D" w14:textId="77777777" w:rsidTr="008D4E1E">
        <w:trPr>
          <w:trHeight w:val="331"/>
        </w:trPr>
        <w:tc>
          <w:tcPr>
            <w:tcW w:w="1162" w:type="dxa"/>
            <w:vMerge w:val="restart"/>
            <w:vAlign w:val="center"/>
            <w:hideMark/>
          </w:tcPr>
          <w:p w14:paraId="194EDE6E" w14:textId="77777777" w:rsidR="00CB39D1" w:rsidRPr="00CB39D1" w:rsidRDefault="00CB39D1" w:rsidP="00CB39D1">
            <w:pPr>
              <w:spacing w:before="0" w:after="0" w:line="240" w:lineRule="auto"/>
              <w:jc w:val="center"/>
              <w:rPr>
                <w:sz w:val="18"/>
                <w:szCs w:val="18"/>
              </w:rPr>
            </w:pPr>
            <w:r w:rsidRPr="00CB39D1">
              <w:rPr>
                <w:sz w:val="18"/>
                <w:szCs w:val="18"/>
              </w:rPr>
              <w:t>2024</w:t>
            </w:r>
          </w:p>
        </w:tc>
        <w:tc>
          <w:tcPr>
            <w:tcW w:w="2769" w:type="dxa"/>
            <w:noWrap/>
            <w:vAlign w:val="center"/>
            <w:hideMark/>
          </w:tcPr>
          <w:p w14:paraId="01B7DECF" w14:textId="77777777" w:rsidR="00CB39D1" w:rsidRPr="00CB39D1" w:rsidRDefault="00CB39D1" w:rsidP="00CB39D1">
            <w:pPr>
              <w:spacing w:before="0" w:after="0" w:line="240" w:lineRule="auto"/>
              <w:rPr>
                <w:sz w:val="18"/>
                <w:szCs w:val="18"/>
              </w:rPr>
            </w:pPr>
            <w:r w:rsidRPr="00CB39D1">
              <w:rPr>
                <w:sz w:val="18"/>
                <w:szCs w:val="18"/>
              </w:rPr>
              <w:t>ՄԺԾԾ 2025-2027</w:t>
            </w:r>
          </w:p>
        </w:tc>
        <w:tc>
          <w:tcPr>
            <w:tcW w:w="885" w:type="dxa"/>
            <w:vAlign w:val="center"/>
            <w:hideMark/>
          </w:tcPr>
          <w:p w14:paraId="05EB4B33" w14:textId="77777777" w:rsidR="00CB39D1" w:rsidRPr="00CB39D1" w:rsidRDefault="00CB39D1" w:rsidP="00CB39D1">
            <w:pPr>
              <w:spacing w:before="0" w:after="0" w:line="240" w:lineRule="auto"/>
              <w:jc w:val="center"/>
              <w:rPr>
                <w:sz w:val="18"/>
                <w:szCs w:val="18"/>
              </w:rPr>
            </w:pPr>
          </w:p>
        </w:tc>
        <w:tc>
          <w:tcPr>
            <w:tcW w:w="942" w:type="dxa"/>
            <w:vAlign w:val="center"/>
            <w:hideMark/>
          </w:tcPr>
          <w:p w14:paraId="2EB08626" w14:textId="77777777" w:rsidR="00CB39D1" w:rsidRPr="00CB39D1" w:rsidRDefault="00CB39D1" w:rsidP="00CB39D1">
            <w:pPr>
              <w:spacing w:before="0" w:after="0" w:line="240" w:lineRule="auto"/>
              <w:jc w:val="center"/>
              <w:rPr>
                <w:sz w:val="18"/>
                <w:szCs w:val="18"/>
              </w:rPr>
            </w:pPr>
            <w:r w:rsidRPr="00CB39D1">
              <w:rPr>
                <w:sz w:val="18"/>
                <w:szCs w:val="18"/>
              </w:rPr>
              <w:t>2,451.2</w:t>
            </w:r>
          </w:p>
        </w:tc>
        <w:tc>
          <w:tcPr>
            <w:tcW w:w="841" w:type="dxa"/>
            <w:vAlign w:val="center"/>
            <w:hideMark/>
          </w:tcPr>
          <w:p w14:paraId="45172721" w14:textId="77777777" w:rsidR="00CB39D1" w:rsidRPr="00CB39D1" w:rsidRDefault="00CB39D1" w:rsidP="00CB39D1">
            <w:pPr>
              <w:spacing w:before="0" w:after="0" w:line="240" w:lineRule="auto"/>
              <w:jc w:val="center"/>
              <w:rPr>
                <w:sz w:val="18"/>
                <w:szCs w:val="18"/>
              </w:rPr>
            </w:pPr>
            <w:r w:rsidRPr="00CB39D1">
              <w:rPr>
                <w:sz w:val="18"/>
                <w:szCs w:val="18"/>
              </w:rPr>
              <w:t>2,728.5</w:t>
            </w:r>
          </w:p>
        </w:tc>
        <w:tc>
          <w:tcPr>
            <w:tcW w:w="1070" w:type="dxa"/>
            <w:vAlign w:val="center"/>
            <w:hideMark/>
          </w:tcPr>
          <w:p w14:paraId="2444E496" w14:textId="77777777" w:rsidR="00CB39D1" w:rsidRPr="00CB39D1" w:rsidRDefault="00CB39D1" w:rsidP="00CB39D1">
            <w:pPr>
              <w:spacing w:before="0" w:after="0" w:line="240" w:lineRule="auto"/>
              <w:jc w:val="center"/>
              <w:rPr>
                <w:sz w:val="18"/>
                <w:szCs w:val="18"/>
              </w:rPr>
            </w:pPr>
            <w:r w:rsidRPr="00CB39D1">
              <w:rPr>
                <w:sz w:val="18"/>
                <w:szCs w:val="18"/>
              </w:rPr>
              <w:t>2,938.2</w:t>
            </w:r>
          </w:p>
        </w:tc>
        <w:tc>
          <w:tcPr>
            <w:tcW w:w="1081" w:type="dxa"/>
            <w:vAlign w:val="center"/>
            <w:hideMark/>
          </w:tcPr>
          <w:p w14:paraId="02020425" w14:textId="77777777" w:rsidR="00CB39D1" w:rsidRPr="00CB39D1" w:rsidRDefault="00CB39D1" w:rsidP="00CB39D1">
            <w:pPr>
              <w:spacing w:before="0" w:after="0" w:line="240" w:lineRule="auto"/>
              <w:jc w:val="center"/>
              <w:rPr>
                <w:sz w:val="18"/>
                <w:szCs w:val="18"/>
              </w:rPr>
            </w:pPr>
            <w:r w:rsidRPr="00CB39D1">
              <w:rPr>
                <w:sz w:val="18"/>
                <w:szCs w:val="18"/>
              </w:rPr>
              <w:t>3,228.1</w:t>
            </w:r>
          </w:p>
        </w:tc>
        <w:tc>
          <w:tcPr>
            <w:tcW w:w="1083" w:type="dxa"/>
          </w:tcPr>
          <w:p w14:paraId="2265B504" w14:textId="77777777" w:rsidR="00CB39D1" w:rsidRPr="00CB39D1" w:rsidRDefault="00CB39D1" w:rsidP="00CB39D1">
            <w:pPr>
              <w:spacing w:before="0" w:after="0" w:line="240" w:lineRule="auto"/>
              <w:jc w:val="center"/>
              <w:rPr>
                <w:sz w:val="18"/>
                <w:szCs w:val="18"/>
              </w:rPr>
            </w:pPr>
          </w:p>
        </w:tc>
      </w:tr>
      <w:tr w:rsidR="00CB39D1" w:rsidRPr="00CB39D1" w14:paraId="415CE5B3" w14:textId="77777777" w:rsidTr="008D4E1E">
        <w:trPr>
          <w:trHeight w:val="331"/>
        </w:trPr>
        <w:tc>
          <w:tcPr>
            <w:tcW w:w="1162" w:type="dxa"/>
            <w:vMerge/>
            <w:vAlign w:val="center"/>
            <w:hideMark/>
          </w:tcPr>
          <w:p w14:paraId="10CE3255" w14:textId="77777777" w:rsidR="00CB39D1" w:rsidRPr="00CB39D1" w:rsidRDefault="00CB39D1" w:rsidP="00CB39D1">
            <w:pPr>
              <w:spacing w:before="0" w:after="0" w:line="240" w:lineRule="auto"/>
              <w:rPr>
                <w:sz w:val="18"/>
                <w:szCs w:val="18"/>
                <w:lang w:val="ru-RU" w:eastAsia="ru-RU"/>
              </w:rPr>
            </w:pPr>
          </w:p>
        </w:tc>
        <w:tc>
          <w:tcPr>
            <w:tcW w:w="2769" w:type="dxa"/>
            <w:vAlign w:val="center"/>
            <w:hideMark/>
          </w:tcPr>
          <w:p w14:paraId="516D902A" w14:textId="77777777" w:rsidR="00CB39D1" w:rsidRPr="00CB39D1" w:rsidRDefault="00CB39D1" w:rsidP="00CB39D1">
            <w:pPr>
              <w:spacing w:before="0" w:after="0" w:line="240" w:lineRule="auto"/>
              <w:rPr>
                <w:i/>
                <w:color w:val="A5A6AC" w:themeColor="accent3" w:themeTint="99"/>
                <w:sz w:val="18"/>
                <w:szCs w:val="18"/>
              </w:rPr>
            </w:pPr>
            <w:r w:rsidRPr="00CB39D1">
              <w:rPr>
                <w:i/>
                <w:color w:val="A5A6AC" w:themeColor="accent3" w:themeTint="99"/>
                <w:sz w:val="18"/>
                <w:szCs w:val="18"/>
              </w:rPr>
              <w:t>%-ով՝ ՀՆԱ-ի նկատմամբ</w:t>
            </w:r>
          </w:p>
        </w:tc>
        <w:tc>
          <w:tcPr>
            <w:tcW w:w="885" w:type="dxa"/>
            <w:vAlign w:val="center"/>
            <w:hideMark/>
          </w:tcPr>
          <w:p w14:paraId="73407851" w14:textId="77777777" w:rsidR="00CB39D1" w:rsidRPr="00CB39D1" w:rsidRDefault="00CB39D1" w:rsidP="00CB39D1">
            <w:pPr>
              <w:spacing w:before="0" w:after="0" w:line="240" w:lineRule="auto"/>
              <w:jc w:val="center"/>
              <w:rPr>
                <w:i/>
                <w:color w:val="A5A6AC" w:themeColor="accent3" w:themeTint="99"/>
                <w:sz w:val="18"/>
                <w:szCs w:val="18"/>
              </w:rPr>
            </w:pPr>
          </w:p>
        </w:tc>
        <w:tc>
          <w:tcPr>
            <w:tcW w:w="942" w:type="dxa"/>
            <w:vAlign w:val="center"/>
            <w:hideMark/>
          </w:tcPr>
          <w:p w14:paraId="0B54AC32" w14:textId="77777777" w:rsidR="00CB39D1" w:rsidRPr="00CB39D1" w:rsidRDefault="00CB39D1" w:rsidP="00CB39D1">
            <w:pPr>
              <w:spacing w:before="0" w:after="0" w:line="240" w:lineRule="auto"/>
              <w:jc w:val="center"/>
              <w:rPr>
                <w:i/>
                <w:color w:val="A5A6AC" w:themeColor="accent3" w:themeTint="99"/>
                <w:sz w:val="18"/>
                <w:szCs w:val="18"/>
              </w:rPr>
            </w:pPr>
            <w:r w:rsidRPr="00CB39D1">
              <w:rPr>
                <w:i/>
                <w:color w:val="A5A6AC" w:themeColor="accent3" w:themeTint="99"/>
                <w:sz w:val="18"/>
                <w:szCs w:val="18"/>
              </w:rPr>
              <w:t>23.95%</w:t>
            </w:r>
          </w:p>
        </w:tc>
        <w:tc>
          <w:tcPr>
            <w:tcW w:w="841" w:type="dxa"/>
            <w:vAlign w:val="center"/>
            <w:hideMark/>
          </w:tcPr>
          <w:p w14:paraId="4A5EBBE0" w14:textId="77777777" w:rsidR="00CB39D1" w:rsidRPr="00CB39D1" w:rsidRDefault="00CB39D1" w:rsidP="00CB39D1">
            <w:pPr>
              <w:spacing w:before="0" w:after="0" w:line="240" w:lineRule="auto"/>
              <w:jc w:val="center"/>
              <w:rPr>
                <w:i/>
                <w:color w:val="A5A6AC" w:themeColor="accent3" w:themeTint="99"/>
                <w:sz w:val="18"/>
                <w:szCs w:val="18"/>
              </w:rPr>
            </w:pPr>
            <w:r w:rsidRPr="00CB39D1">
              <w:rPr>
                <w:i/>
                <w:color w:val="A5A6AC" w:themeColor="accent3" w:themeTint="99"/>
                <w:sz w:val="18"/>
                <w:szCs w:val="18"/>
              </w:rPr>
              <w:t>24.37%</w:t>
            </w:r>
          </w:p>
        </w:tc>
        <w:tc>
          <w:tcPr>
            <w:tcW w:w="1070" w:type="dxa"/>
            <w:vAlign w:val="center"/>
            <w:hideMark/>
          </w:tcPr>
          <w:p w14:paraId="2F5A65AE" w14:textId="77777777" w:rsidR="00CB39D1" w:rsidRPr="00CB39D1" w:rsidRDefault="00CB39D1" w:rsidP="00CB39D1">
            <w:pPr>
              <w:spacing w:before="0" w:after="0" w:line="240" w:lineRule="auto"/>
              <w:jc w:val="center"/>
              <w:rPr>
                <w:i/>
                <w:color w:val="A5A6AC" w:themeColor="accent3" w:themeTint="99"/>
                <w:sz w:val="18"/>
                <w:szCs w:val="18"/>
              </w:rPr>
            </w:pPr>
            <w:r w:rsidRPr="00CB39D1">
              <w:rPr>
                <w:i/>
                <w:color w:val="A5A6AC" w:themeColor="accent3" w:themeTint="99"/>
                <w:sz w:val="18"/>
                <w:szCs w:val="18"/>
              </w:rPr>
              <w:t>23.87%</w:t>
            </w:r>
          </w:p>
        </w:tc>
        <w:tc>
          <w:tcPr>
            <w:tcW w:w="1081" w:type="dxa"/>
            <w:vAlign w:val="center"/>
            <w:hideMark/>
          </w:tcPr>
          <w:p w14:paraId="39FB8DDE" w14:textId="77777777" w:rsidR="00CB39D1" w:rsidRPr="00CB39D1" w:rsidRDefault="00CB39D1" w:rsidP="00CB39D1">
            <w:pPr>
              <w:spacing w:before="0" w:after="0" w:line="240" w:lineRule="auto"/>
              <w:jc w:val="center"/>
              <w:rPr>
                <w:i/>
                <w:color w:val="A5A6AC" w:themeColor="accent3" w:themeTint="99"/>
                <w:sz w:val="18"/>
                <w:szCs w:val="18"/>
              </w:rPr>
            </w:pPr>
            <w:r w:rsidRPr="00CB39D1">
              <w:rPr>
                <w:i/>
                <w:color w:val="A5A6AC" w:themeColor="accent3" w:themeTint="99"/>
                <w:sz w:val="18"/>
                <w:szCs w:val="18"/>
              </w:rPr>
              <w:t>23.90%</w:t>
            </w:r>
          </w:p>
        </w:tc>
        <w:tc>
          <w:tcPr>
            <w:tcW w:w="1083" w:type="dxa"/>
          </w:tcPr>
          <w:p w14:paraId="027E4655" w14:textId="77777777" w:rsidR="00CB39D1" w:rsidRPr="00CB39D1" w:rsidRDefault="00CB39D1" w:rsidP="00CB39D1">
            <w:pPr>
              <w:spacing w:before="0" w:after="0" w:line="240" w:lineRule="auto"/>
              <w:jc w:val="center"/>
              <w:rPr>
                <w:i/>
                <w:color w:val="A5A6AC" w:themeColor="accent3" w:themeTint="99"/>
                <w:sz w:val="18"/>
                <w:szCs w:val="18"/>
              </w:rPr>
            </w:pPr>
          </w:p>
        </w:tc>
      </w:tr>
      <w:tr w:rsidR="00CB39D1" w:rsidRPr="00CB39D1" w14:paraId="6C2368DF" w14:textId="77777777" w:rsidTr="008D4E1E">
        <w:trPr>
          <w:trHeight w:val="331"/>
        </w:trPr>
        <w:tc>
          <w:tcPr>
            <w:tcW w:w="1162" w:type="dxa"/>
            <w:vMerge/>
            <w:vAlign w:val="center"/>
            <w:hideMark/>
          </w:tcPr>
          <w:p w14:paraId="23E4CE10" w14:textId="77777777" w:rsidR="00CB39D1" w:rsidRPr="00CB39D1" w:rsidRDefault="00CB39D1" w:rsidP="00CB39D1">
            <w:pPr>
              <w:spacing w:before="0" w:after="0" w:line="240" w:lineRule="auto"/>
              <w:rPr>
                <w:sz w:val="18"/>
                <w:szCs w:val="18"/>
                <w:lang w:val="ru-RU" w:eastAsia="ru-RU"/>
              </w:rPr>
            </w:pPr>
          </w:p>
        </w:tc>
        <w:tc>
          <w:tcPr>
            <w:tcW w:w="2769" w:type="dxa"/>
            <w:noWrap/>
            <w:vAlign w:val="center"/>
            <w:hideMark/>
          </w:tcPr>
          <w:p w14:paraId="1BC1F19D" w14:textId="77777777" w:rsidR="00CB39D1" w:rsidRPr="00CB39D1" w:rsidRDefault="00CB39D1" w:rsidP="00CB39D1">
            <w:pPr>
              <w:spacing w:before="0" w:after="0" w:line="240" w:lineRule="auto"/>
              <w:rPr>
                <w:sz w:val="18"/>
                <w:szCs w:val="18"/>
              </w:rPr>
            </w:pPr>
            <w:r w:rsidRPr="00CB39D1">
              <w:rPr>
                <w:sz w:val="18"/>
                <w:szCs w:val="18"/>
              </w:rPr>
              <w:t>2025թ. Պետական բյուջե</w:t>
            </w:r>
          </w:p>
        </w:tc>
        <w:tc>
          <w:tcPr>
            <w:tcW w:w="885" w:type="dxa"/>
            <w:vAlign w:val="center"/>
            <w:hideMark/>
          </w:tcPr>
          <w:p w14:paraId="7A5ED78B" w14:textId="77777777" w:rsidR="00CB39D1" w:rsidRPr="00CB39D1" w:rsidRDefault="00CB39D1" w:rsidP="00CB39D1">
            <w:pPr>
              <w:spacing w:before="0" w:after="0" w:line="240" w:lineRule="auto"/>
              <w:jc w:val="center"/>
              <w:rPr>
                <w:sz w:val="18"/>
                <w:szCs w:val="18"/>
              </w:rPr>
            </w:pPr>
          </w:p>
        </w:tc>
        <w:tc>
          <w:tcPr>
            <w:tcW w:w="942" w:type="dxa"/>
            <w:vAlign w:val="center"/>
            <w:hideMark/>
          </w:tcPr>
          <w:p w14:paraId="237FE297" w14:textId="77777777" w:rsidR="00CB39D1" w:rsidRPr="00CB39D1" w:rsidRDefault="00CB39D1" w:rsidP="00CB39D1">
            <w:pPr>
              <w:spacing w:before="0" w:after="0" w:line="240" w:lineRule="auto"/>
              <w:jc w:val="center"/>
              <w:rPr>
                <w:sz w:val="18"/>
                <w:szCs w:val="18"/>
              </w:rPr>
            </w:pPr>
            <w:r w:rsidRPr="00CB39D1">
              <w:rPr>
                <w:sz w:val="18"/>
                <w:szCs w:val="18"/>
              </w:rPr>
              <w:t>2,437.2</w:t>
            </w:r>
          </w:p>
        </w:tc>
        <w:tc>
          <w:tcPr>
            <w:tcW w:w="841" w:type="dxa"/>
            <w:vAlign w:val="center"/>
            <w:hideMark/>
          </w:tcPr>
          <w:p w14:paraId="7C246E54" w14:textId="77777777" w:rsidR="00CB39D1" w:rsidRPr="00CB39D1" w:rsidRDefault="00CB39D1" w:rsidP="00CB39D1">
            <w:pPr>
              <w:spacing w:before="0" w:after="0" w:line="240" w:lineRule="auto"/>
              <w:jc w:val="center"/>
              <w:rPr>
                <w:sz w:val="18"/>
                <w:szCs w:val="18"/>
              </w:rPr>
            </w:pPr>
            <w:r w:rsidRPr="00CB39D1">
              <w:rPr>
                <w:sz w:val="18"/>
                <w:szCs w:val="18"/>
              </w:rPr>
              <w:t>2,706.8</w:t>
            </w:r>
          </w:p>
        </w:tc>
        <w:tc>
          <w:tcPr>
            <w:tcW w:w="1070" w:type="dxa"/>
            <w:vAlign w:val="center"/>
            <w:hideMark/>
          </w:tcPr>
          <w:p w14:paraId="1CA9848E" w14:textId="77777777" w:rsidR="00CB39D1" w:rsidRPr="00CB39D1" w:rsidRDefault="00CB39D1" w:rsidP="00CB39D1">
            <w:pPr>
              <w:spacing w:before="0" w:after="0" w:line="240" w:lineRule="auto"/>
              <w:jc w:val="center"/>
              <w:rPr>
                <w:sz w:val="18"/>
                <w:szCs w:val="18"/>
              </w:rPr>
            </w:pPr>
            <w:r w:rsidRPr="00CB39D1">
              <w:rPr>
                <w:sz w:val="18"/>
                <w:szCs w:val="18"/>
              </w:rPr>
              <w:t>2,807.5</w:t>
            </w:r>
          </w:p>
        </w:tc>
        <w:tc>
          <w:tcPr>
            <w:tcW w:w="1081" w:type="dxa"/>
            <w:vAlign w:val="center"/>
            <w:hideMark/>
          </w:tcPr>
          <w:p w14:paraId="2E4EEEC3" w14:textId="77777777" w:rsidR="00CB39D1" w:rsidRPr="00CB39D1" w:rsidRDefault="00CB39D1" w:rsidP="00CB39D1">
            <w:pPr>
              <w:spacing w:before="0" w:after="0" w:line="240" w:lineRule="auto"/>
              <w:jc w:val="center"/>
              <w:rPr>
                <w:sz w:val="18"/>
                <w:szCs w:val="18"/>
              </w:rPr>
            </w:pPr>
            <w:r w:rsidRPr="00CB39D1">
              <w:rPr>
                <w:sz w:val="18"/>
                <w:szCs w:val="18"/>
              </w:rPr>
              <w:t>2,988.1</w:t>
            </w:r>
          </w:p>
        </w:tc>
        <w:tc>
          <w:tcPr>
            <w:tcW w:w="1083" w:type="dxa"/>
          </w:tcPr>
          <w:p w14:paraId="252A8B01" w14:textId="77777777" w:rsidR="00CB39D1" w:rsidRPr="00CB39D1" w:rsidRDefault="00CB39D1" w:rsidP="00CB39D1">
            <w:pPr>
              <w:spacing w:before="0" w:after="0" w:line="240" w:lineRule="auto"/>
              <w:jc w:val="center"/>
              <w:rPr>
                <w:sz w:val="18"/>
                <w:szCs w:val="18"/>
              </w:rPr>
            </w:pPr>
          </w:p>
        </w:tc>
      </w:tr>
      <w:tr w:rsidR="00CB39D1" w:rsidRPr="00CB39D1" w14:paraId="57B21A37" w14:textId="77777777" w:rsidTr="008D4E1E">
        <w:trPr>
          <w:trHeight w:val="331"/>
        </w:trPr>
        <w:tc>
          <w:tcPr>
            <w:tcW w:w="1162" w:type="dxa"/>
            <w:vMerge/>
            <w:vAlign w:val="center"/>
            <w:hideMark/>
          </w:tcPr>
          <w:p w14:paraId="257B261B" w14:textId="77777777" w:rsidR="00CB39D1" w:rsidRPr="00CB39D1" w:rsidRDefault="00CB39D1" w:rsidP="00CB39D1">
            <w:pPr>
              <w:spacing w:before="0" w:after="0" w:line="240" w:lineRule="auto"/>
              <w:rPr>
                <w:sz w:val="18"/>
                <w:szCs w:val="18"/>
                <w:lang w:val="ru-RU" w:eastAsia="ru-RU"/>
              </w:rPr>
            </w:pPr>
          </w:p>
        </w:tc>
        <w:tc>
          <w:tcPr>
            <w:tcW w:w="2769" w:type="dxa"/>
            <w:vAlign w:val="center"/>
            <w:hideMark/>
          </w:tcPr>
          <w:p w14:paraId="00718D4A" w14:textId="77777777" w:rsidR="00CB39D1" w:rsidRPr="00CB39D1" w:rsidRDefault="00CB39D1" w:rsidP="00CB39D1">
            <w:pPr>
              <w:spacing w:before="0" w:after="0" w:line="240" w:lineRule="auto"/>
              <w:rPr>
                <w:i/>
                <w:color w:val="A5A6AC" w:themeColor="accent3" w:themeTint="99"/>
                <w:sz w:val="18"/>
                <w:szCs w:val="18"/>
              </w:rPr>
            </w:pPr>
            <w:r w:rsidRPr="00CB39D1">
              <w:rPr>
                <w:i/>
                <w:color w:val="A5A6AC" w:themeColor="accent3" w:themeTint="99"/>
                <w:sz w:val="18"/>
                <w:szCs w:val="18"/>
              </w:rPr>
              <w:t>%-ով՝ ՀՆԱ-ի նկատմամբ</w:t>
            </w:r>
          </w:p>
        </w:tc>
        <w:tc>
          <w:tcPr>
            <w:tcW w:w="885" w:type="dxa"/>
            <w:vAlign w:val="center"/>
            <w:hideMark/>
          </w:tcPr>
          <w:p w14:paraId="1F45FB32" w14:textId="77777777" w:rsidR="00CB39D1" w:rsidRPr="00CB39D1" w:rsidRDefault="00CB39D1" w:rsidP="00CB39D1">
            <w:pPr>
              <w:spacing w:before="0" w:after="0" w:line="240" w:lineRule="auto"/>
              <w:jc w:val="center"/>
              <w:rPr>
                <w:i/>
                <w:color w:val="A5A6AC" w:themeColor="accent3" w:themeTint="99"/>
                <w:sz w:val="18"/>
                <w:szCs w:val="18"/>
              </w:rPr>
            </w:pPr>
          </w:p>
        </w:tc>
        <w:tc>
          <w:tcPr>
            <w:tcW w:w="942" w:type="dxa"/>
            <w:vAlign w:val="center"/>
            <w:hideMark/>
          </w:tcPr>
          <w:p w14:paraId="5AC26031" w14:textId="77777777" w:rsidR="00CB39D1" w:rsidRPr="00CB39D1" w:rsidRDefault="00CB39D1" w:rsidP="00CB39D1">
            <w:pPr>
              <w:spacing w:before="0" w:after="0" w:line="240" w:lineRule="auto"/>
              <w:jc w:val="center"/>
              <w:rPr>
                <w:i/>
                <w:color w:val="A5A6AC" w:themeColor="accent3" w:themeTint="99"/>
                <w:sz w:val="18"/>
                <w:szCs w:val="18"/>
              </w:rPr>
            </w:pPr>
            <w:r w:rsidRPr="00CB39D1">
              <w:rPr>
                <w:i/>
                <w:color w:val="A5A6AC" w:themeColor="accent3" w:themeTint="99"/>
                <w:sz w:val="18"/>
                <w:szCs w:val="18"/>
              </w:rPr>
              <w:t>24.11%</w:t>
            </w:r>
          </w:p>
        </w:tc>
        <w:tc>
          <w:tcPr>
            <w:tcW w:w="841" w:type="dxa"/>
            <w:tcBorders>
              <w:bottom w:val="single" w:sz="8" w:space="0" w:color="E1E1E3" w:themeColor="accent3" w:themeTint="33"/>
            </w:tcBorders>
            <w:vAlign w:val="center"/>
            <w:hideMark/>
          </w:tcPr>
          <w:p w14:paraId="6DF11186" w14:textId="77777777" w:rsidR="00CB39D1" w:rsidRPr="00CB39D1" w:rsidRDefault="00CB39D1" w:rsidP="00CB39D1">
            <w:pPr>
              <w:spacing w:before="0" w:after="0" w:line="240" w:lineRule="auto"/>
              <w:jc w:val="center"/>
              <w:rPr>
                <w:i/>
                <w:color w:val="A5A6AC" w:themeColor="accent3" w:themeTint="99"/>
                <w:sz w:val="18"/>
                <w:szCs w:val="18"/>
              </w:rPr>
            </w:pPr>
            <w:r w:rsidRPr="00CB39D1">
              <w:rPr>
                <w:i/>
                <w:color w:val="A5A6AC" w:themeColor="accent3" w:themeTint="99"/>
                <w:sz w:val="18"/>
                <w:szCs w:val="18"/>
              </w:rPr>
              <w:t>24.9%</w:t>
            </w:r>
          </w:p>
        </w:tc>
        <w:tc>
          <w:tcPr>
            <w:tcW w:w="1070" w:type="dxa"/>
            <w:tcBorders>
              <w:bottom w:val="single" w:sz="8" w:space="0" w:color="E1E1E3" w:themeColor="accent3" w:themeTint="33"/>
            </w:tcBorders>
            <w:vAlign w:val="center"/>
            <w:hideMark/>
          </w:tcPr>
          <w:p w14:paraId="543A4268" w14:textId="77777777" w:rsidR="00CB39D1" w:rsidRPr="00CB39D1" w:rsidRDefault="00CB39D1" w:rsidP="00CB39D1">
            <w:pPr>
              <w:spacing w:before="0" w:after="0" w:line="240" w:lineRule="auto"/>
              <w:jc w:val="center"/>
              <w:rPr>
                <w:i/>
                <w:color w:val="A5A6AC" w:themeColor="accent3" w:themeTint="99"/>
                <w:sz w:val="18"/>
                <w:szCs w:val="18"/>
              </w:rPr>
            </w:pPr>
            <w:r w:rsidRPr="00CB39D1">
              <w:rPr>
                <w:i/>
                <w:color w:val="A5A6AC" w:themeColor="accent3" w:themeTint="99"/>
                <w:sz w:val="18"/>
                <w:szCs w:val="18"/>
              </w:rPr>
              <w:t>23.6%</w:t>
            </w:r>
          </w:p>
        </w:tc>
        <w:tc>
          <w:tcPr>
            <w:tcW w:w="1081" w:type="dxa"/>
            <w:tcBorders>
              <w:bottom w:val="single" w:sz="8" w:space="0" w:color="E1E1E3" w:themeColor="accent3" w:themeTint="33"/>
            </w:tcBorders>
            <w:vAlign w:val="center"/>
            <w:hideMark/>
          </w:tcPr>
          <w:p w14:paraId="5A126C04" w14:textId="77777777" w:rsidR="00CB39D1" w:rsidRPr="00CB39D1" w:rsidRDefault="00CB39D1" w:rsidP="00CB39D1">
            <w:pPr>
              <w:spacing w:before="0" w:after="0" w:line="240" w:lineRule="auto"/>
              <w:jc w:val="center"/>
              <w:rPr>
                <w:i/>
                <w:color w:val="A5A6AC" w:themeColor="accent3" w:themeTint="99"/>
                <w:sz w:val="18"/>
                <w:szCs w:val="18"/>
              </w:rPr>
            </w:pPr>
            <w:r w:rsidRPr="00CB39D1">
              <w:rPr>
                <w:i/>
                <w:color w:val="A5A6AC" w:themeColor="accent3" w:themeTint="99"/>
                <w:sz w:val="18"/>
                <w:szCs w:val="18"/>
              </w:rPr>
              <w:t>22.9%</w:t>
            </w:r>
          </w:p>
        </w:tc>
        <w:tc>
          <w:tcPr>
            <w:tcW w:w="1083" w:type="dxa"/>
            <w:tcBorders>
              <w:bottom w:val="single" w:sz="8" w:space="0" w:color="E1E1E3" w:themeColor="accent3" w:themeTint="33"/>
            </w:tcBorders>
          </w:tcPr>
          <w:p w14:paraId="0FC6C64C" w14:textId="77777777" w:rsidR="00CB39D1" w:rsidRPr="00CB39D1" w:rsidRDefault="00CB39D1" w:rsidP="00CB39D1">
            <w:pPr>
              <w:spacing w:before="0" w:after="0" w:line="240" w:lineRule="auto"/>
              <w:jc w:val="center"/>
              <w:rPr>
                <w:i/>
                <w:color w:val="A5A6AC" w:themeColor="accent3" w:themeTint="99"/>
                <w:sz w:val="18"/>
                <w:szCs w:val="18"/>
              </w:rPr>
            </w:pPr>
          </w:p>
        </w:tc>
      </w:tr>
      <w:tr w:rsidR="00CB39D1" w:rsidRPr="00CB39D1" w14:paraId="2841F5DB" w14:textId="77777777" w:rsidTr="008D4E1E">
        <w:trPr>
          <w:trHeight w:val="331"/>
        </w:trPr>
        <w:tc>
          <w:tcPr>
            <w:tcW w:w="1162" w:type="dxa"/>
            <w:vMerge w:val="restart"/>
            <w:vAlign w:val="center"/>
          </w:tcPr>
          <w:p w14:paraId="66A48A31" w14:textId="77777777" w:rsidR="00CB39D1" w:rsidRPr="00CB39D1" w:rsidRDefault="00CB39D1" w:rsidP="00CB39D1">
            <w:pPr>
              <w:spacing w:before="0" w:after="0" w:line="240" w:lineRule="auto"/>
              <w:jc w:val="center"/>
              <w:rPr>
                <w:sz w:val="18"/>
                <w:szCs w:val="18"/>
                <w:lang w:eastAsia="ru-RU"/>
              </w:rPr>
            </w:pPr>
            <w:r w:rsidRPr="00CB39D1">
              <w:rPr>
                <w:sz w:val="18"/>
                <w:szCs w:val="18"/>
              </w:rPr>
              <w:t>2025</w:t>
            </w:r>
          </w:p>
        </w:tc>
        <w:tc>
          <w:tcPr>
            <w:tcW w:w="2769" w:type="dxa"/>
            <w:vAlign w:val="center"/>
          </w:tcPr>
          <w:p w14:paraId="51566E50" w14:textId="77777777" w:rsidR="00CB39D1" w:rsidRPr="00CB39D1" w:rsidRDefault="00CB39D1" w:rsidP="00CB39D1">
            <w:pPr>
              <w:spacing w:before="0" w:after="0" w:line="240" w:lineRule="auto"/>
              <w:rPr>
                <w:i/>
                <w:color w:val="A5A6AC" w:themeColor="accent3" w:themeTint="99"/>
                <w:sz w:val="18"/>
                <w:szCs w:val="18"/>
              </w:rPr>
            </w:pPr>
            <w:r w:rsidRPr="00CB39D1">
              <w:rPr>
                <w:sz w:val="18"/>
                <w:szCs w:val="18"/>
              </w:rPr>
              <w:t xml:space="preserve"> ՄԺԾԾ 2026-2028</w:t>
            </w:r>
          </w:p>
        </w:tc>
        <w:tc>
          <w:tcPr>
            <w:tcW w:w="885" w:type="dxa"/>
            <w:vAlign w:val="center"/>
          </w:tcPr>
          <w:p w14:paraId="7BD2DE35" w14:textId="77777777" w:rsidR="00CB39D1" w:rsidRPr="00CB39D1" w:rsidRDefault="00CB39D1" w:rsidP="00CB39D1">
            <w:pPr>
              <w:spacing w:before="0" w:after="0" w:line="240" w:lineRule="auto"/>
              <w:jc w:val="center"/>
              <w:rPr>
                <w:i/>
                <w:color w:val="A5A6AC" w:themeColor="accent3" w:themeTint="99"/>
                <w:sz w:val="18"/>
                <w:szCs w:val="18"/>
              </w:rPr>
            </w:pPr>
          </w:p>
        </w:tc>
        <w:tc>
          <w:tcPr>
            <w:tcW w:w="942" w:type="dxa"/>
            <w:vAlign w:val="center"/>
          </w:tcPr>
          <w:p w14:paraId="63A38DB7" w14:textId="77777777" w:rsidR="00CB39D1" w:rsidRPr="00CB39D1" w:rsidRDefault="00CB39D1" w:rsidP="00CB39D1">
            <w:pPr>
              <w:spacing w:before="0" w:after="0" w:line="240" w:lineRule="auto"/>
              <w:jc w:val="center"/>
              <w:rPr>
                <w:i/>
                <w:color w:val="A5A6AC" w:themeColor="accent3" w:themeTint="99"/>
                <w:sz w:val="18"/>
                <w:szCs w:val="18"/>
              </w:rPr>
            </w:pPr>
          </w:p>
        </w:tc>
        <w:tc>
          <w:tcPr>
            <w:tcW w:w="841" w:type="dxa"/>
            <w:tcBorders>
              <w:top w:val="single" w:sz="8" w:space="0" w:color="E1E1E3" w:themeColor="accent3" w:themeTint="33"/>
              <w:left w:val="nil"/>
              <w:bottom w:val="single" w:sz="8" w:space="0" w:color="E1E1E3" w:themeColor="accent3" w:themeTint="33"/>
              <w:right w:val="single" w:sz="8" w:space="0" w:color="E1E1E3" w:themeColor="accent3" w:themeTint="33"/>
            </w:tcBorders>
            <w:vAlign w:val="center"/>
          </w:tcPr>
          <w:p w14:paraId="14808611" w14:textId="77777777" w:rsidR="00CB39D1" w:rsidRPr="00CB39D1" w:rsidRDefault="00CB39D1" w:rsidP="00CB39D1">
            <w:pPr>
              <w:spacing w:before="0" w:after="0" w:line="240" w:lineRule="auto"/>
              <w:jc w:val="center"/>
              <w:rPr>
                <w:sz w:val="18"/>
                <w:szCs w:val="18"/>
              </w:rPr>
            </w:pPr>
            <w:r w:rsidRPr="00CB39D1">
              <w:rPr>
                <w:sz w:val="18"/>
                <w:szCs w:val="18"/>
              </w:rPr>
              <w:t>2,688.6</w:t>
            </w:r>
          </w:p>
        </w:tc>
        <w:tc>
          <w:tcPr>
            <w:tcW w:w="1070" w:type="dxa"/>
            <w:tcBorders>
              <w:top w:val="single" w:sz="8" w:space="0" w:color="E1E1E3" w:themeColor="accent3" w:themeTint="33"/>
              <w:left w:val="single" w:sz="8" w:space="0" w:color="E1E1E3" w:themeColor="accent3" w:themeTint="33"/>
              <w:bottom w:val="single" w:sz="8" w:space="0" w:color="E1E1E3" w:themeColor="accent3" w:themeTint="33"/>
              <w:right w:val="single" w:sz="8" w:space="0" w:color="E1E1E3" w:themeColor="accent3" w:themeTint="33"/>
            </w:tcBorders>
            <w:vAlign w:val="center"/>
          </w:tcPr>
          <w:p w14:paraId="21A3F2D3" w14:textId="77777777" w:rsidR="00CB39D1" w:rsidRPr="00CB39D1" w:rsidRDefault="00CB39D1" w:rsidP="00CB39D1">
            <w:pPr>
              <w:spacing w:before="0" w:after="0" w:line="240" w:lineRule="auto"/>
              <w:jc w:val="center"/>
              <w:rPr>
                <w:sz w:val="18"/>
                <w:szCs w:val="18"/>
              </w:rPr>
            </w:pPr>
            <w:r w:rsidRPr="00CB39D1">
              <w:rPr>
                <w:sz w:val="18"/>
                <w:szCs w:val="18"/>
              </w:rPr>
              <w:t>2,883.4</w:t>
            </w:r>
          </w:p>
        </w:tc>
        <w:tc>
          <w:tcPr>
            <w:tcW w:w="1081" w:type="dxa"/>
            <w:tcBorders>
              <w:top w:val="single" w:sz="8" w:space="0" w:color="E1E1E3" w:themeColor="accent3" w:themeTint="33"/>
              <w:left w:val="single" w:sz="8" w:space="0" w:color="E1E1E3" w:themeColor="accent3" w:themeTint="33"/>
              <w:bottom w:val="single" w:sz="8" w:space="0" w:color="E1E1E3" w:themeColor="accent3" w:themeTint="33"/>
              <w:right w:val="single" w:sz="8" w:space="0" w:color="E1E1E3" w:themeColor="accent3" w:themeTint="33"/>
            </w:tcBorders>
            <w:vAlign w:val="center"/>
          </w:tcPr>
          <w:p w14:paraId="29A7486B" w14:textId="77777777" w:rsidR="00CB39D1" w:rsidRPr="00CB39D1" w:rsidRDefault="00CB39D1" w:rsidP="00CB39D1">
            <w:pPr>
              <w:spacing w:before="0" w:after="0" w:line="240" w:lineRule="auto"/>
              <w:jc w:val="center"/>
              <w:rPr>
                <w:sz w:val="18"/>
                <w:szCs w:val="18"/>
              </w:rPr>
            </w:pPr>
            <w:r w:rsidRPr="00CB39D1">
              <w:rPr>
                <w:sz w:val="18"/>
                <w:szCs w:val="18"/>
              </w:rPr>
              <w:t>3,001.2</w:t>
            </w:r>
          </w:p>
        </w:tc>
        <w:tc>
          <w:tcPr>
            <w:tcW w:w="1083" w:type="dxa"/>
            <w:tcBorders>
              <w:top w:val="single" w:sz="8" w:space="0" w:color="E1E1E3" w:themeColor="accent3" w:themeTint="33"/>
              <w:left w:val="single" w:sz="8" w:space="0" w:color="E1E1E3" w:themeColor="accent3" w:themeTint="33"/>
              <w:bottom w:val="single" w:sz="8" w:space="0" w:color="E1E1E3" w:themeColor="accent3" w:themeTint="33"/>
              <w:right w:val="single" w:sz="8" w:space="0" w:color="E1E1E3" w:themeColor="accent3" w:themeTint="33"/>
            </w:tcBorders>
            <w:vAlign w:val="center"/>
          </w:tcPr>
          <w:p w14:paraId="1191FA74" w14:textId="77777777" w:rsidR="00CB39D1" w:rsidRPr="00CB39D1" w:rsidRDefault="00CB39D1" w:rsidP="00CB39D1">
            <w:pPr>
              <w:spacing w:before="0" w:after="0" w:line="240" w:lineRule="auto"/>
              <w:jc w:val="center"/>
              <w:rPr>
                <w:sz w:val="18"/>
                <w:szCs w:val="18"/>
              </w:rPr>
            </w:pPr>
            <w:r w:rsidRPr="00CB39D1">
              <w:rPr>
                <w:sz w:val="18"/>
                <w:szCs w:val="18"/>
              </w:rPr>
              <w:t>3,169.9</w:t>
            </w:r>
          </w:p>
        </w:tc>
      </w:tr>
      <w:tr w:rsidR="00CB39D1" w:rsidRPr="00CB39D1" w14:paraId="5553486C" w14:textId="77777777" w:rsidTr="008D4E1E">
        <w:trPr>
          <w:trHeight w:val="331"/>
        </w:trPr>
        <w:tc>
          <w:tcPr>
            <w:tcW w:w="1162" w:type="dxa"/>
            <w:vMerge/>
            <w:vAlign w:val="center"/>
          </w:tcPr>
          <w:p w14:paraId="05819181" w14:textId="77777777" w:rsidR="00CB39D1" w:rsidRPr="00CB39D1" w:rsidRDefault="00CB39D1" w:rsidP="00CB39D1">
            <w:pPr>
              <w:spacing w:before="0" w:after="0" w:line="240" w:lineRule="auto"/>
              <w:rPr>
                <w:sz w:val="18"/>
                <w:szCs w:val="18"/>
                <w:lang w:val="ru-RU" w:eastAsia="ru-RU"/>
              </w:rPr>
            </w:pPr>
          </w:p>
        </w:tc>
        <w:tc>
          <w:tcPr>
            <w:tcW w:w="2769" w:type="dxa"/>
            <w:vAlign w:val="center"/>
          </w:tcPr>
          <w:p w14:paraId="56B7A527" w14:textId="77777777" w:rsidR="00CB39D1" w:rsidRPr="00CB39D1" w:rsidRDefault="00CB39D1" w:rsidP="00CB39D1">
            <w:pPr>
              <w:spacing w:before="0" w:after="0" w:line="240" w:lineRule="auto"/>
              <w:rPr>
                <w:i/>
                <w:color w:val="A5A6AC" w:themeColor="accent3" w:themeTint="99"/>
                <w:sz w:val="18"/>
                <w:szCs w:val="18"/>
              </w:rPr>
            </w:pPr>
            <w:r w:rsidRPr="00CB39D1">
              <w:rPr>
                <w:i/>
                <w:color w:val="A5A6AC" w:themeColor="accent3" w:themeTint="99"/>
                <w:sz w:val="18"/>
                <w:szCs w:val="18"/>
              </w:rPr>
              <w:t>%-ով՝ ՀՆԱ-ի նկատմամբ</w:t>
            </w:r>
          </w:p>
        </w:tc>
        <w:tc>
          <w:tcPr>
            <w:tcW w:w="885" w:type="dxa"/>
            <w:vAlign w:val="center"/>
          </w:tcPr>
          <w:p w14:paraId="5E47B836" w14:textId="77777777" w:rsidR="00CB39D1" w:rsidRPr="00CB39D1" w:rsidRDefault="00CB39D1" w:rsidP="00CB39D1">
            <w:pPr>
              <w:spacing w:before="0" w:after="0" w:line="240" w:lineRule="auto"/>
              <w:jc w:val="center"/>
              <w:rPr>
                <w:i/>
                <w:color w:val="A5A6AC" w:themeColor="accent3" w:themeTint="99"/>
                <w:sz w:val="18"/>
                <w:szCs w:val="18"/>
              </w:rPr>
            </w:pPr>
          </w:p>
        </w:tc>
        <w:tc>
          <w:tcPr>
            <w:tcW w:w="942" w:type="dxa"/>
            <w:vAlign w:val="center"/>
          </w:tcPr>
          <w:p w14:paraId="0072D0CE" w14:textId="77777777" w:rsidR="00CB39D1" w:rsidRPr="00CB39D1" w:rsidRDefault="00CB39D1" w:rsidP="00CB39D1">
            <w:pPr>
              <w:spacing w:before="0" w:after="0" w:line="240" w:lineRule="auto"/>
              <w:jc w:val="center"/>
              <w:rPr>
                <w:i/>
                <w:color w:val="A5A6AC" w:themeColor="accent3" w:themeTint="99"/>
                <w:sz w:val="18"/>
                <w:szCs w:val="18"/>
              </w:rPr>
            </w:pPr>
          </w:p>
        </w:tc>
        <w:tc>
          <w:tcPr>
            <w:tcW w:w="841" w:type="dxa"/>
            <w:tcBorders>
              <w:top w:val="single" w:sz="8" w:space="0" w:color="E1E1E3" w:themeColor="accent3" w:themeTint="33"/>
              <w:left w:val="nil"/>
              <w:bottom w:val="single" w:sz="8" w:space="0" w:color="E1E1E3" w:themeColor="accent3" w:themeTint="33"/>
              <w:right w:val="single" w:sz="8" w:space="0" w:color="E1E1E3" w:themeColor="accent3" w:themeTint="33"/>
            </w:tcBorders>
            <w:vAlign w:val="center"/>
          </w:tcPr>
          <w:p w14:paraId="4FC11280" w14:textId="77777777" w:rsidR="00CB39D1" w:rsidRPr="00CB39D1" w:rsidRDefault="00CB39D1" w:rsidP="00CB39D1">
            <w:pPr>
              <w:spacing w:before="0" w:after="0" w:line="240" w:lineRule="auto"/>
              <w:jc w:val="center"/>
              <w:rPr>
                <w:i/>
                <w:color w:val="A5A6AC" w:themeColor="accent3" w:themeTint="99"/>
                <w:sz w:val="18"/>
                <w:szCs w:val="18"/>
              </w:rPr>
            </w:pPr>
            <w:r w:rsidRPr="00CB39D1">
              <w:rPr>
                <w:i/>
                <w:color w:val="A5A6AC" w:themeColor="accent3" w:themeTint="99"/>
                <w:sz w:val="18"/>
                <w:szCs w:val="18"/>
              </w:rPr>
              <w:t>24.5%</w:t>
            </w:r>
          </w:p>
        </w:tc>
        <w:tc>
          <w:tcPr>
            <w:tcW w:w="1070" w:type="dxa"/>
            <w:tcBorders>
              <w:top w:val="single" w:sz="8" w:space="0" w:color="E1E1E3" w:themeColor="accent3" w:themeTint="33"/>
              <w:left w:val="single" w:sz="8" w:space="0" w:color="E1E1E3" w:themeColor="accent3" w:themeTint="33"/>
              <w:bottom w:val="single" w:sz="8" w:space="0" w:color="E1E1E3" w:themeColor="accent3" w:themeTint="33"/>
              <w:right w:val="single" w:sz="8" w:space="0" w:color="E1E1E3" w:themeColor="accent3" w:themeTint="33"/>
            </w:tcBorders>
            <w:vAlign w:val="center"/>
          </w:tcPr>
          <w:p w14:paraId="3CEFA406" w14:textId="77777777" w:rsidR="00CB39D1" w:rsidRPr="00CB39D1" w:rsidRDefault="00CB39D1" w:rsidP="00CB39D1">
            <w:pPr>
              <w:spacing w:before="0" w:after="0" w:line="240" w:lineRule="auto"/>
              <w:jc w:val="center"/>
              <w:rPr>
                <w:i/>
                <w:color w:val="A5A6AC" w:themeColor="accent3" w:themeTint="99"/>
                <w:sz w:val="18"/>
                <w:szCs w:val="18"/>
              </w:rPr>
            </w:pPr>
            <w:r w:rsidRPr="00CB39D1">
              <w:rPr>
                <w:i/>
                <w:color w:val="A5A6AC" w:themeColor="accent3" w:themeTint="99"/>
                <w:sz w:val="18"/>
                <w:szCs w:val="18"/>
              </w:rPr>
              <w:t>24.3%</w:t>
            </w:r>
          </w:p>
        </w:tc>
        <w:tc>
          <w:tcPr>
            <w:tcW w:w="1081" w:type="dxa"/>
            <w:tcBorders>
              <w:top w:val="single" w:sz="8" w:space="0" w:color="E1E1E3" w:themeColor="accent3" w:themeTint="33"/>
              <w:left w:val="single" w:sz="8" w:space="0" w:color="E1E1E3" w:themeColor="accent3" w:themeTint="33"/>
              <w:bottom w:val="single" w:sz="8" w:space="0" w:color="E1E1E3" w:themeColor="accent3" w:themeTint="33"/>
              <w:right w:val="single" w:sz="8" w:space="0" w:color="E1E1E3" w:themeColor="accent3" w:themeTint="33"/>
            </w:tcBorders>
            <w:vAlign w:val="center"/>
          </w:tcPr>
          <w:p w14:paraId="50745238" w14:textId="77777777" w:rsidR="00CB39D1" w:rsidRPr="00CB39D1" w:rsidRDefault="00CB39D1" w:rsidP="00CB39D1">
            <w:pPr>
              <w:spacing w:before="0" w:after="0" w:line="240" w:lineRule="auto"/>
              <w:jc w:val="center"/>
              <w:rPr>
                <w:i/>
                <w:color w:val="A5A6AC" w:themeColor="accent3" w:themeTint="99"/>
                <w:sz w:val="18"/>
                <w:szCs w:val="18"/>
              </w:rPr>
            </w:pPr>
            <w:r w:rsidRPr="00CB39D1">
              <w:rPr>
                <w:i/>
                <w:color w:val="A5A6AC" w:themeColor="accent3" w:themeTint="99"/>
                <w:sz w:val="18"/>
                <w:szCs w:val="18"/>
              </w:rPr>
              <w:t>23.3%</w:t>
            </w:r>
          </w:p>
        </w:tc>
        <w:tc>
          <w:tcPr>
            <w:tcW w:w="1083" w:type="dxa"/>
            <w:tcBorders>
              <w:top w:val="single" w:sz="8" w:space="0" w:color="E1E1E3" w:themeColor="accent3" w:themeTint="33"/>
              <w:left w:val="single" w:sz="8" w:space="0" w:color="E1E1E3" w:themeColor="accent3" w:themeTint="33"/>
              <w:bottom w:val="single" w:sz="8" w:space="0" w:color="E1E1E3" w:themeColor="accent3" w:themeTint="33"/>
              <w:right w:val="single" w:sz="8" w:space="0" w:color="E1E1E3" w:themeColor="accent3" w:themeTint="33"/>
            </w:tcBorders>
            <w:vAlign w:val="center"/>
          </w:tcPr>
          <w:p w14:paraId="19831898" w14:textId="77777777" w:rsidR="00CB39D1" w:rsidRPr="00CB39D1" w:rsidRDefault="00CB39D1" w:rsidP="00CB39D1">
            <w:pPr>
              <w:spacing w:before="0" w:after="0" w:line="240" w:lineRule="auto"/>
              <w:jc w:val="center"/>
              <w:rPr>
                <w:i/>
                <w:color w:val="A5A6AC" w:themeColor="accent3" w:themeTint="99"/>
                <w:sz w:val="18"/>
                <w:szCs w:val="18"/>
              </w:rPr>
            </w:pPr>
            <w:r w:rsidRPr="00CB39D1">
              <w:rPr>
                <w:i/>
                <w:color w:val="A5A6AC" w:themeColor="accent3" w:themeTint="99"/>
                <w:sz w:val="18"/>
                <w:szCs w:val="18"/>
              </w:rPr>
              <w:t>22.7%</w:t>
            </w:r>
          </w:p>
        </w:tc>
      </w:tr>
      <w:tr w:rsidR="00CB39D1" w:rsidRPr="00CB39D1" w14:paraId="75766A97" w14:textId="77777777" w:rsidTr="008D4E1E">
        <w:trPr>
          <w:trHeight w:val="331"/>
        </w:trPr>
        <w:tc>
          <w:tcPr>
            <w:tcW w:w="1162" w:type="dxa"/>
            <w:vMerge/>
            <w:vAlign w:val="center"/>
          </w:tcPr>
          <w:p w14:paraId="770E42D4" w14:textId="77777777" w:rsidR="00CB39D1" w:rsidRPr="00CB39D1" w:rsidRDefault="00CB39D1" w:rsidP="00CB39D1">
            <w:pPr>
              <w:spacing w:before="0" w:after="0" w:line="240" w:lineRule="auto"/>
              <w:rPr>
                <w:sz w:val="18"/>
                <w:szCs w:val="18"/>
                <w:lang w:val="ru-RU" w:eastAsia="ru-RU"/>
              </w:rPr>
            </w:pPr>
          </w:p>
        </w:tc>
        <w:tc>
          <w:tcPr>
            <w:tcW w:w="2769" w:type="dxa"/>
            <w:vAlign w:val="center"/>
          </w:tcPr>
          <w:p w14:paraId="7926B8EC" w14:textId="77777777" w:rsidR="00CB39D1" w:rsidRPr="00CB39D1" w:rsidRDefault="00CB39D1" w:rsidP="00CB39D1">
            <w:pPr>
              <w:spacing w:before="0" w:after="0" w:line="240" w:lineRule="auto"/>
              <w:rPr>
                <w:i/>
                <w:color w:val="A5A6AC" w:themeColor="accent3" w:themeTint="99"/>
                <w:sz w:val="18"/>
                <w:szCs w:val="18"/>
              </w:rPr>
            </w:pPr>
            <w:r w:rsidRPr="00CB39D1">
              <w:rPr>
                <w:sz w:val="18"/>
                <w:szCs w:val="18"/>
              </w:rPr>
              <w:t>2026թ. Պետական բյուջե</w:t>
            </w:r>
          </w:p>
        </w:tc>
        <w:tc>
          <w:tcPr>
            <w:tcW w:w="885" w:type="dxa"/>
            <w:vAlign w:val="center"/>
          </w:tcPr>
          <w:p w14:paraId="5D9123F4" w14:textId="77777777" w:rsidR="00CB39D1" w:rsidRPr="00CB39D1" w:rsidRDefault="00CB39D1" w:rsidP="00CB39D1">
            <w:pPr>
              <w:spacing w:before="0" w:after="0" w:line="240" w:lineRule="auto"/>
              <w:jc w:val="center"/>
              <w:rPr>
                <w:i/>
                <w:color w:val="A5A6AC" w:themeColor="accent3" w:themeTint="99"/>
                <w:sz w:val="18"/>
                <w:szCs w:val="18"/>
              </w:rPr>
            </w:pPr>
          </w:p>
        </w:tc>
        <w:tc>
          <w:tcPr>
            <w:tcW w:w="942" w:type="dxa"/>
            <w:vAlign w:val="center"/>
          </w:tcPr>
          <w:p w14:paraId="241D28F9" w14:textId="77777777" w:rsidR="00CB39D1" w:rsidRPr="00CB39D1" w:rsidRDefault="00CB39D1" w:rsidP="00CB39D1">
            <w:pPr>
              <w:spacing w:before="0" w:after="0" w:line="240" w:lineRule="auto"/>
              <w:jc w:val="center"/>
              <w:rPr>
                <w:i/>
                <w:color w:val="A5A6AC" w:themeColor="accent3" w:themeTint="99"/>
                <w:sz w:val="18"/>
                <w:szCs w:val="18"/>
              </w:rPr>
            </w:pPr>
          </w:p>
        </w:tc>
        <w:tc>
          <w:tcPr>
            <w:tcW w:w="841" w:type="dxa"/>
            <w:vAlign w:val="center"/>
          </w:tcPr>
          <w:p w14:paraId="0DB9B06D" w14:textId="77777777" w:rsidR="00CB39D1" w:rsidRPr="00CB39D1" w:rsidRDefault="00CB39D1" w:rsidP="00CB39D1">
            <w:pPr>
              <w:spacing w:before="0" w:after="0" w:line="240" w:lineRule="auto"/>
              <w:jc w:val="center"/>
              <w:rPr>
                <w:i/>
                <w:color w:val="A5A6AC" w:themeColor="accent3" w:themeTint="99"/>
                <w:sz w:val="18"/>
                <w:szCs w:val="18"/>
              </w:rPr>
            </w:pPr>
            <w:r w:rsidRPr="00CB39D1">
              <w:rPr>
                <w:sz w:val="18"/>
                <w:szCs w:val="18"/>
              </w:rPr>
              <w:t>2,702.8</w:t>
            </w:r>
          </w:p>
        </w:tc>
        <w:tc>
          <w:tcPr>
            <w:tcW w:w="1070" w:type="dxa"/>
            <w:vAlign w:val="center"/>
          </w:tcPr>
          <w:p w14:paraId="27B20284" w14:textId="44492687" w:rsidR="00CB39D1" w:rsidRPr="00CB39D1" w:rsidRDefault="00CB39D1" w:rsidP="00CB39D1">
            <w:pPr>
              <w:spacing w:before="0" w:after="0" w:line="240" w:lineRule="auto"/>
              <w:jc w:val="center"/>
              <w:rPr>
                <w:i/>
                <w:color w:val="A5A6AC" w:themeColor="accent3" w:themeTint="99"/>
                <w:sz w:val="18"/>
                <w:szCs w:val="18"/>
              </w:rPr>
            </w:pPr>
            <w:r w:rsidRPr="00CB39D1">
              <w:rPr>
                <w:sz w:val="18"/>
                <w:szCs w:val="18"/>
              </w:rPr>
              <w:t>2,92</w:t>
            </w:r>
            <w:r w:rsidR="008409DC">
              <w:rPr>
                <w:sz w:val="18"/>
                <w:szCs w:val="18"/>
                <w:lang w:val="hy-AM"/>
              </w:rPr>
              <w:t>3</w:t>
            </w:r>
            <w:r w:rsidRPr="00CB39D1">
              <w:rPr>
                <w:sz w:val="18"/>
                <w:szCs w:val="18"/>
                <w:lang w:val="hy-AM"/>
              </w:rPr>
              <w:t>.</w:t>
            </w:r>
            <w:r w:rsidRPr="00CB39D1">
              <w:rPr>
                <w:sz w:val="18"/>
                <w:szCs w:val="18"/>
              </w:rPr>
              <w:t>5</w:t>
            </w:r>
          </w:p>
        </w:tc>
        <w:tc>
          <w:tcPr>
            <w:tcW w:w="1081" w:type="dxa"/>
            <w:vAlign w:val="center"/>
          </w:tcPr>
          <w:p w14:paraId="73174F47" w14:textId="4557EC19" w:rsidR="00CB39D1" w:rsidRPr="00CB39D1" w:rsidRDefault="00CB39D1" w:rsidP="00CB39D1">
            <w:pPr>
              <w:spacing w:before="0" w:after="0" w:line="240" w:lineRule="auto"/>
              <w:jc w:val="center"/>
              <w:rPr>
                <w:i/>
                <w:color w:val="A5A6AC" w:themeColor="accent3" w:themeTint="99"/>
                <w:sz w:val="18"/>
                <w:szCs w:val="18"/>
              </w:rPr>
            </w:pPr>
            <w:r w:rsidRPr="00CB39D1">
              <w:rPr>
                <w:sz w:val="18"/>
                <w:szCs w:val="18"/>
              </w:rPr>
              <w:t>3,082.</w:t>
            </w:r>
            <w:r w:rsidR="008409DC">
              <w:rPr>
                <w:sz w:val="18"/>
                <w:szCs w:val="18"/>
                <w:lang w:val="hy-AM"/>
              </w:rPr>
              <w:t>0</w:t>
            </w:r>
          </w:p>
        </w:tc>
        <w:tc>
          <w:tcPr>
            <w:tcW w:w="1083" w:type="dxa"/>
            <w:vAlign w:val="center"/>
          </w:tcPr>
          <w:p w14:paraId="60494204" w14:textId="56C96ADF" w:rsidR="00CB39D1" w:rsidRPr="00CB39D1" w:rsidRDefault="00CB39D1" w:rsidP="00CB39D1">
            <w:pPr>
              <w:spacing w:before="0" w:after="0" w:line="240" w:lineRule="auto"/>
              <w:jc w:val="center"/>
              <w:rPr>
                <w:i/>
                <w:color w:val="A5A6AC" w:themeColor="accent3" w:themeTint="99"/>
                <w:sz w:val="18"/>
                <w:szCs w:val="18"/>
              </w:rPr>
            </w:pPr>
            <w:r w:rsidRPr="00CB39D1">
              <w:rPr>
                <w:sz w:val="18"/>
                <w:szCs w:val="18"/>
              </w:rPr>
              <w:t>3,22</w:t>
            </w:r>
            <w:r w:rsidR="008409DC">
              <w:rPr>
                <w:sz w:val="18"/>
                <w:szCs w:val="18"/>
                <w:lang w:val="hy-AM"/>
              </w:rPr>
              <w:t>7</w:t>
            </w:r>
            <w:r w:rsidRPr="00CB39D1">
              <w:rPr>
                <w:sz w:val="18"/>
                <w:szCs w:val="18"/>
                <w:lang w:val="hy-AM"/>
              </w:rPr>
              <w:t>.</w:t>
            </w:r>
            <w:r w:rsidR="008409DC">
              <w:rPr>
                <w:sz w:val="18"/>
                <w:szCs w:val="18"/>
                <w:lang w:val="hy-AM"/>
              </w:rPr>
              <w:t>6</w:t>
            </w:r>
          </w:p>
        </w:tc>
      </w:tr>
      <w:tr w:rsidR="00CB39D1" w:rsidRPr="00CB39D1" w14:paraId="59EAF93F" w14:textId="77777777" w:rsidTr="008D4E1E">
        <w:trPr>
          <w:trHeight w:val="331"/>
        </w:trPr>
        <w:tc>
          <w:tcPr>
            <w:tcW w:w="1162" w:type="dxa"/>
            <w:vMerge/>
            <w:vAlign w:val="center"/>
          </w:tcPr>
          <w:p w14:paraId="5AE42C93" w14:textId="77777777" w:rsidR="00CB39D1" w:rsidRPr="00CB39D1" w:rsidRDefault="00CB39D1" w:rsidP="00CB39D1">
            <w:pPr>
              <w:spacing w:before="0" w:after="0" w:line="240" w:lineRule="auto"/>
              <w:rPr>
                <w:sz w:val="18"/>
                <w:szCs w:val="18"/>
                <w:lang w:val="ru-RU" w:eastAsia="ru-RU"/>
              </w:rPr>
            </w:pPr>
          </w:p>
        </w:tc>
        <w:tc>
          <w:tcPr>
            <w:tcW w:w="2769" w:type="dxa"/>
            <w:vAlign w:val="center"/>
          </w:tcPr>
          <w:p w14:paraId="7E8ED7D8" w14:textId="77777777" w:rsidR="00CB39D1" w:rsidRPr="00CB39D1" w:rsidRDefault="00CB39D1" w:rsidP="00CB39D1">
            <w:pPr>
              <w:spacing w:before="0" w:after="0" w:line="240" w:lineRule="auto"/>
              <w:rPr>
                <w:i/>
                <w:color w:val="A5A6AC" w:themeColor="accent3" w:themeTint="99"/>
                <w:sz w:val="18"/>
                <w:szCs w:val="18"/>
              </w:rPr>
            </w:pPr>
            <w:r w:rsidRPr="00CB39D1">
              <w:rPr>
                <w:i/>
                <w:color w:val="A5A6AC" w:themeColor="accent3" w:themeTint="99"/>
                <w:sz w:val="18"/>
                <w:szCs w:val="18"/>
              </w:rPr>
              <w:t>%-ով՝ ՀՆԱ-ի նկատմամբ</w:t>
            </w:r>
          </w:p>
        </w:tc>
        <w:tc>
          <w:tcPr>
            <w:tcW w:w="885" w:type="dxa"/>
            <w:vAlign w:val="center"/>
          </w:tcPr>
          <w:p w14:paraId="48FB6E82" w14:textId="77777777" w:rsidR="00CB39D1" w:rsidRPr="00CB39D1" w:rsidRDefault="00CB39D1" w:rsidP="00CB39D1">
            <w:pPr>
              <w:spacing w:before="0" w:after="0" w:line="240" w:lineRule="auto"/>
              <w:jc w:val="center"/>
              <w:rPr>
                <w:i/>
                <w:color w:val="A5A6AC" w:themeColor="accent3" w:themeTint="99"/>
                <w:sz w:val="18"/>
                <w:szCs w:val="18"/>
              </w:rPr>
            </w:pPr>
          </w:p>
        </w:tc>
        <w:tc>
          <w:tcPr>
            <w:tcW w:w="942" w:type="dxa"/>
            <w:vAlign w:val="center"/>
          </w:tcPr>
          <w:p w14:paraId="70CB4093" w14:textId="77777777" w:rsidR="00CB39D1" w:rsidRPr="00CB39D1" w:rsidRDefault="00CB39D1" w:rsidP="00CB39D1">
            <w:pPr>
              <w:spacing w:before="0" w:after="0" w:line="240" w:lineRule="auto"/>
              <w:jc w:val="center"/>
              <w:rPr>
                <w:i/>
                <w:color w:val="A5A6AC" w:themeColor="accent3" w:themeTint="99"/>
                <w:sz w:val="18"/>
                <w:szCs w:val="18"/>
              </w:rPr>
            </w:pPr>
          </w:p>
        </w:tc>
        <w:tc>
          <w:tcPr>
            <w:tcW w:w="841" w:type="dxa"/>
            <w:vAlign w:val="center"/>
          </w:tcPr>
          <w:p w14:paraId="40792EF4" w14:textId="77777777" w:rsidR="00CB39D1" w:rsidRPr="00CB39D1" w:rsidRDefault="00CB39D1" w:rsidP="00CB39D1">
            <w:pPr>
              <w:spacing w:before="0" w:after="0" w:line="240" w:lineRule="auto"/>
              <w:jc w:val="center"/>
              <w:rPr>
                <w:i/>
                <w:color w:val="A5A6AC" w:themeColor="accent3" w:themeTint="99"/>
                <w:sz w:val="18"/>
                <w:szCs w:val="18"/>
              </w:rPr>
            </w:pPr>
            <w:r w:rsidRPr="00CB39D1">
              <w:rPr>
                <w:i/>
                <w:color w:val="A5A6AC" w:themeColor="accent3" w:themeTint="99"/>
                <w:sz w:val="18"/>
                <w:szCs w:val="18"/>
              </w:rPr>
              <w:t>24.6%</w:t>
            </w:r>
          </w:p>
        </w:tc>
        <w:tc>
          <w:tcPr>
            <w:tcW w:w="1070" w:type="dxa"/>
            <w:vAlign w:val="center"/>
          </w:tcPr>
          <w:p w14:paraId="040B21AF" w14:textId="77777777" w:rsidR="00CB39D1" w:rsidRPr="00CB39D1" w:rsidRDefault="00CB39D1" w:rsidP="00CB39D1">
            <w:pPr>
              <w:spacing w:before="0" w:after="0" w:line="240" w:lineRule="auto"/>
              <w:jc w:val="center"/>
              <w:rPr>
                <w:i/>
                <w:color w:val="A5A6AC" w:themeColor="accent3" w:themeTint="99"/>
                <w:sz w:val="18"/>
                <w:szCs w:val="18"/>
              </w:rPr>
            </w:pPr>
            <w:r w:rsidRPr="00CB39D1">
              <w:rPr>
                <w:i/>
                <w:color w:val="A5A6AC" w:themeColor="accent3" w:themeTint="99"/>
                <w:sz w:val="18"/>
                <w:szCs w:val="18"/>
              </w:rPr>
              <w:t>24.5%</w:t>
            </w:r>
          </w:p>
        </w:tc>
        <w:tc>
          <w:tcPr>
            <w:tcW w:w="1081" w:type="dxa"/>
            <w:vAlign w:val="center"/>
          </w:tcPr>
          <w:p w14:paraId="3A17DE49" w14:textId="77777777" w:rsidR="00CB39D1" w:rsidRPr="00CB39D1" w:rsidRDefault="00CB39D1" w:rsidP="00CB39D1">
            <w:pPr>
              <w:spacing w:before="0" w:after="0" w:line="240" w:lineRule="auto"/>
              <w:jc w:val="center"/>
              <w:rPr>
                <w:i/>
                <w:color w:val="A5A6AC" w:themeColor="accent3" w:themeTint="99"/>
                <w:sz w:val="18"/>
                <w:szCs w:val="18"/>
              </w:rPr>
            </w:pPr>
            <w:r w:rsidRPr="00CB39D1">
              <w:rPr>
                <w:i/>
                <w:color w:val="A5A6AC" w:themeColor="accent3" w:themeTint="99"/>
                <w:sz w:val="18"/>
                <w:szCs w:val="18"/>
              </w:rPr>
              <w:t>23.8%</w:t>
            </w:r>
          </w:p>
        </w:tc>
        <w:tc>
          <w:tcPr>
            <w:tcW w:w="1083" w:type="dxa"/>
            <w:vAlign w:val="center"/>
          </w:tcPr>
          <w:p w14:paraId="40B77AB3" w14:textId="77777777" w:rsidR="00CB39D1" w:rsidRPr="00CB39D1" w:rsidRDefault="00CB39D1" w:rsidP="00CB39D1">
            <w:pPr>
              <w:spacing w:before="0" w:after="0" w:line="240" w:lineRule="auto"/>
              <w:jc w:val="center"/>
              <w:rPr>
                <w:i/>
                <w:color w:val="A5A6AC" w:themeColor="accent3" w:themeTint="99"/>
                <w:sz w:val="18"/>
                <w:szCs w:val="18"/>
              </w:rPr>
            </w:pPr>
            <w:r w:rsidRPr="00CB39D1">
              <w:rPr>
                <w:i/>
                <w:color w:val="A5A6AC" w:themeColor="accent3" w:themeTint="99"/>
                <w:sz w:val="18"/>
                <w:szCs w:val="18"/>
              </w:rPr>
              <w:t>23.0%</w:t>
            </w:r>
          </w:p>
        </w:tc>
      </w:tr>
    </w:tbl>
    <w:p w14:paraId="2668C606" w14:textId="77777777" w:rsidR="00CB39D1" w:rsidRPr="00CB39D1" w:rsidRDefault="00CB39D1" w:rsidP="00CB39D1">
      <w:pPr>
        <w:spacing w:before="480" w:line="240" w:lineRule="auto"/>
        <w:rPr>
          <w:b/>
          <w:lang w:val="hy-AM"/>
        </w:rPr>
      </w:pPr>
    </w:p>
    <w:p w14:paraId="1C818962" w14:textId="77777777" w:rsidR="00CB39D1" w:rsidRPr="00CB39D1" w:rsidRDefault="00CB39D1" w:rsidP="00CB39D1">
      <w:pPr>
        <w:jc w:val="both"/>
        <w:rPr>
          <w:rFonts w:ascii="GHEA Grapalat" w:hAnsi="GHEA Grapalat"/>
          <w:bCs/>
          <w:szCs w:val="20"/>
          <w:lang w:val="hy-AM"/>
        </w:rPr>
      </w:pPr>
      <w:r w:rsidRPr="00CB39D1">
        <w:rPr>
          <w:rFonts w:ascii="GHEA Grapalat" w:hAnsi="GHEA Grapalat"/>
          <w:bCs/>
          <w:szCs w:val="20"/>
          <w:lang w:val="hy-AM"/>
        </w:rPr>
        <w:t>Աղյուսակ 2.7. Պետական բյուջեի ոչ ֆինանսական ակտիվների գծով զուտ ծախսերի կանխատեսումների համեմատական աղյուսակը, մլրդ դրամ</w:t>
      </w:r>
    </w:p>
    <w:tbl>
      <w:tblPr>
        <w:tblW w:w="9629" w:type="dxa"/>
        <w:tblBorders>
          <w:top w:val="single" w:sz="8" w:space="0" w:color="E1E1E3" w:themeColor="accent3" w:themeTint="33"/>
          <w:left w:val="single" w:sz="8" w:space="0" w:color="E1E1E3" w:themeColor="accent3" w:themeTint="33"/>
          <w:bottom w:val="single" w:sz="8" w:space="0" w:color="E1E1E3" w:themeColor="accent3" w:themeTint="33"/>
          <w:right w:val="single" w:sz="8" w:space="0" w:color="E1E1E3" w:themeColor="accent3" w:themeTint="33"/>
          <w:insideH w:val="single" w:sz="8" w:space="0" w:color="E1E1E3" w:themeColor="accent3" w:themeTint="33"/>
          <w:insideV w:val="single" w:sz="8" w:space="0" w:color="E1E1E3" w:themeColor="accent3" w:themeTint="33"/>
        </w:tblBorders>
        <w:tblLook w:val="04A0" w:firstRow="1" w:lastRow="0" w:firstColumn="1" w:lastColumn="0" w:noHBand="0" w:noVBand="1"/>
      </w:tblPr>
      <w:tblGrid>
        <w:gridCol w:w="1262"/>
        <w:gridCol w:w="2835"/>
        <w:gridCol w:w="992"/>
        <w:gridCol w:w="725"/>
        <w:gridCol w:w="851"/>
        <w:gridCol w:w="992"/>
        <w:gridCol w:w="992"/>
        <w:gridCol w:w="980"/>
      </w:tblGrid>
      <w:tr w:rsidR="00CB39D1" w:rsidRPr="00CB39D1" w14:paraId="34E0B0A4" w14:textId="77777777" w:rsidTr="008D4E1E">
        <w:trPr>
          <w:trHeight w:val="360"/>
        </w:trPr>
        <w:tc>
          <w:tcPr>
            <w:tcW w:w="1263" w:type="dxa"/>
            <w:shd w:val="clear" w:color="auto" w:fill="D5DCE4" w:themeFill="text2" w:themeFillTint="33"/>
            <w:vAlign w:val="center"/>
            <w:hideMark/>
          </w:tcPr>
          <w:p w14:paraId="308026BB" w14:textId="77777777" w:rsidR="00CB39D1" w:rsidRPr="00CB39D1" w:rsidRDefault="00CB39D1" w:rsidP="00CB39D1">
            <w:pPr>
              <w:spacing w:before="0" w:after="0" w:line="240" w:lineRule="auto"/>
              <w:jc w:val="both"/>
              <w:rPr>
                <w:b/>
                <w:sz w:val="18"/>
                <w:szCs w:val="18"/>
                <w:lang w:val="ru-RU"/>
              </w:rPr>
            </w:pPr>
            <w:r w:rsidRPr="00CB39D1">
              <w:rPr>
                <w:b/>
                <w:sz w:val="18"/>
                <w:szCs w:val="18"/>
              </w:rPr>
              <w:t>Ընդունման տարին</w:t>
            </w:r>
          </w:p>
        </w:tc>
        <w:tc>
          <w:tcPr>
            <w:tcW w:w="2835" w:type="dxa"/>
            <w:shd w:val="clear" w:color="auto" w:fill="D5DCE4" w:themeFill="text2" w:themeFillTint="33"/>
            <w:noWrap/>
            <w:vAlign w:val="center"/>
            <w:hideMark/>
          </w:tcPr>
          <w:p w14:paraId="3F5A9B44" w14:textId="77777777" w:rsidR="00CB39D1" w:rsidRPr="00CB39D1" w:rsidRDefault="00CB39D1" w:rsidP="00CB39D1">
            <w:pPr>
              <w:spacing w:before="0" w:after="0" w:line="240" w:lineRule="auto"/>
              <w:jc w:val="both"/>
              <w:rPr>
                <w:b/>
                <w:sz w:val="18"/>
                <w:szCs w:val="18"/>
              </w:rPr>
            </w:pPr>
            <w:r w:rsidRPr="00CB39D1">
              <w:rPr>
                <w:b/>
                <w:sz w:val="18"/>
                <w:szCs w:val="18"/>
              </w:rPr>
              <w:t>Ծրագիր</w:t>
            </w:r>
          </w:p>
        </w:tc>
        <w:tc>
          <w:tcPr>
            <w:tcW w:w="992" w:type="dxa"/>
            <w:tcBorders>
              <w:bottom w:val="single" w:sz="8" w:space="0" w:color="E1E1E3" w:themeColor="accent3" w:themeTint="33"/>
            </w:tcBorders>
            <w:shd w:val="clear" w:color="auto" w:fill="D5DCE4" w:themeFill="text2" w:themeFillTint="33"/>
            <w:noWrap/>
            <w:vAlign w:val="center"/>
            <w:hideMark/>
          </w:tcPr>
          <w:p w14:paraId="1203568C" w14:textId="77777777" w:rsidR="00CB39D1" w:rsidRPr="00CB39D1" w:rsidRDefault="00CB39D1" w:rsidP="00CB39D1">
            <w:pPr>
              <w:spacing w:before="0" w:after="0" w:line="240" w:lineRule="auto"/>
              <w:jc w:val="center"/>
              <w:rPr>
                <w:b/>
                <w:sz w:val="18"/>
                <w:szCs w:val="18"/>
              </w:rPr>
            </w:pPr>
            <w:r w:rsidRPr="00CB39D1">
              <w:rPr>
                <w:b/>
                <w:sz w:val="18"/>
                <w:szCs w:val="18"/>
              </w:rPr>
              <w:t>2023</w:t>
            </w:r>
          </w:p>
        </w:tc>
        <w:tc>
          <w:tcPr>
            <w:tcW w:w="722" w:type="dxa"/>
            <w:tcBorders>
              <w:bottom w:val="single" w:sz="8" w:space="0" w:color="E1E1E3" w:themeColor="accent3" w:themeTint="33"/>
            </w:tcBorders>
            <w:shd w:val="clear" w:color="auto" w:fill="D5DCE4" w:themeFill="text2" w:themeFillTint="33"/>
            <w:noWrap/>
            <w:vAlign w:val="center"/>
            <w:hideMark/>
          </w:tcPr>
          <w:p w14:paraId="251C0058" w14:textId="77777777" w:rsidR="00CB39D1" w:rsidRPr="00CB39D1" w:rsidRDefault="00CB39D1" w:rsidP="00CB39D1">
            <w:pPr>
              <w:spacing w:before="0" w:after="0" w:line="240" w:lineRule="auto"/>
              <w:jc w:val="center"/>
              <w:rPr>
                <w:b/>
                <w:sz w:val="18"/>
                <w:szCs w:val="18"/>
              </w:rPr>
            </w:pPr>
            <w:r w:rsidRPr="00CB39D1">
              <w:rPr>
                <w:b/>
                <w:sz w:val="18"/>
                <w:szCs w:val="18"/>
              </w:rPr>
              <w:t>2024</w:t>
            </w:r>
          </w:p>
        </w:tc>
        <w:tc>
          <w:tcPr>
            <w:tcW w:w="851" w:type="dxa"/>
            <w:tcBorders>
              <w:bottom w:val="single" w:sz="8" w:space="0" w:color="E1E1E3" w:themeColor="accent3" w:themeTint="33"/>
            </w:tcBorders>
            <w:shd w:val="clear" w:color="auto" w:fill="D5DCE4" w:themeFill="text2" w:themeFillTint="33"/>
            <w:noWrap/>
            <w:vAlign w:val="center"/>
            <w:hideMark/>
          </w:tcPr>
          <w:p w14:paraId="3E45EE62" w14:textId="77777777" w:rsidR="00CB39D1" w:rsidRPr="00CB39D1" w:rsidRDefault="00CB39D1" w:rsidP="00CB39D1">
            <w:pPr>
              <w:spacing w:before="0" w:after="0" w:line="240" w:lineRule="auto"/>
              <w:jc w:val="center"/>
              <w:rPr>
                <w:b/>
                <w:sz w:val="18"/>
                <w:szCs w:val="18"/>
              </w:rPr>
            </w:pPr>
            <w:r w:rsidRPr="00CB39D1">
              <w:rPr>
                <w:b/>
                <w:sz w:val="18"/>
                <w:szCs w:val="18"/>
              </w:rPr>
              <w:t>2025</w:t>
            </w:r>
          </w:p>
        </w:tc>
        <w:tc>
          <w:tcPr>
            <w:tcW w:w="992" w:type="dxa"/>
            <w:tcBorders>
              <w:bottom w:val="single" w:sz="8" w:space="0" w:color="E1E1E3" w:themeColor="accent3" w:themeTint="33"/>
            </w:tcBorders>
            <w:shd w:val="clear" w:color="auto" w:fill="D5DCE4" w:themeFill="text2" w:themeFillTint="33"/>
            <w:noWrap/>
            <w:vAlign w:val="center"/>
            <w:hideMark/>
          </w:tcPr>
          <w:p w14:paraId="1BD70B35" w14:textId="77777777" w:rsidR="00CB39D1" w:rsidRPr="00CB39D1" w:rsidRDefault="00CB39D1" w:rsidP="00CB39D1">
            <w:pPr>
              <w:spacing w:before="0" w:after="0" w:line="240" w:lineRule="auto"/>
              <w:jc w:val="center"/>
              <w:rPr>
                <w:b/>
                <w:sz w:val="18"/>
                <w:szCs w:val="18"/>
              </w:rPr>
            </w:pPr>
            <w:r w:rsidRPr="00CB39D1">
              <w:rPr>
                <w:b/>
                <w:sz w:val="18"/>
                <w:szCs w:val="18"/>
              </w:rPr>
              <w:t>2026</w:t>
            </w:r>
          </w:p>
        </w:tc>
        <w:tc>
          <w:tcPr>
            <w:tcW w:w="992" w:type="dxa"/>
            <w:tcBorders>
              <w:bottom w:val="single" w:sz="8" w:space="0" w:color="E1E1E3" w:themeColor="accent3" w:themeTint="33"/>
            </w:tcBorders>
            <w:shd w:val="clear" w:color="auto" w:fill="D5DCE4" w:themeFill="text2" w:themeFillTint="33"/>
            <w:noWrap/>
            <w:vAlign w:val="center"/>
            <w:hideMark/>
          </w:tcPr>
          <w:p w14:paraId="23D5AF6C" w14:textId="77777777" w:rsidR="00CB39D1" w:rsidRPr="00CB39D1" w:rsidRDefault="00CB39D1" w:rsidP="00CB39D1">
            <w:pPr>
              <w:spacing w:before="0" w:after="0" w:line="240" w:lineRule="auto"/>
              <w:jc w:val="center"/>
              <w:rPr>
                <w:b/>
                <w:sz w:val="18"/>
                <w:szCs w:val="18"/>
              </w:rPr>
            </w:pPr>
            <w:r w:rsidRPr="00CB39D1">
              <w:rPr>
                <w:b/>
                <w:sz w:val="18"/>
                <w:szCs w:val="18"/>
              </w:rPr>
              <w:t>2027</w:t>
            </w:r>
          </w:p>
        </w:tc>
        <w:tc>
          <w:tcPr>
            <w:tcW w:w="982" w:type="dxa"/>
            <w:tcBorders>
              <w:bottom w:val="single" w:sz="8" w:space="0" w:color="E1E1E3" w:themeColor="accent3" w:themeTint="33"/>
            </w:tcBorders>
            <w:shd w:val="clear" w:color="auto" w:fill="D5DCE4" w:themeFill="text2" w:themeFillTint="33"/>
            <w:vAlign w:val="center"/>
          </w:tcPr>
          <w:p w14:paraId="57B77A6E" w14:textId="77777777" w:rsidR="00CB39D1" w:rsidRPr="00CB39D1" w:rsidRDefault="00CB39D1" w:rsidP="00CB39D1">
            <w:pPr>
              <w:spacing w:before="0" w:after="0" w:line="240" w:lineRule="auto"/>
              <w:jc w:val="center"/>
              <w:rPr>
                <w:b/>
                <w:sz w:val="18"/>
                <w:szCs w:val="18"/>
              </w:rPr>
            </w:pPr>
            <w:r w:rsidRPr="00CB39D1">
              <w:rPr>
                <w:b/>
                <w:sz w:val="18"/>
                <w:szCs w:val="18"/>
              </w:rPr>
              <w:t>2028</w:t>
            </w:r>
          </w:p>
        </w:tc>
      </w:tr>
      <w:tr w:rsidR="00CB39D1" w:rsidRPr="00CB39D1" w14:paraId="1F513BE0" w14:textId="77777777" w:rsidTr="008D4E1E">
        <w:trPr>
          <w:trHeight w:val="360"/>
        </w:trPr>
        <w:tc>
          <w:tcPr>
            <w:tcW w:w="1263" w:type="dxa"/>
            <w:vMerge w:val="restart"/>
            <w:vAlign w:val="center"/>
            <w:hideMark/>
          </w:tcPr>
          <w:p w14:paraId="2AE565E3" w14:textId="77777777" w:rsidR="00CB39D1" w:rsidRPr="00CB39D1" w:rsidRDefault="00CB39D1" w:rsidP="00CB39D1">
            <w:pPr>
              <w:spacing w:before="0" w:after="0" w:line="240" w:lineRule="auto"/>
              <w:jc w:val="center"/>
              <w:rPr>
                <w:sz w:val="18"/>
                <w:szCs w:val="18"/>
              </w:rPr>
            </w:pPr>
            <w:r w:rsidRPr="00CB39D1">
              <w:rPr>
                <w:sz w:val="18"/>
                <w:szCs w:val="18"/>
              </w:rPr>
              <w:t>-</w:t>
            </w:r>
          </w:p>
        </w:tc>
        <w:tc>
          <w:tcPr>
            <w:tcW w:w="2835" w:type="dxa"/>
            <w:noWrap/>
            <w:vAlign w:val="center"/>
            <w:hideMark/>
          </w:tcPr>
          <w:p w14:paraId="3D8274EE" w14:textId="77777777" w:rsidR="00CB39D1" w:rsidRPr="00CB39D1" w:rsidRDefault="00CB39D1" w:rsidP="00CB39D1">
            <w:pPr>
              <w:spacing w:before="0" w:after="0" w:line="240" w:lineRule="auto"/>
              <w:rPr>
                <w:sz w:val="18"/>
                <w:szCs w:val="18"/>
              </w:rPr>
            </w:pPr>
            <w:r w:rsidRPr="00CB39D1">
              <w:rPr>
                <w:sz w:val="18"/>
                <w:szCs w:val="18"/>
              </w:rPr>
              <w:t>Փաստացի</w:t>
            </w:r>
          </w:p>
        </w:tc>
        <w:tc>
          <w:tcPr>
            <w:tcW w:w="992" w:type="dxa"/>
            <w:tcBorders>
              <w:top w:val="single" w:sz="8" w:space="0" w:color="E1E1E3" w:themeColor="accent3" w:themeTint="33"/>
              <w:bottom w:val="single" w:sz="8" w:space="0" w:color="E1E1E3" w:themeColor="accent3" w:themeTint="33"/>
              <w:right w:val="single" w:sz="8" w:space="0" w:color="E1E1E3" w:themeColor="accent3" w:themeTint="33"/>
            </w:tcBorders>
            <w:vAlign w:val="center"/>
            <w:hideMark/>
          </w:tcPr>
          <w:p w14:paraId="50CCA288" w14:textId="77777777" w:rsidR="00CB39D1" w:rsidRPr="00CB39D1" w:rsidRDefault="00CB39D1" w:rsidP="00CB39D1">
            <w:pPr>
              <w:spacing w:before="0" w:after="0" w:line="240" w:lineRule="auto"/>
              <w:jc w:val="center"/>
              <w:rPr>
                <w:sz w:val="18"/>
                <w:szCs w:val="18"/>
              </w:rPr>
            </w:pPr>
            <w:r w:rsidRPr="00CB39D1">
              <w:rPr>
                <w:sz w:val="18"/>
                <w:szCs w:val="18"/>
              </w:rPr>
              <w:t>472.6</w:t>
            </w:r>
          </w:p>
        </w:tc>
        <w:tc>
          <w:tcPr>
            <w:tcW w:w="722" w:type="dxa"/>
            <w:tcBorders>
              <w:top w:val="single" w:sz="8" w:space="0" w:color="E1E1E3" w:themeColor="accent3" w:themeTint="33"/>
              <w:left w:val="single" w:sz="8" w:space="0" w:color="E1E1E3" w:themeColor="accent3" w:themeTint="33"/>
              <w:bottom w:val="single" w:sz="8" w:space="0" w:color="E1E1E3" w:themeColor="accent3" w:themeTint="33"/>
              <w:right w:val="single" w:sz="8" w:space="0" w:color="E1E1E3" w:themeColor="accent3" w:themeTint="33"/>
            </w:tcBorders>
            <w:noWrap/>
            <w:vAlign w:val="center"/>
            <w:hideMark/>
          </w:tcPr>
          <w:p w14:paraId="55840D9A" w14:textId="77777777" w:rsidR="00CB39D1" w:rsidRPr="00CB39D1" w:rsidRDefault="00CB39D1" w:rsidP="00CB39D1">
            <w:pPr>
              <w:spacing w:before="0" w:after="0" w:line="240" w:lineRule="auto"/>
              <w:jc w:val="center"/>
              <w:rPr>
                <w:sz w:val="18"/>
                <w:szCs w:val="18"/>
              </w:rPr>
            </w:pPr>
            <w:r w:rsidRPr="00CB39D1">
              <w:rPr>
                <w:sz w:val="18"/>
                <w:szCs w:val="18"/>
              </w:rPr>
              <w:t>541.7</w:t>
            </w:r>
          </w:p>
        </w:tc>
        <w:tc>
          <w:tcPr>
            <w:tcW w:w="851" w:type="dxa"/>
            <w:tcBorders>
              <w:top w:val="single" w:sz="8" w:space="0" w:color="E1E1E3" w:themeColor="accent3" w:themeTint="33"/>
              <w:left w:val="single" w:sz="8" w:space="0" w:color="E1E1E3" w:themeColor="accent3" w:themeTint="33"/>
              <w:bottom w:val="single" w:sz="8" w:space="0" w:color="E1E1E3" w:themeColor="accent3" w:themeTint="33"/>
              <w:right w:val="single" w:sz="8" w:space="0" w:color="E1E1E3" w:themeColor="accent3" w:themeTint="33"/>
            </w:tcBorders>
            <w:noWrap/>
            <w:vAlign w:val="center"/>
            <w:hideMark/>
          </w:tcPr>
          <w:p w14:paraId="460AB0C0" w14:textId="77777777" w:rsidR="00CB39D1" w:rsidRPr="00CB39D1" w:rsidRDefault="00CB39D1" w:rsidP="00CB39D1">
            <w:pPr>
              <w:spacing w:before="0" w:after="0" w:line="240" w:lineRule="auto"/>
              <w:jc w:val="center"/>
              <w:rPr>
                <w:sz w:val="18"/>
                <w:szCs w:val="18"/>
              </w:rPr>
            </w:pPr>
          </w:p>
        </w:tc>
        <w:tc>
          <w:tcPr>
            <w:tcW w:w="992" w:type="dxa"/>
            <w:tcBorders>
              <w:top w:val="single" w:sz="8" w:space="0" w:color="E1E1E3" w:themeColor="accent3" w:themeTint="33"/>
              <w:left w:val="single" w:sz="8" w:space="0" w:color="E1E1E3" w:themeColor="accent3" w:themeTint="33"/>
              <w:bottom w:val="single" w:sz="8" w:space="0" w:color="E1E1E3" w:themeColor="accent3" w:themeTint="33"/>
              <w:right w:val="single" w:sz="8" w:space="0" w:color="E1E1E3" w:themeColor="accent3" w:themeTint="33"/>
            </w:tcBorders>
            <w:noWrap/>
            <w:vAlign w:val="center"/>
            <w:hideMark/>
          </w:tcPr>
          <w:p w14:paraId="232B8D7E" w14:textId="77777777" w:rsidR="00CB39D1" w:rsidRPr="00CB39D1" w:rsidRDefault="00CB39D1" w:rsidP="00CB39D1">
            <w:pPr>
              <w:spacing w:before="0" w:after="0" w:line="240" w:lineRule="auto"/>
              <w:jc w:val="center"/>
              <w:rPr>
                <w:sz w:val="18"/>
                <w:szCs w:val="18"/>
              </w:rPr>
            </w:pPr>
          </w:p>
        </w:tc>
        <w:tc>
          <w:tcPr>
            <w:tcW w:w="992" w:type="dxa"/>
            <w:tcBorders>
              <w:top w:val="single" w:sz="8" w:space="0" w:color="E1E1E3" w:themeColor="accent3" w:themeTint="33"/>
              <w:left w:val="single" w:sz="8" w:space="0" w:color="E1E1E3" w:themeColor="accent3" w:themeTint="33"/>
              <w:bottom w:val="single" w:sz="8" w:space="0" w:color="E1E1E3" w:themeColor="accent3" w:themeTint="33"/>
              <w:right w:val="single" w:sz="8" w:space="0" w:color="E1E1E3" w:themeColor="accent3" w:themeTint="33"/>
            </w:tcBorders>
            <w:vAlign w:val="center"/>
            <w:hideMark/>
          </w:tcPr>
          <w:p w14:paraId="58DFE926" w14:textId="77777777" w:rsidR="00CB39D1" w:rsidRPr="00CB39D1" w:rsidRDefault="00CB39D1" w:rsidP="00CB39D1">
            <w:pPr>
              <w:spacing w:before="0" w:after="0" w:line="240" w:lineRule="auto"/>
              <w:jc w:val="center"/>
              <w:rPr>
                <w:sz w:val="18"/>
                <w:szCs w:val="18"/>
              </w:rPr>
            </w:pPr>
          </w:p>
        </w:tc>
        <w:tc>
          <w:tcPr>
            <w:tcW w:w="982" w:type="dxa"/>
            <w:tcBorders>
              <w:top w:val="single" w:sz="8" w:space="0" w:color="E1E1E3" w:themeColor="accent3" w:themeTint="33"/>
              <w:left w:val="single" w:sz="8" w:space="0" w:color="E1E1E3" w:themeColor="accent3" w:themeTint="33"/>
              <w:bottom w:val="single" w:sz="8" w:space="0" w:color="E1E1E3" w:themeColor="accent3" w:themeTint="33"/>
            </w:tcBorders>
          </w:tcPr>
          <w:p w14:paraId="2100307F" w14:textId="77777777" w:rsidR="00CB39D1" w:rsidRPr="00CB39D1" w:rsidRDefault="00CB39D1" w:rsidP="00CB39D1">
            <w:pPr>
              <w:spacing w:before="0" w:after="0" w:line="240" w:lineRule="auto"/>
              <w:jc w:val="center"/>
              <w:rPr>
                <w:sz w:val="18"/>
                <w:szCs w:val="18"/>
              </w:rPr>
            </w:pPr>
          </w:p>
        </w:tc>
      </w:tr>
      <w:tr w:rsidR="00CB39D1" w:rsidRPr="00CB39D1" w14:paraId="6CC8960D" w14:textId="77777777" w:rsidTr="008D4E1E">
        <w:trPr>
          <w:trHeight w:val="360"/>
        </w:trPr>
        <w:tc>
          <w:tcPr>
            <w:tcW w:w="1263" w:type="dxa"/>
            <w:vMerge/>
            <w:vAlign w:val="center"/>
            <w:hideMark/>
          </w:tcPr>
          <w:p w14:paraId="0A72BBA6" w14:textId="77777777" w:rsidR="00CB39D1" w:rsidRPr="00CB39D1" w:rsidRDefault="00CB39D1" w:rsidP="00CB39D1">
            <w:pPr>
              <w:spacing w:before="0" w:after="0" w:line="240" w:lineRule="auto"/>
              <w:jc w:val="center"/>
              <w:rPr>
                <w:sz w:val="18"/>
                <w:szCs w:val="18"/>
                <w:lang w:val="ru-RU" w:eastAsia="ru-RU"/>
              </w:rPr>
            </w:pPr>
          </w:p>
        </w:tc>
        <w:tc>
          <w:tcPr>
            <w:tcW w:w="2835" w:type="dxa"/>
            <w:noWrap/>
            <w:vAlign w:val="center"/>
            <w:hideMark/>
          </w:tcPr>
          <w:p w14:paraId="6E95766A" w14:textId="77777777" w:rsidR="00CB39D1" w:rsidRPr="00CB39D1" w:rsidRDefault="00CB39D1" w:rsidP="00CB39D1">
            <w:pPr>
              <w:spacing w:before="0" w:after="0" w:line="240" w:lineRule="auto"/>
              <w:rPr>
                <w:i/>
                <w:color w:val="A5A6AC" w:themeColor="accent3" w:themeTint="99"/>
                <w:sz w:val="18"/>
                <w:szCs w:val="18"/>
              </w:rPr>
            </w:pPr>
            <w:r w:rsidRPr="00CB39D1">
              <w:rPr>
                <w:i/>
                <w:color w:val="A5A6AC" w:themeColor="accent3" w:themeTint="99"/>
                <w:sz w:val="18"/>
                <w:szCs w:val="18"/>
              </w:rPr>
              <w:t>%-ով՝ ՀՆԱ-ի նկատմամբ</w:t>
            </w:r>
          </w:p>
        </w:tc>
        <w:tc>
          <w:tcPr>
            <w:tcW w:w="992" w:type="dxa"/>
            <w:tcBorders>
              <w:top w:val="single" w:sz="8" w:space="0" w:color="E1E1E3" w:themeColor="accent3" w:themeTint="33"/>
              <w:bottom w:val="single" w:sz="8" w:space="0" w:color="E1E1E3" w:themeColor="accent3" w:themeTint="33"/>
              <w:right w:val="single" w:sz="8" w:space="0" w:color="E1E1E3" w:themeColor="accent3" w:themeTint="33"/>
            </w:tcBorders>
            <w:vAlign w:val="center"/>
            <w:hideMark/>
          </w:tcPr>
          <w:p w14:paraId="76ECB9AA" w14:textId="77777777" w:rsidR="00CB39D1" w:rsidRPr="00CB39D1" w:rsidRDefault="00CB39D1" w:rsidP="00CB39D1">
            <w:pPr>
              <w:spacing w:before="0" w:after="0" w:line="240" w:lineRule="auto"/>
              <w:jc w:val="center"/>
              <w:rPr>
                <w:i/>
                <w:color w:val="A5A6AC" w:themeColor="accent3" w:themeTint="99"/>
                <w:sz w:val="18"/>
                <w:szCs w:val="18"/>
              </w:rPr>
            </w:pPr>
            <w:r w:rsidRPr="00CB39D1">
              <w:rPr>
                <w:i/>
                <w:color w:val="A5A6AC" w:themeColor="accent3" w:themeTint="99"/>
                <w:sz w:val="18"/>
                <w:szCs w:val="18"/>
              </w:rPr>
              <w:t>5.0%</w:t>
            </w:r>
          </w:p>
        </w:tc>
        <w:tc>
          <w:tcPr>
            <w:tcW w:w="722" w:type="dxa"/>
            <w:tcBorders>
              <w:top w:val="single" w:sz="8" w:space="0" w:color="E1E1E3" w:themeColor="accent3" w:themeTint="33"/>
              <w:left w:val="single" w:sz="8" w:space="0" w:color="E1E1E3" w:themeColor="accent3" w:themeTint="33"/>
              <w:bottom w:val="single" w:sz="8" w:space="0" w:color="E1E1E3" w:themeColor="accent3" w:themeTint="33"/>
              <w:right w:val="single" w:sz="8" w:space="0" w:color="E1E1E3" w:themeColor="accent3" w:themeTint="33"/>
            </w:tcBorders>
            <w:noWrap/>
            <w:vAlign w:val="center"/>
            <w:hideMark/>
          </w:tcPr>
          <w:p w14:paraId="729BA405" w14:textId="77777777" w:rsidR="00CB39D1" w:rsidRPr="00CB39D1" w:rsidRDefault="00CB39D1" w:rsidP="00CB39D1">
            <w:pPr>
              <w:spacing w:before="0" w:after="0" w:line="240" w:lineRule="auto"/>
              <w:jc w:val="center"/>
              <w:rPr>
                <w:i/>
                <w:color w:val="A5A6AC" w:themeColor="accent3" w:themeTint="99"/>
                <w:sz w:val="18"/>
                <w:szCs w:val="18"/>
              </w:rPr>
            </w:pPr>
            <w:r w:rsidRPr="00CB39D1">
              <w:rPr>
                <w:i/>
                <w:color w:val="A5A6AC" w:themeColor="accent3" w:themeTint="99"/>
                <w:sz w:val="18"/>
                <w:szCs w:val="18"/>
              </w:rPr>
              <w:t>5.3%</w:t>
            </w:r>
          </w:p>
        </w:tc>
        <w:tc>
          <w:tcPr>
            <w:tcW w:w="851" w:type="dxa"/>
            <w:tcBorders>
              <w:top w:val="single" w:sz="8" w:space="0" w:color="E1E1E3" w:themeColor="accent3" w:themeTint="33"/>
              <w:left w:val="single" w:sz="8" w:space="0" w:color="E1E1E3" w:themeColor="accent3" w:themeTint="33"/>
              <w:bottom w:val="single" w:sz="8" w:space="0" w:color="E1E1E3" w:themeColor="accent3" w:themeTint="33"/>
              <w:right w:val="single" w:sz="8" w:space="0" w:color="E1E1E3" w:themeColor="accent3" w:themeTint="33"/>
            </w:tcBorders>
            <w:noWrap/>
            <w:vAlign w:val="center"/>
            <w:hideMark/>
          </w:tcPr>
          <w:p w14:paraId="57F037FF" w14:textId="77777777" w:rsidR="00CB39D1" w:rsidRPr="00CB39D1" w:rsidRDefault="00CB39D1" w:rsidP="00CB39D1">
            <w:pPr>
              <w:spacing w:before="0" w:after="0" w:line="240" w:lineRule="auto"/>
              <w:jc w:val="center"/>
              <w:rPr>
                <w:i/>
                <w:color w:val="A5A6AC" w:themeColor="accent3" w:themeTint="99"/>
                <w:sz w:val="18"/>
                <w:szCs w:val="18"/>
              </w:rPr>
            </w:pPr>
          </w:p>
        </w:tc>
        <w:tc>
          <w:tcPr>
            <w:tcW w:w="992" w:type="dxa"/>
            <w:tcBorders>
              <w:top w:val="single" w:sz="8" w:space="0" w:color="E1E1E3" w:themeColor="accent3" w:themeTint="33"/>
              <w:left w:val="single" w:sz="8" w:space="0" w:color="E1E1E3" w:themeColor="accent3" w:themeTint="33"/>
              <w:bottom w:val="single" w:sz="8" w:space="0" w:color="E1E1E3" w:themeColor="accent3" w:themeTint="33"/>
              <w:right w:val="single" w:sz="8" w:space="0" w:color="E1E1E3" w:themeColor="accent3" w:themeTint="33"/>
            </w:tcBorders>
            <w:noWrap/>
            <w:vAlign w:val="center"/>
            <w:hideMark/>
          </w:tcPr>
          <w:p w14:paraId="35A105EF" w14:textId="77777777" w:rsidR="00CB39D1" w:rsidRPr="00CB39D1" w:rsidRDefault="00CB39D1" w:rsidP="00CB39D1">
            <w:pPr>
              <w:spacing w:before="0" w:after="0" w:line="240" w:lineRule="auto"/>
              <w:jc w:val="center"/>
              <w:rPr>
                <w:i/>
                <w:color w:val="A5A6AC" w:themeColor="accent3" w:themeTint="99"/>
                <w:sz w:val="18"/>
                <w:szCs w:val="18"/>
              </w:rPr>
            </w:pPr>
          </w:p>
        </w:tc>
        <w:tc>
          <w:tcPr>
            <w:tcW w:w="992" w:type="dxa"/>
            <w:tcBorders>
              <w:top w:val="single" w:sz="8" w:space="0" w:color="E1E1E3" w:themeColor="accent3" w:themeTint="33"/>
              <w:left w:val="single" w:sz="8" w:space="0" w:color="E1E1E3" w:themeColor="accent3" w:themeTint="33"/>
              <w:bottom w:val="single" w:sz="8" w:space="0" w:color="E1E1E3" w:themeColor="accent3" w:themeTint="33"/>
              <w:right w:val="single" w:sz="8" w:space="0" w:color="E1E1E3" w:themeColor="accent3" w:themeTint="33"/>
            </w:tcBorders>
            <w:vAlign w:val="center"/>
            <w:hideMark/>
          </w:tcPr>
          <w:p w14:paraId="7D6D628F" w14:textId="77777777" w:rsidR="00CB39D1" w:rsidRPr="00CB39D1" w:rsidRDefault="00CB39D1" w:rsidP="00CB39D1">
            <w:pPr>
              <w:spacing w:before="0" w:after="0" w:line="240" w:lineRule="auto"/>
              <w:jc w:val="center"/>
              <w:rPr>
                <w:i/>
                <w:color w:val="A5A6AC" w:themeColor="accent3" w:themeTint="99"/>
                <w:sz w:val="18"/>
                <w:szCs w:val="18"/>
              </w:rPr>
            </w:pPr>
          </w:p>
        </w:tc>
        <w:tc>
          <w:tcPr>
            <w:tcW w:w="982" w:type="dxa"/>
            <w:tcBorders>
              <w:top w:val="single" w:sz="8" w:space="0" w:color="E1E1E3" w:themeColor="accent3" w:themeTint="33"/>
              <w:left w:val="single" w:sz="8" w:space="0" w:color="E1E1E3" w:themeColor="accent3" w:themeTint="33"/>
              <w:bottom w:val="single" w:sz="8" w:space="0" w:color="E1E1E3" w:themeColor="accent3" w:themeTint="33"/>
            </w:tcBorders>
          </w:tcPr>
          <w:p w14:paraId="686B05C0" w14:textId="77777777" w:rsidR="00CB39D1" w:rsidRPr="00CB39D1" w:rsidRDefault="00CB39D1" w:rsidP="00CB39D1">
            <w:pPr>
              <w:spacing w:before="0" w:after="0" w:line="240" w:lineRule="auto"/>
              <w:jc w:val="center"/>
              <w:rPr>
                <w:i/>
                <w:color w:val="A5A6AC" w:themeColor="accent3" w:themeTint="99"/>
                <w:sz w:val="18"/>
                <w:szCs w:val="18"/>
              </w:rPr>
            </w:pPr>
          </w:p>
        </w:tc>
      </w:tr>
      <w:tr w:rsidR="00CB39D1" w:rsidRPr="00CB39D1" w14:paraId="55046DB3" w14:textId="77777777" w:rsidTr="008D4E1E">
        <w:trPr>
          <w:trHeight w:val="360"/>
        </w:trPr>
        <w:tc>
          <w:tcPr>
            <w:tcW w:w="1263" w:type="dxa"/>
            <w:vMerge w:val="restart"/>
            <w:vAlign w:val="center"/>
            <w:hideMark/>
          </w:tcPr>
          <w:p w14:paraId="663161DD" w14:textId="77777777" w:rsidR="00CB39D1" w:rsidRPr="00CB39D1" w:rsidRDefault="00CB39D1" w:rsidP="00CB39D1">
            <w:pPr>
              <w:spacing w:before="0" w:after="0" w:line="240" w:lineRule="auto"/>
              <w:jc w:val="center"/>
              <w:rPr>
                <w:sz w:val="18"/>
                <w:szCs w:val="18"/>
              </w:rPr>
            </w:pPr>
            <w:r w:rsidRPr="00CB39D1">
              <w:rPr>
                <w:sz w:val="18"/>
                <w:szCs w:val="18"/>
              </w:rPr>
              <w:t>2022</w:t>
            </w:r>
          </w:p>
        </w:tc>
        <w:tc>
          <w:tcPr>
            <w:tcW w:w="2835" w:type="dxa"/>
            <w:noWrap/>
            <w:vAlign w:val="center"/>
            <w:hideMark/>
          </w:tcPr>
          <w:p w14:paraId="0F843FEB" w14:textId="77777777" w:rsidR="00CB39D1" w:rsidRPr="00CB39D1" w:rsidRDefault="00CB39D1" w:rsidP="00CB39D1">
            <w:pPr>
              <w:spacing w:before="0" w:after="0" w:line="240" w:lineRule="auto"/>
              <w:rPr>
                <w:sz w:val="18"/>
                <w:szCs w:val="18"/>
              </w:rPr>
            </w:pPr>
            <w:r w:rsidRPr="00CB39D1">
              <w:rPr>
                <w:sz w:val="18"/>
                <w:szCs w:val="18"/>
              </w:rPr>
              <w:t>ՄԺԾԾ 2023-2025</w:t>
            </w:r>
          </w:p>
        </w:tc>
        <w:tc>
          <w:tcPr>
            <w:tcW w:w="992" w:type="dxa"/>
            <w:vAlign w:val="center"/>
            <w:hideMark/>
          </w:tcPr>
          <w:p w14:paraId="5F94CBAC" w14:textId="77777777" w:rsidR="00CB39D1" w:rsidRPr="00CB39D1" w:rsidRDefault="00CB39D1" w:rsidP="00CB39D1">
            <w:pPr>
              <w:spacing w:before="0" w:after="0" w:line="240" w:lineRule="auto"/>
              <w:jc w:val="center"/>
              <w:rPr>
                <w:sz w:val="18"/>
                <w:szCs w:val="18"/>
              </w:rPr>
            </w:pPr>
            <w:r w:rsidRPr="00CB39D1">
              <w:rPr>
                <w:sz w:val="18"/>
                <w:szCs w:val="18"/>
              </w:rPr>
              <w:t>515.3</w:t>
            </w:r>
          </w:p>
        </w:tc>
        <w:tc>
          <w:tcPr>
            <w:tcW w:w="722" w:type="dxa"/>
            <w:vAlign w:val="center"/>
            <w:hideMark/>
          </w:tcPr>
          <w:p w14:paraId="6A567341" w14:textId="77777777" w:rsidR="00CB39D1" w:rsidRPr="00CB39D1" w:rsidRDefault="00CB39D1" w:rsidP="00CB39D1">
            <w:pPr>
              <w:spacing w:before="0" w:after="0" w:line="240" w:lineRule="auto"/>
              <w:jc w:val="center"/>
              <w:rPr>
                <w:sz w:val="18"/>
                <w:szCs w:val="18"/>
              </w:rPr>
            </w:pPr>
            <w:r w:rsidRPr="00CB39D1">
              <w:rPr>
                <w:sz w:val="18"/>
                <w:szCs w:val="18"/>
              </w:rPr>
              <w:t>589.7</w:t>
            </w:r>
          </w:p>
        </w:tc>
        <w:tc>
          <w:tcPr>
            <w:tcW w:w="851" w:type="dxa"/>
            <w:vAlign w:val="center"/>
            <w:hideMark/>
          </w:tcPr>
          <w:p w14:paraId="1190626D" w14:textId="77777777" w:rsidR="00CB39D1" w:rsidRPr="00CB39D1" w:rsidRDefault="00CB39D1" w:rsidP="00CB39D1">
            <w:pPr>
              <w:spacing w:before="0" w:after="0" w:line="240" w:lineRule="auto"/>
              <w:jc w:val="center"/>
              <w:rPr>
                <w:sz w:val="18"/>
                <w:szCs w:val="18"/>
              </w:rPr>
            </w:pPr>
            <w:r w:rsidRPr="00CB39D1">
              <w:rPr>
                <w:sz w:val="18"/>
                <w:szCs w:val="18"/>
              </w:rPr>
              <w:t>710.8</w:t>
            </w:r>
          </w:p>
        </w:tc>
        <w:tc>
          <w:tcPr>
            <w:tcW w:w="992" w:type="dxa"/>
            <w:noWrap/>
            <w:vAlign w:val="center"/>
            <w:hideMark/>
          </w:tcPr>
          <w:p w14:paraId="6B1CB2F5" w14:textId="77777777" w:rsidR="00CB39D1" w:rsidRPr="00CB39D1" w:rsidRDefault="00CB39D1" w:rsidP="00CB39D1">
            <w:pPr>
              <w:spacing w:before="0" w:after="0" w:line="240" w:lineRule="auto"/>
              <w:jc w:val="center"/>
              <w:rPr>
                <w:sz w:val="18"/>
                <w:szCs w:val="18"/>
              </w:rPr>
            </w:pPr>
          </w:p>
        </w:tc>
        <w:tc>
          <w:tcPr>
            <w:tcW w:w="992" w:type="dxa"/>
            <w:vAlign w:val="center"/>
            <w:hideMark/>
          </w:tcPr>
          <w:p w14:paraId="470A4628" w14:textId="77777777" w:rsidR="00CB39D1" w:rsidRPr="00CB39D1" w:rsidRDefault="00CB39D1" w:rsidP="00CB39D1">
            <w:pPr>
              <w:spacing w:before="0" w:after="0" w:line="240" w:lineRule="auto"/>
              <w:jc w:val="center"/>
              <w:rPr>
                <w:sz w:val="18"/>
                <w:szCs w:val="18"/>
              </w:rPr>
            </w:pPr>
          </w:p>
        </w:tc>
        <w:tc>
          <w:tcPr>
            <w:tcW w:w="982" w:type="dxa"/>
          </w:tcPr>
          <w:p w14:paraId="70324EC2" w14:textId="77777777" w:rsidR="00CB39D1" w:rsidRPr="00CB39D1" w:rsidRDefault="00CB39D1" w:rsidP="00CB39D1">
            <w:pPr>
              <w:spacing w:before="0" w:after="0" w:line="240" w:lineRule="auto"/>
              <w:jc w:val="center"/>
              <w:rPr>
                <w:sz w:val="18"/>
                <w:szCs w:val="18"/>
              </w:rPr>
            </w:pPr>
          </w:p>
        </w:tc>
      </w:tr>
      <w:tr w:rsidR="00CB39D1" w:rsidRPr="00CB39D1" w14:paraId="22A71116" w14:textId="77777777" w:rsidTr="008D4E1E">
        <w:trPr>
          <w:trHeight w:val="360"/>
        </w:trPr>
        <w:tc>
          <w:tcPr>
            <w:tcW w:w="1263" w:type="dxa"/>
            <w:vMerge/>
            <w:vAlign w:val="center"/>
            <w:hideMark/>
          </w:tcPr>
          <w:p w14:paraId="25F1445F" w14:textId="77777777" w:rsidR="00CB39D1" w:rsidRPr="00CB39D1" w:rsidRDefault="00CB39D1" w:rsidP="00CB39D1">
            <w:pPr>
              <w:spacing w:before="0" w:after="0" w:line="240" w:lineRule="auto"/>
              <w:jc w:val="center"/>
              <w:rPr>
                <w:sz w:val="18"/>
                <w:szCs w:val="18"/>
                <w:lang w:val="ru-RU" w:eastAsia="ru-RU"/>
              </w:rPr>
            </w:pPr>
          </w:p>
        </w:tc>
        <w:tc>
          <w:tcPr>
            <w:tcW w:w="2835" w:type="dxa"/>
            <w:vAlign w:val="center"/>
            <w:hideMark/>
          </w:tcPr>
          <w:p w14:paraId="33D8A9E8" w14:textId="77777777" w:rsidR="00CB39D1" w:rsidRPr="00CB39D1" w:rsidRDefault="00CB39D1" w:rsidP="00CB39D1">
            <w:pPr>
              <w:spacing w:before="0" w:after="0" w:line="240" w:lineRule="auto"/>
              <w:rPr>
                <w:i/>
                <w:color w:val="A5A6AC" w:themeColor="accent3" w:themeTint="99"/>
                <w:sz w:val="18"/>
                <w:szCs w:val="18"/>
              </w:rPr>
            </w:pPr>
            <w:r w:rsidRPr="00CB39D1">
              <w:rPr>
                <w:i/>
                <w:color w:val="A5A6AC" w:themeColor="accent3" w:themeTint="99"/>
                <w:sz w:val="18"/>
                <w:szCs w:val="18"/>
              </w:rPr>
              <w:t>%-ով՝ ՀՆԱ-ի նկատմամբ</w:t>
            </w:r>
          </w:p>
        </w:tc>
        <w:tc>
          <w:tcPr>
            <w:tcW w:w="992" w:type="dxa"/>
            <w:vAlign w:val="center"/>
            <w:hideMark/>
          </w:tcPr>
          <w:p w14:paraId="19FB085E" w14:textId="77777777" w:rsidR="00CB39D1" w:rsidRPr="00CB39D1" w:rsidRDefault="00CB39D1" w:rsidP="00CB39D1">
            <w:pPr>
              <w:spacing w:before="0" w:after="0" w:line="240" w:lineRule="auto"/>
              <w:jc w:val="center"/>
              <w:rPr>
                <w:i/>
                <w:color w:val="A5A6AC" w:themeColor="accent3" w:themeTint="99"/>
                <w:sz w:val="18"/>
                <w:szCs w:val="18"/>
              </w:rPr>
            </w:pPr>
            <w:r w:rsidRPr="00CB39D1">
              <w:rPr>
                <w:i/>
                <w:color w:val="A5A6AC" w:themeColor="accent3" w:themeTint="99"/>
                <w:sz w:val="18"/>
                <w:szCs w:val="18"/>
              </w:rPr>
              <w:t>5.70%</w:t>
            </w:r>
          </w:p>
        </w:tc>
        <w:tc>
          <w:tcPr>
            <w:tcW w:w="722" w:type="dxa"/>
            <w:vAlign w:val="center"/>
            <w:hideMark/>
          </w:tcPr>
          <w:p w14:paraId="4E7CC4E1" w14:textId="77777777" w:rsidR="00CB39D1" w:rsidRPr="00CB39D1" w:rsidRDefault="00CB39D1" w:rsidP="00CB39D1">
            <w:pPr>
              <w:spacing w:before="0" w:after="0" w:line="240" w:lineRule="auto"/>
              <w:jc w:val="center"/>
              <w:rPr>
                <w:i/>
                <w:color w:val="A5A6AC" w:themeColor="accent3" w:themeTint="99"/>
                <w:sz w:val="18"/>
                <w:szCs w:val="18"/>
              </w:rPr>
            </w:pPr>
            <w:r w:rsidRPr="00CB39D1">
              <w:rPr>
                <w:i/>
                <w:color w:val="A5A6AC" w:themeColor="accent3" w:themeTint="99"/>
                <w:sz w:val="18"/>
                <w:szCs w:val="18"/>
              </w:rPr>
              <w:t>5.80%</w:t>
            </w:r>
          </w:p>
        </w:tc>
        <w:tc>
          <w:tcPr>
            <w:tcW w:w="851" w:type="dxa"/>
            <w:vAlign w:val="center"/>
            <w:hideMark/>
          </w:tcPr>
          <w:p w14:paraId="2399D790" w14:textId="77777777" w:rsidR="00CB39D1" w:rsidRPr="00CB39D1" w:rsidRDefault="00CB39D1" w:rsidP="00CB39D1">
            <w:pPr>
              <w:spacing w:before="0" w:after="0" w:line="240" w:lineRule="auto"/>
              <w:jc w:val="center"/>
              <w:rPr>
                <w:i/>
                <w:color w:val="A5A6AC" w:themeColor="accent3" w:themeTint="99"/>
                <w:sz w:val="18"/>
                <w:szCs w:val="18"/>
              </w:rPr>
            </w:pPr>
            <w:r w:rsidRPr="00CB39D1">
              <w:rPr>
                <w:i/>
                <w:color w:val="A5A6AC" w:themeColor="accent3" w:themeTint="99"/>
                <w:sz w:val="18"/>
                <w:szCs w:val="18"/>
              </w:rPr>
              <w:t>6.30%</w:t>
            </w:r>
          </w:p>
        </w:tc>
        <w:tc>
          <w:tcPr>
            <w:tcW w:w="992" w:type="dxa"/>
            <w:noWrap/>
            <w:vAlign w:val="center"/>
            <w:hideMark/>
          </w:tcPr>
          <w:p w14:paraId="5FEF7166" w14:textId="77777777" w:rsidR="00CB39D1" w:rsidRPr="00CB39D1" w:rsidRDefault="00CB39D1" w:rsidP="00CB39D1">
            <w:pPr>
              <w:spacing w:before="0" w:after="0" w:line="240" w:lineRule="auto"/>
              <w:jc w:val="center"/>
              <w:rPr>
                <w:i/>
                <w:color w:val="A5A6AC" w:themeColor="accent3" w:themeTint="99"/>
                <w:sz w:val="18"/>
                <w:szCs w:val="18"/>
              </w:rPr>
            </w:pPr>
          </w:p>
        </w:tc>
        <w:tc>
          <w:tcPr>
            <w:tcW w:w="992" w:type="dxa"/>
            <w:vAlign w:val="center"/>
            <w:hideMark/>
          </w:tcPr>
          <w:p w14:paraId="7FDE37D5" w14:textId="77777777" w:rsidR="00CB39D1" w:rsidRPr="00CB39D1" w:rsidRDefault="00CB39D1" w:rsidP="00CB39D1">
            <w:pPr>
              <w:spacing w:before="0" w:after="0" w:line="240" w:lineRule="auto"/>
              <w:jc w:val="center"/>
              <w:rPr>
                <w:i/>
                <w:color w:val="A5A6AC" w:themeColor="accent3" w:themeTint="99"/>
                <w:sz w:val="18"/>
                <w:szCs w:val="18"/>
              </w:rPr>
            </w:pPr>
          </w:p>
        </w:tc>
        <w:tc>
          <w:tcPr>
            <w:tcW w:w="982" w:type="dxa"/>
          </w:tcPr>
          <w:p w14:paraId="0B10E829" w14:textId="77777777" w:rsidR="00CB39D1" w:rsidRPr="00CB39D1" w:rsidRDefault="00CB39D1" w:rsidP="00CB39D1">
            <w:pPr>
              <w:spacing w:before="0" w:after="0" w:line="240" w:lineRule="auto"/>
              <w:jc w:val="center"/>
              <w:rPr>
                <w:i/>
                <w:color w:val="A5A6AC" w:themeColor="accent3" w:themeTint="99"/>
                <w:sz w:val="18"/>
                <w:szCs w:val="18"/>
              </w:rPr>
            </w:pPr>
          </w:p>
        </w:tc>
      </w:tr>
      <w:tr w:rsidR="00CB39D1" w:rsidRPr="00CB39D1" w14:paraId="0F345A3D" w14:textId="77777777" w:rsidTr="008D4E1E">
        <w:trPr>
          <w:trHeight w:val="360"/>
        </w:trPr>
        <w:tc>
          <w:tcPr>
            <w:tcW w:w="1263" w:type="dxa"/>
            <w:vMerge/>
            <w:vAlign w:val="center"/>
            <w:hideMark/>
          </w:tcPr>
          <w:p w14:paraId="7E474890" w14:textId="77777777" w:rsidR="00CB39D1" w:rsidRPr="00CB39D1" w:rsidRDefault="00CB39D1" w:rsidP="00CB39D1">
            <w:pPr>
              <w:spacing w:before="0" w:after="0" w:line="240" w:lineRule="auto"/>
              <w:jc w:val="center"/>
              <w:rPr>
                <w:sz w:val="18"/>
                <w:szCs w:val="18"/>
                <w:lang w:val="ru-RU" w:eastAsia="ru-RU"/>
              </w:rPr>
            </w:pPr>
          </w:p>
        </w:tc>
        <w:tc>
          <w:tcPr>
            <w:tcW w:w="2835" w:type="dxa"/>
            <w:noWrap/>
            <w:vAlign w:val="center"/>
            <w:hideMark/>
          </w:tcPr>
          <w:p w14:paraId="0FB7B8C6" w14:textId="77777777" w:rsidR="00CB39D1" w:rsidRPr="00CB39D1" w:rsidRDefault="00CB39D1" w:rsidP="00CB39D1">
            <w:pPr>
              <w:spacing w:before="0" w:after="0" w:line="240" w:lineRule="auto"/>
              <w:rPr>
                <w:sz w:val="18"/>
                <w:szCs w:val="18"/>
              </w:rPr>
            </w:pPr>
            <w:r w:rsidRPr="00CB39D1">
              <w:rPr>
                <w:sz w:val="18"/>
                <w:szCs w:val="18"/>
              </w:rPr>
              <w:t>2023թ. Պետական բյուջե</w:t>
            </w:r>
          </w:p>
        </w:tc>
        <w:tc>
          <w:tcPr>
            <w:tcW w:w="992" w:type="dxa"/>
            <w:vAlign w:val="center"/>
            <w:hideMark/>
          </w:tcPr>
          <w:p w14:paraId="16382C2B" w14:textId="77777777" w:rsidR="00CB39D1" w:rsidRPr="00CB39D1" w:rsidRDefault="00CB39D1" w:rsidP="00CB39D1">
            <w:pPr>
              <w:spacing w:before="0" w:after="0" w:line="240" w:lineRule="auto"/>
              <w:jc w:val="center"/>
              <w:rPr>
                <w:sz w:val="18"/>
                <w:szCs w:val="18"/>
              </w:rPr>
            </w:pPr>
            <w:r w:rsidRPr="00CB39D1">
              <w:rPr>
                <w:sz w:val="18"/>
                <w:szCs w:val="18"/>
              </w:rPr>
              <w:t>547.7</w:t>
            </w:r>
          </w:p>
        </w:tc>
        <w:tc>
          <w:tcPr>
            <w:tcW w:w="722" w:type="dxa"/>
            <w:vAlign w:val="center"/>
            <w:hideMark/>
          </w:tcPr>
          <w:p w14:paraId="040335DB" w14:textId="77777777" w:rsidR="00CB39D1" w:rsidRPr="00CB39D1" w:rsidRDefault="00CB39D1" w:rsidP="00CB39D1">
            <w:pPr>
              <w:spacing w:before="0" w:after="0" w:line="240" w:lineRule="auto"/>
              <w:jc w:val="center"/>
              <w:rPr>
                <w:sz w:val="18"/>
                <w:szCs w:val="18"/>
              </w:rPr>
            </w:pPr>
          </w:p>
        </w:tc>
        <w:tc>
          <w:tcPr>
            <w:tcW w:w="851" w:type="dxa"/>
            <w:vAlign w:val="center"/>
            <w:hideMark/>
          </w:tcPr>
          <w:p w14:paraId="0A35C9EF" w14:textId="77777777" w:rsidR="00CB39D1" w:rsidRPr="00CB39D1" w:rsidRDefault="00CB39D1" w:rsidP="00CB39D1">
            <w:pPr>
              <w:spacing w:before="0" w:after="0" w:line="240" w:lineRule="auto"/>
              <w:jc w:val="center"/>
              <w:rPr>
                <w:sz w:val="18"/>
                <w:szCs w:val="18"/>
              </w:rPr>
            </w:pPr>
          </w:p>
        </w:tc>
        <w:tc>
          <w:tcPr>
            <w:tcW w:w="992" w:type="dxa"/>
            <w:noWrap/>
            <w:vAlign w:val="center"/>
            <w:hideMark/>
          </w:tcPr>
          <w:p w14:paraId="4C909237" w14:textId="77777777" w:rsidR="00CB39D1" w:rsidRPr="00CB39D1" w:rsidRDefault="00CB39D1" w:rsidP="00CB39D1">
            <w:pPr>
              <w:spacing w:before="0" w:after="0" w:line="240" w:lineRule="auto"/>
              <w:jc w:val="center"/>
              <w:rPr>
                <w:sz w:val="18"/>
                <w:szCs w:val="18"/>
              </w:rPr>
            </w:pPr>
          </w:p>
        </w:tc>
        <w:tc>
          <w:tcPr>
            <w:tcW w:w="992" w:type="dxa"/>
            <w:vAlign w:val="center"/>
            <w:hideMark/>
          </w:tcPr>
          <w:p w14:paraId="61463141" w14:textId="77777777" w:rsidR="00CB39D1" w:rsidRPr="00CB39D1" w:rsidRDefault="00CB39D1" w:rsidP="00CB39D1">
            <w:pPr>
              <w:spacing w:before="0" w:after="0" w:line="240" w:lineRule="auto"/>
              <w:jc w:val="center"/>
              <w:rPr>
                <w:sz w:val="18"/>
                <w:szCs w:val="18"/>
              </w:rPr>
            </w:pPr>
          </w:p>
        </w:tc>
        <w:tc>
          <w:tcPr>
            <w:tcW w:w="982" w:type="dxa"/>
          </w:tcPr>
          <w:p w14:paraId="5CDC6C51" w14:textId="77777777" w:rsidR="00CB39D1" w:rsidRPr="00CB39D1" w:rsidRDefault="00CB39D1" w:rsidP="00CB39D1">
            <w:pPr>
              <w:spacing w:before="0" w:after="0" w:line="240" w:lineRule="auto"/>
              <w:jc w:val="center"/>
              <w:rPr>
                <w:sz w:val="18"/>
                <w:szCs w:val="18"/>
              </w:rPr>
            </w:pPr>
          </w:p>
        </w:tc>
      </w:tr>
      <w:tr w:rsidR="00CB39D1" w:rsidRPr="00CB39D1" w14:paraId="51F2F36E" w14:textId="77777777" w:rsidTr="008D4E1E">
        <w:trPr>
          <w:trHeight w:val="360"/>
        </w:trPr>
        <w:tc>
          <w:tcPr>
            <w:tcW w:w="1263" w:type="dxa"/>
            <w:vMerge/>
            <w:vAlign w:val="center"/>
            <w:hideMark/>
          </w:tcPr>
          <w:p w14:paraId="66767E78" w14:textId="77777777" w:rsidR="00CB39D1" w:rsidRPr="00CB39D1" w:rsidRDefault="00CB39D1" w:rsidP="00CB39D1">
            <w:pPr>
              <w:spacing w:before="0" w:after="0" w:line="240" w:lineRule="auto"/>
              <w:jc w:val="center"/>
              <w:rPr>
                <w:sz w:val="18"/>
                <w:szCs w:val="18"/>
                <w:lang w:val="ru-RU" w:eastAsia="ru-RU"/>
              </w:rPr>
            </w:pPr>
          </w:p>
        </w:tc>
        <w:tc>
          <w:tcPr>
            <w:tcW w:w="2835" w:type="dxa"/>
            <w:vAlign w:val="center"/>
            <w:hideMark/>
          </w:tcPr>
          <w:p w14:paraId="6ADEB727" w14:textId="77777777" w:rsidR="00CB39D1" w:rsidRPr="00CB39D1" w:rsidRDefault="00CB39D1" w:rsidP="00CB39D1">
            <w:pPr>
              <w:spacing w:before="0" w:after="0" w:line="240" w:lineRule="auto"/>
              <w:rPr>
                <w:i/>
                <w:color w:val="A5A6AC" w:themeColor="accent3" w:themeTint="99"/>
                <w:sz w:val="18"/>
                <w:szCs w:val="18"/>
              </w:rPr>
            </w:pPr>
            <w:r w:rsidRPr="00CB39D1">
              <w:rPr>
                <w:i/>
                <w:color w:val="A5A6AC" w:themeColor="accent3" w:themeTint="99"/>
                <w:sz w:val="18"/>
                <w:szCs w:val="18"/>
              </w:rPr>
              <w:t>%-ով՝ ՀՆԱ-ի նկատմամբ</w:t>
            </w:r>
          </w:p>
        </w:tc>
        <w:tc>
          <w:tcPr>
            <w:tcW w:w="992" w:type="dxa"/>
            <w:vAlign w:val="center"/>
            <w:hideMark/>
          </w:tcPr>
          <w:p w14:paraId="7D255324" w14:textId="77777777" w:rsidR="00CB39D1" w:rsidRPr="00CB39D1" w:rsidRDefault="00CB39D1" w:rsidP="00CB39D1">
            <w:pPr>
              <w:spacing w:before="0" w:after="0" w:line="240" w:lineRule="auto"/>
              <w:jc w:val="center"/>
              <w:rPr>
                <w:i/>
                <w:color w:val="A5A6AC" w:themeColor="accent3" w:themeTint="99"/>
                <w:sz w:val="18"/>
                <w:szCs w:val="18"/>
              </w:rPr>
            </w:pPr>
            <w:r w:rsidRPr="00CB39D1">
              <w:rPr>
                <w:i/>
                <w:color w:val="A5A6AC" w:themeColor="accent3" w:themeTint="99"/>
                <w:sz w:val="18"/>
                <w:szCs w:val="18"/>
              </w:rPr>
              <w:t>5.88%</w:t>
            </w:r>
          </w:p>
        </w:tc>
        <w:tc>
          <w:tcPr>
            <w:tcW w:w="722" w:type="dxa"/>
            <w:vAlign w:val="center"/>
            <w:hideMark/>
          </w:tcPr>
          <w:p w14:paraId="1BF39593" w14:textId="77777777" w:rsidR="00CB39D1" w:rsidRPr="00CB39D1" w:rsidRDefault="00CB39D1" w:rsidP="00CB39D1">
            <w:pPr>
              <w:spacing w:before="0" w:after="0" w:line="240" w:lineRule="auto"/>
              <w:jc w:val="center"/>
              <w:rPr>
                <w:i/>
                <w:color w:val="A5A6AC" w:themeColor="accent3" w:themeTint="99"/>
                <w:sz w:val="18"/>
                <w:szCs w:val="18"/>
              </w:rPr>
            </w:pPr>
          </w:p>
        </w:tc>
        <w:tc>
          <w:tcPr>
            <w:tcW w:w="851" w:type="dxa"/>
            <w:vAlign w:val="center"/>
            <w:hideMark/>
          </w:tcPr>
          <w:p w14:paraId="6ABDE7DD" w14:textId="77777777" w:rsidR="00CB39D1" w:rsidRPr="00CB39D1" w:rsidRDefault="00CB39D1" w:rsidP="00CB39D1">
            <w:pPr>
              <w:spacing w:before="0" w:after="0" w:line="240" w:lineRule="auto"/>
              <w:jc w:val="center"/>
              <w:rPr>
                <w:i/>
                <w:color w:val="A5A6AC" w:themeColor="accent3" w:themeTint="99"/>
                <w:sz w:val="18"/>
                <w:szCs w:val="18"/>
              </w:rPr>
            </w:pPr>
          </w:p>
        </w:tc>
        <w:tc>
          <w:tcPr>
            <w:tcW w:w="992" w:type="dxa"/>
            <w:vAlign w:val="center"/>
            <w:hideMark/>
          </w:tcPr>
          <w:p w14:paraId="127503B9" w14:textId="77777777" w:rsidR="00CB39D1" w:rsidRPr="00CB39D1" w:rsidRDefault="00CB39D1" w:rsidP="00CB39D1">
            <w:pPr>
              <w:spacing w:before="0" w:after="0" w:line="240" w:lineRule="auto"/>
              <w:jc w:val="center"/>
              <w:rPr>
                <w:i/>
                <w:color w:val="A5A6AC" w:themeColor="accent3" w:themeTint="99"/>
                <w:sz w:val="18"/>
                <w:szCs w:val="18"/>
              </w:rPr>
            </w:pPr>
          </w:p>
        </w:tc>
        <w:tc>
          <w:tcPr>
            <w:tcW w:w="992" w:type="dxa"/>
            <w:vAlign w:val="center"/>
            <w:hideMark/>
          </w:tcPr>
          <w:p w14:paraId="2E1C7C0B" w14:textId="77777777" w:rsidR="00CB39D1" w:rsidRPr="00CB39D1" w:rsidRDefault="00CB39D1" w:rsidP="00CB39D1">
            <w:pPr>
              <w:spacing w:before="0" w:after="0" w:line="240" w:lineRule="auto"/>
              <w:jc w:val="center"/>
              <w:rPr>
                <w:i/>
                <w:color w:val="A5A6AC" w:themeColor="accent3" w:themeTint="99"/>
                <w:sz w:val="18"/>
                <w:szCs w:val="18"/>
              </w:rPr>
            </w:pPr>
          </w:p>
        </w:tc>
        <w:tc>
          <w:tcPr>
            <w:tcW w:w="982" w:type="dxa"/>
          </w:tcPr>
          <w:p w14:paraId="15CF6F71" w14:textId="77777777" w:rsidR="00CB39D1" w:rsidRPr="00CB39D1" w:rsidRDefault="00CB39D1" w:rsidP="00CB39D1">
            <w:pPr>
              <w:spacing w:before="0" w:after="0" w:line="240" w:lineRule="auto"/>
              <w:jc w:val="center"/>
              <w:rPr>
                <w:i/>
                <w:color w:val="A5A6AC" w:themeColor="accent3" w:themeTint="99"/>
                <w:sz w:val="18"/>
                <w:szCs w:val="18"/>
              </w:rPr>
            </w:pPr>
          </w:p>
        </w:tc>
      </w:tr>
      <w:tr w:rsidR="00CB39D1" w:rsidRPr="00CB39D1" w14:paraId="439FC270" w14:textId="77777777" w:rsidTr="008D4E1E">
        <w:trPr>
          <w:trHeight w:val="360"/>
        </w:trPr>
        <w:tc>
          <w:tcPr>
            <w:tcW w:w="1263" w:type="dxa"/>
            <w:vMerge w:val="restart"/>
            <w:vAlign w:val="center"/>
            <w:hideMark/>
          </w:tcPr>
          <w:p w14:paraId="70719155" w14:textId="77777777" w:rsidR="00CB39D1" w:rsidRPr="00CB39D1" w:rsidRDefault="00CB39D1" w:rsidP="00CB39D1">
            <w:pPr>
              <w:spacing w:before="0" w:after="0" w:line="240" w:lineRule="auto"/>
              <w:jc w:val="center"/>
              <w:rPr>
                <w:sz w:val="18"/>
                <w:szCs w:val="18"/>
              </w:rPr>
            </w:pPr>
            <w:r w:rsidRPr="00CB39D1">
              <w:rPr>
                <w:sz w:val="18"/>
                <w:szCs w:val="18"/>
              </w:rPr>
              <w:t>2023</w:t>
            </w:r>
          </w:p>
        </w:tc>
        <w:tc>
          <w:tcPr>
            <w:tcW w:w="2835" w:type="dxa"/>
            <w:noWrap/>
            <w:vAlign w:val="center"/>
            <w:hideMark/>
          </w:tcPr>
          <w:p w14:paraId="4FE169EE" w14:textId="77777777" w:rsidR="00CB39D1" w:rsidRPr="00CB39D1" w:rsidRDefault="00CB39D1" w:rsidP="00CB39D1">
            <w:pPr>
              <w:spacing w:before="0" w:after="0" w:line="240" w:lineRule="auto"/>
              <w:rPr>
                <w:sz w:val="18"/>
                <w:szCs w:val="18"/>
              </w:rPr>
            </w:pPr>
            <w:r w:rsidRPr="00CB39D1">
              <w:rPr>
                <w:sz w:val="18"/>
                <w:szCs w:val="18"/>
              </w:rPr>
              <w:t>ՄԺԾԾ 2024-2026</w:t>
            </w:r>
          </w:p>
        </w:tc>
        <w:tc>
          <w:tcPr>
            <w:tcW w:w="992" w:type="dxa"/>
            <w:vAlign w:val="center"/>
            <w:hideMark/>
          </w:tcPr>
          <w:p w14:paraId="15A9B9A3" w14:textId="77777777" w:rsidR="00CB39D1" w:rsidRPr="00CB39D1" w:rsidRDefault="00CB39D1" w:rsidP="00CB39D1">
            <w:pPr>
              <w:spacing w:before="0" w:after="0" w:line="240" w:lineRule="auto"/>
              <w:jc w:val="center"/>
              <w:rPr>
                <w:sz w:val="18"/>
                <w:szCs w:val="18"/>
              </w:rPr>
            </w:pPr>
            <w:r w:rsidRPr="00CB39D1">
              <w:rPr>
                <w:sz w:val="18"/>
                <w:szCs w:val="18"/>
              </w:rPr>
              <w:t>564.3</w:t>
            </w:r>
          </w:p>
        </w:tc>
        <w:tc>
          <w:tcPr>
            <w:tcW w:w="722" w:type="dxa"/>
            <w:vAlign w:val="center"/>
            <w:hideMark/>
          </w:tcPr>
          <w:p w14:paraId="2B436474" w14:textId="77777777" w:rsidR="00CB39D1" w:rsidRPr="00CB39D1" w:rsidRDefault="00CB39D1" w:rsidP="00CB39D1">
            <w:pPr>
              <w:spacing w:before="0" w:after="0" w:line="240" w:lineRule="auto"/>
              <w:jc w:val="center"/>
              <w:rPr>
                <w:sz w:val="18"/>
                <w:szCs w:val="18"/>
              </w:rPr>
            </w:pPr>
            <w:r w:rsidRPr="00CB39D1">
              <w:rPr>
                <w:sz w:val="18"/>
                <w:szCs w:val="18"/>
              </w:rPr>
              <w:t>665.3</w:t>
            </w:r>
          </w:p>
        </w:tc>
        <w:tc>
          <w:tcPr>
            <w:tcW w:w="851" w:type="dxa"/>
            <w:vAlign w:val="center"/>
            <w:hideMark/>
          </w:tcPr>
          <w:p w14:paraId="53717F7F" w14:textId="77777777" w:rsidR="00CB39D1" w:rsidRPr="00CB39D1" w:rsidRDefault="00CB39D1" w:rsidP="00CB39D1">
            <w:pPr>
              <w:spacing w:before="0" w:after="0" w:line="240" w:lineRule="auto"/>
              <w:jc w:val="center"/>
              <w:rPr>
                <w:sz w:val="18"/>
                <w:szCs w:val="18"/>
              </w:rPr>
            </w:pPr>
            <w:r w:rsidRPr="00CB39D1">
              <w:rPr>
                <w:sz w:val="18"/>
                <w:szCs w:val="18"/>
              </w:rPr>
              <w:t>768.9</w:t>
            </w:r>
          </w:p>
        </w:tc>
        <w:tc>
          <w:tcPr>
            <w:tcW w:w="992" w:type="dxa"/>
            <w:vAlign w:val="center"/>
            <w:hideMark/>
          </w:tcPr>
          <w:p w14:paraId="4434FE4F" w14:textId="77777777" w:rsidR="00CB39D1" w:rsidRPr="00CB39D1" w:rsidRDefault="00CB39D1" w:rsidP="00CB39D1">
            <w:pPr>
              <w:spacing w:before="0" w:after="0" w:line="240" w:lineRule="auto"/>
              <w:jc w:val="center"/>
              <w:rPr>
                <w:sz w:val="18"/>
                <w:szCs w:val="18"/>
              </w:rPr>
            </w:pPr>
            <w:r w:rsidRPr="00CB39D1">
              <w:rPr>
                <w:sz w:val="18"/>
                <w:szCs w:val="18"/>
              </w:rPr>
              <w:t>862.9</w:t>
            </w:r>
          </w:p>
        </w:tc>
        <w:tc>
          <w:tcPr>
            <w:tcW w:w="992" w:type="dxa"/>
            <w:vAlign w:val="center"/>
            <w:hideMark/>
          </w:tcPr>
          <w:p w14:paraId="400CE801" w14:textId="77777777" w:rsidR="00CB39D1" w:rsidRPr="00CB39D1" w:rsidRDefault="00CB39D1" w:rsidP="00CB39D1">
            <w:pPr>
              <w:spacing w:before="0" w:after="0" w:line="240" w:lineRule="auto"/>
              <w:jc w:val="center"/>
              <w:rPr>
                <w:sz w:val="18"/>
                <w:szCs w:val="18"/>
              </w:rPr>
            </w:pPr>
          </w:p>
        </w:tc>
        <w:tc>
          <w:tcPr>
            <w:tcW w:w="982" w:type="dxa"/>
          </w:tcPr>
          <w:p w14:paraId="4A2D36E5" w14:textId="77777777" w:rsidR="00CB39D1" w:rsidRPr="00CB39D1" w:rsidRDefault="00CB39D1" w:rsidP="00CB39D1">
            <w:pPr>
              <w:spacing w:before="0" w:after="0" w:line="240" w:lineRule="auto"/>
              <w:jc w:val="center"/>
              <w:rPr>
                <w:sz w:val="18"/>
                <w:szCs w:val="18"/>
              </w:rPr>
            </w:pPr>
          </w:p>
        </w:tc>
      </w:tr>
      <w:tr w:rsidR="00CB39D1" w:rsidRPr="00CB39D1" w14:paraId="76EACB1D" w14:textId="77777777" w:rsidTr="008D4E1E">
        <w:trPr>
          <w:trHeight w:val="360"/>
        </w:trPr>
        <w:tc>
          <w:tcPr>
            <w:tcW w:w="1263" w:type="dxa"/>
            <w:vMerge/>
            <w:vAlign w:val="center"/>
            <w:hideMark/>
          </w:tcPr>
          <w:p w14:paraId="62F314F5" w14:textId="77777777" w:rsidR="00CB39D1" w:rsidRPr="00CB39D1" w:rsidRDefault="00CB39D1" w:rsidP="00CB39D1">
            <w:pPr>
              <w:spacing w:before="0" w:after="0" w:line="240" w:lineRule="auto"/>
              <w:jc w:val="center"/>
              <w:rPr>
                <w:sz w:val="18"/>
                <w:szCs w:val="18"/>
                <w:lang w:val="ru-RU" w:eastAsia="ru-RU"/>
              </w:rPr>
            </w:pPr>
          </w:p>
        </w:tc>
        <w:tc>
          <w:tcPr>
            <w:tcW w:w="2835" w:type="dxa"/>
            <w:vAlign w:val="center"/>
            <w:hideMark/>
          </w:tcPr>
          <w:p w14:paraId="2277E5C7" w14:textId="77777777" w:rsidR="00CB39D1" w:rsidRPr="00CB39D1" w:rsidRDefault="00CB39D1" w:rsidP="00CB39D1">
            <w:pPr>
              <w:spacing w:before="0" w:after="0" w:line="240" w:lineRule="auto"/>
              <w:rPr>
                <w:i/>
                <w:color w:val="A5A6AC" w:themeColor="accent3" w:themeTint="99"/>
                <w:sz w:val="18"/>
                <w:szCs w:val="18"/>
              </w:rPr>
            </w:pPr>
            <w:r w:rsidRPr="00CB39D1">
              <w:rPr>
                <w:i/>
                <w:color w:val="A5A6AC" w:themeColor="accent3" w:themeTint="99"/>
                <w:sz w:val="18"/>
                <w:szCs w:val="18"/>
              </w:rPr>
              <w:t>%-ով՝ ՀՆԱ-ի նկատմամբ</w:t>
            </w:r>
          </w:p>
        </w:tc>
        <w:tc>
          <w:tcPr>
            <w:tcW w:w="992" w:type="dxa"/>
            <w:vAlign w:val="center"/>
            <w:hideMark/>
          </w:tcPr>
          <w:p w14:paraId="6CB6D6E9" w14:textId="77777777" w:rsidR="00CB39D1" w:rsidRPr="00CB39D1" w:rsidRDefault="00CB39D1" w:rsidP="00CB39D1">
            <w:pPr>
              <w:spacing w:before="0" w:after="0" w:line="240" w:lineRule="auto"/>
              <w:jc w:val="center"/>
              <w:rPr>
                <w:i/>
                <w:color w:val="A5A6AC" w:themeColor="accent3" w:themeTint="99"/>
                <w:sz w:val="18"/>
                <w:szCs w:val="18"/>
              </w:rPr>
            </w:pPr>
            <w:r w:rsidRPr="00CB39D1">
              <w:rPr>
                <w:i/>
                <w:color w:val="A5A6AC" w:themeColor="accent3" w:themeTint="99"/>
                <w:sz w:val="18"/>
                <w:szCs w:val="18"/>
              </w:rPr>
              <w:t>5.9%</w:t>
            </w:r>
          </w:p>
        </w:tc>
        <w:tc>
          <w:tcPr>
            <w:tcW w:w="722" w:type="dxa"/>
            <w:vAlign w:val="center"/>
            <w:hideMark/>
          </w:tcPr>
          <w:p w14:paraId="3D5F9DC2" w14:textId="77777777" w:rsidR="00CB39D1" w:rsidRPr="00CB39D1" w:rsidRDefault="00CB39D1" w:rsidP="00CB39D1">
            <w:pPr>
              <w:spacing w:before="0" w:after="0" w:line="240" w:lineRule="auto"/>
              <w:jc w:val="center"/>
              <w:rPr>
                <w:i/>
                <w:color w:val="A5A6AC" w:themeColor="accent3" w:themeTint="99"/>
                <w:sz w:val="18"/>
                <w:szCs w:val="18"/>
              </w:rPr>
            </w:pPr>
            <w:r w:rsidRPr="00CB39D1">
              <w:rPr>
                <w:i/>
                <w:color w:val="A5A6AC" w:themeColor="accent3" w:themeTint="99"/>
                <w:sz w:val="18"/>
                <w:szCs w:val="18"/>
              </w:rPr>
              <w:t>6.3%</w:t>
            </w:r>
          </w:p>
        </w:tc>
        <w:tc>
          <w:tcPr>
            <w:tcW w:w="851" w:type="dxa"/>
            <w:vAlign w:val="center"/>
            <w:hideMark/>
          </w:tcPr>
          <w:p w14:paraId="1833F1B9" w14:textId="77777777" w:rsidR="00CB39D1" w:rsidRPr="00CB39D1" w:rsidRDefault="00CB39D1" w:rsidP="00CB39D1">
            <w:pPr>
              <w:spacing w:before="0" w:after="0" w:line="240" w:lineRule="auto"/>
              <w:jc w:val="center"/>
              <w:rPr>
                <w:i/>
                <w:color w:val="A5A6AC" w:themeColor="accent3" w:themeTint="99"/>
                <w:sz w:val="18"/>
                <w:szCs w:val="18"/>
              </w:rPr>
            </w:pPr>
            <w:r w:rsidRPr="00CB39D1">
              <w:rPr>
                <w:i/>
                <w:color w:val="A5A6AC" w:themeColor="accent3" w:themeTint="99"/>
                <w:sz w:val="18"/>
                <w:szCs w:val="18"/>
              </w:rPr>
              <w:t>6.5%</w:t>
            </w:r>
          </w:p>
        </w:tc>
        <w:tc>
          <w:tcPr>
            <w:tcW w:w="992" w:type="dxa"/>
            <w:vAlign w:val="center"/>
            <w:hideMark/>
          </w:tcPr>
          <w:p w14:paraId="1BCCFC4F" w14:textId="77777777" w:rsidR="00CB39D1" w:rsidRPr="00CB39D1" w:rsidRDefault="00CB39D1" w:rsidP="00CB39D1">
            <w:pPr>
              <w:spacing w:before="0" w:after="0" w:line="240" w:lineRule="auto"/>
              <w:jc w:val="center"/>
              <w:rPr>
                <w:i/>
                <w:color w:val="A5A6AC" w:themeColor="accent3" w:themeTint="99"/>
                <w:sz w:val="18"/>
                <w:szCs w:val="18"/>
              </w:rPr>
            </w:pPr>
            <w:r w:rsidRPr="00CB39D1">
              <w:rPr>
                <w:i/>
                <w:color w:val="A5A6AC" w:themeColor="accent3" w:themeTint="99"/>
                <w:sz w:val="18"/>
                <w:szCs w:val="18"/>
              </w:rPr>
              <w:t>6.6%</w:t>
            </w:r>
          </w:p>
        </w:tc>
        <w:tc>
          <w:tcPr>
            <w:tcW w:w="992" w:type="dxa"/>
            <w:vAlign w:val="center"/>
            <w:hideMark/>
          </w:tcPr>
          <w:p w14:paraId="21F81BB9" w14:textId="77777777" w:rsidR="00CB39D1" w:rsidRPr="00CB39D1" w:rsidRDefault="00CB39D1" w:rsidP="00CB39D1">
            <w:pPr>
              <w:spacing w:before="0" w:after="0" w:line="240" w:lineRule="auto"/>
              <w:jc w:val="center"/>
              <w:rPr>
                <w:i/>
                <w:color w:val="A5A6AC" w:themeColor="accent3" w:themeTint="99"/>
                <w:sz w:val="18"/>
                <w:szCs w:val="18"/>
              </w:rPr>
            </w:pPr>
          </w:p>
        </w:tc>
        <w:tc>
          <w:tcPr>
            <w:tcW w:w="982" w:type="dxa"/>
          </w:tcPr>
          <w:p w14:paraId="464C4473" w14:textId="77777777" w:rsidR="00CB39D1" w:rsidRPr="00CB39D1" w:rsidRDefault="00CB39D1" w:rsidP="00CB39D1">
            <w:pPr>
              <w:spacing w:before="0" w:after="0" w:line="240" w:lineRule="auto"/>
              <w:jc w:val="center"/>
              <w:rPr>
                <w:i/>
                <w:color w:val="A5A6AC" w:themeColor="accent3" w:themeTint="99"/>
                <w:sz w:val="18"/>
                <w:szCs w:val="18"/>
              </w:rPr>
            </w:pPr>
          </w:p>
        </w:tc>
      </w:tr>
      <w:tr w:rsidR="00CB39D1" w:rsidRPr="00CB39D1" w14:paraId="1EAEC18D" w14:textId="77777777" w:rsidTr="008D4E1E">
        <w:trPr>
          <w:trHeight w:val="360"/>
        </w:trPr>
        <w:tc>
          <w:tcPr>
            <w:tcW w:w="1263" w:type="dxa"/>
            <w:vMerge/>
            <w:vAlign w:val="center"/>
            <w:hideMark/>
          </w:tcPr>
          <w:p w14:paraId="287F017C" w14:textId="77777777" w:rsidR="00CB39D1" w:rsidRPr="00CB39D1" w:rsidRDefault="00CB39D1" w:rsidP="00CB39D1">
            <w:pPr>
              <w:spacing w:before="0" w:after="0" w:line="240" w:lineRule="auto"/>
              <w:jc w:val="center"/>
              <w:rPr>
                <w:sz w:val="18"/>
                <w:szCs w:val="18"/>
                <w:lang w:val="ru-RU" w:eastAsia="ru-RU"/>
              </w:rPr>
            </w:pPr>
          </w:p>
        </w:tc>
        <w:tc>
          <w:tcPr>
            <w:tcW w:w="2835" w:type="dxa"/>
            <w:noWrap/>
            <w:vAlign w:val="center"/>
            <w:hideMark/>
          </w:tcPr>
          <w:p w14:paraId="2B68C5E5" w14:textId="77777777" w:rsidR="00CB39D1" w:rsidRPr="00CB39D1" w:rsidRDefault="00CB39D1" w:rsidP="00CB39D1">
            <w:pPr>
              <w:spacing w:before="0" w:after="0" w:line="240" w:lineRule="auto"/>
              <w:rPr>
                <w:sz w:val="18"/>
                <w:szCs w:val="18"/>
              </w:rPr>
            </w:pPr>
            <w:r w:rsidRPr="00CB39D1">
              <w:rPr>
                <w:sz w:val="18"/>
                <w:szCs w:val="18"/>
              </w:rPr>
              <w:t>2024թ. Պետական բյուջե</w:t>
            </w:r>
          </w:p>
        </w:tc>
        <w:tc>
          <w:tcPr>
            <w:tcW w:w="992" w:type="dxa"/>
            <w:vAlign w:val="center"/>
            <w:hideMark/>
          </w:tcPr>
          <w:p w14:paraId="6D7C9F7B" w14:textId="77777777" w:rsidR="00CB39D1" w:rsidRPr="00CB39D1" w:rsidRDefault="00CB39D1" w:rsidP="00CB39D1">
            <w:pPr>
              <w:spacing w:before="0" w:after="0" w:line="240" w:lineRule="auto"/>
              <w:jc w:val="center"/>
              <w:rPr>
                <w:sz w:val="18"/>
                <w:szCs w:val="18"/>
              </w:rPr>
            </w:pPr>
            <w:r w:rsidRPr="00CB39D1">
              <w:rPr>
                <w:sz w:val="18"/>
                <w:szCs w:val="18"/>
              </w:rPr>
              <w:t>562.1</w:t>
            </w:r>
          </w:p>
        </w:tc>
        <w:tc>
          <w:tcPr>
            <w:tcW w:w="722" w:type="dxa"/>
            <w:vAlign w:val="center"/>
            <w:hideMark/>
          </w:tcPr>
          <w:p w14:paraId="60FF21D9" w14:textId="77777777" w:rsidR="00CB39D1" w:rsidRPr="00CB39D1" w:rsidRDefault="00CB39D1" w:rsidP="00CB39D1">
            <w:pPr>
              <w:spacing w:before="0" w:after="0" w:line="240" w:lineRule="auto"/>
              <w:jc w:val="center"/>
              <w:rPr>
                <w:sz w:val="18"/>
                <w:szCs w:val="18"/>
              </w:rPr>
            </w:pPr>
            <w:r w:rsidRPr="00CB39D1">
              <w:rPr>
                <w:sz w:val="18"/>
                <w:szCs w:val="18"/>
              </w:rPr>
              <w:t>695.3</w:t>
            </w:r>
          </w:p>
        </w:tc>
        <w:tc>
          <w:tcPr>
            <w:tcW w:w="851" w:type="dxa"/>
            <w:vAlign w:val="center"/>
            <w:hideMark/>
          </w:tcPr>
          <w:p w14:paraId="36C27EE3" w14:textId="77777777" w:rsidR="00CB39D1" w:rsidRPr="00CB39D1" w:rsidRDefault="00CB39D1" w:rsidP="00CB39D1">
            <w:pPr>
              <w:spacing w:before="0" w:after="0" w:line="240" w:lineRule="auto"/>
              <w:jc w:val="center"/>
              <w:rPr>
                <w:sz w:val="18"/>
                <w:szCs w:val="18"/>
              </w:rPr>
            </w:pPr>
          </w:p>
        </w:tc>
        <w:tc>
          <w:tcPr>
            <w:tcW w:w="992" w:type="dxa"/>
            <w:noWrap/>
            <w:vAlign w:val="center"/>
            <w:hideMark/>
          </w:tcPr>
          <w:p w14:paraId="5E8AAA5F" w14:textId="77777777" w:rsidR="00CB39D1" w:rsidRPr="00CB39D1" w:rsidRDefault="00CB39D1" w:rsidP="00CB39D1">
            <w:pPr>
              <w:spacing w:before="0" w:after="0" w:line="240" w:lineRule="auto"/>
              <w:jc w:val="center"/>
              <w:rPr>
                <w:sz w:val="18"/>
                <w:szCs w:val="18"/>
              </w:rPr>
            </w:pPr>
          </w:p>
        </w:tc>
        <w:tc>
          <w:tcPr>
            <w:tcW w:w="992" w:type="dxa"/>
            <w:vAlign w:val="center"/>
            <w:hideMark/>
          </w:tcPr>
          <w:p w14:paraId="08B6EB89" w14:textId="77777777" w:rsidR="00CB39D1" w:rsidRPr="00CB39D1" w:rsidRDefault="00CB39D1" w:rsidP="00CB39D1">
            <w:pPr>
              <w:spacing w:before="0" w:after="0" w:line="240" w:lineRule="auto"/>
              <w:jc w:val="center"/>
              <w:rPr>
                <w:sz w:val="18"/>
                <w:szCs w:val="18"/>
              </w:rPr>
            </w:pPr>
          </w:p>
        </w:tc>
        <w:tc>
          <w:tcPr>
            <w:tcW w:w="982" w:type="dxa"/>
          </w:tcPr>
          <w:p w14:paraId="6C76A542" w14:textId="77777777" w:rsidR="00CB39D1" w:rsidRPr="00CB39D1" w:rsidRDefault="00CB39D1" w:rsidP="00CB39D1">
            <w:pPr>
              <w:spacing w:before="0" w:after="0" w:line="240" w:lineRule="auto"/>
              <w:jc w:val="center"/>
              <w:rPr>
                <w:sz w:val="18"/>
                <w:szCs w:val="18"/>
              </w:rPr>
            </w:pPr>
          </w:p>
        </w:tc>
      </w:tr>
      <w:tr w:rsidR="00CB39D1" w:rsidRPr="00CB39D1" w14:paraId="3437EBFD" w14:textId="77777777" w:rsidTr="008D4E1E">
        <w:trPr>
          <w:trHeight w:val="360"/>
        </w:trPr>
        <w:tc>
          <w:tcPr>
            <w:tcW w:w="1263" w:type="dxa"/>
            <w:vMerge/>
            <w:vAlign w:val="center"/>
            <w:hideMark/>
          </w:tcPr>
          <w:p w14:paraId="3143F958" w14:textId="77777777" w:rsidR="00CB39D1" w:rsidRPr="00CB39D1" w:rsidRDefault="00CB39D1" w:rsidP="00CB39D1">
            <w:pPr>
              <w:spacing w:before="0" w:after="0" w:line="240" w:lineRule="auto"/>
              <w:jc w:val="center"/>
              <w:rPr>
                <w:sz w:val="18"/>
                <w:szCs w:val="18"/>
                <w:lang w:val="ru-RU" w:eastAsia="ru-RU"/>
              </w:rPr>
            </w:pPr>
          </w:p>
        </w:tc>
        <w:tc>
          <w:tcPr>
            <w:tcW w:w="2835" w:type="dxa"/>
            <w:vAlign w:val="center"/>
            <w:hideMark/>
          </w:tcPr>
          <w:p w14:paraId="17C16483" w14:textId="77777777" w:rsidR="00CB39D1" w:rsidRPr="00CB39D1" w:rsidRDefault="00CB39D1" w:rsidP="00CB39D1">
            <w:pPr>
              <w:spacing w:before="0" w:after="0" w:line="240" w:lineRule="auto"/>
              <w:rPr>
                <w:i/>
                <w:color w:val="A5A6AC" w:themeColor="accent3" w:themeTint="99"/>
                <w:sz w:val="18"/>
                <w:szCs w:val="18"/>
              </w:rPr>
            </w:pPr>
            <w:r w:rsidRPr="00CB39D1">
              <w:rPr>
                <w:i/>
                <w:color w:val="A5A6AC" w:themeColor="accent3" w:themeTint="99"/>
                <w:sz w:val="18"/>
                <w:szCs w:val="18"/>
              </w:rPr>
              <w:t>%-ով՝ ՀՆԱ-ի նկատմամբ</w:t>
            </w:r>
          </w:p>
        </w:tc>
        <w:tc>
          <w:tcPr>
            <w:tcW w:w="992" w:type="dxa"/>
            <w:vAlign w:val="center"/>
            <w:hideMark/>
          </w:tcPr>
          <w:p w14:paraId="7139AA43" w14:textId="77777777" w:rsidR="00CB39D1" w:rsidRPr="00CB39D1" w:rsidRDefault="00CB39D1" w:rsidP="00CB39D1">
            <w:pPr>
              <w:spacing w:before="0" w:after="0" w:line="240" w:lineRule="auto"/>
              <w:jc w:val="center"/>
              <w:rPr>
                <w:i/>
                <w:color w:val="A5A6AC" w:themeColor="accent3" w:themeTint="99"/>
                <w:sz w:val="18"/>
                <w:szCs w:val="18"/>
              </w:rPr>
            </w:pPr>
            <w:r w:rsidRPr="00CB39D1">
              <w:rPr>
                <w:i/>
                <w:color w:val="A5A6AC" w:themeColor="accent3" w:themeTint="99"/>
                <w:sz w:val="18"/>
                <w:szCs w:val="18"/>
              </w:rPr>
              <w:t>6.0%</w:t>
            </w:r>
          </w:p>
        </w:tc>
        <w:tc>
          <w:tcPr>
            <w:tcW w:w="722" w:type="dxa"/>
            <w:vAlign w:val="center"/>
            <w:hideMark/>
          </w:tcPr>
          <w:p w14:paraId="4C45C0C7" w14:textId="77777777" w:rsidR="00CB39D1" w:rsidRPr="00CB39D1" w:rsidRDefault="00CB39D1" w:rsidP="00CB39D1">
            <w:pPr>
              <w:spacing w:before="0" w:after="0" w:line="240" w:lineRule="auto"/>
              <w:jc w:val="center"/>
              <w:rPr>
                <w:i/>
                <w:color w:val="A5A6AC" w:themeColor="accent3" w:themeTint="99"/>
                <w:sz w:val="18"/>
                <w:szCs w:val="18"/>
              </w:rPr>
            </w:pPr>
            <w:r w:rsidRPr="00CB39D1">
              <w:rPr>
                <w:i/>
                <w:color w:val="A5A6AC" w:themeColor="accent3" w:themeTint="99"/>
                <w:sz w:val="18"/>
                <w:szCs w:val="18"/>
              </w:rPr>
              <w:t>6.6%</w:t>
            </w:r>
          </w:p>
        </w:tc>
        <w:tc>
          <w:tcPr>
            <w:tcW w:w="851" w:type="dxa"/>
            <w:vAlign w:val="center"/>
            <w:hideMark/>
          </w:tcPr>
          <w:p w14:paraId="2B0176A0" w14:textId="77777777" w:rsidR="00CB39D1" w:rsidRPr="00CB39D1" w:rsidRDefault="00CB39D1" w:rsidP="00CB39D1">
            <w:pPr>
              <w:spacing w:before="0" w:after="0" w:line="240" w:lineRule="auto"/>
              <w:jc w:val="center"/>
              <w:rPr>
                <w:i/>
                <w:color w:val="A5A6AC" w:themeColor="accent3" w:themeTint="99"/>
                <w:sz w:val="18"/>
                <w:szCs w:val="18"/>
              </w:rPr>
            </w:pPr>
          </w:p>
        </w:tc>
        <w:tc>
          <w:tcPr>
            <w:tcW w:w="992" w:type="dxa"/>
            <w:noWrap/>
            <w:vAlign w:val="center"/>
            <w:hideMark/>
          </w:tcPr>
          <w:p w14:paraId="723093EA" w14:textId="77777777" w:rsidR="00CB39D1" w:rsidRPr="00CB39D1" w:rsidRDefault="00CB39D1" w:rsidP="00CB39D1">
            <w:pPr>
              <w:spacing w:before="0" w:after="0" w:line="240" w:lineRule="auto"/>
              <w:jc w:val="center"/>
              <w:rPr>
                <w:i/>
                <w:color w:val="A5A6AC" w:themeColor="accent3" w:themeTint="99"/>
                <w:sz w:val="18"/>
                <w:szCs w:val="18"/>
              </w:rPr>
            </w:pPr>
          </w:p>
        </w:tc>
        <w:tc>
          <w:tcPr>
            <w:tcW w:w="992" w:type="dxa"/>
            <w:vAlign w:val="center"/>
            <w:hideMark/>
          </w:tcPr>
          <w:p w14:paraId="4CA77643" w14:textId="77777777" w:rsidR="00CB39D1" w:rsidRPr="00CB39D1" w:rsidRDefault="00CB39D1" w:rsidP="00CB39D1">
            <w:pPr>
              <w:spacing w:before="0" w:after="0" w:line="240" w:lineRule="auto"/>
              <w:jc w:val="center"/>
              <w:rPr>
                <w:i/>
                <w:color w:val="A5A6AC" w:themeColor="accent3" w:themeTint="99"/>
                <w:sz w:val="18"/>
                <w:szCs w:val="18"/>
              </w:rPr>
            </w:pPr>
          </w:p>
        </w:tc>
        <w:tc>
          <w:tcPr>
            <w:tcW w:w="982" w:type="dxa"/>
          </w:tcPr>
          <w:p w14:paraId="4F70C4BA" w14:textId="77777777" w:rsidR="00CB39D1" w:rsidRPr="00CB39D1" w:rsidRDefault="00CB39D1" w:rsidP="00CB39D1">
            <w:pPr>
              <w:spacing w:before="0" w:after="0" w:line="240" w:lineRule="auto"/>
              <w:jc w:val="center"/>
              <w:rPr>
                <w:i/>
                <w:color w:val="A5A6AC" w:themeColor="accent3" w:themeTint="99"/>
                <w:sz w:val="18"/>
                <w:szCs w:val="18"/>
              </w:rPr>
            </w:pPr>
          </w:p>
        </w:tc>
      </w:tr>
      <w:tr w:rsidR="00CB39D1" w:rsidRPr="00CB39D1" w14:paraId="4DE92601" w14:textId="77777777" w:rsidTr="008D4E1E">
        <w:trPr>
          <w:trHeight w:val="360"/>
        </w:trPr>
        <w:tc>
          <w:tcPr>
            <w:tcW w:w="1263" w:type="dxa"/>
            <w:vMerge w:val="restart"/>
            <w:vAlign w:val="center"/>
            <w:hideMark/>
          </w:tcPr>
          <w:p w14:paraId="60650946" w14:textId="77777777" w:rsidR="00CB39D1" w:rsidRPr="00CB39D1" w:rsidRDefault="00CB39D1" w:rsidP="00CB39D1">
            <w:pPr>
              <w:spacing w:before="0" w:after="0" w:line="240" w:lineRule="auto"/>
              <w:jc w:val="center"/>
              <w:rPr>
                <w:sz w:val="18"/>
                <w:szCs w:val="18"/>
              </w:rPr>
            </w:pPr>
            <w:r w:rsidRPr="00CB39D1">
              <w:rPr>
                <w:sz w:val="18"/>
                <w:szCs w:val="18"/>
              </w:rPr>
              <w:t>2024</w:t>
            </w:r>
          </w:p>
        </w:tc>
        <w:tc>
          <w:tcPr>
            <w:tcW w:w="2835" w:type="dxa"/>
            <w:noWrap/>
            <w:vAlign w:val="center"/>
            <w:hideMark/>
          </w:tcPr>
          <w:p w14:paraId="1F219D65" w14:textId="77777777" w:rsidR="00CB39D1" w:rsidRPr="00CB39D1" w:rsidRDefault="00CB39D1" w:rsidP="00CB39D1">
            <w:pPr>
              <w:spacing w:before="0" w:after="0" w:line="240" w:lineRule="auto"/>
              <w:rPr>
                <w:sz w:val="18"/>
                <w:szCs w:val="18"/>
              </w:rPr>
            </w:pPr>
            <w:r w:rsidRPr="00CB39D1">
              <w:rPr>
                <w:sz w:val="18"/>
                <w:szCs w:val="18"/>
              </w:rPr>
              <w:t>ՄԺԾԾ 2025-2027</w:t>
            </w:r>
          </w:p>
        </w:tc>
        <w:tc>
          <w:tcPr>
            <w:tcW w:w="992" w:type="dxa"/>
            <w:vAlign w:val="center"/>
            <w:hideMark/>
          </w:tcPr>
          <w:p w14:paraId="679FF2CC" w14:textId="77777777" w:rsidR="00CB39D1" w:rsidRPr="00CB39D1" w:rsidRDefault="00CB39D1" w:rsidP="00CB39D1">
            <w:pPr>
              <w:spacing w:before="0" w:after="0" w:line="240" w:lineRule="auto"/>
              <w:jc w:val="center"/>
              <w:rPr>
                <w:sz w:val="18"/>
                <w:szCs w:val="18"/>
              </w:rPr>
            </w:pPr>
          </w:p>
        </w:tc>
        <w:tc>
          <w:tcPr>
            <w:tcW w:w="722" w:type="dxa"/>
            <w:vAlign w:val="center"/>
            <w:hideMark/>
          </w:tcPr>
          <w:p w14:paraId="7E326468" w14:textId="77777777" w:rsidR="00CB39D1" w:rsidRPr="00CB39D1" w:rsidRDefault="00CB39D1" w:rsidP="00CB39D1">
            <w:pPr>
              <w:spacing w:before="0" w:after="0" w:line="240" w:lineRule="auto"/>
              <w:jc w:val="center"/>
              <w:rPr>
                <w:sz w:val="18"/>
                <w:szCs w:val="18"/>
              </w:rPr>
            </w:pPr>
            <w:r w:rsidRPr="00CB39D1">
              <w:rPr>
                <w:sz w:val="18"/>
                <w:szCs w:val="18"/>
              </w:rPr>
              <w:t>666.4</w:t>
            </w:r>
          </w:p>
        </w:tc>
        <w:tc>
          <w:tcPr>
            <w:tcW w:w="851" w:type="dxa"/>
            <w:vAlign w:val="center"/>
            <w:hideMark/>
          </w:tcPr>
          <w:p w14:paraId="6E42E3FD" w14:textId="77777777" w:rsidR="00CB39D1" w:rsidRPr="00CB39D1" w:rsidRDefault="00CB39D1" w:rsidP="00CB39D1">
            <w:pPr>
              <w:spacing w:before="0" w:after="0" w:line="240" w:lineRule="auto"/>
              <w:jc w:val="center"/>
              <w:rPr>
                <w:sz w:val="18"/>
                <w:szCs w:val="18"/>
              </w:rPr>
            </w:pPr>
            <w:r w:rsidRPr="00CB39D1">
              <w:rPr>
                <w:sz w:val="18"/>
                <w:szCs w:val="18"/>
              </w:rPr>
              <w:t>784.9</w:t>
            </w:r>
          </w:p>
        </w:tc>
        <w:tc>
          <w:tcPr>
            <w:tcW w:w="992" w:type="dxa"/>
            <w:vAlign w:val="center"/>
            <w:hideMark/>
          </w:tcPr>
          <w:p w14:paraId="173144A4" w14:textId="77777777" w:rsidR="00CB39D1" w:rsidRPr="00CB39D1" w:rsidRDefault="00CB39D1" w:rsidP="00CB39D1">
            <w:pPr>
              <w:spacing w:before="0" w:after="0" w:line="240" w:lineRule="auto"/>
              <w:jc w:val="center"/>
              <w:rPr>
                <w:sz w:val="18"/>
                <w:szCs w:val="18"/>
              </w:rPr>
            </w:pPr>
            <w:r w:rsidRPr="00CB39D1">
              <w:rPr>
                <w:sz w:val="18"/>
                <w:szCs w:val="18"/>
              </w:rPr>
              <w:t>873.9</w:t>
            </w:r>
          </w:p>
        </w:tc>
        <w:tc>
          <w:tcPr>
            <w:tcW w:w="992" w:type="dxa"/>
            <w:vAlign w:val="center"/>
            <w:hideMark/>
          </w:tcPr>
          <w:p w14:paraId="5823186D" w14:textId="77777777" w:rsidR="00CB39D1" w:rsidRPr="00CB39D1" w:rsidRDefault="00CB39D1" w:rsidP="00CB39D1">
            <w:pPr>
              <w:spacing w:before="0" w:after="0" w:line="240" w:lineRule="auto"/>
              <w:jc w:val="center"/>
              <w:rPr>
                <w:sz w:val="18"/>
                <w:szCs w:val="18"/>
              </w:rPr>
            </w:pPr>
            <w:r w:rsidRPr="00CB39D1">
              <w:rPr>
                <w:sz w:val="18"/>
                <w:szCs w:val="18"/>
              </w:rPr>
              <w:t>858.6</w:t>
            </w:r>
          </w:p>
        </w:tc>
        <w:tc>
          <w:tcPr>
            <w:tcW w:w="982" w:type="dxa"/>
          </w:tcPr>
          <w:p w14:paraId="556CE710" w14:textId="77777777" w:rsidR="00CB39D1" w:rsidRPr="00CB39D1" w:rsidRDefault="00CB39D1" w:rsidP="00CB39D1">
            <w:pPr>
              <w:spacing w:before="0" w:after="0" w:line="240" w:lineRule="auto"/>
              <w:jc w:val="center"/>
              <w:rPr>
                <w:sz w:val="18"/>
                <w:szCs w:val="18"/>
              </w:rPr>
            </w:pPr>
          </w:p>
        </w:tc>
      </w:tr>
      <w:tr w:rsidR="00CB39D1" w:rsidRPr="00CB39D1" w14:paraId="7C7CCABD" w14:textId="77777777" w:rsidTr="008D4E1E">
        <w:trPr>
          <w:trHeight w:val="360"/>
        </w:trPr>
        <w:tc>
          <w:tcPr>
            <w:tcW w:w="1263" w:type="dxa"/>
            <w:vMerge/>
            <w:vAlign w:val="center"/>
            <w:hideMark/>
          </w:tcPr>
          <w:p w14:paraId="0463E25D" w14:textId="77777777" w:rsidR="00CB39D1" w:rsidRPr="00CB39D1" w:rsidRDefault="00CB39D1" w:rsidP="00CB39D1">
            <w:pPr>
              <w:spacing w:before="0" w:after="0" w:line="240" w:lineRule="auto"/>
              <w:rPr>
                <w:sz w:val="18"/>
                <w:szCs w:val="18"/>
                <w:lang w:val="ru-RU" w:eastAsia="ru-RU"/>
              </w:rPr>
            </w:pPr>
          </w:p>
        </w:tc>
        <w:tc>
          <w:tcPr>
            <w:tcW w:w="2835" w:type="dxa"/>
            <w:vAlign w:val="center"/>
            <w:hideMark/>
          </w:tcPr>
          <w:p w14:paraId="06EFAFC7" w14:textId="77777777" w:rsidR="00CB39D1" w:rsidRPr="00CB39D1" w:rsidRDefault="00CB39D1" w:rsidP="00CB39D1">
            <w:pPr>
              <w:spacing w:before="0" w:after="0" w:line="240" w:lineRule="auto"/>
              <w:rPr>
                <w:i/>
                <w:color w:val="A5A6AC" w:themeColor="accent3" w:themeTint="99"/>
                <w:sz w:val="18"/>
                <w:szCs w:val="18"/>
              </w:rPr>
            </w:pPr>
            <w:r w:rsidRPr="00CB39D1">
              <w:rPr>
                <w:i/>
                <w:color w:val="A5A6AC" w:themeColor="accent3" w:themeTint="99"/>
                <w:sz w:val="18"/>
                <w:szCs w:val="18"/>
              </w:rPr>
              <w:t>%-ով՝ ՀՆԱ-ի նկատմամբ</w:t>
            </w:r>
          </w:p>
        </w:tc>
        <w:tc>
          <w:tcPr>
            <w:tcW w:w="992" w:type="dxa"/>
            <w:vAlign w:val="center"/>
            <w:hideMark/>
          </w:tcPr>
          <w:p w14:paraId="34371C4B" w14:textId="77777777" w:rsidR="00CB39D1" w:rsidRPr="00CB39D1" w:rsidRDefault="00CB39D1" w:rsidP="00CB39D1">
            <w:pPr>
              <w:spacing w:before="0" w:after="0" w:line="240" w:lineRule="auto"/>
              <w:jc w:val="center"/>
              <w:rPr>
                <w:i/>
                <w:color w:val="A5A6AC" w:themeColor="accent3" w:themeTint="99"/>
                <w:sz w:val="18"/>
                <w:szCs w:val="18"/>
              </w:rPr>
            </w:pPr>
          </w:p>
        </w:tc>
        <w:tc>
          <w:tcPr>
            <w:tcW w:w="722" w:type="dxa"/>
            <w:vAlign w:val="center"/>
            <w:hideMark/>
          </w:tcPr>
          <w:p w14:paraId="41452929" w14:textId="77777777" w:rsidR="00CB39D1" w:rsidRPr="00CB39D1" w:rsidRDefault="00CB39D1" w:rsidP="00CB39D1">
            <w:pPr>
              <w:spacing w:before="0" w:after="0" w:line="240" w:lineRule="auto"/>
              <w:jc w:val="center"/>
              <w:rPr>
                <w:i/>
                <w:color w:val="A5A6AC" w:themeColor="accent3" w:themeTint="99"/>
                <w:sz w:val="18"/>
                <w:szCs w:val="18"/>
              </w:rPr>
            </w:pPr>
            <w:r w:rsidRPr="00CB39D1">
              <w:rPr>
                <w:i/>
                <w:color w:val="A5A6AC" w:themeColor="accent3" w:themeTint="99"/>
                <w:sz w:val="18"/>
                <w:szCs w:val="18"/>
              </w:rPr>
              <w:t>6.5%</w:t>
            </w:r>
          </w:p>
        </w:tc>
        <w:tc>
          <w:tcPr>
            <w:tcW w:w="851" w:type="dxa"/>
            <w:vAlign w:val="center"/>
            <w:hideMark/>
          </w:tcPr>
          <w:p w14:paraId="1548E16A" w14:textId="77777777" w:rsidR="00CB39D1" w:rsidRPr="00CB39D1" w:rsidRDefault="00CB39D1" w:rsidP="00CB39D1">
            <w:pPr>
              <w:spacing w:before="0" w:after="0" w:line="240" w:lineRule="auto"/>
              <w:jc w:val="center"/>
              <w:rPr>
                <w:i/>
                <w:color w:val="A5A6AC" w:themeColor="accent3" w:themeTint="99"/>
                <w:sz w:val="18"/>
                <w:szCs w:val="18"/>
              </w:rPr>
            </w:pPr>
            <w:r w:rsidRPr="00CB39D1">
              <w:rPr>
                <w:i/>
                <w:color w:val="A5A6AC" w:themeColor="accent3" w:themeTint="99"/>
                <w:sz w:val="18"/>
                <w:szCs w:val="18"/>
              </w:rPr>
              <w:t>7.0%</w:t>
            </w:r>
          </w:p>
        </w:tc>
        <w:tc>
          <w:tcPr>
            <w:tcW w:w="992" w:type="dxa"/>
            <w:vAlign w:val="center"/>
            <w:hideMark/>
          </w:tcPr>
          <w:p w14:paraId="27FC58FB" w14:textId="77777777" w:rsidR="00CB39D1" w:rsidRPr="00CB39D1" w:rsidRDefault="00CB39D1" w:rsidP="00CB39D1">
            <w:pPr>
              <w:spacing w:before="0" w:after="0" w:line="240" w:lineRule="auto"/>
              <w:jc w:val="center"/>
              <w:rPr>
                <w:i/>
                <w:color w:val="A5A6AC" w:themeColor="accent3" w:themeTint="99"/>
                <w:sz w:val="18"/>
                <w:szCs w:val="18"/>
              </w:rPr>
            </w:pPr>
            <w:r w:rsidRPr="00CB39D1">
              <w:rPr>
                <w:i/>
                <w:color w:val="A5A6AC" w:themeColor="accent3" w:themeTint="99"/>
                <w:sz w:val="18"/>
                <w:szCs w:val="18"/>
              </w:rPr>
              <w:t>7.1%</w:t>
            </w:r>
          </w:p>
        </w:tc>
        <w:tc>
          <w:tcPr>
            <w:tcW w:w="992" w:type="dxa"/>
            <w:vAlign w:val="center"/>
            <w:hideMark/>
          </w:tcPr>
          <w:p w14:paraId="16EE54E0" w14:textId="77777777" w:rsidR="00CB39D1" w:rsidRPr="00CB39D1" w:rsidRDefault="00CB39D1" w:rsidP="00CB39D1">
            <w:pPr>
              <w:spacing w:before="0" w:after="0" w:line="240" w:lineRule="auto"/>
              <w:jc w:val="center"/>
              <w:rPr>
                <w:i/>
                <w:color w:val="A5A6AC" w:themeColor="accent3" w:themeTint="99"/>
                <w:sz w:val="18"/>
                <w:szCs w:val="18"/>
              </w:rPr>
            </w:pPr>
            <w:r w:rsidRPr="00CB39D1">
              <w:rPr>
                <w:i/>
                <w:color w:val="A5A6AC" w:themeColor="accent3" w:themeTint="99"/>
                <w:sz w:val="18"/>
                <w:szCs w:val="18"/>
              </w:rPr>
              <w:t>6.4%</w:t>
            </w:r>
          </w:p>
        </w:tc>
        <w:tc>
          <w:tcPr>
            <w:tcW w:w="982" w:type="dxa"/>
          </w:tcPr>
          <w:p w14:paraId="503AD7FC" w14:textId="77777777" w:rsidR="00CB39D1" w:rsidRPr="00CB39D1" w:rsidRDefault="00CB39D1" w:rsidP="00CB39D1">
            <w:pPr>
              <w:spacing w:before="0" w:after="0" w:line="240" w:lineRule="auto"/>
              <w:jc w:val="center"/>
              <w:rPr>
                <w:i/>
                <w:color w:val="A5A6AC" w:themeColor="accent3" w:themeTint="99"/>
                <w:sz w:val="18"/>
                <w:szCs w:val="18"/>
              </w:rPr>
            </w:pPr>
          </w:p>
        </w:tc>
      </w:tr>
      <w:tr w:rsidR="00CB39D1" w:rsidRPr="00CB39D1" w14:paraId="690B59C8" w14:textId="77777777" w:rsidTr="008D4E1E">
        <w:trPr>
          <w:trHeight w:val="360"/>
        </w:trPr>
        <w:tc>
          <w:tcPr>
            <w:tcW w:w="1263" w:type="dxa"/>
            <w:vMerge/>
            <w:vAlign w:val="center"/>
            <w:hideMark/>
          </w:tcPr>
          <w:p w14:paraId="5A7ABFF3" w14:textId="77777777" w:rsidR="00CB39D1" w:rsidRPr="00CB39D1" w:rsidRDefault="00CB39D1" w:rsidP="00CB39D1">
            <w:pPr>
              <w:spacing w:before="0" w:after="0" w:line="240" w:lineRule="auto"/>
              <w:rPr>
                <w:sz w:val="18"/>
                <w:szCs w:val="18"/>
                <w:lang w:val="ru-RU" w:eastAsia="ru-RU"/>
              </w:rPr>
            </w:pPr>
          </w:p>
        </w:tc>
        <w:tc>
          <w:tcPr>
            <w:tcW w:w="2835" w:type="dxa"/>
            <w:noWrap/>
            <w:vAlign w:val="center"/>
            <w:hideMark/>
          </w:tcPr>
          <w:p w14:paraId="3222C0E5" w14:textId="77777777" w:rsidR="00CB39D1" w:rsidRPr="00CB39D1" w:rsidRDefault="00CB39D1" w:rsidP="00CB39D1">
            <w:pPr>
              <w:spacing w:before="0" w:after="0" w:line="240" w:lineRule="auto"/>
              <w:rPr>
                <w:sz w:val="18"/>
                <w:szCs w:val="18"/>
              </w:rPr>
            </w:pPr>
            <w:r w:rsidRPr="00CB39D1">
              <w:rPr>
                <w:sz w:val="18"/>
                <w:szCs w:val="18"/>
              </w:rPr>
              <w:t>2025թ. Պետական բյուջե</w:t>
            </w:r>
          </w:p>
        </w:tc>
        <w:tc>
          <w:tcPr>
            <w:tcW w:w="992" w:type="dxa"/>
            <w:vAlign w:val="center"/>
            <w:hideMark/>
          </w:tcPr>
          <w:p w14:paraId="7A4ECF14" w14:textId="77777777" w:rsidR="00CB39D1" w:rsidRPr="00CB39D1" w:rsidRDefault="00CB39D1" w:rsidP="00CB39D1">
            <w:pPr>
              <w:spacing w:before="0" w:after="0" w:line="240" w:lineRule="auto"/>
              <w:jc w:val="center"/>
              <w:rPr>
                <w:sz w:val="18"/>
                <w:szCs w:val="18"/>
              </w:rPr>
            </w:pPr>
          </w:p>
        </w:tc>
        <w:tc>
          <w:tcPr>
            <w:tcW w:w="722" w:type="dxa"/>
            <w:vAlign w:val="center"/>
            <w:hideMark/>
          </w:tcPr>
          <w:p w14:paraId="3C6B33D1" w14:textId="77777777" w:rsidR="00CB39D1" w:rsidRPr="00CB39D1" w:rsidRDefault="00CB39D1" w:rsidP="00CB39D1">
            <w:pPr>
              <w:spacing w:before="0" w:after="0" w:line="240" w:lineRule="auto"/>
              <w:jc w:val="center"/>
              <w:rPr>
                <w:sz w:val="18"/>
                <w:szCs w:val="18"/>
              </w:rPr>
            </w:pPr>
            <w:r w:rsidRPr="00CB39D1">
              <w:rPr>
                <w:sz w:val="18"/>
                <w:szCs w:val="18"/>
              </w:rPr>
              <w:t>639.3</w:t>
            </w:r>
          </w:p>
        </w:tc>
        <w:tc>
          <w:tcPr>
            <w:tcW w:w="851" w:type="dxa"/>
            <w:vAlign w:val="center"/>
            <w:hideMark/>
          </w:tcPr>
          <w:p w14:paraId="77AFB502" w14:textId="77777777" w:rsidR="00CB39D1" w:rsidRPr="00CB39D1" w:rsidRDefault="00CB39D1" w:rsidP="00CB39D1">
            <w:pPr>
              <w:spacing w:before="0" w:after="0" w:line="240" w:lineRule="auto"/>
              <w:jc w:val="center"/>
              <w:rPr>
                <w:sz w:val="18"/>
                <w:szCs w:val="18"/>
              </w:rPr>
            </w:pPr>
            <w:r w:rsidRPr="00CB39D1">
              <w:rPr>
                <w:sz w:val="18"/>
                <w:szCs w:val="18"/>
              </w:rPr>
              <w:t>734.9</w:t>
            </w:r>
          </w:p>
        </w:tc>
        <w:tc>
          <w:tcPr>
            <w:tcW w:w="992" w:type="dxa"/>
            <w:vAlign w:val="center"/>
            <w:hideMark/>
          </w:tcPr>
          <w:p w14:paraId="2AC016FF" w14:textId="77777777" w:rsidR="00CB39D1" w:rsidRPr="00CB39D1" w:rsidRDefault="00CB39D1" w:rsidP="00CB39D1">
            <w:pPr>
              <w:spacing w:before="0" w:after="0" w:line="240" w:lineRule="auto"/>
              <w:jc w:val="center"/>
              <w:rPr>
                <w:sz w:val="18"/>
                <w:szCs w:val="18"/>
              </w:rPr>
            </w:pPr>
            <w:r w:rsidRPr="00CB39D1">
              <w:rPr>
                <w:sz w:val="18"/>
                <w:szCs w:val="18"/>
              </w:rPr>
              <w:t>822.0</w:t>
            </w:r>
          </w:p>
        </w:tc>
        <w:tc>
          <w:tcPr>
            <w:tcW w:w="992" w:type="dxa"/>
            <w:vAlign w:val="center"/>
            <w:hideMark/>
          </w:tcPr>
          <w:p w14:paraId="263F057C" w14:textId="77777777" w:rsidR="00CB39D1" w:rsidRPr="00CB39D1" w:rsidRDefault="00CB39D1" w:rsidP="00CB39D1">
            <w:pPr>
              <w:spacing w:before="0" w:after="0" w:line="240" w:lineRule="auto"/>
              <w:jc w:val="center"/>
              <w:rPr>
                <w:sz w:val="18"/>
                <w:szCs w:val="18"/>
              </w:rPr>
            </w:pPr>
            <w:r w:rsidRPr="00CB39D1">
              <w:rPr>
                <w:sz w:val="18"/>
                <w:szCs w:val="18"/>
              </w:rPr>
              <w:t>861.7</w:t>
            </w:r>
          </w:p>
        </w:tc>
        <w:tc>
          <w:tcPr>
            <w:tcW w:w="982" w:type="dxa"/>
          </w:tcPr>
          <w:p w14:paraId="5AC23F83" w14:textId="77777777" w:rsidR="00CB39D1" w:rsidRPr="00CB39D1" w:rsidRDefault="00CB39D1" w:rsidP="00CB39D1">
            <w:pPr>
              <w:spacing w:before="0" w:after="0" w:line="240" w:lineRule="auto"/>
              <w:jc w:val="center"/>
              <w:rPr>
                <w:sz w:val="18"/>
                <w:szCs w:val="18"/>
              </w:rPr>
            </w:pPr>
          </w:p>
        </w:tc>
      </w:tr>
      <w:tr w:rsidR="00CB39D1" w:rsidRPr="00CB39D1" w14:paraId="4D9E7D96" w14:textId="77777777" w:rsidTr="008D4E1E">
        <w:trPr>
          <w:trHeight w:val="360"/>
        </w:trPr>
        <w:tc>
          <w:tcPr>
            <w:tcW w:w="1263" w:type="dxa"/>
            <w:vMerge/>
            <w:vAlign w:val="center"/>
            <w:hideMark/>
          </w:tcPr>
          <w:p w14:paraId="73803BA6" w14:textId="77777777" w:rsidR="00CB39D1" w:rsidRPr="00CB39D1" w:rsidRDefault="00CB39D1" w:rsidP="00CB39D1">
            <w:pPr>
              <w:spacing w:before="0" w:after="0" w:line="240" w:lineRule="auto"/>
              <w:rPr>
                <w:sz w:val="18"/>
                <w:szCs w:val="18"/>
                <w:lang w:val="ru-RU" w:eastAsia="ru-RU"/>
              </w:rPr>
            </w:pPr>
          </w:p>
        </w:tc>
        <w:tc>
          <w:tcPr>
            <w:tcW w:w="2835" w:type="dxa"/>
            <w:vAlign w:val="center"/>
            <w:hideMark/>
          </w:tcPr>
          <w:p w14:paraId="197D4206" w14:textId="77777777" w:rsidR="00CB39D1" w:rsidRPr="00CB39D1" w:rsidRDefault="00CB39D1" w:rsidP="00CB39D1">
            <w:pPr>
              <w:spacing w:before="0" w:after="0" w:line="240" w:lineRule="auto"/>
              <w:rPr>
                <w:i/>
                <w:color w:val="A5A6AC" w:themeColor="accent3" w:themeTint="99"/>
                <w:sz w:val="18"/>
                <w:szCs w:val="18"/>
              </w:rPr>
            </w:pPr>
            <w:r w:rsidRPr="00CB39D1">
              <w:rPr>
                <w:i/>
                <w:color w:val="A5A6AC" w:themeColor="accent3" w:themeTint="99"/>
                <w:sz w:val="18"/>
                <w:szCs w:val="18"/>
              </w:rPr>
              <w:t>%-ով՝ ՀՆԱ-ի նկատմամբ</w:t>
            </w:r>
          </w:p>
        </w:tc>
        <w:tc>
          <w:tcPr>
            <w:tcW w:w="992" w:type="dxa"/>
            <w:vAlign w:val="center"/>
            <w:hideMark/>
          </w:tcPr>
          <w:p w14:paraId="755A9740" w14:textId="77777777" w:rsidR="00CB39D1" w:rsidRPr="00CB39D1" w:rsidRDefault="00CB39D1" w:rsidP="00CB39D1">
            <w:pPr>
              <w:spacing w:before="0" w:after="0" w:line="240" w:lineRule="auto"/>
              <w:jc w:val="center"/>
              <w:rPr>
                <w:i/>
                <w:color w:val="A5A6AC" w:themeColor="accent3" w:themeTint="99"/>
                <w:sz w:val="18"/>
                <w:szCs w:val="18"/>
              </w:rPr>
            </w:pPr>
          </w:p>
        </w:tc>
        <w:tc>
          <w:tcPr>
            <w:tcW w:w="722" w:type="dxa"/>
            <w:vAlign w:val="center"/>
            <w:hideMark/>
          </w:tcPr>
          <w:p w14:paraId="2F695F7F" w14:textId="77777777" w:rsidR="00CB39D1" w:rsidRPr="00CB39D1" w:rsidRDefault="00CB39D1" w:rsidP="00CB39D1">
            <w:pPr>
              <w:spacing w:before="0" w:after="0" w:line="240" w:lineRule="auto"/>
              <w:jc w:val="center"/>
              <w:rPr>
                <w:i/>
                <w:color w:val="A5A6AC" w:themeColor="accent3" w:themeTint="99"/>
                <w:sz w:val="18"/>
                <w:szCs w:val="18"/>
              </w:rPr>
            </w:pPr>
            <w:r w:rsidRPr="00CB39D1">
              <w:rPr>
                <w:i/>
                <w:color w:val="A5A6AC" w:themeColor="accent3" w:themeTint="99"/>
                <w:sz w:val="18"/>
                <w:szCs w:val="18"/>
              </w:rPr>
              <w:t>6.3%</w:t>
            </w:r>
          </w:p>
        </w:tc>
        <w:tc>
          <w:tcPr>
            <w:tcW w:w="851" w:type="dxa"/>
            <w:vAlign w:val="center"/>
            <w:hideMark/>
          </w:tcPr>
          <w:p w14:paraId="78815EAE" w14:textId="77777777" w:rsidR="00CB39D1" w:rsidRPr="00CB39D1" w:rsidRDefault="00CB39D1" w:rsidP="00CB39D1">
            <w:pPr>
              <w:spacing w:before="0" w:after="0" w:line="240" w:lineRule="auto"/>
              <w:jc w:val="center"/>
              <w:rPr>
                <w:i/>
                <w:color w:val="A5A6AC" w:themeColor="accent3" w:themeTint="99"/>
                <w:sz w:val="18"/>
                <w:szCs w:val="18"/>
              </w:rPr>
            </w:pPr>
            <w:r w:rsidRPr="00CB39D1">
              <w:rPr>
                <w:i/>
                <w:color w:val="A5A6AC" w:themeColor="accent3" w:themeTint="99"/>
                <w:sz w:val="18"/>
                <w:szCs w:val="18"/>
              </w:rPr>
              <w:t>6.7%</w:t>
            </w:r>
          </w:p>
        </w:tc>
        <w:tc>
          <w:tcPr>
            <w:tcW w:w="992" w:type="dxa"/>
            <w:vAlign w:val="center"/>
            <w:hideMark/>
          </w:tcPr>
          <w:p w14:paraId="161A275C" w14:textId="77777777" w:rsidR="00CB39D1" w:rsidRPr="00CB39D1" w:rsidRDefault="00CB39D1" w:rsidP="00CB39D1">
            <w:pPr>
              <w:spacing w:before="0" w:after="0" w:line="240" w:lineRule="auto"/>
              <w:jc w:val="center"/>
              <w:rPr>
                <w:i/>
                <w:color w:val="A5A6AC" w:themeColor="accent3" w:themeTint="99"/>
                <w:sz w:val="18"/>
                <w:szCs w:val="18"/>
              </w:rPr>
            </w:pPr>
            <w:r w:rsidRPr="00CB39D1">
              <w:rPr>
                <w:i/>
                <w:color w:val="A5A6AC" w:themeColor="accent3" w:themeTint="99"/>
                <w:sz w:val="18"/>
                <w:szCs w:val="18"/>
              </w:rPr>
              <w:t>6.9%</w:t>
            </w:r>
          </w:p>
        </w:tc>
        <w:tc>
          <w:tcPr>
            <w:tcW w:w="992" w:type="dxa"/>
            <w:vAlign w:val="center"/>
            <w:hideMark/>
          </w:tcPr>
          <w:p w14:paraId="0464A880" w14:textId="77777777" w:rsidR="00CB39D1" w:rsidRPr="00CB39D1" w:rsidRDefault="00CB39D1" w:rsidP="00CB39D1">
            <w:pPr>
              <w:spacing w:before="0" w:after="0" w:line="240" w:lineRule="auto"/>
              <w:jc w:val="center"/>
              <w:rPr>
                <w:i/>
                <w:color w:val="A5A6AC" w:themeColor="accent3" w:themeTint="99"/>
                <w:sz w:val="18"/>
                <w:szCs w:val="18"/>
              </w:rPr>
            </w:pPr>
            <w:r w:rsidRPr="00CB39D1">
              <w:rPr>
                <w:i/>
                <w:color w:val="A5A6AC" w:themeColor="accent3" w:themeTint="99"/>
                <w:sz w:val="18"/>
                <w:szCs w:val="18"/>
              </w:rPr>
              <w:t>6.6%</w:t>
            </w:r>
          </w:p>
        </w:tc>
        <w:tc>
          <w:tcPr>
            <w:tcW w:w="982" w:type="dxa"/>
          </w:tcPr>
          <w:p w14:paraId="24A0F332" w14:textId="77777777" w:rsidR="00CB39D1" w:rsidRPr="00CB39D1" w:rsidRDefault="00CB39D1" w:rsidP="00CB39D1">
            <w:pPr>
              <w:spacing w:before="0" w:after="0" w:line="240" w:lineRule="auto"/>
              <w:jc w:val="center"/>
              <w:rPr>
                <w:i/>
                <w:color w:val="A5A6AC" w:themeColor="accent3" w:themeTint="99"/>
                <w:sz w:val="18"/>
                <w:szCs w:val="18"/>
              </w:rPr>
            </w:pPr>
          </w:p>
        </w:tc>
      </w:tr>
      <w:tr w:rsidR="00CB39D1" w:rsidRPr="00CB39D1" w14:paraId="29A3D9F2" w14:textId="77777777" w:rsidTr="008D4E1E">
        <w:trPr>
          <w:trHeight w:val="360"/>
        </w:trPr>
        <w:tc>
          <w:tcPr>
            <w:tcW w:w="1263" w:type="dxa"/>
            <w:vMerge w:val="restart"/>
            <w:vAlign w:val="center"/>
          </w:tcPr>
          <w:p w14:paraId="5444B4B7" w14:textId="77777777" w:rsidR="00CB39D1" w:rsidRPr="00CB39D1" w:rsidRDefault="00CB39D1" w:rsidP="00CB39D1">
            <w:pPr>
              <w:spacing w:before="0" w:after="0" w:line="240" w:lineRule="auto"/>
              <w:jc w:val="center"/>
              <w:rPr>
                <w:sz w:val="18"/>
                <w:szCs w:val="18"/>
                <w:lang w:eastAsia="ru-RU"/>
              </w:rPr>
            </w:pPr>
            <w:r w:rsidRPr="00CB39D1">
              <w:rPr>
                <w:sz w:val="18"/>
                <w:szCs w:val="18"/>
                <w:lang w:eastAsia="ru-RU"/>
              </w:rPr>
              <w:t>2025</w:t>
            </w:r>
          </w:p>
        </w:tc>
        <w:tc>
          <w:tcPr>
            <w:tcW w:w="2835" w:type="dxa"/>
            <w:vAlign w:val="center"/>
          </w:tcPr>
          <w:p w14:paraId="6AD5A66C" w14:textId="77777777" w:rsidR="00CB39D1" w:rsidRPr="00CB39D1" w:rsidRDefault="00CB39D1" w:rsidP="00CB39D1">
            <w:pPr>
              <w:spacing w:before="0" w:after="0" w:line="240" w:lineRule="auto"/>
              <w:rPr>
                <w:i/>
                <w:color w:val="A5A6AC" w:themeColor="accent3" w:themeTint="99"/>
                <w:sz w:val="18"/>
                <w:szCs w:val="18"/>
              </w:rPr>
            </w:pPr>
            <w:r w:rsidRPr="00CB39D1">
              <w:rPr>
                <w:sz w:val="18"/>
                <w:szCs w:val="18"/>
              </w:rPr>
              <w:t xml:space="preserve"> ՄԺԾԾ 2026-2028</w:t>
            </w:r>
          </w:p>
        </w:tc>
        <w:tc>
          <w:tcPr>
            <w:tcW w:w="992" w:type="dxa"/>
            <w:tcBorders>
              <w:top w:val="single" w:sz="8" w:space="0" w:color="E1E1E3" w:themeColor="accent3" w:themeTint="33"/>
              <w:bottom w:val="single" w:sz="8" w:space="0" w:color="E1E1E3" w:themeColor="accent3" w:themeTint="33"/>
              <w:right w:val="single" w:sz="8" w:space="0" w:color="E1E1E3" w:themeColor="accent3" w:themeTint="33"/>
            </w:tcBorders>
            <w:vAlign w:val="center"/>
          </w:tcPr>
          <w:p w14:paraId="215E6430" w14:textId="77777777" w:rsidR="00CB39D1" w:rsidRPr="00CB39D1" w:rsidRDefault="00CB39D1" w:rsidP="00CB39D1">
            <w:pPr>
              <w:spacing w:before="0" w:after="0" w:line="240" w:lineRule="auto"/>
              <w:jc w:val="center"/>
              <w:rPr>
                <w:i/>
                <w:color w:val="A5A6AC" w:themeColor="accent3" w:themeTint="99"/>
                <w:sz w:val="18"/>
                <w:szCs w:val="18"/>
              </w:rPr>
            </w:pPr>
          </w:p>
        </w:tc>
        <w:tc>
          <w:tcPr>
            <w:tcW w:w="722" w:type="dxa"/>
            <w:tcBorders>
              <w:top w:val="single" w:sz="8" w:space="0" w:color="E1E1E3" w:themeColor="accent3" w:themeTint="33"/>
              <w:left w:val="single" w:sz="8" w:space="0" w:color="E1E1E3" w:themeColor="accent3" w:themeTint="33"/>
              <w:bottom w:val="single" w:sz="8" w:space="0" w:color="E1E1E3" w:themeColor="accent3" w:themeTint="33"/>
              <w:right w:val="single" w:sz="8" w:space="0" w:color="E1E1E3" w:themeColor="accent3" w:themeTint="33"/>
            </w:tcBorders>
            <w:vAlign w:val="center"/>
          </w:tcPr>
          <w:p w14:paraId="3D364F18" w14:textId="77777777" w:rsidR="00CB39D1" w:rsidRPr="00CB39D1" w:rsidRDefault="00CB39D1" w:rsidP="00CB39D1">
            <w:pPr>
              <w:spacing w:before="0" w:after="0" w:line="240" w:lineRule="auto"/>
              <w:jc w:val="center"/>
              <w:rPr>
                <w:i/>
                <w:color w:val="A5A6AC" w:themeColor="accent3" w:themeTint="99"/>
                <w:sz w:val="18"/>
                <w:szCs w:val="18"/>
              </w:rPr>
            </w:pPr>
          </w:p>
        </w:tc>
        <w:tc>
          <w:tcPr>
            <w:tcW w:w="851" w:type="dxa"/>
            <w:tcBorders>
              <w:top w:val="single" w:sz="8" w:space="0" w:color="E1E1E3" w:themeColor="accent3" w:themeTint="33"/>
              <w:left w:val="single" w:sz="8" w:space="0" w:color="E1E1E3" w:themeColor="accent3" w:themeTint="33"/>
              <w:bottom w:val="single" w:sz="8" w:space="0" w:color="E1E1E3" w:themeColor="accent3" w:themeTint="33"/>
              <w:right w:val="single" w:sz="8" w:space="0" w:color="E1E1E3" w:themeColor="accent3" w:themeTint="33"/>
            </w:tcBorders>
            <w:vAlign w:val="center"/>
          </w:tcPr>
          <w:p w14:paraId="67851466" w14:textId="77777777" w:rsidR="00CB39D1" w:rsidRPr="00CB39D1" w:rsidRDefault="00CB39D1" w:rsidP="00CB39D1">
            <w:pPr>
              <w:spacing w:before="0" w:after="0" w:line="240" w:lineRule="auto"/>
              <w:jc w:val="center"/>
              <w:rPr>
                <w:sz w:val="18"/>
                <w:szCs w:val="18"/>
              </w:rPr>
            </w:pPr>
            <w:r w:rsidRPr="00CB39D1">
              <w:rPr>
                <w:sz w:val="18"/>
                <w:szCs w:val="18"/>
              </w:rPr>
              <w:t>688.3</w:t>
            </w:r>
          </w:p>
        </w:tc>
        <w:tc>
          <w:tcPr>
            <w:tcW w:w="992" w:type="dxa"/>
            <w:tcBorders>
              <w:top w:val="single" w:sz="8" w:space="0" w:color="E1E1E3" w:themeColor="accent3" w:themeTint="33"/>
              <w:left w:val="single" w:sz="8" w:space="0" w:color="E1E1E3" w:themeColor="accent3" w:themeTint="33"/>
              <w:bottom w:val="single" w:sz="8" w:space="0" w:color="E1E1E3" w:themeColor="accent3" w:themeTint="33"/>
              <w:right w:val="single" w:sz="8" w:space="0" w:color="E1E1E3" w:themeColor="accent3" w:themeTint="33"/>
            </w:tcBorders>
            <w:vAlign w:val="center"/>
          </w:tcPr>
          <w:p w14:paraId="776C6E3C" w14:textId="77777777" w:rsidR="00CB39D1" w:rsidRPr="00CB39D1" w:rsidRDefault="00CB39D1" w:rsidP="00CB39D1">
            <w:pPr>
              <w:spacing w:before="0" w:after="0" w:line="240" w:lineRule="auto"/>
              <w:jc w:val="center"/>
              <w:rPr>
                <w:sz w:val="18"/>
                <w:szCs w:val="18"/>
              </w:rPr>
            </w:pPr>
            <w:r w:rsidRPr="00CB39D1">
              <w:rPr>
                <w:sz w:val="18"/>
                <w:szCs w:val="18"/>
              </w:rPr>
              <w:t>701.3</w:t>
            </w:r>
          </w:p>
        </w:tc>
        <w:tc>
          <w:tcPr>
            <w:tcW w:w="992" w:type="dxa"/>
            <w:tcBorders>
              <w:top w:val="single" w:sz="8" w:space="0" w:color="E1E1E3" w:themeColor="accent3" w:themeTint="33"/>
              <w:left w:val="single" w:sz="8" w:space="0" w:color="E1E1E3" w:themeColor="accent3" w:themeTint="33"/>
              <w:bottom w:val="single" w:sz="8" w:space="0" w:color="E1E1E3" w:themeColor="accent3" w:themeTint="33"/>
              <w:right w:val="single" w:sz="8" w:space="0" w:color="E1E1E3" w:themeColor="accent3" w:themeTint="33"/>
            </w:tcBorders>
            <w:vAlign w:val="center"/>
          </w:tcPr>
          <w:p w14:paraId="15CDE431" w14:textId="77777777" w:rsidR="00CB39D1" w:rsidRPr="00CB39D1" w:rsidRDefault="00CB39D1" w:rsidP="00CB39D1">
            <w:pPr>
              <w:spacing w:before="0" w:after="0" w:line="240" w:lineRule="auto"/>
              <w:jc w:val="center"/>
              <w:rPr>
                <w:sz w:val="18"/>
                <w:szCs w:val="18"/>
              </w:rPr>
            </w:pPr>
            <w:r w:rsidRPr="00CB39D1">
              <w:rPr>
                <w:sz w:val="18"/>
                <w:szCs w:val="18"/>
              </w:rPr>
              <w:t>754.2</w:t>
            </w:r>
          </w:p>
        </w:tc>
        <w:tc>
          <w:tcPr>
            <w:tcW w:w="982" w:type="dxa"/>
            <w:tcBorders>
              <w:top w:val="single" w:sz="8" w:space="0" w:color="E1E1E3" w:themeColor="accent3" w:themeTint="33"/>
              <w:left w:val="single" w:sz="8" w:space="0" w:color="E1E1E3" w:themeColor="accent3" w:themeTint="33"/>
              <w:bottom w:val="single" w:sz="8" w:space="0" w:color="E1E1E3" w:themeColor="accent3" w:themeTint="33"/>
              <w:right w:val="single" w:sz="8" w:space="0" w:color="E1E1E3" w:themeColor="accent3" w:themeTint="33"/>
            </w:tcBorders>
            <w:vAlign w:val="center"/>
          </w:tcPr>
          <w:p w14:paraId="16B7F0F6" w14:textId="77777777" w:rsidR="00CB39D1" w:rsidRPr="00CB39D1" w:rsidRDefault="00CB39D1" w:rsidP="00CB39D1">
            <w:pPr>
              <w:spacing w:before="0" w:after="0" w:line="240" w:lineRule="auto"/>
              <w:jc w:val="center"/>
              <w:rPr>
                <w:sz w:val="18"/>
                <w:szCs w:val="18"/>
              </w:rPr>
            </w:pPr>
            <w:r w:rsidRPr="00CB39D1">
              <w:rPr>
                <w:sz w:val="18"/>
                <w:szCs w:val="18"/>
              </w:rPr>
              <w:t>824.6</w:t>
            </w:r>
          </w:p>
        </w:tc>
      </w:tr>
      <w:tr w:rsidR="00CB39D1" w:rsidRPr="00CB39D1" w14:paraId="3E0A5059" w14:textId="77777777" w:rsidTr="008D4E1E">
        <w:trPr>
          <w:trHeight w:val="360"/>
        </w:trPr>
        <w:tc>
          <w:tcPr>
            <w:tcW w:w="1263" w:type="dxa"/>
            <w:vMerge/>
            <w:vAlign w:val="center"/>
          </w:tcPr>
          <w:p w14:paraId="0DECE4D2" w14:textId="77777777" w:rsidR="00CB39D1" w:rsidRPr="00CB39D1" w:rsidRDefault="00CB39D1" w:rsidP="00CB39D1">
            <w:pPr>
              <w:spacing w:before="0" w:after="0" w:line="240" w:lineRule="auto"/>
              <w:rPr>
                <w:sz w:val="18"/>
                <w:szCs w:val="18"/>
                <w:lang w:val="ru-RU" w:eastAsia="ru-RU"/>
              </w:rPr>
            </w:pPr>
          </w:p>
        </w:tc>
        <w:tc>
          <w:tcPr>
            <w:tcW w:w="2835" w:type="dxa"/>
            <w:vAlign w:val="center"/>
          </w:tcPr>
          <w:p w14:paraId="5412FFD7" w14:textId="77777777" w:rsidR="00CB39D1" w:rsidRPr="00CB39D1" w:rsidRDefault="00CB39D1" w:rsidP="00CB39D1">
            <w:pPr>
              <w:spacing w:before="0" w:after="0" w:line="240" w:lineRule="auto"/>
              <w:rPr>
                <w:i/>
                <w:color w:val="A5A6AC" w:themeColor="accent3" w:themeTint="99"/>
                <w:sz w:val="18"/>
                <w:szCs w:val="18"/>
              </w:rPr>
            </w:pPr>
            <w:r w:rsidRPr="00CB39D1">
              <w:rPr>
                <w:i/>
                <w:color w:val="A5A6AC" w:themeColor="accent3" w:themeTint="99"/>
                <w:sz w:val="18"/>
                <w:szCs w:val="18"/>
              </w:rPr>
              <w:t>%-ով՝ ՀՆԱ-ի նկատմամբ</w:t>
            </w:r>
          </w:p>
        </w:tc>
        <w:tc>
          <w:tcPr>
            <w:tcW w:w="992" w:type="dxa"/>
            <w:tcBorders>
              <w:top w:val="single" w:sz="8" w:space="0" w:color="E1E1E3" w:themeColor="accent3" w:themeTint="33"/>
              <w:bottom w:val="single" w:sz="8" w:space="0" w:color="E1E1E3" w:themeColor="accent3" w:themeTint="33"/>
              <w:right w:val="single" w:sz="8" w:space="0" w:color="E1E1E3" w:themeColor="accent3" w:themeTint="33"/>
            </w:tcBorders>
            <w:vAlign w:val="center"/>
          </w:tcPr>
          <w:p w14:paraId="77EDB3BE" w14:textId="77777777" w:rsidR="00CB39D1" w:rsidRPr="00CB39D1" w:rsidRDefault="00CB39D1" w:rsidP="00CB39D1">
            <w:pPr>
              <w:spacing w:before="0" w:after="0" w:line="240" w:lineRule="auto"/>
              <w:jc w:val="center"/>
              <w:rPr>
                <w:i/>
                <w:color w:val="A5A6AC" w:themeColor="accent3" w:themeTint="99"/>
                <w:sz w:val="18"/>
                <w:szCs w:val="18"/>
              </w:rPr>
            </w:pPr>
          </w:p>
        </w:tc>
        <w:tc>
          <w:tcPr>
            <w:tcW w:w="722" w:type="dxa"/>
            <w:tcBorders>
              <w:top w:val="single" w:sz="8" w:space="0" w:color="E1E1E3" w:themeColor="accent3" w:themeTint="33"/>
              <w:left w:val="single" w:sz="8" w:space="0" w:color="E1E1E3" w:themeColor="accent3" w:themeTint="33"/>
              <w:bottom w:val="single" w:sz="8" w:space="0" w:color="E1E1E3" w:themeColor="accent3" w:themeTint="33"/>
              <w:right w:val="single" w:sz="8" w:space="0" w:color="E1E1E3" w:themeColor="accent3" w:themeTint="33"/>
            </w:tcBorders>
            <w:vAlign w:val="center"/>
          </w:tcPr>
          <w:p w14:paraId="75157BA7" w14:textId="77777777" w:rsidR="00CB39D1" w:rsidRPr="00CB39D1" w:rsidRDefault="00CB39D1" w:rsidP="00CB39D1">
            <w:pPr>
              <w:spacing w:before="0" w:after="0" w:line="240" w:lineRule="auto"/>
              <w:jc w:val="center"/>
              <w:rPr>
                <w:i/>
                <w:color w:val="A5A6AC" w:themeColor="accent3" w:themeTint="99"/>
                <w:sz w:val="18"/>
                <w:szCs w:val="18"/>
              </w:rPr>
            </w:pPr>
          </w:p>
        </w:tc>
        <w:tc>
          <w:tcPr>
            <w:tcW w:w="851" w:type="dxa"/>
            <w:tcBorders>
              <w:top w:val="single" w:sz="8" w:space="0" w:color="E1E1E3" w:themeColor="accent3" w:themeTint="33"/>
              <w:left w:val="single" w:sz="8" w:space="0" w:color="E1E1E3" w:themeColor="accent3" w:themeTint="33"/>
              <w:bottom w:val="single" w:sz="8" w:space="0" w:color="E1E1E3" w:themeColor="accent3" w:themeTint="33"/>
              <w:right w:val="single" w:sz="8" w:space="0" w:color="E1E1E3" w:themeColor="accent3" w:themeTint="33"/>
            </w:tcBorders>
            <w:vAlign w:val="center"/>
          </w:tcPr>
          <w:p w14:paraId="5435AAC8" w14:textId="77777777" w:rsidR="00CB39D1" w:rsidRPr="00CB39D1" w:rsidRDefault="00CB39D1" w:rsidP="00CB39D1">
            <w:pPr>
              <w:spacing w:before="0" w:after="0" w:line="240" w:lineRule="auto"/>
              <w:jc w:val="center"/>
              <w:rPr>
                <w:i/>
                <w:color w:val="A5A6AC" w:themeColor="accent3" w:themeTint="99"/>
                <w:sz w:val="18"/>
                <w:szCs w:val="18"/>
              </w:rPr>
            </w:pPr>
            <w:r w:rsidRPr="00CB39D1">
              <w:rPr>
                <w:i/>
                <w:color w:val="A5A6AC" w:themeColor="accent3" w:themeTint="99"/>
                <w:sz w:val="18"/>
                <w:szCs w:val="18"/>
              </w:rPr>
              <w:t>6.3%</w:t>
            </w:r>
          </w:p>
        </w:tc>
        <w:tc>
          <w:tcPr>
            <w:tcW w:w="992" w:type="dxa"/>
            <w:tcBorders>
              <w:top w:val="single" w:sz="8" w:space="0" w:color="E1E1E3" w:themeColor="accent3" w:themeTint="33"/>
              <w:left w:val="single" w:sz="8" w:space="0" w:color="E1E1E3" w:themeColor="accent3" w:themeTint="33"/>
              <w:bottom w:val="single" w:sz="8" w:space="0" w:color="E1E1E3" w:themeColor="accent3" w:themeTint="33"/>
              <w:right w:val="single" w:sz="8" w:space="0" w:color="E1E1E3" w:themeColor="accent3" w:themeTint="33"/>
            </w:tcBorders>
            <w:vAlign w:val="center"/>
          </w:tcPr>
          <w:p w14:paraId="29E590E6" w14:textId="77777777" w:rsidR="00CB39D1" w:rsidRPr="00CB39D1" w:rsidRDefault="00CB39D1" w:rsidP="00CB39D1">
            <w:pPr>
              <w:spacing w:before="0" w:after="0" w:line="240" w:lineRule="auto"/>
              <w:jc w:val="center"/>
              <w:rPr>
                <w:i/>
                <w:color w:val="A5A6AC" w:themeColor="accent3" w:themeTint="99"/>
                <w:sz w:val="18"/>
                <w:szCs w:val="18"/>
              </w:rPr>
            </w:pPr>
            <w:r w:rsidRPr="00CB39D1">
              <w:rPr>
                <w:i/>
                <w:color w:val="A5A6AC" w:themeColor="accent3" w:themeTint="99"/>
                <w:sz w:val="18"/>
                <w:szCs w:val="18"/>
              </w:rPr>
              <w:t>5.9%</w:t>
            </w:r>
          </w:p>
        </w:tc>
        <w:tc>
          <w:tcPr>
            <w:tcW w:w="992" w:type="dxa"/>
            <w:tcBorders>
              <w:top w:val="single" w:sz="8" w:space="0" w:color="E1E1E3" w:themeColor="accent3" w:themeTint="33"/>
              <w:left w:val="single" w:sz="8" w:space="0" w:color="E1E1E3" w:themeColor="accent3" w:themeTint="33"/>
              <w:bottom w:val="single" w:sz="8" w:space="0" w:color="E1E1E3" w:themeColor="accent3" w:themeTint="33"/>
              <w:right w:val="single" w:sz="8" w:space="0" w:color="E1E1E3" w:themeColor="accent3" w:themeTint="33"/>
            </w:tcBorders>
            <w:vAlign w:val="center"/>
          </w:tcPr>
          <w:p w14:paraId="66F4A404" w14:textId="77777777" w:rsidR="00CB39D1" w:rsidRPr="00CB39D1" w:rsidRDefault="00CB39D1" w:rsidP="00CB39D1">
            <w:pPr>
              <w:spacing w:before="0" w:after="0" w:line="240" w:lineRule="auto"/>
              <w:jc w:val="center"/>
              <w:rPr>
                <w:i/>
                <w:color w:val="A5A6AC" w:themeColor="accent3" w:themeTint="99"/>
                <w:sz w:val="18"/>
                <w:szCs w:val="18"/>
              </w:rPr>
            </w:pPr>
            <w:r w:rsidRPr="00CB39D1">
              <w:rPr>
                <w:i/>
                <w:color w:val="A5A6AC" w:themeColor="accent3" w:themeTint="99"/>
                <w:sz w:val="18"/>
                <w:szCs w:val="18"/>
              </w:rPr>
              <w:t>5.9%</w:t>
            </w:r>
          </w:p>
        </w:tc>
        <w:tc>
          <w:tcPr>
            <w:tcW w:w="982" w:type="dxa"/>
            <w:tcBorders>
              <w:top w:val="single" w:sz="8" w:space="0" w:color="E1E1E3" w:themeColor="accent3" w:themeTint="33"/>
              <w:left w:val="single" w:sz="8" w:space="0" w:color="E1E1E3" w:themeColor="accent3" w:themeTint="33"/>
              <w:bottom w:val="single" w:sz="8" w:space="0" w:color="E1E1E3" w:themeColor="accent3" w:themeTint="33"/>
              <w:right w:val="single" w:sz="8" w:space="0" w:color="E1E1E3" w:themeColor="accent3" w:themeTint="33"/>
            </w:tcBorders>
            <w:vAlign w:val="center"/>
          </w:tcPr>
          <w:p w14:paraId="52450CD6" w14:textId="77777777" w:rsidR="00CB39D1" w:rsidRPr="00CB39D1" w:rsidRDefault="00CB39D1" w:rsidP="00CB39D1">
            <w:pPr>
              <w:spacing w:before="0" w:after="0" w:line="240" w:lineRule="auto"/>
              <w:jc w:val="center"/>
              <w:rPr>
                <w:i/>
                <w:color w:val="A5A6AC" w:themeColor="accent3" w:themeTint="99"/>
                <w:sz w:val="18"/>
                <w:szCs w:val="18"/>
              </w:rPr>
            </w:pPr>
            <w:r w:rsidRPr="00CB39D1">
              <w:rPr>
                <w:i/>
                <w:color w:val="A5A6AC" w:themeColor="accent3" w:themeTint="99"/>
                <w:sz w:val="18"/>
                <w:szCs w:val="18"/>
              </w:rPr>
              <w:t>5.9%</w:t>
            </w:r>
          </w:p>
        </w:tc>
      </w:tr>
      <w:tr w:rsidR="00CB39D1" w:rsidRPr="00CB39D1" w14:paraId="43CC07D6" w14:textId="77777777" w:rsidTr="008D4E1E">
        <w:trPr>
          <w:trHeight w:val="360"/>
        </w:trPr>
        <w:tc>
          <w:tcPr>
            <w:tcW w:w="1263" w:type="dxa"/>
            <w:vMerge/>
            <w:vAlign w:val="center"/>
          </w:tcPr>
          <w:p w14:paraId="2CB941AC" w14:textId="77777777" w:rsidR="00CB39D1" w:rsidRPr="00CB39D1" w:rsidRDefault="00CB39D1" w:rsidP="00CB39D1">
            <w:pPr>
              <w:spacing w:before="0" w:after="0" w:line="240" w:lineRule="auto"/>
              <w:rPr>
                <w:sz w:val="18"/>
                <w:szCs w:val="18"/>
                <w:lang w:val="ru-RU" w:eastAsia="ru-RU"/>
              </w:rPr>
            </w:pPr>
          </w:p>
        </w:tc>
        <w:tc>
          <w:tcPr>
            <w:tcW w:w="2835" w:type="dxa"/>
            <w:vAlign w:val="center"/>
          </w:tcPr>
          <w:p w14:paraId="5A192712" w14:textId="77777777" w:rsidR="00CB39D1" w:rsidRPr="00CB39D1" w:rsidRDefault="00CB39D1" w:rsidP="00CB39D1">
            <w:pPr>
              <w:spacing w:before="0" w:after="0" w:line="240" w:lineRule="auto"/>
              <w:rPr>
                <w:i/>
                <w:color w:val="A5A6AC" w:themeColor="accent3" w:themeTint="99"/>
                <w:sz w:val="18"/>
                <w:szCs w:val="18"/>
              </w:rPr>
            </w:pPr>
            <w:r w:rsidRPr="00CB39D1">
              <w:rPr>
                <w:sz w:val="18"/>
                <w:szCs w:val="18"/>
              </w:rPr>
              <w:t>2026թ. Պետական բյուջե</w:t>
            </w:r>
          </w:p>
        </w:tc>
        <w:tc>
          <w:tcPr>
            <w:tcW w:w="992" w:type="dxa"/>
            <w:vAlign w:val="center"/>
          </w:tcPr>
          <w:p w14:paraId="11FCB13D" w14:textId="77777777" w:rsidR="00CB39D1" w:rsidRPr="00CB39D1" w:rsidRDefault="00CB39D1" w:rsidP="00CB39D1">
            <w:pPr>
              <w:spacing w:before="0" w:after="0" w:line="240" w:lineRule="auto"/>
              <w:jc w:val="center"/>
              <w:rPr>
                <w:i/>
                <w:color w:val="A5A6AC" w:themeColor="accent3" w:themeTint="99"/>
                <w:sz w:val="18"/>
                <w:szCs w:val="18"/>
              </w:rPr>
            </w:pPr>
          </w:p>
        </w:tc>
        <w:tc>
          <w:tcPr>
            <w:tcW w:w="722" w:type="dxa"/>
            <w:vAlign w:val="center"/>
          </w:tcPr>
          <w:p w14:paraId="26282084" w14:textId="77777777" w:rsidR="00CB39D1" w:rsidRPr="00CB39D1" w:rsidRDefault="00CB39D1" w:rsidP="00CB39D1">
            <w:pPr>
              <w:spacing w:before="0" w:after="0" w:line="240" w:lineRule="auto"/>
              <w:jc w:val="center"/>
              <w:rPr>
                <w:i/>
                <w:color w:val="A5A6AC" w:themeColor="accent3" w:themeTint="99"/>
                <w:sz w:val="18"/>
                <w:szCs w:val="18"/>
              </w:rPr>
            </w:pPr>
          </w:p>
        </w:tc>
        <w:tc>
          <w:tcPr>
            <w:tcW w:w="851" w:type="dxa"/>
            <w:vAlign w:val="center"/>
          </w:tcPr>
          <w:p w14:paraId="6C7439FF" w14:textId="77777777" w:rsidR="00CB39D1" w:rsidRPr="00CB39D1" w:rsidRDefault="00CB39D1" w:rsidP="00CB39D1">
            <w:pPr>
              <w:spacing w:before="0" w:after="0" w:line="240" w:lineRule="auto"/>
              <w:jc w:val="center"/>
              <w:rPr>
                <w:sz w:val="18"/>
                <w:szCs w:val="18"/>
              </w:rPr>
            </w:pPr>
            <w:r w:rsidRPr="00CB39D1">
              <w:rPr>
                <w:sz w:val="18"/>
                <w:szCs w:val="18"/>
              </w:rPr>
              <w:t>729.9</w:t>
            </w:r>
          </w:p>
        </w:tc>
        <w:tc>
          <w:tcPr>
            <w:tcW w:w="992" w:type="dxa"/>
            <w:vAlign w:val="center"/>
          </w:tcPr>
          <w:p w14:paraId="41E1E7DE" w14:textId="77777777" w:rsidR="00CB39D1" w:rsidRPr="00CB39D1" w:rsidRDefault="00CB39D1" w:rsidP="00CB39D1">
            <w:pPr>
              <w:spacing w:before="0" w:after="0" w:line="240" w:lineRule="auto"/>
              <w:jc w:val="center"/>
              <w:rPr>
                <w:sz w:val="18"/>
                <w:szCs w:val="18"/>
              </w:rPr>
            </w:pPr>
            <w:r w:rsidRPr="00CB39D1">
              <w:rPr>
                <w:sz w:val="18"/>
                <w:szCs w:val="18"/>
              </w:rPr>
              <w:t>704.1</w:t>
            </w:r>
          </w:p>
        </w:tc>
        <w:tc>
          <w:tcPr>
            <w:tcW w:w="992" w:type="dxa"/>
            <w:vAlign w:val="center"/>
          </w:tcPr>
          <w:p w14:paraId="12890FC9" w14:textId="77777777" w:rsidR="00CB39D1" w:rsidRPr="00CB39D1" w:rsidRDefault="00CB39D1" w:rsidP="00CB39D1">
            <w:pPr>
              <w:spacing w:before="0" w:after="0" w:line="240" w:lineRule="auto"/>
              <w:jc w:val="center"/>
              <w:rPr>
                <w:sz w:val="18"/>
                <w:szCs w:val="18"/>
              </w:rPr>
            </w:pPr>
            <w:r w:rsidRPr="00CB39D1">
              <w:rPr>
                <w:sz w:val="18"/>
                <w:szCs w:val="18"/>
              </w:rPr>
              <w:t>719.1</w:t>
            </w:r>
          </w:p>
        </w:tc>
        <w:tc>
          <w:tcPr>
            <w:tcW w:w="982" w:type="dxa"/>
            <w:vAlign w:val="center"/>
          </w:tcPr>
          <w:p w14:paraId="2F2F4738" w14:textId="77777777" w:rsidR="00CB39D1" w:rsidRPr="00CB39D1" w:rsidRDefault="00CB39D1" w:rsidP="00CB39D1">
            <w:pPr>
              <w:spacing w:before="0" w:after="0" w:line="240" w:lineRule="auto"/>
              <w:jc w:val="center"/>
              <w:rPr>
                <w:sz w:val="18"/>
                <w:szCs w:val="18"/>
              </w:rPr>
            </w:pPr>
            <w:r w:rsidRPr="00CB39D1">
              <w:rPr>
                <w:sz w:val="18"/>
                <w:szCs w:val="18"/>
              </w:rPr>
              <w:t>803.1</w:t>
            </w:r>
          </w:p>
        </w:tc>
      </w:tr>
      <w:tr w:rsidR="00CB39D1" w:rsidRPr="00CB39D1" w14:paraId="28035812" w14:textId="77777777" w:rsidTr="008D4E1E">
        <w:trPr>
          <w:trHeight w:val="360"/>
        </w:trPr>
        <w:tc>
          <w:tcPr>
            <w:tcW w:w="1263" w:type="dxa"/>
            <w:vMerge/>
            <w:vAlign w:val="center"/>
          </w:tcPr>
          <w:p w14:paraId="05556414" w14:textId="77777777" w:rsidR="00CB39D1" w:rsidRPr="00CB39D1" w:rsidRDefault="00CB39D1" w:rsidP="00CB39D1">
            <w:pPr>
              <w:spacing w:before="0" w:after="0" w:line="240" w:lineRule="auto"/>
              <w:rPr>
                <w:sz w:val="18"/>
                <w:szCs w:val="18"/>
                <w:lang w:val="ru-RU" w:eastAsia="ru-RU"/>
              </w:rPr>
            </w:pPr>
          </w:p>
        </w:tc>
        <w:tc>
          <w:tcPr>
            <w:tcW w:w="2835" w:type="dxa"/>
            <w:vAlign w:val="center"/>
          </w:tcPr>
          <w:p w14:paraId="37ED03BF" w14:textId="77777777" w:rsidR="00CB39D1" w:rsidRPr="00CB39D1" w:rsidRDefault="00CB39D1" w:rsidP="00CB39D1">
            <w:pPr>
              <w:spacing w:before="0" w:after="0" w:line="240" w:lineRule="auto"/>
              <w:rPr>
                <w:i/>
                <w:color w:val="A5A6AC" w:themeColor="accent3" w:themeTint="99"/>
                <w:sz w:val="18"/>
                <w:szCs w:val="18"/>
              </w:rPr>
            </w:pPr>
            <w:r w:rsidRPr="00CB39D1">
              <w:rPr>
                <w:i/>
                <w:color w:val="A5A6AC" w:themeColor="accent3" w:themeTint="99"/>
                <w:sz w:val="18"/>
                <w:szCs w:val="18"/>
              </w:rPr>
              <w:t>%-ով՝ ՀՆԱ-ի նկատմամբ</w:t>
            </w:r>
          </w:p>
        </w:tc>
        <w:tc>
          <w:tcPr>
            <w:tcW w:w="992" w:type="dxa"/>
            <w:vAlign w:val="center"/>
          </w:tcPr>
          <w:p w14:paraId="1AB57DDF" w14:textId="77777777" w:rsidR="00CB39D1" w:rsidRPr="00CB39D1" w:rsidRDefault="00CB39D1" w:rsidP="00CB39D1">
            <w:pPr>
              <w:spacing w:before="0" w:after="0" w:line="240" w:lineRule="auto"/>
              <w:jc w:val="center"/>
              <w:rPr>
                <w:i/>
                <w:color w:val="A5A6AC" w:themeColor="accent3" w:themeTint="99"/>
                <w:sz w:val="18"/>
                <w:szCs w:val="18"/>
              </w:rPr>
            </w:pPr>
          </w:p>
        </w:tc>
        <w:tc>
          <w:tcPr>
            <w:tcW w:w="722" w:type="dxa"/>
            <w:vAlign w:val="center"/>
          </w:tcPr>
          <w:p w14:paraId="3FAA926D" w14:textId="77777777" w:rsidR="00CB39D1" w:rsidRPr="00CB39D1" w:rsidRDefault="00CB39D1" w:rsidP="00CB39D1">
            <w:pPr>
              <w:spacing w:before="0" w:after="0" w:line="240" w:lineRule="auto"/>
              <w:jc w:val="center"/>
              <w:rPr>
                <w:i/>
                <w:color w:val="A5A6AC" w:themeColor="accent3" w:themeTint="99"/>
                <w:sz w:val="18"/>
                <w:szCs w:val="18"/>
              </w:rPr>
            </w:pPr>
          </w:p>
        </w:tc>
        <w:tc>
          <w:tcPr>
            <w:tcW w:w="851" w:type="dxa"/>
            <w:vAlign w:val="center"/>
          </w:tcPr>
          <w:p w14:paraId="0DC04534" w14:textId="77777777" w:rsidR="00CB39D1" w:rsidRPr="00CB39D1" w:rsidRDefault="00CB39D1" w:rsidP="00CB39D1">
            <w:pPr>
              <w:spacing w:before="0" w:after="0" w:line="240" w:lineRule="auto"/>
              <w:jc w:val="center"/>
              <w:rPr>
                <w:i/>
                <w:color w:val="A5A6AC" w:themeColor="accent3" w:themeTint="99"/>
                <w:sz w:val="18"/>
                <w:szCs w:val="18"/>
              </w:rPr>
            </w:pPr>
            <w:r w:rsidRPr="00CB39D1">
              <w:rPr>
                <w:i/>
                <w:color w:val="A5A6AC" w:themeColor="accent3" w:themeTint="99"/>
                <w:sz w:val="18"/>
                <w:szCs w:val="18"/>
              </w:rPr>
              <w:t>6.6%</w:t>
            </w:r>
          </w:p>
        </w:tc>
        <w:tc>
          <w:tcPr>
            <w:tcW w:w="992" w:type="dxa"/>
            <w:vAlign w:val="center"/>
          </w:tcPr>
          <w:p w14:paraId="242B9B0F" w14:textId="77777777" w:rsidR="00CB39D1" w:rsidRPr="00CB39D1" w:rsidRDefault="00CB39D1" w:rsidP="00CB39D1">
            <w:pPr>
              <w:spacing w:before="0" w:after="0" w:line="240" w:lineRule="auto"/>
              <w:jc w:val="center"/>
              <w:rPr>
                <w:i/>
                <w:color w:val="A5A6AC" w:themeColor="accent3" w:themeTint="99"/>
                <w:sz w:val="18"/>
                <w:szCs w:val="18"/>
              </w:rPr>
            </w:pPr>
            <w:r w:rsidRPr="00CB39D1">
              <w:rPr>
                <w:i/>
                <w:color w:val="A5A6AC" w:themeColor="accent3" w:themeTint="99"/>
                <w:sz w:val="18"/>
                <w:szCs w:val="18"/>
              </w:rPr>
              <w:t>5.9%</w:t>
            </w:r>
          </w:p>
        </w:tc>
        <w:tc>
          <w:tcPr>
            <w:tcW w:w="992" w:type="dxa"/>
            <w:vAlign w:val="center"/>
          </w:tcPr>
          <w:p w14:paraId="37E846A5" w14:textId="77777777" w:rsidR="00CB39D1" w:rsidRPr="00CB39D1" w:rsidRDefault="00CB39D1" w:rsidP="00CB39D1">
            <w:pPr>
              <w:spacing w:before="0" w:after="0" w:line="240" w:lineRule="auto"/>
              <w:jc w:val="center"/>
              <w:rPr>
                <w:i/>
                <w:color w:val="A5A6AC" w:themeColor="accent3" w:themeTint="99"/>
                <w:sz w:val="18"/>
                <w:szCs w:val="18"/>
              </w:rPr>
            </w:pPr>
            <w:r w:rsidRPr="00CB39D1">
              <w:rPr>
                <w:i/>
                <w:color w:val="A5A6AC" w:themeColor="accent3" w:themeTint="99"/>
                <w:sz w:val="18"/>
                <w:szCs w:val="18"/>
              </w:rPr>
              <w:t>5.6%</w:t>
            </w:r>
          </w:p>
        </w:tc>
        <w:tc>
          <w:tcPr>
            <w:tcW w:w="982" w:type="dxa"/>
            <w:vAlign w:val="center"/>
          </w:tcPr>
          <w:p w14:paraId="64EB0A9F" w14:textId="77777777" w:rsidR="00CB39D1" w:rsidRPr="00CB39D1" w:rsidRDefault="00CB39D1" w:rsidP="00CB39D1">
            <w:pPr>
              <w:spacing w:before="0" w:after="0" w:line="240" w:lineRule="auto"/>
              <w:jc w:val="center"/>
              <w:rPr>
                <w:i/>
                <w:color w:val="A5A6AC" w:themeColor="accent3" w:themeTint="99"/>
                <w:sz w:val="18"/>
                <w:szCs w:val="18"/>
              </w:rPr>
            </w:pPr>
            <w:r w:rsidRPr="00CB39D1">
              <w:rPr>
                <w:i/>
                <w:color w:val="A5A6AC" w:themeColor="accent3" w:themeTint="99"/>
                <w:sz w:val="18"/>
                <w:szCs w:val="18"/>
              </w:rPr>
              <w:t>5.7%</w:t>
            </w:r>
          </w:p>
        </w:tc>
      </w:tr>
    </w:tbl>
    <w:p w14:paraId="23566A01" w14:textId="77777777" w:rsidR="00CB39D1" w:rsidRPr="00CB39D1" w:rsidRDefault="00CB39D1" w:rsidP="00CB39D1">
      <w:pPr>
        <w:jc w:val="both"/>
        <w:rPr>
          <w:rFonts w:ascii="GHEA Grapalat" w:hAnsi="GHEA Grapalat"/>
          <w:bCs/>
          <w:szCs w:val="20"/>
        </w:rPr>
      </w:pPr>
      <w:r w:rsidRPr="00CB39D1">
        <w:rPr>
          <w:rFonts w:ascii="GHEA Grapalat" w:hAnsi="GHEA Grapalat"/>
          <w:bCs/>
          <w:szCs w:val="20"/>
        </w:rPr>
        <w:t>Աղյուսակ 2.8. Պետական բյուջեի պակասուրդի ֆինանսավորման կանխատեսումների համեմատական աղյուսակը, մլրդ դրամ</w:t>
      </w:r>
    </w:p>
    <w:tbl>
      <w:tblPr>
        <w:tblW w:w="9629" w:type="dxa"/>
        <w:tblBorders>
          <w:top w:val="single" w:sz="8" w:space="0" w:color="E1E1E3" w:themeColor="accent3" w:themeTint="33"/>
          <w:left w:val="single" w:sz="8" w:space="0" w:color="E1E1E3" w:themeColor="accent3" w:themeTint="33"/>
          <w:bottom w:val="single" w:sz="8" w:space="0" w:color="E1E1E3" w:themeColor="accent3" w:themeTint="33"/>
          <w:right w:val="single" w:sz="8" w:space="0" w:color="E1E1E3" w:themeColor="accent3" w:themeTint="33"/>
          <w:insideH w:val="single" w:sz="8" w:space="0" w:color="E1E1E3" w:themeColor="accent3" w:themeTint="33"/>
          <w:insideV w:val="single" w:sz="8" w:space="0" w:color="E1E1E3" w:themeColor="accent3" w:themeTint="33"/>
        </w:tblBorders>
        <w:tblLook w:val="04A0" w:firstRow="1" w:lastRow="0" w:firstColumn="1" w:lastColumn="0" w:noHBand="0" w:noVBand="1"/>
      </w:tblPr>
      <w:tblGrid>
        <w:gridCol w:w="1253"/>
        <w:gridCol w:w="2835"/>
        <w:gridCol w:w="995"/>
        <w:gridCol w:w="719"/>
        <w:gridCol w:w="851"/>
        <w:gridCol w:w="992"/>
        <w:gridCol w:w="992"/>
        <w:gridCol w:w="992"/>
      </w:tblGrid>
      <w:tr w:rsidR="00CB39D1" w:rsidRPr="00CB39D1" w14:paraId="30DF7721" w14:textId="77777777" w:rsidTr="008D4E1E">
        <w:trPr>
          <w:trHeight w:val="360"/>
        </w:trPr>
        <w:tc>
          <w:tcPr>
            <w:tcW w:w="1253" w:type="dxa"/>
            <w:shd w:val="clear" w:color="auto" w:fill="D5DCE4" w:themeFill="text2" w:themeFillTint="33"/>
            <w:vAlign w:val="center"/>
            <w:hideMark/>
          </w:tcPr>
          <w:p w14:paraId="452D7C6F" w14:textId="77777777" w:rsidR="00CB39D1" w:rsidRPr="00CB39D1" w:rsidRDefault="00CB39D1" w:rsidP="00CB39D1">
            <w:pPr>
              <w:spacing w:before="0" w:after="0" w:line="240" w:lineRule="auto"/>
              <w:rPr>
                <w:b/>
                <w:sz w:val="18"/>
                <w:szCs w:val="18"/>
                <w:lang w:val="ru-RU"/>
              </w:rPr>
            </w:pPr>
            <w:r w:rsidRPr="00CB39D1">
              <w:rPr>
                <w:b/>
                <w:sz w:val="18"/>
                <w:szCs w:val="18"/>
              </w:rPr>
              <w:t>Ընդունման տարին</w:t>
            </w:r>
          </w:p>
        </w:tc>
        <w:tc>
          <w:tcPr>
            <w:tcW w:w="2835" w:type="dxa"/>
            <w:shd w:val="clear" w:color="auto" w:fill="D5DCE4" w:themeFill="text2" w:themeFillTint="33"/>
            <w:noWrap/>
            <w:vAlign w:val="center"/>
            <w:hideMark/>
          </w:tcPr>
          <w:p w14:paraId="7D0B8084" w14:textId="77777777" w:rsidR="00CB39D1" w:rsidRPr="00CB39D1" w:rsidRDefault="00CB39D1" w:rsidP="00CB39D1">
            <w:pPr>
              <w:spacing w:before="0" w:after="0" w:line="240" w:lineRule="auto"/>
              <w:rPr>
                <w:b/>
                <w:sz w:val="18"/>
                <w:szCs w:val="18"/>
              </w:rPr>
            </w:pPr>
            <w:r w:rsidRPr="00CB39D1">
              <w:rPr>
                <w:b/>
                <w:sz w:val="18"/>
                <w:szCs w:val="18"/>
              </w:rPr>
              <w:t>Ծրագիր</w:t>
            </w:r>
          </w:p>
        </w:tc>
        <w:tc>
          <w:tcPr>
            <w:tcW w:w="995" w:type="dxa"/>
            <w:tcBorders>
              <w:bottom w:val="single" w:sz="8" w:space="0" w:color="E1E1E3" w:themeColor="accent3" w:themeTint="33"/>
            </w:tcBorders>
            <w:shd w:val="clear" w:color="auto" w:fill="D5DCE4" w:themeFill="text2" w:themeFillTint="33"/>
            <w:noWrap/>
            <w:vAlign w:val="center"/>
            <w:hideMark/>
          </w:tcPr>
          <w:p w14:paraId="3D4E521F" w14:textId="77777777" w:rsidR="00CB39D1" w:rsidRPr="00CB39D1" w:rsidRDefault="00CB39D1" w:rsidP="00CB39D1">
            <w:pPr>
              <w:spacing w:before="0" w:after="0" w:line="240" w:lineRule="auto"/>
              <w:jc w:val="center"/>
              <w:rPr>
                <w:b/>
                <w:sz w:val="18"/>
                <w:szCs w:val="18"/>
              </w:rPr>
            </w:pPr>
            <w:r w:rsidRPr="00CB39D1">
              <w:rPr>
                <w:b/>
                <w:sz w:val="18"/>
                <w:szCs w:val="18"/>
              </w:rPr>
              <w:t>2023</w:t>
            </w:r>
          </w:p>
        </w:tc>
        <w:tc>
          <w:tcPr>
            <w:tcW w:w="719" w:type="dxa"/>
            <w:tcBorders>
              <w:bottom w:val="single" w:sz="8" w:space="0" w:color="E1E1E3" w:themeColor="accent3" w:themeTint="33"/>
            </w:tcBorders>
            <w:shd w:val="clear" w:color="auto" w:fill="D5DCE4" w:themeFill="text2" w:themeFillTint="33"/>
            <w:noWrap/>
            <w:vAlign w:val="center"/>
            <w:hideMark/>
          </w:tcPr>
          <w:p w14:paraId="00B14702" w14:textId="77777777" w:rsidR="00CB39D1" w:rsidRPr="00CB39D1" w:rsidRDefault="00CB39D1" w:rsidP="00CB39D1">
            <w:pPr>
              <w:spacing w:before="0" w:after="0" w:line="240" w:lineRule="auto"/>
              <w:jc w:val="center"/>
              <w:rPr>
                <w:b/>
                <w:sz w:val="18"/>
                <w:szCs w:val="18"/>
              </w:rPr>
            </w:pPr>
            <w:r w:rsidRPr="00CB39D1">
              <w:rPr>
                <w:b/>
                <w:sz w:val="18"/>
                <w:szCs w:val="18"/>
              </w:rPr>
              <w:t>2024</w:t>
            </w:r>
          </w:p>
        </w:tc>
        <w:tc>
          <w:tcPr>
            <w:tcW w:w="851" w:type="dxa"/>
            <w:tcBorders>
              <w:bottom w:val="single" w:sz="8" w:space="0" w:color="E1E1E3" w:themeColor="accent3" w:themeTint="33"/>
            </w:tcBorders>
            <w:shd w:val="clear" w:color="auto" w:fill="D5DCE4" w:themeFill="text2" w:themeFillTint="33"/>
            <w:noWrap/>
            <w:vAlign w:val="center"/>
            <w:hideMark/>
          </w:tcPr>
          <w:p w14:paraId="2BFDBFBD" w14:textId="77777777" w:rsidR="00CB39D1" w:rsidRPr="00CB39D1" w:rsidRDefault="00CB39D1" w:rsidP="00CB39D1">
            <w:pPr>
              <w:spacing w:before="0" w:after="0" w:line="240" w:lineRule="auto"/>
              <w:jc w:val="center"/>
              <w:rPr>
                <w:b/>
                <w:sz w:val="18"/>
                <w:szCs w:val="18"/>
              </w:rPr>
            </w:pPr>
            <w:r w:rsidRPr="00CB39D1">
              <w:rPr>
                <w:b/>
                <w:sz w:val="18"/>
                <w:szCs w:val="18"/>
              </w:rPr>
              <w:t>2025</w:t>
            </w:r>
          </w:p>
        </w:tc>
        <w:tc>
          <w:tcPr>
            <w:tcW w:w="992" w:type="dxa"/>
            <w:tcBorders>
              <w:bottom w:val="single" w:sz="8" w:space="0" w:color="E1E1E3" w:themeColor="accent3" w:themeTint="33"/>
            </w:tcBorders>
            <w:shd w:val="clear" w:color="auto" w:fill="D5DCE4" w:themeFill="text2" w:themeFillTint="33"/>
            <w:noWrap/>
            <w:vAlign w:val="center"/>
            <w:hideMark/>
          </w:tcPr>
          <w:p w14:paraId="40B18F5A" w14:textId="77777777" w:rsidR="00CB39D1" w:rsidRPr="00CB39D1" w:rsidRDefault="00CB39D1" w:rsidP="00CB39D1">
            <w:pPr>
              <w:spacing w:before="0" w:after="0" w:line="240" w:lineRule="auto"/>
              <w:jc w:val="center"/>
              <w:rPr>
                <w:b/>
                <w:sz w:val="18"/>
                <w:szCs w:val="18"/>
              </w:rPr>
            </w:pPr>
            <w:r w:rsidRPr="00CB39D1">
              <w:rPr>
                <w:b/>
                <w:sz w:val="18"/>
                <w:szCs w:val="18"/>
              </w:rPr>
              <w:t>2026</w:t>
            </w:r>
          </w:p>
        </w:tc>
        <w:tc>
          <w:tcPr>
            <w:tcW w:w="992" w:type="dxa"/>
            <w:tcBorders>
              <w:bottom w:val="single" w:sz="8" w:space="0" w:color="E1E1E3" w:themeColor="accent3" w:themeTint="33"/>
            </w:tcBorders>
            <w:shd w:val="clear" w:color="auto" w:fill="D5DCE4" w:themeFill="text2" w:themeFillTint="33"/>
            <w:noWrap/>
            <w:vAlign w:val="center"/>
            <w:hideMark/>
          </w:tcPr>
          <w:p w14:paraId="76D53EEE" w14:textId="77777777" w:rsidR="00CB39D1" w:rsidRPr="00CB39D1" w:rsidRDefault="00CB39D1" w:rsidP="00CB39D1">
            <w:pPr>
              <w:spacing w:before="0" w:after="0" w:line="240" w:lineRule="auto"/>
              <w:jc w:val="center"/>
              <w:rPr>
                <w:b/>
                <w:sz w:val="18"/>
                <w:szCs w:val="18"/>
              </w:rPr>
            </w:pPr>
            <w:r w:rsidRPr="00CB39D1">
              <w:rPr>
                <w:b/>
                <w:sz w:val="18"/>
                <w:szCs w:val="18"/>
              </w:rPr>
              <w:t>2027</w:t>
            </w:r>
          </w:p>
        </w:tc>
        <w:tc>
          <w:tcPr>
            <w:tcW w:w="992" w:type="dxa"/>
            <w:shd w:val="clear" w:color="auto" w:fill="D5DCE4" w:themeFill="text2" w:themeFillTint="33"/>
            <w:vAlign w:val="center"/>
          </w:tcPr>
          <w:p w14:paraId="6DDC20B3" w14:textId="77777777" w:rsidR="00CB39D1" w:rsidRPr="00CB39D1" w:rsidRDefault="00CB39D1" w:rsidP="00CB39D1">
            <w:pPr>
              <w:spacing w:before="0" w:after="0" w:line="240" w:lineRule="auto"/>
              <w:jc w:val="center"/>
              <w:rPr>
                <w:b/>
                <w:sz w:val="18"/>
                <w:szCs w:val="18"/>
              </w:rPr>
            </w:pPr>
            <w:r w:rsidRPr="00CB39D1">
              <w:rPr>
                <w:b/>
                <w:sz w:val="18"/>
                <w:szCs w:val="18"/>
              </w:rPr>
              <w:t>2028</w:t>
            </w:r>
          </w:p>
        </w:tc>
      </w:tr>
      <w:tr w:rsidR="00CB39D1" w:rsidRPr="00CB39D1" w14:paraId="1B700F02" w14:textId="77777777" w:rsidTr="008D4E1E">
        <w:trPr>
          <w:trHeight w:val="360"/>
        </w:trPr>
        <w:tc>
          <w:tcPr>
            <w:tcW w:w="1253" w:type="dxa"/>
            <w:vMerge w:val="restart"/>
            <w:vAlign w:val="center"/>
            <w:hideMark/>
          </w:tcPr>
          <w:p w14:paraId="07E9E976" w14:textId="77777777" w:rsidR="00CB39D1" w:rsidRPr="00CB39D1" w:rsidRDefault="00CB39D1" w:rsidP="00CB39D1">
            <w:pPr>
              <w:spacing w:before="0" w:after="0" w:line="240" w:lineRule="auto"/>
              <w:jc w:val="center"/>
              <w:rPr>
                <w:sz w:val="18"/>
                <w:szCs w:val="18"/>
              </w:rPr>
            </w:pPr>
            <w:r w:rsidRPr="00CB39D1">
              <w:rPr>
                <w:sz w:val="18"/>
                <w:szCs w:val="18"/>
              </w:rPr>
              <w:t>-</w:t>
            </w:r>
          </w:p>
        </w:tc>
        <w:tc>
          <w:tcPr>
            <w:tcW w:w="2835" w:type="dxa"/>
            <w:noWrap/>
            <w:vAlign w:val="center"/>
            <w:hideMark/>
          </w:tcPr>
          <w:p w14:paraId="33ADF762" w14:textId="77777777" w:rsidR="00CB39D1" w:rsidRPr="00CB39D1" w:rsidRDefault="00CB39D1" w:rsidP="00CB39D1">
            <w:pPr>
              <w:spacing w:before="0" w:after="0" w:line="240" w:lineRule="auto"/>
              <w:rPr>
                <w:sz w:val="18"/>
                <w:szCs w:val="18"/>
              </w:rPr>
            </w:pPr>
            <w:r w:rsidRPr="00CB39D1">
              <w:rPr>
                <w:sz w:val="18"/>
                <w:szCs w:val="18"/>
              </w:rPr>
              <w:t>Փաստացի</w:t>
            </w:r>
          </w:p>
        </w:tc>
        <w:tc>
          <w:tcPr>
            <w:tcW w:w="995" w:type="dxa"/>
            <w:tcBorders>
              <w:top w:val="single" w:sz="8" w:space="0" w:color="E1E1E3" w:themeColor="accent3" w:themeTint="33"/>
              <w:bottom w:val="single" w:sz="8" w:space="0" w:color="E1E1E3" w:themeColor="accent3" w:themeTint="33"/>
              <w:right w:val="single" w:sz="8" w:space="0" w:color="E1E1E3" w:themeColor="accent3" w:themeTint="33"/>
            </w:tcBorders>
            <w:vAlign w:val="center"/>
            <w:hideMark/>
          </w:tcPr>
          <w:p w14:paraId="33F84830" w14:textId="77777777" w:rsidR="00CB39D1" w:rsidRPr="00CB39D1" w:rsidRDefault="00CB39D1" w:rsidP="00CB39D1">
            <w:pPr>
              <w:spacing w:before="0" w:after="0" w:line="240" w:lineRule="auto"/>
              <w:jc w:val="center"/>
              <w:rPr>
                <w:sz w:val="18"/>
                <w:szCs w:val="18"/>
              </w:rPr>
            </w:pPr>
            <w:r w:rsidRPr="00CB39D1">
              <w:rPr>
                <w:sz w:val="18"/>
                <w:szCs w:val="18"/>
              </w:rPr>
              <w:t>339.9</w:t>
            </w:r>
          </w:p>
        </w:tc>
        <w:tc>
          <w:tcPr>
            <w:tcW w:w="719" w:type="dxa"/>
            <w:tcBorders>
              <w:top w:val="single" w:sz="8" w:space="0" w:color="E1E1E3" w:themeColor="accent3" w:themeTint="33"/>
              <w:left w:val="single" w:sz="8" w:space="0" w:color="E1E1E3" w:themeColor="accent3" w:themeTint="33"/>
              <w:bottom w:val="single" w:sz="8" w:space="0" w:color="E1E1E3" w:themeColor="accent3" w:themeTint="33"/>
              <w:right w:val="single" w:sz="8" w:space="0" w:color="E1E1E3" w:themeColor="accent3" w:themeTint="33"/>
            </w:tcBorders>
            <w:noWrap/>
            <w:vAlign w:val="center"/>
            <w:hideMark/>
          </w:tcPr>
          <w:p w14:paraId="56F62E41" w14:textId="77777777" w:rsidR="00CB39D1" w:rsidRPr="00CB39D1" w:rsidRDefault="00CB39D1" w:rsidP="00CB39D1">
            <w:pPr>
              <w:spacing w:before="0" w:after="0" w:line="240" w:lineRule="auto"/>
              <w:jc w:val="center"/>
              <w:rPr>
                <w:sz w:val="18"/>
                <w:szCs w:val="18"/>
              </w:rPr>
            </w:pPr>
            <w:r w:rsidRPr="00CB39D1">
              <w:rPr>
                <w:sz w:val="18"/>
                <w:szCs w:val="18"/>
              </w:rPr>
              <w:t>376.1</w:t>
            </w:r>
          </w:p>
        </w:tc>
        <w:tc>
          <w:tcPr>
            <w:tcW w:w="851" w:type="dxa"/>
            <w:tcBorders>
              <w:top w:val="single" w:sz="8" w:space="0" w:color="E1E1E3" w:themeColor="accent3" w:themeTint="33"/>
              <w:left w:val="single" w:sz="8" w:space="0" w:color="E1E1E3" w:themeColor="accent3" w:themeTint="33"/>
              <w:bottom w:val="single" w:sz="8" w:space="0" w:color="E1E1E3" w:themeColor="accent3" w:themeTint="33"/>
              <w:right w:val="single" w:sz="8" w:space="0" w:color="E1E1E3" w:themeColor="accent3" w:themeTint="33"/>
            </w:tcBorders>
            <w:noWrap/>
            <w:vAlign w:val="center"/>
            <w:hideMark/>
          </w:tcPr>
          <w:p w14:paraId="3D596521" w14:textId="77777777" w:rsidR="00CB39D1" w:rsidRPr="00CB39D1" w:rsidRDefault="00CB39D1" w:rsidP="00CB39D1">
            <w:pPr>
              <w:spacing w:before="0" w:after="0" w:line="240" w:lineRule="auto"/>
              <w:jc w:val="center"/>
              <w:rPr>
                <w:sz w:val="18"/>
                <w:szCs w:val="18"/>
              </w:rPr>
            </w:pPr>
          </w:p>
        </w:tc>
        <w:tc>
          <w:tcPr>
            <w:tcW w:w="992" w:type="dxa"/>
            <w:tcBorders>
              <w:top w:val="single" w:sz="8" w:space="0" w:color="E1E1E3" w:themeColor="accent3" w:themeTint="33"/>
              <w:left w:val="single" w:sz="8" w:space="0" w:color="E1E1E3" w:themeColor="accent3" w:themeTint="33"/>
              <w:bottom w:val="single" w:sz="8" w:space="0" w:color="E1E1E3" w:themeColor="accent3" w:themeTint="33"/>
              <w:right w:val="single" w:sz="8" w:space="0" w:color="E1E1E3" w:themeColor="accent3" w:themeTint="33"/>
            </w:tcBorders>
            <w:noWrap/>
            <w:vAlign w:val="center"/>
            <w:hideMark/>
          </w:tcPr>
          <w:p w14:paraId="298983F2" w14:textId="77777777" w:rsidR="00CB39D1" w:rsidRPr="00CB39D1" w:rsidRDefault="00CB39D1" w:rsidP="00CB39D1">
            <w:pPr>
              <w:spacing w:before="0" w:after="0" w:line="240" w:lineRule="auto"/>
              <w:jc w:val="center"/>
              <w:rPr>
                <w:sz w:val="18"/>
                <w:szCs w:val="18"/>
              </w:rPr>
            </w:pPr>
          </w:p>
        </w:tc>
        <w:tc>
          <w:tcPr>
            <w:tcW w:w="992" w:type="dxa"/>
            <w:tcBorders>
              <w:top w:val="single" w:sz="8" w:space="0" w:color="E1E1E3" w:themeColor="accent3" w:themeTint="33"/>
              <w:left w:val="single" w:sz="8" w:space="0" w:color="E1E1E3" w:themeColor="accent3" w:themeTint="33"/>
              <w:bottom w:val="single" w:sz="8" w:space="0" w:color="E1E1E3" w:themeColor="accent3" w:themeTint="33"/>
            </w:tcBorders>
            <w:vAlign w:val="center"/>
            <w:hideMark/>
          </w:tcPr>
          <w:p w14:paraId="1B97B667" w14:textId="77777777" w:rsidR="00CB39D1" w:rsidRPr="00CB39D1" w:rsidRDefault="00CB39D1" w:rsidP="00CB39D1">
            <w:pPr>
              <w:spacing w:before="0" w:after="0" w:line="240" w:lineRule="auto"/>
              <w:jc w:val="center"/>
              <w:rPr>
                <w:sz w:val="18"/>
                <w:szCs w:val="18"/>
              </w:rPr>
            </w:pPr>
          </w:p>
        </w:tc>
        <w:tc>
          <w:tcPr>
            <w:tcW w:w="992" w:type="dxa"/>
          </w:tcPr>
          <w:p w14:paraId="263D5EF1" w14:textId="77777777" w:rsidR="00CB39D1" w:rsidRPr="00CB39D1" w:rsidRDefault="00CB39D1" w:rsidP="00CB39D1">
            <w:pPr>
              <w:spacing w:before="0" w:after="0" w:line="240" w:lineRule="auto"/>
              <w:jc w:val="center"/>
              <w:rPr>
                <w:sz w:val="18"/>
                <w:szCs w:val="18"/>
              </w:rPr>
            </w:pPr>
          </w:p>
        </w:tc>
      </w:tr>
      <w:tr w:rsidR="00CB39D1" w:rsidRPr="00CB39D1" w14:paraId="52C2B339" w14:textId="77777777" w:rsidTr="008D4E1E">
        <w:trPr>
          <w:trHeight w:val="360"/>
        </w:trPr>
        <w:tc>
          <w:tcPr>
            <w:tcW w:w="1253" w:type="dxa"/>
            <w:vMerge/>
            <w:vAlign w:val="center"/>
            <w:hideMark/>
          </w:tcPr>
          <w:p w14:paraId="34FC6FD5" w14:textId="77777777" w:rsidR="00CB39D1" w:rsidRPr="00CB39D1" w:rsidRDefault="00CB39D1" w:rsidP="00CB39D1">
            <w:pPr>
              <w:spacing w:before="0" w:after="0" w:line="240" w:lineRule="auto"/>
              <w:jc w:val="center"/>
              <w:rPr>
                <w:sz w:val="18"/>
                <w:szCs w:val="18"/>
                <w:lang w:val="ru-RU" w:eastAsia="ru-RU"/>
              </w:rPr>
            </w:pPr>
          </w:p>
        </w:tc>
        <w:tc>
          <w:tcPr>
            <w:tcW w:w="2835" w:type="dxa"/>
            <w:noWrap/>
            <w:vAlign w:val="center"/>
            <w:hideMark/>
          </w:tcPr>
          <w:p w14:paraId="535B0962" w14:textId="77777777" w:rsidR="00CB39D1" w:rsidRPr="00CB39D1" w:rsidRDefault="00CB39D1" w:rsidP="00CB39D1">
            <w:pPr>
              <w:spacing w:before="0" w:after="0" w:line="240" w:lineRule="auto"/>
              <w:rPr>
                <w:i/>
                <w:color w:val="A5A6AC" w:themeColor="accent3" w:themeTint="99"/>
                <w:sz w:val="18"/>
                <w:szCs w:val="18"/>
              </w:rPr>
            </w:pPr>
            <w:r w:rsidRPr="00CB39D1">
              <w:rPr>
                <w:i/>
                <w:color w:val="A5A6AC" w:themeColor="accent3" w:themeTint="99"/>
                <w:sz w:val="18"/>
                <w:szCs w:val="18"/>
              </w:rPr>
              <w:t>%-ով՝ ՀՆԱ-ի նկատմամբ</w:t>
            </w:r>
          </w:p>
        </w:tc>
        <w:tc>
          <w:tcPr>
            <w:tcW w:w="995" w:type="dxa"/>
            <w:tcBorders>
              <w:top w:val="single" w:sz="8" w:space="0" w:color="E1E1E3" w:themeColor="accent3" w:themeTint="33"/>
              <w:bottom w:val="single" w:sz="8" w:space="0" w:color="E1E1E3" w:themeColor="accent3" w:themeTint="33"/>
              <w:right w:val="single" w:sz="8" w:space="0" w:color="E1E1E3" w:themeColor="accent3" w:themeTint="33"/>
            </w:tcBorders>
            <w:vAlign w:val="center"/>
            <w:hideMark/>
          </w:tcPr>
          <w:p w14:paraId="6683C79F" w14:textId="77777777" w:rsidR="00CB39D1" w:rsidRPr="00CB39D1" w:rsidRDefault="00CB39D1" w:rsidP="00CB39D1">
            <w:pPr>
              <w:spacing w:before="0" w:after="0" w:line="240" w:lineRule="auto"/>
              <w:jc w:val="center"/>
              <w:rPr>
                <w:i/>
                <w:color w:val="A5A6AC" w:themeColor="accent3" w:themeTint="99"/>
                <w:sz w:val="18"/>
                <w:szCs w:val="18"/>
              </w:rPr>
            </w:pPr>
            <w:r w:rsidRPr="00CB39D1">
              <w:rPr>
                <w:i/>
                <w:color w:val="A5A6AC" w:themeColor="accent3" w:themeTint="99"/>
                <w:sz w:val="18"/>
                <w:szCs w:val="18"/>
              </w:rPr>
              <w:t>3.60%</w:t>
            </w:r>
          </w:p>
        </w:tc>
        <w:tc>
          <w:tcPr>
            <w:tcW w:w="719" w:type="dxa"/>
            <w:tcBorders>
              <w:top w:val="single" w:sz="8" w:space="0" w:color="E1E1E3" w:themeColor="accent3" w:themeTint="33"/>
              <w:left w:val="single" w:sz="8" w:space="0" w:color="E1E1E3" w:themeColor="accent3" w:themeTint="33"/>
              <w:bottom w:val="single" w:sz="8" w:space="0" w:color="E1E1E3" w:themeColor="accent3" w:themeTint="33"/>
              <w:right w:val="single" w:sz="8" w:space="0" w:color="E1E1E3" w:themeColor="accent3" w:themeTint="33"/>
            </w:tcBorders>
            <w:noWrap/>
            <w:vAlign w:val="center"/>
            <w:hideMark/>
          </w:tcPr>
          <w:p w14:paraId="688E027D" w14:textId="77777777" w:rsidR="00CB39D1" w:rsidRPr="00CB39D1" w:rsidRDefault="00CB39D1" w:rsidP="00CB39D1">
            <w:pPr>
              <w:spacing w:before="0" w:after="0" w:line="240" w:lineRule="auto"/>
              <w:jc w:val="center"/>
              <w:rPr>
                <w:i/>
                <w:color w:val="A5A6AC" w:themeColor="accent3" w:themeTint="99"/>
                <w:sz w:val="18"/>
                <w:szCs w:val="18"/>
              </w:rPr>
            </w:pPr>
            <w:r w:rsidRPr="00CB39D1">
              <w:rPr>
                <w:i/>
                <w:color w:val="A5A6AC" w:themeColor="accent3" w:themeTint="99"/>
                <w:sz w:val="18"/>
                <w:szCs w:val="18"/>
              </w:rPr>
              <w:t>3.7%</w:t>
            </w:r>
          </w:p>
        </w:tc>
        <w:tc>
          <w:tcPr>
            <w:tcW w:w="851" w:type="dxa"/>
            <w:tcBorders>
              <w:top w:val="single" w:sz="8" w:space="0" w:color="E1E1E3" w:themeColor="accent3" w:themeTint="33"/>
              <w:left w:val="single" w:sz="8" w:space="0" w:color="E1E1E3" w:themeColor="accent3" w:themeTint="33"/>
              <w:bottom w:val="single" w:sz="8" w:space="0" w:color="E1E1E3" w:themeColor="accent3" w:themeTint="33"/>
              <w:right w:val="single" w:sz="8" w:space="0" w:color="E1E1E3" w:themeColor="accent3" w:themeTint="33"/>
            </w:tcBorders>
            <w:noWrap/>
            <w:vAlign w:val="center"/>
            <w:hideMark/>
          </w:tcPr>
          <w:p w14:paraId="2B026C8C" w14:textId="77777777" w:rsidR="00CB39D1" w:rsidRPr="00CB39D1" w:rsidRDefault="00CB39D1" w:rsidP="00CB39D1">
            <w:pPr>
              <w:spacing w:before="0" w:after="0" w:line="240" w:lineRule="auto"/>
              <w:jc w:val="center"/>
              <w:rPr>
                <w:i/>
                <w:color w:val="A5A6AC" w:themeColor="accent3" w:themeTint="99"/>
                <w:sz w:val="18"/>
                <w:szCs w:val="18"/>
              </w:rPr>
            </w:pPr>
          </w:p>
        </w:tc>
        <w:tc>
          <w:tcPr>
            <w:tcW w:w="992" w:type="dxa"/>
            <w:tcBorders>
              <w:top w:val="single" w:sz="8" w:space="0" w:color="E1E1E3" w:themeColor="accent3" w:themeTint="33"/>
              <w:left w:val="single" w:sz="8" w:space="0" w:color="E1E1E3" w:themeColor="accent3" w:themeTint="33"/>
              <w:bottom w:val="single" w:sz="8" w:space="0" w:color="E1E1E3" w:themeColor="accent3" w:themeTint="33"/>
              <w:right w:val="single" w:sz="8" w:space="0" w:color="E1E1E3" w:themeColor="accent3" w:themeTint="33"/>
            </w:tcBorders>
            <w:noWrap/>
            <w:vAlign w:val="center"/>
            <w:hideMark/>
          </w:tcPr>
          <w:p w14:paraId="170B095C" w14:textId="77777777" w:rsidR="00CB39D1" w:rsidRPr="00CB39D1" w:rsidRDefault="00CB39D1" w:rsidP="00CB39D1">
            <w:pPr>
              <w:spacing w:before="0" w:after="0" w:line="240" w:lineRule="auto"/>
              <w:jc w:val="center"/>
              <w:rPr>
                <w:i/>
                <w:color w:val="A5A6AC" w:themeColor="accent3" w:themeTint="99"/>
                <w:sz w:val="18"/>
                <w:szCs w:val="18"/>
              </w:rPr>
            </w:pPr>
          </w:p>
        </w:tc>
        <w:tc>
          <w:tcPr>
            <w:tcW w:w="992" w:type="dxa"/>
            <w:tcBorders>
              <w:top w:val="single" w:sz="8" w:space="0" w:color="E1E1E3" w:themeColor="accent3" w:themeTint="33"/>
              <w:left w:val="single" w:sz="8" w:space="0" w:color="E1E1E3" w:themeColor="accent3" w:themeTint="33"/>
              <w:bottom w:val="single" w:sz="8" w:space="0" w:color="E1E1E3" w:themeColor="accent3" w:themeTint="33"/>
            </w:tcBorders>
            <w:vAlign w:val="center"/>
            <w:hideMark/>
          </w:tcPr>
          <w:p w14:paraId="1D72C160" w14:textId="77777777" w:rsidR="00CB39D1" w:rsidRPr="00CB39D1" w:rsidRDefault="00CB39D1" w:rsidP="00CB39D1">
            <w:pPr>
              <w:spacing w:before="0" w:after="0" w:line="240" w:lineRule="auto"/>
              <w:jc w:val="center"/>
              <w:rPr>
                <w:i/>
                <w:color w:val="A5A6AC" w:themeColor="accent3" w:themeTint="99"/>
                <w:sz w:val="18"/>
                <w:szCs w:val="18"/>
              </w:rPr>
            </w:pPr>
          </w:p>
        </w:tc>
        <w:tc>
          <w:tcPr>
            <w:tcW w:w="992" w:type="dxa"/>
          </w:tcPr>
          <w:p w14:paraId="56714721" w14:textId="77777777" w:rsidR="00CB39D1" w:rsidRPr="00CB39D1" w:rsidRDefault="00CB39D1" w:rsidP="00CB39D1">
            <w:pPr>
              <w:spacing w:before="0" w:after="0" w:line="240" w:lineRule="auto"/>
              <w:jc w:val="center"/>
              <w:rPr>
                <w:i/>
                <w:color w:val="A5A6AC" w:themeColor="accent3" w:themeTint="99"/>
                <w:sz w:val="18"/>
                <w:szCs w:val="18"/>
              </w:rPr>
            </w:pPr>
          </w:p>
        </w:tc>
      </w:tr>
      <w:tr w:rsidR="00CB39D1" w:rsidRPr="00CB39D1" w14:paraId="087FE294" w14:textId="77777777" w:rsidTr="008D4E1E">
        <w:trPr>
          <w:trHeight w:val="360"/>
        </w:trPr>
        <w:tc>
          <w:tcPr>
            <w:tcW w:w="1253" w:type="dxa"/>
            <w:vMerge w:val="restart"/>
            <w:vAlign w:val="center"/>
            <w:hideMark/>
          </w:tcPr>
          <w:p w14:paraId="126283AD" w14:textId="77777777" w:rsidR="00CB39D1" w:rsidRPr="00CB39D1" w:rsidRDefault="00CB39D1" w:rsidP="00CB39D1">
            <w:pPr>
              <w:spacing w:before="0" w:after="0" w:line="240" w:lineRule="auto"/>
              <w:jc w:val="center"/>
              <w:rPr>
                <w:sz w:val="18"/>
                <w:szCs w:val="18"/>
              </w:rPr>
            </w:pPr>
            <w:r w:rsidRPr="00CB39D1">
              <w:rPr>
                <w:sz w:val="18"/>
                <w:szCs w:val="18"/>
              </w:rPr>
              <w:t>2022</w:t>
            </w:r>
          </w:p>
        </w:tc>
        <w:tc>
          <w:tcPr>
            <w:tcW w:w="2835" w:type="dxa"/>
            <w:noWrap/>
            <w:vAlign w:val="center"/>
            <w:hideMark/>
          </w:tcPr>
          <w:p w14:paraId="686241E3" w14:textId="77777777" w:rsidR="00CB39D1" w:rsidRPr="00CB39D1" w:rsidRDefault="00CB39D1" w:rsidP="00CB39D1">
            <w:pPr>
              <w:spacing w:before="0" w:after="0" w:line="240" w:lineRule="auto"/>
              <w:rPr>
                <w:sz w:val="18"/>
                <w:szCs w:val="18"/>
              </w:rPr>
            </w:pPr>
            <w:r w:rsidRPr="00CB39D1">
              <w:rPr>
                <w:sz w:val="18"/>
                <w:szCs w:val="18"/>
              </w:rPr>
              <w:t>ՄԺԾԾ 2023-2025</w:t>
            </w:r>
          </w:p>
        </w:tc>
        <w:tc>
          <w:tcPr>
            <w:tcW w:w="995" w:type="dxa"/>
            <w:vAlign w:val="center"/>
            <w:hideMark/>
          </w:tcPr>
          <w:p w14:paraId="1C868A97" w14:textId="77777777" w:rsidR="00CB39D1" w:rsidRPr="00CB39D1" w:rsidRDefault="00CB39D1" w:rsidP="00CB39D1">
            <w:pPr>
              <w:spacing w:before="0" w:after="0" w:line="240" w:lineRule="auto"/>
              <w:jc w:val="center"/>
              <w:rPr>
                <w:sz w:val="18"/>
                <w:szCs w:val="18"/>
              </w:rPr>
            </w:pPr>
            <w:r w:rsidRPr="00CB39D1">
              <w:rPr>
                <w:sz w:val="18"/>
                <w:szCs w:val="18"/>
              </w:rPr>
              <w:t>436.2</w:t>
            </w:r>
          </w:p>
        </w:tc>
        <w:tc>
          <w:tcPr>
            <w:tcW w:w="719" w:type="dxa"/>
            <w:vAlign w:val="center"/>
            <w:hideMark/>
          </w:tcPr>
          <w:p w14:paraId="707F969F" w14:textId="77777777" w:rsidR="00CB39D1" w:rsidRPr="00CB39D1" w:rsidRDefault="00CB39D1" w:rsidP="00CB39D1">
            <w:pPr>
              <w:spacing w:before="0" w:after="0" w:line="240" w:lineRule="auto"/>
              <w:jc w:val="center"/>
              <w:rPr>
                <w:sz w:val="18"/>
                <w:szCs w:val="18"/>
              </w:rPr>
            </w:pPr>
            <w:r w:rsidRPr="00CB39D1">
              <w:rPr>
                <w:sz w:val="18"/>
                <w:szCs w:val="18"/>
              </w:rPr>
              <w:t>417.3</w:t>
            </w:r>
          </w:p>
        </w:tc>
        <w:tc>
          <w:tcPr>
            <w:tcW w:w="851" w:type="dxa"/>
            <w:vAlign w:val="center"/>
            <w:hideMark/>
          </w:tcPr>
          <w:p w14:paraId="69C254CF" w14:textId="77777777" w:rsidR="00CB39D1" w:rsidRPr="00CB39D1" w:rsidRDefault="00CB39D1" w:rsidP="00CB39D1">
            <w:pPr>
              <w:spacing w:before="0" w:after="0" w:line="240" w:lineRule="auto"/>
              <w:jc w:val="center"/>
              <w:rPr>
                <w:sz w:val="18"/>
                <w:szCs w:val="18"/>
              </w:rPr>
            </w:pPr>
            <w:r w:rsidRPr="00CB39D1">
              <w:rPr>
                <w:sz w:val="18"/>
                <w:szCs w:val="18"/>
              </w:rPr>
              <w:t>426.4</w:t>
            </w:r>
          </w:p>
        </w:tc>
        <w:tc>
          <w:tcPr>
            <w:tcW w:w="992" w:type="dxa"/>
            <w:noWrap/>
            <w:vAlign w:val="center"/>
            <w:hideMark/>
          </w:tcPr>
          <w:p w14:paraId="5F3C7D90" w14:textId="77777777" w:rsidR="00CB39D1" w:rsidRPr="00CB39D1" w:rsidRDefault="00CB39D1" w:rsidP="00CB39D1">
            <w:pPr>
              <w:spacing w:before="0" w:after="0" w:line="240" w:lineRule="auto"/>
              <w:jc w:val="center"/>
              <w:rPr>
                <w:sz w:val="18"/>
                <w:szCs w:val="18"/>
              </w:rPr>
            </w:pPr>
          </w:p>
        </w:tc>
        <w:tc>
          <w:tcPr>
            <w:tcW w:w="992" w:type="dxa"/>
            <w:vAlign w:val="center"/>
            <w:hideMark/>
          </w:tcPr>
          <w:p w14:paraId="2EA9DA86" w14:textId="77777777" w:rsidR="00CB39D1" w:rsidRPr="00CB39D1" w:rsidRDefault="00CB39D1" w:rsidP="00CB39D1">
            <w:pPr>
              <w:spacing w:before="0" w:after="0" w:line="240" w:lineRule="auto"/>
              <w:jc w:val="center"/>
              <w:rPr>
                <w:sz w:val="18"/>
                <w:szCs w:val="18"/>
              </w:rPr>
            </w:pPr>
          </w:p>
        </w:tc>
        <w:tc>
          <w:tcPr>
            <w:tcW w:w="992" w:type="dxa"/>
          </w:tcPr>
          <w:p w14:paraId="45311F05" w14:textId="77777777" w:rsidR="00CB39D1" w:rsidRPr="00CB39D1" w:rsidRDefault="00CB39D1" w:rsidP="00CB39D1">
            <w:pPr>
              <w:spacing w:before="0" w:after="0" w:line="240" w:lineRule="auto"/>
              <w:jc w:val="center"/>
              <w:rPr>
                <w:sz w:val="18"/>
                <w:szCs w:val="18"/>
              </w:rPr>
            </w:pPr>
          </w:p>
        </w:tc>
      </w:tr>
      <w:tr w:rsidR="00CB39D1" w:rsidRPr="00CB39D1" w14:paraId="319CEC44" w14:textId="77777777" w:rsidTr="008D4E1E">
        <w:trPr>
          <w:trHeight w:val="360"/>
        </w:trPr>
        <w:tc>
          <w:tcPr>
            <w:tcW w:w="1253" w:type="dxa"/>
            <w:vMerge/>
            <w:vAlign w:val="center"/>
            <w:hideMark/>
          </w:tcPr>
          <w:p w14:paraId="2D24007D" w14:textId="77777777" w:rsidR="00CB39D1" w:rsidRPr="00CB39D1" w:rsidRDefault="00CB39D1" w:rsidP="00CB39D1">
            <w:pPr>
              <w:spacing w:before="0" w:after="0" w:line="240" w:lineRule="auto"/>
              <w:jc w:val="center"/>
              <w:rPr>
                <w:sz w:val="18"/>
                <w:szCs w:val="18"/>
                <w:lang w:val="ru-RU" w:eastAsia="ru-RU"/>
              </w:rPr>
            </w:pPr>
          </w:p>
        </w:tc>
        <w:tc>
          <w:tcPr>
            <w:tcW w:w="2835" w:type="dxa"/>
            <w:vAlign w:val="center"/>
            <w:hideMark/>
          </w:tcPr>
          <w:p w14:paraId="59338224" w14:textId="77777777" w:rsidR="00CB39D1" w:rsidRPr="00CB39D1" w:rsidRDefault="00CB39D1" w:rsidP="00CB39D1">
            <w:pPr>
              <w:spacing w:before="0" w:after="0" w:line="240" w:lineRule="auto"/>
              <w:rPr>
                <w:i/>
                <w:color w:val="A5A6AC" w:themeColor="accent3" w:themeTint="99"/>
                <w:sz w:val="18"/>
                <w:szCs w:val="18"/>
              </w:rPr>
            </w:pPr>
            <w:r w:rsidRPr="00CB39D1">
              <w:rPr>
                <w:i/>
                <w:color w:val="A5A6AC" w:themeColor="accent3" w:themeTint="99"/>
                <w:sz w:val="18"/>
                <w:szCs w:val="18"/>
              </w:rPr>
              <w:t>%-ով՝ ՀՆԱ-ի նկատմամբ</w:t>
            </w:r>
          </w:p>
        </w:tc>
        <w:tc>
          <w:tcPr>
            <w:tcW w:w="995" w:type="dxa"/>
            <w:vAlign w:val="center"/>
            <w:hideMark/>
          </w:tcPr>
          <w:p w14:paraId="28148AE7" w14:textId="77777777" w:rsidR="00CB39D1" w:rsidRPr="00CB39D1" w:rsidRDefault="00CB39D1" w:rsidP="00CB39D1">
            <w:pPr>
              <w:spacing w:before="0" w:after="0" w:line="240" w:lineRule="auto"/>
              <w:jc w:val="center"/>
              <w:rPr>
                <w:i/>
                <w:color w:val="A5A6AC" w:themeColor="accent3" w:themeTint="99"/>
                <w:sz w:val="18"/>
                <w:szCs w:val="18"/>
              </w:rPr>
            </w:pPr>
            <w:r w:rsidRPr="00CB39D1">
              <w:rPr>
                <w:i/>
                <w:color w:val="A5A6AC" w:themeColor="accent3" w:themeTint="99"/>
                <w:sz w:val="18"/>
                <w:szCs w:val="18"/>
              </w:rPr>
              <w:t>4.79%</w:t>
            </w:r>
          </w:p>
        </w:tc>
        <w:tc>
          <w:tcPr>
            <w:tcW w:w="719" w:type="dxa"/>
            <w:vAlign w:val="center"/>
            <w:hideMark/>
          </w:tcPr>
          <w:p w14:paraId="37218201" w14:textId="77777777" w:rsidR="00CB39D1" w:rsidRPr="00CB39D1" w:rsidRDefault="00CB39D1" w:rsidP="00CB39D1">
            <w:pPr>
              <w:spacing w:before="0" w:after="0" w:line="240" w:lineRule="auto"/>
              <w:jc w:val="center"/>
              <w:rPr>
                <w:i/>
                <w:color w:val="A5A6AC" w:themeColor="accent3" w:themeTint="99"/>
                <w:sz w:val="18"/>
                <w:szCs w:val="18"/>
              </w:rPr>
            </w:pPr>
            <w:r w:rsidRPr="00CB39D1">
              <w:rPr>
                <w:i/>
                <w:color w:val="A5A6AC" w:themeColor="accent3" w:themeTint="99"/>
                <w:sz w:val="18"/>
                <w:szCs w:val="18"/>
              </w:rPr>
              <w:t>4.12%</w:t>
            </w:r>
          </w:p>
        </w:tc>
        <w:tc>
          <w:tcPr>
            <w:tcW w:w="851" w:type="dxa"/>
            <w:vAlign w:val="center"/>
            <w:hideMark/>
          </w:tcPr>
          <w:p w14:paraId="1B854226" w14:textId="77777777" w:rsidR="00CB39D1" w:rsidRPr="00CB39D1" w:rsidRDefault="00CB39D1" w:rsidP="00CB39D1">
            <w:pPr>
              <w:spacing w:before="0" w:after="0" w:line="240" w:lineRule="auto"/>
              <w:jc w:val="center"/>
              <w:rPr>
                <w:i/>
                <w:color w:val="A5A6AC" w:themeColor="accent3" w:themeTint="99"/>
                <w:sz w:val="18"/>
                <w:szCs w:val="18"/>
              </w:rPr>
            </w:pPr>
            <w:r w:rsidRPr="00CB39D1">
              <w:rPr>
                <w:i/>
                <w:color w:val="A5A6AC" w:themeColor="accent3" w:themeTint="99"/>
                <w:sz w:val="18"/>
                <w:szCs w:val="18"/>
              </w:rPr>
              <w:t>3.78%</w:t>
            </w:r>
          </w:p>
        </w:tc>
        <w:tc>
          <w:tcPr>
            <w:tcW w:w="992" w:type="dxa"/>
            <w:noWrap/>
            <w:vAlign w:val="center"/>
            <w:hideMark/>
          </w:tcPr>
          <w:p w14:paraId="624760DA" w14:textId="77777777" w:rsidR="00CB39D1" w:rsidRPr="00CB39D1" w:rsidRDefault="00CB39D1" w:rsidP="00CB39D1">
            <w:pPr>
              <w:spacing w:before="0" w:after="0" w:line="240" w:lineRule="auto"/>
              <w:jc w:val="center"/>
              <w:rPr>
                <w:i/>
                <w:color w:val="A5A6AC" w:themeColor="accent3" w:themeTint="99"/>
                <w:sz w:val="18"/>
                <w:szCs w:val="18"/>
              </w:rPr>
            </w:pPr>
          </w:p>
        </w:tc>
        <w:tc>
          <w:tcPr>
            <w:tcW w:w="992" w:type="dxa"/>
            <w:vAlign w:val="center"/>
            <w:hideMark/>
          </w:tcPr>
          <w:p w14:paraId="675B7C1C" w14:textId="77777777" w:rsidR="00CB39D1" w:rsidRPr="00CB39D1" w:rsidRDefault="00CB39D1" w:rsidP="00CB39D1">
            <w:pPr>
              <w:spacing w:before="0" w:after="0" w:line="240" w:lineRule="auto"/>
              <w:jc w:val="center"/>
              <w:rPr>
                <w:i/>
                <w:color w:val="A5A6AC" w:themeColor="accent3" w:themeTint="99"/>
                <w:sz w:val="18"/>
                <w:szCs w:val="18"/>
              </w:rPr>
            </w:pPr>
          </w:p>
        </w:tc>
        <w:tc>
          <w:tcPr>
            <w:tcW w:w="992" w:type="dxa"/>
          </w:tcPr>
          <w:p w14:paraId="3BB5341C" w14:textId="77777777" w:rsidR="00CB39D1" w:rsidRPr="00CB39D1" w:rsidRDefault="00CB39D1" w:rsidP="00CB39D1">
            <w:pPr>
              <w:spacing w:before="0" w:after="0" w:line="240" w:lineRule="auto"/>
              <w:jc w:val="center"/>
              <w:rPr>
                <w:i/>
                <w:color w:val="A5A6AC" w:themeColor="accent3" w:themeTint="99"/>
                <w:sz w:val="18"/>
                <w:szCs w:val="18"/>
              </w:rPr>
            </w:pPr>
          </w:p>
        </w:tc>
      </w:tr>
      <w:tr w:rsidR="00CB39D1" w:rsidRPr="00CB39D1" w14:paraId="0DC91E87" w14:textId="77777777" w:rsidTr="008D4E1E">
        <w:trPr>
          <w:trHeight w:val="360"/>
        </w:trPr>
        <w:tc>
          <w:tcPr>
            <w:tcW w:w="1253" w:type="dxa"/>
            <w:vMerge/>
            <w:vAlign w:val="center"/>
            <w:hideMark/>
          </w:tcPr>
          <w:p w14:paraId="6C20BB3A" w14:textId="77777777" w:rsidR="00CB39D1" w:rsidRPr="00CB39D1" w:rsidRDefault="00CB39D1" w:rsidP="00CB39D1">
            <w:pPr>
              <w:spacing w:before="0" w:after="0" w:line="240" w:lineRule="auto"/>
              <w:jc w:val="center"/>
              <w:rPr>
                <w:sz w:val="18"/>
                <w:szCs w:val="18"/>
                <w:lang w:val="ru-RU" w:eastAsia="ru-RU"/>
              </w:rPr>
            </w:pPr>
          </w:p>
        </w:tc>
        <w:tc>
          <w:tcPr>
            <w:tcW w:w="2835" w:type="dxa"/>
            <w:noWrap/>
            <w:vAlign w:val="center"/>
            <w:hideMark/>
          </w:tcPr>
          <w:p w14:paraId="3EBB87B2" w14:textId="77777777" w:rsidR="00CB39D1" w:rsidRPr="00CB39D1" w:rsidRDefault="00CB39D1" w:rsidP="00CB39D1">
            <w:pPr>
              <w:spacing w:before="0" w:after="0" w:line="240" w:lineRule="auto"/>
              <w:rPr>
                <w:sz w:val="18"/>
                <w:szCs w:val="18"/>
              </w:rPr>
            </w:pPr>
            <w:r w:rsidRPr="00CB39D1">
              <w:rPr>
                <w:sz w:val="18"/>
                <w:szCs w:val="18"/>
              </w:rPr>
              <w:t>2023թ. Պետական բյուջե</w:t>
            </w:r>
          </w:p>
        </w:tc>
        <w:tc>
          <w:tcPr>
            <w:tcW w:w="995" w:type="dxa"/>
            <w:vAlign w:val="center"/>
            <w:hideMark/>
          </w:tcPr>
          <w:p w14:paraId="3B519999" w14:textId="77777777" w:rsidR="00CB39D1" w:rsidRPr="00CB39D1" w:rsidRDefault="00CB39D1" w:rsidP="00CB39D1">
            <w:pPr>
              <w:spacing w:before="0" w:after="0" w:line="240" w:lineRule="auto"/>
              <w:jc w:val="center"/>
              <w:rPr>
                <w:sz w:val="18"/>
                <w:szCs w:val="18"/>
              </w:rPr>
            </w:pPr>
            <w:r w:rsidRPr="00CB39D1">
              <w:rPr>
                <w:sz w:val="18"/>
                <w:szCs w:val="18"/>
              </w:rPr>
              <w:t>424.9</w:t>
            </w:r>
          </w:p>
        </w:tc>
        <w:tc>
          <w:tcPr>
            <w:tcW w:w="719" w:type="dxa"/>
            <w:vAlign w:val="center"/>
            <w:hideMark/>
          </w:tcPr>
          <w:p w14:paraId="447E4591" w14:textId="77777777" w:rsidR="00CB39D1" w:rsidRPr="00CB39D1" w:rsidRDefault="00CB39D1" w:rsidP="00CB39D1">
            <w:pPr>
              <w:spacing w:before="0" w:after="0" w:line="240" w:lineRule="auto"/>
              <w:jc w:val="center"/>
              <w:rPr>
                <w:sz w:val="18"/>
                <w:szCs w:val="18"/>
              </w:rPr>
            </w:pPr>
          </w:p>
        </w:tc>
        <w:tc>
          <w:tcPr>
            <w:tcW w:w="851" w:type="dxa"/>
            <w:vAlign w:val="center"/>
            <w:hideMark/>
          </w:tcPr>
          <w:p w14:paraId="3B3FB45A" w14:textId="77777777" w:rsidR="00CB39D1" w:rsidRPr="00CB39D1" w:rsidRDefault="00CB39D1" w:rsidP="00CB39D1">
            <w:pPr>
              <w:spacing w:before="0" w:after="0" w:line="240" w:lineRule="auto"/>
              <w:jc w:val="center"/>
              <w:rPr>
                <w:sz w:val="18"/>
                <w:szCs w:val="18"/>
              </w:rPr>
            </w:pPr>
          </w:p>
        </w:tc>
        <w:tc>
          <w:tcPr>
            <w:tcW w:w="992" w:type="dxa"/>
            <w:noWrap/>
            <w:vAlign w:val="center"/>
            <w:hideMark/>
          </w:tcPr>
          <w:p w14:paraId="15F6B105" w14:textId="77777777" w:rsidR="00CB39D1" w:rsidRPr="00CB39D1" w:rsidRDefault="00CB39D1" w:rsidP="00CB39D1">
            <w:pPr>
              <w:spacing w:before="0" w:after="0" w:line="240" w:lineRule="auto"/>
              <w:jc w:val="center"/>
              <w:rPr>
                <w:sz w:val="18"/>
                <w:szCs w:val="18"/>
              </w:rPr>
            </w:pPr>
          </w:p>
        </w:tc>
        <w:tc>
          <w:tcPr>
            <w:tcW w:w="992" w:type="dxa"/>
            <w:vAlign w:val="center"/>
            <w:hideMark/>
          </w:tcPr>
          <w:p w14:paraId="33F1DBDE" w14:textId="77777777" w:rsidR="00CB39D1" w:rsidRPr="00CB39D1" w:rsidRDefault="00CB39D1" w:rsidP="00CB39D1">
            <w:pPr>
              <w:spacing w:before="0" w:after="0" w:line="240" w:lineRule="auto"/>
              <w:jc w:val="center"/>
              <w:rPr>
                <w:sz w:val="18"/>
                <w:szCs w:val="18"/>
              </w:rPr>
            </w:pPr>
          </w:p>
        </w:tc>
        <w:tc>
          <w:tcPr>
            <w:tcW w:w="992" w:type="dxa"/>
          </w:tcPr>
          <w:p w14:paraId="608C9F53" w14:textId="77777777" w:rsidR="00CB39D1" w:rsidRPr="00CB39D1" w:rsidRDefault="00CB39D1" w:rsidP="00CB39D1">
            <w:pPr>
              <w:spacing w:before="0" w:after="0" w:line="240" w:lineRule="auto"/>
              <w:jc w:val="center"/>
              <w:rPr>
                <w:sz w:val="18"/>
                <w:szCs w:val="18"/>
              </w:rPr>
            </w:pPr>
          </w:p>
        </w:tc>
      </w:tr>
      <w:tr w:rsidR="00CB39D1" w:rsidRPr="00CB39D1" w14:paraId="66682419" w14:textId="77777777" w:rsidTr="008D4E1E">
        <w:trPr>
          <w:trHeight w:val="360"/>
        </w:trPr>
        <w:tc>
          <w:tcPr>
            <w:tcW w:w="1253" w:type="dxa"/>
            <w:vMerge/>
            <w:vAlign w:val="center"/>
            <w:hideMark/>
          </w:tcPr>
          <w:p w14:paraId="77A4DFAE" w14:textId="77777777" w:rsidR="00CB39D1" w:rsidRPr="00CB39D1" w:rsidRDefault="00CB39D1" w:rsidP="00CB39D1">
            <w:pPr>
              <w:spacing w:before="0" w:after="0" w:line="240" w:lineRule="auto"/>
              <w:jc w:val="center"/>
              <w:rPr>
                <w:sz w:val="18"/>
                <w:szCs w:val="18"/>
                <w:lang w:val="ru-RU" w:eastAsia="ru-RU"/>
              </w:rPr>
            </w:pPr>
          </w:p>
        </w:tc>
        <w:tc>
          <w:tcPr>
            <w:tcW w:w="2835" w:type="dxa"/>
            <w:vAlign w:val="center"/>
            <w:hideMark/>
          </w:tcPr>
          <w:p w14:paraId="0B2610B9" w14:textId="77777777" w:rsidR="00CB39D1" w:rsidRPr="00CB39D1" w:rsidRDefault="00CB39D1" w:rsidP="00CB39D1">
            <w:pPr>
              <w:spacing w:before="0" w:after="0" w:line="240" w:lineRule="auto"/>
              <w:rPr>
                <w:i/>
                <w:color w:val="A5A6AC" w:themeColor="accent3" w:themeTint="99"/>
                <w:sz w:val="18"/>
                <w:szCs w:val="18"/>
              </w:rPr>
            </w:pPr>
            <w:r w:rsidRPr="00CB39D1">
              <w:rPr>
                <w:i/>
                <w:color w:val="A5A6AC" w:themeColor="accent3" w:themeTint="99"/>
                <w:sz w:val="18"/>
                <w:szCs w:val="18"/>
              </w:rPr>
              <w:t>%-ով՝ ՀՆԱ-ի նկատմամբ</w:t>
            </w:r>
          </w:p>
        </w:tc>
        <w:tc>
          <w:tcPr>
            <w:tcW w:w="995" w:type="dxa"/>
            <w:vAlign w:val="center"/>
            <w:hideMark/>
          </w:tcPr>
          <w:p w14:paraId="4E5C3C15" w14:textId="77777777" w:rsidR="00CB39D1" w:rsidRPr="00CB39D1" w:rsidRDefault="00CB39D1" w:rsidP="00CB39D1">
            <w:pPr>
              <w:spacing w:before="0" w:after="0" w:line="240" w:lineRule="auto"/>
              <w:jc w:val="center"/>
              <w:rPr>
                <w:i/>
                <w:color w:val="A5A6AC" w:themeColor="accent3" w:themeTint="99"/>
                <w:sz w:val="18"/>
                <w:szCs w:val="18"/>
              </w:rPr>
            </w:pPr>
            <w:r w:rsidRPr="00CB39D1">
              <w:rPr>
                <w:i/>
                <w:color w:val="A5A6AC" w:themeColor="accent3" w:themeTint="99"/>
                <w:sz w:val="18"/>
                <w:szCs w:val="18"/>
              </w:rPr>
              <w:t>4.56%</w:t>
            </w:r>
          </w:p>
        </w:tc>
        <w:tc>
          <w:tcPr>
            <w:tcW w:w="719" w:type="dxa"/>
            <w:vAlign w:val="center"/>
            <w:hideMark/>
          </w:tcPr>
          <w:p w14:paraId="4379D848" w14:textId="77777777" w:rsidR="00CB39D1" w:rsidRPr="00CB39D1" w:rsidRDefault="00CB39D1" w:rsidP="00CB39D1">
            <w:pPr>
              <w:spacing w:before="0" w:after="0" w:line="240" w:lineRule="auto"/>
              <w:jc w:val="center"/>
              <w:rPr>
                <w:i/>
                <w:color w:val="A5A6AC" w:themeColor="accent3" w:themeTint="99"/>
                <w:sz w:val="18"/>
                <w:szCs w:val="18"/>
              </w:rPr>
            </w:pPr>
          </w:p>
        </w:tc>
        <w:tc>
          <w:tcPr>
            <w:tcW w:w="851" w:type="dxa"/>
            <w:vAlign w:val="center"/>
            <w:hideMark/>
          </w:tcPr>
          <w:p w14:paraId="346B1627" w14:textId="77777777" w:rsidR="00CB39D1" w:rsidRPr="00CB39D1" w:rsidRDefault="00CB39D1" w:rsidP="00CB39D1">
            <w:pPr>
              <w:spacing w:before="0" w:after="0" w:line="240" w:lineRule="auto"/>
              <w:jc w:val="center"/>
              <w:rPr>
                <w:i/>
                <w:color w:val="A5A6AC" w:themeColor="accent3" w:themeTint="99"/>
                <w:sz w:val="18"/>
                <w:szCs w:val="18"/>
              </w:rPr>
            </w:pPr>
          </w:p>
        </w:tc>
        <w:tc>
          <w:tcPr>
            <w:tcW w:w="992" w:type="dxa"/>
            <w:vAlign w:val="center"/>
            <w:hideMark/>
          </w:tcPr>
          <w:p w14:paraId="0B3DA166" w14:textId="77777777" w:rsidR="00CB39D1" w:rsidRPr="00CB39D1" w:rsidRDefault="00CB39D1" w:rsidP="00CB39D1">
            <w:pPr>
              <w:spacing w:before="0" w:after="0" w:line="240" w:lineRule="auto"/>
              <w:jc w:val="center"/>
              <w:rPr>
                <w:i/>
                <w:color w:val="A5A6AC" w:themeColor="accent3" w:themeTint="99"/>
                <w:sz w:val="18"/>
                <w:szCs w:val="18"/>
              </w:rPr>
            </w:pPr>
          </w:p>
        </w:tc>
        <w:tc>
          <w:tcPr>
            <w:tcW w:w="992" w:type="dxa"/>
            <w:vAlign w:val="center"/>
            <w:hideMark/>
          </w:tcPr>
          <w:p w14:paraId="5665879E" w14:textId="77777777" w:rsidR="00CB39D1" w:rsidRPr="00CB39D1" w:rsidRDefault="00CB39D1" w:rsidP="00CB39D1">
            <w:pPr>
              <w:spacing w:before="0" w:after="0" w:line="240" w:lineRule="auto"/>
              <w:jc w:val="center"/>
              <w:rPr>
                <w:i/>
                <w:color w:val="A5A6AC" w:themeColor="accent3" w:themeTint="99"/>
                <w:sz w:val="18"/>
                <w:szCs w:val="18"/>
              </w:rPr>
            </w:pPr>
          </w:p>
        </w:tc>
        <w:tc>
          <w:tcPr>
            <w:tcW w:w="992" w:type="dxa"/>
          </w:tcPr>
          <w:p w14:paraId="10108FC5" w14:textId="77777777" w:rsidR="00CB39D1" w:rsidRPr="00CB39D1" w:rsidRDefault="00CB39D1" w:rsidP="00CB39D1">
            <w:pPr>
              <w:spacing w:before="0" w:after="0" w:line="240" w:lineRule="auto"/>
              <w:jc w:val="center"/>
              <w:rPr>
                <w:i/>
                <w:color w:val="A5A6AC" w:themeColor="accent3" w:themeTint="99"/>
                <w:sz w:val="18"/>
                <w:szCs w:val="18"/>
              </w:rPr>
            </w:pPr>
          </w:p>
        </w:tc>
      </w:tr>
      <w:tr w:rsidR="00CB39D1" w:rsidRPr="00CB39D1" w14:paraId="7E21FD69" w14:textId="77777777" w:rsidTr="008D4E1E">
        <w:trPr>
          <w:trHeight w:val="360"/>
        </w:trPr>
        <w:tc>
          <w:tcPr>
            <w:tcW w:w="1253" w:type="dxa"/>
            <w:vMerge w:val="restart"/>
            <w:vAlign w:val="center"/>
            <w:hideMark/>
          </w:tcPr>
          <w:p w14:paraId="443DC160" w14:textId="77777777" w:rsidR="00CB39D1" w:rsidRPr="00CB39D1" w:rsidRDefault="00CB39D1" w:rsidP="00CB39D1">
            <w:pPr>
              <w:spacing w:before="0" w:after="0" w:line="240" w:lineRule="auto"/>
              <w:jc w:val="center"/>
              <w:rPr>
                <w:sz w:val="18"/>
                <w:szCs w:val="18"/>
              </w:rPr>
            </w:pPr>
            <w:r w:rsidRPr="00CB39D1">
              <w:rPr>
                <w:sz w:val="18"/>
                <w:szCs w:val="18"/>
              </w:rPr>
              <w:t>2023</w:t>
            </w:r>
          </w:p>
        </w:tc>
        <w:tc>
          <w:tcPr>
            <w:tcW w:w="2835" w:type="dxa"/>
            <w:noWrap/>
            <w:vAlign w:val="center"/>
            <w:hideMark/>
          </w:tcPr>
          <w:p w14:paraId="1030681A" w14:textId="77777777" w:rsidR="00CB39D1" w:rsidRPr="00CB39D1" w:rsidRDefault="00CB39D1" w:rsidP="00CB39D1">
            <w:pPr>
              <w:spacing w:before="0" w:after="0" w:line="240" w:lineRule="auto"/>
              <w:rPr>
                <w:sz w:val="18"/>
                <w:szCs w:val="18"/>
              </w:rPr>
            </w:pPr>
            <w:r w:rsidRPr="00CB39D1">
              <w:rPr>
                <w:sz w:val="18"/>
                <w:szCs w:val="18"/>
              </w:rPr>
              <w:t>ՄԺԾԾ 2024-2026</w:t>
            </w:r>
          </w:p>
        </w:tc>
        <w:tc>
          <w:tcPr>
            <w:tcW w:w="995" w:type="dxa"/>
            <w:vAlign w:val="center"/>
            <w:hideMark/>
          </w:tcPr>
          <w:p w14:paraId="2C167A53" w14:textId="77777777" w:rsidR="00CB39D1" w:rsidRPr="00CB39D1" w:rsidRDefault="00CB39D1" w:rsidP="00CB39D1">
            <w:pPr>
              <w:spacing w:before="0" w:after="0" w:line="240" w:lineRule="auto"/>
              <w:jc w:val="center"/>
              <w:rPr>
                <w:sz w:val="18"/>
                <w:szCs w:val="18"/>
              </w:rPr>
            </w:pPr>
            <w:r w:rsidRPr="00CB39D1">
              <w:rPr>
                <w:sz w:val="18"/>
                <w:szCs w:val="18"/>
              </w:rPr>
              <w:t>409.9</w:t>
            </w:r>
          </w:p>
        </w:tc>
        <w:tc>
          <w:tcPr>
            <w:tcW w:w="719" w:type="dxa"/>
            <w:vAlign w:val="center"/>
            <w:hideMark/>
          </w:tcPr>
          <w:p w14:paraId="755F8390" w14:textId="77777777" w:rsidR="00CB39D1" w:rsidRPr="00CB39D1" w:rsidRDefault="00CB39D1" w:rsidP="00CB39D1">
            <w:pPr>
              <w:spacing w:before="0" w:after="0" w:line="240" w:lineRule="auto"/>
              <w:jc w:val="center"/>
              <w:rPr>
                <w:sz w:val="18"/>
                <w:szCs w:val="18"/>
              </w:rPr>
            </w:pPr>
            <w:r w:rsidRPr="00CB39D1">
              <w:rPr>
                <w:sz w:val="18"/>
                <w:szCs w:val="18"/>
              </w:rPr>
              <w:t>446.5</w:t>
            </w:r>
          </w:p>
        </w:tc>
        <w:tc>
          <w:tcPr>
            <w:tcW w:w="851" w:type="dxa"/>
            <w:vAlign w:val="center"/>
            <w:hideMark/>
          </w:tcPr>
          <w:p w14:paraId="6C471B1A" w14:textId="77777777" w:rsidR="00CB39D1" w:rsidRPr="00CB39D1" w:rsidRDefault="00CB39D1" w:rsidP="00CB39D1">
            <w:pPr>
              <w:spacing w:before="0" w:after="0" w:line="240" w:lineRule="auto"/>
              <w:jc w:val="center"/>
              <w:rPr>
                <w:sz w:val="18"/>
                <w:szCs w:val="18"/>
              </w:rPr>
            </w:pPr>
            <w:r w:rsidRPr="00CB39D1">
              <w:rPr>
                <w:sz w:val="18"/>
                <w:szCs w:val="18"/>
              </w:rPr>
              <w:t>463.7</w:t>
            </w:r>
          </w:p>
        </w:tc>
        <w:tc>
          <w:tcPr>
            <w:tcW w:w="992" w:type="dxa"/>
            <w:vAlign w:val="center"/>
            <w:hideMark/>
          </w:tcPr>
          <w:p w14:paraId="7EE7B4F2" w14:textId="77777777" w:rsidR="00CB39D1" w:rsidRPr="00CB39D1" w:rsidRDefault="00CB39D1" w:rsidP="00CB39D1">
            <w:pPr>
              <w:spacing w:before="0" w:after="0" w:line="240" w:lineRule="auto"/>
              <w:jc w:val="center"/>
              <w:rPr>
                <w:sz w:val="18"/>
                <w:szCs w:val="18"/>
              </w:rPr>
            </w:pPr>
            <w:r w:rsidRPr="00CB39D1">
              <w:rPr>
                <w:sz w:val="18"/>
                <w:szCs w:val="18"/>
              </w:rPr>
              <w:t>478.5</w:t>
            </w:r>
          </w:p>
        </w:tc>
        <w:tc>
          <w:tcPr>
            <w:tcW w:w="992" w:type="dxa"/>
            <w:vAlign w:val="center"/>
            <w:hideMark/>
          </w:tcPr>
          <w:p w14:paraId="1A159589" w14:textId="77777777" w:rsidR="00CB39D1" w:rsidRPr="00CB39D1" w:rsidRDefault="00CB39D1" w:rsidP="00CB39D1">
            <w:pPr>
              <w:spacing w:before="0" w:after="0" w:line="240" w:lineRule="auto"/>
              <w:jc w:val="center"/>
              <w:rPr>
                <w:sz w:val="18"/>
                <w:szCs w:val="18"/>
              </w:rPr>
            </w:pPr>
          </w:p>
        </w:tc>
        <w:tc>
          <w:tcPr>
            <w:tcW w:w="992" w:type="dxa"/>
          </w:tcPr>
          <w:p w14:paraId="491678B8" w14:textId="77777777" w:rsidR="00CB39D1" w:rsidRPr="00CB39D1" w:rsidRDefault="00CB39D1" w:rsidP="00CB39D1">
            <w:pPr>
              <w:spacing w:before="0" w:after="0" w:line="240" w:lineRule="auto"/>
              <w:jc w:val="center"/>
              <w:rPr>
                <w:sz w:val="18"/>
                <w:szCs w:val="18"/>
              </w:rPr>
            </w:pPr>
          </w:p>
        </w:tc>
      </w:tr>
      <w:tr w:rsidR="00CB39D1" w:rsidRPr="00CB39D1" w14:paraId="55265908" w14:textId="77777777" w:rsidTr="008D4E1E">
        <w:trPr>
          <w:trHeight w:val="360"/>
        </w:trPr>
        <w:tc>
          <w:tcPr>
            <w:tcW w:w="1253" w:type="dxa"/>
            <w:vMerge/>
            <w:vAlign w:val="center"/>
            <w:hideMark/>
          </w:tcPr>
          <w:p w14:paraId="7903ABCA" w14:textId="77777777" w:rsidR="00CB39D1" w:rsidRPr="00CB39D1" w:rsidRDefault="00CB39D1" w:rsidP="00CB39D1">
            <w:pPr>
              <w:spacing w:before="0" w:after="0" w:line="240" w:lineRule="auto"/>
              <w:jc w:val="center"/>
              <w:rPr>
                <w:sz w:val="18"/>
                <w:szCs w:val="18"/>
                <w:lang w:val="ru-RU" w:eastAsia="ru-RU"/>
              </w:rPr>
            </w:pPr>
          </w:p>
        </w:tc>
        <w:tc>
          <w:tcPr>
            <w:tcW w:w="2835" w:type="dxa"/>
            <w:vAlign w:val="center"/>
            <w:hideMark/>
          </w:tcPr>
          <w:p w14:paraId="1CE24DF6" w14:textId="77777777" w:rsidR="00CB39D1" w:rsidRPr="00CB39D1" w:rsidRDefault="00CB39D1" w:rsidP="00CB39D1">
            <w:pPr>
              <w:spacing w:before="0" w:after="0" w:line="240" w:lineRule="auto"/>
              <w:rPr>
                <w:i/>
                <w:color w:val="A5A6AC" w:themeColor="accent3" w:themeTint="99"/>
                <w:sz w:val="18"/>
                <w:szCs w:val="18"/>
              </w:rPr>
            </w:pPr>
            <w:r w:rsidRPr="00CB39D1">
              <w:rPr>
                <w:i/>
                <w:color w:val="A5A6AC" w:themeColor="accent3" w:themeTint="99"/>
                <w:sz w:val="18"/>
                <w:szCs w:val="18"/>
              </w:rPr>
              <w:t>%-ով՝ ՀՆԱ-ի նկատմամբ</w:t>
            </w:r>
          </w:p>
        </w:tc>
        <w:tc>
          <w:tcPr>
            <w:tcW w:w="995" w:type="dxa"/>
            <w:vAlign w:val="center"/>
            <w:hideMark/>
          </w:tcPr>
          <w:p w14:paraId="30D5874C" w14:textId="77777777" w:rsidR="00CB39D1" w:rsidRPr="00CB39D1" w:rsidRDefault="00CB39D1" w:rsidP="00CB39D1">
            <w:pPr>
              <w:spacing w:before="0" w:after="0" w:line="240" w:lineRule="auto"/>
              <w:jc w:val="center"/>
              <w:rPr>
                <w:i/>
                <w:color w:val="A5A6AC" w:themeColor="accent3" w:themeTint="99"/>
                <w:sz w:val="18"/>
                <w:szCs w:val="18"/>
              </w:rPr>
            </w:pPr>
            <w:r w:rsidRPr="00CB39D1">
              <w:rPr>
                <w:i/>
                <w:color w:val="A5A6AC" w:themeColor="accent3" w:themeTint="99"/>
                <w:sz w:val="18"/>
                <w:szCs w:val="18"/>
              </w:rPr>
              <w:t>4.30%</w:t>
            </w:r>
          </w:p>
        </w:tc>
        <w:tc>
          <w:tcPr>
            <w:tcW w:w="719" w:type="dxa"/>
            <w:vAlign w:val="center"/>
            <w:hideMark/>
          </w:tcPr>
          <w:p w14:paraId="0AB4398B" w14:textId="77777777" w:rsidR="00CB39D1" w:rsidRPr="00CB39D1" w:rsidRDefault="00CB39D1" w:rsidP="00CB39D1">
            <w:pPr>
              <w:spacing w:before="0" w:after="0" w:line="240" w:lineRule="auto"/>
              <w:jc w:val="center"/>
              <w:rPr>
                <w:i/>
                <w:color w:val="A5A6AC" w:themeColor="accent3" w:themeTint="99"/>
                <w:sz w:val="18"/>
                <w:szCs w:val="18"/>
              </w:rPr>
            </w:pPr>
            <w:r w:rsidRPr="00CB39D1">
              <w:rPr>
                <w:i/>
                <w:color w:val="A5A6AC" w:themeColor="accent3" w:themeTint="99"/>
                <w:sz w:val="18"/>
                <w:szCs w:val="18"/>
              </w:rPr>
              <w:t>4.21%</w:t>
            </w:r>
          </w:p>
        </w:tc>
        <w:tc>
          <w:tcPr>
            <w:tcW w:w="851" w:type="dxa"/>
            <w:vAlign w:val="center"/>
            <w:hideMark/>
          </w:tcPr>
          <w:p w14:paraId="3F102F2F" w14:textId="77777777" w:rsidR="00CB39D1" w:rsidRPr="00CB39D1" w:rsidRDefault="00CB39D1" w:rsidP="00CB39D1">
            <w:pPr>
              <w:spacing w:before="0" w:after="0" w:line="240" w:lineRule="auto"/>
              <w:jc w:val="center"/>
              <w:rPr>
                <w:i/>
                <w:color w:val="A5A6AC" w:themeColor="accent3" w:themeTint="99"/>
                <w:sz w:val="18"/>
                <w:szCs w:val="18"/>
              </w:rPr>
            </w:pPr>
            <w:r w:rsidRPr="00CB39D1">
              <w:rPr>
                <w:i/>
                <w:color w:val="A5A6AC" w:themeColor="accent3" w:themeTint="99"/>
                <w:sz w:val="18"/>
                <w:szCs w:val="18"/>
              </w:rPr>
              <w:t>3.93%</w:t>
            </w:r>
          </w:p>
        </w:tc>
        <w:tc>
          <w:tcPr>
            <w:tcW w:w="992" w:type="dxa"/>
            <w:vAlign w:val="center"/>
            <w:hideMark/>
          </w:tcPr>
          <w:p w14:paraId="6AEF05EC" w14:textId="77777777" w:rsidR="00CB39D1" w:rsidRPr="00CB39D1" w:rsidRDefault="00CB39D1" w:rsidP="00CB39D1">
            <w:pPr>
              <w:spacing w:before="0" w:after="0" w:line="240" w:lineRule="auto"/>
              <w:jc w:val="center"/>
              <w:rPr>
                <w:i/>
                <w:color w:val="A5A6AC" w:themeColor="accent3" w:themeTint="99"/>
                <w:sz w:val="18"/>
                <w:szCs w:val="18"/>
              </w:rPr>
            </w:pPr>
            <w:r w:rsidRPr="00CB39D1">
              <w:rPr>
                <w:i/>
                <w:color w:val="A5A6AC" w:themeColor="accent3" w:themeTint="99"/>
                <w:sz w:val="18"/>
                <w:szCs w:val="18"/>
              </w:rPr>
              <w:t>3.64%</w:t>
            </w:r>
          </w:p>
        </w:tc>
        <w:tc>
          <w:tcPr>
            <w:tcW w:w="992" w:type="dxa"/>
            <w:vAlign w:val="center"/>
            <w:hideMark/>
          </w:tcPr>
          <w:p w14:paraId="6EC3257E" w14:textId="77777777" w:rsidR="00CB39D1" w:rsidRPr="00CB39D1" w:rsidRDefault="00CB39D1" w:rsidP="00CB39D1">
            <w:pPr>
              <w:spacing w:before="0" w:after="0" w:line="240" w:lineRule="auto"/>
              <w:jc w:val="center"/>
              <w:rPr>
                <w:i/>
                <w:color w:val="A5A6AC" w:themeColor="accent3" w:themeTint="99"/>
                <w:sz w:val="18"/>
                <w:szCs w:val="18"/>
              </w:rPr>
            </w:pPr>
          </w:p>
        </w:tc>
        <w:tc>
          <w:tcPr>
            <w:tcW w:w="992" w:type="dxa"/>
          </w:tcPr>
          <w:p w14:paraId="4F824F3B" w14:textId="77777777" w:rsidR="00CB39D1" w:rsidRPr="00CB39D1" w:rsidRDefault="00CB39D1" w:rsidP="00CB39D1">
            <w:pPr>
              <w:spacing w:before="0" w:after="0" w:line="240" w:lineRule="auto"/>
              <w:jc w:val="center"/>
              <w:rPr>
                <w:i/>
                <w:color w:val="A5A6AC" w:themeColor="accent3" w:themeTint="99"/>
                <w:sz w:val="18"/>
                <w:szCs w:val="18"/>
              </w:rPr>
            </w:pPr>
          </w:p>
        </w:tc>
      </w:tr>
      <w:tr w:rsidR="00CB39D1" w:rsidRPr="00CB39D1" w14:paraId="2E0C3331" w14:textId="77777777" w:rsidTr="008D4E1E">
        <w:trPr>
          <w:trHeight w:val="360"/>
        </w:trPr>
        <w:tc>
          <w:tcPr>
            <w:tcW w:w="1253" w:type="dxa"/>
            <w:vMerge/>
            <w:vAlign w:val="center"/>
            <w:hideMark/>
          </w:tcPr>
          <w:p w14:paraId="3B327680" w14:textId="77777777" w:rsidR="00CB39D1" w:rsidRPr="00CB39D1" w:rsidRDefault="00CB39D1" w:rsidP="00CB39D1">
            <w:pPr>
              <w:spacing w:before="0" w:after="0" w:line="240" w:lineRule="auto"/>
              <w:jc w:val="center"/>
              <w:rPr>
                <w:sz w:val="18"/>
                <w:szCs w:val="18"/>
                <w:lang w:val="ru-RU" w:eastAsia="ru-RU"/>
              </w:rPr>
            </w:pPr>
          </w:p>
        </w:tc>
        <w:tc>
          <w:tcPr>
            <w:tcW w:w="2835" w:type="dxa"/>
            <w:noWrap/>
            <w:vAlign w:val="center"/>
            <w:hideMark/>
          </w:tcPr>
          <w:p w14:paraId="19F8EA3D" w14:textId="77777777" w:rsidR="00CB39D1" w:rsidRPr="00CB39D1" w:rsidRDefault="00CB39D1" w:rsidP="00CB39D1">
            <w:pPr>
              <w:spacing w:before="0" w:after="0" w:line="240" w:lineRule="auto"/>
              <w:rPr>
                <w:sz w:val="18"/>
                <w:szCs w:val="18"/>
              </w:rPr>
            </w:pPr>
            <w:r w:rsidRPr="00CB39D1">
              <w:rPr>
                <w:sz w:val="18"/>
                <w:szCs w:val="18"/>
              </w:rPr>
              <w:t>2024թ. Պետական բյուջե</w:t>
            </w:r>
          </w:p>
        </w:tc>
        <w:tc>
          <w:tcPr>
            <w:tcW w:w="995" w:type="dxa"/>
            <w:vAlign w:val="center"/>
            <w:hideMark/>
          </w:tcPr>
          <w:p w14:paraId="7D3EE28D" w14:textId="77777777" w:rsidR="00CB39D1" w:rsidRPr="00CB39D1" w:rsidRDefault="00CB39D1" w:rsidP="00CB39D1">
            <w:pPr>
              <w:spacing w:before="0" w:after="0" w:line="240" w:lineRule="auto"/>
              <w:jc w:val="center"/>
              <w:rPr>
                <w:sz w:val="18"/>
                <w:szCs w:val="18"/>
              </w:rPr>
            </w:pPr>
            <w:r w:rsidRPr="00CB39D1">
              <w:rPr>
                <w:sz w:val="18"/>
                <w:szCs w:val="18"/>
              </w:rPr>
              <w:t>381.3</w:t>
            </w:r>
          </w:p>
        </w:tc>
        <w:tc>
          <w:tcPr>
            <w:tcW w:w="719" w:type="dxa"/>
            <w:vAlign w:val="center"/>
            <w:hideMark/>
          </w:tcPr>
          <w:p w14:paraId="7086247F" w14:textId="77777777" w:rsidR="00CB39D1" w:rsidRPr="00CB39D1" w:rsidRDefault="00CB39D1" w:rsidP="00CB39D1">
            <w:pPr>
              <w:spacing w:before="0" w:after="0" w:line="240" w:lineRule="auto"/>
              <w:jc w:val="center"/>
              <w:rPr>
                <w:sz w:val="18"/>
                <w:szCs w:val="18"/>
              </w:rPr>
            </w:pPr>
            <w:r w:rsidRPr="00CB39D1">
              <w:rPr>
                <w:sz w:val="18"/>
                <w:szCs w:val="18"/>
              </w:rPr>
              <w:t>482.9</w:t>
            </w:r>
          </w:p>
        </w:tc>
        <w:tc>
          <w:tcPr>
            <w:tcW w:w="851" w:type="dxa"/>
            <w:vAlign w:val="center"/>
            <w:hideMark/>
          </w:tcPr>
          <w:p w14:paraId="6532FDEB" w14:textId="77777777" w:rsidR="00CB39D1" w:rsidRPr="00CB39D1" w:rsidRDefault="00CB39D1" w:rsidP="00CB39D1">
            <w:pPr>
              <w:spacing w:before="0" w:after="0" w:line="240" w:lineRule="auto"/>
              <w:jc w:val="center"/>
              <w:rPr>
                <w:sz w:val="18"/>
                <w:szCs w:val="18"/>
              </w:rPr>
            </w:pPr>
          </w:p>
        </w:tc>
        <w:tc>
          <w:tcPr>
            <w:tcW w:w="992" w:type="dxa"/>
            <w:noWrap/>
            <w:vAlign w:val="center"/>
            <w:hideMark/>
          </w:tcPr>
          <w:p w14:paraId="7043FBDB" w14:textId="77777777" w:rsidR="00CB39D1" w:rsidRPr="00CB39D1" w:rsidRDefault="00CB39D1" w:rsidP="00CB39D1">
            <w:pPr>
              <w:spacing w:before="0" w:after="0" w:line="240" w:lineRule="auto"/>
              <w:jc w:val="center"/>
              <w:rPr>
                <w:sz w:val="18"/>
                <w:szCs w:val="18"/>
              </w:rPr>
            </w:pPr>
          </w:p>
        </w:tc>
        <w:tc>
          <w:tcPr>
            <w:tcW w:w="992" w:type="dxa"/>
            <w:vAlign w:val="center"/>
            <w:hideMark/>
          </w:tcPr>
          <w:p w14:paraId="7B21F871" w14:textId="77777777" w:rsidR="00CB39D1" w:rsidRPr="00CB39D1" w:rsidRDefault="00CB39D1" w:rsidP="00CB39D1">
            <w:pPr>
              <w:spacing w:before="0" w:after="0" w:line="240" w:lineRule="auto"/>
              <w:jc w:val="center"/>
              <w:rPr>
                <w:sz w:val="18"/>
                <w:szCs w:val="18"/>
              </w:rPr>
            </w:pPr>
          </w:p>
        </w:tc>
        <w:tc>
          <w:tcPr>
            <w:tcW w:w="992" w:type="dxa"/>
          </w:tcPr>
          <w:p w14:paraId="6144F8DD" w14:textId="77777777" w:rsidR="00CB39D1" w:rsidRPr="00CB39D1" w:rsidRDefault="00CB39D1" w:rsidP="00CB39D1">
            <w:pPr>
              <w:spacing w:before="0" w:after="0" w:line="240" w:lineRule="auto"/>
              <w:jc w:val="center"/>
              <w:rPr>
                <w:sz w:val="18"/>
                <w:szCs w:val="18"/>
              </w:rPr>
            </w:pPr>
          </w:p>
        </w:tc>
      </w:tr>
      <w:tr w:rsidR="00CB39D1" w:rsidRPr="00CB39D1" w14:paraId="5167DA29" w14:textId="77777777" w:rsidTr="008D4E1E">
        <w:trPr>
          <w:trHeight w:val="360"/>
        </w:trPr>
        <w:tc>
          <w:tcPr>
            <w:tcW w:w="1253" w:type="dxa"/>
            <w:vMerge/>
            <w:vAlign w:val="center"/>
            <w:hideMark/>
          </w:tcPr>
          <w:p w14:paraId="2514B0C6" w14:textId="77777777" w:rsidR="00CB39D1" w:rsidRPr="00CB39D1" w:rsidRDefault="00CB39D1" w:rsidP="00CB39D1">
            <w:pPr>
              <w:spacing w:before="0" w:after="0" w:line="240" w:lineRule="auto"/>
              <w:jc w:val="center"/>
              <w:rPr>
                <w:sz w:val="18"/>
                <w:szCs w:val="18"/>
                <w:lang w:val="ru-RU" w:eastAsia="ru-RU"/>
              </w:rPr>
            </w:pPr>
          </w:p>
        </w:tc>
        <w:tc>
          <w:tcPr>
            <w:tcW w:w="2835" w:type="dxa"/>
            <w:vAlign w:val="center"/>
            <w:hideMark/>
          </w:tcPr>
          <w:p w14:paraId="25CE6AD5" w14:textId="77777777" w:rsidR="00CB39D1" w:rsidRPr="00CB39D1" w:rsidRDefault="00CB39D1" w:rsidP="00CB39D1">
            <w:pPr>
              <w:spacing w:before="0" w:after="0" w:line="240" w:lineRule="auto"/>
              <w:rPr>
                <w:i/>
                <w:color w:val="A5A6AC" w:themeColor="accent3" w:themeTint="99"/>
                <w:sz w:val="18"/>
                <w:szCs w:val="18"/>
              </w:rPr>
            </w:pPr>
            <w:r w:rsidRPr="00CB39D1">
              <w:rPr>
                <w:i/>
                <w:color w:val="A5A6AC" w:themeColor="accent3" w:themeTint="99"/>
                <w:sz w:val="18"/>
                <w:szCs w:val="18"/>
              </w:rPr>
              <w:t>%-ով՝ ՀՆԱ-ի նկատմամբ</w:t>
            </w:r>
          </w:p>
        </w:tc>
        <w:tc>
          <w:tcPr>
            <w:tcW w:w="995" w:type="dxa"/>
            <w:vAlign w:val="center"/>
            <w:hideMark/>
          </w:tcPr>
          <w:p w14:paraId="7AE52B1E" w14:textId="77777777" w:rsidR="00CB39D1" w:rsidRPr="00CB39D1" w:rsidRDefault="00CB39D1" w:rsidP="00CB39D1">
            <w:pPr>
              <w:spacing w:before="0" w:after="0" w:line="240" w:lineRule="auto"/>
              <w:jc w:val="center"/>
              <w:rPr>
                <w:i/>
                <w:color w:val="A5A6AC" w:themeColor="accent3" w:themeTint="99"/>
                <w:sz w:val="18"/>
                <w:szCs w:val="18"/>
              </w:rPr>
            </w:pPr>
            <w:r w:rsidRPr="00CB39D1">
              <w:rPr>
                <w:i/>
                <w:color w:val="A5A6AC" w:themeColor="accent3" w:themeTint="99"/>
                <w:sz w:val="18"/>
                <w:szCs w:val="18"/>
              </w:rPr>
              <w:t>4.04%</w:t>
            </w:r>
          </w:p>
        </w:tc>
        <w:tc>
          <w:tcPr>
            <w:tcW w:w="719" w:type="dxa"/>
            <w:vAlign w:val="center"/>
            <w:hideMark/>
          </w:tcPr>
          <w:p w14:paraId="44B41183" w14:textId="77777777" w:rsidR="00CB39D1" w:rsidRPr="00CB39D1" w:rsidRDefault="00CB39D1" w:rsidP="00CB39D1">
            <w:pPr>
              <w:spacing w:before="0" w:after="0" w:line="240" w:lineRule="auto"/>
              <w:jc w:val="center"/>
              <w:rPr>
                <w:i/>
                <w:color w:val="A5A6AC" w:themeColor="accent3" w:themeTint="99"/>
                <w:sz w:val="18"/>
                <w:szCs w:val="18"/>
              </w:rPr>
            </w:pPr>
            <w:r w:rsidRPr="00CB39D1">
              <w:rPr>
                <w:i/>
                <w:color w:val="A5A6AC" w:themeColor="accent3" w:themeTint="99"/>
                <w:sz w:val="18"/>
                <w:szCs w:val="18"/>
              </w:rPr>
              <w:t>4.59%</w:t>
            </w:r>
          </w:p>
        </w:tc>
        <w:tc>
          <w:tcPr>
            <w:tcW w:w="851" w:type="dxa"/>
            <w:vAlign w:val="center"/>
            <w:hideMark/>
          </w:tcPr>
          <w:p w14:paraId="4B10B2EB" w14:textId="77777777" w:rsidR="00CB39D1" w:rsidRPr="00CB39D1" w:rsidRDefault="00CB39D1" w:rsidP="00CB39D1">
            <w:pPr>
              <w:spacing w:before="0" w:after="0" w:line="240" w:lineRule="auto"/>
              <w:jc w:val="center"/>
              <w:rPr>
                <w:i/>
                <w:color w:val="A5A6AC" w:themeColor="accent3" w:themeTint="99"/>
                <w:sz w:val="18"/>
                <w:szCs w:val="18"/>
              </w:rPr>
            </w:pPr>
          </w:p>
        </w:tc>
        <w:tc>
          <w:tcPr>
            <w:tcW w:w="992" w:type="dxa"/>
            <w:noWrap/>
            <w:vAlign w:val="center"/>
            <w:hideMark/>
          </w:tcPr>
          <w:p w14:paraId="5AACC387" w14:textId="77777777" w:rsidR="00CB39D1" w:rsidRPr="00CB39D1" w:rsidRDefault="00CB39D1" w:rsidP="00CB39D1">
            <w:pPr>
              <w:spacing w:before="0" w:after="0" w:line="240" w:lineRule="auto"/>
              <w:jc w:val="center"/>
              <w:rPr>
                <w:i/>
                <w:color w:val="A5A6AC" w:themeColor="accent3" w:themeTint="99"/>
                <w:sz w:val="18"/>
                <w:szCs w:val="18"/>
              </w:rPr>
            </w:pPr>
          </w:p>
        </w:tc>
        <w:tc>
          <w:tcPr>
            <w:tcW w:w="992" w:type="dxa"/>
            <w:vAlign w:val="center"/>
            <w:hideMark/>
          </w:tcPr>
          <w:p w14:paraId="30D5E9EF" w14:textId="77777777" w:rsidR="00CB39D1" w:rsidRPr="00CB39D1" w:rsidRDefault="00CB39D1" w:rsidP="00CB39D1">
            <w:pPr>
              <w:spacing w:before="0" w:after="0" w:line="240" w:lineRule="auto"/>
              <w:jc w:val="center"/>
              <w:rPr>
                <w:i/>
                <w:color w:val="A5A6AC" w:themeColor="accent3" w:themeTint="99"/>
                <w:sz w:val="18"/>
                <w:szCs w:val="18"/>
              </w:rPr>
            </w:pPr>
          </w:p>
        </w:tc>
        <w:tc>
          <w:tcPr>
            <w:tcW w:w="992" w:type="dxa"/>
          </w:tcPr>
          <w:p w14:paraId="197C5223" w14:textId="77777777" w:rsidR="00CB39D1" w:rsidRPr="00CB39D1" w:rsidRDefault="00CB39D1" w:rsidP="00CB39D1">
            <w:pPr>
              <w:spacing w:before="0" w:after="0" w:line="240" w:lineRule="auto"/>
              <w:jc w:val="center"/>
              <w:rPr>
                <w:i/>
                <w:color w:val="A5A6AC" w:themeColor="accent3" w:themeTint="99"/>
                <w:sz w:val="18"/>
                <w:szCs w:val="18"/>
              </w:rPr>
            </w:pPr>
          </w:p>
        </w:tc>
      </w:tr>
      <w:tr w:rsidR="00CB39D1" w:rsidRPr="00CB39D1" w14:paraId="519E5C33" w14:textId="77777777" w:rsidTr="008D4E1E">
        <w:trPr>
          <w:trHeight w:val="360"/>
        </w:trPr>
        <w:tc>
          <w:tcPr>
            <w:tcW w:w="1253" w:type="dxa"/>
            <w:vMerge w:val="restart"/>
            <w:vAlign w:val="center"/>
            <w:hideMark/>
          </w:tcPr>
          <w:p w14:paraId="182941BF" w14:textId="77777777" w:rsidR="00CB39D1" w:rsidRPr="00CB39D1" w:rsidRDefault="00CB39D1" w:rsidP="00CB39D1">
            <w:pPr>
              <w:spacing w:before="0" w:after="0" w:line="240" w:lineRule="auto"/>
              <w:jc w:val="center"/>
              <w:rPr>
                <w:sz w:val="18"/>
                <w:szCs w:val="18"/>
              </w:rPr>
            </w:pPr>
            <w:r w:rsidRPr="00CB39D1">
              <w:rPr>
                <w:sz w:val="18"/>
                <w:szCs w:val="18"/>
              </w:rPr>
              <w:t>2024</w:t>
            </w:r>
          </w:p>
        </w:tc>
        <w:tc>
          <w:tcPr>
            <w:tcW w:w="2835" w:type="dxa"/>
            <w:noWrap/>
            <w:vAlign w:val="center"/>
            <w:hideMark/>
          </w:tcPr>
          <w:p w14:paraId="01CBF09E" w14:textId="77777777" w:rsidR="00CB39D1" w:rsidRPr="00CB39D1" w:rsidRDefault="00CB39D1" w:rsidP="00CB39D1">
            <w:pPr>
              <w:spacing w:before="0" w:after="0" w:line="240" w:lineRule="auto"/>
              <w:rPr>
                <w:sz w:val="18"/>
                <w:szCs w:val="18"/>
              </w:rPr>
            </w:pPr>
            <w:r w:rsidRPr="00CB39D1">
              <w:rPr>
                <w:sz w:val="18"/>
                <w:szCs w:val="18"/>
              </w:rPr>
              <w:t>ՄԺԾԾ 2025-2027</w:t>
            </w:r>
          </w:p>
        </w:tc>
        <w:tc>
          <w:tcPr>
            <w:tcW w:w="995" w:type="dxa"/>
            <w:vAlign w:val="center"/>
            <w:hideMark/>
          </w:tcPr>
          <w:p w14:paraId="07DA81AB" w14:textId="77777777" w:rsidR="00CB39D1" w:rsidRPr="00CB39D1" w:rsidRDefault="00CB39D1" w:rsidP="00CB39D1">
            <w:pPr>
              <w:spacing w:before="0" w:after="0" w:line="240" w:lineRule="auto"/>
              <w:jc w:val="center"/>
              <w:rPr>
                <w:sz w:val="18"/>
                <w:szCs w:val="18"/>
              </w:rPr>
            </w:pPr>
          </w:p>
        </w:tc>
        <w:tc>
          <w:tcPr>
            <w:tcW w:w="719" w:type="dxa"/>
            <w:vAlign w:val="center"/>
            <w:hideMark/>
          </w:tcPr>
          <w:p w14:paraId="64AD2D4D" w14:textId="77777777" w:rsidR="00CB39D1" w:rsidRPr="00CB39D1" w:rsidRDefault="00CB39D1" w:rsidP="00CB39D1">
            <w:pPr>
              <w:spacing w:before="0" w:after="0" w:line="240" w:lineRule="auto"/>
              <w:jc w:val="center"/>
              <w:rPr>
                <w:sz w:val="18"/>
                <w:szCs w:val="18"/>
              </w:rPr>
            </w:pPr>
            <w:r w:rsidRPr="00CB39D1">
              <w:rPr>
                <w:sz w:val="18"/>
                <w:szCs w:val="18"/>
              </w:rPr>
              <w:t>482.9</w:t>
            </w:r>
          </w:p>
        </w:tc>
        <w:tc>
          <w:tcPr>
            <w:tcW w:w="851" w:type="dxa"/>
            <w:vAlign w:val="center"/>
            <w:hideMark/>
          </w:tcPr>
          <w:p w14:paraId="62AFCBF0" w14:textId="77777777" w:rsidR="00CB39D1" w:rsidRPr="00CB39D1" w:rsidRDefault="00CB39D1" w:rsidP="00CB39D1">
            <w:pPr>
              <w:spacing w:before="0" w:after="0" w:line="240" w:lineRule="auto"/>
              <w:jc w:val="center"/>
              <w:rPr>
                <w:sz w:val="18"/>
                <w:szCs w:val="18"/>
              </w:rPr>
            </w:pPr>
            <w:r w:rsidRPr="00CB39D1">
              <w:rPr>
                <w:sz w:val="18"/>
                <w:szCs w:val="18"/>
              </w:rPr>
              <w:t>615.8</w:t>
            </w:r>
          </w:p>
        </w:tc>
        <w:tc>
          <w:tcPr>
            <w:tcW w:w="992" w:type="dxa"/>
            <w:vAlign w:val="center"/>
            <w:hideMark/>
          </w:tcPr>
          <w:p w14:paraId="0D2F931A" w14:textId="77777777" w:rsidR="00CB39D1" w:rsidRPr="00CB39D1" w:rsidRDefault="00CB39D1" w:rsidP="00CB39D1">
            <w:pPr>
              <w:spacing w:before="0" w:after="0" w:line="240" w:lineRule="auto"/>
              <w:jc w:val="center"/>
              <w:rPr>
                <w:sz w:val="18"/>
                <w:szCs w:val="18"/>
              </w:rPr>
            </w:pPr>
            <w:r w:rsidRPr="00CB39D1">
              <w:rPr>
                <w:sz w:val="18"/>
                <w:szCs w:val="18"/>
              </w:rPr>
              <w:t>553.9</w:t>
            </w:r>
          </w:p>
        </w:tc>
        <w:tc>
          <w:tcPr>
            <w:tcW w:w="992" w:type="dxa"/>
            <w:vAlign w:val="center"/>
            <w:hideMark/>
          </w:tcPr>
          <w:p w14:paraId="752B08E9" w14:textId="77777777" w:rsidR="00CB39D1" w:rsidRPr="00CB39D1" w:rsidRDefault="00CB39D1" w:rsidP="00CB39D1">
            <w:pPr>
              <w:spacing w:before="0" w:after="0" w:line="240" w:lineRule="auto"/>
              <w:jc w:val="center"/>
              <w:rPr>
                <w:sz w:val="18"/>
                <w:szCs w:val="18"/>
              </w:rPr>
            </w:pPr>
            <w:r w:rsidRPr="00CB39D1">
              <w:rPr>
                <w:sz w:val="18"/>
                <w:szCs w:val="18"/>
              </w:rPr>
              <w:t>472.7</w:t>
            </w:r>
          </w:p>
        </w:tc>
        <w:tc>
          <w:tcPr>
            <w:tcW w:w="992" w:type="dxa"/>
          </w:tcPr>
          <w:p w14:paraId="0F01C2E4" w14:textId="77777777" w:rsidR="00CB39D1" w:rsidRPr="00CB39D1" w:rsidRDefault="00CB39D1" w:rsidP="00CB39D1">
            <w:pPr>
              <w:spacing w:before="0" w:after="0" w:line="240" w:lineRule="auto"/>
              <w:jc w:val="center"/>
              <w:rPr>
                <w:sz w:val="18"/>
                <w:szCs w:val="18"/>
              </w:rPr>
            </w:pPr>
          </w:p>
        </w:tc>
      </w:tr>
      <w:tr w:rsidR="00CB39D1" w:rsidRPr="00CB39D1" w14:paraId="395D4B7C" w14:textId="77777777" w:rsidTr="008D4E1E">
        <w:trPr>
          <w:trHeight w:val="360"/>
        </w:trPr>
        <w:tc>
          <w:tcPr>
            <w:tcW w:w="1253" w:type="dxa"/>
            <w:vMerge/>
            <w:vAlign w:val="center"/>
            <w:hideMark/>
          </w:tcPr>
          <w:p w14:paraId="4343F348" w14:textId="77777777" w:rsidR="00CB39D1" w:rsidRPr="00CB39D1" w:rsidRDefault="00CB39D1" w:rsidP="00CB39D1">
            <w:pPr>
              <w:spacing w:before="0" w:after="0" w:line="240" w:lineRule="auto"/>
              <w:rPr>
                <w:sz w:val="18"/>
                <w:szCs w:val="18"/>
                <w:lang w:val="ru-RU" w:eastAsia="ru-RU"/>
              </w:rPr>
            </w:pPr>
          </w:p>
        </w:tc>
        <w:tc>
          <w:tcPr>
            <w:tcW w:w="2835" w:type="dxa"/>
            <w:vAlign w:val="center"/>
            <w:hideMark/>
          </w:tcPr>
          <w:p w14:paraId="20D8FA6F" w14:textId="77777777" w:rsidR="00CB39D1" w:rsidRPr="00CB39D1" w:rsidRDefault="00CB39D1" w:rsidP="00CB39D1">
            <w:pPr>
              <w:spacing w:before="0" w:after="0" w:line="240" w:lineRule="auto"/>
              <w:rPr>
                <w:i/>
                <w:color w:val="A5A6AC" w:themeColor="accent3" w:themeTint="99"/>
                <w:sz w:val="18"/>
                <w:szCs w:val="18"/>
              </w:rPr>
            </w:pPr>
            <w:r w:rsidRPr="00CB39D1">
              <w:rPr>
                <w:i/>
                <w:color w:val="A5A6AC" w:themeColor="accent3" w:themeTint="99"/>
                <w:sz w:val="18"/>
                <w:szCs w:val="18"/>
              </w:rPr>
              <w:t>%-ով՝ ՀՆԱ-ի նկատմամբ</w:t>
            </w:r>
          </w:p>
        </w:tc>
        <w:tc>
          <w:tcPr>
            <w:tcW w:w="995" w:type="dxa"/>
            <w:vAlign w:val="center"/>
            <w:hideMark/>
          </w:tcPr>
          <w:p w14:paraId="3F0C2FAB" w14:textId="77777777" w:rsidR="00CB39D1" w:rsidRPr="00CB39D1" w:rsidRDefault="00CB39D1" w:rsidP="00CB39D1">
            <w:pPr>
              <w:spacing w:before="0" w:after="0" w:line="240" w:lineRule="auto"/>
              <w:jc w:val="center"/>
              <w:rPr>
                <w:i/>
                <w:color w:val="A5A6AC" w:themeColor="accent3" w:themeTint="99"/>
                <w:sz w:val="18"/>
                <w:szCs w:val="18"/>
              </w:rPr>
            </w:pPr>
          </w:p>
        </w:tc>
        <w:tc>
          <w:tcPr>
            <w:tcW w:w="719" w:type="dxa"/>
            <w:vAlign w:val="center"/>
            <w:hideMark/>
          </w:tcPr>
          <w:p w14:paraId="518D8791" w14:textId="77777777" w:rsidR="00CB39D1" w:rsidRPr="00CB39D1" w:rsidRDefault="00CB39D1" w:rsidP="00CB39D1">
            <w:pPr>
              <w:spacing w:before="0" w:after="0" w:line="240" w:lineRule="auto"/>
              <w:jc w:val="center"/>
              <w:rPr>
                <w:i/>
                <w:color w:val="A5A6AC" w:themeColor="accent3" w:themeTint="99"/>
                <w:sz w:val="18"/>
                <w:szCs w:val="18"/>
              </w:rPr>
            </w:pPr>
            <w:r w:rsidRPr="00CB39D1">
              <w:rPr>
                <w:i/>
                <w:color w:val="A5A6AC" w:themeColor="accent3" w:themeTint="99"/>
                <w:sz w:val="18"/>
                <w:szCs w:val="18"/>
              </w:rPr>
              <w:t>4.72%</w:t>
            </w:r>
          </w:p>
        </w:tc>
        <w:tc>
          <w:tcPr>
            <w:tcW w:w="851" w:type="dxa"/>
            <w:vAlign w:val="center"/>
            <w:hideMark/>
          </w:tcPr>
          <w:p w14:paraId="3D96945A" w14:textId="77777777" w:rsidR="00CB39D1" w:rsidRPr="00CB39D1" w:rsidRDefault="00CB39D1" w:rsidP="00CB39D1">
            <w:pPr>
              <w:spacing w:before="0" w:after="0" w:line="240" w:lineRule="auto"/>
              <w:jc w:val="center"/>
              <w:rPr>
                <w:i/>
                <w:color w:val="A5A6AC" w:themeColor="accent3" w:themeTint="99"/>
                <w:sz w:val="18"/>
                <w:szCs w:val="18"/>
              </w:rPr>
            </w:pPr>
            <w:r w:rsidRPr="00CB39D1">
              <w:rPr>
                <w:i/>
                <w:color w:val="A5A6AC" w:themeColor="accent3" w:themeTint="99"/>
                <w:sz w:val="18"/>
                <w:szCs w:val="18"/>
              </w:rPr>
              <w:t>5.50%</w:t>
            </w:r>
          </w:p>
        </w:tc>
        <w:tc>
          <w:tcPr>
            <w:tcW w:w="992" w:type="dxa"/>
            <w:vAlign w:val="center"/>
            <w:hideMark/>
          </w:tcPr>
          <w:p w14:paraId="54C60FE5" w14:textId="77777777" w:rsidR="00CB39D1" w:rsidRPr="00CB39D1" w:rsidRDefault="00CB39D1" w:rsidP="00CB39D1">
            <w:pPr>
              <w:spacing w:before="0" w:after="0" w:line="240" w:lineRule="auto"/>
              <w:jc w:val="center"/>
              <w:rPr>
                <w:i/>
                <w:color w:val="A5A6AC" w:themeColor="accent3" w:themeTint="99"/>
                <w:sz w:val="18"/>
                <w:szCs w:val="18"/>
              </w:rPr>
            </w:pPr>
            <w:r w:rsidRPr="00CB39D1">
              <w:rPr>
                <w:i/>
                <w:color w:val="A5A6AC" w:themeColor="accent3" w:themeTint="99"/>
                <w:sz w:val="18"/>
                <w:szCs w:val="18"/>
              </w:rPr>
              <w:t>4.50%</w:t>
            </w:r>
          </w:p>
        </w:tc>
        <w:tc>
          <w:tcPr>
            <w:tcW w:w="992" w:type="dxa"/>
            <w:vAlign w:val="center"/>
            <w:hideMark/>
          </w:tcPr>
          <w:p w14:paraId="4D5C9DCE" w14:textId="77777777" w:rsidR="00CB39D1" w:rsidRPr="00CB39D1" w:rsidRDefault="00CB39D1" w:rsidP="00CB39D1">
            <w:pPr>
              <w:spacing w:before="0" w:after="0" w:line="240" w:lineRule="auto"/>
              <w:jc w:val="center"/>
              <w:rPr>
                <w:i/>
                <w:color w:val="A5A6AC" w:themeColor="accent3" w:themeTint="99"/>
                <w:sz w:val="18"/>
                <w:szCs w:val="18"/>
              </w:rPr>
            </w:pPr>
            <w:r w:rsidRPr="00CB39D1">
              <w:rPr>
                <w:i/>
                <w:color w:val="A5A6AC" w:themeColor="accent3" w:themeTint="99"/>
                <w:sz w:val="18"/>
                <w:szCs w:val="18"/>
              </w:rPr>
              <w:t>3.50%</w:t>
            </w:r>
          </w:p>
        </w:tc>
        <w:tc>
          <w:tcPr>
            <w:tcW w:w="992" w:type="dxa"/>
          </w:tcPr>
          <w:p w14:paraId="751ECAF7" w14:textId="77777777" w:rsidR="00CB39D1" w:rsidRPr="00CB39D1" w:rsidRDefault="00CB39D1" w:rsidP="00CB39D1">
            <w:pPr>
              <w:spacing w:before="0" w:after="0" w:line="240" w:lineRule="auto"/>
              <w:jc w:val="center"/>
              <w:rPr>
                <w:i/>
                <w:color w:val="A5A6AC" w:themeColor="accent3" w:themeTint="99"/>
                <w:sz w:val="18"/>
                <w:szCs w:val="18"/>
              </w:rPr>
            </w:pPr>
          </w:p>
        </w:tc>
      </w:tr>
      <w:tr w:rsidR="00CB39D1" w:rsidRPr="00CB39D1" w14:paraId="3E6FF46D" w14:textId="77777777" w:rsidTr="008D4E1E">
        <w:trPr>
          <w:trHeight w:val="360"/>
        </w:trPr>
        <w:tc>
          <w:tcPr>
            <w:tcW w:w="1253" w:type="dxa"/>
            <w:vMerge/>
            <w:vAlign w:val="center"/>
            <w:hideMark/>
          </w:tcPr>
          <w:p w14:paraId="4B25A14C" w14:textId="77777777" w:rsidR="00CB39D1" w:rsidRPr="00CB39D1" w:rsidRDefault="00CB39D1" w:rsidP="00CB39D1">
            <w:pPr>
              <w:spacing w:before="0" w:after="0" w:line="240" w:lineRule="auto"/>
              <w:rPr>
                <w:sz w:val="18"/>
                <w:szCs w:val="18"/>
                <w:lang w:val="ru-RU" w:eastAsia="ru-RU"/>
              </w:rPr>
            </w:pPr>
          </w:p>
        </w:tc>
        <w:tc>
          <w:tcPr>
            <w:tcW w:w="2835" w:type="dxa"/>
            <w:noWrap/>
            <w:vAlign w:val="center"/>
            <w:hideMark/>
          </w:tcPr>
          <w:p w14:paraId="7DA9C4DC" w14:textId="77777777" w:rsidR="00CB39D1" w:rsidRPr="00CB39D1" w:rsidRDefault="00CB39D1" w:rsidP="00CB39D1">
            <w:pPr>
              <w:spacing w:before="0" w:after="0" w:line="240" w:lineRule="auto"/>
              <w:rPr>
                <w:sz w:val="18"/>
                <w:szCs w:val="18"/>
              </w:rPr>
            </w:pPr>
            <w:r w:rsidRPr="00CB39D1">
              <w:rPr>
                <w:sz w:val="18"/>
                <w:szCs w:val="18"/>
              </w:rPr>
              <w:t>2025թ. Պետական բյուջե</w:t>
            </w:r>
          </w:p>
        </w:tc>
        <w:tc>
          <w:tcPr>
            <w:tcW w:w="995" w:type="dxa"/>
            <w:vAlign w:val="center"/>
            <w:hideMark/>
          </w:tcPr>
          <w:p w14:paraId="74F22D78" w14:textId="77777777" w:rsidR="00CB39D1" w:rsidRPr="00CB39D1" w:rsidRDefault="00CB39D1" w:rsidP="00CB39D1">
            <w:pPr>
              <w:spacing w:before="0" w:after="0" w:line="240" w:lineRule="auto"/>
              <w:jc w:val="center"/>
              <w:rPr>
                <w:sz w:val="18"/>
                <w:szCs w:val="18"/>
              </w:rPr>
            </w:pPr>
          </w:p>
        </w:tc>
        <w:tc>
          <w:tcPr>
            <w:tcW w:w="719" w:type="dxa"/>
            <w:tcBorders>
              <w:bottom w:val="single" w:sz="8" w:space="0" w:color="E1E1E3" w:themeColor="accent3" w:themeTint="33"/>
            </w:tcBorders>
            <w:vAlign w:val="center"/>
            <w:hideMark/>
          </w:tcPr>
          <w:p w14:paraId="09C7570C" w14:textId="77777777" w:rsidR="00CB39D1" w:rsidRPr="00CB39D1" w:rsidRDefault="00CB39D1" w:rsidP="00CB39D1">
            <w:pPr>
              <w:spacing w:before="0" w:after="0" w:line="240" w:lineRule="auto"/>
              <w:jc w:val="center"/>
              <w:rPr>
                <w:sz w:val="18"/>
                <w:szCs w:val="18"/>
              </w:rPr>
            </w:pPr>
            <w:r w:rsidRPr="00CB39D1">
              <w:rPr>
                <w:sz w:val="18"/>
                <w:szCs w:val="18"/>
              </w:rPr>
              <w:t>482.9</w:t>
            </w:r>
          </w:p>
        </w:tc>
        <w:tc>
          <w:tcPr>
            <w:tcW w:w="851" w:type="dxa"/>
            <w:tcBorders>
              <w:bottom w:val="single" w:sz="8" w:space="0" w:color="E1E1E3" w:themeColor="accent3" w:themeTint="33"/>
            </w:tcBorders>
            <w:vAlign w:val="center"/>
            <w:hideMark/>
          </w:tcPr>
          <w:p w14:paraId="3F6323FA" w14:textId="77777777" w:rsidR="00CB39D1" w:rsidRPr="00CB39D1" w:rsidRDefault="00CB39D1" w:rsidP="00CB39D1">
            <w:pPr>
              <w:spacing w:before="0" w:after="0" w:line="240" w:lineRule="auto"/>
              <w:jc w:val="center"/>
              <w:rPr>
                <w:sz w:val="18"/>
                <w:szCs w:val="18"/>
              </w:rPr>
            </w:pPr>
            <w:r w:rsidRPr="00CB39D1">
              <w:rPr>
                <w:sz w:val="18"/>
                <w:szCs w:val="18"/>
              </w:rPr>
              <w:t>604.0</w:t>
            </w:r>
          </w:p>
        </w:tc>
        <w:tc>
          <w:tcPr>
            <w:tcW w:w="992" w:type="dxa"/>
            <w:tcBorders>
              <w:bottom w:val="single" w:sz="8" w:space="0" w:color="E1E1E3" w:themeColor="accent3" w:themeTint="33"/>
            </w:tcBorders>
            <w:vAlign w:val="center"/>
            <w:hideMark/>
          </w:tcPr>
          <w:p w14:paraId="596805A3" w14:textId="77777777" w:rsidR="00CB39D1" w:rsidRPr="00CB39D1" w:rsidRDefault="00CB39D1" w:rsidP="00CB39D1">
            <w:pPr>
              <w:spacing w:before="0" w:after="0" w:line="240" w:lineRule="auto"/>
              <w:jc w:val="center"/>
              <w:rPr>
                <w:sz w:val="18"/>
                <w:szCs w:val="18"/>
              </w:rPr>
            </w:pPr>
            <w:r w:rsidRPr="00CB39D1">
              <w:rPr>
                <w:sz w:val="18"/>
                <w:szCs w:val="18"/>
              </w:rPr>
              <w:t>506.2</w:t>
            </w:r>
          </w:p>
        </w:tc>
        <w:tc>
          <w:tcPr>
            <w:tcW w:w="992" w:type="dxa"/>
            <w:tcBorders>
              <w:bottom w:val="single" w:sz="8" w:space="0" w:color="E1E1E3" w:themeColor="accent3" w:themeTint="33"/>
            </w:tcBorders>
            <w:vAlign w:val="center"/>
            <w:hideMark/>
          </w:tcPr>
          <w:p w14:paraId="06AD1390" w14:textId="77777777" w:rsidR="00CB39D1" w:rsidRPr="00CB39D1" w:rsidRDefault="00CB39D1" w:rsidP="00CB39D1">
            <w:pPr>
              <w:spacing w:before="0" w:after="0" w:line="240" w:lineRule="auto"/>
              <w:jc w:val="center"/>
              <w:rPr>
                <w:sz w:val="18"/>
                <w:szCs w:val="18"/>
              </w:rPr>
            </w:pPr>
            <w:r w:rsidRPr="00CB39D1">
              <w:rPr>
                <w:sz w:val="18"/>
                <w:szCs w:val="18"/>
              </w:rPr>
              <w:t>391.1</w:t>
            </w:r>
          </w:p>
        </w:tc>
        <w:tc>
          <w:tcPr>
            <w:tcW w:w="992" w:type="dxa"/>
            <w:tcBorders>
              <w:bottom w:val="single" w:sz="8" w:space="0" w:color="E1E1E3" w:themeColor="accent3" w:themeTint="33"/>
            </w:tcBorders>
          </w:tcPr>
          <w:p w14:paraId="38D42A85" w14:textId="77777777" w:rsidR="00CB39D1" w:rsidRPr="00CB39D1" w:rsidRDefault="00CB39D1" w:rsidP="00CB39D1">
            <w:pPr>
              <w:spacing w:before="0" w:after="0" w:line="240" w:lineRule="auto"/>
              <w:jc w:val="center"/>
              <w:rPr>
                <w:sz w:val="18"/>
                <w:szCs w:val="18"/>
              </w:rPr>
            </w:pPr>
          </w:p>
        </w:tc>
      </w:tr>
      <w:tr w:rsidR="00CB39D1" w:rsidRPr="00CB39D1" w14:paraId="75DBD23A" w14:textId="77777777" w:rsidTr="008D4E1E">
        <w:trPr>
          <w:trHeight w:val="360"/>
        </w:trPr>
        <w:tc>
          <w:tcPr>
            <w:tcW w:w="1253" w:type="dxa"/>
            <w:vMerge/>
            <w:vAlign w:val="center"/>
            <w:hideMark/>
          </w:tcPr>
          <w:p w14:paraId="6800D7B5" w14:textId="77777777" w:rsidR="00CB39D1" w:rsidRPr="00CB39D1" w:rsidRDefault="00CB39D1" w:rsidP="00CB39D1">
            <w:pPr>
              <w:spacing w:before="0" w:after="0" w:line="240" w:lineRule="auto"/>
              <w:jc w:val="both"/>
              <w:rPr>
                <w:sz w:val="18"/>
                <w:szCs w:val="18"/>
                <w:lang w:val="ru-RU" w:eastAsia="ru-RU"/>
              </w:rPr>
            </w:pPr>
          </w:p>
        </w:tc>
        <w:tc>
          <w:tcPr>
            <w:tcW w:w="2835" w:type="dxa"/>
            <w:vAlign w:val="center"/>
            <w:hideMark/>
          </w:tcPr>
          <w:p w14:paraId="036019FE" w14:textId="77777777" w:rsidR="00CB39D1" w:rsidRPr="00CB39D1" w:rsidRDefault="00CB39D1" w:rsidP="00CB39D1">
            <w:pPr>
              <w:spacing w:before="0" w:after="0" w:line="240" w:lineRule="auto"/>
              <w:jc w:val="both"/>
              <w:rPr>
                <w:i/>
                <w:color w:val="A5A6AC" w:themeColor="accent3" w:themeTint="99"/>
                <w:sz w:val="18"/>
                <w:szCs w:val="18"/>
              </w:rPr>
            </w:pPr>
            <w:r w:rsidRPr="00CB39D1">
              <w:rPr>
                <w:i/>
                <w:color w:val="A5A6AC" w:themeColor="accent3" w:themeTint="99"/>
                <w:sz w:val="18"/>
                <w:szCs w:val="18"/>
              </w:rPr>
              <w:t>%-ով՝ ՀՆԱ-ի նկատմամբ</w:t>
            </w:r>
          </w:p>
        </w:tc>
        <w:tc>
          <w:tcPr>
            <w:tcW w:w="995" w:type="dxa"/>
            <w:vAlign w:val="center"/>
            <w:hideMark/>
          </w:tcPr>
          <w:p w14:paraId="18D1D395" w14:textId="77777777" w:rsidR="00CB39D1" w:rsidRPr="00CB39D1" w:rsidRDefault="00CB39D1" w:rsidP="00CB39D1">
            <w:pPr>
              <w:spacing w:before="0" w:after="0" w:line="240" w:lineRule="auto"/>
              <w:jc w:val="center"/>
              <w:rPr>
                <w:i/>
                <w:color w:val="A5A6AC" w:themeColor="accent3" w:themeTint="99"/>
                <w:sz w:val="18"/>
                <w:szCs w:val="18"/>
              </w:rPr>
            </w:pPr>
          </w:p>
        </w:tc>
        <w:tc>
          <w:tcPr>
            <w:tcW w:w="719" w:type="dxa"/>
            <w:vAlign w:val="center"/>
            <w:hideMark/>
          </w:tcPr>
          <w:p w14:paraId="44AEB858" w14:textId="77777777" w:rsidR="00CB39D1" w:rsidRPr="00CB39D1" w:rsidRDefault="00CB39D1" w:rsidP="00CB39D1">
            <w:pPr>
              <w:spacing w:before="0" w:after="0" w:line="240" w:lineRule="auto"/>
              <w:jc w:val="center"/>
              <w:rPr>
                <w:i/>
                <w:color w:val="A5A6AC" w:themeColor="accent3" w:themeTint="99"/>
                <w:sz w:val="18"/>
                <w:szCs w:val="18"/>
              </w:rPr>
            </w:pPr>
            <w:r w:rsidRPr="00CB39D1">
              <w:rPr>
                <w:i/>
                <w:color w:val="A5A6AC" w:themeColor="accent3" w:themeTint="99"/>
                <w:sz w:val="18"/>
                <w:szCs w:val="18"/>
              </w:rPr>
              <w:t>4.8%</w:t>
            </w:r>
          </w:p>
        </w:tc>
        <w:tc>
          <w:tcPr>
            <w:tcW w:w="851" w:type="dxa"/>
            <w:vAlign w:val="center"/>
            <w:hideMark/>
          </w:tcPr>
          <w:p w14:paraId="7DE2F12A" w14:textId="77777777" w:rsidR="00CB39D1" w:rsidRPr="00CB39D1" w:rsidRDefault="00CB39D1" w:rsidP="00CB39D1">
            <w:pPr>
              <w:spacing w:before="0" w:after="0" w:line="240" w:lineRule="auto"/>
              <w:jc w:val="center"/>
              <w:rPr>
                <w:i/>
                <w:color w:val="A5A6AC" w:themeColor="accent3" w:themeTint="99"/>
                <w:sz w:val="18"/>
                <w:szCs w:val="18"/>
              </w:rPr>
            </w:pPr>
            <w:r w:rsidRPr="00CB39D1">
              <w:rPr>
                <w:i/>
                <w:color w:val="A5A6AC" w:themeColor="accent3" w:themeTint="99"/>
                <w:sz w:val="18"/>
                <w:szCs w:val="18"/>
              </w:rPr>
              <w:t>5.5%</w:t>
            </w:r>
          </w:p>
        </w:tc>
        <w:tc>
          <w:tcPr>
            <w:tcW w:w="992" w:type="dxa"/>
            <w:vAlign w:val="center"/>
            <w:hideMark/>
          </w:tcPr>
          <w:p w14:paraId="064AD95D" w14:textId="77777777" w:rsidR="00CB39D1" w:rsidRPr="00CB39D1" w:rsidRDefault="00CB39D1" w:rsidP="00CB39D1">
            <w:pPr>
              <w:spacing w:before="0" w:after="0" w:line="240" w:lineRule="auto"/>
              <w:jc w:val="center"/>
              <w:rPr>
                <w:i/>
                <w:color w:val="A5A6AC" w:themeColor="accent3" w:themeTint="99"/>
                <w:sz w:val="18"/>
                <w:szCs w:val="18"/>
              </w:rPr>
            </w:pPr>
            <w:r w:rsidRPr="00CB39D1">
              <w:rPr>
                <w:i/>
                <w:color w:val="A5A6AC" w:themeColor="accent3" w:themeTint="99"/>
                <w:sz w:val="18"/>
                <w:szCs w:val="18"/>
              </w:rPr>
              <w:t>4.2%</w:t>
            </w:r>
          </w:p>
        </w:tc>
        <w:tc>
          <w:tcPr>
            <w:tcW w:w="992" w:type="dxa"/>
            <w:vAlign w:val="center"/>
            <w:hideMark/>
          </w:tcPr>
          <w:p w14:paraId="00817711" w14:textId="77777777" w:rsidR="00CB39D1" w:rsidRPr="00CB39D1" w:rsidRDefault="00CB39D1" w:rsidP="00CB39D1">
            <w:pPr>
              <w:spacing w:before="0" w:after="0" w:line="240" w:lineRule="auto"/>
              <w:jc w:val="center"/>
              <w:rPr>
                <w:i/>
                <w:color w:val="A5A6AC" w:themeColor="accent3" w:themeTint="99"/>
                <w:sz w:val="18"/>
                <w:szCs w:val="18"/>
              </w:rPr>
            </w:pPr>
            <w:r w:rsidRPr="00CB39D1">
              <w:rPr>
                <w:i/>
                <w:color w:val="A5A6AC" w:themeColor="accent3" w:themeTint="99"/>
                <w:sz w:val="18"/>
                <w:szCs w:val="18"/>
              </w:rPr>
              <w:t>3.0%</w:t>
            </w:r>
          </w:p>
        </w:tc>
        <w:tc>
          <w:tcPr>
            <w:tcW w:w="992" w:type="dxa"/>
          </w:tcPr>
          <w:p w14:paraId="01C17616" w14:textId="77777777" w:rsidR="00CB39D1" w:rsidRPr="00CB39D1" w:rsidRDefault="00CB39D1" w:rsidP="00CB39D1">
            <w:pPr>
              <w:spacing w:before="0" w:after="0" w:line="240" w:lineRule="auto"/>
              <w:jc w:val="center"/>
              <w:rPr>
                <w:i/>
                <w:color w:val="A5A6AC" w:themeColor="accent3" w:themeTint="99"/>
                <w:sz w:val="18"/>
                <w:szCs w:val="18"/>
              </w:rPr>
            </w:pPr>
          </w:p>
        </w:tc>
      </w:tr>
      <w:tr w:rsidR="00CB39D1" w:rsidRPr="00CB39D1" w14:paraId="61D5D6EA" w14:textId="77777777" w:rsidTr="008D4E1E">
        <w:trPr>
          <w:trHeight w:val="360"/>
        </w:trPr>
        <w:tc>
          <w:tcPr>
            <w:tcW w:w="1253" w:type="dxa"/>
            <w:vMerge w:val="restart"/>
            <w:vAlign w:val="center"/>
          </w:tcPr>
          <w:p w14:paraId="0D1CF52B" w14:textId="77777777" w:rsidR="00CB39D1" w:rsidRPr="00CB39D1" w:rsidRDefault="00CB39D1" w:rsidP="00CB39D1">
            <w:pPr>
              <w:spacing w:before="0" w:after="0" w:line="240" w:lineRule="auto"/>
              <w:jc w:val="center"/>
              <w:rPr>
                <w:sz w:val="18"/>
                <w:szCs w:val="18"/>
                <w:lang w:eastAsia="ru-RU"/>
              </w:rPr>
            </w:pPr>
            <w:r w:rsidRPr="00CB39D1">
              <w:rPr>
                <w:sz w:val="18"/>
                <w:szCs w:val="18"/>
                <w:lang w:eastAsia="ru-RU"/>
              </w:rPr>
              <w:t>2025</w:t>
            </w:r>
          </w:p>
        </w:tc>
        <w:tc>
          <w:tcPr>
            <w:tcW w:w="2835" w:type="dxa"/>
            <w:vAlign w:val="center"/>
          </w:tcPr>
          <w:p w14:paraId="2AF621C1" w14:textId="77777777" w:rsidR="00CB39D1" w:rsidRPr="00CB39D1" w:rsidRDefault="00CB39D1" w:rsidP="00CB39D1">
            <w:pPr>
              <w:spacing w:before="0" w:after="0" w:line="240" w:lineRule="auto"/>
              <w:jc w:val="both"/>
              <w:rPr>
                <w:i/>
                <w:color w:val="A5A6AC" w:themeColor="accent3" w:themeTint="99"/>
                <w:sz w:val="18"/>
                <w:szCs w:val="18"/>
              </w:rPr>
            </w:pPr>
            <w:r w:rsidRPr="00CB39D1">
              <w:rPr>
                <w:sz w:val="18"/>
                <w:szCs w:val="18"/>
              </w:rPr>
              <w:t xml:space="preserve"> ՄԺԾԾ 2026-2028</w:t>
            </w:r>
          </w:p>
        </w:tc>
        <w:tc>
          <w:tcPr>
            <w:tcW w:w="995" w:type="dxa"/>
            <w:vAlign w:val="center"/>
          </w:tcPr>
          <w:p w14:paraId="3F79A641" w14:textId="77777777" w:rsidR="00CB39D1" w:rsidRPr="00CB39D1" w:rsidRDefault="00CB39D1" w:rsidP="00CB39D1">
            <w:pPr>
              <w:spacing w:before="0" w:after="0" w:line="240" w:lineRule="auto"/>
              <w:jc w:val="center"/>
              <w:rPr>
                <w:i/>
                <w:color w:val="A5A6AC" w:themeColor="accent3" w:themeTint="99"/>
                <w:sz w:val="18"/>
                <w:szCs w:val="18"/>
              </w:rPr>
            </w:pPr>
          </w:p>
        </w:tc>
        <w:tc>
          <w:tcPr>
            <w:tcW w:w="719" w:type="dxa"/>
            <w:tcBorders>
              <w:top w:val="single" w:sz="8" w:space="0" w:color="E1E1E3" w:themeColor="accent3" w:themeTint="33"/>
              <w:bottom w:val="single" w:sz="8" w:space="0" w:color="E1E1E3" w:themeColor="accent3" w:themeTint="33"/>
              <w:right w:val="single" w:sz="8" w:space="0" w:color="E1E1E3" w:themeColor="accent3" w:themeTint="33"/>
            </w:tcBorders>
            <w:vAlign w:val="center"/>
          </w:tcPr>
          <w:p w14:paraId="38EBEDD8" w14:textId="77777777" w:rsidR="00CB39D1" w:rsidRPr="00CB39D1" w:rsidRDefault="00CB39D1" w:rsidP="00CB39D1">
            <w:pPr>
              <w:spacing w:before="0" w:after="0" w:line="240" w:lineRule="auto"/>
              <w:jc w:val="center"/>
              <w:rPr>
                <w:i/>
                <w:color w:val="A5A6AC" w:themeColor="accent3" w:themeTint="99"/>
                <w:sz w:val="18"/>
                <w:szCs w:val="18"/>
              </w:rPr>
            </w:pPr>
          </w:p>
        </w:tc>
        <w:tc>
          <w:tcPr>
            <w:tcW w:w="851" w:type="dxa"/>
            <w:tcBorders>
              <w:top w:val="single" w:sz="8" w:space="0" w:color="E1E1E3" w:themeColor="accent3" w:themeTint="33"/>
              <w:left w:val="single" w:sz="8" w:space="0" w:color="E1E1E3" w:themeColor="accent3" w:themeTint="33"/>
              <w:bottom w:val="single" w:sz="8" w:space="0" w:color="E1E1E3" w:themeColor="accent3" w:themeTint="33"/>
              <w:right w:val="single" w:sz="8" w:space="0" w:color="E1E1E3" w:themeColor="accent3" w:themeTint="33"/>
            </w:tcBorders>
            <w:vAlign w:val="center"/>
          </w:tcPr>
          <w:p w14:paraId="4E105654" w14:textId="77777777" w:rsidR="00CB39D1" w:rsidRPr="00CB39D1" w:rsidRDefault="00CB39D1" w:rsidP="00CB39D1">
            <w:pPr>
              <w:spacing w:before="0" w:after="0" w:line="240" w:lineRule="auto"/>
              <w:jc w:val="center"/>
              <w:rPr>
                <w:sz w:val="18"/>
                <w:szCs w:val="18"/>
              </w:rPr>
            </w:pPr>
            <w:r w:rsidRPr="00CB39D1">
              <w:rPr>
                <w:sz w:val="18"/>
                <w:szCs w:val="18"/>
              </w:rPr>
              <w:t>603.7</w:t>
            </w:r>
          </w:p>
        </w:tc>
        <w:tc>
          <w:tcPr>
            <w:tcW w:w="992" w:type="dxa"/>
            <w:tcBorders>
              <w:top w:val="single" w:sz="8" w:space="0" w:color="E1E1E3" w:themeColor="accent3" w:themeTint="33"/>
              <w:left w:val="single" w:sz="8" w:space="0" w:color="E1E1E3" w:themeColor="accent3" w:themeTint="33"/>
              <w:bottom w:val="single" w:sz="8" w:space="0" w:color="E1E1E3" w:themeColor="accent3" w:themeTint="33"/>
              <w:right w:val="single" w:sz="8" w:space="0" w:color="E1E1E3" w:themeColor="accent3" w:themeTint="33"/>
            </w:tcBorders>
            <w:vAlign w:val="center"/>
          </w:tcPr>
          <w:p w14:paraId="63CCACB4" w14:textId="77777777" w:rsidR="00CB39D1" w:rsidRPr="00CB39D1" w:rsidRDefault="00CB39D1" w:rsidP="00CB39D1">
            <w:pPr>
              <w:spacing w:before="0" w:after="0" w:line="240" w:lineRule="auto"/>
              <w:jc w:val="center"/>
              <w:rPr>
                <w:sz w:val="18"/>
                <w:szCs w:val="18"/>
              </w:rPr>
            </w:pPr>
            <w:r w:rsidRPr="00CB39D1">
              <w:rPr>
                <w:sz w:val="18"/>
                <w:szCs w:val="18"/>
              </w:rPr>
              <w:t>535.4</w:t>
            </w:r>
          </w:p>
        </w:tc>
        <w:tc>
          <w:tcPr>
            <w:tcW w:w="992" w:type="dxa"/>
            <w:tcBorders>
              <w:top w:val="single" w:sz="8" w:space="0" w:color="E1E1E3" w:themeColor="accent3" w:themeTint="33"/>
              <w:left w:val="single" w:sz="8" w:space="0" w:color="E1E1E3" w:themeColor="accent3" w:themeTint="33"/>
              <w:bottom w:val="single" w:sz="8" w:space="0" w:color="E1E1E3" w:themeColor="accent3" w:themeTint="33"/>
              <w:right w:val="single" w:sz="8" w:space="0" w:color="E1E1E3" w:themeColor="accent3" w:themeTint="33"/>
            </w:tcBorders>
            <w:vAlign w:val="center"/>
          </w:tcPr>
          <w:p w14:paraId="3E0A6D93" w14:textId="77777777" w:rsidR="00CB39D1" w:rsidRPr="00CB39D1" w:rsidRDefault="00CB39D1" w:rsidP="00CB39D1">
            <w:pPr>
              <w:spacing w:before="0" w:after="0" w:line="240" w:lineRule="auto"/>
              <w:jc w:val="center"/>
              <w:rPr>
                <w:sz w:val="18"/>
                <w:szCs w:val="18"/>
              </w:rPr>
            </w:pPr>
            <w:r w:rsidRPr="00CB39D1">
              <w:rPr>
                <w:sz w:val="18"/>
                <w:szCs w:val="18"/>
              </w:rPr>
              <w:t>447.1</w:t>
            </w:r>
          </w:p>
        </w:tc>
        <w:tc>
          <w:tcPr>
            <w:tcW w:w="992" w:type="dxa"/>
            <w:tcBorders>
              <w:top w:val="single" w:sz="8" w:space="0" w:color="E1E1E3" w:themeColor="accent3" w:themeTint="33"/>
              <w:left w:val="single" w:sz="8" w:space="0" w:color="E1E1E3" w:themeColor="accent3" w:themeTint="33"/>
              <w:bottom w:val="single" w:sz="8" w:space="0" w:color="E1E1E3" w:themeColor="accent3" w:themeTint="33"/>
              <w:right w:val="single" w:sz="8" w:space="0" w:color="E1E1E3" w:themeColor="accent3" w:themeTint="33"/>
            </w:tcBorders>
            <w:vAlign w:val="center"/>
          </w:tcPr>
          <w:p w14:paraId="311A87BB" w14:textId="77777777" w:rsidR="00CB39D1" w:rsidRPr="00CB39D1" w:rsidRDefault="00CB39D1" w:rsidP="00CB39D1">
            <w:pPr>
              <w:spacing w:before="0" w:after="0" w:line="240" w:lineRule="auto"/>
              <w:jc w:val="center"/>
              <w:rPr>
                <w:sz w:val="18"/>
                <w:szCs w:val="18"/>
              </w:rPr>
            </w:pPr>
            <w:r w:rsidRPr="00CB39D1">
              <w:rPr>
                <w:sz w:val="18"/>
                <w:szCs w:val="18"/>
              </w:rPr>
              <w:t>391.3</w:t>
            </w:r>
          </w:p>
        </w:tc>
      </w:tr>
      <w:tr w:rsidR="00CB39D1" w:rsidRPr="00CB39D1" w14:paraId="267B3D55" w14:textId="77777777" w:rsidTr="008D4E1E">
        <w:trPr>
          <w:trHeight w:val="360"/>
        </w:trPr>
        <w:tc>
          <w:tcPr>
            <w:tcW w:w="1253" w:type="dxa"/>
            <w:vMerge/>
            <w:vAlign w:val="center"/>
          </w:tcPr>
          <w:p w14:paraId="63A2C1DF" w14:textId="77777777" w:rsidR="00CB39D1" w:rsidRPr="00CB39D1" w:rsidRDefault="00CB39D1" w:rsidP="00CB39D1">
            <w:pPr>
              <w:spacing w:before="0" w:after="0" w:line="240" w:lineRule="auto"/>
              <w:jc w:val="both"/>
              <w:rPr>
                <w:sz w:val="18"/>
                <w:szCs w:val="18"/>
                <w:lang w:val="ru-RU" w:eastAsia="ru-RU"/>
              </w:rPr>
            </w:pPr>
          </w:p>
        </w:tc>
        <w:tc>
          <w:tcPr>
            <w:tcW w:w="2835" w:type="dxa"/>
            <w:vAlign w:val="center"/>
          </w:tcPr>
          <w:p w14:paraId="75F4734E" w14:textId="77777777" w:rsidR="00CB39D1" w:rsidRPr="00CB39D1" w:rsidRDefault="00CB39D1" w:rsidP="00CB39D1">
            <w:pPr>
              <w:spacing w:before="0" w:after="0" w:line="240" w:lineRule="auto"/>
              <w:jc w:val="both"/>
              <w:rPr>
                <w:i/>
                <w:color w:val="A5A6AC" w:themeColor="accent3" w:themeTint="99"/>
                <w:sz w:val="18"/>
                <w:szCs w:val="18"/>
              </w:rPr>
            </w:pPr>
            <w:r w:rsidRPr="00CB39D1">
              <w:rPr>
                <w:i/>
                <w:color w:val="A5A6AC" w:themeColor="accent3" w:themeTint="99"/>
                <w:sz w:val="18"/>
                <w:szCs w:val="18"/>
              </w:rPr>
              <w:t>%-ով՝ ՀՆԱ-ի նկատմամբ</w:t>
            </w:r>
          </w:p>
        </w:tc>
        <w:tc>
          <w:tcPr>
            <w:tcW w:w="995" w:type="dxa"/>
            <w:vAlign w:val="center"/>
          </w:tcPr>
          <w:p w14:paraId="3DF87BBC" w14:textId="77777777" w:rsidR="00CB39D1" w:rsidRPr="00CB39D1" w:rsidRDefault="00CB39D1" w:rsidP="00CB39D1">
            <w:pPr>
              <w:spacing w:before="0" w:after="0" w:line="240" w:lineRule="auto"/>
              <w:jc w:val="center"/>
              <w:rPr>
                <w:i/>
                <w:color w:val="A5A6AC" w:themeColor="accent3" w:themeTint="99"/>
                <w:sz w:val="18"/>
                <w:szCs w:val="18"/>
              </w:rPr>
            </w:pPr>
          </w:p>
        </w:tc>
        <w:tc>
          <w:tcPr>
            <w:tcW w:w="719" w:type="dxa"/>
            <w:tcBorders>
              <w:top w:val="single" w:sz="8" w:space="0" w:color="E1E1E3" w:themeColor="accent3" w:themeTint="33"/>
              <w:bottom w:val="single" w:sz="8" w:space="0" w:color="E1E1E3" w:themeColor="accent3" w:themeTint="33"/>
              <w:right w:val="single" w:sz="8" w:space="0" w:color="E1E1E3" w:themeColor="accent3" w:themeTint="33"/>
            </w:tcBorders>
            <w:vAlign w:val="center"/>
          </w:tcPr>
          <w:p w14:paraId="00AFB3A4" w14:textId="77777777" w:rsidR="00CB39D1" w:rsidRPr="00CB39D1" w:rsidRDefault="00CB39D1" w:rsidP="00CB39D1">
            <w:pPr>
              <w:spacing w:before="0" w:after="0" w:line="240" w:lineRule="auto"/>
              <w:jc w:val="center"/>
              <w:rPr>
                <w:i/>
                <w:color w:val="A5A6AC" w:themeColor="accent3" w:themeTint="99"/>
                <w:sz w:val="18"/>
                <w:szCs w:val="18"/>
              </w:rPr>
            </w:pPr>
          </w:p>
        </w:tc>
        <w:tc>
          <w:tcPr>
            <w:tcW w:w="851" w:type="dxa"/>
            <w:tcBorders>
              <w:top w:val="single" w:sz="8" w:space="0" w:color="E1E1E3" w:themeColor="accent3" w:themeTint="33"/>
              <w:left w:val="single" w:sz="8" w:space="0" w:color="E1E1E3" w:themeColor="accent3" w:themeTint="33"/>
              <w:bottom w:val="single" w:sz="8" w:space="0" w:color="E1E1E3" w:themeColor="accent3" w:themeTint="33"/>
              <w:right w:val="single" w:sz="8" w:space="0" w:color="E1E1E3" w:themeColor="accent3" w:themeTint="33"/>
            </w:tcBorders>
            <w:vAlign w:val="center"/>
          </w:tcPr>
          <w:p w14:paraId="6F8B53F8" w14:textId="77777777" w:rsidR="00CB39D1" w:rsidRPr="00CB39D1" w:rsidRDefault="00CB39D1" w:rsidP="00CB39D1">
            <w:pPr>
              <w:spacing w:before="0" w:after="0" w:line="240" w:lineRule="auto"/>
              <w:jc w:val="center"/>
              <w:rPr>
                <w:i/>
                <w:color w:val="A5A6AC" w:themeColor="accent3" w:themeTint="99"/>
                <w:sz w:val="18"/>
                <w:szCs w:val="18"/>
              </w:rPr>
            </w:pPr>
            <w:r w:rsidRPr="00CB39D1">
              <w:rPr>
                <w:i/>
                <w:color w:val="A5A6AC" w:themeColor="accent3" w:themeTint="99"/>
                <w:sz w:val="18"/>
                <w:szCs w:val="18"/>
              </w:rPr>
              <w:t>5.5%</w:t>
            </w:r>
          </w:p>
        </w:tc>
        <w:tc>
          <w:tcPr>
            <w:tcW w:w="992" w:type="dxa"/>
            <w:tcBorders>
              <w:top w:val="single" w:sz="8" w:space="0" w:color="E1E1E3" w:themeColor="accent3" w:themeTint="33"/>
              <w:left w:val="single" w:sz="8" w:space="0" w:color="E1E1E3" w:themeColor="accent3" w:themeTint="33"/>
              <w:bottom w:val="single" w:sz="8" w:space="0" w:color="E1E1E3" w:themeColor="accent3" w:themeTint="33"/>
              <w:right w:val="single" w:sz="8" w:space="0" w:color="E1E1E3" w:themeColor="accent3" w:themeTint="33"/>
            </w:tcBorders>
            <w:vAlign w:val="center"/>
          </w:tcPr>
          <w:p w14:paraId="4F21568B" w14:textId="77777777" w:rsidR="00CB39D1" w:rsidRPr="00CB39D1" w:rsidRDefault="00CB39D1" w:rsidP="00CB39D1">
            <w:pPr>
              <w:spacing w:before="0" w:after="0" w:line="240" w:lineRule="auto"/>
              <w:jc w:val="center"/>
              <w:rPr>
                <w:i/>
                <w:color w:val="A5A6AC" w:themeColor="accent3" w:themeTint="99"/>
                <w:sz w:val="18"/>
                <w:szCs w:val="18"/>
              </w:rPr>
            </w:pPr>
            <w:r w:rsidRPr="00CB39D1">
              <w:rPr>
                <w:i/>
                <w:color w:val="A5A6AC" w:themeColor="accent3" w:themeTint="99"/>
                <w:sz w:val="18"/>
                <w:szCs w:val="18"/>
              </w:rPr>
              <w:t>4.5%</w:t>
            </w:r>
          </w:p>
        </w:tc>
        <w:tc>
          <w:tcPr>
            <w:tcW w:w="992" w:type="dxa"/>
            <w:tcBorders>
              <w:top w:val="single" w:sz="8" w:space="0" w:color="E1E1E3" w:themeColor="accent3" w:themeTint="33"/>
              <w:left w:val="single" w:sz="8" w:space="0" w:color="E1E1E3" w:themeColor="accent3" w:themeTint="33"/>
              <w:bottom w:val="single" w:sz="8" w:space="0" w:color="E1E1E3" w:themeColor="accent3" w:themeTint="33"/>
              <w:right w:val="single" w:sz="8" w:space="0" w:color="E1E1E3" w:themeColor="accent3" w:themeTint="33"/>
            </w:tcBorders>
            <w:vAlign w:val="center"/>
          </w:tcPr>
          <w:p w14:paraId="4D01E4D8" w14:textId="77777777" w:rsidR="00CB39D1" w:rsidRPr="00CB39D1" w:rsidRDefault="00CB39D1" w:rsidP="00CB39D1">
            <w:pPr>
              <w:spacing w:before="0" w:after="0" w:line="240" w:lineRule="auto"/>
              <w:jc w:val="center"/>
              <w:rPr>
                <w:i/>
                <w:color w:val="A5A6AC" w:themeColor="accent3" w:themeTint="99"/>
                <w:sz w:val="18"/>
                <w:szCs w:val="18"/>
              </w:rPr>
            </w:pPr>
            <w:r w:rsidRPr="00CB39D1">
              <w:rPr>
                <w:i/>
                <w:color w:val="A5A6AC" w:themeColor="accent3" w:themeTint="99"/>
                <w:sz w:val="18"/>
                <w:szCs w:val="18"/>
              </w:rPr>
              <w:t>3.5%</w:t>
            </w:r>
          </w:p>
        </w:tc>
        <w:tc>
          <w:tcPr>
            <w:tcW w:w="992" w:type="dxa"/>
            <w:tcBorders>
              <w:top w:val="single" w:sz="8" w:space="0" w:color="E1E1E3" w:themeColor="accent3" w:themeTint="33"/>
              <w:left w:val="single" w:sz="8" w:space="0" w:color="E1E1E3" w:themeColor="accent3" w:themeTint="33"/>
              <w:bottom w:val="single" w:sz="8" w:space="0" w:color="E1E1E3" w:themeColor="accent3" w:themeTint="33"/>
              <w:right w:val="single" w:sz="8" w:space="0" w:color="E1E1E3" w:themeColor="accent3" w:themeTint="33"/>
            </w:tcBorders>
            <w:vAlign w:val="center"/>
          </w:tcPr>
          <w:p w14:paraId="5CB4FDD8" w14:textId="77777777" w:rsidR="00CB39D1" w:rsidRPr="00CB39D1" w:rsidRDefault="00CB39D1" w:rsidP="00CB39D1">
            <w:pPr>
              <w:spacing w:before="0" w:after="0" w:line="240" w:lineRule="auto"/>
              <w:jc w:val="center"/>
              <w:rPr>
                <w:i/>
                <w:color w:val="A5A6AC" w:themeColor="accent3" w:themeTint="99"/>
                <w:sz w:val="18"/>
                <w:szCs w:val="18"/>
              </w:rPr>
            </w:pPr>
            <w:r w:rsidRPr="00CB39D1">
              <w:rPr>
                <w:i/>
                <w:color w:val="A5A6AC" w:themeColor="accent3" w:themeTint="99"/>
                <w:sz w:val="18"/>
                <w:szCs w:val="18"/>
              </w:rPr>
              <w:t>2.8%</w:t>
            </w:r>
          </w:p>
        </w:tc>
      </w:tr>
      <w:tr w:rsidR="00CB39D1" w:rsidRPr="00CB39D1" w14:paraId="0F2B605A" w14:textId="77777777" w:rsidTr="008D4E1E">
        <w:trPr>
          <w:trHeight w:val="360"/>
        </w:trPr>
        <w:tc>
          <w:tcPr>
            <w:tcW w:w="1253" w:type="dxa"/>
            <w:vMerge/>
            <w:vAlign w:val="center"/>
          </w:tcPr>
          <w:p w14:paraId="60ECB500" w14:textId="77777777" w:rsidR="00CB39D1" w:rsidRPr="00CB39D1" w:rsidRDefault="00CB39D1" w:rsidP="00CB39D1">
            <w:pPr>
              <w:spacing w:before="0" w:after="0" w:line="240" w:lineRule="auto"/>
              <w:jc w:val="both"/>
              <w:rPr>
                <w:sz w:val="18"/>
                <w:szCs w:val="18"/>
                <w:lang w:val="ru-RU" w:eastAsia="ru-RU"/>
              </w:rPr>
            </w:pPr>
          </w:p>
        </w:tc>
        <w:tc>
          <w:tcPr>
            <w:tcW w:w="2835" w:type="dxa"/>
            <w:vAlign w:val="center"/>
          </w:tcPr>
          <w:p w14:paraId="73E8BA02" w14:textId="77777777" w:rsidR="00CB39D1" w:rsidRPr="00CB39D1" w:rsidRDefault="00CB39D1" w:rsidP="00CB39D1">
            <w:pPr>
              <w:spacing w:before="0" w:after="0" w:line="240" w:lineRule="auto"/>
              <w:jc w:val="both"/>
              <w:rPr>
                <w:i/>
                <w:color w:val="A5A6AC" w:themeColor="accent3" w:themeTint="99"/>
                <w:sz w:val="18"/>
                <w:szCs w:val="18"/>
              </w:rPr>
            </w:pPr>
            <w:r w:rsidRPr="00CB39D1">
              <w:rPr>
                <w:sz w:val="18"/>
                <w:szCs w:val="18"/>
              </w:rPr>
              <w:t>2026թ. Պետական բյուջե</w:t>
            </w:r>
          </w:p>
        </w:tc>
        <w:tc>
          <w:tcPr>
            <w:tcW w:w="995" w:type="dxa"/>
            <w:vAlign w:val="center"/>
          </w:tcPr>
          <w:p w14:paraId="4234C5FA" w14:textId="77777777" w:rsidR="00CB39D1" w:rsidRPr="00CB39D1" w:rsidRDefault="00CB39D1" w:rsidP="00CB39D1">
            <w:pPr>
              <w:spacing w:before="0" w:after="0" w:line="240" w:lineRule="auto"/>
              <w:jc w:val="center"/>
              <w:rPr>
                <w:i/>
                <w:color w:val="A5A6AC" w:themeColor="accent3" w:themeTint="99"/>
                <w:sz w:val="18"/>
                <w:szCs w:val="18"/>
              </w:rPr>
            </w:pPr>
          </w:p>
        </w:tc>
        <w:tc>
          <w:tcPr>
            <w:tcW w:w="719" w:type="dxa"/>
            <w:vAlign w:val="center"/>
          </w:tcPr>
          <w:p w14:paraId="7D9BED58" w14:textId="77777777" w:rsidR="00CB39D1" w:rsidRPr="00CB39D1" w:rsidRDefault="00CB39D1" w:rsidP="00CB39D1">
            <w:pPr>
              <w:spacing w:before="0" w:after="0" w:line="240" w:lineRule="auto"/>
              <w:jc w:val="center"/>
              <w:rPr>
                <w:i/>
                <w:color w:val="A5A6AC" w:themeColor="accent3" w:themeTint="99"/>
                <w:sz w:val="18"/>
                <w:szCs w:val="18"/>
              </w:rPr>
            </w:pPr>
          </w:p>
        </w:tc>
        <w:tc>
          <w:tcPr>
            <w:tcW w:w="851" w:type="dxa"/>
            <w:vAlign w:val="center"/>
          </w:tcPr>
          <w:p w14:paraId="61ED4DE4" w14:textId="77777777" w:rsidR="00CB39D1" w:rsidRPr="00CB39D1" w:rsidRDefault="00CB39D1" w:rsidP="00CB39D1">
            <w:pPr>
              <w:spacing w:before="0" w:after="0" w:line="240" w:lineRule="auto"/>
              <w:jc w:val="center"/>
              <w:rPr>
                <w:i/>
                <w:color w:val="A5A6AC" w:themeColor="accent3" w:themeTint="99"/>
                <w:sz w:val="18"/>
                <w:szCs w:val="18"/>
              </w:rPr>
            </w:pPr>
            <w:r w:rsidRPr="00CB39D1">
              <w:rPr>
                <w:sz w:val="18"/>
                <w:szCs w:val="18"/>
              </w:rPr>
              <w:t>599.8</w:t>
            </w:r>
          </w:p>
        </w:tc>
        <w:tc>
          <w:tcPr>
            <w:tcW w:w="992" w:type="dxa"/>
            <w:vAlign w:val="center"/>
          </w:tcPr>
          <w:p w14:paraId="67D206A8" w14:textId="45E4F198" w:rsidR="00CB39D1" w:rsidRPr="00CB39D1" w:rsidRDefault="00CB39D1" w:rsidP="00CB39D1">
            <w:pPr>
              <w:spacing w:before="0" w:after="0" w:line="240" w:lineRule="auto"/>
              <w:jc w:val="center"/>
              <w:rPr>
                <w:i/>
                <w:color w:val="A5A6AC" w:themeColor="accent3" w:themeTint="99"/>
                <w:sz w:val="18"/>
                <w:szCs w:val="18"/>
              </w:rPr>
            </w:pPr>
            <w:r w:rsidRPr="00CB39D1">
              <w:rPr>
                <w:sz w:val="18"/>
                <w:szCs w:val="18"/>
              </w:rPr>
              <w:t>53</w:t>
            </w:r>
            <w:r w:rsidR="008409DC">
              <w:rPr>
                <w:sz w:val="18"/>
                <w:szCs w:val="18"/>
                <w:lang w:val="hy-AM"/>
              </w:rPr>
              <w:t>6</w:t>
            </w:r>
            <w:r w:rsidRPr="00CB39D1">
              <w:rPr>
                <w:sz w:val="18"/>
                <w:szCs w:val="18"/>
              </w:rPr>
              <w:t>.</w:t>
            </w:r>
            <w:r w:rsidR="008409DC">
              <w:rPr>
                <w:sz w:val="18"/>
                <w:szCs w:val="18"/>
                <w:lang w:val="hy-AM"/>
              </w:rPr>
              <w:t>8</w:t>
            </w:r>
          </w:p>
        </w:tc>
        <w:tc>
          <w:tcPr>
            <w:tcW w:w="992" w:type="dxa"/>
            <w:vAlign w:val="center"/>
          </w:tcPr>
          <w:p w14:paraId="7F564B45" w14:textId="74222350" w:rsidR="00CB39D1" w:rsidRPr="00CB39D1" w:rsidRDefault="00CB39D1" w:rsidP="00CB39D1">
            <w:pPr>
              <w:spacing w:before="0" w:after="0" w:line="240" w:lineRule="auto"/>
              <w:jc w:val="center"/>
              <w:rPr>
                <w:i/>
                <w:color w:val="A5A6AC" w:themeColor="accent3" w:themeTint="99"/>
                <w:sz w:val="18"/>
                <w:szCs w:val="18"/>
              </w:rPr>
            </w:pPr>
            <w:r w:rsidRPr="00CB39D1">
              <w:rPr>
                <w:sz w:val="18"/>
                <w:szCs w:val="18"/>
              </w:rPr>
              <w:t>44</w:t>
            </w:r>
            <w:r w:rsidR="008409DC">
              <w:rPr>
                <w:sz w:val="18"/>
                <w:szCs w:val="18"/>
                <w:lang w:val="hy-AM"/>
              </w:rPr>
              <w:t>8</w:t>
            </w:r>
            <w:r w:rsidRPr="00CB39D1">
              <w:rPr>
                <w:sz w:val="18"/>
                <w:szCs w:val="18"/>
              </w:rPr>
              <w:t>.</w:t>
            </w:r>
            <w:r w:rsidR="008409DC">
              <w:rPr>
                <w:sz w:val="18"/>
                <w:szCs w:val="18"/>
                <w:lang w:val="hy-AM"/>
              </w:rPr>
              <w:t>4</w:t>
            </w:r>
          </w:p>
        </w:tc>
        <w:tc>
          <w:tcPr>
            <w:tcW w:w="992" w:type="dxa"/>
            <w:vAlign w:val="center"/>
          </w:tcPr>
          <w:p w14:paraId="2C929A04" w14:textId="5CB19D7C" w:rsidR="00CB39D1" w:rsidRPr="00CB39D1" w:rsidRDefault="00CB39D1" w:rsidP="00CB39D1">
            <w:pPr>
              <w:spacing w:before="0" w:after="0" w:line="240" w:lineRule="auto"/>
              <w:jc w:val="center"/>
              <w:rPr>
                <w:i/>
                <w:color w:val="A5A6AC" w:themeColor="accent3" w:themeTint="99"/>
                <w:sz w:val="18"/>
                <w:szCs w:val="18"/>
              </w:rPr>
            </w:pPr>
            <w:r w:rsidRPr="00CB39D1">
              <w:rPr>
                <w:sz w:val="18"/>
                <w:szCs w:val="18"/>
              </w:rPr>
              <w:t>39</w:t>
            </w:r>
            <w:r w:rsidR="008409DC">
              <w:rPr>
                <w:sz w:val="18"/>
                <w:szCs w:val="18"/>
                <w:lang w:val="hy-AM"/>
              </w:rPr>
              <w:t>2</w:t>
            </w:r>
            <w:r w:rsidRPr="00CB39D1">
              <w:rPr>
                <w:sz w:val="18"/>
                <w:szCs w:val="18"/>
              </w:rPr>
              <w:t>.4</w:t>
            </w:r>
          </w:p>
        </w:tc>
      </w:tr>
      <w:tr w:rsidR="00CB39D1" w:rsidRPr="00CB39D1" w14:paraId="22FAD71C" w14:textId="77777777" w:rsidTr="008D4E1E">
        <w:trPr>
          <w:trHeight w:val="360"/>
        </w:trPr>
        <w:tc>
          <w:tcPr>
            <w:tcW w:w="1253" w:type="dxa"/>
            <w:vMerge/>
            <w:vAlign w:val="center"/>
          </w:tcPr>
          <w:p w14:paraId="0E1C0875" w14:textId="77777777" w:rsidR="00CB39D1" w:rsidRPr="00CB39D1" w:rsidRDefault="00CB39D1" w:rsidP="00CB39D1">
            <w:pPr>
              <w:spacing w:before="0" w:after="0" w:line="240" w:lineRule="auto"/>
              <w:jc w:val="both"/>
              <w:rPr>
                <w:sz w:val="18"/>
                <w:szCs w:val="18"/>
                <w:lang w:val="ru-RU" w:eastAsia="ru-RU"/>
              </w:rPr>
            </w:pPr>
          </w:p>
        </w:tc>
        <w:tc>
          <w:tcPr>
            <w:tcW w:w="2835" w:type="dxa"/>
            <w:vAlign w:val="center"/>
          </w:tcPr>
          <w:p w14:paraId="647D26FA" w14:textId="77777777" w:rsidR="00CB39D1" w:rsidRPr="00CB39D1" w:rsidRDefault="00CB39D1" w:rsidP="00CB39D1">
            <w:pPr>
              <w:spacing w:before="0" w:after="0" w:line="240" w:lineRule="auto"/>
              <w:jc w:val="both"/>
              <w:rPr>
                <w:i/>
                <w:color w:val="A5A6AC" w:themeColor="accent3" w:themeTint="99"/>
                <w:sz w:val="18"/>
                <w:szCs w:val="18"/>
              </w:rPr>
            </w:pPr>
            <w:r w:rsidRPr="00CB39D1">
              <w:rPr>
                <w:i/>
                <w:color w:val="A5A6AC" w:themeColor="accent3" w:themeTint="99"/>
                <w:sz w:val="18"/>
                <w:szCs w:val="18"/>
              </w:rPr>
              <w:t>%-ով՝ ՀՆԱ-ի նկատմամբ</w:t>
            </w:r>
          </w:p>
        </w:tc>
        <w:tc>
          <w:tcPr>
            <w:tcW w:w="995" w:type="dxa"/>
            <w:vAlign w:val="center"/>
          </w:tcPr>
          <w:p w14:paraId="304D20AF" w14:textId="77777777" w:rsidR="00CB39D1" w:rsidRPr="00CB39D1" w:rsidRDefault="00CB39D1" w:rsidP="00CB39D1">
            <w:pPr>
              <w:spacing w:before="0" w:after="0" w:line="240" w:lineRule="auto"/>
              <w:jc w:val="center"/>
              <w:rPr>
                <w:i/>
                <w:color w:val="A5A6AC" w:themeColor="accent3" w:themeTint="99"/>
                <w:sz w:val="18"/>
                <w:szCs w:val="18"/>
              </w:rPr>
            </w:pPr>
          </w:p>
        </w:tc>
        <w:tc>
          <w:tcPr>
            <w:tcW w:w="719" w:type="dxa"/>
            <w:vAlign w:val="center"/>
          </w:tcPr>
          <w:p w14:paraId="19EBA794" w14:textId="77777777" w:rsidR="00CB39D1" w:rsidRPr="00CB39D1" w:rsidRDefault="00CB39D1" w:rsidP="00CB39D1">
            <w:pPr>
              <w:spacing w:before="0" w:after="0" w:line="240" w:lineRule="auto"/>
              <w:jc w:val="center"/>
              <w:rPr>
                <w:i/>
                <w:color w:val="A5A6AC" w:themeColor="accent3" w:themeTint="99"/>
                <w:sz w:val="18"/>
                <w:szCs w:val="18"/>
              </w:rPr>
            </w:pPr>
          </w:p>
        </w:tc>
        <w:tc>
          <w:tcPr>
            <w:tcW w:w="851" w:type="dxa"/>
            <w:vAlign w:val="center"/>
          </w:tcPr>
          <w:p w14:paraId="00888F9E" w14:textId="77777777" w:rsidR="00CB39D1" w:rsidRPr="00CB39D1" w:rsidRDefault="00CB39D1" w:rsidP="00CB39D1">
            <w:pPr>
              <w:spacing w:before="0" w:after="0" w:line="240" w:lineRule="auto"/>
              <w:jc w:val="center"/>
              <w:rPr>
                <w:i/>
                <w:color w:val="A5A6AC" w:themeColor="accent3" w:themeTint="99"/>
                <w:sz w:val="18"/>
                <w:szCs w:val="18"/>
              </w:rPr>
            </w:pPr>
            <w:r w:rsidRPr="00CB39D1">
              <w:rPr>
                <w:i/>
                <w:color w:val="A5A6AC" w:themeColor="accent3" w:themeTint="99"/>
                <w:sz w:val="18"/>
                <w:szCs w:val="18"/>
              </w:rPr>
              <w:t>5.5%</w:t>
            </w:r>
          </w:p>
        </w:tc>
        <w:tc>
          <w:tcPr>
            <w:tcW w:w="992" w:type="dxa"/>
            <w:vAlign w:val="center"/>
          </w:tcPr>
          <w:p w14:paraId="11FA5261" w14:textId="77777777" w:rsidR="00CB39D1" w:rsidRPr="00CB39D1" w:rsidRDefault="00CB39D1" w:rsidP="00CB39D1">
            <w:pPr>
              <w:spacing w:before="0" w:after="0" w:line="240" w:lineRule="auto"/>
              <w:jc w:val="center"/>
              <w:rPr>
                <w:i/>
                <w:color w:val="A5A6AC" w:themeColor="accent3" w:themeTint="99"/>
                <w:sz w:val="18"/>
                <w:szCs w:val="18"/>
              </w:rPr>
            </w:pPr>
            <w:r w:rsidRPr="00CB39D1">
              <w:rPr>
                <w:i/>
                <w:color w:val="A5A6AC" w:themeColor="accent3" w:themeTint="99"/>
                <w:sz w:val="18"/>
                <w:szCs w:val="18"/>
              </w:rPr>
              <w:t>4.5%</w:t>
            </w:r>
          </w:p>
        </w:tc>
        <w:tc>
          <w:tcPr>
            <w:tcW w:w="992" w:type="dxa"/>
            <w:vAlign w:val="center"/>
          </w:tcPr>
          <w:p w14:paraId="4B370CA2" w14:textId="77777777" w:rsidR="00CB39D1" w:rsidRPr="00CB39D1" w:rsidRDefault="00CB39D1" w:rsidP="00CB39D1">
            <w:pPr>
              <w:spacing w:before="0" w:after="0" w:line="240" w:lineRule="auto"/>
              <w:jc w:val="center"/>
              <w:rPr>
                <w:i/>
                <w:color w:val="A5A6AC" w:themeColor="accent3" w:themeTint="99"/>
                <w:sz w:val="18"/>
                <w:szCs w:val="18"/>
              </w:rPr>
            </w:pPr>
            <w:r w:rsidRPr="00CB39D1">
              <w:rPr>
                <w:i/>
                <w:color w:val="A5A6AC" w:themeColor="accent3" w:themeTint="99"/>
                <w:sz w:val="18"/>
                <w:szCs w:val="18"/>
              </w:rPr>
              <w:t>3.5%</w:t>
            </w:r>
          </w:p>
        </w:tc>
        <w:tc>
          <w:tcPr>
            <w:tcW w:w="992" w:type="dxa"/>
            <w:vAlign w:val="center"/>
          </w:tcPr>
          <w:p w14:paraId="19EC8D71" w14:textId="77777777" w:rsidR="00CB39D1" w:rsidRPr="00CB39D1" w:rsidRDefault="00CB39D1" w:rsidP="00CB39D1">
            <w:pPr>
              <w:spacing w:before="0" w:after="0" w:line="240" w:lineRule="auto"/>
              <w:jc w:val="center"/>
              <w:rPr>
                <w:i/>
                <w:color w:val="A5A6AC" w:themeColor="accent3" w:themeTint="99"/>
                <w:sz w:val="18"/>
                <w:szCs w:val="18"/>
              </w:rPr>
            </w:pPr>
            <w:r w:rsidRPr="00CB39D1">
              <w:rPr>
                <w:i/>
                <w:color w:val="A5A6AC" w:themeColor="accent3" w:themeTint="99"/>
                <w:sz w:val="18"/>
                <w:szCs w:val="18"/>
              </w:rPr>
              <w:t>2.8%</w:t>
            </w:r>
          </w:p>
        </w:tc>
      </w:tr>
    </w:tbl>
    <w:p w14:paraId="0C1B0359" w14:textId="0720E901" w:rsidR="00CB39D1" w:rsidRDefault="00CB39D1" w:rsidP="00CB39D1">
      <w:pPr>
        <w:jc w:val="both"/>
      </w:pPr>
      <w:r w:rsidRPr="00CB39D1">
        <w:br w:type="page"/>
      </w:r>
    </w:p>
    <w:p w14:paraId="0B3A0365" w14:textId="6E8441FC" w:rsidR="00F57301" w:rsidRDefault="00EF3790" w:rsidP="00EF3790">
      <w:pPr>
        <w:pStyle w:val="TOC4"/>
        <w:rPr>
          <w:lang w:val="hy-AM"/>
        </w:rPr>
      </w:pPr>
      <w:r w:rsidRPr="006612E9">
        <w:rPr>
          <w:noProof/>
          <w:lang w:val="hy-AM"/>
        </w:rPr>
        <w:t xml:space="preserve"> </w:t>
      </w:r>
      <w:r w:rsidR="00CE1326" w:rsidRPr="00CE1326">
        <w:rPr>
          <w:noProof/>
        </w:rPr>
        <mc:AlternateContent>
          <mc:Choice Requires="wps">
            <w:drawing>
              <wp:anchor distT="0" distB="0" distL="114300" distR="114300" simplePos="0" relativeHeight="251651069" behindDoc="0" locked="0" layoutInCell="1" allowOverlap="1" wp14:anchorId="4984295D" wp14:editId="4EF76DA6">
                <wp:simplePos x="0" y="0"/>
                <wp:positionH relativeFrom="page">
                  <wp:posOffset>142875</wp:posOffset>
                </wp:positionH>
                <wp:positionV relativeFrom="paragraph">
                  <wp:posOffset>9525</wp:posOffset>
                </wp:positionV>
                <wp:extent cx="7677150" cy="6057900"/>
                <wp:effectExtent l="0" t="0" r="0" b="0"/>
                <wp:wrapNone/>
                <wp:docPr id="16120837" name="Rectangle 16120837"/>
                <wp:cNvGraphicFramePr/>
                <a:graphic xmlns:a="http://schemas.openxmlformats.org/drawingml/2006/main">
                  <a:graphicData uri="http://schemas.microsoft.com/office/word/2010/wordprocessingShape">
                    <wps:wsp>
                      <wps:cNvSpPr/>
                      <wps:spPr>
                        <a:xfrm>
                          <a:off x="0" y="0"/>
                          <a:ext cx="7677150" cy="6057900"/>
                        </a:xfrm>
                        <a:prstGeom prst="rect">
                          <a:avLst/>
                        </a:prstGeom>
                        <a:solidFill>
                          <a:srgbClr val="44546A">
                            <a:alpha val="96078"/>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rect w14:anchorId="2AB36D22" id="Rectangle 16120837" o:spid="_x0000_s1026" style="position:absolute;margin-left:11.25pt;margin-top:.75pt;width:604.5pt;height:477pt;z-index:251651069;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" fillcolor="#44546a" stroked="f" strokeweight="1pt">
                <v:fill opacity="62965f"/>
                <w10:wrap anchorx="page"/>
              </v:rect>
            </w:pict>
          </mc:Fallback>
        </mc:AlternateContent>
      </w:r>
    </w:p>
    <w:p w14:paraId="79E22354" w14:textId="5F00F73F" w:rsidR="00F57301" w:rsidRDefault="00F57301" w:rsidP="001135EE">
      <w:pPr>
        <w:pStyle w:val="TOC2"/>
        <w:rPr>
          <w:lang w:val="hy-AM"/>
        </w:rPr>
      </w:pPr>
    </w:p>
    <w:p w14:paraId="0494ECBA" w14:textId="261A0A3F" w:rsidR="00F57301" w:rsidRDefault="00F57301" w:rsidP="001135EE">
      <w:pPr>
        <w:pStyle w:val="TOC2"/>
        <w:rPr>
          <w:lang w:val="hy-AM"/>
        </w:rPr>
      </w:pPr>
    </w:p>
    <w:bookmarkEnd w:id="246"/>
    <w:bookmarkEnd w:id="247"/>
    <w:bookmarkEnd w:id="248"/>
    <w:bookmarkEnd w:id="249"/>
    <w:p w14:paraId="02E0E572" w14:textId="7D93C277" w:rsidR="00E2771A" w:rsidRPr="00E2771A" w:rsidRDefault="00E2771A" w:rsidP="0087517F">
      <w:pPr>
        <w:pStyle w:val="TOC1"/>
        <w:rPr>
          <w:i/>
          <w:lang w:val="hy-AM"/>
        </w:rPr>
      </w:pPr>
    </w:p>
    <w:p w14:paraId="08CEE79D" w14:textId="58B2F973" w:rsidR="00E77731" w:rsidRPr="00C3014C" w:rsidRDefault="00E2771A" w:rsidP="007A4C49">
      <w:pPr>
        <w:jc w:val="both"/>
        <w:rPr>
          <w:lang w:val="hy-AM"/>
        </w:rPr>
      </w:pPr>
      <w:r w:rsidRPr="00E2771A">
        <w:rPr>
          <w:i/>
          <w:noProof/>
        </w:rPr>
        <mc:AlternateContent>
          <mc:Choice Requires="wps">
            <w:drawing>
              <wp:anchor distT="0" distB="0" distL="114300" distR="114300" simplePos="0" relativeHeight="251753472" behindDoc="0" locked="0" layoutInCell="1" allowOverlap="1" wp14:anchorId="4E8B6FA2" wp14:editId="0B0EBB50">
                <wp:simplePos x="0" y="0"/>
                <wp:positionH relativeFrom="margin">
                  <wp:align>center</wp:align>
                </wp:positionH>
                <wp:positionV relativeFrom="paragraph">
                  <wp:posOffset>3668395</wp:posOffset>
                </wp:positionV>
                <wp:extent cx="6628944" cy="2481943"/>
                <wp:effectExtent l="0" t="0" r="0" b="0"/>
                <wp:wrapNone/>
                <wp:docPr id="62" name="Text Box 62"/>
                <wp:cNvGraphicFramePr/>
                <a:graphic xmlns:a="http://schemas.openxmlformats.org/drawingml/2006/main">
                  <a:graphicData uri="http://schemas.microsoft.com/office/word/2010/wordprocessingShape">
                    <wps:wsp>
                      <wps:cNvSpPr txBox="1"/>
                      <wps:spPr>
                        <a:xfrm>
                          <a:off x="0" y="0"/>
                          <a:ext cx="6628944" cy="2481943"/>
                        </a:xfrm>
                        <a:prstGeom prst="rect">
                          <a:avLst/>
                        </a:prstGeom>
                        <a:noFill/>
                        <a:ln w="6350">
                          <a:noFill/>
                        </a:ln>
                      </wps:spPr>
                      <wps:txbx>
                        <w:txbxContent>
                          <w:p w14:paraId="3577DAE0" w14:textId="775F0054" w:rsidR="00147C8B" w:rsidRPr="00A3353C" w:rsidRDefault="00147C8B" w:rsidP="00E2771A">
                            <w:pPr>
                              <w:pStyle w:val="TOC1"/>
                              <w:jc w:val="right"/>
                              <w:rPr>
                                <w:rFonts w:asciiTheme="minorHAnsi" w:hAnsiTheme="minorHAnsi"/>
                                <w:sz w:val="36"/>
                                <w:szCs w:val="36"/>
                                <w:lang w:val="hy-AM"/>
                              </w:rPr>
                            </w:pPr>
                            <w:bookmarkStart w:id="293" w:name="_Toc178608133"/>
                            <w:bookmarkStart w:id="294" w:name="_Toc178608212"/>
                            <w:bookmarkStart w:id="295" w:name="_Toc183785425"/>
                            <w:bookmarkStart w:id="296" w:name="_Toc209615928"/>
                            <w:bookmarkStart w:id="297" w:name="_Toc209625765"/>
                            <w:bookmarkStart w:id="298" w:name="_Toc209637256"/>
                            <w:bookmarkStart w:id="299" w:name="_Toc209694870"/>
                            <w:bookmarkStart w:id="300" w:name="_Toc209694984"/>
                            <w:r w:rsidRPr="00A3353C">
                              <w:rPr>
                                <w:rFonts w:asciiTheme="minorHAnsi" w:hAnsiTheme="minorHAnsi"/>
                                <w:color w:val="FFFFFF" w:themeColor="background1"/>
                                <w:sz w:val="36"/>
                                <w:szCs w:val="36"/>
                                <w:lang w:val="hy-AM"/>
                              </w:rPr>
                              <w:t>ՄԱՍ II. «ՀԱՅԱՍՏԱՆԻ ՀԱՆՐԱՊԵՏՈՒԹՅԱՆ</w:t>
                            </w:r>
                            <w:r>
                              <w:rPr>
                                <w:rFonts w:asciiTheme="minorHAnsi" w:hAnsiTheme="minorHAnsi"/>
                                <w:color w:val="FFFFFF" w:themeColor="background1"/>
                                <w:sz w:val="36"/>
                                <w:szCs w:val="36"/>
                                <w:lang w:val="hy-AM"/>
                              </w:rPr>
                              <w:t xml:space="preserve"> 2026</w:t>
                            </w:r>
                            <w:r w:rsidRPr="00A3353C">
                              <w:rPr>
                                <w:rFonts w:asciiTheme="minorHAnsi" w:hAnsiTheme="minorHAnsi"/>
                                <w:color w:val="FFFFFF" w:themeColor="background1"/>
                                <w:sz w:val="36"/>
                                <w:szCs w:val="36"/>
                                <w:lang w:val="hy-AM"/>
                              </w:rPr>
                              <w:t xml:space="preserve"> ԹՎԱԿԱՆԻ ՊԵՏԱԿԱՆ ԲՅՈՒՋԵԻ ՄԱՍԻՆ» ՀԱՅԱՍՏԱՆԻ</w:t>
                            </w:r>
                            <w:r w:rsidRPr="00A3353C">
                              <w:rPr>
                                <w:rFonts w:asciiTheme="minorHAnsi" w:hAnsiTheme="minorHAnsi"/>
                                <w:sz w:val="36"/>
                                <w:szCs w:val="36"/>
                                <w:lang w:val="hy-AM"/>
                              </w:rPr>
                              <w:t xml:space="preserve"> ՀԱՆՐԱՊԵՏՈՒԹՅԱՆ ՕՐԵՆՔԻ ԲԱՑԱՏՐԱԳԻՐ</w:t>
                            </w:r>
                            <w:bookmarkEnd w:id="293"/>
                            <w:bookmarkEnd w:id="294"/>
                            <w:bookmarkEnd w:id="295"/>
                            <w:bookmarkEnd w:id="296"/>
                            <w:bookmarkEnd w:id="297"/>
                            <w:bookmarkEnd w:id="298"/>
                            <w:bookmarkEnd w:id="299"/>
                            <w:bookmarkEnd w:id="30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8B6FA2" id="Text Box 62" o:spid="_x0000_s1036" type="#_x0000_t202" style="position:absolute;left:0;text-align:left;margin-left:0;margin-top:288.85pt;width:521.95pt;height:195.45pt;z-index:25175347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" filled="f" stroked="f" strokeweight=".5pt">
                <v:textbox>
                  <w:txbxContent>
                    <w:p w14:paraId="3577DAE0" w14:textId="775F0054" w:rsidR="00147C8B" w:rsidRPr="00A3353C" w:rsidRDefault="00147C8B" w:rsidP="00E2771A">
                      <w:pPr>
                        <w:pStyle w:val="TOC1"/>
                        <w:jc w:val="right"/>
                        <w:rPr>
                          <w:rFonts w:asciiTheme="minorHAnsi" w:hAnsiTheme="minorHAnsi"/>
                          <w:sz w:val="36"/>
                          <w:szCs w:val="36"/>
                          <w:lang w:val="hy-AM"/>
                        </w:rPr>
                      </w:pPr>
                      <w:bookmarkStart w:id="347" w:name="_Toc178608133"/>
                      <w:bookmarkStart w:id="348" w:name="_Toc178608212"/>
                      <w:bookmarkStart w:id="349" w:name="_Toc183785425"/>
                      <w:bookmarkStart w:id="350" w:name="_Toc209615928"/>
                      <w:bookmarkStart w:id="351" w:name="_Toc209625765"/>
                      <w:bookmarkStart w:id="352" w:name="_Toc209637256"/>
                      <w:bookmarkStart w:id="353" w:name="_Toc209694870"/>
                      <w:bookmarkStart w:id="354" w:name="_Toc209694984"/>
                      <w:r w:rsidRPr="00A3353C">
                        <w:rPr>
                          <w:rFonts w:asciiTheme="minorHAnsi" w:hAnsiTheme="minorHAnsi"/>
                          <w:color w:val="FFFFFF" w:themeColor="background1"/>
                          <w:sz w:val="36"/>
                          <w:szCs w:val="36"/>
                          <w:lang w:val="hy-AM"/>
                        </w:rPr>
                        <w:t>ՄԱՍ II. «ՀԱՅԱՍՏԱՆԻ ՀԱՆՐԱՊԵՏՈՒԹՅԱՆ</w:t>
                      </w:r>
                      <w:r>
                        <w:rPr>
                          <w:rFonts w:asciiTheme="minorHAnsi" w:hAnsiTheme="minorHAnsi"/>
                          <w:color w:val="FFFFFF" w:themeColor="background1"/>
                          <w:sz w:val="36"/>
                          <w:szCs w:val="36"/>
                          <w:lang w:val="hy-AM"/>
                        </w:rPr>
                        <w:t xml:space="preserve"> 2026</w:t>
                      </w:r>
                      <w:r w:rsidRPr="00A3353C">
                        <w:rPr>
                          <w:rFonts w:asciiTheme="minorHAnsi" w:hAnsiTheme="minorHAnsi"/>
                          <w:color w:val="FFFFFF" w:themeColor="background1"/>
                          <w:sz w:val="36"/>
                          <w:szCs w:val="36"/>
                          <w:lang w:val="hy-AM"/>
                        </w:rPr>
                        <w:t xml:space="preserve"> ԹՎԱԿԱՆԻ ՊԵՏԱԿԱՆ ԲՅՈՒՋԵԻ ՄԱՍԻՆ» ՀԱՅԱՍՏԱՆԻ</w:t>
                      </w:r>
                      <w:r w:rsidRPr="00A3353C">
                        <w:rPr>
                          <w:rFonts w:asciiTheme="minorHAnsi" w:hAnsiTheme="minorHAnsi"/>
                          <w:sz w:val="36"/>
                          <w:szCs w:val="36"/>
                          <w:lang w:val="hy-AM"/>
                        </w:rPr>
                        <w:t xml:space="preserve"> ՀԱՆՐԱՊԵՏՈՒԹՅԱՆ ՕՐԵՆՔԻ ԲԱՑԱՏՐԱԳԻՐ</w:t>
                      </w:r>
                      <w:bookmarkEnd w:id="347"/>
                      <w:bookmarkEnd w:id="348"/>
                      <w:bookmarkEnd w:id="349"/>
                      <w:bookmarkEnd w:id="350"/>
                      <w:bookmarkEnd w:id="351"/>
                      <w:bookmarkEnd w:id="352"/>
                      <w:bookmarkEnd w:id="353"/>
                      <w:bookmarkEnd w:id="354"/>
                    </w:p>
                  </w:txbxContent>
                </v:textbox>
                <w10:wrap anchorx="margin"/>
              </v:shape>
            </w:pict>
          </mc:Fallback>
        </mc:AlternateContent>
      </w:r>
      <w:r w:rsidR="00E77731" w:rsidRPr="006612E9">
        <w:rPr>
          <w:i/>
          <w:lang w:val="hy-AM"/>
        </w:rPr>
        <w:br w:type="page"/>
      </w:r>
    </w:p>
    <w:p w14:paraId="325D7623" w14:textId="08D118D9" w:rsidR="00F57301" w:rsidRPr="00E77731" w:rsidRDefault="00F57301" w:rsidP="00104E7A">
      <w:pPr>
        <w:pStyle w:val="TOC2"/>
        <w:outlineLvl w:val="0"/>
        <w:rPr>
          <w:lang w:val="hy-AM"/>
        </w:rPr>
      </w:pPr>
      <w:bookmarkStart w:id="301" w:name="_Toc209625766"/>
      <w:bookmarkStart w:id="302" w:name="_Toc215157683"/>
      <w:bookmarkStart w:id="303" w:name="_Toc178356581"/>
      <w:bookmarkStart w:id="304" w:name="_Toc89428304"/>
      <w:bookmarkStart w:id="305" w:name="_Toc89254352"/>
      <w:r w:rsidRPr="00C178D0">
        <w:rPr>
          <w:lang w:val="hy-AM"/>
        </w:rPr>
        <w:t>ՄԱՍ II -</w:t>
      </w:r>
      <w:r>
        <w:rPr>
          <w:lang w:val="hy-AM"/>
        </w:rPr>
        <w:t>Ա</w:t>
      </w:r>
      <w:r w:rsidRPr="00C178D0">
        <w:rPr>
          <w:lang w:val="hy-AM"/>
        </w:rPr>
        <w:t xml:space="preserve"> ՊԵՏԱԿԱՆ ԲՅՈՒՋԵԻ ՑՈՒՑԱՆԻՇՆԵՐԻ</w:t>
      </w:r>
      <w:r w:rsidR="003940A2">
        <w:rPr>
          <w:lang w:val="hy-AM"/>
        </w:rPr>
        <w:t xml:space="preserve"> </w:t>
      </w:r>
      <w:r w:rsidRPr="00C178D0">
        <w:rPr>
          <w:lang w:val="hy-AM"/>
        </w:rPr>
        <w:t>ԿԱՆԽԱՏԵՍՈՒՄՆԵՐ</w:t>
      </w:r>
      <w:r>
        <w:rPr>
          <w:lang w:val="hy-AM"/>
        </w:rPr>
        <w:t>Ը</w:t>
      </w:r>
      <w:bookmarkEnd w:id="301"/>
      <w:bookmarkEnd w:id="302"/>
      <w:r>
        <w:rPr>
          <w:lang w:val="hy-AM"/>
        </w:rPr>
        <w:t xml:space="preserve"> </w:t>
      </w:r>
    </w:p>
    <w:p w14:paraId="4689E6AB" w14:textId="77777777" w:rsidR="00F57301" w:rsidRPr="00E77731" w:rsidRDefault="00F57301" w:rsidP="00104E7A">
      <w:pPr>
        <w:pStyle w:val="TOC4"/>
        <w:outlineLvl w:val="1"/>
        <w:rPr>
          <w:lang w:val="hy-AM"/>
        </w:rPr>
      </w:pPr>
      <w:bookmarkStart w:id="306" w:name="_Toc178356577"/>
      <w:bookmarkStart w:id="307" w:name="_Toc215157684"/>
      <w:r w:rsidRPr="00E77731">
        <w:rPr>
          <w:lang w:val="hy-AM"/>
        </w:rPr>
        <w:t xml:space="preserve">ՀԱՐԿԱԲՅՈՒՋԵՏԱՅԻՆ ՍԿԶԲՈՒՆՔՆԵՐԸ </w:t>
      </w:r>
      <w:r>
        <w:rPr>
          <w:lang w:val="hy-AM"/>
        </w:rPr>
        <w:t>ԵՎ</w:t>
      </w:r>
      <w:r w:rsidRPr="00E77731">
        <w:rPr>
          <w:lang w:val="hy-AM"/>
        </w:rPr>
        <w:t xml:space="preserve"> ՑՈՒՑԱՆԻՇՆԵՐԸ</w:t>
      </w:r>
      <w:bookmarkEnd w:id="306"/>
      <w:bookmarkEnd w:id="307"/>
    </w:p>
    <w:p w14:paraId="336312AD" w14:textId="3CD6851F" w:rsidR="00F57301" w:rsidRPr="00E77731" w:rsidRDefault="00F57301" w:rsidP="00786D09">
      <w:pPr>
        <w:pStyle w:val="BodyText1"/>
        <w:ind w:left="0"/>
        <w:rPr>
          <w:lang w:val="hy-AM"/>
        </w:rPr>
      </w:pPr>
      <w:r w:rsidRPr="00E77731">
        <w:rPr>
          <w:lang w:val="hy-AM"/>
        </w:rPr>
        <w:t>ՀՀ</w:t>
      </w:r>
      <w:r w:rsidR="00CC517B">
        <w:rPr>
          <w:lang w:val="hy-AM"/>
        </w:rPr>
        <w:t xml:space="preserve"> 2026</w:t>
      </w:r>
      <w:r w:rsidRPr="00E77731">
        <w:rPr>
          <w:lang w:val="hy-AM"/>
        </w:rPr>
        <w:t xml:space="preserve"> թվա</w:t>
      </w:r>
      <w:r w:rsidRPr="00E77731">
        <w:rPr>
          <w:lang w:val="hy-AM"/>
        </w:rPr>
        <w:softHyphen/>
        <w:t>կա</w:t>
      </w:r>
      <w:r w:rsidRPr="00E77731">
        <w:rPr>
          <w:lang w:val="hy-AM"/>
        </w:rPr>
        <w:softHyphen/>
      </w:r>
      <w:r w:rsidRPr="00E77731">
        <w:rPr>
          <w:lang w:val="hy-AM"/>
        </w:rPr>
        <w:softHyphen/>
        <w:t>նի պետական բյուջեի մշակման ընթացքում ՀՀ կա</w:t>
      </w:r>
      <w:r w:rsidRPr="00E77731">
        <w:rPr>
          <w:lang w:val="hy-AM"/>
        </w:rPr>
        <w:softHyphen/>
        <w:t>ռա</w:t>
      </w:r>
      <w:r w:rsidRPr="00E77731">
        <w:rPr>
          <w:lang w:val="hy-AM"/>
        </w:rPr>
        <w:softHyphen/>
        <w:t>վա</w:t>
      </w:r>
      <w:r w:rsidRPr="00E77731">
        <w:rPr>
          <w:lang w:val="hy-AM"/>
        </w:rPr>
        <w:softHyphen/>
      </w:r>
      <w:r w:rsidRPr="00E77731">
        <w:rPr>
          <w:lang w:val="hy-AM"/>
        </w:rPr>
        <w:softHyphen/>
        <w:t>րու</w:t>
      </w:r>
      <w:r w:rsidRPr="00E77731">
        <w:rPr>
          <w:lang w:val="hy-AM"/>
        </w:rPr>
        <w:softHyphen/>
        <w:t>թյունն առաջնորդվել է ՀՀ</w:t>
      </w:r>
      <w:r w:rsidR="00CC517B">
        <w:rPr>
          <w:lang w:val="hy-AM"/>
        </w:rPr>
        <w:t xml:space="preserve"> 2026-2028</w:t>
      </w:r>
      <w:r w:rsidRPr="00E77731">
        <w:rPr>
          <w:lang w:val="hy-AM"/>
        </w:rPr>
        <w:t>թթ. ՄԺԾԾ-ով ամրագրված հիմնական սկզբունքներով: Ստորև բերված Աղյուսակ 1</w:t>
      </w:r>
      <w:r w:rsidRPr="00E77731">
        <w:rPr>
          <w:lang w:val="hy-AM"/>
        </w:rPr>
        <w:noBreakHyphen/>
        <w:t>ում ներկայացված են</w:t>
      </w:r>
      <w:r w:rsidR="00E9207F">
        <w:rPr>
          <w:lang w:val="hy-AM"/>
        </w:rPr>
        <w:t xml:space="preserve"> 2022-2028</w:t>
      </w:r>
      <w:r w:rsidRPr="00E77731">
        <w:rPr>
          <w:lang w:val="hy-AM"/>
        </w:rPr>
        <w:t>թթ</w:t>
      </w:r>
      <w:r w:rsidR="008871BB" w:rsidRPr="002A35E7">
        <w:rPr>
          <w:rFonts w:ascii="Cambria Math" w:hAnsi="Cambria Math" w:cs="Cambria Math"/>
          <w:lang w:val="hy-AM"/>
        </w:rPr>
        <w:t>.</w:t>
      </w:r>
      <w:r w:rsidRPr="00E77731">
        <w:rPr>
          <w:lang w:val="hy-AM"/>
        </w:rPr>
        <w:t xml:space="preserve"> պետական բյուջեների ցուցանիշներն արտացոլող ամփոփ ցուցանիշները:</w:t>
      </w:r>
    </w:p>
    <w:p w14:paraId="7AD0478B" w14:textId="50737FB2" w:rsidR="00F57301" w:rsidRPr="00E77731" w:rsidRDefault="00F57301" w:rsidP="00786D09">
      <w:pPr>
        <w:pStyle w:val="a"/>
        <w:rPr>
          <w:lang w:eastAsia="ru-RU"/>
        </w:rPr>
      </w:pPr>
      <w:bookmarkStart w:id="308" w:name="_Ref496723843"/>
      <w:bookmarkStart w:id="309" w:name="_Toc525773064"/>
      <w:bookmarkStart w:id="310" w:name="_Toc20590404"/>
      <w:bookmarkStart w:id="311" w:name="_Toc83928938"/>
      <w:bookmarkStart w:id="312" w:name="_Toc178350611"/>
      <w:bookmarkStart w:id="313" w:name="_Toc178612136"/>
      <w:bookmarkStart w:id="314" w:name="_Toc184110762"/>
      <w:r w:rsidRPr="00E77731">
        <w:t xml:space="preserve">Աղյուսակ </w:t>
      </w:r>
      <w:r w:rsidRPr="00C3014C">
        <w:fldChar w:fldCharType="begin"/>
      </w:r>
      <w:r w:rsidRPr="00E77731">
        <w:instrText xml:space="preserve"> SEQ Աղյուսակ \* ARABIC </w:instrText>
      </w:r>
      <w:r w:rsidRPr="00C3014C">
        <w:fldChar w:fldCharType="separate"/>
      </w:r>
      <w:r w:rsidR="001848B1">
        <w:rPr>
          <w:noProof/>
        </w:rPr>
        <w:t>1</w:t>
      </w:r>
      <w:r w:rsidRPr="00C3014C">
        <w:fldChar w:fldCharType="end"/>
      </w:r>
      <w:r w:rsidRPr="00E77731">
        <w:t>. 202</w:t>
      </w:r>
      <w:r w:rsidR="00F13E3D">
        <w:t>2</w:t>
      </w:r>
      <w:r w:rsidRPr="00E77731">
        <w:t>-202</w:t>
      </w:r>
      <w:r w:rsidR="00E12D49">
        <w:t>8</w:t>
      </w:r>
      <w:r w:rsidRPr="00E77731">
        <w:t>թթ</w:t>
      </w:r>
      <w:r w:rsidR="008871BB">
        <w:rPr>
          <w:rFonts w:ascii="Cambria Math" w:hAnsi="Cambria Math"/>
        </w:rPr>
        <w:t>․</w:t>
      </w:r>
      <w:r w:rsidRPr="00E77731">
        <w:t xml:space="preserve"> պետական բյուջեի ամփոփ ցուցանիշները</w:t>
      </w:r>
      <w:bookmarkEnd w:id="308"/>
      <w:bookmarkEnd w:id="309"/>
      <w:bookmarkEnd w:id="310"/>
      <w:r w:rsidRPr="00E77731">
        <w:t>, մլրդ դրամ</w:t>
      </w:r>
      <w:bookmarkEnd w:id="311"/>
      <w:bookmarkEnd w:id="312"/>
      <w:bookmarkEnd w:id="313"/>
      <w:bookmarkEnd w:id="314"/>
    </w:p>
    <w:tbl>
      <w:tblPr>
        <w:tblW w:w="5000" w:type="pct"/>
        <w:tblBorders>
          <w:top w:val="single" w:sz="8" w:space="0" w:color="E1E1E3" w:themeColor="accent3" w:themeTint="33"/>
          <w:left w:val="single" w:sz="8" w:space="0" w:color="E1E1E3" w:themeColor="accent3" w:themeTint="33"/>
          <w:bottom w:val="single" w:sz="8" w:space="0" w:color="E1E1E3" w:themeColor="accent3" w:themeTint="33"/>
          <w:right w:val="single" w:sz="8" w:space="0" w:color="E1E1E3" w:themeColor="accent3" w:themeTint="33"/>
          <w:insideH w:val="single" w:sz="8" w:space="0" w:color="E1E1E3" w:themeColor="accent3" w:themeTint="33"/>
          <w:insideV w:val="single" w:sz="8" w:space="0" w:color="E1E1E3" w:themeColor="accent3" w:themeTint="33"/>
        </w:tblBorders>
        <w:tblLook w:val="04A0" w:firstRow="1" w:lastRow="0" w:firstColumn="1" w:lastColumn="0" w:noHBand="0" w:noVBand="1"/>
      </w:tblPr>
      <w:tblGrid>
        <w:gridCol w:w="2505"/>
        <w:gridCol w:w="1130"/>
        <w:gridCol w:w="1072"/>
        <w:gridCol w:w="1061"/>
        <w:gridCol w:w="1120"/>
        <w:gridCol w:w="1167"/>
        <w:gridCol w:w="1167"/>
        <w:gridCol w:w="1163"/>
      </w:tblGrid>
      <w:tr w:rsidR="00E12D49" w:rsidRPr="0022586A" w14:paraId="125C055C" w14:textId="77777777" w:rsidTr="003222C9">
        <w:trPr>
          <w:trHeight w:val="360"/>
        </w:trPr>
        <w:tc>
          <w:tcPr>
            <w:tcW w:w="1206" w:type="pct"/>
            <w:vMerge w:val="restart"/>
            <w:shd w:val="clear" w:color="auto" w:fill="D5DCE4" w:themeFill="text2" w:themeFillTint="33"/>
            <w:vAlign w:val="center"/>
            <w:hideMark/>
          </w:tcPr>
          <w:p w14:paraId="23559164" w14:textId="77777777" w:rsidR="00E12D49" w:rsidRPr="0022586A" w:rsidRDefault="00E12D49" w:rsidP="00786D09">
            <w:pPr>
              <w:spacing w:before="0" w:after="0" w:line="240" w:lineRule="auto"/>
              <w:rPr>
                <w:b/>
                <w:sz w:val="18"/>
                <w:szCs w:val="18"/>
              </w:rPr>
            </w:pPr>
            <w:r w:rsidRPr="0022586A">
              <w:rPr>
                <w:b/>
                <w:sz w:val="18"/>
                <w:szCs w:val="18"/>
              </w:rPr>
              <w:t>Ցուցանիշներ</w:t>
            </w:r>
          </w:p>
        </w:tc>
        <w:tc>
          <w:tcPr>
            <w:tcW w:w="1571" w:type="pct"/>
            <w:gridSpan w:val="3"/>
            <w:shd w:val="clear" w:color="auto" w:fill="D5DCE4" w:themeFill="text2" w:themeFillTint="33"/>
            <w:noWrap/>
            <w:vAlign w:val="center"/>
            <w:hideMark/>
          </w:tcPr>
          <w:p w14:paraId="24B76067" w14:textId="77777777" w:rsidR="00E12D49" w:rsidRPr="0022586A" w:rsidRDefault="00E12D49" w:rsidP="00786D09">
            <w:pPr>
              <w:spacing w:before="0" w:after="0" w:line="240" w:lineRule="auto"/>
              <w:jc w:val="center"/>
              <w:rPr>
                <w:b/>
                <w:sz w:val="18"/>
                <w:szCs w:val="18"/>
              </w:rPr>
            </w:pPr>
            <w:r w:rsidRPr="0022586A">
              <w:rPr>
                <w:b/>
                <w:sz w:val="18"/>
                <w:szCs w:val="18"/>
              </w:rPr>
              <w:t>Փաստ</w:t>
            </w:r>
          </w:p>
        </w:tc>
        <w:tc>
          <w:tcPr>
            <w:tcW w:w="539" w:type="pct"/>
            <w:shd w:val="clear" w:color="auto" w:fill="D5DCE4" w:themeFill="text2" w:themeFillTint="33"/>
            <w:noWrap/>
            <w:vAlign w:val="center"/>
            <w:hideMark/>
          </w:tcPr>
          <w:p w14:paraId="29FA164D" w14:textId="5E7EF370" w:rsidR="00E12D49" w:rsidRPr="00E12D49" w:rsidRDefault="00E12D49" w:rsidP="00786D09">
            <w:pPr>
              <w:spacing w:before="0" w:after="0" w:line="240" w:lineRule="auto"/>
              <w:jc w:val="center"/>
              <w:rPr>
                <w:b/>
                <w:sz w:val="18"/>
                <w:szCs w:val="18"/>
                <w:lang w:val="hy-AM"/>
              </w:rPr>
            </w:pPr>
            <w:r>
              <w:rPr>
                <w:b/>
                <w:sz w:val="18"/>
                <w:szCs w:val="18"/>
                <w:lang w:val="hy-AM"/>
              </w:rPr>
              <w:t>Բյուջե</w:t>
            </w:r>
          </w:p>
        </w:tc>
        <w:tc>
          <w:tcPr>
            <w:tcW w:w="1684" w:type="pct"/>
            <w:gridSpan w:val="3"/>
            <w:shd w:val="clear" w:color="auto" w:fill="D5DCE4" w:themeFill="text2" w:themeFillTint="33"/>
          </w:tcPr>
          <w:p w14:paraId="7A365B5D" w14:textId="54F74025" w:rsidR="00E12D49" w:rsidRPr="0022586A" w:rsidRDefault="00E12D49" w:rsidP="00786D09">
            <w:pPr>
              <w:spacing w:before="0" w:after="0" w:line="240" w:lineRule="auto"/>
              <w:jc w:val="center"/>
              <w:rPr>
                <w:b/>
                <w:sz w:val="18"/>
                <w:szCs w:val="18"/>
              </w:rPr>
            </w:pPr>
            <w:r w:rsidRPr="0022586A">
              <w:rPr>
                <w:b/>
                <w:sz w:val="18"/>
                <w:szCs w:val="18"/>
              </w:rPr>
              <w:t>ծրագիր</w:t>
            </w:r>
          </w:p>
        </w:tc>
      </w:tr>
      <w:tr w:rsidR="00E12D49" w:rsidRPr="0022586A" w14:paraId="3F6E9491" w14:textId="77777777" w:rsidTr="003222C9">
        <w:trPr>
          <w:trHeight w:val="502"/>
        </w:trPr>
        <w:tc>
          <w:tcPr>
            <w:tcW w:w="1206" w:type="pct"/>
            <w:vMerge/>
            <w:shd w:val="clear" w:color="auto" w:fill="D5DCE4" w:themeFill="text2" w:themeFillTint="33"/>
            <w:vAlign w:val="center"/>
            <w:hideMark/>
          </w:tcPr>
          <w:p w14:paraId="6F465696" w14:textId="77777777" w:rsidR="00E12D49" w:rsidRPr="0022586A" w:rsidRDefault="00E12D49" w:rsidP="00786D09">
            <w:pPr>
              <w:spacing w:before="0" w:after="0" w:line="240" w:lineRule="auto"/>
              <w:rPr>
                <w:b/>
                <w:sz w:val="18"/>
                <w:szCs w:val="18"/>
              </w:rPr>
            </w:pPr>
          </w:p>
        </w:tc>
        <w:tc>
          <w:tcPr>
            <w:tcW w:w="544" w:type="pct"/>
            <w:shd w:val="clear" w:color="auto" w:fill="D5DCE4" w:themeFill="text2" w:themeFillTint="33"/>
            <w:noWrap/>
            <w:vAlign w:val="center"/>
            <w:hideMark/>
          </w:tcPr>
          <w:p w14:paraId="7874B339" w14:textId="69111C42" w:rsidR="00E12D49" w:rsidRPr="00146BFC" w:rsidRDefault="00E12D49" w:rsidP="00786D09">
            <w:pPr>
              <w:spacing w:before="0" w:after="0" w:line="240" w:lineRule="auto"/>
              <w:jc w:val="center"/>
              <w:rPr>
                <w:b/>
                <w:sz w:val="18"/>
                <w:szCs w:val="18"/>
                <w:lang w:val="ru-RU"/>
              </w:rPr>
            </w:pPr>
            <w:r>
              <w:rPr>
                <w:b/>
                <w:sz w:val="18"/>
                <w:szCs w:val="18"/>
              </w:rPr>
              <w:t>2022</w:t>
            </w:r>
            <w:r w:rsidR="00146BFC">
              <w:rPr>
                <w:b/>
                <w:sz w:val="18"/>
                <w:szCs w:val="18"/>
                <w:lang w:val="ru-RU"/>
              </w:rPr>
              <w:t>*</w:t>
            </w:r>
          </w:p>
        </w:tc>
        <w:tc>
          <w:tcPr>
            <w:tcW w:w="516" w:type="pct"/>
            <w:shd w:val="clear" w:color="auto" w:fill="D5DCE4" w:themeFill="text2" w:themeFillTint="33"/>
            <w:noWrap/>
            <w:vAlign w:val="center"/>
            <w:hideMark/>
          </w:tcPr>
          <w:p w14:paraId="300C7FEE" w14:textId="6879572E" w:rsidR="00E12D49" w:rsidRPr="00146BFC" w:rsidRDefault="00E12D49" w:rsidP="00786D09">
            <w:pPr>
              <w:spacing w:before="0" w:after="0" w:line="240" w:lineRule="auto"/>
              <w:jc w:val="center"/>
              <w:rPr>
                <w:b/>
                <w:sz w:val="18"/>
                <w:szCs w:val="18"/>
                <w:lang w:val="ru-RU"/>
              </w:rPr>
            </w:pPr>
            <w:r>
              <w:rPr>
                <w:b/>
                <w:sz w:val="18"/>
                <w:szCs w:val="18"/>
              </w:rPr>
              <w:t>2023</w:t>
            </w:r>
            <w:r w:rsidR="00146BFC">
              <w:rPr>
                <w:b/>
                <w:sz w:val="18"/>
                <w:szCs w:val="18"/>
                <w:lang w:val="ru-RU"/>
              </w:rPr>
              <w:t>*</w:t>
            </w:r>
          </w:p>
        </w:tc>
        <w:tc>
          <w:tcPr>
            <w:tcW w:w="511" w:type="pct"/>
            <w:shd w:val="clear" w:color="auto" w:fill="D5DCE4" w:themeFill="text2" w:themeFillTint="33"/>
            <w:noWrap/>
            <w:vAlign w:val="center"/>
            <w:hideMark/>
          </w:tcPr>
          <w:p w14:paraId="6A94886D" w14:textId="1B423F44" w:rsidR="00E12D49" w:rsidRPr="0022586A" w:rsidRDefault="00E12D49" w:rsidP="00786D09">
            <w:pPr>
              <w:spacing w:before="0" w:after="0" w:line="240" w:lineRule="auto"/>
              <w:jc w:val="center"/>
              <w:rPr>
                <w:b/>
                <w:sz w:val="18"/>
                <w:szCs w:val="18"/>
              </w:rPr>
            </w:pPr>
            <w:r>
              <w:rPr>
                <w:b/>
                <w:sz w:val="18"/>
                <w:szCs w:val="18"/>
              </w:rPr>
              <w:t>2024</w:t>
            </w:r>
          </w:p>
        </w:tc>
        <w:tc>
          <w:tcPr>
            <w:tcW w:w="539" w:type="pct"/>
            <w:shd w:val="clear" w:color="auto" w:fill="D5DCE4" w:themeFill="text2" w:themeFillTint="33"/>
            <w:noWrap/>
            <w:vAlign w:val="center"/>
            <w:hideMark/>
          </w:tcPr>
          <w:p w14:paraId="5F42BBED" w14:textId="50AB4AEB" w:rsidR="00E12D49" w:rsidRPr="0022586A" w:rsidRDefault="00E12D49" w:rsidP="00786D09">
            <w:pPr>
              <w:spacing w:before="0" w:after="0" w:line="240" w:lineRule="auto"/>
              <w:jc w:val="center"/>
              <w:rPr>
                <w:b/>
                <w:sz w:val="18"/>
                <w:szCs w:val="18"/>
              </w:rPr>
            </w:pPr>
            <w:r>
              <w:rPr>
                <w:b/>
                <w:sz w:val="18"/>
                <w:szCs w:val="18"/>
              </w:rPr>
              <w:t>2025</w:t>
            </w:r>
          </w:p>
        </w:tc>
        <w:tc>
          <w:tcPr>
            <w:tcW w:w="562" w:type="pct"/>
            <w:shd w:val="clear" w:color="auto" w:fill="D5DCE4" w:themeFill="text2" w:themeFillTint="33"/>
            <w:vAlign w:val="center"/>
          </w:tcPr>
          <w:p w14:paraId="0ED2F98A" w14:textId="7A039FE5" w:rsidR="00E12D49" w:rsidRPr="00E12D49" w:rsidRDefault="00E12D49" w:rsidP="00786D09">
            <w:pPr>
              <w:spacing w:before="0" w:after="0" w:line="240" w:lineRule="auto"/>
              <w:jc w:val="center"/>
              <w:rPr>
                <w:b/>
                <w:sz w:val="18"/>
                <w:szCs w:val="18"/>
              </w:rPr>
            </w:pPr>
            <w:r w:rsidRPr="00E12D49">
              <w:rPr>
                <w:b/>
                <w:sz w:val="18"/>
                <w:szCs w:val="18"/>
              </w:rPr>
              <w:t>2026</w:t>
            </w:r>
          </w:p>
        </w:tc>
        <w:tc>
          <w:tcPr>
            <w:tcW w:w="562" w:type="pct"/>
            <w:shd w:val="clear" w:color="auto" w:fill="D5DCE4" w:themeFill="text2" w:themeFillTint="33"/>
            <w:vAlign w:val="center"/>
          </w:tcPr>
          <w:p w14:paraId="4C8164DA" w14:textId="67CBA87F" w:rsidR="00E12D49" w:rsidRPr="00E12D49" w:rsidRDefault="00E12D49" w:rsidP="00786D09">
            <w:pPr>
              <w:spacing w:before="0" w:after="0" w:line="240" w:lineRule="auto"/>
              <w:jc w:val="center"/>
              <w:rPr>
                <w:b/>
                <w:sz w:val="18"/>
                <w:szCs w:val="18"/>
              </w:rPr>
            </w:pPr>
            <w:r w:rsidRPr="00E12D49">
              <w:rPr>
                <w:b/>
                <w:sz w:val="18"/>
                <w:szCs w:val="18"/>
              </w:rPr>
              <w:t>2027</w:t>
            </w:r>
          </w:p>
        </w:tc>
        <w:tc>
          <w:tcPr>
            <w:tcW w:w="560" w:type="pct"/>
            <w:shd w:val="clear" w:color="auto" w:fill="D5DCE4" w:themeFill="text2" w:themeFillTint="33"/>
            <w:noWrap/>
            <w:vAlign w:val="center"/>
            <w:hideMark/>
          </w:tcPr>
          <w:p w14:paraId="1E305661" w14:textId="3A7E2C15" w:rsidR="00E12D49" w:rsidRPr="0022586A" w:rsidRDefault="00E12D49" w:rsidP="00786D09">
            <w:pPr>
              <w:spacing w:before="0" w:after="0" w:line="240" w:lineRule="auto"/>
              <w:jc w:val="center"/>
              <w:rPr>
                <w:b/>
                <w:sz w:val="18"/>
                <w:szCs w:val="18"/>
              </w:rPr>
            </w:pPr>
            <w:r>
              <w:rPr>
                <w:b/>
                <w:sz w:val="18"/>
                <w:szCs w:val="18"/>
              </w:rPr>
              <w:t>2028</w:t>
            </w:r>
          </w:p>
        </w:tc>
      </w:tr>
      <w:tr w:rsidR="002E5B93" w:rsidRPr="0022586A" w14:paraId="7BCB1216" w14:textId="77777777" w:rsidTr="00A506F2">
        <w:trPr>
          <w:trHeight w:val="360"/>
        </w:trPr>
        <w:tc>
          <w:tcPr>
            <w:tcW w:w="1206" w:type="pct"/>
            <w:shd w:val="clear" w:color="auto" w:fill="D5DCE4" w:themeFill="text2" w:themeFillTint="33"/>
            <w:vAlign w:val="center"/>
            <w:hideMark/>
          </w:tcPr>
          <w:p w14:paraId="1046438A" w14:textId="77777777" w:rsidR="002E5B93" w:rsidRPr="00C178D0" w:rsidRDefault="002E5B93" w:rsidP="002E5B93">
            <w:pPr>
              <w:spacing w:before="0" w:after="0" w:line="240" w:lineRule="auto"/>
              <w:rPr>
                <w:b/>
                <w:sz w:val="18"/>
                <w:szCs w:val="18"/>
              </w:rPr>
            </w:pPr>
            <w:r w:rsidRPr="00C178D0">
              <w:rPr>
                <w:b/>
                <w:sz w:val="18"/>
                <w:szCs w:val="18"/>
              </w:rPr>
              <w:t>Պետական բյուջեի եկամուտներ</w:t>
            </w:r>
          </w:p>
        </w:tc>
        <w:tc>
          <w:tcPr>
            <w:tcW w:w="544" w:type="pct"/>
            <w:shd w:val="clear" w:color="auto" w:fill="D5DCE4" w:themeFill="text2" w:themeFillTint="33"/>
            <w:noWrap/>
            <w:vAlign w:val="center"/>
          </w:tcPr>
          <w:p w14:paraId="7299B5D5" w14:textId="4D946E6E" w:rsidR="002E5B93" w:rsidRPr="00C178D0" w:rsidRDefault="002E5B93" w:rsidP="002E5B93">
            <w:pPr>
              <w:spacing w:before="0" w:after="0" w:line="240" w:lineRule="auto"/>
              <w:jc w:val="center"/>
              <w:rPr>
                <w:b/>
                <w:sz w:val="18"/>
                <w:szCs w:val="18"/>
              </w:rPr>
            </w:pPr>
            <w:r>
              <w:rPr>
                <w:rFonts w:ascii="GHEA Grapalat" w:hAnsi="GHEA Grapalat" w:cs="Calibri"/>
                <w:b/>
                <w:bCs/>
                <w:color w:val="404040"/>
                <w:sz w:val="18"/>
                <w:szCs w:val="18"/>
              </w:rPr>
              <w:t>2</w:t>
            </w:r>
            <w:r>
              <w:rPr>
                <w:rFonts w:ascii="GHEA Grapalat" w:hAnsi="GHEA Grapalat" w:cs="Calibri"/>
                <w:b/>
                <w:bCs/>
                <w:color w:val="404040"/>
                <w:sz w:val="18"/>
                <w:szCs w:val="18"/>
                <w:lang w:val="ru-RU"/>
              </w:rPr>
              <w:t>,</w:t>
            </w:r>
            <w:r>
              <w:rPr>
                <w:rFonts w:ascii="GHEA Grapalat" w:hAnsi="GHEA Grapalat" w:cs="Calibri"/>
                <w:b/>
                <w:bCs/>
                <w:color w:val="404040"/>
                <w:sz w:val="18"/>
                <w:szCs w:val="18"/>
              </w:rPr>
              <w:t>099.6</w:t>
            </w:r>
          </w:p>
        </w:tc>
        <w:tc>
          <w:tcPr>
            <w:tcW w:w="516" w:type="pct"/>
            <w:shd w:val="clear" w:color="auto" w:fill="D5DCE4" w:themeFill="text2" w:themeFillTint="33"/>
            <w:noWrap/>
            <w:vAlign w:val="center"/>
          </w:tcPr>
          <w:p w14:paraId="0DE1AF22" w14:textId="068F43DE" w:rsidR="002E5B93" w:rsidRPr="00284D44" w:rsidRDefault="002E5B93" w:rsidP="002E5B93">
            <w:pPr>
              <w:spacing w:before="0" w:after="0" w:line="240" w:lineRule="auto"/>
              <w:jc w:val="center"/>
              <w:rPr>
                <w:b/>
                <w:sz w:val="18"/>
                <w:szCs w:val="18"/>
                <w:lang w:val="ru-RU"/>
              </w:rPr>
            </w:pPr>
            <w:r>
              <w:rPr>
                <w:rFonts w:ascii="GHEA Grapalat" w:hAnsi="GHEA Grapalat" w:cs="Calibri"/>
                <w:b/>
                <w:bCs/>
                <w:color w:val="404040"/>
                <w:sz w:val="18"/>
                <w:szCs w:val="18"/>
              </w:rPr>
              <w:t>2</w:t>
            </w:r>
            <w:r>
              <w:rPr>
                <w:rFonts w:ascii="GHEA Grapalat" w:hAnsi="GHEA Grapalat" w:cs="Calibri"/>
                <w:b/>
                <w:bCs/>
                <w:color w:val="404040"/>
                <w:sz w:val="18"/>
                <w:szCs w:val="18"/>
                <w:lang w:val="ru-RU"/>
              </w:rPr>
              <w:t>,</w:t>
            </w:r>
            <w:r>
              <w:rPr>
                <w:rFonts w:ascii="GHEA Grapalat" w:hAnsi="GHEA Grapalat" w:cs="Calibri"/>
                <w:b/>
                <w:bCs/>
                <w:color w:val="404040"/>
                <w:sz w:val="18"/>
                <w:szCs w:val="18"/>
              </w:rPr>
              <w:t>410.7</w:t>
            </w:r>
          </w:p>
        </w:tc>
        <w:tc>
          <w:tcPr>
            <w:tcW w:w="511" w:type="pct"/>
            <w:shd w:val="clear" w:color="auto" w:fill="D5DCE4" w:themeFill="text2" w:themeFillTint="33"/>
            <w:noWrap/>
            <w:vAlign w:val="center"/>
          </w:tcPr>
          <w:p w14:paraId="26085D7B" w14:textId="31E16DA7" w:rsidR="002E5B93" w:rsidRPr="00C178D0" w:rsidRDefault="002E5B93" w:rsidP="002E5B93">
            <w:pPr>
              <w:spacing w:before="0" w:after="0" w:line="240" w:lineRule="auto"/>
              <w:jc w:val="center"/>
              <w:rPr>
                <w:b/>
                <w:sz w:val="18"/>
                <w:szCs w:val="18"/>
              </w:rPr>
            </w:pPr>
            <w:r>
              <w:rPr>
                <w:rFonts w:ascii="GHEA Grapalat" w:hAnsi="GHEA Grapalat" w:cs="Calibri"/>
                <w:b/>
                <w:bCs/>
                <w:color w:val="404040"/>
                <w:sz w:val="18"/>
                <w:szCs w:val="18"/>
              </w:rPr>
              <w:t>2</w:t>
            </w:r>
            <w:r>
              <w:rPr>
                <w:rFonts w:ascii="GHEA Grapalat" w:hAnsi="GHEA Grapalat" w:cs="Calibri"/>
                <w:b/>
                <w:bCs/>
                <w:color w:val="404040"/>
                <w:sz w:val="18"/>
                <w:szCs w:val="18"/>
                <w:lang w:val="hy-AM"/>
              </w:rPr>
              <w:t>,</w:t>
            </w:r>
            <w:r>
              <w:rPr>
                <w:rFonts w:ascii="GHEA Grapalat" w:hAnsi="GHEA Grapalat" w:cs="Calibri"/>
                <w:b/>
                <w:bCs/>
                <w:color w:val="404040"/>
                <w:sz w:val="18"/>
                <w:szCs w:val="18"/>
              </w:rPr>
              <w:t>579.2</w:t>
            </w:r>
          </w:p>
        </w:tc>
        <w:tc>
          <w:tcPr>
            <w:tcW w:w="539" w:type="pct"/>
            <w:shd w:val="clear" w:color="auto" w:fill="D5DCE4" w:themeFill="text2" w:themeFillTint="33"/>
            <w:noWrap/>
            <w:vAlign w:val="center"/>
          </w:tcPr>
          <w:p w14:paraId="29F6FF04" w14:textId="61B4E118" w:rsidR="002E5B93" w:rsidRPr="00C178D0" w:rsidRDefault="002E5B93" w:rsidP="002E5B93">
            <w:pPr>
              <w:spacing w:before="0" w:after="0" w:line="240" w:lineRule="auto"/>
              <w:jc w:val="center"/>
              <w:rPr>
                <w:b/>
                <w:sz w:val="18"/>
                <w:szCs w:val="18"/>
              </w:rPr>
            </w:pPr>
            <w:r>
              <w:rPr>
                <w:rFonts w:ascii="GHEA Grapalat" w:hAnsi="GHEA Grapalat" w:cs="Calibri"/>
                <w:b/>
                <w:bCs/>
                <w:color w:val="404040"/>
                <w:sz w:val="18"/>
                <w:szCs w:val="18"/>
              </w:rPr>
              <w:t>2</w:t>
            </w:r>
            <w:r>
              <w:rPr>
                <w:rFonts w:ascii="GHEA Grapalat" w:hAnsi="GHEA Grapalat" w:cs="Calibri"/>
                <w:b/>
                <w:bCs/>
                <w:color w:val="404040"/>
                <w:sz w:val="18"/>
                <w:szCs w:val="18"/>
                <w:lang w:val="hy-AM"/>
              </w:rPr>
              <w:t>,</w:t>
            </w:r>
            <w:r>
              <w:rPr>
                <w:rFonts w:ascii="GHEA Grapalat" w:hAnsi="GHEA Grapalat" w:cs="Calibri"/>
                <w:b/>
                <w:bCs/>
                <w:color w:val="404040"/>
                <w:sz w:val="18"/>
                <w:szCs w:val="18"/>
              </w:rPr>
              <w:t>837.6</w:t>
            </w:r>
          </w:p>
        </w:tc>
        <w:tc>
          <w:tcPr>
            <w:tcW w:w="562" w:type="pct"/>
            <w:shd w:val="clear" w:color="auto" w:fill="D5DCE4" w:themeFill="text2" w:themeFillTint="33"/>
            <w:vAlign w:val="center"/>
          </w:tcPr>
          <w:p w14:paraId="1727D038" w14:textId="2F007182" w:rsidR="002E5B93" w:rsidRPr="008A53F3" w:rsidRDefault="002E5B93" w:rsidP="002E5B93">
            <w:pPr>
              <w:spacing w:before="0" w:after="0" w:line="240" w:lineRule="auto"/>
              <w:jc w:val="center"/>
              <w:rPr>
                <w:b/>
                <w:sz w:val="18"/>
                <w:szCs w:val="18"/>
                <w:lang w:val="hy-AM"/>
              </w:rPr>
            </w:pPr>
            <w:r>
              <w:rPr>
                <w:rFonts w:ascii="GHEA Grapalat" w:hAnsi="GHEA Grapalat" w:cs="Calibri"/>
                <w:b/>
                <w:bCs/>
                <w:color w:val="404040"/>
                <w:sz w:val="18"/>
                <w:szCs w:val="18"/>
              </w:rPr>
              <w:t xml:space="preserve">3,090.9 </w:t>
            </w:r>
          </w:p>
        </w:tc>
        <w:tc>
          <w:tcPr>
            <w:tcW w:w="562" w:type="pct"/>
            <w:shd w:val="clear" w:color="auto" w:fill="D5DCE4" w:themeFill="text2" w:themeFillTint="33"/>
            <w:vAlign w:val="center"/>
          </w:tcPr>
          <w:p w14:paraId="6F2032B1" w14:textId="49E1D27D" w:rsidR="002E5B93" w:rsidRPr="00E12D49" w:rsidRDefault="002E5B93" w:rsidP="002E5B93">
            <w:pPr>
              <w:spacing w:before="0" w:after="0" w:line="240" w:lineRule="auto"/>
              <w:jc w:val="center"/>
              <w:rPr>
                <w:b/>
                <w:sz w:val="18"/>
                <w:szCs w:val="18"/>
              </w:rPr>
            </w:pPr>
            <w:r>
              <w:rPr>
                <w:rFonts w:ascii="GHEA Grapalat" w:hAnsi="GHEA Grapalat" w:cs="Calibri"/>
                <w:b/>
                <w:bCs/>
                <w:color w:val="404040"/>
                <w:sz w:val="18"/>
                <w:szCs w:val="18"/>
              </w:rPr>
              <w:t xml:space="preserve">3,352.6 </w:t>
            </w:r>
          </w:p>
        </w:tc>
        <w:tc>
          <w:tcPr>
            <w:tcW w:w="560" w:type="pct"/>
            <w:shd w:val="clear" w:color="auto" w:fill="D5DCE4" w:themeFill="text2" w:themeFillTint="33"/>
            <w:noWrap/>
            <w:vAlign w:val="center"/>
          </w:tcPr>
          <w:p w14:paraId="03A2134D" w14:textId="0EB1E42A" w:rsidR="002E5B93" w:rsidRPr="00C178D0" w:rsidRDefault="002E5B93" w:rsidP="002E5B93">
            <w:pPr>
              <w:spacing w:before="0" w:after="0" w:line="240" w:lineRule="auto"/>
              <w:jc w:val="center"/>
              <w:rPr>
                <w:b/>
                <w:sz w:val="18"/>
                <w:szCs w:val="18"/>
              </w:rPr>
            </w:pPr>
            <w:r>
              <w:rPr>
                <w:rFonts w:ascii="GHEA Grapalat" w:hAnsi="GHEA Grapalat" w:cs="Calibri"/>
                <w:b/>
                <w:bCs/>
                <w:color w:val="404040"/>
                <w:sz w:val="18"/>
                <w:szCs w:val="18"/>
              </w:rPr>
              <w:t xml:space="preserve">3,638.2 </w:t>
            </w:r>
          </w:p>
        </w:tc>
      </w:tr>
      <w:tr w:rsidR="002E5B93" w:rsidRPr="0022586A" w14:paraId="48BF6C96" w14:textId="77777777" w:rsidTr="00A506F2">
        <w:trPr>
          <w:trHeight w:val="360"/>
        </w:trPr>
        <w:tc>
          <w:tcPr>
            <w:tcW w:w="1206" w:type="pct"/>
            <w:shd w:val="clear" w:color="auto" w:fill="auto"/>
            <w:vAlign w:val="center"/>
            <w:hideMark/>
          </w:tcPr>
          <w:p w14:paraId="3881E123" w14:textId="77777777" w:rsidR="002E5B93" w:rsidRPr="0022586A" w:rsidRDefault="002E5B93" w:rsidP="002E5B93">
            <w:pPr>
              <w:spacing w:before="0" w:after="0" w:line="240" w:lineRule="auto"/>
              <w:rPr>
                <w:color w:val="A5A6AC" w:themeColor="accent3" w:themeTint="99"/>
                <w:sz w:val="18"/>
                <w:szCs w:val="18"/>
              </w:rPr>
            </w:pPr>
            <w:r w:rsidRPr="0022586A">
              <w:rPr>
                <w:color w:val="A5A6AC" w:themeColor="accent3" w:themeTint="99"/>
                <w:sz w:val="18"/>
                <w:szCs w:val="18"/>
              </w:rPr>
              <w:t xml:space="preserve">ՀՆԱ-ի նկատմամբ (%) </w:t>
            </w:r>
          </w:p>
        </w:tc>
        <w:tc>
          <w:tcPr>
            <w:tcW w:w="544" w:type="pct"/>
            <w:shd w:val="clear" w:color="auto" w:fill="auto"/>
            <w:noWrap/>
            <w:vAlign w:val="center"/>
          </w:tcPr>
          <w:p w14:paraId="69A6BB07" w14:textId="7916BBCD" w:rsidR="002E5B93" w:rsidRPr="0022586A" w:rsidRDefault="002E5B93" w:rsidP="002E5B93">
            <w:pPr>
              <w:spacing w:before="0" w:after="0" w:line="240" w:lineRule="auto"/>
              <w:jc w:val="center"/>
              <w:rPr>
                <w:color w:val="A5A6AC" w:themeColor="accent3" w:themeTint="99"/>
                <w:sz w:val="18"/>
                <w:szCs w:val="18"/>
              </w:rPr>
            </w:pPr>
            <w:r>
              <w:rPr>
                <w:rFonts w:ascii="GHEA Grapalat" w:hAnsi="GHEA Grapalat" w:cs="Calibri"/>
                <w:color w:val="A6A6A6"/>
                <w:sz w:val="18"/>
                <w:szCs w:val="18"/>
              </w:rPr>
              <w:t>24.7%</w:t>
            </w:r>
          </w:p>
        </w:tc>
        <w:tc>
          <w:tcPr>
            <w:tcW w:w="516" w:type="pct"/>
            <w:shd w:val="clear" w:color="auto" w:fill="auto"/>
            <w:noWrap/>
            <w:vAlign w:val="center"/>
          </w:tcPr>
          <w:p w14:paraId="3C61E80A" w14:textId="563515B2" w:rsidR="002E5B93" w:rsidRPr="005D0EF0" w:rsidRDefault="002E5B93" w:rsidP="002E5B93">
            <w:pPr>
              <w:spacing w:before="0" w:after="0" w:line="240" w:lineRule="auto"/>
              <w:jc w:val="center"/>
              <w:rPr>
                <w:color w:val="A5A6AC" w:themeColor="accent3" w:themeTint="99"/>
                <w:sz w:val="18"/>
                <w:szCs w:val="18"/>
                <w:lang w:val="ru-RU"/>
              </w:rPr>
            </w:pPr>
            <w:r>
              <w:rPr>
                <w:rFonts w:ascii="GHEA Grapalat" w:hAnsi="GHEA Grapalat" w:cs="Calibri"/>
                <w:color w:val="A6A6A6"/>
                <w:sz w:val="18"/>
                <w:szCs w:val="18"/>
              </w:rPr>
              <w:t>25.4%</w:t>
            </w:r>
          </w:p>
        </w:tc>
        <w:tc>
          <w:tcPr>
            <w:tcW w:w="511" w:type="pct"/>
            <w:shd w:val="clear" w:color="auto" w:fill="auto"/>
            <w:noWrap/>
            <w:vAlign w:val="center"/>
          </w:tcPr>
          <w:p w14:paraId="130FA213" w14:textId="02B9A508" w:rsidR="002E5B93" w:rsidRPr="0022586A" w:rsidRDefault="002E5B93" w:rsidP="002E5B93">
            <w:pPr>
              <w:spacing w:before="0" w:after="0" w:line="240" w:lineRule="auto"/>
              <w:jc w:val="center"/>
              <w:rPr>
                <w:color w:val="A5A6AC" w:themeColor="accent3" w:themeTint="99"/>
                <w:sz w:val="18"/>
                <w:szCs w:val="18"/>
              </w:rPr>
            </w:pPr>
            <w:r>
              <w:rPr>
                <w:rFonts w:ascii="GHEA Grapalat" w:hAnsi="GHEA Grapalat" w:cs="Calibri"/>
                <w:color w:val="A6A6A6"/>
                <w:sz w:val="18"/>
                <w:szCs w:val="18"/>
              </w:rPr>
              <w:t>25.3%</w:t>
            </w:r>
          </w:p>
        </w:tc>
        <w:tc>
          <w:tcPr>
            <w:tcW w:w="539" w:type="pct"/>
            <w:shd w:val="clear" w:color="auto" w:fill="auto"/>
            <w:noWrap/>
            <w:vAlign w:val="center"/>
          </w:tcPr>
          <w:p w14:paraId="59C96F98" w14:textId="26FCE219" w:rsidR="002E5B93" w:rsidRPr="0022586A" w:rsidRDefault="002E5B93" w:rsidP="002E5B93">
            <w:pPr>
              <w:spacing w:before="0" w:after="0" w:line="240" w:lineRule="auto"/>
              <w:jc w:val="center"/>
              <w:rPr>
                <w:color w:val="A5A6AC" w:themeColor="accent3" w:themeTint="99"/>
                <w:sz w:val="18"/>
                <w:szCs w:val="18"/>
              </w:rPr>
            </w:pPr>
            <w:r>
              <w:rPr>
                <w:rFonts w:ascii="GHEA Grapalat" w:hAnsi="GHEA Grapalat" w:cs="Calibri"/>
                <w:color w:val="A6A6A6"/>
                <w:sz w:val="18"/>
                <w:szCs w:val="18"/>
              </w:rPr>
              <w:t>26.1%</w:t>
            </w:r>
          </w:p>
        </w:tc>
        <w:tc>
          <w:tcPr>
            <w:tcW w:w="562" w:type="pct"/>
            <w:vAlign w:val="center"/>
          </w:tcPr>
          <w:p w14:paraId="55629CD9" w14:textId="40E823C2" w:rsidR="002E5B93" w:rsidRPr="00E12D49" w:rsidRDefault="002E5B93" w:rsidP="002E5B93">
            <w:pPr>
              <w:spacing w:before="0" w:after="0" w:line="240" w:lineRule="auto"/>
              <w:jc w:val="center"/>
              <w:rPr>
                <w:b/>
                <w:sz w:val="18"/>
                <w:szCs w:val="18"/>
              </w:rPr>
            </w:pPr>
            <w:r>
              <w:rPr>
                <w:rFonts w:ascii="GHEA Grapalat" w:hAnsi="GHEA Grapalat" w:cs="Calibri"/>
                <w:color w:val="A6A6A6"/>
                <w:sz w:val="18"/>
                <w:szCs w:val="18"/>
              </w:rPr>
              <w:t>25.9%</w:t>
            </w:r>
          </w:p>
        </w:tc>
        <w:tc>
          <w:tcPr>
            <w:tcW w:w="562" w:type="pct"/>
            <w:vAlign w:val="center"/>
          </w:tcPr>
          <w:p w14:paraId="27101360" w14:textId="26F1F20C" w:rsidR="002E5B93" w:rsidRPr="00E12D49" w:rsidRDefault="002E5B93" w:rsidP="002E5B93">
            <w:pPr>
              <w:spacing w:before="0" w:after="0" w:line="240" w:lineRule="auto"/>
              <w:jc w:val="center"/>
              <w:rPr>
                <w:b/>
                <w:sz w:val="18"/>
                <w:szCs w:val="18"/>
              </w:rPr>
            </w:pPr>
            <w:r>
              <w:rPr>
                <w:rFonts w:ascii="GHEA Grapalat" w:hAnsi="GHEA Grapalat" w:cs="Calibri"/>
                <w:color w:val="A6A6A6"/>
                <w:sz w:val="18"/>
                <w:szCs w:val="18"/>
              </w:rPr>
              <w:t>25.9%</w:t>
            </w:r>
          </w:p>
        </w:tc>
        <w:tc>
          <w:tcPr>
            <w:tcW w:w="560" w:type="pct"/>
            <w:shd w:val="clear" w:color="auto" w:fill="auto"/>
            <w:noWrap/>
            <w:vAlign w:val="center"/>
          </w:tcPr>
          <w:p w14:paraId="1FCAF901" w14:textId="5D444ADA" w:rsidR="002E5B93" w:rsidRPr="0022586A" w:rsidRDefault="002E5B93" w:rsidP="002E5B93">
            <w:pPr>
              <w:spacing w:before="0" w:after="0" w:line="240" w:lineRule="auto"/>
              <w:jc w:val="center"/>
              <w:rPr>
                <w:color w:val="A5A6AC" w:themeColor="accent3" w:themeTint="99"/>
                <w:sz w:val="18"/>
                <w:szCs w:val="18"/>
              </w:rPr>
            </w:pPr>
            <w:r>
              <w:rPr>
                <w:rFonts w:ascii="GHEA Grapalat" w:hAnsi="GHEA Grapalat" w:cs="Calibri"/>
                <w:color w:val="A6A6A6"/>
                <w:sz w:val="18"/>
                <w:szCs w:val="18"/>
              </w:rPr>
              <w:t>25.9%</w:t>
            </w:r>
          </w:p>
        </w:tc>
      </w:tr>
      <w:tr w:rsidR="002E5B93" w:rsidRPr="0022586A" w14:paraId="2A06D741" w14:textId="77777777" w:rsidTr="00A506F2">
        <w:trPr>
          <w:trHeight w:val="360"/>
        </w:trPr>
        <w:tc>
          <w:tcPr>
            <w:tcW w:w="1206" w:type="pct"/>
            <w:shd w:val="clear" w:color="auto" w:fill="auto"/>
            <w:vAlign w:val="center"/>
            <w:hideMark/>
          </w:tcPr>
          <w:p w14:paraId="72B58C6F" w14:textId="77777777" w:rsidR="002E5B93" w:rsidRPr="0022586A" w:rsidRDefault="002E5B93" w:rsidP="002E5B93">
            <w:pPr>
              <w:spacing w:before="0" w:after="0" w:line="240" w:lineRule="auto"/>
              <w:rPr>
                <w:sz w:val="18"/>
                <w:szCs w:val="18"/>
              </w:rPr>
            </w:pPr>
            <w:r w:rsidRPr="0022586A">
              <w:rPr>
                <w:sz w:val="18"/>
                <w:szCs w:val="18"/>
              </w:rPr>
              <w:t>Ներքին եկամուտներ</w:t>
            </w:r>
          </w:p>
        </w:tc>
        <w:tc>
          <w:tcPr>
            <w:tcW w:w="544" w:type="pct"/>
            <w:shd w:val="clear" w:color="auto" w:fill="auto"/>
            <w:noWrap/>
            <w:vAlign w:val="center"/>
          </w:tcPr>
          <w:p w14:paraId="39D96547" w14:textId="59C347DD" w:rsidR="002E5B93" w:rsidRPr="0022586A" w:rsidRDefault="002E5B93" w:rsidP="002E5B93">
            <w:pPr>
              <w:spacing w:before="0" w:after="0" w:line="240" w:lineRule="auto"/>
              <w:jc w:val="center"/>
              <w:rPr>
                <w:sz w:val="18"/>
                <w:szCs w:val="18"/>
              </w:rPr>
            </w:pPr>
            <w:r>
              <w:rPr>
                <w:rFonts w:ascii="GHEA Grapalat" w:hAnsi="GHEA Grapalat" w:cs="Calibri"/>
                <w:color w:val="404040"/>
                <w:sz w:val="18"/>
                <w:szCs w:val="18"/>
              </w:rPr>
              <w:t>2</w:t>
            </w:r>
            <w:r>
              <w:rPr>
                <w:rFonts w:ascii="GHEA Grapalat" w:hAnsi="GHEA Grapalat" w:cs="Calibri"/>
                <w:color w:val="404040"/>
                <w:sz w:val="18"/>
                <w:szCs w:val="18"/>
                <w:lang w:val="ru-RU"/>
              </w:rPr>
              <w:t>,</w:t>
            </w:r>
            <w:r>
              <w:rPr>
                <w:rFonts w:ascii="GHEA Grapalat" w:hAnsi="GHEA Grapalat" w:cs="Calibri"/>
                <w:color w:val="404040"/>
                <w:sz w:val="18"/>
                <w:szCs w:val="18"/>
              </w:rPr>
              <w:t>084.6</w:t>
            </w:r>
          </w:p>
        </w:tc>
        <w:tc>
          <w:tcPr>
            <w:tcW w:w="516" w:type="pct"/>
            <w:shd w:val="clear" w:color="auto" w:fill="auto"/>
            <w:noWrap/>
            <w:vAlign w:val="center"/>
          </w:tcPr>
          <w:p w14:paraId="640F1E72" w14:textId="1E3C7E09" w:rsidR="002E5B93" w:rsidRPr="0022586A" w:rsidRDefault="002E5B93" w:rsidP="002E5B93">
            <w:pPr>
              <w:spacing w:before="0" w:after="0" w:line="240" w:lineRule="auto"/>
              <w:jc w:val="center"/>
              <w:rPr>
                <w:sz w:val="18"/>
                <w:szCs w:val="18"/>
              </w:rPr>
            </w:pPr>
            <w:r>
              <w:rPr>
                <w:rFonts w:ascii="GHEA Grapalat" w:hAnsi="GHEA Grapalat" w:cs="Calibri"/>
                <w:color w:val="404040"/>
                <w:sz w:val="18"/>
                <w:szCs w:val="18"/>
              </w:rPr>
              <w:t>2</w:t>
            </w:r>
            <w:r>
              <w:rPr>
                <w:rFonts w:ascii="GHEA Grapalat" w:hAnsi="GHEA Grapalat" w:cs="Calibri"/>
                <w:color w:val="404040"/>
                <w:sz w:val="18"/>
                <w:szCs w:val="18"/>
                <w:lang w:val="ru-RU"/>
              </w:rPr>
              <w:t>,</w:t>
            </w:r>
            <w:r>
              <w:rPr>
                <w:rFonts w:ascii="GHEA Grapalat" w:hAnsi="GHEA Grapalat" w:cs="Calibri"/>
                <w:color w:val="404040"/>
                <w:sz w:val="18"/>
                <w:szCs w:val="18"/>
              </w:rPr>
              <w:t>397.6</w:t>
            </w:r>
          </w:p>
        </w:tc>
        <w:tc>
          <w:tcPr>
            <w:tcW w:w="511" w:type="pct"/>
            <w:shd w:val="clear" w:color="auto" w:fill="auto"/>
            <w:noWrap/>
            <w:vAlign w:val="center"/>
          </w:tcPr>
          <w:p w14:paraId="330FEA75" w14:textId="1CD70E12" w:rsidR="002E5B93" w:rsidRPr="0022586A" w:rsidRDefault="002E5B93" w:rsidP="002E5B93">
            <w:pPr>
              <w:spacing w:before="0" w:after="0" w:line="240" w:lineRule="auto"/>
              <w:jc w:val="center"/>
              <w:rPr>
                <w:sz w:val="18"/>
                <w:szCs w:val="18"/>
              </w:rPr>
            </w:pPr>
            <w:r>
              <w:rPr>
                <w:rFonts w:ascii="GHEA Grapalat" w:hAnsi="GHEA Grapalat" w:cs="Calibri"/>
                <w:color w:val="404040"/>
                <w:sz w:val="18"/>
                <w:szCs w:val="18"/>
              </w:rPr>
              <w:t>2</w:t>
            </w:r>
            <w:r>
              <w:rPr>
                <w:rFonts w:ascii="GHEA Grapalat" w:hAnsi="GHEA Grapalat" w:cs="Calibri"/>
                <w:color w:val="404040"/>
                <w:sz w:val="18"/>
                <w:szCs w:val="18"/>
                <w:lang w:val="hy-AM"/>
              </w:rPr>
              <w:t>,</w:t>
            </w:r>
            <w:r>
              <w:rPr>
                <w:rFonts w:ascii="GHEA Grapalat" w:hAnsi="GHEA Grapalat" w:cs="Calibri"/>
                <w:color w:val="404040"/>
                <w:sz w:val="18"/>
                <w:szCs w:val="18"/>
              </w:rPr>
              <w:t>552.5</w:t>
            </w:r>
          </w:p>
        </w:tc>
        <w:tc>
          <w:tcPr>
            <w:tcW w:w="539" w:type="pct"/>
            <w:shd w:val="clear" w:color="auto" w:fill="auto"/>
            <w:noWrap/>
            <w:vAlign w:val="center"/>
          </w:tcPr>
          <w:p w14:paraId="04A26BB1" w14:textId="7D1D0187" w:rsidR="002E5B93" w:rsidRPr="0022586A" w:rsidRDefault="002E5B93" w:rsidP="002E5B93">
            <w:pPr>
              <w:spacing w:before="0" w:after="0" w:line="240" w:lineRule="auto"/>
              <w:jc w:val="center"/>
              <w:rPr>
                <w:sz w:val="18"/>
                <w:szCs w:val="18"/>
              </w:rPr>
            </w:pPr>
            <w:r>
              <w:rPr>
                <w:rFonts w:ascii="GHEA Grapalat" w:hAnsi="GHEA Grapalat" w:cs="Calibri"/>
                <w:color w:val="404040"/>
                <w:sz w:val="18"/>
                <w:szCs w:val="18"/>
              </w:rPr>
              <w:t>2</w:t>
            </w:r>
            <w:r>
              <w:rPr>
                <w:rFonts w:ascii="GHEA Grapalat" w:hAnsi="GHEA Grapalat" w:cs="Calibri"/>
                <w:color w:val="404040"/>
                <w:sz w:val="18"/>
                <w:szCs w:val="18"/>
                <w:lang w:val="hy-AM"/>
              </w:rPr>
              <w:t>,</w:t>
            </w:r>
            <w:r>
              <w:rPr>
                <w:rFonts w:ascii="GHEA Grapalat" w:hAnsi="GHEA Grapalat" w:cs="Calibri"/>
                <w:color w:val="404040"/>
                <w:sz w:val="18"/>
                <w:szCs w:val="18"/>
              </w:rPr>
              <w:t>816.9</w:t>
            </w:r>
          </w:p>
        </w:tc>
        <w:tc>
          <w:tcPr>
            <w:tcW w:w="562" w:type="pct"/>
            <w:vAlign w:val="center"/>
          </w:tcPr>
          <w:p w14:paraId="754D5633" w14:textId="1C809D4D" w:rsidR="002E5B93" w:rsidRDefault="002E5B93" w:rsidP="002E5B93">
            <w:pPr>
              <w:spacing w:before="0" w:after="0" w:line="240" w:lineRule="auto"/>
              <w:jc w:val="center"/>
              <w:rPr>
                <w:rFonts w:ascii="GHEA Grapalat" w:hAnsi="GHEA Grapalat" w:cs="Calibri"/>
                <w:color w:val="404040"/>
                <w:sz w:val="18"/>
                <w:szCs w:val="18"/>
              </w:rPr>
            </w:pPr>
            <w:r>
              <w:rPr>
                <w:rFonts w:ascii="GHEA Grapalat" w:hAnsi="GHEA Grapalat" w:cs="Calibri"/>
                <w:color w:val="404040"/>
                <w:sz w:val="18"/>
                <w:szCs w:val="18"/>
              </w:rPr>
              <w:t xml:space="preserve">3,071.1 </w:t>
            </w:r>
          </w:p>
        </w:tc>
        <w:tc>
          <w:tcPr>
            <w:tcW w:w="562" w:type="pct"/>
            <w:vAlign w:val="center"/>
          </w:tcPr>
          <w:p w14:paraId="354798E7" w14:textId="03827F97" w:rsidR="002E5B93" w:rsidRDefault="002E5B93" w:rsidP="002E5B93">
            <w:pPr>
              <w:spacing w:before="0" w:after="0" w:line="240" w:lineRule="auto"/>
              <w:jc w:val="center"/>
              <w:rPr>
                <w:rFonts w:ascii="GHEA Grapalat" w:hAnsi="GHEA Grapalat" w:cs="Calibri"/>
                <w:color w:val="404040"/>
                <w:sz w:val="18"/>
                <w:szCs w:val="18"/>
              </w:rPr>
            </w:pPr>
            <w:r>
              <w:rPr>
                <w:rFonts w:ascii="GHEA Grapalat" w:hAnsi="GHEA Grapalat" w:cs="Calibri"/>
                <w:color w:val="404040"/>
                <w:sz w:val="18"/>
                <w:szCs w:val="18"/>
              </w:rPr>
              <w:t xml:space="preserve">3,345.3 </w:t>
            </w:r>
          </w:p>
        </w:tc>
        <w:tc>
          <w:tcPr>
            <w:tcW w:w="560" w:type="pct"/>
            <w:shd w:val="clear" w:color="auto" w:fill="auto"/>
            <w:noWrap/>
            <w:vAlign w:val="center"/>
          </w:tcPr>
          <w:p w14:paraId="660A08F7" w14:textId="12126D5C" w:rsidR="002E5B93" w:rsidRPr="0022586A" w:rsidRDefault="002E5B93" w:rsidP="002E5B93">
            <w:pPr>
              <w:spacing w:before="0" w:after="0" w:line="240" w:lineRule="auto"/>
              <w:jc w:val="center"/>
              <w:rPr>
                <w:sz w:val="18"/>
                <w:szCs w:val="18"/>
              </w:rPr>
            </w:pPr>
            <w:r>
              <w:rPr>
                <w:rFonts w:ascii="GHEA Grapalat" w:hAnsi="GHEA Grapalat" w:cs="Calibri"/>
                <w:color w:val="404040"/>
                <w:sz w:val="18"/>
                <w:szCs w:val="18"/>
              </w:rPr>
              <w:t xml:space="preserve">3,634.5 </w:t>
            </w:r>
          </w:p>
        </w:tc>
      </w:tr>
      <w:tr w:rsidR="002E5B93" w:rsidRPr="0022586A" w14:paraId="40EF99FA" w14:textId="77777777" w:rsidTr="00A506F2">
        <w:trPr>
          <w:trHeight w:val="360"/>
        </w:trPr>
        <w:tc>
          <w:tcPr>
            <w:tcW w:w="1206" w:type="pct"/>
            <w:shd w:val="clear" w:color="auto" w:fill="auto"/>
            <w:vAlign w:val="center"/>
            <w:hideMark/>
          </w:tcPr>
          <w:p w14:paraId="637CA530" w14:textId="77777777" w:rsidR="002E5B93" w:rsidRPr="0022586A" w:rsidRDefault="002E5B93" w:rsidP="002E5B93">
            <w:pPr>
              <w:spacing w:before="0" w:after="0" w:line="240" w:lineRule="auto"/>
              <w:rPr>
                <w:color w:val="A5A6AC" w:themeColor="accent3" w:themeTint="99"/>
                <w:sz w:val="18"/>
                <w:szCs w:val="18"/>
              </w:rPr>
            </w:pPr>
            <w:r w:rsidRPr="0022586A">
              <w:rPr>
                <w:color w:val="A5A6AC" w:themeColor="accent3" w:themeTint="99"/>
                <w:sz w:val="18"/>
                <w:szCs w:val="18"/>
              </w:rPr>
              <w:t>ՀՆԱ-ի նկատմամբ (%)</w:t>
            </w:r>
          </w:p>
        </w:tc>
        <w:tc>
          <w:tcPr>
            <w:tcW w:w="544" w:type="pct"/>
            <w:shd w:val="clear" w:color="auto" w:fill="auto"/>
            <w:noWrap/>
            <w:vAlign w:val="center"/>
          </w:tcPr>
          <w:p w14:paraId="3FDA14B4" w14:textId="6FF542F6" w:rsidR="002E5B93" w:rsidRPr="0022586A" w:rsidRDefault="002E5B93" w:rsidP="002E5B93">
            <w:pPr>
              <w:spacing w:before="0" w:after="0" w:line="240" w:lineRule="auto"/>
              <w:jc w:val="center"/>
              <w:rPr>
                <w:color w:val="A5A6AC" w:themeColor="accent3" w:themeTint="99"/>
                <w:sz w:val="18"/>
                <w:szCs w:val="18"/>
              </w:rPr>
            </w:pPr>
            <w:r>
              <w:rPr>
                <w:rFonts w:ascii="GHEA Grapalat" w:hAnsi="GHEA Grapalat" w:cs="Calibri"/>
                <w:color w:val="A6A6A6"/>
                <w:sz w:val="18"/>
                <w:szCs w:val="18"/>
              </w:rPr>
              <w:t>24.5%</w:t>
            </w:r>
          </w:p>
        </w:tc>
        <w:tc>
          <w:tcPr>
            <w:tcW w:w="516" w:type="pct"/>
            <w:shd w:val="clear" w:color="auto" w:fill="auto"/>
            <w:noWrap/>
            <w:vAlign w:val="center"/>
          </w:tcPr>
          <w:p w14:paraId="2C59174E" w14:textId="1916DC46" w:rsidR="002E5B93" w:rsidRPr="0022586A" w:rsidRDefault="002E5B93" w:rsidP="002E5B93">
            <w:pPr>
              <w:spacing w:before="0" w:after="0" w:line="240" w:lineRule="auto"/>
              <w:jc w:val="center"/>
              <w:rPr>
                <w:color w:val="A5A6AC" w:themeColor="accent3" w:themeTint="99"/>
                <w:sz w:val="18"/>
                <w:szCs w:val="18"/>
              </w:rPr>
            </w:pPr>
            <w:r>
              <w:rPr>
                <w:rFonts w:ascii="GHEA Grapalat" w:hAnsi="GHEA Grapalat" w:cs="Calibri"/>
                <w:color w:val="A6A6A6"/>
                <w:sz w:val="18"/>
                <w:szCs w:val="18"/>
              </w:rPr>
              <w:t>25.3%</w:t>
            </w:r>
          </w:p>
        </w:tc>
        <w:tc>
          <w:tcPr>
            <w:tcW w:w="511" w:type="pct"/>
            <w:shd w:val="clear" w:color="auto" w:fill="auto"/>
            <w:noWrap/>
            <w:vAlign w:val="center"/>
          </w:tcPr>
          <w:p w14:paraId="70DFE3F9" w14:textId="7FBF46E6" w:rsidR="002E5B93" w:rsidRPr="0022586A" w:rsidRDefault="002E5B93" w:rsidP="002E5B93">
            <w:pPr>
              <w:spacing w:before="0" w:after="0" w:line="240" w:lineRule="auto"/>
              <w:jc w:val="center"/>
              <w:rPr>
                <w:color w:val="A5A6AC" w:themeColor="accent3" w:themeTint="99"/>
                <w:sz w:val="18"/>
                <w:szCs w:val="18"/>
              </w:rPr>
            </w:pPr>
            <w:r>
              <w:rPr>
                <w:rFonts w:ascii="GHEA Grapalat" w:hAnsi="GHEA Grapalat" w:cs="Calibri"/>
                <w:color w:val="A6A6A6"/>
                <w:sz w:val="18"/>
                <w:szCs w:val="18"/>
              </w:rPr>
              <w:t>25.0%</w:t>
            </w:r>
          </w:p>
        </w:tc>
        <w:tc>
          <w:tcPr>
            <w:tcW w:w="539" w:type="pct"/>
            <w:shd w:val="clear" w:color="auto" w:fill="auto"/>
            <w:noWrap/>
            <w:vAlign w:val="center"/>
          </w:tcPr>
          <w:p w14:paraId="5839C316" w14:textId="680FF3D7" w:rsidR="002E5B93" w:rsidRPr="0022586A" w:rsidRDefault="002E5B93" w:rsidP="002E5B93">
            <w:pPr>
              <w:spacing w:before="0" w:after="0" w:line="240" w:lineRule="auto"/>
              <w:jc w:val="center"/>
              <w:rPr>
                <w:color w:val="A5A6AC" w:themeColor="accent3" w:themeTint="99"/>
                <w:sz w:val="18"/>
                <w:szCs w:val="18"/>
              </w:rPr>
            </w:pPr>
            <w:r>
              <w:rPr>
                <w:rFonts w:ascii="GHEA Grapalat" w:hAnsi="GHEA Grapalat" w:cs="Calibri"/>
                <w:color w:val="A6A6A6"/>
                <w:sz w:val="18"/>
                <w:szCs w:val="18"/>
              </w:rPr>
              <w:t>25.9%</w:t>
            </w:r>
          </w:p>
        </w:tc>
        <w:tc>
          <w:tcPr>
            <w:tcW w:w="562" w:type="pct"/>
            <w:vAlign w:val="center"/>
          </w:tcPr>
          <w:p w14:paraId="5EEEE967" w14:textId="036E4478" w:rsidR="002E5B93" w:rsidRDefault="002E5B93" w:rsidP="002E5B93">
            <w:pPr>
              <w:spacing w:before="0" w:after="0" w:line="240" w:lineRule="auto"/>
              <w:jc w:val="center"/>
              <w:rPr>
                <w:rFonts w:ascii="GHEA Grapalat" w:hAnsi="GHEA Grapalat" w:cs="Calibri"/>
                <w:color w:val="A6A6A6"/>
                <w:sz w:val="18"/>
                <w:szCs w:val="18"/>
              </w:rPr>
            </w:pPr>
            <w:r>
              <w:rPr>
                <w:rFonts w:ascii="GHEA Grapalat" w:hAnsi="GHEA Grapalat" w:cs="Calibri"/>
                <w:color w:val="A6A6A6"/>
                <w:sz w:val="18"/>
                <w:szCs w:val="18"/>
              </w:rPr>
              <w:t>25.7%</w:t>
            </w:r>
          </w:p>
        </w:tc>
        <w:tc>
          <w:tcPr>
            <w:tcW w:w="562" w:type="pct"/>
            <w:vAlign w:val="center"/>
          </w:tcPr>
          <w:p w14:paraId="2018D04C" w14:textId="56C8D44D" w:rsidR="002E5B93" w:rsidRDefault="002E5B93" w:rsidP="002E5B93">
            <w:pPr>
              <w:spacing w:before="0" w:after="0" w:line="240" w:lineRule="auto"/>
              <w:jc w:val="center"/>
              <w:rPr>
                <w:rFonts w:ascii="GHEA Grapalat" w:hAnsi="GHEA Grapalat" w:cs="Calibri"/>
                <w:color w:val="A6A6A6"/>
                <w:sz w:val="18"/>
                <w:szCs w:val="18"/>
              </w:rPr>
            </w:pPr>
            <w:r>
              <w:rPr>
                <w:rFonts w:ascii="GHEA Grapalat" w:hAnsi="GHEA Grapalat" w:cs="Calibri"/>
                <w:color w:val="A6A6A6"/>
                <w:sz w:val="18"/>
                <w:szCs w:val="18"/>
              </w:rPr>
              <w:t>25.8%</w:t>
            </w:r>
          </w:p>
        </w:tc>
        <w:tc>
          <w:tcPr>
            <w:tcW w:w="560" w:type="pct"/>
            <w:shd w:val="clear" w:color="auto" w:fill="auto"/>
            <w:noWrap/>
            <w:vAlign w:val="center"/>
          </w:tcPr>
          <w:p w14:paraId="3AFE181B" w14:textId="24EF739E" w:rsidR="002E5B93" w:rsidRPr="0022586A" w:rsidRDefault="002E5B93" w:rsidP="002E5B93">
            <w:pPr>
              <w:spacing w:before="0" w:after="0" w:line="240" w:lineRule="auto"/>
              <w:jc w:val="center"/>
              <w:rPr>
                <w:color w:val="A5A6AC" w:themeColor="accent3" w:themeTint="99"/>
                <w:sz w:val="18"/>
                <w:szCs w:val="18"/>
              </w:rPr>
            </w:pPr>
            <w:r>
              <w:rPr>
                <w:rFonts w:ascii="GHEA Grapalat" w:hAnsi="GHEA Grapalat" w:cs="Calibri"/>
                <w:color w:val="A6A6A6"/>
                <w:sz w:val="18"/>
                <w:szCs w:val="18"/>
              </w:rPr>
              <w:t>25.9%</w:t>
            </w:r>
          </w:p>
        </w:tc>
      </w:tr>
      <w:tr w:rsidR="002E5B93" w:rsidRPr="0022586A" w14:paraId="2D8A8CFF" w14:textId="77777777" w:rsidTr="00A506F2">
        <w:trPr>
          <w:trHeight w:val="360"/>
        </w:trPr>
        <w:tc>
          <w:tcPr>
            <w:tcW w:w="1206" w:type="pct"/>
            <w:shd w:val="clear" w:color="auto" w:fill="auto"/>
            <w:vAlign w:val="center"/>
            <w:hideMark/>
          </w:tcPr>
          <w:p w14:paraId="42F2E150" w14:textId="77777777" w:rsidR="002E5B93" w:rsidRPr="0022586A" w:rsidRDefault="002E5B93" w:rsidP="002E5B93">
            <w:pPr>
              <w:spacing w:before="0" w:after="0" w:line="240" w:lineRule="auto"/>
              <w:rPr>
                <w:color w:val="A5A6AC" w:themeColor="accent3" w:themeTint="99"/>
                <w:sz w:val="18"/>
                <w:szCs w:val="18"/>
              </w:rPr>
            </w:pPr>
            <w:r w:rsidRPr="0022586A">
              <w:rPr>
                <w:color w:val="A5A6AC" w:themeColor="accent3" w:themeTint="99"/>
                <w:sz w:val="18"/>
                <w:szCs w:val="18"/>
              </w:rPr>
              <w:t>Ընդհանուրի նկատմամբ (%)</w:t>
            </w:r>
          </w:p>
        </w:tc>
        <w:tc>
          <w:tcPr>
            <w:tcW w:w="544" w:type="pct"/>
            <w:shd w:val="clear" w:color="auto" w:fill="auto"/>
            <w:noWrap/>
            <w:vAlign w:val="center"/>
          </w:tcPr>
          <w:p w14:paraId="7ABA9D90" w14:textId="1C42D4A3" w:rsidR="002E5B93" w:rsidRPr="0022586A" w:rsidRDefault="002E5B93" w:rsidP="002E5B93">
            <w:pPr>
              <w:spacing w:before="0" w:after="0" w:line="240" w:lineRule="auto"/>
              <w:jc w:val="center"/>
              <w:rPr>
                <w:color w:val="A5A6AC" w:themeColor="accent3" w:themeTint="99"/>
                <w:sz w:val="18"/>
                <w:szCs w:val="18"/>
              </w:rPr>
            </w:pPr>
            <w:r>
              <w:rPr>
                <w:rFonts w:ascii="GHEA Grapalat" w:hAnsi="GHEA Grapalat" w:cs="Calibri"/>
                <w:color w:val="A6A6A6"/>
                <w:sz w:val="18"/>
                <w:szCs w:val="18"/>
              </w:rPr>
              <w:t>99.3%</w:t>
            </w:r>
          </w:p>
        </w:tc>
        <w:tc>
          <w:tcPr>
            <w:tcW w:w="516" w:type="pct"/>
            <w:shd w:val="clear" w:color="auto" w:fill="auto"/>
            <w:noWrap/>
            <w:vAlign w:val="center"/>
          </w:tcPr>
          <w:p w14:paraId="643BA5E8" w14:textId="2CF05105" w:rsidR="002E5B93" w:rsidRPr="0022586A" w:rsidRDefault="002E5B93" w:rsidP="002E5B93">
            <w:pPr>
              <w:spacing w:before="0" w:after="0" w:line="240" w:lineRule="auto"/>
              <w:jc w:val="center"/>
              <w:rPr>
                <w:color w:val="A5A6AC" w:themeColor="accent3" w:themeTint="99"/>
                <w:sz w:val="18"/>
                <w:szCs w:val="18"/>
              </w:rPr>
            </w:pPr>
            <w:r>
              <w:rPr>
                <w:rFonts w:ascii="GHEA Grapalat" w:hAnsi="GHEA Grapalat" w:cs="Calibri"/>
                <w:color w:val="A6A6A6"/>
                <w:sz w:val="18"/>
                <w:szCs w:val="18"/>
              </w:rPr>
              <w:t>99.5%</w:t>
            </w:r>
          </w:p>
        </w:tc>
        <w:tc>
          <w:tcPr>
            <w:tcW w:w="511" w:type="pct"/>
            <w:shd w:val="clear" w:color="auto" w:fill="auto"/>
            <w:noWrap/>
            <w:vAlign w:val="center"/>
          </w:tcPr>
          <w:p w14:paraId="5F589437" w14:textId="482E9E73" w:rsidR="002E5B93" w:rsidRPr="0022586A" w:rsidRDefault="002E5B93" w:rsidP="002E5B93">
            <w:pPr>
              <w:spacing w:before="0" w:after="0" w:line="240" w:lineRule="auto"/>
              <w:jc w:val="center"/>
              <w:rPr>
                <w:color w:val="A5A6AC" w:themeColor="accent3" w:themeTint="99"/>
                <w:sz w:val="18"/>
                <w:szCs w:val="18"/>
              </w:rPr>
            </w:pPr>
            <w:r>
              <w:rPr>
                <w:rFonts w:ascii="GHEA Grapalat" w:hAnsi="GHEA Grapalat"/>
                <w:color w:val="A6A6A6"/>
                <w:sz w:val="18"/>
                <w:szCs w:val="18"/>
              </w:rPr>
              <w:t>99.0%</w:t>
            </w:r>
          </w:p>
        </w:tc>
        <w:tc>
          <w:tcPr>
            <w:tcW w:w="539" w:type="pct"/>
            <w:shd w:val="clear" w:color="auto" w:fill="auto"/>
            <w:noWrap/>
            <w:vAlign w:val="center"/>
          </w:tcPr>
          <w:p w14:paraId="643AE123" w14:textId="6869EBCC" w:rsidR="002E5B93" w:rsidRPr="0022586A" w:rsidRDefault="002E5B93" w:rsidP="002E5B93">
            <w:pPr>
              <w:spacing w:before="0" w:after="0" w:line="240" w:lineRule="auto"/>
              <w:jc w:val="center"/>
              <w:rPr>
                <w:color w:val="A5A6AC" w:themeColor="accent3" w:themeTint="99"/>
                <w:sz w:val="18"/>
                <w:szCs w:val="18"/>
              </w:rPr>
            </w:pPr>
            <w:r>
              <w:rPr>
                <w:rFonts w:ascii="GHEA Grapalat" w:hAnsi="GHEA Grapalat"/>
                <w:color w:val="A6A6A6"/>
                <w:sz w:val="18"/>
                <w:szCs w:val="18"/>
              </w:rPr>
              <w:t>99.3%</w:t>
            </w:r>
          </w:p>
        </w:tc>
        <w:tc>
          <w:tcPr>
            <w:tcW w:w="562" w:type="pct"/>
            <w:vAlign w:val="center"/>
          </w:tcPr>
          <w:p w14:paraId="6B7F381E" w14:textId="751CF08F" w:rsidR="002E5B93" w:rsidRDefault="002E5B93" w:rsidP="002E5B93">
            <w:pPr>
              <w:spacing w:before="0" w:after="0" w:line="240" w:lineRule="auto"/>
              <w:jc w:val="center"/>
              <w:rPr>
                <w:rFonts w:ascii="GHEA Grapalat" w:hAnsi="GHEA Grapalat"/>
                <w:color w:val="A6A6A6"/>
                <w:sz w:val="18"/>
                <w:szCs w:val="18"/>
              </w:rPr>
            </w:pPr>
            <w:r>
              <w:rPr>
                <w:rFonts w:ascii="GHEA Grapalat" w:hAnsi="GHEA Grapalat" w:cs="Calibri"/>
                <w:color w:val="A6A6A6"/>
                <w:sz w:val="18"/>
                <w:szCs w:val="18"/>
              </w:rPr>
              <w:t>99.4%</w:t>
            </w:r>
          </w:p>
        </w:tc>
        <w:tc>
          <w:tcPr>
            <w:tcW w:w="562" w:type="pct"/>
            <w:vAlign w:val="center"/>
          </w:tcPr>
          <w:p w14:paraId="3CF7D523" w14:textId="70EB7147" w:rsidR="002E5B93" w:rsidRDefault="002E5B93" w:rsidP="002E5B93">
            <w:pPr>
              <w:spacing w:before="0" w:after="0" w:line="240" w:lineRule="auto"/>
              <w:jc w:val="center"/>
              <w:rPr>
                <w:rFonts w:ascii="GHEA Grapalat" w:hAnsi="GHEA Grapalat"/>
                <w:color w:val="A6A6A6"/>
                <w:sz w:val="18"/>
                <w:szCs w:val="18"/>
              </w:rPr>
            </w:pPr>
            <w:r>
              <w:rPr>
                <w:rFonts w:ascii="GHEA Grapalat" w:hAnsi="GHEA Grapalat" w:cs="Calibri"/>
                <w:color w:val="A6A6A6"/>
                <w:sz w:val="18"/>
                <w:szCs w:val="18"/>
              </w:rPr>
              <w:t>99.8%</w:t>
            </w:r>
          </w:p>
        </w:tc>
        <w:tc>
          <w:tcPr>
            <w:tcW w:w="560" w:type="pct"/>
            <w:shd w:val="clear" w:color="auto" w:fill="auto"/>
            <w:noWrap/>
            <w:vAlign w:val="center"/>
          </w:tcPr>
          <w:p w14:paraId="41DBEFC7" w14:textId="3E9D3FE3" w:rsidR="002E5B93" w:rsidRPr="0022586A" w:rsidRDefault="002E5B93" w:rsidP="002E5B93">
            <w:pPr>
              <w:spacing w:before="0" w:after="0" w:line="240" w:lineRule="auto"/>
              <w:jc w:val="center"/>
              <w:rPr>
                <w:color w:val="A5A6AC" w:themeColor="accent3" w:themeTint="99"/>
                <w:sz w:val="18"/>
                <w:szCs w:val="18"/>
              </w:rPr>
            </w:pPr>
            <w:r>
              <w:rPr>
                <w:rFonts w:ascii="GHEA Grapalat" w:hAnsi="GHEA Grapalat" w:cs="Calibri"/>
                <w:color w:val="A6A6A6"/>
                <w:sz w:val="18"/>
                <w:szCs w:val="18"/>
              </w:rPr>
              <w:t>99.9%</w:t>
            </w:r>
          </w:p>
        </w:tc>
      </w:tr>
      <w:tr w:rsidR="002E5B93" w:rsidRPr="0022586A" w14:paraId="14DEEFD8" w14:textId="77777777" w:rsidTr="00A506F2">
        <w:trPr>
          <w:trHeight w:val="360"/>
        </w:trPr>
        <w:tc>
          <w:tcPr>
            <w:tcW w:w="1206" w:type="pct"/>
            <w:shd w:val="clear" w:color="auto" w:fill="auto"/>
            <w:vAlign w:val="center"/>
            <w:hideMark/>
          </w:tcPr>
          <w:p w14:paraId="374FD519" w14:textId="77777777" w:rsidR="002E5B93" w:rsidRPr="0022586A" w:rsidRDefault="002E5B93" w:rsidP="002E5B93">
            <w:pPr>
              <w:spacing w:before="0" w:after="0" w:line="240" w:lineRule="auto"/>
              <w:rPr>
                <w:sz w:val="18"/>
                <w:szCs w:val="18"/>
              </w:rPr>
            </w:pPr>
            <w:r w:rsidRPr="0022586A">
              <w:rPr>
                <w:sz w:val="18"/>
                <w:szCs w:val="18"/>
              </w:rPr>
              <w:t>Հարկային եկամուտներ և պետական տուրքեր</w:t>
            </w:r>
          </w:p>
        </w:tc>
        <w:tc>
          <w:tcPr>
            <w:tcW w:w="544" w:type="pct"/>
            <w:shd w:val="clear" w:color="auto" w:fill="auto"/>
            <w:noWrap/>
            <w:vAlign w:val="center"/>
          </w:tcPr>
          <w:p w14:paraId="0CAEFE58" w14:textId="2984F7C9" w:rsidR="002E5B93" w:rsidRPr="0022586A" w:rsidRDefault="002E5B93" w:rsidP="002E5B93">
            <w:pPr>
              <w:spacing w:before="0" w:after="0" w:line="240" w:lineRule="auto"/>
              <w:jc w:val="center"/>
              <w:rPr>
                <w:sz w:val="18"/>
                <w:szCs w:val="18"/>
              </w:rPr>
            </w:pPr>
            <w:r>
              <w:rPr>
                <w:rFonts w:ascii="GHEA Grapalat" w:hAnsi="GHEA Grapalat" w:cs="Calibri"/>
                <w:color w:val="404040"/>
                <w:sz w:val="18"/>
                <w:szCs w:val="18"/>
              </w:rPr>
              <w:t>1</w:t>
            </w:r>
            <w:r>
              <w:rPr>
                <w:rFonts w:ascii="GHEA Grapalat" w:hAnsi="GHEA Grapalat" w:cs="Calibri"/>
                <w:color w:val="404040"/>
                <w:sz w:val="18"/>
                <w:szCs w:val="18"/>
                <w:lang w:val="ru-RU"/>
              </w:rPr>
              <w:t>,</w:t>
            </w:r>
            <w:r>
              <w:rPr>
                <w:rFonts w:ascii="GHEA Grapalat" w:hAnsi="GHEA Grapalat" w:cs="Calibri"/>
                <w:color w:val="404040"/>
                <w:sz w:val="18"/>
                <w:szCs w:val="18"/>
              </w:rPr>
              <w:t>962.5</w:t>
            </w:r>
          </w:p>
        </w:tc>
        <w:tc>
          <w:tcPr>
            <w:tcW w:w="516" w:type="pct"/>
            <w:shd w:val="clear" w:color="auto" w:fill="auto"/>
            <w:noWrap/>
            <w:vAlign w:val="center"/>
          </w:tcPr>
          <w:p w14:paraId="30603CC7" w14:textId="53C77124" w:rsidR="002E5B93" w:rsidRPr="009C5A88" w:rsidRDefault="002E5B93" w:rsidP="002E5B93">
            <w:pPr>
              <w:spacing w:before="0" w:after="0" w:line="240" w:lineRule="auto"/>
              <w:jc w:val="center"/>
              <w:rPr>
                <w:sz w:val="18"/>
                <w:szCs w:val="18"/>
                <w:lang w:val="hy-AM"/>
              </w:rPr>
            </w:pPr>
            <w:r>
              <w:rPr>
                <w:rFonts w:ascii="GHEA Grapalat" w:hAnsi="GHEA Grapalat" w:cs="Calibri"/>
                <w:color w:val="404040"/>
                <w:sz w:val="18"/>
                <w:szCs w:val="18"/>
              </w:rPr>
              <w:t>2</w:t>
            </w:r>
            <w:r>
              <w:rPr>
                <w:rFonts w:ascii="GHEA Grapalat" w:hAnsi="GHEA Grapalat" w:cs="Calibri"/>
                <w:color w:val="404040"/>
                <w:sz w:val="18"/>
                <w:szCs w:val="18"/>
                <w:lang w:val="ru-RU"/>
              </w:rPr>
              <w:t>,</w:t>
            </w:r>
            <w:r>
              <w:rPr>
                <w:rFonts w:ascii="GHEA Grapalat" w:hAnsi="GHEA Grapalat" w:cs="Calibri"/>
                <w:color w:val="404040"/>
                <w:sz w:val="18"/>
                <w:szCs w:val="18"/>
              </w:rPr>
              <w:t>273.9</w:t>
            </w:r>
          </w:p>
        </w:tc>
        <w:tc>
          <w:tcPr>
            <w:tcW w:w="511" w:type="pct"/>
            <w:shd w:val="clear" w:color="auto" w:fill="auto"/>
            <w:noWrap/>
            <w:vAlign w:val="center"/>
          </w:tcPr>
          <w:p w14:paraId="77086AB7" w14:textId="0DA6EC27" w:rsidR="002E5B93" w:rsidRPr="0022586A" w:rsidRDefault="002E5B93" w:rsidP="002E5B93">
            <w:pPr>
              <w:spacing w:before="0" w:after="0" w:line="240" w:lineRule="auto"/>
              <w:jc w:val="center"/>
              <w:rPr>
                <w:sz w:val="18"/>
                <w:szCs w:val="18"/>
              </w:rPr>
            </w:pPr>
            <w:r>
              <w:rPr>
                <w:rFonts w:ascii="GHEA Grapalat" w:hAnsi="GHEA Grapalat" w:cs="Calibri"/>
                <w:color w:val="404040"/>
                <w:sz w:val="18"/>
                <w:szCs w:val="18"/>
              </w:rPr>
              <w:t>2</w:t>
            </w:r>
            <w:r>
              <w:rPr>
                <w:rFonts w:ascii="GHEA Grapalat" w:hAnsi="GHEA Grapalat" w:cs="Calibri"/>
                <w:color w:val="404040"/>
                <w:sz w:val="18"/>
                <w:szCs w:val="18"/>
                <w:lang w:val="hy-AM"/>
              </w:rPr>
              <w:t>,</w:t>
            </w:r>
            <w:r>
              <w:rPr>
                <w:rFonts w:ascii="GHEA Grapalat" w:hAnsi="GHEA Grapalat" w:cs="Calibri"/>
                <w:color w:val="404040"/>
                <w:sz w:val="18"/>
                <w:szCs w:val="18"/>
              </w:rPr>
              <w:t>390.9</w:t>
            </w:r>
          </w:p>
        </w:tc>
        <w:tc>
          <w:tcPr>
            <w:tcW w:w="539" w:type="pct"/>
            <w:shd w:val="clear" w:color="auto" w:fill="auto"/>
            <w:noWrap/>
            <w:vAlign w:val="center"/>
          </w:tcPr>
          <w:p w14:paraId="18F2F92D" w14:textId="60642832" w:rsidR="002E5B93" w:rsidRPr="0022586A" w:rsidRDefault="002E5B93" w:rsidP="002E5B93">
            <w:pPr>
              <w:spacing w:before="0" w:after="0" w:line="240" w:lineRule="auto"/>
              <w:jc w:val="center"/>
              <w:rPr>
                <w:sz w:val="18"/>
                <w:szCs w:val="18"/>
              </w:rPr>
            </w:pPr>
            <w:r>
              <w:rPr>
                <w:rFonts w:ascii="GHEA Grapalat" w:hAnsi="GHEA Grapalat" w:cs="Calibri"/>
                <w:color w:val="404040"/>
                <w:sz w:val="18"/>
                <w:szCs w:val="18"/>
              </w:rPr>
              <w:t>2</w:t>
            </w:r>
            <w:r>
              <w:rPr>
                <w:rFonts w:ascii="GHEA Grapalat" w:hAnsi="GHEA Grapalat" w:cs="Calibri"/>
                <w:color w:val="404040"/>
                <w:sz w:val="18"/>
                <w:szCs w:val="18"/>
                <w:lang w:val="hy-AM"/>
              </w:rPr>
              <w:t>,</w:t>
            </w:r>
            <w:r>
              <w:rPr>
                <w:rFonts w:ascii="GHEA Grapalat" w:hAnsi="GHEA Grapalat" w:cs="Calibri"/>
                <w:color w:val="404040"/>
                <w:sz w:val="18"/>
                <w:szCs w:val="18"/>
              </w:rPr>
              <w:t>720.3</w:t>
            </w:r>
          </w:p>
        </w:tc>
        <w:tc>
          <w:tcPr>
            <w:tcW w:w="562" w:type="pct"/>
            <w:vAlign w:val="center"/>
          </w:tcPr>
          <w:p w14:paraId="232AC182" w14:textId="2E9A26B6" w:rsidR="002E5B93" w:rsidRDefault="002E5B93" w:rsidP="002E5B93">
            <w:pPr>
              <w:spacing w:before="0" w:after="0" w:line="240" w:lineRule="auto"/>
              <w:jc w:val="center"/>
              <w:rPr>
                <w:rFonts w:ascii="GHEA Grapalat" w:hAnsi="GHEA Grapalat" w:cs="Calibri"/>
                <w:color w:val="404040"/>
                <w:sz w:val="18"/>
                <w:szCs w:val="18"/>
              </w:rPr>
            </w:pPr>
            <w:r>
              <w:rPr>
                <w:rFonts w:ascii="GHEA Grapalat" w:hAnsi="GHEA Grapalat" w:cs="Calibri"/>
                <w:color w:val="404040"/>
                <w:sz w:val="18"/>
                <w:szCs w:val="18"/>
              </w:rPr>
              <w:t xml:space="preserve">2,972.9 </w:t>
            </w:r>
          </w:p>
        </w:tc>
        <w:tc>
          <w:tcPr>
            <w:tcW w:w="562" w:type="pct"/>
            <w:vAlign w:val="center"/>
          </w:tcPr>
          <w:p w14:paraId="60C8DD84" w14:textId="2C43C3E0" w:rsidR="002E5B93" w:rsidRDefault="002E5B93" w:rsidP="002E5B93">
            <w:pPr>
              <w:spacing w:before="0" w:after="0" w:line="240" w:lineRule="auto"/>
              <w:jc w:val="center"/>
              <w:rPr>
                <w:rFonts w:ascii="GHEA Grapalat" w:hAnsi="GHEA Grapalat" w:cs="Calibri"/>
                <w:color w:val="404040"/>
                <w:sz w:val="18"/>
                <w:szCs w:val="18"/>
              </w:rPr>
            </w:pPr>
            <w:r>
              <w:rPr>
                <w:rFonts w:ascii="GHEA Grapalat" w:hAnsi="GHEA Grapalat" w:cs="Calibri"/>
                <w:color w:val="404040"/>
                <w:sz w:val="18"/>
                <w:szCs w:val="18"/>
              </w:rPr>
              <w:t xml:space="preserve">3,244.9 </w:t>
            </w:r>
          </w:p>
        </w:tc>
        <w:tc>
          <w:tcPr>
            <w:tcW w:w="560" w:type="pct"/>
            <w:shd w:val="clear" w:color="auto" w:fill="auto"/>
            <w:noWrap/>
            <w:vAlign w:val="center"/>
          </w:tcPr>
          <w:p w14:paraId="3C4DEF37" w14:textId="22F0D5D0" w:rsidR="002E5B93" w:rsidRPr="0022586A" w:rsidRDefault="002E5B93" w:rsidP="002E5B93">
            <w:pPr>
              <w:spacing w:before="0" w:after="0" w:line="240" w:lineRule="auto"/>
              <w:jc w:val="center"/>
              <w:rPr>
                <w:sz w:val="18"/>
                <w:szCs w:val="18"/>
              </w:rPr>
            </w:pPr>
            <w:r>
              <w:rPr>
                <w:rFonts w:ascii="GHEA Grapalat" w:hAnsi="GHEA Grapalat" w:cs="Calibri"/>
                <w:color w:val="404040"/>
                <w:sz w:val="18"/>
                <w:szCs w:val="18"/>
              </w:rPr>
              <w:t xml:space="preserve">3,533.9 </w:t>
            </w:r>
          </w:p>
        </w:tc>
      </w:tr>
      <w:tr w:rsidR="002E5B93" w:rsidRPr="0022586A" w14:paraId="0E16D0B0" w14:textId="77777777" w:rsidTr="00A506F2">
        <w:trPr>
          <w:trHeight w:val="360"/>
        </w:trPr>
        <w:tc>
          <w:tcPr>
            <w:tcW w:w="1206" w:type="pct"/>
            <w:shd w:val="clear" w:color="auto" w:fill="auto"/>
            <w:vAlign w:val="center"/>
            <w:hideMark/>
          </w:tcPr>
          <w:p w14:paraId="47A3E34C" w14:textId="77777777" w:rsidR="002E5B93" w:rsidRPr="0022586A" w:rsidRDefault="002E5B93" w:rsidP="002E5B93">
            <w:pPr>
              <w:spacing w:before="0" w:after="0" w:line="240" w:lineRule="auto"/>
              <w:rPr>
                <w:color w:val="A5A6AC" w:themeColor="accent3" w:themeTint="99"/>
                <w:sz w:val="18"/>
                <w:szCs w:val="18"/>
              </w:rPr>
            </w:pPr>
            <w:r w:rsidRPr="0022586A">
              <w:rPr>
                <w:color w:val="A5A6AC" w:themeColor="accent3" w:themeTint="99"/>
                <w:sz w:val="18"/>
                <w:szCs w:val="18"/>
              </w:rPr>
              <w:t xml:space="preserve">ՀՆԱ-ի նկատմամբ (%) </w:t>
            </w:r>
          </w:p>
        </w:tc>
        <w:tc>
          <w:tcPr>
            <w:tcW w:w="544" w:type="pct"/>
            <w:shd w:val="clear" w:color="auto" w:fill="auto"/>
            <w:noWrap/>
            <w:vAlign w:val="center"/>
          </w:tcPr>
          <w:p w14:paraId="7553AC6E" w14:textId="281676ED" w:rsidR="002E5B93" w:rsidRPr="0022586A" w:rsidRDefault="002E5B93" w:rsidP="002E5B93">
            <w:pPr>
              <w:spacing w:before="0" w:after="0" w:line="240" w:lineRule="auto"/>
              <w:jc w:val="center"/>
              <w:rPr>
                <w:color w:val="A5A6AC" w:themeColor="accent3" w:themeTint="99"/>
                <w:sz w:val="18"/>
                <w:szCs w:val="18"/>
              </w:rPr>
            </w:pPr>
            <w:r>
              <w:rPr>
                <w:rFonts w:ascii="GHEA Grapalat" w:hAnsi="GHEA Grapalat" w:cs="Calibri"/>
                <w:color w:val="A6A6A6"/>
                <w:sz w:val="18"/>
                <w:szCs w:val="18"/>
              </w:rPr>
              <w:t>23.1%</w:t>
            </w:r>
          </w:p>
        </w:tc>
        <w:tc>
          <w:tcPr>
            <w:tcW w:w="516" w:type="pct"/>
            <w:shd w:val="clear" w:color="auto" w:fill="auto"/>
            <w:noWrap/>
            <w:vAlign w:val="center"/>
          </w:tcPr>
          <w:p w14:paraId="260ADF4A" w14:textId="402C3090" w:rsidR="002E5B93" w:rsidRPr="0022586A" w:rsidRDefault="002E5B93" w:rsidP="002E5B93">
            <w:pPr>
              <w:spacing w:before="0" w:after="0" w:line="240" w:lineRule="auto"/>
              <w:jc w:val="center"/>
              <w:rPr>
                <w:color w:val="A5A6AC" w:themeColor="accent3" w:themeTint="99"/>
                <w:sz w:val="18"/>
                <w:szCs w:val="18"/>
              </w:rPr>
            </w:pPr>
            <w:r>
              <w:rPr>
                <w:rFonts w:ascii="GHEA Grapalat" w:hAnsi="GHEA Grapalat" w:cs="Calibri"/>
                <w:color w:val="A6A6A6"/>
                <w:sz w:val="18"/>
                <w:szCs w:val="18"/>
              </w:rPr>
              <w:t>24.0%</w:t>
            </w:r>
          </w:p>
        </w:tc>
        <w:tc>
          <w:tcPr>
            <w:tcW w:w="511" w:type="pct"/>
            <w:shd w:val="clear" w:color="auto" w:fill="auto"/>
            <w:noWrap/>
            <w:vAlign w:val="center"/>
          </w:tcPr>
          <w:p w14:paraId="0A24DFF2" w14:textId="714E35A4" w:rsidR="002E5B93" w:rsidRPr="0022586A" w:rsidRDefault="002E5B93" w:rsidP="002E5B93">
            <w:pPr>
              <w:spacing w:before="0" w:after="0" w:line="240" w:lineRule="auto"/>
              <w:jc w:val="center"/>
              <w:rPr>
                <w:color w:val="A5A6AC" w:themeColor="accent3" w:themeTint="99"/>
                <w:sz w:val="18"/>
                <w:szCs w:val="18"/>
              </w:rPr>
            </w:pPr>
            <w:r>
              <w:rPr>
                <w:rFonts w:ascii="GHEA Grapalat" w:hAnsi="GHEA Grapalat" w:cs="Calibri"/>
                <w:color w:val="A6A6A6"/>
                <w:sz w:val="18"/>
                <w:szCs w:val="18"/>
              </w:rPr>
              <w:t>23.5%</w:t>
            </w:r>
          </w:p>
        </w:tc>
        <w:tc>
          <w:tcPr>
            <w:tcW w:w="539" w:type="pct"/>
            <w:shd w:val="clear" w:color="auto" w:fill="auto"/>
            <w:noWrap/>
            <w:vAlign w:val="center"/>
          </w:tcPr>
          <w:p w14:paraId="43AFF405" w14:textId="606CC3D8" w:rsidR="002E5B93" w:rsidRPr="0022586A" w:rsidRDefault="002E5B93" w:rsidP="002E5B93">
            <w:pPr>
              <w:spacing w:before="0" w:after="0" w:line="240" w:lineRule="auto"/>
              <w:jc w:val="center"/>
              <w:rPr>
                <w:color w:val="A5A6AC" w:themeColor="accent3" w:themeTint="99"/>
                <w:sz w:val="18"/>
                <w:szCs w:val="18"/>
              </w:rPr>
            </w:pPr>
            <w:r>
              <w:rPr>
                <w:rFonts w:ascii="GHEA Grapalat" w:hAnsi="GHEA Grapalat" w:cs="Calibri"/>
                <w:color w:val="A6A6A6"/>
                <w:sz w:val="18"/>
                <w:szCs w:val="18"/>
              </w:rPr>
              <w:t>25.0%</w:t>
            </w:r>
          </w:p>
        </w:tc>
        <w:tc>
          <w:tcPr>
            <w:tcW w:w="562" w:type="pct"/>
            <w:vAlign w:val="center"/>
          </w:tcPr>
          <w:p w14:paraId="6D2A76FA" w14:textId="24EF0B9E" w:rsidR="002E5B93" w:rsidRDefault="002E5B93" w:rsidP="002E5B93">
            <w:pPr>
              <w:spacing w:before="0" w:after="0" w:line="240" w:lineRule="auto"/>
              <w:jc w:val="center"/>
              <w:rPr>
                <w:rFonts w:ascii="GHEA Grapalat" w:hAnsi="GHEA Grapalat" w:cs="Calibri"/>
                <w:color w:val="A6A6A6"/>
                <w:sz w:val="18"/>
                <w:szCs w:val="18"/>
              </w:rPr>
            </w:pPr>
            <w:r>
              <w:rPr>
                <w:rFonts w:ascii="GHEA Grapalat" w:hAnsi="GHEA Grapalat" w:cs="Calibri"/>
                <w:color w:val="A6A6A6"/>
                <w:sz w:val="18"/>
                <w:szCs w:val="18"/>
              </w:rPr>
              <w:t>24.9%</w:t>
            </w:r>
          </w:p>
        </w:tc>
        <w:tc>
          <w:tcPr>
            <w:tcW w:w="562" w:type="pct"/>
            <w:vAlign w:val="center"/>
          </w:tcPr>
          <w:p w14:paraId="7D9B9372" w14:textId="0EF514B8" w:rsidR="002E5B93" w:rsidRDefault="002E5B93" w:rsidP="002E5B93">
            <w:pPr>
              <w:spacing w:before="0" w:after="0" w:line="240" w:lineRule="auto"/>
              <w:jc w:val="center"/>
              <w:rPr>
                <w:rFonts w:ascii="GHEA Grapalat" w:hAnsi="GHEA Grapalat" w:cs="Calibri"/>
                <w:color w:val="A6A6A6"/>
                <w:sz w:val="18"/>
                <w:szCs w:val="18"/>
              </w:rPr>
            </w:pPr>
            <w:r>
              <w:rPr>
                <w:rFonts w:ascii="GHEA Grapalat" w:hAnsi="GHEA Grapalat" w:cs="Calibri"/>
                <w:color w:val="A6A6A6"/>
                <w:sz w:val="18"/>
                <w:szCs w:val="18"/>
              </w:rPr>
              <w:t>25.1%</w:t>
            </w:r>
          </w:p>
        </w:tc>
        <w:tc>
          <w:tcPr>
            <w:tcW w:w="560" w:type="pct"/>
            <w:shd w:val="clear" w:color="auto" w:fill="auto"/>
            <w:noWrap/>
            <w:vAlign w:val="center"/>
          </w:tcPr>
          <w:p w14:paraId="50314AFE" w14:textId="10B921A7" w:rsidR="002E5B93" w:rsidRPr="0022586A" w:rsidRDefault="002E5B93" w:rsidP="002E5B93">
            <w:pPr>
              <w:spacing w:before="0" w:after="0" w:line="240" w:lineRule="auto"/>
              <w:jc w:val="center"/>
              <w:rPr>
                <w:color w:val="A5A6AC" w:themeColor="accent3" w:themeTint="99"/>
                <w:sz w:val="18"/>
                <w:szCs w:val="18"/>
              </w:rPr>
            </w:pPr>
            <w:r>
              <w:rPr>
                <w:rFonts w:ascii="GHEA Grapalat" w:hAnsi="GHEA Grapalat" w:cs="Calibri"/>
                <w:color w:val="A6A6A6"/>
                <w:sz w:val="18"/>
                <w:szCs w:val="18"/>
              </w:rPr>
              <w:t>25.2%</w:t>
            </w:r>
          </w:p>
        </w:tc>
      </w:tr>
      <w:tr w:rsidR="002E5B93" w:rsidRPr="0022586A" w14:paraId="2108133F" w14:textId="77777777" w:rsidTr="00A506F2">
        <w:trPr>
          <w:trHeight w:val="360"/>
        </w:trPr>
        <w:tc>
          <w:tcPr>
            <w:tcW w:w="1206" w:type="pct"/>
            <w:shd w:val="clear" w:color="auto" w:fill="auto"/>
            <w:vAlign w:val="center"/>
            <w:hideMark/>
          </w:tcPr>
          <w:p w14:paraId="1C509E52" w14:textId="77777777" w:rsidR="002E5B93" w:rsidRPr="0022586A" w:rsidRDefault="002E5B93" w:rsidP="002E5B93">
            <w:pPr>
              <w:spacing w:before="0" w:after="0" w:line="240" w:lineRule="auto"/>
              <w:rPr>
                <w:color w:val="A5A6AC" w:themeColor="accent3" w:themeTint="99"/>
                <w:sz w:val="18"/>
                <w:szCs w:val="18"/>
              </w:rPr>
            </w:pPr>
            <w:r w:rsidRPr="0022586A">
              <w:rPr>
                <w:color w:val="A5A6AC" w:themeColor="accent3" w:themeTint="99"/>
                <w:sz w:val="18"/>
                <w:szCs w:val="18"/>
              </w:rPr>
              <w:t xml:space="preserve">Ընդհանուրի նկատմամբ (%) </w:t>
            </w:r>
          </w:p>
        </w:tc>
        <w:tc>
          <w:tcPr>
            <w:tcW w:w="544" w:type="pct"/>
            <w:shd w:val="clear" w:color="auto" w:fill="auto"/>
            <w:noWrap/>
            <w:vAlign w:val="center"/>
          </w:tcPr>
          <w:p w14:paraId="5BD673F9" w14:textId="62331C06" w:rsidR="002E5B93" w:rsidRPr="0022586A" w:rsidRDefault="002E5B93" w:rsidP="002E5B93">
            <w:pPr>
              <w:spacing w:before="0" w:after="0" w:line="240" w:lineRule="auto"/>
              <w:jc w:val="center"/>
              <w:rPr>
                <w:color w:val="A5A6AC" w:themeColor="accent3" w:themeTint="99"/>
                <w:sz w:val="18"/>
                <w:szCs w:val="18"/>
              </w:rPr>
            </w:pPr>
            <w:r>
              <w:rPr>
                <w:rFonts w:ascii="GHEA Grapalat" w:hAnsi="GHEA Grapalat" w:cs="Calibri"/>
                <w:color w:val="A6A6A6"/>
                <w:sz w:val="18"/>
                <w:szCs w:val="18"/>
              </w:rPr>
              <w:t>93.5%</w:t>
            </w:r>
          </w:p>
        </w:tc>
        <w:tc>
          <w:tcPr>
            <w:tcW w:w="516" w:type="pct"/>
            <w:shd w:val="clear" w:color="auto" w:fill="auto"/>
            <w:noWrap/>
            <w:vAlign w:val="center"/>
          </w:tcPr>
          <w:p w14:paraId="4D2BFC89" w14:textId="331FD013" w:rsidR="002E5B93" w:rsidRPr="0022586A" w:rsidRDefault="002E5B93" w:rsidP="002E5B93">
            <w:pPr>
              <w:spacing w:before="0" w:after="0" w:line="240" w:lineRule="auto"/>
              <w:jc w:val="center"/>
              <w:rPr>
                <w:color w:val="A5A6AC" w:themeColor="accent3" w:themeTint="99"/>
                <w:sz w:val="18"/>
                <w:szCs w:val="18"/>
              </w:rPr>
            </w:pPr>
            <w:r>
              <w:rPr>
                <w:rFonts w:ascii="GHEA Grapalat" w:hAnsi="GHEA Grapalat" w:cs="Calibri"/>
                <w:color w:val="A6A6A6"/>
                <w:sz w:val="18"/>
                <w:szCs w:val="18"/>
              </w:rPr>
              <w:t>94.3%</w:t>
            </w:r>
          </w:p>
        </w:tc>
        <w:tc>
          <w:tcPr>
            <w:tcW w:w="511" w:type="pct"/>
            <w:shd w:val="clear" w:color="auto" w:fill="auto"/>
            <w:noWrap/>
            <w:vAlign w:val="center"/>
          </w:tcPr>
          <w:p w14:paraId="2B83EEE2" w14:textId="2920D2C7" w:rsidR="002E5B93" w:rsidRPr="0022586A" w:rsidRDefault="002E5B93" w:rsidP="002E5B93">
            <w:pPr>
              <w:spacing w:before="0" w:after="0" w:line="240" w:lineRule="auto"/>
              <w:jc w:val="center"/>
              <w:rPr>
                <w:color w:val="A5A6AC" w:themeColor="accent3" w:themeTint="99"/>
                <w:sz w:val="18"/>
                <w:szCs w:val="18"/>
              </w:rPr>
            </w:pPr>
            <w:r>
              <w:rPr>
                <w:rFonts w:ascii="GHEA Grapalat" w:hAnsi="GHEA Grapalat"/>
                <w:color w:val="A6A6A6"/>
                <w:sz w:val="18"/>
                <w:szCs w:val="18"/>
              </w:rPr>
              <w:t>92.7%</w:t>
            </w:r>
          </w:p>
        </w:tc>
        <w:tc>
          <w:tcPr>
            <w:tcW w:w="539" w:type="pct"/>
            <w:shd w:val="clear" w:color="auto" w:fill="auto"/>
            <w:noWrap/>
            <w:vAlign w:val="center"/>
          </w:tcPr>
          <w:p w14:paraId="7F702924" w14:textId="7E405DB1" w:rsidR="002E5B93" w:rsidRPr="0022586A" w:rsidRDefault="002E5B93" w:rsidP="002E5B93">
            <w:pPr>
              <w:spacing w:before="0" w:after="0" w:line="240" w:lineRule="auto"/>
              <w:jc w:val="center"/>
              <w:rPr>
                <w:color w:val="A5A6AC" w:themeColor="accent3" w:themeTint="99"/>
                <w:sz w:val="18"/>
                <w:szCs w:val="18"/>
              </w:rPr>
            </w:pPr>
            <w:r>
              <w:rPr>
                <w:rFonts w:ascii="GHEA Grapalat" w:hAnsi="GHEA Grapalat"/>
                <w:color w:val="A6A6A6"/>
                <w:sz w:val="18"/>
                <w:szCs w:val="18"/>
              </w:rPr>
              <w:t>95.9%</w:t>
            </w:r>
          </w:p>
        </w:tc>
        <w:tc>
          <w:tcPr>
            <w:tcW w:w="562" w:type="pct"/>
            <w:vAlign w:val="center"/>
          </w:tcPr>
          <w:p w14:paraId="10F51636" w14:textId="7D772AFE" w:rsidR="002E5B93" w:rsidRDefault="002E5B93" w:rsidP="002E5B93">
            <w:pPr>
              <w:spacing w:before="0" w:after="0" w:line="240" w:lineRule="auto"/>
              <w:jc w:val="center"/>
              <w:rPr>
                <w:rFonts w:ascii="GHEA Grapalat" w:hAnsi="GHEA Grapalat"/>
                <w:color w:val="A6A6A6"/>
                <w:sz w:val="18"/>
                <w:szCs w:val="18"/>
              </w:rPr>
            </w:pPr>
            <w:r>
              <w:rPr>
                <w:rFonts w:ascii="GHEA Grapalat" w:hAnsi="GHEA Grapalat" w:cs="Calibri"/>
                <w:color w:val="A6A6A6"/>
                <w:sz w:val="18"/>
                <w:szCs w:val="18"/>
              </w:rPr>
              <w:t>96.2%</w:t>
            </w:r>
          </w:p>
        </w:tc>
        <w:tc>
          <w:tcPr>
            <w:tcW w:w="562" w:type="pct"/>
            <w:vAlign w:val="center"/>
          </w:tcPr>
          <w:p w14:paraId="10C9EE95" w14:textId="61BAF9CB" w:rsidR="002E5B93" w:rsidRDefault="002E5B93" w:rsidP="002E5B93">
            <w:pPr>
              <w:spacing w:before="0" w:after="0" w:line="240" w:lineRule="auto"/>
              <w:jc w:val="center"/>
              <w:rPr>
                <w:rFonts w:ascii="GHEA Grapalat" w:hAnsi="GHEA Grapalat"/>
                <w:color w:val="A6A6A6"/>
                <w:sz w:val="18"/>
                <w:szCs w:val="18"/>
              </w:rPr>
            </w:pPr>
            <w:r>
              <w:rPr>
                <w:rFonts w:ascii="GHEA Grapalat" w:hAnsi="GHEA Grapalat" w:cs="Calibri"/>
                <w:color w:val="A6A6A6"/>
                <w:sz w:val="18"/>
                <w:szCs w:val="18"/>
              </w:rPr>
              <w:t>96.8%</w:t>
            </w:r>
          </w:p>
        </w:tc>
        <w:tc>
          <w:tcPr>
            <w:tcW w:w="560" w:type="pct"/>
            <w:shd w:val="clear" w:color="auto" w:fill="auto"/>
            <w:noWrap/>
            <w:vAlign w:val="center"/>
          </w:tcPr>
          <w:p w14:paraId="0CE75081" w14:textId="73FAEFCE" w:rsidR="002E5B93" w:rsidRPr="0022586A" w:rsidRDefault="002E5B93" w:rsidP="002E5B93">
            <w:pPr>
              <w:spacing w:before="0" w:after="0" w:line="240" w:lineRule="auto"/>
              <w:jc w:val="center"/>
              <w:rPr>
                <w:color w:val="A5A6AC" w:themeColor="accent3" w:themeTint="99"/>
                <w:sz w:val="18"/>
                <w:szCs w:val="18"/>
              </w:rPr>
            </w:pPr>
            <w:r>
              <w:rPr>
                <w:rFonts w:ascii="GHEA Grapalat" w:hAnsi="GHEA Grapalat" w:cs="Calibri"/>
                <w:color w:val="A6A6A6"/>
                <w:sz w:val="18"/>
                <w:szCs w:val="18"/>
              </w:rPr>
              <w:t>97.1%</w:t>
            </w:r>
          </w:p>
        </w:tc>
      </w:tr>
      <w:tr w:rsidR="001F4070" w:rsidRPr="0022586A" w14:paraId="3978D683" w14:textId="77777777" w:rsidTr="00A506F2">
        <w:trPr>
          <w:trHeight w:val="360"/>
        </w:trPr>
        <w:tc>
          <w:tcPr>
            <w:tcW w:w="1206" w:type="pct"/>
            <w:shd w:val="clear" w:color="auto" w:fill="D5DCE4" w:themeFill="text2" w:themeFillTint="33"/>
            <w:vAlign w:val="center"/>
            <w:hideMark/>
          </w:tcPr>
          <w:p w14:paraId="4DD71C12" w14:textId="77777777" w:rsidR="001F4070" w:rsidRPr="0022586A" w:rsidRDefault="001F4070" w:rsidP="001F4070">
            <w:pPr>
              <w:spacing w:before="0" w:after="0" w:line="240" w:lineRule="auto"/>
              <w:rPr>
                <w:sz w:val="18"/>
                <w:szCs w:val="18"/>
              </w:rPr>
            </w:pPr>
            <w:r w:rsidRPr="0022586A">
              <w:rPr>
                <w:sz w:val="18"/>
                <w:szCs w:val="18"/>
              </w:rPr>
              <w:t xml:space="preserve">Պետական բյուջեի ծախսեր </w:t>
            </w:r>
          </w:p>
        </w:tc>
        <w:tc>
          <w:tcPr>
            <w:tcW w:w="544" w:type="pct"/>
            <w:shd w:val="clear" w:color="auto" w:fill="D5DCE4" w:themeFill="text2" w:themeFillTint="33"/>
            <w:noWrap/>
            <w:vAlign w:val="center"/>
          </w:tcPr>
          <w:p w14:paraId="505CC39E" w14:textId="466CC7BA" w:rsidR="001F4070" w:rsidRPr="0022586A" w:rsidRDefault="001F4070" w:rsidP="001F4070">
            <w:pPr>
              <w:spacing w:before="0" w:after="0" w:line="240" w:lineRule="auto"/>
              <w:jc w:val="center"/>
              <w:rPr>
                <w:sz w:val="18"/>
                <w:szCs w:val="18"/>
                <w:highlight w:val="yellow"/>
              </w:rPr>
            </w:pPr>
            <w:r>
              <w:rPr>
                <w:rFonts w:ascii="GHEA Grapalat" w:hAnsi="GHEA Grapalat" w:cs="Calibri"/>
                <w:b/>
                <w:bCs/>
                <w:color w:val="404040"/>
                <w:sz w:val="18"/>
                <w:szCs w:val="18"/>
              </w:rPr>
              <w:t>2</w:t>
            </w:r>
            <w:r>
              <w:rPr>
                <w:rFonts w:ascii="GHEA Grapalat" w:hAnsi="GHEA Grapalat" w:cs="Calibri"/>
                <w:b/>
                <w:bCs/>
                <w:color w:val="404040"/>
                <w:sz w:val="18"/>
                <w:szCs w:val="18"/>
                <w:lang w:val="ru-RU"/>
              </w:rPr>
              <w:t>,</w:t>
            </w:r>
            <w:r>
              <w:rPr>
                <w:rFonts w:ascii="GHEA Grapalat" w:hAnsi="GHEA Grapalat" w:cs="Calibri"/>
                <w:b/>
                <w:bCs/>
                <w:color w:val="404040"/>
                <w:sz w:val="18"/>
                <w:szCs w:val="18"/>
              </w:rPr>
              <w:t>279.1</w:t>
            </w:r>
          </w:p>
        </w:tc>
        <w:tc>
          <w:tcPr>
            <w:tcW w:w="516" w:type="pct"/>
            <w:shd w:val="clear" w:color="auto" w:fill="D5DCE4" w:themeFill="text2" w:themeFillTint="33"/>
            <w:noWrap/>
            <w:vAlign w:val="center"/>
          </w:tcPr>
          <w:p w14:paraId="11C95F84" w14:textId="590853AE" w:rsidR="001F4070" w:rsidRPr="0022586A" w:rsidRDefault="001F4070" w:rsidP="001F4070">
            <w:pPr>
              <w:spacing w:before="0" w:after="0" w:line="240" w:lineRule="auto"/>
              <w:jc w:val="center"/>
              <w:rPr>
                <w:sz w:val="18"/>
                <w:szCs w:val="18"/>
                <w:highlight w:val="yellow"/>
              </w:rPr>
            </w:pPr>
            <w:r>
              <w:rPr>
                <w:rFonts w:ascii="GHEA Grapalat" w:hAnsi="GHEA Grapalat" w:cs="Calibri"/>
                <w:b/>
                <w:bCs/>
                <w:color w:val="404040"/>
                <w:sz w:val="18"/>
                <w:szCs w:val="18"/>
              </w:rPr>
              <w:t>2</w:t>
            </w:r>
            <w:r>
              <w:rPr>
                <w:rFonts w:ascii="GHEA Grapalat" w:hAnsi="GHEA Grapalat" w:cs="Calibri"/>
                <w:b/>
                <w:bCs/>
                <w:color w:val="404040"/>
                <w:sz w:val="18"/>
                <w:szCs w:val="18"/>
                <w:lang w:val="ru-RU"/>
              </w:rPr>
              <w:t>,</w:t>
            </w:r>
            <w:r>
              <w:rPr>
                <w:rFonts w:ascii="GHEA Grapalat" w:hAnsi="GHEA Grapalat" w:cs="Calibri"/>
                <w:b/>
                <w:bCs/>
                <w:color w:val="404040"/>
                <w:sz w:val="18"/>
                <w:szCs w:val="18"/>
              </w:rPr>
              <w:t>599.6</w:t>
            </w:r>
          </w:p>
        </w:tc>
        <w:tc>
          <w:tcPr>
            <w:tcW w:w="511" w:type="pct"/>
            <w:shd w:val="clear" w:color="auto" w:fill="D5DCE4" w:themeFill="text2" w:themeFillTint="33"/>
            <w:noWrap/>
            <w:vAlign w:val="center"/>
          </w:tcPr>
          <w:p w14:paraId="7561F9A1" w14:textId="4C384420" w:rsidR="001F4070" w:rsidRPr="0022586A" w:rsidRDefault="001F4070" w:rsidP="001F4070">
            <w:pPr>
              <w:spacing w:before="0" w:after="0" w:line="240" w:lineRule="auto"/>
              <w:jc w:val="center"/>
              <w:rPr>
                <w:sz w:val="18"/>
                <w:szCs w:val="18"/>
                <w:highlight w:val="yellow"/>
              </w:rPr>
            </w:pPr>
            <w:r>
              <w:rPr>
                <w:rFonts w:ascii="GHEA Grapalat" w:hAnsi="GHEA Grapalat" w:cs="Calibri"/>
                <w:b/>
                <w:bCs/>
                <w:color w:val="404040"/>
                <w:sz w:val="18"/>
                <w:szCs w:val="18"/>
              </w:rPr>
              <w:t>2</w:t>
            </w:r>
            <w:r>
              <w:rPr>
                <w:rFonts w:ascii="GHEA Grapalat" w:hAnsi="GHEA Grapalat" w:cs="Calibri"/>
                <w:b/>
                <w:bCs/>
                <w:color w:val="404040"/>
                <w:sz w:val="18"/>
                <w:szCs w:val="18"/>
                <w:lang w:val="hy-AM"/>
              </w:rPr>
              <w:t>,</w:t>
            </w:r>
            <w:r>
              <w:rPr>
                <w:rFonts w:ascii="GHEA Grapalat" w:hAnsi="GHEA Grapalat" w:cs="Calibri"/>
                <w:b/>
                <w:bCs/>
                <w:color w:val="404040"/>
                <w:sz w:val="18"/>
                <w:szCs w:val="18"/>
              </w:rPr>
              <w:t>955.3</w:t>
            </w:r>
          </w:p>
        </w:tc>
        <w:tc>
          <w:tcPr>
            <w:tcW w:w="539" w:type="pct"/>
            <w:shd w:val="clear" w:color="auto" w:fill="D5DCE4" w:themeFill="text2" w:themeFillTint="33"/>
            <w:noWrap/>
            <w:vAlign w:val="center"/>
          </w:tcPr>
          <w:p w14:paraId="4AB29BE9" w14:textId="32B72EBE" w:rsidR="001F4070" w:rsidRPr="0022586A" w:rsidRDefault="001F4070" w:rsidP="001F4070">
            <w:pPr>
              <w:spacing w:before="0" w:after="0" w:line="240" w:lineRule="auto"/>
              <w:jc w:val="center"/>
              <w:rPr>
                <w:sz w:val="18"/>
                <w:szCs w:val="18"/>
              </w:rPr>
            </w:pPr>
            <w:r>
              <w:rPr>
                <w:rFonts w:ascii="GHEA Grapalat" w:hAnsi="GHEA Grapalat" w:cs="Calibri"/>
                <w:b/>
                <w:bCs/>
                <w:color w:val="404040"/>
                <w:sz w:val="18"/>
                <w:szCs w:val="18"/>
              </w:rPr>
              <w:t>3</w:t>
            </w:r>
            <w:r>
              <w:rPr>
                <w:rFonts w:ascii="GHEA Grapalat" w:hAnsi="GHEA Grapalat" w:cs="Calibri"/>
                <w:b/>
                <w:bCs/>
                <w:color w:val="404040"/>
                <w:sz w:val="18"/>
                <w:szCs w:val="18"/>
                <w:lang w:val="hy-AM"/>
              </w:rPr>
              <w:t>,</w:t>
            </w:r>
            <w:r>
              <w:rPr>
                <w:rFonts w:ascii="GHEA Grapalat" w:hAnsi="GHEA Grapalat" w:cs="Calibri"/>
                <w:b/>
                <w:bCs/>
                <w:color w:val="404040"/>
                <w:sz w:val="18"/>
                <w:szCs w:val="18"/>
              </w:rPr>
              <w:t>441.6</w:t>
            </w:r>
          </w:p>
        </w:tc>
        <w:tc>
          <w:tcPr>
            <w:tcW w:w="562" w:type="pct"/>
            <w:shd w:val="clear" w:color="auto" w:fill="D5DCE4" w:themeFill="text2" w:themeFillTint="33"/>
            <w:vAlign w:val="center"/>
          </w:tcPr>
          <w:p w14:paraId="359176B1" w14:textId="5F242659" w:rsidR="001F4070" w:rsidRDefault="001F4070" w:rsidP="001F4070">
            <w:pPr>
              <w:spacing w:before="0" w:after="0" w:line="240" w:lineRule="auto"/>
              <w:jc w:val="center"/>
              <w:rPr>
                <w:rFonts w:ascii="GHEA Grapalat" w:hAnsi="GHEA Grapalat" w:cs="Calibri"/>
                <w:b/>
                <w:bCs/>
                <w:color w:val="404040"/>
                <w:sz w:val="18"/>
                <w:szCs w:val="18"/>
              </w:rPr>
            </w:pPr>
            <w:r>
              <w:rPr>
                <w:rFonts w:ascii="GHEA Grapalat" w:hAnsi="GHEA Grapalat" w:cs="Calibri"/>
                <w:b/>
                <w:bCs/>
                <w:color w:val="404040"/>
                <w:sz w:val="18"/>
                <w:szCs w:val="18"/>
              </w:rPr>
              <w:t xml:space="preserve">3,627.6 </w:t>
            </w:r>
          </w:p>
        </w:tc>
        <w:tc>
          <w:tcPr>
            <w:tcW w:w="562" w:type="pct"/>
            <w:shd w:val="clear" w:color="auto" w:fill="D5DCE4" w:themeFill="text2" w:themeFillTint="33"/>
            <w:vAlign w:val="center"/>
          </w:tcPr>
          <w:p w14:paraId="02A1AD06" w14:textId="17A1C791" w:rsidR="001F4070" w:rsidRDefault="001F4070" w:rsidP="001F4070">
            <w:pPr>
              <w:spacing w:before="0" w:after="0" w:line="240" w:lineRule="auto"/>
              <w:jc w:val="center"/>
              <w:rPr>
                <w:rFonts w:ascii="GHEA Grapalat" w:hAnsi="GHEA Grapalat" w:cs="Calibri"/>
                <w:b/>
                <w:bCs/>
                <w:color w:val="404040"/>
                <w:sz w:val="18"/>
                <w:szCs w:val="18"/>
              </w:rPr>
            </w:pPr>
            <w:r>
              <w:rPr>
                <w:rFonts w:ascii="GHEA Grapalat" w:hAnsi="GHEA Grapalat" w:cs="Calibri"/>
                <w:b/>
                <w:bCs/>
                <w:color w:val="404040"/>
                <w:sz w:val="18"/>
                <w:szCs w:val="18"/>
              </w:rPr>
              <w:t xml:space="preserve">3,801.0 </w:t>
            </w:r>
          </w:p>
        </w:tc>
        <w:tc>
          <w:tcPr>
            <w:tcW w:w="560" w:type="pct"/>
            <w:shd w:val="clear" w:color="auto" w:fill="D5DCE4" w:themeFill="text2" w:themeFillTint="33"/>
            <w:noWrap/>
            <w:vAlign w:val="center"/>
          </w:tcPr>
          <w:p w14:paraId="41140E64" w14:textId="0DCCB152" w:rsidR="001F4070" w:rsidRPr="0022586A" w:rsidRDefault="001F4070" w:rsidP="001F4070">
            <w:pPr>
              <w:spacing w:before="0" w:after="0" w:line="240" w:lineRule="auto"/>
              <w:jc w:val="center"/>
              <w:rPr>
                <w:sz w:val="18"/>
                <w:szCs w:val="18"/>
                <w:highlight w:val="yellow"/>
              </w:rPr>
            </w:pPr>
            <w:r>
              <w:rPr>
                <w:rFonts w:ascii="GHEA Grapalat" w:hAnsi="GHEA Grapalat" w:cs="Calibri"/>
                <w:b/>
                <w:bCs/>
                <w:color w:val="404040"/>
                <w:sz w:val="18"/>
                <w:szCs w:val="18"/>
              </w:rPr>
              <w:t xml:space="preserve">4,030.6 </w:t>
            </w:r>
          </w:p>
        </w:tc>
      </w:tr>
      <w:tr w:rsidR="001F4070" w:rsidRPr="0022586A" w14:paraId="1D8A9B29" w14:textId="77777777" w:rsidTr="00A506F2">
        <w:trPr>
          <w:trHeight w:val="360"/>
        </w:trPr>
        <w:tc>
          <w:tcPr>
            <w:tcW w:w="1206" w:type="pct"/>
            <w:shd w:val="clear" w:color="auto" w:fill="auto"/>
            <w:vAlign w:val="center"/>
            <w:hideMark/>
          </w:tcPr>
          <w:p w14:paraId="6BCA44AA" w14:textId="77777777" w:rsidR="001F4070" w:rsidRPr="0022586A" w:rsidRDefault="001F4070" w:rsidP="001F4070">
            <w:pPr>
              <w:spacing w:before="0" w:after="0" w:line="240" w:lineRule="auto"/>
              <w:rPr>
                <w:color w:val="A5A6AC" w:themeColor="accent3" w:themeTint="99"/>
                <w:sz w:val="18"/>
                <w:szCs w:val="18"/>
              </w:rPr>
            </w:pPr>
            <w:r w:rsidRPr="0022586A">
              <w:rPr>
                <w:color w:val="A5A6AC" w:themeColor="accent3" w:themeTint="99"/>
                <w:sz w:val="18"/>
                <w:szCs w:val="18"/>
              </w:rPr>
              <w:t xml:space="preserve">ՀՆԱ-ի նկատմամբ (%) </w:t>
            </w:r>
          </w:p>
        </w:tc>
        <w:tc>
          <w:tcPr>
            <w:tcW w:w="544" w:type="pct"/>
            <w:shd w:val="clear" w:color="auto" w:fill="auto"/>
            <w:noWrap/>
            <w:vAlign w:val="center"/>
          </w:tcPr>
          <w:p w14:paraId="49B92F3C" w14:textId="605D925A" w:rsidR="001F4070" w:rsidRPr="0022586A" w:rsidRDefault="001F4070" w:rsidP="001F4070">
            <w:pPr>
              <w:spacing w:before="0" w:after="0" w:line="240" w:lineRule="auto"/>
              <w:jc w:val="center"/>
              <w:rPr>
                <w:color w:val="A5A6AC" w:themeColor="accent3" w:themeTint="99"/>
                <w:sz w:val="18"/>
                <w:szCs w:val="18"/>
              </w:rPr>
            </w:pPr>
            <w:r>
              <w:rPr>
                <w:rFonts w:ascii="GHEA Grapalat" w:hAnsi="GHEA Grapalat" w:cs="Calibri"/>
                <w:color w:val="A5A6AC"/>
                <w:sz w:val="18"/>
                <w:szCs w:val="18"/>
              </w:rPr>
              <w:t>26.8%</w:t>
            </w:r>
          </w:p>
        </w:tc>
        <w:tc>
          <w:tcPr>
            <w:tcW w:w="516" w:type="pct"/>
            <w:shd w:val="clear" w:color="auto" w:fill="auto"/>
            <w:noWrap/>
            <w:vAlign w:val="center"/>
          </w:tcPr>
          <w:p w14:paraId="6055E5D7" w14:textId="0C2D919D" w:rsidR="001F4070" w:rsidRPr="0022586A" w:rsidRDefault="001F4070" w:rsidP="001F4070">
            <w:pPr>
              <w:spacing w:before="0" w:after="0" w:line="240" w:lineRule="auto"/>
              <w:jc w:val="center"/>
              <w:rPr>
                <w:color w:val="A5A6AC" w:themeColor="accent3" w:themeTint="99"/>
                <w:sz w:val="18"/>
                <w:szCs w:val="18"/>
              </w:rPr>
            </w:pPr>
            <w:r>
              <w:rPr>
                <w:rFonts w:ascii="GHEA Grapalat" w:hAnsi="GHEA Grapalat" w:cs="Calibri"/>
                <w:color w:val="A5A6AC"/>
                <w:sz w:val="18"/>
                <w:szCs w:val="18"/>
              </w:rPr>
              <w:t>27.4%</w:t>
            </w:r>
          </w:p>
        </w:tc>
        <w:tc>
          <w:tcPr>
            <w:tcW w:w="511" w:type="pct"/>
            <w:shd w:val="clear" w:color="auto" w:fill="auto"/>
            <w:noWrap/>
            <w:vAlign w:val="center"/>
          </w:tcPr>
          <w:p w14:paraId="5A5F492A" w14:textId="13E75529" w:rsidR="001F4070" w:rsidRPr="0022586A" w:rsidRDefault="001F4070" w:rsidP="001F4070">
            <w:pPr>
              <w:spacing w:before="0" w:after="0" w:line="240" w:lineRule="auto"/>
              <w:jc w:val="center"/>
              <w:rPr>
                <w:color w:val="A5A6AC" w:themeColor="accent3" w:themeTint="99"/>
                <w:sz w:val="18"/>
                <w:szCs w:val="18"/>
              </w:rPr>
            </w:pPr>
            <w:r>
              <w:rPr>
                <w:rFonts w:ascii="GHEA Grapalat" w:hAnsi="GHEA Grapalat" w:cs="Calibri"/>
                <w:color w:val="A5A6AC"/>
                <w:sz w:val="18"/>
                <w:szCs w:val="18"/>
              </w:rPr>
              <w:t>29.0%</w:t>
            </w:r>
          </w:p>
        </w:tc>
        <w:tc>
          <w:tcPr>
            <w:tcW w:w="539" w:type="pct"/>
            <w:shd w:val="clear" w:color="auto" w:fill="auto"/>
            <w:noWrap/>
            <w:vAlign w:val="center"/>
          </w:tcPr>
          <w:p w14:paraId="1486A4DB" w14:textId="2CBABE78" w:rsidR="001F4070" w:rsidRPr="0022586A" w:rsidRDefault="001F4070" w:rsidP="001F4070">
            <w:pPr>
              <w:spacing w:before="0" w:after="0" w:line="240" w:lineRule="auto"/>
              <w:jc w:val="center"/>
              <w:rPr>
                <w:color w:val="A5A6AC" w:themeColor="accent3" w:themeTint="99"/>
                <w:sz w:val="18"/>
                <w:szCs w:val="18"/>
              </w:rPr>
            </w:pPr>
            <w:r>
              <w:rPr>
                <w:rFonts w:ascii="GHEA Grapalat" w:hAnsi="GHEA Grapalat" w:cs="Calibri"/>
                <w:color w:val="A5A6AC"/>
                <w:sz w:val="18"/>
                <w:szCs w:val="18"/>
              </w:rPr>
              <w:t>31.6%</w:t>
            </w:r>
          </w:p>
        </w:tc>
        <w:tc>
          <w:tcPr>
            <w:tcW w:w="562" w:type="pct"/>
            <w:vAlign w:val="center"/>
          </w:tcPr>
          <w:p w14:paraId="4AE8BFCC" w14:textId="2D1F98BD" w:rsidR="001F4070" w:rsidRDefault="001F4070" w:rsidP="001F4070">
            <w:pPr>
              <w:spacing w:before="0" w:after="0" w:line="240" w:lineRule="auto"/>
              <w:jc w:val="center"/>
              <w:rPr>
                <w:rFonts w:ascii="GHEA Grapalat" w:hAnsi="GHEA Grapalat" w:cs="Calibri"/>
                <w:color w:val="A5A6AC"/>
                <w:sz w:val="18"/>
                <w:szCs w:val="18"/>
              </w:rPr>
            </w:pPr>
            <w:r>
              <w:rPr>
                <w:rFonts w:ascii="GHEA Grapalat" w:hAnsi="GHEA Grapalat" w:cs="Calibri"/>
                <w:color w:val="A5A6AC"/>
                <w:sz w:val="18"/>
                <w:szCs w:val="18"/>
              </w:rPr>
              <w:t>30.4%</w:t>
            </w:r>
          </w:p>
        </w:tc>
        <w:tc>
          <w:tcPr>
            <w:tcW w:w="562" w:type="pct"/>
            <w:vAlign w:val="center"/>
          </w:tcPr>
          <w:p w14:paraId="73489648" w14:textId="3ABB0CAE" w:rsidR="001F4070" w:rsidRDefault="001F4070" w:rsidP="001F4070">
            <w:pPr>
              <w:spacing w:before="0" w:after="0" w:line="240" w:lineRule="auto"/>
              <w:jc w:val="center"/>
              <w:rPr>
                <w:rFonts w:ascii="GHEA Grapalat" w:hAnsi="GHEA Grapalat" w:cs="Calibri"/>
                <w:color w:val="A5A6AC"/>
                <w:sz w:val="18"/>
                <w:szCs w:val="18"/>
              </w:rPr>
            </w:pPr>
            <w:r>
              <w:rPr>
                <w:rFonts w:ascii="GHEA Grapalat" w:hAnsi="GHEA Grapalat" w:cs="Calibri"/>
                <w:color w:val="A5A6AC"/>
                <w:sz w:val="18"/>
                <w:szCs w:val="18"/>
              </w:rPr>
              <w:t>29.3%</w:t>
            </w:r>
          </w:p>
        </w:tc>
        <w:tc>
          <w:tcPr>
            <w:tcW w:w="560" w:type="pct"/>
            <w:shd w:val="clear" w:color="auto" w:fill="auto"/>
            <w:noWrap/>
            <w:vAlign w:val="center"/>
          </w:tcPr>
          <w:p w14:paraId="0C6F1BCF" w14:textId="66ADA9CA" w:rsidR="001F4070" w:rsidRPr="0022586A" w:rsidRDefault="001F4070" w:rsidP="001F4070">
            <w:pPr>
              <w:spacing w:before="0" w:after="0" w:line="240" w:lineRule="auto"/>
              <w:jc w:val="center"/>
              <w:rPr>
                <w:color w:val="A5A6AC" w:themeColor="accent3" w:themeTint="99"/>
                <w:sz w:val="18"/>
                <w:szCs w:val="18"/>
              </w:rPr>
            </w:pPr>
            <w:r>
              <w:rPr>
                <w:rFonts w:ascii="GHEA Grapalat" w:hAnsi="GHEA Grapalat" w:cs="Calibri"/>
                <w:color w:val="A5A6AC"/>
                <w:sz w:val="18"/>
                <w:szCs w:val="18"/>
              </w:rPr>
              <w:t>28.7%</w:t>
            </w:r>
          </w:p>
        </w:tc>
      </w:tr>
      <w:tr w:rsidR="001F4070" w:rsidRPr="0022586A" w14:paraId="3BDDBB7F" w14:textId="77777777" w:rsidTr="00A506F2">
        <w:trPr>
          <w:trHeight w:val="360"/>
        </w:trPr>
        <w:tc>
          <w:tcPr>
            <w:tcW w:w="1206" w:type="pct"/>
            <w:shd w:val="clear" w:color="auto" w:fill="auto"/>
            <w:vAlign w:val="center"/>
            <w:hideMark/>
          </w:tcPr>
          <w:p w14:paraId="696F27E4" w14:textId="77777777" w:rsidR="001F4070" w:rsidRPr="0022586A" w:rsidRDefault="001F4070" w:rsidP="001F4070">
            <w:pPr>
              <w:spacing w:before="0" w:after="0" w:line="240" w:lineRule="auto"/>
              <w:rPr>
                <w:sz w:val="18"/>
                <w:szCs w:val="18"/>
              </w:rPr>
            </w:pPr>
            <w:r w:rsidRPr="0022586A">
              <w:rPr>
                <w:sz w:val="18"/>
                <w:szCs w:val="18"/>
              </w:rPr>
              <w:t xml:space="preserve">Ընթացիկ ծախսեր </w:t>
            </w:r>
          </w:p>
        </w:tc>
        <w:tc>
          <w:tcPr>
            <w:tcW w:w="544" w:type="pct"/>
            <w:shd w:val="clear" w:color="auto" w:fill="auto"/>
            <w:noWrap/>
            <w:vAlign w:val="center"/>
          </w:tcPr>
          <w:p w14:paraId="685A5847" w14:textId="11AFFC55" w:rsidR="001F4070" w:rsidRPr="0022586A" w:rsidRDefault="001F4070" w:rsidP="001F4070">
            <w:pPr>
              <w:spacing w:before="0" w:after="0" w:line="240" w:lineRule="auto"/>
              <w:jc w:val="center"/>
              <w:rPr>
                <w:sz w:val="18"/>
                <w:szCs w:val="18"/>
                <w:highlight w:val="yellow"/>
              </w:rPr>
            </w:pPr>
            <w:r>
              <w:rPr>
                <w:rFonts w:ascii="GHEA Grapalat" w:hAnsi="GHEA Grapalat" w:cs="Calibri"/>
                <w:color w:val="404040"/>
                <w:sz w:val="18"/>
                <w:szCs w:val="18"/>
              </w:rPr>
              <w:t>1</w:t>
            </w:r>
            <w:r>
              <w:rPr>
                <w:rFonts w:ascii="GHEA Grapalat" w:hAnsi="GHEA Grapalat" w:cs="Calibri"/>
                <w:color w:val="404040"/>
                <w:sz w:val="18"/>
                <w:szCs w:val="18"/>
                <w:lang w:val="ru-RU"/>
              </w:rPr>
              <w:t>,</w:t>
            </w:r>
            <w:r>
              <w:rPr>
                <w:rFonts w:ascii="GHEA Grapalat" w:hAnsi="GHEA Grapalat" w:cs="Calibri"/>
                <w:color w:val="404040"/>
                <w:sz w:val="18"/>
                <w:szCs w:val="18"/>
              </w:rPr>
              <w:t>898.7</w:t>
            </w:r>
          </w:p>
        </w:tc>
        <w:tc>
          <w:tcPr>
            <w:tcW w:w="516" w:type="pct"/>
            <w:shd w:val="clear" w:color="auto" w:fill="auto"/>
            <w:noWrap/>
            <w:vAlign w:val="center"/>
          </w:tcPr>
          <w:p w14:paraId="6CF97EB2" w14:textId="4306B0F3" w:rsidR="001F4070" w:rsidRPr="0022586A" w:rsidRDefault="001F4070" w:rsidP="001F4070">
            <w:pPr>
              <w:spacing w:before="0" w:after="0" w:line="240" w:lineRule="auto"/>
              <w:jc w:val="center"/>
              <w:rPr>
                <w:sz w:val="18"/>
                <w:szCs w:val="18"/>
                <w:highlight w:val="yellow"/>
              </w:rPr>
            </w:pPr>
            <w:r>
              <w:rPr>
                <w:rFonts w:ascii="GHEA Grapalat" w:hAnsi="GHEA Grapalat" w:cs="Calibri"/>
                <w:color w:val="404040"/>
                <w:sz w:val="18"/>
                <w:szCs w:val="18"/>
              </w:rPr>
              <w:t>2</w:t>
            </w:r>
            <w:r>
              <w:rPr>
                <w:rFonts w:ascii="GHEA Grapalat" w:hAnsi="GHEA Grapalat" w:cs="Calibri"/>
                <w:color w:val="404040"/>
                <w:sz w:val="18"/>
                <w:szCs w:val="18"/>
                <w:lang w:val="ru-RU"/>
              </w:rPr>
              <w:t>,</w:t>
            </w:r>
            <w:r>
              <w:rPr>
                <w:rFonts w:ascii="GHEA Grapalat" w:hAnsi="GHEA Grapalat" w:cs="Calibri"/>
                <w:color w:val="404040"/>
                <w:sz w:val="18"/>
                <w:szCs w:val="18"/>
              </w:rPr>
              <w:t>127.0</w:t>
            </w:r>
          </w:p>
        </w:tc>
        <w:tc>
          <w:tcPr>
            <w:tcW w:w="511" w:type="pct"/>
            <w:shd w:val="clear" w:color="auto" w:fill="auto"/>
            <w:noWrap/>
            <w:vAlign w:val="center"/>
          </w:tcPr>
          <w:p w14:paraId="3A7E69E0" w14:textId="44BCC4CC" w:rsidR="001F4070" w:rsidRPr="0022586A" w:rsidRDefault="001F4070" w:rsidP="001F4070">
            <w:pPr>
              <w:spacing w:before="0" w:after="0" w:line="240" w:lineRule="auto"/>
              <w:jc w:val="center"/>
              <w:rPr>
                <w:sz w:val="18"/>
                <w:szCs w:val="18"/>
                <w:highlight w:val="yellow"/>
              </w:rPr>
            </w:pPr>
            <w:r>
              <w:rPr>
                <w:rFonts w:ascii="GHEA Grapalat" w:hAnsi="GHEA Grapalat" w:cs="Calibri"/>
                <w:color w:val="404040"/>
                <w:sz w:val="18"/>
                <w:szCs w:val="18"/>
              </w:rPr>
              <w:t>2</w:t>
            </w:r>
            <w:r>
              <w:rPr>
                <w:rFonts w:ascii="GHEA Grapalat" w:hAnsi="GHEA Grapalat" w:cs="Calibri"/>
                <w:color w:val="404040"/>
                <w:sz w:val="18"/>
                <w:szCs w:val="18"/>
                <w:lang w:val="hy-AM"/>
              </w:rPr>
              <w:t>,</w:t>
            </w:r>
            <w:r>
              <w:rPr>
                <w:rFonts w:ascii="GHEA Grapalat" w:hAnsi="GHEA Grapalat" w:cs="Calibri"/>
                <w:color w:val="404040"/>
                <w:sz w:val="18"/>
                <w:szCs w:val="18"/>
              </w:rPr>
              <w:t>413.6</w:t>
            </w:r>
          </w:p>
        </w:tc>
        <w:tc>
          <w:tcPr>
            <w:tcW w:w="539" w:type="pct"/>
            <w:shd w:val="clear" w:color="auto" w:fill="auto"/>
            <w:noWrap/>
            <w:vAlign w:val="center"/>
          </w:tcPr>
          <w:p w14:paraId="1EB08FEB" w14:textId="6B81796A" w:rsidR="001F4070" w:rsidRPr="0022586A" w:rsidRDefault="001F4070" w:rsidP="001F4070">
            <w:pPr>
              <w:spacing w:before="0" w:after="0" w:line="240" w:lineRule="auto"/>
              <w:jc w:val="center"/>
              <w:rPr>
                <w:sz w:val="18"/>
                <w:szCs w:val="18"/>
              </w:rPr>
            </w:pPr>
            <w:r>
              <w:rPr>
                <w:rFonts w:ascii="GHEA Grapalat" w:hAnsi="GHEA Grapalat" w:cs="Calibri"/>
                <w:color w:val="404040"/>
                <w:sz w:val="18"/>
                <w:szCs w:val="18"/>
              </w:rPr>
              <w:t>2</w:t>
            </w:r>
            <w:r>
              <w:rPr>
                <w:rFonts w:ascii="GHEA Grapalat" w:hAnsi="GHEA Grapalat" w:cs="Calibri"/>
                <w:color w:val="404040"/>
                <w:sz w:val="18"/>
                <w:szCs w:val="18"/>
                <w:lang w:val="hy-AM"/>
              </w:rPr>
              <w:t>,</w:t>
            </w:r>
            <w:r>
              <w:rPr>
                <w:rFonts w:ascii="GHEA Grapalat" w:hAnsi="GHEA Grapalat" w:cs="Calibri"/>
                <w:color w:val="404040"/>
                <w:sz w:val="18"/>
                <w:szCs w:val="18"/>
              </w:rPr>
              <w:t>706.8</w:t>
            </w:r>
          </w:p>
        </w:tc>
        <w:tc>
          <w:tcPr>
            <w:tcW w:w="562" w:type="pct"/>
            <w:vAlign w:val="center"/>
          </w:tcPr>
          <w:p w14:paraId="132CAB5B" w14:textId="4F4F6426" w:rsidR="001F4070" w:rsidRDefault="001F4070" w:rsidP="001F4070">
            <w:pPr>
              <w:spacing w:before="0" w:after="0" w:line="240" w:lineRule="auto"/>
              <w:jc w:val="center"/>
              <w:rPr>
                <w:rFonts w:ascii="GHEA Grapalat" w:hAnsi="GHEA Grapalat" w:cs="Calibri"/>
                <w:color w:val="404040"/>
                <w:sz w:val="18"/>
                <w:szCs w:val="18"/>
              </w:rPr>
            </w:pPr>
            <w:r>
              <w:rPr>
                <w:rFonts w:ascii="GHEA Grapalat" w:hAnsi="GHEA Grapalat" w:cs="Calibri"/>
                <w:color w:val="404040"/>
                <w:sz w:val="18"/>
                <w:szCs w:val="18"/>
              </w:rPr>
              <w:t xml:space="preserve">2,923.5 </w:t>
            </w:r>
          </w:p>
        </w:tc>
        <w:tc>
          <w:tcPr>
            <w:tcW w:w="562" w:type="pct"/>
            <w:vAlign w:val="center"/>
          </w:tcPr>
          <w:p w14:paraId="7EB34BF6" w14:textId="311D7E10" w:rsidR="001F4070" w:rsidRDefault="001F4070" w:rsidP="001F4070">
            <w:pPr>
              <w:spacing w:before="0" w:after="0" w:line="240" w:lineRule="auto"/>
              <w:jc w:val="center"/>
              <w:rPr>
                <w:rFonts w:ascii="GHEA Grapalat" w:hAnsi="GHEA Grapalat" w:cs="Calibri"/>
                <w:color w:val="404040"/>
                <w:sz w:val="18"/>
                <w:szCs w:val="18"/>
              </w:rPr>
            </w:pPr>
            <w:r>
              <w:rPr>
                <w:rFonts w:ascii="GHEA Grapalat" w:hAnsi="GHEA Grapalat" w:cs="Calibri"/>
                <w:color w:val="404040"/>
                <w:sz w:val="18"/>
                <w:szCs w:val="18"/>
              </w:rPr>
              <w:t xml:space="preserve">3,082.0 </w:t>
            </w:r>
          </w:p>
        </w:tc>
        <w:tc>
          <w:tcPr>
            <w:tcW w:w="560" w:type="pct"/>
            <w:shd w:val="clear" w:color="auto" w:fill="auto"/>
            <w:noWrap/>
            <w:vAlign w:val="center"/>
          </w:tcPr>
          <w:p w14:paraId="768DE02B" w14:textId="06D69BC8" w:rsidR="001F4070" w:rsidRPr="0022586A" w:rsidRDefault="001F4070" w:rsidP="001F4070">
            <w:pPr>
              <w:spacing w:before="0" w:after="0" w:line="240" w:lineRule="auto"/>
              <w:jc w:val="center"/>
              <w:rPr>
                <w:sz w:val="18"/>
                <w:szCs w:val="18"/>
                <w:highlight w:val="yellow"/>
              </w:rPr>
            </w:pPr>
            <w:r>
              <w:rPr>
                <w:rFonts w:ascii="GHEA Grapalat" w:hAnsi="GHEA Grapalat" w:cs="Calibri"/>
                <w:color w:val="404040"/>
                <w:sz w:val="18"/>
                <w:szCs w:val="18"/>
              </w:rPr>
              <w:t xml:space="preserve">3,227.6 </w:t>
            </w:r>
          </w:p>
        </w:tc>
      </w:tr>
      <w:tr w:rsidR="001F4070" w:rsidRPr="0022586A" w14:paraId="063AD5A9" w14:textId="77777777" w:rsidTr="00A506F2">
        <w:trPr>
          <w:trHeight w:val="360"/>
        </w:trPr>
        <w:tc>
          <w:tcPr>
            <w:tcW w:w="1206" w:type="pct"/>
            <w:shd w:val="clear" w:color="auto" w:fill="auto"/>
            <w:vAlign w:val="center"/>
            <w:hideMark/>
          </w:tcPr>
          <w:p w14:paraId="446EC3F0" w14:textId="77777777" w:rsidR="001F4070" w:rsidRPr="0022586A" w:rsidRDefault="001F4070" w:rsidP="001F4070">
            <w:pPr>
              <w:spacing w:before="0" w:after="0" w:line="240" w:lineRule="auto"/>
              <w:rPr>
                <w:color w:val="A5A6AC" w:themeColor="accent3" w:themeTint="99"/>
                <w:sz w:val="18"/>
                <w:szCs w:val="18"/>
              </w:rPr>
            </w:pPr>
            <w:r w:rsidRPr="0022586A">
              <w:rPr>
                <w:color w:val="A5A6AC" w:themeColor="accent3" w:themeTint="99"/>
                <w:sz w:val="18"/>
                <w:szCs w:val="18"/>
              </w:rPr>
              <w:t xml:space="preserve">ՀՆԱ-ի նկատմամբ (%) </w:t>
            </w:r>
          </w:p>
        </w:tc>
        <w:tc>
          <w:tcPr>
            <w:tcW w:w="544" w:type="pct"/>
            <w:shd w:val="clear" w:color="auto" w:fill="auto"/>
            <w:noWrap/>
            <w:vAlign w:val="center"/>
          </w:tcPr>
          <w:p w14:paraId="685FAEFE" w14:textId="400046DF" w:rsidR="001F4070" w:rsidRPr="0022586A" w:rsidRDefault="001F4070" w:rsidP="001F4070">
            <w:pPr>
              <w:spacing w:before="0" w:after="0" w:line="240" w:lineRule="auto"/>
              <w:jc w:val="center"/>
              <w:rPr>
                <w:color w:val="A5A6AC" w:themeColor="accent3" w:themeTint="99"/>
                <w:sz w:val="18"/>
                <w:szCs w:val="18"/>
              </w:rPr>
            </w:pPr>
            <w:r>
              <w:rPr>
                <w:rFonts w:ascii="GHEA Grapalat" w:hAnsi="GHEA Grapalat" w:cs="Calibri"/>
                <w:color w:val="A6A6A6"/>
                <w:sz w:val="18"/>
                <w:szCs w:val="18"/>
              </w:rPr>
              <w:t>22.3%</w:t>
            </w:r>
          </w:p>
        </w:tc>
        <w:tc>
          <w:tcPr>
            <w:tcW w:w="516" w:type="pct"/>
            <w:shd w:val="clear" w:color="auto" w:fill="auto"/>
            <w:noWrap/>
            <w:vAlign w:val="center"/>
          </w:tcPr>
          <w:p w14:paraId="39C93A30" w14:textId="05723876" w:rsidR="001F4070" w:rsidRPr="0022586A" w:rsidRDefault="001F4070" w:rsidP="001F4070">
            <w:pPr>
              <w:spacing w:before="0" w:after="0" w:line="240" w:lineRule="auto"/>
              <w:jc w:val="center"/>
              <w:rPr>
                <w:color w:val="A5A6AC" w:themeColor="accent3" w:themeTint="99"/>
                <w:sz w:val="18"/>
                <w:szCs w:val="18"/>
              </w:rPr>
            </w:pPr>
            <w:r>
              <w:rPr>
                <w:rFonts w:ascii="GHEA Grapalat" w:hAnsi="GHEA Grapalat" w:cs="Calibri"/>
                <w:color w:val="A6A6A6"/>
                <w:sz w:val="18"/>
                <w:szCs w:val="18"/>
              </w:rPr>
              <w:t>22.4%</w:t>
            </w:r>
          </w:p>
        </w:tc>
        <w:tc>
          <w:tcPr>
            <w:tcW w:w="511" w:type="pct"/>
            <w:shd w:val="clear" w:color="auto" w:fill="auto"/>
            <w:noWrap/>
            <w:vAlign w:val="center"/>
          </w:tcPr>
          <w:p w14:paraId="77CA1D33" w14:textId="0F129078" w:rsidR="001F4070" w:rsidRPr="0022586A" w:rsidRDefault="001F4070" w:rsidP="001F4070">
            <w:pPr>
              <w:spacing w:before="0" w:after="0" w:line="240" w:lineRule="auto"/>
              <w:jc w:val="center"/>
              <w:rPr>
                <w:color w:val="A5A6AC" w:themeColor="accent3" w:themeTint="99"/>
                <w:sz w:val="18"/>
                <w:szCs w:val="18"/>
              </w:rPr>
            </w:pPr>
            <w:r>
              <w:rPr>
                <w:rFonts w:ascii="GHEA Grapalat" w:hAnsi="GHEA Grapalat" w:cs="Calibri"/>
                <w:color w:val="A6A6A6"/>
                <w:sz w:val="18"/>
                <w:szCs w:val="18"/>
              </w:rPr>
              <w:t>23.7%</w:t>
            </w:r>
          </w:p>
        </w:tc>
        <w:tc>
          <w:tcPr>
            <w:tcW w:w="539" w:type="pct"/>
            <w:shd w:val="clear" w:color="auto" w:fill="auto"/>
            <w:noWrap/>
            <w:vAlign w:val="center"/>
          </w:tcPr>
          <w:p w14:paraId="1FCF1E99" w14:textId="563D0417" w:rsidR="001F4070" w:rsidRPr="0022586A" w:rsidRDefault="001F4070" w:rsidP="001F4070">
            <w:pPr>
              <w:spacing w:before="0" w:after="0" w:line="240" w:lineRule="auto"/>
              <w:jc w:val="center"/>
              <w:rPr>
                <w:color w:val="A5A6AC" w:themeColor="accent3" w:themeTint="99"/>
                <w:sz w:val="18"/>
                <w:szCs w:val="18"/>
              </w:rPr>
            </w:pPr>
            <w:r>
              <w:rPr>
                <w:rFonts w:ascii="GHEA Grapalat" w:hAnsi="GHEA Grapalat" w:cs="Calibri"/>
                <w:color w:val="A6A6A6"/>
                <w:sz w:val="18"/>
                <w:szCs w:val="18"/>
              </w:rPr>
              <w:t>24.9%</w:t>
            </w:r>
          </w:p>
        </w:tc>
        <w:tc>
          <w:tcPr>
            <w:tcW w:w="562" w:type="pct"/>
            <w:vAlign w:val="center"/>
          </w:tcPr>
          <w:p w14:paraId="7CB618AF" w14:textId="425CA0C8" w:rsidR="001F4070" w:rsidRDefault="001F4070" w:rsidP="001F4070">
            <w:pPr>
              <w:spacing w:before="0" w:after="0" w:line="240" w:lineRule="auto"/>
              <w:jc w:val="center"/>
              <w:rPr>
                <w:rFonts w:ascii="GHEA Grapalat" w:hAnsi="GHEA Grapalat" w:cs="Calibri"/>
                <w:color w:val="A6A6A6"/>
                <w:sz w:val="18"/>
                <w:szCs w:val="18"/>
              </w:rPr>
            </w:pPr>
            <w:r>
              <w:rPr>
                <w:rFonts w:ascii="GHEA Grapalat" w:hAnsi="GHEA Grapalat" w:cs="Calibri"/>
                <w:color w:val="A6A6A6"/>
                <w:sz w:val="18"/>
                <w:szCs w:val="18"/>
              </w:rPr>
              <w:t>24.5%</w:t>
            </w:r>
          </w:p>
        </w:tc>
        <w:tc>
          <w:tcPr>
            <w:tcW w:w="562" w:type="pct"/>
            <w:vAlign w:val="center"/>
          </w:tcPr>
          <w:p w14:paraId="2E2DA1A7" w14:textId="3437A6D7" w:rsidR="001F4070" w:rsidRDefault="001F4070" w:rsidP="001F4070">
            <w:pPr>
              <w:spacing w:before="0" w:after="0" w:line="240" w:lineRule="auto"/>
              <w:jc w:val="center"/>
              <w:rPr>
                <w:rFonts w:ascii="GHEA Grapalat" w:hAnsi="GHEA Grapalat" w:cs="Calibri"/>
                <w:color w:val="A6A6A6"/>
                <w:sz w:val="18"/>
                <w:szCs w:val="18"/>
              </w:rPr>
            </w:pPr>
            <w:r>
              <w:rPr>
                <w:rFonts w:ascii="GHEA Grapalat" w:hAnsi="GHEA Grapalat" w:cs="Calibri"/>
                <w:color w:val="A6A6A6"/>
                <w:sz w:val="18"/>
                <w:szCs w:val="18"/>
              </w:rPr>
              <w:t>23.8%</w:t>
            </w:r>
          </w:p>
        </w:tc>
        <w:tc>
          <w:tcPr>
            <w:tcW w:w="560" w:type="pct"/>
            <w:shd w:val="clear" w:color="auto" w:fill="auto"/>
            <w:noWrap/>
            <w:vAlign w:val="center"/>
          </w:tcPr>
          <w:p w14:paraId="67D58ACD" w14:textId="19EE1D3F" w:rsidR="001F4070" w:rsidRPr="0022586A" w:rsidRDefault="001F4070" w:rsidP="001F4070">
            <w:pPr>
              <w:spacing w:before="0" w:after="0" w:line="240" w:lineRule="auto"/>
              <w:jc w:val="center"/>
              <w:rPr>
                <w:color w:val="A5A6AC" w:themeColor="accent3" w:themeTint="99"/>
                <w:sz w:val="18"/>
                <w:szCs w:val="18"/>
              </w:rPr>
            </w:pPr>
            <w:r>
              <w:rPr>
                <w:rFonts w:ascii="GHEA Grapalat" w:hAnsi="GHEA Grapalat" w:cs="Calibri"/>
                <w:color w:val="A6A6A6"/>
                <w:sz w:val="18"/>
                <w:szCs w:val="18"/>
              </w:rPr>
              <w:t>23.0%</w:t>
            </w:r>
          </w:p>
        </w:tc>
      </w:tr>
      <w:tr w:rsidR="001F4070" w:rsidRPr="0022586A" w14:paraId="6CA53EE6" w14:textId="77777777" w:rsidTr="00A506F2">
        <w:trPr>
          <w:trHeight w:val="360"/>
        </w:trPr>
        <w:tc>
          <w:tcPr>
            <w:tcW w:w="1206" w:type="pct"/>
            <w:shd w:val="clear" w:color="auto" w:fill="auto"/>
            <w:vAlign w:val="center"/>
            <w:hideMark/>
          </w:tcPr>
          <w:p w14:paraId="1A235930" w14:textId="77777777" w:rsidR="001F4070" w:rsidRPr="0022586A" w:rsidRDefault="001F4070" w:rsidP="001F4070">
            <w:pPr>
              <w:spacing w:before="0" w:after="0" w:line="240" w:lineRule="auto"/>
              <w:rPr>
                <w:color w:val="A5A6AC" w:themeColor="accent3" w:themeTint="99"/>
                <w:sz w:val="18"/>
                <w:szCs w:val="18"/>
              </w:rPr>
            </w:pPr>
            <w:r w:rsidRPr="0022586A">
              <w:rPr>
                <w:color w:val="A5A6AC" w:themeColor="accent3" w:themeTint="99"/>
                <w:sz w:val="18"/>
                <w:szCs w:val="18"/>
              </w:rPr>
              <w:t xml:space="preserve">Ընդհանուրի նկատմամբ (%) </w:t>
            </w:r>
          </w:p>
        </w:tc>
        <w:tc>
          <w:tcPr>
            <w:tcW w:w="544" w:type="pct"/>
            <w:shd w:val="clear" w:color="auto" w:fill="auto"/>
            <w:noWrap/>
            <w:vAlign w:val="center"/>
          </w:tcPr>
          <w:p w14:paraId="59214108" w14:textId="57656E48" w:rsidR="001F4070" w:rsidRPr="0022586A" w:rsidRDefault="001F4070" w:rsidP="001F4070">
            <w:pPr>
              <w:spacing w:before="0" w:after="0" w:line="240" w:lineRule="auto"/>
              <w:jc w:val="center"/>
              <w:rPr>
                <w:color w:val="A5A6AC" w:themeColor="accent3" w:themeTint="99"/>
                <w:sz w:val="18"/>
                <w:szCs w:val="18"/>
              </w:rPr>
            </w:pPr>
            <w:r>
              <w:rPr>
                <w:rFonts w:ascii="GHEA Grapalat" w:hAnsi="GHEA Grapalat" w:cs="Calibri"/>
                <w:color w:val="A6A6A6"/>
                <w:sz w:val="18"/>
                <w:szCs w:val="18"/>
              </w:rPr>
              <w:t>84.7%</w:t>
            </w:r>
          </w:p>
        </w:tc>
        <w:tc>
          <w:tcPr>
            <w:tcW w:w="516" w:type="pct"/>
            <w:shd w:val="clear" w:color="auto" w:fill="auto"/>
            <w:noWrap/>
            <w:vAlign w:val="center"/>
          </w:tcPr>
          <w:p w14:paraId="6BC8AB64" w14:textId="0881158D" w:rsidR="001F4070" w:rsidRPr="0022586A" w:rsidRDefault="001F4070" w:rsidP="001F4070">
            <w:pPr>
              <w:spacing w:before="0" w:after="0" w:line="240" w:lineRule="auto"/>
              <w:jc w:val="center"/>
              <w:rPr>
                <w:color w:val="A5A6AC" w:themeColor="accent3" w:themeTint="99"/>
                <w:sz w:val="18"/>
                <w:szCs w:val="18"/>
              </w:rPr>
            </w:pPr>
            <w:r>
              <w:rPr>
                <w:rFonts w:ascii="GHEA Grapalat" w:hAnsi="GHEA Grapalat" w:cs="Calibri"/>
                <w:color w:val="A6A6A6"/>
                <w:sz w:val="18"/>
                <w:szCs w:val="18"/>
              </w:rPr>
              <w:t>83.5%</w:t>
            </w:r>
          </w:p>
        </w:tc>
        <w:tc>
          <w:tcPr>
            <w:tcW w:w="511" w:type="pct"/>
            <w:shd w:val="clear" w:color="auto" w:fill="auto"/>
            <w:noWrap/>
            <w:vAlign w:val="center"/>
          </w:tcPr>
          <w:p w14:paraId="0C641338" w14:textId="6A19281D" w:rsidR="001F4070" w:rsidRPr="0022586A" w:rsidRDefault="001F4070" w:rsidP="001F4070">
            <w:pPr>
              <w:spacing w:before="0" w:after="0" w:line="240" w:lineRule="auto"/>
              <w:jc w:val="center"/>
              <w:rPr>
                <w:color w:val="A5A6AC" w:themeColor="accent3" w:themeTint="99"/>
                <w:sz w:val="18"/>
                <w:szCs w:val="18"/>
              </w:rPr>
            </w:pPr>
            <w:r>
              <w:rPr>
                <w:rFonts w:ascii="GHEA Grapalat" w:hAnsi="GHEA Grapalat" w:cs="Calibri"/>
                <w:color w:val="A6A6A6"/>
                <w:sz w:val="18"/>
                <w:szCs w:val="18"/>
              </w:rPr>
              <w:t>81.7%</w:t>
            </w:r>
          </w:p>
        </w:tc>
        <w:tc>
          <w:tcPr>
            <w:tcW w:w="539" w:type="pct"/>
            <w:shd w:val="clear" w:color="auto" w:fill="auto"/>
            <w:noWrap/>
            <w:vAlign w:val="center"/>
          </w:tcPr>
          <w:p w14:paraId="7641F06E" w14:textId="6224D366" w:rsidR="001F4070" w:rsidRPr="0022586A" w:rsidRDefault="001F4070" w:rsidP="001F4070">
            <w:pPr>
              <w:spacing w:before="0" w:after="0" w:line="240" w:lineRule="auto"/>
              <w:jc w:val="center"/>
              <w:rPr>
                <w:color w:val="A5A6AC" w:themeColor="accent3" w:themeTint="99"/>
                <w:sz w:val="18"/>
                <w:szCs w:val="18"/>
              </w:rPr>
            </w:pPr>
            <w:r>
              <w:rPr>
                <w:rFonts w:ascii="GHEA Grapalat" w:hAnsi="GHEA Grapalat" w:cs="Calibri"/>
                <w:color w:val="A6A6A6"/>
                <w:sz w:val="18"/>
                <w:szCs w:val="18"/>
              </w:rPr>
              <w:t>78.6%</w:t>
            </w:r>
          </w:p>
        </w:tc>
        <w:tc>
          <w:tcPr>
            <w:tcW w:w="562" w:type="pct"/>
            <w:vAlign w:val="center"/>
          </w:tcPr>
          <w:p w14:paraId="0D49545A" w14:textId="0506E408" w:rsidR="001F4070" w:rsidRDefault="001F4070" w:rsidP="001F4070">
            <w:pPr>
              <w:spacing w:before="0" w:after="0" w:line="240" w:lineRule="auto"/>
              <w:jc w:val="center"/>
              <w:rPr>
                <w:rFonts w:ascii="GHEA Grapalat" w:hAnsi="GHEA Grapalat" w:cs="Calibri"/>
                <w:color w:val="A6A6A6"/>
                <w:sz w:val="18"/>
                <w:szCs w:val="18"/>
              </w:rPr>
            </w:pPr>
            <w:r>
              <w:rPr>
                <w:rFonts w:ascii="GHEA Grapalat" w:hAnsi="GHEA Grapalat" w:cs="Calibri"/>
                <w:color w:val="A6A6A6"/>
                <w:sz w:val="18"/>
                <w:szCs w:val="18"/>
              </w:rPr>
              <w:t>80.6%</w:t>
            </w:r>
          </w:p>
        </w:tc>
        <w:tc>
          <w:tcPr>
            <w:tcW w:w="562" w:type="pct"/>
            <w:vAlign w:val="center"/>
          </w:tcPr>
          <w:p w14:paraId="238067B1" w14:textId="23AD176A" w:rsidR="001F4070" w:rsidRDefault="001F4070" w:rsidP="001F4070">
            <w:pPr>
              <w:spacing w:before="0" w:after="0" w:line="240" w:lineRule="auto"/>
              <w:jc w:val="center"/>
              <w:rPr>
                <w:rFonts w:ascii="GHEA Grapalat" w:hAnsi="GHEA Grapalat" w:cs="Calibri"/>
                <w:color w:val="A6A6A6"/>
                <w:sz w:val="18"/>
                <w:szCs w:val="18"/>
              </w:rPr>
            </w:pPr>
            <w:r>
              <w:rPr>
                <w:rFonts w:ascii="GHEA Grapalat" w:hAnsi="GHEA Grapalat" w:cs="Calibri"/>
                <w:color w:val="A6A6A6"/>
                <w:sz w:val="18"/>
                <w:szCs w:val="18"/>
              </w:rPr>
              <w:t>81.1%</w:t>
            </w:r>
          </w:p>
        </w:tc>
        <w:tc>
          <w:tcPr>
            <w:tcW w:w="560" w:type="pct"/>
            <w:shd w:val="clear" w:color="auto" w:fill="auto"/>
            <w:noWrap/>
            <w:vAlign w:val="center"/>
          </w:tcPr>
          <w:p w14:paraId="5AB1A8CA" w14:textId="2B0D28C5" w:rsidR="001F4070" w:rsidRPr="0022586A" w:rsidRDefault="001F4070" w:rsidP="001F4070">
            <w:pPr>
              <w:spacing w:before="0" w:after="0" w:line="240" w:lineRule="auto"/>
              <w:jc w:val="center"/>
              <w:rPr>
                <w:color w:val="A5A6AC" w:themeColor="accent3" w:themeTint="99"/>
                <w:sz w:val="18"/>
                <w:szCs w:val="18"/>
              </w:rPr>
            </w:pPr>
            <w:r>
              <w:rPr>
                <w:rFonts w:ascii="GHEA Grapalat" w:hAnsi="GHEA Grapalat" w:cs="Calibri"/>
                <w:color w:val="A6A6A6"/>
                <w:sz w:val="18"/>
                <w:szCs w:val="18"/>
              </w:rPr>
              <w:t>80.1%</w:t>
            </w:r>
          </w:p>
        </w:tc>
      </w:tr>
      <w:tr w:rsidR="001F4070" w:rsidRPr="0022586A" w14:paraId="303CF599" w14:textId="77777777" w:rsidTr="00A506F2">
        <w:trPr>
          <w:trHeight w:val="360"/>
        </w:trPr>
        <w:tc>
          <w:tcPr>
            <w:tcW w:w="1206" w:type="pct"/>
            <w:shd w:val="clear" w:color="auto" w:fill="auto"/>
            <w:vAlign w:val="center"/>
            <w:hideMark/>
          </w:tcPr>
          <w:p w14:paraId="1A6ADE84" w14:textId="77777777" w:rsidR="001F4070" w:rsidRPr="0022586A" w:rsidRDefault="001F4070" w:rsidP="001F4070">
            <w:pPr>
              <w:spacing w:before="0" w:after="0" w:line="240" w:lineRule="auto"/>
              <w:rPr>
                <w:sz w:val="18"/>
                <w:szCs w:val="18"/>
              </w:rPr>
            </w:pPr>
            <w:r w:rsidRPr="0022586A">
              <w:rPr>
                <w:sz w:val="18"/>
                <w:szCs w:val="18"/>
              </w:rPr>
              <w:t>Ոչ ֆինանսական ակտիվների հետ գործառնություններ</w:t>
            </w:r>
          </w:p>
        </w:tc>
        <w:tc>
          <w:tcPr>
            <w:tcW w:w="544" w:type="pct"/>
            <w:shd w:val="clear" w:color="auto" w:fill="auto"/>
            <w:noWrap/>
            <w:vAlign w:val="center"/>
          </w:tcPr>
          <w:p w14:paraId="10E7233B" w14:textId="23E341C0" w:rsidR="001F4070" w:rsidRPr="0022586A" w:rsidRDefault="001F4070" w:rsidP="001F4070">
            <w:pPr>
              <w:spacing w:before="0" w:after="0" w:line="240" w:lineRule="auto"/>
              <w:jc w:val="center"/>
              <w:rPr>
                <w:sz w:val="18"/>
                <w:szCs w:val="18"/>
                <w:highlight w:val="yellow"/>
              </w:rPr>
            </w:pPr>
            <w:r>
              <w:rPr>
                <w:rFonts w:ascii="GHEA Grapalat" w:hAnsi="GHEA Grapalat" w:cs="Calibri"/>
                <w:color w:val="404040"/>
                <w:sz w:val="18"/>
                <w:szCs w:val="18"/>
              </w:rPr>
              <w:t>380.4</w:t>
            </w:r>
          </w:p>
        </w:tc>
        <w:tc>
          <w:tcPr>
            <w:tcW w:w="516" w:type="pct"/>
            <w:shd w:val="clear" w:color="auto" w:fill="auto"/>
            <w:noWrap/>
            <w:vAlign w:val="center"/>
          </w:tcPr>
          <w:p w14:paraId="0E3F4788" w14:textId="153F7878" w:rsidR="001F4070" w:rsidRPr="0022586A" w:rsidRDefault="001F4070" w:rsidP="001F4070">
            <w:pPr>
              <w:spacing w:before="0" w:after="0" w:line="240" w:lineRule="auto"/>
              <w:jc w:val="center"/>
              <w:rPr>
                <w:sz w:val="18"/>
                <w:szCs w:val="18"/>
                <w:highlight w:val="yellow"/>
              </w:rPr>
            </w:pPr>
            <w:r>
              <w:rPr>
                <w:rFonts w:ascii="GHEA Grapalat" w:hAnsi="GHEA Grapalat" w:cs="Calibri"/>
                <w:color w:val="404040"/>
                <w:sz w:val="18"/>
                <w:szCs w:val="18"/>
              </w:rPr>
              <w:t>472.6</w:t>
            </w:r>
          </w:p>
        </w:tc>
        <w:tc>
          <w:tcPr>
            <w:tcW w:w="511" w:type="pct"/>
            <w:shd w:val="clear" w:color="auto" w:fill="auto"/>
            <w:noWrap/>
            <w:vAlign w:val="center"/>
          </w:tcPr>
          <w:p w14:paraId="2CA7EF9E" w14:textId="29261452" w:rsidR="001F4070" w:rsidRPr="0022586A" w:rsidRDefault="001F4070" w:rsidP="001F4070">
            <w:pPr>
              <w:spacing w:before="0" w:after="0" w:line="240" w:lineRule="auto"/>
              <w:jc w:val="center"/>
              <w:rPr>
                <w:sz w:val="18"/>
                <w:szCs w:val="18"/>
                <w:highlight w:val="yellow"/>
              </w:rPr>
            </w:pPr>
            <w:r>
              <w:rPr>
                <w:rFonts w:ascii="GHEA Grapalat" w:hAnsi="GHEA Grapalat" w:cs="Calibri"/>
                <w:color w:val="404040"/>
                <w:sz w:val="18"/>
                <w:szCs w:val="18"/>
              </w:rPr>
              <w:t>541.7</w:t>
            </w:r>
          </w:p>
        </w:tc>
        <w:tc>
          <w:tcPr>
            <w:tcW w:w="539" w:type="pct"/>
            <w:shd w:val="clear" w:color="auto" w:fill="auto"/>
            <w:noWrap/>
            <w:vAlign w:val="center"/>
          </w:tcPr>
          <w:p w14:paraId="41A0579D" w14:textId="34E64AA2" w:rsidR="001F4070" w:rsidRPr="0022586A" w:rsidRDefault="001F4070" w:rsidP="001F4070">
            <w:pPr>
              <w:spacing w:before="0" w:after="0" w:line="240" w:lineRule="auto"/>
              <w:jc w:val="center"/>
              <w:rPr>
                <w:sz w:val="18"/>
                <w:szCs w:val="18"/>
              </w:rPr>
            </w:pPr>
            <w:r>
              <w:rPr>
                <w:rFonts w:ascii="GHEA Grapalat" w:hAnsi="GHEA Grapalat" w:cs="Calibri"/>
                <w:color w:val="404040"/>
                <w:sz w:val="18"/>
                <w:szCs w:val="18"/>
              </w:rPr>
              <w:t>734.8</w:t>
            </w:r>
          </w:p>
        </w:tc>
        <w:tc>
          <w:tcPr>
            <w:tcW w:w="562" w:type="pct"/>
            <w:vAlign w:val="center"/>
          </w:tcPr>
          <w:p w14:paraId="14874B13" w14:textId="1BC2BD22" w:rsidR="001F4070" w:rsidRDefault="001F4070" w:rsidP="001F4070">
            <w:pPr>
              <w:spacing w:before="0" w:after="0" w:line="240" w:lineRule="auto"/>
              <w:jc w:val="center"/>
              <w:rPr>
                <w:rFonts w:ascii="GHEA Grapalat" w:hAnsi="GHEA Grapalat" w:cs="Calibri"/>
                <w:color w:val="404040"/>
                <w:sz w:val="18"/>
                <w:szCs w:val="18"/>
              </w:rPr>
            </w:pPr>
            <w:r>
              <w:rPr>
                <w:rFonts w:ascii="GHEA Grapalat" w:hAnsi="GHEA Grapalat" w:cs="Calibri"/>
                <w:color w:val="404040"/>
                <w:sz w:val="18"/>
                <w:szCs w:val="18"/>
              </w:rPr>
              <w:t xml:space="preserve">704.1 </w:t>
            </w:r>
          </w:p>
        </w:tc>
        <w:tc>
          <w:tcPr>
            <w:tcW w:w="562" w:type="pct"/>
            <w:vAlign w:val="center"/>
          </w:tcPr>
          <w:p w14:paraId="51B90113" w14:textId="2BB89DB8" w:rsidR="001F4070" w:rsidRDefault="001F4070" w:rsidP="001F4070">
            <w:pPr>
              <w:spacing w:before="0" w:after="0" w:line="240" w:lineRule="auto"/>
              <w:jc w:val="center"/>
              <w:rPr>
                <w:rFonts w:ascii="GHEA Grapalat" w:hAnsi="GHEA Grapalat" w:cs="Calibri"/>
                <w:color w:val="404040"/>
                <w:sz w:val="18"/>
                <w:szCs w:val="18"/>
              </w:rPr>
            </w:pPr>
            <w:r>
              <w:rPr>
                <w:rFonts w:ascii="GHEA Grapalat" w:hAnsi="GHEA Grapalat" w:cs="Calibri"/>
                <w:color w:val="404040"/>
                <w:sz w:val="18"/>
                <w:szCs w:val="18"/>
              </w:rPr>
              <w:t xml:space="preserve">719.1 </w:t>
            </w:r>
          </w:p>
        </w:tc>
        <w:tc>
          <w:tcPr>
            <w:tcW w:w="560" w:type="pct"/>
            <w:shd w:val="clear" w:color="auto" w:fill="auto"/>
            <w:noWrap/>
            <w:vAlign w:val="center"/>
          </w:tcPr>
          <w:p w14:paraId="3F4E0C5C" w14:textId="3B4D5129" w:rsidR="001F4070" w:rsidRPr="0022586A" w:rsidRDefault="001F4070" w:rsidP="001F4070">
            <w:pPr>
              <w:spacing w:before="0" w:after="0" w:line="240" w:lineRule="auto"/>
              <w:jc w:val="center"/>
              <w:rPr>
                <w:sz w:val="18"/>
                <w:szCs w:val="18"/>
                <w:highlight w:val="yellow"/>
              </w:rPr>
            </w:pPr>
            <w:r>
              <w:rPr>
                <w:rFonts w:ascii="GHEA Grapalat" w:hAnsi="GHEA Grapalat" w:cs="Calibri"/>
                <w:color w:val="404040"/>
                <w:sz w:val="18"/>
                <w:szCs w:val="18"/>
              </w:rPr>
              <w:t xml:space="preserve">803.1 </w:t>
            </w:r>
          </w:p>
        </w:tc>
      </w:tr>
      <w:tr w:rsidR="001F4070" w:rsidRPr="0022586A" w14:paraId="2E9CF807" w14:textId="77777777" w:rsidTr="00A506F2">
        <w:trPr>
          <w:trHeight w:val="360"/>
        </w:trPr>
        <w:tc>
          <w:tcPr>
            <w:tcW w:w="1206" w:type="pct"/>
            <w:shd w:val="clear" w:color="auto" w:fill="auto"/>
            <w:vAlign w:val="center"/>
            <w:hideMark/>
          </w:tcPr>
          <w:p w14:paraId="2DA6AFB2" w14:textId="77777777" w:rsidR="001F4070" w:rsidRPr="0022586A" w:rsidRDefault="001F4070" w:rsidP="001F4070">
            <w:pPr>
              <w:spacing w:before="0" w:after="0" w:line="240" w:lineRule="auto"/>
              <w:rPr>
                <w:color w:val="A5A6AC" w:themeColor="accent3" w:themeTint="99"/>
                <w:sz w:val="18"/>
                <w:szCs w:val="18"/>
              </w:rPr>
            </w:pPr>
            <w:r w:rsidRPr="0022586A">
              <w:rPr>
                <w:color w:val="A5A6AC" w:themeColor="accent3" w:themeTint="99"/>
                <w:sz w:val="18"/>
                <w:szCs w:val="18"/>
              </w:rPr>
              <w:t xml:space="preserve">ՀՆԱ-ի նկատմամբ (%) </w:t>
            </w:r>
          </w:p>
        </w:tc>
        <w:tc>
          <w:tcPr>
            <w:tcW w:w="544" w:type="pct"/>
            <w:shd w:val="clear" w:color="auto" w:fill="auto"/>
            <w:noWrap/>
            <w:vAlign w:val="center"/>
          </w:tcPr>
          <w:p w14:paraId="6EAF1395" w14:textId="164307B6" w:rsidR="001F4070" w:rsidRPr="0022586A" w:rsidRDefault="001F4070" w:rsidP="001F4070">
            <w:pPr>
              <w:spacing w:before="0" w:after="0" w:line="240" w:lineRule="auto"/>
              <w:jc w:val="center"/>
              <w:rPr>
                <w:color w:val="A5A6AC" w:themeColor="accent3" w:themeTint="99"/>
                <w:sz w:val="18"/>
                <w:szCs w:val="18"/>
              </w:rPr>
            </w:pPr>
            <w:r>
              <w:rPr>
                <w:rFonts w:ascii="GHEA Grapalat" w:hAnsi="GHEA Grapalat" w:cs="Calibri"/>
                <w:color w:val="A6A6A6"/>
                <w:sz w:val="18"/>
                <w:szCs w:val="18"/>
              </w:rPr>
              <w:t>4.5%</w:t>
            </w:r>
          </w:p>
        </w:tc>
        <w:tc>
          <w:tcPr>
            <w:tcW w:w="516" w:type="pct"/>
            <w:shd w:val="clear" w:color="auto" w:fill="auto"/>
            <w:noWrap/>
            <w:vAlign w:val="center"/>
          </w:tcPr>
          <w:p w14:paraId="4D8F25C0" w14:textId="1BC5DAB7" w:rsidR="001F4070" w:rsidRPr="0022586A" w:rsidRDefault="001F4070" w:rsidP="001F4070">
            <w:pPr>
              <w:spacing w:before="0" w:after="0" w:line="240" w:lineRule="auto"/>
              <w:jc w:val="center"/>
              <w:rPr>
                <w:color w:val="A5A6AC" w:themeColor="accent3" w:themeTint="99"/>
                <w:sz w:val="18"/>
                <w:szCs w:val="18"/>
              </w:rPr>
            </w:pPr>
            <w:r>
              <w:rPr>
                <w:rFonts w:ascii="GHEA Grapalat" w:hAnsi="GHEA Grapalat" w:cs="Calibri"/>
                <w:color w:val="A6A6A6"/>
                <w:sz w:val="18"/>
                <w:szCs w:val="18"/>
              </w:rPr>
              <w:t>5.0%</w:t>
            </w:r>
          </w:p>
        </w:tc>
        <w:tc>
          <w:tcPr>
            <w:tcW w:w="511" w:type="pct"/>
            <w:shd w:val="clear" w:color="auto" w:fill="auto"/>
            <w:noWrap/>
            <w:vAlign w:val="center"/>
          </w:tcPr>
          <w:p w14:paraId="07A822E0" w14:textId="5B9B3357" w:rsidR="001F4070" w:rsidRPr="0022586A" w:rsidRDefault="001F4070" w:rsidP="001F4070">
            <w:pPr>
              <w:spacing w:before="0" w:after="0" w:line="240" w:lineRule="auto"/>
              <w:jc w:val="center"/>
              <w:rPr>
                <w:color w:val="A5A6AC" w:themeColor="accent3" w:themeTint="99"/>
                <w:sz w:val="18"/>
                <w:szCs w:val="18"/>
              </w:rPr>
            </w:pPr>
            <w:r>
              <w:rPr>
                <w:rFonts w:ascii="GHEA Grapalat" w:hAnsi="GHEA Grapalat" w:cs="Calibri"/>
                <w:color w:val="A6A6A6"/>
                <w:sz w:val="18"/>
                <w:szCs w:val="18"/>
              </w:rPr>
              <w:t>5.3%</w:t>
            </w:r>
          </w:p>
        </w:tc>
        <w:tc>
          <w:tcPr>
            <w:tcW w:w="539" w:type="pct"/>
            <w:shd w:val="clear" w:color="auto" w:fill="auto"/>
            <w:noWrap/>
            <w:vAlign w:val="center"/>
          </w:tcPr>
          <w:p w14:paraId="584EA2F8" w14:textId="6C0D748F" w:rsidR="001F4070" w:rsidRPr="0022586A" w:rsidRDefault="001F4070" w:rsidP="001F4070">
            <w:pPr>
              <w:spacing w:before="0" w:after="0" w:line="240" w:lineRule="auto"/>
              <w:jc w:val="center"/>
              <w:rPr>
                <w:color w:val="A5A6AC" w:themeColor="accent3" w:themeTint="99"/>
                <w:sz w:val="18"/>
                <w:szCs w:val="18"/>
              </w:rPr>
            </w:pPr>
            <w:r>
              <w:rPr>
                <w:rFonts w:ascii="GHEA Grapalat" w:hAnsi="GHEA Grapalat" w:cs="Calibri"/>
                <w:color w:val="A6A6A6"/>
                <w:sz w:val="18"/>
                <w:szCs w:val="18"/>
              </w:rPr>
              <w:t>6.7%</w:t>
            </w:r>
          </w:p>
        </w:tc>
        <w:tc>
          <w:tcPr>
            <w:tcW w:w="562" w:type="pct"/>
            <w:vAlign w:val="center"/>
          </w:tcPr>
          <w:p w14:paraId="33366484" w14:textId="56AC5850" w:rsidR="001F4070" w:rsidRDefault="001F4070" w:rsidP="001F4070">
            <w:pPr>
              <w:spacing w:before="0" w:after="0" w:line="240" w:lineRule="auto"/>
              <w:jc w:val="center"/>
              <w:rPr>
                <w:rFonts w:ascii="GHEA Grapalat" w:hAnsi="GHEA Grapalat" w:cs="Calibri"/>
                <w:color w:val="A6A6A6"/>
                <w:sz w:val="18"/>
                <w:szCs w:val="18"/>
              </w:rPr>
            </w:pPr>
            <w:r>
              <w:rPr>
                <w:rFonts w:ascii="GHEA Grapalat" w:hAnsi="GHEA Grapalat" w:cs="Calibri"/>
                <w:color w:val="A6A6A6"/>
                <w:sz w:val="18"/>
                <w:szCs w:val="18"/>
              </w:rPr>
              <w:t>5.9%</w:t>
            </w:r>
          </w:p>
        </w:tc>
        <w:tc>
          <w:tcPr>
            <w:tcW w:w="562" w:type="pct"/>
            <w:vAlign w:val="center"/>
          </w:tcPr>
          <w:p w14:paraId="43225F60" w14:textId="15F47D93" w:rsidR="001F4070" w:rsidRDefault="001F4070" w:rsidP="001F4070">
            <w:pPr>
              <w:spacing w:before="0" w:after="0" w:line="240" w:lineRule="auto"/>
              <w:jc w:val="center"/>
              <w:rPr>
                <w:rFonts w:ascii="GHEA Grapalat" w:hAnsi="GHEA Grapalat" w:cs="Calibri"/>
                <w:color w:val="A6A6A6"/>
                <w:sz w:val="18"/>
                <w:szCs w:val="18"/>
              </w:rPr>
            </w:pPr>
            <w:r>
              <w:rPr>
                <w:rFonts w:ascii="GHEA Grapalat" w:hAnsi="GHEA Grapalat" w:cs="Calibri"/>
                <w:color w:val="A6A6A6"/>
                <w:sz w:val="18"/>
                <w:szCs w:val="18"/>
              </w:rPr>
              <w:t>5.6%</w:t>
            </w:r>
          </w:p>
        </w:tc>
        <w:tc>
          <w:tcPr>
            <w:tcW w:w="560" w:type="pct"/>
            <w:shd w:val="clear" w:color="auto" w:fill="auto"/>
            <w:noWrap/>
            <w:vAlign w:val="center"/>
          </w:tcPr>
          <w:p w14:paraId="5BCEFBC1" w14:textId="208A2AB0" w:rsidR="001F4070" w:rsidRPr="0022586A" w:rsidRDefault="001F4070" w:rsidP="001F4070">
            <w:pPr>
              <w:spacing w:before="0" w:after="0" w:line="240" w:lineRule="auto"/>
              <w:jc w:val="center"/>
              <w:rPr>
                <w:color w:val="A5A6AC" w:themeColor="accent3" w:themeTint="99"/>
                <w:sz w:val="18"/>
                <w:szCs w:val="18"/>
              </w:rPr>
            </w:pPr>
            <w:r>
              <w:rPr>
                <w:rFonts w:ascii="GHEA Grapalat" w:hAnsi="GHEA Grapalat" w:cs="Calibri"/>
                <w:color w:val="A6A6A6"/>
                <w:sz w:val="18"/>
                <w:szCs w:val="18"/>
              </w:rPr>
              <w:t>5.7%</w:t>
            </w:r>
          </w:p>
        </w:tc>
      </w:tr>
      <w:tr w:rsidR="001F4070" w:rsidRPr="0022586A" w14:paraId="33369379" w14:textId="77777777" w:rsidTr="00A506F2">
        <w:trPr>
          <w:trHeight w:val="360"/>
        </w:trPr>
        <w:tc>
          <w:tcPr>
            <w:tcW w:w="1206" w:type="pct"/>
            <w:shd w:val="clear" w:color="auto" w:fill="auto"/>
            <w:vAlign w:val="center"/>
            <w:hideMark/>
          </w:tcPr>
          <w:p w14:paraId="56E3E102" w14:textId="77777777" w:rsidR="001F4070" w:rsidRPr="0022586A" w:rsidRDefault="001F4070" w:rsidP="001F4070">
            <w:pPr>
              <w:spacing w:before="0" w:after="0" w:line="240" w:lineRule="auto"/>
              <w:rPr>
                <w:color w:val="A5A6AC" w:themeColor="accent3" w:themeTint="99"/>
                <w:sz w:val="18"/>
                <w:szCs w:val="18"/>
              </w:rPr>
            </w:pPr>
            <w:r w:rsidRPr="0022586A">
              <w:rPr>
                <w:color w:val="A5A6AC" w:themeColor="accent3" w:themeTint="99"/>
                <w:sz w:val="18"/>
                <w:szCs w:val="18"/>
              </w:rPr>
              <w:t xml:space="preserve">Ընդհանուրի նկատմամբ (%) </w:t>
            </w:r>
          </w:p>
        </w:tc>
        <w:tc>
          <w:tcPr>
            <w:tcW w:w="544" w:type="pct"/>
            <w:shd w:val="clear" w:color="auto" w:fill="auto"/>
            <w:noWrap/>
            <w:vAlign w:val="center"/>
          </w:tcPr>
          <w:p w14:paraId="7F3BF9F7" w14:textId="756F213D" w:rsidR="001F4070" w:rsidRPr="0022586A" w:rsidRDefault="001F4070" w:rsidP="001F4070">
            <w:pPr>
              <w:spacing w:before="0" w:after="0" w:line="240" w:lineRule="auto"/>
              <w:jc w:val="center"/>
              <w:rPr>
                <w:color w:val="A5A6AC" w:themeColor="accent3" w:themeTint="99"/>
                <w:sz w:val="18"/>
                <w:szCs w:val="18"/>
              </w:rPr>
            </w:pPr>
            <w:r>
              <w:rPr>
                <w:rFonts w:ascii="GHEA Grapalat" w:hAnsi="GHEA Grapalat" w:cs="Calibri"/>
                <w:color w:val="A6A6A6"/>
                <w:sz w:val="18"/>
                <w:szCs w:val="18"/>
              </w:rPr>
              <w:t>17.0%</w:t>
            </w:r>
          </w:p>
        </w:tc>
        <w:tc>
          <w:tcPr>
            <w:tcW w:w="516" w:type="pct"/>
            <w:shd w:val="clear" w:color="auto" w:fill="auto"/>
            <w:noWrap/>
            <w:vAlign w:val="center"/>
          </w:tcPr>
          <w:p w14:paraId="3AF17CAE" w14:textId="1A32BD80" w:rsidR="001F4070" w:rsidRPr="0022586A" w:rsidRDefault="001F4070" w:rsidP="001F4070">
            <w:pPr>
              <w:spacing w:before="0" w:after="0" w:line="240" w:lineRule="auto"/>
              <w:jc w:val="center"/>
              <w:rPr>
                <w:color w:val="A5A6AC" w:themeColor="accent3" w:themeTint="99"/>
                <w:sz w:val="18"/>
                <w:szCs w:val="18"/>
              </w:rPr>
            </w:pPr>
            <w:r>
              <w:rPr>
                <w:rFonts w:ascii="GHEA Grapalat" w:hAnsi="GHEA Grapalat" w:cs="Calibri"/>
                <w:color w:val="A6A6A6"/>
                <w:sz w:val="18"/>
                <w:szCs w:val="18"/>
              </w:rPr>
              <w:t>18.6%</w:t>
            </w:r>
          </w:p>
        </w:tc>
        <w:tc>
          <w:tcPr>
            <w:tcW w:w="511" w:type="pct"/>
            <w:shd w:val="clear" w:color="auto" w:fill="auto"/>
            <w:noWrap/>
            <w:vAlign w:val="center"/>
          </w:tcPr>
          <w:p w14:paraId="5D48F41A" w14:textId="61741079" w:rsidR="001F4070" w:rsidRPr="0022586A" w:rsidRDefault="001F4070" w:rsidP="001F4070">
            <w:pPr>
              <w:spacing w:before="0" w:after="0" w:line="240" w:lineRule="auto"/>
              <w:jc w:val="center"/>
              <w:rPr>
                <w:color w:val="A5A6AC" w:themeColor="accent3" w:themeTint="99"/>
                <w:sz w:val="18"/>
                <w:szCs w:val="18"/>
              </w:rPr>
            </w:pPr>
            <w:r>
              <w:rPr>
                <w:rFonts w:ascii="GHEA Grapalat" w:hAnsi="GHEA Grapalat" w:cs="Calibri"/>
                <w:color w:val="A6A6A6"/>
                <w:sz w:val="18"/>
                <w:szCs w:val="18"/>
              </w:rPr>
              <w:t>18.3%</w:t>
            </w:r>
          </w:p>
        </w:tc>
        <w:tc>
          <w:tcPr>
            <w:tcW w:w="539" w:type="pct"/>
            <w:shd w:val="clear" w:color="auto" w:fill="auto"/>
            <w:noWrap/>
            <w:vAlign w:val="center"/>
          </w:tcPr>
          <w:p w14:paraId="52C981EE" w14:textId="3CA8D11E" w:rsidR="001F4070" w:rsidRPr="0022586A" w:rsidRDefault="001F4070" w:rsidP="001F4070">
            <w:pPr>
              <w:spacing w:before="0" w:after="0" w:line="240" w:lineRule="auto"/>
              <w:jc w:val="center"/>
              <w:rPr>
                <w:color w:val="A5A6AC" w:themeColor="accent3" w:themeTint="99"/>
                <w:sz w:val="18"/>
                <w:szCs w:val="18"/>
              </w:rPr>
            </w:pPr>
            <w:r>
              <w:rPr>
                <w:rFonts w:ascii="GHEA Grapalat" w:hAnsi="GHEA Grapalat" w:cs="Calibri"/>
                <w:color w:val="A6A6A6"/>
                <w:sz w:val="18"/>
                <w:szCs w:val="18"/>
              </w:rPr>
              <w:t>21.4%</w:t>
            </w:r>
          </w:p>
        </w:tc>
        <w:tc>
          <w:tcPr>
            <w:tcW w:w="562" w:type="pct"/>
            <w:vAlign w:val="center"/>
          </w:tcPr>
          <w:p w14:paraId="46494BDE" w14:textId="28475910" w:rsidR="001F4070" w:rsidRDefault="001F4070" w:rsidP="001F4070">
            <w:pPr>
              <w:spacing w:before="0" w:after="0" w:line="240" w:lineRule="auto"/>
              <w:jc w:val="center"/>
              <w:rPr>
                <w:rFonts w:ascii="GHEA Grapalat" w:hAnsi="GHEA Grapalat" w:cs="Calibri"/>
                <w:color w:val="A6A6A6"/>
                <w:sz w:val="18"/>
                <w:szCs w:val="18"/>
              </w:rPr>
            </w:pPr>
            <w:r>
              <w:rPr>
                <w:rFonts w:ascii="GHEA Grapalat" w:hAnsi="GHEA Grapalat" w:cs="Calibri"/>
                <w:color w:val="A6A6A6"/>
                <w:sz w:val="18"/>
                <w:szCs w:val="18"/>
              </w:rPr>
              <w:t>19.4%</w:t>
            </w:r>
          </w:p>
        </w:tc>
        <w:tc>
          <w:tcPr>
            <w:tcW w:w="562" w:type="pct"/>
            <w:vAlign w:val="center"/>
          </w:tcPr>
          <w:p w14:paraId="784AE7AC" w14:textId="623A5096" w:rsidR="001F4070" w:rsidRDefault="001F4070" w:rsidP="001F4070">
            <w:pPr>
              <w:spacing w:before="0" w:after="0" w:line="240" w:lineRule="auto"/>
              <w:jc w:val="center"/>
              <w:rPr>
                <w:rFonts w:ascii="GHEA Grapalat" w:hAnsi="GHEA Grapalat" w:cs="Calibri"/>
                <w:color w:val="A6A6A6"/>
                <w:sz w:val="18"/>
                <w:szCs w:val="18"/>
              </w:rPr>
            </w:pPr>
            <w:r>
              <w:rPr>
                <w:rFonts w:ascii="GHEA Grapalat" w:hAnsi="GHEA Grapalat" w:cs="Calibri"/>
                <w:color w:val="A6A6A6"/>
                <w:sz w:val="18"/>
                <w:szCs w:val="18"/>
              </w:rPr>
              <w:t>18.9%</w:t>
            </w:r>
          </w:p>
        </w:tc>
        <w:tc>
          <w:tcPr>
            <w:tcW w:w="560" w:type="pct"/>
            <w:shd w:val="clear" w:color="auto" w:fill="auto"/>
            <w:noWrap/>
            <w:vAlign w:val="center"/>
          </w:tcPr>
          <w:p w14:paraId="178A644D" w14:textId="147908F2" w:rsidR="001F4070" w:rsidRPr="0022586A" w:rsidRDefault="001F4070" w:rsidP="001F4070">
            <w:pPr>
              <w:spacing w:before="0" w:after="0" w:line="240" w:lineRule="auto"/>
              <w:jc w:val="center"/>
              <w:rPr>
                <w:color w:val="A5A6AC" w:themeColor="accent3" w:themeTint="99"/>
                <w:sz w:val="18"/>
                <w:szCs w:val="18"/>
              </w:rPr>
            </w:pPr>
            <w:r>
              <w:rPr>
                <w:rFonts w:ascii="GHEA Grapalat" w:hAnsi="GHEA Grapalat" w:cs="Calibri"/>
                <w:color w:val="A6A6A6"/>
                <w:sz w:val="18"/>
                <w:szCs w:val="18"/>
              </w:rPr>
              <w:t>19.9%</w:t>
            </w:r>
          </w:p>
        </w:tc>
      </w:tr>
      <w:tr w:rsidR="002E5B93" w:rsidRPr="0022586A" w14:paraId="7373D5C3" w14:textId="77777777" w:rsidTr="004E6120">
        <w:trPr>
          <w:trHeight w:val="412"/>
        </w:trPr>
        <w:tc>
          <w:tcPr>
            <w:tcW w:w="1206" w:type="pct"/>
            <w:shd w:val="clear" w:color="auto" w:fill="D5DCE4" w:themeFill="text2" w:themeFillTint="33"/>
            <w:vAlign w:val="center"/>
            <w:hideMark/>
          </w:tcPr>
          <w:p w14:paraId="4FC456F5" w14:textId="77777777" w:rsidR="002E5B93" w:rsidRPr="0022586A" w:rsidRDefault="002E5B93" w:rsidP="002E5B93">
            <w:pPr>
              <w:spacing w:before="0" w:after="0" w:line="240" w:lineRule="auto"/>
              <w:rPr>
                <w:sz w:val="18"/>
                <w:szCs w:val="18"/>
              </w:rPr>
            </w:pPr>
            <w:r w:rsidRPr="0022586A">
              <w:rPr>
                <w:sz w:val="18"/>
                <w:szCs w:val="18"/>
              </w:rPr>
              <w:t>Պետական բյուջեի դեֆիցիտ</w:t>
            </w:r>
          </w:p>
        </w:tc>
        <w:tc>
          <w:tcPr>
            <w:tcW w:w="544" w:type="pct"/>
            <w:shd w:val="clear" w:color="auto" w:fill="D5DCE4" w:themeFill="text2" w:themeFillTint="33"/>
            <w:noWrap/>
            <w:vAlign w:val="center"/>
          </w:tcPr>
          <w:p w14:paraId="3A48D237" w14:textId="3D5575EE" w:rsidR="002E5B93" w:rsidRPr="0022586A" w:rsidRDefault="002E5B93" w:rsidP="002E5B93">
            <w:pPr>
              <w:spacing w:before="0" w:after="0" w:line="240" w:lineRule="auto"/>
              <w:jc w:val="center"/>
              <w:rPr>
                <w:sz w:val="18"/>
                <w:szCs w:val="18"/>
              </w:rPr>
            </w:pPr>
            <w:r>
              <w:rPr>
                <w:rFonts w:ascii="GHEA Grapalat" w:hAnsi="GHEA Grapalat" w:cs="Calibri"/>
                <w:b/>
                <w:bCs/>
                <w:color w:val="404040"/>
                <w:sz w:val="18"/>
                <w:szCs w:val="18"/>
              </w:rPr>
              <w:t>179.5</w:t>
            </w:r>
          </w:p>
        </w:tc>
        <w:tc>
          <w:tcPr>
            <w:tcW w:w="516" w:type="pct"/>
            <w:shd w:val="clear" w:color="auto" w:fill="D5DCE4" w:themeFill="text2" w:themeFillTint="33"/>
            <w:noWrap/>
            <w:vAlign w:val="center"/>
          </w:tcPr>
          <w:p w14:paraId="16B56053" w14:textId="394312B9" w:rsidR="002E5B93" w:rsidRPr="0022586A" w:rsidRDefault="002E5B93" w:rsidP="002E5B93">
            <w:pPr>
              <w:spacing w:before="0" w:after="0" w:line="240" w:lineRule="auto"/>
              <w:jc w:val="center"/>
              <w:rPr>
                <w:sz w:val="18"/>
                <w:szCs w:val="18"/>
              </w:rPr>
            </w:pPr>
            <w:r>
              <w:rPr>
                <w:rFonts w:ascii="GHEA Grapalat" w:hAnsi="GHEA Grapalat" w:cs="Calibri"/>
                <w:b/>
                <w:bCs/>
                <w:color w:val="404040"/>
                <w:sz w:val="18"/>
                <w:szCs w:val="18"/>
              </w:rPr>
              <w:t>188.9</w:t>
            </w:r>
          </w:p>
        </w:tc>
        <w:tc>
          <w:tcPr>
            <w:tcW w:w="511" w:type="pct"/>
            <w:shd w:val="clear" w:color="auto" w:fill="D5DCE4" w:themeFill="text2" w:themeFillTint="33"/>
            <w:noWrap/>
            <w:vAlign w:val="center"/>
          </w:tcPr>
          <w:p w14:paraId="473D098C" w14:textId="663D7F71" w:rsidR="002E5B93" w:rsidRPr="0022586A" w:rsidRDefault="002E5B93" w:rsidP="002E5B93">
            <w:pPr>
              <w:spacing w:before="0" w:after="0" w:line="240" w:lineRule="auto"/>
              <w:jc w:val="center"/>
              <w:rPr>
                <w:sz w:val="18"/>
                <w:szCs w:val="18"/>
              </w:rPr>
            </w:pPr>
            <w:r>
              <w:rPr>
                <w:rFonts w:ascii="GHEA Grapalat" w:hAnsi="GHEA Grapalat" w:cs="Calibri"/>
                <w:b/>
                <w:bCs/>
                <w:color w:val="404040"/>
                <w:sz w:val="18"/>
                <w:szCs w:val="18"/>
              </w:rPr>
              <w:t>376.1</w:t>
            </w:r>
          </w:p>
        </w:tc>
        <w:tc>
          <w:tcPr>
            <w:tcW w:w="539" w:type="pct"/>
            <w:shd w:val="clear" w:color="auto" w:fill="D5DCE4" w:themeFill="text2" w:themeFillTint="33"/>
            <w:noWrap/>
            <w:vAlign w:val="center"/>
          </w:tcPr>
          <w:p w14:paraId="0BA41EF2" w14:textId="0F250020" w:rsidR="002E5B93" w:rsidRPr="00867F0B" w:rsidRDefault="002E5B93" w:rsidP="002E5B93">
            <w:pPr>
              <w:spacing w:before="0" w:after="0" w:line="240" w:lineRule="auto"/>
              <w:jc w:val="center"/>
              <w:rPr>
                <w:sz w:val="18"/>
                <w:szCs w:val="18"/>
                <w:lang w:val="hy-AM"/>
              </w:rPr>
            </w:pPr>
            <w:r>
              <w:rPr>
                <w:rFonts w:ascii="GHEA Grapalat" w:hAnsi="GHEA Grapalat" w:cs="Calibri"/>
                <w:b/>
                <w:bCs/>
                <w:color w:val="404040"/>
                <w:sz w:val="18"/>
                <w:szCs w:val="18"/>
              </w:rPr>
              <w:t>604</w:t>
            </w:r>
            <w:r>
              <w:rPr>
                <w:rFonts w:ascii="GHEA Grapalat" w:hAnsi="GHEA Grapalat" w:cs="Calibri"/>
                <w:b/>
                <w:bCs/>
                <w:color w:val="404040"/>
                <w:sz w:val="18"/>
                <w:szCs w:val="18"/>
                <w:lang w:val="hy-AM"/>
              </w:rPr>
              <w:t>.0</w:t>
            </w:r>
          </w:p>
        </w:tc>
        <w:tc>
          <w:tcPr>
            <w:tcW w:w="562" w:type="pct"/>
            <w:shd w:val="clear" w:color="auto" w:fill="D5DCE4" w:themeFill="text2" w:themeFillTint="33"/>
            <w:vAlign w:val="center"/>
          </w:tcPr>
          <w:p w14:paraId="152B0B7B" w14:textId="65DFA846" w:rsidR="002E5B93" w:rsidRDefault="002E5B93" w:rsidP="002E5B93">
            <w:pPr>
              <w:spacing w:before="0" w:after="0" w:line="240" w:lineRule="auto"/>
              <w:jc w:val="center"/>
              <w:rPr>
                <w:rFonts w:ascii="GHEA Grapalat" w:hAnsi="GHEA Grapalat" w:cs="Calibri"/>
                <w:b/>
                <w:bCs/>
                <w:color w:val="404040"/>
                <w:sz w:val="18"/>
                <w:szCs w:val="18"/>
              </w:rPr>
            </w:pPr>
            <w:r>
              <w:rPr>
                <w:rFonts w:ascii="GHEA Grapalat" w:hAnsi="GHEA Grapalat" w:cs="Calibri"/>
                <w:b/>
                <w:bCs/>
                <w:color w:val="404040"/>
                <w:sz w:val="18"/>
                <w:szCs w:val="18"/>
              </w:rPr>
              <w:t xml:space="preserve">536.8 </w:t>
            </w:r>
          </w:p>
        </w:tc>
        <w:tc>
          <w:tcPr>
            <w:tcW w:w="562" w:type="pct"/>
            <w:shd w:val="clear" w:color="auto" w:fill="D5DCE4" w:themeFill="text2" w:themeFillTint="33"/>
            <w:vAlign w:val="center"/>
          </w:tcPr>
          <w:p w14:paraId="50FBAA45" w14:textId="608E442A" w:rsidR="002E5B93" w:rsidRDefault="002E5B93" w:rsidP="002E5B93">
            <w:pPr>
              <w:spacing w:before="0" w:after="0" w:line="240" w:lineRule="auto"/>
              <w:jc w:val="center"/>
              <w:rPr>
                <w:rFonts w:ascii="GHEA Grapalat" w:hAnsi="GHEA Grapalat" w:cs="Calibri"/>
                <w:b/>
                <w:bCs/>
                <w:color w:val="404040"/>
                <w:sz w:val="18"/>
                <w:szCs w:val="18"/>
              </w:rPr>
            </w:pPr>
            <w:r>
              <w:rPr>
                <w:rFonts w:ascii="GHEA Grapalat" w:hAnsi="GHEA Grapalat" w:cs="Calibri"/>
                <w:b/>
                <w:bCs/>
                <w:color w:val="404040"/>
                <w:sz w:val="18"/>
                <w:szCs w:val="18"/>
              </w:rPr>
              <w:t xml:space="preserve">448.4 </w:t>
            </w:r>
          </w:p>
        </w:tc>
        <w:tc>
          <w:tcPr>
            <w:tcW w:w="560" w:type="pct"/>
            <w:shd w:val="clear" w:color="auto" w:fill="D5DCE4" w:themeFill="text2" w:themeFillTint="33"/>
            <w:noWrap/>
            <w:vAlign w:val="center"/>
          </w:tcPr>
          <w:p w14:paraId="3243F0A6" w14:textId="5D16DDFE" w:rsidR="002E5B93" w:rsidRPr="00732944" w:rsidRDefault="002E5B93" w:rsidP="002E5B93">
            <w:pPr>
              <w:spacing w:before="0" w:after="0" w:line="240" w:lineRule="auto"/>
              <w:jc w:val="center"/>
              <w:rPr>
                <w:sz w:val="18"/>
                <w:szCs w:val="18"/>
                <w:lang w:val="hy-AM"/>
              </w:rPr>
            </w:pPr>
            <w:r>
              <w:rPr>
                <w:rFonts w:ascii="GHEA Grapalat" w:hAnsi="GHEA Grapalat" w:cs="Calibri"/>
                <w:b/>
                <w:bCs/>
                <w:color w:val="404040"/>
                <w:sz w:val="18"/>
                <w:szCs w:val="18"/>
              </w:rPr>
              <w:t xml:space="preserve">392.4 </w:t>
            </w:r>
          </w:p>
        </w:tc>
      </w:tr>
      <w:tr w:rsidR="002E5B93" w:rsidRPr="0022586A" w14:paraId="6758982B" w14:textId="77777777" w:rsidTr="00A506F2">
        <w:trPr>
          <w:trHeight w:val="360"/>
        </w:trPr>
        <w:tc>
          <w:tcPr>
            <w:tcW w:w="1206" w:type="pct"/>
            <w:shd w:val="clear" w:color="auto" w:fill="auto"/>
            <w:vAlign w:val="center"/>
            <w:hideMark/>
          </w:tcPr>
          <w:p w14:paraId="3DDC824A" w14:textId="77777777" w:rsidR="002E5B93" w:rsidRPr="0022586A" w:rsidRDefault="002E5B93" w:rsidP="002E5B93">
            <w:pPr>
              <w:spacing w:before="0" w:after="0" w:line="240" w:lineRule="auto"/>
              <w:rPr>
                <w:color w:val="A5A6AC" w:themeColor="accent3" w:themeTint="99"/>
                <w:sz w:val="18"/>
                <w:szCs w:val="18"/>
              </w:rPr>
            </w:pPr>
            <w:r w:rsidRPr="0022586A">
              <w:rPr>
                <w:color w:val="A5A6AC" w:themeColor="accent3" w:themeTint="99"/>
                <w:sz w:val="18"/>
                <w:szCs w:val="18"/>
              </w:rPr>
              <w:t xml:space="preserve">ՀՆԱ-ի նկատմամբ (%) </w:t>
            </w:r>
          </w:p>
        </w:tc>
        <w:tc>
          <w:tcPr>
            <w:tcW w:w="544" w:type="pct"/>
            <w:shd w:val="clear" w:color="auto" w:fill="auto"/>
            <w:noWrap/>
            <w:vAlign w:val="center"/>
          </w:tcPr>
          <w:p w14:paraId="4F7F32D0" w14:textId="66C7C492" w:rsidR="002E5B93" w:rsidRPr="0022586A" w:rsidRDefault="002E5B93" w:rsidP="002E5B93">
            <w:pPr>
              <w:spacing w:before="0" w:after="0" w:line="240" w:lineRule="auto"/>
              <w:jc w:val="center"/>
              <w:rPr>
                <w:color w:val="A5A6AC" w:themeColor="accent3" w:themeTint="99"/>
                <w:sz w:val="18"/>
                <w:szCs w:val="18"/>
              </w:rPr>
            </w:pPr>
            <w:r>
              <w:rPr>
                <w:rFonts w:ascii="GHEA Grapalat" w:hAnsi="GHEA Grapalat" w:cs="Calibri"/>
                <w:color w:val="A6A6A6"/>
                <w:sz w:val="18"/>
                <w:szCs w:val="18"/>
              </w:rPr>
              <w:t>2.1%</w:t>
            </w:r>
          </w:p>
        </w:tc>
        <w:tc>
          <w:tcPr>
            <w:tcW w:w="516" w:type="pct"/>
            <w:shd w:val="clear" w:color="auto" w:fill="auto"/>
            <w:noWrap/>
            <w:vAlign w:val="center"/>
          </w:tcPr>
          <w:p w14:paraId="5DCD3EE9" w14:textId="0E6720B1" w:rsidR="002E5B93" w:rsidRPr="0022586A" w:rsidRDefault="002E5B93" w:rsidP="002E5B93">
            <w:pPr>
              <w:spacing w:before="0" w:after="0" w:line="240" w:lineRule="auto"/>
              <w:jc w:val="center"/>
              <w:rPr>
                <w:color w:val="A5A6AC" w:themeColor="accent3" w:themeTint="99"/>
                <w:sz w:val="18"/>
                <w:szCs w:val="18"/>
              </w:rPr>
            </w:pPr>
            <w:r>
              <w:rPr>
                <w:rFonts w:ascii="GHEA Grapalat" w:hAnsi="GHEA Grapalat" w:cs="Calibri"/>
                <w:color w:val="A6A6A6"/>
                <w:sz w:val="18"/>
                <w:szCs w:val="18"/>
              </w:rPr>
              <w:t>2.0%</w:t>
            </w:r>
          </w:p>
        </w:tc>
        <w:tc>
          <w:tcPr>
            <w:tcW w:w="511" w:type="pct"/>
            <w:shd w:val="clear" w:color="auto" w:fill="auto"/>
            <w:noWrap/>
            <w:vAlign w:val="center"/>
          </w:tcPr>
          <w:p w14:paraId="25F35952" w14:textId="7E44AD09" w:rsidR="002E5B93" w:rsidRPr="0022586A" w:rsidRDefault="002E5B93" w:rsidP="002E5B93">
            <w:pPr>
              <w:spacing w:before="0" w:after="0" w:line="240" w:lineRule="auto"/>
              <w:jc w:val="center"/>
              <w:rPr>
                <w:color w:val="A5A6AC" w:themeColor="accent3" w:themeTint="99"/>
                <w:sz w:val="18"/>
                <w:szCs w:val="18"/>
              </w:rPr>
            </w:pPr>
            <w:r>
              <w:rPr>
                <w:rFonts w:ascii="GHEA Grapalat" w:hAnsi="GHEA Grapalat" w:cs="Calibri"/>
                <w:color w:val="A6A6A6"/>
                <w:sz w:val="18"/>
                <w:szCs w:val="18"/>
              </w:rPr>
              <w:t>3.7%</w:t>
            </w:r>
          </w:p>
        </w:tc>
        <w:tc>
          <w:tcPr>
            <w:tcW w:w="539" w:type="pct"/>
            <w:shd w:val="clear" w:color="auto" w:fill="auto"/>
            <w:noWrap/>
            <w:vAlign w:val="center"/>
          </w:tcPr>
          <w:p w14:paraId="03B66F1E" w14:textId="2BAF34F2" w:rsidR="002E5B93" w:rsidRPr="0022586A" w:rsidRDefault="002E5B93" w:rsidP="002E5B93">
            <w:pPr>
              <w:spacing w:before="0" w:after="0" w:line="240" w:lineRule="auto"/>
              <w:jc w:val="center"/>
              <w:rPr>
                <w:color w:val="A5A6AC" w:themeColor="accent3" w:themeTint="99"/>
                <w:sz w:val="18"/>
                <w:szCs w:val="18"/>
              </w:rPr>
            </w:pPr>
            <w:r>
              <w:rPr>
                <w:rFonts w:ascii="GHEA Grapalat" w:hAnsi="GHEA Grapalat" w:cs="Calibri"/>
                <w:color w:val="A6A6A6"/>
                <w:sz w:val="18"/>
                <w:szCs w:val="18"/>
              </w:rPr>
              <w:t>5.5%</w:t>
            </w:r>
          </w:p>
        </w:tc>
        <w:tc>
          <w:tcPr>
            <w:tcW w:w="562" w:type="pct"/>
            <w:vAlign w:val="center"/>
          </w:tcPr>
          <w:p w14:paraId="306167AB" w14:textId="6987CD41" w:rsidR="002E5B93" w:rsidRDefault="002E5B93" w:rsidP="002E5B93">
            <w:pPr>
              <w:spacing w:before="0" w:after="0" w:line="240" w:lineRule="auto"/>
              <w:jc w:val="center"/>
              <w:rPr>
                <w:rFonts w:ascii="GHEA Grapalat" w:hAnsi="GHEA Grapalat" w:cs="Calibri"/>
                <w:color w:val="A6A6A6"/>
                <w:sz w:val="18"/>
                <w:szCs w:val="18"/>
              </w:rPr>
            </w:pPr>
            <w:r>
              <w:rPr>
                <w:rFonts w:ascii="GHEA Grapalat" w:hAnsi="GHEA Grapalat" w:cs="Calibri"/>
                <w:color w:val="A6A6A6"/>
                <w:sz w:val="18"/>
                <w:szCs w:val="18"/>
              </w:rPr>
              <w:t>4.5%</w:t>
            </w:r>
          </w:p>
        </w:tc>
        <w:tc>
          <w:tcPr>
            <w:tcW w:w="562" w:type="pct"/>
            <w:vAlign w:val="center"/>
          </w:tcPr>
          <w:p w14:paraId="1B5805A5" w14:textId="5E6DFB89" w:rsidR="002E5B93" w:rsidRDefault="002E5B93" w:rsidP="002E5B93">
            <w:pPr>
              <w:spacing w:before="0" w:after="0" w:line="240" w:lineRule="auto"/>
              <w:jc w:val="center"/>
              <w:rPr>
                <w:rFonts w:ascii="GHEA Grapalat" w:hAnsi="GHEA Grapalat" w:cs="Calibri"/>
                <w:color w:val="A6A6A6"/>
                <w:sz w:val="18"/>
                <w:szCs w:val="18"/>
              </w:rPr>
            </w:pPr>
            <w:r>
              <w:rPr>
                <w:rFonts w:ascii="GHEA Grapalat" w:hAnsi="GHEA Grapalat" w:cs="Calibri"/>
                <w:color w:val="A6A6A6"/>
                <w:sz w:val="18"/>
                <w:szCs w:val="18"/>
              </w:rPr>
              <w:t>3.5%</w:t>
            </w:r>
          </w:p>
        </w:tc>
        <w:tc>
          <w:tcPr>
            <w:tcW w:w="560" w:type="pct"/>
            <w:shd w:val="clear" w:color="auto" w:fill="auto"/>
            <w:noWrap/>
            <w:vAlign w:val="center"/>
          </w:tcPr>
          <w:p w14:paraId="08D17A97" w14:textId="06FA3AD9" w:rsidR="002E5B93" w:rsidRPr="0022586A" w:rsidRDefault="002E5B93" w:rsidP="002E5B93">
            <w:pPr>
              <w:spacing w:before="0" w:after="0" w:line="240" w:lineRule="auto"/>
              <w:jc w:val="center"/>
              <w:rPr>
                <w:color w:val="A5A6AC" w:themeColor="accent3" w:themeTint="99"/>
                <w:sz w:val="18"/>
                <w:szCs w:val="18"/>
              </w:rPr>
            </w:pPr>
            <w:r>
              <w:rPr>
                <w:rFonts w:ascii="GHEA Grapalat" w:hAnsi="GHEA Grapalat" w:cs="Calibri"/>
                <w:color w:val="A6A6A6"/>
                <w:sz w:val="18"/>
                <w:szCs w:val="18"/>
              </w:rPr>
              <w:t>2.8%</w:t>
            </w:r>
          </w:p>
        </w:tc>
      </w:tr>
      <w:tr w:rsidR="002E5B93" w:rsidRPr="0022586A" w14:paraId="0C7762EA" w14:textId="77777777" w:rsidTr="00A506F2">
        <w:trPr>
          <w:trHeight w:val="360"/>
        </w:trPr>
        <w:tc>
          <w:tcPr>
            <w:tcW w:w="1206" w:type="pct"/>
            <w:shd w:val="clear" w:color="auto" w:fill="auto"/>
            <w:vAlign w:val="center"/>
            <w:hideMark/>
          </w:tcPr>
          <w:p w14:paraId="4CD294FE" w14:textId="77777777" w:rsidR="002E5B93" w:rsidRPr="0022586A" w:rsidRDefault="002E5B93" w:rsidP="002E5B93">
            <w:pPr>
              <w:spacing w:before="0" w:after="0" w:line="240" w:lineRule="auto"/>
              <w:rPr>
                <w:sz w:val="18"/>
                <w:szCs w:val="18"/>
              </w:rPr>
            </w:pPr>
            <w:r w:rsidRPr="0022586A">
              <w:rPr>
                <w:sz w:val="18"/>
                <w:szCs w:val="18"/>
              </w:rPr>
              <w:t>Անվանական ՀՆԱ</w:t>
            </w:r>
          </w:p>
        </w:tc>
        <w:tc>
          <w:tcPr>
            <w:tcW w:w="544" w:type="pct"/>
            <w:shd w:val="clear" w:color="auto" w:fill="auto"/>
            <w:noWrap/>
            <w:vAlign w:val="center"/>
          </w:tcPr>
          <w:p w14:paraId="45AAB947" w14:textId="1E70E88F" w:rsidR="002E5B93" w:rsidRPr="0022586A" w:rsidRDefault="002E5B93" w:rsidP="002E5B93">
            <w:pPr>
              <w:spacing w:before="0" w:after="0" w:line="240" w:lineRule="auto"/>
              <w:jc w:val="center"/>
              <w:rPr>
                <w:sz w:val="18"/>
                <w:szCs w:val="18"/>
              </w:rPr>
            </w:pPr>
            <w:r>
              <w:rPr>
                <w:rFonts w:ascii="GHEA Grapalat" w:hAnsi="GHEA Grapalat" w:cs="Calibri"/>
                <w:color w:val="404040"/>
                <w:sz w:val="18"/>
                <w:szCs w:val="18"/>
              </w:rPr>
              <w:t>8</w:t>
            </w:r>
            <w:r w:rsidR="00731C41">
              <w:rPr>
                <w:rFonts w:ascii="GHEA Grapalat" w:hAnsi="GHEA Grapalat" w:cs="Calibri"/>
                <w:color w:val="404040"/>
                <w:sz w:val="18"/>
                <w:szCs w:val="18"/>
              </w:rPr>
              <w:t>,</w:t>
            </w:r>
            <w:r>
              <w:rPr>
                <w:rFonts w:ascii="GHEA Grapalat" w:hAnsi="GHEA Grapalat" w:cs="Calibri"/>
                <w:color w:val="404040"/>
                <w:sz w:val="18"/>
                <w:szCs w:val="18"/>
              </w:rPr>
              <w:t>501.4</w:t>
            </w:r>
          </w:p>
        </w:tc>
        <w:tc>
          <w:tcPr>
            <w:tcW w:w="516" w:type="pct"/>
            <w:shd w:val="clear" w:color="auto" w:fill="auto"/>
            <w:noWrap/>
            <w:vAlign w:val="center"/>
          </w:tcPr>
          <w:p w14:paraId="4192ACF0" w14:textId="3A76E6A7" w:rsidR="002E5B93" w:rsidRPr="0022586A" w:rsidRDefault="002E5B93" w:rsidP="002E5B93">
            <w:pPr>
              <w:spacing w:before="0" w:after="0" w:line="240" w:lineRule="auto"/>
              <w:jc w:val="center"/>
              <w:rPr>
                <w:sz w:val="18"/>
                <w:szCs w:val="18"/>
              </w:rPr>
            </w:pPr>
            <w:r>
              <w:rPr>
                <w:rFonts w:ascii="GHEA Grapalat" w:hAnsi="GHEA Grapalat" w:cs="Calibri"/>
                <w:color w:val="404040"/>
                <w:sz w:val="18"/>
                <w:szCs w:val="18"/>
              </w:rPr>
              <w:t>9</w:t>
            </w:r>
            <w:r w:rsidR="00731C41">
              <w:rPr>
                <w:rFonts w:ascii="GHEA Grapalat" w:hAnsi="GHEA Grapalat" w:cs="Calibri"/>
                <w:color w:val="404040"/>
                <w:sz w:val="18"/>
                <w:szCs w:val="18"/>
              </w:rPr>
              <w:t>,</w:t>
            </w:r>
            <w:r>
              <w:rPr>
                <w:rFonts w:ascii="GHEA Grapalat" w:hAnsi="GHEA Grapalat" w:cs="Calibri"/>
                <w:color w:val="404040"/>
                <w:sz w:val="18"/>
                <w:szCs w:val="18"/>
              </w:rPr>
              <w:t>492.5</w:t>
            </w:r>
          </w:p>
        </w:tc>
        <w:tc>
          <w:tcPr>
            <w:tcW w:w="511" w:type="pct"/>
            <w:shd w:val="clear" w:color="auto" w:fill="auto"/>
            <w:noWrap/>
            <w:vAlign w:val="center"/>
          </w:tcPr>
          <w:p w14:paraId="33014C5A" w14:textId="1A09EF93" w:rsidR="002E5B93" w:rsidRPr="0022586A" w:rsidRDefault="002E5B93" w:rsidP="002E5B93">
            <w:pPr>
              <w:spacing w:before="0" w:after="0" w:line="240" w:lineRule="auto"/>
              <w:jc w:val="center"/>
              <w:rPr>
                <w:sz w:val="18"/>
                <w:szCs w:val="18"/>
              </w:rPr>
            </w:pPr>
            <w:r>
              <w:rPr>
                <w:rFonts w:ascii="GHEA Grapalat" w:hAnsi="GHEA Grapalat" w:cs="Calibri"/>
                <w:color w:val="404040"/>
                <w:sz w:val="18"/>
                <w:szCs w:val="18"/>
              </w:rPr>
              <w:t>10</w:t>
            </w:r>
            <w:r>
              <w:rPr>
                <w:rFonts w:ascii="GHEA Grapalat" w:hAnsi="GHEA Grapalat" w:cs="Calibri"/>
                <w:color w:val="404040"/>
                <w:sz w:val="18"/>
                <w:szCs w:val="18"/>
                <w:lang w:val="hy-AM"/>
              </w:rPr>
              <w:t>,</w:t>
            </w:r>
            <w:r>
              <w:rPr>
                <w:rFonts w:ascii="GHEA Grapalat" w:hAnsi="GHEA Grapalat" w:cs="Calibri"/>
                <w:color w:val="404040"/>
                <w:sz w:val="18"/>
                <w:szCs w:val="18"/>
              </w:rPr>
              <w:t>193.4</w:t>
            </w:r>
          </w:p>
        </w:tc>
        <w:tc>
          <w:tcPr>
            <w:tcW w:w="539" w:type="pct"/>
            <w:shd w:val="clear" w:color="auto" w:fill="auto"/>
            <w:noWrap/>
            <w:vAlign w:val="center"/>
          </w:tcPr>
          <w:p w14:paraId="53DAF861" w14:textId="7D3B6070" w:rsidR="002E5B93" w:rsidRPr="0022586A" w:rsidRDefault="002E5B93" w:rsidP="002E5B93">
            <w:pPr>
              <w:spacing w:before="0" w:after="0" w:line="240" w:lineRule="auto"/>
              <w:jc w:val="center"/>
              <w:rPr>
                <w:sz w:val="18"/>
                <w:szCs w:val="18"/>
              </w:rPr>
            </w:pPr>
            <w:r>
              <w:rPr>
                <w:rFonts w:ascii="GHEA Grapalat" w:hAnsi="GHEA Grapalat" w:cs="Calibri"/>
                <w:color w:val="404040"/>
                <w:sz w:val="18"/>
                <w:szCs w:val="18"/>
              </w:rPr>
              <w:t>10</w:t>
            </w:r>
            <w:r>
              <w:rPr>
                <w:rFonts w:ascii="GHEA Grapalat" w:hAnsi="GHEA Grapalat" w:cs="Calibri"/>
                <w:color w:val="404040"/>
                <w:sz w:val="18"/>
                <w:szCs w:val="18"/>
                <w:lang w:val="hy-AM"/>
              </w:rPr>
              <w:t>,</w:t>
            </w:r>
            <w:r>
              <w:rPr>
                <w:rFonts w:ascii="GHEA Grapalat" w:hAnsi="GHEA Grapalat" w:cs="Calibri"/>
                <w:color w:val="404040"/>
                <w:sz w:val="18"/>
                <w:szCs w:val="18"/>
              </w:rPr>
              <w:t>891.5</w:t>
            </w:r>
          </w:p>
        </w:tc>
        <w:tc>
          <w:tcPr>
            <w:tcW w:w="562" w:type="pct"/>
            <w:vAlign w:val="center"/>
          </w:tcPr>
          <w:p w14:paraId="6D41BC0E" w14:textId="2CBB1A69" w:rsidR="002E5B93" w:rsidRDefault="002E5B93" w:rsidP="002E5B93">
            <w:pPr>
              <w:spacing w:before="0" w:after="0" w:line="240" w:lineRule="auto"/>
              <w:jc w:val="center"/>
              <w:rPr>
                <w:rFonts w:ascii="GHEA Grapalat" w:hAnsi="GHEA Grapalat" w:cs="Calibri"/>
                <w:color w:val="404040"/>
                <w:sz w:val="18"/>
                <w:szCs w:val="18"/>
              </w:rPr>
            </w:pPr>
            <w:r>
              <w:rPr>
                <w:rFonts w:ascii="GHEA Grapalat" w:hAnsi="GHEA Grapalat" w:cs="Calibri"/>
                <w:color w:val="404040"/>
                <w:sz w:val="18"/>
                <w:szCs w:val="18"/>
              </w:rPr>
              <w:t xml:space="preserve">11,933.7 </w:t>
            </w:r>
          </w:p>
        </w:tc>
        <w:tc>
          <w:tcPr>
            <w:tcW w:w="562" w:type="pct"/>
            <w:vAlign w:val="center"/>
          </w:tcPr>
          <w:p w14:paraId="38CC7136" w14:textId="55D28E00" w:rsidR="002E5B93" w:rsidRDefault="002E5B93" w:rsidP="002E5B93">
            <w:pPr>
              <w:spacing w:before="0" w:after="0" w:line="240" w:lineRule="auto"/>
              <w:jc w:val="center"/>
              <w:rPr>
                <w:rFonts w:ascii="GHEA Grapalat" w:hAnsi="GHEA Grapalat" w:cs="Calibri"/>
                <w:color w:val="404040"/>
                <w:sz w:val="18"/>
                <w:szCs w:val="18"/>
              </w:rPr>
            </w:pPr>
            <w:r>
              <w:rPr>
                <w:rFonts w:ascii="GHEA Grapalat" w:hAnsi="GHEA Grapalat" w:cs="Calibri"/>
                <w:color w:val="404040"/>
                <w:sz w:val="18"/>
                <w:szCs w:val="18"/>
              </w:rPr>
              <w:t xml:space="preserve">12,952.8 </w:t>
            </w:r>
          </w:p>
        </w:tc>
        <w:tc>
          <w:tcPr>
            <w:tcW w:w="560" w:type="pct"/>
            <w:shd w:val="clear" w:color="auto" w:fill="auto"/>
            <w:noWrap/>
            <w:vAlign w:val="center"/>
          </w:tcPr>
          <w:p w14:paraId="1277795B" w14:textId="1E4C5BBF" w:rsidR="002E5B93" w:rsidRPr="0022586A" w:rsidRDefault="002E5B93" w:rsidP="002E5B93">
            <w:pPr>
              <w:spacing w:before="0" w:after="0" w:line="240" w:lineRule="auto"/>
              <w:jc w:val="center"/>
              <w:rPr>
                <w:sz w:val="18"/>
                <w:szCs w:val="18"/>
              </w:rPr>
            </w:pPr>
            <w:r>
              <w:rPr>
                <w:rFonts w:ascii="GHEA Grapalat" w:hAnsi="GHEA Grapalat" w:cs="Calibri"/>
                <w:color w:val="404040"/>
                <w:sz w:val="18"/>
                <w:szCs w:val="18"/>
              </w:rPr>
              <w:t xml:space="preserve">14,050.8 </w:t>
            </w:r>
          </w:p>
        </w:tc>
      </w:tr>
    </w:tbl>
    <w:p w14:paraId="5B1A7017" w14:textId="0CBDC59D" w:rsidR="00F57301" w:rsidRPr="00284D44" w:rsidRDefault="00284D44" w:rsidP="00786D09">
      <w:pPr>
        <w:jc w:val="both"/>
        <w:rPr>
          <w:i/>
          <w:sz w:val="16"/>
          <w:lang w:val="hy-AM"/>
        </w:rPr>
      </w:pPr>
      <w:r w:rsidRPr="00284D44">
        <w:rPr>
          <w:i/>
          <w:sz w:val="16"/>
        </w:rPr>
        <w:t>*</w:t>
      </w:r>
      <w:r w:rsidR="00146BFC" w:rsidRPr="00146BFC">
        <w:rPr>
          <w:i/>
          <w:sz w:val="16"/>
        </w:rPr>
        <w:t>2022-</w:t>
      </w:r>
      <w:r w:rsidRPr="00284D44">
        <w:rPr>
          <w:i/>
          <w:sz w:val="16"/>
        </w:rPr>
        <w:t xml:space="preserve">2023 </w:t>
      </w:r>
      <w:r w:rsidRPr="00284D44">
        <w:rPr>
          <w:i/>
          <w:sz w:val="16"/>
          <w:lang w:val="hy-AM"/>
        </w:rPr>
        <w:t>թվական</w:t>
      </w:r>
      <w:r w:rsidR="00146BFC">
        <w:rPr>
          <w:i/>
          <w:sz w:val="16"/>
          <w:lang w:val="hy-AM"/>
        </w:rPr>
        <w:t>ներ</w:t>
      </w:r>
      <w:r w:rsidRPr="00284D44">
        <w:rPr>
          <w:i/>
          <w:sz w:val="16"/>
          <w:lang w:val="hy-AM"/>
        </w:rPr>
        <w:t>ի պետական բյուջեի եկամուտների</w:t>
      </w:r>
      <w:r w:rsidR="00146BFC">
        <w:rPr>
          <w:i/>
          <w:sz w:val="16"/>
          <w:lang w:val="hy-AM"/>
        </w:rPr>
        <w:t xml:space="preserve"> և ծախսերի</w:t>
      </w:r>
      <w:r w:rsidRPr="00284D44">
        <w:rPr>
          <w:i/>
          <w:sz w:val="16"/>
          <w:lang w:val="hy-AM"/>
        </w:rPr>
        <w:t xml:space="preserve"> փաստացի տվյալներում ներառված է նաև հի</w:t>
      </w:r>
      <w:r w:rsidR="00E5391F">
        <w:rPr>
          <w:i/>
          <w:sz w:val="16"/>
          <w:lang w:val="hy-AM"/>
        </w:rPr>
        <w:t>փ</w:t>
      </w:r>
      <w:r w:rsidRPr="00284D44">
        <w:rPr>
          <w:i/>
          <w:sz w:val="16"/>
          <w:lang w:val="hy-AM"/>
        </w:rPr>
        <w:t>ոթեքային վարկի վճարված տոկոսների վերադարձ</w:t>
      </w:r>
      <w:r>
        <w:rPr>
          <w:i/>
          <w:sz w:val="16"/>
          <w:lang w:val="hy-AM"/>
        </w:rPr>
        <w:t>ի</w:t>
      </w:r>
      <w:r w:rsidR="00F956BB" w:rsidRPr="00284D44">
        <w:rPr>
          <w:i/>
          <w:sz w:val="16"/>
          <w:lang w:val="hy-AM"/>
        </w:rPr>
        <w:t xml:space="preserve"> </w:t>
      </w:r>
      <w:r w:rsidR="00F956BB">
        <w:rPr>
          <w:i/>
          <w:sz w:val="16"/>
          <w:lang w:val="hy-AM"/>
        </w:rPr>
        <w:t>գումարները</w:t>
      </w:r>
      <w:r w:rsidR="00D71D53">
        <w:rPr>
          <w:i/>
          <w:sz w:val="16"/>
          <w:lang w:val="hy-AM"/>
        </w:rPr>
        <w:t>՝ համապատասխանաբար 36.5 և 52.0 մլրդ դրամ:</w:t>
      </w:r>
    </w:p>
    <w:p w14:paraId="48295FE5" w14:textId="77777777" w:rsidR="00A506F2" w:rsidRDefault="00A506F2" w:rsidP="00786D09">
      <w:pPr>
        <w:pStyle w:val="BodyText1"/>
        <w:ind w:left="0"/>
        <w:rPr>
          <w:lang w:val="hy-AM"/>
        </w:rPr>
      </w:pPr>
    </w:p>
    <w:p w14:paraId="204B0E54" w14:textId="5154A85A" w:rsidR="00F57301" w:rsidRPr="00FF02CC" w:rsidRDefault="00F57301" w:rsidP="00786D09">
      <w:pPr>
        <w:pStyle w:val="BodyText1"/>
        <w:ind w:left="0"/>
        <w:rPr>
          <w:lang w:val="hy-AM"/>
        </w:rPr>
      </w:pPr>
      <w:r w:rsidRPr="00E77731">
        <w:rPr>
          <w:lang w:val="hy-AM"/>
        </w:rPr>
        <w:t xml:space="preserve">Հիմք </w:t>
      </w:r>
      <w:r w:rsidRPr="00867F0B">
        <w:rPr>
          <w:lang w:val="hy-AM"/>
        </w:rPr>
        <w:t>ընդունելով ՀՆԱ-ի</w:t>
      </w:r>
      <w:r w:rsidR="00AD71B4" w:rsidRPr="00867F0B">
        <w:rPr>
          <w:lang w:val="hy-AM"/>
        </w:rPr>
        <w:t xml:space="preserve"> </w:t>
      </w:r>
      <w:r w:rsidR="00867F0B" w:rsidRPr="00867F0B">
        <w:rPr>
          <w:lang w:val="hy-AM"/>
        </w:rPr>
        <w:t>25.9</w:t>
      </w:r>
      <w:r w:rsidRPr="00867F0B">
        <w:rPr>
          <w:lang w:val="hy-AM"/>
        </w:rPr>
        <w:t>%-ի</w:t>
      </w:r>
      <w:r w:rsidRPr="00E77731">
        <w:rPr>
          <w:lang w:val="hy-AM"/>
        </w:rPr>
        <w:t xml:space="preserve"> չափով կանխատեսված ՀՀ</w:t>
      </w:r>
      <w:r w:rsidR="00F13E3D">
        <w:rPr>
          <w:lang w:val="hy-AM"/>
        </w:rPr>
        <w:t xml:space="preserve"> 2026</w:t>
      </w:r>
      <w:r w:rsidRPr="00E77731">
        <w:rPr>
          <w:lang w:val="hy-AM"/>
        </w:rPr>
        <w:t xml:space="preserve"> թվականի պե</w:t>
      </w:r>
      <w:r w:rsidRPr="00E77731">
        <w:rPr>
          <w:lang w:val="hy-AM"/>
        </w:rPr>
        <w:softHyphen/>
        <w:t>տա</w:t>
      </w:r>
      <w:r w:rsidRPr="00E77731">
        <w:rPr>
          <w:lang w:val="hy-AM"/>
        </w:rPr>
        <w:softHyphen/>
        <w:t>կան բյու</w:t>
      </w:r>
      <w:r w:rsidRPr="00E77731">
        <w:rPr>
          <w:lang w:val="hy-AM"/>
        </w:rPr>
        <w:softHyphen/>
        <w:t>ջեի եկամուտների մակարդակը և ելնելով ՀՆԱ-</w:t>
      </w:r>
      <w:r w:rsidRPr="00867F0B">
        <w:rPr>
          <w:lang w:val="hy-AM"/>
        </w:rPr>
        <w:t xml:space="preserve">ի </w:t>
      </w:r>
      <w:r w:rsidR="00867F0B" w:rsidRPr="00867F0B">
        <w:rPr>
          <w:lang w:val="hy-AM"/>
        </w:rPr>
        <w:t>4</w:t>
      </w:r>
      <w:r w:rsidR="009E2A37">
        <w:rPr>
          <w:lang w:val="hy-AM"/>
        </w:rPr>
        <w:t>.5</w:t>
      </w:r>
      <w:r w:rsidRPr="00867F0B">
        <w:rPr>
          <w:lang w:val="hy-AM"/>
        </w:rPr>
        <w:t>%-ի չափով</w:t>
      </w:r>
      <w:r w:rsidRPr="00E77731">
        <w:rPr>
          <w:lang w:val="hy-AM"/>
        </w:rPr>
        <w:t xml:space="preserve"> դեֆի</w:t>
      </w:r>
      <w:r w:rsidRPr="00E77731">
        <w:rPr>
          <w:lang w:val="hy-AM"/>
        </w:rPr>
        <w:softHyphen/>
        <w:t>ցի</w:t>
      </w:r>
      <w:r w:rsidRPr="00E77731">
        <w:rPr>
          <w:lang w:val="hy-AM"/>
        </w:rPr>
        <w:softHyphen/>
        <w:t>տի ֆինան</w:t>
      </w:r>
      <w:r w:rsidRPr="00E77731">
        <w:rPr>
          <w:lang w:val="hy-AM"/>
        </w:rPr>
        <w:softHyphen/>
        <w:t>սա</w:t>
      </w:r>
      <w:r w:rsidRPr="00E77731">
        <w:rPr>
          <w:lang w:val="hy-AM"/>
        </w:rPr>
        <w:softHyphen/>
        <w:t>վոր</w:t>
      </w:r>
      <w:r w:rsidRPr="00E77731">
        <w:rPr>
          <w:lang w:val="hy-AM"/>
        </w:rPr>
        <w:softHyphen/>
        <w:t xml:space="preserve">ման </w:t>
      </w:r>
      <w:r w:rsidRPr="00867F0B">
        <w:rPr>
          <w:lang w:val="hy-AM"/>
        </w:rPr>
        <w:t>հնարավորություններից, ՀՀ կառավարությունը ծրագրում է</w:t>
      </w:r>
      <w:r w:rsidR="00F13E3D" w:rsidRPr="00867F0B">
        <w:rPr>
          <w:lang w:val="hy-AM"/>
        </w:rPr>
        <w:t xml:space="preserve"> 2026</w:t>
      </w:r>
      <w:r w:rsidRPr="00867F0B">
        <w:rPr>
          <w:lang w:val="hy-AM"/>
        </w:rPr>
        <w:t xml:space="preserve"> թվա</w:t>
      </w:r>
      <w:r w:rsidRPr="00867F0B">
        <w:rPr>
          <w:lang w:val="hy-AM"/>
        </w:rPr>
        <w:softHyphen/>
        <w:t>կանին ապահովել ծախսերը ՀՆԱ-ի</w:t>
      </w:r>
      <w:r w:rsidR="00E346E5" w:rsidRPr="00867F0B">
        <w:rPr>
          <w:lang w:val="hy-AM"/>
        </w:rPr>
        <w:t xml:space="preserve"> </w:t>
      </w:r>
      <w:r w:rsidR="00132BC8">
        <w:rPr>
          <w:lang w:val="hy-AM"/>
        </w:rPr>
        <w:t>30.4</w:t>
      </w:r>
      <w:r w:rsidRPr="00867F0B">
        <w:rPr>
          <w:lang w:val="hy-AM"/>
        </w:rPr>
        <w:t>%-ի կամ</w:t>
      </w:r>
      <w:r w:rsidR="00E346E5" w:rsidRPr="00867F0B">
        <w:rPr>
          <w:lang w:val="hy-AM"/>
        </w:rPr>
        <w:t xml:space="preserve"> </w:t>
      </w:r>
      <w:r w:rsidR="00E708BD">
        <w:rPr>
          <w:lang w:val="hy-AM"/>
        </w:rPr>
        <w:t>3,62</w:t>
      </w:r>
      <w:r w:rsidR="002E5B93">
        <w:rPr>
          <w:lang w:val="hy-AM"/>
        </w:rPr>
        <w:t>7</w:t>
      </w:r>
      <w:r w:rsidR="00867F0B" w:rsidRPr="00867F0B">
        <w:rPr>
          <w:lang w:val="hy-AM"/>
        </w:rPr>
        <w:t>.</w:t>
      </w:r>
      <w:r w:rsidR="002E5B93" w:rsidRPr="00D66391">
        <w:rPr>
          <w:lang w:val="hy-AM"/>
        </w:rPr>
        <w:t>6</w:t>
      </w:r>
      <w:r w:rsidRPr="00E77731">
        <w:rPr>
          <w:lang w:val="hy-AM"/>
        </w:rPr>
        <w:t xml:space="preserve"> մլրդ դրամի չափով:</w:t>
      </w:r>
      <w:r w:rsidR="00FF02CC" w:rsidRPr="00FF02CC">
        <w:rPr>
          <w:lang w:val="hy-AM"/>
        </w:rPr>
        <w:t xml:space="preserve"> </w:t>
      </w:r>
      <w:r w:rsidR="00FF02CC">
        <w:rPr>
          <w:lang w:val="hy-AM"/>
        </w:rPr>
        <w:t xml:space="preserve">2027 թվականին ՀՀ կառավարությունը նախատեսում է ապահովել ծախսերը </w:t>
      </w:r>
      <w:r w:rsidR="00FF02CC" w:rsidRPr="00867F0B">
        <w:rPr>
          <w:lang w:val="hy-AM"/>
        </w:rPr>
        <w:t xml:space="preserve">ՀՆԱ-ի </w:t>
      </w:r>
      <w:r w:rsidR="00132BC8">
        <w:rPr>
          <w:lang w:val="hy-AM"/>
        </w:rPr>
        <w:t>29.3</w:t>
      </w:r>
      <w:r w:rsidR="00FF02CC" w:rsidRPr="00867F0B">
        <w:rPr>
          <w:lang w:val="hy-AM"/>
        </w:rPr>
        <w:t xml:space="preserve">%-ի կամ </w:t>
      </w:r>
      <w:r w:rsidR="00FF02CC">
        <w:rPr>
          <w:lang w:val="hy-AM"/>
        </w:rPr>
        <w:t>3,8</w:t>
      </w:r>
      <w:r w:rsidR="00E708BD" w:rsidRPr="009D765F">
        <w:rPr>
          <w:lang w:val="hy-AM"/>
        </w:rPr>
        <w:t>0</w:t>
      </w:r>
      <w:r w:rsidR="00FF02CC">
        <w:rPr>
          <w:lang w:val="hy-AM"/>
        </w:rPr>
        <w:t>1.</w:t>
      </w:r>
      <w:r w:rsidR="00E708BD" w:rsidRPr="009D765F">
        <w:rPr>
          <w:lang w:val="hy-AM"/>
        </w:rPr>
        <w:t>0</w:t>
      </w:r>
      <w:r w:rsidR="00FF02CC" w:rsidRPr="00E77731">
        <w:rPr>
          <w:lang w:val="hy-AM"/>
        </w:rPr>
        <w:t xml:space="preserve"> մլրդ դրամի չափով</w:t>
      </w:r>
      <w:r w:rsidR="00FF02CC">
        <w:rPr>
          <w:lang w:val="hy-AM"/>
        </w:rPr>
        <w:t>, իսկ 2028 թվականին</w:t>
      </w:r>
      <w:r w:rsidR="00F70602">
        <w:rPr>
          <w:lang w:val="hy-AM"/>
        </w:rPr>
        <w:t>՝</w:t>
      </w:r>
      <w:r w:rsidR="00FF02CC">
        <w:rPr>
          <w:lang w:val="hy-AM"/>
        </w:rPr>
        <w:t xml:space="preserve"> համապատասխանաբար </w:t>
      </w:r>
      <w:r w:rsidR="00FF02CC" w:rsidRPr="00867F0B">
        <w:rPr>
          <w:lang w:val="hy-AM"/>
        </w:rPr>
        <w:t xml:space="preserve">ՀՆԱ-ի </w:t>
      </w:r>
      <w:r w:rsidR="00FF02CC">
        <w:rPr>
          <w:lang w:val="hy-AM"/>
        </w:rPr>
        <w:t>28.</w:t>
      </w:r>
      <w:r w:rsidR="00132BC8">
        <w:rPr>
          <w:lang w:val="hy-AM"/>
        </w:rPr>
        <w:t>7</w:t>
      </w:r>
      <w:r w:rsidR="00FF02CC" w:rsidRPr="00867F0B">
        <w:rPr>
          <w:lang w:val="hy-AM"/>
        </w:rPr>
        <w:t xml:space="preserve">%-ի կամ </w:t>
      </w:r>
      <w:r w:rsidR="00FF02CC">
        <w:rPr>
          <w:lang w:val="hy-AM"/>
        </w:rPr>
        <w:t>4,0</w:t>
      </w:r>
      <w:r w:rsidR="00E708BD" w:rsidRPr="009D765F">
        <w:rPr>
          <w:lang w:val="hy-AM"/>
        </w:rPr>
        <w:t>3</w:t>
      </w:r>
      <w:r w:rsidR="003D478F" w:rsidRPr="00D66391">
        <w:rPr>
          <w:lang w:val="hy-AM"/>
        </w:rPr>
        <w:t>0</w:t>
      </w:r>
      <w:r w:rsidR="00FF02CC">
        <w:rPr>
          <w:lang w:val="hy-AM"/>
        </w:rPr>
        <w:t>.</w:t>
      </w:r>
      <w:r w:rsidR="00E708BD" w:rsidRPr="009D765F">
        <w:rPr>
          <w:lang w:val="hy-AM"/>
        </w:rPr>
        <w:t>6</w:t>
      </w:r>
      <w:r w:rsidR="00FF02CC" w:rsidRPr="00E77731">
        <w:rPr>
          <w:lang w:val="hy-AM"/>
        </w:rPr>
        <w:t xml:space="preserve"> մլրդ դրամի չափով</w:t>
      </w:r>
      <w:r w:rsidR="00FF02CC">
        <w:rPr>
          <w:lang w:val="hy-AM"/>
        </w:rPr>
        <w:t>:</w:t>
      </w:r>
    </w:p>
    <w:p w14:paraId="7A717C89" w14:textId="77777777" w:rsidR="00F57301" w:rsidRPr="00E77731" w:rsidRDefault="00F57301" w:rsidP="00786D09">
      <w:pPr>
        <w:pStyle w:val="TOC4"/>
        <w:rPr>
          <w:lang w:val="hy-AM"/>
        </w:rPr>
      </w:pPr>
      <w:bookmarkStart w:id="315" w:name="_Toc525773067"/>
      <w:bookmarkStart w:id="316" w:name="_Toc20590407"/>
      <w:r w:rsidRPr="00E77731">
        <w:rPr>
          <w:lang w:val="hy-AM"/>
        </w:rPr>
        <w:t>ՊԵՏԱԿԱՆ ԲՅՈՒՋԵԻ ԵԿԱՄՈՒՏՆԵՐԸ</w:t>
      </w:r>
    </w:p>
    <w:p w14:paraId="6EC393AB" w14:textId="300A8167" w:rsidR="00F57301" w:rsidRPr="001D2D3B" w:rsidRDefault="00F57301" w:rsidP="00786D09">
      <w:pPr>
        <w:pStyle w:val="BodyText1"/>
        <w:ind w:left="0"/>
        <w:rPr>
          <w:lang w:val="hy-AM"/>
        </w:rPr>
      </w:pPr>
      <w:r w:rsidRPr="001D2D3B">
        <w:rPr>
          <w:lang w:val="hy-AM"/>
        </w:rPr>
        <w:t>ՀՀ</w:t>
      </w:r>
      <w:r w:rsidR="00C14CC1">
        <w:rPr>
          <w:lang w:val="hy-AM"/>
        </w:rPr>
        <w:t xml:space="preserve"> 2026</w:t>
      </w:r>
      <w:r w:rsidRPr="001D2D3B">
        <w:rPr>
          <w:lang w:val="hy-AM"/>
        </w:rPr>
        <w:t xml:space="preserve"> թվականի պետական բյուջեով նախատեսված բյուջետային եկա</w:t>
      </w:r>
      <w:r w:rsidRPr="001D2D3B">
        <w:rPr>
          <w:lang w:val="hy-AM"/>
        </w:rPr>
        <w:softHyphen/>
        <w:t>մուտների կազմում, ինչպես և նախորդ տարիներին, գերակշիռ մաս են կազմում հար</w:t>
      </w:r>
      <w:r w:rsidRPr="001D2D3B">
        <w:rPr>
          <w:lang w:val="hy-AM"/>
        </w:rPr>
        <w:softHyphen/>
        <w:t>կային եկամուտների և պետական տուրքերի գծով ակնկալվող մուտքերը, ինչը ներկայացված է գծապատկերում:</w:t>
      </w:r>
    </w:p>
    <w:p w14:paraId="600509B8" w14:textId="61837C10" w:rsidR="00F57301" w:rsidRPr="00495E3A" w:rsidRDefault="00F57301" w:rsidP="00786D09">
      <w:pPr>
        <w:pStyle w:val="Charts"/>
      </w:pPr>
      <w:bookmarkStart w:id="317" w:name="_Ref497897119"/>
      <w:bookmarkStart w:id="318" w:name="_Toc525773080"/>
      <w:bookmarkStart w:id="319" w:name="_Toc530250447"/>
      <w:bookmarkStart w:id="320" w:name="_Toc178595159"/>
      <w:r w:rsidRPr="00C3014C">
        <w:rPr>
          <w:noProof/>
          <w:lang w:val="en-US"/>
        </w:rPr>
        <w:drawing>
          <wp:anchor distT="0" distB="0" distL="114300" distR="114300" simplePos="0" relativeHeight="251756544" behindDoc="0" locked="0" layoutInCell="1" allowOverlap="1" wp14:anchorId="0DE0F09F" wp14:editId="3A9B815D">
            <wp:simplePos x="0" y="0"/>
            <wp:positionH relativeFrom="margin">
              <wp:posOffset>-635</wp:posOffset>
            </wp:positionH>
            <wp:positionV relativeFrom="paragraph">
              <wp:posOffset>676910</wp:posOffset>
            </wp:positionV>
            <wp:extent cx="6067425" cy="2333625"/>
            <wp:effectExtent l="0" t="0" r="0" b="0"/>
            <wp:wrapTopAndBottom/>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66"/>
              </a:graphicData>
            </a:graphic>
            <wp14:sizeRelH relativeFrom="margin">
              <wp14:pctWidth>0</wp14:pctWidth>
            </wp14:sizeRelH>
            <wp14:sizeRelV relativeFrom="margin">
              <wp14:pctHeight>0</wp14:pctHeight>
            </wp14:sizeRelV>
          </wp:anchor>
        </w:drawing>
      </w:r>
      <w:r w:rsidRPr="00495E3A">
        <w:t>ՀՀ</w:t>
      </w:r>
      <w:r w:rsidR="00F13E3D">
        <w:t xml:space="preserve"> 2026</w:t>
      </w:r>
      <w:r w:rsidRPr="00495E3A">
        <w:t xml:space="preserve"> թվականի պետական բյուջեով նախատեսված բյուջետային եկամուտների կառուցվածքը (%-ով ընդհանուրի նկատմամբ)</w:t>
      </w:r>
      <w:bookmarkEnd w:id="317"/>
      <w:bookmarkEnd w:id="318"/>
      <w:bookmarkEnd w:id="319"/>
      <w:r w:rsidRPr="00495E3A">
        <w:t>:</w:t>
      </w:r>
      <w:bookmarkEnd w:id="320"/>
    </w:p>
    <w:p w14:paraId="3C52C8C3" w14:textId="77777777" w:rsidR="00F57301" w:rsidRPr="00E77731" w:rsidRDefault="00F57301" w:rsidP="00786D09">
      <w:pPr>
        <w:jc w:val="both"/>
        <w:rPr>
          <w:lang w:val="hy-AM"/>
        </w:rPr>
      </w:pPr>
    </w:p>
    <w:p w14:paraId="4EECB06A" w14:textId="521A55C3" w:rsidR="00F57301" w:rsidRPr="002507D1" w:rsidRDefault="00F57301" w:rsidP="00786D09">
      <w:pPr>
        <w:pStyle w:val="BodyText1"/>
        <w:ind w:left="0"/>
        <w:rPr>
          <w:lang w:val="hy-AM"/>
        </w:rPr>
      </w:pPr>
      <w:r w:rsidRPr="002507D1">
        <w:rPr>
          <w:lang w:val="hy-AM"/>
        </w:rPr>
        <w:t>ՀՀ</w:t>
      </w:r>
      <w:r w:rsidR="00F13E3D">
        <w:rPr>
          <w:lang w:val="hy-AM"/>
        </w:rPr>
        <w:t xml:space="preserve"> 2026</w:t>
      </w:r>
      <w:r w:rsidRPr="002507D1">
        <w:rPr>
          <w:lang w:val="hy-AM"/>
        </w:rPr>
        <w:t xml:space="preserve"> թվականի </w:t>
      </w:r>
      <w:r w:rsidRPr="00867F0B">
        <w:rPr>
          <w:lang w:val="hy-AM"/>
        </w:rPr>
        <w:t>պետական բյուջեով նախատեսվել է</w:t>
      </w:r>
      <w:r w:rsidR="00E346E5" w:rsidRPr="00867F0B">
        <w:rPr>
          <w:lang w:val="hy-AM"/>
        </w:rPr>
        <w:t xml:space="preserve"> </w:t>
      </w:r>
      <w:r w:rsidR="003D478F">
        <w:rPr>
          <w:lang w:val="hy-AM"/>
        </w:rPr>
        <w:t>3,090</w:t>
      </w:r>
      <w:r w:rsidR="00C14CC1">
        <w:rPr>
          <w:lang w:val="hy-AM"/>
        </w:rPr>
        <w:t>.</w:t>
      </w:r>
      <w:r w:rsidR="003D478F" w:rsidRPr="00D66391">
        <w:rPr>
          <w:lang w:val="hy-AM"/>
        </w:rPr>
        <w:t>9</w:t>
      </w:r>
      <w:r w:rsidRPr="00867F0B">
        <w:rPr>
          <w:lang w:val="hy-AM"/>
        </w:rPr>
        <w:t xml:space="preserve"> մլրդ դրամ եկա</w:t>
      </w:r>
      <w:r w:rsidRPr="00867F0B">
        <w:rPr>
          <w:lang w:val="hy-AM"/>
        </w:rPr>
        <w:softHyphen/>
        <w:t>մուտ</w:t>
      </w:r>
      <w:r w:rsidRPr="00867F0B">
        <w:rPr>
          <w:lang w:val="hy-AM"/>
        </w:rPr>
        <w:softHyphen/>
      </w:r>
      <w:r w:rsidRPr="00867F0B">
        <w:rPr>
          <w:lang w:val="hy-AM"/>
        </w:rPr>
        <w:softHyphen/>
        <w:t>ներ, որից հարկային եկամուտների և պետական տուրքերի գծով</w:t>
      </w:r>
      <w:r w:rsidR="00E346E5" w:rsidRPr="00867F0B">
        <w:rPr>
          <w:lang w:val="hy-AM"/>
        </w:rPr>
        <w:t xml:space="preserve">` </w:t>
      </w:r>
      <w:r w:rsidR="00867F0B" w:rsidRPr="00867F0B">
        <w:rPr>
          <w:lang w:val="hy-AM"/>
        </w:rPr>
        <w:t>2,972.9</w:t>
      </w:r>
      <w:r w:rsidRPr="00867F0B">
        <w:rPr>
          <w:lang w:val="hy-AM"/>
        </w:rPr>
        <w:t xml:space="preserve"> մլրդ դրամ</w:t>
      </w:r>
      <w:r w:rsidR="003543C0">
        <w:rPr>
          <w:lang w:val="hy-AM"/>
        </w:rPr>
        <w:t>, 2027 թվականին</w:t>
      </w:r>
      <w:r w:rsidR="00BB5FAB">
        <w:rPr>
          <w:lang w:val="hy-AM"/>
        </w:rPr>
        <w:t>՝ 3,352.</w:t>
      </w:r>
      <w:r w:rsidR="003D478F" w:rsidRPr="00D66391">
        <w:rPr>
          <w:lang w:val="hy-AM"/>
        </w:rPr>
        <w:t>6</w:t>
      </w:r>
      <w:r w:rsidR="00BB5FAB">
        <w:rPr>
          <w:lang w:val="hy-AM"/>
        </w:rPr>
        <w:t xml:space="preserve"> մլրդ դրամ, որից </w:t>
      </w:r>
      <w:r w:rsidR="00BB5FAB" w:rsidRPr="00867F0B">
        <w:rPr>
          <w:lang w:val="hy-AM"/>
        </w:rPr>
        <w:t xml:space="preserve">հարկային եկամուտների և պետական տուրքերի գծով` </w:t>
      </w:r>
      <w:r w:rsidR="00BB5FAB">
        <w:rPr>
          <w:lang w:val="hy-AM"/>
        </w:rPr>
        <w:t>3,244.9 մլրդ դրամ, իսկ 2028 թվականին՝ 3,638.</w:t>
      </w:r>
      <w:r w:rsidR="003D478F" w:rsidRPr="00D66391">
        <w:rPr>
          <w:lang w:val="hy-AM"/>
        </w:rPr>
        <w:t>2</w:t>
      </w:r>
      <w:r w:rsidR="00BB5FAB">
        <w:rPr>
          <w:lang w:val="hy-AM"/>
        </w:rPr>
        <w:t xml:space="preserve"> մլրդ դրամ, որից </w:t>
      </w:r>
      <w:r w:rsidR="00BB5FAB" w:rsidRPr="00867F0B">
        <w:rPr>
          <w:lang w:val="hy-AM"/>
        </w:rPr>
        <w:t xml:space="preserve">հարկային եկամուտների և պետական տուրքերի գծով` </w:t>
      </w:r>
      <w:r w:rsidR="00BB5FAB">
        <w:rPr>
          <w:lang w:val="hy-AM"/>
        </w:rPr>
        <w:t>3,533.9 մլրդ դրամ</w:t>
      </w:r>
      <w:r w:rsidRPr="00867F0B">
        <w:rPr>
          <w:lang w:val="hy-AM"/>
        </w:rPr>
        <w:t>:</w:t>
      </w:r>
      <w:r w:rsidRPr="00867F0B">
        <w:rPr>
          <w:rFonts w:ascii="Calibri" w:hAnsi="Calibri" w:cs="Calibri"/>
          <w:lang w:val="hy-AM"/>
        </w:rPr>
        <w:t> </w:t>
      </w:r>
      <w:r w:rsidR="00BB5FAB">
        <w:rPr>
          <w:rFonts w:ascii="Calibri" w:hAnsi="Calibri" w:cs="Calibri"/>
          <w:lang w:val="hy-AM"/>
        </w:rPr>
        <w:t xml:space="preserve"> </w:t>
      </w:r>
      <w:r w:rsidRPr="00867F0B">
        <w:rPr>
          <w:lang w:val="hy-AM"/>
        </w:rPr>
        <w:t>Բյուջետային եկամուտների` ըստ առանձին</w:t>
      </w:r>
      <w:r w:rsidRPr="002507D1">
        <w:rPr>
          <w:lang w:val="hy-AM"/>
        </w:rPr>
        <w:t xml:space="preserve"> եկամտատեսակների կանխա</w:t>
      </w:r>
      <w:r w:rsidRPr="002507D1">
        <w:rPr>
          <w:lang w:val="hy-AM"/>
        </w:rPr>
        <w:softHyphen/>
        <w:t>տե</w:t>
      </w:r>
      <w:r w:rsidRPr="002507D1">
        <w:rPr>
          <w:lang w:val="hy-AM"/>
        </w:rPr>
        <w:softHyphen/>
        <w:t>սում</w:t>
      </w:r>
      <w:r w:rsidRPr="002507D1">
        <w:rPr>
          <w:lang w:val="hy-AM"/>
        </w:rPr>
        <w:softHyphen/>
        <w:t>ների ման</w:t>
      </w:r>
      <w:r w:rsidRPr="002507D1">
        <w:rPr>
          <w:lang w:val="hy-AM"/>
        </w:rPr>
        <w:softHyphen/>
      </w:r>
      <w:r w:rsidRPr="002507D1">
        <w:rPr>
          <w:lang w:val="hy-AM"/>
        </w:rPr>
        <w:softHyphen/>
        <w:t>րամասները ներկայացված են «Հայաստանի Հանրապետության</w:t>
      </w:r>
      <w:r w:rsidR="00F13E3D">
        <w:rPr>
          <w:lang w:val="hy-AM"/>
        </w:rPr>
        <w:t xml:space="preserve"> 2026</w:t>
      </w:r>
      <w:r w:rsidRPr="002507D1">
        <w:rPr>
          <w:lang w:val="hy-AM"/>
        </w:rPr>
        <w:t xml:space="preserve"> թվականի պե</w:t>
      </w:r>
      <w:r w:rsidRPr="002507D1">
        <w:rPr>
          <w:lang w:val="hy-AM"/>
        </w:rPr>
        <w:softHyphen/>
        <w:t>տա</w:t>
      </w:r>
      <w:r w:rsidRPr="002507D1">
        <w:rPr>
          <w:lang w:val="hy-AM"/>
        </w:rPr>
        <w:softHyphen/>
      </w:r>
      <w:r w:rsidRPr="002507D1">
        <w:rPr>
          <w:lang w:val="hy-AM"/>
        </w:rPr>
        <w:softHyphen/>
        <w:t>կան բյուջեի մասին» ՀՀ օրենքի բացատրագրի` եկամուտների կան</w:t>
      </w:r>
      <w:r w:rsidRPr="002507D1">
        <w:rPr>
          <w:lang w:val="hy-AM"/>
        </w:rPr>
        <w:softHyphen/>
        <w:t>խա</w:t>
      </w:r>
      <w:r w:rsidRPr="002507D1">
        <w:rPr>
          <w:lang w:val="hy-AM"/>
        </w:rPr>
        <w:softHyphen/>
        <w:t>տես</w:t>
      </w:r>
      <w:r w:rsidRPr="002507D1">
        <w:rPr>
          <w:lang w:val="hy-AM"/>
        </w:rPr>
        <w:softHyphen/>
        <w:t xml:space="preserve">մանը վերաբերվող մասում </w:t>
      </w:r>
      <w:r w:rsidRPr="00C14CC1">
        <w:rPr>
          <w:lang w:val="hy-AM"/>
        </w:rPr>
        <w:t xml:space="preserve">(սույն ուղերձի </w:t>
      </w:r>
      <w:r w:rsidR="008B346F">
        <w:rPr>
          <w:lang w:val="hy-AM"/>
        </w:rPr>
        <w:t>մաս 2-Բ</w:t>
      </w:r>
      <w:r w:rsidRPr="00C14CC1">
        <w:rPr>
          <w:lang w:val="hy-AM"/>
        </w:rPr>
        <w:t>):</w:t>
      </w:r>
    </w:p>
    <w:p w14:paraId="3DA8EA78" w14:textId="1FA250F2" w:rsidR="00F57301" w:rsidRPr="0087517F" w:rsidRDefault="00F57301" w:rsidP="00786D09">
      <w:pPr>
        <w:pStyle w:val="TOC4"/>
        <w:outlineLvl w:val="1"/>
        <w:rPr>
          <w:lang w:val="hy-AM"/>
        </w:rPr>
      </w:pPr>
      <w:r w:rsidRPr="0087517F">
        <w:rPr>
          <w:lang w:val="hy-AM"/>
        </w:rPr>
        <w:t xml:space="preserve"> </w:t>
      </w:r>
      <w:bookmarkStart w:id="321" w:name="_Toc178356578"/>
      <w:bookmarkStart w:id="322" w:name="_Toc215157685"/>
      <w:r w:rsidR="00B95751">
        <w:rPr>
          <w:lang w:val="hy-AM"/>
        </w:rPr>
        <w:t>2026</w:t>
      </w:r>
      <w:r w:rsidRPr="0087517F">
        <w:rPr>
          <w:lang w:val="hy-AM"/>
        </w:rPr>
        <w:t xml:space="preserve"> ԹՎԱԿԱՆԻ ԾԱԽՍԵՐԸ ԵՎ ԳԵՐԱԿԱՅՈՒԹՅՈՒՆՆԵՐԸ</w:t>
      </w:r>
      <w:bookmarkEnd w:id="321"/>
      <w:bookmarkEnd w:id="322"/>
    </w:p>
    <w:p w14:paraId="1437E539" w14:textId="52811698" w:rsidR="00F57301" w:rsidRPr="001D2D3B" w:rsidRDefault="00F57301" w:rsidP="00786D09">
      <w:pPr>
        <w:pStyle w:val="BodyText1"/>
        <w:ind w:left="0"/>
        <w:rPr>
          <w:lang w:val="hy-AM"/>
        </w:rPr>
      </w:pPr>
      <w:bookmarkStart w:id="323" w:name="_Toc48835701"/>
      <w:r w:rsidRPr="001D2D3B">
        <w:rPr>
          <w:lang w:val="hy-AM"/>
        </w:rPr>
        <w:t>Հաշվի առնելով ՀՀ</w:t>
      </w:r>
      <w:r w:rsidR="00B95751">
        <w:rPr>
          <w:lang w:val="hy-AM"/>
        </w:rPr>
        <w:t xml:space="preserve"> 2026</w:t>
      </w:r>
      <w:r w:rsidRPr="001D2D3B">
        <w:rPr>
          <w:lang w:val="hy-AM"/>
        </w:rPr>
        <w:t xml:space="preserve"> թվականի պետական բյուջեի եկամուտների կանխատեսվող մակարդակը և դեֆիցիտի ու պետական պարտքի նպատակային ցուցանիշները, որոնք ներկա</w:t>
      </w:r>
      <w:r w:rsidRPr="001D2D3B">
        <w:rPr>
          <w:lang w:val="hy-AM"/>
        </w:rPr>
        <w:softHyphen/>
        <w:t>յացվում են հաջորդ բաժնում, ՀՀ կառավարությունը ՀՀ</w:t>
      </w:r>
      <w:r w:rsidR="00B95751">
        <w:rPr>
          <w:lang w:val="hy-AM"/>
        </w:rPr>
        <w:t xml:space="preserve"> 2026</w:t>
      </w:r>
      <w:r w:rsidRPr="001D2D3B">
        <w:rPr>
          <w:lang w:val="hy-AM"/>
        </w:rPr>
        <w:t xml:space="preserve"> թվականի պետական բյուջեի ծախսերի ծավալը առաջարկում է </w:t>
      </w:r>
      <w:r w:rsidRPr="00867F0B">
        <w:rPr>
          <w:lang w:val="hy-AM"/>
        </w:rPr>
        <w:t>սահմանել</w:t>
      </w:r>
      <w:r w:rsidR="00E346E5" w:rsidRPr="00867F0B">
        <w:rPr>
          <w:lang w:val="hy-AM"/>
        </w:rPr>
        <w:t xml:space="preserve"> </w:t>
      </w:r>
      <w:r w:rsidR="003D478F">
        <w:rPr>
          <w:lang w:val="hy-AM"/>
        </w:rPr>
        <w:t>3,6</w:t>
      </w:r>
      <w:r w:rsidR="00B70006" w:rsidRPr="009D765F">
        <w:rPr>
          <w:lang w:val="hy-AM"/>
        </w:rPr>
        <w:t>2</w:t>
      </w:r>
      <w:r w:rsidR="003D478F" w:rsidRPr="00D66391">
        <w:rPr>
          <w:lang w:val="hy-AM"/>
        </w:rPr>
        <w:t>7</w:t>
      </w:r>
      <w:r w:rsidR="00867F0B" w:rsidRPr="00867F0B">
        <w:rPr>
          <w:lang w:val="hy-AM"/>
        </w:rPr>
        <w:t>.</w:t>
      </w:r>
      <w:r w:rsidR="003D478F" w:rsidRPr="00D66391">
        <w:rPr>
          <w:lang w:val="hy-AM"/>
        </w:rPr>
        <w:t>6</w:t>
      </w:r>
      <w:r w:rsidRPr="00867F0B">
        <w:rPr>
          <w:lang w:val="hy-AM"/>
        </w:rPr>
        <w:t xml:space="preserve"> մլրդ դրամի</w:t>
      </w:r>
      <w:r w:rsidRPr="001D2D3B">
        <w:rPr>
          <w:lang w:val="hy-AM"/>
        </w:rPr>
        <w:t xml:space="preserve"> չափով</w:t>
      </w:r>
      <w:r w:rsidR="004D35BD">
        <w:rPr>
          <w:lang w:val="hy-AM"/>
        </w:rPr>
        <w:t>, 2027</w:t>
      </w:r>
      <w:r w:rsidR="004D35BD" w:rsidRPr="001D2D3B">
        <w:rPr>
          <w:lang w:val="hy-AM"/>
        </w:rPr>
        <w:t xml:space="preserve"> թվականի</w:t>
      </w:r>
      <w:r w:rsidR="004D35BD">
        <w:rPr>
          <w:lang w:val="hy-AM"/>
        </w:rPr>
        <w:t xml:space="preserve"> համար՝</w:t>
      </w:r>
      <w:r w:rsidR="003D478F">
        <w:rPr>
          <w:lang w:val="hy-AM"/>
        </w:rPr>
        <w:t xml:space="preserve"> 3,8</w:t>
      </w:r>
      <w:r w:rsidR="00B70006" w:rsidRPr="009D765F">
        <w:rPr>
          <w:lang w:val="hy-AM"/>
        </w:rPr>
        <w:t>0</w:t>
      </w:r>
      <w:r w:rsidR="004D35BD">
        <w:rPr>
          <w:lang w:val="hy-AM"/>
        </w:rPr>
        <w:t>1.</w:t>
      </w:r>
      <w:r w:rsidR="00B70006" w:rsidRPr="009D765F">
        <w:rPr>
          <w:lang w:val="hy-AM"/>
        </w:rPr>
        <w:t>0</w:t>
      </w:r>
      <w:r w:rsidR="004D35BD">
        <w:rPr>
          <w:lang w:val="hy-AM"/>
        </w:rPr>
        <w:t xml:space="preserve"> մլրդ դրամ, իսկ 2028 թվականին՝</w:t>
      </w:r>
      <w:r w:rsidR="003D478F">
        <w:rPr>
          <w:lang w:val="hy-AM"/>
        </w:rPr>
        <w:t xml:space="preserve"> 4,0</w:t>
      </w:r>
      <w:r w:rsidR="00B70006" w:rsidRPr="009D765F">
        <w:rPr>
          <w:lang w:val="hy-AM"/>
        </w:rPr>
        <w:t>3</w:t>
      </w:r>
      <w:r w:rsidR="003D478F">
        <w:rPr>
          <w:lang w:val="hy-AM"/>
        </w:rPr>
        <w:t>0</w:t>
      </w:r>
      <w:r w:rsidR="004D35BD">
        <w:rPr>
          <w:lang w:val="hy-AM"/>
        </w:rPr>
        <w:t>.</w:t>
      </w:r>
      <w:r w:rsidR="00B70006" w:rsidRPr="009D765F">
        <w:rPr>
          <w:lang w:val="hy-AM"/>
        </w:rPr>
        <w:t>6</w:t>
      </w:r>
      <w:r w:rsidR="004D35BD">
        <w:rPr>
          <w:lang w:val="hy-AM"/>
        </w:rPr>
        <w:t xml:space="preserve"> մլրդ դրամ</w:t>
      </w:r>
      <w:r w:rsidRPr="001D2D3B">
        <w:rPr>
          <w:lang w:val="hy-AM"/>
        </w:rPr>
        <w:t>:</w:t>
      </w:r>
    </w:p>
    <w:p w14:paraId="4AABB328" w14:textId="2B67006F" w:rsidR="00F57301" w:rsidRDefault="00F57301" w:rsidP="00786D09">
      <w:pPr>
        <w:pStyle w:val="BodyText1"/>
        <w:ind w:left="0"/>
        <w:rPr>
          <w:lang w:val="hy-AM"/>
        </w:rPr>
      </w:pPr>
      <w:r w:rsidRPr="001D2D3B">
        <w:rPr>
          <w:lang w:val="hy-AM"/>
        </w:rPr>
        <w:t>ՀՀ կա</w:t>
      </w:r>
      <w:r w:rsidRPr="001D2D3B">
        <w:rPr>
          <w:lang w:val="hy-AM"/>
        </w:rPr>
        <w:softHyphen/>
        <w:t>ռա</w:t>
      </w:r>
      <w:r w:rsidRPr="001D2D3B">
        <w:rPr>
          <w:lang w:val="hy-AM"/>
        </w:rPr>
        <w:softHyphen/>
        <w:t>վա</w:t>
      </w:r>
      <w:r w:rsidRPr="001D2D3B">
        <w:rPr>
          <w:lang w:val="hy-AM"/>
        </w:rPr>
        <w:softHyphen/>
        <w:t>րու</w:t>
      </w:r>
      <w:r w:rsidRPr="001D2D3B">
        <w:rPr>
          <w:lang w:val="hy-AM"/>
        </w:rPr>
        <w:softHyphen/>
        <w:t>թ</w:t>
      </w:r>
      <w:r w:rsidRPr="001D2D3B">
        <w:rPr>
          <w:lang w:val="hy-AM"/>
        </w:rPr>
        <w:softHyphen/>
        <w:t>յան</w:t>
      </w:r>
      <w:r w:rsidR="00B95751">
        <w:rPr>
          <w:lang w:val="hy-AM"/>
        </w:rPr>
        <w:t xml:space="preserve"> 2026</w:t>
      </w:r>
      <w:r w:rsidRPr="001D2D3B">
        <w:rPr>
          <w:lang w:val="hy-AM"/>
        </w:rPr>
        <w:t xml:space="preserve"> թվականի ծախ</w:t>
      </w:r>
      <w:r w:rsidRPr="001D2D3B">
        <w:rPr>
          <w:lang w:val="hy-AM"/>
        </w:rPr>
        <w:softHyphen/>
        <w:t>սային գերա</w:t>
      </w:r>
      <w:r w:rsidRPr="001D2D3B">
        <w:rPr>
          <w:lang w:val="hy-AM"/>
        </w:rPr>
        <w:softHyphen/>
        <w:t>կա</w:t>
      </w:r>
      <w:r w:rsidRPr="001D2D3B">
        <w:rPr>
          <w:lang w:val="hy-AM"/>
        </w:rPr>
        <w:softHyphen/>
        <w:t>յու</w:t>
      </w:r>
      <w:r w:rsidRPr="001D2D3B">
        <w:rPr>
          <w:lang w:val="hy-AM"/>
        </w:rPr>
        <w:softHyphen/>
        <w:t>թ</w:t>
      </w:r>
      <w:r w:rsidRPr="001D2D3B">
        <w:rPr>
          <w:lang w:val="hy-AM"/>
        </w:rPr>
        <w:softHyphen/>
        <w:t>յուն</w:t>
      </w:r>
      <w:r w:rsidRPr="001D2D3B">
        <w:rPr>
          <w:lang w:val="hy-AM"/>
        </w:rPr>
        <w:softHyphen/>
        <w:t>ները բխում են ՀՀ կառավարության 2021 թվականի օգոստոսի 18-ի թիվ 1363-Ա որոշմամբ հաստատված ՀՀ կառավարության 2021-2026թթ. ծրագրի առաջնահերթություններից:</w:t>
      </w:r>
    </w:p>
    <w:p w14:paraId="3013AB4E" w14:textId="77777777" w:rsidR="00C91777" w:rsidRPr="001D2D3B" w:rsidRDefault="00C91777" w:rsidP="00C91777">
      <w:pPr>
        <w:pStyle w:val="TOC4"/>
        <w:outlineLvl w:val="1"/>
        <w:rPr>
          <w:lang w:val="hy-AM"/>
        </w:rPr>
      </w:pPr>
      <w:bookmarkStart w:id="324" w:name="_Toc178356579"/>
      <w:bookmarkStart w:id="325" w:name="_Toc89428301"/>
      <w:bookmarkStart w:id="326" w:name="_Toc89254349"/>
      <w:bookmarkStart w:id="327" w:name="_Toc215157686"/>
      <w:bookmarkStart w:id="328" w:name="_Toc89254351"/>
      <w:bookmarkEnd w:id="315"/>
      <w:bookmarkEnd w:id="316"/>
      <w:bookmarkEnd w:id="323"/>
      <w:r w:rsidRPr="001D2D3B">
        <w:rPr>
          <w:lang w:val="hy-AM"/>
        </w:rPr>
        <w:t>ՊԵՏԱԿԱՆ ԲՅՈՒՋԵԻ ԴԵՖԻՑԻՏԸ (ՊԱԿԱՍՈՒՐԴԸ) ԵՎ ՊԱՐՏՔԸ</w:t>
      </w:r>
      <w:bookmarkEnd w:id="324"/>
      <w:bookmarkEnd w:id="325"/>
      <w:bookmarkEnd w:id="326"/>
      <w:bookmarkEnd w:id="327"/>
    </w:p>
    <w:p w14:paraId="7D9F95FD" w14:textId="77777777" w:rsidR="00C91777" w:rsidRPr="00C3014C" w:rsidRDefault="00C91777" w:rsidP="00C91777">
      <w:pPr>
        <w:pStyle w:val="BodyText1"/>
        <w:ind w:left="0"/>
        <w:rPr>
          <w:lang w:val="es-ES"/>
        </w:rPr>
      </w:pPr>
      <w:bookmarkStart w:id="329" w:name="_Toc76556774"/>
      <w:bookmarkStart w:id="330" w:name="_Toc83928939"/>
      <w:bookmarkStart w:id="331" w:name="_Toc20590406"/>
      <w:bookmarkStart w:id="332" w:name="_Toc525773066"/>
      <w:bookmarkStart w:id="333" w:name="_Ref497916450"/>
      <w:bookmarkStart w:id="334" w:name="_Toc76456833"/>
      <w:bookmarkStart w:id="335" w:name="_Toc89254350"/>
      <w:bookmarkStart w:id="336" w:name="_Toc57655465"/>
      <w:bookmarkStart w:id="337" w:name="_Toc57655464"/>
      <w:r w:rsidRPr="001D2D3B">
        <w:rPr>
          <w:lang w:val="hy-AM"/>
        </w:rPr>
        <w:t>ՀՀ</w:t>
      </w:r>
      <w:r>
        <w:rPr>
          <w:lang w:val="hy-AM"/>
        </w:rPr>
        <w:t xml:space="preserve"> 2026</w:t>
      </w:r>
      <w:r w:rsidRPr="001D2D3B">
        <w:rPr>
          <w:lang w:val="hy-AM"/>
        </w:rPr>
        <w:t xml:space="preserve"> թվականի պետական </w:t>
      </w:r>
      <w:r w:rsidRPr="00867F0B">
        <w:rPr>
          <w:lang w:val="hy-AM"/>
        </w:rPr>
        <w:t>բյուջեի դեֆիցիտը ծրագրավորվել է ՀՆԱ-ի 4.5 %-ի չա</w:t>
      </w:r>
      <w:r w:rsidRPr="00867F0B">
        <w:rPr>
          <w:lang w:val="hy-AM"/>
        </w:rPr>
        <w:softHyphen/>
        <w:t xml:space="preserve">փով և կազմում է </w:t>
      </w:r>
      <w:r>
        <w:rPr>
          <w:lang w:val="hy-AM"/>
        </w:rPr>
        <w:t>536</w:t>
      </w:r>
      <w:r w:rsidRPr="00867F0B">
        <w:rPr>
          <w:lang w:val="hy-AM"/>
        </w:rPr>
        <w:t>.</w:t>
      </w:r>
      <w:r w:rsidRPr="00D4077B">
        <w:rPr>
          <w:lang w:val="hy-AM"/>
        </w:rPr>
        <w:t>8</w:t>
      </w:r>
      <w:r w:rsidRPr="00867F0B">
        <w:rPr>
          <w:lang w:val="hy-AM"/>
        </w:rPr>
        <w:t xml:space="preserve"> մլրդ դրամ</w:t>
      </w:r>
      <w:r>
        <w:rPr>
          <w:lang w:val="hy-AM"/>
        </w:rPr>
        <w:t>, 2027 թվականին՝</w:t>
      </w:r>
      <w:r w:rsidRPr="003543C0">
        <w:rPr>
          <w:lang w:val="hy-AM"/>
        </w:rPr>
        <w:t xml:space="preserve"> </w:t>
      </w:r>
      <w:r w:rsidRPr="00867F0B">
        <w:rPr>
          <w:lang w:val="hy-AM"/>
        </w:rPr>
        <w:t xml:space="preserve">ՀՆԱ-ի </w:t>
      </w:r>
      <w:r>
        <w:rPr>
          <w:lang w:val="hy-AM"/>
        </w:rPr>
        <w:t>3</w:t>
      </w:r>
      <w:r w:rsidRPr="00867F0B">
        <w:rPr>
          <w:lang w:val="hy-AM"/>
        </w:rPr>
        <w:t>.</w:t>
      </w:r>
      <w:r>
        <w:rPr>
          <w:lang w:val="hy-AM"/>
        </w:rPr>
        <w:t>5</w:t>
      </w:r>
      <w:r w:rsidRPr="00867F0B">
        <w:rPr>
          <w:lang w:val="hy-AM"/>
        </w:rPr>
        <w:t>%-ի չա</w:t>
      </w:r>
      <w:r w:rsidRPr="00867F0B">
        <w:rPr>
          <w:lang w:val="hy-AM"/>
        </w:rPr>
        <w:softHyphen/>
        <w:t xml:space="preserve">փով </w:t>
      </w:r>
      <w:r>
        <w:rPr>
          <w:lang w:val="hy-AM"/>
        </w:rPr>
        <w:t>կամ</w:t>
      </w:r>
      <w:r w:rsidRPr="00867F0B">
        <w:rPr>
          <w:lang w:val="hy-AM"/>
        </w:rPr>
        <w:t xml:space="preserve"> </w:t>
      </w:r>
      <w:r>
        <w:rPr>
          <w:lang w:val="hy-AM"/>
        </w:rPr>
        <w:t>448.</w:t>
      </w:r>
      <w:r w:rsidRPr="00D4077B">
        <w:rPr>
          <w:lang w:val="hy-AM"/>
        </w:rPr>
        <w:t>4</w:t>
      </w:r>
      <w:r w:rsidRPr="00867F0B">
        <w:rPr>
          <w:lang w:val="hy-AM"/>
        </w:rPr>
        <w:t xml:space="preserve"> մլրդ դրամ</w:t>
      </w:r>
      <w:r>
        <w:rPr>
          <w:lang w:val="hy-AM"/>
        </w:rPr>
        <w:t>, 2028 թվականին՝</w:t>
      </w:r>
      <w:r w:rsidRPr="003543C0">
        <w:rPr>
          <w:lang w:val="hy-AM"/>
        </w:rPr>
        <w:t xml:space="preserve"> </w:t>
      </w:r>
      <w:r w:rsidRPr="00867F0B">
        <w:rPr>
          <w:lang w:val="hy-AM"/>
        </w:rPr>
        <w:t xml:space="preserve">ՀՆԱ-ի </w:t>
      </w:r>
      <w:r>
        <w:rPr>
          <w:lang w:val="hy-AM"/>
        </w:rPr>
        <w:t>2.8</w:t>
      </w:r>
      <w:r w:rsidRPr="00867F0B">
        <w:rPr>
          <w:lang w:val="hy-AM"/>
        </w:rPr>
        <w:t>%-ի չա</w:t>
      </w:r>
      <w:r w:rsidRPr="00867F0B">
        <w:rPr>
          <w:lang w:val="hy-AM"/>
        </w:rPr>
        <w:softHyphen/>
        <w:t xml:space="preserve">փով </w:t>
      </w:r>
      <w:r>
        <w:rPr>
          <w:lang w:val="hy-AM"/>
        </w:rPr>
        <w:t>կամ</w:t>
      </w:r>
      <w:r w:rsidRPr="00867F0B">
        <w:rPr>
          <w:lang w:val="hy-AM"/>
        </w:rPr>
        <w:t xml:space="preserve"> </w:t>
      </w:r>
      <w:r>
        <w:rPr>
          <w:lang w:val="hy-AM"/>
        </w:rPr>
        <w:t xml:space="preserve">392.4 </w:t>
      </w:r>
      <w:r w:rsidRPr="00867F0B">
        <w:rPr>
          <w:lang w:val="hy-AM"/>
        </w:rPr>
        <w:t>մլրդ դրամ</w:t>
      </w:r>
      <w:r w:rsidRPr="001D2D3B">
        <w:rPr>
          <w:lang w:val="hy-AM"/>
        </w:rPr>
        <w:t>: Դեֆիցիտի ֆինանսավորման ներքին աղբյուրների հիմ</w:t>
      </w:r>
      <w:r w:rsidRPr="001D2D3B">
        <w:rPr>
          <w:lang w:val="hy-AM"/>
        </w:rPr>
        <w:softHyphen/>
        <w:t>նա</w:t>
      </w:r>
      <w:r w:rsidRPr="001D2D3B">
        <w:rPr>
          <w:lang w:val="hy-AM"/>
        </w:rPr>
        <w:softHyphen/>
        <w:t>կան մասը ՀՀ</w:t>
      </w:r>
      <w:r>
        <w:rPr>
          <w:lang w:val="hy-AM"/>
        </w:rPr>
        <w:t xml:space="preserve"> 2026-2028</w:t>
      </w:r>
      <w:r w:rsidRPr="001D2D3B">
        <w:rPr>
          <w:lang w:val="hy-AM"/>
        </w:rPr>
        <w:t xml:space="preserve"> թվական</w:t>
      </w:r>
      <w:r>
        <w:rPr>
          <w:lang w:val="hy-AM"/>
        </w:rPr>
        <w:t>ներ</w:t>
      </w:r>
      <w:r w:rsidRPr="001D2D3B">
        <w:rPr>
          <w:lang w:val="hy-AM"/>
        </w:rPr>
        <w:t>ին ձևավորվելու է պե</w:t>
      </w:r>
      <w:r w:rsidRPr="001D2D3B">
        <w:rPr>
          <w:lang w:val="hy-AM"/>
        </w:rPr>
        <w:softHyphen/>
      </w:r>
      <w:r w:rsidRPr="001D2D3B">
        <w:rPr>
          <w:lang w:val="hy-AM"/>
        </w:rPr>
        <w:softHyphen/>
        <w:t>տական արժեթղթերի տեղաբաշխումից գոյացող մուտքերից, տրամադրված վարկերի և փոխատվությունների վերադարձից մուտքերից, ինչպես նաև ելքերի ֆինանսավորմանն ուղղվող պետական բյուջեի տարեսկզբի ազատ մնացորդի միջոցներից: Դեռևս զգալի են արտաքին աղբյուրներից` միջազգային կազմակերպություններից և օտարեր</w:t>
      </w:r>
      <w:r w:rsidRPr="001D2D3B">
        <w:rPr>
          <w:lang w:val="hy-AM"/>
        </w:rPr>
        <w:softHyphen/>
        <w:t>կր</w:t>
      </w:r>
      <w:r w:rsidRPr="001D2D3B">
        <w:rPr>
          <w:lang w:val="hy-AM"/>
        </w:rPr>
        <w:softHyphen/>
        <w:t>յա պետություն</w:t>
      </w:r>
      <w:r w:rsidRPr="001D2D3B">
        <w:rPr>
          <w:lang w:val="hy-AM"/>
        </w:rPr>
        <w:softHyphen/>
        <w:t>նե</w:t>
      </w:r>
      <w:r w:rsidRPr="001D2D3B">
        <w:rPr>
          <w:lang w:val="hy-AM"/>
        </w:rPr>
        <w:softHyphen/>
        <w:t>րից ստաց</w:t>
      </w:r>
      <w:r w:rsidRPr="001D2D3B">
        <w:rPr>
          <w:lang w:val="hy-AM"/>
        </w:rPr>
        <w:softHyphen/>
        <w:t>վելիք վարկերի հաշվին պետական բյուջեի դեֆիցիտի ֆի</w:t>
      </w:r>
      <w:r w:rsidRPr="001D2D3B">
        <w:rPr>
          <w:lang w:val="hy-AM"/>
        </w:rPr>
        <w:softHyphen/>
        <w:t>նան</w:t>
      </w:r>
      <w:r w:rsidRPr="001D2D3B">
        <w:rPr>
          <w:lang w:val="hy-AM"/>
        </w:rPr>
        <w:softHyphen/>
        <w:t>սա</w:t>
      </w:r>
      <w:r w:rsidRPr="001D2D3B">
        <w:rPr>
          <w:lang w:val="hy-AM"/>
        </w:rPr>
        <w:softHyphen/>
        <w:t>վորմանն ուղղվող միջոց</w:t>
      </w:r>
      <w:r w:rsidRPr="001D2D3B">
        <w:rPr>
          <w:lang w:val="hy-AM"/>
        </w:rPr>
        <w:softHyphen/>
        <w:t xml:space="preserve">ները: </w:t>
      </w:r>
    </w:p>
    <w:p w14:paraId="6E4A1620" w14:textId="77777777" w:rsidR="00C91777" w:rsidRPr="00607DAF" w:rsidRDefault="00C91777" w:rsidP="00C91777">
      <w:pPr>
        <w:pStyle w:val="BodyText1"/>
        <w:ind w:left="0"/>
        <w:rPr>
          <w:lang w:val="es-ES"/>
        </w:rPr>
      </w:pPr>
      <w:r w:rsidRPr="00C3014C">
        <w:t>Համաձայն</w:t>
      </w:r>
      <w:r w:rsidRPr="00E77731">
        <w:rPr>
          <w:lang w:val="es-ES"/>
        </w:rPr>
        <w:t xml:space="preserve"> </w:t>
      </w:r>
      <w:r w:rsidRPr="00C3014C">
        <w:t>կանխատեսումների</w:t>
      </w:r>
      <w:r w:rsidRPr="00E77731">
        <w:rPr>
          <w:lang w:val="es-ES"/>
        </w:rPr>
        <w:t xml:space="preserve"> </w:t>
      </w:r>
      <w:r w:rsidRPr="00C3014C">
        <w:t>ծրագրային</w:t>
      </w:r>
      <w:r w:rsidRPr="00E77731">
        <w:rPr>
          <w:lang w:val="es-ES"/>
        </w:rPr>
        <w:t xml:space="preserve"> </w:t>
      </w:r>
      <w:r w:rsidRPr="00C3014C">
        <w:t>ժամանակահատվածում</w:t>
      </w:r>
      <w:r w:rsidRPr="00E77731">
        <w:rPr>
          <w:lang w:val="es-ES"/>
        </w:rPr>
        <w:t xml:space="preserve"> </w:t>
      </w:r>
      <w:r w:rsidRPr="00C3014C">
        <w:t>արտաքին</w:t>
      </w:r>
      <w:r w:rsidRPr="00E77731">
        <w:rPr>
          <w:lang w:val="es-ES"/>
        </w:rPr>
        <w:t xml:space="preserve"> </w:t>
      </w:r>
      <w:r w:rsidRPr="00C3014C">
        <w:t>օժան</w:t>
      </w:r>
      <w:r w:rsidRPr="00E77731">
        <w:rPr>
          <w:lang w:val="es-ES"/>
        </w:rPr>
        <w:softHyphen/>
      </w:r>
      <w:r w:rsidRPr="00C3014C">
        <w:t>դա</w:t>
      </w:r>
      <w:r w:rsidRPr="00E77731">
        <w:rPr>
          <w:lang w:val="es-ES"/>
        </w:rPr>
        <w:softHyphen/>
      </w:r>
      <w:r w:rsidRPr="00E77731">
        <w:rPr>
          <w:lang w:val="es-ES"/>
        </w:rPr>
        <w:softHyphen/>
      </w:r>
      <w:r w:rsidRPr="00C3014C">
        <w:t>կության</w:t>
      </w:r>
      <w:r w:rsidRPr="00E77731">
        <w:rPr>
          <w:lang w:val="es-ES"/>
        </w:rPr>
        <w:t xml:space="preserve"> </w:t>
      </w:r>
      <w:r w:rsidRPr="00C3014C">
        <w:t>կառուցվածքում</w:t>
      </w:r>
      <w:r w:rsidRPr="00E77731">
        <w:rPr>
          <w:lang w:val="es-ES"/>
        </w:rPr>
        <w:t xml:space="preserve"> </w:t>
      </w:r>
      <w:r w:rsidRPr="00C3014C">
        <w:t>գերակշռելու</w:t>
      </w:r>
      <w:r w:rsidRPr="00E77731">
        <w:rPr>
          <w:lang w:val="es-ES"/>
        </w:rPr>
        <w:t xml:space="preserve"> </w:t>
      </w:r>
      <w:r w:rsidRPr="00C3014C">
        <w:t>են</w:t>
      </w:r>
      <w:r w:rsidRPr="00E77731">
        <w:rPr>
          <w:lang w:val="es-ES"/>
        </w:rPr>
        <w:t xml:space="preserve"> </w:t>
      </w:r>
      <w:r w:rsidRPr="00607DAF">
        <w:rPr>
          <w:lang w:val="es-ES"/>
        </w:rPr>
        <w:t>նպատա</w:t>
      </w:r>
      <w:r w:rsidRPr="00E77731">
        <w:rPr>
          <w:lang w:val="es-ES"/>
        </w:rPr>
        <w:softHyphen/>
      </w:r>
      <w:r w:rsidRPr="00607DAF">
        <w:rPr>
          <w:lang w:val="es-ES"/>
        </w:rPr>
        <w:t>կային</w:t>
      </w:r>
      <w:r w:rsidRPr="00E77731">
        <w:rPr>
          <w:lang w:val="es-ES"/>
        </w:rPr>
        <w:t xml:space="preserve"> </w:t>
      </w:r>
      <w:r w:rsidRPr="00607DAF">
        <w:rPr>
          <w:lang w:val="es-ES"/>
        </w:rPr>
        <w:t>ծրագրերի</w:t>
      </w:r>
      <w:r w:rsidRPr="00E77731">
        <w:rPr>
          <w:lang w:val="es-ES"/>
        </w:rPr>
        <w:t xml:space="preserve"> </w:t>
      </w:r>
      <w:r w:rsidRPr="00607DAF">
        <w:rPr>
          <w:lang w:val="es-ES"/>
        </w:rPr>
        <w:t>ֆինանսավորման</w:t>
      </w:r>
      <w:r w:rsidRPr="00E77731">
        <w:rPr>
          <w:lang w:val="es-ES"/>
        </w:rPr>
        <w:t xml:space="preserve"> </w:t>
      </w:r>
      <w:r w:rsidRPr="00607DAF">
        <w:rPr>
          <w:lang w:val="es-ES"/>
        </w:rPr>
        <w:t>համար</w:t>
      </w:r>
      <w:r w:rsidRPr="00E77731">
        <w:rPr>
          <w:lang w:val="es-ES"/>
        </w:rPr>
        <w:t xml:space="preserve"> </w:t>
      </w:r>
      <w:r w:rsidRPr="00607DAF">
        <w:rPr>
          <w:lang w:val="es-ES"/>
        </w:rPr>
        <w:t>նախատեսված բյուջետային աջակցության պաշ</w:t>
      </w:r>
      <w:r w:rsidRPr="00607DAF">
        <w:rPr>
          <w:lang w:val="es-ES"/>
        </w:rPr>
        <w:softHyphen/>
        <w:t>տո</w:t>
      </w:r>
      <w:r w:rsidRPr="00607DAF">
        <w:rPr>
          <w:lang w:val="es-ES"/>
        </w:rPr>
        <w:softHyphen/>
        <w:t>նա</w:t>
      </w:r>
      <w:r w:rsidRPr="00607DAF">
        <w:rPr>
          <w:lang w:val="es-ES"/>
        </w:rPr>
        <w:softHyphen/>
        <w:t>կան դրամաշնորհներն ու վարկերը (99.4%):</w:t>
      </w:r>
      <w:bookmarkEnd w:id="329"/>
    </w:p>
    <w:p w14:paraId="2B3FB659" w14:textId="356C2AAE" w:rsidR="00C91777" w:rsidRPr="00E77731" w:rsidRDefault="00C91777" w:rsidP="00C91777">
      <w:pPr>
        <w:pStyle w:val="a"/>
      </w:pPr>
      <w:bookmarkStart w:id="338" w:name="_Toc178350612"/>
      <w:bookmarkStart w:id="339" w:name="_Toc178612137"/>
      <w:bookmarkStart w:id="340" w:name="_Toc184110763"/>
      <w:r w:rsidRPr="00E77731">
        <w:t xml:space="preserve">Աղյուսակ </w:t>
      </w:r>
      <w:r w:rsidRPr="00C3014C">
        <w:fldChar w:fldCharType="begin"/>
      </w:r>
      <w:r w:rsidRPr="00E77731">
        <w:instrText xml:space="preserve"> SEQ Աղյուսակ \* ARABIC </w:instrText>
      </w:r>
      <w:r w:rsidRPr="00C3014C">
        <w:fldChar w:fldCharType="separate"/>
      </w:r>
      <w:r w:rsidR="001848B1">
        <w:rPr>
          <w:noProof/>
        </w:rPr>
        <w:t>2</w:t>
      </w:r>
      <w:r w:rsidRPr="00C3014C">
        <w:fldChar w:fldCharType="end"/>
      </w:r>
      <w:r w:rsidRPr="00E77731">
        <w:rPr>
          <w:rFonts w:ascii="Cambria Math" w:hAnsi="Cambria Math" w:cs="Cambria Math"/>
        </w:rPr>
        <w:t>․</w:t>
      </w:r>
      <w:r>
        <w:t xml:space="preserve"> 2026</w:t>
      </w:r>
      <w:r w:rsidRPr="00E77731">
        <w:t>թ ակնկալվող արտաքին օժանդակությունն ըստ բնույթի</w:t>
      </w:r>
      <w:bookmarkEnd w:id="330"/>
      <w:bookmarkEnd w:id="331"/>
      <w:bookmarkEnd w:id="332"/>
      <w:bookmarkEnd w:id="333"/>
      <w:bookmarkEnd w:id="338"/>
      <w:bookmarkEnd w:id="339"/>
      <w:bookmarkEnd w:id="340"/>
    </w:p>
    <w:tbl>
      <w:tblPr>
        <w:tblW w:w="5000" w:type="pct"/>
        <w:tblBorders>
          <w:top w:val="single" w:sz="8" w:space="0" w:color="E1E1E3" w:themeColor="accent3" w:themeTint="33"/>
          <w:left w:val="single" w:sz="8" w:space="0" w:color="E1E1E3" w:themeColor="accent3" w:themeTint="33"/>
          <w:bottom w:val="single" w:sz="8" w:space="0" w:color="E1E1E3" w:themeColor="accent3" w:themeTint="33"/>
          <w:right w:val="single" w:sz="8" w:space="0" w:color="E1E1E3" w:themeColor="accent3" w:themeTint="33"/>
          <w:insideH w:val="single" w:sz="8" w:space="0" w:color="E1E1E3" w:themeColor="accent3" w:themeTint="33"/>
          <w:insideV w:val="single" w:sz="8" w:space="0" w:color="E1E1E3" w:themeColor="accent3" w:themeTint="33"/>
        </w:tblBorders>
        <w:tblCellMar>
          <w:left w:w="0" w:type="dxa"/>
          <w:right w:w="0" w:type="dxa"/>
        </w:tblCellMar>
        <w:tblLook w:val="04A0" w:firstRow="1" w:lastRow="0" w:firstColumn="1" w:lastColumn="0" w:noHBand="0" w:noVBand="1"/>
      </w:tblPr>
      <w:tblGrid>
        <w:gridCol w:w="5284"/>
        <w:gridCol w:w="1674"/>
        <w:gridCol w:w="3427"/>
      </w:tblGrid>
      <w:tr w:rsidR="00C91777" w:rsidRPr="0087517F" w14:paraId="660DF50A" w14:textId="77777777" w:rsidTr="00147C8B">
        <w:trPr>
          <w:trHeight w:val="360"/>
        </w:trPr>
        <w:tc>
          <w:tcPr>
            <w:tcW w:w="2544" w:type="pct"/>
            <w:shd w:val="clear" w:color="auto" w:fill="D5DCE4" w:themeFill="text2" w:themeFillTint="33"/>
            <w:noWrap/>
            <w:tcMar>
              <w:top w:w="0" w:type="dxa"/>
              <w:left w:w="57" w:type="dxa"/>
              <w:bottom w:w="0" w:type="dxa"/>
              <w:right w:w="113" w:type="dxa"/>
            </w:tcMar>
            <w:vAlign w:val="center"/>
            <w:hideMark/>
          </w:tcPr>
          <w:bookmarkEnd w:id="334"/>
          <w:p w14:paraId="46433D63" w14:textId="77777777" w:rsidR="00C91777" w:rsidRPr="0022586A" w:rsidRDefault="00C91777" w:rsidP="00147C8B">
            <w:pPr>
              <w:spacing w:before="0" w:after="0" w:line="240" w:lineRule="auto"/>
              <w:jc w:val="both"/>
              <w:rPr>
                <w:b/>
                <w:sz w:val="18"/>
                <w:szCs w:val="18"/>
              </w:rPr>
            </w:pPr>
            <w:r w:rsidRPr="0022586A">
              <w:rPr>
                <w:b/>
                <w:sz w:val="18"/>
                <w:szCs w:val="18"/>
              </w:rPr>
              <w:t>Ցուցանիշներ</w:t>
            </w:r>
          </w:p>
        </w:tc>
        <w:tc>
          <w:tcPr>
            <w:tcW w:w="806" w:type="pct"/>
            <w:shd w:val="clear" w:color="auto" w:fill="D5DCE4" w:themeFill="text2" w:themeFillTint="33"/>
            <w:vAlign w:val="center"/>
            <w:hideMark/>
          </w:tcPr>
          <w:p w14:paraId="1C96DCA1" w14:textId="77777777" w:rsidR="00C91777" w:rsidRPr="0022586A" w:rsidRDefault="00C91777" w:rsidP="00147C8B">
            <w:pPr>
              <w:spacing w:before="0" w:after="0" w:line="240" w:lineRule="auto"/>
              <w:jc w:val="center"/>
              <w:rPr>
                <w:b/>
                <w:sz w:val="18"/>
                <w:szCs w:val="18"/>
              </w:rPr>
            </w:pPr>
            <w:r w:rsidRPr="0022586A">
              <w:rPr>
                <w:b/>
                <w:sz w:val="18"/>
                <w:szCs w:val="18"/>
              </w:rPr>
              <w:t>Գումարը (մլրդ դրամներով)</w:t>
            </w:r>
          </w:p>
        </w:tc>
        <w:tc>
          <w:tcPr>
            <w:tcW w:w="1650" w:type="pct"/>
            <w:shd w:val="clear" w:color="auto" w:fill="D5DCE4" w:themeFill="text2" w:themeFillTint="33"/>
            <w:vAlign w:val="center"/>
            <w:hideMark/>
          </w:tcPr>
          <w:p w14:paraId="629AC1E9" w14:textId="77777777" w:rsidR="00C91777" w:rsidRPr="0022586A" w:rsidRDefault="00C91777" w:rsidP="00147C8B">
            <w:pPr>
              <w:spacing w:before="0" w:after="0" w:line="240" w:lineRule="auto"/>
              <w:jc w:val="center"/>
              <w:rPr>
                <w:b/>
                <w:sz w:val="18"/>
                <w:szCs w:val="18"/>
              </w:rPr>
            </w:pPr>
            <w:r w:rsidRPr="0022586A">
              <w:rPr>
                <w:b/>
                <w:sz w:val="18"/>
                <w:szCs w:val="18"/>
              </w:rPr>
              <w:t>Տեսակարար կշիռը արտաքին օժան</w:t>
            </w:r>
            <w:r w:rsidRPr="0022586A">
              <w:rPr>
                <w:b/>
                <w:sz w:val="18"/>
                <w:szCs w:val="18"/>
              </w:rPr>
              <w:softHyphen/>
              <w:t>դա</w:t>
            </w:r>
            <w:r w:rsidRPr="0022586A">
              <w:rPr>
                <w:b/>
                <w:sz w:val="18"/>
                <w:szCs w:val="18"/>
              </w:rPr>
              <w:softHyphen/>
              <w:t>կութ</w:t>
            </w:r>
            <w:r w:rsidRPr="0022586A">
              <w:rPr>
                <w:b/>
                <w:sz w:val="18"/>
                <w:szCs w:val="18"/>
              </w:rPr>
              <w:softHyphen/>
              <w:t>յան ընդհանուր գումարում (%)</w:t>
            </w:r>
          </w:p>
        </w:tc>
      </w:tr>
      <w:tr w:rsidR="00C91777" w:rsidRPr="0087517F" w14:paraId="56DDDC3D" w14:textId="77777777" w:rsidTr="00147C8B">
        <w:trPr>
          <w:trHeight w:val="360"/>
        </w:trPr>
        <w:tc>
          <w:tcPr>
            <w:tcW w:w="2544" w:type="pct"/>
            <w:shd w:val="clear" w:color="auto" w:fill="D5DCE4" w:themeFill="text2" w:themeFillTint="33"/>
            <w:noWrap/>
            <w:tcMar>
              <w:top w:w="0" w:type="dxa"/>
              <w:left w:w="57" w:type="dxa"/>
              <w:bottom w:w="0" w:type="dxa"/>
              <w:right w:w="113" w:type="dxa"/>
            </w:tcMar>
            <w:hideMark/>
          </w:tcPr>
          <w:p w14:paraId="407E61F7" w14:textId="77777777" w:rsidR="00C91777" w:rsidRPr="0092287F" w:rsidRDefault="00C91777" w:rsidP="00147C8B">
            <w:pPr>
              <w:spacing w:before="0" w:after="0" w:line="240" w:lineRule="auto"/>
              <w:jc w:val="both"/>
              <w:rPr>
                <w:b/>
                <w:sz w:val="18"/>
                <w:szCs w:val="18"/>
              </w:rPr>
            </w:pPr>
            <w:r w:rsidRPr="0092287F">
              <w:rPr>
                <w:b/>
                <w:sz w:val="18"/>
                <w:szCs w:val="18"/>
              </w:rPr>
              <w:t>Ընդհանուր բնույթի բյուջետային օժանդակություն</w:t>
            </w:r>
          </w:p>
        </w:tc>
        <w:tc>
          <w:tcPr>
            <w:tcW w:w="806" w:type="pct"/>
            <w:shd w:val="clear" w:color="auto" w:fill="D5DCE4" w:themeFill="text2" w:themeFillTint="33"/>
            <w:vAlign w:val="center"/>
          </w:tcPr>
          <w:p w14:paraId="4B8118B2" w14:textId="77777777" w:rsidR="00C91777" w:rsidRPr="00607DAF" w:rsidRDefault="00C91777" w:rsidP="00147C8B">
            <w:pPr>
              <w:spacing w:before="0" w:after="0" w:line="240" w:lineRule="auto"/>
              <w:jc w:val="center"/>
              <w:rPr>
                <w:rFonts w:ascii="GHEA Grapalat" w:hAnsi="GHEA Grapalat" w:cs="Calibri"/>
                <w:color w:val="404040"/>
                <w:sz w:val="18"/>
                <w:szCs w:val="18"/>
              </w:rPr>
            </w:pPr>
            <w:r>
              <w:rPr>
                <w:rFonts w:ascii="GHEA Grapalat" w:hAnsi="GHEA Grapalat" w:cs="Calibri"/>
                <w:color w:val="404040"/>
                <w:sz w:val="18"/>
                <w:szCs w:val="18"/>
              </w:rPr>
              <w:t>0.9</w:t>
            </w:r>
          </w:p>
        </w:tc>
        <w:tc>
          <w:tcPr>
            <w:tcW w:w="1650" w:type="pct"/>
            <w:shd w:val="clear" w:color="auto" w:fill="D5DCE4" w:themeFill="text2" w:themeFillTint="33"/>
            <w:vAlign w:val="center"/>
          </w:tcPr>
          <w:p w14:paraId="329D47F2" w14:textId="77777777" w:rsidR="00C91777" w:rsidRDefault="00C91777" w:rsidP="00147C8B">
            <w:pPr>
              <w:jc w:val="center"/>
              <w:rPr>
                <w:rFonts w:ascii="GHEA Grapalat" w:hAnsi="GHEA Grapalat" w:cs="Calibri"/>
                <w:color w:val="404040"/>
                <w:sz w:val="18"/>
                <w:szCs w:val="18"/>
              </w:rPr>
            </w:pPr>
            <w:r>
              <w:rPr>
                <w:rFonts w:ascii="GHEA Grapalat" w:hAnsi="GHEA Grapalat" w:cs="Calibri"/>
                <w:color w:val="404040"/>
                <w:sz w:val="18"/>
                <w:szCs w:val="18"/>
              </w:rPr>
              <w:t>0.6%</w:t>
            </w:r>
          </w:p>
        </w:tc>
      </w:tr>
      <w:tr w:rsidR="00C91777" w:rsidRPr="0087517F" w14:paraId="11D87CA5" w14:textId="77777777" w:rsidTr="00147C8B">
        <w:trPr>
          <w:trHeight w:val="360"/>
        </w:trPr>
        <w:tc>
          <w:tcPr>
            <w:tcW w:w="2544" w:type="pct"/>
            <w:shd w:val="clear" w:color="auto" w:fill="auto"/>
            <w:noWrap/>
            <w:tcMar>
              <w:top w:w="0" w:type="dxa"/>
              <w:left w:w="57" w:type="dxa"/>
              <w:bottom w:w="0" w:type="dxa"/>
              <w:right w:w="113" w:type="dxa"/>
            </w:tcMar>
            <w:hideMark/>
          </w:tcPr>
          <w:p w14:paraId="1856FB63" w14:textId="77777777" w:rsidR="00C91777" w:rsidRPr="0087517F" w:rsidRDefault="00C91777" w:rsidP="00147C8B">
            <w:pPr>
              <w:spacing w:before="0" w:after="0" w:line="240" w:lineRule="auto"/>
              <w:jc w:val="both"/>
              <w:rPr>
                <w:sz w:val="18"/>
                <w:szCs w:val="18"/>
              </w:rPr>
            </w:pPr>
            <w:r w:rsidRPr="0087517F">
              <w:rPr>
                <w:sz w:val="18"/>
                <w:szCs w:val="18"/>
              </w:rPr>
              <w:t>Պաշտոնական դրամաշնորհներ</w:t>
            </w:r>
          </w:p>
        </w:tc>
        <w:tc>
          <w:tcPr>
            <w:tcW w:w="806" w:type="pct"/>
            <w:shd w:val="clear" w:color="auto" w:fill="auto"/>
            <w:vAlign w:val="center"/>
          </w:tcPr>
          <w:p w14:paraId="5BF6B5AB" w14:textId="77777777" w:rsidR="00C91777" w:rsidRPr="00607DAF" w:rsidRDefault="00C91777" w:rsidP="00147C8B">
            <w:pPr>
              <w:spacing w:before="0" w:after="0" w:line="240" w:lineRule="auto"/>
              <w:jc w:val="center"/>
              <w:rPr>
                <w:iCs/>
                <w:sz w:val="18"/>
                <w:szCs w:val="18"/>
              </w:rPr>
            </w:pPr>
            <w:r w:rsidRPr="00607DAF">
              <w:rPr>
                <w:iCs/>
                <w:sz w:val="18"/>
                <w:szCs w:val="18"/>
              </w:rPr>
              <w:t>0.9</w:t>
            </w:r>
          </w:p>
        </w:tc>
        <w:tc>
          <w:tcPr>
            <w:tcW w:w="1650" w:type="pct"/>
            <w:shd w:val="clear" w:color="auto" w:fill="auto"/>
            <w:vAlign w:val="center"/>
            <w:hideMark/>
          </w:tcPr>
          <w:p w14:paraId="22A43D83" w14:textId="77777777" w:rsidR="00C91777" w:rsidRPr="00607DAF" w:rsidRDefault="00C91777" w:rsidP="00147C8B">
            <w:pPr>
              <w:spacing w:before="0" w:after="0" w:line="240" w:lineRule="auto"/>
              <w:jc w:val="center"/>
              <w:rPr>
                <w:iCs/>
                <w:sz w:val="18"/>
                <w:szCs w:val="18"/>
              </w:rPr>
            </w:pPr>
            <w:r w:rsidRPr="00607DAF">
              <w:rPr>
                <w:iCs/>
                <w:sz w:val="18"/>
                <w:szCs w:val="18"/>
              </w:rPr>
              <w:t>X</w:t>
            </w:r>
          </w:p>
        </w:tc>
      </w:tr>
      <w:tr w:rsidR="00C91777" w:rsidRPr="0087517F" w14:paraId="317C1591" w14:textId="77777777" w:rsidTr="00147C8B">
        <w:trPr>
          <w:trHeight w:val="360"/>
        </w:trPr>
        <w:tc>
          <w:tcPr>
            <w:tcW w:w="2544" w:type="pct"/>
            <w:shd w:val="clear" w:color="auto" w:fill="D5DCE4" w:themeFill="text2" w:themeFillTint="33"/>
            <w:noWrap/>
            <w:tcMar>
              <w:top w:w="0" w:type="dxa"/>
              <w:left w:w="57" w:type="dxa"/>
              <w:bottom w:w="0" w:type="dxa"/>
              <w:right w:w="113" w:type="dxa"/>
            </w:tcMar>
            <w:hideMark/>
          </w:tcPr>
          <w:p w14:paraId="3932864E" w14:textId="77777777" w:rsidR="00C91777" w:rsidRPr="0092287F" w:rsidRDefault="00C91777" w:rsidP="00147C8B">
            <w:pPr>
              <w:spacing w:before="0" w:after="0" w:line="240" w:lineRule="auto"/>
              <w:jc w:val="both"/>
              <w:rPr>
                <w:b/>
                <w:sz w:val="18"/>
                <w:szCs w:val="18"/>
              </w:rPr>
            </w:pPr>
            <w:r w:rsidRPr="0092287F">
              <w:rPr>
                <w:b/>
                <w:sz w:val="18"/>
                <w:szCs w:val="18"/>
              </w:rPr>
              <w:t>Ծրագրային (նպատակային) օժանդակություն</w:t>
            </w:r>
          </w:p>
        </w:tc>
        <w:tc>
          <w:tcPr>
            <w:tcW w:w="806" w:type="pct"/>
            <w:shd w:val="clear" w:color="auto" w:fill="D5DCE4" w:themeFill="text2" w:themeFillTint="33"/>
            <w:vAlign w:val="center"/>
          </w:tcPr>
          <w:p w14:paraId="6257394C" w14:textId="77777777" w:rsidR="00C91777" w:rsidRDefault="00C91777" w:rsidP="00147C8B">
            <w:pPr>
              <w:spacing w:before="0" w:after="0" w:line="240" w:lineRule="auto"/>
              <w:jc w:val="center"/>
              <w:rPr>
                <w:rFonts w:ascii="GHEA Grapalat" w:hAnsi="GHEA Grapalat" w:cs="Calibri"/>
                <w:color w:val="404040"/>
                <w:sz w:val="18"/>
                <w:szCs w:val="18"/>
              </w:rPr>
            </w:pPr>
            <w:r>
              <w:rPr>
                <w:rFonts w:ascii="GHEA Grapalat" w:hAnsi="GHEA Grapalat" w:cs="Calibri"/>
                <w:color w:val="404040"/>
                <w:sz w:val="18"/>
                <w:szCs w:val="18"/>
              </w:rPr>
              <w:t>150.8</w:t>
            </w:r>
          </w:p>
        </w:tc>
        <w:tc>
          <w:tcPr>
            <w:tcW w:w="1650" w:type="pct"/>
            <w:shd w:val="clear" w:color="auto" w:fill="D5DCE4" w:themeFill="text2" w:themeFillTint="33"/>
            <w:vAlign w:val="center"/>
            <w:hideMark/>
          </w:tcPr>
          <w:p w14:paraId="473E0614" w14:textId="77777777" w:rsidR="00C91777" w:rsidRDefault="00C91777" w:rsidP="00147C8B">
            <w:pPr>
              <w:spacing w:before="0" w:after="0" w:line="240" w:lineRule="auto"/>
              <w:jc w:val="center"/>
              <w:rPr>
                <w:rFonts w:ascii="GHEA Grapalat" w:hAnsi="GHEA Grapalat" w:cs="Calibri"/>
                <w:color w:val="404040"/>
                <w:sz w:val="18"/>
                <w:szCs w:val="18"/>
              </w:rPr>
            </w:pPr>
            <w:r>
              <w:rPr>
                <w:rFonts w:ascii="GHEA Grapalat" w:hAnsi="GHEA Grapalat" w:cs="Calibri"/>
                <w:color w:val="404040"/>
                <w:sz w:val="18"/>
                <w:szCs w:val="18"/>
              </w:rPr>
              <w:t>99.4%</w:t>
            </w:r>
          </w:p>
        </w:tc>
      </w:tr>
      <w:tr w:rsidR="00C91777" w:rsidRPr="0087517F" w14:paraId="65946557" w14:textId="77777777" w:rsidTr="00147C8B">
        <w:trPr>
          <w:trHeight w:val="360"/>
        </w:trPr>
        <w:tc>
          <w:tcPr>
            <w:tcW w:w="2544" w:type="pct"/>
            <w:shd w:val="clear" w:color="auto" w:fill="auto"/>
            <w:noWrap/>
            <w:tcMar>
              <w:top w:w="0" w:type="dxa"/>
              <w:left w:w="57" w:type="dxa"/>
              <w:bottom w:w="0" w:type="dxa"/>
              <w:right w:w="113" w:type="dxa"/>
            </w:tcMar>
            <w:hideMark/>
          </w:tcPr>
          <w:p w14:paraId="00542F86" w14:textId="77777777" w:rsidR="00C91777" w:rsidRPr="0087517F" w:rsidRDefault="00C91777" w:rsidP="00147C8B">
            <w:pPr>
              <w:spacing w:before="0" w:after="0" w:line="240" w:lineRule="auto"/>
              <w:jc w:val="both"/>
              <w:rPr>
                <w:sz w:val="18"/>
                <w:szCs w:val="18"/>
              </w:rPr>
            </w:pPr>
            <w:r w:rsidRPr="0087517F">
              <w:rPr>
                <w:sz w:val="18"/>
                <w:szCs w:val="18"/>
              </w:rPr>
              <w:t>Պաշտոնական դրամաշնորհներ</w:t>
            </w:r>
          </w:p>
        </w:tc>
        <w:tc>
          <w:tcPr>
            <w:tcW w:w="806" w:type="pct"/>
            <w:shd w:val="clear" w:color="auto" w:fill="auto"/>
            <w:vAlign w:val="center"/>
          </w:tcPr>
          <w:p w14:paraId="38AFE4F9" w14:textId="77777777" w:rsidR="00C91777" w:rsidRPr="00607DAF" w:rsidRDefault="00C91777" w:rsidP="00147C8B">
            <w:pPr>
              <w:spacing w:before="0" w:after="0" w:line="240" w:lineRule="auto"/>
              <w:jc w:val="center"/>
              <w:rPr>
                <w:iCs/>
                <w:sz w:val="18"/>
                <w:szCs w:val="18"/>
              </w:rPr>
            </w:pPr>
            <w:r w:rsidRPr="00607DAF">
              <w:rPr>
                <w:iCs/>
                <w:sz w:val="18"/>
                <w:szCs w:val="18"/>
              </w:rPr>
              <w:t>18.9</w:t>
            </w:r>
          </w:p>
        </w:tc>
        <w:tc>
          <w:tcPr>
            <w:tcW w:w="1650" w:type="pct"/>
            <w:shd w:val="clear" w:color="auto" w:fill="auto"/>
            <w:vAlign w:val="center"/>
            <w:hideMark/>
          </w:tcPr>
          <w:p w14:paraId="4EEFEE43" w14:textId="77777777" w:rsidR="00C91777" w:rsidRPr="00607DAF" w:rsidRDefault="00C91777" w:rsidP="00147C8B">
            <w:pPr>
              <w:spacing w:before="0" w:after="0" w:line="240" w:lineRule="auto"/>
              <w:jc w:val="center"/>
              <w:rPr>
                <w:iCs/>
                <w:sz w:val="18"/>
                <w:szCs w:val="18"/>
              </w:rPr>
            </w:pPr>
            <w:r w:rsidRPr="00607DAF">
              <w:rPr>
                <w:iCs/>
                <w:sz w:val="18"/>
                <w:szCs w:val="18"/>
              </w:rPr>
              <w:t>X</w:t>
            </w:r>
          </w:p>
        </w:tc>
      </w:tr>
      <w:tr w:rsidR="00C91777" w:rsidRPr="0087517F" w14:paraId="4717CA4F" w14:textId="77777777" w:rsidTr="00147C8B">
        <w:trPr>
          <w:trHeight w:val="360"/>
        </w:trPr>
        <w:tc>
          <w:tcPr>
            <w:tcW w:w="2544" w:type="pct"/>
            <w:shd w:val="clear" w:color="auto" w:fill="auto"/>
            <w:noWrap/>
            <w:tcMar>
              <w:top w:w="0" w:type="dxa"/>
              <w:left w:w="57" w:type="dxa"/>
              <w:bottom w:w="0" w:type="dxa"/>
              <w:right w:w="113" w:type="dxa"/>
            </w:tcMar>
            <w:hideMark/>
          </w:tcPr>
          <w:p w14:paraId="0900B51E" w14:textId="77777777" w:rsidR="00C91777" w:rsidRPr="0087517F" w:rsidRDefault="00C91777" w:rsidP="00147C8B">
            <w:pPr>
              <w:spacing w:before="0" w:after="0" w:line="240" w:lineRule="auto"/>
              <w:jc w:val="both"/>
              <w:rPr>
                <w:sz w:val="18"/>
                <w:szCs w:val="18"/>
              </w:rPr>
            </w:pPr>
            <w:r w:rsidRPr="0087517F">
              <w:rPr>
                <w:sz w:val="18"/>
                <w:szCs w:val="18"/>
              </w:rPr>
              <w:t>Վարկեր</w:t>
            </w:r>
          </w:p>
        </w:tc>
        <w:tc>
          <w:tcPr>
            <w:tcW w:w="806" w:type="pct"/>
            <w:shd w:val="clear" w:color="auto" w:fill="auto"/>
            <w:vAlign w:val="center"/>
          </w:tcPr>
          <w:p w14:paraId="7B30F2B2" w14:textId="77777777" w:rsidR="00C91777" w:rsidRPr="00607DAF" w:rsidRDefault="00C91777" w:rsidP="00147C8B">
            <w:pPr>
              <w:spacing w:before="0" w:after="0" w:line="240" w:lineRule="auto"/>
              <w:jc w:val="center"/>
              <w:rPr>
                <w:iCs/>
                <w:sz w:val="18"/>
                <w:szCs w:val="18"/>
              </w:rPr>
            </w:pPr>
            <w:r w:rsidRPr="00607DAF">
              <w:rPr>
                <w:iCs/>
                <w:sz w:val="18"/>
                <w:szCs w:val="18"/>
              </w:rPr>
              <w:t>131.9</w:t>
            </w:r>
          </w:p>
        </w:tc>
        <w:tc>
          <w:tcPr>
            <w:tcW w:w="1650" w:type="pct"/>
            <w:shd w:val="clear" w:color="auto" w:fill="auto"/>
            <w:vAlign w:val="center"/>
            <w:hideMark/>
          </w:tcPr>
          <w:p w14:paraId="1FDB9CB7" w14:textId="77777777" w:rsidR="00C91777" w:rsidRPr="00607DAF" w:rsidRDefault="00C91777" w:rsidP="00147C8B">
            <w:pPr>
              <w:spacing w:before="0" w:after="0" w:line="240" w:lineRule="auto"/>
              <w:jc w:val="center"/>
              <w:rPr>
                <w:iCs/>
                <w:sz w:val="18"/>
                <w:szCs w:val="18"/>
              </w:rPr>
            </w:pPr>
            <w:r w:rsidRPr="00607DAF">
              <w:rPr>
                <w:iCs/>
                <w:sz w:val="18"/>
                <w:szCs w:val="18"/>
              </w:rPr>
              <w:t>X</w:t>
            </w:r>
          </w:p>
        </w:tc>
      </w:tr>
      <w:tr w:rsidR="00C91777" w:rsidRPr="0087517F" w14:paraId="1D21C279" w14:textId="77777777" w:rsidTr="00147C8B">
        <w:trPr>
          <w:trHeight w:val="360"/>
        </w:trPr>
        <w:tc>
          <w:tcPr>
            <w:tcW w:w="2544" w:type="pct"/>
            <w:shd w:val="clear" w:color="auto" w:fill="auto"/>
            <w:noWrap/>
            <w:tcMar>
              <w:top w:w="0" w:type="dxa"/>
              <w:left w:w="57" w:type="dxa"/>
              <w:bottom w:w="0" w:type="dxa"/>
              <w:right w:w="113" w:type="dxa"/>
            </w:tcMar>
            <w:hideMark/>
          </w:tcPr>
          <w:p w14:paraId="76B90A85" w14:textId="77777777" w:rsidR="00C91777" w:rsidRPr="0022586A" w:rsidRDefault="00C91777" w:rsidP="00147C8B">
            <w:pPr>
              <w:spacing w:before="0" w:after="0" w:line="240" w:lineRule="auto"/>
              <w:jc w:val="both"/>
              <w:rPr>
                <w:b/>
                <w:sz w:val="18"/>
                <w:szCs w:val="18"/>
              </w:rPr>
            </w:pPr>
            <w:r w:rsidRPr="0022586A">
              <w:rPr>
                <w:b/>
                <w:sz w:val="18"/>
                <w:szCs w:val="18"/>
              </w:rPr>
              <w:t>Ընդամենը արտաքին օժանդակություն</w:t>
            </w:r>
          </w:p>
        </w:tc>
        <w:tc>
          <w:tcPr>
            <w:tcW w:w="806" w:type="pct"/>
            <w:shd w:val="clear" w:color="auto" w:fill="auto"/>
            <w:vAlign w:val="center"/>
          </w:tcPr>
          <w:p w14:paraId="33D577A5" w14:textId="77777777" w:rsidR="00C91777" w:rsidRPr="00607DAF" w:rsidRDefault="00C91777" w:rsidP="00147C8B">
            <w:pPr>
              <w:spacing w:before="0" w:after="0" w:line="240" w:lineRule="auto"/>
              <w:jc w:val="center"/>
              <w:rPr>
                <w:iCs/>
                <w:sz w:val="18"/>
                <w:szCs w:val="18"/>
              </w:rPr>
            </w:pPr>
            <w:r w:rsidRPr="00607DAF">
              <w:rPr>
                <w:iCs/>
                <w:sz w:val="18"/>
                <w:szCs w:val="18"/>
              </w:rPr>
              <w:t>151.7</w:t>
            </w:r>
          </w:p>
        </w:tc>
        <w:tc>
          <w:tcPr>
            <w:tcW w:w="1650" w:type="pct"/>
            <w:shd w:val="clear" w:color="auto" w:fill="auto"/>
            <w:vAlign w:val="center"/>
          </w:tcPr>
          <w:p w14:paraId="1F5BBB00" w14:textId="77777777" w:rsidR="00C91777" w:rsidRPr="00607DAF" w:rsidRDefault="00C91777" w:rsidP="00147C8B">
            <w:pPr>
              <w:spacing w:before="0" w:after="0" w:line="240" w:lineRule="auto"/>
              <w:jc w:val="center"/>
              <w:rPr>
                <w:iCs/>
                <w:sz w:val="18"/>
                <w:szCs w:val="18"/>
              </w:rPr>
            </w:pPr>
            <w:r w:rsidRPr="00607DAF">
              <w:rPr>
                <w:iCs/>
                <w:sz w:val="18"/>
                <w:szCs w:val="18"/>
              </w:rPr>
              <w:t> </w:t>
            </w:r>
          </w:p>
        </w:tc>
      </w:tr>
    </w:tbl>
    <w:p w14:paraId="332E5CC5" w14:textId="77777777" w:rsidR="00C91777" w:rsidRDefault="00C91777" w:rsidP="00C91777">
      <w:pPr>
        <w:rPr>
          <w:rFonts w:ascii="GHEA Grapalat" w:hAnsi="GHEA Grapalat"/>
          <w:szCs w:val="20"/>
        </w:rPr>
      </w:pPr>
    </w:p>
    <w:p w14:paraId="14A9CFFB" w14:textId="77777777" w:rsidR="00C91777" w:rsidRDefault="00C91777" w:rsidP="00C91777">
      <w:pPr>
        <w:pStyle w:val="BodyText1"/>
        <w:ind w:left="0"/>
      </w:pPr>
      <w:r w:rsidRPr="00C3014C">
        <w:t>Բյուջետային փաթեթում ընդհանուր բնույթի բյուջետային օժանդակության թերստաց</w:t>
      </w:r>
      <w:r w:rsidRPr="00C3014C">
        <w:softHyphen/>
        <w:t>ման պայ</w:t>
      </w:r>
      <w:r w:rsidRPr="00C3014C">
        <w:softHyphen/>
      </w:r>
      <w:r w:rsidRPr="00C3014C">
        <w:softHyphen/>
        <w:t>մաններում ծախսերի վերանայման անհրաժեշտության առաջացման դեպ</w:t>
      </w:r>
      <w:r w:rsidRPr="00C3014C">
        <w:softHyphen/>
        <w:t>քում այդ վերանայումն իրականացվելու է` ելնելով ծախսերի գե</w:t>
      </w:r>
      <w:r w:rsidRPr="00C3014C">
        <w:softHyphen/>
        <w:t>րա</w:t>
      </w:r>
      <w:r w:rsidRPr="00C3014C">
        <w:softHyphen/>
      </w:r>
      <w:r w:rsidRPr="00C3014C">
        <w:softHyphen/>
      </w:r>
      <w:r w:rsidRPr="00C3014C">
        <w:softHyphen/>
        <w:t>կա</w:t>
      </w:r>
      <w:r w:rsidRPr="00C3014C">
        <w:softHyphen/>
        <w:t>յու</w:t>
      </w:r>
      <w:r w:rsidRPr="00C3014C">
        <w:softHyphen/>
        <w:t>թյան աստիճանից: Ծրագրային (նպատակային) պաշտոնական դրամաշ</w:t>
      </w:r>
      <w:r w:rsidRPr="00C3014C">
        <w:softHyphen/>
        <w:t>նորհ</w:t>
      </w:r>
      <w:r w:rsidRPr="00C3014C">
        <w:softHyphen/>
        <w:t>ների և վար</w:t>
      </w:r>
      <w:r w:rsidRPr="00C3014C">
        <w:softHyphen/>
      </w:r>
      <w:r w:rsidRPr="00C3014C">
        <w:softHyphen/>
        <w:t>կերի թերս</w:t>
      </w:r>
      <w:r w:rsidRPr="00C3014C">
        <w:softHyphen/>
        <w:t>տացումը հանգեցնելու է այն ծրագրերի գծով ծախսերի կրճատ</w:t>
      </w:r>
      <w:r w:rsidRPr="00C3014C">
        <w:softHyphen/>
        <w:t>մա</w:t>
      </w:r>
      <w:r w:rsidRPr="00C3014C">
        <w:softHyphen/>
        <w:t>նը, որոնք ան</w:t>
      </w:r>
      <w:r w:rsidRPr="00C3014C">
        <w:softHyphen/>
        <w:t>մի</w:t>
      </w:r>
      <w:r w:rsidRPr="00C3014C">
        <w:softHyphen/>
        <w:t>ջա</w:t>
      </w:r>
      <w:r w:rsidRPr="00C3014C">
        <w:softHyphen/>
      </w:r>
      <w:r w:rsidRPr="00C3014C">
        <w:softHyphen/>
        <w:t>կանորեն</w:t>
      </w:r>
      <w:r w:rsidRPr="00C3014C">
        <w:softHyphen/>
      </w:r>
      <w:r>
        <w:rPr>
          <w:lang w:val="hy-AM"/>
        </w:rPr>
        <w:t xml:space="preserve"> </w:t>
      </w:r>
      <w:r w:rsidRPr="00C3014C">
        <w:t xml:space="preserve">կապակցված են ֆինանսավորման այդ աղբյուրներին: </w:t>
      </w:r>
    </w:p>
    <w:p w14:paraId="519C7E90" w14:textId="77777777" w:rsidR="00C91777" w:rsidRDefault="00C91777" w:rsidP="00C91777">
      <w:pPr>
        <w:pStyle w:val="BodyText1"/>
        <w:ind w:left="0"/>
      </w:pPr>
      <w:r w:rsidRPr="008C386A">
        <w:t>ՀՀ</w:t>
      </w:r>
      <w:r>
        <w:t xml:space="preserve"> 2026</w:t>
      </w:r>
      <w:r w:rsidRPr="008C386A">
        <w:t xml:space="preserve"> թվականի պետական բյուջեի հաշվարկներում «Հայաստանի Հան</w:t>
      </w:r>
      <w:r w:rsidRPr="008C386A">
        <w:softHyphen/>
        <w:t>րա</w:t>
      </w:r>
      <w:r w:rsidRPr="008C386A">
        <w:softHyphen/>
        <w:t>պետության բյուջետային հա</w:t>
      </w:r>
      <w:r w:rsidRPr="008C386A">
        <w:softHyphen/>
        <w:t>մակարգի մասին» ՀՀ օրենքի 21-րդ հոդվածի 8.1-րդ մա</w:t>
      </w:r>
      <w:r w:rsidRPr="008C386A">
        <w:softHyphen/>
        <w:t>սի պա</w:t>
      </w:r>
      <w:r w:rsidRPr="008C386A">
        <w:softHyphen/>
      </w:r>
      <w:r w:rsidRPr="008C386A">
        <w:softHyphen/>
        <w:t>հան</w:t>
      </w:r>
      <w:r w:rsidRPr="008C386A">
        <w:softHyphen/>
        <w:t>ջի համաձայն կիրառ</w:t>
      </w:r>
      <w:r w:rsidRPr="008C386A">
        <w:softHyphen/>
        <w:t xml:space="preserve">վել են ս.թ. </w:t>
      </w:r>
      <w:r>
        <w:rPr>
          <w:lang w:val="hy-AM"/>
        </w:rPr>
        <w:t>նոյեմբերի</w:t>
      </w:r>
      <w:r>
        <w:t xml:space="preserve"> 3</w:t>
      </w:r>
      <w:r w:rsidRPr="008C386A">
        <w:t>-ի դրությամբ ՀՀ արտար</w:t>
      </w:r>
      <w:r w:rsidRPr="008C386A">
        <w:softHyphen/>
        <w:t>ժու</w:t>
      </w:r>
      <w:r w:rsidRPr="008C386A">
        <w:softHyphen/>
        <w:t>թա</w:t>
      </w:r>
      <w:r w:rsidRPr="008C386A">
        <w:softHyphen/>
        <w:t>յին շու</w:t>
      </w:r>
      <w:r w:rsidRPr="008C386A">
        <w:softHyphen/>
      </w:r>
      <w:r w:rsidRPr="008C386A">
        <w:softHyphen/>
        <w:t>կա</w:t>
      </w:r>
      <w:r w:rsidRPr="008C386A">
        <w:softHyphen/>
        <w:t>յում ձևավորված տա</w:t>
      </w:r>
      <w:r w:rsidRPr="008C386A">
        <w:softHyphen/>
        <w:t>րա</w:t>
      </w:r>
      <w:r w:rsidRPr="008C386A">
        <w:softHyphen/>
        <w:t>դրա</w:t>
      </w:r>
      <w:r w:rsidRPr="008C386A">
        <w:softHyphen/>
        <w:t>մի փոխարժեքները ՀՀ դրամով:</w:t>
      </w:r>
    </w:p>
    <w:p w14:paraId="7BB044DB" w14:textId="39C1F8EB" w:rsidR="00C91777" w:rsidRPr="002506A8" w:rsidRDefault="00C91777" w:rsidP="00C91777">
      <w:pPr>
        <w:pStyle w:val="a"/>
      </w:pPr>
      <w:bookmarkStart w:id="341" w:name="_Toc120805262"/>
      <w:r w:rsidRPr="007955BB">
        <w:t xml:space="preserve">Աղյուսակ </w:t>
      </w:r>
      <w:r w:rsidRPr="007955BB">
        <w:fldChar w:fldCharType="begin"/>
      </w:r>
      <w:r w:rsidRPr="007955BB">
        <w:instrText xml:space="preserve"> SEQ Աղյուսակ \* ARABIC </w:instrText>
      </w:r>
      <w:r w:rsidRPr="007955BB">
        <w:fldChar w:fldCharType="separate"/>
      </w:r>
      <w:r w:rsidR="001848B1">
        <w:rPr>
          <w:noProof/>
        </w:rPr>
        <w:t>3</w:t>
      </w:r>
      <w:r w:rsidRPr="007955BB">
        <w:fldChar w:fldCharType="end"/>
      </w:r>
      <w:r w:rsidRPr="002506A8">
        <w:rPr>
          <w:rFonts w:ascii="Cambria Math" w:hAnsi="Cambria Math" w:cs="Cambria Math"/>
        </w:rPr>
        <w:t>․</w:t>
      </w:r>
      <w:r w:rsidRPr="002506A8">
        <w:t xml:space="preserve"> ՀՀ 202</w:t>
      </w:r>
      <w:r>
        <w:t>6</w:t>
      </w:r>
      <w:r w:rsidRPr="002506A8">
        <w:t xml:space="preserve"> թվականի պետական բյուջեի նախագծի հաշվարկներում կիրառված տարադրամների փոխարժեք</w:t>
      </w:r>
      <w:r w:rsidRPr="002506A8">
        <w:softHyphen/>
        <w:t>ները ՀՀ դրամով</w:t>
      </w:r>
      <w:bookmarkEnd w:id="341"/>
    </w:p>
    <w:tbl>
      <w:tblPr>
        <w:tblW w:w="0" w:type="auto"/>
        <w:tblBorders>
          <w:top w:val="single" w:sz="8" w:space="0" w:color="E1E1E3" w:themeColor="accent3" w:themeTint="33"/>
          <w:left w:val="single" w:sz="8" w:space="0" w:color="E1E1E3" w:themeColor="accent3" w:themeTint="33"/>
          <w:bottom w:val="single" w:sz="8" w:space="0" w:color="E1E1E3" w:themeColor="accent3" w:themeTint="33"/>
          <w:right w:val="single" w:sz="8" w:space="0" w:color="E1E1E3" w:themeColor="accent3" w:themeTint="33"/>
          <w:insideH w:val="single" w:sz="8" w:space="0" w:color="E1E1E3" w:themeColor="accent3" w:themeTint="33"/>
          <w:insideV w:val="single" w:sz="8" w:space="0" w:color="E1E1E3" w:themeColor="accent3" w:themeTint="33"/>
        </w:tblBorders>
        <w:tblLayout w:type="fixed"/>
        <w:tblLook w:val="04A0" w:firstRow="1" w:lastRow="0" w:firstColumn="1" w:lastColumn="0" w:noHBand="0" w:noVBand="1"/>
      </w:tblPr>
      <w:tblGrid>
        <w:gridCol w:w="6152"/>
        <w:gridCol w:w="10"/>
        <w:gridCol w:w="3564"/>
      </w:tblGrid>
      <w:tr w:rsidR="00C91777" w:rsidRPr="0087517F" w14:paraId="18FE7574" w14:textId="77777777" w:rsidTr="00147C8B">
        <w:trPr>
          <w:trHeight w:val="432"/>
        </w:trPr>
        <w:tc>
          <w:tcPr>
            <w:tcW w:w="6152" w:type="dxa"/>
            <w:shd w:val="clear" w:color="auto" w:fill="D5DCE4" w:themeFill="text2" w:themeFillTint="33"/>
            <w:vAlign w:val="center"/>
            <w:hideMark/>
          </w:tcPr>
          <w:p w14:paraId="344E9100" w14:textId="77777777" w:rsidR="00C91777" w:rsidRPr="0087517F" w:rsidRDefault="00C91777" w:rsidP="00147C8B">
            <w:pPr>
              <w:spacing w:before="0" w:after="0" w:line="240" w:lineRule="auto"/>
              <w:jc w:val="both"/>
              <w:rPr>
                <w:sz w:val="18"/>
                <w:szCs w:val="18"/>
              </w:rPr>
            </w:pPr>
            <w:r w:rsidRPr="008C386A">
              <w:rPr>
                <w:b/>
                <w:sz w:val="18"/>
                <w:szCs w:val="18"/>
              </w:rPr>
              <w:t>Տարադրամի տեսակը</w:t>
            </w:r>
          </w:p>
        </w:tc>
        <w:tc>
          <w:tcPr>
            <w:tcW w:w="3574" w:type="dxa"/>
            <w:gridSpan w:val="2"/>
            <w:shd w:val="clear" w:color="auto" w:fill="D5DCE4" w:themeFill="text2" w:themeFillTint="33"/>
            <w:vAlign w:val="center"/>
            <w:hideMark/>
          </w:tcPr>
          <w:p w14:paraId="451D8830" w14:textId="77777777" w:rsidR="00C91777" w:rsidRPr="0022586A" w:rsidRDefault="00C91777" w:rsidP="00147C8B">
            <w:pPr>
              <w:spacing w:before="0" w:after="0" w:line="240" w:lineRule="auto"/>
              <w:jc w:val="center"/>
              <w:rPr>
                <w:b/>
                <w:sz w:val="18"/>
                <w:szCs w:val="18"/>
              </w:rPr>
            </w:pPr>
            <w:r w:rsidRPr="008C386A">
              <w:rPr>
                <w:b/>
                <w:sz w:val="18"/>
                <w:szCs w:val="18"/>
              </w:rPr>
              <w:t>Փոխարժեքը ՀՀ դրամով</w:t>
            </w:r>
          </w:p>
        </w:tc>
      </w:tr>
      <w:tr w:rsidR="00C91777" w:rsidRPr="0087517F" w14:paraId="545F0A04" w14:textId="77777777" w:rsidTr="00147C8B">
        <w:trPr>
          <w:trHeight w:val="384"/>
        </w:trPr>
        <w:tc>
          <w:tcPr>
            <w:tcW w:w="6162" w:type="dxa"/>
            <w:gridSpan w:val="2"/>
            <w:shd w:val="clear" w:color="auto" w:fill="auto"/>
            <w:vAlign w:val="center"/>
            <w:hideMark/>
          </w:tcPr>
          <w:p w14:paraId="74EC98B6" w14:textId="77777777" w:rsidR="00C91777" w:rsidRPr="0087517F" w:rsidRDefault="00C91777" w:rsidP="00147C8B">
            <w:pPr>
              <w:spacing w:before="0" w:after="0" w:line="240" w:lineRule="auto"/>
              <w:ind w:right="1253"/>
              <w:rPr>
                <w:sz w:val="18"/>
                <w:szCs w:val="18"/>
              </w:rPr>
            </w:pPr>
            <w:r w:rsidRPr="008C386A">
              <w:rPr>
                <w:sz w:val="18"/>
                <w:szCs w:val="18"/>
              </w:rPr>
              <w:t xml:space="preserve">1 ԱՄՆ դոլար </w:t>
            </w:r>
          </w:p>
        </w:tc>
        <w:tc>
          <w:tcPr>
            <w:tcW w:w="3564" w:type="dxa"/>
            <w:shd w:val="clear" w:color="auto" w:fill="auto"/>
            <w:vAlign w:val="center"/>
          </w:tcPr>
          <w:p w14:paraId="33AB7973" w14:textId="77777777" w:rsidR="00C91777" w:rsidRPr="00D95ED4" w:rsidRDefault="00C91777" w:rsidP="00147C8B">
            <w:pPr>
              <w:spacing w:before="0" w:after="0" w:line="240" w:lineRule="auto"/>
              <w:jc w:val="center"/>
              <w:rPr>
                <w:sz w:val="18"/>
                <w:szCs w:val="18"/>
                <w:lang w:val="hy-AM" w:eastAsia="ru-RU"/>
              </w:rPr>
            </w:pPr>
            <w:r>
              <w:rPr>
                <w:sz w:val="18"/>
                <w:szCs w:val="18"/>
                <w:lang w:val="hy-AM" w:eastAsia="ru-RU"/>
              </w:rPr>
              <w:t>382.55</w:t>
            </w:r>
          </w:p>
        </w:tc>
      </w:tr>
      <w:tr w:rsidR="00C91777" w:rsidRPr="0087517F" w14:paraId="4A2B5F10" w14:textId="77777777" w:rsidTr="00147C8B">
        <w:trPr>
          <w:trHeight w:val="403"/>
        </w:trPr>
        <w:tc>
          <w:tcPr>
            <w:tcW w:w="6162" w:type="dxa"/>
            <w:gridSpan w:val="2"/>
            <w:shd w:val="clear" w:color="auto" w:fill="auto"/>
            <w:vAlign w:val="center"/>
            <w:hideMark/>
          </w:tcPr>
          <w:p w14:paraId="5D10221A" w14:textId="77777777" w:rsidR="00C91777" w:rsidRPr="0087517F" w:rsidRDefault="00C91777" w:rsidP="00147C8B">
            <w:pPr>
              <w:spacing w:before="0" w:after="0" w:line="240" w:lineRule="auto"/>
              <w:ind w:right="1253"/>
              <w:rPr>
                <w:sz w:val="18"/>
                <w:szCs w:val="18"/>
              </w:rPr>
            </w:pPr>
            <w:r w:rsidRPr="008C386A">
              <w:rPr>
                <w:sz w:val="18"/>
                <w:szCs w:val="18"/>
              </w:rPr>
              <w:t>1 եվրո</w:t>
            </w:r>
          </w:p>
        </w:tc>
        <w:tc>
          <w:tcPr>
            <w:tcW w:w="3564" w:type="dxa"/>
            <w:shd w:val="clear" w:color="auto" w:fill="auto"/>
            <w:vAlign w:val="center"/>
          </w:tcPr>
          <w:p w14:paraId="4EF939CD" w14:textId="77777777" w:rsidR="00C91777" w:rsidRPr="00D95ED4" w:rsidRDefault="00C91777" w:rsidP="00147C8B">
            <w:pPr>
              <w:spacing w:before="0" w:after="0" w:line="240" w:lineRule="auto"/>
              <w:jc w:val="center"/>
              <w:rPr>
                <w:sz w:val="18"/>
                <w:szCs w:val="18"/>
                <w:lang w:val="hy-AM"/>
              </w:rPr>
            </w:pPr>
            <w:r>
              <w:rPr>
                <w:sz w:val="18"/>
                <w:szCs w:val="18"/>
                <w:lang w:val="hy-AM"/>
              </w:rPr>
              <w:t>440.47</w:t>
            </w:r>
          </w:p>
        </w:tc>
      </w:tr>
      <w:tr w:rsidR="00C91777" w:rsidRPr="0087517F" w14:paraId="352B7097" w14:textId="77777777" w:rsidTr="00147C8B">
        <w:trPr>
          <w:trHeight w:val="410"/>
        </w:trPr>
        <w:tc>
          <w:tcPr>
            <w:tcW w:w="6162" w:type="dxa"/>
            <w:gridSpan w:val="2"/>
            <w:shd w:val="clear" w:color="auto" w:fill="auto"/>
            <w:vAlign w:val="center"/>
          </w:tcPr>
          <w:p w14:paraId="7CEAD0BC" w14:textId="77777777" w:rsidR="00C91777" w:rsidRPr="0087517F" w:rsidRDefault="00C91777" w:rsidP="00147C8B">
            <w:pPr>
              <w:spacing w:before="0" w:after="0" w:line="240" w:lineRule="auto"/>
              <w:ind w:right="1253"/>
              <w:rPr>
                <w:sz w:val="18"/>
                <w:szCs w:val="18"/>
              </w:rPr>
            </w:pPr>
            <w:r w:rsidRPr="008C386A">
              <w:rPr>
                <w:sz w:val="18"/>
                <w:szCs w:val="18"/>
              </w:rPr>
              <w:t xml:space="preserve">1 Մեծ Բրիտանիայի ֆունտ ստեռլինգ </w:t>
            </w:r>
          </w:p>
        </w:tc>
        <w:tc>
          <w:tcPr>
            <w:tcW w:w="3564" w:type="dxa"/>
            <w:shd w:val="clear" w:color="auto" w:fill="auto"/>
            <w:vAlign w:val="center"/>
          </w:tcPr>
          <w:p w14:paraId="5756BA07" w14:textId="77777777" w:rsidR="00C91777" w:rsidRPr="00D95ED4" w:rsidRDefault="00C91777" w:rsidP="00147C8B">
            <w:pPr>
              <w:spacing w:before="0" w:after="0" w:line="240" w:lineRule="auto"/>
              <w:jc w:val="center"/>
              <w:rPr>
                <w:sz w:val="18"/>
                <w:szCs w:val="18"/>
                <w:lang w:val="hy-AM"/>
              </w:rPr>
            </w:pPr>
            <w:r>
              <w:rPr>
                <w:sz w:val="18"/>
                <w:szCs w:val="18"/>
                <w:lang w:val="hy-AM"/>
              </w:rPr>
              <w:t>502.25</w:t>
            </w:r>
          </w:p>
        </w:tc>
      </w:tr>
      <w:tr w:rsidR="00C91777" w:rsidRPr="0087517F" w14:paraId="4FD8906D" w14:textId="77777777" w:rsidTr="00147C8B">
        <w:trPr>
          <w:trHeight w:val="401"/>
        </w:trPr>
        <w:tc>
          <w:tcPr>
            <w:tcW w:w="6162" w:type="dxa"/>
            <w:gridSpan w:val="2"/>
            <w:shd w:val="clear" w:color="auto" w:fill="auto"/>
            <w:vAlign w:val="center"/>
          </w:tcPr>
          <w:p w14:paraId="5E8B26B9" w14:textId="77777777" w:rsidR="00C91777" w:rsidRPr="0087517F" w:rsidRDefault="00C91777" w:rsidP="00147C8B">
            <w:pPr>
              <w:spacing w:before="0" w:after="0" w:line="240" w:lineRule="auto"/>
              <w:ind w:right="1253"/>
              <w:rPr>
                <w:sz w:val="18"/>
                <w:szCs w:val="18"/>
              </w:rPr>
            </w:pPr>
            <w:r w:rsidRPr="008C386A">
              <w:rPr>
                <w:sz w:val="18"/>
                <w:szCs w:val="18"/>
              </w:rPr>
              <w:t xml:space="preserve">1 Ռուսաստանյան ռուբլի </w:t>
            </w:r>
          </w:p>
        </w:tc>
        <w:tc>
          <w:tcPr>
            <w:tcW w:w="3564" w:type="dxa"/>
            <w:shd w:val="clear" w:color="auto" w:fill="auto"/>
            <w:vAlign w:val="center"/>
          </w:tcPr>
          <w:p w14:paraId="1B596731" w14:textId="77777777" w:rsidR="00C91777" w:rsidRPr="00D95ED4" w:rsidRDefault="00C91777" w:rsidP="00147C8B">
            <w:pPr>
              <w:spacing w:before="0" w:after="0" w:line="240" w:lineRule="auto"/>
              <w:jc w:val="center"/>
              <w:rPr>
                <w:sz w:val="18"/>
                <w:szCs w:val="18"/>
                <w:lang w:val="hy-AM"/>
              </w:rPr>
            </w:pPr>
            <w:r>
              <w:rPr>
                <w:sz w:val="18"/>
                <w:szCs w:val="18"/>
                <w:lang w:val="hy-AM"/>
              </w:rPr>
              <w:t>4.7293</w:t>
            </w:r>
          </w:p>
        </w:tc>
      </w:tr>
      <w:tr w:rsidR="00C91777" w:rsidRPr="0087517F" w14:paraId="515D59C0" w14:textId="77777777" w:rsidTr="00147C8B">
        <w:trPr>
          <w:trHeight w:val="407"/>
        </w:trPr>
        <w:tc>
          <w:tcPr>
            <w:tcW w:w="6162" w:type="dxa"/>
            <w:gridSpan w:val="2"/>
            <w:shd w:val="clear" w:color="auto" w:fill="auto"/>
            <w:vAlign w:val="center"/>
          </w:tcPr>
          <w:p w14:paraId="42298655" w14:textId="77777777" w:rsidR="00C91777" w:rsidRPr="0087517F" w:rsidRDefault="00C91777" w:rsidP="00147C8B">
            <w:pPr>
              <w:spacing w:before="0" w:after="0" w:line="240" w:lineRule="auto"/>
              <w:ind w:right="1253"/>
              <w:rPr>
                <w:sz w:val="18"/>
                <w:szCs w:val="18"/>
              </w:rPr>
            </w:pPr>
            <w:r w:rsidRPr="008C386A">
              <w:rPr>
                <w:sz w:val="18"/>
                <w:szCs w:val="18"/>
              </w:rPr>
              <w:t xml:space="preserve">1 Շվեյցարական ֆրանկ </w:t>
            </w:r>
          </w:p>
        </w:tc>
        <w:tc>
          <w:tcPr>
            <w:tcW w:w="3564" w:type="dxa"/>
            <w:shd w:val="clear" w:color="auto" w:fill="auto"/>
            <w:vAlign w:val="center"/>
          </w:tcPr>
          <w:p w14:paraId="4E133176" w14:textId="77777777" w:rsidR="00C91777" w:rsidRPr="00D95ED4" w:rsidRDefault="00C91777" w:rsidP="00147C8B">
            <w:pPr>
              <w:spacing w:before="0" w:after="0" w:line="240" w:lineRule="auto"/>
              <w:jc w:val="center"/>
              <w:rPr>
                <w:sz w:val="18"/>
                <w:szCs w:val="18"/>
                <w:lang w:val="hy-AM"/>
              </w:rPr>
            </w:pPr>
            <w:r>
              <w:rPr>
                <w:sz w:val="18"/>
                <w:szCs w:val="18"/>
                <w:lang w:val="hy-AM"/>
              </w:rPr>
              <w:t>473.63</w:t>
            </w:r>
          </w:p>
        </w:tc>
      </w:tr>
      <w:tr w:rsidR="00C91777" w:rsidRPr="0087517F" w14:paraId="2A3D3B16" w14:textId="77777777" w:rsidTr="00147C8B">
        <w:trPr>
          <w:trHeight w:val="412"/>
        </w:trPr>
        <w:tc>
          <w:tcPr>
            <w:tcW w:w="6162" w:type="dxa"/>
            <w:gridSpan w:val="2"/>
            <w:shd w:val="clear" w:color="auto" w:fill="auto"/>
            <w:vAlign w:val="center"/>
          </w:tcPr>
          <w:p w14:paraId="05490B72" w14:textId="77777777" w:rsidR="00C91777" w:rsidRPr="0087517F" w:rsidRDefault="00C91777" w:rsidP="00147C8B">
            <w:pPr>
              <w:spacing w:before="0" w:after="0" w:line="240" w:lineRule="auto"/>
              <w:ind w:right="1253"/>
              <w:rPr>
                <w:sz w:val="18"/>
                <w:szCs w:val="18"/>
              </w:rPr>
            </w:pPr>
            <w:r w:rsidRPr="008C386A">
              <w:rPr>
                <w:sz w:val="18"/>
                <w:szCs w:val="18"/>
              </w:rPr>
              <w:t xml:space="preserve">1 Կանադական դոլար </w:t>
            </w:r>
          </w:p>
        </w:tc>
        <w:tc>
          <w:tcPr>
            <w:tcW w:w="3564" w:type="dxa"/>
            <w:shd w:val="clear" w:color="auto" w:fill="auto"/>
            <w:vAlign w:val="center"/>
          </w:tcPr>
          <w:p w14:paraId="5E48CF15" w14:textId="77777777" w:rsidR="00C91777" w:rsidRPr="008A42D8" w:rsidRDefault="00C91777" w:rsidP="00147C8B">
            <w:pPr>
              <w:spacing w:before="0" w:after="0" w:line="240" w:lineRule="auto"/>
              <w:jc w:val="center"/>
              <w:rPr>
                <w:sz w:val="18"/>
                <w:szCs w:val="18"/>
              </w:rPr>
            </w:pPr>
            <w:r>
              <w:rPr>
                <w:sz w:val="18"/>
                <w:szCs w:val="18"/>
              </w:rPr>
              <w:t>272.36</w:t>
            </w:r>
          </w:p>
        </w:tc>
      </w:tr>
      <w:tr w:rsidR="00C91777" w:rsidRPr="0087517F" w14:paraId="2CFCFF43" w14:textId="77777777" w:rsidTr="00147C8B">
        <w:trPr>
          <w:trHeight w:val="391"/>
        </w:trPr>
        <w:tc>
          <w:tcPr>
            <w:tcW w:w="6162" w:type="dxa"/>
            <w:gridSpan w:val="2"/>
            <w:shd w:val="clear" w:color="auto" w:fill="auto"/>
            <w:vAlign w:val="center"/>
          </w:tcPr>
          <w:p w14:paraId="0A108866" w14:textId="77777777" w:rsidR="00C91777" w:rsidRPr="0087517F" w:rsidRDefault="00C91777" w:rsidP="00147C8B">
            <w:pPr>
              <w:spacing w:before="0" w:after="0" w:line="240" w:lineRule="auto"/>
              <w:ind w:right="1253"/>
              <w:rPr>
                <w:sz w:val="18"/>
                <w:szCs w:val="18"/>
              </w:rPr>
            </w:pPr>
            <w:r w:rsidRPr="008C386A">
              <w:rPr>
                <w:sz w:val="18"/>
                <w:szCs w:val="18"/>
              </w:rPr>
              <w:t xml:space="preserve">10 ճապոնական իեն </w:t>
            </w:r>
          </w:p>
        </w:tc>
        <w:tc>
          <w:tcPr>
            <w:tcW w:w="3564" w:type="dxa"/>
            <w:shd w:val="clear" w:color="auto" w:fill="auto"/>
            <w:vAlign w:val="center"/>
          </w:tcPr>
          <w:p w14:paraId="374D5685" w14:textId="77777777" w:rsidR="00C91777" w:rsidRPr="00D95ED4" w:rsidRDefault="00C91777" w:rsidP="00147C8B">
            <w:pPr>
              <w:spacing w:before="0" w:after="0" w:line="240" w:lineRule="auto"/>
              <w:jc w:val="center"/>
              <w:rPr>
                <w:sz w:val="18"/>
                <w:szCs w:val="18"/>
                <w:lang w:val="hy-AM"/>
              </w:rPr>
            </w:pPr>
            <w:r>
              <w:rPr>
                <w:sz w:val="18"/>
                <w:szCs w:val="18"/>
                <w:lang w:val="hy-AM"/>
              </w:rPr>
              <w:t>24.814</w:t>
            </w:r>
          </w:p>
        </w:tc>
      </w:tr>
      <w:tr w:rsidR="00C91777" w:rsidRPr="0087517F" w14:paraId="2778C7BB" w14:textId="77777777" w:rsidTr="00147C8B">
        <w:trPr>
          <w:trHeight w:val="397"/>
        </w:trPr>
        <w:tc>
          <w:tcPr>
            <w:tcW w:w="6162" w:type="dxa"/>
            <w:gridSpan w:val="2"/>
            <w:shd w:val="clear" w:color="auto" w:fill="auto"/>
            <w:vAlign w:val="center"/>
          </w:tcPr>
          <w:p w14:paraId="00D98A1B" w14:textId="77777777" w:rsidR="00C91777" w:rsidRPr="0087517F" w:rsidRDefault="00C91777" w:rsidP="00147C8B">
            <w:pPr>
              <w:spacing w:before="0" w:after="0" w:line="240" w:lineRule="auto"/>
              <w:ind w:right="1253"/>
              <w:rPr>
                <w:sz w:val="18"/>
                <w:szCs w:val="18"/>
              </w:rPr>
            </w:pPr>
            <w:r w:rsidRPr="008C386A">
              <w:rPr>
                <w:sz w:val="18"/>
                <w:szCs w:val="18"/>
              </w:rPr>
              <w:t xml:space="preserve">1 Չինական յուան </w:t>
            </w:r>
          </w:p>
        </w:tc>
        <w:tc>
          <w:tcPr>
            <w:tcW w:w="3564" w:type="dxa"/>
            <w:shd w:val="clear" w:color="auto" w:fill="auto"/>
            <w:vAlign w:val="center"/>
          </w:tcPr>
          <w:p w14:paraId="3493DC57" w14:textId="77777777" w:rsidR="00C91777" w:rsidRPr="008A42D8" w:rsidRDefault="00C91777" w:rsidP="00147C8B">
            <w:pPr>
              <w:spacing w:before="0" w:after="0" w:line="240" w:lineRule="auto"/>
              <w:jc w:val="center"/>
              <w:rPr>
                <w:sz w:val="18"/>
                <w:szCs w:val="18"/>
              </w:rPr>
            </w:pPr>
            <w:r>
              <w:rPr>
                <w:sz w:val="18"/>
                <w:szCs w:val="18"/>
              </w:rPr>
              <w:t>53.72</w:t>
            </w:r>
          </w:p>
        </w:tc>
      </w:tr>
      <w:tr w:rsidR="00C91777" w:rsidRPr="0087517F" w14:paraId="1C149220" w14:textId="77777777" w:rsidTr="00147C8B">
        <w:trPr>
          <w:trHeight w:val="397"/>
        </w:trPr>
        <w:tc>
          <w:tcPr>
            <w:tcW w:w="6162" w:type="dxa"/>
            <w:gridSpan w:val="2"/>
            <w:shd w:val="clear" w:color="auto" w:fill="auto"/>
            <w:vAlign w:val="center"/>
          </w:tcPr>
          <w:p w14:paraId="5F9312E8" w14:textId="77777777" w:rsidR="00C91777" w:rsidRPr="00867F9E" w:rsidRDefault="00C91777" w:rsidP="00147C8B">
            <w:pPr>
              <w:spacing w:before="0" w:after="0" w:line="240" w:lineRule="auto"/>
              <w:ind w:right="1253"/>
              <w:rPr>
                <w:sz w:val="18"/>
                <w:szCs w:val="18"/>
                <w:lang w:val="hy-AM"/>
              </w:rPr>
            </w:pPr>
            <w:r>
              <w:rPr>
                <w:sz w:val="18"/>
                <w:szCs w:val="18"/>
                <w:lang w:val="hy-AM"/>
              </w:rPr>
              <w:t>1 ՀՓԻ</w:t>
            </w:r>
          </w:p>
        </w:tc>
        <w:tc>
          <w:tcPr>
            <w:tcW w:w="3564" w:type="dxa"/>
            <w:shd w:val="clear" w:color="auto" w:fill="auto"/>
            <w:vAlign w:val="center"/>
          </w:tcPr>
          <w:p w14:paraId="284938CB" w14:textId="77777777" w:rsidR="00C91777" w:rsidRPr="00867F9E" w:rsidRDefault="00C91777" w:rsidP="00147C8B">
            <w:pPr>
              <w:spacing w:before="0" w:after="0" w:line="240" w:lineRule="auto"/>
              <w:jc w:val="center"/>
              <w:rPr>
                <w:sz w:val="18"/>
                <w:szCs w:val="18"/>
                <w:lang w:val="hy-AM"/>
              </w:rPr>
            </w:pPr>
            <w:r>
              <w:rPr>
                <w:sz w:val="18"/>
                <w:szCs w:val="18"/>
                <w:lang w:val="hy-AM"/>
              </w:rPr>
              <w:t>519.65</w:t>
            </w:r>
          </w:p>
        </w:tc>
      </w:tr>
    </w:tbl>
    <w:p w14:paraId="5C3688F3" w14:textId="77777777" w:rsidR="00C91777" w:rsidRDefault="00C91777" w:rsidP="00C91777"/>
    <w:p w14:paraId="3330BC60" w14:textId="77777777" w:rsidR="00C91777" w:rsidRPr="00E77731" w:rsidRDefault="00C91777" w:rsidP="00C91777">
      <w:pPr>
        <w:pStyle w:val="TOC4"/>
        <w:outlineLvl w:val="1"/>
        <w:rPr>
          <w:lang w:val="hy-AM"/>
        </w:rPr>
      </w:pPr>
      <w:bookmarkStart w:id="342" w:name="_Toc215157687"/>
      <w:r w:rsidRPr="00E77731">
        <w:rPr>
          <w:lang w:val="hy-AM"/>
        </w:rPr>
        <w:t>ՊԵՏԱԿԱՆ ԲՅՈՒՋԵԻ ԴԵՖԻՑԻՏԻ ՖԻՆԱՆՍԱՎՈՐՄԱՆ ԱՂԲՅՈՒՐՆԵՐԸ</w:t>
      </w:r>
      <w:bookmarkEnd w:id="335"/>
      <w:bookmarkEnd w:id="342"/>
    </w:p>
    <w:p w14:paraId="6FB79081" w14:textId="77777777" w:rsidR="00C91777" w:rsidRPr="00335FA9" w:rsidRDefault="00C91777" w:rsidP="00C91777">
      <w:pPr>
        <w:pStyle w:val="BodyText1"/>
        <w:ind w:left="0"/>
        <w:rPr>
          <w:color w:val="FF0000"/>
          <w:lang w:val="hy-AM"/>
        </w:rPr>
      </w:pPr>
      <w:bookmarkStart w:id="343" w:name="_Toc83728697"/>
      <w:bookmarkEnd w:id="336"/>
      <w:bookmarkEnd w:id="337"/>
      <w:r w:rsidRPr="00E77731">
        <w:rPr>
          <w:lang w:val="hy-AM"/>
        </w:rPr>
        <w:t>Պետական  բյուջեի ձևավորումը</w:t>
      </w:r>
      <w:r>
        <w:rPr>
          <w:lang w:val="hy-AM"/>
        </w:rPr>
        <w:t xml:space="preserve"> 2026-2028</w:t>
      </w:r>
      <w:r w:rsidRPr="00E77731">
        <w:rPr>
          <w:lang w:val="hy-AM"/>
        </w:rPr>
        <w:t xml:space="preserve"> թվական</w:t>
      </w:r>
      <w:r>
        <w:rPr>
          <w:lang w:val="hy-AM"/>
        </w:rPr>
        <w:t>ներ</w:t>
      </w:r>
      <w:r w:rsidRPr="00E77731">
        <w:rPr>
          <w:lang w:val="hy-AM"/>
        </w:rPr>
        <w:t>ին շարունակելու</w:t>
      </w:r>
      <w:r>
        <w:rPr>
          <w:lang w:val="hy-AM"/>
        </w:rPr>
        <w:t xml:space="preserve"> </w:t>
      </w:r>
      <w:r w:rsidRPr="00E77731">
        <w:rPr>
          <w:lang w:val="hy-AM"/>
        </w:rPr>
        <w:t>է</w:t>
      </w:r>
      <w:r>
        <w:rPr>
          <w:lang w:val="hy-AM"/>
        </w:rPr>
        <w:t xml:space="preserve"> </w:t>
      </w:r>
      <w:r w:rsidRPr="00E77731">
        <w:rPr>
          <w:lang w:val="hy-AM"/>
        </w:rPr>
        <w:t>ընթանալ բյուջե</w:t>
      </w:r>
      <w:r w:rsidRPr="00E77731">
        <w:rPr>
          <w:lang w:val="hy-AM"/>
        </w:rPr>
        <w:softHyphen/>
        <w:t>տա</w:t>
      </w:r>
      <w:r w:rsidRPr="00E77731">
        <w:rPr>
          <w:lang w:val="hy-AM"/>
        </w:rPr>
        <w:softHyphen/>
        <w:t>յին եկա</w:t>
      </w:r>
      <w:r w:rsidRPr="00E77731">
        <w:rPr>
          <w:lang w:val="hy-AM"/>
        </w:rPr>
        <w:softHyphen/>
        <w:t>մուտների նկատ</w:t>
      </w:r>
      <w:r w:rsidRPr="00E77731">
        <w:rPr>
          <w:lang w:val="hy-AM"/>
        </w:rPr>
        <w:softHyphen/>
        <w:t>մամբ ծախսերի գերազանցմամբ, ընդ որում՝ բյուջետային դեֆիցի</w:t>
      </w:r>
      <w:r w:rsidRPr="00E77731">
        <w:rPr>
          <w:lang w:val="hy-AM"/>
        </w:rPr>
        <w:softHyphen/>
        <w:t xml:space="preserve">տի </w:t>
      </w:r>
      <w:r w:rsidRPr="00321674">
        <w:rPr>
          <w:lang w:val="hy-AM"/>
        </w:rPr>
        <w:t>ֆինան</w:t>
      </w:r>
      <w:r w:rsidRPr="00321674">
        <w:rPr>
          <w:lang w:val="hy-AM"/>
        </w:rPr>
        <w:softHyphen/>
      </w:r>
      <w:r w:rsidRPr="00321674">
        <w:rPr>
          <w:lang w:val="hy-AM"/>
        </w:rPr>
        <w:softHyphen/>
        <w:t>սա</w:t>
      </w:r>
      <w:r w:rsidRPr="00321674">
        <w:rPr>
          <w:lang w:val="hy-AM"/>
        </w:rPr>
        <w:softHyphen/>
        <w:t>վորման համար միջոց</w:t>
      </w:r>
      <w:r w:rsidRPr="00321674">
        <w:rPr>
          <w:lang w:val="hy-AM"/>
        </w:rPr>
        <w:softHyphen/>
        <w:t xml:space="preserve">ների ներգրավումն </w:t>
      </w:r>
      <w:r w:rsidRPr="00335FA9">
        <w:rPr>
          <w:color w:val="auto"/>
          <w:lang w:val="hy-AM"/>
        </w:rPr>
        <w:t>իրականացվելու է ինչպես ներքին, այն</w:t>
      </w:r>
      <w:r w:rsidRPr="00335FA9">
        <w:rPr>
          <w:color w:val="auto"/>
          <w:lang w:val="hy-AM"/>
        </w:rPr>
        <w:softHyphen/>
        <w:t>պես էլ  արտա</w:t>
      </w:r>
      <w:r w:rsidRPr="00335FA9">
        <w:rPr>
          <w:color w:val="auto"/>
          <w:lang w:val="hy-AM"/>
        </w:rPr>
        <w:softHyphen/>
        <w:t xml:space="preserve">քին </w:t>
      </w:r>
      <w:r w:rsidRPr="000E7B67">
        <w:rPr>
          <w:color w:val="auto"/>
          <w:lang w:val="hy-AM"/>
        </w:rPr>
        <w:t>աղբյուր</w:t>
      </w:r>
      <w:r w:rsidRPr="000E7B67">
        <w:rPr>
          <w:color w:val="auto"/>
          <w:lang w:val="hy-AM"/>
        </w:rPr>
        <w:softHyphen/>
        <w:t>ներից, համապատասխանաբար` 210.</w:t>
      </w:r>
      <w:r w:rsidRPr="00D4077B">
        <w:rPr>
          <w:color w:val="auto"/>
          <w:lang w:val="hy-AM"/>
        </w:rPr>
        <w:t>0</w:t>
      </w:r>
      <w:r w:rsidRPr="000E7B67">
        <w:rPr>
          <w:color w:val="auto"/>
          <w:lang w:val="hy-AM"/>
        </w:rPr>
        <w:t xml:space="preserve"> մլրդ դրամի և 326.</w:t>
      </w:r>
      <w:r w:rsidRPr="00D4077B">
        <w:rPr>
          <w:color w:val="auto"/>
          <w:lang w:val="hy-AM"/>
        </w:rPr>
        <w:t>7</w:t>
      </w:r>
      <w:r w:rsidRPr="000E7B67">
        <w:rPr>
          <w:color w:val="auto"/>
          <w:lang w:val="hy-AM"/>
        </w:rPr>
        <w:t xml:space="preserve"> մլրդ դրամի չափով 2026 թվականին, 222.</w:t>
      </w:r>
      <w:r w:rsidRPr="00D4077B">
        <w:rPr>
          <w:color w:val="auto"/>
          <w:lang w:val="hy-AM"/>
        </w:rPr>
        <w:t>3</w:t>
      </w:r>
      <w:r w:rsidRPr="000E7B67">
        <w:rPr>
          <w:color w:val="auto"/>
          <w:lang w:val="hy-AM"/>
        </w:rPr>
        <w:t xml:space="preserve"> մլրդ դրամի և 22</w:t>
      </w:r>
      <w:r w:rsidRPr="00D4077B">
        <w:rPr>
          <w:color w:val="auto"/>
          <w:lang w:val="hy-AM"/>
        </w:rPr>
        <w:t>6</w:t>
      </w:r>
      <w:r w:rsidRPr="000E7B67">
        <w:rPr>
          <w:color w:val="auto"/>
          <w:lang w:val="hy-AM"/>
        </w:rPr>
        <w:t>.</w:t>
      </w:r>
      <w:r w:rsidRPr="00D4077B">
        <w:rPr>
          <w:color w:val="auto"/>
          <w:lang w:val="hy-AM"/>
        </w:rPr>
        <w:t>1</w:t>
      </w:r>
      <w:r w:rsidRPr="000E7B67">
        <w:rPr>
          <w:color w:val="auto"/>
          <w:lang w:val="hy-AM"/>
        </w:rPr>
        <w:t xml:space="preserve"> մլրդ դրամի չափով 2027 թվականին, 12</w:t>
      </w:r>
      <w:r w:rsidRPr="00D4077B">
        <w:rPr>
          <w:color w:val="auto"/>
          <w:lang w:val="hy-AM"/>
        </w:rPr>
        <w:t>3</w:t>
      </w:r>
      <w:r w:rsidRPr="000E7B67">
        <w:rPr>
          <w:color w:val="auto"/>
          <w:lang w:val="hy-AM"/>
        </w:rPr>
        <w:t>.</w:t>
      </w:r>
      <w:r w:rsidRPr="00D4077B">
        <w:rPr>
          <w:color w:val="auto"/>
          <w:lang w:val="hy-AM"/>
        </w:rPr>
        <w:t>9</w:t>
      </w:r>
      <w:r w:rsidRPr="000E7B67">
        <w:rPr>
          <w:color w:val="auto"/>
          <w:lang w:val="hy-AM"/>
        </w:rPr>
        <w:t xml:space="preserve"> մլրդ դրամի և 268.</w:t>
      </w:r>
      <w:r w:rsidRPr="00D4077B">
        <w:rPr>
          <w:color w:val="auto"/>
          <w:lang w:val="hy-AM"/>
        </w:rPr>
        <w:t>5</w:t>
      </w:r>
      <w:r w:rsidRPr="000E7B67">
        <w:rPr>
          <w:color w:val="auto"/>
          <w:lang w:val="hy-AM"/>
        </w:rPr>
        <w:t xml:space="preserve"> մլրդ դրամի չափով 2028 թվականին: </w:t>
      </w:r>
    </w:p>
    <w:p w14:paraId="016D3415" w14:textId="77777777" w:rsidR="00C91777" w:rsidRPr="00E77731" w:rsidRDefault="00C91777" w:rsidP="00C91777">
      <w:pPr>
        <w:pStyle w:val="BodyText1"/>
        <w:ind w:left="0"/>
        <w:rPr>
          <w:lang w:val="hy-AM"/>
        </w:rPr>
      </w:pPr>
      <w:r w:rsidRPr="00E77731">
        <w:rPr>
          <w:lang w:val="hy-AM"/>
        </w:rPr>
        <w:t>Ստորև ներկայացվում են ՀՀ</w:t>
      </w:r>
      <w:r>
        <w:rPr>
          <w:lang w:val="hy-AM"/>
        </w:rPr>
        <w:t xml:space="preserve"> 2022-2028</w:t>
      </w:r>
      <w:r w:rsidRPr="00E77731">
        <w:rPr>
          <w:lang w:val="hy-AM"/>
        </w:rPr>
        <w:t xml:space="preserve"> թվականների պետական բյուջեների դեֆիցիտի ֆինան</w:t>
      </w:r>
      <w:r w:rsidRPr="00E77731">
        <w:rPr>
          <w:lang w:val="hy-AM"/>
        </w:rPr>
        <w:softHyphen/>
        <w:t>սա</w:t>
      </w:r>
      <w:r w:rsidRPr="00E77731">
        <w:rPr>
          <w:lang w:val="hy-AM"/>
        </w:rPr>
        <w:softHyphen/>
      </w:r>
      <w:r w:rsidRPr="00E77731">
        <w:rPr>
          <w:lang w:val="hy-AM"/>
        </w:rPr>
        <w:softHyphen/>
        <w:t>վորման աղբյուրները:</w:t>
      </w:r>
    </w:p>
    <w:p w14:paraId="5573BF34" w14:textId="77777777" w:rsidR="00C91777" w:rsidRPr="0022586A" w:rsidRDefault="00C91777" w:rsidP="00C91777">
      <w:pPr>
        <w:pStyle w:val="a"/>
      </w:pPr>
      <w:bookmarkStart w:id="344" w:name="_Toc115283829"/>
      <w:bookmarkStart w:id="345" w:name="_Toc178350613"/>
      <w:bookmarkStart w:id="346" w:name="_Toc178612138"/>
      <w:bookmarkStart w:id="347" w:name="_Toc184110764"/>
      <w:r w:rsidRPr="0022586A">
        <w:t xml:space="preserve">Աղյուսակ </w:t>
      </w:r>
      <w:r>
        <w:t>4</w:t>
      </w:r>
      <w:r w:rsidRPr="0022586A">
        <w:rPr>
          <w:rFonts w:ascii="Cambria Math" w:hAnsi="Cambria Math" w:cs="Cambria Math"/>
        </w:rPr>
        <w:t>․</w:t>
      </w:r>
      <w:r w:rsidRPr="0022586A">
        <w:t xml:space="preserve"> ՀՀ</w:t>
      </w:r>
      <w:r>
        <w:t xml:space="preserve"> 2022-2028</w:t>
      </w:r>
      <w:r w:rsidRPr="0022586A">
        <w:t>թթ. պետական բյուջեների դեֆիցիտի ֆինանսավորման աղբյուրները, մլրդ դրամ</w:t>
      </w:r>
      <w:bookmarkEnd w:id="343"/>
      <w:bookmarkEnd w:id="344"/>
      <w:bookmarkEnd w:id="345"/>
      <w:bookmarkEnd w:id="346"/>
      <w:bookmarkEnd w:id="347"/>
    </w:p>
    <w:tbl>
      <w:tblPr>
        <w:tblW w:w="5000" w:type="pct"/>
        <w:tblBorders>
          <w:top w:val="single" w:sz="8" w:space="0" w:color="E1E1E3" w:themeColor="accent3" w:themeTint="33"/>
          <w:left w:val="single" w:sz="8" w:space="0" w:color="E1E1E3" w:themeColor="accent3" w:themeTint="33"/>
          <w:bottom w:val="single" w:sz="8" w:space="0" w:color="E1E1E3" w:themeColor="accent3" w:themeTint="33"/>
          <w:right w:val="single" w:sz="8" w:space="0" w:color="E1E1E3" w:themeColor="accent3" w:themeTint="33"/>
          <w:insideH w:val="single" w:sz="8" w:space="0" w:color="E1E1E3" w:themeColor="accent3" w:themeTint="33"/>
          <w:insideV w:val="single" w:sz="8" w:space="0" w:color="E1E1E3" w:themeColor="accent3" w:themeTint="33"/>
        </w:tblBorders>
        <w:tblLook w:val="04A0" w:firstRow="1" w:lastRow="0" w:firstColumn="1" w:lastColumn="0" w:noHBand="0" w:noVBand="1"/>
      </w:tblPr>
      <w:tblGrid>
        <w:gridCol w:w="2573"/>
        <w:gridCol w:w="957"/>
        <w:gridCol w:w="1147"/>
        <w:gridCol w:w="1057"/>
        <w:gridCol w:w="1018"/>
        <w:gridCol w:w="1211"/>
        <w:gridCol w:w="1211"/>
        <w:gridCol w:w="1211"/>
      </w:tblGrid>
      <w:tr w:rsidR="00C91777" w:rsidRPr="0087517F" w14:paraId="3F871B68" w14:textId="77777777" w:rsidTr="0085126D">
        <w:trPr>
          <w:trHeight w:val="360"/>
        </w:trPr>
        <w:tc>
          <w:tcPr>
            <w:tcW w:w="1239" w:type="pct"/>
            <w:vMerge w:val="restart"/>
            <w:shd w:val="clear" w:color="auto" w:fill="D5DCE4" w:themeFill="text2" w:themeFillTint="33"/>
            <w:vAlign w:val="center"/>
            <w:hideMark/>
          </w:tcPr>
          <w:p w14:paraId="547B02DC" w14:textId="77777777" w:rsidR="00C91777" w:rsidRPr="0087517F" w:rsidRDefault="00C91777" w:rsidP="00147C8B">
            <w:pPr>
              <w:spacing w:before="0" w:after="0" w:line="240" w:lineRule="auto"/>
              <w:rPr>
                <w:b/>
                <w:sz w:val="18"/>
                <w:szCs w:val="18"/>
              </w:rPr>
            </w:pPr>
            <w:r w:rsidRPr="0087517F">
              <w:rPr>
                <w:b/>
                <w:sz w:val="18"/>
                <w:szCs w:val="18"/>
              </w:rPr>
              <w:t>Ցուցանիշներ</w:t>
            </w:r>
          </w:p>
        </w:tc>
        <w:tc>
          <w:tcPr>
            <w:tcW w:w="1522" w:type="pct"/>
            <w:gridSpan w:val="3"/>
            <w:shd w:val="clear" w:color="auto" w:fill="D5DCE4" w:themeFill="text2" w:themeFillTint="33"/>
            <w:noWrap/>
            <w:vAlign w:val="center"/>
            <w:hideMark/>
          </w:tcPr>
          <w:p w14:paraId="0E29967B" w14:textId="77777777" w:rsidR="00C91777" w:rsidRPr="0087517F" w:rsidRDefault="00C91777" w:rsidP="00147C8B">
            <w:pPr>
              <w:spacing w:before="0" w:after="0" w:line="240" w:lineRule="auto"/>
              <w:jc w:val="center"/>
              <w:rPr>
                <w:b/>
                <w:sz w:val="18"/>
                <w:szCs w:val="18"/>
              </w:rPr>
            </w:pPr>
            <w:r w:rsidRPr="0087517F">
              <w:rPr>
                <w:b/>
                <w:sz w:val="18"/>
                <w:szCs w:val="18"/>
              </w:rPr>
              <w:t>Փաստ</w:t>
            </w:r>
          </w:p>
        </w:tc>
        <w:tc>
          <w:tcPr>
            <w:tcW w:w="490" w:type="pct"/>
            <w:shd w:val="clear" w:color="auto" w:fill="D5DCE4" w:themeFill="text2" w:themeFillTint="33"/>
            <w:noWrap/>
            <w:vAlign w:val="center"/>
            <w:hideMark/>
          </w:tcPr>
          <w:p w14:paraId="6C7E9704" w14:textId="77777777" w:rsidR="00C91777" w:rsidRPr="0087517F" w:rsidRDefault="00C91777" w:rsidP="00147C8B">
            <w:pPr>
              <w:spacing w:before="0" w:after="0" w:line="240" w:lineRule="auto"/>
              <w:jc w:val="center"/>
              <w:rPr>
                <w:b/>
                <w:sz w:val="18"/>
                <w:szCs w:val="18"/>
              </w:rPr>
            </w:pPr>
            <w:r w:rsidRPr="0087517F">
              <w:rPr>
                <w:b/>
                <w:sz w:val="18"/>
                <w:szCs w:val="18"/>
              </w:rPr>
              <w:t>Բյուջե</w:t>
            </w:r>
          </w:p>
        </w:tc>
        <w:tc>
          <w:tcPr>
            <w:tcW w:w="1749" w:type="pct"/>
            <w:gridSpan w:val="3"/>
            <w:shd w:val="clear" w:color="auto" w:fill="D5DCE4" w:themeFill="text2" w:themeFillTint="33"/>
          </w:tcPr>
          <w:p w14:paraId="4F746658" w14:textId="77777777" w:rsidR="00C91777" w:rsidRPr="0087517F" w:rsidRDefault="00C91777" w:rsidP="00147C8B">
            <w:pPr>
              <w:spacing w:before="0" w:after="0" w:line="240" w:lineRule="auto"/>
              <w:jc w:val="center"/>
              <w:rPr>
                <w:b/>
                <w:sz w:val="18"/>
                <w:szCs w:val="18"/>
                <w:lang w:val="hy-AM"/>
              </w:rPr>
            </w:pPr>
            <w:r>
              <w:rPr>
                <w:b/>
                <w:sz w:val="18"/>
                <w:szCs w:val="18"/>
                <w:lang w:val="hy-AM"/>
              </w:rPr>
              <w:t>Ծ</w:t>
            </w:r>
            <w:r w:rsidRPr="0087517F">
              <w:rPr>
                <w:b/>
                <w:sz w:val="18"/>
                <w:szCs w:val="18"/>
              </w:rPr>
              <w:t>րագիր</w:t>
            </w:r>
          </w:p>
        </w:tc>
      </w:tr>
      <w:tr w:rsidR="00C91777" w:rsidRPr="0087517F" w14:paraId="1A933393" w14:textId="77777777" w:rsidTr="00147C8B">
        <w:trPr>
          <w:trHeight w:val="360"/>
        </w:trPr>
        <w:tc>
          <w:tcPr>
            <w:tcW w:w="1239" w:type="pct"/>
            <w:vMerge/>
            <w:shd w:val="clear" w:color="auto" w:fill="D5DCE4" w:themeFill="text2" w:themeFillTint="33"/>
            <w:vAlign w:val="center"/>
            <w:hideMark/>
          </w:tcPr>
          <w:p w14:paraId="3D332BAA" w14:textId="77777777" w:rsidR="00C91777" w:rsidRPr="0087517F" w:rsidRDefault="00C91777" w:rsidP="00147C8B">
            <w:pPr>
              <w:spacing w:before="0" w:after="0" w:line="240" w:lineRule="auto"/>
              <w:rPr>
                <w:b/>
                <w:sz w:val="18"/>
                <w:szCs w:val="18"/>
              </w:rPr>
            </w:pPr>
          </w:p>
        </w:tc>
        <w:tc>
          <w:tcPr>
            <w:tcW w:w="461" w:type="pct"/>
            <w:shd w:val="clear" w:color="auto" w:fill="D5DCE4" w:themeFill="text2" w:themeFillTint="33"/>
            <w:noWrap/>
            <w:vAlign w:val="center"/>
            <w:hideMark/>
          </w:tcPr>
          <w:p w14:paraId="6F1EEC27" w14:textId="77777777" w:rsidR="00C91777" w:rsidRPr="0087517F" w:rsidRDefault="00C91777" w:rsidP="00147C8B">
            <w:pPr>
              <w:spacing w:before="0" w:after="0" w:line="240" w:lineRule="auto"/>
              <w:jc w:val="center"/>
              <w:rPr>
                <w:b/>
                <w:sz w:val="18"/>
                <w:szCs w:val="18"/>
              </w:rPr>
            </w:pPr>
            <w:r>
              <w:rPr>
                <w:b/>
                <w:sz w:val="18"/>
                <w:szCs w:val="18"/>
              </w:rPr>
              <w:t>2022</w:t>
            </w:r>
          </w:p>
        </w:tc>
        <w:tc>
          <w:tcPr>
            <w:tcW w:w="552" w:type="pct"/>
            <w:shd w:val="clear" w:color="auto" w:fill="D5DCE4" w:themeFill="text2" w:themeFillTint="33"/>
            <w:noWrap/>
            <w:vAlign w:val="center"/>
            <w:hideMark/>
          </w:tcPr>
          <w:p w14:paraId="10567461" w14:textId="77777777" w:rsidR="00C91777" w:rsidRPr="0087517F" w:rsidRDefault="00C91777" w:rsidP="00147C8B">
            <w:pPr>
              <w:spacing w:before="0" w:after="0" w:line="240" w:lineRule="auto"/>
              <w:jc w:val="center"/>
              <w:rPr>
                <w:b/>
                <w:sz w:val="18"/>
                <w:szCs w:val="18"/>
              </w:rPr>
            </w:pPr>
            <w:r>
              <w:rPr>
                <w:b/>
                <w:sz w:val="18"/>
                <w:szCs w:val="18"/>
              </w:rPr>
              <w:t>2023</w:t>
            </w:r>
          </w:p>
        </w:tc>
        <w:tc>
          <w:tcPr>
            <w:tcW w:w="509" w:type="pct"/>
            <w:shd w:val="clear" w:color="auto" w:fill="D5DCE4" w:themeFill="text2" w:themeFillTint="33"/>
            <w:noWrap/>
            <w:vAlign w:val="center"/>
            <w:hideMark/>
          </w:tcPr>
          <w:p w14:paraId="5FBB6967" w14:textId="77777777" w:rsidR="00C91777" w:rsidRPr="0087517F" w:rsidRDefault="00C91777" w:rsidP="00147C8B">
            <w:pPr>
              <w:spacing w:before="0" w:after="0" w:line="240" w:lineRule="auto"/>
              <w:jc w:val="center"/>
              <w:rPr>
                <w:b/>
                <w:sz w:val="18"/>
                <w:szCs w:val="18"/>
              </w:rPr>
            </w:pPr>
            <w:r>
              <w:rPr>
                <w:b/>
                <w:sz w:val="18"/>
                <w:szCs w:val="18"/>
              </w:rPr>
              <w:t>2024</w:t>
            </w:r>
          </w:p>
        </w:tc>
        <w:tc>
          <w:tcPr>
            <w:tcW w:w="490" w:type="pct"/>
            <w:shd w:val="clear" w:color="auto" w:fill="D5DCE4" w:themeFill="text2" w:themeFillTint="33"/>
            <w:noWrap/>
            <w:vAlign w:val="center"/>
            <w:hideMark/>
          </w:tcPr>
          <w:p w14:paraId="33C78F27" w14:textId="77777777" w:rsidR="00C91777" w:rsidRPr="0087517F" w:rsidRDefault="00C91777" w:rsidP="00147C8B">
            <w:pPr>
              <w:spacing w:before="0" w:after="0" w:line="240" w:lineRule="auto"/>
              <w:jc w:val="center"/>
              <w:rPr>
                <w:b/>
                <w:sz w:val="18"/>
                <w:szCs w:val="18"/>
              </w:rPr>
            </w:pPr>
            <w:r>
              <w:rPr>
                <w:b/>
                <w:sz w:val="18"/>
                <w:szCs w:val="18"/>
              </w:rPr>
              <w:t>2025</w:t>
            </w:r>
          </w:p>
        </w:tc>
        <w:tc>
          <w:tcPr>
            <w:tcW w:w="583" w:type="pct"/>
            <w:shd w:val="clear" w:color="auto" w:fill="D5DCE4" w:themeFill="text2" w:themeFillTint="33"/>
            <w:vAlign w:val="center"/>
          </w:tcPr>
          <w:p w14:paraId="09CB92E1" w14:textId="77777777" w:rsidR="00C91777" w:rsidRDefault="00C91777" w:rsidP="00147C8B">
            <w:pPr>
              <w:spacing w:before="0" w:after="0" w:line="240" w:lineRule="auto"/>
              <w:jc w:val="center"/>
              <w:rPr>
                <w:b/>
                <w:sz w:val="18"/>
                <w:szCs w:val="18"/>
              </w:rPr>
            </w:pPr>
            <w:r>
              <w:rPr>
                <w:b/>
                <w:sz w:val="18"/>
                <w:szCs w:val="18"/>
              </w:rPr>
              <w:t>2026</w:t>
            </w:r>
          </w:p>
        </w:tc>
        <w:tc>
          <w:tcPr>
            <w:tcW w:w="583" w:type="pct"/>
            <w:shd w:val="clear" w:color="auto" w:fill="D5DCE4" w:themeFill="text2" w:themeFillTint="33"/>
            <w:vAlign w:val="center"/>
          </w:tcPr>
          <w:p w14:paraId="61CE6EB2" w14:textId="77777777" w:rsidR="00C91777" w:rsidRPr="00DF4373" w:rsidRDefault="00C91777" w:rsidP="00147C8B">
            <w:pPr>
              <w:spacing w:before="0" w:after="0" w:line="240" w:lineRule="auto"/>
              <w:jc w:val="center"/>
              <w:rPr>
                <w:b/>
                <w:sz w:val="18"/>
                <w:szCs w:val="18"/>
                <w:lang w:val="hy-AM"/>
              </w:rPr>
            </w:pPr>
            <w:r>
              <w:rPr>
                <w:b/>
                <w:sz w:val="18"/>
                <w:szCs w:val="18"/>
              </w:rPr>
              <w:t>2027</w:t>
            </w:r>
          </w:p>
        </w:tc>
        <w:tc>
          <w:tcPr>
            <w:tcW w:w="583" w:type="pct"/>
            <w:shd w:val="clear" w:color="auto" w:fill="D5DCE4" w:themeFill="text2" w:themeFillTint="33"/>
            <w:vAlign w:val="center"/>
            <w:hideMark/>
          </w:tcPr>
          <w:p w14:paraId="47797BE7" w14:textId="77777777" w:rsidR="00C91777" w:rsidRPr="0087517F" w:rsidRDefault="00C91777" w:rsidP="00147C8B">
            <w:pPr>
              <w:spacing w:before="0" w:after="0" w:line="240" w:lineRule="auto"/>
              <w:jc w:val="center"/>
              <w:rPr>
                <w:b/>
                <w:sz w:val="18"/>
                <w:szCs w:val="18"/>
                <w:lang w:eastAsia="ru-RU"/>
              </w:rPr>
            </w:pPr>
            <w:r>
              <w:rPr>
                <w:b/>
                <w:sz w:val="18"/>
                <w:szCs w:val="18"/>
              </w:rPr>
              <w:t>2028</w:t>
            </w:r>
          </w:p>
        </w:tc>
      </w:tr>
      <w:tr w:rsidR="0085126D" w:rsidRPr="0087517F" w14:paraId="68A306B2" w14:textId="77777777" w:rsidTr="00147C8B">
        <w:trPr>
          <w:trHeight w:val="360"/>
        </w:trPr>
        <w:tc>
          <w:tcPr>
            <w:tcW w:w="1239" w:type="pct"/>
            <w:shd w:val="clear" w:color="auto" w:fill="auto"/>
            <w:vAlign w:val="center"/>
          </w:tcPr>
          <w:p w14:paraId="1C2E3C09" w14:textId="77777777" w:rsidR="0085126D" w:rsidRPr="0087517F" w:rsidRDefault="0085126D" w:rsidP="0085126D">
            <w:pPr>
              <w:spacing w:before="0" w:after="0" w:line="240" w:lineRule="auto"/>
              <w:rPr>
                <w:sz w:val="18"/>
                <w:szCs w:val="18"/>
              </w:rPr>
            </w:pPr>
            <w:r w:rsidRPr="0087517F">
              <w:rPr>
                <w:sz w:val="18"/>
                <w:szCs w:val="18"/>
              </w:rPr>
              <w:t>Պետական  բյուջեի  դեֆիցիտի ֆինանսավորման աղբյուրներն ու դրանց տարրերի անվանումները</w:t>
            </w:r>
          </w:p>
        </w:tc>
        <w:tc>
          <w:tcPr>
            <w:tcW w:w="461" w:type="pct"/>
            <w:shd w:val="clear" w:color="auto" w:fill="auto"/>
            <w:noWrap/>
            <w:vAlign w:val="center"/>
          </w:tcPr>
          <w:p w14:paraId="34C1F080" w14:textId="77777777" w:rsidR="0085126D" w:rsidRPr="0087517F" w:rsidRDefault="0085126D" w:rsidP="0085126D">
            <w:pPr>
              <w:spacing w:before="0" w:after="0" w:line="240" w:lineRule="auto"/>
              <w:jc w:val="center"/>
              <w:rPr>
                <w:sz w:val="18"/>
                <w:szCs w:val="18"/>
              </w:rPr>
            </w:pPr>
            <w:r>
              <w:rPr>
                <w:rFonts w:ascii="GHEA Grapalat" w:hAnsi="GHEA Grapalat" w:cs="Calibri"/>
                <w:color w:val="404040"/>
                <w:sz w:val="18"/>
                <w:szCs w:val="18"/>
              </w:rPr>
              <w:t>179.5</w:t>
            </w:r>
          </w:p>
        </w:tc>
        <w:tc>
          <w:tcPr>
            <w:tcW w:w="552" w:type="pct"/>
            <w:shd w:val="clear" w:color="auto" w:fill="auto"/>
            <w:noWrap/>
            <w:vAlign w:val="center"/>
          </w:tcPr>
          <w:p w14:paraId="0F342011" w14:textId="77777777" w:rsidR="0085126D" w:rsidRPr="0087517F" w:rsidRDefault="0085126D" w:rsidP="0085126D">
            <w:pPr>
              <w:spacing w:before="0" w:after="0" w:line="240" w:lineRule="auto"/>
              <w:jc w:val="center"/>
              <w:rPr>
                <w:sz w:val="18"/>
                <w:szCs w:val="18"/>
              </w:rPr>
            </w:pPr>
            <w:r>
              <w:rPr>
                <w:rFonts w:ascii="GHEA Grapalat" w:hAnsi="GHEA Grapalat" w:cs="Calibri"/>
                <w:color w:val="404040"/>
                <w:sz w:val="18"/>
                <w:szCs w:val="18"/>
              </w:rPr>
              <w:t>188.9</w:t>
            </w:r>
          </w:p>
        </w:tc>
        <w:tc>
          <w:tcPr>
            <w:tcW w:w="509" w:type="pct"/>
            <w:shd w:val="clear" w:color="auto" w:fill="auto"/>
            <w:noWrap/>
            <w:vAlign w:val="center"/>
          </w:tcPr>
          <w:p w14:paraId="5DBEDD2D" w14:textId="77777777" w:rsidR="0085126D" w:rsidRPr="0087517F" w:rsidRDefault="0085126D" w:rsidP="0085126D">
            <w:pPr>
              <w:spacing w:before="0" w:after="0" w:line="240" w:lineRule="auto"/>
              <w:jc w:val="center"/>
              <w:rPr>
                <w:sz w:val="18"/>
                <w:szCs w:val="18"/>
              </w:rPr>
            </w:pPr>
            <w:r>
              <w:rPr>
                <w:rFonts w:ascii="GHEA Grapalat" w:hAnsi="GHEA Grapalat" w:cs="Calibri"/>
                <w:color w:val="404040"/>
                <w:sz w:val="18"/>
                <w:szCs w:val="18"/>
              </w:rPr>
              <w:t>376.1</w:t>
            </w:r>
          </w:p>
        </w:tc>
        <w:tc>
          <w:tcPr>
            <w:tcW w:w="490" w:type="pct"/>
            <w:shd w:val="clear" w:color="auto" w:fill="auto"/>
            <w:vAlign w:val="center"/>
          </w:tcPr>
          <w:p w14:paraId="7E37FF9B" w14:textId="77777777" w:rsidR="0085126D" w:rsidRPr="0087517F" w:rsidRDefault="0085126D" w:rsidP="0085126D">
            <w:pPr>
              <w:spacing w:before="0" w:after="0" w:line="240" w:lineRule="auto"/>
              <w:jc w:val="center"/>
              <w:rPr>
                <w:sz w:val="18"/>
                <w:szCs w:val="18"/>
              </w:rPr>
            </w:pPr>
            <w:r>
              <w:rPr>
                <w:rFonts w:ascii="GHEA Grapalat" w:hAnsi="GHEA Grapalat" w:cs="Calibri"/>
                <w:color w:val="404040"/>
                <w:sz w:val="18"/>
                <w:szCs w:val="18"/>
              </w:rPr>
              <w:t>604</w:t>
            </w:r>
          </w:p>
        </w:tc>
        <w:tc>
          <w:tcPr>
            <w:tcW w:w="583" w:type="pct"/>
            <w:vAlign w:val="center"/>
          </w:tcPr>
          <w:p w14:paraId="4555CB9A" w14:textId="4409881E" w:rsidR="0085126D" w:rsidRPr="009F282D" w:rsidRDefault="0085126D" w:rsidP="0085126D">
            <w:pPr>
              <w:spacing w:before="0" w:after="0" w:line="240" w:lineRule="auto"/>
              <w:jc w:val="center"/>
              <w:rPr>
                <w:rFonts w:ascii="GHEA Grapalat" w:hAnsi="GHEA Grapalat" w:cs="Calibri"/>
                <w:color w:val="auto"/>
                <w:sz w:val="18"/>
                <w:szCs w:val="18"/>
              </w:rPr>
            </w:pPr>
            <w:r>
              <w:rPr>
                <w:rFonts w:ascii="GHEA Grapalat" w:hAnsi="GHEA Grapalat" w:cs="Calibri"/>
                <w:color w:val="404040"/>
                <w:sz w:val="18"/>
                <w:szCs w:val="18"/>
              </w:rPr>
              <w:t>536.8</w:t>
            </w:r>
          </w:p>
        </w:tc>
        <w:tc>
          <w:tcPr>
            <w:tcW w:w="583" w:type="pct"/>
            <w:vAlign w:val="center"/>
          </w:tcPr>
          <w:p w14:paraId="0770BB2D" w14:textId="721ED0AC" w:rsidR="0085126D" w:rsidRPr="009F282D" w:rsidRDefault="0085126D" w:rsidP="0085126D">
            <w:pPr>
              <w:spacing w:before="0" w:after="0" w:line="240" w:lineRule="auto"/>
              <w:jc w:val="center"/>
              <w:rPr>
                <w:rFonts w:ascii="GHEA Grapalat" w:hAnsi="GHEA Grapalat" w:cs="Calibri"/>
                <w:color w:val="auto"/>
                <w:sz w:val="18"/>
                <w:szCs w:val="18"/>
              </w:rPr>
            </w:pPr>
            <w:r>
              <w:rPr>
                <w:rFonts w:ascii="GHEA Grapalat" w:hAnsi="GHEA Grapalat" w:cs="Calibri"/>
                <w:color w:val="404040"/>
                <w:sz w:val="18"/>
                <w:szCs w:val="18"/>
              </w:rPr>
              <w:t>448.4</w:t>
            </w:r>
          </w:p>
        </w:tc>
        <w:tc>
          <w:tcPr>
            <w:tcW w:w="583" w:type="pct"/>
            <w:shd w:val="clear" w:color="auto" w:fill="auto"/>
            <w:vAlign w:val="center"/>
          </w:tcPr>
          <w:p w14:paraId="0AC953DD" w14:textId="416E4630" w:rsidR="0085126D" w:rsidRPr="009F282D" w:rsidRDefault="0085126D" w:rsidP="0085126D">
            <w:pPr>
              <w:spacing w:before="0" w:after="0" w:line="240" w:lineRule="auto"/>
              <w:jc w:val="center"/>
              <w:rPr>
                <w:color w:val="auto"/>
                <w:sz w:val="18"/>
                <w:szCs w:val="18"/>
                <w:lang w:eastAsia="ru-RU"/>
              </w:rPr>
            </w:pPr>
            <w:r>
              <w:rPr>
                <w:rFonts w:ascii="GHEA Grapalat" w:hAnsi="GHEA Grapalat" w:cs="Calibri"/>
                <w:color w:val="404040"/>
                <w:sz w:val="18"/>
                <w:szCs w:val="18"/>
              </w:rPr>
              <w:t>392.4</w:t>
            </w:r>
          </w:p>
        </w:tc>
      </w:tr>
      <w:tr w:rsidR="0085126D" w:rsidRPr="0087517F" w14:paraId="44B92451" w14:textId="77777777" w:rsidTr="00147C8B">
        <w:trPr>
          <w:trHeight w:val="360"/>
        </w:trPr>
        <w:tc>
          <w:tcPr>
            <w:tcW w:w="1239" w:type="pct"/>
            <w:shd w:val="clear" w:color="auto" w:fill="auto"/>
            <w:vAlign w:val="center"/>
            <w:hideMark/>
          </w:tcPr>
          <w:p w14:paraId="5144CA75" w14:textId="77777777" w:rsidR="0085126D" w:rsidRPr="0087517F" w:rsidRDefault="0085126D" w:rsidP="0085126D">
            <w:pPr>
              <w:spacing w:before="0" w:after="0" w:line="240" w:lineRule="auto"/>
              <w:rPr>
                <w:sz w:val="18"/>
                <w:szCs w:val="18"/>
              </w:rPr>
            </w:pPr>
            <w:r w:rsidRPr="0087517F">
              <w:rPr>
                <w:sz w:val="18"/>
                <w:szCs w:val="18"/>
              </w:rPr>
              <w:t>Ա.</w:t>
            </w:r>
            <w:r>
              <w:rPr>
                <w:sz w:val="18"/>
                <w:szCs w:val="18"/>
                <w:lang w:val="hy-AM"/>
              </w:rPr>
              <w:t xml:space="preserve"> </w:t>
            </w:r>
            <w:r w:rsidRPr="0087517F">
              <w:rPr>
                <w:sz w:val="18"/>
                <w:szCs w:val="18"/>
              </w:rPr>
              <w:t>Ներքին աղբյուրներ</w:t>
            </w:r>
          </w:p>
        </w:tc>
        <w:tc>
          <w:tcPr>
            <w:tcW w:w="461" w:type="pct"/>
            <w:shd w:val="clear" w:color="auto" w:fill="auto"/>
            <w:noWrap/>
            <w:vAlign w:val="center"/>
          </w:tcPr>
          <w:p w14:paraId="5717C4A4" w14:textId="77777777" w:rsidR="0085126D" w:rsidRPr="0087517F" w:rsidRDefault="0085126D" w:rsidP="0085126D">
            <w:pPr>
              <w:spacing w:before="0" w:after="0" w:line="240" w:lineRule="auto"/>
              <w:jc w:val="center"/>
              <w:rPr>
                <w:sz w:val="18"/>
                <w:szCs w:val="18"/>
                <w:lang w:val="hy-AM"/>
              </w:rPr>
            </w:pPr>
            <w:r>
              <w:rPr>
                <w:rFonts w:ascii="GHEA Grapalat" w:hAnsi="GHEA Grapalat" w:cs="Calibri"/>
                <w:color w:val="404040"/>
                <w:sz w:val="18"/>
                <w:szCs w:val="18"/>
              </w:rPr>
              <w:t>288.1</w:t>
            </w:r>
          </w:p>
        </w:tc>
        <w:tc>
          <w:tcPr>
            <w:tcW w:w="552" w:type="pct"/>
            <w:shd w:val="clear" w:color="auto" w:fill="auto"/>
            <w:noWrap/>
            <w:vAlign w:val="center"/>
          </w:tcPr>
          <w:p w14:paraId="45DFB520" w14:textId="77777777" w:rsidR="0085126D" w:rsidRPr="0087517F" w:rsidRDefault="0085126D" w:rsidP="0085126D">
            <w:pPr>
              <w:spacing w:before="0" w:after="0" w:line="240" w:lineRule="auto"/>
              <w:jc w:val="center"/>
              <w:rPr>
                <w:sz w:val="18"/>
                <w:szCs w:val="18"/>
              </w:rPr>
            </w:pPr>
            <w:r>
              <w:rPr>
                <w:rFonts w:ascii="GHEA Grapalat" w:hAnsi="GHEA Grapalat" w:cs="Calibri"/>
                <w:color w:val="404040"/>
                <w:sz w:val="18"/>
                <w:szCs w:val="18"/>
              </w:rPr>
              <w:t>412.4</w:t>
            </w:r>
          </w:p>
        </w:tc>
        <w:tc>
          <w:tcPr>
            <w:tcW w:w="509" w:type="pct"/>
            <w:shd w:val="clear" w:color="auto" w:fill="auto"/>
            <w:noWrap/>
            <w:vAlign w:val="center"/>
          </w:tcPr>
          <w:p w14:paraId="32345588" w14:textId="77777777" w:rsidR="0085126D" w:rsidRPr="0087517F" w:rsidRDefault="0085126D" w:rsidP="0085126D">
            <w:pPr>
              <w:spacing w:before="0" w:after="0" w:line="240" w:lineRule="auto"/>
              <w:jc w:val="center"/>
              <w:rPr>
                <w:sz w:val="18"/>
                <w:szCs w:val="18"/>
              </w:rPr>
            </w:pPr>
            <w:r>
              <w:rPr>
                <w:rFonts w:ascii="GHEA Grapalat" w:hAnsi="GHEA Grapalat" w:cs="Calibri"/>
                <w:color w:val="404040"/>
                <w:sz w:val="18"/>
                <w:szCs w:val="18"/>
              </w:rPr>
              <w:t>359.1</w:t>
            </w:r>
          </w:p>
        </w:tc>
        <w:tc>
          <w:tcPr>
            <w:tcW w:w="490" w:type="pct"/>
            <w:shd w:val="clear" w:color="auto" w:fill="auto"/>
            <w:vAlign w:val="center"/>
          </w:tcPr>
          <w:p w14:paraId="1CC21222" w14:textId="77777777" w:rsidR="0085126D" w:rsidRPr="0087517F" w:rsidRDefault="0085126D" w:rsidP="0085126D">
            <w:pPr>
              <w:spacing w:before="0" w:after="0" w:line="240" w:lineRule="auto"/>
              <w:jc w:val="center"/>
              <w:rPr>
                <w:sz w:val="18"/>
                <w:szCs w:val="18"/>
                <w:lang w:val="hy-AM"/>
              </w:rPr>
            </w:pPr>
            <w:r>
              <w:rPr>
                <w:rFonts w:ascii="GHEA Grapalat" w:hAnsi="GHEA Grapalat" w:cs="Calibri"/>
                <w:color w:val="404040"/>
                <w:sz w:val="18"/>
                <w:szCs w:val="18"/>
              </w:rPr>
              <w:t>255.4</w:t>
            </w:r>
          </w:p>
        </w:tc>
        <w:tc>
          <w:tcPr>
            <w:tcW w:w="583" w:type="pct"/>
            <w:vAlign w:val="center"/>
          </w:tcPr>
          <w:p w14:paraId="5C3E6004" w14:textId="6D7853A5" w:rsidR="0085126D" w:rsidRPr="009F282D" w:rsidRDefault="0085126D" w:rsidP="0085126D">
            <w:pPr>
              <w:spacing w:before="0" w:after="0" w:line="240" w:lineRule="auto"/>
              <w:jc w:val="center"/>
              <w:rPr>
                <w:rFonts w:ascii="GHEA Grapalat" w:hAnsi="GHEA Grapalat" w:cs="Calibri"/>
                <w:color w:val="auto"/>
                <w:sz w:val="18"/>
                <w:szCs w:val="18"/>
              </w:rPr>
            </w:pPr>
            <w:r>
              <w:rPr>
                <w:rFonts w:ascii="GHEA Grapalat" w:hAnsi="GHEA Grapalat" w:cs="Calibri"/>
                <w:color w:val="404040"/>
                <w:sz w:val="18"/>
                <w:szCs w:val="18"/>
              </w:rPr>
              <w:t>210.0</w:t>
            </w:r>
          </w:p>
        </w:tc>
        <w:tc>
          <w:tcPr>
            <w:tcW w:w="583" w:type="pct"/>
            <w:vAlign w:val="center"/>
          </w:tcPr>
          <w:p w14:paraId="5FF66619" w14:textId="44ECD3BE" w:rsidR="0085126D" w:rsidRPr="009F282D" w:rsidRDefault="0085126D" w:rsidP="0085126D">
            <w:pPr>
              <w:spacing w:before="0" w:after="0" w:line="240" w:lineRule="auto"/>
              <w:jc w:val="center"/>
              <w:rPr>
                <w:rFonts w:ascii="GHEA Grapalat" w:hAnsi="GHEA Grapalat" w:cs="Calibri"/>
                <w:color w:val="auto"/>
                <w:sz w:val="18"/>
                <w:szCs w:val="18"/>
              </w:rPr>
            </w:pPr>
            <w:r>
              <w:rPr>
                <w:rFonts w:ascii="GHEA Grapalat" w:hAnsi="GHEA Grapalat" w:cs="Calibri"/>
                <w:color w:val="404040"/>
                <w:sz w:val="18"/>
                <w:szCs w:val="18"/>
              </w:rPr>
              <w:t>222.3</w:t>
            </w:r>
          </w:p>
        </w:tc>
        <w:tc>
          <w:tcPr>
            <w:tcW w:w="583" w:type="pct"/>
            <w:shd w:val="clear" w:color="auto" w:fill="auto"/>
            <w:vAlign w:val="center"/>
          </w:tcPr>
          <w:p w14:paraId="0AB7B576" w14:textId="7B49A528" w:rsidR="0085126D" w:rsidRPr="009F282D" w:rsidRDefault="0085126D" w:rsidP="0085126D">
            <w:pPr>
              <w:spacing w:before="0" w:after="0" w:line="240" w:lineRule="auto"/>
              <w:jc w:val="center"/>
              <w:rPr>
                <w:color w:val="auto"/>
                <w:sz w:val="18"/>
                <w:szCs w:val="18"/>
                <w:lang w:val="hy-AM"/>
              </w:rPr>
            </w:pPr>
            <w:r>
              <w:rPr>
                <w:rFonts w:ascii="GHEA Grapalat" w:hAnsi="GHEA Grapalat" w:cs="Calibri"/>
                <w:color w:val="404040"/>
                <w:sz w:val="18"/>
                <w:szCs w:val="18"/>
              </w:rPr>
              <w:t>123.9</w:t>
            </w:r>
          </w:p>
        </w:tc>
      </w:tr>
      <w:tr w:rsidR="0085126D" w:rsidRPr="0087517F" w14:paraId="76FF0C9A" w14:textId="77777777" w:rsidTr="00147C8B">
        <w:trPr>
          <w:trHeight w:val="360"/>
        </w:trPr>
        <w:tc>
          <w:tcPr>
            <w:tcW w:w="1239" w:type="pct"/>
            <w:shd w:val="clear" w:color="auto" w:fill="auto"/>
            <w:vAlign w:val="center"/>
            <w:hideMark/>
          </w:tcPr>
          <w:p w14:paraId="0DB316F6" w14:textId="77777777" w:rsidR="0085126D" w:rsidRPr="0087517F" w:rsidRDefault="0085126D" w:rsidP="0085126D">
            <w:pPr>
              <w:spacing w:before="0" w:after="0" w:line="240" w:lineRule="auto"/>
              <w:rPr>
                <w:sz w:val="18"/>
                <w:szCs w:val="18"/>
              </w:rPr>
            </w:pPr>
            <w:r w:rsidRPr="0087517F">
              <w:rPr>
                <w:sz w:val="18"/>
                <w:szCs w:val="18"/>
              </w:rPr>
              <w:t>Բ</w:t>
            </w:r>
            <w:r>
              <w:rPr>
                <w:sz w:val="18"/>
                <w:szCs w:val="18"/>
              </w:rPr>
              <w:t>.</w:t>
            </w:r>
            <w:r>
              <w:rPr>
                <w:sz w:val="18"/>
                <w:szCs w:val="18"/>
                <w:lang w:val="hy-AM"/>
              </w:rPr>
              <w:t xml:space="preserve"> </w:t>
            </w:r>
            <w:r w:rsidRPr="0087517F">
              <w:rPr>
                <w:sz w:val="18"/>
                <w:szCs w:val="18"/>
              </w:rPr>
              <w:t xml:space="preserve">Արտաքին աղբյուրներ </w:t>
            </w:r>
          </w:p>
        </w:tc>
        <w:tc>
          <w:tcPr>
            <w:tcW w:w="461" w:type="pct"/>
            <w:shd w:val="clear" w:color="auto" w:fill="auto"/>
            <w:noWrap/>
            <w:vAlign w:val="center"/>
          </w:tcPr>
          <w:p w14:paraId="2A84A58C" w14:textId="77777777" w:rsidR="0085126D" w:rsidRPr="0087517F" w:rsidRDefault="0085126D" w:rsidP="0085126D">
            <w:pPr>
              <w:spacing w:before="0" w:after="0" w:line="240" w:lineRule="auto"/>
              <w:jc w:val="center"/>
              <w:rPr>
                <w:sz w:val="18"/>
                <w:szCs w:val="18"/>
              </w:rPr>
            </w:pPr>
            <w:r>
              <w:rPr>
                <w:rFonts w:ascii="GHEA Grapalat" w:hAnsi="GHEA Grapalat" w:cs="Calibri"/>
                <w:color w:val="404040"/>
                <w:sz w:val="18"/>
                <w:szCs w:val="18"/>
              </w:rPr>
              <w:t>(108.6)</w:t>
            </w:r>
          </w:p>
        </w:tc>
        <w:tc>
          <w:tcPr>
            <w:tcW w:w="552" w:type="pct"/>
            <w:shd w:val="clear" w:color="auto" w:fill="auto"/>
            <w:noWrap/>
            <w:vAlign w:val="center"/>
          </w:tcPr>
          <w:p w14:paraId="3DCFBEF5" w14:textId="77777777" w:rsidR="0085126D" w:rsidRPr="0087517F" w:rsidRDefault="0085126D" w:rsidP="0085126D">
            <w:pPr>
              <w:spacing w:before="0" w:after="0" w:line="240" w:lineRule="auto"/>
              <w:jc w:val="center"/>
              <w:rPr>
                <w:sz w:val="18"/>
                <w:szCs w:val="18"/>
              </w:rPr>
            </w:pPr>
            <w:r>
              <w:rPr>
                <w:rFonts w:ascii="GHEA Grapalat" w:hAnsi="GHEA Grapalat" w:cs="Calibri"/>
                <w:color w:val="404040"/>
                <w:sz w:val="18"/>
                <w:szCs w:val="18"/>
              </w:rPr>
              <w:t>(223.5)</w:t>
            </w:r>
          </w:p>
        </w:tc>
        <w:tc>
          <w:tcPr>
            <w:tcW w:w="509" w:type="pct"/>
            <w:shd w:val="clear" w:color="auto" w:fill="auto"/>
            <w:noWrap/>
            <w:vAlign w:val="center"/>
          </w:tcPr>
          <w:p w14:paraId="65DD8156" w14:textId="77777777" w:rsidR="0085126D" w:rsidRPr="0087517F" w:rsidRDefault="0085126D" w:rsidP="0085126D">
            <w:pPr>
              <w:spacing w:before="0" w:after="0" w:line="240" w:lineRule="auto"/>
              <w:jc w:val="center"/>
              <w:rPr>
                <w:sz w:val="18"/>
                <w:szCs w:val="18"/>
              </w:rPr>
            </w:pPr>
            <w:r>
              <w:rPr>
                <w:rFonts w:ascii="GHEA Grapalat" w:hAnsi="GHEA Grapalat" w:cs="Calibri"/>
                <w:color w:val="404040"/>
                <w:sz w:val="18"/>
                <w:szCs w:val="18"/>
              </w:rPr>
              <w:t>17.0</w:t>
            </w:r>
          </w:p>
        </w:tc>
        <w:tc>
          <w:tcPr>
            <w:tcW w:w="490" w:type="pct"/>
            <w:shd w:val="clear" w:color="auto" w:fill="auto"/>
            <w:vAlign w:val="center"/>
          </w:tcPr>
          <w:p w14:paraId="7DB7B341" w14:textId="77777777" w:rsidR="0085126D" w:rsidRPr="0087517F" w:rsidRDefault="0085126D" w:rsidP="0085126D">
            <w:pPr>
              <w:spacing w:before="0" w:after="0" w:line="240" w:lineRule="auto"/>
              <w:jc w:val="center"/>
              <w:rPr>
                <w:sz w:val="18"/>
                <w:szCs w:val="18"/>
              </w:rPr>
            </w:pPr>
            <w:r>
              <w:rPr>
                <w:rFonts w:ascii="GHEA Grapalat" w:hAnsi="GHEA Grapalat" w:cs="Calibri"/>
                <w:color w:val="404040"/>
                <w:sz w:val="18"/>
                <w:szCs w:val="18"/>
              </w:rPr>
              <w:t>348.6</w:t>
            </w:r>
          </w:p>
        </w:tc>
        <w:tc>
          <w:tcPr>
            <w:tcW w:w="583" w:type="pct"/>
            <w:vAlign w:val="center"/>
          </w:tcPr>
          <w:p w14:paraId="0B64BDDA" w14:textId="07E2C26E" w:rsidR="0085126D" w:rsidRPr="009F282D" w:rsidRDefault="0085126D" w:rsidP="0085126D">
            <w:pPr>
              <w:spacing w:before="0" w:after="0" w:line="240" w:lineRule="auto"/>
              <w:jc w:val="center"/>
              <w:rPr>
                <w:rFonts w:ascii="GHEA Grapalat" w:hAnsi="GHEA Grapalat" w:cs="Calibri"/>
                <w:color w:val="auto"/>
                <w:sz w:val="18"/>
                <w:szCs w:val="18"/>
              </w:rPr>
            </w:pPr>
            <w:r>
              <w:rPr>
                <w:rFonts w:ascii="GHEA Grapalat" w:hAnsi="GHEA Grapalat" w:cs="Calibri"/>
                <w:color w:val="404040"/>
                <w:sz w:val="18"/>
                <w:szCs w:val="18"/>
              </w:rPr>
              <w:t>326.7</w:t>
            </w:r>
          </w:p>
        </w:tc>
        <w:tc>
          <w:tcPr>
            <w:tcW w:w="583" w:type="pct"/>
            <w:vAlign w:val="center"/>
          </w:tcPr>
          <w:p w14:paraId="32D403C7" w14:textId="24C77EE7" w:rsidR="0085126D" w:rsidRPr="009F282D" w:rsidRDefault="0085126D" w:rsidP="0085126D">
            <w:pPr>
              <w:spacing w:before="0" w:after="0" w:line="240" w:lineRule="auto"/>
              <w:jc w:val="center"/>
              <w:rPr>
                <w:rFonts w:ascii="GHEA Grapalat" w:hAnsi="GHEA Grapalat" w:cs="Calibri"/>
                <w:color w:val="auto"/>
                <w:sz w:val="18"/>
                <w:szCs w:val="18"/>
              </w:rPr>
            </w:pPr>
            <w:r>
              <w:rPr>
                <w:rFonts w:ascii="GHEA Grapalat" w:hAnsi="GHEA Grapalat" w:cs="Calibri"/>
                <w:color w:val="404040"/>
                <w:sz w:val="18"/>
                <w:szCs w:val="18"/>
              </w:rPr>
              <w:t>226.1</w:t>
            </w:r>
          </w:p>
        </w:tc>
        <w:tc>
          <w:tcPr>
            <w:tcW w:w="583" w:type="pct"/>
            <w:shd w:val="clear" w:color="auto" w:fill="auto"/>
            <w:vAlign w:val="center"/>
          </w:tcPr>
          <w:p w14:paraId="0AA1A9E2" w14:textId="2C1FADAF" w:rsidR="0085126D" w:rsidRPr="009F282D" w:rsidRDefault="0085126D" w:rsidP="0085126D">
            <w:pPr>
              <w:spacing w:before="0" w:after="0" w:line="240" w:lineRule="auto"/>
              <w:jc w:val="center"/>
              <w:rPr>
                <w:color w:val="auto"/>
                <w:sz w:val="18"/>
                <w:szCs w:val="18"/>
              </w:rPr>
            </w:pPr>
            <w:r>
              <w:rPr>
                <w:rFonts w:ascii="GHEA Grapalat" w:hAnsi="GHEA Grapalat" w:cs="Calibri"/>
                <w:color w:val="404040"/>
                <w:sz w:val="18"/>
                <w:szCs w:val="18"/>
              </w:rPr>
              <w:t>268.5</w:t>
            </w:r>
          </w:p>
        </w:tc>
      </w:tr>
    </w:tbl>
    <w:p w14:paraId="3193776B" w14:textId="77777777" w:rsidR="00C91777" w:rsidRPr="00C3014C" w:rsidRDefault="00C91777" w:rsidP="00C91777">
      <w:pPr>
        <w:jc w:val="both"/>
      </w:pPr>
    </w:p>
    <w:p w14:paraId="015906F0" w14:textId="77777777" w:rsidR="00C91777" w:rsidRPr="0087517F" w:rsidRDefault="00C91777" w:rsidP="00C91777">
      <w:pPr>
        <w:pStyle w:val="BodyText1"/>
        <w:ind w:left="0"/>
        <w:rPr>
          <w:lang w:val="hy-AM"/>
        </w:rPr>
      </w:pPr>
      <w:r w:rsidRPr="00C3014C">
        <w:t>Պետական բյուջեի դեֆիցիտի հարաբերակցությունը ՀՆԱ-ի նկատմամբ</w:t>
      </w:r>
      <w:r>
        <w:t xml:space="preserve"> 2026</w:t>
      </w:r>
      <w:r w:rsidRPr="00C3014C">
        <w:t xml:space="preserve"> թվականին </w:t>
      </w:r>
      <w:r w:rsidRPr="00AC3368">
        <w:t>կկազմի 4.</w:t>
      </w:r>
      <w:r w:rsidRPr="00AC3368">
        <w:rPr>
          <w:lang w:val="hy-AM"/>
        </w:rPr>
        <w:t>5</w:t>
      </w:r>
      <w:r w:rsidRPr="00AC3368">
        <w:t>%</w:t>
      </w:r>
      <w:r>
        <w:rPr>
          <w:lang w:val="hy-AM"/>
        </w:rPr>
        <w:t>, 2027 թվականին՝ 3.5</w:t>
      </w:r>
      <w:r w:rsidRPr="00FD4B35">
        <w:t xml:space="preserve">%, </w:t>
      </w:r>
      <w:r>
        <w:rPr>
          <w:lang w:val="ru-RU"/>
        </w:rPr>
        <w:t>իսկ</w:t>
      </w:r>
      <w:r w:rsidRPr="00FD4B35">
        <w:t xml:space="preserve"> 2028 </w:t>
      </w:r>
      <w:r>
        <w:rPr>
          <w:lang w:val="ru-RU"/>
        </w:rPr>
        <w:t>թվականին</w:t>
      </w:r>
      <w:r w:rsidRPr="00FD4B35">
        <w:t xml:space="preserve"> 2.</w:t>
      </w:r>
      <w:r>
        <w:rPr>
          <w:lang w:val="hy-AM"/>
        </w:rPr>
        <w:t>8</w:t>
      </w:r>
      <w:r w:rsidRPr="00FD4B35">
        <w:t>%</w:t>
      </w:r>
      <w:r w:rsidRPr="00AC3368">
        <w:t>: Ինչպես</w:t>
      </w:r>
      <w:r>
        <w:t xml:space="preserve"> 2026-2028</w:t>
      </w:r>
      <w:r w:rsidRPr="00C3014C">
        <w:t>թթ միջնաժամկետ ծախսային ծրագրում, ՀՀ</w:t>
      </w:r>
      <w:r>
        <w:t xml:space="preserve"> 2026</w:t>
      </w:r>
      <w:r w:rsidRPr="00C3014C">
        <w:t xml:space="preserve">թ </w:t>
      </w:r>
      <w:r>
        <w:rPr>
          <w:lang w:val="hy-AM"/>
        </w:rPr>
        <w:t xml:space="preserve">պետական </w:t>
      </w:r>
      <w:r w:rsidRPr="00C3014C">
        <w:t>բյուջեում նույն</w:t>
      </w:r>
      <w:r w:rsidRPr="00C3014C">
        <w:softHyphen/>
      </w:r>
      <w:r w:rsidRPr="00C3014C">
        <w:softHyphen/>
        <w:t>պես պահպանվել է ՀՀ պետական բյուջեի կախվա</w:t>
      </w:r>
      <w:r w:rsidRPr="00C3014C">
        <w:softHyphen/>
        <w:t>ծու</w:t>
      </w:r>
      <w:r w:rsidRPr="00C3014C">
        <w:softHyphen/>
        <w:t>թյունն արտաքին ֆինանսավորման աղբյուր</w:t>
      </w:r>
      <w:r w:rsidRPr="00C3014C">
        <w:softHyphen/>
      </w:r>
      <w:r w:rsidRPr="00C3014C">
        <w:softHyphen/>
        <w:t>ներից (արտասահմանյան վարկերից և պաշտո</w:t>
      </w:r>
      <w:r w:rsidRPr="00C3014C">
        <w:softHyphen/>
        <w:t>նական դրամաշնորհ</w:t>
      </w:r>
      <w:r w:rsidRPr="00C3014C">
        <w:softHyphen/>
        <w:t>ներից):</w:t>
      </w:r>
    </w:p>
    <w:p w14:paraId="4F6BC81A" w14:textId="77777777" w:rsidR="00C91777" w:rsidRPr="00CA6D33" w:rsidRDefault="00C91777" w:rsidP="00C91777">
      <w:pPr>
        <w:pStyle w:val="a"/>
      </w:pPr>
      <w:bookmarkStart w:id="348" w:name="_Toc178350614"/>
      <w:bookmarkStart w:id="349" w:name="_Toc178612139"/>
      <w:bookmarkStart w:id="350" w:name="_Toc115283830"/>
      <w:bookmarkStart w:id="351" w:name="_Toc83728698"/>
      <w:bookmarkStart w:id="352" w:name="_Toc184110765"/>
      <w:r w:rsidRPr="0087517F">
        <w:t xml:space="preserve">Աղյուսակ </w:t>
      </w:r>
      <w:r>
        <w:t>5</w:t>
      </w:r>
      <w:r w:rsidRPr="0087517F">
        <w:rPr>
          <w:rFonts w:ascii="Cambria Math" w:hAnsi="Cambria Math" w:cs="Cambria Math"/>
        </w:rPr>
        <w:t>․</w:t>
      </w:r>
      <w:r w:rsidRPr="0087517F">
        <w:t xml:space="preserve"> Ընդհանուր և առաջնային դեֆիցիտները</w:t>
      </w:r>
      <w:bookmarkEnd w:id="348"/>
      <w:bookmarkEnd w:id="349"/>
      <w:bookmarkEnd w:id="350"/>
      <w:bookmarkEnd w:id="351"/>
      <w:r>
        <w:t>,</w:t>
      </w:r>
      <w:r w:rsidRPr="00BA3931">
        <w:t xml:space="preserve"> %-ով ՀՆԱ-ի նկատմամբ</w:t>
      </w:r>
      <w:bookmarkEnd w:id="352"/>
    </w:p>
    <w:p w14:paraId="74E88002" w14:textId="77777777" w:rsidR="00C91777" w:rsidRPr="002F14B9" w:rsidRDefault="00C91777" w:rsidP="00C91777">
      <w:pPr>
        <w:jc w:val="both"/>
        <w:rPr>
          <w:lang w:val="hy-AM" w:eastAsia="ru-RU"/>
        </w:rPr>
      </w:pPr>
    </w:p>
    <w:tbl>
      <w:tblPr>
        <w:tblW w:w="5000" w:type="pct"/>
        <w:tblBorders>
          <w:top w:val="single" w:sz="8" w:space="0" w:color="E1E1E3" w:themeColor="accent3" w:themeTint="33"/>
          <w:left w:val="single" w:sz="8" w:space="0" w:color="E1E1E3" w:themeColor="accent3" w:themeTint="33"/>
          <w:bottom w:val="single" w:sz="8" w:space="0" w:color="E1E1E3" w:themeColor="accent3" w:themeTint="33"/>
          <w:right w:val="single" w:sz="8" w:space="0" w:color="E1E1E3" w:themeColor="accent3" w:themeTint="33"/>
          <w:insideH w:val="single" w:sz="8" w:space="0" w:color="E1E1E3" w:themeColor="accent3" w:themeTint="33"/>
          <w:insideV w:val="single" w:sz="8" w:space="0" w:color="E1E1E3" w:themeColor="accent3" w:themeTint="33"/>
        </w:tblBorders>
        <w:tblLook w:val="04A0" w:firstRow="1" w:lastRow="0" w:firstColumn="1" w:lastColumn="0" w:noHBand="0" w:noVBand="1"/>
      </w:tblPr>
      <w:tblGrid>
        <w:gridCol w:w="4918"/>
        <w:gridCol w:w="1734"/>
        <w:gridCol w:w="1533"/>
        <w:gridCol w:w="2200"/>
      </w:tblGrid>
      <w:tr w:rsidR="00C91777" w:rsidRPr="0087517F" w14:paraId="4E3A765F" w14:textId="77777777" w:rsidTr="00147C8B">
        <w:trPr>
          <w:trHeight w:val="432"/>
        </w:trPr>
        <w:tc>
          <w:tcPr>
            <w:tcW w:w="2368" w:type="pct"/>
            <w:shd w:val="clear" w:color="auto" w:fill="D5DCE4" w:themeFill="text2" w:themeFillTint="33"/>
            <w:vAlign w:val="center"/>
            <w:hideMark/>
          </w:tcPr>
          <w:p w14:paraId="1683CDFB" w14:textId="77777777" w:rsidR="00C91777" w:rsidRPr="0087517F" w:rsidRDefault="00C91777" w:rsidP="00147C8B">
            <w:pPr>
              <w:spacing w:before="0" w:after="0" w:line="240" w:lineRule="auto"/>
              <w:jc w:val="both"/>
              <w:rPr>
                <w:sz w:val="18"/>
                <w:szCs w:val="18"/>
              </w:rPr>
            </w:pPr>
            <w:r w:rsidRPr="0092287F">
              <w:rPr>
                <w:b/>
                <w:sz w:val="18"/>
                <w:szCs w:val="18"/>
              </w:rPr>
              <w:t>Ցուցանիշներ</w:t>
            </w:r>
          </w:p>
        </w:tc>
        <w:tc>
          <w:tcPr>
            <w:tcW w:w="835" w:type="pct"/>
            <w:shd w:val="clear" w:color="auto" w:fill="D5DCE4" w:themeFill="text2" w:themeFillTint="33"/>
            <w:vAlign w:val="center"/>
          </w:tcPr>
          <w:p w14:paraId="5981D665" w14:textId="77777777" w:rsidR="00C91777" w:rsidRPr="0022586A" w:rsidRDefault="00C91777" w:rsidP="00147C8B">
            <w:pPr>
              <w:spacing w:before="0" w:after="0" w:line="240" w:lineRule="auto"/>
              <w:jc w:val="center"/>
              <w:rPr>
                <w:b/>
                <w:sz w:val="18"/>
                <w:szCs w:val="18"/>
              </w:rPr>
            </w:pPr>
            <w:r>
              <w:rPr>
                <w:b/>
                <w:sz w:val="18"/>
                <w:szCs w:val="18"/>
              </w:rPr>
              <w:t>2026</w:t>
            </w:r>
          </w:p>
        </w:tc>
        <w:tc>
          <w:tcPr>
            <w:tcW w:w="738" w:type="pct"/>
            <w:shd w:val="clear" w:color="auto" w:fill="D5DCE4" w:themeFill="text2" w:themeFillTint="33"/>
            <w:vAlign w:val="center"/>
          </w:tcPr>
          <w:p w14:paraId="650AD414" w14:textId="77777777" w:rsidR="00C91777" w:rsidRPr="008C386A" w:rsidRDefault="00C91777" w:rsidP="00147C8B">
            <w:pPr>
              <w:spacing w:before="0" w:after="0" w:line="240" w:lineRule="auto"/>
              <w:jc w:val="center"/>
              <w:rPr>
                <w:b/>
                <w:sz w:val="18"/>
                <w:szCs w:val="18"/>
              </w:rPr>
            </w:pPr>
            <w:r>
              <w:rPr>
                <w:b/>
                <w:sz w:val="18"/>
                <w:szCs w:val="18"/>
              </w:rPr>
              <w:t>2027</w:t>
            </w:r>
          </w:p>
        </w:tc>
        <w:tc>
          <w:tcPr>
            <w:tcW w:w="1059" w:type="pct"/>
            <w:shd w:val="clear" w:color="auto" w:fill="D5DCE4" w:themeFill="text2" w:themeFillTint="33"/>
            <w:vAlign w:val="center"/>
          </w:tcPr>
          <w:p w14:paraId="6B76F8FA" w14:textId="77777777" w:rsidR="00C91777" w:rsidRPr="008C386A" w:rsidRDefault="00C91777" w:rsidP="00147C8B">
            <w:pPr>
              <w:spacing w:before="0" w:after="0" w:line="240" w:lineRule="auto"/>
              <w:jc w:val="center"/>
              <w:rPr>
                <w:b/>
                <w:sz w:val="18"/>
                <w:szCs w:val="18"/>
              </w:rPr>
            </w:pPr>
            <w:r>
              <w:rPr>
                <w:b/>
                <w:sz w:val="18"/>
                <w:szCs w:val="18"/>
              </w:rPr>
              <w:t>2028</w:t>
            </w:r>
          </w:p>
        </w:tc>
      </w:tr>
      <w:tr w:rsidR="00C91777" w:rsidRPr="0087517F" w14:paraId="08847815" w14:textId="77777777" w:rsidTr="00147C8B">
        <w:trPr>
          <w:trHeight w:val="412"/>
        </w:trPr>
        <w:tc>
          <w:tcPr>
            <w:tcW w:w="2368" w:type="pct"/>
            <w:shd w:val="clear" w:color="auto" w:fill="auto"/>
            <w:vAlign w:val="center"/>
            <w:hideMark/>
          </w:tcPr>
          <w:p w14:paraId="33DBF58D" w14:textId="77777777" w:rsidR="00C91777" w:rsidRPr="00A506F2" w:rsidRDefault="00C91777" w:rsidP="00147C8B">
            <w:pPr>
              <w:spacing w:before="0" w:after="0" w:line="240" w:lineRule="auto"/>
              <w:ind w:right="1253"/>
              <w:jc w:val="both"/>
              <w:rPr>
                <w:sz w:val="18"/>
                <w:szCs w:val="18"/>
              </w:rPr>
            </w:pPr>
            <w:r w:rsidRPr="00A506F2">
              <w:rPr>
                <w:sz w:val="18"/>
                <w:szCs w:val="18"/>
              </w:rPr>
              <w:t>Ընդհանուր դեֆիցիտ`</w:t>
            </w:r>
            <w:r w:rsidRPr="00A506F2">
              <w:rPr>
                <w:sz w:val="18"/>
                <w:szCs w:val="18"/>
                <w:lang w:val="hy-AM"/>
              </w:rPr>
              <w:t xml:space="preserve"> </w:t>
            </w:r>
            <w:r w:rsidRPr="00A506F2">
              <w:rPr>
                <w:sz w:val="18"/>
                <w:szCs w:val="18"/>
              </w:rPr>
              <w:t>Ընդհանուր եկամուտների և ծախսերի տարբերու</w:t>
            </w:r>
            <w:r w:rsidRPr="00A506F2">
              <w:rPr>
                <w:sz w:val="18"/>
                <w:szCs w:val="18"/>
              </w:rPr>
              <w:softHyphen/>
              <w:t>թյունը</w:t>
            </w:r>
          </w:p>
        </w:tc>
        <w:tc>
          <w:tcPr>
            <w:tcW w:w="835" w:type="pct"/>
            <w:shd w:val="clear" w:color="auto" w:fill="auto"/>
            <w:vAlign w:val="center"/>
          </w:tcPr>
          <w:p w14:paraId="1867F04D" w14:textId="77777777" w:rsidR="00C91777" w:rsidRPr="00C91777" w:rsidRDefault="00C91777" w:rsidP="00147C8B">
            <w:pPr>
              <w:spacing w:before="0" w:after="0" w:line="240" w:lineRule="auto"/>
              <w:jc w:val="center"/>
              <w:rPr>
                <w:color w:val="000000" w:themeColor="text1"/>
                <w:sz w:val="18"/>
                <w:szCs w:val="18"/>
                <w:lang w:val="hy-AM" w:eastAsia="ru-RU"/>
              </w:rPr>
            </w:pPr>
            <w:r w:rsidRPr="00C91777">
              <w:rPr>
                <w:rFonts w:ascii="GHEA Grapalat" w:hAnsi="GHEA Grapalat" w:cs="Calibri"/>
                <w:color w:val="000000" w:themeColor="text1"/>
                <w:sz w:val="18"/>
                <w:szCs w:val="18"/>
              </w:rPr>
              <w:t>(4.5)</w:t>
            </w:r>
          </w:p>
        </w:tc>
        <w:tc>
          <w:tcPr>
            <w:tcW w:w="738" w:type="pct"/>
            <w:vAlign w:val="center"/>
          </w:tcPr>
          <w:p w14:paraId="667A77C9" w14:textId="77777777" w:rsidR="00C91777" w:rsidRPr="00C91777" w:rsidRDefault="00C91777" w:rsidP="00147C8B">
            <w:pPr>
              <w:spacing w:before="0" w:after="0" w:line="240" w:lineRule="auto"/>
              <w:jc w:val="center"/>
              <w:rPr>
                <w:color w:val="000000" w:themeColor="text1"/>
                <w:sz w:val="18"/>
                <w:szCs w:val="18"/>
                <w:lang w:val="hy-AM" w:eastAsia="ru-RU"/>
              </w:rPr>
            </w:pPr>
            <w:r w:rsidRPr="00C91777">
              <w:rPr>
                <w:rFonts w:ascii="GHEA Grapalat" w:hAnsi="GHEA Grapalat" w:cs="Calibri"/>
                <w:color w:val="000000" w:themeColor="text1"/>
                <w:sz w:val="18"/>
                <w:szCs w:val="18"/>
              </w:rPr>
              <w:t>(3.5)</w:t>
            </w:r>
          </w:p>
        </w:tc>
        <w:tc>
          <w:tcPr>
            <w:tcW w:w="1059" w:type="pct"/>
            <w:vAlign w:val="center"/>
          </w:tcPr>
          <w:p w14:paraId="0352549B" w14:textId="77777777" w:rsidR="00C91777" w:rsidRPr="00C91777" w:rsidRDefault="00C91777" w:rsidP="00147C8B">
            <w:pPr>
              <w:spacing w:before="0" w:after="0" w:line="240" w:lineRule="auto"/>
              <w:jc w:val="center"/>
              <w:rPr>
                <w:color w:val="000000" w:themeColor="text1"/>
                <w:sz w:val="18"/>
                <w:szCs w:val="18"/>
                <w:lang w:val="hy-AM" w:eastAsia="ru-RU"/>
              </w:rPr>
            </w:pPr>
            <w:r w:rsidRPr="00C91777">
              <w:rPr>
                <w:rFonts w:ascii="GHEA Grapalat" w:hAnsi="GHEA Grapalat" w:cs="Calibri"/>
                <w:color w:val="000000" w:themeColor="text1"/>
                <w:sz w:val="18"/>
                <w:szCs w:val="18"/>
              </w:rPr>
              <w:t>(2.8)</w:t>
            </w:r>
          </w:p>
        </w:tc>
      </w:tr>
      <w:tr w:rsidR="00C91777" w:rsidRPr="0087517F" w14:paraId="1F7518BF" w14:textId="77777777" w:rsidTr="00147C8B">
        <w:trPr>
          <w:trHeight w:val="60"/>
        </w:trPr>
        <w:tc>
          <w:tcPr>
            <w:tcW w:w="2368" w:type="pct"/>
            <w:shd w:val="clear" w:color="auto" w:fill="auto"/>
            <w:vAlign w:val="center"/>
            <w:hideMark/>
          </w:tcPr>
          <w:p w14:paraId="5CFF72D4" w14:textId="77777777" w:rsidR="00C91777" w:rsidRPr="00A506F2" w:rsidRDefault="00C91777" w:rsidP="00147C8B">
            <w:pPr>
              <w:spacing w:before="0" w:after="0" w:line="240" w:lineRule="auto"/>
              <w:ind w:right="1253"/>
              <w:jc w:val="both"/>
              <w:rPr>
                <w:sz w:val="18"/>
                <w:szCs w:val="18"/>
              </w:rPr>
            </w:pPr>
            <w:r w:rsidRPr="00A506F2">
              <w:rPr>
                <w:sz w:val="18"/>
                <w:szCs w:val="18"/>
              </w:rPr>
              <w:t xml:space="preserve">Առաջնային դեֆիցիտ` </w:t>
            </w:r>
            <w:r w:rsidRPr="00A506F2">
              <w:rPr>
                <w:sz w:val="18"/>
                <w:szCs w:val="18"/>
                <w:lang w:val="hy-AM"/>
              </w:rPr>
              <w:t xml:space="preserve"> </w:t>
            </w:r>
            <w:r w:rsidRPr="00A506F2">
              <w:rPr>
                <w:sz w:val="18"/>
                <w:szCs w:val="18"/>
              </w:rPr>
              <w:t>Ընդհանուր եկամուտների և ծախսերի (առանց</w:t>
            </w:r>
            <w:r>
              <w:rPr>
                <w:sz w:val="18"/>
                <w:szCs w:val="18"/>
              </w:rPr>
              <w:t xml:space="preserve"> </w:t>
            </w:r>
            <w:r w:rsidRPr="00A506F2">
              <w:rPr>
                <w:sz w:val="18"/>
                <w:szCs w:val="18"/>
              </w:rPr>
              <w:t>տոկոսավճարների) տարբերությունը</w:t>
            </w:r>
          </w:p>
        </w:tc>
        <w:tc>
          <w:tcPr>
            <w:tcW w:w="835" w:type="pct"/>
            <w:shd w:val="clear" w:color="auto" w:fill="auto"/>
            <w:vAlign w:val="center"/>
          </w:tcPr>
          <w:p w14:paraId="4EE51E80" w14:textId="77777777" w:rsidR="00C91777" w:rsidRPr="00C91777" w:rsidRDefault="00C91777" w:rsidP="00147C8B">
            <w:pPr>
              <w:spacing w:before="0" w:after="0" w:line="240" w:lineRule="auto"/>
              <w:jc w:val="center"/>
              <w:rPr>
                <w:color w:val="000000" w:themeColor="text1"/>
                <w:sz w:val="18"/>
                <w:szCs w:val="18"/>
                <w:lang w:val="hy-AM"/>
              </w:rPr>
            </w:pPr>
            <w:r w:rsidRPr="00C91777">
              <w:rPr>
                <w:rFonts w:ascii="GHEA Grapalat" w:hAnsi="GHEA Grapalat" w:cs="Calibri"/>
                <w:color w:val="000000" w:themeColor="text1"/>
                <w:sz w:val="18"/>
                <w:szCs w:val="18"/>
              </w:rPr>
              <w:t>(1.0)</w:t>
            </w:r>
          </w:p>
        </w:tc>
        <w:tc>
          <w:tcPr>
            <w:tcW w:w="738" w:type="pct"/>
            <w:vAlign w:val="center"/>
          </w:tcPr>
          <w:p w14:paraId="46CFE9D8" w14:textId="77777777" w:rsidR="00C91777" w:rsidRPr="00C91777" w:rsidRDefault="00C91777" w:rsidP="00147C8B">
            <w:pPr>
              <w:spacing w:before="0" w:after="0" w:line="240" w:lineRule="auto"/>
              <w:jc w:val="center"/>
              <w:rPr>
                <w:color w:val="000000" w:themeColor="text1"/>
                <w:sz w:val="18"/>
                <w:szCs w:val="18"/>
                <w:lang w:val="hy-AM"/>
              </w:rPr>
            </w:pPr>
            <w:r w:rsidRPr="00C91777">
              <w:rPr>
                <w:rFonts w:ascii="GHEA Grapalat" w:hAnsi="GHEA Grapalat" w:cs="Calibri"/>
                <w:color w:val="000000" w:themeColor="text1"/>
                <w:sz w:val="18"/>
                <w:szCs w:val="18"/>
              </w:rPr>
              <w:t>0.2</w:t>
            </w:r>
          </w:p>
        </w:tc>
        <w:tc>
          <w:tcPr>
            <w:tcW w:w="1059" w:type="pct"/>
            <w:vAlign w:val="center"/>
          </w:tcPr>
          <w:p w14:paraId="314AD90A" w14:textId="77777777" w:rsidR="00C91777" w:rsidRPr="00C91777" w:rsidRDefault="00C91777" w:rsidP="00147C8B">
            <w:pPr>
              <w:spacing w:before="0" w:after="0" w:line="240" w:lineRule="auto"/>
              <w:jc w:val="center"/>
              <w:rPr>
                <w:color w:val="000000" w:themeColor="text1"/>
                <w:sz w:val="18"/>
                <w:szCs w:val="18"/>
                <w:lang w:val="hy-AM"/>
              </w:rPr>
            </w:pPr>
            <w:r w:rsidRPr="00C91777">
              <w:rPr>
                <w:rFonts w:ascii="GHEA Grapalat" w:hAnsi="GHEA Grapalat" w:cs="Calibri"/>
                <w:color w:val="000000" w:themeColor="text1"/>
                <w:sz w:val="18"/>
                <w:szCs w:val="18"/>
              </w:rPr>
              <w:t>0.9</w:t>
            </w:r>
          </w:p>
        </w:tc>
      </w:tr>
    </w:tbl>
    <w:p w14:paraId="29F6278A" w14:textId="321CAE50" w:rsidR="00786D09" w:rsidRDefault="00786D09" w:rsidP="00786D09">
      <w:pPr>
        <w:jc w:val="both"/>
        <w:rPr>
          <w:lang w:eastAsia="ru-RU"/>
        </w:rPr>
      </w:pPr>
    </w:p>
    <w:p w14:paraId="11581107" w14:textId="77777777" w:rsidR="00786D09" w:rsidRDefault="00786D09">
      <w:pPr>
        <w:rPr>
          <w:lang w:eastAsia="ru-RU"/>
        </w:rPr>
      </w:pPr>
      <w:r>
        <w:rPr>
          <w:lang w:eastAsia="ru-RU"/>
        </w:rPr>
        <w:br w:type="page"/>
      </w:r>
    </w:p>
    <w:p w14:paraId="04981C8F" w14:textId="4C8658D2" w:rsidR="00E77731" w:rsidRPr="00E77731" w:rsidRDefault="00E77731" w:rsidP="00786D09">
      <w:pPr>
        <w:pStyle w:val="TOC2"/>
        <w:jc w:val="both"/>
        <w:outlineLvl w:val="0"/>
        <w:rPr>
          <w:lang w:val="hy-AM"/>
        </w:rPr>
      </w:pPr>
      <w:bookmarkStart w:id="353" w:name="_Toc209625767"/>
      <w:bookmarkStart w:id="354" w:name="_Toc215157688"/>
      <w:bookmarkEnd w:id="328"/>
      <w:r w:rsidRPr="00E77731">
        <w:rPr>
          <w:lang w:val="hy-AM"/>
        </w:rPr>
        <w:t>ՄԱՍ II-</w:t>
      </w:r>
      <w:r w:rsidR="00965EE6">
        <w:rPr>
          <w:lang w:val="hy-AM"/>
        </w:rPr>
        <w:t>Բ</w:t>
      </w:r>
      <w:r w:rsidRPr="00E77731">
        <w:rPr>
          <w:lang w:val="hy-AM"/>
        </w:rPr>
        <w:t>. ԵԿԱՄՈՒՏՆԵՐԻ ԿԱՆԽԱՏԵՍՈՒՄ</w:t>
      </w:r>
      <w:bookmarkEnd w:id="303"/>
      <w:bookmarkEnd w:id="304"/>
      <w:bookmarkEnd w:id="305"/>
      <w:bookmarkEnd w:id="353"/>
      <w:bookmarkEnd w:id="354"/>
    </w:p>
    <w:p w14:paraId="44912830" w14:textId="735E1358" w:rsidR="00ED147C" w:rsidRDefault="00ED147C" w:rsidP="00ED147C">
      <w:pPr>
        <w:pStyle w:val="BodyText1"/>
        <w:ind w:left="0" w:right="357"/>
        <w:rPr>
          <w:lang w:val="hy-AM"/>
        </w:rPr>
      </w:pPr>
      <w:bookmarkStart w:id="355" w:name="_Toc530663263"/>
      <w:bookmarkStart w:id="356" w:name="_Toc26174934"/>
      <w:bookmarkStart w:id="357" w:name="_Toc178356586"/>
      <w:bookmarkStart w:id="358" w:name="_Toc209625768"/>
      <w:r w:rsidRPr="003754B2">
        <w:rPr>
          <w:lang w:val="hy-AM"/>
        </w:rPr>
        <w:t>«Հայաստանի Հանրապետության 202</w:t>
      </w:r>
      <w:r>
        <w:rPr>
          <w:lang w:val="hy-AM"/>
        </w:rPr>
        <w:t>6</w:t>
      </w:r>
      <w:r w:rsidRPr="003754B2">
        <w:rPr>
          <w:lang w:val="hy-AM"/>
        </w:rPr>
        <w:t xml:space="preserve"> թվականի պետական բյուջեի մասին» ՀՀ օրեն</w:t>
      </w:r>
      <w:r w:rsidRPr="003754B2">
        <w:rPr>
          <w:lang w:val="hy-AM"/>
        </w:rPr>
        <w:softHyphen/>
        <w:t>քում (սույն մասում այսու</w:t>
      </w:r>
      <w:r w:rsidRPr="003754B2">
        <w:rPr>
          <w:lang w:val="hy-AM"/>
        </w:rPr>
        <w:softHyphen/>
        <w:t>հետ՝ Օրենք) եկամուտների ընդհանուր գու</w:t>
      </w:r>
      <w:r w:rsidRPr="003754B2">
        <w:rPr>
          <w:lang w:val="hy-AM"/>
        </w:rPr>
        <w:softHyphen/>
        <w:t xml:space="preserve">մարը ծրագրվել </w:t>
      </w:r>
      <w:r w:rsidR="00696D1E">
        <w:rPr>
          <w:lang w:val="hy-AM"/>
        </w:rPr>
        <w:t>է</w:t>
      </w:r>
      <w:r w:rsidRPr="003754B2">
        <w:rPr>
          <w:lang w:val="hy-AM"/>
        </w:rPr>
        <w:t xml:space="preserve"> </w:t>
      </w:r>
      <w:r>
        <w:rPr>
          <w:lang w:val="hy-AM"/>
        </w:rPr>
        <w:t>2026 թվականի համար</w:t>
      </w:r>
      <w:r w:rsidR="00DE4734">
        <w:rPr>
          <w:lang w:val="hy-AM"/>
        </w:rPr>
        <w:t xml:space="preserve"> 3,090</w:t>
      </w:r>
      <w:r w:rsidRPr="003754B2">
        <w:rPr>
          <w:lang w:val="hy-AM"/>
        </w:rPr>
        <w:t>.</w:t>
      </w:r>
      <w:r w:rsidR="00DE4734">
        <w:rPr>
          <w:lang w:val="hy-AM"/>
        </w:rPr>
        <w:t>9</w:t>
      </w:r>
      <w:r w:rsidRPr="003754B2">
        <w:rPr>
          <w:lang w:val="hy-AM"/>
        </w:rPr>
        <w:t xml:space="preserve"> մլրդ </w:t>
      </w:r>
      <w:r>
        <w:rPr>
          <w:lang w:val="hy-AM"/>
        </w:rPr>
        <w:t>դրամ</w:t>
      </w:r>
      <w:r w:rsidRPr="003754B2">
        <w:rPr>
          <w:lang w:val="hy-AM"/>
        </w:rPr>
        <w:t>,</w:t>
      </w:r>
      <w:r>
        <w:rPr>
          <w:lang w:val="hy-AM"/>
        </w:rPr>
        <w:t xml:space="preserve"> 2027 թվականի համար 3,352</w:t>
      </w:r>
      <w:r w:rsidR="00DE4734">
        <w:rPr>
          <w:lang w:val="hy-AM"/>
        </w:rPr>
        <w:t>.6</w:t>
      </w:r>
      <w:r w:rsidRPr="00810973">
        <w:rPr>
          <w:lang w:val="hy-AM"/>
        </w:rPr>
        <w:t xml:space="preserve"> </w:t>
      </w:r>
      <w:r>
        <w:rPr>
          <w:lang w:val="hy-AM"/>
        </w:rPr>
        <w:t>մլրդ դրամ, իսկ 2028 թվականի համար 3,638</w:t>
      </w:r>
      <w:r w:rsidR="00DE4734">
        <w:rPr>
          <w:lang w:val="hy-AM"/>
        </w:rPr>
        <w:t>.2</w:t>
      </w:r>
      <w:r w:rsidRPr="00810973">
        <w:rPr>
          <w:lang w:val="hy-AM"/>
        </w:rPr>
        <w:t xml:space="preserve"> </w:t>
      </w:r>
      <w:r>
        <w:rPr>
          <w:lang w:val="hy-AM"/>
        </w:rPr>
        <w:t>մլրդ դրամ՝</w:t>
      </w:r>
      <w:r w:rsidRPr="003754B2">
        <w:rPr>
          <w:lang w:val="hy-AM"/>
        </w:rPr>
        <w:t xml:space="preserve"> 202</w:t>
      </w:r>
      <w:r>
        <w:rPr>
          <w:lang w:val="hy-AM"/>
        </w:rPr>
        <w:t>5</w:t>
      </w:r>
      <w:r w:rsidRPr="003754B2">
        <w:rPr>
          <w:lang w:val="hy-AM"/>
        </w:rPr>
        <w:t xml:space="preserve"> թվականի համար հաստատված </w:t>
      </w:r>
      <w:r>
        <w:rPr>
          <w:lang w:val="hy-AM"/>
        </w:rPr>
        <w:t>2,837.</w:t>
      </w:r>
      <w:r w:rsidRPr="00023064">
        <w:rPr>
          <w:lang w:val="hy-AM"/>
        </w:rPr>
        <w:t>6</w:t>
      </w:r>
      <w:r w:rsidRPr="003754B2">
        <w:rPr>
          <w:lang w:val="hy-AM"/>
        </w:rPr>
        <w:t xml:space="preserve"> մլրդ դրամի և 202</w:t>
      </w:r>
      <w:r>
        <w:rPr>
          <w:lang w:val="hy-AM"/>
        </w:rPr>
        <w:t>4</w:t>
      </w:r>
      <w:r w:rsidRPr="003754B2">
        <w:rPr>
          <w:lang w:val="hy-AM"/>
        </w:rPr>
        <w:t xml:space="preserve"> թվականին փաստացի ստացված 2,</w:t>
      </w:r>
      <w:r>
        <w:rPr>
          <w:lang w:val="hy-AM"/>
        </w:rPr>
        <w:t>579</w:t>
      </w:r>
      <w:r w:rsidRPr="003754B2">
        <w:rPr>
          <w:lang w:val="hy-AM"/>
        </w:rPr>
        <w:t>.</w:t>
      </w:r>
      <w:r>
        <w:rPr>
          <w:lang w:val="hy-AM"/>
        </w:rPr>
        <w:t>2</w:t>
      </w:r>
      <w:r w:rsidRPr="003754B2">
        <w:rPr>
          <w:lang w:val="hy-AM"/>
        </w:rPr>
        <w:t xml:space="preserve"> մլրդ դրամ գու</w:t>
      </w:r>
      <w:r w:rsidRPr="003754B2">
        <w:rPr>
          <w:lang w:val="hy-AM"/>
        </w:rPr>
        <w:softHyphen/>
        <w:t>մար</w:t>
      </w:r>
      <w:r w:rsidRPr="003754B2">
        <w:rPr>
          <w:lang w:val="hy-AM"/>
        </w:rPr>
        <w:softHyphen/>
        <w:t>ների դիմաց: Եկա</w:t>
      </w:r>
      <w:r w:rsidRPr="003754B2">
        <w:rPr>
          <w:lang w:val="hy-AM"/>
        </w:rPr>
        <w:softHyphen/>
        <w:t>մուտ</w:t>
      </w:r>
      <w:r w:rsidRPr="003754B2">
        <w:rPr>
          <w:lang w:val="hy-AM"/>
        </w:rPr>
        <w:softHyphen/>
      </w:r>
      <w:r w:rsidRPr="003754B2">
        <w:rPr>
          <w:lang w:val="hy-AM"/>
        </w:rPr>
        <w:softHyphen/>
      </w:r>
      <w:r w:rsidRPr="003754B2">
        <w:rPr>
          <w:lang w:val="hy-AM"/>
        </w:rPr>
        <w:softHyphen/>
        <w:t>ների տա</w:t>
      </w:r>
      <w:r w:rsidRPr="003754B2">
        <w:rPr>
          <w:lang w:val="hy-AM"/>
        </w:rPr>
        <w:softHyphen/>
      </w:r>
      <w:r w:rsidRPr="003754B2">
        <w:rPr>
          <w:lang w:val="hy-AM"/>
        </w:rPr>
        <w:softHyphen/>
        <w:t>րեկան ծրա</w:t>
      </w:r>
      <w:r w:rsidRPr="003754B2">
        <w:rPr>
          <w:lang w:val="hy-AM"/>
        </w:rPr>
        <w:softHyphen/>
        <w:t>գրա</w:t>
      </w:r>
      <w:r w:rsidRPr="003754B2">
        <w:rPr>
          <w:lang w:val="hy-AM"/>
        </w:rPr>
        <w:softHyphen/>
        <w:t>յին ծավալները կապահովվեն հիմնականում ի հաշիվ հար</w:t>
      </w:r>
      <w:r w:rsidRPr="003754B2">
        <w:rPr>
          <w:lang w:val="hy-AM"/>
        </w:rPr>
        <w:softHyphen/>
        <w:t>կային եկա</w:t>
      </w:r>
      <w:r w:rsidRPr="003754B2">
        <w:rPr>
          <w:lang w:val="hy-AM"/>
        </w:rPr>
        <w:softHyphen/>
        <w:t>մուտ</w:t>
      </w:r>
      <w:r w:rsidRPr="003754B2">
        <w:rPr>
          <w:lang w:val="hy-AM"/>
        </w:rPr>
        <w:softHyphen/>
        <w:t>ների:</w:t>
      </w:r>
      <w:r w:rsidRPr="001D2D3B">
        <w:rPr>
          <w:lang w:val="hy-AM"/>
        </w:rPr>
        <w:t xml:space="preserve"> </w:t>
      </w:r>
    </w:p>
    <w:p w14:paraId="01B5CF70" w14:textId="77777777" w:rsidR="00ED147C" w:rsidRDefault="00ED147C" w:rsidP="00ED147C">
      <w:pPr>
        <w:pStyle w:val="a"/>
        <w:spacing w:before="120" w:line="276" w:lineRule="auto"/>
        <w:ind w:right="357"/>
        <w:jc w:val="both"/>
      </w:pPr>
      <w:bookmarkStart w:id="359" w:name="_Toc178350615"/>
      <w:bookmarkStart w:id="360" w:name="_Toc83928943"/>
      <w:bookmarkStart w:id="361" w:name="_Toc178612140"/>
      <w:bookmarkStart w:id="362" w:name="_Toc184110766"/>
    </w:p>
    <w:p w14:paraId="03278B3D" w14:textId="33DD16C5" w:rsidR="00ED147C" w:rsidRPr="00E77731" w:rsidRDefault="00ED147C" w:rsidP="00ED147C">
      <w:pPr>
        <w:pStyle w:val="a"/>
        <w:spacing w:before="120" w:line="276" w:lineRule="auto"/>
        <w:ind w:right="357"/>
        <w:jc w:val="both"/>
        <w:rPr>
          <w:lang w:eastAsia="ru-RU"/>
        </w:rPr>
      </w:pPr>
      <w:r w:rsidRPr="00E77731">
        <w:t xml:space="preserve">Աղյուսակ </w:t>
      </w:r>
      <w:r w:rsidRPr="00C3014C">
        <w:fldChar w:fldCharType="begin"/>
      </w:r>
      <w:r w:rsidRPr="00E77731">
        <w:instrText xml:space="preserve"> SEQ Աղյուսակ \* ARABIC </w:instrText>
      </w:r>
      <w:r w:rsidRPr="00C3014C">
        <w:fldChar w:fldCharType="separate"/>
      </w:r>
      <w:r w:rsidR="001848B1">
        <w:rPr>
          <w:noProof/>
        </w:rPr>
        <w:t>4</w:t>
      </w:r>
      <w:r w:rsidRPr="00C3014C">
        <w:fldChar w:fldCharType="end"/>
      </w:r>
      <w:r w:rsidRPr="00E77731">
        <w:rPr>
          <w:rFonts w:ascii="Cambria Math" w:hAnsi="Cambria Math" w:cs="Cambria Math"/>
        </w:rPr>
        <w:t>․</w:t>
      </w:r>
      <w:r w:rsidRPr="00E77731">
        <w:t xml:space="preserve"> 202</w:t>
      </w:r>
      <w:r>
        <w:t>2</w:t>
      </w:r>
      <w:r w:rsidRPr="00E77731">
        <w:t>-202</w:t>
      </w:r>
      <w:r>
        <w:t>8</w:t>
      </w:r>
      <w:r w:rsidRPr="00E77731">
        <w:t>թթ</w:t>
      </w:r>
      <w:r w:rsidRPr="003754B2">
        <w:t>.</w:t>
      </w:r>
      <w:r w:rsidRPr="00E77731">
        <w:t xml:space="preserve"> փաստացի/կանխատեսումային բյուջետային եկամուտները, մլրդ դրամ</w:t>
      </w:r>
      <w:bookmarkEnd w:id="359"/>
      <w:bookmarkEnd w:id="360"/>
      <w:bookmarkEnd w:id="361"/>
      <w:bookmarkEnd w:id="362"/>
    </w:p>
    <w:tbl>
      <w:tblPr>
        <w:tblW w:w="5000" w:type="pct"/>
        <w:jc w:val="center"/>
        <w:tblBorders>
          <w:top w:val="single" w:sz="8" w:space="0" w:color="E1E1E3" w:themeColor="accent3" w:themeTint="33"/>
          <w:left w:val="single" w:sz="8" w:space="0" w:color="E1E1E3" w:themeColor="accent3" w:themeTint="33"/>
          <w:bottom w:val="single" w:sz="8" w:space="0" w:color="E1E1E3" w:themeColor="accent3" w:themeTint="33"/>
          <w:right w:val="single" w:sz="8" w:space="0" w:color="E1E1E3" w:themeColor="accent3" w:themeTint="33"/>
          <w:insideH w:val="single" w:sz="8" w:space="0" w:color="E1E1E3" w:themeColor="accent3" w:themeTint="33"/>
          <w:insideV w:val="single" w:sz="8" w:space="0" w:color="E1E1E3" w:themeColor="accent3" w:themeTint="33"/>
        </w:tblBorders>
        <w:tblLook w:val="04A0" w:firstRow="1" w:lastRow="0" w:firstColumn="1" w:lastColumn="0" w:noHBand="0" w:noVBand="1"/>
      </w:tblPr>
      <w:tblGrid>
        <w:gridCol w:w="1842"/>
        <w:gridCol w:w="1194"/>
        <w:gridCol w:w="1217"/>
        <w:gridCol w:w="1279"/>
        <w:gridCol w:w="1066"/>
        <w:gridCol w:w="1423"/>
        <w:gridCol w:w="1423"/>
        <w:gridCol w:w="941"/>
      </w:tblGrid>
      <w:tr w:rsidR="00F44F21" w:rsidRPr="0022586A" w14:paraId="6E99301E" w14:textId="77777777" w:rsidTr="005038CD">
        <w:trPr>
          <w:trHeight w:val="366"/>
          <w:jc w:val="center"/>
        </w:trPr>
        <w:tc>
          <w:tcPr>
            <w:tcW w:w="887" w:type="pct"/>
            <w:vMerge w:val="restart"/>
            <w:shd w:val="clear" w:color="auto" w:fill="D5DCE4" w:themeFill="text2" w:themeFillTint="33"/>
            <w:vAlign w:val="center"/>
            <w:hideMark/>
          </w:tcPr>
          <w:p w14:paraId="1F15548A" w14:textId="77777777" w:rsidR="00ED147C" w:rsidRPr="0018378A" w:rsidRDefault="00ED147C" w:rsidP="00ED147C">
            <w:pPr>
              <w:ind w:right="357"/>
              <w:jc w:val="both"/>
              <w:rPr>
                <w:b/>
                <w:sz w:val="16"/>
                <w:szCs w:val="18"/>
                <w:lang w:val="hy-AM"/>
              </w:rPr>
            </w:pPr>
            <w:r w:rsidRPr="0018378A">
              <w:rPr>
                <w:b/>
                <w:sz w:val="16"/>
                <w:szCs w:val="18"/>
                <w:lang w:val="hy-AM"/>
              </w:rPr>
              <w:t>Ցուցանիշներ</w:t>
            </w:r>
          </w:p>
        </w:tc>
        <w:tc>
          <w:tcPr>
            <w:tcW w:w="1777" w:type="pct"/>
            <w:gridSpan w:val="3"/>
            <w:shd w:val="clear" w:color="auto" w:fill="D5DCE4" w:themeFill="text2" w:themeFillTint="33"/>
            <w:noWrap/>
            <w:vAlign w:val="center"/>
            <w:hideMark/>
          </w:tcPr>
          <w:p w14:paraId="10590083" w14:textId="77777777" w:rsidR="00ED147C" w:rsidRPr="0018378A" w:rsidRDefault="00ED147C" w:rsidP="00F44F21">
            <w:pPr>
              <w:ind w:right="357"/>
              <w:jc w:val="center"/>
              <w:rPr>
                <w:b/>
                <w:sz w:val="16"/>
                <w:szCs w:val="16"/>
                <w:lang w:val="hy-AM"/>
              </w:rPr>
            </w:pPr>
            <w:r w:rsidRPr="0018378A">
              <w:rPr>
                <w:b/>
                <w:sz w:val="16"/>
                <w:szCs w:val="16"/>
                <w:lang w:val="hy-AM"/>
              </w:rPr>
              <w:t>Փաստ</w:t>
            </w:r>
          </w:p>
        </w:tc>
        <w:tc>
          <w:tcPr>
            <w:tcW w:w="513" w:type="pct"/>
            <w:shd w:val="clear" w:color="auto" w:fill="D5DCE4" w:themeFill="text2" w:themeFillTint="33"/>
            <w:noWrap/>
            <w:vAlign w:val="center"/>
            <w:hideMark/>
          </w:tcPr>
          <w:p w14:paraId="41756BEB" w14:textId="77777777" w:rsidR="00ED147C" w:rsidRPr="0018378A" w:rsidRDefault="00ED147C" w:rsidP="00F44F21">
            <w:pPr>
              <w:ind w:right="357"/>
              <w:jc w:val="center"/>
              <w:rPr>
                <w:b/>
                <w:sz w:val="16"/>
                <w:szCs w:val="16"/>
                <w:lang w:val="hy-AM"/>
              </w:rPr>
            </w:pPr>
            <w:r w:rsidRPr="0018378A">
              <w:rPr>
                <w:b/>
                <w:sz w:val="16"/>
                <w:szCs w:val="16"/>
                <w:lang w:val="hy-AM"/>
              </w:rPr>
              <w:t>Բյուջե</w:t>
            </w:r>
          </w:p>
        </w:tc>
        <w:tc>
          <w:tcPr>
            <w:tcW w:w="685" w:type="pct"/>
            <w:shd w:val="clear" w:color="auto" w:fill="D5DCE4" w:themeFill="text2" w:themeFillTint="33"/>
            <w:noWrap/>
            <w:vAlign w:val="center"/>
            <w:hideMark/>
          </w:tcPr>
          <w:p w14:paraId="50B9F767" w14:textId="77777777" w:rsidR="00ED147C" w:rsidRPr="0018378A" w:rsidRDefault="00ED147C" w:rsidP="00F44F21">
            <w:pPr>
              <w:ind w:right="85"/>
              <w:jc w:val="center"/>
              <w:rPr>
                <w:b/>
                <w:sz w:val="16"/>
                <w:szCs w:val="16"/>
                <w:lang w:val="hy-AM"/>
              </w:rPr>
            </w:pPr>
            <w:r w:rsidRPr="0018378A">
              <w:rPr>
                <w:b/>
                <w:sz w:val="16"/>
                <w:szCs w:val="16"/>
                <w:lang w:val="hy-AM"/>
              </w:rPr>
              <w:t>Ծրագիր</w:t>
            </w:r>
          </w:p>
        </w:tc>
        <w:tc>
          <w:tcPr>
            <w:tcW w:w="685" w:type="pct"/>
            <w:shd w:val="clear" w:color="auto" w:fill="D5DCE4" w:themeFill="text2" w:themeFillTint="33"/>
            <w:vAlign w:val="center"/>
          </w:tcPr>
          <w:p w14:paraId="09550CE1" w14:textId="77777777" w:rsidR="00ED147C" w:rsidRPr="0018378A" w:rsidRDefault="00ED147C" w:rsidP="00F44F21">
            <w:pPr>
              <w:ind w:right="143"/>
              <w:jc w:val="center"/>
              <w:rPr>
                <w:b/>
                <w:sz w:val="16"/>
                <w:szCs w:val="16"/>
                <w:lang w:val="hy-AM"/>
              </w:rPr>
            </w:pPr>
            <w:r w:rsidRPr="0018378A">
              <w:rPr>
                <w:b/>
                <w:sz w:val="16"/>
                <w:szCs w:val="16"/>
                <w:lang w:val="hy-AM"/>
              </w:rPr>
              <w:t>Ծրագիր</w:t>
            </w:r>
          </w:p>
        </w:tc>
        <w:tc>
          <w:tcPr>
            <w:tcW w:w="454" w:type="pct"/>
            <w:shd w:val="clear" w:color="auto" w:fill="D5DCE4" w:themeFill="text2" w:themeFillTint="33"/>
            <w:vAlign w:val="center"/>
          </w:tcPr>
          <w:p w14:paraId="1EDBBAC7" w14:textId="77777777" w:rsidR="00ED147C" w:rsidRPr="0018378A" w:rsidRDefault="00ED147C" w:rsidP="00F44F21">
            <w:pPr>
              <w:ind w:right="77"/>
              <w:jc w:val="center"/>
              <w:rPr>
                <w:b/>
                <w:sz w:val="16"/>
                <w:szCs w:val="16"/>
                <w:lang w:val="hy-AM"/>
              </w:rPr>
            </w:pPr>
            <w:r w:rsidRPr="0018378A">
              <w:rPr>
                <w:b/>
                <w:sz w:val="16"/>
                <w:szCs w:val="16"/>
                <w:lang w:val="hy-AM"/>
              </w:rPr>
              <w:t>Ծրագիր</w:t>
            </w:r>
          </w:p>
        </w:tc>
      </w:tr>
      <w:tr w:rsidR="0018378A" w:rsidRPr="0022586A" w14:paraId="1C52EB0B" w14:textId="77777777" w:rsidTr="005038CD">
        <w:trPr>
          <w:trHeight w:val="366"/>
          <w:jc w:val="center"/>
        </w:trPr>
        <w:tc>
          <w:tcPr>
            <w:tcW w:w="887" w:type="pct"/>
            <w:vMerge/>
            <w:shd w:val="clear" w:color="auto" w:fill="D5DCE4" w:themeFill="text2" w:themeFillTint="33"/>
            <w:vAlign w:val="center"/>
            <w:hideMark/>
          </w:tcPr>
          <w:p w14:paraId="05D7E836" w14:textId="77777777" w:rsidR="00ED147C" w:rsidRPr="0018378A" w:rsidRDefault="00ED147C" w:rsidP="00ED147C">
            <w:pPr>
              <w:ind w:right="357"/>
              <w:jc w:val="both"/>
              <w:rPr>
                <w:b/>
                <w:sz w:val="16"/>
                <w:szCs w:val="18"/>
              </w:rPr>
            </w:pPr>
          </w:p>
        </w:tc>
        <w:tc>
          <w:tcPr>
            <w:tcW w:w="575" w:type="pct"/>
            <w:shd w:val="clear" w:color="auto" w:fill="D5DCE4" w:themeFill="text2" w:themeFillTint="33"/>
            <w:noWrap/>
            <w:vAlign w:val="center"/>
            <w:hideMark/>
          </w:tcPr>
          <w:p w14:paraId="46F41617" w14:textId="77777777" w:rsidR="00ED147C" w:rsidRPr="0018378A" w:rsidRDefault="00ED147C" w:rsidP="00F44F21">
            <w:pPr>
              <w:jc w:val="center"/>
              <w:rPr>
                <w:b/>
                <w:sz w:val="16"/>
                <w:szCs w:val="16"/>
              </w:rPr>
            </w:pPr>
            <w:r w:rsidRPr="0018378A">
              <w:rPr>
                <w:rFonts w:ascii="GHEA Grapalat" w:hAnsi="GHEA Grapalat" w:cs="Calibri"/>
                <w:b/>
                <w:bCs/>
                <w:color w:val="404040"/>
                <w:sz w:val="16"/>
                <w:szCs w:val="16"/>
              </w:rPr>
              <w:t>2022</w:t>
            </w:r>
          </w:p>
        </w:tc>
        <w:tc>
          <w:tcPr>
            <w:tcW w:w="586" w:type="pct"/>
            <w:shd w:val="clear" w:color="auto" w:fill="D5DCE4" w:themeFill="text2" w:themeFillTint="33"/>
            <w:noWrap/>
            <w:vAlign w:val="center"/>
            <w:hideMark/>
          </w:tcPr>
          <w:p w14:paraId="1D004C38" w14:textId="77777777" w:rsidR="00ED147C" w:rsidRPr="00F44F21" w:rsidRDefault="00ED147C" w:rsidP="00F44F21">
            <w:pPr>
              <w:jc w:val="center"/>
              <w:rPr>
                <w:rFonts w:ascii="GHEA Grapalat" w:hAnsi="GHEA Grapalat" w:cs="Calibri"/>
                <w:b/>
                <w:bCs/>
                <w:color w:val="404040"/>
                <w:sz w:val="16"/>
                <w:szCs w:val="16"/>
              </w:rPr>
            </w:pPr>
            <w:r w:rsidRPr="0018378A">
              <w:rPr>
                <w:rFonts w:ascii="GHEA Grapalat" w:hAnsi="GHEA Grapalat" w:cs="Calibri"/>
                <w:b/>
                <w:bCs/>
                <w:color w:val="404040"/>
                <w:sz w:val="16"/>
                <w:szCs w:val="16"/>
              </w:rPr>
              <w:t>2023</w:t>
            </w:r>
          </w:p>
        </w:tc>
        <w:tc>
          <w:tcPr>
            <w:tcW w:w="615" w:type="pct"/>
            <w:shd w:val="clear" w:color="auto" w:fill="D5DCE4" w:themeFill="text2" w:themeFillTint="33"/>
            <w:noWrap/>
            <w:vAlign w:val="center"/>
            <w:hideMark/>
          </w:tcPr>
          <w:p w14:paraId="2F78CE58" w14:textId="77777777" w:rsidR="00ED147C" w:rsidRPr="00F44F21" w:rsidRDefault="00ED147C" w:rsidP="00F44F21">
            <w:pPr>
              <w:jc w:val="center"/>
              <w:rPr>
                <w:rFonts w:ascii="GHEA Grapalat" w:hAnsi="GHEA Grapalat" w:cs="Calibri"/>
                <w:b/>
                <w:bCs/>
                <w:color w:val="404040"/>
                <w:sz w:val="16"/>
                <w:szCs w:val="16"/>
              </w:rPr>
            </w:pPr>
            <w:r w:rsidRPr="0018378A">
              <w:rPr>
                <w:rFonts w:ascii="GHEA Grapalat" w:hAnsi="GHEA Grapalat" w:cs="Calibri"/>
                <w:b/>
                <w:bCs/>
                <w:color w:val="404040"/>
                <w:sz w:val="16"/>
                <w:szCs w:val="16"/>
              </w:rPr>
              <w:t>2024</w:t>
            </w:r>
          </w:p>
        </w:tc>
        <w:tc>
          <w:tcPr>
            <w:tcW w:w="513" w:type="pct"/>
            <w:shd w:val="clear" w:color="auto" w:fill="D5DCE4" w:themeFill="text2" w:themeFillTint="33"/>
            <w:noWrap/>
            <w:vAlign w:val="center"/>
            <w:hideMark/>
          </w:tcPr>
          <w:p w14:paraId="4890E32E" w14:textId="77777777" w:rsidR="00ED147C" w:rsidRPr="00F44F21" w:rsidRDefault="00ED147C" w:rsidP="00F44F21">
            <w:pPr>
              <w:jc w:val="center"/>
              <w:rPr>
                <w:rFonts w:ascii="GHEA Grapalat" w:hAnsi="GHEA Grapalat" w:cs="Calibri"/>
                <w:b/>
                <w:bCs/>
                <w:color w:val="404040"/>
                <w:sz w:val="16"/>
                <w:szCs w:val="16"/>
              </w:rPr>
            </w:pPr>
            <w:r w:rsidRPr="0018378A">
              <w:rPr>
                <w:rFonts w:ascii="GHEA Grapalat" w:hAnsi="GHEA Grapalat" w:cs="Calibri"/>
                <w:b/>
                <w:bCs/>
                <w:color w:val="404040"/>
                <w:sz w:val="16"/>
                <w:szCs w:val="16"/>
              </w:rPr>
              <w:t>2025</w:t>
            </w:r>
          </w:p>
        </w:tc>
        <w:tc>
          <w:tcPr>
            <w:tcW w:w="685" w:type="pct"/>
            <w:shd w:val="clear" w:color="auto" w:fill="D5DCE4" w:themeFill="text2" w:themeFillTint="33"/>
            <w:noWrap/>
            <w:vAlign w:val="center"/>
            <w:hideMark/>
          </w:tcPr>
          <w:p w14:paraId="7968340C" w14:textId="77777777" w:rsidR="00ED147C" w:rsidRPr="00F44F21" w:rsidRDefault="00ED147C" w:rsidP="00F44F21">
            <w:pPr>
              <w:jc w:val="center"/>
              <w:rPr>
                <w:rFonts w:ascii="GHEA Grapalat" w:hAnsi="GHEA Grapalat" w:cs="Calibri"/>
                <w:b/>
                <w:bCs/>
                <w:color w:val="404040"/>
                <w:sz w:val="16"/>
                <w:szCs w:val="16"/>
              </w:rPr>
            </w:pPr>
            <w:r w:rsidRPr="0018378A">
              <w:rPr>
                <w:rFonts w:ascii="GHEA Grapalat" w:hAnsi="GHEA Grapalat" w:cs="Calibri"/>
                <w:b/>
                <w:bCs/>
                <w:color w:val="404040"/>
                <w:sz w:val="16"/>
                <w:szCs w:val="16"/>
              </w:rPr>
              <w:t>2026</w:t>
            </w:r>
          </w:p>
        </w:tc>
        <w:tc>
          <w:tcPr>
            <w:tcW w:w="685" w:type="pct"/>
            <w:shd w:val="clear" w:color="auto" w:fill="D5DCE4" w:themeFill="text2" w:themeFillTint="33"/>
            <w:vAlign w:val="center"/>
          </w:tcPr>
          <w:p w14:paraId="2DA1B67C" w14:textId="77777777" w:rsidR="00ED147C" w:rsidRPr="0018378A" w:rsidRDefault="00ED147C" w:rsidP="00F44F21">
            <w:pPr>
              <w:tabs>
                <w:tab w:val="left" w:pos="695"/>
              </w:tabs>
              <w:jc w:val="center"/>
              <w:rPr>
                <w:rFonts w:ascii="GHEA Grapalat" w:hAnsi="GHEA Grapalat" w:cs="Calibri"/>
                <w:b/>
                <w:bCs/>
                <w:color w:val="404040"/>
                <w:sz w:val="16"/>
                <w:szCs w:val="16"/>
              </w:rPr>
            </w:pPr>
            <w:r w:rsidRPr="0018378A">
              <w:rPr>
                <w:rFonts w:ascii="GHEA Grapalat" w:hAnsi="GHEA Grapalat" w:cs="Calibri"/>
                <w:b/>
                <w:bCs/>
                <w:color w:val="404040"/>
                <w:sz w:val="16"/>
                <w:szCs w:val="16"/>
              </w:rPr>
              <w:t>2027</w:t>
            </w:r>
          </w:p>
        </w:tc>
        <w:tc>
          <w:tcPr>
            <w:tcW w:w="454" w:type="pct"/>
            <w:shd w:val="clear" w:color="auto" w:fill="D5DCE4" w:themeFill="text2" w:themeFillTint="33"/>
            <w:vAlign w:val="center"/>
          </w:tcPr>
          <w:p w14:paraId="2FE26BEB" w14:textId="77777777" w:rsidR="00ED147C" w:rsidRPr="0018378A" w:rsidRDefault="00ED147C" w:rsidP="00F44F21">
            <w:pPr>
              <w:jc w:val="center"/>
              <w:rPr>
                <w:rFonts w:ascii="GHEA Grapalat" w:hAnsi="GHEA Grapalat" w:cs="Calibri"/>
                <w:b/>
                <w:bCs/>
                <w:color w:val="404040"/>
                <w:sz w:val="16"/>
                <w:szCs w:val="16"/>
              </w:rPr>
            </w:pPr>
            <w:r w:rsidRPr="0018378A">
              <w:rPr>
                <w:rFonts w:ascii="GHEA Grapalat" w:hAnsi="GHEA Grapalat" w:cs="Calibri"/>
                <w:b/>
                <w:bCs/>
                <w:color w:val="404040"/>
                <w:sz w:val="16"/>
                <w:szCs w:val="16"/>
              </w:rPr>
              <w:t>2028</w:t>
            </w:r>
          </w:p>
        </w:tc>
      </w:tr>
      <w:tr w:rsidR="005038CD" w:rsidRPr="0022586A" w14:paraId="17D4721D" w14:textId="77777777" w:rsidTr="005038CD">
        <w:trPr>
          <w:trHeight w:val="366"/>
          <w:jc w:val="center"/>
        </w:trPr>
        <w:tc>
          <w:tcPr>
            <w:tcW w:w="887" w:type="pct"/>
            <w:shd w:val="clear" w:color="auto" w:fill="D5DCE4" w:themeFill="text2" w:themeFillTint="33"/>
            <w:vAlign w:val="center"/>
            <w:hideMark/>
          </w:tcPr>
          <w:p w14:paraId="340FC237" w14:textId="77777777" w:rsidR="005038CD" w:rsidRPr="0018378A" w:rsidRDefault="005038CD" w:rsidP="005038CD">
            <w:pPr>
              <w:ind w:right="357"/>
              <w:jc w:val="both"/>
              <w:rPr>
                <w:b/>
                <w:sz w:val="16"/>
                <w:szCs w:val="18"/>
              </w:rPr>
            </w:pPr>
            <w:r w:rsidRPr="0018378A">
              <w:rPr>
                <w:b/>
                <w:sz w:val="16"/>
                <w:szCs w:val="18"/>
              </w:rPr>
              <w:t>Պետական բյուջեի եկամուտներ</w:t>
            </w:r>
          </w:p>
        </w:tc>
        <w:tc>
          <w:tcPr>
            <w:tcW w:w="575" w:type="pct"/>
            <w:shd w:val="clear" w:color="auto" w:fill="D5DCE4" w:themeFill="text2" w:themeFillTint="33"/>
            <w:noWrap/>
            <w:vAlign w:val="center"/>
            <w:hideMark/>
          </w:tcPr>
          <w:p w14:paraId="5B9A7AD1" w14:textId="77777777" w:rsidR="005038CD" w:rsidRPr="0018378A" w:rsidRDefault="005038CD" w:rsidP="005038CD">
            <w:pPr>
              <w:ind w:right="-8"/>
              <w:jc w:val="center"/>
              <w:rPr>
                <w:b/>
                <w:sz w:val="16"/>
                <w:szCs w:val="16"/>
              </w:rPr>
            </w:pPr>
            <w:r w:rsidRPr="0018378A">
              <w:rPr>
                <w:rFonts w:ascii="GHEA Grapalat" w:hAnsi="GHEA Grapalat" w:cs="Calibri"/>
                <w:b/>
                <w:bCs/>
                <w:color w:val="404040"/>
                <w:sz w:val="16"/>
                <w:szCs w:val="16"/>
              </w:rPr>
              <w:t>2,063.1</w:t>
            </w:r>
          </w:p>
        </w:tc>
        <w:tc>
          <w:tcPr>
            <w:tcW w:w="586" w:type="pct"/>
            <w:shd w:val="clear" w:color="auto" w:fill="D5DCE4" w:themeFill="text2" w:themeFillTint="33"/>
            <w:noWrap/>
            <w:vAlign w:val="center"/>
            <w:hideMark/>
          </w:tcPr>
          <w:p w14:paraId="50667EAA" w14:textId="77777777" w:rsidR="005038CD" w:rsidRPr="0018378A" w:rsidRDefault="005038CD" w:rsidP="005038CD">
            <w:pPr>
              <w:ind w:right="-8"/>
              <w:jc w:val="center"/>
              <w:rPr>
                <w:rFonts w:ascii="GHEA Grapalat" w:hAnsi="GHEA Grapalat" w:cs="Calibri"/>
                <w:b/>
                <w:bCs/>
                <w:color w:val="404040"/>
                <w:sz w:val="16"/>
                <w:szCs w:val="16"/>
              </w:rPr>
            </w:pPr>
            <w:r w:rsidRPr="0018378A">
              <w:rPr>
                <w:rFonts w:ascii="GHEA Grapalat" w:hAnsi="GHEA Grapalat" w:cs="Calibri"/>
                <w:b/>
                <w:bCs/>
                <w:color w:val="404040"/>
                <w:sz w:val="16"/>
                <w:szCs w:val="16"/>
              </w:rPr>
              <w:t>2,410.7</w:t>
            </w:r>
          </w:p>
        </w:tc>
        <w:tc>
          <w:tcPr>
            <w:tcW w:w="615" w:type="pct"/>
            <w:shd w:val="clear" w:color="auto" w:fill="D5DCE4" w:themeFill="text2" w:themeFillTint="33"/>
            <w:noWrap/>
            <w:vAlign w:val="center"/>
            <w:hideMark/>
          </w:tcPr>
          <w:p w14:paraId="07161854" w14:textId="77777777" w:rsidR="005038CD" w:rsidRPr="00F44F21" w:rsidRDefault="005038CD" w:rsidP="005038CD">
            <w:pPr>
              <w:ind w:right="-8"/>
              <w:jc w:val="center"/>
              <w:rPr>
                <w:rFonts w:ascii="GHEA Grapalat" w:hAnsi="GHEA Grapalat" w:cs="Calibri"/>
                <w:b/>
                <w:bCs/>
                <w:color w:val="404040"/>
                <w:sz w:val="16"/>
                <w:szCs w:val="16"/>
              </w:rPr>
            </w:pPr>
            <w:r w:rsidRPr="0018378A">
              <w:rPr>
                <w:rFonts w:ascii="GHEA Grapalat" w:hAnsi="GHEA Grapalat" w:cs="Calibri"/>
                <w:b/>
                <w:bCs/>
                <w:color w:val="404040"/>
                <w:sz w:val="16"/>
                <w:szCs w:val="16"/>
              </w:rPr>
              <w:t>2,579.2</w:t>
            </w:r>
          </w:p>
        </w:tc>
        <w:tc>
          <w:tcPr>
            <w:tcW w:w="513" w:type="pct"/>
            <w:shd w:val="clear" w:color="auto" w:fill="D5DCE4" w:themeFill="text2" w:themeFillTint="33"/>
            <w:noWrap/>
            <w:vAlign w:val="center"/>
            <w:hideMark/>
          </w:tcPr>
          <w:p w14:paraId="75AFF673" w14:textId="77777777" w:rsidR="005038CD" w:rsidRPr="00F44F21" w:rsidRDefault="005038CD" w:rsidP="005038CD">
            <w:pPr>
              <w:ind w:right="-8"/>
              <w:jc w:val="center"/>
              <w:rPr>
                <w:rFonts w:ascii="GHEA Grapalat" w:hAnsi="GHEA Grapalat" w:cs="Calibri"/>
                <w:b/>
                <w:bCs/>
                <w:color w:val="404040"/>
                <w:sz w:val="16"/>
                <w:szCs w:val="16"/>
              </w:rPr>
            </w:pPr>
            <w:r w:rsidRPr="0018378A">
              <w:rPr>
                <w:rFonts w:ascii="GHEA Grapalat" w:hAnsi="GHEA Grapalat" w:cs="Calibri"/>
                <w:b/>
                <w:bCs/>
                <w:color w:val="404040"/>
                <w:sz w:val="16"/>
                <w:szCs w:val="16"/>
              </w:rPr>
              <w:t>2,837.6</w:t>
            </w:r>
          </w:p>
        </w:tc>
        <w:tc>
          <w:tcPr>
            <w:tcW w:w="685" w:type="pct"/>
            <w:shd w:val="clear" w:color="auto" w:fill="D5DCE4" w:themeFill="text2" w:themeFillTint="33"/>
            <w:noWrap/>
            <w:vAlign w:val="center"/>
            <w:hideMark/>
          </w:tcPr>
          <w:p w14:paraId="7A8E92DC" w14:textId="63D5A711" w:rsidR="005038CD" w:rsidRPr="005038CD" w:rsidRDefault="005038CD" w:rsidP="005038CD">
            <w:pPr>
              <w:ind w:right="-8"/>
              <w:jc w:val="center"/>
              <w:rPr>
                <w:rFonts w:ascii="GHEA Grapalat" w:hAnsi="GHEA Grapalat" w:cs="Calibri"/>
                <w:b/>
                <w:bCs/>
                <w:color w:val="404040"/>
                <w:sz w:val="16"/>
                <w:szCs w:val="16"/>
              </w:rPr>
            </w:pPr>
            <w:r w:rsidRPr="005038CD">
              <w:rPr>
                <w:rFonts w:ascii="GHEA Grapalat" w:hAnsi="GHEA Grapalat" w:cs="Calibri"/>
                <w:b/>
                <w:bCs/>
                <w:color w:val="404040"/>
                <w:sz w:val="16"/>
                <w:szCs w:val="16"/>
              </w:rPr>
              <w:t>3,090.9</w:t>
            </w:r>
          </w:p>
        </w:tc>
        <w:tc>
          <w:tcPr>
            <w:tcW w:w="685" w:type="pct"/>
            <w:shd w:val="clear" w:color="auto" w:fill="D5DCE4" w:themeFill="text2" w:themeFillTint="33"/>
            <w:vAlign w:val="center"/>
          </w:tcPr>
          <w:p w14:paraId="4AA4F024" w14:textId="758901EF" w:rsidR="005038CD" w:rsidRPr="005038CD" w:rsidRDefault="005038CD" w:rsidP="005038CD">
            <w:pPr>
              <w:ind w:right="-8"/>
              <w:jc w:val="center"/>
              <w:rPr>
                <w:rFonts w:ascii="GHEA Grapalat" w:hAnsi="GHEA Grapalat" w:cs="Calibri"/>
                <w:b/>
                <w:bCs/>
                <w:color w:val="404040"/>
                <w:sz w:val="16"/>
                <w:szCs w:val="16"/>
              </w:rPr>
            </w:pPr>
            <w:r w:rsidRPr="005038CD">
              <w:rPr>
                <w:rFonts w:ascii="GHEA Grapalat" w:hAnsi="GHEA Grapalat" w:cs="Calibri"/>
                <w:b/>
                <w:bCs/>
                <w:color w:val="404040"/>
                <w:sz w:val="16"/>
                <w:szCs w:val="16"/>
              </w:rPr>
              <w:t>3,352.6</w:t>
            </w:r>
          </w:p>
        </w:tc>
        <w:tc>
          <w:tcPr>
            <w:tcW w:w="454" w:type="pct"/>
            <w:shd w:val="clear" w:color="auto" w:fill="D5DCE4" w:themeFill="text2" w:themeFillTint="33"/>
            <w:vAlign w:val="center"/>
          </w:tcPr>
          <w:p w14:paraId="349D7669" w14:textId="67FEF5A3" w:rsidR="005038CD" w:rsidRPr="005038CD" w:rsidRDefault="005038CD" w:rsidP="005038CD">
            <w:pPr>
              <w:ind w:right="-8"/>
              <w:jc w:val="center"/>
              <w:rPr>
                <w:rFonts w:ascii="GHEA Grapalat" w:hAnsi="GHEA Grapalat" w:cs="Calibri"/>
                <w:b/>
                <w:bCs/>
                <w:color w:val="404040"/>
                <w:sz w:val="16"/>
                <w:szCs w:val="16"/>
              </w:rPr>
            </w:pPr>
            <w:r w:rsidRPr="005038CD">
              <w:rPr>
                <w:rFonts w:ascii="GHEA Grapalat" w:hAnsi="GHEA Grapalat" w:cs="Calibri"/>
                <w:b/>
                <w:bCs/>
                <w:color w:val="404040"/>
                <w:sz w:val="16"/>
                <w:szCs w:val="16"/>
              </w:rPr>
              <w:t>3,638.2</w:t>
            </w:r>
          </w:p>
        </w:tc>
      </w:tr>
      <w:tr w:rsidR="005038CD" w:rsidRPr="0022586A" w14:paraId="0A159ED7" w14:textId="77777777" w:rsidTr="005038CD">
        <w:trPr>
          <w:trHeight w:val="366"/>
          <w:jc w:val="center"/>
        </w:trPr>
        <w:tc>
          <w:tcPr>
            <w:tcW w:w="887" w:type="pct"/>
            <w:shd w:val="clear" w:color="auto" w:fill="auto"/>
            <w:vAlign w:val="center"/>
            <w:hideMark/>
          </w:tcPr>
          <w:p w14:paraId="4C2A7F74" w14:textId="77777777" w:rsidR="005038CD" w:rsidRPr="0018378A" w:rsidRDefault="005038CD" w:rsidP="005038CD">
            <w:pPr>
              <w:ind w:right="357"/>
              <w:jc w:val="both"/>
              <w:rPr>
                <w:sz w:val="16"/>
                <w:szCs w:val="18"/>
              </w:rPr>
            </w:pPr>
            <w:r w:rsidRPr="0018378A">
              <w:rPr>
                <w:sz w:val="16"/>
                <w:szCs w:val="18"/>
              </w:rPr>
              <w:t xml:space="preserve">ՀՆԱ-ի նկատմամբ (%) </w:t>
            </w:r>
          </w:p>
        </w:tc>
        <w:tc>
          <w:tcPr>
            <w:tcW w:w="575" w:type="pct"/>
            <w:shd w:val="clear" w:color="auto" w:fill="auto"/>
            <w:noWrap/>
            <w:vAlign w:val="center"/>
            <w:hideMark/>
          </w:tcPr>
          <w:p w14:paraId="15685278" w14:textId="77777777" w:rsidR="005038CD" w:rsidRPr="00F44F21" w:rsidRDefault="005038CD" w:rsidP="005038CD">
            <w:pPr>
              <w:ind w:right="-8"/>
              <w:jc w:val="center"/>
              <w:rPr>
                <w:rFonts w:ascii="GHEA Grapalat" w:hAnsi="GHEA Grapalat" w:cs="Calibri"/>
                <w:bCs/>
                <w:color w:val="404040"/>
                <w:sz w:val="16"/>
                <w:szCs w:val="16"/>
              </w:rPr>
            </w:pPr>
            <w:r w:rsidRPr="00F44F21">
              <w:rPr>
                <w:rFonts w:ascii="GHEA Grapalat" w:hAnsi="GHEA Grapalat" w:cs="Calibri"/>
                <w:bCs/>
                <w:color w:val="404040"/>
                <w:sz w:val="16"/>
                <w:szCs w:val="16"/>
              </w:rPr>
              <w:t>24.3%</w:t>
            </w:r>
          </w:p>
        </w:tc>
        <w:tc>
          <w:tcPr>
            <w:tcW w:w="586" w:type="pct"/>
            <w:shd w:val="clear" w:color="auto" w:fill="auto"/>
            <w:noWrap/>
            <w:vAlign w:val="center"/>
            <w:hideMark/>
          </w:tcPr>
          <w:p w14:paraId="5E308A74" w14:textId="77777777" w:rsidR="005038CD" w:rsidRPr="00F44F21" w:rsidRDefault="005038CD" w:rsidP="005038CD">
            <w:pPr>
              <w:ind w:right="-8"/>
              <w:jc w:val="center"/>
              <w:rPr>
                <w:rFonts w:ascii="GHEA Grapalat" w:hAnsi="GHEA Grapalat" w:cs="Calibri"/>
                <w:bCs/>
                <w:color w:val="404040"/>
                <w:sz w:val="16"/>
                <w:szCs w:val="16"/>
              </w:rPr>
            </w:pPr>
            <w:r w:rsidRPr="00F44F21">
              <w:rPr>
                <w:rFonts w:ascii="GHEA Grapalat" w:hAnsi="GHEA Grapalat" w:cs="Calibri"/>
                <w:bCs/>
                <w:color w:val="404040"/>
                <w:sz w:val="16"/>
                <w:szCs w:val="16"/>
              </w:rPr>
              <w:t>25.4%</w:t>
            </w:r>
          </w:p>
        </w:tc>
        <w:tc>
          <w:tcPr>
            <w:tcW w:w="615" w:type="pct"/>
            <w:shd w:val="clear" w:color="auto" w:fill="auto"/>
            <w:noWrap/>
            <w:vAlign w:val="center"/>
            <w:hideMark/>
          </w:tcPr>
          <w:p w14:paraId="073C5B36" w14:textId="77777777" w:rsidR="005038CD" w:rsidRPr="00F44F21" w:rsidRDefault="005038CD" w:rsidP="005038CD">
            <w:pPr>
              <w:ind w:right="-8"/>
              <w:jc w:val="center"/>
              <w:rPr>
                <w:rFonts w:ascii="GHEA Grapalat" w:hAnsi="GHEA Grapalat" w:cs="Calibri"/>
                <w:bCs/>
                <w:color w:val="404040"/>
                <w:sz w:val="16"/>
                <w:szCs w:val="16"/>
              </w:rPr>
            </w:pPr>
            <w:r w:rsidRPr="00F44F21">
              <w:rPr>
                <w:rFonts w:ascii="GHEA Grapalat" w:hAnsi="GHEA Grapalat" w:cs="Calibri"/>
                <w:bCs/>
                <w:color w:val="404040"/>
                <w:sz w:val="16"/>
                <w:szCs w:val="16"/>
              </w:rPr>
              <w:t>25.3%</w:t>
            </w:r>
          </w:p>
        </w:tc>
        <w:tc>
          <w:tcPr>
            <w:tcW w:w="513" w:type="pct"/>
            <w:shd w:val="clear" w:color="auto" w:fill="auto"/>
            <w:noWrap/>
            <w:vAlign w:val="center"/>
            <w:hideMark/>
          </w:tcPr>
          <w:p w14:paraId="3183DCA4" w14:textId="77777777" w:rsidR="005038CD" w:rsidRPr="00F44F21" w:rsidRDefault="005038CD" w:rsidP="005038CD">
            <w:pPr>
              <w:ind w:right="-8"/>
              <w:jc w:val="center"/>
              <w:rPr>
                <w:rFonts w:ascii="GHEA Grapalat" w:hAnsi="GHEA Grapalat" w:cs="Calibri"/>
                <w:bCs/>
                <w:color w:val="404040"/>
                <w:sz w:val="16"/>
                <w:szCs w:val="16"/>
              </w:rPr>
            </w:pPr>
            <w:r w:rsidRPr="00F44F21">
              <w:rPr>
                <w:rFonts w:ascii="GHEA Grapalat" w:hAnsi="GHEA Grapalat" w:cs="Calibri"/>
                <w:bCs/>
                <w:color w:val="404040"/>
                <w:sz w:val="16"/>
                <w:szCs w:val="16"/>
              </w:rPr>
              <w:t>26.1%</w:t>
            </w:r>
          </w:p>
        </w:tc>
        <w:tc>
          <w:tcPr>
            <w:tcW w:w="685" w:type="pct"/>
            <w:shd w:val="clear" w:color="auto" w:fill="auto"/>
            <w:noWrap/>
            <w:vAlign w:val="center"/>
            <w:hideMark/>
          </w:tcPr>
          <w:p w14:paraId="2AB457FF" w14:textId="2E2D2782" w:rsidR="005038CD" w:rsidRPr="00F44F21" w:rsidRDefault="005038CD" w:rsidP="005038CD">
            <w:pPr>
              <w:ind w:right="-8"/>
              <w:jc w:val="center"/>
              <w:rPr>
                <w:rFonts w:ascii="GHEA Grapalat" w:hAnsi="GHEA Grapalat" w:cs="Calibri"/>
                <w:bCs/>
                <w:color w:val="404040"/>
                <w:sz w:val="16"/>
                <w:szCs w:val="16"/>
              </w:rPr>
            </w:pPr>
            <w:r w:rsidRPr="005038CD">
              <w:rPr>
                <w:rFonts w:ascii="GHEA Grapalat" w:hAnsi="GHEA Grapalat" w:cs="Calibri"/>
                <w:bCs/>
                <w:color w:val="404040"/>
                <w:sz w:val="16"/>
                <w:szCs w:val="16"/>
              </w:rPr>
              <w:t>25.9%</w:t>
            </w:r>
          </w:p>
        </w:tc>
        <w:tc>
          <w:tcPr>
            <w:tcW w:w="685" w:type="pct"/>
            <w:vAlign w:val="center"/>
          </w:tcPr>
          <w:p w14:paraId="63A09200" w14:textId="709CD583" w:rsidR="005038CD" w:rsidRPr="00F44F21" w:rsidRDefault="005038CD" w:rsidP="005038CD">
            <w:pPr>
              <w:ind w:right="-8"/>
              <w:jc w:val="center"/>
              <w:rPr>
                <w:rFonts w:ascii="GHEA Grapalat" w:hAnsi="GHEA Grapalat" w:cs="Calibri"/>
                <w:bCs/>
                <w:color w:val="404040"/>
                <w:sz w:val="16"/>
                <w:szCs w:val="16"/>
              </w:rPr>
            </w:pPr>
            <w:r w:rsidRPr="005038CD">
              <w:rPr>
                <w:rFonts w:ascii="GHEA Grapalat" w:hAnsi="GHEA Grapalat" w:cs="Calibri"/>
                <w:bCs/>
                <w:color w:val="404040"/>
                <w:sz w:val="16"/>
                <w:szCs w:val="16"/>
              </w:rPr>
              <w:t>25.9%</w:t>
            </w:r>
          </w:p>
        </w:tc>
        <w:tc>
          <w:tcPr>
            <w:tcW w:w="454" w:type="pct"/>
            <w:vAlign w:val="center"/>
          </w:tcPr>
          <w:p w14:paraId="220DE4F7" w14:textId="6B47AEF9" w:rsidR="005038CD" w:rsidRPr="00F44F21" w:rsidRDefault="005038CD" w:rsidP="005038CD">
            <w:pPr>
              <w:ind w:right="-8"/>
              <w:jc w:val="center"/>
              <w:rPr>
                <w:rFonts w:ascii="GHEA Grapalat" w:hAnsi="GHEA Grapalat" w:cs="Calibri"/>
                <w:bCs/>
                <w:color w:val="404040"/>
                <w:sz w:val="16"/>
                <w:szCs w:val="16"/>
              </w:rPr>
            </w:pPr>
            <w:r w:rsidRPr="005038CD">
              <w:rPr>
                <w:rFonts w:ascii="GHEA Grapalat" w:hAnsi="GHEA Grapalat" w:cs="Calibri"/>
                <w:bCs/>
                <w:color w:val="404040"/>
                <w:sz w:val="16"/>
                <w:szCs w:val="16"/>
              </w:rPr>
              <w:t>25.9%</w:t>
            </w:r>
          </w:p>
        </w:tc>
      </w:tr>
      <w:tr w:rsidR="005038CD" w:rsidRPr="0022586A" w14:paraId="509B7901" w14:textId="77777777" w:rsidTr="005038CD">
        <w:trPr>
          <w:trHeight w:val="366"/>
          <w:jc w:val="center"/>
        </w:trPr>
        <w:tc>
          <w:tcPr>
            <w:tcW w:w="887" w:type="pct"/>
            <w:shd w:val="clear" w:color="auto" w:fill="D5DCE4" w:themeFill="text2" w:themeFillTint="33"/>
            <w:vAlign w:val="center"/>
            <w:hideMark/>
          </w:tcPr>
          <w:p w14:paraId="7A7B600A" w14:textId="77777777" w:rsidR="005038CD" w:rsidRPr="0018378A" w:rsidRDefault="005038CD" w:rsidP="005038CD">
            <w:pPr>
              <w:ind w:right="357"/>
              <w:jc w:val="both"/>
              <w:rPr>
                <w:sz w:val="16"/>
                <w:szCs w:val="18"/>
              </w:rPr>
            </w:pPr>
            <w:r w:rsidRPr="0018378A">
              <w:rPr>
                <w:sz w:val="16"/>
                <w:szCs w:val="18"/>
              </w:rPr>
              <w:t>Հարկային եկամուտներ և պետական տուրքեր</w:t>
            </w:r>
          </w:p>
        </w:tc>
        <w:tc>
          <w:tcPr>
            <w:tcW w:w="575" w:type="pct"/>
            <w:shd w:val="clear" w:color="auto" w:fill="D5DCE4" w:themeFill="text2" w:themeFillTint="33"/>
            <w:noWrap/>
            <w:vAlign w:val="center"/>
            <w:hideMark/>
          </w:tcPr>
          <w:p w14:paraId="6A2059D7" w14:textId="77777777" w:rsidR="005038CD" w:rsidRPr="00F44F21" w:rsidRDefault="005038CD" w:rsidP="005038CD">
            <w:pPr>
              <w:ind w:right="-8"/>
              <w:jc w:val="center"/>
              <w:rPr>
                <w:rFonts w:ascii="GHEA Grapalat" w:hAnsi="GHEA Grapalat" w:cs="Calibri"/>
                <w:bCs/>
                <w:color w:val="404040"/>
                <w:sz w:val="16"/>
                <w:szCs w:val="16"/>
              </w:rPr>
            </w:pPr>
            <w:r w:rsidRPr="00F44F21">
              <w:rPr>
                <w:rFonts w:ascii="GHEA Grapalat" w:hAnsi="GHEA Grapalat" w:cs="Calibri"/>
                <w:bCs/>
                <w:color w:val="404040"/>
                <w:sz w:val="16"/>
                <w:szCs w:val="16"/>
              </w:rPr>
              <w:t>1,926.0</w:t>
            </w:r>
          </w:p>
        </w:tc>
        <w:tc>
          <w:tcPr>
            <w:tcW w:w="586" w:type="pct"/>
            <w:shd w:val="clear" w:color="auto" w:fill="D5DCE4" w:themeFill="text2" w:themeFillTint="33"/>
            <w:noWrap/>
            <w:vAlign w:val="center"/>
            <w:hideMark/>
          </w:tcPr>
          <w:p w14:paraId="762370D5" w14:textId="77777777" w:rsidR="005038CD" w:rsidRPr="00F44F21" w:rsidRDefault="005038CD" w:rsidP="005038CD">
            <w:pPr>
              <w:ind w:right="-8"/>
              <w:jc w:val="center"/>
              <w:rPr>
                <w:rFonts w:ascii="GHEA Grapalat" w:hAnsi="GHEA Grapalat" w:cs="Calibri"/>
                <w:bCs/>
                <w:color w:val="404040"/>
                <w:sz w:val="16"/>
                <w:szCs w:val="16"/>
              </w:rPr>
            </w:pPr>
            <w:r w:rsidRPr="00F44F21">
              <w:rPr>
                <w:rFonts w:ascii="GHEA Grapalat" w:hAnsi="GHEA Grapalat" w:cs="Calibri"/>
                <w:bCs/>
                <w:color w:val="404040"/>
                <w:sz w:val="16"/>
                <w:szCs w:val="16"/>
              </w:rPr>
              <w:t>2,273.9</w:t>
            </w:r>
          </w:p>
        </w:tc>
        <w:tc>
          <w:tcPr>
            <w:tcW w:w="615" w:type="pct"/>
            <w:shd w:val="clear" w:color="auto" w:fill="D5DCE4" w:themeFill="text2" w:themeFillTint="33"/>
            <w:noWrap/>
            <w:vAlign w:val="center"/>
            <w:hideMark/>
          </w:tcPr>
          <w:p w14:paraId="48AC9284" w14:textId="77777777" w:rsidR="005038CD" w:rsidRPr="00F44F21" w:rsidRDefault="005038CD" w:rsidP="005038CD">
            <w:pPr>
              <w:ind w:right="-8"/>
              <w:jc w:val="center"/>
              <w:rPr>
                <w:rFonts w:ascii="GHEA Grapalat" w:hAnsi="GHEA Grapalat" w:cs="Calibri"/>
                <w:bCs/>
                <w:color w:val="404040"/>
                <w:sz w:val="16"/>
                <w:szCs w:val="16"/>
              </w:rPr>
            </w:pPr>
            <w:r w:rsidRPr="00F44F21">
              <w:rPr>
                <w:rFonts w:ascii="GHEA Grapalat" w:hAnsi="GHEA Grapalat" w:cs="Calibri"/>
                <w:bCs/>
                <w:color w:val="404040"/>
                <w:sz w:val="16"/>
                <w:szCs w:val="16"/>
              </w:rPr>
              <w:t>2,390.9</w:t>
            </w:r>
          </w:p>
        </w:tc>
        <w:tc>
          <w:tcPr>
            <w:tcW w:w="513" w:type="pct"/>
            <w:shd w:val="clear" w:color="auto" w:fill="D5DCE4" w:themeFill="text2" w:themeFillTint="33"/>
            <w:noWrap/>
            <w:vAlign w:val="center"/>
            <w:hideMark/>
          </w:tcPr>
          <w:p w14:paraId="1F7DA49A" w14:textId="77777777" w:rsidR="005038CD" w:rsidRPr="00F44F21" w:rsidRDefault="005038CD" w:rsidP="005038CD">
            <w:pPr>
              <w:ind w:right="-8"/>
              <w:jc w:val="center"/>
              <w:rPr>
                <w:rFonts w:ascii="GHEA Grapalat" w:hAnsi="GHEA Grapalat" w:cs="Calibri"/>
                <w:bCs/>
                <w:color w:val="404040"/>
                <w:sz w:val="16"/>
                <w:szCs w:val="16"/>
              </w:rPr>
            </w:pPr>
            <w:r w:rsidRPr="00F44F21">
              <w:rPr>
                <w:rFonts w:ascii="GHEA Grapalat" w:hAnsi="GHEA Grapalat" w:cs="Calibri"/>
                <w:bCs/>
                <w:color w:val="404040"/>
                <w:sz w:val="16"/>
                <w:szCs w:val="16"/>
              </w:rPr>
              <w:t>2,720.3</w:t>
            </w:r>
          </w:p>
        </w:tc>
        <w:tc>
          <w:tcPr>
            <w:tcW w:w="685" w:type="pct"/>
            <w:shd w:val="clear" w:color="auto" w:fill="D5DCE4" w:themeFill="text2" w:themeFillTint="33"/>
            <w:noWrap/>
            <w:vAlign w:val="center"/>
            <w:hideMark/>
          </w:tcPr>
          <w:p w14:paraId="322068D6" w14:textId="6BDD00CB" w:rsidR="005038CD" w:rsidRPr="00F44F21" w:rsidRDefault="005038CD" w:rsidP="005038CD">
            <w:pPr>
              <w:ind w:right="-8"/>
              <w:jc w:val="center"/>
              <w:rPr>
                <w:rFonts w:ascii="GHEA Grapalat" w:hAnsi="GHEA Grapalat" w:cs="Calibri"/>
                <w:bCs/>
                <w:color w:val="404040"/>
                <w:sz w:val="16"/>
                <w:szCs w:val="16"/>
              </w:rPr>
            </w:pPr>
            <w:r w:rsidRPr="005038CD">
              <w:rPr>
                <w:rFonts w:ascii="GHEA Grapalat" w:hAnsi="GHEA Grapalat" w:cs="Calibri"/>
                <w:bCs/>
                <w:color w:val="404040"/>
                <w:sz w:val="16"/>
                <w:szCs w:val="16"/>
              </w:rPr>
              <w:t>2,972.9</w:t>
            </w:r>
          </w:p>
        </w:tc>
        <w:tc>
          <w:tcPr>
            <w:tcW w:w="685" w:type="pct"/>
            <w:shd w:val="clear" w:color="auto" w:fill="D5DCE4" w:themeFill="text2" w:themeFillTint="33"/>
            <w:vAlign w:val="center"/>
          </w:tcPr>
          <w:p w14:paraId="206298C2" w14:textId="433ED38B" w:rsidR="005038CD" w:rsidRPr="00F44F21" w:rsidRDefault="005038CD" w:rsidP="005038CD">
            <w:pPr>
              <w:ind w:right="-8"/>
              <w:jc w:val="center"/>
              <w:rPr>
                <w:rFonts w:ascii="GHEA Grapalat" w:hAnsi="GHEA Grapalat" w:cs="Calibri"/>
                <w:bCs/>
                <w:color w:val="404040"/>
                <w:sz w:val="16"/>
                <w:szCs w:val="16"/>
              </w:rPr>
            </w:pPr>
            <w:r w:rsidRPr="005038CD">
              <w:rPr>
                <w:rFonts w:ascii="GHEA Grapalat" w:hAnsi="GHEA Grapalat" w:cs="Calibri"/>
                <w:bCs/>
                <w:color w:val="404040"/>
                <w:sz w:val="16"/>
                <w:szCs w:val="16"/>
              </w:rPr>
              <w:t>3,244.9</w:t>
            </w:r>
          </w:p>
        </w:tc>
        <w:tc>
          <w:tcPr>
            <w:tcW w:w="454" w:type="pct"/>
            <w:shd w:val="clear" w:color="auto" w:fill="D5DCE4" w:themeFill="text2" w:themeFillTint="33"/>
            <w:vAlign w:val="center"/>
          </w:tcPr>
          <w:p w14:paraId="018B1B1B" w14:textId="0F47CCCF" w:rsidR="005038CD" w:rsidRPr="00F44F21" w:rsidRDefault="005038CD" w:rsidP="005038CD">
            <w:pPr>
              <w:ind w:right="-8"/>
              <w:jc w:val="center"/>
              <w:rPr>
                <w:rFonts w:ascii="GHEA Grapalat" w:hAnsi="GHEA Grapalat" w:cs="Calibri"/>
                <w:bCs/>
                <w:color w:val="404040"/>
                <w:sz w:val="16"/>
                <w:szCs w:val="16"/>
              </w:rPr>
            </w:pPr>
            <w:r w:rsidRPr="005038CD">
              <w:rPr>
                <w:rFonts w:ascii="GHEA Grapalat" w:hAnsi="GHEA Grapalat" w:cs="Calibri"/>
                <w:bCs/>
                <w:color w:val="404040"/>
                <w:sz w:val="16"/>
                <w:szCs w:val="16"/>
              </w:rPr>
              <w:t>3,533.9</w:t>
            </w:r>
          </w:p>
        </w:tc>
      </w:tr>
      <w:tr w:rsidR="005038CD" w:rsidRPr="0022586A" w14:paraId="6FF38B3C" w14:textId="77777777" w:rsidTr="005038CD">
        <w:trPr>
          <w:trHeight w:val="366"/>
          <w:jc w:val="center"/>
        </w:trPr>
        <w:tc>
          <w:tcPr>
            <w:tcW w:w="887" w:type="pct"/>
            <w:shd w:val="clear" w:color="auto" w:fill="auto"/>
            <w:vAlign w:val="center"/>
            <w:hideMark/>
          </w:tcPr>
          <w:p w14:paraId="777DFCEB" w14:textId="77777777" w:rsidR="005038CD" w:rsidRPr="0018378A" w:rsidRDefault="005038CD" w:rsidP="005038CD">
            <w:pPr>
              <w:ind w:right="357"/>
              <w:jc w:val="both"/>
              <w:rPr>
                <w:sz w:val="16"/>
                <w:szCs w:val="18"/>
              </w:rPr>
            </w:pPr>
            <w:r w:rsidRPr="0018378A">
              <w:rPr>
                <w:sz w:val="16"/>
                <w:szCs w:val="18"/>
              </w:rPr>
              <w:t xml:space="preserve">ՀՆԱ-ի նկատմամբ (%) </w:t>
            </w:r>
          </w:p>
        </w:tc>
        <w:tc>
          <w:tcPr>
            <w:tcW w:w="575" w:type="pct"/>
            <w:shd w:val="clear" w:color="auto" w:fill="auto"/>
            <w:noWrap/>
            <w:vAlign w:val="center"/>
            <w:hideMark/>
          </w:tcPr>
          <w:p w14:paraId="375CBBB5" w14:textId="77777777" w:rsidR="005038CD" w:rsidRPr="00F44F21" w:rsidRDefault="005038CD" w:rsidP="005038CD">
            <w:pPr>
              <w:ind w:right="-8"/>
              <w:jc w:val="center"/>
              <w:rPr>
                <w:rFonts w:ascii="GHEA Grapalat" w:hAnsi="GHEA Grapalat" w:cs="Calibri"/>
                <w:bCs/>
                <w:color w:val="404040"/>
                <w:sz w:val="16"/>
                <w:szCs w:val="16"/>
              </w:rPr>
            </w:pPr>
            <w:r w:rsidRPr="00F44F21">
              <w:rPr>
                <w:rFonts w:ascii="GHEA Grapalat" w:hAnsi="GHEA Grapalat" w:cs="Calibri"/>
                <w:bCs/>
                <w:color w:val="404040"/>
                <w:sz w:val="16"/>
                <w:szCs w:val="16"/>
              </w:rPr>
              <w:t>22.7%</w:t>
            </w:r>
          </w:p>
        </w:tc>
        <w:tc>
          <w:tcPr>
            <w:tcW w:w="586" w:type="pct"/>
            <w:shd w:val="clear" w:color="auto" w:fill="auto"/>
            <w:noWrap/>
            <w:vAlign w:val="center"/>
            <w:hideMark/>
          </w:tcPr>
          <w:p w14:paraId="7B99DDCD" w14:textId="77777777" w:rsidR="005038CD" w:rsidRPr="00F44F21" w:rsidRDefault="005038CD" w:rsidP="005038CD">
            <w:pPr>
              <w:ind w:right="-8"/>
              <w:jc w:val="center"/>
              <w:rPr>
                <w:rFonts w:ascii="GHEA Grapalat" w:hAnsi="GHEA Grapalat" w:cs="Calibri"/>
                <w:bCs/>
                <w:color w:val="404040"/>
                <w:sz w:val="16"/>
                <w:szCs w:val="16"/>
              </w:rPr>
            </w:pPr>
            <w:r w:rsidRPr="00F44F21">
              <w:rPr>
                <w:rFonts w:ascii="GHEA Grapalat" w:hAnsi="GHEA Grapalat" w:cs="Calibri"/>
                <w:bCs/>
                <w:color w:val="404040"/>
                <w:sz w:val="16"/>
                <w:szCs w:val="16"/>
              </w:rPr>
              <w:t>23.9%</w:t>
            </w:r>
          </w:p>
        </w:tc>
        <w:tc>
          <w:tcPr>
            <w:tcW w:w="615" w:type="pct"/>
            <w:shd w:val="clear" w:color="auto" w:fill="auto"/>
            <w:noWrap/>
            <w:vAlign w:val="center"/>
            <w:hideMark/>
          </w:tcPr>
          <w:p w14:paraId="58DEF383" w14:textId="77777777" w:rsidR="005038CD" w:rsidRPr="00F44F21" w:rsidRDefault="005038CD" w:rsidP="005038CD">
            <w:pPr>
              <w:ind w:right="-8"/>
              <w:jc w:val="center"/>
              <w:rPr>
                <w:rFonts w:ascii="GHEA Grapalat" w:hAnsi="GHEA Grapalat" w:cs="Calibri"/>
                <w:bCs/>
                <w:color w:val="404040"/>
                <w:sz w:val="16"/>
                <w:szCs w:val="16"/>
              </w:rPr>
            </w:pPr>
            <w:r w:rsidRPr="00F44F21">
              <w:rPr>
                <w:rFonts w:ascii="GHEA Grapalat" w:hAnsi="GHEA Grapalat" w:cs="Calibri"/>
                <w:bCs/>
                <w:color w:val="404040"/>
                <w:sz w:val="16"/>
                <w:szCs w:val="16"/>
              </w:rPr>
              <w:t>23.5%</w:t>
            </w:r>
          </w:p>
        </w:tc>
        <w:tc>
          <w:tcPr>
            <w:tcW w:w="513" w:type="pct"/>
            <w:shd w:val="clear" w:color="auto" w:fill="auto"/>
            <w:noWrap/>
            <w:vAlign w:val="center"/>
            <w:hideMark/>
          </w:tcPr>
          <w:p w14:paraId="7C30D41C" w14:textId="77777777" w:rsidR="005038CD" w:rsidRPr="00F44F21" w:rsidRDefault="005038CD" w:rsidP="005038CD">
            <w:pPr>
              <w:ind w:right="-8"/>
              <w:jc w:val="center"/>
              <w:rPr>
                <w:rFonts w:ascii="GHEA Grapalat" w:hAnsi="GHEA Grapalat" w:cs="Calibri"/>
                <w:bCs/>
                <w:color w:val="404040"/>
                <w:sz w:val="16"/>
                <w:szCs w:val="16"/>
              </w:rPr>
            </w:pPr>
            <w:r w:rsidRPr="00F44F21">
              <w:rPr>
                <w:rFonts w:ascii="GHEA Grapalat" w:hAnsi="GHEA Grapalat" w:cs="Calibri"/>
                <w:bCs/>
                <w:color w:val="404040"/>
                <w:sz w:val="16"/>
                <w:szCs w:val="16"/>
              </w:rPr>
              <w:t>25.0%</w:t>
            </w:r>
          </w:p>
        </w:tc>
        <w:tc>
          <w:tcPr>
            <w:tcW w:w="685" w:type="pct"/>
            <w:shd w:val="clear" w:color="auto" w:fill="auto"/>
            <w:noWrap/>
            <w:vAlign w:val="center"/>
            <w:hideMark/>
          </w:tcPr>
          <w:p w14:paraId="7846291C" w14:textId="2C56A264" w:rsidR="005038CD" w:rsidRPr="00F44F21" w:rsidRDefault="005038CD" w:rsidP="005038CD">
            <w:pPr>
              <w:ind w:right="-8"/>
              <w:jc w:val="center"/>
              <w:rPr>
                <w:rFonts w:ascii="GHEA Grapalat" w:hAnsi="GHEA Grapalat" w:cs="Calibri"/>
                <w:bCs/>
                <w:color w:val="404040"/>
                <w:sz w:val="16"/>
                <w:szCs w:val="16"/>
              </w:rPr>
            </w:pPr>
            <w:r w:rsidRPr="005038CD">
              <w:rPr>
                <w:rFonts w:ascii="GHEA Grapalat" w:hAnsi="GHEA Grapalat" w:cs="Calibri"/>
                <w:bCs/>
                <w:color w:val="404040"/>
                <w:sz w:val="16"/>
                <w:szCs w:val="16"/>
              </w:rPr>
              <w:t>24.9%</w:t>
            </w:r>
          </w:p>
        </w:tc>
        <w:tc>
          <w:tcPr>
            <w:tcW w:w="685" w:type="pct"/>
            <w:vAlign w:val="center"/>
          </w:tcPr>
          <w:p w14:paraId="36A40997" w14:textId="38E3DB2F" w:rsidR="005038CD" w:rsidRPr="00F44F21" w:rsidRDefault="005038CD" w:rsidP="005038CD">
            <w:pPr>
              <w:ind w:right="-8"/>
              <w:jc w:val="center"/>
              <w:rPr>
                <w:rFonts w:ascii="GHEA Grapalat" w:hAnsi="GHEA Grapalat" w:cs="Calibri"/>
                <w:bCs/>
                <w:color w:val="404040"/>
                <w:sz w:val="16"/>
                <w:szCs w:val="16"/>
              </w:rPr>
            </w:pPr>
            <w:r w:rsidRPr="005038CD">
              <w:rPr>
                <w:rFonts w:ascii="GHEA Grapalat" w:hAnsi="GHEA Grapalat" w:cs="Calibri"/>
                <w:bCs/>
                <w:color w:val="404040"/>
                <w:sz w:val="16"/>
                <w:szCs w:val="16"/>
              </w:rPr>
              <w:t>25.1%</w:t>
            </w:r>
          </w:p>
        </w:tc>
        <w:tc>
          <w:tcPr>
            <w:tcW w:w="454" w:type="pct"/>
            <w:vAlign w:val="center"/>
          </w:tcPr>
          <w:p w14:paraId="4E10A76B" w14:textId="2B342813" w:rsidR="005038CD" w:rsidRPr="00F44F21" w:rsidRDefault="005038CD" w:rsidP="005038CD">
            <w:pPr>
              <w:ind w:right="-8"/>
              <w:jc w:val="center"/>
              <w:rPr>
                <w:rFonts w:ascii="GHEA Grapalat" w:hAnsi="GHEA Grapalat" w:cs="Calibri"/>
                <w:bCs/>
                <w:color w:val="404040"/>
                <w:sz w:val="16"/>
                <w:szCs w:val="16"/>
              </w:rPr>
            </w:pPr>
            <w:r w:rsidRPr="005038CD">
              <w:rPr>
                <w:rFonts w:ascii="GHEA Grapalat" w:hAnsi="GHEA Grapalat" w:cs="Calibri"/>
                <w:bCs/>
                <w:color w:val="404040"/>
                <w:sz w:val="16"/>
                <w:szCs w:val="16"/>
              </w:rPr>
              <w:t>25.2%</w:t>
            </w:r>
          </w:p>
        </w:tc>
      </w:tr>
      <w:tr w:rsidR="005038CD" w:rsidRPr="0022586A" w14:paraId="03C2203C" w14:textId="77777777" w:rsidTr="005038CD">
        <w:trPr>
          <w:trHeight w:val="366"/>
          <w:jc w:val="center"/>
        </w:trPr>
        <w:tc>
          <w:tcPr>
            <w:tcW w:w="887" w:type="pct"/>
            <w:shd w:val="clear" w:color="auto" w:fill="auto"/>
            <w:vAlign w:val="center"/>
            <w:hideMark/>
          </w:tcPr>
          <w:p w14:paraId="6D31750E" w14:textId="77777777" w:rsidR="005038CD" w:rsidRPr="0018378A" w:rsidRDefault="005038CD" w:rsidP="005038CD">
            <w:pPr>
              <w:ind w:right="357"/>
              <w:jc w:val="both"/>
              <w:rPr>
                <w:sz w:val="16"/>
                <w:szCs w:val="18"/>
              </w:rPr>
            </w:pPr>
            <w:r w:rsidRPr="0018378A">
              <w:rPr>
                <w:sz w:val="16"/>
                <w:szCs w:val="18"/>
              </w:rPr>
              <w:t>Ընդհանուրի նկատմամբ (%)</w:t>
            </w:r>
          </w:p>
        </w:tc>
        <w:tc>
          <w:tcPr>
            <w:tcW w:w="575" w:type="pct"/>
            <w:shd w:val="clear" w:color="auto" w:fill="auto"/>
            <w:noWrap/>
            <w:vAlign w:val="center"/>
            <w:hideMark/>
          </w:tcPr>
          <w:p w14:paraId="1D648875" w14:textId="77777777" w:rsidR="005038CD" w:rsidRPr="00F44F21" w:rsidRDefault="005038CD" w:rsidP="005038CD">
            <w:pPr>
              <w:ind w:right="-8"/>
              <w:jc w:val="center"/>
              <w:rPr>
                <w:rFonts w:ascii="GHEA Grapalat" w:hAnsi="GHEA Grapalat" w:cs="Calibri"/>
                <w:bCs/>
                <w:color w:val="404040"/>
                <w:sz w:val="16"/>
                <w:szCs w:val="16"/>
              </w:rPr>
            </w:pPr>
            <w:r w:rsidRPr="00F44F21">
              <w:rPr>
                <w:rFonts w:ascii="GHEA Grapalat" w:hAnsi="GHEA Grapalat" w:cs="Calibri"/>
                <w:bCs/>
                <w:color w:val="404040"/>
                <w:sz w:val="16"/>
                <w:szCs w:val="16"/>
              </w:rPr>
              <w:t>93.4%</w:t>
            </w:r>
          </w:p>
        </w:tc>
        <w:tc>
          <w:tcPr>
            <w:tcW w:w="586" w:type="pct"/>
            <w:shd w:val="clear" w:color="auto" w:fill="auto"/>
            <w:noWrap/>
            <w:vAlign w:val="center"/>
            <w:hideMark/>
          </w:tcPr>
          <w:p w14:paraId="34D3B969" w14:textId="77777777" w:rsidR="005038CD" w:rsidRPr="00F44F21" w:rsidRDefault="005038CD" w:rsidP="005038CD">
            <w:pPr>
              <w:ind w:right="-8"/>
              <w:jc w:val="center"/>
              <w:rPr>
                <w:rFonts w:ascii="GHEA Grapalat" w:hAnsi="GHEA Grapalat" w:cs="Calibri"/>
                <w:bCs/>
                <w:color w:val="404040"/>
                <w:sz w:val="16"/>
                <w:szCs w:val="16"/>
              </w:rPr>
            </w:pPr>
            <w:r w:rsidRPr="00F44F21">
              <w:rPr>
                <w:rFonts w:ascii="GHEA Grapalat" w:hAnsi="GHEA Grapalat" w:cs="Calibri"/>
                <w:bCs/>
                <w:color w:val="404040"/>
                <w:sz w:val="16"/>
                <w:szCs w:val="16"/>
              </w:rPr>
              <w:t>94.3%</w:t>
            </w:r>
          </w:p>
        </w:tc>
        <w:tc>
          <w:tcPr>
            <w:tcW w:w="615" w:type="pct"/>
            <w:shd w:val="clear" w:color="auto" w:fill="auto"/>
            <w:noWrap/>
            <w:vAlign w:val="center"/>
            <w:hideMark/>
          </w:tcPr>
          <w:p w14:paraId="397CC0DE" w14:textId="77777777" w:rsidR="005038CD" w:rsidRPr="00F44F21" w:rsidRDefault="005038CD" w:rsidP="005038CD">
            <w:pPr>
              <w:ind w:right="-8"/>
              <w:jc w:val="center"/>
              <w:rPr>
                <w:rFonts w:ascii="GHEA Grapalat" w:hAnsi="GHEA Grapalat" w:cs="Calibri"/>
                <w:bCs/>
                <w:color w:val="404040"/>
                <w:sz w:val="16"/>
                <w:szCs w:val="16"/>
              </w:rPr>
            </w:pPr>
            <w:r w:rsidRPr="00F44F21">
              <w:rPr>
                <w:rFonts w:ascii="GHEA Grapalat" w:hAnsi="GHEA Grapalat" w:cs="Calibri"/>
                <w:bCs/>
                <w:color w:val="404040"/>
                <w:sz w:val="16"/>
                <w:szCs w:val="16"/>
              </w:rPr>
              <w:t>92.7%</w:t>
            </w:r>
          </w:p>
        </w:tc>
        <w:tc>
          <w:tcPr>
            <w:tcW w:w="513" w:type="pct"/>
            <w:shd w:val="clear" w:color="auto" w:fill="auto"/>
            <w:noWrap/>
            <w:vAlign w:val="center"/>
            <w:hideMark/>
          </w:tcPr>
          <w:p w14:paraId="01FFE8AF" w14:textId="77777777" w:rsidR="005038CD" w:rsidRPr="00F44F21" w:rsidRDefault="005038CD" w:rsidP="005038CD">
            <w:pPr>
              <w:ind w:right="-8"/>
              <w:jc w:val="center"/>
              <w:rPr>
                <w:rFonts w:ascii="GHEA Grapalat" w:hAnsi="GHEA Grapalat" w:cs="Calibri"/>
                <w:bCs/>
                <w:color w:val="404040"/>
                <w:sz w:val="16"/>
                <w:szCs w:val="16"/>
              </w:rPr>
            </w:pPr>
            <w:r w:rsidRPr="00F44F21">
              <w:rPr>
                <w:rFonts w:ascii="GHEA Grapalat" w:hAnsi="GHEA Grapalat" w:cs="Calibri"/>
                <w:bCs/>
                <w:color w:val="404040"/>
                <w:sz w:val="16"/>
                <w:szCs w:val="16"/>
              </w:rPr>
              <w:t>95.9%</w:t>
            </w:r>
          </w:p>
        </w:tc>
        <w:tc>
          <w:tcPr>
            <w:tcW w:w="685" w:type="pct"/>
            <w:shd w:val="clear" w:color="auto" w:fill="auto"/>
            <w:noWrap/>
            <w:vAlign w:val="center"/>
            <w:hideMark/>
          </w:tcPr>
          <w:p w14:paraId="518E217E" w14:textId="055AAF86" w:rsidR="005038CD" w:rsidRPr="00F44F21" w:rsidRDefault="005038CD" w:rsidP="005038CD">
            <w:pPr>
              <w:ind w:right="-8"/>
              <w:jc w:val="center"/>
              <w:rPr>
                <w:rFonts w:ascii="GHEA Grapalat" w:hAnsi="GHEA Grapalat" w:cs="Calibri"/>
                <w:bCs/>
                <w:color w:val="404040"/>
                <w:sz w:val="16"/>
                <w:szCs w:val="16"/>
              </w:rPr>
            </w:pPr>
            <w:r w:rsidRPr="005038CD">
              <w:rPr>
                <w:rFonts w:ascii="GHEA Grapalat" w:hAnsi="GHEA Grapalat" w:cs="Calibri"/>
                <w:bCs/>
                <w:color w:val="404040"/>
                <w:sz w:val="16"/>
                <w:szCs w:val="16"/>
              </w:rPr>
              <w:t>96.2%</w:t>
            </w:r>
          </w:p>
        </w:tc>
        <w:tc>
          <w:tcPr>
            <w:tcW w:w="685" w:type="pct"/>
            <w:vAlign w:val="center"/>
          </w:tcPr>
          <w:p w14:paraId="54A7C726" w14:textId="0D3FB1A1" w:rsidR="005038CD" w:rsidRPr="00F44F21" w:rsidRDefault="005038CD" w:rsidP="005038CD">
            <w:pPr>
              <w:ind w:right="-8"/>
              <w:jc w:val="center"/>
              <w:rPr>
                <w:rFonts w:ascii="GHEA Grapalat" w:hAnsi="GHEA Grapalat" w:cs="Calibri"/>
                <w:bCs/>
                <w:color w:val="404040"/>
                <w:sz w:val="16"/>
                <w:szCs w:val="16"/>
              </w:rPr>
            </w:pPr>
            <w:r w:rsidRPr="005038CD">
              <w:rPr>
                <w:rFonts w:ascii="GHEA Grapalat" w:hAnsi="GHEA Grapalat" w:cs="Calibri"/>
                <w:bCs/>
                <w:color w:val="404040"/>
                <w:sz w:val="16"/>
                <w:szCs w:val="16"/>
              </w:rPr>
              <w:t>96.8%</w:t>
            </w:r>
          </w:p>
        </w:tc>
        <w:tc>
          <w:tcPr>
            <w:tcW w:w="454" w:type="pct"/>
            <w:vAlign w:val="center"/>
          </w:tcPr>
          <w:p w14:paraId="438FEE9F" w14:textId="68E73FAA" w:rsidR="005038CD" w:rsidRPr="00F44F21" w:rsidRDefault="005038CD" w:rsidP="005038CD">
            <w:pPr>
              <w:ind w:right="-8"/>
              <w:jc w:val="center"/>
              <w:rPr>
                <w:rFonts w:ascii="GHEA Grapalat" w:hAnsi="GHEA Grapalat" w:cs="Calibri"/>
                <w:bCs/>
                <w:color w:val="404040"/>
                <w:sz w:val="16"/>
                <w:szCs w:val="16"/>
              </w:rPr>
            </w:pPr>
            <w:r w:rsidRPr="005038CD">
              <w:rPr>
                <w:rFonts w:ascii="GHEA Grapalat" w:hAnsi="GHEA Grapalat" w:cs="Calibri"/>
                <w:bCs/>
                <w:color w:val="404040"/>
                <w:sz w:val="16"/>
                <w:szCs w:val="16"/>
              </w:rPr>
              <w:t>97.1%</w:t>
            </w:r>
          </w:p>
        </w:tc>
      </w:tr>
      <w:tr w:rsidR="005038CD" w:rsidRPr="0022586A" w14:paraId="0088357B" w14:textId="77777777" w:rsidTr="005038CD">
        <w:trPr>
          <w:trHeight w:val="366"/>
          <w:jc w:val="center"/>
        </w:trPr>
        <w:tc>
          <w:tcPr>
            <w:tcW w:w="887" w:type="pct"/>
            <w:shd w:val="clear" w:color="auto" w:fill="D5DCE4" w:themeFill="text2" w:themeFillTint="33"/>
            <w:vAlign w:val="center"/>
            <w:hideMark/>
          </w:tcPr>
          <w:p w14:paraId="495B4270" w14:textId="77777777" w:rsidR="005038CD" w:rsidRPr="0018378A" w:rsidRDefault="005038CD" w:rsidP="005038CD">
            <w:pPr>
              <w:ind w:right="357"/>
              <w:jc w:val="both"/>
              <w:rPr>
                <w:sz w:val="16"/>
                <w:szCs w:val="18"/>
              </w:rPr>
            </w:pPr>
            <w:r w:rsidRPr="0018378A">
              <w:rPr>
                <w:sz w:val="16"/>
                <w:szCs w:val="18"/>
              </w:rPr>
              <w:t xml:space="preserve">Այլ եկամուտներ </w:t>
            </w:r>
          </w:p>
        </w:tc>
        <w:tc>
          <w:tcPr>
            <w:tcW w:w="575" w:type="pct"/>
            <w:shd w:val="clear" w:color="auto" w:fill="D5DCE4" w:themeFill="text2" w:themeFillTint="33"/>
            <w:noWrap/>
            <w:vAlign w:val="center"/>
            <w:hideMark/>
          </w:tcPr>
          <w:p w14:paraId="4D1095B5" w14:textId="77777777" w:rsidR="005038CD" w:rsidRPr="00F44F21" w:rsidRDefault="005038CD" w:rsidP="005038CD">
            <w:pPr>
              <w:ind w:right="-8"/>
              <w:jc w:val="center"/>
              <w:rPr>
                <w:rFonts w:ascii="GHEA Grapalat" w:hAnsi="GHEA Grapalat" w:cs="Calibri"/>
                <w:bCs/>
                <w:color w:val="404040"/>
                <w:sz w:val="16"/>
                <w:szCs w:val="16"/>
              </w:rPr>
            </w:pPr>
            <w:r w:rsidRPr="00F44F21">
              <w:rPr>
                <w:rFonts w:ascii="GHEA Grapalat" w:hAnsi="GHEA Grapalat" w:cs="Calibri"/>
                <w:bCs/>
                <w:color w:val="404040"/>
                <w:sz w:val="16"/>
                <w:szCs w:val="16"/>
              </w:rPr>
              <w:t>122.1</w:t>
            </w:r>
          </w:p>
        </w:tc>
        <w:tc>
          <w:tcPr>
            <w:tcW w:w="586" w:type="pct"/>
            <w:shd w:val="clear" w:color="auto" w:fill="D5DCE4" w:themeFill="text2" w:themeFillTint="33"/>
            <w:noWrap/>
            <w:vAlign w:val="center"/>
            <w:hideMark/>
          </w:tcPr>
          <w:p w14:paraId="104C247D" w14:textId="77777777" w:rsidR="005038CD" w:rsidRPr="00F44F21" w:rsidRDefault="005038CD" w:rsidP="005038CD">
            <w:pPr>
              <w:ind w:right="-8"/>
              <w:jc w:val="center"/>
              <w:rPr>
                <w:rFonts w:ascii="GHEA Grapalat" w:hAnsi="GHEA Grapalat" w:cs="Calibri"/>
                <w:bCs/>
                <w:color w:val="404040"/>
                <w:sz w:val="16"/>
                <w:szCs w:val="16"/>
              </w:rPr>
            </w:pPr>
            <w:r w:rsidRPr="00F44F21">
              <w:rPr>
                <w:rFonts w:ascii="GHEA Grapalat" w:hAnsi="GHEA Grapalat" w:cs="Calibri"/>
                <w:bCs/>
                <w:color w:val="404040"/>
                <w:sz w:val="16"/>
                <w:szCs w:val="16"/>
              </w:rPr>
              <w:t>123.7</w:t>
            </w:r>
          </w:p>
        </w:tc>
        <w:tc>
          <w:tcPr>
            <w:tcW w:w="615" w:type="pct"/>
            <w:shd w:val="clear" w:color="auto" w:fill="D5DCE4" w:themeFill="text2" w:themeFillTint="33"/>
            <w:noWrap/>
            <w:vAlign w:val="center"/>
            <w:hideMark/>
          </w:tcPr>
          <w:p w14:paraId="542079D2" w14:textId="77777777" w:rsidR="005038CD" w:rsidRPr="00F44F21" w:rsidRDefault="005038CD" w:rsidP="005038CD">
            <w:pPr>
              <w:ind w:right="-8"/>
              <w:jc w:val="center"/>
              <w:rPr>
                <w:rFonts w:ascii="GHEA Grapalat" w:hAnsi="GHEA Grapalat" w:cs="Calibri"/>
                <w:bCs/>
                <w:color w:val="404040"/>
                <w:sz w:val="16"/>
                <w:szCs w:val="16"/>
              </w:rPr>
            </w:pPr>
            <w:r w:rsidRPr="00F44F21">
              <w:rPr>
                <w:rFonts w:ascii="GHEA Grapalat" w:hAnsi="GHEA Grapalat" w:cs="Calibri"/>
                <w:bCs/>
                <w:color w:val="404040"/>
                <w:sz w:val="16"/>
                <w:szCs w:val="16"/>
              </w:rPr>
              <w:t>161.6</w:t>
            </w:r>
          </w:p>
        </w:tc>
        <w:tc>
          <w:tcPr>
            <w:tcW w:w="513" w:type="pct"/>
            <w:shd w:val="clear" w:color="auto" w:fill="D5DCE4" w:themeFill="text2" w:themeFillTint="33"/>
            <w:noWrap/>
            <w:vAlign w:val="center"/>
            <w:hideMark/>
          </w:tcPr>
          <w:p w14:paraId="7CEE3FC8" w14:textId="77777777" w:rsidR="005038CD" w:rsidRPr="00F44F21" w:rsidRDefault="005038CD" w:rsidP="005038CD">
            <w:pPr>
              <w:ind w:right="-8"/>
              <w:jc w:val="center"/>
              <w:rPr>
                <w:rFonts w:ascii="GHEA Grapalat" w:hAnsi="GHEA Grapalat" w:cs="Calibri"/>
                <w:bCs/>
                <w:color w:val="404040"/>
                <w:sz w:val="16"/>
                <w:szCs w:val="16"/>
              </w:rPr>
            </w:pPr>
            <w:r w:rsidRPr="00F44F21">
              <w:rPr>
                <w:rFonts w:ascii="GHEA Grapalat" w:hAnsi="GHEA Grapalat" w:cs="Calibri"/>
                <w:bCs/>
                <w:color w:val="404040"/>
                <w:sz w:val="16"/>
                <w:szCs w:val="16"/>
              </w:rPr>
              <w:t>96.6</w:t>
            </w:r>
          </w:p>
        </w:tc>
        <w:tc>
          <w:tcPr>
            <w:tcW w:w="685" w:type="pct"/>
            <w:shd w:val="clear" w:color="auto" w:fill="D5DCE4" w:themeFill="text2" w:themeFillTint="33"/>
            <w:noWrap/>
            <w:vAlign w:val="center"/>
            <w:hideMark/>
          </w:tcPr>
          <w:p w14:paraId="5B11DB55" w14:textId="42864575" w:rsidR="005038CD" w:rsidRPr="00F44F21" w:rsidRDefault="005038CD" w:rsidP="005038CD">
            <w:pPr>
              <w:ind w:right="-8"/>
              <w:jc w:val="center"/>
              <w:rPr>
                <w:rFonts w:ascii="GHEA Grapalat" w:hAnsi="GHEA Grapalat" w:cs="Calibri"/>
                <w:bCs/>
                <w:color w:val="404040"/>
                <w:sz w:val="16"/>
                <w:szCs w:val="16"/>
              </w:rPr>
            </w:pPr>
            <w:r w:rsidRPr="005038CD">
              <w:rPr>
                <w:rFonts w:ascii="GHEA Grapalat" w:hAnsi="GHEA Grapalat" w:cs="Calibri"/>
                <w:bCs/>
                <w:color w:val="404040"/>
                <w:sz w:val="16"/>
                <w:szCs w:val="16"/>
              </w:rPr>
              <w:t>98.3</w:t>
            </w:r>
          </w:p>
        </w:tc>
        <w:tc>
          <w:tcPr>
            <w:tcW w:w="685" w:type="pct"/>
            <w:shd w:val="clear" w:color="auto" w:fill="D5DCE4" w:themeFill="text2" w:themeFillTint="33"/>
            <w:vAlign w:val="center"/>
          </w:tcPr>
          <w:p w14:paraId="5718397F" w14:textId="505479E6" w:rsidR="005038CD" w:rsidRPr="00F44F21" w:rsidRDefault="005038CD" w:rsidP="005038CD">
            <w:pPr>
              <w:ind w:right="-8"/>
              <w:jc w:val="center"/>
              <w:rPr>
                <w:rFonts w:ascii="GHEA Grapalat" w:hAnsi="GHEA Grapalat" w:cs="Calibri"/>
                <w:bCs/>
                <w:color w:val="404040"/>
                <w:sz w:val="16"/>
                <w:szCs w:val="16"/>
              </w:rPr>
            </w:pPr>
            <w:r w:rsidRPr="005038CD">
              <w:rPr>
                <w:rFonts w:ascii="GHEA Grapalat" w:hAnsi="GHEA Grapalat" w:cs="Calibri"/>
                <w:bCs/>
                <w:color w:val="404040"/>
                <w:sz w:val="16"/>
                <w:szCs w:val="16"/>
              </w:rPr>
              <w:t>100.4</w:t>
            </w:r>
          </w:p>
        </w:tc>
        <w:tc>
          <w:tcPr>
            <w:tcW w:w="454" w:type="pct"/>
            <w:shd w:val="clear" w:color="auto" w:fill="D5DCE4" w:themeFill="text2" w:themeFillTint="33"/>
            <w:vAlign w:val="center"/>
          </w:tcPr>
          <w:p w14:paraId="5762B35F" w14:textId="367EF36F" w:rsidR="005038CD" w:rsidRPr="00F44F21" w:rsidRDefault="005038CD" w:rsidP="005038CD">
            <w:pPr>
              <w:ind w:right="-8"/>
              <w:jc w:val="center"/>
              <w:rPr>
                <w:rFonts w:ascii="GHEA Grapalat" w:hAnsi="GHEA Grapalat" w:cs="Calibri"/>
                <w:bCs/>
                <w:color w:val="404040"/>
                <w:sz w:val="16"/>
                <w:szCs w:val="16"/>
              </w:rPr>
            </w:pPr>
            <w:r w:rsidRPr="005038CD">
              <w:rPr>
                <w:rFonts w:ascii="GHEA Grapalat" w:hAnsi="GHEA Grapalat" w:cs="Calibri"/>
                <w:bCs/>
                <w:color w:val="404040"/>
                <w:sz w:val="16"/>
                <w:szCs w:val="16"/>
              </w:rPr>
              <w:t>100.6</w:t>
            </w:r>
          </w:p>
        </w:tc>
      </w:tr>
      <w:tr w:rsidR="005038CD" w:rsidRPr="0022586A" w14:paraId="57D4758B" w14:textId="77777777" w:rsidTr="005038CD">
        <w:trPr>
          <w:trHeight w:val="366"/>
          <w:jc w:val="center"/>
        </w:trPr>
        <w:tc>
          <w:tcPr>
            <w:tcW w:w="887" w:type="pct"/>
            <w:shd w:val="clear" w:color="auto" w:fill="auto"/>
            <w:vAlign w:val="center"/>
            <w:hideMark/>
          </w:tcPr>
          <w:p w14:paraId="04786DBA" w14:textId="77777777" w:rsidR="005038CD" w:rsidRPr="0018378A" w:rsidRDefault="005038CD" w:rsidP="005038CD">
            <w:pPr>
              <w:ind w:right="357"/>
              <w:jc w:val="both"/>
              <w:rPr>
                <w:sz w:val="16"/>
                <w:szCs w:val="18"/>
              </w:rPr>
            </w:pPr>
            <w:r w:rsidRPr="0018378A">
              <w:rPr>
                <w:sz w:val="16"/>
                <w:szCs w:val="18"/>
              </w:rPr>
              <w:t xml:space="preserve">ՀՆԱ-ի նկատմամբ (%) </w:t>
            </w:r>
          </w:p>
        </w:tc>
        <w:tc>
          <w:tcPr>
            <w:tcW w:w="575" w:type="pct"/>
            <w:shd w:val="clear" w:color="auto" w:fill="auto"/>
            <w:noWrap/>
            <w:vAlign w:val="center"/>
            <w:hideMark/>
          </w:tcPr>
          <w:p w14:paraId="1B163B56" w14:textId="77777777" w:rsidR="005038CD" w:rsidRPr="00F44F21" w:rsidRDefault="005038CD" w:rsidP="005038CD">
            <w:pPr>
              <w:ind w:right="-8"/>
              <w:jc w:val="center"/>
              <w:rPr>
                <w:rFonts w:ascii="GHEA Grapalat" w:hAnsi="GHEA Grapalat" w:cs="Calibri"/>
                <w:bCs/>
                <w:color w:val="404040"/>
                <w:sz w:val="16"/>
                <w:szCs w:val="16"/>
              </w:rPr>
            </w:pPr>
            <w:r w:rsidRPr="00F44F21">
              <w:rPr>
                <w:rFonts w:ascii="GHEA Grapalat" w:hAnsi="GHEA Grapalat" w:cs="Calibri"/>
                <w:bCs/>
                <w:color w:val="404040"/>
                <w:sz w:val="16"/>
                <w:szCs w:val="16"/>
              </w:rPr>
              <w:t>1.4%</w:t>
            </w:r>
          </w:p>
        </w:tc>
        <w:tc>
          <w:tcPr>
            <w:tcW w:w="586" w:type="pct"/>
            <w:shd w:val="clear" w:color="auto" w:fill="auto"/>
            <w:noWrap/>
            <w:vAlign w:val="center"/>
            <w:hideMark/>
          </w:tcPr>
          <w:p w14:paraId="3EEF0B25" w14:textId="77777777" w:rsidR="005038CD" w:rsidRPr="00F44F21" w:rsidRDefault="005038CD" w:rsidP="005038CD">
            <w:pPr>
              <w:ind w:right="-8"/>
              <w:jc w:val="center"/>
              <w:rPr>
                <w:rFonts w:ascii="GHEA Grapalat" w:hAnsi="GHEA Grapalat" w:cs="Calibri"/>
                <w:bCs/>
                <w:color w:val="404040"/>
                <w:sz w:val="16"/>
                <w:szCs w:val="16"/>
              </w:rPr>
            </w:pPr>
            <w:r w:rsidRPr="00F44F21">
              <w:rPr>
                <w:rFonts w:ascii="GHEA Grapalat" w:hAnsi="GHEA Grapalat" w:cs="Calibri"/>
                <w:bCs/>
                <w:color w:val="404040"/>
                <w:sz w:val="16"/>
                <w:szCs w:val="16"/>
              </w:rPr>
              <w:t>1.3%</w:t>
            </w:r>
          </w:p>
        </w:tc>
        <w:tc>
          <w:tcPr>
            <w:tcW w:w="615" w:type="pct"/>
            <w:shd w:val="clear" w:color="auto" w:fill="auto"/>
            <w:noWrap/>
            <w:vAlign w:val="center"/>
            <w:hideMark/>
          </w:tcPr>
          <w:p w14:paraId="738B6E21" w14:textId="77777777" w:rsidR="005038CD" w:rsidRPr="00F44F21" w:rsidRDefault="005038CD" w:rsidP="005038CD">
            <w:pPr>
              <w:ind w:right="-8"/>
              <w:jc w:val="center"/>
              <w:rPr>
                <w:rFonts w:ascii="GHEA Grapalat" w:hAnsi="GHEA Grapalat" w:cs="Calibri"/>
                <w:bCs/>
                <w:color w:val="404040"/>
                <w:sz w:val="16"/>
                <w:szCs w:val="16"/>
              </w:rPr>
            </w:pPr>
            <w:r w:rsidRPr="00F44F21">
              <w:rPr>
                <w:rFonts w:ascii="GHEA Grapalat" w:hAnsi="GHEA Grapalat" w:cs="Calibri"/>
                <w:bCs/>
                <w:color w:val="404040"/>
                <w:sz w:val="16"/>
                <w:szCs w:val="16"/>
              </w:rPr>
              <w:t>1.6%</w:t>
            </w:r>
          </w:p>
        </w:tc>
        <w:tc>
          <w:tcPr>
            <w:tcW w:w="513" w:type="pct"/>
            <w:shd w:val="clear" w:color="auto" w:fill="auto"/>
            <w:noWrap/>
            <w:vAlign w:val="center"/>
            <w:hideMark/>
          </w:tcPr>
          <w:p w14:paraId="470CEEDC" w14:textId="77777777" w:rsidR="005038CD" w:rsidRPr="00F44F21" w:rsidRDefault="005038CD" w:rsidP="005038CD">
            <w:pPr>
              <w:ind w:right="-8"/>
              <w:jc w:val="center"/>
              <w:rPr>
                <w:rFonts w:ascii="GHEA Grapalat" w:hAnsi="GHEA Grapalat" w:cs="Calibri"/>
                <w:bCs/>
                <w:color w:val="404040"/>
                <w:sz w:val="16"/>
                <w:szCs w:val="16"/>
              </w:rPr>
            </w:pPr>
            <w:r w:rsidRPr="00F44F21">
              <w:rPr>
                <w:rFonts w:ascii="GHEA Grapalat" w:hAnsi="GHEA Grapalat" w:cs="Calibri"/>
                <w:bCs/>
                <w:color w:val="404040"/>
                <w:sz w:val="16"/>
                <w:szCs w:val="16"/>
              </w:rPr>
              <w:t>0.9%</w:t>
            </w:r>
          </w:p>
        </w:tc>
        <w:tc>
          <w:tcPr>
            <w:tcW w:w="685" w:type="pct"/>
            <w:shd w:val="clear" w:color="auto" w:fill="auto"/>
            <w:noWrap/>
            <w:vAlign w:val="center"/>
            <w:hideMark/>
          </w:tcPr>
          <w:p w14:paraId="563445F6" w14:textId="263C28CF" w:rsidR="005038CD" w:rsidRPr="00F44F21" w:rsidRDefault="005038CD" w:rsidP="005038CD">
            <w:pPr>
              <w:ind w:right="-8"/>
              <w:jc w:val="center"/>
              <w:rPr>
                <w:rFonts w:ascii="GHEA Grapalat" w:hAnsi="GHEA Grapalat" w:cs="Calibri"/>
                <w:bCs/>
                <w:color w:val="404040"/>
                <w:sz w:val="16"/>
                <w:szCs w:val="16"/>
              </w:rPr>
            </w:pPr>
            <w:r w:rsidRPr="005038CD">
              <w:rPr>
                <w:rFonts w:ascii="GHEA Grapalat" w:hAnsi="GHEA Grapalat" w:cs="Calibri"/>
                <w:bCs/>
                <w:color w:val="404040"/>
                <w:sz w:val="16"/>
                <w:szCs w:val="16"/>
              </w:rPr>
              <w:t>0.8%</w:t>
            </w:r>
          </w:p>
        </w:tc>
        <w:tc>
          <w:tcPr>
            <w:tcW w:w="685" w:type="pct"/>
            <w:vAlign w:val="center"/>
          </w:tcPr>
          <w:p w14:paraId="2E6CD89E" w14:textId="426BCCDC" w:rsidR="005038CD" w:rsidRPr="00F44F21" w:rsidRDefault="005038CD" w:rsidP="005038CD">
            <w:pPr>
              <w:ind w:right="-8"/>
              <w:jc w:val="center"/>
              <w:rPr>
                <w:rFonts w:ascii="GHEA Grapalat" w:hAnsi="GHEA Grapalat" w:cs="Calibri"/>
                <w:bCs/>
                <w:color w:val="404040"/>
                <w:sz w:val="16"/>
                <w:szCs w:val="16"/>
              </w:rPr>
            </w:pPr>
            <w:r w:rsidRPr="005038CD">
              <w:rPr>
                <w:rFonts w:ascii="GHEA Grapalat" w:hAnsi="GHEA Grapalat" w:cs="Calibri"/>
                <w:bCs/>
                <w:color w:val="404040"/>
                <w:sz w:val="16"/>
                <w:szCs w:val="16"/>
              </w:rPr>
              <w:t>0.8%</w:t>
            </w:r>
          </w:p>
        </w:tc>
        <w:tc>
          <w:tcPr>
            <w:tcW w:w="454" w:type="pct"/>
            <w:vAlign w:val="center"/>
          </w:tcPr>
          <w:p w14:paraId="20BEEE9B" w14:textId="3698B495" w:rsidR="005038CD" w:rsidRPr="00F44F21" w:rsidRDefault="005038CD" w:rsidP="005038CD">
            <w:pPr>
              <w:ind w:right="-8"/>
              <w:jc w:val="center"/>
              <w:rPr>
                <w:rFonts w:ascii="GHEA Grapalat" w:hAnsi="GHEA Grapalat" w:cs="Calibri"/>
                <w:bCs/>
                <w:color w:val="404040"/>
                <w:sz w:val="16"/>
                <w:szCs w:val="16"/>
              </w:rPr>
            </w:pPr>
            <w:r w:rsidRPr="005038CD">
              <w:rPr>
                <w:rFonts w:ascii="GHEA Grapalat" w:hAnsi="GHEA Grapalat" w:cs="Calibri"/>
                <w:bCs/>
                <w:color w:val="404040"/>
                <w:sz w:val="16"/>
                <w:szCs w:val="16"/>
              </w:rPr>
              <w:t>0.7%</w:t>
            </w:r>
          </w:p>
        </w:tc>
      </w:tr>
      <w:tr w:rsidR="005038CD" w:rsidRPr="0022586A" w14:paraId="3FF1B27E" w14:textId="77777777" w:rsidTr="005038CD">
        <w:trPr>
          <w:trHeight w:val="366"/>
          <w:jc w:val="center"/>
        </w:trPr>
        <w:tc>
          <w:tcPr>
            <w:tcW w:w="887" w:type="pct"/>
            <w:shd w:val="clear" w:color="auto" w:fill="auto"/>
            <w:vAlign w:val="center"/>
            <w:hideMark/>
          </w:tcPr>
          <w:p w14:paraId="0CAE290B" w14:textId="77777777" w:rsidR="005038CD" w:rsidRPr="0018378A" w:rsidRDefault="005038CD" w:rsidP="005038CD">
            <w:pPr>
              <w:ind w:right="357"/>
              <w:jc w:val="both"/>
              <w:rPr>
                <w:sz w:val="16"/>
                <w:szCs w:val="18"/>
              </w:rPr>
            </w:pPr>
            <w:r w:rsidRPr="0018378A">
              <w:rPr>
                <w:sz w:val="16"/>
                <w:szCs w:val="18"/>
              </w:rPr>
              <w:t>Ընդհանուրի նկատմամբ (%)</w:t>
            </w:r>
          </w:p>
        </w:tc>
        <w:tc>
          <w:tcPr>
            <w:tcW w:w="575" w:type="pct"/>
            <w:shd w:val="clear" w:color="auto" w:fill="auto"/>
            <w:noWrap/>
            <w:vAlign w:val="center"/>
            <w:hideMark/>
          </w:tcPr>
          <w:p w14:paraId="106952C8" w14:textId="77777777" w:rsidR="005038CD" w:rsidRPr="00F44F21" w:rsidRDefault="005038CD" w:rsidP="005038CD">
            <w:pPr>
              <w:ind w:right="-8"/>
              <w:jc w:val="center"/>
              <w:rPr>
                <w:rFonts w:ascii="GHEA Grapalat" w:hAnsi="GHEA Grapalat" w:cs="Calibri"/>
                <w:bCs/>
                <w:color w:val="404040"/>
                <w:sz w:val="16"/>
                <w:szCs w:val="16"/>
              </w:rPr>
            </w:pPr>
            <w:r w:rsidRPr="00F44F21">
              <w:rPr>
                <w:rFonts w:ascii="GHEA Grapalat" w:hAnsi="GHEA Grapalat" w:cs="Calibri"/>
                <w:bCs/>
                <w:color w:val="404040"/>
                <w:sz w:val="16"/>
                <w:szCs w:val="16"/>
              </w:rPr>
              <w:t>5.9%</w:t>
            </w:r>
          </w:p>
        </w:tc>
        <w:tc>
          <w:tcPr>
            <w:tcW w:w="586" w:type="pct"/>
            <w:shd w:val="clear" w:color="auto" w:fill="auto"/>
            <w:noWrap/>
            <w:vAlign w:val="center"/>
            <w:hideMark/>
          </w:tcPr>
          <w:p w14:paraId="33997695" w14:textId="77777777" w:rsidR="005038CD" w:rsidRPr="00F44F21" w:rsidRDefault="005038CD" w:rsidP="005038CD">
            <w:pPr>
              <w:ind w:right="-8"/>
              <w:jc w:val="center"/>
              <w:rPr>
                <w:rFonts w:ascii="GHEA Grapalat" w:hAnsi="GHEA Grapalat" w:cs="Calibri"/>
                <w:bCs/>
                <w:color w:val="404040"/>
                <w:sz w:val="16"/>
                <w:szCs w:val="16"/>
              </w:rPr>
            </w:pPr>
            <w:r w:rsidRPr="00F44F21">
              <w:rPr>
                <w:rFonts w:ascii="GHEA Grapalat" w:hAnsi="GHEA Grapalat" w:cs="Calibri"/>
                <w:bCs/>
                <w:color w:val="404040"/>
                <w:sz w:val="16"/>
                <w:szCs w:val="16"/>
              </w:rPr>
              <w:t>5.1%</w:t>
            </w:r>
          </w:p>
        </w:tc>
        <w:tc>
          <w:tcPr>
            <w:tcW w:w="615" w:type="pct"/>
            <w:shd w:val="clear" w:color="auto" w:fill="auto"/>
            <w:noWrap/>
            <w:vAlign w:val="center"/>
            <w:hideMark/>
          </w:tcPr>
          <w:p w14:paraId="21670740" w14:textId="77777777" w:rsidR="005038CD" w:rsidRPr="00F44F21" w:rsidRDefault="005038CD" w:rsidP="005038CD">
            <w:pPr>
              <w:ind w:right="-8"/>
              <w:jc w:val="center"/>
              <w:rPr>
                <w:rFonts w:ascii="GHEA Grapalat" w:hAnsi="GHEA Grapalat" w:cs="Calibri"/>
                <w:bCs/>
                <w:color w:val="404040"/>
                <w:sz w:val="16"/>
                <w:szCs w:val="16"/>
              </w:rPr>
            </w:pPr>
            <w:r w:rsidRPr="00F44F21">
              <w:rPr>
                <w:rFonts w:ascii="GHEA Grapalat" w:hAnsi="GHEA Grapalat" w:cs="Calibri"/>
                <w:bCs/>
                <w:color w:val="404040"/>
                <w:sz w:val="16"/>
                <w:szCs w:val="16"/>
              </w:rPr>
              <w:t>6.3%</w:t>
            </w:r>
          </w:p>
        </w:tc>
        <w:tc>
          <w:tcPr>
            <w:tcW w:w="513" w:type="pct"/>
            <w:shd w:val="clear" w:color="auto" w:fill="auto"/>
            <w:noWrap/>
            <w:vAlign w:val="center"/>
            <w:hideMark/>
          </w:tcPr>
          <w:p w14:paraId="088DE2EB" w14:textId="77777777" w:rsidR="005038CD" w:rsidRPr="00F44F21" w:rsidRDefault="005038CD" w:rsidP="005038CD">
            <w:pPr>
              <w:ind w:right="-8"/>
              <w:jc w:val="center"/>
              <w:rPr>
                <w:rFonts w:ascii="GHEA Grapalat" w:hAnsi="GHEA Grapalat" w:cs="Calibri"/>
                <w:bCs/>
                <w:color w:val="404040"/>
                <w:sz w:val="16"/>
                <w:szCs w:val="16"/>
              </w:rPr>
            </w:pPr>
            <w:r w:rsidRPr="00F44F21">
              <w:rPr>
                <w:rFonts w:ascii="GHEA Grapalat" w:hAnsi="GHEA Grapalat" w:cs="Calibri"/>
                <w:bCs/>
                <w:color w:val="404040"/>
                <w:sz w:val="16"/>
                <w:szCs w:val="16"/>
              </w:rPr>
              <w:t>3.4%</w:t>
            </w:r>
          </w:p>
        </w:tc>
        <w:tc>
          <w:tcPr>
            <w:tcW w:w="685" w:type="pct"/>
            <w:shd w:val="clear" w:color="auto" w:fill="auto"/>
            <w:noWrap/>
            <w:vAlign w:val="center"/>
            <w:hideMark/>
          </w:tcPr>
          <w:p w14:paraId="4646FB7B" w14:textId="1767DDA5" w:rsidR="005038CD" w:rsidRPr="00F44F21" w:rsidRDefault="005038CD" w:rsidP="005038CD">
            <w:pPr>
              <w:ind w:right="-8"/>
              <w:jc w:val="center"/>
              <w:rPr>
                <w:rFonts w:ascii="GHEA Grapalat" w:hAnsi="GHEA Grapalat" w:cs="Calibri"/>
                <w:bCs/>
                <w:color w:val="404040"/>
                <w:sz w:val="16"/>
                <w:szCs w:val="16"/>
              </w:rPr>
            </w:pPr>
            <w:r w:rsidRPr="005038CD">
              <w:rPr>
                <w:rFonts w:ascii="GHEA Grapalat" w:hAnsi="GHEA Grapalat" w:cs="Calibri"/>
                <w:bCs/>
                <w:color w:val="404040"/>
                <w:sz w:val="16"/>
                <w:szCs w:val="16"/>
              </w:rPr>
              <w:t>3.2%</w:t>
            </w:r>
          </w:p>
        </w:tc>
        <w:tc>
          <w:tcPr>
            <w:tcW w:w="685" w:type="pct"/>
            <w:vAlign w:val="center"/>
          </w:tcPr>
          <w:p w14:paraId="2C2A7AAC" w14:textId="7BE8C6E1" w:rsidR="005038CD" w:rsidRPr="00F44F21" w:rsidRDefault="005038CD" w:rsidP="005038CD">
            <w:pPr>
              <w:ind w:right="-8"/>
              <w:jc w:val="center"/>
              <w:rPr>
                <w:rFonts w:ascii="GHEA Grapalat" w:hAnsi="GHEA Grapalat" w:cs="Calibri"/>
                <w:bCs/>
                <w:color w:val="404040"/>
                <w:sz w:val="16"/>
                <w:szCs w:val="16"/>
              </w:rPr>
            </w:pPr>
            <w:r w:rsidRPr="005038CD">
              <w:rPr>
                <w:rFonts w:ascii="GHEA Grapalat" w:hAnsi="GHEA Grapalat" w:cs="Calibri"/>
                <w:bCs/>
                <w:color w:val="404040"/>
                <w:sz w:val="16"/>
                <w:szCs w:val="16"/>
              </w:rPr>
              <w:t>3.0%</w:t>
            </w:r>
          </w:p>
        </w:tc>
        <w:tc>
          <w:tcPr>
            <w:tcW w:w="454" w:type="pct"/>
            <w:vAlign w:val="center"/>
          </w:tcPr>
          <w:p w14:paraId="74B0DBEB" w14:textId="46C3B1A1" w:rsidR="005038CD" w:rsidRPr="00F44F21" w:rsidRDefault="005038CD" w:rsidP="005038CD">
            <w:pPr>
              <w:ind w:right="-8"/>
              <w:jc w:val="center"/>
              <w:rPr>
                <w:rFonts w:ascii="GHEA Grapalat" w:hAnsi="GHEA Grapalat" w:cs="Calibri"/>
                <w:bCs/>
                <w:color w:val="404040"/>
                <w:sz w:val="16"/>
                <w:szCs w:val="16"/>
              </w:rPr>
            </w:pPr>
            <w:r w:rsidRPr="005038CD">
              <w:rPr>
                <w:rFonts w:ascii="GHEA Grapalat" w:hAnsi="GHEA Grapalat" w:cs="Calibri"/>
                <w:bCs/>
                <w:color w:val="404040"/>
                <w:sz w:val="16"/>
                <w:szCs w:val="16"/>
              </w:rPr>
              <w:t>2.8%</w:t>
            </w:r>
          </w:p>
        </w:tc>
      </w:tr>
      <w:tr w:rsidR="005038CD" w:rsidRPr="0022586A" w14:paraId="296B972B" w14:textId="77777777" w:rsidTr="005038CD">
        <w:trPr>
          <w:trHeight w:val="366"/>
          <w:jc w:val="center"/>
        </w:trPr>
        <w:tc>
          <w:tcPr>
            <w:tcW w:w="887" w:type="pct"/>
            <w:shd w:val="clear" w:color="auto" w:fill="D5DCE4" w:themeFill="text2" w:themeFillTint="33"/>
            <w:vAlign w:val="center"/>
            <w:hideMark/>
          </w:tcPr>
          <w:p w14:paraId="365969CF" w14:textId="77777777" w:rsidR="005038CD" w:rsidRPr="0018378A" w:rsidRDefault="005038CD" w:rsidP="005038CD">
            <w:pPr>
              <w:ind w:right="357"/>
              <w:jc w:val="both"/>
              <w:rPr>
                <w:sz w:val="16"/>
                <w:szCs w:val="18"/>
              </w:rPr>
            </w:pPr>
            <w:r w:rsidRPr="0018378A">
              <w:rPr>
                <w:sz w:val="16"/>
                <w:szCs w:val="18"/>
              </w:rPr>
              <w:t xml:space="preserve">Պաշտոնական դրամաշնորհներ </w:t>
            </w:r>
          </w:p>
        </w:tc>
        <w:tc>
          <w:tcPr>
            <w:tcW w:w="575" w:type="pct"/>
            <w:shd w:val="clear" w:color="auto" w:fill="D5DCE4" w:themeFill="text2" w:themeFillTint="33"/>
            <w:noWrap/>
            <w:vAlign w:val="center"/>
            <w:hideMark/>
          </w:tcPr>
          <w:p w14:paraId="1F3D0278" w14:textId="77777777" w:rsidR="005038CD" w:rsidRPr="00F44F21" w:rsidRDefault="005038CD" w:rsidP="005038CD">
            <w:pPr>
              <w:ind w:right="-8"/>
              <w:jc w:val="center"/>
              <w:rPr>
                <w:rFonts w:ascii="GHEA Grapalat" w:hAnsi="GHEA Grapalat" w:cs="Calibri"/>
                <w:bCs/>
                <w:color w:val="404040"/>
                <w:sz w:val="16"/>
                <w:szCs w:val="16"/>
              </w:rPr>
            </w:pPr>
            <w:r w:rsidRPr="00F44F21">
              <w:rPr>
                <w:rFonts w:ascii="GHEA Grapalat" w:hAnsi="GHEA Grapalat" w:cs="Calibri"/>
                <w:bCs/>
                <w:color w:val="404040"/>
                <w:sz w:val="16"/>
                <w:szCs w:val="16"/>
              </w:rPr>
              <w:t>15.0</w:t>
            </w:r>
          </w:p>
        </w:tc>
        <w:tc>
          <w:tcPr>
            <w:tcW w:w="586" w:type="pct"/>
            <w:shd w:val="clear" w:color="auto" w:fill="D5DCE4" w:themeFill="text2" w:themeFillTint="33"/>
            <w:noWrap/>
            <w:vAlign w:val="center"/>
            <w:hideMark/>
          </w:tcPr>
          <w:p w14:paraId="02946806" w14:textId="77777777" w:rsidR="005038CD" w:rsidRPr="00F44F21" w:rsidRDefault="005038CD" w:rsidP="005038CD">
            <w:pPr>
              <w:ind w:right="-8"/>
              <w:jc w:val="center"/>
              <w:rPr>
                <w:rFonts w:ascii="GHEA Grapalat" w:hAnsi="GHEA Grapalat" w:cs="Calibri"/>
                <w:bCs/>
                <w:color w:val="404040"/>
                <w:sz w:val="16"/>
                <w:szCs w:val="16"/>
              </w:rPr>
            </w:pPr>
            <w:r w:rsidRPr="00F44F21">
              <w:rPr>
                <w:rFonts w:ascii="GHEA Grapalat" w:hAnsi="GHEA Grapalat" w:cs="Calibri"/>
                <w:bCs/>
                <w:color w:val="404040"/>
                <w:sz w:val="16"/>
                <w:szCs w:val="16"/>
              </w:rPr>
              <w:t>13.1</w:t>
            </w:r>
          </w:p>
        </w:tc>
        <w:tc>
          <w:tcPr>
            <w:tcW w:w="615" w:type="pct"/>
            <w:shd w:val="clear" w:color="auto" w:fill="D5DCE4" w:themeFill="text2" w:themeFillTint="33"/>
            <w:noWrap/>
            <w:vAlign w:val="center"/>
            <w:hideMark/>
          </w:tcPr>
          <w:p w14:paraId="12676B06" w14:textId="77777777" w:rsidR="005038CD" w:rsidRPr="00F44F21" w:rsidRDefault="005038CD" w:rsidP="005038CD">
            <w:pPr>
              <w:ind w:right="-8"/>
              <w:jc w:val="center"/>
              <w:rPr>
                <w:rFonts w:ascii="GHEA Grapalat" w:hAnsi="GHEA Grapalat" w:cs="Calibri"/>
                <w:bCs/>
                <w:color w:val="404040"/>
                <w:sz w:val="16"/>
                <w:szCs w:val="16"/>
              </w:rPr>
            </w:pPr>
            <w:r w:rsidRPr="00F44F21">
              <w:rPr>
                <w:rFonts w:ascii="GHEA Grapalat" w:hAnsi="GHEA Grapalat" w:cs="Calibri"/>
                <w:bCs/>
                <w:color w:val="404040"/>
                <w:sz w:val="16"/>
                <w:szCs w:val="16"/>
              </w:rPr>
              <w:t>26.7</w:t>
            </w:r>
          </w:p>
        </w:tc>
        <w:tc>
          <w:tcPr>
            <w:tcW w:w="513" w:type="pct"/>
            <w:shd w:val="clear" w:color="auto" w:fill="D5DCE4" w:themeFill="text2" w:themeFillTint="33"/>
            <w:noWrap/>
            <w:vAlign w:val="center"/>
            <w:hideMark/>
          </w:tcPr>
          <w:p w14:paraId="24818B8B" w14:textId="77777777" w:rsidR="005038CD" w:rsidRPr="00F44F21" w:rsidRDefault="005038CD" w:rsidP="005038CD">
            <w:pPr>
              <w:ind w:right="-8"/>
              <w:jc w:val="center"/>
              <w:rPr>
                <w:rFonts w:ascii="GHEA Grapalat" w:hAnsi="GHEA Grapalat" w:cs="Calibri"/>
                <w:bCs/>
                <w:color w:val="404040"/>
                <w:sz w:val="16"/>
                <w:szCs w:val="16"/>
              </w:rPr>
            </w:pPr>
            <w:r w:rsidRPr="00F44F21">
              <w:rPr>
                <w:rFonts w:ascii="GHEA Grapalat" w:hAnsi="GHEA Grapalat" w:cs="Calibri"/>
                <w:bCs/>
                <w:color w:val="404040"/>
                <w:sz w:val="16"/>
                <w:szCs w:val="16"/>
              </w:rPr>
              <w:t>20.7</w:t>
            </w:r>
          </w:p>
        </w:tc>
        <w:tc>
          <w:tcPr>
            <w:tcW w:w="685" w:type="pct"/>
            <w:shd w:val="clear" w:color="auto" w:fill="D5DCE4" w:themeFill="text2" w:themeFillTint="33"/>
            <w:noWrap/>
            <w:vAlign w:val="center"/>
            <w:hideMark/>
          </w:tcPr>
          <w:p w14:paraId="18D30D1E" w14:textId="0A763008" w:rsidR="005038CD" w:rsidRPr="00F44F21" w:rsidRDefault="005038CD" w:rsidP="005038CD">
            <w:pPr>
              <w:ind w:right="-8"/>
              <w:jc w:val="center"/>
              <w:rPr>
                <w:rFonts w:ascii="GHEA Grapalat" w:hAnsi="GHEA Grapalat" w:cs="Calibri"/>
                <w:bCs/>
                <w:color w:val="404040"/>
                <w:sz w:val="16"/>
                <w:szCs w:val="16"/>
              </w:rPr>
            </w:pPr>
            <w:r w:rsidRPr="005038CD">
              <w:rPr>
                <w:rFonts w:ascii="GHEA Grapalat" w:hAnsi="GHEA Grapalat" w:cs="Calibri"/>
                <w:bCs/>
                <w:color w:val="404040"/>
                <w:sz w:val="16"/>
                <w:szCs w:val="16"/>
              </w:rPr>
              <w:t>19.7</w:t>
            </w:r>
          </w:p>
        </w:tc>
        <w:tc>
          <w:tcPr>
            <w:tcW w:w="685" w:type="pct"/>
            <w:shd w:val="clear" w:color="auto" w:fill="D5DCE4" w:themeFill="text2" w:themeFillTint="33"/>
            <w:vAlign w:val="center"/>
          </w:tcPr>
          <w:p w14:paraId="73AB0585" w14:textId="47346306" w:rsidR="005038CD" w:rsidRPr="00F44F21" w:rsidRDefault="005038CD" w:rsidP="005038CD">
            <w:pPr>
              <w:ind w:right="-8"/>
              <w:jc w:val="center"/>
              <w:rPr>
                <w:rFonts w:ascii="GHEA Grapalat" w:hAnsi="GHEA Grapalat" w:cs="Calibri"/>
                <w:bCs/>
                <w:color w:val="404040"/>
                <w:sz w:val="16"/>
                <w:szCs w:val="16"/>
              </w:rPr>
            </w:pPr>
            <w:r w:rsidRPr="005038CD">
              <w:rPr>
                <w:rFonts w:ascii="GHEA Grapalat" w:hAnsi="GHEA Grapalat" w:cs="Calibri"/>
                <w:bCs/>
                <w:color w:val="404040"/>
                <w:sz w:val="16"/>
                <w:szCs w:val="16"/>
              </w:rPr>
              <w:t>7.3</w:t>
            </w:r>
          </w:p>
        </w:tc>
        <w:tc>
          <w:tcPr>
            <w:tcW w:w="454" w:type="pct"/>
            <w:shd w:val="clear" w:color="auto" w:fill="D5DCE4" w:themeFill="text2" w:themeFillTint="33"/>
            <w:vAlign w:val="center"/>
          </w:tcPr>
          <w:p w14:paraId="02FFC66B" w14:textId="6C604581" w:rsidR="005038CD" w:rsidRPr="00F44F21" w:rsidRDefault="005038CD" w:rsidP="005038CD">
            <w:pPr>
              <w:ind w:right="-8"/>
              <w:jc w:val="center"/>
              <w:rPr>
                <w:rFonts w:ascii="GHEA Grapalat" w:hAnsi="GHEA Grapalat" w:cs="Calibri"/>
                <w:bCs/>
                <w:color w:val="404040"/>
                <w:sz w:val="16"/>
                <w:szCs w:val="16"/>
              </w:rPr>
            </w:pPr>
            <w:r w:rsidRPr="005038CD">
              <w:rPr>
                <w:rFonts w:ascii="GHEA Grapalat" w:hAnsi="GHEA Grapalat" w:cs="Calibri"/>
                <w:bCs/>
                <w:color w:val="404040"/>
                <w:sz w:val="16"/>
                <w:szCs w:val="16"/>
              </w:rPr>
              <w:t>3.7</w:t>
            </w:r>
          </w:p>
        </w:tc>
      </w:tr>
      <w:tr w:rsidR="005038CD" w:rsidRPr="0022586A" w14:paraId="626B1FB0" w14:textId="77777777" w:rsidTr="005038CD">
        <w:trPr>
          <w:trHeight w:val="366"/>
          <w:jc w:val="center"/>
        </w:trPr>
        <w:tc>
          <w:tcPr>
            <w:tcW w:w="887" w:type="pct"/>
            <w:shd w:val="clear" w:color="auto" w:fill="auto"/>
            <w:vAlign w:val="center"/>
            <w:hideMark/>
          </w:tcPr>
          <w:p w14:paraId="1F930B1E" w14:textId="77777777" w:rsidR="005038CD" w:rsidRPr="0018378A" w:rsidRDefault="005038CD" w:rsidP="005038CD">
            <w:pPr>
              <w:ind w:right="357"/>
              <w:jc w:val="both"/>
              <w:rPr>
                <w:sz w:val="16"/>
                <w:szCs w:val="18"/>
              </w:rPr>
            </w:pPr>
            <w:r w:rsidRPr="0018378A">
              <w:rPr>
                <w:sz w:val="16"/>
                <w:szCs w:val="18"/>
              </w:rPr>
              <w:t xml:space="preserve">ՀՆԱ-ի նկատմամբ (%) </w:t>
            </w:r>
          </w:p>
        </w:tc>
        <w:tc>
          <w:tcPr>
            <w:tcW w:w="575" w:type="pct"/>
            <w:shd w:val="clear" w:color="auto" w:fill="auto"/>
            <w:noWrap/>
            <w:vAlign w:val="center"/>
            <w:hideMark/>
          </w:tcPr>
          <w:p w14:paraId="671E34BE" w14:textId="77777777" w:rsidR="005038CD" w:rsidRPr="00F44F21" w:rsidRDefault="005038CD" w:rsidP="005038CD">
            <w:pPr>
              <w:ind w:right="-8"/>
              <w:jc w:val="center"/>
              <w:rPr>
                <w:rFonts w:ascii="GHEA Grapalat" w:hAnsi="GHEA Grapalat" w:cs="Calibri"/>
                <w:bCs/>
                <w:color w:val="404040"/>
                <w:sz w:val="16"/>
                <w:szCs w:val="16"/>
              </w:rPr>
            </w:pPr>
            <w:r w:rsidRPr="00F44F21">
              <w:rPr>
                <w:rFonts w:ascii="GHEA Grapalat" w:hAnsi="GHEA Grapalat" w:cs="Calibri"/>
                <w:bCs/>
                <w:color w:val="404040"/>
                <w:sz w:val="16"/>
                <w:szCs w:val="16"/>
              </w:rPr>
              <w:t>0.2%</w:t>
            </w:r>
          </w:p>
        </w:tc>
        <w:tc>
          <w:tcPr>
            <w:tcW w:w="586" w:type="pct"/>
            <w:shd w:val="clear" w:color="auto" w:fill="auto"/>
            <w:noWrap/>
            <w:vAlign w:val="center"/>
            <w:hideMark/>
          </w:tcPr>
          <w:p w14:paraId="0CDA5BBB" w14:textId="77777777" w:rsidR="005038CD" w:rsidRPr="00F44F21" w:rsidRDefault="005038CD" w:rsidP="005038CD">
            <w:pPr>
              <w:ind w:right="-8"/>
              <w:jc w:val="center"/>
              <w:rPr>
                <w:rFonts w:ascii="GHEA Grapalat" w:hAnsi="GHEA Grapalat" w:cs="Calibri"/>
                <w:bCs/>
                <w:color w:val="404040"/>
                <w:sz w:val="16"/>
                <w:szCs w:val="16"/>
              </w:rPr>
            </w:pPr>
            <w:r w:rsidRPr="00F44F21">
              <w:rPr>
                <w:rFonts w:ascii="GHEA Grapalat" w:hAnsi="GHEA Grapalat" w:cs="Calibri"/>
                <w:bCs/>
                <w:color w:val="404040"/>
                <w:sz w:val="16"/>
                <w:szCs w:val="16"/>
              </w:rPr>
              <w:t>0.1%</w:t>
            </w:r>
          </w:p>
        </w:tc>
        <w:tc>
          <w:tcPr>
            <w:tcW w:w="615" w:type="pct"/>
            <w:shd w:val="clear" w:color="auto" w:fill="auto"/>
            <w:noWrap/>
            <w:vAlign w:val="center"/>
            <w:hideMark/>
          </w:tcPr>
          <w:p w14:paraId="2FFDCE54" w14:textId="77777777" w:rsidR="005038CD" w:rsidRPr="00F44F21" w:rsidRDefault="005038CD" w:rsidP="005038CD">
            <w:pPr>
              <w:ind w:right="-8"/>
              <w:jc w:val="center"/>
              <w:rPr>
                <w:rFonts w:ascii="GHEA Grapalat" w:hAnsi="GHEA Grapalat" w:cs="Calibri"/>
                <w:bCs/>
                <w:color w:val="404040"/>
                <w:sz w:val="16"/>
                <w:szCs w:val="16"/>
              </w:rPr>
            </w:pPr>
            <w:r w:rsidRPr="00F44F21">
              <w:rPr>
                <w:rFonts w:ascii="GHEA Grapalat" w:hAnsi="GHEA Grapalat" w:cs="Calibri"/>
                <w:bCs/>
                <w:color w:val="404040"/>
                <w:sz w:val="16"/>
                <w:szCs w:val="16"/>
              </w:rPr>
              <w:t>0.3%</w:t>
            </w:r>
          </w:p>
        </w:tc>
        <w:tc>
          <w:tcPr>
            <w:tcW w:w="513" w:type="pct"/>
            <w:shd w:val="clear" w:color="auto" w:fill="auto"/>
            <w:noWrap/>
            <w:vAlign w:val="center"/>
            <w:hideMark/>
          </w:tcPr>
          <w:p w14:paraId="36E14B9A" w14:textId="77777777" w:rsidR="005038CD" w:rsidRPr="00F44F21" w:rsidRDefault="005038CD" w:rsidP="005038CD">
            <w:pPr>
              <w:ind w:right="-8"/>
              <w:jc w:val="center"/>
              <w:rPr>
                <w:rFonts w:ascii="GHEA Grapalat" w:hAnsi="GHEA Grapalat" w:cs="Calibri"/>
                <w:bCs/>
                <w:color w:val="404040"/>
                <w:sz w:val="16"/>
                <w:szCs w:val="16"/>
              </w:rPr>
            </w:pPr>
            <w:r w:rsidRPr="00F44F21">
              <w:rPr>
                <w:rFonts w:ascii="GHEA Grapalat" w:hAnsi="GHEA Grapalat" w:cs="Calibri"/>
                <w:bCs/>
                <w:color w:val="404040"/>
                <w:sz w:val="16"/>
                <w:szCs w:val="16"/>
              </w:rPr>
              <w:t>0.2%</w:t>
            </w:r>
          </w:p>
        </w:tc>
        <w:tc>
          <w:tcPr>
            <w:tcW w:w="685" w:type="pct"/>
            <w:shd w:val="clear" w:color="auto" w:fill="auto"/>
            <w:noWrap/>
            <w:vAlign w:val="center"/>
            <w:hideMark/>
          </w:tcPr>
          <w:p w14:paraId="7C1E19AD" w14:textId="6347A1B8" w:rsidR="005038CD" w:rsidRPr="00F44F21" w:rsidRDefault="005038CD" w:rsidP="005038CD">
            <w:pPr>
              <w:ind w:right="-8"/>
              <w:jc w:val="center"/>
              <w:rPr>
                <w:rFonts w:ascii="GHEA Grapalat" w:hAnsi="GHEA Grapalat" w:cs="Calibri"/>
                <w:bCs/>
                <w:color w:val="404040"/>
                <w:sz w:val="16"/>
                <w:szCs w:val="16"/>
              </w:rPr>
            </w:pPr>
            <w:r w:rsidRPr="005038CD">
              <w:rPr>
                <w:rFonts w:ascii="GHEA Grapalat" w:hAnsi="GHEA Grapalat" w:cs="Calibri"/>
                <w:bCs/>
                <w:color w:val="404040"/>
                <w:sz w:val="16"/>
                <w:szCs w:val="16"/>
              </w:rPr>
              <w:t>0.2%</w:t>
            </w:r>
          </w:p>
        </w:tc>
        <w:tc>
          <w:tcPr>
            <w:tcW w:w="685" w:type="pct"/>
            <w:vAlign w:val="center"/>
          </w:tcPr>
          <w:p w14:paraId="29CBEDAC" w14:textId="71E69778" w:rsidR="005038CD" w:rsidRPr="00F44F21" w:rsidRDefault="005038CD" w:rsidP="005038CD">
            <w:pPr>
              <w:ind w:right="-8"/>
              <w:jc w:val="center"/>
              <w:rPr>
                <w:rFonts w:ascii="GHEA Grapalat" w:hAnsi="GHEA Grapalat" w:cs="Calibri"/>
                <w:bCs/>
                <w:color w:val="404040"/>
                <w:sz w:val="16"/>
                <w:szCs w:val="16"/>
              </w:rPr>
            </w:pPr>
            <w:r w:rsidRPr="005038CD">
              <w:rPr>
                <w:rFonts w:ascii="GHEA Grapalat" w:hAnsi="GHEA Grapalat" w:cs="Calibri"/>
                <w:bCs/>
                <w:color w:val="404040"/>
                <w:sz w:val="16"/>
                <w:szCs w:val="16"/>
              </w:rPr>
              <w:t>0.1%</w:t>
            </w:r>
          </w:p>
        </w:tc>
        <w:tc>
          <w:tcPr>
            <w:tcW w:w="454" w:type="pct"/>
            <w:vAlign w:val="center"/>
          </w:tcPr>
          <w:p w14:paraId="0F69A1A6" w14:textId="623C0D08" w:rsidR="005038CD" w:rsidRPr="00F44F21" w:rsidRDefault="005038CD" w:rsidP="005038CD">
            <w:pPr>
              <w:ind w:right="-8"/>
              <w:jc w:val="center"/>
              <w:rPr>
                <w:rFonts w:ascii="GHEA Grapalat" w:hAnsi="GHEA Grapalat" w:cs="Calibri"/>
                <w:bCs/>
                <w:color w:val="404040"/>
                <w:sz w:val="16"/>
                <w:szCs w:val="16"/>
              </w:rPr>
            </w:pPr>
            <w:r w:rsidRPr="005038CD">
              <w:rPr>
                <w:rFonts w:ascii="GHEA Grapalat" w:hAnsi="GHEA Grapalat" w:cs="Calibri"/>
                <w:bCs/>
                <w:color w:val="404040"/>
                <w:sz w:val="16"/>
                <w:szCs w:val="16"/>
              </w:rPr>
              <w:t>0.0%</w:t>
            </w:r>
          </w:p>
        </w:tc>
      </w:tr>
      <w:tr w:rsidR="005038CD" w:rsidRPr="0022586A" w14:paraId="081C8925" w14:textId="77777777" w:rsidTr="005038CD">
        <w:trPr>
          <w:trHeight w:val="366"/>
          <w:jc w:val="center"/>
        </w:trPr>
        <w:tc>
          <w:tcPr>
            <w:tcW w:w="887" w:type="pct"/>
            <w:shd w:val="clear" w:color="auto" w:fill="auto"/>
            <w:vAlign w:val="center"/>
            <w:hideMark/>
          </w:tcPr>
          <w:p w14:paraId="42ABA098" w14:textId="77777777" w:rsidR="005038CD" w:rsidRPr="0018378A" w:rsidRDefault="005038CD" w:rsidP="005038CD">
            <w:pPr>
              <w:ind w:right="357"/>
              <w:jc w:val="both"/>
              <w:rPr>
                <w:sz w:val="16"/>
                <w:szCs w:val="18"/>
              </w:rPr>
            </w:pPr>
            <w:r w:rsidRPr="0018378A">
              <w:rPr>
                <w:sz w:val="16"/>
                <w:szCs w:val="18"/>
              </w:rPr>
              <w:t>Ընդհանուրի նկատմամբ (%)</w:t>
            </w:r>
          </w:p>
        </w:tc>
        <w:tc>
          <w:tcPr>
            <w:tcW w:w="575" w:type="pct"/>
            <w:shd w:val="clear" w:color="auto" w:fill="auto"/>
            <w:noWrap/>
            <w:vAlign w:val="center"/>
            <w:hideMark/>
          </w:tcPr>
          <w:p w14:paraId="4D3CB226" w14:textId="77777777" w:rsidR="005038CD" w:rsidRPr="00F44F21" w:rsidRDefault="005038CD" w:rsidP="005038CD">
            <w:pPr>
              <w:ind w:right="-8"/>
              <w:jc w:val="center"/>
              <w:rPr>
                <w:rFonts w:ascii="GHEA Grapalat" w:hAnsi="GHEA Grapalat" w:cs="Calibri"/>
                <w:bCs/>
                <w:color w:val="404040"/>
                <w:sz w:val="16"/>
                <w:szCs w:val="16"/>
              </w:rPr>
            </w:pPr>
            <w:r w:rsidRPr="00F44F21">
              <w:rPr>
                <w:rFonts w:ascii="GHEA Grapalat" w:hAnsi="GHEA Grapalat" w:cs="Calibri"/>
                <w:bCs/>
                <w:color w:val="404040"/>
                <w:sz w:val="16"/>
                <w:szCs w:val="16"/>
              </w:rPr>
              <w:t>0.7%</w:t>
            </w:r>
          </w:p>
        </w:tc>
        <w:tc>
          <w:tcPr>
            <w:tcW w:w="586" w:type="pct"/>
            <w:shd w:val="clear" w:color="auto" w:fill="auto"/>
            <w:noWrap/>
            <w:vAlign w:val="center"/>
            <w:hideMark/>
          </w:tcPr>
          <w:p w14:paraId="2C8B27DC" w14:textId="77777777" w:rsidR="005038CD" w:rsidRPr="00F44F21" w:rsidRDefault="005038CD" w:rsidP="005038CD">
            <w:pPr>
              <w:ind w:right="-8"/>
              <w:jc w:val="center"/>
              <w:rPr>
                <w:rFonts w:ascii="GHEA Grapalat" w:hAnsi="GHEA Grapalat" w:cs="Calibri"/>
                <w:bCs/>
                <w:color w:val="404040"/>
                <w:sz w:val="16"/>
                <w:szCs w:val="16"/>
              </w:rPr>
            </w:pPr>
            <w:r w:rsidRPr="00F44F21">
              <w:rPr>
                <w:rFonts w:ascii="GHEA Grapalat" w:hAnsi="GHEA Grapalat" w:cs="Calibri"/>
                <w:bCs/>
                <w:color w:val="404040"/>
                <w:sz w:val="16"/>
                <w:szCs w:val="16"/>
              </w:rPr>
              <w:t>0.5%</w:t>
            </w:r>
          </w:p>
        </w:tc>
        <w:tc>
          <w:tcPr>
            <w:tcW w:w="615" w:type="pct"/>
            <w:shd w:val="clear" w:color="auto" w:fill="auto"/>
            <w:noWrap/>
            <w:vAlign w:val="center"/>
            <w:hideMark/>
          </w:tcPr>
          <w:p w14:paraId="7184E468" w14:textId="77777777" w:rsidR="005038CD" w:rsidRPr="00F44F21" w:rsidRDefault="005038CD" w:rsidP="005038CD">
            <w:pPr>
              <w:ind w:right="-8"/>
              <w:jc w:val="center"/>
              <w:rPr>
                <w:rFonts w:ascii="GHEA Grapalat" w:hAnsi="GHEA Grapalat" w:cs="Calibri"/>
                <w:bCs/>
                <w:color w:val="404040"/>
                <w:sz w:val="16"/>
                <w:szCs w:val="16"/>
              </w:rPr>
            </w:pPr>
            <w:r w:rsidRPr="00F44F21">
              <w:rPr>
                <w:rFonts w:ascii="GHEA Grapalat" w:hAnsi="GHEA Grapalat" w:cs="Calibri"/>
                <w:bCs/>
                <w:color w:val="404040"/>
                <w:sz w:val="16"/>
                <w:szCs w:val="16"/>
              </w:rPr>
              <w:t>1.0%</w:t>
            </w:r>
          </w:p>
        </w:tc>
        <w:tc>
          <w:tcPr>
            <w:tcW w:w="513" w:type="pct"/>
            <w:shd w:val="clear" w:color="auto" w:fill="auto"/>
            <w:noWrap/>
            <w:vAlign w:val="center"/>
            <w:hideMark/>
          </w:tcPr>
          <w:p w14:paraId="123B608C" w14:textId="77777777" w:rsidR="005038CD" w:rsidRPr="00F44F21" w:rsidRDefault="005038CD" w:rsidP="005038CD">
            <w:pPr>
              <w:ind w:right="-8"/>
              <w:jc w:val="center"/>
              <w:rPr>
                <w:rFonts w:ascii="GHEA Grapalat" w:hAnsi="GHEA Grapalat" w:cs="Calibri"/>
                <w:bCs/>
                <w:color w:val="404040"/>
                <w:sz w:val="16"/>
                <w:szCs w:val="16"/>
              </w:rPr>
            </w:pPr>
            <w:r w:rsidRPr="00F44F21">
              <w:rPr>
                <w:rFonts w:ascii="GHEA Grapalat" w:hAnsi="GHEA Grapalat" w:cs="Calibri"/>
                <w:bCs/>
                <w:color w:val="404040"/>
                <w:sz w:val="16"/>
                <w:szCs w:val="16"/>
              </w:rPr>
              <w:t>0.7%</w:t>
            </w:r>
          </w:p>
        </w:tc>
        <w:tc>
          <w:tcPr>
            <w:tcW w:w="685" w:type="pct"/>
            <w:shd w:val="clear" w:color="auto" w:fill="auto"/>
            <w:noWrap/>
            <w:vAlign w:val="center"/>
            <w:hideMark/>
          </w:tcPr>
          <w:p w14:paraId="0AF38A98" w14:textId="30B68BF2" w:rsidR="005038CD" w:rsidRPr="00F44F21" w:rsidRDefault="005038CD" w:rsidP="005038CD">
            <w:pPr>
              <w:ind w:right="-8"/>
              <w:jc w:val="center"/>
              <w:rPr>
                <w:rFonts w:ascii="GHEA Grapalat" w:hAnsi="GHEA Grapalat" w:cs="Calibri"/>
                <w:bCs/>
                <w:color w:val="404040"/>
                <w:sz w:val="16"/>
                <w:szCs w:val="16"/>
              </w:rPr>
            </w:pPr>
            <w:r w:rsidRPr="005038CD">
              <w:rPr>
                <w:rFonts w:ascii="GHEA Grapalat" w:hAnsi="GHEA Grapalat" w:cs="Calibri"/>
                <w:bCs/>
                <w:color w:val="404040"/>
                <w:sz w:val="16"/>
                <w:szCs w:val="16"/>
              </w:rPr>
              <w:t>0.6%</w:t>
            </w:r>
          </w:p>
        </w:tc>
        <w:tc>
          <w:tcPr>
            <w:tcW w:w="685" w:type="pct"/>
            <w:vAlign w:val="center"/>
          </w:tcPr>
          <w:p w14:paraId="3C189162" w14:textId="7D10E300" w:rsidR="005038CD" w:rsidRPr="00F44F21" w:rsidRDefault="005038CD" w:rsidP="005038CD">
            <w:pPr>
              <w:ind w:right="-8"/>
              <w:jc w:val="center"/>
              <w:rPr>
                <w:rFonts w:ascii="GHEA Grapalat" w:hAnsi="GHEA Grapalat" w:cs="Calibri"/>
                <w:bCs/>
                <w:color w:val="404040"/>
                <w:sz w:val="16"/>
                <w:szCs w:val="16"/>
              </w:rPr>
            </w:pPr>
            <w:r w:rsidRPr="005038CD">
              <w:rPr>
                <w:rFonts w:ascii="GHEA Grapalat" w:hAnsi="GHEA Grapalat" w:cs="Calibri"/>
                <w:bCs/>
                <w:color w:val="404040"/>
                <w:sz w:val="16"/>
                <w:szCs w:val="16"/>
              </w:rPr>
              <w:t>0.2%</w:t>
            </w:r>
          </w:p>
        </w:tc>
        <w:tc>
          <w:tcPr>
            <w:tcW w:w="454" w:type="pct"/>
            <w:vAlign w:val="center"/>
          </w:tcPr>
          <w:p w14:paraId="158E1DDE" w14:textId="6347FBFA" w:rsidR="005038CD" w:rsidRPr="00F44F21" w:rsidRDefault="005038CD" w:rsidP="005038CD">
            <w:pPr>
              <w:ind w:right="-8"/>
              <w:jc w:val="center"/>
              <w:rPr>
                <w:rFonts w:ascii="GHEA Grapalat" w:hAnsi="GHEA Grapalat" w:cs="Calibri"/>
                <w:bCs/>
                <w:color w:val="404040"/>
                <w:sz w:val="16"/>
                <w:szCs w:val="16"/>
              </w:rPr>
            </w:pPr>
            <w:r w:rsidRPr="005038CD">
              <w:rPr>
                <w:rFonts w:ascii="GHEA Grapalat" w:hAnsi="GHEA Grapalat" w:cs="Calibri"/>
                <w:bCs/>
                <w:color w:val="404040"/>
                <w:sz w:val="16"/>
                <w:szCs w:val="16"/>
              </w:rPr>
              <w:t>0.1%</w:t>
            </w:r>
          </w:p>
        </w:tc>
      </w:tr>
    </w:tbl>
    <w:p w14:paraId="49C60C75" w14:textId="77777777" w:rsidR="00ED147C" w:rsidRPr="00C3014C" w:rsidRDefault="00ED147C" w:rsidP="00ED147C">
      <w:pPr>
        <w:ind w:right="357"/>
        <w:jc w:val="both"/>
        <w:rPr>
          <w:lang w:val="fr-FR" w:eastAsia="en-GB"/>
        </w:rPr>
      </w:pPr>
    </w:p>
    <w:p w14:paraId="4DD8D14D" w14:textId="77777777" w:rsidR="00ED147C" w:rsidRPr="001D2D3B" w:rsidRDefault="00ED147C" w:rsidP="00ED147C">
      <w:pPr>
        <w:pStyle w:val="BodyText1"/>
        <w:ind w:left="0" w:right="357"/>
        <w:rPr>
          <w:color w:val="A5A6AC" w:themeColor="accent3" w:themeTint="99"/>
          <w:sz w:val="28"/>
          <w:lang w:val="fr-FR"/>
        </w:rPr>
      </w:pPr>
      <w:r w:rsidRPr="00AB12EF">
        <w:t>ՀՀ</w:t>
      </w:r>
      <w:r>
        <w:rPr>
          <w:lang w:val="fr-FR"/>
        </w:rPr>
        <w:t xml:space="preserve"> </w:t>
      </w:r>
      <w:r w:rsidRPr="00AB12EF">
        <w:t>պետական</w:t>
      </w:r>
      <w:r w:rsidRPr="00AB12EF">
        <w:rPr>
          <w:lang w:val="fr-FR"/>
        </w:rPr>
        <w:t xml:space="preserve"> </w:t>
      </w:r>
      <w:r w:rsidRPr="00AB12EF">
        <w:t>բյուջեի</w:t>
      </w:r>
      <w:r w:rsidRPr="00AB12EF">
        <w:rPr>
          <w:lang w:val="fr-FR"/>
        </w:rPr>
        <w:t xml:space="preserve"> </w:t>
      </w:r>
      <w:r w:rsidRPr="00AB12EF">
        <w:t>եկամուտները</w:t>
      </w:r>
      <w:r w:rsidRPr="00AB12EF">
        <w:rPr>
          <w:lang w:val="fr-FR"/>
        </w:rPr>
        <w:t xml:space="preserve"> </w:t>
      </w:r>
      <w:r w:rsidRPr="00AB12EF">
        <w:t>ծրագրելիս</w:t>
      </w:r>
      <w:r w:rsidRPr="00AB12EF">
        <w:rPr>
          <w:lang w:val="fr-FR"/>
        </w:rPr>
        <w:t xml:space="preserve"> </w:t>
      </w:r>
      <w:r w:rsidRPr="00AB12EF">
        <w:t>օգտագործվել</w:t>
      </w:r>
      <w:r w:rsidRPr="00AB12EF">
        <w:rPr>
          <w:lang w:val="fr-FR"/>
        </w:rPr>
        <w:t xml:space="preserve"> </w:t>
      </w:r>
      <w:r w:rsidRPr="00AB12EF">
        <w:t>են</w:t>
      </w:r>
      <w:r w:rsidRPr="00AB12EF">
        <w:rPr>
          <w:lang w:val="fr-FR"/>
        </w:rPr>
        <w:t xml:space="preserve"> </w:t>
      </w:r>
      <w:r w:rsidRPr="00AB12EF">
        <w:t>այն</w:t>
      </w:r>
      <w:r w:rsidRPr="00AB12EF">
        <w:rPr>
          <w:lang w:val="fr-FR"/>
        </w:rPr>
        <w:t xml:space="preserve"> </w:t>
      </w:r>
      <w:r w:rsidRPr="00AB12EF">
        <w:t>մակրո</w:t>
      </w:r>
      <w:r w:rsidRPr="00AB12EF">
        <w:rPr>
          <w:lang w:val="fr-FR"/>
        </w:rPr>
        <w:softHyphen/>
      </w:r>
      <w:r w:rsidRPr="00AB12EF">
        <w:rPr>
          <w:lang w:val="fr-FR"/>
        </w:rPr>
        <w:softHyphen/>
      </w:r>
      <w:r w:rsidRPr="00AB12EF">
        <w:t>տնտեսական</w:t>
      </w:r>
      <w:r w:rsidRPr="00AB12EF">
        <w:rPr>
          <w:lang w:val="fr-FR"/>
        </w:rPr>
        <w:t xml:space="preserve"> </w:t>
      </w:r>
      <w:r w:rsidRPr="00AB12EF">
        <w:t>ցուցանիշների</w:t>
      </w:r>
      <w:r w:rsidRPr="00AB12EF">
        <w:rPr>
          <w:lang w:val="fr-FR"/>
        </w:rPr>
        <w:t xml:space="preserve"> </w:t>
      </w:r>
      <w:r w:rsidRPr="00AB12EF">
        <w:t>կանխատեսումները</w:t>
      </w:r>
      <w:r w:rsidRPr="00AB12EF">
        <w:rPr>
          <w:lang w:val="fr-FR"/>
        </w:rPr>
        <w:t xml:space="preserve">, </w:t>
      </w:r>
      <w:r w:rsidRPr="00AB12EF">
        <w:t>որոնք</w:t>
      </w:r>
      <w:r w:rsidRPr="00AB12EF">
        <w:rPr>
          <w:lang w:val="fr-FR"/>
        </w:rPr>
        <w:t xml:space="preserve"> </w:t>
      </w:r>
      <w:r w:rsidRPr="00AB12EF">
        <w:t>էական</w:t>
      </w:r>
      <w:r w:rsidRPr="00AB12EF">
        <w:rPr>
          <w:lang w:val="fr-FR"/>
        </w:rPr>
        <w:t xml:space="preserve"> </w:t>
      </w:r>
      <w:r w:rsidRPr="00AB12EF">
        <w:t>ազդեցություն</w:t>
      </w:r>
      <w:r w:rsidRPr="00AB12EF">
        <w:rPr>
          <w:lang w:val="fr-FR"/>
        </w:rPr>
        <w:t xml:space="preserve"> </w:t>
      </w:r>
      <w:r w:rsidRPr="00AB12EF">
        <w:t>ունեն</w:t>
      </w:r>
      <w:r w:rsidRPr="00AB12EF">
        <w:rPr>
          <w:lang w:val="fr-FR"/>
        </w:rPr>
        <w:t xml:space="preserve"> </w:t>
      </w:r>
      <w:r w:rsidRPr="00AB12EF">
        <w:t>ա</w:t>
      </w:r>
      <w:r w:rsidRPr="00AB12EF">
        <w:rPr>
          <w:lang w:val="fr-FR"/>
        </w:rPr>
        <w:softHyphen/>
      </w:r>
      <w:r w:rsidRPr="00AB12EF">
        <w:t>ռան</w:t>
      </w:r>
      <w:r w:rsidRPr="00AB12EF">
        <w:rPr>
          <w:lang w:val="fr-FR"/>
        </w:rPr>
        <w:softHyphen/>
      </w:r>
      <w:r w:rsidRPr="00AB12EF">
        <w:rPr>
          <w:lang w:val="fr-FR"/>
        </w:rPr>
        <w:softHyphen/>
      </w:r>
      <w:r w:rsidRPr="00AB12EF">
        <w:rPr>
          <w:lang w:val="fr-FR"/>
        </w:rPr>
        <w:softHyphen/>
      </w:r>
      <w:r w:rsidRPr="00AB12EF">
        <w:t>ձին</w:t>
      </w:r>
      <w:r w:rsidRPr="00AB12EF">
        <w:rPr>
          <w:lang w:val="fr-FR"/>
        </w:rPr>
        <w:t xml:space="preserve"> </w:t>
      </w:r>
      <w:r w:rsidRPr="00AB12EF">
        <w:t>եկամտա</w:t>
      </w:r>
      <w:r w:rsidRPr="00AB12EF">
        <w:rPr>
          <w:lang w:val="fr-FR"/>
        </w:rPr>
        <w:softHyphen/>
      </w:r>
      <w:r w:rsidRPr="00AB12EF">
        <w:t>տե</w:t>
      </w:r>
      <w:r w:rsidRPr="00AB12EF">
        <w:rPr>
          <w:lang w:val="fr-FR"/>
        </w:rPr>
        <w:softHyphen/>
      </w:r>
      <w:r w:rsidRPr="00AB12EF">
        <w:t>սակ</w:t>
      </w:r>
      <w:r w:rsidRPr="00AB12EF">
        <w:rPr>
          <w:lang w:val="fr-FR"/>
        </w:rPr>
        <w:softHyphen/>
      </w:r>
      <w:r w:rsidRPr="00AB12EF">
        <w:rPr>
          <w:lang w:val="fr-FR"/>
        </w:rPr>
        <w:softHyphen/>
      </w:r>
      <w:r w:rsidRPr="00AB12EF">
        <w:t>ների</w:t>
      </w:r>
      <w:r w:rsidRPr="00AB12EF">
        <w:rPr>
          <w:lang w:val="fr-FR"/>
        </w:rPr>
        <w:t xml:space="preserve"> </w:t>
      </w:r>
      <w:r w:rsidRPr="00AB12EF">
        <w:t>բազայի</w:t>
      </w:r>
      <w:r w:rsidRPr="00AB12EF">
        <w:rPr>
          <w:lang w:val="fr-FR"/>
        </w:rPr>
        <w:t xml:space="preserve"> </w:t>
      </w:r>
      <w:r w:rsidRPr="00AB12EF">
        <w:t>ձևավորման</w:t>
      </w:r>
      <w:r w:rsidRPr="00AB12EF">
        <w:rPr>
          <w:lang w:val="fr-FR"/>
        </w:rPr>
        <w:t xml:space="preserve"> </w:t>
      </w:r>
      <w:r w:rsidRPr="00AB12EF">
        <w:t>կամ</w:t>
      </w:r>
      <w:r w:rsidRPr="00AB12EF">
        <w:rPr>
          <w:lang w:val="fr-FR"/>
        </w:rPr>
        <w:t xml:space="preserve"> </w:t>
      </w:r>
      <w:r w:rsidRPr="00AB12EF">
        <w:t>հաշվարկման</w:t>
      </w:r>
      <w:r w:rsidRPr="00AB12EF">
        <w:rPr>
          <w:lang w:val="fr-FR"/>
        </w:rPr>
        <w:t xml:space="preserve"> </w:t>
      </w:r>
      <w:r w:rsidRPr="00AB12EF">
        <w:t>վրա</w:t>
      </w:r>
      <w:r w:rsidRPr="00AB12EF">
        <w:rPr>
          <w:lang w:val="fr-FR"/>
        </w:rPr>
        <w:t xml:space="preserve">: </w:t>
      </w:r>
      <w:r w:rsidRPr="00AB12EF">
        <w:t>Առանձին</w:t>
      </w:r>
      <w:r w:rsidRPr="00AB12EF">
        <w:rPr>
          <w:lang w:val="fr-FR"/>
        </w:rPr>
        <w:t xml:space="preserve"> </w:t>
      </w:r>
      <w:r w:rsidRPr="00AB12EF">
        <w:t>դեպքերում</w:t>
      </w:r>
      <w:r w:rsidRPr="00AB12EF">
        <w:rPr>
          <w:lang w:val="fr-FR"/>
        </w:rPr>
        <w:t xml:space="preserve"> </w:t>
      </w:r>
      <w:r w:rsidRPr="00AB12EF">
        <w:t>հաշ</w:t>
      </w:r>
      <w:r w:rsidRPr="00AB12EF">
        <w:rPr>
          <w:lang w:val="fr-FR"/>
        </w:rPr>
        <w:softHyphen/>
      </w:r>
      <w:r w:rsidRPr="00AB12EF">
        <w:rPr>
          <w:lang w:val="fr-FR"/>
        </w:rPr>
        <w:softHyphen/>
      </w:r>
      <w:r w:rsidRPr="00AB12EF">
        <w:rPr>
          <w:lang w:val="fr-FR"/>
        </w:rPr>
        <w:softHyphen/>
      </w:r>
      <w:r w:rsidRPr="00AB12EF">
        <w:t>վի</w:t>
      </w:r>
      <w:r w:rsidRPr="00AB12EF">
        <w:rPr>
          <w:lang w:val="fr-FR"/>
        </w:rPr>
        <w:t xml:space="preserve"> </w:t>
      </w:r>
      <w:r w:rsidRPr="00AB12EF">
        <w:t>են</w:t>
      </w:r>
      <w:r w:rsidRPr="00AB12EF">
        <w:rPr>
          <w:lang w:val="fr-FR"/>
        </w:rPr>
        <w:t xml:space="preserve"> </w:t>
      </w:r>
      <w:r w:rsidRPr="00AB12EF">
        <w:t>առնվել</w:t>
      </w:r>
      <w:r w:rsidRPr="00AB12EF">
        <w:rPr>
          <w:lang w:val="fr-FR"/>
        </w:rPr>
        <w:t xml:space="preserve"> </w:t>
      </w:r>
      <w:r w:rsidRPr="00AB12EF">
        <w:t>նաև</w:t>
      </w:r>
      <w:r w:rsidRPr="00AB12EF">
        <w:rPr>
          <w:lang w:val="fr-FR"/>
        </w:rPr>
        <w:t xml:space="preserve"> </w:t>
      </w:r>
      <w:r w:rsidRPr="00AB12EF">
        <w:t>պայմանա</w:t>
      </w:r>
      <w:r w:rsidRPr="00AB12EF">
        <w:rPr>
          <w:lang w:val="fr-FR"/>
        </w:rPr>
        <w:softHyphen/>
      </w:r>
      <w:r w:rsidRPr="00AB12EF">
        <w:rPr>
          <w:lang w:val="fr-FR"/>
        </w:rPr>
        <w:softHyphen/>
      </w:r>
      <w:r w:rsidRPr="00AB12EF">
        <w:t>գրային</w:t>
      </w:r>
      <w:r w:rsidRPr="00AB12EF">
        <w:rPr>
          <w:lang w:val="fr-FR"/>
        </w:rPr>
        <w:t xml:space="preserve"> </w:t>
      </w:r>
      <w:r w:rsidRPr="00AB12EF">
        <w:t>հարաբերություններով</w:t>
      </w:r>
      <w:r w:rsidRPr="00AB12EF">
        <w:rPr>
          <w:lang w:val="fr-FR"/>
        </w:rPr>
        <w:t xml:space="preserve"> </w:t>
      </w:r>
      <w:r w:rsidRPr="00AB12EF">
        <w:t>կարգավորվող</w:t>
      </w:r>
      <w:r w:rsidRPr="00AB12EF">
        <w:rPr>
          <w:lang w:val="fr-FR"/>
        </w:rPr>
        <w:t xml:space="preserve"> </w:t>
      </w:r>
      <w:r w:rsidRPr="00AB12EF">
        <w:t>ցու</w:t>
      </w:r>
      <w:r w:rsidRPr="00AB12EF">
        <w:rPr>
          <w:lang w:val="fr-FR"/>
        </w:rPr>
        <w:softHyphen/>
      </w:r>
      <w:r w:rsidRPr="00AB12EF">
        <w:t>ցանիշները</w:t>
      </w:r>
      <w:r w:rsidRPr="00AB12EF">
        <w:rPr>
          <w:lang w:val="fr-FR"/>
        </w:rPr>
        <w:t>:</w:t>
      </w:r>
      <w:bookmarkStart w:id="363" w:name="_Toc178356582"/>
      <w:bookmarkStart w:id="364" w:name="_Toc153184481"/>
    </w:p>
    <w:p w14:paraId="11E246ED" w14:textId="77777777" w:rsidR="00ED147C" w:rsidRPr="00C3014C" w:rsidRDefault="00ED147C" w:rsidP="00ED147C">
      <w:pPr>
        <w:pStyle w:val="TOC4"/>
        <w:spacing w:before="120" w:after="120"/>
        <w:ind w:right="357"/>
        <w:jc w:val="both"/>
        <w:rPr>
          <w:lang w:val="hy-AM"/>
        </w:rPr>
      </w:pPr>
      <w:r w:rsidRPr="0092287F">
        <w:rPr>
          <w:lang w:val="hy-AM"/>
        </w:rPr>
        <w:t xml:space="preserve">ՀԱՐԿԱՅԻՆ ԵԿԱՄՈՒՏՆԵՐ </w:t>
      </w:r>
      <w:r>
        <w:rPr>
          <w:lang w:val="hy-AM"/>
        </w:rPr>
        <w:t>ԵՎ</w:t>
      </w:r>
      <w:r w:rsidRPr="0092287F">
        <w:rPr>
          <w:lang w:val="hy-AM"/>
        </w:rPr>
        <w:t xml:space="preserve"> ՊԵՏԱԿԱՆ ՏՈՒՐՔԵՐ</w:t>
      </w:r>
      <w:bookmarkEnd w:id="363"/>
      <w:bookmarkEnd w:id="364"/>
    </w:p>
    <w:bookmarkEnd w:id="355"/>
    <w:bookmarkEnd w:id="356"/>
    <w:p w14:paraId="30C79E4E" w14:textId="7B18FF57" w:rsidR="00ED147C" w:rsidRDefault="00ED147C" w:rsidP="00ED147C">
      <w:pPr>
        <w:pStyle w:val="BodyText1"/>
        <w:ind w:left="0" w:right="357"/>
        <w:rPr>
          <w:lang w:val="fr-FR"/>
        </w:rPr>
      </w:pPr>
      <w:r w:rsidRPr="00AB12EF">
        <w:rPr>
          <w:lang w:val="hy-AM"/>
        </w:rPr>
        <w:t>Հարկային</w:t>
      </w:r>
      <w:r w:rsidRPr="00AB12EF">
        <w:rPr>
          <w:lang w:val="fr-FR"/>
        </w:rPr>
        <w:t xml:space="preserve"> </w:t>
      </w:r>
      <w:r w:rsidRPr="00AB12EF">
        <w:rPr>
          <w:lang w:val="hy-AM"/>
        </w:rPr>
        <w:t>եկամուտների</w:t>
      </w:r>
      <w:r w:rsidRPr="00AB12EF">
        <w:rPr>
          <w:lang w:val="fr-FR"/>
        </w:rPr>
        <w:t xml:space="preserve"> </w:t>
      </w:r>
      <w:r w:rsidRPr="00AB12EF">
        <w:rPr>
          <w:lang w:val="hy-AM"/>
        </w:rPr>
        <w:t>և</w:t>
      </w:r>
      <w:r w:rsidRPr="00AB12EF">
        <w:rPr>
          <w:lang w:val="fr-FR"/>
        </w:rPr>
        <w:t xml:space="preserve"> </w:t>
      </w:r>
      <w:r w:rsidRPr="00AB12EF">
        <w:rPr>
          <w:lang w:val="hy-AM"/>
        </w:rPr>
        <w:t>պետական</w:t>
      </w:r>
      <w:r w:rsidRPr="00AB12EF">
        <w:rPr>
          <w:lang w:val="fr-FR"/>
        </w:rPr>
        <w:t xml:space="preserve"> </w:t>
      </w:r>
      <w:r w:rsidRPr="00AB12EF">
        <w:rPr>
          <w:lang w:val="hy-AM"/>
        </w:rPr>
        <w:t>տուրքերի</w:t>
      </w:r>
      <w:r w:rsidRPr="00AB12EF">
        <w:rPr>
          <w:lang w:val="fr-FR"/>
        </w:rPr>
        <w:t xml:space="preserve"> </w:t>
      </w:r>
      <w:r w:rsidRPr="00AB12EF">
        <w:rPr>
          <w:lang w:val="hy-AM"/>
        </w:rPr>
        <w:t>գծով</w:t>
      </w:r>
      <w:r>
        <w:rPr>
          <w:lang w:val="fr-FR"/>
        </w:rPr>
        <w:t xml:space="preserve"> </w:t>
      </w:r>
      <w:r w:rsidRPr="00AB12EF">
        <w:rPr>
          <w:lang w:val="hy-AM"/>
        </w:rPr>
        <w:t>բյու</w:t>
      </w:r>
      <w:r w:rsidRPr="00AB12EF">
        <w:rPr>
          <w:lang w:val="fr-FR"/>
        </w:rPr>
        <w:softHyphen/>
      </w:r>
      <w:r w:rsidRPr="00AB12EF">
        <w:rPr>
          <w:lang w:val="fr-FR"/>
        </w:rPr>
        <w:softHyphen/>
      </w:r>
      <w:r w:rsidRPr="00AB12EF">
        <w:rPr>
          <w:lang w:val="hy-AM"/>
        </w:rPr>
        <w:t>ջետային</w:t>
      </w:r>
      <w:r w:rsidRPr="00AB12EF">
        <w:rPr>
          <w:lang w:val="fr-FR"/>
        </w:rPr>
        <w:t xml:space="preserve"> </w:t>
      </w:r>
      <w:r w:rsidRPr="00AB12EF">
        <w:rPr>
          <w:lang w:val="hy-AM"/>
        </w:rPr>
        <w:t>մուտքերի</w:t>
      </w:r>
      <w:r w:rsidRPr="00AB12EF">
        <w:rPr>
          <w:lang w:val="fr-FR"/>
        </w:rPr>
        <w:t xml:space="preserve"> </w:t>
      </w:r>
      <w:r w:rsidRPr="00AB12EF">
        <w:rPr>
          <w:lang w:val="hy-AM"/>
        </w:rPr>
        <w:t>հաշվարկներում</w:t>
      </w:r>
      <w:r w:rsidRPr="00AB12EF">
        <w:rPr>
          <w:lang w:val="fr-FR"/>
        </w:rPr>
        <w:t xml:space="preserve"> </w:t>
      </w:r>
      <w:r w:rsidRPr="00AB12EF">
        <w:rPr>
          <w:lang w:val="hy-AM"/>
        </w:rPr>
        <w:t>ենթադրվել</w:t>
      </w:r>
      <w:r w:rsidRPr="00AB12EF">
        <w:rPr>
          <w:lang w:val="fr-FR"/>
        </w:rPr>
        <w:t xml:space="preserve"> </w:t>
      </w:r>
      <w:r w:rsidRPr="00AB12EF">
        <w:rPr>
          <w:lang w:val="hy-AM"/>
        </w:rPr>
        <w:t>է</w:t>
      </w:r>
      <w:r w:rsidRPr="00AB12EF">
        <w:rPr>
          <w:lang w:val="fr-FR"/>
        </w:rPr>
        <w:t xml:space="preserve">, </w:t>
      </w:r>
      <w:r w:rsidRPr="00AB12EF">
        <w:rPr>
          <w:lang w:val="hy-AM"/>
        </w:rPr>
        <w:t>որ</w:t>
      </w:r>
      <w:r w:rsidRPr="00AB12EF">
        <w:rPr>
          <w:lang w:val="fr-FR"/>
        </w:rPr>
        <w:t xml:space="preserve"> </w:t>
      </w:r>
      <w:r w:rsidRPr="00AB12EF">
        <w:rPr>
          <w:lang w:val="hy-AM"/>
        </w:rPr>
        <w:t>հարկերի</w:t>
      </w:r>
      <w:r w:rsidRPr="00AB12EF">
        <w:rPr>
          <w:lang w:val="fr-FR"/>
        </w:rPr>
        <w:t xml:space="preserve"> </w:t>
      </w:r>
      <w:r w:rsidRPr="00AB12EF">
        <w:rPr>
          <w:lang w:val="hy-AM"/>
        </w:rPr>
        <w:t>գծով</w:t>
      </w:r>
      <w:r>
        <w:rPr>
          <w:lang w:val="hy-AM"/>
        </w:rPr>
        <w:t xml:space="preserve"> հաջորդող տարիների</w:t>
      </w:r>
      <w:r w:rsidRPr="00AB12EF">
        <w:rPr>
          <w:lang w:val="fr-FR"/>
        </w:rPr>
        <w:t xml:space="preserve"> </w:t>
      </w:r>
      <w:r w:rsidRPr="00AB12EF">
        <w:rPr>
          <w:lang w:val="hy-AM"/>
        </w:rPr>
        <w:t>համար</w:t>
      </w:r>
      <w:r w:rsidRPr="00AB12EF">
        <w:rPr>
          <w:lang w:val="fr-FR"/>
        </w:rPr>
        <w:t xml:space="preserve"> </w:t>
      </w:r>
      <w:r w:rsidRPr="00AB12EF">
        <w:rPr>
          <w:lang w:val="hy-AM"/>
        </w:rPr>
        <w:t>հարկային</w:t>
      </w:r>
      <w:r w:rsidRPr="00AB12EF">
        <w:rPr>
          <w:lang w:val="fr-FR"/>
        </w:rPr>
        <w:t xml:space="preserve"> </w:t>
      </w:r>
      <w:r w:rsidRPr="00AB12EF">
        <w:rPr>
          <w:lang w:val="hy-AM"/>
        </w:rPr>
        <w:t>եկամուտներ</w:t>
      </w:r>
      <w:r w:rsidRPr="00AB12EF">
        <w:rPr>
          <w:lang w:val="fr-FR"/>
        </w:rPr>
        <w:t xml:space="preserve"> </w:t>
      </w:r>
      <w:r w:rsidRPr="00AB12EF">
        <w:rPr>
          <w:lang w:val="hy-AM"/>
        </w:rPr>
        <w:t>և</w:t>
      </w:r>
      <w:r w:rsidRPr="00AB12EF">
        <w:rPr>
          <w:lang w:val="fr-FR"/>
        </w:rPr>
        <w:t xml:space="preserve"> </w:t>
      </w:r>
      <w:r w:rsidRPr="00AB12EF">
        <w:rPr>
          <w:lang w:val="hy-AM"/>
        </w:rPr>
        <w:t>պետական</w:t>
      </w:r>
      <w:r w:rsidRPr="00AB12EF">
        <w:rPr>
          <w:lang w:val="fr-FR"/>
        </w:rPr>
        <w:t xml:space="preserve"> </w:t>
      </w:r>
      <w:r w:rsidRPr="00AB12EF">
        <w:rPr>
          <w:lang w:val="hy-AM"/>
        </w:rPr>
        <w:t>տուրքեր</w:t>
      </w:r>
      <w:r w:rsidRPr="00AB12EF">
        <w:rPr>
          <w:lang w:val="fr-FR"/>
        </w:rPr>
        <w:t xml:space="preserve"> /</w:t>
      </w:r>
      <w:r w:rsidRPr="00AB12EF">
        <w:rPr>
          <w:lang w:val="hy-AM"/>
        </w:rPr>
        <w:t>ՀՆԱ</w:t>
      </w:r>
      <w:r w:rsidRPr="00AB12EF">
        <w:rPr>
          <w:lang w:val="fr-FR"/>
        </w:rPr>
        <w:t xml:space="preserve"> </w:t>
      </w:r>
      <w:r w:rsidRPr="00AB12EF">
        <w:rPr>
          <w:lang w:val="hy-AM"/>
        </w:rPr>
        <w:t>ցուցանիշի</w:t>
      </w:r>
      <w:r w:rsidRPr="00AB12EF">
        <w:rPr>
          <w:lang w:val="fr-FR"/>
        </w:rPr>
        <w:t xml:space="preserve"> </w:t>
      </w:r>
      <w:r w:rsidRPr="00AB12EF">
        <w:rPr>
          <w:lang w:val="hy-AM"/>
        </w:rPr>
        <w:t>սպասողական</w:t>
      </w:r>
      <w:r w:rsidRPr="00AB12EF">
        <w:rPr>
          <w:lang w:val="fr-FR"/>
        </w:rPr>
        <w:t xml:space="preserve"> </w:t>
      </w:r>
      <w:r w:rsidRPr="00AB12EF">
        <w:rPr>
          <w:lang w:val="hy-AM"/>
        </w:rPr>
        <w:t>մակարդակը</w:t>
      </w:r>
      <w:r w:rsidRPr="00AB12EF">
        <w:rPr>
          <w:lang w:val="fr-FR"/>
        </w:rPr>
        <w:t xml:space="preserve"> </w:t>
      </w:r>
      <w:r w:rsidRPr="00AB12EF">
        <w:rPr>
          <w:lang w:val="hy-AM"/>
        </w:rPr>
        <w:t>ապա</w:t>
      </w:r>
      <w:r w:rsidRPr="00AB12EF">
        <w:rPr>
          <w:lang w:val="fr-FR"/>
        </w:rPr>
        <w:softHyphen/>
      </w:r>
      <w:r w:rsidRPr="00AB12EF">
        <w:rPr>
          <w:lang w:val="hy-AM"/>
        </w:rPr>
        <w:t>հո</w:t>
      </w:r>
      <w:r w:rsidRPr="00AB12EF">
        <w:rPr>
          <w:lang w:val="fr-FR"/>
        </w:rPr>
        <w:softHyphen/>
      </w:r>
      <w:r w:rsidRPr="00AB12EF">
        <w:rPr>
          <w:lang w:val="hy-AM"/>
        </w:rPr>
        <w:t>վե</w:t>
      </w:r>
      <w:r w:rsidRPr="00AB12EF">
        <w:rPr>
          <w:lang w:val="fr-FR"/>
        </w:rPr>
        <w:softHyphen/>
      </w:r>
      <w:r w:rsidRPr="00AB12EF">
        <w:rPr>
          <w:lang w:val="hy-AM"/>
        </w:rPr>
        <w:t>լու</w:t>
      </w:r>
      <w:r w:rsidRPr="00AB12EF">
        <w:rPr>
          <w:lang w:val="fr-FR"/>
        </w:rPr>
        <w:t xml:space="preserve"> </w:t>
      </w:r>
      <w:r w:rsidRPr="00AB12EF">
        <w:rPr>
          <w:lang w:val="hy-AM"/>
        </w:rPr>
        <w:t>համար</w:t>
      </w:r>
      <w:r w:rsidRPr="00AB12EF">
        <w:rPr>
          <w:lang w:val="fr-FR"/>
        </w:rPr>
        <w:t xml:space="preserve"> </w:t>
      </w:r>
      <w:r w:rsidRPr="00AB12EF">
        <w:rPr>
          <w:lang w:val="hy-AM"/>
        </w:rPr>
        <w:t>բա</w:t>
      </w:r>
      <w:r w:rsidRPr="00AB12EF">
        <w:rPr>
          <w:lang w:val="fr-FR"/>
        </w:rPr>
        <w:softHyphen/>
      </w:r>
      <w:r w:rsidRPr="00AB12EF">
        <w:rPr>
          <w:lang w:val="fr-FR"/>
        </w:rPr>
        <w:softHyphen/>
      </w:r>
      <w:r w:rsidRPr="00AB12EF">
        <w:rPr>
          <w:lang w:val="hy-AM"/>
        </w:rPr>
        <w:t>վարար</w:t>
      </w:r>
      <w:r w:rsidRPr="00AB12EF">
        <w:rPr>
          <w:lang w:val="fr-FR"/>
        </w:rPr>
        <w:t xml:space="preserve"> </w:t>
      </w:r>
      <w:r w:rsidRPr="00AB12EF">
        <w:rPr>
          <w:lang w:val="hy-AM"/>
        </w:rPr>
        <w:t>հիմքեր</w:t>
      </w:r>
      <w:r w:rsidRPr="00AB12EF">
        <w:rPr>
          <w:lang w:val="fr-FR"/>
        </w:rPr>
        <w:t xml:space="preserve"> </w:t>
      </w:r>
      <w:r w:rsidRPr="00AB12EF">
        <w:rPr>
          <w:lang w:val="hy-AM"/>
        </w:rPr>
        <w:t>կստեղծեն</w:t>
      </w:r>
      <w:r w:rsidRPr="00AB12EF">
        <w:rPr>
          <w:lang w:val="fr-FR"/>
        </w:rPr>
        <w:t xml:space="preserve"> </w:t>
      </w:r>
      <w:r w:rsidRPr="00AB12EF">
        <w:rPr>
          <w:lang w:val="hy-AM"/>
        </w:rPr>
        <w:t>առկա</w:t>
      </w:r>
      <w:r w:rsidRPr="00AB12EF">
        <w:rPr>
          <w:lang w:val="fr-FR"/>
        </w:rPr>
        <w:t xml:space="preserve"> </w:t>
      </w:r>
      <w:r w:rsidRPr="00AB12EF">
        <w:rPr>
          <w:lang w:val="hy-AM"/>
        </w:rPr>
        <w:t>օրենս</w:t>
      </w:r>
      <w:r w:rsidRPr="00AB12EF">
        <w:rPr>
          <w:lang w:val="fr-FR"/>
        </w:rPr>
        <w:softHyphen/>
      </w:r>
      <w:r w:rsidRPr="00AB12EF">
        <w:rPr>
          <w:lang w:val="hy-AM"/>
        </w:rPr>
        <w:t>դրա</w:t>
      </w:r>
      <w:r w:rsidRPr="00AB12EF">
        <w:rPr>
          <w:lang w:val="fr-FR"/>
        </w:rPr>
        <w:softHyphen/>
      </w:r>
      <w:r w:rsidRPr="00AB12EF">
        <w:rPr>
          <w:lang w:val="fr-FR"/>
        </w:rPr>
        <w:softHyphen/>
      </w:r>
      <w:r w:rsidRPr="00AB12EF">
        <w:rPr>
          <w:lang w:val="hy-AM"/>
        </w:rPr>
        <w:t>կան</w:t>
      </w:r>
      <w:r w:rsidRPr="00AB12EF">
        <w:rPr>
          <w:lang w:val="fr-FR"/>
        </w:rPr>
        <w:t xml:space="preserve"> </w:t>
      </w:r>
      <w:r w:rsidRPr="00AB12EF">
        <w:rPr>
          <w:lang w:val="hy-AM"/>
        </w:rPr>
        <w:t>նա</w:t>
      </w:r>
      <w:r w:rsidRPr="00AB12EF">
        <w:rPr>
          <w:lang w:val="fr-FR"/>
        </w:rPr>
        <w:softHyphen/>
      </w:r>
      <w:r w:rsidRPr="00AB12EF">
        <w:rPr>
          <w:lang w:val="hy-AM"/>
        </w:rPr>
        <w:t>խադրյալները</w:t>
      </w:r>
      <w:r w:rsidRPr="00AB12EF">
        <w:rPr>
          <w:lang w:val="fr-FR"/>
        </w:rPr>
        <w:t xml:space="preserve">, </w:t>
      </w:r>
      <w:r w:rsidRPr="00AB12EF">
        <w:rPr>
          <w:lang w:val="hy-AM"/>
        </w:rPr>
        <w:t>կի</w:t>
      </w:r>
      <w:r w:rsidRPr="00AB12EF">
        <w:rPr>
          <w:lang w:val="fr-FR"/>
        </w:rPr>
        <w:softHyphen/>
      </w:r>
      <w:r w:rsidRPr="00AB12EF">
        <w:rPr>
          <w:lang w:val="hy-AM"/>
        </w:rPr>
        <w:t>րառ</w:t>
      </w:r>
      <w:r w:rsidRPr="00AB12EF">
        <w:rPr>
          <w:lang w:val="fr-FR"/>
        </w:rPr>
        <w:softHyphen/>
      </w:r>
      <w:r w:rsidRPr="00AB12EF">
        <w:rPr>
          <w:lang w:val="fr-FR"/>
        </w:rPr>
        <w:softHyphen/>
      </w:r>
      <w:r w:rsidRPr="00AB12EF">
        <w:rPr>
          <w:lang w:val="hy-AM"/>
        </w:rPr>
        <w:t>վելիք</w:t>
      </w:r>
      <w:r w:rsidRPr="00AB12EF">
        <w:rPr>
          <w:lang w:val="fr-FR"/>
        </w:rPr>
        <w:t xml:space="preserve"> </w:t>
      </w:r>
      <w:r w:rsidRPr="00AB12EF">
        <w:rPr>
          <w:lang w:val="hy-AM"/>
        </w:rPr>
        <w:t>վարչարարական</w:t>
      </w:r>
      <w:r w:rsidRPr="00AB12EF">
        <w:rPr>
          <w:lang w:val="fr-FR"/>
        </w:rPr>
        <w:t xml:space="preserve"> </w:t>
      </w:r>
      <w:r w:rsidRPr="00AB12EF">
        <w:rPr>
          <w:lang w:val="hy-AM"/>
        </w:rPr>
        <w:t>միջոցա</w:t>
      </w:r>
      <w:r w:rsidRPr="00AB12EF">
        <w:rPr>
          <w:lang w:val="fr-FR"/>
        </w:rPr>
        <w:softHyphen/>
      </w:r>
      <w:r w:rsidRPr="00AB12EF">
        <w:rPr>
          <w:lang w:val="hy-AM"/>
        </w:rPr>
        <w:t>ռում</w:t>
      </w:r>
      <w:r w:rsidRPr="00AB12EF">
        <w:rPr>
          <w:lang w:val="fr-FR"/>
        </w:rPr>
        <w:softHyphen/>
      </w:r>
      <w:r w:rsidRPr="00AB12EF">
        <w:rPr>
          <w:lang w:val="hy-AM"/>
        </w:rPr>
        <w:t>ները</w:t>
      </w:r>
      <w:r w:rsidRPr="00AB12EF">
        <w:rPr>
          <w:lang w:val="fr-FR"/>
        </w:rPr>
        <w:t xml:space="preserve">, </w:t>
      </w:r>
      <w:r w:rsidRPr="00AB12EF">
        <w:rPr>
          <w:lang w:val="hy-AM"/>
        </w:rPr>
        <w:t>ինչպես</w:t>
      </w:r>
      <w:r w:rsidRPr="00AB12EF">
        <w:rPr>
          <w:lang w:val="fr-FR"/>
        </w:rPr>
        <w:t xml:space="preserve"> </w:t>
      </w:r>
      <w:r w:rsidRPr="00AB12EF">
        <w:rPr>
          <w:lang w:val="hy-AM"/>
        </w:rPr>
        <w:t>նաև</w:t>
      </w:r>
      <w:r w:rsidRPr="00AB12EF">
        <w:rPr>
          <w:lang w:val="fr-FR"/>
        </w:rPr>
        <w:t xml:space="preserve"> </w:t>
      </w:r>
      <w:r w:rsidRPr="00AB12EF">
        <w:rPr>
          <w:lang w:val="hy-AM"/>
        </w:rPr>
        <w:t>մակ</w:t>
      </w:r>
      <w:r w:rsidRPr="00AB12EF">
        <w:rPr>
          <w:lang w:val="fr-FR"/>
        </w:rPr>
        <w:softHyphen/>
      </w:r>
      <w:r w:rsidRPr="00AB12EF">
        <w:rPr>
          <w:lang w:val="hy-AM"/>
        </w:rPr>
        <w:t>րո</w:t>
      </w:r>
      <w:r w:rsidRPr="00AB12EF">
        <w:rPr>
          <w:lang w:val="fr-FR"/>
        </w:rPr>
        <w:softHyphen/>
      </w:r>
      <w:r w:rsidRPr="00AB12EF">
        <w:rPr>
          <w:lang w:val="hy-AM"/>
        </w:rPr>
        <w:t>տնտե</w:t>
      </w:r>
      <w:r w:rsidRPr="00AB12EF">
        <w:rPr>
          <w:lang w:val="fr-FR"/>
        </w:rPr>
        <w:softHyphen/>
      </w:r>
      <w:r w:rsidRPr="00AB12EF">
        <w:rPr>
          <w:lang w:val="hy-AM"/>
        </w:rPr>
        <w:t>սական</w:t>
      </w:r>
      <w:r w:rsidRPr="00AB12EF">
        <w:rPr>
          <w:lang w:val="fr-FR"/>
        </w:rPr>
        <w:t xml:space="preserve"> </w:t>
      </w:r>
      <w:r w:rsidRPr="00AB12EF">
        <w:rPr>
          <w:lang w:val="hy-AM"/>
        </w:rPr>
        <w:t>զար</w:t>
      </w:r>
      <w:r w:rsidRPr="00AB12EF">
        <w:rPr>
          <w:lang w:val="fr-FR"/>
        </w:rPr>
        <w:softHyphen/>
      </w:r>
      <w:r w:rsidRPr="00AB12EF">
        <w:rPr>
          <w:lang w:val="hy-AM"/>
        </w:rPr>
        <w:t>գա</w:t>
      </w:r>
      <w:r w:rsidRPr="00AB12EF">
        <w:rPr>
          <w:lang w:val="fr-FR"/>
        </w:rPr>
        <w:softHyphen/>
      </w:r>
      <w:r w:rsidRPr="00AB12EF">
        <w:rPr>
          <w:lang w:val="hy-AM"/>
        </w:rPr>
        <w:t>ցում</w:t>
      </w:r>
      <w:r w:rsidRPr="00AB12EF">
        <w:rPr>
          <w:lang w:val="fr-FR"/>
        </w:rPr>
        <w:softHyphen/>
      </w:r>
      <w:r w:rsidRPr="00AB12EF">
        <w:rPr>
          <w:lang w:val="hy-AM"/>
        </w:rPr>
        <w:t>նե</w:t>
      </w:r>
      <w:r w:rsidRPr="00AB12EF">
        <w:rPr>
          <w:lang w:val="fr-FR"/>
        </w:rPr>
        <w:softHyphen/>
      </w:r>
      <w:r w:rsidRPr="00AB12EF">
        <w:rPr>
          <w:lang w:val="hy-AM"/>
        </w:rPr>
        <w:t>րը</w:t>
      </w:r>
      <w:r w:rsidRPr="00AB12EF">
        <w:rPr>
          <w:lang w:val="fr-FR"/>
        </w:rPr>
        <w:t>:</w:t>
      </w:r>
      <w:r w:rsidRPr="00E77731">
        <w:rPr>
          <w:lang w:val="fr-FR"/>
        </w:rPr>
        <w:t xml:space="preserve"> </w:t>
      </w:r>
      <w:bookmarkStart w:id="365" w:name="_Toc52223576"/>
    </w:p>
    <w:p w14:paraId="7510F69E" w14:textId="72313581" w:rsidR="00ED147C" w:rsidRPr="00CC702D" w:rsidRDefault="00ED147C" w:rsidP="00ED147C">
      <w:pPr>
        <w:pStyle w:val="Charts"/>
        <w:spacing w:before="120" w:line="276" w:lineRule="auto"/>
        <w:ind w:right="357"/>
      </w:pPr>
      <w:bookmarkStart w:id="366" w:name="_Toc184110746"/>
      <w:r w:rsidRPr="00CC702D">
        <w:t xml:space="preserve">Գծապատկեր </w:t>
      </w:r>
      <w:r w:rsidRPr="00CC702D">
        <w:fldChar w:fldCharType="begin"/>
      </w:r>
      <w:r w:rsidRPr="00CC702D">
        <w:instrText xml:space="preserve"> SEQ Գծապատկեր \* ARABIC </w:instrText>
      </w:r>
      <w:r w:rsidRPr="00CC702D">
        <w:fldChar w:fldCharType="separate"/>
      </w:r>
      <w:r w:rsidR="001848B1">
        <w:rPr>
          <w:noProof/>
        </w:rPr>
        <w:t>1</w:t>
      </w:r>
      <w:r w:rsidRPr="00CC702D">
        <w:fldChar w:fldCharType="end"/>
      </w:r>
      <w:r w:rsidRPr="00CC702D">
        <w:t>. ՀՀ 202</w:t>
      </w:r>
      <w:r>
        <w:t>2</w:t>
      </w:r>
      <w:r w:rsidRPr="00CC702D">
        <w:t>-202</w:t>
      </w:r>
      <w:r>
        <w:t>8</w:t>
      </w:r>
      <w:r w:rsidRPr="00CC702D">
        <w:t>թթ. Հարկային եկամուտները և պետական տուրքերը</w:t>
      </w:r>
      <w:r>
        <w:t xml:space="preserve"> </w:t>
      </w:r>
      <w:r w:rsidRPr="00CC702D">
        <w:t>(մլրդ դրամով) և կշիռը ՀՆԱ-ի նկատմամբ</w:t>
      </w:r>
      <w:bookmarkEnd w:id="366"/>
    </w:p>
    <w:p w14:paraId="26D1F4E6" w14:textId="77777777" w:rsidR="00ED147C" w:rsidRPr="0092287F" w:rsidRDefault="00ED147C" w:rsidP="00ED147C">
      <w:pPr>
        <w:pStyle w:val="Charts"/>
        <w:tabs>
          <w:tab w:val="left" w:pos="9630"/>
        </w:tabs>
        <w:spacing w:before="120" w:line="276" w:lineRule="auto"/>
        <w:ind w:right="357"/>
      </w:pPr>
      <w:bookmarkStart w:id="367" w:name="_Toc178350582"/>
      <w:bookmarkStart w:id="368" w:name="_Toc178595160"/>
      <w:bookmarkEnd w:id="365"/>
      <w:r w:rsidRPr="00C3014C">
        <w:rPr>
          <w:noProof/>
          <w:lang w:val="en-US"/>
        </w:rPr>
        <w:drawing>
          <wp:anchor distT="0" distB="0" distL="114300" distR="114300" simplePos="0" relativeHeight="251951104" behindDoc="0" locked="0" layoutInCell="1" allowOverlap="1" wp14:anchorId="3C770E63" wp14:editId="3E6FCBB9">
            <wp:simplePos x="0" y="0"/>
            <wp:positionH relativeFrom="column">
              <wp:posOffset>4313</wp:posOffset>
            </wp:positionH>
            <wp:positionV relativeFrom="paragraph">
              <wp:posOffset>152292</wp:posOffset>
            </wp:positionV>
            <wp:extent cx="6175375" cy="2654300"/>
            <wp:effectExtent l="0" t="0" r="15875" b="12700"/>
            <wp:wrapTopAndBottom/>
            <wp:docPr id="1" name="Chart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67"/>
              </a:graphicData>
            </a:graphic>
            <wp14:sizeRelH relativeFrom="margin">
              <wp14:pctWidth>0</wp14:pctWidth>
            </wp14:sizeRelH>
            <wp14:sizeRelV relativeFrom="margin">
              <wp14:pctHeight>0</wp14:pctHeight>
            </wp14:sizeRelV>
          </wp:anchor>
        </w:drawing>
      </w:r>
      <w:bookmarkEnd w:id="367"/>
      <w:bookmarkEnd w:id="368"/>
    </w:p>
    <w:p w14:paraId="5FACEBCD" w14:textId="77777777" w:rsidR="00ED147C" w:rsidRPr="00C3014C" w:rsidRDefault="00ED147C" w:rsidP="00ED147C">
      <w:pPr>
        <w:ind w:right="357"/>
        <w:jc w:val="both"/>
        <w:rPr>
          <w:lang w:val="af-ZA" w:eastAsia="en-GB"/>
        </w:rPr>
      </w:pPr>
    </w:p>
    <w:p w14:paraId="07DF05EC" w14:textId="77777777" w:rsidR="00ED147C" w:rsidRPr="006758B1" w:rsidRDefault="00ED147C" w:rsidP="00ED147C">
      <w:pPr>
        <w:pStyle w:val="TOC4"/>
        <w:spacing w:before="120" w:after="120"/>
        <w:ind w:right="357"/>
        <w:jc w:val="both"/>
        <w:rPr>
          <w:lang w:val="hy-AM"/>
        </w:rPr>
      </w:pPr>
      <w:bookmarkStart w:id="369" w:name="_Toc178356583"/>
      <w:bookmarkStart w:id="370" w:name="_Toc153184482"/>
      <w:r>
        <w:rPr>
          <w:lang w:val="hy-AM"/>
        </w:rPr>
        <w:t>2026</w:t>
      </w:r>
      <w:r w:rsidRPr="0092287F">
        <w:rPr>
          <w:lang w:val="hy-AM"/>
        </w:rPr>
        <w:t xml:space="preserve"> ԹՎԱԿԱՆԻ ՀԱՐԿԱՅԻՆ ԾԱԽՍԵՐԻ ՄԵԾՈՒԹՅԱՆ ԳՆԱՀԱՏՈՒՄ</w:t>
      </w:r>
      <w:bookmarkEnd w:id="369"/>
      <w:bookmarkEnd w:id="370"/>
    </w:p>
    <w:p w14:paraId="1043C4CA" w14:textId="6676D75B" w:rsidR="00092A45" w:rsidRPr="00092A45" w:rsidRDefault="00092A45" w:rsidP="00ED147C">
      <w:pPr>
        <w:ind w:right="357"/>
        <w:jc w:val="both"/>
        <w:rPr>
          <w:rFonts w:cs="Sylfaen"/>
          <w:iCs/>
          <w:lang w:val="af-ZA" w:eastAsia="en-GB"/>
        </w:rPr>
      </w:pPr>
      <w:r w:rsidRPr="00A83C94">
        <w:rPr>
          <w:rFonts w:cs="Sylfaen"/>
          <w:iCs/>
          <w:lang w:val="af-ZA" w:eastAsia="en-GB"/>
        </w:rPr>
        <w:t>ՀՀ 202</w:t>
      </w:r>
      <w:r>
        <w:rPr>
          <w:rFonts w:cs="Sylfaen"/>
          <w:iCs/>
          <w:lang w:val="hy-AM" w:eastAsia="en-GB"/>
        </w:rPr>
        <w:t>6</w:t>
      </w:r>
      <w:r w:rsidRPr="00A83C94">
        <w:rPr>
          <w:rFonts w:cs="Sylfaen"/>
          <w:iCs/>
          <w:lang w:val="af-ZA" w:eastAsia="en-GB"/>
        </w:rPr>
        <w:t xml:space="preserve"> թվականի հարկային եկա</w:t>
      </w:r>
      <w:r w:rsidRPr="00A83C94">
        <w:rPr>
          <w:rFonts w:cs="Sylfaen"/>
          <w:iCs/>
          <w:lang w:val="af-ZA" w:eastAsia="en-GB"/>
        </w:rPr>
        <w:softHyphen/>
        <w:t>մուտ</w:t>
      </w:r>
      <w:r w:rsidRPr="00A83C94">
        <w:rPr>
          <w:rFonts w:cs="Sylfaen"/>
          <w:iCs/>
          <w:lang w:val="af-ZA" w:eastAsia="en-GB"/>
        </w:rPr>
        <w:softHyphen/>
        <w:t>նե</w:t>
      </w:r>
      <w:r w:rsidRPr="00A83C94">
        <w:rPr>
          <w:rFonts w:cs="Sylfaen"/>
          <w:iCs/>
          <w:lang w:val="af-ZA" w:eastAsia="en-GB"/>
        </w:rPr>
        <w:softHyphen/>
        <w:t>րի մուտքերի կանխատեսմամբ հանդերձ միջազգային պրակ</w:t>
      </w:r>
      <w:r w:rsidRPr="00A83C94">
        <w:rPr>
          <w:rFonts w:cs="Sylfaen"/>
          <w:iCs/>
          <w:lang w:val="af-ZA" w:eastAsia="en-GB"/>
        </w:rPr>
        <w:softHyphen/>
        <w:t xml:space="preserve">տիկայում ընդունված մոտեցումների հիման վրա կատարվել է </w:t>
      </w:r>
      <w:r>
        <w:rPr>
          <w:rFonts w:cs="Sylfaen"/>
          <w:iCs/>
          <w:lang w:val="af-ZA" w:eastAsia="en-GB"/>
        </w:rPr>
        <w:t>2026</w:t>
      </w:r>
      <w:r w:rsidRPr="00A83C94">
        <w:rPr>
          <w:rFonts w:cs="Sylfaen"/>
          <w:iCs/>
          <w:lang w:val="af-ZA" w:eastAsia="en-GB"/>
        </w:rPr>
        <w:t xml:space="preserve"> թվականի հար</w:t>
      </w:r>
      <w:r w:rsidRPr="00A83C94">
        <w:rPr>
          <w:rFonts w:cs="Sylfaen"/>
          <w:iCs/>
          <w:lang w:val="af-ZA" w:eastAsia="en-GB"/>
        </w:rPr>
        <w:softHyphen/>
        <w:t>կա</w:t>
      </w:r>
      <w:r w:rsidRPr="00A83C94">
        <w:rPr>
          <w:rFonts w:cs="Sylfaen"/>
          <w:iCs/>
          <w:lang w:val="af-ZA" w:eastAsia="en-GB"/>
        </w:rPr>
        <w:softHyphen/>
        <w:t>յին ծախսերի գնահատում</w:t>
      </w:r>
      <w:r>
        <w:rPr>
          <w:rFonts w:cs="Sylfaen"/>
          <w:iCs/>
          <w:lang w:val="hy-AM" w:eastAsia="en-GB"/>
        </w:rPr>
        <w:t>։ Գ</w:t>
      </w:r>
      <w:r w:rsidRPr="00AB18D9">
        <w:rPr>
          <w:lang w:val="hy-AM"/>
        </w:rPr>
        <w:t>նահատման արդյունք</w:t>
      </w:r>
      <w:r>
        <w:rPr>
          <w:lang w:val="hy-AM"/>
        </w:rPr>
        <w:t xml:space="preserve">ում </w:t>
      </w:r>
      <w:r w:rsidRPr="00AB18D9">
        <w:rPr>
          <w:lang w:val="hy-AM"/>
        </w:rPr>
        <w:t xml:space="preserve">հարկային ծախսերի տարեկան մեծությունը կազմել է </w:t>
      </w:r>
      <w:r w:rsidRPr="00CA6975">
        <w:rPr>
          <w:lang w:val="hy-AM"/>
        </w:rPr>
        <w:t>802,847</w:t>
      </w:r>
      <w:r w:rsidRPr="00AB18D9">
        <w:rPr>
          <w:lang w:val="hy-AM"/>
        </w:rPr>
        <w:t xml:space="preserve"> մլն դրամ, ինչը 31,707 մլն դրամով կամ 4.1 տոկոսով ավելին է, քան նախորդ տարվա գնահատականը:</w:t>
      </w:r>
      <w:r w:rsidR="00C444E7" w:rsidRPr="00C444E7">
        <w:rPr>
          <w:lang w:val="hy-AM"/>
        </w:rPr>
        <w:t xml:space="preserve"> </w:t>
      </w:r>
      <w:r w:rsidR="00C444E7">
        <w:rPr>
          <w:lang w:val="hy-AM"/>
        </w:rPr>
        <w:t>Հարկային ծախսեր ՀՆԱ հարաբերակցությունը կազմում է 6</w:t>
      </w:r>
      <w:r w:rsidR="00C444E7" w:rsidRPr="00C444E7">
        <w:rPr>
          <w:lang w:val="hy-AM"/>
        </w:rPr>
        <w:t>.</w:t>
      </w:r>
      <w:r w:rsidR="00C444E7">
        <w:rPr>
          <w:lang w:val="hy-AM"/>
        </w:rPr>
        <w:t>7 տոկոս, իսկ հարկային ծախսեր հարկային եկամուտներ հարաբերակցությունը՝</w:t>
      </w:r>
      <w:r w:rsidR="00C444E7" w:rsidRPr="00C444E7">
        <w:rPr>
          <w:lang w:val="hy-AM"/>
        </w:rPr>
        <w:t xml:space="preserve"> 27 </w:t>
      </w:r>
      <w:r w:rsidR="00C444E7">
        <w:rPr>
          <w:lang w:val="hy-AM"/>
        </w:rPr>
        <w:t>տոկոս</w:t>
      </w:r>
      <w:r w:rsidR="00C444E7" w:rsidRPr="00C444E7">
        <w:rPr>
          <w:lang w:val="hy-AM"/>
        </w:rPr>
        <w:t>:</w:t>
      </w:r>
      <w:r>
        <w:rPr>
          <w:lang w:val="hy-AM"/>
        </w:rPr>
        <w:t xml:space="preserve"> </w:t>
      </w:r>
      <w:r>
        <w:rPr>
          <w:rFonts w:cs="Sylfaen"/>
          <w:iCs/>
          <w:lang w:val="hy-AM" w:eastAsia="en-GB"/>
        </w:rPr>
        <w:t>Գնահատման արդյունքները</w:t>
      </w:r>
      <w:r w:rsidR="00C444E7" w:rsidRPr="00C444E7">
        <w:rPr>
          <w:rFonts w:cs="Sylfaen"/>
          <w:iCs/>
          <w:lang w:val="hy-AM" w:eastAsia="en-GB"/>
        </w:rPr>
        <w:t xml:space="preserve"> </w:t>
      </w:r>
      <w:r w:rsidR="00C444E7">
        <w:rPr>
          <w:rFonts w:cs="Sylfaen"/>
          <w:iCs/>
          <w:lang w:val="hy-AM" w:eastAsia="en-GB"/>
        </w:rPr>
        <w:t>ավելի մանրամասն</w:t>
      </w:r>
      <w:r>
        <w:rPr>
          <w:rFonts w:cs="Sylfaen"/>
          <w:iCs/>
          <w:lang w:val="hy-AM" w:eastAsia="en-GB"/>
        </w:rPr>
        <w:t xml:space="preserve">՝ այդ թվում ոլորտային գնահատականներ, </w:t>
      </w:r>
      <w:r w:rsidRPr="00A83C94">
        <w:rPr>
          <w:rFonts w:cs="Sylfaen"/>
          <w:iCs/>
          <w:lang w:val="af-ZA" w:eastAsia="en-GB"/>
        </w:rPr>
        <w:t>ներ</w:t>
      </w:r>
      <w:r w:rsidRPr="00A83C94">
        <w:rPr>
          <w:rFonts w:cs="Sylfaen"/>
          <w:iCs/>
          <w:lang w:val="af-ZA" w:eastAsia="en-GB"/>
        </w:rPr>
        <w:softHyphen/>
        <w:t xml:space="preserve">կայացված են </w:t>
      </w:r>
      <w:r w:rsidRPr="00A83C94">
        <w:rPr>
          <w:rFonts w:cs="Sylfaen"/>
          <w:iCs/>
          <w:lang w:val="hy-AM" w:eastAsia="en-GB"/>
        </w:rPr>
        <w:t>Վերլուծություններ բաժնում</w:t>
      </w:r>
      <w:r w:rsidRPr="00A83C94">
        <w:rPr>
          <w:rFonts w:cs="Sylfaen"/>
          <w:iCs/>
          <w:lang w:val="af-ZA" w:eastAsia="en-GB"/>
        </w:rPr>
        <w:t>:</w:t>
      </w:r>
    </w:p>
    <w:p w14:paraId="2C5BD49F" w14:textId="77777777" w:rsidR="00ED147C" w:rsidRPr="004C3F5B" w:rsidRDefault="00ED147C" w:rsidP="00ED147C">
      <w:pPr>
        <w:ind w:right="357"/>
        <w:jc w:val="both"/>
        <w:rPr>
          <w:b/>
          <w:lang w:val="hy-AM"/>
        </w:rPr>
      </w:pPr>
      <w:r>
        <w:rPr>
          <w:b/>
          <w:lang w:val="hy-AM"/>
        </w:rPr>
        <w:t xml:space="preserve">  </w:t>
      </w:r>
      <w:r w:rsidRPr="00170A48">
        <w:rPr>
          <w:b/>
          <w:lang w:val="hy-AM"/>
        </w:rPr>
        <w:t>Պետական</w:t>
      </w:r>
      <w:r w:rsidRPr="001D2D3B">
        <w:rPr>
          <w:b/>
          <w:lang w:val="af-ZA"/>
        </w:rPr>
        <w:t xml:space="preserve"> </w:t>
      </w:r>
      <w:r w:rsidRPr="00170A48">
        <w:rPr>
          <w:b/>
          <w:lang w:val="hy-AM"/>
        </w:rPr>
        <w:t>տուրքեր</w:t>
      </w:r>
    </w:p>
    <w:p w14:paraId="59F899EC" w14:textId="77777777" w:rsidR="00ED147C" w:rsidRPr="00B2668A" w:rsidRDefault="00ED147C" w:rsidP="00ED147C">
      <w:pPr>
        <w:pStyle w:val="BodyText1"/>
        <w:ind w:left="0" w:right="357"/>
        <w:rPr>
          <w:lang w:val="af-ZA" w:eastAsia="ru-RU"/>
        </w:rPr>
      </w:pPr>
      <w:r w:rsidRPr="00B2668A">
        <w:rPr>
          <w:lang w:val="hy-AM"/>
        </w:rPr>
        <w:t xml:space="preserve">Պետական տուրքերի գծով 2026 թվականի բյուջետային մուտքերը ծրագրվել են </w:t>
      </w:r>
      <w:r>
        <w:rPr>
          <w:lang w:val="hy-AM"/>
        </w:rPr>
        <w:t>87</w:t>
      </w:r>
      <w:r w:rsidRPr="00B2668A">
        <w:rPr>
          <w:lang w:val="hy-AM"/>
        </w:rPr>
        <w:t>.</w:t>
      </w:r>
      <w:r>
        <w:rPr>
          <w:lang w:val="hy-AM"/>
        </w:rPr>
        <w:t>9</w:t>
      </w:r>
      <w:r w:rsidRPr="00B2668A">
        <w:rPr>
          <w:lang w:val="hy-AM"/>
        </w:rPr>
        <w:t xml:space="preserve"> մլրդ </w:t>
      </w:r>
      <w:r>
        <w:rPr>
          <w:lang w:val="hy-AM"/>
        </w:rPr>
        <w:t>դրամ, 2027 թվականին 88</w:t>
      </w:r>
      <w:r w:rsidRPr="002737C5">
        <w:rPr>
          <w:lang w:val="hy-AM"/>
        </w:rPr>
        <w:t>.</w:t>
      </w:r>
      <w:r w:rsidRPr="00E97B9C">
        <w:rPr>
          <w:lang w:val="hy-AM"/>
        </w:rPr>
        <w:t>3</w:t>
      </w:r>
      <w:r>
        <w:rPr>
          <w:lang w:val="hy-AM"/>
        </w:rPr>
        <w:t xml:space="preserve"> մլրդ դրամ, իսկ 2028 թվականին 89</w:t>
      </w:r>
      <w:r w:rsidRPr="002737C5">
        <w:rPr>
          <w:lang w:val="hy-AM"/>
        </w:rPr>
        <w:t>.1</w:t>
      </w:r>
      <w:r>
        <w:rPr>
          <w:lang w:val="hy-AM"/>
        </w:rPr>
        <w:t xml:space="preserve"> մլրդ դրամ</w:t>
      </w:r>
      <w:r w:rsidRPr="00B2668A">
        <w:rPr>
          <w:lang w:val="hy-AM"/>
        </w:rPr>
        <w:t>` 2025 թվականի համար հաստատված</w:t>
      </w:r>
      <w:r>
        <w:rPr>
          <w:lang w:val="hy-AM"/>
        </w:rPr>
        <w:t xml:space="preserve"> 74.8</w:t>
      </w:r>
      <w:r w:rsidRPr="00B2668A">
        <w:rPr>
          <w:lang w:val="hy-AM"/>
        </w:rPr>
        <w:t xml:space="preserve"> մլրդ դրամի և 2024 թվականին փաստացի ստացված</w:t>
      </w:r>
      <w:r>
        <w:rPr>
          <w:lang w:val="hy-AM"/>
        </w:rPr>
        <w:t xml:space="preserve"> 80.5</w:t>
      </w:r>
      <w:r w:rsidRPr="00B2668A">
        <w:rPr>
          <w:lang w:val="hy-AM"/>
        </w:rPr>
        <w:t xml:space="preserve"> մլրդ դրամի դիմաց:</w:t>
      </w:r>
    </w:p>
    <w:p w14:paraId="3135DB7C" w14:textId="0908ADDC" w:rsidR="00ED147C" w:rsidRPr="00AB12EF" w:rsidRDefault="00ED147C" w:rsidP="00ED147C">
      <w:pPr>
        <w:pStyle w:val="BodyText1"/>
        <w:ind w:left="0" w:right="357"/>
        <w:rPr>
          <w:lang w:val="hy-AM"/>
        </w:rPr>
      </w:pPr>
      <w:r w:rsidRPr="00AB12EF">
        <w:t>Պետական</w:t>
      </w:r>
      <w:r w:rsidRPr="00AB12EF">
        <w:rPr>
          <w:lang w:val="af-ZA"/>
        </w:rPr>
        <w:t xml:space="preserve"> </w:t>
      </w:r>
      <w:r w:rsidRPr="00AB12EF">
        <w:t>տուրքերի</w:t>
      </w:r>
      <w:r w:rsidRPr="00AB12EF">
        <w:rPr>
          <w:lang w:val="af-ZA"/>
        </w:rPr>
        <w:t xml:space="preserve"> </w:t>
      </w:r>
      <w:r w:rsidRPr="00AB12EF">
        <w:t>գծով</w:t>
      </w:r>
      <w:r>
        <w:rPr>
          <w:lang w:val="af-ZA"/>
        </w:rPr>
        <w:t xml:space="preserve"> </w:t>
      </w:r>
      <w:r w:rsidRPr="00AB12EF">
        <w:t>բյուջետային</w:t>
      </w:r>
      <w:r w:rsidRPr="00AB12EF">
        <w:rPr>
          <w:lang w:val="af-ZA"/>
        </w:rPr>
        <w:t xml:space="preserve"> </w:t>
      </w:r>
      <w:r w:rsidRPr="00AB12EF">
        <w:t>մուտքերի</w:t>
      </w:r>
      <w:r w:rsidRPr="00AB12EF">
        <w:rPr>
          <w:lang w:val="af-ZA"/>
        </w:rPr>
        <w:t xml:space="preserve"> </w:t>
      </w:r>
      <w:r w:rsidRPr="00AB12EF">
        <w:t>կանխատեսումները</w:t>
      </w:r>
      <w:r w:rsidRPr="00AB12EF">
        <w:rPr>
          <w:lang w:val="af-ZA"/>
        </w:rPr>
        <w:t xml:space="preserve"> </w:t>
      </w:r>
      <w:r w:rsidRPr="00AB12EF">
        <w:t>կատարվել</w:t>
      </w:r>
      <w:r w:rsidRPr="00AB12EF">
        <w:rPr>
          <w:lang w:val="af-ZA"/>
        </w:rPr>
        <w:t xml:space="preserve"> </w:t>
      </w:r>
      <w:r w:rsidRPr="00AB12EF">
        <w:t>են</w:t>
      </w:r>
      <w:r w:rsidRPr="00AB12EF">
        <w:rPr>
          <w:lang w:val="af-ZA"/>
        </w:rPr>
        <w:t xml:space="preserve"> </w:t>
      </w:r>
      <w:r w:rsidRPr="00AB12EF">
        <w:t>ըստ</w:t>
      </w:r>
      <w:r w:rsidRPr="00AB12EF">
        <w:rPr>
          <w:lang w:val="af-ZA"/>
        </w:rPr>
        <w:t xml:space="preserve"> </w:t>
      </w:r>
      <w:r w:rsidRPr="00AB12EF">
        <w:t>դրանց</w:t>
      </w:r>
      <w:r w:rsidRPr="00AB12EF">
        <w:rPr>
          <w:lang w:val="af-ZA"/>
        </w:rPr>
        <w:t xml:space="preserve"> </w:t>
      </w:r>
      <w:r w:rsidRPr="00AB12EF">
        <w:t>նախորդ</w:t>
      </w:r>
      <w:r w:rsidRPr="00AB12EF">
        <w:rPr>
          <w:lang w:val="af-ZA"/>
        </w:rPr>
        <w:t xml:space="preserve"> </w:t>
      </w:r>
      <w:r w:rsidRPr="00AB12EF">
        <w:t>տարիների</w:t>
      </w:r>
      <w:r w:rsidRPr="00AB12EF">
        <w:rPr>
          <w:lang w:val="af-ZA"/>
        </w:rPr>
        <w:t xml:space="preserve"> </w:t>
      </w:r>
      <w:r w:rsidRPr="00AB12EF">
        <w:t>փաստացի</w:t>
      </w:r>
      <w:r w:rsidRPr="00AB12EF">
        <w:rPr>
          <w:lang w:val="af-ZA"/>
        </w:rPr>
        <w:t xml:space="preserve"> </w:t>
      </w:r>
      <w:r w:rsidRPr="00AB12EF">
        <w:t>հավաքագրումների</w:t>
      </w:r>
      <w:r w:rsidRPr="00AB12EF">
        <w:rPr>
          <w:lang w:val="af-ZA"/>
        </w:rPr>
        <w:t xml:space="preserve"> </w:t>
      </w:r>
      <w:r w:rsidRPr="00AB12EF">
        <w:t>միտումների</w:t>
      </w:r>
      <w:r w:rsidRPr="00AB12EF">
        <w:rPr>
          <w:lang w:val="af-ZA"/>
        </w:rPr>
        <w:t>, h</w:t>
      </w:r>
      <w:r w:rsidRPr="00AB12EF">
        <w:t>աշվի</w:t>
      </w:r>
      <w:r w:rsidRPr="00AB12EF">
        <w:rPr>
          <w:lang w:val="af-ZA"/>
        </w:rPr>
        <w:t xml:space="preserve"> </w:t>
      </w:r>
      <w:r w:rsidRPr="00AB12EF">
        <w:t>առնելով</w:t>
      </w:r>
      <w:r w:rsidRPr="00AB12EF">
        <w:rPr>
          <w:lang w:val="af-ZA"/>
        </w:rPr>
        <w:t xml:space="preserve"> </w:t>
      </w:r>
      <w:r w:rsidRPr="00AB12EF">
        <w:t>ՀՀ</w:t>
      </w:r>
      <w:r w:rsidRPr="00AB12EF">
        <w:rPr>
          <w:lang w:val="af-ZA"/>
        </w:rPr>
        <w:t xml:space="preserve"> </w:t>
      </w:r>
      <w:r w:rsidRPr="00AB12EF">
        <w:t>օրենսդրության</w:t>
      </w:r>
      <w:r w:rsidRPr="00AB12EF">
        <w:rPr>
          <w:lang w:val="af-ZA"/>
        </w:rPr>
        <w:t xml:space="preserve"> </w:t>
      </w:r>
      <w:r w:rsidRPr="00AB12EF">
        <w:t>մեջ</w:t>
      </w:r>
      <w:r w:rsidRPr="00AB12EF">
        <w:rPr>
          <w:lang w:val="af-ZA"/>
        </w:rPr>
        <w:t xml:space="preserve"> </w:t>
      </w:r>
      <w:r w:rsidRPr="00AB12EF">
        <w:t>կատարված</w:t>
      </w:r>
      <w:r w:rsidRPr="00AB12EF">
        <w:rPr>
          <w:lang w:val="af-ZA"/>
        </w:rPr>
        <w:t xml:space="preserve"> </w:t>
      </w:r>
      <w:r w:rsidRPr="00AB12EF">
        <w:t>առանձին</w:t>
      </w:r>
      <w:r w:rsidRPr="00AB12EF">
        <w:rPr>
          <w:lang w:val="af-ZA"/>
        </w:rPr>
        <w:t xml:space="preserve"> </w:t>
      </w:r>
      <w:r w:rsidRPr="00AB12EF">
        <w:t>փոփոխություններ</w:t>
      </w:r>
      <w:r w:rsidR="00696D1E">
        <w:rPr>
          <w:lang w:val="hy-AM"/>
        </w:rPr>
        <w:t>ը</w:t>
      </w:r>
      <w:r w:rsidRPr="00AB12EF">
        <w:rPr>
          <w:lang w:val="af-ZA"/>
        </w:rPr>
        <w:t xml:space="preserve"> </w:t>
      </w:r>
      <w:r w:rsidRPr="00AB12EF">
        <w:rPr>
          <w:lang w:val="hy-AM"/>
        </w:rPr>
        <w:t xml:space="preserve">և </w:t>
      </w:r>
      <w:r w:rsidRPr="00AB12EF">
        <w:t>լրացումները</w:t>
      </w:r>
      <w:r w:rsidRPr="00AB12EF">
        <w:rPr>
          <w:lang w:val="af-ZA"/>
        </w:rPr>
        <w:t xml:space="preserve">, </w:t>
      </w:r>
      <w:r w:rsidRPr="00AB12EF">
        <w:t>ինչպես</w:t>
      </w:r>
      <w:r w:rsidRPr="00AB12EF">
        <w:rPr>
          <w:lang w:val="af-ZA"/>
        </w:rPr>
        <w:t xml:space="preserve"> </w:t>
      </w:r>
      <w:r w:rsidRPr="00AB12EF">
        <w:t>նաև</w:t>
      </w:r>
      <w:r w:rsidRPr="00AB12EF">
        <w:rPr>
          <w:lang w:val="af-ZA"/>
        </w:rPr>
        <w:t xml:space="preserve"> </w:t>
      </w:r>
      <w:r w:rsidRPr="00AB12EF">
        <w:t>պետական</w:t>
      </w:r>
      <w:r w:rsidRPr="00AB12EF">
        <w:rPr>
          <w:lang w:val="af-ZA"/>
        </w:rPr>
        <w:t xml:space="preserve"> </w:t>
      </w:r>
      <w:r w:rsidRPr="00AB12EF">
        <w:t>տուրքի</w:t>
      </w:r>
      <w:r w:rsidRPr="00AB12EF">
        <w:rPr>
          <w:lang w:val="af-ZA"/>
        </w:rPr>
        <w:t xml:space="preserve"> </w:t>
      </w:r>
      <w:r w:rsidRPr="00AB12EF">
        <w:t>յուրաքանչյուր</w:t>
      </w:r>
      <w:r w:rsidRPr="00AB12EF">
        <w:rPr>
          <w:lang w:val="af-ZA"/>
        </w:rPr>
        <w:t xml:space="preserve"> </w:t>
      </w:r>
      <w:r w:rsidRPr="00AB12EF">
        <w:t>տեսակի</w:t>
      </w:r>
      <w:r w:rsidRPr="00AB12EF">
        <w:rPr>
          <w:lang w:val="af-ZA"/>
        </w:rPr>
        <w:t xml:space="preserve"> </w:t>
      </w:r>
      <w:r w:rsidRPr="00AB12EF">
        <w:t>առանձնահատկությունները</w:t>
      </w:r>
      <w:r w:rsidRPr="00AB12EF">
        <w:rPr>
          <w:lang w:val="af-ZA"/>
        </w:rPr>
        <w:t xml:space="preserve">: </w:t>
      </w:r>
    </w:p>
    <w:p w14:paraId="7A31FB56" w14:textId="77777777" w:rsidR="00ED147C" w:rsidRPr="00006861" w:rsidRDefault="00ED147C" w:rsidP="00ED147C">
      <w:pPr>
        <w:pStyle w:val="BodyText1"/>
        <w:ind w:left="0" w:right="357"/>
        <w:rPr>
          <w:lang w:val="hy-AM"/>
        </w:rPr>
      </w:pPr>
      <w:r w:rsidRPr="00006861">
        <w:rPr>
          <w:lang w:val="hy-AM"/>
        </w:rPr>
        <w:t xml:space="preserve">Մասնավորապես՝ </w:t>
      </w:r>
    </w:p>
    <w:p w14:paraId="6A840388" w14:textId="77777777" w:rsidR="00ED147C" w:rsidRDefault="00ED147C" w:rsidP="00ED147C">
      <w:pPr>
        <w:pStyle w:val="BodyText1"/>
        <w:tabs>
          <w:tab w:val="left" w:pos="4802"/>
        </w:tabs>
        <w:ind w:left="0" w:right="357"/>
        <w:rPr>
          <w:lang w:val="hy-AM"/>
        </w:rPr>
      </w:pPr>
      <w:r w:rsidRPr="00006861">
        <w:rPr>
          <w:lang w:val="hy-AM"/>
        </w:rPr>
        <w:t>2025 թվականի փետրվարի 27-ից ուժի մեջ է մտել «Պետական տուրքի մասին» Հայաստանի Հանրապետության օրենքում լրացում կատարելու մասին» 22.01.2025թ. ՀՕ-28-Ն օրենքը, որով սահմանվում է տուրք ոչ հրապարակային ֆոնդի կառավարման գործունեության</w:t>
      </w:r>
      <w:r>
        <w:rPr>
          <w:lang w:val="hy-AM"/>
        </w:rPr>
        <w:t xml:space="preserve"> համար՝ տարեկան </w:t>
      </w:r>
      <w:r w:rsidRPr="00006861">
        <w:rPr>
          <w:lang w:val="hy-AM"/>
        </w:rPr>
        <w:t>բազային տուրքի</w:t>
      </w:r>
      <w:r>
        <w:rPr>
          <w:lang w:val="hy-AM"/>
        </w:rPr>
        <w:t xml:space="preserve"> </w:t>
      </w:r>
      <w:r w:rsidRPr="00006861">
        <w:rPr>
          <w:lang w:val="hy-AM"/>
        </w:rPr>
        <w:t>500-ապատիկի չափով</w:t>
      </w:r>
      <w:r>
        <w:rPr>
          <w:lang w:val="hy-AM"/>
        </w:rPr>
        <w:t>։</w:t>
      </w:r>
    </w:p>
    <w:p w14:paraId="65886AD2" w14:textId="77777777" w:rsidR="00ED147C" w:rsidRDefault="00ED147C" w:rsidP="00ED147C">
      <w:pPr>
        <w:pStyle w:val="BodyText1"/>
        <w:tabs>
          <w:tab w:val="left" w:pos="4802"/>
        </w:tabs>
        <w:ind w:left="0" w:right="357"/>
        <w:rPr>
          <w:lang w:val="hy-AM"/>
        </w:rPr>
      </w:pPr>
      <w:r w:rsidRPr="00006861">
        <w:rPr>
          <w:lang w:val="hy-AM"/>
        </w:rPr>
        <w:t xml:space="preserve">2025 թվականի </w:t>
      </w:r>
      <w:r>
        <w:rPr>
          <w:lang w:val="hy-AM"/>
        </w:rPr>
        <w:t>ապրիլ</w:t>
      </w:r>
      <w:r w:rsidRPr="00006861">
        <w:rPr>
          <w:lang w:val="hy-AM"/>
        </w:rPr>
        <w:t xml:space="preserve">ի </w:t>
      </w:r>
      <w:r>
        <w:rPr>
          <w:lang w:val="hy-AM"/>
        </w:rPr>
        <w:t>1</w:t>
      </w:r>
      <w:r w:rsidRPr="00006861">
        <w:rPr>
          <w:lang w:val="hy-AM"/>
        </w:rPr>
        <w:t xml:space="preserve">-ից ուժի մեջ է մտել «Պետական տուրքի մասին» Հայաստանի Հանրապետության օրենքում </w:t>
      </w:r>
      <w:r>
        <w:rPr>
          <w:lang w:val="hy-AM"/>
        </w:rPr>
        <w:t xml:space="preserve">փոփոխություն և </w:t>
      </w:r>
      <w:r w:rsidRPr="00006861">
        <w:rPr>
          <w:lang w:val="hy-AM"/>
        </w:rPr>
        <w:t>լրացում կատարելու մասին</w:t>
      </w:r>
      <w:r>
        <w:rPr>
          <w:lang w:val="hy-AM"/>
        </w:rPr>
        <w:t>» 06</w:t>
      </w:r>
      <w:r w:rsidRPr="00006861">
        <w:rPr>
          <w:lang w:val="hy-AM"/>
        </w:rPr>
        <w:t>.</w:t>
      </w:r>
      <w:r>
        <w:rPr>
          <w:lang w:val="hy-AM"/>
        </w:rPr>
        <w:t>03</w:t>
      </w:r>
      <w:r w:rsidRPr="00006861">
        <w:rPr>
          <w:lang w:val="hy-AM"/>
        </w:rPr>
        <w:t>.2025թ. ՀՕ</w:t>
      </w:r>
      <w:r>
        <w:rPr>
          <w:lang w:val="hy-AM"/>
        </w:rPr>
        <w:t>-52</w:t>
      </w:r>
      <w:r w:rsidRPr="00006861">
        <w:rPr>
          <w:lang w:val="hy-AM"/>
        </w:rPr>
        <w:t>-Ն օրենքը, որով</w:t>
      </w:r>
      <w:r>
        <w:rPr>
          <w:lang w:val="hy-AM"/>
        </w:rPr>
        <w:t xml:space="preserve"> փոփոխություններ և լրացումներ են կատարվել ի</w:t>
      </w:r>
      <w:r w:rsidRPr="00AB4D8E">
        <w:rPr>
          <w:lang w:val="hy-AM"/>
        </w:rPr>
        <w:t xml:space="preserve">նտերնետ շահումով խաղի և (կամ) տոտալիզատորի (ինտերնետ տոտալիզատորի) կազմակերպչի կողմից խաղադրույք ընդունելու իրավունք ձեռք բերելու համար </w:t>
      </w:r>
      <w:r>
        <w:rPr>
          <w:lang w:val="hy-AM"/>
        </w:rPr>
        <w:t xml:space="preserve">սահմանվող </w:t>
      </w:r>
      <w:r w:rsidRPr="00AB4D8E">
        <w:rPr>
          <w:lang w:val="hy-AM"/>
        </w:rPr>
        <w:t xml:space="preserve">պետական տուրքի </w:t>
      </w:r>
      <w:r>
        <w:rPr>
          <w:lang w:val="hy-AM"/>
        </w:rPr>
        <w:t>դրույքաչափերում։</w:t>
      </w:r>
      <w:r w:rsidRPr="00006861">
        <w:rPr>
          <w:lang w:val="hy-AM"/>
        </w:rPr>
        <w:t xml:space="preserve"> </w:t>
      </w:r>
    </w:p>
    <w:p w14:paraId="3D76E224" w14:textId="77777777" w:rsidR="00ED147C" w:rsidRDefault="00ED147C" w:rsidP="00ED147C">
      <w:pPr>
        <w:pStyle w:val="BodyText1"/>
        <w:tabs>
          <w:tab w:val="left" w:pos="4802"/>
        </w:tabs>
        <w:ind w:left="0" w:right="357"/>
        <w:rPr>
          <w:lang w:val="hy-AM"/>
        </w:rPr>
      </w:pPr>
      <w:r w:rsidRPr="00006861">
        <w:rPr>
          <w:lang w:val="hy-AM"/>
        </w:rPr>
        <w:t xml:space="preserve">2025 թվականի </w:t>
      </w:r>
      <w:r>
        <w:rPr>
          <w:lang w:val="hy-AM"/>
        </w:rPr>
        <w:t>հունիսի</w:t>
      </w:r>
      <w:r w:rsidRPr="00006861">
        <w:rPr>
          <w:lang w:val="hy-AM"/>
        </w:rPr>
        <w:t xml:space="preserve"> </w:t>
      </w:r>
      <w:r>
        <w:rPr>
          <w:lang w:val="hy-AM"/>
        </w:rPr>
        <w:t>14</w:t>
      </w:r>
      <w:r w:rsidRPr="00006861">
        <w:rPr>
          <w:lang w:val="hy-AM"/>
        </w:rPr>
        <w:t xml:space="preserve">-ից ուժի մեջ է մտել «Պետական տուրքի մասին» Հայաստանի Հանրապետության օրենքում </w:t>
      </w:r>
      <w:r>
        <w:rPr>
          <w:lang w:val="hy-AM"/>
        </w:rPr>
        <w:t xml:space="preserve">փոփոխություն </w:t>
      </w:r>
      <w:r w:rsidRPr="00006861">
        <w:rPr>
          <w:lang w:val="hy-AM"/>
        </w:rPr>
        <w:t>կատարելու մասին</w:t>
      </w:r>
      <w:r>
        <w:rPr>
          <w:lang w:val="hy-AM"/>
        </w:rPr>
        <w:t>» 29</w:t>
      </w:r>
      <w:r w:rsidRPr="00006861">
        <w:rPr>
          <w:lang w:val="hy-AM"/>
        </w:rPr>
        <w:t>.</w:t>
      </w:r>
      <w:r>
        <w:rPr>
          <w:lang w:val="hy-AM"/>
        </w:rPr>
        <w:t>05</w:t>
      </w:r>
      <w:r w:rsidRPr="00006861">
        <w:rPr>
          <w:lang w:val="hy-AM"/>
        </w:rPr>
        <w:t>.2025թ. ՀՕ</w:t>
      </w:r>
      <w:r>
        <w:rPr>
          <w:lang w:val="hy-AM"/>
        </w:rPr>
        <w:t>-122</w:t>
      </w:r>
      <w:r w:rsidRPr="00006861">
        <w:rPr>
          <w:lang w:val="hy-AM"/>
        </w:rPr>
        <w:t>-Ն օրենքը, որով</w:t>
      </w:r>
      <w:r>
        <w:rPr>
          <w:lang w:val="hy-AM"/>
        </w:rPr>
        <w:t xml:space="preserve"> </w:t>
      </w:r>
      <w:r w:rsidRPr="007C4799">
        <w:rPr>
          <w:lang w:val="hy-AM"/>
        </w:rPr>
        <w:t>«Արտաքին տնտեսական գործունեության ապրանքային անվանացանկ» (ԱՏԳ ԱԱ) դասակարգչի 2523 ծածկագրին դասվող ցեմենտի (բացառությամբ 2523210000, 2523100000 ապրանքային դիրքերին դասվող ծածկագրերի)՝ «Բացթողում՝ ներքին սպառման համար», «Վերամշակում՝ մաքսային տարածքում» և «Վերամշակում՝ ներքին սպառման համար» մաքսային ընթացակարգերով յուրաքանչյուր մինչև հարյուր տոննայի ներմուծման լիցենզիա տրամադրելու համար</w:t>
      </w:r>
      <w:r>
        <w:rPr>
          <w:lang w:val="hy-AM"/>
        </w:rPr>
        <w:t xml:space="preserve"> սահմանվող պետական տուրքի դրույքաչափը բազային տուրքի 200-ապատիկ չափից փոխվել է բազային տուրքի 800-ապատիկի չափ։</w:t>
      </w:r>
    </w:p>
    <w:p w14:paraId="14CE4F7B" w14:textId="77777777" w:rsidR="00ED147C" w:rsidRDefault="00ED147C" w:rsidP="00ED147C">
      <w:pPr>
        <w:pStyle w:val="BodyText1"/>
        <w:tabs>
          <w:tab w:val="left" w:pos="4802"/>
        </w:tabs>
        <w:ind w:left="0" w:right="357"/>
        <w:rPr>
          <w:lang w:val="hy-AM"/>
        </w:rPr>
      </w:pPr>
      <w:r w:rsidRPr="00006861">
        <w:rPr>
          <w:lang w:val="hy-AM"/>
        </w:rPr>
        <w:t xml:space="preserve">2025 թվականի </w:t>
      </w:r>
      <w:r>
        <w:rPr>
          <w:lang w:val="hy-AM"/>
        </w:rPr>
        <w:t>հուլիսի</w:t>
      </w:r>
      <w:r w:rsidRPr="00006861">
        <w:rPr>
          <w:lang w:val="hy-AM"/>
        </w:rPr>
        <w:t xml:space="preserve"> </w:t>
      </w:r>
      <w:r>
        <w:rPr>
          <w:lang w:val="hy-AM"/>
        </w:rPr>
        <w:t>4</w:t>
      </w:r>
      <w:r w:rsidRPr="00006861">
        <w:rPr>
          <w:lang w:val="hy-AM"/>
        </w:rPr>
        <w:t>-ից ուժի մեջ է մտել «Պետական տուրքի մասին» Հայաստանի Հանրապետության օրենքում լրացում</w:t>
      </w:r>
      <w:r>
        <w:rPr>
          <w:lang w:val="hy-AM"/>
        </w:rPr>
        <w:t>ներ</w:t>
      </w:r>
      <w:r w:rsidRPr="00006861">
        <w:rPr>
          <w:lang w:val="hy-AM"/>
        </w:rPr>
        <w:t xml:space="preserve"> կատարելու մասին</w:t>
      </w:r>
      <w:r>
        <w:rPr>
          <w:lang w:val="hy-AM"/>
        </w:rPr>
        <w:t>» 29</w:t>
      </w:r>
      <w:r w:rsidRPr="00006861">
        <w:rPr>
          <w:lang w:val="hy-AM"/>
        </w:rPr>
        <w:t>.</w:t>
      </w:r>
      <w:r>
        <w:rPr>
          <w:lang w:val="hy-AM"/>
        </w:rPr>
        <w:t>05</w:t>
      </w:r>
      <w:r w:rsidRPr="00006861">
        <w:rPr>
          <w:lang w:val="hy-AM"/>
        </w:rPr>
        <w:t>.2025թ. ՀՕ</w:t>
      </w:r>
      <w:r>
        <w:rPr>
          <w:lang w:val="hy-AM"/>
        </w:rPr>
        <w:t>-177</w:t>
      </w:r>
      <w:r w:rsidRPr="00006861">
        <w:rPr>
          <w:lang w:val="hy-AM"/>
        </w:rPr>
        <w:t>-Ն օրենքը, որով</w:t>
      </w:r>
      <w:r>
        <w:rPr>
          <w:lang w:val="hy-AM"/>
        </w:rPr>
        <w:t xml:space="preserve"> </w:t>
      </w:r>
      <w:r w:rsidRPr="00006861">
        <w:rPr>
          <w:lang w:val="hy-AM"/>
        </w:rPr>
        <w:t>սահմանվում է տուրք</w:t>
      </w:r>
      <w:r>
        <w:rPr>
          <w:lang w:val="hy-AM"/>
        </w:rPr>
        <w:t xml:space="preserve"> կ</w:t>
      </w:r>
      <w:r w:rsidRPr="00CF3FD7">
        <w:rPr>
          <w:lang w:val="hy-AM"/>
        </w:rPr>
        <w:t>րիպտոակտիվներով ծառայություններ մատուցող անձի, յուրաքանչյուր մասնաճյուղի և ներկայացուցչության գործունեության համար</w:t>
      </w:r>
      <w:r>
        <w:rPr>
          <w:lang w:val="hy-AM"/>
        </w:rPr>
        <w:t>։</w:t>
      </w:r>
    </w:p>
    <w:p w14:paraId="49CBD156" w14:textId="77777777" w:rsidR="00ED147C" w:rsidRDefault="00ED147C" w:rsidP="00ED147C">
      <w:pPr>
        <w:pStyle w:val="BodyText1"/>
        <w:tabs>
          <w:tab w:val="left" w:pos="4802"/>
        </w:tabs>
        <w:ind w:left="0" w:right="357"/>
        <w:rPr>
          <w:lang w:val="hy-AM"/>
        </w:rPr>
      </w:pPr>
      <w:r w:rsidRPr="00006861">
        <w:rPr>
          <w:lang w:val="hy-AM"/>
        </w:rPr>
        <w:t xml:space="preserve">2025 թվականի </w:t>
      </w:r>
      <w:r>
        <w:rPr>
          <w:lang w:val="hy-AM"/>
        </w:rPr>
        <w:t>հուլիսի</w:t>
      </w:r>
      <w:r w:rsidRPr="00006861">
        <w:rPr>
          <w:lang w:val="hy-AM"/>
        </w:rPr>
        <w:t xml:space="preserve"> </w:t>
      </w:r>
      <w:r>
        <w:rPr>
          <w:lang w:val="hy-AM"/>
        </w:rPr>
        <w:t>16</w:t>
      </w:r>
      <w:r w:rsidRPr="00006861">
        <w:rPr>
          <w:lang w:val="hy-AM"/>
        </w:rPr>
        <w:t xml:space="preserve">-ից ուժի մեջ է մտել «Պետական տուրքի մասին» Հայաստանի Հանրապետության օրենքում </w:t>
      </w:r>
      <w:r>
        <w:rPr>
          <w:lang w:val="hy-AM"/>
        </w:rPr>
        <w:t xml:space="preserve">փոփոխություն և </w:t>
      </w:r>
      <w:r w:rsidRPr="00006861">
        <w:rPr>
          <w:lang w:val="hy-AM"/>
        </w:rPr>
        <w:t>լրացում կատարելու մասին</w:t>
      </w:r>
      <w:r>
        <w:rPr>
          <w:lang w:val="hy-AM"/>
        </w:rPr>
        <w:t>» 03</w:t>
      </w:r>
      <w:r w:rsidRPr="00006861">
        <w:rPr>
          <w:lang w:val="hy-AM"/>
        </w:rPr>
        <w:t>.</w:t>
      </w:r>
      <w:r>
        <w:rPr>
          <w:lang w:val="hy-AM"/>
        </w:rPr>
        <w:t>07</w:t>
      </w:r>
      <w:r w:rsidRPr="00006861">
        <w:rPr>
          <w:lang w:val="hy-AM"/>
        </w:rPr>
        <w:t>.2025թ. ՀՕ</w:t>
      </w:r>
      <w:r>
        <w:rPr>
          <w:lang w:val="hy-AM"/>
        </w:rPr>
        <w:t>-232</w:t>
      </w:r>
      <w:r w:rsidRPr="00006861">
        <w:rPr>
          <w:lang w:val="hy-AM"/>
        </w:rPr>
        <w:t>-Ն օրենքը, որով</w:t>
      </w:r>
      <w:r>
        <w:rPr>
          <w:lang w:val="hy-AM"/>
        </w:rPr>
        <w:t xml:space="preserve"> սահմանվել է տուրք </w:t>
      </w:r>
      <w:r w:rsidRPr="00D756C0">
        <w:rPr>
          <w:lang w:val="hy-AM"/>
        </w:rPr>
        <w:t>«ԵԱՏՄ արտաքին տնտեսական գործունեության ապրանքային անվանացանկ» (ԵԱՏՄ ԱՏԳ ԱԱ) դասակարգչի 7214 և 7215 ապրանքային դիրքերին դասվող պողպատե ամրանների՝ «Բացթողում՝ ներքին սպառման համար», «Վերամշակում՝ մաքսային տարածքում» և «Վերամշակում՝ ներքին սպառման համար» մաքսային ընթացակարգերով յուրաքանչյուր մինչև մեկ տոննայի ներմուծման լիցենզիա տրամադրելու համար</w:t>
      </w:r>
      <w:r>
        <w:rPr>
          <w:lang w:val="hy-AM"/>
        </w:rPr>
        <w:t xml:space="preserve">՝ բազային տուրքի </w:t>
      </w:r>
      <w:r w:rsidRPr="00D756C0">
        <w:rPr>
          <w:lang w:val="hy-AM"/>
        </w:rPr>
        <w:t>29-ապատիկի չափով</w:t>
      </w:r>
      <w:r>
        <w:rPr>
          <w:lang w:val="hy-AM"/>
        </w:rPr>
        <w:t>։</w:t>
      </w:r>
    </w:p>
    <w:p w14:paraId="2B2ABE2A" w14:textId="77777777" w:rsidR="00ED147C" w:rsidRDefault="00ED147C" w:rsidP="00ED147C">
      <w:pPr>
        <w:pStyle w:val="BodyText1"/>
        <w:tabs>
          <w:tab w:val="left" w:pos="4802"/>
        </w:tabs>
        <w:ind w:left="0" w:right="357"/>
        <w:rPr>
          <w:lang w:val="hy-AM"/>
        </w:rPr>
      </w:pPr>
      <w:r w:rsidRPr="00350B83">
        <w:rPr>
          <w:lang w:val="hy-AM"/>
        </w:rPr>
        <w:t xml:space="preserve">2025 թվականի </w:t>
      </w:r>
      <w:r>
        <w:rPr>
          <w:lang w:val="hy-AM"/>
        </w:rPr>
        <w:t>սեպտեմբերի</w:t>
      </w:r>
      <w:r w:rsidRPr="00350B83">
        <w:rPr>
          <w:lang w:val="hy-AM"/>
        </w:rPr>
        <w:t xml:space="preserve"> 1-ից ուժի մեջ է մտել «Պետական տուրքի մասին» Հայաստանի Հանրապետության օրենքում փոփոխություն</w:t>
      </w:r>
      <w:r>
        <w:rPr>
          <w:lang w:val="hy-AM"/>
        </w:rPr>
        <w:t>ներ</w:t>
      </w:r>
      <w:r w:rsidRPr="00350B83">
        <w:rPr>
          <w:lang w:val="hy-AM"/>
        </w:rPr>
        <w:t xml:space="preserve"> և լրացում</w:t>
      </w:r>
      <w:r>
        <w:rPr>
          <w:lang w:val="hy-AM"/>
        </w:rPr>
        <w:t>ներ</w:t>
      </w:r>
      <w:r w:rsidRPr="00350B83">
        <w:rPr>
          <w:lang w:val="hy-AM"/>
        </w:rPr>
        <w:t xml:space="preserve"> կատարելու մասին</w:t>
      </w:r>
      <w:r>
        <w:rPr>
          <w:lang w:val="hy-AM"/>
        </w:rPr>
        <w:t>» 22</w:t>
      </w:r>
      <w:r w:rsidRPr="00350B83">
        <w:rPr>
          <w:lang w:val="hy-AM"/>
        </w:rPr>
        <w:t>.0</w:t>
      </w:r>
      <w:r>
        <w:rPr>
          <w:lang w:val="hy-AM"/>
        </w:rPr>
        <w:t>1</w:t>
      </w:r>
      <w:r w:rsidRPr="00350B83">
        <w:rPr>
          <w:lang w:val="hy-AM"/>
        </w:rPr>
        <w:t>.2025թ. ՀՕ</w:t>
      </w:r>
      <w:r>
        <w:rPr>
          <w:lang w:val="hy-AM"/>
        </w:rPr>
        <w:t>-5</w:t>
      </w:r>
      <w:r w:rsidRPr="00350B83">
        <w:rPr>
          <w:lang w:val="hy-AM"/>
        </w:rPr>
        <w:t xml:space="preserve">-Ն օրենքը, որով </w:t>
      </w:r>
      <w:r>
        <w:rPr>
          <w:lang w:val="hy-AM"/>
        </w:rPr>
        <w:t xml:space="preserve">փոփոխություններ է կատարվել </w:t>
      </w:r>
      <w:r w:rsidRPr="00F10FB7">
        <w:rPr>
          <w:lang w:val="hy-AM"/>
        </w:rPr>
        <w:t xml:space="preserve">Հայաստանի Հանրապետության քաղաքացիություն ստանալու և Հայաստանի Հանրապետության քաղաքացիությունը փոփոխելու համար </w:t>
      </w:r>
      <w:r>
        <w:rPr>
          <w:lang w:val="hy-AM"/>
        </w:rPr>
        <w:t xml:space="preserve">սահմանվող </w:t>
      </w:r>
      <w:r w:rsidRPr="00F10FB7">
        <w:rPr>
          <w:lang w:val="hy-AM"/>
        </w:rPr>
        <w:t xml:space="preserve">պետական տուրքի </w:t>
      </w:r>
      <w:r>
        <w:rPr>
          <w:lang w:val="hy-AM"/>
        </w:rPr>
        <w:t>դրույքաչափերում։</w:t>
      </w:r>
    </w:p>
    <w:p w14:paraId="21CE16A5" w14:textId="77777777" w:rsidR="00ED147C" w:rsidRPr="0038467B" w:rsidRDefault="00ED147C" w:rsidP="00ED147C">
      <w:pPr>
        <w:pStyle w:val="BodyText1"/>
        <w:tabs>
          <w:tab w:val="left" w:pos="4802"/>
        </w:tabs>
        <w:ind w:left="0" w:right="357"/>
        <w:rPr>
          <w:lang w:val="hy-AM"/>
        </w:rPr>
      </w:pPr>
      <w:r w:rsidRPr="00350B83">
        <w:rPr>
          <w:lang w:val="hy-AM"/>
        </w:rPr>
        <w:t xml:space="preserve">2025 թվականի </w:t>
      </w:r>
      <w:r>
        <w:rPr>
          <w:lang w:val="hy-AM"/>
        </w:rPr>
        <w:t>սեպտեմբերի</w:t>
      </w:r>
      <w:r w:rsidRPr="00350B83">
        <w:rPr>
          <w:lang w:val="hy-AM"/>
        </w:rPr>
        <w:t xml:space="preserve"> 1-ից ուժի մեջ է մտել «Պետական տուրքի մասին» Հայաստանի Հանրապետության օրենքում փոփոխություն</w:t>
      </w:r>
      <w:r>
        <w:rPr>
          <w:lang w:val="hy-AM"/>
        </w:rPr>
        <w:t>ներ</w:t>
      </w:r>
      <w:r w:rsidRPr="00350B83">
        <w:rPr>
          <w:lang w:val="hy-AM"/>
        </w:rPr>
        <w:t xml:space="preserve"> և լրացում</w:t>
      </w:r>
      <w:r>
        <w:rPr>
          <w:lang w:val="hy-AM"/>
        </w:rPr>
        <w:t>ներ</w:t>
      </w:r>
      <w:r w:rsidRPr="00350B83">
        <w:rPr>
          <w:lang w:val="hy-AM"/>
        </w:rPr>
        <w:t xml:space="preserve"> կատարելու մասին</w:t>
      </w:r>
      <w:r>
        <w:rPr>
          <w:lang w:val="hy-AM"/>
        </w:rPr>
        <w:t>» 03</w:t>
      </w:r>
      <w:r w:rsidRPr="00350B83">
        <w:rPr>
          <w:lang w:val="hy-AM"/>
        </w:rPr>
        <w:t>.0</w:t>
      </w:r>
      <w:r>
        <w:rPr>
          <w:lang w:val="hy-AM"/>
        </w:rPr>
        <w:t>7</w:t>
      </w:r>
      <w:r w:rsidRPr="00350B83">
        <w:rPr>
          <w:lang w:val="hy-AM"/>
        </w:rPr>
        <w:t>.2025թ. ՀՕ</w:t>
      </w:r>
      <w:r>
        <w:rPr>
          <w:lang w:val="hy-AM"/>
        </w:rPr>
        <w:t>-259</w:t>
      </w:r>
      <w:r w:rsidRPr="00350B83">
        <w:rPr>
          <w:lang w:val="hy-AM"/>
        </w:rPr>
        <w:t xml:space="preserve">-Ն օրենքը, որով </w:t>
      </w:r>
      <w:r>
        <w:rPr>
          <w:lang w:val="hy-AM"/>
        </w:rPr>
        <w:t xml:space="preserve">պետական տուրք է սահմանվում </w:t>
      </w:r>
      <w:r w:rsidRPr="0038467B">
        <w:rPr>
          <w:lang w:val="hy-AM"/>
        </w:rPr>
        <w:t>սեփականատիրոջ անվամբ առաջին անգամ</w:t>
      </w:r>
      <w:r>
        <w:rPr>
          <w:lang w:val="hy-AM"/>
        </w:rPr>
        <w:t xml:space="preserve"> </w:t>
      </w:r>
      <w:r w:rsidRPr="0038467B">
        <w:rPr>
          <w:lang w:val="hy-AM"/>
        </w:rPr>
        <w:t>հաշվառվող ավտոմոբիլի, մոտոտրանսպորտային միջոցի</w:t>
      </w:r>
      <w:r>
        <w:rPr>
          <w:lang w:val="hy-AM"/>
        </w:rPr>
        <w:t xml:space="preserve">, </w:t>
      </w:r>
      <w:r w:rsidRPr="0038467B">
        <w:rPr>
          <w:lang w:val="hy-AM"/>
        </w:rPr>
        <w:t>տրիցիկլի, քվադրիցիկլի, կցորդի (կիսակցորդի) միայն թվային հաշվառման վկայագիր տալու</w:t>
      </w:r>
      <w:r>
        <w:rPr>
          <w:lang w:val="hy-AM"/>
        </w:rPr>
        <w:t xml:space="preserve"> համար, ինչպես նաև </w:t>
      </w:r>
      <w:r w:rsidRPr="0038467B">
        <w:rPr>
          <w:lang w:val="hy-AM"/>
        </w:rPr>
        <w:t>որակավորման քննությունների դրական արդյունքների հիման վրա առաջին անգամ միայն թվային վարորդական վկայական տալու</w:t>
      </w:r>
      <w:r>
        <w:rPr>
          <w:lang w:val="hy-AM"/>
        </w:rPr>
        <w:t xml:space="preserve">, </w:t>
      </w:r>
      <w:r w:rsidRPr="0038467B">
        <w:rPr>
          <w:lang w:val="hy-AM"/>
        </w:rPr>
        <w:t>վարորդական իրավունքի վկայական ստանալու տեսական կամ գործնական քննություններին արտահերթ մասնակցելու</w:t>
      </w:r>
      <w:r>
        <w:rPr>
          <w:lang w:val="hy-AM"/>
        </w:rPr>
        <w:t xml:space="preserve">, </w:t>
      </w:r>
      <w:r w:rsidRPr="0038467B">
        <w:rPr>
          <w:lang w:val="hy-AM"/>
        </w:rPr>
        <w:t>տրանսպորտային միջոցների պետական գրանցման</w:t>
      </w:r>
      <w:r w:rsidRPr="0038467B">
        <w:rPr>
          <w:rFonts w:ascii="Cambria Math" w:hAnsi="Cambria Math" w:cs="Cambria Math"/>
          <w:lang w:val="hy-AM"/>
        </w:rPr>
        <w:t>‑</w:t>
      </w:r>
      <w:r w:rsidRPr="0038467B">
        <w:rPr>
          <w:lang w:val="hy-AM"/>
        </w:rPr>
        <w:t>հաշվառման գործողության արդյունքով տպագրված փաստաթղթերը և (կամ) հաշվառման համարանիշներն առաքելու համար</w:t>
      </w:r>
      <w:r>
        <w:rPr>
          <w:lang w:val="hy-AM"/>
        </w:rPr>
        <w:t>։</w:t>
      </w:r>
    </w:p>
    <w:p w14:paraId="7A47730E" w14:textId="77777777" w:rsidR="00ED147C" w:rsidRPr="0022084F" w:rsidRDefault="00ED147C" w:rsidP="00ED147C">
      <w:pPr>
        <w:pStyle w:val="BodyText1"/>
        <w:ind w:left="0" w:right="357"/>
        <w:rPr>
          <w:lang w:val="hy-AM"/>
        </w:rPr>
      </w:pPr>
      <w:r w:rsidRPr="0022084F">
        <w:rPr>
          <w:lang w:val="hy-AM"/>
        </w:rPr>
        <w:t xml:space="preserve">2026 թվականի </w:t>
      </w:r>
      <w:r>
        <w:rPr>
          <w:lang w:val="hy-AM"/>
        </w:rPr>
        <w:t>հունվարի</w:t>
      </w:r>
      <w:r w:rsidRPr="0022084F">
        <w:rPr>
          <w:lang w:val="hy-AM"/>
        </w:rPr>
        <w:t xml:space="preserve"> 1-ից ուժի մեջ է մտնելու «Պետական տուրքի մասին» Հայաստանի Հանրապետության օրենքում փոփոխություն</w:t>
      </w:r>
      <w:r>
        <w:rPr>
          <w:lang w:val="hy-AM"/>
        </w:rPr>
        <w:t>ներ</w:t>
      </w:r>
      <w:r w:rsidRPr="0022084F">
        <w:rPr>
          <w:lang w:val="hy-AM"/>
        </w:rPr>
        <w:t xml:space="preserve"> կատարելու մասին</w:t>
      </w:r>
      <w:r>
        <w:rPr>
          <w:lang w:val="hy-AM"/>
        </w:rPr>
        <w:t>» 18</w:t>
      </w:r>
      <w:r w:rsidRPr="0022084F">
        <w:rPr>
          <w:lang w:val="hy-AM"/>
        </w:rPr>
        <w:t>.0</w:t>
      </w:r>
      <w:r>
        <w:rPr>
          <w:lang w:val="hy-AM"/>
        </w:rPr>
        <w:t>4</w:t>
      </w:r>
      <w:r w:rsidRPr="0022084F">
        <w:rPr>
          <w:lang w:val="hy-AM"/>
        </w:rPr>
        <w:t>.202</w:t>
      </w:r>
      <w:r>
        <w:rPr>
          <w:lang w:val="hy-AM"/>
        </w:rPr>
        <w:t>5</w:t>
      </w:r>
      <w:r w:rsidRPr="0022084F">
        <w:rPr>
          <w:lang w:val="hy-AM"/>
        </w:rPr>
        <w:t>թ. ՀՕ-254-Ն օրենքը, որով</w:t>
      </w:r>
      <w:r>
        <w:rPr>
          <w:lang w:val="hy-AM"/>
        </w:rPr>
        <w:t xml:space="preserve"> </w:t>
      </w:r>
      <w:r w:rsidRPr="0022084F">
        <w:rPr>
          <w:lang w:val="hy-AM"/>
        </w:rPr>
        <w:t>մասնավոր պահնորդական</w:t>
      </w:r>
      <w:r>
        <w:rPr>
          <w:lang w:val="hy-AM"/>
        </w:rPr>
        <w:t xml:space="preserve"> </w:t>
      </w:r>
      <w:r w:rsidRPr="0022084F">
        <w:rPr>
          <w:lang w:val="hy-AM"/>
        </w:rPr>
        <w:t>գործունեություն իրականացնելու</w:t>
      </w:r>
      <w:r>
        <w:rPr>
          <w:lang w:val="hy-AM"/>
        </w:rPr>
        <w:t xml:space="preserve"> </w:t>
      </w:r>
      <w:r w:rsidRPr="0022084F">
        <w:rPr>
          <w:lang w:val="hy-AM"/>
        </w:rPr>
        <w:t>համար</w:t>
      </w:r>
      <w:r>
        <w:rPr>
          <w:lang w:val="hy-AM"/>
        </w:rPr>
        <w:t xml:space="preserve"> </w:t>
      </w:r>
      <w:r w:rsidRPr="00D632F3">
        <w:rPr>
          <w:lang w:val="hy-AM"/>
        </w:rPr>
        <w:t>սահմանվող պետական տուրքի դրույքաչափը բազային տուրքի</w:t>
      </w:r>
      <w:r>
        <w:rPr>
          <w:lang w:val="hy-AM"/>
        </w:rPr>
        <w:t xml:space="preserve"> 5</w:t>
      </w:r>
      <w:r w:rsidRPr="00D632F3">
        <w:rPr>
          <w:lang w:val="hy-AM"/>
        </w:rPr>
        <w:t>00-ապատիկ չափից փոխվել է բազային տուրքի</w:t>
      </w:r>
      <w:r>
        <w:rPr>
          <w:lang w:val="hy-AM"/>
        </w:rPr>
        <w:t xml:space="preserve"> 30</w:t>
      </w:r>
      <w:r w:rsidRPr="00D632F3">
        <w:rPr>
          <w:lang w:val="hy-AM"/>
        </w:rPr>
        <w:t>00-ապատիկի չափ։</w:t>
      </w:r>
    </w:p>
    <w:p w14:paraId="2215EC5B" w14:textId="77777777" w:rsidR="00ED147C" w:rsidRDefault="00ED147C" w:rsidP="00ED147C">
      <w:pPr>
        <w:pStyle w:val="BodyText1"/>
        <w:ind w:left="0" w:right="357"/>
        <w:rPr>
          <w:b/>
          <w:lang w:val="hy-AM"/>
        </w:rPr>
      </w:pPr>
      <w:r w:rsidRPr="00170A48">
        <w:rPr>
          <w:lang w:val="hy-AM"/>
        </w:rPr>
        <w:t>Պետական տուրքի գծով փաստացի/կանխատեսումային ցուցանիշների ընդհանուր պատկերն ըստ եկամտի հիմնական աղբյուրների հետևյալն է.</w:t>
      </w:r>
      <w:bookmarkStart w:id="371" w:name="_Toc178350616"/>
    </w:p>
    <w:p w14:paraId="3E1913BC" w14:textId="7D415D2D" w:rsidR="00ED147C" w:rsidRPr="00E77731" w:rsidRDefault="00ED147C" w:rsidP="00ED147C">
      <w:pPr>
        <w:pStyle w:val="a"/>
        <w:spacing w:before="120" w:line="276" w:lineRule="auto"/>
        <w:ind w:right="357"/>
        <w:jc w:val="both"/>
      </w:pPr>
      <w:bookmarkStart w:id="372" w:name="_Toc178612141"/>
      <w:bookmarkStart w:id="373" w:name="_Toc184110767"/>
      <w:r w:rsidRPr="00C65325">
        <w:t xml:space="preserve">Աղյուսակ </w:t>
      </w:r>
      <w:r w:rsidRPr="00C65325">
        <w:fldChar w:fldCharType="begin"/>
      </w:r>
      <w:r w:rsidRPr="00C65325">
        <w:instrText xml:space="preserve"> SEQ Աղյուսակ \* ARABIC </w:instrText>
      </w:r>
      <w:r w:rsidRPr="00C65325">
        <w:fldChar w:fldCharType="separate"/>
      </w:r>
      <w:r w:rsidR="001848B1">
        <w:rPr>
          <w:noProof/>
        </w:rPr>
        <w:t>5</w:t>
      </w:r>
      <w:r w:rsidRPr="00C65325">
        <w:fldChar w:fldCharType="end"/>
      </w:r>
      <w:r w:rsidRPr="00C65325">
        <w:t>. Պետական տուրքերի կազմում հաշվառվող եկամտատեսակների գծով ՀՀ 202</w:t>
      </w:r>
      <w:r>
        <w:t>2</w:t>
      </w:r>
      <w:r w:rsidRPr="00C65325">
        <w:t>-202</w:t>
      </w:r>
      <w:r>
        <w:t>8</w:t>
      </w:r>
      <w:r w:rsidRPr="00C65325">
        <w:t>թթ</w:t>
      </w:r>
      <w:r w:rsidRPr="00603127">
        <w:t>.</w:t>
      </w:r>
      <w:r w:rsidRPr="00C65325">
        <w:t xml:space="preserve"> փաստացի/կանխատեսումային ցուցանիշները, մլրդ դրամ</w:t>
      </w:r>
      <w:bookmarkEnd w:id="371"/>
      <w:bookmarkEnd w:id="372"/>
      <w:bookmarkEnd w:id="373"/>
    </w:p>
    <w:tbl>
      <w:tblPr>
        <w:tblW w:w="5117" w:type="pct"/>
        <w:jc w:val="center"/>
        <w:tblBorders>
          <w:top w:val="single" w:sz="8" w:space="0" w:color="E1E1E3" w:themeColor="accent3" w:themeTint="33"/>
          <w:left w:val="single" w:sz="8" w:space="0" w:color="E1E1E3" w:themeColor="accent3" w:themeTint="33"/>
          <w:bottom w:val="single" w:sz="8" w:space="0" w:color="E1E1E3" w:themeColor="accent3" w:themeTint="33"/>
          <w:right w:val="single" w:sz="8" w:space="0" w:color="E1E1E3" w:themeColor="accent3" w:themeTint="33"/>
          <w:insideH w:val="single" w:sz="8" w:space="0" w:color="E1E1E3" w:themeColor="accent3" w:themeTint="33"/>
          <w:insideV w:val="single" w:sz="8" w:space="0" w:color="E1E1E3" w:themeColor="accent3" w:themeTint="33"/>
        </w:tblBorders>
        <w:tblLayout w:type="fixed"/>
        <w:tblLook w:val="04A0" w:firstRow="1" w:lastRow="0" w:firstColumn="1" w:lastColumn="0" w:noHBand="0" w:noVBand="1"/>
      </w:tblPr>
      <w:tblGrid>
        <w:gridCol w:w="2577"/>
        <w:gridCol w:w="1010"/>
        <w:gridCol w:w="1005"/>
        <w:gridCol w:w="1008"/>
        <w:gridCol w:w="1148"/>
        <w:gridCol w:w="1292"/>
        <w:gridCol w:w="1294"/>
        <w:gridCol w:w="1294"/>
      </w:tblGrid>
      <w:tr w:rsidR="005A68C3" w:rsidRPr="00C65325" w14:paraId="1531C86B" w14:textId="77777777" w:rsidTr="005A68C3">
        <w:trPr>
          <w:trHeight w:val="360"/>
          <w:jc w:val="center"/>
        </w:trPr>
        <w:tc>
          <w:tcPr>
            <w:tcW w:w="1212" w:type="pct"/>
            <w:vMerge w:val="restart"/>
            <w:shd w:val="clear" w:color="auto" w:fill="D5DCE4" w:themeFill="text2" w:themeFillTint="33"/>
            <w:noWrap/>
            <w:vAlign w:val="center"/>
            <w:hideMark/>
          </w:tcPr>
          <w:p w14:paraId="6316E15F" w14:textId="77777777" w:rsidR="00ED147C" w:rsidRPr="0018378A" w:rsidRDefault="00ED147C" w:rsidP="00ED147C">
            <w:pPr>
              <w:ind w:right="357"/>
              <w:jc w:val="both"/>
              <w:rPr>
                <w:b/>
                <w:sz w:val="16"/>
                <w:szCs w:val="16"/>
              </w:rPr>
            </w:pPr>
            <w:r w:rsidRPr="0018378A">
              <w:rPr>
                <w:b/>
                <w:sz w:val="16"/>
                <w:szCs w:val="16"/>
              </w:rPr>
              <w:t>Պետական տուրքեր</w:t>
            </w:r>
          </w:p>
        </w:tc>
        <w:tc>
          <w:tcPr>
            <w:tcW w:w="1422" w:type="pct"/>
            <w:gridSpan w:val="3"/>
            <w:shd w:val="clear" w:color="auto" w:fill="D5DCE4" w:themeFill="text2" w:themeFillTint="33"/>
            <w:noWrap/>
            <w:vAlign w:val="center"/>
            <w:hideMark/>
          </w:tcPr>
          <w:p w14:paraId="7FD0DDB0" w14:textId="77777777" w:rsidR="00ED147C" w:rsidRPr="0018378A" w:rsidRDefault="00ED147C" w:rsidP="005A68C3">
            <w:pPr>
              <w:ind w:right="357"/>
              <w:jc w:val="center"/>
              <w:rPr>
                <w:b/>
                <w:sz w:val="16"/>
                <w:szCs w:val="16"/>
              </w:rPr>
            </w:pPr>
            <w:r w:rsidRPr="0018378A">
              <w:rPr>
                <w:b/>
                <w:sz w:val="16"/>
                <w:szCs w:val="16"/>
              </w:rPr>
              <w:t>Փաստ</w:t>
            </w:r>
          </w:p>
        </w:tc>
        <w:tc>
          <w:tcPr>
            <w:tcW w:w="540" w:type="pct"/>
            <w:shd w:val="clear" w:color="auto" w:fill="D5DCE4" w:themeFill="text2" w:themeFillTint="33"/>
            <w:noWrap/>
            <w:vAlign w:val="center"/>
            <w:hideMark/>
          </w:tcPr>
          <w:p w14:paraId="0AD5A386" w14:textId="77777777" w:rsidR="00ED147C" w:rsidRPr="0018378A" w:rsidRDefault="00ED147C" w:rsidP="005A68C3">
            <w:pPr>
              <w:jc w:val="center"/>
              <w:rPr>
                <w:b/>
                <w:sz w:val="16"/>
                <w:szCs w:val="16"/>
              </w:rPr>
            </w:pPr>
            <w:r w:rsidRPr="0018378A">
              <w:rPr>
                <w:b/>
                <w:sz w:val="16"/>
                <w:szCs w:val="16"/>
              </w:rPr>
              <w:t>Բյուջե</w:t>
            </w:r>
          </w:p>
        </w:tc>
        <w:tc>
          <w:tcPr>
            <w:tcW w:w="608" w:type="pct"/>
            <w:shd w:val="clear" w:color="auto" w:fill="D5DCE4" w:themeFill="text2" w:themeFillTint="33"/>
            <w:vAlign w:val="center"/>
          </w:tcPr>
          <w:p w14:paraId="40EF0573" w14:textId="77777777" w:rsidR="00ED147C" w:rsidRPr="0018378A" w:rsidRDefault="00ED147C" w:rsidP="005A68C3">
            <w:pPr>
              <w:ind w:right="30"/>
              <w:jc w:val="center"/>
              <w:rPr>
                <w:b/>
                <w:sz w:val="16"/>
                <w:szCs w:val="16"/>
              </w:rPr>
            </w:pPr>
            <w:r w:rsidRPr="0018378A">
              <w:rPr>
                <w:b/>
                <w:sz w:val="16"/>
                <w:szCs w:val="16"/>
                <w:lang w:val="hy-AM"/>
              </w:rPr>
              <w:t>Ծ</w:t>
            </w:r>
            <w:r w:rsidRPr="0018378A">
              <w:rPr>
                <w:b/>
                <w:sz w:val="16"/>
                <w:szCs w:val="16"/>
              </w:rPr>
              <w:t>րագիր</w:t>
            </w:r>
          </w:p>
        </w:tc>
        <w:tc>
          <w:tcPr>
            <w:tcW w:w="609" w:type="pct"/>
            <w:shd w:val="clear" w:color="auto" w:fill="D5DCE4" w:themeFill="text2" w:themeFillTint="33"/>
            <w:vAlign w:val="center"/>
          </w:tcPr>
          <w:p w14:paraId="2CB0E857" w14:textId="77777777" w:rsidR="00ED147C" w:rsidRPr="0018378A" w:rsidRDefault="00ED147C" w:rsidP="005A68C3">
            <w:pPr>
              <w:jc w:val="center"/>
              <w:rPr>
                <w:b/>
                <w:sz w:val="16"/>
                <w:szCs w:val="16"/>
                <w:lang w:val="hy-AM"/>
              </w:rPr>
            </w:pPr>
            <w:r w:rsidRPr="0018378A">
              <w:rPr>
                <w:b/>
                <w:sz w:val="16"/>
                <w:szCs w:val="16"/>
                <w:lang w:val="hy-AM"/>
              </w:rPr>
              <w:t>Ծ</w:t>
            </w:r>
            <w:r w:rsidRPr="0018378A">
              <w:rPr>
                <w:b/>
                <w:sz w:val="16"/>
                <w:szCs w:val="16"/>
              </w:rPr>
              <w:t>րագիր</w:t>
            </w:r>
          </w:p>
        </w:tc>
        <w:tc>
          <w:tcPr>
            <w:tcW w:w="609" w:type="pct"/>
            <w:shd w:val="clear" w:color="auto" w:fill="D5DCE4" w:themeFill="text2" w:themeFillTint="33"/>
            <w:vAlign w:val="center"/>
          </w:tcPr>
          <w:p w14:paraId="19CE2A19" w14:textId="77777777" w:rsidR="00ED147C" w:rsidRPr="0018378A" w:rsidRDefault="00ED147C" w:rsidP="005A68C3">
            <w:pPr>
              <w:jc w:val="center"/>
              <w:rPr>
                <w:b/>
                <w:sz w:val="16"/>
                <w:szCs w:val="16"/>
                <w:lang w:val="hy-AM"/>
              </w:rPr>
            </w:pPr>
            <w:r w:rsidRPr="0018378A">
              <w:rPr>
                <w:b/>
                <w:sz w:val="16"/>
                <w:szCs w:val="16"/>
                <w:lang w:val="hy-AM"/>
              </w:rPr>
              <w:t>Ծ</w:t>
            </w:r>
            <w:r w:rsidRPr="0018378A">
              <w:rPr>
                <w:b/>
                <w:sz w:val="16"/>
                <w:szCs w:val="16"/>
              </w:rPr>
              <w:t>րագիր</w:t>
            </w:r>
          </w:p>
        </w:tc>
      </w:tr>
      <w:tr w:rsidR="005A68C3" w:rsidRPr="00C65325" w14:paraId="0A10E445" w14:textId="77777777" w:rsidTr="005A68C3">
        <w:trPr>
          <w:trHeight w:val="360"/>
          <w:jc w:val="center"/>
        </w:trPr>
        <w:tc>
          <w:tcPr>
            <w:tcW w:w="1212" w:type="pct"/>
            <w:vMerge/>
            <w:shd w:val="clear" w:color="auto" w:fill="D5DCE4" w:themeFill="text2" w:themeFillTint="33"/>
            <w:vAlign w:val="center"/>
            <w:hideMark/>
          </w:tcPr>
          <w:p w14:paraId="31E2615A" w14:textId="77777777" w:rsidR="00ED147C" w:rsidRPr="0018378A" w:rsidRDefault="00ED147C" w:rsidP="00ED147C">
            <w:pPr>
              <w:ind w:right="357"/>
              <w:jc w:val="both"/>
              <w:rPr>
                <w:sz w:val="16"/>
                <w:szCs w:val="16"/>
              </w:rPr>
            </w:pPr>
          </w:p>
        </w:tc>
        <w:tc>
          <w:tcPr>
            <w:tcW w:w="475" w:type="pct"/>
            <w:shd w:val="clear" w:color="auto" w:fill="D5DCE4" w:themeFill="text2" w:themeFillTint="33"/>
            <w:noWrap/>
            <w:vAlign w:val="center"/>
            <w:hideMark/>
          </w:tcPr>
          <w:p w14:paraId="54BD812D" w14:textId="77777777" w:rsidR="00ED147C" w:rsidRPr="0018378A" w:rsidRDefault="00ED147C" w:rsidP="005A68C3">
            <w:pPr>
              <w:ind w:right="-107"/>
              <w:jc w:val="center"/>
              <w:rPr>
                <w:b/>
                <w:sz w:val="16"/>
                <w:szCs w:val="16"/>
              </w:rPr>
            </w:pPr>
            <w:r w:rsidRPr="0018378A">
              <w:rPr>
                <w:rFonts w:ascii="GHEA Grapalat" w:hAnsi="GHEA Grapalat" w:cs="Calibri"/>
                <w:b/>
                <w:bCs/>
                <w:color w:val="404040"/>
                <w:sz w:val="16"/>
                <w:szCs w:val="16"/>
              </w:rPr>
              <w:t>2022</w:t>
            </w:r>
          </w:p>
        </w:tc>
        <w:tc>
          <w:tcPr>
            <w:tcW w:w="473" w:type="pct"/>
            <w:shd w:val="clear" w:color="auto" w:fill="D5DCE4" w:themeFill="text2" w:themeFillTint="33"/>
            <w:noWrap/>
            <w:vAlign w:val="center"/>
            <w:hideMark/>
          </w:tcPr>
          <w:p w14:paraId="05118021" w14:textId="77777777" w:rsidR="00ED147C" w:rsidRPr="0018378A" w:rsidRDefault="00ED147C" w:rsidP="005A68C3">
            <w:pPr>
              <w:ind w:right="31"/>
              <w:jc w:val="center"/>
              <w:rPr>
                <w:b/>
                <w:sz w:val="16"/>
                <w:szCs w:val="16"/>
              </w:rPr>
            </w:pPr>
            <w:r w:rsidRPr="0018378A">
              <w:rPr>
                <w:rFonts w:ascii="GHEA Grapalat" w:hAnsi="GHEA Grapalat" w:cs="Calibri"/>
                <w:b/>
                <w:bCs/>
                <w:color w:val="404040"/>
                <w:sz w:val="16"/>
                <w:szCs w:val="16"/>
              </w:rPr>
              <w:t>2023</w:t>
            </w:r>
          </w:p>
        </w:tc>
        <w:tc>
          <w:tcPr>
            <w:tcW w:w="474" w:type="pct"/>
            <w:shd w:val="clear" w:color="auto" w:fill="D5DCE4" w:themeFill="text2" w:themeFillTint="33"/>
            <w:noWrap/>
            <w:vAlign w:val="center"/>
            <w:hideMark/>
          </w:tcPr>
          <w:p w14:paraId="0B6D313B" w14:textId="77777777" w:rsidR="00ED147C" w:rsidRPr="0018378A" w:rsidRDefault="00ED147C" w:rsidP="005A68C3">
            <w:pPr>
              <w:jc w:val="center"/>
              <w:rPr>
                <w:b/>
                <w:sz w:val="16"/>
                <w:szCs w:val="16"/>
              </w:rPr>
            </w:pPr>
            <w:r w:rsidRPr="0018378A">
              <w:rPr>
                <w:rFonts w:ascii="GHEA Grapalat" w:hAnsi="GHEA Grapalat" w:cs="Calibri"/>
                <w:b/>
                <w:bCs/>
                <w:color w:val="404040"/>
                <w:sz w:val="16"/>
                <w:szCs w:val="16"/>
              </w:rPr>
              <w:t>2024</w:t>
            </w:r>
          </w:p>
        </w:tc>
        <w:tc>
          <w:tcPr>
            <w:tcW w:w="540" w:type="pct"/>
            <w:shd w:val="clear" w:color="auto" w:fill="D5DCE4" w:themeFill="text2" w:themeFillTint="33"/>
            <w:noWrap/>
            <w:vAlign w:val="center"/>
            <w:hideMark/>
          </w:tcPr>
          <w:p w14:paraId="77066398" w14:textId="77777777" w:rsidR="00ED147C" w:rsidRPr="0018378A" w:rsidRDefault="00ED147C" w:rsidP="005A68C3">
            <w:pPr>
              <w:ind w:right="-108"/>
              <w:jc w:val="center"/>
              <w:rPr>
                <w:b/>
                <w:sz w:val="16"/>
                <w:szCs w:val="16"/>
              </w:rPr>
            </w:pPr>
            <w:r w:rsidRPr="0018378A">
              <w:rPr>
                <w:rFonts w:ascii="GHEA Grapalat" w:hAnsi="GHEA Grapalat" w:cs="Calibri"/>
                <w:b/>
                <w:bCs/>
                <w:color w:val="404040"/>
                <w:sz w:val="16"/>
                <w:szCs w:val="16"/>
              </w:rPr>
              <w:t>2025</w:t>
            </w:r>
          </w:p>
        </w:tc>
        <w:tc>
          <w:tcPr>
            <w:tcW w:w="608" w:type="pct"/>
            <w:shd w:val="clear" w:color="auto" w:fill="D5DCE4" w:themeFill="text2" w:themeFillTint="33"/>
            <w:vAlign w:val="center"/>
          </w:tcPr>
          <w:p w14:paraId="4B27C324" w14:textId="77777777" w:rsidR="00ED147C" w:rsidRPr="0018378A" w:rsidRDefault="00ED147C" w:rsidP="005A68C3">
            <w:pPr>
              <w:ind w:right="-111"/>
              <w:jc w:val="center"/>
              <w:rPr>
                <w:b/>
                <w:sz w:val="16"/>
                <w:szCs w:val="16"/>
              </w:rPr>
            </w:pPr>
            <w:r w:rsidRPr="0018378A">
              <w:rPr>
                <w:rFonts w:ascii="GHEA Grapalat" w:hAnsi="GHEA Grapalat" w:cs="Calibri"/>
                <w:b/>
                <w:bCs/>
                <w:color w:val="404040"/>
                <w:sz w:val="16"/>
                <w:szCs w:val="16"/>
              </w:rPr>
              <w:t>2026</w:t>
            </w:r>
          </w:p>
        </w:tc>
        <w:tc>
          <w:tcPr>
            <w:tcW w:w="609" w:type="pct"/>
            <w:shd w:val="clear" w:color="auto" w:fill="D5DCE4" w:themeFill="text2" w:themeFillTint="33"/>
            <w:vAlign w:val="center"/>
          </w:tcPr>
          <w:p w14:paraId="4F761EE8" w14:textId="77777777" w:rsidR="00ED147C" w:rsidRPr="0018378A" w:rsidRDefault="00ED147C" w:rsidP="005A68C3">
            <w:pPr>
              <w:ind w:right="-106"/>
              <w:jc w:val="center"/>
              <w:rPr>
                <w:b/>
                <w:sz w:val="16"/>
                <w:szCs w:val="16"/>
              </w:rPr>
            </w:pPr>
            <w:r w:rsidRPr="0018378A">
              <w:rPr>
                <w:rFonts w:ascii="GHEA Grapalat" w:hAnsi="GHEA Grapalat" w:cs="Calibri"/>
                <w:b/>
                <w:bCs/>
                <w:color w:val="404040"/>
                <w:sz w:val="16"/>
                <w:szCs w:val="16"/>
              </w:rPr>
              <w:t>2027</w:t>
            </w:r>
          </w:p>
        </w:tc>
        <w:tc>
          <w:tcPr>
            <w:tcW w:w="609" w:type="pct"/>
            <w:shd w:val="clear" w:color="auto" w:fill="D5DCE4" w:themeFill="text2" w:themeFillTint="33"/>
            <w:vAlign w:val="center"/>
          </w:tcPr>
          <w:p w14:paraId="018C9A87" w14:textId="77777777" w:rsidR="00ED147C" w:rsidRPr="0018378A" w:rsidRDefault="00ED147C" w:rsidP="005A68C3">
            <w:pPr>
              <w:jc w:val="center"/>
              <w:rPr>
                <w:b/>
                <w:sz w:val="16"/>
                <w:szCs w:val="16"/>
              </w:rPr>
            </w:pPr>
            <w:r w:rsidRPr="0018378A">
              <w:rPr>
                <w:rFonts w:ascii="GHEA Grapalat" w:hAnsi="GHEA Grapalat" w:cs="Calibri"/>
                <w:b/>
                <w:bCs/>
                <w:color w:val="404040"/>
                <w:sz w:val="16"/>
                <w:szCs w:val="16"/>
              </w:rPr>
              <w:t>2028</w:t>
            </w:r>
          </w:p>
        </w:tc>
      </w:tr>
      <w:tr w:rsidR="005A68C3" w:rsidRPr="00C65325" w14:paraId="44806D29" w14:textId="77777777" w:rsidTr="005A68C3">
        <w:trPr>
          <w:trHeight w:val="360"/>
          <w:jc w:val="center"/>
        </w:trPr>
        <w:tc>
          <w:tcPr>
            <w:tcW w:w="1212" w:type="pct"/>
            <w:shd w:val="clear" w:color="auto" w:fill="auto"/>
            <w:vAlign w:val="center"/>
            <w:hideMark/>
          </w:tcPr>
          <w:p w14:paraId="4511D986" w14:textId="77777777" w:rsidR="00ED147C" w:rsidRPr="0018378A" w:rsidRDefault="00ED147C" w:rsidP="00ED147C">
            <w:pPr>
              <w:ind w:right="357"/>
              <w:jc w:val="both"/>
              <w:rPr>
                <w:sz w:val="16"/>
                <w:szCs w:val="16"/>
              </w:rPr>
            </w:pPr>
            <w:r w:rsidRPr="0018378A">
              <w:rPr>
                <w:sz w:val="16"/>
                <w:szCs w:val="16"/>
              </w:rPr>
              <w:t>Ընդամենը</w:t>
            </w:r>
            <w:r w:rsidRPr="0018378A">
              <w:rPr>
                <w:sz w:val="16"/>
                <w:szCs w:val="16"/>
                <w:lang w:val="hy-AM"/>
              </w:rPr>
              <w:t>,</w:t>
            </w:r>
            <w:r w:rsidRPr="0018378A">
              <w:rPr>
                <w:sz w:val="16"/>
                <w:szCs w:val="16"/>
              </w:rPr>
              <w:t xml:space="preserve"> այդ թվում`    </w:t>
            </w:r>
          </w:p>
        </w:tc>
        <w:tc>
          <w:tcPr>
            <w:tcW w:w="475" w:type="pct"/>
            <w:shd w:val="clear" w:color="auto" w:fill="auto"/>
            <w:noWrap/>
            <w:vAlign w:val="center"/>
            <w:hideMark/>
          </w:tcPr>
          <w:p w14:paraId="58D2C055" w14:textId="77777777" w:rsidR="00ED147C" w:rsidRPr="00F44F21" w:rsidRDefault="00ED147C" w:rsidP="00F44F21">
            <w:pPr>
              <w:ind w:right="-107"/>
              <w:jc w:val="center"/>
              <w:rPr>
                <w:rFonts w:ascii="GHEA Grapalat" w:hAnsi="GHEA Grapalat" w:cs="Calibri"/>
                <w:bCs/>
                <w:color w:val="404040"/>
                <w:sz w:val="16"/>
                <w:szCs w:val="16"/>
              </w:rPr>
            </w:pPr>
            <w:r w:rsidRPr="00F44F21">
              <w:rPr>
                <w:rFonts w:ascii="GHEA Grapalat" w:hAnsi="GHEA Grapalat" w:cs="Calibri"/>
                <w:bCs/>
                <w:color w:val="404040"/>
                <w:sz w:val="16"/>
                <w:szCs w:val="16"/>
              </w:rPr>
              <w:t>106.8</w:t>
            </w:r>
          </w:p>
        </w:tc>
        <w:tc>
          <w:tcPr>
            <w:tcW w:w="473" w:type="pct"/>
            <w:shd w:val="clear" w:color="auto" w:fill="auto"/>
            <w:noWrap/>
            <w:vAlign w:val="center"/>
            <w:hideMark/>
          </w:tcPr>
          <w:p w14:paraId="28296C86" w14:textId="77777777" w:rsidR="00ED147C" w:rsidRPr="00F44F21" w:rsidRDefault="00ED147C" w:rsidP="00F44F21">
            <w:pPr>
              <w:ind w:right="-107"/>
              <w:jc w:val="center"/>
              <w:rPr>
                <w:rFonts w:ascii="GHEA Grapalat" w:hAnsi="GHEA Grapalat" w:cs="Calibri"/>
                <w:bCs/>
                <w:color w:val="404040"/>
                <w:sz w:val="16"/>
                <w:szCs w:val="16"/>
              </w:rPr>
            </w:pPr>
            <w:r w:rsidRPr="00F44F21">
              <w:rPr>
                <w:rFonts w:ascii="GHEA Grapalat" w:hAnsi="GHEA Grapalat" w:cs="Calibri"/>
                <w:bCs/>
                <w:color w:val="404040"/>
                <w:sz w:val="16"/>
                <w:szCs w:val="16"/>
              </w:rPr>
              <w:t>67.4</w:t>
            </w:r>
          </w:p>
        </w:tc>
        <w:tc>
          <w:tcPr>
            <w:tcW w:w="474" w:type="pct"/>
            <w:shd w:val="clear" w:color="auto" w:fill="auto"/>
            <w:noWrap/>
            <w:vAlign w:val="center"/>
            <w:hideMark/>
          </w:tcPr>
          <w:p w14:paraId="58351CE1" w14:textId="77777777" w:rsidR="00ED147C" w:rsidRPr="00F44F21" w:rsidRDefault="00ED147C" w:rsidP="00F44F21">
            <w:pPr>
              <w:ind w:right="-107"/>
              <w:jc w:val="center"/>
              <w:rPr>
                <w:rFonts w:ascii="GHEA Grapalat" w:hAnsi="GHEA Grapalat" w:cs="Calibri"/>
                <w:bCs/>
                <w:color w:val="404040"/>
                <w:sz w:val="16"/>
                <w:szCs w:val="16"/>
              </w:rPr>
            </w:pPr>
            <w:r w:rsidRPr="00F44F21">
              <w:rPr>
                <w:rFonts w:ascii="GHEA Grapalat" w:hAnsi="GHEA Grapalat" w:cs="Calibri"/>
                <w:bCs/>
                <w:color w:val="404040"/>
                <w:sz w:val="16"/>
                <w:szCs w:val="16"/>
              </w:rPr>
              <w:t>80.5</w:t>
            </w:r>
          </w:p>
        </w:tc>
        <w:tc>
          <w:tcPr>
            <w:tcW w:w="540" w:type="pct"/>
            <w:shd w:val="clear" w:color="auto" w:fill="auto"/>
            <w:noWrap/>
            <w:vAlign w:val="center"/>
            <w:hideMark/>
          </w:tcPr>
          <w:p w14:paraId="08A1D987" w14:textId="77777777" w:rsidR="00ED147C" w:rsidRPr="00F44F21" w:rsidRDefault="00ED147C" w:rsidP="00F44F21">
            <w:pPr>
              <w:ind w:right="-107"/>
              <w:jc w:val="center"/>
              <w:rPr>
                <w:rFonts w:ascii="GHEA Grapalat" w:hAnsi="GHEA Grapalat" w:cs="Calibri"/>
                <w:bCs/>
                <w:color w:val="404040"/>
                <w:sz w:val="16"/>
                <w:szCs w:val="16"/>
              </w:rPr>
            </w:pPr>
            <w:r w:rsidRPr="00F44F21">
              <w:rPr>
                <w:rFonts w:ascii="GHEA Grapalat" w:hAnsi="GHEA Grapalat" w:cs="Calibri"/>
                <w:bCs/>
                <w:color w:val="404040"/>
                <w:sz w:val="16"/>
                <w:szCs w:val="16"/>
              </w:rPr>
              <w:t>74.8</w:t>
            </w:r>
          </w:p>
        </w:tc>
        <w:tc>
          <w:tcPr>
            <w:tcW w:w="608" w:type="pct"/>
            <w:vAlign w:val="center"/>
          </w:tcPr>
          <w:p w14:paraId="4422D833" w14:textId="77777777" w:rsidR="00ED147C" w:rsidRPr="00F44F21" w:rsidRDefault="00ED147C" w:rsidP="00F44F21">
            <w:pPr>
              <w:ind w:right="-107"/>
              <w:jc w:val="center"/>
              <w:rPr>
                <w:rFonts w:ascii="GHEA Grapalat" w:hAnsi="GHEA Grapalat" w:cs="Calibri"/>
                <w:bCs/>
                <w:color w:val="404040"/>
                <w:sz w:val="16"/>
                <w:szCs w:val="16"/>
              </w:rPr>
            </w:pPr>
            <w:r w:rsidRPr="00F44F21">
              <w:rPr>
                <w:rFonts w:ascii="GHEA Grapalat" w:hAnsi="GHEA Grapalat" w:cs="Calibri"/>
                <w:bCs/>
                <w:color w:val="404040"/>
                <w:sz w:val="16"/>
                <w:szCs w:val="16"/>
              </w:rPr>
              <w:t>87.9</w:t>
            </w:r>
          </w:p>
        </w:tc>
        <w:tc>
          <w:tcPr>
            <w:tcW w:w="609" w:type="pct"/>
            <w:vAlign w:val="center"/>
          </w:tcPr>
          <w:p w14:paraId="07CCF34C" w14:textId="77777777" w:rsidR="00ED147C" w:rsidRPr="00F44F21" w:rsidRDefault="00ED147C" w:rsidP="00F44F21">
            <w:pPr>
              <w:ind w:right="-107"/>
              <w:jc w:val="center"/>
              <w:rPr>
                <w:rFonts w:ascii="GHEA Grapalat" w:hAnsi="GHEA Grapalat" w:cs="Calibri"/>
                <w:bCs/>
                <w:color w:val="404040"/>
                <w:sz w:val="16"/>
                <w:szCs w:val="16"/>
              </w:rPr>
            </w:pPr>
            <w:r w:rsidRPr="00F44F21">
              <w:rPr>
                <w:rFonts w:ascii="GHEA Grapalat" w:hAnsi="GHEA Grapalat" w:cs="Calibri"/>
                <w:bCs/>
                <w:color w:val="404040"/>
                <w:sz w:val="16"/>
                <w:szCs w:val="16"/>
              </w:rPr>
              <w:t>88.3</w:t>
            </w:r>
          </w:p>
        </w:tc>
        <w:tc>
          <w:tcPr>
            <w:tcW w:w="609" w:type="pct"/>
            <w:vAlign w:val="center"/>
          </w:tcPr>
          <w:p w14:paraId="5C9E6B1F" w14:textId="77777777" w:rsidR="00ED147C" w:rsidRPr="00F44F21" w:rsidRDefault="00ED147C" w:rsidP="00F44F21">
            <w:pPr>
              <w:ind w:right="-107"/>
              <w:jc w:val="center"/>
              <w:rPr>
                <w:rFonts w:ascii="GHEA Grapalat" w:hAnsi="GHEA Grapalat" w:cs="Calibri"/>
                <w:bCs/>
                <w:color w:val="404040"/>
                <w:sz w:val="16"/>
                <w:szCs w:val="16"/>
              </w:rPr>
            </w:pPr>
            <w:r w:rsidRPr="00F44F21">
              <w:rPr>
                <w:rFonts w:ascii="GHEA Grapalat" w:hAnsi="GHEA Grapalat" w:cs="Calibri"/>
                <w:bCs/>
                <w:color w:val="404040"/>
                <w:sz w:val="16"/>
                <w:szCs w:val="16"/>
              </w:rPr>
              <w:t>89.1</w:t>
            </w:r>
          </w:p>
        </w:tc>
      </w:tr>
      <w:tr w:rsidR="005A68C3" w:rsidRPr="00C65325" w14:paraId="456A16B6" w14:textId="77777777" w:rsidTr="005A68C3">
        <w:trPr>
          <w:trHeight w:val="360"/>
          <w:jc w:val="center"/>
        </w:trPr>
        <w:tc>
          <w:tcPr>
            <w:tcW w:w="1212" w:type="pct"/>
            <w:shd w:val="clear" w:color="auto" w:fill="auto"/>
            <w:vAlign w:val="center"/>
            <w:hideMark/>
          </w:tcPr>
          <w:p w14:paraId="0DE8A320" w14:textId="2B25DBEE" w:rsidR="00ED147C" w:rsidRPr="0018378A" w:rsidRDefault="00C47194" w:rsidP="00ED147C">
            <w:pPr>
              <w:ind w:right="357"/>
              <w:jc w:val="both"/>
              <w:rPr>
                <w:sz w:val="16"/>
                <w:szCs w:val="16"/>
              </w:rPr>
            </w:pPr>
            <w:r>
              <w:rPr>
                <w:sz w:val="16"/>
                <w:szCs w:val="16"/>
              </w:rPr>
              <w:t>1.</w:t>
            </w:r>
            <w:r w:rsidR="00ED147C" w:rsidRPr="0018378A">
              <w:rPr>
                <w:sz w:val="16"/>
                <w:szCs w:val="16"/>
              </w:rPr>
              <w:t>Դատարան տրվող հայցադիմումների, դիմումների, դատարանի դատական ակտերի դեմ վերաքննիչ և վճռաբեկ բողոքների համար, ինչպես նաև դատարանի կողմից տրվող փաստաթղթերի պատճեններ (կրկնօրինակներ)</w:t>
            </w:r>
            <w:r w:rsidR="00ED147C" w:rsidRPr="0018378A">
              <w:rPr>
                <w:sz w:val="16"/>
                <w:szCs w:val="16"/>
                <w:lang w:val="hy-AM"/>
              </w:rPr>
              <w:t xml:space="preserve"> </w:t>
            </w:r>
            <w:r w:rsidR="00ED147C" w:rsidRPr="0018378A">
              <w:rPr>
                <w:sz w:val="16"/>
                <w:szCs w:val="16"/>
              </w:rPr>
              <w:t>գործում</w:t>
            </w:r>
            <w:r w:rsidR="00ED147C" w:rsidRPr="0018378A">
              <w:rPr>
                <w:rFonts w:ascii="Calibri" w:hAnsi="Calibri" w:cs="Calibri"/>
                <w:sz w:val="16"/>
                <w:szCs w:val="16"/>
              </w:rPr>
              <w:t> </w:t>
            </w:r>
            <w:r w:rsidR="00ED147C" w:rsidRPr="0018378A">
              <w:rPr>
                <w:sz w:val="16"/>
                <w:szCs w:val="16"/>
              </w:rPr>
              <w:t>առկա</w:t>
            </w:r>
            <w:r w:rsidR="00ED147C" w:rsidRPr="0018378A">
              <w:rPr>
                <w:rFonts w:ascii="Calibri" w:hAnsi="Calibri" w:cs="Calibri"/>
                <w:sz w:val="16"/>
                <w:szCs w:val="16"/>
              </w:rPr>
              <w:t> </w:t>
            </w:r>
            <w:r w:rsidR="00ED147C" w:rsidRPr="0018378A">
              <w:rPr>
                <w:sz w:val="16"/>
                <w:szCs w:val="16"/>
              </w:rPr>
              <w:t>լուսանկարների</w:t>
            </w:r>
            <w:r w:rsidR="00ED147C" w:rsidRPr="0018378A">
              <w:rPr>
                <w:rFonts w:ascii="Calibri" w:hAnsi="Calibri" w:cs="Calibri"/>
                <w:sz w:val="16"/>
                <w:szCs w:val="16"/>
              </w:rPr>
              <w:t> </w:t>
            </w:r>
            <w:r w:rsidR="00ED147C" w:rsidRPr="0018378A">
              <w:rPr>
                <w:sz w:val="16"/>
                <w:szCs w:val="16"/>
              </w:rPr>
              <w:t>(լուսաժա</w:t>
            </w:r>
            <w:r w:rsidR="00ED147C" w:rsidRPr="0018378A">
              <w:rPr>
                <w:sz w:val="16"/>
                <w:szCs w:val="16"/>
                <w:lang w:val="hy-AM"/>
              </w:rPr>
              <w:t>պ</w:t>
            </w:r>
            <w:r w:rsidR="00ED147C" w:rsidRPr="0018378A">
              <w:rPr>
                <w:sz w:val="16"/>
                <w:szCs w:val="16"/>
              </w:rPr>
              <w:t>ավեն</w:t>
            </w:r>
            <w:r w:rsidR="00ED147C" w:rsidRPr="0018378A">
              <w:rPr>
                <w:sz w:val="16"/>
                <w:szCs w:val="16"/>
                <w:lang w:val="hy-AM"/>
              </w:rPr>
              <w:t>-</w:t>
            </w:r>
            <w:r w:rsidR="00ED147C" w:rsidRPr="0018378A">
              <w:rPr>
                <w:sz w:val="16"/>
                <w:szCs w:val="16"/>
              </w:rPr>
              <w:t>ների,</w:t>
            </w:r>
            <w:r w:rsidR="00ED147C" w:rsidRPr="0018378A">
              <w:rPr>
                <w:rFonts w:ascii="Calibri" w:hAnsi="Calibri" w:cs="Calibri"/>
                <w:sz w:val="16"/>
                <w:szCs w:val="16"/>
              </w:rPr>
              <w:t> </w:t>
            </w:r>
            <w:r w:rsidR="00ED147C" w:rsidRPr="0018378A">
              <w:rPr>
                <w:sz w:val="16"/>
                <w:szCs w:val="16"/>
              </w:rPr>
              <w:t>ձայնագրությունների,</w:t>
            </w:r>
            <w:r w:rsidR="00ED147C" w:rsidRPr="0018378A">
              <w:rPr>
                <w:rFonts w:ascii="Calibri" w:hAnsi="Calibri" w:cs="Calibri"/>
                <w:sz w:val="16"/>
                <w:szCs w:val="16"/>
              </w:rPr>
              <w:t> </w:t>
            </w:r>
            <w:r w:rsidR="00ED147C" w:rsidRPr="0018378A">
              <w:rPr>
                <w:sz w:val="16"/>
                <w:szCs w:val="16"/>
              </w:rPr>
              <w:t>տեսագրությունների</w:t>
            </w:r>
            <w:r w:rsidR="00ED147C" w:rsidRPr="0018378A">
              <w:rPr>
                <w:rFonts w:ascii="Calibri" w:hAnsi="Calibri" w:cs="Calibri"/>
                <w:sz w:val="16"/>
                <w:szCs w:val="16"/>
              </w:rPr>
              <w:t> </w:t>
            </w:r>
            <w:r w:rsidR="00ED147C" w:rsidRPr="0018378A">
              <w:rPr>
                <w:sz w:val="16"/>
                <w:szCs w:val="16"/>
              </w:rPr>
              <w:t>և</w:t>
            </w:r>
            <w:r w:rsidR="00ED147C" w:rsidRPr="0018378A">
              <w:rPr>
                <w:rFonts w:ascii="Calibri" w:hAnsi="Calibri" w:cs="Calibri"/>
                <w:sz w:val="16"/>
                <w:szCs w:val="16"/>
              </w:rPr>
              <w:t> </w:t>
            </w:r>
            <w:r w:rsidR="00ED147C" w:rsidRPr="0018378A">
              <w:rPr>
                <w:sz w:val="16"/>
                <w:szCs w:val="16"/>
              </w:rPr>
              <w:t>դրանց</w:t>
            </w:r>
            <w:r w:rsidR="00ED147C" w:rsidRPr="0018378A">
              <w:rPr>
                <w:rFonts w:ascii="Calibri" w:hAnsi="Calibri" w:cs="Calibri"/>
                <w:sz w:val="16"/>
                <w:szCs w:val="16"/>
              </w:rPr>
              <w:t> </w:t>
            </w:r>
            <w:r w:rsidR="00ED147C" w:rsidRPr="0018378A">
              <w:rPr>
                <w:sz w:val="16"/>
                <w:szCs w:val="16"/>
              </w:rPr>
              <w:t>էլեկտրոնային</w:t>
            </w:r>
            <w:r w:rsidR="00ED147C" w:rsidRPr="0018378A">
              <w:rPr>
                <w:rFonts w:ascii="Calibri" w:hAnsi="Calibri" w:cs="Calibri"/>
                <w:sz w:val="16"/>
                <w:szCs w:val="16"/>
              </w:rPr>
              <w:t> </w:t>
            </w:r>
            <w:r w:rsidR="00ED147C" w:rsidRPr="0018378A">
              <w:rPr>
                <w:sz w:val="16"/>
                <w:szCs w:val="16"/>
              </w:rPr>
              <w:t>կրիչների</w:t>
            </w:r>
            <w:r w:rsidR="00ED147C" w:rsidRPr="0018378A">
              <w:rPr>
                <w:rFonts w:ascii="Calibri" w:hAnsi="Calibri" w:cs="Calibri"/>
                <w:sz w:val="16"/>
                <w:szCs w:val="16"/>
              </w:rPr>
              <w:t> </w:t>
            </w:r>
            <w:r w:rsidR="00ED147C" w:rsidRPr="0018378A">
              <w:rPr>
                <w:sz w:val="16"/>
                <w:szCs w:val="16"/>
              </w:rPr>
              <w:t>բնօրինակից</w:t>
            </w:r>
            <w:r w:rsidR="00ED147C" w:rsidRPr="0018378A">
              <w:rPr>
                <w:rFonts w:ascii="Calibri" w:hAnsi="Calibri" w:cs="Calibri"/>
                <w:sz w:val="16"/>
                <w:szCs w:val="16"/>
              </w:rPr>
              <w:t> </w:t>
            </w:r>
            <w:r w:rsidR="00ED147C" w:rsidRPr="0018378A">
              <w:rPr>
                <w:sz w:val="16"/>
                <w:szCs w:val="16"/>
              </w:rPr>
              <w:t>պատճենահանված</w:t>
            </w:r>
            <w:r w:rsidR="00ED147C" w:rsidRPr="0018378A">
              <w:rPr>
                <w:rFonts w:ascii="Calibri" w:hAnsi="Calibri" w:cs="Calibri"/>
                <w:sz w:val="16"/>
                <w:szCs w:val="16"/>
              </w:rPr>
              <w:t> </w:t>
            </w:r>
            <w:r w:rsidR="00ED147C" w:rsidRPr="0018378A">
              <w:rPr>
                <w:sz w:val="16"/>
                <w:szCs w:val="16"/>
              </w:rPr>
              <w:t>կրիչ</w:t>
            </w:r>
            <w:r w:rsidR="00ED147C" w:rsidRPr="0018378A">
              <w:rPr>
                <w:rFonts w:ascii="Calibri" w:hAnsi="Calibri" w:cs="Calibri"/>
                <w:sz w:val="16"/>
                <w:szCs w:val="16"/>
              </w:rPr>
              <w:t> </w:t>
            </w:r>
            <w:r w:rsidR="00ED147C" w:rsidRPr="0018378A">
              <w:rPr>
                <w:sz w:val="16"/>
                <w:szCs w:val="16"/>
              </w:rPr>
              <w:t>և</w:t>
            </w:r>
            <w:r w:rsidR="00ED147C" w:rsidRPr="0018378A">
              <w:rPr>
                <w:rFonts w:ascii="Calibri" w:hAnsi="Calibri" w:cs="Calibri"/>
                <w:sz w:val="16"/>
                <w:szCs w:val="16"/>
              </w:rPr>
              <w:t> </w:t>
            </w:r>
            <w:r w:rsidR="00ED147C" w:rsidRPr="0018378A">
              <w:rPr>
                <w:sz w:val="16"/>
                <w:szCs w:val="16"/>
              </w:rPr>
              <w:t>դատական</w:t>
            </w:r>
            <w:r w:rsidR="00ED147C" w:rsidRPr="0018378A">
              <w:rPr>
                <w:rFonts w:ascii="Calibri" w:hAnsi="Calibri" w:cs="Calibri"/>
                <w:sz w:val="16"/>
                <w:szCs w:val="16"/>
              </w:rPr>
              <w:t> </w:t>
            </w:r>
            <w:r w:rsidR="00ED147C" w:rsidRPr="0018378A">
              <w:rPr>
                <w:sz w:val="16"/>
                <w:szCs w:val="16"/>
              </w:rPr>
              <w:t>նիստի</w:t>
            </w:r>
            <w:r w:rsidR="00ED147C" w:rsidRPr="0018378A">
              <w:rPr>
                <w:rFonts w:ascii="Calibri" w:hAnsi="Calibri" w:cs="Calibri"/>
                <w:sz w:val="16"/>
                <w:szCs w:val="16"/>
              </w:rPr>
              <w:t> </w:t>
            </w:r>
            <w:r w:rsidR="00ED147C" w:rsidRPr="0018378A">
              <w:rPr>
                <w:sz w:val="16"/>
                <w:szCs w:val="16"/>
              </w:rPr>
              <w:t>համակարգչային</w:t>
            </w:r>
            <w:r w:rsidR="00ED147C" w:rsidRPr="0018378A">
              <w:rPr>
                <w:rFonts w:ascii="Calibri" w:hAnsi="Calibri" w:cs="Calibri"/>
                <w:sz w:val="16"/>
                <w:szCs w:val="16"/>
              </w:rPr>
              <w:t> </w:t>
            </w:r>
            <w:r w:rsidR="00ED147C" w:rsidRPr="0018378A">
              <w:rPr>
                <w:sz w:val="16"/>
                <w:szCs w:val="16"/>
              </w:rPr>
              <w:t>ձայնագրման</w:t>
            </w:r>
            <w:r w:rsidR="00ED147C" w:rsidRPr="0018378A">
              <w:rPr>
                <w:rFonts w:ascii="Calibri" w:hAnsi="Calibri" w:cs="Calibri"/>
                <w:sz w:val="16"/>
                <w:szCs w:val="16"/>
              </w:rPr>
              <w:t> </w:t>
            </w:r>
            <w:r w:rsidR="00ED147C" w:rsidRPr="0018378A">
              <w:rPr>
                <w:sz w:val="16"/>
                <w:szCs w:val="16"/>
              </w:rPr>
              <w:t>կրկնօրինակ</w:t>
            </w:r>
            <w:r w:rsidR="00ED147C" w:rsidRPr="0018378A">
              <w:rPr>
                <w:rFonts w:ascii="Calibri" w:hAnsi="Calibri" w:cs="Calibri"/>
                <w:sz w:val="16"/>
                <w:szCs w:val="16"/>
              </w:rPr>
              <w:t> </w:t>
            </w:r>
            <w:r w:rsidR="00ED147C" w:rsidRPr="0018378A">
              <w:rPr>
                <w:sz w:val="16"/>
                <w:szCs w:val="16"/>
              </w:rPr>
              <w:t>տալու</w:t>
            </w:r>
            <w:r w:rsidR="00ED147C" w:rsidRPr="0018378A">
              <w:rPr>
                <w:rFonts w:ascii="Calibri" w:hAnsi="Calibri" w:cs="Calibri"/>
                <w:sz w:val="16"/>
                <w:szCs w:val="16"/>
              </w:rPr>
              <w:t> </w:t>
            </w:r>
            <w:r w:rsidR="00ED147C" w:rsidRPr="0018378A">
              <w:rPr>
                <w:sz w:val="16"/>
                <w:szCs w:val="16"/>
              </w:rPr>
              <w:t>համար</w:t>
            </w:r>
          </w:p>
        </w:tc>
        <w:tc>
          <w:tcPr>
            <w:tcW w:w="475" w:type="pct"/>
            <w:shd w:val="clear" w:color="auto" w:fill="auto"/>
            <w:noWrap/>
            <w:vAlign w:val="center"/>
            <w:hideMark/>
          </w:tcPr>
          <w:p w14:paraId="30C6C550" w14:textId="77777777" w:rsidR="00ED147C" w:rsidRPr="00F44F21" w:rsidRDefault="00ED147C" w:rsidP="00F44F21">
            <w:pPr>
              <w:ind w:right="-107"/>
              <w:jc w:val="center"/>
              <w:rPr>
                <w:rFonts w:ascii="GHEA Grapalat" w:hAnsi="GHEA Grapalat" w:cs="Calibri"/>
                <w:bCs/>
                <w:color w:val="404040"/>
                <w:sz w:val="16"/>
                <w:szCs w:val="16"/>
              </w:rPr>
            </w:pPr>
            <w:r w:rsidRPr="00F44F21">
              <w:rPr>
                <w:rFonts w:ascii="GHEA Grapalat" w:hAnsi="GHEA Grapalat" w:cs="Calibri"/>
                <w:bCs/>
                <w:color w:val="404040"/>
                <w:sz w:val="16"/>
                <w:szCs w:val="16"/>
              </w:rPr>
              <w:t>3.1</w:t>
            </w:r>
          </w:p>
        </w:tc>
        <w:tc>
          <w:tcPr>
            <w:tcW w:w="473" w:type="pct"/>
            <w:shd w:val="clear" w:color="auto" w:fill="auto"/>
            <w:noWrap/>
            <w:vAlign w:val="center"/>
            <w:hideMark/>
          </w:tcPr>
          <w:p w14:paraId="548C5ADD" w14:textId="77777777" w:rsidR="00ED147C" w:rsidRPr="00F44F21" w:rsidRDefault="00ED147C" w:rsidP="00F44F21">
            <w:pPr>
              <w:ind w:right="-107"/>
              <w:jc w:val="center"/>
              <w:rPr>
                <w:rFonts w:ascii="GHEA Grapalat" w:hAnsi="GHEA Grapalat" w:cs="Calibri"/>
                <w:bCs/>
                <w:color w:val="404040"/>
                <w:sz w:val="16"/>
                <w:szCs w:val="16"/>
              </w:rPr>
            </w:pPr>
            <w:r w:rsidRPr="00F44F21">
              <w:rPr>
                <w:rFonts w:ascii="GHEA Grapalat" w:hAnsi="GHEA Grapalat" w:cs="Calibri"/>
                <w:bCs/>
                <w:color w:val="404040"/>
                <w:sz w:val="16"/>
                <w:szCs w:val="16"/>
              </w:rPr>
              <w:t>2.7</w:t>
            </w:r>
          </w:p>
        </w:tc>
        <w:tc>
          <w:tcPr>
            <w:tcW w:w="474" w:type="pct"/>
            <w:shd w:val="clear" w:color="auto" w:fill="auto"/>
            <w:noWrap/>
            <w:vAlign w:val="center"/>
            <w:hideMark/>
          </w:tcPr>
          <w:p w14:paraId="2786B118" w14:textId="77777777" w:rsidR="00ED147C" w:rsidRPr="00F44F21" w:rsidRDefault="00ED147C" w:rsidP="00F44F21">
            <w:pPr>
              <w:ind w:right="-107"/>
              <w:jc w:val="center"/>
              <w:rPr>
                <w:rFonts w:ascii="GHEA Grapalat" w:hAnsi="GHEA Grapalat" w:cs="Calibri"/>
                <w:bCs/>
                <w:color w:val="404040"/>
                <w:sz w:val="16"/>
                <w:szCs w:val="16"/>
              </w:rPr>
            </w:pPr>
            <w:r w:rsidRPr="00F44F21">
              <w:rPr>
                <w:rFonts w:ascii="GHEA Grapalat" w:hAnsi="GHEA Grapalat" w:cs="Calibri"/>
                <w:bCs/>
                <w:color w:val="404040"/>
                <w:sz w:val="16"/>
                <w:szCs w:val="16"/>
              </w:rPr>
              <w:t>2.6</w:t>
            </w:r>
          </w:p>
        </w:tc>
        <w:tc>
          <w:tcPr>
            <w:tcW w:w="540" w:type="pct"/>
            <w:shd w:val="clear" w:color="auto" w:fill="auto"/>
            <w:noWrap/>
            <w:vAlign w:val="center"/>
            <w:hideMark/>
          </w:tcPr>
          <w:p w14:paraId="7544B344" w14:textId="77777777" w:rsidR="00ED147C" w:rsidRPr="00F44F21" w:rsidRDefault="00ED147C" w:rsidP="00F44F21">
            <w:pPr>
              <w:ind w:right="-107"/>
              <w:jc w:val="center"/>
              <w:rPr>
                <w:rFonts w:ascii="GHEA Grapalat" w:hAnsi="GHEA Grapalat" w:cs="Calibri"/>
                <w:bCs/>
                <w:color w:val="404040"/>
                <w:sz w:val="16"/>
                <w:szCs w:val="16"/>
              </w:rPr>
            </w:pPr>
            <w:r w:rsidRPr="00F44F21">
              <w:rPr>
                <w:rFonts w:ascii="GHEA Grapalat" w:hAnsi="GHEA Grapalat" w:cs="Calibri"/>
                <w:bCs/>
                <w:color w:val="404040"/>
                <w:sz w:val="16"/>
                <w:szCs w:val="16"/>
              </w:rPr>
              <w:t>2.1</w:t>
            </w:r>
          </w:p>
        </w:tc>
        <w:tc>
          <w:tcPr>
            <w:tcW w:w="608" w:type="pct"/>
            <w:vAlign w:val="center"/>
          </w:tcPr>
          <w:p w14:paraId="679E37D4" w14:textId="77777777" w:rsidR="00ED147C" w:rsidRPr="00F44F21" w:rsidRDefault="00ED147C" w:rsidP="00F44F21">
            <w:pPr>
              <w:ind w:right="-107"/>
              <w:jc w:val="center"/>
              <w:rPr>
                <w:rFonts w:ascii="GHEA Grapalat" w:hAnsi="GHEA Grapalat" w:cs="Calibri"/>
                <w:bCs/>
                <w:color w:val="404040"/>
                <w:sz w:val="16"/>
                <w:szCs w:val="16"/>
              </w:rPr>
            </w:pPr>
            <w:r w:rsidRPr="00F44F21">
              <w:rPr>
                <w:rFonts w:ascii="GHEA Grapalat" w:hAnsi="GHEA Grapalat" w:cs="Calibri"/>
                <w:bCs/>
                <w:color w:val="404040"/>
                <w:sz w:val="16"/>
                <w:szCs w:val="16"/>
              </w:rPr>
              <w:t>2.7</w:t>
            </w:r>
          </w:p>
        </w:tc>
        <w:tc>
          <w:tcPr>
            <w:tcW w:w="609" w:type="pct"/>
            <w:vAlign w:val="center"/>
          </w:tcPr>
          <w:p w14:paraId="3BD0B13C" w14:textId="77777777" w:rsidR="00ED147C" w:rsidRPr="00F44F21" w:rsidRDefault="00ED147C" w:rsidP="00F44F21">
            <w:pPr>
              <w:ind w:right="-107"/>
              <w:jc w:val="center"/>
              <w:rPr>
                <w:rFonts w:ascii="GHEA Grapalat" w:hAnsi="GHEA Grapalat" w:cs="Calibri"/>
                <w:bCs/>
                <w:color w:val="404040"/>
                <w:sz w:val="16"/>
                <w:szCs w:val="16"/>
              </w:rPr>
            </w:pPr>
            <w:r w:rsidRPr="00F44F21">
              <w:rPr>
                <w:rFonts w:ascii="GHEA Grapalat" w:hAnsi="GHEA Grapalat" w:cs="Calibri"/>
                <w:bCs/>
                <w:color w:val="404040"/>
                <w:sz w:val="16"/>
                <w:szCs w:val="16"/>
              </w:rPr>
              <w:t>3.0</w:t>
            </w:r>
          </w:p>
        </w:tc>
        <w:tc>
          <w:tcPr>
            <w:tcW w:w="609" w:type="pct"/>
            <w:vAlign w:val="center"/>
          </w:tcPr>
          <w:p w14:paraId="502C0FE1" w14:textId="77777777" w:rsidR="00ED147C" w:rsidRPr="00F44F21" w:rsidRDefault="00ED147C" w:rsidP="00F44F21">
            <w:pPr>
              <w:ind w:right="-107"/>
              <w:jc w:val="center"/>
              <w:rPr>
                <w:rFonts w:ascii="GHEA Grapalat" w:hAnsi="GHEA Grapalat" w:cs="Calibri"/>
                <w:bCs/>
                <w:color w:val="404040"/>
                <w:sz w:val="16"/>
                <w:szCs w:val="16"/>
              </w:rPr>
            </w:pPr>
            <w:r w:rsidRPr="00F44F21">
              <w:rPr>
                <w:rFonts w:ascii="GHEA Grapalat" w:hAnsi="GHEA Grapalat" w:cs="Calibri"/>
                <w:bCs/>
                <w:color w:val="404040"/>
                <w:sz w:val="16"/>
                <w:szCs w:val="16"/>
              </w:rPr>
              <w:t>3.3</w:t>
            </w:r>
          </w:p>
        </w:tc>
      </w:tr>
      <w:tr w:rsidR="005A68C3" w:rsidRPr="00C65325" w14:paraId="00BDBBFF" w14:textId="77777777" w:rsidTr="005A68C3">
        <w:trPr>
          <w:trHeight w:val="360"/>
          <w:jc w:val="center"/>
        </w:trPr>
        <w:tc>
          <w:tcPr>
            <w:tcW w:w="1212" w:type="pct"/>
            <w:shd w:val="clear" w:color="auto" w:fill="auto"/>
            <w:vAlign w:val="center"/>
            <w:hideMark/>
          </w:tcPr>
          <w:p w14:paraId="11F61425" w14:textId="7EF11A41" w:rsidR="00ED147C" w:rsidRPr="0018378A" w:rsidRDefault="00C47194" w:rsidP="00ED147C">
            <w:pPr>
              <w:ind w:right="357"/>
              <w:jc w:val="both"/>
              <w:rPr>
                <w:sz w:val="16"/>
                <w:szCs w:val="16"/>
              </w:rPr>
            </w:pPr>
            <w:r>
              <w:rPr>
                <w:sz w:val="16"/>
                <w:szCs w:val="16"/>
              </w:rPr>
              <w:t>2.</w:t>
            </w:r>
            <w:r w:rsidR="00ED147C" w:rsidRPr="0018378A">
              <w:rPr>
                <w:sz w:val="16"/>
                <w:szCs w:val="16"/>
              </w:rPr>
              <w:t xml:space="preserve">Հայաստանի Հանրապետության քաղաքացիություն ստանալու և Հայաստանի Հանրապետության  քաղաքացիությունը փոխելու համար </w:t>
            </w:r>
          </w:p>
        </w:tc>
        <w:tc>
          <w:tcPr>
            <w:tcW w:w="475" w:type="pct"/>
            <w:shd w:val="clear" w:color="auto" w:fill="auto"/>
            <w:noWrap/>
            <w:vAlign w:val="center"/>
            <w:hideMark/>
          </w:tcPr>
          <w:p w14:paraId="286F829F" w14:textId="77777777" w:rsidR="00ED147C" w:rsidRPr="00F44F21" w:rsidRDefault="00ED147C" w:rsidP="00F44F21">
            <w:pPr>
              <w:ind w:right="-107"/>
              <w:jc w:val="center"/>
              <w:rPr>
                <w:rFonts w:ascii="GHEA Grapalat" w:hAnsi="GHEA Grapalat" w:cs="Calibri"/>
                <w:bCs/>
                <w:color w:val="404040"/>
                <w:sz w:val="16"/>
                <w:szCs w:val="16"/>
              </w:rPr>
            </w:pPr>
            <w:r w:rsidRPr="00F44F21">
              <w:rPr>
                <w:rFonts w:ascii="GHEA Grapalat" w:hAnsi="GHEA Grapalat" w:cs="Calibri"/>
                <w:bCs/>
                <w:color w:val="404040"/>
                <w:sz w:val="16"/>
                <w:szCs w:val="16"/>
              </w:rPr>
              <w:t>0.1</w:t>
            </w:r>
          </w:p>
        </w:tc>
        <w:tc>
          <w:tcPr>
            <w:tcW w:w="473" w:type="pct"/>
            <w:shd w:val="clear" w:color="auto" w:fill="auto"/>
            <w:noWrap/>
            <w:vAlign w:val="center"/>
            <w:hideMark/>
          </w:tcPr>
          <w:p w14:paraId="58F2C38F" w14:textId="77777777" w:rsidR="00ED147C" w:rsidRPr="00F44F21" w:rsidRDefault="00ED147C" w:rsidP="00F44F21">
            <w:pPr>
              <w:ind w:right="-107"/>
              <w:jc w:val="center"/>
              <w:rPr>
                <w:rFonts w:ascii="GHEA Grapalat" w:hAnsi="GHEA Grapalat" w:cs="Calibri"/>
                <w:bCs/>
                <w:color w:val="404040"/>
                <w:sz w:val="16"/>
                <w:szCs w:val="16"/>
              </w:rPr>
            </w:pPr>
            <w:r w:rsidRPr="00F44F21">
              <w:rPr>
                <w:rFonts w:ascii="GHEA Grapalat" w:hAnsi="GHEA Grapalat" w:cs="Calibri"/>
                <w:bCs/>
                <w:color w:val="404040"/>
                <w:sz w:val="16"/>
                <w:szCs w:val="16"/>
              </w:rPr>
              <w:t>0.1</w:t>
            </w:r>
          </w:p>
        </w:tc>
        <w:tc>
          <w:tcPr>
            <w:tcW w:w="474" w:type="pct"/>
            <w:shd w:val="clear" w:color="auto" w:fill="auto"/>
            <w:noWrap/>
            <w:vAlign w:val="center"/>
            <w:hideMark/>
          </w:tcPr>
          <w:p w14:paraId="74452ED2" w14:textId="77777777" w:rsidR="00ED147C" w:rsidRPr="00F44F21" w:rsidRDefault="00ED147C" w:rsidP="00F44F21">
            <w:pPr>
              <w:ind w:right="-107"/>
              <w:jc w:val="center"/>
              <w:rPr>
                <w:rFonts w:ascii="GHEA Grapalat" w:hAnsi="GHEA Grapalat" w:cs="Calibri"/>
                <w:bCs/>
                <w:color w:val="404040"/>
                <w:sz w:val="16"/>
                <w:szCs w:val="16"/>
              </w:rPr>
            </w:pPr>
            <w:r w:rsidRPr="00F44F21">
              <w:rPr>
                <w:rFonts w:ascii="GHEA Grapalat" w:hAnsi="GHEA Grapalat" w:cs="Calibri"/>
                <w:bCs/>
                <w:color w:val="404040"/>
                <w:sz w:val="16"/>
                <w:szCs w:val="16"/>
              </w:rPr>
              <w:t>0.1</w:t>
            </w:r>
          </w:p>
        </w:tc>
        <w:tc>
          <w:tcPr>
            <w:tcW w:w="540" w:type="pct"/>
            <w:shd w:val="clear" w:color="auto" w:fill="auto"/>
            <w:noWrap/>
            <w:vAlign w:val="center"/>
            <w:hideMark/>
          </w:tcPr>
          <w:p w14:paraId="1D222162" w14:textId="77777777" w:rsidR="00ED147C" w:rsidRPr="00F44F21" w:rsidRDefault="00ED147C" w:rsidP="00F44F21">
            <w:pPr>
              <w:ind w:right="-107"/>
              <w:jc w:val="center"/>
              <w:rPr>
                <w:rFonts w:ascii="GHEA Grapalat" w:hAnsi="GHEA Grapalat" w:cs="Calibri"/>
                <w:bCs/>
                <w:color w:val="404040"/>
                <w:sz w:val="16"/>
                <w:szCs w:val="16"/>
              </w:rPr>
            </w:pPr>
            <w:r w:rsidRPr="00F44F21">
              <w:rPr>
                <w:rFonts w:ascii="GHEA Grapalat" w:hAnsi="GHEA Grapalat" w:cs="Calibri"/>
                <w:bCs/>
                <w:color w:val="404040"/>
                <w:sz w:val="16"/>
                <w:szCs w:val="16"/>
              </w:rPr>
              <w:t>0.1</w:t>
            </w:r>
          </w:p>
        </w:tc>
        <w:tc>
          <w:tcPr>
            <w:tcW w:w="608" w:type="pct"/>
            <w:vAlign w:val="center"/>
          </w:tcPr>
          <w:p w14:paraId="41676014" w14:textId="77777777" w:rsidR="00ED147C" w:rsidRPr="00F44F21" w:rsidRDefault="00ED147C" w:rsidP="00F44F21">
            <w:pPr>
              <w:ind w:right="-107"/>
              <w:jc w:val="center"/>
              <w:rPr>
                <w:rFonts w:ascii="GHEA Grapalat" w:hAnsi="GHEA Grapalat" w:cs="Calibri"/>
                <w:bCs/>
                <w:color w:val="404040"/>
                <w:sz w:val="16"/>
                <w:szCs w:val="16"/>
              </w:rPr>
            </w:pPr>
            <w:r w:rsidRPr="00F44F21">
              <w:rPr>
                <w:rFonts w:ascii="GHEA Grapalat" w:hAnsi="GHEA Grapalat" w:cs="Calibri"/>
                <w:bCs/>
                <w:color w:val="404040"/>
                <w:sz w:val="16"/>
                <w:szCs w:val="16"/>
              </w:rPr>
              <w:t>1.1</w:t>
            </w:r>
          </w:p>
        </w:tc>
        <w:tc>
          <w:tcPr>
            <w:tcW w:w="609" w:type="pct"/>
            <w:vAlign w:val="center"/>
          </w:tcPr>
          <w:p w14:paraId="35DDB0F0" w14:textId="77777777" w:rsidR="00ED147C" w:rsidRPr="00F44F21" w:rsidRDefault="00ED147C" w:rsidP="00F44F21">
            <w:pPr>
              <w:ind w:right="-107"/>
              <w:jc w:val="center"/>
              <w:rPr>
                <w:rFonts w:ascii="GHEA Grapalat" w:hAnsi="GHEA Grapalat" w:cs="Calibri"/>
                <w:bCs/>
                <w:color w:val="404040"/>
                <w:sz w:val="16"/>
                <w:szCs w:val="16"/>
              </w:rPr>
            </w:pPr>
            <w:r w:rsidRPr="00F44F21">
              <w:rPr>
                <w:rFonts w:ascii="GHEA Grapalat" w:hAnsi="GHEA Grapalat" w:cs="Calibri"/>
                <w:bCs/>
                <w:color w:val="404040"/>
                <w:sz w:val="16"/>
                <w:szCs w:val="16"/>
              </w:rPr>
              <w:t>1.1</w:t>
            </w:r>
          </w:p>
        </w:tc>
        <w:tc>
          <w:tcPr>
            <w:tcW w:w="609" w:type="pct"/>
            <w:vAlign w:val="center"/>
          </w:tcPr>
          <w:p w14:paraId="14D9C094" w14:textId="77777777" w:rsidR="00ED147C" w:rsidRPr="00F44F21" w:rsidRDefault="00ED147C" w:rsidP="00F44F21">
            <w:pPr>
              <w:ind w:right="-107"/>
              <w:jc w:val="center"/>
              <w:rPr>
                <w:rFonts w:ascii="GHEA Grapalat" w:hAnsi="GHEA Grapalat" w:cs="Calibri"/>
                <w:bCs/>
                <w:color w:val="404040"/>
                <w:sz w:val="16"/>
                <w:szCs w:val="16"/>
              </w:rPr>
            </w:pPr>
            <w:r w:rsidRPr="00F44F21">
              <w:rPr>
                <w:rFonts w:ascii="GHEA Grapalat" w:hAnsi="GHEA Grapalat" w:cs="Calibri"/>
                <w:bCs/>
                <w:color w:val="404040"/>
                <w:sz w:val="16"/>
                <w:szCs w:val="16"/>
              </w:rPr>
              <w:t>1.1</w:t>
            </w:r>
          </w:p>
        </w:tc>
      </w:tr>
      <w:tr w:rsidR="005A68C3" w:rsidRPr="00C65325" w14:paraId="3F455ED5" w14:textId="77777777" w:rsidTr="005A68C3">
        <w:trPr>
          <w:trHeight w:val="360"/>
          <w:jc w:val="center"/>
        </w:trPr>
        <w:tc>
          <w:tcPr>
            <w:tcW w:w="1212" w:type="pct"/>
            <w:shd w:val="clear" w:color="auto" w:fill="auto"/>
            <w:vAlign w:val="center"/>
            <w:hideMark/>
          </w:tcPr>
          <w:p w14:paraId="09E1CB08" w14:textId="5B0DCB5F" w:rsidR="00ED147C" w:rsidRPr="0018378A" w:rsidRDefault="00C47194" w:rsidP="00ED147C">
            <w:pPr>
              <w:ind w:right="357"/>
              <w:jc w:val="both"/>
              <w:rPr>
                <w:sz w:val="16"/>
                <w:szCs w:val="16"/>
              </w:rPr>
            </w:pPr>
            <w:r>
              <w:rPr>
                <w:sz w:val="16"/>
                <w:szCs w:val="16"/>
              </w:rPr>
              <w:t>3.</w:t>
            </w:r>
            <w:r w:rsidR="00ED147C" w:rsidRPr="0018378A">
              <w:rPr>
                <w:sz w:val="16"/>
                <w:szCs w:val="16"/>
              </w:rPr>
              <w:t>Հյուպատոսական ծառայությունների կամ գործողությունների համար</w:t>
            </w:r>
          </w:p>
        </w:tc>
        <w:tc>
          <w:tcPr>
            <w:tcW w:w="475" w:type="pct"/>
            <w:shd w:val="clear" w:color="auto" w:fill="auto"/>
            <w:noWrap/>
            <w:vAlign w:val="center"/>
            <w:hideMark/>
          </w:tcPr>
          <w:p w14:paraId="36369786" w14:textId="77777777" w:rsidR="00ED147C" w:rsidRPr="00F44F21" w:rsidRDefault="00ED147C" w:rsidP="00F44F21">
            <w:pPr>
              <w:ind w:right="-107"/>
              <w:jc w:val="center"/>
              <w:rPr>
                <w:rFonts w:ascii="GHEA Grapalat" w:hAnsi="GHEA Grapalat" w:cs="Calibri"/>
                <w:bCs/>
                <w:color w:val="404040"/>
                <w:sz w:val="16"/>
                <w:szCs w:val="16"/>
              </w:rPr>
            </w:pPr>
            <w:r w:rsidRPr="00F44F21">
              <w:rPr>
                <w:rFonts w:ascii="GHEA Grapalat" w:hAnsi="GHEA Grapalat" w:cs="Calibri"/>
                <w:bCs/>
                <w:color w:val="404040"/>
                <w:sz w:val="16"/>
                <w:szCs w:val="16"/>
              </w:rPr>
              <w:t>2.6</w:t>
            </w:r>
          </w:p>
        </w:tc>
        <w:tc>
          <w:tcPr>
            <w:tcW w:w="473" w:type="pct"/>
            <w:shd w:val="clear" w:color="auto" w:fill="auto"/>
            <w:noWrap/>
            <w:vAlign w:val="center"/>
            <w:hideMark/>
          </w:tcPr>
          <w:p w14:paraId="675FB5B3" w14:textId="77777777" w:rsidR="00ED147C" w:rsidRPr="00F44F21" w:rsidRDefault="00ED147C" w:rsidP="00F44F21">
            <w:pPr>
              <w:ind w:right="-107"/>
              <w:jc w:val="center"/>
              <w:rPr>
                <w:rFonts w:ascii="GHEA Grapalat" w:hAnsi="GHEA Grapalat" w:cs="Calibri"/>
                <w:bCs/>
                <w:color w:val="404040"/>
                <w:sz w:val="16"/>
                <w:szCs w:val="16"/>
              </w:rPr>
            </w:pPr>
            <w:r w:rsidRPr="00F44F21">
              <w:rPr>
                <w:rFonts w:ascii="GHEA Grapalat" w:hAnsi="GHEA Grapalat" w:cs="Calibri"/>
                <w:bCs/>
                <w:color w:val="404040"/>
                <w:sz w:val="16"/>
                <w:szCs w:val="16"/>
              </w:rPr>
              <w:t>2.8</w:t>
            </w:r>
          </w:p>
        </w:tc>
        <w:tc>
          <w:tcPr>
            <w:tcW w:w="474" w:type="pct"/>
            <w:shd w:val="clear" w:color="auto" w:fill="auto"/>
            <w:noWrap/>
            <w:vAlign w:val="center"/>
            <w:hideMark/>
          </w:tcPr>
          <w:p w14:paraId="5DCA773B" w14:textId="77777777" w:rsidR="00ED147C" w:rsidRPr="00F44F21" w:rsidRDefault="00ED147C" w:rsidP="00F44F21">
            <w:pPr>
              <w:ind w:right="-107"/>
              <w:jc w:val="center"/>
              <w:rPr>
                <w:rFonts w:ascii="GHEA Grapalat" w:hAnsi="GHEA Grapalat" w:cs="Calibri"/>
                <w:bCs/>
                <w:color w:val="404040"/>
                <w:sz w:val="16"/>
                <w:szCs w:val="16"/>
              </w:rPr>
            </w:pPr>
            <w:r w:rsidRPr="00F44F21">
              <w:rPr>
                <w:rFonts w:ascii="GHEA Grapalat" w:hAnsi="GHEA Grapalat" w:cs="Calibri"/>
                <w:bCs/>
                <w:color w:val="404040"/>
                <w:sz w:val="16"/>
                <w:szCs w:val="16"/>
              </w:rPr>
              <w:t>2.8</w:t>
            </w:r>
          </w:p>
        </w:tc>
        <w:tc>
          <w:tcPr>
            <w:tcW w:w="540" w:type="pct"/>
            <w:shd w:val="clear" w:color="auto" w:fill="auto"/>
            <w:noWrap/>
            <w:vAlign w:val="center"/>
            <w:hideMark/>
          </w:tcPr>
          <w:p w14:paraId="3B4CFF28" w14:textId="77777777" w:rsidR="00ED147C" w:rsidRPr="00F44F21" w:rsidRDefault="00ED147C" w:rsidP="00F44F21">
            <w:pPr>
              <w:ind w:right="-107"/>
              <w:jc w:val="center"/>
              <w:rPr>
                <w:rFonts w:ascii="GHEA Grapalat" w:hAnsi="GHEA Grapalat" w:cs="Calibri"/>
                <w:bCs/>
                <w:color w:val="404040"/>
                <w:sz w:val="16"/>
                <w:szCs w:val="16"/>
              </w:rPr>
            </w:pPr>
            <w:r w:rsidRPr="00F44F21">
              <w:rPr>
                <w:rFonts w:ascii="GHEA Grapalat" w:hAnsi="GHEA Grapalat" w:cs="Calibri"/>
                <w:bCs/>
                <w:color w:val="404040"/>
                <w:sz w:val="16"/>
                <w:szCs w:val="16"/>
              </w:rPr>
              <w:t>2.5</w:t>
            </w:r>
          </w:p>
        </w:tc>
        <w:tc>
          <w:tcPr>
            <w:tcW w:w="608" w:type="pct"/>
            <w:vAlign w:val="center"/>
          </w:tcPr>
          <w:p w14:paraId="13E56A84" w14:textId="77777777" w:rsidR="00ED147C" w:rsidRPr="00F44F21" w:rsidRDefault="00ED147C" w:rsidP="00F44F21">
            <w:pPr>
              <w:ind w:right="-107"/>
              <w:jc w:val="center"/>
              <w:rPr>
                <w:rFonts w:ascii="GHEA Grapalat" w:hAnsi="GHEA Grapalat" w:cs="Calibri"/>
                <w:bCs/>
                <w:color w:val="404040"/>
                <w:sz w:val="16"/>
                <w:szCs w:val="16"/>
              </w:rPr>
            </w:pPr>
            <w:r w:rsidRPr="00F44F21">
              <w:rPr>
                <w:rFonts w:ascii="GHEA Grapalat" w:hAnsi="GHEA Grapalat" w:cs="Calibri"/>
                <w:bCs/>
                <w:color w:val="404040"/>
                <w:sz w:val="16"/>
                <w:szCs w:val="16"/>
              </w:rPr>
              <w:t>2.5</w:t>
            </w:r>
          </w:p>
        </w:tc>
        <w:tc>
          <w:tcPr>
            <w:tcW w:w="609" w:type="pct"/>
            <w:vAlign w:val="center"/>
          </w:tcPr>
          <w:p w14:paraId="6333FA48" w14:textId="77777777" w:rsidR="00ED147C" w:rsidRPr="00F44F21" w:rsidRDefault="00ED147C" w:rsidP="00F44F21">
            <w:pPr>
              <w:ind w:right="-107"/>
              <w:jc w:val="center"/>
              <w:rPr>
                <w:rFonts w:ascii="GHEA Grapalat" w:hAnsi="GHEA Grapalat" w:cs="Calibri"/>
                <w:bCs/>
                <w:color w:val="404040"/>
                <w:sz w:val="16"/>
                <w:szCs w:val="16"/>
              </w:rPr>
            </w:pPr>
            <w:r w:rsidRPr="00F44F21">
              <w:rPr>
                <w:rFonts w:ascii="GHEA Grapalat" w:hAnsi="GHEA Grapalat" w:cs="Calibri"/>
                <w:bCs/>
                <w:color w:val="404040"/>
                <w:sz w:val="16"/>
                <w:szCs w:val="16"/>
              </w:rPr>
              <w:t>2.5</w:t>
            </w:r>
          </w:p>
        </w:tc>
        <w:tc>
          <w:tcPr>
            <w:tcW w:w="609" w:type="pct"/>
            <w:vAlign w:val="center"/>
          </w:tcPr>
          <w:p w14:paraId="5C157C10" w14:textId="77777777" w:rsidR="00ED147C" w:rsidRPr="00F44F21" w:rsidRDefault="00ED147C" w:rsidP="00F44F21">
            <w:pPr>
              <w:ind w:right="-107"/>
              <w:jc w:val="center"/>
              <w:rPr>
                <w:rFonts w:ascii="GHEA Grapalat" w:hAnsi="GHEA Grapalat" w:cs="Calibri"/>
                <w:bCs/>
                <w:color w:val="404040"/>
                <w:sz w:val="16"/>
                <w:szCs w:val="16"/>
              </w:rPr>
            </w:pPr>
            <w:r w:rsidRPr="00F44F21">
              <w:rPr>
                <w:rFonts w:ascii="GHEA Grapalat" w:hAnsi="GHEA Grapalat" w:cs="Calibri"/>
                <w:bCs/>
                <w:color w:val="404040"/>
                <w:sz w:val="16"/>
                <w:szCs w:val="16"/>
              </w:rPr>
              <w:t>2.5</w:t>
            </w:r>
          </w:p>
        </w:tc>
      </w:tr>
      <w:tr w:rsidR="005A68C3" w:rsidRPr="00C65325" w14:paraId="4018E6ED" w14:textId="77777777" w:rsidTr="005A68C3">
        <w:trPr>
          <w:trHeight w:val="360"/>
          <w:jc w:val="center"/>
        </w:trPr>
        <w:tc>
          <w:tcPr>
            <w:tcW w:w="1212" w:type="pct"/>
            <w:shd w:val="clear" w:color="auto" w:fill="auto"/>
            <w:vAlign w:val="center"/>
            <w:hideMark/>
          </w:tcPr>
          <w:p w14:paraId="6353F63B" w14:textId="725B41DC" w:rsidR="00ED147C" w:rsidRPr="0018378A" w:rsidRDefault="00C47194" w:rsidP="00ED147C">
            <w:pPr>
              <w:ind w:right="357"/>
              <w:jc w:val="both"/>
              <w:rPr>
                <w:sz w:val="16"/>
                <w:szCs w:val="16"/>
              </w:rPr>
            </w:pPr>
            <w:r>
              <w:rPr>
                <w:sz w:val="16"/>
                <w:szCs w:val="16"/>
              </w:rPr>
              <w:t>4.</w:t>
            </w:r>
            <w:r w:rsidR="00ED147C" w:rsidRPr="0018378A">
              <w:rPr>
                <w:sz w:val="16"/>
                <w:szCs w:val="16"/>
              </w:rPr>
              <w:t>Պետական գրանցման համար</w:t>
            </w:r>
          </w:p>
        </w:tc>
        <w:tc>
          <w:tcPr>
            <w:tcW w:w="475" w:type="pct"/>
            <w:shd w:val="clear" w:color="auto" w:fill="auto"/>
            <w:noWrap/>
            <w:vAlign w:val="center"/>
            <w:hideMark/>
          </w:tcPr>
          <w:p w14:paraId="271A2202" w14:textId="77777777" w:rsidR="00ED147C" w:rsidRPr="00F44F21" w:rsidRDefault="00ED147C" w:rsidP="00F44F21">
            <w:pPr>
              <w:ind w:right="-107"/>
              <w:jc w:val="center"/>
              <w:rPr>
                <w:rFonts w:ascii="GHEA Grapalat" w:hAnsi="GHEA Grapalat" w:cs="Calibri"/>
                <w:bCs/>
                <w:color w:val="404040"/>
                <w:sz w:val="16"/>
                <w:szCs w:val="16"/>
              </w:rPr>
            </w:pPr>
            <w:r w:rsidRPr="00F44F21">
              <w:rPr>
                <w:rFonts w:ascii="GHEA Grapalat" w:hAnsi="GHEA Grapalat" w:cs="Calibri"/>
                <w:bCs/>
                <w:color w:val="404040"/>
                <w:sz w:val="16"/>
                <w:szCs w:val="16"/>
              </w:rPr>
              <w:t>4.9</w:t>
            </w:r>
          </w:p>
        </w:tc>
        <w:tc>
          <w:tcPr>
            <w:tcW w:w="473" w:type="pct"/>
            <w:shd w:val="clear" w:color="auto" w:fill="auto"/>
            <w:noWrap/>
            <w:vAlign w:val="center"/>
            <w:hideMark/>
          </w:tcPr>
          <w:p w14:paraId="309761C5" w14:textId="77777777" w:rsidR="00ED147C" w:rsidRPr="00F44F21" w:rsidRDefault="00ED147C" w:rsidP="00F44F21">
            <w:pPr>
              <w:ind w:right="-107"/>
              <w:jc w:val="center"/>
              <w:rPr>
                <w:rFonts w:ascii="GHEA Grapalat" w:hAnsi="GHEA Grapalat" w:cs="Calibri"/>
                <w:bCs/>
                <w:color w:val="404040"/>
                <w:sz w:val="16"/>
                <w:szCs w:val="16"/>
              </w:rPr>
            </w:pPr>
            <w:r w:rsidRPr="00F44F21">
              <w:rPr>
                <w:rFonts w:ascii="GHEA Grapalat" w:hAnsi="GHEA Grapalat" w:cs="Calibri"/>
                <w:bCs/>
                <w:color w:val="404040"/>
                <w:sz w:val="16"/>
                <w:szCs w:val="16"/>
              </w:rPr>
              <w:t>6.5</w:t>
            </w:r>
          </w:p>
        </w:tc>
        <w:tc>
          <w:tcPr>
            <w:tcW w:w="474" w:type="pct"/>
            <w:shd w:val="clear" w:color="auto" w:fill="auto"/>
            <w:noWrap/>
            <w:vAlign w:val="center"/>
            <w:hideMark/>
          </w:tcPr>
          <w:p w14:paraId="3A8EA180" w14:textId="77777777" w:rsidR="00ED147C" w:rsidRPr="00F44F21" w:rsidRDefault="00ED147C" w:rsidP="00F44F21">
            <w:pPr>
              <w:ind w:right="-107"/>
              <w:jc w:val="center"/>
              <w:rPr>
                <w:rFonts w:ascii="GHEA Grapalat" w:hAnsi="GHEA Grapalat" w:cs="Calibri"/>
                <w:bCs/>
                <w:color w:val="404040"/>
                <w:sz w:val="16"/>
                <w:szCs w:val="16"/>
              </w:rPr>
            </w:pPr>
            <w:r w:rsidRPr="00F44F21">
              <w:rPr>
                <w:rFonts w:ascii="GHEA Grapalat" w:hAnsi="GHEA Grapalat" w:cs="Calibri"/>
                <w:bCs/>
                <w:color w:val="404040"/>
                <w:sz w:val="16"/>
                <w:szCs w:val="16"/>
              </w:rPr>
              <w:t>6.8</w:t>
            </w:r>
          </w:p>
        </w:tc>
        <w:tc>
          <w:tcPr>
            <w:tcW w:w="540" w:type="pct"/>
            <w:shd w:val="clear" w:color="auto" w:fill="auto"/>
            <w:noWrap/>
            <w:vAlign w:val="center"/>
            <w:hideMark/>
          </w:tcPr>
          <w:p w14:paraId="0CD68AAA" w14:textId="77777777" w:rsidR="00ED147C" w:rsidRPr="00F44F21" w:rsidRDefault="00ED147C" w:rsidP="00F44F21">
            <w:pPr>
              <w:ind w:right="-107"/>
              <w:jc w:val="center"/>
              <w:rPr>
                <w:rFonts w:ascii="GHEA Grapalat" w:hAnsi="GHEA Grapalat" w:cs="Calibri"/>
                <w:bCs/>
                <w:color w:val="404040"/>
                <w:sz w:val="16"/>
                <w:szCs w:val="16"/>
              </w:rPr>
            </w:pPr>
            <w:r w:rsidRPr="00F44F21">
              <w:rPr>
                <w:rFonts w:ascii="GHEA Grapalat" w:hAnsi="GHEA Grapalat" w:cs="Calibri"/>
                <w:bCs/>
                <w:color w:val="404040"/>
                <w:sz w:val="16"/>
                <w:szCs w:val="16"/>
              </w:rPr>
              <w:t>6.6</w:t>
            </w:r>
          </w:p>
        </w:tc>
        <w:tc>
          <w:tcPr>
            <w:tcW w:w="608" w:type="pct"/>
            <w:vAlign w:val="center"/>
          </w:tcPr>
          <w:p w14:paraId="1D924319" w14:textId="77777777" w:rsidR="00ED147C" w:rsidRPr="00F44F21" w:rsidRDefault="00ED147C" w:rsidP="00F44F21">
            <w:pPr>
              <w:ind w:right="-107"/>
              <w:jc w:val="center"/>
              <w:rPr>
                <w:rFonts w:ascii="GHEA Grapalat" w:hAnsi="GHEA Grapalat" w:cs="Calibri"/>
                <w:bCs/>
                <w:color w:val="404040"/>
                <w:sz w:val="16"/>
                <w:szCs w:val="16"/>
              </w:rPr>
            </w:pPr>
            <w:r w:rsidRPr="00F44F21">
              <w:rPr>
                <w:rFonts w:ascii="GHEA Grapalat" w:hAnsi="GHEA Grapalat" w:cs="Calibri"/>
                <w:bCs/>
                <w:color w:val="404040"/>
                <w:sz w:val="16"/>
                <w:szCs w:val="16"/>
              </w:rPr>
              <w:t>6.8</w:t>
            </w:r>
          </w:p>
        </w:tc>
        <w:tc>
          <w:tcPr>
            <w:tcW w:w="609" w:type="pct"/>
            <w:vAlign w:val="center"/>
          </w:tcPr>
          <w:p w14:paraId="0F24D76C" w14:textId="77777777" w:rsidR="00ED147C" w:rsidRPr="00F44F21" w:rsidRDefault="00ED147C" w:rsidP="00F44F21">
            <w:pPr>
              <w:ind w:right="-107"/>
              <w:jc w:val="center"/>
              <w:rPr>
                <w:rFonts w:ascii="GHEA Grapalat" w:hAnsi="GHEA Grapalat" w:cs="Calibri"/>
                <w:bCs/>
                <w:color w:val="404040"/>
                <w:sz w:val="16"/>
                <w:szCs w:val="16"/>
              </w:rPr>
            </w:pPr>
            <w:r w:rsidRPr="00F44F21">
              <w:rPr>
                <w:rFonts w:ascii="GHEA Grapalat" w:hAnsi="GHEA Grapalat" w:cs="Calibri"/>
                <w:bCs/>
                <w:color w:val="404040"/>
                <w:sz w:val="16"/>
                <w:szCs w:val="16"/>
              </w:rPr>
              <w:t>6.9</w:t>
            </w:r>
          </w:p>
        </w:tc>
        <w:tc>
          <w:tcPr>
            <w:tcW w:w="609" w:type="pct"/>
            <w:vAlign w:val="center"/>
          </w:tcPr>
          <w:p w14:paraId="13690CB3" w14:textId="77777777" w:rsidR="00ED147C" w:rsidRPr="00F44F21" w:rsidRDefault="00ED147C" w:rsidP="00F44F21">
            <w:pPr>
              <w:ind w:right="-107"/>
              <w:jc w:val="center"/>
              <w:rPr>
                <w:rFonts w:ascii="GHEA Grapalat" w:hAnsi="GHEA Grapalat" w:cs="Calibri"/>
                <w:bCs/>
                <w:color w:val="404040"/>
                <w:sz w:val="16"/>
                <w:szCs w:val="16"/>
              </w:rPr>
            </w:pPr>
            <w:r w:rsidRPr="00F44F21">
              <w:rPr>
                <w:rFonts w:ascii="GHEA Grapalat" w:hAnsi="GHEA Grapalat" w:cs="Calibri"/>
                <w:bCs/>
                <w:color w:val="404040"/>
                <w:sz w:val="16"/>
                <w:szCs w:val="16"/>
              </w:rPr>
              <w:t>7.0</w:t>
            </w:r>
          </w:p>
        </w:tc>
      </w:tr>
      <w:tr w:rsidR="005A68C3" w:rsidRPr="00C65325" w14:paraId="221AE8A0" w14:textId="77777777" w:rsidTr="005A68C3">
        <w:trPr>
          <w:trHeight w:val="360"/>
          <w:jc w:val="center"/>
        </w:trPr>
        <w:tc>
          <w:tcPr>
            <w:tcW w:w="1212" w:type="pct"/>
            <w:shd w:val="clear" w:color="auto" w:fill="auto"/>
            <w:vAlign w:val="center"/>
            <w:hideMark/>
          </w:tcPr>
          <w:p w14:paraId="165FD8E8" w14:textId="5B60817A" w:rsidR="00ED147C" w:rsidRPr="0018378A" w:rsidRDefault="00C47194" w:rsidP="00ED147C">
            <w:pPr>
              <w:ind w:right="357"/>
              <w:jc w:val="both"/>
              <w:rPr>
                <w:sz w:val="16"/>
                <w:szCs w:val="16"/>
              </w:rPr>
            </w:pPr>
            <w:r>
              <w:rPr>
                <w:sz w:val="16"/>
                <w:szCs w:val="16"/>
              </w:rPr>
              <w:t>5.</w:t>
            </w:r>
            <w:r w:rsidR="00ED147C" w:rsidRPr="0018378A">
              <w:rPr>
                <w:sz w:val="16"/>
                <w:szCs w:val="16"/>
              </w:rPr>
              <w:t>Գյուտերի, արդյունաբերական դիզայնների, բույսերի սորտերի, ապրանքային նշանների, աշխարհագրական նշումների, ծագման տեղանունների, երաշխավորված ավանդական արտադրանքի, ֆիրմային անվանումների, ինտեգրալ միկրոսխեմաների տոպոլոգիաների իրավական պահպանության հետ կապված իրավաբանական նշանակություն ունեցող գործողությունների համար</w:t>
            </w:r>
          </w:p>
        </w:tc>
        <w:tc>
          <w:tcPr>
            <w:tcW w:w="475" w:type="pct"/>
            <w:shd w:val="clear" w:color="auto" w:fill="auto"/>
            <w:noWrap/>
            <w:vAlign w:val="center"/>
            <w:hideMark/>
          </w:tcPr>
          <w:p w14:paraId="761108B5" w14:textId="77777777" w:rsidR="00ED147C" w:rsidRPr="00F44F21" w:rsidRDefault="00ED147C" w:rsidP="00F44F21">
            <w:pPr>
              <w:ind w:right="-107"/>
              <w:jc w:val="center"/>
              <w:rPr>
                <w:rFonts w:ascii="GHEA Grapalat" w:hAnsi="GHEA Grapalat" w:cs="Calibri"/>
                <w:bCs/>
                <w:color w:val="404040"/>
                <w:sz w:val="16"/>
                <w:szCs w:val="16"/>
              </w:rPr>
            </w:pPr>
            <w:r w:rsidRPr="00F44F21">
              <w:rPr>
                <w:rFonts w:ascii="GHEA Grapalat" w:hAnsi="GHEA Grapalat" w:cs="Calibri"/>
                <w:bCs/>
                <w:color w:val="404040"/>
                <w:sz w:val="16"/>
                <w:szCs w:val="16"/>
              </w:rPr>
              <w:t>0.3</w:t>
            </w:r>
          </w:p>
        </w:tc>
        <w:tc>
          <w:tcPr>
            <w:tcW w:w="473" w:type="pct"/>
            <w:shd w:val="clear" w:color="auto" w:fill="auto"/>
            <w:noWrap/>
            <w:vAlign w:val="center"/>
            <w:hideMark/>
          </w:tcPr>
          <w:p w14:paraId="0687EC16" w14:textId="77777777" w:rsidR="00ED147C" w:rsidRPr="00F44F21" w:rsidRDefault="00ED147C" w:rsidP="00F44F21">
            <w:pPr>
              <w:ind w:right="-107"/>
              <w:jc w:val="center"/>
              <w:rPr>
                <w:rFonts w:ascii="GHEA Grapalat" w:hAnsi="GHEA Grapalat" w:cs="Calibri"/>
                <w:bCs/>
                <w:color w:val="404040"/>
                <w:sz w:val="16"/>
                <w:szCs w:val="16"/>
              </w:rPr>
            </w:pPr>
            <w:r w:rsidRPr="00F44F21">
              <w:rPr>
                <w:rFonts w:ascii="GHEA Grapalat" w:hAnsi="GHEA Grapalat" w:cs="Calibri"/>
                <w:bCs/>
                <w:color w:val="404040"/>
                <w:sz w:val="16"/>
                <w:szCs w:val="16"/>
              </w:rPr>
              <w:t>0.4</w:t>
            </w:r>
          </w:p>
        </w:tc>
        <w:tc>
          <w:tcPr>
            <w:tcW w:w="474" w:type="pct"/>
            <w:shd w:val="clear" w:color="auto" w:fill="auto"/>
            <w:noWrap/>
            <w:vAlign w:val="center"/>
            <w:hideMark/>
          </w:tcPr>
          <w:p w14:paraId="2778C3DD" w14:textId="77777777" w:rsidR="00ED147C" w:rsidRPr="00F44F21" w:rsidRDefault="00ED147C" w:rsidP="00F44F21">
            <w:pPr>
              <w:ind w:right="-107"/>
              <w:jc w:val="center"/>
              <w:rPr>
                <w:rFonts w:ascii="GHEA Grapalat" w:hAnsi="GHEA Grapalat" w:cs="Calibri"/>
                <w:bCs/>
                <w:color w:val="404040"/>
                <w:sz w:val="16"/>
                <w:szCs w:val="16"/>
              </w:rPr>
            </w:pPr>
            <w:r w:rsidRPr="00F44F21">
              <w:rPr>
                <w:rFonts w:ascii="GHEA Grapalat" w:hAnsi="GHEA Grapalat" w:cs="Calibri"/>
                <w:bCs/>
                <w:color w:val="404040"/>
                <w:sz w:val="16"/>
                <w:szCs w:val="16"/>
              </w:rPr>
              <w:t>0.4</w:t>
            </w:r>
          </w:p>
        </w:tc>
        <w:tc>
          <w:tcPr>
            <w:tcW w:w="540" w:type="pct"/>
            <w:shd w:val="clear" w:color="auto" w:fill="auto"/>
            <w:noWrap/>
            <w:vAlign w:val="center"/>
            <w:hideMark/>
          </w:tcPr>
          <w:p w14:paraId="5EFEADC8" w14:textId="77777777" w:rsidR="00ED147C" w:rsidRPr="00F44F21" w:rsidRDefault="00ED147C" w:rsidP="00F44F21">
            <w:pPr>
              <w:ind w:right="-107"/>
              <w:jc w:val="center"/>
              <w:rPr>
                <w:rFonts w:ascii="GHEA Grapalat" w:hAnsi="GHEA Grapalat" w:cs="Calibri"/>
                <w:bCs/>
                <w:color w:val="404040"/>
                <w:sz w:val="16"/>
                <w:szCs w:val="16"/>
              </w:rPr>
            </w:pPr>
            <w:r w:rsidRPr="00F44F21">
              <w:rPr>
                <w:rFonts w:ascii="GHEA Grapalat" w:hAnsi="GHEA Grapalat" w:cs="Calibri"/>
                <w:bCs/>
                <w:color w:val="404040"/>
                <w:sz w:val="16"/>
                <w:szCs w:val="16"/>
              </w:rPr>
              <w:t>0.4</w:t>
            </w:r>
          </w:p>
        </w:tc>
        <w:tc>
          <w:tcPr>
            <w:tcW w:w="608" w:type="pct"/>
            <w:vAlign w:val="center"/>
          </w:tcPr>
          <w:p w14:paraId="6B5DA9D8" w14:textId="77777777" w:rsidR="00ED147C" w:rsidRPr="00F44F21" w:rsidRDefault="00ED147C" w:rsidP="00F44F21">
            <w:pPr>
              <w:ind w:right="-107"/>
              <w:jc w:val="center"/>
              <w:rPr>
                <w:rFonts w:ascii="GHEA Grapalat" w:hAnsi="GHEA Grapalat" w:cs="Calibri"/>
                <w:bCs/>
                <w:color w:val="404040"/>
                <w:sz w:val="16"/>
                <w:szCs w:val="16"/>
              </w:rPr>
            </w:pPr>
            <w:r w:rsidRPr="00F44F21">
              <w:rPr>
                <w:rFonts w:ascii="GHEA Grapalat" w:hAnsi="GHEA Grapalat" w:cs="Calibri"/>
                <w:bCs/>
                <w:color w:val="404040"/>
                <w:sz w:val="16"/>
                <w:szCs w:val="16"/>
              </w:rPr>
              <w:t>0.4</w:t>
            </w:r>
          </w:p>
        </w:tc>
        <w:tc>
          <w:tcPr>
            <w:tcW w:w="609" w:type="pct"/>
            <w:vAlign w:val="center"/>
          </w:tcPr>
          <w:p w14:paraId="0349BBA8" w14:textId="77777777" w:rsidR="00ED147C" w:rsidRPr="00F44F21" w:rsidRDefault="00ED147C" w:rsidP="00F44F21">
            <w:pPr>
              <w:ind w:right="-107"/>
              <w:jc w:val="center"/>
              <w:rPr>
                <w:rFonts w:ascii="GHEA Grapalat" w:hAnsi="GHEA Grapalat" w:cs="Calibri"/>
                <w:bCs/>
                <w:color w:val="404040"/>
                <w:sz w:val="16"/>
                <w:szCs w:val="16"/>
              </w:rPr>
            </w:pPr>
            <w:r w:rsidRPr="00F44F21">
              <w:rPr>
                <w:rFonts w:ascii="GHEA Grapalat" w:hAnsi="GHEA Grapalat" w:cs="Calibri"/>
                <w:bCs/>
                <w:color w:val="404040"/>
                <w:sz w:val="16"/>
                <w:szCs w:val="16"/>
              </w:rPr>
              <w:t>0.4</w:t>
            </w:r>
          </w:p>
        </w:tc>
        <w:tc>
          <w:tcPr>
            <w:tcW w:w="609" w:type="pct"/>
            <w:vAlign w:val="center"/>
          </w:tcPr>
          <w:p w14:paraId="3EB0DCFF" w14:textId="77777777" w:rsidR="00ED147C" w:rsidRPr="00F44F21" w:rsidRDefault="00ED147C" w:rsidP="00F44F21">
            <w:pPr>
              <w:ind w:right="-107"/>
              <w:jc w:val="center"/>
              <w:rPr>
                <w:rFonts w:ascii="GHEA Grapalat" w:hAnsi="GHEA Grapalat" w:cs="Calibri"/>
                <w:bCs/>
                <w:color w:val="404040"/>
                <w:sz w:val="16"/>
                <w:szCs w:val="16"/>
              </w:rPr>
            </w:pPr>
            <w:r w:rsidRPr="00F44F21">
              <w:rPr>
                <w:rFonts w:ascii="GHEA Grapalat" w:hAnsi="GHEA Grapalat" w:cs="Calibri"/>
                <w:bCs/>
                <w:color w:val="404040"/>
                <w:sz w:val="16"/>
                <w:szCs w:val="16"/>
              </w:rPr>
              <w:t>0.4</w:t>
            </w:r>
          </w:p>
        </w:tc>
      </w:tr>
      <w:tr w:rsidR="005A68C3" w:rsidRPr="00C65325" w14:paraId="4DE7B65A" w14:textId="77777777" w:rsidTr="005A68C3">
        <w:trPr>
          <w:trHeight w:val="360"/>
          <w:jc w:val="center"/>
        </w:trPr>
        <w:tc>
          <w:tcPr>
            <w:tcW w:w="1212" w:type="pct"/>
            <w:shd w:val="clear" w:color="auto" w:fill="auto"/>
            <w:vAlign w:val="center"/>
            <w:hideMark/>
          </w:tcPr>
          <w:p w14:paraId="7D5AFF43" w14:textId="6F6109FB" w:rsidR="00ED147C" w:rsidRPr="0018378A" w:rsidRDefault="00C47194" w:rsidP="00ED147C">
            <w:pPr>
              <w:ind w:right="357"/>
              <w:jc w:val="both"/>
              <w:rPr>
                <w:sz w:val="16"/>
                <w:szCs w:val="16"/>
              </w:rPr>
            </w:pPr>
            <w:r>
              <w:rPr>
                <w:sz w:val="16"/>
                <w:szCs w:val="16"/>
              </w:rPr>
              <w:t>6.</w:t>
            </w:r>
            <w:r w:rsidR="00ED147C" w:rsidRPr="0018378A">
              <w:rPr>
                <w:sz w:val="16"/>
                <w:szCs w:val="16"/>
              </w:rPr>
              <w:t xml:space="preserve">Ֆիզիկական անձանց տրվող իրավաբանական նշանակություն  ունեցող փաստաթղթերի, որոշակի ծառայությունների կամ գործողությունների համար </w:t>
            </w:r>
          </w:p>
        </w:tc>
        <w:tc>
          <w:tcPr>
            <w:tcW w:w="475" w:type="pct"/>
            <w:shd w:val="clear" w:color="auto" w:fill="auto"/>
            <w:noWrap/>
            <w:vAlign w:val="center"/>
            <w:hideMark/>
          </w:tcPr>
          <w:p w14:paraId="26FFB5F0" w14:textId="77777777" w:rsidR="00ED147C" w:rsidRPr="00F44F21" w:rsidRDefault="00ED147C" w:rsidP="00F44F21">
            <w:pPr>
              <w:ind w:right="-107"/>
              <w:jc w:val="center"/>
              <w:rPr>
                <w:rFonts w:ascii="GHEA Grapalat" w:hAnsi="GHEA Grapalat" w:cs="Calibri"/>
                <w:bCs/>
                <w:color w:val="404040"/>
                <w:sz w:val="16"/>
                <w:szCs w:val="16"/>
              </w:rPr>
            </w:pPr>
            <w:r w:rsidRPr="00F44F21">
              <w:rPr>
                <w:rFonts w:ascii="GHEA Grapalat" w:hAnsi="GHEA Grapalat" w:cs="Calibri"/>
                <w:bCs/>
                <w:color w:val="404040"/>
                <w:sz w:val="16"/>
                <w:szCs w:val="16"/>
              </w:rPr>
              <w:t>3.2</w:t>
            </w:r>
          </w:p>
        </w:tc>
        <w:tc>
          <w:tcPr>
            <w:tcW w:w="473" w:type="pct"/>
            <w:shd w:val="clear" w:color="auto" w:fill="auto"/>
            <w:noWrap/>
            <w:vAlign w:val="center"/>
            <w:hideMark/>
          </w:tcPr>
          <w:p w14:paraId="3AF370C2" w14:textId="77777777" w:rsidR="00ED147C" w:rsidRPr="00F44F21" w:rsidRDefault="00ED147C" w:rsidP="00F44F21">
            <w:pPr>
              <w:ind w:right="-107"/>
              <w:jc w:val="center"/>
              <w:rPr>
                <w:rFonts w:ascii="GHEA Grapalat" w:hAnsi="GHEA Grapalat" w:cs="Calibri"/>
                <w:bCs/>
                <w:color w:val="404040"/>
                <w:sz w:val="16"/>
                <w:szCs w:val="16"/>
              </w:rPr>
            </w:pPr>
            <w:r w:rsidRPr="00F44F21">
              <w:rPr>
                <w:rFonts w:ascii="GHEA Grapalat" w:hAnsi="GHEA Grapalat" w:cs="Calibri"/>
                <w:bCs/>
                <w:color w:val="404040"/>
                <w:sz w:val="16"/>
                <w:szCs w:val="16"/>
              </w:rPr>
              <w:t>3.0</w:t>
            </w:r>
          </w:p>
        </w:tc>
        <w:tc>
          <w:tcPr>
            <w:tcW w:w="474" w:type="pct"/>
            <w:shd w:val="clear" w:color="auto" w:fill="auto"/>
            <w:noWrap/>
            <w:vAlign w:val="center"/>
            <w:hideMark/>
          </w:tcPr>
          <w:p w14:paraId="2839A1A3" w14:textId="77777777" w:rsidR="00ED147C" w:rsidRPr="00F44F21" w:rsidRDefault="00ED147C" w:rsidP="00F44F21">
            <w:pPr>
              <w:ind w:right="-107"/>
              <w:jc w:val="center"/>
              <w:rPr>
                <w:rFonts w:ascii="GHEA Grapalat" w:hAnsi="GHEA Grapalat" w:cs="Calibri"/>
                <w:bCs/>
                <w:color w:val="404040"/>
                <w:sz w:val="16"/>
                <w:szCs w:val="16"/>
              </w:rPr>
            </w:pPr>
            <w:r w:rsidRPr="00F44F21">
              <w:rPr>
                <w:rFonts w:ascii="GHEA Grapalat" w:hAnsi="GHEA Grapalat" w:cs="Calibri"/>
                <w:bCs/>
                <w:color w:val="404040"/>
                <w:sz w:val="16"/>
                <w:szCs w:val="16"/>
              </w:rPr>
              <w:t>3.4</w:t>
            </w:r>
          </w:p>
        </w:tc>
        <w:tc>
          <w:tcPr>
            <w:tcW w:w="540" w:type="pct"/>
            <w:shd w:val="clear" w:color="auto" w:fill="auto"/>
            <w:noWrap/>
            <w:vAlign w:val="center"/>
            <w:hideMark/>
          </w:tcPr>
          <w:p w14:paraId="45FAB7EA" w14:textId="77777777" w:rsidR="00ED147C" w:rsidRPr="00F44F21" w:rsidRDefault="00ED147C" w:rsidP="00F44F21">
            <w:pPr>
              <w:ind w:right="-107"/>
              <w:jc w:val="center"/>
              <w:rPr>
                <w:rFonts w:ascii="GHEA Grapalat" w:hAnsi="GHEA Grapalat" w:cs="Calibri"/>
                <w:bCs/>
                <w:color w:val="404040"/>
                <w:sz w:val="16"/>
                <w:szCs w:val="16"/>
              </w:rPr>
            </w:pPr>
            <w:r w:rsidRPr="00F44F21">
              <w:rPr>
                <w:rFonts w:ascii="GHEA Grapalat" w:hAnsi="GHEA Grapalat" w:cs="Calibri"/>
                <w:bCs/>
                <w:color w:val="404040"/>
                <w:sz w:val="16"/>
                <w:szCs w:val="16"/>
              </w:rPr>
              <w:t>4.4</w:t>
            </w:r>
          </w:p>
        </w:tc>
        <w:tc>
          <w:tcPr>
            <w:tcW w:w="608" w:type="pct"/>
            <w:vAlign w:val="center"/>
          </w:tcPr>
          <w:p w14:paraId="3E6E73B6" w14:textId="77777777" w:rsidR="00ED147C" w:rsidRPr="00F44F21" w:rsidRDefault="00ED147C" w:rsidP="00F44F21">
            <w:pPr>
              <w:ind w:right="-107"/>
              <w:jc w:val="center"/>
              <w:rPr>
                <w:rFonts w:ascii="GHEA Grapalat" w:hAnsi="GHEA Grapalat" w:cs="Calibri"/>
                <w:bCs/>
                <w:color w:val="404040"/>
                <w:sz w:val="16"/>
                <w:szCs w:val="16"/>
              </w:rPr>
            </w:pPr>
            <w:r w:rsidRPr="00F44F21">
              <w:rPr>
                <w:rFonts w:ascii="GHEA Grapalat" w:hAnsi="GHEA Grapalat" w:cs="Calibri"/>
                <w:bCs/>
                <w:color w:val="404040"/>
                <w:sz w:val="16"/>
                <w:szCs w:val="16"/>
              </w:rPr>
              <w:t>4.5</w:t>
            </w:r>
          </w:p>
        </w:tc>
        <w:tc>
          <w:tcPr>
            <w:tcW w:w="609" w:type="pct"/>
            <w:vAlign w:val="center"/>
          </w:tcPr>
          <w:p w14:paraId="2E59CF94" w14:textId="77777777" w:rsidR="00ED147C" w:rsidRPr="00F44F21" w:rsidRDefault="00ED147C" w:rsidP="00F44F21">
            <w:pPr>
              <w:ind w:right="-107"/>
              <w:jc w:val="center"/>
              <w:rPr>
                <w:rFonts w:ascii="GHEA Grapalat" w:hAnsi="GHEA Grapalat" w:cs="Calibri"/>
                <w:bCs/>
                <w:color w:val="404040"/>
                <w:sz w:val="16"/>
                <w:szCs w:val="16"/>
              </w:rPr>
            </w:pPr>
            <w:r w:rsidRPr="00F44F21">
              <w:rPr>
                <w:rFonts w:ascii="GHEA Grapalat" w:hAnsi="GHEA Grapalat" w:cs="Calibri"/>
                <w:bCs/>
                <w:color w:val="404040"/>
                <w:sz w:val="16"/>
                <w:szCs w:val="16"/>
              </w:rPr>
              <w:t>4.0</w:t>
            </w:r>
          </w:p>
        </w:tc>
        <w:tc>
          <w:tcPr>
            <w:tcW w:w="609" w:type="pct"/>
            <w:vAlign w:val="center"/>
          </w:tcPr>
          <w:p w14:paraId="467D3F06" w14:textId="77777777" w:rsidR="00ED147C" w:rsidRPr="00F44F21" w:rsidRDefault="00ED147C" w:rsidP="00F44F21">
            <w:pPr>
              <w:ind w:right="-107"/>
              <w:jc w:val="center"/>
              <w:rPr>
                <w:rFonts w:ascii="GHEA Grapalat" w:hAnsi="GHEA Grapalat" w:cs="Calibri"/>
                <w:bCs/>
                <w:color w:val="404040"/>
                <w:sz w:val="16"/>
                <w:szCs w:val="16"/>
              </w:rPr>
            </w:pPr>
            <w:r w:rsidRPr="00F44F21">
              <w:rPr>
                <w:rFonts w:ascii="GHEA Grapalat" w:hAnsi="GHEA Grapalat" w:cs="Calibri"/>
                <w:bCs/>
                <w:color w:val="404040"/>
                <w:sz w:val="16"/>
                <w:szCs w:val="16"/>
              </w:rPr>
              <w:t>4.0</w:t>
            </w:r>
          </w:p>
        </w:tc>
      </w:tr>
      <w:tr w:rsidR="005A68C3" w:rsidRPr="00C65325" w14:paraId="467EF8C6" w14:textId="77777777" w:rsidTr="005A68C3">
        <w:trPr>
          <w:trHeight w:val="360"/>
          <w:jc w:val="center"/>
        </w:trPr>
        <w:tc>
          <w:tcPr>
            <w:tcW w:w="1212" w:type="pct"/>
            <w:shd w:val="clear" w:color="auto" w:fill="auto"/>
            <w:vAlign w:val="center"/>
            <w:hideMark/>
          </w:tcPr>
          <w:p w14:paraId="4D4B671F" w14:textId="2B1EA7FF" w:rsidR="00ED147C" w:rsidRPr="0018378A" w:rsidRDefault="00ED147C" w:rsidP="00ED147C">
            <w:pPr>
              <w:ind w:right="357"/>
              <w:jc w:val="both"/>
              <w:rPr>
                <w:sz w:val="16"/>
                <w:szCs w:val="16"/>
              </w:rPr>
            </w:pPr>
            <w:r w:rsidRPr="0018378A">
              <w:rPr>
                <w:sz w:val="16"/>
                <w:szCs w:val="16"/>
              </w:rPr>
              <w:t xml:space="preserve">7.Լիցենզավորման ենթակա  կամ թույլտվություններով գործունեություն իրականացնելու նպատակով լիցենզիաներ, արտոնագրեր (թույլտվություններ) տալու համար </w:t>
            </w:r>
          </w:p>
        </w:tc>
        <w:tc>
          <w:tcPr>
            <w:tcW w:w="475" w:type="pct"/>
            <w:shd w:val="clear" w:color="auto" w:fill="auto"/>
            <w:noWrap/>
            <w:vAlign w:val="center"/>
            <w:hideMark/>
          </w:tcPr>
          <w:p w14:paraId="60BFF497" w14:textId="77777777" w:rsidR="00ED147C" w:rsidRPr="00F44F21" w:rsidRDefault="00ED147C" w:rsidP="00F44F21">
            <w:pPr>
              <w:ind w:right="-107"/>
              <w:jc w:val="center"/>
              <w:rPr>
                <w:rFonts w:ascii="GHEA Grapalat" w:hAnsi="GHEA Grapalat" w:cs="Calibri"/>
                <w:bCs/>
                <w:color w:val="404040"/>
                <w:sz w:val="16"/>
                <w:szCs w:val="16"/>
              </w:rPr>
            </w:pPr>
            <w:r w:rsidRPr="00F44F21">
              <w:rPr>
                <w:rFonts w:ascii="GHEA Grapalat" w:hAnsi="GHEA Grapalat" w:cs="Calibri"/>
                <w:bCs/>
                <w:color w:val="404040"/>
                <w:sz w:val="16"/>
                <w:szCs w:val="16"/>
              </w:rPr>
              <w:t>22.0</w:t>
            </w:r>
          </w:p>
        </w:tc>
        <w:tc>
          <w:tcPr>
            <w:tcW w:w="473" w:type="pct"/>
            <w:shd w:val="clear" w:color="auto" w:fill="auto"/>
            <w:noWrap/>
            <w:vAlign w:val="center"/>
            <w:hideMark/>
          </w:tcPr>
          <w:p w14:paraId="3F172703" w14:textId="77777777" w:rsidR="00ED147C" w:rsidRPr="00F44F21" w:rsidRDefault="00ED147C" w:rsidP="00F44F21">
            <w:pPr>
              <w:ind w:right="-107"/>
              <w:jc w:val="center"/>
              <w:rPr>
                <w:rFonts w:ascii="GHEA Grapalat" w:hAnsi="GHEA Grapalat" w:cs="Calibri"/>
                <w:bCs/>
                <w:color w:val="404040"/>
                <w:sz w:val="16"/>
                <w:szCs w:val="16"/>
              </w:rPr>
            </w:pPr>
            <w:r w:rsidRPr="00F44F21">
              <w:rPr>
                <w:rFonts w:ascii="GHEA Grapalat" w:hAnsi="GHEA Grapalat" w:cs="Calibri"/>
                <w:bCs/>
                <w:color w:val="404040"/>
                <w:sz w:val="16"/>
                <w:szCs w:val="16"/>
              </w:rPr>
              <w:t>29.0</w:t>
            </w:r>
          </w:p>
        </w:tc>
        <w:tc>
          <w:tcPr>
            <w:tcW w:w="474" w:type="pct"/>
            <w:shd w:val="clear" w:color="auto" w:fill="auto"/>
            <w:noWrap/>
            <w:vAlign w:val="center"/>
            <w:hideMark/>
          </w:tcPr>
          <w:p w14:paraId="764075FA" w14:textId="77777777" w:rsidR="00ED147C" w:rsidRPr="00F44F21" w:rsidRDefault="00ED147C" w:rsidP="00F44F21">
            <w:pPr>
              <w:ind w:right="-107"/>
              <w:jc w:val="center"/>
              <w:rPr>
                <w:rFonts w:ascii="GHEA Grapalat" w:hAnsi="GHEA Grapalat" w:cs="Calibri"/>
                <w:bCs/>
                <w:color w:val="404040"/>
                <w:sz w:val="16"/>
                <w:szCs w:val="16"/>
              </w:rPr>
            </w:pPr>
            <w:r w:rsidRPr="00F44F21">
              <w:rPr>
                <w:rFonts w:ascii="GHEA Grapalat" w:hAnsi="GHEA Grapalat" w:cs="Calibri"/>
                <w:bCs/>
                <w:color w:val="404040"/>
                <w:sz w:val="16"/>
                <w:szCs w:val="16"/>
              </w:rPr>
              <w:t>34.5</w:t>
            </w:r>
          </w:p>
        </w:tc>
        <w:tc>
          <w:tcPr>
            <w:tcW w:w="540" w:type="pct"/>
            <w:shd w:val="clear" w:color="auto" w:fill="auto"/>
            <w:noWrap/>
            <w:vAlign w:val="center"/>
            <w:hideMark/>
          </w:tcPr>
          <w:p w14:paraId="21FAFA7F" w14:textId="77777777" w:rsidR="00ED147C" w:rsidRPr="00F44F21" w:rsidRDefault="00ED147C" w:rsidP="00F44F21">
            <w:pPr>
              <w:ind w:right="-107"/>
              <w:jc w:val="center"/>
              <w:rPr>
                <w:rFonts w:ascii="GHEA Grapalat" w:hAnsi="GHEA Grapalat" w:cs="Calibri"/>
                <w:bCs/>
                <w:color w:val="404040"/>
                <w:sz w:val="16"/>
                <w:szCs w:val="16"/>
              </w:rPr>
            </w:pPr>
            <w:r w:rsidRPr="00F44F21">
              <w:rPr>
                <w:rFonts w:ascii="GHEA Grapalat" w:hAnsi="GHEA Grapalat" w:cs="Calibri"/>
                <w:bCs/>
                <w:color w:val="404040"/>
                <w:sz w:val="16"/>
                <w:szCs w:val="16"/>
              </w:rPr>
              <w:t>34.7</w:t>
            </w:r>
          </w:p>
        </w:tc>
        <w:tc>
          <w:tcPr>
            <w:tcW w:w="608" w:type="pct"/>
            <w:vAlign w:val="center"/>
          </w:tcPr>
          <w:p w14:paraId="3468AB96" w14:textId="77777777" w:rsidR="00ED147C" w:rsidRPr="00F44F21" w:rsidRDefault="00ED147C" w:rsidP="00F44F21">
            <w:pPr>
              <w:ind w:right="-107"/>
              <w:jc w:val="center"/>
              <w:rPr>
                <w:rFonts w:ascii="GHEA Grapalat" w:hAnsi="GHEA Grapalat" w:cs="Calibri"/>
                <w:bCs/>
                <w:color w:val="404040"/>
                <w:sz w:val="16"/>
                <w:szCs w:val="16"/>
              </w:rPr>
            </w:pPr>
            <w:r w:rsidRPr="00F44F21">
              <w:rPr>
                <w:rFonts w:ascii="GHEA Grapalat" w:hAnsi="GHEA Grapalat" w:cs="Calibri"/>
                <w:bCs/>
                <w:color w:val="404040"/>
                <w:sz w:val="16"/>
                <w:szCs w:val="16"/>
              </w:rPr>
              <w:t>47.6</w:t>
            </w:r>
          </w:p>
        </w:tc>
        <w:tc>
          <w:tcPr>
            <w:tcW w:w="609" w:type="pct"/>
            <w:vAlign w:val="center"/>
          </w:tcPr>
          <w:p w14:paraId="2E8B5DFA" w14:textId="77777777" w:rsidR="00ED147C" w:rsidRPr="00F44F21" w:rsidRDefault="00ED147C" w:rsidP="00F44F21">
            <w:pPr>
              <w:ind w:right="-107"/>
              <w:jc w:val="center"/>
              <w:rPr>
                <w:rFonts w:ascii="GHEA Grapalat" w:hAnsi="GHEA Grapalat" w:cs="Calibri"/>
                <w:bCs/>
                <w:color w:val="404040"/>
                <w:sz w:val="16"/>
                <w:szCs w:val="16"/>
              </w:rPr>
            </w:pPr>
            <w:r w:rsidRPr="00F44F21">
              <w:rPr>
                <w:rFonts w:ascii="GHEA Grapalat" w:hAnsi="GHEA Grapalat" w:cs="Calibri"/>
                <w:bCs/>
                <w:color w:val="404040"/>
                <w:sz w:val="16"/>
                <w:szCs w:val="16"/>
              </w:rPr>
              <w:t>48.0</w:t>
            </w:r>
          </w:p>
        </w:tc>
        <w:tc>
          <w:tcPr>
            <w:tcW w:w="609" w:type="pct"/>
            <w:vAlign w:val="center"/>
          </w:tcPr>
          <w:p w14:paraId="33A11A69" w14:textId="77777777" w:rsidR="00ED147C" w:rsidRPr="00F44F21" w:rsidRDefault="00ED147C" w:rsidP="00F44F21">
            <w:pPr>
              <w:ind w:right="-107"/>
              <w:jc w:val="center"/>
              <w:rPr>
                <w:rFonts w:ascii="GHEA Grapalat" w:hAnsi="GHEA Grapalat" w:cs="Calibri"/>
                <w:bCs/>
                <w:color w:val="404040"/>
                <w:sz w:val="16"/>
                <w:szCs w:val="16"/>
              </w:rPr>
            </w:pPr>
            <w:r w:rsidRPr="00F44F21">
              <w:rPr>
                <w:rFonts w:ascii="GHEA Grapalat" w:hAnsi="GHEA Grapalat" w:cs="Calibri"/>
                <w:bCs/>
                <w:color w:val="404040"/>
                <w:sz w:val="16"/>
                <w:szCs w:val="16"/>
              </w:rPr>
              <w:t>48.4</w:t>
            </w:r>
          </w:p>
        </w:tc>
      </w:tr>
      <w:tr w:rsidR="005A68C3" w:rsidRPr="00C65325" w14:paraId="64F889FE" w14:textId="77777777" w:rsidTr="005A68C3">
        <w:trPr>
          <w:trHeight w:val="360"/>
          <w:jc w:val="center"/>
        </w:trPr>
        <w:tc>
          <w:tcPr>
            <w:tcW w:w="1212" w:type="pct"/>
            <w:shd w:val="clear" w:color="auto" w:fill="auto"/>
            <w:vAlign w:val="center"/>
            <w:hideMark/>
          </w:tcPr>
          <w:p w14:paraId="101A9A7A" w14:textId="7DBAA6C0" w:rsidR="00ED147C" w:rsidRPr="0018378A" w:rsidRDefault="00C47194" w:rsidP="00ED147C">
            <w:pPr>
              <w:ind w:right="357"/>
              <w:jc w:val="both"/>
              <w:rPr>
                <w:sz w:val="16"/>
                <w:szCs w:val="16"/>
              </w:rPr>
            </w:pPr>
            <w:r>
              <w:rPr>
                <w:sz w:val="16"/>
                <w:szCs w:val="16"/>
              </w:rPr>
              <w:t>8.</w:t>
            </w:r>
            <w:r w:rsidR="00ED147C" w:rsidRPr="0018378A">
              <w:rPr>
                <w:sz w:val="16"/>
                <w:szCs w:val="16"/>
              </w:rPr>
              <w:t>Օրենքով սահմանված այլ ծառայությունների և գործողությունների համար</w:t>
            </w:r>
          </w:p>
        </w:tc>
        <w:tc>
          <w:tcPr>
            <w:tcW w:w="475" w:type="pct"/>
            <w:shd w:val="clear" w:color="auto" w:fill="auto"/>
            <w:noWrap/>
            <w:vAlign w:val="center"/>
            <w:hideMark/>
          </w:tcPr>
          <w:p w14:paraId="67A4E5ED" w14:textId="77777777" w:rsidR="00ED147C" w:rsidRPr="00F44F21" w:rsidRDefault="00ED147C" w:rsidP="00F44F21">
            <w:pPr>
              <w:ind w:right="-107"/>
              <w:jc w:val="center"/>
              <w:rPr>
                <w:rFonts w:ascii="GHEA Grapalat" w:hAnsi="GHEA Grapalat" w:cs="Calibri"/>
                <w:bCs/>
                <w:color w:val="404040"/>
                <w:sz w:val="16"/>
                <w:szCs w:val="16"/>
              </w:rPr>
            </w:pPr>
            <w:r w:rsidRPr="00F44F21">
              <w:rPr>
                <w:rFonts w:ascii="GHEA Grapalat" w:hAnsi="GHEA Grapalat" w:cs="Calibri"/>
                <w:bCs/>
                <w:color w:val="404040"/>
                <w:sz w:val="16"/>
                <w:szCs w:val="16"/>
              </w:rPr>
              <w:t>70.7</w:t>
            </w:r>
          </w:p>
        </w:tc>
        <w:tc>
          <w:tcPr>
            <w:tcW w:w="473" w:type="pct"/>
            <w:shd w:val="clear" w:color="auto" w:fill="auto"/>
            <w:noWrap/>
            <w:vAlign w:val="center"/>
            <w:hideMark/>
          </w:tcPr>
          <w:p w14:paraId="3C15AA5C" w14:textId="77777777" w:rsidR="00ED147C" w:rsidRPr="00F44F21" w:rsidRDefault="00ED147C" w:rsidP="00F44F21">
            <w:pPr>
              <w:ind w:right="-107"/>
              <w:jc w:val="center"/>
              <w:rPr>
                <w:rFonts w:ascii="GHEA Grapalat" w:hAnsi="GHEA Grapalat" w:cs="Calibri"/>
                <w:bCs/>
                <w:color w:val="404040"/>
                <w:sz w:val="16"/>
                <w:szCs w:val="16"/>
              </w:rPr>
            </w:pPr>
            <w:r w:rsidRPr="00F44F21">
              <w:rPr>
                <w:rFonts w:ascii="GHEA Grapalat" w:hAnsi="GHEA Grapalat" w:cs="Calibri"/>
                <w:bCs/>
                <w:color w:val="404040"/>
                <w:sz w:val="16"/>
                <w:szCs w:val="16"/>
              </w:rPr>
              <w:t>22.9</w:t>
            </w:r>
          </w:p>
        </w:tc>
        <w:tc>
          <w:tcPr>
            <w:tcW w:w="474" w:type="pct"/>
            <w:shd w:val="clear" w:color="auto" w:fill="auto"/>
            <w:noWrap/>
            <w:vAlign w:val="center"/>
            <w:hideMark/>
          </w:tcPr>
          <w:p w14:paraId="26356F87" w14:textId="77777777" w:rsidR="00ED147C" w:rsidRPr="00F44F21" w:rsidRDefault="00ED147C" w:rsidP="00F44F21">
            <w:pPr>
              <w:ind w:right="-107"/>
              <w:jc w:val="center"/>
              <w:rPr>
                <w:rFonts w:ascii="GHEA Grapalat" w:hAnsi="GHEA Grapalat" w:cs="Calibri"/>
                <w:bCs/>
                <w:color w:val="404040"/>
                <w:sz w:val="16"/>
                <w:szCs w:val="16"/>
              </w:rPr>
            </w:pPr>
            <w:r w:rsidRPr="00F44F21">
              <w:rPr>
                <w:rFonts w:ascii="GHEA Grapalat" w:hAnsi="GHEA Grapalat" w:cs="Calibri"/>
                <w:bCs/>
                <w:color w:val="404040"/>
                <w:sz w:val="16"/>
                <w:szCs w:val="16"/>
              </w:rPr>
              <w:t>29.9</w:t>
            </w:r>
          </w:p>
        </w:tc>
        <w:tc>
          <w:tcPr>
            <w:tcW w:w="540" w:type="pct"/>
            <w:shd w:val="clear" w:color="auto" w:fill="auto"/>
            <w:noWrap/>
            <w:vAlign w:val="center"/>
            <w:hideMark/>
          </w:tcPr>
          <w:p w14:paraId="6B045B4B" w14:textId="77777777" w:rsidR="00ED147C" w:rsidRPr="00F44F21" w:rsidRDefault="00ED147C" w:rsidP="00F44F21">
            <w:pPr>
              <w:ind w:right="-107"/>
              <w:jc w:val="center"/>
              <w:rPr>
                <w:rFonts w:ascii="GHEA Grapalat" w:hAnsi="GHEA Grapalat" w:cs="Calibri"/>
                <w:bCs/>
                <w:color w:val="404040"/>
                <w:sz w:val="16"/>
                <w:szCs w:val="16"/>
              </w:rPr>
            </w:pPr>
            <w:r w:rsidRPr="00F44F21">
              <w:rPr>
                <w:rFonts w:ascii="GHEA Grapalat" w:hAnsi="GHEA Grapalat" w:cs="Calibri"/>
                <w:bCs/>
                <w:color w:val="404040"/>
                <w:sz w:val="16"/>
                <w:szCs w:val="16"/>
              </w:rPr>
              <w:t>24.1</w:t>
            </w:r>
          </w:p>
        </w:tc>
        <w:tc>
          <w:tcPr>
            <w:tcW w:w="608" w:type="pct"/>
            <w:vAlign w:val="center"/>
          </w:tcPr>
          <w:p w14:paraId="212F3081" w14:textId="77777777" w:rsidR="00ED147C" w:rsidRPr="00F44F21" w:rsidRDefault="00ED147C" w:rsidP="00F44F21">
            <w:pPr>
              <w:ind w:right="-107"/>
              <w:jc w:val="center"/>
              <w:rPr>
                <w:rFonts w:ascii="GHEA Grapalat" w:hAnsi="GHEA Grapalat" w:cs="Calibri"/>
                <w:bCs/>
                <w:color w:val="404040"/>
                <w:sz w:val="16"/>
                <w:szCs w:val="16"/>
              </w:rPr>
            </w:pPr>
            <w:r w:rsidRPr="00F44F21">
              <w:rPr>
                <w:rFonts w:ascii="GHEA Grapalat" w:hAnsi="GHEA Grapalat" w:cs="Calibri"/>
                <w:bCs/>
                <w:color w:val="404040"/>
                <w:sz w:val="16"/>
                <w:szCs w:val="16"/>
              </w:rPr>
              <w:t>22.3</w:t>
            </w:r>
          </w:p>
        </w:tc>
        <w:tc>
          <w:tcPr>
            <w:tcW w:w="609" w:type="pct"/>
            <w:vAlign w:val="center"/>
          </w:tcPr>
          <w:p w14:paraId="2A6479D7" w14:textId="77777777" w:rsidR="00ED147C" w:rsidRPr="00F44F21" w:rsidRDefault="00ED147C" w:rsidP="00F44F21">
            <w:pPr>
              <w:ind w:right="-107"/>
              <w:jc w:val="center"/>
              <w:rPr>
                <w:rFonts w:ascii="GHEA Grapalat" w:hAnsi="GHEA Grapalat" w:cs="Calibri"/>
                <w:bCs/>
                <w:color w:val="404040"/>
                <w:sz w:val="16"/>
                <w:szCs w:val="16"/>
              </w:rPr>
            </w:pPr>
            <w:r w:rsidRPr="00F44F21">
              <w:rPr>
                <w:rFonts w:ascii="GHEA Grapalat" w:hAnsi="GHEA Grapalat" w:cs="Calibri"/>
                <w:bCs/>
                <w:color w:val="404040"/>
                <w:sz w:val="16"/>
                <w:szCs w:val="16"/>
              </w:rPr>
              <w:t>22.3</w:t>
            </w:r>
          </w:p>
        </w:tc>
        <w:tc>
          <w:tcPr>
            <w:tcW w:w="609" w:type="pct"/>
            <w:vAlign w:val="center"/>
          </w:tcPr>
          <w:p w14:paraId="6BA2F0B0" w14:textId="77777777" w:rsidR="00ED147C" w:rsidRPr="00F44F21" w:rsidRDefault="00ED147C" w:rsidP="00F44F21">
            <w:pPr>
              <w:ind w:right="-107"/>
              <w:jc w:val="center"/>
              <w:rPr>
                <w:rFonts w:ascii="GHEA Grapalat" w:hAnsi="GHEA Grapalat" w:cs="Calibri"/>
                <w:bCs/>
                <w:color w:val="404040"/>
                <w:sz w:val="16"/>
                <w:szCs w:val="16"/>
              </w:rPr>
            </w:pPr>
            <w:r w:rsidRPr="00F44F21">
              <w:rPr>
                <w:rFonts w:ascii="GHEA Grapalat" w:hAnsi="GHEA Grapalat" w:cs="Calibri"/>
                <w:bCs/>
                <w:color w:val="404040"/>
                <w:sz w:val="16"/>
                <w:szCs w:val="16"/>
              </w:rPr>
              <w:t>22.4</w:t>
            </w:r>
          </w:p>
        </w:tc>
      </w:tr>
    </w:tbl>
    <w:p w14:paraId="2DD2D16E" w14:textId="77777777" w:rsidR="00ED147C" w:rsidRDefault="00ED147C" w:rsidP="00ED147C">
      <w:pPr>
        <w:pStyle w:val="BodyText1"/>
        <w:ind w:left="0" w:right="357"/>
        <w:rPr>
          <w:color w:val="A6A6A6" w:themeColor="background1" w:themeShade="A6"/>
          <w:lang w:val="hy-AM"/>
        </w:rPr>
      </w:pPr>
      <w:bookmarkStart w:id="374" w:name="_Toc178356584"/>
    </w:p>
    <w:p w14:paraId="0BB941FB" w14:textId="77777777" w:rsidR="00ED147C" w:rsidRPr="006758B1" w:rsidRDefault="00ED147C" w:rsidP="00ED147C">
      <w:pPr>
        <w:pStyle w:val="BodyText1"/>
        <w:ind w:left="0" w:right="357"/>
        <w:rPr>
          <w:color w:val="A6A6A6" w:themeColor="background1" w:themeShade="A6"/>
          <w:lang w:val="hy-AM"/>
        </w:rPr>
      </w:pPr>
      <w:r w:rsidRPr="006758B1">
        <w:rPr>
          <w:color w:val="A6A6A6" w:themeColor="background1" w:themeShade="A6"/>
          <w:lang w:val="hy-AM"/>
        </w:rPr>
        <w:t>ՊԱՇՏՈՆԱԿԱՆ ԴՐԱՄԱՇՆՈՐՀՆԵՐ</w:t>
      </w:r>
      <w:bookmarkEnd w:id="374"/>
    </w:p>
    <w:p w14:paraId="5D24E591" w14:textId="77777777" w:rsidR="00ED147C" w:rsidRPr="002E311E" w:rsidRDefault="00ED147C" w:rsidP="00ED147C">
      <w:pPr>
        <w:pStyle w:val="BodyText1"/>
        <w:ind w:left="0" w:right="357"/>
        <w:rPr>
          <w:lang w:val="af-ZA"/>
        </w:rPr>
      </w:pPr>
      <w:bookmarkStart w:id="375" w:name="_Toc153184484"/>
      <w:r w:rsidRPr="00170A48">
        <w:rPr>
          <w:lang w:val="hy-AM"/>
        </w:rPr>
        <w:t>Պաշտոնական</w:t>
      </w:r>
      <w:r w:rsidRPr="00603127">
        <w:rPr>
          <w:lang w:val="af-ZA"/>
        </w:rPr>
        <w:t xml:space="preserve"> </w:t>
      </w:r>
      <w:r w:rsidRPr="00170A48">
        <w:rPr>
          <w:lang w:val="hy-AM"/>
        </w:rPr>
        <w:t>դրամաշնորհները</w:t>
      </w:r>
      <w:r w:rsidRPr="00603127">
        <w:rPr>
          <w:lang w:val="af-ZA"/>
        </w:rPr>
        <w:t xml:space="preserve"> </w:t>
      </w:r>
      <w:r w:rsidRPr="00170A48">
        <w:rPr>
          <w:lang w:val="hy-AM"/>
        </w:rPr>
        <w:t>ծրագրվել</w:t>
      </w:r>
      <w:r w:rsidRPr="00603127">
        <w:rPr>
          <w:lang w:val="af-ZA"/>
        </w:rPr>
        <w:t xml:space="preserve"> </w:t>
      </w:r>
      <w:r w:rsidRPr="00170A48">
        <w:rPr>
          <w:lang w:val="hy-AM"/>
        </w:rPr>
        <w:t>են</w:t>
      </w:r>
      <w:r w:rsidRPr="00603127">
        <w:rPr>
          <w:lang w:val="af-ZA"/>
        </w:rPr>
        <w:t xml:space="preserve"> </w:t>
      </w:r>
      <w:r w:rsidRPr="00170A48">
        <w:rPr>
          <w:lang w:val="hy-AM"/>
        </w:rPr>
        <w:t>հաշվի</w:t>
      </w:r>
      <w:r w:rsidRPr="00603127">
        <w:rPr>
          <w:lang w:val="af-ZA"/>
        </w:rPr>
        <w:t xml:space="preserve"> </w:t>
      </w:r>
      <w:r w:rsidRPr="00170A48">
        <w:rPr>
          <w:lang w:val="hy-AM"/>
        </w:rPr>
        <w:t>առ</w:t>
      </w:r>
      <w:r w:rsidRPr="00603127">
        <w:rPr>
          <w:lang w:val="af-ZA"/>
        </w:rPr>
        <w:softHyphen/>
      </w:r>
      <w:r w:rsidRPr="00170A48">
        <w:rPr>
          <w:lang w:val="hy-AM"/>
        </w:rPr>
        <w:t>նե</w:t>
      </w:r>
      <w:r w:rsidRPr="00603127">
        <w:rPr>
          <w:lang w:val="af-ZA"/>
        </w:rPr>
        <w:softHyphen/>
      </w:r>
      <w:r w:rsidRPr="00603127">
        <w:rPr>
          <w:lang w:val="af-ZA"/>
        </w:rPr>
        <w:softHyphen/>
      </w:r>
      <w:r w:rsidRPr="00170A48">
        <w:rPr>
          <w:lang w:val="hy-AM"/>
        </w:rPr>
        <w:t>լով</w:t>
      </w:r>
      <w:r w:rsidRPr="00603127">
        <w:rPr>
          <w:lang w:val="af-ZA"/>
        </w:rPr>
        <w:t xml:space="preserve"> </w:t>
      </w:r>
      <w:r w:rsidRPr="00170A48">
        <w:rPr>
          <w:lang w:val="hy-AM"/>
        </w:rPr>
        <w:t>առկա</w:t>
      </w:r>
      <w:r w:rsidRPr="00603127">
        <w:rPr>
          <w:lang w:val="af-ZA"/>
        </w:rPr>
        <w:t xml:space="preserve"> </w:t>
      </w:r>
      <w:r w:rsidRPr="00170A48">
        <w:rPr>
          <w:lang w:val="hy-AM"/>
        </w:rPr>
        <w:t>պայմանագրերը</w:t>
      </w:r>
      <w:r w:rsidRPr="00603127">
        <w:rPr>
          <w:lang w:val="af-ZA"/>
        </w:rPr>
        <w:t xml:space="preserve">, </w:t>
      </w:r>
      <w:r w:rsidRPr="00170A48">
        <w:rPr>
          <w:lang w:val="hy-AM"/>
        </w:rPr>
        <w:t>դո</w:t>
      </w:r>
      <w:r w:rsidRPr="00603127">
        <w:rPr>
          <w:lang w:val="af-ZA"/>
        </w:rPr>
        <w:softHyphen/>
      </w:r>
      <w:r w:rsidRPr="00170A48">
        <w:rPr>
          <w:lang w:val="hy-AM"/>
        </w:rPr>
        <w:t>նոր</w:t>
      </w:r>
      <w:r w:rsidRPr="00603127">
        <w:rPr>
          <w:lang w:val="af-ZA"/>
        </w:rPr>
        <w:softHyphen/>
      </w:r>
      <w:r w:rsidRPr="00170A48">
        <w:rPr>
          <w:lang w:val="hy-AM"/>
        </w:rPr>
        <w:t>նե</w:t>
      </w:r>
      <w:r w:rsidRPr="00603127">
        <w:rPr>
          <w:lang w:val="af-ZA"/>
        </w:rPr>
        <w:softHyphen/>
      </w:r>
      <w:r w:rsidRPr="00170A48">
        <w:rPr>
          <w:lang w:val="hy-AM"/>
        </w:rPr>
        <w:t>րի</w:t>
      </w:r>
      <w:r w:rsidRPr="00603127">
        <w:rPr>
          <w:lang w:val="af-ZA"/>
        </w:rPr>
        <w:t xml:space="preserve"> </w:t>
      </w:r>
      <w:r w:rsidRPr="00170A48">
        <w:rPr>
          <w:lang w:val="hy-AM"/>
        </w:rPr>
        <w:t>հետ</w:t>
      </w:r>
      <w:r w:rsidRPr="00603127">
        <w:rPr>
          <w:lang w:val="af-ZA"/>
        </w:rPr>
        <w:t xml:space="preserve"> </w:t>
      </w:r>
      <w:r w:rsidRPr="00170A48">
        <w:rPr>
          <w:lang w:val="hy-AM"/>
        </w:rPr>
        <w:t>ձեռքբերված</w:t>
      </w:r>
      <w:r w:rsidRPr="00603127">
        <w:rPr>
          <w:lang w:val="af-ZA"/>
        </w:rPr>
        <w:t xml:space="preserve"> </w:t>
      </w:r>
      <w:r w:rsidRPr="00170A48">
        <w:rPr>
          <w:lang w:val="hy-AM"/>
        </w:rPr>
        <w:t>նախնական</w:t>
      </w:r>
      <w:r w:rsidRPr="00603127">
        <w:rPr>
          <w:lang w:val="af-ZA"/>
        </w:rPr>
        <w:t xml:space="preserve"> </w:t>
      </w:r>
      <w:r w:rsidRPr="00170A48">
        <w:rPr>
          <w:lang w:val="hy-AM"/>
        </w:rPr>
        <w:t>համաձայնությունները</w:t>
      </w:r>
      <w:r w:rsidRPr="00603127">
        <w:rPr>
          <w:lang w:val="af-ZA"/>
        </w:rPr>
        <w:t xml:space="preserve"> </w:t>
      </w:r>
      <w:r w:rsidRPr="00170A48">
        <w:rPr>
          <w:lang w:val="hy-AM"/>
        </w:rPr>
        <w:t>և</w:t>
      </w:r>
      <w:r w:rsidRPr="00603127">
        <w:rPr>
          <w:lang w:val="af-ZA"/>
        </w:rPr>
        <w:t xml:space="preserve"> </w:t>
      </w:r>
      <w:r w:rsidRPr="00170A48">
        <w:rPr>
          <w:lang w:val="hy-AM"/>
        </w:rPr>
        <w:t>Եվրամիությունից</w:t>
      </w:r>
      <w:r w:rsidRPr="00603127">
        <w:rPr>
          <w:lang w:val="af-ZA"/>
        </w:rPr>
        <w:t xml:space="preserve"> </w:t>
      </w:r>
      <w:r w:rsidRPr="00170A48">
        <w:rPr>
          <w:lang w:val="hy-AM"/>
        </w:rPr>
        <w:t>ակնկալվող</w:t>
      </w:r>
      <w:r w:rsidRPr="00603127">
        <w:rPr>
          <w:lang w:val="af-ZA"/>
        </w:rPr>
        <w:t xml:space="preserve"> </w:t>
      </w:r>
      <w:r w:rsidRPr="00170A48">
        <w:rPr>
          <w:lang w:val="hy-AM"/>
        </w:rPr>
        <w:t>դրամաշնորհների</w:t>
      </w:r>
      <w:r w:rsidRPr="00603127">
        <w:rPr>
          <w:lang w:val="af-ZA"/>
        </w:rPr>
        <w:t xml:space="preserve"> </w:t>
      </w:r>
      <w:r w:rsidRPr="00170A48">
        <w:rPr>
          <w:lang w:val="hy-AM"/>
        </w:rPr>
        <w:t>դեպքում</w:t>
      </w:r>
      <w:r w:rsidRPr="00603127">
        <w:rPr>
          <w:lang w:val="af-ZA"/>
        </w:rPr>
        <w:t xml:space="preserve">` </w:t>
      </w:r>
      <w:r w:rsidRPr="00170A48">
        <w:rPr>
          <w:lang w:val="hy-AM"/>
        </w:rPr>
        <w:t>սպա</w:t>
      </w:r>
      <w:r w:rsidRPr="00603127">
        <w:rPr>
          <w:lang w:val="af-ZA"/>
        </w:rPr>
        <w:softHyphen/>
      </w:r>
      <w:r w:rsidRPr="00170A48">
        <w:rPr>
          <w:lang w:val="hy-AM"/>
        </w:rPr>
        <w:t>սում</w:t>
      </w:r>
      <w:r w:rsidRPr="00603127">
        <w:rPr>
          <w:lang w:val="af-ZA"/>
        </w:rPr>
        <w:softHyphen/>
      </w:r>
      <w:r w:rsidRPr="00603127">
        <w:rPr>
          <w:lang w:val="af-ZA"/>
        </w:rPr>
        <w:softHyphen/>
      </w:r>
      <w:r w:rsidRPr="00170A48">
        <w:rPr>
          <w:lang w:val="hy-AM"/>
        </w:rPr>
        <w:t>նե</w:t>
      </w:r>
      <w:r w:rsidRPr="00603127">
        <w:rPr>
          <w:lang w:val="af-ZA"/>
        </w:rPr>
        <w:softHyphen/>
      </w:r>
      <w:r w:rsidRPr="00170A48">
        <w:rPr>
          <w:lang w:val="hy-AM"/>
        </w:rPr>
        <w:t>րը</w:t>
      </w:r>
      <w:r w:rsidRPr="00603127">
        <w:rPr>
          <w:lang w:val="af-ZA"/>
        </w:rPr>
        <w:t>:</w:t>
      </w:r>
    </w:p>
    <w:p w14:paraId="6B87CC08" w14:textId="3BCEB308" w:rsidR="00ED147C" w:rsidRPr="00C3014C" w:rsidRDefault="00ED147C" w:rsidP="00ED147C">
      <w:pPr>
        <w:pStyle w:val="a"/>
        <w:spacing w:before="120" w:line="276" w:lineRule="auto"/>
        <w:ind w:right="357"/>
        <w:jc w:val="both"/>
      </w:pPr>
      <w:bookmarkStart w:id="376" w:name="_Toc178350617"/>
      <w:bookmarkStart w:id="377" w:name="_Toc178612142"/>
      <w:bookmarkStart w:id="378" w:name="_Toc184110768"/>
      <w:r w:rsidRPr="00C3014C">
        <w:t>Աղյուսակ</w:t>
      </w:r>
      <w:r w:rsidRPr="00E77731">
        <w:rPr>
          <w:lang w:val="af-ZA"/>
        </w:rPr>
        <w:t xml:space="preserve"> </w:t>
      </w:r>
      <w:r w:rsidRPr="00C3014C">
        <w:fldChar w:fldCharType="begin"/>
      </w:r>
      <w:r w:rsidRPr="00E77731">
        <w:rPr>
          <w:lang w:val="af-ZA"/>
        </w:rPr>
        <w:instrText xml:space="preserve"> SEQ </w:instrText>
      </w:r>
      <w:r w:rsidRPr="00C3014C">
        <w:instrText>Աղյուսակ</w:instrText>
      </w:r>
      <w:r w:rsidRPr="00E77731">
        <w:rPr>
          <w:lang w:val="af-ZA"/>
        </w:rPr>
        <w:instrText xml:space="preserve"> \* ARABIC </w:instrText>
      </w:r>
      <w:r w:rsidRPr="00C3014C">
        <w:fldChar w:fldCharType="separate"/>
      </w:r>
      <w:r w:rsidR="001848B1">
        <w:rPr>
          <w:noProof/>
          <w:lang w:val="af-ZA"/>
        </w:rPr>
        <w:t>6</w:t>
      </w:r>
      <w:r w:rsidRPr="00C3014C">
        <w:fldChar w:fldCharType="end"/>
      </w:r>
      <w:r w:rsidRPr="00E77731">
        <w:rPr>
          <w:lang w:val="af-ZA"/>
        </w:rPr>
        <w:t>. 202</w:t>
      </w:r>
      <w:r>
        <w:t>2</w:t>
      </w:r>
      <w:r>
        <w:rPr>
          <w:lang w:val="af-ZA"/>
        </w:rPr>
        <w:t>-2028</w:t>
      </w:r>
      <w:r w:rsidRPr="00C3014C">
        <w:t>թթ</w:t>
      </w:r>
      <w:r w:rsidRPr="00E77731">
        <w:rPr>
          <w:lang w:val="af-ZA"/>
        </w:rPr>
        <w:t xml:space="preserve">. </w:t>
      </w:r>
      <w:r w:rsidRPr="00C3014C">
        <w:t>փաստացի</w:t>
      </w:r>
      <w:r w:rsidRPr="00E77731">
        <w:rPr>
          <w:lang w:val="af-ZA"/>
        </w:rPr>
        <w:t>/</w:t>
      </w:r>
      <w:r w:rsidRPr="00C3014C">
        <w:t>կանխատեսումային</w:t>
      </w:r>
      <w:r w:rsidRPr="00E77731">
        <w:rPr>
          <w:lang w:val="af-ZA"/>
        </w:rPr>
        <w:t xml:space="preserve"> </w:t>
      </w:r>
      <w:r w:rsidRPr="00C3014C">
        <w:t>պաշտոնական</w:t>
      </w:r>
      <w:r w:rsidRPr="00E77731">
        <w:rPr>
          <w:lang w:val="af-ZA"/>
        </w:rPr>
        <w:t xml:space="preserve"> </w:t>
      </w:r>
      <w:r w:rsidRPr="00C3014C">
        <w:t>դրամաշնորհ</w:t>
      </w:r>
      <w:bookmarkStart w:id="379" w:name="_GoBack"/>
      <w:bookmarkEnd w:id="379"/>
      <w:r w:rsidRPr="00C3014C">
        <w:t>ները</w:t>
      </w:r>
      <w:r w:rsidRPr="00E77731">
        <w:rPr>
          <w:lang w:val="af-ZA"/>
        </w:rPr>
        <w:t xml:space="preserve">, </w:t>
      </w:r>
      <w:r w:rsidRPr="00C3014C">
        <w:t>մլրդ</w:t>
      </w:r>
      <w:r w:rsidRPr="00E77731">
        <w:rPr>
          <w:lang w:val="af-ZA"/>
        </w:rPr>
        <w:t xml:space="preserve"> </w:t>
      </w:r>
      <w:r w:rsidRPr="00C3014C">
        <w:t>դրամ</w:t>
      </w:r>
      <w:r w:rsidRPr="00E77731">
        <w:rPr>
          <w:lang w:val="af-ZA"/>
        </w:rPr>
        <w:softHyphen/>
      </w:r>
      <w:bookmarkEnd w:id="376"/>
      <w:bookmarkEnd w:id="377"/>
      <w:bookmarkEnd w:id="378"/>
    </w:p>
    <w:tbl>
      <w:tblPr>
        <w:tblW w:w="5000" w:type="pct"/>
        <w:jc w:val="center"/>
        <w:tblBorders>
          <w:top w:val="single" w:sz="8" w:space="0" w:color="E1E1E3" w:themeColor="accent3" w:themeTint="33"/>
          <w:left w:val="single" w:sz="8" w:space="0" w:color="E1E1E3" w:themeColor="accent3" w:themeTint="33"/>
          <w:bottom w:val="single" w:sz="8" w:space="0" w:color="E1E1E3" w:themeColor="accent3" w:themeTint="33"/>
          <w:right w:val="single" w:sz="8" w:space="0" w:color="E1E1E3" w:themeColor="accent3" w:themeTint="33"/>
          <w:insideH w:val="single" w:sz="8" w:space="0" w:color="E1E1E3" w:themeColor="accent3" w:themeTint="33"/>
          <w:insideV w:val="single" w:sz="8" w:space="0" w:color="E1E1E3" w:themeColor="accent3" w:themeTint="33"/>
        </w:tblBorders>
        <w:tblLook w:val="04A0" w:firstRow="1" w:lastRow="0" w:firstColumn="1" w:lastColumn="0" w:noHBand="0" w:noVBand="1"/>
      </w:tblPr>
      <w:tblGrid>
        <w:gridCol w:w="2425"/>
        <w:gridCol w:w="1145"/>
        <w:gridCol w:w="1144"/>
        <w:gridCol w:w="1142"/>
        <w:gridCol w:w="1144"/>
        <w:gridCol w:w="1144"/>
        <w:gridCol w:w="1142"/>
        <w:gridCol w:w="1099"/>
      </w:tblGrid>
      <w:tr w:rsidR="00ED147C" w:rsidRPr="0018378A" w14:paraId="42C12474" w14:textId="77777777" w:rsidTr="00F21CB1">
        <w:trPr>
          <w:trHeight w:val="365"/>
          <w:jc w:val="center"/>
        </w:trPr>
        <w:tc>
          <w:tcPr>
            <w:tcW w:w="1167" w:type="pct"/>
            <w:vMerge w:val="restart"/>
            <w:shd w:val="clear" w:color="auto" w:fill="D5DCE4" w:themeFill="text2" w:themeFillTint="33"/>
            <w:vAlign w:val="center"/>
            <w:hideMark/>
          </w:tcPr>
          <w:p w14:paraId="53AB3F5F" w14:textId="77777777" w:rsidR="00ED147C" w:rsidRPr="0018378A" w:rsidRDefault="00ED147C" w:rsidP="00ED147C">
            <w:pPr>
              <w:tabs>
                <w:tab w:val="left" w:pos="4380"/>
              </w:tabs>
              <w:ind w:right="357"/>
              <w:jc w:val="center"/>
              <w:rPr>
                <w:b/>
                <w:sz w:val="16"/>
                <w:szCs w:val="16"/>
              </w:rPr>
            </w:pPr>
            <w:r w:rsidRPr="0018378A">
              <w:rPr>
                <w:b/>
                <w:sz w:val="16"/>
                <w:szCs w:val="16"/>
              </w:rPr>
              <w:t>Պաշտոնական դրամաշնորհներ</w:t>
            </w:r>
          </w:p>
        </w:tc>
        <w:tc>
          <w:tcPr>
            <w:tcW w:w="1652" w:type="pct"/>
            <w:gridSpan w:val="3"/>
            <w:shd w:val="clear" w:color="auto" w:fill="D5DCE4" w:themeFill="text2" w:themeFillTint="33"/>
            <w:noWrap/>
            <w:vAlign w:val="center"/>
            <w:hideMark/>
          </w:tcPr>
          <w:p w14:paraId="6BAB1213" w14:textId="77777777" w:rsidR="00ED147C" w:rsidRPr="0018378A" w:rsidRDefault="00ED147C" w:rsidP="00F44F21">
            <w:pPr>
              <w:ind w:right="-100"/>
              <w:jc w:val="center"/>
              <w:rPr>
                <w:b/>
                <w:sz w:val="16"/>
                <w:szCs w:val="16"/>
              </w:rPr>
            </w:pPr>
            <w:r w:rsidRPr="0018378A">
              <w:rPr>
                <w:b/>
                <w:sz w:val="16"/>
                <w:szCs w:val="16"/>
              </w:rPr>
              <w:t>Փաստ</w:t>
            </w:r>
          </w:p>
        </w:tc>
        <w:tc>
          <w:tcPr>
            <w:tcW w:w="551" w:type="pct"/>
            <w:shd w:val="clear" w:color="auto" w:fill="D5DCE4" w:themeFill="text2" w:themeFillTint="33"/>
            <w:noWrap/>
            <w:vAlign w:val="center"/>
            <w:hideMark/>
          </w:tcPr>
          <w:p w14:paraId="1CE158B1" w14:textId="77777777" w:rsidR="00ED147C" w:rsidRPr="0018378A" w:rsidRDefault="00ED147C" w:rsidP="00F44F21">
            <w:pPr>
              <w:tabs>
                <w:tab w:val="left" w:pos="486"/>
              </w:tabs>
              <w:ind w:right="-100"/>
              <w:jc w:val="center"/>
              <w:rPr>
                <w:b/>
                <w:sz w:val="16"/>
                <w:szCs w:val="16"/>
              </w:rPr>
            </w:pPr>
            <w:r w:rsidRPr="0018378A">
              <w:rPr>
                <w:b/>
                <w:sz w:val="16"/>
                <w:szCs w:val="16"/>
              </w:rPr>
              <w:t>Բյուջե</w:t>
            </w:r>
          </w:p>
        </w:tc>
        <w:tc>
          <w:tcPr>
            <w:tcW w:w="551" w:type="pct"/>
            <w:shd w:val="clear" w:color="auto" w:fill="D5DCE4" w:themeFill="text2" w:themeFillTint="33"/>
            <w:vAlign w:val="center"/>
            <w:hideMark/>
          </w:tcPr>
          <w:p w14:paraId="0C144676" w14:textId="77777777" w:rsidR="00ED147C" w:rsidRPr="00F44F21" w:rsidRDefault="00ED147C" w:rsidP="00ED147C">
            <w:pPr>
              <w:ind w:right="-100"/>
              <w:jc w:val="center"/>
              <w:rPr>
                <w:b/>
                <w:sz w:val="16"/>
                <w:szCs w:val="16"/>
              </w:rPr>
            </w:pPr>
            <w:r w:rsidRPr="00F44F21">
              <w:rPr>
                <w:b/>
                <w:sz w:val="16"/>
                <w:szCs w:val="16"/>
              </w:rPr>
              <w:t>Ծ</w:t>
            </w:r>
            <w:r w:rsidRPr="0018378A">
              <w:rPr>
                <w:b/>
                <w:sz w:val="16"/>
                <w:szCs w:val="16"/>
              </w:rPr>
              <w:t>րագիր</w:t>
            </w:r>
          </w:p>
        </w:tc>
        <w:tc>
          <w:tcPr>
            <w:tcW w:w="550" w:type="pct"/>
            <w:shd w:val="clear" w:color="auto" w:fill="D5DCE4" w:themeFill="text2" w:themeFillTint="33"/>
          </w:tcPr>
          <w:p w14:paraId="00DFCD46" w14:textId="77777777" w:rsidR="00ED147C" w:rsidRPr="00F44F21" w:rsidRDefault="00ED147C" w:rsidP="00ED147C">
            <w:pPr>
              <w:jc w:val="center"/>
              <w:rPr>
                <w:b/>
                <w:sz w:val="16"/>
                <w:szCs w:val="16"/>
              </w:rPr>
            </w:pPr>
            <w:r w:rsidRPr="00F44F21">
              <w:rPr>
                <w:b/>
                <w:sz w:val="16"/>
                <w:szCs w:val="16"/>
              </w:rPr>
              <w:t>Ծ</w:t>
            </w:r>
            <w:r w:rsidRPr="0018378A">
              <w:rPr>
                <w:b/>
                <w:sz w:val="16"/>
                <w:szCs w:val="16"/>
              </w:rPr>
              <w:t>րագիր</w:t>
            </w:r>
          </w:p>
        </w:tc>
        <w:tc>
          <w:tcPr>
            <w:tcW w:w="529" w:type="pct"/>
            <w:shd w:val="clear" w:color="auto" w:fill="D5DCE4" w:themeFill="text2" w:themeFillTint="33"/>
          </w:tcPr>
          <w:p w14:paraId="24D2B6F2" w14:textId="77777777" w:rsidR="00ED147C" w:rsidRPr="00F44F21" w:rsidRDefault="00ED147C" w:rsidP="00ED147C">
            <w:pPr>
              <w:jc w:val="center"/>
              <w:rPr>
                <w:b/>
                <w:sz w:val="16"/>
                <w:szCs w:val="16"/>
              </w:rPr>
            </w:pPr>
            <w:r w:rsidRPr="00F44F21">
              <w:rPr>
                <w:b/>
                <w:sz w:val="16"/>
                <w:szCs w:val="16"/>
              </w:rPr>
              <w:t>Ծ</w:t>
            </w:r>
            <w:r w:rsidRPr="0018378A">
              <w:rPr>
                <w:b/>
                <w:sz w:val="16"/>
                <w:szCs w:val="16"/>
              </w:rPr>
              <w:t>րագիր</w:t>
            </w:r>
          </w:p>
        </w:tc>
      </w:tr>
      <w:tr w:rsidR="00ED147C" w:rsidRPr="0018378A" w14:paraId="2AC40638" w14:textId="77777777" w:rsidTr="00F21CB1">
        <w:trPr>
          <w:trHeight w:val="365"/>
          <w:jc w:val="center"/>
        </w:trPr>
        <w:tc>
          <w:tcPr>
            <w:tcW w:w="1167" w:type="pct"/>
            <w:vMerge/>
            <w:shd w:val="clear" w:color="auto" w:fill="D5DCE4" w:themeFill="text2" w:themeFillTint="33"/>
            <w:vAlign w:val="center"/>
            <w:hideMark/>
          </w:tcPr>
          <w:p w14:paraId="06A04083" w14:textId="77777777" w:rsidR="00ED147C" w:rsidRPr="0018378A" w:rsidRDefault="00ED147C" w:rsidP="00ED147C">
            <w:pPr>
              <w:tabs>
                <w:tab w:val="left" w:pos="4380"/>
              </w:tabs>
              <w:ind w:right="357"/>
              <w:jc w:val="center"/>
              <w:rPr>
                <w:b/>
                <w:sz w:val="16"/>
                <w:szCs w:val="16"/>
              </w:rPr>
            </w:pPr>
          </w:p>
        </w:tc>
        <w:tc>
          <w:tcPr>
            <w:tcW w:w="551" w:type="pct"/>
            <w:shd w:val="clear" w:color="auto" w:fill="D5DCE4" w:themeFill="text2" w:themeFillTint="33"/>
            <w:noWrap/>
            <w:vAlign w:val="center"/>
            <w:hideMark/>
          </w:tcPr>
          <w:p w14:paraId="4CD78C99" w14:textId="77777777" w:rsidR="00ED147C" w:rsidRPr="0018378A" w:rsidRDefault="00ED147C" w:rsidP="00F44F21">
            <w:pPr>
              <w:jc w:val="center"/>
              <w:rPr>
                <w:b/>
                <w:sz w:val="16"/>
                <w:szCs w:val="16"/>
              </w:rPr>
            </w:pPr>
            <w:r w:rsidRPr="00F44F21">
              <w:rPr>
                <w:b/>
                <w:sz w:val="16"/>
                <w:szCs w:val="16"/>
              </w:rPr>
              <w:t>2022</w:t>
            </w:r>
          </w:p>
        </w:tc>
        <w:tc>
          <w:tcPr>
            <w:tcW w:w="551" w:type="pct"/>
            <w:shd w:val="clear" w:color="auto" w:fill="D5DCE4" w:themeFill="text2" w:themeFillTint="33"/>
            <w:noWrap/>
            <w:vAlign w:val="center"/>
            <w:hideMark/>
          </w:tcPr>
          <w:p w14:paraId="0439AD77" w14:textId="77777777" w:rsidR="00ED147C" w:rsidRPr="0018378A" w:rsidRDefault="00ED147C" w:rsidP="00F44F21">
            <w:pPr>
              <w:jc w:val="center"/>
              <w:rPr>
                <w:b/>
                <w:sz w:val="16"/>
                <w:szCs w:val="16"/>
              </w:rPr>
            </w:pPr>
            <w:r w:rsidRPr="00F44F21">
              <w:rPr>
                <w:b/>
                <w:sz w:val="16"/>
                <w:szCs w:val="16"/>
              </w:rPr>
              <w:t>2023</w:t>
            </w:r>
          </w:p>
        </w:tc>
        <w:tc>
          <w:tcPr>
            <w:tcW w:w="550" w:type="pct"/>
            <w:shd w:val="clear" w:color="auto" w:fill="D5DCE4" w:themeFill="text2" w:themeFillTint="33"/>
            <w:noWrap/>
            <w:vAlign w:val="center"/>
            <w:hideMark/>
          </w:tcPr>
          <w:p w14:paraId="33C06694" w14:textId="77777777" w:rsidR="00ED147C" w:rsidRPr="0018378A" w:rsidRDefault="00ED147C" w:rsidP="00F44F21">
            <w:pPr>
              <w:jc w:val="center"/>
              <w:rPr>
                <w:b/>
                <w:sz w:val="16"/>
                <w:szCs w:val="16"/>
              </w:rPr>
            </w:pPr>
            <w:r w:rsidRPr="00F44F21">
              <w:rPr>
                <w:b/>
                <w:sz w:val="16"/>
                <w:szCs w:val="16"/>
              </w:rPr>
              <w:t>2024</w:t>
            </w:r>
          </w:p>
        </w:tc>
        <w:tc>
          <w:tcPr>
            <w:tcW w:w="551" w:type="pct"/>
            <w:shd w:val="clear" w:color="auto" w:fill="D5DCE4" w:themeFill="text2" w:themeFillTint="33"/>
            <w:noWrap/>
            <w:vAlign w:val="center"/>
            <w:hideMark/>
          </w:tcPr>
          <w:p w14:paraId="772C0604" w14:textId="77777777" w:rsidR="00ED147C" w:rsidRPr="0018378A" w:rsidRDefault="00ED147C" w:rsidP="00F44F21">
            <w:pPr>
              <w:jc w:val="center"/>
              <w:rPr>
                <w:b/>
                <w:sz w:val="16"/>
                <w:szCs w:val="16"/>
              </w:rPr>
            </w:pPr>
            <w:r w:rsidRPr="00F44F21">
              <w:rPr>
                <w:b/>
                <w:sz w:val="16"/>
                <w:szCs w:val="16"/>
              </w:rPr>
              <w:t>2025</w:t>
            </w:r>
          </w:p>
        </w:tc>
        <w:tc>
          <w:tcPr>
            <w:tcW w:w="551" w:type="pct"/>
            <w:shd w:val="clear" w:color="auto" w:fill="D5DCE4" w:themeFill="text2" w:themeFillTint="33"/>
            <w:vAlign w:val="center"/>
            <w:hideMark/>
          </w:tcPr>
          <w:p w14:paraId="6EEFC7E1" w14:textId="77777777" w:rsidR="00ED147C" w:rsidRPr="00F44F21" w:rsidRDefault="00ED147C" w:rsidP="00F44F21">
            <w:pPr>
              <w:jc w:val="center"/>
              <w:rPr>
                <w:b/>
                <w:sz w:val="16"/>
                <w:szCs w:val="16"/>
              </w:rPr>
            </w:pPr>
            <w:r w:rsidRPr="00F44F21">
              <w:rPr>
                <w:b/>
                <w:sz w:val="16"/>
                <w:szCs w:val="16"/>
              </w:rPr>
              <w:t>2026</w:t>
            </w:r>
          </w:p>
        </w:tc>
        <w:tc>
          <w:tcPr>
            <w:tcW w:w="550" w:type="pct"/>
            <w:shd w:val="clear" w:color="auto" w:fill="D5DCE4" w:themeFill="text2" w:themeFillTint="33"/>
            <w:vAlign w:val="center"/>
          </w:tcPr>
          <w:p w14:paraId="7FD3E976" w14:textId="77777777" w:rsidR="00ED147C" w:rsidRPr="00F44F21" w:rsidRDefault="00ED147C" w:rsidP="00F44F21">
            <w:pPr>
              <w:ind w:right="-17"/>
              <w:jc w:val="center"/>
              <w:rPr>
                <w:b/>
                <w:sz w:val="16"/>
                <w:szCs w:val="16"/>
              </w:rPr>
            </w:pPr>
            <w:r w:rsidRPr="00F44F21">
              <w:rPr>
                <w:b/>
                <w:sz w:val="16"/>
                <w:szCs w:val="16"/>
              </w:rPr>
              <w:t>2027</w:t>
            </w:r>
          </w:p>
        </w:tc>
        <w:tc>
          <w:tcPr>
            <w:tcW w:w="529" w:type="pct"/>
            <w:shd w:val="clear" w:color="auto" w:fill="D5DCE4" w:themeFill="text2" w:themeFillTint="33"/>
            <w:vAlign w:val="center"/>
          </w:tcPr>
          <w:p w14:paraId="7FB05544" w14:textId="77777777" w:rsidR="00ED147C" w:rsidRPr="00F44F21" w:rsidRDefault="00ED147C" w:rsidP="00F44F21">
            <w:pPr>
              <w:jc w:val="center"/>
              <w:rPr>
                <w:b/>
                <w:sz w:val="16"/>
                <w:szCs w:val="16"/>
              </w:rPr>
            </w:pPr>
            <w:r w:rsidRPr="00F44F21">
              <w:rPr>
                <w:b/>
                <w:sz w:val="16"/>
                <w:szCs w:val="16"/>
              </w:rPr>
              <w:t>2028</w:t>
            </w:r>
          </w:p>
        </w:tc>
      </w:tr>
      <w:tr w:rsidR="00F21CB1" w:rsidRPr="0018378A" w14:paraId="706DF25F" w14:textId="77777777" w:rsidTr="00F21CB1">
        <w:trPr>
          <w:trHeight w:val="365"/>
          <w:jc w:val="center"/>
        </w:trPr>
        <w:tc>
          <w:tcPr>
            <w:tcW w:w="1167" w:type="pct"/>
            <w:shd w:val="clear" w:color="auto" w:fill="auto"/>
            <w:vAlign w:val="center"/>
            <w:hideMark/>
          </w:tcPr>
          <w:p w14:paraId="3D2F5734" w14:textId="77777777" w:rsidR="00F21CB1" w:rsidRPr="0018378A" w:rsidRDefault="00F21CB1" w:rsidP="00F21CB1">
            <w:pPr>
              <w:tabs>
                <w:tab w:val="left" w:pos="4380"/>
              </w:tabs>
              <w:ind w:right="357"/>
              <w:jc w:val="both"/>
              <w:rPr>
                <w:sz w:val="16"/>
                <w:szCs w:val="16"/>
              </w:rPr>
            </w:pPr>
            <w:r w:rsidRPr="0018378A">
              <w:rPr>
                <w:sz w:val="16"/>
                <w:szCs w:val="16"/>
              </w:rPr>
              <w:t>Ընդամենը, այդ թվում՝</w:t>
            </w:r>
          </w:p>
        </w:tc>
        <w:tc>
          <w:tcPr>
            <w:tcW w:w="551" w:type="pct"/>
            <w:shd w:val="clear" w:color="auto" w:fill="auto"/>
            <w:noWrap/>
            <w:vAlign w:val="center"/>
            <w:hideMark/>
          </w:tcPr>
          <w:p w14:paraId="5C313CF5" w14:textId="77777777" w:rsidR="00F21CB1" w:rsidRPr="00F44F21" w:rsidRDefault="00F21CB1" w:rsidP="00F21CB1">
            <w:pPr>
              <w:ind w:right="-107"/>
              <w:jc w:val="center"/>
              <w:rPr>
                <w:rFonts w:ascii="GHEA Grapalat" w:hAnsi="GHEA Grapalat" w:cs="Calibri"/>
                <w:bCs/>
                <w:color w:val="404040"/>
                <w:sz w:val="16"/>
                <w:szCs w:val="16"/>
              </w:rPr>
            </w:pPr>
            <w:r w:rsidRPr="00F44F21">
              <w:rPr>
                <w:rFonts w:ascii="GHEA Grapalat" w:hAnsi="GHEA Grapalat" w:cs="Calibri"/>
                <w:bCs/>
                <w:color w:val="404040"/>
                <w:sz w:val="16"/>
                <w:szCs w:val="16"/>
              </w:rPr>
              <w:t>15</w:t>
            </w:r>
          </w:p>
        </w:tc>
        <w:tc>
          <w:tcPr>
            <w:tcW w:w="551" w:type="pct"/>
            <w:shd w:val="clear" w:color="auto" w:fill="auto"/>
            <w:noWrap/>
            <w:vAlign w:val="center"/>
            <w:hideMark/>
          </w:tcPr>
          <w:p w14:paraId="67FC5F63" w14:textId="77777777" w:rsidR="00F21CB1" w:rsidRPr="00F44F21" w:rsidRDefault="00F21CB1" w:rsidP="00F21CB1">
            <w:pPr>
              <w:ind w:right="-107"/>
              <w:jc w:val="center"/>
              <w:rPr>
                <w:rFonts w:ascii="GHEA Grapalat" w:hAnsi="GHEA Grapalat" w:cs="Calibri"/>
                <w:bCs/>
                <w:color w:val="404040"/>
                <w:sz w:val="16"/>
                <w:szCs w:val="16"/>
              </w:rPr>
            </w:pPr>
            <w:r w:rsidRPr="00F44F21">
              <w:rPr>
                <w:rFonts w:ascii="GHEA Grapalat" w:hAnsi="GHEA Grapalat" w:cs="Calibri"/>
                <w:bCs/>
                <w:color w:val="404040"/>
                <w:sz w:val="16"/>
                <w:szCs w:val="16"/>
              </w:rPr>
              <w:t>13.1</w:t>
            </w:r>
          </w:p>
        </w:tc>
        <w:tc>
          <w:tcPr>
            <w:tcW w:w="550" w:type="pct"/>
            <w:shd w:val="clear" w:color="auto" w:fill="auto"/>
            <w:noWrap/>
            <w:vAlign w:val="center"/>
            <w:hideMark/>
          </w:tcPr>
          <w:p w14:paraId="57E457BE" w14:textId="77777777" w:rsidR="00F21CB1" w:rsidRPr="00F44F21" w:rsidRDefault="00F21CB1" w:rsidP="00F21CB1">
            <w:pPr>
              <w:ind w:right="-107"/>
              <w:jc w:val="center"/>
              <w:rPr>
                <w:rFonts w:ascii="GHEA Grapalat" w:hAnsi="GHEA Grapalat" w:cs="Calibri"/>
                <w:bCs/>
                <w:color w:val="404040"/>
                <w:sz w:val="16"/>
                <w:szCs w:val="16"/>
              </w:rPr>
            </w:pPr>
            <w:r w:rsidRPr="00F44F21">
              <w:rPr>
                <w:rFonts w:ascii="GHEA Grapalat" w:hAnsi="GHEA Grapalat" w:cs="Calibri"/>
                <w:bCs/>
                <w:color w:val="404040"/>
                <w:sz w:val="16"/>
                <w:szCs w:val="16"/>
              </w:rPr>
              <w:t>26.7</w:t>
            </w:r>
          </w:p>
        </w:tc>
        <w:tc>
          <w:tcPr>
            <w:tcW w:w="551" w:type="pct"/>
            <w:shd w:val="clear" w:color="auto" w:fill="auto"/>
            <w:vAlign w:val="center"/>
            <w:hideMark/>
          </w:tcPr>
          <w:p w14:paraId="6E06FABF" w14:textId="3D66C679" w:rsidR="00F21CB1" w:rsidRPr="00F44F21" w:rsidRDefault="00F21CB1" w:rsidP="00F21CB1">
            <w:pPr>
              <w:ind w:right="-107"/>
              <w:jc w:val="center"/>
              <w:rPr>
                <w:rFonts w:ascii="GHEA Grapalat" w:hAnsi="GHEA Grapalat" w:cs="Calibri"/>
                <w:bCs/>
                <w:color w:val="404040"/>
                <w:sz w:val="16"/>
                <w:szCs w:val="16"/>
              </w:rPr>
            </w:pPr>
            <w:r w:rsidRPr="00F44F21">
              <w:rPr>
                <w:rFonts w:ascii="GHEA Grapalat" w:hAnsi="GHEA Grapalat" w:cs="Calibri"/>
                <w:bCs/>
                <w:color w:val="404040"/>
                <w:sz w:val="16"/>
                <w:szCs w:val="16"/>
              </w:rPr>
              <w:t>20.7</w:t>
            </w:r>
          </w:p>
        </w:tc>
        <w:tc>
          <w:tcPr>
            <w:tcW w:w="551" w:type="pct"/>
            <w:shd w:val="clear" w:color="auto" w:fill="auto"/>
            <w:vAlign w:val="center"/>
            <w:hideMark/>
          </w:tcPr>
          <w:p w14:paraId="1CCE72B7" w14:textId="3870589C" w:rsidR="00F21CB1" w:rsidRPr="00F44F21" w:rsidRDefault="00F21CB1" w:rsidP="00F21CB1">
            <w:pPr>
              <w:ind w:right="-107"/>
              <w:jc w:val="center"/>
              <w:rPr>
                <w:rFonts w:ascii="GHEA Grapalat" w:hAnsi="GHEA Grapalat" w:cs="Calibri"/>
                <w:bCs/>
                <w:color w:val="404040"/>
                <w:sz w:val="16"/>
                <w:szCs w:val="16"/>
              </w:rPr>
            </w:pPr>
            <w:r w:rsidRPr="00F21CB1">
              <w:rPr>
                <w:rFonts w:ascii="GHEA Grapalat" w:hAnsi="GHEA Grapalat" w:cs="Calibri"/>
                <w:bCs/>
                <w:color w:val="404040"/>
                <w:sz w:val="16"/>
                <w:szCs w:val="16"/>
              </w:rPr>
              <w:t>19.7</w:t>
            </w:r>
          </w:p>
        </w:tc>
        <w:tc>
          <w:tcPr>
            <w:tcW w:w="550" w:type="pct"/>
            <w:vAlign w:val="center"/>
          </w:tcPr>
          <w:p w14:paraId="37139DBD" w14:textId="417A189B" w:rsidR="00F21CB1" w:rsidRPr="00F44F21" w:rsidRDefault="00F21CB1" w:rsidP="00F21CB1">
            <w:pPr>
              <w:ind w:right="-107"/>
              <w:jc w:val="center"/>
              <w:rPr>
                <w:rFonts w:ascii="GHEA Grapalat" w:hAnsi="GHEA Grapalat" w:cs="Calibri"/>
                <w:bCs/>
                <w:color w:val="404040"/>
                <w:sz w:val="16"/>
                <w:szCs w:val="16"/>
              </w:rPr>
            </w:pPr>
            <w:r w:rsidRPr="00F21CB1">
              <w:rPr>
                <w:rFonts w:ascii="GHEA Grapalat" w:hAnsi="GHEA Grapalat" w:cs="Calibri"/>
                <w:bCs/>
                <w:color w:val="404040"/>
                <w:sz w:val="16"/>
                <w:szCs w:val="16"/>
              </w:rPr>
              <w:t>7.3</w:t>
            </w:r>
          </w:p>
        </w:tc>
        <w:tc>
          <w:tcPr>
            <w:tcW w:w="529" w:type="pct"/>
            <w:vAlign w:val="center"/>
          </w:tcPr>
          <w:p w14:paraId="06972B8A" w14:textId="476CD775" w:rsidR="00F21CB1" w:rsidRPr="00F44F21" w:rsidRDefault="00F21CB1" w:rsidP="00F21CB1">
            <w:pPr>
              <w:ind w:right="-107"/>
              <w:jc w:val="center"/>
              <w:rPr>
                <w:rFonts w:ascii="GHEA Grapalat" w:hAnsi="GHEA Grapalat" w:cs="Calibri"/>
                <w:bCs/>
                <w:color w:val="404040"/>
                <w:sz w:val="16"/>
                <w:szCs w:val="16"/>
              </w:rPr>
            </w:pPr>
            <w:r w:rsidRPr="00F21CB1">
              <w:rPr>
                <w:rFonts w:ascii="GHEA Grapalat" w:hAnsi="GHEA Grapalat" w:cs="Calibri"/>
                <w:bCs/>
                <w:color w:val="404040"/>
                <w:sz w:val="16"/>
                <w:szCs w:val="16"/>
              </w:rPr>
              <w:t>3.7</w:t>
            </w:r>
          </w:p>
        </w:tc>
      </w:tr>
      <w:tr w:rsidR="00ED147C" w:rsidRPr="0018378A" w14:paraId="0F900456" w14:textId="77777777" w:rsidTr="00F21CB1">
        <w:trPr>
          <w:trHeight w:val="365"/>
          <w:jc w:val="center"/>
        </w:trPr>
        <w:tc>
          <w:tcPr>
            <w:tcW w:w="1167" w:type="pct"/>
            <w:shd w:val="clear" w:color="auto" w:fill="auto"/>
            <w:vAlign w:val="center"/>
            <w:hideMark/>
          </w:tcPr>
          <w:p w14:paraId="44F80AEA" w14:textId="77777777" w:rsidR="00ED147C" w:rsidRPr="0018378A" w:rsidRDefault="00ED147C" w:rsidP="00ED147C">
            <w:pPr>
              <w:tabs>
                <w:tab w:val="left" w:pos="4380"/>
              </w:tabs>
              <w:ind w:right="357"/>
              <w:jc w:val="both"/>
              <w:rPr>
                <w:sz w:val="16"/>
                <w:szCs w:val="16"/>
              </w:rPr>
            </w:pPr>
            <w:r w:rsidRPr="0018378A">
              <w:rPr>
                <w:sz w:val="16"/>
                <w:szCs w:val="16"/>
              </w:rPr>
              <w:t>ԵՄ (Եվրոպական հարևանության շրջանակներում ՀՀ-ԵՄ գործողությունների ծրագրով նախատեսված դրամաշնորհային ծրագրեր)</w:t>
            </w:r>
          </w:p>
        </w:tc>
        <w:tc>
          <w:tcPr>
            <w:tcW w:w="551" w:type="pct"/>
            <w:shd w:val="clear" w:color="auto" w:fill="auto"/>
            <w:noWrap/>
            <w:vAlign w:val="center"/>
            <w:hideMark/>
          </w:tcPr>
          <w:p w14:paraId="7AC79C21" w14:textId="77777777" w:rsidR="00ED147C" w:rsidRPr="00F44F21" w:rsidRDefault="00ED147C" w:rsidP="00F44F21">
            <w:pPr>
              <w:ind w:right="-107"/>
              <w:jc w:val="center"/>
              <w:rPr>
                <w:rFonts w:ascii="GHEA Grapalat" w:hAnsi="GHEA Grapalat" w:cs="Calibri"/>
                <w:bCs/>
                <w:color w:val="404040"/>
                <w:sz w:val="16"/>
                <w:szCs w:val="16"/>
              </w:rPr>
            </w:pPr>
            <w:r w:rsidRPr="00F44F21">
              <w:rPr>
                <w:rFonts w:ascii="GHEA Grapalat" w:hAnsi="GHEA Grapalat" w:cs="Calibri"/>
                <w:bCs/>
                <w:color w:val="404040"/>
                <w:sz w:val="16"/>
                <w:szCs w:val="16"/>
              </w:rPr>
              <w:t>6.2</w:t>
            </w:r>
          </w:p>
        </w:tc>
        <w:tc>
          <w:tcPr>
            <w:tcW w:w="551" w:type="pct"/>
            <w:shd w:val="clear" w:color="auto" w:fill="auto"/>
            <w:noWrap/>
            <w:vAlign w:val="center"/>
            <w:hideMark/>
          </w:tcPr>
          <w:p w14:paraId="56BD981F" w14:textId="77777777" w:rsidR="00ED147C" w:rsidRPr="00F44F21" w:rsidRDefault="00ED147C" w:rsidP="00F44F21">
            <w:pPr>
              <w:ind w:right="-107"/>
              <w:jc w:val="center"/>
              <w:rPr>
                <w:rFonts w:ascii="GHEA Grapalat" w:hAnsi="GHEA Grapalat" w:cs="Calibri"/>
                <w:bCs/>
                <w:color w:val="404040"/>
                <w:sz w:val="16"/>
                <w:szCs w:val="16"/>
              </w:rPr>
            </w:pPr>
            <w:r w:rsidRPr="00F44F21">
              <w:rPr>
                <w:rFonts w:ascii="GHEA Grapalat" w:hAnsi="GHEA Grapalat" w:cs="Calibri"/>
                <w:bCs/>
                <w:color w:val="404040"/>
                <w:sz w:val="16"/>
                <w:szCs w:val="16"/>
              </w:rPr>
              <w:t>4.2</w:t>
            </w:r>
          </w:p>
        </w:tc>
        <w:tc>
          <w:tcPr>
            <w:tcW w:w="550" w:type="pct"/>
            <w:shd w:val="clear" w:color="auto" w:fill="auto"/>
            <w:noWrap/>
            <w:vAlign w:val="center"/>
            <w:hideMark/>
          </w:tcPr>
          <w:p w14:paraId="4281BA19" w14:textId="77777777" w:rsidR="00ED147C" w:rsidRPr="00F44F21" w:rsidRDefault="00ED147C" w:rsidP="00F44F21">
            <w:pPr>
              <w:ind w:right="-107"/>
              <w:jc w:val="center"/>
              <w:rPr>
                <w:rFonts w:ascii="GHEA Grapalat" w:hAnsi="GHEA Grapalat" w:cs="Calibri"/>
                <w:bCs/>
                <w:color w:val="404040"/>
                <w:sz w:val="16"/>
                <w:szCs w:val="16"/>
              </w:rPr>
            </w:pPr>
            <w:r w:rsidRPr="00F44F21">
              <w:rPr>
                <w:rFonts w:ascii="GHEA Grapalat" w:hAnsi="GHEA Grapalat" w:cs="Calibri"/>
                <w:bCs/>
                <w:color w:val="404040"/>
                <w:sz w:val="16"/>
                <w:szCs w:val="16"/>
              </w:rPr>
              <w:t>21.1</w:t>
            </w:r>
          </w:p>
        </w:tc>
        <w:tc>
          <w:tcPr>
            <w:tcW w:w="551" w:type="pct"/>
            <w:shd w:val="clear" w:color="auto" w:fill="auto"/>
            <w:vAlign w:val="center"/>
            <w:hideMark/>
          </w:tcPr>
          <w:p w14:paraId="05CD2CF3" w14:textId="77777777" w:rsidR="00ED147C" w:rsidRPr="00F44F21" w:rsidRDefault="00ED147C" w:rsidP="00F44F21">
            <w:pPr>
              <w:ind w:right="-107"/>
              <w:jc w:val="center"/>
              <w:rPr>
                <w:rFonts w:ascii="GHEA Grapalat" w:hAnsi="GHEA Grapalat" w:cs="Calibri"/>
                <w:bCs/>
                <w:color w:val="404040"/>
                <w:sz w:val="16"/>
                <w:szCs w:val="16"/>
              </w:rPr>
            </w:pPr>
            <w:r w:rsidRPr="00F44F21">
              <w:rPr>
                <w:rFonts w:ascii="GHEA Grapalat" w:hAnsi="GHEA Grapalat" w:cs="Calibri"/>
                <w:bCs/>
                <w:color w:val="404040"/>
                <w:sz w:val="16"/>
                <w:szCs w:val="16"/>
              </w:rPr>
              <w:t>6.2</w:t>
            </w:r>
          </w:p>
        </w:tc>
        <w:tc>
          <w:tcPr>
            <w:tcW w:w="551" w:type="pct"/>
            <w:shd w:val="clear" w:color="auto" w:fill="auto"/>
            <w:vAlign w:val="center"/>
            <w:hideMark/>
          </w:tcPr>
          <w:p w14:paraId="2B420DEA" w14:textId="77777777" w:rsidR="00ED147C" w:rsidRPr="00F44F21" w:rsidRDefault="00ED147C" w:rsidP="00F44F21">
            <w:pPr>
              <w:ind w:right="-107"/>
              <w:jc w:val="center"/>
              <w:rPr>
                <w:rFonts w:ascii="GHEA Grapalat" w:hAnsi="GHEA Grapalat" w:cs="Calibri"/>
                <w:bCs/>
                <w:color w:val="404040"/>
                <w:sz w:val="16"/>
                <w:szCs w:val="16"/>
              </w:rPr>
            </w:pPr>
            <w:r w:rsidRPr="00F44F21">
              <w:rPr>
                <w:rFonts w:ascii="GHEA Grapalat" w:hAnsi="GHEA Grapalat" w:cs="Calibri"/>
                <w:bCs/>
                <w:color w:val="404040"/>
                <w:sz w:val="16"/>
                <w:szCs w:val="16"/>
              </w:rPr>
              <w:t>0.9</w:t>
            </w:r>
          </w:p>
        </w:tc>
        <w:tc>
          <w:tcPr>
            <w:tcW w:w="550" w:type="pct"/>
            <w:vAlign w:val="center"/>
          </w:tcPr>
          <w:p w14:paraId="201CA739" w14:textId="77777777" w:rsidR="00ED147C" w:rsidRPr="00F44F21" w:rsidRDefault="00ED147C" w:rsidP="00F44F21">
            <w:pPr>
              <w:ind w:right="-107"/>
              <w:jc w:val="center"/>
              <w:rPr>
                <w:rFonts w:ascii="GHEA Grapalat" w:hAnsi="GHEA Grapalat" w:cs="Calibri"/>
                <w:bCs/>
                <w:color w:val="404040"/>
                <w:sz w:val="16"/>
                <w:szCs w:val="16"/>
              </w:rPr>
            </w:pPr>
            <w:r w:rsidRPr="00F44F21">
              <w:rPr>
                <w:rFonts w:ascii="GHEA Grapalat" w:hAnsi="GHEA Grapalat" w:cs="Calibri"/>
                <w:bCs/>
                <w:color w:val="404040"/>
                <w:sz w:val="16"/>
                <w:szCs w:val="16"/>
              </w:rPr>
              <w:t>-</w:t>
            </w:r>
            <w:r w:rsidRPr="00F44F21">
              <w:rPr>
                <w:rFonts w:ascii="Calibri" w:hAnsi="Calibri" w:cs="Calibri"/>
                <w:bCs/>
                <w:color w:val="404040"/>
                <w:sz w:val="16"/>
                <w:szCs w:val="16"/>
              </w:rPr>
              <w:t> </w:t>
            </w:r>
          </w:p>
        </w:tc>
        <w:tc>
          <w:tcPr>
            <w:tcW w:w="529" w:type="pct"/>
            <w:vAlign w:val="center"/>
          </w:tcPr>
          <w:p w14:paraId="0647E7B0" w14:textId="77777777" w:rsidR="00ED147C" w:rsidRPr="00F44F21" w:rsidRDefault="00ED147C" w:rsidP="00F44F21">
            <w:pPr>
              <w:ind w:right="-107"/>
              <w:jc w:val="center"/>
              <w:rPr>
                <w:rFonts w:ascii="GHEA Grapalat" w:hAnsi="GHEA Grapalat" w:cs="Calibri"/>
                <w:bCs/>
                <w:color w:val="404040"/>
                <w:sz w:val="16"/>
                <w:szCs w:val="16"/>
              </w:rPr>
            </w:pPr>
            <w:r w:rsidRPr="00F44F21">
              <w:rPr>
                <w:rFonts w:ascii="GHEA Grapalat" w:hAnsi="GHEA Grapalat" w:cs="Calibri"/>
                <w:bCs/>
                <w:color w:val="404040"/>
                <w:sz w:val="16"/>
                <w:szCs w:val="16"/>
              </w:rPr>
              <w:t>-</w:t>
            </w:r>
            <w:r w:rsidRPr="00F44F21">
              <w:rPr>
                <w:rFonts w:ascii="Calibri" w:hAnsi="Calibri" w:cs="Calibri"/>
                <w:bCs/>
                <w:color w:val="404040"/>
                <w:sz w:val="16"/>
                <w:szCs w:val="16"/>
              </w:rPr>
              <w:t> </w:t>
            </w:r>
          </w:p>
        </w:tc>
      </w:tr>
      <w:tr w:rsidR="00F30F1F" w:rsidRPr="0018378A" w14:paraId="2F5E97FE" w14:textId="77777777" w:rsidTr="00F21CB1">
        <w:trPr>
          <w:trHeight w:val="365"/>
          <w:jc w:val="center"/>
        </w:trPr>
        <w:tc>
          <w:tcPr>
            <w:tcW w:w="1167" w:type="pct"/>
            <w:shd w:val="clear" w:color="auto" w:fill="auto"/>
            <w:vAlign w:val="center"/>
            <w:hideMark/>
          </w:tcPr>
          <w:p w14:paraId="23030FF7" w14:textId="77777777" w:rsidR="00F30F1F" w:rsidRPr="0018378A" w:rsidRDefault="00F30F1F" w:rsidP="00F30F1F">
            <w:pPr>
              <w:tabs>
                <w:tab w:val="left" w:pos="4380"/>
              </w:tabs>
              <w:ind w:right="357"/>
              <w:jc w:val="both"/>
              <w:rPr>
                <w:sz w:val="16"/>
                <w:szCs w:val="16"/>
              </w:rPr>
            </w:pPr>
            <w:r w:rsidRPr="0018378A">
              <w:rPr>
                <w:sz w:val="16"/>
                <w:szCs w:val="16"/>
              </w:rPr>
              <w:t>Այլ նպատակային դրամաշնորհներ</w:t>
            </w:r>
          </w:p>
        </w:tc>
        <w:tc>
          <w:tcPr>
            <w:tcW w:w="551" w:type="pct"/>
            <w:shd w:val="clear" w:color="auto" w:fill="auto"/>
            <w:noWrap/>
            <w:vAlign w:val="center"/>
            <w:hideMark/>
          </w:tcPr>
          <w:p w14:paraId="47883D76" w14:textId="77777777" w:rsidR="00F30F1F" w:rsidRPr="00F44F21" w:rsidRDefault="00F30F1F" w:rsidP="00F30F1F">
            <w:pPr>
              <w:ind w:right="-107"/>
              <w:jc w:val="center"/>
              <w:rPr>
                <w:rFonts w:ascii="GHEA Grapalat" w:hAnsi="GHEA Grapalat" w:cs="Calibri"/>
                <w:bCs/>
                <w:color w:val="404040"/>
                <w:sz w:val="16"/>
                <w:szCs w:val="16"/>
              </w:rPr>
            </w:pPr>
            <w:r w:rsidRPr="00F44F21">
              <w:rPr>
                <w:rFonts w:ascii="GHEA Grapalat" w:hAnsi="GHEA Grapalat" w:cs="Calibri"/>
                <w:bCs/>
                <w:color w:val="404040"/>
                <w:sz w:val="16"/>
                <w:szCs w:val="16"/>
              </w:rPr>
              <w:t>8.8</w:t>
            </w:r>
          </w:p>
        </w:tc>
        <w:tc>
          <w:tcPr>
            <w:tcW w:w="551" w:type="pct"/>
            <w:shd w:val="clear" w:color="auto" w:fill="auto"/>
            <w:noWrap/>
            <w:vAlign w:val="center"/>
            <w:hideMark/>
          </w:tcPr>
          <w:p w14:paraId="50AAC3B0" w14:textId="77777777" w:rsidR="00F30F1F" w:rsidRPr="00F44F21" w:rsidRDefault="00F30F1F" w:rsidP="00F30F1F">
            <w:pPr>
              <w:ind w:right="-107"/>
              <w:jc w:val="center"/>
              <w:rPr>
                <w:rFonts w:ascii="GHEA Grapalat" w:hAnsi="GHEA Grapalat" w:cs="Calibri"/>
                <w:bCs/>
                <w:color w:val="404040"/>
                <w:sz w:val="16"/>
                <w:szCs w:val="16"/>
              </w:rPr>
            </w:pPr>
            <w:r w:rsidRPr="00F44F21">
              <w:rPr>
                <w:rFonts w:ascii="GHEA Grapalat" w:hAnsi="GHEA Grapalat" w:cs="Calibri"/>
                <w:bCs/>
                <w:color w:val="404040"/>
                <w:sz w:val="16"/>
                <w:szCs w:val="16"/>
              </w:rPr>
              <w:t>8.9</w:t>
            </w:r>
          </w:p>
        </w:tc>
        <w:tc>
          <w:tcPr>
            <w:tcW w:w="550" w:type="pct"/>
            <w:shd w:val="clear" w:color="auto" w:fill="auto"/>
            <w:noWrap/>
            <w:vAlign w:val="center"/>
            <w:hideMark/>
          </w:tcPr>
          <w:p w14:paraId="42221F63" w14:textId="77777777" w:rsidR="00F30F1F" w:rsidRPr="00F44F21" w:rsidRDefault="00F30F1F" w:rsidP="00F30F1F">
            <w:pPr>
              <w:ind w:right="-107"/>
              <w:jc w:val="center"/>
              <w:rPr>
                <w:rFonts w:ascii="GHEA Grapalat" w:hAnsi="GHEA Grapalat" w:cs="Calibri"/>
                <w:bCs/>
                <w:color w:val="404040"/>
                <w:sz w:val="16"/>
                <w:szCs w:val="16"/>
              </w:rPr>
            </w:pPr>
            <w:r w:rsidRPr="00F44F21">
              <w:rPr>
                <w:rFonts w:ascii="GHEA Grapalat" w:hAnsi="GHEA Grapalat" w:cs="Calibri"/>
                <w:bCs/>
                <w:color w:val="404040"/>
                <w:sz w:val="16"/>
                <w:szCs w:val="16"/>
              </w:rPr>
              <w:t>5.6</w:t>
            </w:r>
          </w:p>
        </w:tc>
        <w:tc>
          <w:tcPr>
            <w:tcW w:w="551" w:type="pct"/>
            <w:shd w:val="clear" w:color="auto" w:fill="auto"/>
            <w:vAlign w:val="center"/>
            <w:hideMark/>
          </w:tcPr>
          <w:p w14:paraId="321AFABF" w14:textId="77777777" w:rsidR="00F30F1F" w:rsidRPr="00F44F21" w:rsidRDefault="00F30F1F" w:rsidP="00F30F1F">
            <w:pPr>
              <w:ind w:right="-107"/>
              <w:jc w:val="center"/>
              <w:rPr>
                <w:rFonts w:ascii="GHEA Grapalat" w:hAnsi="GHEA Grapalat" w:cs="Calibri"/>
                <w:bCs/>
                <w:color w:val="404040"/>
                <w:sz w:val="16"/>
                <w:szCs w:val="16"/>
              </w:rPr>
            </w:pPr>
            <w:r w:rsidRPr="00F44F21">
              <w:rPr>
                <w:rFonts w:ascii="GHEA Grapalat" w:hAnsi="GHEA Grapalat" w:cs="Calibri"/>
                <w:bCs/>
                <w:color w:val="404040"/>
                <w:sz w:val="16"/>
                <w:szCs w:val="16"/>
              </w:rPr>
              <w:t>14.5</w:t>
            </w:r>
          </w:p>
        </w:tc>
        <w:tc>
          <w:tcPr>
            <w:tcW w:w="551" w:type="pct"/>
            <w:shd w:val="clear" w:color="auto" w:fill="auto"/>
            <w:vAlign w:val="center"/>
            <w:hideMark/>
          </w:tcPr>
          <w:p w14:paraId="50124CCC" w14:textId="0C7ED740" w:rsidR="00F30F1F" w:rsidRPr="00F44F21" w:rsidRDefault="00F30F1F" w:rsidP="00F30F1F">
            <w:pPr>
              <w:ind w:right="-107"/>
              <w:jc w:val="center"/>
              <w:rPr>
                <w:rFonts w:ascii="GHEA Grapalat" w:hAnsi="GHEA Grapalat" w:cs="Calibri"/>
                <w:bCs/>
                <w:color w:val="404040"/>
                <w:sz w:val="16"/>
                <w:szCs w:val="16"/>
              </w:rPr>
            </w:pPr>
            <w:r w:rsidRPr="00F30F1F">
              <w:rPr>
                <w:rFonts w:ascii="GHEA Grapalat" w:hAnsi="GHEA Grapalat" w:cs="Calibri"/>
                <w:bCs/>
                <w:color w:val="404040"/>
                <w:sz w:val="16"/>
                <w:szCs w:val="16"/>
              </w:rPr>
              <w:t xml:space="preserve">18.9 </w:t>
            </w:r>
          </w:p>
        </w:tc>
        <w:tc>
          <w:tcPr>
            <w:tcW w:w="550" w:type="pct"/>
            <w:vAlign w:val="center"/>
          </w:tcPr>
          <w:p w14:paraId="69191F06" w14:textId="2186401A" w:rsidR="00F30F1F" w:rsidRPr="00F44F21" w:rsidRDefault="00F30F1F" w:rsidP="00F30F1F">
            <w:pPr>
              <w:ind w:right="-107"/>
              <w:jc w:val="center"/>
              <w:rPr>
                <w:rFonts w:ascii="GHEA Grapalat" w:hAnsi="GHEA Grapalat" w:cs="Calibri"/>
                <w:bCs/>
                <w:color w:val="404040"/>
                <w:sz w:val="16"/>
                <w:szCs w:val="16"/>
              </w:rPr>
            </w:pPr>
            <w:r w:rsidRPr="00F30F1F">
              <w:rPr>
                <w:rFonts w:ascii="GHEA Grapalat" w:hAnsi="GHEA Grapalat" w:cs="Calibri"/>
                <w:bCs/>
                <w:color w:val="404040"/>
                <w:sz w:val="16"/>
                <w:szCs w:val="16"/>
              </w:rPr>
              <w:t xml:space="preserve">7.3 </w:t>
            </w:r>
          </w:p>
        </w:tc>
        <w:tc>
          <w:tcPr>
            <w:tcW w:w="529" w:type="pct"/>
            <w:vAlign w:val="center"/>
          </w:tcPr>
          <w:p w14:paraId="03C81F1F" w14:textId="1A12FD82" w:rsidR="00F30F1F" w:rsidRPr="00F44F21" w:rsidRDefault="00F30F1F" w:rsidP="00F30F1F">
            <w:pPr>
              <w:ind w:right="-107"/>
              <w:jc w:val="center"/>
              <w:rPr>
                <w:rFonts w:ascii="GHEA Grapalat" w:hAnsi="GHEA Grapalat" w:cs="Calibri"/>
                <w:bCs/>
                <w:color w:val="404040"/>
                <w:sz w:val="16"/>
                <w:szCs w:val="16"/>
              </w:rPr>
            </w:pPr>
            <w:r w:rsidRPr="00F30F1F">
              <w:rPr>
                <w:rFonts w:ascii="GHEA Grapalat" w:hAnsi="GHEA Grapalat" w:cs="Calibri"/>
                <w:bCs/>
                <w:color w:val="404040"/>
                <w:sz w:val="16"/>
                <w:szCs w:val="16"/>
              </w:rPr>
              <w:t xml:space="preserve">3.7 </w:t>
            </w:r>
          </w:p>
        </w:tc>
      </w:tr>
    </w:tbl>
    <w:p w14:paraId="5AF9B9CC" w14:textId="77777777" w:rsidR="00ED147C" w:rsidRPr="00C3014C" w:rsidRDefault="00ED147C" w:rsidP="00ED147C">
      <w:pPr>
        <w:ind w:right="357"/>
        <w:jc w:val="both"/>
        <w:rPr>
          <w:lang w:val="hy-AM" w:eastAsia="ru-RU"/>
        </w:rPr>
      </w:pPr>
    </w:p>
    <w:p w14:paraId="3959AEBC" w14:textId="77777777" w:rsidR="00ED147C" w:rsidRPr="00AC1502" w:rsidRDefault="00ED147C" w:rsidP="00ED147C">
      <w:pPr>
        <w:pStyle w:val="BodyText1"/>
        <w:ind w:left="0" w:right="357"/>
        <w:rPr>
          <w:lang w:val="hy-AM"/>
        </w:rPr>
      </w:pPr>
      <w:r w:rsidRPr="00AC1502">
        <w:rPr>
          <w:lang w:val="hy-AM"/>
        </w:rPr>
        <w:t>2026 թվականին Եվրոպական հարևանության ՀՀ-ԵՄ գործո</w:t>
      </w:r>
      <w:r w:rsidRPr="00AC1502">
        <w:rPr>
          <w:lang w:val="hy-AM"/>
        </w:rPr>
        <w:softHyphen/>
        <w:t>ղություն</w:t>
      </w:r>
      <w:r w:rsidRPr="00AC1502">
        <w:rPr>
          <w:lang w:val="hy-AM"/>
        </w:rPr>
        <w:softHyphen/>
        <w:t>ների ծրագրի շրջանակներում նախատեսվում է դրամաշնորհների ստացում «Հայաստանում ԵՄ աջակցություն կրթությանը» ծրագրի շրջանակում՝ 2 մլն եվրո կամ 0.9 մլրդ դրամ:</w:t>
      </w:r>
    </w:p>
    <w:p w14:paraId="40914427" w14:textId="1C9DB01A" w:rsidR="00ED147C" w:rsidRPr="00A03CA9" w:rsidRDefault="00ED147C" w:rsidP="00ED147C">
      <w:pPr>
        <w:pStyle w:val="BodyText1"/>
        <w:ind w:left="0" w:right="357"/>
        <w:rPr>
          <w:lang w:val="hy-AM"/>
        </w:rPr>
      </w:pPr>
      <w:r w:rsidRPr="001B6E27">
        <w:rPr>
          <w:lang w:val="hy-AM"/>
        </w:rPr>
        <w:t>Նպատակային օժանդակություն պաշտոնական դրամաշնորհային (կապակցված դրամաշնորհներ) ծրագրերից 2026 թվականին նախատեսվում է ստանալ</w:t>
      </w:r>
      <w:r w:rsidR="009C645D" w:rsidRPr="001B6E27">
        <w:rPr>
          <w:lang w:val="hy-AM"/>
        </w:rPr>
        <w:t xml:space="preserve"> 49</w:t>
      </w:r>
      <w:r w:rsidRPr="001B6E27">
        <w:rPr>
          <w:lang w:val="hy-AM"/>
        </w:rPr>
        <w:t>.</w:t>
      </w:r>
      <w:r w:rsidR="009C645D" w:rsidRPr="001B6E27">
        <w:rPr>
          <w:lang w:val="hy-AM"/>
        </w:rPr>
        <w:t>3</w:t>
      </w:r>
      <w:r w:rsidRPr="001B6E27">
        <w:rPr>
          <w:lang w:val="hy-AM"/>
        </w:rPr>
        <w:t xml:space="preserve"> մլն ԱՄՆ դոլար կամ</w:t>
      </w:r>
      <w:r w:rsidR="001B6E27" w:rsidRPr="001B6E27">
        <w:rPr>
          <w:lang w:val="hy-AM"/>
        </w:rPr>
        <w:t xml:space="preserve"> 18</w:t>
      </w:r>
      <w:r w:rsidRPr="001B6E27">
        <w:rPr>
          <w:lang w:val="hy-AM"/>
        </w:rPr>
        <w:t>.</w:t>
      </w:r>
      <w:r w:rsidR="001B6E27" w:rsidRPr="001B6E27">
        <w:rPr>
          <w:lang w:val="hy-AM"/>
        </w:rPr>
        <w:t>9</w:t>
      </w:r>
      <w:r w:rsidRPr="001B6E27">
        <w:rPr>
          <w:lang w:val="hy-AM"/>
        </w:rPr>
        <w:t xml:space="preserve"> մլրդ դրամ, 2027 թվականին</w:t>
      </w:r>
      <w:r w:rsidR="001B6E27" w:rsidRPr="001B6E27">
        <w:rPr>
          <w:lang w:val="hy-AM"/>
        </w:rPr>
        <w:t xml:space="preserve"> 19</w:t>
      </w:r>
      <w:r w:rsidRPr="001B6E27">
        <w:rPr>
          <w:lang w:val="hy-AM"/>
        </w:rPr>
        <w:t>.0 մլն ԱՄՆ դոլար կամ</w:t>
      </w:r>
      <w:r w:rsidR="001B6E27" w:rsidRPr="001B6E27">
        <w:rPr>
          <w:lang w:val="hy-AM"/>
        </w:rPr>
        <w:t xml:space="preserve"> 7.3</w:t>
      </w:r>
      <w:r w:rsidRPr="001B6E27">
        <w:rPr>
          <w:lang w:val="hy-AM"/>
        </w:rPr>
        <w:t xml:space="preserve"> մլրդ դրամ, իսկ 2028 թվականին</w:t>
      </w:r>
      <w:r w:rsidR="001B6E27" w:rsidRPr="001B6E27">
        <w:rPr>
          <w:lang w:val="hy-AM"/>
        </w:rPr>
        <w:t xml:space="preserve"> 9</w:t>
      </w:r>
      <w:r w:rsidRPr="001B6E27">
        <w:rPr>
          <w:lang w:val="hy-AM"/>
        </w:rPr>
        <w:t>.</w:t>
      </w:r>
      <w:r w:rsidR="001B6E27" w:rsidRPr="001B6E27">
        <w:rPr>
          <w:lang w:val="hy-AM"/>
        </w:rPr>
        <w:t>7</w:t>
      </w:r>
      <w:r w:rsidRPr="001B6E27">
        <w:rPr>
          <w:lang w:val="hy-AM"/>
        </w:rPr>
        <w:t xml:space="preserve"> մլն ԱՄՆ դոլար կամ </w:t>
      </w:r>
      <w:r w:rsidR="001B6E27" w:rsidRPr="001B6E27">
        <w:rPr>
          <w:lang w:val="hy-AM"/>
        </w:rPr>
        <w:t>3.7</w:t>
      </w:r>
      <w:r w:rsidRPr="001B6E27">
        <w:rPr>
          <w:lang w:val="hy-AM"/>
        </w:rPr>
        <w:t xml:space="preserve"> մլրդ դրամ: Նպատակային պաշտոնական դրամաշնորհային ծրագրերի գծով ՀՀ պետա</w:t>
      </w:r>
      <w:r w:rsidRPr="001B6E27">
        <w:rPr>
          <w:lang w:val="hy-AM"/>
        </w:rPr>
        <w:softHyphen/>
        <w:t>կան բյուջեի ցուցանիշների մանրամասները ներկայացված են Օրենքի N 1 հավելվածի N 5 աղյու</w:t>
      </w:r>
      <w:r w:rsidRPr="001B6E27">
        <w:rPr>
          <w:lang w:val="hy-AM"/>
        </w:rPr>
        <w:softHyphen/>
      </w:r>
      <w:r w:rsidRPr="001B6E27">
        <w:rPr>
          <w:lang w:val="hy-AM"/>
        </w:rPr>
        <w:softHyphen/>
        <w:t>սակում:</w:t>
      </w:r>
      <w:bookmarkStart w:id="380" w:name="_Toc178356585"/>
    </w:p>
    <w:p w14:paraId="1FF06E8D" w14:textId="77777777" w:rsidR="00ED147C" w:rsidRPr="001419A8" w:rsidRDefault="00ED147C" w:rsidP="00ED147C">
      <w:pPr>
        <w:pStyle w:val="BodyText1"/>
        <w:ind w:left="0" w:right="357"/>
        <w:rPr>
          <w:color w:val="A6A6A6" w:themeColor="background1" w:themeShade="A6"/>
          <w:lang w:val="hy-AM"/>
        </w:rPr>
      </w:pPr>
      <w:r w:rsidRPr="006758B1">
        <w:rPr>
          <w:color w:val="A6A6A6" w:themeColor="background1" w:themeShade="A6"/>
          <w:lang w:val="hy-AM"/>
        </w:rPr>
        <w:t>ԱՅԼ ԵԿԱՄՈՒՏՆԵՐ</w:t>
      </w:r>
      <w:bookmarkEnd w:id="375"/>
      <w:bookmarkEnd w:id="380"/>
    </w:p>
    <w:p w14:paraId="65CDDDA7" w14:textId="77777777" w:rsidR="00ED147C" w:rsidRPr="0012692A" w:rsidRDefault="00ED147C" w:rsidP="00ED147C">
      <w:pPr>
        <w:pStyle w:val="BodyText1"/>
        <w:ind w:left="0" w:right="357"/>
        <w:rPr>
          <w:lang w:val="hy-AM"/>
        </w:rPr>
      </w:pPr>
      <w:r w:rsidRPr="0012692A">
        <w:rPr>
          <w:lang w:val="hy-AM"/>
        </w:rPr>
        <w:t>Այլ եկամուտները ներառում են բանկերում և ֆինանսավարկային հաս</w:t>
      </w:r>
      <w:r w:rsidRPr="0012692A">
        <w:rPr>
          <w:lang w:val="hy-AM"/>
        </w:rPr>
        <w:softHyphen/>
        <w:t>տա</w:t>
      </w:r>
      <w:r w:rsidRPr="0012692A">
        <w:rPr>
          <w:lang w:val="hy-AM"/>
        </w:rPr>
        <w:softHyphen/>
        <w:t>տու</w:t>
      </w:r>
      <w:r w:rsidRPr="0012692A">
        <w:rPr>
          <w:lang w:val="hy-AM"/>
        </w:rPr>
        <w:softHyphen/>
        <w:t>թյուն</w:t>
      </w:r>
      <w:r w:rsidRPr="0012692A">
        <w:rPr>
          <w:lang w:val="hy-AM"/>
        </w:rPr>
        <w:softHyphen/>
        <w:t>նե</w:t>
      </w:r>
      <w:r w:rsidRPr="0012692A">
        <w:rPr>
          <w:lang w:val="hy-AM"/>
        </w:rPr>
        <w:softHyphen/>
        <w:t>րում պե</w:t>
      </w:r>
      <w:r w:rsidRPr="0012692A">
        <w:rPr>
          <w:lang w:val="hy-AM"/>
        </w:rPr>
        <w:softHyphen/>
        <w:t>տա</w:t>
      </w:r>
      <w:r w:rsidRPr="0012692A">
        <w:rPr>
          <w:lang w:val="hy-AM"/>
        </w:rPr>
        <w:softHyphen/>
        <w:t>կան բյուջեի ժամանակավոր ազատ միջոցների տեղաբաշխումից և դեպոզիտներից ստաց</w:t>
      </w:r>
      <w:r w:rsidRPr="0012692A">
        <w:rPr>
          <w:lang w:val="hy-AM"/>
        </w:rPr>
        <w:softHyphen/>
      </w:r>
      <w:r w:rsidRPr="0012692A">
        <w:rPr>
          <w:lang w:val="hy-AM"/>
        </w:rPr>
        <w:softHyphen/>
        <w:t>վող տո</w:t>
      </w:r>
      <w:r w:rsidRPr="0012692A">
        <w:rPr>
          <w:lang w:val="hy-AM"/>
        </w:rPr>
        <w:softHyphen/>
        <w:t>կո</w:t>
      </w:r>
      <w:r w:rsidRPr="0012692A">
        <w:rPr>
          <w:lang w:val="hy-AM"/>
        </w:rPr>
        <w:softHyphen/>
        <w:t>սա</w:t>
      </w:r>
      <w:r w:rsidRPr="0012692A">
        <w:rPr>
          <w:lang w:val="hy-AM"/>
        </w:rPr>
        <w:softHyphen/>
        <w:t>վճար</w:t>
      </w:r>
      <w:r w:rsidRPr="0012692A">
        <w:rPr>
          <w:lang w:val="hy-AM"/>
        </w:rPr>
        <w:softHyphen/>
        <w:t>ները, իրավաբանական անձանց կապիտալում կատարված ներդրում</w:t>
      </w:r>
      <w:r w:rsidRPr="0012692A">
        <w:rPr>
          <w:lang w:val="hy-AM"/>
        </w:rPr>
        <w:softHyphen/>
        <w:t>ներից ստաց</w:t>
      </w:r>
      <w:r w:rsidRPr="0012692A">
        <w:rPr>
          <w:lang w:val="hy-AM"/>
        </w:rPr>
        <w:softHyphen/>
      </w:r>
      <w:r w:rsidRPr="0012692A">
        <w:rPr>
          <w:lang w:val="hy-AM"/>
        </w:rPr>
        <w:softHyphen/>
        <w:t>վող շահաբաժինները, պե</w:t>
      </w:r>
      <w:r w:rsidRPr="0012692A">
        <w:rPr>
          <w:lang w:val="hy-AM"/>
        </w:rPr>
        <w:softHyphen/>
        <w:t>տա</w:t>
      </w:r>
      <w:r w:rsidRPr="0012692A">
        <w:rPr>
          <w:lang w:val="hy-AM"/>
        </w:rPr>
        <w:softHyphen/>
        <w:t>կան ձեռնարկությունների գույքի օգտագործման վճար</w:t>
      </w:r>
      <w:r w:rsidRPr="0012692A">
        <w:rPr>
          <w:lang w:val="hy-AM"/>
        </w:rPr>
        <w:softHyphen/>
        <w:t>ները, պետության կողմից տրված վարկերի օգտագործ</w:t>
      </w:r>
      <w:r w:rsidRPr="0012692A">
        <w:rPr>
          <w:lang w:val="hy-AM"/>
        </w:rPr>
        <w:softHyphen/>
        <w:t>ման դի</w:t>
      </w:r>
      <w:r w:rsidRPr="0012692A">
        <w:rPr>
          <w:lang w:val="hy-AM"/>
        </w:rPr>
        <w:softHyphen/>
        <w:t>մաց վճարները (տոկոսավճար</w:t>
      </w:r>
      <w:r w:rsidRPr="0012692A">
        <w:rPr>
          <w:lang w:val="hy-AM"/>
        </w:rPr>
        <w:softHyphen/>
        <w:t>ները), իրա</w:t>
      </w:r>
      <w:r w:rsidRPr="0012692A">
        <w:rPr>
          <w:lang w:val="hy-AM"/>
        </w:rPr>
        <w:softHyphen/>
        <w:t>վա</w:t>
      </w:r>
      <w:r w:rsidRPr="0012692A">
        <w:rPr>
          <w:lang w:val="hy-AM"/>
        </w:rPr>
        <w:softHyphen/>
        <w:t>խախտումների համար գոր</w:t>
      </w:r>
      <w:r w:rsidRPr="0012692A">
        <w:rPr>
          <w:lang w:val="hy-AM"/>
        </w:rPr>
        <w:softHyphen/>
        <w:t>ծա</w:t>
      </w:r>
      <w:r w:rsidRPr="0012692A">
        <w:rPr>
          <w:lang w:val="hy-AM"/>
        </w:rPr>
        <w:softHyphen/>
        <w:t>դիր և դատական մար</w:t>
      </w:r>
      <w:r w:rsidRPr="0012692A">
        <w:rPr>
          <w:lang w:val="hy-AM"/>
        </w:rPr>
        <w:softHyphen/>
      </w:r>
      <w:r w:rsidRPr="0012692A">
        <w:rPr>
          <w:lang w:val="hy-AM"/>
        </w:rPr>
        <w:softHyphen/>
        <w:t>մին</w:t>
      </w:r>
      <w:r w:rsidRPr="0012692A">
        <w:rPr>
          <w:lang w:val="hy-AM"/>
        </w:rPr>
        <w:softHyphen/>
        <w:t>նե</w:t>
      </w:r>
      <w:r w:rsidRPr="0012692A">
        <w:rPr>
          <w:lang w:val="hy-AM"/>
        </w:rPr>
        <w:softHyphen/>
        <w:t>րի կողմից կիրառվող պատժամի</w:t>
      </w:r>
      <w:r w:rsidRPr="0012692A">
        <w:rPr>
          <w:lang w:val="hy-AM"/>
        </w:rPr>
        <w:softHyphen/>
        <w:t>ջոցներից ստացվող մուտքերը, պետական մարմինների կողմից ապրանքների մա</w:t>
      </w:r>
      <w:r w:rsidRPr="0012692A">
        <w:rPr>
          <w:lang w:val="hy-AM"/>
        </w:rPr>
        <w:softHyphen/>
        <w:t>տա</w:t>
      </w:r>
      <w:r w:rsidRPr="0012692A">
        <w:rPr>
          <w:lang w:val="hy-AM"/>
        </w:rPr>
        <w:softHyphen/>
        <w:t>կա</w:t>
      </w:r>
      <w:r w:rsidRPr="0012692A">
        <w:rPr>
          <w:lang w:val="hy-AM"/>
        </w:rPr>
        <w:softHyphen/>
        <w:t>րա</w:t>
      </w:r>
      <w:r w:rsidRPr="0012692A">
        <w:rPr>
          <w:lang w:val="hy-AM"/>
        </w:rPr>
        <w:softHyphen/>
        <w:t>րումից և ծառայությունների մատուցումից մուտքերը և այլ եկա</w:t>
      </w:r>
      <w:r w:rsidRPr="0012692A">
        <w:rPr>
          <w:lang w:val="hy-AM"/>
        </w:rPr>
        <w:softHyphen/>
        <w:t>մուտ</w:t>
      </w:r>
      <w:r w:rsidRPr="0012692A">
        <w:rPr>
          <w:lang w:val="hy-AM"/>
        </w:rPr>
        <w:softHyphen/>
        <w:t>ները:</w:t>
      </w:r>
    </w:p>
    <w:p w14:paraId="25BD45FB" w14:textId="5686B8BD" w:rsidR="00ED147C" w:rsidRPr="0012692A" w:rsidRDefault="00ED147C" w:rsidP="00ED147C">
      <w:pPr>
        <w:pStyle w:val="BodyText1"/>
        <w:ind w:left="0" w:right="357"/>
        <w:rPr>
          <w:lang w:val="hy-AM"/>
        </w:rPr>
      </w:pPr>
      <w:r w:rsidRPr="0012692A">
        <w:rPr>
          <w:lang w:val="hy-AM"/>
        </w:rPr>
        <w:t>Այլ եկամուտների գծով մուտքերը 202</w:t>
      </w:r>
      <w:r>
        <w:rPr>
          <w:lang w:val="hy-AM"/>
        </w:rPr>
        <w:t>6</w:t>
      </w:r>
      <w:r w:rsidRPr="0012692A">
        <w:rPr>
          <w:lang w:val="hy-AM"/>
        </w:rPr>
        <w:t xml:space="preserve"> թվականի համար ծրագրվել են 9</w:t>
      </w:r>
      <w:r w:rsidR="00DE4734">
        <w:rPr>
          <w:lang w:val="hy-AM"/>
        </w:rPr>
        <w:t>8.3</w:t>
      </w:r>
      <w:r w:rsidRPr="0012692A">
        <w:rPr>
          <w:lang w:val="hy-AM"/>
        </w:rPr>
        <w:t xml:space="preserve"> մլրդ </w:t>
      </w:r>
      <w:r>
        <w:rPr>
          <w:lang w:val="hy-AM"/>
        </w:rPr>
        <w:t>դրամ</w:t>
      </w:r>
      <w:r w:rsidRPr="0012692A">
        <w:rPr>
          <w:lang w:val="hy-AM"/>
        </w:rPr>
        <w:t>,</w:t>
      </w:r>
      <w:r w:rsidRPr="00BF1D97">
        <w:rPr>
          <w:lang w:val="hy-AM"/>
        </w:rPr>
        <w:t xml:space="preserve"> 2027 </w:t>
      </w:r>
      <w:r>
        <w:rPr>
          <w:lang w:val="hy-AM"/>
        </w:rPr>
        <w:t>թվականին</w:t>
      </w:r>
      <w:r w:rsidR="00DE4734">
        <w:rPr>
          <w:lang w:val="hy-AM"/>
        </w:rPr>
        <w:t xml:space="preserve"> 100</w:t>
      </w:r>
      <w:r w:rsidRPr="00BF1D97">
        <w:rPr>
          <w:lang w:val="hy-AM"/>
        </w:rPr>
        <w:t>.</w:t>
      </w:r>
      <w:r w:rsidR="00DE4734">
        <w:rPr>
          <w:lang w:val="hy-AM"/>
        </w:rPr>
        <w:t>4</w:t>
      </w:r>
      <w:r>
        <w:rPr>
          <w:lang w:val="hy-AM"/>
        </w:rPr>
        <w:t xml:space="preserve"> մլրդ դրամ, իսկ 2028 թվականին 100</w:t>
      </w:r>
      <w:r w:rsidR="00DE4734">
        <w:rPr>
          <w:lang w:val="hy-AM"/>
        </w:rPr>
        <w:t>.6</w:t>
      </w:r>
      <w:r>
        <w:rPr>
          <w:lang w:val="hy-AM"/>
        </w:rPr>
        <w:t xml:space="preserve"> մլրդ դրամ՝</w:t>
      </w:r>
      <w:r w:rsidRPr="0012692A">
        <w:rPr>
          <w:lang w:val="hy-AM"/>
        </w:rPr>
        <w:t xml:space="preserve"> հաշվի առնելով գանձման համար պատաս</w:t>
      </w:r>
      <w:r w:rsidRPr="0012692A">
        <w:rPr>
          <w:lang w:val="hy-AM"/>
        </w:rPr>
        <w:softHyphen/>
        <w:t>խա</w:t>
      </w:r>
      <w:r w:rsidRPr="0012692A">
        <w:rPr>
          <w:lang w:val="hy-AM"/>
        </w:rPr>
        <w:softHyphen/>
        <w:t>նա</w:t>
      </w:r>
      <w:r w:rsidRPr="0012692A">
        <w:rPr>
          <w:lang w:val="hy-AM"/>
        </w:rPr>
        <w:softHyphen/>
        <w:t>տու պետական կա</w:t>
      </w:r>
      <w:r w:rsidRPr="0012692A">
        <w:rPr>
          <w:lang w:val="hy-AM"/>
        </w:rPr>
        <w:softHyphen/>
        <w:t>ռավարման մարմինների կողմից ՀՀ 202</w:t>
      </w:r>
      <w:r>
        <w:rPr>
          <w:lang w:val="hy-AM"/>
        </w:rPr>
        <w:t>6</w:t>
      </w:r>
      <w:r w:rsidRPr="0012692A">
        <w:rPr>
          <w:lang w:val="hy-AM"/>
        </w:rPr>
        <w:t xml:space="preserve"> թվականի բյուջետային գործ</w:t>
      </w:r>
      <w:r w:rsidRPr="0012692A">
        <w:rPr>
          <w:lang w:val="hy-AM"/>
        </w:rPr>
        <w:softHyphen/>
        <w:t>ըն</w:t>
      </w:r>
      <w:r w:rsidRPr="0012692A">
        <w:rPr>
          <w:lang w:val="hy-AM"/>
        </w:rPr>
        <w:softHyphen/>
      </w:r>
      <w:r w:rsidRPr="0012692A">
        <w:rPr>
          <w:lang w:val="hy-AM"/>
        </w:rPr>
        <w:softHyphen/>
        <w:t>թացի շրջա</w:t>
      </w:r>
      <w:r w:rsidRPr="0012692A">
        <w:rPr>
          <w:lang w:val="hy-AM"/>
        </w:rPr>
        <w:softHyphen/>
      </w:r>
      <w:r w:rsidRPr="0012692A">
        <w:rPr>
          <w:lang w:val="hy-AM"/>
        </w:rPr>
        <w:softHyphen/>
        <w:t>նակում հա</w:t>
      </w:r>
      <w:r w:rsidRPr="0012692A">
        <w:rPr>
          <w:lang w:val="hy-AM"/>
        </w:rPr>
        <w:softHyphen/>
        <w:t>մա</w:t>
      </w:r>
      <w:r w:rsidRPr="0012692A">
        <w:rPr>
          <w:lang w:val="hy-AM"/>
        </w:rPr>
        <w:softHyphen/>
        <w:t>պա</w:t>
      </w:r>
      <w:r w:rsidRPr="0012692A">
        <w:rPr>
          <w:lang w:val="hy-AM"/>
        </w:rPr>
        <w:softHyphen/>
        <w:t>տաս</w:t>
      </w:r>
      <w:r w:rsidRPr="0012692A">
        <w:rPr>
          <w:lang w:val="hy-AM"/>
        </w:rPr>
        <w:softHyphen/>
        <w:t>խան հայտերով ներկայացված կանխատեսումները, կատար</w:t>
      </w:r>
      <w:r w:rsidRPr="0012692A">
        <w:rPr>
          <w:lang w:val="hy-AM"/>
        </w:rPr>
        <w:softHyphen/>
        <w:t>ված օրենս</w:t>
      </w:r>
      <w:r w:rsidRPr="0012692A">
        <w:rPr>
          <w:lang w:val="hy-AM"/>
        </w:rPr>
        <w:softHyphen/>
        <w:t>դրա</w:t>
      </w:r>
      <w:r w:rsidRPr="0012692A">
        <w:rPr>
          <w:lang w:val="hy-AM"/>
        </w:rPr>
        <w:softHyphen/>
        <w:t>կան փոփոխությունները, ինչ</w:t>
      </w:r>
      <w:r w:rsidRPr="0012692A">
        <w:rPr>
          <w:lang w:val="hy-AM"/>
        </w:rPr>
        <w:softHyphen/>
        <w:t>պես նաև առանձին եկամտատեսակների գծով նա</w:t>
      </w:r>
      <w:r w:rsidRPr="0012692A">
        <w:rPr>
          <w:lang w:val="hy-AM"/>
        </w:rPr>
        <w:softHyphen/>
        <w:t>խորդ տա</w:t>
      </w:r>
      <w:r w:rsidRPr="0012692A">
        <w:rPr>
          <w:lang w:val="hy-AM"/>
        </w:rPr>
        <w:softHyphen/>
        <w:t>րի</w:t>
      </w:r>
      <w:r w:rsidRPr="0012692A">
        <w:rPr>
          <w:lang w:val="hy-AM"/>
        </w:rPr>
        <w:softHyphen/>
        <w:t>նե</w:t>
      </w:r>
      <w:r w:rsidRPr="0012692A">
        <w:rPr>
          <w:lang w:val="hy-AM"/>
        </w:rPr>
        <w:softHyphen/>
        <w:t>րին արձանագրված միտումները:</w:t>
      </w:r>
    </w:p>
    <w:p w14:paraId="693280C1" w14:textId="77777777" w:rsidR="00ED147C" w:rsidRPr="00E77731" w:rsidRDefault="00ED147C" w:rsidP="00ED147C">
      <w:pPr>
        <w:pStyle w:val="BodyText1"/>
        <w:ind w:left="0" w:right="357"/>
        <w:rPr>
          <w:lang w:val="af-ZA"/>
        </w:rPr>
      </w:pPr>
      <w:r w:rsidRPr="0012692A">
        <w:rPr>
          <w:lang w:val="hy-AM"/>
        </w:rPr>
        <w:t>Այլ եկամուտների գծով կանխատեսումային ցուցանիշների ընդհանուր պատկերն ըստ եկամտի հիմնական աղբյուրների հետևյալն է</w:t>
      </w:r>
      <w:r w:rsidRPr="0012692A">
        <w:rPr>
          <w:lang w:val="af-ZA"/>
        </w:rPr>
        <w:t>.</w:t>
      </w:r>
    </w:p>
    <w:p w14:paraId="51824C65" w14:textId="36EA994D" w:rsidR="00ED147C" w:rsidRPr="00C3014C" w:rsidRDefault="00ED147C" w:rsidP="00ED147C">
      <w:pPr>
        <w:pStyle w:val="a"/>
        <w:spacing w:before="120" w:line="276" w:lineRule="auto"/>
        <w:ind w:right="357"/>
        <w:jc w:val="both"/>
        <w:rPr>
          <w:lang w:eastAsia="ru-RU"/>
        </w:rPr>
      </w:pPr>
      <w:bookmarkStart w:id="381" w:name="_Toc178350618"/>
      <w:bookmarkStart w:id="382" w:name="_Toc178612143"/>
      <w:bookmarkStart w:id="383" w:name="_Toc184110769"/>
      <w:r w:rsidRPr="00C3014C">
        <w:t>Աղյուսակ</w:t>
      </w:r>
      <w:r w:rsidRPr="00E77731">
        <w:rPr>
          <w:lang w:val="af-ZA"/>
        </w:rPr>
        <w:t xml:space="preserve"> </w:t>
      </w:r>
      <w:r w:rsidRPr="00C3014C">
        <w:fldChar w:fldCharType="begin"/>
      </w:r>
      <w:r w:rsidRPr="00E77731">
        <w:rPr>
          <w:lang w:val="af-ZA"/>
        </w:rPr>
        <w:instrText xml:space="preserve"> SEQ </w:instrText>
      </w:r>
      <w:r w:rsidRPr="00C3014C">
        <w:instrText>Աղյուսակ</w:instrText>
      </w:r>
      <w:r w:rsidRPr="00E77731">
        <w:rPr>
          <w:lang w:val="af-ZA"/>
        </w:rPr>
        <w:instrText xml:space="preserve"> \* ARABIC </w:instrText>
      </w:r>
      <w:r w:rsidRPr="00C3014C">
        <w:fldChar w:fldCharType="separate"/>
      </w:r>
      <w:r w:rsidR="001848B1">
        <w:rPr>
          <w:noProof/>
          <w:lang w:val="af-ZA"/>
        </w:rPr>
        <w:t>7</w:t>
      </w:r>
      <w:r w:rsidRPr="00C3014C">
        <w:fldChar w:fldCharType="end"/>
      </w:r>
      <w:r w:rsidRPr="00E77731">
        <w:rPr>
          <w:lang w:val="af-ZA"/>
        </w:rPr>
        <w:t xml:space="preserve">. </w:t>
      </w:r>
      <w:r w:rsidRPr="00C3014C">
        <w:t>Այլ</w:t>
      </w:r>
      <w:r w:rsidRPr="00E77731">
        <w:rPr>
          <w:lang w:val="af-ZA"/>
        </w:rPr>
        <w:t xml:space="preserve"> </w:t>
      </w:r>
      <w:r w:rsidRPr="00C3014C">
        <w:t>եկամուտների</w:t>
      </w:r>
      <w:r w:rsidRPr="00E77731">
        <w:rPr>
          <w:lang w:val="af-ZA"/>
        </w:rPr>
        <w:t xml:space="preserve"> </w:t>
      </w:r>
      <w:r w:rsidRPr="00C3014C">
        <w:t>կազմում</w:t>
      </w:r>
      <w:r w:rsidRPr="00E77731">
        <w:rPr>
          <w:lang w:val="af-ZA"/>
        </w:rPr>
        <w:t xml:space="preserve"> </w:t>
      </w:r>
      <w:r w:rsidRPr="00C3014C">
        <w:t>հաշվառվող</w:t>
      </w:r>
      <w:r w:rsidRPr="00E77731">
        <w:rPr>
          <w:lang w:val="af-ZA"/>
        </w:rPr>
        <w:t xml:space="preserve"> </w:t>
      </w:r>
      <w:r w:rsidRPr="00C3014C">
        <w:t>եկամտատեսակների</w:t>
      </w:r>
      <w:r w:rsidRPr="00E77731">
        <w:rPr>
          <w:lang w:val="af-ZA"/>
        </w:rPr>
        <w:t xml:space="preserve"> </w:t>
      </w:r>
      <w:r w:rsidRPr="00C3014C">
        <w:t>գծով</w:t>
      </w:r>
      <w:r w:rsidRPr="00E77731">
        <w:rPr>
          <w:lang w:val="af-ZA"/>
        </w:rPr>
        <w:t xml:space="preserve"> </w:t>
      </w:r>
      <w:r w:rsidRPr="00C3014C">
        <w:t>ՀՀ</w:t>
      </w:r>
      <w:r>
        <w:rPr>
          <w:lang w:val="af-ZA"/>
        </w:rPr>
        <w:t xml:space="preserve"> 2022-2028</w:t>
      </w:r>
      <w:r w:rsidRPr="00C3014C">
        <w:t>թթ</w:t>
      </w:r>
      <w:r w:rsidRPr="0012692A">
        <w:rPr>
          <w:lang w:val="af-ZA"/>
        </w:rPr>
        <w:t>.</w:t>
      </w:r>
      <w:r w:rsidRPr="00E77731">
        <w:rPr>
          <w:lang w:val="af-ZA"/>
        </w:rPr>
        <w:t xml:space="preserve"> </w:t>
      </w:r>
      <w:r w:rsidRPr="00C3014C">
        <w:t>փաստացի</w:t>
      </w:r>
      <w:r w:rsidRPr="00E77731">
        <w:rPr>
          <w:lang w:val="af-ZA"/>
        </w:rPr>
        <w:t>/</w:t>
      </w:r>
      <w:r w:rsidRPr="00C3014C">
        <w:t>կանխատեսումային</w:t>
      </w:r>
      <w:r w:rsidRPr="00E77731">
        <w:rPr>
          <w:lang w:val="af-ZA"/>
        </w:rPr>
        <w:t xml:space="preserve"> </w:t>
      </w:r>
      <w:r w:rsidRPr="00C3014C">
        <w:t>ցուցանիշները</w:t>
      </w:r>
      <w:r w:rsidRPr="00E77731">
        <w:rPr>
          <w:lang w:val="af-ZA"/>
        </w:rPr>
        <w:t xml:space="preserve">, </w:t>
      </w:r>
      <w:r w:rsidRPr="00C3014C">
        <w:t>մլրդ</w:t>
      </w:r>
      <w:r w:rsidRPr="00E77731">
        <w:rPr>
          <w:lang w:val="af-ZA"/>
        </w:rPr>
        <w:t xml:space="preserve"> </w:t>
      </w:r>
      <w:r w:rsidRPr="00C3014C">
        <w:t>դրամ</w:t>
      </w:r>
      <w:bookmarkEnd w:id="381"/>
      <w:bookmarkEnd w:id="382"/>
      <w:bookmarkEnd w:id="383"/>
    </w:p>
    <w:tbl>
      <w:tblPr>
        <w:tblW w:w="5169" w:type="pct"/>
        <w:tblBorders>
          <w:top w:val="single" w:sz="8" w:space="0" w:color="E1E1E3" w:themeColor="accent3" w:themeTint="33"/>
          <w:left w:val="single" w:sz="8" w:space="0" w:color="E1E1E3" w:themeColor="accent3" w:themeTint="33"/>
          <w:bottom w:val="single" w:sz="8" w:space="0" w:color="E1E1E3" w:themeColor="accent3" w:themeTint="33"/>
          <w:right w:val="single" w:sz="8" w:space="0" w:color="E1E1E3" w:themeColor="accent3" w:themeTint="33"/>
          <w:insideH w:val="single" w:sz="8" w:space="0" w:color="E1E1E3" w:themeColor="accent3" w:themeTint="33"/>
          <w:insideV w:val="single" w:sz="8" w:space="0" w:color="E1E1E3" w:themeColor="accent3" w:themeTint="33"/>
        </w:tblBorders>
        <w:tblLook w:val="04A0" w:firstRow="1" w:lastRow="0" w:firstColumn="1" w:lastColumn="0" w:noHBand="0" w:noVBand="1"/>
      </w:tblPr>
      <w:tblGrid>
        <w:gridCol w:w="3067"/>
        <w:gridCol w:w="909"/>
        <w:gridCol w:w="1061"/>
        <w:gridCol w:w="1059"/>
        <w:gridCol w:w="1211"/>
        <w:gridCol w:w="1211"/>
        <w:gridCol w:w="1164"/>
        <w:gridCol w:w="1054"/>
      </w:tblGrid>
      <w:tr w:rsidR="00ED147C" w:rsidRPr="0018378A" w14:paraId="027A4DD0" w14:textId="77777777" w:rsidTr="00A571C9">
        <w:trPr>
          <w:trHeight w:val="300"/>
        </w:trPr>
        <w:tc>
          <w:tcPr>
            <w:tcW w:w="1428" w:type="pct"/>
            <w:vMerge w:val="restart"/>
            <w:shd w:val="clear" w:color="auto" w:fill="D5DCE4" w:themeFill="text2" w:themeFillTint="33"/>
            <w:vAlign w:val="center"/>
          </w:tcPr>
          <w:p w14:paraId="0EB9A832" w14:textId="77777777" w:rsidR="00ED147C" w:rsidRPr="0018378A" w:rsidRDefault="00ED147C" w:rsidP="00ED147C">
            <w:pPr>
              <w:ind w:right="357"/>
              <w:jc w:val="center"/>
              <w:rPr>
                <w:b/>
                <w:sz w:val="16"/>
                <w:szCs w:val="16"/>
              </w:rPr>
            </w:pPr>
            <w:r w:rsidRPr="0018378A">
              <w:rPr>
                <w:b/>
                <w:sz w:val="16"/>
                <w:szCs w:val="16"/>
              </w:rPr>
              <w:t>Այլ եկամուտներ</w:t>
            </w:r>
          </w:p>
        </w:tc>
        <w:tc>
          <w:tcPr>
            <w:tcW w:w="1410" w:type="pct"/>
            <w:gridSpan w:val="3"/>
            <w:shd w:val="clear" w:color="auto" w:fill="D5DCE4" w:themeFill="text2" w:themeFillTint="33"/>
            <w:noWrap/>
            <w:vAlign w:val="center"/>
          </w:tcPr>
          <w:p w14:paraId="0376300E" w14:textId="77777777" w:rsidR="00ED147C" w:rsidRPr="00876780" w:rsidRDefault="00ED147C" w:rsidP="00876780">
            <w:pPr>
              <w:ind w:right="-100"/>
              <w:jc w:val="center"/>
              <w:rPr>
                <w:b/>
                <w:sz w:val="16"/>
                <w:szCs w:val="16"/>
              </w:rPr>
            </w:pPr>
            <w:r w:rsidRPr="0018378A">
              <w:rPr>
                <w:b/>
                <w:sz w:val="16"/>
                <w:szCs w:val="16"/>
              </w:rPr>
              <w:t>Փաստ</w:t>
            </w:r>
          </w:p>
        </w:tc>
        <w:tc>
          <w:tcPr>
            <w:tcW w:w="564" w:type="pct"/>
            <w:shd w:val="clear" w:color="auto" w:fill="D5DCE4" w:themeFill="text2" w:themeFillTint="33"/>
            <w:noWrap/>
            <w:vAlign w:val="center"/>
          </w:tcPr>
          <w:p w14:paraId="681E2ACD" w14:textId="77777777" w:rsidR="00ED147C" w:rsidRPr="0018378A" w:rsidRDefault="00ED147C" w:rsidP="00876780">
            <w:pPr>
              <w:ind w:right="-100"/>
              <w:jc w:val="center"/>
              <w:rPr>
                <w:b/>
                <w:sz w:val="16"/>
                <w:szCs w:val="16"/>
              </w:rPr>
            </w:pPr>
            <w:r w:rsidRPr="0018378A">
              <w:rPr>
                <w:b/>
                <w:sz w:val="16"/>
                <w:szCs w:val="16"/>
              </w:rPr>
              <w:t>Բյուջե</w:t>
            </w:r>
          </w:p>
        </w:tc>
        <w:tc>
          <w:tcPr>
            <w:tcW w:w="564" w:type="pct"/>
            <w:shd w:val="clear" w:color="auto" w:fill="D5DCE4" w:themeFill="text2" w:themeFillTint="33"/>
            <w:noWrap/>
            <w:vAlign w:val="center"/>
          </w:tcPr>
          <w:p w14:paraId="685CF0A2" w14:textId="77777777" w:rsidR="00ED147C" w:rsidRPr="00876780" w:rsidRDefault="00ED147C" w:rsidP="00876780">
            <w:pPr>
              <w:ind w:right="-100"/>
              <w:jc w:val="center"/>
              <w:rPr>
                <w:b/>
                <w:sz w:val="16"/>
                <w:szCs w:val="16"/>
              </w:rPr>
            </w:pPr>
            <w:r w:rsidRPr="00876780">
              <w:rPr>
                <w:b/>
                <w:sz w:val="16"/>
                <w:szCs w:val="16"/>
              </w:rPr>
              <w:t>Ծ</w:t>
            </w:r>
            <w:r w:rsidRPr="0018378A">
              <w:rPr>
                <w:b/>
                <w:sz w:val="16"/>
                <w:szCs w:val="16"/>
              </w:rPr>
              <w:t>րագիր</w:t>
            </w:r>
          </w:p>
        </w:tc>
        <w:tc>
          <w:tcPr>
            <w:tcW w:w="542" w:type="pct"/>
            <w:shd w:val="clear" w:color="auto" w:fill="D5DCE4" w:themeFill="text2" w:themeFillTint="33"/>
            <w:vAlign w:val="center"/>
          </w:tcPr>
          <w:p w14:paraId="508861D9" w14:textId="77777777" w:rsidR="00ED147C" w:rsidRPr="00876780" w:rsidRDefault="00ED147C" w:rsidP="00876780">
            <w:pPr>
              <w:ind w:right="-100"/>
              <w:jc w:val="center"/>
              <w:rPr>
                <w:b/>
                <w:sz w:val="16"/>
                <w:szCs w:val="16"/>
              </w:rPr>
            </w:pPr>
            <w:r w:rsidRPr="00876780">
              <w:rPr>
                <w:b/>
                <w:sz w:val="16"/>
                <w:szCs w:val="16"/>
              </w:rPr>
              <w:t>Ծ</w:t>
            </w:r>
            <w:r w:rsidRPr="0018378A">
              <w:rPr>
                <w:b/>
                <w:sz w:val="16"/>
                <w:szCs w:val="16"/>
              </w:rPr>
              <w:t>րագիր</w:t>
            </w:r>
          </w:p>
        </w:tc>
        <w:tc>
          <w:tcPr>
            <w:tcW w:w="491" w:type="pct"/>
            <w:shd w:val="clear" w:color="auto" w:fill="D5DCE4" w:themeFill="text2" w:themeFillTint="33"/>
            <w:vAlign w:val="center"/>
          </w:tcPr>
          <w:p w14:paraId="1B1EAA5C" w14:textId="77777777" w:rsidR="00ED147C" w:rsidRPr="00876780" w:rsidRDefault="00ED147C" w:rsidP="00876780">
            <w:pPr>
              <w:ind w:right="-100"/>
              <w:jc w:val="center"/>
              <w:rPr>
                <w:b/>
                <w:sz w:val="16"/>
                <w:szCs w:val="16"/>
              </w:rPr>
            </w:pPr>
            <w:r w:rsidRPr="00876780">
              <w:rPr>
                <w:b/>
                <w:sz w:val="16"/>
                <w:szCs w:val="16"/>
              </w:rPr>
              <w:t>Ծ</w:t>
            </w:r>
            <w:r w:rsidRPr="0018378A">
              <w:rPr>
                <w:b/>
                <w:sz w:val="16"/>
                <w:szCs w:val="16"/>
              </w:rPr>
              <w:t>րագիր</w:t>
            </w:r>
          </w:p>
        </w:tc>
      </w:tr>
      <w:tr w:rsidR="00ED147C" w:rsidRPr="0018378A" w14:paraId="0947FD02" w14:textId="77777777" w:rsidTr="00A571C9">
        <w:trPr>
          <w:trHeight w:val="300"/>
        </w:trPr>
        <w:tc>
          <w:tcPr>
            <w:tcW w:w="1428" w:type="pct"/>
            <w:vMerge/>
            <w:shd w:val="clear" w:color="auto" w:fill="D5DCE4" w:themeFill="text2" w:themeFillTint="33"/>
            <w:vAlign w:val="center"/>
          </w:tcPr>
          <w:p w14:paraId="2907D57E" w14:textId="77777777" w:rsidR="00ED147C" w:rsidRPr="0018378A" w:rsidRDefault="00ED147C" w:rsidP="00ED147C">
            <w:pPr>
              <w:ind w:right="357"/>
              <w:jc w:val="both"/>
              <w:rPr>
                <w:sz w:val="16"/>
                <w:szCs w:val="16"/>
              </w:rPr>
            </w:pPr>
          </w:p>
        </w:tc>
        <w:tc>
          <w:tcPr>
            <w:tcW w:w="423" w:type="pct"/>
            <w:shd w:val="clear" w:color="auto" w:fill="D5DCE4" w:themeFill="text2" w:themeFillTint="33"/>
            <w:noWrap/>
            <w:vAlign w:val="center"/>
          </w:tcPr>
          <w:p w14:paraId="2C960DB5" w14:textId="77777777" w:rsidR="00ED147C" w:rsidRPr="0018378A" w:rsidRDefault="00ED147C" w:rsidP="00876780">
            <w:pPr>
              <w:ind w:right="33"/>
              <w:jc w:val="center"/>
              <w:rPr>
                <w:b/>
                <w:sz w:val="16"/>
                <w:szCs w:val="16"/>
              </w:rPr>
            </w:pPr>
            <w:r w:rsidRPr="00876780">
              <w:rPr>
                <w:b/>
                <w:sz w:val="16"/>
                <w:szCs w:val="16"/>
              </w:rPr>
              <w:t>2022</w:t>
            </w:r>
          </w:p>
        </w:tc>
        <w:tc>
          <w:tcPr>
            <w:tcW w:w="494" w:type="pct"/>
            <w:shd w:val="clear" w:color="auto" w:fill="D5DCE4" w:themeFill="text2" w:themeFillTint="33"/>
            <w:noWrap/>
            <w:vAlign w:val="center"/>
          </w:tcPr>
          <w:p w14:paraId="13989573" w14:textId="77777777" w:rsidR="00ED147C" w:rsidRPr="0018378A" w:rsidRDefault="00ED147C" w:rsidP="00876780">
            <w:pPr>
              <w:jc w:val="center"/>
              <w:rPr>
                <w:b/>
                <w:sz w:val="16"/>
                <w:szCs w:val="16"/>
              </w:rPr>
            </w:pPr>
            <w:r w:rsidRPr="00876780">
              <w:rPr>
                <w:b/>
                <w:sz w:val="16"/>
                <w:szCs w:val="16"/>
              </w:rPr>
              <w:t>2023</w:t>
            </w:r>
          </w:p>
        </w:tc>
        <w:tc>
          <w:tcPr>
            <w:tcW w:w="493" w:type="pct"/>
            <w:shd w:val="clear" w:color="auto" w:fill="D5DCE4" w:themeFill="text2" w:themeFillTint="33"/>
            <w:noWrap/>
            <w:vAlign w:val="center"/>
          </w:tcPr>
          <w:p w14:paraId="5FAA1532" w14:textId="77777777" w:rsidR="00ED147C" w:rsidRPr="0018378A" w:rsidRDefault="00ED147C" w:rsidP="00876780">
            <w:pPr>
              <w:ind w:right="-100"/>
              <w:jc w:val="center"/>
              <w:rPr>
                <w:b/>
                <w:sz w:val="16"/>
                <w:szCs w:val="16"/>
              </w:rPr>
            </w:pPr>
            <w:r w:rsidRPr="00876780">
              <w:rPr>
                <w:b/>
                <w:sz w:val="16"/>
                <w:szCs w:val="16"/>
              </w:rPr>
              <w:t>2024</w:t>
            </w:r>
          </w:p>
        </w:tc>
        <w:tc>
          <w:tcPr>
            <w:tcW w:w="564" w:type="pct"/>
            <w:shd w:val="clear" w:color="auto" w:fill="D5DCE4" w:themeFill="text2" w:themeFillTint="33"/>
            <w:noWrap/>
            <w:vAlign w:val="center"/>
          </w:tcPr>
          <w:p w14:paraId="1AFC16C1" w14:textId="77777777" w:rsidR="00ED147C" w:rsidRPr="0018378A" w:rsidRDefault="00ED147C" w:rsidP="00876780">
            <w:pPr>
              <w:ind w:right="-100"/>
              <w:jc w:val="center"/>
              <w:rPr>
                <w:b/>
                <w:sz w:val="16"/>
                <w:szCs w:val="16"/>
              </w:rPr>
            </w:pPr>
            <w:r w:rsidRPr="00876780">
              <w:rPr>
                <w:b/>
                <w:sz w:val="16"/>
                <w:szCs w:val="16"/>
              </w:rPr>
              <w:t>2025</w:t>
            </w:r>
          </w:p>
        </w:tc>
        <w:tc>
          <w:tcPr>
            <w:tcW w:w="564" w:type="pct"/>
            <w:shd w:val="clear" w:color="auto" w:fill="D5DCE4" w:themeFill="text2" w:themeFillTint="33"/>
            <w:noWrap/>
            <w:vAlign w:val="center"/>
          </w:tcPr>
          <w:p w14:paraId="540199B1" w14:textId="77777777" w:rsidR="00ED147C" w:rsidRPr="0018378A" w:rsidRDefault="00ED147C" w:rsidP="00876780">
            <w:pPr>
              <w:ind w:right="-100"/>
              <w:jc w:val="center"/>
              <w:rPr>
                <w:b/>
                <w:sz w:val="16"/>
                <w:szCs w:val="16"/>
              </w:rPr>
            </w:pPr>
            <w:r w:rsidRPr="00876780">
              <w:rPr>
                <w:b/>
                <w:sz w:val="16"/>
                <w:szCs w:val="16"/>
              </w:rPr>
              <w:t>2026</w:t>
            </w:r>
          </w:p>
        </w:tc>
        <w:tc>
          <w:tcPr>
            <w:tcW w:w="542" w:type="pct"/>
            <w:shd w:val="clear" w:color="auto" w:fill="D5DCE4" w:themeFill="text2" w:themeFillTint="33"/>
            <w:vAlign w:val="center"/>
          </w:tcPr>
          <w:p w14:paraId="5C720240" w14:textId="77777777" w:rsidR="00ED147C" w:rsidRPr="00876780" w:rsidRDefault="00ED147C" w:rsidP="00876780">
            <w:pPr>
              <w:ind w:right="-100"/>
              <w:jc w:val="center"/>
              <w:rPr>
                <w:b/>
                <w:sz w:val="16"/>
                <w:szCs w:val="16"/>
              </w:rPr>
            </w:pPr>
            <w:r w:rsidRPr="00876780">
              <w:rPr>
                <w:b/>
                <w:sz w:val="16"/>
                <w:szCs w:val="16"/>
              </w:rPr>
              <w:t>2027</w:t>
            </w:r>
          </w:p>
        </w:tc>
        <w:tc>
          <w:tcPr>
            <w:tcW w:w="491" w:type="pct"/>
            <w:shd w:val="clear" w:color="auto" w:fill="D5DCE4" w:themeFill="text2" w:themeFillTint="33"/>
            <w:vAlign w:val="center"/>
          </w:tcPr>
          <w:p w14:paraId="1CCD411F" w14:textId="77777777" w:rsidR="00ED147C" w:rsidRPr="00876780" w:rsidRDefault="00ED147C" w:rsidP="00876780">
            <w:pPr>
              <w:ind w:right="-100"/>
              <w:jc w:val="center"/>
              <w:rPr>
                <w:b/>
                <w:sz w:val="16"/>
                <w:szCs w:val="16"/>
              </w:rPr>
            </w:pPr>
            <w:r w:rsidRPr="00876780">
              <w:rPr>
                <w:b/>
                <w:sz w:val="16"/>
                <w:szCs w:val="16"/>
              </w:rPr>
              <w:t>2028</w:t>
            </w:r>
          </w:p>
        </w:tc>
      </w:tr>
      <w:tr w:rsidR="00A571C9" w:rsidRPr="0018378A" w14:paraId="7BA31404" w14:textId="77777777" w:rsidTr="00A571C9">
        <w:trPr>
          <w:trHeight w:val="300"/>
        </w:trPr>
        <w:tc>
          <w:tcPr>
            <w:tcW w:w="1428" w:type="pct"/>
            <w:shd w:val="clear" w:color="auto" w:fill="auto"/>
            <w:vAlign w:val="center"/>
            <w:hideMark/>
          </w:tcPr>
          <w:p w14:paraId="29C1F8CA" w14:textId="77777777" w:rsidR="00A571C9" w:rsidRPr="0018378A" w:rsidRDefault="00A571C9" w:rsidP="00A571C9">
            <w:pPr>
              <w:ind w:right="357"/>
              <w:jc w:val="both"/>
              <w:rPr>
                <w:sz w:val="16"/>
                <w:szCs w:val="16"/>
                <w:lang w:val="hy-AM"/>
              </w:rPr>
            </w:pPr>
            <w:r w:rsidRPr="0018378A">
              <w:rPr>
                <w:sz w:val="16"/>
                <w:szCs w:val="16"/>
              </w:rPr>
              <w:t>Ընդամենը</w:t>
            </w:r>
            <w:r w:rsidRPr="0018378A">
              <w:rPr>
                <w:sz w:val="16"/>
                <w:szCs w:val="16"/>
                <w:lang w:val="hy-AM"/>
              </w:rPr>
              <w:t>, այդ թվում՝</w:t>
            </w:r>
          </w:p>
        </w:tc>
        <w:tc>
          <w:tcPr>
            <w:tcW w:w="423" w:type="pct"/>
            <w:shd w:val="clear" w:color="auto" w:fill="auto"/>
            <w:noWrap/>
            <w:vAlign w:val="center"/>
            <w:hideMark/>
          </w:tcPr>
          <w:p w14:paraId="117226AA" w14:textId="77777777" w:rsidR="00A571C9" w:rsidRPr="0018378A" w:rsidRDefault="00A571C9" w:rsidP="00A571C9">
            <w:pPr>
              <w:jc w:val="center"/>
              <w:rPr>
                <w:sz w:val="16"/>
                <w:szCs w:val="16"/>
                <w:highlight w:val="yellow"/>
              </w:rPr>
            </w:pPr>
            <w:r w:rsidRPr="0018378A">
              <w:rPr>
                <w:rFonts w:ascii="GHEA Grapalat" w:hAnsi="GHEA Grapalat" w:cs="Calibri"/>
                <w:color w:val="404040"/>
                <w:sz w:val="16"/>
                <w:szCs w:val="16"/>
              </w:rPr>
              <w:t>122.1</w:t>
            </w:r>
          </w:p>
        </w:tc>
        <w:tc>
          <w:tcPr>
            <w:tcW w:w="494" w:type="pct"/>
            <w:shd w:val="clear" w:color="auto" w:fill="auto"/>
            <w:noWrap/>
            <w:vAlign w:val="center"/>
            <w:hideMark/>
          </w:tcPr>
          <w:p w14:paraId="634213F5" w14:textId="77777777" w:rsidR="00A571C9" w:rsidRPr="0018378A" w:rsidRDefault="00A571C9" w:rsidP="00A571C9">
            <w:pPr>
              <w:jc w:val="center"/>
              <w:rPr>
                <w:sz w:val="16"/>
                <w:szCs w:val="16"/>
                <w:highlight w:val="yellow"/>
              </w:rPr>
            </w:pPr>
            <w:r w:rsidRPr="0018378A">
              <w:rPr>
                <w:rFonts w:ascii="GHEA Grapalat" w:hAnsi="GHEA Grapalat" w:cs="Calibri"/>
                <w:color w:val="404040"/>
                <w:sz w:val="16"/>
                <w:szCs w:val="16"/>
              </w:rPr>
              <w:t>123.7</w:t>
            </w:r>
          </w:p>
        </w:tc>
        <w:tc>
          <w:tcPr>
            <w:tcW w:w="493" w:type="pct"/>
            <w:shd w:val="clear" w:color="auto" w:fill="auto"/>
            <w:noWrap/>
            <w:vAlign w:val="center"/>
            <w:hideMark/>
          </w:tcPr>
          <w:p w14:paraId="790493CA" w14:textId="77777777" w:rsidR="00A571C9" w:rsidRPr="0018378A" w:rsidRDefault="00A571C9" w:rsidP="00A571C9">
            <w:pPr>
              <w:jc w:val="center"/>
              <w:rPr>
                <w:sz w:val="16"/>
                <w:szCs w:val="16"/>
                <w:highlight w:val="yellow"/>
              </w:rPr>
            </w:pPr>
            <w:r w:rsidRPr="0018378A">
              <w:rPr>
                <w:rFonts w:ascii="GHEA Grapalat" w:hAnsi="GHEA Grapalat" w:cs="Calibri"/>
                <w:color w:val="404040"/>
                <w:sz w:val="16"/>
                <w:szCs w:val="16"/>
              </w:rPr>
              <w:t>161.6</w:t>
            </w:r>
          </w:p>
        </w:tc>
        <w:tc>
          <w:tcPr>
            <w:tcW w:w="564" w:type="pct"/>
            <w:shd w:val="clear" w:color="auto" w:fill="auto"/>
            <w:noWrap/>
            <w:vAlign w:val="center"/>
            <w:hideMark/>
          </w:tcPr>
          <w:p w14:paraId="3FA69AE7" w14:textId="77777777" w:rsidR="00A571C9" w:rsidRPr="0018378A" w:rsidRDefault="00A571C9" w:rsidP="00A571C9">
            <w:pPr>
              <w:jc w:val="center"/>
              <w:rPr>
                <w:sz w:val="16"/>
                <w:szCs w:val="16"/>
                <w:highlight w:val="yellow"/>
              </w:rPr>
            </w:pPr>
            <w:r w:rsidRPr="0018378A">
              <w:rPr>
                <w:rFonts w:ascii="GHEA Grapalat" w:hAnsi="GHEA Grapalat" w:cs="Calibri"/>
                <w:color w:val="404040"/>
                <w:sz w:val="16"/>
                <w:szCs w:val="16"/>
              </w:rPr>
              <w:t>96.6</w:t>
            </w:r>
          </w:p>
        </w:tc>
        <w:tc>
          <w:tcPr>
            <w:tcW w:w="564" w:type="pct"/>
            <w:shd w:val="clear" w:color="auto" w:fill="auto"/>
            <w:noWrap/>
            <w:vAlign w:val="center"/>
            <w:hideMark/>
          </w:tcPr>
          <w:p w14:paraId="759166C2" w14:textId="60CDAFC6" w:rsidR="00A571C9" w:rsidRPr="00A571C9" w:rsidRDefault="00A571C9" w:rsidP="00A571C9">
            <w:pPr>
              <w:jc w:val="center"/>
              <w:rPr>
                <w:rFonts w:ascii="GHEA Grapalat" w:hAnsi="GHEA Grapalat" w:cs="Calibri"/>
                <w:color w:val="404040"/>
                <w:sz w:val="16"/>
                <w:szCs w:val="16"/>
              </w:rPr>
            </w:pPr>
            <w:r w:rsidRPr="00A571C9">
              <w:rPr>
                <w:rFonts w:ascii="GHEA Grapalat" w:hAnsi="GHEA Grapalat" w:cs="Calibri"/>
                <w:color w:val="404040"/>
                <w:sz w:val="16"/>
                <w:szCs w:val="16"/>
              </w:rPr>
              <w:t>98.3</w:t>
            </w:r>
          </w:p>
        </w:tc>
        <w:tc>
          <w:tcPr>
            <w:tcW w:w="542" w:type="pct"/>
            <w:vAlign w:val="center"/>
          </w:tcPr>
          <w:p w14:paraId="66200E52" w14:textId="38D20F4C" w:rsidR="00A571C9" w:rsidRPr="0018378A" w:rsidRDefault="00A571C9" w:rsidP="00A571C9">
            <w:pPr>
              <w:jc w:val="center"/>
              <w:rPr>
                <w:rFonts w:ascii="GHEA Grapalat" w:hAnsi="GHEA Grapalat" w:cs="Calibri"/>
                <w:color w:val="404040"/>
                <w:sz w:val="16"/>
                <w:szCs w:val="16"/>
              </w:rPr>
            </w:pPr>
            <w:r w:rsidRPr="00A571C9">
              <w:rPr>
                <w:rFonts w:ascii="GHEA Grapalat" w:hAnsi="GHEA Grapalat" w:cs="Calibri"/>
                <w:color w:val="404040"/>
                <w:sz w:val="16"/>
                <w:szCs w:val="16"/>
              </w:rPr>
              <w:t>100.4</w:t>
            </w:r>
          </w:p>
        </w:tc>
        <w:tc>
          <w:tcPr>
            <w:tcW w:w="491" w:type="pct"/>
            <w:vAlign w:val="center"/>
          </w:tcPr>
          <w:p w14:paraId="76D244B7" w14:textId="6BD90187" w:rsidR="00A571C9" w:rsidRPr="0018378A" w:rsidRDefault="00A571C9" w:rsidP="00A571C9">
            <w:pPr>
              <w:jc w:val="center"/>
              <w:rPr>
                <w:rFonts w:ascii="GHEA Grapalat" w:hAnsi="GHEA Grapalat" w:cs="Calibri"/>
                <w:color w:val="404040"/>
                <w:sz w:val="16"/>
                <w:szCs w:val="16"/>
              </w:rPr>
            </w:pPr>
            <w:r w:rsidRPr="00A571C9">
              <w:rPr>
                <w:rFonts w:ascii="GHEA Grapalat" w:hAnsi="GHEA Grapalat" w:cs="Calibri"/>
                <w:color w:val="404040"/>
                <w:sz w:val="16"/>
                <w:szCs w:val="16"/>
              </w:rPr>
              <w:t>100.6</w:t>
            </w:r>
          </w:p>
        </w:tc>
      </w:tr>
      <w:tr w:rsidR="00A571C9" w:rsidRPr="0018378A" w14:paraId="19A1AE4D" w14:textId="77777777" w:rsidTr="00A571C9">
        <w:trPr>
          <w:trHeight w:val="810"/>
        </w:trPr>
        <w:tc>
          <w:tcPr>
            <w:tcW w:w="1428" w:type="pct"/>
            <w:shd w:val="clear" w:color="auto" w:fill="auto"/>
            <w:vAlign w:val="center"/>
            <w:hideMark/>
          </w:tcPr>
          <w:p w14:paraId="3A43E141" w14:textId="288EF0D8" w:rsidR="00A571C9" w:rsidRPr="0018378A" w:rsidRDefault="00A571C9" w:rsidP="00A571C9">
            <w:pPr>
              <w:ind w:right="357"/>
              <w:jc w:val="both"/>
              <w:rPr>
                <w:sz w:val="16"/>
                <w:szCs w:val="16"/>
              </w:rPr>
            </w:pPr>
            <w:r>
              <w:rPr>
                <w:sz w:val="16"/>
                <w:szCs w:val="16"/>
              </w:rPr>
              <w:t>1.</w:t>
            </w:r>
            <w:r w:rsidRPr="0018378A">
              <w:rPr>
                <w:sz w:val="16"/>
                <w:szCs w:val="16"/>
              </w:rPr>
              <w:t>Պետական սեփականություն հանդիսացող գույքի վարձակալությունից եկամուտներ</w:t>
            </w:r>
          </w:p>
        </w:tc>
        <w:tc>
          <w:tcPr>
            <w:tcW w:w="423" w:type="pct"/>
            <w:shd w:val="clear" w:color="auto" w:fill="auto"/>
            <w:noWrap/>
            <w:vAlign w:val="center"/>
            <w:hideMark/>
          </w:tcPr>
          <w:p w14:paraId="59254192" w14:textId="77777777" w:rsidR="00A571C9" w:rsidRPr="0018378A" w:rsidRDefault="00A571C9" w:rsidP="00A571C9">
            <w:pPr>
              <w:jc w:val="center"/>
              <w:rPr>
                <w:sz w:val="16"/>
                <w:szCs w:val="16"/>
                <w:highlight w:val="yellow"/>
              </w:rPr>
            </w:pPr>
            <w:r w:rsidRPr="0018378A">
              <w:rPr>
                <w:rFonts w:ascii="GHEA Grapalat" w:hAnsi="GHEA Grapalat" w:cs="Calibri"/>
                <w:color w:val="404040"/>
                <w:sz w:val="16"/>
                <w:szCs w:val="16"/>
              </w:rPr>
              <w:t>3.8</w:t>
            </w:r>
          </w:p>
        </w:tc>
        <w:tc>
          <w:tcPr>
            <w:tcW w:w="494" w:type="pct"/>
            <w:shd w:val="clear" w:color="auto" w:fill="auto"/>
            <w:noWrap/>
            <w:vAlign w:val="center"/>
            <w:hideMark/>
          </w:tcPr>
          <w:p w14:paraId="05515868" w14:textId="77777777" w:rsidR="00A571C9" w:rsidRPr="0018378A" w:rsidRDefault="00A571C9" w:rsidP="00A571C9">
            <w:pPr>
              <w:jc w:val="center"/>
              <w:rPr>
                <w:sz w:val="16"/>
                <w:szCs w:val="16"/>
                <w:highlight w:val="yellow"/>
              </w:rPr>
            </w:pPr>
            <w:r w:rsidRPr="0018378A">
              <w:rPr>
                <w:rFonts w:ascii="GHEA Grapalat" w:hAnsi="GHEA Grapalat" w:cs="Calibri"/>
                <w:color w:val="404040"/>
                <w:sz w:val="16"/>
                <w:szCs w:val="16"/>
              </w:rPr>
              <w:t>3.6</w:t>
            </w:r>
          </w:p>
        </w:tc>
        <w:tc>
          <w:tcPr>
            <w:tcW w:w="493" w:type="pct"/>
            <w:shd w:val="clear" w:color="auto" w:fill="auto"/>
            <w:noWrap/>
            <w:vAlign w:val="center"/>
            <w:hideMark/>
          </w:tcPr>
          <w:p w14:paraId="1CB94382" w14:textId="77777777" w:rsidR="00A571C9" w:rsidRPr="0018378A" w:rsidRDefault="00A571C9" w:rsidP="00A571C9">
            <w:pPr>
              <w:jc w:val="center"/>
              <w:rPr>
                <w:sz w:val="16"/>
                <w:szCs w:val="16"/>
                <w:highlight w:val="yellow"/>
              </w:rPr>
            </w:pPr>
            <w:r w:rsidRPr="0018378A">
              <w:rPr>
                <w:rFonts w:ascii="GHEA Grapalat" w:hAnsi="GHEA Grapalat" w:cs="Calibri"/>
                <w:color w:val="404040"/>
                <w:sz w:val="16"/>
                <w:szCs w:val="16"/>
              </w:rPr>
              <w:t>1.0</w:t>
            </w:r>
          </w:p>
        </w:tc>
        <w:tc>
          <w:tcPr>
            <w:tcW w:w="564" w:type="pct"/>
            <w:shd w:val="clear" w:color="auto" w:fill="auto"/>
            <w:noWrap/>
            <w:vAlign w:val="center"/>
            <w:hideMark/>
          </w:tcPr>
          <w:p w14:paraId="0A5F8EC6" w14:textId="77777777" w:rsidR="00A571C9" w:rsidRPr="0018378A" w:rsidRDefault="00A571C9" w:rsidP="00A571C9">
            <w:pPr>
              <w:jc w:val="center"/>
              <w:rPr>
                <w:sz w:val="16"/>
                <w:szCs w:val="16"/>
                <w:highlight w:val="yellow"/>
              </w:rPr>
            </w:pPr>
            <w:r w:rsidRPr="0018378A">
              <w:rPr>
                <w:rFonts w:ascii="GHEA Grapalat" w:hAnsi="GHEA Grapalat" w:cs="Calibri"/>
                <w:color w:val="404040"/>
                <w:sz w:val="16"/>
                <w:szCs w:val="16"/>
              </w:rPr>
              <w:t>5.4</w:t>
            </w:r>
          </w:p>
        </w:tc>
        <w:tc>
          <w:tcPr>
            <w:tcW w:w="564" w:type="pct"/>
            <w:shd w:val="clear" w:color="auto" w:fill="auto"/>
            <w:noWrap/>
            <w:vAlign w:val="center"/>
            <w:hideMark/>
          </w:tcPr>
          <w:p w14:paraId="0EF4EC6B" w14:textId="06CFFD39" w:rsidR="00A571C9" w:rsidRPr="00A571C9" w:rsidRDefault="00A571C9" w:rsidP="00A571C9">
            <w:pPr>
              <w:jc w:val="center"/>
              <w:rPr>
                <w:rFonts w:ascii="GHEA Grapalat" w:hAnsi="GHEA Grapalat" w:cs="Calibri"/>
                <w:color w:val="404040"/>
                <w:sz w:val="16"/>
                <w:szCs w:val="16"/>
              </w:rPr>
            </w:pPr>
            <w:r w:rsidRPr="00A571C9">
              <w:rPr>
                <w:rFonts w:ascii="GHEA Grapalat" w:hAnsi="GHEA Grapalat" w:cs="Calibri"/>
                <w:color w:val="404040"/>
                <w:sz w:val="16"/>
                <w:szCs w:val="16"/>
              </w:rPr>
              <w:t>8.0</w:t>
            </w:r>
          </w:p>
        </w:tc>
        <w:tc>
          <w:tcPr>
            <w:tcW w:w="542" w:type="pct"/>
            <w:vAlign w:val="center"/>
          </w:tcPr>
          <w:p w14:paraId="651E77F8" w14:textId="44ED7289" w:rsidR="00A571C9" w:rsidRPr="0018378A" w:rsidRDefault="00A571C9" w:rsidP="00A571C9">
            <w:pPr>
              <w:jc w:val="center"/>
              <w:rPr>
                <w:rFonts w:ascii="GHEA Grapalat" w:hAnsi="GHEA Grapalat" w:cs="Calibri"/>
                <w:color w:val="404040"/>
                <w:sz w:val="16"/>
                <w:szCs w:val="16"/>
              </w:rPr>
            </w:pPr>
            <w:r w:rsidRPr="00A571C9">
              <w:rPr>
                <w:rFonts w:ascii="GHEA Grapalat" w:hAnsi="GHEA Grapalat" w:cs="Calibri"/>
                <w:color w:val="404040"/>
                <w:sz w:val="16"/>
                <w:szCs w:val="16"/>
              </w:rPr>
              <w:t>10.9</w:t>
            </w:r>
          </w:p>
        </w:tc>
        <w:tc>
          <w:tcPr>
            <w:tcW w:w="491" w:type="pct"/>
            <w:vAlign w:val="center"/>
          </w:tcPr>
          <w:p w14:paraId="5CED60A6" w14:textId="666AD883" w:rsidR="00A571C9" w:rsidRPr="0018378A" w:rsidRDefault="00A571C9" w:rsidP="00A571C9">
            <w:pPr>
              <w:jc w:val="center"/>
              <w:rPr>
                <w:rFonts w:ascii="GHEA Grapalat" w:hAnsi="GHEA Grapalat" w:cs="Calibri"/>
                <w:color w:val="404040"/>
                <w:sz w:val="16"/>
                <w:szCs w:val="16"/>
              </w:rPr>
            </w:pPr>
            <w:r w:rsidRPr="00A571C9">
              <w:rPr>
                <w:rFonts w:ascii="GHEA Grapalat" w:hAnsi="GHEA Grapalat" w:cs="Calibri"/>
                <w:color w:val="404040"/>
                <w:sz w:val="16"/>
                <w:szCs w:val="16"/>
              </w:rPr>
              <w:t>9.5</w:t>
            </w:r>
          </w:p>
        </w:tc>
      </w:tr>
      <w:tr w:rsidR="00A571C9" w:rsidRPr="0018378A" w14:paraId="4F4BE4ED" w14:textId="77777777" w:rsidTr="00A571C9">
        <w:trPr>
          <w:trHeight w:val="540"/>
        </w:trPr>
        <w:tc>
          <w:tcPr>
            <w:tcW w:w="1428" w:type="pct"/>
            <w:shd w:val="clear" w:color="auto" w:fill="auto"/>
            <w:vAlign w:val="center"/>
            <w:hideMark/>
          </w:tcPr>
          <w:p w14:paraId="6AA88C53" w14:textId="6091ABFC" w:rsidR="00A571C9" w:rsidRPr="0018378A" w:rsidRDefault="00A571C9" w:rsidP="00A571C9">
            <w:pPr>
              <w:ind w:right="357"/>
              <w:jc w:val="both"/>
              <w:rPr>
                <w:sz w:val="16"/>
                <w:szCs w:val="16"/>
              </w:rPr>
            </w:pPr>
            <w:r>
              <w:rPr>
                <w:sz w:val="16"/>
                <w:szCs w:val="16"/>
              </w:rPr>
              <w:t>2.</w:t>
            </w:r>
            <w:r w:rsidRPr="0018378A">
              <w:rPr>
                <w:sz w:val="16"/>
                <w:szCs w:val="16"/>
              </w:rPr>
              <w:t>Տոկոսավճարների և շահաբաժինների տեսքով ստացվող եկամուտներ</w:t>
            </w:r>
          </w:p>
        </w:tc>
        <w:tc>
          <w:tcPr>
            <w:tcW w:w="423" w:type="pct"/>
            <w:shd w:val="clear" w:color="auto" w:fill="auto"/>
            <w:noWrap/>
            <w:vAlign w:val="center"/>
            <w:hideMark/>
          </w:tcPr>
          <w:p w14:paraId="5F1C2983" w14:textId="77777777" w:rsidR="00A571C9" w:rsidRPr="0018378A" w:rsidRDefault="00A571C9" w:rsidP="00A571C9">
            <w:pPr>
              <w:jc w:val="center"/>
              <w:rPr>
                <w:sz w:val="16"/>
                <w:szCs w:val="16"/>
                <w:highlight w:val="yellow"/>
              </w:rPr>
            </w:pPr>
            <w:r w:rsidRPr="0018378A">
              <w:rPr>
                <w:rFonts w:ascii="GHEA Grapalat" w:hAnsi="GHEA Grapalat" w:cs="Calibri"/>
                <w:color w:val="404040"/>
                <w:sz w:val="16"/>
                <w:szCs w:val="16"/>
              </w:rPr>
              <w:t>39.6</w:t>
            </w:r>
          </w:p>
        </w:tc>
        <w:tc>
          <w:tcPr>
            <w:tcW w:w="494" w:type="pct"/>
            <w:shd w:val="clear" w:color="auto" w:fill="auto"/>
            <w:noWrap/>
            <w:vAlign w:val="center"/>
            <w:hideMark/>
          </w:tcPr>
          <w:p w14:paraId="56716CDE" w14:textId="77777777" w:rsidR="00A571C9" w:rsidRPr="0018378A" w:rsidRDefault="00A571C9" w:rsidP="00A571C9">
            <w:pPr>
              <w:jc w:val="center"/>
              <w:rPr>
                <w:sz w:val="16"/>
                <w:szCs w:val="16"/>
                <w:highlight w:val="yellow"/>
              </w:rPr>
            </w:pPr>
            <w:r w:rsidRPr="0018378A">
              <w:rPr>
                <w:rFonts w:ascii="GHEA Grapalat" w:hAnsi="GHEA Grapalat" w:cs="Calibri"/>
                <w:color w:val="404040"/>
                <w:sz w:val="16"/>
                <w:szCs w:val="16"/>
              </w:rPr>
              <w:t>52.3</w:t>
            </w:r>
          </w:p>
        </w:tc>
        <w:tc>
          <w:tcPr>
            <w:tcW w:w="493" w:type="pct"/>
            <w:shd w:val="clear" w:color="auto" w:fill="auto"/>
            <w:noWrap/>
            <w:vAlign w:val="center"/>
            <w:hideMark/>
          </w:tcPr>
          <w:p w14:paraId="586A582A" w14:textId="77777777" w:rsidR="00A571C9" w:rsidRPr="0018378A" w:rsidRDefault="00A571C9" w:rsidP="00A571C9">
            <w:pPr>
              <w:jc w:val="center"/>
              <w:rPr>
                <w:sz w:val="16"/>
                <w:szCs w:val="16"/>
                <w:highlight w:val="yellow"/>
              </w:rPr>
            </w:pPr>
            <w:r w:rsidRPr="0018378A">
              <w:rPr>
                <w:rFonts w:ascii="GHEA Grapalat" w:hAnsi="GHEA Grapalat" w:cs="Calibri"/>
                <w:color w:val="404040"/>
                <w:sz w:val="16"/>
                <w:szCs w:val="16"/>
              </w:rPr>
              <w:t>76.6</w:t>
            </w:r>
          </w:p>
        </w:tc>
        <w:tc>
          <w:tcPr>
            <w:tcW w:w="564" w:type="pct"/>
            <w:shd w:val="clear" w:color="auto" w:fill="auto"/>
            <w:noWrap/>
            <w:vAlign w:val="center"/>
            <w:hideMark/>
          </w:tcPr>
          <w:p w14:paraId="02C52318" w14:textId="77777777" w:rsidR="00A571C9" w:rsidRPr="0018378A" w:rsidRDefault="00A571C9" w:rsidP="00A571C9">
            <w:pPr>
              <w:jc w:val="center"/>
              <w:rPr>
                <w:sz w:val="16"/>
                <w:szCs w:val="16"/>
                <w:highlight w:val="yellow"/>
              </w:rPr>
            </w:pPr>
            <w:r w:rsidRPr="0018378A">
              <w:rPr>
                <w:rFonts w:ascii="GHEA Grapalat" w:hAnsi="GHEA Grapalat" w:cs="Calibri"/>
                <w:color w:val="404040"/>
                <w:sz w:val="16"/>
                <w:szCs w:val="16"/>
              </w:rPr>
              <w:t>32.0</w:t>
            </w:r>
          </w:p>
        </w:tc>
        <w:tc>
          <w:tcPr>
            <w:tcW w:w="564" w:type="pct"/>
            <w:shd w:val="clear" w:color="auto" w:fill="auto"/>
            <w:noWrap/>
            <w:vAlign w:val="center"/>
            <w:hideMark/>
          </w:tcPr>
          <w:p w14:paraId="5FE00F68" w14:textId="3D9E3C94" w:rsidR="00A571C9" w:rsidRPr="00A571C9" w:rsidRDefault="00A571C9" w:rsidP="00A571C9">
            <w:pPr>
              <w:jc w:val="center"/>
              <w:rPr>
                <w:rFonts w:ascii="GHEA Grapalat" w:hAnsi="GHEA Grapalat" w:cs="Calibri"/>
                <w:color w:val="404040"/>
                <w:sz w:val="16"/>
                <w:szCs w:val="16"/>
              </w:rPr>
            </w:pPr>
            <w:r w:rsidRPr="00A571C9">
              <w:rPr>
                <w:rFonts w:ascii="GHEA Grapalat" w:hAnsi="GHEA Grapalat" w:cs="Calibri"/>
                <w:color w:val="404040"/>
                <w:sz w:val="16"/>
                <w:szCs w:val="16"/>
              </w:rPr>
              <w:t>29.9</w:t>
            </w:r>
          </w:p>
        </w:tc>
        <w:tc>
          <w:tcPr>
            <w:tcW w:w="542" w:type="pct"/>
            <w:vAlign w:val="center"/>
          </w:tcPr>
          <w:p w14:paraId="31BBF1C2" w14:textId="217C3277" w:rsidR="00A571C9" w:rsidRPr="0018378A" w:rsidRDefault="00A571C9" w:rsidP="00A571C9">
            <w:pPr>
              <w:jc w:val="center"/>
              <w:rPr>
                <w:rFonts w:ascii="GHEA Grapalat" w:hAnsi="GHEA Grapalat" w:cs="Calibri"/>
                <w:color w:val="404040"/>
                <w:sz w:val="16"/>
                <w:szCs w:val="16"/>
              </w:rPr>
            </w:pPr>
            <w:r w:rsidRPr="00A571C9">
              <w:rPr>
                <w:rFonts w:ascii="GHEA Grapalat" w:hAnsi="GHEA Grapalat" w:cs="Calibri"/>
                <w:color w:val="404040"/>
                <w:sz w:val="16"/>
                <w:szCs w:val="16"/>
              </w:rPr>
              <w:t>30.7</w:t>
            </w:r>
          </w:p>
        </w:tc>
        <w:tc>
          <w:tcPr>
            <w:tcW w:w="491" w:type="pct"/>
            <w:vAlign w:val="center"/>
          </w:tcPr>
          <w:p w14:paraId="12367C51" w14:textId="4A18762E" w:rsidR="00A571C9" w:rsidRPr="0018378A" w:rsidRDefault="00A571C9" w:rsidP="00A571C9">
            <w:pPr>
              <w:jc w:val="center"/>
              <w:rPr>
                <w:rFonts w:ascii="GHEA Grapalat" w:hAnsi="GHEA Grapalat" w:cs="Calibri"/>
                <w:color w:val="404040"/>
                <w:sz w:val="16"/>
                <w:szCs w:val="16"/>
              </w:rPr>
            </w:pPr>
            <w:r w:rsidRPr="00A571C9">
              <w:rPr>
                <w:rFonts w:ascii="GHEA Grapalat" w:hAnsi="GHEA Grapalat" w:cs="Calibri"/>
                <w:color w:val="404040"/>
                <w:sz w:val="16"/>
                <w:szCs w:val="16"/>
              </w:rPr>
              <w:t>31.4</w:t>
            </w:r>
          </w:p>
        </w:tc>
      </w:tr>
      <w:tr w:rsidR="00A571C9" w:rsidRPr="0018378A" w14:paraId="1940D84F" w14:textId="77777777" w:rsidTr="00A571C9">
        <w:trPr>
          <w:trHeight w:val="1080"/>
        </w:trPr>
        <w:tc>
          <w:tcPr>
            <w:tcW w:w="1428" w:type="pct"/>
            <w:shd w:val="clear" w:color="auto" w:fill="auto"/>
            <w:vAlign w:val="center"/>
            <w:hideMark/>
          </w:tcPr>
          <w:p w14:paraId="2D9A2619" w14:textId="3515904E" w:rsidR="00A571C9" w:rsidRPr="0018378A" w:rsidRDefault="00A571C9" w:rsidP="00A571C9">
            <w:pPr>
              <w:ind w:right="357"/>
              <w:jc w:val="both"/>
              <w:rPr>
                <w:sz w:val="16"/>
                <w:szCs w:val="16"/>
              </w:rPr>
            </w:pPr>
            <w:r>
              <w:rPr>
                <w:sz w:val="16"/>
                <w:szCs w:val="16"/>
              </w:rPr>
              <w:t>3.</w:t>
            </w:r>
            <w:r w:rsidRPr="0018378A">
              <w:rPr>
                <w:sz w:val="16"/>
                <w:szCs w:val="16"/>
              </w:rPr>
              <w:t>Պետության տված վարկերի օգտագործման դիմաց վճարներ</w:t>
            </w:r>
          </w:p>
        </w:tc>
        <w:tc>
          <w:tcPr>
            <w:tcW w:w="423" w:type="pct"/>
            <w:shd w:val="clear" w:color="auto" w:fill="auto"/>
            <w:noWrap/>
            <w:vAlign w:val="center"/>
            <w:hideMark/>
          </w:tcPr>
          <w:p w14:paraId="0DB46A4C" w14:textId="77777777" w:rsidR="00A571C9" w:rsidRPr="0018378A" w:rsidRDefault="00A571C9" w:rsidP="00A571C9">
            <w:pPr>
              <w:jc w:val="center"/>
              <w:rPr>
                <w:sz w:val="16"/>
                <w:szCs w:val="16"/>
                <w:highlight w:val="yellow"/>
              </w:rPr>
            </w:pPr>
            <w:r w:rsidRPr="0018378A">
              <w:rPr>
                <w:rFonts w:ascii="GHEA Grapalat" w:hAnsi="GHEA Grapalat" w:cs="Calibri"/>
                <w:color w:val="404040"/>
                <w:sz w:val="16"/>
                <w:szCs w:val="16"/>
              </w:rPr>
              <w:t>11.7</w:t>
            </w:r>
          </w:p>
        </w:tc>
        <w:tc>
          <w:tcPr>
            <w:tcW w:w="494" w:type="pct"/>
            <w:shd w:val="clear" w:color="auto" w:fill="auto"/>
            <w:noWrap/>
            <w:vAlign w:val="center"/>
            <w:hideMark/>
          </w:tcPr>
          <w:p w14:paraId="5D5E9796" w14:textId="77777777" w:rsidR="00A571C9" w:rsidRPr="0018378A" w:rsidRDefault="00A571C9" w:rsidP="00A571C9">
            <w:pPr>
              <w:jc w:val="center"/>
              <w:rPr>
                <w:sz w:val="16"/>
                <w:szCs w:val="16"/>
                <w:highlight w:val="yellow"/>
              </w:rPr>
            </w:pPr>
            <w:r w:rsidRPr="0018378A">
              <w:rPr>
                <w:rFonts w:ascii="GHEA Grapalat" w:hAnsi="GHEA Grapalat" w:cs="Calibri"/>
                <w:color w:val="404040"/>
                <w:sz w:val="16"/>
                <w:szCs w:val="16"/>
              </w:rPr>
              <w:t>12.4</w:t>
            </w:r>
          </w:p>
        </w:tc>
        <w:tc>
          <w:tcPr>
            <w:tcW w:w="493" w:type="pct"/>
            <w:shd w:val="clear" w:color="auto" w:fill="auto"/>
            <w:noWrap/>
            <w:vAlign w:val="center"/>
            <w:hideMark/>
          </w:tcPr>
          <w:p w14:paraId="10EA3541" w14:textId="77777777" w:rsidR="00A571C9" w:rsidRPr="0018378A" w:rsidRDefault="00A571C9" w:rsidP="00A571C9">
            <w:pPr>
              <w:jc w:val="center"/>
              <w:rPr>
                <w:sz w:val="16"/>
                <w:szCs w:val="16"/>
                <w:highlight w:val="yellow"/>
              </w:rPr>
            </w:pPr>
            <w:r w:rsidRPr="0018378A">
              <w:rPr>
                <w:rFonts w:ascii="GHEA Grapalat" w:hAnsi="GHEA Grapalat" w:cs="Calibri"/>
                <w:color w:val="404040"/>
                <w:sz w:val="16"/>
                <w:szCs w:val="16"/>
              </w:rPr>
              <w:t>11.7</w:t>
            </w:r>
          </w:p>
        </w:tc>
        <w:tc>
          <w:tcPr>
            <w:tcW w:w="564" w:type="pct"/>
            <w:shd w:val="clear" w:color="auto" w:fill="auto"/>
            <w:noWrap/>
            <w:vAlign w:val="center"/>
            <w:hideMark/>
          </w:tcPr>
          <w:p w14:paraId="0409B757" w14:textId="77777777" w:rsidR="00A571C9" w:rsidRPr="0018378A" w:rsidRDefault="00A571C9" w:rsidP="00A571C9">
            <w:pPr>
              <w:jc w:val="center"/>
              <w:rPr>
                <w:sz w:val="16"/>
                <w:szCs w:val="16"/>
                <w:highlight w:val="yellow"/>
              </w:rPr>
            </w:pPr>
            <w:r w:rsidRPr="0018378A">
              <w:rPr>
                <w:rFonts w:ascii="GHEA Grapalat" w:hAnsi="GHEA Grapalat" w:cs="Calibri"/>
                <w:color w:val="404040"/>
                <w:sz w:val="16"/>
                <w:szCs w:val="16"/>
              </w:rPr>
              <w:t>13.3</w:t>
            </w:r>
          </w:p>
        </w:tc>
        <w:tc>
          <w:tcPr>
            <w:tcW w:w="564" w:type="pct"/>
            <w:shd w:val="clear" w:color="auto" w:fill="auto"/>
            <w:noWrap/>
            <w:vAlign w:val="center"/>
            <w:hideMark/>
          </w:tcPr>
          <w:p w14:paraId="03CB24FA" w14:textId="261F5B89" w:rsidR="00A571C9" w:rsidRPr="00A571C9" w:rsidRDefault="00A571C9" w:rsidP="00A571C9">
            <w:pPr>
              <w:jc w:val="center"/>
              <w:rPr>
                <w:rFonts w:ascii="GHEA Grapalat" w:hAnsi="GHEA Grapalat" w:cs="Calibri"/>
                <w:color w:val="404040"/>
                <w:sz w:val="16"/>
                <w:szCs w:val="16"/>
              </w:rPr>
            </w:pPr>
            <w:r w:rsidRPr="00A571C9">
              <w:rPr>
                <w:rFonts w:ascii="GHEA Grapalat" w:hAnsi="GHEA Grapalat" w:cs="Calibri"/>
                <w:color w:val="404040"/>
                <w:sz w:val="16"/>
                <w:szCs w:val="16"/>
              </w:rPr>
              <w:t>10.3</w:t>
            </w:r>
          </w:p>
        </w:tc>
        <w:tc>
          <w:tcPr>
            <w:tcW w:w="542" w:type="pct"/>
            <w:vAlign w:val="center"/>
          </w:tcPr>
          <w:p w14:paraId="23565048" w14:textId="5FD797A0" w:rsidR="00A571C9" w:rsidRPr="0018378A" w:rsidRDefault="00A571C9" w:rsidP="00A571C9">
            <w:pPr>
              <w:jc w:val="center"/>
              <w:rPr>
                <w:rFonts w:ascii="GHEA Grapalat" w:hAnsi="GHEA Grapalat" w:cs="Calibri"/>
                <w:color w:val="404040"/>
                <w:sz w:val="16"/>
                <w:szCs w:val="16"/>
              </w:rPr>
            </w:pPr>
            <w:r w:rsidRPr="00A571C9">
              <w:rPr>
                <w:rFonts w:ascii="GHEA Grapalat" w:hAnsi="GHEA Grapalat" w:cs="Calibri"/>
                <w:color w:val="404040"/>
                <w:sz w:val="16"/>
                <w:szCs w:val="16"/>
              </w:rPr>
              <w:t>8.6</w:t>
            </w:r>
          </w:p>
        </w:tc>
        <w:tc>
          <w:tcPr>
            <w:tcW w:w="491" w:type="pct"/>
            <w:vAlign w:val="center"/>
          </w:tcPr>
          <w:p w14:paraId="41529C3E" w14:textId="040F3B1C" w:rsidR="00A571C9" w:rsidRPr="0018378A" w:rsidRDefault="00A571C9" w:rsidP="00A571C9">
            <w:pPr>
              <w:jc w:val="center"/>
              <w:rPr>
                <w:rFonts w:ascii="GHEA Grapalat" w:hAnsi="GHEA Grapalat" w:cs="Calibri"/>
                <w:color w:val="404040"/>
                <w:sz w:val="16"/>
                <w:szCs w:val="16"/>
              </w:rPr>
            </w:pPr>
            <w:r w:rsidRPr="00A571C9">
              <w:rPr>
                <w:rFonts w:ascii="GHEA Grapalat" w:hAnsi="GHEA Grapalat" w:cs="Calibri"/>
                <w:color w:val="404040"/>
                <w:sz w:val="16"/>
                <w:szCs w:val="16"/>
              </w:rPr>
              <w:t>6.9</w:t>
            </w:r>
          </w:p>
        </w:tc>
      </w:tr>
      <w:tr w:rsidR="00A571C9" w:rsidRPr="0018378A" w14:paraId="1C1B4E19" w14:textId="77777777" w:rsidTr="00A571C9">
        <w:trPr>
          <w:trHeight w:val="810"/>
        </w:trPr>
        <w:tc>
          <w:tcPr>
            <w:tcW w:w="1428" w:type="pct"/>
            <w:shd w:val="clear" w:color="auto" w:fill="auto"/>
            <w:vAlign w:val="center"/>
            <w:hideMark/>
          </w:tcPr>
          <w:p w14:paraId="67B703BF" w14:textId="2F3A3DF2" w:rsidR="00A571C9" w:rsidRPr="0018378A" w:rsidRDefault="00A571C9" w:rsidP="00A571C9">
            <w:pPr>
              <w:ind w:right="357"/>
              <w:jc w:val="both"/>
              <w:rPr>
                <w:sz w:val="16"/>
                <w:szCs w:val="16"/>
                <w:lang w:eastAsia="ru-RU"/>
              </w:rPr>
            </w:pPr>
            <w:r w:rsidRPr="0018378A">
              <w:rPr>
                <w:sz w:val="16"/>
                <w:szCs w:val="16"/>
              </w:rPr>
              <w:t>4.Իրավախախտումների համար գործադիր</w:t>
            </w:r>
            <w:r>
              <w:rPr>
                <w:sz w:val="16"/>
                <w:szCs w:val="16"/>
              </w:rPr>
              <w:t xml:space="preserve">, </w:t>
            </w:r>
            <w:r w:rsidRPr="0018378A">
              <w:rPr>
                <w:sz w:val="16"/>
                <w:szCs w:val="16"/>
              </w:rPr>
              <w:t>դատական մարմինների կողմից կիրառվող պատժամիջոցներից մուտքեր</w:t>
            </w:r>
          </w:p>
        </w:tc>
        <w:tc>
          <w:tcPr>
            <w:tcW w:w="423" w:type="pct"/>
            <w:shd w:val="clear" w:color="auto" w:fill="auto"/>
            <w:noWrap/>
            <w:vAlign w:val="center"/>
            <w:hideMark/>
          </w:tcPr>
          <w:p w14:paraId="7317A74D" w14:textId="77777777" w:rsidR="00A571C9" w:rsidRPr="0018378A" w:rsidRDefault="00A571C9" w:rsidP="00A571C9">
            <w:pPr>
              <w:jc w:val="center"/>
              <w:rPr>
                <w:sz w:val="16"/>
                <w:szCs w:val="16"/>
                <w:highlight w:val="yellow"/>
              </w:rPr>
            </w:pPr>
            <w:r w:rsidRPr="0018378A">
              <w:rPr>
                <w:rFonts w:ascii="GHEA Grapalat" w:hAnsi="GHEA Grapalat" w:cs="Calibri"/>
                <w:color w:val="404040"/>
                <w:sz w:val="16"/>
                <w:szCs w:val="16"/>
              </w:rPr>
              <w:t>19.5</w:t>
            </w:r>
          </w:p>
        </w:tc>
        <w:tc>
          <w:tcPr>
            <w:tcW w:w="494" w:type="pct"/>
            <w:shd w:val="clear" w:color="auto" w:fill="auto"/>
            <w:noWrap/>
            <w:vAlign w:val="center"/>
            <w:hideMark/>
          </w:tcPr>
          <w:p w14:paraId="6D7A2AE8" w14:textId="77777777" w:rsidR="00A571C9" w:rsidRPr="0018378A" w:rsidRDefault="00A571C9" w:rsidP="00A571C9">
            <w:pPr>
              <w:jc w:val="center"/>
              <w:rPr>
                <w:sz w:val="16"/>
                <w:szCs w:val="16"/>
                <w:highlight w:val="yellow"/>
              </w:rPr>
            </w:pPr>
            <w:r w:rsidRPr="0018378A">
              <w:rPr>
                <w:rFonts w:ascii="GHEA Grapalat" w:hAnsi="GHEA Grapalat" w:cs="Calibri"/>
                <w:color w:val="404040"/>
                <w:sz w:val="16"/>
                <w:szCs w:val="16"/>
              </w:rPr>
              <w:t>25.1</w:t>
            </w:r>
          </w:p>
        </w:tc>
        <w:tc>
          <w:tcPr>
            <w:tcW w:w="493" w:type="pct"/>
            <w:shd w:val="clear" w:color="auto" w:fill="auto"/>
            <w:noWrap/>
            <w:vAlign w:val="center"/>
            <w:hideMark/>
          </w:tcPr>
          <w:p w14:paraId="02CD02E4" w14:textId="77777777" w:rsidR="00A571C9" w:rsidRPr="0018378A" w:rsidRDefault="00A571C9" w:rsidP="00A571C9">
            <w:pPr>
              <w:jc w:val="center"/>
              <w:rPr>
                <w:sz w:val="16"/>
                <w:szCs w:val="16"/>
                <w:highlight w:val="yellow"/>
              </w:rPr>
            </w:pPr>
            <w:r w:rsidRPr="0018378A">
              <w:rPr>
                <w:rFonts w:ascii="GHEA Grapalat" w:hAnsi="GHEA Grapalat" w:cs="Calibri"/>
                <w:color w:val="404040"/>
                <w:sz w:val="16"/>
                <w:szCs w:val="16"/>
              </w:rPr>
              <w:t>27.1</w:t>
            </w:r>
          </w:p>
        </w:tc>
        <w:tc>
          <w:tcPr>
            <w:tcW w:w="564" w:type="pct"/>
            <w:shd w:val="clear" w:color="auto" w:fill="auto"/>
            <w:noWrap/>
            <w:vAlign w:val="center"/>
            <w:hideMark/>
          </w:tcPr>
          <w:p w14:paraId="0DF49B01" w14:textId="77777777" w:rsidR="00A571C9" w:rsidRPr="0018378A" w:rsidRDefault="00A571C9" w:rsidP="00A571C9">
            <w:pPr>
              <w:jc w:val="center"/>
              <w:rPr>
                <w:sz w:val="16"/>
                <w:szCs w:val="16"/>
                <w:highlight w:val="yellow"/>
              </w:rPr>
            </w:pPr>
            <w:r w:rsidRPr="0018378A">
              <w:rPr>
                <w:rFonts w:ascii="GHEA Grapalat" w:hAnsi="GHEA Grapalat" w:cs="Calibri"/>
                <w:color w:val="404040"/>
                <w:sz w:val="16"/>
                <w:szCs w:val="16"/>
              </w:rPr>
              <w:t>22.7</w:t>
            </w:r>
          </w:p>
        </w:tc>
        <w:tc>
          <w:tcPr>
            <w:tcW w:w="564" w:type="pct"/>
            <w:shd w:val="clear" w:color="auto" w:fill="auto"/>
            <w:noWrap/>
            <w:vAlign w:val="center"/>
            <w:hideMark/>
          </w:tcPr>
          <w:p w14:paraId="7BEB355A" w14:textId="686617F9" w:rsidR="00A571C9" w:rsidRPr="00A571C9" w:rsidRDefault="00A571C9" w:rsidP="00A571C9">
            <w:pPr>
              <w:jc w:val="center"/>
              <w:rPr>
                <w:rFonts w:ascii="GHEA Grapalat" w:hAnsi="GHEA Grapalat" w:cs="Calibri"/>
                <w:color w:val="404040"/>
                <w:sz w:val="16"/>
                <w:szCs w:val="16"/>
              </w:rPr>
            </w:pPr>
            <w:r w:rsidRPr="00A571C9">
              <w:rPr>
                <w:rFonts w:ascii="GHEA Grapalat" w:hAnsi="GHEA Grapalat" w:cs="Calibri"/>
                <w:color w:val="404040"/>
                <w:sz w:val="16"/>
                <w:szCs w:val="16"/>
              </w:rPr>
              <w:t>24.4</w:t>
            </w:r>
          </w:p>
        </w:tc>
        <w:tc>
          <w:tcPr>
            <w:tcW w:w="542" w:type="pct"/>
            <w:vAlign w:val="center"/>
          </w:tcPr>
          <w:p w14:paraId="096AB330" w14:textId="6F1241E2" w:rsidR="00A571C9" w:rsidRPr="0018378A" w:rsidRDefault="00A571C9" w:rsidP="00A571C9">
            <w:pPr>
              <w:jc w:val="center"/>
              <w:rPr>
                <w:rFonts w:ascii="GHEA Grapalat" w:hAnsi="GHEA Grapalat" w:cs="Calibri"/>
                <w:color w:val="404040"/>
                <w:sz w:val="16"/>
                <w:szCs w:val="16"/>
              </w:rPr>
            </w:pPr>
            <w:r w:rsidRPr="00A571C9">
              <w:rPr>
                <w:rFonts w:ascii="GHEA Grapalat" w:hAnsi="GHEA Grapalat" w:cs="Calibri"/>
                <w:color w:val="404040"/>
                <w:sz w:val="16"/>
                <w:szCs w:val="16"/>
              </w:rPr>
              <w:t>24.4</w:t>
            </w:r>
          </w:p>
        </w:tc>
        <w:tc>
          <w:tcPr>
            <w:tcW w:w="491" w:type="pct"/>
            <w:vAlign w:val="center"/>
          </w:tcPr>
          <w:p w14:paraId="5D68E4B8" w14:textId="1A93DD0E" w:rsidR="00A571C9" w:rsidRPr="0018378A" w:rsidRDefault="00A571C9" w:rsidP="00A571C9">
            <w:pPr>
              <w:jc w:val="center"/>
              <w:rPr>
                <w:rFonts w:ascii="GHEA Grapalat" w:hAnsi="GHEA Grapalat" w:cs="Calibri"/>
                <w:color w:val="404040"/>
                <w:sz w:val="16"/>
                <w:szCs w:val="16"/>
              </w:rPr>
            </w:pPr>
            <w:r w:rsidRPr="00A571C9">
              <w:rPr>
                <w:rFonts w:ascii="GHEA Grapalat" w:hAnsi="GHEA Grapalat" w:cs="Calibri"/>
                <w:color w:val="404040"/>
                <w:sz w:val="16"/>
                <w:szCs w:val="16"/>
              </w:rPr>
              <w:t>24.7</w:t>
            </w:r>
          </w:p>
        </w:tc>
      </w:tr>
      <w:tr w:rsidR="00A571C9" w:rsidRPr="0018378A" w14:paraId="4DE72D20" w14:textId="77777777" w:rsidTr="00A571C9">
        <w:trPr>
          <w:trHeight w:val="810"/>
        </w:trPr>
        <w:tc>
          <w:tcPr>
            <w:tcW w:w="1428" w:type="pct"/>
            <w:shd w:val="clear" w:color="auto" w:fill="auto"/>
            <w:vAlign w:val="center"/>
            <w:hideMark/>
          </w:tcPr>
          <w:p w14:paraId="5E8FD418" w14:textId="4594DB36" w:rsidR="00A571C9" w:rsidRPr="0018378A" w:rsidRDefault="00A571C9" w:rsidP="00A571C9">
            <w:pPr>
              <w:ind w:right="357"/>
              <w:jc w:val="both"/>
              <w:rPr>
                <w:sz w:val="16"/>
                <w:szCs w:val="16"/>
              </w:rPr>
            </w:pPr>
            <w:r>
              <w:rPr>
                <w:sz w:val="16"/>
                <w:szCs w:val="16"/>
              </w:rPr>
              <w:t>5.</w:t>
            </w:r>
            <w:r w:rsidRPr="0018378A">
              <w:rPr>
                <w:sz w:val="16"/>
                <w:szCs w:val="16"/>
              </w:rPr>
              <w:t xml:space="preserve">Ապրանքների մատակարարումից և ծառայությունների մատուցումից եկամուտներ, </w:t>
            </w:r>
          </w:p>
        </w:tc>
        <w:tc>
          <w:tcPr>
            <w:tcW w:w="423" w:type="pct"/>
            <w:shd w:val="clear" w:color="auto" w:fill="auto"/>
            <w:noWrap/>
            <w:vAlign w:val="center"/>
            <w:hideMark/>
          </w:tcPr>
          <w:p w14:paraId="4EC893B4" w14:textId="77777777" w:rsidR="00A571C9" w:rsidRPr="0018378A" w:rsidRDefault="00A571C9" w:rsidP="00A571C9">
            <w:pPr>
              <w:jc w:val="center"/>
              <w:rPr>
                <w:sz w:val="16"/>
                <w:szCs w:val="16"/>
                <w:highlight w:val="yellow"/>
              </w:rPr>
            </w:pPr>
            <w:r w:rsidRPr="0018378A">
              <w:rPr>
                <w:rFonts w:ascii="GHEA Grapalat" w:hAnsi="GHEA Grapalat" w:cs="Calibri"/>
                <w:color w:val="404040"/>
                <w:sz w:val="16"/>
                <w:szCs w:val="16"/>
              </w:rPr>
              <w:t>24.1</w:t>
            </w:r>
          </w:p>
        </w:tc>
        <w:tc>
          <w:tcPr>
            <w:tcW w:w="494" w:type="pct"/>
            <w:shd w:val="clear" w:color="auto" w:fill="auto"/>
            <w:noWrap/>
            <w:vAlign w:val="center"/>
            <w:hideMark/>
          </w:tcPr>
          <w:p w14:paraId="7FD74B4F" w14:textId="77777777" w:rsidR="00A571C9" w:rsidRPr="0018378A" w:rsidRDefault="00A571C9" w:rsidP="00A571C9">
            <w:pPr>
              <w:jc w:val="center"/>
              <w:rPr>
                <w:sz w:val="16"/>
                <w:szCs w:val="16"/>
                <w:highlight w:val="yellow"/>
              </w:rPr>
            </w:pPr>
            <w:r w:rsidRPr="0018378A">
              <w:rPr>
                <w:rFonts w:ascii="GHEA Grapalat" w:hAnsi="GHEA Grapalat" w:cs="Calibri"/>
                <w:color w:val="404040"/>
                <w:sz w:val="16"/>
                <w:szCs w:val="16"/>
              </w:rPr>
              <w:t>24.3</w:t>
            </w:r>
          </w:p>
        </w:tc>
        <w:tc>
          <w:tcPr>
            <w:tcW w:w="493" w:type="pct"/>
            <w:shd w:val="clear" w:color="auto" w:fill="auto"/>
            <w:noWrap/>
            <w:vAlign w:val="center"/>
            <w:hideMark/>
          </w:tcPr>
          <w:p w14:paraId="01711DA0" w14:textId="77777777" w:rsidR="00A571C9" w:rsidRPr="0018378A" w:rsidRDefault="00A571C9" w:rsidP="00A571C9">
            <w:pPr>
              <w:jc w:val="center"/>
              <w:rPr>
                <w:sz w:val="16"/>
                <w:szCs w:val="16"/>
                <w:highlight w:val="yellow"/>
              </w:rPr>
            </w:pPr>
            <w:r w:rsidRPr="0018378A">
              <w:rPr>
                <w:rFonts w:ascii="GHEA Grapalat" w:hAnsi="GHEA Grapalat" w:cs="Calibri"/>
                <w:color w:val="404040"/>
                <w:sz w:val="16"/>
                <w:szCs w:val="16"/>
              </w:rPr>
              <w:t>23.4</w:t>
            </w:r>
          </w:p>
        </w:tc>
        <w:tc>
          <w:tcPr>
            <w:tcW w:w="564" w:type="pct"/>
            <w:shd w:val="clear" w:color="auto" w:fill="auto"/>
            <w:noWrap/>
            <w:vAlign w:val="center"/>
            <w:hideMark/>
          </w:tcPr>
          <w:p w14:paraId="6B8A236B" w14:textId="77777777" w:rsidR="00A571C9" w:rsidRPr="0018378A" w:rsidRDefault="00A571C9" w:rsidP="00A571C9">
            <w:pPr>
              <w:jc w:val="center"/>
              <w:rPr>
                <w:sz w:val="16"/>
                <w:szCs w:val="16"/>
                <w:highlight w:val="yellow"/>
              </w:rPr>
            </w:pPr>
            <w:r w:rsidRPr="0018378A">
              <w:rPr>
                <w:rFonts w:ascii="GHEA Grapalat" w:hAnsi="GHEA Grapalat" w:cs="Calibri"/>
                <w:color w:val="404040"/>
                <w:sz w:val="16"/>
                <w:szCs w:val="16"/>
              </w:rPr>
              <w:t>20.4</w:t>
            </w:r>
          </w:p>
        </w:tc>
        <w:tc>
          <w:tcPr>
            <w:tcW w:w="564" w:type="pct"/>
            <w:shd w:val="clear" w:color="auto" w:fill="auto"/>
            <w:noWrap/>
            <w:vAlign w:val="center"/>
            <w:hideMark/>
          </w:tcPr>
          <w:p w14:paraId="2D7DA4BA" w14:textId="11087914" w:rsidR="00A571C9" w:rsidRPr="00A571C9" w:rsidRDefault="00A571C9" w:rsidP="00A571C9">
            <w:pPr>
              <w:jc w:val="center"/>
              <w:rPr>
                <w:rFonts w:ascii="GHEA Grapalat" w:hAnsi="GHEA Grapalat" w:cs="Calibri"/>
                <w:color w:val="404040"/>
                <w:sz w:val="16"/>
                <w:szCs w:val="16"/>
              </w:rPr>
            </w:pPr>
            <w:r w:rsidRPr="00A571C9">
              <w:rPr>
                <w:rFonts w:ascii="GHEA Grapalat" w:hAnsi="GHEA Grapalat" w:cs="Calibri"/>
                <w:color w:val="404040"/>
                <w:sz w:val="16"/>
                <w:szCs w:val="16"/>
              </w:rPr>
              <w:t>23.2</w:t>
            </w:r>
          </w:p>
        </w:tc>
        <w:tc>
          <w:tcPr>
            <w:tcW w:w="542" w:type="pct"/>
            <w:vAlign w:val="center"/>
          </w:tcPr>
          <w:p w14:paraId="48254551" w14:textId="2B6D5F65" w:rsidR="00A571C9" w:rsidRPr="0018378A" w:rsidRDefault="00A571C9" w:rsidP="00A571C9">
            <w:pPr>
              <w:jc w:val="center"/>
              <w:rPr>
                <w:rFonts w:ascii="GHEA Grapalat" w:hAnsi="GHEA Grapalat" w:cs="Calibri"/>
                <w:color w:val="404040"/>
                <w:sz w:val="16"/>
                <w:szCs w:val="16"/>
              </w:rPr>
            </w:pPr>
            <w:r w:rsidRPr="00A571C9">
              <w:rPr>
                <w:rFonts w:ascii="GHEA Grapalat" w:hAnsi="GHEA Grapalat" w:cs="Calibri"/>
                <w:color w:val="404040"/>
                <w:sz w:val="16"/>
                <w:szCs w:val="16"/>
              </w:rPr>
              <w:t>23.4</w:t>
            </w:r>
          </w:p>
        </w:tc>
        <w:tc>
          <w:tcPr>
            <w:tcW w:w="491" w:type="pct"/>
            <w:vAlign w:val="center"/>
          </w:tcPr>
          <w:p w14:paraId="58E114C8" w14:textId="54F8731A" w:rsidR="00A571C9" w:rsidRPr="0018378A" w:rsidRDefault="00A571C9" w:rsidP="00A571C9">
            <w:pPr>
              <w:jc w:val="center"/>
              <w:rPr>
                <w:rFonts w:ascii="GHEA Grapalat" w:hAnsi="GHEA Grapalat" w:cs="Calibri"/>
                <w:color w:val="404040"/>
                <w:sz w:val="16"/>
                <w:szCs w:val="16"/>
              </w:rPr>
            </w:pPr>
            <w:r w:rsidRPr="00A571C9">
              <w:rPr>
                <w:rFonts w:ascii="GHEA Grapalat" w:hAnsi="GHEA Grapalat" w:cs="Calibri"/>
                <w:color w:val="404040"/>
                <w:sz w:val="16"/>
                <w:szCs w:val="16"/>
              </w:rPr>
              <w:t>23.9</w:t>
            </w:r>
          </w:p>
        </w:tc>
      </w:tr>
      <w:tr w:rsidR="00A571C9" w:rsidRPr="0018378A" w14:paraId="6FBAD638" w14:textId="77777777" w:rsidTr="00A571C9">
        <w:trPr>
          <w:trHeight w:val="810"/>
        </w:trPr>
        <w:tc>
          <w:tcPr>
            <w:tcW w:w="1428" w:type="pct"/>
            <w:shd w:val="clear" w:color="auto" w:fill="auto"/>
            <w:vAlign w:val="center"/>
            <w:hideMark/>
          </w:tcPr>
          <w:p w14:paraId="38BAF0C1" w14:textId="77777777" w:rsidR="00A571C9" w:rsidRPr="0018378A" w:rsidRDefault="00A571C9" w:rsidP="00A571C9">
            <w:pPr>
              <w:ind w:right="357"/>
              <w:jc w:val="both"/>
              <w:rPr>
                <w:sz w:val="16"/>
                <w:szCs w:val="16"/>
              </w:rPr>
            </w:pPr>
            <w:r w:rsidRPr="0018378A">
              <w:rPr>
                <w:sz w:val="16"/>
                <w:szCs w:val="16"/>
              </w:rPr>
              <w:t>6.Օրենքով և այլ իրավական ակտերով սահմանված` պետական բյուջե մուտքագրվող այլ եկամուտներ</w:t>
            </w:r>
          </w:p>
        </w:tc>
        <w:tc>
          <w:tcPr>
            <w:tcW w:w="423" w:type="pct"/>
            <w:shd w:val="clear" w:color="auto" w:fill="auto"/>
            <w:noWrap/>
            <w:vAlign w:val="center"/>
            <w:hideMark/>
          </w:tcPr>
          <w:p w14:paraId="76B2E491" w14:textId="77777777" w:rsidR="00A571C9" w:rsidRPr="0018378A" w:rsidRDefault="00A571C9" w:rsidP="00A571C9">
            <w:pPr>
              <w:jc w:val="center"/>
              <w:rPr>
                <w:sz w:val="16"/>
                <w:szCs w:val="16"/>
                <w:highlight w:val="yellow"/>
              </w:rPr>
            </w:pPr>
            <w:r w:rsidRPr="0018378A">
              <w:rPr>
                <w:rFonts w:ascii="GHEA Grapalat" w:hAnsi="GHEA Grapalat" w:cs="Calibri"/>
                <w:color w:val="404040"/>
                <w:sz w:val="16"/>
                <w:szCs w:val="16"/>
              </w:rPr>
              <w:t>23.4</w:t>
            </w:r>
          </w:p>
        </w:tc>
        <w:tc>
          <w:tcPr>
            <w:tcW w:w="494" w:type="pct"/>
            <w:shd w:val="clear" w:color="auto" w:fill="auto"/>
            <w:noWrap/>
            <w:vAlign w:val="center"/>
            <w:hideMark/>
          </w:tcPr>
          <w:p w14:paraId="47F78151" w14:textId="77777777" w:rsidR="00A571C9" w:rsidRPr="0018378A" w:rsidRDefault="00A571C9" w:rsidP="00A571C9">
            <w:pPr>
              <w:jc w:val="center"/>
              <w:rPr>
                <w:sz w:val="16"/>
                <w:szCs w:val="16"/>
                <w:highlight w:val="yellow"/>
              </w:rPr>
            </w:pPr>
            <w:r w:rsidRPr="0018378A">
              <w:rPr>
                <w:rFonts w:ascii="GHEA Grapalat" w:hAnsi="GHEA Grapalat" w:cs="Calibri"/>
                <w:color w:val="404040"/>
                <w:sz w:val="16"/>
                <w:szCs w:val="16"/>
              </w:rPr>
              <w:t>6.0</w:t>
            </w:r>
          </w:p>
        </w:tc>
        <w:tc>
          <w:tcPr>
            <w:tcW w:w="493" w:type="pct"/>
            <w:shd w:val="clear" w:color="auto" w:fill="auto"/>
            <w:noWrap/>
            <w:vAlign w:val="center"/>
            <w:hideMark/>
          </w:tcPr>
          <w:p w14:paraId="7D28D6F7" w14:textId="77777777" w:rsidR="00A571C9" w:rsidRPr="0018378A" w:rsidRDefault="00A571C9" w:rsidP="00A571C9">
            <w:pPr>
              <w:jc w:val="center"/>
              <w:rPr>
                <w:sz w:val="16"/>
                <w:szCs w:val="16"/>
                <w:highlight w:val="yellow"/>
              </w:rPr>
            </w:pPr>
            <w:r w:rsidRPr="0018378A">
              <w:rPr>
                <w:rFonts w:ascii="GHEA Grapalat" w:hAnsi="GHEA Grapalat" w:cs="Calibri"/>
                <w:color w:val="404040"/>
                <w:sz w:val="16"/>
                <w:szCs w:val="16"/>
              </w:rPr>
              <w:t>21.7</w:t>
            </w:r>
          </w:p>
        </w:tc>
        <w:tc>
          <w:tcPr>
            <w:tcW w:w="564" w:type="pct"/>
            <w:shd w:val="clear" w:color="auto" w:fill="auto"/>
            <w:noWrap/>
            <w:vAlign w:val="center"/>
            <w:hideMark/>
          </w:tcPr>
          <w:p w14:paraId="22CBBA11" w14:textId="77777777" w:rsidR="00A571C9" w:rsidRPr="0018378A" w:rsidRDefault="00A571C9" w:rsidP="00A571C9">
            <w:pPr>
              <w:jc w:val="center"/>
              <w:rPr>
                <w:sz w:val="16"/>
                <w:szCs w:val="16"/>
                <w:highlight w:val="yellow"/>
              </w:rPr>
            </w:pPr>
            <w:r w:rsidRPr="0018378A">
              <w:rPr>
                <w:rFonts w:ascii="GHEA Grapalat" w:hAnsi="GHEA Grapalat" w:cs="Calibri"/>
                <w:color w:val="404040"/>
                <w:sz w:val="16"/>
                <w:szCs w:val="16"/>
              </w:rPr>
              <w:t>2.7</w:t>
            </w:r>
          </w:p>
        </w:tc>
        <w:tc>
          <w:tcPr>
            <w:tcW w:w="564" w:type="pct"/>
            <w:shd w:val="clear" w:color="auto" w:fill="auto"/>
            <w:noWrap/>
            <w:vAlign w:val="center"/>
            <w:hideMark/>
          </w:tcPr>
          <w:p w14:paraId="7CADED39" w14:textId="607A2DEB" w:rsidR="00A571C9" w:rsidRPr="00A571C9" w:rsidRDefault="00A571C9" w:rsidP="00A571C9">
            <w:pPr>
              <w:jc w:val="center"/>
              <w:rPr>
                <w:rFonts w:ascii="GHEA Grapalat" w:hAnsi="GHEA Grapalat" w:cs="Calibri"/>
                <w:color w:val="404040"/>
                <w:sz w:val="16"/>
                <w:szCs w:val="16"/>
              </w:rPr>
            </w:pPr>
            <w:r w:rsidRPr="00A571C9">
              <w:rPr>
                <w:rFonts w:ascii="GHEA Grapalat" w:hAnsi="GHEA Grapalat" w:cs="Calibri"/>
                <w:color w:val="404040"/>
                <w:sz w:val="16"/>
                <w:szCs w:val="16"/>
              </w:rPr>
              <w:t>2.4</w:t>
            </w:r>
          </w:p>
        </w:tc>
        <w:tc>
          <w:tcPr>
            <w:tcW w:w="542" w:type="pct"/>
            <w:vAlign w:val="center"/>
          </w:tcPr>
          <w:p w14:paraId="377295C0" w14:textId="2736E8C3" w:rsidR="00A571C9" w:rsidRPr="0018378A" w:rsidRDefault="00A571C9" w:rsidP="00A571C9">
            <w:pPr>
              <w:jc w:val="center"/>
              <w:rPr>
                <w:rFonts w:ascii="GHEA Grapalat" w:hAnsi="GHEA Grapalat" w:cs="Calibri"/>
                <w:color w:val="404040"/>
                <w:sz w:val="16"/>
                <w:szCs w:val="16"/>
              </w:rPr>
            </w:pPr>
            <w:r w:rsidRPr="00A571C9">
              <w:rPr>
                <w:rFonts w:ascii="GHEA Grapalat" w:hAnsi="GHEA Grapalat" w:cs="Calibri"/>
                <w:color w:val="404040"/>
                <w:sz w:val="16"/>
                <w:szCs w:val="16"/>
              </w:rPr>
              <w:t>2.3</w:t>
            </w:r>
          </w:p>
        </w:tc>
        <w:tc>
          <w:tcPr>
            <w:tcW w:w="491" w:type="pct"/>
            <w:vAlign w:val="center"/>
          </w:tcPr>
          <w:p w14:paraId="41E7ABE9" w14:textId="1F8324CC" w:rsidR="00A571C9" w:rsidRPr="0018378A" w:rsidRDefault="00A571C9" w:rsidP="00A571C9">
            <w:pPr>
              <w:jc w:val="center"/>
              <w:rPr>
                <w:rFonts w:ascii="GHEA Grapalat" w:hAnsi="GHEA Grapalat" w:cs="Calibri"/>
                <w:color w:val="404040"/>
                <w:sz w:val="16"/>
                <w:szCs w:val="16"/>
              </w:rPr>
            </w:pPr>
            <w:r w:rsidRPr="00A571C9">
              <w:rPr>
                <w:rFonts w:ascii="GHEA Grapalat" w:hAnsi="GHEA Grapalat" w:cs="Calibri"/>
                <w:color w:val="404040"/>
                <w:sz w:val="16"/>
                <w:szCs w:val="16"/>
              </w:rPr>
              <w:t>4.3</w:t>
            </w:r>
          </w:p>
        </w:tc>
      </w:tr>
    </w:tbl>
    <w:p w14:paraId="6DB9149B" w14:textId="77777777" w:rsidR="00ED147C" w:rsidRDefault="00ED147C" w:rsidP="00ED147C">
      <w:pPr>
        <w:pStyle w:val="BodyText1"/>
        <w:ind w:left="0" w:right="357"/>
      </w:pPr>
    </w:p>
    <w:p w14:paraId="70587EA8" w14:textId="77777777" w:rsidR="00ED147C" w:rsidRPr="008F0A86" w:rsidRDefault="00ED147C" w:rsidP="00ED147C">
      <w:pPr>
        <w:pStyle w:val="BodyText1"/>
        <w:ind w:left="0" w:right="357"/>
        <w:rPr>
          <w:lang w:val="af-ZA" w:eastAsia="en-GB"/>
        </w:rPr>
      </w:pPr>
      <w:r w:rsidRPr="008F0A86">
        <w:t>Ստորև ներկայացվում են</w:t>
      </w:r>
      <w:r>
        <w:t xml:space="preserve"> </w:t>
      </w:r>
      <w:r w:rsidRPr="008F0A86">
        <w:t>այլ եկամուտների գծով կան</w:t>
      </w:r>
      <w:r w:rsidRPr="008F0A86">
        <w:softHyphen/>
        <w:t>խատես</w:t>
      </w:r>
      <w:r w:rsidRPr="008F0A86">
        <w:softHyphen/>
        <w:t>վող մուտ</w:t>
      </w:r>
      <w:r w:rsidRPr="008F0A86">
        <w:softHyphen/>
        <w:t>քե</w:t>
      </w:r>
      <w:r w:rsidRPr="008F0A86">
        <w:softHyphen/>
        <w:t>րի հաշ</w:t>
      </w:r>
      <w:r w:rsidRPr="008F0A86">
        <w:softHyphen/>
        <w:t>վարկ</w:t>
      </w:r>
      <w:r w:rsidRPr="008F0A86">
        <w:softHyphen/>
        <w:t>նե</w:t>
      </w:r>
      <w:r w:rsidRPr="008F0A86">
        <w:softHyphen/>
        <w:t>րում կի</w:t>
      </w:r>
      <w:r w:rsidRPr="008F0A86">
        <w:softHyphen/>
        <w:t>րառ</w:t>
      </w:r>
      <w:r w:rsidRPr="008F0A86">
        <w:softHyphen/>
        <w:t>ված մեթոդաբանության համա</w:t>
      </w:r>
      <w:r w:rsidRPr="008F0A86">
        <w:softHyphen/>
        <w:t>ռոտ նկարա</w:t>
      </w:r>
      <w:r w:rsidRPr="008F0A86">
        <w:softHyphen/>
        <w:t>գրու</w:t>
      </w:r>
      <w:r w:rsidRPr="008F0A86">
        <w:softHyphen/>
        <w:t>թյունը:</w:t>
      </w:r>
    </w:p>
    <w:p w14:paraId="0DFFF915" w14:textId="77777777" w:rsidR="00ED147C" w:rsidRPr="008F0A86" w:rsidRDefault="00ED147C" w:rsidP="00ED147C">
      <w:pPr>
        <w:pStyle w:val="BodyText1"/>
        <w:ind w:left="0" w:right="357"/>
        <w:rPr>
          <w:lang w:val="af-ZA"/>
        </w:rPr>
      </w:pPr>
      <w:r w:rsidRPr="008F0A86">
        <w:t>Պետական</w:t>
      </w:r>
      <w:r w:rsidRPr="008F0A86">
        <w:rPr>
          <w:lang w:val="af-ZA"/>
        </w:rPr>
        <w:t xml:space="preserve"> </w:t>
      </w:r>
      <w:r w:rsidRPr="008F0A86">
        <w:t>հիմնարկների</w:t>
      </w:r>
      <w:r w:rsidRPr="008F0A86">
        <w:rPr>
          <w:lang w:val="af-ZA"/>
        </w:rPr>
        <w:t xml:space="preserve"> </w:t>
      </w:r>
      <w:r w:rsidRPr="008F0A86">
        <w:t>հաշվեկշիռներում</w:t>
      </w:r>
      <w:r w:rsidRPr="008F0A86">
        <w:rPr>
          <w:lang w:val="af-ZA"/>
        </w:rPr>
        <w:t xml:space="preserve"> </w:t>
      </w:r>
      <w:r w:rsidRPr="008F0A86">
        <w:t>հաշվառվող</w:t>
      </w:r>
      <w:r w:rsidRPr="008F0A86">
        <w:rPr>
          <w:lang w:val="af-ZA"/>
        </w:rPr>
        <w:t xml:space="preserve"> </w:t>
      </w:r>
      <w:r w:rsidRPr="008F0A86">
        <w:t>գույքի</w:t>
      </w:r>
      <w:r w:rsidRPr="008F0A86">
        <w:rPr>
          <w:lang w:val="af-ZA"/>
        </w:rPr>
        <w:t xml:space="preserve"> (</w:t>
      </w:r>
      <w:r w:rsidRPr="008F0A86">
        <w:t>բացառությամբ</w:t>
      </w:r>
      <w:r w:rsidRPr="008F0A86">
        <w:rPr>
          <w:lang w:val="af-ZA"/>
        </w:rPr>
        <w:t xml:space="preserve"> </w:t>
      </w:r>
      <w:r w:rsidRPr="008F0A86">
        <w:t>հողի</w:t>
      </w:r>
      <w:r w:rsidRPr="008F0A86">
        <w:rPr>
          <w:lang w:val="af-ZA"/>
        </w:rPr>
        <w:t xml:space="preserve">) </w:t>
      </w:r>
      <w:r w:rsidRPr="008F0A86">
        <w:t>վար</w:t>
      </w:r>
      <w:r w:rsidRPr="008F0A86">
        <w:rPr>
          <w:lang w:val="af-ZA"/>
        </w:rPr>
        <w:softHyphen/>
      </w:r>
      <w:r w:rsidRPr="008F0A86">
        <w:rPr>
          <w:lang w:val="af-ZA"/>
        </w:rPr>
        <w:softHyphen/>
      </w:r>
      <w:r w:rsidRPr="008F0A86">
        <w:rPr>
          <w:lang w:val="af-ZA"/>
        </w:rPr>
        <w:softHyphen/>
      </w:r>
      <w:r w:rsidRPr="008F0A86">
        <w:t>ձակալության</w:t>
      </w:r>
      <w:r w:rsidRPr="008F0A86">
        <w:rPr>
          <w:lang w:val="af-ZA"/>
        </w:rPr>
        <w:t xml:space="preserve"> </w:t>
      </w:r>
      <w:r w:rsidRPr="008F0A86">
        <w:t>և</w:t>
      </w:r>
      <w:r w:rsidRPr="008F0A86">
        <w:rPr>
          <w:lang w:val="af-ZA"/>
        </w:rPr>
        <w:t xml:space="preserve"> </w:t>
      </w:r>
      <w:r w:rsidRPr="008F0A86">
        <w:t>օգ</w:t>
      </w:r>
      <w:r w:rsidRPr="008F0A86">
        <w:rPr>
          <w:lang w:val="af-ZA"/>
        </w:rPr>
        <w:softHyphen/>
      </w:r>
      <w:r w:rsidRPr="008F0A86">
        <w:rPr>
          <w:lang w:val="af-ZA"/>
        </w:rPr>
        <w:softHyphen/>
      </w:r>
      <w:r w:rsidRPr="008F0A86">
        <w:t>տա</w:t>
      </w:r>
      <w:r w:rsidRPr="008F0A86">
        <w:rPr>
          <w:lang w:val="af-ZA"/>
        </w:rPr>
        <w:softHyphen/>
      </w:r>
      <w:r w:rsidRPr="008F0A86">
        <w:t>գործ</w:t>
      </w:r>
      <w:r w:rsidRPr="008F0A86">
        <w:rPr>
          <w:lang w:val="af-ZA"/>
        </w:rPr>
        <w:softHyphen/>
      </w:r>
      <w:r w:rsidRPr="008F0A86">
        <w:t>ման</w:t>
      </w:r>
      <w:r w:rsidRPr="008F0A86">
        <w:rPr>
          <w:lang w:val="af-ZA"/>
        </w:rPr>
        <w:t xml:space="preserve"> </w:t>
      </w:r>
      <w:r w:rsidRPr="008F0A86">
        <w:t>դիմաց</w:t>
      </w:r>
      <w:r w:rsidRPr="008F0A86">
        <w:rPr>
          <w:lang w:val="af-ZA"/>
        </w:rPr>
        <w:t xml:space="preserve"> </w:t>
      </w:r>
      <w:r w:rsidRPr="008F0A86">
        <w:t>գանձվող</w:t>
      </w:r>
      <w:r w:rsidRPr="008F0A86">
        <w:rPr>
          <w:lang w:val="af-ZA"/>
        </w:rPr>
        <w:t xml:space="preserve"> </w:t>
      </w:r>
      <w:r w:rsidRPr="008F0A86">
        <w:t>վարձավճարները</w:t>
      </w:r>
      <w:r>
        <w:rPr>
          <w:lang w:val="af-ZA"/>
        </w:rPr>
        <w:t xml:space="preserve"> </w:t>
      </w:r>
      <w:r>
        <w:rPr>
          <w:lang w:val="hy-AM"/>
        </w:rPr>
        <w:t>կ</w:t>
      </w:r>
      <w:r w:rsidRPr="00876169">
        <w:rPr>
          <w:lang w:val="hy-AM"/>
        </w:rPr>
        <w:t>ան</w:t>
      </w:r>
      <w:r w:rsidRPr="008F0A86">
        <w:rPr>
          <w:lang w:val="af-ZA"/>
        </w:rPr>
        <w:softHyphen/>
      </w:r>
      <w:r w:rsidRPr="008F0A86">
        <w:rPr>
          <w:lang w:val="af-ZA"/>
        </w:rPr>
        <w:softHyphen/>
      </w:r>
      <w:r w:rsidRPr="00876169">
        <w:rPr>
          <w:lang w:val="hy-AM"/>
        </w:rPr>
        <w:t>խա</w:t>
      </w:r>
      <w:r w:rsidRPr="008F0A86">
        <w:rPr>
          <w:lang w:val="af-ZA"/>
        </w:rPr>
        <w:softHyphen/>
      </w:r>
      <w:r w:rsidRPr="00876169">
        <w:rPr>
          <w:lang w:val="hy-AM"/>
        </w:rPr>
        <w:t>տե</w:t>
      </w:r>
      <w:r w:rsidRPr="008F0A86">
        <w:rPr>
          <w:lang w:val="af-ZA"/>
        </w:rPr>
        <w:softHyphen/>
      </w:r>
      <w:r w:rsidRPr="008F0A86">
        <w:rPr>
          <w:lang w:val="af-ZA"/>
        </w:rPr>
        <w:softHyphen/>
      </w:r>
      <w:r w:rsidRPr="00876169">
        <w:rPr>
          <w:lang w:val="hy-AM"/>
        </w:rPr>
        <w:t>սում</w:t>
      </w:r>
      <w:r w:rsidRPr="008F0A86">
        <w:rPr>
          <w:lang w:val="af-ZA"/>
        </w:rPr>
        <w:softHyphen/>
      </w:r>
      <w:r w:rsidRPr="008F0A86">
        <w:rPr>
          <w:lang w:val="af-ZA"/>
        </w:rPr>
        <w:softHyphen/>
      </w:r>
      <w:r w:rsidRPr="00876169">
        <w:rPr>
          <w:lang w:val="hy-AM"/>
        </w:rPr>
        <w:t>նե</w:t>
      </w:r>
      <w:r w:rsidRPr="008F0A86">
        <w:rPr>
          <w:lang w:val="af-ZA"/>
        </w:rPr>
        <w:softHyphen/>
      </w:r>
      <w:r w:rsidRPr="00876169">
        <w:rPr>
          <w:lang w:val="hy-AM"/>
        </w:rPr>
        <w:t>րում</w:t>
      </w:r>
      <w:r w:rsidRPr="008F0A86">
        <w:rPr>
          <w:lang w:val="af-ZA"/>
        </w:rPr>
        <w:t xml:space="preserve"> </w:t>
      </w:r>
      <w:r w:rsidRPr="00876169">
        <w:rPr>
          <w:lang w:val="hy-AM"/>
        </w:rPr>
        <w:t>հիմք</w:t>
      </w:r>
      <w:r w:rsidRPr="008F0A86">
        <w:rPr>
          <w:lang w:val="af-ZA"/>
        </w:rPr>
        <w:t xml:space="preserve"> </w:t>
      </w:r>
      <w:r w:rsidRPr="00876169">
        <w:rPr>
          <w:lang w:val="hy-AM"/>
        </w:rPr>
        <w:t>են</w:t>
      </w:r>
      <w:r w:rsidRPr="008F0A86">
        <w:rPr>
          <w:lang w:val="af-ZA"/>
        </w:rPr>
        <w:t xml:space="preserve"> </w:t>
      </w:r>
      <w:r w:rsidRPr="00876169">
        <w:rPr>
          <w:lang w:val="hy-AM"/>
        </w:rPr>
        <w:t>ընդունվել</w:t>
      </w:r>
      <w:r w:rsidRPr="008F0A86">
        <w:rPr>
          <w:lang w:val="af-ZA"/>
        </w:rPr>
        <w:t xml:space="preserve"> </w:t>
      </w:r>
      <w:r w:rsidRPr="00876169">
        <w:rPr>
          <w:lang w:val="hy-AM"/>
        </w:rPr>
        <w:t>պետական</w:t>
      </w:r>
      <w:r w:rsidRPr="008F0A86">
        <w:rPr>
          <w:lang w:val="af-ZA"/>
        </w:rPr>
        <w:t xml:space="preserve"> </w:t>
      </w:r>
      <w:r w:rsidRPr="00876169">
        <w:rPr>
          <w:lang w:val="hy-AM"/>
        </w:rPr>
        <w:t>կա</w:t>
      </w:r>
      <w:r w:rsidRPr="008F0A86">
        <w:rPr>
          <w:lang w:val="af-ZA"/>
        </w:rPr>
        <w:softHyphen/>
      </w:r>
      <w:r w:rsidRPr="00876169">
        <w:rPr>
          <w:lang w:val="hy-AM"/>
        </w:rPr>
        <w:t>ռա</w:t>
      </w:r>
      <w:r w:rsidRPr="008F0A86">
        <w:rPr>
          <w:lang w:val="af-ZA"/>
        </w:rPr>
        <w:softHyphen/>
      </w:r>
      <w:r w:rsidRPr="00876169">
        <w:rPr>
          <w:lang w:val="hy-AM"/>
        </w:rPr>
        <w:t>վար</w:t>
      </w:r>
      <w:r w:rsidRPr="008F0A86">
        <w:rPr>
          <w:lang w:val="af-ZA"/>
        </w:rPr>
        <w:softHyphen/>
      </w:r>
      <w:r w:rsidRPr="00876169">
        <w:rPr>
          <w:lang w:val="hy-AM"/>
        </w:rPr>
        <w:t>ման</w:t>
      </w:r>
      <w:r w:rsidRPr="008F0A86">
        <w:rPr>
          <w:lang w:val="af-ZA"/>
        </w:rPr>
        <w:t xml:space="preserve"> </w:t>
      </w:r>
      <w:r w:rsidRPr="00876169">
        <w:rPr>
          <w:lang w:val="hy-AM"/>
        </w:rPr>
        <w:t>մար</w:t>
      </w:r>
      <w:r w:rsidRPr="008F0A86">
        <w:rPr>
          <w:lang w:val="af-ZA"/>
        </w:rPr>
        <w:softHyphen/>
      </w:r>
      <w:r w:rsidRPr="00876169">
        <w:rPr>
          <w:lang w:val="hy-AM"/>
        </w:rPr>
        <w:t>մին</w:t>
      </w:r>
      <w:r w:rsidRPr="008F0A86">
        <w:rPr>
          <w:lang w:val="af-ZA"/>
        </w:rPr>
        <w:softHyphen/>
      </w:r>
      <w:r w:rsidRPr="00876169">
        <w:rPr>
          <w:lang w:val="hy-AM"/>
        </w:rPr>
        <w:t>ների</w:t>
      </w:r>
      <w:r w:rsidRPr="008F0A86">
        <w:rPr>
          <w:lang w:val="af-ZA"/>
        </w:rPr>
        <w:t xml:space="preserve"> </w:t>
      </w:r>
      <w:r w:rsidRPr="00876169">
        <w:rPr>
          <w:lang w:val="hy-AM"/>
        </w:rPr>
        <w:t>կող</w:t>
      </w:r>
      <w:r w:rsidRPr="008F0A86">
        <w:rPr>
          <w:lang w:val="af-ZA"/>
        </w:rPr>
        <w:softHyphen/>
      </w:r>
      <w:r w:rsidRPr="008F0A86">
        <w:rPr>
          <w:lang w:val="af-ZA"/>
        </w:rPr>
        <w:softHyphen/>
      </w:r>
      <w:r w:rsidRPr="00876169">
        <w:rPr>
          <w:lang w:val="hy-AM"/>
        </w:rPr>
        <w:t>մից</w:t>
      </w:r>
      <w:r w:rsidRPr="008F0A86">
        <w:rPr>
          <w:lang w:val="af-ZA"/>
        </w:rPr>
        <w:t xml:space="preserve"> </w:t>
      </w:r>
      <w:r w:rsidRPr="00876169">
        <w:rPr>
          <w:lang w:val="hy-AM"/>
        </w:rPr>
        <w:t>ներ</w:t>
      </w:r>
      <w:r w:rsidRPr="008F0A86">
        <w:rPr>
          <w:lang w:val="af-ZA"/>
        </w:rPr>
        <w:softHyphen/>
      </w:r>
      <w:r w:rsidRPr="008F0A86">
        <w:rPr>
          <w:lang w:val="af-ZA"/>
        </w:rPr>
        <w:softHyphen/>
      </w:r>
      <w:r w:rsidRPr="008F0A86">
        <w:rPr>
          <w:lang w:val="af-ZA"/>
        </w:rPr>
        <w:softHyphen/>
      </w:r>
      <w:r w:rsidRPr="00876169">
        <w:rPr>
          <w:lang w:val="hy-AM"/>
        </w:rPr>
        <w:t>կա</w:t>
      </w:r>
      <w:r w:rsidRPr="008F0A86">
        <w:rPr>
          <w:lang w:val="af-ZA"/>
        </w:rPr>
        <w:softHyphen/>
      </w:r>
      <w:r w:rsidRPr="00876169">
        <w:rPr>
          <w:lang w:val="hy-AM"/>
        </w:rPr>
        <w:t>յաց</w:t>
      </w:r>
      <w:r w:rsidRPr="008F0A86">
        <w:rPr>
          <w:lang w:val="af-ZA"/>
        </w:rPr>
        <w:softHyphen/>
      </w:r>
      <w:r w:rsidRPr="008F0A86">
        <w:rPr>
          <w:lang w:val="af-ZA"/>
        </w:rPr>
        <w:softHyphen/>
      </w:r>
      <w:r w:rsidRPr="00876169">
        <w:rPr>
          <w:lang w:val="hy-AM"/>
        </w:rPr>
        <w:t>ված</w:t>
      </w:r>
      <w:r w:rsidRPr="008F0A86">
        <w:rPr>
          <w:lang w:val="af-ZA"/>
        </w:rPr>
        <w:t xml:space="preserve"> </w:t>
      </w:r>
      <w:r w:rsidRPr="00876169">
        <w:rPr>
          <w:lang w:val="hy-AM"/>
        </w:rPr>
        <w:t>տե</w:t>
      </w:r>
      <w:r w:rsidRPr="008F0A86">
        <w:rPr>
          <w:lang w:val="af-ZA"/>
        </w:rPr>
        <w:softHyphen/>
      </w:r>
      <w:r w:rsidRPr="00876169">
        <w:rPr>
          <w:lang w:val="hy-AM"/>
        </w:rPr>
        <w:t>ղե</w:t>
      </w:r>
      <w:r w:rsidRPr="008F0A86">
        <w:rPr>
          <w:lang w:val="af-ZA"/>
        </w:rPr>
        <w:softHyphen/>
      </w:r>
      <w:r w:rsidRPr="00876169">
        <w:rPr>
          <w:lang w:val="hy-AM"/>
        </w:rPr>
        <w:t>կու</w:t>
      </w:r>
      <w:r w:rsidRPr="008F0A86">
        <w:rPr>
          <w:lang w:val="af-ZA"/>
        </w:rPr>
        <w:softHyphen/>
      </w:r>
      <w:r w:rsidRPr="00876169">
        <w:rPr>
          <w:lang w:val="hy-AM"/>
        </w:rPr>
        <w:t>թյուն</w:t>
      </w:r>
      <w:r w:rsidRPr="008F0A86">
        <w:rPr>
          <w:lang w:val="af-ZA"/>
        </w:rPr>
        <w:softHyphen/>
      </w:r>
      <w:r w:rsidRPr="00876169">
        <w:rPr>
          <w:lang w:val="hy-AM"/>
        </w:rPr>
        <w:t>նե</w:t>
      </w:r>
      <w:r w:rsidRPr="008F0A86">
        <w:rPr>
          <w:lang w:val="af-ZA"/>
        </w:rPr>
        <w:softHyphen/>
      </w:r>
      <w:r w:rsidRPr="00876169">
        <w:rPr>
          <w:lang w:val="hy-AM"/>
        </w:rPr>
        <w:t>րը</w:t>
      </w:r>
      <w:r w:rsidRPr="008F0A86">
        <w:rPr>
          <w:lang w:val="af-ZA"/>
        </w:rPr>
        <w:t xml:space="preserve"> </w:t>
      </w:r>
      <w:r w:rsidRPr="00876169">
        <w:rPr>
          <w:lang w:val="hy-AM"/>
        </w:rPr>
        <w:t>վարձակալական</w:t>
      </w:r>
      <w:r w:rsidRPr="008F0A86">
        <w:rPr>
          <w:lang w:val="af-ZA"/>
        </w:rPr>
        <w:t xml:space="preserve"> </w:t>
      </w:r>
      <w:r w:rsidRPr="00876169">
        <w:rPr>
          <w:lang w:val="hy-AM"/>
        </w:rPr>
        <w:t>պայ</w:t>
      </w:r>
      <w:r w:rsidRPr="008F0A86">
        <w:rPr>
          <w:lang w:val="af-ZA"/>
        </w:rPr>
        <w:softHyphen/>
      </w:r>
      <w:r w:rsidRPr="00876169">
        <w:rPr>
          <w:lang w:val="hy-AM"/>
        </w:rPr>
        <w:t>մա</w:t>
      </w:r>
      <w:r w:rsidRPr="008F0A86">
        <w:rPr>
          <w:lang w:val="af-ZA"/>
        </w:rPr>
        <w:softHyphen/>
      </w:r>
      <w:r w:rsidRPr="00876169">
        <w:rPr>
          <w:lang w:val="hy-AM"/>
        </w:rPr>
        <w:t>նա</w:t>
      </w:r>
      <w:r w:rsidRPr="008F0A86">
        <w:rPr>
          <w:lang w:val="af-ZA"/>
        </w:rPr>
        <w:softHyphen/>
      </w:r>
      <w:r w:rsidRPr="00876169">
        <w:rPr>
          <w:lang w:val="hy-AM"/>
        </w:rPr>
        <w:t>գրերի</w:t>
      </w:r>
      <w:r w:rsidRPr="008F0A86">
        <w:rPr>
          <w:lang w:val="af-ZA"/>
        </w:rPr>
        <w:t xml:space="preserve"> </w:t>
      </w:r>
      <w:r w:rsidRPr="00876169">
        <w:rPr>
          <w:lang w:val="hy-AM"/>
        </w:rPr>
        <w:t>հա</w:t>
      </w:r>
      <w:r w:rsidRPr="008F0A86">
        <w:rPr>
          <w:lang w:val="af-ZA"/>
        </w:rPr>
        <w:softHyphen/>
      </w:r>
      <w:r w:rsidRPr="008F0A86">
        <w:rPr>
          <w:lang w:val="af-ZA"/>
        </w:rPr>
        <w:softHyphen/>
      </w:r>
      <w:r w:rsidRPr="00876169">
        <w:rPr>
          <w:lang w:val="hy-AM"/>
        </w:rPr>
        <w:t>մա</w:t>
      </w:r>
      <w:r w:rsidRPr="008F0A86">
        <w:rPr>
          <w:lang w:val="af-ZA"/>
        </w:rPr>
        <w:softHyphen/>
      </w:r>
      <w:r w:rsidRPr="00876169">
        <w:rPr>
          <w:lang w:val="hy-AM"/>
        </w:rPr>
        <w:t>ձայն</w:t>
      </w:r>
      <w:r w:rsidRPr="008F0A86">
        <w:rPr>
          <w:lang w:val="af-ZA"/>
        </w:rPr>
        <w:t xml:space="preserve"> </w:t>
      </w:r>
      <w:r w:rsidRPr="00876169">
        <w:rPr>
          <w:lang w:val="hy-AM"/>
        </w:rPr>
        <w:t>վճար</w:t>
      </w:r>
      <w:r w:rsidRPr="008F0A86">
        <w:rPr>
          <w:lang w:val="af-ZA"/>
        </w:rPr>
        <w:softHyphen/>
      </w:r>
      <w:r w:rsidRPr="00876169">
        <w:rPr>
          <w:lang w:val="hy-AM"/>
        </w:rPr>
        <w:t>վե</w:t>
      </w:r>
      <w:r w:rsidRPr="008F0A86">
        <w:rPr>
          <w:lang w:val="af-ZA"/>
        </w:rPr>
        <w:softHyphen/>
      </w:r>
      <w:r w:rsidRPr="008F0A86">
        <w:rPr>
          <w:lang w:val="af-ZA"/>
        </w:rPr>
        <w:softHyphen/>
      </w:r>
      <w:r w:rsidRPr="00876169">
        <w:rPr>
          <w:lang w:val="hy-AM"/>
        </w:rPr>
        <w:t>լիք</w:t>
      </w:r>
      <w:r w:rsidRPr="008F0A86">
        <w:rPr>
          <w:lang w:val="af-ZA"/>
        </w:rPr>
        <w:t xml:space="preserve"> </w:t>
      </w:r>
      <w:r w:rsidRPr="00876169">
        <w:rPr>
          <w:lang w:val="hy-AM"/>
        </w:rPr>
        <w:t>վար</w:t>
      </w:r>
      <w:r w:rsidRPr="008F0A86">
        <w:rPr>
          <w:lang w:val="af-ZA"/>
        </w:rPr>
        <w:softHyphen/>
      </w:r>
      <w:r w:rsidRPr="00876169">
        <w:rPr>
          <w:lang w:val="hy-AM"/>
        </w:rPr>
        <w:t>ձա</w:t>
      </w:r>
      <w:r w:rsidRPr="008F0A86">
        <w:rPr>
          <w:lang w:val="af-ZA"/>
        </w:rPr>
        <w:softHyphen/>
      </w:r>
      <w:r w:rsidRPr="00876169">
        <w:rPr>
          <w:lang w:val="hy-AM"/>
        </w:rPr>
        <w:t>վճար</w:t>
      </w:r>
      <w:r w:rsidRPr="008F0A86">
        <w:rPr>
          <w:lang w:val="af-ZA"/>
        </w:rPr>
        <w:softHyphen/>
      </w:r>
      <w:r w:rsidRPr="00876169">
        <w:rPr>
          <w:lang w:val="hy-AM"/>
        </w:rPr>
        <w:t>ների</w:t>
      </w:r>
      <w:r w:rsidRPr="008F0A86">
        <w:rPr>
          <w:lang w:val="af-ZA"/>
        </w:rPr>
        <w:t xml:space="preserve"> </w:t>
      </w:r>
      <w:r w:rsidRPr="00876169">
        <w:rPr>
          <w:lang w:val="hy-AM"/>
        </w:rPr>
        <w:t>վե</w:t>
      </w:r>
      <w:r w:rsidRPr="008F0A86">
        <w:rPr>
          <w:lang w:val="af-ZA"/>
        </w:rPr>
        <w:softHyphen/>
      </w:r>
      <w:r w:rsidRPr="00876169">
        <w:rPr>
          <w:lang w:val="hy-AM"/>
        </w:rPr>
        <w:t>րա</w:t>
      </w:r>
      <w:r w:rsidRPr="008F0A86">
        <w:rPr>
          <w:lang w:val="af-ZA"/>
        </w:rPr>
        <w:softHyphen/>
      </w:r>
      <w:r w:rsidRPr="00876169">
        <w:rPr>
          <w:lang w:val="hy-AM"/>
        </w:rPr>
        <w:t>բեր</w:t>
      </w:r>
      <w:r w:rsidRPr="008F0A86">
        <w:rPr>
          <w:lang w:val="af-ZA"/>
        </w:rPr>
        <w:softHyphen/>
      </w:r>
      <w:r w:rsidRPr="008F0A86">
        <w:rPr>
          <w:lang w:val="af-ZA"/>
        </w:rPr>
        <w:softHyphen/>
      </w:r>
      <w:r w:rsidRPr="00876169">
        <w:rPr>
          <w:lang w:val="hy-AM"/>
        </w:rPr>
        <w:t>յալ</w:t>
      </w:r>
      <w:r w:rsidRPr="008F0A86">
        <w:rPr>
          <w:lang w:val="af-ZA"/>
        </w:rPr>
        <w:t xml:space="preserve">, </w:t>
      </w:r>
      <w:r w:rsidRPr="00876169">
        <w:rPr>
          <w:lang w:val="hy-AM"/>
        </w:rPr>
        <w:t>ինչ</w:t>
      </w:r>
      <w:r w:rsidRPr="008F0A86">
        <w:rPr>
          <w:lang w:val="af-ZA"/>
        </w:rPr>
        <w:softHyphen/>
      </w:r>
      <w:r w:rsidRPr="00876169">
        <w:rPr>
          <w:lang w:val="hy-AM"/>
        </w:rPr>
        <w:t>պես</w:t>
      </w:r>
      <w:r w:rsidRPr="008F0A86">
        <w:rPr>
          <w:lang w:val="af-ZA"/>
        </w:rPr>
        <w:t xml:space="preserve"> </w:t>
      </w:r>
      <w:r w:rsidRPr="00876169">
        <w:rPr>
          <w:lang w:val="hy-AM"/>
        </w:rPr>
        <w:t>նաև</w:t>
      </w:r>
      <w:r w:rsidRPr="008F0A86">
        <w:rPr>
          <w:lang w:val="af-ZA"/>
        </w:rPr>
        <w:t xml:space="preserve"> </w:t>
      </w:r>
      <w:r w:rsidRPr="00876169">
        <w:rPr>
          <w:lang w:val="hy-AM"/>
        </w:rPr>
        <w:t>հա</w:t>
      </w:r>
      <w:r w:rsidRPr="008F0A86">
        <w:rPr>
          <w:lang w:val="af-ZA"/>
        </w:rPr>
        <w:softHyphen/>
      </w:r>
      <w:r w:rsidRPr="00876169">
        <w:rPr>
          <w:lang w:val="hy-AM"/>
        </w:rPr>
        <w:t>մա</w:t>
      </w:r>
      <w:r w:rsidRPr="008F0A86">
        <w:rPr>
          <w:lang w:val="af-ZA"/>
        </w:rPr>
        <w:softHyphen/>
      </w:r>
      <w:r w:rsidRPr="00876169">
        <w:rPr>
          <w:lang w:val="hy-AM"/>
        </w:rPr>
        <w:t>պա</w:t>
      </w:r>
      <w:r w:rsidRPr="008F0A86">
        <w:rPr>
          <w:lang w:val="af-ZA"/>
        </w:rPr>
        <w:softHyphen/>
      </w:r>
      <w:r w:rsidRPr="00876169">
        <w:rPr>
          <w:lang w:val="hy-AM"/>
        </w:rPr>
        <w:t>տաս</w:t>
      </w:r>
      <w:r w:rsidRPr="008F0A86">
        <w:rPr>
          <w:lang w:val="af-ZA"/>
        </w:rPr>
        <w:softHyphen/>
      </w:r>
      <w:r w:rsidRPr="00876169">
        <w:rPr>
          <w:lang w:val="hy-AM"/>
        </w:rPr>
        <w:t>խան</w:t>
      </w:r>
      <w:r w:rsidRPr="008F0A86">
        <w:rPr>
          <w:lang w:val="af-ZA"/>
        </w:rPr>
        <w:t xml:space="preserve"> </w:t>
      </w:r>
      <w:r w:rsidRPr="008F0A86">
        <w:rPr>
          <w:lang w:val="af-ZA"/>
        </w:rPr>
        <w:softHyphen/>
      </w:r>
      <w:r w:rsidRPr="00876169">
        <w:rPr>
          <w:lang w:val="hy-AM"/>
        </w:rPr>
        <w:t>բյու</w:t>
      </w:r>
      <w:r w:rsidRPr="008F0A86">
        <w:rPr>
          <w:lang w:val="af-ZA"/>
        </w:rPr>
        <w:softHyphen/>
      </w:r>
      <w:r w:rsidRPr="00876169">
        <w:rPr>
          <w:lang w:val="hy-AM"/>
        </w:rPr>
        <w:t>ջե</w:t>
      </w:r>
      <w:r w:rsidRPr="008F0A86">
        <w:rPr>
          <w:lang w:val="af-ZA"/>
        </w:rPr>
        <w:softHyphen/>
      </w:r>
      <w:r w:rsidRPr="008F0A86">
        <w:rPr>
          <w:lang w:val="af-ZA"/>
        </w:rPr>
        <w:softHyphen/>
      </w:r>
      <w:r w:rsidRPr="00876169">
        <w:rPr>
          <w:lang w:val="hy-AM"/>
        </w:rPr>
        <w:t>տա</w:t>
      </w:r>
      <w:r w:rsidRPr="008F0A86">
        <w:rPr>
          <w:lang w:val="af-ZA"/>
        </w:rPr>
        <w:softHyphen/>
      </w:r>
      <w:r w:rsidRPr="00876169">
        <w:rPr>
          <w:lang w:val="hy-AM"/>
        </w:rPr>
        <w:t>յին</w:t>
      </w:r>
      <w:r w:rsidRPr="008F0A86">
        <w:rPr>
          <w:lang w:val="af-ZA"/>
        </w:rPr>
        <w:t xml:space="preserve"> </w:t>
      </w:r>
      <w:r w:rsidRPr="00876169">
        <w:rPr>
          <w:lang w:val="hy-AM"/>
        </w:rPr>
        <w:t>փաստացի</w:t>
      </w:r>
      <w:r w:rsidRPr="008F0A86">
        <w:rPr>
          <w:lang w:val="af-ZA"/>
        </w:rPr>
        <w:t xml:space="preserve"> </w:t>
      </w:r>
      <w:r w:rsidRPr="00876169">
        <w:rPr>
          <w:lang w:val="hy-AM"/>
        </w:rPr>
        <w:t>մուտ</w:t>
      </w:r>
      <w:r w:rsidRPr="008F0A86">
        <w:rPr>
          <w:lang w:val="af-ZA"/>
        </w:rPr>
        <w:softHyphen/>
      </w:r>
      <w:r w:rsidRPr="00876169">
        <w:rPr>
          <w:lang w:val="hy-AM"/>
        </w:rPr>
        <w:t>քերի</w:t>
      </w:r>
      <w:r w:rsidRPr="008F0A86">
        <w:rPr>
          <w:lang w:val="af-ZA"/>
        </w:rPr>
        <w:t xml:space="preserve"> </w:t>
      </w:r>
      <w:r w:rsidRPr="00876169">
        <w:rPr>
          <w:lang w:val="hy-AM"/>
        </w:rPr>
        <w:t>գծով</w:t>
      </w:r>
      <w:r w:rsidRPr="008F0A86">
        <w:rPr>
          <w:lang w:val="af-ZA"/>
        </w:rPr>
        <w:t xml:space="preserve"> </w:t>
      </w:r>
      <w:r w:rsidRPr="00876169">
        <w:rPr>
          <w:lang w:val="hy-AM"/>
        </w:rPr>
        <w:t>գան</w:t>
      </w:r>
      <w:r w:rsidRPr="008F0A86">
        <w:rPr>
          <w:lang w:val="af-ZA"/>
        </w:rPr>
        <w:softHyphen/>
      </w:r>
      <w:r w:rsidRPr="008F0A86">
        <w:rPr>
          <w:lang w:val="af-ZA"/>
        </w:rPr>
        <w:softHyphen/>
      </w:r>
      <w:r w:rsidRPr="00876169">
        <w:rPr>
          <w:lang w:val="hy-AM"/>
        </w:rPr>
        <w:t>ձա</w:t>
      </w:r>
      <w:r w:rsidRPr="008F0A86">
        <w:rPr>
          <w:lang w:val="af-ZA"/>
        </w:rPr>
        <w:softHyphen/>
      </w:r>
      <w:r w:rsidRPr="00876169">
        <w:rPr>
          <w:lang w:val="hy-AM"/>
        </w:rPr>
        <w:t>պե</w:t>
      </w:r>
      <w:r w:rsidRPr="008F0A86">
        <w:rPr>
          <w:lang w:val="af-ZA"/>
        </w:rPr>
        <w:softHyphen/>
      </w:r>
      <w:r w:rsidRPr="00876169">
        <w:rPr>
          <w:lang w:val="hy-AM"/>
        </w:rPr>
        <w:t>տա</w:t>
      </w:r>
      <w:r w:rsidRPr="008F0A86">
        <w:rPr>
          <w:lang w:val="af-ZA"/>
        </w:rPr>
        <w:softHyphen/>
      </w:r>
      <w:r w:rsidRPr="00876169">
        <w:rPr>
          <w:lang w:val="hy-AM"/>
        </w:rPr>
        <w:t>կան</w:t>
      </w:r>
      <w:r w:rsidRPr="008F0A86">
        <w:rPr>
          <w:lang w:val="af-ZA"/>
        </w:rPr>
        <w:t xml:space="preserve"> </w:t>
      </w:r>
      <w:r w:rsidRPr="00876169">
        <w:rPr>
          <w:lang w:val="hy-AM"/>
        </w:rPr>
        <w:t>տվյալները</w:t>
      </w:r>
      <w:r w:rsidRPr="008F0A86">
        <w:rPr>
          <w:lang w:val="af-ZA"/>
        </w:rPr>
        <w:t>:</w:t>
      </w:r>
    </w:p>
    <w:p w14:paraId="30034C75" w14:textId="77777777" w:rsidR="00ED147C" w:rsidRPr="00876169" w:rsidRDefault="00ED147C" w:rsidP="00ED147C">
      <w:pPr>
        <w:pStyle w:val="BodyText1"/>
        <w:ind w:left="0" w:right="357"/>
        <w:rPr>
          <w:lang w:val="af-ZA"/>
        </w:rPr>
      </w:pPr>
      <w:r w:rsidRPr="00876169">
        <w:t>Բանկերում</w:t>
      </w:r>
      <w:r w:rsidRPr="00876169">
        <w:rPr>
          <w:lang w:val="af-ZA"/>
        </w:rPr>
        <w:t xml:space="preserve"> </w:t>
      </w:r>
      <w:r w:rsidRPr="00876169">
        <w:t>և</w:t>
      </w:r>
      <w:r w:rsidRPr="00876169">
        <w:rPr>
          <w:lang w:val="af-ZA"/>
        </w:rPr>
        <w:t xml:space="preserve"> </w:t>
      </w:r>
      <w:r w:rsidRPr="00876169">
        <w:t>ֆինանսավարկային</w:t>
      </w:r>
      <w:r w:rsidRPr="00876169">
        <w:rPr>
          <w:lang w:val="af-ZA"/>
        </w:rPr>
        <w:t xml:space="preserve"> </w:t>
      </w:r>
      <w:r w:rsidRPr="00876169">
        <w:t>հաստատություններում</w:t>
      </w:r>
      <w:r w:rsidRPr="00876169">
        <w:rPr>
          <w:lang w:val="af-ZA"/>
        </w:rPr>
        <w:t xml:space="preserve"> </w:t>
      </w:r>
      <w:r w:rsidRPr="00876169">
        <w:t>գանձապետական</w:t>
      </w:r>
      <w:r w:rsidRPr="00876169">
        <w:rPr>
          <w:lang w:val="af-ZA"/>
        </w:rPr>
        <w:t xml:space="preserve"> </w:t>
      </w:r>
      <w:r w:rsidRPr="00876169">
        <w:t>միաս</w:t>
      </w:r>
      <w:r w:rsidRPr="00876169">
        <w:rPr>
          <w:lang w:val="af-ZA"/>
        </w:rPr>
        <w:softHyphen/>
      </w:r>
      <w:r w:rsidRPr="00876169">
        <w:t>նա</w:t>
      </w:r>
      <w:r w:rsidRPr="00876169">
        <w:rPr>
          <w:lang w:val="af-ZA"/>
        </w:rPr>
        <w:softHyphen/>
      </w:r>
      <w:r w:rsidRPr="00876169">
        <w:rPr>
          <w:lang w:val="af-ZA"/>
        </w:rPr>
        <w:softHyphen/>
      </w:r>
      <w:r w:rsidRPr="00876169">
        <w:t>կան</w:t>
      </w:r>
      <w:r w:rsidRPr="00876169">
        <w:rPr>
          <w:lang w:val="af-ZA"/>
        </w:rPr>
        <w:t xml:space="preserve"> </w:t>
      </w:r>
      <w:r w:rsidRPr="00876169">
        <w:t>հաշ</w:t>
      </w:r>
      <w:r w:rsidRPr="00876169">
        <w:rPr>
          <w:lang w:val="af-ZA"/>
        </w:rPr>
        <w:softHyphen/>
      </w:r>
      <w:r w:rsidRPr="00876169">
        <w:rPr>
          <w:lang w:val="af-ZA"/>
        </w:rPr>
        <w:softHyphen/>
      </w:r>
      <w:r w:rsidRPr="00876169">
        <w:rPr>
          <w:lang w:val="af-ZA"/>
        </w:rPr>
        <w:softHyphen/>
      </w:r>
      <w:r w:rsidRPr="00876169">
        <w:t>վի</w:t>
      </w:r>
      <w:r w:rsidRPr="00876169">
        <w:rPr>
          <w:lang w:val="af-ZA"/>
        </w:rPr>
        <w:t xml:space="preserve"> </w:t>
      </w:r>
      <w:r w:rsidRPr="00876169">
        <w:t>ժա</w:t>
      </w:r>
      <w:r w:rsidRPr="00876169">
        <w:rPr>
          <w:lang w:val="af-ZA"/>
        </w:rPr>
        <w:softHyphen/>
      </w:r>
      <w:r w:rsidRPr="00876169">
        <w:t>մա</w:t>
      </w:r>
      <w:r w:rsidRPr="00876169">
        <w:rPr>
          <w:lang w:val="af-ZA"/>
        </w:rPr>
        <w:softHyphen/>
      </w:r>
      <w:r w:rsidRPr="00876169">
        <w:t>նա</w:t>
      </w:r>
      <w:r w:rsidRPr="00876169">
        <w:rPr>
          <w:lang w:val="af-ZA"/>
        </w:rPr>
        <w:softHyphen/>
      </w:r>
      <w:r w:rsidRPr="00876169">
        <w:rPr>
          <w:lang w:val="af-ZA"/>
        </w:rPr>
        <w:softHyphen/>
      </w:r>
      <w:r w:rsidRPr="00876169">
        <w:t>կավոր</w:t>
      </w:r>
      <w:r w:rsidRPr="00876169">
        <w:rPr>
          <w:lang w:val="af-ZA"/>
        </w:rPr>
        <w:t xml:space="preserve"> </w:t>
      </w:r>
      <w:r w:rsidRPr="00876169">
        <w:t>ազատ</w:t>
      </w:r>
      <w:r w:rsidRPr="00876169">
        <w:rPr>
          <w:lang w:val="af-ZA"/>
        </w:rPr>
        <w:t xml:space="preserve"> </w:t>
      </w:r>
      <w:r w:rsidRPr="00876169">
        <w:t>միջոցների</w:t>
      </w:r>
      <w:r w:rsidRPr="00876169">
        <w:rPr>
          <w:lang w:val="af-ZA"/>
        </w:rPr>
        <w:t xml:space="preserve"> </w:t>
      </w:r>
      <w:r w:rsidRPr="00876169">
        <w:t>տեղաբաշխումից</w:t>
      </w:r>
      <w:r w:rsidRPr="00876169">
        <w:rPr>
          <w:lang w:val="af-ZA"/>
        </w:rPr>
        <w:t xml:space="preserve"> </w:t>
      </w:r>
      <w:r w:rsidRPr="00876169">
        <w:t>և</w:t>
      </w:r>
      <w:r w:rsidRPr="00876169">
        <w:rPr>
          <w:lang w:val="af-ZA"/>
        </w:rPr>
        <w:t xml:space="preserve"> </w:t>
      </w:r>
      <w:r w:rsidRPr="00876169">
        <w:t>դեպոզիտներից</w:t>
      </w:r>
      <w:r w:rsidRPr="00876169">
        <w:rPr>
          <w:lang w:val="af-ZA"/>
        </w:rPr>
        <w:t xml:space="preserve"> </w:t>
      </w:r>
      <w:r w:rsidRPr="00876169">
        <w:t>ստաց</w:t>
      </w:r>
      <w:r w:rsidRPr="00876169">
        <w:rPr>
          <w:lang w:val="af-ZA"/>
        </w:rPr>
        <w:softHyphen/>
      </w:r>
      <w:r w:rsidRPr="00876169">
        <w:t>վող</w:t>
      </w:r>
      <w:r w:rsidRPr="00876169">
        <w:rPr>
          <w:lang w:val="af-ZA"/>
        </w:rPr>
        <w:t xml:space="preserve"> </w:t>
      </w:r>
      <w:r w:rsidRPr="00876169">
        <w:t>տո</w:t>
      </w:r>
      <w:r w:rsidRPr="00876169">
        <w:rPr>
          <w:lang w:val="af-ZA"/>
        </w:rPr>
        <w:softHyphen/>
      </w:r>
      <w:r w:rsidRPr="00876169">
        <w:t>կո</w:t>
      </w:r>
      <w:r w:rsidRPr="00876169">
        <w:rPr>
          <w:lang w:val="af-ZA"/>
        </w:rPr>
        <w:softHyphen/>
      </w:r>
      <w:r w:rsidRPr="00876169">
        <w:t>սա</w:t>
      </w:r>
      <w:r w:rsidRPr="00876169">
        <w:rPr>
          <w:lang w:val="af-ZA"/>
        </w:rPr>
        <w:softHyphen/>
      </w:r>
      <w:r w:rsidRPr="00876169">
        <w:t>վճար</w:t>
      </w:r>
      <w:r w:rsidRPr="00876169">
        <w:rPr>
          <w:lang w:val="af-ZA"/>
        </w:rPr>
        <w:softHyphen/>
      </w:r>
      <w:r w:rsidRPr="00876169">
        <w:rPr>
          <w:lang w:val="af-ZA"/>
        </w:rPr>
        <w:softHyphen/>
      </w:r>
      <w:r w:rsidRPr="00876169">
        <w:rPr>
          <w:lang w:val="af-ZA"/>
        </w:rPr>
        <w:softHyphen/>
      </w:r>
      <w:r w:rsidRPr="00876169">
        <w:rPr>
          <w:lang w:val="af-ZA"/>
        </w:rPr>
        <w:softHyphen/>
      </w:r>
      <w:r w:rsidRPr="00876169">
        <w:t>նե</w:t>
      </w:r>
      <w:r w:rsidRPr="00876169">
        <w:rPr>
          <w:lang w:val="af-ZA"/>
        </w:rPr>
        <w:softHyphen/>
      </w:r>
      <w:r w:rsidRPr="00876169">
        <w:t>րից</w:t>
      </w:r>
      <w:r w:rsidRPr="00876169">
        <w:rPr>
          <w:lang w:val="af-ZA"/>
        </w:rPr>
        <w:t xml:space="preserve">, </w:t>
      </w:r>
      <w:r w:rsidRPr="00876169">
        <w:t>իրավաբանական</w:t>
      </w:r>
      <w:r w:rsidRPr="00876169">
        <w:rPr>
          <w:lang w:val="af-ZA"/>
        </w:rPr>
        <w:t xml:space="preserve"> </w:t>
      </w:r>
      <w:r w:rsidRPr="00876169">
        <w:t>անձանց</w:t>
      </w:r>
      <w:r w:rsidRPr="00876169">
        <w:rPr>
          <w:lang w:val="af-ZA"/>
        </w:rPr>
        <w:t xml:space="preserve"> </w:t>
      </w:r>
      <w:r w:rsidRPr="00876169">
        <w:t>կապիտալում</w:t>
      </w:r>
      <w:r w:rsidRPr="00876169">
        <w:rPr>
          <w:lang w:val="af-ZA"/>
        </w:rPr>
        <w:t xml:space="preserve"> </w:t>
      </w:r>
      <w:r w:rsidRPr="00876169">
        <w:t>կատարված</w:t>
      </w:r>
      <w:r w:rsidRPr="00876169">
        <w:rPr>
          <w:lang w:val="af-ZA"/>
        </w:rPr>
        <w:t xml:space="preserve"> </w:t>
      </w:r>
      <w:r w:rsidRPr="00876169">
        <w:t>ներ</w:t>
      </w:r>
      <w:r w:rsidRPr="00876169">
        <w:rPr>
          <w:lang w:val="af-ZA"/>
        </w:rPr>
        <w:softHyphen/>
      </w:r>
      <w:r w:rsidRPr="00876169">
        <w:t>դրում</w:t>
      </w:r>
      <w:r w:rsidRPr="00876169">
        <w:rPr>
          <w:lang w:val="af-ZA"/>
        </w:rPr>
        <w:softHyphen/>
      </w:r>
      <w:r w:rsidRPr="00876169">
        <w:rPr>
          <w:lang w:val="af-ZA"/>
        </w:rPr>
        <w:softHyphen/>
      </w:r>
      <w:r w:rsidRPr="00876169">
        <w:t>նե</w:t>
      </w:r>
      <w:r w:rsidRPr="00876169">
        <w:rPr>
          <w:lang w:val="af-ZA"/>
        </w:rPr>
        <w:softHyphen/>
      </w:r>
      <w:r w:rsidRPr="00876169">
        <w:t>րից</w:t>
      </w:r>
      <w:r w:rsidRPr="00876169">
        <w:rPr>
          <w:lang w:val="af-ZA"/>
        </w:rPr>
        <w:t xml:space="preserve"> </w:t>
      </w:r>
      <w:r w:rsidRPr="00876169">
        <w:t>ստաց</w:t>
      </w:r>
      <w:r w:rsidRPr="00876169">
        <w:rPr>
          <w:lang w:val="af-ZA"/>
        </w:rPr>
        <w:softHyphen/>
      </w:r>
      <w:r w:rsidRPr="00876169">
        <w:t>վող</w:t>
      </w:r>
      <w:r w:rsidRPr="00876169">
        <w:rPr>
          <w:lang w:val="af-ZA"/>
        </w:rPr>
        <w:t xml:space="preserve"> </w:t>
      </w:r>
      <w:r w:rsidRPr="00876169">
        <w:t>շա</w:t>
      </w:r>
      <w:r w:rsidRPr="00876169">
        <w:rPr>
          <w:lang w:val="af-ZA"/>
        </w:rPr>
        <w:softHyphen/>
      </w:r>
      <w:r w:rsidRPr="00876169">
        <w:t>հա</w:t>
      </w:r>
      <w:r w:rsidRPr="00876169">
        <w:rPr>
          <w:lang w:val="af-ZA"/>
        </w:rPr>
        <w:softHyphen/>
      </w:r>
      <w:r w:rsidRPr="00876169">
        <w:rPr>
          <w:lang w:val="af-ZA"/>
        </w:rPr>
        <w:softHyphen/>
      </w:r>
      <w:r w:rsidRPr="00876169">
        <w:t>բա</w:t>
      </w:r>
      <w:r w:rsidRPr="00876169">
        <w:rPr>
          <w:lang w:val="af-ZA"/>
        </w:rPr>
        <w:softHyphen/>
      </w:r>
      <w:r w:rsidRPr="00876169">
        <w:rPr>
          <w:lang w:val="af-ZA"/>
        </w:rPr>
        <w:softHyphen/>
      </w:r>
      <w:r w:rsidRPr="00876169">
        <w:rPr>
          <w:lang w:val="af-ZA"/>
        </w:rPr>
        <w:softHyphen/>
      </w:r>
      <w:r w:rsidRPr="00876169">
        <w:t>ժիններից</w:t>
      </w:r>
      <w:r w:rsidRPr="00876169">
        <w:rPr>
          <w:lang w:val="af-ZA"/>
        </w:rPr>
        <w:t xml:space="preserve"> 202</w:t>
      </w:r>
      <w:r>
        <w:rPr>
          <w:lang w:val="hy-AM"/>
        </w:rPr>
        <w:t>6</w:t>
      </w:r>
      <w:r w:rsidRPr="00876169">
        <w:rPr>
          <w:lang w:val="af-ZA"/>
        </w:rPr>
        <w:t xml:space="preserve"> </w:t>
      </w:r>
      <w:r w:rsidRPr="00876169">
        <w:t>թվականին</w:t>
      </w:r>
      <w:r w:rsidRPr="00876169">
        <w:rPr>
          <w:lang w:val="af-ZA"/>
        </w:rPr>
        <w:t xml:space="preserve"> </w:t>
      </w:r>
      <w:r w:rsidRPr="00876169">
        <w:t>ակնկալվում</w:t>
      </w:r>
      <w:r w:rsidRPr="00876169">
        <w:rPr>
          <w:lang w:val="af-ZA"/>
        </w:rPr>
        <w:t xml:space="preserve"> </w:t>
      </w:r>
      <w:r w:rsidRPr="00876169">
        <w:t>են</w:t>
      </w:r>
      <w:r>
        <w:rPr>
          <w:lang w:val="af-ZA"/>
        </w:rPr>
        <w:t xml:space="preserve"> 29,928</w:t>
      </w:r>
      <w:r w:rsidRPr="00876169">
        <w:rPr>
          <w:lang w:val="af-ZA"/>
        </w:rPr>
        <w:t>.</w:t>
      </w:r>
      <w:r>
        <w:rPr>
          <w:lang w:val="hy-AM"/>
        </w:rPr>
        <w:t>4</w:t>
      </w:r>
      <w:r w:rsidRPr="00876169">
        <w:rPr>
          <w:lang w:val="af-ZA"/>
        </w:rPr>
        <w:t xml:space="preserve"> </w:t>
      </w:r>
      <w:r w:rsidRPr="00876169">
        <w:t>մլն</w:t>
      </w:r>
      <w:r w:rsidRPr="00876169">
        <w:rPr>
          <w:lang w:val="af-ZA"/>
        </w:rPr>
        <w:t xml:space="preserve"> </w:t>
      </w:r>
      <w:r w:rsidRPr="00876169">
        <w:t>դրամի</w:t>
      </w:r>
      <w:r w:rsidRPr="00876169">
        <w:rPr>
          <w:lang w:val="af-ZA"/>
        </w:rPr>
        <w:t xml:space="preserve"> </w:t>
      </w:r>
      <w:r w:rsidRPr="00876169">
        <w:t>չափով</w:t>
      </w:r>
      <w:r w:rsidRPr="00876169">
        <w:rPr>
          <w:lang w:val="af-ZA"/>
        </w:rPr>
        <w:t xml:space="preserve"> </w:t>
      </w:r>
      <w:r w:rsidRPr="00876169">
        <w:t>մուտ</w:t>
      </w:r>
      <w:r w:rsidRPr="00876169">
        <w:rPr>
          <w:lang w:val="af-ZA"/>
        </w:rPr>
        <w:softHyphen/>
      </w:r>
      <w:r w:rsidRPr="00876169">
        <w:t>քեր</w:t>
      </w:r>
      <w:r>
        <w:rPr>
          <w:lang w:val="hy-AM"/>
        </w:rPr>
        <w:t>, 2027 թվականին՝ 30,732</w:t>
      </w:r>
      <w:r w:rsidRPr="005A4C9C">
        <w:rPr>
          <w:lang w:val="af-ZA"/>
        </w:rPr>
        <w:t>.</w:t>
      </w:r>
      <w:r>
        <w:rPr>
          <w:lang w:val="af-ZA"/>
        </w:rPr>
        <w:t>8</w:t>
      </w:r>
      <w:r>
        <w:rPr>
          <w:lang w:val="hy-AM"/>
        </w:rPr>
        <w:t xml:space="preserve"> մլն դրամ</w:t>
      </w:r>
      <w:r>
        <w:rPr>
          <w:lang w:val="af-ZA"/>
        </w:rPr>
        <w:t xml:space="preserve">, 2028 </w:t>
      </w:r>
      <w:r>
        <w:rPr>
          <w:lang w:val="hy-AM"/>
        </w:rPr>
        <w:t>թվականին՝ 31,355</w:t>
      </w:r>
      <w:r w:rsidRPr="005A4C9C">
        <w:rPr>
          <w:lang w:val="af-ZA"/>
        </w:rPr>
        <w:t>.</w:t>
      </w:r>
      <w:r>
        <w:rPr>
          <w:lang w:val="hy-AM"/>
        </w:rPr>
        <w:t>3</w:t>
      </w:r>
      <w:r>
        <w:rPr>
          <w:lang w:val="af-ZA"/>
        </w:rPr>
        <w:t xml:space="preserve"> </w:t>
      </w:r>
      <w:r>
        <w:rPr>
          <w:lang w:val="hy-AM"/>
        </w:rPr>
        <w:t>մլն դրամ</w:t>
      </w:r>
      <w:r w:rsidRPr="00876169">
        <w:rPr>
          <w:lang w:val="af-ZA"/>
        </w:rPr>
        <w:t xml:space="preserve">: </w:t>
      </w:r>
      <w:r w:rsidRPr="00876169">
        <w:t>Մաս</w:t>
      </w:r>
      <w:r w:rsidRPr="00876169">
        <w:rPr>
          <w:lang w:val="af-ZA"/>
        </w:rPr>
        <w:softHyphen/>
      </w:r>
      <w:r w:rsidRPr="00876169">
        <w:t>նա</w:t>
      </w:r>
      <w:r w:rsidRPr="00876169">
        <w:rPr>
          <w:lang w:val="af-ZA"/>
        </w:rPr>
        <w:softHyphen/>
      </w:r>
      <w:r w:rsidRPr="00876169">
        <w:t>վո</w:t>
      </w:r>
      <w:r w:rsidRPr="00876169">
        <w:rPr>
          <w:lang w:val="af-ZA"/>
        </w:rPr>
        <w:softHyphen/>
      </w:r>
      <w:r w:rsidRPr="00876169">
        <w:t>րա</w:t>
      </w:r>
      <w:r w:rsidRPr="00876169">
        <w:rPr>
          <w:lang w:val="af-ZA"/>
        </w:rPr>
        <w:softHyphen/>
      </w:r>
      <w:r w:rsidRPr="00876169">
        <w:t>պես</w:t>
      </w:r>
      <w:r w:rsidRPr="00876169">
        <w:rPr>
          <w:lang w:val="af-ZA"/>
        </w:rPr>
        <w:t>.</w:t>
      </w:r>
    </w:p>
    <w:p w14:paraId="0998F654" w14:textId="77777777" w:rsidR="00ED147C" w:rsidRPr="00876169" w:rsidRDefault="00ED147C" w:rsidP="00ED147C">
      <w:pPr>
        <w:pStyle w:val="BodyText1"/>
        <w:ind w:left="0" w:right="357"/>
        <w:rPr>
          <w:lang w:val="af-ZA"/>
        </w:rPr>
      </w:pPr>
      <w:r w:rsidRPr="00876169">
        <w:t>Բանկերում</w:t>
      </w:r>
      <w:r w:rsidRPr="00876169">
        <w:rPr>
          <w:lang w:val="af-ZA"/>
        </w:rPr>
        <w:t xml:space="preserve"> </w:t>
      </w:r>
      <w:r w:rsidRPr="00876169">
        <w:t>և</w:t>
      </w:r>
      <w:r w:rsidRPr="00876169">
        <w:rPr>
          <w:lang w:val="af-ZA"/>
        </w:rPr>
        <w:t xml:space="preserve"> </w:t>
      </w:r>
      <w:r w:rsidRPr="00876169">
        <w:t>ֆինանսավարկային</w:t>
      </w:r>
      <w:r w:rsidRPr="00876169">
        <w:rPr>
          <w:lang w:val="af-ZA"/>
        </w:rPr>
        <w:t xml:space="preserve"> </w:t>
      </w:r>
      <w:r w:rsidRPr="00876169">
        <w:t>հաստատություններում</w:t>
      </w:r>
      <w:r w:rsidRPr="00876169">
        <w:rPr>
          <w:lang w:val="af-ZA"/>
        </w:rPr>
        <w:t xml:space="preserve"> </w:t>
      </w:r>
      <w:r w:rsidRPr="00876169">
        <w:t>պետական</w:t>
      </w:r>
      <w:r w:rsidRPr="00876169">
        <w:rPr>
          <w:lang w:val="af-ZA"/>
        </w:rPr>
        <w:t xml:space="preserve"> </w:t>
      </w:r>
      <w:r w:rsidRPr="00876169">
        <w:t>բյուջեի</w:t>
      </w:r>
      <w:r w:rsidRPr="00876169">
        <w:rPr>
          <w:lang w:val="af-ZA"/>
        </w:rPr>
        <w:t xml:space="preserve"> </w:t>
      </w:r>
      <w:r w:rsidRPr="00876169">
        <w:t>ժամանակավոր</w:t>
      </w:r>
      <w:r w:rsidRPr="00876169">
        <w:rPr>
          <w:lang w:val="af-ZA"/>
        </w:rPr>
        <w:t xml:space="preserve"> </w:t>
      </w:r>
      <w:r w:rsidRPr="00876169">
        <w:t>ազատ</w:t>
      </w:r>
      <w:r w:rsidRPr="00876169">
        <w:rPr>
          <w:lang w:val="af-ZA"/>
        </w:rPr>
        <w:t xml:space="preserve"> </w:t>
      </w:r>
      <w:r w:rsidRPr="00876169">
        <w:t>միջոցների</w:t>
      </w:r>
      <w:r w:rsidRPr="00876169">
        <w:rPr>
          <w:lang w:val="af-ZA"/>
        </w:rPr>
        <w:t xml:space="preserve"> </w:t>
      </w:r>
      <w:r w:rsidRPr="00876169">
        <w:t>տեղաբաշխումից</w:t>
      </w:r>
      <w:r w:rsidRPr="00876169">
        <w:rPr>
          <w:lang w:val="af-ZA"/>
        </w:rPr>
        <w:t xml:space="preserve"> </w:t>
      </w:r>
      <w:r w:rsidRPr="00876169">
        <w:t>և</w:t>
      </w:r>
      <w:r w:rsidRPr="00876169">
        <w:rPr>
          <w:lang w:val="af-ZA"/>
        </w:rPr>
        <w:t xml:space="preserve"> </w:t>
      </w:r>
      <w:r w:rsidRPr="00876169">
        <w:t>դեպոզիտներից</w:t>
      </w:r>
      <w:r w:rsidRPr="00876169">
        <w:rPr>
          <w:lang w:val="af-ZA"/>
        </w:rPr>
        <w:t xml:space="preserve"> </w:t>
      </w:r>
      <w:r w:rsidRPr="00876169">
        <w:t>ստաց</w:t>
      </w:r>
      <w:r w:rsidRPr="00876169">
        <w:rPr>
          <w:lang w:val="af-ZA"/>
        </w:rPr>
        <w:softHyphen/>
      </w:r>
      <w:r w:rsidRPr="00876169">
        <w:t>վող</w:t>
      </w:r>
      <w:r w:rsidRPr="00876169">
        <w:rPr>
          <w:lang w:val="af-ZA"/>
        </w:rPr>
        <w:t xml:space="preserve"> </w:t>
      </w:r>
      <w:r w:rsidRPr="00876169">
        <w:t>տո</w:t>
      </w:r>
      <w:r w:rsidRPr="00876169">
        <w:rPr>
          <w:lang w:val="af-ZA"/>
        </w:rPr>
        <w:softHyphen/>
      </w:r>
      <w:r w:rsidRPr="00876169">
        <w:t>կո</w:t>
      </w:r>
      <w:r w:rsidRPr="00876169">
        <w:rPr>
          <w:lang w:val="af-ZA"/>
        </w:rPr>
        <w:softHyphen/>
      </w:r>
      <w:r w:rsidRPr="00876169">
        <w:t>սա</w:t>
      </w:r>
      <w:r w:rsidRPr="00876169">
        <w:rPr>
          <w:lang w:val="af-ZA"/>
        </w:rPr>
        <w:softHyphen/>
      </w:r>
      <w:r w:rsidRPr="00876169">
        <w:t>վճար</w:t>
      </w:r>
      <w:r w:rsidRPr="00876169">
        <w:rPr>
          <w:lang w:val="af-ZA"/>
        </w:rPr>
        <w:softHyphen/>
      </w:r>
      <w:r w:rsidRPr="00876169">
        <w:t>նե</w:t>
      </w:r>
      <w:r w:rsidRPr="00876169">
        <w:rPr>
          <w:lang w:val="af-ZA"/>
        </w:rPr>
        <w:softHyphen/>
      </w:r>
      <w:r w:rsidRPr="00876169">
        <w:rPr>
          <w:lang w:val="af-ZA"/>
        </w:rPr>
        <w:softHyphen/>
      </w:r>
      <w:r w:rsidRPr="00876169">
        <w:t>րի</w:t>
      </w:r>
      <w:r w:rsidRPr="00876169">
        <w:rPr>
          <w:lang w:val="af-ZA"/>
        </w:rPr>
        <w:t xml:space="preserve"> </w:t>
      </w:r>
      <w:r w:rsidRPr="00876169">
        <w:t>գծով</w:t>
      </w:r>
      <w:r w:rsidRPr="00876169">
        <w:rPr>
          <w:lang w:val="af-ZA"/>
        </w:rPr>
        <w:t xml:space="preserve"> </w:t>
      </w:r>
      <w:r w:rsidRPr="00876169">
        <w:t>մուտ</w:t>
      </w:r>
      <w:r w:rsidRPr="00876169">
        <w:rPr>
          <w:lang w:val="af-ZA"/>
        </w:rPr>
        <w:softHyphen/>
      </w:r>
      <w:r w:rsidRPr="00876169">
        <w:rPr>
          <w:lang w:val="af-ZA"/>
        </w:rPr>
        <w:softHyphen/>
      </w:r>
      <w:r w:rsidRPr="00876169">
        <w:t>քերը</w:t>
      </w:r>
      <w:r>
        <w:rPr>
          <w:lang w:val="af-ZA"/>
        </w:rPr>
        <w:t xml:space="preserve"> 2026</w:t>
      </w:r>
      <w:r w:rsidRPr="00876169">
        <w:rPr>
          <w:lang w:val="af-ZA"/>
        </w:rPr>
        <w:t xml:space="preserve"> </w:t>
      </w:r>
      <w:r w:rsidRPr="00876169">
        <w:t>թվականի</w:t>
      </w:r>
      <w:r w:rsidRPr="00876169">
        <w:rPr>
          <w:lang w:val="af-ZA"/>
        </w:rPr>
        <w:t xml:space="preserve"> </w:t>
      </w:r>
      <w:r w:rsidRPr="00876169">
        <w:t>համար</w:t>
      </w:r>
      <w:r w:rsidRPr="00876169">
        <w:rPr>
          <w:lang w:val="af-ZA"/>
        </w:rPr>
        <w:t xml:space="preserve"> </w:t>
      </w:r>
      <w:r w:rsidRPr="00876169">
        <w:t>ծրագրվել</w:t>
      </w:r>
      <w:r w:rsidRPr="00876169">
        <w:rPr>
          <w:lang w:val="af-ZA"/>
        </w:rPr>
        <w:t xml:space="preserve"> </w:t>
      </w:r>
      <w:r w:rsidRPr="00876169">
        <w:t>են</w:t>
      </w:r>
      <w:r>
        <w:rPr>
          <w:lang w:val="af-ZA"/>
        </w:rPr>
        <w:t xml:space="preserve"> 23,904.</w:t>
      </w:r>
      <w:r>
        <w:rPr>
          <w:lang w:val="hy-AM"/>
        </w:rPr>
        <w:t>8</w:t>
      </w:r>
      <w:r w:rsidRPr="00876169">
        <w:rPr>
          <w:lang w:val="af-ZA"/>
        </w:rPr>
        <w:t xml:space="preserve"> </w:t>
      </w:r>
      <w:r w:rsidRPr="00876169">
        <w:t>մլն</w:t>
      </w:r>
      <w:r w:rsidRPr="00876169">
        <w:rPr>
          <w:lang w:val="af-ZA"/>
        </w:rPr>
        <w:t xml:space="preserve"> </w:t>
      </w:r>
      <w:r w:rsidRPr="00876169">
        <w:t>դրամ</w:t>
      </w:r>
      <w:r>
        <w:rPr>
          <w:lang w:val="hy-AM"/>
        </w:rPr>
        <w:t xml:space="preserve">, 2027 թվականին՝ </w:t>
      </w:r>
      <w:r>
        <w:rPr>
          <w:lang w:val="af-ZA"/>
        </w:rPr>
        <w:t>24,</w:t>
      </w:r>
      <w:r>
        <w:rPr>
          <w:lang w:val="hy-AM"/>
        </w:rPr>
        <w:t>898</w:t>
      </w:r>
      <w:r>
        <w:rPr>
          <w:lang w:val="af-ZA"/>
        </w:rPr>
        <w:t>.</w:t>
      </w:r>
      <w:r>
        <w:rPr>
          <w:lang w:val="hy-AM"/>
        </w:rPr>
        <w:t>5 մլն դրամ</w:t>
      </w:r>
      <w:r>
        <w:rPr>
          <w:lang w:val="af-ZA"/>
        </w:rPr>
        <w:t xml:space="preserve">, 2028 </w:t>
      </w:r>
      <w:r>
        <w:rPr>
          <w:lang w:val="hy-AM"/>
        </w:rPr>
        <w:t xml:space="preserve">թվականին՝ </w:t>
      </w:r>
      <w:r>
        <w:rPr>
          <w:lang w:val="af-ZA"/>
        </w:rPr>
        <w:t>2</w:t>
      </w:r>
      <w:r>
        <w:rPr>
          <w:lang w:val="hy-AM"/>
        </w:rPr>
        <w:t>5</w:t>
      </w:r>
      <w:r>
        <w:rPr>
          <w:lang w:val="af-ZA"/>
        </w:rPr>
        <w:t>,</w:t>
      </w:r>
      <w:r>
        <w:rPr>
          <w:lang w:val="hy-AM"/>
        </w:rPr>
        <w:t>157</w:t>
      </w:r>
      <w:r>
        <w:rPr>
          <w:lang w:val="af-ZA"/>
        </w:rPr>
        <w:t>.</w:t>
      </w:r>
      <w:r>
        <w:rPr>
          <w:lang w:val="hy-AM"/>
        </w:rPr>
        <w:t>0</w:t>
      </w:r>
      <w:r>
        <w:rPr>
          <w:lang w:val="af-ZA"/>
        </w:rPr>
        <w:t xml:space="preserve"> </w:t>
      </w:r>
      <w:r>
        <w:rPr>
          <w:lang w:val="hy-AM"/>
        </w:rPr>
        <w:t>մլն դրամ</w:t>
      </w:r>
      <w:r w:rsidRPr="00876169">
        <w:rPr>
          <w:lang w:val="af-ZA"/>
        </w:rPr>
        <w:t xml:space="preserve">: </w:t>
      </w:r>
      <w:r>
        <w:rPr>
          <w:lang w:val="hy-AM"/>
        </w:rPr>
        <w:t>Մ</w:t>
      </w:r>
      <w:r w:rsidRPr="00876169">
        <w:t>ուտքերն</w:t>
      </w:r>
      <w:r w:rsidRPr="00876169">
        <w:rPr>
          <w:lang w:val="af-ZA"/>
        </w:rPr>
        <w:t xml:space="preserve"> </w:t>
      </w:r>
      <w:r w:rsidRPr="00876169">
        <w:t>ա</w:t>
      </w:r>
      <w:r w:rsidRPr="00876169">
        <w:rPr>
          <w:lang w:val="af-ZA"/>
        </w:rPr>
        <w:softHyphen/>
      </w:r>
      <w:r w:rsidRPr="00876169">
        <w:t>պա</w:t>
      </w:r>
      <w:r w:rsidRPr="00876169">
        <w:rPr>
          <w:lang w:val="af-ZA"/>
        </w:rPr>
        <w:softHyphen/>
      </w:r>
      <w:r w:rsidRPr="00876169">
        <w:t>հովվելու</w:t>
      </w:r>
      <w:r w:rsidRPr="00876169">
        <w:rPr>
          <w:lang w:val="af-ZA"/>
        </w:rPr>
        <w:t xml:space="preserve"> </w:t>
      </w:r>
      <w:r w:rsidRPr="00876169">
        <w:t>են</w:t>
      </w:r>
      <w:r w:rsidRPr="00876169">
        <w:rPr>
          <w:lang w:val="af-ZA"/>
        </w:rPr>
        <w:t xml:space="preserve"> </w:t>
      </w:r>
      <w:r w:rsidRPr="00876169">
        <w:t>հիմնականում</w:t>
      </w:r>
      <w:r w:rsidRPr="00876169">
        <w:rPr>
          <w:lang w:val="af-ZA"/>
        </w:rPr>
        <w:t xml:space="preserve"> </w:t>
      </w:r>
      <w:r w:rsidRPr="00876169">
        <w:t>ի</w:t>
      </w:r>
      <w:r w:rsidRPr="00876169">
        <w:rPr>
          <w:lang w:val="af-ZA"/>
        </w:rPr>
        <w:t xml:space="preserve"> </w:t>
      </w:r>
      <w:r w:rsidRPr="00876169">
        <w:t>հա</w:t>
      </w:r>
      <w:r w:rsidRPr="00876169">
        <w:rPr>
          <w:lang w:val="af-ZA"/>
        </w:rPr>
        <w:softHyphen/>
      </w:r>
      <w:r w:rsidRPr="00876169">
        <w:rPr>
          <w:lang w:val="af-ZA"/>
        </w:rPr>
        <w:softHyphen/>
      </w:r>
      <w:r w:rsidRPr="00876169">
        <w:t>շիվ</w:t>
      </w:r>
      <w:r w:rsidRPr="00876169">
        <w:rPr>
          <w:lang w:val="af-ZA"/>
        </w:rPr>
        <w:t xml:space="preserve"> </w:t>
      </w:r>
      <w:r w:rsidRPr="003E56CD">
        <w:t>ժա</w:t>
      </w:r>
      <w:r w:rsidRPr="003E56CD">
        <w:rPr>
          <w:lang w:val="af-ZA"/>
        </w:rPr>
        <w:softHyphen/>
      </w:r>
      <w:r w:rsidRPr="003E56CD">
        <w:t>մա</w:t>
      </w:r>
      <w:r w:rsidRPr="003E56CD">
        <w:rPr>
          <w:lang w:val="af-ZA"/>
        </w:rPr>
        <w:softHyphen/>
      </w:r>
      <w:r w:rsidRPr="003E56CD">
        <w:t>նա</w:t>
      </w:r>
      <w:r w:rsidRPr="003E56CD">
        <w:rPr>
          <w:lang w:val="af-ZA"/>
        </w:rPr>
        <w:softHyphen/>
      </w:r>
      <w:r w:rsidRPr="003E56CD">
        <w:t>կա</w:t>
      </w:r>
      <w:r w:rsidRPr="003E56CD">
        <w:rPr>
          <w:lang w:val="af-ZA"/>
        </w:rPr>
        <w:softHyphen/>
      </w:r>
      <w:r w:rsidRPr="003E56CD">
        <w:t>վորապես</w:t>
      </w:r>
      <w:r w:rsidRPr="003E56CD">
        <w:rPr>
          <w:lang w:val="af-ZA"/>
        </w:rPr>
        <w:t xml:space="preserve"> </w:t>
      </w:r>
      <w:r w:rsidRPr="003E56CD">
        <w:t>ազատ</w:t>
      </w:r>
      <w:r w:rsidRPr="003E56CD">
        <w:rPr>
          <w:lang w:val="af-ZA"/>
        </w:rPr>
        <w:t xml:space="preserve"> </w:t>
      </w:r>
      <w:r w:rsidRPr="003E56CD">
        <w:t>բյուջետային</w:t>
      </w:r>
      <w:r w:rsidRPr="003E56CD">
        <w:rPr>
          <w:lang w:val="af-ZA"/>
        </w:rPr>
        <w:t xml:space="preserve"> </w:t>
      </w:r>
      <w:r w:rsidRPr="003E56CD">
        <w:t>մի</w:t>
      </w:r>
      <w:r w:rsidRPr="003E56CD">
        <w:rPr>
          <w:lang w:val="af-ZA"/>
        </w:rPr>
        <w:softHyphen/>
      </w:r>
      <w:r w:rsidRPr="003E56CD">
        <w:t>ջոցները</w:t>
      </w:r>
      <w:r w:rsidRPr="003E56CD">
        <w:rPr>
          <w:lang w:val="af-ZA"/>
        </w:rPr>
        <w:t xml:space="preserve"> </w:t>
      </w:r>
      <w:r w:rsidRPr="003E56CD">
        <w:t>ՀՀ</w:t>
      </w:r>
      <w:r w:rsidRPr="003E56CD">
        <w:rPr>
          <w:lang w:val="af-ZA"/>
        </w:rPr>
        <w:t xml:space="preserve"> </w:t>
      </w:r>
      <w:r w:rsidRPr="003E56CD">
        <w:t>ԿԲ</w:t>
      </w:r>
      <w:r w:rsidRPr="003E56CD">
        <w:rPr>
          <w:lang w:val="af-ZA"/>
        </w:rPr>
        <w:t>-</w:t>
      </w:r>
      <w:r w:rsidRPr="003E56CD">
        <w:t>ում</w:t>
      </w:r>
      <w:r w:rsidRPr="003E56CD">
        <w:rPr>
          <w:lang w:val="af-ZA"/>
        </w:rPr>
        <w:t xml:space="preserve"> </w:t>
      </w:r>
      <w:r w:rsidRPr="003E56CD">
        <w:t>ավան</w:t>
      </w:r>
      <w:r w:rsidRPr="003E56CD">
        <w:rPr>
          <w:lang w:val="af-ZA"/>
        </w:rPr>
        <w:softHyphen/>
      </w:r>
      <w:r w:rsidRPr="003E56CD">
        <w:rPr>
          <w:lang w:val="af-ZA"/>
        </w:rPr>
        <w:softHyphen/>
      </w:r>
      <w:r w:rsidRPr="003E56CD">
        <w:rPr>
          <w:lang w:val="af-ZA"/>
        </w:rPr>
        <w:softHyphen/>
      </w:r>
      <w:r w:rsidRPr="003E56CD">
        <w:rPr>
          <w:lang w:val="af-ZA"/>
        </w:rPr>
        <w:softHyphen/>
      </w:r>
      <w:r w:rsidRPr="003E56CD">
        <w:rPr>
          <w:lang w:val="af-ZA"/>
        </w:rPr>
        <w:softHyphen/>
      </w:r>
      <w:r w:rsidRPr="003E56CD">
        <w:t>դա</w:t>
      </w:r>
      <w:r w:rsidRPr="003E56CD">
        <w:rPr>
          <w:lang w:val="af-ZA"/>
        </w:rPr>
        <w:softHyphen/>
      </w:r>
      <w:r w:rsidRPr="003E56CD">
        <w:t>դնե</w:t>
      </w:r>
      <w:r w:rsidRPr="003E56CD">
        <w:rPr>
          <w:lang w:val="af-ZA"/>
        </w:rPr>
        <w:softHyphen/>
      </w:r>
      <w:r w:rsidRPr="003E56CD">
        <w:t>լու</w:t>
      </w:r>
      <w:r w:rsidRPr="003E56CD">
        <w:rPr>
          <w:lang w:val="af-ZA"/>
        </w:rPr>
        <w:t xml:space="preserve"> </w:t>
      </w:r>
      <w:r w:rsidRPr="003E56CD">
        <w:t>դիմաց</w:t>
      </w:r>
      <w:r w:rsidRPr="003E56CD">
        <w:rPr>
          <w:lang w:val="af-ZA"/>
        </w:rPr>
        <w:t xml:space="preserve"> </w:t>
      </w:r>
      <w:r w:rsidRPr="003E56CD">
        <w:t>ՀՀ</w:t>
      </w:r>
      <w:r w:rsidRPr="003E56CD">
        <w:rPr>
          <w:lang w:val="af-ZA"/>
        </w:rPr>
        <w:t xml:space="preserve"> </w:t>
      </w:r>
      <w:r w:rsidRPr="003E56CD">
        <w:t>ԿԲ</w:t>
      </w:r>
      <w:r w:rsidRPr="003E56CD">
        <w:rPr>
          <w:lang w:val="af-ZA"/>
        </w:rPr>
        <w:t>-</w:t>
      </w:r>
      <w:r w:rsidRPr="003E56CD">
        <w:t>ի</w:t>
      </w:r>
      <w:r w:rsidRPr="003E56CD">
        <w:rPr>
          <w:lang w:val="af-ZA"/>
        </w:rPr>
        <w:t xml:space="preserve"> </w:t>
      </w:r>
      <w:r w:rsidRPr="003E56CD">
        <w:t>և</w:t>
      </w:r>
      <w:r w:rsidRPr="003E56CD">
        <w:rPr>
          <w:lang w:val="af-ZA"/>
        </w:rPr>
        <w:t xml:space="preserve"> </w:t>
      </w:r>
      <w:r w:rsidRPr="003E56CD">
        <w:t>ՀՀ</w:t>
      </w:r>
      <w:r w:rsidRPr="003E56CD">
        <w:rPr>
          <w:lang w:val="af-ZA"/>
        </w:rPr>
        <w:t xml:space="preserve"> </w:t>
      </w:r>
      <w:r w:rsidRPr="003E56CD">
        <w:t>ՖՆ</w:t>
      </w:r>
      <w:r w:rsidRPr="003E56CD">
        <w:rPr>
          <w:lang w:val="af-ZA"/>
        </w:rPr>
        <w:t xml:space="preserve"> </w:t>
      </w:r>
      <w:r w:rsidRPr="003E56CD">
        <w:t>միջև</w:t>
      </w:r>
      <w:r w:rsidRPr="003E56CD">
        <w:rPr>
          <w:lang w:val="af-ZA"/>
        </w:rPr>
        <w:t xml:space="preserve"> </w:t>
      </w:r>
      <w:r w:rsidRPr="003E56CD">
        <w:t>կնք</w:t>
      </w:r>
      <w:r w:rsidRPr="003E56CD">
        <w:rPr>
          <w:lang w:val="af-ZA"/>
        </w:rPr>
        <w:softHyphen/>
      </w:r>
      <w:r w:rsidRPr="003E56CD">
        <w:rPr>
          <w:lang w:val="af-ZA"/>
        </w:rPr>
        <w:softHyphen/>
      </w:r>
      <w:r w:rsidRPr="003E56CD">
        <w:rPr>
          <w:lang w:val="af-ZA"/>
        </w:rPr>
        <w:softHyphen/>
      </w:r>
      <w:r w:rsidRPr="003E56CD">
        <w:t>ված</w:t>
      </w:r>
      <w:r w:rsidRPr="003E56CD">
        <w:rPr>
          <w:lang w:val="af-ZA"/>
        </w:rPr>
        <w:t xml:space="preserve"> «</w:t>
      </w:r>
      <w:r w:rsidRPr="003E56CD">
        <w:t>Հաշվի</w:t>
      </w:r>
      <w:r w:rsidRPr="003E56CD">
        <w:rPr>
          <w:lang w:val="af-ZA"/>
        </w:rPr>
        <w:t xml:space="preserve"> </w:t>
      </w:r>
      <w:r w:rsidRPr="003E56CD">
        <w:t>սպա</w:t>
      </w:r>
      <w:r w:rsidRPr="003E56CD">
        <w:rPr>
          <w:lang w:val="af-ZA"/>
        </w:rPr>
        <w:softHyphen/>
      </w:r>
      <w:r w:rsidRPr="003E56CD">
        <w:t>սարկման</w:t>
      </w:r>
      <w:r w:rsidRPr="003E56CD">
        <w:rPr>
          <w:lang w:val="af-ZA"/>
        </w:rPr>
        <w:t xml:space="preserve"> </w:t>
      </w:r>
      <w:r w:rsidRPr="003E56CD">
        <w:t>մա</w:t>
      </w:r>
      <w:r w:rsidRPr="003E56CD">
        <w:rPr>
          <w:lang w:val="af-ZA"/>
        </w:rPr>
        <w:softHyphen/>
      </w:r>
      <w:r w:rsidRPr="003E56CD">
        <w:rPr>
          <w:lang w:val="af-ZA"/>
        </w:rPr>
        <w:softHyphen/>
      </w:r>
      <w:r w:rsidRPr="003E56CD">
        <w:t>սին</w:t>
      </w:r>
      <w:r w:rsidRPr="003E56CD">
        <w:rPr>
          <w:lang w:val="af-ZA"/>
        </w:rPr>
        <w:t xml:space="preserve">» </w:t>
      </w:r>
      <w:r w:rsidRPr="003E56CD">
        <w:t>պայ</w:t>
      </w:r>
      <w:r w:rsidRPr="003E56CD">
        <w:rPr>
          <w:lang w:val="af-ZA"/>
        </w:rPr>
        <w:softHyphen/>
      </w:r>
      <w:r w:rsidRPr="003E56CD">
        <w:t>մանագրի</w:t>
      </w:r>
      <w:r w:rsidRPr="003E56CD">
        <w:rPr>
          <w:lang w:val="af-ZA"/>
        </w:rPr>
        <w:t xml:space="preserve"> </w:t>
      </w:r>
      <w:r w:rsidRPr="003E56CD">
        <w:t>հիման</w:t>
      </w:r>
      <w:r w:rsidRPr="003E56CD">
        <w:rPr>
          <w:lang w:val="af-ZA"/>
        </w:rPr>
        <w:t xml:space="preserve"> </w:t>
      </w:r>
      <w:r w:rsidRPr="003E56CD">
        <w:t>վրա</w:t>
      </w:r>
      <w:r w:rsidRPr="003E56CD">
        <w:rPr>
          <w:lang w:val="af-ZA"/>
        </w:rPr>
        <w:t xml:space="preserve"> </w:t>
      </w:r>
      <w:r w:rsidRPr="003E56CD">
        <w:t>վճար</w:t>
      </w:r>
      <w:r w:rsidRPr="003E56CD">
        <w:rPr>
          <w:lang w:val="af-ZA"/>
        </w:rPr>
        <w:softHyphen/>
      </w:r>
      <w:r w:rsidRPr="003E56CD">
        <w:t>վե</w:t>
      </w:r>
      <w:r w:rsidRPr="003E56CD">
        <w:rPr>
          <w:lang w:val="af-ZA"/>
        </w:rPr>
        <w:softHyphen/>
      </w:r>
      <w:r w:rsidRPr="003E56CD">
        <w:t>լիք</w:t>
      </w:r>
      <w:r w:rsidRPr="003E56CD">
        <w:rPr>
          <w:lang w:val="af-ZA"/>
        </w:rPr>
        <w:t xml:space="preserve"> </w:t>
      </w:r>
      <w:r w:rsidRPr="003E56CD">
        <w:t>տո</w:t>
      </w:r>
      <w:r w:rsidRPr="003E56CD">
        <w:rPr>
          <w:lang w:val="af-ZA"/>
        </w:rPr>
        <w:softHyphen/>
      </w:r>
      <w:r w:rsidRPr="003E56CD">
        <w:t>կո</w:t>
      </w:r>
      <w:r w:rsidRPr="003E56CD">
        <w:rPr>
          <w:lang w:val="af-ZA"/>
        </w:rPr>
        <w:softHyphen/>
      </w:r>
      <w:r w:rsidRPr="003E56CD">
        <w:t>սա</w:t>
      </w:r>
      <w:r w:rsidRPr="003E56CD">
        <w:rPr>
          <w:lang w:val="af-ZA"/>
        </w:rPr>
        <w:softHyphen/>
      </w:r>
      <w:r w:rsidRPr="003E56CD">
        <w:t>վճար</w:t>
      </w:r>
      <w:r w:rsidRPr="003E56CD">
        <w:rPr>
          <w:lang w:val="af-ZA"/>
        </w:rPr>
        <w:softHyphen/>
      </w:r>
      <w:r w:rsidRPr="003E56CD">
        <w:rPr>
          <w:lang w:val="af-ZA"/>
        </w:rPr>
        <w:softHyphen/>
      </w:r>
      <w:r w:rsidRPr="003E56CD">
        <w:rPr>
          <w:lang w:val="af-ZA"/>
        </w:rPr>
        <w:softHyphen/>
      </w:r>
      <w:r w:rsidRPr="003E56CD">
        <w:rPr>
          <w:lang w:val="af-ZA"/>
        </w:rPr>
        <w:softHyphen/>
      </w:r>
      <w:r w:rsidRPr="003E56CD">
        <w:t>ների</w:t>
      </w:r>
      <w:r w:rsidRPr="00876169">
        <w:rPr>
          <w:lang w:val="af-ZA"/>
        </w:rPr>
        <w:t>:</w:t>
      </w:r>
    </w:p>
    <w:p w14:paraId="4C2EB57A" w14:textId="77777777" w:rsidR="00ED147C" w:rsidRPr="00716C31" w:rsidRDefault="00ED147C" w:rsidP="00ED147C">
      <w:pPr>
        <w:pStyle w:val="BodyText1"/>
        <w:ind w:left="0" w:right="357"/>
        <w:rPr>
          <w:lang w:val="af-ZA"/>
        </w:rPr>
      </w:pPr>
      <w:r w:rsidRPr="00A26A6F">
        <w:t>Իրավաբանական</w:t>
      </w:r>
      <w:r w:rsidRPr="00A26A6F">
        <w:rPr>
          <w:lang w:val="af-ZA"/>
        </w:rPr>
        <w:t xml:space="preserve"> </w:t>
      </w:r>
      <w:r w:rsidRPr="00A26A6F">
        <w:t>անձանց</w:t>
      </w:r>
      <w:r w:rsidRPr="00A26A6F">
        <w:rPr>
          <w:lang w:val="af-ZA"/>
        </w:rPr>
        <w:t xml:space="preserve"> </w:t>
      </w:r>
      <w:r w:rsidRPr="00A26A6F">
        <w:t>կապիտալում</w:t>
      </w:r>
      <w:r w:rsidRPr="00A26A6F">
        <w:rPr>
          <w:lang w:val="af-ZA"/>
        </w:rPr>
        <w:t xml:space="preserve"> </w:t>
      </w:r>
      <w:r w:rsidRPr="00A26A6F">
        <w:t>կատարված</w:t>
      </w:r>
      <w:r w:rsidRPr="00A26A6F">
        <w:rPr>
          <w:lang w:val="af-ZA"/>
        </w:rPr>
        <w:t xml:space="preserve"> </w:t>
      </w:r>
      <w:r w:rsidRPr="00A26A6F">
        <w:t>ներդրումներից</w:t>
      </w:r>
      <w:r w:rsidRPr="00A26A6F">
        <w:rPr>
          <w:lang w:val="af-ZA"/>
        </w:rPr>
        <w:t xml:space="preserve"> </w:t>
      </w:r>
      <w:r w:rsidRPr="00A26A6F">
        <w:t>ստացվող</w:t>
      </w:r>
      <w:r w:rsidRPr="00A26A6F">
        <w:rPr>
          <w:lang w:val="af-ZA"/>
        </w:rPr>
        <w:t xml:space="preserve"> </w:t>
      </w:r>
      <w:r w:rsidRPr="00A26A6F">
        <w:t>շա</w:t>
      </w:r>
      <w:r w:rsidRPr="00A26A6F">
        <w:rPr>
          <w:lang w:val="af-ZA"/>
        </w:rPr>
        <w:softHyphen/>
      </w:r>
      <w:r w:rsidRPr="00A26A6F">
        <w:t>հա</w:t>
      </w:r>
      <w:r w:rsidRPr="00A26A6F">
        <w:rPr>
          <w:lang w:val="af-ZA"/>
        </w:rPr>
        <w:softHyphen/>
      </w:r>
      <w:r w:rsidRPr="00A26A6F">
        <w:rPr>
          <w:lang w:val="af-ZA"/>
        </w:rPr>
        <w:softHyphen/>
      </w:r>
      <w:r w:rsidRPr="00A26A6F">
        <w:rPr>
          <w:lang w:val="af-ZA"/>
        </w:rPr>
        <w:softHyphen/>
      </w:r>
      <w:r w:rsidRPr="00A26A6F">
        <w:t>բա</w:t>
      </w:r>
      <w:r w:rsidRPr="00A26A6F">
        <w:rPr>
          <w:lang w:val="af-ZA"/>
        </w:rPr>
        <w:softHyphen/>
      </w:r>
      <w:r w:rsidRPr="00A26A6F">
        <w:t>ժին</w:t>
      </w:r>
      <w:r w:rsidRPr="00A26A6F">
        <w:rPr>
          <w:lang w:val="af-ZA"/>
        </w:rPr>
        <w:softHyphen/>
      </w:r>
      <w:r w:rsidRPr="00A26A6F">
        <w:rPr>
          <w:lang w:val="af-ZA"/>
        </w:rPr>
        <w:softHyphen/>
      </w:r>
      <w:r w:rsidRPr="00A26A6F">
        <w:t>ներից</w:t>
      </w:r>
      <w:r w:rsidRPr="00A26A6F">
        <w:rPr>
          <w:lang w:val="af-ZA"/>
        </w:rPr>
        <w:t xml:space="preserve"> 2026 </w:t>
      </w:r>
      <w:r w:rsidRPr="00A26A6F">
        <w:t>թվականին</w:t>
      </w:r>
      <w:r w:rsidRPr="00A26A6F">
        <w:rPr>
          <w:lang w:val="af-ZA"/>
        </w:rPr>
        <w:t xml:space="preserve"> </w:t>
      </w:r>
      <w:r w:rsidRPr="00A26A6F">
        <w:t>ակնկալվում</w:t>
      </w:r>
      <w:r w:rsidRPr="00A26A6F">
        <w:rPr>
          <w:lang w:val="af-ZA"/>
        </w:rPr>
        <w:t xml:space="preserve"> </w:t>
      </w:r>
      <w:r w:rsidRPr="00A26A6F">
        <w:t>են</w:t>
      </w:r>
      <w:r w:rsidRPr="00A26A6F">
        <w:rPr>
          <w:lang w:val="af-ZA"/>
        </w:rPr>
        <w:t xml:space="preserve"> </w:t>
      </w:r>
      <w:r>
        <w:rPr>
          <w:lang w:val="af-ZA"/>
        </w:rPr>
        <w:t>6</w:t>
      </w:r>
      <w:r w:rsidRPr="00A26A6F">
        <w:rPr>
          <w:lang w:val="af-ZA"/>
        </w:rPr>
        <w:t>,</w:t>
      </w:r>
      <w:r>
        <w:rPr>
          <w:lang w:val="af-ZA"/>
        </w:rPr>
        <w:t>023</w:t>
      </w:r>
      <w:r w:rsidRPr="00A26A6F">
        <w:rPr>
          <w:lang w:val="af-ZA"/>
        </w:rPr>
        <w:t>.</w:t>
      </w:r>
      <w:r>
        <w:rPr>
          <w:lang w:val="af-ZA"/>
        </w:rPr>
        <w:t>6</w:t>
      </w:r>
      <w:r w:rsidRPr="00A26A6F">
        <w:rPr>
          <w:lang w:val="af-ZA"/>
        </w:rPr>
        <w:t xml:space="preserve"> </w:t>
      </w:r>
      <w:r w:rsidRPr="00A26A6F">
        <w:t>մլն</w:t>
      </w:r>
      <w:r w:rsidRPr="00A26A6F">
        <w:rPr>
          <w:lang w:val="af-ZA"/>
        </w:rPr>
        <w:t xml:space="preserve"> </w:t>
      </w:r>
      <w:r w:rsidRPr="00A26A6F">
        <w:t>դրամի</w:t>
      </w:r>
      <w:r w:rsidRPr="00A26A6F">
        <w:rPr>
          <w:lang w:val="af-ZA"/>
        </w:rPr>
        <w:t xml:space="preserve"> </w:t>
      </w:r>
      <w:r w:rsidRPr="00A26A6F">
        <w:t>մուտքեր</w:t>
      </w:r>
      <w:r>
        <w:rPr>
          <w:lang w:val="hy-AM"/>
        </w:rPr>
        <w:t xml:space="preserve">, 2027 թվականին՝ </w:t>
      </w:r>
      <w:r>
        <w:rPr>
          <w:lang w:val="af-ZA"/>
        </w:rPr>
        <w:t>5,</w:t>
      </w:r>
      <w:r>
        <w:rPr>
          <w:lang w:val="hy-AM"/>
        </w:rPr>
        <w:t>834</w:t>
      </w:r>
      <w:r>
        <w:rPr>
          <w:lang w:val="af-ZA"/>
        </w:rPr>
        <w:t>.</w:t>
      </w:r>
      <w:r>
        <w:rPr>
          <w:lang w:val="hy-AM"/>
        </w:rPr>
        <w:t>3 մլն դրամի</w:t>
      </w:r>
      <w:r>
        <w:rPr>
          <w:lang w:val="af-ZA"/>
        </w:rPr>
        <w:t>,</w:t>
      </w:r>
      <w:r>
        <w:rPr>
          <w:lang w:val="hy-AM"/>
        </w:rPr>
        <w:t xml:space="preserve"> իսկ</w:t>
      </w:r>
      <w:r>
        <w:rPr>
          <w:lang w:val="af-ZA"/>
        </w:rPr>
        <w:t xml:space="preserve"> 2028 </w:t>
      </w:r>
      <w:r>
        <w:rPr>
          <w:lang w:val="hy-AM"/>
        </w:rPr>
        <w:t>թվականին՝ 6</w:t>
      </w:r>
      <w:r>
        <w:rPr>
          <w:lang w:val="af-ZA"/>
        </w:rPr>
        <w:t>,</w:t>
      </w:r>
      <w:r>
        <w:rPr>
          <w:lang w:val="hy-AM"/>
        </w:rPr>
        <w:t>198</w:t>
      </w:r>
      <w:r>
        <w:rPr>
          <w:lang w:val="af-ZA"/>
        </w:rPr>
        <w:t>.</w:t>
      </w:r>
      <w:r>
        <w:rPr>
          <w:lang w:val="hy-AM"/>
        </w:rPr>
        <w:t>3</w:t>
      </w:r>
      <w:r>
        <w:rPr>
          <w:lang w:val="af-ZA"/>
        </w:rPr>
        <w:t xml:space="preserve"> </w:t>
      </w:r>
      <w:r>
        <w:rPr>
          <w:lang w:val="hy-AM"/>
        </w:rPr>
        <w:t>մլն դրամի չափով</w:t>
      </w:r>
      <w:r w:rsidRPr="00A26A6F">
        <w:rPr>
          <w:lang w:val="af-ZA"/>
        </w:rPr>
        <w:t xml:space="preserve">: </w:t>
      </w:r>
      <w:r w:rsidRPr="00A26A6F">
        <w:t>Շահաբաժինների</w:t>
      </w:r>
      <w:r w:rsidRPr="00A26A6F">
        <w:rPr>
          <w:lang w:val="af-ZA"/>
        </w:rPr>
        <w:t xml:space="preserve"> </w:t>
      </w:r>
      <w:r w:rsidRPr="00A26A6F">
        <w:t>գծով</w:t>
      </w:r>
      <w:r w:rsidRPr="00A26A6F">
        <w:rPr>
          <w:lang w:val="af-ZA"/>
        </w:rPr>
        <w:t xml:space="preserve"> 202</w:t>
      </w:r>
      <w:r>
        <w:rPr>
          <w:lang w:val="af-ZA"/>
        </w:rPr>
        <w:t>6</w:t>
      </w:r>
      <w:r w:rsidRPr="00A26A6F">
        <w:rPr>
          <w:lang w:val="af-ZA"/>
        </w:rPr>
        <w:t xml:space="preserve"> </w:t>
      </w:r>
      <w:r w:rsidRPr="00A26A6F">
        <w:t>թվա</w:t>
      </w:r>
      <w:r w:rsidRPr="00A26A6F">
        <w:rPr>
          <w:lang w:val="af-ZA"/>
        </w:rPr>
        <w:softHyphen/>
      </w:r>
      <w:r w:rsidRPr="00A26A6F">
        <w:t>կանի</w:t>
      </w:r>
      <w:r w:rsidRPr="00A26A6F">
        <w:rPr>
          <w:lang w:val="af-ZA"/>
        </w:rPr>
        <w:t xml:space="preserve"> </w:t>
      </w:r>
      <w:r w:rsidRPr="00A26A6F">
        <w:t>կանխատեսվող</w:t>
      </w:r>
      <w:r w:rsidRPr="00A26A6F">
        <w:rPr>
          <w:lang w:val="af-ZA"/>
        </w:rPr>
        <w:t xml:space="preserve"> </w:t>
      </w:r>
      <w:r w:rsidRPr="00A26A6F">
        <w:t>մուտքերը</w:t>
      </w:r>
      <w:r w:rsidRPr="00A26A6F">
        <w:rPr>
          <w:lang w:val="af-ZA"/>
        </w:rPr>
        <w:t xml:space="preserve"> </w:t>
      </w:r>
      <w:r w:rsidRPr="00A26A6F">
        <w:t>ծրագ</w:t>
      </w:r>
      <w:r w:rsidRPr="00A26A6F">
        <w:rPr>
          <w:lang w:val="af-ZA"/>
        </w:rPr>
        <w:softHyphen/>
      </w:r>
      <w:r w:rsidRPr="00A26A6F">
        <w:t>րե</w:t>
      </w:r>
      <w:r w:rsidRPr="00A26A6F">
        <w:rPr>
          <w:lang w:val="af-ZA"/>
        </w:rPr>
        <w:softHyphen/>
      </w:r>
      <w:r w:rsidRPr="00A26A6F">
        <w:t>լիս</w:t>
      </w:r>
      <w:r w:rsidRPr="00A26A6F">
        <w:rPr>
          <w:lang w:val="af-ZA"/>
        </w:rPr>
        <w:t xml:space="preserve"> </w:t>
      </w:r>
      <w:r w:rsidRPr="00A26A6F">
        <w:t>հաշվի</w:t>
      </w:r>
      <w:r w:rsidRPr="00A26A6F">
        <w:rPr>
          <w:lang w:val="af-ZA"/>
        </w:rPr>
        <w:t xml:space="preserve"> </w:t>
      </w:r>
      <w:r w:rsidRPr="00A26A6F">
        <w:t>է</w:t>
      </w:r>
      <w:r w:rsidRPr="00A26A6F">
        <w:rPr>
          <w:lang w:val="af-ZA"/>
        </w:rPr>
        <w:t xml:space="preserve"> </w:t>
      </w:r>
      <w:r w:rsidRPr="00A26A6F">
        <w:t>առնվել</w:t>
      </w:r>
      <w:r w:rsidRPr="00A26A6F">
        <w:rPr>
          <w:lang w:val="af-ZA"/>
        </w:rPr>
        <w:t xml:space="preserve"> </w:t>
      </w:r>
      <w:r w:rsidRPr="00A26A6F">
        <w:t>ՀՀ</w:t>
      </w:r>
      <w:r w:rsidRPr="00A26A6F">
        <w:rPr>
          <w:lang w:val="af-ZA"/>
        </w:rPr>
        <w:t xml:space="preserve"> </w:t>
      </w:r>
      <w:r w:rsidRPr="00A26A6F">
        <w:t>կառավարության</w:t>
      </w:r>
      <w:r w:rsidRPr="00A26A6F">
        <w:rPr>
          <w:lang w:val="af-ZA"/>
        </w:rPr>
        <w:t xml:space="preserve"> 2011 </w:t>
      </w:r>
      <w:r w:rsidRPr="00A26A6F">
        <w:t>թվա</w:t>
      </w:r>
      <w:r w:rsidRPr="00A26A6F">
        <w:rPr>
          <w:lang w:val="af-ZA"/>
        </w:rPr>
        <w:softHyphen/>
      </w:r>
      <w:r w:rsidRPr="00A26A6F">
        <w:t>կանի</w:t>
      </w:r>
      <w:r w:rsidRPr="00A26A6F">
        <w:rPr>
          <w:lang w:val="af-ZA"/>
        </w:rPr>
        <w:t xml:space="preserve"> </w:t>
      </w:r>
      <w:r w:rsidRPr="00A26A6F">
        <w:t>մարտի</w:t>
      </w:r>
      <w:r w:rsidRPr="00A26A6F">
        <w:rPr>
          <w:lang w:val="af-ZA"/>
        </w:rPr>
        <w:t xml:space="preserve"> 3-</w:t>
      </w:r>
      <w:r w:rsidRPr="00A26A6F">
        <w:t>ի</w:t>
      </w:r>
      <w:r w:rsidRPr="00A26A6F">
        <w:rPr>
          <w:lang w:val="af-ZA"/>
        </w:rPr>
        <w:t xml:space="preserve"> «</w:t>
      </w:r>
      <w:r w:rsidRPr="00A26A6F">
        <w:t>Պետության</w:t>
      </w:r>
      <w:r w:rsidRPr="00A26A6F">
        <w:rPr>
          <w:lang w:val="af-ZA"/>
        </w:rPr>
        <w:t xml:space="preserve"> </w:t>
      </w:r>
      <w:r w:rsidRPr="00A26A6F">
        <w:t>սե</w:t>
      </w:r>
      <w:r w:rsidRPr="00A26A6F">
        <w:rPr>
          <w:lang w:val="af-ZA"/>
        </w:rPr>
        <w:softHyphen/>
      </w:r>
      <w:r w:rsidRPr="00A26A6F">
        <w:t>փա</w:t>
      </w:r>
      <w:r w:rsidRPr="00A26A6F">
        <w:rPr>
          <w:lang w:val="af-ZA"/>
        </w:rPr>
        <w:softHyphen/>
      </w:r>
      <w:r w:rsidRPr="00A26A6F">
        <w:t>կա</w:t>
      </w:r>
      <w:r w:rsidRPr="00A26A6F">
        <w:rPr>
          <w:lang w:val="af-ZA"/>
        </w:rPr>
        <w:softHyphen/>
      </w:r>
      <w:r w:rsidRPr="00A26A6F">
        <w:t>նու</w:t>
      </w:r>
      <w:r w:rsidRPr="00A26A6F">
        <w:rPr>
          <w:lang w:val="af-ZA"/>
        </w:rPr>
        <w:softHyphen/>
      </w:r>
      <w:r w:rsidRPr="00A26A6F">
        <w:t>թյուն</w:t>
      </w:r>
      <w:r w:rsidRPr="00A26A6F">
        <w:rPr>
          <w:lang w:val="af-ZA"/>
        </w:rPr>
        <w:t xml:space="preserve"> </w:t>
      </w:r>
      <w:r w:rsidRPr="00A26A6F">
        <w:t>հան</w:t>
      </w:r>
      <w:r w:rsidRPr="00A26A6F">
        <w:rPr>
          <w:lang w:val="af-ZA"/>
        </w:rPr>
        <w:softHyphen/>
      </w:r>
      <w:r w:rsidRPr="00A26A6F">
        <w:rPr>
          <w:lang w:val="af-ZA"/>
        </w:rPr>
        <w:softHyphen/>
      </w:r>
      <w:r w:rsidRPr="00A26A6F">
        <w:t>դի</w:t>
      </w:r>
      <w:r w:rsidRPr="00A26A6F">
        <w:rPr>
          <w:lang w:val="af-ZA"/>
        </w:rPr>
        <w:softHyphen/>
      </w:r>
      <w:r w:rsidRPr="00A26A6F">
        <w:t>սա</w:t>
      </w:r>
      <w:r w:rsidRPr="00A26A6F">
        <w:rPr>
          <w:lang w:val="af-ZA"/>
        </w:rPr>
        <w:softHyphen/>
      </w:r>
      <w:r w:rsidRPr="00A26A6F">
        <w:t>ցող</w:t>
      </w:r>
      <w:r w:rsidRPr="00A26A6F">
        <w:rPr>
          <w:lang w:val="af-ZA"/>
        </w:rPr>
        <w:t xml:space="preserve"> </w:t>
      </w:r>
      <w:r w:rsidRPr="00A26A6F">
        <w:t>բաժնեմաս</w:t>
      </w:r>
      <w:r w:rsidRPr="00A26A6F">
        <w:rPr>
          <w:lang w:val="af-ZA"/>
        </w:rPr>
        <w:t xml:space="preserve"> </w:t>
      </w:r>
      <w:r w:rsidRPr="00A26A6F">
        <w:t>ունեցող</w:t>
      </w:r>
      <w:r w:rsidRPr="00A26A6F">
        <w:rPr>
          <w:lang w:val="af-ZA"/>
        </w:rPr>
        <w:t xml:space="preserve"> </w:t>
      </w:r>
      <w:r w:rsidRPr="00A26A6F">
        <w:t>առևտրային</w:t>
      </w:r>
      <w:r w:rsidRPr="00A26A6F">
        <w:rPr>
          <w:lang w:val="af-ZA"/>
        </w:rPr>
        <w:t xml:space="preserve"> </w:t>
      </w:r>
      <w:r w:rsidRPr="00A26A6F">
        <w:t>կազմակերպությունների</w:t>
      </w:r>
      <w:r w:rsidRPr="00A26A6F">
        <w:rPr>
          <w:lang w:val="af-ZA"/>
        </w:rPr>
        <w:t xml:space="preserve"> </w:t>
      </w:r>
      <w:r w:rsidRPr="00A26A6F">
        <w:t>շահույթի</w:t>
      </w:r>
      <w:r w:rsidRPr="00A26A6F">
        <w:rPr>
          <w:lang w:val="af-ZA"/>
        </w:rPr>
        <w:t xml:space="preserve"> </w:t>
      </w:r>
      <w:r w:rsidRPr="00A26A6F">
        <w:t>բաշխման</w:t>
      </w:r>
      <w:r w:rsidRPr="00A26A6F">
        <w:rPr>
          <w:lang w:val="af-ZA"/>
        </w:rPr>
        <w:t xml:space="preserve">, </w:t>
      </w:r>
      <w:r w:rsidRPr="00A26A6F">
        <w:t>շա</w:t>
      </w:r>
      <w:r w:rsidRPr="00A26A6F">
        <w:rPr>
          <w:lang w:val="af-ZA"/>
        </w:rPr>
        <w:softHyphen/>
      </w:r>
      <w:r w:rsidRPr="00A26A6F">
        <w:rPr>
          <w:lang w:val="af-ZA"/>
        </w:rPr>
        <w:softHyphen/>
      </w:r>
      <w:r w:rsidRPr="00A26A6F">
        <w:t>հու</w:t>
      </w:r>
      <w:r w:rsidRPr="00A26A6F">
        <w:rPr>
          <w:lang w:val="af-ZA"/>
        </w:rPr>
        <w:softHyphen/>
      </w:r>
      <w:r w:rsidRPr="00A26A6F">
        <w:t>թա</w:t>
      </w:r>
      <w:r w:rsidRPr="00A26A6F">
        <w:rPr>
          <w:lang w:val="af-ZA"/>
        </w:rPr>
        <w:softHyphen/>
      </w:r>
      <w:r w:rsidRPr="00A26A6F">
        <w:t>բա</w:t>
      </w:r>
      <w:r w:rsidRPr="00A26A6F">
        <w:rPr>
          <w:lang w:val="af-ZA"/>
        </w:rPr>
        <w:softHyphen/>
      </w:r>
      <w:r w:rsidRPr="00A26A6F">
        <w:t>ժին</w:t>
      </w:r>
      <w:r w:rsidRPr="00A26A6F">
        <w:rPr>
          <w:lang w:val="af-ZA"/>
        </w:rPr>
        <w:softHyphen/>
      </w:r>
      <w:r w:rsidRPr="00A26A6F">
        <w:rPr>
          <w:lang w:val="af-ZA"/>
        </w:rPr>
        <w:softHyphen/>
      </w:r>
      <w:r w:rsidRPr="00A26A6F">
        <w:t>նե</w:t>
      </w:r>
      <w:r w:rsidRPr="00A26A6F">
        <w:rPr>
          <w:lang w:val="af-ZA"/>
        </w:rPr>
        <w:softHyphen/>
      </w:r>
      <w:r w:rsidRPr="00A26A6F">
        <w:t>րի</w:t>
      </w:r>
      <w:r w:rsidRPr="00A26A6F">
        <w:rPr>
          <w:lang w:val="af-ZA"/>
        </w:rPr>
        <w:t xml:space="preserve"> </w:t>
      </w:r>
      <w:r w:rsidRPr="00A26A6F">
        <w:t>հաշ</w:t>
      </w:r>
      <w:r w:rsidRPr="00A26A6F">
        <w:rPr>
          <w:lang w:val="af-ZA"/>
        </w:rPr>
        <w:softHyphen/>
      </w:r>
      <w:r w:rsidRPr="00A26A6F">
        <w:t>վարկ</w:t>
      </w:r>
      <w:r w:rsidRPr="00A26A6F">
        <w:rPr>
          <w:lang w:val="af-ZA"/>
        </w:rPr>
        <w:softHyphen/>
      </w:r>
      <w:r w:rsidRPr="00A26A6F">
        <w:t>ման</w:t>
      </w:r>
      <w:r w:rsidRPr="00A26A6F">
        <w:rPr>
          <w:lang w:val="af-ZA"/>
        </w:rPr>
        <w:t xml:space="preserve"> </w:t>
      </w:r>
      <w:r w:rsidRPr="00A26A6F">
        <w:t>և</w:t>
      </w:r>
      <w:r w:rsidRPr="00A26A6F">
        <w:rPr>
          <w:lang w:val="af-ZA"/>
        </w:rPr>
        <w:t xml:space="preserve"> </w:t>
      </w:r>
      <w:r w:rsidRPr="00A26A6F">
        <w:t>Հայաստանի</w:t>
      </w:r>
      <w:r w:rsidRPr="00A26A6F">
        <w:rPr>
          <w:lang w:val="af-ZA"/>
        </w:rPr>
        <w:t xml:space="preserve"> </w:t>
      </w:r>
      <w:r w:rsidRPr="00A26A6F">
        <w:t>Հան</w:t>
      </w:r>
      <w:r w:rsidRPr="00A26A6F">
        <w:rPr>
          <w:lang w:val="af-ZA"/>
        </w:rPr>
        <w:softHyphen/>
      </w:r>
      <w:r w:rsidRPr="00A26A6F">
        <w:rPr>
          <w:lang w:val="af-ZA"/>
        </w:rPr>
        <w:softHyphen/>
      </w:r>
      <w:r w:rsidRPr="00A26A6F">
        <w:t>րա</w:t>
      </w:r>
      <w:r w:rsidRPr="00A26A6F">
        <w:rPr>
          <w:lang w:val="af-ZA"/>
        </w:rPr>
        <w:softHyphen/>
      </w:r>
      <w:r w:rsidRPr="00A26A6F">
        <w:rPr>
          <w:lang w:val="af-ZA"/>
        </w:rPr>
        <w:softHyphen/>
      </w:r>
      <w:r w:rsidRPr="00A26A6F">
        <w:t>պե</w:t>
      </w:r>
      <w:r w:rsidRPr="00A26A6F">
        <w:rPr>
          <w:lang w:val="af-ZA"/>
        </w:rPr>
        <w:softHyphen/>
      </w:r>
      <w:r w:rsidRPr="00A26A6F">
        <w:t>տու</w:t>
      </w:r>
      <w:r w:rsidRPr="00A26A6F">
        <w:rPr>
          <w:lang w:val="af-ZA"/>
        </w:rPr>
        <w:softHyphen/>
      </w:r>
      <w:r w:rsidRPr="00A26A6F">
        <w:t>թյան</w:t>
      </w:r>
      <w:r w:rsidRPr="00A26A6F">
        <w:rPr>
          <w:lang w:val="af-ZA"/>
        </w:rPr>
        <w:t xml:space="preserve"> </w:t>
      </w:r>
      <w:r w:rsidRPr="00A26A6F">
        <w:t>պետական</w:t>
      </w:r>
      <w:r w:rsidRPr="00A26A6F">
        <w:rPr>
          <w:lang w:val="af-ZA"/>
        </w:rPr>
        <w:t xml:space="preserve"> </w:t>
      </w:r>
      <w:r w:rsidRPr="00A26A6F">
        <w:t>բյուջե</w:t>
      </w:r>
      <w:r w:rsidRPr="00A26A6F">
        <w:rPr>
          <w:lang w:val="af-ZA"/>
        </w:rPr>
        <w:t xml:space="preserve"> </w:t>
      </w:r>
      <w:r w:rsidRPr="00A26A6F">
        <w:t>վճար</w:t>
      </w:r>
      <w:r w:rsidRPr="00A26A6F">
        <w:rPr>
          <w:lang w:val="af-ZA"/>
        </w:rPr>
        <w:softHyphen/>
      </w:r>
      <w:r w:rsidRPr="00A26A6F">
        <w:t>ման</w:t>
      </w:r>
      <w:r w:rsidRPr="00A26A6F">
        <w:rPr>
          <w:lang w:val="af-ZA"/>
        </w:rPr>
        <w:t xml:space="preserve"> </w:t>
      </w:r>
      <w:r w:rsidRPr="00A26A6F">
        <w:t>կար</w:t>
      </w:r>
      <w:r w:rsidRPr="00A26A6F">
        <w:rPr>
          <w:lang w:val="af-ZA"/>
        </w:rPr>
        <w:softHyphen/>
      </w:r>
      <w:r w:rsidRPr="00A26A6F">
        <w:t>գը</w:t>
      </w:r>
      <w:r w:rsidRPr="00A26A6F">
        <w:rPr>
          <w:lang w:val="af-ZA"/>
        </w:rPr>
        <w:t xml:space="preserve"> </w:t>
      </w:r>
      <w:r w:rsidRPr="00A26A6F">
        <w:t>հաս</w:t>
      </w:r>
      <w:r w:rsidRPr="00A26A6F">
        <w:rPr>
          <w:lang w:val="af-ZA"/>
        </w:rPr>
        <w:softHyphen/>
      </w:r>
      <w:r w:rsidRPr="00A26A6F">
        <w:rPr>
          <w:lang w:val="af-ZA"/>
        </w:rPr>
        <w:softHyphen/>
      </w:r>
      <w:r w:rsidRPr="00A26A6F">
        <w:t>տա</w:t>
      </w:r>
      <w:r w:rsidRPr="00A26A6F">
        <w:rPr>
          <w:lang w:val="af-ZA"/>
        </w:rPr>
        <w:softHyphen/>
      </w:r>
      <w:r w:rsidRPr="00A26A6F">
        <w:t>տելու</w:t>
      </w:r>
      <w:r w:rsidRPr="00A26A6F">
        <w:rPr>
          <w:lang w:val="af-ZA"/>
        </w:rPr>
        <w:t xml:space="preserve"> </w:t>
      </w:r>
      <w:r w:rsidRPr="00A26A6F">
        <w:t>և</w:t>
      </w:r>
      <w:r w:rsidRPr="00A26A6F">
        <w:rPr>
          <w:lang w:val="af-ZA"/>
        </w:rPr>
        <w:t xml:space="preserve"> </w:t>
      </w:r>
      <w:r w:rsidRPr="00A26A6F">
        <w:t>Հա</w:t>
      </w:r>
      <w:r w:rsidRPr="00A26A6F">
        <w:rPr>
          <w:lang w:val="af-ZA"/>
        </w:rPr>
        <w:softHyphen/>
      </w:r>
      <w:r w:rsidRPr="00A26A6F">
        <w:t>յաստանի</w:t>
      </w:r>
      <w:r w:rsidRPr="00A26A6F">
        <w:rPr>
          <w:lang w:val="af-ZA"/>
        </w:rPr>
        <w:t xml:space="preserve"> </w:t>
      </w:r>
      <w:r w:rsidRPr="00A26A6F">
        <w:t>Հան</w:t>
      </w:r>
      <w:r w:rsidRPr="00A26A6F">
        <w:rPr>
          <w:lang w:val="af-ZA"/>
        </w:rPr>
        <w:softHyphen/>
      </w:r>
      <w:r w:rsidRPr="00A26A6F">
        <w:rPr>
          <w:lang w:val="af-ZA"/>
        </w:rPr>
        <w:softHyphen/>
      </w:r>
      <w:r w:rsidRPr="00A26A6F">
        <w:t>րա</w:t>
      </w:r>
      <w:r w:rsidRPr="00A26A6F">
        <w:rPr>
          <w:lang w:val="af-ZA"/>
        </w:rPr>
        <w:softHyphen/>
      </w:r>
      <w:r w:rsidRPr="00A26A6F">
        <w:rPr>
          <w:lang w:val="af-ZA"/>
        </w:rPr>
        <w:softHyphen/>
      </w:r>
      <w:r w:rsidRPr="00A26A6F">
        <w:t>պե</w:t>
      </w:r>
      <w:r w:rsidRPr="00A26A6F">
        <w:rPr>
          <w:lang w:val="af-ZA"/>
        </w:rPr>
        <w:softHyphen/>
      </w:r>
      <w:r w:rsidRPr="00A26A6F">
        <w:t>տու</w:t>
      </w:r>
      <w:r w:rsidRPr="00A26A6F">
        <w:rPr>
          <w:lang w:val="af-ZA"/>
        </w:rPr>
        <w:softHyphen/>
      </w:r>
      <w:r w:rsidRPr="00A26A6F">
        <w:t>թյան</w:t>
      </w:r>
      <w:r w:rsidRPr="00A26A6F">
        <w:rPr>
          <w:lang w:val="af-ZA"/>
        </w:rPr>
        <w:t xml:space="preserve"> </w:t>
      </w:r>
      <w:r w:rsidRPr="00A26A6F">
        <w:t>կառավարության</w:t>
      </w:r>
      <w:r w:rsidRPr="00A26A6F">
        <w:rPr>
          <w:lang w:val="af-ZA"/>
        </w:rPr>
        <w:t xml:space="preserve"> 2001 </w:t>
      </w:r>
      <w:r w:rsidRPr="00A26A6F">
        <w:t>թվա</w:t>
      </w:r>
      <w:r w:rsidRPr="00A26A6F">
        <w:rPr>
          <w:lang w:val="af-ZA"/>
        </w:rPr>
        <w:softHyphen/>
      </w:r>
      <w:r w:rsidRPr="00A26A6F">
        <w:t>կա</w:t>
      </w:r>
      <w:r w:rsidRPr="00A26A6F">
        <w:rPr>
          <w:lang w:val="af-ZA"/>
        </w:rPr>
        <w:softHyphen/>
      </w:r>
      <w:r w:rsidRPr="00A26A6F">
        <w:t>նի</w:t>
      </w:r>
      <w:r w:rsidRPr="00A26A6F">
        <w:rPr>
          <w:lang w:val="af-ZA"/>
        </w:rPr>
        <w:t xml:space="preserve"> </w:t>
      </w:r>
      <w:r w:rsidRPr="00A26A6F">
        <w:t>դեկ</w:t>
      </w:r>
      <w:r w:rsidRPr="00A26A6F">
        <w:rPr>
          <w:lang w:val="af-ZA"/>
        </w:rPr>
        <w:softHyphen/>
      </w:r>
      <w:r w:rsidRPr="00A26A6F">
        <w:t>տեմ</w:t>
      </w:r>
      <w:r w:rsidRPr="00A26A6F">
        <w:rPr>
          <w:lang w:val="af-ZA"/>
        </w:rPr>
        <w:softHyphen/>
      </w:r>
      <w:r w:rsidRPr="00A26A6F">
        <w:t>բերի</w:t>
      </w:r>
      <w:r w:rsidRPr="00A26A6F">
        <w:rPr>
          <w:lang w:val="af-ZA"/>
        </w:rPr>
        <w:t xml:space="preserve"> 5-</w:t>
      </w:r>
      <w:r w:rsidRPr="00A26A6F">
        <w:t>ի</w:t>
      </w:r>
      <w:r w:rsidRPr="00A26A6F">
        <w:rPr>
          <w:lang w:val="af-ZA"/>
        </w:rPr>
        <w:t xml:space="preserve"> N 1194 </w:t>
      </w:r>
      <w:r w:rsidRPr="00A26A6F">
        <w:t>որոշ</w:t>
      </w:r>
      <w:r w:rsidRPr="00A26A6F">
        <w:rPr>
          <w:lang w:val="af-ZA"/>
        </w:rPr>
        <w:softHyphen/>
      </w:r>
      <w:r w:rsidRPr="00A26A6F">
        <w:t>ման</w:t>
      </w:r>
      <w:r w:rsidRPr="00A26A6F">
        <w:rPr>
          <w:lang w:val="af-ZA"/>
        </w:rPr>
        <w:t xml:space="preserve"> </w:t>
      </w:r>
      <w:r w:rsidRPr="00A26A6F">
        <w:t>մեջ</w:t>
      </w:r>
      <w:r w:rsidRPr="00A26A6F">
        <w:rPr>
          <w:lang w:val="af-ZA"/>
        </w:rPr>
        <w:t xml:space="preserve"> </w:t>
      </w:r>
      <w:r w:rsidRPr="00A26A6F">
        <w:t>փոփոխություն</w:t>
      </w:r>
      <w:r w:rsidRPr="00A26A6F">
        <w:rPr>
          <w:lang w:val="af-ZA"/>
        </w:rPr>
        <w:t xml:space="preserve"> </w:t>
      </w:r>
      <w:r w:rsidRPr="00A26A6F">
        <w:t>կատարելու</w:t>
      </w:r>
      <w:r w:rsidRPr="00A26A6F">
        <w:rPr>
          <w:lang w:val="af-ZA"/>
        </w:rPr>
        <w:t xml:space="preserve"> </w:t>
      </w:r>
      <w:r w:rsidRPr="00A26A6F">
        <w:t>մասին</w:t>
      </w:r>
      <w:r w:rsidRPr="00A26A6F">
        <w:rPr>
          <w:lang w:val="af-ZA"/>
        </w:rPr>
        <w:t>» N 202-</w:t>
      </w:r>
      <w:r w:rsidRPr="00A26A6F">
        <w:t>Ն</w:t>
      </w:r>
      <w:r w:rsidRPr="00A26A6F">
        <w:rPr>
          <w:lang w:val="af-ZA"/>
        </w:rPr>
        <w:t xml:space="preserve"> </w:t>
      </w:r>
      <w:r w:rsidRPr="00A26A6F">
        <w:t>որոշ</w:t>
      </w:r>
      <w:r w:rsidRPr="00A26A6F">
        <w:rPr>
          <w:lang w:val="af-ZA"/>
        </w:rPr>
        <w:softHyphen/>
      </w:r>
      <w:r w:rsidRPr="00A26A6F">
        <w:t>մամբ</w:t>
      </w:r>
      <w:r w:rsidRPr="00A26A6F">
        <w:rPr>
          <w:lang w:val="af-ZA"/>
        </w:rPr>
        <w:t xml:space="preserve"> </w:t>
      </w:r>
      <w:r w:rsidRPr="00A26A6F">
        <w:t>հաս</w:t>
      </w:r>
      <w:r w:rsidRPr="00A26A6F">
        <w:rPr>
          <w:lang w:val="af-ZA"/>
        </w:rPr>
        <w:softHyphen/>
      </w:r>
      <w:r w:rsidRPr="00A26A6F">
        <w:t>տատ</w:t>
      </w:r>
      <w:r w:rsidRPr="00A26A6F">
        <w:rPr>
          <w:lang w:val="af-ZA"/>
        </w:rPr>
        <w:softHyphen/>
      </w:r>
      <w:r w:rsidRPr="00A26A6F">
        <w:t>ված</w:t>
      </w:r>
      <w:r w:rsidRPr="00A26A6F">
        <w:rPr>
          <w:lang w:val="af-ZA"/>
        </w:rPr>
        <w:t xml:space="preserve"> </w:t>
      </w:r>
      <w:r w:rsidRPr="00A26A6F">
        <w:t>կար</w:t>
      </w:r>
      <w:r w:rsidRPr="00A26A6F">
        <w:rPr>
          <w:lang w:val="af-ZA"/>
        </w:rPr>
        <w:softHyphen/>
      </w:r>
      <w:r w:rsidRPr="00A26A6F">
        <w:t>գի</w:t>
      </w:r>
      <w:r w:rsidRPr="00A26A6F">
        <w:rPr>
          <w:lang w:val="af-ZA"/>
        </w:rPr>
        <w:t xml:space="preserve"> </w:t>
      </w:r>
      <w:r w:rsidRPr="00A26A6F">
        <w:t>համաձայն</w:t>
      </w:r>
      <w:r w:rsidRPr="00A26A6F">
        <w:rPr>
          <w:lang w:val="af-ZA"/>
        </w:rPr>
        <w:t xml:space="preserve"> </w:t>
      </w:r>
      <w:r w:rsidRPr="00A26A6F">
        <w:t>պե</w:t>
      </w:r>
      <w:r w:rsidRPr="00A26A6F">
        <w:rPr>
          <w:lang w:val="af-ZA"/>
        </w:rPr>
        <w:softHyphen/>
      </w:r>
      <w:r w:rsidRPr="00A26A6F">
        <w:t>տա</w:t>
      </w:r>
      <w:r w:rsidRPr="00A26A6F">
        <w:rPr>
          <w:lang w:val="af-ZA"/>
        </w:rPr>
        <w:softHyphen/>
      </w:r>
      <w:r w:rsidRPr="00A26A6F">
        <w:t>կան</w:t>
      </w:r>
      <w:r w:rsidRPr="00A26A6F">
        <w:rPr>
          <w:lang w:val="af-ZA"/>
        </w:rPr>
        <w:t xml:space="preserve"> </w:t>
      </w:r>
      <w:r w:rsidRPr="00A26A6F">
        <w:t>մաս</w:t>
      </w:r>
      <w:r w:rsidRPr="00A26A6F">
        <w:rPr>
          <w:lang w:val="af-ZA"/>
        </w:rPr>
        <w:softHyphen/>
      </w:r>
      <w:r w:rsidRPr="00A26A6F">
        <w:rPr>
          <w:lang w:val="af-ZA"/>
        </w:rPr>
        <w:softHyphen/>
      </w:r>
      <w:r w:rsidRPr="00A26A6F">
        <w:t>նակ</w:t>
      </w:r>
      <w:r w:rsidRPr="00A26A6F">
        <w:rPr>
          <w:lang w:val="af-ZA"/>
        </w:rPr>
        <w:softHyphen/>
      </w:r>
      <w:r w:rsidRPr="00A26A6F">
        <w:t>ցու</w:t>
      </w:r>
      <w:r w:rsidRPr="00A26A6F">
        <w:rPr>
          <w:lang w:val="af-ZA"/>
        </w:rPr>
        <w:softHyphen/>
      </w:r>
      <w:r w:rsidRPr="00A26A6F">
        <w:t>թյան</w:t>
      </w:r>
      <w:r w:rsidRPr="00A26A6F">
        <w:rPr>
          <w:lang w:val="af-ZA"/>
        </w:rPr>
        <w:t xml:space="preserve"> </w:t>
      </w:r>
      <w:r w:rsidRPr="00A26A6F">
        <w:t>դիմաց</w:t>
      </w:r>
      <w:r w:rsidRPr="00A26A6F">
        <w:rPr>
          <w:lang w:val="af-ZA"/>
        </w:rPr>
        <w:t xml:space="preserve"> </w:t>
      </w:r>
      <w:r w:rsidRPr="00A26A6F">
        <w:t>պե</w:t>
      </w:r>
      <w:r w:rsidRPr="00A26A6F">
        <w:rPr>
          <w:lang w:val="af-ZA"/>
        </w:rPr>
        <w:softHyphen/>
      </w:r>
      <w:r w:rsidRPr="00A26A6F">
        <w:t>տա</w:t>
      </w:r>
      <w:r w:rsidRPr="00A26A6F">
        <w:rPr>
          <w:lang w:val="af-ZA"/>
        </w:rPr>
        <w:softHyphen/>
      </w:r>
      <w:r w:rsidRPr="00A26A6F">
        <w:t>կան</w:t>
      </w:r>
      <w:r w:rsidRPr="00A26A6F">
        <w:rPr>
          <w:lang w:val="af-ZA"/>
        </w:rPr>
        <w:t xml:space="preserve"> </w:t>
      </w:r>
      <w:r w:rsidRPr="00A26A6F">
        <w:t>բյու</w:t>
      </w:r>
      <w:r w:rsidRPr="00A26A6F">
        <w:rPr>
          <w:lang w:val="af-ZA"/>
        </w:rPr>
        <w:softHyphen/>
      </w:r>
      <w:r w:rsidRPr="00A26A6F">
        <w:t>ջե</w:t>
      </w:r>
      <w:r w:rsidRPr="00A26A6F">
        <w:rPr>
          <w:lang w:val="af-ZA"/>
        </w:rPr>
        <w:t xml:space="preserve"> </w:t>
      </w:r>
      <w:r w:rsidRPr="00A26A6F">
        <w:t>վճարման</w:t>
      </w:r>
      <w:r w:rsidRPr="00A26A6F">
        <w:rPr>
          <w:lang w:val="af-ZA"/>
        </w:rPr>
        <w:t xml:space="preserve"> </w:t>
      </w:r>
      <w:r w:rsidRPr="00A26A6F">
        <w:t>են</w:t>
      </w:r>
      <w:r w:rsidRPr="00A26A6F">
        <w:rPr>
          <w:lang w:val="af-ZA"/>
        </w:rPr>
        <w:softHyphen/>
      </w:r>
      <w:r w:rsidRPr="00A26A6F">
        <w:t>թա</w:t>
      </w:r>
      <w:r w:rsidRPr="00A26A6F">
        <w:rPr>
          <w:lang w:val="af-ZA"/>
        </w:rPr>
        <w:softHyphen/>
      </w:r>
      <w:r w:rsidRPr="00A26A6F">
        <w:t>կա</w:t>
      </w:r>
      <w:r w:rsidRPr="00A26A6F">
        <w:rPr>
          <w:lang w:val="af-ZA"/>
        </w:rPr>
        <w:t xml:space="preserve"> </w:t>
      </w:r>
      <w:r w:rsidRPr="00A26A6F">
        <w:t>տա</w:t>
      </w:r>
      <w:r w:rsidRPr="00A26A6F">
        <w:rPr>
          <w:lang w:val="af-ZA"/>
        </w:rPr>
        <w:softHyphen/>
      </w:r>
      <w:r w:rsidRPr="00A26A6F">
        <w:t>րե</w:t>
      </w:r>
      <w:r w:rsidRPr="00A26A6F">
        <w:rPr>
          <w:lang w:val="af-ZA"/>
        </w:rPr>
        <w:softHyphen/>
      </w:r>
      <w:r w:rsidRPr="00A26A6F">
        <w:t>կան</w:t>
      </w:r>
      <w:r w:rsidRPr="00A26A6F">
        <w:rPr>
          <w:lang w:val="af-ZA"/>
        </w:rPr>
        <w:t xml:space="preserve"> </w:t>
      </w:r>
      <w:r w:rsidRPr="00A26A6F">
        <w:t>շահութաբաժինների</w:t>
      </w:r>
      <w:r w:rsidRPr="00A26A6F">
        <w:rPr>
          <w:lang w:val="af-ZA"/>
        </w:rPr>
        <w:t xml:space="preserve"> </w:t>
      </w:r>
      <w:r w:rsidRPr="00A26A6F">
        <w:t>հաշվարկման</w:t>
      </w:r>
      <w:r w:rsidRPr="00A26A6F">
        <w:rPr>
          <w:lang w:val="af-ZA"/>
        </w:rPr>
        <w:t xml:space="preserve"> </w:t>
      </w:r>
      <w:r w:rsidRPr="00A26A6F">
        <w:t>բազայի</w:t>
      </w:r>
      <w:r w:rsidRPr="00A26A6F">
        <w:rPr>
          <w:lang w:val="af-ZA"/>
        </w:rPr>
        <w:t xml:space="preserve"> 50%</w:t>
      </w:r>
      <w:r w:rsidRPr="00A26A6F">
        <w:rPr>
          <w:lang w:val="af-ZA"/>
        </w:rPr>
        <w:noBreakHyphen/>
      </w:r>
      <w:r w:rsidRPr="00A26A6F">
        <w:t>ի</w:t>
      </w:r>
      <w:r w:rsidRPr="00A26A6F">
        <w:rPr>
          <w:lang w:val="af-ZA"/>
        </w:rPr>
        <w:t xml:space="preserve"> </w:t>
      </w:r>
      <w:r w:rsidRPr="00A26A6F">
        <w:t>չա</w:t>
      </w:r>
      <w:r w:rsidRPr="00A26A6F">
        <w:rPr>
          <w:lang w:val="af-ZA"/>
        </w:rPr>
        <w:softHyphen/>
      </w:r>
      <w:r w:rsidRPr="00A26A6F">
        <w:t>փով</w:t>
      </w:r>
      <w:r w:rsidRPr="00A26A6F">
        <w:rPr>
          <w:lang w:val="af-ZA"/>
        </w:rPr>
        <w:t xml:space="preserve"> </w:t>
      </w:r>
      <w:r w:rsidRPr="00A26A6F">
        <w:t>պետական</w:t>
      </w:r>
      <w:r w:rsidRPr="00A26A6F">
        <w:rPr>
          <w:lang w:val="af-ZA"/>
        </w:rPr>
        <w:t xml:space="preserve"> </w:t>
      </w:r>
      <w:r w:rsidRPr="00A26A6F">
        <w:t>բյուջե</w:t>
      </w:r>
      <w:r w:rsidRPr="00A26A6F">
        <w:rPr>
          <w:lang w:val="af-ZA"/>
        </w:rPr>
        <w:t xml:space="preserve"> </w:t>
      </w:r>
      <w:r w:rsidRPr="00A26A6F">
        <w:t>կա</w:t>
      </w:r>
      <w:r w:rsidRPr="00A26A6F">
        <w:rPr>
          <w:lang w:val="af-ZA"/>
        </w:rPr>
        <w:softHyphen/>
      </w:r>
      <w:r w:rsidRPr="00A26A6F">
        <w:t>տար</w:t>
      </w:r>
      <w:r w:rsidRPr="00A26A6F">
        <w:rPr>
          <w:lang w:val="af-ZA"/>
        </w:rPr>
        <w:softHyphen/>
      </w:r>
      <w:r w:rsidRPr="00A26A6F">
        <w:rPr>
          <w:lang w:val="af-ZA"/>
        </w:rPr>
        <w:softHyphen/>
      </w:r>
      <w:r w:rsidRPr="00A26A6F">
        <w:t>վե</w:t>
      </w:r>
      <w:r w:rsidRPr="00A26A6F">
        <w:rPr>
          <w:lang w:val="af-ZA"/>
        </w:rPr>
        <w:softHyphen/>
      </w:r>
      <w:r w:rsidRPr="00A26A6F">
        <w:t>լիք</w:t>
      </w:r>
      <w:r w:rsidRPr="00A26A6F">
        <w:rPr>
          <w:lang w:val="af-ZA"/>
        </w:rPr>
        <w:t xml:space="preserve"> </w:t>
      </w:r>
      <w:r w:rsidRPr="00A26A6F">
        <w:t>մաս</w:t>
      </w:r>
      <w:r w:rsidRPr="00A26A6F">
        <w:rPr>
          <w:lang w:val="af-ZA"/>
        </w:rPr>
        <w:softHyphen/>
      </w:r>
      <w:r w:rsidRPr="00A26A6F">
        <w:t>հանումների</w:t>
      </w:r>
      <w:r w:rsidRPr="00A26A6F">
        <w:rPr>
          <w:lang w:val="af-ZA"/>
        </w:rPr>
        <w:t xml:space="preserve"> </w:t>
      </w:r>
      <w:r w:rsidRPr="00A26A6F">
        <w:t>սահմանումը</w:t>
      </w:r>
      <w:r w:rsidRPr="00A26A6F">
        <w:rPr>
          <w:lang w:val="af-ZA"/>
        </w:rPr>
        <w:t>:</w:t>
      </w:r>
    </w:p>
    <w:p w14:paraId="36F4F5AB" w14:textId="3172ECC1" w:rsidR="00ED147C" w:rsidRPr="0091087E" w:rsidRDefault="00ED147C" w:rsidP="00ED147C">
      <w:pPr>
        <w:pStyle w:val="BodyText1"/>
        <w:ind w:left="0" w:right="357"/>
        <w:rPr>
          <w:lang w:val="hy-AM"/>
        </w:rPr>
      </w:pPr>
      <w:r w:rsidRPr="0026168E">
        <w:t>Պետության</w:t>
      </w:r>
      <w:r w:rsidRPr="0026168E">
        <w:rPr>
          <w:lang w:val="af-ZA"/>
        </w:rPr>
        <w:t xml:space="preserve"> </w:t>
      </w:r>
      <w:r w:rsidRPr="0026168E">
        <w:t>կողմից</w:t>
      </w:r>
      <w:r w:rsidRPr="0026168E">
        <w:rPr>
          <w:lang w:val="af-ZA"/>
        </w:rPr>
        <w:t xml:space="preserve"> </w:t>
      </w:r>
      <w:r w:rsidRPr="0026168E">
        <w:rPr>
          <w:lang w:val="hy-AM"/>
        </w:rPr>
        <w:t>ՀՀ ռեզիդենտներին</w:t>
      </w:r>
      <w:r w:rsidRPr="00BF236E">
        <w:rPr>
          <w:lang w:val="af-ZA"/>
        </w:rPr>
        <w:t xml:space="preserve"> </w:t>
      </w:r>
      <w:r w:rsidRPr="0026168E">
        <w:t>տրված</w:t>
      </w:r>
      <w:r w:rsidRPr="0026168E">
        <w:rPr>
          <w:lang w:val="af-ZA"/>
        </w:rPr>
        <w:t xml:space="preserve"> </w:t>
      </w:r>
      <w:r w:rsidRPr="0026168E">
        <w:t>վարկերի</w:t>
      </w:r>
      <w:r w:rsidRPr="0026168E">
        <w:rPr>
          <w:lang w:val="af-ZA"/>
        </w:rPr>
        <w:t xml:space="preserve"> </w:t>
      </w:r>
      <w:r w:rsidRPr="0026168E">
        <w:t>օգտագործման</w:t>
      </w:r>
      <w:r w:rsidRPr="0026168E">
        <w:rPr>
          <w:lang w:val="af-ZA"/>
        </w:rPr>
        <w:t xml:space="preserve"> </w:t>
      </w:r>
      <w:r w:rsidRPr="0026168E">
        <w:t>դիմաց</w:t>
      </w:r>
      <w:r w:rsidRPr="0026168E">
        <w:rPr>
          <w:lang w:val="af-ZA"/>
        </w:rPr>
        <w:t xml:space="preserve"> </w:t>
      </w:r>
      <w:r w:rsidRPr="0026168E">
        <w:t>տոկոսավճարները</w:t>
      </w:r>
      <w:r w:rsidRPr="0026168E">
        <w:rPr>
          <w:lang w:val="af-ZA"/>
        </w:rPr>
        <w:t xml:space="preserve"> 202</w:t>
      </w:r>
      <w:r>
        <w:rPr>
          <w:lang w:val="af-ZA"/>
        </w:rPr>
        <w:t>6</w:t>
      </w:r>
      <w:r w:rsidRPr="0026168E">
        <w:rPr>
          <w:lang w:val="af-ZA"/>
        </w:rPr>
        <w:t xml:space="preserve"> </w:t>
      </w:r>
      <w:r w:rsidRPr="0026168E">
        <w:t>թվա</w:t>
      </w:r>
      <w:r w:rsidRPr="0026168E">
        <w:rPr>
          <w:lang w:val="af-ZA"/>
        </w:rPr>
        <w:softHyphen/>
      </w:r>
      <w:r w:rsidRPr="0026168E">
        <w:rPr>
          <w:lang w:val="af-ZA"/>
        </w:rPr>
        <w:softHyphen/>
      </w:r>
      <w:r w:rsidRPr="0026168E">
        <w:rPr>
          <w:lang w:val="af-ZA"/>
        </w:rPr>
        <w:softHyphen/>
      </w:r>
      <w:r w:rsidRPr="0026168E">
        <w:t>կանին</w:t>
      </w:r>
      <w:r w:rsidRPr="0026168E">
        <w:rPr>
          <w:lang w:val="af-ZA"/>
        </w:rPr>
        <w:t xml:space="preserve"> </w:t>
      </w:r>
      <w:r w:rsidRPr="0026168E">
        <w:t>կանխատեսվում</w:t>
      </w:r>
      <w:r w:rsidRPr="0026168E">
        <w:rPr>
          <w:lang w:val="af-ZA"/>
        </w:rPr>
        <w:t xml:space="preserve"> </w:t>
      </w:r>
      <w:r w:rsidRPr="0026168E">
        <w:t>են</w:t>
      </w:r>
      <w:r w:rsidRPr="0026168E">
        <w:rPr>
          <w:lang w:val="af-ZA"/>
        </w:rPr>
        <w:t xml:space="preserve"> 1</w:t>
      </w:r>
      <w:r>
        <w:rPr>
          <w:lang w:val="af-ZA"/>
        </w:rPr>
        <w:t>0</w:t>
      </w:r>
      <w:r w:rsidR="006E46A0">
        <w:rPr>
          <w:lang w:val="af-ZA"/>
        </w:rPr>
        <w:t>,277</w:t>
      </w:r>
      <w:r w:rsidRPr="0026168E">
        <w:rPr>
          <w:lang w:val="af-ZA"/>
        </w:rPr>
        <w:t>.</w:t>
      </w:r>
      <w:r w:rsidR="006E46A0">
        <w:rPr>
          <w:lang w:val="hy-AM"/>
        </w:rPr>
        <w:t>9</w:t>
      </w:r>
      <w:r w:rsidRPr="0026168E">
        <w:rPr>
          <w:lang w:val="af-ZA"/>
        </w:rPr>
        <w:t xml:space="preserve"> </w:t>
      </w:r>
      <w:r w:rsidRPr="0026168E">
        <w:t>մլն</w:t>
      </w:r>
      <w:r w:rsidRPr="0026168E">
        <w:rPr>
          <w:lang w:val="af-ZA"/>
        </w:rPr>
        <w:t xml:space="preserve"> </w:t>
      </w:r>
      <w:r>
        <w:t>դրամ</w:t>
      </w:r>
      <w:r>
        <w:rPr>
          <w:lang w:val="hy-AM"/>
        </w:rPr>
        <w:t>, 2027 թվականին</w:t>
      </w:r>
      <w:r w:rsidRPr="0026168E">
        <w:rPr>
          <w:lang w:val="af-ZA"/>
        </w:rPr>
        <w:t>`</w:t>
      </w:r>
      <w:r w:rsidR="006E46A0">
        <w:rPr>
          <w:lang w:val="hy-AM"/>
        </w:rPr>
        <w:t xml:space="preserve"> 8,629</w:t>
      </w:r>
      <w:r w:rsidRPr="00C57CDE">
        <w:rPr>
          <w:lang w:val="af-ZA"/>
        </w:rPr>
        <w:t>.</w:t>
      </w:r>
      <w:r w:rsidR="006E46A0">
        <w:rPr>
          <w:lang w:val="hy-AM"/>
        </w:rPr>
        <w:t>4</w:t>
      </w:r>
      <w:r>
        <w:rPr>
          <w:lang w:val="af-ZA"/>
        </w:rPr>
        <w:t xml:space="preserve"> </w:t>
      </w:r>
      <w:r>
        <w:rPr>
          <w:lang w:val="hy-AM"/>
        </w:rPr>
        <w:t>մլն դրամ</w:t>
      </w:r>
      <w:r>
        <w:rPr>
          <w:lang w:val="af-ZA"/>
        </w:rPr>
        <w:t xml:space="preserve">, </w:t>
      </w:r>
      <w:r>
        <w:rPr>
          <w:lang w:val="hy-AM"/>
        </w:rPr>
        <w:t>իսկ</w:t>
      </w:r>
      <w:r>
        <w:rPr>
          <w:lang w:val="af-ZA"/>
        </w:rPr>
        <w:t xml:space="preserve"> 2028</w:t>
      </w:r>
      <w:r>
        <w:rPr>
          <w:lang w:val="hy-AM"/>
        </w:rPr>
        <w:t xml:space="preserve"> թվականին՝</w:t>
      </w:r>
      <w:r w:rsidR="006E46A0">
        <w:rPr>
          <w:lang w:val="hy-AM"/>
        </w:rPr>
        <w:t xml:space="preserve"> 6,948</w:t>
      </w:r>
      <w:r w:rsidRPr="00C57CDE">
        <w:rPr>
          <w:lang w:val="af-ZA"/>
        </w:rPr>
        <w:t>.</w:t>
      </w:r>
      <w:r w:rsidR="006E46A0">
        <w:rPr>
          <w:lang w:val="af-ZA"/>
        </w:rPr>
        <w:t>9</w:t>
      </w:r>
      <w:r>
        <w:rPr>
          <w:lang w:val="hy-AM"/>
        </w:rPr>
        <w:t xml:space="preserve"> մլն դրամ՝</w:t>
      </w:r>
      <w:r w:rsidRPr="0026168E">
        <w:rPr>
          <w:lang w:val="af-ZA"/>
        </w:rPr>
        <w:t xml:space="preserve"> </w:t>
      </w:r>
      <w:r w:rsidRPr="0026168E">
        <w:rPr>
          <w:lang w:val="hy-AM"/>
        </w:rPr>
        <w:t>հաշվի</w:t>
      </w:r>
      <w:r w:rsidRPr="0026168E">
        <w:rPr>
          <w:lang w:val="af-ZA"/>
        </w:rPr>
        <w:t xml:space="preserve"> </w:t>
      </w:r>
      <w:r w:rsidRPr="0026168E">
        <w:rPr>
          <w:lang w:val="hy-AM"/>
        </w:rPr>
        <w:t>առնելով</w:t>
      </w:r>
      <w:r w:rsidRPr="0026168E">
        <w:rPr>
          <w:lang w:val="af-ZA"/>
        </w:rPr>
        <w:t xml:space="preserve"> </w:t>
      </w:r>
      <w:r w:rsidRPr="0026168E">
        <w:rPr>
          <w:lang w:val="hy-AM"/>
        </w:rPr>
        <w:t>հա</w:t>
      </w:r>
      <w:r w:rsidRPr="0026168E">
        <w:rPr>
          <w:lang w:val="af-ZA"/>
        </w:rPr>
        <w:softHyphen/>
      </w:r>
      <w:r w:rsidRPr="0026168E">
        <w:rPr>
          <w:lang w:val="hy-AM"/>
        </w:rPr>
        <w:t>մա</w:t>
      </w:r>
      <w:r w:rsidRPr="0026168E">
        <w:rPr>
          <w:lang w:val="af-ZA"/>
        </w:rPr>
        <w:softHyphen/>
      </w:r>
      <w:r w:rsidRPr="0026168E">
        <w:rPr>
          <w:lang w:val="af-ZA"/>
        </w:rPr>
        <w:softHyphen/>
      </w:r>
      <w:r w:rsidRPr="0026168E">
        <w:rPr>
          <w:lang w:val="hy-AM"/>
        </w:rPr>
        <w:t>պա</w:t>
      </w:r>
      <w:r w:rsidRPr="0026168E">
        <w:rPr>
          <w:lang w:val="af-ZA"/>
        </w:rPr>
        <w:softHyphen/>
      </w:r>
      <w:r w:rsidRPr="0026168E">
        <w:rPr>
          <w:lang w:val="hy-AM"/>
        </w:rPr>
        <w:t>տաս</w:t>
      </w:r>
      <w:r w:rsidRPr="0026168E">
        <w:rPr>
          <w:lang w:val="af-ZA"/>
        </w:rPr>
        <w:softHyphen/>
      </w:r>
      <w:r w:rsidRPr="0026168E">
        <w:rPr>
          <w:lang w:val="hy-AM"/>
        </w:rPr>
        <w:t>խան</w:t>
      </w:r>
      <w:r w:rsidRPr="0026168E">
        <w:rPr>
          <w:lang w:val="af-ZA"/>
        </w:rPr>
        <w:t xml:space="preserve"> </w:t>
      </w:r>
      <w:r w:rsidRPr="0026168E">
        <w:rPr>
          <w:lang w:val="hy-AM"/>
        </w:rPr>
        <w:t>պայ</w:t>
      </w:r>
      <w:r w:rsidRPr="0026168E">
        <w:rPr>
          <w:lang w:val="af-ZA"/>
        </w:rPr>
        <w:softHyphen/>
      </w:r>
      <w:r w:rsidRPr="0026168E">
        <w:rPr>
          <w:lang w:val="af-ZA"/>
        </w:rPr>
        <w:softHyphen/>
      </w:r>
      <w:r w:rsidRPr="0026168E">
        <w:rPr>
          <w:lang w:val="hy-AM"/>
        </w:rPr>
        <w:t>մա</w:t>
      </w:r>
      <w:r w:rsidRPr="0026168E">
        <w:rPr>
          <w:lang w:val="af-ZA"/>
        </w:rPr>
        <w:softHyphen/>
      </w:r>
      <w:r w:rsidRPr="0026168E">
        <w:rPr>
          <w:lang w:val="hy-AM"/>
        </w:rPr>
        <w:t>նա</w:t>
      </w:r>
      <w:r w:rsidRPr="0026168E">
        <w:rPr>
          <w:lang w:val="af-ZA"/>
        </w:rPr>
        <w:softHyphen/>
      </w:r>
      <w:r w:rsidRPr="0026168E">
        <w:rPr>
          <w:lang w:val="hy-AM"/>
        </w:rPr>
        <w:t>գրերով</w:t>
      </w:r>
      <w:r w:rsidRPr="0026168E">
        <w:rPr>
          <w:lang w:val="af-ZA"/>
        </w:rPr>
        <w:t xml:space="preserve"> </w:t>
      </w:r>
      <w:r w:rsidRPr="0026168E">
        <w:rPr>
          <w:lang w:val="hy-AM"/>
        </w:rPr>
        <w:t>նախատեսված</w:t>
      </w:r>
      <w:r w:rsidRPr="0026168E">
        <w:rPr>
          <w:lang w:val="af-ZA"/>
        </w:rPr>
        <w:t xml:space="preserve"> </w:t>
      </w:r>
      <w:r w:rsidRPr="0026168E">
        <w:rPr>
          <w:lang w:val="hy-AM"/>
        </w:rPr>
        <w:t>դրույթները</w:t>
      </w:r>
      <w:r w:rsidRPr="0026168E">
        <w:rPr>
          <w:lang w:val="af-ZA"/>
        </w:rPr>
        <w:t xml:space="preserve">: </w:t>
      </w:r>
      <w:r w:rsidRPr="0026168E">
        <w:rPr>
          <w:lang w:val="hy-AM"/>
        </w:rPr>
        <w:t>Մաս</w:t>
      </w:r>
      <w:r w:rsidRPr="0026168E">
        <w:rPr>
          <w:lang w:val="af-ZA"/>
        </w:rPr>
        <w:softHyphen/>
      </w:r>
      <w:r w:rsidRPr="0026168E">
        <w:rPr>
          <w:lang w:val="hy-AM"/>
        </w:rPr>
        <w:t>նա</w:t>
      </w:r>
      <w:r w:rsidRPr="0026168E">
        <w:rPr>
          <w:lang w:val="af-ZA"/>
        </w:rPr>
        <w:softHyphen/>
      </w:r>
      <w:r w:rsidRPr="0026168E">
        <w:rPr>
          <w:lang w:val="hy-AM"/>
        </w:rPr>
        <w:t>վո</w:t>
      </w:r>
      <w:r w:rsidRPr="0026168E">
        <w:rPr>
          <w:lang w:val="af-ZA"/>
        </w:rPr>
        <w:softHyphen/>
      </w:r>
      <w:r w:rsidRPr="0026168E">
        <w:rPr>
          <w:lang w:val="hy-AM"/>
        </w:rPr>
        <w:t>րա</w:t>
      </w:r>
      <w:r w:rsidRPr="0026168E">
        <w:rPr>
          <w:lang w:val="af-ZA"/>
        </w:rPr>
        <w:softHyphen/>
      </w:r>
      <w:r w:rsidRPr="0026168E">
        <w:rPr>
          <w:lang w:val="hy-AM"/>
        </w:rPr>
        <w:t>պես</w:t>
      </w:r>
      <w:r w:rsidRPr="0026168E">
        <w:rPr>
          <w:lang w:val="af-ZA"/>
        </w:rPr>
        <w:t xml:space="preserve">, </w:t>
      </w:r>
      <w:r w:rsidRPr="0026168E">
        <w:rPr>
          <w:lang w:val="hy-AM"/>
        </w:rPr>
        <w:t>տոկոսավճարների</w:t>
      </w:r>
      <w:r w:rsidRPr="0026168E">
        <w:rPr>
          <w:lang w:val="af-ZA"/>
        </w:rPr>
        <w:t xml:space="preserve"> </w:t>
      </w:r>
      <w:r w:rsidRPr="0026168E">
        <w:rPr>
          <w:lang w:val="hy-AM"/>
        </w:rPr>
        <w:t>գծով</w:t>
      </w:r>
      <w:r w:rsidRPr="0026168E">
        <w:rPr>
          <w:lang w:val="af-ZA"/>
        </w:rPr>
        <w:t xml:space="preserve"> </w:t>
      </w:r>
      <w:r w:rsidRPr="0026168E">
        <w:rPr>
          <w:lang w:val="hy-AM"/>
        </w:rPr>
        <w:t>մուտ</w:t>
      </w:r>
      <w:r w:rsidRPr="0026168E">
        <w:rPr>
          <w:lang w:val="af-ZA"/>
        </w:rPr>
        <w:softHyphen/>
      </w:r>
      <w:r w:rsidRPr="0026168E">
        <w:rPr>
          <w:lang w:val="af-ZA"/>
        </w:rPr>
        <w:softHyphen/>
      </w:r>
      <w:r w:rsidRPr="0026168E">
        <w:rPr>
          <w:lang w:val="hy-AM"/>
        </w:rPr>
        <w:t>քերն</w:t>
      </w:r>
      <w:r w:rsidRPr="0026168E">
        <w:rPr>
          <w:lang w:val="af-ZA"/>
        </w:rPr>
        <w:t xml:space="preserve"> </w:t>
      </w:r>
      <w:r w:rsidRPr="0026168E">
        <w:rPr>
          <w:lang w:val="hy-AM"/>
        </w:rPr>
        <w:t>ապահովվելու</w:t>
      </w:r>
      <w:r w:rsidRPr="0026168E">
        <w:rPr>
          <w:lang w:val="af-ZA"/>
        </w:rPr>
        <w:t xml:space="preserve"> </w:t>
      </w:r>
      <w:r w:rsidRPr="0026168E">
        <w:rPr>
          <w:lang w:val="hy-AM"/>
        </w:rPr>
        <w:t>են</w:t>
      </w:r>
      <w:r w:rsidRPr="0026168E">
        <w:rPr>
          <w:lang w:val="af-ZA"/>
        </w:rPr>
        <w:t xml:space="preserve"> </w:t>
      </w:r>
      <w:r w:rsidRPr="0026168E">
        <w:rPr>
          <w:lang w:val="hy-AM"/>
        </w:rPr>
        <w:t>ի</w:t>
      </w:r>
      <w:r w:rsidRPr="0026168E">
        <w:rPr>
          <w:lang w:val="af-ZA"/>
        </w:rPr>
        <w:t xml:space="preserve"> </w:t>
      </w:r>
      <w:r w:rsidRPr="0026168E">
        <w:rPr>
          <w:lang w:val="hy-AM"/>
        </w:rPr>
        <w:t>հա</w:t>
      </w:r>
      <w:r w:rsidRPr="0026168E">
        <w:rPr>
          <w:lang w:val="af-ZA"/>
        </w:rPr>
        <w:softHyphen/>
      </w:r>
      <w:r w:rsidRPr="0026168E">
        <w:rPr>
          <w:lang w:val="hy-AM"/>
        </w:rPr>
        <w:t>շիվ</w:t>
      </w:r>
      <w:r w:rsidRPr="0026168E">
        <w:rPr>
          <w:lang w:val="af-ZA"/>
        </w:rPr>
        <w:t xml:space="preserve"> «</w:t>
      </w:r>
      <w:r w:rsidRPr="0026168E">
        <w:rPr>
          <w:lang w:val="hy-AM"/>
        </w:rPr>
        <w:t>Բարձրավոլտ</w:t>
      </w:r>
      <w:r w:rsidRPr="0026168E">
        <w:rPr>
          <w:lang w:val="af-ZA"/>
        </w:rPr>
        <w:t xml:space="preserve"> </w:t>
      </w:r>
      <w:r w:rsidRPr="0026168E">
        <w:rPr>
          <w:lang w:val="hy-AM"/>
        </w:rPr>
        <w:t>էլեկ</w:t>
      </w:r>
      <w:r w:rsidRPr="0026168E">
        <w:rPr>
          <w:lang w:val="af-ZA"/>
        </w:rPr>
        <w:softHyphen/>
      </w:r>
      <w:r w:rsidRPr="0026168E">
        <w:rPr>
          <w:lang w:val="hy-AM"/>
        </w:rPr>
        <w:t>տրա</w:t>
      </w:r>
      <w:r w:rsidRPr="0026168E">
        <w:rPr>
          <w:lang w:val="af-ZA"/>
        </w:rPr>
        <w:softHyphen/>
      </w:r>
      <w:r w:rsidRPr="0026168E">
        <w:rPr>
          <w:lang w:val="hy-AM"/>
        </w:rPr>
        <w:t>կան</w:t>
      </w:r>
      <w:r w:rsidRPr="0026168E">
        <w:rPr>
          <w:lang w:val="af-ZA"/>
        </w:rPr>
        <w:t xml:space="preserve"> </w:t>
      </w:r>
      <w:r w:rsidRPr="0026168E">
        <w:rPr>
          <w:lang w:val="hy-AM"/>
        </w:rPr>
        <w:t>ցան</w:t>
      </w:r>
      <w:r w:rsidRPr="0026168E">
        <w:rPr>
          <w:lang w:val="af-ZA"/>
        </w:rPr>
        <w:softHyphen/>
      </w:r>
      <w:r w:rsidRPr="0026168E">
        <w:rPr>
          <w:lang w:val="af-ZA"/>
        </w:rPr>
        <w:softHyphen/>
      </w:r>
      <w:r w:rsidRPr="0026168E">
        <w:rPr>
          <w:lang w:val="hy-AM"/>
        </w:rPr>
        <w:t>ցեր</w:t>
      </w:r>
      <w:r w:rsidRPr="0026168E">
        <w:rPr>
          <w:lang w:val="af-ZA"/>
        </w:rPr>
        <w:t>», «</w:t>
      </w:r>
      <w:r w:rsidRPr="0026168E">
        <w:rPr>
          <w:lang w:val="hy-AM"/>
        </w:rPr>
        <w:t>Հայկական ատոմակայան</w:t>
      </w:r>
      <w:r w:rsidRPr="0026168E">
        <w:rPr>
          <w:lang w:val="af-ZA"/>
        </w:rPr>
        <w:t xml:space="preserve">» </w:t>
      </w:r>
      <w:r w:rsidRPr="0026168E">
        <w:rPr>
          <w:lang w:val="hy-AM"/>
        </w:rPr>
        <w:t>ՓԲԸ</w:t>
      </w:r>
      <w:r w:rsidRPr="0026168E">
        <w:rPr>
          <w:lang w:val="af-ZA"/>
        </w:rPr>
        <w:t>-</w:t>
      </w:r>
      <w:r w:rsidRPr="0026168E">
        <w:rPr>
          <w:lang w:val="hy-AM"/>
        </w:rPr>
        <w:t>ներին</w:t>
      </w:r>
      <w:r w:rsidRPr="0026168E">
        <w:rPr>
          <w:lang w:val="af-ZA"/>
        </w:rPr>
        <w:t>, «</w:t>
      </w:r>
      <w:r w:rsidRPr="0026168E">
        <w:rPr>
          <w:lang w:val="hy-AM"/>
        </w:rPr>
        <w:t>Երևանի</w:t>
      </w:r>
      <w:r w:rsidRPr="0026168E">
        <w:rPr>
          <w:lang w:val="af-ZA"/>
        </w:rPr>
        <w:t xml:space="preserve"> </w:t>
      </w:r>
      <w:r w:rsidRPr="0026168E">
        <w:rPr>
          <w:lang w:val="hy-AM"/>
        </w:rPr>
        <w:t>Ջերմաէլեկտրակենտրոն</w:t>
      </w:r>
      <w:r w:rsidRPr="0026168E">
        <w:rPr>
          <w:lang w:val="af-ZA"/>
        </w:rPr>
        <w:t xml:space="preserve">» </w:t>
      </w:r>
      <w:r w:rsidRPr="0026168E">
        <w:rPr>
          <w:lang w:val="hy-AM"/>
        </w:rPr>
        <w:t>ՓԲԸ</w:t>
      </w:r>
      <w:r w:rsidRPr="0026168E">
        <w:rPr>
          <w:lang w:val="af-ZA"/>
        </w:rPr>
        <w:t>-</w:t>
      </w:r>
      <w:r w:rsidRPr="0026168E">
        <w:rPr>
          <w:lang w:val="hy-AM"/>
        </w:rPr>
        <w:t>ին</w:t>
      </w:r>
      <w:r w:rsidRPr="0026168E">
        <w:rPr>
          <w:lang w:val="af-ZA"/>
        </w:rPr>
        <w:t>,</w:t>
      </w:r>
      <w:r w:rsidRPr="0026168E">
        <w:rPr>
          <w:lang w:val="hy-AM"/>
        </w:rPr>
        <w:t xml:space="preserve"> </w:t>
      </w:r>
      <w:r w:rsidRPr="0026168E">
        <w:rPr>
          <w:lang w:val="af-ZA"/>
        </w:rPr>
        <w:t>«</w:t>
      </w:r>
      <w:r w:rsidRPr="0026168E">
        <w:rPr>
          <w:lang w:val="hy-AM"/>
        </w:rPr>
        <w:t>Դի</w:t>
      </w:r>
      <w:r w:rsidRPr="0026168E">
        <w:rPr>
          <w:lang w:val="af-ZA"/>
        </w:rPr>
        <w:t xml:space="preserve"> </w:t>
      </w:r>
      <w:r w:rsidRPr="0026168E">
        <w:rPr>
          <w:lang w:val="hy-AM"/>
        </w:rPr>
        <w:t>ընդ</w:t>
      </w:r>
      <w:r w:rsidRPr="0026168E">
        <w:rPr>
          <w:lang w:val="af-ZA"/>
        </w:rPr>
        <w:t xml:space="preserve"> </w:t>
      </w:r>
      <w:r w:rsidRPr="0026168E">
        <w:rPr>
          <w:lang w:val="hy-AM"/>
        </w:rPr>
        <w:t>Էյջ</w:t>
      </w:r>
      <w:r w:rsidRPr="0026168E">
        <w:rPr>
          <w:lang w:val="af-ZA"/>
        </w:rPr>
        <w:t xml:space="preserve"> </w:t>
      </w:r>
      <w:r w:rsidRPr="0026168E">
        <w:rPr>
          <w:lang w:val="hy-AM"/>
        </w:rPr>
        <w:t>Գրուպ</w:t>
      </w:r>
      <w:r w:rsidRPr="0026168E">
        <w:rPr>
          <w:lang w:val="af-ZA"/>
        </w:rPr>
        <w:t xml:space="preserve">» </w:t>
      </w:r>
      <w:r w:rsidRPr="0026168E">
        <w:rPr>
          <w:lang w:val="hy-AM"/>
        </w:rPr>
        <w:t>ՍՊԸ</w:t>
      </w:r>
      <w:r w:rsidRPr="0026168E">
        <w:rPr>
          <w:lang w:val="af-ZA"/>
        </w:rPr>
        <w:t>-</w:t>
      </w:r>
      <w:r w:rsidRPr="0026168E">
        <w:rPr>
          <w:lang w:val="hy-AM"/>
        </w:rPr>
        <w:t xml:space="preserve">ին </w:t>
      </w:r>
      <w:r w:rsidRPr="0026168E">
        <w:rPr>
          <w:lang w:val="af-ZA"/>
        </w:rPr>
        <w:t xml:space="preserve"> </w:t>
      </w:r>
      <w:r w:rsidRPr="0026168E">
        <w:rPr>
          <w:lang w:val="hy-AM"/>
        </w:rPr>
        <w:t>և</w:t>
      </w:r>
      <w:r w:rsidRPr="0026168E">
        <w:rPr>
          <w:lang w:val="af-ZA"/>
        </w:rPr>
        <w:t xml:space="preserve"> </w:t>
      </w:r>
      <w:r w:rsidRPr="0026168E">
        <w:rPr>
          <w:lang w:val="hy-AM"/>
        </w:rPr>
        <w:t>այլ</w:t>
      </w:r>
      <w:r w:rsidRPr="0026168E">
        <w:rPr>
          <w:lang w:val="af-ZA"/>
        </w:rPr>
        <w:t xml:space="preserve"> </w:t>
      </w:r>
      <w:r w:rsidRPr="0026168E">
        <w:rPr>
          <w:lang w:val="hy-AM"/>
        </w:rPr>
        <w:t>կազ</w:t>
      </w:r>
      <w:r w:rsidRPr="0026168E">
        <w:rPr>
          <w:lang w:val="af-ZA"/>
        </w:rPr>
        <w:softHyphen/>
      </w:r>
      <w:r w:rsidRPr="0026168E">
        <w:rPr>
          <w:lang w:val="hy-AM"/>
        </w:rPr>
        <w:t>մա</w:t>
      </w:r>
      <w:r w:rsidRPr="0026168E">
        <w:rPr>
          <w:lang w:val="af-ZA"/>
        </w:rPr>
        <w:softHyphen/>
      </w:r>
      <w:r w:rsidRPr="0026168E">
        <w:rPr>
          <w:lang w:val="hy-AM"/>
        </w:rPr>
        <w:t>կեր</w:t>
      </w:r>
      <w:r w:rsidRPr="0026168E">
        <w:rPr>
          <w:lang w:val="af-ZA"/>
        </w:rPr>
        <w:softHyphen/>
      </w:r>
      <w:r w:rsidRPr="0026168E">
        <w:rPr>
          <w:lang w:val="hy-AM"/>
        </w:rPr>
        <w:t>պու</w:t>
      </w:r>
      <w:r w:rsidRPr="0026168E">
        <w:rPr>
          <w:lang w:val="af-ZA"/>
        </w:rPr>
        <w:softHyphen/>
      </w:r>
      <w:r w:rsidRPr="0026168E">
        <w:rPr>
          <w:lang w:val="hy-AM"/>
        </w:rPr>
        <w:t>թյուններին</w:t>
      </w:r>
      <w:r w:rsidRPr="0026168E">
        <w:rPr>
          <w:lang w:val="af-ZA"/>
        </w:rPr>
        <w:t xml:space="preserve"> </w:t>
      </w:r>
      <w:r w:rsidRPr="0026168E">
        <w:rPr>
          <w:lang w:val="hy-AM"/>
        </w:rPr>
        <w:t>տրա</w:t>
      </w:r>
      <w:r w:rsidRPr="0026168E">
        <w:rPr>
          <w:lang w:val="af-ZA"/>
        </w:rPr>
        <w:softHyphen/>
      </w:r>
      <w:r w:rsidRPr="0026168E">
        <w:rPr>
          <w:lang w:val="af-ZA"/>
        </w:rPr>
        <w:softHyphen/>
      </w:r>
      <w:r w:rsidRPr="0026168E">
        <w:rPr>
          <w:lang w:val="hy-AM"/>
        </w:rPr>
        <w:t>մադրված</w:t>
      </w:r>
      <w:r w:rsidRPr="0026168E">
        <w:rPr>
          <w:lang w:val="af-ZA"/>
        </w:rPr>
        <w:t xml:space="preserve"> </w:t>
      </w:r>
      <w:r w:rsidRPr="0026168E">
        <w:rPr>
          <w:lang w:val="hy-AM"/>
        </w:rPr>
        <w:t>վարկերի</w:t>
      </w:r>
      <w:r w:rsidRPr="0026168E">
        <w:rPr>
          <w:lang w:val="af-ZA"/>
        </w:rPr>
        <w:t xml:space="preserve"> </w:t>
      </w:r>
      <w:r w:rsidRPr="0026168E">
        <w:rPr>
          <w:lang w:val="hy-AM"/>
        </w:rPr>
        <w:t>դիմաց</w:t>
      </w:r>
      <w:r w:rsidRPr="0026168E">
        <w:rPr>
          <w:lang w:val="af-ZA"/>
        </w:rPr>
        <w:t xml:space="preserve"> </w:t>
      </w:r>
      <w:r w:rsidRPr="0026168E">
        <w:rPr>
          <w:lang w:val="hy-AM"/>
        </w:rPr>
        <w:t>հաշ</w:t>
      </w:r>
      <w:r w:rsidRPr="0026168E">
        <w:rPr>
          <w:lang w:val="af-ZA"/>
        </w:rPr>
        <w:softHyphen/>
      </w:r>
      <w:r w:rsidRPr="0026168E">
        <w:rPr>
          <w:lang w:val="hy-AM"/>
        </w:rPr>
        <w:t>վարկված</w:t>
      </w:r>
      <w:r w:rsidRPr="0026168E">
        <w:rPr>
          <w:lang w:val="af-ZA"/>
        </w:rPr>
        <w:t xml:space="preserve"> </w:t>
      </w:r>
      <w:r w:rsidRPr="0026168E">
        <w:rPr>
          <w:lang w:val="hy-AM"/>
        </w:rPr>
        <w:t>տո</w:t>
      </w:r>
      <w:r w:rsidRPr="0026168E">
        <w:rPr>
          <w:lang w:val="af-ZA"/>
        </w:rPr>
        <w:softHyphen/>
      </w:r>
      <w:r w:rsidRPr="0026168E">
        <w:rPr>
          <w:lang w:val="hy-AM"/>
        </w:rPr>
        <w:t>կո</w:t>
      </w:r>
      <w:r w:rsidRPr="0026168E">
        <w:rPr>
          <w:lang w:val="af-ZA"/>
        </w:rPr>
        <w:softHyphen/>
      </w:r>
      <w:r w:rsidRPr="0026168E">
        <w:rPr>
          <w:lang w:val="hy-AM"/>
        </w:rPr>
        <w:t>սա</w:t>
      </w:r>
      <w:r w:rsidRPr="0026168E">
        <w:rPr>
          <w:lang w:val="af-ZA"/>
        </w:rPr>
        <w:softHyphen/>
      </w:r>
      <w:r w:rsidRPr="0026168E">
        <w:rPr>
          <w:lang w:val="hy-AM"/>
        </w:rPr>
        <w:t>վճարների</w:t>
      </w:r>
      <w:r w:rsidRPr="0026168E">
        <w:rPr>
          <w:lang w:val="af-ZA"/>
        </w:rPr>
        <w:t>:</w:t>
      </w:r>
    </w:p>
    <w:p w14:paraId="6E816D9F" w14:textId="536BA5D4" w:rsidR="00ED147C" w:rsidRPr="00056237" w:rsidRDefault="00ED147C" w:rsidP="00ED147C">
      <w:pPr>
        <w:pStyle w:val="BodyText1"/>
        <w:ind w:left="0" w:right="357"/>
        <w:rPr>
          <w:lang w:val="af-ZA"/>
        </w:rPr>
      </w:pPr>
      <w:r w:rsidRPr="00170A48">
        <w:rPr>
          <w:lang w:val="hy-AM"/>
        </w:rPr>
        <w:t>Իրավախախտումների</w:t>
      </w:r>
      <w:r w:rsidRPr="00056237">
        <w:rPr>
          <w:lang w:val="af-ZA"/>
        </w:rPr>
        <w:t xml:space="preserve"> </w:t>
      </w:r>
      <w:r w:rsidRPr="00170A48">
        <w:rPr>
          <w:lang w:val="hy-AM"/>
        </w:rPr>
        <w:t>համար</w:t>
      </w:r>
      <w:r w:rsidRPr="00056237">
        <w:rPr>
          <w:lang w:val="af-ZA"/>
        </w:rPr>
        <w:t xml:space="preserve"> </w:t>
      </w:r>
      <w:r w:rsidRPr="00170A48">
        <w:rPr>
          <w:lang w:val="hy-AM"/>
        </w:rPr>
        <w:t>գործադիր</w:t>
      </w:r>
      <w:r w:rsidRPr="00056237">
        <w:rPr>
          <w:lang w:val="af-ZA"/>
        </w:rPr>
        <w:t xml:space="preserve">, </w:t>
      </w:r>
      <w:r w:rsidRPr="00170A48">
        <w:rPr>
          <w:lang w:val="hy-AM"/>
        </w:rPr>
        <w:t>դատական</w:t>
      </w:r>
      <w:r w:rsidRPr="00056237">
        <w:rPr>
          <w:lang w:val="af-ZA"/>
        </w:rPr>
        <w:t xml:space="preserve"> </w:t>
      </w:r>
      <w:r w:rsidRPr="00170A48">
        <w:rPr>
          <w:lang w:val="hy-AM"/>
        </w:rPr>
        <w:t>մարմինների</w:t>
      </w:r>
      <w:r w:rsidRPr="00056237">
        <w:rPr>
          <w:lang w:val="af-ZA"/>
        </w:rPr>
        <w:t xml:space="preserve"> </w:t>
      </w:r>
      <w:r w:rsidRPr="00170A48">
        <w:rPr>
          <w:lang w:val="hy-AM"/>
        </w:rPr>
        <w:t>կողմից</w:t>
      </w:r>
      <w:r w:rsidRPr="00056237">
        <w:rPr>
          <w:lang w:val="af-ZA"/>
        </w:rPr>
        <w:t xml:space="preserve"> </w:t>
      </w:r>
      <w:r w:rsidRPr="00170A48">
        <w:rPr>
          <w:lang w:val="hy-AM"/>
        </w:rPr>
        <w:t>կի</w:t>
      </w:r>
      <w:r w:rsidRPr="00056237">
        <w:rPr>
          <w:lang w:val="af-ZA"/>
        </w:rPr>
        <w:softHyphen/>
      </w:r>
      <w:r w:rsidRPr="00170A48">
        <w:rPr>
          <w:lang w:val="hy-AM"/>
        </w:rPr>
        <w:t>րառ</w:t>
      </w:r>
      <w:r w:rsidRPr="00056237">
        <w:rPr>
          <w:lang w:val="af-ZA"/>
        </w:rPr>
        <w:softHyphen/>
      </w:r>
      <w:r w:rsidRPr="00170A48">
        <w:rPr>
          <w:lang w:val="hy-AM"/>
        </w:rPr>
        <w:t>վող</w:t>
      </w:r>
      <w:r w:rsidRPr="00056237">
        <w:rPr>
          <w:lang w:val="af-ZA"/>
        </w:rPr>
        <w:t xml:space="preserve"> </w:t>
      </w:r>
      <w:r w:rsidRPr="00170A48">
        <w:rPr>
          <w:lang w:val="hy-AM"/>
        </w:rPr>
        <w:t>պատ</w:t>
      </w:r>
      <w:r w:rsidRPr="00056237">
        <w:rPr>
          <w:lang w:val="af-ZA"/>
        </w:rPr>
        <w:softHyphen/>
      </w:r>
      <w:r w:rsidRPr="00056237">
        <w:rPr>
          <w:lang w:val="af-ZA"/>
        </w:rPr>
        <w:softHyphen/>
      </w:r>
      <w:r w:rsidRPr="00056237">
        <w:rPr>
          <w:lang w:val="af-ZA"/>
        </w:rPr>
        <w:softHyphen/>
      </w:r>
      <w:r w:rsidRPr="00170A48">
        <w:rPr>
          <w:lang w:val="hy-AM"/>
        </w:rPr>
        <w:t>ժա</w:t>
      </w:r>
      <w:r w:rsidRPr="00056237">
        <w:rPr>
          <w:lang w:val="af-ZA"/>
        </w:rPr>
        <w:softHyphen/>
      </w:r>
      <w:r w:rsidRPr="00056237">
        <w:rPr>
          <w:lang w:val="af-ZA"/>
        </w:rPr>
        <w:softHyphen/>
      </w:r>
      <w:r w:rsidRPr="00170A48">
        <w:rPr>
          <w:lang w:val="hy-AM"/>
        </w:rPr>
        <w:t>մի</w:t>
      </w:r>
      <w:r w:rsidRPr="00056237">
        <w:rPr>
          <w:lang w:val="af-ZA"/>
        </w:rPr>
        <w:softHyphen/>
      </w:r>
      <w:r w:rsidRPr="00170A48">
        <w:rPr>
          <w:lang w:val="hy-AM"/>
        </w:rPr>
        <w:t>ջոցներից</w:t>
      </w:r>
      <w:r>
        <w:rPr>
          <w:lang w:val="af-ZA"/>
        </w:rPr>
        <w:t xml:space="preserve"> 2026</w:t>
      </w:r>
      <w:r w:rsidRPr="00056237">
        <w:rPr>
          <w:lang w:val="af-ZA"/>
        </w:rPr>
        <w:t xml:space="preserve"> </w:t>
      </w:r>
      <w:r w:rsidRPr="00170A48">
        <w:rPr>
          <w:lang w:val="hy-AM"/>
        </w:rPr>
        <w:t>թվականի</w:t>
      </w:r>
      <w:r w:rsidRPr="00056237">
        <w:rPr>
          <w:lang w:val="af-ZA"/>
        </w:rPr>
        <w:t xml:space="preserve"> </w:t>
      </w:r>
      <w:r w:rsidRPr="00170A48">
        <w:rPr>
          <w:lang w:val="hy-AM"/>
        </w:rPr>
        <w:t>մուտքերը</w:t>
      </w:r>
      <w:r w:rsidRPr="00056237">
        <w:rPr>
          <w:lang w:val="af-ZA"/>
        </w:rPr>
        <w:t xml:space="preserve"> </w:t>
      </w:r>
      <w:r w:rsidRPr="00170A48">
        <w:rPr>
          <w:lang w:val="hy-AM"/>
        </w:rPr>
        <w:t>գնահատվել</w:t>
      </w:r>
      <w:r w:rsidRPr="00056237">
        <w:rPr>
          <w:lang w:val="af-ZA"/>
        </w:rPr>
        <w:t xml:space="preserve"> </w:t>
      </w:r>
      <w:r w:rsidRPr="00170A48">
        <w:rPr>
          <w:lang w:val="hy-AM"/>
        </w:rPr>
        <w:t>են</w:t>
      </w:r>
      <w:r w:rsidRPr="00056237">
        <w:rPr>
          <w:lang w:val="af-ZA"/>
        </w:rPr>
        <w:t xml:space="preserve"> 2</w:t>
      </w:r>
      <w:r>
        <w:rPr>
          <w:lang w:val="af-ZA"/>
        </w:rPr>
        <w:t>4</w:t>
      </w:r>
      <w:r w:rsidRPr="00056237">
        <w:rPr>
          <w:lang w:val="af-ZA"/>
        </w:rPr>
        <w:t>,</w:t>
      </w:r>
      <w:r w:rsidR="00AA603D">
        <w:rPr>
          <w:lang w:val="af-ZA"/>
        </w:rPr>
        <w:t>4</w:t>
      </w:r>
      <w:r>
        <w:rPr>
          <w:lang w:val="af-ZA"/>
        </w:rPr>
        <w:t>30</w:t>
      </w:r>
      <w:r w:rsidRPr="00056237">
        <w:rPr>
          <w:lang w:val="af-ZA"/>
        </w:rPr>
        <w:t>.</w:t>
      </w:r>
      <w:r>
        <w:rPr>
          <w:lang w:val="af-ZA"/>
        </w:rPr>
        <w:t>4</w:t>
      </w:r>
      <w:r w:rsidRPr="00056237">
        <w:rPr>
          <w:lang w:val="af-ZA"/>
        </w:rPr>
        <w:t xml:space="preserve"> </w:t>
      </w:r>
      <w:r w:rsidRPr="00170A48">
        <w:rPr>
          <w:lang w:val="hy-AM"/>
        </w:rPr>
        <w:t>մլն</w:t>
      </w:r>
      <w:r w:rsidRPr="00056237">
        <w:rPr>
          <w:lang w:val="af-ZA"/>
        </w:rPr>
        <w:t xml:space="preserve"> </w:t>
      </w:r>
      <w:r>
        <w:rPr>
          <w:lang w:val="hy-AM"/>
        </w:rPr>
        <w:t>դրամ, 2027 թվականին՝</w:t>
      </w:r>
      <w:r w:rsidR="00AA603D">
        <w:rPr>
          <w:lang w:val="hy-AM"/>
        </w:rPr>
        <w:t xml:space="preserve"> 24,431</w:t>
      </w:r>
      <w:r w:rsidRPr="00C57CDE">
        <w:rPr>
          <w:lang w:val="hy-AM"/>
        </w:rPr>
        <w:t>.</w:t>
      </w:r>
      <w:r>
        <w:rPr>
          <w:lang w:val="hy-AM"/>
        </w:rPr>
        <w:t>6 մլն դրամ, իսկ 2028 թվականին՝</w:t>
      </w:r>
      <w:r w:rsidR="00AA603D">
        <w:rPr>
          <w:lang w:val="hy-AM"/>
        </w:rPr>
        <w:t xml:space="preserve"> 24,657</w:t>
      </w:r>
      <w:r w:rsidRPr="00C57CDE">
        <w:rPr>
          <w:lang w:val="hy-AM"/>
        </w:rPr>
        <w:t>.</w:t>
      </w:r>
      <w:r>
        <w:rPr>
          <w:lang w:val="hy-AM"/>
        </w:rPr>
        <w:t>2 մլն դրամ։</w:t>
      </w:r>
      <w:r w:rsidRPr="00056237">
        <w:rPr>
          <w:lang w:val="af-ZA"/>
        </w:rPr>
        <w:t xml:space="preserve"> </w:t>
      </w:r>
      <w:r w:rsidRPr="00056237">
        <w:t>Կանխատեսումները</w:t>
      </w:r>
      <w:r w:rsidRPr="00056237">
        <w:rPr>
          <w:lang w:val="af-ZA"/>
        </w:rPr>
        <w:t xml:space="preserve"> </w:t>
      </w:r>
      <w:r w:rsidRPr="00056237">
        <w:t>կա</w:t>
      </w:r>
      <w:r w:rsidRPr="00056237">
        <w:rPr>
          <w:lang w:val="af-ZA"/>
        </w:rPr>
        <w:softHyphen/>
      </w:r>
      <w:r w:rsidRPr="00056237">
        <w:t>տար</w:t>
      </w:r>
      <w:r w:rsidRPr="00056237">
        <w:rPr>
          <w:lang w:val="af-ZA"/>
        </w:rPr>
        <w:softHyphen/>
      </w:r>
      <w:r w:rsidRPr="00056237">
        <w:rPr>
          <w:lang w:val="af-ZA"/>
        </w:rPr>
        <w:softHyphen/>
      </w:r>
      <w:r w:rsidRPr="00056237">
        <w:t>ված</w:t>
      </w:r>
      <w:r w:rsidRPr="00056237">
        <w:rPr>
          <w:lang w:val="af-ZA"/>
        </w:rPr>
        <w:t xml:space="preserve"> </w:t>
      </w:r>
      <w:r w:rsidRPr="00056237">
        <w:t>են</w:t>
      </w:r>
      <w:r w:rsidRPr="00056237">
        <w:rPr>
          <w:lang w:val="af-ZA"/>
        </w:rPr>
        <w:t xml:space="preserve"> </w:t>
      </w:r>
      <w:r w:rsidRPr="00056237">
        <w:t>ըստ</w:t>
      </w:r>
      <w:r w:rsidRPr="00056237">
        <w:rPr>
          <w:lang w:val="af-ZA"/>
        </w:rPr>
        <w:t xml:space="preserve"> </w:t>
      </w:r>
      <w:r w:rsidRPr="00056237">
        <w:t>հա</w:t>
      </w:r>
      <w:r w:rsidRPr="00056237">
        <w:rPr>
          <w:lang w:val="af-ZA"/>
        </w:rPr>
        <w:softHyphen/>
      </w:r>
      <w:r w:rsidRPr="00056237">
        <w:rPr>
          <w:lang w:val="af-ZA"/>
        </w:rPr>
        <w:softHyphen/>
      </w:r>
      <w:r w:rsidRPr="00056237">
        <w:t>մա</w:t>
      </w:r>
      <w:r w:rsidRPr="00056237">
        <w:rPr>
          <w:lang w:val="af-ZA"/>
        </w:rPr>
        <w:softHyphen/>
      </w:r>
      <w:r w:rsidRPr="00056237">
        <w:t>պա</w:t>
      </w:r>
      <w:r w:rsidRPr="00056237">
        <w:rPr>
          <w:lang w:val="af-ZA"/>
        </w:rPr>
        <w:softHyphen/>
      </w:r>
      <w:r w:rsidRPr="00056237">
        <w:rPr>
          <w:lang w:val="af-ZA"/>
        </w:rPr>
        <w:softHyphen/>
      </w:r>
      <w:r w:rsidRPr="00056237">
        <w:t>տաս</w:t>
      </w:r>
      <w:r w:rsidRPr="00056237">
        <w:rPr>
          <w:lang w:val="af-ZA"/>
        </w:rPr>
        <w:softHyphen/>
      </w:r>
      <w:r w:rsidRPr="00056237">
        <w:t>խան</w:t>
      </w:r>
      <w:r w:rsidRPr="00056237">
        <w:rPr>
          <w:lang w:val="af-ZA"/>
        </w:rPr>
        <w:t xml:space="preserve"> </w:t>
      </w:r>
      <w:r w:rsidRPr="00056237">
        <w:t>իրա</w:t>
      </w:r>
      <w:r w:rsidRPr="00056237">
        <w:rPr>
          <w:lang w:val="af-ZA"/>
        </w:rPr>
        <w:softHyphen/>
      </w:r>
      <w:r w:rsidRPr="00056237">
        <w:t>վա</w:t>
      </w:r>
      <w:r w:rsidRPr="00056237">
        <w:rPr>
          <w:lang w:val="af-ZA"/>
        </w:rPr>
        <w:softHyphen/>
      </w:r>
      <w:r w:rsidRPr="00056237">
        <w:t>կան</w:t>
      </w:r>
      <w:r w:rsidRPr="00056237">
        <w:rPr>
          <w:lang w:val="af-ZA"/>
        </w:rPr>
        <w:t xml:space="preserve"> </w:t>
      </w:r>
      <w:r w:rsidRPr="00056237">
        <w:t>հիմքով</w:t>
      </w:r>
      <w:r w:rsidRPr="00056237">
        <w:rPr>
          <w:lang w:val="af-ZA"/>
        </w:rPr>
        <w:t xml:space="preserve"> </w:t>
      </w:r>
      <w:r w:rsidRPr="00056237">
        <w:t>վարչական</w:t>
      </w:r>
      <w:r w:rsidRPr="00056237">
        <w:rPr>
          <w:lang w:val="af-ZA"/>
        </w:rPr>
        <w:t xml:space="preserve"> </w:t>
      </w:r>
      <w:r w:rsidRPr="00056237">
        <w:t>պատժամիջոց</w:t>
      </w:r>
      <w:r w:rsidRPr="00056237">
        <w:rPr>
          <w:lang w:val="af-ZA"/>
        </w:rPr>
        <w:t xml:space="preserve"> </w:t>
      </w:r>
      <w:r w:rsidRPr="00056237">
        <w:t>կի</w:t>
      </w:r>
      <w:r w:rsidRPr="00056237">
        <w:rPr>
          <w:lang w:val="af-ZA"/>
        </w:rPr>
        <w:softHyphen/>
      </w:r>
      <w:r w:rsidRPr="00056237">
        <w:t>րա</w:t>
      </w:r>
      <w:r w:rsidRPr="00056237">
        <w:rPr>
          <w:lang w:val="af-ZA"/>
        </w:rPr>
        <w:softHyphen/>
      </w:r>
      <w:r w:rsidRPr="00056237">
        <w:t>ռող</w:t>
      </w:r>
      <w:r w:rsidRPr="00056237">
        <w:rPr>
          <w:lang w:val="af-ZA"/>
        </w:rPr>
        <w:t xml:space="preserve"> </w:t>
      </w:r>
      <w:r w:rsidRPr="00056237">
        <w:t>պե</w:t>
      </w:r>
      <w:r w:rsidRPr="00056237">
        <w:rPr>
          <w:lang w:val="af-ZA"/>
        </w:rPr>
        <w:softHyphen/>
      </w:r>
      <w:r w:rsidRPr="00056237">
        <w:rPr>
          <w:lang w:val="af-ZA"/>
        </w:rPr>
        <w:softHyphen/>
      </w:r>
      <w:r w:rsidRPr="00056237">
        <w:t>տա</w:t>
      </w:r>
      <w:r w:rsidRPr="00056237">
        <w:rPr>
          <w:lang w:val="af-ZA"/>
        </w:rPr>
        <w:softHyphen/>
      </w:r>
      <w:r w:rsidRPr="00056237">
        <w:t>կան</w:t>
      </w:r>
      <w:r w:rsidRPr="00056237">
        <w:rPr>
          <w:lang w:val="af-ZA"/>
        </w:rPr>
        <w:t xml:space="preserve"> </w:t>
      </w:r>
      <w:r w:rsidRPr="00056237">
        <w:t>կա</w:t>
      </w:r>
      <w:r w:rsidRPr="00056237">
        <w:rPr>
          <w:lang w:val="af-ZA"/>
        </w:rPr>
        <w:softHyphen/>
      </w:r>
      <w:r w:rsidRPr="00056237">
        <w:t>ռա</w:t>
      </w:r>
      <w:r w:rsidRPr="00056237">
        <w:rPr>
          <w:lang w:val="af-ZA"/>
        </w:rPr>
        <w:softHyphen/>
      </w:r>
      <w:r w:rsidRPr="00056237">
        <w:t>վար</w:t>
      </w:r>
      <w:r w:rsidRPr="00056237">
        <w:rPr>
          <w:lang w:val="af-ZA"/>
        </w:rPr>
        <w:softHyphen/>
      </w:r>
      <w:r w:rsidRPr="00056237">
        <w:t>ման</w:t>
      </w:r>
      <w:r w:rsidRPr="00056237">
        <w:rPr>
          <w:lang w:val="af-ZA"/>
        </w:rPr>
        <w:t xml:space="preserve"> </w:t>
      </w:r>
      <w:r w:rsidRPr="00056237">
        <w:t>մար</w:t>
      </w:r>
      <w:r w:rsidRPr="00056237">
        <w:rPr>
          <w:lang w:val="af-ZA"/>
        </w:rPr>
        <w:softHyphen/>
      </w:r>
      <w:r w:rsidRPr="00056237">
        <w:rPr>
          <w:lang w:val="af-ZA"/>
        </w:rPr>
        <w:softHyphen/>
      </w:r>
      <w:r w:rsidRPr="00056237">
        <w:t>մին</w:t>
      </w:r>
      <w:r w:rsidRPr="00056237">
        <w:rPr>
          <w:lang w:val="af-ZA"/>
        </w:rPr>
        <w:softHyphen/>
      </w:r>
      <w:r w:rsidRPr="00056237">
        <w:t>ների</w:t>
      </w:r>
      <w:r w:rsidRPr="00056237">
        <w:rPr>
          <w:lang w:val="af-ZA"/>
        </w:rPr>
        <w:t xml:space="preserve">` </w:t>
      </w:r>
      <w:r w:rsidRPr="00056237">
        <w:t>հաշ</w:t>
      </w:r>
      <w:r w:rsidRPr="00056237">
        <w:rPr>
          <w:lang w:val="af-ZA"/>
        </w:rPr>
        <w:softHyphen/>
      </w:r>
      <w:r w:rsidRPr="00056237">
        <w:t>վի</w:t>
      </w:r>
      <w:r w:rsidRPr="00056237">
        <w:rPr>
          <w:lang w:val="af-ZA"/>
        </w:rPr>
        <w:t xml:space="preserve"> </w:t>
      </w:r>
      <w:r w:rsidRPr="00056237">
        <w:t>առ</w:t>
      </w:r>
      <w:r w:rsidRPr="00056237">
        <w:rPr>
          <w:lang w:val="af-ZA"/>
        </w:rPr>
        <w:softHyphen/>
      </w:r>
      <w:r w:rsidRPr="00056237">
        <w:t>նե</w:t>
      </w:r>
      <w:r w:rsidRPr="00056237">
        <w:rPr>
          <w:lang w:val="af-ZA"/>
        </w:rPr>
        <w:softHyphen/>
      </w:r>
      <w:r w:rsidRPr="00056237">
        <w:t>լով</w:t>
      </w:r>
      <w:r w:rsidRPr="00056237">
        <w:rPr>
          <w:lang w:val="af-ZA"/>
        </w:rPr>
        <w:t xml:space="preserve"> </w:t>
      </w:r>
      <w:r w:rsidRPr="00056237">
        <w:t>պատ</w:t>
      </w:r>
      <w:r w:rsidRPr="00056237">
        <w:rPr>
          <w:lang w:val="af-ZA"/>
        </w:rPr>
        <w:softHyphen/>
      </w:r>
      <w:r w:rsidRPr="00056237">
        <w:rPr>
          <w:lang w:val="af-ZA"/>
        </w:rPr>
        <w:softHyphen/>
      </w:r>
      <w:r w:rsidRPr="00056237">
        <w:t>ժա</w:t>
      </w:r>
      <w:r w:rsidRPr="00056237">
        <w:rPr>
          <w:lang w:val="af-ZA"/>
        </w:rPr>
        <w:softHyphen/>
      </w:r>
      <w:r w:rsidRPr="00056237">
        <w:t>մի</w:t>
      </w:r>
      <w:r w:rsidRPr="00056237">
        <w:rPr>
          <w:lang w:val="af-ZA"/>
        </w:rPr>
        <w:softHyphen/>
      </w:r>
      <w:r w:rsidRPr="00056237">
        <w:t>ջոց</w:t>
      </w:r>
      <w:r w:rsidRPr="00056237">
        <w:rPr>
          <w:lang w:val="af-ZA"/>
        </w:rPr>
        <w:softHyphen/>
      </w:r>
      <w:r w:rsidRPr="00056237">
        <w:rPr>
          <w:lang w:val="af-ZA"/>
        </w:rPr>
        <w:softHyphen/>
      </w:r>
      <w:r w:rsidRPr="00056237">
        <w:t>ների</w:t>
      </w:r>
      <w:r w:rsidRPr="00056237">
        <w:rPr>
          <w:lang w:val="af-ZA"/>
        </w:rPr>
        <w:t xml:space="preserve"> </w:t>
      </w:r>
      <w:r w:rsidRPr="00056237">
        <w:t>գծով</w:t>
      </w:r>
      <w:r w:rsidRPr="00056237">
        <w:rPr>
          <w:lang w:val="af-ZA"/>
        </w:rPr>
        <w:t xml:space="preserve"> 202</w:t>
      </w:r>
      <w:r>
        <w:rPr>
          <w:lang w:val="af-ZA"/>
        </w:rPr>
        <w:t>1</w:t>
      </w:r>
      <w:r w:rsidRPr="00056237">
        <w:rPr>
          <w:lang w:val="af-ZA"/>
        </w:rPr>
        <w:t>-202</w:t>
      </w:r>
      <w:r>
        <w:rPr>
          <w:lang w:val="af-ZA"/>
        </w:rPr>
        <w:t>5</w:t>
      </w:r>
      <w:r w:rsidRPr="00056237">
        <w:rPr>
          <w:lang w:val="af-ZA"/>
        </w:rPr>
        <w:t xml:space="preserve"> </w:t>
      </w:r>
      <w:r w:rsidRPr="00056237">
        <w:t>թվա</w:t>
      </w:r>
      <w:r w:rsidRPr="00056237">
        <w:rPr>
          <w:lang w:val="af-ZA"/>
        </w:rPr>
        <w:softHyphen/>
      </w:r>
      <w:r w:rsidRPr="00056237">
        <w:rPr>
          <w:lang w:val="af-ZA"/>
        </w:rPr>
        <w:softHyphen/>
      </w:r>
      <w:r w:rsidRPr="00056237">
        <w:t>կան</w:t>
      </w:r>
      <w:r w:rsidRPr="00056237">
        <w:rPr>
          <w:lang w:val="af-ZA"/>
        </w:rPr>
        <w:softHyphen/>
      </w:r>
      <w:r w:rsidRPr="00056237">
        <w:rPr>
          <w:lang w:val="af-ZA"/>
        </w:rPr>
        <w:softHyphen/>
      </w:r>
      <w:r w:rsidRPr="00056237">
        <w:t>նե</w:t>
      </w:r>
      <w:r w:rsidRPr="00056237">
        <w:rPr>
          <w:lang w:val="af-ZA"/>
        </w:rPr>
        <w:softHyphen/>
      </w:r>
      <w:r w:rsidRPr="00056237">
        <w:t>րի</w:t>
      </w:r>
      <w:r w:rsidRPr="00056237">
        <w:rPr>
          <w:lang w:val="af-ZA"/>
        </w:rPr>
        <w:t xml:space="preserve"> </w:t>
      </w:r>
      <w:r w:rsidRPr="00056237">
        <w:t>մուտ</w:t>
      </w:r>
      <w:r w:rsidRPr="00056237">
        <w:rPr>
          <w:lang w:val="af-ZA"/>
        </w:rPr>
        <w:softHyphen/>
      </w:r>
      <w:r w:rsidRPr="00056237">
        <w:t>քերի</w:t>
      </w:r>
      <w:r w:rsidRPr="00056237">
        <w:rPr>
          <w:lang w:val="af-ZA"/>
        </w:rPr>
        <w:t xml:space="preserve"> </w:t>
      </w:r>
      <w:r w:rsidRPr="00056237">
        <w:t>հա</w:t>
      </w:r>
      <w:r w:rsidRPr="00056237">
        <w:rPr>
          <w:lang w:val="af-ZA"/>
        </w:rPr>
        <w:softHyphen/>
      </w:r>
      <w:r w:rsidRPr="00056237">
        <w:t>վաքագրման</w:t>
      </w:r>
      <w:r w:rsidRPr="00056237">
        <w:rPr>
          <w:lang w:val="af-ZA"/>
        </w:rPr>
        <w:t xml:space="preserve"> </w:t>
      </w:r>
      <w:r w:rsidRPr="00056237">
        <w:t>միտումները</w:t>
      </w:r>
      <w:r w:rsidRPr="00056237">
        <w:rPr>
          <w:lang w:val="af-ZA"/>
        </w:rPr>
        <w:t xml:space="preserve">, </w:t>
      </w:r>
      <w:r w:rsidRPr="00056237">
        <w:t>ինչպես</w:t>
      </w:r>
      <w:r w:rsidRPr="00056237">
        <w:rPr>
          <w:lang w:val="af-ZA"/>
        </w:rPr>
        <w:t xml:space="preserve"> </w:t>
      </w:r>
      <w:r w:rsidRPr="00056237">
        <w:t>նաև</w:t>
      </w:r>
      <w:r w:rsidRPr="00056237">
        <w:rPr>
          <w:lang w:val="af-ZA"/>
        </w:rPr>
        <w:t xml:space="preserve"> </w:t>
      </w:r>
      <w:r w:rsidRPr="00056237">
        <w:t>այս</w:t>
      </w:r>
      <w:r w:rsidRPr="00056237">
        <w:rPr>
          <w:lang w:val="af-ZA"/>
        </w:rPr>
        <w:t xml:space="preserve"> </w:t>
      </w:r>
      <w:r w:rsidRPr="00056237">
        <w:t>բնա</w:t>
      </w:r>
      <w:r w:rsidRPr="00056237">
        <w:rPr>
          <w:lang w:val="af-ZA"/>
        </w:rPr>
        <w:softHyphen/>
      </w:r>
      <w:r w:rsidRPr="00056237">
        <w:t>գա</w:t>
      </w:r>
      <w:r w:rsidRPr="00056237">
        <w:rPr>
          <w:lang w:val="af-ZA"/>
        </w:rPr>
        <w:softHyphen/>
      </w:r>
      <w:r w:rsidRPr="00056237">
        <w:t>վա</w:t>
      </w:r>
      <w:r w:rsidRPr="00056237">
        <w:rPr>
          <w:lang w:val="af-ZA"/>
        </w:rPr>
        <w:softHyphen/>
      </w:r>
      <w:r w:rsidRPr="00056237">
        <w:rPr>
          <w:lang w:val="af-ZA"/>
        </w:rPr>
        <w:softHyphen/>
      </w:r>
      <w:r w:rsidRPr="00056237">
        <w:t>ռում</w:t>
      </w:r>
      <w:r w:rsidRPr="00056237">
        <w:rPr>
          <w:lang w:val="af-ZA"/>
        </w:rPr>
        <w:t xml:space="preserve"> </w:t>
      </w:r>
      <w:r w:rsidRPr="00056237">
        <w:t>իրա</w:t>
      </w:r>
      <w:r w:rsidRPr="00056237">
        <w:rPr>
          <w:lang w:val="af-ZA"/>
        </w:rPr>
        <w:softHyphen/>
      </w:r>
      <w:r w:rsidRPr="00056237">
        <w:t>կա</w:t>
      </w:r>
      <w:r w:rsidRPr="00056237">
        <w:rPr>
          <w:lang w:val="af-ZA"/>
        </w:rPr>
        <w:softHyphen/>
      </w:r>
      <w:r w:rsidRPr="00056237">
        <w:t>նաց</w:t>
      </w:r>
      <w:r w:rsidRPr="00056237">
        <w:rPr>
          <w:lang w:val="af-ZA"/>
        </w:rPr>
        <w:softHyphen/>
      </w:r>
      <w:r w:rsidRPr="00056237">
        <w:t>ված</w:t>
      </w:r>
      <w:r w:rsidRPr="00056237">
        <w:rPr>
          <w:lang w:val="af-ZA"/>
        </w:rPr>
        <w:t xml:space="preserve"> </w:t>
      </w:r>
      <w:r w:rsidRPr="00056237">
        <w:t>օրենս</w:t>
      </w:r>
      <w:r w:rsidRPr="00056237">
        <w:rPr>
          <w:lang w:val="af-ZA"/>
        </w:rPr>
        <w:softHyphen/>
      </w:r>
      <w:r w:rsidRPr="00056237">
        <w:rPr>
          <w:lang w:val="af-ZA"/>
        </w:rPr>
        <w:softHyphen/>
      </w:r>
      <w:r w:rsidRPr="00056237">
        <w:t>դրա</w:t>
      </w:r>
      <w:r w:rsidRPr="00056237">
        <w:rPr>
          <w:lang w:val="af-ZA"/>
        </w:rPr>
        <w:softHyphen/>
      </w:r>
      <w:r w:rsidRPr="00056237">
        <w:t>կան</w:t>
      </w:r>
      <w:r w:rsidRPr="00056237">
        <w:rPr>
          <w:lang w:val="af-ZA"/>
        </w:rPr>
        <w:t xml:space="preserve"> </w:t>
      </w:r>
      <w:r w:rsidRPr="00056237">
        <w:t>փո</w:t>
      </w:r>
      <w:r w:rsidRPr="00056237">
        <w:rPr>
          <w:lang w:val="af-ZA"/>
        </w:rPr>
        <w:softHyphen/>
      </w:r>
      <w:r w:rsidRPr="00056237">
        <w:t>փո</w:t>
      </w:r>
      <w:r w:rsidRPr="00056237">
        <w:rPr>
          <w:lang w:val="af-ZA"/>
        </w:rPr>
        <w:softHyphen/>
      </w:r>
      <w:r w:rsidRPr="00056237">
        <w:t>խու</w:t>
      </w:r>
      <w:r w:rsidRPr="00056237">
        <w:rPr>
          <w:lang w:val="af-ZA"/>
        </w:rPr>
        <w:softHyphen/>
      </w:r>
      <w:r w:rsidRPr="00056237">
        <w:t>թյունները</w:t>
      </w:r>
      <w:r w:rsidRPr="00056237">
        <w:rPr>
          <w:lang w:val="af-ZA"/>
        </w:rPr>
        <w:t>:</w:t>
      </w:r>
    </w:p>
    <w:p w14:paraId="7657580E" w14:textId="77777777" w:rsidR="00ED147C" w:rsidRPr="00E17AA0" w:rsidRDefault="00ED147C" w:rsidP="00ED147C">
      <w:pPr>
        <w:pStyle w:val="BodyText1"/>
        <w:ind w:left="0" w:right="357"/>
        <w:rPr>
          <w:lang w:val="af-ZA"/>
        </w:rPr>
      </w:pPr>
      <w:r w:rsidRPr="00E17AA0">
        <w:t>Ապրանքների</w:t>
      </w:r>
      <w:r w:rsidRPr="00E17AA0">
        <w:rPr>
          <w:lang w:val="af-ZA"/>
        </w:rPr>
        <w:t xml:space="preserve"> </w:t>
      </w:r>
      <w:r w:rsidRPr="00E17AA0">
        <w:t>մատակարարումից</w:t>
      </w:r>
      <w:r w:rsidRPr="00E17AA0">
        <w:rPr>
          <w:lang w:val="af-ZA"/>
        </w:rPr>
        <w:t xml:space="preserve"> </w:t>
      </w:r>
      <w:r w:rsidRPr="00E17AA0">
        <w:t>և</w:t>
      </w:r>
      <w:r w:rsidRPr="00E17AA0">
        <w:rPr>
          <w:lang w:val="af-ZA"/>
        </w:rPr>
        <w:t xml:space="preserve"> </w:t>
      </w:r>
      <w:r w:rsidRPr="00E17AA0">
        <w:t>ծառայությունների</w:t>
      </w:r>
      <w:r w:rsidRPr="00E17AA0">
        <w:rPr>
          <w:lang w:val="af-ZA"/>
        </w:rPr>
        <w:t xml:space="preserve"> </w:t>
      </w:r>
      <w:r w:rsidRPr="00E17AA0">
        <w:t>մատուցումից</w:t>
      </w:r>
      <w:r w:rsidRPr="00E17AA0">
        <w:rPr>
          <w:lang w:val="af-ZA"/>
        </w:rPr>
        <w:t xml:space="preserve"> </w:t>
      </w:r>
      <w:r w:rsidRPr="00E17AA0">
        <w:t>եկամուտների</w:t>
      </w:r>
      <w:r w:rsidRPr="00E17AA0">
        <w:rPr>
          <w:lang w:val="af-ZA"/>
        </w:rPr>
        <w:t xml:space="preserve"> </w:t>
      </w:r>
      <w:r w:rsidRPr="00E17AA0">
        <w:t>գծով</w:t>
      </w:r>
      <w:r>
        <w:rPr>
          <w:lang w:val="af-ZA"/>
        </w:rPr>
        <w:t xml:space="preserve"> 2026</w:t>
      </w:r>
      <w:r w:rsidRPr="00E17AA0">
        <w:rPr>
          <w:lang w:val="af-ZA"/>
        </w:rPr>
        <w:t xml:space="preserve"> </w:t>
      </w:r>
      <w:r w:rsidRPr="00E17AA0">
        <w:t>թվականի</w:t>
      </w:r>
      <w:r w:rsidRPr="00E17AA0">
        <w:rPr>
          <w:lang w:val="af-ZA"/>
        </w:rPr>
        <w:t xml:space="preserve"> </w:t>
      </w:r>
      <w:r w:rsidRPr="00E17AA0">
        <w:t>պետական</w:t>
      </w:r>
      <w:r w:rsidRPr="00E17AA0">
        <w:rPr>
          <w:lang w:val="af-ZA"/>
        </w:rPr>
        <w:t xml:space="preserve"> </w:t>
      </w:r>
      <w:r w:rsidRPr="00E17AA0">
        <w:t>բյուջեի</w:t>
      </w:r>
      <w:r w:rsidRPr="00E17AA0">
        <w:rPr>
          <w:lang w:val="af-ZA"/>
        </w:rPr>
        <w:t xml:space="preserve"> </w:t>
      </w:r>
      <w:r w:rsidRPr="00E17AA0">
        <w:t>մուտքերը</w:t>
      </w:r>
      <w:r w:rsidRPr="00E17AA0">
        <w:rPr>
          <w:lang w:val="af-ZA"/>
        </w:rPr>
        <w:t xml:space="preserve"> </w:t>
      </w:r>
      <w:r w:rsidRPr="00E17AA0">
        <w:t>գնահատվել</w:t>
      </w:r>
      <w:r w:rsidRPr="00E17AA0">
        <w:rPr>
          <w:lang w:val="af-ZA"/>
        </w:rPr>
        <w:t xml:space="preserve"> </w:t>
      </w:r>
      <w:r w:rsidRPr="00E17AA0">
        <w:t>են</w:t>
      </w:r>
      <w:r w:rsidRPr="00E17AA0">
        <w:rPr>
          <w:lang w:val="af-ZA"/>
        </w:rPr>
        <w:t xml:space="preserve"> 2</w:t>
      </w:r>
      <w:r>
        <w:rPr>
          <w:lang w:val="af-ZA"/>
        </w:rPr>
        <w:t>3</w:t>
      </w:r>
      <w:r w:rsidRPr="00E17AA0">
        <w:rPr>
          <w:lang w:val="af-ZA"/>
        </w:rPr>
        <w:t>,</w:t>
      </w:r>
      <w:r>
        <w:rPr>
          <w:lang w:val="af-ZA"/>
        </w:rPr>
        <w:t>247</w:t>
      </w:r>
      <w:r w:rsidRPr="00E17AA0">
        <w:rPr>
          <w:lang w:val="af-ZA"/>
        </w:rPr>
        <w:t>.</w:t>
      </w:r>
      <w:r>
        <w:rPr>
          <w:lang w:val="af-ZA"/>
        </w:rPr>
        <w:t>7</w:t>
      </w:r>
      <w:r w:rsidRPr="00E17AA0">
        <w:rPr>
          <w:lang w:val="af-ZA"/>
        </w:rPr>
        <w:t xml:space="preserve"> </w:t>
      </w:r>
      <w:r w:rsidRPr="00E17AA0">
        <w:t>մլն</w:t>
      </w:r>
      <w:r w:rsidRPr="00E17AA0">
        <w:rPr>
          <w:lang w:val="af-ZA"/>
        </w:rPr>
        <w:t xml:space="preserve"> </w:t>
      </w:r>
      <w:r>
        <w:t>դրամ</w:t>
      </w:r>
      <w:r w:rsidRPr="00DB082A">
        <w:rPr>
          <w:lang w:val="af-ZA"/>
        </w:rPr>
        <w:t>,</w:t>
      </w:r>
      <w:r w:rsidRPr="00DB082A">
        <w:rPr>
          <w:lang w:val="hy-AM"/>
        </w:rPr>
        <w:t xml:space="preserve"> </w:t>
      </w:r>
      <w:r>
        <w:rPr>
          <w:lang w:val="hy-AM"/>
        </w:rPr>
        <w:t>2027 թվականին՝ 23,351</w:t>
      </w:r>
      <w:r w:rsidRPr="00C57CDE">
        <w:rPr>
          <w:lang w:val="hy-AM"/>
        </w:rPr>
        <w:t>.</w:t>
      </w:r>
      <w:r>
        <w:rPr>
          <w:lang w:val="hy-AM"/>
        </w:rPr>
        <w:t>5 մլն դրամ, իսկ 2028 թվականին՝ 23,851</w:t>
      </w:r>
      <w:r w:rsidRPr="00C57CDE">
        <w:rPr>
          <w:lang w:val="hy-AM"/>
        </w:rPr>
        <w:t>.</w:t>
      </w:r>
      <w:r>
        <w:rPr>
          <w:lang w:val="hy-AM"/>
        </w:rPr>
        <w:t>5 մլն դրամ</w:t>
      </w:r>
      <w:r w:rsidRPr="00E17AA0">
        <w:rPr>
          <w:lang w:val="af-ZA"/>
        </w:rPr>
        <w:t>:</w:t>
      </w:r>
      <w:r>
        <w:rPr>
          <w:lang w:val="af-ZA"/>
        </w:rPr>
        <w:t xml:space="preserve"> </w:t>
      </w:r>
      <w:r w:rsidRPr="00E17AA0">
        <w:t>Կանխատեսումները</w:t>
      </w:r>
      <w:r w:rsidRPr="00E17AA0">
        <w:rPr>
          <w:lang w:val="af-ZA"/>
        </w:rPr>
        <w:t xml:space="preserve"> </w:t>
      </w:r>
      <w:r w:rsidRPr="00E17AA0">
        <w:t>կատարվել</w:t>
      </w:r>
      <w:r w:rsidRPr="00E17AA0">
        <w:rPr>
          <w:lang w:val="af-ZA"/>
        </w:rPr>
        <w:t xml:space="preserve"> </w:t>
      </w:r>
      <w:r w:rsidRPr="00E17AA0">
        <w:t>են</w:t>
      </w:r>
      <w:r w:rsidRPr="00E17AA0">
        <w:rPr>
          <w:lang w:val="af-ZA"/>
        </w:rPr>
        <w:t xml:space="preserve"> </w:t>
      </w:r>
      <w:r w:rsidRPr="00E17AA0">
        <w:t>պետական</w:t>
      </w:r>
      <w:r w:rsidRPr="00E17AA0">
        <w:rPr>
          <w:lang w:val="af-ZA"/>
        </w:rPr>
        <w:t xml:space="preserve"> </w:t>
      </w:r>
      <w:r w:rsidRPr="00E17AA0">
        <w:t>կառավարման</w:t>
      </w:r>
      <w:r w:rsidRPr="00E17AA0">
        <w:rPr>
          <w:lang w:val="af-ZA"/>
        </w:rPr>
        <w:t xml:space="preserve"> </w:t>
      </w:r>
      <w:r w:rsidRPr="00E17AA0">
        <w:t>մարմիններից</w:t>
      </w:r>
      <w:r w:rsidRPr="00E17AA0">
        <w:rPr>
          <w:lang w:val="af-ZA"/>
        </w:rPr>
        <w:t xml:space="preserve"> </w:t>
      </w:r>
      <w:r w:rsidRPr="00E17AA0">
        <w:t>ստացված</w:t>
      </w:r>
      <w:r w:rsidRPr="00E17AA0">
        <w:rPr>
          <w:lang w:val="af-ZA"/>
        </w:rPr>
        <w:t xml:space="preserve"> </w:t>
      </w:r>
      <w:r w:rsidRPr="00E17AA0">
        <w:t>հայտերի</w:t>
      </w:r>
      <w:r w:rsidRPr="00E17AA0">
        <w:rPr>
          <w:lang w:val="af-ZA"/>
        </w:rPr>
        <w:t xml:space="preserve"> </w:t>
      </w:r>
      <w:r w:rsidRPr="00E17AA0">
        <w:t>և</w:t>
      </w:r>
      <w:r w:rsidRPr="00E17AA0">
        <w:rPr>
          <w:lang w:val="af-ZA"/>
        </w:rPr>
        <w:t xml:space="preserve"> 2021-2025 </w:t>
      </w:r>
      <w:r w:rsidRPr="00E17AA0">
        <w:t>թվա</w:t>
      </w:r>
      <w:r w:rsidRPr="00E17AA0">
        <w:rPr>
          <w:lang w:val="af-ZA"/>
        </w:rPr>
        <w:softHyphen/>
      </w:r>
      <w:r w:rsidRPr="00E17AA0">
        <w:rPr>
          <w:lang w:val="af-ZA"/>
        </w:rPr>
        <w:softHyphen/>
      </w:r>
      <w:r w:rsidRPr="00E17AA0">
        <w:t>կան</w:t>
      </w:r>
      <w:r w:rsidRPr="00E17AA0">
        <w:rPr>
          <w:lang w:val="af-ZA"/>
        </w:rPr>
        <w:softHyphen/>
      </w:r>
      <w:r w:rsidRPr="00E17AA0">
        <w:rPr>
          <w:lang w:val="af-ZA"/>
        </w:rPr>
        <w:softHyphen/>
      </w:r>
      <w:r w:rsidRPr="00E17AA0">
        <w:t>նե</w:t>
      </w:r>
      <w:r w:rsidRPr="00E17AA0">
        <w:rPr>
          <w:lang w:val="af-ZA"/>
        </w:rPr>
        <w:softHyphen/>
      </w:r>
      <w:r w:rsidRPr="00E17AA0">
        <w:t>րի</w:t>
      </w:r>
      <w:r w:rsidRPr="00E17AA0">
        <w:rPr>
          <w:lang w:val="af-ZA"/>
        </w:rPr>
        <w:t xml:space="preserve"> </w:t>
      </w:r>
      <w:r w:rsidRPr="00E17AA0">
        <w:t>մուտ</w:t>
      </w:r>
      <w:r w:rsidRPr="00E17AA0">
        <w:rPr>
          <w:lang w:val="af-ZA"/>
        </w:rPr>
        <w:softHyphen/>
      </w:r>
      <w:r w:rsidRPr="00E17AA0">
        <w:t>քերի</w:t>
      </w:r>
      <w:r w:rsidRPr="00E17AA0">
        <w:rPr>
          <w:lang w:val="af-ZA"/>
        </w:rPr>
        <w:t xml:space="preserve"> </w:t>
      </w:r>
      <w:r w:rsidRPr="00E17AA0">
        <w:t>հա</w:t>
      </w:r>
      <w:r w:rsidRPr="00E17AA0">
        <w:rPr>
          <w:lang w:val="af-ZA"/>
        </w:rPr>
        <w:softHyphen/>
      </w:r>
      <w:r w:rsidRPr="00E17AA0">
        <w:t>վաքագրման</w:t>
      </w:r>
      <w:r w:rsidRPr="00E17AA0">
        <w:rPr>
          <w:lang w:val="af-ZA"/>
        </w:rPr>
        <w:t xml:space="preserve"> </w:t>
      </w:r>
      <w:r w:rsidRPr="00E17AA0">
        <w:t>միտումների</w:t>
      </w:r>
      <w:r w:rsidRPr="00E17AA0">
        <w:rPr>
          <w:lang w:val="af-ZA"/>
        </w:rPr>
        <w:t xml:space="preserve"> </w:t>
      </w:r>
      <w:r w:rsidRPr="00E17AA0">
        <w:t>հիման</w:t>
      </w:r>
      <w:r w:rsidRPr="00E17AA0">
        <w:rPr>
          <w:lang w:val="af-ZA"/>
        </w:rPr>
        <w:t xml:space="preserve"> </w:t>
      </w:r>
      <w:r w:rsidRPr="00E17AA0">
        <w:t>վրա</w:t>
      </w:r>
      <w:r w:rsidRPr="00E17AA0">
        <w:rPr>
          <w:lang w:val="af-ZA"/>
        </w:rPr>
        <w:t>:</w:t>
      </w:r>
    </w:p>
    <w:p w14:paraId="0FDA157D" w14:textId="58E78DF7" w:rsidR="00ED147C" w:rsidRPr="00E77731" w:rsidRDefault="00ED147C" w:rsidP="00ED147C">
      <w:pPr>
        <w:pStyle w:val="BodyText1"/>
        <w:ind w:left="0" w:right="357"/>
        <w:rPr>
          <w:lang w:val="af-ZA"/>
        </w:rPr>
      </w:pPr>
      <w:r w:rsidRPr="00E17AA0">
        <w:t>Օրենքով</w:t>
      </w:r>
      <w:r w:rsidRPr="00E17AA0">
        <w:rPr>
          <w:lang w:val="af-ZA"/>
        </w:rPr>
        <w:t xml:space="preserve"> </w:t>
      </w:r>
      <w:r w:rsidRPr="00E17AA0">
        <w:t>և</w:t>
      </w:r>
      <w:r w:rsidRPr="00E17AA0">
        <w:rPr>
          <w:lang w:val="af-ZA"/>
        </w:rPr>
        <w:t xml:space="preserve"> </w:t>
      </w:r>
      <w:r w:rsidRPr="00E17AA0">
        <w:t>իրավական</w:t>
      </w:r>
      <w:r w:rsidRPr="00E17AA0">
        <w:rPr>
          <w:lang w:val="af-ZA"/>
        </w:rPr>
        <w:t xml:space="preserve"> </w:t>
      </w:r>
      <w:r w:rsidRPr="00E17AA0">
        <w:t>այլ</w:t>
      </w:r>
      <w:r w:rsidRPr="00E17AA0">
        <w:rPr>
          <w:lang w:val="af-ZA"/>
        </w:rPr>
        <w:t xml:space="preserve"> </w:t>
      </w:r>
      <w:r w:rsidRPr="00E17AA0">
        <w:t>ակտերով</w:t>
      </w:r>
      <w:r w:rsidRPr="00E17AA0">
        <w:rPr>
          <w:lang w:val="af-ZA"/>
        </w:rPr>
        <w:t xml:space="preserve"> </w:t>
      </w:r>
      <w:r>
        <w:t>սահմանված</w:t>
      </w:r>
      <w:r w:rsidRPr="00E17AA0">
        <w:rPr>
          <w:lang w:val="af-ZA"/>
        </w:rPr>
        <w:t xml:space="preserve"> </w:t>
      </w:r>
      <w:r w:rsidRPr="00E17AA0">
        <w:t>պետական</w:t>
      </w:r>
      <w:r w:rsidRPr="00E17AA0">
        <w:rPr>
          <w:lang w:val="af-ZA"/>
        </w:rPr>
        <w:t xml:space="preserve"> </w:t>
      </w:r>
      <w:r w:rsidRPr="00E17AA0">
        <w:t>բյուջե</w:t>
      </w:r>
      <w:r w:rsidRPr="00E17AA0">
        <w:rPr>
          <w:lang w:val="af-ZA"/>
        </w:rPr>
        <w:t xml:space="preserve"> </w:t>
      </w:r>
      <w:r w:rsidRPr="00E17AA0">
        <w:t>մուտքագրվող</w:t>
      </w:r>
      <w:r w:rsidRPr="00E17AA0">
        <w:rPr>
          <w:lang w:val="af-ZA"/>
        </w:rPr>
        <w:t xml:space="preserve"> </w:t>
      </w:r>
      <w:r w:rsidRPr="00E17AA0">
        <w:t>այլ</w:t>
      </w:r>
      <w:r w:rsidRPr="00E17AA0">
        <w:rPr>
          <w:lang w:val="af-ZA"/>
        </w:rPr>
        <w:t xml:space="preserve"> </w:t>
      </w:r>
      <w:r w:rsidRPr="00E17AA0">
        <w:t>եկամուտ</w:t>
      </w:r>
      <w:r w:rsidRPr="00E17AA0">
        <w:rPr>
          <w:lang w:val="af-ZA"/>
        </w:rPr>
        <w:softHyphen/>
      </w:r>
      <w:r w:rsidRPr="00E17AA0">
        <w:t>ների</w:t>
      </w:r>
      <w:r w:rsidRPr="00E17AA0">
        <w:rPr>
          <w:lang w:val="af-ZA"/>
        </w:rPr>
        <w:t xml:space="preserve"> </w:t>
      </w:r>
      <w:r w:rsidRPr="00E17AA0">
        <w:t>գծով</w:t>
      </w:r>
      <w:r w:rsidRPr="00E17AA0">
        <w:rPr>
          <w:lang w:val="af-ZA"/>
        </w:rPr>
        <w:t xml:space="preserve"> 202</w:t>
      </w:r>
      <w:r>
        <w:rPr>
          <w:lang w:val="af-ZA"/>
        </w:rPr>
        <w:t>6</w:t>
      </w:r>
      <w:r w:rsidRPr="00E17AA0">
        <w:rPr>
          <w:lang w:val="af-ZA"/>
        </w:rPr>
        <w:t xml:space="preserve"> </w:t>
      </w:r>
      <w:r w:rsidRPr="00E17AA0">
        <w:t>թվականի</w:t>
      </w:r>
      <w:r w:rsidRPr="00E17AA0">
        <w:rPr>
          <w:lang w:val="af-ZA"/>
        </w:rPr>
        <w:t xml:space="preserve"> </w:t>
      </w:r>
      <w:r w:rsidRPr="00E17AA0">
        <w:t>պետական</w:t>
      </w:r>
      <w:r w:rsidRPr="00E17AA0">
        <w:rPr>
          <w:lang w:val="af-ZA"/>
        </w:rPr>
        <w:t xml:space="preserve"> </w:t>
      </w:r>
      <w:r w:rsidRPr="00E17AA0">
        <w:t>բյուջեի</w:t>
      </w:r>
      <w:r w:rsidRPr="00E17AA0">
        <w:rPr>
          <w:lang w:val="af-ZA"/>
        </w:rPr>
        <w:t xml:space="preserve"> </w:t>
      </w:r>
      <w:r w:rsidRPr="00E17AA0">
        <w:t>մուտքերը</w:t>
      </w:r>
      <w:r w:rsidRPr="00E17AA0">
        <w:rPr>
          <w:lang w:val="af-ZA"/>
        </w:rPr>
        <w:t xml:space="preserve"> </w:t>
      </w:r>
      <w:r w:rsidRPr="00E17AA0">
        <w:t>գնահատվել</w:t>
      </w:r>
      <w:r w:rsidRPr="00E17AA0">
        <w:rPr>
          <w:lang w:val="af-ZA"/>
        </w:rPr>
        <w:t xml:space="preserve"> </w:t>
      </w:r>
      <w:r w:rsidRPr="00E17AA0">
        <w:t>են</w:t>
      </w:r>
      <w:r w:rsidRPr="00E17AA0">
        <w:rPr>
          <w:lang w:val="af-ZA"/>
        </w:rPr>
        <w:t xml:space="preserve"> 2,</w:t>
      </w:r>
      <w:r w:rsidR="00512715">
        <w:rPr>
          <w:lang w:val="af-ZA"/>
        </w:rPr>
        <w:t>3</w:t>
      </w:r>
      <w:r>
        <w:rPr>
          <w:lang w:val="af-ZA"/>
        </w:rPr>
        <w:t>50</w:t>
      </w:r>
      <w:r w:rsidRPr="00E17AA0">
        <w:rPr>
          <w:lang w:val="af-ZA"/>
        </w:rPr>
        <w:t>.</w:t>
      </w:r>
      <w:r>
        <w:rPr>
          <w:lang w:val="af-ZA"/>
        </w:rPr>
        <w:t>1</w:t>
      </w:r>
      <w:r w:rsidRPr="00E17AA0">
        <w:rPr>
          <w:lang w:val="af-ZA"/>
        </w:rPr>
        <w:t xml:space="preserve"> </w:t>
      </w:r>
      <w:r w:rsidRPr="00E17AA0">
        <w:t>մլն</w:t>
      </w:r>
      <w:r w:rsidRPr="00E17AA0">
        <w:rPr>
          <w:lang w:val="af-ZA"/>
        </w:rPr>
        <w:t xml:space="preserve"> </w:t>
      </w:r>
      <w:r w:rsidRPr="00E17AA0">
        <w:t>դրա</w:t>
      </w:r>
      <w:r w:rsidRPr="00E17AA0">
        <w:rPr>
          <w:lang w:val="af-ZA"/>
        </w:rPr>
        <w:softHyphen/>
      </w:r>
      <w:r w:rsidRPr="00E17AA0">
        <w:rPr>
          <w:lang w:val="af-ZA"/>
        </w:rPr>
        <w:softHyphen/>
      </w:r>
      <w:r w:rsidRPr="00E17AA0">
        <w:rPr>
          <w:lang w:val="af-ZA"/>
        </w:rPr>
        <w:softHyphen/>
      </w:r>
      <w:r>
        <w:t>մ</w:t>
      </w:r>
      <w:r w:rsidRPr="00DB082A">
        <w:rPr>
          <w:lang w:val="af-ZA"/>
        </w:rPr>
        <w:t>,</w:t>
      </w:r>
      <w:r w:rsidRPr="00DB082A">
        <w:rPr>
          <w:lang w:val="hy-AM"/>
        </w:rPr>
        <w:t xml:space="preserve"> </w:t>
      </w:r>
      <w:r>
        <w:rPr>
          <w:lang w:val="hy-AM"/>
        </w:rPr>
        <w:t>2027 թվականին՝</w:t>
      </w:r>
      <w:r w:rsidR="00512715">
        <w:rPr>
          <w:lang w:val="hy-AM"/>
        </w:rPr>
        <w:t xml:space="preserve"> 2,3</w:t>
      </w:r>
      <w:r>
        <w:rPr>
          <w:lang w:val="hy-AM"/>
        </w:rPr>
        <w:t>46</w:t>
      </w:r>
      <w:r w:rsidRPr="00C57CDE">
        <w:rPr>
          <w:lang w:val="hy-AM"/>
        </w:rPr>
        <w:t>.</w:t>
      </w:r>
      <w:r>
        <w:rPr>
          <w:lang w:val="hy-AM"/>
        </w:rPr>
        <w:t>7 մլն դրամ, իսկ 2028 թվականին՝</w:t>
      </w:r>
      <w:r w:rsidR="00512715">
        <w:rPr>
          <w:lang w:val="hy-AM"/>
        </w:rPr>
        <w:t xml:space="preserve"> 4,3</w:t>
      </w:r>
      <w:r>
        <w:rPr>
          <w:lang w:val="hy-AM"/>
        </w:rPr>
        <w:t>46</w:t>
      </w:r>
      <w:r w:rsidRPr="00C57CDE">
        <w:rPr>
          <w:lang w:val="hy-AM"/>
        </w:rPr>
        <w:t>.</w:t>
      </w:r>
      <w:r>
        <w:rPr>
          <w:lang w:val="hy-AM"/>
        </w:rPr>
        <w:t>7 մլն դրամ</w:t>
      </w:r>
      <w:r>
        <w:rPr>
          <w:lang w:val="af-ZA"/>
        </w:rPr>
        <w:t xml:space="preserve">: </w:t>
      </w:r>
      <w:r>
        <w:rPr>
          <w:lang w:val="hy-AM"/>
        </w:rPr>
        <w:t>Կ</w:t>
      </w:r>
      <w:r>
        <w:t>անխատեսումն</w:t>
      </w:r>
      <w:r w:rsidRPr="00DB082A">
        <w:rPr>
          <w:lang w:val="af-ZA"/>
        </w:rPr>
        <w:t xml:space="preserve"> </w:t>
      </w:r>
      <w:r>
        <w:t>իրականացվել</w:t>
      </w:r>
      <w:r w:rsidRPr="00E17AA0">
        <w:rPr>
          <w:lang w:val="af-ZA"/>
        </w:rPr>
        <w:t xml:space="preserve"> </w:t>
      </w:r>
      <w:r w:rsidRPr="00E17AA0">
        <w:t>է</w:t>
      </w:r>
      <w:r w:rsidRPr="00E17AA0">
        <w:rPr>
          <w:lang w:val="af-ZA"/>
        </w:rPr>
        <w:t xml:space="preserve"> ելնելով </w:t>
      </w:r>
      <w:r w:rsidRPr="00E17AA0">
        <w:t>նախորդ</w:t>
      </w:r>
      <w:r w:rsidRPr="00E17AA0">
        <w:rPr>
          <w:lang w:val="af-ZA"/>
        </w:rPr>
        <w:t xml:space="preserve"> </w:t>
      </w:r>
      <w:r w:rsidRPr="00E17AA0">
        <w:t>տարիների</w:t>
      </w:r>
      <w:r w:rsidRPr="00E17AA0">
        <w:rPr>
          <w:lang w:val="af-ZA"/>
        </w:rPr>
        <w:t xml:space="preserve"> </w:t>
      </w:r>
      <w:r w:rsidRPr="00E17AA0">
        <w:t>փաստացի</w:t>
      </w:r>
      <w:r w:rsidRPr="00E17AA0">
        <w:rPr>
          <w:lang w:val="af-ZA"/>
        </w:rPr>
        <w:t xml:space="preserve"> </w:t>
      </w:r>
      <w:r w:rsidRPr="00E17AA0">
        <w:t>մուտքերի</w:t>
      </w:r>
      <w:r w:rsidRPr="00E17AA0">
        <w:rPr>
          <w:lang w:val="af-ZA"/>
        </w:rPr>
        <w:t xml:space="preserve"> </w:t>
      </w:r>
      <w:r w:rsidRPr="00E17AA0">
        <w:t>միտումներից</w:t>
      </w:r>
      <w:r w:rsidRPr="00E17AA0">
        <w:rPr>
          <w:lang w:val="af-ZA"/>
        </w:rPr>
        <w:t>:</w:t>
      </w:r>
    </w:p>
    <w:p w14:paraId="320B5CDD" w14:textId="0DE053F5" w:rsidR="00E77731" w:rsidRPr="00E77731" w:rsidRDefault="00E77731" w:rsidP="001739BB">
      <w:pPr>
        <w:pStyle w:val="TOC2"/>
        <w:jc w:val="both"/>
        <w:outlineLvl w:val="0"/>
        <w:rPr>
          <w:lang w:val="af-ZA"/>
        </w:rPr>
      </w:pPr>
      <w:bookmarkStart w:id="384" w:name="_Toc215157689"/>
      <w:r w:rsidRPr="00C3014C">
        <w:t>ՄԱՍ</w:t>
      </w:r>
      <w:r w:rsidRPr="00E77731">
        <w:rPr>
          <w:lang w:val="af-ZA"/>
        </w:rPr>
        <w:t xml:space="preserve"> II–</w:t>
      </w:r>
      <w:r w:rsidR="00965EE6">
        <w:rPr>
          <w:lang w:val="hy-AM"/>
        </w:rPr>
        <w:t>Գ</w:t>
      </w:r>
      <w:r w:rsidRPr="00E77731">
        <w:rPr>
          <w:lang w:val="af-ZA"/>
        </w:rPr>
        <w:t xml:space="preserve">. </w:t>
      </w:r>
      <w:r w:rsidRPr="00C3014C">
        <w:t>ԾԱԽՍԵՐԻ</w:t>
      </w:r>
      <w:r w:rsidRPr="00E77731">
        <w:rPr>
          <w:lang w:val="af-ZA"/>
        </w:rPr>
        <w:t xml:space="preserve"> </w:t>
      </w:r>
      <w:r w:rsidRPr="00C3014C">
        <w:t>ԿԱՆԽԱՏԵՍՈՒՄ</w:t>
      </w:r>
      <w:bookmarkEnd w:id="357"/>
      <w:bookmarkEnd w:id="358"/>
      <w:bookmarkEnd w:id="384"/>
    </w:p>
    <w:p w14:paraId="78F664CC" w14:textId="77777777" w:rsidR="00E77731" w:rsidRPr="004C3F5B" w:rsidRDefault="00E77731" w:rsidP="001739BB">
      <w:pPr>
        <w:pStyle w:val="TOC3"/>
        <w:pBdr>
          <w:bottom w:val="single" w:sz="6" w:space="1" w:color="C3C3C7" w:themeColor="accent3" w:themeTint="66"/>
        </w:pBdr>
        <w:ind w:left="-1080" w:firstLine="1080"/>
        <w:outlineLvl w:val="1"/>
        <w:rPr>
          <w:lang w:val="hy-AM"/>
        </w:rPr>
      </w:pPr>
      <w:bookmarkStart w:id="385" w:name="_Toc57655469"/>
      <w:bookmarkStart w:id="386" w:name="_Toc178356587"/>
      <w:bookmarkStart w:id="387" w:name="_Toc209625769"/>
      <w:bookmarkStart w:id="388" w:name="_Toc215157690"/>
      <w:bookmarkStart w:id="389" w:name="_Toc83631020"/>
      <w:r w:rsidRPr="004C3F5B">
        <w:rPr>
          <w:lang w:val="hy-AM"/>
        </w:rPr>
        <w:t>ԾԱԽՍԵՐՆ ԸՍՏ ՏՆՏԵՍԱԳԻՏԱԿԱՆ ԴԱՍԱԿԱՐԳՄԱՆ</w:t>
      </w:r>
      <w:bookmarkEnd w:id="385"/>
      <w:bookmarkEnd w:id="386"/>
      <w:bookmarkEnd w:id="387"/>
      <w:bookmarkEnd w:id="388"/>
    </w:p>
    <w:p w14:paraId="44A8E603" w14:textId="77777777" w:rsidR="006B15F5" w:rsidRPr="0087491E" w:rsidRDefault="006B15F5" w:rsidP="006B15F5">
      <w:pPr>
        <w:jc w:val="both"/>
        <w:rPr>
          <w:rFonts w:ascii="GHEA Grapalat" w:hAnsi="GHEA Grapalat"/>
          <w:szCs w:val="20"/>
          <w:lang w:val="af-ZA"/>
        </w:rPr>
      </w:pPr>
      <w:bookmarkStart w:id="390" w:name="_Toc115255380"/>
      <w:bookmarkStart w:id="391" w:name="_Toc83928946"/>
      <w:bookmarkStart w:id="392" w:name="_Toc83752674"/>
      <w:bookmarkStart w:id="393" w:name="_Toc57631761"/>
      <w:bookmarkStart w:id="394" w:name="_Toc178356589"/>
      <w:bookmarkStart w:id="395" w:name="_Toc77837866"/>
      <w:bookmarkStart w:id="396" w:name="_Toc77356423"/>
      <w:bookmarkEnd w:id="389"/>
      <w:r w:rsidRPr="009C2153">
        <w:rPr>
          <w:rFonts w:ascii="GHEA Grapalat" w:hAnsi="GHEA Grapalat"/>
          <w:szCs w:val="20"/>
          <w:lang w:val="af-ZA"/>
        </w:rPr>
        <w:t>2026</w:t>
      </w:r>
      <w:r>
        <w:rPr>
          <w:rFonts w:ascii="GHEA Grapalat" w:hAnsi="GHEA Grapalat"/>
          <w:szCs w:val="20"/>
          <w:lang w:val="hy-AM"/>
        </w:rPr>
        <w:t>-2028</w:t>
      </w:r>
      <w:r w:rsidRPr="009C2153">
        <w:rPr>
          <w:rFonts w:ascii="GHEA Grapalat" w:hAnsi="GHEA Grapalat"/>
          <w:szCs w:val="20"/>
          <w:lang w:val="af-ZA"/>
        </w:rPr>
        <w:t xml:space="preserve"> </w:t>
      </w:r>
      <w:r w:rsidRPr="009C2153">
        <w:rPr>
          <w:rFonts w:ascii="GHEA Grapalat" w:hAnsi="GHEA Grapalat"/>
          <w:szCs w:val="20"/>
          <w:lang w:val="hy-AM"/>
        </w:rPr>
        <w:t>թվական</w:t>
      </w:r>
      <w:r>
        <w:rPr>
          <w:rFonts w:ascii="GHEA Grapalat" w:hAnsi="GHEA Grapalat"/>
          <w:szCs w:val="20"/>
          <w:lang w:val="hy-AM"/>
        </w:rPr>
        <w:t>ներ</w:t>
      </w:r>
      <w:r w:rsidRPr="009C2153">
        <w:rPr>
          <w:rFonts w:ascii="GHEA Grapalat" w:hAnsi="GHEA Grapalat"/>
          <w:szCs w:val="20"/>
          <w:lang w:val="hy-AM"/>
        </w:rPr>
        <w:t>ի</w:t>
      </w:r>
      <w:r w:rsidRPr="009C2153">
        <w:rPr>
          <w:rFonts w:ascii="GHEA Grapalat" w:hAnsi="GHEA Grapalat"/>
          <w:szCs w:val="20"/>
          <w:lang w:val="af-ZA"/>
        </w:rPr>
        <w:t xml:space="preserve"> </w:t>
      </w:r>
      <w:r w:rsidRPr="009C2153">
        <w:rPr>
          <w:rFonts w:ascii="GHEA Grapalat" w:hAnsi="GHEA Grapalat"/>
          <w:szCs w:val="20"/>
          <w:lang w:val="hy-AM"/>
        </w:rPr>
        <w:t>պետական</w:t>
      </w:r>
      <w:r w:rsidRPr="009C2153">
        <w:rPr>
          <w:rFonts w:ascii="GHEA Grapalat" w:hAnsi="GHEA Grapalat"/>
          <w:szCs w:val="20"/>
          <w:lang w:val="af-ZA"/>
        </w:rPr>
        <w:t xml:space="preserve"> </w:t>
      </w:r>
      <w:r w:rsidRPr="009C2153">
        <w:rPr>
          <w:rFonts w:ascii="GHEA Grapalat" w:hAnsi="GHEA Grapalat"/>
          <w:szCs w:val="20"/>
          <w:lang w:val="hy-AM"/>
        </w:rPr>
        <w:t>բյուջեի</w:t>
      </w:r>
      <w:r w:rsidRPr="009C2153">
        <w:rPr>
          <w:rFonts w:ascii="GHEA Grapalat" w:hAnsi="GHEA Grapalat"/>
          <w:szCs w:val="20"/>
          <w:lang w:val="af-ZA"/>
        </w:rPr>
        <w:t xml:space="preserve"> </w:t>
      </w:r>
      <w:r w:rsidRPr="009C2153">
        <w:rPr>
          <w:rFonts w:ascii="GHEA Grapalat" w:hAnsi="GHEA Grapalat"/>
          <w:szCs w:val="20"/>
          <w:lang w:val="hy-AM"/>
        </w:rPr>
        <w:t>ընթա</w:t>
      </w:r>
      <w:r w:rsidRPr="009C2153">
        <w:rPr>
          <w:rFonts w:ascii="GHEA Grapalat" w:hAnsi="GHEA Grapalat"/>
          <w:szCs w:val="20"/>
          <w:lang w:val="af-ZA"/>
        </w:rPr>
        <w:softHyphen/>
      </w:r>
      <w:r w:rsidRPr="009C2153">
        <w:rPr>
          <w:rFonts w:ascii="GHEA Grapalat" w:hAnsi="GHEA Grapalat"/>
          <w:szCs w:val="20"/>
          <w:lang w:val="hy-AM"/>
        </w:rPr>
        <w:t>ցիկ</w:t>
      </w:r>
      <w:r w:rsidRPr="009C2153">
        <w:rPr>
          <w:rFonts w:ascii="GHEA Grapalat" w:hAnsi="GHEA Grapalat"/>
          <w:szCs w:val="20"/>
          <w:lang w:val="af-ZA"/>
        </w:rPr>
        <w:t xml:space="preserve"> </w:t>
      </w:r>
      <w:r w:rsidRPr="009C2153">
        <w:rPr>
          <w:rFonts w:ascii="GHEA Grapalat" w:hAnsi="GHEA Grapalat"/>
          <w:szCs w:val="20"/>
          <w:lang w:val="hy-AM"/>
        </w:rPr>
        <w:t>ծախ</w:t>
      </w:r>
      <w:r w:rsidRPr="009C2153">
        <w:rPr>
          <w:rFonts w:ascii="GHEA Grapalat" w:hAnsi="GHEA Grapalat"/>
          <w:szCs w:val="20"/>
          <w:lang w:val="af-ZA"/>
        </w:rPr>
        <w:softHyphen/>
      </w:r>
      <w:r w:rsidRPr="009C2153">
        <w:rPr>
          <w:rFonts w:ascii="GHEA Grapalat" w:hAnsi="GHEA Grapalat"/>
          <w:szCs w:val="20"/>
          <w:lang w:val="hy-AM"/>
        </w:rPr>
        <w:t>սերի</w:t>
      </w:r>
      <w:r w:rsidRPr="009C2153">
        <w:rPr>
          <w:rFonts w:ascii="GHEA Grapalat" w:hAnsi="GHEA Grapalat"/>
          <w:szCs w:val="20"/>
          <w:lang w:val="af-ZA"/>
        </w:rPr>
        <w:t xml:space="preserve"> </w:t>
      </w:r>
      <w:r w:rsidRPr="009C2153">
        <w:rPr>
          <w:rFonts w:ascii="GHEA Grapalat" w:hAnsi="GHEA Grapalat"/>
          <w:szCs w:val="20"/>
          <w:lang w:val="hy-AM"/>
        </w:rPr>
        <w:t>հարա</w:t>
      </w:r>
      <w:r w:rsidRPr="009C2153">
        <w:rPr>
          <w:rFonts w:ascii="GHEA Grapalat" w:hAnsi="GHEA Grapalat"/>
          <w:szCs w:val="20"/>
          <w:lang w:val="af-ZA"/>
        </w:rPr>
        <w:softHyphen/>
      </w:r>
      <w:r w:rsidRPr="009C2153">
        <w:rPr>
          <w:rFonts w:ascii="GHEA Grapalat" w:hAnsi="GHEA Grapalat"/>
          <w:szCs w:val="20"/>
          <w:lang w:val="hy-AM"/>
        </w:rPr>
        <w:t>բերակցությունը</w:t>
      </w:r>
      <w:r w:rsidRPr="009C2153">
        <w:rPr>
          <w:rFonts w:ascii="GHEA Grapalat" w:hAnsi="GHEA Grapalat"/>
          <w:szCs w:val="20"/>
          <w:lang w:val="af-ZA"/>
        </w:rPr>
        <w:t xml:space="preserve"> </w:t>
      </w:r>
      <w:r w:rsidRPr="009C2153">
        <w:rPr>
          <w:rFonts w:ascii="GHEA Grapalat" w:hAnsi="GHEA Grapalat"/>
          <w:szCs w:val="20"/>
          <w:lang w:val="hy-AM"/>
        </w:rPr>
        <w:t>ՀՆԱ</w:t>
      </w:r>
      <w:r w:rsidRPr="009C2153">
        <w:rPr>
          <w:rFonts w:ascii="GHEA Grapalat" w:hAnsi="GHEA Grapalat"/>
          <w:szCs w:val="20"/>
          <w:lang w:val="af-ZA"/>
        </w:rPr>
        <w:t>-</w:t>
      </w:r>
      <w:r w:rsidRPr="009C2153">
        <w:rPr>
          <w:rFonts w:ascii="GHEA Grapalat" w:hAnsi="GHEA Grapalat"/>
          <w:szCs w:val="20"/>
          <w:lang w:val="hy-AM"/>
        </w:rPr>
        <w:t>ի</w:t>
      </w:r>
      <w:r w:rsidRPr="009C2153">
        <w:rPr>
          <w:rFonts w:ascii="GHEA Grapalat" w:hAnsi="GHEA Grapalat"/>
          <w:szCs w:val="20"/>
          <w:lang w:val="af-ZA"/>
        </w:rPr>
        <w:t xml:space="preserve"> </w:t>
      </w:r>
      <w:r w:rsidRPr="009C2153">
        <w:rPr>
          <w:rFonts w:ascii="GHEA Grapalat" w:hAnsi="GHEA Grapalat"/>
          <w:szCs w:val="20"/>
          <w:lang w:val="hy-AM"/>
        </w:rPr>
        <w:t>նկատմամբ</w:t>
      </w:r>
      <w:r w:rsidRPr="009C2153">
        <w:rPr>
          <w:rFonts w:ascii="GHEA Grapalat" w:hAnsi="GHEA Grapalat"/>
          <w:szCs w:val="20"/>
          <w:lang w:val="af-ZA"/>
        </w:rPr>
        <w:t xml:space="preserve"> </w:t>
      </w:r>
      <w:r w:rsidRPr="009C2153">
        <w:rPr>
          <w:rFonts w:ascii="GHEA Grapalat" w:hAnsi="GHEA Grapalat"/>
          <w:szCs w:val="20"/>
          <w:lang w:val="hy-AM"/>
        </w:rPr>
        <w:t>կազմում</w:t>
      </w:r>
      <w:r w:rsidRPr="009C2153">
        <w:rPr>
          <w:rFonts w:ascii="GHEA Grapalat" w:hAnsi="GHEA Grapalat"/>
          <w:szCs w:val="20"/>
          <w:lang w:val="af-ZA"/>
        </w:rPr>
        <w:t xml:space="preserve"> </w:t>
      </w:r>
      <w:r w:rsidRPr="009C2153">
        <w:rPr>
          <w:rFonts w:ascii="GHEA Grapalat" w:hAnsi="GHEA Grapalat"/>
          <w:szCs w:val="20"/>
          <w:lang w:val="hy-AM"/>
        </w:rPr>
        <w:t>է</w:t>
      </w:r>
      <w:r>
        <w:rPr>
          <w:rFonts w:ascii="GHEA Grapalat" w:hAnsi="GHEA Grapalat"/>
          <w:szCs w:val="20"/>
          <w:lang w:val="hy-AM"/>
        </w:rPr>
        <w:t xml:space="preserve"> համապատասխանաբար</w:t>
      </w:r>
      <w:r w:rsidRPr="009C2153">
        <w:rPr>
          <w:rFonts w:ascii="GHEA Grapalat" w:hAnsi="GHEA Grapalat"/>
          <w:szCs w:val="20"/>
          <w:lang w:val="af-ZA"/>
        </w:rPr>
        <w:t xml:space="preserve"> 24.</w:t>
      </w:r>
      <w:r w:rsidRPr="009C2153">
        <w:rPr>
          <w:rFonts w:ascii="GHEA Grapalat" w:hAnsi="GHEA Grapalat"/>
          <w:szCs w:val="20"/>
          <w:lang w:val="hy-AM"/>
        </w:rPr>
        <w:t>5</w:t>
      </w:r>
      <w:r w:rsidRPr="009C2153">
        <w:rPr>
          <w:rFonts w:ascii="GHEA Grapalat" w:hAnsi="GHEA Grapalat"/>
          <w:szCs w:val="20"/>
          <w:lang w:val="af-ZA"/>
        </w:rPr>
        <w:t>%</w:t>
      </w:r>
      <w:r>
        <w:rPr>
          <w:rFonts w:ascii="GHEA Grapalat" w:hAnsi="GHEA Grapalat"/>
          <w:szCs w:val="20"/>
          <w:lang w:val="hy-AM"/>
        </w:rPr>
        <w:t>, 23.8</w:t>
      </w:r>
      <w:r w:rsidRPr="005867F1">
        <w:rPr>
          <w:rFonts w:ascii="GHEA Grapalat" w:hAnsi="GHEA Grapalat"/>
          <w:szCs w:val="20"/>
          <w:lang w:val="hy-AM"/>
        </w:rPr>
        <w:t>%</w:t>
      </w:r>
      <w:r>
        <w:rPr>
          <w:rFonts w:ascii="GHEA Grapalat" w:hAnsi="GHEA Grapalat"/>
          <w:szCs w:val="20"/>
          <w:lang w:val="hy-AM"/>
        </w:rPr>
        <w:t xml:space="preserve"> և 23.0</w:t>
      </w:r>
      <w:r w:rsidRPr="005867F1">
        <w:rPr>
          <w:rFonts w:ascii="GHEA Grapalat" w:hAnsi="GHEA Grapalat"/>
          <w:szCs w:val="20"/>
          <w:lang w:val="hy-AM"/>
        </w:rPr>
        <w:t>%</w:t>
      </w:r>
      <w:r w:rsidRPr="009C2153">
        <w:rPr>
          <w:rFonts w:ascii="GHEA Grapalat" w:hAnsi="GHEA Grapalat"/>
          <w:szCs w:val="20"/>
          <w:lang w:val="af-ZA"/>
        </w:rPr>
        <w:t xml:space="preserve">: </w:t>
      </w:r>
      <w:r w:rsidRPr="009C2153">
        <w:rPr>
          <w:rFonts w:ascii="GHEA Grapalat" w:hAnsi="GHEA Grapalat"/>
          <w:szCs w:val="20"/>
          <w:lang w:val="hy-AM"/>
        </w:rPr>
        <w:t>Նույն</w:t>
      </w:r>
      <w:r w:rsidRPr="009C2153">
        <w:rPr>
          <w:rFonts w:ascii="GHEA Grapalat" w:hAnsi="GHEA Grapalat"/>
          <w:szCs w:val="20"/>
          <w:lang w:val="af-ZA"/>
        </w:rPr>
        <w:t xml:space="preserve"> </w:t>
      </w:r>
      <w:r w:rsidRPr="009C2153">
        <w:rPr>
          <w:rFonts w:ascii="GHEA Grapalat" w:hAnsi="GHEA Grapalat"/>
          <w:szCs w:val="20"/>
          <w:lang w:val="hy-AM"/>
        </w:rPr>
        <w:t>ժա</w:t>
      </w:r>
      <w:r w:rsidRPr="009C2153">
        <w:rPr>
          <w:rFonts w:ascii="GHEA Grapalat" w:hAnsi="GHEA Grapalat"/>
          <w:szCs w:val="20"/>
          <w:lang w:val="af-ZA"/>
        </w:rPr>
        <w:softHyphen/>
      </w:r>
      <w:r w:rsidRPr="009C2153">
        <w:rPr>
          <w:rFonts w:ascii="GHEA Grapalat" w:hAnsi="GHEA Grapalat"/>
          <w:szCs w:val="20"/>
          <w:lang w:val="hy-AM"/>
        </w:rPr>
        <w:t>մա</w:t>
      </w:r>
      <w:r w:rsidRPr="009C2153">
        <w:rPr>
          <w:rFonts w:ascii="GHEA Grapalat" w:hAnsi="GHEA Grapalat"/>
          <w:szCs w:val="20"/>
          <w:lang w:val="af-ZA"/>
        </w:rPr>
        <w:softHyphen/>
      </w:r>
      <w:r w:rsidRPr="009C2153">
        <w:rPr>
          <w:rFonts w:ascii="GHEA Grapalat" w:hAnsi="GHEA Grapalat"/>
          <w:szCs w:val="20"/>
          <w:lang w:val="hy-AM"/>
        </w:rPr>
        <w:t>նա</w:t>
      </w:r>
      <w:r w:rsidRPr="009C2153">
        <w:rPr>
          <w:rFonts w:ascii="GHEA Grapalat" w:hAnsi="GHEA Grapalat"/>
          <w:szCs w:val="20"/>
          <w:lang w:val="af-ZA"/>
        </w:rPr>
        <w:softHyphen/>
      </w:r>
      <w:r w:rsidRPr="009C2153">
        <w:rPr>
          <w:rFonts w:ascii="GHEA Grapalat" w:hAnsi="GHEA Grapalat"/>
          <w:szCs w:val="20"/>
          <w:lang w:val="hy-AM"/>
        </w:rPr>
        <w:t>կա</w:t>
      </w:r>
      <w:r w:rsidRPr="009C2153">
        <w:rPr>
          <w:rFonts w:ascii="GHEA Grapalat" w:hAnsi="GHEA Grapalat"/>
          <w:szCs w:val="20"/>
          <w:lang w:val="af-ZA"/>
        </w:rPr>
        <w:softHyphen/>
      </w:r>
      <w:r w:rsidRPr="009C2153">
        <w:rPr>
          <w:rFonts w:ascii="GHEA Grapalat" w:hAnsi="GHEA Grapalat"/>
          <w:szCs w:val="20"/>
          <w:lang w:val="hy-AM"/>
        </w:rPr>
        <w:t>հատ</w:t>
      </w:r>
      <w:r w:rsidRPr="009C2153">
        <w:rPr>
          <w:rFonts w:ascii="GHEA Grapalat" w:hAnsi="GHEA Grapalat"/>
          <w:szCs w:val="20"/>
          <w:lang w:val="af-ZA"/>
        </w:rPr>
        <w:softHyphen/>
      </w:r>
      <w:r w:rsidRPr="009C2153">
        <w:rPr>
          <w:rFonts w:ascii="GHEA Grapalat" w:hAnsi="GHEA Grapalat"/>
          <w:szCs w:val="20"/>
          <w:lang w:val="hy-AM"/>
        </w:rPr>
        <w:t>վա</w:t>
      </w:r>
      <w:r w:rsidRPr="009C2153">
        <w:rPr>
          <w:rFonts w:ascii="GHEA Grapalat" w:hAnsi="GHEA Grapalat"/>
          <w:szCs w:val="20"/>
          <w:lang w:val="af-ZA"/>
        </w:rPr>
        <w:softHyphen/>
      </w:r>
      <w:r w:rsidRPr="009C2153">
        <w:rPr>
          <w:rFonts w:ascii="GHEA Grapalat" w:hAnsi="GHEA Grapalat"/>
          <w:szCs w:val="20"/>
          <w:lang w:val="hy-AM"/>
        </w:rPr>
        <w:t>ծում</w:t>
      </w:r>
      <w:r w:rsidRPr="009C2153">
        <w:rPr>
          <w:rFonts w:ascii="GHEA Grapalat" w:hAnsi="GHEA Grapalat"/>
          <w:szCs w:val="20"/>
          <w:lang w:val="af-ZA"/>
        </w:rPr>
        <w:t xml:space="preserve"> </w:t>
      </w:r>
      <w:r w:rsidRPr="009C2153">
        <w:rPr>
          <w:rFonts w:ascii="GHEA Grapalat" w:hAnsi="GHEA Grapalat"/>
          <w:szCs w:val="20"/>
          <w:lang w:val="hy-AM"/>
        </w:rPr>
        <w:t>ոչ</w:t>
      </w:r>
      <w:r w:rsidRPr="009C2153">
        <w:rPr>
          <w:rFonts w:ascii="GHEA Grapalat" w:hAnsi="GHEA Grapalat"/>
          <w:szCs w:val="20"/>
          <w:lang w:val="af-ZA"/>
        </w:rPr>
        <w:t xml:space="preserve"> </w:t>
      </w:r>
      <w:r w:rsidRPr="009C2153">
        <w:rPr>
          <w:rFonts w:ascii="GHEA Grapalat" w:hAnsi="GHEA Grapalat"/>
          <w:szCs w:val="20"/>
          <w:lang w:val="hy-AM"/>
        </w:rPr>
        <w:t>ֆինանսական</w:t>
      </w:r>
      <w:r w:rsidRPr="009C2153">
        <w:rPr>
          <w:rFonts w:ascii="GHEA Grapalat" w:hAnsi="GHEA Grapalat"/>
          <w:szCs w:val="20"/>
          <w:lang w:val="af-ZA"/>
        </w:rPr>
        <w:t xml:space="preserve"> </w:t>
      </w:r>
      <w:r w:rsidRPr="009C2153">
        <w:rPr>
          <w:rFonts w:ascii="GHEA Grapalat" w:hAnsi="GHEA Grapalat"/>
          <w:szCs w:val="20"/>
          <w:lang w:val="hy-AM"/>
        </w:rPr>
        <w:t>ակտիվների</w:t>
      </w:r>
      <w:r w:rsidRPr="009C2153">
        <w:rPr>
          <w:rFonts w:ascii="GHEA Grapalat" w:hAnsi="GHEA Grapalat"/>
          <w:szCs w:val="20"/>
          <w:lang w:val="af-ZA"/>
        </w:rPr>
        <w:t xml:space="preserve"> </w:t>
      </w:r>
      <w:r w:rsidRPr="009C2153">
        <w:rPr>
          <w:rFonts w:ascii="GHEA Grapalat" w:hAnsi="GHEA Grapalat"/>
          <w:szCs w:val="20"/>
          <w:lang w:val="hy-AM"/>
        </w:rPr>
        <w:t>գծով</w:t>
      </w:r>
      <w:r w:rsidRPr="009C2153">
        <w:rPr>
          <w:rFonts w:ascii="GHEA Grapalat" w:hAnsi="GHEA Grapalat"/>
          <w:szCs w:val="20"/>
          <w:lang w:val="af-ZA"/>
        </w:rPr>
        <w:t xml:space="preserve"> </w:t>
      </w:r>
      <w:r w:rsidRPr="009C2153">
        <w:rPr>
          <w:rFonts w:ascii="GHEA Grapalat" w:hAnsi="GHEA Grapalat"/>
          <w:szCs w:val="20"/>
          <w:lang w:val="hy-AM"/>
        </w:rPr>
        <w:t>զուտ</w:t>
      </w:r>
      <w:r w:rsidRPr="009C2153">
        <w:rPr>
          <w:rFonts w:ascii="GHEA Grapalat" w:hAnsi="GHEA Grapalat"/>
          <w:szCs w:val="20"/>
          <w:lang w:val="af-ZA"/>
        </w:rPr>
        <w:t xml:space="preserve"> </w:t>
      </w:r>
      <w:r w:rsidRPr="009C2153">
        <w:rPr>
          <w:rFonts w:ascii="GHEA Grapalat" w:hAnsi="GHEA Grapalat"/>
          <w:szCs w:val="20"/>
          <w:lang w:val="hy-AM"/>
        </w:rPr>
        <w:t>ծախ</w:t>
      </w:r>
      <w:r w:rsidRPr="009C2153">
        <w:rPr>
          <w:rFonts w:ascii="GHEA Grapalat" w:hAnsi="GHEA Grapalat"/>
          <w:szCs w:val="20"/>
          <w:lang w:val="af-ZA"/>
        </w:rPr>
        <w:softHyphen/>
      </w:r>
      <w:r w:rsidRPr="009C2153">
        <w:rPr>
          <w:rFonts w:ascii="GHEA Grapalat" w:hAnsi="GHEA Grapalat"/>
          <w:szCs w:val="20"/>
          <w:lang w:val="hy-AM"/>
        </w:rPr>
        <w:t>սերի</w:t>
      </w:r>
      <w:r w:rsidRPr="009C2153">
        <w:rPr>
          <w:rFonts w:ascii="GHEA Grapalat" w:hAnsi="GHEA Grapalat"/>
          <w:szCs w:val="20"/>
          <w:lang w:val="af-ZA"/>
        </w:rPr>
        <w:t xml:space="preserve"> </w:t>
      </w:r>
      <w:r w:rsidRPr="009C2153">
        <w:rPr>
          <w:rFonts w:ascii="GHEA Grapalat" w:hAnsi="GHEA Grapalat"/>
          <w:szCs w:val="20"/>
          <w:lang w:val="hy-AM"/>
        </w:rPr>
        <w:t>հարա</w:t>
      </w:r>
      <w:r w:rsidRPr="009C2153">
        <w:rPr>
          <w:rFonts w:ascii="GHEA Grapalat" w:hAnsi="GHEA Grapalat"/>
          <w:szCs w:val="20"/>
          <w:lang w:val="af-ZA"/>
        </w:rPr>
        <w:softHyphen/>
      </w:r>
      <w:r w:rsidRPr="009C2153">
        <w:rPr>
          <w:rFonts w:ascii="GHEA Grapalat" w:hAnsi="GHEA Grapalat"/>
          <w:szCs w:val="20"/>
          <w:lang w:val="hy-AM"/>
        </w:rPr>
        <w:t>բե</w:t>
      </w:r>
      <w:r w:rsidRPr="009C2153">
        <w:rPr>
          <w:rFonts w:ascii="GHEA Grapalat" w:hAnsi="GHEA Grapalat"/>
          <w:szCs w:val="20"/>
          <w:lang w:val="af-ZA"/>
        </w:rPr>
        <w:softHyphen/>
      </w:r>
      <w:r w:rsidRPr="009C2153">
        <w:rPr>
          <w:rFonts w:ascii="GHEA Grapalat" w:hAnsi="GHEA Grapalat"/>
          <w:szCs w:val="20"/>
          <w:lang w:val="hy-AM"/>
        </w:rPr>
        <w:t>րակ</w:t>
      </w:r>
      <w:r w:rsidRPr="009C2153">
        <w:rPr>
          <w:rFonts w:ascii="GHEA Grapalat" w:hAnsi="GHEA Grapalat"/>
          <w:szCs w:val="20"/>
          <w:lang w:val="af-ZA"/>
        </w:rPr>
        <w:softHyphen/>
      </w:r>
      <w:r w:rsidRPr="009C2153">
        <w:rPr>
          <w:rFonts w:ascii="GHEA Grapalat" w:hAnsi="GHEA Grapalat"/>
          <w:szCs w:val="20"/>
          <w:lang w:val="hy-AM"/>
        </w:rPr>
        <w:t>ցությունները</w:t>
      </w:r>
      <w:r w:rsidRPr="009C2153">
        <w:rPr>
          <w:rFonts w:ascii="GHEA Grapalat" w:hAnsi="GHEA Grapalat"/>
          <w:szCs w:val="20"/>
          <w:lang w:val="af-ZA"/>
        </w:rPr>
        <w:t xml:space="preserve"> </w:t>
      </w:r>
      <w:r w:rsidRPr="009C2153">
        <w:rPr>
          <w:rFonts w:ascii="GHEA Grapalat" w:hAnsi="GHEA Grapalat"/>
          <w:szCs w:val="20"/>
          <w:lang w:val="hy-AM"/>
        </w:rPr>
        <w:t>ՀՆԱ</w:t>
      </w:r>
      <w:r w:rsidRPr="009C2153">
        <w:rPr>
          <w:rFonts w:ascii="GHEA Grapalat" w:hAnsi="GHEA Grapalat"/>
          <w:szCs w:val="20"/>
          <w:lang w:val="af-ZA"/>
        </w:rPr>
        <w:t>-</w:t>
      </w:r>
      <w:r w:rsidRPr="009C2153">
        <w:rPr>
          <w:rFonts w:ascii="GHEA Grapalat" w:hAnsi="GHEA Grapalat"/>
          <w:szCs w:val="20"/>
          <w:lang w:val="hy-AM"/>
        </w:rPr>
        <w:t>ի</w:t>
      </w:r>
      <w:r w:rsidRPr="009C2153">
        <w:rPr>
          <w:rFonts w:ascii="GHEA Grapalat" w:hAnsi="GHEA Grapalat"/>
          <w:szCs w:val="20"/>
          <w:lang w:val="af-ZA"/>
        </w:rPr>
        <w:t xml:space="preserve"> </w:t>
      </w:r>
      <w:r w:rsidRPr="009C2153">
        <w:rPr>
          <w:rFonts w:ascii="GHEA Grapalat" w:hAnsi="GHEA Grapalat"/>
          <w:szCs w:val="20"/>
          <w:lang w:val="hy-AM"/>
        </w:rPr>
        <w:t>նկատ</w:t>
      </w:r>
      <w:r w:rsidRPr="009C2153">
        <w:rPr>
          <w:rFonts w:ascii="GHEA Grapalat" w:hAnsi="GHEA Grapalat"/>
          <w:szCs w:val="20"/>
          <w:lang w:val="af-ZA"/>
        </w:rPr>
        <w:softHyphen/>
      </w:r>
      <w:r w:rsidRPr="009C2153">
        <w:rPr>
          <w:rFonts w:ascii="GHEA Grapalat" w:hAnsi="GHEA Grapalat"/>
          <w:szCs w:val="20"/>
          <w:lang w:val="hy-AM"/>
        </w:rPr>
        <w:t>մամբ</w:t>
      </w:r>
      <w:r w:rsidRPr="009C2153">
        <w:rPr>
          <w:rFonts w:ascii="GHEA Grapalat" w:hAnsi="GHEA Grapalat"/>
          <w:szCs w:val="20"/>
          <w:lang w:val="af-ZA"/>
        </w:rPr>
        <w:t xml:space="preserve"> </w:t>
      </w:r>
      <w:r w:rsidRPr="009C2153">
        <w:rPr>
          <w:rFonts w:ascii="GHEA Grapalat" w:hAnsi="GHEA Grapalat"/>
          <w:szCs w:val="20"/>
          <w:lang w:val="hy-AM"/>
        </w:rPr>
        <w:t>կազմում</w:t>
      </w:r>
      <w:r w:rsidRPr="009C2153">
        <w:rPr>
          <w:rFonts w:ascii="GHEA Grapalat" w:hAnsi="GHEA Grapalat"/>
          <w:szCs w:val="20"/>
          <w:lang w:val="af-ZA"/>
        </w:rPr>
        <w:t xml:space="preserve"> </w:t>
      </w:r>
      <w:r w:rsidRPr="009C2153">
        <w:rPr>
          <w:rFonts w:ascii="GHEA Grapalat" w:hAnsi="GHEA Grapalat"/>
          <w:szCs w:val="20"/>
          <w:lang w:val="hy-AM"/>
        </w:rPr>
        <w:t>է</w:t>
      </w:r>
      <w:r w:rsidRPr="009C2153">
        <w:rPr>
          <w:rFonts w:ascii="GHEA Grapalat" w:hAnsi="GHEA Grapalat"/>
          <w:szCs w:val="20"/>
          <w:lang w:val="af-ZA"/>
        </w:rPr>
        <w:t xml:space="preserve"> </w:t>
      </w:r>
      <w:r>
        <w:rPr>
          <w:rFonts w:ascii="GHEA Grapalat" w:hAnsi="GHEA Grapalat"/>
          <w:szCs w:val="20"/>
          <w:lang w:val="hy-AM"/>
        </w:rPr>
        <w:t>համապատասխանաբար</w:t>
      </w:r>
      <w:r w:rsidRPr="009C2153">
        <w:rPr>
          <w:rFonts w:ascii="GHEA Grapalat" w:hAnsi="GHEA Grapalat"/>
          <w:szCs w:val="20"/>
          <w:lang w:val="af-ZA"/>
        </w:rPr>
        <w:t xml:space="preserve"> </w:t>
      </w:r>
      <w:r>
        <w:rPr>
          <w:rFonts w:ascii="GHEA Grapalat" w:hAnsi="GHEA Grapalat"/>
          <w:szCs w:val="20"/>
          <w:lang w:val="hy-AM"/>
        </w:rPr>
        <w:t>6.0</w:t>
      </w:r>
      <w:r w:rsidRPr="009C2153">
        <w:rPr>
          <w:rFonts w:ascii="GHEA Grapalat" w:hAnsi="GHEA Grapalat"/>
          <w:szCs w:val="20"/>
          <w:lang w:val="af-ZA"/>
        </w:rPr>
        <w:t>%</w:t>
      </w:r>
      <w:r w:rsidRPr="00890E6D">
        <w:rPr>
          <w:rFonts w:ascii="GHEA Grapalat" w:hAnsi="GHEA Grapalat"/>
          <w:szCs w:val="20"/>
          <w:lang w:val="hy-AM"/>
        </w:rPr>
        <w:t xml:space="preserve">, 5,6% </w:t>
      </w:r>
      <w:r>
        <w:rPr>
          <w:rFonts w:ascii="GHEA Grapalat" w:hAnsi="GHEA Grapalat"/>
          <w:szCs w:val="20"/>
          <w:lang w:val="hy-AM"/>
        </w:rPr>
        <w:t>և 5.8</w:t>
      </w:r>
      <w:r w:rsidRPr="00890E6D">
        <w:rPr>
          <w:rFonts w:ascii="GHEA Grapalat" w:hAnsi="GHEA Grapalat"/>
          <w:szCs w:val="20"/>
          <w:lang w:val="hy-AM"/>
        </w:rPr>
        <w:t>%</w:t>
      </w:r>
      <w:r w:rsidRPr="009C2153">
        <w:rPr>
          <w:rFonts w:ascii="GHEA Grapalat" w:hAnsi="GHEA Grapalat"/>
          <w:szCs w:val="20"/>
          <w:lang w:val="af-ZA"/>
        </w:rPr>
        <w:t>:</w:t>
      </w:r>
      <w:r w:rsidRPr="0087491E">
        <w:rPr>
          <w:rFonts w:ascii="GHEA Grapalat" w:hAnsi="GHEA Grapalat"/>
          <w:szCs w:val="20"/>
          <w:lang w:val="af-ZA"/>
        </w:rPr>
        <w:t xml:space="preserve"> </w:t>
      </w:r>
    </w:p>
    <w:p w14:paraId="1E8CE63F" w14:textId="77777777" w:rsidR="006B15F5" w:rsidRPr="009A30DD" w:rsidRDefault="006B15F5" w:rsidP="006B15F5">
      <w:pPr>
        <w:pStyle w:val="a"/>
      </w:pPr>
      <w:bookmarkStart w:id="397" w:name="_Toc178350619"/>
      <w:bookmarkStart w:id="398" w:name="_Toc178612144"/>
      <w:bookmarkStart w:id="399" w:name="_Toc184110770"/>
      <w:r w:rsidRPr="0087491E">
        <w:t>Աղյուսակ</w:t>
      </w:r>
      <w:r w:rsidRPr="009A30DD">
        <w:t xml:space="preserve"> </w:t>
      </w:r>
      <w:r>
        <w:t>10</w:t>
      </w:r>
      <w:r w:rsidRPr="009A30DD">
        <w:rPr>
          <w:rFonts w:ascii="Cambria Math" w:hAnsi="Cambria Math" w:cs="Cambria Math"/>
        </w:rPr>
        <w:t>․</w:t>
      </w:r>
      <w:r>
        <w:t xml:space="preserve"> 2022</w:t>
      </w:r>
      <w:r w:rsidRPr="009A30DD">
        <w:t>-202</w:t>
      </w:r>
      <w:r>
        <w:t>8</w:t>
      </w:r>
      <w:r w:rsidRPr="0087491E">
        <w:t>թթ</w:t>
      </w:r>
      <w:r w:rsidRPr="009A30DD">
        <w:t xml:space="preserve"> </w:t>
      </w:r>
      <w:r w:rsidRPr="0087491E">
        <w:t>ընթացիկ</w:t>
      </w:r>
      <w:r w:rsidRPr="009A30DD">
        <w:t xml:space="preserve"> </w:t>
      </w:r>
      <w:r w:rsidRPr="0087491E">
        <w:t>և</w:t>
      </w:r>
      <w:r w:rsidRPr="009A30DD">
        <w:t xml:space="preserve"> </w:t>
      </w:r>
      <w:r w:rsidRPr="0087491E">
        <w:t>ոչ</w:t>
      </w:r>
      <w:r w:rsidRPr="009A30DD">
        <w:t xml:space="preserve"> </w:t>
      </w:r>
      <w:r w:rsidRPr="0087491E">
        <w:t>ֆինանսական</w:t>
      </w:r>
      <w:r w:rsidRPr="009A30DD">
        <w:t xml:space="preserve"> </w:t>
      </w:r>
      <w:r w:rsidRPr="0087491E">
        <w:t>ակտիվների</w:t>
      </w:r>
      <w:r w:rsidRPr="009A30DD">
        <w:t xml:space="preserve"> </w:t>
      </w:r>
      <w:r w:rsidRPr="0087491E">
        <w:t>գծով</w:t>
      </w:r>
      <w:r w:rsidRPr="009A30DD">
        <w:t xml:space="preserve"> </w:t>
      </w:r>
      <w:r w:rsidRPr="0087491E">
        <w:t>ծախսերի</w:t>
      </w:r>
      <w:r w:rsidRPr="009A30DD">
        <w:t xml:space="preserve"> </w:t>
      </w:r>
      <w:r w:rsidRPr="0087491E">
        <w:t>փոփոխության</w:t>
      </w:r>
      <w:r w:rsidRPr="009A30DD">
        <w:t xml:space="preserve"> </w:t>
      </w:r>
      <w:r w:rsidRPr="0087491E">
        <w:t>և</w:t>
      </w:r>
      <w:r w:rsidRPr="009A30DD">
        <w:t xml:space="preserve"> </w:t>
      </w:r>
      <w:r w:rsidRPr="0087491E">
        <w:t>հարաբերակցության</w:t>
      </w:r>
      <w:r w:rsidRPr="009A30DD">
        <w:t xml:space="preserve"> </w:t>
      </w:r>
      <w:r w:rsidRPr="0087491E">
        <w:t>միտումները</w:t>
      </w:r>
      <w:r w:rsidRPr="009A30DD">
        <w:t xml:space="preserve">, </w:t>
      </w:r>
      <w:r w:rsidRPr="0087491E">
        <w:t>մլրդ</w:t>
      </w:r>
      <w:r w:rsidRPr="009A30DD">
        <w:t xml:space="preserve"> </w:t>
      </w:r>
      <w:r w:rsidRPr="0087491E">
        <w:t>դրամ</w:t>
      </w:r>
      <w:bookmarkEnd w:id="397"/>
      <w:bookmarkEnd w:id="398"/>
      <w:bookmarkEnd w:id="399"/>
      <w:r w:rsidRPr="009A30DD">
        <w:t xml:space="preserve">   </w:t>
      </w:r>
    </w:p>
    <w:tbl>
      <w:tblPr>
        <w:tblW w:w="4693" w:type="pct"/>
        <w:tblBorders>
          <w:top w:val="single" w:sz="8" w:space="0" w:color="E1E1E3" w:themeColor="accent3" w:themeTint="33"/>
          <w:left w:val="single" w:sz="8" w:space="0" w:color="E1E1E3" w:themeColor="accent3" w:themeTint="33"/>
          <w:bottom w:val="single" w:sz="8" w:space="0" w:color="E1E1E3" w:themeColor="accent3" w:themeTint="33"/>
          <w:right w:val="single" w:sz="8" w:space="0" w:color="E1E1E3" w:themeColor="accent3" w:themeTint="33"/>
          <w:insideH w:val="single" w:sz="8" w:space="0" w:color="E1E1E3" w:themeColor="accent3" w:themeTint="33"/>
          <w:insideV w:val="single" w:sz="8" w:space="0" w:color="E1E1E3" w:themeColor="accent3" w:themeTint="33"/>
        </w:tblBorders>
        <w:tblLook w:val="04A0" w:firstRow="1" w:lastRow="0" w:firstColumn="1" w:lastColumn="0" w:noHBand="0" w:noVBand="1"/>
      </w:tblPr>
      <w:tblGrid>
        <w:gridCol w:w="3292"/>
        <w:gridCol w:w="875"/>
        <w:gridCol w:w="883"/>
        <w:gridCol w:w="899"/>
        <w:gridCol w:w="903"/>
        <w:gridCol w:w="996"/>
        <w:gridCol w:w="903"/>
        <w:gridCol w:w="996"/>
      </w:tblGrid>
      <w:tr w:rsidR="006B15F5" w:rsidRPr="003170C3" w14:paraId="069EE238" w14:textId="77777777" w:rsidTr="00147C8B">
        <w:trPr>
          <w:trHeight w:val="457"/>
        </w:trPr>
        <w:tc>
          <w:tcPr>
            <w:tcW w:w="1689" w:type="pct"/>
            <w:vMerge w:val="restart"/>
            <w:shd w:val="clear" w:color="auto" w:fill="D5DCE4" w:themeFill="text2" w:themeFillTint="33"/>
            <w:vAlign w:val="center"/>
            <w:hideMark/>
          </w:tcPr>
          <w:p w14:paraId="1E69BA9B" w14:textId="77777777" w:rsidR="006B15F5" w:rsidRPr="003170C3" w:rsidRDefault="006B15F5" w:rsidP="00147C8B">
            <w:pPr>
              <w:spacing w:before="0" w:after="0" w:line="240" w:lineRule="auto"/>
              <w:jc w:val="both"/>
              <w:rPr>
                <w:b/>
                <w:sz w:val="18"/>
                <w:szCs w:val="18"/>
                <w:lang w:val="ru-RU"/>
              </w:rPr>
            </w:pPr>
            <w:r w:rsidRPr="003170C3">
              <w:rPr>
                <w:b/>
                <w:sz w:val="18"/>
                <w:szCs w:val="18"/>
              </w:rPr>
              <w:t>Ցուցանիշներ</w:t>
            </w:r>
          </w:p>
        </w:tc>
        <w:tc>
          <w:tcPr>
            <w:tcW w:w="1363" w:type="pct"/>
            <w:gridSpan w:val="3"/>
            <w:shd w:val="clear" w:color="auto" w:fill="D5DCE4" w:themeFill="text2" w:themeFillTint="33"/>
            <w:vAlign w:val="center"/>
            <w:hideMark/>
          </w:tcPr>
          <w:p w14:paraId="59289D3B" w14:textId="77777777" w:rsidR="006B15F5" w:rsidRPr="003170C3" w:rsidRDefault="006B15F5" w:rsidP="00147C8B">
            <w:pPr>
              <w:spacing w:before="0" w:after="0" w:line="240" w:lineRule="auto"/>
              <w:jc w:val="center"/>
              <w:rPr>
                <w:b/>
                <w:sz w:val="18"/>
                <w:szCs w:val="18"/>
              </w:rPr>
            </w:pPr>
            <w:r w:rsidRPr="003170C3">
              <w:rPr>
                <w:b/>
                <w:sz w:val="18"/>
                <w:szCs w:val="18"/>
              </w:rPr>
              <w:t>Փաստ</w:t>
            </w:r>
          </w:p>
        </w:tc>
        <w:tc>
          <w:tcPr>
            <w:tcW w:w="463" w:type="pct"/>
            <w:shd w:val="clear" w:color="auto" w:fill="D5DCE4" w:themeFill="text2" w:themeFillTint="33"/>
            <w:vAlign w:val="center"/>
          </w:tcPr>
          <w:p w14:paraId="0624C0DF" w14:textId="77777777" w:rsidR="006B15F5" w:rsidRPr="003170C3" w:rsidRDefault="006B15F5" w:rsidP="00147C8B">
            <w:pPr>
              <w:spacing w:before="0" w:after="0" w:line="240" w:lineRule="auto"/>
              <w:jc w:val="center"/>
              <w:rPr>
                <w:b/>
                <w:sz w:val="18"/>
                <w:szCs w:val="18"/>
              </w:rPr>
            </w:pPr>
            <w:r w:rsidRPr="003170C3">
              <w:rPr>
                <w:b/>
                <w:sz w:val="18"/>
                <w:szCs w:val="18"/>
              </w:rPr>
              <w:t>Բյուջե</w:t>
            </w:r>
          </w:p>
        </w:tc>
        <w:tc>
          <w:tcPr>
            <w:tcW w:w="1485" w:type="pct"/>
            <w:gridSpan w:val="3"/>
            <w:shd w:val="clear" w:color="auto" w:fill="D5DCE4" w:themeFill="text2" w:themeFillTint="33"/>
            <w:vAlign w:val="center"/>
          </w:tcPr>
          <w:p w14:paraId="4B07D5B8" w14:textId="77777777" w:rsidR="006B15F5" w:rsidRPr="003170C3" w:rsidRDefault="006B15F5" w:rsidP="00147C8B">
            <w:pPr>
              <w:spacing w:before="0" w:after="0" w:line="240" w:lineRule="auto"/>
              <w:jc w:val="center"/>
              <w:rPr>
                <w:b/>
                <w:sz w:val="18"/>
                <w:szCs w:val="18"/>
              </w:rPr>
            </w:pPr>
            <w:r w:rsidRPr="003170C3">
              <w:rPr>
                <w:b/>
                <w:sz w:val="18"/>
                <w:szCs w:val="18"/>
                <w:lang w:val="hy-AM"/>
              </w:rPr>
              <w:t>Ծ</w:t>
            </w:r>
            <w:r w:rsidRPr="003170C3">
              <w:rPr>
                <w:b/>
                <w:sz w:val="18"/>
                <w:szCs w:val="18"/>
              </w:rPr>
              <w:t>րագիր</w:t>
            </w:r>
          </w:p>
        </w:tc>
      </w:tr>
      <w:tr w:rsidR="006B15F5" w:rsidRPr="003170C3" w14:paraId="25CE8564" w14:textId="77777777" w:rsidTr="00147C8B">
        <w:trPr>
          <w:trHeight w:val="360"/>
        </w:trPr>
        <w:tc>
          <w:tcPr>
            <w:tcW w:w="1689" w:type="pct"/>
            <w:vMerge/>
            <w:shd w:val="clear" w:color="auto" w:fill="D5DCE4" w:themeFill="text2" w:themeFillTint="33"/>
            <w:vAlign w:val="center"/>
            <w:hideMark/>
          </w:tcPr>
          <w:p w14:paraId="185920D0" w14:textId="77777777" w:rsidR="006B15F5" w:rsidRPr="003170C3" w:rsidRDefault="006B15F5" w:rsidP="00147C8B">
            <w:pPr>
              <w:spacing w:before="0" w:after="0" w:line="240" w:lineRule="auto"/>
              <w:jc w:val="both"/>
              <w:rPr>
                <w:b/>
                <w:sz w:val="18"/>
                <w:szCs w:val="18"/>
                <w:lang w:val="ru-RU" w:eastAsia="ru-RU"/>
              </w:rPr>
            </w:pPr>
          </w:p>
        </w:tc>
        <w:tc>
          <w:tcPr>
            <w:tcW w:w="449" w:type="pct"/>
            <w:shd w:val="clear" w:color="auto" w:fill="D5DCE4" w:themeFill="text2" w:themeFillTint="33"/>
            <w:vAlign w:val="center"/>
            <w:hideMark/>
          </w:tcPr>
          <w:p w14:paraId="2E4C9452" w14:textId="77777777" w:rsidR="006B15F5" w:rsidRPr="003170C3" w:rsidRDefault="006B15F5" w:rsidP="00147C8B">
            <w:pPr>
              <w:spacing w:before="0" w:after="0" w:line="240" w:lineRule="auto"/>
              <w:jc w:val="center"/>
              <w:rPr>
                <w:b/>
                <w:sz w:val="18"/>
                <w:szCs w:val="18"/>
              </w:rPr>
            </w:pPr>
            <w:r>
              <w:rPr>
                <w:b/>
                <w:sz w:val="18"/>
                <w:szCs w:val="18"/>
              </w:rPr>
              <w:t>2022</w:t>
            </w:r>
          </w:p>
        </w:tc>
        <w:tc>
          <w:tcPr>
            <w:tcW w:w="453" w:type="pct"/>
            <w:shd w:val="clear" w:color="auto" w:fill="D5DCE4" w:themeFill="text2" w:themeFillTint="33"/>
            <w:vAlign w:val="center"/>
            <w:hideMark/>
          </w:tcPr>
          <w:p w14:paraId="4AE2CF93" w14:textId="77777777" w:rsidR="006B15F5" w:rsidRPr="003170C3" w:rsidRDefault="006B15F5" w:rsidP="00147C8B">
            <w:pPr>
              <w:spacing w:before="0" w:after="0" w:line="240" w:lineRule="auto"/>
              <w:jc w:val="center"/>
              <w:rPr>
                <w:b/>
                <w:sz w:val="18"/>
                <w:szCs w:val="18"/>
              </w:rPr>
            </w:pPr>
            <w:r>
              <w:rPr>
                <w:b/>
                <w:sz w:val="18"/>
                <w:szCs w:val="18"/>
              </w:rPr>
              <w:t>2023</w:t>
            </w:r>
          </w:p>
        </w:tc>
        <w:tc>
          <w:tcPr>
            <w:tcW w:w="461" w:type="pct"/>
            <w:shd w:val="clear" w:color="auto" w:fill="D5DCE4" w:themeFill="text2" w:themeFillTint="33"/>
            <w:vAlign w:val="center"/>
            <w:hideMark/>
          </w:tcPr>
          <w:p w14:paraId="7A4226AC" w14:textId="77777777" w:rsidR="006B15F5" w:rsidRPr="003170C3" w:rsidRDefault="006B15F5" w:rsidP="00147C8B">
            <w:pPr>
              <w:spacing w:before="0" w:after="0" w:line="240" w:lineRule="auto"/>
              <w:jc w:val="center"/>
              <w:rPr>
                <w:b/>
                <w:sz w:val="18"/>
                <w:szCs w:val="18"/>
              </w:rPr>
            </w:pPr>
            <w:r>
              <w:rPr>
                <w:b/>
                <w:sz w:val="18"/>
                <w:szCs w:val="18"/>
              </w:rPr>
              <w:t>2024</w:t>
            </w:r>
          </w:p>
        </w:tc>
        <w:tc>
          <w:tcPr>
            <w:tcW w:w="463" w:type="pct"/>
            <w:shd w:val="clear" w:color="auto" w:fill="D5DCE4" w:themeFill="text2" w:themeFillTint="33"/>
            <w:vAlign w:val="center"/>
          </w:tcPr>
          <w:p w14:paraId="56D28061" w14:textId="77777777" w:rsidR="006B15F5" w:rsidRDefault="006B15F5" w:rsidP="00147C8B">
            <w:pPr>
              <w:spacing w:before="0" w:after="0" w:line="240" w:lineRule="auto"/>
              <w:jc w:val="center"/>
              <w:rPr>
                <w:b/>
                <w:sz w:val="18"/>
                <w:szCs w:val="18"/>
              </w:rPr>
            </w:pPr>
            <w:r>
              <w:rPr>
                <w:b/>
                <w:sz w:val="18"/>
                <w:szCs w:val="18"/>
              </w:rPr>
              <w:t>2025</w:t>
            </w:r>
          </w:p>
        </w:tc>
        <w:tc>
          <w:tcPr>
            <w:tcW w:w="511" w:type="pct"/>
            <w:shd w:val="clear" w:color="auto" w:fill="D5DCE4" w:themeFill="text2" w:themeFillTint="33"/>
            <w:vAlign w:val="center"/>
          </w:tcPr>
          <w:p w14:paraId="6493F8A8" w14:textId="77777777" w:rsidR="006B15F5" w:rsidRDefault="006B15F5" w:rsidP="00147C8B">
            <w:pPr>
              <w:spacing w:before="0" w:after="0" w:line="240" w:lineRule="auto"/>
              <w:jc w:val="center"/>
              <w:rPr>
                <w:b/>
                <w:sz w:val="18"/>
                <w:szCs w:val="18"/>
              </w:rPr>
            </w:pPr>
            <w:r>
              <w:rPr>
                <w:b/>
                <w:sz w:val="18"/>
                <w:szCs w:val="18"/>
              </w:rPr>
              <w:t>2026</w:t>
            </w:r>
          </w:p>
        </w:tc>
        <w:tc>
          <w:tcPr>
            <w:tcW w:w="463" w:type="pct"/>
            <w:shd w:val="clear" w:color="auto" w:fill="D5DCE4" w:themeFill="text2" w:themeFillTint="33"/>
            <w:vAlign w:val="center"/>
          </w:tcPr>
          <w:p w14:paraId="1BB722B2" w14:textId="77777777" w:rsidR="006B15F5" w:rsidRPr="003170C3" w:rsidRDefault="006B15F5" w:rsidP="00147C8B">
            <w:pPr>
              <w:spacing w:before="0" w:after="0" w:line="240" w:lineRule="auto"/>
              <w:jc w:val="center"/>
              <w:rPr>
                <w:b/>
                <w:sz w:val="18"/>
                <w:szCs w:val="18"/>
              </w:rPr>
            </w:pPr>
            <w:r>
              <w:rPr>
                <w:b/>
                <w:sz w:val="18"/>
                <w:szCs w:val="18"/>
              </w:rPr>
              <w:t>2027</w:t>
            </w:r>
          </w:p>
        </w:tc>
        <w:tc>
          <w:tcPr>
            <w:tcW w:w="511" w:type="pct"/>
            <w:shd w:val="clear" w:color="auto" w:fill="D5DCE4" w:themeFill="text2" w:themeFillTint="33"/>
            <w:vAlign w:val="center"/>
          </w:tcPr>
          <w:p w14:paraId="5BBABC16" w14:textId="77777777" w:rsidR="006B15F5" w:rsidRPr="003170C3" w:rsidRDefault="006B15F5" w:rsidP="00147C8B">
            <w:pPr>
              <w:spacing w:before="0" w:after="0" w:line="240" w:lineRule="auto"/>
              <w:jc w:val="center"/>
              <w:rPr>
                <w:b/>
                <w:sz w:val="18"/>
                <w:szCs w:val="18"/>
                <w:lang w:val="ru-RU"/>
              </w:rPr>
            </w:pPr>
            <w:r>
              <w:rPr>
                <w:b/>
                <w:sz w:val="18"/>
                <w:szCs w:val="18"/>
              </w:rPr>
              <w:t>2028</w:t>
            </w:r>
          </w:p>
        </w:tc>
      </w:tr>
      <w:tr w:rsidR="006B15F5" w:rsidRPr="007B26C1" w14:paraId="3CA93D62" w14:textId="77777777" w:rsidTr="00147C8B">
        <w:trPr>
          <w:trHeight w:val="360"/>
        </w:trPr>
        <w:tc>
          <w:tcPr>
            <w:tcW w:w="1689" w:type="pct"/>
            <w:shd w:val="clear" w:color="auto" w:fill="auto"/>
            <w:vAlign w:val="center"/>
            <w:hideMark/>
          </w:tcPr>
          <w:p w14:paraId="7EE0084B" w14:textId="77777777" w:rsidR="006B15F5" w:rsidRPr="007B26C1" w:rsidRDefault="006B15F5" w:rsidP="00147C8B">
            <w:pPr>
              <w:spacing w:before="0" w:after="0" w:line="240" w:lineRule="auto"/>
              <w:jc w:val="both"/>
              <w:rPr>
                <w:b/>
                <w:sz w:val="18"/>
                <w:szCs w:val="18"/>
              </w:rPr>
            </w:pPr>
            <w:r w:rsidRPr="007B26C1">
              <w:rPr>
                <w:b/>
                <w:sz w:val="18"/>
                <w:szCs w:val="18"/>
              </w:rPr>
              <w:t>Ընդամենը ծախսեր</w:t>
            </w:r>
          </w:p>
        </w:tc>
        <w:tc>
          <w:tcPr>
            <w:tcW w:w="449" w:type="pct"/>
            <w:shd w:val="clear" w:color="auto" w:fill="auto"/>
            <w:vAlign w:val="center"/>
          </w:tcPr>
          <w:p w14:paraId="73AB2393" w14:textId="77777777" w:rsidR="006B15F5" w:rsidRPr="007B26C1" w:rsidRDefault="006B15F5" w:rsidP="00147C8B">
            <w:pPr>
              <w:spacing w:before="0" w:after="0" w:line="240" w:lineRule="auto"/>
              <w:jc w:val="center"/>
              <w:rPr>
                <w:b/>
                <w:sz w:val="18"/>
                <w:szCs w:val="18"/>
              </w:rPr>
            </w:pPr>
            <w:r>
              <w:rPr>
                <w:rFonts w:ascii="GHEA Grapalat" w:hAnsi="GHEA Grapalat" w:cs="Calibri"/>
                <w:color w:val="404040"/>
                <w:sz w:val="18"/>
                <w:szCs w:val="18"/>
              </w:rPr>
              <w:t>2</w:t>
            </w:r>
            <w:r>
              <w:rPr>
                <w:rFonts w:ascii="GHEA Grapalat" w:hAnsi="GHEA Grapalat" w:cs="Calibri"/>
                <w:color w:val="404040"/>
                <w:sz w:val="18"/>
                <w:szCs w:val="18"/>
                <w:lang w:val="hy-AM"/>
              </w:rPr>
              <w:t>,</w:t>
            </w:r>
            <w:r>
              <w:rPr>
                <w:rFonts w:ascii="GHEA Grapalat" w:hAnsi="GHEA Grapalat" w:cs="Calibri"/>
                <w:color w:val="404040"/>
                <w:sz w:val="18"/>
                <w:szCs w:val="18"/>
              </w:rPr>
              <w:t>242.6</w:t>
            </w:r>
          </w:p>
        </w:tc>
        <w:tc>
          <w:tcPr>
            <w:tcW w:w="453" w:type="pct"/>
            <w:shd w:val="clear" w:color="auto" w:fill="auto"/>
            <w:vAlign w:val="center"/>
          </w:tcPr>
          <w:p w14:paraId="0780A1D6" w14:textId="77777777" w:rsidR="006B15F5" w:rsidRPr="007B26C1" w:rsidRDefault="006B15F5" w:rsidP="00147C8B">
            <w:pPr>
              <w:spacing w:before="0" w:after="0" w:line="240" w:lineRule="auto"/>
              <w:jc w:val="center"/>
              <w:rPr>
                <w:b/>
                <w:sz w:val="18"/>
                <w:szCs w:val="18"/>
              </w:rPr>
            </w:pPr>
            <w:r>
              <w:rPr>
                <w:rFonts w:ascii="GHEA Grapalat" w:hAnsi="GHEA Grapalat" w:cs="Calibri"/>
                <w:color w:val="404040"/>
                <w:sz w:val="18"/>
                <w:szCs w:val="18"/>
              </w:rPr>
              <w:t>2</w:t>
            </w:r>
            <w:r>
              <w:rPr>
                <w:rFonts w:ascii="GHEA Grapalat" w:hAnsi="GHEA Grapalat" w:cs="Calibri"/>
                <w:color w:val="404040"/>
                <w:sz w:val="18"/>
                <w:szCs w:val="18"/>
                <w:lang w:val="hy-AM"/>
              </w:rPr>
              <w:t>,</w:t>
            </w:r>
            <w:r>
              <w:rPr>
                <w:rFonts w:ascii="GHEA Grapalat" w:hAnsi="GHEA Grapalat" w:cs="Calibri"/>
                <w:color w:val="404040"/>
                <w:sz w:val="18"/>
                <w:szCs w:val="18"/>
              </w:rPr>
              <w:t>547.6</w:t>
            </w:r>
          </w:p>
        </w:tc>
        <w:tc>
          <w:tcPr>
            <w:tcW w:w="461" w:type="pct"/>
            <w:shd w:val="clear" w:color="auto" w:fill="auto"/>
            <w:vAlign w:val="center"/>
          </w:tcPr>
          <w:p w14:paraId="6CCD43B7" w14:textId="77777777" w:rsidR="006B15F5" w:rsidRPr="007B26C1" w:rsidRDefault="006B15F5" w:rsidP="00147C8B">
            <w:pPr>
              <w:spacing w:before="0" w:after="0" w:line="240" w:lineRule="auto"/>
              <w:jc w:val="center"/>
              <w:rPr>
                <w:b/>
                <w:sz w:val="18"/>
                <w:szCs w:val="18"/>
              </w:rPr>
            </w:pPr>
            <w:r>
              <w:rPr>
                <w:rFonts w:ascii="GHEA Grapalat" w:hAnsi="GHEA Grapalat" w:cs="Calibri"/>
                <w:color w:val="404040"/>
                <w:sz w:val="18"/>
                <w:szCs w:val="18"/>
              </w:rPr>
              <w:t>2</w:t>
            </w:r>
            <w:r>
              <w:rPr>
                <w:rFonts w:ascii="GHEA Grapalat" w:hAnsi="GHEA Grapalat" w:cs="Calibri"/>
                <w:color w:val="404040"/>
                <w:sz w:val="18"/>
                <w:szCs w:val="18"/>
                <w:lang w:val="hy-AM"/>
              </w:rPr>
              <w:t>,</w:t>
            </w:r>
            <w:r>
              <w:rPr>
                <w:rFonts w:ascii="GHEA Grapalat" w:hAnsi="GHEA Grapalat" w:cs="Calibri"/>
                <w:color w:val="404040"/>
                <w:sz w:val="18"/>
                <w:szCs w:val="18"/>
              </w:rPr>
              <w:t>955.3</w:t>
            </w:r>
          </w:p>
        </w:tc>
        <w:tc>
          <w:tcPr>
            <w:tcW w:w="463" w:type="pct"/>
            <w:vAlign w:val="center"/>
          </w:tcPr>
          <w:p w14:paraId="19ABAD6F" w14:textId="77777777" w:rsidR="006B15F5" w:rsidRDefault="006B15F5" w:rsidP="00147C8B">
            <w:pPr>
              <w:spacing w:before="0" w:after="0" w:line="240" w:lineRule="auto"/>
              <w:jc w:val="center"/>
              <w:rPr>
                <w:rFonts w:ascii="GHEA Grapalat" w:hAnsi="GHEA Grapalat" w:cs="Calibri"/>
                <w:color w:val="404040"/>
                <w:sz w:val="18"/>
                <w:szCs w:val="18"/>
              </w:rPr>
            </w:pPr>
            <w:r>
              <w:rPr>
                <w:rFonts w:ascii="GHEA Grapalat" w:hAnsi="GHEA Grapalat" w:cs="Calibri"/>
                <w:color w:val="404040"/>
                <w:sz w:val="18"/>
                <w:szCs w:val="18"/>
              </w:rPr>
              <w:t>3</w:t>
            </w:r>
            <w:r>
              <w:rPr>
                <w:rFonts w:ascii="GHEA Grapalat" w:hAnsi="GHEA Grapalat" w:cs="Calibri"/>
                <w:color w:val="404040"/>
                <w:sz w:val="18"/>
                <w:szCs w:val="18"/>
                <w:lang w:val="hy-AM"/>
              </w:rPr>
              <w:t>,</w:t>
            </w:r>
            <w:r>
              <w:rPr>
                <w:rFonts w:ascii="GHEA Grapalat" w:hAnsi="GHEA Grapalat" w:cs="Calibri"/>
                <w:color w:val="404040"/>
                <w:sz w:val="18"/>
                <w:szCs w:val="18"/>
              </w:rPr>
              <w:t>441.6</w:t>
            </w:r>
          </w:p>
        </w:tc>
        <w:tc>
          <w:tcPr>
            <w:tcW w:w="511" w:type="pct"/>
            <w:vAlign w:val="center"/>
          </w:tcPr>
          <w:p w14:paraId="6A2928CE" w14:textId="77777777" w:rsidR="006B15F5" w:rsidRPr="003A51E1" w:rsidRDefault="006B15F5" w:rsidP="00147C8B">
            <w:pPr>
              <w:spacing w:before="0" w:after="0" w:line="240" w:lineRule="auto"/>
              <w:jc w:val="center"/>
              <w:rPr>
                <w:rFonts w:ascii="GHEA Grapalat" w:hAnsi="GHEA Grapalat" w:cs="Calibri"/>
                <w:color w:val="404040"/>
                <w:sz w:val="18"/>
                <w:szCs w:val="18"/>
                <w:lang w:val="hy-AM"/>
              </w:rPr>
            </w:pPr>
            <w:r>
              <w:rPr>
                <w:rFonts w:ascii="GHEA Grapalat" w:hAnsi="GHEA Grapalat" w:cs="Calibri"/>
                <w:color w:val="404040"/>
                <w:sz w:val="18"/>
                <w:szCs w:val="18"/>
                <w:lang w:val="hy-AM"/>
              </w:rPr>
              <w:t>3,627.6</w:t>
            </w:r>
          </w:p>
        </w:tc>
        <w:tc>
          <w:tcPr>
            <w:tcW w:w="463" w:type="pct"/>
            <w:vAlign w:val="center"/>
          </w:tcPr>
          <w:p w14:paraId="480F4A7E" w14:textId="77777777" w:rsidR="006B15F5" w:rsidRPr="003A51E1" w:rsidRDefault="006B15F5" w:rsidP="00147C8B">
            <w:pPr>
              <w:spacing w:before="0" w:after="0" w:line="240" w:lineRule="auto"/>
              <w:jc w:val="center"/>
              <w:rPr>
                <w:b/>
                <w:sz w:val="18"/>
                <w:szCs w:val="18"/>
                <w:lang w:val="hy-AM"/>
              </w:rPr>
            </w:pPr>
            <w:r>
              <w:rPr>
                <w:rFonts w:ascii="GHEA Grapalat" w:hAnsi="GHEA Grapalat" w:cs="Calibri"/>
                <w:color w:val="404040"/>
                <w:sz w:val="18"/>
                <w:szCs w:val="18"/>
              </w:rPr>
              <w:t>3,801.</w:t>
            </w:r>
            <w:r>
              <w:rPr>
                <w:rFonts w:ascii="GHEA Grapalat" w:hAnsi="GHEA Grapalat" w:cs="Calibri"/>
                <w:color w:val="404040"/>
                <w:sz w:val="18"/>
                <w:szCs w:val="18"/>
                <w:lang w:val="hy-AM"/>
              </w:rPr>
              <w:t>0</w:t>
            </w:r>
          </w:p>
        </w:tc>
        <w:tc>
          <w:tcPr>
            <w:tcW w:w="511" w:type="pct"/>
            <w:vAlign w:val="center"/>
          </w:tcPr>
          <w:p w14:paraId="0DA98D95" w14:textId="77777777" w:rsidR="006B15F5" w:rsidRPr="003A51E1" w:rsidRDefault="006B15F5" w:rsidP="00147C8B">
            <w:pPr>
              <w:spacing w:before="0" w:after="0" w:line="240" w:lineRule="auto"/>
              <w:jc w:val="center"/>
              <w:rPr>
                <w:b/>
                <w:sz w:val="18"/>
                <w:szCs w:val="18"/>
                <w:lang w:val="hy-AM"/>
              </w:rPr>
            </w:pPr>
            <w:r>
              <w:rPr>
                <w:rFonts w:ascii="GHEA Grapalat" w:hAnsi="GHEA Grapalat" w:cs="Calibri"/>
                <w:color w:val="404040"/>
                <w:sz w:val="18"/>
                <w:szCs w:val="18"/>
              </w:rPr>
              <w:t>4,030.</w:t>
            </w:r>
            <w:r>
              <w:rPr>
                <w:rFonts w:ascii="GHEA Grapalat" w:hAnsi="GHEA Grapalat" w:cs="Calibri"/>
                <w:color w:val="404040"/>
                <w:sz w:val="18"/>
                <w:szCs w:val="18"/>
                <w:lang w:val="hy-AM"/>
              </w:rPr>
              <w:t>6</w:t>
            </w:r>
          </w:p>
        </w:tc>
      </w:tr>
      <w:tr w:rsidR="006B15F5" w:rsidRPr="003170C3" w14:paraId="5FA963B2" w14:textId="77777777" w:rsidTr="00147C8B">
        <w:trPr>
          <w:trHeight w:val="360"/>
        </w:trPr>
        <w:tc>
          <w:tcPr>
            <w:tcW w:w="1689" w:type="pct"/>
            <w:shd w:val="clear" w:color="auto" w:fill="auto"/>
            <w:vAlign w:val="center"/>
            <w:hideMark/>
          </w:tcPr>
          <w:p w14:paraId="43A4B18B" w14:textId="77777777" w:rsidR="006B15F5" w:rsidRPr="003170C3" w:rsidRDefault="006B15F5" w:rsidP="00147C8B">
            <w:pPr>
              <w:spacing w:before="0" w:after="0" w:line="240" w:lineRule="auto"/>
              <w:jc w:val="both"/>
              <w:rPr>
                <w:sz w:val="18"/>
                <w:szCs w:val="18"/>
              </w:rPr>
            </w:pPr>
            <w:r w:rsidRPr="003170C3">
              <w:rPr>
                <w:sz w:val="18"/>
                <w:szCs w:val="18"/>
              </w:rPr>
              <w:t>Ընթացիկ ծախսեր</w:t>
            </w:r>
          </w:p>
        </w:tc>
        <w:tc>
          <w:tcPr>
            <w:tcW w:w="449" w:type="pct"/>
            <w:shd w:val="clear" w:color="auto" w:fill="auto"/>
            <w:vAlign w:val="center"/>
          </w:tcPr>
          <w:p w14:paraId="203BEC47" w14:textId="77777777" w:rsidR="006B15F5" w:rsidRPr="003170C3" w:rsidRDefault="006B15F5" w:rsidP="00147C8B">
            <w:pPr>
              <w:spacing w:before="0" w:after="0" w:line="240" w:lineRule="auto"/>
              <w:jc w:val="center"/>
              <w:rPr>
                <w:sz w:val="18"/>
                <w:szCs w:val="18"/>
              </w:rPr>
            </w:pPr>
            <w:r>
              <w:rPr>
                <w:rFonts w:ascii="GHEA Grapalat" w:hAnsi="GHEA Grapalat" w:cs="Calibri"/>
                <w:color w:val="404040"/>
                <w:sz w:val="18"/>
                <w:szCs w:val="18"/>
              </w:rPr>
              <w:t>1</w:t>
            </w:r>
            <w:r>
              <w:rPr>
                <w:rFonts w:ascii="GHEA Grapalat" w:hAnsi="GHEA Grapalat" w:cs="Calibri"/>
                <w:color w:val="404040"/>
                <w:sz w:val="18"/>
                <w:szCs w:val="18"/>
                <w:lang w:val="hy-AM"/>
              </w:rPr>
              <w:t>,</w:t>
            </w:r>
            <w:r>
              <w:rPr>
                <w:rFonts w:ascii="GHEA Grapalat" w:hAnsi="GHEA Grapalat" w:cs="Calibri"/>
                <w:color w:val="404040"/>
                <w:sz w:val="18"/>
                <w:szCs w:val="18"/>
              </w:rPr>
              <w:t>862.2</w:t>
            </w:r>
          </w:p>
        </w:tc>
        <w:tc>
          <w:tcPr>
            <w:tcW w:w="453" w:type="pct"/>
            <w:shd w:val="clear" w:color="auto" w:fill="auto"/>
            <w:vAlign w:val="center"/>
          </w:tcPr>
          <w:p w14:paraId="35E41DE9" w14:textId="77777777" w:rsidR="006B15F5" w:rsidRPr="003170C3" w:rsidRDefault="006B15F5" w:rsidP="00147C8B">
            <w:pPr>
              <w:spacing w:before="0" w:after="0" w:line="240" w:lineRule="auto"/>
              <w:jc w:val="center"/>
              <w:rPr>
                <w:sz w:val="18"/>
                <w:szCs w:val="18"/>
              </w:rPr>
            </w:pPr>
            <w:r>
              <w:rPr>
                <w:rFonts w:ascii="GHEA Grapalat" w:hAnsi="GHEA Grapalat" w:cs="Calibri"/>
                <w:color w:val="404040"/>
                <w:sz w:val="18"/>
                <w:szCs w:val="18"/>
              </w:rPr>
              <w:t>2</w:t>
            </w:r>
            <w:r>
              <w:rPr>
                <w:rFonts w:ascii="GHEA Grapalat" w:hAnsi="GHEA Grapalat" w:cs="Calibri"/>
                <w:color w:val="404040"/>
                <w:sz w:val="18"/>
                <w:szCs w:val="18"/>
                <w:lang w:val="hy-AM"/>
              </w:rPr>
              <w:t>,</w:t>
            </w:r>
            <w:r>
              <w:rPr>
                <w:rFonts w:ascii="GHEA Grapalat" w:hAnsi="GHEA Grapalat" w:cs="Calibri"/>
                <w:color w:val="404040"/>
                <w:sz w:val="18"/>
                <w:szCs w:val="18"/>
              </w:rPr>
              <w:t>075.1</w:t>
            </w:r>
          </w:p>
        </w:tc>
        <w:tc>
          <w:tcPr>
            <w:tcW w:w="461" w:type="pct"/>
            <w:shd w:val="clear" w:color="auto" w:fill="auto"/>
            <w:vAlign w:val="center"/>
          </w:tcPr>
          <w:p w14:paraId="0B5C3D61" w14:textId="77777777" w:rsidR="006B15F5" w:rsidRPr="003170C3" w:rsidRDefault="006B15F5" w:rsidP="00147C8B">
            <w:pPr>
              <w:spacing w:before="0" w:after="0" w:line="240" w:lineRule="auto"/>
              <w:jc w:val="center"/>
              <w:rPr>
                <w:sz w:val="18"/>
                <w:szCs w:val="18"/>
              </w:rPr>
            </w:pPr>
            <w:r>
              <w:rPr>
                <w:rFonts w:ascii="GHEA Grapalat" w:hAnsi="GHEA Grapalat" w:cs="Calibri"/>
                <w:color w:val="404040"/>
                <w:sz w:val="18"/>
                <w:szCs w:val="18"/>
              </w:rPr>
              <w:t>2</w:t>
            </w:r>
            <w:r>
              <w:rPr>
                <w:rFonts w:ascii="GHEA Grapalat" w:hAnsi="GHEA Grapalat" w:cs="Calibri"/>
                <w:color w:val="404040"/>
                <w:sz w:val="18"/>
                <w:szCs w:val="18"/>
                <w:lang w:val="hy-AM"/>
              </w:rPr>
              <w:t>,</w:t>
            </w:r>
            <w:r>
              <w:rPr>
                <w:rFonts w:ascii="GHEA Grapalat" w:hAnsi="GHEA Grapalat" w:cs="Calibri"/>
                <w:color w:val="404040"/>
                <w:sz w:val="18"/>
                <w:szCs w:val="18"/>
              </w:rPr>
              <w:t>413.6</w:t>
            </w:r>
          </w:p>
        </w:tc>
        <w:tc>
          <w:tcPr>
            <w:tcW w:w="463" w:type="pct"/>
            <w:vAlign w:val="center"/>
          </w:tcPr>
          <w:p w14:paraId="6CAB5B85" w14:textId="77777777" w:rsidR="006B15F5" w:rsidRDefault="006B15F5" w:rsidP="00147C8B">
            <w:pPr>
              <w:spacing w:before="0" w:after="0" w:line="240" w:lineRule="auto"/>
              <w:jc w:val="center"/>
              <w:rPr>
                <w:rFonts w:ascii="GHEA Grapalat" w:hAnsi="GHEA Grapalat" w:cs="Calibri"/>
                <w:color w:val="404040"/>
                <w:sz w:val="18"/>
                <w:szCs w:val="18"/>
              </w:rPr>
            </w:pPr>
            <w:r>
              <w:rPr>
                <w:rFonts w:ascii="GHEA Grapalat" w:hAnsi="GHEA Grapalat" w:cs="Calibri"/>
                <w:color w:val="404040"/>
                <w:sz w:val="18"/>
                <w:szCs w:val="18"/>
              </w:rPr>
              <w:t>2</w:t>
            </w:r>
            <w:r>
              <w:rPr>
                <w:rFonts w:ascii="GHEA Grapalat" w:hAnsi="GHEA Grapalat" w:cs="Calibri"/>
                <w:color w:val="404040"/>
                <w:sz w:val="18"/>
                <w:szCs w:val="18"/>
                <w:lang w:val="hy-AM"/>
              </w:rPr>
              <w:t>,</w:t>
            </w:r>
            <w:r>
              <w:rPr>
                <w:rFonts w:ascii="GHEA Grapalat" w:hAnsi="GHEA Grapalat" w:cs="Calibri"/>
                <w:color w:val="404040"/>
                <w:sz w:val="18"/>
                <w:szCs w:val="18"/>
              </w:rPr>
              <w:t>706.8</w:t>
            </w:r>
          </w:p>
        </w:tc>
        <w:tc>
          <w:tcPr>
            <w:tcW w:w="511" w:type="pct"/>
            <w:vAlign w:val="center"/>
          </w:tcPr>
          <w:p w14:paraId="04E300BF" w14:textId="77777777" w:rsidR="006B15F5" w:rsidRDefault="006B15F5" w:rsidP="00147C8B">
            <w:pPr>
              <w:spacing w:before="0" w:after="0" w:line="240" w:lineRule="auto"/>
              <w:jc w:val="center"/>
              <w:rPr>
                <w:rFonts w:ascii="GHEA Grapalat" w:hAnsi="GHEA Grapalat" w:cs="Calibri"/>
                <w:color w:val="404040"/>
                <w:sz w:val="18"/>
                <w:szCs w:val="18"/>
              </w:rPr>
            </w:pPr>
            <w:r>
              <w:rPr>
                <w:rFonts w:ascii="GHEA Grapalat" w:hAnsi="GHEA Grapalat" w:cs="Calibri"/>
                <w:color w:val="404040"/>
                <w:sz w:val="18"/>
                <w:szCs w:val="18"/>
              </w:rPr>
              <w:t>2</w:t>
            </w:r>
            <w:r>
              <w:rPr>
                <w:rFonts w:ascii="GHEA Grapalat" w:hAnsi="GHEA Grapalat" w:cs="Calibri"/>
                <w:color w:val="404040"/>
                <w:sz w:val="18"/>
                <w:szCs w:val="18"/>
                <w:lang w:val="hy-AM"/>
              </w:rPr>
              <w:t>,</w:t>
            </w:r>
            <w:r>
              <w:rPr>
                <w:rFonts w:ascii="GHEA Grapalat" w:hAnsi="GHEA Grapalat" w:cs="Calibri"/>
                <w:color w:val="404040"/>
                <w:sz w:val="18"/>
                <w:szCs w:val="18"/>
              </w:rPr>
              <w:t>92</w:t>
            </w:r>
            <w:r>
              <w:rPr>
                <w:rFonts w:ascii="GHEA Grapalat" w:hAnsi="GHEA Grapalat" w:cs="Calibri"/>
                <w:color w:val="404040"/>
                <w:sz w:val="18"/>
                <w:szCs w:val="18"/>
                <w:lang w:val="hy-AM"/>
              </w:rPr>
              <w:t>3</w:t>
            </w:r>
            <w:r>
              <w:rPr>
                <w:rFonts w:ascii="GHEA Grapalat" w:hAnsi="GHEA Grapalat" w:cs="Calibri"/>
                <w:color w:val="404040"/>
                <w:sz w:val="18"/>
                <w:szCs w:val="18"/>
              </w:rPr>
              <w:t>.5</w:t>
            </w:r>
          </w:p>
        </w:tc>
        <w:tc>
          <w:tcPr>
            <w:tcW w:w="463" w:type="pct"/>
            <w:vAlign w:val="center"/>
          </w:tcPr>
          <w:p w14:paraId="13A04395" w14:textId="77777777" w:rsidR="006B15F5" w:rsidRPr="003A51E1" w:rsidRDefault="006B15F5" w:rsidP="00147C8B">
            <w:pPr>
              <w:spacing w:before="0" w:after="0" w:line="240" w:lineRule="auto"/>
              <w:jc w:val="center"/>
              <w:rPr>
                <w:sz w:val="18"/>
                <w:szCs w:val="18"/>
                <w:lang w:val="hy-AM"/>
              </w:rPr>
            </w:pPr>
            <w:r>
              <w:rPr>
                <w:rFonts w:ascii="GHEA Grapalat" w:hAnsi="GHEA Grapalat" w:cs="Calibri"/>
                <w:color w:val="404040"/>
                <w:sz w:val="18"/>
                <w:szCs w:val="18"/>
              </w:rPr>
              <w:t>3,081.</w:t>
            </w:r>
            <w:r>
              <w:rPr>
                <w:rFonts w:ascii="GHEA Grapalat" w:hAnsi="GHEA Grapalat" w:cs="Calibri"/>
                <w:color w:val="404040"/>
                <w:sz w:val="18"/>
                <w:szCs w:val="18"/>
                <w:lang w:val="hy-AM"/>
              </w:rPr>
              <w:t>9</w:t>
            </w:r>
          </w:p>
        </w:tc>
        <w:tc>
          <w:tcPr>
            <w:tcW w:w="511" w:type="pct"/>
            <w:vAlign w:val="center"/>
          </w:tcPr>
          <w:p w14:paraId="064D5458" w14:textId="77777777" w:rsidR="006B15F5" w:rsidRPr="003A51E1" w:rsidRDefault="006B15F5" w:rsidP="00147C8B">
            <w:pPr>
              <w:spacing w:before="0" w:after="0" w:line="240" w:lineRule="auto"/>
              <w:jc w:val="center"/>
              <w:rPr>
                <w:sz w:val="18"/>
                <w:szCs w:val="18"/>
                <w:lang w:val="hy-AM"/>
              </w:rPr>
            </w:pPr>
            <w:r>
              <w:rPr>
                <w:rFonts w:ascii="GHEA Grapalat" w:hAnsi="GHEA Grapalat" w:cs="Calibri"/>
                <w:color w:val="404040"/>
                <w:sz w:val="18"/>
                <w:szCs w:val="18"/>
              </w:rPr>
              <w:t>3,22</w:t>
            </w:r>
            <w:r>
              <w:rPr>
                <w:rFonts w:ascii="GHEA Grapalat" w:hAnsi="GHEA Grapalat" w:cs="Calibri"/>
                <w:color w:val="404040"/>
                <w:sz w:val="18"/>
                <w:szCs w:val="18"/>
                <w:lang w:val="hy-AM"/>
              </w:rPr>
              <w:t>7</w:t>
            </w:r>
            <w:r>
              <w:rPr>
                <w:rFonts w:ascii="GHEA Grapalat" w:hAnsi="GHEA Grapalat" w:cs="Calibri"/>
                <w:color w:val="404040"/>
                <w:sz w:val="18"/>
                <w:szCs w:val="18"/>
              </w:rPr>
              <w:t>.</w:t>
            </w:r>
            <w:r>
              <w:rPr>
                <w:rFonts w:ascii="GHEA Grapalat" w:hAnsi="GHEA Grapalat" w:cs="Calibri"/>
                <w:color w:val="404040"/>
                <w:sz w:val="18"/>
                <w:szCs w:val="18"/>
                <w:lang w:val="hy-AM"/>
              </w:rPr>
              <w:t>6</w:t>
            </w:r>
          </w:p>
        </w:tc>
      </w:tr>
      <w:tr w:rsidR="006B15F5" w:rsidRPr="007B26C1" w14:paraId="1CB22F80" w14:textId="77777777" w:rsidTr="00147C8B">
        <w:trPr>
          <w:trHeight w:val="360"/>
        </w:trPr>
        <w:tc>
          <w:tcPr>
            <w:tcW w:w="1689" w:type="pct"/>
            <w:shd w:val="clear" w:color="auto" w:fill="auto"/>
            <w:vAlign w:val="center"/>
            <w:hideMark/>
          </w:tcPr>
          <w:p w14:paraId="0062988E" w14:textId="77777777" w:rsidR="006B15F5" w:rsidRPr="007B26C1" w:rsidRDefault="006B15F5" w:rsidP="00147C8B">
            <w:pPr>
              <w:spacing w:before="0" w:after="0" w:line="240" w:lineRule="auto"/>
              <w:jc w:val="both"/>
              <w:rPr>
                <w:color w:val="AEAAAA" w:themeColor="background2" w:themeShade="BF"/>
                <w:sz w:val="18"/>
                <w:szCs w:val="18"/>
              </w:rPr>
            </w:pPr>
            <w:r w:rsidRPr="007B26C1">
              <w:rPr>
                <w:color w:val="AEAAAA" w:themeColor="background2" w:themeShade="BF"/>
                <w:sz w:val="18"/>
                <w:szCs w:val="18"/>
              </w:rPr>
              <w:t>ՀՆԱ-ի նկատմամբ (%)</w:t>
            </w:r>
          </w:p>
        </w:tc>
        <w:tc>
          <w:tcPr>
            <w:tcW w:w="449" w:type="pct"/>
            <w:shd w:val="clear" w:color="auto" w:fill="auto"/>
            <w:vAlign w:val="center"/>
          </w:tcPr>
          <w:p w14:paraId="618340D9" w14:textId="77777777" w:rsidR="006B15F5" w:rsidRPr="007B26C1" w:rsidRDefault="006B15F5" w:rsidP="00147C8B">
            <w:pPr>
              <w:spacing w:before="0" w:after="0" w:line="240" w:lineRule="auto"/>
              <w:jc w:val="center"/>
              <w:rPr>
                <w:color w:val="AEAAAA" w:themeColor="background2" w:themeShade="BF"/>
                <w:sz w:val="18"/>
                <w:szCs w:val="18"/>
              </w:rPr>
            </w:pPr>
            <w:r>
              <w:rPr>
                <w:rFonts w:ascii="GHEA Grapalat" w:hAnsi="GHEA Grapalat" w:cs="Calibri"/>
                <w:color w:val="A6A6A6"/>
                <w:sz w:val="18"/>
                <w:szCs w:val="18"/>
              </w:rPr>
              <w:t>21.9%</w:t>
            </w:r>
          </w:p>
        </w:tc>
        <w:tc>
          <w:tcPr>
            <w:tcW w:w="453" w:type="pct"/>
            <w:shd w:val="clear" w:color="auto" w:fill="auto"/>
            <w:vAlign w:val="center"/>
          </w:tcPr>
          <w:p w14:paraId="035BA6B2" w14:textId="77777777" w:rsidR="006B15F5" w:rsidRPr="007B26C1" w:rsidRDefault="006B15F5" w:rsidP="00147C8B">
            <w:pPr>
              <w:spacing w:before="0" w:after="0" w:line="240" w:lineRule="auto"/>
              <w:jc w:val="center"/>
              <w:rPr>
                <w:color w:val="AEAAAA" w:themeColor="background2" w:themeShade="BF"/>
                <w:sz w:val="18"/>
                <w:szCs w:val="18"/>
              </w:rPr>
            </w:pPr>
            <w:r>
              <w:rPr>
                <w:rFonts w:ascii="GHEA Grapalat" w:hAnsi="GHEA Grapalat" w:cs="Calibri"/>
                <w:color w:val="A6A6A6"/>
                <w:sz w:val="18"/>
                <w:szCs w:val="18"/>
              </w:rPr>
              <w:t>21.9%</w:t>
            </w:r>
          </w:p>
        </w:tc>
        <w:tc>
          <w:tcPr>
            <w:tcW w:w="461" w:type="pct"/>
            <w:shd w:val="clear" w:color="auto" w:fill="auto"/>
            <w:vAlign w:val="center"/>
          </w:tcPr>
          <w:p w14:paraId="6E169EB4" w14:textId="77777777" w:rsidR="006B15F5" w:rsidRPr="007B26C1" w:rsidRDefault="006B15F5" w:rsidP="00147C8B">
            <w:pPr>
              <w:spacing w:before="0" w:after="0" w:line="240" w:lineRule="auto"/>
              <w:jc w:val="center"/>
              <w:rPr>
                <w:color w:val="AEAAAA" w:themeColor="background2" w:themeShade="BF"/>
                <w:sz w:val="18"/>
                <w:szCs w:val="18"/>
              </w:rPr>
            </w:pPr>
            <w:r>
              <w:rPr>
                <w:rFonts w:ascii="GHEA Grapalat" w:hAnsi="GHEA Grapalat" w:cs="Calibri"/>
                <w:color w:val="A6A6A6"/>
                <w:sz w:val="18"/>
                <w:szCs w:val="18"/>
              </w:rPr>
              <w:t>23.7%</w:t>
            </w:r>
          </w:p>
        </w:tc>
        <w:tc>
          <w:tcPr>
            <w:tcW w:w="463" w:type="pct"/>
            <w:vAlign w:val="center"/>
          </w:tcPr>
          <w:p w14:paraId="74D34763" w14:textId="77777777" w:rsidR="006B15F5" w:rsidRDefault="006B15F5" w:rsidP="00147C8B">
            <w:pPr>
              <w:spacing w:before="0" w:after="0" w:line="240" w:lineRule="auto"/>
              <w:jc w:val="center"/>
              <w:rPr>
                <w:rFonts w:ascii="GHEA Grapalat" w:hAnsi="GHEA Grapalat" w:cs="Calibri"/>
                <w:color w:val="A6A6A6"/>
                <w:sz w:val="18"/>
                <w:szCs w:val="18"/>
              </w:rPr>
            </w:pPr>
            <w:r>
              <w:rPr>
                <w:rFonts w:ascii="GHEA Grapalat" w:hAnsi="GHEA Grapalat" w:cs="Calibri"/>
                <w:color w:val="A6A6A6"/>
                <w:sz w:val="18"/>
                <w:szCs w:val="18"/>
              </w:rPr>
              <w:t>24.9%</w:t>
            </w:r>
          </w:p>
        </w:tc>
        <w:tc>
          <w:tcPr>
            <w:tcW w:w="511" w:type="pct"/>
            <w:vAlign w:val="center"/>
          </w:tcPr>
          <w:p w14:paraId="6866A5A9" w14:textId="77777777" w:rsidR="006B15F5" w:rsidRDefault="006B15F5" w:rsidP="00147C8B">
            <w:pPr>
              <w:spacing w:before="0" w:after="0" w:line="240" w:lineRule="auto"/>
              <w:jc w:val="center"/>
              <w:rPr>
                <w:rFonts w:ascii="GHEA Grapalat" w:hAnsi="GHEA Grapalat" w:cs="Calibri"/>
                <w:color w:val="A6A6A6"/>
                <w:sz w:val="18"/>
                <w:szCs w:val="18"/>
              </w:rPr>
            </w:pPr>
            <w:r>
              <w:rPr>
                <w:rFonts w:ascii="GHEA Grapalat" w:hAnsi="GHEA Grapalat" w:cs="Calibri"/>
                <w:color w:val="A6A6A6"/>
                <w:sz w:val="18"/>
                <w:szCs w:val="18"/>
              </w:rPr>
              <w:t>24.5%</w:t>
            </w:r>
          </w:p>
        </w:tc>
        <w:tc>
          <w:tcPr>
            <w:tcW w:w="463" w:type="pct"/>
            <w:vAlign w:val="center"/>
          </w:tcPr>
          <w:p w14:paraId="44EE389C" w14:textId="77777777" w:rsidR="006B15F5" w:rsidRPr="007B26C1" w:rsidRDefault="006B15F5" w:rsidP="00147C8B">
            <w:pPr>
              <w:spacing w:before="0" w:after="0" w:line="240" w:lineRule="auto"/>
              <w:jc w:val="center"/>
              <w:rPr>
                <w:color w:val="AEAAAA" w:themeColor="background2" w:themeShade="BF"/>
                <w:sz w:val="18"/>
                <w:szCs w:val="18"/>
              </w:rPr>
            </w:pPr>
            <w:r>
              <w:rPr>
                <w:rFonts w:ascii="GHEA Grapalat" w:hAnsi="GHEA Grapalat" w:cs="Calibri"/>
                <w:color w:val="A6A6A6"/>
                <w:sz w:val="18"/>
                <w:szCs w:val="18"/>
              </w:rPr>
              <w:t>23.8%</w:t>
            </w:r>
          </w:p>
        </w:tc>
        <w:tc>
          <w:tcPr>
            <w:tcW w:w="511" w:type="pct"/>
            <w:vAlign w:val="center"/>
          </w:tcPr>
          <w:p w14:paraId="01FE87F3" w14:textId="77777777" w:rsidR="006B15F5" w:rsidRPr="007B26C1" w:rsidRDefault="006B15F5" w:rsidP="00147C8B">
            <w:pPr>
              <w:spacing w:before="0" w:after="0" w:line="240" w:lineRule="auto"/>
              <w:jc w:val="center"/>
              <w:rPr>
                <w:color w:val="AEAAAA" w:themeColor="background2" w:themeShade="BF"/>
                <w:sz w:val="18"/>
                <w:szCs w:val="18"/>
              </w:rPr>
            </w:pPr>
            <w:r>
              <w:rPr>
                <w:rFonts w:ascii="GHEA Grapalat" w:hAnsi="GHEA Grapalat" w:cs="Calibri"/>
                <w:color w:val="A6A6A6"/>
                <w:sz w:val="18"/>
                <w:szCs w:val="18"/>
              </w:rPr>
              <w:t>23.0%</w:t>
            </w:r>
          </w:p>
        </w:tc>
      </w:tr>
      <w:tr w:rsidR="006B15F5" w:rsidRPr="003170C3" w14:paraId="58987546" w14:textId="77777777" w:rsidTr="00147C8B">
        <w:trPr>
          <w:trHeight w:val="360"/>
        </w:trPr>
        <w:tc>
          <w:tcPr>
            <w:tcW w:w="1689" w:type="pct"/>
            <w:shd w:val="clear" w:color="auto" w:fill="auto"/>
            <w:vAlign w:val="center"/>
            <w:hideMark/>
          </w:tcPr>
          <w:p w14:paraId="7AD4FA25" w14:textId="77777777" w:rsidR="006B15F5" w:rsidRPr="003170C3" w:rsidRDefault="006B15F5" w:rsidP="00147C8B">
            <w:pPr>
              <w:spacing w:before="0" w:after="0" w:line="240" w:lineRule="auto"/>
              <w:jc w:val="both"/>
              <w:rPr>
                <w:sz w:val="18"/>
                <w:szCs w:val="18"/>
              </w:rPr>
            </w:pPr>
            <w:r w:rsidRPr="003170C3">
              <w:rPr>
                <w:sz w:val="18"/>
                <w:szCs w:val="18"/>
              </w:rPr>
              <w:t>Ոչ ֆինանսական ակտիվների գծով  ծախսեր</w:t>
            </w:r>
            <w:r w:rsidRPr="007B26C1">
              <w:rPr>
                <w:sz w:val="18"/>
                <w:szCs w:val="18"/>
                <w:vertAlign w:val="superscript"/>
              </w:rPr>
              <w:footnoteReference w:id="21"/>
            </w:r>
          </w:p>
        </w:tc>
        <w:tc>
          <w:tcPr>
            <w:tcW w:w="449" w:type="pct"/>
            <w:shd w:val="clear" w:color="auto" w:fill="auto"/>
            <w:vAlign w:val="center"/>
          </w:tcPr>
          <w:p w14:paraId="578D5A92" w14:textId="77777777" w:rsidR="006B15F5" w:rsidRPr="003170C3" w:rsidRDefault="006B15F5" w:rsidP="00147C8B">
            <w:pPr>
              <w:spacing w:before="0" w:after="0" w:line="240" w:lineRule="auto"/>
              <w:jc w:val="center"/>
              <w:rPr>
                <w:sz w:val="18"/>
                <w:szCs w:val="18"/>
              </w:rPr>
            </w:pPr>
            <w:r>
              <w:rPr>
                <w:rFonts w:ascii="GHEA Grapalat" w:hAnsi="GHEA Grapalat" w:cs="Calibri"/>
                <w:color w:val="404040"/>
                <w:sz w:val="18"/>
                <w:szCs w:val="18"/>
              </w:rPr>
              <w:t>380.4</w:t>
            </w:r>
          </w:p>
        </w:tc>
        <w:tc>
          <w:tcPr>
            <w:tcW w:w="453" w:type="pct"/>
            <w:shd w:val="clear" w:color="auto" w:fill="auto"/>
            <w:vAlign w:val="center"/>
          </w:tcPr>
          <w:p w14:paraId="64D87A10" w14:textId="77777777" w:rsidR="006B15F5" w:rsidRPr="003170C3" w:rsidRDefault="006B15F5" w:rsidP="00147C8B">
            <w:pPr>
              <w:spacing w:before="0" w:after="0" w:line="240" w:lineRule="auto"/>
              <w:jc w:val="center"/>
              <w:rPr>
                <w:sz w:val="18"/>
                <w:szCs w:val="18"/>
              </w:rPr>
            </w:pPr>
            <w:r>
              <w:rPr>
                <w:rFonts w:ascii="GHEA Grapalat" w:hAnsi="GHEA Grapalat" w:cs="Calibri"/>
                <w:color w:val="404040"/>
                <w:sz w:val="18"/>
                <w:szCs w:val="18"/>
              </w:rPr>
              <w:t>472.5</w:t>
            </w:r>
          </w:p>
        </w:tc>
        <w:tc>
          <w:tcPr>
            <w:tcW w:w="461" w:type="pct"/>
            <w:shd w:val="clear" w:color="auto" w:fill="auto"/>
            <w:vAlign w:val="center"/>
          </w:tcPr>
          <w:p w14:paraId="5FCFAEA6" w14:textId="77777777" w:rsidR="006B15F5" w:rsidRPr="003170C3" w:rsidRDefault="006B15F5" w:rsidP="00147C8B">
            <w:pPr>
              <w:spacing w:before="0" w:after="0" w:line="240" w:lineRule="auto"/>
              <w:jc w:val="center"/>
              <w:rPr>
                <w:sz w:val="18"/>
                <w:szCs w:val="18"/>
              </w:rPr>
            </w:pPr>
            <w:r>
              <w:rPr>
                <w:rFonts w:ascii="GHEA Grapalat" w:hAnsi="GHEA Grapalat" w:cs="Calibri"/>
                <w:color w:val="404040"/>
                <w:sz w:val="18"/>
                <w:szCs w:val="18"/>
              </w:rPr>
              <w:t>541.7</w:t>
            </w:r>
          </w:p>
        </w:tc>
        <w:tc>
          <w:tcPr>
            <w:tcW w:w="463" w:type="pct"/>
            <w:vAlign w:val="center"/>
          </w:tcPr>
          <w:p w14:paraId="3D6BF34B" w14:textId="77777777" w:rsidR="006B15F5" w:rsidRDefault="006B15F5" w:rsidP="00147C8B">
            <w:pPr>
              <w:spacing w:before="0" w:after="0" w:line="240" w:lineRule="auto"/>
              <w:jc w:val="center"/>
              <w:rPr>
                <w:rFonts w:ascii="GHEA Grapalat" w:hAnsi="GHEA Grapalat" w:cs="Calibri"/>
                <w:color w:val="404040"/>
                <w:sz w:val="18"/>
                <w:szCs w:val="18"/>
              </w:rPr>
            </w:pPr>
            <w:r>
              <w:rPr>
                <w:rFonts w:ascii="GHEA Grapalat" w:hAnsi="GHEA Grapalat" w:cs="Calibri"/>
                <w:color w:val="404040"/>
                <w:sz w:val="18"/>
                <w:szCs w:val="18"/>
              </w:rPr>
              <w:t>734.8</w:t>
            </w:r>
          </w:p>
        </w:tc>
        <w:tc>
          <w:tcPr>
            <w:tcW w:w="511" w:type="pct"/>
            <w:vAlign w:val="center"/>
          </w:tcPr>
          <w:p w14:paraId="716147AE" w14:textId="77777777" w:rsidR="006B15F5" w:rsidRPr="003A51E1" w:rsidRDefault="006B15F5" w:rsidP="00147C8B">
            <w:pPr>
              <w:spacing w:before="0" w:after="0" w:line="240" w:lineRule="auto"/>
              <w:jc w:val="center"/>
              <w:rPr>
                <w:rFonts w:ascii="GHEA Grapalat" w:hAnsi="GHEA Grapalat" w:cs="Calibri"/>
                <w:color w:val="404040"/>
                <w:sz w:val="18"/>
                <w:szCs w:val="18"/>
                <w:lang w:val="hy-AM"/>
              </w:rPr>
            </w:pPr>
            <w:r>
              <w:rPr>
                <w:rFonts w:ascii="GHEA Grapalat" w:hAnsi="GHEA Grapalat" w:cs="Calibri"/>
                <w:color w:val="404040"/>
                <w:sz w:val="18"/>
                <w:szCs w:val="18"/>
                <w:lang w:val="hy-AM"/>
              </w:rPr>
              <w:t>714.1</w:t>
            </w:r>
          </w:p>
        </w:tc>
        <w:tc>
          <w:tcPr>
            <w:tcW w:w="463" w:type="pct"/>
            <w:vAlign w:val="center"/>
          </w:tcPr>
          <w:p w14:paraId="3C07CA55" w14:textId="77777777" w:rsidR="006B15F5" w:rsidRPr="003170C3" w:rsidRDefault="006B15F5" w:rsidP="00147C8B">
            <w:pPr>
              <w:spacing w:before="0" w:after="0" w:line="240" w:lineRule="auto"/>
              <w:jc w:val="center"/>
              <w:rPr>
                <w:sz w:val="18"/>
                <w:szCs w:val="18"/>
              </w:rPr>
            </w:pPr>
            <w:r>
              <w:rPr>
                <w:rFonts w:ascii="GHEA Grapalat" w:hAnsi="GHEA Grapalat" w:cs="Calibri"/>
                <w:color w:val="404040"/>
                <w:sz w:val="18"/>
                <w:szCs w:val="18"/>
              </w:rPr>
              <w:t>7</w:t>
            </w:r>
            <w:r>
              <w:rPr>
                <w:rFonts w:ascii="GHEA Grapalat" w:hAnsi="GHEA Grapalat" w:cs="Calibri"/>
                <w:color w:val="404040"/>
                <w:sz w:val="18"/>
                <w:szCs w:val="18"/>
                <w:lang w:val="hy-AM"/>
              </w:rPr>
              <w:t>2</w:t>
            </w:r>
            <w:r>
              <w:rPr>
                <w:rFonts w:ascii="GHEA Grapalat" w:hAnsi="GHEA Grapalat" w:cs="Calibri"/>
                <w:color w:val="404040"/>
                <w:sz w:val="18"/>
                <w:szCs w:val="18"/>
              </w:rPr>
              <w:t>9.1</w:t>
            </w:r>
          </w:p>
        </w:tc>
        <w:tc>
          <w:tcPr>
            <w:tcW w:w="511" w:type="pct"/>
            <w:vAlign w:val="center"/>
          </w:tcPr>
          <w:p w14:paraId="11E9FCEB" w14:textId="77777777" w:rsidR="006B15F5" w:rsidRPr="003170C3" w:rsidRDefault="006B15F5" w:rsidP="00147C8B">
            <w:pPr>
              <w:spacing w:before="0" w:after="0" w:line="240" w:lineRule="auto"/>
              <w:jc w:val="center"/>
              <w:rPr>
                <w:sz w:val="18"/>
                <w:szCs w:val="18"/>
              </w:rPr>
            </w:pPr>
            <w:r>
              <w:rPr>
                <w:rFonts w:ascii="GHEA Grapalat" w:hAnsi="GHEA Grapalat" w:cs="Calibri"/>
                <w:color w:val="404040"/>
                <w:sz w:val="18"/>
                <w:szCs w:val="18"/>
              </w:rPr>
              <w:t>8</w:t>
            </w:r>
            <w:r>
              <w:rPr>
                <w:rFonts w:ascii="GHEA Grapalat" w:hAnsi="GHEA Grapalat" w:cs="Calibri"/>
                <w:color w:val="404040"/>
                <w:sz w:val="18"/>
                <w:szCs w:val="18"/>
                <w:lang w:val="hy-AM"/>
              </w:rPr>
              <w:t>1</w:t>
            </w:r>
            <w:r>
              <w:rPr>
                <w:rFonts w:ascii="GHEA Grapalat" w:hAnsi="GHEA Grapalat" w:cs="Calibri"/>
                <w:color w:val="404040"/>
                <w:sz w:val="18"/>
                <w:szCs w:val="18"/>
              </w:rPr>
              <w:t>3.1</w:t>
            </w:r>
          </w:p>
        </w:tc>
      </w:tr>
      <w:tr w:rsidR="006B15F5" w:rsidRPr="007B26C1" w14:paraId="152C6EA7" w14:textId="77777777" w:rsidTr="00147C8B">
        <w:trPr>
          <w:trHeight w:val="360"/>
        </w:trPr>
        <w:tc>
          <w:tcPr>
            <w:tcW w:w="1689" w:type="pct"/>
            <w:shd w:val="clear" w:color="auto" w:fill="auto"/>
            <w:vAlign w:val="center"/>
            <w:hideMark/>
          </w:tcPr>
          <w:p w14:paraId="6BD7D738" w14:textId="77777777" w:rsidR="006B15F5" w:rsidRPr="007B26C1" w:rsidRDefault="006B15F5" w:rsidP="00147C8B">
            <w:pPr>
              <w:spacing w:before="0" w:after="0" w:line="240" w:lineRule="auto"/>
              <w:jc w:val="both"/>
              <w:rPr>
                <w:color w:val="AEAAAA" w:themeColor="background2" w:themeShade="BF"/>
                <w:sz w:val="18"/>
                <w:szCs w:val="18"/>
              </w:rPr>
            </w:pPr>
            <w:r w:rsidRPr="007B26C1">
              <w:rPr>
                <w:color w:val="AEAAAA" w:themeColor="background2" w:themeShade="BF"/>
                <w:sz w:val="18"/>
                <w:szCs w:val="18"/>
              </w:rPr>
              <w:t>ՀՆԱ-ի նկատմամբ (%)</w:t>
            </w:r>
          </w:p>
        </w:tc>
        <w:tc>
          <w:tcPr>
            <w:tcW w:w="449" w:type="pct"/>
            <w:shd w:val="clear" w:color="auto" w:fill="auto"/>
            <w:vAlign w:val="center"/>
          </w:tcPr>
          <w:p w14:paraId="5268628C" w14:textId="77777777" w:rsidR="006B15F5" w:rsidRPr="007B26C1" w:rsidRDefault="006B15F5" w:rsidP="00147C8B">
            <w:pPr>
              <w:spacing w:before="0" w:after="0" w:line="240" w:lineRule="auto"/>
              <w:jc w:val="center"/>
              <w:rPr>
                <w:color w:val="AEAAAA" w:themeColor="background2" w:themeShade="BF"/>
                <w:sz w:val="18"/>
                <w:szCs w:val="18"/>
              </w:rPr>
            </w:pPr>
            <w:r>
              <w:rPr>
                <w:rFonts w:ascii="GHEA Grapalat" w:hAnsi="GHEA Grapalat" w:cs="Calibri"/>
                <w:color w:val="A6A6A6"/>
                <w:sz w:val="18"/>
                <w:szCs w:val="18"/>
              </w:rPr>
              <w:t>4.5%</w:t>
            </w:r>
          </w:p>
        </w:tc>
        <w:tc>
          <w:tcPr>
            <w:tcW w:w="453" w:type="pct"/>
            <w:shd w:val="clear" w:color="auto" w:fill="auto"/>
            <w:vAlign w:val="center"/>
          </w:tcPr>
          <w:p w14:paraId="09998195" w14:textId="77777777" w:rsidR="006B15F5" w:rsidRPr="007B26C1" w:rsidRDefault="006B15F5" w:rsidP="00147C8B">
            <w:pPr>
              <w:spacing w:before="0" w:after="0" w:line="240" w:lineRule="auto"/>
              <w:jc w:val="center"/>
              <w:rPr>
                <w:color w:val="AEAAAA" w:themeColor="background2" w:themeShade="BF"/>
                <w:sz w:val="18"/>
                <w:szCs w:val="18"/>
              </w:rPr>
            </w:pPr>
            <w:r>
              <w:rPr>
                <w:rFonts w:ascii="GHEA Grapalat" w:hAnsi="GHEA Grapalat" w:cs="Calibri"/>
                <w:color w:val="A6A6A6"/>
                <w:sz w:val="18"/>
                <w:szCs w:val="18"/>
              </w:rPr>
              <w:t>5.0%</w:t>
            </w:r>
          </w:p>
        </w:tc>
        <w:tc>
          <w:tcPr>
            <w:tcW w:w="461" w:type="pct"/>
            <w:shd w:val="clear" w:color="auto" w:fill="auto"/>
            <w:vAlign w:val="center"/>
          </w:tcPr>
          <w:p w14:paraId="610CFA1B" w14:textId="77777777" w:rsidR="006B15F5" w:rsidRPr="007B26C1" w:rsidRDefault="006B15F5" w:rsidP="00147C8B">
            <w:pPr>
              <w:spacing w:before="0" w:after="0" w:line="240" w:lineRule="auto"/>
              <w:jc w:val="center"/>
              <w:rPr>
                <w:color w:val="AEAAAA" w:themeColor="background2" w:themeShade="BF"/>
                <w:sz w:val="18"/>
                <w:szCs w:val="18"/>
              </w:rPr>
            </w:pPr>
            <w:r>
              <w:rPr>
                <w:rFonts w:ascii="GHEA Grapalat" w:hAnsi="GHEA Grapalat" w:cs="Calibri"/>
                <w:color w:val="A6A6A6"/>
                <w:sz w:val="18"/>
                <w:szCs w:val="18"/>
              </w:rPr>
              <w:t>5.3%</w:t>
            </w:r>
          </w:p>
        </w:tc>
        <w:tc>
          <w:tcPr>
            <w:tcW w:w="463" w:type="pct"/>
            <w:vAlign w:val="center"/>
          </w:tcPr>
          <w:p w14:paraId="49E3DADD" w14:textId="77777777" w:rsidR="006B15F5" w:rsidRDefault="006B15F5" w:rsidP="00147C8B">
            <w:pPr>
              <w:spacing w:before="0" w:after="0" w:line="240" w:lineRule="auto"/>
              <w:jc w:val="center"/>
              <w:rPr>
                <w:rFonts w:ascii="GHEA Grapalat" w:hAnsi="GHEA Grapalat" w:cs="Calibri"/>
                <w:color w:val="A6A6A6"/>
                <w:sz w:val="18"/>
                <w:szCs w:val="18"/>
              </w:rPr>
            </w:pPr>
            <w:r>
              <w:rPr>
                <w:rFonts w:ascii="GHEA Grapalat" w:hAnsi="GHEA Grapalat" w:cs="Calibri"/>
                <w:color w:val="A6A6A6"/>
                <w:sz w:val="18"/>
                <w:szCs w:val="18"/>
              </w:rPr>
              <w:t>6.7%</w:t>
            </w:r>
          </w:p>
        </w:tc>
        <w:tc>
          <w:tcPr>
            <w:tcW w:w="511" w:type="pct"/>
            <w:vAlign w:val="center"/>
          </w:tcPr>
          <w:p w14:paraId="45503032" w14:textId="77777777" w:rsidR="006B15F5" w:rsidRDefault="006B15F5" w:rsidP="00147C8B">
            <w:pPr>
              <w:spacing w:before="0" w:after="0" w:line="240" w:lineRule="auto"/>
              <w:jc w:val="center"/>
              <w:rPr>
                <w:rFonts w:ascii="GHEA Grapalat" w:hAnsi="GHEA Grapalat" w:cs="Calibri"/>
                <w:color w:val="A6A6A6"/>
                <w:sz w:val="18"/>
                <w:szCs w:val="18"/>
              </w:rPr>
            </w:pPr>
            <w:r>
              <w:rPr>
                <w:rFonts w:ascii="GHEA Grapalat" w:hAnsi="GHEA Grapalat" w:cs="Calibri"/>
                <w:color w:val="A6A6A6"/>
                <w:sz w:val="18"/>
                <w:szCs w:val="18"/>
                <w:lang w:val="hy-AM"/>
              </w:rPr>
              <w:t>6.0</w:t>
            </w:r>
            <w:r>
              <w:rPr>
                <w:rFonts w:ascii="GHEA Grapalat" w:hAnsi="GHEA Grapalat" w:cs="Calibri"/>
                <w:color w:val="A6A6A6"/>
                <w:sz w:val="18"/>
                <w:szCs w:val="18"/>
              </w:rPr>
              <w:t>%</w:t>
            </w:r>
          </w:p>
        </w:tc>
        <w:tc>
          <w:tcPr>
            <w:tcW w:w="463" w:type="pct"/>
            <w:vAlign w:val="center"/>
          </w:tcPr>
          <w:p w14:paraId="3055B4D3" w14:textId="77777777" w:rsidR="006B15F5" w:rsidRPr="007B26C1" w:rsidRDefault="006B15F5" w:rsidP="00147C8B">
            <w:pPr>
              <w:spacing w:before="0" w:after="0" w:line="240" w:lineRule="auto"/>
              <w:jc w:val="center"/>
              <w:rPr>
                <w:color w:val="AEAAAA" w:themeColor="background2" w:themeShade="BF"/>
                <w:sz w:val="18"/>
                <w:szCs w:val="18"/>
              </w:rPr>
            </w:pPr>
            <w:r>
              <w:rPr>
                <w:rFonts w:ascii="GHEA Grapalat" w:hAnsi="GHEA Grapalat" w:cs="Calibri"/>
                <w:color w:val="A6A6A6"/>
                <w:sz w:val="18"/>
                <w:szCs w:val="18"/>
              </w:rPr>
              <w:t>5.6%</w:t>
            </w:r>
          </w:p>
        </w:tc>
        <w:tc>
          <w:tcPr>
            <w:tcW w:w="511" w:type="pct"/>
            <w:vAlign w:val="center"/>
          </w:tcPr>
          <w:p w14:paraId="6306C124" w14:textId="77777777" w:rsidR="006B15F5" w:rsidRPr="007B26C1" w:rsidRDefault="006B15F5" w:rsidP="00147C8B">
            <w:pPr>
              <w:spacing w:before="0" w:after="0" w:line="240" w:lineRule="auto"/>
              <w:jc w:val="center"/>
              <w:rPr>
                <w:color w:val="AEAAAA" w:themeColor="background2" w:themeShade="BF"/>
                <w:sz w:val="18"/>
                <w:szCs w:val="18"/>
              </w:rPr>
            </w:pPr>
            <w:r>
              <w:rPr>
                <w:rFonts w:ascii="GHEA Grapalat" w:hAnsi="GHEA Grapalat" w:cs="Calibri"/>
                <w:color w:val="A6A6A6"/>
                <w:sz w:val="18"/>
                <w:szCs w:val="18"/>
              </w:rPr>
              <w:t>5.</w:t>
            </w:r>
            <w:r>
              <w:rPr>
                <w:rFonts w:ascii="GHEA Grapalat" w:hAnsi="GHEA Grapalat" w:cs="Calibri"/>
                <w:color w:val="A6A6A6"/>
                <w:sz w:val="18"/>
                <w:szCs w:val="18"/>
                <w:lang w:val="hy-AM"/>
              </w:rPr>
              <w:t>8</w:t>
            </w:r>
            <w:r>
              <w:rPr>
                <w:rFonts w:ascii="GHEA Grapalat" w:hAnsi="GHEA Grapalat" w:cs="Calibri"/>
                <w:color w:val="A6A6A6"/>
                <w:sz w:val="18"/>
                <w:szCs w:val="18"/>
              </w:rPr>
              <w:t>%</w:t>
            </w:r>
          </w:p>
        </w:tc>
      </w:tr>
    </w:tbl>
    <w:p w14:paraId="649DB7B6" w14:textId="01964E65" w:rsidR="006B15F5" w:rsidRPr="00CC702D" w:rsidRDefault="006B15F5" w:rsidP="006B15F5">
      <w:pPr>
        <w:pStyle w:val="Charts"/>
      </w:pPr>
      <w:bookmarkStart w:id="400" w:name="_Toc184110747"/>
      <w:r w:rsidRPr="00CC702D">
        <w:t xml:space="preserve">Գծապատկեր </w:t>
      </w:r>
      <w:r w:rsidRPr="00CC702D">
        <w:fldChar w:fldCharType="begin"/>
      </w:r>
      <w:r w:rsidRPr="00CC702D">
        <w:instrText xml:space="preserve"> SEQ գծապատկեր \* ARABIC </w:instrText>
      </w:r>
      <w:r w:rsidRPr="00CC702D">
        <w:fldChar w:fldCharType="separate"/>
      </w:r>
      <w:r w:rsidR="001848B1">
        <w:rPr>
          <w:noProof/>
        </w:rPr>
        <w:t>2</w:t>
      </w:r>
      <w:r w:rsidRPr="00CC702D">
        <w:fldChar w:fldCharType="end"/>
      </w:r>
      <w:r>
        <w:t>. 2022-2028</w:t>
      </w:r>
      <w:r w:rsidRPr="00CC702D">
        <w:t>թթ</w:t>
      </w:r>
      <w:r w:rsidRPr="00CC702D">
        <w:rPr>
          <w:rFonts w:ascii="Cambria Math" w:hAnsi="Cambria Math" w:cs="Cambria Math"/>
        </w:rPr>
        <w:t>․</w:t>
      </w:r>
      <w:r w:rsidRPr="00CC702D">
        <w:t xml:space="preserve"> ընթացիկ և ոչ ֆինանսական ակտիվների գծով գործառնությունների փոփոխության և հարաբերակցության միտումները, մլրդ դրամ</w:t>
      </w:r>
      <w:bookmarkEnd w:id="400"/>
    </w:p>
    <w:p w14:paraId="119DA00E" w14:textId="77777777" w:rsidR="006B15F5" w:rsidRPr="00C3014C" w:rsidRDefault="006B15F5" w:rsidP="006B15F5">
      <w:pPr>
        <w:tabs>
          <w:tab w:val="left" w:pos="9630"/>
        </w:tabs>
        <w:jc w:val="both"/>
      </w:pPr>
      <w:r w:rsidRPr="00C3014C">
        <w:rPr>
          <w:noProof/>
        </w:rPr>
        <w:drawing>
          <wp:inline distT="0" distB="0" distL="0" distR="0" wp14:anchorId="078B0736" wp14:editId="7BA05C9C">
            <wp:extent cx="6419850" cy="2200275"/>
            <wp:effectExtent l="0" t="0" r="0" b="9525"/>
            <wp:docPr id="31" name="Chart 31"/>
            <wp:cNvGraphicFramePr/>
            <a:graphic xmlns:a="http://schemas.openxmlformats.org/drawingml/2006/main">
              <a:graphicData uri="http://schemas.openxmlformats.org/drawingml/2006/chart">
                <c:chart xmlns:c="http://schemas.openxmlformats.org/drawingml/2006/chart" xmlns:r="http://schemas.openxmlformats.org/officeDocument/2006/relationships" r:id="rId68"/>
              </a:graphicData>
            </a:graphic>
          </wp:inline>
        </w:drawing>
      </w:r>
    </w:p>
    <w:p w14:paraId="6711F1E1" w14:textId="77777777" w:rsidR="006B15F5" w:rsidRPr="0087491E" w:rsidRDefault="006B15F5" w:rsidP="006B15F5">
      <w:pPr>
        <w:pStyle w:val="BodyText1"/>
        <w:ind w:left="0"/>
        <w:rPr>
          <w:lang w:val="hy-AM"/>
        </w:rPr>
      </w:pPr>
      <w:r w:rsidRPr="0087491E">
        <w:rPr>
          <w:lang w:val="hy-AM"/>
        </w:rPr>
        <w:t>202</w:t>
      </w:r>
      <w:r>
        <w:t>6</w:t>
      </w:r>
      <w:r w:rsidRPr="0087491E">
        <w:rPr>
          <w:lang w:val="hy-AM"/>
        </w:rPr>
        <w:t xml:space="preserve"> թվականի ծախսերի </w:t>
      </w:r>
      <w:r w:rsidRPr="004C2207">
        <w:rPr>
          <w:lang w:val="hy-AM"/>
        </w:rPr>
        <w:t>ընդհանուր ծավալի միջին տարեկանի շուրջ 80.6%-ը կկազմեն ընթացիկ ծախսերը (2025 թվականին այդ ցուցանիշը ծրագրվել է 78.6%</w:t>
      </w:r>
      <w:r>
        <w:rPr>
          <w:lang w:val="hy-AM"/>
        </w:rPr>
        <w:t>)</w:t>
      </w:r>
      <w:r>
        <w:rPr>
          <w:lang w:val="af-ZA"/>
        </w:rPr>
        <w:t xml:space="preserve">, 2027 թվականին՝ </w:t>
      </w:r>
      <w:r>
        <w:rPr>
          <w:lang w:val="hy-AM"/>
        </w:rPr>
        <w:t>81.</w:t>
      </w:r>
      <w:r>
        <w:t>1</w:t>
      </w:r>
      <w:r w:rsidRPr="006A54A7">
        <w:t>%-</w:t>
      </w:r>
      <w:r>
        <w:rPr>
          <w:lang w:val="hy-AM"/>
        </w:rPr>
        <w:t>ը, իսկ 2028 թվականին՝ 80.1</w:t>
      </w:r>
      <w:r w:rsidRPr="006A54A7">
        <w:t>%</w:t>
      </w:r>
      <w:r>
        <w:t>:</w:t>
      </w:r>
    </w:p>
    <w:p w14:paraId="367938CE" w14:textId="77777777" w:rsidR="006B15F5" w:rsidRPr="0087491E" w:rsidRDefault="006B15F5" w:rsidP="006B15F5">
      <w:pPr>
        <w:pStyle w:val="BodyText1"/>
        <w:ind w:left="0"/>
        <w:rPr>
          <w:lang w:val="hy-AM"/>
        </w:rPr>
      </w:pPr>
      <w:r w:rsidRPr="0087491E">
        <w:rPr>
          <w:lang w:val="hy-AM"/>
        </w:rPr>
        <w:t>Դիտարկվող ժամանակահատվածում ընթացիկ ծախսերն ուղղված կլի</w:t>
      </w:r>
      <w:r w:rsidRPr="0087491E">
        <w:rPr>
          <w:lang w:val="hy-AM"/>
        </w:rPr>
        <w:softHyphen/>
        <w:t xml:space="preserve">նի ծառայությունների մատուցման, տրանսֆերտների տրամադրման, ֆինանսավորման ծախսերի իրականացման և հանրության կողմից անմիջականորեն օգտագործվող ակտիվների հետ կապված միջոցառումներին: </w:t>
      </w:r>
    </w:p>
    <w:p w14:paraId="6384F82C" w14:textId="77777777" w:rsidR="006B15F5" w:rsidRPr="0087491E" w:rsidRDefault="006B15F5" w:rsidP="006B15F5">
      <w:pPr>
        <w:pStyle w:val="BodyText1"/>
        <w:ind w:left="0"/>
        <w:rPr>
          <w:lang w:val="hy-AM"/>
        </w:rPr>
      </w:pPr>
      <w:r>
        <w:rPr>
          <w:lang w:val="hy-AM"/>
        </w:rPr>
        <w:t>2026-2028թ</w:t>
      </w:r>
      <w:r w:rsidRPr="0087491E">
        <w:rPr>
          <w:lang w:val="hy-AM"/>
        </w:rPr>
        <w:t>թ. ընթացիկ ծախսերի ֆինանսավորման ըստ տնտեսագիտական դասակարգման կառուցվածքի ծախ</w:t>
      </w:r>
      <w:r w:rsidRPr="0087491E">
        <w:rPr>
          <w:lang w:val="hy-AM"/>
        </w:rPr>
        <w:softHyphen/>
        <w:t>սերի հարա</w:t>
      </w:r>
      <w:r w:rsidRPr="0087491E">
        <w:rPr>
          <w:lang w:val="hy-AM"/>
        </w:rPr>
        <w:softHyphen/>
        <w:t>բերակցությունը ՀՆԱ-ի նկատմամբ ներկայացված է ստորև:</w:t>
      </w:r>
    </w:p>
    <w:p w14:paraId="7F3198CE" w14:textId="259F850B" w:rsidR="006B15F5" w:rsidRPr="009A30DD" w:rsidRDefault="006B15F5" w:rsidP="006B15F5">
      <w:pPr>
        <w:pStyle w:val="Charts"/>
        <w:rPr>
          <w:b w:val="0"/>
        </w:rPr>
      </w:pPr>
      <w:bookmarkStart w:id="401" w:name="_Toc178350584"/>
      <w:bookmarkStart w:id="402" w:name="_Toc178595161"/>
      <w:bookmarkStart w:id="403" w:name="_Toc184110748"/>
      <w:bookmarkStart w:id="404" w:name="_Toc57631789"/>
      <w:bookmarkStart w:id="405" w:name="_Toc52223578"/>
      <w:bookmarkStart w:id="406" w:name="_Toc115255404"/>
      <w:bookmarkStart w:id="407" w:name="_Toc83752684"/>
      <w:r w:rsidRPr="009A30DD">
        <w:t xml:space="preserve">Գծապատկեր </w:t>
      </w:r>
      <w:r w:rsidRPr="009A30DD">
        <w:fldChar w:fldCharType="begin"/>
      </w:r>
      <w:r w:rsidRPr="009A30DD">
        <w:instrText xml:space="preserve"> SEQ գծապատկեր \* ARABIC </w:instrText>
      </w:r>
      <w:r w:rsidRPr="009A30DD">
        <w:fldChar w:fldCharType="separate"/>
      </w:r>
      <w:r w:rsidR="001848B1">
        <w:rPr>
          <w:noProof/>
        </w:rPr>
        <w:t>3</w:t>
      </w:r>
      <w:r w:rsidRPr="009A30DD">
        <w:fldChar w:fldCharType="end"/>
      </w:r>
      <w:r w:rsidRPr="009A30DD">
        <w:t>. 202</w:t>
      </w:r>
      <w:r w:rsidRPr="00067DCC">
        <w:t>2</w:t>
      </w:r>
      <w:r>
        <w:t>-2028</w:t>
      </w:r>
      <w:r w:rsidRPr="009A30DD">
        <w:t>թթ</w:t>
      </w:r>
      <w:r w:rsidRPr="009A30DD">
        <w:rPr>
          <w:rFonts w:ascii="Cambria Math" w:hAnsi="Cambria Math" w:cs="Cambria Math"/>
        </w:rPr>
        <w:t>․</w:t>
      </w:r>
      <w:r w:rsidRPr="009A30DD">
        <w:t xml:space="preserve"> ընթացիկ ծախսերի ֆինանսավորման ըստ տնտեսագիտական դասակարգման կառուցվածքի ծախ</w:t>
      </w:r>
      <w:r w:rsidRPr="009A30DD">
        <w:softHyphen/>
        <w:t>սերի հարա</w:t>
      </w:r>
      <w:r w:rsidRPr="009A30DD">
        <w:softHyphen/>
        <w:t>բերակցությունը ՀՆԱ-ի նկատմամբ, %</w:t>
      </w:r>
      <w:bookmarkEnd w:id="401"/>
      <w:bookmarkEnd w:id="402"/>
      <w:bookmarkEnd w:id="403"/>
      <w:r w:rsidRPr="009A30DD">
        <w:t xml:space="preserve"> </w:t>
      </w:r>
      <w:bookmarkEnd w:id="404"/>
      <w:bookmarkEnd w:id="405"/>
      <w:bookmarkEnd w:id="406"/>
      <w:bookmarkEnd w:id="407"/>
    </w:p>
    <w:p w14:paraId="2CC01B76" w14:textId="77777777" w:rsidR="006B15F5" w:rsidRDefault="006B15F5" w:rsidP="006B15F5">
      <w:pPr>
        <w:pStyle w:val="Charts"/>
        <w:rPr>
          <w:b w:val="0"/>
        </w:rPr>
      </w:pPr>
      <w:r w:rsidRPr="009A30DD">
        <w:rPr>
          <w:noProof/>
          <w:lang w:val="en-US"/>
        </w:rPr>
        <w:drawing>
          <wp:inline distT="0" distB="0" distL="0" distR="0" wp14:anchorId="520DBD23" wp14:editId="741DDA47">
            <wp:extent cx="6210300" cy="2952750"/>
            <wp:effectExtent l="0" t="0" r="0" b="0"/>
            <wp:docPr id="32" name="Chart 32"/>
            <wp:cNvGraphicFramePr/>
            <a:graphic xmlns:a="http://schemas.openxmlformats.org/drawingml/2006/main">
              <a:graphicData uri="http://schemas.openxmlformats.org/drawingml/2006/chart">
                <c:chart xmlns:c="http://schemas.openxmlformats.org/drawingml/2006/chart" xmlns:r="http://schemas.openxmlformats.org/officeDocument/2006/relationships" r:id="rId69"/>
              </a:graphicData>
            </a:graphic>
          </wp:inline>
        </w:drawing>
      </w:r>
    </w:p>
    <w:p w14:paraId="60EA44D3" w14:textId="77777777" w:rsidR="006B15F5" w:rsidRDefault="006B15F5" w:rsidP="006B15F5">
      <w:pPr>
        <w:pStyle w:val="BodyText1"/>
        <w:ind w:left="0"/>
        <w:rPr>
          <w:lang w:val="hy-AM"/>
        </w:rPr>
      </w:pPr>
    </w:p>
    <w:p w14:paraId="165F2D05" w14:textId="77777777" w:rsidR="006B15F5" w:rsidRDefault="006B15F5" w:rsidP="006B15F5">
      <w:pPr>
        <w:pStyle w:val="BodyText1"/>
        <w:ind w:left="0"/>
        <w:rPr>
          <w:lang w:val="hy-AM"/>
        </w:rPr>
      </w:pPr>
      <w:r>
        <w:rPr>
          <w:lang w:val="hy-AM"/>
        </w:rPr>
        <w:t>2026</w:t>
      </w:r>
      <w:r w:rsidRPr="0087491E">
        <w:rPr>
          <w:lang w:val="hy-AM"/>
        </w:rPr>
        <w:t xml:space="preserve">թ. պետական բյուջեից աշխատավարձերին ուղղվող </w:t>
      </w:r>
      <w:r w:rsidRPr="004C2207">
        <w:rPr>
          <w:lang w:val="hy-AM"/>
        </w:rPr>
        <w:t>ծախսերը կկազ</w:t>
      </w:r>
      <w:r>
        <w:rPr>
          <w:lang w:val="hy-AM"/>
        </w:rPr>
        <w:t>մ</w:t>
      </w:r>
      <w:r w:rsidRPr="004C2207">
        <w:rPr>
          <w:lang w:val="hy-AM"/>
        </w:rPr>
        <w:t xml:space="preserve">ի ավելի քան </w:t>
      </w:r>
      <w:r>
        <w:rPr>
          <w:lang w:val="hy-AM"/>
        </w:rPr>
        <w:t>268.4</w:t>
      </w:r>
      <w:r w:rsidRPr="004C2207">
        <w:rPr>
          <w:lang w:val="hy-AM"/>
        </w:rPr>
        <w:t xml:space="preserve"> մլրդ դրամ կամ 2025թ. հաստատված բյուջեից ավել </w:t>
      </w:r>
      <w:r>
        <w:rPr>
          <w:lang w:val="hy-AM"/>
        </w:rPr>
        <w:t>2.9</w:t>
      </w:r>
      <w:r w:rsidRPr="004C2207">
        <w:rPr>
          <w:lang w:val="hy-AM"/>
        </w:rPr>
        <w:t xml:space="preserve"> տոկոսով կամ </w:t>
      </w:r>
      <w:r>
        <w:rPr>
          <w:lang w:val="hy-AM"/>
        </w:rPr>
        <w:t>7.5</w:t>
      </w:r>
      <w:r w:rsidRPr="0087491E">
        <w:rPr>
          <w:lang w:val="hy-AM"/>
        </w:rPr>
        <w:t xml:space="preserve"> մլրդ դրամով</w:t>
      </w:r>
      <w:r>
        <w:rPr>
          <w:lang w:val="hy-AM"/>
        </w:rPr>
        <w:t xml:space="preserve">: 2027 թվականին </w:t>
      </w:r>
      <w:r w:rsidRPr="0087491E">
        <w:rPr>
          <w:lang w:val="hy-AM"/>
        </w:rPr>
        <w:t xml:space="preserve">աշխատավարձերին ուղղվող </w:t>
      </w:r>
      <w:r w:rsidRPr="004C2207">
        <w:rPr>
          <w:lang w:val="hy-AM"/>
        </w:rPr>
        <w:t>ծախսերը</w:t>
      </w:r>
      <w:r>
        <w:rPr>
          <w:lang w:val="hy-AM"/>
        </w:rPr>
        <w:t xml:space="preserve"> նախատեսվում է սահմանել 271.3 մլրդ դրամ կամ 2026թ. պլանավորված ցուցանիշից ավել 2.9 մլրդ դրամով կամ 1.1 տոկոսով, 2028 թվականին՝ 273.1 մլրդ դրամ կամ 2027 թվականի պլանավորված ցուցանիշից ավել 1.8 մլրդ դրամով կամ 0.7 տոկոսով:</w:t>
      </w:r>
    </w:p>
    <w:p w14:paraId="5C4ECE8A" w14:textId="77777777" w:rsidR="006B15F5" w:rsidRDefault="006B15F5" w:rsidP="006B15F5">
      <w:pPr>
        <w:pStyle w:val="BodyText1"/>
        <w:ind w:left="0"/>
        <w:rPr>
          <w:lang w:val="hy-AM"/>
        </w:rPr>
      </w:pPr>
      <w:r>
        <w:rPr>
          <w:lang w:val="hy-AM"/>
        </w:rPr>
        <w:t xml:space="preserve"> 2026</w:t>
      </w:r>
      <w:r w:rsidRPr="0087491E">
        <w:rPr>
          <w:lang w:val="hy-AM"/>
        </w:rPr>
        <w:t xml:space="preserve">թ. տոկոսավճարների գծով ծախսը կազմում </w:t>
      </w:r>
      <w:r w:rsidRPr="004C2207">
        <w:rPr>
          <w:lang w:val="hy-AM"/>
        </w:rPr>
        <w:t xml:space="preserve">է </w:t>
      </w:r>
      <w:r>
        <w:rPr>
          <w:lang w:val="hy-AM"/>
        </w:rPr>
        <w:t>419.9</w:t>
      </w:r>
      <w:r w:rsidRPr="0087491E">
        <w:rPr>
          <w:lang w:val="hy-AM"/>
        </w:rPr>
        <w:t xml:space="preserve"> մլրդ դրամ</w:t>
      </w:r>
      <w:r>
        <w:rPr>
          <w:lang w:val="hy-AM"/>
        </w:rPr>
        <w:t>: 2027 թվականին տոկոսավճարներին</w:t>
      </w:r>
      <w:r w:rsidRPr="0087491E">
        <w:rPr>
          <w:lang w:val="hy-AM"/>
        </w:rPr>
        <w:t xml:space="preserve"> ուղղվող </w:t>
      </w:r>
      <w:r w:rsidRPr="004C2207">
        <w:rPr>
          <w:lang w:val="hy-AM"/>
        </w:rPr>
        <w:t>ծախսերը</w:t>
      </w:r>
      <w:r>
        <w:rPr>
          <w:lang w:val="hy-AM"/>
        </w:rPr>
        <w:t xml:space="preserve"> նախատեսվում է սահմանել 472.5 մլրդ դրամ կամ 2026թ. պլանավորված ցուցանիշից ավել 52.5 մլրդ դրամով կամ 12.5 տոկոսով, 2028 թվականին՝ 515.2 մլրդ դրամ կամ 2027 թվականի պլանավորված ցուցանիշից ավել 42.7 մլրդ դրամով կամ 9.1 տոկոսով:</w:t>
      </w:r>
    </w:p>
    <w:p w14:paraId="5656670A" w14:textId="77777777" w:rsidR="006B15F5" w:rsidRDefault="006B15F5" w:rsidP="006B15F5">
      <w:pPr>
        <w:pStyle w:val="BodyText1"/>
        <w:ind w:left="0"/>
        <w:rPr>
          <w:lang w:val="hy-AM"/>
        </w:rPr>
      </w:pPr>
      <w:r>
        <w:rPr>
          <w:lang w:val="hy-AM"/>
        </w:rPr>
        <w:t>2026</w:t>
      </w:r>
      <w:r w:rsidRPr="0087491E">
        <w:rPr>
          <w:lang w:val="hy-AM"/>
        </w:rPr>
        <w:t xml:space="preserve">թ. պետական բյուջեից կազմակերպություններին նախատեսվում </w:t>
      </w:r>
      <w:r w:rsidRPr="004C2207">
        <w:rPr>
          <w:lang w:val="hy-AM"/>
        </w:rPr>
        <w:t>է տրամադրել 212.</w:t>
      </w:r>
      <w:r>
        <w:rPr>
          <w:lang w:val="hy-AM"/>
        </w:rPr>
        <w:t>2</w:t>
      </w:r>
      <w:r w:rsidRPr="004C2207">
        <w:rPr>
          <w:lang w:val="hy-AM"/>
        </w:rPr>
        <w:t xml:space="preserve"> մլրդ դրամի սուբսիդիաներ, որը 2025 թվականի հաստատված բյուջեի համեմատ սուբսիդիաների գծով ծախսն ավել է կանխատեսվել </w:t>
      </w:r>
      <w:r>
        <w:rPr>
          <w:lang w:val="hy-AM"/>
        </w:rPr>
        <w:t>10.0</w:t>
      </w:r>
      <w:r w:rsidRPr="004C2207">
        <w:rPr>
          <w:lang w:val="hy-AM"/>
        </w:rPr>
        <w:t xml:space="preserve"> տոկոսով կամ 19.</w:t>
      </w:r>
      <w:r>
        <w:rPr>
          <w:lang w:val="hy-AM"/>
        </w:rPr>
        <w:t>2</w:t>
      </w:r>
      <w:r w:rsidRPr="004C2207">
        <w:rPr>
          <w:lang w:val="hy-AM"/>
        </w:rPr>
        <w:t xml:space="preserve"> մլրդ դրամով:</w:t>
      </w:r>
      <w:r>
        <w:rPr>
          <w:lang w:val="hy-AM"/>
        </w:rPr>
        <w:t xml:space="preserve"> 2027 սուբսիդիաներին</w:t>
      </w:r>
      <w:r w:rsidRPr="0087491E">
        <w:rPr>
          <w:lang w:val="hy-AM"/>
        </w:rPr>
        <w:t xml:space="preserve"> ուղղվող </w:t>
      </w:r>
      <w:r w:rsidRPr="004C2207">
        <w:rPr>
          <w:lang w:val="hy-AM"/>
        </w:rPr>
        <w:t>ծախսերը</w:t>
      </w:r>
      <w:r>
        <w:rPr>
          <w:lang w:val="hy-AM"/>
        </w:rPr>
        <w:t xml:space="preserve"> նախատեսվում է սահմանել 206.9 մլրդ դրամ կամ 2026թ. պլանավորված ցուցանիշից պակաս 5.3 մլրդ դրամով կամ 2.5 տոկոսով, 2028 թվականին՝ 192.2 մլրդ դրամ կամ 2027 թվականի պլանավորված ցուցանիշից պակաս 14.7 մլրդ դրամով կամ 7.</w:t>
      </w:r>
      <w:r w:rsidRPr="000C3091">
        <w:rPr>
          <w:lang w:val="hy-AM"/>
        </w:rPr>
        <w:t>1 տոկոսով:</w:t>
      </w:r>
    </w:p>
    <w:p w14:paraId="4BBBBB7B" w14:textId="77777777" w:rsidR="006B15F5" w:rsidRDefault="006B15F5" w:rsidP="006B15F5">
      <w:pPr>
        <w:pStyle w:val="BodyText1"/>
        <w:ind w:left="0"/>
        <w:rPr>
          <w:lang w:val="hy-AM"/>
        </w:rPr>
      </w:pPr>
      <w:r>
        <w:rPr>
          <w:lang w:val="hy-AM"/>
        </w:rPr>
        <w:t>2026</w:t>
      </w:r>
      <w:r w:rsidRPr="0087491E">
        <w:rPr>
          <w:lang w:val="hy-AM"/>
        </w:rPr>
        <w:t xml:space="preserve">թ. ընթացիկ ծախսերի աճը մեծապես ապահովվելու է սոցիալական նպաստների և կենսաթոշակների վճարների գծով պետական բյուջեի </w:t>
      </w:r>
      <w:r w:rsidRPr="004C2207">
        <w:rPr>
          <w:lang w:val="hy-AM"/>
        </w:rPr>
        <w:t>ծախսերի (</w:t>
      </w:r>
      <w:r>
        <w:rPr>
          <w:lang w:val="hy-AM"/>
        </w:rPr>
        <w:t>1,285.1</w:t>
      </w:r>
      <w:r w:rsidRPr="004C2207">
        <w:rPr>
          <w:lang w:val="hy-AM"/>
        </w:rPr>
        <w:t xml:space="preserve"> մլրդ</w:t>
      </w:r>
      <w:r w:rsidRPr="0087491E">
        <w:rPr>
          <w:lang w:val="hy-AM"/>
        </w:rPr>
        <w:t xml:space="preserve"> դրամ) ավելացման հաշվին, </w:t>
      </w:r>
      <w:r w:rsidRPr="004C2207">
        <w:rPr>
          <w:lang w:val="hy-AM"/>
        </w:rPr>
        <w:t xml:space="preserve">որոնք 2025 թվականի հաստատված բյուջեի նկատմամբ ավելացել է </w:t>
      </w:r>
      <w:r w:rsidRPr="00B1611D">
        <w:rPr>
          <w:lang w:val="hy-AM"/>
        </w:rPr>
        <w:t>17.7</w:t>
      </w:r>
      <w:r>
        <w:rPr>
          <w:lang w:val="hy-AM"/>
        </w:rPr>
        <w:t xml:space="preserve"> </w:t>
      </w:r>
      <w:r w:rsidRPr="004C2207">
        <w:rPr>
          <w:lang w:val="hy-AM"/>
        </w:rPr>
        <w:t>տոկոսով կամ 19</w:t>
      </w:r>
      <w:r>
        <w:rPr>
          <w:lang w:val="hy-AM"/>
        </w:rPr>
        <w:t>2</w:t>
      </w:r>
      <w:r w:rsidRPr="004C2207">
        <w:rPr>
          <w:lang w:val="hy-AM"/>
        </w:rPr>
        <w:t>.</w:t>
      </w:r>
      <w:r>
        <w:rPr>
          <w:lang w:val="hy-AM"/>
        </w:rPr>
        <w:t>9</w:t>
      </w:r>
      <w:r w:rsidRPr="004C2207">
        <w:rPr>
          <w:lang w:val="hy-AM"/>
        </w:rPr>
        <w:t xml:space="preserve"> մլրդ դրամով</w:t>
      </w:r>
      <w:r w:rsidRPr="0087491E">
        <w:rPr>
          <w:lang w:val="hy-AM"/>
        </w:rPr>
        <w:t xml:space="preserve">: </w:t>
      </w:r>
      <w:r>
        <w:rPr>
          <w:lang w:val="hy-AM"/>
        </w:rPr>
        <w:t>2027 թվականին սոցիալական նպաստներին և կենսաթոշակներին</w:t>
      </w:r>
      <w:r w:rsidRPr="0087491E">
        <w:rPr>
          <w:lang w:val="hy-AM"/>
        </w:rPr>
        <w:t xml:space="preserve"> ուղղվող </w:t>
      </w:r>
      <w:r w:rsidRPr="004C2207">
        <w:rPr>
          <w:lang w:val="hy-AM"/>
        </w:rPr>
        <w:t>ծախսերը</w:t>
      </w:r>
      <w:r>
        <w:rPr>
          <w:lang w:val="hy-AM"/>
        </w:rPr>
        <w:t xml:space="preserve"> նախատեսվում է սահմանել 1,398.5 մլրդ դրամ կամ 2026թ. պլանավորված ցուցանիշից ավել 113.4 մլրդ դրամով կամ 8.8 տոկոսով, 2028 թվականին՝ 1,474.2 մլրդ դրամ կամ 2027 թվականի պլանավորված ցուցանիշից ավել 75.7 մլրդ դրամով կամ 5.4 տոկոսով:</w:t>
      </w:r>
    </w:p>
    <w:p w14:paraId="7C143725" w14:textId="77777777" w:rsidR="006B15F5" w:rsidRPr="0087491E" w:rsidRDefault="006B15F5" w:rsidP="006B15F5">
      <w:pPr>
        <w:jc w:val="both"/>
        <w:rPr>
          <w:rFonts w:ascii="GHEA Grapalat" w:hAnsi="GHEA Grapalat"/>
          <w:szCs w:val="20"/>
          <w:lang w:val="hy-AM"/>
        </w:rPr>
      </w:pPr>
      <w:r>
        <w:rPr>
          <w:rFonts w:ascii="GHEA Grapalat" w:hAnsi="GHEA Grapalat"/>
          <w:szCs w:val="20"/>
          <w:lang w:val="hy-AM"/>
        </w:rPr>
        <w:t>2026</w:t>
      </w:r>
      <w:r w:rsidRPr="0087491E">
        <w:rPr>
          <w:rFonts w:ascii="GHEA Grapalat" w:hAnsi="GHEA Grapalat"/>
          <w:szCs w:val="20"/>
          <w:lang w:val="hy-AM"/>
        </w:rPr>
        <w:t xml:space="preserve">թ պետական բյուջեից </w:t>
      </w:r>
      <w:r w:rsidRPr="004C2207">
        <w:rPr>
          <w:rFonts w:ascii="GHEA Grapalat" w:hAnsi="GHEA Grapalat"/>
          <w:szCs w:val="20"/>
          <w:lang w:val="hy-AM"/>
        </w:rPr>
        <w:t xml:space="preserve">նախատեսվում է տրամադրել դրամաշնորհներ՝ </w:t>
      </w:r>
      <w:r>
        <w:rPr>
          <w:rFonts w:ascii="GHEA Grapalat" w:hAnsi="GHEA Grapalat"/>
          <w:szCs w:val="20"/>
          <w:lang w:val="hy-AM"/>
        </w:rPr>
        <w:t>314.3</w:t>
      </w:r>
      <w:r w:rsidRPr="004C2207">
        <w:rPr>
          <w:rFonts w:ascii="GHEA Grapalat" w:hAnsi="GHEA Grapalat"/>
          <w:szCs w:val="20"/>
          <w:lang w:val="hy-AM"/>
        </w:rPr>
        <w:t xml:space="preserve"> մլրդ դրամ 2025 թվականի հաստատված բյուջեի նկատմամբ համապատասխանաբար </w:t>
      </w:r>
      <w:r>
        <w:rPr>
          <w:rFonts w:ascii="GHEA Grapalat" w:hAnsi="GHEA Grapalat"/>
          <w:szCs w:val="20"/>
          <w:lang w:val="hy-AM"/>
        </w:rPr>
        <w:t>5.5</w:t>
      </w:r>
      <w:r w:rsidRPr="004C2207">
        <w:rPr>
          <w:rFonts w:ascii="GHEA Grapalat" w:hAnsi="GHEA Grapalat"/>
          <w:szCs w:val="20"/>
          <w:lang w:val="hy-AM"/>
        </w:rPr>
        <w:t xml:space="preserve"> տոկոսով կամ </w:t>
      </w:r>
      <w:r>
        <w:rPr>
          <w:rFonts w:ascii="GHEA Grapalat" w:hAnsi="GHEA Grapalat"/>
          <w:szCs w:val="20"/>
          <w:lang w:val="hy-AM"/>
        </w:rPr>
        <w:t>18.2</w:t>
      </w:r>
      <w:r w:rsidRPr="004C2207">
        <w:rPr>
          <w:rFonts w:ascii="GHEA Grapalat" w:hAnsi="GHEA Grapalat"/>
          <w:szCs w:val="20"/>
          <w:lang w:val="hy-AM"/>
        </w:rPr>
        <w:t xml:space="preserve"> մլրդ դրամով պակաս:</w:t>
      </w:r>
      <w:r w:rsidRPr="0087491E">
        <w:rPr>
          <w:rFonts w:ascii="GHEA Grapalat" w:hAnsi="GHEA Grapalat"/>
          <w:szCs w:val="20"/>
          <w:lang w:val="hy-AM"/>
        </w:rPr>
        <w:t xml:space="preserve"> </w:t>
      </w:r>
      <w:r>
        <w:rPr>
          <w:lang w:val="hy-AM"/>
        </w:rPr>
        <w:t>2027 թվականին դրամաշնորհներին</w:t>
      </w:r>
      <w:r w:rsidRPr="0087491E">
        <w:rPr>
          <w:lang w:val="hy-AM"/>
        </w:rPr>
        <w:t xml:space="preserve"> ուղղվող </w:t>
      </w:r>
      <w:r w:rsidRPr="004C2207">
        <w:rPr>
          <w:lang w:val="hy-AM"/>
        </w:rPr>
        <w:t>ծախսերը</w:t>
      </w:r>
      <w:r>
        <w:rPr>
          <w:lang w:val="hy-AM"/>
        </w:rPr>
        <w:t xml:space="preserve"> նախատեսվում է սահմանել 331.1 մլրդ դրամ կամ 2026թ. պլանավորված ցուցանիշից ավել 16.8 մլրդ դրամով կամ 5.4 տոկոսով, 2028 թվականին՝ 361.0 մլրդ դրամ կամ 2027 թվականի պլանավորված ցուցանիշից ավել 29.9 մլրդ դրամով կամ 9.0 տոկոսով:</w:t>
      </w:r>
    </w:p>
    <w:p w14:paraId="2E948200" w14:textId="77777777" w:rsidR="006B15F5" w:rsidRPr="000E25AC" w:rsidRDefault="006B15F5" w:rsidP="006B15F5">
      <w:pPr>
        <w:jc w:val="both"/>
        <w:rPr>
          <w:rFonts w:ascii="GHEA Grapalat" w:hAnsi="GHEA Grapalat"/>
          <w:szCs w:val="20"/>
          <w:lang w:val="hy-AM"/>
        </w:rPr>
      </w:pPr>
      <w:r w:rsidRPr="0087491E">
        <w:rPr>
          <w:rFonts w:ascii="GHEA Grapalat" w:hAnsi="GHEA Grapalat"/>
          <w:szCs w:val="20"/>
          <w:lang w:val="hy-AM"/>
        </w:rPr>
        <w:t>202</w:t>
      </w:r>
      <w:r w:rsidRPr="00067DCC">
        <w:rPr>
          <w:rFonts w:ascii="GHEA Grapalat" w:hAnsi="GHEA Grapalat"/>
          <w:szCs w:val="20"/>
          <w:lang w:val="hy-AM"/>
        </w:rPr>
        <w:t>6</w:t>
      </w:r>
      <w:r w:rsidRPr="0087491E">
        <w:rPr>
          <w:rFonts w:ascii="GHEA Grapalat" w:hAnsi="GHEA Grapalat"/>
          <w:szCs w:val="20"/>
          <w:lang w:val="hy-AM"/>
        </w:rPr>
        <w:t xml:space="preserve">թ պետական բյուջեից </w:t>
      </w:r>
      <w:r w:rsidRPr="00440387">
        <w:rPr>
          <w:rFonts w:ascii="GHEA Grapalat" w:hAnsi="GHEA Grapalat"/>
          <w:szCs w:val="20"/>
          <w:lang w:val="hy-AM"/>
        </w:rPr>
        <w:t xml:space="preserve">նախատեսվում է տրամադրել ծառայությունների, ապրանքների ձեռքբերման և այլ ծախսերի գծով </w:t>
      </w:r>
      <w:r>
        <w:rPr>
          <w:rFonts w:ascii="GHEA Grapalat" w:hAnsi="GHEA Grapalat"/>
          <w:szCs w:val="20"/>
          <w:lang w:val="hy-AM"/>
        </w:rPr>
        <w:t>423.6</w:t>
      </w:r>
      <w:r w:rsidRPr="00440387">
        <w:rPr>
          <w:rFonts w:ascii="GHEA Grapalat" w:hAnsi="GHEA Grapalat"/>
          <w:szCs w:val="20"/>
          <w:lang w:val="hy-AM"/>
        </w:rPr>
        <w:t xml:space="preserve"> մլրդ դրամ, որը 2025 թվականի հաստատված բյուջեի նկատմամբ համապատասխանաբար</w:t>
      </w:r>
      <w:r w:rsidRPr="00C243A3">
        <w:rPr>
          <w:rFonts w:ascii="GHEA Grapalat" w:hAnsi="GHEA Grapalat"/>
          <w:szCs w:val="20"/>
          <w:lang w:val="hy-AM"/>
        </w:rPr>
        <w:t xml:space="preserve"> </w:t>
      </w:r>
      <w:r>
        <w:rPr>
          <w:rFonts w:ascii="GHEA Grapalat" w:hAnsi="GHEA Grapalat"/>
          <w:szCs w:val="20"/>
          <w:lang w:val="hy-AM"/>
        </w:rPr>
        <w:t>2.5</w:t>
      </w:r>
      <w:r w:rsidRPr="00440387">
        <w:rPr>
          <w:rFonts w:ascii="GHEA Grapalat" w:hAnsi="GHEA Grapalat"/>
          <w:szCs w:val="20"/>
          <w:lang w:val="hy-AM"/>
        </w:rPr>
        <w:t xml:space="preserve"> տոկոսով կամ </w:t>
      </w:r>
      <w:r>
        <w:rPr>
          <w:rFonts w:ascii="GHEA Grapalat" w:hAnsi="GHEA Grapalat"/>
          <w:szCs w:val="20"/>
          <w:lang w:val="hy-AM"/>
        </w:rPr>
        <w:t>10.4</w:t>
      </w:r>
      <w:r w:rsidRPr="00440387">
        <w:rPr>
          <w:rFonts w:ascii="GHEA Grapalat" w:hAnsi="GHEA Grapalat"/>
          <w:szCs w:val="20"/>
          <w:lang w:val="hy-AM"/>
        </w:rPr>
        <w:t xml:space="preserve"> մլրդ դրամով</w:t>
      </w:r>
      <w:r w:rsidRPr="0087491E">
        <w:rPr>
          <w:rFonts w:ascii="GHEA Grapalat" w:hAnsi="GHEA Grapalat"/>
          <w:szCs w:val="20"/>
          <w:lang w:val="hy-AM"/>
        </w:rPr>
        <w:t xml:space="preserve"> պակաս</w:t>
      </w:r>
      <w:r>
        <w:rPr>
          <w:rFonts w:ascii="GHEA Grapalat" w:hAnsi="GHEA Grapalat"/>
          <w:szCs w:val="20"/>
          <w:lang w:val="hy-AM"/>
        </w:rPr>
        <w:t xml:space="preserve"> է</w:t>
      </w:r>
      <w:r w:rsidRPr="0087491E">
        <w:rPr>
          <w:rFonts w:ascii="GHEA Grapalat" w:hAnsi="GHEA Grapalat"/>
          <w:szCs w:val="20"/>
          <w:lang w:val="hy-AM"/>
        </w:rPr>
        <w:t>:</w:t>
      </w:r>
      <w:r w:rsidRPr="000E25AC">
        <w:rPr>
          <w:lang w:val="hy-AM"/>
        </w:rPr>
        <w:t xml:space="preserve"> </w:t>
      </w:r>
      <w:r>
        <w:rPr>
          <w:lang w:val="hy-AM"/>
        </w:rPr>
        <w:t>2027 թվականին վերոնշյալ ցուցանիշին</w:t>
      </w:r>
      <w:r w:rsidRPr="0087491E">
        <w:rPr>
          <w:lang w:val="hy-AM"/>
        </w:rPr>
        <w:t xml:space="preserve"> ուղղվող </w:t>
      </w:r>
      <w:r w:rsidRPr="004C2207">
        <w:rPr>
          <w:lang w:val="hy-AM"/>
        </w:rPr>
        <w:t>ծախսերը</w:t>
      </w:r>
      <w:r>
        <w:rPr>
          <w:lang w:val="hy-AM"/>
        </w:rPr>
        <w:t xml:space="preserve"> նախատեսվում է սահմանել 401.7 մլրդ դրամ կամ 2026թ. պլանավորված ցուցանիշից պակաս 21.9 մլրդ դրամով կամ 5,2 տոկոսով, 2028 թվականին՝ 411.7 մլրդ դրամ կամ 2027 թվականի պլանավորված ցուցանիշից ավել 10.0 մլրդ դրամով կամ 2.5 տոկոսով</w:t>
      </w:r>
      <w:r w:rsidRPr="000E25AC">
        <w:rPr>
          <w:lang w:val="hy-AM"/>
        </w:rPr>
        <w:t>:</w:t>
      </w:r>
    </w:p>
    <w:p w14:paraId="124C01B6" w14:textId="4F87F3D5" w:rsidR="006B15F5" w:rsidRPr="009A30DD" w:rsidRDefault="006B15F5" w:rsidP="006B15F5">
      <w:pPr>
        <w:pStyle w:val="a"/>
      </w:pPr>
      <w:bookmarkStart w:id="408" w:name="_Toc115255381"/>
      <w:bookmarkStart w:id="409" w:name="_Toc83928947"/>
      <w:bookmarkStart w:id="410" w:name="_Toc83752675"/>
      <w:bookmarkStart w:id="411" w:name="_Toc57631762"/>
      <w:bookmarkStart w:id="412" w:name="_Toc178350620"/>
      <w:bookmarkStart w:id="413" w:name="_Toc178612145"/>
      <w:bookmarkStart w:id="414" w:name="_Toc184110771"/>
      <w:r w:rsidRPr="0087491E">
        <w:t xml:space="preserve">Աղյուսակ </w:t>
      </w:r>
      <w:r w:rsidRPr="009A30DD">
        <w:fldChar w:fldCharType="begin"/>
      </w:r>
      <w:r w:rsidRPr="0087491E">
        <w:instrText xml:space="preserve"> SEQ Աղյուսակ \* ARABIC </w:instrText>
      </w:r>
      <w:r w:rsidRPr="009A30DD">
        <w:fldChar w:fldCharType="separate"/>
      </w:r>
      <w:r w:rsidR="001848B1">
        <w:rPr>
          <w:noProof/>
        </w:rPr>
        <w:t>8</w:t>
      </w:r>
      <w:r w:rsidRPr="009A30DD">
        <w:fldChar w:fldCharType="end"/>
      </w:r>
      <w:r w:rsidRPr="009A30DD">
        <w:rPr>
          <w:rFonts w:ascii="Cambria Math" w:hAnsi="Cambria Math" w:cs="Cambria Math"/>
        </w:rPr>
        <w:t>․</w:t>
      </w:r>
      <w:r w:rsidRPr="0087491E">
        <w:t xml:space="preserve"> 202</w:t>
      </w:r>
      <w:r w:rsidRPr="00A30B0C">
        <w:t>2</w:t>
      </w:r>
      <w:r w:rsidRPr="0087491E">
        <w:t>-202</w:t>
      </w:r>
      <w:r>
        <w:t>8</w:t>
      </w:r>
      <w:r w:rsidRPr="0087491E">
        <w:t>թթ ընթացիկ ծախսերի ֆինանսավորման կառուցվածը ըստ տնտեսագիտական դասակարգման</w:t>
      </w:r>
      <w:bookmarkEnd w:id="408"/>
      <w:bookmarkEnd w:id="409"/>
      <w:bookmarkEnd w:id="410"/>
      <w:bookmarkEnd w:id="411"/>
      <w:r w:rsidRPr="0087491E">
        <w:t>, մլրդ դրամ</w:t>
      </w:r>
      <w:bookmarkEnd w:id="412"/>
      <w:bookmarkEnd w:id="413"/>
      <w:bookmarkEnd w:id="414"/>
    </w:p>
    <w:tbl>
      <w:tblPr>
        <w:tblW w:w="9844" w:type="dxa"/>
        <w:jc w:val="center"/>
        <w:tblBorders>
          <w:top w:val="single" w:sz="8" w:space="0" w:color="E1E1E3" w:themeColor="accent3" w:themeTint="33"/>
          <w:left w:val="single" w:sz="8" w:space="0" w:color="E1E1E3" w:themeColor="accent3" w:themeTint="33"/>
          <w:bottom w:val="single" w:sz="8" w:space="0" w:color="E1E1E3" w:themeColor="accent3" w:themeTint="33"/>
          <w:right w:val="single" w:sz="8" w:space="0" w:color="E1E1E3" w:themeColor="accent3" w:themeTint="33"/>
          <w:insideH w:val="single" w:sz="8" w:space="0" w:color="E1E1E3" w:themeColor="accent3" w:themeTint="33"/>
          <w:insideV w:val="single" w:sz="8" w:space="0" w:color="E1E1E3" w:themeColor="accent3" w:themeTint="33"/>
        </w:tblBorders>
        <w:tblLook w:val="04A0" w:firstRow="1" w:lastRow="0" w:firstColumn="1" w:lastColumn="0" w:noHBand="0" w:noVBand="1"/>
      </w:tblPr>
      <w:tblGrid>
        <w:gridCol w:w="3092"/>
        <w:gridCol w:w="952"/>
        <w:gridCol w:w="950"/>
        <w:gridCol w:w="954"/>
        <w:gridCol w:w="1093"/>
        <w:gridCol w:w="837"/>
        <w:gridCol w:w="860"/>
        <w:gridCol w:w="1106"/>
      </w:tblGrid>
      <w:tr w:rsidR="006B15F5" w:rsidRPr="0087491E" w14:paraId="4ED2F7C3" w14:textId="77777777" w:rsidTr="00147C8B">
        <w:trPr>
          <w:trHeight w:val="413"/>
          <w:jc w:val="center"/>
        </w:trPr>
        <w:tc>
          <w:tcPr>
            <w:tcW w:w="3092" w:type="dxa"/>
            <w:vMerge w:val="restart"/>
            <w:shd w:val="clear" w:color="auto" w:fill="D5DCE4" w:themeFill="text2" w:themeFillTint="33"/>
            <w:vAlign w:val="center"/>
          </w:tcPr>
          <w:p w14:paraId="08EA5014" w14:textId="77777777" w:rsidR="006B15F5" w:rsidRPr="0087491E" w:rsidRDefault="006B15F5" w:rsidP="00147C8B">
            <w:pPr>
              <w:spacing w:before="0" w:after="0" w:line="240" w:lineRule="auto"/>
              <w:ind w:right="70"/>
              <w:rPr>
                <w:b/>
              </w:rPr>
            </w:pPr>
            <w:r w:rsidRPr="00A30B0C">
              <w:rPr>
                <w:b/>
                <w:sz w:val="18"/>
              </w:rPr>
              <w:t>Ցուցանիշներ</w:t>
            </w:r>
          </w:p>
        </w:tc>
        <w:tc>
          <w:tcPr>
            <w:tcW w:w="2856" w:type="dxa"/>
            <w:gridSpan w:val="3"/>
            <w:shd w:val="clear" w:color="auto" w:fill="D5DCE4" w:themeFill="text2" w:themeFillTint="33"/>
            <w:vAlign w:val="center"/>
          </w:tcPr>
          <w:p w14:paraId="200EC225" w14:textId="77777777" w:rsidR="006B15F5" w:rsidRPr="0087491E" w:rsidRDefault="006B15F5" w:rsidP="00147C8B">
            <w:pPr>
              <w:spacing w:before="0" w:after="0" w:line="240" w:lineRule="auto"/>
              <w:jc w:val="center"/>
              <w:rPr>
                <w:b/>
              </w:rPr>
            </w:pPr>
            <w:r w:rsidRPr="003170C3">
              <w:rPr>
                <w:b/>
                <w:sz w:val="18"/>
                <w:szCs w:val="18"/>
              </w:rPr>
              <w:t>Փաստ</w:t>
            </w:r>
          </w:p>
        </w:tc>
        <w:tc>
          <w:tcPr>
            <w:tcW w:w="1093" w:type="dxa"/>
            <w:shd w:val="clear" w:color="auto" w:fill="D5DCE4" w:themeFill="text2" w:themeFillTint="33"/>
            <w:vAlign w:val="center"/>
          </w:tcPr>
          <w:p w14:paraId="713AC5BA" w14:textId="77777777" w:rsidR="006B15F5" w:rsidRPr="0087491E" w:rsidRDefault="006B15F5" w:rsidP="00147C8B">
            <w:pPr>
              <w:spacing w:before="0" w:after="0" w:line="240" w:lineRule="auto"/>
              <w:jc w:val="center"/>
              <w:rPr>
                <w:b/>
              </w:rPr>
            </w:pPr>
            <w:r w:rsidRPr="003170C3">
              <w:rPr>
                <w:b/>
                <w:sz w:val="18"/>
                <w:szCs w:val="18"/>
              </w:rPr>
              <w:t>Բյուջե</w:t>
            </w:r>
          </w:p>
        </w:tc>
        <w:tc>
          <w:tcPr>
            <w:tcW w:w="2803" w:type="dxa"/>
            <w:gridSpan w:val="3"/>
            <w:shd w:val="clear" w:color="auto" w:fill="D5DCE4" w:themeFill="text2" w:themeFillTint="33"/>
            <w:vAlign w:val="center"/>
          </w:tcPr>
          <w:p w14:paraId="76C06AED" w14:textId="77777777" w:rsidR="006B15F5" w:rsidRPr="0087491E" w:rsidRDefault="006B15F5" w:rsidP="00147C8B">
            <w:pPr>
              <w:spacing w:before="0" w:after="0" w:line="240" w:lineRule="auto"/>
              <w:jc w:val="center"/>
              <w:rPr>
                <w:b/>
              </w:rPr>
            </w:pPr>
            <w:r w:rsidRPr="003170C3">
              <w:rPr>
                <w:b/>
                <w:sz w:val="18"/>
                <w:szCs w:val="18"/>
                <w:lang w:val="hy-AM"/>
              </w:rPr>
              <w:t>Ծ</w:t>
            </w:r>
            <w:r w:rsidRPr="003170C3">
              <w:rPr>
                <w:b/>
                <w:sz w:val="18"/>
                <w:szCs w:val="18"/>
              </w:rPr>
              <w:t>րագիր</w:t>
            </w:r>
          </w:p>
        </w:tc>
      </w:tr>
      <w:tr w:rsidR="006B15F5" w:rsidRPr="0087491E" w14:paraId="1405A074" w14:textId="77777777" w:rsidTr="00147C8B">
        <w:trPr>
          <w:trHeight w:val="413"/>
          <w:jc w:val="center"/>
        </w:trPr>
        <w:tc>
          <w:tcPr>
            <w:tcW w:w="3092" w:type="dxa"/>
            <w:vMerge/>
            <w:shd w:val="clear" w:color="auto" w:fill="D5DCE4" w:themeFill="text2" w:themeFillTint="33"/>
            <w:vAlign w:val="center"/>
            <w:hideMark/>
          </w:tcPr>
          <w:p w14:paraId="0E77E2D0" w14:textId="77777777" w:rsidR="006B15F5" w:rsidRPr="0087491E" w:rsidRDefault="006B15F5" w:rsidP="00147C8B">
            <w:pPr>
              <w:spacing w:before="0" w:after="0" w:line="240" w:lineRule="auto"/>
              <w:ind w:right="70"/>
              <w:rPr>
                <w:b/>
              </w:rPr>
            </w:pPr>
          </w:p>
        </w:tc>
        <w:tc>
          <w:tcPr>
            <w:tcW w:w="952" w:type="dxa"/>
            <w:shd w:val="clear" w:color="auto" w:fill="D5DCE4" w:themeFill="text2" w:themeFillTint="33"/>
            <w:vAlign w:val="center"/>
            <w:hideMark/>
          </w:tcPr>
          <w:p w14:paraId="2844F96A" w14:textId="77777777" w:rsidR="006B15F5" w:rsidRPr="0087491E" w:rsidRDefault="006B15F5" w:rsidP="00147C8B">
            <w:pPr>
              <w:spacing w:before="0" w:after="0" w:line="240" w:lineRule="auto"/>
              <w:jc w:val="center"/>
              <w:rPr>
                <w:b/>
              </w:rPr>
            </w:pPr>
            <w:r>
              <w:rPr>
                <w:b/>
                <w:sz w:val="18"/>
                <w:szCs w:val="18"/>
              </w:rPr>
              <w:t>2022</w:t>
            </w:r>
          </w:p>
        </w:tc>
        <w:tc>
          <w:tcPr>
            <w:tcW w:w="950" w:type="dxa"/>
            <w:shd w:val="clear" w:color="auto" w:fill="D5DCE4" w:themeFill="text2" w:themeFillTint="33"/>
            <w:vAlign w:val="center"/>
            <w:hideMark/>
          </w:tcPr>
          <w:p w14:paraId="792125A8" w14:textId="77777777" w:rsidR="006B15F5" w:rsidRPr="0087491E" w:rsidRDefault="006B15F5" w:rsidP="00147C8B">
            <w:pPr>
              <w:spacing w:before="0" w:after="0" w:line="240" w:lineRule="auto"/>
              <w:jc w:val="center"/>
              <w:rPr>
                <w:b/>
              </w:rPr>
            </w:pPr>
            <w:r>
              <w:rPr>
                <w:b/>
                <w:sz w:val="18"/>
                <w:szCs w:val="18"/>
              </w:rPr>
              <w:t>2023</w:t>
            </w:r>
          </w:p>
        </w:tc>
        <w:tc>
          <w:tcPr>
            <w:tcW w:w="953" w:type="dxa"/>
            <w:shd w:val="clear" w:color="auto" w:fill="D5DCE4" w:themeFill="text2" w:themeFillTint="33"/>
            <w:vAlign w:val="center"/>
            <w:hideMark/>
          </w:tcPr>
          <w:p w14:paraId="07AE892F" w14:textId="77777777" w:rsidR="006B15F5" w:rsidRPr="0087491E" w:rsidRDefault="006B15F5" w:rsidP="00147C8B">
            <w:pPr>
              <w:spacing w:before="0" w:after="0" w:line="240" w:lineRule="auto"/>
              <w:jc w:val="center"/>
              <w:rPr>
                <w:b/>
              </w:rPr>
            </w:pPr>
            <w:r>
              <w:rPr>
                <w:b/>
                <w:sz w:val="18"/>
                <w:szCs w:val="18"/>
              </w:rPr>
              <w:t>2024</w:t>
            </w:r>
          </w:p>
        </w:tc>
        <w:tc>
          <w:tcPr>
            <w:tcW w:w="1093" w:type="dxa"/>
            <w:shd w:val="clear" w:color="auto" w:fill="D5DCE4" w:themeFill="text2" w:themeFillTint="33"/>
            <w:vAlign w:val="center"/>
            <w:hideMark/>
          </w:tcPr>
          <w:p w14:paraId="4DD179F5" w14:textId="77777777" w:rsidR="006B15F5" w:rsidRPr="0087491E" w:rsidRDefault="006B15F5" w:rsidP="00147C8B">
            <w:pPr>
              <w:spacing w:before="0" w:after="0" w:line="240" w:lineRule="auto"/>
              <w:jc w:val="center"/>
              <w:rPr>
                <w:b/>
              </w:rPr>
            </w:pPr>
            <w:r>
              <w:rPr>
                <w:b/>
                <w:sz w:val="18"/>
                <w:szCs w:val="18"/>
              </w:rPr>
              <w:t>2025</w:t>
            </w:r>
          </w:p>
        </w:tc>
        <w:tc>
          <w:tcPr>
            <w:tcW w:w="837" w:type="dxa"/>
            <w:shd w:val="clear" w:color="auto" w:fill="D5DCE4" w:themeFill="text2" w:themeFillTint="33"/>
            <w:vAlign w:val="center"/>
          </w:tcPr>
          <w:p w14:paraId="78409A72" w14:textId="77777777" w:rsidR="006B15F5" w:rsidRDefault="006B15F5" w:rsidP="00147C8B">
            <w:pPr>
              <w:spacing w:before="0" w:after="0" w:line="240" w:lineRule="auto"/>
              <w:jc w:val="center"/>
              <w:rPr>
                <w:b/>
                <w:sz w:val="18"/>
                <w:szCs w:val="18"/>
              </w:rPr>
            </w:pPr>
            <w:r>
              <w:rPr>
                <w:b/>
                <w:sz w:val="18"/>
                <w:szCs w:val="18"/>
              </w:rPr>
              <w:t>2026</w:t>
            </w:r>
          </w:p>
        </w:tc>
        <w:tc>
          <w:tcPr>
            <w:tcW w:w="860" w:type="dxa"/>
            <w:shd w:val="clear" w:color="auto" w:fill="D5DCE4" w:themeFill="text2" w:themeFillTint="33"/>
            <w:vAlign w:val="center"/>
          </w:tcPr>
          <w:p w14:paraId="6171FD93" w14:textId="77777777" w:rsidR="006B15F5" w:rsidRDefault="006B15F5" w:rsidP="00147C8B">
            <w:pPr>
              <w:spacing w:before="0" w:after="0" w:line="240" w:lineRule="auto"/>
              <w:jc w:val="center"/>
              <w:rPr>
                <w:b/>
                <w:sz w:val="18"/>
                <w:szCs w:val="18"/>
              </w:rPr>
            </w:pPr>
            <w:r>
              <w:rPr>
                <w:b/>
                <w:sz w:val="18"/>
                <w:szCs w:val="18"/>
              </w:rPr>
              <w:t>2027</w:t>
            </w:r>
          </w:p>
        </w:tc>
        <w:tc>
          <w:tcPr>
            <w:tcW w:w="1105" w:type="dxa"/>
            <w:shd w:val="clear" w:color="auto" w:fill="D5DCE4" w:themeFill="text2" w:themeFillTint="33"/>
            <w:vAlign w:val="center"/>
            <w:hideMark/>
          </w:tcPr>
          <w:p w14:paraId="6D19DB79" w14:textId="77777777" w:rsidR="006B15F5" w:rsidRPr="00423806" w:rsidRDefault="006B15F5" w:rsidP="00147C8B">
            <w:pPr>
              <w:spacing w:before="0" w:after="0" w:line="240" w:lineRule="auto"/>
              <w:jc w:val="center"/>
              <w:rPr>
                <w:b/>
                <w:lang w:val="hy-AM"/>
              </w:rPr>
            </w:pPr>
            <w:r>
              <w:rPr>
                <w:b/>
                <w:sz w:val="18"/>
                <w:szCs w:val="18"/>
              </w:rPr>
              <w:t>202</w:t>
            </w:r>
            <w:r>
              <w:rPr>
                <w:b/>
                <w:sz w:val="18"/>
                <w:szCs w:val="18"/>
                <w:lang w:val="hy-AM"/>
              </w:rPr>
              <w:t>8</w:t>
            </w:r>
          </w:p>
        </w:tc>
      </w:tr>
      <w:tr w:rsidR="006B15F5" w:rsidRPr="0087491E" w14:paraId="36220FAF" w14:textId="77777777" w:rsidTr="00147C8B">
        <w:trPr>
          <w:trHeight w:val="413"/>
          <w:jc w:val="center"/>
        </w:trPr>
        <w:tc>
          <w:tcPr>
            <w:tcW w:w="3092" w:type="dxa"/>
            <w:shd w:val="clear" w:color="auto" w:fill="auto"/>
            <w:vAlign w:val="center"/>
            <w:hideMark/>
          </w:tcPr>
          <w:p w14:paraId="36E94068" w14:textId="77777777" w:rsidR="006B15F5" w:rsidRPr="0087491E" w:rsidRDefault="006B15F5" w:rsidP="00147C8B">
            <w:pPr>
              <w:spacing w:before="0" w:after="0" w:line="240" w:lineRule="auto"/>
              <w:ind w:right="70"/>
              <w:rPr>
                <w:sz w:val="18"/>
                <w:szCs w:val="18"/>
              </w:rPr>
            </w:pPr>
            <w:r w:rsidRPr="0087491E">
              <w:rPr>
                <w:sz w:val="18"/>
                <w:szCs w:val="18"/>
              </w:rPr>
              <w:t>Ընթացիկ ծախսեր</w:t>
            </w:r>
          </w:p>
        </w:tc>
        <w:tc>
          <w:tcPr>
            <w:tcW w:w="952" w:type="dxa"/>
            <w:shd w:val="clear" w:color="auto" w:fill="auto"/>
            <w:vAlign w:val="center"/>
          </w:tcPr>
          <w:p w14:paraId="2D58AD73" w14:textId="77777777" w:rsidR="006B15F5" w:rsidRPr="00440387" w:rsidRDefault="006B15F5" w:rsidP="00147C8B">
            <w:pPr>
              <w:spacing w:before="0" w:after="0" w:line="240" w:lineRule="auto"/>
              <w:jc w:val="center"/>
              <w:rPr>
                <w:rFonts w:ascii="GHEA Grapalat" w:hAnsi="GHEA Grapalat" w:cs="Calibri"/>
                <w:color w:val="404040"/>
                <w:sz w:val="18"/>
                <w:szCs w:val="18"/>
              </w:rPr>
            </w:pPr>
            <w:r w:rsidRPr="00440387">
              <w:rPr>
                <w:rFonts w:ascii="GHEA Grapalat" w:hAnsi="GHEA Grapalat" w:cs="Calibri"/>
                <w:color w:val="404040"/>
                <w:sz w:val="18"/>
                <w:szCs w:val="18"/>
              </w:rPr>
              <w:t>1,862.2</w:t>
            </w:r>
          </w:p>
        </w:tc>
        <w:tc>
          <w:tcPr>
            <w:tcW w:w="950" w:type="dxa"/>
            <w:shd w:val="clear" w:color="auto" w:fill="auto"/>
            <w:vAlign w:val="center"/>
          </w:tcPr>
          <w:p w14:paraId="3E02DC2F" w14:textId="77777777" w:rsidR="006B15F5" w:rsidRPr="00440387" w:rsidRDefault="006B15F5" w:rsidP="00147C8B">
            <w:pPr>
              <w:spacing w:before="0" w:after="0" w:line="240" w:lineRule="auto"/>
              <w:jc w:val="center"/>
              <w:rPr>
                <w:rFonts w:ascii="GHEA Grapalat" w:hAnsi="GHEA Grapalat" w:cs="Calibri"/>
                <w:color w:val="404040"/>
                <w:sz w:val="18"/>
                <w:szCs w:val="18"/>
              </w:rPr>
            </w:pPr>
            <w:r w:rsidRPr="00440387">
              <w:rPr>
                <w:rFonts w:ascii="GHEA Grapalat" w:hAnsi="GHEA Grapalat" w:cs="Calibri"/>
                <w:color w:val="404040"/>
                <w:sz w:val="18"/>
                <w:szCs w:val="18"/>
              </w:rPr>
              <w:t>2,075.1</w:t>
            </w:r>
          </w:p>
        </w:tc>
        <w:tc>
          <w:tcPr>
            <w:tcW w:w="953" w:type="dxa"/>
            <w:shd w:val="clear" w:color="auto" w:fill="auto"/>
            <w:vAlign w:val="center"/>
          </w:tcPr>
          <w:p w14:paraId="0EC5D4E3" w14:textId="77777777" w:rsidR="006B15F5" w:rsidRPr="00440387" w:rsidRDefault="006B15F5" w:rsidP="00147C8B">
            <w:pPr>
              <w:spacing w:before="0" w:after="0" w:line="240" w:lineRule="auto"/>
              <w:jc w:val="center"/>
              <w:rPr>
                <w:rFonts w:ascii="GHEA Grapalat" w:hAnsi="GHEA Grapalat" w:cs="Calibri"/>
                <w:color w:val="404040"/>
                <w:sz w:val="18"/>
                <w:szCs w:val="18"/>
              </w:rPr>
            </w:pPr>
            <w:r w:rsidRPr="00440387">
              <w:rPr>
                <w:rFonts w:ascii="GHEA Grapalat" w:hAnsi="GHEA Grapalat" w:cs="Calibri"/>
                <w:color w:val="404040"/>
                <w:sz w:val="18"/>
                <w:szCs w:val="18"/>
              </w:rPr>
              <w:t>2,413.6</w:t>
            </w:r>
          </w:p>
        </w:tc>
        <w:tc>
          <w:tcPr>
            <w:tcW w:w="1093" w:type="dxa"/>
            <w:shd w:val="clear" w:color="auto" w:fill="auto"/>
            <w:noWrap/>
            <w:vAlign w:val="center"/>
          </w:tcPr>
          <w:p w14:paraId="5684CBD3" w14:textId="77777777" w:rsidR="006B15F5" w:rsidRPr="00440387" w:rsidRDefault="006B15F5" w:rsidP="00147C8B">
            <w:pPr>
              <w:spacing w:before="0" w:after="0" w:line="240" w:lineRule="auto"/>
              <w:jc w:val="center"/>
              <w:rPr>
                <w:rFonts w:ascii="GHEA Grapalat" w:hAnsi="GHEA Grapalat" w:cs="Calibri"/>
                <w:color w:val="404040"/>
                <w:sz w:val="18"/>
                <w:szCs w:val="18"/>
              </w:rPr>
            </w:pPr>
            <w:r w:rsidRPr="00440387">
              <w:rPr>
                <w:rFonts w:ascii="GHEA Grapalat" w:hAnsi="GHEA Grapalat" w:cs="Calibri"/>
                <w:color w:val="404040"/>
                <w:sz w:val="18"/>
                <w:szCs w:val="18"/>
              </w:rPr>
              <w:t>2,706.8</w:t>
            </w:r>
          </w:p>
        </w:tc>
        <w:tc>
          <w:tcPr>
            <w:tcW w:w="837" w:type="dxa"/>
            <w:vAlign w:val="center"/>
          </w:tcPr>
          <w:p w14:paraId="3F8C42CE" w14:textId="77777777" w:rsidR="006B15F5" w:rsidRDefault="006B15F5" w:rsidP="00147C8B">
            <w:pPr>
              <w:spacing w:before="0" w:after="0" w:line="240" w:lineRule="auto"/>
              <w:jc w:val="center"/>
              <w:rPr>
                <w:rFonts w:ascii="GHEA Grapalat" w:hAnsi="GHEA Grapalat" w:cs="Calibri"/>
                <w:color w:val="404040"/>
                <w:sz w:val="18"/>
                <w:szCs w:val="18"/>
              </w:rPr>
            </w:pPr>
            <w:r w:rsidRPr="00B75F98">
              <w:rPr>
                <w:rFonts w:ascii="GHEA Grapalat" w:hAnsi="GHEA Grapalat" w:cs="Calibri"/>
                <w:color w:val="404040"/>
                <w:sz w:val="18"/>
                <w:szCs w:val="18"/>
              </w:rPr>
              <w:t>2,92</w:t>
            </w:r>
            <w:r>
              <w:rPr>
                <w:rFonts w:ascii="GHEA Grapalat" w:hAnsi="GHEA Grapalat" w:cs="Calibri"/>
                <w:color w:val="404040"/>
                <w:sz w:val="18"/>
                <w:szCs w:val="18"/>
                <w:lang w:val="hy-AM"/>
              </w:rPr>
              <w:t>3</w:t>
            </w:r>
            <w:r w:rsidRPr="00B75F98">
              <w:rPr>
                <w:rFonts w:ascii="GHEA Grapalat" w:hAnsi="GHEA Grapalat" w:cs="Calibri"/>
                <w:color w:val="404040"/>
                <w:sz w:val="18"/>
                <w:szCs w:val="18"/>
              </w:rPr>
              <w:t>.5</w:t>
            </w:r>
          </w:p>
        </w:tc>
        <w:tc>
          <w:tcPr>
            <w:tcW w:w="860" w:type="dxa"/>
            <w:vAlign w:val="center"/>
          </w:tcPr>
          <w:p w14:paraId="02EBBAEC" w14:textId="77777777" w:rsidR="006B15F5" w:rsidRPr="00853660" w:rsidRDefault="006B15F5" w:rsidP="00147C8B">
            <w:pPr>
              <w:spacing w:before="0" w:after="0" w:line="240" w:lineRule="auto"/>
              <w:jc w:val="center"/>
              <w:rPr>
                <w:rFonts w:ascii="GHEA Grapalat" w:hAnsi="GHEA Grapalat" w:cs="Calibri"/>
                <w:color w:val="404040"/>
                <w:sz w:val="18"/>
                <w:szCs w:val="18"/>
                <w:lang w:val="hy-AM"/>
              </w:rPr>
            </w:pPr>
            <w:r w:rsidRPr="00B75F98">
              <w:rPr>
                <w:rFonts w:ascii="GHEA Grapalat" w:hAnsi="GHEA Grapalat" w:cs="Calibri"/>
                <w:color w:val="404040"/>
                <w:sz w:val="18"/>
                <w:szCs w:val="18"/>
              </w:rPr>
              <w:t>3</w:t>
            </w:r>
            <w:r>
              <w:rPr>
                <w:rFonts w:ascii="GHEA Grapalat" w:hAnsi="GHEA Grapalat" w:cs="Calibri"/>
                <w:color w:val="404040"/>
                <w:sz w:val="18"/>
                <w:szCs w:val="18"/>
              </w:rPr>
              <w:t>,081</w:t>
            </w:r>
            <w:r w:rsidRPr="00B75F98">
              <w:rPr>
                <w:rFonts w:ascii="GHEA Grapalat" w:hAnsi="GHEA Grapalat" w:cs="Calibri"/>
                <w:color w:val="404040"/>
                <w:sz w:val="18"/>
                <w:szCs w:val="18"/>
              </w:rPr>
              <w:t>.</w:t>
            </w:r>
            <w:r>
              <w:rPr>
                <w:rFonts w:ascii="GHEA Grapalat" w:hAnsi="GHEA Grapalat" w:cs="Calibri"/>
                <w:color w:val="404040"/>
                <w:sz w:val="18"/>
                <w:szCs w:val="18"/>
                <w:lang w:val="hy-AM"/>
              </w:rPr>
              <w:t>9</w:t>
            </w:r>
          </w:p>
        </w:tc>
        <w:tc>
          <w:tcPr>
            <w:tcW w:w="1105" w:type="dxa"/>
            <w:shd w:val="clear" w:color="auto" w:fill="auto"/>
            <w:noWrap/>
            <w:vAlign w:val="center"/>
          </w:tcPr>
          <w:p w14:paraId="286E9A4C" w14:textId="77777777" w:rsidR="006B15F5" w:rsidRPr="00853660" w:rsidRDefault="006B15F5" w:rsidP="00147C8B">
            <w:pPr>
              <w:spacing w:before="0" w:after="0" w:line="240" w:lineRule="auto"/>
              <w:jc w:val="center"/>
              <w:rPr>
                <w:rFonts w:ascii="GHEA Grapalat" w:hAnsi="GHEA Grapalat" w:cs="Calibri"/>
                <w:color w:val="404040"/>
                <w:sz w:val="18"/>
                <w:szCs w:val="18"/>
                <w:lang w:val="hy-AM"/>
              </w:rPr>
            </w:pPr>
            <w:r w:rsidRPr="00B75F98">
              <w:rPr>
                <w:rFonts w:ascii="GHEA Grapalat" w:hAnsi="GHEA Grapalat" w:cs="Calibri"/>
                <w:color w:val="404040"/>
                <w:sz w:val="18"/>
                <w:szCs w:val="18"/>
              </w:rPr>
              <w:t>3,22</w:t>
            </w:r>
            <w:r>
              <w:rPr>
                <w:rFonts w:ascii="GHEA Grapalat" w:hAnsi="GHEA Grapalat" w:cs="Calibri"/>
                <w:color w:val="404040"/>
                <w:sz w:val="18"/>
                <w:szCs w:val="18"/>
                <w:lang w:val="hy-AM"/>
              </w:rPr>
              <w:t>7</w:t>
            </w:r>
            <w:r w:rsidRPr="00B75F98">
              <w:rPr>
                <w:rFonts w:ascii="GHEA Grapalat" w:hAnsi="GHEA Grapalat" w:cs="Calibri"/>
                <w:color w:val="404040"/>
                <w:sz w:val="18"/>
                <w:szCs w:val="18"/>
              </w:rPr>
              <w:t>.</w:t>
            </w:r>
            <w:r>
              <w:rPr>
                <w:rFonts w:ascii="GHEA Grapalat" w:hAnsi="GHEA Grapalat" w:cs="Calibri"/>
                <w:color w:val="404040"/>
                <w:sz w:val="18"/>
                <w:szCs w:val="18"/>
                <w:lang w:val="hy-AM"/>
              </w:rPr>
              <w:t>5</w:t>
            </w:r>
          </w:p>
        </w:tc>
      </w:tr>
      <w:tr w:rsidR="006B15F5" w:rsidRPr="0087491E" w14:paraId="7AD60263" w14:textId="77777777" w:rsidTr="00147C8B">
        <w:trPr>
          <w:trHeight w:val="413"/>
          <w:jc w:val="center"/>
        </w:trPr>
        <w:tc>
          <w:tcPr>
            <w:tcW w:w="3092" w:type="dxa"/>
            <w:shd w:val="clear" w:color="auto" w:fill="auto"/>
            <w:vAlign w:val="center"/>
            <w:hideMark/>
          </w:tcPr>
          <w:p w14:paraId="53C06E49" w14:textId="77777777" w:rsidR="006B15F5" w:rsidRPr="0087491E" w:rsidRDefault="006B15F5" w:rsidP="00147C8B">
            <w:pPr>
              <w:spacing w:before="0" w:after="0" w:line="240" w:lineRule="auto"/>
              <w:ind w:right="70"/>
              <w:rPr>
                <w:sz w:val="18"/>
                <w:szCs w:val="18"/>
              </w:rPr>
            </w:pPr>
            <w:r w:rsidRPr="0087491E">
              <w:rPr>
                <w:sz w:val="18"/>
                <w:szCs w:val="18"/>
              </w:rPr>
              <w:t>1. Աշխատանքի վարձատրություն</w:t>
            </w:r>
          </w:p>
        </w:tc>
        <w:tc>
          <w:tcPr>
            <w:tcW w:w="952" w:type="dxa"/>
            <w:shd w:val="clear" w:color="auto" w:fill="auto"/>
            <w:vAlign w:val="center"/>
          </w:tcPr>
          <w:p w14:paraId="1853CBD3" w14:textId="77777777" w:rsidR="006B15F5" w:rsidRPr="00440387" w:rsidRDefault="006B15F5" w:rsidP="00147C8B">
            <w:pPr>
              <w:spacing w:before="0" w:after="0" w:line="240" w:lineRule="auto"/>
              <w:jc w:val="center"/>
              <w:rPr>
                <w:rFonts w:ascii="GHEA Grapalat" w:hAnsi="GHEA Grapalat" w:cs="Calibri"/>
                <w:color w:val="404040"/>
                <w:sz w:val="18"/>
                <w:szCs w:val="18"/>
              </w:rPr>
            </w:pPr>
            <w:r w:rsidRPr="00440387">
              <w:rPr>
                <w:rFonts w:ascii="GHEA Grapalat" w:hAnsi="GHEA Grapalat" w:cs="Calibri"/>
                <w:color w:val="404040"/>
                <w:sz w:val="18"/>
                <w:szCs w:val="18"/>
              </w:rPr>
              <w:t>194.1</w:t>
            </w:r>
          </w:p>
        </w:tc>
        <w:tc>
          <w:tcPr>
            <w:tcW w:w="950" w:type="dxa"/>
            <w:shd w:val="clear" w:color="auto" w:fill="auto"/>
            <w:vAlign w:val="center"/>
          </w:tcPr>
          <w:p w14:paraId="61BF274E" w14:textId="77777777" w:rsidR="006B15F5" w:rsidRPr="00440387" w:rsidRDefault="006B15F5" w:rsidP="00147C8B">
            <w:pPr>
              <w:spacing w:before="0" w:after="0" w:line="240" w:lineRule="auto"/>
              <w:jc w:val="center"/>
              <w:rPr>
                <w:rFonts w:ascii="GHEA Grapalat" w:hAnsi="GHEA Grapalat" w:cs="Calibri"/>
                <w:color w:val="404040"/>
                <w:sz w:val="18"/>
                <w:szCs w:val="18"/>
              </w:rPr>
            </w:pPr>
            <w:r w:rsidRPr="00440387">
              <w:rPr>
                <w:rFonts w:ascii="GHEA Grapalat" w:hAnsi="GHEA Grapalat" w:cs="Calibri"/>
                <w:color w:val="404040"/>
                <w:sz w:val="18"/>
                <w:szCs w:val="18"/>
              </w:rPr>
              <w:t>218.0</w:t>
            </w:r>
          </w:p>
        </w:tc>
        <w:tc>
          <w:tcPr>
            <w:tcW w:w="953" w:type="dxa"/>
            <w:shd w:val="clear" w:color="auto" w:fill="auto"/>
            <w:vAlign w:val="center"/>
          </w:tcPr>
          <w:p w14:paraId="7D53CA60" w14:textId="77777777" w:rsidR="006B15F5" w:rsidRPr="00440387" w:rsidRDefault="006B15F5" w:rsidP="00147C8B">
            <w:pPr>
              <w:spacing w:before="0" w:after="0" w:line="240" w:lineRule="auto"/>
              <w:jc w:val="center"/>
              <w:rPr>
                <w:rFonts w:ascii="GHEA Grapalat" w:hAnsi="GHEA Grapalat" w:cs="Calibri"/>
                <w:color w:val="404040"/>
                <w:sz w:val="18"/>
                <w:szCs w:val="18"/>
              </w:rPr>
            </w:pPr>
            <w:r w:rsidRPr="00440387">
              <w:rPr>
                <w:rFonts w:ascii="GHEA Grapalat" w:hAnsi="GHEA Grapalat" w:cs="Calibri"/>
                <w:color w:val="404040"/>
                <w:sz w:val="18"/>
                <w:szCs w:val="18"/>
              </w:rPr>
              <w:t>242.7</w:t>
            </w:r>
          </w:p>
        </w:tc>
        <w:tc>
          <w:tcPr>
            <w:tcW w:w="1093" w:type="dxa"/>
            <w:shd w:val="clear" w:color="auto" w:fill="auto"/>
            <w:noWrap/>
            <w:vAlign w:val="center"/>
          </w:tcPr>
          <w:p w14:paraId="1287CC6C" w14:textId="77777777" w:rsidR="006B15F5" w:rsidRPr="00440387" w:rsidRDefault="006B15F5" w:rsidP="00147C8B">
            <w:pPr>
              <w:spacing w:before="0" w:after="0" w:line="240" w:lineRule="auto"/>
              <w:jc w:val="center"/>
              <w:rPr>
                <w:rFonts w:ascii="GHEA Grapalat" w:hAnsi="GHEA Grapalat" w:cs="Calibri"/>
                <w:color w:val="404040"/>
                <w:sz w:val="18"/>
                <w:szCs w:val="18"/>
              </w:rPr>
            </w:pPr>
            <w:r w:rsidRPr="00440387">
              <w:rPr>
                <w:rFonts w:ascii="GHEA Grapalat" w:hAnsi="GHEA Grapalat" w:cs="Calibri"/>
                <w:color w:val="404040"/>
                <w:sz w:val="18"/>
                <w:szCs w:val="18"/>
              </w:rPr>
              <w:t>261.0</w:t>
            </w:r>
          </w:p>
        </w:tc>
        <w:tc>
          <w:tcPr>
            <w:tcW w:w="837" w:type="dxa"/>
            <w:vAlign w:val="center"/>
          </w:tcPr>
          <w:p w14:paraId="7EBA1556" w14:textId="77777777" w:rsidR="006B15F5" w:rsidRPr="00853660" w:rsidRDefault="006B15F5" w:rsidP="00147C8B">
            <w:pPr>
              <w:spacing w:before="0" w:after="0" w:line="240" w:lineRule="auto"/>
              <w:jc w:val="center"/>
              <w:rPr>
                <w:rFonts w:ascii="GHEA Grapalat" w:hAnsi="GHEA Grapalat" w:cs="Calibri"/>
                <w:color w:val="404040"/>
                <w:sz w:val="18"/>
                <w:szCs w:val="18"/>
                <w:lang w:val="hy-AM"/>
              </w:rPr>
            </w:pPr>
            <w:r>
              <w:rPr>
                <w:rFonts w:ascii="GHEA Grapalat" w:hAnsi="GHEA Grapalat" w:cs="Calibri"/>
                <w:color w:val="404040"/>
                <w:sz w:val="18"/>
                <w:szCs w:val="18"/>
                <w:lang w:val="hy-AM"/>
              </w:rPr>
              <w:t>268.4</w:t>
            </w:r>
          </w:p>
        </w:tc>
        <w:tc>
          <w:tcPr>
            <w:tcW w:w="860" w:type="dxa"/>
            <w:vAlign w:val="center"/>
          </w:tcPr>
          <w:p w14:paraId="43D176BC" w14:textId="77777777" w:rsidR="006B15F5" w:rsidRDefault="006B15F5" w:rsidP="00147C8B">
            <w:pPr>
              <w:spacing w:before="0" w:after="0" w:line="240" w:lineRule="auto"/>
              <w:jc w:val="center"/>
              <w:rPr>
                <w:rFonts w:ascii="GHEA Grapalat" w:hAnsi="GHEA Grapalat" w:cs="Calibri"/>
                <w:color w:val="404040"/>
                <w:sz w:val="18"/>
                <w:szCs w:val="18"/>
              </w:rPr>
            </w:pPr>
            <w:r w:rsidRPr="00B75F98">
              <w:rPr>
                <w:rFonts w:ascii="GHEA Grapalat" w:hAnsi="GHEA Grapalat" w:cs="Calibri"/>
                <w:color w:val="404040"/>
                <w:sz w:val="18"/>
                <w:szCs w:val="18"/>
              </w:rPr>
              <w:t>27</w:t>
            </w:r>
            <w:r>
              <w:rPr>
                <w:rFonts w:ascii="GHEA Grapalat" w:hAnsi="GHEA Grapalat" w:cs="Calibri"/>
                <w:color w:val="404040"/>
                <w:sz w:val="18"/>
                <w:szCs w:val="18"/>
                <w:lang w:val="hy-AM"/>
              </w:rPr>
              <w:t>1</w:t>
            </w:r>
            <w:r w:rsidRPr="00B75F98">
              <w:rPr>
                <w:rFonts w:ascii="GHEA Grapalat" w:hAnsi="GHEA Grapalat" w:cs="Calibri"/>
                <w:color w:val="404040"/>
                <w:sz w:val="18"/>
                <w:szCs w:val="18"/>
              </w:rPr>
              <w:t>.3</w:t>
            </w:r>
          </w:p>
        </w:tc>
        <w:tc>
          <w:tcPr>
            <w:tcW w:w="1105" w:type="dxa"/>
            <w:shd w:val="clear" w:color="auto" w:fill="auto"/>
            <w:noWrap/>
            <w:vAlign w:val="center"/>
          </w:tcPr>
          <w:p w14:paraId="55C4D2C0" w14:textId="77777777" w:rsidR="006B15F5" w:rsidRPr="00440387" w:rsidRDefault="006B15F5" w:rsidP="00147C8B">
            <w:pPr>
              <w:spacing w:before="0" w:after="0" w:line="240" w:lineRule="auto"/>
              <w:jc w:val="center"/>
              <w:rPr>
                <w:rFonts w:ascii="GHEA Grapalat" w:hAnsi="GHEA Grapalat" w:cs="Calibri"/>
                <w:color w:val="404040"/>
                <w:sz w:val="18"/>
                <w:szCs w:val="18"/>
              </w:rPr>
            </w:pPr>
            <w:r w:rsidRPr="00B75F98">
              <w:rPr>
                <w:rFonts w:ascii="GHEA Grapalat" w:hAnsi="GHEA Grapalat" w:cs="Calibri"/>
                <w:color w:val="404040"/>
                <w:sz w:val="18"/>
                <w:szCs w:val="18"/>
              </w:rPr>
              <w:t>27</w:t>
            </w:r>
            <w:r>
              <w:rPr>
                <w:rFonts w:ascii="GHEA Grapalat" w:hAnsi="GHEA Grapalat" w:cs="Calibri"/>
                <w:color w:val="404040"/>
                <w:sz w:val="18"/>
                <w:szCs w:val="18"/>
                <w:lang w:val="hy-AM"/>
              </w:rPr>
              <w:t>3</w:t>
            </w:r>
            <w:r w:rsidRPr="00B75F98">
              <w:rPr>
                <w:rFonts w:ascii="GHEA Grapalat" w:hAnsi="GHEA Grapalat" w:cs="Calibri"/>
                <w:color w:val="404040"/>
                <w:sz w:val="18"/>
                <w:szCs w:val="18"/>
              </w:rPr>
              <w:t>.1</w:t>
            </w:r>
          </w:p>
        </w:tc>
      </w:tr>
      <w:tr w:rsidR="006B15F5" w:rsidRPr="0087491E" w14:paraId="2855D9D9" w14:textId="77777777" w:rsidTr="00147C8B">
        <w:trPr>
          <w:trHeight w:val="413"/>
          <w:jc w:val="center"/>
        </w:trPr>
        <w:tc>
          <w:tcPr>
            <w:tcW w:w="3092" w:type="dxa"/>
            <w:shd w:val="clear" w:color="auto" w:fill="auto"/>
            <w:vAlign w:val="center"/>
            <w:hideMark/>
          </w:tcPr>
          <w:p w14:paraId="7F268CB8" w14:textId="77777777" w:rsidR="006B15F5" w:rsidRPr="0087491E" w:rsidRDefault="006B15F5" w:rsidP="00147C8B">
            <w:pPr>
              <w:spacing w:before="0" w:after="0" w:line="240" w:lineRule="auto"/>
              <w:ind w:right="70"/>
              <w:rPr>
                <w:sz w:val="18"/>
                <w:szCs w:val="18"/>
              </w:rPr>
            </w:pPr>
            <w:r w:rsidRPr="0087491E">
              <w:rPr>
                <w:sz w:val="18"/>
                <w:szCs w:val="18"/>
              </w:rPr>
              <w:t>2. Ծառայությունների և ապրանքների ձեռքբերում</w:t>
            </w:r>
          </w:p>
        </w:tc>
        <w:tc>
          <w:tcPr>
            <w:tcW w:w="952" w:type="dxa"/>
            <w:shd w:val="clear" w:color="auto" w:fill="auto"/>
            <w:vAlign w:val="center"/>
          </w:tcPr>
          <w:p w14:paraId="04F15952" w14:textId="77777777" w:rsidR="006B15F5" w:rsidRPr="00440387" w:rsidRDefault="006B15F5" w:rsidP="00147C8B">
            <w:pPr>
              <w:spacing w:before="0" w:after="0" w:line="240" w:lineRule="auto"/>
              <w:jc w:val="center"/>
              <w:rPr>
                <w:rFonts w:ascii="GHEA Grapalat" w:hAnsi="GHEA Grapalat" w:cs="Calibri"/>
                <w:color w:val="404040"/>
                <w:sz w:val="18"/>
                <w:szCs w:val="18"/>
              </w:rPr>
            </w:pPr>
            <w:r w:rsidRPr="00440387">
              <w:rPr>
                <w:rFonts w:ascii="GHEA Grapalat" w:hAnsi="GHEA Grapalat" w:cs="Calibri"/>
                <w:color w:val="404040"/>
                <w:sz w:val="18"/>
                <w:szCs w:val="18"/>
              </w:rPr>
              <w:t>205.3</w:t>
            </w:r>
          </w:p>
        </w:tc>
        <w:tc>
          <w:tcPr>
            <w:tcW w:w="950" w:type="dxa"/>
            <w:shd w:val="clear" w:color="auto" w:fill="auto"/>
            <w:vAlign w:val="center"/>
          </w:tcPr>
          <w:p w14:paraId="39FC569D" w14:textId="77777777" w:rsidR="006B15F5" w:rsidRPr="00440387" w:rsidRDefault="006B15F5" w:rsidP="00147C8B">
            <w:pPr>
              <w:spacing w:before="0" w:after="0" w:line="240" w:lineRule="auto"/>
              <w:jc w:val="center"/>
              <w:rPr>
                <w:rFonts w:ascii="GHEA Grapalat" w:hAnsi="GHEA Grapalat" w:cs="Calibri"/>
                <w:color w:val="404040"/>
                <w:sz w:val="18"/>
                <w:szCs w:val="18"/>
              </w:rPr>
            </w:pPr>
            <w:r w:rsidRPr="00440387">
              <w:rPr>
                <w:rFonts w:ascii="GHEA Grapalat" w:hAnsi="GHEA Grapalat" w:cs="Calibri"/>
                <w:color w:val="404040"/>
                <w:sz w:val="18"/>
                <w:szCs w:val="18"/>
              </w:rPr>
              <w:t>191.1</w:t>
            </w:r>
          </w:p>
        </w:tc>
        <w:tc>
          <w:tcPr>
            <w:tcW w:w="953" w:type="dxa"/>
            <w:shd w:val="clear" w:color="auto" w:fill="auto"/>
            <w:vAlign w:val="center"/>
          </w:tcPr>
          <w:p w14:paraId="209384E0" w14:textId="77777777" w:rsidR="006B15F5" w:rsidRPr="00440387" w:rsidRDefault="006B15F5" w:rsidP="00147C8B">
            <w:pPr>
              <w:spacing w:before="0" w:after="0" w:line="240" w:lineRule="auto"/>
              <w:jc w:val="center"/>
              <w:rPr>
                <w:rFonts w:ascii="GHEA Grapalat" w:hAnsi="GHEA Grapalat" w:cs="Calibri"/>
                <w:color w:val="404040"/>
                <w:sz w:val="18"/>
                <w:szCs w:val="18"/>
              </w:rPr>
            </w:pPr>
            <w:r w:rsidRPr="00440387">
              <w:rPr>
                <w:rFonts w:ascii="GHEA Grapalat" w:hAnsi="GHEA Grapalat" w:cs="Calibri"/>
                <w:color w:val="404040"/>
                <w:sz w:val="18"/>
                <w:szCs w:val="18"/>
              </w:rPr>
              <w:t>108.7</w:t>
            </w:r>
          </w:p>
        </w:tc>
        <w:tc>
          <w:tcPr>
            <w:tcW w:w="1093" w:type="dxa"/>
            <w:shd w:val="clear" w:color="auto" w:fill="auto"/>
            <w:noWrap/>
            <w:vAlign w:val="center"/>
          </w:tcPr>
          <w:p w14:paraId="565D55EC" w14:textId="77777777" w:rsidR="006B15F5" w:rsidRPr="00440387" w:rsidRDefault="006B15F5" w:rsidP="00147C8B">
            <w:pPr>
              <w:spacing w:before="0" w:after="0" w:line="240" w:lineRule="auto"/>
              <w:jc w:val="center"/>
              <w:rPr>
                <w:rFonts w:ascii="GHEA Grapalat" w:hAnsi="GHEA Grapalat" w:cs="Calibri"/>
                <w:color w:val="404040"/>
                <w:sz w:val="18"/>
                <w:szCs w:val="18"/>
              </w:rPr>
            </w:pPr>
            <w:r w:rsidRPr="00440387">
              <w:rPr>
                <w:rFonts w:ascii="GHEA Grapalat" w:hAnsi="GHEA Grapalat" w:cs="Calibri"/>
                <w:color w:val="404040"/>
                <w:sz w:val="18"/>
                <w:szCs w:val="18"/>
              </w:rPr>
              <w:t>94.8</w:t>
            </w:r>
          </w:p>
        </w:tc>
        <w:tc>
          <w:tcPr>
            <w:tcW w:w="837" w:type="dxa"/>
            <w:vAlign w:val="center"/>
          </w:tcPr>
          <w:p w14:paraId="55B622B0" w14:textId="77777777" w:rsidR="006B15F5" w:rsidRPr="00853660" w:rsidRDefault="006B15F5" w:rsidP="00147C8B">
            <w:pPr>
              <w:spacing w:before="0" w:after="0" w:line="240" w:lineRule="auto"/>
              <w:jc w:val="center"/>
              <w:rPr>
                <w:rFonts w:ascii="GHEA Grapalat" w:hAnsi="GHEA Grapalat" w:cs="Calibri"/>
                <w:color w:val="404040"/>
                <w:sz w:val="18"/>
                <w:szCs w:val="18"/>
                <w:lang w:val="hy-AM"/>
              </w:rPr>
            </w:pPr>
            <w:r w:rsidRPr="00B75F98">
              <w:rPr>
                <w:rFonts w:ascii="GHEA Grapalat" w:hAnsi="GHEA Grapalat" w:cs="Calibri"/>
                <w:color w:val="404040"/>
                <w:sz w:val="18"/>
                <w:szCs w:val="18"/>
              </w:rPr>
              <w:t>9</w:t>
            </w:r>
            <w:r>
              <w:rPr>
                <w:rFonts w:ascii="GHEA Grapalat" w:hAnsi="GHEA Grapalat" w:cs="Calibri"/>
                <w:color w:val="404040"/>
                <w:sz w:val="18"/>
                <w:szCs w:val="18"/>
                <w:lang w:val="hy-AM"/>
              </w:rPr>
              <w:t>2</w:t>
            </w:r>
            <w:r w:rsidRPr="00B75F98">
              <w:rPr>
                <w:rFonts w:ascii="GHEA Grapalat" w:hAnsi="GHEA Grapalat" w:cs="Calibri"/>
                <w:color w:val="404040"/>
                <w:sz w:val="18"/>
                <w:szCs w:val="18"/>
              </w:rPr>
              <w:t>.</w:t>
            </w:r>
            <w:r>
              <w:rPr>
                <w:rFonts w:ascii="GHEA Grapalat" w:hAnsi="GHEA Grapalat" w:cs="Calibri"/>
                <w:color w:val="404040"/>
                <w:sz w:val="18"/>
                <w:szCs w:val="18"/>
                <w:lang w:val="hy-AM"/>
              </w:rPr>
              <w:t>1</w:t>
            </w:r>
          </w:p>
        </w:tc>
        <w:tc>
          <w:tcPr>
            <w:tcW w:w="860" w:type="dxa"/>
            <w:vAlign w:val="center"/>
          </w:tcPr>
          <w:p w14:paraId="475D9F9D" w14:textId="77777777" w:rsidR="006B15F5" w:rsidRPr="00853660" w:rsidRDefault="006B15F5" w:rsidP="00147C8B">
            <w:pPr>
              <w:spacing w:before="0" w:after="0" w:line="240" w:lineRule="auto"/>
              <w:jc w:val="center"/>
              <w:rPr>
                <w:rFonts w:ascii="GHEA Grapalat" w:hAnsi="GHEA Grapalat" w:cs="Calibri"/>
                <w:color w:val="404040"/>
                <w:sz w:val="18"/>
                <w:szCs w:val="18"/>
                <w:lang w:val="hy-AM"/>
              </w:rPr>
            </w:pPr>
            <w:r>
              <w:rPr>
                <w:rFonts w:ascii="GHEA Grapalat" w:hAnsi="GHEA Grapalat" w:cs="Calibri"/>
                <w:color w:val="404040"/>
                <w:sz w:val="18"/>
                <w:szCs w:val="18"/>
                <w:lang w:val="hy-AM"/>
              </w:rPr>
              <w:t>88.7</w:t>
            </w:r>
          </w:p>
        </w:tc>
        <w:tc>
          <w:tcPr>
            <w:tcW w:w="1105" w:type="dxa"/>
            <w:shd w:val="clear" w:color="auto" w:fill="auto"/>
            <w:noWrap/>
            <w:vAlign w:val="center"/>
          </w:tcPr>
          <w:p w14:paraId="6DC13687" w14:textId="77777777" w:rsidR="006B15F5" w:rsidRPr="00853660" w:rsidRDefault="006B15F5" w:rsidP="00147C8B">
            <w:pPr>
              <w:spacing w:before="0" w:after="0" w:line="240" w:lineRule="auto"/>
              <w:jc w:val="center"/>
              <w:rPr>
                <w:rFonts w:ascii="GHEA Grapalat" w:hAnsi="GHEA Grapalat" w:cs="Calibri"/>
                <w:color w:val="404040"/>
                <w:sz w:val="18"/>
                <w:szCs w:val="18"/>
                <w:lang w:val="hy-AM"/>
              </w:rPr>
            </w:pPr>
            <w:r>
              <w:rPr>
                <w:rFonts w:ascii="GHEA Grapalat" w:hAnsi="GHEA Grapalat" w:cs="Calibri"/>
                <w:color w:val="404040"/>
                <w:sz w:val="18"/>
                <w:szCs w:val="18"/>
                <w:lang w:val="hy-AM"/>
              </w:rPr>
              <w:t>90.2</w:t>
            </w:r>
          </w:p>
        </w:tc>
      </w:tr>
      <w:tr w:rsidR="006B15F5" w:rsidRPr="0087491E" w14:paraId="61704AB5" w14:textId="77777777" w:rsidTr="00147C8B">
        <w:trPr>
          <w:trHeight w:val="413"/>
          <w:jc w:val="center"/>
        </w:trPr>
        <w:tc>
          <w:tcPr>
            <w:tcW w:w="3092" w:type="dxa"/>
            <w:shd w:val="clear" w:color="auto" w:fill="auto"/>
            <w:vAlign w:val="center"/>
            <w:hideMark/>
          </w:tcPr>
          <w:p w14:paraId="0093169A" w14:textId="77777777" w:rsidR="006B15F5" w:rsidRPr="0087491E" w:rsidRDefault="006B15F5" w:rsidP="00147C8B">
            <w:pPr>
              <w:spacing w:before="0" w:after="0" w:line="240" w:lineRule="auto"/>
              <w:ind w:right="70"/>
              <w:rPr>
                <w:sz w:val="18"/>
                <w:szCs w:val="18"/>
              </w:rPr>
            </w:pPr>
            <w:r w:rsidRPr="0087491E">
              <w:rPr>
                <w:sz w:val="18"/>
                <w:szCs w:val="18"/>
              </w:rPr>
              <w:t>3. Տոկոսավճարներ</w:t>
            </w:r>
          </w:p>
        </w:tc>
        <w:tc>
          <w:tcPr>
            <w:tcW w:w="952" w:type="dxa"/>
            <w:shd w:val="clear" w:color="auto" w:fill="auto"/>
            <w:vAlign w:val="center"/>
          </w:tcPr>
          <w:p w14:paraId="25D6D156" w14:textId="77777777" w:rsidR="006B15F5" w:rsidRPr="00440387" w:rsidRDefault="006B15F5" w:rsidP="00147C8B">
            <w:pPr>
              <w:spacing w:before="0" w:after="0" w:line="240" w:lineRule="auto"/>
              <w:jc w:val="center"/>
              <w:rPr>
                <w:rFonts w:ascii="GHEA Grapalat" w:hAnsi="GHEA Grapalat" w:cs="Calibri"/>
                <w:color w:val="404040"/>
                <w:sz w:val="18"/>
                <w:szCs w:val="18"/>
              </w:rPr>
            </w:pPr>
            <w:r w:rsidRPr="00440387">
              <w:rPr>
                <w:rFonts w:ascii="GHEA Grapalat" w:hAnsi="GHEA Grapalat" w:cs="Calibri"/>
                <w:color w:val="404040"/>
                <w:sz w:val="18"/>
                <w:szCs w:val="18"/>
              </w:rPr>
              <w:t>198.3</w:t>
            </w:r>
          </w:p>
        </w:tc>
        <w:tc>
          <w:tcPr>
            <w:tcW w:w="950" w:type="dxa"/>
            <w:shd w:val="clear" w:color="auto" w:fill="auto"/>
            <w:vAlign w:val="center"/>
          </w:tcPr>
          <w:p w14:paraId="3D299D58" w14:textId="77777777" w:rsidR="006B15F5" w:rsidRPr="00440387" w:rsidRDefault="006B15F5" w:rsidP="00147C8B">
            <w:pPr>
              <w:spacing w:before="0" w:after="0" w:line="240" w:lineRule="auto"/>
              <w:jc w:val="center"/>
              <w:rPr>
                <w:rFonts w:ascii="GHEA Grapalat" w:hAnsi="GHEA Grapalat" w:cs="Calibri"/>
                <w:color w:val="404040"/>
                <w:sz w:val="18"/>
                <w:szCs w:val="18"/>
              </w:rPr>
            </w:pPr>
            <w:r w:rsidRPr="00440387">
              <w:rPr>
                <w:rFonts w:ascii="GHEA Grapalat" w:hAnsi="GHEA Grapalat" w:cs="Calibri"/>
                <w:color w:val="404040"/>
                <w:sz w:val="18"/>
                <w:szCs w:val="18"/>
              </w:rPr>
              <w:t>253.4</w:t>
            </w:r>
          </w:p>
        </w:tc>
        <w:tc>
          <w:tcPr>
            <w:tcW w:w="953" w:type="dxa"/>
            <w:shd w:val="clear" w:color="auto" w:fill="auto"/>
            <w:vAlign w:val="center"/>
          </w:tcPr>
          <w:p w14:paraId="00861ACB" w14:textId="77777777" w:rsidR="006B15F5" w:rsidRPr="00440387" w:rsidRDefault="006B15F5" w:rsidP="00147C8B">
            <w:pPr>
              <w:spacing w:before="0" w:after="0" w:line="240" w:lineRule="auto"/>
              <w:jc w:val="center"/>
              <w:rPr>
                <w:rFonts w:ascii="GHEA Grapalat" w:hAnsi="GHEA Grapalat" w:cs="Calibri"/>
                <w:color w:val="404040"/>
                <w:sz w:val="18"/>
                <w:szCs w:val="18"/>
              </w:rPr>
            </w:pPr>
            <w:r w:rsidRPr="00440387">
              <w:rPr>
                <w:rFonts w:ascii="GHEA Grapalat" w:hAnsi="GHEA Grapalat" w:cs="Calibri"/>
                <w:color w:val="404040"/>
                <w:sz w:val="18"/>
                <w:szCs w:val="18"/>
              </w:rPr>
              <w:t>313.6</w:t>
            </w:r>
          </w:p>
        </w:tc>
        <w:tc>
          <w:tcPr>
            <w:tcW w:w="1093" w:type="dxa"/>
            <w:shd w:val="clear" w:color="auto" w:fill="auto"/>
            <w:noWrap/>
            <w:vAlign w:val="center"/>
          </w:tcPr>
          <w:p w14:paraId="33BE8310" w14:textId="77777777" w:rsidR="006B15F5" w:rsidRPr="00440387" w:rsidRDefault="006B15F5" w:rsidP="00147C8B">
            <w:pPr>
              <w:spacing w:before="0" w:after="0" w:line="240" w:lineRule="auto"/>
              <w:jc w:val="center"/>
              <w:rPr>
                <w:rFonts w:ascii="GHEA Grapalat" w:hAnsi="GHEA Grapalat" w:cs="Calibri"/>
                <w:color w:val="404040"/>
                <w:sz w:val="18"/>
                <w:szCs w:val="18"/>
              </w:rPr>
            </w:pPr>
            <w:r w:rsidRPr="00440387">
              <w:rPr>
                <w:rFonts w:ascii="GHEA Grapalat" w:hAnsi="GHEA Grapalat" w:cs="Calibri"/>
                <w:color w:val="404040"/>
                <w:sz w:val="18"/>
                <w:szCs w:val="18"/>
              </w:rPr>
              <w:t>394.1</w:t>
            </w:r>
          </w:p>
        </w:tc>
        <w:tc>
          <w:tcPr>
            <w:tcW w:w="837" w:type="dxa"/>
            <w:vAlign w:val="center"/>
          </w:tcPr>
          <w:p w14:paraId="2EB6C1D3" w14:textId="77777777" w:rsidR="006B15F5" w:rsidRPr="00853660" w:rsidRDefault="006B15F5" w:rsidP="00147C8B">
            <w:pPr>
              <w:spacing w:before="0" w:after="0" w:line="240" w:lineRule="auto"/>
              <w:jc w:val="center"/>
              <w:rPr>
                <w:rFonts w:ascii="GHEA Grapalat" w:hAnsi="GHEA Grapalat" w:cs="Calibri"/>
                <w:color w:val="404040"/>
                <w:sz w:val="18"/>
                <w:szCs w:val="18"/>
                <w:lang w:val="hy-AM"/>
              </w:rPr>
            </w:pPr>
            <w:r>
              <w:rPr>
                <w:rFonts w:ascii="GHEA Grapalat" w:hAnsi="GHEA Grapalat" w:cs="Calibri"/>
                <w:color w:val="404040"/>
                <w:sz w:val="18"/>
                <w:szCs w:val="18"/>
                <w:lang w:val="hy-AM"/>
              </w:rPr>
              <w:t>419.9</w:t>
            </w:r>
          </w:p>
        </w:tc>
        <w:tc>
          <w:tcPr>
            <w:tcW w:w="860" w:type="dxa"/>
            <w:vAlign w:val="center"/>
          </w:tcPr>
          <w:p w14:paraId="343685CC" w14:textId="77777777" w:rsidR="006B15F5" w:rsidRPr="00853660" w:rsidRDefault="006B15F5" w:rsidP="00147C8B">
            <w:pPr>
              <w:spacing w:before="0" w:after="0" w:line="240" w:lineRule="auto"/>
              <w:jc w:val="center"/>
              <w:rPr>
                <w:rFonts w:ascii="GHEA Grapalat" w:hAnsi="GHEA Grapalat" w:cs="Calibri"/>
                <w:color w:val="404040"/>
                <w:sz w:val="18"/>
                <w:szCs w:val="18"/>
                <w:lang w:val="hy-AM"/>
              </w:rPr>
            </w:pPr>
            <w:r>
              <w:rPr>
                <w:rFonts w:ascii="GHEA Grapalat" w:hAnsi="GHEA Grapalat" w:cs="Calibri"/>
                <w:color w:val="404040"/>
                <w:sz w:val="18"/>
                <w:szCs w:val="18"/>
                <w:lang w:val="hy-AM"/>
              </w:rPr>
              <w:t>472.5</w:t>
            </w:r>
          </w:p>
        </w:tc>
        <w:tc>
          <w:tcPr>
            <w:tcW w:w="1105" w:type="dxa"/>
            <w:shd w:val="clear" w:color="auto" w:fill="auto"/>
            <w:noWrap/>
            <w:vAlign w:val="center"/>
          </w:tcPr>
          <w:p w14:paraId="2AB79F8A" w14:textId="77777777" w:rsidR="006B15F5" w:rsidRPr="00853660" w:rsidRDefault="006B15F5" w:rsidP="00147C8B">
            <w:pPr>
              <w:spacing w:before="0" w:after="0" w:line="240" w:lineRule="auto"/>
              <w:jc w:val="center"/>
              <w:rPr>
                <w:rFonts w:ascii="GHEA Grapalat" w:hAnsi="GHEA Grapalat" w:cs="Calibri"/>
                <w:color w:val="404040"/>
                <w:sz w:val="18"/>
                <w:szCs w:val="18"/>
                <w:lang w:val="hy-AM"/>
              </w:rPr>
            </w:pPr>
            <w:r>
              <w:rPr>
                <w:rFonts w:ascii="GHEA Grapalat" w:hAnsi="GHEA Grapalat" w:cs="Calibri"/>
                <w:color w:val="404040"/>
                <w:sz w:val="18"/>
                <w:szCs w:val="18"/>
                <w:lang w:val="hy-AM"/>
              </w:rPr>
              <w:t>515.3</w:t>
            </w:r>
          </w:p>
        </w:tc>
      </w:tr>
      <w:tr w:rsidR="006B15F5" w:rsidRPr="0087491E" w14:paraId="577D26D6" w14:textId="77777777" w:rsidTr="00147C8B">
        <w:trPr>
          <w:trHeight w:val="413"/>
          <w:jc w:val="center"/>
        </w:trPr>
        <w:tc>
          <w:tcPr>
            <w:tcW w:w="3092" w:type="dxa"/>
            <w:shd w:val="clear" w:color="auto" w:fill="auto"/>
            <w:vAlign w:val="center"/>
            <w:hideMark/>
          </w:tcPr>
          <w:p w14:paraId="2BEEF495" w14:textId="77777777" w:rsidR="006B15F5" w:rsidRPr="0087491E" w:rsidRDefault="006B15F5" w:rsidP="00147C8B">
            <w:pPr>
              <w:spacing w:before="0" w:after="0" w:line="240" w:lineRule="auto"/>
              <w:ind w:right="70"/>
              <w:rPr>
                <w:sz w:val="18"/>
                <w:szCs w:val="18"/>
              </w:rPr>
            </w:pPr>
            <w:r w:rsidRPr="0087491E">
              <w:rPr>
                <w:sz w:val="18"/>
                <w:szCs w:val="18"/>
              </w:rPr>
              <w:t>4. Սուբսիդիաներ</w:t>
            </w:r>
          </w:p>
        </w:tc>
        <w:tc>
          <w:tcPr>
            <w:tcW w:w="952" w:type="dxa"/>
            <w:shd w:val="clear" w:color="auto" w:fill="auto"/>
            <w:vAlign w:val="center"/>
          </w:tcPr>
          <w:p w14:paraId="0929CCCD" w14:textId="77777777" w:rsidR="006B15F5" w:rsidRPr="00440387" w:rsidRDefault="006B15F5" w:rsidP="00147C8B">
            <w:pPr>
              <w:spacing w:before="0" w:after="0" w:line="240" w:lineRule="auto"/>
              <w:jc w:val="center"/>
              <w:rPr>
                <w:rFonts w:ascii="GHEA Grapalat" w:hAnsi="GHEA Grapalat" w:cs="Calibri"/>
                <w:color w:val="404040"/>
                <w:sz w:val="18"/>
                <w:szCs w:val="18"/>
              </w:rPr>
            </w:pPr>
            <w:r w:rsidRPr="00440387">
              <w:rPr>
                <w:rFonts w:ascii="GHEA Grapalat" w:hAnsi="GHEA Grapalat" w:cs="Calibri"/>
                <w:color w:val="404040"/>
                <w:sz w:val="18"/>
                <w:szCs w:val="18"/>
              </w:rPr>
              <w:t>150.5</w:t>
            </w:r>
          </w:p>
        </w:tc>
        <w:tc>
          <w:tcPr>
            <w:tcW w:w="950" w:type="dxa"/>
            <w:shd w:val="clear" w:color="auto" w:fill="auto"/>
            <w:vAlign w:val="center"/>
          </w:tcPr>
          <w:p w14:paraId="23A291B1" w14:textId="77777777" w:rsidR="006B15F5" w:rsidRPr="00440387" w:rsidRDefault="006B15F5" w:rsidP="00147C8B">
            <w:pPr>
              <w:spacing w:before="0" w:after="0" w:line="240" w:lineRule="auto"/>
              <w:jc w:val="center"/>
              <w:rPr>
                <w:rFonts w:ascii="GHEA Grapalat" w:hAnsi="GHEA Grapalat" w:cs="Calibri"/>
                <w:color w:val="404040"/>
                <w:sz w:val="18"/>
                <w:szCs w:val="18"/>
              </w:rPr>
            </w:pPr>
            <w:r w:rsidRPr="00440387">
              <w:rPr>
                <w:rFonts w:ascii="GHEA Grapalat" w:hAnsi="GHEA Grapalat" w:cs="Calibri"/>
                <w:color w:val="404040"/>
                <w:sz w:val="18"/>
                <w:szCs w:val="18"/>
              </w:rPr>
              <w:t>164.0</w:t>
            </w:r>
          </w:p>
        </w:tc>
        <w:tc>
          <w:tcPr>
            <w:tcW w:w="953" w:type="dxa"/>
            <w:shd w:val="clear" w:color="auto" w:fill="auto"/>
            <w:vAlign w:val="center"/>
          </w:tcPr>
          <w:p w14:paraId="2EBBF623" w14:textId="77777777" w:rsidR="006B15F5" w:rsidRPr="00440387" w:rsidRDefault="006B15F5" w:rsidP="00147C8B">
            <w:pPr>
              <w:spacing w:before="0" w:after="0" w:line="240" w:lineRule="auto"/>
              <w:jc w:val="center"/>
              <w:rPr>
                <w:rFonts w:ascii="GHEA Grapalat" w:hAnsi="GHEA Grapalat" w:cs="Calibri"/>
                <w:color w:val="404040"/>
                <w:sz w:val="18"/>
                <w:szCs w:val="18"/>
              </w:rPr>
            </w:pPr>
            <w:r w:rsidRPr="00440387">
              <w:rPr>
                <w:rFonts w:ascii="GHEA Grapalat" w:hAnsi="GHEA Grapalat" w:cs="Calibri"/>
                <w:color w:val="404040"/>
                <w:sz w:val="18"/>
                <w:szCs w:val="18"/>
              </w:rPr>
              <w:t>187.7</w:t>
            </w:r>
          </w:p>
        </w:tc>
        <w:tc>
          <w:tcPr>
            <w:tcW w:w="1093" w:type="dxa"/>
            <w:shd w:val="clear" w:color="auto" w:fill="auto"/>
            <w:noWrap/>
            <w:vAlign w:val="center"/>
          </w:tcPr>
          <w:p w14:paraId="7BDE7773" w14:textId="77777777" w:rsidR="006B15F5" w:rsidRPr="00440387" w:rsidRDefault="006B15F5" w:rsidP="00147C8B">
            <w:pPr>
              <w:spacing w:before="0" w:after="0" w:line="240" w:lineRule="auto"/>
              <w:jc w:val="center"/>
              <w:rPr>
                <w:rFonts w:ascii="GHEA Grapalat" w:hAnsi="GHEA Grapalat" w:cs="Calibri"/>
                <w:color w:val="404040"/>
                <w:sz w:val="18"/>
                <w:szCs w:val="18"/>
              </w:rPr>
            </w:pPr>
            <w:r w:rsidRPr="00440387">
              <w:rPr>
                <w:rFonts w:ascii="GHEA Grapalat" w:hAnsi="GHEA Grapalat" w:cs="Calibri"/>
                <w:color w:val="404040"/>
                <w:sz w:val="18"/>
                <w:szCs w:val="18"/>
              </w:rPr>
              <w:t>193.0</w:t>
            </w:r>
          </w:p>
        </w:tc>
        <w:tc>
          <w:tcPr>
            <w:tcW w:w="837" w:type="dxa"/>
            <w:vAlign w:val="center"/>
          </w:tcPr>
          <w:p w14:paraId="209975B5" w14:textId="77777777" w:rsidR="006B15F5" w:rsidRPr="00853660" w:rsidRDefault="006B15F5" w:rsidP="00147C8B">
            <w:pPr>
              <w:spacing w:before="0" w:after="0" w:line="240" w:lineRule="auto"/>
              <w:jc w:val="center"/>
              <w:rPr>
                <w:rFonts w:ascii="GHEA Grapalat" w:hAnsi="GHEA Grapalat" w:cs="Calibri"/>
                <w:color w:val="404040"/>
                <w:sz w:val="18"/>
                <w:szCs w:val="18"/>
                <w:lang w:val="hy-AM"/>
              </w:rPr>
            </w:pPr>
            <w:r w:rsidRPr="00B75F98">
              <w:rPr>
                <w:rFonts w:ascii="GHEA Grapalat" w:hAnsi="GHEA Grapalat" w:cs="Calibri"/>
                <w:color w:val="404040"/>
                <w:sz w:val="18"/>
                <w:szCs w:val="18"/>
              </w:rPr>
              <w:t>212.</w:t>
            </w:r>
            <w:r>
              <w:rPr>
                <w:rFonts w:ascii="GHEA Grapalat" w:hAnsi="GHEA Grapalat" w:cs="Calibri"/>
                <w:color w:val="404040"/>
                <w:sz w:val="18"/>
                <w:szCs w:val="18"/>
                <w:lang w:val="hy-AM"/>
              </w:rPr>
              <w:t>2</w:t>
            </w:r>
          </w:p>
        </w:tc>
        <w:tc>
          <w:tcPr>
            <w:tcW w:w="860" w:type="dxa"/>
            <w:vAlign w:val="center"/>
          </w:tcPr>
          <w:p w14:paraId="3A456F34" w14:textId="77777777" w:rsidR="006B15F5" w:rsidRDefault="006B15F5" w:rsidP="00147C8B">
            <w:pPr>
              <w:spacing w:before="0" w:after="0" w:line="240" w:lineRule="auto"/>
              <w:jc w:val="center"/>
              <w:rPr>
                <w:rFonts w:ascii="GHEA Grapalat" w:hAnsi="GHEA Grapalat" w:cs="Calibri"/>
                <w:color w:val="404040"/>
                <w:sz w:val="18"/>
                <w:szCs w:val="18"/>
              </w:rPr>
            </w:pPr>
            <w:r w:rsidRPr="00B75F98">
              <w:rPr>
                <w:rFonts w:ascii="GHEA Grapalat" w:hAnsi="GHEA Grapalat" w:cs="Calibri"/>
                <w:color w:val="404040"/>
                <w:sz w:val="18"/>
                <w:szCs w:val="18"/>
              </w:rPr>
              <w:t>206.9</w:t>
            </w:r>
          </w:p>
        </w:tc>
        <w:tc>
          <w:tcPr>
            <w:tcW w:w="1105" w:type="dxa"/>
            <w:shd w:val="clear" w:color="auto" w:fill="auto"/>
            <w:noWrap/>
            <w:vAlign w:val="center"/>
          </w:tcPr>
          <w:p w14:paraId="14C7FE8D" w14:textId="77777777" w:rsidR="006B15F5" w:rsidRPr="00440387" w:rsidRDefault="006B15F5" w:rsidP="00147C8B">
            <w:pPr>
              <w:spacing w:before="0" w:after="0" w:line="240" w:lineRule="auto"/>
              <w:jc w:val="center"/>
              <w:rPr>
                <w:rFonts w:ascii="GHEA Grapalat" w:hAnsi="GHEA Grapalat" w:cs="Calibri"/>
                <w:color w:val="404040"/>
                <w:sz w:val="18"/>
                <w:szCs w:val="18"/>
              </w:rPr>
            </w:pPr>
            <w:r w:rsidRPr="00B75F98">
              <w:rPr>
                <w:rFonts w:ascii="GHEA Grapalat" w:hAnsi="GHEA Grapalat" w:cs="Calibri"/>
                <w:color w:val="404040"/>
                <w:sz w:val="18"/>
                <w:szCs w:val="18"/>
              </w:rPr>
              <w:t>192.2</w:t>
            </w:r>
          </w:p>
        </w:tc>
      </w:tr>
      <w:tr w:rsidR="006B15F5" w:rsidRPr="0087491E" w14:paraId="612BCB3F" w14:textId="77777777" w:rsidTr="00147C8B">
        <w:trPr>
          <w:trHeight w:val="413"/>
          <w:jc w:val="center"/>
        </w:trPr>
        <w:tc>
          <w:tcPr>
            <w:tcW w:w="3092" w:type="dxa"/>
            <w:shd w:val="clear" w:color="auto" w:fill="auto"/>
            <w:vAlign w:val="center"/>
            <w:hideMark/>
          </w:tcPr>
          <w:p w14:paraId="7747C1BF" w14:textId="77777777" w:rsidR="006B15F5" w:rsidRPr="0087491E" w:rsidRDefault="006B15F5" w:rsidP="00147C8B">
            <w:pPr>
              <w:spacing w:before="0" w:after="0" w:line="240" w:lineRule="auto"/>
              <w:ind w:right="70"/>
              <w:rPr>
                <w:sz w:val="18"/>
                <w:szCs w:val="18"/>
              </w:rPr>
            </w:pPr>
            <w:r w:rsidRPr="0087491E">
              <w:rPr>
                <w:sz w:val="18"/>
                <w:szCs w:val="18"/>
              </w:rPr>
              <w:t>5. Դրամաշնորհներ</w:t>
            </w:r>
          </w:p>
        </w:tc>
        <w:tc>
          <w:tcPr>
            <w:tcW w:w="952" w:type="dxa"/>
            <w:shd w:val="clear" w:color="auto" w:fill="auto"/>
            <w:vAlign w:val="center"/>
          </w:tcPr>
          <w:p w14:paraId="16E0ACB5" w14:textId="77777777" w:rsidR="006B15F5" w:rsidRPr="00440387" w:rsidRDefault="006B15F5" w:rsidP="00147C8B">
            <w:pPr>
              <w:spacing w:before="0" w:after="0" w:line="240" w:lineRule="auto"/>
              <w:jc w:val="center"/>
              <w:rPr>
                <w:rFonts w:ascii="GHEA Grapalat" w:hAnsi="GHEA Grapalat" w:cs="Calibri"/>
                <w:color w:val="404040"/>
                <w:sz w:val="18"/>
                <w:szCs w:val="18"/>
              </w:rPr>
            </w:pPr>
            <w:r w:rsidRPr="00440387">
              <w:rPr>
                <w:rFonts w:ascii="GHEA Grapalat" w:hAnsi="GHEA Grapalat" w:cs="Calibri"/>
                <w:color w:val="404040"/>
                <w:sz w:val="18"/>
                <w:szCs w:val="18"/>
              </w:rPr>
              <w:t>238.6</w:t>
            </w:r>
          </w:p>
        </w:tc>
        <w:tc>
          <w:tcPr>
            <w:tcW w:w="950" w:type="dxa"/>
            <w:shd w:val="clear" w:color="auto" w:fill="auto"/>
            <w:vAlign w:val="center"/>
          </w:tcPr>
          <w:p w14:paraId="444E5A05" w14:textId="77777777" w:rsidR="006B15F5" w:rsidRPr="00440387" w:rsidRDefault="006B15F5" w:rsidP="00147C8B">
            <w:pPr>
              <w:spacing w:before="0" w:after="0" w:line="240" w:lineRule="auto"/>
              <w:jc w:val="center"/>
              <w:rPr>
                <w:rFonts w:ascii="GHEA Grapalat" w:hAnsi="GHEA Grapalat" w:cs="Calibri"/>
                <w:color w:val="404040"/>
                <w:sz w:val="18"/>
                <w:szCs w:val="18"/>
              </w:rPr>
            </w:pPr>
            <w:r w:rsidRPr="00440387">
              <w:rPr>
                <w:rFonts w:ascii="GHEA Grapalat" w:hAnsi="GHEA Grapalat" w:cs="Calibri"/>
                <w:color w:val="404040"/>
                <w:sz w:val="18"/>
                <w:szCs w:val="18"/>
              </w:rPr>
              <w:t>281.0</w:t>
            </w:r>
          </w:p>
        </w:tc>
        <w:tc>
          <w:tcPr>
            <w:tcW w:w="953" w:type="dxa"/>
            <w:shd w:val="clear" w:color="auto" w:fill="auto"/>
            <w:vAlign w:val="center"/>
          </w:tcPr>
          <w:p w14:paraId="0CE0497C" w14:textId="77777777" w:rsidR="006B15F5" w:rsidRPr="00440387" w:rsidRDefault="006B15F5" w:rsidP="00147C8B">
            <w:pPr>
              <w:spacing w:before="0" w:after="0" w:line="240" w:lineRule="auto"/>
              <w:jc w:val="center"/>
              <w:rPr>
                <w:rFonts w:ascii="GHEA Grapalat" w:hAnsi="GHEA Grapalat" w:cs="Calibri"/>
                <w:color w:val="404040"/>
                <w:sz w:val="18"/>
                <w:szCs w:val="18"/>
              </w:rPr>
            </w:pPr>
            <w:r w:rsidRPr="00440387">
              <w:rPr>
                <w:rFonts w:ascii="GHEA Grapalat" w:hAnsi="GHEA Grapalat" w:cs="Calibri"/>
                <w:color w:val="404040"/>
                <w:sz w:val="18"/>
                <w:szCs w:val="18"/>
              </w:rPr>
              <w:t>303.4</w:t>
            </w:r>
          </w:p>
        </w:tc>
        <w:tc>
          <w:tcPr>
            <w:tcW w:w="1093" w:type="dxa"/>
            <w:shd w:val="clear" w:color="auto" w:fill="auto"/>
            <w:noWrap/>
            <w:vAlign w:val="center"/>
          </w:tcPr>
          <w:p w14:paraId="136FE175" w14:textId="77777777" w:rsidR="006B15F5" w:rsidRPr="00440387" w:rsidRDefault="006B15F5" w:rsidP="00147C8B">
            <w:pPr>
              <w:spacing w:before="0" w:after="0" w:line="240" w:lineRule="auto"/>
              <w:jc w:val="center"/>
              <w:rPr>
                <w:rFonts w:ascii="GHEA Grapalat" w:hAnsi="GHEA Grapalat" w:cs="Calibri"/>
                <w:color w:val="404040"/>
                <w:sz w:val="18"/>
                <w:szCs w:val="18"/>
              </w:rPr>
            </w:pPr>
            <w:r w:rsidRPr="00440387">
              <w:rPr>
                <w:rFonts w:ascii="GHEA Grapalat" w:hAnsi="GHEA Grapalat" w:cs="Calibri"/>
                <w:color w:val="404040"/>
                <w:sz w:val="18"/>
                <w:szCs w:val="18"/>
              </w:rPr>
              <w:t>332.5</w:t>
            </w:r>
          </w:p>
        </w:tc>
        <w:tc>
          <w:tcPr>
            <w:tcW w:w="837" w:type="dxa"/>
            <w:vAlign w:val="center"/>
          </w:tcPr>
          <w:p w14:paraId="4628FCF3" w14:textId="77777777" w:rsidR="006B15F5" w:rsidRPr="00853660" w:rsidRDefault="006B15F5" w:rsidP="00147C8B">
            <w:pPr>
              <w:spacing w:before="0" w:after="0" w:line="240" w:lineRule="auto"/>
              <w:jc w:val="center"/>
              <w:rPr>
                <w:rFonts w:ascii="GHEA Grapalat" w:hAnsi="GHEA Grapalat" w:cs="Calibri"/>
                <w:color w:val="404040"/>
                <w:sz w:val="18"/>
                <w:szCs w:val="18"/>
                <w:lang w:val="hy-AM"/>
              </w:rPr>
            </w:pPr>
            <w:r>
              <w:rPr>
                <w:rFonts w:ascii="GHEA Grapalat" w:hAnsi="GHEA Grapalat" w:cs="Calibri"/>
                <w:color w:val="404040"/>
                <w:sz w:val="18"/>
                <w:szCs w:val="18"/>
                <w:lang w:val="hy-AM"/>
              </w:rPr>
              <w:t>314.3</w:t>
            </w:r>
          </w:p>
        </w:tc>
        <w:tc>
          <w:tcPr>
            <w:tcW w:w="860" w:type="dxa"/>
            <w:vAlign w:val="center"/>
          </w:tcPr>
          <w:p w14:paraId="2D7CE001" w14:textId="77777777" w:rsidR="006B15F5" w:rsidRPr="00853660" w:rsidRDefault="006B15F5" w:rsidP="00147C8B">
            <w:pPr>
              <w:spacing w:before="0" w:after="0" w:line="240" w:lineRule="auto"/>
              <w:jc w:val="center"/>
              <w:rPr>
                <w:rFonts w:ascii="GHEA Grapalat" w:hAnsi="GHEA Grapalat" w:cs="Calibri"/>
                <w:color w:val="404040"/>
                <w:sz w:val="18"/>
                <w:szCs w:val="18"/>
                <w:lang w:val="hy-AM"/>
              </w:rPr>
            </w:pPr>
            <w:r>
              <w:rPr>
                <w:rFonts w:ascii="GHEA Grapalat" w:hAnsi="GHEA Grapalat" w:cs="Calibri"/>
                <w:color w:val="404040"/>
                <w:sz w:val="18"/>
                <w:szCs w:val="18"/>
                <w:lang w:val="hy-AM"/>
              </w:rPr>
              <w:t>331.1</w:t>
            </w:r>
          </w:p>
        </w:tc>
        <w:tc>
          <w:tcPr>
            <w:tcW w:w="1105" w:type="dxa"/>
            <w:shd w:val="clear" w:color="auto" w:fill="auto"/>
            <w:noWrap/>
            <w:vAlign w:val="center"/>
          </w:tcPr>
          <w:p w14:paraId="2AAA4528" w14:textId="77777777" w:rsidR="006B15F5" w:rsidRPr="00440387" w:rsidRDefault="006B15F5" w:rsidP="00147C8B">
            <w:pPr>
              <w:spacing w:before="0" w:after="0" w:line="240" w:lineRule="auto"/>
              <w:jc w:val="center"/>
              <w:rPr>
                <w:rFonts w:ascii="GHEA Grapalat" w:hAnsi="GHEA Grapalat" w:cs="Calibri"/>
                <w:color w:val="404040"/>
                <w:sz w:val="18"/>
                <w:szCs w:val="18"/>
              </w:rPr>
            </w:pPr>
            <w:r w:rsidRPr="00B75F98">
              <w:rPr>
                <w:rFonts w:ascii="GHEA Grapalat" w:hAnsi="GHEA Grapalat" w:cs="Calibri"/>
                <w:color w:val="404040"/>
                <w:sz w:val="18"/>
                <w:szCs w:val="18"/>
              </w:rPr>
              <w:t>36</w:t>
            </w:r>
            <w:r>
              <w:rPr>
                <w:rFonts w:ascii="GHEA Grapalat" w:hAnsi="GHEA Grapalat" w:cs="Calibri"/>
                <w:color w:val="404040"/>
                <w:sz w:val="18"/>
                <w:szCs w:val="18"/>
                <w:lang w:val="hy-AM"/>
              </w:rPr>
              <w:t>1</w:t>
            </w:r>
            <w:r>
              <w:rPr>
                <w:rFonts w:ascii="GHEA Grapalat" w:hAnsi="GHEA Grapalat" w:cs="Calibri"/>
                <w:color w:val="404040"/>
                <w:sz w:val="18"/>
                <w:szCs w:val="18"/>
              </w:rPr>
              <w:t>.0</w:t>
            </w:r>
          </w:p>
        </w:tc>
      </w:tr>
      <w:tr w:rsidR="006B15F5" w:rsidRPr="0087491E" w14:paraId="194DAFF4" w14:textId="77777777" w:rsidTr="00147C8B">
        <w:trPr>
          <w:trHeight w:val="413"/>
          <w:jc w:val="center"/>
        </w:trPr>
        <w:tc>
          <w:tcPr>
            <w:tcW w:w="3092" w:type="dxa"/>
            <w:shd w:val="clear" w:color="auto" w:fill="auto"/>
            <w:vAlign w:val="center"/>
            <w:hideMark/>
          </w:tcPr>
          <w:p w14:paraId="6821272C" w14:textId="77777777" w:rsidR="006B15F5" w:rsidRPr="0087491E" w:rsidRDefault="006B15F5" w:rsidP="00147C8B">
            <w:pPr>
              <w:spacing w:before="0" w:after="0" w:line="240" w:lineRule="auto"/>
              <w:ind w:right="70"/>
              <w:rPr>
                <w:sz w:val="18"/>
                <w:szCs w:val="18"/>
              </w:rPr>
            </w:pPr>
            <w:r w:rsidRPr="0087491E">
              <w:rPr>
                <w:sz w:val="18"/>
                <w:szCs w:val="18"/>
              </w:rPr>
              <w:t>6. Սոցիալական նպաստներ և կենսաթոշակներ</w:t>
            </w:r>
          </w:p>
        </w:tc>
        <w:tc>
          <w:tcPr>
            <w:tcW w:w="952" w:type="dxa"/>
            <w:shd w:val="clear" w:color="auto" w:fill="auto"/>
            <w:vAlign w:val="center"/>
          </w:tcPr>
          <w:p w14:paraId="5AE8A36A" w14:textId="77777777" w:rsidR="006B15F5" w:rsidRPr="00440387" w:rsidRDefault="006B15F5" w:rsidP="00147C8B">
            <w:pPr>
              <w:spacing w:before="0" w:after="0" w:line="240" w:lineRule="auto"/>
              <w:jc w:val="center"/>
              <w:rPr>
                <w:rFonts w:ascii="GHEA Grapalat" w:hAnsi="GHEA Grapalat" w:cs="Calibri"/>
                <w:color w:val="404040"/>
                <w:sz w:val="18"/>
                <w:szCs w:val="18"/>
              </w:rPr>
            </w:pPr>
            <w:r w:rsidRPr="00440387">
              <w:rPr>
                <w:rFonts w:ascii="GHEA Grapalat" w:hAnsi="GHEA Grapalat" w:cs="Calibri"/>
                <w:color w:val="404040"/>
                <w:sz w:val="18"/>
                <w:szCs w:val="18"/>
              </w:rPr>
              <w:t>613.1</w:t>
            </w:r>
          </w:p>
        </w:tc>
        <w:tc>
          <w:tcPr>
            <w:tcW w:w="950" w:type="dxa"/>
            <w:shd w:val="clear" w:color="auto" w:fill="auto"/>
            <w:vAlign w:val="center"/>
          </w:tcPr>
          <w:p w14:paraId="29D210F2" w14:textId="77777777" w:rsidR="006B15F5" w:rsidRPr="00440387" w:rsidRDefault="006B15F5" w:rsidP="00147C8B">
            <w:pPr>
              <w:spacing w:before="0" w:after="0" w:line="240" w:lineRule="auto"/>
              <w:jc w:val="center"/>
              <w:rPr>
                <w:rFonts w:ascii="GHEA Grapalat" w:hAnsi="GHEA Grapalat" w:cs="Calibri"/>
                <w:color w:val="404040"/>
                <w:sz w:val="18"/>
                <w:szCs w:val="18"/>
              </w:rPr>
            </w:pPr>
            <w:r w:rsidRPr="00440387">
              <w:rPr>
                <w:rFonts w:ascii="GHEA Grapalat" w:hAnsi="GHEA Grapalat" w:cs="Calibri"/>
                <w:color w:val="404040"/>
                <w:sz w:val="18"/>
                <w:szCs w:val="18"/>
              </w:rPr>
              <w:t>710.2</w:t>
            </w:r>
          </w:p>
        </w:tc>
        <w:tc>
          <w:tcPr>
            <w:tcW w:w="953" w:type="dxa"/>
            <w:shd w:val="clear" w:color="auto" w:fill="auto"/>
            <w:vAlign w:val="center"/>
          </w:tcPr>
          <w:p w14:paraId="7AE0DBEB" w14:textId="77777777" w:rsidR="006B15F5" w:rsidRPr="00440387" w:rsidRDefault="006B15F5" w:rsidP="00147C8B">
            <w:pPr>
              <w:spacing w:before="0" w:after="0" w:line="240" w:lineRule="auto"/>
              <w:jc w:val="center"/>
              <w:rPr>
                <w:rFonts w:ascii="GHEA Grapalat" w:hAnsi="GHEA Grapalat" w:cs="Calibri"/>
                <w:color w:val="404040"/>
                <w:sz w:val="18"/>
                <w:szCs w:val="18"/>
              </w:rPr>
            </w:pPr>
            <w:r w:rsidRPr="00440387">
              <w:rPr>
                <w:rFonts w:ascii="GHEA Grapalat" w:hAnsi="GHEA Grapalat" w:cs="Calibri"/>
                <w:color w:val="404040"/>
                <w:sz w:val="18"/>
                <w:szCs w:val="18"/>
              </w:rPr>
              <w:t>1,026.2</w:t>
            </w:r>
          </w:p>
        </w:tc>
        <w:tc>
          <w:tcPr>
            <w:tcW w:w="1093" w:type="dxa"/>
            <w:shd w:val="clear" w:color="auto" w:fill="auto"/>
            <w:noWrap/>
            <w:vAlign w:val="center"/>
          </w:tcPr>
          <w:p w14:paraId="1F61B591" w14:textId="77777777" w:rsidR="006B15F5" w:rsidRPr="00440387" w:rsidRDefault="006B15F5" w:rsidP="00147C8B">
            <w:pPr>
              <w:spacing w:before="0" w:after="0" w:line="240" w:lineRule="auto"/>
              <w:jc w:val="center"/>
              <w:rPr>
                <w:rFonts w:ascii="GHEA Grapalat" w:hAnsi="GHEA Grapalat" w:cs="Calibri"/>
                <w:color w:val="404040"/>
                <w:sz w:val="18"/>
                <w:szCs w:val="18"/>
              </w:rPr>
            </w:pPr>
            <w:r w:rsidRPr="00440387">
              <w:rPr>
                <w:rFonts w:ascii="GHEA Grapalat" w:hAnsi="GHEA Grapalat" w:cs="Calibri"/>
                <w:color w:val="404040"/>
                <w:sz w:val="18"/>
                <w:szCs w:val="18"/>
              </w:rPr>
              <w:t>1,092.2</w:t>
            </w:r>
          </w:p>
        </w:tc>
        <w:tc>
          <w:tcPr>
            <w:tcW w:w="837" w:type="dxa"/>
            <w:vAlign w:val="center"/>
          </w:tcPr>
          <w:p w14:paraId="027F446F" w14:textId="77777777" w:rsidR="006B15F5" w:rsidRPr="00853660" w:rsidRDefault="006B15F5" w:rsidP="00147C8B">
            <w:pPr>
              <w:spacing w:before="0" w:after="0" w:line="240" w:lineRule="auto"/>
              <w:jc w:val="center"/>
              <w:rPr>
                <w:rFonts w:ascii="GHEA Grapalat" w:hAnsi="GHEA Grapalat" w:cs="Calibri"/>
                <w:color w:val="404040"/>
                <w:sz w:val="18"/>
                <w:szCs w:val="18"/>
                <w:lang w:val="hy-AM"/>
              </w:rPr>
            </w:pPr>
            <w:r w:rsidRPr="00B75F98">
              <w:rPr>
                <w:rFonts w:ascii="GHEA Grapalat" w:hAnsi="GHEA Grapalat" w:cs="Calibri"/>
                <w:color w:val="404040"/>
                <w:sz w:val="18"/>
                <w:szCs w:val="18"/>
              </w:rPr>
              <w:t>1,28</w:t>
            </w:r>
            <w:r>
              <w:rPr>
                <w:rFonts w:ascii="GHEA Grapalat" w:hAnsi="GHEA Grapalat" w:cs="Calibri"/>
                <w:color w:val="404040"/>
                <w:sz w:val="18"/>
                <w:szCs w:val="18"/>
                <w:lang w:val="hy-AM"/>
              </w:rPr>
              <w:t>5</w:t>
            </w:r>
            <w:r w:rsidRPr="00B75F98">
              <w:rPr>
                <w:rFonts w:ascii="GHEA Grapalat" w:hAnsi="GHEA Grapalat" w:cs="Calibri"/>
                <w:color w:val="404040"/>
                <w:sz w:val="18"/>
                <w:szCs w:val="18"/>
              </w:rPr>
              <w:t>.</w:t>
            </w:r>
            <w:r>
              <w:rPr>
                <w:rFonts w:ascii="GHEA Grapalat" w:hAnsi="GHEA Grapalat" w:cs="Calibri"/>
                <w:color w:val="404040"/>
                <w:sz w:val="18"/>
                <w:szCs w:val="18"/>
                <w:lang w:val="hy-AM"/>
              </w:rPr>
              <w:t>1</w:t>
            </w:r>
          </w:p>
        </w:tc>
        <w:tc>
          <w:tcPr>
            <w:tcW w:w="860" w:type="dxa"/>
            <w:vAlign w:val="center"/>
          </w:tcPr>
          <w:p w14:paraId="6771181C" w14:textId="77777777" w:rsidR="006B15F5" w:rsidRDefault="006B15F5" w:rsidP="00147C8B">
            <w:pPr>
              <w:spacing w:before="0" w:after="0" w:line="240" w:lineRule="auto"/>
              <w:jc w:val="center"/>
              <w:rPr>
                <w:rFonts w:ascii="GHEA Grapalat" w:hAnsi="GHEA Grapalat" w:cs="Calibri"/>
                <w:color w:val="404040"/>
                <w:sz w:val="18"/>
                <w:szCs w:val="18"/>
              </w:rPr>
            </w:pPr>
            <w:r w:rsidRPr="00B75F98">
              <w:rPr>
                <w:rFonts w:ascii="GHEA Grapalat" w:hAnsi="GHEA Grapalat" w:cs="Calibri"/>
                <w:color w:val="404040"/>
                <w:sz w:val="18"/>
                <w:szCs w:val="18"/>
              </w:rPr>
              <w:t>1,398.5</w:t>
            </w:r>
          </w:p>
        </w:tc>
        <w:tc>
          <w:tcPr>
            <w:tcW w:w="1105" w:type="dxa"/>
            <w:shd w:val="clear" w:color="auto" w:fill="auto"/>
            <w:noWrap/>
            <w:vAlign w:val="center"/>
          </w:tcPr>
          <w:p w14:paraId="78B6D671" w14:textId="77777777" w:rsidR="006B15F5" w:rsidRPr="00440387" w:rsidRDefault="006B15F5" w:rsidP="00147C8B">
            <w:pPr>
              <w:spacing w:before="0" w:after="0" w:line="240" w:lineRule="auto"/>
              <w:jc w:val="center"/>
              <w:rPr>
                <w:rFonts w:ascii="GHEA Grapalat" w:hAnsi="GHEA Grapalat" w:cs="Calibri"/>
                <w:color w:val="404040"/>
                <w:sz w:val="18"/>
                <w:szCs w:val="18"/>
              </w:rPr>
            </w:pPr>
            <w:r w:rsidRPr="00B75F98">
              <w:rPr>
                <w:rFonts w:ascii="GHEA Grapalat" w:hAnsi="GHEA Grapalat" w:cs="Calibri"/>
                <w:color w:val="404040"/>
                <w:sz w:val="18"/>
                <w:szCs w:val="18"/>
              </w:rPr>
              <w:t>1,474.2</w:t>
            </w:r>
          </w:p>
        </w:tc>
      </w:tr>
      <w:tr w:rsidR="006B15F5" w:rsidRPr="0087491E" w14:paraId="26BB2C54" w14:textId="77777777" w:rsidTr="00147C8B">
        <w:trPr>
          <w:trHeight w:val="413"/>
          <w:jc w:val="center"/>
        </w:trPr>
        <w:tc>
          <w:tcPr>
            <w:tcW w:w="3092" w:type="dxa"/>
            <w:shd w:val="clear" w:color="auto" w:fill="auto"/>
            <w:vAlign w:val="center"/>
            <w:hideMark/>
          </w:tcPr>
          <w:p w14:paraId="5463E3B4" w14:textId="77777777" w:rsidR="006B15F5" w:rsidRPr="0087491E" w:rsidRDefault="006B15F5" w:rsidP="00147C8B">
            <w:pPr>
              <w:spacing w:before="0" w:after="0" w:line="240" w:lineRule="auto"/>
              <w:ind w:right="70"/>
              <w:rPr>
                <w:sz w:val="18"/>
                <w:szCs w:val="18"/>
              </w:rPr>
            </w:pPr>
            <w:r w:rsidRPr="0087491E">
              <w:rPr>
                <w:sz w:val="18"/>
                <w:szCs w:val="18"/>
              </w:rPr>
              <w:t>7. Այլ ծախսեր</w:t>
            </w:r>
          </w:p>
        </w:tc>
        <w:tc>
          <w:tcPr>
            <w:tcW w:w="952" w:type="dxa"/>
            <w:shd w:val="clear" w:color="auto" w:fill="auto"/>
            <w:vAlign w:val="center"/>
          </w:tcPr>
          <w:p w14:paraId="172355D9" w14:textId="77777777" w:rsidR="006B15F5" w:rsidRPr="00440387" w:rsidRDefault="006B15F5" w:rsidP="00147C8B">
            <w:pPr>
              <w:spacing w:before="0" w:after="0" w:line="240" w:lineRule="auto"/>
              <w:jc w:val="center"/>
              <w:rPr>
                <w:rFonts w:ascii="GHEA Grapalat" w:hAnsi="GHEA Grapalat" w:cs="Calibri"/>
                <w:color w:val="404040"/>
                <w:sz w:val="18"/>
                <w:szCs w:val="18"/>
              </w:rPr>
            </w:pPr>
            <w:r w:rsidRPr="00440387">
              <w:rPr>
                <w:rFonts w:ascii="GHEA Grapalat" w:hAnsi="GHEA Grapalat" w:cs="Calibri"/>
                <w:color w:val="404040"/>
                <w:sz w:val="18"/>
                <w:szCs w:val="18"/>
              </w:rPr>
              <w:t>262.4</w:t>
            </w:r>
          </w:p>
        </w:tc>
        <w:tc>
          <w:tcPr>
            <w:tcW w:w="950" w:type="dxa"/>
            <w:shd w:val="clear" w:color="auto" w:fill="auto"/>
            <w:vAlign w:val="center"/>
          </w:tcPr>
          <w:p w14:paraId="41A1170F" w14:textId="77777777" w:rsidR="006B15F5" w:rsidRPr="00440387" w:rsidRDefault="006B15F5" w:rsidP="00147C8B">
            <w:pPr>
              <w:spacing w:before="0" w:after="0" w:line="240" w:lineRule="auto"/>
              <w:jc w:val="center"/>
              <w:rPr>
                <w:rFonts w:ascii="GHEA Grapalat" w:hAnsi="GHEA Grapalat" w:cs="Calibri"/>
                <w:color w:val="404040"/>
                <w:sz w:val="18"/>
                <w:szCs w:val="18"/>
              </w:rPr>
            </w:pPr>
            <w:r w:rsidRPr="00440387">
              <w:rPr>
                <w:rFonts w:ascii="GHEA Grapalat" w:hAnsi="GHEA Grapalat" w:cs="Calibri"/>
                <w:color w:val="404040"/>
                <w:sz w:val="18"/>
                <w:szCs w:val="18"/>
              </w:rPr>
              <w:t>257.2</w:t>
            </w:r>
          </w:p>
        </w:tc>
        <w:tc>
          <w:tcPr>
            <w:tcW w:w="953" w:type="dxa"/>
            <w:shd w:val="clear" w:color="auto" w:fill="auto"/>
            <w:vAlign w:val="center"/>
          </w:tcPr>
          <w:p w14:paraId="5BFE8140" w14:textId="77777777" w:rsidR="006B15F5" w:rsidRPr="00440387" w:rsidRDefault="006B15F5" w:rsidP="00147C8B">
            <w:pPr>
              <w:spacing w:before="0" w:after="0" w:line="240" w:lineRule="auto"/>
              <w:jc w:val="center"/>
              <w:rPr>
                <w:rFonts w:ascii="GHEA Grapalat" w:hAnsi="GHEA Grapalat" w:cs="Calibri"/>
                <w:color w:val="404040"/>
                <w:sz w:val="18"/>
                <w:szCs w:val="18"/>
              </w:rPr>
            </w:pPr>
            <w:r w:rsidRPr="00440387">
              <w:rPr>
                <w:rFonts w:ascii="GHEA Grapalat" w:hAnsi="GHEA Grapalat" w:cs="Calibri"/>
                <w:color w:val="404040"/>
                <w:sz w:val="18"/>
                <w:szCs w:val="18"/>
              </w:rPr>
              <w:t>231.3</w:t>
            </w:r>
          </w:p>
        </w:tc>
        <w:tc>
          <w:tcPr>
            <w:tcW w:w="1093" w:type="dxa"/>
            <w:shd w:val="clear" w:color="auto" w:fill="auto"/>
            <w:noWrap/>
            <w:vAlign w:val="center"/>
          </w:tcPr>
          <w:p w14:paraId="4DB1562E" w14:textId="77777777" w:rsidR="006B15F5" w:rsidRPr="00440387" w:rsidRDefault="006B15F5" w:rsidP="00147C8B">
            <w:pPr>
              <w:spacing w:before="0" w:after="0" w:line="240" w:lineRule="auto"/>
              <w:jc w:val="center"/>
              <w:rPr>
                <w:rFonts w:ascii="GHEA Grapalat" w:hAnsi="GHEA Grapalat" w:cs="Calibri"/>
                <w:color w:val="404040"/>
                <w:sz w:val="18"/>
                <w:szCs w:val="18"/>
              </w:rPr>
            </w:pPr>
            <w:r w:rsidRPr="00440387">
              <w:rPr>
                <w:rFonts w:ascii="GHEA Grapalat" w:hAnsi="GHEA Grapalat" w:cs="Calibri"/>
                <w:color w:val="404040"/>
                <w:sz w:val="18"/>
                <w:szCs w:val="18"/>
              </w:rPr>
              <w:t>339.2</w:t>
            </w:r>
          </w:p>
        </w:tc>
        <w:tc>
          <w:tcPr>
            <w:tcW w:w="837" w:type="dxa"/>
            <w:vAlign w:val="center"/>
          </w:tcPr>
          <w:p w14:paraId="27440C10" w14:textId="77777777" w:rsidR="006B15F5" w:rsidRPr="00853660" w:rsidRDefault="006B15F5" w:rsidP="00147C8B">
            <w:pPr>
              <w:spacing w:before="0" w:after="0" w:line="240" w:lineRule="auto"/>
              <w:jc w:val="center"/>
              <w:rPr>
                <w:rFonts w:ascii="GHEA Grapalat" w:hAnsi="GHEA Grapalat" w:cs="Calibri"/>
                <w:color w:val="404040"/>
                <w:sz w:val="18"/>
                <w:szCs w:val="18"/>
                <w:lang w:val="hy-AM"/>
              </w:rPr>
            </w:pPr>
            <w:r>
              <w:rPr>
                <w:rFonts w:ascii="GHEA Grapalat" w:hAnsi="GHEA Grapalat" w:cs="Calibri"/>
                <w:color w:val="404040"/>
                <w:sz w:val="18"/>
                <w:szCs w:val="18"/>
              </w:rPr>
              <w:t>33</w:t>
            </w:r>
            <w:r>
              <w:rPr>
                <w:rFonts w:ascii="GHEA Grapalat" w:hAnsi="GHEA Grapalat" w:cs="Calibri"/>
                <w:color w:val="404040"/>
                <w:sz w:val="18"/>
                <w:szCs w:val="18"/>
                <w:lang w:val="hy-AM"/>
              </w:rPr>
              <w:t>1</w:t>
            </w:r>
            <w:r w:rsidRPr="00B75F98">
              <w:rPr>
                <w:rFonts w:ascii="GHEA Grapalat" w:hAnsi="GHEA Grapalat" w:cs="Calibri"/>
                <w:color w:val="404040"/>
                <w:sz w:val="18"/>
                <w:szCs w:val="18"/>
              </w:rPr>
              <w:t>.</w:t>
            </w:r>
            <w:r>
              <w:rPr>
                <w:rFonts w:ascii="GHEA Grapalat" w:hAnsi="GHEA Grapalat" w:cs="Calibri"/>
                <w:color w:val="404040"/>
                <w:sz w:val="18"/>
                <w:szCs w:val="18"/>
                <w:lang w:val="hy-AM"/>
              </w:rPr>
              <w:t>5</w:t>
            </w:r>
          </w:p>
        </w:tc>
        <w:tc>
          <w:tcPr>
            <w:tcW w:w="860" w:type="dxa"/>
            <w:vAlign w:val="center"/>
          </w:tcPr>
          <w:p w14:paraId="788F841F" w14:textId="77777777" w:rsidR="006B15F5" w:rsidRPr="00C243A3" w:rsidRDefault="006B15F5" w:rsidP="00147C8B">
            <w:pPr>
              <w:spacing w:before="0" w:after="0" w:line="240" w:lineRule="auto"/>
              <w:jc w:val="center"/>
              <w:rPr>
                <w:rFonts w:ascii="GHEA Grapalat" w:hAnsi="GHEA Grapalat" w:cs="Calibri"/>
                <w:color w:val="404040"/>
                <w:sz w:val="18"/>
                <w:szCs w:val="18"/>
              </w:rPr>
            </w:pPr>
            <w:r w:rsidRPr="00B75F98">
              <w:rPr>
                <w:rFonts w:ascii="GHEA Grapalat" w:hAnsi="GHEA Grapalat" w:cs="Calibri"/>
                <w:color w:val="404040"/>
                <w:sz w:val="18"/>
                <w:szCs w:val="18"/>
              </w:rPr>
              <w:t>3</w:t>
            </w:r>
            <w:r>
              <w:rPr>
                <w:rFonts w:ascii="GHEA Grapalat" w:hAnsi="GHEA Grapalat" w:cs="Calibri"/>
                <w:color w:val="404040"/>
                <w:sz w:val="18"/>
                <w:szCs w:val="18"/>
              </w:rPr>
              <w:t>12</w:t>
            </w:r>
            <w:r w:rsidRPr="00B75F98">
              <w:rPr>
                <w:rFonts w:ascii="GHEA Grapalat" w:hAnsi="GHEA Grapalat" w:cs="Calibri"/>
                <w:color w:val="404040"/>
                <w:sz w:val="18"/>
                <w:szCs w:val="18"/>
              </w:rPr>
              <w:t>.9</w:t>
            </w:r>
          </w:p>
        </w:tc>
        <w:tc>
          <w:tcPr>
            <w:tcW w:w="1105" w:type="dxa"/>
            <w:shd w:val="clear" w:color="auto" w:fill="auto"/>
            <w:noWrap/>
            <w:vAlign w:val="center"/>
          </w:tcPr>
          <w:p w14:paraId="34CC8FF3" w14:textId="77777777" w:rsidR="006B15F5" w:rsidRPr="00853660" w:rsidRDefault="006B15F5" w:rsidP="00147C8B">
            <w:pPr>
              <w:spacing w:before="0" w:after="0" w:line="240" w:lineRule="auto"/>
              <w:jc w:val="center"/>
              <w:rPr>
                <w:rFonts w:ascii="GHEA Grapalat" w:hAnsi="GHEA Grapalat" w:cs="Calibri"/>
                <w:color w:val="404040"/>
                <w:sz w:val="18"/>
                <w:szCs w:val="18"/>
                <w:lang w:val="hy-AM"/>
              </w:rPr>
            </w:pPr>
            <w:r w:rsidRPr="00B75F98">
              <w:rPr>
                <w:rFonts w:ascii="GHEA Grapalat" w:hAnsi="GHEA Grapalat" w:cs="Calibri"/>
                <w:color w:val="404040"/>
                <w:sz w:val="18"/>
                <w:szCs w:val="18"/>
              </w:rPr>
              <w:t>3</w:t>
            </w:r>
            <w:r>
              <w:rPr>
                <w:rFonts w:ascii="GHEA Grapalat" w:hAnsi="GHEA Grapalat" w:cs="Calibri"/>
                <w:color w:val="404040"/>
                <w:sz w:val="18"/>
                <w:szCs w:val="18"/>
                <w:lang w:val="hy-AM"/>
              </w:rPr>
              <w:t>21</w:t>
            </w:r>
            <w:r w:rsidRPr="00B75F98">
              <w:rPr>
                <w:rFonts w:ascii="GHEA Grapalat" w:hAnsi="GHEA Grapalat" w:cs="Calibri"/>
                <w:color w:val="404040"/>
                <w:sz w:val="18"/>
                <w:szCs w:val="18"/>
              </w:rPr>
              <w:t>.</w:t>
            </w:r>
            <w:r>
              <w:rPr>
                <w:rFonts w:ascii="GHEA Grapalat" w:hAnsi="GHEA Grapalat" w:cs="Calibri"/>
                <w:color w:val="404040"/>
                <w:sz w:val="18"/>
                <w:szCs w:val="18"/>
                <w:lang w:val="hy-AM"/>
              </w:rPr>
              <w:t>5</w:t>
            </w:r>
          </w:p>
        </w:tc>
      </w:tr>
    </w:tbl>
    <w:p w14:paraId="75A05E31" w14:textId="77777777" w:rsidR="006B15F5" w:rsidRPr="006A54A7" w:rsidRDefault="006B15F5" w:rsidP="006B15F5">
      <w:pPr>
        <w:spacing w:before="240"/>
        <w:jc w:val="both"/>
        <w:rPr>
          <w:rFonts w:ascii="GHEA Grapalat" w:hAnsi="GHEA Grapalat"/>
          <w:szCs w:val="20"/>
        </w:rPr>
      </w:pPr>
      <w:r>
        <w:rPr>
          <w:rFonts w:ascii="GHEA Grapalat" w:hAnsi="GHEA Grapalat"/>
          <w:szCs w:val="20"/>
          <w:lang w:val="af-ZA"/>
        </w:rPr>
        <w:t>2026</w:t>
      </w:r>
      <w:r w:rsidRPr="0087491E">
        <w:rPr>
          <w:rFonts w:ascii="GHEA Grapalat" w:hAnsi="GHEA Grapalat"/>
          <w:szCs w:val="20"/>
          <w:lang w:val="af-ZA"/>
        </w:rPr>
        <w:t xml:space="preserve"> </w:t>
      </w:r>
      <w:r w:rsidRPr="0087491E">
        <w:rPr>
          <w:rFonts w:ascii="GHEA Grapalat" w:hAnsi="GHEA Grapalat"/>
          <w:szCs w:val="20"/>
        </w:rPr>
        <w:t>թվականի</w:t>
      </w:r>
      <w:r w:rsidRPr="0087491E">
        <w:rPr>
          <w:rFonts w:ascii="GHEA Grapalat" w:hAnsi="GHEA Grapalat"/>
          <w:szCs w:val="20"/>
          <w:lang w:val="af-ZA"/>
        </w:rPr>
        <w:t xml:space="preserve"> </w:t>
      </w:r>
      <w:r w:rsidRPr="0087491E">
        <w:rPr>
          <w:rFonts w:ascii="GHEA Grapalat" w:hAnsi="GHEA Grapalat"/>
          <w:szCs w:val="20"/>
        </w:rPr>
        <w:t>ծախսերի</w:t>
      </w:r>
      <w:r w:rsidRPr="0087491E">
        <w:rPr>
          <w:rFonts w:ascii="GHEA Grapalat" w:hAnsi="GHEA Grapalat"/>
          <w:szCs w:val="20"/>
          <w:lang w:val="af-ZA"/>
        </w:rPr>
        <w:t xml:space="preserve"> </w:t>
      </w:r>
      <w:r w:rsidRPr="0087491E">
        <w:rPr>
          <w:rFonts w:ascii="GHEA Grapalat" w:hAnsi="GHEA Grapalat"/>
          <w:szCs w:val="20"/>
        </w:rPr>
        <w:t>ընդհանուր</w:t>
      </w:r>
      <w:r w:rsidRPr="0087491E">
        <w:rPr>
          <w:rFonts w:ascii="GHEA Grapalat" w:hAnsi="GHEA Grapalat"/>
          <w:szCs w:val="20"/>
          <w:lang w:val="af-ZA"/>
        </w:rPr>
        <w:t xml:space="preserve"> </w:t>
      </w:r>
      <w:r w:rsidRPr="00F61719">
        <w:rPr>
          <w:rFonts w:ascii="GHEA Grapalat" w:hAnsi="GHEA Grapalat"/>
          <w:szCs w:val="20"/>
        </w:rPr>
        <w:t>ծավալի</w:t>
      </w:r>
      <w:r w:rsidRPr="00F61719">
        <w:rPr>
          <w:rFonts w:ascii="GHEA Grapalat" w:hAnsi="GHEA Grapalat"/>
          <w:szCs w:val="20"/>
          <w:lang w:val="af-ZA"/>
        </w:rPr>
        <w:t xml:space="preserve"> 19.</w:t>
      </w:r>
      <w:r>
        <w:rPr>
          <w:rFonts w:ascii="GHEA Grapalat" w:hAnsi="GHEA Grapalat"/>
          <w:szCs w:val="20"/>
          <w:lang w:val="hy-AM"/>
        </w:rPr>
        <w:t>7</w:t>
      </w:r>
      <w:r w:rsidRPr="00F61719">
        <w:rPr>
          <w:rFonts w:ascii="GHEA Grapalat" w:hAnsi="GHEA Grapalat"/>
          <w:szCs w:val="20"/>
          <w:lang w:val="af-ZA"/>
        </w:rPr>
        <w:t>%-</w:t>
      </w:r>
      <w:r w:rsidRPr="00F61719">
        <w:rPr>
          <w:rFonts w:ascii="GHEA Grapalat" w:hAnsi="GHEA Grapalat"/>
          <w:szCs w:val="20"/>
        </w:rPr>
        <w:t>ը</w:t>
      </w:r>
      <w:r w:rsidRPr="00F61719">
        <w:rPr>
          <w:rFonts w:ascii="GHEA Grapalat" w:hAnsi="GHEA Grapalat"/>
          <w:szCs w:val="20"/>
          <w:lang w:val="af-ZA"/>
        </w:rPr>
        <w:t xml:space="preserve"> </w:t>
      </w:r>
      <w:r w:rsidRPr="00F61719">
        <w:rPr>
          <w:rFonts w:ascii="GHEA Grapalat" w:hAnsi="GHEA Grapalat"/>
          <w:szCs w:val="20"/>
        </w:rPr>
        <w:t>կկազմեն</w:t>
      </w:r>
      <w:r w:rsidRPr="00F61719">
        <w:rPr>
          <w:rFonts w:ascii="GHEA Grapalat" w:hAnsi="GHEA Grapalat"/>
          <w:szCs w:val="20"/>
          <w:lang w:val="af-ZA"/>
        </w:rPr>
        <w:t xml:space="preserve"> </w:t>
      </w:r>
      <w:r w:rsidRPr="00F61719">
        <w:rPr>
          <w:rFonts w:ascii="GHEA Grapalat" w:hAnsi="GHEA Grapalat"/>
          <w:szCs w:val="20"/>
        </w:rPr>
        <w:t>ոչ</w:t>
      </w:r>
      <w:r w:rsidRPr="00F61719">
        <w:rPr>
          <w:rFonts w:ascii="GHEA Grapalat" w:hAnsi="GHEA Grapalat"/>
          <w:szCs w:val="20"/>
          <w:lang w:val="af-ZA"/>
        </w:rPr>
        <w:t xml:space="preserve"> </w:t>
      </w:r>
      <w:r w:rsidRPr="00F61719">
        <w:rPr>
          <w:rFonts w:ascii="GHEA Grapalat" w:hAnsi="GHEA Grapalat"/>
          <w:szCs w:val="20"/>
        </w:rPr>
        <w:t>ֆինանսական</w:t>
      </w:r>
      <w:r w:rsidRPr="00F61719">
        <w:rPr>
          <w:rFonts w:ascii="GHEA Grapalat" w:hAnsi="GHEA Grapalat"/>
          <w:szCs w:val="20"/>
          <w:lang w:val="af-ZA"/>
        </w:rPr>
        <w:t xml:space="preserve"> </w:t>
      </w:r>
      <w:r w:rsidRPr="00F61719">
        <w:rPr>
          <w:rFonts w:ascii="GHEA Grapalat" w:hAnsi="GHEA Grapalat"/>
          <w:szCs w:val="20"/>
        </w:rPr>
        <w:t>ակտիվ</w:t>
      </w:r>
      <w:r w:rsidRPr="00F61719">
        <w:rPr>
          <w:rFonts w:ascii="GHEA Grapalat" w:hAnsi="GHEA Grapalat"/>
          <w:szCs w:val="20"/>
          <w:lang w:val="af-ZA"/>
        </w:rPr>
        <w:softHyphen/>
      </w:r>
      <w:r w:rsidRPr="00F61719">
        <w:rPr>
          <w:rFonts w:ascii="GHEA Grapalat" w:hAnsi="GHEA Grapalat"/>
          <w:szCs w:val="20"/>
        </w:rPr>
        <w:t>ների</w:t>
      </w:r>
      <w:r w:rsidRPr="00F61719">
        <w:rPr>
          <w:rFonts w:ascii="GHEA Grapalat" w:hAnsi="GHEA Grapalat"/>
          <w:szCs w:val="20"/>
          <w:lang w:val="af-ZA"/>
        </w:rPr>
        <w:t xml:space="preserve"> </w:t>
      </w:r>
      <w:r w:rsidRPr="00F61719">
        <w:rPr>
          <w:rFonts w:ascii="GHEA Grapalat" w:hAnsi="GHEA Grapalat"/>
          <w:szCs w:val="20"/>
        </w:rPr>
        <w:t>գծով</w:t>
      </w:r>
      <w:r w:rsidRPr="00F61719">
        <w:rPr>
          <w:rFonts w:ascii="GHEA Grapalat" w:hAnsi="GHEA Grapalat"/>
          <w:szCs w:val="20"/>
          <w:lang w:val="af-ZA"/>
        </w:rPr>
        <w:t xml:space="preserve"> </w:t>
      </w:r>
      <w:r w:rsidRPr="00F61719">
        <w:rPr>
          <w:rFonts w:ascii="GHEA Grapalat" w:hAnsi="GHEA Grapalat"/>
          <w:szCs w:val="20"/>
        </w:rPr>
        <w:t>ծախսերը</w:t>
      </w:r>
      <w:r w:rsidRPr="00F61719">
        <w:rPr>
          <w:rFonts w:ascii="GHEA Grapalat" w:hAnsi="GHEA Grapalat"/>
          <w:szCs w:val="20"/>
          <w:lang w:val="af-ZA"/>
        </w:rPr>
        <w:t xml:space="preserve">, (2025 </w:t>
      </w:r>
      <w:r w:rsidRPr="00F61719">
        <w:rPr>
          <w:rFonts w:ascii="GHEA Grapalat" w:hAnsi="GHEA Grapalat"/>
          <w:szCs w:val="20"/>
        </w:rPr>
        <w:t>թվականին</w:t>
      </w:r>
      <w:r w:rsidRPr="00F61719">
        <w:rPr>
          <w:rFonts w:ascii="GHEA Grapalat" w:hAnsi="GHEA Grapalat"/>
          <w:szCs w:val="20"/>
          <w:lang w:val="af-ZA"/>
        </w:rPr>
        <w:t xml:space="preserve"> </w:t>
      </w:r>
      <w:r w:rsidRPr="00F61719">
        <w:rPr>
          <w:rFonts w:ascii="GHEA Grapalat" w:hAnsi="GHEA Grapalat"/>
          <w:szCs w:val="20"/>
        </w:rPr>
        <w:t>այդ</w:t>
      </w:r>
      <w:r w:rsidRPr="00F61719">
        <w:rPr>
          <w:rFonts w:ascii="GHEA Grapalat" w:hAnsi="GHEA Grapalat"/>
          <w:szCs w:val="20"/>
          <w:lang w:val="af-ZA"/>
        </w:rPr>
        <w:t xml:space="preserve"> </w:t>
      </w:r>
      <w:r w:rsidRPr="00F61719">
        <w:rPr>
          <w:rFonts w:ascii="GHEA Grapalat" w:hAnsi="GHEA Grapalat"/>
          <w:szCs w:val="20"/>
        </w:rPr>
        <w:t>ցուցանիշը</w:t>
      </w:r>
      <w:r w:rsidRPr="00F61719">
        <w:rPr>
          <w:rFonts w:ascii="GHEA Grapalat" w:hAnsi="GHEA Grapalat"/>
          <w:szCs w:val="20"/>
          <w:lang w:val="af-ZA"/>
        </w:rPr>
        <w:t xml:space="preserve"> </w:t>
      </w:r>
      <w:r w:rsidRPr="00F61719">
        <w:rPr>
          <w:rFonts w:ascii="GHEA Grapalat" w:hAnsi="GHEA Grapalat"/>
          <w:szCs w:val="20"/>
        </w:rPr>
        <w:t>ծրագրվել</w:t>
      </w:r>
      <w:r w:rsidRPr="00F61719">
        <w:rPr>
          <w:rFonts w:ascii="GHEA Grapalat" w:hAnsi="GHEA Grapalat"/>
          <w:szCs w:val="20"/>
          <w:lang w:val="af-ZA"/>
        </w:rPr>
        <w:t xml:space="preserve"> </w:t>
      </w:r>
      <w:r w:rsidRPr="00F61719">
        <w:rPr>
          <w:rFonts w:ascii="GHEA Grapalat" w:hAnsi="GHEA Grapalat"/>
          <w:szCs w:val="20"/>
        </w:rPr>
        <w:t>է</w:t>
      </w:r>
      <w:r w:rsidRPr="00F61719">
        <w:rPr>
          <w:rFonts w:ascii="GHEA Grapalat" w:hAnsi="GHEA Grapalat"/>
          <w:szCs w:val="20"/>
          <w:lang w:val="af-ZA"/>
        </w:rPr>
        <w:t xml:space="preserve"> 21.</w:t>
      </w:r>
      <w:r w:rsidRPr="00F61719">
        <w:rPr>
          <w:rFonts w:ascii="GHEA Grapalat" w:hAnsi="GHEA Grapalat"/>
          <w:szCs w:val="20"/>
          <w:lang w:val="hy-AM"/>
        </w:rPr>
        <w:t>4</w:t>
      </w:r>
      <w:r>
        <w:rPr>
          <w:rFonts w:ascii="GHEA Grapalat" w:hAnsi="GHEA Grapalat"/>
          <w:szCs w:val="20"/>
          <w:lang w:val="af-ZA"/>
        </w:rPr>
        <w:t xml:space="preserve">%), 2027 թվականին՝ </w:t>
      </w:r>
      <w:r>
        <w:rPr>
          <w:rFonts w:ascii="GHEA Grapalat" w:hAnsi="GHEA Grapalat"/>
          <w:szCs w:val="20"/>
          <w:lang w:val="hy-AM"/>
        </w:rPr>
        <w:t>19.2</w:t>
      </w:r>
      <w:r w:rsidRPr="006A54A7">
        <w:rPr>
          <w:rFonts w:ascii="GHEA Grapalat" w:hAnsi="GHEA Grapalat"/>
          <w:szCs w:val="20"/>
        </w:rPr>
        <w:t>%-</w:t>
      </w:r>
      <w:r>
        <w:rPr>
          <w:rFonts w:ascii="GHEA Grapalat" w:hAnsi="GHEA Grapalat"/>
          <w:szCs w:val="20"/>
          <w:lang w:val="hy-AM"/>
        </w:rPr>
        <w:t>ը, իսկ 2028 թվականին՝ 20.2</w:t>
      </w:r>
      <w:r w:rsidRPr="006A54A7">
        <w:rPr>
          <w:rFonts w:ascii="GHEA Grapalat" w:hAnsi="GHEA Grapalat"/>
          <w:szCs w:val="20"/>
        </w:rPr>
        <w:t>%</w:t>
      </w:r>
      <w:r>
        <w:rPr>
          <w:rFonts w:ascii="GHEA Grapalat" w:hAnsi="GHEA Grapalat"/>
          <w:szCs w:val="20"/>
        </w:rPr>
        <w:t>:</w:t>
      </w:r>
    </w:p>
    <w:p w14:paraId="244A692D" w14:textId="0474578E" w:rsidR="006B15F5" w:rsidRPr="00E77731" w:rsidRDefault="006B15F5" w:rsidP="006B15F5">
      <w:pPr>
        <w:pStyle w:val="Charts"/>
      </w:pPr>
      <w:bookmarkStart w:id="415" w:name="_Toc184110749"/>
      <w:r w:rsidRPr="00C3014C">
        <w:rPr>
          <w:noProof/>
          <w:lang w:val="en-US"/>
        </w:rPr>
        <w:drawing>
          <wp:anchor distT="0" distB="0" distL="114300" distR="114300" simplePos="0" relativeHeight="251961344" behindDoc="0" locked="0" layoutInCell="1" allowOverlap="1" wp14:anchorId="384BCB95" wp14:editId="4ECDDB49">
            <wp:simplePos x="0" y="0"/>
            <wp:positionH relativeFrom="column">
              <wp:posOffset>-143510</wp:posOffset>
            </wp:positionH>
            <wp:positionV relativeFrom="paragraph">
              <wp:posOffset>624840</wp:posOffset>
            </wp:positionV>
            <wp:extent cx="6200775" cy="2114550"/>
            <wp:effectExtent l="0" t="0" r="9525" b="0"/>
            <wp:wrapTopAndBottom/>
            <wp:docPr id="33" name="Chart 33"/>
            <wp:cNvGraphicFramePr/>
            <a:graphic xmlns:a="http://schemas.openxmlformats.org/drawingml/2006/main">
              <a:graphicData uri="http://schemas.openxmlformats.org/drawingml/2006/chart">
                <c:chart xmlns:c="http://schemas.openxmlformats.org/drawingml/2006/chart" xmlns:r="http://schemas.openxmlformats.org/officeDocument/2006/relationships" r:id="rId70"/>
              </a:graphicData>
            </a:graphic>
            <wp14:sizeRelH relativeFrom="margin">
              <wp14:pctWidth>0</wp14:pctWidth>
            </wp14:sizeRelH>
            <wp14:sizeRelV relativeFrom="margin">
              <wp14:pctHeight>0</wp14:pctHeight>
            </wp14:sizeRelV>
          </wp:anchor>
        </w:drawing>
      </w:r>
      <w:r w:rsidRPr="00103A51">
        <w:t xml:space="preserve">Գծապատկեր </w:t>
      </w:r>
      <w:r w:rsidRPr="00103A51">
        <w:fldChar w:fldCharType="begin"/>
      </w:r>
      <w:r w:rsidRPr="00103A51">
        <w:instrText xml:space="preserve"> SEQ գծապատկեր \* ARABIC </w:instrText>
      </w:r>
      <w:r w:rsidRPr="00103A51">
        <w:fldChar w:fldCharType="separate"/>
      </w:r>
      <w:r w:rsidR="001848B1">
        <w:rPr>
          <w:noProof/>
        </w:rPr>
        <w:t>4</w:t>
      </w:r>
      <w:r w:rsidRPr="00103A51">
        <w:fldChar w:fldCharType="end"/>
      </w:r>
      <w:r w:rsidRPr="008873C1">
        <w:t>. 2022-2028թթ</w:t>
      </w:r>
      <w:r w:rsidRPr="008873C1">
        <w:rPr>
          <w:rFonts w:ascii="Cambria Math" w:hAnsi="Cambria Math" w:cs="Cambria Math"/>
        </w:rPr>
        <w:t xml:space="preserve">․ </w:t>
      </w:r>
      <w:r w:rsidRPr="008873C1">
        <w:t>ոչ ֆինանսական ակտիվ</w:t>
      </w:r>
      <w:r w:rsidRPr="008873C1">
        <w:softHyphen/>
        <w:t>ների գծով ծախսերի ֆինանսավորման կառուցվածքը</w:t>
      </w:r>
      <w:bookmarkEnd w:id="415"/>
    </w:p>
    <w:p w14:paraId="55B1A210" w14:textId="77777777" w:rsidR="006B15F5" w:rsidRPr="00567E06" w:rsidRDefault="006B15F5" w:rsidP="006B15F5">
      <w:pPr>
        <w:pStyle w:val="BodyText1"/>
        <w:ind w:left="0"/>
        <w:rPr>
          <w:lang w:val="hy-AM"/>
        </w:rPr>
      </w:pPr>
      <w:r>
        <w:rPr>
          <w:lang w:val="hy-AM"/>
        </w:rPr>
        <w:t>2026</w:t>
      </w:r>
      <w:r w:rsidRPr="00567E06">
        <w:rPr>
          <w:lang w:val="hy-AM"/>
        </w:rPr>
        <w:t xml:space="preserve"> թվականի ընթացքում ոչ ֆինանսական ակտիվ</w:t>
      </w:r>
      <w:r w:rsidRPr="00567E06">
        <w:rPr>
          <w:lang w:val="hy-AM"/>
        </w:rPr>
        <w:softHyphen/>
        <w:t xml:space="preserve">ների գծով ծախսերի ֆինանսավորման կառուցվածքում արձանագրվում է ներքին աղբյուրների ծավալի </w:t>
      </w:r>
      <w:r>
        <w:rPr>
          <w:lang w:val="hy-AM"/>
        </w:rPr>
        <w:t>աճ</w:t>
      </w:r>
      <w:r w:rsidRPr="00567E06">
        <w:rPr>
          <w:lang w:val="hy-AM"/>
        </w:rPr>
        <w:t xml:space="preserve">, իսկ արտաքին աղբյուրների ծավալները </w:t>
      </w:r>
      <w:r>
        <w:rPr>
          <w:lang w:val="hy-AM"/>
        </w:rPr>
        <w:t>նվազել են</w:t>
      </w:r>
      <w:r w:rsidRPr="00567E06">
        <w:rPr>
          <w:lang w:val="hy-AM"/>
        </w:rPr>
        <w:t xml:space="preserve">: </w:t>
      </w:r>
    </w:p>
    <w:p w14:paraId="1AA31AEE" w14:textId="77777777" w:rsidR="006B15F5" w:rsidRPr="00567E06" w:rsidRDefault="006B15F5" w:rsidP="006B15F5">
      <w:pPr>
        <w:pStyle w:val="BodyText1"/>
        <w:ind w:left="0"/>
        <w:rPr>
          <w:lang w:val="hy-AM"/>
        </w:rPr>
      </w:pPr>
      <w:r w:rsidRPr="00567E06">
        <w:rPr>
          <w:lang w:val="hy-AM"/>
        </w:rPr>
        <w:t>Ոչ ֆինանսական ակտիվների գծով ծախսերի իրակա</w:t>
      </w:r>
      <w:r w:rsidRPr="00567E06">
        <w:rPr>
          <w:lang w:val="hy-AM"/>
        </w:rPr>
        <w:softHyphen/>
        <w:t>նացման գե</w:t>
      </w:r>
      <w:r w:rsidRPr="00567E06">
        <w:rPr>
          <w:lang w:val="hy-AM"/>
        </w:rPr>
        <w:softHyphen/>
        <w:t>րա</w:t>
      </w:r>
      <w:r w:rsidRPr="00567E06">
        <w:rPr>
          <w:lang w:val="hy-AM"/>
        </w:rPr>
        <w:softHyphen/>
      </w:r>
      <w:r w:rsidRPr="00567E06">
        <w:rPr>
          <w:lang w:val="hy-AM"/>
        </w:rPr>
        <w:softHyphen/>
        <w:t>կայու</w:t>
      </w:r>
      <w:r w:rsidRPr="00567E06">
        <w:rPr>
          <w:lang w:val="hy-AM"/>
        </w:rPr>
        <w:softHyphen/>
        <w:t xml:space="preserve">թյունները հանդիսանալու են ինչպես ենթակառուցվածքային, այնպես էլ սոցիալական ոլորտներում ներդրումները: </w:t>
      </w:r>
    </w:p>
    <w:p w14:paraId="7E4CCB23" w14:textId="12FBDC2A" w:rsidR="006B15F5" w:rsidRPr="008873C1" w:rsidRDefault="006B15F5" w:rsidP="006B15F5">
      <w:pPr>
        <w:pStyle w:val="a"/>
      </w:pPr>
      <w:bookmarkStart w:id="416" w:name="_Toc184110772"/>
      <w:r w:rsidRPr="008873C1">
        <w:t xml:space="preserve">Աղյուսակ </w:t>
      </w:r>
      <w:r w:rsidRPr="008873C1">
        <w:fldChar w:fldCharType="begin"/>
      </w:r>
      <w:r w:rsidRPr="008873C1">
        <w:instrText xml:space="preserve"> SEQ Աղյուսակ \* ARABIC </w:instrText>
      </w:r>
      <w:r w:rsidRPr="008873C1">
        <w:fldChar w:fldCharType="separate"/>
      </w:r>
      <w:r w:rsidR="001848B1">
        <w:rPr>
          <w:noProof/>
        </w:rPr>
        <w:t>9</w:t>
      </w:r>
      <w:r w:rsidRPr="008873C1">
        <w:fldChar w:fldCharType="end"/>
      </w:r>
      <w:r w:rsidRPr="008873C1">
        <w:t>2. Աղյուսակ 10. 2022-2028թթ. ոչ ֆինանսական ակտիվ</w:t>
      </w:r>
      <w:r w:rsidRPr="008873C1">
        <w:softHyphen/>
        <w:t>ների գծով ծախսերի ֆինանսավորման կառուցվածը ըստ արտաքին և ներքին աղբյուրների, մլրդ դրամ</w:t>
      </w:r>
      <w:bookmarkEnd w:id="416"/>
    </w:p>
    <w:tbl>
      <w:tblPr>
        <w:tblW w:w="9567" w:type="dxa"/>
        <w:tblInd w:w="-10" w:type="dxa"/>
        <w:tblBorders>
          <w:top w:val="single" w:sz="8" w:space="0" w:color="E1E1E3" w:themeColor="accent3" w:themeTint="33"/>
          <w:left w:val="single" w:sz="8" w:space="0" w:color="E1E1E3" w:themeColor="accent3" w:themeTint="33"/>
          <w:bottom w:val="single" w:sz="8" w:space="0" w:color="E1E1E3" w:themeColor="accent3" w:themeTint="33"/>
          <w:right w:val="single" w:sz="8" w:space="0" w:color="E1E1E3" w:themeColor="accent3" w:themeTint="33"/>
          <w:insideH w:val="single" w:sz="8" w:space="0" w:color="E1E1E3" w:themeColor="accent3" w:themeTint="33"/>
          <w:insideV w:val="single" w:sz="8" w:space="0" w:color="E1E1E3" w:themeColor="accent3" w:themeTint="33"/>
        </w:tblBorders>
        <w:tblLook w:val="04A0" w:firstRow="1" w:lastRow="0" w:firstColumn="1" w:lastColumn="0" w:noHBand="0" w:noVBand="1"/>
      </w:tblPr>
      <w:tblGrid>
        <w:gridCol w:w="3481"/>
        <w:gridCol w:w="935"/>
        <w:gridCol w:w="940"/>
        <w:gridCol w:w="940"/>
        <w:gridCol w:w="940"/>
        <w:gridCol w:w="777"/>
        <w:gridCol w:w="777"/>
        <w:gridCol w:w="777"/>
      </w:tblGrid>
      <w:tr w:rsidR="006B15F5" w:rsidRPr="009665F3" w14:paraId="785F1E18" w14:textId="77777777" w:rsidTr="00147C8B">
        <w:trPr>
          <w:trHeight w:val="288"/>
        </w:trPr>
        <w:tc>
          <w:tcPr>
            <w:tcW w:w="3481" w:type="dxa"/>
            <w:shd w:val="clear" w:color="auto" w:fill="D5DCE4" w:themeFill="text2" w:themeFillTint="33"/>
            <w:vAlign w:val="center"/>
            <w:hideMark/>
          </w:tcPr>
          <w:p w14:paraId="631A0422" w14:textId="77777777" w:rsidR="006B15F5" w:rsidRPr="009665F3" w:rsidRDefault="006B15F5" w:rsidP="00147C8B">
            <w:pPr>
              <w:spacing w:before="0" w:after="0" w:line="240" w:lineRule="auto"/>
              <w:jc w:val="both"/>
              <w:rPr>
                <w:b/>
                <w:sz w:val="18"/>
                <w:szCs w:val="18"/>
              </w:rPr>
            </w:pPr>
            <w:r w:rsidRPr="002507D1">
              <w:rPr>
                <w:b/>
                <w:sz w:val="18"/>
                <w:szCs w:val="18"/>
                <w:lang w:val="hy-AM"/>
              </w:rPr>
              <w:br w:type="page"/>
            </w:r>
            <w:r w:rsidRPr="009665F3">
              <w:rPr>
                <w:b/>
                <w:sz w:val="18"/>
                <w:szCs w:val="18"/>
              </w:rPr>
              <w:t>Ցուցանիշներ</w:t>
            </w:r>
          </w:p>
        </w:tc>
        <w:tc>
          <w:tcPr>
            <w:tcW w:w="935" w:type="dxa"/>
            <w:shd w:val="clear" w:color="auto" w:fill="D5DCE4" w:themeFill="text2" w:themeFillTint="33"/>
            <w:vAlign w:val="center"/>
            <w:hideMark/>
          </w:tcPr>
          <w:p w14:paraId="781D8775" w14:textId="77777777" w:rsidR="006B15F5" w:rsidRPr="009665F3" w:rsidRDefault="006B15F5" w:rsidP="00147C8B">
            <w:pPr>
              <w:spacing w:before="0" w:after="0" w:line="240" w:lineRule="auto"/>
              <w:jc w:val="center"/>
              <w:rPr>
                <w:b/>
                <w:sz w:val="18"/>
                <w:szCs w:val="18"/>
              </w:rPr>
            </w:pPr>
            <w:r>
              <w:rPr>
                <w:b/>
                <w:sz w:val="18"/>
                <w:szCs w:val="18"/>
              </w:rPr>
              <w:t>2022</w:t>
            </w:r>
          </w:p>
        </w:tc>
        <w:tc>
          <w:tcPr>
            <w:tcW w:w="940" w:type="dxa"/>
            <w:shd w:val="clear" w:color="auto" w:fill="D5DCE4" w:themeFill="text2" w:themeFillTint="33"/>
            <w:vAlign w:val="center"/>
            <w:hideMark/>
          </w:tcPr>
          <w:p w14:paraId="1FE27E0E" w14:textId="77777777" w:rsidR="006B15F5" w:rsidRPr="009665F3" w:rsidRDefault="006B15F5" w:rsidP="00147C8B">
            <w:pPr>
              <w:spacing w:before="0" w:after="0" w:line="240" w:lineRule="auto"/>
              <w:jc w:val="center"/>
              <w:rPr>
                <w:b/>
                <w:sz w:val="18"/>
                <w:szCs w:val="18"/>
              </w:rPr>
            </w:pPr>
            <w:r>
              <w:rPr>
                <w:b/>
                <w:sz w:val="18"/>
                <w:szCs w:val="18"/>
              </w:rPr>
              <w:t>2023</w:t>
            </w:r>
          </w:p>
        </w:tc>
        <w:tc>
          <w:tcPr>
            <w:tcW w:w="940" w:type="dxa"/>
            <w:shd w:val="clear" w:color="auto" w:fill="D5DCE4" w:themeFill="text2" w:themeFillTint="33"/>
            <w:vAlign w:val="center"/>
            <w:hideMark/>
          </w:tcPr>
          <w:p w14:paraId="4F0A9DF3" w14:textId="77777777" w:rsidR="006B15F5" w:rsidRPr="009665F3" w:rsidRDefault="006B15F5" w:rsidP="00147C8B">
            <w:pPr>
              <w:spacing w:before="0" w:after="0" w:line="240" w:lineRule="auto"/>
              <w:jc w:val="center"/>
              <w:rPr>
                <w:b/>
                <w:sz w:val="18"/>
                <w:szCs w:val="18"/>
              </w:rPr>
            </w:pPr>
            <w:r>
              <w:rPr>
                <w:b/>
                <w:sz w:val="18"/>
                <w:szCs w:val="18"/>
              </w:rPr>
              <w:t>2024</w:t>
            </w:r>
          </w:p>
        </w:tc>
        <w:tc>
          <w:tcPr>
            <w:tcW w:w="940" w:type="dxa"/>
            <w:shd w:val="clear" w:color="auto" w:fill="D5DCE4" w:themeFill="text2" w:themeFillTint="33"/>
            <w:vAlign w:val="center"/>
            <w:hideMark/>
          </w:tcPr>
          <w:p w14:paraId="655A5C53" w14:textId="77777777" w:rsidR="006B15F5" w:rsidRPr="009665F3" w:rsidRDefault="006B15F5" w:rsidP="00147C8B">
            <w:pPr>
              <w:spacing w:before="0" w:after="0" w:line="240" w:lineRule="auto"/>
              <w:jc w:val="center"/>
              <w:rPr>
                <w:b/>
                <w:sz w:val="18"/>
                <w:szCs w:val="18"/>
              </w:rPr>
            </w:pPr>
            <w:r>
              <w:rPr>
                <w:b/>
                <w:sz w:val="18"/>
                <w:szCs w:val="18"/>
              </w:rPr>
              <w:t>202</w:t>
            </w:r>
            <w:r>
              <w:rPr>
                <w:b/>
                <w:sz w:val="18"/>
                <w:szCs w:val="18"/>
                <w:lang w:val="hy-AM"/>
              </w:rPr>
              <w:t>5</w:t>
            </w:r>
          </w:p>
        </w:tc>
        <w:tc>
          <w:tcPr>
            <w:tcW w:w="777" w:type="dxa"/>
            <w:shd w:val="clear" w:color="auto" w:fill="D5DCE4" w:themeFill="text2" w:themeFillTint="33"/>
            <w:vAlign w:val="center"/>
          </w:tcPr>
          <w:p w14:paraId="5694CF51" w14:textId="77777777" w:rsidR="006B15F5" w:rsidRDefault="006B15F5" w:rsidP="00147C8B">
            <w:pPr>
              <w:spacing w:before="0" w:after="0" w:line="240" w:lineRule="auto"/>
              <w:jc w:val="center"/>
              <w:rPr>
                <w:b/>
                <w:sz w:val="18"/>
                <w:szCs w:val="18"/>
              </w:rPr>
            </w:pPr>
            <w:r>
              <w:rPr>
                <w:b/>
                <w:sz w:val="18"/>
                <w:szCs w:val="18"/>
              </w:rPr>
              <w:t>2026</w:t>
            </w:r>
          </w:p>
        </w:tc>
        <w:tc>
          <w:tcPr>
            <w:tcW w:w="777" w:type="dxa"/>
            <w:shd w:val="clear" w:color="auto" w:fill="D5DCE4" w:themeFill="text2" w:themeFillTint="33"/>
            <w:vAlign w:val="center"/>
          </w:tcPr>
          <w:p w14:paraId="25E2373C" w14:textId="77777777" w:rsidR="006B15F5" w:rsidRPr="003F6B12" w:rsidRDefault="006B15F5" w:rsidP="00147C8B">
            <w:pPr>
              <w:spacing w:before="0" w:after="0" w:line="240" w:lineRule="auto"/>
              <w:jc w:val="center"/>
              <w:rPr>
                <w:b/>
                <w:sz w:val="18"/>
                <w:szCs w:val="18"/>
                <w:lang w:val="hy-AM"/>
              </w:rPr>
            </w:pPr>
            <w:r>
              <w:rPr>
                <w:b/>
                <w:sz w:val="18"/>
                <w:szCs w:val="18"/>
                <w:lang w:val="hy-AM"/>
              </w:rPr>
              <w:t>2027</w:t>
            </w:r>
          </w:p>
        </w:tc>
        <w:tc>
          <w:tcPr>
            <w:tcW w:w="777" w:type="dxa"/>
            <w:shd w:val="clear" w:color="auto" w:fill="D5DCE4" w:themeFill="text2" w:themeFillTint="33"/>
            <w:vAlign w:val="center"/>
          </w:tcPr>
          <w:p w14:paraId="726DC658" w14:textId="77777777" w:rsidR="006B15F5" w:rsidRPr="003F6B12" w:rsidRDefault="006B15F5" w:rsidP="00147C8B">
            <w:pPr>
              <w:spacing w:before="0" w:after="0" w:line="240" w:lineRule="auto"/>
              <w:jc w:val="center"/>
              <w:rPr>
                <w:b/>
                <w:sz w:val="18"/>
                <w:szCs w:val="18"/>
                <w:lang w:val="hy-AM"/>
              </w:rPr>
            </w:pPr>
            <w:r>
              <w:rPr>
                <w:b/>
                <w:sz w:val="18"/>
                <w:szCs w:val="18"/>
                <w:lang w:val="hy-AM"/>
              </w:rPr>
              <w:t>2028</w:t>
            </w:r>
          </w:p>
        </w:tc>
      </w:tr>
      <w:tr w:rsidR="006B15F5" w:rsidRPr="009665F3" w14:paraId="6D42E2B6" w14:textId="77777777" w:rsidTr="00147C8B">
        <w:trPr>
          <w:trHeight w:val="288"/>
        </w:trPr>
        <w:tc>
          <w:tcPr>
            <w:tcW w:w="3481" w:type="dxa"/>
            <w:vAlign w:val="center"/>
            <w:hideMark/>
          </w:tcPr>
          <w:p w14:paraId="74126FEF" w14:textId="77777777" w:rsidR="006B15F5" w:rsidRPr="009665F3" w:rsidRDefault="006B15F5" w:rsidP="00147C8B">
            <w:pPr>
              <w:spacing w:before="0" w:after="0" w:line="240" w:lineRule="auto"/>
              <w:jc w:val="both"/>
              <w:rPr>
                <w:sz w:val="18"/>
                <w:szCs w:val="18"/>
              </w:rPr>
            </w:pPr>
            <w:r w:rsidRPr="009665F3">
              <w:rPr>
                <w:sz w:val="18"/>
                <w:szCs w:val="18"/>
              </w:rPr>
              <w:t xml:space="preserve"> Ընդամենը </w:t>
            </w:r>
          </w:p>
        </w:tc>
        <w:tc>
          <w:tcPr>
            <w:tcW w:w="935" w:type="dxa"/>
            <w:vAlign w:val="center"/>
          </w:tcPr>
          <w:p w14:paraId="025D0F5A" w14:textId="77777777" w:rsidR="006B15F5" w:rsidRPr="009665F3" w:rsidRDefault="006B15F5" w:rsidP="00147C8B">
            <w:pPr>
              <w:spacing w:before="0" w:after="0" w:line="240" w:lineRule="auto"/>
              <w:jc w:val="center"/>
              <w:rPr>
                <w:sz w:val="18"/>
                <w:szCs w:val="18"/>
              </w:rPr>
            </w:pPr>
            <w:r>
              <w:rPr>
                <w:rFonts w:ascii="GHEA Grapalat" w:hAnsi="GHEA Grapalat"/>
                <w:color w:val="404040"/>
                <w:sz w:val="18"/>
                <w:szCs w:val="18"/>
              </w:rPr>
              <w:t>389.1</w:t>
            </w:r>
          </w:p>
        </w:tc>
        <w:tc>
          <w:tcPr>
            <w:tcW w:w="940" w:type="dxa"/>
            <w:vAlign w:val="center"/>
          </w:tcPr>
          <w:p w14:paraId="472295FC" w14:textId="77777777" w:rsidR="006B15F5" w:rsidRPr="009665F3" w:rsidRDefault="006B15F5" w:rsidP="00147C8B">
            <w:pPr>
              <w:spacing w:before="0" w:after="0" w:line="240" w:lineRule="auto"/>
              <w:jc w:val="center"/>
              <w:rPr>
                <w:sz w:val="18"/>
                <w:szCs w:val="18"/>
              </w:rPr>
            </w:pPr>
            <w:r>
              <w:rPr>
                <w:rFonts w:ascii="GHEA Grapalat" w:hAnsi="GHEA Grapalat"/>
                <w:color w:val="404040"/>
                <w:sz w:val="18"/>
                <w:szCs w:val="18"/>
              </w:rPr>
              <w:t>494.3</w:t>
            </w:r>
          </w:p>
        </w:tc>
        <w:tc>
          <w:tcPr>
            <w:tcW w:w="940" w:type="dxa"/>
            <w:vAlign w:val="center"/>
          </w:tcPr>
          <w:p w14:paraId="14E0B76C" w14:textId="77777777" w:rsidR="006B15F5" w:rsidRPr="009665F3" w:rsidRDefault="006B15F5" w:rsidP="00147C8B">
            <w:pPr>
              <w:spacing w:before="0" w:after="0" w:line="240" w:lineRule="auto"/>
              <w:jc w:val="center"/>
              <w:rPr>
                <w:sz w:val="18"/>
                <w:szCs w:val="18"/>
              </w:rPr>
            </w:pPr>
            <w:r>
              <w:rPr>
                <w:rFonts w:ascii="GHEA Grapalat" w:hAnsi="GHEA Grapalat"/>
                <w:color w:val="404040"/>
                <w:sz w:val="18"/>
                <w:szCs w:val="18"/>
              </w:rPr>
              <w:t>557.8</w:t>
            </w:r>
          </w:p>
        </w:tc>
        <w:tc>
          <w:tcPr>
            <w:tcW w:w="940" w:type="dxa"/>
            <w:vAlign w:val="center"/>
          </w:tcPr>
          <w:p w14:paraId="0BE970AC" w14:textId="77777777" w:rsidR="006B15F5" w:rsidRPr="009665F3" w:rsidRDefault="006B15F5" w:rsidP="00147C8B">
            <w:pPr>
              <w:spacing w:before="0" w:after="0" w:line="240" w:lineRule="auto"/>
              <w:jc w:val="center"/>
              <w:rPr>
                <w:sz w:val="18"/>
                <w:szCs w:val="18"/>
              </w:rPr>
            </w:pPr>
            <w:r>
              <w:rPr>
                <w:rFonts w:ascii="GHEA Grapalat" w:hAnsi="GHEA Grapalat"/>
                <w:color w:val="404040"/>
                <w:sz w:val="18"/>
                <w:szCs w:val="18"/>
              </w:rPr>
              <w:t>749.8</w:t>
            </w:r>
          </w:p>
        </w:tc>
        <w:tc>
          <w:tcPr>
            <w:tcW w:w="777" w:type="dxa"/>
            <w:tcBorders>
              <w:top w:val="nil"/>
              <w:left w:val="nil"/>
              <w:bottom w:val="single" w:sz="8" w:space="0" w:color="E1E1E3"/>
              <w:right w:val="single" w:sz="8" w:space="0" w:color="E1E1E3"/>
            </w:tcBorders>
            <w:shd w:val="clear" w:color="auto" w:fill="auto"/>
            <w:vAlign w:val="center"/>
          </w:tcPr>
          <w:p w14:paraId="15942013" w14:textId="77777777" w:rsidR="006B15F5" w:rsidRDefault="006B15F5" w:rsidP="00147C8B">
            <w:pPr>
              <w:spacing w:before="0" w:after="0" w:line="240" w:lineRule="auto"/>
              <w:jc w:val="center"/>
              <w:rPr>
                <w:rFonts w:ascii="GHEA Grapalat" w:hAnsi="GHEA Grapalat" w:cs="Calibri"/>
                <w:color w:val="404040"/>
                <w:sz w:val="18"/>
                <w:szCs w:val="18"/>
              </w:rPr>
            </w:pPr>
            <w:r>
              <w:rPr>
                <w:rFonts w:ascii="GHEA Grapalat" w:hAnsi="GHEA Grapalat" w:cs="Calibri"/>
                <w:color w:val="404040"/>
                <w:sz w:val="18"/>
                <w:szCs w:val="18"/>
              </w:rPr>
              <w:t>714.1</w:t>
            </w:r>
          </w:p>
        </w:tc>
        <w:tc>
          <w:tcPr>
            <w:tcW w:w="777" w:type="dxa"/>
            <w:tcBorders>
              <w:top w:val="nil"/>
              <w:left w:val="nil"/>
              <w:bottom w:val="single" w:sz="8" w:space="0" w:color="E1E1E3"/>
              <w:right w:val="single" w:sz="8" w:space="0" w:color="E1E1E3"/>
            </w:tcBorders>
            <w:shd w:val="clear" w:color="auto" w:fill="auto"/>
            <w:vAlign w:val="center"/>
          </w:tcPr>
          <w:p w14:paraId="6E9F251C" w14:textId="77777777" w:rsidR="006B15F5" w:rsidRDefault="006B15F5" w:rsidP="00147C8B">
            <w:pPr>
              <w:spacing w:before="0" w:after="0" w:line="240" w:lineRule="auto"/>
              <w:jc w:val="center"/>
              <w:rPr>
                <w:rFonts w:ascii="GHEA Grapalat" w:hAnsi="GHEA Grapalat" w:cs="Calibri"/>
                <w:color w:val="404040"/>
                <w:sz w:val="18"/>
                <w:szCs w:val="18"/>
              </w:rPr>
            </w:pPr>
            <w:r>
              <w:rPr>
                <w:rFonts w:ascii="GHEA Grapalat" w:hAnsi="GHEA Grapalat" w:cs="Calibri"/>
                <w:color w:val="404040"/>
                <w:sz w:val="18"/>
                <w:szCs w:val="18"/>
              </w:rPr>
              <w:t>729.1</w:t>
            </w:r>
          </w:p>
        </w:tc>
        <w:tc>
          <w:tcPr>
            <w:tcW w:w="777" w:type="dxa"/>
            <w:tcBorders>
              <w:top w:val="nil"/>
              <w:left w:val="nil"/>
              <w:bottom w:val="single" w:sz="8" w:space="0" w:color="E1E1E3"/>
              <w:right w:val="single" w:sz="8" w:space="0" w:color="E1E1E3"/>
            </w:tcBorders>
            <w:shd w:val="clear" w:color="auto" w:fill="auto"/>
            <w:vAlign w:val="center"/>
          </w:tcPr>
          <w:p w14:paraId="6A5F8374" w14:textId="77777777" w:rsidR="006B15F5" w:rsidRDefault="006B15F5" w:rsidP="00147C8B">
            <w:pPr>
              <w:spacing w:before="0" w:after="0" w:line="240" w:lineRule="auto"/>
              <w:jc w:val="center"/>
              <w:rPr>
                <w:rFonts w:ascii="GHEA Grapalat" w:hAnsi="GHEA Grapalat" w:cs="Calibri"/>
                <w:color w:val="404040"/>
                <w:sz w:val="18"/>
                <w:szCs w:val="18"/>
              </w:rPr>
            </w:pPr>
            <w:r>
              <w:rPr>
                <w:rFonts w:ascii="GHEA Grapalat" w:hAnsi="GHEA Grapalat" w:cs="Calibri"/>
                <w:color w:val="404040"/>
                <w:sz w:val="18"/>
                <w:szCs w:val="18"/>
              </w:rPr>
              <w:t>813.1</w:t>
            </w:r>
          </w:p>
        </w:tc>
      </w:tr>
      <w:tr w:rsidR="006B15F5" w:rsidRPr="009665F3" w14:paraId="4F5B1D12" w14:textId="77777777" w:rsidTr="00147C8B">
        <w:trPr>
          <w:trHeight w:val="288"/>
        </w:trPr>
        <w:tc>
          <w:tcPr>
            <w:tcW w:w="3481" w:type="dxa"/>
            <w:vAlign w:val="center"/>
            <w:hideMark/>
          </w:tcPr>
          <w:p w14:paraId="3A005DB3" w14:textId="77777777" w:rsidR="006B15F5" w:rsidRPr="009665F3" w:rsidRDefault="006B15F5" w:rsidP="00147C8B">
            <w:pPr>
              <w:spacing w:before="0" w:after="0" w:line="240" w:lineRule="auto"/>
              <w:jc w:val="both"/>
              <w:rPr>
                <w:sz w:val="18"/>
                <w:szCs w:val="18"/>
              </w:rPr>
            </w:pPr>
            <w:r>
              <w:rPr>
                <w:sz w:val="18"/>
                <w:szCs w:val="18"/>
              </w:rPr>
              <w:t xml:space="preserve"> </w:t>
            </w:r>
            <w:r w:rsidRPr="009665F3">
              <w:rPr>
                <w:sz w:val="18"/>
                <w:szCs w:val="18"/>
              </w:rPr>
              <w:t xml:space="preserve">արտաքին աղբյուրներ </w:t>
            </w:r>
          </w:p>
        </w:tc>
        <w:tc>
          <w:tcPr>
            <w:tcW w:w="935" w:type="dxa"/>
            <w:vAlign w:val="center"/>
          </w:tcPr>
          <w:p w14:paraId="3B175FFD" w14:textId="77777777" w:rsidR="006B15F5" w:rsidRPr="009665F3" w:rsidRDefault="006B15F5" w:rsidP="00147C8B">
            <w:pPr>
              <w:spacing w:before="0" w:after="0" w:line="240" w:lineRule="auto"/>
              <w:jc w:val="center"/>
              <w:rPr>
                <w:sz w:val="18"/>
                <w:szCs w:val="18"/>
              </w:rPr>
            </w:pPr>
            <w:r>
              <w:rPr>
                <w:rFonts w:ascii="GHEA Grapalat" w:hAnsi="GHEA Grapalat"/>
                <w:color w:val="404040"/>
                <w:sz w:val="18"/>
                <w:szCs w:val="18"/>
              </w:rPr>
              <w:t>54.1</w:t>
            </w:r>
          </w:p>
        </w:tc>
        <w:tc>
          <w:tcPr>
            <w:tcW w:w="940" w:type="dxa"/>
            <w:vAlign w:val="center"/>
          </w:tcPr>
          <w:p w14:paraId="0ACA3D16" w14:textId="77777777" w:rsidR="006B15F5" w:rsidRPr="009665F3" w:rsidRDefault="006B15F5" w:rsidP="00147C8B">
            <w:pPr>
              <w:spacing w:before="0" w:after="0" w:line="240" w:lineRule="auto"/>
              <w:jc w:val="center"/>
              <w:rPr>
                <w:sz w:val="18"/>
                <w:szCs w:val="18"/>
              </w:rPr>
            </w:pPr>
            <w:r>
              <w:rPr>
                <w:rFonts w:ascii="GHEA Grapalat" w:hAnsi="GHEA Grapalat"/>
                <w:color w:val="404040"/>
                <w:sz w:val="18"/>
                <w:szCs w:val="18"/>
              </w:rPr>
              <w:t>73.4</w:t>
            </w:r>
          </w:p>
        </w:tc>
        <w:tc>
          <w:tcPr>
            <w:tcW w:w="940" w:type="dxa"/>
            <w:vAlign w:val="center"/>
          </w:tcPr>
          <w:p w14:paraId="0B96361C" w14:textId="77777777" w:rsidR="006B15F5" w:rsidRPr="009665F3" w:rsidRDefault="006B15F5" w:rsidP="00147C8B">
            <w:pPr>
              <w:spacing w:before="0" w:after="0" w:line="240" w:lineRule="auto"/>
              <w:jc w:val="center"/>
              <w:rPr>
                <w:sz w:val="18"/>
                <w:szCs w:val="18"/>
              </w:rPr>
            </w:pPr>
            <w:r>
              <w:rPr>
                <w:rFonts w:ascii="GHEA Grapalat" w:hAnsi="GHEA Grapalat"/>
                <w:color w:val="404040"/>
                <w:sz w:val="18"/>
                <w:szCs w:val="18"/>
              </w:rPr>
              <w:t>77.1</w:t>
            </w:r>
          </w:p>
        </w:tc>
        <w:tc>
          <w:tcPr>
            <w:tcW w:w="940" w:type="dxa"/>
            <w:vAlign w:val="center"/>
          </w:tcPr>
          <w:p w14:paraId="1CA67DBB" w14:textId="77777777" w:rsidR="006B15F5" w:rsidRPr="009665F3" w:rsidRDefault="006B15F5" w:rsidP="00147C8B">
            <w:pPr>
              <w:spacing w:before="0" w:after="0" w:line="240" w:lineRule="auto"/>
              <w:jc w:val="center"/>
              <w:rPr>
                <w:sz w:val="18"/>
                <w:szCs w:val="18"/>
              </w:rPr>
            </w:pPr>
            <w:r>
              <w:rPr>
                <w:rFonts w:ascii="GHEA Grapalat" w:hAnsi="GHEA Grapalat"/>
                <w:color w:val="404040"/>
                <w:sz w:val="18"/>
                <w:szCs w:val="18"/>
              </w:rPr>
              <w:t>204.2</w:t>
            </w:r>
          </w:p>
        </w:tc>
        <w:tc>
          <w:tcPr>
            <w:tcW w:w="777" w:type="dxa"/>
            <w:tcBorders>
              <w:top w:val="nil"/>
              <w:left w:val="nil"/>
              <w:bottom w:val="single" w:sz="8" w:space="0" w:color="E1E1E3"/>
              <w:right w:val="single" w:sz="8" w:space="0" w:color="E1E1E3"/>
            </w:tcBorders>
            <w:shd w:val="clear" w:color="auto" w:fill="auto"/>
            <w:vAlign w:val="center"/>
          </w:tcPr>
          <w:p w14:paraId="3A323332" w14:textId="77777777" w:rsidR="006B15F5" w:rsidRDefault="006B15F5" w:rsidP="00147C8B">
            <w:pPr>
              <w:spacing w:before="0" w:after="0" w:line="240" w:lineRule="auto"/>
              <w:jc w:val="center"/>
              <w:rPr>
                <w:rFonts w:ascii="GHEA Grapalat" w:hAnsi="GHEA Grapalat" w:cs="Calibri"/>
                <w:color w:val="404040"/>
                <w:sz w:val="18"/>
                <w:szCs w:val="18"/>
              </w:rPr>
            </w:pPr>
            <w:r>
              <w:rPr>
                <w:rFonts w:ascii="GHEA Grapalat" w:hAnsi="GHEA Grapalat" w:cs="Calibri"/>
                <w:color w:val="404040"/>
                <w:sz w:val="18"/>
                <w:szCs w:val="18"/>
              </w:rPr>
              <w:t>120.0</w:t>
            </w:r>
          </w:p>
        </w:tc>
        <w:tc>
          <w:tcPr>
            <w:tcW w:w="777" w:type="dxa"/>
            <w:tcBorders>
              <w:top w:val="nil"/>
              <w:left w:val="nil"/>
              <w:bottom w:val="single" w:sz="8" w:space="0" w:color="E1E1E3"/>
              <w:right w:val="single" w:sz="8" w:space="0" w:color="E1E1E3"/>
            </w:tcBorders>
            <w:shd w:val="clear" w:color="auto" w:fill="auto"/>
            <w:vAlign w:val="center"/>
          </w:tcPr>
          <w:p w14:paraId="32E2CAD9" w14:textId="77777777" w:rsidR="006B15F5" w:rsidRDefault="006B15F5" w:rsidP="00147C8B">
            <w:pPr>
              <w:spacing w:before="0" w:after="0" w:line="240" w:lineRule="auto"/>
              <w:jc w:val="center"/>
              <w:rPr>
                <w:rFonts w:ascii="GHEA Grapalat" w:hAnsi="GHEA Grapalat" w:cs="Calibri"/>
                <w:color w:val="404040"/>
                <w:sz w:val="18"/>
                <w:szCs w:val="18"/>
              </w:rPr>
            </w:pPr>
            <w:r>
              <w:rPr>
                <w:rFonts w:ascii="GHEA Grapalat" w:hAnsi="GHEA Grapalat" w:cs="Calibri"/>
                <w:color w:val="404040"/>
                <w:sz w:val="18"/>
                <w:szCs w:val="18"/>
              </w:rPr>
              <w:t>106.1</w:t>
            </w:r>
          </w:p>
        </w:tc>
        <w:tc>
          <w:tcPr>
            <w:tcW w:w="777" w:type="dxa"/>
            <w:tcBorders>
              <w:top w:val="nil"/>
              <w:left w:val="nil"/>
              <w:bottom w:val="single" w:sz="8" w:space="0" w:color="E1E1E3"/>
              <w:right w:val="single" w:sz="8" w:space="0" w:color="E1E1E3"/>
            </w:tcBorders>
            <w:shd w:val="clear" w:color="auto" w:fill="auto"/>
            <w:vAlign w:val="center"/>
          </w:tcPr>
          <w:p w14:paraId="418CBDD3" w14:textId="77777777" w:rsidR="006B15F5" w:rsidRDefault="006B15F5" w:rsidP="00147C8B">
            <w:pPr>
              <w:spacing w:before="0" w:after="0" w:line="240" w:lineRule="auto"/>
              <w:jc w:val="center"/>
              <w:rPr>
                <w:rFonts w:ascii="GHEA Grapalat" w:hAnsi="GHEA Grapalat" w:cs="Calibri"/>
                <w:color w:val="404040"/>
                <w:sz w:val="18"/>
                <w:szCs w:val="18"/>
              </w:rPr>
            </w:pPr>
            <w:r>
              <w:rPr>
                <w:rFonts w:ascii="GHEA Grapalat" w:hAnsi="GHEA Grapalat" w:cs="Calibri"/>
                <w:color w:val="404040"/>
                <w:sz w:val="18"/>
                <w:szCs w:val="18"/>
              </w:rPr>
              <w:t>134.8</w:t>
            </w:r>
          </w:p>
        </w:tc>
      </w:tr>
      <w:tr w:rsidR="006B15F5" w:rsidRPr="009665F3" w14:paraId="2152225E" w14:textId="77777777" w:rsidTr="00147C8B">
        <w:trPr>
          <w:trHeight w:val="288"/>
        </w:trPr>
        <w:tc>
          <w:tcPr>
            <w:tcW w:w="3481" w:type="dxa"/>
            <w:vAlign w:val="center"/>
            <w:hideMark/>
          </w:tcPr>
          <w:p w14:paraId="75771813" w14:textId="77777777" w:rsidR="006B15F5" w:rsidRPr="009665F3" w:rsidRDefault="006B15F5" w:rsidP="00147C8B">
            <w:pPr>
              <w:spacing w:before="0" w:after="0" w:line="240" w:lineRule="auto"/>
              <w:jc w:val="both"/>
              <w:rPr>
                <w:sz w:val="18"/>
                <w:szCs w:val="18"/>
              </w:rPr>
            </w:pPr>
            <w:r w:rsidRPr="009665F3">
              <w:rPr>
                <w:sz w:val="18"/>
                <w:szCs w:val="18"/>
              </w:rPr>
              <w:t xml:space="preserve"> ներքին աղբյուրներ </w:t>
            </w:r>
          </w:p>
        </w:tc>
        <w:tc>
          <w:tcPr>
            <w:tcW w:w="935" w:type="dxa"/>
            <w:vAlign w:val="center"/>
          </w:tcPr>
          <w:p w14:paraId="74E37740" w14:textId="77777777" w:rsidR="006B15F5" w:rsidRPr="009665F3" w:rsidRDefault="006B15F5" w:rsidP="00147C8B">
            <w:pPr>
              <w:spacing w:before="0" w:after="0" w:line="240" w:lineRule="auto"/>
              <w:jc w:val="center"/>
              <w:rPr>
                <w:sz w:val="18"/>
                <w:szCs w:val="18"/>
              </w:rPr>
            </w:pPr>
            <w:r>
              <w:rPr>
                <w:rFonts w:ascii="GHEA Grapalat" w:hAnsi="GHEA Grapalat"/>
                <w:color w:val="404040"/>
                <w:sz w:val="18"/>
                <w:szCs w:val="18"/>
              </w:rPr>
              <w:t>335.0</w:t>
            </w:r>
          </w:p>
        </w:tc>
        <w:tc>
          <w:tcPr>
            <w:tcW w:w="940" w:type="dxa"/>
            <w:vAlign w:val="center"/>
          </w:tcPr>
          <w:p w14:paraId="5562D73F" w14:textId="77777777" w:rsidR="006B15F5" w:rsidRPr="009665F3" w:rsidRDefault="006B15F5" w:rsidP="00147C8B">
            <w:pPr>
              <w:spacing w:before="0" w:after="0" w:line="240" w:lineRule="auto"/>
              <w:jc w:val="center"/>
              <w:rPr>
                <w:sz w:val="18"/>
                <w:szCs w:val="18"/>
              </w:rPr>
            </w:pPr>
            <w:r>
              <w:rPr>
                <w:rFonts w:ascii="GHEA Grapalat" w:hAnsi="GHEA Grapalat"/>
                <w:color w:val="404040"/>
                <w:sz w:val="18"/>
                <w:szCs w:val="18"/>
              </w:rPr>
              <w:t>420.9</w:t>
            </w:r>
          </w:p>
        </w:tc>
        <w:tc>
          <w:tcPr>
            <w:tcW w:w="940" w:type="dxa"/>
            <w:vAlign w:val="center"/>
          </w:tcPr>
          <w:p w14:paraId="4BE8759C" w14:textId="77777777" w:rsidR="006B15F5" w:rsidRPr="009665F3" w:rsidRDefault="006B15F5" w:rsidP="00147C8B">
            <w:pPr>
              <w:spacing w:before="0" w:after="0" w:line="240" w:lineRule="auto"/>
              <w:jc w:val="center"/>
              <w:rPr>
                <w:sz w:val="18"/>
                <w:szCs w:val="18"/>
              </w:rPr>
            </w:pPr>
            <w:r>
              <w:rPr>
                <w:rFonts w:ascii="GHEA Grapalat" w:hAnsi="GHEA Grapalat"/>
                <w:color w:val="404040"/>
                <w:sz w:val="18"/>
                <w:szCs w:val="18"/>
              </w:rPr>
              <w:t>480.7</w:t>
            </w:r>
          </w:p>
        </w:tc>
        <w:tc>
          <w:tcPr>
            <w:tcW w:w="940" w:type="dxa"/>
            <w:vAlign w:val="center"/>
          </w:tcPr>
          <w:p w14:paraId="2FF4C6D4" w14:textId="77777777" w:rsidR="006B15F5" w:rsidRPr="009665F3" w:rsidRDefault="006B15F5" w:rsidP="00147C8B">
            <w:pPr>
              <w:spacing w:before="0" w:after="0" w:line="240" w:lineRule="auto"/>
              <w:jc w:val="center"/>
              <w:rPr>
                <w:sz w:val="18"/>
                <w:szCs w:val="18"/>
              </w:rPr>
            </w:pPr>
            <w:r>
              <w:rPr>
                <w:rFonts w:ascii="GHEA Grapalat" w:hAnsi="GHEA Grapalat"/>
                <w:color w:val="404040"/>
                <w:sz w:val="18"/>
                <w:szCs w:val="18"/>
              </w:rPr>
              <w:t>545.6</w:t>
            </w:r>
          </w:p>
        </w:tc>
        <w:tc>
          <w:tcPr>
            <w:tcW w:w="777" w:type="dxa"/>
            <w:tcBorders>
              <w:top w:val="nil"/>
              <w:left w:val="nil"/>
              <w:bottom w:val="single" w:sz="8" w:space="0" w:color="E1E1E3"/>
              <w:right w:val="single" w:sz="8" w:space="0" w:color="E1E1E3"/>
            </w:tcBorders>
            <w:shd w:val="clear" w:color="auto" w:fill="auto"/>
            <w:vAlign w:val="center"/>
          </w:tcPr>
          <w:p w14:paraId="5C7C6EBB" w14:textId="77777777" w:rsidR="006B15F5" w:rsidRDefault="006B15F5" w:rsidP="00147C8B">
            <w:pPr>
              <w:spacing w:before="0" w:after="0" w:line="240" w:lineRule="auto"/>
              <w:jc w:val="center"/>
              <w:rPr>
                <w:rFonts w:ascii="GHEA Grapalat" w:hAnsi="GHEA Grapalat" w:cs="Calibri"/>
                <w:color w:val="404040"/>
                <w:sz w:val="18"/>
                <w:szCs w:val="18"/>
              </w:rPr>
            </w:pPr>
            <w:r>
              <w:rPr>
                <w:rFonts w:ascii="GHEA Grapalat" w:hAnsi="GHEA Grapalat" w:cs="Calibri"/>
                <w:color w:val="404040"/>
                <w:sz w:val="18"/>
                <w:szCs w:val="18"/>
              </w:rPr>
              <w:t>594.1</w:t>
            </w:r>
          </w:p>
        </w:tc>
        <w:tc>
          <w:tcPr>
            <w:tcW w:w="777" w:type="dxa"/>
            <w:tcBorders>
              <w:top w:val="nil"/>
              <w:left w:val="nil"/>
              <w:bottom w:val="single" w:sz="8" w:space="0" w:color="E1E1E3"/>
              <w:right w:val="single" w:sz="8" w:space="0" w:color="E1E1E3"/>
            </w:tcBorders>
            <w:shd w:val="clear" w:color="auto" w:fill="auto"/>
            <w:vAlign w:val="center"/>
          </w:tcPr>
          <w:p w14:paraId="2CB0F339" w14:textId="77777777" w:rsidR="006B15F5" w:rsidRDefault="006B15F5" w:rsidP="00147C8B">
            <w:pPr>
              <w:spacing w:before="0" w:after="0" w:line="240" w:lineRule="auto"/>
              <w:jc w:val="center"/>
              <w:rPr>
                <w:rFonts w:ascii="GHEA Grapalat" w:hAnsi="GHEA Grapalat" w:cs="Calibri"/>
                <w:color w:val="404040"/>
                <w:sz w:val="18"/>
                <w:szCs w:val="18"/>
              </w:rPr>
            </w:pPr>
            <w:r>
              <w:rPr>
                <w:rFonts w:ascii="GHEA Grapalat" w:hAnsi="GHEA Grapalat" w:cs="Calibri"/>
                <w:color w:val="404040"/>
                <w:sz w:val="18"/>
                <w:szCs w:val="18"/>
              </w:rPr>
              <w:t>623.0</w:t>
            </w:r>
          </w:p>
        </w:tc>
        <w:tc>
          <w:tcPr>
            <w:tcW w:w="777" w:type="dxa"/>
            <w:tcBorders>
              <w:top w:val="nil"/>
              <w:left w:val="nil"/>
              <w:bottom w:val="single" w:sz="8" w:space="0" w:color="E1E1E3"/>
              <w:right w:val="single" w:sz="8" w:space="0" w:color="E1E1E3"/>
            </w:tcBorders>
            <w:shd w:val="clear" w:color="auto" w:fill="auto"/>
            <w:vAlign w:val="center"/>
          </w:tcPr>
          <w:p w14:paraId="1B6F8BC7" w14:textId="77777777" w:rsidR="006B15F5" w:rsidRDefault="006B15F5" w:rsidP="00147C8B">
            <w:pPr>
              <w:spacing w:before="0" w:after="0" w:line="240" w:lineRule="auto"/>
              <w:jc w:val="center"/>
              <w:rPr>
                <w:rFonts w:ascii="GHEA Grapalat" w:hAnsi="GHEA Grapalat" w:cs="Calibri"/>
                <w:color w:val="404040"/>
                <w:sz w:val="18"/>
                <w:szCs w:val="18"/>
              </w:rPr>
            </w:pPr>
            <w:r>
              <w:rPr>
                <w:rFonts w:ascii="GHEA Grapalat" w:hAnsi="GHEA Grapalat" w:cs="Calibri"/>
                <w:color w:val="404040"/>
                <w:sz w:val="18"/>
                <w:szCs w:val="18"/>
              </w:rPr>
              <w:t>678.3</w:t>
            </w:r>
          </w:p>
        </w:tc>
      </w:tr>
      <w:tr w:rsidR="006B15F5" w:rsidRPr="009665F3" w14:paraId="077069EE" w14:textId="77777777" w:rsidTr="00147C8B">
        <w:trPr>
          <w:trHeight w:val="288"/>
        </w:trPr>
        <w:tc>
          <w:tcPr>
            <w:tcW w:w="3481" w:type="dxa"/>
            <w:vAlign w:val="center"/>
            <w:hideMark/>
          </w:tcPr>
          <w:p w14:paraId="66FD3827" w14:textId="77777777" w:rsidR="006B15F5" w:rsidRPr="009665F3" w:rsidRDefault="006B15F5" w:rsidP="00147C8B">
            <w:pPr>
              <w:spacing w:before="0" w:after="0" w:line="240" w:lineRule="auto"/>
              <w:jc w:val="both"/>
              <w:rPr>
                <w:sz w:val="18"/>
                <w:szCs w:val="18"/>
              </w:rPr>
            </w:pPr>
            <w:r w:rsidRPr="009665F3">
              <w:rPr>
                <w:sz w:val="18"/>
                <w:szCs w:val="18"/>
              </w:rPr>
              <w:t xml:space="preserve"> Տրանսպորտ, այդ թվում </w:t>
            </w:r>
          </w:p>
        </w:tc>
        <w:tc>
          <w:tcPr>
            <w:tcW w:w="935" w:type="dxa"/>
            <w:vAlign w:val="center"/>
          </w:tcPr>
          <w:p w14:paraId="1B601F5D" w14:textId="77777777" w:rsidR="006B15F5" w:rsidRPr="009665F3" w:rsidRDefault="006B15F5" w:rsidP="00147C8B">
            <w:pPr>
              <w:spacing w:before="0" w:after="0" w:line="240" w:lineRule="auto"/>
              <w:jc w:val="center"/>
              <w:rPr>
                <w:sz w:val="18"/>
                <w:szCs w:val="18"/>
              </w:rPr>
            </w:pPr>
            <w:r>
              <w:rPr>
                <w:rFonts w:ascii="GHEA Grapalat" w:hAnsi="GHEA Grapalat"/>
                <w:color w:val="404040"/>
                <w:sz w:val="18"/>
                <w:szCs w:val="18"/>
              </w:rPr>
              <w:t>62.3</w:t>
            </w:r>
          </w:p>
        </w:tc>
        <w:tc>
          <w:tcPr>
            <w:tcW w:w="940" w:type="dxa"/>
            <w:vAlign w:val="center"/>
          </w:tcPr>
          <w:p w14:paraId="519FFB8A" w14:textId="77777777" w:rsidR="006B15F5" w:rsidRPr="009665F3" w:rsidRDefault="006B15F5" w:rsidP="00147C8B">
            <w:pPr>
              <w:spacing w:before="0" w:after="0" w:line="240" w:lineRule="auto"/>
              <w:jc w:val="center"/>
              <w:rPr>
                <w:sz w:val="18"/>
                <w:szCs w:val="18"/>
              </w:rPr>
            </w:pPr>
            <w:r>
              <w:rPr>
                <w:rFonts w:ascii="GHEA Grapalat" w:hAnsi="GHEA Grapalat"/>
                <w:color w:val="404040"/>
                <w:sz w:val="18"/>
                <w:szCs w:val="18"/>
              </w:rPr>
              <w:t>96.5</w:t>
            </w:r>
          </w:p>
        </w:tc>
        <w:tc>
          <w:tcPr>
            <w:tcW w:w="940" w:type="dxa"/>
            <w:vAlign w:val="center"/>
          </w:tcPr>
          <w:p w14:paraId="0181C54A" w14:textId="77777777" w:rsidR="006B15F5" w:rsidRPr="009665F3" w:rsidRDefault="006B15F5" w:rsidP="00147C8B">
            <w:pPr>
              <w:spacing w:before="0" w:after="0" w:line="240" w:lineRule="auto"/>
              <w:jc w:val="center"/>
              <w:rPr>
                <w:sz w:val="18"/>
                <w:szCs w:val="18"/>
              </w:rPr>
            </w:pPr>
            <w:r>
              <w:rPr>
                <w:rFonts w:ascii="GHEA Grapalat" w:hAnsi="GHEA Grapalat"/>
                <w:color w:val="404040"/>
                <w:sz w:val="18"/>
                <w:szCs w:val="18"/>
              </w:rPr>
              <w:t>92.7</w:t>
            </w:r>
          </w:p>
        </w:tc>
        <w:tc>
          <w:tcPr>
            <w:tcW w:w="940" w:type="dxa"/>
            <w:vAlign w:val="center"/>
          </w:tcPr>
          <w:p w14:paraId="6A7A476D" w14:textId="77777777" w:rsidR="006B15F5" w:rsidRPr="009665F3" w:rsidRDefault="006B15F5" w:rsidP="00147C8B">
            <w:pPr>
              <w:spacing w:before="0" w:after="0" w:line="240" w:lineRule="auto"/>
              <w:jc w:val="center"/>
              <w:rPr>
                <w:sz w:val="18"/>
                <w:szCs w:val="18"/>
              </w:rPr>
            </w:pPr>
            <w:r>
              <w:rPr>
                <w:rFonts w:ascii="GHEA Grapalat" w:hAnsi="GHEA Grapalat"/>
                <w:color w:val="404040"/>
                <w:sz w:val="18"/>
                <w:szCs w:val="18"/>
              </w:rPr>
              <w:t>97.3</w:t>
            </w:r>
          </w:p>
        </w:tc>
        <w:tc>
          <w:tcPr>
            <w:tcW w:w="777" w:type="dxa"/>
            <w:tcBorders>
              <w:top w:val="nil"/>
              <w:left w:val="nil"/>
              <w:bottom w:val="single" w:sz="8" w:space="0" w:color="E1E1E3"/>
              <w:right w:val="single" w:sz="8" w:space="0" w:color="E1E1E3"/>
            </w:tcBorders>
            <w:shd w:val="clear" w:color="auto" w:fill="auto"/>
            <w:vAlign w:val="center"/>
          </w:tcPr>
          <w:p w14:paraId="70130C7E" w14:textId="77777777" w:rsidR="006B15F5" w:rsidRDefault="006B15F5" w:rsidP="00147C8B">
            <w:pPr>
              <w:spacing w:before="0" w:after="0" w:line="240" w:lineRule="auto"/>
              <w:jc w:val="center"/>
              <w:rPr>
                <w:rFonts w:ascii="GHEA Grapalat" w:hAnsi="GHEA Grapalat" w:cs="Calibri"/>
                <w:color w:val="404040"/>
                <w:sz w:val="18"/>
                <w:szCs w:val="18"/>
              </w:rPr>
            </w:pPr>
            <w:r>
              <w:rPr>
                <w:rFonts w:ascii="GHEA Grapalat" w:hAnsi="GHEA Grapalat" w:cs="Calibri"/>
                <w:color w:val="404040"/>
                <w:sz w:val="18"/>
                <w:szCs w:val="18"/>
              </w:rPr>
              <w:t>126.1</w:t>
            </w:r>
          </w:p>
        </w:tc>
        <w:tc>
          <w:tcPr>
            <w:tcW w:w="777" w:type="dxa"/>
            <w:tcBorders>
              <w:top w:val="nil"/>
              <w:left w:val="nil"/>
              <w:bottom w:val="single" w:sz="8" w:space="0" w:color="E1E1E3"/>
              <w:right w:val="single" w:sz="8" w:space="0" w:color="E1E1E3"/>
            </w:tcBorders>
            <w:shd w:val="clear" w:color="auto" w:fill="auto"/>
            <w:vAlign w:val="center"/>
          </w:tcPr>
          <w:p w14:paraId="25D338A8" w14:textId="77777777" w:rsidR="006B15F5" w:rsidRDefault="006B15F5" w:rsidP="00147C8B">
            <w:pPr>
              <w:spacing w:before="0" w:after="0" w:line="240" w:lineRule="auto"/>
              <w:jc w:val="center"/>
              <w:rPr>
                <w:rFonts w:ascii="GHEA Grapalat" w:hAnsi="GHEA Grapalat" w:cs="Calibri"/>
                <w:color w:val="404040"/>
                <w:sz w:val="18"/>
                <w:szCs w:val="18"/>
              </w:rPr>
            </w:pPr>
            <w:r>
              <w:rPr>
                <w:rFonts w:ascii="GHEA Grapalat" w:hAnsi="GHEA Grapalat" w:cs="Calibri"/>
                <w:color w:val="404040"/>
                <w:sz w:val="18"/>
                <w:szCs w:val="18"/>
              </w:rPr>
              <w:t>127.5</w:t>
            </w:r>
          </w:p>
        </w:tc>
        <w:tc>
          <w:tcPr>
            <w:tcW w:w="777" w:type="dxa"/>
            <w:tcBorders>
              <w:top w:val="nil"/>
              <w:left w:val="nil"/>
              <w:bottom w:val="single" w:sz="8" w:space="0" w:color="E1E1E3"/>
              <w:right w:val="single" w:sz="8" w:space="0" w:color="E1E1E3"/>
            </w:tcBorders>
            <w:shd w:val="clear" w:color="auto" w:fill="auto"/>
            <w:vAlign w:val="center"/>
          </w:tcPr>
          <w:p w14:paraId="33315AAD" w14:textId="77777777" w:rsidR="006B15F5" w:rsidRDefault="006B15F5" w:rsidP="00147C8B">
            <w:pPr>
              <w:spacing w:before="0" w:after="0" w:line="240" w:lineRule="auto"/>
              <w:jc w:val="center"/>
              <w:rPr>
                <w:rFonts w:ascii="GHEA Grapalat" w:hAnsi="GHEA Grapalat" w:cs="Calibri"/>
                <w:color w:val="404040"/>
                <w:sz w:val="18"/>
                <w:szCs w:val="18"/>
              </w:rPr>
            </w:pPr>
            <w:r>
              <w:rPr>
                <w:rFonts w:ascii="GHEA Grapalat" w:hAnsi="GHEA Grapalat" w:cs="Calibri"/>
                <w:color w:val="404040"/>
                <w:sz w:val="18"/>
                <w:szCs w:val="18"/>
              </w:rPr>
              <w:t>137.5</w:t>
            </w:r>
          </w:p>
        </w:tc>
      </w:tr>
      <w:tr w:rsidR="006B15F5" w:rsidRPr="009665F3" w14:paraId="631D691B" w14:textId="77777777" w:rsidTr="00147C8B">
        <w:trPr>
          <w:trHeight w:val="288"/>
        </w:trPr>
        <w:tc>
          <w:tcPr>
            <w:tcW w:w="3481" w:type="dxa"/>
            <w:vAlign w:val="center"/>
            <w:hideMark/>
          </w:tcPr>
          <w:p w14:paraId="7E9C8315" w14:textId="77777777" w:rsidR="006B15F5" w:rsidRPr="009665F3" w:rsidRDefault="006B15F5" w:rsidP="00147C8B">
            <w:pPr>
              <w:spacing w:before="0" w:after="0" w:line="240" w:lineRule="auto"/>
              <w:jc w:val="both"/>
              <w:rPr>
                <w:sz w:val="18"/>
                <w:szCs w:val="18"/>
              </w:rPr>
            </w:pPr>
            <w:r>
              <w:rPr>
                <w:sz w:val="18"/>
                <w:szCs w:val="18"/>
              </w:rPr>
              <w:t xml:space="preserve"> </w:t>
            </w:r>
            <w:r w:rsidRPr="009665F3">
              <w:rPr>
                <w:sz w:val="18"/>
                <w:szCs w:val="18"/>
              </w:rPr>
              <w:t xml:space="preserve">արտաքին աղբյուրներ </w:t>
            </w:r>
          </w:p>
        </w:tc>
        <w:tc>
          <w:tcPr>
            <w:tcW w:w="935" w:type="dxa"/>
            <w:vAlign w:val="center"/>
          </w:tcPr>
          <w:p w14:paraId="555DC29A" w14:textId="77777777" w:rsidR="006B15F5" w:rsidRPr="009665F3" w:rsidRDefault="006B15F5" w:rsidP="00147C8B">
            <w:pPr>
              <w:spacing w:before="0" w:after="0" w:line="240" w:lineRule="auto"/>
              <w:jc w:val="center"/>
              <w:rPr>
                <w:sz w:val="18"/>
                <w:szCs w:val="18"/>
              </w:rPr>
            </w:pPr>
            <w:r>
              <w:rPr>
                <w:rFonts w:ascii="GHEA Grapalat" w:hAnsi="GHEA Grapalat"/>
                <w:color w:val="404040"/>
                <w:sz w:val="18"/>
                <w:szCs w:val="18"/>
              </w:rPr>
              <w:t>15.2</w:t>
            </w:r>
          </w:p>
        </w:tc>
        <w:tc>
          <w:tcPr>
            <w:tcW w:w="940" w:type="dxa"/>
            <w:vAlign w:val="center"/>
          </w:tcPr>
          <w:p w14:paraId="08FF5F19" w14:textId="77777777" w:rsidR="006B15F5" w:rsidRPr="009665F3" w:rsidRDefault="006B15F5" w:rsidP="00147C8B">
            <w:pPr>
              <w:spacing w:before="0" w:after="0" w:line="240" w:lineRule="auto"/>
              <w:jc w:val="center"/>
              <w:rPr>
                <w:sz w:val="18"/>
                <w:szCs w:val="18"/>
              </w:rPr>
            </w:pPr>
            <w:r>
              <w:rPr>
                <w:rFonts w:ascii="GHEA Grapalat" w:hAnsi="GHEA Grapalat"/>
                <w:color w:val="404040"/>
                <w:sz w:val="18"/>
                <w:szCs w:val="18"/>
              </w:rPr>
              <w:t>27</w:t>
            </w:r>
          </w:p>
        </w:tc>
        <w:tc>
          <w:tcPr>
            <w:tcW w:w="940" w:type="dxa"/>
            <w:vAlign w:val="center"/>
          </w:tcPr>
          <w:p w14:paraId="47EFEAB1" w14:textId="77777777" w:rsidR="006B15F5" w:rsidRPr="009665F3" w:rsidRDefault="006B15F5" w:rsidP="00147C8B">
            <w:pPr>
              <w:spacing w:before="0" w:after="0" w:line="240" w:lineRule="auto"/>
              <w:jc w:val="center"/>
              <w:rPr>
                <w:sz w:val="18"/>
                <w:szCs w:val="18"/>
              </w:rPr>
            </w:pPr>
            <w:r>
              <w:rPr>
                <w:rFonts w:ascii="GHEA Grapalat" w:hAnsi="GHEA Grapalat"/>
                <w:color w:val="404040"/>
                <w:sz w:val="18"/>
                <w:szCs w:val="18"/>
              </w:rPr>
              <w:t>29.5</w:t>
            </w:r>
          </w:p>
        </w:tc>
        <w:tc>
          <w:tcPr>
            <w:tcW w:w="940" w:type="dxa"/>
            <w:vAlign w:val="center"/>
          </w:tcPr>
          <w:p w14:paraId="5A0B735F" w14:textId="77777777" w:rsidR="006B15F5" w:rsidRPr="009665F3" w:rsidRDefault="006B15F5" w:rsidP="00147C8B">
            <w:pPr>
              <w:spacing w:before="0" w:after="0" w:line="240" w:lineRule="auto"/>
              <w:jc w:val="center"/>
              <w:rPr>
                <w:sz w:val="18"/>
                <w:szCs w:val="18"/>
              </w:rPr>
            </w:pPr>
            <w:r>
              <w:rPr>
                <w:rFonts w:ascii="GHEA Grapalat" w:hAnsi="GHEA Grapalat"/>
                <w:color w:val="404040"/>
                <w:sz w:val="18"/>
                <w:szCs w:val="18"/>
              </w:rPr>
              <w:t>25.3</w:t>
            </w:r>
          </w:p>
        </w:tc>
        <w:tc>
          <w:tcPr>
            <w:tcW w:w="777" w:type="dxa"/>
            <w:tcBorders>
              <w:top w:val="nil"/>
              <w:left w:val="nil"/>
              <w:bottom w:val="single" w:sz="8" w:space="0" w:color="E1E1E3"/>
              <w:right w:val="single" w:sz="8" w:space="0" w:color="E1E1E3"/>
            </w:tcBorders>
            <w:shd w:val="clear" w:color="auto" w:fill="auto"/>
            <w:vAlign w:val="center"/>
          </w:tcPr>
          <w:p w14:paraId="0455F302" w14:textId="77777777" w:rsidR="006B15F5" w:rsidRDefault="006B15F5" w:rsidP="00147C8B">
            <w:pPr>
              <w:spacing w:before="0" w:after="0" w:line="240" w:lineRule="auto"/>
              <w:jc w:val="center"/>
              <w:rPr>
                <w:rFonts w:ascii="GHEA Grapalat" w:hAnsi="GHEA Grapalat" w:cs="Calibri"/>
                <w:color w:val="404040"/>
                <w:sz w:val="18"/>
                <w:szCs w:val="18"/>
              </w:rPr>
            </w:pPr>
            <w:r>
              <w:rPr>
                <w:rFonts w:ascii="GHEA Grapalat" w:hAnsi="GHEA Grapalat" w:cs="Calibri"/>
                <w:color w:val="404040"/>
                <w:sz w:val="18"/>
                <w:szCs w:val="18"/>
              </w:rPr>
              <w:t>65.0</w:t>
            </w:r>
          </w:p>
        </w:tc>
        <w:tc>
          <w:tcPr>
            <w:tcW w:w="777" w:type="dxa"/>
            <w:tcBorders>
              <w:top w:val="nil"/>
              <w:left w:val="nil"/>
              <w:bottom w:val="single" w:sz="8" w:space="0" w:color="E1E1E3"/>
              <w:right w:val="single" w:sz="8" w:space="0" w:color="E1E1E3"/>
            </w:tcBorders>
            <w:shd w:val="clear" w:color="auto" w:fill="auto"/>
            <w:vAlign w:val="center"/>
          </w:tcPr>
          <w:p w14:paraId="705851FD" w14:textId="77777777" w:rsidR="006B15F5" w:rsidRDefault="006B15F5" w:rsidP="00147C8B">
            <w:pPr>
              <w:spacing w:before="0" w:after="0" w:line="240" w:lineRule="auto"/>
              <w:jc w:val="center"/>
              <w:rPr>
                <w:rFonts w:ascii="GHEA Grapalat" w:hAnsi="GHEA Grapalat" w:cs="Calibri"/>
                <w:color w:val="404040"/>
                <w:sz w:val="18"/>
                <w:szCs w:val="18"/>
              </w:rPr>
            </w:pPr>
            <w:r>
              <w:rPr>
                <w:rFonts w:ascii="GHEA Grapalat" w:hAnsi="GHEA Grapalat" w:cs="Calibri"/>
                <w:color w:val="404040"/>
                <w:sz w:val="18"/>
                <w:szCs w:val="18"/>
              </w:rPr>
              <w:t>55.8</w:t>
            </w:r>
          </w:p>
        </w:tc>
        <w:tc>
          <w:tcPr>
            <w:tcW w:w="777" w:type="dxa"/>
            <w:tcBorders>
              <w:top w:val="nil"/>
              <w:left w:val="nil"/>
              <w:bottom w:val="single" w:sz="8" w:space="0" w:color="E1E1E3"/>
              <w:right w:val="single" w:sz="8" w:space="0" w:color="E1E1E3"/>
            </w:tcBorders>
            <w:shd w:val="clear" w:color="auto" w:fill="auto"/>
            <w:vAlign w:val="center"/>
          </w:tcPr>
          <w:p w14:paraId="074E54F1" w14:textId="77777777" w:rsidR="006B15F5" w:rsidRDefault="006B15F5" w:rsidP="00147C8B">
            <w:pPr>
              <w:spacing w:before="0" w:after="0" w:line="240" w:lineRule="auto"/>
              <w:jc w:val="center"/>
              <w:rPr>
                <w:rFonts w:ascii="GHEA Grapalat" w:hAnsi="GHEA Grapalat" w:cs="Calibri"/>
                <w:color w:val="404040"/>
                <w:sz w:val="18"/>
                <w:szCs w:val="18"/>
              </w:rPr>
            </w:pPr>
            <w:r>
              <w:rPr>
                <w:rFonts w:ascii="GHEA Grapalat" w:hAnsi="GHEA Grapalat" w:cs="Calibri"/>
                <w:color w:val="404040"/>
                <w:sz w:val="18"/>
                <w:szCs w:val="18"/>
              </w:rPr>
              <w:t>67.7</w:t>
            </w:r>
          </w:p>
        </w:tc>
      </w:tr>
      <w:tr w:rsidR="006B15F5" w:rsidRPr="009665F3" w14:paraId="5B35A470" w14:textId="77777777" w:rsidTr="00147C8B">
        <w:trPr>
          <w:trHeight w:val="288"/>
        </w:trPr>
        <w:tc>
          <w:tcPr>
            <w:tcW w:w="3481" w:type="dxa"/>
            <w:vAlign w:val="center"/>
            <w:hideMark/>
          </w:tcPr>
          <w:p w14:paraId="7A561C8D" w14:textId="77777777" w:rsidR="006B15F5" w:rsidRPr="009665F3" w:rsidRDefault="006B15F5" w:rsidP="00147C8B">
            <w:pPr>
              <w:spacing w:before="0" w:after="0" w:line="240" w:lineRule="auto"/>
              <w:jc w:val="both"/>
              <w:rPr>
                <w:sz w:val="18"/>
                <w:szCs w:val="18"/>
              </w:rPr>
            </w:pPr>
            <w:r w:rsidRPr="009665F3">
              <w:rPr>
                <w:sz w:val="18"/>
                <w:szCs w:val="18"/>
              </w:rPr>
              <w:t xml:space="preserve"> ներքին աղբյուրներ </w:t>
            </w:r>
          </w:p>
        </w:tc>
        <w:tc>
          <w:tcPr>
            <w:tcW w:w="935" w:type="dxa"/>
            <w:vAlign w:val="center"/>
          </w:tcPr>
          <w:p w14:paraId="54925511" w14:textId="77777777" w:rsidR="006B15F5" w:rsidRPr="009665F3" w:rsidRDefault="006B15F5" w:rsidP="00147C8B">
            <w:pPr>
              <w:spacing w:before="0" w:after="0" w:line="240" w:lineRule="auto"/>
              <w:jc w:val="center"/>
              <w:rPr>
                <w:sz w:val="18"/>
                <w:szCs w:val="18"/>
              </w:rPr>
            </w:pPr>
            <w:r>
              <w:rPr>
                <w:rFonts w:ascii="GHEA Grapalat" w:hAnsi="GHEA Grapalat"/>
                <w:color w:val="404040"/>
                <w:sz w:val="18"/>
                <w:szCs w:val="18"/>
              </w:rPr>
              <w:t>47.1</w:t>
            </w:r>
          </w:p>
        </w:tc>
        <w:tc>
          <w:tcPr>
            <w:tcW w:w="940" w:type="dxa"/>
            <w:vAlign w:val="center"/>
          </w:tcPr>
          <w:p w14:paraId="0CD65328" w14:textId="77777777" w:rsidR="006B15F5" w:rsidRPr="009665F3" w:rsidRDefault="006B15F5" w:rsidP="00147C8B">
            <w:pPr>
              <w:spacing w:before="0" w:after="0" w:line="240" w:lineRule="auto"/>
              <w:jc w:val="center"/>
              <w:rPr>
                <w:sz w:val="18"/>
                <w:szCs w:val="18"/>
              </w:rPr>
            </w:pPr>
            <w:r>
              <w:rPr>
                <w:rFonts w:ascii="GHEA Grapalat" w:hAnsi="GHEA Grapalat"/>
                <w:color w:val="404040"/>
                <w:sz w:val="18"/>
                <w:szCs w:val="18"/>
              </w:rPr>
              <w:t>69.5</w:t>
            </w:r>
          </w:p>
        </w:tc>
        <w:tc>
          <w:tcPr>
            <w:tcW w:w="940" w:type="dxa"/>
            <w:vAlign w:val="center"/>
          </w:tcPr>
          <w:p w14:paraId="1540E12D" w14:textId="77777777" w:rsidR="006B15F5" w:rsidRPr="009665F3" w:rsidRDefault="006B15F5" w:rsidP="00147C8B">
            <w:pPr>
              <w:spacing w:before="0" w:after="0" w:line="240" w:lineRule="auto"/>
              <w:jc w:val="center"/>
              <w:rPr>
                <w:sz w:val="18"/>
                <w:szCs w:val="18"/>
              </w:rPr>
            </w:pPr>
            <w:r>
              <w:rPr>
                <w:rFonts w:ascii="GHEA Grapalat" w:hAnsi="GHEA Grapalat"/>
                <w:color w:val="404040"/>
                <w:sz w:val="18"/>
                <w:szCs w:val="18"/>
              </w:rPr>
              <w:t>63.2</w:t>
            </w:r>
          </w:p>
        </w:tc>
        <w:tc>
          <w:tcPr>
            <w:tcW w:w="940" w:type="dxa"/>
            <w:vAlign w:val="center"/>
          </w:tcPr>
          <w:p w14:paraId="750B454D" w14:textId="77777777" w:rsidR="006B15F5" w:rsidRPr="009665F3" w:rsidRDefault="006B15F5" w:rsidP="00147C8B">
            <w:pPr>
              <w:spacing w:before="0" w:after="0" w:line="240" w:lineRule="auto"/>
              <w:jc w:val="center"/>
              <w:rPr>
                <w:sz w:val="18"/>
                <w:szCs w:val="18"/>
              </w:rPr>
            </w:pPr>
            <w:r>
              <w:rPr>
                <w:rFonts w:ascii="GHEA Grapalat" w:hAnsi="GHEA Grapalat"/>
                <w:color w:val="404040"/>
                <w:sz w:val="18"/>
                <w:szCs w:val="18"/>
              </w:rPr>
              <w:t>72</w:t>
            </w:r>
          </w:p>
        </w:tc>
        <w:tc>
          <w:tcPr>
            <w:tcW w:w="777" w:type="dxa"/>
            <w:tcBorders>
              <w:top w:val="nil"/>
              <w:left w:val="nil"/>
              <w:bottom w:val="single" w:sz="8" w:space="0" w:color="E1E1E3"/>
              <w:right w:val="single" w:sz="8" w:space="0" w:color="E1E1E3"/>
            </w:tcBorders>
            <w:shd w:val="clear" w:color="auto" w:fill="auto"/>
            <w:vAlign w:val="center"/>
          </w:tcPr>
          <w:p w14:paraId="4C6E7F87" w14:textId="77777777" w:rsidR="006B15F5" w:rsidRDefault="006B15F5" w:rsidP="00147C8B">
            <w:pPr>
              <w:spacing w:before="0" w:after="0" w:line="240" w:lineRule="auto"/>
              <w:jc w:val="center"/>
              <w:rPr>
                <w:rFonts w:ascii="GHEA Grapalat" w:hAnsi="GHEA Grapalat" w:cs="Calibri"/>
                <w:color w:val="404040"/>
                <w:sz w:val="18"/>
                <w:szCs w:val="18"/>
              </w:rPr>
            </w:pPr>
            <w:r>
              <w:rPr>
                <w:rFonts w:ascii="GHEA Grapalat" w:hAnsi="GHEA Grapalat" w:cs="Calibri"/>
                <w:color w:val="404040"/>
                <w:sz w:val="18"/>
                <w:szCs w:val="18"/>
              </w:rPr>
              <w:t>61.1</w:t>
            </w:r>
          </w:p>
        </w:tc>
        <w:tc>
          <w:tcPr>
            <w:tcW w:w="777" w:type="dxa"/>
            <w:tcBorders>
              <w:top w:val="nil"/>
              <w:left w:val="nil"/>
              <w:bottom w:val="single" w:sz="8" w:space="0" w:color="E1E1E3"/>
              <w:right w:val="single" w:sz="8" w:space="0" w:color="E1E1E3"/>
            </w:tcBorders>
            <w:shd w:val="clear" w:color="auto" w:fill="auto"/>
            <w:vAlign w:val="center"/>
          </w:tcPr>
          <w:p w14:paraId="461F2EE4" w14:textId="77777777" w:rsidR="006B15F5" w:rsidRDefault="006B15F5" w:rsidP="00147C8B">
            <w:pPr>
              <w:spacing w:before="0" w:after="0" w:line="240" w:lineRule="auto"/>
              <w:jc w:val="center"/>
              <w:rPr>
                <w:rFonts w:ascii="GHEA Grapalat" w:hAnsi="GHEA Grapalat" w:cs="Calibri"/>
                <w:color w:val="404040"/>
                <w:sz w:val="18"/>
                <w:szCs w:val="18"/>
              </w:rPr>
            </w:pPr>
            <w:r>
              <w:rPr>
                <w:rFonts w:ascii="GHEA Grapalat" w:hAnsi="GHEA Grapalat" w:cs="Calibri"/>
                <w:color w:val="404040"/>
                <w:sz w:val="18"/>
                <w:szCs w:val="18"/>
              </w:rPr>
              <w:t>71.7</w:t>
            </w:r>
          </w:p>
        </w:tc>
        <w:tc>
          <w:tcPr>
            <w:tcW w:w="777" w:type="dxa"/>
            <w:tcBorders>
              <w:top w:val="nil"/>
              <w:left w:val="nil"/>
              <w:bottom w:val="single" w:sz="8" w:space="0" w:color="E1E1E3"/>
              <w:right w:val="single" w:sz="8" w:space="0" w:color="E1E1E3"/>
            </w:tcBorders>
            <w:shd w:val="clear" w:color="auto" w:fill="auto"/>
            <w:vAlign w:val="center"/>
          </w:tcPr>
          <w:p w14:paraId="3556BA4B" w14:textId="77777777" w:rsidR="006B15F5" w:rsidRDefault="006B15F5" w:rsidP="00147C8B">
            <w:pPr>
              <w:spacing w:before="0" w:after="0" w:line="240" w:lineRule="auto"/>
              <w:jc w:val="center"/>
              <w:rPr>
                <w:rFonts w:ascii="GHEA Grapalat" w:hAnsi="GHEA Grapalat" w:cs="Calibri"/>
                <w:color w:val="404040"/>
                <w:sz w:val="18"/>
                <w:szCs w:val="18"/>
              </w:rPr>
            </w:pPr>
            <w:r>
              <w:rPr>
                <w:rFonts w:ascii="GHEA Grapalat" w:hAnsi="GHEA Grapalat" w:cs="Calibri"/>
                <w:color w:val="404040"/>
                <w:sz w:val="18"/>
                <w:szCs w:val="18"/>
              </w:rPr>
              <w:t>69.7</w:t>
            </w:r>
          </w:p>
        </w:tc>
      </w:tr>
      <w:tr w:rsidR="006B15F5" w:rsidRPr="009665F3" w14:paraId="6FB9F4C1" w14:textId="77777777" w:rsidTr="00147C8B">
        <w:trPr>
          <w:trHeight w:val="288"/>
        </w:trPr>
        <w:tc>
          <w:tcPr>
            <w:tcW w:w="3481" w:type="dxa"/>
            <w:vAlign w:val="center"/>
            <w:hideMark/>
          </w:tcPr>
          <w:p w14:paraId="33F24AAF" w14:textId="77777777" w:rsidR="006B15F5" w:rsidRPr="009665F3" w:rsidRDefault="006B15F5" w:rsidP="00147C8B">
            <w:pPr>
              <w:spacing w:before="0" w:after="0" w:line="240" w:lineRule="auto"/>
              <w:jc w:val="both"/>
              <w:rPr>
                <w:sz w:val="18"/>
                <w:szCs w:val="18"/>
              </w:rPr>
            </w:pPr>
            <w:r w:rsidRPr="009665F3">
              <w:rPr>
                <w:sz w:val="18"/>
                <w:szCs w:val="18"/>
              </w:rPr>
              <w:t xml:space="preserve"> Էներգետիկա, այդ թվում </w:t>
            </w:r>
          </w:p>
        </w:tc>
        <w:tc>
          <w:tcPr>
            <w:tcW w:w="935" w:type="dxa"/>
            <w:vAlign w:val="center"/>
          </w:tcPr>
          <w:p w14:paraId="7127E7EC" w14:textId="77777777" w:rsidR="006B15F5" w:rsidRPr="009665F3" w:rsidRDefault="006B15F5" w:rsidP="00147C8B">
            <w:pPr>
              <w:spacing w:before="0" w:after="0" w:line="240" w:lineRule="auto"/>
              <w:jc w:val="center"/>
              <w:rPr>
                <w:sz w:val="18"/>
                <w:szCs w:val="18"/>
              </w:rPr>
            </w:pPr>
            <w:r>
              <w:rPr>
                <w:rFonts w:ascii="GHEA Grapalat" w:hAnsi="GHEA Grapalat"/>
                <w:color w:val="404040"/>
                <w:sz w:val="18"/>
                <w:szCs w:val="18"/>
              </w:rPr>
              <w:t>1.1</w:t>
            </w:r>
          </w:p>
        </w:tc>
        <w:tc>
          <w:tcPr>
            <w:tcW w:w="940" w:type="dxa"/>
            <w:vAlign w:val="center"/>
          </w:tcPr>
          <w:p w14:paraId="22F94C76" w14:textId="77777777" w:rsidR="006B15F5" w:rsidRPr="009665F3" w:rsidRDefault="006B15F5" w:rsidP="00147C8B">
            <w:pPr>
              <w:spacing w:before="0" w:after="0" w:line="240" w:lineRule="auto"/>
              <w:jc w:val="center"/>
              <w:rPr>
                <w:sz w:val="18"/>
                <w:szCs w:val="18"/>
              </w:rPr>
            </w:pPr>
            <w:r>
              <w:rPr>
                <w:rFonts w:ascii="GHEA Grapalat" w:hAnsi="GHEA Grapalat"/>
                <w:color w:val="404040"/>
                <w:sz w:val="18"/>
                <w:szCs w:val="18"/>
              </w:rPr>
              <w:t>2.2</w:t>
            </w:r>
          </w:p>
        </w:tc>
        <w:tc>
          <w:tcPr>
            <w:tcW w:w="940" w:type="dxa"/>
            <w:vAlign w:val="center"/>
          </w:tcPr>
          <w:p w14:paraId="50F70AEE" w14:textId="77777777" w:rsidR="006B15F5" w:rsidRPr="009665F3" w:rsidRDefault="006B15F5" w:rsidP="00147C8B">
            <w:pPr>
              <w:spacing w:before="0" w:after="0" w:line="240" w:lineRule="auto"/>
              <w:jc w:val="center"/>
              <w:rPr>
                <w:sz w:val="18"/>
                <w:szCs w:val="18"/>
              </w:rPr>
            </w:pPr>
            <w:r>
              <w:rPr>
                <w:rFonts w:ascii="GHEA Grapalat" w:hAnsi="GHEA Grapalat"/>
                <w:color w:val="404040"/>
                <w:sz w:val="18"/>
                <w:szCs w:val="18"/>
              </w:rPr>
              <w:t>0.7</w:t>
            </w:r>
          </w:p>
        </w:tc>
        <w:tc>
          <w:tcPr>
            <w:tcW w:w="940" w:type="dxa"/>
            <w:vAlign w:val="center"/>
          </w:tcPr>
          <w:p w14:paraId="306B31EA" w14:textId="77777777" w:rsidR="006B15F5" w:rsidRPr="009665F3" w:rsidRDefault="006B15F5" w:rsidP="00147C8B">
            <w:pPr>
              <w:spacing w:before="0" w:after="0" w:line="240" w:lineRule="auto"/>
              <w:jc w:val="center"/>
              <w:rPr>
                <w:sz w:val="18"/>
                <w:szCs w:val="18"/>
              </w:rPr>
            </w:pPr>
            <w:r>
              <w:rPr>
                <w:rFonts w:ascii="GHEA Grapalat" w:hAnsi="GHEA Grapalat"/>
                <w:color w:val="404040"/>
                <w:sz w:val="18"/>
                <w:szCs w:val="18"/>
              </w:rPr>
              <w:t>4.0</w:t>
            </w:r>
          </w:p>
        </w:tc>
        <w:tc>
          <w:tcPr>
            <w:tcW w:w="777" w:type="dxa"/>
            <w:tcBorders>
              <w:top w:val="nil"/>
              <w:left w:val="nil"/>
              <w:bottom w:val="single" w:sz="8" w:space="0" w:color="E1E1E3"/>
              <w:right w:val="single" w:sz="8" w:space="0" w:color="E1E1E3"/>
            </w:tcBorders>
            <w:shd w:val="clear" w:color="auto" w:fill="auto"/>
            <w:vAlign w:val="center"/>
          </w:tcPr>
          <w:p w14:paraId="1B66B59A" w14:textId="77777777" w:rsidR="006B15F5" w:rsidRDefault="006B15F5" w:rsidP="00147C8B">
            <w:pPr>
              <w:spacing w:before="0" w:after="0" w:line="240" w:lineRule="auto"/>
              <w:jc w:val="center"/>
              <w:rPr>
                <w:rFonts w:ascii="GHEA Grapalat" w:hAnsi="GHEA Grapalat" w:cs="Calibri"/>
                <w:color w:val="404040"/>
                <w:sz w:val="18"/>
                <w:szCs w:val="18"/>
              </w:rPr>
            </w:pPr>
            <w:r>
              <w:rPr>
                <w:rFonts w:ascii="GHEA Grapalat" w:hAnsi="GHEA Grapalat" w:cs="Calibri"/>
                <w:color w:val="404040"/>
                <w:sz w:val="18"/>
                <w:szCs w:val="18"/>
              </w:rPr>
              <w:t>9.5</w:t>
            </w:r>
          </w:p>
        </w:tc>
        <w:tc>
          <w:tcPr>
            <w:tcW w:w="777" w:type="dxa"/>
            <w:tcBorders>
              <w:top w:val="nil"/>
              <w:left w:val="nil"/>
              <w:bottom w:val="single" w:sz="8" w:space="0" w:color="E1E1E3"/>
              <w:right w:val="single" w:sz="8" w:space="0" w:color="E1E1E3"/>
            </w:tcBorders>
            <w:shd w:val="clear" w:color="auto" w:fill="auto"/>
            <w:vAlign w:val="center"/>
          </w:tcPr>
          <w:p w14:paraId="4E519562" w14:textId="77777777" w:rsidR="006B15F5" w:rsidRDefault="006B15F5" w:rsidP="00147C8B">
            <w:pPr>
              <w:spacing w:before="0" w:after="0" w:line="240" w:lineRule="auto"/>
              <w:jc w:val="center"/>
              <w:rPr>
                <w:rFonts w:ascii="GHEA Grapalat" w:hAnsi="GHEA Grapalat" w:cs="Calibri"/>
                <w:color w:val="404040"/>
                <w:sz w:val="18"/>
                <w:szCs w:val="18"/>
              </w:rPr>
            </w:pPr>
            <w:r>
              <w:rPr>
                <w:rFonts w:ascii="GHEA Grapalat" w:hAnsi="GHEA Grapalat" w:cs="Calibri"/>
                <w:color w:val="404040"/>
                <w:sz w:val="18"/>
                <w:szCs w:val="18"/>
              </w:rPr>
              <w:t>6.2</w:t>
            </w:r>
          </w:p>
        </w:tc>
        <w:tc>
          <w:tcPr>
            <w:tcW w:w="777" w:type="dxa"/>
            <w:tcBorders>
              <w:top w:val="nil"/>
              <w:left w:val="nil"/>
              <w:bottom w:val="single" w:sz="8" w:space="0" w:color="E1E1E3"/>
              <w:right w:val="single" w:sz="8" w:space="0" w:color="E1E1E3"/>
            </w:tcBorders>
            <w:shd w:val="clear" w:color="auto" w:fill="auto"/>
            <w:vAlign w:val="center"/>
          </w:tcPr>
          <w:p w14:paraId="2ADCB289" w14:textId="77777777" w:rsidR="006B15F5" w:rsidRDefault="006B15F5" w:rsidP="00147C8B">
            <w:pPr>
              <w:spacing w:before="0" w:after="0" w:line="240" w:lineRule="auto"/>
              <w:jc w:val="center"/>
              <w:rPr>
                <w:rFonts w:ascii="GHEA Grapalat" w:hAnsi="GHEA Grapalat" w:cs="Calibri"/>
                <w:color w:val="404040"/>
                <w:sz w:val="18"/>
                <w:szCs w:val="18"/>
              </w:rPr>
            </w:pPr>
            <w:r>
              <w:rPr>
                <w:rFonts w:ascii="GHEA Grapalat" w:hAnsi="GHEA Grapalat" w:cs="Calibri"/>
                <w:color w:val="404040"/>
                <w:sz w:val="18"/>
                <w:szCs w:val="18"/>
              </w:rPr>
              <w:t>2.5</w:t>
            </w:r>
          </w:p>
        </w:tc>
      </w:tr>
      <w:tr w:rsidR="006B15F5" w:rsidRPr="009665F3" w14:paraId="35BFAFC6" w14:textId="77777777" w:rsidTr="00147C8B">
        <w:trPr>
          <w:trHeight w:val="288"/>
        </w:trPr>
        <w:tc>
          <w:tcPr>
            <w:tcW w:w="3481" w:type="dxa"/>
            <w:vAlign w:val="center"/>
            <w:hideMark/>
          </w:tcPr>
          <w:p w14:paraId="4BEF78CA" w14:textId="77777777" w:rsidR="006B15F5" w:rsidRPr="009665F3" w:rsidRDefault="006B15F5" w:rsidP="00147C8B">
            <w:pPr>
              <w:spacing w:before="0" w:after="0" w:line="240" w:lineRule="auto"/>
              <w:jc w:val="both"/>
              <w:rPr>
                <w:sz w:val="18"/>
                <w:szCs w:val="18"/>
              </w:rPr>
            </w:pPr>
            <w:r>
              <w:rPr>
                <w:sz w:val="18"/>
                <w:szCs w:val="18"/>
              </w:rPr>
              <w:t xml:space="preserve"> </w:t>
            </w:r>
            <w:r w:rsidRPr="009665F3">
              <w:rPr>
                <w:sz w:val="18"/>
                <w:szCs w:val="18"/>
              </w:rPr>
              <w:t xml:space="preserve">արտաքին աղբյուրներ </w:t>
            </w:r>
          </w:p>
        </w:tc>
        <w:tc>
          <w:tcPr>
            <w:tcW w:w="935" w:type="dxa"/>
            <w:vAlign w:val="center"/>
          </w:tcPr>
          <w:p w14:paraId="3CF9ADC8" w14:textId="77777777" w:rsidR="006B15F5" w:rsidRPr="009665F3" w:rsidRDefault="006B15F5" w:rsidP="00147C8B">
            <w:pPr>
              <w:spacing w:before="0" w:after="0" w:line="240" w:lineRule="auto"/>
              <w:jc w:val="center"/>
              <w:rPr>
                <w:sz w:val="18"/>
                <w:szCs w:val="18"/>
              </w:rPr>
            </w:pPr>
            <w:r>
              <w:rPr>
                <w:rFonts w:ascii="GHEA Grapalat" w:hAnsi="GHEA Grapalat"/>
                <w:color w:val="404040"/>
                <w:sz w:val="18"/>
                <w:szCs w:val="18"/>
              </w:rPr>
              <w:t>1.1</w:t>
            </w:r>
          </w:p>
        </w:tc>
        <w:tc>
          <w:tcPr>
            <w:tcW w:w="940" w:type="dxa"/>
            <w:vAlign w:val="center"/>
          </w:tcPr>
          <w:p w14:paraId="518CA7AC" w14:textId="77777777" w:rsidR="006B15F5" w:rsidRPr="009665F3" w:rsidRDefault="006B15F5" w:rsidP="00147C8B">
            <w:pPr>
              <w:spacing w:before="0" w:after="0" w:line="240" w:lineRule="auto"/>
              <w:jc w:val="center"/>
              <w:rPr>
                <w:sz w:val="18"/>
                <w:szCs w:val="18"/>
              </w:rPr>
            </w:pPr>
            <w:r>
              <w:rPr>
                <w:rFonts w:ascii="GHEA Grapalat" w:hAnsi="GHEA Grapalat"/>
                <w:color w:val="404040"/>
                <w:sz w:val="18"/>
                <w:szCs w:val="18"/>
              </w:rPr>
              <w:t>1.8</w:t>
            </w:r>
          </w:p>
        </w:tc>
        <w:tc>
          <w:tcPr>
            <w:tcW w:w="940" w:type="dxa"/>
            <w:vAlign w:val="center"/>
          </w:tcPr>
          <w:p w14:paraId="1C095F68" w14:textId="77777777" w:rsidR="006B15F5" w:rsidRPr="009665F3" w:rsidRDefault="006B15F5" w:rsidP="00147C8B">
            <w:pPr>
              <w:spacing w:before="0" w:after="0" w:line="240" w:lineRule="auto"/>
              <w:jc w:val="center"/>
              <w:rPr>
                <w:sz w:val="18"/>
                <w:szCs w:val="18"/>
              </w:rPr>
            </w:pPr>
            <w:r>
              <w:rPr>
                <w:rFonts w:ascii="GHEA Grapalat" w:hAnsi="GHEA Grapalat"/>
                <w:color w:val="404040"/>
                <w:sz w:val="18"/>
                <w:szCs w:val="18"/>
              </w:rPr>
              <w:t>0.7</w:t>
            </w:r>
          </w:p>
        </w:tc>
        <w:tc>
          <w:tcPr>
            <w:tcW w:w="940" w:type="dxa"/>
            <w:vAlign w:val="center"/>
          </w:tcPr>
          <w:p w14:paraId="2E9DDE2B" w14:textId="77777777" w:rsidR="006B15F5" w:rsidRPr="009665F3" w:rsidRDefault="006B15F5" w:rsidP="00147C8B">
            <w:pPr>
              <w:spacing w:before="0" w:after="0" w:line="240" w:lineRule="auto"/>
              <w:jc w:val="center"/>
              <w:rPr>
                <w:sz w:val="18"/>
                <w:szCs w:val="18"/>
              </w:rPr>
            </w:pPr>
            <w:r>
              <w:rPr>
                <w:rFonts w:ascii="GHEA Grapalat" w:hAnsi="GHEA Grapalat"/>
                <w:color w:val="404040"/>
                <w:sz w:val="18"/>
                <w:szCs w:val="18"/>
              </w:rPr>
              <w:t>4</w:t>
            </w:r>
          </w:p>
        </w:tc>
        <w:tc>
          <w:tcPr>
            <w:tcW w:w="777" w:type="dxa"/>
            <w:tcBorders>
              <w:top w:val="nil"/>
              <w:left w:val="nil"/>
              <w:bottom w:val="single" w:sz="8" w:space="0" w:color="E1E1E3"/>
              <w:right w:val="single" w:sz="8" w:space="0" w:color="E1E1E3"/>
            </w:tcBorders>
            <w:shd w:val="clear" w:color="auto" w:fill="auto"/>
            <w:vAlign w:val="center"/>
          </w:tcPr>
          <w:p w14:paraId="7960D2BD" w14:textId="77777777" w:rsidR="006B15F5" w:rsidRDefault="006B15F5" w:rsidP="00147C8B">
            <w:pPr>
              <w:spacing w:before="0" w:after="0" w:line="240" w:lineRule="auto"/>
              <w:jc w:val="center"/>
              <w:rPr>
                <w:rFonts w:ascii="GHEA Grapalat" w:hAnsi="GHEA Grapalat" w:cs="Calibri"/>
                <w:color w:val="404040"/>
                <w:sz w:val="18"/>
                <w:szCs w:val="18"/>
              </w:rPr>
            </w:pPr>
            <w:r>
              <w:rPr>
                <w:rFonts w:ascii="GHEA Grapalat" w:hAnsi="GHEA Grapalat" w:cs="Calibri"/>
                <w:color w:val="404040"/>
                <w:sz w:val="18"/>
                <w:szCs w:val="18"/>
              </w:rPr>
              <w:t>9.5</w:t>
            </w:r>
          </w:p>
        </w:tc>
        <w:tc>
          <w:tcPr>
            <w:tcW w:w="777" w:type="dxa"/>
            <w:tcBorders>
              <w:top w:val="nil"/>
              <w:left w:val="nil"/>
              <w:bottom w:val="single" w:sz="8" w:space="0" w:color="E1E1E3"/>
              <w:right w:val="single" w:sz="8" w:space="0" w:color="E1E1E3"/>
            </w:tcBorders>
            <w:shd w:val="clear" w:color="auto" w:fill="auto"/>
            <w:vAlign w:val="center"/>
          </w:tcPr>
          <w:p w14:paraId="12818291" w14:textId="77777777" w:rsidR="006B15F5" w:rsidRDefault="006B15F5" w:rsidP="00147C8B">
            <w:pPr>
              <w:spacing w:before="0" w:after="0" w:line="240" w:lineRule="auto"/>
              <w:jc w:val="center"/>
              <w:rPr>
                <w:rFonts w:ascii="GHEA Grapalat" w:hAnsi="GHEA Grapalat" w:cs="Calibri"/>
                <w:color w:val="404040"/>
                <w:sz w:val="18"/>
                <w:szCs w:val="18"/>
              </w:rPr>
            </w:pPr>
            <w:r>
              <w:rPr>
                <w:rFonts w:ascii="GHEA Grapalat" w:hAnsi="GHEA Grapalat" w:cs="Calibri"/>
                <w:color w:val="404040"/>
                <w:sz w:val="18"/>
                <w:szCs w:val="18"/>
              </w:rPr>
              <w:t>6.2</w:t>
            </w:r>
          </w:p>
        </w:tc>
        <w:tc>
          <w:tcPr>
            <w:tcW w:w="777" w:type="dxa"/>
            <w:tcBorders>
              <w:top w:val="nil"/>
              <w:left w:val="nil"/>
              <w:bottom w:val="single" w:sz="8" w:space="0" w:color="E1E1E3"/>
              <w:right w:val="single" w:sz="8" w:space="0" w:color="E1E1E3"/>
            </w:tcBorders>
            <w:shd w:val="clear" w:color="auto" w:fill="auto"/>
            <w:vAlign w:val="center"/>
          </w:tcPr>
          <w:p w14:paraId="0D7AA95B" w14:textId="77777777" w:rsidR="006B15F5" w:rsidRDefault="006B15F5" w:rsidP="00147C8B">
            <w:pPr>
              <w:spacing w:before="0" w:after="0" w:line="240" w:lineRule="auto"/>
              <w:jc w:val="center"/>
              <w:rPr>
                <w:rFonts w:ascii="GHEA Grapalat" w:hAnsi="GHEA Grapalat" w:cs="Calibri"/>
                <w:color w:val="404040"/>
                <w:sz w:val="18"/>
                <w:szCs w:val="18"/>
              </w:rPr>
            </w:pPr>
            <w:r>
              <w:rPr>
                <w:rFonts w:ascii="GHEA Grapalat" w:hAnsi="GHEA Grapalat" w:cs="Calibri"/>
                <w:color w:val="404040"/>
                <w:sz w:val="18"/>
                <w:szCs w:val="18"/>
              </w:rPr>
              <w:t>2.5</w:t>
            </w:r>
          </w:p>
        </w:tc>
      </w:tr>
      <w:tr w:rsidR="006B15F5" w:rsidRPr="009665F3" w14:paraId="7CECD7ED" w14:textId="77777777" w:rsidTr="00147C8B">
        <w:trPr>
          <w:trHeight w:val="288"/>
        </w:trPr>
        <w:tc>
          <w:tcPr>
            <w:tcW w:w="3481" w:type="dxa"/>
            <w:vAlign w:val="center"/>
            <w:hideMark/>
          </w:tcPr>
          <w:p w14:paraId="15C6FCC0" w14:textId="77777777" w:rsidR="006B15F5" w:rsidRPr="009665F3" w:rsidRDefault="006B15F5" w:rsidP="00147C8B">
            <w:pPr>
              <w:spacing w:before="0" w:after="0" w:line="240" w:lineRule="auto"/>
              <w:jc w:val="both"/>
              <w:rPr>
                <w:sz w:val="18"/>
                <w:szCs w:val="18"/>
              </w:rPr>
            </w:pPr>
            <w:r w:rsidRPr="009665F3">
              <w:rPr>
                <w:sz w:val="18"/>
                <w:szCs w:val="18"/>
              </w:rPr>
              <w:t xml:space="preserve"> ներքին աղբյուրներ </w:t>
            </w:r>
          </w:p>
        </w:tc>
        <w:tc>
          <w:tcPr>
            <w:tcW w:w="935" w:type="dxa"/>
            <w:vAlign w:val="center"/>
          </w:tcPr>
          <w:p w14:paraId="0DDAFF9C" w14:textId="77777777" w:rsidR="006B15F5" w:rsidRPr="009665F3" w:rsidRDefault="006B15F5" w:rsidP="00147C8B">
            <w:pPr>
              <w:spacing w:before="0" w:after="0" w:line="240" w:lineRule="auto"/>
              <w:jc w:val="center"/>
              <w:rPr>
                <w:sz w:val="18"/>
                <w:szCs w:val="18"/>
              </w:rPr>
            </w:pPr>
            <w:r>
              <w:rPr>
                <w:rFonts w:ascii="GHEA Grapalat" w:hAnsi="GHEA Grapalat"/>
                <w:color w:val="404040"/>
                <w:sz w:val="18"/>
                <w:szCs w:val="18"/>
              </w:rPr>
              <w:t>0</w:t>
            </w:r>
          </w:p>
        </w:tc>
        <w:tc>
          <w:tcPr>
            <w:tcW w:w="940" w:type="dxa"/>
            <w:vAlign w:val="center"/>
          </w:tcPr>
          <w:p w14:paraId="258CBD72" w14:textId="77777777" w:rsidR="006B15F5" w:rsidRPr="009665F3" w:rsidRDefault="006B15F5" w:rsidP="00147C8B">
            <w:pPr>
              <w:spacing w:before="0" w:after="0" w:line="240" w:lineRule="auto"/>
              <w:jc w:val="center"/>
              <w:rPr>
                <w:sz w:val="18"/>
                <w:szCs w:val="18"/>
              </w:rPr>
            </w:pPr>
            <w:r>
              <w:rPr>
                <w:rFonts w:ascii="GHEA Grapalat" w:hAnsi="GHEA Grapalat"/>
                <w:color w:val="404040"/>
                <w:sz w:val="18"/>
                <w:szCs w:val="18"/>
              </w:rPr>
              <w:t>0.4</w:t>
            </w:r>
          </w:p>
        </w:tc>
        <w:tc>
          <w:tcPr>
            <w:tcW w:w="940" w:type="dxa"/>
            <w:vAlign w:val="center"/>
          </w:tcPr>
          <w:p w14:paraId="234C739D" w14:textId="77777777" w:rsidR="006B15F5" w:rsidRPr="009665F3" w:rsidRDefault="006B15F5" w:rsidP="00147C8B">
            <w:pPr>
              <w:spacing w:before="0" w:after="0" w:line="240" w:lineRule="auto"/>
              <w:jc w:val="center"/>
              <w:rPr>
                <w:sz w:val="18"/>
                <w:szCs w:val="18"/>
              </w:rPr>
            </w:pPr>
            <w:r>
              <w:rPr>
                <w:rFonts w:ascii="GHEA Grapalat" w:hAnsi="GHEA Grapalat"/>
                <w:color w:val="404040"/>
                <w:sz w:val="18"/>
                <w:szCs w:val="18"/>
              </w:rPr>
              <w:t>0</w:t>
            </w:r>
          </w:p>
        </w:tc>
        <w:tc>
          <w:tcPr>
            <w:tcW w:w="940" w:type="dxa"/>
            <w:vAlign w:val="center"/>
          </w:tcPr>
          <w:p w14:paraId="46FC2686" w14:textId="77777777" w:rsidR="006B15F5" w:rsidRPr="009665F3" w:rsidRDefault="006B15F5" w:rsidP="00147C8B">
            <w:pPr>
              <w:spacing w:before="0" w:after="0" w:line="240" w:lineRule="auto"/>
              <w:jc w:val="center"/>
              <w:rPr>
                <w:sz w:val="18"/>
                <w:szCs w:val="18"/>
              </w:rPr>
            </w:pPr>
            <w:r>
              <w:rPr>
                <w:rFonts w:ascii="GHEA Grapalat" w:hAnsi="GHEA Grapalat"/>
                <w:color w:val="404040"/>
                <w:sz w:val="18"/>
                <w:szCs w:val="18"/>
              </w:rPr>
              <w:t>0</w:t>
            </w:r>
          </w:p>
        </w:tc>
        <w:tc>
          <w:tcPr>
            <w:tcW w:w="777" w:type="dxa"/>
            <w:tcBorders>
              <w:top w:val="nil"/>
              <w:left w:val="nil"/>
              <w:bottom w:val="single" w:sz="8" w:space="0" w:color="E1E1E3"/>
              <w:right w:val="single" w:sz="8" w:space="0" w:color="E1E1E3"/>
            </w:tcBorders>
            <w:shd w:val="clear" w:color="auto" w:fill="auto"/>
            <w:vAlign w:val="center"/>
          </w:tcPr>
          <w:p w14:paraId="525ED060" w14:textId="77777777" w:rsidR="006B15F5" w:rsidRDefault="006B15F5" w:rsidP="00147C8B">
            <w:pPr>
              <w:spacing w:before="0" w:after="0" w:line="240" w:lineRule="auto"/>
              <w:jc w:val="center"/>
              <w:rPr>
                <w:rFonts w:ascii="GHEA Grapalat" w:hAnsi="GHEA Grapalat" w:cs="Calibri"/>
                <w:color w:val="404040"/>
                <w:sz w:val="18"/>
                <w:szCs w:val="18"/>
              </w:rPr>
            </w:pPr>
            <w:r>
              <w:rPr>
                <w:rFonts w:ascii="GHEA Grapalat" w:hAnsi="GHEA Grapalat" w:cs="Calibri"/>
                <w:color w:val="404040"/>
                <w:sz w:val="18"/>
                <w:szCs w:val="18"/>
              </w:rPr>
              <w:t>0</w:t>
            </w:r>
          </w:p>
        </w:tc>
        <w:tc>
          <w:tcPr>
            <w:tcW w:w="777" w:type="dxa"/>
            <w:tcBorders>
              <w:top w:val="nil"/>
              <w:left w:val="nil"/>
              <w:bottom w:val="single" w:sz="8" w:space="0" w:color="E1E1E3"/>
              <w:right w:val="single" w:sz="8" w:space="0" w:color="E1E1E3"/>
            </w:tcBorders>
            <w:shd w:val="clear" w:color="auto" w:fill="auto"/>
            <w:vAlign w:val="center"/>
          </w:tcPr>
          <w:p w14:paraId="1A6CC9B8" w14:textId="77777777" w:rsidR="006B15F5" w:rsidRDefault="006B15F5" w:rsidP="00147C8B">
            <w:pPr>
              <w:spacing w:before="0" w:after="0" w:line="240" w:lineRule="auto"/>
              <w:jc w:val="center"/>
              <w:rPr>
                <w:rFonts w:ascii="GHEA Grapalat" w:hAnsi="GHEA Grapalat" w:cs="Calibri"/>
                <w:color w:val="404040"/>
                <w:sz w:val="18"/>
                <w:szCs w:val="18"/>
              </w:rPr>
            </w:pPr>
            <w:r>
              <w:rPr>
                <w:rFonts w:ascii="GHEA Grapalat" w:hAnsi="GHEA Grapalat" w:cs="Calibri"/>
                <w:color w:val="404040"/>
                <w:sz w:val="18"/>
                <w:szCs w:val="18"/>
              </w:rPr>
              <w:t>0</w:t>
            </w:r>
          </w:p>
        </w:tc>
        <w:tc>
          <w:tcPr>
            <w:tcW w:w="777" w:type="dxa"/>
            <w:tcBorders>
              <w:top w:val="nil"/>
              <w:left w:val="nil"/>
              <w:bottom w:val="single" w:sz="8" w:space="0" w:color="E1E1E3"/>
              <w:right w:val="nil"/>
            </w:tcBorders>
            <w:shd w:val="clear" w:color="auto" w:fill="auto"/>
            <w:vAlign w:val="center"/>
          </w:tcPr>
          <w:p w14:paraId="5A835F53" w14:textId="77777777" w:rsidR="006B15F5" w:rsidRDefault="006B15F5" w:rsidP="00147C8B">
            <w:pPr>
              <w:spacing w:before="0" w:after="0" w:line="240" w:lineRule="auto"/>
              <w:jc w:val="center"/>
              <w:rPr>
                <w:rFonts w:ascii="GHEA Grapalat" w:hAnsi="GHEA Grapalat" w:cs="Calibri"/>
                <w:color w:val="404040"/>
                <w:sz w:val="18"/>
                <w:szCs w:val="18"/>
              </w:rPr>
            </w:pPr>
            <w:r>
              <w:rPr>
                <w:rFonts w:ascii="GHEA Grapalat" w:hAnsi="GHEA Grapalat" w:cs="Calibri"/>
                <w:color w:val="404040"/>
                <w:sz w:val="18"/>
                <w:szCs w:val="18"/>
              </w:rPr>
              <w:t>0</w:t>
            </w:r>
          </w:p>
        </w:tc>
      </w:tr>
      <w:tr w:rsidR="006B15F5" w:rsidRPr="009665F3" w14:paraId="5639DA1C" w14:textId="77777777" w:rsidTr="00147C8B">
        <w:trPr>
          <w:trHeight w:val="288"/>
        </w:trPr>
        <w:tc>
          <w:tcPr>
            <w:tcW w:w="3481" w:type="dxa"/>
            <w:vAlign w:val="center"/>
            <w:hideMark/>
          </w:tcPr>
          <w:p w14:paraId="2524AB11" w14:textId="77777777" w:rsidR="006B15F5" w:rsidRPr="009665F3" w:rsidRDefault="006B15F5" w:rsidP="00147C8B">
            <w:pPr>
              <w:spacing w:before="0" w:after="0" w:line="240" w:lineRule="auto"/>
              <w:jc w:val="both"/>
              <w:rPr>
                <w:sz w:val="18"/>
                <w:szCs w:val="18"/>
              </w:rPr>
            </w:pPr>
            <w:r w:rsidRPr="009665F3">
              <w:rPr>
                <w:sz w:val="18"/>
                <w:szCs w:val="18"/>
              </w:rPr>
              <w:t xml:space="preserve">Շրջակա միջավայր և գյուղատնտեսություն </w:t>
            </w:r>
          </w:p>
        </w:tc>
        <w:tc>
          <w:tcPr>
            <w:tcW w:w="935" w:type="dxa"/>
            <w:vAlign w:val="center"/>
          </w:tcPr>
          <w:p w14:paraId="0AC36A58" w14:textId="77777777" w:rsidR="006B15F5" w:rsidRPr="009665F3" w:rsidRDefault="006B15F5" w:rsidP="00147C8B">
            <w:pPr>
              <w:spacing w:before="0" w:after="0" w:line="240" w:lineRule="auto"/>
              <w:jc w:val="center"/>
              <w:rPr>
                <w:sz w:val="18"/>
                <w:szCs w:val="18"/>
              </w:rPr>
            </w:pPr>
            <w:r>
              <w:rPr>
                <w:rFonts w:ascii="GHEA Grapalat" w:hAnsi="GHEA Grapalat"/>
                <w:color w:val="404040"/>
                <w:sz w:val="18"/>
                <w:szCs w:val="18"/>
              </w:rPr>
              <w:t>0.9</w:t>
            </w:r>
          </w:p>
        </w:tc>
        <w:tc>
          <w:tcPr>
            <w:tcW w:w="940" w:type="dxa"/>
            <w:vAlign w:val="center"/>
          </w:tcPr>
          <w:p w14:paraId="05D36A2B" w14:textId="77777777" w:rsidR="006B15F5" w:rsidRPr="009665F3" w:rsidRDefault="006B15F5" w:rsidP="00147C8B">
            <w:pPr>
              <w:spacing w:before="0" w:after="0" w:line="240" w:lineRule="auto"/>
              <w:jc w:val="center"/>
              <w:rPr>
                <w:sz w:val="18"/>
                <w:szCs w:val="18"/>
              </w:rPr>
            </w:pPr>
            <w:r>
              <w:rPr>
                <w:rFonts w:ascii="GHEA Grapalat" w:hAnsi="GHEA Grapalat"/>
                <w:color w:val="404040"/>
                <w:sz w:val="18"/>
                <w:szCs w:val="18"/>
              </w:rPr>
              <w:t>2.7</w:t>
            </w:r>
          </w:p>
        </w:tc>
        <w:tc>
          <w:tcPr>
            <w:tcW w:w="940" w:type="dxa"/>
            <w:vAlign w:val="center"/>
          </w:tcPr>
          <w:p w14:paraId="1A9CAFF1" w14:textId="77777777" w:rsidR="006B15F5" w:rsidRPr="009665F3" w:rsidRDefault="006B15F5" w:rsidP="00147C8B">
            <w:pPr>
              <w:spacing w:before="0" w:after="0" w:line="240" w:lineRule="auto"/>
              <w:jc w:val="center"/>
              <w:rPr>
                <w:sz w:val="18"/>
                <w:szCs w:val="18"/>
              </w:rPr>
            </w:pPr>
            <w:r>
              <w:rPr>
                <w:rFonts w:ascii="GHEA Grapalat" w:hAnsi="GHEA Grapalat"/>
                <w:color w:val="404040"/>
                <w:sz w:val="18"/>
                <w:szCs w:val="18"/>
              </w:rPr>
              <w:t>2.7</w:t>
            </w:r>
          </w:p>
        </w:tc>
        <w:tc>
          <w:tcPr>
            <w:tcW w:w="940" w:type="dxa"/>
            <w:vAlign w:val="center"/>
          </w:tcPr>
          <w:p w14:paraId="08166C7F" w14:textId="77777777" w:rsidR="006B15F5" w:rsidRPr="009665F3" w:rsidRDefault="006B15F5" w:rsidP="00147C8B">
            <w:pPr>
              <w:spacing w:before="0" w:after="0" w:line="240" w:lineRule="auto"/>
              <w:jc w:val="center"/>
              <w:rPr>
                <w:sz w:val="18"/>
                <w:szCs w:val="18"/>
              </w:rPr>
            </w:pPr>
            <w:r>
              <w:rPr>
                <w:rFonts w:ascii="GHEA Grapalat" w:hAnsi="GHEA Grapalat"/>
                <w:color w:val="404040"/>
                <w:sz w:val="18"/>
                <w:szCs w:val="18"/>
              </w:rPr>
              <w:t>1.7</w:t>
            </w:r>
          </w:p>
        </w:tc>
        <w:tc>
          <w:tcPr>
            <w:tcW w:w="777" w:type="dxa"/>
            <w:tcBorders>
              <w:top w:val="nil"/>
              <w:left w:val="nil"/>
              <w:bottom w:val="single" w:sz="8" w:space="0" w:color="E1E1E3"/>
              <w:right w:val="single" w:sz="8" w:space="0" w:color="E1E1E3"/>
            </w:tcBorders>
            <w:shd w:val="clear" w:color="auto" w:fill="auto"/>
            <w:vAlign w:val="center"/>
          </w:tcPr>
          <w:p w14:paraId="5F4D0399" w14:textId="77777777" w:rsidR="006B15F5" w:rsidRDefault="006B15F5" w:rsidP="00147C8B">
            <w:pPr>
              <w:spacing w:before="0" w:after="0" w:line="240" w:lineRule="auto"/>
              <w:jc w:val="center"/>
              <w:rPr>
                <w:rFonts w:ascii="GHEA Grapalat" w:hAnsi="GHEA Grapalat" w:cs="Calibri"/>
                <w:color w:val="404040"/>
                <w:sz w:val="18"/>
                <w:szCs w:val="18"/>
              </w:rPr>
            </w:pPr>
            <w:r>
              <w:rPr>
                <w:rFonts w:ascii="GHEA Grapalat" w:hAnsi="GHEA Grapalat" w:cs="Calibri"/>
                <w:color w:val="404040"/>
                <w:sz w:val="18"/>
                <w:szCs w:val="18"/>
              </w:rPr>
              <w:t>1.2</w:t>
            </w:r>
          </w:p>
        </w:tc>
        <w:tc>
          <w:tcPr>
            <w:tcW w:w="777" w:type="dxa"/>
            <w:tcBorders>
              <w:top w:val="nil"/>
              <w:left w:val="nil"/>
              <w:bottom w:val="single" w:sz="8" w:space="0" w:color="E1E1E3"/>
              <w:right w:val="single" w:sz="8" w:space="0" w:color="E1E1E3"/>
            </w:tcBorders>
            <w:shd w:val="clear" w:color="auto" w:fill="auto"/>
            <w:vAlign w:val="center"/>
          </w:tcPr>
          <w:p w14:paraId="288FFF04" w14:textId="77777777" w:rsidR="006B15F5" w:rsidRDefault="006B15F5" w:rsidP="00147C8B">
            <w:pPr>
              <w:spacing w:before="0" w:after="0" w:line="240" w:lineRule="auto"/>
              <w:jc w:val="center"/>
              <w:rPr>
                <w:rFonts w:ascii="GHEA Grapalat" w:hAnsi="GHEA Grapalat" w:cs="Calibri"/>
                <w:color w:val="404040"/>
                <w:sz w:val="18"/>
                <w:szCs w:val="18"/>
              </w:rPr>
            </w:pPr>
            <w:r>
              <w:rPr>
                <w:rFonts w:ascii="GHEA Grapalat" w:hAnsi="GHEA Grapalat" w:cs="Calibri"/>
                <w:color w:val="404040"/>
                <w:sz w:val="18"/>
                <w:szCs w:val="18"/>
              </w:rPr>
              <w:t>2.6</w:t>
            </w:r>
          </w:p>
        </w:tc>
        <w:tc>
          <w:tcPr>
            <w:tcW w:w="777" w:type="dxa"/>
            <w:tcBorders>
              <w:top w:val="nil"/>
              <w:left w:val="nil"/>
              <w:bottom w:val="single" w:sz="8" w:space="0" w:color="E1E1E3"/>
              <w:right w:val="single" w:sz="8" w:space="0" w:color="E1E1E3"/>
            </w:tcBorders>
            <w:shd w:val="clear" w:color="auto" w:fill="auto"/>
            <w:vAlign w:val="center"/>
          </w:tcPr>
          <w:p w14:paraId="37370EA6" w14:textId="77777777" w:rsidR="006B15F5" w:rsidRDefault="006B15F5" w:rsidP="00147C8B">
            <w:pPr>
              <w:spacing w:before="0" w:after="0" w:line="240" w:lineRule="auto"/>
              <w:jc w:val="center"/>
              <w:rPr>
                <w:rFonts w:ascii="GHEA Grapalat" w:hAnsi="GHEA Grapalat" w:cs="Calibri"/>
                <w:color w:val="404040"/>
                <w:sz w:val="18"/>
                <w:szCs w:val="18"/>
              </w:rPr>
            </w:pPr>
            <w:r>
              <w:rPr>
                <w:rFonts w:ascii="GHEA Grapalat" w:hAnsi="GHEA Grapalat" w:cs="Calibri"/>
                <w:color w:val="404040"/>
                <w:sz w:val="18"/>
                <w:szCs w:val="18"/>
              </w:rPr>
              <w:t>13.8</w:t>
            </w:r>
          </w:p>
        </w:tc>
      </w:tr>
      <w:tr w:rsidR="006B15F5" w:rsidRPr="009665F3" w14:paraId="077729FA" w14:textId="77777777" w:rsidTr="00147C8B">
        <w:trPr>
          <w:trHeight w:val="288"/>
        </w:trPr>
        <w:tc>
          <w:tcPr>
            <w:tcW w:w="3481" w:type="dxa"/>
            <w:vAlign w:val="center"/>
            <w:hideMark/>
          </w:tcPr>
          <w:p w14:paraId="04713BEB" w14:textId="77777777" w:rsidR="006B15F5" w:rsidRPr="009665F3" w:rsidRDefault="006B15F5" w:rsidP="00147C8B">
            <w:pPr>
              <w:spacing w:before="0" w:after="0" w:line="240" w:lineRule="auto"/>
              <w:jc w:val="both"/>
              <w:rPr>
                <w:sz w:val="18"/>
                <w:szCs w:val="18"/>
              </w:rPr>
            </w:pPr>
            <w:r>
              <w:rPr>
                <w:sz w:val="18"/>
                <w:szCs w:val="18"/>
              </w:rPr>
              <w:t xml:space="preserve"> </w:t>
            </w:r>
            <w:r w:rsidRPr="009665F3">
              <w:rPr>
                <w:sz w:val="18"/>
                <w:szCs w:val="18"/>
              </w:rPr>
              <w:t xml:space="preserve">արտաքին աղբյուրներ </w:t>
            </w:r>
          </w:p>
        </w:tc>
        <w:tc>
          <w:tcPr>
            <w:tcW w:w="935" w:type="dxa"/>
            <w:vAlign w:val="center"/>
          </w:tcPr>
          <w:p w14:paraId="07144E63" w14:textId="77777777" w:rsidR="006B15F5" w:rsidRPr="009665F3" w:rsidRDefault="006B15F5" w:rsidP="00147C8B">
            <w:pPr>
              <w:spacing w:before="0" w:after="0" w:line="240" w:lineRule="auto"/>
              <w:jc w:val="center"/>
              <w:rPr>
                <w:sz w:val="18"/>
                <w:szCs w:val="18"/>
              </w:rPr>
            </w:pPr>
            <w:r>
              <w:rPr>
                <w:rFonts w:ascii="GHEA Grapalat" w:hAnsi="GHEA Grapalat"/>
                <w:color w:val="404040"/>
                <w:sz w:val="18"/>
                <w:szCs w:val="18"/>
              </w:rPr>
              <w:t>0.3</w:t>
            </w:r>
          </w:p>
        </w:tc>
        <w:tc>
          <w:tcPr>
            <w:tcW w:w="940" w:type="dxa"/>
            <w:vAlign w:val="center"/>
          </w:tcPr>
          <w:p w14:paraId="310FDF4B" w14:textId="77777777" w:rsidR="006B15F5" w:rsidRPr="009665F3" w:rsidRDefault="006B15F5" w:rsidP="00147C8B">
            <w:pPr>
              <w:spacing w:before="0" w:after="0" w:line="240" w:lineRule="auto"/>
              <w:jc w:val="center"/>
              <w:rPr>
                <w:sz w:val="18"/>
                <w:szCs w:val="18"/>
              </w:rPr>
            </w:pPr>
            <w:r>
              <w:rPr>
                <w:rFonts w:ascii="GHEA Grapalat" w:hAnsi="GHEA Grapalat"/>
                <w:color w:val="404040"/>
                <w:sz w:val="18"/>
                <w:szCs w:val="18"/>
              </w:rPr>
              <w:t>0.5</w:t>
            </w:r>
          </w:p>
        </w:tc>
        <w:tc>
          <w:tcPr>
            <w:tcW w:w="940" w:type="dxa"/>
            <w:vAlign w:val="center"/>
          </w:tcPr>
          <w:p w14:paraId="48F603FB" w14:textId="77777777" w:rsidR="006B15F5" w:rsidRPr="009665F3" w:rsidRDefault="006B15F5" w:rsidP="00147C8B">
            <w:pPr>
              <w:spacing w:before="0" w:after="0" w:line="240" w:lineRule="auto"/>
              <w:jc w:val="center"/>
              <w:rPr>
                <w:sz w:val="18"/>
                <w:szCs w:val="18"/>
              </w:rPr>
            </w:pPr>
            <w:r>
              <w:rPr>
                <w:rFonts w:ascii="GHEA Grapalat" w:hAnsi="GHEA Grapalat"/>
                <w:color w:val="404040"/>
                <w:sz w:val="18"/>
                <w:szCs w:val="18"/>
              </w:rPr>
              <w:t>1.7</w:t>
            </w:r>
          </w:p>
        </w:tc>
        <w:tc>
          <w:tcPr>
            <w:tcW w:w="940" w:type="dxa"/>
            <w:vAlign w:val="center"/>
          </w:tcPr>
          <w:p w14:paraId="210395D1" w14:textId="77777777" w:rsidR="006B15F5" w:rsidRPr="009665F3" w:rsidRDefault="006B15F5" w:rsidP="00147C8B">
            <w:pPr>
              <w:spacing w:before="0" w:after="0" w:line="240" w:lineRule="auto"/>
              <w:jc w:val="center"/>
              <w:rPr>
                <w:sz w:val="18"/>
                <w:szCs w:val="18"/>
              </w:rPr>
            </w:pPr>
            <w:r>
              <w:rPr>
                <w:rFonts w:ascii="GHEA Grapalat" w:hAnsi="GHEA Grapalat"/>
                <w:color w:val="404040"/>
                <w:sz w:val="18"/>
                <w:szCs w:val="18"/>
              </w:rPr>
              <w:t>0</w:t>
            </w:r>
          </w:p>
        </w:tc>
        <w:tc>
          <w:tcPr>
            <w:tcW w:w="777" w:type="dxa"/>
            <w:tcBorders>
              <w:top w:val="nil"/>
              <w:left w:val="nil"/>
              <w:bottom w:val="single" w:sz="8" w:space="0" w:color="E1E1E3"/>
              <w:right w:val="single" w:sz="8" w:space="0" w:color="E1E1E3"/>
            </w:tcBorders>
            <w:shd w:val="clear" w:color="auto" w:fill="auto"/>
            <w:vAlign w:val="center"/>
          </w:tcPr>
          <w:p w14:paraId="21974067" w14:textId="77777777" w:rsidR="006B15F5" w:rsidRDefault="006B15F5" w:rsidP="00147C8B">
            <w:pPr>
              <w:spacing w:before="0" w:after="0" w:line="240" w:lineRule="auto"/>
              <w:jc w:val="center"/>
              <w:rPr>
                <w:rFonts w:ascii="GHEA Grapalat" w:hAnsi="GHEA Grapalat" w:cs="Calibri"/>
                <w:color w:val="404040"/>
                <w:sz w:val="18"/>
                <w:szCs w:val="18"/>
              </w:rPr>
            </w:pPr>
            <w:r>
              <w:rPr>
                <w:rFonts w:ascii="GHEA Grapalat" w:hAnsi="GHEA Grapalat" w:cs="Calibri"/>
                <w:color w:val="404040"/>
                <w:sz w:val="18"/>
                <w:szCs w:val="18"/>
              </w:rPr>
              <w:t>0.3</w:t>
            </w:r>
          </w:p>
        </w:tc>
        <w:tc>
          <w:tcPr>
            <w:tcW w:w="777" w:type="dxa"/>
            <w:tcBorders>
              <w:top w:val="nil"/>
              <w:left w:val="nil"/>
              <w:bottom w:val="single" w:sz="8" w:space="0" w:color="E1E1E3"/>
              <w:right w:val="single" w:sz="8" w:space="0" w:color="E1E1E3"/>
            </w:tcBorders>
            <w:shd w:val="clear" w:color="auto" w:fill="auto"/>
            <w:vAlign w:val="center"/>
          </w:tcPr>
          <w:p w14:paraId="428E8237" w14:textId="77777777" w:rsidR="006B15F5" w:rsidRDefault="006B15F5" w:rsidP="00147C8B">
            <w:pPr>
              <w:spacing w:before="0" w:after="0" w:line="240" w:lineRule="auto"/>
              <w:jc w:val="center"/>
              <w:rPr>
                <w:rFonts w:ascii="GHEA Grapalat" w:hAnsi="GHEA Grapalat" w:cs="Calibri"/>
                <w:color w:val="404040"/>
                <w:sz w:val="18"/>
                <w:szCs w:val="18"/>
              </w:rPr>
            </w:pPr>
            <w:r>
              <w:rPr>
                <w:rFonts w:ascii="GHEA Grapalat" w:hAnsi="GHEA Grapalat" w:cs="Calibri"/>
                <w:color w:val="404040"/>
                <w:sz w:val="18"/>
                <w:szCs w:val="18"/>
              </w:rPr>
              <w:t>2.0</w:t>
            </w:r>
          </w:p>
        </w:tc>
        <w:tc>
          <w:tcPr>
            <w:tcW w:w="777" w:type="dxa"/>
            <w:tcBorders>
              <w:top w:val="nil"/>
              <w:left w:val="nil"/>
              <w:bottom w:val="single" w:sz="8" w:space="0" w:color="E1E1E3"/>
              <w:right w:val="single" w:sz="8" w:space="0" w:color="E1E1E3"/>
            </w:tcBorders>
            <w:shd w:val="clear" w:color="auto" w:fill="auto"/>
            <w:vAlign w:val="center"/>
          </w:tcPr>
          <w:p w14:paraId="702646CD" w14:textId="77777777" w:rsidR="006B15F5" w:rsidRDefault="006B15F5" w:rsidP="00147C8B">
            <w:pPr>
              <w:spacing w:before="0" w:after="0" w:line="240" w:lineRule="auto"/>
              <w:jc w:val="center"/>
              <w:rPr>
                <w:rFonts w:ascii="GHEA Grapalat" w:hAnsi="GHEA Grapalat" w:cs="Calibri"/>
                <w:color w:val="404040"/>
                <w:sz w:val="18"/>
                <w:szCs w:val="18"/>
              </w:rPr>
            </w:pPr>
            <w:r>
              <w:rPr>
                <w:rFonts w:ascii="GHEA Grapalat" w:hAnsi="GHEA Grapalat" w:cs="Calibri"/>
                <w:color w:val="404040"/>
                <w:sz w:val="18"/>
                <w:szCs w:val="18"/>
              </w:rPr>
              <w:t>13.2</w:t>
            </w:r>
          </w:p>
        </w:tc>
      </w:tr>
      <w:tr w:rsidR="006B15F5" w:rsidRPr="009665F3" w14:paraId="37FA7772" w14:textId="77777777" w:rsidTr="00147C8B">
        <w:trPr>
          <w:trHeight w:val="288"/>
        </w:trPr>
        <w:tc>
          <w:tcPr>
            <w:tcW w:w="3481" w:type="dxa"/>
            <w:vAlign w:val="center"/>
            <w:hideMark/>
          </w:tcPr>
          <w:p w14:paraId="019206E9" w14:textId="77777777" w:rsidR="006B15F5" w:rsidRPr="009665F3" w:rsidRDefault="006B15F5" w:rsidP="00147C8B">
            <w:pPr>
              <w:spacing w:before="0" w:after="0" w:line="240" w:lineRule="auto"/>
              <w:jc w:val="both"/>
              <w:rPr>
                <w:sz w:val="18"/>
                <w:szCs w:val="18"/>
              </w:rPr>
            </w:pPr>
            <w:r w:rsidRPr="009665F3">
              <w:rPr>
                <w:sz w:val="18"/>
                <w:szCs w:val="18"/>
              </w:rPr>
              <w:t xml:space="preserve"> ներքին աղբյուրներ </w:t>
            </w:r>
          </w:p>
        </w:tc>
        <w:tc>
          <w:tcPr>
            <w:tcW w:w="935" w:type="dxa"/>
            <w:vAlign w:val="center"/>
          </w:tcPr>
          <w:p w14:paraId="5A1FB6C4" w14:textId="77777777" w:rsidR="006B15F5" w:rsidRPr="009665F3" w:rsidRDefault="006B15F5" w:rsidP="00147C8B">
            <w:pPr>
              <w:spacing w:before="0" w:after="0" w:line="240" w:lineRule="auto"/>
              <w:jc w:val="center"/>
              <w:rPr>
                <w:sz w:val="18"/>
                <w:szCs w:val="18"/>
              </w:rPr>
            </w:pPr>
            <w:r>
              <w:rPr>
                <w:rFonts w:ascii="GHEA Grapalat" w:hAnsi="GHEA Grapalat"/>
                <w:color w:val="404040"/>
                <w:sz w:val="18"/>
                <w:szCs w:val="18"/>
              </w:rPr>
              <w:t>0.6</w:t>
            </w:r>
          </w:p>
        </w:tc>
        <w:tc>
          <w:tcPr>
            <w:tcW w:w="940" w:type="dxa"/>
            <w:vAlign w:val="center"/>
          </w:tcPr>
          <w:p w14:paraId="0DB357CC" w14:textId="77777777" w:rsidR="006B15F5" w:rsidRPr="009665F3" w:rsidRDefault="006B15F5" w:rsidP="00147C8B">
            <w:pPr>
              <w:spacing w:before="0" w:after="0" w:line="240" w:lineRule="auto"/>
              <w:jc w:val="center"/>
              <w:rPr>
                <w:sz w:val="18"/>
                <w:szCs w:val="18"/>
              </w:rPr>
            </w:pPr>
            <w:r>
              <w:rPr>
                <w:rFonts w:ascii="GHEA Grapalat" w:hAnsi="GHEA Grapalat"/>
                <w:color w:val="404040"/>
                <w:sz w:val="18"/>
                <w:szCs w:val="18"/>
              </w:rPr>
              <w:t>2.2</w:t>
            </w:r>
          </w:p>
        </w:tc>
        <w:tc>
          <w:tcPr>
            <w:tcW w:w="940" w:type="dxa"/>
            <w:vAlign w:val="center"/>
          </w:tcPr>
          <w:p w14:paraId="343BDCD7" w14:textId="77777777" w:rsidR="006B15F5" w:rsidRPr="009665F3" w:rsidRDefault="006B15F5" w:rsidP="00147C8B">
            <w:pPr>
              <w:spacing w:before="0" w:after="0" w:line="240" w:lineRule="auto"/>
              <w:jc w:val="center"/>
              <w:rPr>
                <w:sz w:val="18"/>
                <w:szCs w:val="18"/>
              </w:rPr>
            </w:pPr>
            <w:r>
              <w:rPr>
                <w:rFonts w:ascii="GHEA Grapalat" w:hAnsi="GHEA Grapalat"/>
                <w:color w:val="404040"/>
                <w:sz w:val="18"/>
                <w:szCs w:val="18"/>
              </w:rPr>
              <w:t>1</w:t>
            </w:r>
          </w:p>
        </w:tc>
        <w:tc>
          <w:tcPr>
            <w:tcW w:w="940" w:type="dxa"/>
            <w:vAlign w:val="center"/>
          </w:tcPr>
          <w:p w14:paraId="7793F2A1" w14:textId="77777777" w:rsidR="006B15F5" w:rsidRPr="009665F3" w:rsidRDefault="006B15F5" w:rsidP="00147C8B">
            <w:pPr>
              <w:spacing w:before="0" w:after="0" w:line="240" w:lineRule="auto"/>
              <w:jc w:val="center"/>
              <w:rPr>
                <w:sz w:val="18"/>
                <w:szCs w:val="18"/>
              </w:rPr>
            </w:pPr>
            <w:r>
              <w:rPr>
                <w:rFonts w:ascii="GHEA Grapalat" w:hAnsi="GHEA Grapalat"/>
                <w:color w:val="404040"/>
                <w:sz w:val="18"/>
                <w:szCs w:val="18"/>
              </w:rPr>
              <w:t>1.7</w:t>
            </w:r>
          </w:p>
        </w:tc>
        <w:tc>
          <w:tcPr>
            <w:tcW w:w="777" w:type="dxa"/>
            <w:tcBorders>
              <w:top w:val="nil"/>
              <w:left w:val="nil"/>
              <w:bottom w:val="single" w:sz="8" w:space="0" w:color="E1E1E3"/>
              <w:right w:val="single" w:sz="8" w:space="0" w:color="E1E1E3"/>
            </w:tcBorders>
            <w:shd w:val="clear" w:color="auto" w:fill="auto"/>
            <w:vAlign w:val="center"/>
          </w:tcPr>
          <w:p w14:paraId="01CFF21E" w14:textId="77777777" w:rsidR="006B15F5" w:rsidRDefault="006B15F5" w:rsidP="00147C8B">
            <w:pPr>
              <w:spacing w:before="0" w:after="0" w:line="240" w:lineRule="auto"/>
              <w:jc w:val="center"/>
              <w:rPr>
                <w:rFonts w:ascii="GHEA Grapalat" w:hAnsi="GHEA Grapalat" w:cs="Calibri"/>
                <w:color w:val="404040"/>
                <w:sz w:val="18"/>
                <w:szCs w:val="18"/>
              </w:rPr>
            </w:pPr>
            <w:r>
              <w:rPr>
                <w:rFonts w:ascii="GHEA Grapalat" w:hAnsi="GHEA Grapalat" w:cs="Calibri"/>
                <w:color w:val="404040"/>
                <w:sz w:val="18"/>
                <w:szCs w:val="18"/>
              </w:rPr>
              <w:t>0.8</w:t>
            </w:r>
          </w:p>
        </w:tc>
        <w:tc>
          <w:tcPr>
            <w:tcW w:w="777" w:type="dxa"/>
            <w:tcBorders>
              <w:top w:val="nil"/>
              <w:left w:val="nil"/>
              <w:bottom w:val="single" w:sz="8" w:space="0" w:color="E1E1E3"/>
              <w:right w:val="single" w:sz="8" w:space="0" w:color="E1E1E3"/>
            </w:tcBorders>
            <w:shd w:val="clear" w:color="auto" w:fill="auto"/>
            <w:vAlign w:val="center"/>
          </w:tcPr>
          <w:p w14:paraId="21882478" w14:textId="77777777" w:rsidR="006B15F5" w:rsidRDefault="006B15F5" w:rsidP="00147C8B">
            <w:pPr>
              <w:spacing w:before="0" w:after="0" w:line="240" w:lineRule="auto"/>
              <w:jc w:val="center"/>
              <w:rPr>
                <w:rFonts w:ascii="GHEA Grapalat" w:hAnsi="GHEA Grapalat" w:cs="Calibri"/>
                <w:color w:val="404040"/>
                <w:sz w:val="18"/>
                <w:szCs w:val="18"/>
              </w:rPr>
            </w:pPr>
            <w:r>
              <w:rPr>
                <w:rFonts w:ascii="GHEA Grapalat" w:hAnsi="GHEA Grapalat" w:cs="Calibri"/>
                <w:color w:val="404040"/>
                <w:sz w:val="18"/>
                <w:szCs w:val="18"/>
              </w:rPr>
              <w:t>0.5</w:t>
            </w:r>
          </w:p>
        </w:tc>
        <w:tc>
          <w:tcPr>
            <w:tcW w:w="777" w:type="dxa"/>
            <w:tcBorders>
              <w:top w:val="nil"/>
              <w:left w:val="nil"/>
              <w:bottom w:val="single" w:sz="8" w:space="0" w:color="E1E1E3"/>
              <w:right w:val="single" w:sz="8" w:space="0" w:color="E1E1E3"/>
            </w:tcBorders>
            <w:shd w:val="clear" w:color="auto" w:fill="auto"/>
            <w:vAlign w:val="center"/>
          </w:tcPr>
          <w:p w14:paraId="7EEBD294" w14:textId="77777777" w:rsidR="006B15F5" w:rsidRDefault="006B15F5" w:rsidP="00147C8B">
            <w:pPr>
              <w:spacing w:before="0" w:after="0" w:line="240" w:lineRule="auto"/>
              <w:jc w:val="center"/>
              <w:rPr>
                <w:rFonts w:ascii="GHEA Grapalat" w:hAnsi="GHEA Grapalat" w:cs="Calibri"/>
                <w:color w:val="404040"/>
                <w:sz w:val="18"/>
                <w:szCs w:val="18"/>
              </w:rPr>
            </w:pPr>
            <w:r>
              <w:rPr>
                <w:rFonts w:ascii="GHEA Grapalat" w:hAnsi="GHEA Grapalat" w:cs="Calibri"/>
                <w:color w:val="404040"/>
                <w:sz w:val="18"/>
                <w:szCs w:val="18"/>
              </w:rPr>
              <w:t>0.5</w:t>
            </w:r>
          </w:p>
        </w:tc>
      </w:tr>
      <w:tr w:rsidR="006B15F5" w:rsidRPr="009665F3" w14:paraId="194B9172" w14:textId="77777777" w:rsidTr="00147C8B">
        <w:trPr>
          <w:trHeight w:val="288"/>
        </w:trPr>
        <w:tc>
          <w:tcPr>
            <w:tcW w:w="3481" w:type="dxa"/>
            <w:vAlign w:val="center"/>
            <w:hideMark/>
          </w:tcPr>
          <w:p w14:paraId="1EC517AC" w14:textId="77777777" w:rsidR="006B15F5" w:rsidRPr="009665F3" w:rsidRDefault="006B15F5" w:rsidP="00147C8B">
            <w:pPr>
              <w:spacing w:before="0" w:after="0" w:line="240" w:lineRule="auto"/>
              <w:jc w:val="both"/>
              <w:rPr>
                <w:sz w:val="18"/>
                <w:szCs w:val="18"/>
              </w:rPr>
            </w:pPr>
            <w:r w:rsidRPr="009665F3">
              <w:rPr>
                <w:sz w:val="18"/>
                <w:szCs w:val="18"/>
              </w:rPr>
              <w:t xml:space="preserve"> Ջրային տնտեսություն </w:t>
            </w:r>
          </w:p>
        </w:tc>
        <w:tc>
          <w:tcPr>
            <w:tcW w:w="935" w:type="dxa"/>
            <w:vAlign w:val="center"/>
          </w:tcPr>
          <w:p w14:paraId="0A29F15D" w14:textId="77777777" w:rsidR="006B15F5" w:rsidRPr="009665F3" w:rsidRDefault="006B15F5" w:rsidP="00147C8B">
            <w:pPr>
              <w:spacing w:before="0" w:after="0" w:line="240" w:lineRule="auto"/>
              <w:jc w:val="center"/>
              <w:rPr>
                <w:sz w:val="18"/>
                <w:szCs w:val="18"/>
              </w:rPr>
            </w:pPr>
            <w:r>
              <w:rPr>
                <w:rFonts w:ascii="GHEA Grapalat" w:hAnsi="GHEA Grapalat"/>
                <w:color w:val="404040"/>
                <w:sz w:val="18"/>
                <w:szCs w:val="18"/>
              </w:rPr>
              <w:t>19.5</w:t>
            </w:r>
          </w:p>
        </w:tc>
        <w:tc>
          <w:tcPr>
            <w:tcW w:w="940" w:type="dxa"/>
            <w:vAlign w:val="center"/>
          </w:tcPr>
          <w:p w14:paraId="061D2207" w14:textId="77777777" w:rsidR="006B15F5" w:rsidRPr="009665F3" w:rsidRDefault="006B15F5" w:rsidP="00147C8B">
            <w:pPr>
              <w:spacing w:before="0" w:after="0" w:line="240" w:lineRule="auto"/>
              <w:jc w:val="center"/>
              <w:rPr>
                <w:sz w:val="18"/>
                <w:szCs w:val="18"/>
              </w:rPr>
            </w:pPr>
            <w:r>
              <w:rPr>
                <w:rFonts w:ascii="GHEA Grapalat" w:hAnsi="GHEA Grapalat"/>
                <w:color w:val="404040"/>
                <w:sz w:val="18"/>
                <w:szCs w:val="18"/>
              </w:rPr>
              <w:t>17.8</w:t>
            </w:r>
          </w:p>
        </w:tc>
        <w:tc>
          <w:tcPr>
            <w:tcW w:w="940" w:type="dxa"/>
            <w:vAlign w:val="center"/>
          </w:tcPr>
          <w:p w14:paraId="26AF2496" w14:textId="77777777" w:rsidR="006B15F5" w:rsidRPr="009665F3" w:rsidRDefault="006B15F5" w:rsidP="00147C8B">
            <w:pPr>
              <w:spacing w:before="0" w:after="0" w:line="240" w:lineRule="auto"/>
              <w:jc w:val="center"/>
              <w:rPr>
                <w:sz w:val="18"/>
                <w:szCs w:val="18"/>
              </w:rPr>
            </w:pPr>
            <w:r>
              <w:rPr>
                <w:rFonts w:ascii="GHEA Grapalat" w:hAnsi="GHEA Grapalat"/>
                <w:color w:val="404040"/>
                <w:sz w:val="18"/>
                <w:szCs w:val="18"/>
              </w:rPr>
              <w:t>16.1</w:t>
            </w:r>
          </w:p>
        </w:tc>
        <w:tc>
          <w:tcPr>
            <w:tcW w:w="940" w:type="dxa"/>
            <w:vAlign w:val="center"/>
          </w:tcPr>
          <w:p w14:paraId="281B5141" w14:textId="77777777" w:rsidR="006B15F5" w:rsidRPr="009665F3" w:rsidRDefault="006B15F5" w:rsidP="00147C8B">
            <w:pPr>
              <w:spacing w:before="0" w:after="0" w:line="240" w:lineRule="auto"/>
              <w:jc w:val="center"/>
              <w:rPr>
                <w:sz w:val="18"/>
                <w:szCs w:val="18"/>
              </w:rPr>
            </w:pPr>
            <w:r>
              <w:rPr>
                <w:rFonts w:ascii="GHEA Grapalat" w:hAnsi="GHEA Grapalat"/>
                <w:color w:val="404040"/>
                <w:sz w:val="18"/>
                <w:szCs w:val="18"/>
              </w:rPr>
              <w:t>30.4</w:t>
            </w:r>
          </w:p>
        </w:tc>
        <w:tc>
          <w:tcPr>
            <w:tcW w:w="777" w:type="dxa"/>
            <w:tcBorders>
              <w:top w:val="nil"/>
              <w:left w:val="nil"/>
              <w:bottom w:val="single" w:sz="8" w:space="0" w:color="E1E1E3"/>
              <w:right w:val="single" w:sz="8" w:space="0" w:color="E1E1E3"/>
            </w:tcBorders>
            <w:shd w:val="clear" w:color="auto" w:fill="auto"/>
            <w:vAlign w:val="center"/>
          </w:tcPr>
          <w:p w14:paraId="3B08FE62" w14:textId="77777777" w:rsidR="006B15F5" w:rsidRDefault="006B15F5" w:rsidP="00147C8B">
            <w:pPr>
              <w:spacing w:before="0" w:after="0" w:line="240" w:lineRule="auto"/>
              <w:jc w:val="center"/>
              <w:rPr>
                <w:rFonts w:ascii="GHEA Grapalat" w:hAnsi="GHEA Grapalat" w:cs="Calibri"/>
                <w:color w:val="404040"/>
                <w:sz w:val="18"/>
                <w:szCs w:val="18"/>
              </w:rPr>
            </w:pPr>
            <w:r>
              <w:rPr>
                <w:rFonts w:ascii="GHEA Grapalat" w:hAnsi="GHEA Grapalat" w:cs="Calibri"/>
                <w:color w:val="404040"/>
                <w:sz w:val="18"/>
                <w:szCs w:val="18"/>
              </w:rPr>
              <w:t>22.6</w:t>
            </w:r>
          </w:p>
        </w:tc>
        <w:tc>
          <w:tcPr>
            <w:tcW w:w="777" w:type="dxa"/>
            <w:tcBorders>
              <w:top w:val="nil"/>
              <w:left w:val="nil"/>
              <w:bottom w:val="single" w:sz="8" w:space="0" w:color="E1E1E3"/>
              <w:right w:val="single" w:sz="8" w:space="0" w:color="E1E1E3"/>
            </w:tcBorders>
            <w:shd w:val="clear" w:color="auto" w:fill="auto"/>
            <w:vAlign w:val="center"/>
          </w:tcPr>
          <w:p w14:paraId="6313D249" w14:textId="77777777" w:rsidR="006B15F5" w:rsidRDefault="006B15F5" w:rsidP="00147C8B">
            <w:pPr>
              <w:spacing w:before="0" w:after="0" w:line="240" w:lineRule="auto"/>
              <w:jc w:val="center"/>
              <w:rPr>
                <w:rFonts w:ascii="GHEA Grapalat" w:hAnsi="GHEA Grapalat" w:cs="Calibri"/>
                <w:color w:val="404040"/>
                <w:sz w:val="18"/>
                <w:szCs w:val="18"/>
              </w:rPr>
            </w:pPr>
            <w:r>
              <w:rPr>
                <w:rFonts w:ascii="GHEA Grapalat" w:hAnsi="GHEA Grapalat" w:cs="Calibri"/>
                <w:color w:val="404040"/>
                <w:sz w:val="18"/>
                <w:szCs w:val="18"/>
              </w:rPr>
              <w:t>24.0</w:t>
            </w:r>
          </w:p>
        </w:tc>
        <w:tc>
          <w:tcPr>
            <w:tcW w:w="777" w:type="dxa"/>
            <w:tcBorders>
              <w:top w:val="nil"/>
              <w:left w:val="nil"/>
              <w:bottom w:val="single" w:sz="8" w:space="0" w:color="E1E1E3"/>
              <w:right w:val="single" w:sz="8" w:space="0" w:color="E1E1E3"/>
            </w:tcBorders>
            <w:shd w:val="clear" w:color="auto" w:fill="auto"/>
            <w:vAlign w:val="center"/>
          </w:tcPr>
          <w:p w14:paraId="0A772ED0" w14:textId="77777777" w:rsidR="006B15F5" w:rsidRDefault="006B15F5" w:rsidP="00147C8B">
            <w:pPr>
              <w:spacing w:before="0" w:after="0" w:line="240" w:lineRule="auto"/>
              <w:jc w:val="center"/>
              <w:rPr>
                <w:rFonts w:ascii="GHEA Grapalat" w:hAnsi="GHEA Grapalat" w:cs="Calibri"/>
                <w:color w:val="404040"/>
                <w:sz w:val="18"/>
                <w:szCs w:val="18"/>
              </w:rPr>
            </w:pPr>
            <w:r>
              <w:rPr>
                <w:rFonts w:ascii="GHEA Grapalat" w:hAnsi="GHEA Grapalat" w:cs="Calibri"/>
                <w:color w:val="404040"/>
                <w:sz w:val="18"/>
                <w:szCs w:val="18"/>
              </w:rPr>
              <w:t>27.7</w:t>
            </w:r>
          </w:p>
        </w:tc>
      </w:tr>
      <w:tr w:rsidR="006B15F5" w:rsidRPr="009665F3" w14:paraId="6ADDF004" w14:textId="77777777" w:rsidTr="00147C8B">
        <w:trPr>
          <w:trHeight w:val="288"/>
        </w:trPr>
        <w:tc>
          <w:tcPr>
            <w:tcW w:w="3481" w:type="dxa"/>
            <w:vAlign w:val="center"/>
            <w:hideMark/>
          </w:tcPr>
          <w:p w14:paraId="03177884" w14:textId="77777777" w:rsidR="006B15F5" w:rsidRPr="009665F3" w:rsidRDefault="006B15F5" w:rsidP="00147C8B">
            <w:pPr>
              <w:spacing w:before="0" w:after="0" w:line="240" w:lineRule="auto"/>
              <w:jc w:val="both"/>
              <w:rPr>
                <w:sz w:val="18"/>
                <w:szCs w:val="18"/>
              </w:rPr>
            </w:pPr>
            <w:r>
              <w:rPr>
                <w:sz w:val="18"/>
                <w:szCs w:val="18"/>
              </w:rPr>
              <w:t xml:space="preserve"> </w:t>
            </w:r>
            <w:r w:rsidRPr="009665F3">
              <w:rPr>
                <w:sz w:val="18"/>
                <w:szCs w:val="18"/>
              </w:rPr>
              <w:t xml:space="preserve">արտաքին աղբյուրներ </w:t>
            </w:r>
          </w:p>
        </w:tc>
        <w:tc>
          <w:tcPr>
            <w:tcW w:w="935" w:type="dxa"/>
            <w:vAlign w:val="center"/>
          </w:tcPr>
          <w:p w14:paraId="367718F9" w14:textId="77777777" w:rsidR="006B15F5" w:rsidRPr="009665F3" w:rsidRDefault="006B15F5" w:rsidP="00147C8B">
            <w:pPr>
              <w:spacing w:before="0" w:after="0" w:line="240" w:lineRule="auto"/>
              <w:jc w:val="center"/>
              <w:rPr>
                <w:sz w:val="18"/>
                <w:szCs w:val="18"/>
              </w:rPr>
            </w:pPr>
            <w:r>
              <w:rPr>
                <w:rFonts w:ascii="GHEA Grapalat" w:hAnsi="GHEA Grapalat"/>
                <w:color w:val="404040"/>
                <w:sz w:val="18"/>
                <w:szCs w:val="18"/>
              </w:rPr>
              <w:t>10.3</w:t>
            </w:r>
          </w:p>
        </w:tc>
        <w:tc>
          <w:tcPr>
            <w:tcW w:w="940" w:type="dxa"/>
            <w:vAlign w:val="center"/>
          </w:tcPr>
          <w:p w14:paraId="1205EB11" w14:textId="77777777" w:rsidR="006B15F5" w:rsidRPr="009665F3" w:rsidRDefault="006B15F5" w:rsidP="00147C8B">
            <w:pPr>
              <w:spacing w:before="0" w:after="0" w:line="240" w:lineRule="auto"/>
              <w:jc w:val="center"/>
              <w:rPr>
                <w:sz w:val="18"/>
                <w:szCs w:val="18"/>
              </w:rPr>
            </w:pPr>
            <w:r>
              <w:rPr>
                <w:rFonts w:ascii="GHEA Grapalat" w:hAnsi="GHEA Grapalat"/>
                <w:color w:val="404040"/>
                <w:sz w:val="18"/>
                <w:szCs w:val="18"/>
              </w:rPr>
              <w:t>13.1</w:t>
            </w:r>
          </w:p>
        </w:tc>
        <w:tc>
          <w:tcPr>
            <w:tcW w:w="940" w:type="dxa"/>
            <w:vAlign w:val="center"/>
          </w:tcPr>
          <w:p w14:paraId="0817B728" w14:textId="77777777" w:rsidR="006B15F5" w:rsidRPr="009665F3" w:rsidRDefault="006B15F5" w:rsidP="00147C8B">
            <w:pPr>
              <w:spacing w:before="0" w:after="0" w:line="240" w:lineRule="auto"/>
              <w:jc w:val="center"/>
              <w:rPr>
                <w:sz w:val="18"/>
                <w:szCs w:val="18"/>
              </w:rPr>
            </w:pPr>
            <w:r>
              <w:rPr>
                <w:rFonts w:ascii="GHEA Grapalat" w:hAnsi="GHEA Grapalat"/>
                <w:color w:val="404040"/>
                <w:sz w:val="18"/>
                <w:szCs w:val="18"/>
              </w:rPr>
              <w:t>12.1</w:t>
            </w:r>
          </w:p>
        </w:tc>
        <w:tc>
          <w:tcPr>
            <w:tcW w:w="940" w:type="dxa"/>
            <w:vAlign w:val="center"/>
          </w:tcPr>
          <w:p w14:paraId="10DA340E" w14:textId="77777777" w:rsidR="006B15F5" w:rsidRPr="009665F3" w:rsidRDefault="006B15F5" w:rsidP="00147C8B">
            <w:pPr>
              <w:spacing w:before="0" w:after="0" w:line="240" w:lineRule="auto"/>
              <w:jc w:val="center"/>
              <w:rPr>
                <w:sz w:val="18"/>
                <w:szCs w:val="18"/>
              </w:rPr>
            </w:pPr>
            <w:r>
              <w:rPr>
                <w:rFonts w:ascii="GHEA Grapalat" w:hAnsi="GHEA Grapalat"/>
                <w:color w:val="404040"/>
                <w:sz w:val="18"/>
                <w:szCs w:val="18"/>
              </w:rPr>
              <w:t>19</w:t>
            </w:r>
          </w:p>
        </w:tc>
        <w:tc>
          <w:tcPr>
            <w:tcW w:w="777" w:type="dxa"/>
            <w:tcBorders>
              <w:top w:val="nil"/>
              <w:left w:val="nil"/>
              <w:bottom w:val="single" w:sz="8" w:space="0" w:color="E1E1E3"/>
              <w:right w:val="single" w:sz="8" w:space="0" w:color="E1E1E3"/>
            </w:tcBorders>
            <w:shd w:val="clear" w:color="auto" w:fill="auto"/>
            <w:vAlign w:val="center"/>
          </w:tcPr>
          <w:p w14:paraId="1E0BAB3F" w14:textId="77777777" w:rsidR="006B15F5" w:rsidRDefault="006B15F5" w:rsidP="00147C8B">
            <w:pPr>
              <w:spacing w:before="0" w:after="0" w:line="240" w:lineRule="auto"/>
              <w:jc w:val="center"/>
              <w:rPr>
                <w:rFonts w:ascii="GHEA Grapalat" w:hAnsi="GHEA Grapalat" w:cs="Calibri"/>
                <w:color w:val="404040"/>
                <w:sz w:val="18"/>
                <w:szCs w:val="18"/>
              </w:rPr>
            </w:pPr>
            <w:r>
              <w:rPr>
                <w:rFonts w:ascii="GHEA Grapalat" w:hAnsi="GHEA Grapalat" w:cs="Calibri"/>
                <w:color w:val="404040"/>
                <w:sz w:val="18"/>
                <w:szCs w:val="18"/>
              </w:rPr>
              <w:t>17.7</w:t>
            </w:r>
          </w:p>
        </w:tc>
        <w:tc>
          <w:tcPr>
            <w:tcW w:w="777" w:type="dxa"/>
            <w:tcBorders>
              <w:top w:val="nil"/>
              <w:left w:val="nil"/>
              <w:bottom w:val="single" w:sz="8" w:space="0" w:color="E1E1E3"/>
              <w:right w:val="single" w:sz="8" w:space="0" w:color="E1E1E3"/>
            </w:tcBorders>
            <w:shd w:val="clear" w:color="auto" w:fill="auto"/>
            <w:vAlign w:val="center"/>
          </w:tcPr>
          <w:p w14:paraId="40B53F2B" w14:textId="77777777" w:rsidR="006B15F5" w:rsidRDefault="006B15F5" w:rsidP="00147C8B">
            <w:pPr>
              <w:spacing w:before="0" w:after="0" w:line="240" w:lineRule="auto"/>
              <w:jc w:val="center"/>
              <w:rPr>
                <w:rFonts w:ascii="GHEA Grapalat" w:hAnsi="GHEA Grapalat" w:cs="Calibri"/>
                <w:color w:val="404040"/>
                <w:sz w:val="18"/>
                <w:szCs w:val="18"/>
              </w:rPr>
            </w:pPr>
            <w:r>
              <w:rPr>
                <w:rFonts w:ascii="GHEA Grapalat" w:hAnsi="GHEA Grapalat" w:cs="Calibri"/>
                <w:color w:val="404040"/>
                <w:sz w:val="18"/>
                <w:szCs w:val="18"/>
              </w:rPr>
              <w:t>19.7</w:t>
            </w:r>
          </w:p>
        </w:tc>
        <w:tc>
          <w:tcPr>
            <w:tcW w:w="777" w:type="dxa"/>
            <w:tcBorders>
              <w:top w:val="nil"/>
              <w:left w:val="nil"/>
              <w:bottom w:val="single" w:sz="8" w:space="0" w:color="E1E1E3"/>
              <w:right w:val="single" w:sz="8" w:space="0" w:color="E1E1E3"/>
            </w:tcBorders>
            <w:shd w:val="clear" w:color="auto" w:fill="auto"/>
            <w:vAlign w:val="center"/>
          </w:tcPr>
          <w:p w14:paraId="04451FB4" w14:textId="77777777" w:rsidR="006B15F5" w:rsidRDefault="006B15F5" w:rsidP="00147C8B">
            <w:pPr>
              <w:spacing w:before="0" w:after="0" w:line="240" w:lineRule="auto"/>
              <w:jc w:val="center"/>
              <w:rPr>
                <w:rFonts w:ascii="GHEA Grapalat" w:hAnsi="GHEA Grapalat" w:cs="Calibri"/>
                <w:color w:val="404040"/>
                <w:sz w:val="18"/>
                <w:szCs w:val="18"/>
              </w:rPr>
            </w:pPr>
            <w:r>
              <w:rPr>
                <w:rFonts w:ascii="GHEA Grapalat" w:hAnsi="GHEA Grapalat" w:cs="Calibri"/>
                <w:color w:val="404040"/>
                <w:sz w:val="18"/>
                <w:szCs w:val="18"/>
              </w:rPr>
              <w:t>23.1</w:t>
            </w:r>
          </w:p>
        </w:tc>
      </w:tr>
      <w:tr w:rsidR="006B15F5" w:rsidRPr="009665F3" w14:paraId="1797049A" w14:textId="77777777" w:rsidTr="00147C8B">
        <w:trPr>
          <w:trHeight w:val="288"/>
        </w:trPr>
        <w:tc>
          <w:tcPr>
            <w:tcW w:w="3481" w:type="dxa"/>
            <w:vAlign w:val="center"/>
            <w:hideMark/>
          </w:tcPr>
          <w:p w14:paraId="5F4DA90F" w14:textId="77777777" w:rsidR="006B15F5" w:rsidRPr="009665F3" w:rsidRDefault="006B15F5" w:rsidP="00147C8B">
            <w:pPr>
              <w:spacing w:before="0" w:after="0" w:line="240" w:lineRule="auto"/>
              <w:jc w:val="both"/>
              <w:rPr>
                <w:sz w:val="18"/>
                <w:szCs w:val="18"/>
              </w:rPr>
            </w:pPr>
            <w:r w:rsidRPr="009665F3">
              <w:rPr>
                <w:sz w:val="18"/>
                <w:szCs w:val="18"/>
              </w:rPr>
              <w:t xml:space="preserve"> ներքին աղբյուրներ </w:t>
            </w:r>
          </w:p>
        </w:tc>
        <w:tc>
          <w:tcPr>
            <w:tcW w:w="935" w:type="dxa"/>
            <w:vAlign w:val="center"/>
          </w:tcPr>
          <w:p w14:paraId="415B9BF6" w14:textId="77777777" w:rsidR="006B15F5" w:rsidRPr="009665F3" w:rsidRDefault="006B15F5" w:rsidP="00147C8B">
            <w:pPr>
              <w:spacing w:before="0" w:after="0" w:line="240" w:lineRule="auto"/>
              <w:jc w:val="center"/>
              <w:rPr>
                <w:sz w:val="18"/>
                <w:szCs w:val="18"/>
              </w:rPr>
            </w:pPr>
            <w:r>
              <w:rPr>
                <w:rFonts w:ascii="GHEA Grapalat" w:hAnsi="GHEA Grapalat"/>
                <w:color w:val="404040"/>
                <w:sz w:val="18"/>
                <w:szCs w:val="18"/>
              </w:rPr>
              <w:t>9.2</w:t>
            </w:r>
          </w:p>
        </w:tc>
        <w:tc>
          <w:tcPr>
            <w:tcW w:w="940" w:type="dxa"/>
            <w:vAlign w:val="center"/>
          </w:tcPr>
          <w:p w14:paraId="727AFB57" w14:textId="77777777" w:rsidR="006B15F5" w:rsidRPr="009665F3" w:rsidRDefault="006B15F5" w:rsidP="00147C8B">
            <w:pPr>
              <w:spacing w:before="0" w:after="0" w:line="240" w:lineRule="auto"/>
              <w:jc w:val="center"/>
              <w:rPr>
                <w:sz w:val="18"/>
                <w:szCs w:val="18"/>
              </w:rPr>
            </w:pPr>
            <w:r>
              <w:rPr>
                <w:rFonts w:ascii="GHEA Grapalat" w:hAnsi="GHEA Grapalat"/>
                <w:color w:val="404040"/>
                <w:sz w:val="18"/>
                <w:szCs w:val="18"/>
              </w:rPr>
              <w:t>4.7</w:t>
            </w:r>
          </w:p>
        </w:tc>
        <w:tc>
          <w:tcPr>
            <w:tcW w:w="940" w:type="dxa"/>
            <w:vAlign w:val="center"/>
          </w:tcPr>
          <w:p w14:paraId="730923AD" w14:textId="77777777" w:rsidR="006B15F5" w:rsidRPr="009665F3" w:rsidRDefault="006B15F5" w:rsidP="00147C8B">
            <w:pPr>
              <w:spacing w:before="0" w:after="0" w:line="240" w:lineRule="auto"/>
              <w:jc w:val="center"/>
              <w:rPr>
                <w:sz w:val="18"/>
                <w:szCs w:val="18"/>
              </w:rPr>
            </w:pPr>
            <w:r>
              <w:rPr>
                <w:rFonts w:ascii="GHEA Grapalat" w:hAnsi="GHEA Grapalat"/>
                <w:color w:val="404040"/>
                <w:sz w:val="18"/>
                <w:szCs w:val="18"/>
              </w:rPr>
              <w:t>4</w:t>
            </w:r>
          </w:p>
        </w:tc>
        <w:tc>
          <w:tcPr>
            <w:tcW w:w="940" w:type="dxa"/>
            <w:vAlign w:val="center"/>
          </w:tcPr>
          <w:p w14:paraId="40AA936B" w14:textId="77777777" w:rsidR="006B15F5" w:rsidRPr="009665F3" w:rsidRDefault="006B15F5" w:rsidP="00147C8B">
            <w:pPr>
              <w:spacing w:before="0" w:after="0" w:line="240" w:lineRule="auto"/>
              <w:jc w:val="center"/>
              <w:rPr>
                <w:sz w:val="18"/>
                <w:szCs w:val="18"/>
              </w:rPr>
            </w:pPr>
            <w:r>
              <w:rPr>
                <w:rFonts w:ascii="GHEA Grapalat" w:hAnsi="GHEA Grapalat"/>
                <w:color w:val="404040"/>
                <w:sz w:val="18"/>
                <w:szCs w:val="18"/>
              </w:rPr>
              <w:t>11.4</w:t>
            </w:r>
          </w:p>
        </w:tc>
        <w:tc>
          <w:tcPr>
            <w:tcW w:w="777" w:type="dxa"/>
            <w:tcBorders>
              <w:top w:val="nil"/>
              <w:left w:val="nil"/>
              <w:bottom w:val="single" w:sz="8" w:space="0" w:color="E1E1E3"/>
              <w:right w:val="single" w:sz="8" w:space="0" w:color="E1E1E3"/>
            </w:tcBorders>
            <w:shd w:val="clear" w:color="auto" w:fill="auto"/>
            <w:vAlign w:val="center"/>
          </w:tcPr>
          <w:p w14:paraId="6AE6352D" w14:textId="77777777" w:rsidR="006B15F5" w:rsidRDefault="006B15F5" w:rsidP="00147C8B">
            <w:pPr>
              <w:spacing w:before="0" w:after="0" w:line="240" w:lineRule="auto"/>
              <w:jc w:val="center"/>
              <w:rPr>
                <w:rFonts w:ascii="GHEA Grapalat" w:hAnsi="GHEA Grapalat" w:cs="Calibri"/>
                <w:color w:val="404040"/>
                <w:sz w:val="18"/>
                <w:szCs w:val="18"/>
              </w:rPr>
            </w:pPr>
            <w:r>
              <w:rPr>
                <w:rFonts w:ascii="GHEA Grapalat" w:hAnsi="GHEA Grapalat" w:cs="Calibri"/>
                <w:color w:val="404040"/>
                <w:sz w:val="18"/>
                <w:szCs w:val="18"/>
              </w:rPr>
              <w:t>4.9</w:t>
            </w:r>
          </w:p>
        </w:tc>
        <w:tc>
          <w:tcPr>
            <w:tcW w:w="777" w:type="dxa"/>
            <w:tcBorders>
              <w:top w:val="nil"/>
              <w:left w:val="nil"/>
              <w:bottom w:val="single" w:sz="8" w:space="0" w:color="E1E1E3"/>
              <w:right w:val="single" w:sz="8" w:space="0" w:color="E1E1E3"/>
            </w:tcBorders>
            <w:shd w:val="clear" w:color="auto" w:fill="auto"/>
            <w:vAlign w:val="center"/>
          </w:tcPr>
          <w:p w14:paraId="1C93003A" w14:textId="77777777" w:rsidR="006B15F5" w:rsidRDefault="006B15F5" w:rsidP="00147C8B">
            <w:pPr>
              <w:spacing w:before="0" w:after="0" w:line="240" w:lineRule="auto"/>
              <w:jc w:val="center"/>
              <w:rPr>
                <w:rFonts w:ascii="GHEA Grapalat" w:hAnsi="GHEA Grapalat" w:cs="Calibri"/>
                <w:color w:val="404040"/>
                <w:sz w:val="18"/>
                <w:szCs w:val="18"/>
              </w:rPr>
            </w:pPr>
            <w:r>
              <w:rPr>
                <w:rFonts w:ascii="GHEA Grapalat" w:hAnsi="GHEA Grapalat" w:cs="Calibri"/>
                <w:color w:val="404040"/>
                <w:sz w:val="18"/>
                <w:szCs w:val="18"/>
              </w:rPr>
              <w:t>4.3</w:t>
            </w:r>
          </w:p>
        </w:tc>
        <w:tc>
          <w:tcPr>
            <w:tcW w:w="777" w:type="dxa"/>
            <w:tcBorders>
              <w:top w:val="nil"/>
              <w:left w:val="nil"/>
              <w:bottom w:val="single" w:sz="8" w:space="0" w:color="E1E1E3"/>
              <w:right w:val="single" w:sz="8" w:space="0" w:color="E1E1E3"/>
            </w:tcBorders>
            <w:shd w:val="clear" w:color="auto" w:fill="auto"/>
            <w:vAlign w:val="center"/>
          </w:tcPr>
          <w:p w14:paraId="4E7C74BB" w14:textId="77777777" w:rsidR="006B15F5" w:rsidRDefault="006B15F5" w:rsidP="00147C8B">
            <w:pPr>
              <w:spacing w:before="0" w:after="0" w:line="240" w:lineRule="auto"/>
              <w:jc w:val="center"/>
              <w:rPr>
                <w:rFonts w:ascii="GHEA Grapalat" w:hAnsi="GHEA Grapalat" w:cs="Calibri"/>
                <w:color w:val="404040"/>
                <w:sz w:val="18"/>
                <w:szCs w:val="18"/>
              </w:rPr>
            </w:pPr>
            <w:r>
              <w:rPr>
                <w:rFonts w:ascii="GHEA Grapalat" w:hAnsi="GHEA Grapalat" w:cs="Calibri"/>
                <w:color w:val="404040"/>
                <w:sz w:val="18"/>
                <w:szCs w:val="18"/>
              </w:rPr>
              <w:t>4.6</w:t>
            </w:r>
          </w:p>
        </w:tc>
      </w:tr>
      <w:tr w:rsidR="006B15F5" w:rsidRPr="009665F3" w14:paraId="7B8C8595" w14:textId="77777777" w:rsidTr="00147C8B">
        <w:trPr>
          <w:trHeight w:val="288"/>
        </w:trPr>
        <w:tc>
          <w:tcPr>
            <w:tcW w:w="3481" w:type="dxa"/>
            <w:vAlign w:val="center"/>
            <w:hideMark/>
          </w:tcPr>
          <w:p w14:paraId="1798332F" w14:textId="77777777" w:rsidR="006B15F5" w:rsidRPr="009665F3" w:rsidRDefault="006B15F5" w:rsidP="00147C8B">
            <w:pPr>
              <w:spacing w:before="0" w:after="0" w:line="240" w:lineRule="auto"/>
              <w:jc w:val="both"/>
              <w:rPr>
                <w:sz w:val="18"/>
                <w:szCs w:val="18"/>
              </w:rPr>
            </w:pPr>
            <w:r w:rsidRPr="009665F3">
              <w:rPr>
                <w:sz w:val="18"/>
                <w:szCs w:val="18"/>
              </w:rPr>
              <w:t xml:space="preserve"> Առողջապահություն </w:t>
            </w:r>
          </w:p>
        </w:tc>
        <w:tc>
          <w:tcPr>
            <w:tcW w:w="935" w:type="dxa"/>
            <w:vAlign w:val="center"/>
          </w:tcPr>
          <w:p w14:paraId="44F03E22" w14:textId="77777777" w:rsidR="006B15F5" w:rsidRPr="009665F3" w:rsidRDefault="006B15F5" w:rsidP="00147C8B">
            <w:pPr>
              <w:spacing w:before="0" w:after="0" w:line="240" w:lineRule="auto"/>
              <w:jc w:val="center"/>
              <w:rPr>
                <w:sz w:val="18"/>
                <w:szCs w:val="18"/>
              </w:rPr>
            </w:pPr>
            <w:r>
              <w:rPr>
                <w:rFonts w:ascii="GHEA Grapalat" w:hAnsi="GHEA Grapalat"/>
                <w:color w:val="404040"/>
                <w:sz w:val="18"/>
                <w:szCs w:val="18"/>
              </w:rPr>
              <w:t>7.2</w:t>
            </w:r>
          </w:p>
        </w:tc>
        <w:tc>
          <w:tcPr>
            <w:tcW w:w="940" w:type="dxa"/>
            <w:vAlign w:val="center"/>
          </w:tcPr>
          <w:p w14:paraId="4F8C70B2" w14:textId="77777777" w:rsidR="006B15F5" w:rsidRPr="009665F3" w:rsidRDefault="006B15F5" w:rsidP="00147C8B">
            <w:pPr>
              <w:spacing w:before="0" w:after="0" w:line="240" w:lineRule="auto"/>
              <w:jc w:val="center"/>
              <w:rPr>
                <w:sz w:val="18"/>
                <w:szCs w:val="18"/>
              </w:rPr>
            </w:pPr>
            <w:r>
              <w:rPr>
                <w:rFonts w:ascii="GHEA Grapalat" w:hAnsi="GHEA Grapalat"/>
                <w:color w:val="404040"/>
                <w:sz w:val="18"/>
                <w:szCs w:val="18"/>
              </w:rPr>
              <w:t>7.5</w:t>
            </w:r>
          </w:p>
        </w:tc>
        <w:tc>
          <w:tcPr>
            <w:tcW w:w="940" w:type="dxa"/>
            <w:vAlign w:val="center"/>
          </w:tcPr>
          <w:p w14:paraId="59CC4E67" w14:textId="77777777" w:rsidR="006B15F5" w:rsidRPr="009665F3" w:rsidRDefault="006B15F5" w:rsidP="00147C8B">
            <w:pPr>
              <w:spacing w:before="0" w:after="0" w:line="240" w:lineRule="auto"/>
              <w:jc w:val="center"/>
              <w:rPr>
                <w:sz w:val="18"/>
                <w:szCs w:val="18"/>
              </w:rPr>
            </w:pPr>
            <w:r>
              <w:rPr>
                <w:rFonts w:ascii="GHEA Grapalat" w:hAnsi="GHEA Grapalat"/>
                <w:color w:val="404040"/>
                <w:sz w:val="18"/>
                <w:szCs w:val="18"/>
              </w:rPr>
              <w:t>5.5</w:t>
            </w:r>
          </w:p>
        </w:tc>
        <w:tc>
          <w:tcPr>
            <w:tcW w:w="940" w:type="dxa"/>
            <w:vAlign w:val="center"/>
          </w:tcPr>
          <w:p w14:paraId="0DE8BB49" w14:textId="77777777" w:rsidR="006B15F5" w:rsidRPr="009665F3" w:rsidRDefault="006B15F5" w:rsidP="00147C8B">
            <w:pPr>
              <w:spacing w:before="0" w:after="0" w:line="240" w:lineRule="auto"/>
              <w:jc w:val="center"/>
              <w:rPr>
                <w:sz w:val="18"/>
                <w:szCs w:val="18"/>
              </w:rPr>
            </w:pPr>
            <w:r>
              <w:rPr>
                <w:rFonts w:ascii="GHEA Grapalat" w:hAnsi="GHEA Grapalat"/>
                <w:color w:val="404040"/>
                <w:sz w:val="18"/>
                <w:szCs w:val="18"/>
              </w:rPr>
              <w:t>12.7</w:t>
            </w:r>
          </w:p>
        </w:tc>
        <w:tc>
          <w:tcPr>
            <w:tcW w:w="777" w:type="dxa"/>
            <w:tcBorders>
              <w:top w:val="nil"/>
              <w:left w:val="nil"/>
              <w:bottom w:val="single" w:sz="8" w:space="0" w:color="E1E1E3"/>
              <w:right w:val="single" w:sz="8" w:space="0" w:color="E1E1E3"/>
            </w:tcBorders>
            <w:shd w:val="clear" w:color="auto" w:fill="auto"/>
            <w:vAlign w:val="center"/>
          </w:tcPr>
          <w:p w14:paraId="34658848" w14:textId="77777777" w:rsidR="006B15F5" w:rsidRDefault="006B15F5" w:rsidP="00147C8B">
            <w:pPr>
              <w:spacing w:before="0" w:after="0" w:line="240" w:lineRule="auto"/>
              <w:jc w:val="center"/>
              <w:rPr>
                <w:rFonts w:ascii="GHEA Grapalat" w:hAnsi="GHEA Grapalat" w:cs="Calibri"/>
                <w:color w:val="404040"/>
                <w:sz w:val="18"/>
                <w:szCs w:val="18"/>
              </w:rPr>
            </w:pPr>
            <w:r>
              <w:rPr>
                <w:rFonts w:ascii="GHEA Grapalat" w:hAnsi="GHEA Grapalat" w:cs="Calibri"/>
                <w:color w:val="404040"/>
                <w:sz w:val="18"/>
                <w:szCs w:val="18"/>
              </w:rPr>
              <w:t>13.0</w:t>
            </w:r>
          </w:p>
        </w:tc>
        <w:tc>
          <w:tcPr>
            <w:tcW w:w="777" w:type="dxa"/>
            <w:tcBorders>
              <w:top w:val="nil"/>
              <w:left w:val="nil"/>
              <w:bottom w:val="single" w:sz="8" w:space="0" w:color="E1E1E3"/>
              <w:right w:val="single" w:sz="8" w:space="0" w:color="E1E1E3"/>
            </w:tcBorders>
            <w:shd w:val="clear" w:color="auto" w:fill="auto"/>
            <w:vAlign w:val="center"/>
          </w:tcPr>
          <w:p w14:paraId="362A04CE" w14:textId="77777777" w:rsidR="006B15F5" w:rsidRDefault="006B15F5" w:rsidP="00147C8B">
            <w:pPr>
              <w:spacing w:before="0" w:after="0" w:line="240" w:lineRule="auto"/>
              <w:jc w:val="center"/>
              <w:rPr>
                <w:rFonts w:ascii="GHEA Grapalat" w:hAnsi="GHEA Grapalat" w:cs="Calibri"/>
                <w:color w:val="404040"/>
                <w:sz w:val="18"/>
                <w:szCs w:val="18"/>
              </w:rPr>
            </w:pPr>
            <w:r>
              <w:rPr>
                <w:rFonts w:ascii="GHEA Grapalat" w:hAnsi="GHEA Grapalat" w:cs="Calibri"/>
                <w:color w:val="404040"/>
                <w:sz w:val="18"/>
                <w:szCs w:val="18"/>
              </w:rPr>
              <w:t>18.4</w:t>
            </w:r>
          </w:p>
        </w:tc>
        <w:tc>
          <w:tcPr>
            <w:tcW w:w="777" w:type="dxa"/>
            <w:tcBorders>
              <w:top w:val="nil"/>
              <w:left w:val="nil"/>
              <w:bottom w:val="single" w:sz="8" w:space="0" w:color="E1E1E3"/>
              <w:right w:val="single" w:sz="8" w:space="0" w:color="E1E1E3"/>
            </w:tcBorders>
            <w:shd w:val="clear" w:color="auto" w:fill="auto"/>
            <w:vAlign w:val="center"/>
          </w:tcPr>
          <w:p w14:paraId="050713BA" w14:textId="77777777" w:rsidR="006B15F5" w:rsidRDefault="006B15F5" w:rsidP="00147C8B">
            <w:pPr>
              <w:spacing w:before="0" w:after="0" w:line="240" w:lineRule="auto"/>
              <w:jc w:val="center"/>
              <w:rPr>
                <w:rFonts w:ascii="GHEA Grapalat" w:hAnsi="GHEA Grapalat" w:cs="Calibri"/>
                <w:color w:val="404040"/>
                <w:sz w:val="18"/>
                <w:szCs w:val="18"/>
              </w:rPr>
            </w:pPr>
            <w:r>
              <w:rPr>
                <w:rFonts w:ascii="GHEA Grapalat" w:hAnsi="GHEA Grapalat" w:cs="Calibri"/>
                <w:color w:val="404040"/>
                <w:sz w:val="18"/>
                <w:szCs w:val="18"/>
              </w:rPr>
              <w:t>20.4</w:t>
            </w:r>
          </w:p>
        </w:tc>
      </w:tr>
      <w:tr w:rsidR="006B15F5" w:rsidRPr="009665F3" w14:paraId="5E3077CA" w14:textId="77777777" w:rsidTr="00147C8B">
        <w:trPr>
          <w:trHeight w:val="288"/>
        </w:trPr>
        <w:tc>
          <w:tcPr>
            <w:tcW w:w="3481" w:type="dxa"/>
            <w:vAlign w:val="center"/>
            <w:hideMark/>
          </w:tcPr>
          <w:p w14:paraId="58ED9C1D" w14:textId="77777777" w:rsidR="006B15F5" w:rsidRPr="009665F3" w:rsidRDefault="006B15F5" w:rsidP="00147C8B">
            <w:pPr>
              <w:spacing w:before="0" w:after="0" w:line="240" w:lineRule="auto"/>
              <w:jc w:val="both"/>
              <w:rPr>
                <w:sz w:val="18"/>
                <w:szCs w:val="18"/>
              </w:rPr>
            </w:pPr>
            <w:r>
              <w:rPr>
                <w:sz w:val="18"/>
                <w:szCs w:val="18"/>
              </w:rPr>
              <w:t xml:space="preserve"> </w:t>
            </w:r>
            <w:r w:rsidRPr="009665F3">
              <w:rPr>
                <w:sz w:val="18"/>
                <w:szCs w:val="18"/>
              </w:rPr>
              <w:t xml:space="preserve">արտաքին աղբյուրներ </w:t>
            </w:r>
          </w:p>
        </w:tc>
        <w:tc>
          <w:tcPr>
            <w:tcW w:w="935" w:type="dxa"/>
            <w:vAlign w:val="center"/>
          </w:tcPr>
          <w:p w14:paraId="2E8AEF76" w14:textId="77777777" w:rsidR="006B15F5" w:rsidRPr="009665F3" w:rsidRDefault="006B15F5" w:rsidP="00147C8B">
            <w:pPr>
              <w:spacing w:before="0" w:after="0" w:line="240" w:lineRule="auto"/>
              <w:jc w:val="center"/>
              <w:rPr>
                <w:sz w:val="18"/>
                <w:szCs w:val="18"/>
              </w:rPr>
            </w:pPr>
            <w:r>
              <w:rPr>
                <w:rFonts w:ascii="GHEA Grapalat" w:hAnsi="GHEA Grapalat"/>
                <w:color w:val="404040"/>
                <w:sz w:val="18"/>
                <w:szCs w:val="18"/>
              </w:rPr>
              <w:t>7.2</w:t>
            </w:r>
          </w:p>
        </w:tc>
        <w:tc>
          <w:tcPr>
            <w:tcW w:w="940" w:type="dxa"/>
            <w:vAlign w:val="center"/>
          </w:tcPr>
          <w:p w14:paraId="23113D10" w14:textId="77777777" w:rsidR="006B15F5" w:rsidRPr="009665F3" w:rsidRDefault="006B15F5" w:rsidP="00147C8B">
            <w:pPr>
              <w:spacing w:before="0" w:after="0" w:line="240" w:lineRule="auto"/>
              <w:jc w:val="center"/>
              <w:rPr>
                <w:sz w:val="18"/>
                <w:szCs w:val="18"/>
              </w:rPr>
            </w:pPr>
            <w:r>
              <w:rPr>
                <w:rFonts w:ascii="GHEA Grapalat" w:hAnsi="GHEA Grapalat"/>
                <w:color w:val="404040"/>
                <w:sz w:val="18"/>
                <w:szCs w:val="18"/>
              </w:rPr>
              <w:t>3</w:t>
            </w:r>
          </w:p>
        </w:tc>
        <w:tc>
          <w:tcPr>
            <w:tcW w:w="940" w:type="dxa"/>
            <w:vAlign w:val="center"/>
          </w:tcPr>
          <w:p w14:paraId="67605551" w14:textId="77777777" w:rsidR="006B15F5" w:rsidRPr="009665F3" w:rsidRDefault="006B15F5" w:rsidP="00147C8B">
            <w:pPr>
              <w:spacing w:before="0" w:after="0" w:line="240" w:lineRule="auto"/>
              <w:jc w:val="center"/>
              <w:rPr>
                <w:sz w:val="18"/>
                <w:szCs w:val="18"/>
              </w:rPr>
            </w:pPr>
            <w:r>
              <w:rPr>
                <w:rFonts w:ascii="GHEA Grapalat" w:hAnsi="GHEA Grapalat"/>
                <w:color w:val="404040"/>
                <w:sz w:val="18"/>
                <w:szCs w:val="18"/>
              </w:rPr>
              <w:t>1</w:t>
            </w:r>
          </w:p>
        </w:tc>
        <w:tc>
          <w:tcPr>
            <w:tcW w:w="940" w:type="dxa"/>
            <w:vAlign w:val="center"/>
          </w:tcPr>
          <w:p w14:paraId="75B601B4" w14:textId="77777777" w:rsidR="006B15F5" w:rsidRPr="009665F3" w:rsidRDefault="006B15F5" w:rsidP="00147C8B">
            <w:pPr>
              <w:spacing w:before="0" w:after="0" w:line="240" w:lineRule="auto"/>
              <w:jc w:val="center"/>
              <w:rPr>
                <w:sz w:val="18"/>
                <w:szCs w:val="18"/>
              </w:rPr>
            </w:pPr>
            <w:r>
              <w:rPr>
                <w:rFonts w:ascii="GHEA Grapalat" w:hAnsi="GHEA Grapalat"/>
                <w:color w:val="404040"/>
                <w:sz w:val="18"/>
                <w:szCs w:val="18"/>
              </w:rPr>
              <w:t>0.5</w:t>
            </w:r>
          </w:p>
        </w:tc>
        <w:tc>
          <w:tcPr>
            <w:tcW w:w="777" w:type="dxa"/>
            <w:tcBorders>
              <w:top w:val="nil"/>
              <w:left w:val="nil"/>
              <w:bottom w:val="single" w:sz="8" w:space="0" w:color="E1E1E3"/>
              <w:right w:val="single" w:sz="8" w:space="0" w:color="E1E1E3"/>
            </w:tcBorders>
            <w:shd w:val="clear" w:color="auto" w:fill="auto"/>
            <w:vAlign w:val="center"/>
          </w:tcPr>
          <w:p w14:paraId="626C4B34" w14:textId="77777777" w:rsidR="006B15F5" w:rsidRDefault="006B15F5" w:rsidP="00147C8B">
            <w:pPr>
              <w:spacing w:before="0" w:after="0" w:line="240" w:lineRule="auto"/>
              <w:jc w:val="center"/>
              <w:rPr>
                <w:rFonts w:ascii="GHEA Grapalat" w:hAnsi="GHEA Grapalat" w:cs="Calibri"/>
                <w:color w:val="404040"/>
                <w:sz w:val="18"/>
                <w:szCs w:val="18"/>
              </w:rPr>
            </w:pPr>
            <w:r>
              <w:rPr>
                <w:rFonts w:ascii="GHEA Grapalat" w:hAnsi="GHEA Grapalat" w:cs="Calibri"/>
                <w:color w:val="404040"/>
                <w:sz w:val="18"/>
                <w:szCs w:val="18"/>
              </w:rPr>
              <w:t>0.7</w:t>
            </w:r>
          </w:p>
        </w:tc>
        <w:tc>
          <w:tcPr>
            <w:tcW w:w="777" w:type="dxa"/>
            <w:tcBorders>
              <w:top w:val="nil"/>
              <w:left w:val="nil"/>
              <w:bottom w:val="single" w:sz="8" w:space="0" w:color="E1E1E3"/>
              <w:right w:val="single" w:sz="8" w:space="0" w:color="E1E1E3"/>
            </w:tcBorders>
            <w:shd w:val="clear" w:color="auto" w:fill="auto"/>
            <w:vAlign w:val="center"/>
          </w:tcPr>
          <w:p w14:paraId="6F8DEA9F" w14:textId="77777777" w:rsidR="006B15F5" w:rsidRDefault="006B15F5" w:rsidP="00147C8B">
            <w:pPr>
              <w:spacing w:before="0" w:after="0" w:line="240" w:lineRule="auto"/>
              <w:jc w:val="center"/>
              <w:rPr>
                <w:rFonts w:ascii="GHEA Grapalat" w:hAnsi="GHEA Grapalat" w:cs="Calibri"/>
                <w:color w:val="404040"/>
                <w:sz w:val="18"/>
                <w:szCs w:val="18"/>
              </w:rPr>
            </w:pPr>
            <w:r>
              <w:rPr>
                <w:rFonts w:ascii="GHEA Grapalat" w:hAnsi="GHEA Grapalat" w:cs="Calibri"/>
                <w:color w:val="404040"/>
                <w:sz w:val="18"/>
                <w:szCs w:val="18"/>
              </w:rPr>
              <w:t>2.2</w:t>
            </w:r>
          </w:p>
        </w:tc>
        <w:tc>
          <w:tcPr>
            <w:tcW w:w="777" w:type="dxa"/>
            <w:tcBorders>
              <w:top w:val="nil"/>
              <w:left w:val="nil"/>
              <w:bottom w:val="single" w:sz="8" w:space="0" w:color="E1E1E3"/>
              <w:right w:val="single" w:sz="8" w:space="0" w:color="E1E1E3"/>
            </w:tcBorders>
            <w:shd w:val="clear" w:color="auto" w:fill="auto"/>
            <w:vAlign w:val="center"/>
          </w:tcPr>
          <w:p w14:paraId="326EC2B5" w14:textId="77777777" w:rsidR="006B15F5" w:rsidRDefault="006B15F5" w:rsidP="00147C8B">
            <w:pPr>
              <w:spacing w:before="0" w:after="0" w:line="240" w:lineRule="auto"/>
              <w:jc w:val="center"/>
              <w:rPr>
                <w:rFonts w:ascii="GHEA Grapalat" w:hAnsi="GHEA Grapalat" w:cs="Calibri"/>
                <w:color w:val="404040"/>
                <w:sz w:val="18"/>
                <w:szCs w:val="18"/>
              </w:rPr>
            </w:pPr>
            <w:r>
              <w:rPr>
                <w:rFonts w:ascii="GHEA Grapalat" w:hAnsi="GHEA Grapalat" w:cs="Calibri"/>
                <w:color w:val="404040"/>
                <w:sz w:val="18"/>
                <w:szCs w:val="18"/>
              </w:rPr>
              <w:t>1.6</w:t>
            </w:r>
          </w:p>
        </w:tc>
      </w:tr>
      <w:tr w:rsidR="006B15F5" w:rsidRPr="009665F3" w14:paraId="509E60EC" w14:textId="77777777" w:rsidTr="00147C8B">
        <w:trPr>
          <w:trHeight w:val="288"/>
        </w:trPr>
        <w:tc>
          <w:tcPr>
            <w:tcW w:w="3481" w:type="dxa"/>
            <w:vAlign w:val="center"/>
            <w:hideMark/>
          </w:tcPr>
          <w:p w14:paraId="047058A7" w14:textId="77777777" w:rsidR="006B15F5" w:rsidRPr="009665F3" w:rsidRDefault="006B15F5" w:rsidP="00147C8B">
            <w:pPr>
              <w:spacing w:before="0" w:after="0" w:line="240" w:lineRule="auto"/>
              <w:jc w:val="both"/>
              <w:rPr>
                <w:sz w:val="18"/>
                <w:szCs w:val="18"/>
              </w:rPr>
            </w:pPr>
            <w:r w:rsidRPr="009665F3">
              <w:rPr>
                <w:sz w:val="18"/>
                <w:szCs w:val="18"/>
              </w:rPr>
              <w:t xml:space="preserve"> ներքին աղբյուրներ </w:t>
            </w:r>
          </w:p>
        </w:tc>
        <w:tc>
          <w:tcPr>
            <w:tcW w:w="935" w:type="dxa"/>
            <w:vAlign w:val="center"/>
          </w:tcPr>
          <w:p w14:paraId="6505B118" w14:textId="77777777" w:rsidR="006B15F5" w:rsidRPr="009665F3" w:rsidRDefault="006B15F5" w:rsidP="00147C8B">
            <w:pPr>
              <w:spacing w:before="0" w:after="0" w:line="240" w:lineRule="auto"/>
              <w:jc w:val="center"/>
              <w:rPr>
                <w:sz w:val="18"/>
                <w:szCs w:val="18"/>
              </w:rPr>
            </w:pPr>
            <w:r>
              <w:rPr>
                <w:rFonts w:ascii="GHEA Grapalat" w:hAnsi="GHEA Grapalat"/>
                <w:color w:val="404040"/>
                <w:sz w:val="18"/>
                <w:szCs w:val="18"/>
              </w:rPr>
              <w:t>0</w:t>
            </w:r>
          </w:p>
        </w:tc>
        <w:tc>
          <w:tcPr>
            <w:tcW w:w="940" w:type="dxa"/>
            <w:vAlign w:val="center"/>
          </w:tcPr>
          <w:p w14:paraId="2667C8ED" w14:textId="77777777" w:rsidR="006B15F5" w:rsidRPr="009665F3" w:rsidRDefault="006B15F5" w:rsidP="00147C8B">
            <w:pPr>
              <w:spacing w:before="0" w:after="0" w:line="240" w:lineRule="auto"/>
              <w:jc w:val="center"/>
              <w:rPr>
                <w:sz w:val="18"/>
                <w:szCs w:val="18"/>
              </w:rPr>
            </w:pPr>
            <w:r>
              <w:rPr>
                <w:rFonts w:ascii="GHEA Grapalat" w:hAnsi="GHEA Grapalat"/>
                <w:color w:val="404040"/>
                <w:sz w:val="18"/>
                <w:szCs w:val="18"/>
              </w:rPr>
              <w:t>4.5</w:t>
            </w:r>
          </w:p>
        </w:tc>
        <w:tc>
          <w:tcPr>
            <w:tcW w:w="940" w:type="dxa"/>
            <w:vAlign w:val="center"/>
          </w:tcPr>
          <w:p w14:paraId="7693F274" w14:textId="77777777" w:rsidR="006B15F5" w:rsidRPr="009665F3" w:rsidRDefault="006B15F5" w:rsidP="00147C8B">
            <w:pPr>
              <w:spacing w:before="0" w:after="0" w:line="240" w:lineRule="auto"/>
              <w:jc w:val="center"/>
              <w:rPr>
                <w:sz w:val="18"/>
                <w:szCs w:val="18"/>
              </w:rPr>
            </w:pPr>
            <w:r>
              <w:rPr>
                <w:rFonts w:ascii="GHEA Grapalat" w:hAnsi="GHEA Grapalat"/>
                <w:color w:val="404040"/>
                <w:sz w:val="18"/>
                <w:szCs w:val="18"/>
              </w:rPr>
              <w:t>4.5</w:t>
            </w:r>
          </w:p>
        </w:tc>
        <w:tc>
          <w:tcPr>
            <w:tcW w:w="940" w:type="dxa"/>
            <w:vAlign w:val="center"/>
          </w:tcPr>
          <w:p w14:paraId="24C93B7C" w14:textId="77777777" w:rsidR="006B15F5" w:rsidRPr="009665F3" w:rsidRDefault="006B15F5" w:rsidP="00147C8B">
            <w:pPr>
              <w:spacing w:before="0" w:after="0" w:line="240" w:lineRule="auto"/>
              <w:jc w:val="center"/>
              <w:rPr>
                <w:sz w:val="18"/>
                <w:szCs w:val="18"/>
              </w:rPr>
            </w:pPr>
            <w:r>
              <w:rPr>
                <w:rFonts w:ascii="GHEA Grapalat" w:hAnsi="GHEA Grapalat"/>
                <w:color w:val="404040"/>
                <w:sz w:val="18"/>
                <w:szCs w:val="18"/>
              </w:rPr>
              <w:t>12.2</w:t>
            </w:r>
          </w:p>
        </w:tc>
        <w:tc>
          <w:tcPr>
            <w:tcW w:w="777" w:type="dxa"/>
            <w:tcBorders>
              <w:top w:val="nil"/>
              <w:left w:val="nil"/>
              <w:bottom w:val="single" w:sz="8" w:space="0" w:color="E1E1E3"/>
              <w:right w:val="single" w:sz="8" w:space="0" w:color="E1E1E3"/>
            </w:tcBorders>
            <w:shd w:val="clear" w:color="auto" w:fill="auto"/>
            <w:vAlign w:val="center"/>
          </w:tcPr>
          <w:p w14:paraId="56FBDAE3" w14:textId="77777777" w:rsidR="006B15F5" w:rsidRDefault="006B15F5" w:rsidP="00147C8B">
            <w:pPr>
              <w:spacing w:before="0" w:after="0" w:line="240" w:lineRule="auto"/>
              <w:jc w:val="center"/>
              <w:rPr>
                <w:rFonts w:ascii="GHEA Grapalat" w:hAnsi="GHEA Grapalat" w:cs="Calibri"/>
                <w:color w:val="404040"/>
                <w:sz w:val="18"/>
                <w:szCs w:val="18"/>
              </w:rPr>
            </w:pPr>
            <w:r>
              <w:rPr>
                <w:rFonts w:ascii="GHEA Grapalat" w:hAnsi="GHEA Grapalat" w:cs="Calibri"/>
                <w:color w:val="404040"/>
                <w:sz w:val="18"/>
                <w:szCs w:val="18"/>
              </w:rPr>
              <w:t>12.3</w:t>
            </w:r>
          </w:p>
        </w:tc>
        <w:tc>
          <w:tcPr>
            <w:tcW w:w="777" w:type="dxa"/>
            <w:tcBorders>
              <w:top w:val="nil"/>
              <w:left w:val="nil"/>
              <w:bottom w:val="single" w:sz="8" w:space="0" w:color="E1E1E3"/>
              <w:right w:val="single" w:sz="8" w:space="0" w:color="E1E1E3"/>
            </w:tcBorders>
            <w:shd w:val="clear" w:color="auto" w:fill="auto"/>
            <w:vAlign w:val="center"/>
          </w:tcPr>
          <w:p w14:paraId="17092450" w14:textId="77777777" w:rsidR="006B15F5" w:rsidRDefault="006B15F5" w:rsidP="00147C8B">
            <w:pPr>
              <w:spacing w:before="0" w:after="0" w:line="240" w:lineRule="auto"/>
              <w:jc w:val="center"/>
              <w:rPr>
                <w:rFonts w:ascii="GHEA Grapalat" w:hAnsi="GHEA Grapalat" w:cs="Calibri"/>
                <w:color w:val="404040"/>
                <w:sz w:val="18"/>
                <w:szCs w:val="18"/>
              </w:rPr>
            </w:pPr>
            <w:r>
              <w:rPr>
                <w:rFonts w:ascii="GHEA Grapalat" w:hAnsi="GHEA Grapalat" w:cs="Calibri"/>
                <w:color w:val="404040"/>
                <w:sz w:val="18"/>
                <w:szCs w:val="18"/>
              </w:rPr>
              <w:t>16.2</w:t>
            </w:r>
          </w:p>
        </w:tc>
        <w:tc>
          <w:tcPr>
            <w:tcW w:w="777" w:type="dxa"/>
            <w:tcBorders>
              <w:top w:val="nil"/>
              <w:left w:val="nil"/>
              <w:bottom w:val="single" w:sz="8" w:space="0" w:color="E1E1E3"/>
              <w:right w:val="single" w:sz="8" w:space="0" w:color="E1E1E3"/>
            </w:tcBorders>
            <w:shd w:val="clear" w:color="auto" w:fill="auto"/>
            <w:vAlign w:val="center"/>
          </w:tcPr>
          <w:p w14:paraId="54C2CF7A" w14:textId="77777777" w:rsidR="006B15F5" w:rsidRDefault="006B15F5" w:rsidP="00147C8B">
            <w:pPr>
              <w:spacing w:before="0" w:after="0" w:line="240" w:lineRule="auto"/>
              <w:jc w:val="center"/>
              <w:rPr>
                <w:rFonts w:ascii="GHEA Grapalat" w:hAnsi="GHEA Grapalat" w:cs="Calibri"/>
                <w:color w:val="404040"/>
                <w:sz w:val="18"/>
                <w:szCs w:val="18"/>
              </w:rPr>
            </w:pPr>
            <w:r>
              <w:rPr>
                <w:rFonts w:ascii="GHEA Grapalat" w:hAnsi="GHEA Grapalat" w:cs="Calibri"/>
                <w:color w:val="404040"/>
                <w:sz w:val="18"/>
                <w:szCs w:val="18"/>
              </w:rPr>
              <w:t>18.8</w:t>
            </w:r>
          </w:p>
        </w:tc>
      </w:tr>
      <w:tr w:rsidR="006B15F5" w:rsidRPr="009665F3" w14:paraId="6AFA5521" w14:textId="77777777" w:rsidTr="00147C8B">
        <w:trPr>
          <w:trHeight w:val="288"/>
        </w:trPr>
        <w:tc>
          <w:tcPr>
            <w:tcW w:w="3481" w:type="dxa"/>
            <w:vAlign w:val="center"/>
            <w:hideMark/>
          </w:tcPr>
          <w:p w14:paraId="66F92343" w14:textId="77777777" w:rsidR="006B15F5" w:rsidRPr="009665F3" w:rsidRDefault="006B15F5" w:rsidP="00147C8B">
            <w:pPr>
              <w:spacing w:before="0" w:after="0" w:line="240" w:lineRule="auto"/>
              <w:jc w:val="both"/>
              <w:rPr>
                <w:sz w:val="18"/>
                <w:szCs w:val="18"/>
              </w:rPr>
            </w:pPr>
            <w:r w:rsidRPr="009665F3">
              <w:rPr>
                <w:sz w:val="18"/>
                <w:szCs w:val="18"/>
              </w:rPr>
              <w:t>Կրթություն</w:t>
            </w:r>
            <w:r w:rsidRPr="009665F3">
              <w:rPr>
                <w:rFonts w:ascii="Microsoft JhengHei" w:eastAsia="Microsoft JhengHei" w:hAnsi="Microsoft JhengHei" w:cs="Microsoft JhengHei" w:hint="eastAsia"/>
                <w:sz w:val="18"/>
                <w:szCs w:val="18"/>
              </w:rPr>
              <w:t>﹐</w:t>
            </w:r>
            <w:r w:rsidRPr="009665F3">
              <w:rPr>
                <w:sz w:val="18"/>
                <w:szCs w:val="18"/>
              </w:rPr>
              <w:t xml:space="preserve">գիտություն մշակույթ և սպորտ </w:t>
            </w:r>
          </w:p>
        </w:tc>
        <w:tc>
          <w:tcPr>
            <w:tcW w:w="935" w:type="dxa"/>
            <w:vAlign w:val="center"/>
          </w:tcPr>
          <w:p w14:paraId="7ECA9FE5" w14:textId="77777777" w:rsidR="006B15F5" w:rsidRPr="009665F3" w:rsidRDefault="006B15F5" w:rsidP="00147C8B">
            <w:pPr>
              <w:spacing w:before="0" w:after="0" w:line="240" w:lineRule="auto"/>
              <w:jc w:val="center"/>
              <w:rPr>
                <w:sz w:val="18"/>
                <w:szCs w:val="18"/>
              </w:rPr>
            </w:pPr>
            <w:r>
              <w:rPr>
                <w:rFonts w:ascii="GHEA Grapalat" w:hAnsi="GHEA Grapalat"/>
                <w:color w:val="404040"/>
                <w:sz w:val="18"/>
                <w:szCs w:val="18"/>
              </w:rPr>
              <w:t>33.4</w:t>
            </w:r>
          </w:p>
        </w:tc>
        <w:tc>
          <w:tcPr>
            <w:tcW w:w="940" w:type="dxa"/>
            <w:vAlign w:val="center"/>
          </w:tcPr>
          <w:p w14:paraId="3E651D3C" w14:textId="77777777" w:rsidR="006B15F5" w:rsidRPr="009665F3" w:rsidRDefault="006B15F5" w:rsidP="00147C8B">
            <w:pPr>
              <w:spacing w:before="0" w:after="0" w:line="240" w:lineRule="auto"/>
              <w:jc w:val="center"/>
              <w:rPr>
                <w:sz w:val="18"/>
                <w:szCs w:val="18"/>
              </w:rPr>
            </w:pPr>
            <w:r>
              <w:rPr>
                <w:rFonts w:ascii="GHEA Grapalat" w:hAnsi="GHEA Grapalat"/>
                <w:color w:val="404040"/>
                <w:sz w:val="18"/>
                <w:szCs w:val="18"/>
              </w:rPr>
              <w:t>29.6</w:t>
            </w:r>
          </w:p>
        </w:tc>
        <w:tc>
          <w:tcPr>
            <w:tcW w:w="940" w:type="dxa"/>
            <w:vAlign w:val="center"/>
          </w:tcPr>
          <w:p w14:paraId="481F692D" w14:textId="77777777" w:rsidR="006B15F5" w:rsidRPr="009665F3" w:rsidRDefault="006B15F5" w:rsidP="00147C8B">
            <w:pPr>
              <w:spacing w:before="0" w:after="0" w:line="240" w:lineRule="auto"/>
              <w:jc w:val="center"/>
              <w:rPr>
                <w:sz w:val="18"/>
                <w:szCs w:val="18"/>
              </w:rPr>
            </w:pPr>
            <w:r>
              <w:rPr>
                <w:rFonts w:ascii="GHEA Grapalat" w:hAnsi="GHEA Grapalat"/>
                <w:color w:val="404040"/>
                <w:sz w:val="18"/>
                <w:szCs w:val="18"/>
              </w:rPr>
              <w:t>62.9</w:t>
            </w:r>
          </w:p>
        </w:tc>
        <w:tc>
          <w:tcPr>
            <w:tcW w:w="940" w:type="dxa"/>
            <w:vAlign w:val="center"/>
          </w:tcPr>
          <w:p w14:paraId="7812D024" w14:textId="77777777" w:rsidR="006B15F5" w:rsidRPr="009665F3" w:rsidRDefault="006B15F5" w:rsidP="00147C8B">
            <w:pPr>
              <w:spacing w:before="0" w:after="0" w:line="240" w:lineRule="auto"/>
              <w:jc w:val="center"/>
              <w:rPr>
                <w:sz w:val="18"/>
                <w:szCs w:val="18"/>
              </w:rPr>
            </w:pPr>
            <w:r>
              <w:rPr>
                <w:rFonts w:ascii="GHEA Grapalat" w:hAnsi="GHEA Grapalat"/>
                <w:color w:val="404040"/>
                <w:sz w:val="18"/>
                <w:szCs w:val="18"/>
              </w:rPr>
              <w:t>125.1</w:t>
            </w:r>
          </w:p>
        </w:tc>
        <w:tc>
          <w:tcPr>
            <w:tcW w:w="777" w:type="dxa"/>
            <w:tcBorders>
              <w:top w:val="nil"/>
              <w:left w:val="nil"/>
              <w:bottom w:val="single" w:sz="8" w:space="0" w:color="E1E1E3"/>
              <w:right w:val="single" w:sz="8" w:space="0" w:color="E1E1E3"/>
            </w:tcBorders>
            <w:shd w:val="clear" w:color="auto" w:fill="auto"/>
            <w:vAlign w:val="center"/>
          </w:tcPr>
          <w:p w14:paraId="04C7EB65" w14:textId="77777777" w:rsidR="006B15F5" w:rsidRDefault="006B15F5" w:rsidP="00147C8B">
            <w:pPr>
              <w:spacing w:before="0" w:after="0" w:line="240" w:lineRule="auto"/>
              <w:jc w:val="center"/>
              <w:rPr>
                <w:rFonts w:ascii="GHEA Grapalat" w:hAnsi="GHEA Grapalat" w:cs="Calibri"/>
                <w:color w:val="404040"/>
                <w:sz w:val="18"/>
                <w:szCs w:val="18"/>
              </w:rPr>
            </w:pPr>
            <w:r>
              <w:rPr>
                <w:rFonts w:ascii="GHEA Grapalat" w:hAnsi="GHEA Grapalat" w:cs="Calibri"/>
                <w:color w:val="404040"/>
                <w:sz w:val="18"/>
                <w:szCs w:val="18"/>
              </w:rPr>
              <w:t>164.9</w:t>
            </w:r>
          </w:p>
        </w:tc>
        <w:tc>
          <w:tcPr>
            <w:tcW w:w="777" w:type="dxa"/>
            <w:tcBorders>
              <w:top w:val="nil"/>
              <w:left w:val="nil"/>
              <w:bottom w:val="single" w:sz="8" w:space="0" w:color="E1E1E3"/>
              <w:right w:val="single" w:sz="8" w:space="0" w:color="E1E1E3"/>
            </w:tcBorders>
            <w:shd w:val="clear" w:color="auto" w:fill="auto"/>
            <w:vAlign w:val="center"/>
          </w:tcPr>
          <w:p w14:paraId="049E2DFA" w14:textId="77777777" w:rsidR="006B15F5" w:rsidRDefault="006B15F5" w:rsidP="00147C8B">
            <w:pPr>
              <w:spacing w:before="0" w:after="0" w:line="240" w:lineRule="auto"/>
              <w:jc w:val="center"/>
              <w:rPr>
                <w:rFonts w:ascii="GHEA Grapalat" w:hAnsi="GHEA Grapalat" w:cs="Calibri"/>
                <w:color w:val="404040"/>
                <w:sz w:val="18"/>
                <w:szCs w:val="18"/>
              </w:rPr>
            </w:pPr>
            <w:r>
              <w:rPr>
                <w:rFonts w:ascii="GHEA Grapalat" w:hAnsi="GHEA Grapalat" w:cs="Calibri"/>
                <w:color w:val="404040"/>
                <w:sz w:val="18"/>
                <w:szCs w:val="18"/>
              </w:rPr>
              <w:t>104.0</w:t>
            </w:r>
          </w:p>
        </w:tc>
        <w:tc>
          <w:tcPr>
            <w:tcW w:w="777" w:type="dxa"/>
            <w:tcBorders>
              <w:top w:val="nil"/>
              <w:left w:val="nil"/>
              <w:bottom w:val="single" w:sz="8" w:space="0" w:color="E1E1E3"/>
              <w:right w:val="single" w:sz="8" w:space="0" w:color="E1E1E3"/>
            </w:tcBorders>
            <w:shd w:val="clear" w:color="auto" w:fill="auto"/>
            <w:vAlign w:val="center"/>
          </w:tcPr>
          <w:p w14:paraId="435690B5" w14:textId="77777777" w:rsidR="006B15F5" w:rsidRDefault="006B15F5" w:rsidP="00147C8B">
            <w:pPr>
              <w:spacing w:before="0" w:after="0" w:line="240" w:lineRule="auto"/>
              <w:jc w:val="center"/>
              <w:rPr>
                <w:rFonts w:ascii="GHEA Grapalat" w:hAnsi="GHEA Grapalat" w:cs="Calibri"/>
                <w:color w:val="404040"/>
                <w:sz w:val="18"/>
                <w:szCs w:val="18"/>
              </w:rPr>
            </w:pPr>
            <w:r>
              <w:rPr>
                <w:rFonts w:ascii="GHEA Grapalat" w:hAnsi="GHEA Grapalat" w:cs="Calibri"/>
                <w:color w:val="404040"/>
                <w:sz w:val="18"/>
                <w:szCs w:val="18"/>
              </w:rPr>
              <w:t>174.9</w:t>
            </w:r>
          </w:p>
        </w:tc>
      </w:tr>
      <w:tr w:rsidR="006B15F5" w:rsidRPr="009665F3" w14:paraId="4BC7851B" w14:textId="77777777" w:rsidTr="00147C8B">
        <w:trPr>
          <w:trHeight w:val="288"/>
        </w:trPr>
        <w:tc>
          <w:tcPr>
            <w:tcW w:w="3481" w:type="dxa"/>
            <w:vAlign w:val="center"/>
            <w:hideMark/>
          </w:tcPr>
          <w:p w14:paraId="20A0C9FA" w14:textId="77777777" w:rsidR="006B15F5" w:rsidRPr="009665F3" w:rsidRDefault="006B15F5" w:rsidP="00147C8B">
            <w:pPr>
              <w:spacing w:before="0" w:after="0" w:line="240" w:lineRule="auto"/>
              <w:jc w:val="both"/>
              <w:rPr>
                <w:sz w:val="18"/>
                <w:szCs w:val="18"/>
              </w:rPr>
            </w:pPr>
            <w:r>
              <w:rPr>
                <w:sz w:val="18"/>
                <w:szCs w:val="18"/>
              </w:rPr>
              <w:t xml:space="preserve"> </w:t>
            </w:r>
            <w:r w:rsidRPr="009665F3">
              <w:rPr>
                <w:sz w:val="18"/>
                <w:szCs w:val="18"/>
              </w:rPr>
              <w:t xml:space="preserve">արտաքին աղբյուրներ </w:t>
            </w:r>
          </w:p>
        </w:tc>
        <w:tc>
          <w:tcPr>
            <w:tcW w:w="935" w:type="dxa"/>
            <w:vAlign w:val="center"/>
          </w:tcPr>
          <w:p w14:paraId="53714061" w14:textId="77777777" w:rsidR="006B15F5" w:rsidRPr="009665F3" w:rsidRDefault="006B15F5" w:rsidP="00147C8B">
            <w:pPr>
              <w:spacing w:before="0" w:after="0" w:line="240" w:lineRule="auto"/>
              <w:jc w:val="center"/>
              <w:rPr>
                <w:sz w:val="18"/>
                <w:szCs w:val="18"/>
              </w:rPr>
            </w:pPr>
            <w:r>
              <w:rPr>
                <w:rFonts w:ascii="GHEA Grapalat" w:hAnsi="GHEA Grapalat"/>
                <w:color w:val="404040"/>
                <w:sz w:val="18"/>
                <w:szCs w:val="18"/>
              </w:rPr>
              <w:t>9</w:t>
            </w:r>
          </w:p>
        </w:tc>
        <w:tc>
          <w:tcPr>
            <w:tcW w:w="940" w:type="dxa"/>
            <w:vAlign w:val="center"/>
          </w:tcPr>
          <w:p w14:paraId="3ABFAACC" w14:textId="77777777" w:rsidR="006B15F5" w:rsidRPr="009665F3" w:rsidRDefault="006B15F5" w:rsidP="00147C8B">
            <w:pPr>
              <w:spacing w:before="0" w:after="0" w:line="240" w:lineRule="auto"/>
              <w:jc w:val="center"/>
              <w:rPr>
                <w:sz w:val="18"/>
                <w:szCs w:val="18"/>
              </w:rPr>
            </w:pPr>
            <w:r>
              <w:rPr>
                <w:rFonts w:ascii="GHEA Grapalat" w:hAnsi="GHEA Grapalat"/>
                <w:color w:val="404040"/>
                <w:sz w:val="18"/>
                <w:szCs w:val="18"/>
              </w:rPr>
              <w:t>14.2</w:t>
            </w:r>
          </w:p>
        </w:tc>
        <w:tc>
          <w:tcPr>
            <w:tcW w:w="940" w:type="dxa"/>
            <w:vAlign w:val="center"/>
          </w:tcPr>
          <w:p w14:paraId="66081A9D" w14:textId="77777777" w:rsidR="006B15F5" w:rsidRPr="009665F3" w:rsidRDefault="006B15F5" w:rsidP="00147C8B">
            <w:pPr>
              <w:spacing w:before="0" w:after="0" w:line="240" w:lineRule="auto"/>
              <w:jc w:val="center"/>
              <w:rPr>
                <w:sz w:val="18"/>
                <w:szCs w:val="18"/>
              </w:rPr>
            </w:pPr>
            <w:r>
              <w:rPr>
                <w:rFonts w:ascii="GHEA Grapalat" w:hAnsi="GHEA Grapalat"/>
                <w:color w:val="404040"/>
                <w:sz w:val="18"/>
                <w:szCs w:val="18"/>
              </w:rPr>
              <w:t>17.8</w:t>
            </w:r>
          </w:p>
        </w:tc>
        <w:tc>
          <w:tcPr>
            <w:tcW w:w="940" w:type="dxa"/>
            <w:vAlign w:val="center"/>
          </w:tcPr>
          <w:p w14:paraId="5FF1F650" w14:textId="77777777" w:rsidR="006B15F5" w:rsidRPr="009665F3" w:rsidRDefault="006B15F5" w:rsidP="00147C8B">
            <w:pPr>
              <w:spacing w:before="0" w:after="0" w:line="240" w:lineRule="auto"/>
              <w:jc w:val="center"/>
              <w:rPr>
                <w:sz w:val="18"/>
                <w:szCs w:val="18"/>
              </w:rPr>
            </w:pPr>
            <w:r>
              <w:rPr>
                <w:rFonts w:ascii="GHEA Grapalat" w:hAnsi="GHEA Grapalat"/>
                <w:color w:val="404040"/>
                <w:sz w:val="18"/>
                <w:szCs w:val="18"/>
              </w:rPr>
              <w:t>14.2</w:t>
            </w:r>
          </w:p>
        </w:tc>
        <w:tc>
          <w:tcPr>
            <w:tcW w:w="777" w:type="dxa"/>
            <w:tcBorders>
              <w:top w:val="nil"/>
              <w:left w:val="nil"/>
              <w:bottom w:val="single" w:sz="8" w:space="0" w:color="E1E1E3"/>
              <w:right w:val="single" w:sz="8" w:space="0" w:color="E1E1E3"/>
            </w:tcBorders>
            <w:shd w:val="clear" w:color="auto" w:fill="auto"/>
            <w:vAlign w:val="center"/>
          </w:tcPr>
          <w:p w14:paraId="60834FE0" w14:textId="77777777" w:rsidR="006B15F5" w:rsidRDefault="006B15F5" w:rsidP="00147C8B">
            <w:pPr>
              <w:spacing w:before="0" w:after="0" w:line="240" w:lineRule="auto"/>
              <w:jc w:val="center"/>
              <w:rPr>
                <w:rFonts w:ascii="GHEA Grapalat" w:hAnsi="GHEA Grapalat" w:cs="Calibri"/>
                <w:color w:val="404040"/>
                <w:sz w:val="18"/>
                <w:szCs w:val="18"/>
              </w:rPr>
            </w:pPr>
            <w:r>
              <w:rPr>
                <w:rFonts w:ascii="GHEA Grapalat" w:hAnsi="GHEA Grapalat" w:cs="Calibri"/>
                <w:color w:val="404040"/>
                <w:sz w:val="18"/>
                <w:szCs w:val="18"/>
              </w:rPr>
              <w:t>8.8</w:t>
            </w:r>
          </w:p>
        </w:tc>
        <w:tc>
          <w:tcPr>
            <w:tcW w:w="777" w:type="dxa"/>
            <w:tcBorders>
              <w:top w:val="nil"/>
              <w:left w:val="nil"/>
              <w:bottom w:val="single" w:sz="8" w:space="0" w:color="E1E1E3"/>
              <w:right w:val="single" w:sz="8" w:space="0" w:color="E1E1E3"/>
            </w:tcBorders>
            <w:shd w:val="clear" w:color="auto" w:fill="auto"/>
            <w:vAlign w:val="center"/>
          </w:tcPr>
          <w:p w14:paraId="289C2509" w14:textId="77777777" w:rsidR="006B15F5" w:rsidRDefault="006B15F5" w:rsidP="00147C8B">
            <w:pPr>
              <w:spacing w:before="0" w:after="0" w:line="240" w:lineRule="auto"/>
              <w:jc w:val="center"/>
              <w:rPr>
                <w:rFonts w:ascii="GHEA Grapalat" w:hAnsi="GHEA Grapalat" w:cs="Calibri"/>
                <w:color w:val="404040"/>
                <w:sz w:val="18"/>
                <w:szCs w:val="18"/>
              </w:rPr>
            </w:pPr>
            <w:r>
              <w:rPr>
                <w:rFonts w:ascii="GHEA Grapalat" w:hAnsi="GHEA Grapalat" w:cs="Calibri"/>
                <w:color w:val="404040"/>
                <w:sz w:val="18"/>
                <w:szCs w:val="18"/>
              </w:rPr>
              <w:t>2.8</w:t>
            </w:r>
          </w:p>
        </w:tc>
        <w:tc>
          <w:tcPr>
            <w:tcW w:w="777" w:type="dxa"/>
            <w:tcBorders>
              <w:top w:val="nil"/>
              <w:left w:val="nil"/>
              <w:bottom w:val="single" w:sz="8" w:space="0" w:color="E1E1E3"/>
              <w:right w:val="single" w:sz="8" w:space="0" w:color="E1E1E3"/>
            </w:tcBorders>
            <w:shd w:val="clear" w:color="auto" w:fill="auto"/>
            <w:vAlign w:val="center"/>
          </w:tcPr>
          <w:p w14:paraId="094589E3" w14:textId="77777777" w:rsidR="006B15F5" w:rsidRDefault="006B15F5" w:rsidP="00147C8B">
            <w:pPr>
              <w:spacing w:before="0" w:after="0" w:line="240" w:lineRule="auto"/>
              <w:jc w:val="center"/>
              <w:rPr>
                <w:rFonts w:ascii="GHEA Grapalat" w:hAnsi="GHEA Grapalat" w:cs="Calibri"/>
                <w:color w:val="404040"/>
                <w:sz w:val="18"/>
                <w:szCs w:val="18"/>
              </w:rPr>
            </w:pPr>
            <w:r>
              <w:rPr>
                <w:rFonts w:ascii="GHEA Grapalat" w:hAnsi="GHEA Grapalat" w:cs="Calibri"/>
                <w:color w:val="404040"/>
                <w:sz w:val="18"/>
                <w:szCs w:val="18"/>
              </w:rPr>
              <w:t>0.0</w:t>
            </w:r>
          </w:p>
        </w:tc>
      </w:tr>
      <w:tr w:rsidR="006B15F5" w:rsidRPr="009665F3" w14:paraId="58160AD7" w14:textId="77777777" w:rsidTr="00147C8B">
        <w:trPr>
          <w:trHeight w:val="288"/>
        </w:trPr>
        <w:tc>
          <w:tcPr>
            <w:tcW w:w="3481" w:type="dxa"/>
            <w:vAlign w:val="center"/>
            <w:hideMark/>
          </w:tcPr>
          <w:p w14:paraId="404A4D20" w14:textId="77777777" w:rsidR="006B15F5" w:rsidRPr="009665F3" w:rsidRDefault="006B15F5" w:rsidP="00147C8B">
            <w:pPr>
              <w:spacing w:before="0" w:after="0" w:line="240" w:lineRule="auto"/>
              <w:jc w:val="both"/>
              <w:rPr>
                <w:sz w:val="18"/>
                <w:szCs w:val="18"/>
              </w:rPr>
            </w:pPr>
            <w:r w:rsidRPr="009665F3">
              <w:rPr>
                <w:sz w:val="18"/>
                <w:szCs w:val="18"/>
              </w:rPr>
              <w:t xml:space="preserve"> ներքին աղբյուրներ </w:t>
            </w:r>
          </w:p>
        </w:tc>
        <w:tc>
          <w:tcPr>
            <w:tcW w:w="935" w:type="dxa"/>
            <w:vAlign w:val="center"/>
          </w:tcPr>
          <w:p w14:paraId="7D7DA92D" w14:textId="77777777" w:rsidR="006B15F5" w:rsidRPr="009665F3" w:rsidRDefault="006B15F5" w:rsidP="00147C8B">
            <w:pPr>
              <w:spacing w:before="0" w:after="0" w:line="240" w:lineRule="auto"/>
              <w:jc w:val="center"/>
              <w:rPr>
                <w:sz w:val="18"/>
                <w:szCs w:val="18"/>
              </w:rPr>
            </w:pPr>
            <w:r>
              <w:rPr>
                <w:rFonts w:ascii="GHEA Grapalat" w:hAnsi="GHEA Grapalat"/>
                <w:color w:val="404040"/>
                <w:sz w:val="18"/>
                <w:szCs w:val="18"/>
              </w:rPr>
              <w:t>24.4</w:t>
            </w:r>
          </w:p>
        </w:tc>
        <w:tc>
          <w:tcPr>
            <w:tcW w:w="940" w:type="dxa"/>
            <w:vAlign w:val="center"/>
          </w:tcPr>
          <w:p w14:paraId="58D01A68" w14:textId="77777777" w:rsidR="006B15F5" w:rsidRPr="009665F3" w:rsidRDefault="006B15F5" w:rsidP="00147C8B">
            <w:pPr>
              <w:spacing w:before="0" w:after="0" w:line="240" w:lineRule="auto"/>
              <w:jc w:val="center"/>
              <w:rPr>
                <w:sz w:val="18"/>
                <w:szCs w:val="18"/>
              </w:rPr>
            </w:pPr>
            <w:r>
              <w:rPr>
                <w:rFonts w:ascii="GHEA Grapalat" w:hAnsi="GHEA Grapalat"/>
                <w:color w:val="404040"/>
                <w:sz w:val="18"/>
                <w:szCs w:val="18"/>
              </w:rPr>
              <w:t>15.4</w:t>
            </w:r>
          </w:p>
        </w:tc>
        <w:tc>
          <w:tcPr>
            <w:tcW w:w="940" w:type="dxa"/>
            <w:vAlign w:val="center"/>
          </w:tcPr>
          <w:p w14:paraId="4291F9BF" w14:textId="77777777" w:rsidR="006B15F5" w:rsidRPr="009665F3" w:rsidRDefault="006B15F5" w:rsidP="00147C8B">
            <w:pPr>
              <w:spacing w:before="0" w:after="0" w:line="240" w:lineRule="auto"/>
              <w:jc w:val="center"/>
              <w:rPr>
                <w:sz w:val="18"/>
                <w:szCs w:val="18"/>
              </w:rPr>
            </w:pPr>
            <w:r>
              <w:rPr>
                <w:rFonts w:ascii="GHEA Grapalat" w:hAnsi="GHEA Grapalat"/>
                <w:color w:val="404040"/>
                <w:sz w:val="18"/>
                <w:szCs w:val="18"/>
              </w:rPr>
              <w:t>45.1</w:t>
            </w:r>
          </w:p>
        </w:tc>
        <w:tc>
          <w:tcPr>
            <w:tcW w:w="940" w:type="dxa"/>
            <w:vAlign w:val="center"/>
          </w:tcPr>
          <w:p w14:paraId="7526F8CA" w14:textId="77777777" w:rsidR="006B15F5" w:rsidRPr="009665F3" w:rsidRDefault="006B15F5" w:rsidP="00147C8B">
            <w:pPr>
              <w:spacing w:before="0" w:after="0" w:line="240" w:lineRule="auto"/>
              <w:jc w:val="center"/>
              <w:rPr>
                <w:sz w:val="18"/>
                <w:szCs w:val="18"/>
              </w:rPr>
            </w:pPr>
            <w:r>
              <w:rPr>
                <w:rFonts w:ascii="GHEA Grapalat" w:hAnsi="GHEA Grapalat"/>
                <w:color w:val="404040"/>
                <w:sz w:val="18"/>
                <w:szCs w:val="18"/>
              </w:rPr>
              <w:t>110.9</w:t>
            </w:r>
          </w:p>
        </w:tc>
        <w:tc>
          <w:tcPr>
            <w:tcW w:w="777" w:type="dxa"/>
            <w:tcBorders>
              <w:top w:val="nil"/>
              <w:left w:val="nil"/>
              <w:bottom w:val="single" w:sz="8" w:space="0" w:color="E1E1E3"/>
              <w:right w:val="single" w:sz="8" w:space="0" w:color="E1E1E3"/>
            </w:tcBorders>
            <w:shd w:val="clear" w:color="auto" w:fill="auto"/>
            <w:vAlign w:val="center"/>
          </w:tcPr>
          <w:p w14:paraId="73234681" w14:textId="77777777" w:rsidR="006B15F5" w:rsidRDefault="006B15F5" w:rsidP="00147C8B">
            <w:pPr>
              <w:spacing w:before="0" w:after="0" w:line="240" w:lineRule="auto"/>
              <w:jc w:val="center"/>
              <w:rPr>
                <w:rFonts w:ascii="GHEA Grapalat" w:hAnsi="GHEA Grapalat" w:cs="Calibri"/>
                <w:color w:val="404040"/>
                <w:sz w:val="18"/>
                <w:szCs w:val="18"/>
              </w:rPr>
            </w:pPr>
            <w:r>
              <w:rPr>
                <w:rFonts w:ascii="GHEA Grapalat" w:hAnsi="GHEA Grapalat" w:cs="Calibri"/>
                <w:color w:val="404040"/>
                <w:sz w:val="18"/>
                <w:szCs w:val="18"/>
              </w:rPr>
              <w:t>156.1</w:t>
            </w:r>
          </w:p>
        </w:tc>
        <w:tc>
          <w:tcPr>
            <w:tcW w:w="777" w:type="dxa"/>
            <w:tcBorders>
              <w:top w:val="nil"/>
              <w:left w:val="nil"/>
              <w:bottom w:val="single" w:sz="8" w:space="0" w:color="E1E1E3"/>
              <w:right w:val="single" w:sz="8" w:space="0" w:color="E1E1E3"/>
            </w:tcBorders>
            <w:shd w:val="clear" w:color="auto" w:fill="auto"/>
            <w:vAlign w:val="center"/>
          </w:tcPr>
          <w:p w14:paraId="2B54BD13" w14:textId="77777777" w:rsidR="006B15F5" w:rsidRDefault="006B15F5" w:rsidP="00147C8B">
            <w:pPr>
              <w:spacing w:before="0" w:after="0" w:line="240" w:lineRule="auto"/>
              <w:jc w:val="center"/>
              <w:rPr>
                <w:rFonts w:ascii="GHEA Grapalat" w:hAnsi="GHEA Grapalat" w:cs="Calibri"/>
                <w:color w:val="404040"/>
                <w:sz w:val="18"/>
                <w:szCs w:val="18"/>
              </w:rPr>
            </w:pPr>
            <w:r>
              <w:rPr>
                <w:rFonts w:ascii="GHEA Grapalat" w:hAnsi="GHEA Grapalat" w:cs="Calibri"/>
                <w:color w:val="404040"/>
                <w:sz w:val="18"/>
                <w:szCs w:val="18"/>
              </w:rPr>
              <w:t>101.2</w:t>
            </w:r>
          </w:p>
        </w:tc>
        <w:tc>
          <w:tcPr>
            <w:tcW w:w="777" w:type="dxa"/>
            <w:tcBorders>
              <w:top w:val="nil"/>
              <w:left w:val="nil"/>
              <w:bottom w:val="single" w:sz="8" w:space="0" w:color="E1E1E3"/>
              <w:right w:val="single" w:sz="8" w:space="0" w:color="E1E1E3"/>
            </w:tcBorders>
            <w:shd w:val="clear" w:color="auto" w:fill="auto"/>
            <w:vAlign w:val="center"/>
          </w:tcPr>
          <w:p w14:paraId="6CE63F44" w14:textId="77777777" w:rsidR="006B15F5" w:rsidRDefault="006B15F5" w:rsidP="00147C8B">
            <w:pPr>
              <w:spacing w:before="0" w:after="0" w:line="240" w:lineRule="auto"/>
              <w:jc w:val="center"/>
              <w:rPr>
                <w:rFonts w:ascii="GHEA Grapalat" w:hAnsi="GHEA Grapalat" w:cs="Calibri"/>
                <w:color w:val="404040"/>
                <w:sz w:val="18"/>
                <w:szCs w:val="18"/>
              </w:rPr>
            </w:pPr>
            <w:r>
              <w:rPr>
                <w:rFonts w:ascii="GHEA Grapalat" w:hAnsi="GHEA Grapalat" w:cs="Calibri"/>
                <w:color w:val="404040"/>
                <w:sz w:val="18"/>
                <w:szCs w:val="18"/>
              </w:rPr>
              <w:t>174.9</w:t>
            </w:r>
          </w:p>
        </w:tc>
      </w:tr>
      <w:tr w:rsidR="006B15F5" w:rsidRPr="009665F3" w14:paraId="39F6EF8A" w14:textId="77777777" w:rsidTr="00147C8B">
        <w:trPr>
          <w:trHeight w:val="288"/>
        </w:trPr>
        <w:tc>
          <w:tcPr>
            <w:tcW w:w="3481" w:type="dxa"/>
            <w:vAlign w:val="center"/>
            <w:hideMark/>
          </w:tcPr>
          <w:p w14:paraId="60AAACC0" w14:textId="77777777" w:rsidR="006B15F5" w:rsidRPr="009665F3" w:rsidRDefault="006B15F5" w:rsidP="00147C8B">
            <w:pPr>
              <w:spacing w:before="0" w:after="0" w:line="240" w:lineRule="auto"/>
              <w:jc w:val="both"/>
              <w:rPr>
                <w:sz w:val="18"/>
                <w:szCs w:val="18"/>
              </w:rPr>
            </w:pPr>
            <w:r w:rsidRPr="009665F3">
              <w:rPr>
                <w:sz w:val="18"/>
                <w:szCs w:val="18"/>
              </w:rPr>
              <w:t xml:space="preserve"> Սոցիալական </w:t>
            </w:r>
          </w:p>
        </w:tc>
        <w:tc>
          <w:tcPr>
            <w:tcW w:w="935" w:type="dxa"/>
            <w:vAlign w:val="center"/>
          </w:tcPr>
          <w:p w14:paraId="0EB22901" w14:textId="77777777" w:rsidR="006B15F5" w:rsidRPr="009665F3" w:rsidRDefault="006B15F5" w:rsidP="00147C8B">
            <w:pPr>
              <w:spacing w:before="0" w:after="0" w:line="240" w:lineRule="auto"/>
              <w:jc w:val="center"/>
              <w:rPr>
                <w:sz w:val="18"/>
                <w:szCs w:val="18"/>
              </w:rPr>
            </w:pPr>
            <w:r>
              <w:rPr>
                <w:rFonts w:ascii="GHEA Grapalat" w:hAnsi="GHEA Grapalat"/>
                <w:color w:val="404040"/>
                <w:sz w:val="18"/>
                <w:szCs w:val="18"/>
              </w:rPr>
              <w:t>2.9</w:t>
            </w:r>
          </w:p>
        </w:tc>
        <w:tc>
          <w:tcPr>
            <w:tcW w:w="940" w:type="dxa"/>
            <w:vAlign w:val="center"/>
          </w:tcPr>
          <w:p w14:paraId="63DBCA60" w14:textId="77777777" w:rsidR="006B15F5" w:rsidRPr="009665F3" w:rsidRDefault="006B15F5" w:rsidP="00147C8B">
            <w:pPr>
              <w:spacing w:before="0" w:after="0" w:line="240" w:lineRule="auto"/>
              <w:jc w:val="center"/>
              <w:rPr>
                <w:sz w:val="18"/>
                <w:szCs w:val="18"/>
              </w:rPr>
            </w:pPr>
            <w:r>
              <w:rPr>
                <w:rFonts w:ascii="GHEA Grapalat" w:hAnsi="GHEA Grapalat"/>
                <w:color w:val="404040"/>
                <w:sz w:val="18"/>
                <w:szCs w:val="18"/>
              </w:rPr>
              <w:t>1.4</w:t>
            </w:r>
          </w:p>
        </w:tc>
        <w:tc>
          <w:tcPr>
            <w:tcW w:w="940" w:type="dxa"/>
            <w:vAlign w:val="center"/>
          </w:tcPr>
          <w:p w14:paraId="01EFBBDE" w14:textId="77777777" w:rsidR="006B15F5" w:rsidRPr="009665F3" w:rsidRDefault="006B15F5" w:rsidP="00147C8B">
            <w:pPr>
              <w:spacing w:before="0" w:after="0" w:line="240" w:lineRule="auto"/>
              <w:jc w:val="center"/>
              <w:rPr>
                <w:sz w:val="18"/>
                <w:szCs w:val="18"/>
              </w:rPr>
            </w:pPr>
            <w:r>
              <w:rPr>
                <w:rFonts w:ascii="GHEA Grapalat" w:hAnsi="GHEA Grapalat"/>
                <w:color w:val="404040"/>
                <w:sz w:val="18"/>
                <w:szCs w:val="18"/>
              </w:rPr>
              <w:t>1.0</w:t>
            </w:r>
          </w:p>
        </w:tc>
        <w:tc>
          <w:tcPr>
            <w:tcW w:w="940" w:type="dxa"/>
            <w:vAlign w:val="center"/>
          </w:tcPr>
          <w:p w14:paraId="6506D1D8" w14:textId="77777777" w:rsidR="006B15F5" w:rsidRPr="009665F3" w:rsidRDefault="006B15F5" w:rsidP="00147C8B">
            <w:pPr>
              <w:spacing w:before="0" w:after="0" w:line="240" w:lineRule="auto"/>
              <w:jc w:val="center"/>
              <w:rPr>
                <w:sz w:val="18"/>
                <w:szCs w:val="18"/>
              </w:rPr>
            </w:pPr>
            <w:r>
              <w:rPr>
                <w:rFonts w:ascii="GHEA Grapalat" w:hAnsi="GHEA Grapalat"/>
                <w:color w:val="404040"/>
                <w:sz w:val="18"/>
                <w:szCs w:val="18"/>
              </w:rPr>
              <w:t>2.1</w:t>
            </w:r>
          </w:p>
        </w:tc>
        <w:tc>
          <w:tcPr>
            <w:tcW w:w="777" w:type="dxa"/>
            <w:tcBorders>
              <w:top w:val="nil"/>
              <w:left w:val="nil"/>
              <w:bottom w:val="single" w:sz="8" w:space="0" w:color="E1E1E3"/>
              <w:right w:val="single" w:sz="8" w:space="0" w:color="E1E1E3"/>
            </w:tcBorders>
            <w:shd w:val="clear" w:color="auto" w:fill="auto"/>
            <w:vAlign w:val="center"/>
          </w:tcPr>
          <w:p w14:paraId="51AD2D07" w14:textId="77777777" w:rsidR="006B15F5" w:rsidRDefault="006B15F5" w:rsidP="00147C8B">
            <w:pPr>
              <w:spacing w:before="0" w:after="0" w:line="240" w:lineRule="auto"/>
              <w:jc w:val="center"/>
              <w:rPr>
                <w:rFonts w:ascii="GHEA Grapalat" w:hAnsi="GHEA Grapalat" w:cs="Calibri"/>
                <w:color w:val="404040"/>
                <w:sz w:val="18"/>
                <w:szCs w:val="18"/>
              </w:rPr>
            </w:pPr>
            <w:r>
              <w:rPr>
                <w:rFonts w:ascii="GHEA Grapalat" w:hAnsi="GHEA Grapalat" w:cs="Calibri"/>
                <w:color w:val="404040"/>
                <w:sz w:val="18"/>
                <w:szCs w:val="18"/>
              </w:rPr>
              <w:t>2.4</w:t>
            </w:r>
          </w:p>
        </w:tc>
        <w:tc>
          <w:tcPr>
            <w:tcW w:w="777" w:type="dxa"/>
            <w:tcBorders>
              <w:top w:val="nil"/>
              <w:left w:val="nil"/>
              <w:bottom w:val="single" w:sz="8" w:space="0" w:color="E1E1E3"/>
              <w:right w:val="single" w:sz="8" w:space="0" w:color="E1E1E3"/>
            </w:tcBorders>
            <w:shd w:val="clear" w:color="auto" w:fill="auto"/>
            <w:vAlign w:val="center"/>
          </w:tcPr>
          <w:p w14:paraId="7BA5430D" w14:textId="77777777" w:rsidR="006B15F5" w:rsidRDefault="006B15F5" w:rsidP="00147C8B">
            <w:pPr>
              <w:spacing w:before="0" w:after="0" w:line="240" w:lineRule="auto"/>
              <w:jc w:val="center"/>
              <w:rPr>
                <w:rFonts w:ascii="GHEA Grapalat" w:hAnsi="GHEA Grapalat" w:cs="Calibri"/>
                <w:color w:val="404040"/>
                <w:sz w:val="18"/>
                <w:szCs w:val="18"/>
              </w:rPr>
            </w:pPr>
            <w:r>
              <w:rPr>
                <w:rFonts w:ascii="GHEA Grapalat" w:hAnsi="GHEA Grapalat" w:cs="Calibri"/>
                <w:color w:val="404040"/>
                <w:sz w:val="18"/>
                <w:szCs w:val="18"/>
              </w:rPr>
              <w:t>3.9</w:t>
            </w:r>
          </w:p>
        </w:tc>
        <w:tc>
          <w:tcPr>
            <w:tcW w:w="777" w:type="dxa"/>
            <w:tcBorders>
              <w:top w:val="nil"/>
              <w:left w:val="nil"/>
              <w:bottom w:val="single" w:sz="8" w:space="0" w:color="E1E1E3"/>
              <w:right w:val="single" w:sz="8" w:space="0" w:color="E1E1E3"/>
            </w:tcBorders>
            <w:shd w:val="clear" w:color="auto" w:fill="auto"/>
            <w:vAlign w:val="center"/>
          </w:tcPr>
          <w:p w14:paraId="0E0A3DF1" w14:textId="77777777" w:rsidR="006B15F5" w:rsidRDefault="006B15F5" w:rsidP="00147C8B">
            <w:pPr>
              <w:spacing w:before="0" w:after="0" w:line="240" w:lineRule="auto"/>
              <w:jc w:val="center"/>
              <w:rPr>
                <w:rFonts w:ascii="GHEA Grapalat" w:hAnsi="GHEA Grapalat" w:cs="Calibri"/>
                <w:color w:val="404040"/>
                <w:sz w:val="18"/>
                <w:szCs w:val="18"/>
              </w:rPr>
            </w:pPr>
            <w:r>
              <w:rPr>
                <w:rFonts w:ascii="GHEA Grapalat" w:hAnsi="GHEA Grapalat" w:cs="Calibri"/>
                <w:color w:val="404040"/>
                <w:sz w:val="18"/>
                <w:szCs w:val="18"/>
              </w:rPr>
              <w:t>8.6</w:t>
            </w:r>
          </w:p>
        </w:tc>
      </w:tr>
      <w:tr w:rsidR="006B15F5" w:rsidRPr="009665F3" w14:paraId="5683BF89" w14:textId="77777777" w:rsidTr="00147C8B">
        <w:trPr>
          <w:trHeight w:val="288"/>
        </w:trPr>
        <w:tc>
          <w:tcPr>
            <w:tcW w:w="3481" w:type="dxa"/>
            <w:vAlign w:val="center"/>
            <w:hideMark/>
          </w:tcPr>
          <w:p w14:paraId="51504252" w14:textId="77777777" w:rsidR="006B15F5" w:rsidRPr="009665F3" w:rsidRDefault="006B15F5" w:rsidP="00147C8B">
            <w:pPr>
              <w:spacing w:before="0" w:after="0" w:line="240" w:lineRule="auto"/>
              <w:jc w:val="both"/>
              <w:rPr>
                <w:sz w:val="18"/>
                <w:szCs w:val="18"/>
              </w:rPr>
            </w:pPr>
            <w:r>
              <w:rPr>
                <w:sz w:val="18"/>
                <w:szCs w:val="18"/>
              </w:rPr>
              <w:t xml:space="preserve"> </w:t>
            </w:r>
            <w:r w:rsidRPr="009665F3">
              <w:rPr>
                <w:sz w:val="18"/>
                <w:szCs w:val="18"/>
              </w:rPr>
              <w:t xml:space="preserve">արտաքին աղբյուրներ </w:t>
            </w:r>
          </w:p>
        </w:tc>
        <w:tc>
          <w:tcPr>
            <w:tcW w:w="935" w:type="dxa"/>
            <w:vAlign w:val="center"/>
          </w:tcPr>
          <w:p w14:paraId="0F0D1EAE" w14:textId="77777777" w:rsidR="006B15F5" w:rsidRPr="009665F3" w:rsidRDefault="006B15F5" w:rsidP="00147C8B">
            <w:pPr>
              <w:spacing w:before="0" w:after="0" w:line="240" w:lineRule="auto"/>
              <w:jc w:val="center"/>
              <w:rPr>
                <w:sz w:val="18"/>
                <w:szCs w:val="18"/>
              </w:rPr>
            </w:pPr>
            <w:r>
              <w:rPr>
                <w:rFonts w:ascii="GHEA Grapalat" w:hAnsi="GHEA Grapalat"/>
                <w:color w:val="404040"/>
                <w:sz w:val="18"/>
                <w:szCs w:val="18"/>
              </w:rPr>
              <w:t>2.6</w:t>
            </w:r>
          </w:p>
        </w:tc>
        <w:tc>
          <w:tcPr>
            <w:tcW w:w="940" w:type="dxa"/>
            <w:vAlign w:val="center"/>
          </w:tcPr>
          <w:p w14:paraId="055EB95A" w14:textId="77777777" w:rsidR="006B15F5" w:rsidRPr="009665F3" w:rsidRDefault="006B15F5" w:rsidP="00147C8B">
            <w:pPr>
              <w:spacing w:before="0" w:after="0" w:line="240" w:lineRule="auto"/>
              <w:jc w:val="center"/>
              <w:rPr>
                <w:sz w:val="18"/>
                <w:szCs w:val="18"/>
              </w:rPr>
            </w:pPr>
            <w:r>
              <w:rPr>
                <w:rFonts w:ascii="GHEA Grapalat" w:hAnsi="GHEA Grapalat"/>
                <w:color w:val="404040"/>
                <w:sz w:val="18"/>
                <w:szCs w:val="18"/>
              </w:rPr>
              <w:t>1.3</w:t>
            </w:r>
          </w:p>
        </w:tc>
        <w:tc>
          <w:tcPr>
            <w:tcW w:w="940" w:type="dxa"/>
            <w:vAlign w:val="center"/>
          </w:tcPr>
          <w:p w14:paraId="1DF977C1" w14:textId="77777777" w:rsidR="006B15F5" w:rsidRPr="009665F3" w:rsidRDefault="006B15F5" w:rsidP="00147C8B">
            <w:pPr>
              <w:spacing w:before="0" w:after="0" w:line="240" w:lineRule="auto"/>
              <w:jc w:val="center"/>
              <w:rPr>
                <w:sz w:val="18"/>
                <w:szCs w:val="18"/>
              </w:rPr>
            </w:pPr>
            <w:r>
              <w:rPr>
                <w:rFonts w:ascii="GHEA Grapalat" w:hAnsi="GHEA Grapalat"/>
                <w:color w:val="404040"/>
                <w:sz w:val="18"/>
                <w:szCs w:val="18"/>
              </w:rPr>
              <w:t>0.6</w:t>
            </w:r>
          </w:p>
        </w:tc>
        <w:tc>
          <w:tcPr>
            <w:tcW w:w="940" w:type="dxa"/>
            <w:vAlign w:val="center"/>
          </w:tcPr>
          <w:p w14:paraId="0673FA96" w14:textId="77777777" w:rsidR="006B15F5" w:rsidRPr="009665F3" w:rsidRDefault="006B15F5" w:rsidP="00147C8B">
            <w:pPr>
              <w:spacing w:before="0" w:after="0" w:line="240" w:lineRule="auto"/>
              <w:jc w:val="center"/>
              <w:rPr>
                <w:sz w:val="18"/>
                <w:szCs w:val="18"/>
              </w:rPr>
            </w:pPr>
            <w:r>
              <w:rPr>
                <w:rFonts w:ascii="GHEA Grapalat" w:hAnsi="GHEA Grapalat"/>
                <w:color w:val="404040"/>
                <w:sz w:val="18"/>
                <w:szCs w:val="18"/>
              </w:rPr>
              <w:t>0</w:t>
            </w:r>
          </w:p>
        </w:tc>
        <w:tc>
          <w:tcPr>
            <w:tcW w:w="777" w:type="dxa"/>
            <w:tcBorders>
              <w:top w:val="nil"/>
              <w:left w:val="nil"/>
              <w:bottom w:val="single" w:sz="8" w:space="0" w:color="E1E1E3"/>
              <w:right w:val="single" w:sz="8" w:space="0" w:color="E1E1E3"/>
            </w:tcBorders>
            <w:shd w:val="clear" w:color="auto" w:fill="auto"/>
            <w:vAlign w:val="center"/>
          </w:tcPr>
          <w:p w14:paraId="2A610D4F" w14:textId="77777777" w:rsidR="006B15F5" w:rsidRDefault="006B15F5" w:rsidP="00147C8B">
            <w:pPr>
              <w:spacing w:before="0" w:after="0" w:line="240" w:lineRule="auto"/>
              <w:jc w:val="center"/>
              <w:rPr>
                <w:rFonts w:ascii="GHEA Grapalat" w:hAnsi="GHEA Grapalat" w:cs="Calibri"/>
                <w:color w:val="404040"/>
                <w:sz w:val="18"/>
                <w:szCs w:val="18"/>
              </w:rPr>
            </w:pPr>
            <w:r>
              <w:rPr>
                <w:rFonts w:ascii="GHEA Grapalat" w:hAnsi="GHEA Grapalat" w:cs="Calibri"/>
                <w:color w:val="404040"/>
                <w:sz w:val="18"/>
                <w:szCs w:val="18"/>
              </w:rPr>
              <w:t>0</w:t>
            </w:r>
          </w:p>
        </w:tc>
        <w:tc>
          <w:tcPr>
            <w:tcW w:w="777" w:type="dxa"/>
            <w:tcBorders>
              <w:top w:val="nil"/>
              <w:left w:val="nil"/>
              <w:bottom w:val="single" w:sz="8" w:space="0" w:color="E1E1E3"/>
              <w:right w:val="single" w:sz="8" w:space="0" w:color="E1E1E3"/>
            </w:tcBorders>
            <w:shd w:val="clear" w:color="auto" w:fill="auto"/>
            <w:vAlign w:val="center"/>
          </w:tcPr>
          <w:p w14:paraId="684847BE" w14:textId="77777777" w:rsidR="006B15F5" w:rsidRDefault="006B15F5" w:rsidP="00147C8B">
            <w:pPr>
              <w:spacing w:before="0" w:after="0" w:line="240" w:lineRule="auto"/>
              <w:jc w:val="center"/>
              <w:rPr>
                <w:rFonts w:ascii="GHEA Grapalat" w:hAnsi="GHEA Grapalat" w:cs="Calibri"/>
                <w:color w:val="404040"/>
                <w:sz w:val="18"/>
                <w:szCs w:val="18"/>
              </w:rPr>
            </w:pPr>
            <w:r>
              <w:rPr>
                <w:rFonts w:ascii="GHEA Grapalat" w:hAnsi="GHEA Grapalat" w:cs="Calibri"/>
                <w:color w:val="404040"/>
                <w:sz w:val="18"/>
                <w:szCs w:val="18"/>
              </w:rPr>
              <w:t>0</w:t>
            </w:r>
          </w:p>
        </w:tc>
        <w:tc>
          <w:tcPr>
            <w:tcW w:w="777" w:type="dxa"/>
            <w:tcBorders>
              <w:top w:val="nil"/>
              <w:left w:val="nil"/>
              <w:bottom w:val="single" w:sz="8" w:space="0" w:color="E1E1E3"/>
              <w:right w:val="nil"/>
            </w:tcBorders>
            <w:shd w:val="clear" w:color="auto" w:fill="auto"/>
            <w:vAlign w:val="center"/>
          </w:tcPr>
          <w:p w14:paraId="37F53F22" w14:textId="77777777" w:rsidR="006B15F5" w:rsidRDefault="006B15F5" w:rsidP="00147C8B">
            <w:pPr>
              <w:spacing w:before="0" w:after="0" w:line="240" w:lineRule="auto"/>
              <w:jc w:val="center"/>
              <w:rPr>
                <w:rFonts w:ascii="GHEA Grapalat" w:hAnsi="GHEA Grapalat" w:cs="Calibri"/>
                <w:color w:val="404040"/>
                <w:sz w:val="18"/>
                <w:szCs w:val="18"/>
              </w:rPr>
            </w:pPr>
            <w:r>
              <w:rPr>
                <w:rFonts w:ascii="GHEA Grapalat" w:hAnsi="GHEA Grapalat" w:cs="Calibri"/>
                <w:color w:val="404040"/>
                <w:sz w:val="18"/>
                <w:szCs w:val="18"/>
              </w:rPr>
              <w:t>0</w:t>
            </w:r>
          </w:p>
        </w:tc>
      </w:tr>
      <w:tr w:rsidR="006B15F5" w:rsidRPr="009665F3" w14:paraId="2ECBB036" w14:textId="77777777" w:rsidTr="00147C8B">
        <w:trPr>
          <w:trHeight w:val="288"/>
        </w:trPr>
        <w:tc>
          <w:tcPr>
            <w:tcW w:w="3481" w:type="dxa"/>
            <w:vAlign w:val="center"/>
            <w:hideMark/>
          </w:tcPr>
          <w:p w14:paraId="1757CFDA" w14:textId="77777777" w:rsidR="006B15F5" w:rsidRPr="009665F3" w:rsidRDefault="006B15F5" w:rsidP="00147C8B">
            <w:pPr>
              <w:spacing w:before="0" w:after="0" w:line="240" w:lineRule="auto"/>
              <w:jc w:val="both"/>
              <w:rPr>
                <w:sz w:val="18"/>
                <w:szCs w:val="18"/>
              </w:rPr>
            </w:pPr>
            <w:r w:rsidRPr="009665F3">
              <w:rPr>
                <w:sz w:val="18"/>
                <w:szCs w:val="18"/>
              </w:rPr>
              <w:t xml:space="preserve"> ներքին աղբյուրներ </w:t>
            </w:r>
          </w:p>
        </w:tc>
        <w:tc>
          <w:tcPr>
            <w:tcW w:w="935" w:type="dxa"/>
            <w:vAlign w:val="center"/>
          </w:tcPr>
          <w:p w14:paraId="1ECD92F2" w14:textId="77777777" w:rsidR="006B15F5" w:rsidRPr="009665F3" w:rsidRDefault="006B15F5" w:rsidP="00147C8B">
            <w:pPr>
              <w:spacing w:before="0" w:after="0" w:line="240" w:lineRule="auto"/>
              <w:jc w:val="center"/>
              <w:rPr>
                <w:sz w:val="18"/>
                <w:szCs w:val="18"/>
              </w:rPr>
            </w:pPr>
            <w:r>
              <w:rPr>
                <w:rFonts w:ascii="GHEA Grapalat" w:hAnsi="GHEA Grapalat"/>
                <w:color w:val="404040"/>
                <w:sz w:val="18"/>
                <w:szCs w:val="18"/>
              </w:rPr>
              <w:t>0.3</w:t>
            </w:r>
          </w:p>
        </w:tc>
        <w:tc>
          <w:tcPr>
            <w:tcW w:w="940" w:type="dxa"/>
            <w:vAlign w:val="center"/>
          </w:tcPr>
          <w:p w14:paraId="4F8B22F5" w14:textId="77777777" w:rsidR="006B15F5" w:rsidRPr="009665F3" w:rsidRDefault="006B15F5" w:rsidP="00147C8B">
            <w:pPr>
              <w:spacing w:before="0" w:after="0" w:line="240" w:lineRule="auto"/>
              <w:jc w:val="center"/>
              <w:rPr>
                <w:sz w:val="18"/>
                <w:szCs w:val="18"/>
              </w:rPr>
            </w:pPr>
            <w:r>
              <w:rPr>
                <w:rFonts w:ascii="GHEA Grapalat" w:hAnsi="GHEA Grapalat"/>
                <w:color w:val="404040"/>
                <w:sz w:val="18"/>
                <w:szCs w:val="18"/>
              </w:rPr>
              <w:t>0.1</w:t>
            </w:r>
          </w:p>
        </w:tc>
        <w:tc>
          <w:tcPr>
            <w:tcW w:w="940" w:type="dxa"/>
            <w:vAlign w:val="center"/>
          </w:tcPr>
          <w:p w14:paraId="27C8F110" w14:textId="77777777" w:rsidR="006B15F5" w:rsidRPr="009665F3" w:rsidRDefault="006B15F5" w:rsidP="00147C8B">
            <w:pPr>
              <w:spacing w:before="0" w:after="0" w:line="240" w:lineRule="auto"/>
              <w:jc w:val="center"/>
              <w:rPr>
                <w:sz w:val="18"/>
                <w:szCs w:val="18"/>
              </w:rPr>
            </w:pPr>
            <w:r>
              <w:rPr>
                <w:rFonts w:ascii="GHEA Grapalat" w:hAnsi="GHEA Grapalat"/>
                <w:color w:val="404040"/>
                <w:sz w:val="18"/>
                <w:szCs w:val="18"/>
              </w:rPr>
              <w:t>0.4</w:t>
            </w:r>
          </w:p>
        </w:tc>
        <w:tc>
          <w:tcPr>
            <w:tcW w:w="940" w:type="dxa"/>
            <w:vAlign w:val="center"/>
          </w:tcPr>
          <w:p w14:paraId="62D4C768" w14:textId="77777777" w:rsidR="006B15F5" w:rsidRPr="009665F3" w:rsidRDefault="006B15F5" w:rsidP="00147C8B">
            <w:pPr>
              <w:spacing w:before="0" w:after="0" w:line="240" w:lineRule="auto"/>
              <w:jc w:val="center"/>
              <w:rPr>
                <w:sz w:val="18"/>
                <w:szCs w:val="18"/>
              </w:rPr>
            </w:pPr>
            <w:r>
              <w:rPr>
                <w:rFonts w:ascii="GHEA Grapalat" w:hAnsi="GHEA Grapalat"/>
                <w:color w:val="404040"/>
                <w:sz w:val="18"/>
                <w:szCs w:val="18"/>
              </w:rPr>
              <w:t>2.1</w:t>
            </w:r>
          </w:p>
        </w:tc>
        <w:tc>
          <w:tcPr>
            <w:tcW w:w="777" w:type="dxa"/>
            <w:tcBorders>
              <w:top w:val="nil"/>
              <w:left w:val="nil"/>
              <w:bottom w:val="single" w:sz="8" w:space="0" w:color="E1E1E3"/>
              <w:right w:val="single" w:sz="8" w:space="0" w:color="E1E1E3"/>
            </w:tcBorders>
            <w:shd w:val="clear" w:color="auto" w:fill="auto"/>
            <w:vAlign w:val="center"/>
          </w:tcPr>
          <w:p w14:paraId="17F2BD65" w14:textId="77777777" w:rsidR="006B15F5" w:rsidRDefault="006B15F5" w:rsidP="00147C8B">
            <w:pPr>
              <w:spacing w:before="0" w:after="0" w:line="240" w:lineRule="auto"/>
              <w:jc w:val="center"/>
              <w:rPr>
                <w:rFonts w:ascii="GHEA Grapalat" w:hAnsi="GHEA Grapalat" w:cs="Calibri"/>
                <w:color w:val="404040"/>
                <w:sz w:val="18"/>
                <w:szCs w:val="18"/>
              </w:rPr>
            </w:pPr>
            <w:r>
              <w:rPr>
                <w:rFonts w:ascii="GHEA Grapalat" w:hAnsi="GHEA Grapalat" w:cs="Calibri"/>
                <w:color w:val="404040"/>
                <w:sz w:val="18"/>
                <w:szCs w:val="18"/>
              </w:rPr>
              <w:t>2.4</w:t>
            </w:r>
          </w:p>
        </w:tc>
        <w:tc>
          <w:tcPr>
            <w:tcW w:w="777" w:type="dxa"/>
            <w:tcBorders>
              <w:top w:val="nil"/>
              <w:left w:val="nil"/>
              <w:bottom w:val="single" w:sz="8" w:space="0" w:color="E1E1E3"/>
              <w:right w:val="single" w:sz="8" w:space="0" w:color="E1E1E3"/>
            </w:tcBorders>
            <w:shd w:val="clear" w:color="auto" w:fill="auto"/>
            <w:vAlign w:val="center"/>
          </w:tcPr>
          <w:p w14:paraId="565892A6" w14:textId="77777777" w:rsidR="006B15F5" w:rsidRDefault="006B15F5" w:rsidP="00147C8B">
            <w:pPr>
              <w:spacing w:before="0" w:after="0" w:line="240" w:lineRule="auto"/>
              <w:jc w:val="center"/>
              <w:rPr>
                <w:rFonts w:ascii="GHEA Grapalat" w:hAnsi="GHEA Grapalat" w:cs="Calibri"/>
                <w:color w:val="404040"/>
                <w:sz w:val="18"/>
                <w:szCs w:val="18"/>
              </w:rPr>
            </w:pPr>
            <w:r>
              <w:rPr>
                <w:rFonts w:ascii="GHEA Grapalat" w:hAnsi="GHEA Grapalat" w:cs="Calibri"/>
                <w:color w:val="404040"/>
                <w:sz w:val="18"/>
                <w:szCs w:val="18"/>
              </w:rPr>
              <w:t>3.9</w:t>
            </w:r>
          </w:p>
        </w:tc>
        <w:tc>
          <w:tcPr>
            <w:tcW w:w="777" w:type="dxa"/>
            <w:tcBorders>
              <w:top w:val="nil"/>
              <w:left w:val="nil"/>
              <w:bottom w:val="single" w:sz="8" w:space="0" w:color="E1E1E3"/>
              <w:right w:val="single" w:sz="8" w:space="0" w:color="E1E1E3"/>
            </w:tcBorders>
            <w:shd w:val="clear" w:color="auto" w:fill="auto"/>
            <w:vAlign w:val="center"/>
          </w:tcPr>
          <w:p w14:paraId="1EFEC4AC" w14:textId="77777777" w:rsidR="006B15F5" w:rsidRDefault="006B15F5" w:rsidP="00147C8B">
            <w:pPr>
              <w:spacing w:before="0" w:after="0" w:line="240" w:lineRule="auto"/>
              <w:jc w:val="center"/>
              <w:rPr>
                <w:rFonts w:ascii="GHEA Grapalat" w:hAnsi="GHEA Grapalat" w:cs="Calibri"/>
                <w:color w:val="404040"/>
                <w:sz w:val="18"/>
                <w:szCs w:val="18"/>
              </w:rPr>
            </w:pPr>
            <w:r>
              <w:rPr>
                <w:rFonts w:ascii="GHEA Grapalat" w:hAnsi="GHEA Grapalat" w:cs="Calibri"/>
                <w:color w:val="404040"/>
                <w:sz w:val="18"/>
                <w:szCs w:val="18"/>
              </w:rPr>
              <w:t>8.6</w:t>
            </w:r>
          </w:p>
        </w:tc>
      </w:tr>
      <w:tr w:rsidR="006B15F5" w:rsidRPr="009665F3" w14:paraId="61C61BA1" w14:textId="77777777" w:rsidTr="00147C8B">
        <w:trPr>
          <w:trHeight w:val="288"/>
        </w:trPr>
        <w:tc>
          <w:tcPr>
            <w:tcW w:w="3481" w:type="dxa"/>
            <w:vAlign w:val="center"/>
            <w:hideMark/>
          </w:tcPr>
          <w:p w14:paraId="5733C428" w14:textId="77777777" w:rsidR="006B15F5" w:rsidRPr="009665F3" w:rsidRDefault="006B15F5" w:rsidP="00147C8B">
            <w:pPr>
              <w:spacing w:before="0" w:after="0" w:line="240" w:lineRule="auto"/>
              <w:jc w:val="both"/>
              <w:rPr>
                <w:sz w:val="18"/>
                <w:szCs w:val="18"/>
              </w:rPr>
            </w:pPr>
            <w:r w:rsidRPr="009665F3">
              <w:rPr>
                <w:sz w:val="18"/>
                <w:szCs w:val="18"/>
              </w:rPr>
              <w:t xml:space="preserve"> Ուժային </w:t>
            </w:r>
          </w:p>
        </w:tc>
        <w:tc>
          <w:tcPr>
            <w:tcW w:w="935" w:type="dxa"/>
            <w:vAlign w:val="center"/>
          </w:tcPr>
          <w:p w14:paraId="77F929BD" w14:textId="77777777" w:rsidR="006B15F5" w:rsidRPr="009665F3" w:rsidRDefault="006B15F5" w:rsidP="00147C8B">
            <w:pPr>
              <w:spacing w:before="0" w:after="0" w:line="240" w:lineRule="auto"/>
              <w:jc w:val="center"/>
              <w:rPr>
                <w:sz w:val="18"/>
                <w:szCs w:val="18"/>
              </w:rPr>
            </w:pPr>
            <w:r>
              <w:rPr>
                <w:rFonts w:ascii="GHEA Grapalat" w:hAnsi="GHEA Grapalat"/>
                <w:color w:val="404040"/>
                <w:sz w:val="18"/>
                <w:szCs w:val="18"/>
              </w:rPr>
              <w:t>237.4</w:t>
            </w:r>
          </w:p>
        </w:tc>
        <w:tc>
          <w:tcPr>
            <w:tcW w:w="940" w:type="dxa"/>
            <w:vAlign w:val="center"/>
          </w:tcPr>
          <w:p w14:paraId="2CC3377D" w14:textId="77777777" w:rsidR="006B15F5" w:rsidRPr="009665F3" w:rsidRDefault="006B15F5" w:rsidP="00147C8B">
            <w:pPr>
              <w:spacing w:before="0" w:after="0" w:line="240" w:lineRule="auto"/>
              <w:jc w:val="center"/>
              <w:rPr>
                <w:sz w:val="18"/>
                <w:szCs w:val="18"/>
              </w:rPr>
            </w:pPr>
            <w:r>
              <w:rPr>
                <w:rFonts w:ascii="GHEA Grapalat" w:hAnsi="GHEA Grapalat"/>
                <w:color w:val="404040"/>
                <w:sz w:val="18"/>
                <w:szCs w:val="18"/>
              </w:rPr>
              <w:t>296.0</w:t>
            </w:r>
          </w:p>
        </w:tc>
        <w:tc>
          <w:tcPr>
            <w:tcW w:w="940" w:type="dxa"/>
            <w:vAlign w:val="center"/>
          </w:tcPr>
          <w:p w14:paraId="58348BC1" w14:textId="77777777" w:rsidR="006B15F5" w:rsidRPr="009665F3" w:rsidRDefault="006B15F5" w:rsidP="00147C8B">
            <w:pPr>
              <w:spacing w:before="0" w:after="0" w:line="240" w:lineRule="auto"/>
              <w:jc w:val="center"/>
              <w:rPr>
                <w:sz w:val="18"/>
                <w:szCs w:val="18"/>
              </w:rPr>
            </w:pPr>
            <w:r>
              <w:rPr>
                <w:rFonts w:ascii="GHEA Grapalat" w:hAnsi="GHEA Grapalat"/>
                <w:color w:val="404040"/>
                <w:sz w:val="18"/>
                <w:szCs w:val="18"/>
              </w:rPr>
              <w:t>339.7</w:t>
            </w:r>
          </w:p>
        </w:tc>
        <w:tc>
          <w:tcPr>
            <w:tcW w:w="940" w:type="dxa"/>
            <w:vAlign w:val="center"/>
          </w:tcPr>
          <w:p w14:paraId="72E240AE" w14:textId="77777777" w:rsidR="006B15F5" w:rsidRPr="009665F3" w:rsidRDefault="006B15F5" w:rsidP="00147C8B">
            <w:pPr>
              <w:spacing w:before="0" w:after="0" w:line="240" w:lineRule="auto"/>
              <w:jc w:val="center"/>
              <w:rPr>
                <w:sz w:val="18"/>
                <w:szCs w:val="18"/>
              </w:rPr>
            </w:pPr>
            <w:r>
              <w:rPr>
                <w:rFonts w:ascii="GHEA Grapalat" w:hAnsi="GHEA Grapalat"/>
                <w:color w:val="404040"/>
                <w:sz w:val="18"/>
                <w:szCs w:val="18"/>
              </w:rPr>
              <w:t>417.5</w:t>
            </w:r>
          </w:p>
        </w:tc>
        <w:tc>
          <w:tcPr>
            <w:tcW w:w="777" w:type="dxa"/>
            <w:tcBorders>
              <w:top w:val="nil"/>
              <w:left w:val="nil"/>
              <w:bottom w:val="single" w:sz="8" w:space="0" w:color="E1E1E3"/>
              <w:right w:val="single" w:sz="8" w:space="0" w:color="E1E1E3"/>
            </w:tcBorders>
            <w:shd w:val="clear" w:color="auto" w:fill="auto"/>
            <w:vAlign w:val="center"/>
          </w:tcPr>
          <w:p w14:paraId="6CD83DAE" w14:textId="77777777" w:rsidR="006B15F5" w:rsidRDefault="006B15F5" w:rsidP="00147C8B">
            <w:pPr>
              <w:spacing w:before="0" w:after="0" w:line="240" w:lineRule="auto"/>
              <w:jc w:val="center"/>
              <w:rPr>
                <w:rFonts w:ascii="GHEA Grapalat" w:hAnsi="GHEA Grapalat" w:cs="Calibri"/>
                <w:color w:val="404040"/>
                <w:sz w:val="18"/>
                <w:szCs w:val="18"/>
              </w:rPr>
            </w:pPr>
            <w:r>
              <w:rPr>
                <w:rFonts w:ascii="GHEA Grapalat" w:hAnsi="GHEA Grapalat" w:cs="Calibri"/>
                <w:color w:val="404040"/>
                <w:sz w:val="18"/>
                <w:szCs w:val="18"/>
              </w:rPr>
              <w:t>308.5</w:t>
            </w:r>
          </w:p>
        </w:tc>
        <w:tc>
          <w:tcPr>
            <w:tcW w:w="777" w:type="dxa"/>
            <w:tcBorders>
              <w:top w:val="nil"/>
              <w:left w:val="nil"/>
              <w:bottom w:val="single" w:sz="8" w:space="0" w:color="E1E1E3"/>
              <w:right w:val="single" w:sz="8" w:space="0" w:color="E1E1E3"/>
            </w:tcBorders>
            <w:shd w:val="clear" w:color="auto" w:fill="auto"/>
            <w:vAlign w:val="center"/>
          </w:tcPr>
          <w:p w14:paraId="3EC340C2" w14:textId="77777777" w:rsidR="006B15F5" w:rsidRDefault="006B15F5" w:rsidP="00147C8B">
            <w:pPr>
              <w:spacing w:before="0" w:after="0" w:line="240" w:lineRule="auto"/>
              <w:jc w:val="center"/>
              <w:rPr>
                <w:rFonts w:ascii="GHEA Grapalat" w:hAnsi="GHEA Grapalat" w:cs="Calibri"/>
                <w:color w:val="404040"/>
                <w:sz w:val="18"/>
                <w:szCs w:val="18"/>
              </w:rPr>
            </w:pPr>
            <w:r>
              <w:rPr>
                <w:rFonts w:ascii="GHEA Grapalat" w:hAnsi="GHEA Grapalat" w:cs="Calibri"/>
                <w:color w:val="404040"/>
                <w:sz w:val="18"/>
                <w:szCs w:val="18"/>
              </w:rPr>
              <w:t>307.1</w:t>
            </w:r>
          </w:p>
        </w:tc>
        <w:tc>
          <w:tcPr>
            <w:tcW w:w="777" w:type="dxa"/>
            <w:tcBorders>
              <w:top w:val="nil"/>
              <w:left w:val="nil"/>
              <w:bottom w:val="single" w:sz="8" w:space="0" w:color="E1E1E3"/>
              <w:right w:val="single" w:sz="8" w:space="0" w:color="E1E1E3"/>
            </w:tcBorders>
            <w:shd w:val="clear" w:color="auto" w:fill="auto"/>
            <w:vAlign w:val="center"/>
          </w:tcPr>
          <w:p w14:paraId="639838C0" w14:textId="77777777" w:rsidR="006B15F5" w:rsidRDefault="006B15F5" w:rsidP="00147C8B">
            <w:pPr>
              <w:spacing w:before="0" w:after="0" w:line="240" w:lineRule="auto"/>
              <w:jc w:val="center"/>
              <w:rPr>
                <w:rFonts w:ascii="GHEA Grapalat" w:hAnsi="GHEA Grapalat" w:cs="Calibri"/>
                <w:color w:val="404040"/>
                <w:sz w:val="18"/>
                <w:szCs w:val="18"/>
              </w:rPr>
            </w:pPr>
            <w:r>
              <w:rPr>
                <w:rFonts w:ascii="GHEA Grapalat" w:hAnsi="GHEA Grapalat" w:cs="Calibri"/>
                <w:color w:val="404040"/>
                <w:sz w:val="18"/>
                <w:szCs w:val="18"/>
              </w:rPr>
              <w:t>300.5</w:t>
            </w:r>
          </w:p>
        </w:tc>
      </w:tr>
      <w:tr w:rsidR="006B15F5" w:rsidRPr="009665F3" w14:paraId="3C14CC53" w14:textId="77777777" w:rsidTr="00147C8B">
        <w:trPr>
          <w:trHeight w:val="288"/>
        </w:trPr>
        <w:tc>
          <w:tcPr>
            <w:tcW w:w="3481" w:type="dxa"/>
            <w:vAlign w:val="center"/>
            <w:hideMark/>
          </w:tcPr>
          <w:p w14:paraId="081ECF53" w14:textId="77777777" w:rsidR="006B15F5" w:rsidRPr="009665F3" w:rsidRDefault="006B15F5" w:rsidP="00147C8B">
            <w:pPr>
              <w:spacing w:before="0" w:after="0" w:line="240" w:lineRule="auto"/>
              <w:jc w:val="both"/>
              <w:rPr>
                <w:sz w:val="18"/>
                <w:szCs w:val="18"/>
              </w:rPr>
            </w:pPr>
            <w:r>
              <w:rPr>
                <w:sz w:val="18"/>
                <w:szCs w:val="18"/>
              </w:rPr>
              <w:t xml:space="preserve"> </w:t>
            </w:r>
            <w:r w:rsidRPr="009665F3">
              <w:rPr>
                <w:sz w:val="18"/>
                <w:szCs w:val="18"/>
              </w:rPr>
              <w:t xml:space="preserve">արտաքին աղբյուրներ </w:t>
            </w:r>
          </w:p>
        </w:tc>
        <w:tc>
          <w:tcPr>
            <w:tcW w:w="935" w:type="dxa"/>
            <w:vAlign w:val="center"/>
          </w:tcPr>
          <w:p w14:paraId="210462D8" w14:textId="77777777" w:rsidR="006B15F5" w:rsidRPr="009665F3" w:rsidRDefault="006B15F5" w:rsidP="00147C8B">
            <w:pPr>
              <w:spacing w:before="0" w:after="0" w:line="240" w:lineRule="auto"/>
              <w:jc w:val="center"/>
              <w:rPr>
                <w:sz w:val="18"/>
                <w:szCs w:val="18"/>
              </w:rPr>
            </w:pPr>
            <w:r>
              <w:rPr>
                <w:rFonts w:ascii="GHEA Grapalat" w:hAnsi="GHEA Grapalat"/>
                <w:color w:val="404040"/>
                <w:sz w:val="18"/>
                <w:szCs w:val="18"/>
              </w:rPr>
              <w:t>0</w:t>
            </w:r>
          </w:p>
        </w:tc>
        <w:tc>
          <w:tcPr>
            <w:tcW w:w="940" w:type="dxa"/>
            <w:vAlign w:val="center"/>
          </w:tcPr>
          <w:p w14:paraId="4050BB15" w14:textId="77777777" w:rsidR="006B15F5" w:rsidRPr="009665F3" w:rsidRDefault="006B15F5" w:rsidP="00147C8B">
            <w:pPr>
              <w:spacing w:before="0" w:after="0" w:line="240" w:lineRule="auto"/>
              <w:jc w:val="center"/>
              <w:rPr>
                <w:sz w:val="18"/>
                <w:szCs w:val="18"/>
              </w:rPr>
            </w:pPr>
            <w:r>
              <w:rPr>
                <w:rFonts w:ascii="GHEA Grapalat" w:hAnsi="GHEA Grapalat"/>
                <w:color w:val="404040"/>
                <w:sz w:val="18"/>
                <w:szCs w:val="18"/>
              </w:rPr>
              <w:t>0</w:t>
            </w:r>
          </w:p>
        </w:tc>
        <w:tc>
          <w:tcPr>
            <w:tcW w:w="940" w:type="dxa"/>
            <w:vAlign w:val="center"/>
          </w:tcPr>
          <w:p w14:paraId="7425DA76" w14:textId="77777777" w:rsidR="006B15F5" w:rsidRPr="009665F3" w:rsidRDefault="006B15F5" w:rsidP="00147C8B">
            <w:pPr>
              <w:spacing w:before="0" w:after="0" w:line="240" w:lineRule="auto"/>
              <w:jc w:val="center"/>
              <w:rPr>
                <w:sz w:val="18"/>
                <w:szCs w:val="18"/>
              </w:rPr>
            </w:pPr>
            <w:r>
              <w:rPr>
                <w:rFonts w:ascii="GHEA Grapalat" w:hAnsi="GHEA Grapalat"/>
                <w:color w:val="404040"/>
                <w:sz w:val="18"/>
                <w:szCs w:val="18"/>
              </w:rPr>
              <w:t>0</w:t>
            </w:r>
          </w:p>
        </w:tc>
        <w:tc>
          <w:tcPr>
            <w:tcW w:w="940" w:type="dxa"/>
            <w:vAlign w:val="center"/>
          </w:tcPr>
          <w:p w14:paraId="6B3AC5CB" w14:textId="77777777" w:rsidR="006B15F5" w:rsidRPr="009665F3" w:rsidRDefault="006B15F5" w:rsidP="00147C8B">
            <w:pPr>
              <w:spacing w:before="0" w:after="0" w:line="240" w:lineRule="auto"/>
              <w:jc w:val="center"/>
              <w:rPr>
                <w:sz w:val="18"/>
                <w:szCs w:val="18"/>
              </w:rPr>
            </w:pPr>
            <w:r>
              <w:rPr>
                <w:rFonts w:ascii="GHEA Grapalat" w:hAnsi="GHEA Grapalat"/>
                <w:color w:val="404040"/>
                <w:sz w:val="18"/>
                <w:szCs w:val="18"/>
              </w:rPr>
              <w:t>116.2</w:t>
            </w:r>
          </w:p>
        </w:tc>
        <w:tc>
          <w:tcPr>
            <w:tcW w:w="777" w:type="dxa"/>
            <w:tcBorders>
              <w:top w:val="nil"/>
              <w:left w:val="nil"/>
              <w:bottom w:val="single" w:sz="8" w:space="0" w:color="E1E1E3"/>
              <w:right w:val="single" w:sz="8" w:space="0" w:color="E1E1E3"/>
            </w:tcBorders>
            <w:shd w:val="clear" w:color="auto" w:fill="auto"/>
            <w:vAlign w:val="center"/>
          </w:tcPr>
          <w:p w14:paraId="48C2F05C" w14:textId="77777777" w:rsidR="006B15F5" w:rsidRDefault="006B15F5" w:rsidP="00147C8B">
            <w:pPr>
              <w:spacing w:before="0" w:after="0" w:line="240" w:lineRule="auto"/>
              <w:jc w:val="center"/>
              <w:rPr>
                <w:rFonts w:ascii="GHEA Grapalat" w:hAnsi="GHEA Grapalat" w:cs="Calibri"/>
                <w:color w:val="404040"/>
                <w:sz w:val="18"/>
                <w:szCs w:val="18"/>
              </w:rPr>
            </w:pPr>
            <w:r>
              <w:rPr>
                <w:rFonts w:ascii="GHEA Grapalat" w:hAnsi="GHEA Grapalat" w:cs="Calibri"/>
                <w:color w:val="404040"/>
                <w:sz w:val="18"/>
                <w:szCs w:val="18"/>
              </w:rPr>
              <w:t>0</w:t>
            </w:r>
          </w:p>
        </w:tc>
        <w:tc>
          <w:tcPr>
            <w:tcW w:w="777" w:type="dxa"/>
            <w:tcBorders>
              <w:top w:val="nil"/>
              <w:left w:val="nil"/>
              <w:bottom w:val="single" w:sz="8" w:space="0" w:color="E1E1E3"/>
              <w:right w:val="single" w:sz="8" w:space="0" w:color="E1E1E3"/>
            </w:tcBorders>
            <w:shd w:val="clear" w:color="auto" w:fill="auto"/>
            <w:vAlign w:val="center"/>
          </w:tcPr>
          <w:p w14:paraId="798BDDBF" w14:textId="77777777" w:rsidR="006B15F5" w:rsidRDefault="006B15F5" w:rsidP="00147C8B">
            <w:pPr>
              <w:spacing w:before="0" w:after="0" w:line="240" w:lineRule="auto"/>
              <w:jc w:val="center"/>
              <w:rPr>
                <w:rFonts w:ascii="GHEA Grapalat" w:hAnsi="GHEA Grapalat" w:cs="Calibri"/>
                <w:color w:val="404040"/>
                <w:sz w:val="18"/>
                <w:szCs w:val="18"/>
              </w:rPr>
            </w:pPr>
            <w:r>
              <w:rPr>
                <w:rFonts w:ascii="GHEA Grapalat" w:hAnsi="GHEA Grapalat" w:cs="Calibri"/>
                <w:color w:val="404040"/>
                <w:sz w:val="18"/>
                <w:szCs w:val="18"/>
              </w:rPr>
              <w:t>0</w:t>
            </w:r>
          </w:p>
        </w:tc>
        <w:tc>
          <w:tcPr>
            <w:tcW w:w="777" w:type="dxa"/>
            <w:tcBorders>
              <w:top w:val="nil"/>
              <w:left w:val="nil"/>
              <w:bottom w:val="single" w:sz="8" w:space="0" w:color="E1E1E3"/>
              <w:right w:val="nil"/>
            </w:tcBorders>
            <w:shd w:val="clear" w:color="auto" w:fill="auto"/>
            <w:vAlign w:val="center"/>
          </w:tcPr>
          <w:p w14:paraId="05C6F0E9" w14:textId="77777777" w:rsidR="006B15F5" w:rsidRDefault="006B15F5" w:rsidP="00147C8B">
            <w:pPr>
              <w:spacing w:before="0" w:after="0" w:line="240" w:lineRule="auto"/>
              <w:jc w:val="center"/>
              <w:rPr>
                <w:rFonts w:ascii="GHEA Grapalat" w:hAnsi="GHEA Grapalat" w:cs="Calibri"/>
                <w:color w:val="404040"/>
                <w:sz w:val="18"/>
                <w:szCs w:val="18"/>
              </w:rPr>
            </w:pPr>
            <w:r>
              <w:rPr>
                <w:rFonts w:ascii="GHEA Grapalat" w:hAnsi="GHEA Grapalat" w:cs="Calibri"/>
                <w:color w:val="404040"/>
                <w:sz w:val="18"/>
                <w:szCs w:val="18"/>
              </w:rPr>
              <w:t>0</w:t>
            </w:r>
          </w:p>
        </w:tc>
      </w:tr>
      <w:tr w:rsidR="006B15F5" w:rsidRPr="009665F3" w14:paraId="49E9A04B" w14:textId="77777777" w:rsidTr="00147C8B">
        <w:trPr>
          <w:trHeight w:val="288"/>
        </w:trPr>
        <w:tc>
          <w:tcPr>
            <w:tcW w:w="3481" w:type="dxa"/>
            <w:vAlign w:val="center"/>
            <w:hideMark/>
          </w:tcPr>
          <w:p w14:paraId="04EF500B" w14:textId="77777777" w:rsidR="006B15F5" w:rsidRPr="009665F3" w:rsidRDefault="006B15F5" w:rsidP="00147C8B">
            <w:pPr>
              <w:spacing w:before="0" w:after="0" w:line="240" w:lineRule="auto"/>
              <w:jc w:val="both"/>
              <w:rPr>
                <w:sz w:val="18"/>
                <w:szCs w:val="18"/>
              </w:rPr>
            </w:pPr>
            <w:r w:rsidRPr="009665F3">
              <w:rPr>
                <w:sz w:val="18"/>
                <w:szCs w:val="18"/>
              </w:rPr>
              <w:t xml:space="preserve"> ներքին աղբյուրներ </w:t>
            </w:r>
          </w:p>
        </w:tc>
        <w:tc>
          <w:tcPr>
            <w:tcW w:w="935" w:type="dxa"/>
            <w:vAlign w:val="center"/>
          </w:tcPr>
          <w:p w14:paraId="6BDE58D6" w14:textId="77777777" w:rsidR="006B15F5" w:rsidRPr="009665F3" w:rsidRDefault="006B15F5" w:rsidP="00147C8B">
            <w:pPr>
              <w:spacing w:before="0" w:after="0" w:line="240" w:lineRule="auto"/>
              <w:jc w:val="center"/>
              <w:rPr>
                <w:sz w:val="18"/>
                <w:szCs w:val="18"/>
              </w:rPr>
            </w:pPr>
            <w:r>
              <w:rPr>
                <w:rFonts w:ascii="GHEA Grapalat" w:hAnsi="GHEA Grapalat"/>
                <w:color w:val="404040"/>
                <w:sz w:val="18"/>
                <w:szCs w:val="18"/>
              </w:rPr>
              <w:t>237.4</w:t>
            </w:r>
          </w:p>
        </w:tc>
        <w:tc>
          <w:tcPr>
            <w:tcW w:w="940" w:type="dxa"/>
            <w:vAlign w:val="center"/>
          </w:tcPr>
          <w:p w14:paraId="4C02F557" w14:textId="77777777" w:rsidR="006B15F5" w:rsidRPr="009665F3" w:rsidRDefault="006B15F5" w:rsidP="00147C8B">
            <w:pPr>
              <w:spacing w:before="0" w:after="0" w:line="240" w:lineRule="auto"/>
              <w:jc w:val="center"/>
              <w:rPr>
                <w:sz w:val="18"/>
                <w:szCs w:val="18"/>
              </w:rPr>
            </w:pPr>
            <w:r>
              <w:rPr>
                <w:rFonts w:ascii="GHEA Grapalat" w:hAnsi="GHEA Grapalat"/>
                <w:color w:val="404040"/>
                <w:sz w:val="18"/>
                <w:szCs w:val="18"/>
              </w:rPr>
              <w:t>296</w:t>
            </w:r>
          </w:p>
        </w:tc>
        <w:tc>
          <w:tcPr>
            <w:tcW w:w="940" w:type="dxa"/>
            <w:vAlign w:val="center"/>
          </w:tcPr>
          <w:p w14:paraId="288ADE27" w14:textId="77777777" w:rsidR="006B15F5" w:rsidRPr="009665F3" w:rsidRDefault="006B15F5" w:rsidP="00147C8B">
            <w:pPr>
              <w:spacing w:before="0" w:after="0" w:line="240" w:lineRule="auto"/>
              <w:jc w:val="center"/>
              <w:rPr>
                <w:sz w:val="18"/>
                <w:szCs w:val="18"/>
              </w:rPr>
            </w:pPr>
            <w:r>
              <w:rPr>
                <w:rFonts w:ascii="GHEA Grapalat" w:hAnsi="GHEA Grapalat"/>
                <w:color w:val="404040"/>
                <w:sz w:val="18"/>
                <w:szCs w:val="18"/>
              </w:rPr>
              <w:t>339.7</w:t>
            </w:r>
          </w:p>
        </w:tc>
        <w:tc>
          <w:tcPr>
            <w:tcW w:w="940" w:type="dxa"/>
            <w:vAlign w:val="center"/>
          </w:tcPr>
          <w:p w14:paraId="727945F2" w14:textId="77777777" w:rsidR="006B15F5" w:rsidRPr="009665F3" w:rsidRDefault="006B15F5" w:rsidP="00147C8B">
            <w:pPr>
              <w:spacing w:before="0" w:after="0" w:line="240" w:lineRule="auto"/>
              <w:jc w:val="center"/>
              <w:rPr>
                <w:sz w:val="18"/>
                <w:szCs w:val="18"/>
              </w:rPr>
            </w:pPr>
            <w:r>
              <w:rPr>
                <w:rFonts w:ascii="GHEA Grapalat" w:hAnsi="GHEA Grapalat"/>
                <w:color w:val="404040"/>
                <w:sz w:val="18"/>
                <w:szCs w:val="18"/>
              </w:rPr>
              <w:t>301.3</w:t>
            </w:r>
          </w:p>
        </w:tc>
        <w:tc>
          <w:tcPr>
            <w:tcW w:w="777" w:type="dxa"/>
            <w:tcBorders>
              <w:top w:val="nil"/>
              <w:left w:val="nil"/>
              <w:bottom w:val="single" w:sz="8" w:space="0" w:color="E1E1E3"/>
              <w:right w:val="single" w:sz="8" w:space="0" w:color="E1E1E3"/>
            </w:tcBorders>
            <w:shd w:val="clear" w:color="auto" w:fill="auto"/>
            <w:vAlign w:val="center"/>
          </w:tcPr>
          <w:p w14:paraId="317D5591" w14:textId="77777777" w:rsidR="006B15F5" w:rsidRDefault="006B15F5" w:rsidP="00147C8B">
            <w:pPr>
              <w:spacing w:before="0" w:after="0" w:line="240" w:lineRule="auto"/>
              <w:jc w:val="center"/>
              <w:rPr>
                <w:rFonts w:ascii="GHEA Grapalat" w:hAnsi="GHEA Grapalat" w:cs="Calibri"/>
                <w:color w:val="404040"/>
                <w:sz w:val="18"/>
                <w:szCs w:val="18"/>
              </w:rPr>
            </w:pPr>
            <w:r>
              <w:rPr>
                <w:rFonts w:ascii="GHEA Grapalat" w:hAnsi="GHEA Grapalat" w:cs="Calibri"/>
                <w:color w:val="404040"/>
                <w:sz w:val="18"/>
                <w:szCs w:val="18"/>
              </w:rPr>
              <w:t>308.5</w:t>
            </w:r>
          </w:p>
        </w:tc>
        <w:tc>
          <w:tcPr>
            <w:tcW w:w="777" w:type="dxa"/>
            <w:tcBorders>
              <w:top w:val="nil"/>
              <w:left w:val="nil"/>
              <w:bottom w:val="single" w:sz="8" w:space="0" w:color="E1E1E3"/>
              <w:right w:val="single" w:sz="8" w:space="0" w:color="E1E1E3"/>
            </w:tcBorders>
            <w:shd w:val="clear" w:color="auto" w:fill="auto"/>
            <w:vAlign w:val="center"/>
          </w:tcPr>
          <w:p w14:paraId="304870DF" w14:textId="77777777" w:rsidR="006B15F5" w:rsidRDefault="006B15F5" w:rsidP="00147C8B">
            <w:pPr>
              <w:spacing w:before="0" w:after="0" w:line="240" w:lineRule="auto"/>
              <w:jc w:val="center"/>
              <w:rPr>
                <w:rFonts w:ascii="GHEA Grapalat" w:hAnsi="GHEA Grapalat" w:cs="Calibri"/>
                <w:color w:val="404040"/>
                <w:sz w:val="18"/>
                <w:szCs w:val="18"/>
              </w:rPr>
            </w:pPr>
            <w:r>
              <w:rPr>
                <w:rFonts w:ascii="GHEA Grapalat" w:hAnsi="GHEA Grapalat" w:cs="Calibri"/>
                <w:color w:val="404040"/>
                <w:sz w:val="18"/>
                <w:szCs w:val="18"/>
              </w:rPr>
              <w:t>307.1</w:t>
            </w:r>
          </w:p>
        </w:tc>
        <w:tc>
          <w:tcPr>
            <w:tcW w:w="777" w:type="dxa"/>
            <w:tcBorders>
              <w:top w:val="nil"/>
              <w:left w:val="nil"/>
              <w:bottom w:val="single" w:sz="8" w:space="0" w:color="E1E1E3"/>
              <w:right w:val="single" w:sz="8" w:space="0" w:color="E1E1E3"/>
            </w:tcBorders>
            <w:shd w:val="clear" w:color="auto" w:fill="auto"/>
            <w:vAlign w:val="center"/>
          </w:tcPr>
          <w:p w14:paraId="661EE2A4" w14:textId="77777777" w:rsidR="006B15F5" w:rsidRDefault="006B15F5" w:rsidP="00147C8B">
            <w:pPr>
              <w:spacing w:before="0" w:after="0" w:line="240" w:lineRule="auto"/>
              <w:jc w:val="center"/>
              <w:rPr>
                <w:rFonts w:ascii="GHEA Grapalat" w:hAnsi="GHEA Grapalat" w:cs="Calibri"/>
                <w:color w:val="404040"/>
                <w:sz w:val="18"/>
                <w:szCs w:val="18"/>
              </w:rPr>
            </w:pPr>
            <w:r>
              <w:rPr>
                <w:rFonts w:ascii="GHEA Grapalat" w:hAnsi="GHEA Grapalat" w:cs="Calibri"/>
                <w:color w:val="404040"/>
                <w:sz w:val="18"/>
                <w:szCs w:val="18"/>
              </w:rPr>
              <w:t>300.5</w:t>
            </w:r>
          </w:p>
        </w:tc>
      </w:tr>
      <w:tr w:rsidR="006B15F5" w:rsidRPr="009665F3" w14:paraId="237329C3" w14:textId="77777777" w:rsidTr="00147C8B">
        <w:trPr>
          <w:trHeight w:val="288"/>
        </w:trPr>
        <w:tc>
          <w:tcPr>
            <w:tcW w:w="3481" w:type="dxa"/>
            <w:vAlign w:val="center"/>
            <w:hideMark/>
          </w:tcPr>
          <w:p w14:paraId="22B73A9C" w14:textId="77777777" w:rsidR="006B15F5" w:rsidRPr="009665F3" w:rsidRDefault="006B15F5" w:rsidP="00147C8B">
            <w:pPr>
              <w:spacing w:before="0" w:after="0" w:line="240" w:lineRule="auto"/>
              <w:jc w:val="both"/>
              <w:rPr>
                <w:sz w:val="18"/>
                <w:szCs w:val="18"/>
              </w:rPr>
            </w:pPr>
            <w:r w:rsidRPr="009665F3">
              <w:rPr>
                <w:sz w:val="18"/>
                <w:szCs w:val="18"/>
              </w:rPr>
              <w:t xml:space="preserve"> Այլ </w:t>
            </w:r>
          </w:p>
        </w:tc>
        <w:tc>
          <w:tcPr>
            <w:tcW w:w="935" w:type="dxa"/>
            <w:vAlign w:val="center"/>
          </w:tcPr>
          <w:p w14:paraId="6A503295" w14:textId="77777777" w:rsidR="006B15F5" w:rsidRPr="009665F3" w:rsidRDefault="006B15F5" w:rsidP="00147C8B">
            <w:pPr>
              <w:spacing w:before="0" w:after="0" w:line="240" w:lineRule="auto"/>
              <w:jc w:val="center"/>
              <w:rPr>
                <w:sz w:val="18"/>
                <w:szCs w:val="18"/>
              </w:rPr>
            </w:pPr>
            <w:r>
              <w:rPr>
                <w:rFonts w:ascii="GHEA Grapalat" w:hAnsi="GHEA Grapalat"/>
                <w:color w:val="404040"/>
                <w:sz w:val="18"/>
                <w:szCs w:val="18"/>
              </w:rPr>
              <w:t>24.4</w:t>
            </w:r>
          </w:p>
        </w:tc>
        <w:tc>
          <w:tcPr>
            <w:tcW w:w="940" w:type="dxa"/>
            <w:vAlign w:val="center"/>
          </w:tcPr>
          <w:p w14:paraId="21B17C03" w14:textId="77777777" w:rsidR="006B15F5" w:rsidRPr="009665F3" w:rsidRDefault="006B15F5" w:rsidP="00147C8B">
            <w:pPr>
              <w:spacing w:before="0" w:after="0" w:line="240" w:lineRule="auto"/>
              <w:jc w:val="center"/>
              <w:rPr>
                <w:sz w:val="18"/>
                <w:szCs w:val="18"/>
              </w:rPr>
            </w:pPr>
            <w:r>
              <w:rPr>
                <w:rFonts w:ascii="GHEA Grapalat" w:hAnsi="GHEA Grapalat"/>
                <w:color w:val="404040"/>
                <w:sz w:val="18"/>
                <w:szCs w:val="18"/>
              </w:rPr>
              <w:t>40.6</w:t>
            </w:r>
          </w:p>
        </w:tc>
        <w:tc>
          <w:tcPr>
            <w:tcW w:w="940" w:type="dxa"/>
            <w:vAlign w:val="center"/>
          </w:tcPr>
          <w:p w14:paraId="30EF3890" w14:textId="77777777" w:rsidR="006B15F5" w:rsidRPr="009665F3" w:rsidRDefault="006B15F5" w:rsidP="00147C8B">
            <w:pPr>
              <w:spacing w:before="0" w:after="0" w:line="240" w:lineRule="auto"/>
              <w:jc w:val="center"/>
              <w:rPr>
                <w:sz w:val="18"/>
                <w:szCs w:val="18"/>
              </w:rPr>
            </w:pPr>
            <w:r>
              <w:rPr>
                <w:rFonts w:ascii="GHEA Grapalat" w:hAnsi="GHEA Grapalat"/>
                <w:color w:val="404040"/>
                <w:sz w:val="18"/>
                <w:szCs w:val="18"/>
              </w:rPr>
              <w:t>36.5</w:t>
            </w:r>
          </w:p>
        </w:tc>
        <w:tc>
          <w:tcPr>
            <w:tcW w:w="940" w:type="dxa"/>
            <w:vAlign w:val="center"/>
          </w:tcPr>
          <w:p w14:paraId="6459AC00" w14:textId="77777777" w:rsidR="006B15F5" w:rsidRPr="009665F3" w:rsidRDefault="006B15F5" w:rsidP="00147C8B">
            <w:pPr>
              <w:spacing w:before="0" w:after="0" w:line="240" w:lineRule="auto"/>
              <w:jc w:val="center"/>
              <w:rPr>
                <w:sz w:val="18"/>
                <w:szCs w:val="18"/>
              </w:rPr>
            </w:pPr>
            <w:r>
              <w:rPr>
                <w:rFonts w:ascii="GHEA Grapalat" w:hAnsi="GHEA Grapalat"/>
                <w:color w:val="404040"/>
                <w:sz w:val="18"/>
                <w:szCs w:val="18"/>
              </w:rPr>
              <w:t>59.0</w:t>
            </w:r>
          </w:p>
        </w:tc>
        <w:tc>
          <w:tcPr>
            <w:tcW w:w="777" w:type="dxa"/>
            <w:tcBorders>
              <w:top w:val="nil"/>
              <w:left w:val="nil"/>
              <w:bottom w:val="single" w:sz="8" w:space="0" w:color="E1E1E3"/>
              <w:right w:val="single" w:sz="8" w:space="0" w:color="E1E1E3"/>
            </w:tcBorders>
            <w:shd w:val="clear" w:color="auto" w:fill="auto"/>
            <w:vAlign w:val="center"/>
          </w:tcPr>
          <w:p w14:paraId="5F2864F9" w14:textId="77777777" w:rsidR="006B15F5" w:rsidRDefault="006B15F5" w:rsidP="00147C8B">
            <w:pPr>
              <w:spacing w:before="0" w:after="0" w:line="240" w:lineRule="auto"/>
              <w:jc w:val="center"/>
              <w:rPr>
                <w:rFonts w:ascii="GHEA Grapalat" w:hAnsi="GHEA Grapalat" w:cs="Calibri"/>
                <w:color w:val="404040"/>
                <w:sz w:val="18"/>
                <w:szCs w:val="18"/>
              </w:rPr>
            </w:pPr>
            <w:r>
              <w:rPr>
                <w:rFonts w:ascii="GHEA Grapalat" w:hAnsi="GHEA Grapalat" w:cs="Calibri"/>
                <w:color w:val="404040"/>
                <w:sz w:val="18"/>
                <w:szCs w:val="18"/>
              </w:rPr>
              <w:t>65.8</w:t>
            </w:r>
          </w:p>
        </w:tc>
        <w:tc>
          <w:tcPr>
            <w:tcW w:w="777" w:type="dxa"/>
            <w:tcBorders>
              <w:top w:val="nil"/>
              <w:left w:val="nil"/>
              <w:bottom w:val="single" w:sz="8" w:space="0" w:color="E1E1E3"/>
              <w:right w:val="single" w:sz="8" w:space="0" w:color="E1E1E3"/>
            </w:tcBorders>
            <w:shd w:val="clear" w:color="auto" w:fill="auto"/>
            <w:vAlign w:val="center"/>
          </w:tcPr>
          <w:p w14:paraId="2BB690A8" w14:textId="77777777" w:rsidR="006B15F5" w:rsidRDefault="006B15F5" w:rsidP="00147C8B">
            <w:pPr>
              <w:spacing w:before="0" w:after="0" w:line="240" w:lineRule="auto"/>
              <w:jc w:val="center"/>
              <w:rPr>
                <w:rFonts w:ascii="GHEA Grapalat" w:hAnsi="GHEA Grapalat" w:cs="Calibri"/>
                <w:color w:val="404040"/>
                <w:sz w:val="18"/>
                <w:szCs w:val="18"/>
              </w:rPr>
            </w:pPr>
            <w:r>
              <w:rPr>
                <w:rFonts w:ascii="GHEA Grapalat" w:hAnsi="GHEA Grapalat" w:cs="Calibri"/>
                <w:color w:val="404040"/>
                <w:sz w:val="18"/>
                <w:szCs w:val="18"/>
              </w:rPr>
              <w:t>135.5</w:t>
            </w:r>
          </w:p>
        </w:tc>
        <w:tc>
          <w:tcPr>
            <w:tcW w:w="777" w:type="dxa"/>
            <w:tcBorders>
              <w:top w:val="nil"/>
              <w:left w:val="nil"/>
              <w:bottom w:val="single" w:sz="8" w:space="0" w:color="E1E1E3"/>
              <w:right w:val="single" w:sz="8" w:space="0" w:color="E1E1E3"/>
            </w:tcBorders>
            <w:shd w:val="clear" w:color="auto" w:fill="auto"/>
            <w:vAlign w:val="center"/>
          </w:tcPr>
          <w:p w14:paraId="15D83B99" w14:textId="77777777" w:rsidR="006B15F5" w:rsidRDefault="006B15F5" w:rsidP="00147C8B">
            <w:pPr>
              <w:spacing w:before="0" w:after="0" w:line="240" w:lineRule="auto"/>
              <w:jc w:val="center"/>
              <w:rPr>
                <w:rFonts w:ascii="GHEA Grapalat" w:hAnsi="GHEA Grapalat" w:cs="Calibri"/>
                <w:color w:val="404040"/>
                <w:sz w:val="18"/>
                <w:szCs w:val="18"/>
              </w:rPr>
            </w:pPr>
            <w:r>
              <w:rPr>
                <w:rFonts w:ascii="GHEA Grapalat" w:hAnsi="GHEA Grapalat" w:cs="Calibri"/>
                <w:color w:val="404040"/>
                <w:sz w:val="18"/>
                <w:szCs w:val="18"/>
              </w:rPr>
              <w:t>127.3</w:t>
            </w:r>
          </w:p>
        </w:tc>
      </w:tr>
      <w:tr w:rsidR="006B15F5" w:rsidRPr="009665F3" w14:paraId="6D3A0B10" w14:textId="77777777" w:rsidTr="00147C8B">
        <w:trPr>
          <w:trHeight w:val="288"/>
        </w:trPr>
        <w:tc>
          <w:tcPr>
            <w:tcW w:w="3481" w:type="dxa"/>
            <w:vAlign w:val="center"/>
            <w:hideMark/>
          </w:tcPr>
          <w:p w14:paraId="1415D4C4" w14:textId="77777777" w:rsidR="006B15F5" w:rsidRPr="009665F3" w:rsidRDefault="006B15F5" w:rsidP="00147C8B">
            <w:pPr>
              <w:spacing w:before="0" w:after="0" w:line="240" w:lineRule="auto"/>
              <w:jc w:val="both"/>
              <w:rPr>
                <w:sz w:val="18"/>
                <w:szCs w:val="18"/>
              </w:rPr>
            </w:pPr>
            <w:r>
              <w:rPr>
                <w:sz w:val="18"/>
                <w:szCs w:val="18"/>
              </w:rPr>
              <w:t xml:space="preserve"> </w:t>
            </w:r>
            <w:r w:rsidRPr="009665F3">
              <w:rPr>
                <w:sz w:val="18"/>
                <w:szCs w:val="18"/>
              </w:rPr>
              <w:t xml:space="preserve">արտաքին աղբյուրներ </w:t>
            </w:r>
          </w:p>
        </w:tc>
        <w:tc>
          <w:tcPr>
            <w:tcW w:w="935" w:type="dxa"/>
            <w:vAlign w:val="center"/>
          </w:tcPr>
          <w:p w14:paraId="24901C27" w14:textId="77777777" w:rsidR="006B15F5" w:rsidRPr="009665F3" w:rsidRDefault="006B15F5" w:rsidP="00147C8B">
            <w:pPr>
              <w:spacing w:before="0" w:after="0" w:line="240" w:lineRule="auto"/>
              <w:jc w:val="center"/>
              <w:rPr>
                <w:sz w:val="18"/>
                <w:szCs w:val="18"/>
              </w:rPr>
            </w:pPr>
            <w:r>
              <w:rPr>
                <w:rFonts w:ascii="GHEA Grapalat" w:hAnsi="GHEA Grapalat"/>
                <w:color w:val="404040"/>
                <w:sz w:val="18"/>
                <w:szCs w:val="18"/>
              </w:rPr>
              <w:t>8.4</w:t>
            </w:r>
          </w:p>
        </w:tc>
        <w:tc>
          <w:tcPr>
            <w:tcW w:w="940" w:type="dxa"/>
            <w:vAlign w:val="center"/>
          </w:tcPr>
          <w:p w14:paraId="4794B971" w14:textId="77777777" w:rsidR="006B15F5" w:rsidRPr="009665F3" w:rsidRDefault="006B15F5" w:rsidP="00147C8B">
            <w:pPr>
              <w:spacing w:before="0" w:after="0" w:line="240" w:lineRule="auto"/>
              <w:jc w:val="center"/>
              <w:rPr>
                <w:sz w:val="18"/>
                <w:szCs w:val="18"/>
              </w:rPr>
            </w:pPr>
            <w:r>
              <w:rPr>
                <w:rFonts w:ascii="GHEA Grapalat" w:hAnsi="GHEA Grapalat"/>
                <w:color w:val="404040"/>
                <w:sz w:val="18"/>
                <w:szCs w:val="18"/>
              </w:rPr>
              <w:t>12.5</w:t>
            </w:r>
          </w:p>
        </w:tc>
        <w:tc>
          <w:tcPr>
            <w:tcW w:w="940" w:type="dxa"/>
            <w:vAlign w:val="center"/>
          </w:tcPr>
          <w:p w14:paraId="2F9B0383" w14:textId="77777777" w:rsidR="006B15F5" w:rsidRPr="009665F3" w:rsidRDefault="006B15F5" w:rsidP="00147C8B">
            <w:pPr>
              <w:spacing w:before="0" w:after="0" w:line="240" w:lineRule="auto"/>
              <w:jc w:val="center"/>
              <w:rPr>
                <w:sz w:val="18"/>
                <w:szCs w:val="18"/>
              </w:rPr>
            </w:pPr>
            <w:r>
              <w:rPr>
                <w:rFonts w:ascii="GHEA Grapalat" w:hAnsi="GHEA Grapalat"/>
                <w:color w:val="404040"/>
                <w:sz w:val="18"/>
                <w:szCs w:val="18"/>
              </w:rPr>
              <w:t>13.7</w:t>
            </w:r>
          </w:p>
        </w:tc>
        <w:tc>
          <w:tcPr>
            <w:tcW w:w="940" w:type="dxa"/>
            <w:vAlign w:val="center"/>
          </w:tcPr>
          <w:p w14:paraId="68E27BCC" w14:textId="77777777" w:rsidR="006B15F5" w:rsidRPr="009665F3" w:rsidRDefault="006B15F5" w:rsidP="00147C8B">
            <w:pPr>
              <w:spacing w:before="0" w:after="0" w:line="240" w:lineRule="auto"/>
              <w:jc w:val="center"/>
              <w:rPr>
                <w:sz w:val="18"/>
                <w:szCs w:val="18"/>
              </w:rPr>
            </w:pPr>
            <w:r>
              <w:rPr>
                <w:rFonts w:ascii="GHEA Grapalat" w:hAnsi="GHEA Grapalat"/>
                <w:color w:val="404040"/>
                <w:sz w:val="18"/>
                <w:szCs w:val="18"/>
              </w:rPr>
              <w:t>25</w:t>
            </w:r>
          </w:p>
        </w:tc>
        <w:tc>
          <w:tcPr>
            <w:tcW w:w="777" w:type="dxa"/>
            <w:tcBorders>
              <w:top w:val="nil"/>
              <w:left w:val="nil"/>
              <w:bottom w:val="single" w:sz="8" w:space="0" w:color="E1E1E3"/>
              <w:right w:val="single" w:sz="8" w:space="0" w:color="E1E1E3"/>
            </w:tcBorders>
            <w:shd w:val="clear" w:color="auto" w:fill="auto"/>
            <w:vAlign w:val="center"/>
          </w:tcPr>
          <w:p w14:paraId="53B43EB0" w14:textId="77777777" w:rsidR="006B15F5" w:rsidRDefault="006B15F5" w:rsidP="00147C8B">
            <w:pPr>
              <w:spacing w:before="0" w:after="0" w:line="240" w:lineRule="auto"/>
              <w:jc w:val="center"/>
              <w:rPr>
                <w:rFonts w:ascii="GHEA Grapalat" w:hAnsi="GHEA Grapalat" w:cs="Calibri"/>
                <w:color w:val="404040"/>
                <w:sz w:val="18"/>
                <w:szCs w:val="18"/>
              </w:rPr>
            </w:pPr>
            <w:r>
              <w:rPr>
                <w:rFonts w:ascii="GHEA Grapalat" w:hAnsi="GHEA Grapalat" w:cs="Calibri"/>
                <w:color w:val="404040"/>
                <w:sz w:val="18"/>
                <w:szCs w:val="18"/>
              </w:rPr>
              <w:t>17.8</w:t>
            </w:r>
          </w:p>
        </w:tc>
        <w:tc>
          <w:tcPr>
            <w:tcW w:w="777" w:type="dxa"/>
            <w:tcBorders>
              <w:top w:val="nil"/>
              <w:left w:val="nil"/>
              <w:bottom w:val="single" w:sz="8" w:space="0" w:color="E1E1E3"/>
              <w:right w:val="single" w:sz="8" w:space="0" w:color="E1E1E3"/>
            </w:tcBorders>
            <w:shd w:val="clear" w:color="auto" w:fill="auto"/>
            <w:vAlign w:val="center"/>
          </w:tcPr>
          <w:p w14:paraId="44D5D043" w14:textId="77777777" w:rsidR="006B15F5" w:rsidRDefault="006B15F5" w:rsidP="00147C8B">
            <w:pPr>
              <w:spacing w:before="0" w:after="0" w:line="240" w:lineRule="auto"/>
              <w:jc w:val="center"/>
              <w:rPr>
                <w:rFonts w:ascii="GHEA Grapalat" w:hAnsi="GHEA Grapalat" w:cs="Calibri"/>
                <w:color w:val="404040"/>
                <w:sz w:val="18"/>
                <w:szCs w:val="18"/>
              </w:rPr>
            </w:pPr>
            <w:r>
              <w:rPr>
                <w:rFonts w:ascii="GHEA Grapalat" w:hAnsi="GHEA Grapalat" w:cs="Calibri"/>
                <w:color w:val="404040"/>
                <w:sz w:val="18"/>
                <w:szCs w:val="18"/>
              </w:rPr>
              <w:t>17.4</w:t>
            </w:r>
          </w:p>
        </w:tc>
        <w:tc>
          <w:tcPr>
            <w:tcW w:w="777" w:type="dxa"/>
            <w:tcBorders>
              <w:top w:val="nil"/>
              <w:left w:val="nil"/>
              <w:bottom w:val="single" w:sz="8" w:space="0" w:color="E1E1E3"/>
              <w:right w:val="nil"/>
            </w:tcBorders>
            <w:shd w:val="clear" w:color="auto" w:fill="auto"/>
            <w:vAlign w:val="center"/>
          </w:tcPr>
          <w:p w14:paraId="59A36A83" w14:textId="77777777" w:rsidR="006B15F5" w:rsidRDefault="006B15F5" w:rsidP="00147C8B">
            <w:pPr>
              <w:spacing w:before="0" w:after="0" w:line="240" w:lineRule="auto"/>
              <w:jc w:val="center"/>
              <w:rPr>
                <w:rFonts w:ascii="GHEA Grapalat" w:hAnsi="GHEA Grapalat" w:cs="Calibri"/>
                <w:color w:val="404040"/>
                <w:sz w:val="18"/>
                <w:szCs w:val="18"/>
              </w:rPr>
            </w:pPr>
            <w:r>
              <w:rPr>
                <w:rFonts w:ascii="GHEA Grapalat" w:hAnsi="GHEA Grapalat" w:cs="Calibri"/>
                <w:color w:val="404040"/>
                <w:sz w:val="18"/>
                <w:szCs w:val="18"/>
              </w:rPr>
              <w:t>26.6</w:t>
            </w:r>
          </w:p>
        </w:tc>
      </w:tr>
      <w:tr w:rsidR="006B15F5" w:rsidRPr="009665F3" w14:paraId="6465C1E9" w14:textId="77777777" w:rsidTr="00147C8B">
        <w:trPr>
          <w:trHeight w:val="288"/>
        </w:trPr>
        <w:tc>
          <w:tcPr>
            <w:tcW w:w="3481" w:type="dxa"/>
            <w:vAlign w:val="center"/>
            <w:hideMark/>
          </w:tcPr>
          <w:p w14:paraId="66C75F18" w14:textId="77777777" w:rsidR="006B15F5" w:rsidRPr="009665F3" w:rsidRDefault="006B15F5" w:rsidP="00147C8B">
            <w:pPr>
              <w:spacing w:before="0" w:after="0" w:line="240" w:lineRule="auto"/>
              <w:jc w:val="both"/>
              <w:rPr>
                <w:sz w:val="18"/>
                <w:szCs w:val="18"/>
              </w:rPr>
            </w:pPr>
            <w:r w:rsidRPr="009665F3">
              <w:rPr>
                <w:sz w:val="18"/>
                <w:szCs w:val="18"/>
              </w:rPr>
              <w:t xml:space="preserve"> ներքին աղբյուրներ </w:t>
            </w:r>
          </w:p>
        </w:tc>
        <w:tc>
          <w:tcPr>
            <w:tcW w:w="935" w:type="dxa"/>
            <w:vAlign w:val="center"/>
          </w:tcPr>
          <w:p w14:paraId="09980658" w14:textId="77777777" w:rsidR="006B15F5" w:rsidRPr="009665F3" w:rsidRDefault="006B15F5" w:rsidP="00147C8B">
            <w:pPr>
              <w:spacing w:before="0" w:after="0" w:line="240" w:lineRule="auto"/>
              <w:jc w:val="center"/>
              <w:rPr>
                <w:sz w:val="18"/>
                <w:szCs w:val="18"/>
              </w:rPr>
            </w:pPr>
            <w:r>
              <w:rPr>
                <w:rFonts w:ascii="GHEA Grapalat" w:hAnsi="GHEA Grapalat"/>
                <w:color w:val="404040"/>
                <w:sz w:val="18"/>
                <w:szCs w:val="18"/>
              </w:rPr>
              <w:t>16</w:t>
            </w:r>
          </w:p>
        </w:tc>
        <w:tc>
          <w:tcPr>
            <w:tcW w:w="940" w:type="dxa"/>
            <w:vAlign w:val="center"/>
          </w:tcPr>
          <w:p w14:paraId="283823A7" w14:textId="77777777" w:rsidR="006B15F5" w:rsidRPr="009665F3" w:rsidRDefault="006B15F5" w:rsidP="00147C8B">
            <w:pPr>
              <w:spacing w:before="0" w:after="0" w:line="240" w:lineRule="auto"/>
              <w:jc w:val="center"/>
              <w:rPr>
                <w:sz w:val="18"/>
                <w:szCs w:val="18"/>
              </w:rPr>
            </w:pPr>
            <w:r>
              <w:rPr>
                <w:rFonts w:ascii="GHEA Grapalat" w:hAnsi="GHEA Grapalat"/>
                <w:color w:val="404040"/>
                <w:sz w:val="18"/>
                <w:szCs w:val="18"/>
              </w:rPr>
              <w:t>28.1</w:t>
            </w:r>
          </w:p>
        </w:tc>
        <w:tc>
          <w:tcPr>
            <w:tcW w:w="940" w:type="dxa"/>
            <w:vAlign w:val="center"/>
          </w:tcPr>
          <w:p w14:paraId="0CBC94AA" w14:textId="77777777" w:rsidR="006B15F5" w:rsidRPr="009665F3" w:rsidRDefault="006B15F5" w:rsidP="00147C8B">
            <w:pPr>
              <w:spacing w:before="0" w:after="0" w:line="240" w:lineRule="auto"/>
              <w:jc w:val="center"/>
              <w:rPr>
                <w:sz w:val="18"/>
                <w:szCs w:val="18"/>
              </w:rPr>
            </w:pPr>
            <w:r>
              <w:rPr>
                <w:rFonts w:ascii="GHEA Grapalat" w:hAnsi="GHEA Grapalat"/>
                <w:color w:val="404040"/>
                <w:sz w:val="18"/>
                <w:szCs w:val="18"/>
              </w:rPr>
              <w:t>22.8</w:t>
            </w:r>
          </w:p>
        </w:tc>
        <w:tc>
          <w:tcPr>
            <w:tcW w:w="940" w:type="dxa"/>
            <w:vAlign w:val="center"/>
          </w:tcPr>
          <w:p w14:paraId="399FECD0" w14:textId="77777777" w:rsidR="006B15F5" w:rsidRPr="009665F3" w:rsidRDefault="006B15F5" w:rsidP="00147C8B">
            <w:pPr>
              <w:spacing w:before="0" w:after="0" w:line="240" w:lineRule="auto"/>
              <w:jc w:val="center"/>
              <w:rPr>
                <w:sz w:val="18"/>
                <w:szCs w:val="18"/>
              </w:rPr>
            </w:pPr>
            <w:r>
              <w:rPr>
                <w:rFonts w:ascii="GHEA Grapalat" w:hAnsi="GHEA Grapalat"/>
                <w:color w:val="404040"/>
                <w:sz w:val="18"/>
                <w:szCs w:val="18"/>
              </w:rPr>
              <w:t>34</w:t>
            </w:r>
          </w:p>
        </w:tc>
        <w:tc>
          <w:tcPr>
            <w:tcW w:w="777" w:type="dxa"/>
            <w:tcBorders>
              <w:top w:val="nil"/>
              <w:left w:val="nil"/>
              <w:bottom w:val="single" w:sz="8" w:space="0" w:color="E1E1E3"/>
              <w:right w:val="single" w:sz="8" w:space="0" w:color="E1E1E3"/>
            </w:tcBorders>
            <w:shd w:val="clear" w:color="auto" w:fill="auto"/>
            <w:vAlign w:val="center"/>
          </w:tcPr>
          <w:p w14:paraId="474CC419" w14:textId="77777777" w:rsidR="006B15F5" w:rsidRDefault="006B15F5" w:rsidP="00147C8B">
            <w:pPr>
              <w:spacing w:before="0" w:after="0" w:line="240" w:lineRule="auto"/>
              <w:jc w:val="center"/>
              <w:rPr>
                <w:rFonts w:ascii="GHEA Grapalat" w:hAnsi="GHEA Grapalat" w:cs="Calibri"/>
                <w:color w:val="404040"/>
                <w:sz w:val="18"/>
                <w:szCs w:val="18"/>
              </w:rPr>
            </w:pPr>
            <w:r>
              <w:rPr>
                <w:rFonts w:ascii="GHEA Grapalat" w:hAnsi="GHEA Grapalat" w:cs="Calibri"/>
                <w:color w:val="404040"/>
                <w:sz w:val="18"/>
                <w:szCs w:val="18"/>
              </w:rPr>
              <w:t>48.0</w:t>
            </w:r>
          </w:p>
        </w:tc>
        <w:tc>
          <w:tcPr>
            <w:tcW w:w="777" w:type="dxa"/>
            <w:tcBorders>
              <w:top w:val="nil"/>
              <w:left w:val="nil"/>
              <w:bottom w:val="single" w:sz="8" w:space="0" w:color="E1E1E3"/>
              <w:right w:val="single" w:sz="8" w:space="0" w:color="E1E1E3"/>
            </w:tcBorders>
            <w:shd w:val="clear" w:color="auto" w:fill="auto"/>
            <w:vAlign w:val="center"/>
          </w:tcPr>
          <w:p w14:paraId="670BD96F" w14:textId="77777777" w:rsidR="006B15F5" w:rsidRDefault="006B15F5" w:rsidP="00147C8B">
            <w:pPr>
              <w:spacing w:before="0" w:after="0" w:line="240" w:lineRule="auto"/>
              <w:jc w:val="center"/>
              <w:rPr>
                <w:rFonts w:ascii="GHEA Grapalat" w:hAnsi="GHEA Grapalat" w:cs="Calibri"/>
                <w:color w:val="404040"/>
                <w:sz w:val="18"/>
                <w:szCs w:val="18"/>
              </w:rPr>
            </w:pPr>
            <w:r>
              <w:rPr>
                <w:rFonts w:ascii="GHEA Grapalat" w:hAnsi="GHEA Grapalat" w:cs="Calibri"/>
                <w:color w:val="404040"/>
                <w:sz w:val="18"/>
                <w:szCs w:val="18"/>
              </w:rPr>
              <w:t>118.0</w:t>
            </w:r>
          </w:p>
        </w:tc>
        <w:tc>
          <w:tcPr>
            <w:tcW w:w="777" w:type="dxa"/>
            <w:tcBorders>
              <w:top w:val="nil"/>
              <w:left w:val="nil"/>
              <w:bottom w:val="single" w:sz="8" w:space="0" w:color="E1E1E3"/>
              <w:right w:val="nil"/>
            </w:tcBorders>
            <w:shd w:val="clear" w:color="auto" w:fill="auto"/>
            <w:vAlign w:val="center"/>
          </w:tcPr>
          <w:p w14:paraId="4CA155CF" w14:textId="77777777" w:rsidR="006B15F5" w:rsidRDefault="006B15F5" w:rsidP="00147C8B">
            <w:pPr>
              <w:spacing w:before="0" w:after="0" w:line="240" w:lineRule="auto"/>
              <w:jc w:val="center"/>
              <w:rPr>
                <w:rFonts w:ascii="GHEA Grapalat" w:hAnsi="GHEA Grapalat" w:cs="Calibri"/>
                <w:color w:val="404040"/>
                <w:sz w:val="18"/>
                <w:szCs w:val="18"/>
              </w:rPr>
            </w:pPr>
            <w:r>
              <w:rPr>
                <w:rFonts w:ascii="GHEA Grapalat" w:hAnsi="GHEA Grapalat" w:cs="Calibri"/>
                <w:color w:val="404040"/>
                <w:sz w:val="18"/>
                <w:szCs w:val="18"/>
              </w:rPr>
              <w:t>100.7</w:t>
            </w:r>
          </w:p>
        </w:tc>
      </w:tr>
    </w:tbl>
    <w:p w14:paraId="2ECCEE13" w14:textId="77777777" w:rsidR="006B15F5" w:rsidRPr="00C25C64" w:rsidRDefault="006B15F5" w:rsidP="006B15F5">
      <w:pPr>
        <w:pStyle w:val="TOC3"/>
        <w:pBdr>
          <w:bottom w:val="single" w:sz="6" w:space="1" w:color="C3C3C7" w:themeColor="accent3" w:themeTint="66"/>
        </w:pBdr>
        <w:outlineLvl w:val="1"/>
        <w:rPr>
          <w:lang w:val="hy-AM"/>
        </w:rPr>
      </w:pPr>
      <w:bookmarkStart w:id="417" w:name="_Toc209625770"/>
      <w:bookmarkStart w:id="418" w:name="_Toc210126103"/>
      <w:bookmarkStart w:id="419" w:name="_Toc215157691"/>
      <w:r w:rsidRPr="00C25C64">
        <w:rPr>
          <w:lang w:val="hy-AM"/>
        </w:rPr>
        <w:t>ԾԱԽՍԵՐՆ ԸՍՏ ԳՈՐԾԱՌԱԿԱՆ ԴԱՍԱԿԱՐԳՄԱՆ</w:t>
      </w:r>
      <w:bookmarkEnd w:id="417"/>
      <w:bookmarkEnd w:id="418"/>
      <w:bookmarkEnd w:id="419"/>
    </w:p>
    <w:p w14:paraId="06D60DFF" w14:textId="77777777" w:rsidR="006B15F5" w:rsidRPr="006C5C37" w:rsidRDefault="006B15F5" w:rsidP="006B15F5">
      <w:pPr>
        <w:jc w:val="both"/>
        <w:rPr>
          <w:rFonts w:ascii="GHEA Grapalat" w:hAnsi="GHEA Grapalat"/>
          <w:szCs w:val="20"/>
          <w:lang w:val="hy-AM"/>
        </w:rPr>
      </w:pPr>
      <w:r>
        <w:rPr>
          <w:rFonts w:ascii="GHEA Grapalat" w:hAnsi="GHEA Grapalat"/>
          <w:szCs w:val="20"/>
          <w:lang w:val="af-ZA"/>
        </w:rPr>
        <w:t>2022-2028</w:t>
      </w:r>
      <w:r w:rsidRPr="0087491E">
        <w:rPr>
          <w:rFonts w:ascii="GHEA Grapalat" w:hAnsi="GHEA Grapalat"/>
          <w:szCs w:val="20"/>
          <w:lang w:val="hy-AM"/>
        </w:rPr>
        <w:t>թթ</w:t>
      </w:r>
      <w:r w:rsidRPr="0087491E">
        <w:rPr>
          <w:rFonts w:ascii="Cambria Math" w:hAnsi="Cambria Math" w:cs="Cambria Math"/>
          <w:szCs w:val="20"/>
          <w:lang w:val="af-ZA"/>
        </w:rPr>
        <w:t>․</w:t>
      </w:r>
      <w:r w:rsidRPr="0087491E">
        <w:rPr>
          <w:rFonts w:ascii="GHEA Grapalat" w:hAnsi="GHEA Grapalat"/>
          <w:szCs w:val="20"/>
          <w:lang w:val="af-ZA"/>
        </w:rPr>
        <w:t xml:space="preserve"> </w:t>
      </w:r>
      <w:r w:rsidRPr="0087491E">
        <w:rPr>
          <w:rFonts w:ascii="GHEA Grapalat" w:hAnsi="GHEA Grapalat"/>
          <w:szCs w:val="20"/>
          <w:lang w:val="hy-AM"/>
        </w:rPr>
        <w:t>ժամանակահատվածում</w:t>
      </w:r>
      <w:r w:rsidRPr="0087491E">
        <w:rPr>
          <w:rFonts w:ascii="GHEA Grapalat" w:hAnsi="GHEA Grapalat"/>
          <w:szCs w:val="20"/>
          <w:lang w:val="af-ZA"/>
        </w:rPr>
        <w:t xml:space="preserve"> </w:t>
      </w:r>
      <w:r w:rsidRPr="0087491E">
        <w:rPr>
          <w:rFonts w:ascii="GHEA Grapalat" w:hAnsi="GHEA Grapalat"/>
          <w:szCs w:val="20"/>
          <w:lang w:val="hy-AM"/>
        </w:rPr>
        <w:t>նկատելի</w:t>
      </w:r>
      <w:r w:rsidRPr="0087491E">
        <w:rPr>
          <w:rFonts w:ascii="GHEA Grapalat" w:hAnsi="GHEA Grapalat"/>
          <w:szCs w:val="20"/>
          <w:lang w:val="af-ZA"/>
        </w:rPr>
        <w:t xml:space="preserve"> </w:t>
      </w:r>
      <w:r w:rsidRPr="0087491E">
        <w:rPr>
          <w:rFonts w:ascii="GHEA Grapalat" w:hAnsi="GHEA Grapalat"/>
          <w:szCs w:val="20"/>
          <w:lang w:val="hy-AM"/>
        </w:rPr>
        <w:t>է</w:t>
      </w:r>
      <w:r w:rsidRPr="0087491E">
        <w:rPr>
          <w:rFonts w:ascii="GHEA Grapalat" w:hAnsi="GHEA Grapalat"/>
          <w:szCs w:val="20"/>
          <w:lang w:val="af-ZA"/>
        </w:rPr>
        <w:t xml:space="preserve"> </w:t>
      </w:r>
      <w:r w:rsidRPr="0087491E">
        <w:rPr>
          <w:rFonts w:ascii="GHEA Grapalat" w:hAnsi="GHEA Grapalat"/>
          <w:szCs w:val="20"/>
          <w:lang w:val="hy-AM"/>
        </w:rPr>
        <w:t>նախորդ</w:t>
      </w:r>
      <w:r w:rsidRPr="0087491E">
        <w:rPr>
          <w:rFonts w:ascii="GHEA Grapalat" w:hAnsi="GHEA Grapalat"/>
          <w:szCs w:val="20"/>
          <w:lang w:val="af-ZA"/>
        </w:rPr>
        <w:t xml:space="preserve"> </w:t>
      </w:r>
      <w:r w:rsidRPr="0087491E">
        <w:rPr>
          <w:rFonts w:ascii="GHEA Grapalat" w:hAnsi="GHEA Grapalat"/>
          <w:szCs w:val="20"/>
          <w:lang w:val="hy-AM"/>
        </w:rPr>
        <w:t>տարվա</w:t>
      </w:r>
      <w:r w:rsidRPr="0087491E">
        <w:rPr>
          <w:rFonts w:ascii="GHEA Grapalat" w:hAnsi="GHEA Grapalat"/>
          <w:szCs w:val="20"/>
          <w:lang w:val="af-ZA"/>
        </w:rPr>
        <w:t xml:space="preserve"> </w:t>
      </w:r>
      <w:r w:rsidRPr="0087491E">
        <w:rPr>
          <w:rFonts w:ascii="GHEA Grapalat" w:hAnsi="GHEA Grapalat"/>
          <w:szCs w:val="20"/>
          <w:lang w:val="hy-AM"/>
        </w:rPr>
        <w:t>համեմատությամբ</w:t>
      </w:r>
      <w:r w:rsidRPr="0087491E">
        <w:rPr>
          <w:rFonts w:ascii="GHEA Grapalat" w:hAnsi="GHEA Grapalat"/>
          <w:szCs w:val="20"/>
          <w:lang w:val="af-ZA"/>
        </w:rPr>
        <w:t xml:space="preserve"> </w:t>
      </w:r>
      <w:r w:rsidRPr="0087491E">
        <w:rPr>
          <w:rFonts w:ascii="GHEA Grapalat" w:hAnsi="GHEA Grapalat"/>
          <w:szCs w:val="20"/>
          <w:lang w:val="hy-AM"/>
        </w:rPr>
        <w:t>պետական</w:t>
      </w:r>
      <w:r w:rsidRPr="0087491E">
        <w:rPr>
          <w:rFonts w:ascii="GHEA Grapalat" w:hAnsi="GHEA Grapalat"/>
          <w:szCs w:val="20"/>
          <w:lang w:val="af-ZA"/>
        </w:rPr>
        <w:t xml:space="preserve"> </w:t>
      </w:r>
      <w:r w:rsidRPr="0087491E">
        <w:rPr>
          <w:rFonts w:ascii="GHEA Grapalat" w:hAnsi="GHEA Grapalat"/>
          <w:szCs w:val="20"/>
          <w:lang w:val="hy-AM"/>
        </w:rPr>
        <w:t>բյուջեի</w:t>
      </w:r>
      <w:r w:rsidRPr="0087491E">
        <w:rPr>
          <w:rFonts w:ascii="GHEA Grapalat" w:hAnsi="GHEA Grapalat"/>
          <w:szCs w:val="20"/>
          <w:lang w:val="af-ZA"/>
        </w:rPr>
        <w:t xml:space="preserve"> </w:t>
      </w:r>
      <w:r w:rsidRPr="0087491E">
        <w:rPr>
          <w:rFonts w:ascii="GHEA Grapalat" w:hAnsi="GHEA Grapalat"/>
          <w:szCs w:val="20"/>
          <w:lang w:val="hy-AM"/>
        </w:rPr>
        <w:t>ընդամենը</w:t>
      </w:r>
      <w:r w:rsidRPr="0087491E">
        <w:rPr>
          <w:rFonts w:ascii="GHEA Grapalat" w:hAnsi="GHEA Grapalat"/>
          <w:szCs w:val="20"/>
          <w:lang w:val="af-ZA"/>
        </w:rPr>
        <w:t xml:space="preserve"> </w:t>
      </w:r>
      <w:r w:rsidRPr="0087491E">
        <w:rPr>
          <w:rFonts w:ascii="GHEA Grapalat" w:hAnsi="GHEA Grapalat"/>
          <w:szCs w:val="20"/>
          <w:lang w:val="hy-AM"/>
        </w:rPr>
        <w:t>ծախսերի</w:t>
      </w:r>
      <w:r w:rsidRPr="0087491E">
        <w:rPr>
          <w:rFonts w:ascii="GHEA Grapalat" w:hAnsi="GHEA Grapalat"/>
          <w:szCs w:val="20"/>
          <w:lang w:val="af-ZA"/>
        </w:rPr>
        <w:t xml:space="preserve"> </w:t>
      </w:r>
      <w:r w:rsidRPr="00D904DB">
        <w:rPr>
          <w:rFonts w:ascii="GHEA Grapalat" w:hAnsi="GHEA Grapalat"/>
          <w:szCs w:val="20"/>
          <w:lang w:val="hy-AM"/>
        </w:rPr>
        <w:t>աճը՝</w:t>
      </w:r>
      <w:r w:rsidRPr="00D904DB">
        <w:rPr>
          <w:rFonts w:ascii="GHEA Grapalat" w:hAnsi="GHEA Grapalat"/>
          <w:szCs w:val="20"/>
          <w:lang w:val="af-ZA"/>
        </w:rPr>
        <w:t xml:space="preserve"> 2023</w:t>
      </w:r>
      <w:r w:rsidRPr="00D904DB">
        <w:rPr>
          <w:rFonts w:ascii="GHEA Grapalat" w:hAnsi="GHEA Grapalat"/>
          <w:szCs w:val="20"/>
          <w:lang w:val="hy-AM"/>
        </w:rPr>
        <w:t>թ</w:t>
      </w:r>
      <w:r w:rsidRPr="00D904DB">
        <w:rPr>
          <w:rFonts w:ascii="GHEA Grapalat" w:hAnsi="GHEA Grapalat"/>
          <w:szCs w:val="20"/>
          <w:lang w:val="af-ZA"/>
        </w:rPr>
        <w:t xml:space="preserve"> </w:t>
      </w:r>
      <w:r w:rsidRPr="00D904DB">
        <w:rPr>
          <w:rFonts w:ascii="GHEA Grapalat" w:hAnsi="GHEA Grapalat"/>
          <w:szCs w:val="20"/>
          <w:lang w:val="hy-AM"/>
        </w:rPr>
        <w:t>թվականին՝</w:t>
      </w:r>
      <w:r w:rsidRPr="00D904DB">
        <w:rPr>
          <w:rFonts w:ascii="GHEA Grapalat" w:hAnsi="GHEA Grapalat"/>
          <w:szCs w:val="20"/>
          <w:lang w:val="af-ZA"/>
        </w:rPr>
        <w:t xml:space="preserve"> 2022 </w:t>
      </w:r>
      <w:r w:rsidRPr="00D904DB">
        <w:rPr>
          <w:rFonts w:ascii="GHEA Grapalat" w:hAnsi="GHEA Grapalat"/>
          <w:szCs w:val="20"/>
          <w:lang w:val="hy-AM"/>
        </w:rPr>
        <w:t>թվականի</w:t>
      </w:r>
      <w:r w:rsidRPr="00D904DB">
        <w:rPr>
          <w:rFonts w:ascii="GHEA Grapalat" w:hAnsi="GHEA Grapalat"/>
          <w:szCs w:val="20"/>
          <w:lang w:val="af-ZA"/>
        </w:rPr>
        <w:t xml:space="preserve"> </w:t>
      </w:r>
      <w:r w:rsidRPr="00D904DB">
        <w:rPr>
          <w:rFonts w:ascii="GHEA Grapalat" w:hAnsi="GHEA Grapalat"/>
          <w:szCs w:val="20"/>
          <w:lang w:val="hy-AM"/>
        </w:rPr>
        <w:t>համեմատ</w:t>
      </w:r>
      <w:r w:rsidRPr="00D904DB">
        <w:rPr>
          <w:rFonts w:ascii="GHEA Grapalat" w:hAnsi="GHEA Grapalat"/>
          <w:szCs w:val="20"/>
          <w:lang w:val="af-ZA"/>
        </w:rPr>
        <w:t xml:space="preserve"> 305.</w:t>
      </w:r>
      <w:r w:rsidRPr="00D904DB">
        <w:rPr>
          <w:rFonts w:ascii="GHEA Grapalat" w:hAnsi="GHEA Grapalat"/>
          <w:szCs w:val="20"/>
          <w:lang w:val="hy-AM"/>
        </w:rPr>
        <w:t>0</w:t>
      </w:r>
      <w:r w:rsidRPr="00D904DB">
        <w:rPr>
          <w:rFonts w:ascii="GHEA Grapalat" w:hAnsi="GHEA Grapalat"/>
          <w:szCs w:val="20"/>
          <w:lang w:val="af-ZA"/>
        </w:rPr>
        <w:t xml:space="preserve"> </w:t>
      </w:r>
      <w:r w:rsidRPr="00D904DB">
        <w:rPr>
          <w:rFonts w:ascii="GHEA Grapalat" w:hAnsi="GHEA Grapalat"/>
          <w:szCs w:val="20"/>
          <w:lang w:val="hy-AM"/>
        </w:rPr>
        <w:t>մլրդ</w:t>
      </w:r>
      <w:r w:rsidRPr="00D904DB">
        <w:rPr>
          <w:rFonts w:ascii="GHEA Grapalat" w:hAnsi="GHEA Grapalat"/>
          <w:szCs w:val="20"/>
          <w:lang w:val="af-ZA"/>
        </w:rPr>
        <w:t xml:space="preserve">. </w:t>
      </w:r>
      <w:r w:rsidRPr="00D904DB">
        <w:rPr>
          <w:rFonts w:ascii="GHEA Grapalat" w:hAnsi="GHEA Grapalat"/>
          <w:szCs w:val="20"/>
          <w:lang w:val="hy-AM"/>
        </w:rPr>
        <w:t>ՀՀ</w:t>
      </w:r>
      <w:r w:rsidRPr="00D904DB">
        <w:rPr>
          <w:rFonts w:ascii="GHEA Grapalat" w:hAnsi="GHEA Grapalat"/>
          <w:szCs w:val="20"/>
          <w:lang w:val="af-ZA"/>
        </w:rPr>
        <w:t xml:space="preserve"> </w:t>
      </w:r>
      <w:r w:rsidRPr="00D904DB">
        <w:rPr>
          <w:rFonts w:ascii="GHEA Grapalat" w:hAnsi="GHEA Grapalat"/>
          <w:szCs w:val="20"/>
          <w:lang w:val="hy-AM"/>
        </w:rPr>
        <w:t>դրամի</w:t>
      </w:r>
      <w:r w:rsidRPr="00D904DB">
        <w:rPr>
          <w:rFonts w:ascii="GHEA Grapalat" w:hAnsi="GHEA Grapalat"/>
          <w:szCs w:val="20"/>
          <w:lang w:val="af-ZA"/>
        </w:rPr>
        <w:t>, 202</w:t>
      </w:r>
      <w:r w:rsidRPr="00D904DB">
        <w:rPr>
          <w:rFonts w:ascii="GHEA Grapalat" w:hAnsi="GHEA Grapalat"/>
          <w:szCs w:val="20"/>
          <w:lang w:val="hy-AM"/>
        </w:rPr>
        <w:t>4</w:t>
      </w:r>
      <w:r w:rsidRPr="00D904DB">
        <w:rPr>
          <w:rFonts w:ascii="GHEA Grapalat" w:hAnsi="GHEA Grapalat"/>
          <w:szCs w:val="20"/>
          <w:lang w:val="af-ZA"/>
        </w:rPr>
        <w:t xml:space="preserve"> </w:t>
      </w:r>
      <w:r w:rsidRPr="00D904DB">
        <w:rPr>
          <w:rFonts w:ascii="GHEA Grapalat" w:hAnsi="GHEA Grapalat"/>
          <w:szCs w:val="20"/>
          <w:lang w:val="hy-AM"/>
        </w:rPr>
        <w:t>թվականին՝</w:t>
      </w:r>
      <w:r w:rsidRPr="00D904DB">
        <w:rPr>
          <w:rFonts w:ascii="GHEA Grapalat" w:hAnsi="GHEA Grapalat"/>
          <w:szCs w:val="20"/>
          <w:lang w:val="af-ZA"/>
        </w:rPr>
        <w:t xml:space="preserve"> 2023-</w:t>
      </w:r>
      <w:r w:rsidRPr="00D904DB">
        <w:rPr>
          <w:rFonts w:ascii="GHEA Grapalat" w:hAnsi="GHEA Grapalat"/>
          <w:szCs w:val="20"/>
          <w:lang w:val="hy-AM"/>
        </w:rPr>
        <w:t>ի</w:t>
      </w:r>
      <w:r w:rsidRPr="00D904DB">
        <w:rPr>
          <w:rFonts w:ascii="GHEA Grapalat" w:hAnsi="GHEA Grapalat"/>
          <w:szCs w:val="20"/>
          <w:lang w:val="af-ZA"/>
        </w:rPr>
        <w:t xml:space="preserve"> </w:t>
      </w:r>
      <w:r w:rsidRPr="00D904DB">
        <w:rPr>
          <w:rFonts w:ascii="GHEA Grapalat" w:hAnsi="GHEA Grapalat"/>
          <w:szCs w:val="20"/>
          <w:lang w:val="hy-AM"/>
        </w:rPr>
        <w:t>համեմատ՝</w:t>
      </w:r>
      <w:r w:rsidRPr="00D904DB">
        <w:rPr>
          <w:rFonts w:ascii="GHEA Grapalat" w:hAnsi="GHEA Grapalat"/>
          <w:szCs w:val="20"/>
          <w:lang w:val="af-ZA"/>
        </w:rPr>
        <w:t xml:space="preserve"> 407.7 </w:t>
      </w:r>
      <w:r w:rsidRPr="00D904DB">
        <w:rPr>
          <w:rFonts w:ascii="GHEA Grapalat" w:hAnsi="GHEA Grapalat"/>
          <w:szCs w:val="20"/>
          <w:lang w:val="hy-AM"/>
        </w:rPr>
        <w:t>մլրդ</w:t>
      </w:r>
      <w:r w:rsidRPr="00D904DB">
        <w:rPr>
          <w:rFonts w:ascii="GHEA Grapalat" w:hAnsi="GHEA Grapalat"/>
          <w:szCs w:val="20"/>
          <w:lang w:val="af-ZA"/>
        </w:rPr>
        <w:t xml:space="preserve">. </w:t>
      </w:r>
      <w:r w:rsidRPr="00D904DB">
        <w:rPr>
          <w:rFonts w:ascii="GHEA Grapalat" w:hAnsi="GHEA Grapalat"/>
          <w:szCs w:val="20"/>
          <w:lang w:val="hy-AM"/>
        </w:rPr>
        <w:t>ՀՀ</w:t>
      </w:r>
      <w:r w:rsidRPr="00D904DB">
        <w:rPr>
          <w:rFonts w:ascii="GHEA Grapalat" w:hAnsi="GHEA Grapalat"/>
          <w:szCs w:val="20"/>
          <w:lang w:val="af-ZA"/>
        </w:rPr>
        <w:t xml:space="preserve"> </w:t>
      </w:r>
      <w:r w:rsidRPr="00D904DB">
        <w:rPr>
          <w:rFonts w:ascii="GHEA Grapalat" w:hAnsi="GHEA Grapalat"/>
          <w:szCs w:val="20"/>
          <w:lang w:val="hy-AM"/>
        </w:rPr>
        <w:t>դրամի</w:t>
      </w:r>
      <w:r w:rsidRPr="00D904DB">
        <w:rPr>
          <w:rFonts w:ascii="GHEA Grapalat" w:hAnsi="GHEA Grapalat"/>
          <w:szCs w:val="20"/>
          <w:lang w:val="af-ZA"/>
        </w:rPr>
        <w:t xml:space="preserve"> </w:t>
      </w:r>
      <w:r w:rsidRPr="00D904DB">
        <w:rPr>
          <w:rFonts w:ascii="GHEA Grapalat" w:hAnsi="GHEA Grapalat"/>
          <w:szCs w:val="20"/>
          <w:lang w:val="hy-AM"/>
        </w:rPr>
        <w:t>չափով։</w:t>
      </w:r>
      <w:r w:rsidRPr="0087491E">
        <w:rPr>
          <w:rFonts w:ascii="GHEA Grapalat" w:hAnsi="GHEA Grapalat"/>
          <w:szCs w:val="20"/>
          <w:lang w:val="af-ZA"/>
        </w:rPr>
        <w:t xml:space="preserve"> </w:t>
      </w:r>
      <w:r w:rsidRPr="00D904DB">
        <w:rPr>
          <w:rFonts w:ascii="GHEA Grapalat" w:hAnsi="GHEA Grapalat"/>
          <w:szCs w:val="20"/>
          <w:lang w:val="hy-AM"/>
        </w:rPr>
        <w:t>Բացառություն</w:t>
      </w:r>
      <w:r w:rsidRPr="0087491E">
        <w:rPr>
          <w:rFonts w:ascii="GHEA Grapalat" w:hAnsi="GHEA Grapalat"/>
          <w:szCs w:val="20"/>
          <w:lang w:val="af-ZA"/>
        </w:rPr>
        <w:t xml:space="preserve"> </w:t>
      </w:r>
      <w:r w:rsidRPr="00D904DB">
        <w:rPr>
          <w:rFonts w:ascii="GHEA Grapalat" w:hAnsi="GHEA Grapalat"/>
          <w:szCs w:val="20"/>
          <w:lang w:val="hy-AM"/>
        </w:rPr>
        <w:t>չէ</w:t>
      </w:r>
      <w:r w:rsidRPr="0087491E">
        <w:rPr>
          <w:rFonts w:ascii="GHEA Grapalat" w:hAnsi="GHEA Grapalat"/>
          <w:szCs w:val="20"/>
          <w:lang w:val="af-ZA"/>
        </w:rPr>
        <w:t xml:space="preserve"> </w:t>
      </w:r>
      <w:r w:rsidRPr="00D904DB">
        <w:rPr>
          <w:rFonts w:ascii="GHEA Grapalat" w:hAnsi="GHEA Grapalat"/>
          <w:szCs w:val="20"/>
          <w:lang w:val="hy-AM"/>
        </w:rPr>
        <w:t>նաև</w:t>
      </w:r>
      <w:r>
        <w:rPr>
          <w:rFonts w:ascii="GHEA Grapalat" w:hAnsi="GHEA Grapalat"/>
          <w:szCs w:val="20"/>
          <w:lang w:val="af-ZA"/>
        </w:rPr>
        <w:t xml:space="preserve"> 2025</w:t>
      </w:r>
      <w:r w:rsidRPr="00D904DB">
        <w:rPr>
          <w:rFonts w:ascii="GHEA Grapalat" w:hAnsi="GHEA Grapalat"/>
          <w:szCs w:val="20"/>
          <w:lang w:val="hy-AM"/>
        </w:rPr>
        <w:t>թ</w:t>
      </w:r>
      <w:r w:rsidRPr="0087491E">
        <w:rPr>
          <w:rFonts w:ascii="Cambria Math" w:hAnsi="Cambria Math" w:cs="Cambria Math"/>
          <w:szCs w:val="20"/>
          <w:lang w:val="af-ZA"/>
        </w:rPr>
        <w:t>․</w:t>
      </w:r>
      <w:r w:rsidRPr="0087491E">
        <w:rPr>
          <w:rFonts w:ascii="GHEA Grapalat" w:hAnsi="GHEA Grapalat"/>
          <w:szCs w:val="20"/>
          <w:lang w:val="af-ZA"/>
        </w:rPr>
        <w:t xml:space="preserve"> </w:t>
      </w:r>
      <w:r w:rsidRPr="00D904DB">
        <w:rPr>
          <w:rFonts w:ascii="GHEA Grapalat" w:hAnsi="GHEA Grapalat"/>
          <w:szCs w:val="20"/>
          <w:lang w:val="hy-AM"/>
        </w:rPr>
        <w:t>պետական</w:t>
      </w:r>
      <w:r w:rsidRPr="0087491E">
        <w:rPr>
          <w:rFonts w:ascii="GHEA Grapalat" w:hAnsi="GHEA Grapalat"/>
          <w:szCs w:val="20"/>
          <w:lang w:val="af-ZA"/>
        </w:rPr>
        <w:t xml:space="preserve"> </w:t>
      </w:r>
      <w:r w:rsidRPr="00D904DB">
        <w:rPr>
          <w:rFonts w:ascii="GHEA Grapalat" w:hAnsi="GHEA Grapalat"/>
          <w:szCs w:val="20"/>
          <w:lang w:val="hy-AM"/>
        </w:rPr>
        <w:t>բյուջեն</w:t>
      </w:r>
      <w:r w:rsidRPr="00D904DB">
        <w:rPr>
          <w:rFonts w:ascii="GHEA Grapalat" w:hAnsi="GHEA Grapalat"/>
          <w:szCs w:val="20"/>
          <w:lang w:val="af-ZA"/>
        </w:rPr>
        <w:t xml:space="preserve">, </w:t>
      </w:r>
      <w:r w:rsidRPr="00D904DB">
        <w:rPr>
          <w:rFonts w:ascii="GHEA Grapalat" w:hAnsi="GHEA Grapalat"/>
          <w:szCs w:val="20"/>
          <w:lang w:val="hy-AM"/>
        </w:rPr>
        <w:t>որը</w:t>
      </w:r>
      <w:r w:rsidRPr="00D904DB">
        <w:rPr>
          <w:rFonts w:ascii="GHEA Grapalat" w:hAnsi="GHEA Grapalat"/>
          <w:szCs w:val="20"/>
          <w:lang w:val="af-ZA"/>
        </w:rPr>
        <w:t xml:space="preserve"> </w:t>
      </w:r>
      <w:r w:rsidRPr="00D904DB">
        <w:rPr>
          <w:rFonts w:ascii="GHEA Grapalat" w:hAnsi="GHEA Grapalat"/>
          <w:szCs w:val="20"/>
          <w:lang w:val="hy-AM"/>
        </w:rPr>
        <w:t>նախորդ՝</w:t>
      </w:r>
      <w:r w:rsidRPr="00D904DB">
        <w:rPr>
          <w:rFonts w:ascii="GHEA Grapalat" w:hAnsi="GHEA Grapalat"/>
          <w:szCs w:val="20"/>
          <w:lang w:val="af-ZA"/>
        </w:rPr>
        <w:t xml:space="preserve"> 2024 </w:t>
      </w:r>
      <w:r w:rsidRPr="00D904DB">
        <w:rPr>
          <w:rFonts w:ascii="GHEA Grapalat" w:hAnsi="GHEA Grapalat"/>
          <w:szCs w:val="20"/>
          <w:lang w:val="hy-AM"/>
        </w:rPr>
        <w:t>թվականի</w:t>
      </w:r>
      <w:r w:rsidRPr="00D904DB">
        <w:rPr>
          <w:rFonts w:ascii="GHEA Grapalat" w:hAnsi="GHEA Grapalat"/>
          <w:szCs w:val="20"/>
          <w:lang w:val="af-ZA"/>
        </w:rPr>
        <w:t xml:space="preserve"> </w:t>
      </w:r>
      <w:r w:rsidRPr="00D904DB">
        <w:rPr>
          <w:rFonts w:ascii="GHEA Grapalat" w:hAnsi="GHEA Grapalat"/>
          <w:szCs w:val="20"/>
          <w:lang w:val="hy-AM"/>
        </w:rPr>
        <w:t>համեմատ</w:t>
      </w:r>
      <w:r w:rsidRPr="00D904DB">
        <w:rPr>
          <w:rFonts w:ascii="GHEA Grapalat" w:hAnsi="GHEA Grapalat"/>
          <w:szCs w:val="20"/>
          <w:lang w:val="af-ZA"/>
        </w:rPr>
        <w:t xml:space="preserve"> </w:t>
      </w:r>
      <w:r w:rsidRPr="00D904DB">
        <w:rPr>
          <w:rFonts w:ascii="GHEA Grapalat" w:hAnsi="GHEA Grapalat"/>
          <w:szCs w:val="20"/>
          <w:lang w:val="hy-AM"/>
        </w:rPr>
        <w:t>հաստատվել</w:t>
      </w:r>
      <w:r w:rsidRPr="00D904DB">
        <w:rPr>
          <w:rFonts w:ascii="GHEA Grapalat" w:hAnsi="GHEA Grapalat"/>
          <w:szCs w:val="20"/>
          <w:lang w:val="af-ZA"/>
        </w:rPr>
        <w:t xml:space="preserve"> </w:t>
      </w:r>
      <w:r w:rsidRPr="00D904DB">
        <w:rPr>
          <w:rFonts w:ascii="GHEA Grapalat" w:hAnsi="GHEA Grapalat"/>
          <w:szCs w:val="20"/>
          <w:lang w:val="hy-AM"/>
        </w:rPr>
        <w:t>է</w:t>
      </w:r>
      <w:r w:rsidRPr="00D904DB">
        <w:rPr>
          <w:rFonts w:ascii="GHEA Grapalat" w:hAnsi="GHEA Grapalat"/>
          <w:szCs w:val="20"/>
          <w:lang w:val="af-ZA"/>
        </w:rPr>
        <w:t xml:space="preserve"> </w:t>
      </w:r>
      <w:r w:rsidRPr="00D904DB">
        <w:rPr>
          <w:rFonts w:ascii="GHEA Grapalat" w:hAnsi="GHEA Grapalat"/>
          <w:szCs w:val="20"/>
          <w:lang w:val="hy-AM"/>
        </w:rPr>
        <w:t>ծախսերի</w:t>
      </w:r>
      <w:r w:rsidRPr="00D904DB">
        <w:rPr>
          <w:rFonts w:ascii="GHEA Grapalat" w:hAnsi="GHEA Grapalat"/>
          <w:szCs w:val="20"/>
          <w:lang w:val="af-ZA"/>
        </w:rPr>
        <w:t xml:space="preserve"> 486.</w:t>
      </w:r>
      <w:r w:rsidRPr="00D904DB">
        <w:rPr>
          <w:rFonts w:ascii="GHEA Grapalat" w:hAnsi="GHEA Grapalat"/>
          <w:szCs w:val="20"/>
          <w:lang w:val="hy-AM"/>
        </w:rPr>
        <w:t>3</w:t>
      </w:r>
      <w:r w:rsidRPr="00D904DB">
        <w:rPr>
          <w:rFonts w:ascii="GHEA Grapalat" w:hAnsi="GHEA Grapalat"/>
          <w:szCs w:val="20"/>
          <w:lang w:val="af-ZA"/>
        </w:rPr>
        <w:t xml:space="preserve"> </w:t>
      </w:r>
      <w:r w:rsidRPr="00D904DB">
        <w:rPr>
          <w:rFonts w:ascii="GHEA Grapalat" w:hAnsi="GHEA Grapalat"/>
          <w:szCs w:val="20"/>
          <w:lang w:val="hy-AM"/>
        </w:rPr>
        <w:t>մլրդ</w:t>
      </w:r>
      <w:r w:rsidRPr="00D904DB">
        <w:rPr>
          <w:rFonts w:ascii="Cambria Math" w:hAnsi="Cambria Math" w:cs="Cambria Math"/>
          <w:szCs w:val="20"/>
          <w:lang w:val="af-ZA"/>
        </w:rPr>
        <w:t>․</w:t>
      </w:r>
      <w:r w:rsidRPr="00D904DB">
        <w:rPr>
          <w:rFonts w:ascii="GHEA Grapalat" w:hAnsi="GHEA Grapalat"/>
          <w:szCs w:val="20"/>
          <w:lang w:val="af-ZA"/>
        </w:rPr>
        <w:t xml:space="preserve"> </w:t>
      </w:r>
      <w:r w:rsidRPr="00D904DB">
        <w:rPr>
          <w:rFonts w:ascii="GHEA Grapalat" w:hAnsi="GHEA Grapalat"/>
          <w:szCs w:val="20"/>
          <w:lang w:val="hy-AM"/>
        </w:rPr>
        <w:t>ՀՀ</w:t>
      </w:r>
      <w:r w:rsidRPr="00D904DB">
        <w:rPr>
          <w:rFonts w:ascii="GHEA Grapalat" w:hAnsi="GHEA Grapalat"/>
          <w:szCs w:val="20"/>
          <w:lang w:val="af-ZA"/>
        </w:rPr>
        <w:t xml:space="preserve"> </w:t>
      </w:r>
      <w:r w:rsidRPr="00D904DB">
        <w:rPr>
          <w:rFonts w:ascii="GHEA Grapalat" w:hAnsi="GHEA Grapalat"/>
          <w:szCs w:val="20"/>
          <w:lang w:val="hy-AM"/>
        </w:rPr>
        <w:t>դրամ</w:t>
      </w:r>
      <w:r w:rsidRPr="00D904DB">
        <w:rPr>
          <w:rFonts w:ascii="GHEA Grapalat" w:hAnsi="GHEA Grapalat"/>
          <w:szCs w:val="20"/>
          <w:lang w:val="af-ZA"/>
        </w:rPr>
        <w:t xml:space="preserve"> </w:t>
      </w:r>
      <w:r w:rsidRPr="00D904DB">
        <w:rPr>
          <w:rFonts w:ascii="GHEA Grapalat" w:hAnsi="GHEA Grapalat"/>
          <w:szCs w:val="20"/>
          <w:lang w:val="hy-AM"/>
        </w:rPr>
        <w:t>ավել</w:t>
      </w:r>
      <w:r w:rsidRPr="00D904DB">
        <w:rPr>
          <w:rFonts w:ascii="GHEA Grapalat" w:hAnsi="GHEA Grapalat"/>
          <w:szCs w:val="20"/>
          <w:lang w:val="af-ZA"/>
        </w:rPr>
        <w:t xml:space="preserve"> </w:t>
      </w:r>
      <w:r w:rsidRPr="00D904DB">
        <w:rPr>
          <w:rFonts w:ascii="GHEA Grapalat" w:hAnsi="GHEA Grapalat"/>
          <w:szCs w:val="20"/>
          <w:lang w:val="hy-AM"/>
        </w:rPr>
        <w:t>չափով։</w:t>
      </w:r>
      <w:r w:rsidRPr="00D904DB">
        <w:rPr>
          <w:rFonts w:ascii="GHEA Grapalat" w:hAnsi="GHEA Grapalat"/>
          <w:szCs w:val="20"/>
          <w:lang w:val="af-ZA"/>
        </w:rPr>
        <w:t xml:space="preserve">  </w:t>
      </w:r>
      <w:r w:rsidRPr="00D904DB">
        <w:rPr>
          <w:rFonts w:ascii="GHEA Grapalat" w:hAnsi="GHEA Grapalat"/>
          <w:szCs w:val="20"/>
          <w:lang w:val="hy-AM"/>
        </w:rPr>
        <w:t>Ծախսերի</w:t>
      </w:r>
      <w:r w:rsidRPr="00D904DB">
        <w:rPr>
          <w:rFonts w:ascii="GHEA Grapalat" w:hAnsi="GHEA Grapalat"/>
          <w:szCs w:val="20"/>
          <w:lang w:val="af-ZA"/>
        </w:rPr>
        <w:t xml:space="preserve"> </w:t>
      </w:r>
      <w:r w:rsidRPr="00D904DB">
        <w:rPr>
          <w:rFonts w:ascii="GHEA Grapalat" w:hAnsi="GHEA Grapalat"/>
          <w:szCs w:val="20"/>
          <w:lang w:val="hy-AM"/>
        </w:rPr>
        <w:t>աճման</w:t>
      </w:r>
      <w:r w:rsidRPr="00D904DB">
        <w:rPr>
          <w:rFonts w:ascii="GHEA Grapalat" w:hAnsi="GHEA Grapalat"/>
          <w:szCs w:val="20"/>
          <w:lang w:val="af-ZA"/>
        </w:rPr>
        <w:t xml:space="preserve"> </w:t>
      </w:r>
      <w:r w:rsidRPr="00D904DB">
        <w:rPr>
          <w:rFonts w:ascii="GHEA Grapalat" w:hAnsi="GHEA Grapalat"/>
          <w:szCs w:val="20"/>
          <w:lang w:val="hy-AM"/>
        </w:rPr>
        <w:t>միտումը</w:t>
      </w:r>
      <w:r w:rsidRPr="00D904DB">
        <w:rPr>
          <w:rFonts w:ascii="GHEA Grapalat" w:hAnsi="GHEA Grapalat"/>
          <w:szCs w:val="20"/>
          <w:lang w:val="af-ZA"/>
        </w:rPr>
        <w:t xml:space="preserve"> </w:t>
      </w:r>
      <w:r w:rsidRPr="00D904DB">
        <w:rPr>
          <w:rFonts w:ascii="GHEA Grapalat" w:hAnsi="GHEA Grapalat"/>
          <w:szCs w:val="20"/>
          <w:lang w:val="hy-AM"/>
        </w:rPr>
        <w:t>պահպանվելու</w:t>
      </w:r>
      <w:r w:rsidRPr="00D904DB">
        <w:rPr>
          <w:rFonts w:ascii="GHEA Grapalat" w:hAnsi="GHEA Grapalat"/>
          <w:szCs w:val="20"/>
          <w:lang w:val="af-ZA"/>
        </w:rPr>
        <w:t xml:space="preserve"> </w:t>
      </w:r>
      <w:r w:rsidRPr="00D904DB">
        <w:rPr>
          <w:rFonts w:ascii="GHEA Grapalat" w:hAnsi="GHEA Grapalat"/>
          <w:szCs w:val="20"/>
          <w:lang w:val="hy-AM"/>
        </w:rPr>
        <w:t>է</w:t>
      </w:r>
      <w:r w:rsidRPr="00D904DB">
        <w:rPr>
          <w:rFonts w:ascii="GHEA Grapalat" w:hAnsi="GHEA Grapalat"/>
          <w:szCs w:val="20"/>
          <w:lang w:val="af-ZA"/>
        </w:rPr>
        <w:t xml:space="preserve"> 2026 </w:t>
      </w:r>
      <w:r w:rsidRPr="00D904DB">
        <w:rPr>
          <w:rFonts w:ascii="GHEA Grapalat" w:hAnsi="GHEA Grapalat"/>
          <w:szCs w:val="20"/>
          <w:lang w:val="hy-AM"/>
        </w:rPr>
        <w:t>թվականին</w:t>
      </w:r>
      <w:r w:rsidRPr="0087491E">
        <w:rPr>
          <w:rFonts w:ascii="GHEA Grapalat" w:hAnsi="GHEA Grapalat"/>
          <w:szCs w:val="20"/>
          <w:lang w:val="af-ZA"/>
        </w:rPr>
        <w:t xml:space="preserve"> </w:t>
      </w:r>
      <w:r w:rsidRPr="0087491E">
        <w:rPr>
          <w:rFonts w:ascii="GHEA Grapalat" w:hAnsi="GHEA Grapalat"/>
          <w:szCs w:val="20"/>
        </w:rPr>
        <w:t>նույնպես</w:t>
      </w:r>
      <w:r w:rsidRPr="0087491E">
        <w:rPr>
          <w:rFonts w:ascii="GHEA Grapalat" w:hAnsi="GHEA Grapalat"/>
          <w:szCs w:val="20"/>
          <w:lang w:val="af-ZA"/>
        </w:rPr>
        <w:t xml:space="preserve"> </w:t>
      </w:r>
      <w:r w:rsidRPr="0087491E">
        <w:rPr>
          <w:rFonts w:ascii="GHEA Grapalat" w:hAnsi="GHEA Grapalat"/>
          <w:szCs w:val="20"/>
        </w:rPr>
        <w:t>քան</w:t>
      </w:r>
      <w:r w:rsidRPr="0087491E">
        <w:rPr>
          <w:rFonts w:ascii="GHEA Grapalat" w:hAnsi="GHEA Grapalat"/>
          <w:szCs w:val="20"/>
          <w:lang w:val="af-ZA"/>
        </w:rPr>
        <w:t xml:space="preserve"> </w:t>
      </w:r>
      <w:r w:rsidRPr="0087491E">
        <w:rPr>
          <w:rFonts w:ascii="GHEA Grapalat" w:hAnsi="GHEA Grapalat"/>
          <w:szCs w:val="20"/>
        </w:rPr>
        <w:t>նախորդ</w:t>
      </w:r>
      <w:r w:rsidRPr="0087491E">
        <w:rPr>
          <w:rFonts w:ascii="GHEA Grapalat" w:hAnsi="GHEA Grapalat"/>
          <w:szCs w:val="20"/>
          <w:lang w:val="af-ZA"/>
        </w:rPr>
        <w:t xml:space="preserve"> </w:t>
      </w:r>
      <w:r w:rsidRPr="0087491E">
        <w:rPr>
          <w:rFonts w:ascii="GHEA Grapalat" w:hAnsi="GHEA Grapalat"/>
          <w:szCs w:val="20"/>
        </w:rPr>
        <w:t>հաստատված՝</w:t>
      </w:r>
      <w:r>
        <w:rPr>
          <w:rFonts w:ascii="GHEA Grapalat" w:hAnsi="GHEA Grapalat"/>
          <w:szCs w:val="20"/>
          <w:lang w:val="af-ZA"/>
        </w:rPr>
        <w:t xml:space="preserve"> 2025</w:t>
      </w:r>
      <w:r w:rsidRPr="0087491E">
        <w:rPr>
          <w:rFonts w:ascii="GHEA Grapalat" w:hAnsi="GHEA Grapalat"/>
          <w:szCs w:val="20"/>
          <w:lang w:val="af-ZA"/>
        </w:rPr>
        <w:t xml:space="preserve"> </w:t>
      </w:r>
      <w:r w:rsidRPr="0087491E">
        <w:rPr>
          <w:rFonts w:ascii="GHEA Grapalat" w:hAnsi="GHEA Grapalat"/>
          <w:szCs w:val="20"/>
        </w:rPr>
        <w:t>թվականի</w:t>
      </w:r>
      <w:r w:rsidRPr="0087491E">
        <w:rPr>
          <w:rFonts w:ascii="GHEA Grapalat" w:hAnsi="GHEA Grapalat"/>
          <w:szCs w:val="20"/>
          <w:lang w:val="af-ZA"/>
        </w:rPr>
        <w:t xml:space="preserve"> </w:t>
      </w:r>
      <w:r w:rsidRPr="0087491E">
        <w:rPr>
          <w:rFonts w:ascii="GHEA Grapalat" w:hAnsi="GHEA Grapalat"/>
          <w:szCs w:val="20"/>
        </w:rPr>
        <w:t>բյուջետային</w:t>
      </w:r>
      <w:r w:rsidRPr="0087491E">
        <w:rPr>
          <w:rFonts w:ascii="GHEA Grapalat" w:hAnsi="GHEA Grapalat"/>
          <w:szCs w:val="20"/>
          <w:lang w:val="af-ZA"/>
        </w:rPr>
        <w:t xml:space="preserve"> </w:t>
      </w:r>
      <w:r w:rsidRPr="0087491E">
        <w:rPr>
          <w:rFonts w:ascii="GHEA Grapalat" w:hAnsi="GHEA Grapalat"/>
          <w:szCs w:val="20"/>
        </w:rPr>
        <w:t>ծախսերի</w:t>
      </w:r>
      <w:r w:rsidRPr="0087491E">
        <w:rPr>
          <w:rFonts w:ascii="GHEA Grapalat" w:hAnsi="GHEA Grapalat"/>
          <w:szCs w:val="20"/>
          <w:lang w:val="af-ZA"/>
        </w:rPr>
        <w:t xml:space="preserve"> </w:t>
      </w:r>
      <w:r w:rsidRPr="0087491E">
        <w:rPr>
          <w:rFonts w:ascii="GHEA Grapalat" w:hAnsi="GHEA Grapalat"/>
          <w:szCs w:val="20"/>
        </w:rPr>
        <w:t>չափաքանակներն</w:t>
      </w:r>
      <w:r w:rsidRPr="0087491E">
        <w:rPr>
          <w:rFonts w:ascii="GHEA Grapalat" w:hAnsi="GHEA Grapalat"/>
          <w:szCs w:val="20"/>
          <w:lang w:val="af-ZA"/>
        </w:rPr>
        <w:t xml:space="preserve"> </w:t>
      </w:r>
      <w:r w:rsidRPr="0087491E">
        <w:rPr>
          <w:rFonts w:ascii="GHEA Grapalat" w:hAnsi="GHEA Grapalat"/>
          <w:szCs w:val="20"/>
        </w:rPr>
        <w:t>են՝</w:t>
      </w:r>
      <w:r w:rsidRPr="0087491E">
        <w:rPr>
          <w:rFonts w:ascii="GHEA Grapalat" w:hAnsi="GHEA Grapalat"/>
          <w:szCs w:val="20"/>
          <w:lang w:val="af-ZA"/>
        </w:rPr>
        <w:t xml:space="preserve"> </w:t>
      </w:r>
      <w:r w:rsidRPr="00D904DB">
        <w:rPr>
          <w:rFonts w:ascii="GHEA Grapalat" w:hAnsi="GHEA Grapalat"/>
          <w:szCs w:val="20"/>
        </w:rPr>
        <w:t>շուրջ</w:t>
      </w:r>
      <w:r w:rsidRPr="00D904DB">
        <w:rPr>
          <w:rFonts w:ascii="GHEA Grapalat" w:hAnsi="GHEA Grapalat"/>
          <w:szCs w:val="20"/>
          <w:lang w:val="af-ZA"/>
        </w:rPr>
        <w:t xml:space="preserve"> 186.</w:t>
      </w:r>
      <w:r>
        <w:rPr>
          <w:rFonts w:ascii="GHEA Grapalat" w:hAnsi="GHEA Grapalat"/>
          <w:szCs w:val="20"/>
          <w:lang w:val="hy-AM"/>
        </w:rPr>
        <w:t>0</w:t>
      </w:r>
      <w:r w:rsidRPr="0087491E">
        <w:rPr>
          <w:rFonts w:ascii="GHEA Grapalat" w:hAnsi="GHEA Grapalat"/>
          <w:szCs w:val="20"/>
          <w:lang w:val="af-ZA"/>
        </w:rPr>
        <w:t xml:space="preserve"> </w:t>
      </w:r>
      <w:r w:rsidRPr="0087491E">
        <w:rPr>
          <w:rFonts w:ascii="GHEA Grapalat" w:hAnsi="GHEA Grapalat"/>
          <w:szCs w:val="20"/>
        </w:rPr>
        <w:t>մլրդ</w:t>
      </w:r>
      <w:r w:rsidRPr="0087491E">
        <w:rPr>
          <w:rFonts w:ascii="GHEA Grapalat" w:hAnsi="GHEA Grapalat"/>
          <w:szCs w:val="20"/>
          <w:lang w:val="af-ZA"/>
        </w:rPr>
        <w:t xml:space="preserve"> </w:t>
      </w:r>
      <w:r w:rsidRPr="0087491E">
        <w:rPr>
          <w:rFonts w:ascii="GHEA Grapalat" w:hAnsi="GHEA Grapalat"/>
          <w:szCs w:val="20"/>
        </w:rPr>
        <w:t>ՀՀ</w:t>
      </w:r>
      <w:r w:rsidRPr="0087491E">
        <w:rPr>
          <w:rFonts w:ascii="GHEA Grapalat" w:hAnsi="GHEA Grapalat"/>
          <w:szCs w:val="20"/>
          <w:lang w:val="af-ZA"/>
        </w:rPr>
        <w:t xml:space="preserve"> </w:t>
      </w:r>
      <w:r w:rsidRPr="0087491E">
        <w:rPr>
          <w:rFonts w:ascii="GHEA Grapalat" w:hAnsi="GHEA Grapalat"/>
          <w:szCs w:val="20"/>
        </w:rPr>
        <w:t>դրամի</w:t>
      </w:r>
      <w:r w:rsidRPr="0087491E">
        <w:rPr>
          <w:rFonts w:ascii="GHEA Grapalat" w:hAnsi="GHEA Grapalat"/>
          <w:szCs w:val="20"/>
          <w:lang w:val="af-ZA"/>
        </w:rPr>
        <w:t xml:space="preserve"> </w:t>
      </w:r>
      <w:r w:rsidRPr="0087491E">
        <w:rPr>
          <w:rFonts w:ascii="GHEA Grapalat" w:hAnsi="GHEA Grapalat"/>
          <w:szCs w:val="20"/>
        </w:rPr>
        <w:t>չափով</w:t>
      </w:r>
      <w:r w:rsidRPr="0087491E">
        <w:rPr>
          <w:rFonts w:ascii="GHEA Grapalat" w:hAnsi="GHEA Grapalat"/>
          <w:szCs w:val="20"/>
          <w:lang w:val="af-ZA"/>
        </w:rPr>
        <w:t>:</w:t>
      </w:r>
      <w:r w:rsidRPr="003A430D">
        <w:rPr>
          <w:rFonts w:ascii="GHEA Grapalat" w:hAnsi="GHEA Grapalat"/>
          <w:szCs w:val="20"/>
          <w:lang w:val="af-ZA"/>
        </w:rPr>
        <w:t xml:space="preserve"> 2027 </w:t>
      </w:r>
      <w:r>
        <w:rPr>
          <w:rFonts w:ascii="GHEA Grapalat" w:hAnsi="GHEA Grapalat"/>
          <w:szCs w:val="20"/>
          <w:lang w:val="af-ZA"/>
        </w:rPr>
        <w:t>թվականին</w:t>
      </w:r>
      <w:r>
        <w:rPr>
          <w:rFonts w:ascii="GHEA Grapalat" w:hAnsi="GHEA Grapalat"/>
          <w:szCs w:val="20"/>
          <w:lang w:val="hy-AM"/>
        </w:rPr>
        <w:t xml:space="preserve"> նախատեսվում է ընդամենը ծախսերի աճ 2026 թվականի պլանավորված ցուցանիշի համեմատ՝ շուրջ 173.4 մլրդ դրամի չափով, իսկ 2028 թվականին՝ 2027 թվականի պլանավորված ցուցանիշի նկատմամբ աճը կկազմի շուրջ 229.6 մլրդ դրամ:  </w:t>
      </w:r>
    </w:p>
    <w:p w14:paraId="5CE3A0DD" w14:textId="414937CC" w:rsidR="006B15F5" w:rsidRPr="00CC702D" w:rsidRDefault="006B15F5" w:rsidP="006B15F5">
      <w:pPr>
        <w:pStyle w:val="Charts"/>
      </w:pPr>
      <w:bookmarkStart w:id="420" w:name="_Toc178350586"/>
      <w:bookmarkStart w:id="421" w:name="_Toc178595163"/>
      <w:bookmarkStart w:id="422" w:name="_Toc184110750"/>
      <w:r w:rsidRPr="00CC702D">
        <w:t xml:space="preserve">Գծապատկեր </w:t>
      </w:r>
      <w:r w:rsidRPr="00CC702D">
        <w:fldChar w:fldCharType="begin"/>
      </w:r>
      <w:r w:rsidRPr="00CC702D">
        <w:instrText xml:space="preserve"> SEQ գծապատկեր \* ARABIC </w:instrText>
      </w:r>
      <w:r w:rsidRPr="00CC702D">
        <w:fldChar w:fldCharType="separate"/>
      </w:r>
      <w:r w:rsidR="001848B1">
        <w:rPr>
          <w:noProof/>
        </w:rPr>
        <w:t>5</w:t>
      </w:r>
      <w:r w:rsidRPr="00CC702D">
        <w:fldChar w:fldCharType="end"/>
      </w:r>
      <w:r>
        <w:t>. 2022-2028</w:t>
      </w:r>
      <w:r w:rsidRPr="00CC702D">
        <w:t>թթ</w:t>
      </w:r>
      <w:r w:rsidRPr="00CC702D">
        <w:rPr>
          <w:rFonts w:ascii="Cambria Math" w:hAnsi="Cambria Math" w:cs="Cambria Math"/>
        </w:rPr>
        <w:t>․</w:t>
      </w:r>
      <w:r w:rsidRPr="00CC702D">
        <w:t xml:space="preserve"> ծախսերի համեմատականը</w:t>
      </w:r>
      <w:bookmarkEnd w:id="420"/>
      <w:bookmarkEnd w:id="421"/>
      <w:bookmarkEnd w:id="422"/>
      <w:r w:rsidRPr="00CC702D">
        <w:t xml:space="preserve"> </w:t>
      </w:r>
    </w:p>
    <w:p w14:paraId="239F2517" w14:textId="77777777" w:rsidR="006B15F5" w:rsidRPr="0087491E" w:rsidRDefault="006B15F5" w:rsidP="006B15F5">
      <w:pPr>
        <w:jc w:val="both"/>
      </w:pPr>
      <w:r w:rsidRPr="0087491E">
        <w:rPr>
          <w:noProof/>
        </w:rPr>
        <w:drawing>
          <wp:inline distT="0" distB="0" distL="0" distR="0" wp14:anchorId="4A625649" wp14:editId="39951566">
            <wp:extent cx="6191250" cy="1924050"/>
            <wp:effectExtent l="0" t="0" r="0" b="0"/>
            <wp:docPr id="34" name="Chart 34"/>
            <wp:cNvGraphicFramePr/>
            <a:graphic xmlns:a="http://schemas.openxmlformats.org/drawingml/2006/main">
              <a:graphicData uri="http://schemas.openxmlformats.org/drawingml/2006/chart">
                <c:chart xmlns:c="http://schemas.openxmlformats.org/drawingml/2006/chart" xmlns:r="http://schemas.openxmlformats.org/officeDocument/2006/relationships" r:id="rId71"/>
              </a:graphicData>
            </a:graphic>
          </wp:inline>
        </w:drawing>
      </w:r>
    </w:p>
    <w:p w14:paraId="2B5E9EED" w14:textId="77777777" w:rsidR="006B15F5" w:rsidRDefault="006B15F5" w:rsidP="006B15F5">
      <w:pPr>
        <w:spacing w:before="240"/>
        <w:jc w:val="right"/>
        <w:rPr>
          <w:rFonts w:ascii="GHEA Grapalat" w:hAnsi="GHEA Grapalat"/>
          <w:szCs w:val="20"/>
        </w:rPr>
      </w:pPr>
    </w:p>
    <w:p w14:paraId="6803AD15" w14:textId="77777777" w:rsidR="006B15F5" w:rsidRDefault="006B15F5" w:rsidP="006B15F5">
      <w:pPr>
        <w:spacing w:before="240"/>
        <w:jc w:val="both"/>
        <w:rPr>
          <w:rFonts w:ascii="GHEA Grapalat" w:hAnsi="GHEA Grapalat"/>
          <w:szCs w:val="20"/>
        </w:rPr>
      </w:pPr>
      <w:r w:rsidRPr="0087491E">
        <w:rPr>
          <w:rFonts w:ascii="GHEA Grapalat" w:hAnsi="GHEA Grapalat"/>
          <w:szCs w:val="20"/>
        </w:rPr>
        <w:t>ՀՀ</w:t>
      </w:r>
      <w:r>
        <w:rPr>
          <w:rFonts w:ascii="GHEA Grapalat" w:hAnsi="GHEA Grapalat"/>
          <w:szCs w:val="20"/>
        </w:rPr>
        <w:t xml:space="preserve"> 2022-2028</w:t>
      </w:r>
      <w:r w:rsidRPr="0087491E">
        <w:rPr>
          <w:rFonts w:ascii="GHEA Grapalat" w:hAnsi="GHEA Grapalat"/>
          <w:szCs w:val="20"/>
        </w:rPr>
        <w:t xml:space="preserve"> թվականների պետական բյուջեների ծախսեր՝ ըստ ոլորտ</w:t>
      </w:r>
      <w:r w:rsidRPr="0087491E">
        <w:rPr>
          <w:rFonts w:ascii="GHEA Grapalat" w:hAnsi="GHEA Grapalat"/>
          <w:szCs w:val="20"/>
        </w:rPr>
        <w:softHyphen/>
        <w:t>ների բնութագրվում են ստորև ներկայացված աղյուսակի ցուցանիշներով:</w:t>
      </w:r>
    </w:p>
    <w:p w14:paraId="7013E74D" w14:textId="77777777" w:rsidR="006B15F5" w:rsidRPr="009A30DD" w:rsidRDefault="006B15F5" w:rsidP="006B15F5">
      <w:pPr>
        <w:pStyle w:val="a"/>
      </w:pPr>
      <w:bookmarkStart w:id="423" w:name="_Toc178612147"/>
      <w:bookmarkStart w:id="424" w:name="_Toc184110773"/>
      <w:r w:rsidRPr="0087491E">
        <w:t xml:space="preserve">Աղյուսակ </w:t>
      </w:r>
      <w:r>
        <w:t>13</w:t>
      </w:r>
      <w:r w:rsidRPr="009A30DD">
        <w:rPr>
          <w:rFonts w:ascii="Cambria Math" w:hAnsi="Cambria Math" w:cs="Cambria Math"/>
        </w:rPr>
        <w:t>․</w:t>
      </w:r>
      <w:r w:rsidRPr="0087491E">
        <w:t xml:space="preserve"> ՀՀ 202</w:t>
      </w:r>
      <w:r>
        <w:rPr>
          <w:lang w:val="en-US"/>
        </w:rPr>
        <w:t>2</w:t>
      </w:r>
      <w:r w:rsidRPr="0087491E">
        <w:t>-202</w:t>
      </w:r>
      <w:r>
        <w:rPr>
          <w:lang w:val="en-US"/>
        </w:rPr>
        <w:t>8</w:t>
      </w:r>
      <w:r w:rsidRPr="0087491E">
        <w:t>թթ. պետական բյուջեների ծախսերը՝ ըստ ոլորտների (մրդ դրամ)</w:t>
      </w:r>
      <w:bookmarkEnd w:id="423"/>
      <w:bookmarkEnd w:id="424"/>
    </w:p>
    <w:tbl>
      <w:tblPr>
        <w:tblW w:w="9736" w:type="dxa"/>
        <w:tblInd w:w="-10" w:type="dxa"/>
        <w:tblBorders>
          <w:top w:val="single" w:sz="8" w:space="0" w:color="E1E1E3" w:themeColor="accent3" w:themeTint="33"/>
          <w:left w:val="single" w:sz="8" w:space="0" w:color="E1E1E3" w:themeColor="accent3" w:themeTint="33"/>
          <w:bottom w:val="single" w:sz="8" w:space="0" w:color="E1E1E3" w:themeColor="accent3" w:themeTint="33"/>
          <w:right w:val="single" w:sz="8" w:space="0" w:color="E1E1E3" w:themeColor="accent3" w:themeTint="33"/>
          <w:insideH w:val="single" w:sz="8" w:space="0" w:color="E1E1E3" w:themeColor="accent3" w:themeTint="33"/>
          <w:insideV w:val="single" w:sz="8" w:space="0" w:color="E1E1E3" w:themeColor="accent3" w:themeTint="33"/>
        </w:tblBorders>
        <w:tblLook w:val="04A0" w:firstRow="1" w:lastRow="0" w:firstColumn="1" w:lastColumn="0" w:noHBand="0" w:noVBand="1"/>
      </w:tblPr>
      <w:tblGrid>
        <w:gridCol w:w="3302"/>
        <w:gridCol w:w="937"/>
        <w:gridCol w:w="941"/>
        <w:gridCol w:w="947"/>
        <w:gridCol w:w="934"/>
        <w:gridCol w:w="838"/>
        <w:gridCol w:w="834"/>
        <w:gridCol w:w="1003"/>
      </w:tblGrid>
      <w:tr w:rsidR="006B15F5" w:rsidRPr="0087491E" w14:paraId="4B5B3B93" w14:textId="77777777" w:rsidTr="00147C8B">
        <w:trPr>
          <w:trHeight w:val="360"/>
        </w:trPr>
        <w:tc>
          <w:tcPr>
            <w:tcW w:w="3407" w:type="dxa"/>
            <w:vMerge w:val="restart"/>
            <w:shd w:val="clear" w:color="auto" w:fill="D5DCE4" w:themeFill="text2" w:themeFillTint="33"/>
            <w:vAlign w:val="center"/>
          </w:tcPr>
          <w:p w14:paraId="469D6BA9" w14:textId="77777777" w:rsidR="006B15F5" w:rsidRPr="0087491E" w:rsidRDefault="006B15F5" w:rsidP="00147C8B">
            <w:pPr>
              <w:spacing w:before="0" w:after="0" w:line="240" w:lineRule="auto"/>
              <w:rPr>
                <w:b/>
                <w:sz w:val="18"/>
                <w:szCs w:val="18"/>
              </w:rPr>
            </w:pPr>
            <w:r w:rsidRPr="0087491E">
              <w:rPr>
                <w:b/>
                <w:sz w:val="18"/>
                <w:szCs w:val="18"/>
              </w:rPr>
              <w:t>Ցուցանիշ</w:t>
            </w:r>
          </w:p>
        </w:tc>
        <w:tc>
          <w:tcPr>
            <w:tcW w:w="2855" w:type="dxa"/>
            <w:gridSpan w:val="3"/>
            <w:shd w:val="clear" w:color="auto" w:fill="D5DCE4" w:themeFill="text2" w:themeFillTint="33"/>
            <w:vAlign w:val="center"/>
          </w:tcPr>
          <w:p w14:paraId="20380172" w14:textId="77777777" w:rsidR="006B15F5" w:rsidRPr="0087491E" w:rsidRDefault="006B15F5" w:rsidP="00147C8B">
            <w:pPr>
              <w:spacing w:before="0" w:after="0" w:line="240" w:lineRule="auto"/>
              <w:jc w:val="center"/>
              <w:rPr>
                <w:b/>
                <w:sz w:val="18"/>
                <w:szCs w:val="18"/>
              </w:rPr>
            </w:pPr>
            <w:r w:rsidRPr="003170C3">
              <w:rPr>
                <w:b/>
                <w:sz w:val="18"/>
                <w:szCs w:val="18"/>
              </w:rPr>
              <w:t>Փաստ</w:t>
            </w:r>
          </w:p>
        </w:tc>
        <w:tc>
          <w:tcPr>
            <w:tcW w:w="945" w:type="dxa"/>
            <w:shd w:val="clear" w:color="auto" w:fill="D5DCE4" w:themeFill="text2" w:themeFillTint="33"/>
            <w:vAlign w:val="center"/>
          </w:tcPr>
          <w:p w14:paraId="1F9C3E18" w14:textId="77777777" w:rsidR="006B15F5" w:rsidRPr="0087491E" w:rsidRDefault="006B15F5" w:rsidP="00147C8B">
            <w:pPr>
              <w:spacing w:before="0" w:after="0" w:line="240" w:lineRule="auto"/>
              <w:jc w:val="center"/>
              <w:rPr>
                <w:b/>
                <w:sz w:val="18"/>
                <w:szCs w:val="18"/>
              </w:rPr>
            </w:pPr>
            <w:r w:rsidRPr="003170C3">
              <w:rPr>
                <w:b/>
                <w:sz w:val="18"/>
                <w:szCs w:val="18"/>
              </w:rPr>
              <w:t>Բյուջե</w:t>
            </w:r>
          </w:p>
        </w:tc>
        <w:tc>
          <w:tcPr>
            <w:tcW w:w="2529" w:type="dxa"/>
            <w:gridSpan w:val="3"/>
            <w:shd w:val="clear" w:color="auto" w:fill="D5DCE4" w:themeFill="text2" w:themeFillTint="33"/>
            <w:vAlign w:val="center"/>
          </w:tcPr>
          <w:p w14:paraId="4806E3BA" w14:textId="77777777" w:rsidR="006B15F5" w:rsidRPr="0087491E" w:rsidRDefault="006B15F5" w:rsidP="00147C8B">
            <w:pPr>
              <w:spacing w:before="0" w:after="0" w:line="240" w:lineRule="auto"/>
              <w:jc w:val="center"/>
              <w:rPr>
                <w:b/>
                <w:sz w:val="18"/>
                <w:szCs w:val="18"/>
              </w:rPr>
            </w:pPr>
            <w:r w:rsidRPr="003170C3">
              <w:rPr>
                <w:b/>
                <w:sz w:val="18"/>
                <w:szCs w:val="18"/>
                <w:lang w:val="hy-AM"/>
              </w:rPr>
              <w:t>Ծ</w:t>
            </w:r>
            <w:r w:rsidRPr="003170C3">
              <w:rPr>
                <w:b/>
                <w:sz w:val="18"/>
                <w:szCs w:val="18"/>
              </w:rPr>
              <w:t>րագիր</w:t>
            </w:r>
          </w:p>
        </w:tc>
      </w:tr>
      <w:tr w:rsidR="006B15F5" w:rsidRPr="0087491E" w14:paraId="419452C8" w14:textId="77777777" w:rsidTr="00147C8B">
        <w:trPr>
          <w:trHeight w:val="360"/>
        </w:trPr>
        <w:tc>
          <w:tcPr>
            <w:tcW w:w="3407" w:type="dxa"/>
            <w:vMerge/>
            <w:shd w:val="clear" w:color="auto" w:fill="D5DCE4" w:themeFill="text2" w:themeFillTint="33"/>
          </w:tcPr>
          <w:p w14:paraId="06094A8D" w14:textId="77777777" w:rsidR="006B15F5" w:rsidRPr="0087491E" w:rsidRDefault="006B15F5" w:rsidP="00147C8B">
            <w:pPr>
              <w:spacing w:before="0" w:after="0" w:line="240" w:lineRule="auto"/>
              <w:rPr>
                <w:b/>
                <w:sz w:val="18"/>
                <w:szCs w:val="18"/>
              </w:rPr>
            </w:pPr>
          </w:p>
        </w:tc>
        <w:tc>
          <w:tcPr>
            <w:tcW w:w="948" w:type="dxa"/>
            <w:shd w:val="clear" w:color="auto" w:fill="D5DCE4" w:themeFill="text2" w:themeFillTint="33"/>
            <w:vAlign w:val="center"/>
          </w:tcPr>
          <w:p w14:paraId="2D7DB607" w14:textId="77777777" w:rsidR="006B15F5" w:rsidRPr="0087491E" w:rsidRDefault="006B15F5" w:rsidP="00147C8B">
            <w:pPr>
              <w:spacing w:before="0" w:after="0" w:line="240" w:lineRule="auto"/>
              <w:jc w:val="center"/>
              <w:rPr>
                <w:b/>
                <w:sz w:val="18"/>
                <w:szCs w:val="18"/>
              </w:rPr>
            </w:pPr>
            <w:r>
              <w:rPr>
                <w:b/>
                <w:sz w:val="18"/>
                <w:szCs w:val="18"/>
              </w:rPr>
              <w:t>2022</w:t>
            </w:r>
          </w:p>
        </w:tc>
        <w:tc>
          <w:tcPr>
            <w:tcW w:w="951" w:type="dxa"/>
            <w:shd w:val="clear" w:color="auto" w:fill="D5DCE4" w:themeFill="text2" w:themeFillTint="33"/>
            <w:vAlign w:val="center"/>
          </w:tcPr>
          <w:p w14:paraId="4ABCE3DD" w14:textId="77777777" w:rsidR="006B15F5" w:rsidRPr="0087491E" w:rsidRDefault="006B15F5" w:rsidP="00147C8B">
            <w:pPr>
              <w:spacing w:before="0" w:after="0" w:line="240" w:lineRule="auto"/>
              <w:jc w:val="center"/>
              <w:rPr>
                <w:b/>
                <w:sz w:val="18"/>
                <w:szCs w:val="18"/>
              </w:rPr>
            </w:pPr>
            <w:r>
              <w:rPr>
                <w:b/>
                <w:sz w:val="18"/>
                <w:szCs w:val="18"/>
              </w:rPr>
              <w:t>2023</w:t>
            </w:r>
          </w:p>
        </w:tc>
        <w:tc>
          <w:tcPr>
            <w:tcW w:w="956" w:type="dxa"/>
            <w:shd w:val="clear" w:color="auto" w:fill="D5DCE4" w:themeFill="text2" w:themeFillTint="33"/>
            <w:vAlign w:val="center"/>
          </w:tcPr>
          <w:p w14:paraId="4B7E6D67" w14:textId="77777777" w:rsidR="006B15F5" w:rsidRPr="0087491E" w:rsidRDefault="006B15F5" w:rsidP="00147C8B">
            <w:pPr>
              <w:spacing w:before="0" w:after="0" w:line="240" w:lineRule="auto"/>
              <w:jc w:val="center"/>
              <w:rPr>
                <w:b/>
                <w:sz w:val="18"/>
                <w:szCs w:val="18"/>
              </w:rPr>
            </w:pPr>
            <w:r>
              <w:rPr>
                <w:b/>
                <w:sz w:val="18"/>
                <w:szCs w:val="18"/>
              </w:rPr>
              <w:t>2024</w:t>
            </w:r>
          </w:p>
        </w:tc>
        <w:tc>
          <w:tcPr>
            <w:tcW w:w="945" w:type="dxa"/>
            <w:shd w:val="clear" w:color="auto" w:fill="D5DCE4" w:themeFill="text2" w:themeFillTint="33"/>
            <w:vAlign w:val="center"/>
          </w:tcPr>
          <w:p w14:paraId="4C37D345" w14:textId="77777777" w:rsidR="006B15F5" w:rsidRPr="0087491E" w:rsidRDefault="006B15F5" w:rsidP="00147C8B">
            <w:pPr>
              <w:spacing w:before="0" w:after="0" w:line="240" w:lineRule="auto"/>
              <w:jc w:val="center"/>
              <w:rPr>
                <w:b/>
                <w:sz w:val="18"/>
                <w:szCs w:val="18"/>
              </w:rPr>
            </w:pPr>
            <w:r>
              <w:rPr>
                <w:b/>
                <w:sz w:val="18"/>
                <w:szCs w:val="18"/>
              </w:rPr>
              <w:t>2025</w:t>
            </w:r>
          </w:p>
        </w:tc>
        <w:tc>
          <w:tcPr>
            <w:tcW w:w="792" w:type="dxa"/>
            <w:shd w:val="clear" w:color="auto" w:fill="D5DCE4" w:themeFill="text2" w:themeFillTint="33"/>
            <w:vAlign w:val="center"/>
          </w:tcPr>
          <w:p w14:paraId="14B0E984" w14:textId="77777777" w:rsidR="006B15F5" w:rsidRDefault="006B15F5" w:rsidP="00147C8B">
            <w:pPr>
              <w:spacing w:before="0" w:after="0" w:line="240" w:lineRule="auto"/>
              <w:jc w:val="center"/>
              <w:rPr>
                <w:b/>
                <w:sz w:val="18"/>
                <w:szCs w:val="18"/>
              </w:rPr>
            </w:pPr>
            <w:r>
              <w:rPr>
                <w:b/>
                <w:sz w:val="18"/>
                <w:szCs w:val="18"/>
              </w:rPr>
              <w:t>2026</w:t>
            </w:r>
          </w:p>
        </w:tc>
        <w:tc>
          <w:tcPr>
            <w:tcW w:w="721" w:type="dxa"/>
            <w:shd w:val="clear" w:color="auto" w:fill="D5DCE4" w:themeFill="text2" w:themeFillTint="33"/>
            <w:vAlign w:val="center"/>
          </w:tcPr>
          <w:p w14:paraId="61FB328F" w14:textId="77777777" w:rsidR="006B15F5" w:rsidRDefault="006B15F5" w:rsidP="00147C8B">
            <w:pPr>
              <w:spacing w:before="0" w:after="0" w:line="240" w:lineRule="auto"/>
              <w:jc w:val="center"/>
              <w:rPr>
                <w:b/>
                <w:sz w:val="18"/>
                <w:szCs w:val="18"/>
              </w:rPr>
            </w:pPr>
            <w:r>
              <w:rPr>
                <w:b/>
                <w:sz w:val="18"/>
                <w:szCs w:val="18"/>
              </w:rPr>
              <w:t>2027</w:t>
            </w:r>
          </w:p>
        </w:tc>
        <w:tc>
          <w:tcPr>
            <w:tcW w:w="1016" w:type="dxa"/>
            <w:shd w:val="clear" w:color="auto" w:fill="D5DCE4" w:themeFill="text2" w:themeFillTint="33"/>
            <w:vAlign w:val="center"/>
          </w:tcPr>
          <w:p w14:paraId="7CCF8E55" w14:textId="77777777" w:rsidR="006B15F5" w:rsidRPr="0087491E" w:rsidRDefault="006B15F5" w:rsidP="00147C8B">
            <w:pPr>
              <w:spacing w:before="0" w:after="0" w:line="240" w:lineRule="auto"/>
              <w:jc w:val="center"/>
              <w:rPr>
                <w:b/>
                <w:sz w:val="18"/>
                <w:szCs w:val="18"/>
              </w:rPr>
            </w:pPr>
            <w:r>
              <w:rPr>
                <w:b/>
                <w:sz w:val="18"/>
                <w:szCs w:val="18"/>
              </w:rPr>
              <w:t>2028</w:t>
            </w:r>
          </w:p>
        </w:tc>
      </w:tr>
      <w:tr w:rsidR="006B15F5" w:rsidRPr="0087491E" w14:paraId="48BE4997" w14:textId="77777777" w:rsidTr="00147C8B">
        <w:trPr>
          <w:trHeight w:val="315"/>
        </w:trPr>
        <w:tc>
          <w:tcPr>
            <w:tcW w:w="3407" w:type="dxa"/>
            <w:vAlign w:val="center"/>
            <w:hideMark/>
          </w:tcPr>
          <w:p w14:paraId="72389EE4" w14:textId="77777777" w:rsidR="006B15F5" w:rsidRPr="0087491E" w:rsidRDefault="006B15F5" w:rsidP="00147C8B">
            <w:pPr>
              <w:spacing w:before="0" w:after="0" w:line="240" w:lineRule="auto"/>
              <w:ind w:right="360"/>
              <w:rPr>
                <w:b/>
                <w:sz w:val="18"/>
                <w:szCs w:val="18"/>
              </w:rPr>
            </w:pPr>
            <w:r w:rsidRPr="0087491E">
              <w:rPr>
                <w:b/>
                <w:sz w:val="18"/>
                <w:szCs w:val="18"/>
              </w:rPr>
              <w:t>Ընդամենը</w:t>
            </w:r>
          </w:p>
        </w:tc>
        <w:tc>
          <w:tcPr>
            <w:tcW w:w="948" w:type="dxa"/>
            <w:vAlign w:val="center"/>
          </w:tcPr>
          <w:p w14:paraId="013481AD" w14:textId="77777777" w:rsidR="006B15F5" w:rsidRPr="0087491E" w:rsidRDefault="006B15F5" w:rsidP="00147C8B">
            <w:pPr>
              <w:spacing w:before="0" w:after="0" w:line="240" w:lineRule="auto"/>
              <w:jc w:val="center"/>
              <w:rPr>
                <w:b/>
                <w:sz w:val="18"/>
                <w:szCs w:val="18"/>
              </w:rPr>
            </w:pPr>
            <w:r>
              <w:rPr>
                <w:rFonts w:ascii="GHEA Grapalat" w:hAnsi="GHEA Grapalat" w:cs="Calibri"/>
                <w:color w:val="404040"/>
                <w:sz w:val="18"/>
                <w:szCs w:val="18"/>
              </w:rPr>
              <w:t>2</w:t>
            </w:r>
            <w:r>
              <w:rPr>
                <w:rFonts w:ascii="GHEA Grapalat" w:hAnsi="GHEA Grapalat" w:cs="Calibri"/>
                <w:color w:val="404040"/>
                <w:sz w:val="18"/>
                <w:szCs w:val="18"/>
                <w:lang w:val="hy-AM"/>
              </w:rPr>
              <w:t>,</w:t>
            </w:r>
            <w:r>
              <w:rPr>
                <w:rFonts w:ascii="GHEA Grapalat" w:hAnsi="GHEA Grapalat" w:cs="Calibri"/>
                <w:color w:val="404040"/>
                <w:sz w:val="18"/>
                <w:szCs w:val="18"/>
              </w:rPr>
              <w:t>242.6</w:t>
            </w:r>
          </w:p>
        </w:tc>
        <w:tc>
          <w:tcPr>
            <w:tcW w:w="951" w:type="dxa"/>
            <w:vAlign w:val="center"/>
          </w:tcPr>
          <w:p w14:paraId="565F6C3D" w14:textId="77777777" w:rsidR="006B15F5" w:rsidRPr="0087491E" w:rsidRDefault="006B15F5" w:rsidP="00147C8B">
            <w:pPr>
              <w:spacing w:before="0" w:after="0" w:line="240" w:lineRule="auto"/>
              <w:jc w:val="center"/>
              <w:rPr>
                <w:b/>
                <w:sz w:val="18"/>
                <w:szCs w:val="18"/>
              </w:rPr>
            </w:pPr>
            <w:r>
              <w:rPr>
                <w:rFonts w:ascii="GHEA Grapalat" w:hAnsi="GHEA Grapalat" w:cs="Calibri"/>
                <w:color w:val="404040"/>
                <w:sz w:val="18"/>
                <w:szCs w:val="18"/>
              </w:rPr>
              <w:t>2</w:t>
            </w:r>
            <w:r>
              <w:rPr>
                <w:rFonts w:ascii="GHEA Grapalat" w:hAnsi="GHEA Grapalat" w:cs="Calibri"/>
                <w:color w:val="404040"/>
                <w:sz w:val="18"/>
                <w:szCs w:val="18"/>
                <w:lang w:val="hy-AM"/>
              </w:rPr>
              <w:t>,</w:t>
            </w:r>
            <w:r>
              <w:rPr>
                <w:rFonts w:ascii="GHEA Grapalat" w:hAnsi="GHEA Grapalat" w:cs="Calibri"/>
                <w:color w:val="404040"/>
                <w:sz w:val="18"/>
                <w:szCs w:val="18"/>
              </w:rPr>
              <w:t>547.6</w:t>
            </w:r>
          </w:p>
        </w:tc>
        <w:tc>
          <w:tcPr>
            <w:tcW w:w="956" w:type="dxa"/>
            <w:vAlign w:val="center"/>
          </w:tcPr>
          <w:p w14:paraId="25C84850" w14:textId="77777777" w:rsidR="006B15F5" w:rsidRPr="0087491E" w:rsidRDefault="006B15F5" w:rsidP="00147C8B">
            <w:pPr>
              <w:spacing w:before="0" w:after="0" w:line="240" w:lineRule="auto"/>
              <w:jc w:val="center"/>
              <w:rPr>
                <w:b/>
                <w:sz w:val="18"/>
                <w:szCs w:val="18"/>
              </w:rPr>
            </w:pPr>
            <w:r>
              <w:rPr>
                <w:rFonts w:ascii="GHEA Grapalat" w:hAnsi="GHEA Grapalat" w:cs="Calibri"/>
                <w:color w:val="404040"/>
                <w:sz w:val="18"/>
                <w:szCs w:val="18"/>
              </w:rPr>
              <w:t>2</w:t>
            </w:r>
            <w:r>
              <w:rPr>
                <w:rFonts w:ascii="GHEA Grapalat" w:hAnsi="GHEA Grapalat" w:cs="Calibri"/>
                <w:color w:val="404040"/>
                <w:sz w:val="18"/>
                <w:szCs w:val="18"/>
                <w:lang w:val="hy-AM"/>
              </w:rPr>
              <w:t>,</w:t>
            </w:r>
            <w:r>
              <w:rPr>
                <w:rFonts w:ascii="GHEA Grapalat" w:hAnsi="GHEA Grapalat" w:cs="Calibri"/>
                <w:color w:val="404040"/>
                <w:sz w:val="18"/>
                <w:szCs w:val="18"/>
              </w:rPr>
              <w:t>955.3</w:t>
            </w:r>
          </w:p>
        </w:tc>
        <w:tc>
          <w:tcPr>
            <w:tcW w:w="945" w:type="dxa"/>
            <w:vAlign w:val="center"/>
          </w:tcPr>
          <w:p w14:paraId="0F8AF670" w14:textId="77777777" w:rsidR="006B15F5" w:rsidRPr="0087491E" w:rsidRDefault="006B15F5" w:rsidP="00147C8B">
            <w:pPr>
              <w:spacing w:before="0" w:after="0" w:line="240" w:lineRule="auto"/>
              <w:jc w:val="center"/>
              <w:rPr>
                <w:b/>
                <w:sz w:val="18"/>
                <w:szCs w:val="18"/>
              </w:rPr>
            </w:pPr>
            <w:r>
              <w:rPr>
                <w:rFonts w:ascii="GHEA Grapalat" w:hAnsi="GHEA Grapalat" w:cs="Calibri"/>
                <w:color w:val="404040"/>
                <w:sz w:val="18"/>
                <w:szCs w:val="18"/>
              </w:rPr>
              <w:t>3</w:t>
            </w:r>
            <w:r>
              <w:rPr>
                <w:rFonts w:ascii="GHEA Grapalat" w:hAnsi="GHEA Grapalat" w:cs="Calibri"/>
                <w:color w:val="404040"/>
                <w:sz w:val="18"/>
                <w:szCs w:val="18"/>
                <w:lang w:val="hy-AM"/>
              </w:rPr>
              <w:t>,</w:t>
            </w:r>
            <w:r>
              <w:rPr>
                <w:rFonts w:ascii="GHEA Grapalat" w:hAnsi="GHEA Grapalat" w:cs="Calibri"/>
                <w:color w:val="404040"/>
                <w:sz w:val="18"/>
                <w:szCs w:val="18"/>
              </w:rPr>
              <w:t>441.6</w:t>
            </w:r>
          </w:p>
        </w:tc>
        <w:tc>
          <w:tcPr>
            <w:tcW w:w="792" w:type="dxa"/>
            <w:vAlign w:val="center"/>
          </w:tcPr>
          <w:p w14:paraId="611CE434" w14:textId="77777777" w:rsidR="006B15F5" w:rsidRDefault="006B15F5" w:rsidP="00147C8B">
            <w:pPr>
              <w:spacing w:before="0" w:after="0" w:line="240" w:lineRule="auto"/>
              <w:jc w:val="center"/>
              <w:rPr>
                <w:rFonts w:ascii="GHEA Grapalat" w:hAnsi="GHEA Grapalat" w:cs="Calibri"/>
                <w:color w:val="404040"/>
                <w:sz w:val="18"/>
                <w:szCs w:val="18"/>
              </w:rPr>
            </w:pPr>
            <w:r>
              <w:rPr>
                <w:rFonts w:ascii="GHEA Grapalat" w:hAnsi="GHEA Grapalat" w:cs="Calibri"/>
                <w:color w:val="404040"/>
                <w:sz w:val="18"/>
                <w:szCs w:val="18"/>
              </w:rPr>
              <w:t>3</w:t>
            </w:r>
            <w:r>
              <w:rPr>
                <w:rFonts w:ascii="GHEA Grapalat" w:hAnsi="GHEA Grapalat" w:cs="Calibri"/>
                <w:color w:val="404040"/>
                <w:sz w:val="18"/>
                <w:szCs w:val="18"/>
                <w:lang w:val="hy-AM"/>
              </w:rPr>
              <w:t>,</w:t>
            </w:r>
            <w:r>
              <w:rPr>
                <w:rFonts w:ascii="GHEA Grapalat" w:hAnsi="GHEA Grapalat" w:cs="Calibri"/>
                <w:color w:val="404040"/>
                <w:sz w:val="18"/>
                <w:szCs w:val="18"/>
              </w:rPr>
              <w:t>627.6</w:t>
            </w:r>
          </w:p>
        </w:tc>
        <w:tc>
          <w:tcPr>
            <w:tcW w:w="721" w:type="dxa"/>
            <w:vAlign w:val="center"/>
          </w:tcPr>
          <w:p w14:paraId="2C6B7D9A" w14:textId="77777777" w:rsidR="006B15F5" w:rsidRDefault="006B15F5" w:rsidP="00147C8B">
            <w:pPr>
              <w:spacing w:before="0" w:after="0" w:line="240" w:lineRule="auto"/>
              <w:jc w:val="center"/>
              <w:rPr>
                <w:rFonts w:ascii="GHEA Grapalat" w:hAnsi="GHEA Grapalat" w:cs="Calibri"/>
                <w:color w:val="404040"/>
                <w:sz w:val="18"/>
                <w:szCs w:val="18"/>
              </w:rPr>
            </w:pPr>
            <w:r>
              <w:rPr>
                <w:rFonts w:ascii="GHEA Grapalat" w:hAnsi="GHEA Grapalat" w:cs="Calibri"/>
                <w:color w:val="404040"/>
                <w:sz w:val="18"/>
                <w:szCs w:val="18"/>
              </w:rPr>
              <w:t>3</w:t>
            </w:r>
            <w:r>
              <w:rPr>
                <w:rFonts w:ascii="GHEA Grapalat" w:hAnsi="GHEA Grapalat" w:cs="Calibri"/>
                <w:color w:val="404040"/>
                <w:sz w:val="18"/>
                <w:szCs w:val="18"/>
                <w:lang w:val="hy-AM"/>
              </w:rPr>
              <w:t>,</w:t>
            </w:r>
            <w:r>
              <w:rPr>
                <w:rFonts w:ascii="GHEA Grapalat" w:hAnsi="GHEA Grapalat" w:cs="Calibri"/>
                <w:color w:val="404040"/>
                <w:sz w:val="18"/>
                <w:szCs w:val="18"/>
              </w:rPr>
              <w:t>801.0</w:t>
            </w:r>
          </w:p>
        </w:tc>
        <w:tc>
          <w:tcPr>
            <w:tcW w:w="1016" w:type="dxa"/>
            <w:vAlign w:val="center"/>
          </w:tcPr>
          <w:p w14:paraId="32BE4733" w14:textId="77777777" w:rsidR="006B15F5" w:rsidRPr="0087491E" w:rsidRDefault="006B15F5" w:rsidP="00147C8B">
            <w:pPr>
              <w:spacing w:before="0" w:after="0" w:line="240" w:lineRule="auto"/>
              <w:jc w:val="center"/>
              <w:rPr>
                <w:b/>
                <w:sz w:val="18"/>
                <w:szCs w:val="18"/>
              </w:rPr>
            </w:pPr>
            <w:r>
              <w:rPr>
                <w:rFonts w:ascii="GHEA Grapalat" w:hAnsi="GHEA Grapalat" w:cs="Calibri"/>
                <w:color w:val="404040"/>
                <w:sz w:val="18"/>
                <w:szCs w:val="18"/>
              </w:rPr>
              <w:t>4</w:t>
            </w:r>
            <w:r>
              <w:rPr>
                <w:rFonts w:ascii="GHEA Grapalat" w:hAnsi="GHEA Grapalat" w:cs="Calibri"/>
                <w:color w:val="404040"/>
                <w:sz w:val="18"/>
                <w:szCs w:val="18"/>
                <w:lang w:val="hy-AM"/>
              </w:rPr>
              <w:t>,</w:t>
            </w:r>
            <w:r>
              <w:rPr>
                <w:rFonts w:ascii="GHEA Grapalat" w:hAnsi="GHEA Grapalat" w:cs="Calibri"/>
                <w:color w:val="404040"/>
                <w:sz w:val="18"/>
                <w:szCs w:val="18"/>
              </w:rPr>
              <w:t>030.6</w:t>
            </w:r>
          </w:p>
        </w:tc>
      </w:tr>
      <w:tr w:rsidR="006B15F5" w:rsidRPr="0087491E" w14:paraId="35B55D00" w14:textId="77777777" w:rsidTr="00147C8B">
        <w:trPr>
          <w:trHeight w:val="345"/>
        </w:trPr>
        <w:tc>
          <w:tcPr>
            <w:tcW w:w="3407" w:type="dxa"/>
            <w:vAlign w:val="center"/>
            <w:hideMark/>
          </w:tcPr>
          <w:p w14:paraId="471A0C6F" w14:textId="77777777" w:rsidR="006B15F5" w:rsidRPr="0087491E" w:rsidRDefault="006B15F5" w:rsidP="00147C8B">
            <w:pPr>
              <w:spacing w:before="0" w:after="0" w:line="240" w:lineRule="auto"/>
              <w:ind w:right="360"/>
              <w:rPr>
                <w:color w:val="A6A6A6" w:themeColor="background1" w:themeShade="A6"/>
                <w:sz w:val="18"/>
                <w:szCs w:val="18"/>
              </w:rPr>
            </w:pPr>
            <w:r w:rsidRPr="0087491E">
              <w:rPr>
                <w:color w:val="A6A6A6" w:themeColor="background1" w:themeShade="A6"/>
                <w:sz w:val="18"/>
                <w:szCs w:val="18"/>
              </w:rPr>
              <w:t>ՀՆԱ-ի նկատմամբ (%)</w:t>
            </w:r>
          </w:p>
        </w:tc>
        <w:tc>
          <w:tcPr>
            <w:tcW w:w="948" w:type="dxa"/>
            <w:vAlign w:val="center"/>
          </w:tcPr>
          <w:p w14:paraId="4D5BCB5A" w14:textId="77777777" w:rsidR="006B15F5" w:rsidRPr="0087491E" w:rsidRDefault="006B15F5" w:rsidP="00147C8B">
            <w:pPr>
              <w:spacing w:before="0" w:after="0" w:line="240" w:lineRule="auto"/>
              <w:jc w:val="center"/>
              <w:rPr>
                <w:color w:val="A6A6A6" w:themeColor="background1" w:themeShade="A6"/>
                <w:sz w:val="18"/>
                <w:szCs w:val="18"/>
              </w:rPr>
            </w:pPr>
            <w:r>
              <w:rPr>
                <w:rFonts w:ascii="GHEA Grapalat" w:hAnsi="GHEA Grapalat" w:cs="Calibri"/>
                <w:color w:val="A6A6A6"/>
                <w:sz w:val="18"/>
                <w:szCs w:val="18"/>
              </w:rPr>
              <w:t>26.4%</w:t>
            </w:r>
          </w:p>
        </w:tc>
        <w:tc>
          <w:tcPr>
            <w:tcW w:w="951" w:type="dxa"/>
            <w:vAlign w:val="center"/>
          </w:tcPr>
          <w:p w14:paraId="55950B0B" w14:textId="77777777" w:rsidR="006B15F5" w:rsidRPr="0087491E" w:rsidRDefault="006B15F5" w:rsidP="00147C8B">
            <w:pPr>
              <w:spacing w:before="0" w:after="0" w:line="240" w:lineRule="auto"/>
              <w:jc w:val="center"/>
              <w:rPr>
                <w:color w:val="A6A6A6" w:themeColor="background1" w:themeShade="A6"/>
                <w:sz w:val="18"/>
                <w:szCs w:val="18"/>
              </w:rPr>
            </w:pPr>
            <w:r>
              <w:rPr>
                <w:rFonts w:ascii="GHEA Grapalat" w:hAnsi="GHEA Grapalat" w:cs="Calibri"/>
                <w:color w:val="A6A6A6"/>
                <w:sz w:val="18"/>
                <w:szCs w:val="18"/>
              </w:rPr>
              <w:t>26.8%</w:t>
            </w:r>
          </w:p>
        </w:tc>
        <w:tc>
          <w:tcPr>
            <w:tcW w:w="956" w:type="dxa"/>
            <w:vAlign w:val="center"/>
          </w:tcPr>
          <w:p w14:paraId="51D58C8C" w14:textId="77777777" w:rsidR="006B15F5" w:rsidRPr="0087491E" w:rsidRDefault="006B15F5" w:rsidP="00147C8B">
            <w:pPr>
              <w:spacing w:before="0" w:after="0" w:line="240" w:lineRule="auto"/>
              <w:jc w:val="center"/>
              <w:rPr>
                <w:color w:val="A6A6A6" w:themeColor="background1" w:themeShade="A6"/>
                <w:sz w:val="18"/>
                <w:szCs w:val="18"/>
              </w:rPr>
            </w:pPr>
            <w:r>
              <w:rPr>
                <w:rFonts w:ascii="GHEA Grapalat" w:hAnsi="GHEA Grapalat" w:cs="Calibri"/>
                <w:color w:val="A6A6A6"/>
                <w:sz w:val="18"/>
                <w:szCs w:val="18"/>
              </w:rPr>
              <w:t>29.0%</w:t>
            </w:r>
          </w:p>
        </w:tc>
        <w:tc>
          <w:tcPr>
            <w:tcW w:w="945" w:type="dxa"/>
            <w:vAlign w:val="center"/>
          </w:tcPr>
          <w:p w14:paraId="087DB1C0" w14:textId="77777777" w:rsidR="006B15F5" w:rsidRPr="0087491E" w:rsidRDefault="006B15F5" w:rsidP="00147C8B">
            <w:pPr>
              <w:spacing w:before="0" w:after="0" w:line="240" w:lineRule="auto"/>
              <w:jc w:val="center"/>
              <w:rPr>
                <w:color w:val="A6A6A6" w:themeColor="background1" w:themeShade="A6"/>
                <w:sz w:val="18"/>
                <w:szCs w:val="18"/>
              </w:rPr>
            </w:pPr>
            <w:r>
              <w:rPr>
                <w:rFonts w:ascii="GHEA Grapalat" w:hAnsi="GHEA Grapalat" w:cs="Calibri"/>
                <w:color w:val="A6A6A6"/>
                <w:sz w:val="18"/>
                <w:szCs w:val="18"/>
              </w:rPr>
              <w:t>31.6%</w:t>
            </w:r>
          </w:p>
        </w:tc>
        <w:tc>
          <w:tcPr>
            <w:tcW w:w="792" w:type="dxa"/>
            <w:vAlign w:val="center"/>
          </w:tcPr>
          <w:p w14:paraId="5918D2E3" w14:textId="77777777" w:rsidR="006B15F5" w:rsidRDefault="006B15F5" w:rsidP="00147C8B">
            <w:pPr>
              <w:spacing w:before="0" w:after="0" w:line="240" w:lineRule="auto"/>
              <w:jc w:val="center"/>
              <w:rPr>
                <w:rFonts w:ascii="GHEA Grapalat" w:hAnsi="GHEA Grapalat" w:cs="Calibri"/>
                <w:color w:val="A6A6A6"/>
                <w:sz w:val="18"/>
                <w:szCs w:val="18"/>
              </w:rPr>
            </w:pPr>
            <w:r>
              <w:rPr>
                <w:rFonts w:ascii="GHEA Grapalat" w:hAnsi="GHEA Grapalat" w:cs="Calibri"/>
                <w:color w:val="A6A6A6"/>
                <w:sz w:val="18"/>
                <w:szCs w:val="18"/>
              </w:rPr>
              <w:t>30.4%</w:t>
            </w:r>
          </w:p>
        </w:tc>
        <w:tc>
          <w:tcPr>
            <w:tcW w:w="721" w:type="dxa"/>
            <w:vAlign w:val="center"/>
          </w:tcPr>
          <w:p w14:paraId="285F3AE3" w14:textId="77777777" w:rsidR="006B15F5" w:rsidRDefault="006B15F5" w:rsidP="00147C8B">
            <w:pPr>
              <w:spacing w:before="0" w:after="0" w:line="240" w:lineRule="auto"/>
              <w:jc w:val="center"/>
              <w:rPr>
                <w:rFonts w:ascii="GHEA Grapalat" w:hAnsi="GHEA Grapalat" w:cs="Calibri"/>
                <w:color w:val="A6A6A6"/>
                <w:sz w:val="18"/>
                <w:szCs w:val="18"/>
              </w:rPr>
            </w:pPr>
            <w:r>
              <w:rPr>
                <w:rFonts w:ascii="GHEA Grapalat" w:hAnsi="GHEA Grapalat" w:cs="Calibri"/>
                <w:color w:val="A6A6A6"/>
                <w:sz w:val="18"/>
                <w:szCs w:val="18"/>
              </w:rPr>
              <w:t>29.3%</w:t>
            </w:r>
          </w:p>
        </w:tc>
        <w:tc>
          <w:tcPr>
            <w:tcW w:w="1016" w:type="dxa"/>
            <w:vAlign w:val="center"/>
          </w:tcPr>
          <w:p w14:paraId="6862E9EF" w14:textId="77777777" w:rsidR="006B15F5" w:rsidRPr="0087491E" w:rsidRDefault="006B15F5" w:rsidP="00147C8B">
            <w:pPr>
              <w:spacing w:before="0" w:after="0" w:line="240" w:lineRule="auto"/>
              <w:jc w:val="center"/>
              <w:rPr>
                <w:color w:val="A6A6A6" w:themeColor="background1" w:themeShade="A6"/>
                <w:sz w:val="18"/>
                <w:szCs w:val="18"/>
              </w:rPr>
            </w:pPr>
            <w:r>
              <w:rPr>
                <w:rFonts w:ascii="GHEA Grapalat" w:hAnsi="GHEA Grapalat" w:cs="Calibri"/>
                <w:color w:val="A6A6A6"/>
                <w:sz w:val="18"/>
                <w:szCs w:val="18"/>
              </w:rPr>
              <w:t>28.7%</w:t>
            </w:r>
          </w:p>
        </w:tc>
      </w:tr>
      <w:tr w:rsidR="006B15F5" w:rsidRPr="0087491E" w14:paraId="0A362EAE" w14:textId="77777777" w:rsidTr="00147C8B">
        <w:trPr>
          <w:trHeight w:val="540"/>
        </w:trPr>
        <w:tc>
          <w:tcPr>
            <w:tcW w:w="3407" w:type="dxa"/>
            <w:vAlign w:val="center"/>
            <w:hideMark/>
          </w:tcPr>
          <w:p w14:paraId="09BDA76A" w14:textId="77777777" w:rsidR="006B15F5" w:rsidRPr="0087491E" w:rsidRDefault="006B15F5" w:rsidP="00147C8B">
            <w:pPr>
              <w:spacing w:before="0" w:after="0" w:line="240" w:lineRule="auto"/>
              <w:ind w:right="360"/>
              <w:rPr>
                <w:sz w:val="18"/>
                <w:szCs w:val="18"/>
              </w:rPr>
            </w:pPr>
            <w:r w:rsidRPr="009665F3">
              <w:rPr>
                <w:sz w:val="18"/>
                <w:szCs w:val="18"/>
              </w:rPr>
              <w:t>1. Ընդհանուր բնույթի հանրային ծառայություններ</w:t>
            </w:r>
            <w:r>
              <w:rPr>
                <w:sz w:val="18"/>
                <w:szCs w:val="18"/>
              </w:rPr>
              <w:t xml:space="preserve"> (</w:t>
            </w:r>
            <w:r>
              <w:rPr>
                <w:sz w:val="18"/>
                <w:szCs w:val="18"/>
                <w:lang w:val="hy-AM"/>
              </w:rPr>
              <w:t>այդ թվում՝ պահուստային ֆոնդեր</w:t>
            </w:r>
            <w:r>
              <w:rPr>
                <w:sz w:val="18"/>
                <w:szCs w:val="18"/>
              </w:rPr>
              <w:t>)</w:t>
            </w:r>
          </w:p>
        </w:tc>
        <w:tc>
          <w:tcPr>
            <w:tcW w:w="948" w:type="dxa"/>
            <w:vAlign w:val="center"/>
          </w:tcPr>
          <w:p w14:paraId="4BCC3BE3" w14:textId="77777777" w:rsidR="006B15F5" w:rsidRPr="0087491E" w:rsidRDefault="006B15F5" w:rsidP="00147C8B">
            <w:pPr>
              <w:spacing w:before="0" w:after="0" w:line="240" w:lineRule="auto"/>
              <w:jc w:val="center"/>
              <w:rPr>
                <w:sz w:val="18"/>
                <w:szCs w:val="18"/>
                <w:lang w:eastAsia="ru-RU"/>
              </w:rPr>
            </w:pPr>
            <w:r>
              <w:rPr>
                <w:rFonts w:ascii="GHEA Grapalat" w:hAnsi="GHEA Grapalat" w:cs="Calibri"/>
                <w:color w:val="404040"/>
                <w:sz w:val="18"/>
                <w:szCs w:val="18"/>
              </w:rPr>
              <w:t>407.4</w:t>
            </w:r>
          </w:p>
        </w:tc>
        <w:tc>
          <w:tcPr>
            <w:tcW w:w="951" w:type="dxa"/>
            <w:vAlign w:val="center"/>
          </w:tcPr>
          <w:p w14:paraId="75225E03" w14:textId="77777777" w:rsidR="006B15F5" w:rsidRPr="0087491E" w:rsidRDefault="006B15F5" w:rsidP="00147C8B">
            <w:pPr>
              <w:spacing w:before="0" w:after="0" w:line="240" w:lineRule="auto"/>
              <w:jc w:val="center"/>
              <w:rPr>
                <w:sz w:val="18"/>
                <w:szCs w:val="18"/>
              </w:rPr>
            </w:pPr>
            <w:r>
              <w:rPr>
                <w:rFonts w:ascii="GHEA Grapalat" w:hAnsi="GHEA Grapalat" w:cs="Calibri"/>
                <w:color w:val="404040"/>
                <w:sz w:val="18"/>
                <w:szCs w:val="18"/>
              </w:rPr>
              <w:t>522.5</w:t>
            </w:r>
          </w:p>
        </w:tc>
        <w:tc>
          <w:tcPr>
            <w:tcW w:w="956" w:type="dxa"/>
            <w:vAlign w:val="center"/>
          </w:tcPr>
          <w:p w14:paraId="427D7E2B" w14:textId="77777777" w:rsidR="006B15F5" w:rsidRPr="0087491E" w:rsidRDefault="006B15F5" w:rsidP="00147C8B">
            <w:pPr>
              <w:spacing w:before="0" w:after="0" w:line="240" w:lineRule="auto"/>
              <w:jc w:val="center"/>
              <w:rPr>
                <w:sz w:val="18"/>
                <w:szCs w:val="18"/>
              </w:rPr>
            </w:pPr>
            <w:r>
              <w:rPr>
                <w:rFonts w:ascii="GHEA Grapalat" w:hAnsi="GHEA Grapalat" w:cs="Calibri"/>
                <w:color w:val="404040"/>
                <w:sz w:val="18"/>
                <w:szCs w:val="18"/>
              </w:rPr>
              <w:t>671.3</w:t>
            </w:r>
          </w:p>
        </w:tc>
        <w:tc>
          <w:tcPr>
            <w:tcW w:w="945" w:type="dxa"/>
            <w:vAlign w:val="center"/>
          </w:tcPr>
          <w:p w14:paraId="635E12CF" w14:textId="77777777" w:rsidR="006B15F5" w:rsidRPr="0087491E" w:rsidRDefault="006B15F5" w:rsidP="00147C8B">
            <w:pPr>
              <w:spacing w:before="0" w:after="0" w:line="240" w:lineRule="auto"/>
              <w:jc w:val="center"/>
              <w:rPr>
                <w:sz w:val="18"/>
                <w:szCs w:val="18"/>
              </w:rPr>
            </w:pPr>
            <w:r>
              <w:rPr>
                <w:rFonts w:ascii="GHEA Grapalat" w:hAnsi="GHEA Grapalat" w:cs="Calibri"/>
                <w:color w:val="404040"/>
                <w:sz w:val="18"/>
                <w:szCs w:val="18"/>
              </w:rPr>
              <w:t>842.8</w:t>
            </w:r>
          </w:p>
        </w:tc>
        <w:tc>
          <w:tcPr>
            <w:tcW w:w="792" w:type="dxa"/>
            <w:vAlign w:val="center"/>
          </w:tcPr>
          <w:p w14:paraId="2B046B36" w14:textId="77777777" w:rsidR="006B15F5" w:rsidRPr="00C324C8" w:rsidRDefault="006B15F5" w:rsidP="00147C8B">
            <w:pPr>
              <w:spacing w:before="0" w:after="0" w:line="240" w:lineRule="auto"/>
              <w:jc w:val="center"/>
              <w:rPr>
                <w:rFonts w:ascii="GHEA Grapalat" w:hAnsi="GHEA Grapalat" w:cs="Calibri"/>
                <w:color w:val="404040"/>
                <w:sz w:val="18"/>
                <w:szCs w:val="18"/>
                <w:lang w:val="hy-AM"/>
              </w:rPr>
            </w:pPr>
            <w:r>
              <w:rPr>
                <w:rFonts w:ascii="GHEA Grapalat" w:hAnsi="GHEA Grapalat" w:cs="Calibri"/>
                <w:color w:val="404040"/>
                <w:sz w:val="18"/>
                <w:szCs w:val="18"/>
              </w:rPr>
              <w:t>91</w:t>
            </w:r>
            <w:r>
              <w:rPr>
                <w:rFonts w:ascii="GHEA Grapalat" w:hAnsi="GHEA Grapalat" w:cs="Calibri"/>
                <w:color w:val="404040"/>
                <w:sz w:val="18"/>
                <w:szCs w:val="18"/>
                <w:lang w:val="hy-AM"/>
              </w:rPr>
              <w:t>7</w:t>
            </w:r>
            <w:r>
              <w:rPr>
                <w:rFonts w:ascii="GHEA Grapalat" w:hAnsi="GHEA Grapalat" w:cs="Calibri"/>
                <w:color w:val="404040"/>
                <w:sz w:val="18"/>
                <w:szCs w:val="18"/>
              </w:rPr>
              <w:t>.</w:t>
            </w:r>
            <w:r>
              <w:rPr>
                <w:rFonts w:ascii="GHEA Grapalat" w:hAnsi="GHEA Grapalat" w:cs="Calibri"/>
                <w:color w:val="404040"/>
                <w:sz w:val="18"/>
                <w:szCs w:val="18"/>
                <w:lang w:val="hy-AM"/>
              </w:rPr>
              <w:t>8</w:t>
            </w:r>
          </w:p>
        </w:tc>
        <w:tc>
          <w:tcPr>
            <w:tcW w:w="721" w:type="dxa"/>
            <w:vAlign w:val="center"/>
          </w:tcPr>
          <w:p w14:paraId="6391D28D" w14:textId="77777777" w:rsidR="006B15F5" w:rsidRDefault="006B15F5" w:rsidP="00147C8B">
            <w:pPr>
              <w:spacing w:before="0" w:after="0" w:line="240" w:lineRule="auto"/>
              <w:jc w:val="center"/>
              <w:rPr>
                <w:rFonts w:ascii="GHEA Grapalat" w:hAnsi="GHEA Grapalat" w:cs="Calibri"/>
                <w:color w:val="404040"/>
                <w:sz w:val="18"/>
                <w:szCs w:val="18"/>
              </w:rPr>
            </w:pPr>
            <w:r>
              <w:rPr>
                <w:rFonts w:ascii="GHEA Grapalat" w:hAnsi="GHEA Grapalat" w:cs="Calibri"/>
                <w:color w:val="404040"/>
                <w:sz w:val="18"/>
                <w:szCs w:val="18"/>
              </w:rPr>
              <w:t>1</w:t>
            </w:r>
            <w:r>
              <w:rPr>
                <w:rFonts w:ascii="GHEA Grapalat" w:hAnsi="GHEA Grapalat" w:cs="Calibri"/>
                <w:color w:val="404040"/>
                <w:sz w:val="18"/>
                <w:szCs w:val="18"/>
                <w:lang w:val="hy-AM"/>
              </w:rPr>
              <w:t>,</w:t>
            </w:r>
            <w:r>
              <w:rPr>
                <w:rFonts w:ascii="GHEA Grapalat" w:hAnsi="GHEA Grapalat" w:cs="Calibri"/>
                <w:color w:val="404040"/>
                <w:sz w:val="18"/>
                <w:szCs w:val="18"/>
              </w:rPr>
              <w:t>035.7</w:t>
            </w:r>
          </w:p>
        </w:tc>
        <w:tc>
          <w:tcPr>
            <w:tcW w:w="1016" w:type="dxa"/>
            <w:vAlign w:val="center"/>
          </w:tcPr>
          <w:p w14:paraId="6C47668D" w14:textId="77777777" w:rsidR="006B15F5" w:rsidRPr="0087491E" w:rsidRDefault="006B15F5" w:rsidP="00147C8B">
            <w:pPr>
              <w:spacing w:before="0" w:after="0" w:line="240" w:lineRule="auto"/>
              <w:jc w:val="center"/>
              <w:rPr>
                <w:sz w:val="18"/>
                <w:szCs w:val="18"/>
              </w:rPr>
            </w:pPr>
            <w:r>
              <w:rPr>
                <w:rFonts w:ascii="GHEA Grapalat" w:hAnsi="GHEA Grapalat" w:cs="Calibri"/>
                <w:color w:val="404040"/>
                <w:sz w:val="18"/>
                <w:szCs w:val="18"/>
              </w:rPr>
              <w:t>1</w:t>
            </w:r>
            <w:r>
              <w:rPr>
                <w:rFonts w:ascii="GHEA Grapalat" w:hAnsi="GHEA Grapalat" w:cs="Calibri"/>
                <w:color w:val="404040"/>
                <w:sz w:val="18"/>
                <w:szCs w:val="18"/>
                <w:lang w:val="hy-AM"/>
              </w:rPr>
              <w:t>,</w:t>
            </w:r>
            <w:r>
              <w:rPr>
                <w:rFonts w:ascii="GHEA Grapalat" w:hAnsi="GHEA Grapalat" w:cs="Calibri"/>
                <w:color w:val="404040"/>
                <w:sz w:val="18"/>
                <w:szCs w:val="18"/>
              </w:rPr>
              <w:t>131.8</w:t>
            </w:r>
          </w:p>
        </w:tc>
      </w:tr>
      <w:tr w:rsidR="006B15F5" w:rsidRPr="0087491E" w14:paraId="68F21DF1" w14:textId="77777777" w:rsidTr="00147C8B">
        <w:trPr>
          <w:trHeight w:val="300"/>
        </w:trPr>
        <w:tc>
          <w:tcPr>
            <w:tcW w:w="3407" w:type="dxa"/>
            <w:vAlign w:val="center"/>
            <w:hideMark/>
          </w:tcPr>
          <w:p w14:paraId="5BA97BA3" w14:textId="77777777" w:rsidR="006B15F5" w:rsidRPr="0087491E" w:rsidRDefault="006B15F5" w:rsidP="00147C8B">
            <w:pPr>
              <w:spacing w:before="0" w:after="0" w:line="240" w:lineRule="auto"/>
              <w:ind w:right="360"/>
              <w:rPr>
                <w:color w:val="A6A6A6" w:themeColor="background1" w:themeShade="A6"/>
                <w:sz w:val="18"/>
                <w:szCs w:val="18"/>
              </w:rPr>
            </w:pPr>
            <w:r w:rsidRPr="00941B19">
              <w:rPr>
                <w:color w:val="A6A6A6" w:themeColor="background1" w:themeShade="A6"/>
                <w:sz w:val="18"/>
                <w:szCs w:val="18"/>
              </w:rPr>
              <w:t>ՀՆԱ-ի նկատմամբ (%)</w:t>
            </w:r>
          </w:p>
        </w:tc>
        <w:tc>
          <w:tcPr>
            <w:tcW w:w="948" w:type="dxa"/>
            <w:vAlign w:val="center"/>
          </w:tcPr>
          <w:p w14:paraId="0FF8FF6C" w14:textId="77777777" w:rsidR="006B15F5" w:rsidRPr="0087491E" w:rsidRDefault="006B15F5" w:rsidP="00147C8B">
            <w:pPr>
              <w:spacing w:before="0" w:after="0" w:line="240" w:lineRule="auto"/>
              <w:jc w:val="center"/>
              <w:rPr>
                <w:color w:val="A6A6A6" w:themeColor="background1" w:themeShade="A6"/>
                <w:sz w:val="18"/>
                <w:szCs w:val="18"/>
                <w:lang w:val="ru-RU" w:eastAsia="ru-RU"/>
              </w:rPr>
            </w:pPr>
            <w:r>
              <w:rPr>
                <w:rFonts w:ascii="GHEA Grapalat" w:hAnsi="GHEA Grapalat" w:cs="Calibri"/>
                <w:color w:val="A6A6A6"/>
                <w:sz w:val="18"/>
                <w:szCs w:val="18"/>
              </w:rPr>
              <w:t>4.8%</w:t>
            </w:r>
          </w:p>
        </w:tc>
        <w:tc>
          <w:tcPr>
            <w:tcW w:w="951" w:type="dxa"/>
            <w:vAlign w:val="center"/>
          </w:tcPr>
          <w:p w14:paraId="5E6B9897" w14:textId="77777777" w:rsidR="006B15F5" w:rsidRPr="0087491E" w:rsidRDefault="006B15F5" w:rsidP="00147C8B">
            <w:pPr>
              <w:spacing w:before="0" w:after="0" w:line="240" w:lineRule="auto"/>
              <w:jc w:val="center"/>
              <w:rPr>
                <w:color w:val="A6A6A6" w:themeColor="background1" w:themeShade="A6"/>
                <w:sz w:val="18"/>
                <w:szCs w:val="18"/>
              </w:rPr>
            </w:pPr>
            <w:r>
              <w:rPr>
                <w:rFonts w:ascii="GHEA Grapalat" w:hAnsi="GHEA Grapalat" w:cs="Calibri"/>
                <w:color w:val="A6A6A6"/>
                <w:sz w:val="18"/>
                <w:szCs w:val="18"/>
              </w:rPr>
              <w:t>5.5%</w:t>
            </w:r>
          </w:p>
        </w:tc>
        <w:tc>
          <w:tcPr>
            <w:tcW w:w="956" w:type="dxa"/>
            <w:vAlign w:val="center"/>
          </w:tcPr>
          <w:p w14:paraId="60C9C832" w14:textId="77777777" w:rsidR="006B15F5" w:rsidRPr="0087491E" w:rsidRDefault="006B15F5" w:rsidP="00147C8B">
            <w:pPr>
              <w:spacing w:before="0" w:after="0" w:line="240" w:lineRule="auto"/>
              <w:jc w:val="center"/>
              <w:rPr>
                <w:color w:val="A6A6A6" w:themeColor="background1" w:themeShade="A6"/>
                <w:sz w:val="18"/>
                <w:szCs w:val="18"/>
              </w:rPr>
            </w:pPr>
            <w:r>
              <w:rPr>
                <w:rFonts w:ascii="GHEA Grapalat" w:hAnsi="GHEA Grapalat" w:cs="Calibri"/>
                <w:color w:val="A6A6A6"/>
                <w:sz w:val="18"/>
                <w:szCs w:val="18"/>
              </w:rPr>
              <w:t>6.6%</w:t>
            </w:r>
          </w:p>
        </w:tc>
        <w:tc>
          <w:tcPr>
            <w:tcW w:w="945" w:type="dxa"/>
            <w:vAlign w:val="center"/>
          </w:tcPr>
          <w:p w14:paraId="38122338" w14:textId="77777777" w:rsidR="006B15F5" w:rsidRPr="0087491E" w:rsidRDefault="006B15F5" w:rsidP="00147C8B">
            <w:pPr>
              <w:spacing w:before="0" w:after="0" w:line="240" w:lineRule="auto"/>
              <w:jc w:val="center"/>
              <w:rPr>
                <w:color w:val="A6A6A6" w:themeColor="background1" w:themeShade="A6"/>
                <w:sz w:val="18"/>
                <w:szCs w:val="18"/>
              </w:rPr>
            </w:pPr>
            <w:r>
              <w:rPr>
                <w:rFonts w:ascii="GHEA Grapalat" w:hAnsi="GHEA Grapalat" w:cs="Calibri"/>
                <w:color w:val="A6A6A6"/>
                <w:sz w:val="18"/>
                <w:szCs w:val="18"/>
              </w:rPr>
              <w:t>7.7%</w:t>
            </w:r>
          </w:p>
        </w:tc>
        <w:tc>
          <w:tcPr>
            <w:tcW w:w="792" w:type="dxa"/>
            <w:vAlign w:val="center"/>
          </w:tcPr>
          <w:p w14:paraId="2ADDFB41" w14:textId="77777777" w:rsidR="006B15F5" w:rsidRDefault="006B15F5" w:rsidP="00147C8B">
            <w:pPr>
              <w:spacing w:before="0" w:after="0" w:line="240" w:lineRule="auto"/>
              <w:jc w:val="center"/>
              <w:rPr>
                <w:rFonts w:ascii="GHEA Grapalat" w:hAnsi="GHEA Grapalat" w:cs="Calibri"/>
                <w:color w:val="A6A6A6"/>
                <w:sz w:val="18"/>
                <w:szCs w:val="18"/>
              </w:rPr>
            </w:pPr>
            <w:r>
              <w:rPr>
                <w:rFonts w:ascii="GHEA Grapalat" w:hAnsi="GHEA Grapalat" w:cs="Calibri"/>
                <w:color w:val="A6A6A6"/>
                <w:sz w:val="18"/>
                <w:szCs w:val="18"/>
              </w:rPr>
              <w:t>7.7%</w:t>
            </w:r>
          </w:p>
        </w:tc>
        <w:tc>
          <w:tcPr>
            <w:tcW w:w="721" w:type="dxa"/>
            <w:vAlign w:val="center"/>
          </w:tcPr>
          <w:p w14:paraId="20FCB346" w14:textId="77777777" w:rsidR="006B15F5" w:rsidRDefault="006B15F5" w:rsidP="00147C8B">
            <w:pPr>
              <w:spacing w:before="0" w:after="0" w:line="240" w:lineRule="auto"/>
              <w:jc w:val="center"/>
              <w:rPr>
                <w:rFonts w:ascii="GHEA Grapalat" w:hAnsi="GHEA Grapalat" w:cs="Calibri"/>
                <w:color w:val="A6A6A6"/>
                <w:sz w:val="18"/>
                <w:szCs w:val="18"/>
              </w:rPr>
            </w:pPr>
            <w:r>
              <w:rPr>
                <w:rFonts w:ascii="GHEA Grapalat" w:hAnsi="GHEA Grapalat" w:cs="Calibri"/>
                <w:color w:val="A6A6A6"/>
                <w:sz w:val="18"/>
                <w:szCs w:val="18"/>
              </w:rPr>
              <w:t>8.0%</w:t>
            </w:r>
          </w:p>
        </w:tc>
        <w:tc>
          <w:tcPr>
            <w:tcW w:w="1016" w:type="dxa"/>
            <w:vAlign w:val="center"/>
          </w:tcPr>
          <w:p w14:paraId="197642EC" w14:textId="77777777" w:rsidR="006B15F5" w:rsidRPr="0087491E" w:rsidRDefault="006B15F5" w:rsidP="00147C8B">
            <w:pPr>
              <w:spacing w:before="0" w:after="0" w:line="240" w:lineRule="auto"/>
              <w:jc w:val="center"/>
              <w:rPr>
                <w:color w:val="A6A6A6" w:themeColor="background1" w:themeShade="A6"/>
                <w:sz w:val="18"/>
                <w:szCs w:val="18"/>
              </w:rPr>
            </w:pPr>
            <w:r>
              <w:rPr>
                <w:rFonts w:ascii="GHEA Grapalat" w:hAnsi="GHEA Grapalat" w:cs="Calibri"/>
                <w:color w:val="A6A6A6"/>
                <w:sz w:val="18"/>
                <w:szCs w:val="18"/>
              </w:rPr>
              <w:t>8.1%</w:t>
            </w:r>
          </w:p>
        </w:tc>
      </w:tr>
      <w:tr w:rsidR="006B15F5" w:rsidRPr="0087491E" w14:paraId="180E6444" w14:textId="77777777" w:rsidTr="00147C8B">
        <w:trPr>
          <w:trHeight w:val="315"/>
        </w:trPr>
        <w:tc>
          <w:tcPr>
            <w:tcW w:w="3407" w:type="dxa"/>
            <w:vAlign w:val="center"/>
            <w:hideMark/>
          </w:tcPr>
          <w:p w14:paraId="2B7387F6" w14:textId="77777777" w:rsidR="006B15F5" w:rsidRPr="0087491E" w:rsidRDefault="006B15F5" w:rsidP="00147C8B">
            <w:pPr>
              <w:spacing w:before="0" w:after="0" w:line="240" w:lineRule="auto"/>
              <w:ind w:right="360"/>
              <w:rPr>
                <w:color w:val="A6A6A6" w:themeColor="background1" w:themeShade="A6"/>
                <w:sz w:val="18"/>
                <w:szCs w:val="18"/>
              </w:rPr>
            </w:pPr>
            <w:r w:rsidRPr="00941B19">
              <w:rPr>
                <w:color w:val="A6A6A6" w:themeColor="background1" w:themeShade="A6"/>
                <w:sz w:val="18"/>
                <w:szCs w:val="18"/>
              </w:rPr>
              <w:t>Ընդհանուր ծախսերում (%)</w:t>
            </w:r>
          </w:p>
        </w:tc>
        <w:tc>
          <w:tcPr>
            <w:tcW w:w="948" w:type="dxa"/>
            <w:vAlign w:val="center"/>
          </w:tcPr>
          <w:p w14:paraId="0A33A0F1" w14:textId="77777777" w:rsidR="006B15F5" w:rsidRPr="0087491E" w:rsidRDefault="006B15F5" w:rsidP="00147C8B">
            <w:pPr>
              <w:spacing w:before="0" w:after="0" w:line="240" w:lineRule="auto"/>
              <w:jc w:val="center"/>
              <w:rPr>
                <w:color w:val="A6A6A6" w:themeColor="background1" w:themeShade="A6"/>
                <w:sz w:val="18"/>
                <w:szCs w:val="18"/>
                <w:lang w:val="ru-RU" w:eastAsia="ru-RU"/>
              </w:rPr>
            </w:pPr>
            <w:r>
              <w:rPr>
                <w:rFonts w:ascii="GHEA Grapalat" w:hAnsi="GHEA Grapalat" w:cs="Calibri"/>
                <w:color w:val="A6A6A6"/>
                <w:sz w:val="18"/>
                <w:szCs w:val="18"/>
              </w:rPr>
              <w:t>18.2%</w:t>
            </w:r>
          </w:p>
        </w:tc>
        <w:tc>
          <w:tcPr>
            <w:tcW w:w="951" w:type="dxa"/>
            <w:vAlign w:val="center"/>
          </w:tcPr>
          <w:p w14:paraId="79B1F658" w14:textId="77777777" w:rsidR="006B15F5" w:rsidRPr="0087491E" w:rsidRDefault="006B15F5" w:rsidP="00147C8B">
            <w:pPr>
              <w:spacing w:before="0" w:after="0" w:line="240" w:lineRule="auto"/>
              <w:jc w:val="center"/>
              <w:rPr>
                <w:color w:val="A6A6A6" w:themeColor="background1" w:themeShade="A6"/>
                <w:sz w:val="18"/>
                <w:szCs w:val="18"/>
              </w:rPr>
            </w:pPr>
            <w:r>
              <w:rPr>
                <w:rFonts w:ascii="GHEA Grapalat" w:hAnsi="GHEA Grapalat" w:cs="Calibri"/>
                <w:color w:val="A6A6A6"/>
                <w:sz w:val="18"/>
                <w:szCs w:val="18"/>
              </w:rPr>
              <w:t>20.5%</w:t>
            </w:r>
          </w:p>
        </w:tc>
        <w:tc>
          <w:tcPr>
            <w:tcW w:w="956" w:type="dxa"/>
            <w:vAlign w:val="center"/>
          </w:tcPr>
          <w:p w14:paraId="3B448209" w14:textId="77777777" w:rsidR="006B15F5" w:rsidRPr="0087491E" w:rsidRDefault="006B15F5" w:rsidP="00147C8B">
            <w:pPr>
              <w:spacing w:before="0" w:after="0" w:line="240" w:lineRule="auto"/>
              <w:jc w:val="center"/>
              <w:rPr>
                <w:color w:val="A6A6A6" w:themeColor="background1" w:themeShade="A6"/>
                <w:sz w:val="18"/>
                <w:szCs w:val="18"/>
              </w:rPr>
            </w:pPr>
            <w:r>
              <w:rPr>
                <w:rFonts w:ascii="GHEA Grapalat" w:hAnsi="GHEA Grapalat" w:cs="Calibri"/>
                <w:color w:val="A6A6A6"/>
                <w:sz w:val="18"/>
                <w:szCs w:val="18"/>
              </w:rPr>
              <w:t>22.7%</w:t>
            </w:r>
          </w:p>
        </w:tc>
        <w:tc>
          <w:tcPr>
            <w:tcW w:w="945" w:type="dxa"/>
            <w:vAlign w:val="center"/>
          </w:tcPr>
          <w:p w14:paraId="4E3D54AE" w14:textId="77777777" w:rsidR="006B15F5" w:rsidRPr="0087491E" w:rsidRDefault="006B15F5" w:rsidP="00147C8B">
            <w:pPr>
              <w:spacing w:before="0" w:after="0" w:line="240" w:lineRule="auto"/>
              <w:jc w:val="center"/>
              <w:rPr>
                <w:color w:val="A6A6A6" w:themeColor="background1" w:themeShade="A6"/>
                <w:sz w:val="18"/>
                <w:szCs w:val="18"/>
              </w:rPr>
            </w:pPr>
            <w:r>
              <w:rPr>
                <w:rFonts w:ascii="GHEA Grapalat" w:hAnsi="GHEA Grapalat" w:cs="Calibri"/>
                <w:color w:val="A6A6A6"/>
                <w:sz w:val="18"/>
                <w:szCs w:val="18"/>
              </w:rPr>
              <w:t>24.5%</w:t>
            </w:r>
          </w:p>
        </w:tc>
        <w:tc>
          <w:tcPr>
            <w:tcW w:w="792" w:type="dxa"/>
            <w:vAlign w:val="center"/>
          </w:tcPr>
          <w:p w14:paraId="21E68702" w14:textId="77777777" w:rsidR="006B15F5" w:rsidRDefault="006B15F5" w:rsidP="00147C8B">
            <w:pPr>
              <w:spacing w:before="0" w:after="0" w:line="240" w:lineRule="auto"/>
              <w:jc w:val="center"/>
              <w:rPr>
                <w:rFonts w:ascii="GHEA Grapalat" w:hAnsi="GHEA Grapalat" w:cs="Calibri"/>
                <w:color w:val="A6A6A6"/>
                <w:sz w:val="18"/>
                <w:szCs w:val="18"/>
              </w:rPr>
            </w:pPr>
            <w:r>
              <w:rPr>
                <w:rFonts w:ascii="GHEA Grapalat" w:hAnsi="GHEA Grapalat" w:cs="Calibri"/>
                <w:color w:val="A6A6A6"/>
                <w:sz w:val="18"/>
                <w:szCs w:val="18"/>
              </w:rPr>
              <w:t>25.3%</w:t>
            </w:r>
          </w:p>
        </w:tc>
        <w:tc>
          <w:tcPr>
            <w:tcW w:w="721" w:type="dxa"/>
            <w:vAlign w:val="center"/>
          </w:tcPr>
          <w:p w14:paraId="23D60B81" w14:textId="77777777" w:rsidR="006B15F5" w:rsidRDefault="006B15F5" w:rsidP="00147C8B">
            <w:pPr>
              <w:spacing w:before="0" w:after="0" w:line="240" w:lineRule="auto"/>
              <w:jc w:val="center"/>
              <w:rPr>
                <w:rFonts w:ascii="GHEA Grapalat" w:hAnsi="GHEA Grapalat" w:cs="Calibri"/>
                <w:color w:val="A6A6A6"/>
                <w:sz w:val="18"/>
                <w:szCs w:val="18"/>
              </w:rPr>
            </w:pPr>
            <w:r>
              <w:rPr>
                <w:rFonts w:ascii="GHEA Grapalat" w:hAnsi="GHEA Grapalat" w:cs="Calibri"/>
                <w:color w:val="A6A6A6"/>
                <w:sz w:val="18"/>
                <w:szCs w:val="18"/>
              </w:rPr>
              <w:t>27.2%</w:t>
            </w:r>
          </w:p>
        </w:tc>
        <w:tc>
          <w:tcPr>
            <w:tcW w:w="1016" w:type="dxa"/>
            <w:vAlign w:val="center"/>
          </w:tcPr>
          <w:p w14:paraId="65841B0B" w14:textId="77777777" w:rsidR="006B15F5" w:rsidRPr="0087491E" w:rsidRDefault="006B15F5" w:rsidP="00147C8B">
            <w:pPr>
              <w:spacing w:before="0" w:after="0" w:line="240" w:lineRule="auto"/>
              <w:jc w:val="center"/>
              <w:rPr>
                <w:color w:val="A6A6A6" w:themeColor="background1" w:themeShade="A6"/>
                <w:sz w:val="18"/>
                <w:szCs w:val="18"/>
              </w:rPr>
            </w:pPr>
            <w:r>
              <w:rPr>
                <w:rFonts w:ascii="GHEA Grapalat" w:hAnsi="GHEA Grapalat" w:cs="Calibri"/>
                <w:color w:val="A6A6A6"/>
                <w:sz w:val="18"/>
                <w:szCs w:val="18"/>
              </w:rPr>
              <w:t>28.1%</w:t>
            </w:r>
          </w:p>
        </w:tc>
      </w:tr>
      <w:tr w:rsidR="006B15F5" w:rsidRPr="0087491E" w14:paraId="68A55632" w14:textId="77777777" w:rsidTr="00147C8B">
        <w:trPr>
          <w:trHeight w:val="540"/>
        </w:trPr>
        <w:tc>
          <w:tcPr>
            <w:tcW w:w="3407" w:type="dxa"/>
            <w:vAlign w:val="center"/>
            <w:hideMark/>
          </w:tcPr>
          <w:p w14:paraId="7B29546C" w14:textId="77777777" w:rsidR="006B15F5" w:rsidRPr="0087491E" w:rsidRDefault="006B15F5" w:rsidP="00147C8B">
            <w:pPr>
              <w:spacing w:before="0" w:after="0" w:line="240" w:lineRule="auto"/>
              <w:ind w:right="360"/>
              <w:rPr>
                <w:sz w:val="18"/>
                <w:szCs w:val="18"/>
              </w:rPr>
            </w:pPr>
            <w:r w:rsidRPr="0087491E">
              <w:rPr>
                <w:sz w:val="18"/>
                <w:szCs w:val="18"/>
              </w:rPr>
              <w:t>2. Պաշտպանություն, հասարակական կարգ, անվտանգություն և դատական գործունեություն</w:t>
            </w:r>
          </w:p>
        </w:tc>
        <w:tc>
          <w:tcPr>
            <w:tcW w:w="948" w:type="dxa"/>
            <w:vAlign w:val="center"/>
          </w:tcPr>
          <w:p w14:paraId="7B98BDA0" w14:textId="77777777" w:rsidR="006B15F5" w:rsidRPr="0087491E" w:rsidRDefault="006B15F5" w:rsidP="00147C8B">
            <w:pPr>
              <w:spacing w:before="0" w:after="0" w:line="240" w:lineRule="auto"/>
              <w:jc w:val="center"/>
              <w:rPr>
                <w:sz w:val="18"/>
                <w:szCs w:val="18"/>
              </w:rPr>
            </w:pPr>
            <w:r>
              <w:rPr>
                <w:rFonts w:ascii="GHEA Grapalat" w:hAnsi="GHEA Grapalat" w:cs="Calibri"/>
                <w:color w:val="404040"/>
                <w:sz w:val="18"/>
                <w:szCs w:val="18"/>
              </w:rPr>
              <w:t>677.3</w:t>
            </w:r>
          </w:p>
        </w:tc>
        <w:tc>
          <w:tcPr>
            <w:tcW w:w="951" w:type="dxa"/>
            <w:vAlign w:val="center"/>
          </w:tcPr>
          <w:p w14:paraId="2DAF8FD9" w14:textId="77777777" w:rsidR="006B15F5" w:rsidRPr="0087491E" w:rsidRDefault="006B15F5" w:rsidP="00147C8B">
            <w:pPr>
              <w:spacing w:before="0" w:after="0" w:line="240" w:lineRule="auto"/>
              <w:jc w:val="center"/>
              <w:rPr>
                <w:sz w:val="18"/>
                <w:szCs w:val="18"/>
              </w:rPr>
            </w:pPr>
            <w:r>
              <w:rPr>
                <w:rFonts w:ascii="GHEA Grapalat" w:hAnsi="GHEA Grapalat" w:cs="Calibri"/>
                <w:color w:val="404040"/>
                <w:sz w:val="18"/>
                <w:szCs w:val="18"/>
              </w:rPr>
              <w:t>733.4</w:t>
            </w:r>
          </w:p>
        </w:tc>
        <w:tc>
          <w:tcPr>
            <w:tcW w:w="956" w:type="dxa"/>
            <w:vAlign w:val="center"/>
          </w:tcPr>
          <w:p w14:paraId="432E40E3" w14:textId="77777777" w:rsidR="006B15F5" w:rsidRPr="0087491E" w:rsidRDefault="006B15F5" w:rsidP="00147C8B">
            <w:pPr>
              <w:spacing w:before="0" w:after="0" w:line="240" w:lineRule="auto"/>
              <w:jc w:val="center"/>
              <w:rPr>
                <w:sz w:val="18"/>
                <w:szCs w:val="18"/>
              </w:rPr>
            </w:pPr>
            <w:r>
              <w:rPr>
                <w:rFonts w:ascii="GHEA Grapalat" w:hAnsi="GHEA Grapalat" w:cs="Calibri"/>
                <w:color w:val="404040"/>
                <w:sz w:val="18"/>
                <w:szCs w:val="18"/>
              </w:rPr>
              <w:t>776.9</w:t>
            </w:r>
          </w:p>
        </w:tc>
        <w:tc>
          <w:tcPr>
            <w:tcW w:w="945" w:type="dxa"/>
            <w:vAlign w:val="center"/>
          </w:tcPr>
          <w:p w14:paraId="607C2220" w14:textId="77777777" w:rsidR="006B15F5" w:rsidRPr="0087491E" w:rsidRDefault="006B15F5" w:rsidP="00147C8B">
            <w:pPr>
              <w:spacing w:before="0" w:after="0" w:line="240" w:lineRule="auto"/>
              <w:jc w:val="center"/>
              <w:rPr>
                <w:sz w:val="18"/>
                <w:szCs w:val="18"/>
              </w:rPr>
            </w:pPr>
            <w:r>
              <w:rPr>
                <w:rFonts w:ascii="GHEA Grapalat" w:hAnsi="GHEA Grapalat" w:cs="Calibri"/>
                <w:color w:val="404040"/>
                <w:sz w:val="18"/>
                <w:szCs w:val="18"/>
              </w:rPr>
              <w:t>915.4</w:t>
            </w:r>
          </w:p>
        </w:tc>
        <w:tc>
          <w:tcPr>
            <w:tcW w:w="792" w:type="dxa"/>
            <w:vAlign w:val="center"/>
          </w:tcPr>
          <w:p w14:paraId="1536016A" w14:textId="77777777" w:rsidR="006B15F5" w:rsidRDefault="006B15F5" w:rsidP="00147C8B">
            <w:pPr>
              <w:spacing w:before="0" w:after="0" w:line="240" w:lineRule="auto"/>
              <w:jc w:val="center"/>
              <w:rPr>
                <w:rFonts w:ascii="GHEA Grapalat" w:hAnsi="GHEA Grapalat" w:cs="Calibri"/>
                <w:color w:val="404040"/>
                <w:sz w:val="18"/>
                <w:szCs w:val="18"/>
              </w:rPr>
            </w:pPr>
            <w:r>
              <w:rPr>
                <w:rFonts w:ascii="GHEA Grapalat" w:hAnsi="GHEA Grapalat" w:cs="Calibri"/>
                <w:color w:val="404040"/>
                <w:sz w:val="18"/>
                <w:szCs w:val="18"/>
              </w:rPr>
              <w:t>814.4</w:t>
            </w:r>
          </w:p>
        </w:tc>
        <w:tc>
          <w:tcPr>
            <w:tcW w:w="721" w:type="dxa"/>
            <w:vAlign w:val="center"/>
          </w:tcPr>
          <w:p w14:paraId="53E1068A" w14:textId="77777777" w:rsidR="006B15F5" w:rsidRDefault="006B15F5" w:rsidP="00147C8B">
            <w:pPr>
              <w:spacing w:before="0" w:after="0" w:line="240" w:lineRule="auto"/>
              <w:jc w:val="center"/>
              <w:rPr>
                <w:rFonts w:ascii="GHEA Grapalat" w:hAnsi="GHEA Grapalat" w:cs="Calibri"/>
                <w:color w:val="404040"/>
                <w:sz w:val="18"/>
                <w:szCs w:val="18"/>
              </w:rPr>
            </w:pPr>
            <w:r>
              <w:rPr>
                <w:rFonts w:ascii="GHEA Grapalat" w:hAnsi="GHEA Grapalat" w:cs="Calibri"/>
                <w:color w:val="404040"/>
                <w:sz w:val="18"/>
                <w:szCs w:val="18"/>
              </w:rPr>
              <w:t>826.4</w:t>
            </w:r>
          </w:p>
        </w:tc>
        <w:tc>
          <w:tcPr>
            <w:tcW w:w="1016" w:type="dxa"/>
            <w:vAlign w:val="center"/>
          </w:tcPr>
          <w:p w14:paraId="7AC4BD76" w14:textId="77777777" w:rsidR="006B15F5" w:rsidRPr="0087491E" w:rsidRDefault="006B15F5" w:rsidP="00147C8B">
            <w:pPr>
              <w:spacing w:before="0" w:after="0" w:line="240" w:lineRule="auto"/>
              <w:jc w:val="center"/>
              <w:rPr>
                <w:sz w:val="18"/>
                <w:szCs w:val="18"/>
              </w:rPr>
            </w:pPr>
            <w:r>
              <w:rPr>
                <w:rFonts w:ascii="GHEA Grapalat" w:hAnsi="GHEA Grapalat" w:cs="Calibri"/>
                <w:color w:val="404040"/>
                <w:sz w:val="18"/>
                <w:szCs w:val="18"/>
              </w:rPr>
              <w:t>841.9</w:t>
            </w:r>
          </w:p>
        </w:tc>
      </w:tr>
      <w:tr w:rsidR="006B15F5" w:rsidRPr="0087491E" w14:paraId="7BADD92D" w14:textId="77777777" w:rsidTr="00147C8B">
        <w:trPr>
          <w:trHeight w:val="300"/>
        </w:trPr>
        <w:tc>
          <w:tcPr>
            <w:tcW w:w="3407" w:type="dxa"/>
            <w:vAlign w:val="center"/>
            <w:hideMark/>
          </w:tcPr>
          <w:p w14:paraId="29E89F98" w14:textId="77777777" w:rsidR="006B15F5" w:rsidRPr="0087491E" w:rsidRDefault="006B15F5" w:rsidP="00147C8B">
            <w:pPr>
              <w:spacing w:before="0" w:after="0" w:line="240" w:lineRule="auto"/>
              <w:ind w:right="360"/>
              <w:rPr>
                <w:color w:val="A6A6A6" w:themeColor="background1" w:themeShade="A6"/>
                <w:sz w:val="18"/>
                <w:szCs w:val="18"/>
              </w:rPr>
            </w:pPr>
            <w:r w:rsidRPr="0087491E">
              <w:rPr>
                <w:color w:val="A6A6A6" w:themeColor="background1" w:themeShade="A6"/>
                <w:sz w:val="18"/>
                <w:szCs w:val="18"/>
              </w:rPr>
              <w:t>ՀՆԱ-ի նկատմամբ (%)</w:t>
            </w:r>
          </w:p>
        </w:tc>
        <w:tc>
          <w:tcPr>
            <w:tcW w:w="948" w:type="dxa"/>
            <w:vAlign w:val="center"/>
          </w:tcPr>
          <w:p w14:paraId="5C3F657B" w14:textId="77777777" w:rsidR="006B15F5" w:rsidRPr="0087491E" w:rsidRDefault="006B15F5" w:rsidP="00147C8B">
            <w:pPr>
              <w:spacing w:before="0" w:after="0" w:line="240" w:lineRule="auto"/>
              <w:jc w:val="center"/>
              <w:rPr>
                <w:color w:val="A6A6A6" w:themeColor="background1" w:themeShade="A6"/>
                <w:sz w:val="18"/>
                <w:szCs w:val="18"/>
              </w:rPr>
            </w:pPr>
            <w:r>
              <w:rPr>
                <w:rFonts w:ascii="GHEA Grapalat" w:hAnsi="GHEA Grapalat" w:cs="Calibri"/>
                <w:color w:val="A6A6A6"/>
                <w:sz w:val="18"/>
                <w:szCs w:val="18"/>
              </w:rPr>
              <w:t>8.0%</w:t>
            </w:r>
          </w:p>
        </w:tc>
        <w:tc>
          <w:tcPr>
            <w:tcW w:w="951" w:type="dxa"/>
            <w:vAlign w:val="center"/>
          </w:tcPr>
          <w:p w14:paraId="072502AB" w14:textId="77777777" w:rsidR="006B15F5" w:rsidRPr="0087491E" w:rsidRDefault="006B15F5" w:rsidP="00147C8B">
            <w:pPr>
              <w:spacing w:before="0" w:after="0" w:line="240" w:lineRule="auto"/>
              <w:jc w:val="center"/>
              <w:rPr>
                <w:color w:val="A6A6A6" w:themeColor="background1" w:themeShade="A6"/>
                <w:sz w:val="18"/>
                <w:szCs w:val="18"/>
              </w:rPr>
            </w:pPr>
            <w:r>
              <w:rPr>
                <w:rFonts w:ascii="GHEA Grapalat" w:hAnsi="GHEA Grapalat" w:cs="Calibri"/>
                <w:color w:val="A6A6A6"/>
                <w:sz w:val="18"/>
                <w:szCs w:val="18"/>
              </w:rPr>
              <w:t>7.7%</w:t>
            </w:r>
          </w:p>
        </w:tc>
        <w:tc>
          <w:tcPr>
            <w:tcW w:w="956" w:type="dxa"/>
            <w:vAlign w:val="center"/>
          </w:tcPr>
          <w:p w14:paraId="31E40B93" w14:textId="77777777" w:rsidR="006B15F5" w:rsidRPr="0087491E" w:rsidRDefault="006B15F5" w:rsidP="00147C8B">
            <w:pPr>
              <w:spacing w:before="0" w:after="0" w:line="240" w:lineRule="auto"/>
              <w:jc w:val="center"/>
              <w:rPr>
                <w:color w:val="A6A6A6" w:themeColor="background1" w:themeShade="A6"/>
                <w:sz w:val="18"/>
                <w:szCs w:val="18"/>
              </w:rPr>
            </w:pPr>
            <w:r>
              <w:rPr>
                <w:rFonts w:ascii="GHEA Grapalat" w:hAnsi="GHEA Grapalat" w:cs="Calibri"/>
                <w:color w:val="A6A6A6"/>
                <w:sz w:val="18"/>
                <w:szCs w:val="18"/>
              </w:rPr>
              <w:t>7.6%</w:t>
            </w:r>
          </w:p>
        </w:tc>
        <w:tc>
          <w:tcPr>
            <w:tcW w:w="945" w:type="dxa"/>
            <w:vAlign w:val="center"/>
          </w:tcPr>
          <w:p w14:paraId="149CDBC0" w14:textId="77777777" w:rsidR="006B15F5" w:rsidRPr="0087491E" w:rsidRDefault="006B15F5" w:rsidP="00147C8B">
            <w:pPr>
              <w:spacing w:before="0" w:after="0" w:line="240" w:lineRule="auto"/>
              <w:jc w:val="center"/>
              <w:rPr>
                <w:color w:val="A6A6A6" w:themeColor="background1" w:themeShade="A6"/>
                <w:sz w:val="18"/>
                <w:szCs w:val="18"/>
              </w:rPr>
            </w:pPr>
            <w:r>
              <w:rPr>
                <w:rFonts w:ascii="GHEA Grapalat" w:hAnsi="GHEA Grapalat" w:cs="Calibri"/>
                <w:color w:val="A6A6A6"/>
                <w:sz w:val="18"/>
                <w:szCs w:val="18"/>
              </w:rPr>
              <w:t>8.4%</w:t>
            </w:r>
          </w:p>
        </w:tc>
        <w:tc>
          <w:tcPr>
            <w:tcW w:w="792" w:type="dxa"/>
            <w:vAlign w:val="center"/>
          </w:tcPr>
          <w:p w14:paraId="60A703F4" w14:textId="77777777" w:rsidR="006B15F5" w:rsidRDefault="006B15F5" w:rsidP="00147C8B">
            <w:pPr>
              <w:spacing w:before="0" w:after="0" w:line="240" w:lineRule="auto"/>
              <w:jc w:val="center"/>
              <w:rPr>
                <w:rFonts w:ascii="GHEA Grapalat" w:hAnsi="GHEA Grapalat" w:cs="Calibri"/>
                <w:color w:val="A6A6A6"/>
                <w:sz w:val="18"/>
                <w:szCs w:val="18"/>
              </w:rPr>
            </w:pPr>
            <w:r>
              <w:rPr>
                <w:rFonts w:ascii="GHEA Grapalat" w:hAnsi="GHEA Grapalat" w:cs="Calibri"/>
                <w:color w:val="A6A6A6"/>
                <w:sz w:val="18"/>
                <w:szCs w:val="18"/>
              </w:rPr>
              <w:t>6.8%</w:t>
            </w:r>
          </w:p>
        </w:tc>
        <w:tc>
          <w:tcPr>
            <w:tcW w:w="721" w:type="dxa"/>
            <w:vAlign w:val="center"/>
          </w:tcPr>
          <w:p w14:paraId="024F921E" w14:textId="77777777" w:rsidR="006B15F5" w:rsidRDefault="006B15F5" w:rsidP="00147C8B">
            <w:pPr>
              <w:spacing w:before="0" w:after="0" w:line="240" w:lineRule="auto"/>
              <w:jc w:val="center"/>
              <w:rPr>
                <w:rFonts w:ascii="GHEA Grapalat" w:hAnsi="GHEA Grapalat" w:cs="Calibri"/>
                <w:color w:val="A6A6A6"/>
                <w:sz w:val="18"/>
                <w:szCs w:val="18"/>
              </w:rPr>
            </w:pPr>
            <w:r>
              <w:rPr>
                <w:rFonts w:ascii="GHEA Grapalat" w:hAnsi="GHEA Grapalat" w:cs="Calibri"/>
                <w:color w:val="A6A6A6"/>
                <w:sz w:val="18"/>
                <w:szCs w:val="18"/>
              </w:rPr>
              <w:t>6.4%</w:t>
            </w:r>
          </w:p>
        </w:tc>
        <w:tc>
          <w:tcPr>
            <w:tcW w:w="1016" w:type="dxa"/>
            <w:vAlign w:val="center"/>
          </w:tcPr>
          <w:p w14:paraId="41A540A5" w14:textId="77777777" w:rsidR="006B15F5" w:rsidRPr="0087491E" w:rsidRDefault="006B15F5" w:rsidP="00147C8B">
            <w:pPr>
              <w:spacing w:before="0" w:after="0" w:line="240" w:lineRule="auto"/>
              <w:jc w:val="center"/>
              <w:rPr>
                <w:color w:val="A6A6A6" w:themeColor="background1" w:themeShade="A6"/>
                <w:sz w:val="18"/>
                <w:szCs w:val="18"/>
                <w:lang w:val="hy-AM"/>
              </w:rPr>
            </w:pPr>
            <w:r>
              <w:rPr>
                <w:rFonts w:ascii="GHEA Grapalat" w:hAnsi="GHEA Grapalat" w:cs="Calibri"/>
                <w:color w:val="A6A6A6"/>
                <w:sz w:val="18"/>
                <w:szCs w:val="18"/>
              </w:rPr>
              <w:t>6.0%</w:t>
            </w:r>
          </w:p>
        </w:tc>
      </w:tr>
      <w:tr w:rsidR="006B15F5" w:rsidRPr="0087491E" w14:paraId="579E406B" w14:textId="77777777" w:rsidTr="00147C8B">
        <w:trPr>
          <w:trHeight w:val="315"/>
        </w:trPr>
        <w:tc>
          <w:tcPr>
            <w:tcW w:w="3407" w:type="dxa"/>
            <w:vAlign w:val="center"/>
            <w:hideMark/>
          </w:tcPr>
          <w:p w14:paraId="57717F05" w14:textId="77777777" w:rsidR="006B15F5" w:rsidRPr="0087491E" w:rsidRDefault="006B15F5" w:rsidP="00147C8B">
            <w:pPr>
              <w:spacing w:before="0" w:after="0" w:line="240" w:lineRule="auto"/>
              <w:ind w:right="360"/>
              <w:rPr>
                <w:color w:val="A6A6A6" w:themeColor="background1" w:themeShade="A6"/>
                <w:sz w:val="18"/>
                <w:szCs w:val="18"/>
              </w:rPr>
            </w:pPr>
            <w:r w:rsidRPr="0087491E">
              <w:rPr>
                <w:color w:val="A6A6A6" w:themeColor="background1" w:themeShade="A6"/>
                <w:sz w:val="18"/>
                <w:szCs w:val="18"/>
              </w:rPr>
              <w:t>Ընդհանուր ծախսերում (%)</w:t>
            </w:r>
          </w:p>
        </w:tc>
        <w:tc>
          <w:tcPr>
            <w:tcW w:w="948" w:type="dxa"/>
            <w:vAlign w:val="center"/>
          </w:tcPr>
          <w:p w14:paraId="3822BD68" w14:textId="77777777" w:rsidR="006B15F5" w:rsidRPr="0087491E" w:rsidRDefault="006B15F5" w:rsidP="00147C8B">
            <w:pPr>
              <w:spacing w:before="0" w:after="0" w:line="240" w:lineRule="auto"/>
              <w:jc w:val="center"/>
              <w:rPr>
                <w:color w:val="A6A6A6" w:themeColor="background1" w:themeShade="A6"/>
                <w:sz w:val="18"/>
                <w:szCs w:val="18"/>
              </w:rPr>
            </w:pPr>
            <w:r>
              <w:rPr>
                <w:rFonts w:ascii="GHEA Grapalat" w:hAnsi="GHEA Grapalat" w:cs="Calibri"/>
                <w:color w:val="A6A6A6"/>
                <w:sz w:val="18"/>
                <w:szCs w:val="18"/>
              </w:rPr>
              <w:t>30.2%</w:t>
            </w:r>
          </w:p>
        </w:tc>
        <w:tc>
          <w:tcPr>
            <w:tcW w:w="951" w:type="dxa"/>
            <w:vAlign w:val="center"/>
          </w:tcPr>
          <w:p w14:paraId="27C90969" w14:textId="77777777" w:rsidR="006B15F5" w:rsidRPr="0087491E" w:rsidRDefault="006B15F5" w:rsidP="00147C8B">
            <w:pPr>
              <w:spacing w:before="0" w:after="0" w:line="240" w:lineRule="auto"/>
              <w:jc w:val="center"/>
              <w:rPr>
                <w:color w:val="A6A6A6" w:themeColor="background1" w:themeShade="A6"/>
                <w:sz w:val="18"/>
                <w:szCs w:val="18"/>
              </w:rPr>
            </w:pPr>
            <w:r>
              <w:rPr>
                <w:rFonts w:ascii="GHEA Grapalat" w:hAnsi="GHEA Grapalat" w:cs="Calibri"/>
                <w:color w:val="A6A6A6"/>
                <w:sz w:val="18"/>
                <w:szCs w:val="18"/>
              </w:rPr>
              <w:t>28.8%</w:t>
            </w:r>
          </w:p>
        </w:tc>
        <w:tc>
          <w:tcPr>
            <w:tcW w:w="956" w:type="dxa"/>
            <w:vAlign w:val="center"/>
          </w:tcPr>
          <w:p w14:paraId="667AD7AF" w14:textId="77777777" w:rsidR="006B15F5" w:rsidRPr="0087491E" w:rsidRDefault="006B15F5" w:rsidP="00147C8B">
            <w:pPr>
              <w:spacing w:before="0" w:after="0" w:line="240" w:lineRule="auto"/>
              <w:jc w:val="center"/>
              <w:rPr>
                <w:color w:val="A6A6A6" w:themeColor="background1" w:themeShade="A6"/>
                <w:sz w:val="18"/>
                <w:szCs w:val="18"/>
              </w:rPr>
            </w:pPr>
            <w:r>
              <w:rPr>
                <w:rFonts w:ascii="GHEA Grapalat" w:hAnsi="GHEA Grapalat" w:cs="Calibri"/>
                <w:color w:val="A6A6A6"/>
                <w:sz w:val="18"/>
                <w:szCs w:val="18"/>
              </w:rPr>
              <w:t>26.3%</w:t>
            </w:r>
          </w:p>
        </w:tc>
        <w:tc>
          <w:tcPr>
            <w:tcW w:w="945" w:type="dxa"/>
            <w:vAlign w:val="center"/>
          </w:tcPr>
          <w:p w14:paraId="11B14CEA" w14:textId="77777777" w:rsidR="006B15F5" w:rsidRPr="0087491E" w:rsidRDefault="006B15F5" w:rsidP="00147C8B">
            <w:pPr>
              <w:spacing w:before="0" w:after="0" w:line="240" w:lineRule="auto"/>
              <w:jc w:val="center"/>
              <w:rPr>
                <w:color w:val="A6A6A6" w:themeColor="background1" w:themeShade="A6"/>
                <w:sz w:val="18"/>
                <w:szCs w:val="18"/>
              </w:rPr>
            </w:pPr>
            <w:r>
              <w:rPr>
                <w:rFonts w:ascii="GHEA Grapalat" w:hAnsi="GHEA Grapalat" w:cs="Calibri"/>
                <w:color w:val="A6A6A6"/>
                <w:sz w:val="18"/>
                <w:szCs w:val="18"/>
              </w:rPr>
              <w:t>26.6%</w:t>
            </w:r>
          </w:p>
        </w:tc>
        <w:tc>
          <w:tcPr>
            <w:tcW w:w="792" w:type="dxa"/>
            <w:vAlign w:val="center"/>
          </w:tcPr>
          <w:p w14:paraId="59E0558B" w14:textId="77777777" w:rsidR="006B15F5" w:rsidRDefault="006B15F5" w:rsidP="00147C8B">
            <w:pPr>
              <w:spacing w:before="0" w:after="0" w:line="240" w:lineRule="auto"/>
              <w:jc w:val="center"/>
              <w:rPr>
                <w:rFonts w:ascii="GHEA Grapalat" w:hAnsi="GHEA Grapalat" w:cs="Calibri"/>
                <w:color w:val="A6A6A6"/>
                <w:sz w:val="18"/>
                <w:szCs w:val="18"/>
              </w:rPr>
            </w:pPr>
            <w:r>
              <w:rPr>
                <w:rFonts w:ascii="GHEA Grapalat" w:hAnsi="GHEA Grapalat" w:cs="Calibri"/>
                <w:color w:val="A6A6A6"/>
                <w:sz w:val="18"/>
                <w:szCs w:val="18"/>
              </w:rPr>
              <w:t>22.5%</w:t>
            </w:r>
          </w:p>
        </w:tc>
        <w:tc>
          <w:tcPr>
            <w:tcW w:w="721" w:type="dxa"/>
            <w:vAlign w:val="center"/>
          </w:tcPr>
          <w:p w14:paraId="0E3E999B" w14:textId="77777777" w:rsidR="006B15F5" w:rsidRDefault="006B15F5" w:rsidP="00147C8B">
            <w:pPr>
              <w:spacing w:before="0" w:after="0" w:line="240" w:lineRule="auto"/>
              <w:jc w:val="center"/>
              <w:rPr>
                <w:rFonts w:ascii="GHEA Grapalat" w:hAnsi="GHEA Grapalat" w:cs="Calibri"/>
                <w:color w:val="A6A6A6"/>
                <w:sz w:val="18"/>
                <w:szCs w:val="18"/>
              </w:rPr>
            </w:pPr>
            <w:r>
              <w:rPr>
                <w:rFonts w:ascii="GHEA Grapalat" w:hAnsi="GHEA Grapalat" w:cs="Calibri"/>
                <w:color w:val="A6A6A6"/>
                <w:sz w:val="18"/>
                <w:szCs w:val="18"/>
              </w:rPr>
              <w:t>21.7%</w:t>
            </w:r>
          </w:p>
        </w:tc>
        <w:tc>
          <w:tcPr>
            <w:tcW w:w="1016" w:type="dxa"/>
            <w:vAlign w:val="center"/>
          </w:tcPr>
          <w:p w14:paraId="12977633" w14:textId="77777777" w:rsidR="006B15F5" w:rsidRPr="0087491E" w:rsidRDefault="006B15F5" w:rsidP="00147C8B">
            <w:pPr>
              <w:spacing w:before="0" w:after="0" w:line="240" w:lineRule="auto"/>
              <w:jc w:val="center"/>
              <w:rPr>
                <w:color w:val="A6A6A6" w:themeColor="background1" w:themeShade="A6"/>
                <w:sz w:val="18"/>
                <w:szCs w:val="18"/>
              </w:rPr>
            </w:pPr>
            <w:r>
              <w:rPr>
                <w:rFonts w:ascii="GHEA Grapalat" w:hAnsi="GHEA Grapalat" w:cs="Calibri"/>
                <w:color w:val="A6A6A6"/>
                <w:sz w:val="18"/>
                <w:szCs w:val="18"/>
              </w:rPr>
              <w:t>20.9%</w:t>
            </w:r>
          </w:p>
        </w:tc>
      </w:tr>
      <w:tr w:rsidR="006B15F5" w:rsidRPr="0087491E" w14:paraId="5463B3A3" w14:textId="77777777" w:rsidTr="00147C8B">
        <w:trPr>
          <w:trHeight w:val="300"/>
        </w:trPr>
        <w:tc>
          <w:tcPr>
            <w:tcW w:w="3407" w:type="dxa"/>
            <w:vAlign w:val="center"/>
            <w:hideMark/>
          </w:tcPr>
          <w:p w14:paraId="6D1A240E" w14:textId="77777777" w:rsidR="006B15F5" w:rsidRPr="0087491E" w:rsidRDefault="006B15F5" w:rsidP="00147C8B">
            <w:pPr>
              <w:spacing w:before="0" w:after="0" w:line="240" w:lineRule="auto"/>
              <w:ind w:right="360"/>
              <w:rPr>
                <w:sz w:val="18"/>
                <w:szCs w:val="18"/>
              </w:rPr>
            </w:pPr>
            <w:r w:rsidRPr="0087491E">
              <w:rPr>
                <w:sz w:val="18"/>
                <w:szCs w:val="18"/>
              </w:rPr>
              <w:t>3. Տնտեսական ոլորտ</w:t>
            </w:r>
          </w:p>
        </w:tc>
        <w:tc>
          <w:tcPr>
            <w:tcW w:w="948" w:type="dxa"/>
            <w:vAlign w:val="center"/>
          </w:tcPr>
          <w:p w14:paraId="1EE62F77" w14:textId="77777777" w:rsidR="006B15F5" w:rsidRPr="0087491E" w:rsidRDefault="006B15F5" w:rsidP="00147C8B">
            <w:pPr>
              <w:spacing w:before="0" w:after="0" w:line="240" w:lineRule="auto"/>
              <w:jc w:val="center"/>
              <w:rPr>
                <w:sz w:val="18"/>
                <w:szCs w:val="18"/>
              </w:rPr>
            </w:pPr>
            <w:r>
              <w:rPr>
                <w:rFonts w:ascii="GHEA Grapalat" w:hAnsi="GHEA Grapalat" w:cs="Calibri"/>
                <w:color w:val="404040"/>
                <w:sz w:val="18"/>
                <w:szCs w:val="18"/>
              </w:rPr>
              <w:t>192.1</w:t>
            </w:r>
          </w:p>
        </w:tc>
        <w:tc>
          <w:tcPr>
            <w:tcW w:w="951" w:type="dxa"/>
            <w:vAlign w:val="center"/>
          </w:tcPr>
          <w:p w14:paraId="7FB79DCD" w14:textId="77777777" w:rsidR="006B15F5" w:rsidRPr="0087491E" w:rsidRDefault="006B15F5" w:rsidP="00147C8B">
            <w:pPr>
              <w:spacing w:before="0" w:after="0" w:line="240" w:lineRule="auto"/>
              <w:jc w:val="center"/>
              <w:rPr>
                <w:sz w:val="18"/>
                <w:szCs w:val="18"/>
              </w:rPr>
            </w:pPr>
            <w:r>
              <w:rPr>
                <w:rFonts w:ascii="GHEA Grapalat" w:hAnsi="GHEA Grapalat" w:cs="Calibri"/>
                <w:color w:val="404040"/>
                <w:sz w:val="18"/>
                <w:szCs w:val="18"/>
              </w:rPr>
              <w:t>217.8</w:t>
            </w:r>
          </w:p>
        </w:tc>
        <w:tc>
          <w:tcPr>
            <w:tcW w:w="956" w:type="dxa"/>
            <w:vAlign w:val="center"/>
          </w:tcPr>
          <w:p w14:paraId="422DBCCE" w14:textId="77777777" w:rsidR="006B15F5" w:rsidRPr="0087491E" w:rsidRDefault="006B15F5" w:rsidP="00147C8B">
            <w:pPr>
              <w:spacing w:before="0" w:after="0" w:line="240" w:lineRule="auto"/>
              <w:jc w:val="center"/>
              <w:rPr>
                <w:sz w:val="18"/>
                <w:szCs w:val="18"/>
              </w:rPr>
            </w:pPr>
            <w:r>
              <w:rPr>
                <w:rFonts w:ascii="GHEA Grapalat" w:hAnsi="GHEA Grapalat" w:cs="Calibri"/>
                <w:color w:val="404040"/>
                <w:sz w:val="18"/>
                <w:szCs w:val="18"/>
              </w:rPr>
              <w:t>228.9</w:t>
            </w:r>
          </w:p>
        </w:tc>
        <w:tc>
          <w:tcPr>
            <w:tcW w:w="945" w:type="dxa"/>
            <w:vAlign w:val="center"/>
          </w:tcPr>
          <w:p w14:paraId="6FB10413" w14:textId="77777777" w:rsidR="006B15F5" w:rsidRPr="0087491E" w:rsidRDefault="006B15F5" w:rsidP="00147C8B">
            <w:pPr>
              <w:spacing w:before="0" w:after="0" w:line="240" w:lineRule="auto"/>
              <w:jc w:val="center"/>
              <w:rPr>
                <w:sz w:val="18"/>
                <w:szCs w:val="18"/>
              </w:rPr>
            </w:pPr>
            <w:r>
              <w:rPr>
                <w:rFonts w:ascii="GHEA Grapalat" w:hAnsi="GHEA Grapalat" w:cs="Calibri"/>
                <w:color w:val="404040"/>
                <w:sz w:val="18"/>
                <w:szCs w:val="18"/>
              </w:rPr>
              <w:t>262.5</w:t>
            </w:r>
          </w:p>
        </w:tc>
        <w:tc>
          <w:tcPr>
            <w:tcW w:w="792" w:type="dxa"/>
            <w:vAlign w:val="center"/>
          </w:tcPr>
          <w:p w14:paraId="74F6338D" w14:textId="77777777" w:rsidR="006B15F5" w:rsidRDefault="006B15F5" w:rsidP="00147C8B">
            <w:pPr>
              <w:spacing w:before="0" w:after="0" w:line="240" w:lineRule="auto"/>
              <w:jc w:val="center"/>
              <w:rPr>
                <w:rFonts w:ascii="GHEA Grapalat" w:hAnsi="GHEA Grapalat" w:cs="Calibri"/>
                <w:color w:val="404040"/>
                <w:sz w:val="18"/>
                <w:szCs w:val="18"/>
              </w:rPr>
            </w:pPr>
            <w:r>
              <w:rPr>
                <w:rFonts w:ascii="GHEA Grapalat" w:hAnsi="GHEA Grapalat" w:cs="Calibri"/>
                <w:color w:val="404040"/>
                <w:sz w:val="18"/>
                <w:szCs w:val="18"/>
              </w:rPr>
              <w:t>285.5</w:t>
            </w:r>
          </w:p>
        </w:tc>
        <w:tc>
          <w:tcPr>
            <w:tcW w:w="721" w:type="dxa"/>
            <w:vAlign w:val="center"/>
          </w:tcPr>
          <w:p w14:paraId="2424A2BC" w14:textId="77777777" w:rsidR="006B15F5" w:rsidRDefault="006B15F5" w:rsidP="00147C8B">
            <w:pPr>
              <w:spacing w:before="0" w:after="0" w:line="240" w:lineRule="auto"/>
              <w:jc w:val="center"/>
              <w:rPr>
                <w:rFonts w:ascii="GHEA Grapalat" w:hAnsi="GHEA Grapalat" w:cs="Calibri"/>
                <w:color w:val="404040"/>
                <w:sz w:val="18"/>
                <w:szCs w:val="18"/>
              </w:rPr>
            </w:pPr>
            <w:r>
              <w:rPr>
                <w:rFonts w:ascii="GHEA Grapalat" w:hAnsi="GHEA Grapalat" w:cs="Calibri"/>
                <w:color w:val="404040"/>
                <w:sz w:val="18"/>
                <w:szCs w:val="18"/>
              </w:rPr>
              <w:t>277.4</w:t>
            </w:r>
          </w:p>
        </w:tc>
        <w:tc>
          <w:tcPr>
            <w:tcW w:w="1016" w:type="dxa"/>
            <w:vAlign w:val="center"/>
          </w:tcPr>
          <w:p w14:paraId="2C83B92D" w14:textId="77777777" w:rsidR="006B15F5" w:rsidRPr="0087491E" w:rsidRDefault="006B15F5" w:rsidP="00147C8B">
            <w:pPr>
              <w:spacing w:before="0" w:after="0" w:line="240" w:lineRule="auto"/>
              <w:jc w:val="center"/>
              <w:rPr>
                <w:sz w:val="18"/>
                <w:szCs w:val="18"/>
              </w:rPr>
            </w:pPr>
            <w:r>
              <w:rPr>
                <w:rFonts w:ascii="GHEA Grapalat" w:hAnsi="GHEA Grapalat" w:cs="Calibri"/>
                <w:color w:val="404040"/>
                <w:sz w:val="18"/>
                <w:szCs w:val="18"/>
              </w:rPr>
              <w:t>313.7</w:t>
            </w:r>
          </w:p>
        </w:tc>
      </w:tr>
      <w:tr w:rsidR="006B15F5" w:rsidRPr="0087491E" w14:paraId="2FC52985" w14:textId="77777777" w:rsidTr="00147C8B">
        <w:trPr>
          <w:trHeight w:val="300"/>
        </w:trPr>
        <w:tc>
          <w:tcPr>
            <w:tcW w:w="3407" w:type="dxa"/>
            <w:vAlign w:val="center"/>
            <w:hideMark/>
          </w:tcPr>
          <w:p w14:paraId="0FEF4836" w14:textId="77777777" w:rsidR="006B15F5" w:rsidRPr="0087491E" w:rsidRDefault="006B15F5" w:rsidP="00147C8B">
            <w:pPr>
              <w:spacing w:before="0" w:after="0" w:line="240" w:lineRule="auto"/>
              <w:ind w:right="360"/>
              <w:rPr>
                <w:color w:val="A6A6A6" w:themeColor="background1" w:themeShade="A6"/>
                <w:sz w:val="18"/>
                <w:szCs w:val="18"/>
              </w:rPr>
            </w:pPr>
            <w:r w:rsidRPr="0087491E">
              <w:rPr>
                <w:color w:val="A6A6A6" w:themeColor="background1" w:themeShade="A6"/>
                <w:sz w:val="18"/>
                <w:szCs w:val="18"/>
              </w:rPr>
              <w:t>ՀՆԱ-ի նկատմամբ (%)</w:t>
            </w:r>
          </w:p>
        </w:tc>
        <w:tc>
          <w:tcPr>
            <w:tcW w:w="948" w:type="dxa"/>
            <w:vAlign w:val="center"/>
          </w:tcPr>
          <w:p w14:paraId="69B20AD8" w14:textId="77777777" w:rsidR="006B15F5" w:rsidRPr="0087491E" w:rsidRDefault="006B15F5" w:rsidP="00147C8B">
            <w:pPr>
              <w:spacing w:before="0" w:after="0" w:line="240" w:lineRule="auto"/>
              <w:jc w:val="center"/>
              <w:rPr>
                <w:color w:val="A6A6A6" w:themeColor="background1" w:themeShade="A6"/>
                <w:sz w:val="18"/>
                <w:szCs w:val="18"/>
              </w:rPr>
            </w:pPr>
            <w:r>
              <w:rPr>
                <w:rFonts w:ascii="GHEA Grapalat" w:hAnsi="GHEA Grapalat" w:cs="Calibri"/>
                <w:color w:val="A6A6A6"/>
                <w:sz w:val="18"/>
                <w:szCs w:val="18"/>
              </w:rPr>
              <w:t>2.3%</w:t>
            </w:r>
          </w:p>
        </w:tc>
        <w:tc>
          <w:tcPr>
            <w:tcW w:w="951" w:type="dxa"/>
            <w:vAlign w:val="center"/>
          </w:tcPr>
          <w:p w14:paraId="6E56E864" w14:textId="77777777" w:rsidR="006B15F5" w:rsidRPr="0087491E" w:rsidRDefault="006B15F5" w:rsidP="00147C8B">
            <w:pPr>
              <w:spacing w:before="0" w:after="0" w:line="240" w:lineRule="auto"/>
              <w:jc w:val="center"/>
              <w:rPr>
                <w:color w:val="A6A6A6" w:themeColor="background1" w:themeShade="A6"/>
                <w:sz w:val="18"/>
                <w:szCs w:val="18"/>
              </w:rPr>
            </w:pPr>
            <w:r>
              <w:rPr>
                <w:rFonts w:ascii="GHEA Grapalat" w:hAnsi="GHEA Grapalat" w:cs="Calibri"/>
                <w:color w:val="A6A6A6"/>
                <w:sz w:val="18"/>
                <w:szCs w:val="18"/>
              </w:rPr>
              <w:t>2.3%</w:t>
            </w:r>
          </w:p>
        </w:tc>
        <w:tc>
          <w:tcPr>
            <w:tcW w:w="956" w:type="dxa"/>
            <w:vAlign w:val="center"/>
          </w:tcPr>
          <w:p w14:paraId="171E4210" w14:textId="77777777" w:rsidR="006B15F5" w:rsidRPr="0087491E" w:rsidRDefault="006B15F5" w:rsidP="00147C8B">
            <w:pPr>
              <w:spacing w:before="0" w:after="0" w:line="240" w:lineRule="auto"/>
              <w:jc w:val="center"/>
              <w:rPr>
                <w:color w:val="A6A6A6" w:themeColor="background1" w:themeShade="A6"/>
                <w:sz w:val="18"/>
                <w:szCs w:val="18"/>
              </w:rPr>
            </w:pPr>
            <w:r>
              <w:rPr>
                <w:rFonts w:ascii="GHEA Grapalat" w:hAnsi="GHEA Grapalat" w:cs="Calibri"/>
                <w:color w:val="A6A6A6"/>
                <w:sz w:val="18"/>
                <w:szCs w:val="18"/>
              </w:rPr>
              <w:t>2.2%</w:t>
            </w:r>
          </w:p>
        </w:tc>
        <w:tc>
          <w:tcPr>
            <w:tcW w:w="945" w:type="dxa"/>
            <w:vAlign w:val="center"/>
          </w:tcPr>
          <w:p w14:paraId="7ED90B7E" w14:textId="77777777" w:rsidR="006B15F5" w:rsidRPr="0087491E" w:rsidRDefault="006B15F5" w:rsidP="00147C8B">
            <w:pPr>
              <w:spacing w:before="0" w:after="0" w:line="240" w:lineRule="auto"/>
              <w:jc w:val="center"/>
              <w:rPr>
                <w:color w:val="A6A6A6" w:themeColor="background1" w:themeShade="A6"/>
                <w:sz w:val="18"/>
                <w:szCs w:val="18"/>
              </w:rPr>
            </w:pPr>
            <w:r>
              <w:rPr>
                <w:rFonts w:ascii="GHEA Grapalat" w:hAnsi="GHEA Grapalat" w:cs="Calibri"/>
                <w:color w:val="A6A6A6"/>
                <w:sz w:val="18"/>
                <w:szCs w:val="18"/>
              </w:rPr>
              <w:t>2.4%</w:t>
            </w:r>
          </w:p>
        </w:tc>
        <w:tc>
          <w:tcPr>
            <w:tcW w:w="792" w:type="dxa"/>
            <w:vAlign w:val="center"/>
          </w:tcPr>
          <w:p w14:paraId="679ADD01" w14:textId="77777777" w:rsidR="006B15F5" w:rsidRDefault="006B15F5" w:rsidP="00147C8B">
            <w:pPr>
              <w:spacing w:before="0" w:after="0" w:line="240" w:lineRule="auto"/>
              <w:jc w:val="center"/>
              <w:rPr>
                <w:rFonts w:ascii="GHEA Grapalat" w:hAnsi="GHEA Grapalat" w:cs="Calibri"/>
                <w:color w:val="A6A6A6"/>
                <w:sz w:val="18"/>
                <w:szCs w:val="18"/>
              </w:rPr>
            </w:pPr>
            <w:r>
              <w:rPr>
                <w:rFonts w:ascii="GHEA Grapalat" w:hAnsi="GHEA Grapalat" w:cs="Calibri"/>
                <w:color w:val="A6A6A6"/>
                <w:sz w:val="18"/>
                <w:szCs w:val="18"/>
              </w:rPr>
              <w:t>2.4%</w:t>
            </w:r>
          </w:p>
        </w:tc>
        <w:tc>
          <w:tcPr>
            <w:tcW w:w="721" w:type="dxa"/>
            <w:vAlign w:val="center"/>
          </w:tcPr>
          <w:p w14:paraId="3B1D4F7F" w14:textId="77777777" w:rsidR="006B15F5" w:rsidRDefault="006B15F5" w:rsidP="00147C8B">
            <w:pPr>
              <w:spacing w:before="0" w:after="0" w:line="240" w:lineRule="auto"/>
              <w:jc w:val="center"/>
              <w:rPr>
                <w:rFonts w:ascii="GHEA Grapalat" w:hAnsi="GHEA Grapalat" w:cs="Calibri"/>
                <w:color w:val="A6A6A6"/>
                <w:sz w:val="18"/>
                <w:szCs w:val="18"/>
              </w:rPr>
            </w:pPr>
            <w:r>
              <w:rPr>
                <w:rFonts w:ascii="GHEA Grapalat" w:hAnsi="GHEA Grapalat" w:cs="Calibri"/>
                <w:color w:val="A6A6A6"/>
                <w:sz w:val="18"/>
                <w:szCs w:val="18"/>
              </w:rPr>
              <w:t>2.1%</w:t>
            </w:r>
          </w:p>
        </w:tc>
        <w:tc>
          <w:tcPr>
            <w:tcW w:w="1016" w:type="dxa"/>
            <w:vAlign w:val="center"/>
          </w:tcPr>
          <w:p w14:paraId="6E7F96B2" w14:textId="77777777" w:rsidR="006B15F5" w:rsidRPr="0087491E" w:rsidRDefault="006B15F5" w:rsidP="00147C8B">
            <w:pPr>
              <w:spacing w:before="0" w:after="0" w:line="240" w:lineRule="auto"/>
              <w:jc w:val="center"/>
              <w:rPr>
                <w:color w:val="A6A6A6" w:themeColor="background1" w:themeShade="A6"/>
                <w:sz w:val="18"/>
                <w:szCs w:val="18"/>
              </w:rPr>
            </w:pPr>
            <w:r>
              <w:rPr>
                <w:rFonts w:ascii="GHEA Grapalat" w:hAnsi="GHEA Grapalat" w:cs="Calibri"/>
                <w:color w:val="A6A6A6"/>
                <w:sz w:val="18"/>
                <w:szCs w:val="18"/>
              </w:rPr>
              <w:t>2.2%</w:t>
            </w:r>
          </w:p>
        </w:tc>
      </w:tr>
      <w:tr w:rsidR="006B15F5" w:rsidRPr="0087491E" w14:paraId="5A30DB38" w14:textId="77777777" w:rsidTr="00147C8B">
        <w:trPr>
          <w:trHeight w:val="315"/>
        </w:trPr>
        <w:tc>
          <w:tcPr>
            <w:tcW w:w="3407" w:type="dxa"/>
            <w:vAlign w:val="center"/>
            <w:hideMark/>
          </w:tcPr>
          <w:p w14:paraId="39D69AB9" w14:textId="77777777" w:rsidR="006B15F5" w:rsidRPr="0087491E" w:rsidRDefault="006B15F5" w:rsidP="00147C8B">
            <w:pPr>
              <w:spacing w:before="0" w:after="0" w:line="240" w:lineRule="auto"/>
              <w:ind w:right="360"/>
              <w:rPr>
                <w:color w:val="A6A6A6" w:themeColor="background1" w:themeShade="A6"/>
                <w:sz w:val="18"/>
                <w:szCs w:val="18"/>
              </w:rPr>
            </w:pPr>
            <w:r w:rsidRPr="0087491E">
              <w:rPr>
                <w:color w:val="A6A6A6" w:themeColor="background1" w:themeShade="A6"/>
                <w:sz w:val="18"/>
                <w:szCs w:val="18"/>
              </w:rPr>
              <w:t>Ընդհանուր ծախսերում (%)</w:t>
            </w:r>
          </w:p>
        </w:tc>
        <w:tc>
          <w:tcPr>
            <w:tcW w:w="948" w:type="dxa"/>
            <w:vAlign w:val="center"/>
          </w:tcPr>
          <w:p w14:paraId="78FA8904" w14:textId="77777777" w:rsidR="006B15F5" w:rsidRPr="0087491E" w:rsidRDefault="006B15F5" w:rsidP="00147C8B">
            <w:pPr>
              <w:spacing w:before="0" w:after="0" w:line="240" w:lineRule="auto"/>
              <w:jc w:val="center"/>
              <w:rPr>
                <w:color w:val="A6A6A6" w:themeColor="background1" w:themeShade="A6"/>
                <w:sz w:val="18"/>
                <w:szCs w:val="18"/>
              </w:rPr>
            </w:pPr>
            <w:r>
              <w:rPr>
                <w:rFonts w:ascii="GHEA Grapalat" w:hAnsi="GHEA Grapalat" w:cs="Calibri"/>
                <w:color w:val="A6A6A6"/>
                <w:sz w:val="18"/>
                <w:szCs w:val="18"/>
              </w:rPr>
              <w:t>8.6%</w:t>
            </w:r>
          </w:p>
        </w:tc>
        <w:tc>
          <w:tcPr>
            <w:tcW w:w="951" w:type="dxa"/>
            <w:vAlign w:val="center"/>
          </w:tcPr>
          <w:p w14:paraId="3E67482D" w14:textId="77777777" w:rsidR="006B15F5" w:rsidRPr="0087491E" w:rsidRDefault="006B15F5" w:rsidP="00147C8B">
            <w:pPr>
              <w:spacing w:before="0" w:after="0" w:line="240" w:lineRule="auto"/>
              <w:jc w:val="center"/>
              <w:rPr>
                <w:color w:val="A6A6A6" w:themeColor="background1" w:themeShade="A6"/>
                <w:sz w:val="18"/>
                <w:szCs w:val="18"/>
              </w:rPr>
            </w:pPr>
            <w:r>
              <w:rPr>
                <w:rFonts w:ascii="GHEA Grapalat" w:hAnsi="GHEA Grapalat" w:cs="Calibri"/>
                <w:color w:val="A6A6A6"/>
                <w:sz w:val="18"/>
                <w:szCs w:val="18"/>
              </w:rPr>
              <w:t>8.5%</w:t>
            </w:r>
          </w:p>
        </w:tc>
        <w:tc>
          <w:tcPr>
            <w:tcW w:w="956" w:type="dxa"/>
            <w:vAlign w:val="center"/>
          </w:tcPr>
          <w:p w14:paraId="1B48CB94" w14:textId="77777777" w:rsidR="006B15F5" w:rsidRPr="0087491E" w:rsidRDefault="006B15F5" w:rsidP="00147C8B">
            <w:pPr>
              <w:spacing w:before="0" w:after="0" w:line="240" w:lineRule="auto"/>
              <w:jc w:val="center"/>
              <w:rPr>
                <w:color w:val="A6A6A6" w:themeColor="background1" w:themeShade="A6"/>
                <w:sz w:val="18"/>
                <w:szCs w:val="18"/>
              </w:rPr>
            </w:pPr>
            <w:r>
              <w:rPr>
                <w:rFonts w:ascii="GHEA Grapalat" w:hAnsi="GHEA Grapalat" w:cs="Calibri"/>
                <w:color w:val="A6A6A6"/>
                <w:sz w:val="18"/>
                <w:szCs w:val="18"/>
              </w:rPr>
              <w:t>7.7%</w:t>
            </w:r>
          </w:p>
        </w:tc>
        <w:tc>
          <w:tcPr>
            <w:tcW w:w="945" w:type="dxa"/>
            <w:vAlign w:val="center"/>
          </w:tcPr>
          <w:p w14:paraId="52B6AF73" w14:textId="77777777" w:rsidR="006B15F5" w:rsidRPr="0087491E" w:rsidRDefault="006B15F5" w:rsidP="00147C8B">
            <w:pPr>
              <w:spacing w:before="0" w:after="0" w:line="240" w:lineRule="auto"/>
              <w:jc w:val="center"/>
              <w:rPr>
                <w:color w:val="A6A6A6" w:themeColor="background1" w:themeShade="A6"/>
                <w:sz w:val="18"/>
                <w:szCs w:val="18"/>
              </w:rPr>
            </w:pPr>
            <w:r>
              <w:rPr>
                <w:rFonts w:ascii="GHEA Grapalat" w:hAnsi="GHEA Grapalat" w:cs="Calibri"/>
                <w:color w:val="A6A6A6"/>
                <w:sz w:val="18"/>
                <w:szCs w:val="18"/>
              </w:rPr>
              <w:t>7.6%</w:t>
            </w:r>
          </w:p>
        </w:tc>
        <w:tc>
          <w:tcPr>
            <w:tcW w:w="792" w:type="dxa"/>
            <w:vAlign w:val="center"/>
          </w:tcPr>
          <w:p w14:paraId="4575C1F1" w14:textId="77777777" w:rsidR="006B15F5" w:rsidRDefault="006B15F5" w:rsidP="00147C8B">
            <w:pPr>
              <w:spacing w:before="0" w:after="0" w:line="240" w:lineRule="auto"/>
              <w:jc w:val="center"/>
              <w:rPr>
                <w:rFonts w:ascii="GHEA Grapalat" w:hAnsi="GHEA Grapalat" w:cs="Calibri"/>
                <w:color w:val="A6A6A6"/>
                <w:sz w:val="18"/>
                <w:szCs w:val="18"/>
              </w:rPr>
            </w:pPr>
            <w:r>
              <w:rPr>
                <w:rFonts w:ascii="GHEA Grapalat" w:hAnsi="GHEA Grapalat" w:cs="Calibri"/>
                <w:color w:val="A6A6A6"/>
                <w:sz w:val="18"/>
                <w:szCs w:val="18"/>
              </w:rPr>
              <w:t>7.9%</w:t>
            </w:r>
          </w:p>
        </w:tc>
        <w:tc>
          <w:tcPr>
            <w:tcW w:w="721" w:type="dxa"/>
            <w:vAlign w:val="center"/>
          </w:tcPr>
          <w:p w14:paraId="519E1B5B" w14:textId="77777777" w:rsidR="006B15F5" w:rsidRDefault="006B15F5" w:rsidP="00147C8B">
            <w:pPr>
              <w:spacing w:before="0" w:after="0" w:line="240" w:lineRule="auto"/>
              <w:jc w:val="center"/>
              <w:rPr>
                <w:rFonts w:ascii="GHEA Grapalat" w:hAnsi="GHEA Grapalat" w:cs="Calibri"/>
                <w:color w:val="A6A6A6"/>
                <w:sz w:val="18"/>
                <w:szCs w:val="18"/>
              </w:rPr>
            </w:pPr>
            <w:r>
              <w:rPr>
                <w:rFonts w:ascii="GHEA Grapalat" w:hAnsi="GHEA Grapalat" w:cs="Calibri"/>
                <w:color w:val="A6A6A6"/>
                <w:sz w:val="18"/>
                <w:szCs w:val="18"/>
              </w:rPr>
              <w:t>7.3%</w:t>
            </w:r>
          </w:p>
        </w:tc>
        <w:tc>
          <w:tcPr>
            <w:tcW w:w="1016" w:type="dxa"/>
            <w:vAlign w:val="center"/>
          </w:tcPr>
          <w:p w14:paraId="398C65F9" w14:textId="77777777" w:rsidR="006B15F5" w:rsidRPr="0087491E" w:rsidRDefault="006B15F5" w:rsidP="00147C8B">
            <w:pPr>
              <w:spacing w:before="0" w:after="0" w:line="240" w:lineRule="auto"/>
              <w:jc w:val="center"/>
              <w:rPr>
                <w:color w:val="A6A6A6" w:themeColor="background1" w:themeShade="A6"/>
                <w:sz w:val="18"/>
                <w:szCs w:val="18"/>
              </w:rPr>
            </w:pPr>
            <w:r>
              <w:rPr>
                <w:rFonts w:ascii="GHEA Grapalat" w:hAnsi="GHEA Grapalat" w:cs="Calibri"/>
                <w:color w:val="A6A6A6"/>
                <w:sz w:val="18"/>
                <w:szCs w:val="18"/>
              </w:rPr>
              <w:t>7.8%</w:t>
            </w:r>
          </w:p>
        </w:tc>
      </w:tr>
      <w:tr w:rsidR="006B15F5" w:rsidRPr="0087491E" w14:paraId="6796BC4F" w14:textId="77777777" w:rsidTr="00147C8B">
        <w:trPr>
          <w:trHeight w:val="300"/>
        </w:trPr>
        <w:tc>
          <w:tcPr>
            <w:tcW w:w="3407" w:type="dxa"/>
            <w:vAlign w:val="center"/>
            <w:hideMark/>
          </w:tcPr>
          <w:p w14:paraId="1F56E46A" w14:textId="77777777" w:rsidR="006B15F5" w:rsidRPr="0087491E" w:rsidRDefault="006B15F5" w:rsidP="00147C8B">
            <w:pPr>
              <w:spacing w:before="0" w:after="0" w:line="240" w:lineRule="auto"/>
              <w:ind w:right="360"/>
              <w:rPr>
                <w:sz w:val="18"/>
                <w:szCs w:val="18"/>
              </w:rPr>
            </w:pPr>
            <w:r w:rsidRPr="0087491E">
              <w:rPr>
                <w:sz w:val="18"/>
                <w:szCs w:val="18"/>
              </w:rPr>
              <w:t>4. Սոցիալական ոլորտ</w:t>
            </w:r>
          </w:p>
        </w:tc>
        <w:tc>
          <w:tcPr>
            <w:tcW w:w="948" w:type="dxa"/>
            <w:vAlign w:val="center"/>
          </w:tcPr>
          <w:p w14:paraId="63856DA7" w14:textId="77777777" w:rsidR="006B15F5" w:rsidRPr="0087491E" w:rsidRDefault="006B15F5" w:rsidP="00147C8B">
            <w:pPr>
              <w:spacing w:before="0" w:after="0" w:line="240" w:lineRule="auto"/>
              <w:jc w:val="center"/>
              <w:rPr>
                <w:sz w:val="18"/>
                <w:szCs w:val="18"/>
              </w:rPr>
            </w:pPr>
            <w:r>
              <w:rPr>
                <w:rFonts w:ascii="GHEA Grapalat" w:hAnsi="GHEA Grapalat" w:cs="Calibri"/>
                <w:color w:val="404040"/>
                <w:sz w:val="18"/>
                <w:szCs w:val="18"/>
              </w:rPr>
              <w:t>965.8</w:t>
            </w:r>
          </w:p>
        </w:tc>
        <w:tc>
          <w:tcPr>
            <w:tcW w:w="951" w:type="dxa"/>
            <w:vAlign w:val="center"/>
          </w:tcPr>
          <w:p w14:paraId="10CC93E3" w14:textId="77777777" w:rsidR="006B15F5" w:rsidRPr="0087491E" w:rsidRDefault="006B15F5" w:rsidP="00147C8B">
            <w:pPr>
              <w:spacing w:before="0" w:after="0" w:line="240" w:lineRule="auto"/>
              <w:jc w:val="center"/>
              <w:rPr>
                <w:sz w:val="18"/>
                <w:szCs w:val="18"/>
              </w:rPr>
            </w:pPr>
            <w:r>
              <w:rPr>
                <w:rFonts w:ascii="GHEA Grapalat" w:hAnsi="GHEA Grapalat" w:cs="Calibri"/>
                <w:color w:val="404040"/>
                <w:sz w:val="18"/>
                <w:szCs w:val="18"/>
              </w:rPr>
              <w:t>1</w:t>
            </w:r>
            <w:r>
              <w:rPr>
                <w:rFonts w:ascii="GHEA Grapalat" w:hAnsi="GHEA Grapalat" w:cs="Calibri"/>
                <w:color w:val="404040"/>
                <w:sz w:val="18"/>
                <w:szCs w:val="18"/>
                <w:lang w:val="hy-AM"/>
              </w:rPr>
              <w:t>,</w:t>
            </w:r>
            <w:r>
              <w:rPr>
                <w:rFonts w:ascii="GHEA Grapalat" w:hAnsi="GHEA Grapalat" w:cs="Calibri"/>
                <w:color w:val="404040"/>
                <w:sz w:val="18"/>
                <w:szCs w:val="18"/>
              </w:rPr>
              <w:t>073.9</w:t>
            </w:r>
          </w:p>
        </w:tc>
        <w:tc>
          <w:tcPr>
            <w:tcW w:w="956" w:type="dxa"/>
            <w:vAlign w:val="center"/>
          </w:tcPr>
          <w:p w14:paraId="13521461" w14:textId="77777777" w:rsidR="006B15F5" w:rsidRPr="0087491E" w:rsidRDefault="006B15F5" w:rsidP="00147C8B">
            <w:pPr>
              <w:spacing w:before="0" w:after="0" w:line="240" w:lineRule="auto"/>
              <w:jc w:val="center"/>
              <w:rPr>
                <w:sz w:val="18"/>
                <w:szCs w:val="18"/>
              </w:rPr>
            </w:pPr>
            <w:r>
              <w:rPr>
                <w:rFonts w:ascii="GHEA Grapalat" w:hAnsi="GHEA Grapalat" w:cs="Calibri"/>
                <w:color w:val="404040"/>
                <w:sz w:val="18"/>
                <w:szCs w:val="18"/>
              </w:rPr>
              <w:t>1</w:t>
            </w:r>
            <w:r>
              <w:rPr>
                <w:rFonts w:ascii="GHEA Grapalat" w:hAnsi="GHEA Grapalat" w:cs="Calibri"/>
                <w:color w:val="404040"/>
                <w:sz w:val="18"/>
                <w:szCs w:val="18"/>
                <w:lang w:val="hy-AM"/>
              </w:rPr>
              <w:t>,</w:t>
            </w:r>
            <w:r>
              <w:rPr>
                <w:rFonts w:ascii="GHEA Grapalat" w:hAnsi="GHEA Grapalat" w:cs="Calibri"/>
                <w:color w:val="404040"/>
                <w:sz w:val="18"/>
                <w:szCs w:val="18"/>
              </w:rPr>
              <w:t>278.2</w:t>
            </w:r>
          </w:p>
        </w:tc>
        <w:tc>
          <w:tcPr>
            <w:tcW w:w="945" w:type="dxa"/>
            <w:vAlign w:val="center"/>
          </w:tcPr>
          <w:p w14:paraId="4EE48775" w14:textId="77777777" w:rsidR="006B15F5" w:rsidRPr="0087491E" w:rsidRDefault="006B15F5" w:rsidP="00147C8B">
            <w:pPr>
              <w:spacing w:before="0" w:after="0" w:line="240" w:lineRule="auto"/>
              <w:jc w:val="center"/>
              <w:rPr>
                <w:sz w:val="18"/>
                <w:szCs w:val="18"/>
              </w:rPr>
            </w:pPr>
            <w:r>
              <w:rPr>
                <w:rFonts w:ascii="GHEA Grapalat" w:hAnsi="GHEA Grapalat" w:cs="Calibri"/>
                <w:color w:val="404040"/>
                <w:sz w:val="18"/>
                <w:szCs w:val="18"/>
              </w:rPr>
              <w:t>1</w:t>
            </w:r>
            <w:r>
              <w:rPr>
                <w:rFonts w:ascii="GHEA Grapalat" w:hAnsi="GHEA Grapalat" w:cs="Calibri"/>
                <w:color w:val="404040"/>
                <w:sz w:val="18"/>
                <w:szCs w:val="18"/>
                <w:lang w:val="hy-AM"/>
              </w:rPr>
              <w:t>,</w:t>
            </w:r>
            <w:r>
              <w:rPr>
                <w:rFonts w:ascii="GHEA Grapalat" w:hAnsi="GHEA Grapalat" w:cs="Calibri"/>
                <w:color w:val="404040"/>
                <w:sz w:val="18"/>
                <w:szCs w:val="18"/>
              </w:rPr>
              <w:t>420.9</w:t>
            </w:r>
          </w:p>
        </w:tc>
        <w:tc>
          <w:tcPr>
            <w:tcW w:w="792" w:type="dxa"/>
            <w:vAlign w:val="center"/>
          </w:tcPr>
          <w:p w14:paraId="302D7284" w14:textId="77777777" w:rsidR="006B15F5" w:rsidRDefault="006B15F5" w:rsidP="00147C8B">
            <w:pPr>
              <w:spacing w:before="0" w:after="0" w:line="240" w:lineRule="auto"/>
              <w:jc w:val="center"/>
              <w:rPr>
                <w:rFonts w:ascii="GHEA Grapalat" w:hAnsi="GHEA Grapalat" w:cs="Calibri"/>
                <w:color w:val="404040"/>
                <w:sz w:val="18"/>
                <w:szCs w:val="18"/>
              </w:rPr>
            </w:pPr>
            <w:r>
              <w:rPr>
                <w:rFonts w:ascii="GHEA Grapalat" w:hAnsi="GHEA Grapalat" w:cs="Calibri"/>
                <w:color w:val="404040"/>
                <w:sz w:val="18"/>
                <w:szCs w:val="18"/>
              </w:rPr>
              <w:t>1</w:t>
            </w:r>
            <w:r>
              <w:rPr>
                <w:rFonts w:ascii="GHEA Grapalat" w:hAnsi="GHEA Grapalat" w:cs="Calibri"/>
                <w:color w:val="404040"/>
                <w:sz w:val="18"/>
                <w:szCs w:val="18"/>
                <w:lang w:val="hy-AM"/>
              </w:rPr>
              <w:t>,</w:t>
            </w:r>
            <w:r>
              <w:rPr>
                <w:rFonts w:ascii="GHEA Grapalat" w:hAnsi="GHEA Grapalat" w:cs="Calibri"/>
                <w:color w:val="404040"/>
                <w:sz w:val="18"/>
                <w:szCs w:val="18"/>
              </w:rPr>
              <w:t>60</w:t>
            </w:r>
            <w:r>
              <w:rPr>
                <w:rFonts w:ascii="GHEA Grapalat" w:hAnsi="GHEA Grapalat" w:cs="Calibri"/>
                <w:color w:val="404040"/>
                <w:sz w:val="18"/>
                <w:szCs w:val="18"/>
                <w:lang w:val="hy-AM"/>
              </w:rPr>
              <w:t>9</w:t>
            </w:r>
            <w:r>
              <w:rPr>
                <w:rFonts w:ascii="GHEA Grapalat" w:hAnsi="GHEA Grapalat" w:cs="Calibri"/>
                <w:color w:val="404040"/>
                <w:sz w:val="18"/>
                <w:szCs w:val="18"/>
              </w:rPr>
              <w:t>.8</w:t>
            </w:r>
          </w:p>
        </w:tc>
        <w:tc>
          <w:tcPr>
            <w:tcW w:w="721" w:type="dxa"/>
            <w:vAlign w:val="center"/>
          </w:tcPr>
          <w:p w14:paraId="5A8EF1B7" w14:textId="77777777" w:rsidR="006B15F5" w:rsidRDefault="006B15F5" w:rsidP="00147C8B">
            <w:pPr>
              <w:spacing w:before="0" w:after="0" w:line="240" w:lineRule="auto"/>
              <w:jc w:val="center"/>
              <w:rPr>
                <w:rFonts w:ascii="GHEA Grapalat" w:hAnsi="GHEA Grapalat" w:cs="Calibri"/>
                <w:color w:val="404040"/>
                <w:sz w:val="18"/>
                <w:szCs w:val="18"/>
              </w:rPr>
            </w:pPr>
            <w:r>
              <w:rPr>
                <w:rFonts w:ascii="GHEA Grapalat" w:hAnsi="GHEA Grapalat" w:cs="Calibri"/>
                <w:color w:val="404040"/>
                <w:sz w:val="18"/>
                <w:szCs w:val="18"/>
              </w:rPr>
              <w:t>1</w:t>
            </w:r>
            <w:r>
              <w:rPr>
                <w:rFonts w:ascii="GHEA Grapalat" w:hAnsi="GHEA Grapalat" w:cs="Calibri"/>
                <w:color w:val="404040"/>
                <w:sz w:val="18"/>
                <w:szCs w:val="18"/>
                <w:lang w:val="hy-AM"/>
              </w:rPr>
              <w:t>,</w:t>
            </w:r>
            <w:r>
              <w:rPr>
                <w:rFonts w:ascii="GHEA Grapalat" w:hAnsi="GHEA Grapalat" w:cs="Calibri"/>
                <w:color w:val="404040"/>
                <w:sz w:val="18"/>
                <w:szCs w:val="18"/>
              </w:rPr>
              <w:t>661.5</w:t>
            </w:r>
          </w:p>
        </w:tc>
        <w:tc>
          <w:tcPr>
            <w:tcW w:w="1016" w:type="dxa"/>
            <w:vAlign w:val="center"/>
          </w:tcPr>
          <w:p w14:paraId="38DBE96D" w14:textId="77777777" w:rsidR="006B15F5" w:rsidRPr="0087491E" w:rsidRDefault="006B15F5" w:rsidP="00147C8B">
            <w:pPr>
              <w:spacing w:before="0" w:after="0" w:line="240" w:lineRule="auto"/>
              <w:jc w:val="center"/>
              <w:rPr>
                <w:sz w:val="18"/>
                <w:szCs w:val="18"/>
              </w:rPr>
            </w:pPr>
            <w:r>
              <w:rPr>
                <w:rFonts w:ascii="GHEA Grapalat" w:hAnsi="GHEA Grapalat" w:cs="Calibri"/>
                <w:color w:val="404040"/>
                <w:sz w:val="18"/>
                <w:szCs w:val="18"/>
              </w:rPr>
              <w:t>1</w:t>
            </w:r>
            <w:r>
              <w:rPr>
                <w:rFonts w:ascii="GHEA Grapalat" w:hAnsi="GHEA Grapalat" w:cs="Calibri"/>
                <w:color w:val="404040"/>
                <w:sz w:val="18"/>
                <w:szCs w:val="18"/>
                <w:lang w:val="hy-AM"/>
              </w:rPr>
              <w:t>,</w:t>
            </w:r>
            <w:r>
              <w:rPr>
                <w:rFonts w:ascii="GHEA Grapalat" w:hAnsi="GHEA Grapalat" w:cs="Calibri"/>
                <w:color w:val="404040"/>
                <w:sz w:val="18"/>
                <w:szCs w:val="18"/>
              </w:rPr>
              <w:t>743.0</w:t>
            </w:r>
          </w:p>
        </w:tc>
      </w:tr>
      <w:tr w:rsidR="006B15F5" w:rsidRPr="0087491E" w14:paraId="116015BE" w14:textId="77777777" w:rsidTr="00147C8B">
        <w:trPr>
          <w:trHeight w:val="300"/>
        </w:trPr>
        <w:tc>
          <w:tcPr>
            <w:tcW w:w="3407" w:type="dxa"/>
            <w:vAlign w:val="center"/>
            <w:hideMark/>
          </w:tcPr>
          <w:p w14:paraId="1CC30801" w14:textId="77777777" w:rsidR="006B15F5" w:rsidRPr="0087491E" w:rsidRDefault="006B15F5" w:rsidP="00147C8B">
            <w:pPr>
              <w:spacing w:before="0" w:after="0" w:line="240" w:lineRule="auto"/>
              <w:ind w:right="360"/>
              <w:rPr>
                <w:color w:val="A6A6A6" w:themeColor="background1" w:themeShade="A6"/>
                <w:sz w:val="18"/>
                <w:szCs w:val="18"/>
              </w:rPr>
            </w:pPr>
            <w:r w:rsidRPr="0087491E">
              <w:rPr>
                <w:color w:val="A6A6A6" w:themeColor="background1" w:themeShade="A6"/>
                <w:sz w:val="18"/>
                <w:szCs w:val="18"/>
              </w:rPr>
              <w:t>ՀՆԱ-ի նկատմամբ (%)</w:t>
            </w:r>
          </w:p>
        </w:tc>
        <w:tc>
          <w:tcPr>
            <w:tcW w:w="948" w:type="dxa"/>
            <w:vAlign w:val="center"/>
          </w:tcPr>
          <w:p w14:paraId="0116D806" w14:textId="77777777" w:rsidR="006B15F5" w:rsidRPr="0087491E" w:rsidRDefault="006B15F5" w:rsidP="00147C8B">
            <w:pPr>
              <w:spacing w:before="0" w:after="0" w:line="240" w:lineRule="auto"/>
              <w:jc w:val="center"/>
              <w:rPr>
                <w:color w:val="A6A6A6" w:themeColor="background1" w:themeShade="A6"/>
                <w:sz w:val="18"/>
                <w:szCs w:val="18"/>
              </w:rPr>
            </w:pPr>
            <w:r>
              <w:rPr>
                <w:rFonts w:ascii="GHEA Grapalat" w:hAnsi="GHEA Grapalat" w:cs="Calibri"/>
                <w:color w:val="A6A6A6"/>
                <w:sz w:val="18"/>
                <w:szCs w:val="18"/>
              </w:rPr>
              <w:t>11.4%</w:t>
            </w:r>
          </w:p>
        </w:tc>
        <w:tc>
          <w:tcPr>
            <w:tcW w:w="951" w:type="dxa"/>
            <w:vAlign w:val="center"/>
          </w:tcPr>
          <w:p w14:paraId="646A007F" w14:textId="77777777" w:rsidR="006B15F5" w:rsidRPr="0087491E" w:rsidRDefault="006B15F5" w:rsidP="00147C8B">
            <w:pPr>
              <w:spacing w:before="0" w:after="0" w:line="240" w:lineRule="auto"/>
              <w:jc w:val="center"/>
              <w:rPr>
                <w:color w:val="A6A6A6" w:themeColor="background1" w:themeShade="A6"/>
                <w:sz w:val="18"/>
                <w:szCs w:val="18"/>
              </w:rPr>
            </w:pPr>
            <w:r>
              <w:rPr>
                <w:rFonts w:ascii="GHEA Grapalat" w:hAnsi="GHEA Grapalat" w:cs="Calibri"/>
                <w:color w:val="A6A6A6"/>
                <w:sz w:val="18"/>
                <w:szCs w:val="18"/>
              </w:rPr>
              <w:t>11.3%</w:t>
            </w:r>
          </w:p>
        </w:tc>
        <w:tc>
          <w:tcPr>
            <w:tcW w:w="956" w:type="dxa"/>
            <w:vAlign w:val="center"/>
          </w:tcPr>
          <w:p w14:paraId="51A1E952" w14:textId="77777777" w:rsidR="006B15F5" w:rsidRPr="0087491E" w:rsidRDefault="006B15F5" w:rsidP="00147C8B">
            <w:pPr>
              <w:spacing w:before="0" w:after="0" w:line="240" w:lineRule="auto"/>
              <w:jc w:val="center"/>
              <w:rPr>
                <w:color w:val="A6A6A6" w:themeColor="background1" w:themeShade="A6"/>
                <w:sz w:val="18"/>
                <w:szCs w:val="18"/>
              </w:rPr>
            </w:pPr>
            <w:r>
              <w:rPr>
                <w:rFonts w:ascii="GHEA Grapalat" w:hAnsi="GHEA Grapalat" w:cs="Calibri"/>
                <w:color w:val="A6A6A6"/>
                <w:sz w:val="18"/>
                <w:szCs w:val="18"/>
              </w:rPr>
              <w:t>12.5%</w:t>
            </w:r>
          </w:p>
        </w:tc>
        <w:tc>
          <w:tcPr>
            <w:tcW w:w="945" w:type="dxa"/>
            <w:vAlign w:val="center"/>
          </w:tcPr>
          <w:p w14:paraId="4B80C448" w14:textId="77777777" w:rsidR="006B15F5" w:rsidRPr="0087491E" w:rsidRDefault="006B15F5" w:rsidP="00147C8B">
            <w:pPr>
              <w:spacing w:before="0" w:after="0" w:line="240" w:lineRule="auto"/>
              <w:jc w:val="center"/>
              <w:rPr>
                <w:color w:val="A6A6A6" w:themeColor="background1" w:themeShade="A6"/>
                <w:sz w:val="18"/>
                <w:szCs w:val="18"/>
              </w:rPr>
            </w:pPr>
            <w:r>
              <w:rPr>
                <w:rFonts w:ascii="GHEA Grapalat" w:hAnsi="GHEA Grapalat" w:cs="Calibri"/>
                <w:color w:val="A6A6A6"/>
                <w:sz w:val="18"/>
                <w:szCs w:val="18"/>
              </w:rPr>
              <w:t>13.0%</w:t>
            </w:r>
          </w:p>
        </w:tc>
        <w:tc>
          <w:tcPr>
            <w:tcW w:w="792" w:type="dxa"/>
            <w:vAlign w:val="center"/>
          </w:tcPr>
          <w:p w14:paraId="25F6E1AA" w14:textId="77777777" w:rsidR="006B15F5" w:rsidRDefault="006B15F5" w:rsidP="00147C8B">
            <w:pPr>
              <w:spacing w:before="0" w:after="0" w:line="240" w:lineRule="auto"/>
              <w:jc w:val="center"/>
              <w:rPr>
                <w:rFonts w:ascii="GHEA Grapalat" w:hAnsi="GHEA Grapalat" w:cs="Calibri"/>
                <w:color w:val="A6A6A6"/>
                <w:sz w:val="18"/>
                <w:szCs w:val="18"/>
              </w:rPr>
            </w:pPr>
            <w:r>
              <w:rPr>
                <w:rFonts w:ascii="GHEA Grapalat" w:hAnsi="GHEA Grapalat" w:cs="Calibri"/>
                <w:color w:val="A6A6A6"/>
                <w:sz w:val="18"/>
                <w:szCs w:val="18"/>
              </w:rPr>
              <w:t>13.5%</w:t>
            </w:r>
          </w:p>
        </w:tc>
        <w:tc>
          <w:tcPr>
            <w:tcW w:w="721" w:type="dxa"/>
            <w:vAlign w:val="center"/>
          </w:tcPr>
          <w:p w14:paraId="0B3BF2A1" w14:textId="77777777" w:rsidR="006B15F5" w:rsidRDefault="006B15F5" w:rsidP="00147C8B">
            <w:pPr>
              <w:spacing w:before="0" w:after="0" w:line="240" w:lineRule="auto"/>
              <w:jc w:val="center"/>
              <w:rPr>
                <w:rFonts w:ascii="GHEA Grapalat" w:hAnsi="GHEA Grapalat" w:cs="Calibri"/>
                <w:color w:val="A6A6A6"/>
                <w:sz w:val="18"/>
                <w:szCs w:val="18"/>
              </w:rPr>
            </w:pPr>
            <w:r>
              <w:rPr>
                <w:rFonts w:ascii="GHEA Grapalat" w:hAnsi="GHEA Grapalat" w:cs="Calibri"/>
                <w:color w:val="A6A6A6"/>
                <w:sz w:val="18"/>
                <w:szCs w:val="18"/>
              </w:rPr>
              <w:t>12.8%</w:t>
            </w:r>
          </w:p>
        </w:tc>
        <w:tc>
          <w:tcPr>
            <w:tcW w:w="1016" w:type="dxa"/>
            <w:vAlign w:val="center"/>
          </w:tcPr>
          <w:p w14:paraId="15D7C2FD" w14:textId="77777777" w:rsidR="006B15F5" w:rsidRPr="0087491E" w:rsidRDefault="006B15F5" w:rsidP="00147C8B">
            <w:pPr>
              <w:spacing w:before="0" w:after="0" w:line="240" w:lineRule="auto"/>
              <w:jc w:val="center"/>
              <w:rPr>
                <w:color w:val="A6A6A6" w:themeColor="background1" w:themeShade="A6"/>
                <w:sz w:val="18"/>
                <w:szCs w:val="18"/>
              </w:rPr>
            </w:pPr>
            <w:r>
              <w:rPr>
                <w:rFonts w:ascii="GHEA Grapalat" w:hAnsi="GHEA Grapalat" w:cs="Calibri"/>
                <w:color w:val="A6A6A6"/>
                <w:sz w:val="18"/>
                <w:szCs w:val="18"/>
              </w:rPr>
              <w:t>12.4%</w:t>
            </w:r>
          </w:p>
        </w:tc>
      </w:tr>
      <w:tr w:rsidR="006B15F5" w:rsidRPr="0087491E" w14:paraId="3989F58F" w14:textId="77777777" w:rsidTr="00147C8B">
        <w:trPr>
          <w:trHeight w:val="315"/>
        </w:trPr>
        <w:tc>
          <w:tcPr>
            <w:tcW w:w="3407" w:type="dxa"/>
            <w:vAlign w:val="center"/>
            <w:hideMark/>
          </w:tcPr>
          <w:p w14:paraId="2E2EC57C" w14:textId="77777777" w:rsidR="006B15F5" w:rsidRPr="0087491E" w:rsidRDefault="006B15F5" w:rsidP="00147C8B">
            <w:pPr>
              <w:spacing w:before="0" w:after="0" w:line="240" w:lineRule="auto"/>
              <w:ind w:right="360"/>
              <w:rPr>
                <w:color w:val="A6A6A6" w:themeColor="background1" w:themeShade="A6"/>
                <w:sz w:val="18"/>
                <w:szCs w:val="18"/>
              </w:rPr>
            </w:pPr>
            <w:r w:rsidRPr="0087491E">
              <w:rPr>
                <w:color w:val="A6A6A6" w:themeColor="background1" w:themeShade="A6"/>
                <w:sz w:val="18"/>
                <w:szCs w:val="18"/>
              </w:rPr>
              <w:t>Ընդհանուր ծախսերում (%)</w:t>
            </w:r>
          </w:p>
        </w:tc>
        <w:tc>
          <w:tcPr>
            <w:tcW w:w="948" w:type="dxa"/>
            <w:vAlign w:val="center"/>
          </w:tcPr>
          <w:p w14:paraId="535AE702" w14:textId="77777777" w:rsidR="006B15F5" w:rsidRPr="0087491E" w:rsidRDefault="006B15F5" w:rsidP="00147C8B">
            <w:pPr>
              <w:spacing w:before="0" w:after="0" w:line="240" w:lineRule="auto"/>
              <w:jc w:val="center"/>
              <w:rPr>
                <w:color w:val="A6A6A6" w:themeColor="background1" w:themeShade="A6"/>
                <w:sz w:val="18"/>
                <w:szCs w:val="18"/>
              </w:rPr>
            </w:pPr>
            <w:r>
              <w:rPr>
                <w:rFonts w:ascii="GHEA Grapalat" w:hAnsi="GHEA Grapalat" w:cs="Calibri"/>
                <w:color w:val="A6A6A6"/>
                <w:sz w:val="18"/>
                <w:szCs w:val="18"/>
              </w:rPr>
              <w:t>43.1%</w:t>
            </w:r>
          </w:p>
        </w:tc>
        <w:tc>
          <w:tcPr>
            <w:tcW w:w="951" w:type="dxa"/>
            <w:vAlign w:val="center"/>
          </w:tcPr>
          <w:p w14:paraId="615D2412" w14:textId="77777777" w:rsidR="006B15F5" w:rsidRPr="0087491E" w:rsidRDefault="006B15F5" w:rsidP="00147C8B">
            <w:pPr>
              <w:spacing w:before="0" w:after="0" w:line="240" w:lineRule="auto"/>
              <w:jc w:val="center"/>
              <w:rPr>
                <w:color w:val="A6A6A6" w:themeColor="background1" w:themeShade="A6"/>
                <w:sz w:val="18"/>
                <w:szCs w:val="18"/>
              </w:rPr>
            </w:pPr>
            <w:r>
              <w:rPr>
                <w:rFonts w:ascii="GHEA Grapalat" w:hAnsi="GHEA Grapalat" w:cs="Calibri"/>
                <w:color w:val="A6A6A6"/>
                <w:sz w:val="18"/>
                <w:szCs w:val="18"/>
              </w:rPr>
              <w:t>42.2%</w:t>
            </w:r>
          </w:p>
        </w:tc>
        <w:tc>
          <w:tcPr>
            <w:tcW w:w="956" w:type="dxa"/>
            <w:vAlign w:val="center"/>
          </w:tcPr>
          <w:p w14:paraId="4D3DB967" w14:textId="77777777" w:rsidR="006B15F5" w:rsidRPr="0087491E" w:rsidRDefault="006B15F5" w:rsidP="00147C8B">
            <w:pPr>
              <w:spacing w:before="0" w:after="0" w:line="240" w:lineRule="auto"/>
              <w:jc w:val="center"/>
              <w:rPr>
                <w:color w:val="A6A6A6" w:themeColor="background1" w:themeShade="A6"/>
                <w:sz w:val="18"/>
                <w:szCs w:val="18"/>
              </w:rPr>
            </w:pPr>
            <w:r>
              <w:rPr>
                <w:rFonts w:ascii="GHEA Grapalat" w:hAnsi="GHEA Grapalat" w:cs="Calibri"/>
                <w:color w:val="A6A6A6"/>
                <w:sz w:val="18"/>
                <w:szCs w:val="18"/>
              </w:rPr>
              <w:t>43.3%</w:t>
            </w:r>
          </w:p>
        </w:tc>
        <w:tc>
          <w:tcPr>
            <w:tcW w:w="945" w:type="dxa"/>
            <w:vAlign w:val="center"/>
          </w:tcPr>
          <w:p w14:paraId="53FE8FB7" w14:textId="77777777" w:rsidR="006B15F5" w:rsidRPr="0087491E" w:rsidRDefault="006B15F5" w:rsidP="00147C8B">
            <w:pPr>
              <w:spacing w:before="0" w:after="0" w:line="240" w:lineRule="auto"/>
              <w:jc w:val="center"/>
              <w:rPr>
                <w:color w:val="A6A6A6" w:themeColor="background1" w:themeShade="A6"/>
                <w:sz w:val="18"/>
                <w:szCs w:val="18"/>
              </w:rPr>
            </w:pPr>
            <w:r>
              <w:rPr>
                <w:rFonts w:ascii="GHEA Grapalat" w:hAnsi="GHEA Grapalat" w:cs="Calibri"/>
                <w:color w:val="A6A6A6"/>
                <w:sz w:val="18"/>
                <w:szCs w:val="18"/>
              </w:rPr>
              <w:t>41.3%</w:t>
            </w:r>
          </w:p>
        </w:tc>
        <w:tc>
          <w:tcPr>
            <w:tcW w:w="792" w:type="dxa"/>
            <w:vAlign w:val="center"/>
          </w:tcPr>
          <w:p w14:paraId="67DC3D83" w14:textId="77777777" w:rsidR="006B15F5" w:rsidRDefault="006B15F5" w:rsidP="00147C8B">
            <w:pPr>
              <w:spacing w:before="0" w:after="0" w:line="240" w:lineRule="auto"/>
              <w:jc w:val="center"/>
              <w:rPr>
                <w:rFonts w:ascii="GHEA Grapalat" w:hAnsi="GHEA Grapalat" w:cs="Calibri"/>
                <w:color w:val="A6A6A6"/>
                <w:sz w:val="18"/>
                <w:szCs w:val="18"/>
              </w:rPr>
            </w:pPr>
            <w:r>
              <w:rPr>
                <w:rFonts w:ascii="GHEA Grapalat" w:hAnsi="GHEA Grapalat" w:cs="Calibri"/>
                <w:color w:val="A6A6A6"/>
                <w:sz w:val="18"/>
                <w:szCs w:val="18"/>
              </w:rPr>
              <w:t>44.4%</w:t>
            </w:r>
          </w:p>
        </w:tc>
        <w:tc>
          <w:tcPr>
            <w:tcW w:w="721" w:type="dxa"/>
            <w:vAlign w:val="center"/>
          </w:tcPr>
          <w:p w14:paraId="0730C939" w14:textId="77777777" w:rsidR="006B15F5" w:rsidRDefault="006B15F5" w:rsidP="00147C8B">
            <w:pPr>
              <w:spacing w:before="0" w:after="0" w:line="240" w:lineRule="auto"/>
              <w:jc w:val="center"/>
              <w:rPr>
                <w:rFonts w:ascii="GHEA Grapalat" w:hAnsi="GHEA Grapalat" w:cs="Calibri"/>
                <w:color w:val="A6A6A6"/>
                <w:sz w:val="18"/>
                <w:szCs w:val="18"/>
              </w:rPr>
            </w:pPr>
            <w:r>
              <w:rPr>
                <w:rFonts w:ascii="GHEA Grapalat" w:hAnsi="GHEA Grapalat" w:cs="Calibri"/>
                <w:color w:val="A6A6A6"/>
                <w:sz w:val="18"/>
                <w:szCs w:val="18"/>
              </w:rPr>
              <w:t>43.7%</w:t>
            </w:r>
          </w:p>
        </w:tc>
        <w:tc>
          <w:tcPr>
            <w:tcW w:w="1016" w:type="dxa"/>
            <w:vAlign w:val="center"/>
          </w:tcPr>
          <w:p w14:paraId="75A44221" w14:textId="77777777" w:rsidR="006B15F5" w:rsidRPr="0087491E" w:rsidRDefault="006B15F5" w:rsidP="00147C8B">
            <w:pPr>
              <w:spacing w:before="0" w:after="0" w:line="240" w:lineRule="auto"/>
              <w:jc w:val="center"/>
              <w:rPr>
                <w:color w:val="A6A6A6" w:themeColor="background1" w:themeShade="A6"/>
                <w:sz w:val="18"/>
                <w:szCs w:val="18"/>
              </w:rPr>
            </w:pPr>
            <w:r>
              <w:rPr>
                <w:rFonts w:ascii="GHEA Grapalat" w:hAnsi="GHEA Grapalat" w:cs="Calibri"/>
                <w:color w:val="A6A6A6"/>
                <w:sz w:val="18"/>
                <w:szCs w:val="18"/>
              </w:rPr>
              <w:t>43.2%</w:t>
            </w:r>
          </w:p>
        </w:tc>
      </w:tr>
    </w:tbl>
    <w:p w14:paraId="7C9E354E" w14:textId="77777777" w:rsidR="006B15F5" w:rsidRPr="0087491E" w:rsidRDefault="006B15F5" w:rsidP="006B15F5">
      <w:pPr>
        <w:spacing w:before="240"/>
        <w:jc w:val="both"/>
        <w:rPr>
          <w:rFonts w:ascii="GHEA Grapalat" w:hAnsi="GHEA Grapalat"/>
          <w:szCs w:val="20"/>
        </w:rPr>
      </w:pPr>
    </w:p>
    <w:p w14:paraId="5C6FE0AE" w14:textId="77777777" w:rsidR="006B15F5" w:rsidRPr="00941B19" w:rsidRDefault="006B15F5" w:rsidP="006B15F5">
      <w:pPr>
        <w:pStyle w:val="BodyText1"/>
        <w:ind w:left="0"/>
        <w:rPr>
          <w:b/>
        </w:rPr>
      </w:pPr>
      <w:r w:rsidRPr="00D76383">
        <w:rPr>
          <w:b/>
        </w:rPr>
        <w:t xml:space="preserve">Գծապատկեր </w:t>
      </w:r>
      <w:r w:rsidRPr="00D76383">
        <w:rPr>
          <w:b/>
          <w:lang w:val="hy-AM"/>
        </w:rPr>
        <w:t>6</w:t>
      </w:r>
      <w:r w:rsidRPr="00D76383">
        <w:rPr>
          <w:b/>
        </w:rPr>
        <w:t>.</w:t>
      </w:r>
      <w:r>
        <w:t xml:space="preserve"> </w:t>
      </w:r>
      <w:r w:rsidRPr="00941B19">
        <w:rPr>
          <w:b/>
        </w:rPr>
        <w:t>ՀՀ</w:t>
      </w:r>
      <w:r>
        <w:rPr>
          <w:b/>
        </w:rPr>
        <w:t xml:space="preserve"> 2022-2028</w:t>
      </w:r>
      <w:r w:rsidRPr="00941B19">
        <w:rPr>
          <w:b/>
        </w:rPr>
        <w:t xml:space="preserve"> թվականների պետական բյուջեի ծախսերն ըստ ոլորտների ունեն հետևյալ գրաֆիկական տեսքը.</w:t>
      </w:r>
    </w:p>
    <w:p w14:paraId="4B0B4A0D" w14:textId="77777777" w:rsidR="006B15F5" w:rsidRPr="00C3014C" w:rsidRDefault="006B15F5" w:rsidP="006B15F5">
      <w:pPr>
        <w:jc w:val="both"/>
      </w:pPr>
      <w:r>
        <w:rPr>
          <w:noProof/>
        </w:rPr>
        <w:drawing>
          <wp:inline distT="0" distB="0" distL="0" distR="0" wp14:anchorId="2762AC98" wp14:editId="0F840216">
            <wp:extent cx="6276975" cy="2714625"/>
            <wp:effectExtent l="0" t="0" r="9525" b="9525"/>
            <wp:docPr id="37" name="Chart 37"/>
            <wp:cNvGraphicFramePr/>
            <a:graphic xmlns:a="http://schemas.openxmlformats.org/drawingml/2006/main">
              <a:graphicData uri="http://schemas.openxmlformats.org/drawingml/2006/chart">
                <c:chart xmlns:c="http://schemas.openxmlformats.org/drawingml/2006/chart" xmlns:r="http://schemas.openxmlformats.org/officeDocument/2006/relationships" r:id="rId72"/>
              </a:graphicData>
            </a:graphic>
          </wp:inline>
        </w:drawing>
      </w:r>
    </w:p>
    <w:p w14:paraId="0B24C292" w14:textId="77777777" w:rsidR="006B15F5" w:rsidRPr="00C3014C" w:rsidRDefault="006B15F5" w:rsidP="006B15F5">
      <w:pPr>
        <w:pStyle w:val="BodyText1"/>
        <w:ind w:left="0"/>
      </w:pPr>
      <w:r>
        <w:t>2022-2025</w:t>
      </w:r>
      <w:r w:rsidRPr="00C3014C">
        <w:t>թթ</w:t>
      </w:r>
      <w:r w:rsidRPr="00357CEB">
        <w:rPr>
          <w:rFonts w:ascii="Cambria Math" w:hAnsi="Cambria Math" w:cs="Cambria Math"/>
        </w:rPr>
        <w:t>․</w:t>
      </w:r>
      <w:r w:rsidRPr="00C3014C">
        <w:t xml:space="preserve"> պետական բյուջեի ընդամենը ծախսերում գերակայել են սոցիալական բնույթի </w:t>
      </w:r>
      <w:r w:rsidRPr="00BC5AF0">
        <w:t xml:space="preserve">ծախսերը (կրթություն, սոցիալական պաշտպանություն, առողջապահություն և այլն) միջինում </w:t>
      </w:r>
      <w:r>
        <w:t>42.</w:t>
      </w:r>
      <w:r>
        <w:rPr>
          <w:lang w:val="hy-AM"/>
        </w:rPr>
        <w:t>4</w:t>
      </w:r>
      <w:r w:rsidRPr="00BC5AF0">
        <w:t xml:space="preserve">%, պաշտպանության, հասարակական կարգի, անվտանգության և դատական գործունեությանն՝ միջինում </w:t>
      </w:r>
      <w:r>
        <w:t>28.</w:t>
      </w:r>
      <w:r>
        <w:rPr>
          <w:lang w:val="hy-AM"/>
        </w:rPr>
        <w:t>0</w:t>
      </w:r>
      <w:r w:rsidRPr="00BC5AF0">
        <w:t xml:space="preserve">%, ընդհանուր բնույթի հանրային ծառայությունների` </w:t>
      </w:r>
      <w:r w:rsidRPr="00BC5AF0">
        <w:rPr>
          <w:lang w:val="hy-AM"/>
        </w:rPr>
        <w:t xml:space="preserve">միջինում </w:t>
      </w:r>
      <w:r>
        <w:t>21.</w:t>
      </w:r>
      <w:r>
        <w:rPr>
          <w:lang w:val="hy-AM"/>
        </w:rPr>
        <w:t>5</w:t>
      </w:r>
      <w:r w:rsidRPr="00BC5AF0">
        <w:t>%, տնտեսական ոլորտի՝ միջինում 8.1% ֆինանսավորումը։ Այս միտումը կշանունակվի նաև 202</w:t>
      </w:r>
      <w:r w:rsidRPr="00BC5AF0">
        <w:rPr>
          <w:lang w:val="hy-AM"/>
        </w:rPr>
        <w:t>6</w:t>
      </w:r>
      <w:r>
        <w:rPr>
          <w:lang w:val="hy-AM"/>
        </w:rPr>
        <w:t>-2028</w:t>
      </w:r>
      <w:r w:rsidRPr="00BC5AF0">
        <w:t xml:space="preserve"> թվական</w:t>
      </w:r>
      <w:r>
        <w:rPr>
          <w:lang w:val="hy-AM"/>
        </w:rPr>
        <w:t>ներ</w:t>
      </w:r>
      <w:r w:rsidRPr="00BC5AF0">
        <w:t>ին։</w:t>
      </w:r>
      <w:r w:rsidRPr="00C3014C">
        <w:t xml:space="preserve"> </w:t>
      </w:r>
    </w:p>
    <w:p w14:paraId="1C491975" w14:textId="77777777" w:rsidR="006B15F5" w:rsidRPr="00C3014C" w:rsidRDefault="006B15F5" w:rsidP="006B15F5">
      <w:pPr>
        <w:pStyle w:val="BodyText1"/>
        <w:ind w:left="0"/>
      </w:pPr>
      <w:r w:rsidRPr="00C3014C">
        <w:t>202</w:t>
      </w:r>
      <w:r>
        <w:rPr>
          <w:lang w:val="hy-AM"/>
        </w:rPr>
        <w:t>6</w:t>
      </w:r>
      <w:r w:rsidRPr="00C3014C">
        <w:t>թ. ընդհանուր բնույթի հանրային ծառայությունների ոլորտին և պահուստային ֆոնդերի</w:t>
      </w:r>
      <w:r>
        <w:rPr>
          <w:lang w:val="hy-AM"/>
        </w:rPr>
        <w:t>ն</w:t>
      </w:r>
      <w:r w:rsidRPr="00C3014C">
        <w:t xml:space="preserve"> ուղղվելիք միջոցները նախատեսվել են շուրջ </w:t>
      </w:r>
      <w:r>
        <w:t>7</w:t>
      </w:r>
      <w:r>
        <w:rPr>
          <w:lang w:val="hy-AM"/>
        </w:rPr>
        <w:t xml:space="preserve">5.0 </w:t>
      </w:r>
      <w:r w:rsidRPr="00C3014C">
        <w:t>մլ</w:t>
      </w:r>
      <w:r>
        <w:rPr>
          <w:lang w:val="hy-AM"/>
        </w:rPr>
        <w:t>րդ</w:t>
      </w:r>
      <w:r w:rsidRPr="00C3014C">
        <w:t>. դրամով ավել՝ համեմատած</w:t>
      </w:r>
      <w:r>
        <w:t xml:space="preserve"> 2025</w:t>
      </w:r>
      <w:r w:rsidRPr="00C3014C">
        <w:t xml:space="preserve"> թվականի հետ: 202</w:t>
      </w:r>
      <w:r>
        <w:rPr>
          <w:lang w:val="hy-AM"/>
        </w:rPr>
        <w:t>7</w:t>
      </w:r>
      <w:r w:rsidRPr="00C3014C">
        <w:t xml:space="preserve">թ. ընդհանուր բնույթի հանրային ծառայությունների և պահուստային ֆոնդերի ոլորտին ուղղվելիք միջոցները նախատեսվել են </w:t>
      </w:r>
      <w:r>
        <w:t>1</w:t>
      </w:r>
      <w:r>
        <w:rPr>
          <w:lang w:val="hy-AM"/>
        </w:rPr>
        <w:t>,</w:t>
      </w:r>
      <w:r>
        <w:t>037.</w:t>
      </w:r>
      <w:r>
        <w:rPr>
          <w:lang w:val="hy-AM"/>
        </w:rPr>
        <w:t>2</w:t>
      </w:r>
      <w:r>
        <w:t xml:space="preserve"> </w:t>
      </w:r>
      <w:r w:rsidRPr="00C3014C">
        <w:t>մլ</w:t>
      </w:r>
      <w:r>
        <w:rPr>
          <w:lang w:val="hy-AM"/>
        </w:rPr>
        <w:t>րդ դրամի չափով, իսկ 2028 թվականին՝ 1,13</w:t>
      </w:r>
      <w:r>
        <w:t>1</w:t>
      </w:r>
      <w:r>
        <w:rPr>
          <w:lang w:val="hy-AM"/>
        </w:rPr>
        <w:t>.</w:t>
      </w:r>
      <w:r>
        <w:t>8</w:t>
      </w:r>
      <w:r>
        <w:rPr>
          <w:lang w:val="hy-AM"/>
        </w:rPr>
        <w:t xml:space="preserve"> մլրդ դրամի չափով:</w:t>
      </w:r>
    </w:p>
    <w:p w14:paraId="3B625CBE" w14:textId="77777777" w:rsidR="006B15F5" w:rsidRDefault="006B15F5" w:rsidP="006B15F5">
      <w:pPr>
        <w:pStyle w:val="BodyText1"/>
        <w:ind w:left="0"/>
        <w:rPr>
          <w:b/>
          <w:lang w:val="hy-AM"/>
        </w:rPr>
      </w:pPr>
      <w:r>
        <w:t>2026</w:t>
      </w:r>
      <w:r>
        <w:rPr>
          <w:lang w:val="hy-AM"/>
        </w:rPr>
        <w:t>-2028</w:t>
      </w:r>
      <w:r w:rsidRPr="00C3014C">
        <w:t xml:space="preserve"> թվական</w:t>
      </w:r>
      <w:r>
        <w:rPr>
          <w:lang w:val="hy-AM"/>
        </w:rPr>
        <w:t>ներ</w:t>
      </w:r>
      <w:r w:rsidRPr="00C3014C">
        <w:t>ին, ինչպես և</w:t>
      </w:r>
      <w:r>
        <w:t xml:space="preserve"> 2025</w:t>
      </w:r>
      <w:r w:rsidRPr="00C3014C">
        <w:t xml:space="preserve"> թվականին, տնտեսության ճյուղերի պետական ֆինանսավորումը նպատակաուղղված է լինելու ենթակառուցվածքների, տնտեսության իրական հատվածի, բարձր տեխնոլոգիական արդյունաբերական, ինչպես նաև բնապահպանական բարձր չափանիշներին համապատասխանող՝ արտահանմանը միտված մրցունակ և ներառական տնտեսության կառուցմանն ուղղված ծրագրերի իրականացմանը։ 202</w:t>
      </w:r>
      <w:r>
        <w:rPr>
          <w:lang w:val="hy-AM"/>
        </w:rPr>
        <w:t>6-2028</w:t>
      </w:r>
      <w:r w:rsidRPr="00C3014C">
        <w:t xml:space="preserve"> թվական</w:t>
      </w:r>
      <w:r>
        <w:rPr>
          <w:lang w:val="hy-AM"/>
        </w:rPr>
        <w:t>ներ</w:t>
      </w:r>
      <w:r w:rsidRPr="00C3014C">
        <w:t>ին տնտեսության ոլորտի հատկացումներն ուղղվելու են ՀՀ կառավարության 2021-2026թթ. ծրագրով սահմանված տնտեսության մրցունակության և արտադրողականության աճի, տնտեսական հնարավորությունների ընդլայնման և դրանց հավասար հասանելիության ապահովմանը:</w:t>
      </w:r>
    </w:p>
    <w:p w14:paraId="478CCA8D" w14:textId="77777777" w:rsidR="006B15F5" w:rsidRPr="00C3014C" w:rsidRDefault="006B15F5" w:rsidP="006B15F5">
      <w:pPr>
        <w:pStyle w:val="a"/>
        <w:rPr>
          <w:lang w:eastAsia="ru-RU"/>
        </w:rPr>
      </w:pPr>
      <w:bookmarkStart w:id="425" w:name="_Toc184110774"/>
      <w:r w:rsidRPr="00C3014C">
        <w:t xml:space="preserve">Աղյուսակ </w:t>
      </w:r>
      <w:r>
        <w:t>14</w:t>
      </w:r>
      <w:r w:rsidRPr="00C3014C">
        <w:rPr>
          <w:rFonts w:ascii="Cambria Math" w:hAnsi="Cambria Math" w:cs="Cambria Math"/>
        </w:rPr>
        <w:t>․</w:t>
      </w:r>
      <w:r w:rsidRPr="00C3014C">
        <w:t xml:space="preserve"> Տնտեսական ոլորտի 202</w:t>
      </w:r>
      <w:r>
        <w:t>2</w:t>
      </w:r>
      <w:r w:rsidRPr="00C3014C">
        <w:t>-202</w:t>
      </w:r>
      <w:r>
        <w:t>8</w:t>
      </w:r>
      <w:r w:rsidRPr="00C3014C">
        <w:t>թթ</w:t>
      </w:r>
      <w:r w:rsidRPr="00C3014C">
        <w:rPr>
          <w:rFonts w:ascii="Cambria Math" w:hAnsi="Cambria Math" w:cs="Cambria Math"/>
        </w:rPr>
        <w:t>․</w:t>
      </w:r>
      <w:r w:rsidRPr="00C3014C">
        <w:t xml:space="preserve"> բյուջետային ծախսերը (մլրդ. դրամ)</w:t>
      </w:r>
      <w:bookmarkEnd w:id="425"/>
    </w:p>
    <w:tbl>
      <w:tblPr>
        <w:tblW w:w="5000" w:type="pct"/>
        <w:tblBorders>
          <w:top w:val="single" w:sz="8" w:space="0" w:color="E1E1E3" w:themeColor="accent3" w:themeTint="33"/>
          <w:left w:val="single" w:sz="8" w:space="0" w:color="E1E1E3" w:themeColor="accent3" w:themeTint="33"/>
          <w:bottom w:val="single" w:sz="8" w:space="0" w:color="E1E1E3" w:themeColor="accent3" w:themeTint="33"/>
          <w:right w:val="single" w:sz="8" w:space="0" w:color="E1E1E3" w:themeColor="accent3" w:themeTint="33"/>
          <w:insideH w:val="single" w:sz="8" w:space="0" w:color="E1E1E3" w:themeColor="accent3" w:themeTint="33"/>
          <w:insideV w:val="single" w:sz="8" w:space="0" w:color="E1E1E3" w:themeColor="accent3" w:themeTint="33"/>
        </w:tblBorders>
        <w:tblLook w:val="04A0" w:firstRow="1" w:lastRow="0" w:firstColumn="1" w:lastColumn="0" w:noHBand="0" w:noVBand="1"/>
      </w:tblPr>
      <w:tblGrid>
        <w:gridCol w:w="3786"/>
        <w:gridCol w:w="941"/>
        <w:gridCol w:w="943"/>
        <w:gridCol w:w="889"/>
        <w:gridCol w:w="943"/>
        <w:gridCol w:w="943"/>
        <w:gridCol w:w="943"/>
        <w:gridCol w:w="997"/>
      </w:tblGrid>
      <w:tr w:rsidR="006B15F5" w:rsidRPr="00941B19" w14:paraId="5AA022E5" w14:textId="77777777" w:rsidTr="00147C8B">
        <w:trPr>
          <w:trHeight w:val="317"/>
        </w:trPr>
        <w:tc>
          <w:tcPr>
            <w:tcW w:w="1823" w:type="pct"/>
            <w:vMerge w:val="restart"/>
            <w:shd w:val="clear" w:color="auto" w:fill="D5DCE4" w:themeFill="text2" w:themeFillTint="33"/>
            <w:vAlign w:val="center"/>
            <w:hideMark/>
          </w:tcPr>
          <w:p w14:paraId="7F4361C7" w14:textId="77777777" w:rsidR="006B15F5" w:rsidRPr="00941B19" w:rsidRDefault="006B15F5" w:rsidP="00147C8B">
            <w:pPr>
              <w:spacing w:before="0" w:after="0" w:line="240" w:lineRule="auto"/>
              <w:ind w:right="495"/>
              <w:rPr>
                <w:b/>
                <w:sz w:val="18"/>
                <w:szCs w:val="18"/>
                <w:lang w:val="ru-RU"/>
              </w:rPr>
            </w:pPr>
            <w:r w:rsidRPr="00941B19">
              <w:rPr>
                <w:b/>
                <w:sz w:val="18"/>
                <w:szCs w:val="18"/>
              </w:rPr>
              <w:t>Ցուցանիշներ</w:t>
            </w:r>
          </w:p>
        </w:tc>
        <w:tc>
          <w:tcPr>
            <w:tcW w:w="1335" w:type="pct"/>
            <w:gridSpan w:val="3"/>
            <w:shd w:val="clear" w:color="auto" w:fill="D5DCE4" w:themeFill="text2" w:themeFillTint="33"/>
            <w:vAlign w:val="center"/>
            <w:hideMark/>
          </w:tcPr>
          <w:p w14:paraId="570B1856" w14:textId="77777777" w:rsidR="006B15F5" w:rsidRPr="00941B19" w:rsidRDefault="006B15F5" w:rsidP="00147C8B">
            <w:pPr>
              <w:spacing w:before="0" w:after="0" w:line="240" w:lineRule="auto"/>
              <w:jc w:val="center"/>
              <w:rPr>
                <w:b/>
                <w:sz w:val="18"/>
                <w:szCs w:val="18"/>
              </w:rPr>
            </w:pPr>
            <w:r w:rsidRPr="003170C3">
              <w:rPr>
                <w:b/>
                <w:sz w:val="18"/>
                <w:szCs w:val="18"/>
              </w:rPr>
              <w:t>Փաստ</w:t>
            </w:r>
          </w:p>
        </w:tc>
        <w:tc>
          <w:tcPr>
            <w:tcW w:w="454" w:type="pct"/>
            <w:shd w:val="clear" w:color="auto" w:fill="D5DCE4" w:themeFill="text2" w:themeFillTint="33"/>
            <w:vAlign w:val="center"/>
            <w:hideMark/>
          </w:tcPr>
          <w:p w14:paraId="5FB17D9F" w14:textId="77777777" w:rsidR="006B15F5" w:rsidRPr="00941B19" w:rsidRDefault="006B15F5" w:rsidP="00147C8B">
            <w:pPr>
              <w:spacing w:before="0" w:after="0" w:line="240" w:lineRule="auto"/>
              <w:jc w:val="center"/>
              <w:rPr>
                <w:b/>
                <w:sz w:val="18"/>
                <w:szCs w:val="18"/>
                <w:lang w:val="hy-AM"/>
              </w:rPr>
            </w:pPr>
            <w:r w:rsidRPr="003170C3">
              <w:rPr>
                <w:b/>
                <w:sz w:val="18"/>
                <w:szCs w:val="18"/>
              </w:rPr>
              <w:t>Բյուջե</w:t>
            </w:r>
          </w:p>
        </w:tc>
        <w:tc>
          <w:tcPr>
            <w:tcW w:w="1388" w:type="pct"/>
            <w:gridSpan w:val="3"/>
            <w:shd w:val="clear" w:color="auto" w:fill="D5DCE4" w:themeFill="text2" w:themeFillTint="33"/>
            <w:vAlign w:val="center"/>
          </w:tcPr>
          <w:p w14:paraId="372D298F" w14:textId="77777777" w:rsidR="006B15F5" w:rsidRPr="00941B19" w:rsidRDefault="006B15F5" w:rsidP="00147C8B">
            <w:pPr>
              <w:spacing w:before="0" w:after="0" w:line="240" w:lineRule="auto"/>
              <w:jc w:val="center"/>
              <w:rPr>
                <w:b/>
                <w:sz w:val="18"/>
                <w:szCs w:val="18"/>
              </w:rPr>
            </w:pPr>
            <w:r w:rsidRPr="003170C3">
              <w:rPr>
                <w:b/>
                <w:sz w:val="18"/>
                <w:szCs w:val="18"/>
                <w:lang w:val="hy-AM"/>
              </w:rPr>
              <w:t>Ծ</w:t>
            </w:r>
            <w:r w:rsidRPr="003170C3">
              <w:rPr>
                <w:b/>
                <w:sz w:val="18"/>
                <w:szCs w:val="18"/>
              </w:rPr>
              <w:t>րագիր</w:t>
            </w:r>
          </w:p>
        </w:tc>
      </w:tr>
      <w:tr w:rsidR="006B15F5" w:rsidRPr="00941B19" w14:paraId="10686BCC" w14:textId="77777777" w:rsidTr="00147C8B">
        <w:trPr>
          <w:trHeight w:val="317"/>
        </w:trPr>
        <w:tc>
          <w:tcPr>
            <w:tcW w:w="1823" w:type="pct"/>
            <w:vMerge/>
            <w:shd w:val="clear" w:color="auto" w:fill="D5DCE4" w:themeFill="text2" w:themeFillTint="33"/>
            <w:vAlign w:val="center"/>
            <w:hideMark/>
          </w:tcPr>
          <w:p w14:paraId="4C67A420" w14:textId="77777777" w:rsidR="006B15F5" w:rsidRPr="00941B19" w:rsidRDefault="006B15F5" w:rsidP="00147C8B">
            <w:pPr>
              <w:spacing w:before="0" w:after="0" w:line="240" w:lineRule="auto"/>
              <w:ind w:right="495"/>
              <w:rPr>
                <w:b/>
                <w:sz w:val="18"/>
                <w:szCs w:val="18"/>
                <w:lang w:val="ru-RU" w:eastAsia="ru-RU"/>
              </w:rPr>
            </w:pPr>
          </w:p>
        </w:tc>
        <w:tc>
          <w:tcPr>
            <w:tcW w:w="453" w:type="pct"/>
            <w:shd w:val="clear" w:color="auto" w:fill="D5DCE4" w:themeFill="text2" w:themeFillTint="33"/>
            <w:vAlign w:val="center"/>
            <w:hideMark/>
          </w:tcPr>
          <w:p w14:paraId="3F103FE9" w14:textId="77777777" w:rsidR="006B15F5" w:rsidRPr="00941B19" w:rsidRDefault="006B15F5" w:rsidP="00147C8B">
            <w:pPr>
              <w:spacing w:before="0" w:after="0" w:line="240" w:lineRule="auto"/>
              <w:jc w:val="center"/>
              <w:rPr>
                <w:b/>
                <w:sz w:val="18"/>
                <w:szCs w:val="18"/>
                <w:lang w:val="ru-RU"/>
              </w:rPr>
            </w:pPr>
            <w:r>
              <w:rPr>
                <w:b/>
                <w:sz w:val="18"/>
                <w:szCs w:val="18"/>
              </w:rPr>
              <w:t>2022</w:t>
            </w:r>
          </w:p>
        </w:tc>
        <w:tc>
          <w:tcPr>
            <w:tcW w:w="454" w:type="pct"/>
            <w:shd w:val="clear" w:color="auto" w:fill="D5DCE4" w:themeFill="text2" w:themeFillTint="33"/>
            <w:vAlign w:val="center"/>
            <w:hideMark/>
          </w:tcPr>
          <w:p w14:paraId="6D7090C7" w14:textId="77777777" w:rsidR="006B15F5" w:rsidRPr="00941B19" w:rsidRDefault="006B15F5" w:rsidP="00147C8B">
            <w:pPr>
              <w:spacing w:before="0" w:after="0" w:line="240" w:lineRule="auto"/>
              <w:jc w:val="center"/>
              <w:rPr>
                <w:b/>
                <w:sz w:val="18"/>
                <w:szCs w:val="18"/>
              </w:rPr>
            </w:pPr>
            <w:r>
              <w:rPr>
                <w:b/>
                <w:sz w:val="18"/>
                <w:szCs w:val="18"/>
              </w:rPr>
              <w:t>2023</w:t>
            </w:r>
          </w:p>
        </w:tc>
        <w:tc>
          <w:tcPr>
            <w:tcW w:w="428" w:type="pct"/>
            <w:shd w:val="clear" w:color="auto" w:fill="D5DCE4" w:themeFill="text2" w:themeFillTint="33"/>
            <w:vAlign w:val="center"/>
            <w:hideMark/>
          </w:tcPr>
          <w:p w14:paraId="126F18E8" w14:textId="77777777" w:rsidR="006B15F5" w:rsidRPr="00941B19" w:rsidRDefault="006B15F5" w:rsidP="00147C8B">
            <w:pPr>
              <w:spacing w:before="0" w:after="0" w:line="240" w:lineRule="auto"/>
              <w:jc w:val="center"/>
              <w:rPr>
                <w:b/>
                <w:sz w:val="18"/>
                <w:szCs w:val="18"/>
                <w:lang w:val="hy-AM"/>
              </w:rPr>
            </w:pPr>
            <w:r>
              <w:rPr>
                <w:b/>
                <w:sz w:val="18"/>
                <w:szCs w:val="18"/>
              </w:rPr>
              <w:t>2024</w:t>
            </w:r>
          </w:p>
        </w:tc>
        <w:tc>
          <w:tcPr>
            <w:tcW w:w="454" w:type="pct"/>
            <w:shd w:val="clear" w:color="auto" w:fill="D5DCE4" w:themeFill="text2" w:themeFillTint="33"/>
            <w:vAlign w:val="center"/>
            <w:hideMark/>
          </w:tcPr>
          <w:p w14:paraId="4B1B4470" w14:textId="77777777" w:rsidR="006B15F5" w:rsidRPr="00941B19" w:rsidRDefault="006B15F5" w:rsidP="00147C8B">
            <w:pPr>
              <w:spacing w:before="0" w:after="0" w:line="240" w:lineRule="auto"/>
              <w:jc w:val="center"/>
              <w:rPr>
                <w:b/>
                <w:sz w:val="18"/>
                <w:szCs w:val="18"/>
              </w:rPr>
            </w:pPr>
            <w:r>
              <w:rPr>
                <w:b/>
                <w:sz w:val="18"/>
                <w:szCs w:val="18"/>
              </w:rPr>
              <w:t>2025</w:t>
            </w:r>
          </w:p>
        </w:tc>
        <w:tc>
          <w:tcPr>
            <w:tcW w:w="454" w:type="pct"/>
            <w:shd w:val="clear" w:color="auto" w:fill="D5DCE4" w:themeFill="text2" w:themeFillTint="33"/>
            <w:vAlign w:val="center"/>
          </w:tcPr>
          <w:p w14:paraId="701D5374" w14:textId="77777777" w:rsidR="006B15F5" w:rsidRPr="009F442D" w:rsidRDefault="006B15F5" w:rsidP="00147C8B">
            <w:pPr>
              <w:spacing w:before="0" w:after="0" w:line="240" w:lineRule="auto"/>
              <w:jc w:val="center"/>
              <w:rPr>
                <w:b/>
                <w:sz w:val="18"/>
                <w:szCs w:val="18"/>
                <w:lang w:val="hy-AM"/>
              </w:rPr>
            </w:pPr>
            <w:r>
              <w:rPr>
                <w:b/>
                <w:sz w:val="18"/>
                <w:szCs w:val="18"/>
              </w:rPr>
              <w:t>2026</w:t>
            </w:r>
          </w:p>
        </w:tc>
        <w:tc>
          <w:tcPr>
            <w:tcW w:w="454" w:type="pct"/>
            <w:shd w:val="clear" w:color="auto" w:fill="D5DCE4" w:themeFill="text2" w:themeFillTint="33"/>
            <w:vAlign w:val="center"/>
          </w:tcPr>
          <w:p w14:paraId="30177005" w14:textId="77777777" w:rsidR="006B15F5" w:rsidRDefault="006B15F5" w:rsidP="00147C8B">
            <w:pPr>
              <w:spacing w:before="0" w:after="0" w:line="240" w:lineRule="auto"/>
              <w:jc w:val="center"/>
              <w:rPr>
                <w:b/>
                <w:sz w:val="18"/>
                <w:szCs w:val="18"/>
              </w:rPr>
            </w:pPr>
            <w:r>
              <w:rPr>
                <w:b/>
                <w:sz w:val="18"/>
                <w:szCs w:val="18"/>
              </w:rPr>
              <w:t>2027</w:t>
            </w:r>
          </w:p>
        </w:tc>
        <w:tc>
          <w:tcPr>
            <w:tcW w:w="480" w:type="pct"/>
            <w:shd w:val="clear" w:color="auto" w:fill="D5DCE4" w:themeFill="text2" w:themeFillTint="33"/>
            <w:vAlign w:val="center"/>
            <w:hideMark/>
          </w:tcPr>
          <w:p w14:paraId="0E31326E" w14:textId="77777777" w:rsidR="006B15F5" w:rsidRPr="00941B19" w:rsidRDefault="006B15F5" w:rsidP="00147C8B">
            <w:pPr>
              <w:spacing w:before="0" w:after="0" w:line="240" w:lineRule="auto"/>
              <w:jc w:val="center"/>
              <w:rPr>
                <w:b/>
                <w:sz w:val="18"/>
                <w:szCs w:val="18"/>
              </w:rPr>
            </w:pPr>
            <w:r>
              <w:rPr>
                <w:b/>
                <w:sz w:val="18"/>
                <w:szCs w:val="18"/>
              </w:rPr>
              <w:t>2028</w:t>
            </w:r>
          </w:p>
        </w:tc>
      </w:tr>
      <w:tr w:rsidR="006B15F5" w:rsidRPr="00941B19" w14:paraId="535730D7" w14:textId="77777777" w:rsidTr="00147C8B">
        <w:trPr>
          <w:trHeight w:val="317"/>
        </w:trPr>
        <w:tc>
          <w:tcPr>
            <w:tcW w:w="1823" w:type="pct"/>
            <w:shd w:val="clear" w:color="auto" w:fill="auto"/>
            <w:vAlign w:val="center"/>
            <w:hideMark/>
          </w:tcPr>
          <w:p w14:paraId="10FC2FAD" w14:textId="77777777" w:rsidR="006B15F5" w:rsidRPr="00941B19" w:rsidRDefault="006B15F5" w:rsidP="00147C8B">
            <w:pPr>
              <w:spacing w:before="0" w:after="0" w:line="240" w:lineRule="auto"/>
              <w:ind w:right="495"/>
              <w:rPr>
                <w:sz w:val="18"/>
                <w:szCs w:val="18"/>
                <w:lang w:val="ru-RU"/>
              </w:rPr>
            </w:pPr>
            <w:r w:rsidRPr="00941B19">
              <w:rPr>
                <w:sz w:val="18"/>
                <w:szCs w:val="18"/>
              </w:rPr>
              <w:t>Տնտեսական ոլորտ ընդամենը</w:t>
            </w:r>
          </w:p>
        </w:tc>
        <w:tc>
          <w:tcPr>
            <w:tcW w:w="453" w:type="pct"/>
            <w:shd w:val="clear" w:color="auto" w:fill="auto"/>
            <w:vAlign w:val="center"/>
          </w:tcPr>
          <w:p w14:paraId="35BDCD06" w14:textId="77777777" w:rsidR="006B15F5" w:rsidRPr="00941B19" w:rsidRDefault="006B15F5" w:rsidP="00147C8B">
            <w:pPr>
              <w:spacing w:before="0" w:after="0" w:line="240" w:lineRule="auto"/>
              <w:jc w:val="center"/>
              <w:rPr>
                <w:sz w:val="18"/>
                <w:szCs w:val="18"/>
              </w:rPr>
            </w:pPr>
            <w:r>
              <w:rPr>
                <w:rFonts w:ascii="GHEA Grapalat" w:hAnsi="GHEA Grapalat" w:cs="Calibri"/>
                <w:color w:val="404040"/>
                <w:sz w:val="18"/>
                <w:szCs w:val="18"/>
              </w:rPr>
              <w:t>192.1</w:t>
            </w:r>
          </w:p>
        </w:tc>
        <w:tc>
          <w:tcPr>
            <w:tcW w:w="454" w:type="pct"/>
            <w:shd w:val="clear" w:color="auto" w:fill="auto"/>
            <w:vAlign w:val="center"/>
          </w:tcPr>
          <w:p w14:paraId="4D6F3C77" w14:textId="77777777" w:rsidR="006B15F5" w:rsidRPr="00941B19" w:rsidRDefault="006B15F5" w:rsidP="00147C8B">
            <w:pPr>
              <w:spacing w:before="0" w:after="0" w:line="240" w:lineRule="auto"/>
              <w:jc w:val="center"/>
              <w:rPr>
                <w:sz w:val="18"/>
                <w:szCs w:val="18"/>
              </w:rPr>
            </w:pPr>
            <w:r>
              <w:rPr>
                <w:rFonts w:ascii="GHEA Grapalat" w:hAnsi="GHEA Grapalat" w:cs="Calibri"/>
                <w:color w:val="404040"/>
                <w:sz w:val="18"/>
                <w:szCs w:val="18"/>
              </w:rPr>
              <w:t>217.8</w:t>
            </w:r>
          </w:p>
        </w:tc>
        <w:tc>
          <w:tcPr>
            <w:tcW w:w="428" w:type="pct"/>
            <w:shd w:val="clear" w:color="auto" w:fill="auto"/>
            <w:vAlign w:val="center"/>
          </w:tcPr>
          <w:p w14:paraId="3F6F808A" w14:textId="77777777" w:rsidR="006B15F5" w:rsidRPr="00941B19" w:rsidRDefault="006B15F5" w:rsidP="00147C8B">
            <w:pPr>
              <w:spacing w:before="0" w:after="0" w:line="240" w:lineRule="auto"/>
              <w:jc w:val="center"/>
              <w:rPr>
                <w:sz w:val="18"/>
                <w:szCs w:val="18"/>
              </w:rPr>
            </w:pPr>
            <w:r>
              <w:rPr>
                <w:rFonts w:ascii="GHEA Grapalat" w:hAnsi="GHEA Grapalat" w:cs="Calibri"/>
                <w:color w:val="404040"/>
                <w:sz w:val="18"/>
                <w:szCs w:val="18"/>
              </w:rPr>
              <w:t>228.9</w:t>
            </w:r>
          </w:p>
        </w:tc>
        <w:tc>
          <w:tcPr>
            <w:tcW w:w="454" w:type="pct"/>
            <w:shd w:val="clear" w:color="auto" w:fill="auto"/>
            <w:vAlign w:val="center"/>
          </w:tcPr>
          <w:p w14:paraId="33A309C5" w14:textId="77777777" w:rsidR="006B15F5" w:rsidRPr="00941B19" w:rsidRDefault="006B15F5" w:rsidP="00147C8B">
            <w:pPr>
              <w:spacing w:before="0" w:after="0" w:line="240" w:lineRule="auto"/>
              <w:jc w:val="center"/>
              <w:rPr>
                <w:sz w:val="18"/>
                <w:szCs w:val="18"/>
              </w:rPr>
            </w:pPr>
            <w:r>
              <w:rPr>
                <w:rFonts w:ascii="GHEA Grapalat" w:hAnsi="GHEA Grapalat" w:cs="Calibri"/>
                <w:color w:val="404040"/>
                <w:sz w:val="18"/>
                <w:szCs w:val="18"/>
              </w:rPr>
              <w:t>262.5</w:t>
            </w:r>
          </w:p>
        </w:tc>
        <w:tc>
          <w:tcPr>
            <w:tcW w:w="454" w:type="pct"/>
            <w:vAlign w:val="center"/>
          </w:tcPr>
          <w:p w14:paraId="10BAAA07" w14:textId="77777777" w:rsidR="006B15F5" w:rsidRDefault="006B15F5" w:rsidP="00147C8B">
            <w:pPr>
              <w:spacing w:before="0" w:after="0" w:line="240" w:lineRule="auto"/>
              <w:jc w:val="center"/>
              <w:rPr>
                <w:rFonts w:ascii="GHEA Grapalat" w:hAnsi="GHEA Grapalat" w:cs="Calibri"/>
                <w:color w:val="404040"/>
                <w:sz w:val="18"/>
                <w:szCs w:val="18"/>
              </w:rPr>
            </w:pPr>
            <w:r>
              <w:rPr>
                <w:rFonts w:ascii="GHEA Grapalat" w:hAnsi="GHEA Grapalat" w:cs="Calibri"/>
                <w:color w:val="404040"/>
                <w:sz w:val="18"/>
                <w:szCs w:val="18"/>
              </w:rPr>
              <w:t>285.5</w:t>
            </w:r>
          </w:p>
        </w:tc>
        <w:tc>
          <w:tcPr>
            <w:tcW w:w="454" w:type="pct"/>
            <w:vAlign w:val="center"/>
          </w:tcPr>
          <w:p w14:paraId="641991C0" w14:textId="77777777" w:rsidR="006B15F5" w:rsidRDefault="006B15F5" w:rsidP="00147C8B">
            <w:pPr>
              <w:spacing w:before="0" w:after="0" w:line="240" w:lineRule="auto"/>
              <w:jc w:val="center"/>
              <w:rPr>
                <w:rFonts w:ascii="GHEA Grapalat" w:hAnsi="GHEA Grapalat" w:cs="Calibri"/>
                <w:color w:val="404040"/>
                <w:sz w:val="18"/>
                <w:szCs w:val="18"/>
              </w:rPr>
            </w:pPr>
            <w:r>
              <w:rPr>
                <w:rFonts w:ascii="GHEA Grapalat" w:hAnsi="GHEA Grapalat" w:cs="Calibri"/>
                <w:color w:val="404040"/>
                <w:sz w:val="18"/>
                <w:szCs w:val="18"/>
              </w:rPr>
              <w:t>277.4</w:t>
            </w:r>
          </w:p>
        </w:tc>
        <w:tc>
          <w:tcPr>
            <w:tcW w:w="480" w:type="pct"/>
            <w:vAlign w:val="center"/>
          </w:tcPr>
          <w:p w14:paraId="43F97054" w14:textId="77777777" w:rsidR="006B15F5" w:rsidRPr="00941B19" w:rsidRDefault="006B15F5" w:rsidP="00147C8B">
            <w:pPr>
              <w:spacing w:before="0" w:after="0" w:line="240" w:lineRule="auto"/>
              <w:jc w:val="center"/>
              <w:rPr>
                <w:sz w:val="18"/>
                <w:szCs w:val="18"/>
              </w:rPr>
            </w:pPr>
            <w:r>
              <w:rPr>
                <w:rFonts w:ascii="GHEA Grapalat" w:hAnsi="GHEA Grapalat" w:cs="Calibri"/>
                <w:color w:val="404040"/>
                <w:sz w:val="18"/>
                <w:szCs w:val="18"/>
              </w:rPr>
              <w:t>313.7</w:t>
            </w:r>
          </w:p>
        </w:tc>
      </w:tr>
      <w:tr w:rsidR="006B15F5" w:rsidRPr="00941B19" w14:paraId="56EBE1B3" w14:textId="77777777" w:rsidTr="00147C8B">
        <w:trPr>
          <w:trHeight w:val="317"/>
        </w:trPr>
        <w:tc>
          <w:tcPr>
            <w:tcW w:w="1823" w:type="pct"/>
            <w:shd w:val="clear" w:color="auto" w:fill="auto"/>
            <w:vAlign w:val="center"/>
            <w:hideMark/>
          </w:tcPr>
          <w:p w14:paraId="52F97847" w14:textId="77777777" w:rsidR="006B15F5" w:rsidRPr="003F2203" w:rsidRDefault="006B15F5" w:rsidP="00147C8B">
            <w:pPr>
              <w:spacing w:before="0" w:after="0" w:line="240" w:lineRule="auto"/>
              <w:ind w:right="495"/>
              <w:rPr>
                <w:color w:val="A6A6A6" w:themeColor="background1" w:themeShade="A6"/>
                <w:sz w:val="18"/>
                <w:szCs w:val="18"/>
              </w:rPr>
            </w:pPr>
            <w:r w:rsidRPr="003F2203">
              <w:rPr>
                <w:color w:val="A6A6A6" w:themeColor="background1" w:themeShade="A6"/>
                <w:sz w:val="18"/>
                <w:szCs w:val="18"/>
              </w:rPr>
              <w:t>ՀՆԱ-ի նկատմամբ (%)</w:t>
            </w:r>
          </w:p>
        </w:tc>
        <w:tc>
          <w:tcPr>
            <w:tcW w:w="453" w:type="pct"/>
            <w:shd w:val="clear" w:color="auto" w:fill="auto"/>
            <w:vAlign w:val="center"/>
          </w:tcPr>
          <w:p w14:paraId="47882345" w14:textId="77777777" w:rsidR="006B15F5" w:rsidRPr="003F2203" w:rsidRDefault="006B15F5" w:rsidP="00147C8B">
            <w:pPr>
              <w:spacing w:before="0" w:after="0" w:line="240" w:lineRule="auto"/>
              <w:jc w:val="center"/>
              <w:rPr>
                <w:color w:val="A6A6A6" w:themeColor="background1" w:themeShade="A6"/>
                <w:sz w:val="18"/>
                <w:szCs w:val="18"/>
              </w:rPr>
            </w:pPr>
            <w:r>
              <w:rPr>
                <w:rFonts w:ascii="GHEA Grapalat" w:hAnsi="GHEA Grapalat" w:cs="Calibri"/>
                <w:color w:val="A6A6A6"/>
                <w:sz w:val="18"/>
                <w:szCs w:val="18"/>
              </w:rPr>
              <w:t>2.3%</w:t>
            </w:r>
          </w:p>
        </w:tc>
        <w:tc>
          <w:tcPr>
            <w:tcW w:w="454" w:type="pct"/>
            <w:shd w:val="clear" w:color="auto" w:fill="auto"/>
            <w:vAlign w:val="center"/>
          </w:tcPr>
          <w:p w14:paraId="4CBDE1FC" w14:textId="77777777" w:rsidR="006B15F5" w:rsidRPr="003F2203" w:rsidRDefault="006B15F5" w:rsidP="00147C8B">
            <w:pPr>
              <w:spacing w:before="0" w:after="0" w:line="240" w:lineRule="auto"/>
              <w:jc w:val="center"/>
              <w:rPr>
                <w:color w:val="A6A6A6" w:themeColor="background1" w:themeShade="A6"/>
                <w:sz w:val="18"/>
                <w:szCs w:val="18"/>
                <w:lang w:val="ru-RU"/>
              </w:rPr>
            </w:pPr>
            <w:r>
              <w:rPr>
                <w:rFonts w:ascii="GHEA Grapalat" w:hAnsi="GHEA Grapalat" w:cs="Calibri"/>
                <w:color w:val="A6A6A6"/>
                <w:sz w:val="18"/>
                <w:szCs w:val="18"/>
              </w:rPr>
              <w:t>2.3%</w:t>
            </w:r>
          </w:p>
        </w:tc>
        <w:tc>
          <w:tcPr>
            <w:tcW w:w="428" w:type="pct"/>
            <w:shd w:val="clear" w:color="auto" w:fill="auto"/>
            <w:vAlign w:val="center"/>
          </w:tcPr>
          <w:p w14:paraId="2B936B2C" w14:textId="77777777" w:rsidR="006B15F5" w:rsidRPr="003F2203" w:rsidRDefault="006B15F5" w:rsidP="00147C8B">
            <w:pPr>
              <w:spacing w:before="0" w:after="0" w:line="240" w:lineRule="auto"/>
              <w:jc w:val="center"/>
              <w:rPr>
                <w:color w:val="A6A6A6" w:themeColor="background1" w:themeShade="A6"/>
                <w:sz w:val="18"/>
                <w:szCs w:val="18"/>
              </w:rPr>
            </w:pPr>
            <w:r>
              <w:rPr>
                <w:rFonts w:ascii="GHEA Grapalat" w:hAnsi="GHEA Grapalat" w:cs="Calibri"/>
                <w:color w:val="A6A6A6"/>
                <w:sz w:val="18"/>
                <w:szCs w:val="18"/>
              </w:rPr>
              <w:t>2.2%</w:t>
            </w:r>
          </w:p>
        </w:tc>
        <w:tc>
          <w:tcPr>
            <w:tcW w:w="454" w:type="pct"/>
            <w:shd w:val="clear" w:color="auto" w:fill="auto"/>
            <w:vAlign w:val="center"/>
          </w:tcPr>
          <w:p w14:paraId="51833CAB" w14:textId="77777777" w:rsidR="006B15F5" w:rsidRPr="003F2203" w:rsidRDefault="006B15F5" w:rsidP="00147C8B">
            <w:pPr>
              <w:spacing w:before="0" w:after="0" w:line="240" w:lineRule="auto"/>
              <w:jc w:val="center"/>
              <w:rPr>
                <w:color w:val="A6A6A6" w:themeColor="background1" w:themeShade="A6"/>
                <w:sz w:val="18"/>
                <w:szCs w:val="18"/>
                <w:lang w:val="ru-RU"/>
              </w:rPr>
            </w:pPr>
            <w:r>
              <w:rPr>
                <w:rFonts w:ascii="GHEA Grapalat" w:hAnsi="GHEA Grapalat" w:cs="Calibri"/>
                <w:color w:val="A6A6A6"/>
                <w:sz w:val="18"/>
                <w:szCs w:val="18"/>
              </w:rPr>
              <w:t>2.4%</w:t>
            </w:r>
          </w:p>
        </w:tc>
        <w:tc>
          <w:tcPr>
            <w:tcW w:w="454" w:type="pct"/>
            <w:vAlign w:val="center"/>
          </w:tcPr>
          <w:p w14:paraId="32BB431D" w14:textId="77777777" w:rsidR="006B15F5" w:rsidRDefault="006B15F5" w:rsidP="00147C8B">
            <w:pPr>
              <w:spacing w:before="0" w:after="0" w:line="240" w:lineRule="auto"/>
              <w:jc w:val="center"/>
              <w:rPr>
                <w:rFonts w:ascii="GHEA Grapalat" w:hAnsi="GHEA Grapalat" w:cs="Calibri"/>
                <w:color w:val="A6A6A6"/>
                <w:sz w:val="18"/>
                <w:szCs w:val="18"/>
              </w:rPr>
            </w:pPr>
            <w:r>
              <w:rPr>
                <w:rFonts w:ascii="GHEA Grapalat" w:hAnsi="GHEA Grapalat" w:cs="Calibri"/>
                <w:color w:val="A6A6A6"/>
                <w:sz w:val="18"/>
                <w:szCs w:val="18"/>
              </w:rPr>
              <w:t>2.4%</w:t>
            </w:r>
          </w:p>
        </w:tc>
        <w:tc>
          <w:tcPr>
            <w:tcW w:w="454" w:type="pct"/>
            <w:vAlign w:val="center"/>
          </w:tcPr>
          <w:p w14:paraId="550A84F4" w14:textId="77777777" w:rsidR="006B15F5" w:rsidRDefault="006B15F5" w:rsidP="00147C8B">
            <w:pPr>
              <w:spacing w:before="0" w:after="0" w:line="240" w:lineRule="auto"/>
              <w:jc w:val="center"/>
              <w:rPr>
                <w:rFonts w:ascii="GHEA Grapalat" w:hAnsi="GHEA Grapalat" w:cs="Calibri"/>
                <w:color w:val="A6A6A6"/>
                <w:sz w:val="18"/>
                <w:szCs w:val="18"/>
              </w:rPr>
            </w:pPr>
            <w:r>
              <w:rPr>
                <w:rFonts w:ascii="GHEA Grapalat" w:hAnsi="GHEA Grapalat" w:cs="Calibri"/>
                <w:color w:val="A6A6A6"/>
                <w:sz w:val="18"/>
                <w:szCs w:val="18"/>
              </w:rPr>
              <w:t>2.1%</w:t>
            </w:r>
          </w:p>
        </w:tc>
        <w:tc>
          <w:tcPr>
            <w:tcW w:w="480" w:type="pct"/>
            <w:vAlign w:val="center"/>
          </w:tcPr>
          <w:p w14:paraId="0F9B612E" w14:textId="77777777" w:rsidR="006B15F5" w:rsidRPr="003F2203" w:rsidRDefault="006B15F5" w:rsidP="00147C8B">
            <w:pPr>
              <w:spacing w:before="0" w:after="0" w:line="240" w:lineRule="auto"/>
              <w:jc w:val="center"/>
              <w:rPr>
                <w:color w:val="A6A6A6" w:themeColor="background1" w:themeShade="A6"/>
                <w:sz w:val="18"/>
                <w:szCs w:val="18"/>
              </w:rPr>
            </w:pPr>
            <w:r>
              <w:rPr>
                <w:rFonts w:ascii="GHEA Grapalat" w:hAnsi="GHEA Grapalat" w:cs="Calibri"/>
                <w:color w:val="A6A6A6"/>
                <w:sz w:val="18"/>
                <w:szCs w:val="18"/>
              </w:rPr>
              <w:t>2.2%</w:t>
            </w:r>
          </w:p>
        </w:tc>
      </w:tr>
      <w:tr w:rsidR="006B15F5" w:rsidRPr="00941B19" w14:paraId="474C5082" w14:textId="77777777" w:rsidTr="00147C8B">
        <w:trPr>
          <w:trHeight w:val="317"/>
        </w:trPr>
        <w:tc>
          <w:tcPr>
            <w:tcW w:w="1823" w:type="pct"/>
            <w:shd w:val="clear" w:color="auto" w:fill="auto"/>
            <w:vAlign w:val="center"/>
            <w:hideMark/>
          </w:tcPr>
          <w:p w14:paraId="323E6E83" w14:textId="77777777" w:rsidR="006B15F5" w:rsidRPr="003F2203" w:rsidRDefault="006B15F5" w:rsidP="00147C8B">
            <w:pPr>
              <w:spacing w:before="0" w:after="0" w:line="240" w:lineRule="auto"/>
              <w:ind w:right="495"/>
              <w:rPr>
                <w:color w:val="A6A6A6" w:themeColor="background1" w:themeShade="A6"/>
                <w:sz w:val="18"/>
                <w:szCs w:val="18"/>
              </w:rPr>
            </w:pPr>
            <w:r w:rsidRPr="003F2203">
              <w:rPr>
                <w:color w:val="A6A6A6" w:themeColor="background1" w:themeShade="A6"/>
                <w:sz w:val="18"/>
                <w:szCs w:val="18"/>
              </w:rPr>
              <w:t>Ընդհանուր ծախսերում (%)</w:t>
            </w:r>
          </w:p>
        </w:tc>
        <w:tc>
          <w:tcPr>
            <w:tcW w:w="453" w:type="pct"/>
            <w:shd w:val="clear" w:color="auto" w:fill="auto"/>
            <w:vAlign w:val="center"/>
          </w:tcPr>
          <w:p w14:paraId="2022734E" w14:textId="77777777" w:rsidR="006B15F5" w:rsidRPr="003F2203" w:rsidRDefault="006B15F5" w:rsidP="00147C8B">
            <w:pPr>
              <w:spacing w:before="0" w:after="0" w:line="240" w:lineRule="auto"/>
              <w:jc w:val="center"/>
              <w:rPr>
                <w:color w:val="A6A6A6" w:themeColor="background1" w:themeShade="A6"/>
                <w:sz w:val="18"/>
                <w:szCs w:val="18"/>
              </w:rPr>
            </w:pPr>
            <w:r>
              <w:rPr>
                <w:rFonts w:ascii="GHEA Grapalat" w:hAnsi="GHEA Grapalat" w:cs="Calibri"/>
                <w:color w:val="A6A6A6"/>
                <w:sz w:val="18"/>
                <w:szCs w:val="18"/>
              </w:rPr>
              <w:t>8.6%</w:t>
            </w:r>
          </w:p>
        </w:tc>
        <w:tc>
          <w:tcPr>
            <w:tcW w:w="454" w:type="pct"/>
            <w:shd w:val="clear" w:color="auto" w:fill="auto"/>
            <w:vAlign w:val="center"/>
          </w:tcPr>
          <w:p w14:paraId="64AE3766" w14:textId="77777777" w:rsidR="006B15F5" w:rsidRPr="003F2203" w:rsidRDefault="006B15F5" w:rsidP="00147C8B">
            <w:pPr>
              <w:spacing w:before="0" w:after="0" w:line="240" w:lineRule="auto"/>
              <w:jc w:val="center"/>
              <w:rPr>
                <w:color w:val="A6A6A6" w:themeColor="background1" w:themeShade="A6"/>
                <w:sz w:val="18"/>
                <w:szCs w:val="18"/>
              </w:rPr>
            </w:pPr>
            <w:r>
              <w:rPr>
                <w:rFonts w:ascii="GHEA Grapalat" w:hAnsi="GHEA Grapalat" w:cs="Calibri"/>
                <w:color w:val="A6A6A6"/>
                <w:sz w:val="18"/>
                <w:szCs w:val="18"/>
              </w:rPr>
              <w:t>8.5%</w:t>
            </w:r>
          </w:p>
        </w:tc>
        <w:tc>
          <w:tcPr>
            <w:tcW w:w="428" w:type="pct"/>
            <w:shd w:val="clear" w:color="auto" w:fill="auto"/>
            <w:vAlign w:val="center"/>
          </w:tcPr>
          <w:p w14:paraId="0A902983" w14:textId="77777777" w:rsidR="006B15F5" w:rsidRPr="003F2203" w:rsidRDefault="006B15F5" w:rsidP="00147C8B">
            <w:pPr>
              <w:spacing w:before="0" w:after="0" w:line="240" w:lineRule="auto"/>
              <w:jc w:val="center"/>
              <w:rPr>
                <w:color w:val="A6A6A6" w:themeColor="background1" w:themeShade="A6"/>
                <w:sz w:val="18"/>
                <w:szCs w:val="18"/>
              </w:rPr>
            </w:pPr>
            <w:r>
              <w:rPr>
                <w:rFonts w:ascii="GHEA Grapalat" w:hAnsi="GHEA Grapalat" w:cs="Calibri"/>
                <w:color w:val="A6A6A6"/>
                <w:sz w:val="18"/>
                <w:szCs w:val="18"/>
              </w:rPr>
              <w:t>7.7%</w:t>
            </w:r>
          </w:p>
        </w:tc>
        <w:tc>
          <w:tcPr>
            <w:tcW w:w="454" w:type="pct"/>
            <w:shd w:val="clear" w:color="auto" w:fill="auto"/>
            <w:vAlign w:val="center"/>
          </w:tcPr>
          <w:p w14:paraId="579537D1" w14:textId="77777777" w:rsidR="006B15F5" w:rsidRPr="003F2203" w:rsidRDefault="006B15F5" w:rsidP="00147C8B">
            <w:pPr>
              <w:spacing w:before="0" w:after="0" w:line="240" w:lineRule="auto"/>
              <w:jc w:val="center"/>
              <w:rPr>
                <w:color w:val="A6A6A6" w:themeColor="background1" w:themeShade="A6"/>
                <w:sz w:val="18"/>
                <w:szCs w:val="18"/>
              </w:rPr>
            </w:pPr>
            <w:r>
              <w:rPr>
                <w:rFonts w:ascii="GHEA Grapalat" w:hAnsi="GHEA Grapalat" w:cs="Calibri"/>
                <w:color w:val="A6A6A6"/>
                <w:sz w:val="18"/>
                <w:szCs w:val="18"/>
              </w:rPr>
              <w:t>7.6%</w:t>
            </w:r>
          </w:p>
        </w:tc>
        <w:tc>
          <w:tcPr>
            <w:tcW w:w="454" w:type="pct"/>
            <w:vAlign w:val="center"/>
          </w:tcPr>
          <w:p w14:paraId="128B33BB" w14:textId="77777777" w:rsidR="006B15F5" w:rsidRDefault="006B15F5" w:rsidP="00147C8B">
            <w:pPr>
              <w:spacing w:before="0" w:after="0" w:line="240" w:lineRule="auto"/>
              <w:jc w:val="center"/>
              <w:rPr>
                <w:rFonts w:ascii="GHEA Grapalat" w:hAnsi="GHEA Grapalat" w:cs="Calibri"/>
                <w:color w:val="A6A6A6"/>
                <w:sz w:val="18"/>
                <w:szCs w:val="18"/>
              </w:rPr>
            </w:pPr>
            <w:r>
              <w:rPr>
                <w:rFonts w:ascii="GHEA Grapalat" w:hAnsi="GHEA Grapalat" w:cs="Calibri"/>
                <w:color w:val="A6A6A6"/>
                <w:sz w:val="18"/>
                <w:szCs w:val="18"/>
              </w:rPr>
              <w:t>7.9%</w:t>
            </w:r>
          </w:p>
        </w:tc>
        <w:tc>
          <w:tcPr>
            <w:tcW w:w="454" w:type="pct"/>
            <w:vAlign w:val="center"/>
          </w:tcPr>
          <w:p w14:paraId="014C4881" w14:textId="77777777" w:rsidR="006B15F5" w:rsidRDefault="006B15F5" w:rsidP="00147C8B">
            <w:pPr>
              <w:spacing w:before="0" w:after="0" w:line="240" w:lineRule="auto"/>
              <w:jc w:val="center"/>
              <w:rPr>
                <w:rFonts w:ascii="GHEA Grapalat" w:hAnsi="GHEA Grapalat" w:cs="Calibri"/>
                <w:color w:val="A6A6A6"/>
                <w:sz w:val="18"/>
                <w:szCs w:val="18"/>
              </w:rPr>
            </w:pPr>
            <w:r>
              <w:rPr>
                <w:rFonts w:ascii="GHEA Grapalat" w:hAnsi="GHEA Grapalat" w:cs="Calibri"/>
                <w:color w:val="A6A6A6"/>
                <w:sz w:val="18"/>
                <w:szCs w:val="18"/>
              </w:rPr>
              <w:t>7.3%</w:t>
            </w:r>
          </w:p>
        </w:tc>
        <w:tc>
          <w:tcPr>
            <w:tcW w:w="480" w:type="pct"/>
            <w:vAlign w:val="center"/>
          </w:tcPr>
          <w:p w14:paraId="66863FD9" w14:textId="77777777" w:rsidR="006B15F5" w:rsidRPr="003F2203" w:rsidRDefault="006B15F5" w:rsidP="00147C8B">
            <w:pPr>
              <w:spacing w:before="0" w:after="0" w:line="240" w:lineRule="auto"/>
              <w:jc w:val="center"/>
              <w:rPr>
                <w:color w:val="A6A6A6" w:themeColor="background1" w:themeShade="A6"/>
                <w:sz w:val="18"/>
                <w:szCs w:val="18"/>
                <w:lang w:val="ru-RU"/>
              </w:rPr>
            </w:pPr>
            <w:r>
              <w:rPr>
                <w:rFonts w:ascii="GHEA Grapalat" w:hAnsi="GHEA Grapalat" w:cs="Calibri"/>
                <w:color w:val="A6A6A6"/>
                <w:sz w:val="18"/>
                <w:szCs w:val="18"/>
              </w:rPr>
              <w:t>7.8%</w:t>
            </w:r>
          </w:p>
        </w:tc>
      </w:tr>
      <w:tr w:rsidR="006B15F5" w:rsidRPr="00941B19" w14:paraId="7D83B198" w14:textId="77777777" w:rsidTr="00147C8B">
        <w:trPr>
          <w:trHeight w:val="317"/>
        </w:trPr>
        <w:tc>
          <w:tcPr>
            <w:tcW w:w="1823" w:type="pct"/>
            <w:shd w:val="clear" w:color="auto" w:fill="auto"/>
            <w:vAlign w:val="center"/>
            <w:hideMark/>
          </w:tcPr>
          <w:p w14:paraId="55B96703" w14:textId="77777777" w:rsidR="006B15F5" w:rsidRPr="00941B19" w:rsidRDefault="006B15F5" w:rsidP="00147C8B">
            <w:pPr>
              <w:spacing w:before="0" w:after="0" w:line="240" w:lineRule="auto"/>
              <w:ind w:right="495"/>
              <w:rPr>
                <w:sz w:val="18"/>
                <w:szCs w:val="18"/>
              </w:rPr>
            </w:pPr>
            <w:r w:rsidRPr="00941B19">
              <w:rPr>
                <w:sz w:val="18"/>
                <w:szCs w:val="18"/>
              </w:rPr>
              <w:t>1. Տնտեսական հարաբերություններ</w:t>
            </w:r>
          </w:p>
        </w:tc>
        <w:tc>
          <w:tcPr>
            <w:tcW w:w="453" w:type="pct"/>
            <w:shd w:val="clear" w:color="auto" w:fill="auto"/>
            <w:vAlign w:val="center"/>
          </w:tcPr>
          <w:p w14:paraId="44B1CB7C" w14:textId="77777777" w:rsidR="006B15F5" w:rsidRPr="00941B19" w:rsidRDefault="006B15F5" w:rsidP="00147C8B">
            <w:pPr>
              <w:spacing w:before="0" w:after="0" w:line="240" w:lineRule="auto"/>
              <w:jc w:val="center"/>
              <w:rPr>
                <w:sz w:val="18"/>
                <w:szCs w:val="18"/>
              </w:rPr>
            </w:pPr>
            <w:r>
              <w:rPr>
                <w:rFonts w:ascii="GHEA Grapalat" w:hAnsi="GHEA Grapalat" w:cs="Calibri"/>
                <w:color w:val="404040"/>
                <w:sz w:val="18"/>
                <w:szCs w:val="18"/>
              </w:rPr>
              <w:t>175.8</w:t>
            </w:r>
          </w:p>
        </w:tc>
        <w:tc>
          <w:tcPr>
            <w:tcW w:w="454" w:type="pct"/>
            <w:shd w:val="clear" w:color="auto" w:fill="auto"/>
            <w:vAlign w:val="center"/>
          </w:tcPr>
          <w:p w14:paraId="73D83560" w14:textId="77777777" w:rsidR="006B15F5" w:rsidRPr="00941B19" w:rsidRDefault="006B15F5" w:rsidP="00147C8B">
            <w:pPr>
              <w:spacing w:before="0" w:after="0" w:line="240" w:lineRule="auto"/>
              <w:jc w:val="center"/>
              <w:rPr>
                <w:sz w:val="18"/>
                <w:szCs w:val="18"/>
              </w:rPr>
            </w:pPr>
            <w:r>
              <w:rPr>
                <w:rFonts w:ascii="GHEA Grapalat" w:hAnsi="GHEA Grapalat" w:cs="Calibri"/>
                <w:color w:val="404040"/>
                <w:sz w:val="18"/>
                <w:szCs w:val="18"/>
              </w:rPr>
              <w:t>199.2</w:t>
            </w:r>
          </w:p>
        </w:tc>
        <w:tc>
          <w:tcPr>
            <w:tcW w:w="428" w:type="pct"/>
            <w:shd w:val="clear" w:color="auto" w:fill="auto"/>
            <w:vAlign w:val="center"/>
          </w:tcPr>
          <w:p w14:paraId="4884A234" w14:textId="77777777" w:rsidR="006B15F5" w:rsidRPr="00941B19" w:rsidRDefault="006B15F5" w:rsidP="00147C8B">
            <w:pPr>
              <w:spacing w:before="0" w:after="0" w:line="240" w:lineRule="auto"/>
              <w:jc w:val="center"/>
              <w:rPr>
                <w:sz w:val="18"/>
                <w:szCs w:val="18"/>
              </w:rPr>
            </w:pPr>
            <w:r>
              <w:rPr>
                <w:rFonts w:ascii="GHEA Grapalat" w:hAnsi="GHEA Grapalat" w:cs="Calibri"/>
                <w:color w:val="404040"/>
                <w:sz w:val="18"/>
                <w:szCs w:val="18"/>
              </w:rPr>
              <w:t>203.7</w:t>
            </w:r>
          </w:p>
        </w:tc>
        <w:tc>
          <w:tcPr>
            <w:tcW w:w="454" w:type="pct"/>
            <w:shd w:val="clear" w:color="auto" w:fill="auto"/>
            <w:vAlign w:val="center"/>
          </w:tcPr>
          <w:p w14:paraId="234F8853" w14:textId="77777777" w:rsidR="006B15F5" w:rsidRPr="00941B19" w:rsidRDefault="006B15F5" w:rsidP="00147C8B">
            <w:pPr>
              <w:spacing w:before="0" w:after="0" w:line="240" w:lineRule="auto"/>
              <w:jc w:val="center"/>
              <w:rPr>
                <w:sz w:val="18"/>
                <w:szCs w:val="18"/>
              </w:rPr>
            </w:pPr>
            <w:r>
              <w:rPr>
                <w:rFonts w:ascii="GHEA Grapalat" w:hAnsi="GHEA Grapalat" w:cs="Calibri"/>
                <w:color w:val="404040"/>
                <w:sz w:val="18"/>
                <w:szCs w:val="18"/>
              </w:rPr>
              <w:t>229.9</w:t>
            </w:r>
          </w:p>
        </w:tc>
        <w:tc>
          <w:tcPr>
            <w:tcW w:w="454" w:type="pct"/>
            <w:vAlign w:val="center"/>
          </w:tcPr>
          <w:p w14:paraId="3D2D8D0D" w14:textId="77777777" w:rsidR="006B15F5" w:rsidRDefault="006B15F5" w:rsidP="00147C8B">
            <w:pPr>
              <w:spacing w:before="0" w:after="0" w:line="240" w:lineRule="auto"/>
              <w:jc w:val="center"/>
              <w:rPr>
                <w:rFonts w:ascii="GHEA Grapalat" w:hAnsi="GHEA Grapalat" w:cs="Calibri"/>
                <w:color w:val="404040"/>
                <w:sz w:val="18"/>
                <w:szCs w:val="18"/>
              </w:rPr>
            </w:pPr>
            <w:r>
              <w:rPr>
                <w:rFonts w:ascii="GHEA Grapalat" w:hAnsi="GHEA Grapalat" w:cs="Calibri"/>
                <w:color w:val="404040"/>
                <w:sz w:val="18"/>
                <w:szCs w:val="18"/>
              </w:rPr>
              <w:t>255.9</w:t>
            </w:r>
          </w:p>
        </w:tc>
        <w:tc>
          <w:tcPr>
            <w:tcW w:w="454" w:type="pct"/>
            <w:vAlign w:val="center"/>
          </w:tcPr>
          <w:p w14:paraId="17890EB5" w14:textId="77777777" w:rsidR="006B15F5" w:rsidRDefault="006B15F5" w:rsidP="00147C8B">
            <w:pPr>
              <w:spacing w:before="0" w:after="0" w:line="240" w:lineRule="auto"/>
              <w:jc w:val="center"/>
              <w:rPr>
                <w:rFonts w:ascii="GHEA Grapalat" w:hAnsi="GHEA Grapalat" w:cs="Calibri"/>
                <w:color w:val="404040"/>
                <w:sz w:val="18"/>
                <w:szCs w:val="18"/>
              </w:rPr>
            </w:pPr>
            <w:r>
              <w:rPr>
                <w:rFonts w:ascii="GHEA Grapalat" w:hAnsi="GHEA Grapalat" w:cs="Calibri"/>
                <w:color w:val="404040"/>
                <w:sz w:val="18"/>
                <w:szCs w:val="18"/>
              </w:rPr>
              <w:t>255.3</w:t>
            </w:r>
          </w:p>
        </w:tc>
        <w:tc>
          <w:tcPr>
            <w:tcW w:w="480" w:type="pct"/>
            <w:shd w:val="clear" w:color="auto" w:fill="auto"/>
            <w:vAlign w:val="center"/>
          </w:tcPr>
          <w:p w14:paraId="0005E736" w14:textId="77777777" w:rsidR="006B15F5" w:rsidRPr="00941B19" w:rsidRDefault="006B15F5" w:rsidP="00147C8B">
            <w:pPr>
              <w:spacing w:before="0" w:after="0" w:line="240" w:lineRule="auto"/>
              <w:jc w:val="center"/>
              <w:rPr>
                <w:sz w:val="18"/>
                <w:szCs w:val="18"/>
              </w:rPr>
            </w:pPr>
            <w:r>
              <w:rPr>
                <w:rFonts w:ascii="GHEA Grapalat" w:hAnsi="GHEA Grapalat" w:cs="Calibri"/>
                <w:color w:val="404040"/>
                <w:sz w:val="18"/>
                <w:szCs w:val="18"/>
              </w:rPr>
              <w:t>274.3</w:t>
            </w:r>
          </w:p>
        </w:tc>
      </w:tr>
      <w:tr w:rsidR="006B15F5" w:rsidRPr="00941B19" w14:paraId="0A743592" w14:textId="77777777" w:rsidTr="00147C8B">
        <w:trPr>
          <w:trHeight w:val="317"/>
        </w:trPr>
        <w:tc>
          <w:tcPr>
            <w:tcW w:w="1823" w:type="pct"/>
            <w:shd w:val="clear" w:color="auto" w:fill="auto"/>
            <w:vAlign w:val="center"/>
            <w:hideMark/>
          </w:tcPr>
          <w:p w14:paraId="40411027" w14:textId="77777777" w:rsidR="006B15F5" w:rsidRPr="003F2203" w:rsidRDefault="006B15F5" w:rsidP="00147C8B">
            <w:pPr>
              <w:spacing w:before="0" w:after="0" w:line="240" w:lineRule="auto"/>
              <w:ind w:right="495"/>
              <w:rPr>
                <w:color w:val="A6A6A6" w:themeColor="background1" w:themeShade="A6"/>
                <w:sz w:val="18"/>
                <w:szCs w:val="18"/>
              </w:rPr>
            </w:pPr>
            <w:r w:rsidRPr="003F2203">
              <w:rPr>
                <w:color w:val="A6A6A6" w:themeColor="background1" w:themeShade="A6"/>
                <w:sz w:val="18"/>
                <w:szCs w:val="18"/>
              </w:rPr>
              <w:t>ՀՆԱ-ի նկատմամբ (%)</w:t>
            </w:r>
          </w:p>
        </w:tc>
        <w:tc>
          <w:tcPr>
            <w:tcW w:w="453" w:type="pct"/>
            <w:shd w:val="clear" w:color="auto" w:fill="auto"/>
            <w:vAlign w:val="center"/>
          </w:tcPr>
          <w:p w14:paraId="1B157A38" w14:textId="77777777" w:rsidR="006B15F5" w:rsidRPr="003F2203" w:rsidRDefault="006B15F5" w:rsidP="00147C8B">
            <w:pPr>
              <w:spacing w:before="0" w:after="0" w:line="240" w:lineRule="auto"/>
              <w:jc w:val="center"/>
              <w:rPr>
                <w:color w:val="A6A6A6" w:themeColor="background1" w:themeShade="A6"/>
                <w:sz w:val="18"/>
                <w:szCs w:val="18"/>
              </w:rPr>
            </w:pPr>
            <w:r>
              <w:rPr>
                <w:rFonts w:ascii="GHEA Grapalat" w:hAnsi="GHEA Grapalat" w:cs="Calibri"/>
                <w:color w:val="A6A6A6"/>
                <w:sz w:val="18"/>
                <w:szCs w:val="18"/>
              </w:rPr>
              <w:t>2.1%</w:t>
            </w:r>
          </w:p>
        </w:tc>
        <w:tc>
          <w:tcPr>
            <w:tcW w:w="454" w:type="pct"/>
            <w:shd w:val="clear" w:color="auto" w:fill="auto"/>
            <w:vAlign w:val="center"/>
          </w:tcPr>
          <w:p w14:paraId="21FE65DA" w14:textId="77777777" w:rsidR="006B15F5" w:rsidRPr="003F2203" w:rsidRDefault="006B15F5" w:rsidP="00147C8B">
            <w:pPr>
              <w:spacing w:before="0" w:after="0" w:line="240" w:lineRule="auto"/>
              <w:jc w:val="center"/>
              <w:rPr>
                <w:color w:val="A6A6A6" w:themeColor="background1" w:themeShade="A6"/>
                <w:sz w:val="18"/>
                <w:szCs w:val="18"/>
              </w:rPr>
            </w:pPr>
            <w:r>
              <w:rPr>
                <w:rFonts w:ascii="GHEA Grapalat" w:hAnsi="GHEA Grapalat" w:cs="Calibri"/>
                <w:color w:val="A6A6A6"/>
                <w:sz w:val="18"/>
                <w:szCs w:val="18"/>
              </w:rPr>
              <w:t>2.1%</w:t>
            </w:r>
          </w:p>
        </w:tc>
        <w:tc>
          <w:tcPr>
            <w:tcW w:w="428" w:type="pct"/>
            <w:shd w:val="clear" w:color="auto" w:fill="auto"/>
            <w:vAlign w:val="center"/>
          </w:tcPr>
          <w:p w14:paraId="379615D1" w14:textId="77777777" w:rsidR="006B15F5" w:rsidRPr="003F2203" w:rsidRDefault="006B15F5" w:rsidP="00147C8B">
            <w:pPr>
              <w:spacing w:before="0" w:after="0" w:line="240" w:lineRule="auto"/>
              <w:jc w:val="center"/>
              <w:rPr>
                <w:color w:val="A6A6A6" w:themeColor="background1" w:themeShade="A6"/>
                <w:sz w:val="18"/>
                <w:szCs w:val="18"/>
              </w:rPr>
            </w:pPr>
            <w:r>
              <w:rPr>
                <w:rFonts w:ascii="GHEA Grapalat" w:hAnsi="GHEA Grapalat" w:cs="Calibri"/>
                <w:color w:val="A6A6A6"/>
                <w:sz w:val="18"/>
                <w:szCs w:val="18"/>
              </w:rPr>
              <w:t>2.0%</w:t>
            </w:r>
          </w:p>
        </w:tc>
        <w:tc>
          <w:tcPr>
            <w:tcW w:w="454" w:type="pct"/>
            <w:shd w:val="clear" w:color="auto" w:fill="auto"/>
            <w:vAlign w:val="center"/>
          </w:tcPr>
          <w:p w14:paraId="13CFC08E" w14:textId="77777777" w:rsidR="006B15F5" w:rsidRPr="003F2203" w:rsidRDefault="006B15F5" w:rsidP="00147C8B">
            <w:pPr>
              <w:spacing w:before="0" w:after="0" w:line="240" w:lineRule="auto"/>
              <w:jc w:val="center"/>
              <w:rPr>
                <w:color w:val="A6A6A6" w:themeColor="background1" w:themeShade="A6"/>
                <w:sz w:val="18"/>
                <w:szCs w:val="18"/>
              </w:rPr>
            </w:pPr>
            <w:r>
              <w:rPr>
                <w:rFonts w:ascii="GHEA Grapalat" w:hAnsi="GHEA Grapalat" w:cs="Calibri"/>
                <w:color w:val="A6A6A6"/>
                <w:sz w:val="18"/>
                <w:szCs w:val="18"/>
              </w:rPr>
              <w:t>2.1%</w:t>
            </w:r>
          </w:p>
        </w:tc>
        <w:tc>
          <w:tcPr>
            <w:tcW w:w="454" w:type="pct"/>
            <w:vAlign w:val="center"/>
          </w:tcPr>
          <w:p w14:paraId="241AC1F5" w14:textId="77777777" w:rsidR="006B15F5" w:rsidRDefault="006B15F5" w:rsidP="00147C8B">
            <w:pPr>
              <w:spacing w:before="0" w:after="0" w:line="240" w:lineRule="auto"/>
              <w:jc w:val="center"/>
              <w:rPr>
                <w:rFonts w:ascii="GHEA Grapalat" w:hAnsi="GHEA Grapalat" w:cs="Calibri"/>
                <w:color w:val="A6A6A6"/>
                <w:sz w:val="18"/>
                <w:szCs w:val="18"/>
              </w:rPr>
            </w:pPr>
            <w:r>
              <w:rPr>
                <w:rFonts w:ascii="GHEA Grapalat" w:hAnsi="GHEA Grapalat" w:cs="Calibri"/>
                <w:color w:val="A6A6A6"/>
                <w:sz w:val="18"/>
                <w:szCs w:val="18"/>
              </w:rPr>
              <w:t>2.1%</w:t>
            </w:r>
          </w:p>
        </w:tc>
        <w:tc>
          <w:tcPr>
            <w:tcW w:w="454" w:type="pct"/>
            <w:vAlign w:val="center"/>
          </w:tcPr>
          <w:p w14:paraId="318F9A96" w14:textId="77777777" w:rsidR="006B15F5" w:rsidRDefault="006B15F5" w:rsidP="00147C8B">
            <w:pPr>
              <w:spacing w:before="0" w:after="0" w:line="240" w:lineRule="auto"/>
              <w:jc w:val="center"/>
              <w:rPr>
                <w:rFonts w:ascii="GHEA Grapalat" w:hAnsi="GHEA Grapalat" w:cs="Calibri"/>
                <w:color w:val="A6A6A6"/>
                <w:sz w:val="18"/>
                <w:szCs w:val="18"/>
              </w:rPr>
            </w:pPr>
            <w:r>
              <w:rPr>
                <w:rFonts w:ascii="GHEA Grapalat" w:hAnsi="GHEA Grapalat" w:cs="Calibri"/>
                <w:color w:val="A6A6A6"/>
                <w:sz w:val="18"/>
                <w:szCs w:val="18"/>
              </w:rPr>
              <w:t>2.0%</w:t>
            </w:r>
          </w:p>
        </w:tc>
        <w:tc>
          <w:tcPr>
            <w:tcW w:w="480" w:type="pct"/>
            <w:shd w:val="clear" w:color="auto" w:fill="auto"/>
            <w:vAlign w:val="center"/>
          </w:tcPr>
          <w:p w14:paraId="6D2A4A60" w14:textId="77777777" w:rsidR="006B15F5" w:rsidRPr="003F2203" w:rsidRDefault="006B15F5" w:rsidP="00147C8B">
            <w:pPr>
              <w:spacing w:before="0" w:after="0" w:line="240" w:lineRule="auto"/>
              <w:jc w:val="center"/>
              <w:rPr>
                <w:color w:val="A6A6A6" w:themeColor="background1" w:themeShade="A6"/>
                <w:sz w:val="18"/>
                <w:szCs w:val="18"/>
              </w:rPr>
            </w:pPr>
            <w:r>
              <w:rPr>
                <w:rFonts w:ascii="GHEA Grapalat" w:hAnsi="GHEA Grapalat" w:cs="Calibri"/>
                <w:color w:val="A6A6A6"/>
                <w:sz w:val="18"/>
                <w:szCs w:val="18"/>
              </w:rPr>
              <w:t>2.0%</w:t>
            </w:r>
          </w:p>
        </w:tc>
      </w:tr>
      <w:tr w:rsidR="006B15F5" w:rsidRPr="00941B19" w14:paraId="0E0C78E8" w14:textId="77777777" w:rsidTr="00147C8B">
        <w:trPr>
          <w:trHeight w:val="317"/>
        </w:trPr>
        <w:tc>
          <w:tcPr>
            <w:tcW w:w="1823" w:type="pct"/>
            <w:shd w:val="clear" w:color="auto" w:fill="auto"/>
            <w:vAlign w:val="center"/>
            <w:hideMark/>
          </w:tcPr>
          <w:p w14:paraId="2737DCB6" w14:textId="77777777" w:rsidR="006B15F5" w:rsidRPr="003F2203" w:rsidRDefault="006B15F5" w:rsidP="00147C8B">
            <w:pPr>
              <w:spacing w:before="0" w:after="0" w:line="240" w:lineRule="auto"/>
              <w:ind w:right="495"/>
              <w:rPr>
                <w:color w:val="A6A6A6" w:themeColor="background1" w:themeShade="A6"/>
                <w:sz w:val="18"/>
                <w:szCs w:val="18"/>
              </w:rPr>
            </w:pPr>
            <w:r w:rsidRPr="003F2203">
              <w:rPr>
                <w:color w:val="A6A6A6" w:themeColor="background1" w:themeShade="A6"/>
                <w:sz w:val="18"/>
                <w:szCs w:val="18"/>
              </w:rPr>
              <w:t>Ընդհանուր ծախսերում (%)</w:t>
            </w:r>
          </w:p>
        </w:tc>
        <w:tc>
          <w:tcPr>
            <w:tcW w:w="453" w:type="pct"/>
            <w:shd w:val="clear" w:color="auto" w:fill="auto"/>
            <w:vAlign w:val="center"/>
          </w:tcPr>
          <w:p w14:paraId="251AEE36" w14:textId="77777777" w:rsidR="006B15F5" w:rsidRPr="003F2203" w:rsidRDefault="006B15F5" w:rsidP="00147C8B">
            <w:pPr>
              <w:spacing w:before="0" w:after="0" w:line="240" w:lineRule="auto"/>
              <w:jc w:val="center"/>
              <w:rPr>
                <w:color w:val="A6A6A6" w:themeColor="background1" w:themeShade="A6"/>
                <w:sz w:val="18"/>
                <w:szCs w:val="18"/>
              </w:rPr>
            </w:pPr>
            <w:r>
              <w:rPr>
                <w:rFonts w:ascii="GHEA Grapalat" w:hAnsi="GHEA Grapalat" w:cs="Calibri"/>
                <w:color w:val="A6A6A6"/>
                <w:sz w:val="18"/>
                <w:szCs w:val="18"/>
              </w:rPr>
              <w:t>7.8%</w:t>
            </w:r>
          </w:p>
        </w:tc>
        <w:tc>
          <w:tcPr>
            <w:tcW w:w="454" w:type="pct"/>
            <w:shd w:val="clear" w:color="auto" w:fill="auto"/>
            <w:vAlign w:val="center"/>
          </w:tcPr>
          <w:p w14:paraId="15315B05" w14:textId="77777777" w:rsidR="006B15F5" w:rsidRPr="003F2203" w:rsidRDefault="006B15F5" w:rsidP="00147C8B">
            <w:pPr>
              <w:spacing w:before="0" w:after="0" w:line="240" w:lineRule="auto"/>
              <w:jc w:val="center"/>
              <w:rPr>
                <w:color w:val="A6A6A6" w:themeColor="background1" w:themeShade="A6"/>
                <w:sz w:val="18"/>
                <w:szCs w:val="18"/>
              </w:rPr>
            </w:pPr>
            <w:r>
              <w:rPr>
                <w:rFonts w:ascii="GHEA Grapalat" w:hAnsi="GHEA Grapalat" w:cs="Calibri"/>
                <w:color w:val="A6A6A6"/>
                <w:sz w:val="18"/>
                <w:szCs w:val="18"/>
              </w:rPr>
              <w:t>7.8%</w:t>
            </w:r>
          </w:p>
        </w:tc>
        <w:tc>
          <w:tcPr>
            <w:tcW w:w="428" w:type="pct"/>
            <w:shd w:val="clear" w:color="auto" w:fill="auto"/>
            <w:vAlign w:val="center"/>
          </w:tcPr>
          <w:p w14:paraId="217D9AA5" w14:textId="77777777" w:rsidR="006B15F5" w:rsidRPr="003F2203" w:rsidRDefault="006B15F5" w:rsidP="00147C8B">
            <w:pPr>
              <w:spacing w:before="0" w:after="0" w:line="240" w:lineRule="auto"/>
              <w:jc w:val="center"/>
              <w:rPr>
                <w:color w:val="A6A6A6" w:themeColor="background1" w:themeShade="A6"/>
                <w:sz w:val="18"/>
                <w:szCs w:val="18"/>
              </w:rPr>
            </w:pPr>
            <w:r>
              <w:rPr>
                <w:rFonts w:ascii="GHEA Grapalat" w:hAnsi="GHEA Grapalat" w:cs="Calibri"/>
                <w:color w:val="A6A6A6"/>
                <w:sz w:val="18"/>
                <w:szCs w:val="18"/>
              </w:rPr>
              <w:t>6.9%</w:t>
            </w:r>
          </w:p>
        </w:tc>
        <w:tc>
          <w:tcPr>
            <w:tcW w:w="454" w:type="pct"/>
            <w:shd w:val="clear" w:color="auto" w:fill="auto"/>
            <w:vAlign w:val="center"/>
          </w:tcPr>
          <w:p w14:paraId="6AA27EE2" w14:textId="77777777" w:rsidR="006B15F5" w:rsidRPr="003F2203" w:rsidRDefault="006B15F5" w:rsidP="00147C8B">
            <w:pPr>
              <w:spacing w:before="0" w:after="0" w:line="240" w:lineRule="auto"/>
              <w:jc w:val="center"/>
              <w:rPr>
                <w:color w:val="A6A6A6" w:themeColor="background1" w:themeShade="A6"/>
                <w:sz w:val="18"/>
                <w:szCs w:val="18"/>
              </w:rPr>
            </w:pPr>
            <w:r>
              <w:rPr>
                <w:rFonts w:ascii="GHEA Grapalat" w:hAnsi="GHEA Grapalat" w:cs="Calibri"/>
                <w:color w:val="A6A6A6"/>
                <w:sz w:val="18"/>
                <w:szCs w:val="18"/>
              </w:rPr>
              <w:t>6.7%</w:t>
            </w:r>
          </w:p>
        </w:tc>
        <w:tc>
          <w:tcPr>
            <w:tcW w:w="454" w:type="pct"/>
            <w:vAlign w:val="center"/>
          </w:tcPr>
          <w:p w14:paraId="76EAA739" w14:textId="77777777" w:rsidR="006B15F5" w:rsidRDefault="006B15F5" w:rsidP="00147C8B">
            <w:pPr>
              <w:spacing w:before="0" w:after="0" w:line="240" w:lineRule="auto"/>
              <w:jc w:val="center"/>
              <w:rPr>
                <w:rFonts w:ascii="GHEA Grapalat" w:hAnsi="GHEA Grapalat" w:cs="Calibri"/>
                <w:color w:val="A6A6A6"/>
                <w:sz w:val="18"/>
                <w:szCs w:val="18"/>
              </w:rPr>
            </w:pPr>
            <w:r>
              <w:rPr>
                <w:rFonts w:ascii="GHEA Grapalat" w:hAnsi="GHEA Grapalat" w:cs="Calibri"/>
                <w:color w:val="A6A6A6"/>
                <w:sz w:val="18"/>
                <w:szCs w:val="18"/>
              </w:rPr>
              <w:t>7.1%</w:t>
            </w:r>
          </w:p>
        </w:tc>
        <w:tc>
          <w:tcPr>
            <w:tcW w:w="454" w:type="pct"/>
            <w:vAlign w:val="center"/>
          </w:tcPr>
          <w:p w14:paraId="231E30F7" w14:textId="77777777" w:rsidR="006B15F5" w:rsidRDefault="006B15F5" w:rsidP="00147C8B">
            <w:pPr>
              <w:spacing w:before="0" w:after="0" w:line="240" w:lineRule="auto"/>
              <w:jc w:val="center"/>
              <w:rPr>
                <w:rFonts w:ascii="GHEA Grapalat" w:hAnsi="GHEA Grapalat" w:cs="Calibri"/>
                <w:color w:val="A6A6A6"/>
                <w:sz w:val="18"/>
                <w:szCs w:val="18"/>
              </w:rPr>
            </w:pPr>
            <w:r>
              <w:rPr>
                <w:rFonts w:ascii="GHEA Grapalat" w:hAnsi="GHEA Grapalat" w:cs="Calibri"/>
                <w:color w:val="A6A6A6"/>
                <w:sz w:val="18"/>
                <w:szCs w:val="18"/>
              </w:rPr>
              <w:t>6.7%</w:t>
            </w:r>
          </w:p>
        </w:tc>
        <w:tc>
          <w:tcPr>
            <w:tcW w:w="480" w:type="pct"/>
            <w:shd w:val="clear" w:color="auto" w:fill="auto"/>
            <w:vAlign w:val="center"/>
          </w:tcPr>
          <w:p w14:paraId="584945ED" w14:textId="77777777" w:rsidR="006B15F5" w:rsidRPr="003F2203" w:rsidRDefault="006B15F5" w:rsidP="00147C8B">
            <w:pPr>
              <w:spacing w:before="0" w:after="0" w:line="240" w:lineRule="auto"/>
              <w:jc w:val="center"/>
              <w:rPr>
                <w:color w:val="A6A6A6" w:themeColor="background1" w:themeShade="A6"/>
                <w:sz w:val="18"/>
                <w:szCs w:val="18"/>
              </w:rPr>
            </w:pPr>
            <w:r>
              <w:rPr>
                <w:rFonts w:ascii="GHEA Grapalat" w:hAnsi="GHEA Grapalat" w:cs="Calibri"/>
                <w:color w:val="A6A6A6"/>
                <w:sz w:val="18"/>
                <w:szCs w:val="18"/>
              </w:rPr>
              <w:t>6.8%</w:t>
            </w:r>
          </w:p>
        </w:tc>
      </w:tr>
      <w:tr w:rsidR="006B15F5" w:rsidRPr="00941B19" w14:paraId="521FEEBE" w14:textId="77777777" w:rsidTr="00147C8B">
        <w:trPr>
          <w:trHeight w:val="317"/>
        </w:trPr>
        <w:tc>
          <w:tcPr>
            <w:tcW w:w="1823" w:type="pct"/>
            <w:shd w:val="clear" w:color="auto" w:fill="auto"/>
            <w:vAlign w:val="center"/>
            <w:hideMark/>
          </w:tcPr>
          <w:p w14:paraId="0F870DAA" w14:textId="77777777" w:rsidR="006B15F5" w:rsidRPr="00941B19" w:rsidRDefault="006B15F5" w:rsidP="00147C8B">
            <w:pPr>
              <w:spacing w:before="0" w:after="0" w:line="240" w:lineRule="auto"/>
              <w:ind w:right="495"/>
              <w:rPr>
                <w:sz w:val="18"/>
                <w:szCs w:val="18"/>
              </w:rPr>
            </w:pPr>
            <w:r w:rsidRPr="00941B19">
              <w:rPr>
                <w:sz w:val="18"/>
                <w:szCs w:val="18"/>
              </w:rPr>
              <w:t>2. Շրջակա  միջավայրի պաշտպանություն</w:t>
            </w:r>
          </w:p>
        </w:tc>
        <w:tc>
          <w:tcPr>
            <w:tcW w:w="453" w:type="pct"/>
            <w:shd w:val="clear" w:color="auto" w:fill="auto"/>
            <w:vAlign w:val="center"/>
          </w:tcPr>
          <w:p w14:paraId="4B23DAC5" w14:textId="77777777" w:rsidR="006B15F5" w:rsidRPr="00941B19" w:rsidRDefault="006B15F5" w:rsidP="00147C8B">
            <w:pPr>
              <w:spacing w:before="0" w:after="0" w:line="240" w:lineRule="auto"/>
              <w:jc w:val="center"/>
              <w:rPr>
                <w:sz w:val="18"/>
                <w:szCs w:val="18"/>
              </w:rPr>
            </w:pPr>
            <w:r>
              <w:rPr>
                <w:rFonts w:ascii="GHEA Grapalat" w:hAnsi="GHEA Grapalat" w:cs="Calibri"/>
                <w:color w:val="404040"/>
                <w:sz w:val="18"/>
                <w:szCs w:val="18"/>
              </w:rPr>
              <w:t>6.8</w:t>
            </w:r>
          </w:p>
        </w:tc>
        <w:tc>
          <w:tcPr>
            <w:tcW w:w="454" w:type="pct"/>
            <w:shd w:val="clear" w:color="auto" w:fill="auto"/>
            <w:vAlign w:val="center"/>
          </w:tcPr>
          <w:p w14:paraId="398C9142" w14:textId="77777777" w:rsidR="006B15F5" w:rsidRPr="00941B19" w:rsidRDefault="006B15F5" w:rsidP="00147C8B">
            <w:pPr>
              <w:spacing w:before="0" w:after="0" w:line="240" w:lineRule="auto"/>
              <w:jc w:val="center"/>
              <w:rPr>
                <w:sz w:val="18"/>
                <w:szCs w:val="18"/>
              </w:rPr>
            </w:pPr>
            <w:r>
              <w:rPr>
                <w:rFonts w:ascii="GHEA Grapalat" w:hAnsi="GHEA Grapalat" w:cs="Calibri"/>
                <w:color w:val="404040"/>
                <w:sz w:val="18"/>
                <w:szCs w:val="18"/>
              </w:rPr>
              <w:t>7.7</w:t>
            </w:r>
          </w:p>
        </w:tc>
        <w:tc>
          <w:tcPr>
            <w:tcW w:w="428" w:type="pct"/>
            <w:shd w:val="clear" w:color="auto" w:fill="auto"/>
            <w:vAlign w:val="center"/>
          </w:tcPr>
          <w:p w14:paraId="60AD54B6" w14:textId="77777777" w:rsidR="006B15F5" w:rsidRPr="00941B19" w:rsidRDefault="006B15F5" w:rsidP="00147C8B">
            <w:pPr>
              <w:spacing w:before="0" w:after="0" w:line="240" w:lineRule="auto"/>
              <w:jc w:val="center"/>
              <w:rPr>
                <w:sz w:val="18"/>
                <w:szCs w:val="18"/>
              </w:rPr>
            </w:pPr>
            <w:r>
              <w:rPr>
                <w:rFonts w:ascii="GHEA Grapalat" w:hAnsi="GHEA Grapalat" w:cs="Calibri"/>
                <w:color w:val="404040"/>
                <w:sz w:val="18"/>
                <w:szCs w:val="18"/>
              </w:rPr>
              <w:t>10.7</w:t>
            </w:r>
          </w:p>
        </w:tc>
        <w:tc>
          <w:tcPr>
            <w:tcW w:w="454" w:type="pct"/>
            <w:shd w:val="clear" w:color="auto" w:fill="auto"/>
            <w:vAlign w:val="center"/>
          </w:tcPr>
          <w:p w14:paraId="7497ABBF" w14:textId="77777777" w:rsidR="006B15F5" w:rsidRPr="00941B19" w:rsidRDefault="006B15F5" w:rsidP="00147C8B">
            <w:pPr>
              <w:spacing w:before="0" w:after="0" w:line="240" w:lineRule="auto"/>
              <w:jc w:val="center"/>
              <w:rPr>
                <w:sz w:val="18"/>
                <w:szCs w:val="18"/>
              </w:rPr>
            </w:pPr>
            <w:r>
              <w:rPr>
                <w:rFonts w:ascii="GHEA Grapalat" w:hAnsi="GHEA Grapalat" w:cs="Calibri"/>
                <w:color w:val="404040"/>
                <w:sz w:val="18"/>
                <w:szCs w:val="18"/>
              </w:rPr>
              <w:t>15.8</w:t>
            </w:r>
          </w:p>
        </w:tc>
        <w:tc>
          <w:tcPr>
            <w:tcW w:w="454" w:type="pct"/>
            <w:vAlign w:val="center"/>
          </w:tcPr>
          <w:p w14:paraId="79A4B239" w14:textId="77777777" w:rsidR="006B15F5" w:rsidRDefault="006B15F5" w:rsidP="00147C8B">
            <w:pPr>
              <w:spacing w:before="0" w:after="0" w:line="240" w:lineRule="auto"/>
              <w:jc w:val="center"/>
              <w:rPr>
                <w:rFonts w:ascii="GHEA Grapalat" w:hAnsi="GHEA Grapalat" w:cs="Calibri"/>
                <w:color w:val="404040"/>
                <w:sz w:val="18"/>
                <w:szCs w:val="18"/>
              </w:rPr>
            </w:pPr>
            <w:r>
              <w:rPr>
                <w:rFonts w:ascii="GHEA Grapalat" w:hAnsi="GHEA Grapalat" w:cs="Calibri"/>
                <w:color w:val="404040"/>
                <w:sz w:val="18"/>
                <w:szCs w:val="18"/>
              </w:rPr>
              <w:t>16.2</w:t>
            </w:r>
          </w:p>
        </w:tc>
        <w:tc>
          <w:tcPr>
            <w:tcW w:w="454" w:type="pct"/>
            <w:vAlign w:val="center"/>
          </w:tcPr>
          <w:p w14:paraId="3E562E04" w14:textId="77777777" w:rsidR="006B15F5" w:rsidRDefault="006B15F5" w:rsidP="00147C8B">
            <w:pPr>
              <w:spacing w:before="0" w:after="0" w:line="240" w:lineRule="auto"/>
              <w:jc w:val="center"/>
              <w:rPr>
                <w:rFonts w:ascii="GHEA Grapalat" w:hAnsi="GHEA Grapalat" w:cs="Calibri"/>
                <w:color w:val="404040"/>
                <w:sz w:val="18"/>
                <w:szCs w:val="18"/>
              </w:rPr>
            </w:pPr>
            <w:r>
              <w:rPr>
                <w:rFonts w:ascii="GHEA Grapalat" w:hAnsi="GHEA Grapalat" w:cs="Calibri"/>
                <w:color w:val="404040"/>
                <w:sz w:val="18"/>
                <w:szCs w:val="18"/>
              </w:rPr>
              <w:t>14.7</w:t>
            </w:r>
          </w:p>
        </w:tc>
        <w:tc>
          <w:tcPr>
            <w:tcW w:w="480" w:type="pct"/>
            <w:shd w:val="clear" w:color="auto" w:fill="auto"/>
            <w:vAlign w:val="center"/>
          </w:tcPr>
          <w:p w14:paraId="0B302C4B" w14:textId="77777777" w:rsidR="006B15F5" w:rsidRPr="00941B19" w:rsidRDefault="006B15F5" w:rsidP="00147C8B">
            <w:pPr>
              <w:spacing w:before="0" w:after="0" w:line="240" w:lineRule="auto"/>
              <w:jc w:val="center"/>
              <w:rPr>
                <w:sz w:val="18"/>
                <w:szCs w:val="18"/>
              </w:rPr>
            </w:pPr>
            <w:r>
              <w:rPr>
                <w:rFonts w:ascii="GHEA Grapalat" w:hAnsi="GHEA Grapalat" w:cs="Calibri"/>
                <w:color w:val="404040"/>
                <w:sz w:val="18"/>
                <w:szCs w:val="18"/>
              </w:rPr>
              <w:t>25.8</w:t>
            </w:r>
          </w:p>
        </w:tc>
      </w:tr>
      <w:tr w:rsidR="006B15F5" w:rsidRPr="00941B19" w14:paraId="63C68939" w14:textId="77777777" w:rsidTr="00147C8B">
        <w:trPr>
          <w:trHeight w:val="317"/>
        </w:trPr>
        <w:tc>
          <w:tcPr>
            <w:tcW w:w="1823" w:type="pct"/>
            <w:shd w:val="clear" w:color="auto" w:fill="auto"/>
            <w:vAlign w:val="center"/>
            <w:hideMark/>
          </w:tcPr>
          <w:p w14:paraId="2E16E363" w14:textId="77777777" w:rsidR="006B15F5" w:rsidRPr="003F2203" w:rsidRDefault="006B15F5" w:rsidP="00147C8B">
            <w:pPr>
              <w:spacing w:before="0" w:after="0" w:line="240" w:lineRule="auto"/>
              <w:ind w:right="495"/>
              <w:rPr>
                <w:color w:val="A6A6A6" w:themeColor="background1" w:themeShade="A6"/>
                <w:sz w:val="18"/>
                <w:szCs w:val="18"/>
              </w:rPr>
            </w:pPr>
            <w:r w:rsidRPr="003F2203">
              <w:rPr>
                <w:color w:val="A6A6A6" w:themeColor="background1" w:themeShade="A6"/>
                <w:sz w:val="18"/>
                <w:szCs w:val="18"/>
              </w:rPr>
              <w:t>ՀՆԱ-ի նկատմամբ (%)</w:t>
            </w:r>
          </w:p>
        </w:tc>
        <w:tc>
          <w:tcPr>
            <w:tcW w:w="453" w:type="pct"/>
            <w:shd w:val="clear" w:color="auto" w:fill="auto"/>
            <w:vAlign w:val="center"/>
          </w:tcPr>
          <w:p w14:paraId="3F1E2A2D" w14:textId="77777777" w:rsidR="006B15F5" w:rsidRPr="003F2203" w:rsidRDefault="006B15F5" w:rsidP="00147C8B">
            <w:pPr>
              <w:spacing w:before="0" w:after="0" w:line="240" w:lineRule="auto"/>
              <w:jc w:val="center"/>
              <w:rPr>
                <w:color w:val="A6A6A6" w:themeColor="background1" w:themeShade="A6"/>
                <w:sz w:val="18"/>
                <w:szCs w:val="18"/>
              </w:rPr>
            </w:pPr>
            <w:r>
              <w:rPr>
                <w:rFonts w:ascii="GHEA Grapalat" w:hAnsi="GHEA Grapalat" w:cs="Calibri"/>
                <w:color w:val="A6A6A6"/>
                <w:sz w:val="18"/>
                <w:szCs w:val="18"/>
              </w:rPr>
              <w:t>0.1%</w:t>
            </w:r>
          </w:p>
        </w:tc>
        <w:tc>
          <w:tcPr>
            <w:tcW w:w="454" w:type="pct"/>
            <w:shd w:val="clear" w:color="auto" w:fill="auto"/>
            <w:vAlign w:val="center"/>
          </w:tcPr>
          <w:p w14:paraId="0344D8B1" w14:textId="77777777" w:rsidR="006B15F5" w:rsidRPr="003F2203" w:rsidRDefault="006B15F5" w:rsidP="00147C8B">
            <w:pPr>
              <w:spacing w:before="0" w:after="0" w:line="240" w:lineRule="auto"/>
              <w:jc w:val="center"/>
              <w:rPr>
                <w:color w:val="A6A6A6" w:themeColor="background1" w:themeShade="A6"/>
                <w:sz w:val="18"/>
                <w:szCs w:val="18"/>
              </w:rPr>
            </w:pPr>
            <w:r>
              <w:rPr>
                <w:rFonts w:ascii="GHEA Grapalat" w:hAnsi="GHEA Grapalat" w:cs="Calibri"/>
                <w:color w:val="A6A6A6"/>
                <w:sz w:val="18"/>
                <w:szCs w:val="18"/>
              </w:rPr>
              <w:t>0.1%</w:t>
            </w:r>
          </w:p>
        </w:tc>
        <w:tc>
          <w:tcPr>
            <w:tcW w:w="428" w:type="pct"/>
            <w:shd w:val="clear" w:color="auto" w:fill="auto"/>
            <w:vAlign w:val="center"/>
          </w:tcPr>
          <w:p w14:paraId="0339B7B3" w14:textId="77777777" w:rsidR="006B15F5" w:rsidRPr="003F2203" w:rsidRDefault="006B15F5" w:rsidP="00147C8B">
            <w:pPr>
              <w:spacing w:before="0" w:after="0" w:line="240" w:lineRule="auto"/>
              <w:jc w:val="center"/>
              <w:rPr>
                <w:color w:val="A6A6A6" w:themeColor="background1" w:themeShade="A6"/>
                <w:sz w:val="18"/>
                <w:szCs w:val="18"/>
              </w:rPr>
            </w:pPr>
            <w:r>
              <w:rPr>
                <w:rFonts w:ascii="GHEA Grapalat" w:hAnsi="GHEA Grapalat" w:cs="Calibri"/>
                <w:color w:val="A6A6A6"/>
                <w:sz w:val="18"/>
                <w:szCs w:val="18"/>
              </w:rPr>
              <w:t>0.1%</w:t>
            </w:r>
          </w:p>
        </w:tc>
        <w:tc>
          <w:tcPr>
            <w:tcW w:w="454" w:type="pct"/>
            <w:shd w:val="clear" w:color="auto" w:fill="auto"/>
            <w:vAlign w:val="center"/>
          </w:tcPr>
          <w:p w14:paraId="584906C0" w14:textId="77777777" w:rsidR="006B15F5" w:rsidRPr="003F2203" w:rsidRDefault="006B15F5" w:rsidP="00147C8B">
            <w:pPr>
              <w:spacing w:before="0" w:after="0" w:line="240" w:lineRule="auto"/>
              <w:jc w:val="center"/>
              <w:rPr>
                <w:color w:val="A6A6A6" w:themeColor="background1" w:themeShade="A6"/>
                <w:sz w:val="18"/>
                <w:szCs w:val="18"/>
                <w:lang w:val="ru-RU"/>
              </w:rPr>
            </w:pPr>
            <w:r>
              <w:rPr>
                <w:rFonts w:ascii="GHEA Grapalat" w:hAnsi="GHEA Grapalat" w:cs="Calibri"/>
                <w:color w:val="A6A6A6"/>
                <w:sz w:val="18"/>
                <w:szCs w:val="18"/>
              </w:rPr>
              <w:t>0.1%</w:t>
            </w:r>
          </w:p>
        </w:tc>
        <w:tc>
          <w:tcPr>
            <w:tcW w:w="454" w:type="pct"/>
            <w:vAlign w:val="center"/>
          </w:tcPr>
          <w:p w14:paraId="0494D17C" w14:textId="77777777" w:rsidR="006B15F5" w:rsidRDefault="006B15F5" w:rsidP="00147C8B">
            <w:pPr>
              <w:spacing w:before="0" w:after="0" w:line="240" w:lineRule="auto"/>
              <w:jc w:val="center"/>
              <w:rPr>
                <w:rFonts w:ascii="GHEA Grapalat" w:hAnsi="GHEA Grapalat" w:cs="Calibri"/>
                <w:color w:val="A6A6A6"/>
                <w:sz w:val="18"/>
                <w:szCs w:val="18"/>
              </w:rPr>
            </w:pPr>
            <w:r>
              <w:rPr>
                <w:rFonts w:ascii="GHEA Grapalat" w:hAnsi="GHEA Grapalat" w:cs="Calibri"/>
                <w:color w:val="A6A6A6"/>
                <w:sz w:val="18"/>
                <w:szCs w:val="18"/>
              </w:rPr>
              <w:t>0.1%</w:t>
            </w:r>
          </w:p>
        </w:tc>
        <w:tc>
          <w:tcPr>
            <w:tcW w:w="454" w:type="pct"/>
            <w:vAlign w:val="center"/>
          </w:tcPr>
          <w:p w14:paraId="5C3536CC" w14:textId="77777777" w:rsidR="006B15F5" w:rsidRDefault="006B15F5" w:rsidP="00147C8B">
            <w:pPr>
              <w:spacing w:before="0" w:after="0" w:line="240" w:lineRule="auto"/>
              <w:jc w:val="center"/>
              <w:rPr>
                <w:rFonts w:ascii="GHEA Grapalat" w:hAnsi="GHEA Grapalat" w:cs="Calibri"/>
                <w:color w:val="A6A6A6"/>
                <w:sz w:val="18"/>
                <w:szCs w:val="18"/>
              </w:rPr>
            </w:pPr>
            <w:r>
              <w:rPr>
                <w:rFonts w:ascii="GHEA Grapalat" w:hAnsi="GHEA Grapalat" w:cs="Calibri"/>
                <w:color w:val="A6A6A6"/>
                <w:sz w:val="18"/>
                <w:szCs w:val="18"/>
              </w:rPr>
              <w:t>0.1%</w:t>
            </w:r>
          </w:p>
        </w:tc>
        <w:tc>
          <w:tcPr>
            <w:tcW w:w="480" w:type="pct"/>
            <w:shd w:val="clear" w:color="auto" w:fill="auto"/>
            <w:vAlign w:val="center"/>
          </w:tcPr>
          <w:p w14:paraId="00840528" w14:textId="77777777" w:rsidR="006B15F5" w:rsidRPr="003F2203" w:rsidRDefault="006B15F5" w:rsidP="00147C8B">
            <w:pPr>
              <w:spacing w:before="0" w:after="0" w:line="240" w:lineRule="auto"/>
              <w:jc w:val="center"/>
              <w:rPr>
                <w:color w:val="A6A6A6" w:themeColor="background1" w:themeShade="A6"/>
                <w:sz w:val="18"/>
                <w:szCs w:val="18"/>
              </w:rPr>
            </w:pPr>
            <w:r>
              <w:rPr>
                <w:rFonts w:ascii="GHEA Grapalat" w:hAnsi="GHEA Grapalat" w:cs="Calibri"/>
                <w:color w:val="A6A6A6"/>
                <w:sz w:val="18"/>
                <w:szCs w:val="18"/>
              </w:rPr>
              <w:t>0.2%</w:t>
            </w:r>
          </w:p>
        </w:tc>
      </w:tr>
      <w:tr w:rsidR="006B15F5" w:rsidRPr="00941B19" w14:paraId="150D2159" w14:textId="77777777" w:rsidTr="00147C8B">
        <w:trPr>
          <w:trHeight w:val="317"/>
        </w:trPr>
        <w:tc>
          <w:tcPr>
            <w:tcW w:w="1823" w:type="pct"/>
            <w:shd w:val="clear" w:color="auto" w:fill="auto"/>
            <w:vAlign w:val="center"/>
            <w:hideMark/>
          </w:tcPr>
          <w:p w14:paraId="528B4AAA" w14:textId="77777777" w:rsidR="006B15F5" w:rsidRPr="003F2203" w:rsidRDefault="006B15F5" w:rsidP="00147C8B">
            <w:pPr>
              <w:spacing w:before="0" w:after="0" w:line="240" w:lineRule="auto"/>
              <w:ind w:right="495"/>
              <w:rPr>
                <w:color w:val="A6A6A6" w:themeColor="background1" w:themeShade="A6"/>
                <w:sz w:val="18"/>
                <w:szCs w:val="18"/>
              </w:rPr>
            </w:pPr>
            <w:r w:rsidRPr="003F2203">
              <w:rPr>
                <w:color w:val="A6A6A6" w:themeColor="background1" w:themeShade="A6"/>
                <w:sz w:val="18"/>
                <w:szCs w:val="18"/>
              </w:rPr>
              <w:t>Ընդհանուր ծախսերում (%)</w:t>
            </w:r>
          </w:p>
        </w:tc>
        <w:tc>
          <w:tcPr>
            <w:tcW w:w="453" w:type="pct"/>
            <w:shd w:val="clear" w:color="auto" w:fill="auto"/>
            <w:vAlign w:val="center"/>
          </w:tcPr>
          <w:p w14:paraId="44BC43D5" w14:textId="77777777" w:rsidR="006B15F5" w:rsidRPr="003F2203" w:rsidRDefault="006B15F5" w:rsidP="00147C8B">
            <w:pPr>
              <w:spacing w:before="0" w:after="0" w:line="240" w:lineRule="auto"/>
              <w:jc w:val="center"/>
              <w:rPr>
                <w:color w:val="A6A6A6" w:themeColor="background1" w:themeShade="A6"/>
                <w:sz w:val="18"/>
                <w:szCs w:val="18"/>
              </w:rPr>
            </w:pPr>
            <w:r>
              <w:rPr>
                <w:rFonts w:ascii="GHEA Grapalat" w:hAnsi="GHEA Grapalat" w:cs="Calibri"/>
                <w:color w:val="A6A6A6"/>
                <w:sz w:val="18"/>
                <w:szCs w:val="18"/>
              </w:rPr>
              <w:t>0.3%</w:t>
            </w:r>
          </w:p>
        </w:tc>
        <w:tc>
          <w:tcPr>
            <w:tcW w:w="454" w:type="pct"/>
            <w:shd w:val="clear" w:color="auto" w:fill="auto"/>
            <w:vAlign w:val="center"/>
          </w:tcPr>
          <w:p w14:paraId="058327B0" w14:textId="77777777" w:rsidR="006B15F5" w:rsidRPr="003F2203" w:rsidRDefault="006B15F5" w:rsidP="00147C8B">
            <w:pPr>
              <w:spacing w:before="0" w:after="0" w:line="240" w:lineRule="auto"/>
              <w:jc w:val="center"/>
              <w:rPr>
                <w:color w:val="A6A6A6" w:themeColor="background1" w:themeShade="A6"/>
                <w:sz w:val="18"/>
                <w:szCs w:val="18"/>
              </w:rPr>
            </w:pPr>
            <w:r>
              <w:rPr>
                <w:rFonts w:ascii="GHEA Grapalat" w:hAnsi="GHEA Grapalat" w:cs="Calibri"/>
                <w:color w:val="A6A6A6"/>
                <w:sz w:val="18"/>
                <w:szCs w:val="18"/>
              </w:rPr>
              <w:t>0.3%</w:t>
            </w:r>
          </w:p>
        </w:tc>
        <w:tc>
          <w:tcPr>
            <w:tcW w:w="428" w:type="pct"/>
            <w:shd w:val="clear" w:color="auto" w:fill="auto"/>
            <w:vAlign w:val="center"/>
          </w:tcPr>
          <w:p w14:paraId="13962E3B" w14:textId="77777777" w:rsidR="006B15F5" w:rsidRPr="003F2203" w:rsidRDefault="006B15F5" w:rsidP="00147C8B">
            <w:pPr>
              <w:spacing w:before="0" w:after="0" w:line="240" w:lineRule="auto"/>
              <w:jc w:val="center"/>
              <w:rPr>
                <w:color w:val="A6A6A6" w:themeColor="background1" w:themeShade="A6"/>
                <w:sz w:val="18"/>
                <w:szCs w:val="18"/>
              </w:rPr>
            </w:pPr>
            <w:r>
              <w:rPr>
                <w:rFonts w:ascii="GHEA Grapalat" w:hAnsi="GHEA Grapalat" w:cs="Calibri"/>
                <w:color w:val="A6A6A6"/>
                <w:sz w:val="18"/>
                <w:szCs w:val="18"/>
              </w:rPr>
              <w:t>0.4%</w:t>
            </w:r>
          </w:p>
        </w:tc>
        <w:tc>
          <w:tcPr>
            <w:tcW w:w="454" w:type="pct"/>
            <w:shd w:val="clear" w:color="auto" w:fill="auto"/>
            <w:vAlign w:val="center"/>
          </w:tcPr>
          <w:p w14:paraId="0378561E" w14:textId="77777777" w:rsidR="006B15F5" w:rsidRPr="003F2203" w:rsidRDefault="006B15F5" w:rsidP="00147C8B">
            <w:pPr>
              <w:spacing w:before="0" w:after="0" w:line="240" w:lineRule="auto"/>
              <w:jc w:val="center"/>
              <w:rPr>
                <w:color w:val="A6A6A6" w:themeColor="background1" w:themeShade="A6"/>
                <w:sz w:val="18"/>
                <w:szCs w:val="18"/>
              </w:rPr>
            </w:pPr>
            <w:r>
              <w:rPr>
                <w:rFonts w:ascii="GHEA Grapalat" w:hAnsi="GHEA Grapalat" w:cs="Calibri"/>
                <w:color w:val="A6A6A6"/>
                <w:sz w:val="18"/>
                <w:szCs w:val="18"/>
              </w:rPr>
              <w:t>0.5%</w:t>
            </w:r>
          </w:p>
        </w:tc>
        <w:tc>
          <w:tcPr>
            <w:tcW w:w="454" w:type="pct"/>
            <w:vAlign w:val="center"/>
          </w:tcPr>
          <w:p w14:paraId="3A8C77B8" w14:textId="77777777" w:rsidR="006B15F5" w:rsidRDefault="006B15F5" w:rsidP="00147C8B">
            <w:pPr>
              <w:spacing w:before="0" w:after="0" w:line="240" w:lineRule="auto"/>
              <w:jc w:val="center"/>
              <w:rPr>
                <w:rFonts w:ascii="GHEA Grapalat" w:hAnsi="GHEA Grapalat" w:cs="Calibri"/>
                <w:color w:val="A6A6A6"/>
                <w:sz w:val="18"/>
                <w:szCs w:val="18"/>
              </w:rPr>
            </w:pPr>
            <w:r>
              <w:rPr>
                <w:rFonts w:ascii="GHEA Grapalat" w:hAnsi="GHEA Grapalat" w:cs="Calibri"/>
                <w:color w:val="A6A6A6"/>
                <w:sz w:val="18"/>
                <w:szCs w:val="18"/>
              </w:rPr>
              <w:t>0.4%</w:t>
            </w:r>
          </w:p>
        </w:tc>
        <w:tc>
          <w:tcPr>
            <w:tcW w:w="454" w:type="pct"/>
            <w:vAlign w:val="center"/>
          </w:tcPr>
          <w:p w14:paraId="39D997E0" w14:textId="77777777" w:rsidR="006B15F5" w:rsidRDefault="006B15F5" w:rsidP="00147C8B">
            <w:pPr>
              <w:spacing w:before="0" w:after="0" w:line="240" w:lineRule="auto"/>
              <w:jc w:val="center"/>
              <w:rPr>
                <w:rFonts w:ascii="GHEA Grapalat" w:hAnsi="GHEA Grapalat" w:cs="Calibri"/>
                <w:color w:val="A6A6A6"/>
                <w:sz w:val="18"/>
                <w:szCs w:val="18"/>
              </w:rPr>
            </w:pPr>
            <w:r>
              <w:rPr>
                <w:rFonts w:ascii="GHEA Grapalat" w:hAnsi="GHEA Grapalat" w:cs="Calibri"/>
                <w:color w:val="A6A6A6"/>
                <w:sz w:val="18"/>
                <w:szCs w:val="18"/>
              </w:rPr>
              <w:t>0.4%</w:t>
            </w:r>
          </w:p>
        </w:tc>
        <w:tc>
          <w:tcPr>
            <w:tcW w:w="480" w:type="pct"/>
            <w:shd w:val="clear" w:color="auto" w:fill="auto"/>
            <w:vAlign w:val="center"/>
          </w:tcPr>
          <w:p w14:paraId="6BA43188" w14:textId="77777777" w:rsidR="006B15F5" w:rsidRPr="003F2203" w:rsidRDefault="006B15F5" w:rsidP="00147C8B">
            <w:pPr>
              <w:spacing w:before="0" w:after="0" w:line="240" w:lineRule="auto"/>
              <w:jc w:val="center"/>
              <w:rPr>
                <w:color w:val="A6A6A6" w:themeColor="background1" w:themeShade="A6"/>
                <w:sz w:val="18"/>
                <w:szCs w:val="18"/>
              </w:rPr>
            </w:pPr>
            <w:r>
              <w:rPr>
                <w:rFonts w:ascii="GHEA Grapalat" w:hAnsi="GHEA Grapalat" w:cs="Calibri"/>
                <w:color w:val="A6A6A6"/>
                <w:sz w:val="18"/>
                <w:szCs w:val="18"/>
              </w:rPr>
              <w:t>0.6%</w:t>
            </w:r>
          </w:p>
        </w:tc>
      </w:tr>
      <w:tr w:rsidR="006B15F5" w:rsidRPr="00941B19" w14:paraId="60B3023D" w14:textId="77777777" w:rsidTr="00147C8B">
        <w:trPr>
          <w:trHeight w:val="317"/>
        </w:trPr>
        <w:tc>
          <w:tcPr>
            <w:tcW w:w="1823" w:type="pct"/>
            <w:shd w:val="clear" w:color="auto" w:fill="auto"/>
            <w:vAlign w:val="center"/>
            <w:hideMark/>
          </w:tcPr>
          <w:p w14:paraId="33C51F63" w14:textId="77777777" w:rsidR="006B15F5" w:rsidRPr="00941B19" w:rsidRDefault="006B15F5" w:rsidP="00147C8B">
            <w:pPr>
              <w:spacing w:before="0" w:after="0" w:line="240" w:lineRule="auto"/>
              <w:ind w:right="495"/>
              <w:rPr>
                <w:sz w:val="18"/>
                <w:szCs w:val="18"/>
              </w:rPr>
            </w:pPr>
            <w:r w:rsidRPr="00941B19">
              <w:rPr>
                <w:sz w:val="18"/>
                <w:szCs w:val="18"/>
              </w:rPr>
              <w:t>3. Բնակարանային շինարարություն և կոմունալ ծառայություններ</w:t>
            </w:r>
          </w:p>
        </w:tc>
        <w:tc>
          <w:tcPr>
            <w:tcW w:w="453" w:type="pct"/>
            <w:shd w:val="clear" w:color="auto" w:fill="auto"/>
            <w:vAlign w:val="center"/>
          </w:tcPr>
          <w:p w14:paraId="2C51DA74" w14:textId="77777777" w:rsidR="006B15F5" w:rsidRPr="00941B19" w:rsidRDefault="006B15F5" w:rsidP="00147C8B">
            <w:pPr>
              <w:spacing w:before="0" w:after="0" w:line="240" w:lineRule="auto"/>
              <w:jc w:val="center"/>
              <w:rPr>
                <w:sz w:val="18"/>
                <w:szCs w:val="18"/>
              </w:rPr>
            </w:pPr>
            <w:r>
              <w:rPr>
                <w:rFonts w:ascii="GHEA Grapalat" w:hAnsi="GHEA Grapalat" w:cs="Calibri"/>
                <w:color w:val="404040"/>
                <w:sz w:val="18"/>
                <w:szCs w:val="18"/>
              </w:rPr>
              <w:t>9.5</w:t>
            </w:r>
          </w:p>
        </w:tc>
        <w:tc>
          <w:tcPr>
            <w:tcW w:w="454" w:type="pct"/>
            <w:shd w:val="clear" w:color="auto" w:fill="auto"/>
            <w:vAlign w:val="center"/>
          </w:tcPr>
          <w:p w14:paraId="5B36648A" w14:textId="77777777" w:rsidR="006B15F5" w:rsidRPr="00941B19" w:rsidRDefault="006B15F5" w:rsidP="00147C8B">
            <w:pPr>
              <w:spacing w:before="0" w:after="0" w:line="240" w:lineRule="auto"/>
              <w:jc w:val="center"/>
              <w:rPr>
                <w:sz w:val="18"/>
                <w:szCs w:val="18"/>
              </w:rPr>
            </w:pPr>
            <w:r>
              <w:rPr>
                <w:rFonts w:ascii="GHEA Grapalat" w:hAnsi="GHEA Grapalat" w:cs="Calibri"/>
                <w:color w:val="404040"/>
                <w:sz w:val="18"/>
                <w:szCs w:val="18"/>
              </w:rPr>
              <w:t>10.9</w:t>
            </w:r>
          </w:p>
        </w:tc>
        <w:tc>
          <w:tcPr>
            <w:tcW w:w="428" w:type="pct"/>
            <w:shd w:val="clear" w:color="auto" w:fill="auto"/>
            <w:vAlign w:val="center"/>
          </w:tcPr>
          <w:p w14:paraId="50BBD826" w14:textId="77777777" w:rsidR="006B15F5" w:rsidRPr="00941B19" w:rsidRDefault="006B15F5" w:rsidP="00147C8B">
            <w:pPr>
              <w:spacing w:before="0" w:after="0" w:line="240" w:lineRule="auto"/>
              <w:jc w:val="center"/>
              <w:rPr>
                <w:sz w:val="18"/>
                <w:szCs w:val="18"/>
              </w:rPr>
            </w:pPr>
            <w:r>
              <w:rPr>
                <w:rFonts w:ascii="GHEA Grapalat" w:hAnsi="GHEA Grapalat" w:cs="Calibri"/>
                <w:color w:val="404040"/>
                <w:sz w:val="18"/>
                <w:szCs w:val="18"/>
              </w:rPr>
              <w:t>14.5</w:t>
            </w:r>
          </w:p>
        </w:tc>
        <w:tc>
          <w:tcPr>
            <w:tcW w:w="454" w:type="pct"/>
            <w:shd w:val="clear" w:color="auto" w:fill="auto"/>
            <w:vAlign w:val="center"/>
          </w:tcPr>
          <w:p w14:paraId="516017B9" w14:textId="77777777" w:rsidR="006B15F5" w:rsidRPr="00941B19" w:rsidRDefault="006B15F5" w:rsidP="00147C8B">
            <w:pPr>
              <w:spacing w:before="0" w:after="0" w:line="240" w:lineRule="auto"/>
              <w:jc w:val="center"/>
              <w:rPr>
                <w:sz w:val="18"/>
                <w:szCs w:val="18"/>
              </w:rPr>
            </w:pPr>
            <w:r>
              <w:rPr>
                <w:rFonts w:ascii="GHEA Grapalat" w:hAnsi="GHEA Grapalat" w:cs="Calibri"/>
                <w:color w:val="404040"/>
                <w:sz w:val="18"/>
                <w:szCs w:val="18"/>
              </w:rPr>
              <w:t>16.8</w:t>
            </w:r>
          </w:p>
        </w:tc>
        <w:tc>
          <w:tcPr>
            <w:tcW w:w="454" w:type="pct"/>
            <w:vAlign w:val="center"/>
          </w:tcPr>
          <w:p w14:paraId="6E7AFFF4" w14:textId="77777777" w:rsidR="006B15F5" w:rsidRDefault="006B15F5" w:rsidP="00147C8B">
            <w:pPr>
              <w:spacing w:before="0" w:after="0" w:line="240" w:lineRule="auto"/>
              <w:jc w:val="center"/>
              <w:rPr>
                <w:rFonts w:ascii="GHEA Grapalat" w:hAnsi="GHEA Grapalat" w:cs="Calibri"/>
                <w:color w:val="404040"/>
                <w:sz w:val="18"/>
                <w:szCs w:val="18"/>
              </w:rPr>
            </w:pPr>
            <w:r>
              <w:rPr>
                <w:rFonts w:ascii="GHEA Grapalat" w:hAnsi="GHEA Grapalat" w:cs="Calibri"/>
                <w:color w:val="404040"/>
                <w:sz w:val="18"/>
                <w:szCs w:val="18"/>
              </w:rPr>
              <w:t>13.3</w:t>
            </w:r>
          </w:p>
        </w:tc>
        <w:tc>
          <w:tcPr>
            <w:tcW w:w="454" w:type="pct"/>
            <w:vAlign w:val="center"/>
          </w:tcPr>
          <w:p w14:paraId="7FBA151E" w14:textId="77777777" w:rsidR="006B15F5" w:rsidRDefault="006B15F5" w:rsidP="00147C8B">
            <w:pPr>
              <w:spacing w:before="0" w:after="0" w:line="240" w:lineRule="auto"/>
              <w:jc w:val="center"/>
              <w:rPr>
                <w:rFonts w:ascii="GHEA Grapalat" w:hAnsi="GHEA Grapalat" w:cs="Calibri"/>
                <w:color w:val="404040"/>
                <w:sz w:val="18"/>
                <w:szCs w:val="18"/>
              </w:rPr>
            </w:pPr>
            <w:r>
              <w:rPr>
                <w:rFonts w:ascii="GHEA Grapalat" w:hAnsi="GHEA Grapalat" w:cs="Calibri"/>
                <w:color w:val="404040"/>
                <w:sz w:val="18"/>
                <w:szCs w:val="18"/>
              </w:rPr>
              <w:t>7.4</w:t>
            </w:r>
          </w:p>
        </w:tc>
        <w:tc>
          <w:tcPr>
            <w:tcW w:w="480" w:type="pct"/>
            <w:shd w:val="clear" w:color="auto" w:fill="auto"/>
            <w:vAlign w:val="center"/>
          </w:tcPr>
          <w:p w14:paraId="20C92C3E" w14:textId="77777777" w:rsidR="006B15F5" w:rsidRPr="00941B19" w:rsidRDefault="006B15F5" w:rsidP="00147C8B">
            <w:pPr>
              <w:spacing w:before="0" w:after="0" w:line="240" w:lineRule="auto"/>
              <w:jc w:val="center"/>
              <w:rPr>
                <w:sz w:val="18"/>
                <w:szCs w:val="18"/>
              </w:rPr>
            </w:pPr>
            <w:r>
              <w:rPr>
                <w:rFonts w:ascii="GHEA Grapalat" w:hAnsi="GHEA Grapalat" w:cs="Calibri"/>
                <w:color w:val="404040"/>
                <w:sz w:val="18"/>
                <w:szCs w:val="18"/>
              </w:rPr>
              <w:t>13.7</w:t>
            </w:r>
          </w:p>
        </w:tc>
      </w:tr>
      <w:tr w:rsidR="006B15F5" w:rsidRPr="00941B19" w14:paraId="506442F8" w14:textId="77777777" w:rsidTr="00147C8B">
        <w:trPr>
          <w:trHeight w:val="317"/>
        </w:trPr>
        <w:tc>
          <w:tcPr>
            <w:tcW w:w="1823" w:type="pct"/>
            <w:shd w:val="clear" w:color="auto" w:fill="auto"/>
            <w:vAlign w:val="center"/>
            <w:hideMark/>
          </w:tcPr>
          <w:p w14:paraId="4E69D572" w14:textId="77777777" w:rsidR="006B15F5" w:rsidRPr="003F2203" w:rsidRDefault="006B15F5" w:rsidP="00147C8B">
            <w:pPr>
              <w:spacing w:before="0" w:after="0" w:line="240" w:lineRule="auto"/>
              <w:ind w:right="495"/>
              <w:rPr>
                <w:color w:val="A6A6A6" w:themeColor="background1" w:themeShade="A6"/>
                <w:sz w:val="18"/>
                <w:szCs w:val="18"/>
              </w:rPr>
            </w:pPr>
            <w:r w:rsidRPr="003F2203">
              <w:rPr>
                <w:color w:val="A6A6A6" w:themeColor="background1" w:themeShade="A6"/>
                <w:sz w:val="18"/>
                <w:szCs w:val="18"/>
              </w:rPr>
              <w:t>ՀՆԱ-ի նկատմամբ (%)</w:t>
            </w:r>
          </w:p>
        </w:tc>
        <w:tc>
          <w:tcPr>
            <w:tcW w:w="453" w:type="pct"/>
            <w:shd w:val="clear" w:color="auto" w:fill="auto"/>
            <w:vAlign w:val="center"/>
          </w:tcPr>
          <w:p w14:paraId="4D2E56D9" w14:textId="77777777" w:rsidR="006B15F5" w:rsidRPr="003F2203" w:rsidRDefault="006B15F5" w:rsidP="00147C8B">
            <w:pPr>
              <w:spacing w:before="0" w:after="0" w:line="240" w:lineRule="auto"/>
              <w:jc w:val="center"/>
              <w:rPr>
                <w:color w:val="A6A6A6" w:themeColor="background1" w:themeShade="A6"/>
                <w:sz w:val="18"/>
                <w:szCs w:val="18"/>
              </w:rPr>
            </w:pPr>
            <w:r>
              <w:rPr>
                <w:rFonts w:ascii="GHEA Grapalat" w:hAnsi="GHEA Grapalat" w:cs="Calibri"/>
                <w:color w:val="A6A6A6"/>
                <w:sz w:val="18"/>
                <w:szCs w:val="18"/>
              </w:rPr>
              <w:t>0.1%</w:t>
            </w:r>
          </w:p>
        </w:tc>
        <w:tc>
          <w:tcPr>
            <w:tcW w:w="454" w:type="pct"/>
            <w:shd w:val="clear" w:color="auto" w:fill="auto"/>
            <w:vAlign w:val="center"/>
          </w:tcPr>
          <w:p w14:paraId="05C693E9" w14:textId="77777777" w:rsidR="006B15F5" w:rsidRPr="003F2203" w:rsidRDefault="006B15F5" w:rsidP="00147C8B">
            <w:pPr>
              <w:spacing w:before="0" w:after="0" w:line="240" w:lineRule="auto"/>
              <w:jc w:val="center"/>
              <w:rPr>
                <w:color w:val="A6A6A6" w:themeColor="background1" w:themeShade="A6"/>
                <w:sz w:val="18"/>
                <w:szCs w:val="18"/>
                <w:lang w:val="ru-RU"/>
              </w:rPr>
            </w:pPr>
            <w:r>
              <w:rPr>
                <w:rFonts w:ascii="GHEA Grapalat" w:hAnsi="GHEA Grapalat" w:cs="Calibri"/>
                <w:color w:val="A6A6A6"/>
                <w:sz w:val="18"/>
                <w:szCs w:val="18"/>
              </w:rPr>
              <w:t>0.1%</w:t>
            </w:r>
          </w:p>
        </w:tc>
        <w:tc>
          <w:tcPr>
            <w:tcW w:w="428" w:type="pct"/>
            <w:shd w:val="clear" w:color="auto" w:fill="auto"/>
            <w:vAlign w:val="center"/>
          </w:tcPr>
          <w:p w14:paraId="2E24F34A" w14:textId="77777777" w:rsidR="006B15F5" w:rsidRPr="003F2203" w:rsidRDefault="006B15F5" w:rsidP="00147C8B">
            <w:pPr>
              <w:spacing w:before="0" w:after="0" w:line="240" w:lineRule="auto"/>
              <w:jc w:val="center"/>
              <w:rPr>
                <w:color w:val="A6A6A6" w:themeColor="background1" w:themeShade="A6"/>
                <w:sz w:val="18"/>
                <w:szCs w:val="18"/>
              </w:rPr>
            </w:pPr>
            <w:r>
              <w:rPr>
                <w:rFonts w:ascii="GHEA Grapalat" w:hAnsi="GHEA Grapalat" w:cs="Calibri"/>
                <w:color w:val="A6A6A6"/>
                <w:sz w:val="18"/>
                <w:szCs w:val="18"/>
              </w:rPr>
              <w:t>0.1%</w:t>
            </w:r>
          </w:p>
        </w:tc>
        <w:tc>
          <w:tcPr>
            <w:tcW w:w="454" w:type="pct"/>
            <w:shd w:val="clear" w:color="auto" w:fill="auto"/>
            <w:vAlign w:val="center"/>
          </w:tcPr>
          <w:p w14:paraId="5A9626B6" w14:textId="77777777" w:rsidR="006B15F5" w:rsidRPr="003F2203" w:rsidRDefault="006B15F5" w:rsidP="00147C8B">
            <w:pPr>
              <w:spacing w:before="0" w:after="0" w:line="240" w:lineRule="auto"/>
              <w:jc w:val="center"/>
              <w:rPr>
                <w:color w:val="A6A6A6" w:themeColor="background1" w:themeShade="A6"/>
                <w:sz w:val="18"/>
                <w:szCs w:val="18"/>
              </w:rPr>
            </w:pPr>
            <w:r>
              <w:rPr>
                <w:rFonts w:ascii="GHEA Grapalat" w:hAnsi="GHEA Grapalat" w:cs="Calibri"/>
                <w:color w:val="A6A6A6"/>
                <w:sz w:val="18"/>
                <w:szCs w:val="18"/>
              </w:rPr>
              <w:t>0.2%</w:t>
            </w:r>
          </w:p>
        </w:tc>
        <w:tc>
          <w:tcPr>
            <w:tcW w:w="454" w:type="pct"/>
            <w:vAlign w:val="center"/>
          </w:tcPr>
          <w:p w14:paraId="4D58033C" w14:textId="77777777" w:rsidR="006B15F5" w:rsidRDefault="006B15F5" w:rsidP="00147C8B">
            <w:pPr>
              <w:spacing w:before="0" w:after="0" w:line="240" w:lineRule="auto"/>
              <w:jc w:val="center"/>
              <w:rPr>
                <w:rFonts w:ascii="GHEA Grapalat" w:hAnsi="GHEA Grapalat" w:cs="Calibri"/>
                <w:color w:val="A6A6A6"/>
                <w:sz w:val="18"/>
                <w:szCs w:val="18"/>
              </w:rPr>
            </w:pPr>
            <w:r>
              <w:rPr>
                <w:rFonts w:ascii="GHEA Grapalat" w:hAnsi="GHEA Grapalat" w:cs="Calibri"/>
                <w:color w:val="A6A6A6"/>
                <w:sz w:val="18"/>
                <w:szCs w:val="18"/>
              </w:rPr>
              <w:t>0.1%</w:t>
            </w:r>
          </w:p>
        </w:tc>
        <w:tc>
          <w:tcPr>
            <w:tcW w:w="454" w:type="pct"/>
            <w:vAlign w:val="center"/>
          </w:tcPr>
          <w:p w14:paraId="4480FCF2" w14:textId="77777777" w:rsidR="006B15F5" w:rsidRDefault="006B15F5" w:rsidP="00147C8B">
            <w:pPr>
              <w:spacing w:before="0" w:after="0" w:line="240" w:lineRule="auto"/>
              <w:jc w:val="center"/>
              <w:rPr>
                <w:rFonts w:ascii="GHEA Grapalat" w:hAnsi="GHEA Grapalat" w:cs="Calibri"/>
                <w:color w:val="A6A6A6"/>
                <w:sz w:val="18"/>
                <w:szCs w:val="18"/>
              </w:rPr>
            </w:pPr>
            <w:r>
              <w:rPr>
                <w:rFonts w:ascii="GHEA Grapalat" w:hAnsi="GHEA Grapalat" w:cs="Calibri"/>
                <w:color w:val="A6A6A6"/>
                <w:sz w:val="18"/>
                <w:szCs w:val="18"/>
              </w:rPr>
              <w:t>0.1%</w:t>
            </w:r>
          </w:p>
        </w:tc>
        <w:tc>
          <w:tcPr>
            <w:tcW w:w="480" w:type="pct"/>
            <w:shd w:val="clear" w:color="auto" w:fill="auto"/>
            <w:vAlign w:val="center"/>
          </w:tcPr>
          <w:p w14:paraId="2374BC30" w14:textId="77777777" w:rsidR="006B15F5" w:rsidRPr="003F2203" w:rsidRDefault="006B15F5" w:rsidP="00147C8B">
            <w:pPr>
              <w:spacing w:before="0" w:after="0" w:line="240" w:lineRule="auto"/>
              <w:jc w:val="center"/>
              <w:rPr>
                <w:color w:val="A6A6A6" w:themeColor="background1" w:themeShade="A6"/>
                <w:sz w:val="18"/>
                <w:szCs w:val="18"/>
              </w:rPr>
            </w:pPr>
            <w:r>
              <w:rPr>
                <w:rFonts w:ascii="GHEA Grapalat" w:hAnsi="GHEA Grapalat" w:cs="Calibri"/>
                <w:color w:val="A6A6A6"/>
                <w:sz w:val="18"/>
                <w:szCs w:val="18"/>
              </w:rPr>
              <w:t>0.1%</w:t>
            </w:r>
          </w:p>
        </w:tc>
      </w:tr>
      <w:tr w:rsidR="006B15F5" w:rsidRPr="00941B19" w14:paraId="118EA583" w14:textId="77777777" w:rsidTr="00147C8B">
        <w:trPr>
          <w:trHeight w:val="317"/>
        </w:trPr>
        <w:tc>
          <w:tcPr>
            <w:tcW w:w="1823" w:type="pct"/>
            <w:shd w:val="clear" w:color="auto" w:fill="auto"/>
            <w:vAlign w:val="center"/>
            <w:hideMark/>
          </w:tcPr>
          <w:p w14:paraId="316A1383" w14:textId="77777777" w:rsidR="006B15F5" w:rsidRPr="003F2203" w:rsidRDefault="006B15F5" w:rsidP="00147C8B">
            <w:pPr>
              <w:spacing w:before="0" w:after="0" w:line="240" w:lineRule="auto"/>
              <w:ind w:right="495"/>
              <w:rPr>
                <w:color w:val="A6A6A6" w:themeColor="background1" w:themeShade="A6"/>
                <w:sz w:val="18"/>
                <w:szCs w:val="18"/>
              </w:rPr>
            </w:pPr>
            <w:r w:rsidRPr="003F2203">
              <w:rPr>
                <w:color w:val="A6A6A6" w:themeColor="background1" w:themeShade="A6"/>
                <w:sz w:val="18"/>
                <w:szCs w:val="18"/>
              </w:rPr>
              <w:t>Ընդհանուր ծախսերում (%)</w:t>
            </w:r>
          </w:p>
        </w:tc>
        <w:tc>
          <w:tcPr>
            <w:tcW w:w="453" w:type="pct"/>
            <w:shd w:val="clear" w:color="auto" w:fill="auto"/>
            <w:vAlign w:val="center"/>
          </w:tcPr>
          <w:p w14:paraId="4D7B6640" w14:textId="77777777" w:rsidR="006B15F5" w:rsidRPr="003F2203" w:rsidRDefault="006B15F5" w:rsidP="00147C8B">
            <w:pPr>
              <w:spacing w:before="0" w:after="0" w:line="240" w:lineRule="auto"/>
              <w:jc w:val="center"/>
              <w:rPr>
                <w:color w:val="A6A6A6" w:themeColor="background1" w:themeShade="A6"/>
                <w:sz w:val="18"/>
                <w:szCs w:val="18"/>
              </w:rPr>
            </w:pPr>
            <w:r>
              <w:rPr>
                <w:rFonts w:ascii="GHEA Grapalat" w:hAnsi="GHEA Grapalat" w:cs="Calibri"/>
                <w:color w:val="A6A6A6"/>
                <w:sz w:val="18"/>
                <w:szCs w:val="18"/>
              </w:rPr>
              <w:t>0.4%</w:t>
            </w:r>
          </w:p>
        </w:tc>
        <w:tc>
          <w:tcPr>
            <w:tcW w:w="454" w:type="pct"/>
            <w:shd w:val="clear" w:color="auto" w:fill="auto"/>
            <w:vAlign w:val="center"/>
          </w:tcPr>
          <w:p w14:paraId="120E810A" w14:textId="77777777" w:rsidR="006B15F5" w:rsidRPr="003F2203" w:rsidRDefault="006B15F5" w:rsidP="00147C8B">
            <w:pPr>
              <w:spacing w:before="0" w:after="0" w:line="240" w:lineRule="auto"/>
              <w:jc w:val="center"/>
              <w:rPr>
                <w:color w:val="A6A6A6" w:themeColor="background1" w:themeShade="A6"/>
                <w:sz w:val="18"/>
                <w:szCs w:val="18"/>
              </w:rPr>
            </w:pPr>
            <w:r>
              <w:rPr>
                <w:rFonts w:ascii="GHEA Grapalat" w:hAnsi="GHEA Grapalat" w:cs="Calibri"/>
                <w:color w:val="A6A6A6"/>
                <w:sz w:val="18"/>
                <w:szCs w:val="18"/>
              </w:rPr>
              <w:t>0.4%</w:t>
            </w:r>
          </w:p>
        </w:tc>
        <w:tc>
          <w:tcPr>
            <w:tcW w:w="428" w:type="pct"/>
            <w:shd w:val="clear" w:color="auto" w:fill="auto"/>
            <w:vAlign w:val="center"/>
          </w:tcPr>
          <w:p w14:paraId="517923AA" w14:textId="77777777" w:rsidR="006B15F5" w:rsidRPr="003F2203" w:rsidRDefault="006B15F5" w:rsidP="00147C8B">
            <w:pPr>
              <w:spacing w:before="0" w:after="0" w:line="240" w:lineRule="auto"/>
              <w:jc w:val="center"/>
              <w:rPr>
                <w:color w:val="A6A6A6" w:themeColor="background1" w:themeShade="A6"/>
                <w:sz w:val="18"/>
                <w:szCs w:val="18"/>
              </w:rPr>
            </w:pPr>
            <w:r>
              <w:rPr>
                <w:rFonts w:ascii="GHEA Grapalat" w:hAnsi="GHEA Grapalat" w:cs="Calibri"/>
                <w:color w:val="A6A6A6"/>
                <w:sz w:val="18"/>
                <w:szCs w:val="18"/>
              </w:rPr>
              <w:t>0.5%</w:t>
            </w:r>
          </w:p>
        </w:tc>
        <w:tc>
          <w:tcPr>
            <w:tcW w:w="454" w:type="pct"/>
            <w:shd w:val="clear" w:color="auto" w:fill="auto"/>
            <w:vAlign w:val="center"/>
          </w:tcPr>
          <w:p w14:paraId="2F5A1217" w14:textId="77777777" w:rsidR="006B15F5" w:rsidRPr="003F2203" w:rsidRDefault="006B15F5" w:rsidP="00147C8B">
            <w:pPr>
              <w:spacing w:before="0" w:after="0" w:line="240" w:lineRule="auto"/>
              <w:jc w:val="center"/>
              <w:rPr>
                <w:color w:val="A6A6A6" w:themeColor="background1" w:themeShade="A6"/>
                <w:sz w:val="18"/>
                <w:szCs w:val="18"/>
              </w:rPr>
            </w:pPr>
            <w:r>
              <w:rPr>
                <w:rFonts w:ascii="GHEA Grapalat" w:hAnsi="GHEA Grapalat" w:cs="Calibri"/>
                <w:color w:val="A6A6A6"/>
                <w:sz w:val="18"/>
                <w:szCs w:val="18"/>
              </w:rPr>
              <w:t>0.5%</w:t>
            </w:r>
          </w:p>
        </w:tc>
        <w:tc>
          <w:tcPr>
            <w:tcW w:w="454" w:type="pct"/>
            <w:vAlign w:val="center"/>
          </w:tcPr>
          <w:p w14:paraId="2D74D453" w14:textId="77777777" w:rsidR="006B15F5" w:rsidRDefault="006B15F5" w:rsidP="00147C8B">
            <w:pPr>
              <w:spacing w:before="0" w:after="0" w:line="240" w:lineRule="auto"/>
              <w:jc w:val="center"/>
              <w:rPr>
                <w:rFonts w:ascii="GHEA Grapalat" w:hAnsi="GHEA Grapalat" w:cs="Calibri"/>
                <w:color w:val="A6A6A6"/>
                <w:sz w:val="18"/>
                <w:szCs w:val="18"/>
              </w:rPr>
            </w:pPr>
            <w:r>
              <w:rPr>
                <w:rFonts w:ascii="GHEA Grapalat" w:hAnsi="GHEA Grapalat" w:cs="Calibri"/>
                <w:color w:val="A6A6A6"/>
                <w:sz w:val="18"/>
                <w:szCs w:val="18"/>
              </w:rPr>
              <w:t>0.4%</w:t>
            </w:r>
          </w:p>
        </w:tc>
        <w:tc>
          <w:tcPr>
            <w:tcW w:w="454" w:type="pct"/>
            <w:vAlign w:val="center"/>
          </w:tcPr>
          <w:p w14:paraId="76023111" w14:textId="77777777" w:rsidR="006B15F5" w:rsidRDefault="006B15F5" w:rsidP="00147C8B">
            <w:pPr>
              <w:spacing w:before="0" w:after="0" w:line="240" w:lineRule="auto"/>
              <w:jc w:val="center"/>
              <w:rPr>
                <w:rFonts w:ascii="GHEA Grapalat" w:hAnsi="GHEA Grapalat" w:cs="Calibri"/>
                <w:color w:val="A6A6A6"/>
                <w:sz w:val="18"/>
                <w:szCs w:val="18"/>
              </w:rPr>
            </w:pPr>
            <w:r>
              <w:rPr>
                <w:rFonts w:ascii="GHEA Grapalat" w:hAnsi="GHEA Grapalat" w:cs="Calibri"/>
                <w:color w:val="A6A6A6"/>
                <w:sz w:val="18"/>
                <w:szCs w:val="18"/>
              </w:rPr>
              <w:t>0.2%</w:t>
            </w:r>
          </w:p>
        </w:tc>
        <w:tc>
          <w:tcPr>
            <w:tcW w:w="480" w:type="pct"/>
            <w:shd w:val="clear" w:color="auto" w:fill="auto"/>
            <w:vAlign w:val="center"/>
          </w:tcPr>
          <w:p w14:paraId="4D214CDD" w14:textId="77777777" w:rsidR="006B15F5" w:rsidRPr="003F2203" w:rsidRDefault="006B15F5" w:rsidP="00147C8B">
            <w:pPr>
              <w:spacing w:before="0" w:after="0" w:line="240" w:lineRule="auto"/>
              <w:jc w:val="center"/>
              <w:rPr>
                <w:color w:val="A6A6A6" w:themeColor="background1" w:themeShade="A6"/>
                <w:sz w:val="18"/>
                <w:szCs w:val="18"/>
              </w:rPr>
            </w:pPr>
            <w:r>
              <w:rPr>
                <w:rFonts w:ascii="GHEA Grapalat" w:hAnsi="GHEA Grapalat" w:cs="Calibri"/>
                <w:color w:val="A6A6A6"/>
                <w:sz w:val="18"/>
                <w:szCs w:val="18"/>
              </w:rPr>
              <w:t>0.3%</w:t>
            </w:r>
          </w:p>
        </w:tc>
      </w:tr>
    </w:tbl>
    <w:p w14:paraId="2870434C" w14:textId="77777777" w:rsidR="006B15F5" w:rsidRPr="003F2203" w:rsidRDefault="006B15F5" w:rsidP="006B15F5">
      <w:pPr>
        <w:pStyle w:val="BodyText1"/>
        <w:ind w:left="0"/>
      </w:pPr>
      <w:r w:rsidRPr="003F2203">
        <w:t>Սոցիալական ոլորտի խմբում 2</w:t>
      </w:r>
      <w:r>
        <w:t>022</w:t>
      </w:r>
      <w:r w:rsidRPr="003F2203">
        <w:t>-202</w:t>
      </w:r>
      <w:r>
        <w:rPr>
          <w:lang w:val="hy-AM"/>
        </w:rPr>
        <w:t>5</w:t>
      </w:r>
      <w:r w:rsidRPr="003F2203">
        <w:t xml:space="preserve"> թվականներին առանցքային են եղել և 202</w:t>
      </w:r>
      <w:r>
        <w:rPr>
          <w:lang w:val="hy-AM"/>
        </w:rPr>
        <w:t>6-2028 թվականներին</w:t>
      </w:r>
      <w:r w:rsidRPr="003F2203">
        <w:t xml:space="preserve"> շարունակվելու են կարևորվել հատկապես սոցիալական ապահովության, կրթության և առողջապահության բնա</w:t>
      </w:r>
      <w:r w:rsidRPr="003F2203">
        <w:softHyphen/>
        <w:t>գա</w:t>
      </w:r>
      <w:r w:rsidRPr="003F2203">
        <w:softHyphen/>
        <w:t>վառ</w:t>
      </w:r>
      <w:r w:rsidRPr="003F2203">
        <w:softHyphen/>
        <w:t>նե</w:t>
      </w:r>
      <w:r w:rsidRPr="003F2203">
        <w:softHyphen/>
        <w:t>րի զարգաց</w:t>
      </w:r>
      <w:r w:rsidRPr="003F2203">
        <w:softHyphen/>
        <w:t>ման ռազմավարական ծրագրերի իրականացումը:</w:t>
      </w:r>
    </w:p>
    <w:p w14:paraId="75D270A1" w14:textId="77777777" w:rsidR="006B15F5" w:rsidRPr="00941B19" w:rsidRDefault="006B15F5" w:rsidP="006B15F5">
      <w:pPr>
        <w:pStyle w:val="a"/>
        <w:rPr>
          <w:rFonts w:ascii="GHEA Grapalat" w:hAnsi="GHEA Grapalat"/>
          <w:szCs w:val="20"/>
        </w:rPr>
      </w:pPr>
      <w:bookmarkStart w:id="426" w:name="_Toc184110775"/>
      <w:r w:rsidRPr="00C3014C">
        <w:t xml:space="preserve">Աղյուսակ </w:t>
      </w:r>
      <w:r>
        <w:t>15</w:t>
      </w:r>
      <w:r w:rsidRPr="00C3014C">
        <w:rPr>
          <w:rFonts w:ascii="Cambria Math" w:hAnsi="Cambria Math" w:cs="Cambria Math"/>
        </w:rPr>
        <w:t>․</w:t>
      </w:r>
      <w:r w:rsidRPr="00C3014C">
        <w:t xml:space="preserve"> Սոցիալական ոլորտի</w:t>
      </w:r>
      <w:r>
        <w:t xml:space="preserve"> 2022</w:t>
      </w:r>
      <w:r w:rsidRPr="00C3014C">
        <w:t>-202</w:t>
      </w:r>
      <w:r>
        <w:t>8</w:t>
      </w:r>
      <w:r w:rsidRPr="00C3014C">
        <w:t>թթ</w:t>
      </w:r>
      <w:r w:rsidRPr="00C3014C">
        <w:rPr>
          <w:rFonts w:ascii="Cambria Math" w:hAnsi="Cambria Math" w:cs="Cambria Math"/>
        </w:rPr>
        <w:t>․</w:t>
      </w:r>
      <w:r w:rsidRPr="00C3014C">
        <w:t xml:space="preserve"> բյուջետային ծախսերը (մլրդ դրամ)</w:t>
      </w:r>
      <w:bookmarkEnd w:id="426"/>
    </w:p>
    <w:tbl>
      <w:tblPr>
        <w:tblW w:w="5000" w:type="pct"/>
        <w:tblBorders>
          <w:top w:val="single" w:sz="8" w:space="0" w:color="E1E1E3" w:themeColor="accent3" w:themeTint="33"/>
          <w:left w:val="single" w:sz="8" w:space="0" w:color="E1E1E3" w:themeColor="accent3" w:themeTint="33"/>
          <w:bottom w:val="single" w:sz="8" w:space="0" w:color="E1E1E3" w:themeColor="accent3" w:themeTint="33"/>
          <w:right w:val="single" w:sz="8" w:space="0" w:color="E1E1E3" w:themeColor="accent3" w:themeTint="33"/>
          <w:insideH w:val="single" w:sz="8" w:space="0" w:color="E1E1E3" w:themeColor="accent3" w:themeTint="33"/>
          <w:insideV w:val="single" w:sz="8" w:space="0" w:color="E1E1E3" w:themeColor="accent3" w:themeTint="33"/>
        </w:tblBorders>
        <w:tblLook w:val="04A0" w:firstRow="1" w:lastRow="0" w:firstColumn="1" w:lastColumn="0" w:noHBand="0" w:noVBand="1"/>
      </w:tblPr>
      <w:tblGrid>
        <w:gridCol w:w="3768"/>
        <w:gridCol w:w="937"/>
        <w:gridCol w:w="937"/>
        <w:gridCol w:w="939"/>
        <w:gridCol w:w="937"/>
        <w:gridCol w:w="937"/>
        <w:gridCol w:w="937"/>
        <w:gridCol w:w="993"/>
      </w:tblGrid>
      <w:tr w:rsidR="006B15F5" w:rsidRPr="00941B19" w14:paraId="008CEA32" w14:textId="77777777" w:rsidTr="00147C8B">
        <w:trPr>
          <w:trHeight w:val="317"/>
        </w:trPr>
        <w:tc>
          <w:tcPr>
            <w:tcW w:w="1814" w:type="pct"/>
            <w:vMerge w:val="restart"/>
            <w:shd w:val="clear" w:color="auto" w:fill="D5DCE4" w:themeFill="text2" w:themeFillTint="33"/>
            <w:vAlign w:val="center"/>
          </w:tcPr>
          <w:p w14:paraId="2537CF45" w14:textId="77777777" w:rsidR="006B15F5" w:rsidRPr="00941B19" w:rsidRDefault="006B15F5" w:rsidP="00147C8B">
            <w:pPr>
              <w:spacing w:before="0" w:after="0" w:line="240" w:lineRule="auto"/>
              <w:ind w:right="495"/>
              <w:rPr>
                <w:b/>
                <w:sz w:val="18"/>
                <w:szCs w:val="18"/>
                <w:lang w:val="ru-RU"/>
              </w:rPr>
            </w:pPr>
            <w:r w:rsidRPr="00941B19">
              <w:rPr>
                <w:b/>
                <w:sz w:val="18"/>
                <w:szCs w:val="18"/>
              </w:rPr>
              <w:t>Ցուցանիշներ</w:t>
            </w:r>
          </w:p>
        </w:tc>
        <w:tc>
          <w:tcPr>
            <w:tcW w:w="1354" w:type="pct"/>
            <w:gridSpan w:val="3"/>
            <w:shd w:val="clear" w:color="auto" w:fill="D5DCE4" w:themeFill="text2" w:themeFillTint="33"/>
            <w:vAlign w:val="center"/>
          </w:tcPr>
          <w:p w14:paraId="69174A6D" w14:textId="77777777" w:rsidR="006B15F5" w:rsidRPr="00941B19" w:rsidRDefault="006B15F5" w:rsidP="00147C8B">
            <w:pPr>
              <w:spacing w:before="0" w:after="0" w:line="240" w:lineRule="auto"/>
              <w:jc w:val="center"/>
              <w:rPr>
                <w:b/>
                <w:sz w:val="18"/>
                <w:szCs w:val="18"/>
              </w:rPr>
            </w:pPr>
            <w:r w:rsidRPr="003170C3">
              <w:rPr>
                <w:b/>
                <w:sz w:val="18"/>
                <w:szCs w:val="18"/>
              </w:rPr>
              <w:t>Փաստ</w:t>
            </w:r>
          </w:p>
        </w:tc>
        <w:tc>
          <w:tcPr>
            <w:tcW w:w="451" w:type="pct"/>
            <w:shd w:val="clear" w:color="auto" w:fill="D5DCE4" w:themeFill="text2" w:themeFillTint="33"/>
            <w:vAlign w:val="center"/>
          </w:tcPr>
          <w:p w14:paraId="3D8F38ED" w14:textId="77777777" w:rsidR="006B15F5" w:rsidRPr="00941B19" w:rsidRDefault="006B15F5" w:rsidP="00147C8B">
            <w:pPr>
              <w:spacing w:before="0" w:after="0" w:line="240" w:lineRule="auto"/>
              <w:jc w:val="center"/>
              <w:rPr>
                <w:b/>
                <w:sz w:val="18"/>
                <w:szCs w:val="18"/>
                <w:lang w:val="hy-AM"/>
              </w:rPr>
            </w:pPr>
            <w:r w:rsidRPr="003170C3">
              <w:rPr>
                <w:b/>
                <w:sz w:val="18"/>
                <w:szCs w:val="18"/>
              </w:rPr>
              <w:t>Բյուջե</w:t>
            </w:r>
          </w:p>
        </w:tc>
        <w:tc>
          <w:tcPr>
            <w:tcW w:w="1380" w:type="pct"/>
            <w:gridSpan w:val="3"/>
            <w:shd w:val="clear" w:color="auto" w:fill="D5DCE4" w:themeFill="text2" w:themeFillTint="33"/>
            <w:vAlign w:val="center"/>
          </w:tcPr>
          <w:p w14:paraId="3A87A335" w14:textId="77777777" w:rsidR="006B15F5" w:rsidRPr="00941B19" w:rsidRDefault="006B15F5" w:rsidP="00147C8B">
            <w:pPr>
              <w:spacing w:before="0" w:after="0" w:line="240" w:lineRule="auto"/>
              <w:jc w:val="center"/>
              <w:rPr>
                <w:b/>
                <w:sz w:val="18"/>
                <w:szCs w:val="18"/>
              </w:rPr>
            </w:pPr>
            <w:r w:rsidRPr="003170C3">
              <w:rPr>
                <w:b/>
                <w:sz w:val="18"/>
                <w:szCs w:val="18"/>
                <w:lang w:val="hy-AM"/>
              </w:rPr>
              <w:t>Ծ</w:t>
            </w:r>
            <w:r w:rsidRPr="003170C3">
              <w:rPr>
                <w:b/>
                <w:sz w:val="18"/>
                <w:szCs w:val="18"/>
              </w:rPr>
              <w:t>րագիր</w:t>
            </w:r>
          </w:p>
        </w:tc>
      </w:tr>
      <w:tr w:rsidR="006B15F5" w:rsidRPr="00941B19" w14:paraId="1E8E2C30" w14:textId="77777777" w:rsidTr="00147C8B">
        <w:trPr>
          <w:trHeight w:val="317"/>
        </w:trPr>
        <w:tc>
          <w:tcPr>
            <w:tcW w:w="1814" w:type="pct"/>
            <w:vMerge/>
            <w:shd w:val="clear" w:color="auto" w:fill="D5DCE4" w:themeFill="text2" w:themeFillTint="33"/>
            <w:vAlign w:val="center"/>
          </w:tcPr>
          <w:p w14:paraId="39012DA5" w14:textId="77777777" w:rsidR="006B15F5" w:rsidRPr="00941B19" w:rsidRDefault="006B15F5" w:rsidP="00147C8B">
            <w:pPr>
              <w:spacing w:before="0" w:after="0" w:line="240" w:lineRule="auto"/>
              <w:rPr>
                <w:sz w:val="18"/>
                <w:szCs w:val="18"/>
              </w:rPr>
            </w:pPr>
          </w:p>
        </w:tc>
        <w:tc>
          <w:tcPr>
            <w:tcW w:w="451" w:type="pct"/>
            <w:shd w:val="clear" w:color="auto" w:fill="D5DCE4" w:themeFill="text2" w:themeFillTint="33"/>
            <w:vAlign w:val="center"/>
          </w:tcPr>
          <w:p w14:paraId="7D40F698" w14:textId="77777777" w:rsidR="006B15F5" w:rsidRPr="00941B19" w:rsidRDefault="006B15F5" w:rsidP="00147C8B">
            <w:pPr>
              <w:spacing w:before="0" w:after="0" w:line="240" w:lineRule="auto"/>
              <w:jc w:val="center"/>
              <w:rPr>
                <w:sz w:val="18"/>
                <w:szCs w:val="18"/>
              </w:rPr>
            </w:pPr>
            <w:r>
              <w:rPr>
                <w:b/>
                <w:sz w:val="18"/>
                <w:szCs w:val="18"/>
              </w:rPr>
              <w:t>2022</w:t>
            </w:r>
          </w:p>
        </w:tc>
        <w:tc>
          <w:tcPr>
            <w:tcW w:w="451" w:type="pct"/>
            <w:shd w:val="clear" w:color="auto" w:fill="D5DCE4" w:themeFill="text2" w:themeFillTint="33"/>
            <w:vAlign w:val="center"/>
          </w:tcPr>
          <w:p w14:paraId="404120DA" w14:textId="77777777" w:rsidR="006B15F5" w:rsidRPr="00941B19" w:rsidRDefault="006B15F5" w:rsidP="00147C8B">
            <w:pPr>
              <w:spacing w:before="0" w:after="0" w:line="240" w:lineRule="auto"/>
              <w:jc w:val="center"/>
              <w:rPr>
                <w:sz w:val="18"/>
                <w:szCs w:val="18"/>
              </w:rPr>
            </w:pPr>
            <w:r>
              <w:rPr>
                <w:b/>
                <w:sz w:val="18"/>
                <w:szCs w:val="18"/>
              </w:rPr>
              <w:t>2023</w:t>
            </w:r>
          </w:p>
        </w:tc>
        <w:tc>
          <w:tcPr>
            <w:tcW w:w="452" w:type="pct"/>
            <w:shd w:val="clear" w:color="auto" w:fill="D5DCE4" w:themeFill="text2" w:themeFillTint="33"/>
            <w:vAlign w:val="center"/>
          </w:tcPr>
          <w:p w14:paraId="1D9619F3" w14:textId="77777777" w:rsidR="006B15F5" w:rsidRPr="00941B19" w:rsidRDefault="006B15F5" w:rsidP="00147C8B">
            <w:pPr>
              <w:spacing w:before="0" w:after="0" w:line="240" w:lineRule="auto"/>
              <w:jc w:val="center"/>
              <w:rPr>
                <w:sz w:val="18"/>
                <w:szCs w:val="18"/>
              </w:rPr>
            </w:pPr>
            <w:r>
              <w:rPr>
                <w:b/>
                <w:sz w:val="18"/>
                <w:szCs w:val="18"/>
              </w:rPr>
              <w:t>2024</w:t>
            </w:r>
          </w:p>
        </w:tc>
        <w:tc>
          <w:tcPr>
            <w:tcW w:w="451" w:type="pct"/>
            <w:shd w:val="clear" w:color="auto" w:fill="D5DCE4" w:themeFill="text2" w:themeFillTint="33"/>
            <w:vAlign w:val="center"/>
          </w:tcPr>
          <w:p w14:paraId="226E2F15" w14:textId="77777777" w:rsidR="006B15F5" w:rsidRPr="00D76383" w:rsidRDefault="006B15F5" w:rsidP="00147C8B">
            <w:pPr>
              <w:spacing w:before="0" w:after="0" w:line="240" w:lineRule="auto"/>
              <w:jc w:val="center"/>
              <w:rPr>
                <w:b/>
                <w:sz w:val="18"/>
                <w:szCs w:val="18"/>
                <w:lang w:val="hy-AM" w:eastAsia="ru-RU"/>
              </w:rPr>
            </w:pPr>
            <w:r>
              <w:rPr>
                <w:b/>
                <w:sz w:val="18"/>
                <w:szCs w:val="18"/>
              </w:rPr>
              <w:t>202</w:t>
            </w:r>
            <w:r>
              <w:rPr>
                <w:b/>
                <w:sz w:val="18"/>
                <w:szCs w:val="18"/>
                <w:lang w:val="hy-AM"/>
              </w:rPr>
              <w:t>5</w:t>
            </w:r>
          </w:p>
        </w:tc>
        <w:tc>
          <w:tcPr>
            <w:tcW w:w="451" w:type="pct"/>
            <w:shd w:val="clear" w:color="auto" w:fill="D5DCE4" w:themeFill="text2" w:themeFillTint="33"/>
            <w:vAlign w:val="center"/>
          </w:tcPr>
          <w:p w14:paraId="78110E1E" w14:textId="77777777" w:rsidR="006B15F5" w:rsidRPr="007C1DBF" w:rsidRDefault="006B15F5" w:rsidP="00147C8B">
            <w:pPr>
              <w:spacing w:before="0" w:after="0" w:line="240" w:lineRule="auto"/>
              <w:jc w:val="center"/>
              <w:rPr>
                <w:b/>
                <w:sz w:val="18"/>
                <w:szCs w:val="18"/>
                <w:lang w:val="hy-AM"/>
              </w:rPr>
            </w:pPr>
            <w:r>
              <w:rPr>
                <w:b/>
                <w:sz w:val="18"/>
                <w:szCs w:val="18"/>
              </w:rPr>
              <w:t>2026</w:t>
            </w:r>
          </w:p>
        </w:tc>
        <w:tc>
          <w:tcPr>
            <w:tcW w:w="451" w:type="pct"/>
            <w:shd w:val="clear" w:color="auto" w:fill="D5DCE4" w:themeFill="text2" w:themeFillTint="33"/>
            <w:vAlign w:val="center"/>
          </w:tcPr>
          <w:p w14:paraId="41579EC4" w14:textId="77777777" w:rsidR="006B15F5" w:rsidRDefault="006B15F5" w:rsidP="00147C8B">
            <w:pPr>
              <w:spacing w:before="0" w:after="0" w:line="240" w:lineRule="auto"/>
              <w:jc w:val="center"/>
              <w:rPr>
                <w:b/>
                <w:sz w:val="18"/>
                <w:szCs w:val="18"/>
              </w:rPr>
            </w:pPr>
            <w:r>
              <w:rPr>
                <w:b/>
                <w:sz w:val="18"/>
                <w:szCs w:val="18"/>
              </w:rPr>
              <w:t>2027</w:t>
            </w:r>
          </w:p>
        </w:tc>
        <w:tc>
          <w:tcPr>
            <w:tcW w:w="478" w:type="pct"/>
            <w:shd w:val="clear" w:color="auto" w:fill="D5DCE4" w:themeFill="text2" w:themeFillTint="33"/>
            <w:vAlign w:val="center"/>
          </w:tcPr>
          <w:p w14:paraId="5972A76F" w14:textId="77777777" w:rsidR="006B15F5" w:rsidRPr="003F2203" w:rsidRDefault="006B15F5" w:rsidP="00147C8B">
            <w:pPr>
              <w:spacing w:before="0" w:after="0" w:line="240" w:lineRule="auto"/>
              <w:jc w:val="center"/>
              <w:rPr>
                <w:b/>
                <w:sz w:val="18"/>
                <w:szCs w:val="18"/>
                <w:lang w:val="hy-AM"/>
              </w:rPr>
            </w:pPr>
            <w:r>
              <w:rPr>
                <w:b/>
                <w:sz w:val="18"/>
                <w:szCs w:val="18"/>
              </w:rPr>
              <w:t>2028</w:t>
            </w:r>
          </w:p>
        </w:tc>
      </w:tr>
      <w:tr w:rsidR="006B15F5" w:rsidRPr="00941B19" w14:paraId="4B9CE809" w14:textId="77777777" w:rsidTr="00147C8B">
        <w:trPr>
          <w:trHeight w:val="317"/>
        </w:trPr>
        <w:tc>
          <w:tcPr>
            <w:tcW w:w="1814" w:type="pct"/>
            <w:shd w:val="clear" w:color="auto" w:fill="auto"/>
            <w:vAlign w:val="center"/>
            <w:hideMark/>
          </w:tcPr>
          <w:p w14:paraId="4F41DF44" w14:textId="77777777" w:rsidR="006B15F5" w:rsidRPr="00941B19" w:rsidRDefault="006B15F5" w:rsidP="00147C8B">
            <w:pPr>
              <w:spacing w:before="0" w:after="0" w:line="240" w:lineRule="auto"/>
              <w:rPr>
                <w:sz w:val="18"/>
                <w:szCs w:val="18"/>
              </w:rPr>
            </w:pPr>
            <w:r w:rsidRPr="00941B19">
              <w:rPr>
                <w:sz w:val="18"/>
                <w:szCs w:val="18"/>
              </w:rPr>
              <w:t>Սոցիալական ոլորտ ընդամենը</w:t>
            </w:r>
          </w:p>
        </w:tc>
        <w:tc>
          <w:tcPr>
            <w:tcW w:w="451" w:type="pct"/>
            <w:shd w:val="clear" w:color="auto" w:fill="auto"/>
            <w:vAlign w:val="center"/>
          </w:tcPr>
          <w:p w14:paraId="2D1F0587" w14:textId="77777777" w:rsidR="006B15F5" w:rsidRPr="00941B19" w:rsidRDefault="006B15F5" w:rsidP="00147C8B">
            <w:pPr>
              <w:spacing w:before="0" w:after="0" w:line="240" w:lineRule="auto"/>
              <w:jc w:val="center"/>
              <w:rPr>
                <w:sz w:val="18"/>
                <w:szCs w:val="18"/>
              </w:rPr>
            </w:pPr>
            <w:r>
              <w:rPr>
                <w:rFonts w:ascii="GHEA Grapalat" w:hAnsi="GHEA Grapalat" w:cs="Calibri"/>
                <w:color w:val="404040"/>
                <w:sz w:val="18"/>
                <w:szCs w:val="18"/>
              </w:rPr>
              <w:t>965.8</w:t>
            </w:r>
          </w:p>
        </w:tc>
        <w:tc>
          <w:tcPr>
            <w:tcW w:w="451" w:type="pct"/>
            <w:shd w:val="clear" w:color="auto" w:fill="auto"/>
            <w:vAlign w:val="center"/>
          </w:tcPr>
          <w:p w14:paraId="1A23CD02" w14:textId="77777777" w:rsidR="006B15F5" w:rsidRPr="00941B19" w:rsidRDefault="006B15F5" w:rsidP="00147C8B">
            <w:pPr>
              <w:spacing w:before="0" w:after="0" w:line="240" w:lineRule="auto"/>
              <w:jc w:val="center"/>
              <w:rPr>
                <w:sz w:val="18"/>
                <w:szCs w:val="18"/>
              </w:rPr>
            </w:pPr>
            <w:r>
              <w:rPr>
                <w:rFonts w:ascii="GHEA Grapalat" w:hAnsi="GHEA Grapalat" w:cs="Calibri"/>
                <w:color w:val="404040"/>
                <w:sz w:val="18"/>
                <w:szCs w:val="18"/>
              </w:rPr>
              <w:t>1073.9</w:t>
            </w:r>
          </w:p>
        </w:tc>
        <w:tc>
          <w:tcPr>
            <w:tcW w:w="452" w:type="pct"/>
            <w:shd w:val="clear" w:color="auto" w:fill="auto"/>
            <w:vAlign w:val="center"/>
          </w:tcPr>
          <w:p w14:paraId="6A7C8BB5" w14:textId="77777777" w:rsidR="006B15F5" w:rsidRPr="00941B19" w:rsidRDefault="006B15F5" w:rsidP="00147C8B">
            <w:pPr>
              <w:spacing w:before="0" w:after="0" w:line="240" w:lineRule="auto"/>
              <w:jc w:val="center"/>
              <w:rPr>
                <w:sz w:val="18"/>
                <w:szCs w:val="18"/>
              </w:rPr>
            </w:pPr>
            <w:r>
              <w:rPr>
                <w:rFonts w:ascii="GHEA Grapalat" w:hAnsi="GHEA Grapalat" w:cs="Calibri"/>
                <w:color w:val="404040"/>
                <w:sz w:val="18"/>
                <w:szCs w:val="18"/>
              </w:rPr>
              <w:t>1278.2</w:t>
            </w:r>
          </w:p>
        </w:tc>
        <w:tc>
          <w:tcPr>
            <w:tcW w:w="451" w:type="pct"/>
            <w:shd w:val="clear" w:color="auto" w:fill="auto"/>
            <w:vAlign w:val="center"/>
          </w:tcPr>
          <w:p w14:paraId="4708919E" w14:textId="77777777" w:rsidR="006B15F5" w:rsidRPr="00941B19" w:rsidRDefault="006B15F5" w:rsidP="00147C8B">
            <w:pPr>
              <w:spacing w:before="0" w:after="0" w:line="240" w:lineRule="auto"/>
              <w:jc w:val="center"/>
              <w:rPr>
                <w:sz w:val="18"/>
                <w:szCs w:val="18"/>
              </w:rPr>
            </w:pPr>
            <w:r>
              <w:rPr>
                <w:rFonts w:ascii="GHEA Grapalat" w:hAnsi="GHEA Grapalat" w:cs="Calibri"/>
                <w:color w:val="404040"/>
                <w:sz w:val="18"/>
                <w:szCs w:val="18"/>
              </w:rPr>
              <w:t>1420.9</w:t>
            </w:r>
          </w:p>
        </w:tc>
        <w:tc>
          <w:tcPr>
            <w:tcW w:w="451" w:type="pct"/>
            <w:vAlign w:val="center"/>
          </w:tcPr>
          <w:p w14:paraId="2EC745B2" w14:textId="77777777" w:rsidR="006B15F5" w:rsidRDefault="006B15F5" w:rsidP="00147C8B">
            <w:pPr>
              <w:spacing w:before="0" w:after="0" w:line="240" w:lineRule="auto"/>
              <w:jc w:val="center"/>
              <w:rPr>
                <w:rFonts w:ascii="GHEA Grapalat" w:hAnsi="GHEA Grapalat" w:cs="Calibri"/>
                <w:color w:val="404040"/>
                <w:sz w:val="18"/>
                <w:szCs w:val="18"/>
              </w:rPr>
            </w:pPr>
            <w:r>
              <w:rPr>
                <w:rFonts w:ascii="GHEA Grapalat" w:hAnsi="GHEA Grapalat" w:cs="Calibri"/>
                <w:color w:val="404040"/>
                <w:sz w:val="18"/>
                <w:szCs w:val="18"/>
              </w:rPr>
              <w:t>1</w:t>
            </w:r>
            <w:r>
              <w:rPr>
                <w:rFonts w:ascii="GHEA Grapalat" w:hAnsi="GHEA Grapalat" w:cs="Calibri"/>
                <w:color w:val="404040"/>
                <w:sz w:val="18"/>
                <w:szCs w:val="18"/>
                <w:lang w:val="hy-AM"/>
              </w:rPr>
              <w:t>,</w:t>
            </w:r>
            <w:r>
              <w:rPr>
                <w:rFonts w:ascii="GHEA Grapalat" w:hAnsi="GHEA Grapalat" w:cs="Calibri"/>
                <w:color w:val="404040"/>
                <w:sz w:val="18"/>
                <w:szCs w:val="18"/>
              </w:rPr>
              <w:t>60</w:t>
            </w:r>
            <w:r>
              <w:rPr>
                <w:rFonts w:ascii="GHEA Grapalat" w:hAnsi="GHEA Grapalat" w:cs="Calibri"/>
                <w:color w:val="404040"/>
                <w:sz w:val="18"/>
                <w:szCs w:val="18"/>
                <w:lang w:val="hy-AM"/>
              </w:rPr>
              <w:t>9</w:t>
            </w:r>
            <w:r>
              <w:rPr>
                <w:rFonts w:ascii="GHEA Grapalat" w:hAnsi="GHEA Grapalat" w:cs="Calibri"/>
                <w:color w:val="404040"/>
                <w:sz w:val="18"/>
                <w:szCs w:val="18"/>
              </w:rPr>
              <w:t>.8</w:t>
            </w:r>
          </w:p>
        </w:tc>
        <w:tc>
          <w:tcPr>
            <w:tcW w:w="451" w:type="pct"/>
            <w:vAlign w:val="center"/>
          </w:tcPr>
          <w:p w14:paraId="2DC99BB3" w14:textId="77777777" w:rsidR="006B15F5" w:rsidRDefault="006B15F5" w:rsidP="00147C8B">
            <w:pPr>
              <w:spacing w:before="0" w:after="0" w:line="240" w:lineRule="auto"/>
              <w:jc w:val="center"/>
              <w:rPr>
                <w:rFonts w:ascii="GHEA Grapalat" w:hAnsi="GHEA Grapalat" w:cs="Calibri"/>
                <w:color w:val="404040"/>
                <w:sz w:val="18"/>
                <w:szCs w:val="18"/>
              </w:rPr>
            </w:pPr>
            <w:r>
              <w:rPr>
                <w:rFonts w:ascii="GHEA Grapalat" w:hAnsi="GHEA Grapalat" w:cs="Calibri"/>
                <w:color w:val="404040"/>
                <w:sz w:val="18"/>
                <w:szCs w:val="18"/>
              </w:rPr>
              <w:t>1</w:t>
            </w:r>
            <w:r>
              <w:rPr>
                <w:rFonts w:ascii="GHEA Grapalat" w:hAnsi="GHEA Grapalat" w:cs="Calibri"/>
                <w:color w:val="404040"/>
                <w:sz w:val="18"/>
                <w:szCs w:val="18"/>
                <w:lang w:val="hy-AM"/>
              </w:rPr>
              <w:t>,</w:t>
            </w:r>
            <w:r>
              <w:rPr>
                <w:rFonts w:ascii="GHEA Grapalat" w:hAnsi="GHEA Grapalat" w:cs="Calibri"/>
                <w:color w:val="404040"/>
                <w:sz w:val="18"/>
                <w:szCs w:val="18"/>
              </w:rPr>
              <w:t>661.5</w:t>
            </w:r>
          </w:p>
        </w:tc>
        <w:tc>
          <w:tcPr>
            <w:tcW w:w="478" w:type="pct"/>
            <w:vAlign w:val="center"/>
          </w:tcPr>
          <w:p w14:paraId="2A66FA4B" w14:textId="77777777" w:rsidR="006B15F5" w:rsidRPr="00941B19" w:rsidRDefault="006B15F5" w:rsidP="00147C8B">
            <w:pPr>
              <w:spacing w:before="0" w:after="0" w:line="240" w:lineRule="auto"/>
              <w:jc w:val="center"/>
              <w:rPr>
                <w:sz w:val="18"/>
                <w:szCs w:val="18"/>
              </w:rPr>
            </w:pPr>
            <w:r>
              <w:rPr>
                <w:rFonts w:ascii="GHEA Grapalat" w:hAnsi="GHEA Grapalat" w:cs="Calibri"/>
                <w:color w:val="404040"/>
                <w:sz w:val="18"/>
                <w:szCs w:val="18"/>
              </w:rPr>
              <w:t>1</w:t>
            </w:r>
            <w:r>
              <w:rPr>
                <w:rFonts w:ascii="GHEA Grapalat" w:hAnsi="GHEA Grapalat" w:cs="Calibri"/>
                <w:color w:val="404040"/>
                <w:sz w:val="18"/>
                <w:szCs w:val="18"/>
                <w:lang w:val="hy-AM"/>
              </w:rPr>
              <w:t>,</w:t>
            </w:r>
            <w:r>
              <w:rPr>
                <w:rFonts w:ascii="GHEA Grapalat" w:hAnsi="GHEA Grapalat" w:cs="Calibri"/>
                <w:color w:val="404040"/>
                <w:sz w:val="18"/>
                <w:szCs w:val="18"/>
              </w:rPr>
              <w:t>743.0</w:t>
            </w:r>
          </w:p>
        </w:tc>
      </w:tr>
      <w:tr w:rsidR="006B15F5" w:rsidRPr="00941B19" w14:paraId="0893C595" w14:textId="77777777" w:rsidTr="00147C8B">
        <w:trPr>
          <w:trHeight w:val="317"/>
        </w:trPr>
        <w:tc>
          <w:tcPr>
            <w:tcW w:w="1814" w:type="pct"/>
            <w:shd w:val="clear" w:color="auto" w:fill="auto"/>
            <w:vAlign w:val="center"/>
            <w:hideMark/>
          </w:tcPr>
          <w:p w14:paraId="5D7E8479" w14:textId="77777777" w:rsidR="006B15F5" w:rsidRPr="003F2203" w:rsidRDefault="006B15F5" w:rsidP="00147C8B">
            <w:pPr>
              <w:spacing w:before="0" w:after="0" w:line="240" w:lineRule="auto"/>
              <w:ind w:right="495"/>
              <w:rPr>
                <w:color w:val="A6A6A6" w:themeColor="background1" w:themeShade="A6"/>
                <w:sz w:val="18"/>
                <w:szCs w:val="18"/>
              </w:rPr>
            </w:pPr>
            <w:r w:rsidRPr="003F2203">
              <w:rPr>
                <w:color w:val="A6A6A6" w:themeColor="background1" w:themeShade="A6"/>
                <w:sz w:val="18"/>
                <w:szCs w:val="18"/>
              </w:rPr>
              <w:t>ՀՆԱ-ի նկատմամբ (%)</w:t>
            </w:r>
          </w:p>
        </w:tc>
        <w:tc>
          <w:tcPr>
            <w:tcW w:w="451" w:type="pct"/>
            <w:shd w:val="clear" w:color="auto" w:fill="auto"/>
            <w:vAlign w:val="center"/>
          </w:tcPr>
          <w:p w14:paraId="59AD02AD" w14:textId="77777777" w:rsidR="006B15F5" w:rsidRPr="003F2203" w:rsidRDefault="006B15F5" w:rsidP="00147C8B">
            <w:pPr>
              <w:spacing w:before="0" w:after="0" w:line="240" w:lineRule="auto"/>
              <w:jc w:val="center"/>
              <w:rPr>
                <w:color w:val="A6A6A6" w:themeColor="background1" w:themeShade="A6"/>
                <w:sz w:val="18"/>
                <w:szCs w:val="18"/>
              </w:rPr>
            </w:pPr>
            <w:r>
              <w:rPr>
                <w:rFonts w:ascii="GHEA Grapalat" w:hAnsi="GHEA Grapalat" w:cs="Calibri"/>
                <w:color w:val="A6A6A6"/>
                <w:sz w:val="18"/>
                <w:szCs w:val="18"/>
              </w:rPr>
              <w:t>11.4%</w:t>
            </w:r>
          </w:p>
        </w:tc>
        <w:tc>
          <w:tcPr>
            <w:tcW w:w="451" w:type="pct"/>
            <w:shd w:val="clear" w:color="auto" w:fill="auto"/>
            <w:vAlign w:val="center"/>
          </w:tcPr>
          <w:p w14:paraId="5D4C9631" w14:textId="77777777" w:rsidR="006B15F5" w:rsidRPr="003F2203" w:rsidRDefault="006B15F5" w:rsidP="00147C8B">
            <w:pPr>
              <w:spacing w:before="0" w:after="0" w:line="240" w:lineRule="auto"/>
              <w:jc w:val="center"/>
              <w:rPr>
                <w:color w:val="A6A6A6" w:themeColor="background1" w:themeShade="A6"/>
                <w:sz w:val="18"/>
                <w:szCs w:val="18"/>
              </w:rPr>
            </w:pPr>
            <w:r>
              <w:rPr>
                <w:rFonts w:ascii="GHEA Grapalat" w:hAnsi="GHEA Grapalat" w:cs="Calibri"/>
                <w:color w:val="A6A6A6"/>
                <w:sz w:val="18"/>
                <w:szCs w:val="18"/>
              </w:rPr>
              <w:t>11.3%</w:t>
            </w:r>
          </w:p>
        </w:tc>
        <w:tc>
          <w:tcPr>
            <w:tcW w:w="452" w:type="pct"/>
            <w:shd w:val="clear" w:color="auto" w:fill="auto"/>
            <w:vAlign w:val="center"/>
          </w:tcPr>
          <w:p w14:paraId="5E2AAC7E" w14:textId="77777777" w:rsidR="006B15F5" w:rsidRPr="003F2203" w:rsidRDefault="006B15F5" w:rsidP="00147C8B">
            <w:pPr>
              <w:spacing w:before="0" w:after="0" w:line="240" w:lineRule="auto"/>
              <w:jc w:val="center"/>
              <w:rPr>
                <w:color w:val="A6A6A6" w:themeColor="background1" w:themeShade="A6"/>
                <w:sz w:val="18"/>
                <w:szCs w:val="18"/>
              </w:rPr>
            </w:pPr>
            <w:r>
              <w:rPr>
                <w:rFonts w:ascii="GHEA Grapalat" w:hAnsi="GHEA Grapalat" w:cs="Calibri"/>
                <w:color w:val="A6A6A6"/>
                <w:sz w:val="18"/>
                <w:szCs w:val="18"/>
              </w:rPr>
              <w:t>12.5%</w:t>
            </w:r>
          </w:p>
        </w:tc>
        <w:tc>
          <w:tcPr>
            <w:tcW w:w="451" w:type="pct"/>
            <w:shd w:val="clear" w:color="auto" w:fill="auto"/>
            <w:vAlign w:val="center"/>
          </w:tcPr>
          <w:p w14:paraId="26283DAF" w14:textId="77777777" w:rsidR="006B15F5" w:rsidRPr="003F2203" w:rsidRDefault="006B15F5" w:rsidP="00147C8B">
            <w:pPr>
              <w:spacing w:before="0" w:after="0" w:line="240" w:lineRule="auto"/>
              <w:jc w:val="center"/>
              <w:rPr>
                <w:color w:val="A6A6A6" w:themeColor="background1" w:themeShade="A6"/>
                <w:sz w:val="18"/>
                <w:szCs w:val="18"/>
              </w:rPr>
            </w:pPr>
            <w:r>
              <w:rPr>
                <w:rFonts w:ascii="GHEA Grapalat" w:hAnsi="GHEA Grapalat" w:cs="Calibri"/>
                <w:color w:val="A6A6A6"/>
                <w:sz w:val="18"/>
                <w:szCs w:val="18"/>
              </w:rPr>
              <w:t>13.0%</w:t>
            </w:r>
          </w:p>
        </w:tc>
        <w:tc>
          <w:tcPr>
            <w:tcW w:w="451" w:type="pct"/>
            <w:vAlign w:val="center"/>
          </w:tcPr>
          <w:p w14:paraId="70D3293B" w14:textId="77777777" w:rsidR="006B15F5" w:rsidRDefault="006B15F5" w:rsidP="00147C8B">
            <w:pPr>
              <w:spacing w:before="0" w:after="0" w:line="240" w:lineRule="auto"/>
              <w:jc w:val="center"/>
              <w:rPr>
                <w:rFonts w:ascii="GHEA Grapalat" w:hAnsi="GHEA Grapalat" w:cs="Calibri"/>
                <w:color w:val="A6A6A6"/>
                <w:sz w:val="18"/>
                <w:szCs w:val="18"/>
              </w:rPr>
            </w:pPr>
            <w:r>
              <w:rPr>
                <w:rFonts w:ascii="GHEA Grapalat" w:hAnsi="GHEA Grapalat" w:cs="Calibri"/>
                <w:color w:val="A6A6A6"/>
                <w:sz w:val="18"/>
                <w:szCs w:val="18"/>
              </w:rPr>
              <w:t>13.5%</w:t>
            </w:r>
          </w:p>
        </w:tc>
        <w:tc>
          <w:tcPr>
            <w:tcW w:w="451" w:type="pct"/>
            <w:vAlign w:val="center"/>
          </w:tcPr>
          <w:p w14:paraId="6FE1A149" w14:textId="77777777" w:rsidR="006B15F5" w:rsidRDefault="006B15F5" w:rsidP="00147C8B">
            <w:pPr>
              <w:spacing w:before="0" w:after="0" w:line="240" w:lineRule="auto"/>
              <w:jc w:val="center"/>
              <w:rPr>
                <w:rFonts w:ascii="GHEA Grapalat" w:hAnsi="GHEA Grapalat" w:cs="Calibri"/>
                <w:color w:val="A6A6A6"/>
                <w:sz w:val="18"/>
                <w:szCs w:val="18"/>
              </w:rPr>
            </w:pPr>
            <w:r>
              <w:rPr>
                <w:rFonts w:ascii="GHEA Grapalat" w:hAnsi="GHEA Grapalat" w:cs="Calibri"/>
                <w:color w:val="A6A6A6"/>
                <w:sz w:val="18"/>
                <w:szCs w:val="18"/>
              </w:rPr>
              <w:t>12.8%</w:t>
            </w:r>
          </w:p>
        </w:tc>
        <w:tc>
          <w:tcPr>
            <w:tcW w:w="478" w:type="pct"/>
            <w:vAlign w:val="center"/>
          </w:tcPr>
          <w:p w14:paraId="3DF55A3E" w14:textId="77777777" w:rsidR="006B15F5" w:rsidRPr="003F2203" w:rsidRDefault="006B15F5" w:rsidP="00147C8B">
            <w:pPr>
              <w:spacing w:before="0" w:after="0" w:line="240" w:lineRule="auto"/>
              <w:jc w:val="center"/>
              <w:rPr>
                <w:color w:val="A6A6A6" w:themeColor="background1" w:themeShade="A6"/>
                <w:sz w:val="18"/>
                <w:szCs w:val="18"/>
              </w:rPr>
            </w:pPr>
            <w:r>
              <w:rPr>
                <w:rFonts w:ascii="GHEA Grapalat" w:hAnsi="GHEA Grapalat" w:cs="Calibri"/>
                <w:color w:val="A6A6A6"/>
                <w:sz w:val="18"/>
                <w:szCs w:val="18"/>
              </w:rPr>
              <w:t>12.4%</w:t>
            </w:r>
          </w:p>
        </w:tc>
      </w:tr>
      <w:tr w:rsidR="006B15F5" w:rsidRPr="00941B19" w14:paraId="5E1696DD" w14:textId="77777777" w:rsidTr="00147C8B">
        <w:trPr>
          <w:trHeight w:val="317"/>
        </w:trPr>
        <w:tc>
          <w:tcPr>
            <w:tcW w:w="1814" w:type="pct"/>
            <w:shd w:val="clear" w:color="auto" w:fill="auto"/>
            <w:vAlign w:val="center"/>
            <w:hideMark/>
          </w:tcPr>
          <w:p w14:paraId="280F9C6E" w14:textId="77777777" w:rsidR="006B15F5" w:rsidRPr="003F2203" w:rsidRDefault="006B15F5" w:rsidP="00147C8B">
            <w:pPr>
              <w:spacing w:before="0" w:after="0" w:line="240" w:lineRule="auto"/>
              <w:ind w:right="495"/>
              <w:rPr>
                <w:color w:val="A6A6A6" w:themeColor="background1" w:themeShade="A6"/>
                <w:sz w:val="18"/>
                <w:szCs w:val="18"/>
              </w:rPr>
            </w:pPr>
            <w:r w:rsidRPr="003F2203">
              <w:rPr>
                <w:color w:val="A6A6A6" w:themeColor="background1" w:themeShade="A6"/>
                <w:sz w:val="18"/>
                <w:szCs w:val="18"/>
              </w:rPr>
              <w:t>Ընդհանուր ծախսերում (%)</w:t>
            </w:r>
          </w:p>
        </w:tc>
        <w:tc>
          <w:tcPr>
            <w:tcW w:w="451" w:type="pct"/>
            <w:shd w:val="clear" w:color="auto" w:fill="auto"/>
            <w:vAlign w:val="center"/>
          </w:tcPr>
          <w:p w14:paraId="79F0DD62" w14:textId="77777777" w:rsidR="006B15F5" w:rsidRPr="003F2203" w:rsidRDefault="006B15F5" w:rsidP="00147C8B">
            <w:pPr>
              <w:spacing w:before="0" w:after="0" w:line="240" w:lineRule="auto"/>
              <w:jc w:val="center"/>
              <w:rPr>
                <w:color w:val="A6A6A6" w:themeColor="background1" w:themeShade="A6"/>
                <w:sz w:val="18"/>
                <w:szCs w:val="18"/>
              </w:rPr>
            </w:pPr>
            <w:r>
              <w:rPr>
                <w:rFonts w:ascii="GHEA Grapalat" w:hAnsi="GHEA Grapalat" w:cs="Calibri"/>
                <w:color w:val="A6A6A6"/>
                <w:sz w:val="18"/>
                <w:szCs w:val="18"/>
              </w:rPr>
              <w:t>43.1%</w:t>
            </w:r>
          </w:p>
        </w:tc>
        <w:tc>
          <w:tcPr>
            <w:tcW w:w="451" w:type="pct"/>
            <w:shd w:val="clear" w:color="auto" w:fill="auto"/>
            <w:vAlign w:val="center"/>
          </w:tcPr>
          <w:p w14:paraId="2869E600" w14:textId="77777777" w:rsidR="006B15F5" w:rsidRPr="003F2203" w:rsidRDefault="006B15F5" w:rsidP="00147C8B">
            <w:pPr>
              <w:spacing w:before="0" w:after="0" w:line="240" w:lineRule="auto"/>
              <w:jc w:val="center"/>
              <w:rPr>
                <w:color w:val="A6A6A6" w:themeColor="background1" w:themeShade="A6"/>
                <w:sz w:val="18"/>
                <w:szCs w:val="18"/>
              </w:rPr>
            </w:pPr>
            <w:r>
              <w:rPr>
                <w:rFonts w:ascii="GHEA Grapalat" w:hAnsi="GHEA Grapalat" w:cs="Calibri"/>
                <w:color w:val="A6A6A6"/>
                <w:sz w:val="18"/>
                <w:szCs w:val="18"/>
              </w:rPr>
              <w:t>42.2%</w:t>
            </w:r>
          </w:p>
        </w:tc>
        <w:tc>
          <w:tcPr>
            <w:tcW w:w="452" w:type="pct"/>
            <w:shd w:val="clear" w:color="auto" w:fill="auto"/>
            <w:vAlign w:val="center"/>
          </w:tcPr>
          <w:p w14:paraId="01A948F9" w14:textId="77777777" w:rsidR="006B15F5" w:rsidRPr="003F2203" w:rsidRDefault="006B15F5" w:rsidP="00147C8B">
            <w:pPr>
              <w:spacing w:before="0" w:after="0" w:line="240" w:lineRule="auto"/>
              <w:jc w:val="center"/>
              <w:rPr>
                <w:color w:val="A6A6A6" w:themeColor="background1" w:themeShade="A6"/>
                <w:sz w:val="18"/>
                <w:szCs w:val="18"/>
              </w:rPr>
            </w:pPr>
            <w:r>
              <w:rPr>
                <w:rFonts w:ascii="GHEA Grapalat" w:hAnsi="GHEA Grapalat" w:cs="Calibri"/>
                <w:color w:val="A6A6A6"/>
                <w:sz w:val="18"/>
                <w:szCs w:val="18"/>
              </w:rPr>
              <w:t>43.3%</w:t>
            </w:r>
          </w:p>
        </w:tc>
        <w:tc>
          <w:tcPr>
            <w:tcW w:w="451" w:type="pct"/>
            <w:shd w:val="clear" w:color="auto" w:fill="auto"/>
            <w:vAlign w:val="center"/>
          </w:tcPr>
          <w:p w14:paraId="56612A0F" w14:textId="77777777" w:rsidR="006B15F5" w:rsidRPr="003F2203" w:rsidRDefault="006B15F5" w:rsidP="00147C8B">
            <w:pPr>
              <w:spacing w:before="0" w:after="0" w:line="240" w:lineRule="auto"/>
              <w:jc w:val="center"/>
              <w:rPr>
                <w:color w:val="A6A6A6" w:themeColor="background1" w:themeShade="A6"/>
                <w:sz w:val="18"/>
                <w:szCs w:val="18"/>
                <w:highlight w:val="yellow"/>
              </w:rPr>
            </w:pPr>
            <w:r>
              <w:rPr>
                <w:rFonts w:ascii="GHEA Grapalat" w:hAnsi="GHEA Grapalat" w:cs="Calibri"/>
                <w:color w:val="A6A6A6"/>
                <w:sz w:val="18"/>
                <w:szCs w:val="18"/>
              </w:rPr>
              <w:t>41.3%</w:t>
            </w:r>
          </w:p>
        </w:tc>
        <w:tc>
          <w:tcPr>
            <w:tcW w:w="451" w:type="pct"/>
            <w:vAlign w:val="center"/>
          </w:tcPr>
          <w:p w14:paraId="689764BA" w14:textId="77777777" w:rsidR="006B15F5" w:rsidRDefault="006B15F5" w:rsidP="00147C8B">
            <w:pPr>
              <w:spacing w:before="0" w:after="0" w:line="240" w:lineRule="auto"/>
              <w:jc w:val="center"/>
              <w:rPr>
                <w:rFonts w:ascii="GHEA Grapalat" w:hAnsi="GHEA Grapalat" w:cs="Calibri"/>
                <w:color w:val="A6A6A6"/>
                <w:sz w:val="18"/>
                <w:szCs w:val="18"/>
              </w:rPr>
            </w:pPr>
            <w:r>
              <w:rPr>
                <w:rFonts w:ascii="GHEA Grapalat" w:hAnsi="GHEA Grapalat" w:cs="Calibri"/>
                <w:color w:val="A6A6A6"/>
                <w:sz w:val="18"/>
                <w:szCs w:val="18"/>
              </w:rPr>
              <w:t>44.4%</w:t>
            </w:r>
          </w:p>
        </w:tc>
        <w:tc>
          <w:tcPr>
            <w:tcW w:w="451" w:type="pct"/>
            <w:vAlign w:val="center"/>
          </w:tcPr>
          <w:p w14:paraId="130032BA" w14:textId="77777777" w:rsidR="006B15F5" w:rsidRDefault="006B15F5" w:rsidP="00147C8B">
            <w:pPr>
              <w:spacing w:before="0" w:after="0" w:line="240" w:lineRule="auto"/>
              <w:jc w:val="center"/>
              <w:rPr>
                <w:rFonts w:ascii="GHEA Grapalat" w:hAnsi="GHEA Grapalat" w:cs="Calibri"/>
                <w:color w:val="A6A6A6"/>
                <w:sz w:val="18"/>
                <w:szCs w:val="18"/>
              </w:rPr>
            </w:pPr>
            <w:r>
              <w:rPr>
                <w:rFonts w:ascii="GHEA Grapalat" w:hAnsi="GHEA Grapalat" w:cs="Calibri"/>
                <w:color w:val="A6A6A6"/>
                <w:sz w:val="18"/>
                <w:szCs w:val="18"/>
              </w:rPr>
              <w:t>43.7%</w:t>
            </w:r>
          </w:p>
        </w:tc>
        <w:tc>
          <w:tcPr>
            <w:tcW w:w="478" w:type="pct"/>
            <w:vAlign w:val="center"/>
          </w:tcPr>
          <w:p w14:paraId="09A6C66A" w14:textId="77777777" w:rsidR="006B15F5" w:rsidRPr="003F2203" w:rsidRDefault="006B15F5" w:rsidP="00147C8B">
            <w:pPr>
              <w:spacing w:before="0" w:after="0" w:line="240" w:lineRule="auto"/>
              <w:jc w:val="center"/>
              <w:rPr>
                <w:color w:val="A6A6A6" w:themeColor="background1" w:themeShade="A6"/>
                <w:sz w:val="18"/>
                <w:szCs w:val="18"/>
              </w:rPr>
            </w:pPr>
            <w:r>
              <w:rPr>
                <w:rFonts w:ascii="GHEA Grapalat" w:hAnsi="GHEA Grapalat" w:cs="Calibri"/>
                <w:color w:val="A6A6A6"/>
                <w:sz w:val="18"/>
                <w:szCs w:val="18"/>
              </w:rPr>
              <w:t>43.2%</w:t>
            </w:r>
          </w:p>
        </w:tc>
      </w:tr>
      <w:tr w:rsidR="006B15F5" w:rsidRPr="00941B19" w14:paraId="7CF2186A" w14:textId="77777777" w:rsidTr="00147C8B">
        <w:trPr>
          <w:trHeight w:val="317"/>
        </w:trPr>
        <w:tc>
          <w:tcPr>
            <w:tcW w:w="1814" w:type="pct"/>
            <w:shd w:val="clear" w:color="auto" w:fill="auto"/>
            <w:vAlign w:val="center"/>
            <w:hideMark/>
          </w:tcPr>
          <w:p w14:paraId="23A68BA1" w14:textId="77777777" w:rsidR="006B15F5" w:rsidRPr="00941B19" w:rsidRDefault="006B15F5" w:rsidP="00147C8B">
            <w:pPr>
              <w:spacing w:before="0" w:after="0" w:line="240" w:lineRule="auto"/>
              <w:rPr>
                <w:sz w:val="18"/>
                <w:szCs w:val="18"/>
              </w:rPr>
            </w:pPr>
            <w:r w:rsidRPr="00941B19">
              <w:rPr>
                <w:sz w:val="18"/>
                <w:szCs w:val="18"/>
              </w:rPr>
              <w:t>1. Կրթություն</w:t>
            </w:r>
          </w:p>
        </w:tc>
        <w:tc>
          <w:tcPr>
            <w:tcW w:w="451" w:type="pct"/>
            <w:shd w:val="clear" w:color="auto" w:fill="auto"/>
            <w:vAlign w:val="center"/>
          </w:tcPr>
          <w:p w14:paraId="4747762E" w14:textId="77777777" w:rsidR="006B15F5" w:rsidRPr="00941B19" w:rsidRDefault="006B15F5" w:rsidP="00147C8B">
            <w:pPr>
              <w:spacing w:before="0" w:after="0" w:line="240" w:lineRule="auto"/>
              <w:jc w:val="center"/>
              <w:rPr>
                <w:sz w:val="18"/>
                <w:szCs w:val="18"/>
              </w:rPr>
            </w:pPr>
            <w:r>
              <w:rPr>
                <w:rFonts w:ascii="GHEA Grapalat" w:hAnsi="GHEA Grapalat" w:cs="Calibri"/>
                <w:color w:val="404040"/>
                <w:sz w:val="18"/>
                <w:szCs w:val="18"/>
              </w:rPr>
              <w:t>165.40</w:t>
            </w:r>
          </w:p>
        </w:tc>
        <w:tc>
          <w:tcPr>
            <w:tcW w:w="451" w:type="pct"/>
            <w:shd w:val="clear" w:color="auto" w:fill="auto"/>
            <w:vAlign w:val="center"/>
          </w:tcPr>
          <w:p w14:paraId="1B8DA29F" w14:textId="77777777" w:rsidR="006B15F5" w:rsidRPr="00941B19" w:rsidRDefault="006B15F5" w:rsidP="00147C8B">
            <w:pPr>
              <w:spacing w:before="0" w:after="0" w:line="240" w:lineRule="auto"/>
              <w:jc w:val="center"/>
              <w:rPr>
                <w:sz w:val="18"/>
                <w:szCs w:val="18"/>
              </w:rPr>
            </w:pPr>
            <w:r>
              <w:rPr>
                <w:rFonts w:ascii="GHEA Grapalat" w:hAnsi="GHEA Grapalat" w:cs="Calibri"/>
                <w:color w:val="404040"/>
                <w:sz w:val="18"/>
                <w:szCs w:val="18"/>
              </w:rPr>
              <w:t>183.6</w:t>
            </w:r>
          </w:p>
        </w:tc>
        <w:tc>
          <w:tcPr>
            <w:tcW w:w="452" w:type="pct"/>
            <w:shd w:val="clear" w:color="auto" w:fill="auto"/>
            <w:vAlign w:val="center"/>
          </w:tcPr>
          <w:p w14:paraId="23A4746C" w14:textId="77777777" w:rsidR="006B15F5" w:rsidRPr="00941B19" w:rsidRDefault="006B15F5" w:rsidP="00147C8B">
            <w:pPr>
              <w:spacing w:before="0" w:after="0" w:line="240" w:lineRule="auto"/>
              <w:jc w:val="center"/>
              <w:rPr>
                <w:sz w:val="18"/>
                <w:szCs w:val="18"/>
              </w:rPr>
            </w:pPr>
            <w:r>
              <w:rPr>
                <w:rFonts w:ascii="GHEA Grapalat" w:hAnsi="GHEA Grapalat" w:cs="Calibri"/>
                <w:color w:val="404040"/>
                <w:sz w:val="18"/>
                <w:szCs w:val="18"/>
              </w:rPr>
              <w:t>231</w:t>
            </w:r>
          </w:p>
        </w:tc>
        <w:tc>
          <w:tcPr>
            <w:tcW w:w="451" w:type="pct"/>
            <w:shd w:val="clear" w:color="auto" w:fill="auto"/>
            <w:vAlign w:val="center"/>
          </w:tcPr>
          <w:p w14:paraId="771311B9" w14:textId="77777777" w:rsidR="006B15F5" w:rsidRPr="00941B19" w:rsidRDefault="006B15F5" w:rsidP="00147C8B">
            <w:pPr>
              <w:spacing w:before="0" w:after="0" w:line="240" w:lineRule="auto"/>
              <w:jc w:val="center"/>
              <w:rPr>
                <w:sz w:val="18"/>
                <w:szCs w:val="18"/>
              </w:rPr>
            </w:pPr>
            <w:r>
              <w:rPr>
                <w:rFonts w:ascii="GHEA Grapalat" w:hAnsi="GHEA Grapalat" w:cs="Calibri"/>
                <w:color w:val="404040"/>
                <w:sz w:val="18"/>
                <w:szCs w:val="18"/>
              </w:rPr>
              <w:t>299.7</w:t>
            </w:r>
          </w:p>
        </w:tc>
        <w:tc>
          <w:tcPr>
            <w:tcW w:w="451" w:type="pct"/>
            <w:vAlign w:val="center"/>
          </w:tcPr>
          <w:p w14:paraId="319BD2C8" w14:textId="77777777" w:rsidR="006B15F5" w:rsidRDefault="006B15F5" w:rsidP="00147C8B">
            <w:pPr>
              <w:spacing w:before="0" w:after="0" w:line="240" w:lineRule="auto"/>
              <w:jc w:val="center"/>
              <w:rPr>
                <w:rFonts w:ascii="GHEA Grapalat" w:hAnsi="GHEA Grapalat" w:cs="Calibri"/>
                <w:color w:val="404040"/>
                <w:sz w:val="18"/>
                <w:szCs w:val="18"/>
              </w:rPr>
            </w:pPr>
            <w:r>
              <w:rPr>
                <w:rFonts w:ascii="GHEA Grapalat" w:hAnsi="GHEA Grapalat" w:cs="Calibri"/>
                <w:color w:val="404040"/>
                <w:sz w:val="18"/>
                <w:szCs w:val="18"/>
              </w:rPr>
              <w:t>357.7</w:t>
            </w:r>
          </w:p>
        </w:tc>
        <w:tc>
          <w:tcPr>
            <w:tcW w:w="451" w:type="pct"/>
            <w:vAlign w:val="center"/>
          </w:tcPr>
          <w:p w14:paraId="41F1FDC6" w14:textId="77777777" w:rsidR="006B15F5" w:rsidRDefault="006B15F5" w:rsidP="00147C8B">
            <w:pPr>
              <w:spacing w:before="0" w:after="0" w:line="240" w:lineRule="auto"/>
              <w:jc w:val="center"/>
              <w:rPr>
                <w:rFonts w:ascii="GHEA Grapalat" w:hAnsi="GHEA Grapalat" w:cs="Calibri"/>
                <w:color w:val="404040"/>
                <w:sz w:val="18"/>
                <w:szCs w:val="18"/>
              </w:rPr>
            </w:pPr>
            <w:r>
              <w:rPr>
                <w:rFonts w:ascii="GHEA Grapalat" w:hAnsi="GHEA Grapalat" w:cs="Calibri"/>
                <w:color w:val="404040"/>
                <w:sz w:val="18"/>
                <w:szCs w:val="18"/>
              </w:rPr>
              <w:t>302.6</w:t>
            </w:r>
          </w:p>
        </w:tc>
        <w:tc>
          <w:tcPr>
            <w:tcW w:w="478" w:type="pct"/>
            <w:shd w:val="clear" w:color="auto" w:fill="auto"/>
            <w:vAlign w:val="center"/>
          </w:tcPr>
          <w:p w14:paraId="7BA17AD4" w14:textId="77777777" w:rsidR="006B15F5" w:rsidRPr="00941B19" w:rsidRDefault="006B15F5" w:rsidP="00147C8B">
            <w:pPr>
              <w:spacing w:before="0" w:after="0" w:line="240" w:lineRule="auto"/>
              <w:jc w:val="center"/>
              <w:rPr>
                <w:sz w:val="18"/>
                <w:szCs w:val="18"/>
              </w:rPr>
            </w:pPr>
            <w:r>
              <w:rPr>
                <w:rFonts w:ascii="GHEA Grapalat" w:hAnsi="GHEA Grapalat" w:cs="Calibri"/>
                <w:color w:val="404040"/>
                <w:sz w:val="18"/>
                <w:szCs w:val="18"/>
              </w:rPr>
              <w:t>323.9</w:t>
            </w:r>
          </w:p>
        </w:tc>
      </w:tr>
      <w:tr w:rsidR="006B15F5" w:rsidRPr="00941B19" w14:paraId="34294869" w14:textId="77777777" w:rsidTr="00147C8B">
        <w:trPr>
          <w:trHeight w:val="317"/>
        </w:trPr>
        <w:tc>
          <w:tcPr>
            <w:tcW w:w="1814" w:type="pct"/>
            <w:shd w:val="clear" w:color="auto" w:fill="auto"/>
            <w:vAlign w:val="center"/>
            <w:hideMark/>
          </w:tcPr>
          <w:p w14:paraId="6E9F8F05" w14:textId="77777777" w:rsidR="006B15F5" w:rsidRPr="003F2203" w:rsidRDefault="006B15F5" w:rsidP="00147C8B">
            <w:pPr>
              <w:spacing w:before="0" w:after="0" w:line="240" w:lineRule="auto"/>
              <w:ind w:right="495"/>
              <w:rPr>
                <w:color w:val="A6A6A6" w:themeColor="background1" w:themeShade="A6"/>
                <w:sz w:val="18"/>
                <w:szCs w:val="18"/>
              </w:rPr>
            </w:pPr>
            <w:r w:rsidRPr="003F2203">
              <w:rPr>
                <w:color w:val="A6A6A6" w:themeColor="background1" w:themeShade="A6"/>
                <w:sz w:val="18"/>
                <w:szCs w:val="18"/>
              </w:rPr>
              <w:t>ՀՆԱ-ի նկատմամբ (%)</w:t>
            </w:r>
          </w:p>
        </w:tc>
        <w:tc>
          <w:tcPr>
            <w:tcW w:w="451" w:type="pct"/>
            <w:shd w:val="clear" w:color="auto" w:fill="auto"/>
            <w:vAlign w:val="center"/>
          </w:tcPr>
          <w:p w14:paraId="7A3E9E09" w14:textId="77777777" w:rsidR="006B15F5" w:rsidRPr="003F2203" w:rsidRDefault="006B15F5" w:rsidP="00147C8B">
            <w:pPr>
              <w:spacing w:before="0" w:after="0" w:line="240" w:lineRule="auto"/>
              <w:jc w:val="center"/>
              <w:rPr>
                <w:color w:val="A6A6A6" w:themeColor="background1" w:themeShade="A6"/>
                <w:sz w:val="18"/>
                <w:szCs w:val="18"/>
              </w:rPr>
            </w:pPr>
            <w:r>
              <w:rPr>
                <w:rFonts w:ascii="GHEA Grapalat" w:hAnsi="GHEA Grapalat" w:cs="Calibri"/>
                <w:color w:val="A6A6A6"/>
                <w:sz w:val="18"/>
                <w:szCs w:val="18"/>
              </w:rPr>
              <w:t>1.9%</w:t>
            </w:r>
          </w:p>
        </w:tc>
        <w:tc>
          <w:tcPr>
            <w:tcW w:w="451" w:type="pct"/>
            <w:shd w:val="clear" w:color="auto" w:fill="auto"/>
            <w:vAlign w:val="center"/>
          </w:tcPr>
          <w:p w14:paraId="4F41BCC6" w14:textId="77777777" w:rsidR="006B15F5" w:rsidRPr="003F2203" w:rsidRDefault="006B15F5" w:rsidP="00147C8B">
            <w:pPr>
              <w:spacing w:before="0" w:after="0" w:line="240" w:lineRule="auto"/>
              <w:jc w:val="center"/>
              <w:rPr>
                <w:color w:val="A6A6A6" w:themeColor="background1" w:themeShade="A6"/>
                <w:sz w:val="18"/>
                <w:szCs w:val="18"/>
              </w:rPr>
            </w:pPr>
            <w:r>
              <w:rPr>
                <w:rFonts w:ascii="GHEA Grapalat" w:hAnsi="GHEA Grapalat" w:cs="Calibri"/>
                <w:color w:val="A6A6A6"/>
                <w:sz w:val="18"/>
                <w:szCs w:val="18"/>
              </w:rPr>
              <w:t>1.9%</w:t>
            </w:r>
          </w:p>
        </w:tc>
        <w:tc>
          <w:tcPr>
            <w:tcW w:w="452" w:type="pct"/>
            <w:shd w:val="clear" w:color="auto" w:fill="auto"/>
            <w:vAlign w:val="center"/>
          </w:tcPr>
          <w:p w14:paraId="27F3DB5C" w14:textId="77777777" w:rsidR="006B15F5" w:rsidRPr="003F2203" w:rsidRDefault="006B15F5" w:rsidP="00147C8B">
            <w:pPr>
              <w:spacing w:before="0" w:after="0" w:line="240" w:lineRule="auto"/>
              <w:jc w:val="center"/>
              <w:rPr>
                <w:color w:val="A6A6A6" w:themeColor="background1" w:themeShade="A6"/>
                <w:sz w:val="18"/>
                <w:szCs w:val="18"/>
              </w:rPr>
            </w:pPr>
            <w:r>
              <w:rPr>
                <w:rFonts w:ascii="GHEA Grapalat" w:hAnsi="GHEA Grapalat" w:cs="Calibri"/>
                <w:color w:val="A6A6A6"/>
                <w:sz w:val="18"/>
                <w:szCs w:val="18"/>
              </w:rPr>
              <w:t>2.3%</w:t>
            </w:r>
          </w:p>
        </w:tc>
        <w:tc>
          <w:tcPr>
            <w:tcW w:w="451" w:type="pct"/>
            <w:shd w:val="clear" w:color="auto" w:fill="auto"/>
            <w:vAlign w:val="center"/>
          </w:tcPr>
          <w:p w14:paraId="513333AF" w14:textId="77777777" w:rsidR="006B15F5" w:rsidRPr="003F2203" w:rsidRDefault="006B15F5" w:rsidP="00147C8B">
            <w:pPr>
              <w:spacing w:before="0" w:after="0" w:line="240" w:lineRule="auto"/>
              <w:jc w:val="center"/>
              <w:rPr>
                <w:color w:val="A6A6A6" w:themeColor="background1" w:themeShade="A6"/>
                <w:sz w:val="18"/>
                <w:szCs w:val="18"/>
                <w:highlight w:val="yellow"/>
              </w:rPr>
            </w:pPr>
            <w:r>
              <w:rPr>
                <w:rFonts w:ascii="GHEA Grapalat" w:hAnsi="GHEA Grapalat" w:cs="Calibri"/>
                <w:color w:val="A6A6A6"/>
                <w:sz w:val="18"/>
                <w:szCs w:val="18"/>
              </w:rPr>
              <w:t>2.8%</w:t>
            </w:r>
          </w:p>
        </w:tc>
        <w:tc>
          <w:tcPr>
            <w:tcW w:w="451" w:type="pct"/>
            <w:vAlign w:val="center"/>
          </w:tcPr>
          <w:p w14:paraId="3452A38E" w14:textId="77777777" w:rsidR="006B15F5" w:rsidRDefault="006B15F5" w:rsidP="00147C8B">
            <w:pPr>
              <w:spacing w:before="0" w:after="0" w:line="240" w:lineRule="auto"/>
              <w:jc w:val="center"/>
              <w:rPr>
                <w:rFonts w:ascii="GHEA Grapalat" w:hAnsi="GHEA Grapalat" w:cs="Calibri"/>
                <w:color w:val="A6A6A6"/>
                <w:sz w:val="18"/>
                <w:szCs w:val="18"/>
              </w:rPr>
            </w:pPr>
            <w:r>
              <w:rPr>
                <w:rFonts w:ascii="GHEA Grapalat" w:hAnsi="GHEA Grapalat" w:cs="Calibri"/>
                <w:color w:val="A6A6A6"/>
                <w:sz w:val="18"/>
                <w:szCs w:val="18"/>
              </w:rPr>
              <w:t>3.0%</w:t>
            </w:r>
          </w:p>
        </w:tc>
        <w:tc>
          <w:tcPr>
            <w:tcW w:w="451" w:type="pct"/>
            <w:vAlign w:val="center"/>
          </w:tcPr>
          <w:p w14:paraId="61595666" w14:textId="77777777" w:rsidR="006B15F5" w:rsidRDefault="006B15F5" w:rsidP="00147C8B">
            <w:pPr>
              <w:spacing w:before="0" w:after="0" w:line="240" w:lineRule="auto"/>
              <w:jc w:val="center"/>
              <w:rPr>
                <w:rFonts w:ascii="GHEA Grapalat" w:hAnsi="GHEA Grapalat" w:cs="Calibri"/>
                <w:color w:val="A6A6A6"/>
                <w:sz w:val="18"/>
                <w:szCs w:val="18"/>
              </w:rPr>
            </w:pPr>
            <w:r>
              <w:rPr>
                <w:rFonts w:ascii="GHEA Grapalat" w:hAnsi="GHEA Grapalat" w:cs="Calibri"/>
                <w:color w:val="A6A6A6"/>
                <w:sz w:val="18"/>
                <w:szCs w:val="18"/>
              </w:rPr>
              <w:t>2.3%</w:t>
            </w:r>
          </w:p>
        </w:tc>
        <w:tc>
          <w:tcPr>
            <w:tcW w:w="478" w:type="pct"/>
            <w:shd w:val="clear" w:color="auto" w:fill="auto"/>
            <w:vAlign w:val="center"/>
          </w:tcPr>
          <w:p w14:paraId="3B5482C3" w14:textId="77777777" w:rsidR="006B15F5" w:rsidRPr="003F2203" w:rsidRDefault="006B15F5" w:rsidP="00147C8B">
            <w:pPr>
              <w:spacing w:before="0" w:after="0" w:line="240" w:lineRule="auto"/>
              <w:jc w:val="center"/>
              <w:rPr>
                <w:color w:val="A6A6A6" w:themeColor="background1" w:themeShade="A6"/>
                <w:sz w:val="18"/>
                <w:szCs w:val="18"/>
              </w:rPr>
            </w:pPr>
            <w:r>
              <w:rPr>
                <w:rFonts w:ascii="GHEA Grapalat" w:hAnsi="GHEA Grapalat" w:cs="Calibri"/>
                <w:color w:val="A6A6A6"/>
                <w:sz w:val="18"/>
                <w:szCs w:val="18"/>
              </w:rPr>
              <w:t>2.3%</w:t>
            </w:r>
          </w:p>
        </w:tc>
      </w:tr>
      <w:tr w:rsidR="006B15F5" w:rsidRPr="00941B19" w14:paraId="3BD98E8A" w14:textId="77777777" w:rsidTr="00147C8B">
        <w:trPr>
          <w:trHeight w:val="317"/>
        </w:trPr>
        <w:tc>
          <w:tcPr>
            <w:tcW w:w="1814" w:type="pct"/>
            <w:shd w:val="clear" w:color="auto" w:fill="auto"/>
            <w:vAlign w:val="center"/>
            <w:hideMark/>
          </w:tcPr>
          <w:p w14:paraId="2ECBA841" w14:textId="77777777" w:rsidR="006B15F5" w:rsidRPr="003F2203" w:rsidRDefault="006B15F5" w:rsidP="00147C8B">
            <w:pPr>
              <w:spacing w:before="0" w:after="0" w:line="240" w:lineRule="auto"/>
              <w:ind w:right="495"/>
              <w:rPr>
                <w:color w:val="A6A6A6" w:themeColor="background1" w:themeShade="A6"/>
                <w:sz w:val="18"/>
                <w:szCs w:val="18"/>
              </w:rPr>
            </w:pPr>
            <w:r w:rsidRPr="003F2203">
              <w:rPr>
                <w:color w:val="A6A6A6" w:themeColor="background1" w:themeShade="A6"/>
                <w:sz w:val="18"/>
                <w:szCs w:val="18"/>
              </w:rPr>
              <w:t>Ընդհանուր ծախսերում (%)</w:t>
            </w:r>
          </w:p>
        </w:tc>
        <w:tc>
          <w:tcPr>
            <w:tcW w:w="451" w:type="pct"/>
            <w:shd w:val="clear" w:color="auto" w:fill="auto"/>
            <w:vAlign w:val="center"/>
          </w:tcPr>
          <w:p w14:paraId="5602A3B9" w14:textId="77777777" w:rsidR="006B15F5" w:rsidRPr="003F2203" w:rsidRDefault="006B15F5" w:rsidP="00147C8B">
            <w:pPr>
              <w:spacing w:before="0" w:after="0" w:line="240" w:lineRule="auto"/>
              <w:jc w:val="center"/>
              <w:rPr>
                <w:color w:val="A6A6A6" w:themeColor="background1" w:themeShade="A6"/>
                <w:sz w:val="18"/>
                <w:szCs w:val="18"/>
              </w:rPr>
            </w:pPr>
            <w:r>
              <w:rPr>
                <w:rFonts w:ascii="GHEA Grapalat" w:hAnsi="GHEA Grapalat" w:cs="Calibri"/>
                <w:color w:val="A6A6A6"/>
                <w:sz w:val="18"/>
                <w:szCs w:val="18"/>
              </w:rPr>
              <w:t>7.4%</w:t>
            </w:r>
          </w:p>
        </w:tc>
        <w:tc>
          <w:tcPr>
            <w:tcW w:w="451" w:type="pct"/>
            <w:shd w:val="clear" w:color="auto" w:fill="auto"/>
            <w:vAlign w:val="center"/>
          </w:tcPr>
          <w:p w14:paraId="3E4FCF71" w14:textId="77777777" w:rsidR="006B15F5" w:rsidRPr="003F2203" w:rsidRDefault="006B15F5" w:rsidP="00147C8B">
            <w:pPr>
              <w:spacing w:before="0" w:after="0" w:line="240" w:lineRule="auto"/>
              <w:jc w:val="center"/>
              <w:rPr>
                <w:color w:val="A6A6A6" w:themeColor="background1" w:themeShade="A6"/>
                <w:sz w:val="18"/>
                <w:szCs w:val="18"/>
              </w:rPr>
            </w:pPr>
            <w:r>
              <w:rPr>
                <w:rFonts w:ascii="GHEA Grapalat" w:hAnsi="GHEA Grapalat" w:cs="Calibri"/>
                <w:color w:val="A6A6A6"/>
                <w:sz w:val="18"/>
                <w:szCs w:val="18"/>
              </w:rPr>
              <w:t>7.2%</w:t>
            </w:r>
          </w:p>
        </w:tc>
        <w:tc>
          <w:tcPr>
            <w:tcW w:w="452" w:type="pct"/>
            <w:shd w:val="clear" w:color="auto" w:fill="auto"/>
            <w:vAlign w:val="center"/>
          </w:tcPr>
          <w:p w14:paraId="16D5F6B9" w14:textId="77777777" w:rsidR="006B15F5" w:rsidRPr="003F2203" w:rsidRDefault="006B15F5" w:rsidP="00147C8B">
            <w:pPr>
              <w:spacing w:before="0" w:after="0" w:line="240" w:lineRule="auto"/>
              <w:jc w:val="center"/>
              <w:rPr>
                <w:color w:val="A6A6A6" w:themeColor="background1" w:themeShade="A6"/>
                <w:sz w:val="18"/>
                <w:szCs w:val="18"/>
              </w:rPr>
            </w:pPr>
            <w:r>
              <w:rPr>
                <w:rFonts w:ascii="GHEA Grapalat" w:hAnsi="GHEA Grapalat" w:cs="Calibri"/>
                <w:color w:val="A6A6A6"/>
                <w:sz w:val="18"/>
                <w:szCs w:val="18"/>
              </w:rPr>
              <w:t>7.8%</w:t>
            </w:r>
          </w:p>
        </w:tc>
        <w:tc>
          <w:tcPr>
            <w:tcW w:w="451" w:type="pct"/>
            <w:shd w:val="clear" w:color="auto" w:fill="auto"/>
            <w:vAlign w:val="center"/>
          </w:tcPr>
          <w:p w14:paraId="2966D46D" w14:textId="77777777" w:rsidR="006B15F5" w:rsidRPr="003F2203" w:rsidRDefault="006B15F5" w:rsidP="00147C8B">
            <w:pPr>
              <w:spacing w:before="0" w:after="0" w:line="240" w:lineRule="auto"/>
              <w:jc w:val="center"/>
              <w:rPr>
                <w:color w:val="A6A6A6" w:themeColor="background1" w:themeShade="A6"/>
                <w:sz w:val="18"/>
                <w:szCs w:val="18"/>
                <w:highlight w:val="yellow"/>
              </w:rPr>
            </w:pPr>
            <w:r>
              <w:rPr>
                <w:rFonts w:ascii="GHEA Grapalat" w:hAnsi="GHEA Grapalat" w:cs="Calibri"/>
                <w:color w:val="A6A6A6"/>
                <w:sz w:val="18"/>
                <w:szCs w:val="18"/>
              </w:rPr>
              <w:t>8.7%</w:t>
            </w:r>
          </w:p>
        </w:tc>
        <w:tc>
          <w:tcPr>
            <w:tcW w:w="451" w:type="pct"/>
            <w:vAlign w:val="center"/>
          </w:tcPr>
          <w:p w14:paraId="68F01C6E" w14:textId="77777777" w:rsidR="006B15F5" w:rsidRDefault="006B15F5" w:rsidP="00147C8B">
            <w:pPr>
              <w:spacing w:before="0" w:after="0" w:line="240" w:lineRule="auto"/>
              <w:jc w:val="center"/>
              <w:rPr>
                <w:rFonts w:ascii="GHEA Grapalat" w:hAnsi="GHEA Grapalat" w:cs="Calibri"/>
                <w:color w:val="A6A6A6"/>
                <w:sz w:val="18"/>
                <w:szCs w:val="18"/>
              </w:rPr>
            </w:pPr>
            <w:r>
              <w:rPr>
                <w:rFonts w:ascii="GHEA Grapalat" w:hAnsi="GHEA Grapalat" w:cs="Calibri"/>
                <w:color w:val="A6A6A6"/>
                <w:sz w:val="18"/>
                <w:szCs w:val="18"/>
              </w:rPr>
              <w:t>9.9%</w:t>
            </w:r>
          </w:p>
        </w:tc>
        <w:tc>
          <w:tcPr>
            <w:tcW w:w="451" w:type="pct"/>
            <w:vAlign w:val="center"/>
          </w:tcPr>
          <w:p w14:paraId="5E7FA910" w14:textId="77777777" w:rsidR="006B15F5" w:rsidRDefault="006B15F5" w:rsidP="00147C8B">
            <w:pPr>
              <w:spacing w:before="0" w:after="0" w:line="240" w:lineRule="auto"/>
              <w:jc w:val="center"/>
              <w:rPr>
                <w:rFonts w:ascii="GHEA Grapalat" w:hAnsi="GHEA Grapalat" w:cs="Calibri"/>
                <w:color w:val="A6A6A6"/>
                <w:sz w:val="18"/>
                <w:szCs w:val="18"/>
              </w:rPr>
            </w:pPr>
            <w:r>
              <w:rPr>
                <w:rFonts w:ascii="GHEA Grapalat" w:hAnsi="GHEA Grapalat" w:cs="Calibri"/>
                <w:color w:val="A6A6A6"/>
                <w:sz w:val="18"/>
                <w:szCs w:val="18"/>
              </w:rPr>
              <w:t>8.0%</w:t>
            </w:r>
          </w:p>
        </w:tc>
        <w:tc>
          <w:tcPr>
            <w:tcW w:w="478" w:type="pct"/>
            <w:shd w:val="clear" w:color="auto" w:fill="auto"/>
            <w:vAlign w:val="center"/>
          </w:tcPr>
          <w:p w14:paraId="6285A360" w14:textId="77777777" w:rsidR="006B15F5" w:rsidRPr="003F2203" w:rsidRDefault="006B15F5" w:rsidP="00147C8B">
            <w:pPr>
              <w:spacing w:before="0" w:after="0" w:line="240" w:lineRule="auto"/>
              <w:jc w:val="center"/>
              <w:rPr>
                <w:color w:val="A6A6A6" w:themeColor="background1" w:themeShade="A6"/>
                <w:sz w:val="18"/>
                <w:szCs w:val="18"/>
              </w:rPr>
            </w:pPr>
            <w:r>
              <w:rPr>
                <w:rFonts w:ascii="GHEA Grapalat" w:hAnsi="GHEA Grapalat" w:cs="Calibri"/>
                <w:color w:val="A6A6A6"/>
                <w:sz w:val="18"/>
                <w:szCs w:val="18"/>
              </w:rPr>
              <w:t>8.0%</w:t>
            </w:r>
          </w:p>
        </w:tc>
      </w:tr>
      <w:tr w:rsidR="006B15F5" w:rsidRPr="00941B19" w14:paraId="41EACC69" w14:textId="77777777" w:rsidTr="00147C8B">
        <w:trPr>
          <w:trHeight w:val="317"/>
        </w:trPr>
        <w:tc>
          <w:tcPr>
            <w:tcW w:w="1814" w:type="pct"/>
            <w:shd w:val="clear" w:color="auto" w:fill="auto"/>
            <w:vAlign w:val="center"/>
            <w:hideMark/>
          </w:tcPr>
          <w:p w14:paraId="243E16DB" w14:textId="77777777" w:rsidR="006B15F5" w:rsidRPr="00941B19" w:rsidRDefault="006B15F5" w:rsidP="00147C8B">
            <w:pPr>
              <w:spacing w:before="0" w:after="0" w:line="240" w:lineRule="auto"/>
              <w:rPr>
                <w:sz w:val="18"/>
                <w:szCs w:val="18"/>
              </w:rPr>
            </w:pPr>
            <w:r w:rsidRPr="00941B19">
              <w:rPr>
                <w:sz w:val="18"/>
                <w:szCs w:val="18"/>
              </w:rPr>
              <w:t>2. Սոցիալական պաշտպանություն</w:t>
            </w:r>
          </w:p>
        </w:tc>
        <w:tc>
          <w:tcPr>
            <w:tcW w:w="451" w:type="pct"/>
            <w:shd w:val="clear" w:color="auto" w:fill="auto"/>
            <w:vAlign w:val="center"/>
          </w:tcPr>
          <w:p w14:paraId="7CFF9769" w14:textId="77777777" w:rsidR="006B15F5" w:rsidRPr="00941B19" w:rsidRDefault="006B15F5" w:rsidP="00147C8B">
            <w:pPr>
              <w:spacing w:before="0" w:after="0" w:line="240" w:lineRule="auto"/>
              <w:jc w:val="center"/>
              <w:rPr>
                <w:sz w:val="18"/>
                <w:szCs w:val="18"/>
              </w:rPr>
            </w:pPr>
            <w:r>
              <w:rPr>
                <w:rFonts w:ascii="GHEA Grapalat" w:hAnsi="GHEA Grapalat" w:cs="Calibri"/>
                <w:color w:val="404040"/>
                <w:sz w:val="18"/>
                <w:szCs w:val="18"/>
              </w:rPr>
              <w:t>614.50</w:t>
            </w:r>
          </w:p>
        </w:tc>
        <w:tc>
          <w:tcPr>
            <w:tcW w:w="451" w:type="pct"/>
            <w:shd w:val="clear" w:color="auto" w:fill="auto"/>
            <w:vAlign w:val="center"/>
          </w:tcPr>
          <w:p w14:paraId="74609EC3" w14:textId="77777777" w:rsidR="006B15F5" w:rsidRPr="00941B19" w:rsidRDefault="006B15F5" w:rsidP="00147C8B">
            <w:pPr>
              <w:spacing w:before="0" w:after="0" w:line="240" w:lineRule="auto"/>
              <w:jc w:val="center"/>
              <w:rPr>
                <w:sz w:val="18"/>
                <w:szCs w:val="18"/>
              </w:rPr>
            </w:pPr>
            <w:r>
              <w:rPr>
                <w:rFonts w:ascii="GHEA Grapalat" w:hAnsi="GHEA Grapalat" w:cs="Calibri"/>
                <w:color w:val="404040"/>
                <w:sz w:val="18"/>
                <w:szCs w:val="18"/>
              </w:rPr>
              <w:t>705.8</w:t>
            </w:r>
          </w:p>
        </w:tc>
        <w:tc>
          <w:tcPr>
            <w:tcW w:w="452" w:type="pct"/>
            <w:shd w:val="clear" w:color="auto" w:fill="auto"/>
            <w:vAlign w:val="center"/>
          </w:tcPr>
          <w:p w14:paraId="39B7965A" w14:textId="77777777" w:rsidR="006B15F5" w:rsidRPr="00941B19" w:rsidRDefault="006B15F5" w:rsidP="00147C8B">
            <w:pPr>
              <w:spacing w:before="0" w:after="0" w:line="240" w:lineRule="auto"/>
              <w:jc w:val="center"/>
              <w:rPr>
                <w:sz w:val="18"/>
                <w:szCs w:val="18"/>
              </w:rPr>
            </w:pPr>
            <w:r>
              <w:rPr>
                <w:rFonts w:ascii="GHEA Grapalat" w:hAnsi="GHEA Grapalat" w:cs="Calibri"/>
                <w:color w:val="404040"/>
                <w:sz w:val="18"/>
                <w:szCs w:val="18"/>
              </w:rPr>
              <w:t>851.9</w:t>
            </w:r>
          </w:p>
        </w:tc>
        <w:tc>
          <w:tcPr>
            <w:tcW w:w="451" w:type="pct"/>
            <w:shd w:val="clear" w:color="auto" w:fill="auto"/>
            <w:vAlign w:val="center"/>
          </w:tcPr>
          <w:p w14:paraId="530FC9BE" w14:textId="77777777" w:rsidR="006B15F5" w:rsidRPr="00941B19" w:rsidRDefault="006B15F5" w:rsidP="00147C8B">
            <w:pPr>
              <w:spacing w:before="0" w:after="0" w:line="240" w:lineRule="auto"/>
              <w:jc w:val="center"/>
              <w:rPr>
                <w:sz w:val="18"/>
                <w:szCs w:val="18"/>
              </w:rPr>
            </w:pPr>
            <w:r>
              <w:rPr>
                <w:rFonts w:ascii="GHEA Grapalat" w:hAnsi="GHEA Grapalat" w:cs="Calibri"/>
                <w:color w:val="404040"/>
                <w:sz w:val="18"/>
                <w:szCs w:val="18"/>
              </w:rPr>
              <w:t>905.6</w:t>
            </w:r>
          </w:p>
        </w:tc>
        <w:tc>
          <w:tcPr>
            <w:tcW w:w="451" w:type="pct"/>
            <w:vAlign w:val="center"/>
          </w:tcPr>
          <w:p w14:paraId="1FBB7011" w14:textId="77777777" w:rsidR="006B15F5" w:rsidRPr="005E630A" w:rsidRDefault="006B15F5" w:rsidP="00147C8B">
            <w:pPr>
              <w:spacing w:before="0" w:after="0" w:line="240" w:lineRule="auto"/>
              <w:jc w:val="center"/>
              <w:rPr>
                <w:rFonts w:ascii="GHEA Grapalat" w:hAnsi="GHEA Grapalat" w:cs="Calibri"/>
                <w:color w:val="404040"/>
                <w:sz w:val="18"/>
                <w:szCs w:val="18"/>
                <w:lang w:val="hy-AM"/>
              </w:rPr>
            </w:pPr>
            <w:r>
              <w:rPr>
                <w:rFonts w:ascii="GHEA Grapalat" w:hAnsi="GHEA Grapalat" w:cs="Calibri"/>
                <w:color w:val="404040"/>
                <w:sz w:val="18"/>
                <w:szCs w:val="18"/>
              </w:rPr>
              <w:t>992.</w:t>
            </w:r>
            <w:r>
              <w:rPr>
                <w:rFonts w:ascii="GHEA Grapalat" w:hAnsi="GHEA Grapalat" w:cs="Calibri"/>
                <w:color w:val="404040"/>
                <w:sz w:val="18"/>
                <w:szCs w:val="18"/>
                <w:lang w:val="hy-AM"/>
              </w:rPr>
              <w:t>6</w:t>
            </w:r>
          </w:p>
        </w:tc>
        <w:tc>
          <w:tcPr>
            <w:tcW w:w="451" w:type="pct"/>
            <w:vAlign w:val="center"/>
          </w:tcPr>
          <w:p w14:paraId="74C7012F" w14:textId="77777777" w:rsidR="006B15F5" w:rsidRDefault="006B15F5" w:rsidP="00147C8B">
            <w:pPr>
              <w:spacing w:before="0" w:after="0" w:line="240" w:lineRule="auto"/>
              <w:jc w:val="center"/>
              <w:rPr>
                <w:rFonts w:ascii="GHEA Grapalat" w:hAnsi="GHEA Grapalat" w:cs="Calibri"/>
                <w:color w:val="404040"/>
                <w:sz w:val="18"/>
                <w:szCs w:val="18"/>
              </w:rPr>
            </w:pPr>
            <w:r>
              <w:rPr>
                <w:rFonts w:ascii="GHEA Grapalat" w:hAnsi="GHEA Grapalat" w:cs="Calibri"/>
                <w:color w:val="404040"/>
                <w:sz w:val="18"/>
                <w:szCs w:val="18"/>
              </w:rPr>
              <w:t>1065.3</w:t>
            </w:r>
          </w:p>
        </w:tc>
        <w:tc>
          <w:tcPr>
            <w:tcW w:w="478" w:type="pct"/>
            <w:shd w:val="clear" w:color="auto" w:fill="auto"/>
            <w:vAlign w:val="center"/>
          </w:tcPr>
          <w:p w14:paraId="11854D15" w14:textId="77777777" w:rsidR="006B15F5" w:rsidRPr="00941B19" w:rsidRDefault="006B15F5" w:rsidP="00147C8B">
            <w:pPr>
              <w:spacing w:before="0" w:after="0" w:line="240" w:lineRule="auto"/>
              <w:jc w:val="center"/>
              <w:rPr>
                <w:sz w:val="18"/>
                <w:szCs w:val="18"/>
              </w:rPr>
            </w:pPr>
            <w:r>
              <w:rPr>
                <w:rFonts w:ascii="GHEA Grapalat" w:hAnsi="GHEA Grapalat" w:cs="Calibri"/>
                <w:color w:val="404040"/>
                <w:sz w:val="18"/>
                <w:szCs w:val="18"/>
              </w:rPr>
              <w:t>1123.4</w:t>
            </w:r>
          </w:p>
        </w:tc>
      </w:tr>
      <w:tr w:rsidR="006B15F5" w:rsidRPr="00941B19" w14:paraId="7D3376F3" w14:textId="77777777" w:rsidTr="00147C8B">
        <w:trPr>
          <w:trHeight w:val="317"/>
        </w:trPr>
        <w:tc>
          <w:tcPr>
            <w:tcW w:w="1814" w:type="pct"/>
            <w:shd w:val="clear" w:color="auto" w:fill="auto"/>
            <w:vAlign w:val="center"/>
            <w:hideMark/>
          </w:tcPr>
          <w:p w14:paraId="67B0B14F" w14:textId="77777777" w:rsidR="006B15F5" w:rsidRPr="003F2203" w:rsidRDefault="006B15F5" w:rsidP="00147C8B">
            <w:pPr>
              <w:spacing w:before="0" w:after="0" w:line="240" w:lineRule="auto"/>
              <w:ind w:right="495"/>
              <w:rPr>
                <w:color w:val="A6A6A6" w:themeColor="background1" w:themeShade="A6"/>
                <w:sz w:val="18"/>
                <w:szCs w:val="18"/>
              </w:rPr>
            </w:pPr>
            <w:r w:rsidRPr="003F2203">
              <w:rPr>
                <w:color w:val="A6A6A6" w:themeColor="background1" w:themeShade="A6"/>
                <w:sz w:val="18"/>
                <w:szCs w:val="18"/>
              </w:rPr>
              <w:t>ՀՆԱ-ի նկատմամբ (%)</w:t>
            </w:r>
          </w:p>
        </w:tc>
        <w:tc>
          <w:tcPr>
            <w:tcW w:w="451" w:type="pct"/>
            <w:shd w:val="clear" w:color="auto" w:fill="auto"/>
            <w:vAlign w:val="center"/>
          </w:tcPr>
          <w:p w14:paraId="008F0363" w14:textId="77777777" w:rsidR="006B15F5" w:rsidRPr="003F2203" w:rsidRDefault="006B15F5" w:rsidP="00147C8B">
            <w:pPr>
              <w:spacing w:before="0" w:after="0" w:line="240" w:lineRule="auto"/>
              <w:jc w:val="center"/>
              <w:rPr>
                <w:color w:val="A6A6A6" w:themeColor="background1" w:themeShade="A6"/>
                <w:sz w:val="18"/>
                <w:szCs w:val="18"/>
              </w:rPr>
            </w:pPr>
            <w:r>
              <w:rPr>
                <w:rFonts w:ascii="GHEA Grapalat" w:hAnsi="GHEA Grapalat" w:cs="Calibri"/>
                <w:color w:val="A6A6A6"/>
                <w:sz w:val="18"/>
                <w:szCs w:val="18"/>
              </w:rPr>
              <w:t>7.2%</w:t>
            </w:r>
          </w:p>
        </w:tc>
        <w:tc>
          <w:tcPr>
            <w:tcW w:w="451" w:type="pct"/>
            <w:shd w:val="clear" w:color="auto" w:fill="auto"/>
            <w:vAlign w:val="center"/>
          </w:tcPr>
          <w:p w14:paraId="09819EB9" w14:textId="77777777" w:rsidR="006B15F5" w:rsidRPr="003F2203" w:rsidRDefault="006B15F5" w:rsidP="00147C8B">
            <w:pPr>
              <w:spacing w:before="0" w:after="0" w:line="240" w:lineRule="auto"/>
              <w:jc w:val="center"/>
              <w:rPr>
                <w:color w:val="A6A6A6" w:themeColor="background1" w:themeShade="A6"/>
                <w:sz w:val="18"/>
                <w:szCs w:val="18"/>
              </w:rPr>
            </w:pPr>
            <w:r>
              <w:rPr>
                <w:rFonts w:ascii="GHEA Grapalat" w:hAnsi="GHEA Grapalat" w:cs="Calibri"/>
                <w:color w:val="A6A6A6"/>
                <w:sz w:val="18"/>
                <w:szCs w:val="18"/>
              </w:rPr>
              <w:t>7.4%</w:t>
            </w:r>
          </w:p>
        </w:tc>
        <w:tc>
          <w:tcPr>
            <w:tcW w:w="452" w:type="pct"/>
            <w:shd w:val="clear" w:color="auto" w:fill="auto"/>
            <w:vAlign w:val="center"/>
          </w:tcPr>
          <w:p w14:paraId="4CB2C3B3" w14:textId="77777777" w:rsidR="006B15F5" w:rsidRPr="003F2203" w:rsidRDefault="006B15F5" w:rsidP="00147C8B">
            <w:pPr>
              <w:spacing w:before="0" w:after="0" w:line="240" w:lineRule="auto"/>
              <w:jc w:val="center"/>
              <w:rPr>
                <w:color w:val="A6A6A6" w:themeColor="background1" w:themeShade="A6"/>
                <w:sz w:val="18"/>
                <w:szCs w:val="18"/>
              </w:rPr>
            </w:pPr>
            <w:r>
              <w:rPr>
                <w:rFonts w:ascii="GHEA Grapalat" w:hAnsi="GHEA Grapalat" w:cs="Calibri"/>
                <w:color w:val="A6A6A6"/>
                <w:sz w:val="18"/>
                <w:szCs w:val="18"/>
              </w:rPr>
              <w:t>8.4%</w:t>
            </w:r>
          </w:p>
        </w:tc>
        <w:tc>
          <w:tcPr>
            <w:tcW w:w="451" w:type="pct"/>
            <w:shd w:val="clear" w:color="auto" w:fill="auto"/>
            <w:vAlign w:val="center"/>
          </w:tcPr>
          <w:p w14:paraId="010A7A9E" w14:textId="77777777" w:rsidR="006B15F5" w:rsidRPr="003F2203" w:rsidRDefault="006B15F5" w:rsidP="00147C8B">
            <w:pPr>
              <w:spacing w:before="0" w:after="0" w:line="240" w:lineRule="auto"/>
              <w:jc w:val="center"/>
              <w:rPr>
                <w:color w:val="A6A6A6" w:themeColor="background1" w:themeShade="A6"/>
                <w:sz w:val="18"/>
                <w:szCs w:val="18"/>
                <w:highlight w:val="yellow"/>
              </w:rPr>
            </w:pPr>
            <w:r>
              <w:rPr>
                <w:rFonts w:ascii="GHEA Grapalat" w:hAnsi="GHEA Grapalat" w:cs="Calibri"/>
                <w:color w:val="A6A6A6"/>
                <w:sz w:val="18"/>
                <w:szCs w:val="18"/>
              </w:rPr>
              <w:t>8.3%</w:t>
            </w:r>
          </w:p>
        </w:tc>
        <w:tc>
          <w:tcPr>
            <w:tcW w:w="451" w:type="pct"/>
            <w:vAlign w:val="center"/>
          </w:tcPr>
          <w:p w14:paraId="0A0EAD42" w14:textId="77777777" w:rsidR="006B15F5" w:rsidRDefault="006B15F5" w:rsidP="00147C8B">
            <w:pPr>
              <w:spacing w:before="0" w:after="0" w:line="240" w:lineRule="auto"/>
              <w:jc w:val="center"/>
              <w:rPr>
                <w:rFonts w:ascii="GHEA Grapalat" w:hAnsi="GHEA Grapalat" w:cs="Calibri"/>
                <w:color w:val="A6A6A6"/>
                <w:sz w:val="18"/>
                <w:szCs w:val="18"/>
              </w:rPr>
            </w:pPr>
            <w:r>
              <w:rPr>
                <w:rFonts w:ascii="GHEA Grapalat" w:hAnsi="GHEA Grapalat" w:cs="Calibri"/>
                <w:color w:val="A6A6A6"/>
                <w:sz w:val="18"/>
                <w:szCs w:val="18"/>
              </w:rPr>
              <w:t>8.3%</w:t>
            </w:r>
          </w:p>
        </w:tc>
        <w:tc>
          <w:tcPr>
            <w:tcW w:w="451" w:type="pct"/>
            <w:vAlign w:val="center"/>
          </w:tcPr>
          <w:p w14:paraId="701976BF" w14:textId="77777777" w:rsidR="006B15F5" w:rsidRDefault="006B15F5" w:rsidP="00147C8B">
            <w:pPr>
              <w:spacing w:before="0" w:after="0" w:line="240" w:lineRule="auto"/>
              <w:jc w:val="center"/>
              <w:rPr>
                <w:rFonts w:ascii="GHEA Grapalat" w:hAnsi="GHEA Grapalat" w:cs="Calibri"/>
                <w:color w:val="A6A6A6"/>
                <w:sz w:val="18"/>
                <w:szCs w:val="18"/>
              </w:rPr>
            </w:pPr>
            <w:r>
              <w:rPr>
                <w:rFonts w:ascii="GHEA Grapalat" w:hAnsi="GHEA Grapalat" w:cs="Calibri"/>
                <w:color w:val="A6A6A6"/>
                <w:sz w:val="18"/>
                <w:szCs w:val="18"/>
              </w:rPr>
              <w:t>8.2%</w:t>
            </w:r>
          </w:p>
        </w:tc>
        <w:tc>
          <w:tcPr>
            <w:tcW w:w="478" w:type="pct"/>
            <w:shd w:val="clear" w:color="auto" w:fill="auto"/>
            <w:vAlign w:val="center"/>
          </w:tcPr>
          <w:p w14:paraId="1BED6474" w14:textId="77777777" w:rsidR="006B15F5" w:rsidRPr="003F2203" w:rsidRDefault="006B15F5" w:rsidP="00147C8B">
            <w:pPr>
              <w:spacing w:before="0" w:after="0" w:line="240" w:lineRule="auto"/>
              <w:jc w:val="center"/>
              <w:rPr>
                <w:color w:val="A6A6A6" w:themeColor="background1" w:themeShade="A6"/>
                <w:sz w:val="18"/>
                <w:szCs w:val="18"/>
              </w:rPr>
            </w:pPr>
            <w:r>
              <w:rPr>
                <w:rFonts w:ascii="GHEA Grapalat" w:hAnsi="GHEA Grapalat" w:cs="Calibri"/>
                <w:color w:val="A6A6A6"/>
                <w:sz w:val="18"/>
                <w:szCs w:val="18"/>
              </w:rPr>
              <w:t>8.0%</w:t>
            </w:r>
          </w:p>
        </w:tc>
      </w:tr>
      <w:tr w:rsidR="006B15F5" w:rsidRPr="00941B19" w14:paraId="340CE373" w14:textId="77777777" w:rsidTr="00147C8B">
        <w:trPr>
          <w:trHeight w:val="317"/>
        </w:trPr>
        <w:tc>
          <w:tcPr>
            <w:tcW w:w="1814" w:type="pct"/>
            <w:shd w:val="clear" w:color="auto" w:fill="auto"/>
            <w:vAlign w:val="center"/>
            <w:hideMark/>
          </w:tcPr>
          <w:p w14:paraId="3A674D0D" w14:textId="77777777" w:rsidR="006B15F5" w:rsidRPr="003F2203" w:rsidRDefault="006B15F5" w:rsidP="00147C8B">
            <w:pPr>
              <w:spacing w:before="0" w:after="0" w:line="240" w:lineRule="auto"/>
              <w:ind w:right="495"/>
              <w:rPr>
                <w:color w:val="A6A6A6" w:themeColor="background1" w:themeShade="A6"/>
                <w:sz w:val="18"/>
                <w:szCs w:val="18"/>
              </w:rPr>
            </w:pPr>
            <w:r w:rsidRPr="003F2203">
              <w:rPr>
                <w:color w:val="A6A6A6" w:themeColor="background1" w:themeShade="A6"/>
                <w:sz w:val="18"/>
                <w:szCs w:val="18"/>
              </w:rPr>
              <w:t>Ընդհանուր ծախսերում (%)</w:t>
            </w:r>
          </w:p>
        </w:tc>
        <w:tc>
          <w:tcPr>
            <w:tcW w:w="451" w:type="pct"/>
            <w:shd w:val="clear" w:color="auto" w:fill="auto"/>
            <w:vAlign w:val="center"/>
          </w:tcPr>
          <w:p w14:paraId="2803C078" w14:textId="77777777" w:rsidR="006B15F5" w:rsidRPr="003F2203" w:rsidRDefault="006B15F5" w:rsidP="00147C8B">
            <w:pPr>
              <w:spacing w:before="0" w:after="0" w:line="240" w:lineRule="auto"/>
              <w:jc w:val="center"/>
              <w:rPr>
                <w:color w:val="A6A6A6" w:themeColor="background1" w:themeShade="A6"/>
                <w:sz w:val="18"/>
                <w:szCs w:val="18"/>
              </w:rPr>
            </w:pPr>
            <w:r>
              <w:rPr>
                <w:rFonts w:ascii="GHEA Grapalat" w:hAnsi="GHEA Grapalat" w:cs="Calibri"/>
                <w:color w:val="A6A6A6"/>
                <w:sz w:val="18"/>
                <w:szCs w:val="18"/>
              </w:rPr>
              <w:t>27.4%</w:t>
            </w:r>
          </w:p>
        </w:tc>
        <w:tc>
          <w:tcPr>
            <w:tcW w:w="451" w:type="pct"/>
            <w:shd w:val="clear" w:color="auto" w:fill="auto"/>
            <w:vAlign w:val="center"/>
          </w:tcPr>
          <w:p w14:paraId="32FB7FC8" w14:textId="77777777" w:rsidR="006B15F5" w:rsidRPr="003F2203" w:rsidRDefault="006B15F5" w:rsidP="00147C8B">
            <w:pPr>
              <w:spacing w:before="0" w:after="0" w:line="240" w:lineRule="auto"/>
              <w:jc w:val="center"/>
              <w:rPr>
                <w:color w:val="A6A6A6" w:themeColor="background1" w:themeShade="A6"/>
                <w:sz w:val="18"/>
                <w:szCs w:val="18"/>
              </w:rPr>
            </w:pPr>
            <w:r>
              <w:rPr>
                <w:rFonts w:ascii="GHEA Grapalat" w:hAnsi="GHEA Grapalat" w:cs="Calibri"/>
                <w:color w:val="A6A6A6"/>
                <w:sz w:val="18"/>
                <w:szCs w:val="18"/>
              </w:rPr>
              <w:t>27.7%</w:t>
            </w:r>
          </w:p>
        </w:tc>
        <w:tc>
          <w:tcPr>
            <w:tcW w:w="452" w:type="pct"/>
            <w:shd w:val="clear" w:color="auto" w:fill="auto"/>
            <w:vAlign w:val="center"/>
          </w:tcPr>
          <w:p w14:paraId="7561DA5E" w14:textId="77777777" w:rsidR="006B15F5" w:rsidRPr="003F2203" w:rsidRDefault="006B15F5" w:rsidP="00147C8B">
            <w:pPr>
              <w:spacing w:before="0" w:after="0" w:line="240" w:lineRule="auto"/>
              <w:jc w:val="center"/>
              <w:rPr>
                <w:color w:val="A6A6A6" w:themeColor="background1" w:themeShade="A6"/>
                <w:sz w:val="18"/>
                <w:szCs w:val="18"/>
              </w:rPr>
            </w:pPr>
            <w:r>
              <w:rPr>
                <w:rFonts w:ascii="GHEA Grapalat" w:hAnsi="GHEA Grapalat" w:cs="Calibri"/>
                <w:color w:val="A6A6A6"/>
                <w:sz w:val="18"/>
                <w:szCs w:val="18"/>
              </w:rPr>
              <w:t>28.8%</w:t>
            </w:r>
          </w:p>
        </w:tc>
        <w:tc>
          <w:tcPr>
            <w:tcW w:w="451" w:type="pct"/>
            <w:shd w:val="clear" w:color="auto" w:fill="auto"/>
            <w:vAlign w:val="center"/>
          </w:tcPr>
          <w:p w14:paraId="460349A0" w14:textId="77777777" w:rsidR="006B15F5" w:rsidRPr="003F2203" w:rsidRDefault="006B15F5" w:rsidP="00147C8B">
            <w:pPr>
              <w:spacing w:before="0" w:after="0" w:line="240" w:lineRule="auto"/>
              <w:jc w:val="center"/>
              <w:rPr>
                <w:color w:val="A6A6A6" w:themeColor="background1" w:themeShade="A6"/>
                <w:sz w:val="18"/>
                <w:szCs w:val="18"/>
                <w:highlight w:val="yellow"/>
              </w:rPr>
            </w:pPr>
            <w:r>
              <w:rPr>
                <w:rFonts w:ascii="GHEA Grapalat" w:hAnsi="GHEA Grapalat" w:cs="Calibri"/>
                <w:color w:val="A6A6A6"/>
                <w:sz w:val="18"/>
                <w:szCs w:val="18"/>
              </w:rPr>
              <w:t>26.3%</w:t>
            </w:r>
          </w:p>
        </w:tc>
        <w:tc>
          <w:tcPr>
            <w:tcW w:w="451" w:type="pct"/>
            <w:vAlign w:val="center"/>
          </w:tcPr>
          <w:p w14:paraId="072C542C" w14:textId="77777777" w:rsidR="006B15F5" w:rsidRDefault="006B15F5" w:rsidP="00147C8B">
            <w:pPr>
              <w:spacing w:before="0" w:after="0" w:line="240" w:lineRule="auto"/>
              <w:jc w:val="center"/>
              <w:rPr>
                <w:rFonts w:ascii="GHEA Grapalat" w:hAnsi="GHEA Grapalat" w:cs="Calibri"/>
                <w:color w:val="A6A6A6"/>
                <w:sz w:val="18"/>
                <w:szCs w:val="18"/>
              </w:rPr>
            </w:pPr>
            <w:r>
              <w:rPr>
                <w:rFonts w:ascii="GHEA Grapalat" w:hAnsi="GHEA Grapalat" w:cs="Calibri"/>
                <w:color w:val="A6A6A6"/>
                <w:sz w:val="18"/>
                <w:szCs w:val="18"/>
              </w:rPr>
              <w:t>27.4%</w:t>
            </w:r>
          </w:p>
        </w:tc>
        <w:tc>
          <w:tcPr>
            <w:tcW w:w="451" w:type="pct"/>
            <w:vAlign w:val="center"/>
          </w:tcPr>
          <w:p w14:paraId="4AA5D5AE" w14:textId="77777777" w:rsidR="006B15F5" w:rsidRDefault="006B15F5" w:rsidP="00147C8B">
            <w:pPr>
              <w:spacing w:before="0" w:after="0" w:line="240" w:lineRule="auto"/>
              <w:jc w:val="center"/>
              <w:rPr>
                <w:rFonts w:ascii="GHEA Grapalat" w:hAnsi="GHEA Grapalat" w:cs="Calibri"/>
                <w:color w:val="A6A6A6"/>
                <w:sz w:val="18"/>
                <w:szCs w:val="18"/>
              </w:rPr>
            </w:pPr>
            <w:r>
              <w:rPr>
                <w:rFonts w:ascii="GHEA Grapalat" w:hAnsi="GHEA Grapalat" w:cs="Calibri"/>
                <w:color w:val="A6A6A6"/>
                <w:sz w:val="18"/>
                <w:szCs w:val="18"/>
              </w:rPr>
              <w:t>28.0%</w:t>
            </w:r>
          </w:p>
        </w:tc>
        <w:tc>
          <w:tcPr>
            <w:tcW w:w="478" w:type="pct"/>
            <w:shd w:val="clear" w:color="auto" w:fill="auto"/>
            <w:vAlign w:val="center"/>
          </w:tcPr>
          <w:p w14:paraId="570348CE" w14:textId="77777777" w:rsidR="006B15F5" w:rsidRPr="003F2203" w:rsidRDefault="006B15F5" w:rsidP="00147C8B">
            <w:pPr>
              <w:spacing w:before="0" w:after="0" w:line="240" w:lineRule="auto"/>
              <w:jc w:val="center"/>
              <w:rPr>
                <w:color w:val="A6A6A6" w:themeColor="background1" w:themeShade="A6"/>
                <w:sz w:val="18"/>
                <w:szCs w:val="18"/>
              </w:rPr>
            </w:pPr>
            <w:r>
              <w:rPr>
                <w:rFonts w:ascii="GHEA Grapalat" w:hAnsi="GHEA Grapalat" w:cs="Calibri"/>
                <w:color w:val="A6A6A6"/>
                <w:sz w:val="18"/>
                <w:szCs w:val="18"/>
              </w:rPr>
              <w:t>27.9%</w:t>
            </w:r>
          </w:p>
        </w:tc>
      </w:tr>
      <w:tr w:rsidR="006B15F5" w:rsidRPr="00941B19" w14:paraId="10EBCF0D" w14:textId="77777777" w:rsidTr="00147C8B">
        <w:trPr>
          <w:trHeight w:val="317"/>
        </w:trPr>
        <w:tc>
          <w:tcPr>
            <w:tcW w:w="1814" w:type="pct"/>
            <w:shd w:val="clear" w:color="auto" w:fill="auto"/>
            <w:vAlign w:val="center"/>
            <w:hideMark/>
          </w:tcPr>
          <w:p w14:paraId="6D7E79BB" w14:textId="77777777" w:rsidR="006B15F5" w:rsidRPr="00941B19" w:rsidRDefault="006B15F5" w:rsidP="00147C8B">
            <w:pPr>
              <w:spacing w:before="0" w:after="0" w:line="240" w:lineRule="auto"/>
              <w:rPr>
                <w:sz w:val="18"/>
                <w:szCs w:val="18"/>
              </w:rPr>
            </w:pPr>
            <w:r w:rsidRPr="00941B19">
              <w:rPr>
                <w:sz w:val="18"/>
                <w:szCs w:val="18"/>
              </w:rPr>
              <w:t>3. Առողջապահություն</w:t>
            </w:r>
          </w:p>
        </w:tc>
        <w:tc>
          <w:tcPr>
            <w:tcW w:w="451" w:type="pct"/>
            <w:shd w:val="clear" w:color="auto" w:fill="auto"/>
            <w:vAlign w:val="center"/>
          </w:tcPr>
          <w:p w14:paraId="2810FBAA" w14:textId="77777777" w:rsidR="006B15F5" w:rsidRPr="00941B19" w:rsidRDefault="006B15F5" w:rsidP="00147C8B">
            <w:pPr>
              <w:spacing w:before="0" w:after="0" w:line="240" w:lineRule="auto"/>
              <w:jc w:val="center"/>
              <w:rPr>
                <w:sz w:val="18"/>
                <w:szCs w:val="18"/>
                <w:lang w:val="ru-RU"/>
              </w:rPr>
            </w:pPr>
            <w:r>
              <w:rPr>
                <w:rFonts w:ascii="GHEA Grapalat" w:hAnsi="GHEA Grapalat" w:cs="Calibri"/>
                <w:color w:val="404040"/>
                <w:sz w:val="18"/>
                <w:szCs w:val="18"/>
              </w:rPr>
              <w:t>142.10</w:t>
            </w:r>
          </w:p>
        </w:tc>
        <w:tc>
          <w:tcPr>
            <w:tcW w:w="451" w:type="pct"/>
            <w:shd w:val="clear" w:color="auto" w:fill="auto"/>
            <w:vAlign w:val="center"/>
          </w:tcPr>
          <w:p w14:paraId="2E935EA2" w14:textId="77777777" w:rsidR="006B15F5" w:rsidRPr="00941B19" w:rsidRDefault="006B15F5" w:rsidP="00147C8B">
            <w:pPr>
              <w:spacing w:before="0" w:after="0" w:line="240" w:lineRule="auto"/>
              <w:jc w:val="center"/>
              <w:rPr>
                <w:sz w:val="18"/>
                <w:szCs w:val="18"/>
              </w:rPr>
            </w:pPr>
            <w:r>
              <w:rPr>
                <w:rFonts w:ascii="GHEA Grapalat" w:hAnsi="GHEA Grapalat" w:cs="Calibri"/>
                <w:color w:val="404040"/>
                <w:sz w:val="18"/>
                <w:szCs w:val="18"/>
              </w:rPr>
              <w:t>141.3</w:t>
            </w:r>
          </w:p>
        </w:tc>
        <w:tc>
          <w:tcPr>
            <w:tcW w:w="452" w:type="pct"/>
            <w:shd w:val="clear" w:color="auto" w:fill="auto"/>
            <w:vAlign w:val="center"/>
          </w:tcPr>
          <w:p w14:paraId="66A23754" w14:textId="77777777" w:rsidR="006B15F5" w:rsidRPr="00941B19" w:rsidRDefault="006B15F5" w:rsidP="00147C8B">
            <w:pPr>
              <w:spacing w:before="0" w:after="0" w:line="240" w:lineRule="auto"/>
              <w:jc w:val="center"/>
              <w:rPr>
                <w:sz w:val="18"/>
                <w:szCs w:val="18"/>
              </w:rPr>
            </w:pPr>
            <w:r>
              <w:rPr>
                <w:rFonts w:ascii="GHEA Grapalat" w:hAnsi="GHEA Grapalat" w:cs="Calibri"/>
                <w:color w:val="404040"/>
                <w:sz w:val="18"/>
                <w:szCs w:val="18"/>
              </w:rPr>
              <w:t>154.8</w:t>
            </w:r>
          </w:p>
        </w:tc>
        <w:tc>
          <w:tcPr>
            <w:tcW w:w="451" w:type="pct"/>
            <w:shd w:val="clear" w:color="auto" w:fill="auto"/>
            <w:vAlign w:val="center"/>
          </w:tcPr>
          <w:p w14:paraId="7831807B" w14:textId="77777777" w:rsidR="006B15F5" w:rsidRPr="00941B19" w:rsidRDefault="006B15F5" w:rsidP="00147C8B">
            <w:pPr>
              <w:spacing w:before="0" w:after="0" w:line="240" w:lineRule="auto"/>
              <w:jc w:val="center"/>
              <w:rPr>
                <w:sz w:val="18"/>
                <w:szCs w:val="18"/>
              </w:rPr>
            </w:pPr>
            <w:r>
              <w:rPr>
                <w:rFonts w:ascii="GHEA Grapalat" w:hAnsi="GHEA Grapalat" w:cs="Calibri"/>
                <w:color w:val="404040"/>
                <w:sz w:val="18"/>
                <w:szCs w:val="18"/>
              </w:rPr>
              <w:t>168.1</w:t>
            </w:r>
          </w:p>
        </w:tc>
        <w:tc>
          <w:tcPr>
            <w:tcW w:w="451" w:type="pct"/>
            <w:vAlign w:val="center"/>
          </w:tcPr>
          <w:p w14:paraId="1E1AEF43" w14:textId="77777777" w:rsidR="006B15F5" w:rsidRDefault="006B15F5" w:rsidP="00147C8B">
            <w:pPr>
              <w:spacing w:before="0" w:after="0" w:line="240" w:lineRule="auto"/>
              <w:jc w:val="center"/>
              <w:rPr>
                <w:rFonts w:ascii="GHEA Grapalat" w:hAnsi="GHEA Grapalat" w:cs="Calibri"/>
                <w:color w:val="404040"/>
                <w:sz w:val="18"/>
                <w:szCs w:val="18"/>
              </w:rPr>
            </w:pPr>
            <w:r>
              <w:rPr>
                <w:rFonts w:ascii="GHEA Grapalat" w:hAnsi="GHEA Grapalat" w:cs="Calibri"/>
                <w:color w:val="404040"/>
                <w:sz w:val="18"/>
                <w:szCs w:val="18"/>
              </w:rPr>
              <w:t>21</w:t>
            </w:r>
            <w:r>
              <w:rPr>
                <w:rFonts w:ascii="GHEA Grapalat" w:hAnsi="GHEA Grapalat" w:cs="Calibri"/>
                <w:color w:val="404040"/>
                <w:sz w:val="18"/>
                <w:szCs w:val="18"/>
                <w:lang w:val="hy-AM"/>
              </w:rPr>
              <w:t>3</w:t>
            </w:r>
            <w:r>
              <w:rPr>
                <w:rFonts w:ascii="GHEA Grapalat" w:hAnsi="GHEA Grapalat" w:cs="Calibri"/>
                <w:color w:val="404040"/>
                <w:sz w:val="18"/>
                <w:szCs w:val="18"/>
              </w:rPr>
              <w:t>.1</w:t>
            </w:r>
          </w:p>
        </w:tc>
        <w:tc>
          <w:tcPr>
            <w:tcW w:w="451" w:type="pct"/>
            <w:vAlign w:val="center"/>
          </w:tcPr>
          <w:p w14:paraId="0A59AB7E" w14:textId="77777777" w:rsidR="006B15F5" w:rsidRDefault="006B15F5" w:rsidP="00147C8B">
            <w:pPr>
              <w:spacing w:before="0" w:after="0" w:line="240" w:lineRule="auto"/>
              <w:jc w:val="center"/>
              <w:rPr>
                <w:rFonts w:ascii="GHEA Grapalat" w:hAnsi="GHEA Grapalat" w:cs="Calibri"/>
                <w:color w:val="404040"/>
                <w:sz w:val="18"/>
                <w:szCs w:val="18"/>
              </w:rPr>
            </w:pPr>
            <w:r>
              <w:rPr>
                <w:rFonts w:ascii="GHEA Grapalat" w:hAnsi="GHEA Grapalat" w:cs="Calibri"/>
                <w:color w:val="404040"/>
                <w:sz w:val="18"/>
                <w:szCs w:val="18"/>
              </w:rPr>
              <w:t>241.5</w:t>
            </w:r>
          </w:p>
        </w:tc>
        <w:tc>
          <w:tcPr>
            <w:tcW w:w="478" w:type="pct"/>
            <w:shd w:val="clear" w:color="auto" w:fill="auto"/>
            <w:vAlign w:val="center"/>
          </w:tcPr>
          <w:p w14:paraId="2D14C58F" w14:textId="77777777" w:rsidR="006B15F5" w:rsidRPr="008A1FF5" w:rsidRDefault="006B15F5" w:rsidP="00147C8B">
            <w:pPr>
              <w:spacing w:before="0" w:after="0" w:line="240" w:lineRule="auto"/>
              <w:jc w:val="center"/>
              <w:rPr>
                <w:sz w:val="18"/>
                <w:szCs w:val="18"/>
              </w:rPr>
            </w:pPr>
            <w:r>
              <w:rPr>
                <w:rFonts w:ascii="GHEA Grapalat" w:hAnsi="GHEA Grapalat" w:cs="Calibri"/>
                <w:color w:val="404040"/>
                <w:sz w:val="18"/>
                <w:szCs w:val="18"/>
              </w:rPr>
              <w:t>251.4</w:t>
            </w:r>
          </w:p>
        </w:tc>
      </w:tr>
      <w:tr w:rsidR="006B15F5" w:rsidRPr="00941B19" w14:paraId="375BCF52" w14:textId="77777777" w:rsidTr="00147C8B">
        <w:trPr>
          <w:trHeight w:val="317"/>
        </w:trPr>
        <w:tc>
          <w:tcPr>
            <w:tcW w:w="1814" w:type="pct"/>
            <w:shd w:val="clear" w:color="auto" w:fill="auto"/>
            <w:vAlign w:val="center"/>
            <w:hideMark/>
          </w:tcPr>
          <w:p w14:paraId="4172DFDE" w14:textId="77777777" w:rsidR="006B15F5" w:rsidRPr="003F2203" w:rsidRDefault="006B15F5" w:rsidP="00147C8B">
            <w:pPr>
              <w:spacing w:before="0" w:after="0" w:line="240" w:lineRule="auto"/>
              <w:ind w:right="495"/>
              <w:rPr>
                <w:color w:val="A6A6A6" w:themeColor="background1" w:themeShade="A6"/>
                <w:sz w:val="18"/>
                <w:szCs w:val="18"/>
              </w:rPr>
            </w:pPr>
            <w:r w:rsidRPr="003F2203">
              <w:rPr>
                <w:color w:val="A6A6A6" w:themeColor="background1" w:themeShade="A6"/>
                <w:sz w:val="18"/>
                <w:szCs w:val="18"/>
              </w:rPr>
              <w:t>ՀՆԱ-ի նկատմամբ (%)</w:t>
            </w:r>
          </w:p>
        </w:tc>
        <w:tc>
          <w:tcPr>
            <w:tcW w:w="451" w:type="pct"/>
            <w:shd w:val="clear" w:color="auto" w:fill="auto"/>
            <w:vAlign w:val="center"/>
          </w:tcPr>
          <w:p w14:paraId="6F031FB0" w14:textId="77777777" w:rsidR="006B15F5" w:rsidRPr="003F2203" w:rsidRDefault="006B15F5" w:rsidP="00147C8B">
            <w:pPr>
              <w:spacing w:before="0" w:after="0" w:line="240" w:lineRule="auto"/>
              <w:jc w:val="center"/>
              <w:rPr>
                <w:color w:val="A6A6A6" w:themeColor="background1" w:themeShade="A6"/>
                <w:sz w:val="18"/>
                <w:szCs w:val="18"/>
              </w:rPr>
            </w:pPr>
            <w:r>
              <w:rPr>
                <w:rFonts w:ascii="GHEA Grapalat" w:hAnsi="GHEA Grapalat" w:cs="Calibri"/>
                <w:color w:val="A6A6A6"/>
                <w:sz w:val="18"/>
                <w:szCs w:val="18"/>
              </w:rPr>
              <w:t>1.7%</w:t>
            </w:r>
          </w:p>
        </w:tc>
        <w:tc>
          <w:tcPr>
            <w:tcW w:w="451" w:type="pct"/>
            <w:shd w:val="clear" w:color="auto" w:fill="auto"/>
            <w:vAlign w:val="center"/>
          </w:tcPr>
          <w:p w14:paraId="65E38D2F" w14:textId="77777777" w:rsidR="006B15F5" w:rsidRPr="003F2203" w:rsidRDefault="006B15F5" w:rsidP="00147C8B">
            <w:pPr>
              <w:spacing w:before="0" w:after="0" w:line="240" w:lineRule="auto"/>
              <w:jc w:val="center"/>
              <w:rPr>
                <w:color w:val="A6A6A6" w:themeColor="background1" w:themeShade="A6"/>
                <w:sz w:val="18"/>
                <w:szCs w:val="18"/>
                <w:lang w:val="ru-RU"/>
              </w:rPr>
            </w:pPr>
            <w:r>
              <w:rPr>
                <w:rFonts w:ascii="GHEA Grapalat" w:hAnsi="GHEA Grapalat" w:cs="Calibri"/>
                <w:color w:val="A6A6A6"/>
                <w:sz w:val="18"/>
                <w:szCs w:val="18"/>
              </w:rPr>
              <w:t>1.5%</w:t>
            </w:r>
          </w:p>
        </w:tc>
        <w:tc>
          <w:tcPr>
            <w:tcW w:w="452" w:type="pct"/>
            <w:shd w:val="clear" w:color="auto" w:fill="auto"/>
            <w:vAlign w:val="center"/>
          </w:tcPr>
          <w:p w14:paraId="65AC33CA" w14:textId="77777777" w:rsidR="006B15F5" w:rsidRPr="003F2203" w:rsidRDefault="006B15F5" w:rsidP="00147C8B">
            <w:pPr>
              <w:spacing w:before="0" w:after="0" w:line="240" w:lineRule="auto"/>
              <w:jc w:val="center"/>
              <w:rPr>
                <w:color w:val="A6A6A6" w:themeColor="background1" w:themeShade="A6"/>
                <w:sz w:val="18"/>
                <w:szCs w:val="18"/>
              </w:rPr>
            </w:pPr>
            <w:r>
              <w:rPr>
                <w:rFonts w:ascii="GHEA Grapalat" w:hAnsi="GHEA Grapalat" w:cs="Calibri"/>
                <w:color w:val="A6A6A6"/>
                <w:sz w:val="18"/>
                <w:szCs w:val="18"/>
              </w:rPr>
              <w:t>1.5%</w:t>
            </w:r>
          </w:p>
        </w:tc>
        <w:tc>
          <w:tcPr>
            <w:tcW w:w="451" w:type="pct"/>
            <w:shd w:val="clear" w:color="auto" w:fill="auto"/>
            <w:vAlign w:val="center"/>
          </w:tcPr>
          <w:p w14:paraId="1A4BC5EB" w14:textId="77777777" w:rsidR="006B15F5" w:rsidRPr="003F2203" w:rsidRDefault="006B15F5" w:rsidP="00147C8B">
            <w:pPr>
              <w:spacing w:before="0" w:after="0" w:line="240" w:lineRule="auto"/>
              <w:jc w:val="center"/>
              <w:rPr>
                <w:color w:val="A6A6A6" w:themeColor="background1" w:themeShade="A6"/>
                <w:sz w:val="18"/>
                <w:szCs w:val="18"/>
                <w:highlight w:val="yellow"/>
                <w:lang w:val="ru-RU"/>
              </w:rPr>
            </w:pPr>
            <w:r>
              <w:rPr>
                <w:rFonts w:ascii="GHEA Grapalat" w:hAnsi="GHEA Grapalat" w:cs="Calibri"/>
                <w:color w:val="A6A6A6"/>
                <w:sz w:val="18"/>
                <w:szCs w:val="18"/>
              </w:rPr>
              <w:t>1.5%</w:t>
            </w:r>
          </w:p>
        </w:tc>
        <w:tc>
          <w:tcPr>
            <w:tcW w:w="451" w:type="pct"/>
            <w:vAlign w:val="center"/>
          </w:tcPr>
          <w:p w14:paraId="67F493AC" w14:textId="77777777" w:rsidR="006B15F5" w:rsidRDefault="006B15F5" w:rsidP="00147C8B">
            <w:pPr>
              <w:spacing w:before="0" w:after="0" w:line="240" w:lineRule="auto"/>
              <w:jc w:val="center"/>
              <w:rPr>
                <w:rFonts w:ascii="GHEA Grapalat" w:hAnsi="GHEA Grapalat" w:cs="Calibri"/>
                <w:color w:val="A6A6A6"/>
                <w:sz w:val="18"/>
                <w:szCs w:val="18"/>
              </w:rPr>
            </w:pPr>
            <w:r>
              <w:rPr>
                <w:rFonts w:ascii="GHEA Grapalat" w:hAnsi="GHEA Grapalat" w:cs="Calibri"/>
                <w:color w:val="A6A6A6"/>
                <w:sz w:val="18"/>
                <w:szCs w:val="18"/>
              </w:rPr>
              <w:t>1.8%</w:t>
            </w:r>
          </w:p>
        </w:tc>
        <w:tc>
          <w:tcPr>
            <w:tcW w:w="451" w:type="pct"/>
            <w:vAlign w:val="center"/>
          </w:tcPr>
          <w:p w14:paraId="2CD21C61" w14:textId="77777777" w:rsidR="006B15F5" w:rsidRDefault="006B15F5" w:rsidP="00147C8B">
            <w:pPr>
              <w:spacing w:before="0" w:after="0" w:line="240" w:lineRule="auto"/>
              <w:jc w:val="center"/>
              <w:rPr>
                <w:rFonts w:ascii="GHEA Grapalat" w:hAnsi="GHEA Grapalat" w:cs="Calibri"/>
                <w:color w:val="A6A6A6"/>
                <w:sz w:val="18"/>
                <w:szCs w:val="18"/>
              </w:rPr>
            </w:pPr>
            <w:r>
              <w:rPr>
                <w:rFonts w:ascii="GHEA Grapalat" w:hAnsi="GHEA Grapalat" w:cs="Calibri"/>
                <w:color w:val="A6A6A6"/>
                <w:sz w:val="18"/>
                <w:szCs w:val="18"/>
              </w:rPr>
              <w:t>1.9%</w:t>
            </w:r>
          </w:p>
        </w:tc>
        <w:tc>
          <w:tcPr>
            <w:tcW w:w="478" w:type="pct"/>
            <w:shd w:val="clear" w:color="auto" w:fill="auto"/>
            <w:vAlign w:val="center"/>
          </w:tcPr>
          <w:p w14:paraId="1397887D" w14:textId="77777777" w:rsidR="006B15F5" w:rsidRPr="003F2203" w:rsidRDefault="006B15F5" w:rsidP="00147C8B">
            <w:pPr>
              <w:spacing w:before="0" w:after="0" w:line="240" w:lineRule="auto"/>
              <w:jc w:val="center"/>
              <w:rPr>
                <w:color w:val="A6A6A6" w:themeColor="background1" w:themeShade="A6"/>
                <w:sz w:val="18"/>
                <w:szCs w:val="18"/>
              </w:rPr>
            </w:pPr>
            <w:r>
              <w:rPr>
                <w:rFonts w:ascii="GHEA Grapalat" w:hAnsi="GHEA Grapalat" w:cs="Calibri"/>
                <w:color w:val="A6A6A6"/>
                <w:sz w:val="18"/>
                <w:szCs w:val="18"/>
              </w:rPr>
              <w:t>1.8%</w:t>
            </w:r>
          </w:p>
        </w:tc>
      </w:tr>
      <w:tr w:rsidR="006B15F5" w:rsidRPr="00941B19" w14:paraId="08D65DA7" w14:textId="77777777" w:rsidTr="00147C8B">
        <w:trPr>
          <w:trHeight w:val="317"/>
        </w:trPr>
        <w:tc>
          <w:tcPr>
            <w:tcW w:w="1814" w:type="pct"/>
            <w:shd w:val="clear" w:color="auto" w:fill="auto"/>
            <w:vAlign w:val="center"/>
            <w:hideMark/>
          </w:tcPr>
          <w:p w14:paraId="582D4133" w14:textId="77777777" w:rsidR="006B15F5" w:rsidRPr="003F2203" w:rsidRDefault="006B15F5" w:rsidP="00147C8B">
            <w:pPr>
              <w:spacing w:before="0" w:after="0" w:line="240" w:lineRule="auto"/>
              <w:ind w:right="495"/>
              <w:rPr>
                <w:color w:val="A6A6A6" w:themeColor="background1" w:themeShade="A6"/>
                <w:sz w:val="18"/>
                <w:szCs w:val="18"/>
              </w:rPr>
            </w:pPr>
            <w:r w:rsidRPr="003F2203">
              <w:rPr>
                <w:color w:val="A6A6A6" w:themeColor="background1" w:themeShade="A6"/>
                <w:sz w:val="18"/>
                <w:szCs w:val="18"/>
              </w:rPr>
              <w:t>Ընդհանուր ծախսերում (%)</w:t>
            </w:r>
          </w:p>
        </w:tc>
        <w:tc>
          <w:tcPr>
            <w:tcW w:w="451" w:type="pct"/>
            <w:shd w:val="clear" w:color="auto" w:fill="auto"/>
            <w:vAlign w:val="center"/>
          </w:tcPr>
          <w:p w14:paraId="5B2B1525" w14:textId="77777777" w:rsidR="006B15F5" w:rsidRPr="003F2203" w:rsidRDefault="006B15F5" w:rsidP="00147C8B">
            <w:pPr>
              <w:spacing w:before="0" w:after="0" w:line="240" w:lineRule="auto"/>
              <w:jc w:val="center"/>
              <w:rPr>
                <w:color w:val="A6A6A6" w:themeColor="background1" w:themeShade="A6"/>
                <w:sz w:val="18"/>
                <w:szCs w:val="18"/>
              </w:rPr>
            </w:pPr>
            <w:r>
              <w:rPr>
                <w:rFonts w:ascii="GHEA Grapalat" w:hAnsi="GHEA Grapalat" w:cs="Calibri"/>
                <w:color w:val="A6A6A6"/>
                <w:sz w:val="18"/>
                <w:szCs w:val="18"/>
              </w:rPr>
              <w:t>6.3%</w:t>
            </w:r>
          </w:p>
        </w:tc>
        <w:tc>
          <w:tcPr>
            <w:tcW w:w="451" w:type="pct"/>
            <w:shd w:val="clear" w:color="auto" w:fill="auto"/>
            <w:vAlign w:val="center"/>
          </w:tcPr>
          <w:p w14:paraId="1ED7218F" w14:textId="77777777" w:rsidR="006B15F5" w:rsidRPr="003F2203" w:rsidRDefault="006B15F5" w:rsidP="00147C8B">
            <w:pPr>
              <w:spacing w:before="0" w:after="0" w:line="240" w:lineRule="auto"/>
              <w:jc w:val="center"/>
              <w:rPr>
                <w:color w:val="A6A6A6" w:themeColor="background1" w:themeShade="A6"/>
                <w:sz w:val="18"/>
                <w:szCs w:val="18"/>
              </w:rPr>
            </w:pPr>
            <w:r>
              <w:rPr>
                <w:rFonts w:ascii="GHEA Grapalat" w:hAnsi="GHEA Grapalat" w:cs="Calibri"/>
                <w:color w:val="A6A6A6"/>
                <w:sz w:val="18"/>
                <w:szCs w:val="18"/>
              </w:rPr>
              <w:t>5.5%</w:t>
            </w:r>
          </w:p>
        </w:tc>
        <w:tc>
          <w:tcPr>
            <w:tcW w:w="452" w:type="pct"/>
            <w:shd w:val="clear" w:color="auto" w:fill="auto"/>
            <w:vAlign w:val="center"/>
          </w:tcPr>
          <w:p w14:paraId="3E2F1AC1" w14:textId="77777777" w:rsidR="006B15F5" w:rsidRPr="003F2203" w:rsidRDefault="006B15F5" w:rsidP="00147C8B">
            <w:pPr>
              <w:spacing w:before="0" w:after="0" w:line="240" w:lineRule="auto"/>
              <w:jc w:val="center"/>
              <w:rPr>
                <w:color w:val="A6A6A6" w:themeColor="background1" w:themeShade="A6"/>
                <w:sz w:val="18"/>
                <w:szCs w:val="18"/>
              </w:rPr>
            </w:pPr>
            <w:r>
              <w:rPr>
                <w:rFonts w:ascii="GHEA Grapalat" w:hAnsi="GHEA Grapalat" w:cs="Calibri"/>
                <w:color w:val="A6A6A6"/>
                <w:sz w:val="18"/>
                <w:szCs w:val="18"/>
              </w:rPr>
              <w:t>5.2%</w:t>
            </w:r>
          </w:p>
        </w:tc>
        <w:tc>
          <w:tcPr>
            <w:tcW w:w="451" w:type="pct"/>
            <w:shd w:val="clear" w:color="auto" w:fill="auto"/>
            <w:vAlign w:val="center"/>
          </w:tcPr>
          <w:p w14:paraId="3022339C" w14:textId="77777777" w:rsidR="006B15F5" w:rsidRPr="003F2203" w:rsidRDefault="006B15F5" w:rsidP="00147C8B">
            <w:pPr>
              <w:spacing w:before="0" w:after="0" w:line="240" w:lineRule="auto"/>
              <w:jc w:val="center"/>
              <w:rPr>
                <w:color w:val="A6A6A6" w:themeColor="background1" w:themeShade="A6"/>
                <w:sz w:val="18"/>
                <w:szCs w:val="18"/>
                <w:highlight w:val="yellow"/>
              </w:rPr>
            </w:pPr>
            <w:r>
              <w:rPr>
                <w:rFonts w:ascii="GHEA Grapalat" w:hAnsi="GHEA Grapalat" w:cs="Calibri"/>
                <w:color w:val="A6A6A6"/>
                <w:sz w:val="18"/>
                <w:szCs w:val="18"/>
              </w:rPr>
              <w:t>4.9%</w:t>
            </w:r>
          </w:p>
        </w:tc>
        <w:tc>
          <w:tcPr>
            <w:tcW w:w="451" w:type="pct"/>
            <w:vAlign w:val="center"/>
          </w:tcPr>
          <w:p w14:paraId="2B22A4D1" w14:textId="77777777" w:rsidR="006B15F5" w:rsidRDefault="006B15F5" w:rsidP="00147C8B">
            <w:pPr>
              <w:spacing w:before="0" w:after="0" w:line="240" w:lineRule="auto"/>
              <w:jc w:val="center"/>
              <w:rPr>
                <w:rFonts w:ascii="GHEA Grapalat" w:hAnsi="GHEA Grapalat" w:cs="Calibri"/>
                <w:color w:val="A6A6A6"/>
                <w:sz w:val="18"/>
                <w:szCs w:val="18"/>
              </w:rPr>
            </w:pPr>
            <w:r>
              <w:rPr>
                <w:rFonts w:ascii="GHEA Grapalat" w:hAnsi="GHEA Grapalat" w:cs="Calibri"/>
                <w:color w:val="A6A6A6"/>
                <w:sz w:val="18"/>
                <w:szCs w:val="18"/>
              </w:rPr>
              <w:t>5.8%</w:t>
            </w:r>
          </w:p>
        </w:tc>
        <w:tc>
          <w:tcPr>
            <w:tcW w:w="451" w:type="pct"/>
            <w:vAlign w:val="center"/>
          </w:tcPr>
          <w:p w14:paraId="6B19A1CB" w14:textId="77777777" w:rsidR="006B15F5" w:rsidRDefault="006B15F5" w:rsidP="00147C8B">
            <w:pPr>
              <w:spacing w:before="0" w:after="0" w:line="240" w:lineRule="auto"/>
              <w:jc w:val="center"/>
              <w:rPr>
                <w:rFonts w:ascii="GHEA Grapalat" w:hAnsi="GHEA Grapalat" w:cs="Calibri"/>
                <w:color w:val="A6A6A6"/>
                <w:sz w:val="18"/>
                <w:szCs w:val="18"/>
              </w:rPr>
            </w:pPr>
            <w:r>
              <w:rPr>
                <w:rFonts w:ascii="GHEA Grapalat" w:hAnsi="GHEA Grapalat" w:cs="Calibri"/>
                <w:color w:val="A6A6A6"/>
                <w:sz w:val="18"/>
                <w:szCs w:val="18"/>
              </w:rPr>
              <w:t>6.4%</w:t>
            </w:r>
          </w:p>
        </w:tc>
        <w:tc>
          <w:tcPr>
            <w:tcW w:w="478" w:type="pct"/>
            <w:shd w:val="clear" w:color="auto" w:fill="auto"/>
            <w:vAlign w:val="center"/>
          </w:tcPr>
          <w:p w14:paraId="5160C79B" w14:textId="77777777" w:rsidR="006B15F5" w:rsidRPr="003F2203" w:rsidRDefault="006B15F5" w:rsidP="00147C8B">
            <w:pPr>
              <w:spacing w:before="0" w:after="0" w:line="240" w:lineRule="auto"/>
              <w:jc w:val="center"/>
              <w:rPr>
                <w:color w:val="A6A6A6" w:themeColor="background1" w:themeShade="A6"/>
                <w:sz w:val="18"/>
                <w:szCs w:val="18"/>
              </w:rPr>
            </w:pPr>
            <w:r>
              <w:rPr>
                <w:rFonts w:ascii="GHEA Grapalat" w:hAnsi="GHEA Grapalat" w:cs="Calibri"/>
                <w:color w:val="A6A6A6"/>
                <w:sz w:val="18"/>
                <w:szCs w:val="18"/>
              </w:rPr>
              <w:t>6.2%</w:t>
            </w:r>
          </w:p>
        </w:tc>
      </w:tr>
      <w:tr w:rsidR="006B15F5" w:rsidRPr="00941B19" w14:paraId="69E03817" w14:textId="77777777" w:rsidTr="00147C8B">
        <w:trPr>
          <w:trHeight w:val="317"/>
        </w:trPr>
        <w:tc>
          <w:tcPr>
            <w:tcW w:w="1814" w:type="pct"/>
            <w:shd w:val="clear" w:color="auto" w:fill="auto"/>
            <w:vAlign w:val="center"/>
            <w:hideMark/>
          </w:tcPr>
          <w:p w14:paraId="22D38911" w14:textId="77777777" w:rsidR="006B15F5" w:rsidRPr="00941B19" w:rsidRDefault="006B15F5" w:rsidP="00147C8B">
            <w:pPr>
              <w:spacing w:before="0" w:after="0" w:line="240" w:lineRule="auto"/>
              <w:rPr>
                <w:sz w:val="18"/>
                <w:szCs w:val="18"/>
              </w:rPr>
            </w:pPr>
            <w:r w:rsidRPr="00941B19">
              <w:rPr>
                <w:sz w:val="18"/>
                <w:szCs w:val="18"/>
              </w:rPr>
              <w:t>4. Հանգիստ, մշակույթ և կրոն</w:t>
            </w:r>
          </w:p>
        </w:tc>
        <w:tc>
          <w:tcPr>
            <w:tcW w:w="451" w:type="pct"/>
            <w:shd w:val="clear" w:color="auto" w:fill="auto"/>
            <w:vAlign w:val="center"/>
          </w:tcPr>
          <w:p w14:paraId="283E09E6" w14:textId="77777777" w:rsidR="006B15F5" w:rsidRPr="00941B19" w:rsidRDefault="006B15F5" w:rsidP="00147C8B">
            <w:pPr>
              <w:spacing w:before="0" w:after="0" w:line="240" w:lineRule="auto"/>
              <w:jc w:val="center"/>
              <w:rPr>
                <w:sz w:val="18"/>
                <w:szCs w:val="18"/>
              </w:rPr>
            </w:pPr>
            <w:r>
              <w:rPr>
                <w:rFonts w:ascii="GHEA Grapalat" w:hAnsi="GHEA Grapalat" w:cs="Calibri"/>
                <w:color w:val="404040"/>
                <w:sz w:val="18"/>
                <w:szCs w:val="18"/>
              </w:rPr>
              <w:t>43.90</w:t>
            </w:r>
          </w:p>
        </w:tc>
        <w:tc>
          <w:tcPr>
            <w:tcW w:w="451" w:type="pct"/>
            <w:shd w:val="clear" w:color="auto" w:fill="auto"/>
            <w:vAlign w:val="center"/>
          </w:tcPr>
          <w:p w14:paraId="6F0E8349" w14:textId="77777777" w:rsidR="006B15F5" w:rsidRPr="00941B19" w:rsidRDefault="006B15F5" w:rsidP="00147C8B">
            <w:pPr>
              <w:spacing w:before="0" w:after="0" w:line="240" w:lineRule="auto"/>
              <w:jc w:val="center"/>
              <w:rPr>
                <w:sz w:val="18"/>
                <w:szCs w:val="18"/>
              </w:rPr>
            </w:pPr>
            <w:r>
              <w:rPr>
                <w:rFonts w:ascii="GHEA Grapalat" w:hAnsi="GHEA Grapalat" w:cs="Calibri"/>
                <w:color w:val="404040"/>
                <w:sz w:val="18"/>
                <w:szCs w:val="18"/>
              </w:rPr>
              <w:t>43.3</w:t>
            </w:r>
          </w:p>
        </w:tc>
        <w:tc>
          <w:tcPr>
            <w:tcW w:w="452" w:type="pct"/>
            <w:shd w:val="clear" w:color="auto" w:fill="auto"/>
            <w:vAlign w:val="center"/>
          </w:tcPr>
          <w:p w14:paraId="1ACF7358" w14:textId="77777777" w:rsidR="006B15F5" w:rsidRPr="00941B19" w:rsidRDefault="006B15F5" w:rsidP="00147C8B">
            <w:pPr>
              <w:spacing w:before="0" w:after="0" w:line="240" w:lineRule="auto"/>
              <w:jc w:val="center"/>
              <w:rPr>
                <w:sz w:val="18"/>
                <w:szCs w:val="18"/>
              </w:rPr>
            </w:pPr>
            <w:r>
              <w:rPr>
                <w:rFonts w:ascii="GHEA Grapalat" w:hAnsi="GHEA Grapalat" w:cs="Calibri"/>
                <w:color w:val="404040"/>
                <w:sz w:val="18"/>
                <w:szCs w:val="18"/>
              </w:rPr>
              <w:t>40.5</w:t>
            </w:r>
          </w:p>
        </w:tc>
        <w:tc>
          <w:tcPr>
            <w:tcW w:w="451" w:type="pct"/>
            <w:shd w:val="clear" w:color="auto" w:fill="auto"/>
            <w:vAlign w:val="center"/>
          </w:tcPr>
          <w:p w14:paraId="2388B922" w14:textId="77777777" w:rsidR="006B15F5" w:rsidRPr="00941B19" w:rsidRDefault="006B15F5" w:rsidP="00147C8B">
            <w:pPr>
              <w:spacing w:before="0" w:after="0" w:line="240" w:lineRule="auto"/>
              <w:jc w:val="center"/>
              <w:rPr>
                <w:sz w:val="18"/>
                <w:szCs w:val="18"/>
                <w:highlight w:val="yellow"/>
              </w:rPr>
            </w:pPr>
            <w:r>
              <w:rPr>
                <w:rFonts w:ascii="GHEA Grapalat" w:hAnsi="GHEA Grapalat" w:cs="Calibri"/>
                <w:color w:val="404040"/>
                <w:sz w:val="18"/>
                <w:szCs w:val="18"/>
              </w:rPr>
              <w:t>47.4</w:t>
            </w:r>
          </w:p>
        </w:tc>
        <w:tc>
          <w:tcPr>
            <w:tcW w:w="451" w:type="pct"/>
            <w:vAlign w:val="center"/>
          </w:tcPr>
          <w:p w14:paraId="4F330FBD" w14:textId="77777777" w:rsidR="006B15F5" w:rsidRDefault="006B15F5" w:rsidP="00147C8B">
            <w:pPr>
              <w:spacing w:before="0" w:after="0" w:line="240" w:lineRule="auto"/>
              <w:jc w:val="center"/>
              <w:rPr>
                <w:rFonts w:ascii="GHEA Grapalat" w:hAnsi="GHEA Grapalat" w:cs="Calibri"/>
                <w:color w:val="404040"/>
                <w:sz w:val="18"/>
                <w:szCs w:val="18"/>
              </w:rPr>
            </w:pPr>
            <w:r>
              <w:rPr>
                <w:rFonts w:ascii="GHEA Grapalat" w:hAnsi="GHEA Grapalat" w:cs="Calibri"/>
                <w:color w:val="404040"/>
                <w:sz w:val="18"/>
                <w:szCs w:val="18"/>
              </w:rPr>
              <w:t>46.2</w:t>
            </w:r>
          </w:p>
        </w:tc>
        <w:tc>
          <w:tcPr>
            <w:tcW w:w="451" w:type="pct"/>
            <w:vAlign w:val="center"/>
          </w:tcPr>
          <w:p w14:paraId="74EF9CF3" w14:textId="77777777" w:rsidR="006B15F5" w:rsidRDefault="006B15F5" w:rsidP="00147C8B">
            <w:pPr>
              <w:spacing w:before="0" w:after="0" w:line="240" w:lineRule="auto"/>
              <w:jc w:val="center"/>
              <w:rPr>
                <w:rFonts w:ascii="GHEA Grapalat" w:hAnsi="GHEA Grapalat" w:cs="Calibri"/>
                <w:color w:val="404040"/>
                <w:sz w:val="18"/>
                <w:szCs w:val="18"/>
              </w:rPr>
            </w:pPr>
            <w:r>
              <w:rPr>
                <w:rFonts w:ascii="GHEA Grapalat" w:hAnsi="GHEA Grapalat" w:cs="Calibri"/>
                <w:color w:val="404040"/>
                <w:sz w:val="18"/>
                <w:szCs w:val="18"/>
              </w:rPr>
              <w:t>51.9</w:t>
            </w:r>
          </w:p>
        </w:tc>
        <w:tc>
          <w:tcPr>
            <w:tcW w:w="478" w:type="pct"/>
            <w:shd w:val="clear" w:color="auto" w:fill="auto"/>
            <w:vAlign w:val="center"/>
          </w:tcPr>
          <w:p w14:paraId="27650792" w14:textId="77777777" w:rsidR="006B15F5" w:rsidRPr="00941B19" w:rsidRDefault="006B15F5" w:rsidP="00147C8B">
            <w:pPr>
              <w:spacing w:before="0" w:after="0" w:line="240" w:lineRule="auto"/>
              <w:jc w:val="center"/>
              <w:rPr>
                <w:sz w:val="18"/>
                <w:szCs w:val="18"/>
              </w:rPr>
            </w:pPr>
            <w:r>
              <w:rPr>
                <w:rFonts w:ascii="GHEA Grapalat" w:hAnsi="GHEA Grapalat" w:cs="Calibri"/>
                <w:color w:val="404040"/>
                <w:sz w:val="18"/>
                <w:szCs w:val="18"/>
              </w:rPr>
              <w:t>44.3</w:t>
            </w:r>
          </w:p>
        </w:tc>
      </w:tr>
      <w:tr w:rsidR="006B15F5" w:rsidRPr="00941B19" w14:paraId="468E1410" w14:textId="77777777" w:rsidTr="00147C8B">
        <w:trPr>
          <w:trHeight w:val="317"/>
        </w:trPr>
        <w:tc>
          <w:tcPr>
            <w:tcW w:w="1814" w:type="pct"/>
            <w:shd w:val="clear" w:color="auto" w:fill="auto"/>
            <w:vAlign w:val="center"/>
            <w:hideMark/>
          </w:tcPr>
          <w:p w14:paraId="59D4B234" w14:textId="77777777" w:rsidR="006B15F5" w:rsidRPr="003F2203" w:rsidRDefault="006B15F5" w:rsidP="00147C8B">
            <w:pPr>
              <w:spacing w:before="0" w:after="0" w:line="240" w:lineRule="auto"/>
              <w:ind w:right="495"/>
              <w:rPr>
                <w:color w:val="A6A6A6" w:themeColor="background1" w:themeShade="A6"/>
                <w:sz w:val="18"/>
                <w:szCs w:val="18"/>
              </w:rPr>
            </w:pPr>
            <w:r w:rsidRPr="003F2203">
              <w:rPr>
                <w:color w:val="A6A6A6" w:themeColor="background1" w:themeShade="A6"/>
                <w:sz w:val="18"/>
                <w:szCs w:val="18"/>
              </w:rPr>
              <w:t>ՀՆԱ-ի նկատմամբ (%)</w:t>
            </w:r>
          </w:p>
        </w:tc>
        <w:tc>
          <w:tcPr>
            <w:tcW w:w="451" w:type="pct"/>
            <w:shd w:val="clear" w:color="auto" w:fill="auto"/>
            <w:vAlign w:val="center"/>
          </w:tcPr>
          <w:p w14:paraId="4FC56BA7" w14:textId="77777777" w:rsidR="006B15F5" w:rsidRPr="003F2203" w:rsidRDefault="006B15F5" w:rsidP="00147C8B">
            <w:pPr>
              <w:spacing w:before="0" w:after="0" w:line="240" w:lineRule="auto"/>
              <w:jc w:val="center"/>
              <w:rPr>
                <w:color w:val="A6A6A6" w:themeColor="background1" w:themeShade="A6"/>
                <w:sz w:val="18"/>
                <w:szCs w:val="18"/>
              </w:rPr>
            </w:pPr>
            <w:r>
              <w:rPr>
                <w:rFonts w:ascii="GHEA Grapalat" w:hAnsi="GHEA Grapalat" w:cs="Calibri"/>
                <w:color w:val="A6A6A6"/>
                <w:sz w:val="18"/>
                <w:szCs w:val="18"/>
              </w:rPr>
              <w:t>0.5%</w:t>
            </w:r>
          </w:p>
        </w:tc>
        <w:tc>
          <w:tcPr>
            <w:tcW w:w="451" w:type="pct"/>
            <w:shd w:val="clear" w:color="auto" w:fill="auto"/>
            <w:vAlign w:val="center"/>
          </w:tcPr>
          <w:p w14:paraId="63BFBBAF" w14:textId="77777777" w:rsidR="006B15F5" w:rsidRPr="003F2203" w:rsidRDefault="006B15F5" w:rsidP="00147C8B">
            <w:pPr>
              <w:spacing w:before="0" w:after="0" w:line="240" w:lineRule="auto"/>
              <w:jc w:val="center"/>
              <w:rPr>
                <w:color w:val="A6A6A6" w:themeColor="background1" w:themeShade="A6"/>
                <w:sz w:val="18"/>
                <w:szCs w:val="18"/>
                <w:lang w:val="ru-RU"/>
              </w:rPr>
            </w:pPr>
            <w:r>
              <w:rPr>
                <w:rFonts w:ascii="GHEA Grapalat" w:hAnsi="GHEA Grapalat" w:cs="Calibri"/>
                <w:color w:val="A6A6A6"/>
                <w:sz w:val="18"/>
                <w:szCs w:val="18"/>
              </w:rPr>
              <w:t>0.5%</w:t>
            </w:r>
          </w:p>
        </w:tc>
        <w:tc>
          <w:tcPr>
            <w:tcW w:w="452" w:type="pct"/>
            <w:shd w:val="clear" w:color="auto" w:fill="auto"/>
            <w:vAlign w:val="center"/>
          </w:tcPr>
          <w:p w14:paraId="4D90167E" w14:textId="77777777" w:rsidR="006B15F5" w:rsidRPr="003F2203" w:rsidRDefault="006B15F5" w:rsidP="00147C8B">
            <w:pPr>
              <w:spacing w:before="0" w:after="0" w:line="240" w:lineRule="auto"/>
              <w:jc w:val="center"/>
              <w:rPr>
                <w:color w:val="A6A6A6" w:themeColor="background1" w:themeShade="A6"/>
                <w:sz w:val="18"/>
                <w:szCs w:val="18"/>
              </w:rPr>
            </w:pPr>
            <w:r>
              <w:rPr>
                <w:rFonts w:ascii="GHEA Grapalat" w:hAnsi="GHEA Grapalat" w:cs="Calibri"/>
                <w:color w:val="A6A6A6"/>
                <w:sz w:val="18"/>
                <w:szCs w:val="18"/>
              </w:rPr>
              <w:t>0.4%</w:t>
            </w:r>
          </w:p>
        </w:tc>
        <w:tc>
          <w:tcPr>
            <w:tcW w:w="451" w:type="pct"/>
            <w:shd w:val="clear" w:color="auto" w:fill="auto"/>
            <w:vAlign w:val="center"/>
          </w:tcPr>
          <w:p w14:paraId="2BBBCB86" w14:textId="77777777" w:rsidR="006B15F5" w:rsidRPr="003F2203" w:rsidRDefault="006B15F5" w:rsidP="00147C8B">
            <w:pPr>
              <w:spacing w:before="0" w:after="0" w:line="240" w:lineRule="auto"/>
              <w:jc w:val="center"/>
              <w:rPr>
                <w:color w:val="A6A6A6" w:themeColor="background1" w:themeShade="A6"/>
                <w:sz w:val="18"/>
                <w:szCs w:val="18"/>
                <w:highlight w:val="yellow"/>
              </w:rPr>
            </w:pPr>
            <w:r>
              <w:rPr>
                <w:rFonts w:ascii="GHEA Grapalat" w:hAnsi="GHEA Grapalat" w:cs="Calibri"/>
                <w:color w:val="A6A6A6"/>
                <w:sz w:val="18"/>
                <w:szCs w:val="18"/>
              </w:rPr>
              <w:t>0.4%</w:t>
            </w:r>
          </w:p>
        </w:tc>
        <w:tc>
          <w:tcPr>
            <w:tcW w:w="451" w:type="pct"/>
            <w:vAlign w:val="center"/>
          </w:tcPr>
          <w:p w14:paraId="5E7B8ECC" w14:textId="77777777" w:rsidR="006B15F5" w:rsidRDefault="006B15F5" w:rsidP="00147C8B">
            <w:pPr>
              <w:spacing w:before="0" w:after="0" w:line="240" w:lineRule="auto"/>
              <w:jc w:val="center"/>
              <w:rPr>
                <w:rFonts w:ascii="GHEA Grapalat" w:hAnsi="GHEA Grapalat" w:cs="Calibri"/>
                <w:color w:val="A6A6A6"/>
                <w:sz w:val="18"/>
                <w:szCs w:val="18"/>
              </w:rPr>
            </w:pPr>
            <w:r>
              <w:rPr>
                <w:rFonts w:ascii="GHEA Grapalat" w:hAnsi="GHEA Grapalat" w:cs="Calibri"/>
                <w:color w:val="A6A6A6"/>
                <w:sz w:val="18"/>
                <w:szCs w:val="18"/>
              </w:rPr>
              <w:t>0.4%</w:t>
            </w:r>
          </w:p>
        </w:tc>
        <w:tc>
          <w:tcPr>
            <w:tcW w:w="451" w:type="pct"/>
            <w:vAlign w:val="center"/>
          </w:tcPr>
          <w:p w14:paraId="45220E03" w14:textId="77777777" w:rsidR="006B15F5" w:rsidRDefault="006B15F5" w:rsidP="00147C8B">
            <w:pPr>
              <w:spacing w:before="0" w:after="0" w:line="240" w:lineRule="auto"/>
              <w:jc w:val="center"/>
              <w:rPr>
                <w:rFonts w:ascii="GHEA Grapalat" w:hAnsi="GHEA Grapalat" w:cs="Calibri"/>
                <w:color w:val="A6A6A6"/>
                <w:sz w:val="18"/>
                <w:szCs w:val="18"/>
              </w:rPr>
            </w:pPr>
            <w:r>
              <w:rPr>
                <w:rFonts w:ascii="GHEA Grapalat" w:hAnsi="GHEA Grapalat" w:cs="Calibri"/>
                <w:color w:val="A6A6A6"/>
                <w:sz w:val="18"/>
                <w:szCs w:val="18"/>
              </w:rPr>
              <w:t>0.4%</w:t>
            </w:r>
          </w:p>
        </w:tc>
        <w:tc>
          <w:tcPr>
            <w:tcW w:w="478" w:type="pct"/>
            <w:shd w:val="clear" w:color="auto" w:fill="auto"/>
            <w:vAlign w:val="center"/>
          </w:tcPr>
          <w:p w14:paraId="46806421" w14:textId="77777777" w:rsidR="006B15F5" w:rsidRPr="003F2203" w:rsidRDefault="006B15F5" w:rsidP="00147C8B">
            <w:pPr>
              <w:spacing w:before="0" w:after="0" w:line="240" w:lineRule="auto"/>
              <w:jc w:val="center"/>
              <w:rPr>
                <w:color w:val="A6A6A6" w:themeColor="background1" w:themeShade="A6"/>
                <w:sz w:val="18"/>
                <w:szCs w:val="18"/>
              </w:rPr>
            </w:pPr>
            <w:r>
              <w:rPr>
                <w:rFonts w:ascii="GHEA Grapalat" w:hAnsi="GHEA Grapalat" w:cs="Calibri"/>
                <w:color w:val="A6A6A6"/>
                <w:sz w:val="18"/>
                <w:szCs w:val="18"/>
              </w:rPr>
              <w:t>0.3%</w:t>
            </w:r>
          </w:p>
        </w:tc>
      </w:tr>
      <w:tr w:rsidR="006B15F5" w:rsidRPr="00941B19" w14:paraId="401F9B75" w14:textId="77777777" w:rsidTr="00147C8B">
        <w:trPr>
          <w:trHeight w:val="317"/>
        </w:trPr>
        <w:tc>
          <w:tcPr>
            <w:tcW w:w="1814" w:type="pct"/>
            <w:shd w:val="clear" w:color="auto" w:fill="auto"/>
            <w:vAlign w:val="center"/>
            <w:hideMark/>
          </w:tcPr>
          <w:p w14:paraId="53A48DFE" w14:textId="77777777" w:rsidR="006B15F5" w:rsidRPr="003F2203" w:rsidRDefault="006B15F5" w:rsidP="00147C8B">
            <w:pPr>
              <w:spacing w:before="0" w:after="0" w:line="240" w:lineRule="auto"/>
              <w:ind w:right="495"/>
              <w:rPr>
                <w:color w:val="A6A6A6" w:themeColor="background1" w:themeShade="A6"/>
                <w:sz w:val="18"/>
                <w:szCs w:val="18"/>
              </w:rPr>
            </w:pPr>
            <w:r w:rsidRPr="003F2203">
              <w:rPr>
                <w:color w:val="A6A6A6" w:themeColor="background1" w:themeShade="A6"/>
                <w:sz w:val="18"/>
                <w:szCs w:val="18"/>
              </w:rPr>
              <w:t>Ընդհանուր ծախսերում (%)</w:t>
            </w:r>
          </w:p>
        </w:tc>
        <w:tc>
          <w:tcPr>
            <w:tcW w:w="451" w:type="pct"/>
            <w:shd w:val="clear" w:color="auto" w:fill="auto"/>
            <w:vAlign w:val="center"/>
          </w:tcPr>
          <w:p w14:paraId="6AE81D7E" w14:textId="77777777" w:rsidR="006B15F5" w:rsidRPr="003F2203" w:rsidRDefault="006B15F5" w:rsidP="00147C8B">
            <w:pPr>
              <w:spacing w:before="0" w:after="0" w:line="240" w:lineRule="auto"/>
              <w:jc w:val="center"/>
              <w:rPr>
                <w:color w:val="A6A6A6" w:themeColor="background1" w:themeShade="A6"/>
                <w:sz w:val="18"/>
                <w:szCs w:val="18"/>
              </w:rPr>
            </w:pPr>
            <w:r>
              <w:rPr>
                <w:rFonts w:ascii="GHEA Grapalat" w:hAnsi="GHEA Grapalat" w:cs="Calibri"/>
                <w:color w:val="A6A6A6"/>
                <w:sz w:val="18"/>
                <w:szCs w:val="18"/>
              </w:rPr>
              <w:t>2.0%</w:t>
            </w:r>
          </w:p>
        </w:tc>
        <w:tc>
          <w:tcPr>
            <w:tcW w:w="451" w:type="pct"/>
            <w:shd w:val="clear" w:color="auto" w:fill="auto"/>
            <w:vAlign w:val="center"/>
          </w:tcPr>
          <w:p w14:paraId="65C04AE8" w14:textId="77777777" w:rsidR="006B15F5" w:rsidRPr="003F2203" w:rsidRDefault="006B15F5" w:rsidP="00147C8B">
            <w:pPr>
              <w:spacing w:before="0" w:after="0" w:line="240" w:lineRule="auto"/>
              <w:jc w:val="center"/>
              <w:rPr>
                <w:color w:val="A6A6A6" w:themeColor="background1" w:themeShade="A6"/>
                <w:sz w:val="18"/>
                <w:szCs w:val="18"/>
              </w:rPr>
            </w:pPr>
            <w:r>
              <w:rPr>
                <w:rFonts w:ascii="GHEA Grapalat" w:hAnsi="GHEA Grapalat" w:cs="Calibri"/>
                <w:color w:val="A6A6A6"/>
                <w:sz w:val="18"/>
                <w:szCs w:val="18"/>
              </w:rPr>
              <w:t>1.7%</w:t>
            </w:r>
          </w:p>
        </w:tc>
        <w:tc>
          <w:tcPr>
            <w:tcW w:w="452" w:type="pct"/>
            <w:shd w:val="clear" w:color="auto" w:fill="auto"/>
            <w:vAlign w:val="center"/>
          </w:tcPr>
          <w:p w14:paraId="1D0681EC" w14:textId="77777777" w:rsidR="006B15F5" w:rsidRPr="003F2203" w:rsidRDefault="006B15F5" w:rsidP="00147C8B">
            <w:pPr>
              <w:spacing w:before="0" w:after="0" w:line="240" w:lineRule="auto"/>
              <w:jc w:val="center"/>
              <w:rPr>
                <w:color w:val="A6A6A6" w:themeColor="background1" w:themeShade="A6"/>
                <w:sz w:val="18"/>
                <w:szCs w:val="18"/>
              </w:rPr>
            </w:pPr>
            <w:r>
              <w:rPr>
                <w:rFonts w:ascii="GHEA Grapalat" w:hAnsi="GHEA Grapalat" w:cs="Calibri"/>
                <w:color w:val="A6A6A6"/>
                <w:sz w:val="18"/>
                <w:szCs w:val="18"/>
              </w:rPr>
              <w:t>1.4%</w:t>
            </w:r>
          </w:p>
        </w:tc>
        <w:tc>
          <w:tcPr>
            <w:tcW w:w="451" w:type="pct"/>
            <w:shd w:val="clear" w:color="auto" w:fill="auto"/>
            <w:vAlign w:val="center"/>
          </w:tcPr>
          <w:p w14:paraId="1DB2F3D5" w14:textId="77777777" w:rsidR="006B15F5" w:rsidRPr="003F2203" w:rsidRDefault="006B15F5" w:rsidP="00147C8B">
            <w:pPr>
              <w:spacing w:before="0" w:after="0" w:line="240" w:lineRule="auto"/>
              <w:jc w:val="center"/>
              <w:rPr>
                <w:color w:val="A6A6A6" w:themeColor="background1" w:themeShade="A6"/>
                <w:sz w:val="18"/>
                <w:szCs w:val="18"/>
                <w:highlight w:val="yellow"/>
              </w:rPr>
            </w:pPr>
            <w:r>
              <w:rPr>
                <w:rFonts w:ascii="GHEA Grapalat" w:hAnsi="GHEA Grapalat" w:cs="Calibri"/>
                <w:color w:val="A6A6A6"/>
                <w:sz w:val="18"/>
                <w:szCs w:val="18"/>
              </w:rPr>
              <w:t>1.4%</w:t>
            </w:r>
          </w:p>
        </w:tc>
        <w:tc>
          <w:tcPr>
            <w:tcW w:w="451" w:type="pct"/>
            <w:vAlign w:val="center"/>
          </w:tcPr>
          <w:p w14:paraId="7540F596" w14:textId="77777777" w:rsidR="006B15F5" w:rsidRDefault="006B15F5" w:rsidP="00147C8B">
            <w:pPr>
              <w:spacing w:before="0" w:after="0" w:line="240" w:lineRule="auto"/>
              <w:jc w:val="center"/>
              <w:rPr>
                <w:rFonts w:ascii="GHEA Grapalat" w:hAnsi="GHEA Grapalat" w:cs="Calibri"/>
                <w:color w:val="A6A6A6"/>
                <w:sz w:val="18"/>
                <w:szCs w:val="18"/>
              </w:rPr>
            </w:pPr>
            <w:r>
              <w:rPr>
                <w:rFonts w:ascii="GHEA Grapalat" w:hAnsi="GHEA Grapalat" w:cs="Calibri"/>
                <w:color w:val="A6A6A6"/>
                <w:sz w:val="18"/>
                <w:szCs w:val="18"/>
              </w:rPr>
              <w:t>1.3%</w:t>
            </w:r>
          </w:p>
        </w:tc>
        <w:tc>
          <w:tcPr>
            <w:tcW w:w="451" w:type="pct"/>
            <w:vAlign w:val="center"/>
          </w:tcPr>
          <w:p w14:paraId="581A7912" w14:textId="77777777" w:rsidR="006B15F5" w:rsidRDefault="006B15F5" w:rsidP="00147C8B">
            <w:pPr>
              <w:spacing w:before="0" w:after="0" w:line="240" w:lineRule="auto"/>
              <w:jc w:val="center"/>
              <w:rPr>
                <w:rFonts w:ascii="GHEA Grapalat" w:hAnsi="GHEA Grapalat" w:cs="Calibri"/>
                <w:color w:val="A6A6A6"/>
                <w:sz w:val="18"/>
                <w:szCs w:val="18"/>
              </w:rPr>
            </w:pPr>
            <w:r>
              <w:rPr>
                <w:rFonts w:ascii="GHEA Grapalat" w:hAnsi="GHEA Grapalat" w:cs="Calibri"/>
                <w:color w:val="A6A6A6"/>
                <w:sz w:val="18"/>
                <w:szCs w:val="18"/>
              </w:rPr>
              <w:t>1.4%</w:t>
            </w:r>
          </w:p>
        </w:tc>
        <w:tc>
          <w:tcPr>
            <w:tcW w:w="478" w:type="pct"/>
            <w:shd w:val="clear" w:color="auto" w:fill="auto"/>
            <w:vAlign w:val="center"/>
          </w:tcPr>
          <w:p w14:paraId="0AA391DE" w14:textId="77777777" w:rsidR="006B15F5" w:rsidRPr="003F2203" w:rsidRDefault="006B15F5" w:rsidP="00147C8B">
            <w:pPr>
              <w:spacing w:before="0" w:after="0" w:line="240" w:lineRule="auto"/>
              <w:jc w:val="center"/>
              <w:rPr>
                <w:color w:val="A6A6A6" w:themeColor="background1" w:themeShade="A6"/>
                <w:sz w:val="18"/>
                <w:szCs w:val="18"/>
              </w:rPr>
            </w:pPr>
            <w:r>
              <w:rPr>
                <w:rFonts w:ascii="GHEA Grapalat" w:hAnsi="GHEA Grapalat" w:cs="Calibri"/>
                <w:color w:val="A6A6A6"/>
                <w:sz w:val="18"/>
                <w:szCs w:val="18"/>
              </w:rPr>
              <w:t>1.1%</w:t>
            </w:r>
          </w:p>
        </w:tc>
      </w:tr>
    </w:tbl>
    <w:p w14:paraId="179BBEFC" w14:textId="77777777" w:rsidR="006B15F5" w:rsidRPr="00941B19" w:rsidRDefault="006B15F5" w:rsidP="006B15F5">
      <w:pPr>
        <w:pStyle w:val="BodyText1"/>
        <w:ind w:left="0"/>
      </w:pPr>
      <w:r w:rsidRPr="00941B19">
        <w:t>202</w:t>
      </w:r>
      <w:r>
        <w:rPr>
          <w:lang w:val="hy-AM"/>
        </w:rPr>
        <w:t>2</w:t>
      </w:r>
      <w:r>
        <w:t>-2025</w:t>
      </w:r>
      <w:r w:rsidRPr="00941B19">
        <w:t>թթ</w:t>
      </w:r>
      <w:r w:rsidRPr="00357CEB">
        <w:rPr>
          <w:rFonts w:ascii="Cambria Math" w:hAnsi="Cambria Math" w:cs="Cambria Math"/>
        </w:rPr>
        <w:t>․</w:t>
      </w:r>
      <w:r w:rsidRPr="00941B19">
        <w:t xml:space="preserve"> ժամանակահատվածում կրթության և առողջապահության ոլորտների ֆինանսավորումը ՀՆԱ նկատմամբ փոփոխական բնույթ է կրել։</w:t>
      </w:r>
      <w:r w:rsidRPr="00941B19">
        <w:tab/>
      </w:r>
    </w:p>
    <w:p w14:paraId="4CFA771A" w14:textId="77777777" w:rsidR="006B15F5" w:rsidRPr="00941B19" w:rsidRDefault="006B15F5" w:rsidP="006B15F5">
      <w:pPr>
        <w:pStyle w:val="BodyText1"/>
        <w:ind w:left="0"/>
      </w:pPr>
      <w:r w:rsidRPr="00941B19">
        <w:t>Միաժամանակ, համաձայն ՀՀ կառավարության 2021-2026թթ. ծրագրի առաջնահերթությունների, առողջապահության ոլորտի ֆինանսավորումը</w:t>
      </w:r>
      <w:r>
        <w:t xml:space="preserve"> 2026</w:t>
      </w:r>
      <w:r w:rsidRPr="00941B19">
        <w:t xml:space="preserve"> թվականին ուղղվելու է նաև առողջապահական կազմակերպությունների շենքային և նյութատեխնիկական պայմանների բարելավման աշխատանքների իրականացմանը:</w:t>
      </w:r>
    </w:p>
    <w:p w14:paraId="3FB80B12" w14:textId="77777777" w:rsidR="006B15F5" w:rsidRPr="00941B19" w:rsidRDefault="006B15F5" w:rsidP="006B15F5">
      <w:pPr>
        <w:pStyle w:val="BodyText1"/>
        <w:ind w:left="0"/>
      </w:pPr>
      <w:r w:rsidRPr="00941B19">
        <w:t>Սոցիալական պաշտպանության ոլորտի ֆինանսավորումն աճողական բնույթ է կրել՝ առաջնահերթ ուղղվելու է ժողովրդագրական վիճակի բարելավմանը, ինչպես նաև զբաղվածության ծրագրերին, բնակարային ապահովման, ընտանեկան նպաստների տրամադրման և այլ սոցիալական ծառայությունների ապահովմանը։ Բացի այդ, ՀՀ կառավարության 2021-2026թթ. ծրագրով սահմանված առաջնահերթություններից ելնելով, ոլորտի հատկացումները ուղղվելու են ծնելիության խթանմանը և բազմազավակ ընտանիքներին պետական աջակցության ցուցաբերմանը:</w:t>
      </w:r>
    </w:p>
    <w:p w14:paraId="128D773A" w14:textId="77777777" w:rsidR="006B15F5" w:rsidRDefault="006B15F5" w:rsidP="006B15F5">
      <w:pPr>
        <w:pStyle w:val="BodyText1"/>
        <w:ind w:left="0"/>
        <w:rPr>
          <w:b/>
          <w:lang w:val="hy-AM"/>
        </w:rPr>
      </w:pPr>
      <w:r>
        <w:t>2026</w:t>
      </w:r>
      <w:r>
        <w:rPr>
          <w:lang w:val="hy-AM"/>
        </w:rPr>
        <w:t>-2028</w:t>
      </w:r>
      <w:r w:rsidRPr="00941B19">
        <w:t xml:space="preserve"> թվական</w:t>
      </w:r>
      <w:r>
        <w:rPr>
          <w:lang w:val="hy-AM"/>
        </w:rPr>
        <w:t>ներ</w:t>
      </w:r>
      <w:r w:rsidRPr="00941B19">
        <w:t>ի ընթացքում պետական բյուջեների ծախ</w:t>
      </w:r>
      <w:r w:rsidRPr="00941B19">
        <w:softHyphen/>
        <w:t>սերի ընդհանուր ծավալը որոշ կախ</w:t>
      </w:r>
      <w:r w:rsidRPr="00941B19">
        <w:softHyphen/>
        <w:t>վածության մեջ կլինի նաև արտաքին հոսքերից:</w:t>
      </w:r>
    </w:p>
    <w:p w14:paraId="58239CB3" w14:textId="77777777" w:rsidR="006B15F5" w:rsidRDefault="006B15F5" w:rsidP="006B15F5">
      <w:pPr>
        <w:rPr>
          <w:b/>
          <w:lang w:val="hy-AM"/>
        </w:rPr>
      </w:pPr>
      <w:bookmarkStart w:id="427" w:name="_Toc184110776"/>
      <w:r>
        <w:br w:type="page"/>
      </w:r>
    </w:p>
    <w:p w14:paraId="693F5472" w14:textId="77777777" w:rsidR="006B15F5" w:rsidRPr="00E77731" w:rsidRDefault="006B15F5" w:rsidP="006B15F5">
      <w:pPr>
        <w:pStyle w:val="a"/>
      </w:pPr>
      <w:r w:rsidRPr="00FB531E">
        <w:t>Աղյուսակ 16. Արտաքին աղբյուրներից 2022-2028թ. ստացվելիք միջոցների (վարկերի և պաշտո</w:t>
      </w:r>
      <w:r w:rsidRPr="00FB531E">
        <w:softHyphen/>
        <w:t>նական դրամաշնորհներ) հաշվին ֆինանսավորվող ծախսերը</w:t>
      </w:r>
      <w:bookmarkEnd w:id="427"/>
    </w:p>
    <w:tbl>
      <w:tblPr>
        <w:tblW w:w="5000" w:type="pct"/>
        <w:tblBorders>
          <w:top w:val="single" w:sz="8" w:space="0" w:color="E1E1E3" w:themeColor="accent3" w:themeTint="33"/>
          <w:left w:val="single" w:sz="8" w:space="0" w:color="E1E1E3" w:themeColor="accent3" w:themeTint="33"/>
          <w:bottom w:val="single" w:sz="8" w:space="0" w:color="E1E1E3" w:themeColor="accent3" w:themeTint="33"/>
          <w:right w:val="single" w:sz="8" w:space="0" w:color="E1E1E3" w:themeColor="accent3" w:themeTint="33"/>
          <w:insideH w:val="single" w:sz="8" w:space="0" w:color="E1E1E3" w:themeColor="accent3" w:themeTint="33"/>
          <w:insideV w:val="single" w:sz="8" w:space="0" w:color="E1E1E3" w:themeColor="accent3" w:themeTint="33"/>
        </w:tblBorders>
        <w:tblLook w:val="04A0" w:firstRow="1" w:lastRow="0" w:firstColumn="1" w:lastColumn="0" w:noHBand="0" w:noVBand="1"/>
      </w:tblPr>
      <w:tblGrid>
        <w:gridCol w:w="3770"/>
        <w:gridCol w:w="937"/>
        <w:gridCol w:w="937"/>
        <w:gridCol w:w="937"/>
        <w:gridCol w:w="937"/>
        <w:gridCol w:w="937"/>
        <w:gridCol w:w="937"/>
        <w:gridCol w:w="993"/>
      </w:tblGrid>
      <w:tr w:rsidR="006B15F5" w:rsidRPr="00941B19" w14:paraId="6799B6EB" w14:textId="77777777" w:rsidTr="00147C8B">
        <w:trPr>
          <w:trHeight w:val="360"/>
        </w:trPr>
        <w:tc>
          <w:tcPr>
            <w:tcW w:w="1815" w:type="pct"/>
            <w:vMerge w:val="restart"/>
            <w:shd w:val="clear" w:color="auto" w:fill="D5DCE4" w:themeFill="text2" w:themeFillTint="33"/>
            <w:vAlign w:val="center"/>
          </w:tcPr>
          <w:p w14:paraId="3D9775F3" w14:textId="77777777" w:rsidR="006B15F5" w:rsidRPr="00941B19" w:rsidRDefault="006B15F5" w:rsidP="00147C8B">
            <w:pPr>
              <w:spacing w:before="0" w:after="0" w:line="240" w:lineRule="auto"/>
              <w:ind w:right="495"/>
              <w:rPr>
                <w:b/>
                <w:sz w:val="18"/>
                <w:szCs w:val="18"/>
                <w:lang w:val="ru-RU"/>
              </w:rPr>
            </w:pPr>
            <w:r w:rsidRPr="00941B19">
              <w:rPr>
                <w:b/>
                <w:sz w:val="18"/>
                <w:szCs w:val="18"/>
              </w:rPr>
              <w:t>Ցուցանիշներ</w:t>
            </w:r>
          </w:p>
        </w:tc>
        <w:tc>
          <w:tcPr>
            <w:tcW w:w="1353" w:type="pct"/>
            <w:gridSpan w:val="3"/>
            <w:shd w:val="clear" w:color="auto" w:fill="D5DCE4" w:themeFill="text2" w:themeFillTint="33"/>
            <w:vAlign w:val="center"/>
          </w:tcPr>
          <w:p w14:paraId="7694D1A0" w14:textId="77777777" w:rsidR="006B15F5" w:rsidRPr="00941B19" w:rsidRDefault="006B15F5" w:rsidP="00147C8B">
            <w:pPr>
              <w:spacing w:before="0" w:after="0" w:line="240" w:lineRule="auto"/>
              <w:jc w:val="center"/>
              <w:rPr>
                <w:b/>
                <w:sz w:val="18"/>
                <w:szCs w:val="18"/>
              </w:rPr>
            </w:pPr>
            <w:r w:rsidRPr="00941B19">
              <w:rPr>
                <w:b/>
                <w:sz w:val="18"/>
                <w:szCs w:val="18"/>
              </w:rPr>
              <w:t>Փաստ</w:t>
            </w:r>
          </w:p>
        </w:tc>
        <w:tc>
          <w:tcPr>
            <w:tcW w:w="451" w:type="pct"/>
            <w:shd w:val="clear" w:color="auto" w:fill="D5DCE4" w:themeFill="text2" w:themeFillTint="33"/>
            <w:vAlign w:val="center"/>
          </w:tcPr>
          <w:p w14:paraId="463AEBF9" w14:textId="77777777" w:rsidR="006B15F5" w:rsidRPr="00941B19" w:rsidRDefault="006B15F5" w:rsidP="00147C8B">
            <w:pPr>
              <w:spacing w:before="0" w:after="0" w:line="240" w:lineRule="auto"/>
              <w:jc w:val="center"/>
              <w:rPr>
                <w:b/>
                <w:sz w:val="18"/>
                <w:szCs w:val="18"/>
                <w:lang w:val="hy-AM"/>
              </w:rPr>
            </w:pPr>
            <w:r w:rsidRPr="00941B19">
              <w:rPr>
                <w:b/>
                <w:sz w:val="18"/>
                <w:szCs w:val="18"/>
              </w:rPr>
              <w:t>Բյուջե</w:t>
            </w:r>
          </w:p>
        </w:tc>
        <w:tc>
          <w:tcPr>
            <w:tcW w:w="1380" w:type="pct"/>
            <w:gridSpan w:val="3"/>
            <w:shd w:val="clear" w:color="auto" w:fill="D5DCE4" w:themeFill="text2" w:themeFillTint="33"/>
            <w:vAlign w:val="center"/>
          </w:tcPr>
          <w:p w14:paraId="5D7B8B3E" w14:textId="77777777" w:rsidR="006B15F5" w:rsidRPr="00941B19" w:rsidRDefault="006B15F5" w:rsidP="00147C8B">
            <w:pPr>
              <w:spacing w:before="0" w:after="0" w:line="240" w:lineRule="auto"/>
              <w:jc w:val="center"/>
              <w:rPr>
                <w:b/>
                <w:sz w:val="18"/>
                <w:szCs w:val="18"/>
              </w:rPr>
            </w:pPr>
            <w:r>
              <w:rPr>
                <w:b/>
                <w:sz w:val="18"/>
                <w:szCs w:val="18"/>
                <w:lang w:val="hy-AM"/>
              </w:rPr>
              <w:t>Ծ</w:t>
            </w:r>
            <w:r w:rsidRPr="00941B19">
              <w:rPr>
                <w:b/>
                <w:sz w:val="18"/>
                <w:szCs w:val="18"/>
              </w:rPr>
              <w:t>րագիր</w:t>
            </w:r>
          </w:p>
        </w:tc>
      </w:tr>
      <w:tr w:rsidR="006B15F5" w:rsidRPr="00941B19" w14:paraId="4BF8C92B" w14:textId="77777777" w:rsidTr="00147C8B">
        <w:trPr>
          <w:trHeight w:val="360"/>
        </w:trPr>
        <w:tc>
          <w:tcPr>
            <w:tcW w:w="1815" w:type="pct"/>
            <w:vMerge/>
            <w:shd w:val="clear" w:color="auto" w:fill="D5DCE4" w:themeFill="text2" w:themeFillTint="33"/>
            <w:vAlign w:val="center"/>
          </w:tcPr>
          <w:p w14:paraId="0F0B36B5" w14:textId="77777777" w:rsidR="006B15F5" w:rsidRPr="00941B19" w:rsidRDefault="006B15F5" w:rsidP="00147C8B">
            <w:pPr>
              <w:spacing w:before="0" w:after="0" w:line="240" w:lineRule="auto"/>
              <w:ind w:right="429"/>
              <w:rPr>
                <w:sz w:val="18"/>
                <w:szCs w:val="18"/>
                <w:lang w:val="hy-AM"/>
              </w:rPr>
            </w:pPr>
          </w:p>
        </w:tc>
        <w:tc>
          <w:tcPr>
            <w:tcW w:w="451" w:type="pct"/>
            <w:shd w:val="clear" w:color="auto" w:fill="D5DCE4" w:themeFill="text2" w:themeFillTint="33"/>
            <w:vAlign w:val="center"/>
          </w:tcPr>
          <w:p w14:paraId="3C3E6F5B" w14:textId="77777777" w:rsidR="006B15F5" w:rsidRPr="00941B19" w:rsidRDefault="006B15F5" w:rsidP="00147C8B">
            <w:pPr>
              <w:spacing w:before="0" w:after="0" w:line="240" w:lineRule="auto"/>
              <w:jc w:val="center"/>
              <w:rPr>
                <w:sz w:val="18"/>
                <w:szCs w:val="18"/>
              </w:rPr>
            </w:pPr>
            <w:r>
              <w:rPr>
                <w:b/>
                <w:sz w:val="18"/>
                <w:szCs w:val="18"/>
              </w:rPr>
              <w:t>2022</w:t>
            </w:r>
          </w:p>
        </w:tc>
        <w:tc>
          <w:tcPr>
            <w:tcW w:w="451" w:type="pct"/>
            <w:shd w:val="clear" w:color="auto" w:fill="D5DCE4" w:themeFill="text2" w:themeFillTint="33"/>
            <w:vAlign w:val="center"/>
          </w:tcPr>
          <w:p w14:paraId="4242D957" w14:textId="77777777" w:rsidR="006B15F5" w:rsidRPr="00941B19" w:rsidRDefault="006B15F5" w:rsidP="00147C8B">
            <w:pPr>
              <w:spacing w:before="0" w:after="0" w:line="240" w:lineRule="auto"/>
              <w:jc w:val="center"/>
              <w:rPr>
                <w:sz w:val="18"/>
                <w:szCs w:val="18"/>
              </w:rPr>
            </w:pPr>
            <w:r>
              <w:rPr>
                <w:b/>
                <w:sz w:val="18"/>
                <w:szCs w:val="18"/>
              </w:rPr>
              <w:t>2023</w:t>
            </w:r>
          </w:p>
        </w:tc>
        <w:tc>
          <w:tcPr>
            <w:tcW w:w="451" w:type="pct"/>
            <w:shd w:val="clear" w:color="auto" w:fill="D5DCE4" w:themeFill="text2" w:themeFillTint="33"/>
            <w:vAlign w:val="center"/>
          </w:tcPr>
          <w:p w14:paraId="1998ABEF" w14:textId="77777777" w:rsidR="006B15F5" w:rsidRPr="00941B19" w:rsidRDefault="006B15F5" w:rsidP="00147C8B">
            <w:pPr>
              <w:spacing w:before="0" w:after="0" w:line="240" w:lineRule="auto"/>
              <w:jc w:val="center"/>
              <w:rPr>
                <w:sz w:val="18"/>
                <w:szCs w:val="18"/>
              </w:rPr>
            </w:pPr>
            <w:r>
              <w:rPr>
                <w:b/>
                <w:sz w:val="18"/>
                <w:szCs w:val="18"/>
              </w:rPr>
              <w:t>2024</w:t>
            </w:r>
          </w:p>
        </w:tc>
        <w:tc>
          <w:tcPr>
            <w:tcW w:w="451" w:type="pct"/>
            <w:shd w:val="clear" w:color="auto" w:fill="D5DCE4" w:themeFill="text2" w:themeFillTint="33"/>
            <w:vAlign w:val="center"/>
          </w:tcPr>
          <w:p w14:paraId="1108B4B0" w14:textId="77777777" w:rsidR="006B15F5" w:rsidRPr="003F2203" w:rsidRDefault="006B15F5" w:rsidP="00147C8B">
            <w:pPr>
              <w:spacing w:before="0" w:after="0" w:line="240" w:lineRule="auto"/>
              <w:jc w:val="center"/>
              <w:rPr>
                <w:sz w:val="18"/>
                <w:szCs w:val="18"/>
                <w:lang w:val="hy-AM"/>
              </w:rPr>
            </w:pPr>
            <w:r>
              <w:rPr>
                <w:b/>
                <w:sz w:val="18"/>
                <w:szCs w:val="18"/>
                <w:lang w:val="hy-AM"/>
              </w:rPr>
              <w:t>2025</w:t>
            </w:r>
          </w:p>
        </w:tc>
        <w:tc>
          <w:tcPr>
            <w:tcW w:w="451" w:type="pct"/>
            <w:shd w:val="clear" w:color="auto" w:fill="D5DCE4" w:themeFill="text2" w:themeFillTint="33"/>
            <w:vAlign w:val="center"/>
          </w:tcPr>
          <w:p w14:paraId="160874A5" w14:textId="77777777" w:rsidR="006B15F5" w:rsidRDefault="006B15F5" w:rsidP="00147C8B">
            <w:pPr>
              <w:spacing w:before="0" w:after="0" w:line="240" w:lineRule="auto"/>
              <w:jc w:val="center"/>
              <w:rPr>
                <w:b/>
                <w:sz w:val="18"/>
                <w:szCs w:val="18"/>
                <w:lang w:val="hy-AM"/>
              </w:rPr>
            </w:pPr>
            <w:r>
              <w:rPr>
                <w:b/>
                <w:sz w:val="18"/>
                <w:szCs w:val="18"/>
                <w:lang w:val="hy-AM"/>
              </w:rPr>
              <w:t>2026</w:t>
            </w:r>
          </w:p>
        </w:tc>
        <w:tc>
          <w:tcPr>
            <w:tcW w:w="451" w:type="pct"/>
            <w:shd w:val="clear" w:color="auto" w:fill="D5DCE4" w:themeFill="text2" w:themeFillTint="33"/>
            <w:vAlign w:val="center"/>
          </w:tcPr>
          <w:p w14:paraId="5D6F93F7" w14:textId="77777777" w:rsidR="006B15F5" w:rsidRDefault="006B15F5" w:rsidP="00147C8B">
            <w:pPr>
              <w:spacing w:before="0" w:after="0" w:line="240" w:lineRule="auto"/>
              <w:jc w:val="center"/>
              <w:rPr>
                <w:b/>
                <w:sz w:val="18"/>
                <w:szCs w:val="18"/>
                <w:lang w:val="hy-AM"/>
              </w:rPr>
            </w:pPr>
            <w:r>
              <w:rPr>
                <w:b/>
                <w:sz w:val="18"/>
                <w:szCs w:val="18"/>
                <w:lang w:val="hy-AM"/>
              </w:rPr>
              <w:t>2027</w:t>
            </w:r>
          </w:p>
        </w:tc>
        <w:tc>
          <w:tcPr>
            <w:tcW w:w="478" w:type="pct"/>
            <w:shd w:val="clear" w:color="auto" w:fill="D5DCE4" w:themeFill="text2" w:themeFillTint="33"/>
            <w:vAlign w:val="center"/>
          </w:tcPr>
          <w:p w14:paraId="1C8C4326" w14:textId="77777777" w:rsidR="006B15F5" w:rsidRPr="003F2203" w:rsidRDefault="006B15F5" w:rsidP="00147C8B">
            <w:pPr>
              <w:spacing w:before="0" w:after="0" w:line="240" w:lineRule="auto"/>
              <w:jc w:val="center"/>
              <w:rPr>
                <w:sz w:val="18"/>
                <w:szCs w:val="18"/>
                <w:lang w:val="hy-AM"/>
              </w:rPr>
            </w:pPr>
            <w:r>
              <w:rPr>
                <w:b/>
                <w:sz w:val="18"/>
                <w:szCs w:val="18"/>
                <w:lang w:val="hy-AM"/>
              </w:rPr>
              <w:t>2028</w:t>
            </w:r>
          </w:p>
        </w:tc>
      </w:tr>
      <w:tr w:rsidR="006B15F5" w:rsidRPr="00941B19" w14:paraId="0206EC56" w14:textId="77777777" w:rsidTr="00147C8B">
        <w:trPr>
          <w:trHeight w:val="360"/>
        </w:trPr>
        <w:tc>
          <w:tcPr>
            <w:tcW w:w="1815" w:type="pct"/>
            <w:shd w:val="clear" w:color="auto" w:fill="auto"/>
            <w:vAlign w:val="center"/>
            <w:hideMark/>
          </w:tcPr>
          <w:p w14:paraId="224A5196" w14:textId="77777777" w:rsidR="006B15F5" w:rsidRDefault="006B15F5" w:rsidP="00147C8B">
            <w:pPr>
              <w:spacing w:before="0" w:after="0" w:line="240" w:lineRule="auto"/>
              <w:ind w:right="429"/>
              <w:rPr>
                <w:sz w:val="18"/>
                <w:szCs w:val="18"/>
                <w:lang w:val="hy-AM"/>
              </w:rPr>
            </w:pPr>
            <w:r w:rsidRPr="00941B19">
              <w:rPr>
                <w:sz w:val="18"/>
                <w:szCs w:val="18"/>
                <w:lang w:val="hy-AM"/>
              </w:rPr>
              <w:t xml:space="preserve">Արտաքին աղբյուրների հաշվին ֆինանսավորվող ծախսերի ծավալը </w:t>
            </w:r>
          </w:p>
          <w:p w14:paraId="1828AE9A" w14:textId="77777777" w:rsidR="006B15F5" w:rsidRPr="00941B19" w:rsidRDefault="006B15F5" w:rsidP="00147C8B">
            <w:pPr>
              <w:spacing w:before="0" w:after="0" w:line="240" w:lineRule="auto"/>
              <w:ind w:right="429"/>
              <w:rPr>
                <w:sz w:val="18"/>
                <w:szCs w:val="18"/>
                <w:lang w:val="hy-AM"/>
              </w:rPr>
            </w:pPr>
            <w:r w:rsidRPr="00941B19">
              <w:rPr>
                <w:sz w:val="18"/>
                <w:szCs w:val="18"/>
                <w:lang w:val="hy-AM"/>
              </w:rPr>
              <w:t>(մլն</w:t>
            </w:r>
            <w:r>
              <w:rPr>
                <w:sz w:val="18"/>
                <w:szCs w:val="18"/>
                <w:lang w:val="hy-AM"/>
              </w:rPr>
              <w:t xml:space="preserve"> </w:t>
            </w:r>
            <w:r w:rsidRPr="00941B19">
              <w:rPr>
                <w:sz w:val="18"/>
                <w:szCs w:val="18"/>
                <w:lang w:val="hy-AM"/>
              </w:rPr>
              <w:t>դրամ)</w:t>
            </w:r>
          </w:p>
        </w:tc>
        <w:tc>
          <w:tcPr>
            <w:tcW w:w="451" w:type="pct"/>
            <w:shd w:val="clear" w:color="auto" w:fill="auto"/>
            <w:vAlign w:val="center"/>
          </w:tcPr>
          <w:p w14:paraId="6BBF0BE1" w14:textId="77777777" w:rsidR="006B15F5" w:rsidRPr="00941B19" w:rsidRDefault="006B15F5" w:rsidP="00147C8B">
            <w:pPr>
              <w:spacing w:before="0" w:after="0" w:line="240" w:lineRule="auto"/>
              <w:jc w:val="center"/>
              <w:rPr>
                <w:sz w:val="18"/>
                <w:szCs w:val="18"/>
              </w:rPr>
            </w:pPr>
            <w:r>
              <w:rPr>
                <w:rFonts w:ascii="GHEA Grapalat" w:hAnsi="GHEA Grapalat" w:cs="Calibri"/>
                <w:color w:val="404040"/>
                <w:sz w:val="18"/>
                <w:szCs w:val="18"/>
              </w:rPr>
              <w:t>57.10</w:t>
            </w:r>
          </w:p>
        </w:tc>
        <w:tc>
          <w:tcPr>
            <w:tcW w:w="451" w:type="pct"/>
            <w:shd w:val="clear" w:color="auto" w:fill="auto"/>
            <w:vAlign w:val="center"/>
          </w:tcPr>
          <w:p w14:paraId="1B37B0F3" w14:textId="77777777" w:rsidR="006B15F5" w:rsidRPr="00941B19" w:rsidRDefault="006B15F5" w:rsidP="00147C8B">
            <w:pPr>
              <w:spacing w:before="0" w:after="0" w:line="240" w:lineRule="auto"/>
              <w:jc w:val="center"/>
              <w:rPr>
                <w:sz w:val="18"/>
                <w:szCs w:val="18"/>
              </w:rPr>
            </w:pPr>
            <w:r>
              <w:rPr>
                <w:rFonts w:ascii="GHEA Grapalat" w:hAnsi="GHEA Grapalat" w:cs="Calibri"/>
                <w:color w:val="404040"/>
                <w:sz w:val="18"/>
                <w:szCs w:val="18"/>
              </w:rPr>
              <w:t>65.1</w:t>
            </w:r>
          </w:p>
        </w:tc>
        <w:tc>
          <w:tcPr>
            <w:tcW w:w="451" w:type="pct"/>
            <w:shd w:val="clear" w:color="auto" w:fill="auto"/>
            <w:vAlign w:val="center"/>
          </w:tcPr>
          <w:p w14:paraId="428C17A5" w14:textId="77777777" w:rsidR="006B15F5" w:rsidRPr="00941B19" w:rsidRDefault="006B15F5" w:rsidP="00147C8B">
            <w:pPr>
              <w:spacing w:before="0" w:after="0" w:line="240" w:lineRule="auto"/>
              <w:jc w:val="center"/>
              <w:rPr>
                <w:sz w:val="18"/>
                <w:szCs w:val="18"/>
                <w:lang w:val="hy-AM"/>
              </w:rPr>
            </w:pPr>
            <w:r>
              <w:rPr>
                <w:rFonts w:ascii="GHEA Grapalat" w:hAnsi="GHEA Grapalat" w:cs="Calibri"/>
                <w:color w:val="404040"/>
                <w:sz w:val="18"/>
                <w:szCs w:val="18"/>
              </w:rPr>
              <w:t>66.5</w:t>
            </w:r>
          </w:p>
        </w:tc>
        <w:tc>
          <w:tcPr>
            <w:tcW w:w="451" w:type="pct"/>
            <w:shd w:val="clear" w:color="auto" w:fill="auto"/>
            <w:vAlign w:val="center"/>
          </w:tcPr>
          <w:p w14:paraId="1373E5B8" w14:textId="77777777" w:rsidR="006B15F5" w:rsidRPr="00941B19" w:rsidRDefault="006B15F5" w:rsidP="00147C8B">
            <w:pPr>
              <w:spacing w:before="0" w:after="0" w:line="240" w:lineRule="auto"/>
              <w:jc w:val="center"/>
              <w:rPr>
                <w:sz w:val="18"/>
                <w:szCs w:val="18"/>
                <w:lang w:val="ru-RU"/>
              </w:rPr>
            </w:pPr>
            <w:r>
              <w:rPr>
                <w:rFonts w:ascii="GHEA Grapalat" w:hAnsi="GHEA Grapalat" w:cs="Calibri"/>
                <w:color w:val="404040"/>
                <w:sz w:val="18"/>
                <w:szCs w:val="18"/>
              </w:rPr>
              <w:t>195</w:t>
            </w:r>
          </w:p>
        </w:tc>
        <w:tc>
          <w:tcPr>
            <w:tcW w:w="451" w:type="pct"/>
            <w:vAlign w:val="center"/>
          </w:tcPr>
          <w:p w14:paraId="60406FFA" w14:textId="77777777" w:rsidR="006B15F5" w:rsidRPr="00B25FEA" w:rsidRDefault="006B15F5" w:rsidP="00147C8B">
            <w:pPr>
              <w:spacing w:before="0" w:after="0" w:line="240" w:lineRule="auto"/>
              <w:jc w:val="center"/>
              <w:rPr>
                <w:b/>
                <w:sz w:val="18"/>
                <w:szCs w:val="18"/>
                <w:lang w:val="hy-AM"/>
              </w:rPr>
            </w:pPr>
            <w:r>
              <w:rPr>
                <w:rFonts w:ascii="GHEA Grapalat" w:hAnsi="GHEA Grapalat" w:cs="Calibri"/>
                <w:color w:val="404040"/>
                <w:sz w:val="18"/>
                <w:szCs w:val="18"/>
              </w:rPr>
              <w:t>104.0</w:t>
            </w:r>
          </w:p>
        </w:tc>
        <w:tc>
          <w:tcPr>
            <w:tcW w:w="451" w:type="pct"/>
            <w:vAlign w:val="center"/>
          </w:tcPr>
          <w:p w14:paraId="2314A323" w14:textId="77777777" w:rsidR="006B15F5" w:rsidRDefault="006B15F5" w:rsidP="00147C8B">
            <w:pPr>
              <w:spacing w:before="0" w:after="0" w:line="240" w:lineRule="auto"/>
              <w:jc w:val="center"/>
              <w:rPr>
                <w:rFonts w:ascii="GHEA Grapalat" w:hAnsi="GHEA Grapalat" w:cs="Calibri"/>
                <w:color w:val="404040"/>
                <w:sz w:val="18"/>
                <w:szCs w:val="18"/>
              </w:rPr>
            </w:pPr>
            <w:r>
              <w:rPr>
                <w:rFonts w:ascii="GHEA Grapalat" w:hAnsi="GHEA Grapalat" w:cs="Calibri"/>
                <w:color w:val="404040"/>
                <w:sz w:val="18"/>
                <w:szCs w:val="18"/>
              </w:rPr>
              <w:t>85.9</w:t>
            </w:r>
          </w:p>
        </w:tc>
        <w:tc>
          <w:tcPr>
            <w:tcW w:w="478" w:type="pct"/>
            <w:shd w:val="clear" w:color="auto" w:fill="auto"/>
            <w:vAlign w:val="center"/>
          </w:tcPr>
          <w:p w14:paraId="69C33CF8" w14:textId="77777777" w:rsidR="006B15F5" w:rsidRPr="00941B19" w:rsidRDefault="006B15F5" w:rsidP="00147C8B">
            <w:pPr>
              <w:spacing w:before="0" w:after="0" w:line="240" w:lineRule="auto"/>
              <w:jc w:val="center"/>
              <w:rPr>
                <w:sz w:val="18"/>
                <w:szCs w:val="18"/>
              </w:rPr>
            </w:pPr>
            <w:r>
              <w:rPr>
                <w:rFonts w:ascii="GHEA Grapalat" w:hAnsi="GHEA Grapalat" w:cs="Calibri"/>
                <w:color w:val="404040"/>
                <w:sz w:val="18"/>
                <w:szCs w:val="18"/>
              </w:rPr>
              <w:t>105.9</w:t>
            </w:r>
          </w:p>
        </w:tc>
      </w:tr>
      <w:tr w:rsidR="006B15F5" w:rsidRPr="00941B19" w14:paraId="00B6EC0E" w14:textId="77777777" w:rsidTr="00147C8B">
        <w:trPr>
          <w:trHeight w:val="360"/>
        </w:trPr>
        <w:tc>
          <w:tcPr>
            <w:tcW w:w="1815" w:type="pct"/>
            <w:shd w:val="clear" w:color="auto" w:fill="auto"/>
            <w:vAlign w:val="center"/>
          </w:tcPr>
          <w:p w14:paraId="5EA5447B" w14:textId="77777777" w:rsidR="006B15F5" w:rsidRPr="003F2203" w:rsidRDefault="006B15F5" w:rsidP="00147C8B">
            <w:pPr>
              <w:spacing w:before="0" w:after="0" w:line="240" w:lineRule="auto"/>
              <w:ind w:right="495"/>
              <w:rPr>
                <w:color w:val="A6A6A6" w:themeColor="background1" w:themeShade="A6"/>
                <w:sz w:val="18"/>
                <w:szCs w:val="18"/>
              </w:rPr>
            </w:pPr>
            <w:r w:rsidRPr="003F2203">
              <w:rPr>
                <w:color w:val="A6A6A6" w:themeColor="background1" w:themeShade="A6"/>
                <w:sz w:val="18"/>
                <w:szCs w:val="18"/>
              </w:rPr>
              <w:t>ՀՆԱ-ի նկատմամբ (%)</w:t>
            </w:r>
          </w:p>
        </w:tc>
        <w:tc>
          <w:tcPr>
            <w:tcW w:w="451" w:type="pct"/>
            <w:shd w:val="clear" w:color="auto" w:fill="auto"/>
            <w:vAlign w:val="center"/>
          </w:tcPr>
          <w:p w14:paraId="05410718" w14:textId="77777777" w:rsidR="006B15F5" w:rsidRPr="003F2203" w:rsidRDefault="006B15F5" w:rsidP="00147C8B">
            <w:pPr>
              <w:spacing w:before="0" w:after="0" w:line="240" w:lineRule="auto"/>
              <w:jc w:val="center"/>
              <w:rPr>
                <w:color w:val="A6A6A6" w:themeColor="background1" w:themeShade="A6"/>
                <w:sz w:val="18"/>
                <w:szCs w:val="18"/>
              </w:rPr>
            </w:pPr>
            <w:r>
              <w:rPr>
                <w:rFonts w:ascii="GHEA Grapalat" w:hAnsi="GHEA Grapalat" w:cs="Calibri"/>
                <w:color w:val="A6A6A6"/>
                <w:sz w:val="18"/>
                <w:szCs w:val="18"/>
              </w:rPr>
              <w:t>0.7%</w:t>
            </w:r>
          </w:p>
        </w:tc>
        <w:tc>
          <w:tcPr>
            <w:tcW w:w="451" w:type="pct"/>
            <w:shd w:val="clear" w:color="auto" w:fill="auto"/>
            <w:vAlign w:val="center"/>
          </w:tcPr>
          <w:p w14:paraId="2AB9D71F" w14:textId="77777777" w:rsidR="006B15F5" w:rsidRPr="003F2203" w:rsidRDefault="006B15F5" w:rsidP="00147C8B">
            <w:pPr>
              <w:spacing w:before="0" w:after="0" w:line="240" w:lineRule="auto"/>
              <w:jc w:val="center"/>
              <w:rPr>
                <w:color w:val="A6A6A6" w:themeColor="background1" w:themeShade="A6"/>
                <w:sz w:val="18"/>
                <w:szCs w:val="18"/>
              </w:rPr>
            </w:pPr>
            <w:r>
              <w:rPr>
                <w:rFonts w:ascii="GHEA Grapalat" w:hAnsi="GHEA Grapalat" w:cs="Calibri"/>
                <w:color w:val="A6A6A6"/>
                <w:sz w:val="18"/>
                <w:szCs w:val="18"/>
              </w:rPr>
              <w:t>0.7%</w:t>
            </w:r>
          </w:p>
        </w:tc>
        <w:tc>
          <w:tcPr>
            <w:tcW w:w="451" w:type="pct"/>
            <w:shd w:val="clear" w:color="auto" w:fill="auto"/>
            <w:vAlign w:val="center"/>
          </w:tcPr>
          <w:p w14:paraId="367E8AF7" w14:textId="77777777" w:rsidR="006B15F5" w:rsidRPr="003F2203" w:rsidRDefault="006B15F5" w:rsidP="00147C8B">
            <w:pPr>
              <w:spacing w:before="0" w:after="0" w:line="240" w:lineRule="auto"/>
              <w:jc w:val="center"/>
              <w:rPr>
                <w:color w:val="A6A6A6" w:themeColor="background1" w:themeShade="A6"/>
                <w:sz w:val="18"/>
                <w:szCs w:val="18"/>
              </w:rPr>
            </w:pPr>
            <w:r>
              <w:rPr>
                <w:rFonts w:ascii="GHEA Grapalat" w:hAnsi="GHEA Grapalat" w:cs="Calibri"/>
                <w:color w:val="A6A6A6"/>
                <w:sz w:val="18"/>
                <w:szCs w:val="18"/>
              </w:rPr>
              <w:t>0.7%</w:t>
            </w:r>
          </w:p>
        </w:tc>
        <w:tc>
          <w:tcPr>
            <w:tcW w:w="451" w:type="pct"/>
            <w:shd w:val="clear" w:color="auto" w:fill="auto"/>
            <w:vAlign w:val="center"/>
          </w:tcPr>
          <w:p w14:paraId="2FA6033E" w14:textId="77777777" w:rsidR="006B15F5" w:rsidRPr="003F2203" w:rsidRDefault="006B15F5" w:rsidP="00147C8B">
            <w:pPr>
              <w:spacing w:before="0" w:after="0" w:line="240" w:lineRule="auto"/>
              <w:jc w:val="center"/>
              <w:rPr>
                <w:color w:val="A6A6A6" w:themeColor="background1" w:themeShade="A6"/>
                <w:sz w:val="18"/>
                <w:szCs w:val="18"/>
              </w:rPr>
            </w:pPr>
            <w:r>
              <w:rPr>
                <w:rFonts w:ascii="GHEA Grapalat" w:hAnsi="GHEA Grapalat" w:cs="Calibri"/>
                <w:color w:val="A6A6A6"/>
                <w:sz w:val="18"/>
                <w:szCs w:val="18"/>
              </w:rPr>
              <w:t>1.8%</w:t>
            </w:r>
          </w:p>
        </w:tc>
        <w:tc>
          <w:tcPr>
            <w:tcW w:w="451" w:type="pct"/>
            <w:vAlign w:val="center"/>
          </w:tcPr>
          <w:p w14:paraId="0ED72F61" w14:textId="77777777" w:rsidR="006B15F5" w:rsidRDefault="006B15F5" w:rsidP="00147C8B">
            <w:pPr>
              <w:spacing w:before="0" w:after="0" w:line="240" w:lineRule="auto"/>
              <w:jc w:val="center"/>
              <w:rPr>
                <w:rFonts w:ascii="GHEA Grapalat" w:hAnsi="GHEA Grapalat" w:cs="Calibri"/>
                <w:color w:val="A6A6A6"/>
                <w:sz w:val="18"/>
                <w:szCs w:val="18"/>
              </w:rPr>
            </w:pPr>
            <w:r>
              <w:rPr>
                <w:rFonts w:ascii="GHEA Grapalat" w:hAnsi="GHEA Grapalat" w:cs="Calibri"/>
                <w:color w:val="A6A6A6"/>
                <w:sz w:val="18"/>
                <w:szCs w:val="18"/>
              </w:rPr>
              <w:t>0.9%</w:t>
            </w:r>
          </w:p>
        </w:tc>
        <w:tc>
          <w:tcPr>
            <w:tcW w:w="451" w:type="pct"/>
            <w:vAlign w:val="center"/>
          </w:tcPr>
          <w:p w14:paraId="70414526" w14:textId="77777777" w:rsidR="006B15F5" w:rsidRDefault="006B15F5" w:rsidP="00147C8B">
            <w:pPr>
              <w:spacing w:before="0" w:after="0" w:line="240" w:lineRule="auto"/>
              <w:jc w:val="center"/>
              <w:rPr>
                <w:rFonts w:ascii="GHEA Grapalat" w:hAnsi="GHEA Grapalat" w:cs="Calibri"/>
                <w:color w:val="A6A6A6"/>
                <w:sz w:val="18"/>
                <w:szCs w:val="18"/>
              </w:rPr>
            </w:pPr>
            <w:r>
              <w:rPr>
                <w:rFonts w:ascii="GHEA Grapalat" w:hAnsi="GHEA Grapalat" w:cs="Calibri"/>
                <w:color w:val="A6A6A6"/>
                <w:sz w:val="18"/>
                <w:szCs w:val="18"/>
              </w:rPr>
              <w:t>0.7%</w:t>
            </w:r>
          </w:p>
        </w:tc>
        <w:tc>
          <w:tcPr>
            <w:tcW w:w="478" w:type="pct"/>
            <w:shd w:val="clear" w:color="auto" w:fill="auto"/>
            <w:vAlign w:val="center"/>
          </w:tcPr>
          <w:p w14:paraId="1306A364" w14:textId="77777777" w:rsidR="006B15F5" w:rsidRPr="00D66910" w:rsidRDefault="006B15F5" w:rsidP="00147C8B">
            <w:pPr>
              <w:spacing w:before="0" w:after="0" w:line="240" w:lineRule="auto"/>
              <w:jc w:val="center"/>
              <w:rPr>
                <w:color w:val="A6A6A6" w:themeColor="background1" w:themeShade="A6"/>
                <w:sz w:val="18"/>
                <w:szCs w:val="18"/>
              </w:rPr>
            </w:pPr>
            <w:r>
              <w:rPr>
                <w:rFonts w:ascii="GHEA Grapalat" w:hAnsi="GHEA Grapalat" w:cs="Calibri"/>
                <w:color w:val="A6A6A6"/>
                <w:sz w:val="18"/>
                <w:szCs w:val="18"/>
              </w:rPr>
              <w:t>0.8%</w:t>
            </w:r>
          </w:p>
        </w:tc>
      </w:tr>
      <w:tr w:rsidR="006B15F5" w:rsidRPr="00941B19" w14:paraId="1DCB2127" w14:textId="77777777" w:rsidTr="00147C8B">
        <w:trPr>
          <w:trHeight w:val="360"/>
        </w:trPr>
        <w:tc>
          <w:tcPr>
            <w:tcW w:w="1815" w:type="pct"/>
            <w:shd w:val="clear" w:color="auto" w:fill="auto"/>
            <w:vAlign w:val="center"/>
          </w:tcPr>
          <w:p w14:paraId="048A7575" w14:textId="77777777" w:rsidR="006B15F5" w:rsidRPr="003F2203" w:rsidRDefault="006B15F5" w:rsidP="00147C8B">
            <w:pPr>
              <w:spacing w:before="0" w:after="0" w:line="240" w:lineRule="auto"/>
              <w:ind w:right="495"/>
              <w:rPr>
                <w:color w:val="A6A6A6" w:themeColor="background1" w:themeShade="A6"/>
                <w:sz w:val="18"/>
                <w:szCs w:val="18"/>
              </w:rPr>
            </w:pPr>
            <w:r w:rsidRPr="003F2203">
              <w:rPr>
                <w:color w:val="A6A6A6" w:themeColor="background1" w:themeShade="A6"/>
                <w:sz w:val="18"/>
                <w:szCs w:val="18"/>
              </w:rPr>
              <w:t>Ընդհանուր ծախսերում (%)</w:t>
            </w:r>
          </w:p>
        </w:tc>
        <w:tc>
          <w:tcPr>
            <w:tcW w:w="451" w:type="pct"/>
            <w:shd w:val="clear" w:color="auto" w:fill="auto"/>
            <w:vAlign w:val="center"/>
          </w:tcPr>
          <w:p w14:paraId="4EC8CEF7" w14:textId="77777777" w:rsidR="006B15F5" w:rsidRPr="003F2203" w:rsidRDefault="006B15F5" w:rsidP="00147C8B">
            <w:pPr>
              <w:spacing w:before="0" w:after="0" w:line="240" w:lineRule="auto"/>
              <w:jc w:val="center"/>
              <w:rPr>
                <w:color w:val="A6A6A6" w:themeColor="background1" w:themeShade="A6"/>
                <w:sz w:val="18"/>
                <w:szCs w:val="18"/>
              </w:rPr>
            </w:pPr>
            <w:r>
              <w:rPr>
                <w:rFonts w:ascii="GHEA Grapalat" w:hAnsi="GHEA Grapalat" w:cs="Calibri"/>
                <w:color w:val="A6A6A6"/>
                <w:sz w:val="18"/>
                <w:szCs w:val="18"/>
              </w:rPr>
              <w:t>2.5%</w:t>
            </w:r>
          </w:p>
        </w:tc>
        <w:tc>
          <w:tcPr>
            <w:tcW w:w="451" w:type="pct"/>
            <w:shd w:val="clear" w:color="auto" w:fill="auto"/>
            <w:vAlign w:val="center"/>
          </w:tcPr>
          <w:p w14:paraId="08B8A751" w14:textId="77777777" w:rsidR="006B15F5" w:rsidRPr="003F2203" w:rsidRDefault="006B15F5" w:rsidP="00147C8B">
            <w:pPr>
              <w:spacing w:before="0" w:after="0" w:line="240" w:lineRule="auto"/>
              <w:jc w:val="center"/>
              <w:rPr>
                <w:color w:val="A6A6A6" w:themeColor="background1" w:themeShade="A6"/>
                <w:sz w:val="18"/>
                <w:szCs w:val="18"/>
              </w:rPr>
            </w:pPr>
            <w:r>
              <w:rPr>
                <w:rFonts w:ascii="GHEA Grapalat" w:hAnsi="GHEA Grapalat" w:cs="Calibri"/>
                <w:color w:val="A6A6A6"/>
                <w:sz w:val="18"/>
                <w:szCs w:val="18"/>
              </w:rPr>
              <w:t>2.6%</w:t>
            </w:r>
          </w:p>
        </w:tc>
        <w:tc>
          <w:tcPr>
            <w:tcW w:w="451" w:type="pct"/>
            <w:shd w:val="clear" w:color="auto" w:fill="auto"/>
            <w:vAlign w:val="center"/>
          </w:tcPr>
          <w:p w14:paraId="2EF790E3" w14:textId="77777777" w:rsidR="006B15F5" w:rsidRPr="003F2203" w:rsidRDefault="006B15F5" w:rsidP="00147C8B">
            <w:pPr>
              <w:spacing w:before="0" w:after="0" w:line="240" w:lineRule="auto"/>
              <w:jc w:val="center"/>
              <w:rPr>
                <w:color w:val="A6A6A6" w:themeColor="background1" w:themeShade="A6"/>
                <w:sz w:val="18"/>
                <w:szCs w:val="18"/>
              </w:rPr>
            </w:pPr>
            <w:r>
              <w:rPr>
                <w:rFonts w:ascii="GHEA Grapalat" w:hAnsi="GHEA Grapalat" w:cs="Calibri"/>
                <w:color w:val="A6A6A6"/>
                <w:sz w:val="18"/>
                <w:szCs w:val="18"/>
              </w:rPr>
              <w:t>2.3%</w:t>
            </w:r>
          </w:p>
        </w:tc>
        <w:tc>
          <w:tcPr>
            <w:tcW w:w="451" w:type="pct"/>
            <w:shd w:val="clear" w:color="auto" w:fill="auto"/>
            <w:vAlign w:val="center"/>
          </w:tcPr>
          <w:p w14:paraId="6A7E32B9" w14:textId="77777777" w:rsidR="006B15F5" w:rsidRPr="003F2203" w:rsidRDefault="006B15F5" w:rsidP="00147C8B">
            <w:pPr>
              <w:spacing w:before="0" w:after="0" w:line="240" w:lineRule="auto"/>
              <w:jc w:val="center"/>
              <w:rPr>
                <w:color w:val="A6A6A6" w:themeColor="background1" w:themeShade="A6"/>
                <w:sz w:val="18"/>
                <w:szCs w:val="18"/>
              </w:rPr>
            </w:pPr>
            <w:r>
              <w:rPr>
                <w:rFonts w:ascii="GHEA Grapalat" w:hAnsi="GHEA Grapalat" w:cs="Calibri"/>
                <w:color w:val="A6A6A6"/>
                <w:sz w:val="18"/>
                <w:szCs w:val="18"/>
              </w:rPr>
              <w:t>5.7%</w:t>
            </w:r>
          </w:p>
        </w:tc>
        <w:tc>
          <w:tcPr>
            <w:tcW w:w="451" w:type="pct"/>
            <w:vAlign w:val="center"/>
          </w:tcPr>
          <w:p w14:paraId="066CD062" w14:textId="77777777" w:rsidR="006B15F5" w:rsidRDefault="006B15F5" w:rsidP="00147C8B">
            <w:pPr>
              <w:spacing w:before="0" w:after="0" w:line="240" w:lineRule="auto"/>
              <w:jc w:val="center"/>
              <w:rPr>
                <w:rFonts w:ascii="GHEA Grapalat" w:hAnsi="GHEA Grapalat" w:cs="Calibri"/>
                <w:color w:val="A6A6A6"/>
                <w:sz w:val="18"/>
                <w:szCs w:val="18"/>
              </w:rPr>
            </w:pPr>
            <w:r>
              <w:rPr>
                <w:rFonts w:ascii="GHEA Grapalat" w:hAnsi="GHEA Grapalat" w:cs="Calibri"/>
                <w:color w:val="A6A6A6"/>
                <w:sz w:val="18"/>
                <w:szCs w:val="18"/>
              </w:rPr>
              <w:t>2.9%</w:t>
            </w:r>
          </w:p>
        </w:tc>
        <w:tc>
          <w:tcPr>
            <w:tcW w:w="451" w:type="pct"/>
            <w:vAlign w:val="center"/>
          </w:tcPr>
          <w:p w14:paraId="1782E5AB" w14:textId="77777777" w:rsidR="006B15F5" w:rsidRDefault="006B15F5" w:rsidP="00147C8B">
            <w:pPr>
              <w:spacing w:before="0" w:after="0" w:line="240" w:lineRule="auto"/>
              <w:jc w:val="center"/>
              <w:rPr>
                <w:rFonts w:ascii="GHEA Grapalat" w:hAnsi="GHEA Grapalat" w:cs="Calibri"/>
                <w:color w:val="A6A6A6"/>
                <w:sz w:val="18"/>
                <w:szCs w:val="18"/>
              </w:rPr>
            </w:pPr>
            <w:r>
              <w:rPr>
                <w:rFonts w:ascii="GHEA Grapalat" w:hAnsi="GHEA Grapalat" w:cs="Calibri"/>
                <w:color w:val="A6A6A6"/>
                <w:sz w:val="18"/>
                <w:szCs w:val="18"/>
              </w:rPr>
              <w:t>2.3%</w:t>
            </w:r>
          </w:p>
        </w:tc>
        <w:tc>
          <w:tcPr>
            <w:tcW w:w="478" w:type="pct"/>
            <w:shd w:val="clear" w:color="auto" w:fill="auto"/>
            <w:vAlign w:val="center"/>
          </w:tcPr>
          <w:p w14:paraId="13B18F17" w14:textId="77777777" w:rsidR="006B15F5" w:rsidRPr="00D45502" w:rsidRDefault="006B15F5" w:rsidP="00147C8B">
            <w:pPr>
              <w:spacing w:before="0" w:after="0" w:line="240" w:lineRule="auto"/>
              <w:jc w:val="center"/>
              <w:rPr>
                <w:color w:val="A6A6A6" w:themeColor="background1" w:themeShade="A6"/>
                <w:sz w:val="18"/>
                <w:szCs w:val="18"/>
              </w:rPr>
            </w:pPr>
            <w:r>
              <w:rPr>
                <w:rFonts w:ascii="GHEA Grapalat" w:hAnsi="GHEA Grapalat" w:cs="Calibri"/>
                <w:color w:val="A6A6A6"/>
                <w:sz w:val="18"/>
                <w:szCs w:val="18"/>
              </w:rPr>
              <w:t>2.7%</w:t>
            </w:r>
          </w:p>
        </w:tc>
      </w:tr>
      <w:tr w:rsidR="006B15F5" w:rsidRPr="00941B19" w14:paraId="650B17F8" w14:textId="77777777" w:rsidTr="00147C8B">
        <w:trPr>
          <w:trHeight w:val="360"/>
        </w:trPr>
        <w:tc>
          <w:tcPr>
            <w:tcW w:w="1815" w:type="pct"/>
            <w:shd w:val="clear" w:color="auto" w:fill="auto"/>
            <w:vAlign w:val="center"/>
          </w:tcPr>
          <w:p w14:paraId="14C386B3" w14:textId="77777777" w:rsidR="006B15F5" w:rsidRPr="00941B19" w:rsidRDefault="006B15F5" w:rsidP="00147C8B">
            <w:pPr>
              <w:spacing w:before="0" w:after="0" w:line="240" w:lineRule="auto"/>
              <w:ind w:right="429"/>
              <w:rPr>
                <w:sz w:val="18"/>
                <w:szCs w:val="18"/>
              </w:rPr>
            </w:pPr>
            <w:r w:rsidRPr="00941B19">
              <w:rPr>
                <w:sz w:val="18"/>
                <w:szCs w:val="18"/>
              </w:rPr>
              <w:t>1. Վարկային ծրագրերի և միջոցառումներ</w:t>
            </w:r>
          </w:p>
        </w:tc>
        <w:tc>
          <w:tcPr>
            <w:tcW w:w="451" w:type="pct"/>
            <w:shd w:val="clear" w:color="auto" w:fill="auto"/>
            <w:vAlign w:val="center"/>
          </w:tcPr>
          <w:p w14:paraId="2C1336FA" w14:textId="77777777" w:rsidR="006B15F5" w:rsidRPr="00941B19" w:rsidRDefault="006B15F5" w:rsidP="00147C8B">
            <w:pPr>
              <w:spacing w:before="0" w:after="0" w:line="240" w:lineRule="auto"/>
              <w:jc w:val="center"/>
              <w:rPr>
                <w:sz w:val="18"/>
                <w:szCs w:val="18"/>
              </w:rPr>
            </w:pPr>
            <w:r>
              <w:rPr>
                <w:rFonts w:ascii="GHEA Grapalat" w:hAnsi="GHEA Grapalat" w:cs="Calibri"/>
                <w:color w:val="404040"/>
                <w:sz w:val="18"/>
                <w:szCs w:val="18"/>
              </w:rPr>
              <w:t>46.90</w:t>
            </w:r>
          </w:p>
        </w:tc>
        <w:tc>
          <w:tcPr>
            <w:tcW w:w="451" w:type="pct"/>
            <w:shd w:val="clear" w:color="auto" w:fill="auto"/>
            <w:vAlign w:val="center"/>
          </w:tcPr>
          <w:p w14:paraId="7830E644" w14:textId="77777777" w:rsidR="006B15F5" w:rsidRPr="00941B19" w:rsidRDefault="006B15F5" w:rsidP="00147C8B">
            <w:pPr>
              <w:spacing w:before="0" w:after="0" w:line="240" w:lineRule="auto"/>
              <w:jc w:val="center"/>
              <w:rPr>
                <w:sz w:val="18"/>
                <w:szCs w:val="18"/>
              </w:rPr>
            </w:pPr>
            <w:r>
              <w:rPr>
                <w:rFonts w:ascii="GHEA Grapalat" w:hAnsi="GHEA Grapalat" w:cs="Calibri"/>
                <w:color w:val="404040"/>
                <w:sz w:val="18"/>
                <w:szCs w:val="18"/>
              </w:rPr>
              <w:t>56.2</w:t>
            </w:r>
          </w:p>
        </w:tc>
        <w:tc>
          <w:tcPr>
            <w:tcW w:w="451" w:type="pct"/>
            <w:shd w:val="clear" w:color="auto" w:fill="auto"/>
            <w:vAlign w:val="center"/>
          </w:tcPr>
          <w:p w14:paraId="06FEA98E" w14:textId="77777777" w:rsidR="006B15F5" w:rsidRPr="00941B19" w:rsidRDefault="006B15F5" w:rsidP="00147C8B">
            <w:pPr>
              <w:spacing w:before="0" w:after="0" w:line="240" w:lineRule="auto"/>
              <w:jc w:val="center"/>
              <w:rPr>
                <w:sz w:val="18"/>
                <w:szCs w:val="18"/>
              </w:rPr>
            </w:pPr>
            <w:r>
              <w:rPr>
                <w:rFonts w:ascii="GHEA Grapalat" w:hAnsi="GHEA Grapalat" w:cs="Calibri"/>
                <w:color w:val="404040"/>
                <w:sz w:val="18"/>
                <w:szCs w:val="18"/>
              </w:rPr>
              <w:t>59.1</w:t>
            </w:r>
          </w:p>
        </w:tc>
        <w:tc>
          <w:tcPr>
            <w:tcW w:w="451" w:type="pct"/>
            <w:shd w:val="clear" w:color="auto" w:fill="auto"/>
            <w:vAlign w:val="center"/>
          </w:tcPr>
          <w:p w14:paraId="72BB60F5" w14:textId="77777777" w:rsidR="006B15F5" w:rsidRPr="00941B19" w:rsidRDefault="006B15F5" w:rsidP="00147C8B">
            <w:pPr>
              <w:spacing w:before="0" w:after="0" w:line="240" w:lineRule="auto"/>
              <w:jc w:val="center"/>
              <w:rPr>
                <w:sz w:val="18"/>
                <w:szCs w:val="18"/>
              </w:rPr>
            </w:pPr>
            <w:r>
              <w:rPr>
                <w:rFonts w:ascii="GHEA Grapalat" w:hAnsi="GHEA Grapalat" w:cs="Calibri"/>
                <w:color w:val="404040"/>
                <w:sz w:val="18"/>
                <w:szCs w:val="18"/>
              </w:rPr>
              <w:t>180.5</w:t>
            </w:r>
          </w:p>
        </w:tc>
        <w:tc>
          <w:tcPr>
            <w:tcW w:w="451" w:type="pct"/>
            <w:vAlign w:val="center"/>
          </w:tcPr>
          <w:p w14:paraId="198395EF" w14:textId="77777777" w:rsidR="006B15F5" w:rsidRPr="005844B4" w:rsidRDefault="006B15F5" w:rsidP="00147C8B">
            <w:pPr>
              <w:spacing w:before="0" w:after="0" w:line="240" w:lineRule="auto"/>
              <w:jc w:val="center"/>
              <w:rPr>
                <w:rFonts w:ascii="GHEA Grapalat" w:hAnsi="GHEA Grapalat" w:cs="Calibri"/>
                <w:color w:val="404040"/>
                <w:sz w:val="18"/>
                <w:szCs w:val="18"/>
                <w:lang w:val="hy-AM"/>
              </w:rPr>
            </w:pPr>
            <w:r>
              <w:rPr>
                <w:rFonts w:ascii="GHEA Grapalat" w:hAnsi="GHEA Grapalat" w:cs="Calibri"/>
                <w:color w:val="404040"/>
                <w:sz w:val="18"/>
                <w:szCs w:val="18"/>
                <w:lang w:val="hy-AM"/>
              </w:rPr>
              <w:t>85.1</w:t>
            </w:r>
          </w:p>
        </w:tc>
        <w:tc>
          <w:tcPr>
            <w:tcW w:w="451" w:type="pct"/>
            <w:vAlign w:val="center"/>
          </w:tcPr>
          <w:p w14:paraId="681BC046" w14:textId="77777777" w:rsidR="006B15F5" w:rsidRDefault="006B15F5" w:rsidP="00147C8B">
            <w:pPr>
              <w:spacing w:before="0" w:after="0" w:line="240" w:lineRule="auto"/>
              <w:jc w:val="center"/>
              <w:rPr>
                <w:rFonts w:ascii="GHEA Grapalat" w:hAnsi="GHEA Grapalat" w:cs="Calibri"/>
                <w:color w:val="404040"/>
                <w:sz w:val="18"/>
                <w:szCs w:val="18"/>
              </w:rPr>
            </w:pPr>
            <w:r>
              <w:rPr>
                <w:rFonts w:ascii="GHEA Grapalat" w:hAnsi="GHEA Grapalat" w:cs="Calibri"/>
                <w:color w:val="404040"/>
                <w:sz w:val="18"/>
                <w:szCs w:val="18"/>
              </w:rPr>
              <w:t>78.6</w:t>
            </w:r>
          </w:p>
        </w:tc>
        <w:tc>
          <w:tcPr>
            <w:tcW w:w="478" w:type="pct"/>
            <w:shd w:val="clear" w:color="auto" w:fill="auto"/>
            <w:vAlign w:val="center"/>
          </w:tcPr>
          <w:p w14:paraId="0BAC1E17" w14:textId="77777777" w:rsidR="006B15F5" w:rsidRPr="00D45502" w:rsidRDefault="006B15F5" w:rsidP="00147C8B">
            <w:pPr>
              <w:spacing w:before="0" w:after="0" w:line="240" w:lineRule="auto"/>
              <w:jc w:val="center"/>
              <w:rPr>
                <w:sz w:val="18"/>
                <w:szCs w:val="18"/>
              </w:rPr>
            </w:pPr>
            <w:r>
              <w:rPr>
                <w:rFonts w:ascii="GHEA Grapalat" w:hAnsi="GHEA Grapalat" w:cs="Calibri"/>
                <w:color w:val="404040"/>
                <w:sz w:val="18"/>
                <w:szCs w:val="18"/>
              </w:rPr>
              <w:t>102.2</w:t>
            </w:r>
          </w:p>
        </w:tc>
      </w:tr>
      <w:tr w:rsidR="006B15F5" w:rsidRPr="00941B19" w14:paraId="0E9CB8DB" w14:textId="77777777" w:rsidTr="00147C8B">
        <w:trPr>
          <w:trHeight w:val="360"/>
        </w:trPr>
        <w:tc>
          <w:tcPr>
            <w:tcW w:w="1815" w:type="pct"/>
            <w:shd w:val="clear" w:color="auto" w:fill="auto"/>
            <w:vAlign w:val="center"/>
          </w:tcPr>
          <w:p w14:paraId="75A36719" w14:textId="77777777" w:rsidR="006B15F5" w:rsidRPr="003F2203" w:rsidRDefault="006B15F5" w:rsidP="00147C8B">
            <w:pPr>
              <w:spacing w:before="0" w:after="0" w:line="240" w:lineRule="auto"/>
              <w:ind w:right="495"/>
              <w:rPr>
                <w:color w:val="A6A6A6" w:themeColor="background1" w:themeShade="A6"/>
                <w:sz w:val="18"/>
                <w:szCs w:val="18"/>
              </w:rPr>
            </w:pPr>
            <w:r w:rsidRPr="003F2203">
              <w:rPr>
                <w:color w:val="A6A6A6" w:themeColor="background1" w:themeShade="A6"/>
                <w:sz w:val="18"/>
                <w:szCs w:val="18"/>
              </w:rPr>
              <w:t>ՀՆԱ-ի նկատմամբ (%)</w:t>
            </w:r>
          </w:p>
        </w:tc>
        <w:tc>
          <w:tcPr>
            <w:tcW w:w="451" w:type="pct"/>
            <w:shd w:val="clear" w:color="auto" w:fill="auto"/>
            <w:vAlign w:val="center"/>
          </w:tcPr>
          <w:p w14:paraId="18B71A67" w14:textId="77777777" w:rsidR="006B15F5" w:rsidRPr="003F2203" w:rsidRDefault="006B15F5" w:rsidP="00147C8B">
            <w:pPr>
              <w:spacing w:before="0" w:after="0" w:line="240" w:lineRule="auto"/>
              <w:jc w:val="center"/>
              <w:rPr>
                <w:color w:val="A6A6A6" w:themeColor="background1" w:themeShade="A6"/>
                <w:sz w:val="18"/>
                <w:szCs w:val="18"/>
              </w:rPr>
            </w:pPr>
            <w:r>
              <w:rPr>
                <w:rFonts w:ascii="GHEA Grapalat" w:hAnsi="GHEA Grapalat" w:cs="Calibri"/>
                <w:color w:val="A6A6A6"/>
                <w:sz w:val="18"/>
                <w:szCs w:val="18"/>
              </w:rPr>
              <w:t>0.6%</w:t>
            </w:r>
          </w:p>
        </w:tc>
        <w:tc>
          <w:tcPr>
            <w:tcW w:w="451" w:type="pct"/>
            <w:shd w:val="clear" w:color="auto" w:fill="auto"/>
            <w:vAlign w:val="center"/>
          </w:tcPr>
          <w:p w14:paraId="437C9FAF" w14:textId="77777777" w:rsidR="006B15F5" w:rsidRPr="003F2203" w:rsidRDefault="006B15F5" w:rsidP="00147C8B">
            <w:pPr>
              <w:spacing w:before="0" w:after="0" w:line="240" w:lineRule="auto"/>
              <w:jc w:val="center"/>
              <w:rPr>
                <w:color w:val="A6A6A6" w:themeColor="background1" w:themeShade="A6"/>
                <w:sz w:val="18"/>
                <w:szCs w:val="18"/>
              </w:rPr>
            </w:pPr>
            <w:r>
              <w:rPr>
                <w:rFonts w:ascii="GHEA Grapalat" w:hAnsi="GHEA Grapalat" w:cs="Calibri"/>
                <w:color w:val="A6A6A6"/>
                <w:sz w:val="18"/>
                <w:szCs w:val="18"/>
              </w:rPr>
              <w:t>0.6%</w:t>
            </w:r>
          </w:p>
        </w:tc>
        <w:tc>
          <w:tcPr>
            <w:tcW w:w="451" w:type="pct"/>
            <w:shd w:val="clear" w:color="auto" w:fill="auto"/>
            <w:vAlign w:val="center"/>
          </w:tcPr>
          <w:p w14:paraId="1F06D43E" w14:textId="77777777" w:rsidR="006B15F5" w:rsidRPr="003F2203" w:rsidRDefault="006B15F5" w:rsidP="00147C8B">
            <w:pPr>
              <w:spacing w:before="0" w:after="0" w:line="240" w:lineRule="auto"/>
              <w:jc w:val="center"/>
              <w:rPr>
                <w:color w:val="A6A6A6" w:themeColor="background1" w:themeShade="A6"/>
                <w:sz w:val="18"/>
                <w:szCs w:val="18"/>
              </w:rPr>
            </w:pPr>
            <w:r>
              <w:rPr>
                <w:rFonts w:ascii="GHEA Grapalat" w:hAnsi="GHEA Grapalat" w:cs="Calibri"/>
                <w:color w:val="A6A6A6"/>
                <w:sz w:val="18"/>
                <w:szCs w:val="18"/>
              </w:rPr>
              <w:t>0.6%</w:t>
            </w:r>
          </w:p>
        </w:tc>
        <w:tc>
          <w:tcPr>
            <w:tcW w:w="451" w:type="pct"/>
            <w:shd w:val="clear" w:color="auto" w:fill="auto"/>
            <w:vAlign w:val="center"/>
          </w:tcPr>
          <w:p w14:paraId="640915EE" w14:textId="77777777" w:rsidR="006B15F5" w:rsidRPr="003F2203" w:rsidRDefault="006B15F5" w:rsidP="00147C8B">
            <w:pPr>
              <w:spacing w:before="0" w:after="0" w:line="240" w:lineRule="auto"/>
              <w:jc w:val="center"/>
              <w:rPr>
                <w:color w:val="A6A6A6" w:themeColor="background1" w:themeShade="A6"/>
                <w:sz w:val="18"/>
                <w:szCs w:val="18"/>
              </w:rPr>
            </w:pPr>
            <w:r>
              <w:rPr>
                <w:rFonts w:ascii="GHEA Grapalat" w:hAnsi="GHEA Grapalat" w:cs="Calibri"/>
                <w:color w:val="A6A6A6"/>
                <w:sz w:val="18"/>
                <w:szCs w:val="18"/>
              </w:rPr>
              <w:t>1.7%</w:t>
            </w:r>
          </w:p>
        </w:tc>
        <w:tc>
          <w:tcPr>
            <w:tcW w:w="451" w:type="pct"/>
            <w:vAlign w:val="center"/>
          </w:tcPr>
          <w:p w14:paraId="4B9B2945" w14:textId="77777777" w:rsidR="006B15F5" w:rsidRDefault="006B15F5" w:rsidP="00147C8B">
            <w:pPr>
              <w:spacing w:before="0" w:after="0" w:line="240" w:lineRule="auto"/>
              <w:jc w:val="center"/>
              <w:rPr>
                <w:rFonts w:ascii="GHEA Grapalat" w:hAnsi="GHEA Grapalat" w:cs="Calibri"/>
                <w:color w:val="A6A6A6"/>
                <w:sz w:val="18"/>
                <w:szCs w:val="18"/>
              </w:rPr>
            </w:pPr>
            <w:r>
              <w:rPr>
                <w:rFonts w:ascii="GHEA Grapalat" w:hAnsi="GHEA Grapalat" w:cs="Calibri"/>
                <w:color w:val="A6A6A6"/>
                <w:sz w:val="18"/>
                <w:szCs w:val="18"/>
              </w:rPr>
              <w:t>0.7%</w:t>
            </w:r>
          </w:p>
        </w:tc>
        <w:tc>
          <w:tcPr>
            <w:tcW w:w="451" w:type="pct"/>
            <w:vAlign w:val="center"/>
          </w:tcPr>
          <w:p w14:paraId="1A8B25CB" w14:textId="77777777" w:rsidR="006B15F5" w:rsidRDefault="006B15F5" w:rsidP="00147C8B">
            <w:pPr>
              <w:spacing w:before="0" w:after="0" w:line="240" w:lineRule="auto"/>
              <w:jc w:val="center"/>
              <w:rPr>
                <w:rFonts w:ascii="GHEA Grapalat" w:hAnsi="GHEA Grapalat" w:cs="Calibri"/>
                <w:color w:val="A6A6A6"/>
                <w:sz w:val="18"/>
                <w:szCs w:val="18"/>
              </w:rPr>
            </w:pPr>
            <w:r>
              <w:rPr>
                <w:rFonts w:ascii="GHEA Grapalat" w:hAnsi="GHEA Grapalat" w:cs="Calibri"/>
                <w:color w:val="A6A6A6"/>
                <w:sz w:val="18"/>
                <w:szCs w:val="18"/>
              </w:rPr>
              <w:t>0.6%</w:t>
            </w:r>
          </w:p>
        </w:tc>
        <w:tc>
          <w:tcPr>
            <w:tcW w:w="478" w:type="pct"/>
            <w:shd w:val="clear" w:color="auto" w:fill="auto"/>
            <w:vAlign w:val="center"/>
          </w:tcPr>
          <w:p w14:paraId="67359B89" w14:textId="77777777" w:rsidR="006B15F5" w:rsidRPr="00D45502" w:rsidRDefault="006B15F5" w:rsidP="00147C8B">
            <w:pPr>
              <w:spacing w:before="0" w:after="0" w:line="240" w:lineRule="auto"/>
              <w:jc w:val="center"/>
              <w:rPr>
                <w:color w:val="A6A6A6" w:themeColor="background1" w:themeShade="A6"/>
                <w:sz w:val="18"/>
                <w:szCs w:val="18"/>
              </w:rPr>
            </w:pPr>
            <w:r>
              <w:rPr>
                <w:rFonts w:ascii="GHEA Grapalat" w:hAnsi="GHEA Grapalat" w:cs="Calibri"/>
                <w:color w:val="A6A6A6"/>
                <w:sz w:val="18"/>
                <w:szCs w:val="18"/>
              </w:rPr>
              <w:t>0.7%</w:t>
            </w:r>
          </w:p>
        </w:tc>
      </w:tr>
      <w:tr w:rsidR="006B15F5" w:rsidRPr="00941B19" w14:paraId="09A30D39" w14:textId="77777777" w:rsidTr="00147C8B">
        <w:trPr>
          <w:trHeight w:val="360"/>
        </w:trPr>
        <w:tc>
          <w:tcPr>
            <w:tcW w:w="1815" w:type="pct"/>
            <w:shd w:val="clear" w:color="auto" w:fill="auto"/>
            <w:vAlign w:val="center"/>
          </w:tcPr>
          <w:p w14:paraId="2D6C541F" w14:textId="77777777" w:rsidR="006B15F5" w:rsidRPr="003F2203" w:rsidRDefault="006B15F5" w:rsidP="00147C8B">
            <w:pPr>
              <w:spacing w:before="0" w:after="0" w:line="240" w:lineRule="auto"/>
              <w:ind w:right="495"/>
              <w:rPr>
                <w:color w:val="A6A6A6" w:themeColor="background1" w:themeShade="A6"/>
                <w:sz w:val="18"/>
                <w:szCs w:val="18"/>
              </w:rPr>
            </w:pPr>
            <w:r w:rsidRPr="003F2203">
              <w:rPr>
                <w:color w:val="A6A6A6" w:themeColor="background1" w:themeShade="A6"/>
                <w:sz w:val="18"/>
                <w:szCs w:val="18"/>
              </w:rPr>
              <w:t>Ընդհանուր ծախսերում (%)</w:t>
            </w:r>
          </w:p>
        </w:tc>
        <w:tc>
          <w:tcPr>
            <w:tcW w:w="451" w:type="pct"/>
            <w:shd w:val="clear" w:color="auto" w:fill="auto"/>
            <w:vAlign w:val="center"/>
          </w:tcPr>
          <w:p w14:paraId="2FE3E355" w14:textId="77777777" w:rsidR="006B15F5" w:rsidRPr="003F2203" w:rsidRDefault="006B15F5" w:rsidP="00147C8B">
            <w:pPr>
              <w:spacing w:before="0" w:after="0" w:line="240" w:lineRule="auto"/>
              <w:jc w:val="center"/>
              <w:rPr>
                <w:color w:val="A6A6A6" w:themeColor="background1" w:themeShade="A6"/>
                <w:sz w:val="18"/>
                <w:szCs w:val="18"/>
              </w:rPr>
            </w:pPr>
            <w:r>
              <w:rPr>
                <w:rFonts w:ascii="GHEA Grapalat" w:hAnsi="GHEA Grapalat" w:cs="Calibri"/>
                <w:color w:val="A6A6A6"/>
                <w:sz w:val="18"/>
                <w:szCs w:val="18"/>
              </w:rPr>
              <w:t>2.1%</w:t>
            </w:r>
          </w:p>
        </w:tc>
        <w:tc>
          <w:tcPr>
            <w:tcW w:w="451" w:type="pct"/>
            <w:shd w:val="clear" w:color="auto" w:fill="auto"/>
            <w:vAlign w:val="center"/>
          </w:tcPr>
          <w:p w14:paraId="549504F3" w14:textId="77777777" w:rsidR="006B15F5" w:rsidRPr="003F2203" w:rsidRDefault="006B15F5" w:rsidP="00147C8B">
            <w:pPr>
              <w:spacing w:before="0" w:after="0" w:line="240" w:lineRule="auto"/>
              <w:jc w:val="center"/>
              <w:rPr>
                <w:color w:val="A6A6A6" w:themeColor="background1" w:themeShade="A6"/>
                <w:sz w:val="18"/>
                <w:szCs w:val="18"/>
              </w:rPr>
            </w:pPr>
            <w:r>
              <w:rPr>
                <w:rFonts w:ascii="GHEA Grapalat" w:hAnsi="GHEA Grapalat" w:cs="Calibri"/>
                <w:color w:val="A6A6A6"/>
                <w:sz w:val="18"/>
                <w:szCs w:val="18"/>
              </w:rPr>
              <w:t>2.2%</w:t>
            </w:r>
          </w:p>
        </w:tc>
        <w:tc>
          <w:tcPr>
            <w:tcW w:w="451" w:type="pct"/>
            <w:shd w:val="clear" w:color="auto" w:fill="auto"/>
            <w:vAlign w:val="center"/>
          </w:tcPr>
          <w:p w14:paraId="73EBCCA5" w14:textId="77777777" w:rsidR="006B15F5" w:rsidRPr="003F2203" w:rsidRDefault="006B15F5" w:rsidP="00147C8B">
            <w:pPr>
              <w:spacing w:before="0" w:after="0" w:line="240" w:lineRule="auto"/>
              <w:jc w:val="center"/>
              <w:rPr>
                <w:color w:val="A6A6A6" w:themeColor="background1" w:themeShade="A6"/>
                <w:sz w:val="18"/>
                <w:szCs w:val="18"/>
              </w:rPr>
            </w:pPr>
            <w:r>
              <w:rPr>
                <w:rFonts w:ascii="GHEA Grapalat" w:hAnsi="GHEA Grapalat" w:cs="Calibri"/>
                <w:color w:val="A6A6A6"/>
                <w:sz w:val="18"/>
                <w:szCs w:val="18"/>
              </w:rPr>
              <w:t>2.0%</w:t>
            </w:r>
          </w:p>
        </w:tc>
        <w:tc>
          <w:tcPr>
            <w:tcW w:w="451" w:type="pct"/>
            <w:shd w:val="clear" w:color="auto" w:fill="auto"/>
            <w:vAlign w:val="center"/>
          </w:tcPr>
          <w:p w14:paraId="3816C523" w14:textId="77777777" w:rsidR="006B15F5" w:rsidRPr="003F2203" w:rsidRDefault="006B15F5" w:rsidP="00147C8B">
            <w:pPr>
              <w:spacing w:before="0" w:after="0" w:line="240" w:lineRule="auto"/>
              <w:jc w:val="center"/>
              <w:rPr>
                <w:color w:val="A6A6A6" w:themeColor="background1" w:themeShade="A6"/>
                <w:sz w:val="18"/>
                <w:szCs w:val="18"/>
              </w:rPr>
            </w:pPr>
            <w:r>
              <w:rPr>
                <w:rFonts w:ascii="GHEA Grapalat" w:hAnsi="GHEA Grapalat" w:cs="Calibri"/>
                <w:color w:val="A6A6A6"/>
                <w:sz w:val="18"/>
                <w:szCs w:val="18"/>
              </w:rPr>
              <w:t>5.2%</w:t>
            </w:r>
          </w:p>
        </w:tc>
        <w:tc>
          <w:tcPr>
            <w:tcW w:w="451" w:type="pct"/>
            <w:vAlign w:val="center"/>
          </w:tcPr>
          <w:p w14:paraId="5C959878" w14:textId="77777777" w:rsidR="006B15F5" w:rsidRDefault="006B15F5" w:rsidP="00147C8B">
            <w:pPr>
              <w:spacing w:before="0" w:after="0" w:line="240" w:lineRule="auto"/>
              <w:jc w:val="center"/>
              <w:rPr>
                <w:rFonts w:ascii="GHEA Grapalat" w:hAnsi="GHEA Grapalat" w:cs="Calibri"/>
                <w:color w:val="A6A6A6"/>
                <w:sz w:val="18"/>
                <w:szCs w:val="18"/>
              </w:rPr>
            </w:pPr>
            <w:r>
              <w:rPr>
                <w:rFonts w:ascii="GHEA Grapalat" w:hAnsi="GHEA Grapalat" w:cs="Calibri"/>
                <w:color w:val="A6A6A6"/>
                <w:sz w:val="18"/>
                <w:szCs w:val="18"/>
              </w:rPr>
              <w:t>2.</w:t>
            </w:r>
            <w:r>
              <w:rPr>
                <w:rFonts w:ascii="GHEA Grapalat" w:hAnsi="GHEA Grapalat" w:cs="Calibri"/>
                <w:color w:val="A6A6A6"/>
                <w:sz w:val="18"/>
                <w:szCs w:val="18"/>
                <w:lang w:val="hy-AM"/>
              </w:rPr>
              <w:t>3</w:t>
            </w:r>
            <w:r>
              <w:rPr>
                <w:rFonts w:ascii="GHEA Grapalat" w:hAnsi="GHEA Grapalat" w:cs="Calibri"/>
                <w:color w:val="A6A6A6"/>
                <w:sz w:val="18"/>
                <w:szCs w:val="18"/>
              </w:rPr>
              <w:t>%</w:t>
            </w:r>
          </w:p>
        </w:tc>
        <w:tc>
          <w:tcPr>
            <w:tcW w:w="451" w:type="pct"/>
            <w:vAlign w:val="center"/>
          </w:tcPr>
          <w:p w14:paraId="72071BBE" w14:textId="77777777" w:rsidR="006B15F5" w:rsidRDefault="006B15F5" w:rsidP="00147C8B">
            <w:pPr>
              <w:spacing w:before="0" w:after="0" w:line="240" w:lineRule="auto"/>
              <w:jc w:val="center"/>
              <w:rPr>
                <w:rFonts w:ascii="GHEA Grapalat" w:hAnsi="GHEA Grapalat" w:cs="Calibri"/>
                <w:color w:val="A6A6A6"/>
                <w:sz w:val="18"/>
                <w:szCs w:val="18"/>
              </w:rPr>
            </w:pPr>
            <w:r>
              <w:rPr>
                <w:rFonts w:ascii="GHEA Grapalat" w:hAnsi="GHEA Grapalat" w:cs="Calibri"/>
                <w:color w:val="A6A6A6"/>
                <w:sz w:val="18"/>
                <w:szCs w:val="18"/>
              </w:rPr>
              <w:t>2.1%</w:t>
            </w:r>
          </w:p>
        </w:tc>
        <w:tc>
          <w:tcPr>
            <w:tcW w:w="478" w:type="pct"/>
            <w:shd w:val="clear" w:color="auto" w:fill="auto"/>
            <w:vAlign w:val="center"/>
          </w:tcPr>
          <w:p w14:paraId="15C0344C" w14:textId="77777777" w:rsidR="006B15F5" w:rsidRPr="00D45502" w:rsidRDefault="006B15F5" w:rsidP="00147C8B">
            <w:pPr>
              <w:spacing w:before="0" w:after="0" w:line="240" w:lineRule="auto"/>
              <w:jc w:val="center"/>
              <w:rPr>
                <w:color w:val="A6A6A6" w:themeColor="background1" w:themeShade="A6"/>
                <w:sz w:val="18"/>
                <w:szCs w:val="18"/>
              </w:rPr>
            </w:pPr>
            <w:r>
              <w:rPr>
                <w:rFonts w:ascii="GHEA Grapalat" w:hAnsi="GHEA Grapalat" w:cs="Calibri"/>
                <w:color w:val="A6A6A6"/>
                <w:sz w:val="18"/>
                <w:szCs w:val="18"/>
              </w:rPr>
              <w:t>2.5%</w:t>
            </w:r>
          </w:p>
        </w:tc>
      </w:tr>
      <w:tr w:rsidR="006B15F5" w:rsidRPr="00941B19" w14:paraId="14A220D7" w14:textId="77777777" w:rsidTr="00147C8B">
        <w:trPr>
          <w:trHeight w:val="360"/>
        </w:trPr>
        <w:tc>
          <w:tcPr>
            <w:tcW w:w="1815" w:type="pct"/>
            <w:shd w:val="clear" w:color="auto" w:fill="auto"/>
            <w:vAlign w:val="center"/>
            <w:hideMark/>
          </w:tcPr>
          <w:p w14:paraId="4F3EED5E" w14:textId="77777777" w:rsidR="006B15F5" w:rsidRPr="00941B19" w:rsidRDefault="006B15F5" w:rsidP="00147C8B">
            <w:pPr>
              <w:spacing w:before="0" w:after="0" w:line="240" w:lineRule="auto"/>
              <w:ind w:right="429"/>
              <w:rPr>
                <w:sz w:val="18"/>
                <w:szCs w:val="18"/>
              </w:rPr>
            </w:pPr>
            <w:r w:rsidRPr="00941B19">
              <w:rPr>
                <w:sz w:val="18"/>
                <w:szCs w:val="18"/>
              </w:rPr>
              <w:t>2. Դրամաշնորհային ծրագրերի և միջոցառումներ</w:t>
            </w:r>
          </w:p>
        </w:tc>
        <w:tc>
          <w:tcPr>
            <w:tcW w:w="451" w:type="pct"/>
            <w:shd w:val="clear" w:color="auto" w:fill="auto"/>
            <w:vAlign w:val="center"/>
          </w:tcPr>
          <w:p w14:paraId="3C2508B0" w14:textId="77777777" w:rsidR="006B15F5" w:rsidRPr="00941B19" w:rsidRDefault="006B15F5" w:rsidP="00147C8B">
            <w:pPr>
              <w:spacing w:before="0" w:after="0" w:line="240" w:lineRule="auto"/>
              <w:jc w:val="center"/>
              <w:rPr>
                <w:sz w:val="18"/>
                <w:szCs w:val="18"/>
              </w:rPr>
            </w:pPr>
            <w:r>
              <w:rPr>
                <w:rFonts w:ascii="GHEA Grapalat" w:hAnsi="GHEA Grapalat" w:cs="Calibri"/>
                <w:color w:val="404040"/>
                <w:sz w:val="18"/>
                <w:szCs w:val="18"/>
              </w:rPr>
              <w:t>10.20</w:t>
            </w:r>
          </w:p>
        </w:tc>
        <w:tc>
          <w:tcPr>
            <w:tcW w:w="451" w:type="pct"/>
            <w:shd w:val="clear" w:color="auto" w:fill="auto"/>
            <w:vAlign w:val="center"/>
          </w:tcPr>
          <w:p w14:paraId="73CB2419" w14:textId="77777777" w:rsidR="006B15F5" w:rsidRPr="00941B19" w:rsidRDefault="006B15F5" w:rsidP="00147C8B">
            <w:pPr>
              <w:spacing w:before="0" w:after="0" w:line="240" w:lineRule="auto"/>
              <w:jc w:val="center"/>
              <w:rPr>
                <w:sz w:val="18"/>
                <w:szCs w:val="18"/>
              </w:rPr>
            </w:pPr>
            <w:r>
              <w:rPr>
                <w:rFonts w:ascii="GHEA Grapalat" w:hAnsi="GHEA Grapalat" w:cs="Calibri"/>
                <w:color w:val="404040"/>
                <w:sz w:val="18"/>
                <w:szCs w:val="18"/>
              </w:rPr>
              <w:t>8.9</w:t>
            </w:r>
          </w:p>
        </w:tc>
        <w:tc>
          <w:tcPr>
            <w:tcW w:w="451" w:type="pct"/>
            <w:shd w:val="clear" w:color="auto" w:fill="auto"/>
            <w:vAlign w:val="center"/>
          </w:tcPr>
          <w:p w14:paraId="5334BCF4" w14:textId="77777777" w:rsidR="006B15F5" w:rsidRPr="00941B19" w:rsidRDefault="006B15F5" w:rsidP="00147C8B">
            <w:pPr>
              <w:spacing w:before="0" w:after="0" w:line="240" w:lineRule="auto"/>
              <w:jc w:val="center"/>
              <w:rPr>
                <w:sz w:val="18"/>
                <w:szCs w:val="18"/>
              </w:rPr>
            </w:pPr>
            <w:r>
              <w:rPr>
                <w:rFonts w:ascii="GHEA Grapalat" w:hAnsi="GHEA Grapalat" w:cs="Calibri"/>
                <w:color w:val="404040"/>
                <w:sz w:val="18"/>
                <w:szCs w:val="18"/>
              </w:rPr>
              <w:t>7.4</w:t>
            </w:r>
          </w:p>
        </w:tc>
        <w:tc>
          <w:tcPr>
            <w:tcW w:w="451" w:type="pct"/>
            <w:shd w:val="clear" w:color="auto" w:fill="auto"/>
            <w:vAlign w:val="center"/>
          </w:tcPr>
          <w:p w14:paraId="2941CFCF" w14:textId="77777777" w:rsidR="006B15F5" w:rsidRPr="00941B19" w:rsidRDefault="006B15F5" w:rsidP="00147C8B">
            <w:pPr>
              <w:spacing w:before="0" w:after="0" w:line="240" w:lineRule="auto"/>
              <w:jc w:val="center"/>
              <w:rPr>
                <w:sz w:val="18"/>
                <w:szCs w:val="18"/>
              </w:rPr>
            </w:pPr>
            <w:r>
              <w:rPr>
                <w:rFonts w:ascii="GHEA Grapalat" w:hAnsi="GHEA Grapalat" w:cs="Calibri"/>
                <w:color w:val="404040"/>
                <w:sz w:val="18"/>
                <w:szCs w:val="18"/>
              </w:rPr>
              <w:t>14.5</w:t>
            </w:r>
          </w:p>
        </w:tc>
        <w:tc>
          <w:tcPr>
            <w:tcW w:w="451" w:type="pct"/>
            <w:vAlign w:val="center"/>
          </w:tcPr>
          <w:p w14:paraId="5CCDF2A4" w14:textId="77777777" w:rsidR="006B15F5" w:rsidRDefault="006B15F5" w:rsidP="00147C8B">
            <w:pPr>
              <w:spacing w:before="0" w:after="0" w:line="240" w:lineRule="auto"/>
              <w:jc w:val="center"/>
              <w:rPr>
                <w:rFonts w:ascii="GHEA Grapalat" w:hAnsi="GHEA Grapalat" w:cs="Calibri"/>
                <w:color w:val="404040"/>
                <w:sz w:val="18"/>
                <w:szCs w:val="18"/>
              </w:rPr>
            </w:pPr>
            <w:r>
              <w:rPr>
                <w:rFonts w:ascii="GHEA Grapalat" w:hAnsi="GHEA Grapalat" w:cs="Calibri"/>
                <w:color w:val="404040"/>
                <w:sz w:val="18"/>
                <w:szCs w:val="18"/>
              </w:rPr>
              <w:t>18.8</w:t>
            </w:r>
          </w:p>
        </w:tc>
        <w:tc>
          <w:tcPr>
            <w:tcW w:w="451" w:type="pct"/>
            <w:vAlign w:val="center"/>
          </w:tcPr>
          <w:p w14:paraId="63E2717E" w14:textId="77777777" w:rsidR="006B15F5" w:rsidRDefault="006B15F5" w:rsidP="00147C8B">
            <w:pPr>
              <w:spacing w:before="0" w:after="0" w:line="240" w:lineRule="auto"/>
              <w:jc w:val="center"/>
              <w:rPr>
                <w:rFonts w:ascii="GHEA Grapalat" w:hAnsi="GHEA Grapalat" w:cs="Calibri"/>
                <w:color w:val="404040"/>
                <w:sz w:val="18"/>
                <w:szCs w:val="18"/>
              </w:rPr>
            </w:pPr>
            <w:r>
              <w:rPr>
                <w:rFonts w:ascii="GHEA Grapalat" w:hAnsi="GHEA Grapalat" w:cs="Calibri"/>
                <w:color w:val="404040"/>
                <w:sz w:val="18"/>
                <w:szCs w:val="18"/>
              </w:rPr>
              <w:t>7.3</w:t>
            </w:r>
          </w:p>
        </w:tc>
        <w:tc>
          <w:tcPr>
            <w:tcW w:w="478" w:type="pct"/>
            <w:shd w:val="clear" w:color="auto" w:fill="auto"/>
            <w:vAlign w:val="center"/>
          </w:tcPr>
          <w:p w14:paraId="0128C88B" w14:textId="77777777" w:rsidR="006B15F5" w:rsidRPr="00941B19" w:rsidRDefault="006B15F5" w:rsidP="00147C8B">
            <w:pPr>
              <w:spacing w:before="0" w:after="0" w:line="240" w:lineRule="auto"/>
              <w:jc w:val="center"/>
              <w:rPr>
                <w:sz w:val="18"/>
                <w:szCs w:val="18"/>
              </w:rPr>
            </w:pPr>
            <w:r>
              <w:rPr>
                <w:rFonts w:ascii="GHEA Grapalat" w:hAnsi="GHEA Grapalat" w:cs="Calibri"/>
                <w:color w:val="404040"/>
                <w:sz w:val="18"/>
                <w:szCs w:val="18"/>
              </w:rPr>
              <w:t>3.7</w:t>
            </w:r>
          </w:p>
        </w:tc>
      </w:tr>
      <w:tr w:rsidR="006B15F5" w:rsidRPr="00941B19" w14:paraId="2C38FEFF" w14:textId="77777777" w:rsidTr="00147C8B">
        <w:trPr>
          <w:trHeight w:val="360"/>
        </w:trPr>
        <w:tc>
          <w:tcPr>
            <w:tcW w:w="1815" w:type="pct"/>
            <w:shd w:val="clear" w:color="auto" w:fill="auto"/>
            <w:vAlign w:val="center"/>
            <w:hideMark/>
          </w:tcPr>
          <w:p w14:paraId="2AD28F41" w14:textId="77777777" w:rsidR="006B15F5" w:rsidRPr="003F2203" w:rsidRDefault="006B15F5" w:rsidP="00147C8B">
            <w:pPr>
              <w:spacing w:before="0" w:after="0" w:line="240" w:lineRule="auto"/>
              <w:ind w:right="495"/>
              <w:rPr>
                <w:color w:val="A6A6A6" w:themeColor="background1" w:themeShade="A6"/>
                <w:sz w:val="18"/>
                <w:szCs w:val="18"/>
              </w:rPr>
            </w:pPr>
            <w:r w:rsidRPr="003F2203">
              <w:rPr>
                <w:color w:val="A6A6A6" w:themeColor="background1" w:themeShade="A6"/>
                <w:sz w:val="18"/>
                <w:szCs w:val="18"/>
              </w:rPr>
              <w:t>ՀՆԱ-ի նկատմամբ (%)</w:t>
            </w:r>
          </w:p>
        </w:tc>
        <w:tc>
          <w:tcPr>
            <w:tcW w:w="451" w:type="pct"/>
            <w:shd w:val="clear" w:color="auto" w:fill="auto"/>
            <w:vAlign w:val="center"/>
          </w:tcPr>
          <w:p w14:paraId="6ACE89F7" w14:textId="77777777" w:rsidR="006B15F5" w:rsidRPr="003F2203" w:rsidRDefault="006B15F5" w:rsidP="00147C8B">
            <w:pPr>
              <w:spacing w:before="0" w:after="0" w:line="240" w:lineRule="auto"/>
              <w:jc w:val="center"/>
              <w:rPr>
                <w:color w:val="A6A6A6" w:themeColor="background1" w:themeShade="A6"/>
                <w:sz w:val="18"/>
                <w:szCs w:val="18"/>
              </w:rPr>
            </w:pPr>
            <w:r>
              <w:rPr>
                <w:rFonts w:ascii="GHEA Grapalat" w:hAnsi="GHEA Grapalat" w:cs="Calibri"/>
                <w:color w:val="A6A6A6"/>
                <w:sz w:val="18"/>
                <w:szCs w:val="18"/>
              </w:rPr>
              <w:t>0.1%</w:t>
            </w:r>
          </w:p>
        </w:tc>
        <w:tc>
          <w:tcPr>
            <w:tcW w:w="451" w:type="pct"/>
            <w:shd w:val="clear" w:color="auto" w:fill="auto"/>
            <w:vAlign w:val="center"/>
          </w:tcPr>
          <w:p w14:paraId="108FA6A8" w14:textId="77777777" w:rsidR="006B15F5" w:rsidRPr="003F2203" w:rsidRDefault="006B15F5" w:rsidP="00147C8B">
            <w:pPr>
              <w:spacing w:before="0" w:after="0" w:line="240" w:lineRule="auto"/>
              <w:jc w:val="center"/>
              <w:rPr>
                <w:color w:val="A6A6A6" w:themeColor="background1" w:themeShade="A6"/>
                <w:sz w:val="18"/>
                <w:szCs w:val="18"/>
              </w:rPr>
            </w:pPr>
            <w:r>
              <w:rPr>
                <w:rFonts w:ascii="GHEA Grapalat" w:hAnsi="GHEA Grapalat" w:cs="Calibri"/>
                <w:color w:val="A6A6A6"/>
                <w:sz w:val="18"/>
                <w:szCs w:val="18"/>
              </w:rPr>
              <w:t>0.1%</w:t>
            </w:r>
          </w:p>
        </w:tc>
        <w:tc>
          <w:tcPr>
            <w:tcW w:w="451" w:type="pct"/>
            <w:shd w:val="clear" w:color="auto" w:fill="auto"/>
            <w:vAlign w:val="center"/>
          </w:tcPr>
          <w:p w14:paraId="71F935B3" w14:textId="77777777" w:rsidR="006B15F5" w:rsidRPr="003F2203" w:rsidRDefault="006B15F5" w:rsidP="00147C8B">
            <w:pPr>
              <w:spacing w:before="0" w:after="0" w:line="240" w:lineRule="auto"/>
              <w:jc w:val="center"/>
              <w:rPr>
                <w:color w:val="A6A6A6" w:themeColor="background1" w:themeShade="A6"/>
                <w:sz w:val="18"/>
                <w:szCs w:val="18"/>
              </w:rPr>
            </w:pPr>
            <w:r>
              <w:rPr>
                <w:rFonts w:ascii="GHEA Grapalat" w:hAnsi="GHEA Grapalat" w:cs="Calibri"/>
                <w:color w:val="A6A6A6"/>
                <w:sz w:val="18"/>
                <w:szCs w:val="18"/>
              </w:rPr>
              <w:t>0.1%</w:t>
            </w:r>
          </w:p>
        </w:tc>
        <w:tc>
          <w:tcPr>
            <w:tcW w:w="451" w:type="pct"/>
            <w:shd w:val="clear" w:color="auto" w:fill="auto"/>
            <w:vAlign w:val="center"/>
          </w:tcPr>
          <w:p w14:paraId="008DF67D" w14:textId="77777777" w:rsidR="006B15F5" w:rsidRPr="003F2203" w:rsidRDefault="006B15F5" w:rsidP="00147C8B">
            <w:pPr>
              <w:spacing w:before="0" w:after="0" w:line="240" w:lineRule="auto"/>
              <w:jc w:val="center"/>
              <w:rPr>
                <w:color w:val="A6A6A6" w:themeColor="background1" w:themeShade="A6"/>
                <w:sz w:val="18"/>
                <w:szCs w:val="18"/>
              </w:rPr>
            </w:pPr>
            <w:r>
              <w:rPr>
                <w:rFonts w:ascii="GHEA Grapalat" w:hAnsi="GHEA Grapalat" w:cs="Calibri"/>
                <w:color w:val="A6A6A6"/>
                <w:sz w:val="18"/>
                <w:szCs w:val="18"/>
              </w:rPr>
              <w:t>0.1%</w:t>
            </w:r>
          </w:p>
        </w:tc>
        <w:tc>
          <w:tcPr>
            <w:tcW w:w="451" w:type="pct"/>
            <w:vAlign w:val="center"/>
          </w:tcPr>
          <w:p w14:paraId="6135C099" w14:textId="77777777" w:rsidR="006B15F5" w:rsidRDefault="006B15F5" w:rsidP="00147C8B">
            <w:pPr>
              <w:spacing w:before="0" w:after="0" w:line="240" w:lineRule="auto"/>
              <w:jc w:val="center"/>
              <w:rPr>
                <w:rFonts w:ascii="GHEA Grapalat" w:hAnsi="GHEA Grapalat" w:cs="Calibri"/>
                <w:color w:val="A6A6A6"/>
                <w:sz w:val="18"/>
                <w:szCs w:val="18"/>
              </w:rPr>
            </w:pPr>
            <w:r>
              <w:rPr>
                <w:rFonts w:ascii="GHEA Grapalat" w:hAnsi="GHEA Grapalat" w:cs="Calibri"/>
                <w:color w:val="A6A6A6"/>
                <w:sz w:val="18"/>
                <w:szCs w:val="18"/>
              </w:rPr>
              <w:t>0.2%</w:t>
            </w:r>
          </w:p>
        </w:tc>
        <w:tc>
          <w:tcPr>
            <w:tcW w:w="451" w:type="pct"/>
            <w:vAlign w:val="center"/>
          </w:tcPr>
          <w:p w14:paraId="662A8758" w14:textId="77777777" w:rsidR="006B15F5" w:rsidRDefault="006B15F5" w:rsidP="00147C8B">
            <w:pPr>
              <w:spacing w:before="0" w:after="0" w:line="240" w:lineRule="auto"/>
              <w:jc w:val="center"/>
              <w:rPr>
                <w:rFonts w:ascii="GHEA Grapalat" w:hAnsi="GHEA Grapalat" w:cs="Calibri"/>
                <w:color w:val="A6A6A6"/>
                <w:sz w:val="18"/>
                <w:szCs w:val="18"/>
              </w:rPr>
            </w:pPr>
            <w:r>
              <w:rPr>
                <w:rFonts w:ascii="GHEA Grapalat" w:hAnsi="GHEA Grapalat" w:cs="Calibri"/>
                <w:color w:val="A6A6A6"/>
                <w:sz w:val="18"/>
                <w:szCs w:val="18"/>
              </w:rPr>
              <w:t>0.1%</w:t>
            </w:r>
          </w:p>
        </w:tc>
        <w:tc>
          <w:tcPr>
            <w:tcW w:w="478" w:type="pct"/>
            <w:shd w:val="clear" w:color="auto" w:fill="auto"/>
            <w:vAlign w:val="center"/>
          </w:tcPr>
          <w:p w14:paraId="08973781" w14:textId="77777777" w:rsidR="006B15F5" w:rsidRPr="003F2203" w:rsidRDefault="006B15F5" w:rsidP="00147C8B">
            <w:pPr>
              <w:spacing w:before="0" w:after="0" w:line="240" w:lineRule="auto"/>
              <w:jc w:val="center"/>
              <w:rPr>
                <w:color w:val="A6A6A6" w:themeColor="background1" w:themeShade="A6"/>
                <w:sz w:val="18"/>
                <w:szCs w:val="18"/>
              </w:rPr>
            </w:pPr>
            <w:r>
              <w:rPr>
                <w:rFonts w:ascii="GHEA Grapalat" w:hAnsi="GHEA Grapalat" w:cs="Calibri"/>
                <w:color w:val="A6A6A6"/>
                <w:sz w:val="18"/>
                <w:szCs w:val="18"/>
              </w:rPr>
              <w:t>0.0%</w:t>
            </w:r>
          </w:p>
        </w:tc>
      </w:tr>
      <w:tr w:rsidR="006B15F5" w:rsidRPr="00941B19" w14:paraId="05270A54" w14:textId="77777777" w:rsidTr="00147C8B">
        <w:trPr>
          <w:trHeight w:val="360"/>
        </w:trPr>
        <w:tc>
          <w:tcPr>
            <w:tcW w:w="1815" w:type="pct"/>
            <w:shd w:val="clear" w:color="auto" w:fill="auto"/>
            <w:vAlign w:val="center"/>
            <w:hideMark/>
          </w:tcPr>
          <w:p w14:paraId="219B39C8" w14:textId="77777777" w:rsidR="006B15F5" w:rsidRPr="003F2203" w:rsidRDefault="006B15F5" w:rsidP="00147C8B">
            <w:pPr>
              <w:spacing w:before="0" w:after="0" w:line="240" w:lineRule="auto"/>
              <w:ind w:right="495"/>
              <w:rPr>
                <w:color w:val="A6A6A6" w:themeColor="background1" w:themeShade="A6"/>
                <w:sz w:val="18"/>
                <w:szCs w:val="18"/>
              </w:rPr>
            </w:pPr>
            <w:r w:rsidRPr="003F2203">
              <w:rPr>
                <w:color w:val="A6A6A6" w:themeColor="background1" w:themeShade="A6"/>
                <w:sz w:val="18"/>
                <w:szCs w:val="18"/>
              </w:rPr>
              <w:t>Ընդհանուր ծախսերում (%)</w:t>
            </w:r>
          </w:p>
        </w:tc>
        <w:tc>
          <w:tcPr>
            <w:tcW w:w="451" w:type="pct"/>
            <w:shd w:val="clear" w:color="auto" w:fill="auto"/>
            <w:vAlign w:val="center"/>
          </w:tcPr>
          <w:p w14:paraId="5B046986" w14:textId="77777777" w:rsidR="006B15F5" w:rsidRPr="003F2203" w:rsidRDefault="006B15F5" w:rsidP="00147C8B">
            <w:pPr>
              <w:spacing w:before="0" w:after="0" w:line="240" w:lineRule="auto"/>
              <w:jc w:val="center"/>
              <w:rPr>
                <w:color w:val="A6A6A6" w:themeColor="background1" w:themeShade="A6"/>
                <w:sz w:val="18"/>
                <w:szCs w:val="18"/>
              </w:rPr>
            </w:pPr>
            <w:r>
              <w:rPr>
                <w:rFonts w:ascii="GHEA Grapalat" w:hAnsi="GHEA Grapalat" w:cs="Calibri"/>
                <w:color w:val="A6A6A6"/>
                <w:sz w:val="18"/>
                <w:szCs w:val="18"/>
              </w:rPr>
              <w:t>0.5%</w:t>
            </w:r>
          </w:p>
        </w:tc>
        <w:tc>
          <w:tcPr>
            <w:tcW w:w="451" w:type="pct"/>
            <w:shd w:val="clear" w:color="auto" w:fill="auto"/>
            <w:vAlign w:val="center"/>
          </w:tcPr>
          <w:p w14:paraId="5351188A" w14:textId="77777777" w:rsidR="006B15F5" w:rsidRPr="003F2203" w:rsidRDefault="006B15F5" w:rsidP="00147C8B">
            <w:pPr>
              <w:spacing w:before="0" w:after="0" w:line="240" w:lineRule="auto"/>
              <w:jc w:val="center"/>
              <w:rPr>
                <w:color w:val="A6A6A6" w:themeColor="background1" w:themeShade="A6"/>
                <w:sz w:val="18"/>
                <w:szCs w:val="18"/>
              </w:rPr>
            </w:pPr>
            <w:r>
              <w:rPr>
                <w:rFonts w:ascii="GHEA Grapalat" w:hAnsi="GHEA Grapalat" w:cs="Calibri"/>
                <w:color w:val="A6A6A6"/>
                <w:sz w:val="18"/>
                <w:szCs w:val="18"/>
              </w:rPr>
              <w:t>0.3%</w:t>
            </w:r>
          </w:p>
        </w:tc>
        <w:tc>
          <w:tcPr>
            <w:tcW w:w="451" w:type="pct"/>
            <w:shd w:val="clear" w:color="auto" w:fill="auto"/>
            <w:vAlign w:val="center"/>
          </w:tcPr>
          <w:p w14:paraId="69273E52" w14:textId="77777777" w:rsidR="006B15F5" w:rsidRPr="003F2203" w:rsidRDefault="006B15F5" w:rsidP="00147C8B">
            <w:pPr>
              <w:spacing w:before="0" w:after="0" w:line="240" w:lineRule="auto"/>
              <w:jc w:val="center"/>
              <w:rPr>
                <w:color w:val="A6A6A6" w:themeColor="background1" w:themeShade="A6"/>
                <w:sz w:val="18"/>
                <w:szCs w:val="18"/>
              </w:rPr>
            </w:pPr>
            <w:r>
              <w:rPr>
                <w:rFonts w:ascii="GHEA Grapalat" w:hAnsi="GHEA Grapalat" w:cs="Calibri"/>
                <w:color w:val="A6A6A6"/>
                <w:sz w:val="18"/>
                <w:szCs w:val="18"/>
              </w:rPr>
              <w:t>0.3%</w:t>
            </w:r>
          </w:p>
        </w:tc>
        <w:tc>
          <w:tcPr>
            <w:tcW w:w="451" w:type="pct"/>
            <w:shd w:val="clear" w:color="auto" w:fill="auto"/>
            <w:vAlign w:val="center"/>
          </w:tcPr>
          <w:p w14:paraId="218EC7FA" w14:textId="77777777" w:rsidR="006B15F5" w:rsidRPr="003F2203" w:rsidRDefault="006B15F5" w:rsidP="00147C8B">
            <w:pPr>
              <w:spacing w:before="0" w:after="0" w:line="240" w:lineRule="auto"/>
              <w:jc w:val="center"/>
              <w:rPr>
                <w:color w:val="A6A6A6" w:themeColor="background1" w:themeShade="A6"/>
                <w:sz w:val="18"/>
                <w:szCs w:val="18"/>
              </w:rPr>
            </w:pPr>
            <w:r>
              <w:rPr>
                <w:rFonts w:ascii="GHEA Grapalat" w:hAnsi="GHEA Grapalat" w:cs="Calibri"/>
                <w:color w:val="A6A6A6"/>
                <w:sz w:val="18"/>
                <w:szCs w:val="18"/>
              </w:rPr>
              <w:t>0.4%</w:t>
            </w:r>
          </w:p>
        </w:tc>
        <w:tc>
          <w:tcPr>
            <w:tcW w:w="451" w:type="pct"/>
            <w:vAlign w:val="center"/>
          </w:tcPr>
          <w:p w14:paraId="7D9A82C8" w14:textId="77777777" w:rsidR="006B15F5" w:rsidRDefault="006B15F5" w:rsidP="00147C8B">
            <w:pPr>
              <w:spacing w:before="0" w:after="0" w:line="240" w:lineRule="auto"/>
              <w:jc w:val="center"/>
              <w:rPr>
                <w:rFonts w:ascii="GHEA Grapalat" w:hAnsi="GHEA Grapalat" w:cs="Calibri"/>
                <w:color w:val="A6A6A6"/>
                <w:sz w:val="18"/>
                <w:szCs w:val="18"/>
              </w:rPr>
            </w:pPr>
            <w:r>
              <w:rPr>
                <w:rFonts w:ascii="GHEA Grapalat" w:hAnsi="GHEA Grapalat" w:cs="Calibri"/>
                <w:color w:val="A6A6A6"/>
                <w:sz w:val="18"/>
                <w:szCs w:val="18"/>
              </w:rPr>
              <w:t>0.5%</w:t>
            </w:r>
          </w:p>
        </w:tc>
        <w:tc>
          <w:tcPr>
            <w:tcW w:w="451" w:type="pct"/>
            <w:vAlign w:val="center"/>
          </w:tcPr>
          <w:p w14:paraId="2B981F01" w14:textId="77777777" w:rsidR="006B15F5" w:rsidRDefault="006B15F5" w:rsidP="00147C8B">
            <w:pPr>
              <w:spacing w:before="0" w:after="0" w:line="240" w:lineRule="auto"/>
              <w:jc w:val="center"/>
              <w:rPr>
                <w:rFonts w:ascii="GHEA Grapalat" w:hAnsi="GHEA Grapalat" w:cs="Calibri"/>
                <w:color w:val="A6A6A6"/>
                <w:sz w:val="18"/>
                <w:szCs w:val="18"/>
              </w:rPr>
            </w:pPr>
            <w:r>
              <w:rPr>
                <w:rFonts w:ascii="GHEA Grapalat" w:hAnsi="GHEA Grapalat" w:cs="Calibri"/>
                <w:color w:val="A6A6A6"/>
                <w:sz w:val="18"/>
                <w:szCs w:val="18"/>
              </w:rPr>
              <w:t>0.2%</w:t>
            </w:r>
          </w:p>
        </w:tc>
        <w:tc>
          <w:tcPr>
            <w:tcW w:w="478" w:type="pct"/>
            <w:shd w:val="clear" w:color="auto" w:fill="auto"/>
            <w:vAlign w:val="center"/>
          </w:tcPr>
          <w:p w14:paraId="05EA3605" w14:textId="77777777" w:rsidR="006B15F5" w:rsidRPr="003F2203" w:rsidRDefault="006B15F5" w:rsidP="00147C8B">
            <w:pPr>
              <w:spacing w:before="0" w:after="0" w:line="240" w:lineRule="auto"/>
              <w:jc w:val="center"/>
              <w:rPr>
                <w:color w:val="A6A6A6" w:themeColor="background1" w:themeShade="A6"/>
                <w:sz w:val="18"/>
                <w:szCs w:val="18"/>
              </w:rPr>
            </w:pPr>
            <w:r>
              <w:rPr>
                <w:rFonts w:ascii="GHEA Grapalat" w:hAnsi="GHEA Grapalat" w:cs="Calibri"/>
                <w:color w:val="A6A6A6"/>
                <w:sz w:val="18"/>
                <w:szCs w:val="18"/>
              </w:rPr>
              <w:t>0.1%</w:t>
            </w:r>
          </w:p>
        </w:tc>
      </w:tr>
    </w:tbl>
    <w:p w14:paraId="45C3E7F2" w14:textId="77777777" w:rsidR="006B15F5" w:rsidRDefault="006B15F5" w:rsidP="006B15F5">
      <w:pPr>
        <w:pStyle w:val="BodyText1"/>
        <w:ind w:left="0"/>
      </w:pPr>
    </w:p>
    <w:p w14:paraId="4C930997" w14:textId="08B9A2E2" w:rsidR="006B15F5" w:rsidRPr="006B15F5" w:rsidRDefault="006B15F5" w:rsidP="00962879">
      <w:pPr>
        <w:pStyle w:val="BodyText1"/>
        <w:ind w:left="0"/>
      </w:pPr>
      <w:r w:rsidRPr="00C3014C">
        <w:t>Արտաքին</w:t>
      </w:r>
      <w:r>
        <w:t xml:space="preserve"> </w:t>
      </w:r>
      <w:r w:rsidRPr="00C3014C">
        <w:t>աղբյուրներից վարկերի և պաշտոնական դրամաշնորհների տեսքով ստաց</w:t>
      </w:r>
      <w:r w:rsidRPr="00C3014C">
        <w:softHyphen/>
        <w:t>վե</w:t>
      </w:r>
      <w:r w:rsidRPr="00C3014C">
        <w:softHyphen/>
        <w:t>լիք մի</w:t>
      </w:r>
      <w:r w:rsidRPr="00C3014C">
        <w:softHyphen/>
        <w:t>ջոցների հաշվին</w:t>
      </w:r>
      <w:r>
        <w:t xml:space="preserve"> 2026</w:t>
      </w:r>
      <w:r w:rsidRPr="00C3014C">
        <w:t xml:space="preserve"> թվականին </w:t>
      </w:r>
      <w:r w:rsidRPr="009A4462">
        <w:t xml:space="preserve">ֆինանսավորվող ծախսերի տեսակարար կշիռը ծախսերի ամբողջ ծավալում կազմում է </w:t>
      </w:r>
      <w:r>
        <w:t>2.</w:t>
      </w:r>
      <w:r>
        <w:rPr>
          <w:lang w:val="hy-AM"/>
        </w:rPr>
        <w:t>9</w:t>
      </w:r>
      <w:r w:rsidRPr="009A4462">
        <w:t>% և ՀՆԱ-ի նկատ</w:t>
      </w:r>
      <w:r w:rsidRPr="009A4462">
        <w:softHyphen/>
        <w:t xml:space="preserve">մամբ՝ </w:t>
      </w:r>
      <w:r>
        <w:t>0.</w:t>
      </w:r>
      <w:r>
        <w:rPr>
          <w:lang w:val="hy-AM"/>
        </w:rPr>
        <w:t>9</w:t>
      </w:r>
      <w:r>
        <w:t xml:space="preserve">%, 2027 </w:t>
      </w:r>
      <w:r>
        <w:rPr>
          <w:lang w:val="hy-AM"/>
        </w:rPr>
        <w:t>թվականին՝ համապատասխանաբար 2.3</w:t>
      </w:r>
      <w:r w:rsidRPr="003302E5">
        <w:t xml:space="preserve">% </w:t>
      </w:r>
      <w:r>
        <w:rPr>
          <w:lang w:val="hy-AM"/>
        </w:rPr>
        <w:t>և 0.7</w:t>
      </w:r>
      <w:r w:rsidRPr="003302E5">
        <w:t xml:space="preserve">%, </w:t>
      </w:r>
      <w:r>
        <w:rPr>
          <w:lang w:val="ru-RU"/>
        </w:rPr>
        <w:t>իսկ</w:t>
      </w:r>
      <w:r w:rsidRPr="003302E5">
        <w:t xml:space="preserve"> 2028 </w:t>
      </w:r>
      <w:r>
        <w:rPr>
          <w:lang w:val="ru-RU"/>
        </w:rPr>
        <w:t>թվականին՝</w:t>
      </w:r>
      <w:r w:rsidRPr="003302E5">
        <w:t xml:space="preserve"> </w:t>
      </w:r>
      <w:r>
        <w:rPr>
          <w:lang w:val="hy-AM"/>
        </w:rPr>
        <w:t>համապատասխանաբար 2.7</w:t>
      </w:r>
      <w:r w:rsidRPr="003302E5">
        <w:t xml:space="preserve">% </w:t>
      </w:r>
      <w:r>
        <w:rPr>
          <w:lang w:val="hy-AM"/>
        </w:rPr>
        <w:t>և 0.8</w:t>
      </w:r>
      <w:r w:rsidRPr="003302E5">
        <w:t>%:</w:t>
      </w:r>
      <w:bookmarkEnd w:id="390"/>
      <w:bookmarkEnd w:id="391"/>
      <w:bookmarkEnd w:id="392"/>
      <w:bookmarkEnd w:id="393"/>
    </w:p>
    <w:p w14:paraId="560AA447" w14:textId="25A88214" w:rsidR="00E77731" w:rsidRPr="005C01D1" w:rsidRDefault="00C25C64" w:rsidP="00786D09">
      <w:pPr>
        <w:pStyle w:val="TOC4"/>
        <w:outlineLvl w:val="1"/>
        <w:rPr>
          <w:lang w:val="hy-AM"/>
        </w:rPr>
      </w:pPr>
      <w:bookmarkStart w:id="428" w:name="_Toc215157692"/>
      <w:r w:rsidRPr="005C01D1">
        <w:rPr>
          <w:lang w:val="hy-AM"/>
        </w:rPr>
        <w:t>ՂԱՐԱԲԱՂԻՑ ԲՌՆԻ ՏԵՂԱՀԱՆՎԱԾ ԲՆԱԿՉՈՒԹՅԱՆ ՕԺԱՆԴԱԿՈՒԹՅԱՆ ԾՐԱԳՐԵՐ</w:t>
      </w:r>
      <w:bookmarkEnd w:id="394"/>
      <w:bookmarkEnd w:id="428"/>
      <w:r w:rsidRPr="005C01D1">
        <w:rPr>
          <w:lang w:val="hy-AM"/>
        </w:rPr>
        <w:t xml:space="preserve"> </w:t>
      </w:r>
    </w:p>
    <w:p w14:paraId="714D239D" w14:textId="4CD20371" w:rsidR="00E77731" w:rsidRPr="00B35CD3" w:rsidRDefault="00E77731" w:rsidP="00786D09">
      <w:pPr>
        <w:pStyle w:val="BodyText1"/>
        <w:ind w:left="0"/>
        <w:rPr>
          <w:b/>
          <w:lang w:val="hy-AM"/>
        </w:rPr>
      </w:pPr>
      <w:r w:rsidRPr="00B35CD3">
        <w:rPr>
          <w:b/>
          <w:lang w:val="hy-AM"/>
        </w:rPr>
        <w:t>Ղարաբաղից բռնի տեղահանված բնակչության համար</w:t>
      </w:r>
      <w:r w:rsidR="007375AD">
        <w:rPr>
          <w:b/>
          <w:lang w:val="hy-AM"/>
        </w:rPr>
        <w:t xml:space="preserve"> 2026</w:t>
      </w:r>
      <w:r w:rsidRPr="00B35CD3">
        <w:rPr>
          <w:b/>
          <w:lang w:val="hy-AM"/>
        </w:rPr>
        <w:t>թ</w:t>
      </w:r>
      <w:r w:rsidRPr="00B35CD3">
        <w:rPr>
          <w:rFonts w:ascii="Cambria Math" w:hAnsi="Cambria Math" w:cs="Cambria Math"/>
          <w:b/>
          <w:lang w:val="hy-AM"/>
        </w:rPr>
        <w:t>․</w:t>
      </w:r>
      <w:r w:rsidRPr="00B35CD3">
        <w:rPr>
          <w:b/>
          <w:lang w:val="hy-AM"/>
        </w:rPr>
        <w:t xml:space="preserve"> նախատեսվել են տարբեր օժանդակության ծրագրեր, այդ թվում</w:t>
      </w:r>
      <w:r w:rsidRPr="00B35CD3">
        <w:rPr>
          <w:rFonts w:ascii="Cambria Math" w:hAnsi="Cambria Math" w:cs="Cambria Math"/>
          <w:b/>
          <w:lang w:val="hy-AM"/>
        </w:rPr>
        <w:t>․</w:t>
      </w:r>
    </w:p>
    <w:p w14:paraId="375C267C" w14:textId="17D45079" w:rsidR="00E77731" w:rsidRPr="00E77731" w:rsidRDefault="00E77731" w:rsidP="00786D09">
      <w:pPr>
        <w:pStyle w:val="BodytextBullets"/>
        <w:ind w:left="0" w:firstLine="0"/>
        <w:rPr>
          <w:lang w:val="hy-AM"/>
        </w:rPr>
      </w:pPr>
      <w:r w:rsidRPr="00E77731">
        <w:rPr>
          <w:lang w:val="hy-AM"/>
        </w:rPr>
        <w:t>Կրթության ոլորտի գծով՝</w:t>
      </w:r>
      <w:r w:rsidR="00E65CBA">
        <w:rPr>
          <w:lang w:val="hy-AM"/>
        </w:rPr>
        <w:t xml:space="preserve"> </w:t>
      </w:r>
      <w:r w:rsidR="005C01D1" w:rsidRPr="005C01D1">
        <w:rPr>
          <w:lang w:val="hy-AM"/>
        </w:rPr>
        <w:t>1,228.1</w:t>
      </w:r>
      <w:r w:rsidRPr="005C01D1">
        <w:rPr>
          <w:lang w:val="hy-AM"/>
        </w:rPr>
        <w:t xml:space="preserve"> մլն դրամի չափով, որից՝ </w:t>
      </w:r>
      <w:r w:rsidR="005C01D1" w:rsidRPr="005C01D1">
        <w:rPr>
          <w:lang w:val="hy-AM"/>
        </w:rPr>
        <w:t>1,025.3</w:t>
      </w:r>
      <w:r w:rsidRPr="005C01D1">
        <w:rPr>
          <w:lang w:val="hy-AM"/>
        </w:rPr>
        <w:t xml:space="preserve"> մլն</w:t>
      </w:r>
      <w:r w:rsidRPr="00E77731">
        <w:rPr>
          <w:lang w:val="hy-AM"/>
        </w:rPr>
        <w:t xml:space="preserve"> դրամը՝ ՀՀ-ում կրթություն ստացող ուսանողների ուսման վարձի փոխհատուցման նպատակով</w:t>
      </w:r>
      <w:r w:rsidRPr="005C01D1">
        <w:rPr>
          <w:lang w:val="hy-AM"/>
        </w:rPr>
        <w:t>, 202.8</w:t>
      </w:r>
      <w:r w:rsidRPr="00E77731">
        <w:rPr>
          <w:lang w:val="hy-AM"/>
        </w:rPr>
        <w:t xml:space="preserve"> մլն դրամը՝ ուսուցիչների օժանդակության ծրագրի գծով: </w:t>
      </w:r>
    </w:p>
    <w:p w14:paraId="653D44FA" w14:textId="17425A94" w:rsidR="00E77731" w:rsidRPr="00E77731" w:rsidRDefault="00E77731" w:rsidP="00786D09">
      <w:pPr>
        <w:pStyle w:val="BodytextBullets"/>
        <w:ind w:left="0" w:firstLine="0"/>
        <w:rPr>
          <w:lang w:val="hy-AM"/>
        </w:rPr>
      </w:pPr>
      <w:r w:rsidRPr="00E77731">
        <w:rPr>
          <w:lang w:val="hy-AM"/>
        </w:rPr>
        <w:t xml:space="preserve">Աշխատանքի և սոցիալական պաշտպանության ոլորտի գծով՝ </w:t>
      </w:r>
      <w:r w:rsidR="005C01D1" w:rsidRPr="005C01D1">
        <w:rPr>
          <w:lang w:val="hy-AM"/>
        </w:rPr>
        <w:t>62,686.</w:t>
      </w:r>
      <w:r w:rsidR="005C01D1">
        <w:rPr>
          <w:lang w:val="hy-AM"/>
        </w:rPr>
        <w:t>6</w:t>
      </w:r>
      <w:r w:rsidRPr="00E77731">
        <w:rPr>
          <w:lang w:val="hy-AM"/>
        </w:rPr>
        <w:t xml:space="preserve"> մլն դրամի չափով, այդ թվում.</w:t>
      </w:r>
    </w:p>
    <w:p w14:paraId="7A8C142B" w14:textId="5D68B03F" w:rsidR="00E77731" w:rsidRPr="00E77731" w:rsidRDefault="00E77731" w:rsidP="00786D09">
      <w:pPr>
        <w:pStyle w:val="BodytextBullets"/>
        <w:ind w:left="0" w:firstLine="0"/>
        <w:rPr>
          <w:lang w:val="hy-AM"/>
        </w:rPr>
      </w:pPr>
      <w:r w:rsidRPr="00E77731">
        <w:rPr>
          <w:lang w:val="hy-AM"/>
        </w:rPr>
        <w:t xml:space="preserve">Ղարաբաղից </w:t>
      </w:r>
      <w:r w:rsidR="005B6598">
        <w:rPr>
          <w:lang w:val="hy-AM"/>
        </w:rPr>
        <w:t xml:space="preserve">բռնի </w:t>
      </w:r>
      <w:r w:rsidRPr="00E77731">
        <w:rPr>
          <w:lang w:val="hy-AM"/>
        </w:rPr>
        <w:t xml:space="preserve">տեղահանվածներին </w:t>
      </w:r>
      <w:r w:rsidR="00202938">
        <w:rPr>
          <w:lang w:val="hy-AM"/>
        </w:rPr>
        <w:t xml:space="preserve">կեցության ծախսերի </w:t>
      </w:r>
      <w:r w:rsidRPr="00E77731">
        <w:rPr>
          <w:lang w:val="hy-AM"/>
        </w:rPr>
        <w:t xml:space="preserve">գծով </w:t>
      </w:r>
      <w:r w:rsidRPr="005C01D1">
        <w:rPr>
          <w:lang w:val="hy-AM"/>
        </w:rPr>
        <w:t xml:space="preserve">- </w:t>
      </w:r>
      <w:r w:rsidR="005C01D1" w:rsidRPr="005C01D1">
        <w:rPr>
          <w:lang w:val="hy-AM"/>
        </w:rPr>
        <w:t>5</w:t>
      </w:r>
      <w:r w:rsidRPr="005C01D1">
        <w:rPr>
          <w:lang w:val="hy-AM"/>
        </w:rPr>
        <w:t>5,000</w:t>
      </w:r>
      <w:r w:rsidRPr="005C01D1">
        <w:rPr>
          <w:rFonts w:ascii="Cambria Math" w:hAnsi="Cambria Math" w:cs="Cambria Math"/>
          <w:lang w:val="hy-AM"/>
        </w:rPr>
        <w:t>․</w:t>
      </w:r>
      <w:r w:rsidRPr="005C01D1">
        <w:rPr>
          <w:lang w:val="hy-AM"/>
        </w:rPr>
        <w:t>0</w:t>
      </w:r>
      <w:r w:rsidRPr="00E77731">
        <w:rPr>
          <w:lang w:val="hy-AM"/>
        </w:rPr>
        <w:t xml:space="preserve"> մլն դրամ,</w:t>
      </w:r>
    </w:p>
    <w:p w14:paraId="6AEE9E4B" w14:textId="6BCF4613" w:rsidR="00E77731" w:rsidRPr="00E77731" w:rsidRDefault="00E77731" w:rsidP="00786D09">
      <w:pPr>
        <w:pStyle w:val="BodytextBullets"/>
        <w:ind w:left="0" w:firstLine="0"/>
        <w:rPr>
          <w:lang w:val="hy-AM"/>
        </w:rPr>
      </w:pPr>
      <w:r w:rsidRPr="00E77731">
        <w:rPr>
          <w:lang w:val="hy-AM"/>
        </w:rPr>
        <w:t>Ղարաբաղի առանձին շրջաններից բռնի տեղահանված ընտանիքների համար բնակարանային մատչելիության ապահովման պետական աջակցության տրամադր</w:t>
      </w:r>
      <w:r w:rsidR="00202938">
        <w:rPr>
          <w:lang w:val="hy-AM"/>
        </w:rPr>
        <w:t>ման</w:t>
      </w:r>
      <w:r w:rsidRPr="00E77731">
        <w:rPr>
          <w:lang w:val="hy-AM"/>
        </w:rPr>
        <w:t xml:space="preserve"> գծով - </w:t>
      </w:r>
      <w:r w:rsidR="005C01D1" w:rsidRPr="005C01D1">
        <w:rPr>
          <w:lang w:val="hy-AM"/>
        </w:rPr>
        <w:t>7,686.6</w:t>
      </w:r>
      <w:r w:rsidRPr="00E77731">
        <w:rPr>
          <w:lang w:val="hy-AM"/>
        </w:rPr>
        <w:t xml:space="preserve"> մլն դրամ։</w:t>
      </w:r>
    </w:p>
    <w:p w14:paraId="5F3B9A02" w14:textId="526C7CD7" w:rsidR="00E77731" w:rsidRPr="00E77731" w:rsidRDefault="00E77731" w:rsidP="00786D09">
      <w:pPr>
        <w:pStyle w:val="BodytextBullets"/>
        <w:ind w:left="0" w:firstLine="0"/>
        <w:rPr>
          <w:lang w:val="hy-AM"/>
        </w:rPr>
      </w:pPr>
      <w:r w:rsidRPr="00E77731">
        <w:rPr>
          <w:lang w:val="hy-AM"/>
        </w:rPr>
        <w:t>Ղարաբաղից բռնի տեղահանվածները ընդգրկված են նաև «Կենսաթոշակային ապահովություն», «Ժողովրդագրական վիճակի բարելավում», «Սոցիալական աջակցություն անաշխատունակության դեպքում», «Անապահով սոցիալական խմբերին աջակցություն», «Զբաղվածության» ծրագրերում և սոցիալական ոլորտի մի շարք այլ միջոցառումներում</w:t>
      </w:r>
      <w:r w:rsidR="00C25C64">
        <w:rPr>
          <w:lang w:val="hy-AM"/>
        </w:rPr>
        <w:t>:</w:t>
      </w:r>
    </w:p>
    <w:p w14:paraId="0C9014D3" w14:textId="141AB40E" w:rsidR="00E77731" w:rsidRPr="00E77731" w:rsidRDefault="00E77731" w:rsidP="00786D09">
      <w:pPr>
        <w:pStyle w:val="TOC4"/>
        <w:outlineLvl w:val="1"/>
        <w:rPr>
          <w:lang w:val="hy-AM"/>
        </w:rPr>
      </w:pPr>
      <w:bookmarkStart w:id="429" w:name="_Toc178356590"/>
      <w:bookmarkStart w:id="430" w:name="_Toc215157693"/>
      <w:r w:rsidRPr="00B0585E">
        <w:rPr>
          <w:lang w:val="hy-AM"/>
        </w:rPr>
        <w:t>ՀՀ</w:t>
      </w:r>
      <w:r w:rsidR="007375AD" w:rsidRPr="00B0585E">
        <w:rPr>
          <w:lang w:val="hy-AM"/>
        </w:rPr>
        <w:t xml:space="preserve"> 2026</w:t>
      </w:r>
      <w:r w:rsidRPr="00B0585E">
        <w:rPr>
          <w:lang w:val="hy-AM"/>
        </w:rPr>
        <w:t xml:space="preserve"> ԹՎԱԿԱՆԻ ՊԵՏԱԿԱՆ ԲՅՈՒՋԵԻՑ ՀԱՄԱՅՆՔՆԵՐԻՆ ՏՐՎՈՂ ՀԱՏԿԱՑՈՒՄՆԵՐԸ</w:t>
      </w:r>
      <w:bookmarkEnd w:id="429"/>
      <w:bookmarkEnd w:id="430"/>
    </w:p>
    <w:p w14:paraId="0DEAA23B" w14:textId="77777777" w:rsidR="00B0585E" w:rsidRPr="00775044" w:rsidRDefault="00B0585E" w:rsidP="00786D09">
      <w:pPr>
        <w:pStyle w:val="BodyText1"/>
        <w:ind w:left="0"/>
        <w:rPr>
          <w:lang w:val="af-ZA"/>
        </w:rPr>
      </w:pPr>
      <w:bookmarkStart w:id="431" w:name="_Toc57631763"/>
      <w:bookmarkStart w:id="432" w:name="_Toc178350626"/>
      <w:bookmarkStart w:id="433" w:name="_Toc178612151"/>
      <w:bookmarkStart w:id="434" w:name="_Toc184110777"/>
      <w:r w:rsidRPr="00E77731">
        <w:rPr>
          <w:lang w:val="hy-AM"/>
        </w:rPr>
        <w:t>202</w:t>
      </w:r>
      <w:r w:rsidRPr="005515AC">
        <w:rPr>
          <w:lang w:val="hy-AM"/>
        </w:rPr>
        <w:t>6</w:t>
      </w:r>
      <w:r w:rsidRPr="00E77731">
        <w:rPr>
          <w:lang w:val="hy-AM"/>
        </w:rPr>
        <w:t xml:space="preserve"> թվականի պետական </w:t>
      </w:r>
      <w:r w:rsidRPr="00775044">
        <w:rPr>
          <w:lang w:val="hy-AM"/>
        </w:rPr>
        <w:t xml:space="preserve">բյուջեից նախատեսվում է տրամադրել հատկացումներ ՀՀ համայնքներին, որը կազմել է շուրջ 176.4 մլրդ դրամ (2025 թվականին այն կազմել է՝ շուրջ 171.4 մլրդ դրամ) կամ ընդհանուր բյուջետային ծախսերի 4.9 և ՀՆԱ-ի 1.5 տոկոսը: </w:t>
      </w:r>
    </w:p>
    <w:p w14:paraId="7D5E75B1" w14:textId="77777777" w:rsidR="00B0585E" w:rsidRPr="00775044" w:rsidRDefault="00B0585E" w:rsidP="00786D09">
      <w:pPr>
        <w:pStyle w:val="BodyText1"/>
        <w:ind w:left="0"/>
        <w:rPr>
          <w:lang w:val="hy-AM"/>
        </w:rPr>
      </w:pPr>
      <w:r w:rsidRPr="00775044">
        <w:t>Համայնքների</w:t>
      </w:r>
      <w:r w:rsidRPr="00775044">
        <w:rPr>
          <w:lang w:val="af-ZA"/>
        </w:rPr>
        <w:t xml:space="preserve"> </w:t>
      </w:r>
      <w:r w:rsidRPr="00775044">
        <w:t>բյուջեներին</w:t>
      </w:r>
      <w:r w:rsidRPr="00775044">
        <w:rPr>
          <w:lang w:val="af-ZA"/>
        </w:rPr>
        <w:t xml:space="preserve"> </w:t>
      </w:r>
      <w:r w:rsidRPr="00775044">
        <w:t>ֆինանսական</w:t>
      </w:r>
      <w:r w:rsidRPr="00775044">
        <w:rPr>
          <w:lang w:val="af-ZA"/>
        </w:rPr>
        <w:t xml:space="preserve"> </w:t>
      </w:r>
      <w:r w:rsidRPr="00775044">
        <w:t>համահարթեցման</w:t>
      </w:r>
      <w:r w:rsidRPr="00775044">
        <w:rPr>
          <w:lang w:val="af-ZA"/>
        </w:rPr>
        <w:t xml:space="preserve"> </w:t>
      </w:r>
      <w:r w:rsidRPr="00775044">
        <w:t>սկզբունքով</w:t>
      </w:r>
      <w:r w:rsidRPr="00775044">
        <w:rPr>
          <w:lang w:val="af-ZA"/>
        </w:rPr>
        <w:t xml:space="preserve"> </w:t>
      </w:r>
      <w:r w:rsidRPr="00775044">
        <w:t>դոտացիաների</w:t>
      </w:r>
      <w:r w:rsidRPr="00775044">
        <w:rPr>
          <w:lang w:val="af-ZA"/>
        </w:rPr>
        <w:t xml:space="preserve"> </w:t>
      </w:r>
      <w:r w:rsidRPr="00775044">
        <w:t>տրամադրման</w:t>
      </w:r>
      <w:r w:rsidRPr="00775044">
        <w:rPr>
          <w:lang w:val="af-ZA"/>
        </w:rPr>
        <w:t xml:space="preserve"> </w:t>
      </w:r>
      <w:r w:rsidRPr="00775044">
        <w:t>նպատակով</w:t>
      </w:r>
      <w:r w:rsidRPr="00775044">
        <w:rPr>
          <w:lang w:val="af-ZA"/>
        </w:rPr>
        <w:t xml:space="preserve"> 2026 </w:t>
      </w:r>
      <w:r w:rsidRPr="00775044">
        <w:t>թվականին</w:t>
      </w:r>
      <w:r w:rsidRPr="00775044">
        <w:rPr>
          <w:lang w:val="af-ZA"/>
        </w:rPr>
        <w:t xml:space="preserve"> </w:t>
      </w:r>
      <w:r w:rsidRPr="00775044">
        <w:t>նախատեսվում</w:t>
      </w:r>
      <w:r w:rsidRPr="00775044">
        <w:rPr>
          <w:lang w:val="af-ZA"/>
        </w:rPr>
        <w:t xml:space="preserve"> </w:t>
      </w:r>
      <w:r w:rsidRPr="00775044">
        <w:t>է</w:t>
      </w:r>
      <w:r w:rsidRPr="00775044">
        <w:rPr>
          <w:lang w:val="af-ZA"/>
        </w:rPr>
        <w:t xml:space="preserve"> </w:t>
      </w:r>
      <w:r w:rsidRPr="00775044">
        <w:t>տրամադրել</w:t>
      </w:r>
      <w:r w:rsidRPr="00775044">
        <w:rPr>
          <w:lang w:val="af-ZA"/>
        </w:rPr>
        <w:t xml:space="preserve"> </w:t>
      </w:r>
      <w:r w:rsidRPr="00775044">
        <w:t>շուրջ</w:t>
      </w:r>
      <w:r w:rsidRPr="00775044">
        <w:rPr>
          <w:lang w:val="af-ZA"/>
        </w:rPr>
        <w:t xml:space="preserve"> 107.9 </w:t>
      </w:r>
      <w:r w:rsidRPr="00775044">
        <w:t>մլրդ</w:t>
      </w:r>
      <w:r w:rsidRPr="00775044">
        <w:rPr>
          <w:lang w:val="af-ZA"/>
        </w:rPr>
        <w:t xml:space="preserve"> </w:t>
      </w:r>
      <w:r w:rsidRPr="00775044">
        <w:t>դրամ</w:t>
      </w:r>
      <w:r w:rsidRPr="00775044">
        <w:rPr>
          <w:lang w:val="af-ZA"/>
        </w:rPr>
        <w:t xml:space="preserve"> </w:t>
      </w:r>
      <w:r w:rsidRPr="00775044">
        <w:t>կամ</w:t>
      </w:r>
      <w:r w:rsidRPr="00775044">
        <w:rPr>
          <w:lang w:val="af-ZA"/>
        </w:rPr>
        <w:t xml:space="preserve"> </w:t>
      </w:r>
      <w:r w:rsidRPr="00775044">
        <w:t>ընդհանուր</w:t>
      </w:r>
      <w:r w:rsidRPr="00775044">
        <w:rPr>
          <w:lang w:val="af-ZA"/>
        </w:rPr>
        <w:t xml:space="preserve"> </w:t>
      </w:r>
      <w:r w:rsidRPr="00775044">
        <w:t>բյուջետային</w:t>
      </w:r>
      <w:r w:rsidRPr="00775044">
        <w:rPr>
          <w:lang w:val="af-ZA"/>
        </w:rPr>
        <w:t xml:space="preserve"> </w:t>
      </w:r>
      <w:r w:rsidRPr="00775044">
        <w:t>ծախսերի</w:t>
      </w:r>
      <w:r w:rsidRPr="00775044">
        <w:rPr>
          <w:lang w:val="af-ZA"/>
        </w:rPr>
        <w:t xml:space="preserve"> 3.0 </w:t>
      </w:r>
      <w:r w:rsidRPr="00775044">
        <w:t>և</w:t>
      </w:r>
      <w:r w:rsidRPr="00775044">
        <w:rPr>
          <w:lang w:val="af-ZA"/>
        </w:rPr>
        <w:t xml:space="preserve"> </w:t>
      </w:r>
      <w:r w:rsidRPr="00775044">
        <w:t>ՀՆԱ</w:t>
      </w:r>
      <w:r w:rsidRPr="00775044">
        <w:rPr>
          <w:lang w:val="af-ZA"/>
        </w:rPr>
        <w:t>-</w:t>
      </w:r>
      <w:r w:rsidRPr="00775044">
        <w:t>ի</w:t>
      </w:r>
      <w:r w:rsidRPr="00775044">
        <w:rPr>
          <w:lang w:val="af-ZA"/>
        </w:rPr>
        <w:t xml:space="preserve"> 0.9 </w:t>
      </w:r>
      <w:r w:rsidRPr="00775044">
        <w:t>տոկոսը</w:t>
      </w:r>
      <w:r w:rsidRPr="00775044">
        <w:rPr>
          <w:lang w:val="af-ZA"/>
        </w:rPr>
        <w:t xml:space="preserve">: </w:t>
      </w:r>
    </w:p>
    <w:p w14:paraId="2BD5F359" w14:textId="77777777" w:rsidR="00B0585E" w:rsidRPr="00775044" w:rsidRDefault="00B0585E" w:rsidP="00786D09">
      <w:pPr>
        <w:pStyle w:val="BodyText1"/>
        <w:ind w:left="0"/>
        <w:rPr>
          <w:lang w:val="hy-AM"/>
        </w:rPr>
      </w:pPr>
      <w:r w:rsidRPr="00775044">
        <w:rPr>
          <w:lang w:val="hy-AM"/>
        </w:rPr>
        <w:t xml:space="preserve">2026 թվականի պետական բյուջեից նախատեսվում է համայնքներին տրամադրել սուբվենցիաներ՝  շուրջ 23.3 մլրդ կամ ընդհանուր բյուջետային ծախսերի 0.6 և ՀՆԱ-ի 0.2 տոկոսը: </w:t>
      </w:r>
    </w:p>
    <w:p w14:paraId="49E57479" w14:textId="77777777" w:rsidR="00B0585E" w:rsidRDefault="00B0585E" w:rsidP="00786D09">
      <w:pPr>
        <w:pStyle w:val="BodyText1"/>
        <w:ind w:left="0"/>
        <w:rPr>
          <w:b/>
          <w:lang w:val="hy-AM"/>
        </w:rPr>
      </w:pPr>
      <w:r w:rsidRPr="00775044">
        <w:rPr>
          <w:lang w:val="hy-AM"/>
        </w:rPr>
        <w:t>Պատվիրակված լիազորությունների ֆինանսավորման գծով համայնքներին 2026 թվականի պետական բյուջեից նախատեսվում է տրամադրել՝ շուրջ 45.0 մլրդ կամ ընդհանուր բյուջետային ծախսերի 1.2 և ՀՆԱ-ի 0.4 տոկոսը:</w:t>
      </w:r>
      <w:r>
        <w:rPr>
          <w:lang w:val="hy-AM"/>
        </w:rPr>
        <w:t xml:space="preserve">  </w:t>
      </w:r>
    </w:p>
    <w:p w14:paraId="30621DEC" w14:textId="36A3A445" w:rsidR="00E77731" w:rsidRPr="00C3014C" w:rsidRDefault="00E77731" w:rsidP="00786D09">
      <w:pPr>
        <w:pStyle w:val="a"/>
        <w:rPr>
          <w:lang w:val="af-ZA"/>
        </w:rPr>
      </w:pPr>
      <w:r w:rsidRPr="00E77731">
        <w:t>Աղյուսակ</w:t>
      </w:r>
      <w:r w:rsidR="001153F2">
        <w:t xml:space="preserve"> 17</w:t>
      </w:r>
      <w:r w:rsidRPr="00E77731">
        <w:t>.  ՀՀ պետական բյուջեից ՀՀ համայնքների բյուջեներին տրվող հատկացումները</w:t>
      </w:r>
      <w:bookmarkEnd w:id="431"/>
      <w:r w:rsidRPr="00E77731">
        <w:t>, մլրդ դրամ</w:t>
      </w:r>
      <w:bookmarkEnd w:id="432"/>
      <w:bookmarkEnd w:id="433"/>
      <w:bookmarkEnd w:id="434"/>
    </w:p>
    <w:tbl>
      <w:tblPr>
        <w:tblW w:w="9720" w:type="dxa"/>
        <w:tblBorders>
          <w:top w:val="single" w:sz="8" w:space="0" w:color="E1E1E3" w:themeColor="accent3" w:themeTint="33"/>
          <w:left w:val="single" w:sz="8" w:space="0" w:color="E1E1E3" w:themeColor="accent3" w:themeTint="33"/>
          <w:bottom w:val="single" w:sz="8" w:space="0" w:color="E1E1E3" w:themeColor="accent3" w:themeTint="33"/>
          <w:right w:val="single" w:sz="8" w:space="0" w:color="E1E1E3" w:themeColor="accent3" w:themeTint="33"/>
          <w:insideH w:val="single" w:sz="8" w:space="0" w:color="E1E1E3" w:themeColor="accent3" w:themeTint="33"/>
          <w:insideV w:val="single" w:sz="8" w:space="0" w:color="E1E1E3" w:themeColor="accent3" w:themeTint="33"/>
        </w:tblBorders>
        <w:tblLayout w:type="fixed"/>
        <w:tblLook w:val="04A0" w:firstRow="1" w:lastRow="0" w:firstColumn="1" w:lastColumn="0" w:noHBand="0" w:noVBand="1"/>
      </w:tblPr>
      <w:tblGrid>
        <w:gridCol w:w="4320"/>
        <w:gridCol w:w="1080"/>
        <w:gridCol w:w="1080"/>
        <w:gridCol w:w="1070"/>
        <w:gridCol w:w="10"/>
        <w:gridCol w:w="1070"/>
        <w:gridCol w:w="10"/>
        <w:gridCol w:w="1070"/>
        <w:gridCol w:w="10"/>
      </w:tblGrid>
      <w:tr w:rsidR="007375AD" w:rsidRPr="003F2203" w14:paraId="2B05F7BA" w14:textId="77777777" w:rsidTr="00E339D8">
        <w:trPr>
          <w:gridAfter w:val="1"/>
          <w:wAfter w:w="10" w:type="dxa"/>
          <w:trHeight w:val="317"/>
        </w:trPr>
        <w:tc>
          <w:tcPr>
            <w:tcW w:w="4320" w:type="dxa"/>
            <w:vMerge w:val="restart"/>
            <w:shd w:val="clear" w:color="auto" w:fill="D5DCE4" w:themeFill="text2" w:themeFillTint="33"/>
            <w:noWrap/>
            <w:hideMark/>
          </w:tcPr>
          <w:p w14:paraId="3F22B6B0" w14:textId="77777777" w:rsidR="007375AD" w:rsidRPr="003F2203" w:rsidRDefault="007375AD" w:rsidP="00786D09">
            <w:pPr>
              <w:spacing w:before="0" w:after="0" w:line="240" w:lineRule="auto"/>
              <w:jc w:val="both"/>
              <w:rPr>
                <w:b/>
                <w:sz w:val="18"/>
                <w:szCs w:val="18"/>
                <w:lang w:val="hy-AM"/>
              </w:rPr>
            </w:pPr>
            <w:r w:rsidRPr="003F2203">
              <w:rPr>
                <w:b/>
                <w:sz w:val="18"/>
                <w:szCs w:val="18"/>
                <w:lang w:val="hy-AM"/>
              </w:rPr>
              <w:tab/>
            </w:r>
            <w:r w:rsidRPr="003F2203">
              <w:rPr>
                <w:rFonts w:ascii="Calibri" w:hAnsi="Calibri" w:cs="Calibri"/>
                <w:b/>
                <w:sz w:val="18"/>
                <w:szCs w:val="18"/>
                <w:lang w:val="hy-AM"/>
              </w:rPr>
              <w:t> </w:t>
            </w:r>
          </w:p>
          <w:p w14:paraId="31C74126" w14:textId="77777777" w:rsidR="007375AD" w:rsidRPr="003F2203" w:rsidRDefault="007375AD" w:rsidP="00786D09">
            <w:pPr>
              <w:spacing w:before="0" w:after="0" w:line="240" w:lineRule="auto"/>
              <w:jc w:val="both"/>
              <w:rPr>
                <w:b/>
                <w:sz w:val="18"/>
                <w:szCs w:val="18"/>
              </w:rPr>
            </w:pPr>
            <w:r w:rsidRPr="003F2203">
              <w:rPr>
                <w:b/>
                <w:sz w:val="18"/>
                <w:szCs w:val="18"/>
              </w:rPr>
              <w:t>Ցուցանիշներ</w:t>
            </w:r>
          </w:p>
        </w:tc>
        <w:tc>
          <w:tcPr>
            <w:tcW w:w="3230" w:type="dxa"/>
            <w:gridSpan w:val="3"/>
            <w:shd w:val="clear" w:color="auto" w:fill="D5DCE4" w:themeFill="text2" w:themeFillTint="33"/>
            <w:vAlign w:val="center"/>
            <w:hideMark/>
          </w:tcPr>
          <w:p w14:paraId="441B2605" w14:textId="6567EFF6" w:rsidR="007375AD" w:rsidRPr="003F2203" w:rsidRDefault="007375AD" w:rsidP="00786D09">
            <w:pPr>
              <w:spacing w:before="0" w:after="0" w:line="240" w:lineRule="auto"/>
              <w:jc w:val="center"/>
              <w:rPr>
                <w:b/>
                <w:sz w:val="18"/>
                <w:szCs w:val="18"/>
              </w:rPr>
            </w:pPr>
            <w:r w:rsidRPr="00941B19">
              <w:rPr>
                <w:b/>
                <w:sz w:val="18"/>
                <w:szCs w:val="18"/>
              </w:rPr>
              <w:t>Փաստ</w:t>
            </w:r>
          </w:p>
        </w:tc>
        <w:tc>
          <w:tcPr>
            <w:tcW w:w="1080" w:type="dxa"/>
            <w:gridSpan w:val="2"/>
            <w:shd w:val="clear" w:color="auto" w:fill="D5DCE4" w:themeFill="text2" w:themeFillTint="33"/>
            <w:vAlign w:val="center"/>
            <w:hideMark/>
          </w:tcPr>
          <w:p w14:paraId="608E7823" w14:textId="0A8C6BB6" w:rsidR="007375AD" w:rsidRPr="003F2203" w:rsidRDefault="007375AD" w:rsidP="00786D09">
            <w:pPr>
              <w:spacing w:before="0" w:after="0" w:line="240" w:lineRule="auto"/>
              <w:jc w:val="center"/>
              <w:rPr>
                <w:b/>
                <w:sz w:val="18"/>
                <w:szCs w:val="18"/>
              </w:rPr>
            </w:pPr>
            <w:r w:rsidRPr="00941B19">
              <w:rPr>
                <w:b/>
                <w:sz w:val="18"/>
                <w:szCs w:val="18"/>
              </w:rPr>
              <w:t>Բյուջե</w:t>
            </w:r>
          </w:p>
        </w:tc>
        <w:tc>
          <w:tcPr>
            <w:tcW w:w="1080" w:type="dxa"/>
            <w:gridSpan w:val="2"/>
            <w:shd w:val="clear" w:color="auto" w:fill="D5DCE4" w:themeFill="text2" w:themeFillTint="33"/>
            <w:vAlign w:val="center"/>
            <w:hideMark/>
          </w:tcPr>
          <w:p w14:paraId="54A3CD40" w14:textId="301A6E2D" w:rsidR="007375AD" w:rsidRPr="003F2203" w:rsidRDefault="007375AD" w:rsidP="00786D09">
            <w:pPr>
              <w:spacing w:before="0" w:after="0" w:line="240" w:lineRule="auto"/>
              <w:jc w:val="center"/>
              <w:rPr>
                <w:b/>
                <w:sz w:val="18"/>
                <w:szCs w:val="18"/>
              </w:rPr>
            </w:pPr>
            <w:r>
              <w:rPr>
                <w:b/>
                <w:sz w:val="18"/>
                <w:szCs w:val="18"/>
                <w:lang w:val="hy-AM"/>
              </w:rPr>
              <w:t>Ծ</w:t>
            </w:r>
            <w:r w:rsidRPr="00941B19">
              <w:rPr>
                <w:b/>
                <w:sz w:val="18"/>
                <w:szCs w:val="18"/>
              </w:rPr>
              <w:t>րագիր</w:t>
            </w:r>
          </w:p>
        </w:tc>
      </w:tr>
      <w:tr w:rsidR="007375AD" w:rsidRPr="003F2203" w14:paraId="52E70AC7" w14:textId="77777777" w:rsidTr="00E339D8">
        <w:trPr>
          <w:trHeight w:val="317"/>
        </w:trPr>
        <w:tc>
          <w:tcPr>
            <w:tcW w:w="4320" w:type="dxa"/>
            <w:vMerge/>
            <w:shd w:val="clear" w:color="auto" w:fill="D5DCE4" w:themeFill="text2" w:themeFillTint="33"/>
            <w:vAlign w:val="center"/>
            <w:hideMark/>
          </w:tcPr>
          <w:p w14:paraId="1EFD6E7E" w14:textId="77777777" w:rsidR="007375AD" w:rsidRPr="003F2203" w:rsidRDefault="007375AD" w:rsidP="00786D09">
            <w:pPr>
              <w:spacing w:before="0" w:after="0" w:line="240" w:lineRule="auto"/>
              <w:jc w:val="both"/>
              <w:rPr>
                <w:b/>
                <w:sz w:val="18"/>
                <w:szCs w:val="18"/>
                <w:lang w:val="hy-AM" w:eastAsia="ru-RU"/>
              </w:rPr>
            </w:pPr>
          </w:p>
        </w:tc>
        <w:tc>
          <w:tcPr>
            <w:tcW w:w="1080" w:type="dxa"/>
            <w:shd w:val="clear" w:color="auto" w:fill="D5DCE4" w:themeFill="text2" w:themeFillTint="33"/>
            <w:vAlign w:val="center"/>
            <w:hideMark/>
          </w:tcPr>
          <w:p w14:paraId="7B849C08" w14:textId="3D55664D" w:rsidR="007375AD" w:rsidRPr="003F2203" w:rsidRDefault="007375AD" w:rsidP="00786D09">
            <w:pPr>
              <w:spacing w:before="0" w:after="0" w:line="240" w:lineRule="auto"/>
              <w:jc w:val="center"/>
              <w:rPr>
                <w:b/>
                <w:sz w:val="18"/>
                <w:szCs w:val="18"/>
              </w:rPr>
            </w:pPr>
            <w:r>
              <w:rPr>
                <w:b/>
                <w:sz w:val="18"/>
                <w:szCs w:val="18"/>
              </w:rPr>
              <w:t>2022</w:t>
            </w:r>
          </w:p>
        </w:tc>
        <w:tc>
          <w:tcPr>
            <w:tcW w:w="1080" w:type="dxa"/>
            <w:shd w:val="clear" w:color="auto" w:fill="D5DCE4" w:themeFill="text2" w:themeFillTint="33"/>
            <w:vAlign w:val="center"/>
            <w:hideMark/>
          </w:tcPr>
          <w:p w14:paraId="2962CAF4" w14:textId="652E3EF9" w:rsidR="007375AD" w:rsidRPr="003F2203" w:rsidRDefault="007375AD" w:rsidP="00786D09">
            <w:pPr>
              <w:spacing w:before="0" w:after="0" w:line="240" w:lineRule="auto"/>
              <w:jc w:val="center"/>
              <w:rPr>
                <w:b/>
                <w:sz w:val="18"/>
                <w:szCs w:val="18"/>
              </w:rPr>
            </w:pPr>
            <w:r>
              <w:rPr>
                <w:b/>
                <w:sz w:val="18"/>
                <w:szCs w:val="18"/>
              </w:rPr>
              <w:t>2023</w:t>
            </w:r>
          </w:p>
        </w:tc>
        <w:tc>
          <w:tcPr>
            <w:tcW w:w="1080" w:type="dxa"/>
            <w:gridSpan w:val="2"/>
            <w:shd w:val="clear" w:color="auto" w:fill="D5DCE4" w:themeFill="text2" w:themeFillTint="33"/>
            <w:vAlign w:val="center"/>
            <w:hideMark/>
          </w:tcPr>
          <w:p w14:paraId="4E10C9C8" w14:textId="53F6A53A" w:rsidR="007375AD" w:rsidRPr="003F2203" w:rsidRDefault="007375AD" w:rsidP="00786D09">
            <w:pPr>
              <w:spacing w:before="0" w:after="0" w:line="240" w:lineRule="auto"/>
              <w:jc w:val="center"/>
              <w:rPr>
                <w:b/>
                <w:sz w:val="18"/>
                <w:szCs w:val="18"/>
              </w:rPr>
            </w:pPr>
            <w:r>
              <w:rPr>
                <w:b/>
                <w:sz w:val="18"/>
                <w:szCs w:val="18"/>
                <w:lang w:val="hy-AM"/>
              </w:rPr>
              <w:t>2024</w:t>
            </w:r>
          </w:p>
        </w:tc>
        <w:tc>
          <w:tcPr>
            <w:tcW w:w="1080" w:type="dxa"/>
            <w:gridSpan w:val="2"/>
            <w:shd w:val="clear" w:color="auto" w:fill="D5DCE4" w:themeFill="text2" w:themeFillTint="33"/>
            <w:vAlign w:val="center"/>
            <w:hideMark/>
          </w:tcPr>
          <w:p w14:paraId="7519E102" w14:textId="48809977" w:rsidR="007375AD" w:rsidRPr="003F2203" w:rsidRDefault="007375AD" w:rsidP="00786D09">
            <w:pPr>
              <w:spacing w:before="0" w:after="0" w:line="240" w:lineRule="auto"/>
              <w:jc w:val="center"/>
              <w:rPr>
                <w:b/>
                <w:sz w:val="18"/>
                <w:szCs w:val="18"/>
              </w:rPr>
            </w:pPr>
            <w:r>
              <w:rPr>
                <w:b/>
                <w:sz w:val="18"/>
                <w:szCs w:val="18"/>
              </w:rPr>
              <w:t>2025</w:t>
            </w:r>
          </w:p>
        </w:tc>
        <w:tc>
          <w:tcPr>
            <w:tcW w:w="1080" w:type="dxa"/>
            <w:gridSpan w:val="2"/>
            <w:shd w:val="clear" w:color="auto" w:fill="D5DCE4" w:themeFill="text2" w:themeFillTint="33"/>
            <w:vAlign w:val="center"/>
            <w:hideMark/>
          </w:tcPr>
          <w:p w14:paraId="7CDA0461" w14:textId="34202E19" w:rsidR="007375AD" w:rsidRPr="003F2203" w:rsidRDefault="007375AD" w:rsidP="00786D09">
            <w:pPr>
              <w:spacing w:before="0" w:after="0" w:line="240" w:lineRule="auto"/>
              <w:jc w:val="center"/>
              <w:rPr>
                <w:b/>
                <w:sz w:val="18"/>
                <w:szCs w:val="18"/>
              </w:rPr>
            </w:pPr>
            <w:r>
              <w:rPr>
                <w:b/>
                <w:sz w:val="18"/>
                <w:szCs w:val="18"/>
              </w:rPr>
              <w:t>2026</w:t>
            </w:r>
          </w:p>
        </w:tc>
      </w:tr>
      <w:tr w:rsidR="00980748" w:rsidRPr="003F2203" w14:paraId="6FE02358" w14:textId="77777777" w:rsidTr="007375AD">
        <w:trPr>
          <w:trHeight w:val="317"/>
        </w:trPr>
        <w:tc>
          <w:tcPr>
            <w:tcW w:w="4320" w:type="dxa"/>
            <w:shd w:val="clear" w:color="auto" w:fill="auto"/>
            <w:noWrap/>
            <w:hideMark/>
          </w:tcPr>
          <w:p w14:paraId="049552C8" w14:textId="77777777" w:rsidR="00980748" w:rsidRPr="003F2203" w:rsidRDefault="00980748" w:rsidP="00786D09">
            <w:pPr>
              <w:spacing w:before="0" w:after="0" w:line="240" w:lineRule="auto"/>
              <w:ind w:right="353"/>
              <w:rPr>
                <w:sz w:val="18"/>
                <w:szCs w:val="18"/>
              </w:rPr>
            </w:pPr>
            <w:r w:rsidRPr="003F2203">
              <w:rPr>
                <w:sz w:val="18"/>
                <w:szCs w:val="18"/>
              </w:rPr>
              <w:t>ԸՆԴԱՄԵՆԸ</w:t>
            </w:r>
          </w:p>
        </w:tc>
        <w:tc>
          <w:tcPr>
            <w:tcW w:w="1080" w:type="dxa"/>
            <w:shd w:val="clear" w:color="auto" w:fill="auto"/>
            <w:vAlign w:val="center"/>
          </w:tcPr>
          <w:p w14:paraId="6F957801" w14:textId="4C5A8A27" w:rsidR="00980748" w:rsidRPr="003F2203" w:rsidRDefault="00980748" w:rsidP="00786D09">
            <w:pPr>
              <w:spacing w:before="0" w:after="0" w:line="240" w:lineRule="auto"/>
              <w:jc w:val="center"/>
              <w:rPr>
                <w:sz w:val="18"/>
                <w:szCs w:val="18"/>
              </w:rPr>
            </w:pPr>
            <w:r w:rsidRPr="003F2203">
              <w:rPr>
                <w:sz w:val="18"/>
                <w:szCs w:val="18"/>
              </w:rPr>
              <w:t>120.2</w:t>
            </w:r>
          </w:p>
        </w:tc>
        <w:tc>
          <w:tcPr>
            <w:tcW w:w="1080" w:type="dxa"/>
            <w:shd w:val="clear" w:color="auto" w:fill="auto"/>
            <w:vAlign w:val="center"/>
          </w:tcPr>
          <w:p w14:paraId="5429A4CA" w14:textId="4872E983" w:rsidR="00980748" w:rsidRPr="003F2203" w:rsidRDefault="00980748" w:rsidP="00786D09">
            <w:pPr>
              <w:spacing w:before="0" w:after="0" w:line="240" w:lineRule="auto"/>
              <w:jc w:val="center"/>
              <w:rPr>
                <w:sz w:val="18"/>
                <w:szCs w:val="18"/>
              </w:rPr>
            </w:pPr>
            <w:r w:rsidRPr="003F2203">
              <w:rPr>
                <w:sz w:val="18"/>
                <w:szCs w:val="18"/>
              </w:rPr>
              <w:t>151.9</w:t>
            </w:r>
          </w:p>
        </w:tc>
        <w:tc>
          <w:tcPr>
            <w:tcW w:w="1080" w:type="dxa"/>
            <w:gridSpan w:val="2"/>
            <w:shd w:val="clear" w:color="auto" w:fill="auto"/>
            <w:vAlign w:val="center"/>
          </w:tcPr>
          <w:p w14:paraId="5CA3BEE9" w14:textId="7B751D47" w:rsidR="00980748" w:rsidRPr="003F2203" w:rsidRDefault="00980748" w:rsidP="00786D09">
            <w:pPr>
              <w:spacing w:before="0" w:after="0" w:line="240" w:lineRule="auto"/>
              <w:jc w:val="center"/>
              <w:rPr>
                <w:sz w:val="18"/>
                <w:szCs w:val="18"/>
              </w:rPr>
            </w:pPr>
            <w:r w:rsidRPr="003F6253">
              <w:rPr>
                <w:sz w:val="18"/>
                <w:szCs w:val="18"/>
              </w:rPr>
              <w:t>155.3</w:t>
            </w:r>
          </w:p>
        </w:tc>
        <w:tc>
          <w:tcPr>
            <w:tcW w:w="1080" w:type="dxa"/>
            <w:gridSpan w:val="2"/>
            <w:shd w:val="clear" w:color="auto" w:fill="auto"/>
            <w:vAlign w:val="center"/>
          </w:tcPr>
          <w:p w14:paraId="10DFCF35" w14:textId="56F13310" w:rsidR="00980748" w:rsidRPr="003F2203" w:rsidRDefault="00980748" w:rsidP="00786D09">
            <w:pPr>
              <w:spacing w:before="0" w:after="0" w:line="240" w:lineRule="auto"/>
              <w:jc w:val="center"/>
              <w:rPr>
                <w:sz w:val="18"/>
                <w:szCs w:val="18"/>
              </w:rPr>
            </w:pPr>
            <w:r w:rsidRPr="003F6253">
              <w:rPr>
                <w:sz w:val="18"/>
                <w:szCs w:val="18"/>
              </w:rPr>
              <w:t>171.4</w:t>
            </w:r>
          </w:p>
        </w:tc>
        <w:tc>
          <w:tcPr>
            <w:tcW w:w="1080" w:type="dxa"/>
            <w:gridSpan w:val="2"/>
            <w:shd w:val="clear" w:color="auto" w:fill="auto"/>
            <w:vAlign w:val="center"/>
          </w:tcPr>
          <w:p w14:paraId="751CE091" w14:textId="7E40D9D4" w:rsidR="00980748" w:rsidRPr="003F2203" w:rsidRDefault="00980748" w:rsidP="00786D09">
            <w:pPr>
              <w:spacing w:before="0" w:after="0" w:line="240" w:lineRule="auto"/>
              <w:jc w:val="center"/>
              <w:rPr>
                <w:sz w:val="18"/>
                <w:szCs w:val="18"/>
              </w:rPr>
            </w:pPr>
            <w:r w:rsidRPr="00775044">
              <w:rPr>
                <w:sz w:val="18"/>
                <w:szCs w:val="18"/>
              </w:rPr>
              <w:t>176.4</w:t>
            </w:r>
          </w:p>
        </w:tc>
      </w:tr>
      <w:tr w:rsidR="00980748" w:rsidRPr="003F2203" w14:paraId="136F6815" w14:textId="77777777" w:rsidTr="007375AD">
        <w:trPr>
          <w:trHeight w:val="317"/>
        </w:trPr>
        <w:tc>
          <w:tcPr>
            <w:tcW w:w="4320" w:type="dxa"/>
            <w:shd w:val="clear" w:color="auto" w:fill="auto"/>
            <w:hideMark/>
          </w:tcPr>
          <w:p w14:paraId="04B8CCCD" w14:textId="77777777" w:rsidR="00980748" w:rsidRPr="003F2203" w:rsidRDefault="00980748" w:rsidP="00786D09">
            <w:pPr>
              <w:spacing w:before="0" w:after="0" w:line="240" w:lineRule="auto"/>
              <w:ind w:right="353"/>
              <w:rPr>
                <w:sz w:val="18"/>
                <w:szCs w:val="18"/>
                <w:lang w:val="hy-AM"/>
              </w:rPr>
            </w:pPr>
            <w:r w:rsidRPr="003F2203">
              <w:rPr>
                <w:sz w:val="18"/>
                <w:szCs w:val="18"/>
              </w:rPr>
              <w:t>Ֆինանսական համահարթեց</w:t>
            </w:r>
            <w:r w:rsidRPr="003F2203">
              <w:rPr>
                <w:sz w:val="18"/>
                <w:szCs w:val="18"/>
              </w:rPr>
              <w:softHyphen/>
            </w:r>
            <w:r w:rsidRPr="003F2203">
              <w:rPr>
                <w:sz w:val="18"/>
                <w:szCs w:val="18"/>
              </w:rPr>
              <w:softHyphen/>
              <w:t xml:space="preserve">ման դոտացիաներ </w:t>
            </w:r>
          </w:p>
        </w:tc>
        <w:tc>
          <w:tcPr>
            <w:tcW w:w="1080" w:type="dxa"/>
            <w:shd w:val="clear" w:color="auto" w:fill="auto"/>
            <w:vAlign w:val="center"/>
          </w:tcPr>
          <w:p w14:paraId="40958241" w14:textId="18F1A53C" w:rsidR="00980748" w:rsidRPr="003F2203" w:rsidRDefault="00980748" w:rsidP="00786D09">
            <w:pPr>
              <w:spacing w:before="0" w:after="0" w:line="240" w:lineRule="auto"/>
              <w:jc w:val="center"/>
              <w:rPr>
                <w:sz w:val="18"/>
                <w:szCs w:val="18"/>
              </w:rPr>
            </w:pPr>
            <w:r w:rsidRPr="003F2203">
              <w:rPr>
                <w:sz w:val="18"/>
                <w:szCs w:val="18"/>
              </w:rPr>
              <w:t>64.3</w:t>
            </w:r>
          </w:p>
        </w:tc>
        <w:tc>
          <w:tcPr>
            <w:tcW w:w="1080" w:type="dxa"/>
            <w:shd w:val="clear" w:color="auto" w:fill="auto"/>
            <w:vAlign w:val="center"/>
          </w:tcPr>
          <w:p w14:paraId="42B2D0C7" w14:textId="095CB529" w:rsidR="00980748" w:rsidRPr="003F2203" w:rsidRDefault="00980748" w:rsidP="00786D09">
            <w:pPr>
              <w:spacing w:before="0" w:after="0" w:line="240" w:lineRule="auto"/>
              <w:jc w:val="center"/>
              <w:rPr>
                <w:sz w:val="18"/>
                <w:szCs w:val="18"/>
              </w:rPr>
            </w:pPr>
            <w:r w:rsidRPr="003F2203">
              <w:rPr>
                <w:sz w:val="18"/>
                <w:szCs w:val="18"/>
              </w:rPr>
              <w:t>69.8</w:t>
            </w:r>
          </w:p>
        </w:tc>
        <w:tc>
          <w:tcPr>
            <w:tcW w:w="1080" w:type="dxa"/>
            <w:gridSpan w:val="2"/>
            <w:shd w:val="clear" w:color="auto" w:fill="auto"/>
            <w:noWrap/>
            <w:vAlign w:val="center"/>
          </w:tcPr>
          <w:p w14:paraId="610041FA" w14:textId="449E8883" w:rsidR="00980748" w:rsidRPr="003F2203" w:rsidRDefault="00980748" w:rsidP="00786D09">
            <w:pPr>
              <w:spacing w:before="0" w:after="0" w:line="240" w:lineRule="auto"/>
              <w:jc w:val="center"/>
              <w:rPr>
                <w:sz w:val="18"/>
                <w:szCs w:val="18"/>
              </w:rPr>
            </w:pPr>
            <w:r w:rsidRPr="003F6253">
              <w:rPr>
                <w:sz w:val="18"/>
                <w:szCs w:val="18"/>
              </w:rPr>
              <w:t>85.3</w:t>
            </w:r>
          </w:p>
        </w:tc>
        <w:tc>
          <w:tcPr>
            <w:tcW w:w="1080" w:type="dxa"/>
            <w:gridSpan w:val="2"/>
            <w:shd w:val="clear" w:color="auto" w:fill="auto"/>
            <w:vAlign w:val="center"/>
          </w:tcPr>
          <w:p w14:paraId="61EFEBEF" w14:textId="10E7E049" w:rsidR="00980748" w:rsidRPr="003F2203" w:rsidRDefault="00980748" w:rsidP="00786D09">
            <w:pPr>
              <w:spacing w:before="0" w:after="0" w:line="240" w:lineRule="auto"/>
              <w:jc w:val="center"/>
              <w:rPr>
                <w:sz w:val="18"/>
                <w:szCs w:val="18"/>
                <w:lang w:val="hy-AM"/>
              </w:rPr>
            </w:pPr>
            <w:r w:rsidRPr="003F6253">
              <w:rPr>
                <w:sz w:val="18"/>
                <w:szCs w:val="18"/>
              </w:rPr>
              <w:t>98.2</w:t>
            </w:r>
          </w:p>
        </w:tc>
        <w:tc>
          <w:tcPr>
            <w:tcW w:w="1080" w:type="dxa"/>
            <w:gridSpan w:val="2"/>
            <w:shd w:val="clear" w:color="auto" w:fill="auto"/>
            <w:vAlign w:val="center"/>
          </w:tcPr>
          <w:p w14:paraId="4C3B210A" w14:textId="2A940A11" w:rsidR="00980748" w:rsidRPr="003F2203" w:rsidRDefault="00980748" w:rsidP="00786D09">
            <w:pPr>
              <w:spacing w:before="0" w:after="0" w:line="240" w:lineRule="auto"/>
              <w:jc w:val="center"/>
              <w:rPr>
                <w:sz w:val="18"/>
                <w:szCs w:val="18"/>
              </w:rPr>
            </w:pPr>
            <w:r w:rsidRPr="00775044">
              <w:rPr>
                <w:sz w:val="18"/>
                <w:szCs w:val="18"/>
              </w:rPr>
              <w:t>107.9</w:t>
            </w:r>
          </w:p>
        </w:tc>
      </w:tr>
      <w:tr w:rsidR="00980748" w:rsidRPr="003F2203" w14:paraId="52A55943" w14:textId="77777777" w:rsidTr="007375AD">
        <w:trPr>
          <w:trHeight w:val="317"/>
        </w:trPr>
        <w:tc>
          <w:tcPr>
            <w:tcW w:w="4320" w:type="dxa"/>
            <w:shd w:val="clear" w:color="auto" w:fill="auto"/>
            <w:hideMark/>
          </w:tcPr>
          <w:p w14:paraId="33F8B33D" w14:textId="77777777" w:rsidR="00980748" w:rsidRPr="003F2203" w:rsidRDefault="00980748" w:rsidP="00786D09">
            <w:pPr>
              <w:spacing w:before="0" w:after="0" w:line="240" w:lineRule="auto"/>
              <w:ind w:right="353"/>
              <w:rPr>
                <w:sz w:val="18"/>
                <w:szCs w:val="18"/>
                <w:lang w:val="hy-AM"/>
              </w:rPr>
            </w:pPr>
            <w:r w:rsidRPr="003F2203">
              <w:rPr>
                <w:sz w:val="18"/>
                <w:szCs w:val="18"/>
              </w:rPr>
              <w:t>Այլ ընթացիկ դրամաշնորհներ համայնքներին</w:t>
            </w:r>
          </w:p>
        </w:tc>
        <w:tc>
          <w:tcPr>
            <w:tcW w:w="1080" w:type="dxa"/>
            <w:shd w:val="clear" w:color="auto" w:fill="auto"/>
            <w:vAlign w:val="center"/>
          </w:tcPr>
          <w:p w14:paraId="6700FB2E" w14:textId="0C52F4D6" w:rsidR="00980748" w:rsidRPr="003F2203" w:rsidRDefault="00980748" w:rsidP="00786D09">
            <w:pPr>
              <w:spacing w:before="0" w:after="0" w:line="240" w:lineRule="auto"/>
              <w:jc w:val="center"/>
              <w:rPr>
                <w:sz w:val="18"/>
                <w:szCs w:val="18"/>
              </w:rPr>
            </w:pPr>
            <w:r w:rsidRPr="003F2203">
              <w:rPr>
                <w:sz w:val="18"/>
                <w:szCs w:val="18"/>
              </w:rPr>
              <w:t>0.0</w:t>
            </w:r>
          </w:p>
        </w:tc>
        <w:tc>
          <w:tcPr>
            <w:tcW w:w="1080" w:type="dxa"/>
            <w:shd w:val="clear" w:color="auto" w:fill="auto"/>
            <w:vAlign w:val="center"/>
          </w:tcPr>
          <w:p w14:paraId="2BB1139D" w14:textId="6587743B" w:rsidR="00980748" w:rsidRPr="003F2203" w:rsidRDefault="00980748" w:rsidP="00786D09">
            <w:pPr>
              <w:spacing w:before="0" w:after="0" w:line="240" w:lineRule="auto"/>
              <w:jc w:val="center"/>
              <w:rPr>
                <w:sz w:val="18"/>
                <w:szCs w:val="18"/>
              </w:rPr>
            </w:pPr>
            <w:r w:rsidRPr="003F2203">
              <w:rPr>
                <w:sz w:val="18"/>
                <w:szCs w:val="18"/>
              </w:rPr>
              <w:t>0.2</w:t>
            </w:r>
          </w:p>
        </w:tc>
        <w:tc>
          <w:tcPr>
            <w:tcW w:w="1080" w:type="dxa"/>
            <w:gridSpan w:val="2"/>
            <w:shd w:val="clear" w:color="auto" w:fill="auto"/>
            <w:noWrap/>
            <w:vAlign w:val="center"/>
          </w:tcPr>
          <w:p w14:paraId="434A4A32" w14:textId="1882E802" w:rsidR="00980748" w:rsidRPr="003F2203" w:rsidRDefault="00980748" w:rsidP="00786D09">
            <w:pPr>
              <w:spacing w:before="0" w:after="0" w:line="240" w:lineRule="auto"/>
              <w:jc w:val="center"/>
              <w:rPr>
                <w:sz w:val="18"/>
                <w:szCs w:val="18"/>
              </w:rPr>
            </w:pPr>
            <w:r w:rsidRPr="003F6253">
              <w:rPr>
                <w:sz w:val="18"/>
                <w:szCs w:val="18"/>
              </w:rPr>
              <w:t>5.1</w:t>
            </w:r>
          </w:p>
        </w:tc>
        <w:tc>
          <w:tcPr>
            <w:tcW w:w="1080" w:type="dxa"/>
            <w:gridSpan w:val="2"/>
            <w:shd w:val="clear" w:color="auto" w:fill="auto"/>
            <w:vAlign w:val="center"/>
          </w:tcPr>
          <w:p w14:paraId="140D4A0A" w14:textId="710B4FC4" w:rsidR="00980748" w:rsidRPr="003F2203" w:rsidRDefault="00980748" w:rsidP="00786D09">
            <w:pPr>
              <w:spacing w:before="0" w:after="0" w:line="240" w:lineRule="auto"/>
              <w:jc w:val="center"/>
              <w:rPr>
                <w:sz w:val="18"/>
                <w:szCs w:val="18"/>
                <w:lang w:val="hy-AM"/>
              </w:rPr>
            </w:pPr>
            <w:r w:rsidRPr="003F6253">
              <w:rPr>
                <w:sz w:val="18"/>
                <w:szCs w:val="18"/>
              </w:rPr>
              <w:t>0.0</w:t>
            </w:r>
          </w:p>
        </w:tc>
        <w:tc>
          <w:tcPr>
            <w:tcW w:w="1080" w:type="dxa"/>
            <w:gridSpan w:val="2"/>
            <w:shd w:val="clear" w:color="auto" w:fill="auto"/>
            <w:vAlign w:val="center"/>
          </w:tcPr>
          <w:p w14:paraId="5CDE2E5C" w14:textId="5A001780" w:rsidR="00980748" w:rsidRPr="003F2203" w:rsidRDefault="00980748" w:rsidP="00786D09">
            <w:pPr>
              <w:spacing w:before="0" w:after="0" w:line="240" w:lineRule="auto"/>
              <w:jc w:val="center"/>
              <w:rPr>
                <w:sz w:val="18"/>
                <w:szCs w:val="18"/>
              </w:rPr>
            </w:pPr>
            <w:r w:rsidRPr="00775044">
              <w:rPr>
                <w:sz w:val="18"/>
                <w:szCs w:val="18"/>
              </w:rPr>
              <w:t>0.2</w:t>
            </w:r>
          </w:p>
        </w:tc>
      </w:tr>
      <w:tr w:rsidR="00980748" w:rsidRPr="003F2203" w14:paraId="048C2CFB" w14:textId="77777777" w:rsidTr="007375AD">
        <w:trPr>
          <w:trHeight w:val="317"/>
        </w:trPr>
        <w:tc>
          <w:tcPr>
            <w:tcW w:w="4320" w:type="dxa"/>
            <w:shd w:val="clear" w:color="auto" w:fill="auto"/>
            <w:hideMark/>
          </w:tcPr>
          <w:p w14:paraId="2C5E3103" w14:textId="77777777" w:rsidR="00980748" w:rsidRPr="003F2203" w:rsidRDefault="00980748" w:rsidP="00786D09">
            <w:pPr>
              <w:spacing w:before="0" w:after="0" w:line="240" w:lineRule="auto"/>
              <w:ind w:right="353"/>
              <w:rPr>
                <w:sz w:val="18"/>
                <w:szCs w:val="18"/>
                <w:lang w:val="ru-RU"/>
              </w:rPr>
            </w:pPr>
            <w:r w:rsidRPr="003F2203">
              <w:rPr>
                <w:sz w:val="18"/>
                <w:szCs w:val="18"/>
              </w:rPr>
              <w:t>Սուբվենցիաներ համայնքներին</w:t>
            </w:r>
          </w:p>
        </w:tc>
        <w:tc>
          <w:tcPr>
            <w:tcW w:w="1080" w:type="dxa"/>
            <w:shd w:val="clear" w:color="auto" w:fill="auto"/>
            <w:vAlign w:val="center"/>
          </w:tcPr>
          <w:p w14:paraId="348B197B" w14:textId="509268BC" w:rsidR="00980748" w:rsidRPr="003F2203" w:rsidRDefault="00980748" w:rsidP="00786D09">
            <w:pPr>
              <w:spacing w:before="0" w:after="0" w:line="240" w:lineRule="auto"/>
              <w:jc w:val="center"/>
              <w:rPr>
                <w:sz w:val="18"/>
                <w:szCs w:val="18"/>
              </w:rPr>
            </w:pPr>
            <w:r w:rsidRPr="003F2203">
              <w:rPr>
                <w:sz w:val="18"/>
                <w:szCs w:val="18"/>
              </w:rPr>
              <w:t>27.0</w:t>
            </w:r>
          </w:p>
        </w:tc>
        <w:tc>
          <w:tcPr>
            <w:tcW w:w="1080" w:type="dxa"/>
            <w:shd w:val="clear" w:color="auto" w:fill="auto"/>
            <w:vAlign w:val="center"/>
          </w:tcPr>
          <w:p w14:paraId="575D51E8" w14:textId="1BC8C8F8" w:rsidR="00980748" w:rsidRPr="003F2203" w:rsidRDefault="00980748" w:rsidP="00786D09">
            <w:pPr>
              <w:spacing w:before="0" w:after="0" w:line="240" w:lineRule="auto"/>
              <w:jc w:val="center"/>
              <w:rPr>
                <w:sz w:val="18"/>
                <w:szCs w:val="18"/>
                <w:lang w:val="hy-AM"/>
              </w:rPr>
            </w:pPr>
            <w:r w:rsidRPr="003F2203">
              <w:rPr>
                <w:sz w:val="18"/>
                <w:szCs w:val="18"/>
              </w:rPr>
              <w:t>39.5</w:t>
            </w:r>
          </w:p>
        </w:tc>
        <w:tc>
          <w:tcPr>
            <w:tcW w:w="1080" w:type="dxa"/>
            <w:gridSpan w:val="2"/>
            <w:shd w:val="clear" w:color="auto" w:fill="auto"/>
            <w:noWrap/>
            <w:vAlign w:val="center"/>
          </w:tcPr>
          <w:p w14:paraId="321C2366" w14:textId="00D28F50" w:rsidR="00980748" w:rsidRPr="003F2203" w:rsidRDefault="00980748" w:rsidP="00786D09">
            <w:pPr>
              <w:spacing w:before="0" w:after="0" w:line="240" w:lineRule="auto"/>
              <w:jc w:val="center"/>
              <w:rPr>
                <w:sz w:val="18"/>
                <w:szCs w:val="18"/>
              </w:rPr>
            </w:pPr>
            <w:r w:rsidRPr="003F6253">
              <w:rPr>
                <w:sz w:val="18"/>
                <w:szCs w:val="18"/>
              </w:rPr>
              <w:t>34.8</w:t>
            </w:r>
          </w:p>
        </w:tc>
        <w:tc>
          <w:tcPr>
            <w:tcW w:w="1080" w:type="dxa"/>
            <w:gridSpan w:val="2"/>
            <w:shd w:val="clear" w:color="auto" w:fill="auto"/>
            <w:vAlign w:val="center"/>
          </w:tcPr>
          <w:p w14:paraId="7C86CC07" w14:textId="28D0B2E6" w:rsidR="00980748" w:rsidRPr="003F2203" w:rsidRDefault="00980748" w:rsidP="00786D09">
            <w:pPr>
              <w:spacing w:before="0" w:after="0" w:line="240" w:lineRule="auto"/>
              <w:jc w:val="center"/>
              <w:rPr>
                <w:sz w:val="18"/>
                <w:szCs w:val="18"/>
                <w:lang w:val="hy-AM"/>
              </w:rPr>
            </w:pPr>
            <w:r w:rsidRPr="003F6253">
              <w:rPr>
                <w:sz w:val="18"/>
                <w:szCs w:val="18"/>
              </w:rPr>
              <w:t>20.9</w:t>
            </w:r>
          </w:p>
        </w:tc>
        <w:tc>
          <w:tcPr>
            <w:tcW w:w="1080" w:type="dxa"/>
            <w:gridSpan w:val="2"/>
            <w:shd w:val="clear" w:color="auto" w:fill="auto"/>
            <w:vAlign w:val="center"/>
          </w:tcPr>
          <w:p w14:paraId="5A4E2FCA" w14:textId="696BFC4B" w:rsidR="00980748" w:rsidRPr="003F2203" w:rsidRDefault="00980748" w:rsidP="00786D09">
            <w:pPr>
              <w:spacing w:before="0" w:after="0" w:line="240" w:lineRule="auto"/>
              <w:jc w:val="center"/>
              <w:rPr>
                <w:sz w:val="18"/>
                <w:szCs w:val="18"/>
              </w:rPr>
            </w:pPr>
            <w:r w:rsidRPr="00775044">
              <w:rPr>
                <w:sz w:val="18"/>
                <w:szCs w:val="18"/>
              </w:rPr>
              <w:t>23.3</w:t>
            </w:r>
          </w:p>
        </w:tc>
      </w:tr>
      <w:tr w:rsidR="00980748" w:rsidRPr="003F2203" w14:paraId="34269A77" w14:textId="77777777" w:rsidTr="007375AD">
        <w:trPr>
          <w:trHeight w:val="317"/>
        </w:trPr>
        <w:tc>
          <w:tcPr>
            <w:tcW w:w="4320" w:type="dxa"/>
            <w:shd w:val="clear" w:color="auto" w:fill="auto"/>
            <w:hideMark/>
          </w:tcPr>
          <w:p w14:paraId="10A64F6F" w14:textId="77777777" w:rsidR="00980748" w:rsidRPr="003F2203" w:rsidRDefault="00980748" w:rsidP="00786D09">
            <w:pPr>
              <w:spacing w:before="0" w:after="0" w:line="240" w:lineRule="auto"/>
              <w:ind w:right="353"/>
              <w:rPr>
                <w:sz w:val="18"/>
                <w:szCs w:val="18"/>
                <w:lang w:val="ru-RU"/>
              </w:rPr>
            </w:pPr>
            <w:r w:rsidRPr="003F2203">
              <w:rPr>
                <w:sz w:val="18"/>
                <w:szCs w:val="18"/>
              </w:rPr>
              <w:t>ընթացիկ սուբվենցիաներ</w:t>
            </w:r>
          </w:p>
        </w:tc>
        <w:tc>
          <w:tcPr>
            <w:tcW w:w="1080" w:type="dxa"/>
            <w:shd w:val="clear" w:color="auto" w:fill="auto"/>
            <w:vAlign w:val="center"/>
          </w:tcPr>
          <w:p w14:paraId="57421C48" w14:textId="6EBAAD4F" w:rsidR="00980748" w:rsidRPr="003F2203" w:rsidRDefault="00980748" w:rsidP="00786D09">
            <w:pPr>
              <w:spacing w:before="0" w:after="0" w:line="240" w:lineRule="auto"/>
              <w:jc w:val="center"/>
              <w:rPr>
                <w:sz w:val="18"/>
                <w:szCs w:val="18"/>
                <w:lang w:val="hy-AM"/>
              </w:rPr>
            </w:pPr>
            <w:r w:rsidRPr="003F2203">
              <w:rPr>
                <w:sz w:val="18"/>
                <w:szCs w:val="18"/>
              </w:rPr>
              <w:t>7.5</w:t>
            </w:r>
          </w:p>
        </w:tc>
        <w:tc>
          <w:tcPr>
            <w:tcW w:w="1080" w:type="dxa"/>
            <w:shd w:val="clear" w:color="auto" w:fill="auto"/>
            <w:vAlign w:val="center"/>
          </w:tcPr>
          <w:p w14:paraId="1E43D086" w14:textId="0A97B2FA" w:rsidR="00980748" w:rsidRPr="003F2203" w:rsidRDefault="00980748" w:rsidP="00786D09">
            <w:pPr>
              <w:spacing w:before="0" w:after="0" w:line="240" w:lineRule="auto"/>
              <w:jc w:val="center"/>
              <w:rPr>
                <w:sz w:val="18"/>
                <w:szCs w:val="18"/>
              </w:rPr>
            </w:pPr>
            <w:r w:rsidRPr="003F2203">
              <w:rPr>
                <w:sz w:val="18"/>
                <w:szCs w:val="18"/>
              </w:rPr>
              <w:t>7.7</w:t>
            </w:r>
          </w:p>
        </w:tc>
        <w:tc>
          <w:tcPr>
            <w:tcW w:w="1080" w:type="dxa"/>
            <w:gridSpan w:val="2"/>
            <w:shd w:val="clear" w:color="auto" w:fill="auto"/>
            <w:noWrap/>
            <w:vAlign w:val="center"/>
          </w:tcPr>
          <w:p w14:paraId="2AA35A68" w14:textId="78B9DD49" w:rsidR="00980748" w:rsidRPr="003F2203" w:rsidRDefault="00980748" w:rsidP="00786D09">
            <w:pPr>
              <w:spacing w:before="0" w:after="0" w:line="240" w:lineRule="auto"/>
              <w:jc w:val="center"/>
              <w:rPr>
                <w:sz w:val="18"/>
                <w:szCs w:val="18"/>
              </w:rPr>
            </w:pPr>
            <w:r w:rsidRPr="003F6253">
              <w:rPr>
                <w:sz w:val="18"/>
                <w:szCs w:val="18"/>
              </w:rPr>
              <w:t>1.0</w:t>
            </w:r>
          </w:p>
        </w:tc>
        <w:tc>
          <w:tcPr>
            <w:tcW w:w="1080" w:type="dxa"/>
            <w:gridSpan w:val="2"/>
            <w:shd w:val="clear" w:color="auto" w:fill="auto"/>
            <w:vAlign w:val="center"/>
          </w:tcPr>
          <w:p w14:paraId="57D00452" w14:textId="0D6B29C4" w:rsidR="00980748" w:rsidRPr="003F2203" w:rsidRDefault="00980748" w:rsidP="00786D09">
            <w:pPr>
              <w:spacing w:before="0" w:after="0" w:line="240" w:lineRule="auto"/>
              <w:jc w:val="center"/>
              <w:rPr>
                <w:sz w:val="18"/>
                <w:szCs w:val="18"/>
                <w:lang w:val="hy-AM"/>
              </w:rPr>
            </w:pPr>
            <w:r w:rsidRPr="003F6253">
              <w:rPr>
                <w:sz w:val="18"/>
                <w:szCs w:val="18"/>
              </w:rPr>
              <w:t>1.0</w:t>
            </w:r>
          </w:p>
        </w:tc>
        <w:tc>
          <w:tcPr>
            <w:tcW w:w="1080" w:type="dxa"/>
            <w:gridSpan w:val="2"/>
            <w:shd w:val="clear" w:color="auto" w:fill="auto"/>
            <w:vAlign w:val="center"/>
          </w:tcPr>
          <w:p w14:paraId="6242B500" w14:textId="632DFB93" w:rsidR="00980748" w:rsidRPr="003F2203" w:rsidRDefault="00980748" w:rsidP="00786D09">
            <w:pPr>
              <w:spacing w:before="0" w:after="0" w:line="240" w:lineRule="auto"/>
              <w:jc w:val="center"/>
              <w:rPr>
                <w:sz w:val="18"/>
                <w:szCs w:val="18"/>
              </w:rPr>
            </w:pPr>
            <w:r w:rsidRPr="00775044">
              <w:rPr>
                <w:sz w:val="18"/>
                <w:szCs w:val="18"/>
              </w:rPr>
              <w:t>2.1</w:t>
            </w:r>
          </w:p>
        </w:tc>
      </w:tr>
      <w:tr w:rsidR="00980748" w:rsidRPr="003F2203" w14:paraId="6E14D96D" w14:textId="77777777" w:rsidTr="007375AD">
        <w:trPr>
          <w:trHeight w:val="317"/>
        </w:trPr>
        <w:tc>
          <w:tcPr>
            <w:tcW w:w="4320" w:type="dxa"/>
            <w:shd w:val="clear" w:color="auto" w:fill="auto"/>
            <w:hideMark/>
          </w:tcPr>
          <w:p w14:paraId="48009C6C" w14:textId="77777777" w:rsidR="00980748" w:rsidRPr="003F2203" w:rsidRDefault="00980748" w:rsidP="00786D09">
            <w:pPr>
              <w:spacing w:before="0" w:after="0" w:line="240" w:lineRule="auto"/>
              <w:ind w:right="353"/>
              <w:rPr>
                <w:sz w:val="18"/>
                <w:szCs w:val="18"/>
                <w:lang w:val="ru-RU"/>
              </w:rPr>
            </w:pPr>
            <w:r w:rsidRPr="003F2203">
              <w:rPr>
                <w:sz w:val="18"/>
                <w:szCs w:val="18"/>
              </w:rPr>
              <w:t>կապիտալ սուբվենցիաներ</w:t>
            </w:r>
          </w:p>
        </w:tc>
        <w:tc>
          <w:tcPr>
            <w:tcW w:w="1080" w:type="dxa"/>
            <w:shd w:val="clear" w:color="auto" w:fill="auto"/>
            <w:vAlign w:val="center"/>
          </w:tcPr>
          <w:p w14:paraId="5A7DC93A" w14:textId="76191928" w:rsidR="00980748" w:rsidRPr="003F2203" w:rsidRDefault="00980748" w:rsidP="00786D09">
            <w:pPr>
              <w:spacing w:before="0" w:after="0" w:line="240" w:lineRule="auto"/>
              <w:jc w:val="center"/>
              <w:rPr>
                <w:sz w:val="18"/>
                <w:szCs w:val="18"/>
                <w:lang w:val="hy-AM"/>
              </w:rPr>
            </w:pPr>
            <w:r w:rsidRPr="003F2203">
              <w:rPr>
                <w:sz w:val="18"/>
                <w:szCs w:val="18"/>
              </w:rPr>
              <w:t>19.5</w:t>
            </w:r>
          </w:p>
        </w:tc>
        <w:tc>
          <w:tcPr>
            <w:tcW w:w="1080" w:type="dxa"/>
            <w:shd w:val="clear" w:color="auto" w:fill="auto"/>
            <w:vAlign w:val="center"/>
          </w:tcPr>
          <w:p w14:paraId="269DA8CA" w14:textId="3BE6FCCE" w:rsidR="00980748" w:rsidRPr="003F2203" w:rsidRDefault="00980748" w:rsidP="00786D09">
            <w:pPr>
              <w:spacing w:before="0" w:after="0" w:line="240" w:lineRule="auto"/>
              <w:jc w:val="center"/>
              <w:rPr>
                <w:sz w:val="18"/>
                <w:szCs w:val="18"/>
              </w:rPr>
            </w:pPr>
            <w:r w:rsidRPr="003F2203">
              <w:rPr>
                <w:sz w:val="18"/>
                <w:szCs w:val="18"/>
              </w:rPr>
              <w:t>31.8</w:t>
            </w:r>
          </w:p>
        </w:tc>
        <w:tc>
          <w:tcPr>
            <w:tcW w:w="1080" w:type="dxa"/>
            <w:gridSpan w:val="2"/>
            <w:shd w:val="clear" w:color="auto" w:fill="auto"/>
            <w:noWrap/>
            <w:vAlign w:val="center"/>
          </w:tcPr>
          <w:p w14:paraId="09610462" w14:textId="277D4C9F" w:rsidR="00980748" w:rsidRPr="003F2203" w:rsidRDefault="00980748" w:rsidP="00786D09">
            <w:pPr>
              <w:spacing w:before="0" w:after="0" w:line="240" w:lineRule="auto"/>
              <w:jc w:val="center"/>
              <w:rPr>
                <w:sz w:val="18"/>
                <w:szCs w:val="18"/>
              </w:rPr>
            </w:pPr>
            <w:r w:rsidRPr="003F6253">
              <w:rPr>
                <w:sz w:val="18"/>
                <w:szCs w:val="18"/>
              </w:rPr>
              <w:t>33.8</w:t>
            </w:r>
          </w:p>
        </w:tc>
        <w:tc>
          <w:tcPr>
            <w:tcW w:w="1080" w:type="dxa"/>
            <w:gridSpan w:val="2"/>
            <w:shd w:val="clear" w:color="auto" w:fill="auto"/>
            <w:vAlign w:val="center"/>
          </w:tcPr>
          <w:p w14:paraId="69F1E383" w14:textId="0CF124D0" w:rsidR="00980748" w:rsidRPr="003F2203" w:rsidRDefault="00980748" w:rsidP="00786D09">
            <w:pPr>
              <w:spacing w:before="0" w:after="0" w:line="240" w:lineRule="auto"/>
              <w:jc w:val="center"/>
              <w:rPr>
                <w:sz w:val="18"/>
                <w:szCs w:val="18"/>
                <w:lang w:val="hy-AM"/>
              </w:rPr>
            </w:pPr>
            <w:r w:rsidRPr="003F6253">
              <w:rPr>
                <w:sz w:val="18"/>
                <w:szCs w:val="18"/>
              </w:rPr>
              <w:t>19.9</w:t>
            </w:r>
          </w:p>
        </w:tc>
        <w:tc>
          <w:tcPr>
            <w:tcW w:w="1080" w:type="dxa"/>
            <w:gridSpan w:val="2"/>
            <w:shd w:val="clear" w:color="auto" w:fill="auto"/>
            <w:vAlign w:val="center"/>
          </w:tcPr>
          <w:p w14:paraId="7FB21677" w14:textId="1A1E0A1E" w:rsidR="00980748" w:rsidRPr="003F2203" w:rsidRDefault="00980748" w:rsidP="00786D09">
            <w:pPr>
              <w:spacing w:before="0" w:after="0" w:line="240" w:lineRule="auto"/>
              <w:jc w:val="center"/>
              <w:rPr>
                <w:sz w:val="18"/>
                <w:szCs w:val="18"/>
              </w:rPr>
            </w:pPr>
            <w:r w:rsidRPr="00775044">
              <w:rPr>
                <w:sz w:val="18"/>
                <w:szCs w:val="18"/>
              </w:rPr>
              <w:t>21.2</w:t>
            </w:r>
          </w:p>
        </w:tc>
      </w:tr>
      <w:tr w:rsidR="00980748" w:rsidRPr="003F2203" w14:paraId="05C5D36D" w14:textId="77777777" w:rsidTr="007375AD">
        <w:trPr>
          <w:trHeight w:val="317"/>
        </w:trPr>
        <w:tc>
          <w:tcPr>
            <w:tcW w:w="4320" w:type="dxa"/>
            <w:shd w:val="clear" w:color="auto" w:fill="auto"/>
            <w:hideMark/>
          </w:tcPr>
          <w:p w14:paraId="30E610BA" w14:textId="77777777" w:rsidR="00980748" w:rsidRPr="003F2203" w:rsidRDefault="00980748" w:rsidP="00786D09">
            <w:pPr>
              <w:spacing w:before="0" w:after="0" w:line="240" w:lineRule="auto"/>
              <w:ind w:right="353"/>
              <w:rPr>
                <w:sz w:val="18"/>
                <w:szCs w:val="18"/>
                <w:lang w:val="ru-RU"/>
              </w:rPr>
            </w:pPr>
            <w:r w:rsidRPr="003F2203">
              <w:rPr>
                <w:sz w:val="18"/>
                <w:szCs w:val="18"/>
              </w:rPr>
              <w:t>Պատվիրակված լիազորությունների ֆինանսավորում</w:t>
            </w:r>
          </w:p>
        </w:tc>
        <w:tc>
          <w:tcPr>
            <w:tcW w:w="1080" w:type="dxa"/>
            <w:shd w:val="clear" w:color="auto" w:fill="auto"/>
            <w:vAlign w:val="center"/>
          </w:tcPr>
          <w:p w14:paraId="051C793B" w14:textId="0D76F07A" w:rsidR="00980748" w:rsidRPr="003F2203" w:rsidRDefault="00980748" w:rsidP="00786D09">
            <w:pPr>
              <w:spacing w:before="0" w:after="0" w:line="240" w:lineRule="auto"/>
              <w:jc w:val="center"/>
              <w:rPr>
                <w:sz w:val="18"/>
                <w:szCs w:val="18"/>
                <w:lang w:val="hy-AM"/>
              </w:rPr>
            </w:pPr>
            <w:r w:rsidRPr="003F2203">
              <w:rPr>
                <w:sz w:val="18"/>
                <w:szCs w:val="18"/>
              </w:rPr>
              <w:t>28.9</w:t>
            </w:r>
          </w:p>
        </w:tc>
        <w:tc>
          <w:tcPr>
            <w:tcW w:w="1080" w:type="dxa"/>
            <w:shd w:val="clear" w:color="auto" w:fill="auto"/>
            <w:vAlign w:val="center"/>
          </w:tcPr>
          <w:p w14:paraId="30636EC1" w14:textId="26F4280D" w:rsidR="00980748" w:rsidRPr="003F2203" w:rsidRDefault="00980748" w:rsidP="00786D09">
            <w:pPr>
              <w:spacing w:before="0" w:after="0" w:line="240" w:lineRule="auto"/>
              <w:jc w:val="center"/>
              <w:rPr>
                <w:sz w:val="18"/>
                <w:szCs w:val="18"/>
              </w:rPr>
            </w:pPr>
            <w:r w:rsidRPr="003F2203">
              <w:rPr>
                <w:sz w:val="18"/>
                <w:szCs w:val="18"/>
              </w:rPr>
              <w:t>42.5</w:t>
            </w:r>
          </w:p>
        </w:tc>
        <w:tc>
          <w:tcPr>
            <w:tcW w:w="1080" w:type="dxa"/>
            <w:gridSpan w:val="2"/>
            <w:shd w:val="clear" w:color="auto" w:fill="auto"/>
            <w:noWrap/>
            <w:vAlign w:val="center"/>
          </w:tcPr>
          <w:p w14:paraId="719C9CEE" w14:textId="7FB1493E" w:rsidR="00980748" w:rsidRPr="003F2203" w:rsidRDefault="00980748" w:rsidP="00786D09">
            <w:pPr>
              <w:spacing w:before="0" w:after="0" w:line="240" w:lineRule="auto"/>
              <w:jc w:val="center"/>
              <w:rPr>
                <w:sz w:val="18"/>
                <w:szCs w:val="18"/>
              </w:rPr>
            </w:pPr>
            <w:r w:rsidRPr="003F6253">
              <w:rPr>
                <w:sz w:val="18"/>
                <w:szCs w:val="18"/>
              </w:rPr>
              <w:t>30.1</w:t>
            </w:r>
          </w:p>
        </w:tc>
        <w:tc>
          <w:tcPr>
            <w:tcW w:w="1080" w:type="dxa"/>
            <w:gridSpan w:val="2"/>
            <w:shd w:val="clear" w:color="auto" w:fill="auto"/>
            <w:vAlign w:val="center"/>
          </w:tcPr>
          <w:p w14:paraId="203D46DB" w14:textId="4F53DD83" w:rsidR="00980748" w:rsidRPr="003F2203" w:rsidRDefault="00980748" w:rsidP="00786D09">
            <w:pPr>
              <w:spacing w:before="0" w:after="0" w:line="240" w:lineRule="auto"/>
              <w:jc w:val="center"/>
              <w:rPr>
                <w:sz w:val="18"/>
                <w:szCs w:val="18"/>
              </w:rPr>
            </w:pPr>
            <w:r w:rsidRPr="003F6253">
              <w:rPr>
                <w:sz w:val="18"/>
                <w:szCs w:val="18"/>
              </w:rPr>
              <w:t>52.3</w:t>
            </w:r>
          </w:p>
        </w:tc>
        <w:tc>
          <w:tcPr>
            <w:tcW w:w="1080" w:type="dxa"/>
            <w:gridSpan w:val="2"/>
            <w:shd w:val="clear" w:color="auto" w:fill="auto"/>
            <w:vAlign w:val="center"/>
          </w:tcPr>
          <w:p w14:paraId="69D404B7" w14:textId="5F65CC85" w:rsidR="00980748" w:rsidRPr="003F2203" w:rsidRDefault="00980748" w:rsidP="00786D09">
            <w:pPr>
              <w:spacing w:before="0" w:after="0" w:line="240" w:lineRule="auto"/>
              <w:jc w:val="center"/>
              <w:rPr>
                <w:sz w:val="18"/>
                <w:szCs w:val="18"/>
              </w:rPr>
            </w:pPr>
            <w:r w:rsidRPr="00775044">
              <w:rPr>
                <w:sz w:val="18"/>
                <w:szCs w:val="18"/>
              </w:rPr>
              <w:t>45.0</w:t>
            </w:r>
          </w:p>
        </w:tc>
      </w:tr>
    </w:tbl>
    <w:p w14:paraId="114CA224" w14:textId="1C6C3A59" w:rsidR="00E77731" w:rsidRPr="00C3014C" w:rsidRDefault="007375AD" w:rsidP="00786D09">
      <w:pPr>
        <w:pStyle w:val="TOC4"/>
        <w:outlineLvl w:val="1"/>
      </w:pPr>
      <w:bookmarkStart w:id="435" w:name="_Toc178356591"/>
      <w:bookmarkStart w:id="436" w:name="_Toc215157694"/>
      <w:r>
        <w:t>2026</w:t>
      </w:r>
      <w:r w:rsidR="00E77731" w:rsidRPr="00C3014C">
        <w:t xml:space="preserve"> ԹՎԱԿԱՆԻ ԲՅՈՒՋԵԻ ԱՌԱՋՆԱՀԵՐԹՈՒԹՅՈՒՆՆԵՐ</w:t>
      </w:r>
      <w:bookmarkEnd w:id="395"/>
      <w:bookmarkEnd w:id="396"/>
      <w:r w:rsidR="00E77731" w:rsidRPr="00C3014C">
        <w:t>Ը</w:t>
      </w:r>
      <w:bookmarkEnd w:id="435"/>
      <w:bookmarkEnd w:id="436"/>
    </w:p>
    <w:p w14:paraId="43F4F2A1" w14:textId="63760A4A" w:rsidR="00E77731" w:rsidRPr="00C3014C" w:rsidRDefault="00E77731" w:rsidP="00786D09">
      <w:pPr>
        <w:pStyle w:val="BodyText1"/>
        <w:ind w:left="0"/>
      </w:pPr>
      <w:r w:rsidRPr="00C3014C">
        <w:t>ՀՀ կառավարության ծրագրին համապատասխան ծախսային քաղաքականության արդյունավետության բարձրացման տեսանկյունից միջնաժամկետ ժամանակահատվածում կարևորվում է հանրային ֆինանսների նպատակային, խնայողաբար և ա</w:t>
      </w:r>
      <w:r w:rsidR="00397E7B">
        <w:rPr>
          <w:lang w:val="hy-AM"/>
        </w:rPr>
        <w:t>ր</w:t>
      </w:r>
      <w:r w:rsidRPr="00C3014C">
        <w:t>դյունավետ օգտագործումը, ինչի արդյունքում ՀՀ պետական բյուջեի ծախսերի կառուցվածքում աստիճանաբար հնարավորության սահմաններում կմեծանա մարդկային կապիտալին և ենթակառուցվածքներին ուղղվող ծախսերի տեսակարար կշիռը:</w:t>
      </w:r>
    </w:p>
    <w:p w14:paraId="270CE321" w14:textId="73D7A492" w:rsidR="00E77731" w:rsidRPr="00C3014C" w:rsidRDefault="00E77731" w:rsidP="00786D09">
      <w:pPr>
        <w:pStyle w:val="BodyText1"/>
        <w:ind w:left="0"/>
      </w:pPr>
      <w:r w:rsidRPr="0064484C">
        <w:t>202</w:t>
      </w:r>
      <w:r w:rsidR="007375AD" w:rsidRPr="0064484C">
        <w:t>6</w:t>
      </w:r>
      <w:r w:rsidRPr="0064484C">
        <w:t xml:space="preserve">թ. բյուջեի 6-րդ հավելվածով ներկայացվել են ծախսային առաջնահերթությունները՝ </w:t>
      </w:r>
      <w:r w:rsidR="009E6B3B">
        <w:t>3</w:t>
      </w:r>
      <w:r w:rsidR="00CA5BC1">
        <w:rPr>
          <w:lang w:val="hy-AM"/>
        </w:rPr>
        <w:t>43</w:t>
      </w:r>
      <w:r w:rsidR="00C505EF">
        <w:t>.</w:t>
      </w:r>
      <w:r w:rsidR="00941414">
        <w:rPr>
          <w:lang w:val="hy-AM"/>
        </w:rPr>
        <w:t>5</w:t>
      </w:r>
      <w:r w:rsidRPr="0064484C">
        <w:t xml:space="preserve"> մլրդ դրամի</w:t>
      </w:r>
      <w:r w:rsidRPr="00C3014C">
        <w:t xml:space="preserve"> չափով: </w:t>
      </w:r>
    </w:p>
    <w:p w14:paraId="34723E42" w14:textId="39EB614E" w:rsidR="00E77731" w:rsidRPr="00C3014C" w:rsidRDefault="00E77731" w:rsidP="00786D09">
      <w:pPr>
        <w:pStyle w:val="BodyText1"/>
        <w:ind w:left="0"/>
      </w:pPr>
      <w:r w:rsidRPr="00C3014C">
        <w:t>ԲԳԿ-ների կողմից ներկայացված առաջնահերթությունները 202</w:t>
      </w:r>
      <w:r w:rsidR="007375AD">
        <w:t>6</w:t>
      </w:r>
      <w:r w:rsidRPr="00C3014C">
        <w:t>թ. բյուջեում լրացուցիչ ֆինանսական միջոցների առկայության պայմաններում (Հայաստանի Հանրապետության տնտեսական զարգացման բարենպաստ միջավայրի և այլ գործոններով պայմանավորված), ինչպես նաև</w:t>
      </w:r>
      <w:r w:rsidR="007375AD">
        <w:t xml:space="preserve"> 2026</w:t>
      </w:r>
      <w:r w:rsidRPr="00C3014C">
        <w:t>թ ընթացքում բյուջեով նախատեսված ծախսերի կրճատման, ծախսային ուղղությունների գծով հնարավոր գերակայությունների (առաջնահերթությունների) փոփոխման արդյունքում վերաբաշխումների (փոխատեղումների), խնայողությունների առկայության, Հայաստանի Հանրապետության օրենսդրությամբ սահմանված կարգով Հայաստանի Հանրապետության պետական բյուջեի դեֆիցիտի սահմանաչափի ավելացման պարագայում վերջիններիս ֆինանսավորումը պետք է իրականացվ</w:t>
      </w:r>
      <w:r w:rsidR="00397E7B">
        <w:rPr>
          <w:lang w:val="hy-AM"/>
        </w:rPr>
        <w:t>ի</w:t>
      </w:r>
      <w:r w:rsidRPr="00C3014C">
        <w:t xml:space="preserve"> առաջնահերթ կարգով՝ կապիտալ ծախսերի դեպքում հիմք ընդունելով համապատասխան նախագծանախահաշվային փաստաթղթերի հիման վրա այդ աշխատանքների արժեքների ճշգրտումները։</w:t>
      </w:r>
    </w:p>
    <w:p w14:paraId="1DCB3894" w14:textId="77777777" w:rsidR="00E77731" w:rsidRDefault="00E77731" w:rsidP="00786D09">
      <w:pPr>
        <w:pStyle w:val="BodyText1"/>
        <w:ind w:left="0"/>
        <w:rPr>
          <w:lang w:val="hy-AM"/>
        </w:rPr>
      </w:pPr>
      <w:r w:rsidRPr="00C3014C">
        <w:t>Առաջնահերթություններում կարևորվում է նաև կապիտալ ծրագրերի դերը, որոնք իրենց ուրույն տեղն են գտել նաև ՊՖԿՀ բարեփոխումների ռազմավարությունում, որտեղ «Հանրային ներդրումների կառավարման» համակարգի ներդրումը դիտվում է որպես կապիտալ ծրագրերի գնահատման, առաջնահերթությունների որոշման և ֆինանսավորման համար անհրաժեշտ ռեսուրսների հաշվարկման առանցքային գործիքակազմի բաղադրիչներից մեկը: Այս միջոցառման իրականացումը ապագայում կնպաստի կապիտալ ծախսերի իրականացման արդյունավետության բարձրացմանը՝ խթանելով երկարաժամկետ տնտեսական աճի արագացումը:</w:t>
      </w:r>
      <w:r w:rsidR="00ED4246">
        <w:rPr>
          <w:lang w:val="hy-AM"/>
        </w:rPr>
        <w:t xml:space="preserve"> </w:t>
      </w:r>
    </w:p>
    <w:p w14:paraId="18464E00" w14:textId="77777777" w:rsidR="00ED4246" w:rsidRPr="00ED4246" w:rsidRDefault="00ED4246" w:rsidP="00786D09">
      <w:pPr>
        <w:rPr>
          <w:lang w:val="hy-AM"/>
        </w:rPr>
      </w:pPr>
    </w:p>
    <w:p w14:paraId="5C2B0D5F" w14:textId="77777777" w:rsidR="00F833F7" w:rsidRDefault="00F833F7" w:rsidP="00786D09">
      <w:pPr>
        <w:rPr>
          <w:rFonts w:ascii="GHEA Grapalat" w:hAnsi="GHEA Grapalat"/>
          <w:b/>
          <w:color w:val="44546A" w:themeColor="text2"/>
          <w:sz w:val="30"/>
          <w:szCs w:val="20"/>
          <w:lang w:val="hy-AM"/>
        </w:rPr>
      </w:pPr>
      <w:bookmarkStart w:id="437" w:name="_Toc178356592"/>
      <w:r>
        <w:rPr>
          <w:lang w:val="hy-AM"/>
        </w:rPr>
        <w:br w:type="page"/>
      </w:r>
    </w:p>
    <w:p w14:paraId="7AACD844" w14:textId="61D93CC6" w:rsidR="00E77731" w:rsidRDefault="00E77731" w:rsidP="00786D09">
      <w:pPr>
        <w:pStyle w:val="TOC3"/>
        <w:pBdr>
          <w:bottom w:val="single" w:sz="6" w:space="1" w:color="C3C3C7" w:themeColor="accent3" w:themeTint="66"/>
        </w:pBdr>
        <w:outlineLvl w:val="1"/>
        <w:rPr>
          <w:lang w:val="hy-AM"/>
        </w:rPr>
      </w:pPr>
      <w:bookmarkStart w:id="438" w:name="_Toc209625771"/>
      <w:bookmarkStart w:id="439" w:name="_Toc215157695"/>
      <w:r w:rsidRPr="00ED4246">
        <w:rPr>
          <w:lang w:val="hy-AM"/>
        </w:rPr>
        <w:t xml:space="preserve">ՈԼՈՐՏԱՅԻՆ </w:t>
      </w:r>
      <w:r w:rsidR="00C33EC8">
        <w:rPr>
          <w:lang w:val="hy-AM"/>
        </w:rPr>
        <w:t>ԾԱԽՍԵՐԻ ՀԻՄՆԱԿԱՆ ՈՒՂՂՈՒԹՅՈՒՆՆԵՐԸ</w:t>
      </w:r>
      <w:bookmarkEnd w:id="437"/>
      <w:bookmarkEnd w:id="438"/>
      <w:bookmarkEnd w:id="439"/>
    </w:p>
    <w:p w14:paraId="35105959" w14:textId="77777777" w:rsidR="00682902" w:rsidRPr="001A37EE" w:rsidRDefault="00682902" w:rsidP="00786D09">
      <w:pPr>
        <w:pStyle w:val="BodytextBullets"/>
        <w:numPr>
          <w:ilvl w:val="0"/>
          <w:numId w:val="0"/>
        </w:numPr>
        <w:ind w:right="357"/>
        <w:rPr>
          <w:szCs w:val="22"/>
          <w:lang w:val="hy-AM"/>
        </w:rPr>
      </w:pPr>
      <w:r w:rsidRPr="001A37EE">
        <w:rPr>
          <w:szCs w:val="22"/>
          <w:lang w:val="hy-AM"/>
        </w:rPr>
        <w:t>ՀՀ կառավարության ծրագրի առաջնահերթություններին համահունչ 2026 թվականին  կիրականացվեն սոցիալական, կրթական, առողջապահական, տնտեսական աջակցության, ենթակառուցվածքային բնույթի մի շարք առաջնահերթ միջոցառումներ, որոնց արդյունքում ի թիվս այլ թիրախների, կապահովվի հետևյալ առանցքային թիրախների իրագործումը.</w:t>
      </w:r>
    </w:p>
    <w:p w14:paraId="4F408924" w14:textId="387DAF7E" w:rsidR="00682902" w:rsidRPr="001A37EE" w:rsidRDefault="00682902" w:rsidP="00786D09">
      <w:pPr>
        <w:pStyle w:val="BodytextBullets"/>
        <w:ind w:left="0" w:right="357" w:firstLine="0"/>
        <w:rPr>
          <w:szCs w:val="22"/>
          <w:lang w:val="hy-AM"/>
        </w:rPr>
      </w:pPr>
      <w:r w:rsidRPr="001A37EE">
        <w:rPr>
          <w:szCs w:val="22"/>
          <w:lang w:val="hy-AM"/>
        </w:rPr>
        <w:t xml:space="preserve">կներդրվի առողջապահության </w:t>
      </w:r>
      <w:r w:rsidR="00E8598A">
        <w:rPr>
          <w:szCs w:val="22"/>
          <w:lang w:val="hy-AM"/>
        </w:rPr>
        <w:t>համընդհանուր</w:t>
      </w:r>
      <w:r w:rsidRPr="001A37EE">
        <w:rPr>
          <w:szCs w:val="22"/>
          <w:lang w:val="hy-AM"/>
        </w:rPr>
        <w:t xml:space="preserve"> ապահովագրության համակարգը.  </w:t>
      </w:r>
    </w:p>
    <w:p w14:paraId="79DA13CC" w14:textId="70331274" w:rsidR="00682902" w:rsidRPr="001A37EE" w:rsidRDefault="00682902" w:rsidP="00786D09">
      <w:pPr>
        <w:pStyle w:val="BodytextBullets"/>
        <w:ind w:left="0" w:right="357" w:firstLine="0"/>
        <w:rPr>
          <w:szCs w:val="22"/>
          <w:lang w:val="hy-AM"/>
        </w:rPr>
      </w:pPr>
      <w:r w:rsidRPr="001A37EE">
        <w:rPr>
          <w:szCs w:val="22"/>
          <w:lang w:val="hy-AM"/>
        </w:rPr>
        <w:t>կշարունակվի Ղարաբաղից ՀՀ բռնի տեղահանված անձանց կեցության, այդ թվում բնակարանային ապահովման և այլ ծախսերը հոգալու համար սոցիալական աջակցության ծրագիրը՝ 55 մլրդ դրամի չափով.</w:t>
      </w:r>
    </w:p>
    <w:p w14:paraId="3E3684A0" w14:textId="77777777" w:rsidR="00682902" w:rsidRPr="001A37EE" w:rsidRDefault="00682902" w:rsidP="00786D09">
      <w:pPr>
        <w:pStyle w:val="BodytextBullets"/>
        <w:ind w:left="0" w:right="357" w:firstLine="0"/>
        <w:rPr>
          <w:szCs w:val="22"/>
          <w:lang w:val="hy-AM"/>
        </w:rPr>
      </w:pPr>
      <w:r w:rsidRPr="001A37EE">
        <w:rPr>
          <w:szCs w:val="22"/>
          <w:lang w:val="hy-AM"/>
        </w:rPr>
        <w:t>կգործարկվի ընտանիքների անապահովության գնահատման նոր համակարգը, որը 2025թ. պիլոտավորվել էր ՀՀ 2 մարզերում, 2026թ.-ից կկիրառվի ամբողջ հանրապետությունում, որի նպատակը Հայաստանում ծայրահեղ աղքատության հաղթահարումն է և անապահովության մակարդակի նվազեցումը.</w:t>
      </w:r>
    </w:p>
    <w:p w14:paraId="4C8AD05B" w14:textId="77777777" w:rsidR="00682902" w:rsidRPr="001A37EE" w:rsidRDefault="00682902" w:rsidP="00786D09">
      <w:pPr>
        <w:pStyle w:val="BodytextBullets"/>
        <w:ind w:left="0" w:right="357" w:firstLine="0"/>
        <w:rPr>
          <w:szCs w:val="22"/>
          <w:lang w:val="hy-AM"/>
        </w:rPr>
      </w:pPr>
      <w:r w:rsidRPr="001A37EE">
        <w:rPr>
          <w:szCs w:val="22"/>
          <w:lang w:val="hy-AM"/>
        </w:rPr>
        <w:t>կշարունակվի անհուսալի վարկային պարտավորություններ ունեցող աշխատաշուկայից (ֆորմալ զբաղվածությունից) դուրս մնացած կամ մասնակի ֆորմալ զբաղվածություն ունեցող անձանց աջակցության ծրագիրը: 2026թ. պետական բյուջեով ծրագրի գծով նախատեսվել է 9.7 մլրդ դրամ.</w:t>
      </w:r>
    </w:p>
    <w:p w14:paraId="046811EC" w14:textId="77777777" w:rsidR="00682902" w:rsidRPr="001A37EE" w:rsidRDefault="00682902" w:rsidP="00786D09">
      <w:pPr>
        <w:pStyle w:val="BodytextBullets"/>
        <w:ind w:left="0" w:right="357" w:firstLine="0"/>
        <w:rPr>
          <w:szCs w:val="22"/>
          <w:lang w:val="hy-AM"/>
        </w:rPr>
      </w:pPr>
      <w:r w:rsidRPr="001A37EE">
        <w:rPr>
          <w:szCs w:val="22"/>
          <w:lang w:val="hy-AM"/>
        </w:rPr>
        <w:t>շարունակվելու է անկանխիկ եղանակով վճարումներից կենսաթոշակառուներին հետվճարի տրամադրումը, որի գծով 2026թ. պետական բյուջեով նախատեսվել է 20.0 մլրդ դրամ, որը 2025թ. բյուջեի նկատմամբ  ավելի է 7.6 մլրդ դրամով.</w:t>
      </w:r>
    </w:p>
    <w:p w14:paraId="27843C90" w14:textId="77777777" w:rsidR="00682902" w:rsidRPr="001A37EE" w:rsidRDefault="00682902" w:rsidP="00786D09">
      <w:pPr>
        <w:pStyle w:val="BodytextBullets"/>
        <w:ind w:left="0" w:right="357" w:firstLine="0"/>
        <w:rPr>
          <w:szCs w:val="22"/>
          <w:lang w:val="hy-AM"/>
        </w:rPr>
      </w:pPr>
      <w:r w:rsidRPr="001A37EE">
        <w:rPr>
          <w:szCs w:val="22"/>
          <w:lang w:val="hy-AM"/>
        </w:rPr>
        <w:t>«Ակադեմիական քաղաք» Ծրագրի իրականացման նպատակով 2026 թվականին նախատեսվել է 4.9 մլրդ դրամ, որի շրջանակներում շարունակվելու են նախագծման և կառուցման աշխատանքները, միջազգային խորհրդատվական ծառայությունների ձեռքբերումն ու պայմանագրերի սպասարկումը.</w:t>
      </w:r>
    </w:p>
    <w:p w14:paraId="17143223" w14:textId="77777777" w:rsidR="00682902" w:rsidRPr="001A37EE" w:rsidRDefault="00682902" w:rsidP="00786D09">
      <w:pPr>
        <w:pStyle w:val="BodytextBullets"/>
        <w:ind w:left="0" w:right="357" w:firstLine="0"/>
        <w:rPr>
          <w:szCs w:val="22"/>
          <w:lang w:val="hy-AM"/>
        </w:rPr>
      </w:pPr>
      <w:r w:rsidRPr="001A37EE">
        <w:rPr>
          <w:szCs w:val="22"/>
          <w:lang w:val="hy-AM"/>
        </w:rPr>
        <w:t>հանրակրթական դպրոցների ուսուցիչների, նախնական և միջին մասնագիտական, արտադպրոցական ուսումնական հաստատությունների, մանկավարժահոգեբանական աջակցության կենտրոնների մանկավարժական աշխատողների ատեստավորման արդյունքում կապահովվի վերջիններիս աշխատավարձերի աճը.</w:t>
      </w:r>
    </w:p>
    <w:p w14:paraId="7CD429AD" w14:textId="77777777" w:rsidR="00682902" w:rsidRPr="001A37EE" w:rsidRDefault="00682902" w:rsidP="00786D09">
      <w:pPr>
        <w:pStyle w:val="BodytextBullets"/>
        <w:ind w:left="0" w:right="357" w:firstLine="0"/>
        <w:rPr>
          <w:szCs w:val="22"/>
          <w:lang w:val="hy-AM"/>
        </w:rPr>
      </w:pPr>
      <w:r w:rsidRPr="001A37EE">
        <w:rPr>
          <w:szCs w:val="22"/>
          <w:lang w:val="hy-AM"/>
        </w:rPr>
        <w:t>կշարունակվի թվով 209 դպրոցների և 16 մանկապարտեզների կառուցման, հիմնանորոգման և վերանորոգման աշխատանքները՝ ապահովելով նաև դրանց հագեցումը անհրաժեշտ գույքով և սարքավորումներով.</w:t>
      </w:r>
    </w:p>
    <w:p w14:paraId="724FBE31" w14:textId="77777777" w:rsidR="00682902" w:rsidRPr="001A37EE" w:rsidRDefault="00682902" w:rsidP="00786D09">
      <w:pPr>
        <w:pStyle w:val="BodytextBullets"/>
        <w:ind w:left="0" w:right="357" w:firstLine="0"/>
        <w:rPr>
          <w:rFonts w:eastAsiaTheme="majorEastAsia" w:cstheme="majorBidi"/>
          <w:bCs/>
          <w:kern w:val="24"/>
          <w:szCs w:val="22"/>
          <w:lang w:val="hy-AM"/>
        </w:rPr>
      </w:pPr>
      <w:r w:rsidRPr="001A37EE">
        <w:rPr>
          <w:rFonts w:eastAsiaTheme="majorEastAsia" w:cstheme="majorBidi"/>
          <w:bCs/>
          <w:kern w:val="24"/>
          <w:szCs w:val="22"/>
          <w:lang w:val="hy-AM"/>
        </w:rPr>
        <w:t>կիրականացվեն շուրջ 350 կմ երկարությամբ միջպետական, հանրապետական և մարզային նշանակության ավտոմոբիլային ճանապարհների և 8 տրանսպորտային օբյեկտների հիմնանորոգման, 120 կմ միջին նորոգման, 4,143.7 կմ ամառային և 5,182.9 կմ ձմեռային պահպանման, ինչպես նաև 3 թունելների և 5 կամուրջների պահպանման ու շահագործման աշխատանքներ՝ 66.2 մլրդ դրամի շրջանակներում.</w:t>
      </w:r>
    </w:p>
    <w:p w14:paraId="784050D0" w14:textId="77777777" w:rsidR="00682902" w:rsidRPr="001A37EE" w:rsidRDefault="00682902" w:rsidP="00786D09">
      <w:pPr>
        <w:pStyle w:val="BodytextBullets"/>
        <w:ind w:left="0" w:right="357" w:firstLine="0"/>
        <w:rPr>
          <w:rFonts w:eastAsiaTheme="majorEastAsia" w:cstheme="majorBidi"/>
          <w:bCs/>
          <w:kern w:val="24"/>
          <w:szCs w:val="22"/>
          <w:lang w:val="hy-AM"/>
        </w:rPr>
      </w:pPr>
      <w:r w:rsidRPr="001A37EE">
        <w:rPr>
          <w:rFonts w:eastAsiaTheme="majorEastAsia" w:cstheme="majorBidi"/>
          <w:bCs/>
          <w:kern w:val="24"/>
          <w:szCs w:val="22"/>
          <w:lang w:val="hy-AM"/>
        </w:rPr>
        <w:t>վարկային միջոցների հաշվին 30.6 մլրդ դրամի շրջանակներում կշարունակվի Հյուսիս-Հարավ ճանապարհային միջանցքի Աշտարակ-Թալին 34 կմ, Քաջարան-Ագարակ 32կմ հատվածների շինարարությունը, կտրվի Քաջարանի թունելի և մոտեցումների շինարարության մեկնարկը, ինչպես նաև 2026թ.-ին կմեկնարկի Սիսիան-Քաջարան 60կմ ճանապարհահատվածի հողերի օտարման և տարաբնակեցման ծրագրի իրականացումը և կառուցման/վերակառուցման աշխատանքները, մասնավորապես՝ Սիսիան-Քաջարան 60կմ-ի Հյուսիսային ենթահատվածի (ԱԶԲ-ի և ԵՆԲ-ի ֆինանսավորում), Հարավային ենթահատվածի (ԵՆԲ-ի և ՎԶԵԲ-ի ֆինանսավորում), ինչպես նաև Բարգուշատի թունելի կառուցման աշխատանքները.</w:t>
      </w:r>
    </w:p>
    <w:p w14:paraId="566934DF" w14:textId="77777777" w:rsidR="00682902" w:rsidRPr="001A37EE" w:rsidRDefault="00682902" w:rsidP="00786D09">
      <w:pPr>
        <w:pStyle w:val="BodytextBullets"/>
        <w:ind w:left="0" w:right="357" w:firstLine="0"/>
        <w:rPr>
          <w:szCs w:val="22"/>
          <w:lang w:val="hy-AM"/>
        </w:rPr>
      </w:pPr>
      <w:r w:rsidRPr="001A37EE">
        <w:rPr>
          <w:szCs w:val="22"/>
          <w:lang w:val="hy-AM"/>
        </w:rPr>
        <w:t xml:space="preserve">կշարունակվի ջրային պաշարների մակերևութային հոսքի կառավարման նպատակով ջրամբարաշինության ծրագրերը, որի արդյունքում կապահովվի ջրային ռեսուրսների պաշարների ավելացումը և ջրային հոսքերի կառավարման համակարգի արդյունավետության բարձրացումը, մասնավորապես </w:t>
      </w:r>
      <w:r w:rsidRPr="001A37EE">
        <w:rPr>
          <w:rFonts w:eastAsiaTheme="majorEastAsia" w:cstheme="majorBidi"/>
          <w:bCs/>
          <w:kern w:val="24"/>
          <w:szCs w:val="22"/>
          <w:lang w:val="hy-AM"/>
        </w:rPr>
        <w:t>1.0 մլրդ դրամի շրջանակներում աշխատանքներ կտարվեն թվով 12 փոքր և միջին ջրամբարների կառուցման տեխնիկատնտեսական հիմնավորման ուսումնասիրությունների ծառայությունների ձեռքբերման նպատակով.</w:t>
      </w:r>
    </w:p>
    <w:p w14:paraId="1D1E2BDA" w14:textId="77777777" w:rsidR="00682902" w:rsidRPr="001A37EE" w:rsidRDefault="00682902" w:rsidP="00786D09">
      <w:pPr>
        <w:pStyle w:val="BodytextBullets"/>
        <w:ind w:left="0" w:right="357" w:firstLine="0"/>
        <w:rPr>
          <w:rFonts w:eastAsiaTheme="majorEastAsia" w:cstheme="majorBidi"/>
          <w:bCs/>
          <w:kern w:val="24"/>
          <w:szCs w:val="22"/>
          <w:lang w:val="hy-AM"/>
        </w:rPr>
      </w:pPr>
      <w:r w:rsidRPr="001A37EE">
        <w:rPr>
          <w:rFonts w:eastAsiaTheme="majorEastAsia" w:cstheme="majorBidi"/>
          <w:bCs/>
          <w:kern w:val="24"/>
          <w:szCs w:val="22"/>
          <w:lang w:val="hy-AM"/>
        </w:rPr>
        <w:t>կշարունակվի պետական աջակցության տրամադրումը բարձր տեխնոլոգիաների ոլորտում գործունեություն իրականացնող տնտեսավարող սուբյեկտներին՝ մասնագիտական աշխատանք կատարող միգրանտների (օտարերկրացիների), նոր աշխատողների ներգրավման և վերապատրաստման համար, իսկ 2026 թվականից կմեկնարկի նաև մասնագիտական աշխատանք կատարող միգրանտներին աջակցության տրամադրումը: Այս ուղղությամբ 2026թ.-ին նախատեսվել է 19.5 մլրդ դրամ.</w:t>
      </w:r>
    </w:p>
    <w:p w14:paraId="2984FFB2" w14:textId="77777777" w:rsidR="00682902" w:rsidRPr="001A37EE" w:rsidRDefault="00682902" w:rsidP="00786D09">
      <w:pPr>
        <w:pStyle w:val="BodytextBullets"/>
        <w:ind w:left="0" w:right="357" w:firstLine="0"/>
        <w:rPr>
          <w:rFonts w:eastAsia="Times New Roman" w:cs="Arial"/>
          <w:szCs w:val="22"/>
          <w:lang w:val="hy-AM"/>
        </w:rPr>
      </w:pPr>
      <w:r w:rsidRPr="001A37EE">
        <w:rPr>
          <w:rFonts w:eastAsia="Times New Roman" w:cs="Times New Roman"/>
          <w:bCs/>
          <w:kern w:val="24"/>
          <w:szCs w:val="22"/>
          <w:lang w:val="hy-AM"/>
        </w:rPr>
        <w:t>տնտեսության ոլորտում նախատեսվող</w:t>
      </w:r>
      <w:r w:rsidRPr="001A37EE">
        <w:rPr>
          <w:rFonts w:eastAsia="SimSun" w:cs="Arial"/>
          <w:szCs w:val="22"/>
          <w:lang w:val="hy-AM"/>
        </w:rPr>
        <w:t xml:space="preserve"> խոշոր փոփոխությունները վերաբերվում են աջակցության գործող </w:t>
      </w:r>
      <w:r w:rsidRPr="001A37EE">
        <w:rPr>
          <w:rFonts w:eastAsia="Times New Roman" w:cs="Arial"/>
          <w:szCs w:val="22"/>
          <w:lang w:val="hy-AM"/>
        </w:rPr>
        <w:t>(անասնաբուծության ճյուղում իրականացվող ներդրումային ծրագրերին, աշնանացան ցորենի մշակության հիմնական աշխատանքներին, ինտենսիվ այգեգործության զարգացման ծախսերին, տնտեսության արդիականացման միջոցառումներին աջակցություն) և նոր (տնամերձ հողամասերում այգեհիմնման և ոռոգման արդիական համակարգերի ներդրման) ծրագրերի ֆինանսավորմանը՝ 44.8 մլրդ դրամ չափով.</w:t>
      </w:r>
    </w:p>
    <w:p w14:paraId="6E521DA9" w14:textId="77777777" w:rsidR="00682902" w:rsidRPr="001A37EE" w:rsidRDefault="00682902" w:rsidP="00786D09">
      <w:pPr>
        <w:pStyle w:val="BodytextBullets"/>
        <w:ind w:left="0" w:right="357" w:firstLine="0"/>
        <w:rPr>
          <w:rFonts w:eastAsiaTheme="majorEastAsia" w:cstheme="majorBidi"/>
          <w:bCs/>
          <w:kern w:val="24"/>
          <w:szCs w:val="22"/>
          <w:lang w:val="hy-AM"/>
        </w:rPr>
      </w:pPr>
      <w:r w:rsidRPr="001A37EE">
        <w:rPr>
          <w:rFonts w:eastAsiaTheme="majorEastAsia" w:cstheme="majorBidi"/>
          <w:bCs/>
          <w:kern w:val="24"/>
          <w:szCs w:val="22"/>
          <w:lang w:val="hy-AM"/>
        </w:rPr>
        <w:t>կմեկնարկի ավիացիայի աջակցության հաստատված ծրագրով ֆինանսական օժանդակության տրամադրումը այն ավիաընկերություններին, որոնք կփոխադրեն օդային ուղևորներին նոր ուղղություններից Երևանի «Զվարթնոց» և Գյումրու «Շիրակ» օդանավակայաններ։ Այս ուղղությամբ 2026թ.-ին նախատեսվել է 3.0 մլրդ դրամ.</w:t>
      </w:r>
    </w:p>
    <w:p w14:paraId="5F48DFF8" w14:textId="77777777" w:rsidR="00682902" w:rsidRPr="001A37EE" w:rsidRDefault="00682902" w:rsidP="00786D09">
      <w:pPr>
        <w:pStyle w:val="BodytextBullets"/>
        <w:ind w:left="0" w:right="357" w:firstLine="0"/>
        <w:rPr>
          <w:rFonts w:eastAsiaTheme="majorEastAsia" w:cstheme="majorBidi"/>
          <w:bCs/>
          <w:kern w:val="24"/>
          <w:szCs w:val="22"/>
          <w:lang w:val="hy-AM"/>
        </w:rPr>
      </w:pPr>
      <w:r w:rsidRPr="001A37EE">
        <w:rPr>
          <w:rFonts w:eastAsiaTheme="majorEastAsia" w:cstheme="majorBidi"/>
          <w:bCs/>
          <w:kern w:val="24"/>
          <w:szCs w:val="22"/>
          <w:lang w:val="hy-AM"/>
        </w:rPr>
        <w:t>կշարունակվի բնակարանների և անհատական բնակելի տների էներգաարդյունավետ վերանորոգման աշխատանքների պետական աջակցության ծրագրով 34555 շահառուների կողմից ներգրավված վարկերի տոկոսադրույքների սուբսիդավորումը՝ 6.0 մլրդ դրամ.</w:t>
      </w:r>
    </w:p>
    <w:p w14:paraId="09C50570" w14:textId="77777777" w:rsidR="00682902" w:rsidRPr="001A37EE" w:rsidRDefault="00682902" w:rsidP="00786D09">
      <w:pPr>
        <w:pStyle w:val="BodytextBullets"/>
        <w:ind w:left="0" w:right="357" w:firstLine="0"/>
        <w:rPr>
          <w:rFonts w:eastAsiaTheme="majorEastAsia" w:cstheme="majorBidi"/>
          <w:bCs/>
          <w:kern w:val="24"/>
          <w:szCs w:val="22"/>
          <w:lang w:val="hy-AM"/>
        </w:rPr>
      </w:pPr>
      <w:r w:rsidRPr="001A37EE">
        <w:rPr>
          <w:rFonts w:eastAsiaTheme="majorEastAsia" w:cstheme="majorBidi"/>
          <w:bCs/>
          <w:kern w:val="24"/>
          <w:szCs w:val="22"/>
          <w:lang w:val="hy-AM"/>
        </w:rPr>
        <w:t>կշարունակվի ՀՀ կառավարության կողմից համաֆինանսավորման սկզբունքով համայնքներում մասնակցային բյուջետավորմամբ սուբվենցիոն ծրագրերի իրականացումը, որի գծով 2026 թվականին նախատեսվում է 2.0 մլրդ դրամ՝ 2025թ 1.0 մլրդ դրամի դիմաց.</w:t>
      </w:r>
    </w:p>
    <w:p w14:paraId="666E5315" w14:textId="77777777" w:rsidR="00682902" w:rsidRPr="001A37EE" w:rsidRDefault="00682902" w:rsidP="00786D09">
      <w:pPr>
        <w:pStyle w:val="BodytextBullets"/>
        <w:ind w:left="0" w:right="357" w:firstLine="0"/>
        <w:rPr>
          <w:rFonts w:eastAsia="Times New Roman" w:cs="Arial"/>
          <w:bCs/>
          <w:szCs w:val="22"/>
          <w:lang w:val="hy-AM"/>
        </w:rPr>
      </w:pPr>
      <w:r w:rsidRPr="001A37EE">
        <w:rPr>
          <w:rFonts w:eastAsia="Times New Roman" w:cs="Arial"/>
          <w:bCs/>
          <w:szCs w:val="22"/>
          <w:lang w:val="hy-AM"/>
        </w:rPr>
        <w:t>նախատեսվել է նոր բյուջետային ծրագիր (սոցկրեդիտ) անկանխիկ եղանակով սոցիալական ծախսեր կատարած հայտարարատու համարվող ֆիզիկական անձանց առողջապահության և կրթության ծախսերի փոխհատուցման նպատակով՝ 10 մլրդ դրամ.</w:t>
      </w:r>
    </w:p>
    <w:p w14:paraId="31762BB7" w14:textId="77777777" w:rsidR="00682902" w:rsidRPr="001A37EE" w:rsidRDefault="00682902" w:rsidP="00786D09">
      <w:pPr>
        <w:pStyle w:val="BodytextBullets"/>
        <w:ind w:left="0" w:right="357" w:firstLine="0"/>
        <w:rPr>
          <w:rFonts w:eastAsia="Times New Roman" w:cs="Arial"/>
          <w:bCs/>
          <w:szCs w:val="22"/>
          <w:lang w:val="hy-AM"/>
        </w:rPr>
      </w:pPr>
      <w:r w:rsidRPr="001A37EE">
        <w:rPr>
          <w:rFonts w:eastAsia="Times New Roman" w:cs="Arial"/>
          <w:bCs/>
          <w:szCs w:val="22"/>
          <w:lang w:val="hy-AM"/>
        </w:rPr>
        <w:t>նախատեսվել է նոր բյուջետային ծրագիր անկանխիկ եղանակով վճարումներից հետվճարի տրամադրման գծով՝ 3.5 մլրդ դրամ.</w:t>
      </w:r>
    </w:p>
    <w:p w14:paraId="1D77D237" w14:textId="77777777" w:rsidR="00682902" w:rsidRPr="001A37EE" w:rsidRDefault="00682902" w:rsidP="00786D09">
      <w:pPr>
        <w:pStyle w:val="BodytextBullets"/>
        <w:ind w:left="0" w:right="357" w:firstLine="0"/>
        <w:rPr>
          <w:rFonts w:eastAsia="Times New Roman" w:cs="Arial"/>
          <w:bCs/>
          <w:szCs w:val="22"/>
          <w:lang w:val="hy-AM"/>
        </w:rPr>
      </w:pPr>
      <w:r w:rsidRPr="001A37EE">
        <w:rPr>
          <w:rFonts w:eastAsia="Times New Roman" w:cs="Arial"/>
          <w:bCs/>
          <w:szCs w:val="22"/>
          <w:lang w:val="hy-AM"/>
        </w:rPr>
        <w:t>COP 17 համաժողովի կազմակերպման նպատակով նախատեսվել է 1.0 մլրդ դրամ.</w:t>
      </w:r>
    </w:p>
    <w:p w14:paraId="18C84D71" w14:textId="3DBD9AAF" w:rsidR="00682902" w:rsidRPr="001A37EE" w:rsidRDefault="00682902" w:rsidP="00786D09">
      <w:pPr>
        <w:pStyle w:val="BodytextBullets"/>
        <w:ind w:left="0" w:right="357" w:firstLine="0"/>
        <w:rPr>
          <w:rFonts w:eastAsia="Times New Roman" w:cs="Arial"/>
          <w:bCs/>
          <w:szCs w:val="22"/>
          <w:lang w:val="hy-AM"/>
        </w:rPr>
      </w:pPr>
      <w:r w:rsidRPr="001A37EE">
        <w:rPr>
          <w:szCs w:val="22"/>
          <w:lang w:val="hy-AM"/>
        </w:rPr>
        <w:t xml:space="preserve">Եվրոպական քաղաքական համայնքի 8-րդ գագաթնաժողովը կազմակերպվելու է 2026թ. Հայաստանում, որի համար ՀՀ պետական բյուջեով նախատեսված է 1.0 մլրդ դրամ: </w:t>
      </w:r>
    </w:p>
    <w:p w14:paraId="64343C40" w14:textId="213B06C2" w:rsidR="00682902" w:rsidRPr="001A37EE" w:rsidRDefault="00682902" w:rsidP="00786D09">
      <w:pPr>
        <w:pStyle w:val="BodytextBullets"/>
        <w:numPr>
          <w:ilvl w:val="0"/>
          <w:numId w:val="0"/>
        </w:numPr>
        <w:rPr>
          <w:color w:val="44546A" w:themeColor="text2"/>
          <w:sz w:val="24"/>
          <w:lang w:val="hy-AM"/>
        </w:rPr>
      </w:pPr>
      <w:r w:rsidRPr="001A37EE">
        <w:rPr>
          <w:lang w:val="hy-AM"/>
        </w:rPr>
        <w:t>Ոլորտային ծախսերն ըստ բյուջետային գլխավոր կարգադրիչների ներկայացված են հավելված N 1</w:t>
      </w:r>
      <w:r w:rsidR="00957A78">
        <w:rPr>
          <w:lang w:val="hy-AM"/>
        </w:rPr>
        <w:t>-</w:t>
      </w:r>
      <w:r w:rsidRPr="001A37EE">
        <w:rPr>
          <w:lang w:val="hy-AM"/>
        </w:rPr>
        <w:t>ում:</w:t>
      </w:r>
    </w:p>
    <w:p w14:paraId="53F191FA" w14:textId="58279E24" w:rsidR="00E77731" w:rsidRPr="00C3014C" w:rsidRDefault="00B35CD3" w:rsidP="00786D09">
      <w:pPr>
        <w:pStyle w:val="TOC3"/>
        <w:pBdr>
          <w:bottom w:val="single" w:sz="6" w:space="1" w:color="C3C3C7" w:themeColor="accent3" w:themeTint="66"/>
        </w:pBdr>
        <w:outlineLvl w:val="1"/>
        <w:rPr>
          <w:lang w:val="hy-AM"/>
        </w:rPr>
      </w:pPr>
      <w:bookmarkStart w:id="440" w:name="_Toc178356593"/>
      <w:bookmarkStart w:id="441" w:name="_Toc57655473"/>
      <w:bookmarkStart w:id="442" w:name="_Toc183801089"/>
      <w:bookmarkStart w:id="443" w:name="_Toc209625772"/>
      <w:bookmarkStart w:id="444" w:name="_Toc215157696"/>
      <w:r w:rsidRPr="00B35CD3">
        <w:rPr>
          <w:lang w:val="hy-AM"/>
        </w:rPr>
        <w:t>ՊԵՏԱԿԱՆ ԻՇԽԱՆՈՒԹՅԱՆ ՄԱՐՄԻՆՆԵՐԻ ՊԱՀՊԱՆՄԱՆ ԾԱԽՍԵՐ</w:t>
      </w:r>
      <w:bookmarkEnd w:id="440"/>
      <w:bookmarkEnd w:id="441"/>
      <w:bookmarkEnd w:id="442"/>
      <w:bookmarkEnd w:id="443"/>
      <w:bookmarkEnd w:id="444"/>
    </w:p>
    <w:p w14:paraId="4D23C319" w14:textId="77777777" w:rsidR="00682902" w:rsidRPr="008C64BA" w:rsidRDefault="00682902" w:rsidP="00786D09">
      <w:pPr>
        <w:pStyle w:val="BodyText1"/>
        <w:ind w:left="0" w:right="357"/>
        <w:rPr>
          <w:lang w:val="hy-AM"/>
        </w:rPr>
      </w:pPr>
      <w:r w:rsidRPr="008C64BA">
        <w:rPr>
          <w:lang w:val="hy-AM"/>
        </w:rPr>
        <w:t>Ոլորտը</w:t>
      </w:r>
      <w:r w:rsidRPr="008C64BA">
        <w:rPr>
          <w:lang w:val="af-ZA"/>
        </w:rPr>
        <w:t xml:space="preserve"> </w:t>
      </w:r>
      <w:r w:rsidRPr="008C64BA">
        <w:rPr>
          <w:lang w:val="hy-AM"/>
        </w:rPr>
        <w:t>ներառում</w:t>
      </w:r>
      <w:r w:rsidRPr="008C64BA">
        <w:rPr>
          <w:lang w:val="af-ZA"/>
        </w:rPr>
        <w:t xml:space="preserve"> </w:t>
      </w:r>
      <w:r w:rsidRPr="008C64BA">
        <w:rPr>
          <w:lang w:val="hy-AM"/>
        </w:rPr>
        <w:t>է</w:t>
      </w:r>
      <w:r w:rsidRPr="008C64BA">
        <w:rPr>
          <w:lang w:val="af-ZA"/>
        </w:rPr>
        <w:t xml:space="preserve"> </w:t>
      </w:r>
      <w:r w:rsidRPr="008C64BA">
        <w:rPr>
          <w:lang w:val="hy-AM"/>
        </w:rPr>
        <w:t>Սահմանադրությամբ</w:t>
      </w:r>
      <w:r w:rsidRPr="008C64BA">
        <w:rPr>
          <w:lang w:val="af-ZA"/>
        </w:rPr>
        <w:t xml:space="preserve"> </w:t>
      </w:r>
      <w:r w:rsidRPr="008C64BA">
        <w:rPr>
          <w:lang w:val="hy-AM"/>
        </w:rPr>
        <w:t>և</w:t>
      </w:r>
      <w:r w:rsidRPr="008C64BA">
        <w:rPr>
          <w:lang w:val="af-ZA"/>
        </w:rPr>
        <w:t xml:space="preserve"> </w:t>
      </w:r>
      <w:r w:rsidRPr="008C64BA">
        <w:rPr>
          <w:lang w:val="hy-AM"/>
        </w:rPr>
        <w:t>օրենքով</w:t>
      </w:r>
      <w:r w:rsidRPr="008C64BA">
        <w:rPr>
          <w:lang w:val="af-ZA"/>
        </w:rPr>
        <w:t xml:space="preserve"> </w:t>
      </w:r>
      <w:r w:rsidRPr="008C64BA">
        <w:rPr>
          <w:lang w:val="hy-AM"/>
        </w:rPr>
        <w:t>ստեղծված</w:t>
      </w:r>
      <w:r w:rsidRPr="008C64BA">
        <w:rPr>
          <w:lang w:val="af-ZA"/>
        </w:rPr>
        <w:t xml:space="preserve"> </w:t>
      </w:r>
      <w:r w:rsidRPr="008C64BA">
        <w:rPr>
          <w:lang w:val="hy-AM"/>
        </w:rPr>
        <w:t>պետական</w:t>
      </w:r>
      <w:r w:rsidRPr="008C64BA">
        <w:rPr>
          <w:lang w:val="af-ZA"/>
        </w:rPr>
        <w:t xml:space="preserve"> </w:t>
      </w:r>
      <w:r w:rsidRPr="008C64BA">
        <w:rPr>
          <w:lang w:val="hy-AM"/>
        </w:rPr>
        <w:t>մարմինների</w:t>
      </w:r>
      <w:r w:rsidRPr="008C64BA">
        <w:rPr>
          <w:lang w:val="af-ZA"/>
        </w:rPr>
        <w:t xml:space="preserve"> </w:t>
      </w:r>
      <w:r w:rsidRPr="008C64BA">
        <w:rPr>
          <w:lang w:val="hy-AM"/>
        </w:rPr>
        <w:t>պահպանմանն</w:t>
      </w:r>
      <w:r w:rsidRPr="008C64BA">
        <w:rPr>
          <w:lang w:val="af-ZA"/>
        </w:rPr>
        <w:t xml:space="preserve"> </w:t>
      </w:r>
      <w:r w:rsidRPr="008C64BA">
        <w:rPr>
          <w:lang w:val="hy-AM"/>
        </w:rPr>
        <w:t>ուղղված</w:t>
      </w:r>
      <w:r w:rsidRPr="008C64BA">
        <w:rPr>
          <w:lang w:val="af-ZA"/>
        </w:rPr>
        <w:t xml:space="preserve"> </w:t>
      </w:r>
      <w:r w:rsidRPr="008C64BA">
        <w:rPr>
          <w:lang w:val="hy-AM"/>
        </w:rPr>
        <w:t>բյուջետային</w:t>
      </w:r>
      <w:r w:rsidRPr="008C64BA">
        <w:rPr>
          <w:lang w:val="af-ZA"/>
        </w:rPr>
        <w:t xml:space="preserve"> </w:t>
      </w:r>
      <w:r w:rsidRPr="008C64BA">
        <w:rPr>
          <w:lang w:val="hy-AM"/>
        </w:rPr>
        <w:t>ծրագրերի</w:t>
      </w:r>
      <w:r w:rsidRPr="008C64BA">
        <w:rPr>
          <w:lang w:val="af-ZA"/>
        </w:rPr>
        <w:t xml:space="preserve"> </w:t>
      </w:r>
      <w:r w:rsidRPr="008C64BA">
        <w:rPr>
          <w:lang w:val="hy-AM"/>
        </w:rPr>
        <w:t>ու</w:t>
      </w:r>
      <w:r w:rsidRPr="008C64BA">
        <w:rPr>
          <w:lang w:val="af-ZA"/>
        </w:rPr>
        <w:t xml:space="preserve"> </w:t>
      </w:r>
      <w:r w:rsidRPr="008C64BA">
        <w:rPr>
          <w:lang w:val="hy-AM"/>
        </w:rPr>
        <w:t>միջոցառումների</w:t>
      </w:r>
      <w:r w:rsidRPr="008C64BA">
        <w:rPr>
          <w:lang w:val="af-ZA"/>
        </w:rPr>
        <w:t xml:space="preserve"> </w:t>
      </w:r>
      <w:r w:rsidRPr="008C64BA">
        <w:rPr>
          <w:lang w:val="hy-AM"/>
        </w:rPr>
        <w:t>շրջանակը</w:t>
      </w:r>
      <w:r w:rsidRPr="008C64BA">
        <w:rPr>
          <w:lang w:val="af-ZA"/>
        </w:rPr>
        <w:t xml:space="preserve">, </w:t>
      </w:r>
      <w:r w:rsidRPr="008C64BA">
        <w:rPr>
          <w:lang w:val="hy-AM"/>
        </w:rPr>
        <w:t>որն</w:t>
      </w:r>
      <w:r w:rsidRPr="008C64BA">
        <w:rPr>
          <w:lang w:val="af-ZA"/>
        </w:rPr>
        <w:t xml:space="preserve"> </w:t>
      </w:r>
      <w:r w:rsidRPr="008C64BA">
        <w:rPr>
          <w:lang w:val="hy-AM"/>
        </w:rPr>
        <w:t>ընդգրկում</w:t>
      </w:r>
      <w:r w:rsidRPr="008C64BA">
        <w:rPr>
          <w:lang w:val="af-ZA"/>
        </w:rPr>
        <w:t xml:space="preserve"> </w:t>
      </w:r>
      <w:r w:rsidRPr="008C64BA">
        <w:rPr>
          <w:lang w:val="hy-AM"/>
        </w:rPr>
        <w:t>է</w:t>
      </w:r>
      <w:r w:rsidRPr="008C64BA">
        <w:rPr>
          <w:lang w:val="af-ZA"/>
        </w:rPr>
        <w:t xml:space="preserve"> </w:t>
      </w:r>
      <w:r w:rsidRPr="008C64BA">
        <w:rPr>
          <w:lang w:val="hy-AM"/>
        </w:rPr>
        <w:t>պետական</w:t>
      </w:r>
      <w:r w:rsidRPr="008C64BA">
        <w:rPr>
          <w:lang w:val="af-ZA"/>
        </w:rPr>
        <w:t xml:space="preserve"> </w:t>
      </w:r>
      <w:r w:rsidRPr="008C64BA">
        <w:rPr>
          <w:lang w:val="hy-AM"/>
        </w:rPr>
        <w:t>իշխանության</w:t>
      </w:r>
      <w:r w:rsidRPr="008C64BA">
        <w:rPr>
          <w:lang w:val="af-ZA"/>
        </w:rPr>
        <w:t xml:space="preserve"> </w:t>
      </w:r>
      <w:r w:rsidRPr="008C64BA">
        <w:rPr>
          <w:lang w:val="hy-AM"/>
        </w:rPr>
        <w:t>մարմինների</w:t>
      </w:r>
      <w:r w:rsidRPr="008C64BA">
        <w:rPr>
          <w:lang w:val="af-ZA"/>
        </w:rPr>
        <w:t xml:space="preserve"> (</w:t>
      </w:r>
      <w:r w:rsidRPr="008C64BA">
        <w:rPr>
          <w:lang w:val="hy-AM"/>
        </w:rPr>
        <w:t>օրենսդիր</w:t>
      </w:r>
      <w:r w:rsidRPr="008C64BA">
        <w:rPr>
          <w:lang w:val="af-ZA"/>
        </w:rPr>
        <w:t xml:space="preserve">, </w:t>
      </w:r>
      <w:r w:rsidRPr="008C64BA">
        <w:rPr>
          <w:lang w:val="hy-AM"/>
        </w:rPr>
        <w:t>գործադիր</w:t>
      </w:r>
      <w:r w:rsidRPr="008C64BA">
        <w:rPr>
          <w:lang w:val="af-ZA"/>
        </w:rPr>
        <w:t xml:space="preserve"> </w:t>
      </w:r>
      <w:r w:rsidRPr="008C64BA">
        <w:rPr>
          <w:lang w:val="hy-AM"/>
        </w:rPr>
        <w:t>և</w:t>
      </w:r>
      <w:r w:rsidRPr="008C64BA">
        <w:rPr>
          <w:lang w:val="af-ZA"/>
        </w:rPr>
        <w:t xml:space="preserve"> </w:t>
      </w:r>
      <w:r w:rsidRPr="008C64BA">
        <w:rPr>
          <w:lang w:val="hy-AM"/>
        </w:rPr>
        <w:t>դատական</w:t>
      </w:r>
      <w:r w:rsidRPr="008C64BA">
        <w:rPr>
          <w:lang w:val="af-ZA"/>
        </w:rPr>
        <w:t xml:space="preserve">), </w:t>
      </w:r>
      <w:r w:rsidRPr="008C64BA">
        <w:rPr>
          <w:lang w:val="hy-AM"/>
        </w:rPr>
        <w:t>Սահմանադրությամբ</w:t>
      </w:r>
      <w:r w:rsidRPr="008C64BA">
        <w:rPr>
          <w:lang w:val="af-ZA"/>
        </w:rPr>
        <w:t xml:space="preserve"> </w:t>
      </w:r>
      <w:r w:rsidRPr="008C64BA">
        <w:rPr>
          <w:lang w:val="hy-AM"/>
        </w:rPr>
        <w:t>և</w:t>
      </w:r>
      <w:r w:rsidRPr="008C64BA">
        <w:rPr>
          <w:lang w:val="af-ZA"/>
        </w:rPr>
        <w:t xml:space="preserve"> </w:t>
      </w:r>
      <w:r w:rsidRPr="008C64BA">
        <w:rPr>
          <w:lang w:val="hy-AM"/>
        </w:rPr>
        <w:t>օրենքով</w:t>
      </w:r>
      <w:r w:rsidRPr="008C64BA">
        <w:rPr>
          <w:lang w:val="af-ZA"/>
        </w:rPr>
        <w:t xml:space="preserve"> </w:t>
      </w:r>
      <w:r w:rsidRPr="008C64BA">
        <w:rPr>
          <w:lang w:val="hy-AM"/>
        </w:rPr>
        <w:t>ստեղծված</w:t>
      </w:r>
      <w:r w:rsidRPr="008C64BA">
        <w:rPr>
          <w:lang w:val="af-ZA"/>
        </w:rPr>
        <w:t xml:space="preserve"> </w:t>
      </w:r>
      <w:r w:rsidRPr="008C64BA">
        <w:rPr>
          <w:lang w:val="hy-AM"/>
        </w:rPr>
        <w:t>ինքնավար</w:t>
      </w:r>
      <w:r w:rsidRPr="008C64BA">
        <w:rPr>
          <w:lang w:val="af-ZA"/>
        </w:rPr>
        <w:t xml:space="preserve"> </w:t>
      </w:r>
      <w:r w:rsidRPr="008C64BA">
        <w:rPr>
          <w:lang w:val="hy-AM"/>
        </w:rPr>
        <w:t>և</w:t>
      </w:r>
      <w:r w:rsidRPr="008C64BA">
        <w:rPr>
          <w:lang w:val="af-ZA"/>
        </w:rPr>
        <w:t xml:space="preserve"> </w:t>
      </w:r>
      <w:r w:rsidRPr="008C64BA">
        <w:rPr>
          <w:lang w:val="hy-AM"/>
        </w:rPr>
        <w:t>անկախ</w:t>
      </w:r>
      <w:r w:rsidRPr="008C64BA">
        <w:rPr>
          <w:lang w:val="af-ZA"/>
        </w:rPr>
        <w:t xml:space="preserve"> </w:t>
      </w:r>
      <w:r w:rsidRPr="008C64BA">
        <w:rPr>
          <w:lang w:val="hy-AM"/>
        </w:rPr>
        <w:t>մարմինների</w:t>
      </w:r>
      <w:r w:rsidRPr="008C64BA">
        <w:rPr>
          <w:lang w:val="af-ZA"/>
        </w:rPr>
        <w:t xml:space="preserve"> </w:t>
      </w:r>
      <w:r w:rsidRPr="008C64BA">
        <w:rPr>
          <w:lang w:val="hy-AM"/>
        </w:rPr>
        <w:t>ընթացիկ</w:t>
      </w:r>
      <w:r w:rsidRPr="008C64BA">
        <w:rPr>
          <w:lang w:val="af-ZA"/>
        </w:rPr>
        <w:t xml:space="preserve"> </w:t>
      </w:r>
      <w:r w:rsidRPr="008C64BA">
        <w:rPr>
          <w:lang w:val="hy-AM"/>
        </w:rPr>
        <w:t>պահպանումը</w:t>
      </w:r>
      <w:r w:rsidRPr="008C64BA">
        <w:rPr>
          <w:lang w:val="af-ZA"/>
        </w:rPr>
        <w:t xml:space="preserve"> </w:t>
      </w:r>
      <w:r w:rsidRPr="008C64BA">
        <w:rPr>
          <w:lang w:val="hy-AM"/>
        </w:rPr>
        <w:t>և</w:t>
      </w:r>
      <w:r w:rsidRPr="008C64BA">
        <w:rPr>
          <w:lang w:val="af-ZA"/>
        </w:rPr>
        <w:t xml:space="preserve"> </w:t>
      </w:r>
      <w:r w:rsidRPr="008C64BA">
        <w:rPr>
          <w:lang w:val="hy-AM"/>
        </w:rPr>
        <w:t>տեխնիկական</w:t>
      </w:r>
      <w:r w:rsidRPr="008C64BA">
        <w:rPr>
          <w:lang w:val="af-ZA"/>
        </w:rPr>
        <w:t xml:space="preserve"> </w:t>
      </w:r>
      <w:r w:rsidRPr="008C64BA">
        <w:rPr>
          <w:lang w:val="hy-AM"/>
        </w:rPr>
        <w:t>միջոցներով</w:t>
      </w:r>
      <w:r w:rsidRPr="008C64BA">
        <w:rPr>
          <w:lang w:val="af-ZA"/>
        </w:rPr>
        <w:t xml:space="preserve"> </w:t>
      </w:r>
      <w:r w:rsidRPr="008C64BA">
        <w:rPr>
          <w:lang w:val="hy-AM"/>
        </w:rPr>
        <w:t>ապահովումը</w:t>
      </w:r>
      <w:r w:rsidRPr="008C64BA">
        <w:rPr>
          <w:lang w:val="af-ZA"/>
        </w:rPr>
        <w:t xml:space="preserve">: </w:t>
      </w:r>
    </w:p>
    <w:p w14:paraId="700061D5" w14:textId="57888095" w:rsidR="00682902" w:rsidRPr="008C64BA" w:rsidRDefault="00682902" w:rsidP="00786D09">
      <w:pPr>
        <w:pStyle w:val="BodyText1"/>
        <w:ind w:left="0" w:right="357"/>
        <w:rPr>
          <w:color w:val="000000" w:themeColor="text1"/>
          <w:lang w:val="hy-AM"/>
        </w:rPr>
      </w:pPr>
      <w:r w:rsidRPr="008C64BA">
        <w:rPr>
          <w:lang w:val="hy-AM"/>
        </w:rPr>
        <w:t xml:space="preserve">Պետական իշխանության մարմինների (բացառությամբ ուժային մարմինների) պահպանման ծախսերի ընդհանուր գումարը ՀՀ 2026 թվականի պետական բյուջեում ծրագրավորված է </w:t>
      </w:r>
      <w:r w:rsidRPr="008C64BA">
        <w:rPr>
          <w:color w:val="000000" w:themeColor="text1"/>
          <w:lang w:val="hy-AM"/>
        </w:rPr>
        <w:t>16</w:t>
      </w:r>
      <w:r w:rsidR="001419A8">
        <w:rPr>
          <w:color w:val="000000" w:themeColor="text1"/>
          <w:lang w:val="hy-AM"/>
        </w:rPr>
        <w:t>7</w:t>
      </w:r>
      <w:r w:rsidRPr="008C64BA">
        <w:rPr>
          <w:color w:val="000000" w:themeColor="text1"/>
          <w:lang w:val="hy-AM"/>
        </w:rPr>
        <w:t>,</w:t>
      </w:r>
      <w:r w:rsidR="001419A8">
        <w:rPr>
          <w:color w:val="000000" w:themeColor="text1"/>
          <w:lang w:val="hy-AM"/>
        </w:rPr>
        <w:t>4</w:t>
      </w:r>
      <w:r w:rsidR="00D66391">
        <w:rPr>
          <w:color w:val="000000" w:themeColor="text1"/>
          <w:lang w:val="hy-AM"/>
        </w:rPr>
        <w:t>24</w:t>
      </w:r>
      <w:r w:rsidR="001419A8">
        <w:rPr>
          <w:color w:val="000000" w:themeColor="text1"/>
          <w:lang w:val="hy-AM"/>
        </w:rPr>
        <w:t>.9</w:t>
      </w:r>
      <w:r w:rsidRPr="008C64BA">
        <w:rPr>
          <w:color w:val="000000" w:themeColor="text1"/>
          <w:lang w:val="hy-AM"/>
        </w:rPr>
        <w:t xml:space="preserve"> մլն դրամի չափով, որը 2024 թվականի բյուջետային տարվա փաստացի և 2025 թվականի բյուջետային տարվա համար հաստատված համապատասխան ցուցանիշների նկատմամբ կազմում է համապատասխանաբար 10</w:t>
      </w:r>
      <w:r w:rsidR="001419A8">
        <w:rPr>
          <w:color w:val="000000" w:themeColor="text1"/>
          <w:lang w:val="hy-AM"/>
        </w:rPr>
        <w:t xml:space="preserve">2.1 </w:t>
      </w:r>
      <w:r w:rsidRPr="008C64BA">
        <w:rPr>
          <w:color w:val="000000" w:themeColor="text1"/>
          <w:lang w:val="hy-AM"/>
        </w:rPr>
        <w:t>և 10</w:t>
      </w:r>
      <w:r w:rsidR="001419A8">
        <w:rPr>
          <w:color w:val="000000" w:themeColor="text1"/>
          <w:lang w:val="hy-AM"/>
        </w:rPr>
        <w:t xml:space="preserve">1.6 </w:t>
      </w:r>
      <w:r w:rsidRPr="008C64BA">
        <w:rPr>
          <w:color w:val="000000" w:themeColor="text1"/>
          <w:lang w:val="hy-AM"/>
        </w:rPr>
        <w:t>տոկոս: Նշված ցուցանիշների համեմատությունը արտացոլված է սույն բացատրագրի N 2 աղյուսակում:</w:t>
      </w:r>
    </w:p>
    <w:p w14:paraId="59B61AB8" w14:textId="66D4F880" w:rsidR="00682902" w:rsidRPr="008C64BA" w:rsidRDefault="00682902" w:rsidP="00786D09">
      <w:pPr>
        <w:pStyle w:val="BodyText1"/>
        <w:ind w:left="0" w:right="357"/>
        <w:rPr>
          <w:lang w:val="hy-AM"/>
        </w:rPr>
      </w:pPr>
      <w:r w:rsidRPr="008C64BA">
        <w:rPr>
          <w:color w:val="000000" w:themeColor="text1"/>
          <w:lang w:val="hy-AM"/>
        </w:rPr>
        <w:t>ՀՀ 2026 թվականի պետական բյուջեում ծրագրավորված պետական իշխանության մարմինների պահպանման ընթացիկ ծախսերը նախատեսվել են 166,</w:t>
      </w:r>
      <w:r w:rsidR="001419A8">
        <w:rPr>
          <w:color w:val="000000" w:themeColor="text1"/>
          <w:lang w:val="hy-AM"/>
        </w:rPr>
        <w:t>8</w:t>
      </w:r>
      <w:r w:rsidR="00D66391">
        <w:rPr>
          <w:color w:val="000000" w:themeColor="text1"/>
          <w:lang w:val="hy-AM"/>
        </w:rPr>
        <w:t>98</w:t>
      </w:r>
      <w:r w:rsidRPr="008C64BA">
        <w:rPr>
          <w:color w:val="000000" w:themeColor="text1"/>
          <w:lang w:val="hy-AM"/>
        </w:rPr>
        <w:t xml:space="preserve">.2 մլն դրամի չափով, իսկ ոչ ֆինանսական (կապիտալ) ակտիվների գծով ծախսերը նախատեսվել են </w:t>
      </w:r>
      <w:r w:rsidR="001419A8">
        <w:rPr>
          <w:color w:val="000000" w:themeColor="text1"/>
          <w:lang w:val="hy-AM"/>
        </w:rPr>
        <w:t>526.7</w:t>
      </w:r>
      <w:r w:rsidRPr="008C64BA">
        <w:rPr>
          <w:color w:val="000000" w:themeColor="text1"/>
          <w:lang w:val="hy-AM"/>
        </w:rPr>
        <w:t xml:space="preserve"> մլն դրամի չափով:</w:t>
      </w:r>
    </w:p>
    <w:p w14:paraId="3A2BE5E0" w14:textId="77777777" w:rsidR="00682902" w:rsidRPr="008C64BA" w:rsidRDefault="00682902" w:rsidP="00786D09">
      <w:pPr>
        <w:pStyle w:val="BodyText1"/>
        <w:ind w:left="0" w:right="357"/>
        <w:rPr>
          <w:lang w:val="hy-AM"/>
        </w:rPr>
      </w:pPr>
      <w:r w:rsidRPr="008C64BA">
        <w:rPr>
          <w:lang w:val="hy-AM"/>
        </w:rPr>
        <w:t xml:space="preserve">Պետական իշխանության մարմինների պահպանման ծախսերը ծրագրավորելիս դիտարկվում է Կառավարության ծրագրով նախանշված ուղղություններին և նպատակներին դրանց համապատասխանությունը, ինչպես նաև հաշվի են առնվում պետական կառավարման համակարգի ինստիտուցիոնալ բարեփոխումները՝ համաձայն առանձին ոլորտների ռազմավարական ծրագրերի: </w:t>
      </w:r>
    </w:p>
    <w:p w14:paraId="411EA4D5" w14:textId="77777777" w:rsidR="00682902" w:rsidRPr="008C64BA" w:rsidRDefault="00682902" w:rsidP="00786D09">
      <w:pPr>
        <w:pStyle w:val="BodyText1"/>
        <w:ind w:left="0" w:right="357"/>
        <w:rPr>
          <w:lang w:val="hy-AM"/>
        </w:rPr>
      </w:pPr>
      <w:r w:rsidRPr="008C64BA">
        <w:rPr>
          <w:lang w:val="hy-AM"/>
        </w:rPr>
        <w:t>Պետական իշխանության մարմինների պահպանման ծախսերի ծրագրավորման առանձնահատկությունները</w:t>
      </w:r>
    </w:p>
    <w:p w14:paraId="4FA64CC7" w14:textId="77777777" w:rsidR="00682902" w:rsidRPr="008C64BA" w:rsidRDefault="00682902" w:rsidP="00786D09">
      <w:pPr>
        <w:pStyle w:val="BodyText1"/>
        <w:ind w:left="0" w:right="357"/>
        <w:rPr>
          <w:lang w:val="hy-AM"/>
        </w:rPr>
      </w:pPr>
      <w:r w:rsidRPr="008C64BA">
        <w:rPr>
          <w:lang w:val="hy-AM"/>
        </w:rPr>
        <w:t xml:space="preserve">Պետական իշխանության մարմինների պահպանման ծախսերը ՀՀ 2026 թվականի պետական բյուջեում գլխավորապես ծրագրավորվել են հիմք ընդունելով ՀՀ կառավարության </w:t>
      </w:r>
      <w:r w:rsidRPr="008C64BA">
        <w:rPr>
          <w:color w:val="000000" w:themeColor="text1"/>
          <w:lang w:val="hy-AM"/>
        </w:rPr>
        <w:t xml:space="preserve">2025 թվականի հունիսի 5-ի N 741-Ն որոշմամբ </w:t>
      </w:r>
      <w:r w:rsidRPr="008C64BA">
        <w:rPr>
          <w:lang w:val="hy-AM"/>
        </w:rPr>
        <w:t>հաստատված Հայաստանի Հանրապետության 2026-2028 թվականների պետական ՄԺԾԾ ցուցանիշները, ինչպես նաև, ըստ անհրաժեշտության, կատարվել են փոփոխություններ՝ պայմանավորված ՄԺԾԾ-ի ընդունումից հետո պահպանման ծախսերին առնչվող օրենսդրական և իրավական ակտերում կատարված փոփոխություններով: Միաժամանակ հիմք ընդունելով 2025 թվականի սեպտեմբերի 9-ին ՀՀ վարչապետի մոտ կայացած՝ 2026-2028 թվականների ծախսային շրջանակների մասին խորհրդակցության N Վ/135-2025 արձանագրության 3.1.1-րդ կետի համաձայն, ելնելով մակրոտնտեսական և հարկաբյուջետային շրջանակներից, ընդունելի են համարվել ներկայացված մոտեցումները և ծախսերի օպտիմալացման նպատակով նվազեցվել են պետական իշխանության բոլոր մարմինների պահպանման ծախսերը (բացառությամբ ուժային և տեսչական մարմինների)՝ կիրառվելով պահպանման ծախսերի բազային ցուցանիշների նկատմամբ 2025 թվականի պետական բյուջեի ծախսերի ծրագրավորման սկզբունքը: Ընդ որում, ա</w:t>
      </w:r>
      <w:r w:rsidRPr="008C64BA">
        <w:rPr>
          <w:color w:val="000000" w:themeColor="text1"/>
          <w:kern w:val="24"/>
          <w:szCs w:val="22"/>
          <w:lang w:val="hy-AM"/>
        </w:rPr>
        <w:t>յն մարմինների համար, որոնց պահպանման ծախսերը վերոհիշյալ գործողության արդյունքում նվազել են 2025 թվականի մակարդակից՝ պահպանվել է 2025 թվականի ցուցանիշը, բայց ոչ ավելի քան 2026 թվականի բազային ցուցանիշն է:</w:t>
      </w:r>
    </w:p>
    <w:p w14:paraId="39DC607C" w14:textId="77777777" w:rsidR="00682902" w:rsidRPr="008C64BA" w:rsidRDefault="00682902" w:rsidP="00786D09">
      <w:pPr>
        <w:pStyle w:val="BodyText1"/>
        <w:ind w:left="0" w:right="357"/>
        <w:rPr>
          <w:lang w:val="hy-AM"/>
        </w:rPr>
      </w:pPr>
      <w:r w:rsidRPr="008C64BA">
        <w:rPr>
          <w:lang w:val="hy-AM"/>
        </w:rPr>
        <w:t>2026 թվականին, ինչպես նախորդ տարի՝ հաշվի առնելով առանձին պաշտոն զբաղեցնող անձանց սահմանված պաշտոնային դրույքաչափի նկատմամբ հավելման կամ հավելավճարի բարձր տոկոսը, համապատասխան մարմինների պահպանման ծախսերում պարգևատրման միջոցներ չեն նախատեսվել հետևյալ պաշտոն զբաղեցնող անձանց համար՝ Սահմանադրական դատարանի դատավորների, Բարձրագույն դատական խորհրդի անդամների, Վճռաբեկ, վերաքննիչ, ինչպես նաև առաջին ատյանի մասնագիտացված և ընդհանուր իրավասության դատարանների դատավորների, դատախազների, Քննչական կոմիտեի ինքնավար պաշտոն զբաղեցնող անձանց, Հակակոռուպցիոն կոմիտեի ինքնավար պաշտոն զբաղեցնող և օպերատիվ-հետախուզական գործառույթ իրականացնող անձանց համար:</w:t>
      </w:r>
    </w:p>
    <w:p w14:paraId="5FCCB808" w14:textId="77777777" w:rsidR="00682902" w:rsidRPr="008C64BA" w:rsidRDefault="00682902" w:rsidP="00786D09">
      <w:pPr>
        <w:pStyle w:val="BodyText1"/>
        <w:ind w:left="0" w:right="357"/>
        <w:rPr>
          <w:lang w:val="hy-AM"/>
        </w:rPr>
      </w:pPr>
      <w:r w:rsidRPr="008C64BA">
        <w:rPr>
          <w:lang w:val="hy-AM"/>
        </w:rPr>
        <w:t xml:space="preserve">ՀՀ 2026 թվականի պետական բյուջեում պետական իշխանության մարմինների պահպանման ծախսերը հաշվարկելիս հաշվի են առնվել կառուցվածքային և գործառութային կարգավորումների արդյունքում ՀՀ վարչապետի որոշմամբ հաստատված համապատասխան մարմինների աշխատողների առավելագույն թվաքանակի փոփոխությունները։ </w:t>
      </w:r>
    </w:p>
    <w:p w14:paraId="4BBD062A" w14:textId="3CD594C9" w:rsidR="00682902" w:rsidRPr="008C64BA" w:rsidRDefault="00682902" w:rsidP="00786D09">
      <w:pPr>
        <w:pStyle w:val="BodyText1"/>
        <w:ind w:left="0" w:right="357"/>
        <w:rPr>
          <w:color w:val="000000" w:themeColor="text1"/>
          <w:lang w:val="hy-AM"/>
        </w:rPr>
      </w:pPr>
      <w:r w:rsidRPr="008C64BA">
        <w:rPr>
          <w:color w:val="000000" w:themeColor="text1"/>
          <w:lang w:val="hy-AM"/>
        </w:rPr>
        <w:t>ՀՀ 2026 թվականի պետական բյուջեում պետական իշխանության մարմինների պահպանման ծախսերը հաշվարկվել են հիմք ընդունելով 21</w:t>
      </w:r>
      <w:r w:rsidR="00485B95">
        <w:rPr>
          <w:color w:val="000000" w:themeColor="text1"/>
          <w:lang w:val="hy-AM"/>
        </w:rPr>
        <w:t>436</w:t>
      </w:r>
      <w:r w:rsidRPr="008C64BA">
        <w:rPr>
          <w:color w:val="000000" w:themeColor="text1"/>
          <w:lang w:val="hy-AM"/>
        </w:rPr>
        <w:t xml:space="preserve"> հաստիքային միավորների քանակը, որը 2025 թվականի համեմատ </w:t>
      </w:r>
      <w:r w:rsidR="00485B95">
        <w:rPr>
          <w:color w:val="000000" w:themeColor="text1"/>
          <w:lang w:val="hy-AM"/>
        </w:rPr>
        <w:t>ավելի է 116</w:t>
      </w:r>
      <w:r w:rsidRPr="008C64BA">
        <w:rPr>
          <w:color w:val="000000" w:themeColor="text1"/>
          <w:lang w:val="hy-AM"/>
        </w:rPr>
        <w:t xml:space="preserve"> միավորով: </w:t>
      </w:r>
    </w:p>
    <w:p w14:paraId="2DA24B61" w14:textId="77777777" w:rsidR="00682902" w:rsidRPr="008C64BA" w:rsidRDefault="00682902" w:rsidP="00786D09">
      <w:pPr>
        <w:pStyle w:val="BodyText1"/>
        <w:ind w:left="0" w:right="357"/>
        <w:rPr>
          <w:lang w:val="hy-AM"/>
        </w:rPr>
      </w:pPr>
      <w:r w:rsidRPr="008C64BA">
        <w:rPr>
          <w:lang w:val="hy-AM"/>
        </w:rPr>
        <w:t>ՀՀ պետական իշխանության մարմինների (բացառությամբ ուժային մարմինների) աշխատողների թվաքանակի փոփոխությունը արտացոլված է սույն բացատրագրի N 2ա աղյուսակում:</w:t>
      </w:r>
    </w:p>
    <w:p w14:paraId="4BA1A69E" w14:textId="77777777" w:rsidR="0060788C" w:rsidRDefault="0060788C" w:rsidP="001739BB">
      <w:pPr>
        <w:pStyle w:val="TOC1"/>
        <w:jc w:val="both"/>
        <w:outlineLvl w:val="0"/>
        <w:rPr>
          <w:lang w:val="hy-AM"/>
        </w:rPr>
      </w:pPr>
      <w:bookmarkStart w:id="445" w:name="_Toc178356615"/>
      <w:bookmarkStart w:id="446" w:name="_Toc209625773"/>
    </w:p>
    <w:p w14:paraId="7BA04D30" w14:textId="77777777" w:rsidR="0060788C" w:rsidRDefault="0060788C" w:rsidP="001739BB">
      <w:pPr>
        <w:pStyle w:val="TOC1"/>
        <w:jc w:val="both"/>
        <w:outlineLvl w:val="0"/>
        <w:rPr>
          <w:lang w:val="hy-AM"/>
        </w:rPr>
      </w:pPr>
    </w:p>
    <w:p w14:paraId="5D5CBC2F" w14:textId="74FF27A1" w:rsidR="00957A78" w:rsidRDefault="00957A78" w:rsidP="001739BB">
      <w:pPr>
        <w:pStyle w:val="TOC1"/>
        <w:jc w:val="both"/>
        <w:outlineLvl w:val="0"/>
        <w:rPr>
          <w:lang w:val="hy-AM"/>
        </w:rPr>
      </w:pPr>
      <w:bookmarkStart w:id="447" w:name="_Toc215157697"/>
      <w:r w:rsidRPr="00E77731">
        <w:rPr>
          <w:lang w:val="hy-AM"/>
        </w:rPr>
        <w:t>ՎԵՐԼՈՒԾՈՒԹՅՈՒՆՆԵՐ</w:t>
      </w:r>
      <w:bookmarkEnd w:id="445"/>
      <w:bookmarkEnd w:id="446"/>
      <w:bookmarkEnd w:id="447"/>
    </w:p>
    <w:p w14:paraId="0914B9E6" w14:textId="77777777" w:rsidR="001F1694" w:rsidRPr="00E77731" w:rsidRDefault="001F1694" w:rsidP="001F1694">
      <w:pPr>
        <w:pStyle w:val="TOC2"/>
        <w:jc w:val="both"/>
        <w:outlineLvl w:val="1"/>
        <w:rPr>
          <w:lang w:val="hy-AM"/>
        </w:rPr>
      </w:pPr>
      <w:bookmarkStart w:id="448" w:name="_Toc178356616"/>
      <w:bookmarkStart w:id="449" w:name="_Toc209625774"/>
      <w:bookmarkStart w:id="450" w:name="_Toc210126110"/>
      <w:bookmarkStart w:id="451" w:name="_Toc215157698"/>
      <w:bookmarkStart w:id="452" w:name="_Toc83972892"/>
      <w:r w:rsidRPr="00E77731">
        <w:rPr>
          <w:lang w:val="hy-AM"/>
        </w:rPr>
        <w:t>1. ՀԱՅԱՍՏԱՆԻ ՀԱՆՐԱՊԵՏՈՒԹՅԱՆ ՊԵՏԱԿԱՆ ՊԱՐՏՔԸ</w:t>
      </w:r>
      <w:bookmarkEnd w:id="448"/>
      <w:bookmarkEnd w:id="449"/>
      <w:bookmarkEnd w:id="450"/>
      <w:bookmarkEnd w:id="451"/>
    </w:p>
    <w:p w14:paraId="7B2C68A5" w14:textId="77777777" w:rsidR="001F1694" w:rsidRPr="004A3C1A" w:rsidRDefault="001F1694" w:rsidP="001F1694">
      <w:pPr>
        <w:pStyle w:val="BodyText1"/>
        <w:ind w:left="0"/>
        <w:rPr>
          <w:lang w:val="hy-AM"/>
        </w:rPr>
      </w:pPr>
      <w:bookmarkStart w:id="453" w:name="_Toc178350627"/>
      <w:bookmarkStart w:id="454" w:name="_Toc178612152"/>
      <w:bookmarkStart w:id="455" w:name="_Toc184110778"/>
      <w:r w:rsidRPr="004A3C1A">
        <w:rPr>
          <w:lang w:val="hy-AM"/>
        </w:rPr>
        <w:t>Կանխատեսումների համաձայն 2025 թվականի դեկտեմբերի 31-ի դրությամբ պետական պարտքը կկազմի 5,</w:t>
      </w:r>
      <w:r w:rsidRPr="00CD6A34">
        <w:rPr>
          <w:lang w:val="hy-AM"/>
        </w:rPr>
        <w:t>64</w:t>
      </w:r>
      <w:r w:rsidRPr="004A3C1A">
        <w:rPr>
          <w:lang w:val="hy-AM"/>
        </w:rPr>
        <w:t>0 մլրդ դրամ կամ ՀՆԱ-ի 5</w:t>
      </w:r>
      <w:r w:rsidRPr="00CD6A34">
        <w:rPr>
          <w:lang w:val="hy-AM"/>
        </w:rPr>
        <w:t>1</w:t>
      </w:r>
      <w:r w:rsidRPr="004A3C1A">
        <w:rPr>
          <w:lang w:val="hy-AM"/>
        </w:rPr>
        <w:t>.</w:t>
      </w:r>
      <w:r w:rsidRPr="00CD6A34">
        <w:rPr>
          <w:lang w:val="hy-AM"/>
        </w:rPr>
        <w:t>3</w:t>
      </w:r>
      <w:r w:rsidRPr="004A3C1A">
        <w:rPr>
          <w:lang w:val="hy-AM"/>
        </w:rPr>
        <w:t>%-ը, իսկ 202</w:t>
      </w:r>
      <w:r>
        <w:rPr>
          <w:lang w:val="hy-AM"/>
        </w:rPr>
        <w:t>8</w:t>
      </w:r>
      <w:r w:rsidRPr="004A3C1A">
        <w:rPr>
          <w:lang w:val="hy-AM"/>
        </w:rPr>
        <w:t xml:space="preserve"> թվականի տարեվերջին այն կկազմի </w:t>
      </w:r>
      <w:r>
        <w:rPr>
          <w:lang w:val="hy-AM"/>
        </w:rPr>
        <w:t>7,692</w:t>
      </w:r>
      <w:r w:rsidRPr="004A3C1A">
        <w:rPr>
          <w:lang w:val="hy-AM"/>
        </w:rPr>
        <w:t xml:space="preserve"> մլրդ դրամ կամ ՀՆԱ-ի 5</w:t>
      </w:r>
      <w:r w:rsidRPr="00CD6A34">
        <w:rPr>
          <w:lang w:val="hy-AM"/>
        </w:rPr>
        <w:t>4</w:t>
      </w:r>
      <w:r w:rsidRPr="004A3C1A">
        <w:rPr>
          <w:lang w:val="hy-AM"/>
        </w:rPr>
        <w:t>.</w:t>
      </w:r>
      <w:r>
        <w:rPr>
          <w:lang w:val="hy-AM"/>
        </w:rPr>
        <w:t>7</w:t>
      </w:r>
      <w:r w:rsidRPr="004A3C1A">
        <w:rPr>
          <w:lang w:val="hy-AM"/>
        </w:rPr>
        <w:t>%-ը:</w:t>
      </w:r>
    </w:p>
    <w:p w14:paraId="71B775B4" w14:textId="77777777" w:rsidR="001F1694" w:rsidRPr="002E053F" w:rsidRDefault="001F1694" w:rsidP="001F1694">
      <w:pPr>
        <w:pStyle w:val="a"/>
      </w:pPr>
      <w:r w:rsidRPr="002E053F">
        <w:t>Աղյուսակ</w:t>
      </w:r>
      <w:r>
        <w:t xml:space="preserve"> 18</w:t>
      </w:r>
      <w:r w:rsidRPr="002E053F">
        <w:t>. Պետական պարտքի կառուցվածքը</w:t>
      </w:r>
      <w:bookmarkEnd w:id="453"/>
      <w:r w:rsidRPr="002E053F">
        <w:t>, մլրդ դրամ</w:t>
      </w:r>
      <w:bookmarkEnd w:id="454"/>
      <w:bookmarkEnd w:id="455"/>
    </w:p>
    <w:tbl>
      <w:tblPr>
        <w:tblW w:w="10520" w:type="dxa"/>
        <w:jc w:val="right"/>
        <w:tblBorders>
          <w:top w:val="single" w:sz="8" w:space="0" w:color="E1E1E3" w:themeColor="accent3" w:themeTint="33"/>
          <w:left w:val="single" w:sz="8" w:space="0" w:color="E1E1E3" w:themeColor="accent3" w:themeTint="33"/>
          <w:bottom w:val="single" w:sz="8" w:space="0" w:color="E1E1E3" w:themeColor="accent3" w:themeTint="33"/>
          <w:right w:val="single" w:sz="8" w:space="0" w:color="E1E1E3" w:themeColor="accent3" w:themeTint="33"/>
          <w:insideH w:val="single" w:sz="8" w:space="0" w:color="E1E1E3" w:themeColor="accent3" w:themeTint="33"/>
          <w:insideV w:val="single" w:sz="8" w:space="0" w:color="E1E1E3" w:themeColor="accent3" w:themeTint="33"/>
        </w:tblBorders>
        <w:tblCellMar>
          <w:left w:w="130" w:type="dxa"/>
          <w:right w:w="130" w:type="dxa"/>
        </w:tblCellMar>
        <w:tblLook w:val="04A0" w:firstRow="1" w:lastRow="0" w:firstColumn="1" w:lastColumn="0" w:noHBand="0" w:noVBand="1"/>
      </w:tblPr>
      <w:tblGrid>
        <w:gridCol w:w="3709"/>
        <w:gridCol w:w="1146"/>
        <w:gridCol w:w="1378"/>
        <w:gridCol w:w="1581"/>
        <w:gridCol w:w="1350"/>
        <w:gridCol w:w="1356"/>
      </w:tblGrid>
      <w:tr w:rsidR="001F1694" w:rsidRPr="00C3014C" w14:paraId="65F82744" w14:textId="77777777" w:rsidTr="00147C8B">
        <w:trPr>
          <w:trHeight w:val="360"/>
          <w:jc w:val="right"/>
        </w:trPr>
        <w:tc>
          <w:tcPr>
            <w:tcW w:w="3950" w:type="dxa"/>
            <w:shd w:val="clear" w:color="auto" w:fill="D5DCE4" w:themeFill="text2" w:themeFillTint="33"/>
            <w:vAlign w:val="center"/>
            <w:hideMark/>
          </w:tcPr>
          <w:p w14:paraId="262B6CA8" w14:textId="77777777" w:rsidR="001F1694" w:rsidRPr="00E339D8" w:rsidRDefault="001F1694" w:rsidP="00147C8B">
            <w:pPr>
              <w:spacing w:before="0" w:after="0" w:line="240" w:lineRule="auto"/>
              <w:rPr>
                <w:sz w:val="18"/>
                <w:szCs w:val="18"/>
                <w:lang w:val="hy-AM"/>
              </w:rPr>
            </w:pPr>
            <w:r w:rsidRPr="00E339D8">
              <w:rPr>
                <w:rFonts w:ascii="Calibri" w:hAnsi="Calibri" w:cs="Calibri"/>
                <w:sz w:val="18"/>
                <w:szCs w:val="18"/>
                <w:lang w:val="hy-AM"/>
              </w:rPr>
              <w:t> </w:t>
            </w:r>
          </w:p>
        </w:tc>
        <w:tc>
          <w:tcPr>
            <w:tcW w:w="786" w:type="dxa"/>
            <w:shd w:val="clear" w:color="auto" w:fill="D5DCE4" w:themeFill="text2" w:themeFillTint="33"/>
            <w:hideMark/>
          </w:tcPr>
          <w:p w14:paraId="6AF44305" w14:textId="77777777" w:rsidR="001F1694" w:rsidRPr="004B2B0B" w:rsidRDefault="001F1694" w:rsidP="00147C8B">
            <w:pPr>
              <w:spacing w:before="0" w:after="0" w:line="240" w:lineRule="auto"/>
              <w:jc w:val="center"/>
              <w:rPr>
                <w:b/>
                <w:sz w:val="18"/>
                <w:szCs w:val="18"/>
              </w:rPr>
            </w:pPr>
            <w:r w:rsidRPr="004B2B0B">
              <w:rPr>
                <w:b/>
                <w:sz w:val="18"/>
                <w:szCs w:val="18"/>
              </w:rPr>
              <w:t>31.12.2024</w:t>
            </w:r>
          </w:p>
        </w:tc>
        <w:tc>
          <w:tcPr>
            <w:tcW w:w="1404" w:type="dxa"/>
            <w:shd w:val="clear" w:color="auto" w:fill="D5DCE4" w:themeFill="text2" w:themeFillTint="33"/>
            <w:hideMark/>
          </w:tcPr>
          <w:p w14:paraId="37BBF66D" w14:textId="77777777" w:rsidR="001F1694" w:rsidRPr="004B2B0B" w:rsidRDefault="001F1694" w:rsidP="00147C8B">
            <w:pPr>
              <w:spacing w:before="0" w:after="0" w:line="240" w:lineRule="auto"/>
              <w:jc w:val="center"/>
              <w:rPr>
                <w:b/>
                <w:sz w:val="18"/>
                <w:szCs w:val="18"/>
              </w:rPr>
            </w:pPr>
            <w:r w:rsidRPr="004B2B0B">
              <w:rPr>
                <w:b/>
                <w:sz w:val="18"/>
                <w:szCs w:val="18"/>
              </w:rPr>
              <w:t>31.12.2025</w:t>
            </w:r>
          </w:p>
        </w:tc>
        <w:tc>
          <w:tcPr>
            <w:tcW w:w="1628" w:type="dxa"/>
            <w:shd w:val="clear" w:color="auto" w:fill="D5DCE4" w:themeFill="text2" w:themeFillTint="33"/>
            <w:hideMark/>
          </w:tcPr>
          <w:p w14:paraId="40E984BF" w14:textId="77777777" w:rsidR="001F1694" w:rsidRPr="004B2B0B" w:rsidRDefault="001F1694" w:rsidP="00147C8B">
            <w:pPr>
              <w:spacing w:before="0" w:after="0" w:line="240" w:lineRule="auto"/>
              <w:jc w:val="center"/>
              <w:rPr>
                <w:b/>
                <w:sz w:val="18"/>
                <w:szCs w:val="18"/>
              </w:rPr>
            </w:pPr>
            <w:r w:rsidRPr="004B2B0B">
              <w:rPr>
                <w:b/>
                <w:sz w:val="18"/>
                <w:szCs w:val="18"/>
              </w:rPr>
              <w:t>31.12.2026</w:t>
            </w:r>
          </w:p>
        </w:tc>
        <w:tc>
          <w:tcPr>
            <w:tcW w:w="1374" w:type="dxa"/>
            <w:shd w:val="clear" w:color="auto" w:fill="D5DCE4" w:themeFill="text2" w:themeFillTint="33"/>
          </w:tcPr>
          <w:p w14:paraId="5996625C" w14:textId="77777777" w:rsidR="001F1694" w:rsidRPr="004B2B0B" w:rsidRDefault="001F1694" w:rsidP="00147C8B">
            <w:pPr>
              <w:spacing w:before="0" w:after="0" w:line="240" w:lineRule="auto"/>
              <w:jc w:val="center"/>
              <w:rPr>
                <w:b/>
                <w:sz w:val="18"/>
                <w:szCs w:val="18"/>
              </w:rPr>
            </w:pPr>
            <w:r>
              <w:rPr>
                <w:b/>
                <w:sz w:val="18"/>
                <w:szCs w:val="18"/>
              </w:rPr>
              <w:t>31.12.2027</w:t>
            </w:r>
          </w:p>
        </w:tc>
        <w:tc>
          <w:tcPr>
            <w:tcW w:w="1378" w:type="dxa"/>
            <w:shd w:val="clear" w:color="auto" w:fill="D5DCE4" w:themeFill="text2" w:themeFillTint="33"/>
          </w:tcPr>
          <w:p w14:paraId="79484E7E" w14:textId="77777777" w:rsidR="001F1694" w:rsidRPr="004B2B0B" w:rsidRDefault="001F1694" w:rsidP="00147C8B">
            <w:pPr>
              <w:spacing w:before="0" w:after="0" w:line="240" w:lineRule="auto"/>
              <w:jc w:val="center"/>
              <w:rPr>
                <w:b/>
                <w:sz w:val="18"/>
                <w:szCs w:val="18"/>
              </w:rPr>
            </w:pPr>
            <w:r>
              <w:rPr>
                <w:b/>
                <w:sz w:val="18"/>
                <w:szCs w:val="18"/>
              </w:rPr>
              <w:t>31.12.2028</w:t>
            </w:r>
          </w:p>
        </w:tc>
      </w:tr>
      <w:tr w:rsidR="001F1694" w:rsidRPr="00C3014C" w14:paraId="022CF7CE" w14:textId="77777777" w:rsidTr="00147C8B">
        <w:trPr>
          <w:trHeight w:val="360"/>
          <w:jc w:val="right"/>
        </w:trPr>
        <w:tc>
          <w:tcPr>
            <w:tcW w:w="3950" w:type="dxa"/>
            <w:shd w:val="clear" w:color="auto" w:fill="auto"/>
            <w:vAlign w:val="center"/>
            <w:hideMark/>
          </w:tcPr>
          <w:p w14:paraId="7C074054" w14:textId="77777777" w:rsidR="001F1694" w:rsidRPr="00E339D8" w:rsidRDefault="001F1694" w:rsidP="00147C8B">
            <w:pPr>
              <w:spacing w:before="0" w:after="0" w:line="240" w:lineRule="auto"/>
              <w:rPr>
                <w:b/>
                <w:sz w:val="18"/>
                <w:szCs w:val="18"/>
              </w:rPr>
            </w:pPr>
            <w:r w:rsidRPr="00E339D8">
              <w:rPr>
                <w:b/>
                <w:sz w:val="18"/>
                <w:szCs w:val="18"/>
              </w:rPr>
              <w:t>ՀՀ պետական պարտք</w:t>
            </w:r>
          </w:p>
        </w:tc>
        <w:tc>
          <w:tcPr>
            <w:tcW w:w="786" w:type="dxa"/>
            <w:shd w:val="clear" w:color="auto" w:fill="auto"/>
            <w:vAlign w:val="bottom"/>
            <w:hideMark/>
          </w:tcPr>
          <w:p w14:paraId="3D3BD48C" w14:textId="77777777" w:rsidR="001F1694" w:rsidRPr="00CD6A34" w:rsidRDefault="001F1694" w:rsidP="00147C8B">
            <w:pPr>
              <w:spacing w:before="0" w:after="0" w:line="240" w:lineRule="auto"/>
              <w:jc w:val="right"/>
              <w:rPr>
                <w:sz w:val="18"/>
                <w:szCs w:val="18"/>
              </w:rPr>
            </w:pPr>
            <w:r w:rsidRPr="00CD6A34">
              <w:rPr>
                <w:sz w:val="18"/>
                <w:szCs w:val="18"/>
              </w:rPr>
              <w:t xml:space="preserve">       5,093 </w:t>
            </w:r>
          </w:p>
        </w:tc>
        <w:tc>
          <w:tcPr>
            <w:tcW w:w="1404" w:type="dxa"/>
            <w:shd w:val="clear" w:color="auto" w:fill="auto"/>
            <w:vAlign w:val="bottom"/>
            <w:hideMark/>
          </w:tcPr>
          <w:p w14:paraId="3B55C66B" w14:textId="77777777" w:rsidR="001F1694" w:rsidRPr="00CD6A34" w:rsidRDefault="001F1694" w:rsidP="00147C8B">
            <w:pPr>
              <w:spacing w:before="0" w:after="0" w:line="240" w:lineRule="auto"/>
              <w:jc w:val="right"/>
              <w:rPr>
                <w:sz w:val="18"/>
                <w:szCs w:val="18"/>
              </w:rPr>
            </w:pPr>
            <w:r w:rsidRPr="00CD6A34">
              <w:rPr>
                <w:sz w:val="18"/>
                <w:szCs w:val="18"/>
              </w:rPr>
              <w:t xml:space="preserve">           5,640 </w:t>
            </w:r>
          </w:p>
        </w:tc>
        <w:tc>
          <w:tcPr>
            <w:tcW w:w="1628" w:type="dxa"/>
            <w:shd w:val="clear" w:color="auto" w:fill="auto"/>
            <w:vAlign w:val="bottom"/>
            <w:hideMark/>
          </w:tcPr>
          <w:p w14:paraId="64A9BC41" w14:textId="77777777" w:rsidR="001F1694" w:rsidRPr="00CD6A34" w:rsidRDefault="001F1694" w:rsidP="00147C8B">
            <w:pPr>
              <w:spacing w:before="0" w:after="0" w:line="240" w:lineRule="auto"/>
              <w:jc w:val="right"/>
              <w:rPr>
                <w:sz w:val="18"/>
                <w:szCs w:val="18"/>
              </w:rPr>
            </w:pPr>
            <w:r>
              <w:rPr>
                <w:sz w:val="18"/>
                <w:szCs w:val="18"/>
              </w:rPr>
              <w:t xml:space="preserve">      6,500</w:t>
            </w:r>
            <w:r w:rsidRPr="00CD6A34">
              <w:rPr>
                <w:sz w:val="18"/>
                <w:szCs w:val="18"/>
              </w:rPr>
              <w:t xml:space="preserve"> </w:t>
            </w:r>
          </w:p>
        </w:tc>
        <w:tc>
          <w:tcPr>
            <w:tcW w:w="1374" w:type="dxa"/>
            <w:vAlign w:val="bottom"/>
          </w:tcPr>
          <w:p w14:paraId="5EA7EB18" w14:textId="77777777" w:rsidR="001F1694" w:rsidRDefault="001F1694" w:rsidP="00147C8B">
            <w:pPr>
              <w:spacing w:before="0" w:after="0" w:line="240" w:lineRule="auto"/>
              <w:jc w:val="right"/>
              <w:rPr>
                <w:sz w:val="18"/>
                <w:szCs w:val="18"/>
              </w:rPr>
            </w:pPr>
            <w:r>
              <w:rPr>
                <w:sz w:val="18"/>
                <w:szCs w:val="18"/>
              </w:rPr>
              <w:t xml:space="preserve">      7,120</w:t>
            </w:r>
            <w:r w:rsidRPr="00CD6A34">
              <w:rPr>
                <w:sz w:val="18"/>
                <w:szCs w:val="18"/>
              </w:rPr>
              <w:t xml:space="preserve"> </w:t>
            </w:r>
          </w:p>
        </w:tc>
        <w:tc>
          <w:tcPr>
            <w:tcW w:w="1378" w:type="dxa"/>
            <w:vAlign w:val="bottom"/>
          </w:tcPr>
          <w:p w14:paraId="6AF2DD9E" w14:textId="77777777" w:rsidR="001F1694" w:rsidRDefault="001F1694" w:rsidP="00147C8B">
            <w:pPr>
              <w:spacing w:before="0" w:after="0" w:line="240" w:lineRule="auto"/>
              <w:jc w:val="right"/>
              <w:rPr>
                <w:sz w:val="18"/>
                <w:szCs w:val="18"/>
              </w:rPr>
            </w:pPr>
            <w:r>
              <w:rPr>
                <w:sz w:val="18"/>
                <w:szCs w:val="18"/>
              </w:rPr>
              <w:t xml:space="preserve">      7,692</w:t>
            </w:r>
            <w:r w:rsidRPr="00CD6A34">
              <w:rPr>
                <w:sz w:val="18"/>
                <w:szCs w:val="18"/>
              </w:rPr>
              <w:t xml:space="preserve"> </w:t>
            </w:r>
          </w:p>
        </w:tc>
      </w:tr>
      <w:tr w:rsidR="001F1694" w:rsidRPr="00C3014C" w14:paraId="7DB182FB" w14:textId="77777777" w:rsidTr="00147C8B">
        <w:trPr>
          <w:trHeight w:val="360"/>
          <w:jc w:val="right"/>
        </w:trPr>
        <w:tc>
          <w:tcPr>
            <w:tcW w:w="3950" w:type="dxa"/>
            <w:shd w:val="clear" w:color="auto" w:fill="auto"/>
            <w:vAlign w:val="center"/>
            <w:hideMark/>
          </w:tcPr>
          <w:p w14:paraId="122B41A0" w14:textId="77777777" w:rsidR="001F1694" w:rsidRPr="00E339D8" w:rsidRDefault="001F1694" w:rsidP="00147C8B">
            <w:pPr>
              <w:spacing w:before="0" w:after="0" w:line="240" w:lineRule="auto"/>
              <w:rPr>
                <w:sz w:val="18"/>
                <w:szCs w:val="18"/>
                <w:lang w:val="hy-AM"/>
              </w:rPr>
            </w:pPr>
            <w:r w:rsidRPr="00E339D8">
              <w:rPr>
                <w:sz w:val="18"/>
                <w:szCs w:val="18"/>
              </w:rPr>
              <w:t>այդ թվում`</w:t>
            </w:r>
          </w:p>
        </w:tc>
        <w:tc>
          <w:tcPr>
            <w:tcW w:w="786" w:type="dxa"/>
            <w:shd w:val="clear" w:color="auto" w:fill="auto"/>
            <w:vAlign w:val="bottom"/>
          </w:tcPr>
          <w:p w14:paraId="20815BEA" w14:textId="77777777" w:rsidR="001F1694" w:rsidRPr="00E339D8" w:rsidRDefault="001F1694" w:rsidP="00147C8B">
            <w:pPr>
              <w:spacing w:before="0" w:after="0" w:line="240" w:lineRule="auto"/>
              <w:jc w:val="right"/>
              <w:rPr>
                <w:sz w:val="18"/>
                <w:szCs w:val="18"/>
                <w:lang w:val="ru-RU" w:eastAsia="ru-RU"/>
              </w:rPr>
            </w:pPr>
          </w:p>
        </w:tc>
        <w:tc>
          <w:tcPr>
            <w:tcW w:w="1404" w:type="dxa"/>
            <w:shd w:val="clear" w:color="auto" w:fill="auto"/>
            <w:vAlign w:val="bottom"/>
          </w:tcPr>
          <w:p w14:paraId="1DAFE0C0" w14:textId="77777777" w:rsidR="001F1694" w:rsidRPr="00E339D8" w:rsidRDefault="001F1694" w:rsidP="00147C8B">
            <w:pPr>
              <w:spacing w:before="0" w:after="0" w:line="240" w:lineRule="auto"/>
              <w:jc w:val="right"/>
              <w:rPr>
                <w:sz w:val="18"/>
                <w:szCs w:val="18"/>
              </w:rPr>
            </w:pPr>
          </w:p>
        </w:tc>
        <w:tc>
          <w:tcPr>
            <w:tcW w:w="1628" w:type="dxa"/>
            <w:shd w:val="clear" w:color="auto" w:fill="auto"/>
            <w:vAlign w:val="bottom"/>
          </w:tcPr>
          <w:p w14:paraId="7F4DD6D3" w14:textId="77777777" w:rsidR="001F1694" w:rsidRPr="00E339D8" w:rsidRDefault="001F1694" w:rsidP="00147C8B">
            <w:pPr>
              <w:spacing w:before="0" w:after="0" w:line="240" w:lineRule="auto"/>
              <w:jc w:val="right"/>
              <w:rPr>
                <w:sz w:val="18"/>
                <w:szCs w:val="18"/>
              </w:rPr>
            </w:pPr>
          </w:p>
        </w:tc>
        <w:tc>
          <w:tcPr>
            <w:tcW w:w="1374" w:type="dxa"/>
            <w:vAlign w:val="bottom"/>
          </w:tcPr>
          <w:p w14:paraId="68375BE1" w14:textId="77777777" w:rsidR="001F1694" w:rsidRPr="00E339D8" w:rsidRDefault="001F1694" w:rsidP="00147C8B">
            <w:pPr>
              <w:spacing w:before="0" w:after="0" w:line="240" w:lineRule="auto"/>
              <w:jc w:val="right"/>
              <w:rPr>
                <w:sz w:val="18"/>
                <w:szCs w:val="18"/>
              </w:rPr>
            </w:pPr>
          </w:p>
        </w:tc>
        <w:tc>
          <w:tcPr>
            <w:tcW w:w="1378" w:type="dxa"/>
            <w:vAlign w:val="bottom"/>
          </w:tcPr>
          <w:p w14:paraId="2ECCB110" w14:textId="77777777" w:rsidR="001F1694" w:rsidRPr="00E339D8" w:rsidRDefault="001F1694" w:rsidP="00147C8B">
            <w:pPr>
              <w:spacing w:before="0" w:after="0" w:line="240" w:lineRule="auto"/>
              <w:jc w:val="right"/>
              <w:rPr>
                <w:sz w:val="18"/>
                <w:szCs w:val="18"/>
              </w:rPr>
            </w:pPr>
          </w:p>
        </w:tc>
      </w:tr>
      <w:tr w:rsidR="001F1694" w:rsidRPr="00C3014C" w14:paraId="7BE85FEE" w14:textId="77777777" w:rsidTr="00147C8B">
        <w:trPr>
          <w:trHeight w:val="360"/>
          <w:jc w:val="right"/>
        </w:trPr>
        <w:tc>
          <w:tcPr>
            <w:tcW w:w="3950" w:type="dxa"/>
            <w:shd w:val="clear" w:color="auto" w:fill="auto"/>
            <w:vAlign w:val="center"/>
            <w:hideMark/>
          </w:tcPr>
          <w:p w14:paraId="1DFAE506" w14:textId="77777777" w:rsidR="001F1694" w:rsidRPr="00E339D8" w:rsidRDefault="001F1694" w:rsidP="00147C8B">
            <w:pPr>
              <w:spacing w:before="0" w:after="0" w:line="240" w:lineRule="auto"/>
              <w:rPr>
                <w:sz w:val="18"/>
                <w:szCs w:val="18"/>
                <w:lang w:val="hy-AM"/>
              </w:rPr>
            </w:pPr>
            <w:r w:rsidRPr="00E339D8">
              <w:rPr>
                <w:sz w:val="18"/>
                <w:szCs w:val="18"/>
              </w:rPr>
              <w:t>արտաքին պետական պարտք</w:t>
            </w:r>
          </w:p>
        </w:tc>
        <w:tc>
          <w:tcPr>
            <w:tcW w:w="786" w:type="dxa"/>
            <w:shd w:val="clear" w:color="auto" w:fill="auto"/>
            <w:vAlign w:val="bottom"/>
            <w:hideMark/>
          </w:tcPr>
          <w:p w14:paraId="3D30EB2D" w14:textId="77777777" w:rsidR="001F1694" w:rsidRPr="004A3C1A" w:rsidRDefault="001F1694" w:rsidP="00147C8B">
            <w:pPr>
              <w:spacing w:before="0" w:after="0" w:line="240" w:lineRule="auto"/>
              <w:jc w:val="right"/>
              <w:rPr>
                <w:sz w:val="18"/>
                <w:szCs w:val="18"/>
              </w:rPr>
            </w:pPr>
            <w:r w:rsidRPr="00CD6A34">
              <w:rPr>
                <w:sz w:val="18"/>
                <w:szCs w:val="18"/>
              </w:rPr>
              <w:t xml:space="preserve">       2,559 </w:t>
            </w:r>
          </w:p>
        </w:tc>
        <w:tc>
          <w:tcPr>
            <w:tcW w:w="1404" w:type="dxa"/>
            <w:shd w:val="clear" w:color="auto" w:fill="auto"/>
            <w:vAlign w:val="bottom"/>
            <w:hideMark/>
          </w:tcPr>
          <w:p w14:paraId="18BAE894" w14:textId="77777777" w:rsidR="001F1694" w:rsidRPr="00E339D8" w:rsidRDefault="001F1694" w:rsidP="00147C8B">
            <w:pPr>
              <w:spacing w:before="0" w:after="0" w:line="240" w:lineRule="auto"/>
              <w:jc w:val="right"/>
              <w:rPr>
                <w:sz w:val="18"/>
                <w:szCs w:val="18"/>
              </w:rPr>
            </w:pPr>
            <w:r w:rsidRPr="00CD6A34">
              <w:rPr>
                <w:sz w:val="18"/>
                <w:szCs w:val="18"/>
              </w:rPr>
              <w:t xml:space="preserve">           2,765 </w:t>
            </w:r>
          </w:p>
        </w:tc>
        <w:tc>
          <w:tcPr>
            <w:tcW w:w="1628" w:type="dxa"/>
            <w:shd w:val="clear" w:color="auto" w:fill="auto"/>
            <w:vAlign w:val="bottom"/>
            <w:hideMark/>
          </w:tcPr>
          <w:p w14:paraId="55793754" w14:textId="77777777" w:rsidR="001F1694" w:rsidRPr="00E339D8" w:rsidRDefault="001F1694" w:rsidP="00147C8B">
            <w:pPr>
              <w:spacing w:before="0" w:after="0" w:line="240" w:lineRule="auto"/>
              <w:jc w:val="right"/>
              <w:rPr>
                <w:sz w:val="18"/>
                <w:szCs w:val="18"/>
              </w:rPr>
            </w:pPr>
            <w:r w:rsidRPr="00CD6A34">
              <w:rPr>
                <w:sz w:val="18"/>
                <w:szCs w:val="18"/>
              </w:rPr>
              <w:t xml:space="preserve">      3,</w:t>
            </w:r>
            <w:r>
              <w:rPr>
                <w:sz w:val="18"/>
                <w:szCs w:val="18"/>
              </w:rPr>
              <w:t>293</w:t>
            </w:r>
            <w:r w:rsidRPr="00CD6A34">
              <w:rPr>
                <w:sz w:val="18"/>
                <w:szCs w:val="18"/>
              </w:rPr>
              <w:t xml:space="preserve"> </w:t>
            </w:r>
          </w:p>
        </w:tc>
        <w:tc>
          <w:tcPr>
            <w:tcW w:w="1374" w:type="dxa"/>
            <w:vAlign w:val="bottom"/>
          </w:tcPr>
          <w:p w14:paraId="264C68E2" w14:textId="77777777" w:rsidR="001F1694" w:rsidRPr="00CD6A34" w:rsidRDefault="001F1694" w:rsidP="00147C8B">
            <w:pPr>
              <w:spacing w:before="0" w:after="0" w:line="240" w:lineRule="auto"/>
              <w:jc w:val="right"/>
              <w:rPr>
                <w:sz w:val="18"/>
                <w:szCs w:val="18"/>
              </w:rPr>
            </w:pPr>
            <w:r w:rsidRPr="00CD6A34">
              <w:rPr>
                <w:sz w:val="18"/>
                <w:szCs w:val="18"/>
              </w:rPr>
              <w:t xml:space="preserve">      3,</w:t>
            </w:r>
            <w:r>
              <w:rPr>
                <w:sz w:val="18"/>
                <w:szCs w:val="18"/>
              </w:rPr>
              <w:t>646</w:t>
            </w:r>
            <w:r w:rsidRPr="00CD6A34">
              <w:rPr>
                <w:sz w:val="18"/>
                <w:szCs w:val="18"/>
              </w:rPr>
              <w:t xml:space="preserve"> </w:t>
            </w:r>
          </w:p>
        </w:tc>
        <w:tc>
          <w:tcPr>
            <w:tcW w:w="1378" w:type="dxa"/>
            <w:vAlign w:val="bottom"/>
          </w:tcPr>
          <w:p w14:paraId="5C6077FF" w14:textId="77777777" w:rsidR="001F1694" w:rsidRPr="00CD6A34" w:rsidRDefault="001F1694" w:rsidP="00147C8B">
            <w:pPr>
              <w:spacing w:before="0" w:after="0" w:line="240" w:lineRule="auto"/>
              <w:jc w:val="right"/>
              <w:rPr>
                <w:sz w:val="18"/>
                <w:szCs w:val="18"/>
              </w:rPr>
            </w:pPr>
            <w:r w:rsidRPr="00CD6A34">
              <w:rPr>
                <w:sz w:val="18"/>
                <w:szCs w:val="18"/>
              </w:rPr>
              <w:t xml:space="preserve">      3,</w:t>
            </w:r>
            <w:r>
              <w:rPr>
                <w:sz w:val="18"/>
                <w:szCs w:val="18"/>
              </w:rPr>
              <w:t>977</w:t>
            </w:r>
            <w:r w:rsidRPr="00CD6A34">
              <w:rPr>
                <w:sz w:val="18"/>
                <w:szCs w:val="18"/>
              </w:rPr>
              <w:t xml:space="preserve"> </w:t>
            </w:r>
          </w:p>
        </w:tc>
      </w:tr>
      <w:tr w:rsidR="001F1694" w:rsidRPr="00C3014C" w14:paraId="4E66AF54" w14:textId="77777777" w:rsidTr="00147C8B">
        <w:trPr>
          <w:trHeight w:val="360"/>
          <w:jc w:val="right"/>
        </w:trPr>
        <w:tc>
          <w:tcPr>
            <w:tcW w:w="3950" w:type="dxa"/>
            <w:shd w:val="clear" w:color="auto" w:fill="auto"/>
            <w:vAlign w:val="center"/>
            <w:hideMark/>
          </w:tcPr>
          <w:p w14:paraId="1CB515B0" w14:textId="77777777" w:rsidR="001F1694" w:rsidRPr="00E339D8" w:rsidRDefault="001F1694" w:rsidP="00147C8B">
            <w:pPr>
              <w:spacing w:before="0" w:after="0" w:line="240" w:lineRule="auto"/>
              <w:rPr>
                <w:sz w:val="18"/>
                <w:szCs w:val="18"/>
                <w:lang w:val="hy-AM"/>
              </w:rPr>
            </w:pPr>
            <w:r w:rsidRPr="00E339D8">
              <w:rPr>
                <w:sz w:val="18"/>
                <w:szCs w:val="18"/>
              </w:rPr>
              <w:t xml:space="preserve">որից` ՀՀ կենտրոնական բանկի պարտք </w:t>
            </w:r>
          </w:p>
        </w:tc>
        <w:tc>
          <w:tcPr>
            <w:tcW w:w="786" w:type="dxa"/>
            <w:shd w:val="clear" w:color="auto" w:fill="auto"/>
            <w:vAlign w:val="bottom"/>
            <w:hideMark/>
          </w:tcPr>
          <w:p w14:paraId="6A0DCDE3" w14:textId="77777777" w:rsidR="001F1694" w:rsidRPr="00CD6A34" w:rsidRDefault="001F1694" w:rsidP="00147C8B">
            <w:pPr>
              <w:spacing w:before="0" w:after="0" w:line="240" w:lineRule="auto"/>
              <w:jc w:val="right"/>
              <w:rPr>
                <w:i/>
                <w:sz w:val="18"/>
                <w:szCs w:val="18"/>
              </w:rPr>
            </w:pPr>
            <w:r w:rsidRPr="00CD6A34">
              <w:rPr>
                <w:i/>
                <w:sz w:val="18"/>
                <w:szCs w:val="18"/>
              </w:rPr>
              <w:t xml:space="preserve">          200 </w:t>
            </w:r>
          </w:p>
        </w:tc>
        <w:tc>
          <w:tcPr>
            <w:tcW w:w="1404" w:type="dxa"/>
            <w:shd w:val="clear" w:color="auto" w:fill="auto"/>
            <w:vAlign w:val="bottom"/>
            <w:hideMark/>
          </w:tcPr>
          <w:p w14:paraId="2EA06C36" w14:textId="77777777" w:rsidR="001F1694" w:rsidRPr="00CD6A34" w:rsidRDefault="001F1694" w:rsidP="00147C8B">
            <w:pPr>
              <w:spacing w:before="0" w:after="0" w:line="240" w:lineRule="auto"/>
              <w:jc w:val="right"/>
              <w:rPr>
                <w:i/>
                <w:sz w:val="18"/>
                <w:szCs w:val="18"/>
              </w:rPr>
            </w:pPr>
            <w:r w:rsidRPr="00CD6A34">
              <w:rPr>
                <w:i/>
                <w:sz w:val="18"/>
                <w:szCs w:val="18"/>
              </w:rPr>
              <w:t xml:space="preserve">              192 </w:t>
            </w:r>
          </w:p>
        </w:tc>
        <w:tc>
          <w:tcPr>
            <w:tcW w:w="1628" w:type="dxa"/>
            <w:shd w:val="clear" w:color="auto" w:fill="auto"/>
            <w:vAlign w:val="bottom"/>
            <w:hideMark/>
          </w:tcPr>
          <w:p w14:paraId="5B6418ED" w14:textId="77777777" w:rsidR="001F1694" w:rsidRPr="00CD6A34" w:rsidRDefault="001F1694" w:rsidP="00147C8B">
            <w:pPr>
              <w:spacing w:before="0" w:after="0" w:line="240" w:lineRule="auto"/>
              <w:jc w:val="right"/>
              <w:rPr>
                <w:i/>
                <w:sz w:val="18"/>
                <w:szCs w:val="18"/>
              </w:rPr>
            </w:pPr>
            <w:r w:rsidRPr="00CD6A34">
              <w:rPr>
                <w:i/>
                <w:sz w:val="18"/>
                <w:szCs w:val="18"/>
              </w:rPr>
              <w:t xml:space="preserve">         189 </w:t>
            </w:r>
          </w:p>
        </w:tc>
        <w:tc>
          <w:tcPr>
            <w:tcW w:w="1374" w:type="dxa"/>
            <w:vAlign w:val="bottom"/>
          </w:tcPr>
          <w:p w14:paraId="2A1D169D" w14:textId="77777777" w:rsidR="001F1694" w:rsidRPr="00B97F12" w:rsidRDefault="001F1694" w:rsidP="00147C8B">
            <w:pPr>
              <w:spacing w:before="0" w:after="0" w:line="240" w:lineRule="auto"/>
              <w:jc w:val="right"/>
              <w:rPr>
                <w:sz w:val="18"/>
                <w:szCs w:val="18"/>
              </w:rPr>
            </w:pPr>
            <w:r w:rsidRPr="00CD6A34">
              <w:rPr>
                <w:i/>
                <w:sz w:val="18"/>
                <w:szCs w:val="18"/>
              </w:rPr>
              <w:t xml:space="preserve">         1</w:t>
            </w:r>
            <w:r>
              <w:rPr>
                <w:i/>
                <w:sz w:val="18"/>
                <w:szCs w:val="18"/>
              </w:rPr>
              <w:t>6</w:t>
            </w:r>
            <w:r w:rsidRPr="00CD6A34">
              <w:rPr>
                <w:i/>
                <w:sz w:val="18"/>
                <w:szCs w:val="18"/>
              </w:rPr>
              <w:t xml:space="preserve">9 </w:t>
            </w:r>
          </w:p>
        </w:tc>
        <w:tc>
          <w:tcPr>
            <w:tcW w:w="1378" w:type="dxa"/>
            <w:vAlign w:val="bottom"/>
          </w:tcPr>
          <w:p w14:paraId="38F948B2" w14:textId="77777777" w:rsidR="001F1694" w:rsidRPr="00CD6A34" w:rsidRDefault="001F1694" w:rsidP="00147C8B">
            <w:pPr>
              <w:spacing w:before="0" w:after="0" w:line="240" w:lineRule="auto"/>
              <w:jc w:val="right"/>
              <w:rPr>
                <w:i/>
                <w:sz w:val="18"/>
                <w:szCs w:val="18"/>
              </w:rPr>
            </w:pPr>
            <w:r w:rsidRPr="00CD6A34">
              <w:rPr>
                <w:i/>
                <w:sz w:val="18"/>
                <w:szCs w:val="18"/>
              </w:rPr>
              <w:t xml:space="preserve">         1</w:t>
            </w:r>
            <w:r>
              <w:rPr>
                <w:i/>
                <w:sz w:val="18"/>
                <w:szCs w:val="18"/>
              </w:rPr>
              <w:t>48</w:t>
            </w:r>
            <w:r w:rsidRPr="00CD6A34">
              <w:rPr>
                <w:i/>
                <w:sz w:val="18"/>
                <w:szCs w:val="18"/>
              </w:rPr>
              <w:t xml:space="preserve"> </w:t>
            </w:r>
          </w:p>
        </w:tc>
      </w:tr>
      <w:tr w:rsidR="001F1694" w:rsidRPr="00C3014C" w14:paraId="1B62BB25" w14:textId="77777777" w:rsidTr="00147C8B">
        <w:trPr>
          <w:trHeight w:val="360"/>
          <w:jc w:val="right"/>
        </w:trPr>
        <w:tc>
          <w:tcPr>
            <w:tcW w:w="3950" w:type="dxa"/>
            <w:shd w:val="clear" w:color="auto" w:fill="auto"/>
            <w:vAlign w:val="center"/>
            <w:hideMark/>
          </w:tcPr>
          <w:p w14:paraId="5460FB1D" w14:textId="77777777" w:rsidR="001F1694" w:rsidRPr="00E339D8" w:rsidRDefault="001F1694" w:rsidP="00147C8B">
            <w:pPr>
              <w:spacing w:before="0" w:after="0" w:line="240" w:lineRule="auto"/>
              <w:rPr>
                <w:sz w:val="18"/>
                <w:szCs w:val="18"/>
                <w:lang w:val="hy-AM"/>
              </w:rPr>
            </w:pPr>
            <w:r w:rsidRPr="00E339D8">
              <w:rPr>
                <w:sz w:val="18"/>
                <w:szCs w:val="18"/>
              </w:rPr>
              <w:t>ներքին պետական պարտք</w:t>
            </w:r>
          </w:p>
        </w:tc>
        <w:tc>
          <w:tcPr>
            <w:tcW w:w="786" w:type="dxa"/>
            <w:shd w:val="clear" w:color="auto" w:fill="auto"/>
            <w:vAlign w:val="bottom"/>
            <w:hideMark/>
          </w:tcPr>
          <w:p w14:paraId="278E59F5" w14:textId="77777777" w:rsidR="001F1694" w:rsidRPr="004A3C1A" w:rsidRDefault="001F1694" w:rsidP="00147C8B">
            <w:pPr>
              <w:spacing w:before="0" w:after="0" w:line="240" w:lineRule="auto"/>
              <w:jc w:val="right"/>
              <w:rPr>
                <w:sz w:val="18"/>
                <w:szCs w:val="18"/>
              </w:rPr>
            </w:pPr>
            <w:r w:rsidRPr="00CD6A34">
              <w:rPr>
                <w:sz w:val="18"/>
                <w:szCs w:val="18"/>
              </w:rPr>
              <w:t xml:space="preserve">       2,533 </w:t>
            </w:r>
          </w:p>
        </w:tc>
        <w:tc>
          <w:tcPr>
            <w:tcW w:w="1404" w:type="dxa"/>
            <w:shd w:val="clear" w:color="auto" w:fill="auto"/>
            <w:vAlign w:val="bottom"/>
            <w:hideMark/>
          </w:tcPr>
          <w:p w14:paraId="1B1DDE5A" w14:textId="77777777" w:rsidR="001F1694" w:rsidRPr="00E339D8" w:rsidRDefault="001F1694" w:rsidP="00147C8B">
            <w:pPr>
              <w:spacing w:before="0" w:after="0" w:line="240" w:lineRule="auto"/>
              <w:jc w:val="right"/>
              <w:rPr>
                <w:sz w:val="18"/>
                <w:szCs w:val="18"/>
              </w:rPr>
            </w:pPr>
            <w:r w:rsidRPr="00CD6A34">
              <w:rPr>
                <w:sz w:val="18"/>
                <w:szCs w:val="18"/>
              </w:rPr>
              <w:t xml:space="preserve">           2,875 </w:t>
            </w:r>
          </w:p>
        </w:tc>
        <w:tc>
          <w:tcPr>
            <w:tcW w:w="1628" w:type="dxa"/>
            <w:shd w:val="clear" w:color="auto" w:fill="auto"/>
            <w:vAlign w:val="bottom"/>
            <w:hideMark/>
          </w:tcPr>
          <w:p w14:paraId="63E7EE12" w14:textId="77777777" w:rsidR="001F1694" w:rsidRPr="00E339D8" w:rsidRDefault="001F1694" w:rsidP="00147C8B">
            <w:pPr>
              <w:spacing w:before="0" w:after="0" w:line="240" w:lineRule="auto"/>
              <w:jc w:val="right"/>
              <w:rPr>
                <w:sz w:val="18"/>
                <w:szCs w:val="18"/>
              </w:rPr>
            </w:pPr>
            <w:r w:rsidRPr="00CD6A34">
              <w:rPr>
                <w:sz w:val="18"/>
                <w:szCs w:val="18"/>
              </w:rPr>
              <w:t xml:space="preserve">      3,206 </w:t>
            </w:r>
          </w:p>
        </w:tc>
        <w:tc>
          <w:tcPr>
            <w:tcW w:w="1374" w:type="dxa"/>
            <w:vAlign w:val="bottom"/>
          </w:tcPr>
          <w:p w14:paraId="53A51E66" w14:textId="77777777" w:rsidR="001F1694" w:rsidRPr="00CD6A34" w:rsidRDefault="001F1694" w:rsidP="00147C8B">
            <w:pPr>
              <w:spacing w:before="0" w:after="0" w:line="240" w:lineRule="auto"/>
              <w:jc w:val="right"/>
              <w:rPr>
                <w:sz w:val="18"/>
                <w:szCs w:val="18"/>
              </w:rPr>
            </w:pPr>
            <w:r w:rsidRPr="00CD6A34">
              <w:rPr>
                <w:sz w:val="18"/>
                <w:szCs w:val="18"/>
              </w:rPr>
              <w:t xml:space="preserve">      3,</w:t>
            </w:r>
            <w:r>
              <w:rPr>
                <w:sz w:val="18"/>
                <w:szCs w:val="18"/>
              </w:rPr>
              <w:t>475</w:t>
            </w:r>
          </w:p>
        </w:tc>
        <w:tc>
          <w:tcPr>
            <w:tcW w:w="1378" w:type="dxa"/>
            <w:vAlign w:val="bottom"/>
          </w:tcPr>
          <w:p w14:paraId="008C248C" w14:textId="77777777" w:rsidR="001F1694" w:rsidRPr="00CD6A34" w:rsidRDefault="001F1694" w:rsidP="00147C8B">
            <w:pPr>
              <w:spacing w:before="0" w:after="0" w:line="240" w:lineRule="auto"/>
              <w:jc w:val="right"/>
              <w:rPr>
                <w:sz w:val="18"/>
                <w:szCs w:val="18"/>
              </w:rPr>
            </w:pPr>
            <w:r w:rsidRPr="00CD6A34">
              <w:rPr>
                <w:sz w:val="18"/>
                <w:szCs w:val="18"/>
              </w:rPr>
              <w:t xml:space="preserve">      3,</w:t>
            </w:r>
            <w:r>
              <w:rPr>
                <w:sz w:val="18"/>
                <w:szCs w:val="18"/>
              </w:rPr>
              <w:t>715</w:t>
            </w:r>
            <w:r w:rsidRPr="00CD6A34">
              <w:rPr>
                <w:sz w:val="18"/>
                <w:szCs w:val="18"/>
              </w:rPr>
              <w:t xml:space="preserve"> </w:t>
            </w:r>
          </w:p>
        </w:tc>
      </w:tr>
      <w:tr w:rsidR="001F1694" w:rsidRPr="00C3014C" w14:paraId="4C7B2607" w14:textId="77777777" w:rsidTr="00147C8B">
        <w:trPr>
          <w:trHeight w:val="360"/>
          <w:jc w:val="right"/>
        </w:trPr>
        <w:tc>
          <w:tcPr>
            <w:tcW w:w="3950" w:type="dxa"/>
            <w:shd w:val="clear" w:color="auto" w:fill="D5DCE4" w:themeFill="text2" w:themeFillTint="33"/>
            <w:vAlign w:val="center"/>
            <w:hideMark/>
          </w:tcPr>
          <w:p w14:paraId="35B23B55" w14:textId="77777777" w:rsidR="001F1694" w:rsidRPr="00E339D8" w:rsidRDefault="001F1694" w:rsidP="00147C8B">
            <w:pPr>
              <w:spacing w:before="0" w:after="0" w:line="240" w:lineRule="auto"/>
              <w:rPr>
                <w:sz w:val="18"/>
                <w:szCs w:val="18"/>
                <w:lang w:val="hy-AM"/>
              </w:rPr>
            </w:pPr>
            <w:r w:rsidRPr="00E339D8">
              <w:rPr>
                <w:sz w:val="18"/>
                <w:szCs w:val="18"/>
              </w:rPr>
              <w:t>տոկոսներով ՀՆԱ-ի նկատմամբ</w:t>
            </w:r>
          </w:p>
        </w:tc>
        <w:tc>
          <w:tcPr>
            <w:tcW w:w="786" w:type="dxa"/>
            <w:shd w:val="clear" w:color="auto" w:fill="D5DCE4" w:themeFill="text2" w:themeFillTint="33"/>
          </w:tcPr>
          <w:p w14:paraId="119AF666" w14:textId="77777777" w:rsidR="001F1694" w:rsidRPr="00CD6A34" w:rsidRDefault="001F1694" w:rsidP="00147C8B">
            <w:pPr>
              <w:spacing w:before="0" w:after="0" w:line="240" w:lineRule="auto"/>
              <w:jc w:val="right"/>
              <w:rPr>
                <w:sz w:val="18"/>
                <w:szCs w:val="18"/>
              </w:rPr>
            </w:pPr>
          </w:p>
        </w:tc>
        <w:tc>
          <w:tcPr>
            <w:tcW w:w="1404" w:type="dxa"/>
            <w:shd w:val="clear" w:color="auto" w:fill="D5DCE4" w:themeFill="text2" w:themeFillTint="33"/>
          </w:tcPr>
          <w:p w14:paraId="00EB6001" w14:textId="77777777" w:rsidR="001F1694" w:rsidRPr="00E339D8" w:rsidRDefault="001F1694" w:rsidP="00147C8B">
            <w:pPr>
              <w:spacing w:before="0" w:after="0" w:line="240" w:lineRule="auto"/>
              <w:jc w:val="right"/>
              <w:rPr>
                <w:sz w:val="18"/>
                <w:szCs w:val="18"/>
              </w:rPr>
            </w:pPr>
          </w:p>
        </w:tc>
        <w:tc>
          <w:tcPr>
            <w:tcW w:w="1628" w:type="dxa"/>
            <w:shd w:val="clear" w:color="auto" w:fill="D5DCE4" w:themeFill="text2" w:themeFillTint="33"/>
          </w:tcPr>
          <w:p w14:paraId="60CEBBA3" w14:textId="77777777" w:rsidR="001F1694" w:rsidRPr="00E339D8" w:rsidRDefault="001F1694" w:rsidP="00147C8B">
            <w:pPr>
              <w:spacing w:before="0" w:after="0" w:line="240" w:lineRule="auto"/>
              <w:jc w:val="right"/>
              <w:rPr>
                <w:sz w:val="18"/>
                <w:szCs w:val="18"/>
              </w:rPr>
            </w:pPr>
          </w:p>
        </w:tc>
        <w:tc>
          <w:tcPr>
            <w:tcW w:w="1374" w:type="dxa"/>
            <w:shd w:val="clear" w:color="auto" w:fill="D5DCE4" w:themeFill="text2" w:themeFillTint="33"/>
          </w:tcPr>
          <w:p w14:paraId="76013BAC" w14:textId="77777777" w:rsidR="001F1694" w:rsidRPr="00E339D8" w:rsidRDefault="001F1694" w:rsidP="00147C8B">
            <w:pPr>
              <w:spacing w:before="0" w:after="0" w:line="240" w:lineRule="auto"/>
              <w:jc w:val="right"/>
              <w:rPr>
                <w:sz w:val="18"/>
                <w:szCs w:val="18"/>
              </w:rPr>
            </w:pPr>
          </w:p>
        </w:tc>
        <w:tc>
          <w:tcPr>
            <w:tcW w:w="1378" w:type="dxa"/>
            <w:shd w:val="clear" w:color="auto" w:fill="D5DCE4" w:themeFill="text2" w:themeFillTint="33"/>
          </w:tcPr>
          <w:p w14:paraId="285B2A86" w14:textId="77777777" w:rsidR="001F1694" w:rsidRPr="00E339D8" w:rsidRDefault="001F1694" w:rsidP="00147C8B">
            <w:pPr>
              <w:spacing w:before="0" w:after="0" w:line="240" w:lineRule="auto"/>
              <w:jc w:val="right"/>
              <w:rPr>
                <w:sz w:val="18"/>
                <w:szCs w:val="18"/>
              </w:rPr>
            </w:pPr>
          </w:p>
        </w:tc>
      </w:tr>
      <w:tr w:rsidR="001F1694" w:rsidRPr="00C3014C" w14:paraId="15380BFA" w14:textId="77777777" w:rsidTr="00147C8B">
        <w:trPr>
          <w:trHeight w:val="360"/>
          <w:jc w:val="right"/>
        </w:trPr>
        <w:tc>
          <w:tcPr>
            <w:tcW w:w="3950" w:type="dxa"/>
            <w:shd w:val="clear" w:color="auto" w:fill="auto"/>
            <w:vAlign w:val="center"/>
            <w:hideMark/>
          </w:tcPr>
          <w:p w14:paraId="2B6EC218" w14:textId="77777777" w:rsidR="001F1694" w:rsidRPr="00E339D8" w:rsidRDefault="001F1694" w:rsidP="00147C8B">
            <w:pPr>
              <w:spacing w:before="0" w:after="0" w:line="240" w:lineRule="auto"/>
              <w:rPr>
                <w:b/>
                <w:sz w:val="18"/>
                <w:szCs w:val="18"/>
                <w:lang w:val="hy-AM"/>
              </w:rPr>
            </w:pPr>
            <w:r w:rsidRPr="006E05A9">
              <w:rPr>
                <w:b/>
                <w:sz w:val="18"/>
                <w:szCs w:val="18"/>
              </w:rPr>
              <w:t>ՀՀ պետական պարտք</w:t>
            </w:r>
          </w:p>
        </w:tc>
        <w:tc>
          <w:tcPr>
            <w:tcW w:w="786" w:type="dxa"/>
            <w:shd w:val="clear" w:color="auto" w:fill="auto"/>
            <w:vAlign w:val="bottom"/>
            <w:hideMark/>
          </w:tcPr>
          <w:p w14:paraId="5318ED9B" w14:textId="77777777" w:rsidR="001F1694" w:rsidRPr="00CD6A34" w:rsidRDefault="001F1694" w:rsidP="00147C8B">
            <w:pPr>
              <w:spacing w:before="0" w:after="0" w:line="240" w:lineRule="auto"/>
              <w:jc w:val="right"/>
              <w:rPr>
                <w:sz w:val="18"/>
                <w:szCs w:val="18"/>
              </w:rPr>
            </w:pPr>
            <w:r w:rsidRPr="00CD6A34">
              <w:rPr>
                <w:sz w:val="18"/>
                <w:szCs w:val="18"/>
              </w:rPr>
              <w:t xml:space="preserve">         50.0 </w:t>
            </w:r>
          </w:p>
        </w:tc>
        <w:tc>
          <w:tcPr>
            <w:tcW w:w="1404" w:type="dxa"/>
            <w:shd w:val="clear" w:color="auto" w:fill="auto"/>
            <w:vAlign w:val="bottom"/>
            <w:hideMark/>
          </w:tcPr>
          <w:p w14:paraId="7E6039CF" w14:textId="77777777" w:rsidR="001F1694" w:rsidRPr="00CD6A34" w:rsidRDefault="001F1694" w:rsidP="00147C8B">
            <w:pPr>
              <w:spacing w:before="0" w:after="0" w:line="240" w:lineRule="auto"/>
              <w:jc w:val="right"/>
              <w:rPr>
                <w:sz w:val="18"/>
                <w:szCs w:val="18"/>
              </w:rPr>
            </w:pPr>
            <w:r w:rsidRPr="00CD6A34">
              <w:rPr>
                <w:sz w:val="18"/>
                <w:szCs w:val="18"/>
              </w:rPr>
              <w:t xml:space="preserve">             51.3 </w:t>
            </w:r>
          </w:p>
        </w:tc>
        <w:tc>
          <w:tcPr>
            <w:tcW w:w="1628" w:type="dxa"/>
            <w:shd w:val="clear" w:color="auto" w:fill="auto"/>
            <w:vAlign w:val="bottom"/>
            <w:hideMark/>
          </w:tcPr>
          <w:p w14:paraId="4C96A69F" w14:textId="77777777" w:rsidR="001F1694" w:rsidRPr="00CD6A34" w:rsidRDefault="001F1694" w:rsidP="00147C8B">
            <w:pPr>
              <w:spacing w:before="0" w:after="0" w:line="240" w:lineRule="auto"/>
              <w:jc w:val="right"/>
              <w:rPr>
                <w:sz w:val="18"/>
                <w:szCs w:val="18"/>
              </w:rPr>
            </w:pPr>
            <w:r w:rsidRPr="00CD6A34">
              <w:rPr>
                <w:sz w:val="18"/>
                <w:szCs w:val="18"/>
              </w:rPr>
              <w:t xml:space="preserve">        54.</w:t>
            </w:r>
            <w:r>
              <w:rPr>
                <w:sz w:val="18"/>
                <w:szCs w:val="18"/>
              </w:rPr>
              <w:t>5</w:t>
            </w:r>
            <w:r w:rsidRPr="00CD6A34">
              <w:rPr>
                <w:sz w:val="18"/>
                <w:szCs w:val="18"/>
              </w:rPr>
              <w:t xml:space="preserve"> </w:t>
            </w:r>
          </w:p>
        </w:tc>
        <w:tc>
          <w:tcPr>
            <w:tcW w:w="1374" w:type="dxa"/>
            <w:vAlign w:val="bottom"/>
          </w:tcPr>
          <w:p w14:paraId="4A82F54E" w14:textId="77777777" w:rsidR="001F1694" w:rsidRPr="00CD6A34" w:rsidRDefault="001F1694" w:rsidP="00147C8B">
            <w:pPr>
              <w:spacing w:before="0" w:after="0" w:line="240" w:lineRule="auto"/>
              <w:jc w:val="right"/>
              <w:rPr>
                <w:sz w:val="18"/>
                <w:szCs w:val="18"/>
              </w:rPr>
            </w:pPr>
            <w:r w:rsidRPr="00CD6A34">
              <w:rPr>
                <w:sz w:val="18"/>
                <w:szCs w:val="18"/>
              </w:rPr>
              <w:t xml:space="preserve">        5</w:t>
            </w:r>
            <w:r>
              <w:rPr>
                <w:sz w:val="18"/>
                <w:szCs w:val="18"/>
              </w:rPr>
              <w:t>5</w:t>
            </w:r>
            <w:r w:rsidRPr="00CD6A34">
              <w:rPr>
                <w:sz w:val="18"/>
                <w:szCs w:val="18"/>
              </w:rPr>
              <w:t>.</w:t>
            </w:r>
            <w:r>
              <w:rPr>
                <w:sz w:val="18"/>
                <w:szCs w:val="18"/>
              </w:rPr>
              <w:t>0</w:t>
            </w:r>
            <w:r w:rsidRPr="00CD6A34">
              <w:rPr>
                <w:sz w:val="18"/>
                <w:szCs w:val="18"/>
              </w:rPr>
              <w:t xml:space="preserve"> </w:t>
            </w:r>
          </w:p>
        </w:tc>
        <w:tc>
          <w:tcPr>
            <w:tcW w:w="1378" w:type="dxa"/>
            <w:vAlign w:val="bottom"/>
          </w:tcPr>
          <w:p w14:paraId="1D099F7C" w14:textId="77777777" w:rsidR="001F1694" w:rsidRPr="00CD6A34" w:rsidRDefault="001F1694" w:rsidP="00147C8B">
            <w:pPr>
              <w:spacing w:before="0" w:after="0" w:line="240" w:lineRule="auto"/>
              <w:jc w:val="right"/>
              <w:rPr>
                <w:sz w:val="18"/>
                <w:szCs w:val="18"/>
              </w:rPr>
            </w:pPr>
            <w:r w:rsidRPr="00CD6A34">
              <w:rPr>
                <w:sz w:val="18"/>
                <w:szCs w:val="18"/>
              </w:rPr>
              <w:t xml:space="preserve">        54.</w:t>
            </w:r>
            <w:r>
              <w:rPr>
                <w:sz w:val="18"/>
                <w:szCs w:val="18"/>
              </w:rPr>
              <w:t>7</w:t>
            </w:r>
            <w:r w:rsidRPr="00CD6A34">
              <w:rPr>
                <w:sz w:val="18"/>
                <w:szCs w:val="18"/>
              </w:rPr>
              <w:t xml:space="preserve"> </w:t>
            </w:r>
          </w:p>
        </w:tc>
      </w:tr>
      <w:tr w:rsidR="001F1694" w:rsidRPr="00C3014C" w14:paraId="5E7586EF" w14:textId="77777777" w:rsidTr="00147C8B">
        <w:trPr>
          <w:trHeight w:val="360"/>
          <w:jc w:val="right"/>
        </w:trPr>
        <w:tc>
          <w:tcPr>
            <w:tcW w:w="3950" w:type="dxa"/>
            <w:shd w:val="clear" w:color="auto" w:fill="auto"/>
            <w:vAlign w:val="center"/>
            <w:hideMark/>
          </w:tcPr>
          <w:p w14:paraId="22302494" w14:textId="77777777" w:rsidR="001F1694" w:rsidRPr="00E339D8" w:rsidRDefault="001F1694" w:rsidP="00147C8B">
            <w:pPr>
              <w:spacing w:before="0" w:after="0" w:line="240" w:lineRule="auto"/>
              <w:rPr>
                <w:sz w:val="18"/>
                <w:szCs w:val="18"/>
                <w:lang w:val="hy-AM"/>
              </w:rPr>
            </w:pPr>
            <w:r w:rsidRPr="00E339D8">
              <w:rPr>
                <w:sz w:val="18"/>
                <w:szCs w:val="18"/>
              </w:rPr>
              <w:t>այդ թվում`</w:t>
            </w:r>
          </w:p>
        </w:tc>
        <w:tc>
          <w:tcPr>
            <w:tcW w:w="786" w:type="dxa"/>
            <w:shd w:val="clear" w:color="auto" w:fill="auto"/>
            <w:vAlign w:val="bottom"/>
          </w:tcPr>
          <w:p w14:paraId="2BF8026E" w14:textId="77777777" w:rsidR="001F1694" w:rsidRPr="00CD6A34" w:rsidRDefault="001F1694" w:rsidP="00147C8B">
            <w:pPr>
              <w:spacing w:before="0" w:after="0" w:line="240" w:lineRule="auto"/>
              <w:jc w:val="right"/>
              <w:rPr>
                <w:sz w:val="18"/>
                <w:szCs w:val="18"/>
              </w:rPr>
            </w:pPr>
          </w:p>
        </w:tc>
        <w:tc>
          <w:tcPr>
            <w:tcW w:w="1404" w:type="dxa"/>
            <w:shd w:val="clear" w:color="auto" w:fill="auto"/>
            <w:vAlign w:val="bottom"/>
          </w:tcPr>
          <w:p w14:paraId="6482066F" w14:textId="77777777" w:rsidR="001F1694" w:rsidRPr="00E339D8" w:rsidRDefault="001F1694" w:rsidP="00147C8B">
            <w:pPr>
              <w:spacing w:before="0" w:after="0" w:line="240" w:lineRule="auto"/>
              <w:jc w:val="right"/>
              <w:rPr>
                <w:sz w:val="18"/>
                <w:szCs w:val="18"/>
              </w:rPr>
            </w:pPr>
          </w:p>
        </w:tc>
        <w:tc>
          <w:tcPr>
            <w:tcW w:w="1628" w:type="dxa"/>
            <w:shd w:val="clear" w:color="auto" w:fill="auto"/>
            <w:vAlign w:val="bottom"/>
          </w:tcPr>
          <w:p w14:paraId="6B3DAD4F" w14:textId="77777777" w:rsidR="001F1694" w:rsidRPr="00E339D8" w:rsidRDefault="001F1694" w:rsidP="00147C8B">
            <w:pPr>
              <w:spacing w:before="0" w:after="0" w:line="240" w:lineRule="auto"/>
              <w:jc w:val="right"/>
              <w:rPr>
                <w:sz w:val="18"/>
                <w:szCs w:val="18"/>
              </w:rPr>
            </w:pPr>
          </w:p>
        </w:tc>
        <w:tc>
          <w:tcPr>
            <w:tcW w:w="1374" w:type="dxa"/>
            <w:vAlign w:val="bottom"/>
          </w:tcPr>
          <w:p w14:paraId="382E9980" w14:textId="77777777" w:rsidR="001F1694" w:rsidRPr="00E339D8" w:rsidRDefault="001F1694" w:rsidP="00147C8B">
            <w:pPr>
              <w:spacing w:before="0" w:after="0" w:line="240" w:lineRule="auto"/>
              <w:jc w:val="right"/>
              <w:rPr>
                <w:sz w:val="18"/>
                <w:szCs w:val="18"/>
              </w:rPr>
            </w:pPr>
          </w:p>
        </w:tc>
        <w:tc>
          <w:tcPr>
            <w:tcW w:w="1378" w:type="dxa"/>
            <w:vAlign w:val="bottom"/>
          </w:tcPr>
          <w:p w14:paraId="6EC38941" w14:textId="77777777" w:rsidR="001F1694" w:rsidRPr="00E339D8" w:rsidRDefault="001F1694" w:rsidP="00147C8B">
            <w:pPr>
              <w:spacing w:before="0" w:after="0" w:line="240" w:lineRule="auto"/>
              <w:jc w:val="right"/>
              <w:rPr>
                <w:sz w:val="18"/>
                <w:szCs w:val="18"/>
              </w:rPr>
            </w:pPr>
          </w:p>
        </w:tc>
      </w:tr>
      <w:tr w:rsidR="001F1694" w:rsidRPr="00284CA9" w14:paraId="54FA0EA1" w14:textId="77777777" w:rsidTr="00147C8B">
        <w:trPr>
          <w:trHeight w:val="360"/>
          <w:jc w:val="right"/>
        </w:trPr>
        <w:tc>
          <w:tcPr>
            <w:tcW w:w="3950" w:type="dxa"/>
            <w:shd w:val="clear" w:color="auto" w:fill="auto"/>
            <w:vAlign w:val="center"/>
            <w:hideMark/>
          </w:tcPr>
          <w:p w14:paraId="5DC676A2" w14:textId="77777777" w:rsidR="001F1694" w:rsidRPr="00E339D8" w:rsidRDefault="001F1694" w:rsidP="00147C8B">
            <w:pPr>
              <w:spacing w:before="0" w:after="0" w:line="240" w:lineRule="auto"/>
              <w:rPr>
                <w:sz w:val="18"/>
                <w:szCs w:val="18"/>
                <w:lang w:val="hy-AM"/>
              </w:rPr>
            </w:pPr>
            <w:r w:rsidRPr="00E339D8">
              <w:rPr>
                <w:sz w:val="18"/>
                <w:szCs w:val="18"/>
              </w:rPr>
              <w:t>արտաքին պետական պարտք</w:t>
            </w:r>
          </w:p>
        </w:tc>
        <w:tc>
          <w:tcPr>
            <w:tcW w:w="786" w:type="dxa"/>
            <w:shd w:val="clear" w:color="auto" w:fill="auto"/>
            <w:vAlign w:val="bottom"/>
            <w:hideMark/>
          </w:tcPr>
          <w:p w14:paraId="21C20FB4" w14:textId="77777777" w:rsidR="001F1694" w:rsidRPr="004A3C1A" w:rsidRDefault="001F1694" w:rsidP="00147C8B">
            <w:pPr>
              <w:spacing w:before="0" w:after="0" w:line="240" w:lineRule="auto"/>
              <w:jc w:val="right"/>
              <w:rPr>
                <w:sz w:val="18"/>
                <w:szCs w:val="18"/>
              </w:rPr>
            </w:pPr>
            <w:r w:rsidRPr="00CD6A34">
              <w:rPr>
                <w:sz w:val="18"/>
                <w:szCs w:val="18"/>
              </w:rPr>
              <w:t xml:space="preserve">          25.1 </w:t>
            </w:r>
          </w:p>
        </w:tc>
        <w:tc>
          <w:tcPr>
            <w:tcW w:w="1404" w:type="dxa"/>
            <w:shd w:val="clear" w:color="auto" w:fill="auto"/>
            <w:vAlign w:val="bottom"/>
            <w:hideMark/>
          </w:tcPr>
          <w:p w14:paraId="2CE1209E" w14:textId="77777777" w:rsidR="001F1694" w:rsidRPr="004A3C1A" w:rsidRDefault="001F1694" w:rsidP="00147C8B">
            <w:pPr>
              <w:spacing w:before="0" w:after="0" w:line="240" w:lineRule="auto"/>
              <w:jc w:val="right"/>
              <w:rPr>
                <w:sz w:val="18"/>
                <w:szCs w:val="18"/>
              </w:rPr>
            </w:pPr>
            <w:r w:rsidRPr="00CD6A34">
              <w:rPr>
                <w:sz w:val="18"/>
                <w:szCs w:val="18"/>
              </w:rPr>
              <w:t xml:space="preserve">             25.1 </w:t>
            </w:r>
          </w:p>
        </w:tc>
        <w:tc>
          <w:tcPr>
            <w:tcW w:w="1628" w:type="dxa"/>
            <w:shd w:val="clear" w:color="auto" w:fill="auto"/>
            <w:vAlign w:val="bottom"/>
            <w:hideMark/>
          </w:tcPr>
          <w:p w14:paraId="53AD1807" w14:textId="77777777" w:rsidR="001F1694" w:rsidRPr="004A3C1A" w:rsidRDefault="001F1694" w:rsidP="00147C8B">
            <w:pPr>
              <w:spacing w:before="0" w:after="0" w:line="240" w:lineRule="auto"/>
              <w:jc w:val="right"/>
              <w:rPr>
                <w:sz w:val="18"/>
                <w:szCs w:val="18"/>
              </w:rPr>
            </w:pPr>
            <w:r w:rsidRPr="00CD6A34">
              <w:rPr>
                <w:sz w:val="18"/>
                <w:szCs w:val="18"/>
              </w:rPr>
              <w:t xml:space="preserve">        27.</w:t>
            </w:r>
            <w:r>
              <w:rPr>
                <w:sz w:val="18"/>
                <w:szCs w:val="18"/>
              </w:rPr>
              <w:t>6</w:t>
            </w:r>
            <w:r w:rsidRPr="00CD6A34">
              <w:rPr>
                <w:sz w:val="18"/>
                <w:szCs w:val="18"/>
              </w:rPr>
              <w:t xml:space="preserve"> </w:t>
            </w:r>
          </w:p>
        </w:tc>
        <w:tc>
          <w:tcPr>
            <w:tcW w:w="1374" w:type="dxa"/>
            <w:vAlign w:val="bottom"/>
          </w:tcPr>
          <w:p w14:paraId="327F9B16" w14:textId="77777777" w:rsidR="001F1694" w:rsidRPr="00CD6A34" w:rsidRDefault="001F1694" w:rsidP="00147C8B">
            <w:pPr>
              <w:spacing w:before="0" w:after="0" w:line="240" w:lineRule="auto"/>
              <w:jc w:val="right"/>
              <w:rPr>
                <w:sz w:val="18"/>
                <w:szCs w:val="18"/>
              </w:rPr>
            </w:pPr>
            <w:r w:rsidRPr="00CD6A34">
              <w:rPr>
                <w:sz w:val="18"/>
                <w:szCs w:val="18"/>
              </w:rPr>
              <w:t xml:space="preserve">        2</w:t>
            </w:r>
            <w:r>
              <w:rPr>
                <w:sz w:val="18"/>
                <w:szCs w:val="18"/>
              </w:rPr>
              <w:t>8</w:t>
            </w:r>
            <w:r w:rsidRPr="00CD6A34">
              <w:rPr>
                <w:sz w:val="18"/>
                <w:szCs w:val="18"/>
              </w:rPr>
              <w:t>.</w:t>
            </w:r>
            <w:r>
              <w:rPr>
                <w:sz w:val="18"/>
                <w:szCs w:val="18"/>
              </w:rPr>
              <w:t>1</w:t>
            </w:r>
            <w:r w:rsidRPr="00CD6A34">
              <w:rPr>
                <w:sz w:val="18"/>
                <w:szCs w:val="18"/>
              </w:rPr>
              <w:t xml:space="preserve"> </w:t>
            </w:r>
          </w:p>
        </w:tc>
        <w:tc>
          <w:tcPr>
            <w:tcW w:w="1378" w:type="dxa"/>
            <w:vAlign w:val="bottom"/>
          </w:tcPr>
          <w:p w14:paraId="646D6CF6" w14:textId="77777777" w:rsidR="001F1694" w:rsidRPr="00CD6A34" w:rsidRDefault="001F1694" w:rsidP="00147C8B">
            <w:pPr>
              <w:spacing w:before="0" w:after="0" w:line="240" w:lineRule="auto"/>
              <w:jc w:val="right"/>
              <w:rPr>
                <w:sz w:val="18"/>
                <w:szCs w:val="18"/>
              </w:rPr>
            </w:pPr>
            <w:r w:rsidRPr="00CD6A34">
              <w:rPr>
                <w:sz w:val="18"/>
                <w:szCs w:val="18"/>
              </w:rPr>
              <w:t xml:space="preserve">        2</w:t>
            </w:r>
            <w:r>
              <w:rPr>
                <w:sz w:val="18"/>
                <w:szCs w:val="18"/>
              </w:rPr>
              <w:t>8</w:t>
            </w:r>
            <w:r w:rsidRPr="00CD6A34">
              <w:rPr>
                <w:sz w:val="18"/>
                <w:szCs w:val="18"/>
              </w:rPr>
              <w:t>.</w:t>
            </w:r>
            <w:r>
              <w:rPr>
                <w:sz w:val="18"/>
                <w:szCs w:val="18"/>
              </w:rPr>
              <w:t>3</w:t>
            </w:r>
            <w:r w:rsidRPr="00CD6A34">
              <w:rPr>
                <w:sz w:val="18"/>
                <w:szCs w:val="18"/>
              </w:rPr>
              <w:t xml:space="preserve"> </w:t>
            </w:r>
          </w:p>
        </w:tc>
      </w:tr>
      <w:tr w:rsidR="001F1694" w:rsidRPr="00284CA9" w14:paraId="4AAE1F80" w14:textId="77777777" w:rsidTr="00147C8B">
        <w:trPr>
          <w:trHeight w:val="360"/>
          <w:jc w:val="right"/>
        </w:trPr>
        <w:tc>
          <w:tcPr>
            <w:tcW w:w="3950" w:type="dxa"/>
            <w:shd w:val="clear" w:color="auto" w:fill="auto"/>
            <w:vAlign w:val="center"/>
            <w:hideMark/>
          </w:tcPr>
          <w:p w14:paraId="18101A98" w14:textId="77777777" w:rsidR="001F1694" w:rsidRPr="00E339D8" w:rsidRDefault="001F1694" w:rsidP="00147C8B">
            <w:pPr>
              <w:spacing w:before="0" w:after="0" w:line="240" w:lineRule="auto"/>
              <w:rPr>
                <w:sz w:val="18"/>
                <w:szCs w:val="18"/>
                <w:lang w:val="hy-AM"/>
              </w:rPr>
            </w:pPr>
            <w:r w:rsidRPr="00284CA9">
              <w:rPr>
                <w:sz w:val="18"/>
                <w:szCs w:val="18"/>
                <w:lang w:val="hy-AM"/>
              </w:rPr>
              <w:t xml:space="preserve">որից` ՀՀ կենտրոնական բանկի պարտք </w:t>
            </w:r>
          </w:p>
        </w:tc>
        <w:tc>
          <w:tcPr>
            <w:tcW w:w="786" w:type="dxa"/>
            <w:shd w:val="clear" w:color="auto" w:fill="auto"/>
            <w:vAlign w:val="bottom"/>
            <w:hideMark/>
          </w:tcPr>
          <w:p w14:paraId="3CD90678" w14:textId="77777777" w:rsidR="001F1694" w:rsidRPr="00B97F12" w:rsidRDefault="001F1694" w:rsidP="00147C8B">
            <w:pPr>
              <w:spacing w:before="0" w:after="0" w:line="240" w:lineRule="auto"/>
              <w:jc w:val="right"/>
              <w:rPr>
                <w:i/>
                <w:sz w:val="18"/>
                <w:szCs w:val="18"/>
              </w:rPr>
            </w:pPr>
            <w:r w:rsidRPr="00B97F12">
              <w:rPr>
                <w:i/>
                <w:sz w:val="18"/>
                <w:szCs w:val="18"/>
              </w:rPr>
              <w:t xml:space="preserve">           2.0 </w:t>
            </w:r>
          </w:p>
        </w:tc>
        <w:tc>
          <w:tcPr>
            <w:tcW w:w="1404" w:type="dxa"/>
            <w:shd w:val="clear" w:color="auto" w:fill="auto"/>
            <w:vAlign w:val="bottom"/>
            <w:hideMark/>
          </w:tcPr>
          <w:p w14:paraId="6CDA0DD8" w14:textId="77777777" w:rsidR="001F1694" w:rsidRPr="00B97F12" w:rsidRDefault="001F1694" w:rsidP="00147C8B">
            <w:pPr>
              <w:spacing w:before="0" w:after="0" w:line="240" w:lineRule="auto"/>
              <w:jc w:val="right"/>
              <w:rPr>
                <w:i/>
                <w:sz w:val="18"/>
                <w:szCs w:val="18"/>
              </w:rPr>
            </w:pPr>
            <w:r w:rsidRPr="00B97F12">
              <w:rPr>
                <w:i/>
                <w:sz w:val="18"/>
                <w:szCs w:val="18"/>
              </w:rPr>
              <w:t xml:space="preserve">              1.7 </w:t>
            </w:r>
          </w:p>
        </w:tc>
        <w:tc>
          <w:tcPr>
            <w:tcW w:w="1628" w:type="dxa"/>
            <w:shd w:val="clear" w:color="auto" w:fill="auto"/>
            <w:vAlign w:val="bottom"/>
            <w:hideMark/>
          </w:tcPr>
          <w:p w14:paraId="04521906" w14:textId="77777777" w:rsidR="001F1694" w:rsidRPr="00B97F12" w:rsidRDefault="001F1694" w:rsidP="00147C8B">
            <w:pPr>
              <w:spacing w:before="0" w:after="0" w:line="240" w:lineRule="auto"/>
              <w:jc w:val="right"/>
              <w:rPr>
                <w:i/>
                <w:sz w:val="18"/>
                <w:szCs w:val="18"/>
              </w:rPr>
            </w:pPr>
            <w:r w:rsidRPr="00B97F12">
              <w:rPr>
                <w:i/>
                <w:sz w:val="18"/>
                <w:szCs w:val="18"/>
              </w:rPr>
              <w:t xml:space="preserve">          1.6 </w:t>
            </w:r>
          </w:p>
        </w:tc>
        <w:tc>
          <w:tcPr>
            <w:tcW w:w="1374" w:type="dxa"/>
            <w:vAlign w:val="bottom"/>
          </w:tcPr>
          <w:p w14:paraId="5C96B0E7" w14:textId="77777777" w:rsidR="001F1694" w:rsidRPr="00B97F12" w:rsidRDefault="001F1694" w:rsidP="00147C8B">
            <w:pPr>
              <w:spacing w:before="0" w:after="0" w:line="240" w:lineRule="auto"/>
              <w:jc w:val="right"/>
              <w:rPr>
                <w:i/>
                <w:sz w:val="18"/>
                <w:szCs w:val="18"/>
              </w:rPr>
            </w:pPr>
            <w:r w:rsidRPr="00B97F12">
              <w:rPr>
                <w:i/>
                <w:sz w:val="18"/>
                <w:szCs w:val="18"/>
              </w:rPr>
              <w:t xml:space="preserve">          1.3 </w:t>
            </w:r>
          </w:p>
        </w:tc>
        <w:tc>
          <w:tcPr>
            <w:tcW w:w="1378" w:type="dxa"/>
            <w:vAlign w:val="bottom"/>
          </w:tcPr>
          <w:p w14:paraId="1C0D70D3" w14:textId="77777777" w:rsidR="001F1694" w:rsidRPr="00B97F12" w:rsidRDefault="001F1694" w:rsidP="00147C8B">
            <w:pPr>
              <w:spacing w:before="0" w:after="0" w:line="240" w:lineRule="auto"/>
              <w:jc w:val="right"/>
              <w:rPr>
                <w:i/>
                <w:sz w:val="18"/>
                <w:szCs w:val="18"/>
              </w:rPr>
            </w:pPr>
            <w:r w:rsidRPr="00B97F12">
              <w:rPr>
                <w:i/>
                <w:sz w:val="18"/>
                <w:szCs w:val="18"/>
              </w:rPr>
              <w:t xml:space="preserve">          1.1 </w:t>
            </w:r>
          </w:p>
        </w:tc>
      </w:tr>
      <w:tr w:rsidR="001F1694" w:rsidRPr="00284CA9" w14:paraId="765F530B" w14:textId="77777777" w:rsidTr="00147C8B">
        <w:trPr>
          <w:trHeight w:val="360"/>
          <w:jc w:val="right"/>
        </w:trPr>
        <w:tc>
          <w:tcPr>
            <w:tcW w:w="3950" w:type="dxa"/>
            <w:shd w:val="clear" w:color="auto" w:fill="auto"/>
            <w:vAlign w:val="center"/>
            <w:hideMark/>
          </w:tcPr>
          <w:p w14:paraId="14FB4AF8" w14:textId="77777777" w:rsidR="001F1694" w:rsidRPr="00E339D8" w:rsidRDefault="001F1694" w:rsidP="00147C8B">
            <w:pPr>
              <w:spacing w:before="0" w:after="0" w:line="240" w:lineRule="auto"/>
              <w:rPr>
                <w:sz w:val="18"/>
                <w:szCs w:val="18"/>
                <w:lang w:val="hy-AM"/>
              </w:rPr>
            </w:pPr>
            <w:r w:rsidRPr="00284CA9">
              <w:rPr>
                <w:sz w:val="18"/>
                <w:szCs w:val="18"/>
                <w:lang w:val="hy-AM"/>
              </w:rPr>
              <w:t>ներքին պետական պարտք</w:t>
            </w:r>
          </w:p>
        </w:tc>
        <w:tc>
          <w:tcPr>
            <w:tcW w:w="786" w:type="dxa"/>
            <w:shd w:val="clear" w:color="auto" w:fill="auto"/>
            <w:vAlign w:val="bottom"/>
            <w:hideMark/>
          </w:tcPr>
          <w:p w14:paraId="0777BAED" w14:textId="77777777" w:rsidR="001F1694" w:rsidRPr="004A3C1A" w:rsidRDefault="001F1694" w:rsidP="00147C8B">
            <w:pPr>
              <w:spacing w:before="0" w:after="0" w:line="240" w:lineRule="auto"/>
              <w:jc w:val="right"/>
              <w:rPr>
                <w:sz w:val="18"/>
                <w:szCs w:val="18"/>
              </w:rPr>
            </w:pPr>
            <w:r w:rsidRPr="00CD6A34">
              <w:rPr>
                <w:sz w:val="18"/>
                <w:szCs w:val="18"/>
              </w:rPr>
              <w:t xml:space="preserve">         24.9 </w:t>
            </w:r>
          </w:p>
        </w:tc>
        <w:tc>
          <w:tcPr>
            <w:tcW w:w="1404" w:type="dxa"/>
            <w:shd w:val="clear" w:color="auto" w:fill="auto"/>
            <w:vAlign w:val="bottom"/>
            <w:hideMark/>
          </w:tcPr>
          <w:p w14:paraId="174ADDBB" w14:textId="77777777" w:rsidR="001F1694" w:rsidRPr="004A3C1A" w:rsidRDefault="001F1694" w:rsidP="00147C8B">
            <w:pPr>
              <w:spacing w:before="0" w:after="0" w:line="240" w:lineRule="auto"/>
              <w:jc w:val="right"/>
              <w:rPr>
                <w:sz w:val="18"/>
                <w:szCs w:val="18"/>
              </w:rPr>
            </w:pPr>
            <w:r w:rsidRPr="00CD6A34">
              <w:rPr>
                <w:sz w:val="18"/>
                <w:szCs w:val="18"/>
              </w:rPr>
              <w:t xml:space="preserve">             26.1 </w:t>
            </w:r>
          </w:p>
        </w:tc>
        <w:tc>
          <w:tcPr>
            <w:tcW w:w="1628" w:type="dxa"/>
            <w:shd w:val="clear" w:color="auto" w:fill="auto"/>
            <w:vAlign w:val="bottom"/>
            <w:hideMark/>
          </w:tcPr>
          <w:p w14:paraId="2E291B49" w14:textId="77777777" w:rsidR="001F1694" w:rsidRPr="004A3C1A" w:rsidRDefault="001F1694" w:rsidP="00147C8B">
            <w:pPr>
              <w:spacing w:before="0" w:after="0" w:line="240" w:lineRule="auto"/>
              <w:jc w:val="right"/>
              <w:rPr>
                <w:sz w:val="18"/>
                <w:szCs w:val="18"/>
              </w:rPr>
            </w:pPr>
            <w:r w:rsidRPr="00CD6A34">
              <w:rPr>
                <w:sz w:val="18"/>
                <w:szCs w:val="18"/>
              </w:rPr>
              <w:t xml:space="preserve">        26.9 </w:t>
            </w:r>
          </w:p>
        </w:tc>
        <w:tc>
          <w:tcPr>
            <w:tcW w:w="1374" w:type="dxa"/>
            <w:vAlign w:val="bottom"/>
          </w:tcPr>
          <w:p w14:paraId="7A089CE1" w14:textId="77777777" w:rsidR="001F1694" w:rsidRPr="00CD6A34" w:rsidRDefault="001F1694" w:rsidP="00147C8B">
            <w:pPr>
              <w:spacing w:before="0" w:after="0" w:line="240" w:lineRule="auto"/>
              <w:jc w:val="right"/>
              <w:rPr>
                <w:sz w:val="18"/>
                <w:szCs w:val="18"/>
              </w:rPr>
            </w:pPr>
            <w:r w:rsidRPr="00CD6A34">
              <w:rPr>
                <w:sz w:val="18"/>
                <w:szCs w:val="18"/>
              </w:rPr>
              <w:t xml:space="preserve">        26.</w:t>
            </w:r>
            <w:r>
              <w:rPr>
                <w:sz w:val="18"/>
                <w:szCs w:val="18"/>
              </w:rPr>
              <w:t>8</w:t>
            </w:r>
            <w:r w:rsidRPr="00CD6A34">
              <w:rPr>
                <w:sz w:val="18"/>
                <w:szCs w:val="18"/>
              </w:rPr>
              <w:t xml:space="preserve"> </w:t>
            </w:r>
          </w:p>
        </w:tc>
        <w:tc>
          <w:tcPr>
            <w:tcW w:w="1378" w:type="dxa"/>
            <w:vAlign w:val="bottom"/>
          </w:tcPr>
          <w:p w14:paraId="37774A04" w14:textId="77777777" w:rsidR="001F1694" w:rsidRPr="00CD6A34" w:rsidRDefault="001F1694" w:rsidP="00147C8B">
            <w:pPr>
              <w:spacing w:before="0" w:after="0" w:line="240" w:lineRule="auto"/>
              <w:jc w:val="right"/>
              <w:rPr>
                <w:sz w:val="18"/>
                <w:szCs w:val="18"/>
              </w:rPr>
            </w:pPr>
            <w:r w:rsidRPr="00CD6A34">
              <w:rPr>
                <w:sz w:val="18"/>
                <w:szCs w:val="18"/>
              </w:rPr>
              <w:t xml:space="preserve">        26.</w:t>
            </w:r>
            <w:r>
              <w:rPr>
                <w:sz w:val="18"/>
                <w:szCs w:val="18"/>
              </w:rPr>
              <w:t>4</w:t>
            </w:r>
            <w:r w:rsidRPr="00CD6A34">
              <w:rPr>
                <w:sz w:val="18"/>
                <w:szCs w:val="18"/>
              </w:rPr>
              <w:t xml:space="preserve"> </w:t>
            </w:r>
          </w:p>
        </w:tc>
      </w:tr>
    </w:tbl>
    <w:p w14:paraId="4201B3CC" w14:textId="77777777" w:rsidR="001F1694" w:rsidRPr="00B84464" w:rsidRDefault="001F1694" w:rsidP="001F1694">
      <w:pPr>
        <w:pStyle w:val="TOC4"/>
        <w:rPr>
          <w:lang w:val="hy-AM"/>
        </w:rPr>
      </w:pPr>
      <w:bookmarkStart w:id="456" w:name="_Toc146798600"/>
      <w:r w:rsidRPr="00B84464">
        <w:rPr>
          <w:lang w:val="hy-AM"/>
        </w:rPr>
        <w:t>ՀԱՅԱՍՏԱՆԻ ՀԱՆՐԱՊԵՏՈՒԹՅԱՆ ԿԱՌԱՎԱՐՈՒԹՅԱՆ ՊԱՐՏՔԸ</w:t>
      </w:r>
      <w:bookmarkEnd w:id="456"/>
    </w:p>
    <w:p w14:paraId="565B7B0A" w14:textId="77777777" w:rsidR="001F1694" w:rsidRPr="004A3C1A" w:rsidRDefault="001F1694" w:rsidP="001F1694">
      <w:pPr>
        <w:pStyle w:val="BodyText1"/>
        <w:ind w:left="0"/>
        <w:rPr>
          <w:b/>
          <w:lang w:val="hy-AM"/>
        </w:rPr>
      </w:pPr>
      <w:r w:rsidRPr="004A3C1A">
        <w:rPr>
          <w:b/>
          <w:lang w:val="hy-AM"/>
        </w:rPr>
        <w:t>2026 թվականի տարեվերջի դրությամբ կառավարության պարտքի կանխատեսումը կատարվել է հետևյալ ենթադրության հիման վրա.</w:t>
      </w:r>
    </w:p>
    <w:p w14:paraId="0E8C17FC" w14:textId="77777777" w:rsidR="001F1694" w:rsidRPr="004B2B0B" w:rsidRDefault="001F1694" w:rsidP="001F1694">
      <w:pPr>
        <w:pStyle w:val="BodyText1"/>
        <w:ind w:left="0"/>
        <w:rPr>
          <w:lang w:val="hy-AM"/>
        </w:rPr>
      </w:pPr>
      <w:r w:rsidRPr="004B2B0B">
        <w:rPr>
          <w:lang w:val="hy-AM"/>
        </w:rPr>
        <w:t xml:space="preserve">ՀՀ 2026թ. պետական բյուջեի պակասուրդի զուտ ֆինանսավորումը պարտքային գործիքների հաշվին կիրականացվի </w:t>
      </w:r>
      <w:r w:rsidRPr="005E4917">
        <w:rPr>
          <w:lang w:val="hy-AM"/>
        </w:rPr>
        <w:t>6</w:t>
      </w:r>
      <w:r w:rsidRPr="00C24278">
        <w:rPr>
          <w:lang w:val="hy-AM"/>
        </w:rPr>
        <w:t>49</w:t>
      </w:r>
      <w:r w:rsidRPr="004B2B0B">
        <w:rPr>
          <w:lang w:val="hy-AM"/>
        </w:rPr>
        <w:t>.</w:t>
      </w:r>
      <w:r w:rsidRPr="00C24278">
        <w:rPr>
          <w:lang w:val="hy-AM"/>
        </w:rPr>
        <w:t>7</w:t>
      </w:r>
      <w:r w:rsidRPr="004B2B0B">
        <w:rPr>
          <w:lang w:val="hy-AM"/>
        </w:rPr>
        <w:t xml:space="preserve"> մլրդ դրամի չափով, որից 31</w:t>
      </w:r>
      <w:r w:rsidRPr="005E4917">
        <w:rPr>
          <w:lang w:val="hy-AM"/>
        </w:rPr>
        <w:t>5</w:t>
      </w:r>
      <w:r w:rsidRPr="004B2B0B">
        <w:rPr>
          <w:lang w:val="hy-AM"/>
        </w:rPr>
        <w:t>.</w:t>
      </w:r>
      <w:r w:rsidRPr="005E4917">
        <w:rPr>
          <w:lang w:val="hy-AM"/>
        </w:rPr>
        <w:t>0</w:t>
      </w:r>
      <w:r w:rsidRPr="004B2B0B">
        <w:rPr>
          <w:lang w:val="hy-AM"/>
        </w:rPr>
        <w:t xml:space="preserve"> մլրդ դրամը պետական գանձապետական պարտատոմսերի հաշվին, </w:t>
      </w:r>
      <w:r w:rsidRPr="005E4917">
        <w:rPr>
          <w:lang w:val="hy-AM"/>
        </w:rPr>
        <w:t>3</w:t>
      </w:r>
      <w:r w:rsidRPr="00CF150C">
        <w:rPr>
          <w:lang w:val="hy-AM"/>
        </w:rPr>
        <w:t>34</w:t>
      </w:r>
      <w:r w:rsidRPr="004B2B0B">
        <w:rPr>
          <w:lang w:val="hy-AM"/>
        </w:rPr>
        <w:t>.</w:t>
      </w:r>
      <w:r w:rsidRPr="00C24278">
        <w:rPr>
          <w:lang w:val="hy-AM"/>
        </w:rPr>
        <w:t>7</w:t>
      </w:r>
      <w:r w:rsidRPr="004B2B0B">
        <w:rPr>
          <w:lang w:val="hy-AM"/>
        </w:rPr>
        <w:t xml:space="preserve"> մլրդ դրամը՝ արտաքին աղբյուրների հաշվին:</w:t>
      </w:r>
    </w:p>
    <w:p w14:paraId="2F80E0DC" w14:textId="77777777" w:rsidR="001F1694" w:rsidRPr="004B2B0B" w:rsidRDefault="001F1694" w:rsidP="001F1694">
      <w:pPr>
        <w:pStyle w:val="BodyText1"/>
        <w:ind w:left="0"/>
        <w:rPr>
          <w:lang w:val="hy-AM"/>
        </w:rPr>
      </w:pPr>
      <w:r w:rsidRPr="004B2B0B">
        <w:rPr>
          <w:lang w:val="hy-AM"/>
        </w:rPr>
        <w:t>Պարտքի կանխատեսումների վրա ազդել են նաև հետևյալ գործոնները.</w:t>
      </w:r>
    </w:p>
    <w:p w14:paraId="7E3F283E" w14:textId="77777777" w:rsidR="001F1694" w:rsidRPr="004B2B0B" w:rsidRDefault="001F1694" w:rsidP="001F1694">
      <w:pPr>
        <w:pStyle w:val="BodyText1"/>
        <w:numPr>
          <w:ilvl w:val="0"/>
          <w:numId w:val="16"/>
        </w:numPr>
        <w:ind w:left="0" w:firstLine="0"/>
        <w:rPr>
          <w:lang w:val="hy-AM"/>
        </w:rPr>
      </w:pPr>
      <w:r w:rsidRPr="004B2B0B">
        <w:rPr>
          <w:lang w:val="hy-AM"/>
        </w:rPr>
        <w:t>Առկա և նոր պարտքի սպասարկման և մարման պայմանները,</w:t>
      </w:r>
    </w:p>
    <w:p w14:paraId="57F7C7EF" w14:textId="77777777" w:rsidR="001F1694" w:rsidRPr="004B2B0B" w:rsidRDefault="001F1694" w:rsidP="001F1694">
      <w:pPr>
        <w:pStyle w:val="BodyText1"/>
        <w:numPr>
          <w:ilvl w:val="0"/>
          <w:numId w:val="16"/>
        </w:numPr>
        <w:ind w:left="0" w:firstLine="0"/>
        <w:rPr>
          <w:lang w:val="hy-AM"/>
        </w:rPr>
      </w:pPr>
      <w:r w:rsidRPr="004B2B0B">
        <w:rPr>
          <w:lang w:val="hy-AM"/>
        </w:rPr>
        <w:t>ՀՀ 2026թ. պետական բյուջեի հիմքում դրված 2025թ. և 2026թ. ՀՆԱ-ի և այլ մակրոտնտեսական կանխատեսումային ցուցանիշները:</w:t>
      </w:r>
    </w:p>
    <w:p w14:paraId="57BE0DF0" w14:textId="77777777" w:rsidR="001F1694" w:rsidRPr="004B2B0B" w:rsidRDefault="001F1694" w:rsidP="001F1694">
      <w:pPr>
        <w:pStyle w:val="BodyText1"/>
        <w:ind w:left="0"/>
        <w:rPr>
          <w:lang w:val="hy-AM"/>
        </w:rPr>
      </w:pPr>
      <w:r w:rsidRPr="004B2B0B">
        <w:rPr>
          <w:lang w:val="hy-AM"/>
        </w:rPr>
        <w:t xml:space="preserve">2026թ. պետական բյուջեի ծրագրային ցուցանիշների համաձայն 2026թ. համախառն ֆինանսական կարիքը կազմել է </w:t>
      </w:r>
      <w:r w:rsidRPr="00705B94">
        <w:rPr>
          <w:lang w:val="hy-AM"/>
        </w:rPr>
        <w:t>1,</w:t>
      </w:r>
      <w:r w:rsidRPr="007B41DD">
        <w:rPr>
          <w:lang w:val="hy-AM"/>
        </w:rPr>
        <w:t>279</w:t>
      </w:r>
      <w:r w:rsidRPr="00705B94">
        <w:rPr>
          <w:lang w:val="hy-AM"/>
        </w:rPr>
        <w:t>.</w:t>
      </w:r>
      <w:r w:rsidRPr="00F57402">
        <w:rPr>
          <w:lang w:val="hy-AM"/>
        </w:rPr>
        <w:t>5</w:t>
      </w:r>
      <w:r w:rsidRPr="00705B94">
        <w:rPr>
          <w:lang w:val="hy-AM"/>
        </w:rPr>
        <w:t xml:space="preserve"> մլրդ դրամ</w:t>
      </w:r>
      <w:r w:rsidRPr="004B2B0B">
        <w:rPr>
          <w:lang w:val="hy-AM"/>
        </w:rPr>
        <w:t>, որը նախատեսվում է ֆինանսավորել հետևյալ պարտքային գործիքներով.</w:t>
      </w:r>
    </w:p>
    <w:p w14:paraId="3129A288" w14:textId="77777777" w:rsidR="001F1694" w:rsidRPr="004B2B0B" w:rsidRDefault="001F1694" w:rsidP="001F1694">
      <w:pPr>
        <w:pStyle w:val="BodyText1"/>
        <w:numPr>
          <w:ilvl w:val="0"/>
          <w:numId w:val="17"/>
        </w:numPr>
        <w:ind w:left="0" w:firstLine="0"/>
        <w:rPr>
          <w:lang w:val="hy-AM"/>
        </w:rPr>
      </w:pPr>
      <w:r w:rsidRPr="004B2B0B">
        <w:rPr>
          <w:lang w:val="hy-AM"/>
        </w:rPr>
        <w:t xml:space="preserve">Գանձապետական պարտատոմսեր </w:t>
      </w:r>
      <w:r w:rsidRPr="005A5FDE">
        <w:rPr>
          <w:lang w:val="hy-AM"/>
        </w:rPr>
        <w:t>– 765.0 մլրդ դրամ</w:t>
      </w:r>
      <w:r w:rsidRPr="004B2B0B">
        <w:rPr>
          <w:lang w:val="hy-AM"/>
        </w:rPr>
        <w:t>,</w:t>
      </w:r>
    </w:p>
    <w:p w14:paraId="254CF5ED" w14:textId="77777777" w:rsidR="001F1694" w:rsidRPr="004B2B0B" w:rsidRDefault="001F1694" w:rsidP="001F1694">
      <w:pPr>
        <w:pStyle w:val="BodyText1"/>
        <w:numPr>
          <w:ilvl w:val="0"/>
          <w:numId w:val="17"/>
        </w:numPr>
        <w:ind w:left="0" w:firstLine="0"/>
        <w:rPr>
          <w:lang w:val="hy-AM"/>
        </w:rPr>
      </w:pPr>
      <w:r w:rsidRPr="004B2B0B">
        <w:rPr>
          <w:lang w:val="hy-AM"/>
        </w:rPr>
        <w:t xml:space="preserve">Բյուջետային աջակցության վարկեր – </w:t>
      </w:r>
      <w:r w:rsidRPr="007B41DD">
        <w:rPr>
          <w:lang w:val="hy-AM"/>
        </w:rPr>
        <w:t>382</w:t>
      </w:r>
      <w:r w:rsidRPr="004B2B0B">
        <w:rPr>
          <w:lang w:val="hy-AM"/>
        </w:rPr>
        <w:t>.</w:t>
      </w:r>
      <w:r w:rsidRPr="007B41DD">
        <w:rPr>
          <w:lang w:val="hy-AM"/>
        </w:rPr>
        <w:t>6</w:t>
      </w:r>
      <w:r w:rsidRPr="004B2B0B">
        <w:rPr>
          <w:lang w:val="hy-AM"/>
        </w:rPr>
        <w:t xml:space="preserve"> մլրդ դրամ,</w:t>
      </w:r>
    </w:p>
    <w:p w14:paraId="1483599F" w14:textId="77777777" w:rsidR="001F1694" w:rsidRPr="004B2B0B" w:rsidRDefault="001F1694" w:rsidP="001F1694">
      <w:pPr>
        <w:pStyle w:val="BodyText1"/>
        <w:numPr>
          <w:ilvl w:val="0"/>
          <w:numId w:val="17"/>
        </w:numPr>
        <w:ind w:left="0" w:firstLine="0"/>
        <w:rPr>
          <w:lang w:val="hy-AM"/>
        </w:rPr>
      </w:pPr>
      <w:r w:rsidRPr="004B2B0B">
        <w:rPr>
          <w:lang w:val="hy-AM"/>
        </w:rPr>
        <w:t>Ծրագրային վարկեր – 13</w:t>
      </w:r>
      <w:r>
        <w:t>1</w:t>
      </w:r>
      <w:r w:rsidRPr="004B2B0B">
        <w:rPr>
          <w:lang w:val="hy-AM"/>
        </w:rPr>
        <w:t>.</w:t>
      </w:r>
      <w:r>
        <w:t>9</w:t>
      </w:r>
      <w:r w:rsidRPr="004B2B0B">
        <w:rPr>
          <w:lang w:val="hy-AM"/>
        </w:rPr>
        <w:t xml:space="preserve"> մլրդ դրամ:</w:t>
      </w:r>
    </w:p>
    <w:p w14:paraId="0E11D80B" w14:textId="77777777" w:rsidR="001F1694" w:rsidRDefault="001F1694" w:rsidP="001F1694">
      <w:pPr>
        <w:pStyle w:val="BodyText1"/>
        <w:ind w:left="0"/>
        <w:rPr>
          <w:lang w:val="hy-AM"/>
        </w:rPr>
      </w:pPr>
      <w:r w:rsidRPr="004B2B0B">
        <w:rPr>
          <w:lang w:val="hy-AM"/>
        </w:rPr>
        <w:t>Կանխատեսվում է, որ 2026 թվականի դեկտեմբերի 31-ի դրությամբ կառավարության պարտքը կկազմի 6,3</w:t>
      </w:r>
      <w:r w:rsidRPr="00F57402">
        <w:rPr>
          <w:lang w:val="hy-AM"/>
        </w:rPr>
        <w:t>10</w:t>
      </w:r>
      <w:r w:rsidRPr="004B2B0B">
        <w:rPr>
          <w:lang w:val="hy-AM"/>
        </w:rPr>
        <w:t>.</w:t>
      </w:r>
      <w:r w:rsidRPr="00F57402">
        <w:rPr>
          <w:lang w:val="hy-AM"/>
        </w:rPr>
        <w:t>3</w:t>
      </w:r>
      <w:r w:rsidRPr="004B2B0B">
        <w:rPr>
          <w:lang w:val="hy-AM"/>
        </w:rPr>
        <w:t xml:space="preserve"> մլրդ դրամ կամ ՀՆԱ-ի 5</w:t>
      </w:r>
      <w:r w:rsidRPr="00F57402">
        <w:rPr>
          <w:lang w:val="hy-AM"/>
        </w:rPr>
        <w:t>2</w:t>
      </w:r>
      <w:r w:rsidRPr="004B2B0B">
        <w:rPr>
          <w:lang w:val="hy-AM"/>
        </w:rPr>
        <w:t>.</w:t>
      </w:r>
      <w:r w:rsidRPr="00F57402">
        <w:rPr>
          <w:lang w:val="hy-AM"/>
        </w:rPr>
        <w:t>9</w:t>
      </w:r>
      <w:r w:rsidRPr="004B2B0B">
        <w:rPr>
          <w:lang w:val="hy-AM"/>
        </w:rPr>
        <w:t xml:space="preserve"> տոկոսը և 2025 թվականի տարեվերջի համեմատությամբ ՀՆԱ-ի նկատմամբ կաճի </w:t>
      </w:r>
      <w:r w:rsidRPr="00CE7D9F">
        <w:rPr>
          <w:lang w:val="hy-AM"/>
        </w:rPr>
        <w:t>3</w:t>
      </w:r>
      <w:r w:rsidRPr="004B2B0B">
        <w:rPr>
          <w:lang w:val="hy-AM"/>
        </w:rPr>
        <w:t>.</w:t>
      </w:r>
      <w:r w:rsidRPr="00F54B33">
        <w:rPr>
          <w:lang w:val="hy-AM"/>
        </w:rPr>
        <w:t>3</w:t>
      </w:r>
      <w:r w:rsidRPr="004B2B0B">
        <w:rPr>
          <w:lang w:val="hy-AM"/>
        </w:rPr>
        <w:t xml:space="preserve"> տոկոսային կետով: </w:t>
      </w:r>
    </w:p>
    <w:p w14:paraId="5D99E913" w14:textId="77777777" w:rsidR="001F1694" w:rsidRPr="000036ED" w:rsidRDefault="001F1694" w:rsidP="001F1694">
      <w:pPr>
        <w:rPr>
          <w:lang w:val="hy-AM"/>
        </w:rPr>
      </w:pPr>
      <w:r>
        <w:rPr>
          <w:lang w:val="hy-AM"/>
        </w:rPr>
        <w:t xml:space="preserve">2028 թվականի տարեվերջի դրությամբ </w:t>
      </w:r>
      <w:r w:rsidRPr="004B2B0B">
        <w:rPr>
          <w:lang w:val="hy-AM"/>
        </w:rPr>
        <w:t xml:space="preserve">կառավարության պարտքը կկազմի </w:t>
      </w:r>
      <w:r>
        <w:rPr>
          <w:lang w:val="hy-AM"/>
        </w:rPr>
        <w:t>7,544</w:t>
      </w:r>
      <w:r w:rsidRPr="004B2B0B">
        <w:rPr>
          <w:lang w:val="hy-AM"/>
        </w:rPr>
        <w:t xml:space="preserve"> մլրդ դրամ կամ ՀՆԱ-ի 5</w:t>
      </w:r>
      <w:r>
        <w:rPr>
          <w:lang w:val="hy-AM"/>
        </w:rPr>
        <w:t>3.7</w:t>
      </w:r>
      <w:r w:rsidRPr="004B2B0B">
        <w:rPr>
          <w:lang w:val="hy-AM"/>
        </w:rPr>
        <w:t xml:space="preserve"> տոկոսը</w:t>
      </w:r>
      <w:r>
        <w:rPr>
          <w:lang w:val="hy-AM"/>
        </w:rPr>
        <w:t>:</w:t>
      </w:r>
    </w:p>
    <w:p w14:paraId="748F57E3" w14:textId="017A710E" w:rsidR="001F1694" w:rsidRPr="00C3014C" w:rsidRDefault="001F1694" w:rsidP="001F1694">
      <w:pPr>
        <w:pStyle w:val="a"/>
      </w:pPr>
      <w:bookmarkStart w:id="457" w:name="_Toc178350628"/>
      <w:bookmarkStart w:id="458" w:name="_Toc178612153"/>
      <w:bookmarkStart w:id="459" w:name="_Toc184110779"/>
      <w:r w:rsidRPr="00C3014C">
        <w:t xml:space="preserve">Աղյուսակ </w:t>
      </w:r>
      <w:r>
        <w:fldChar w:fldCharType="begin"/>
      </w:r>
      <w:r>
        <w:instrText xml:space="preserve"> SEQ Աղյուսակ \* ARABIC </w:instrText>
      </w:r>
      <w:r>
        <w:fldChar w:fldCharType="separate"/>
      </w:r>
      <w:r w:rsidR="001848B1">
        <w:rPr>
          <w:noProof/>
        </w:rPr>
        <w:t>10</w:t>
      </w:r>
      <w:r>
        <w:fldChar w:fldCharType="end"/>
      </w:r>
      <w:r>
        <w:t>9</w:t>
      </w:r>
      <w:r w:rsidRPr="00C3014C">
        <w:t>. Կառավարության պարտքը</w:t>
      </w:r>
      <w:bookmarkEnd w:id="457"/>
      <w:bookmarkEnd w:id="458"/>
      <w:bookmarkEnd w:id="459"/>
    </w:p>
    <w:tbl>
      <w:tblPr>
        <w:tblW w:w="10240" w:type="dxa"/>
        <w:jc w:val="right"/>
        <w:tblBorders>
          <w:top w:val="single" w:sz="8" w:space="0" w:color="E1E1E3" w:themeColor="accent3" w:themeTint="33"/>
          <w:left w:val="single" w:sz="8" w:space="0" w:color="E1E1E3" w:themeColor="accent3" w:themeTint="33"/>
          <w:bottom w:val="single" w:sz="8" w:space="0" w:color="E1E1E3" w:themeColor="accent3" w:themeTint="33"/>
          <w:right w:val="single" w:sz="8" w:space="0" w:color="E1E1E3" w:themeColor="accent3" w:themeTint="33"/>
          <w:insideH w:val="single" w:sz="8" w:space="0" w:color="E1E1E3" w:themeColor="accent3" w:themeTint="33"/>
          <w:insideV w:val="single" w:sz="8" w:space="0" w:color="E1E1E3" w:themeColor="accent3" w:themeTint="33"/>
        </w:tblBorders>
        <w:tblLook w:val="04A0" w:firstRow="1" w:lastRow="0" w:firstColumn="1" w:lastColumn="0" w:noHBand="0" w:noVBand="1"/>
      </w:tblPr>
      <w:tblGrid>
        <w:gridCol w:w="3714"/>
        <w:gridCol w:w="1364"/>
        <w:gridCol w:w="1359"/>
        <w:gridCol w:w="1364"/>
        <w:gridCol w:w="1326"/>
        <w:gridCol w:w="1113"/>
      </w:tblGrid>
      <w:tr w:rsidR="001F1694" w:rsidRPr="007C5C9E" w14:paraId="08E55BEB" w14:textId="77777777" w:rsidTr="00147C8B">
        <w:trPr>
          <w:trHeight w:val="360"/>
          <w:jc w:val="right"/>
        </w:trPr>
        <w:tc>
          <w:tcPr>
            <w:tcW w:w="3714" w:type="dxa"/>
            <w:shd w:val="clear" w:color="auto" w:fill="D5DCE4" w:themeFill="text2" w:themeFillTint="33"/>
            <w:vAlign w:val="center"/>
            <w:hideMark/>
          </w:tcPr>
          <w:p w14:paraId="3A2BA570" w14:textId="77777777" w:rsidR="001F1694" w:rsidRPr="001407D3" w:rsidRDefault="001F1694" w:rsidP="00147C8B">
            <w:pPr>
              <w:spacing w:before="0" w:after="0" w:line="240" w:lineRule="auto"/>
              <w:jc w:val="both"/>
              <w:rPr>
                <w:b/>
                <w:sz w:val="18"/>
                <w:szCs w:val="18"/>
              </w:rPr>
            </w:pPr>
            <w:r w:rsidRPr="001407D3">
              <w:rPr>
                <w:rFonts w:ascii="Calibri" w:hAnsi="Calibri" w:cs="Calibri"/>
                <w:b/>
                <w:sz w:val="18"/>
                <w:szCs w:val="18"/>
              </w:rPr>
              <w:t> </w:t>
            </w:r>
          </w:p>
        </w:tc>
        <w:tc>
          <w:tcPr>
            <w:tcW w:w="1364" w:type="dxa"/>
            <w:shd w:val="clear" w:color="auto" w:fill="D5DCE4" w:themeFill="text2" w:themeFillTint="33"/>
            <w:hideMark/>
          </w:tcPr>
          <w:p w14:paraId="37768AD6" w14:textId="77777777" w:rsidR="001F1694" w:rsidRPr="001407D3" w:rsidRDefault="001F1694" w:rsidP="00147C8B">
            <w:pPr>
              <w:spacing w:before="0" w:after="0" w:line="240" w:lineRule="auto"/>
              <w:jc w:val="center"/>
              <w:rPr>
                <w:b/>
                <w:sz w:val="18"/>
                <w:szCs w:val="18"/>
                <w:lang w:val="hy-AM" w:eastAsia="ru-RU"/>
              </w:rPr>
            </w:pPr>
            <w:r w:rsidRPr="004B2B0B">
              <w:rPr>
                <w:b/>
                <w:sz w:val="18"/>
                <w:szCs w:val="18"/>
              </w:rPr>
              <w:t>31.12.2024</w:t>
            </w:r>
          </w:p>
        </w:tc>
        <w:tc>
          <w:tcPr>
            <w:tcW w:w="1359" w:type="dxa"/>
            <w:shd w:val="clear" w:color="auto" w:fill="D5DCE4" w:themeFill="text2" w:themeFillTint="33"/>
            <w:hideMark/>
          </w:tcPr>
          <w:p w14:paraId="59B902B7" w14:textId="77777777" w:rsidR="001F1694" w:rsidRPr="001407D3" w:rsidRDefault="001F1694" w:rsidP="00147C8B">
            <w:pPr>
              <w:spacing w:before="0" w:after="0" w:line="240" w:lineRule="auto"/>
              <w:jc w:val="center"/>
              <w:rPr>
                <w:b/>
                <w:sz w:val="18"/>
                <w:szCs w:val="18"/>
              </w:rPr>
            </w:pPr>
            <w:r w:rsidRPr="004B2B0B">
              <w:rPr>
                <w:b/>
                <w:sz w:val="18"/>
                <w:szCs w:val="18"/>
              </w:rPr>
              <w:t>31.12.2025</w:t>
            </w:r>
          </w:p>
        </w:tc>
        <w:tc>
          <w:tcPr>
            <w:tcW w:w="1364" w:type="dxa"/>
            <w:shd w:val="clear" w:color="auto" w:fill="D5DCE4" w:themeFill="text2" w:themeFillTint="33"/>
            <w:hideMark/>
          </w:tcPr>
          <w:p w14:paraId="29AA118E" w14:textId="77777777" w:rsidR="001F1694" w:rsidRPr="001407D3" w:rsidRDefault="001F1694" w:rsidP="00147C8B">
            <w:pPr>
              <w:spacing w:before="0" w:after="0" w:line="240" w:lineRule="auto"/>
              <w:jc w:val="center"/>
              <w:rPr>
                <w:b/>
                <w:sz w:val="18"/>
                <w:szCs w:val="18"/>
              </w:rPr>
            </w:pPr>
            <w:r w:rsidRPr="004B2B0B">
              <w:rPr>
                <w:b/>
                <w:sz w:val="18"/>
                <w:szCs w:val="18"/>
              </w:rPr>
              <w:t>31.12.2026</w:t>
            </w:r>
          </w:p>
        </w:tc>
        <w:tc>
          <w:tcPr>
            <w:tcW w:w="1326" w:type="dxa"/>
            <w:shd w:val="clear" w:color="auto" w:fill="D5DCE4" w:themeFill="text2" w:themeFillTint="33"/>
          </w:tcPr>
          <w:p w14:paraId="7C703DB6" w14:textId="77777777" w:rsidR="001F1694" w:rsidRPr="004B2B0B" w:rsidRDefault="001F1694" w:rsidP="00147C8B">
            <w:pPr>
              <w:spacing w:before="0" w:after="0" w:line="240" w:lineRule="auto"/>
              <w:jc w:val="center"/>
              <w:rPr>
                <w:b/>
                <w:sz w:val="18"/>
                <w:szCs w:val="18"/>
              </w:rPr>
            </w:pPr>
            <w:r>
              <w:rPr>
                <w:b/>
                <w:sz w:val="18"/>
                <w:szCs w:val="18"/>
              </w:rPr>
              <w:t>31.12.2027</w:t>
            </w:r>
          </w:p>
        </w:tc>
        <w:tc>
          <w:tcPr>
            <w:tcW w:w="1113" w:type="dxa"/>
            <w:shd w:val="clear" w:color="auto" w:fill="D5DCE4" w:themeFill="text2" w:themeFillTint="33"/>
          </w:tcPr>
          <w:p w14:paraId="78FC7A1B" w14:textId="77777777" w:rsidR="001F1694" w:rsidRDefault="001F1694" w:rsidP="00147C8B">
            <w:pPr>
              <w:spacing w:before="0" w:after="0" w:line="240" w:lineRule="auto"/>
              <w:jc w:val="center"/>
              <w:rPr>
                <w:b/>
                <w:sz w:val="18"/>
                <w:szCs w:val="18"/>
              </w:rPr>
            </w:pPr>
            <w:r>
              <w:rPr>
                <w:b/>
                <w:sz w:val="18"/>
                <w:szCs w:val="18"/>
              </w:rPr>
              <w:t>31.12.2028</w:t>
            </w:r>
          </w:p>
        </w:tc>
      </w:tr>
      <w:tr w:rsidR="001F1694" w:rsidRPr="007C5C9E" w14:paraId="1EA486D5" w14:textId="77777777" w:rsidTr="00147C8B">
        <w:trPr>
          <w:trHeight w:val="360"/>
          <w:jc w:val="right"/>
        </w:trPr>
        <w:tc>
          <w:tcPr>
            <w:tcW w:w="3714" w:type="dxa"/>
            <w:vAlign w:val="center"/>
            <w:hideMark/>
          </w:tcPr>
          <w:p w14:paraId="6203EE75" w14:textId="77777777" w:rsidR="001F1694" w:rsidRPr="007C5C9E" w:rsidRDefault="001F1694" w:rsidP="00147C8B">
            <w:pPr>
              <w:spacing w:before="0" w:after="0" w:line="240" w:lineRule="auto"/>
              <w:ind w:right="92"/>
              <w:jc w:val="both"/>
              <w:rPr>
                <w:sz w:val="18"/>
                <w:szCs w:val="18"/>
                <w:lang w:val="hy-AM"/>
              </w:rPr>
            </w:pPr>
            <w:r w:rsidRPr="007C5C9E">
              <w:rPr>
                <w:sz w:val="18"/>
                <w:szCs w:val="18"/>
              </w:rPr>
              <w:t>ՀՀ կառավարության պարտք, մլրդ դրամ</w:t>
            </w:r>
          </w:p>
        </w:tc>
        <w:tc>
          <w:tcPr>
            <w:tcW w:w="1364" w:type="dxa"/>
            <w:vAlign w:val="bottom"/>
            <w:hideMark/>
          </w:tcPr>
          <w:p w14:paraId="4BDFDF29" w14:textId="77777777" w:rsidR="001F1694" w:rsidRPr="004B2B0B" w:rsidRDefault="001F1694" w:rsidP="00147C8B">
            <w:pPr>
              <w:spacing w:before="0" w:after="0" w:line="240" w:lineRule="auto"/>
              <w:jc w:val="center"/>
              <w:rPr>
                <w:sz w:val="18"/>
                <w:szCs w:val="18"/>
              </w:rPr>
            </w:pPr>
            <w:r w:rsidRPr="004B2B0B">
              <w:rPr>
                <w:sz w:val="18"/>
                <w:szCs w:val="18"/>
              </w:rPr>
              <w:t>4,892.8</w:t>
            </w:r>
          </w:p>
        </w:tc>
        <w:tc>
          <w:tcPr>
            <w:tcW w:w="1359" w:type="dxa"/>
            <w:vAlign w:val="bottom"/>
            <w:hideMark/>
          </w:tcPr>
          <w:p w14:paraId="66810DDF" w14:textId="77777777" w:rsidR="001F1694" w:rsidRPr="007C5C9E" w:rsidRDefault="001F1694" w:rsidP="00147C8B">
            <w:pPr>
              <w:spacing w:before="0" w:after="0" w:line="240" w:lineRule="auto"/>
              <w:jc w:val="center"/>
              <w:rPr>
                <w:sz w:val="18"/>
                <w:szCs w:val="18"/>
              </w:rPr>
            </w:pPr>
            <w:r w:rsidRPr="00CF658A">
              <w:rPr>
                <w:sz w:val="18"/>
                <w:szCs w:val="18"/>
              </w:rPr>
              <w:t>5,448.4</w:t>
            </w:r>
          </w:p>
        </w:tc>
        <w:tc>
          <w:tcPr>
            <w:tcW w:w="1364" w:type="dxa"/>
            <w:vAlign w:val="bottom"/>
            <w:hideMark/>
          </w:tcPr>
          <w:p w14:paraId="7FFE0604" w14:textId="77777777" w:rsidR="001F1694" w:rsidRPr="007C5C9E" w:rsidRDefault="001F1694" w:rsidP="00147C8B">
            <w:pPr>
              <w:spacing w:before="0" w:after="0" w:line="240" w:lineRule="auto"/>
              <w:jc w:val="center"/>
              <w:rPr>
                <w:sz w:val="18"/>
                <w:szCs w:val="18"/>
              </w:rPr>
            </w:pPr>
            <w:r w:rsidRPr="00CF658A">
              <w:rPr>
                <w:sz w:val="18"/>
                <w:szCs w:val="18"/>
              </w:rPr>
              <w:t>6,3</w:t>
            </w:r>
            <w:r>
              <w:rPr>
                <w:sz w:val="18"/>
                <w:szCs w:val="18"/>
              </w:rPr>
              <w:t>10</w:t>
            </w:r>
            <w:r w:rsidRPr="00CF658A">
              <w:rPr>
                <w:sz w:val="18"/>
                <w:szCs w:val="18"/>
              </w:rPr>
              <w:t>.</w:t>
            </w:r>
            <w:r>
              <w:rPr>
                <w:sz w:val="18"/>
                <w:szCs w:val="18"/>
              </w:rPr>
              <w:t>3</w:t>
            </w:r>
          </w:p>
        </w:tc>
        <w:tc>
          <w:tcPr>
            <w:tcW w:w="1326" w:type="dxa"/>
            <w:vAlign w:val="bottom"/>
          </w:tcPr>
          <w:p w14:paraId="4F39B7C5" w14:textId="77777777" w:rsidR="001F1694" w:rsidRPr="00CF658A" w:rsidRDefault="001F1694" w:rsidP="00147C8B">
            <w:pPr>
              <w:spacing w:before="0" w:after="0" w:line="240" w:lineRule="auto"/>
              <w:jc w:val="center"/>
              <w:rPr>
                <w:sz w:val="18"/>
                <w:szCs w:val="18"/>
              </w:rPr>
            </w:pPr>
            <w:r w:rsidRPr="00E76BF6">
              <w:rPr>
                <w:sz w:val="18"/>
                <w:szCs w:val="18"/>
              </w:rPr>
              <w:t>6,952</w:t>
            </w:r>
          </w:p>
        </w:tc>
        <w:tc>
          <w:tcPr>
            <w:tcW w:w="1113" w:type="dxa"/>
            <w:vAlign w:val="bottom"/>
          </w:tcPr>
          <w:p w14:paraId="744BE531" w14:textId="77777777" w:rsidR="001F1694" w:rsidRPr="00E76BF6" w:rsidRDefault="001F1694" w:rsidP="00147C8B">
            <w:pPr>
              <w:spacing w:before="0" w:after="0" w:line="240" w:lineRule="auto"/>
              <w:jc w:val="center"/>
              <w:rPr>
                <w:sz w:val="18"/>
                <w:szCs w:val="18"/>
              </w:rPr>
            </w:pPr>
            <w:r w:rsidRPr="00BC1AF8">
              <w:rPr>
                <w:sz w:val="18"/>
                <w:szCs w:val="18"/>
              </w:rPr>
              <w:t>7,544</w:t>
            </w:r>
          </w:p>
        </w:tc>
      </w:tr>
      <w:tr w:rsidR="001F1694" w:rsidRPr="007C5C9E" w14:paraId="4299A307" w14:textId="77777777" w:rsidTr="00147C8B">
        <w:trPr>
          <w:trHeight w:val="360"/>
          <w:jc w:val="right"/>
        </w:trPr>
        <w:tc>
          <w:tcPr>
            <w:tcW w:w="3714" w:type="dxa"/>
            <w:vAlign w:val="center"/>
            <w:hideMark/>
          </w:tcPr>
          <w:p w14:paraId="28D560F0" w14:textId="77777777" w:rsidR="001F1694" w:rsidRPr="007C5C9E" w:rsidRDefault="001F1694" w:rsidP="00147C8B">
            <w:pPr>
              <w:spacing w:before="0" w:after="0" w:line="240" w:lineRule="auto"/>
              <w:ind w:right="92"/>
              <w:jc w:val="both"/>
              <w:rPr>
                <w:sz w:val="18"/>
                <w:szCs w:val="18"/>
                <w:lang w:val="hy-AM"/>
              </w:rPr>
            </w:pPr>
            <w:r w:rsidRPr="007C5C9E">
              <w:rPr>
                <w:sz w:val="18"/>
                <w:szCs w:val="18"/>
              </w:rPr>
              <w:t>ՀՀ կառավարության պարտք, մլն ԱՄՆ դոլար</w:t>
            </w:r>
          </w:p>
        </w:tc>
        <w:tc>
          <w:tcPr>
            <w:tcW w:w="1364" w:type="dxa"/>
            <w:vAlign w:val="bottom"/>
            <w:hideMark/>
          </w:tcPr>
          <w:p w14:paraId="1CF49C93" w14:textId="77777777" w:rsidR="001F1694" w:rsidRPr="004B2B0B" w:rsidRDefault="001F1694" w:rsidP="00147C8B">
            <w:pPr>
              <w:spacing w:before="0" w:after="0" w:line="240" w:lineRule="auto"/>
              <w:jc w:val="center"/>
              <w:rPr>
                <w:sz w:val="18"/>
                <w:szCs w:val="18"/>
              </w:rPr>
            </w:pPr>
            <w:r w:rsidRPr="004B2B0B">
              <w:rPr>
                <w:sz w:val="18"/>
                <w:szCs w:val="18"/>
              </w:rPr>
              <w:t>12,338.2</w:t>
            </w:r>
          </w:p>
        </w:tc>
        <w:tc>
          <w:tcPr>
            <w:tcW w:w="1359" w:type="dxa"/>
            <w:vAlign w:val="bottom"/>
            <w:hideMark/>
          </w:tcPr>
          <w:p w14:paraId="6F276E85" w14:textId="77777777" w:rsidR="001F1694" w:rsidRPr="007C5C9E" w:rsidRDefault="001F1694" w:rsidP="00147C8B">
            <w:pPr>
              <w:spacing w:before="0" w:after="0" w:line="240" w:lineRule="auto"/>
              <w:jc w:val="center"/>
              <w:rPr>
                <w:sz w:val="18"/>
                <w:szCs w:val="18"/>
              </w:rPr>
            </w:pPr>
            <w:r w:rsidRPr="00CF658A">
              <w:rPr>
                <w:sz w:val="18"/>
                <w:szCs w:val="18"/>
              </w:rPr>
              <w:t>13,829.1</w:t>
            </w:r>
          </w:p>
        </w:tc>
        <w:tc>
          <w:tcPr>
            <w:tcW w:w="1364" w:type="dxa"/>
            <w:vAlign w:val="bottom"/>
            <w:hideMark/>
          </w:tcPr>
          <w:p w14:paraId="56C7CA38" w14:textId="77777777" w:rsidR="001F1694" w:rsidRPr="00F54B33" w:rsidRDefault="001F1694" w:rsidP="00147C8B">
            <w:pPr>
              <w:spacing w:before="0" w:after="0" w:line="240" w:lineRule="auto"/>
              <w:jc w:val="center"/>
              <w:rPr>
                <w:sz w:val="18"/>
                <w:szCs w:val="18"/>
              </w:rPr>
            </w:pPr>
            <w:r>
              <w:rPr>
                <w:sz w:val="18"/>
                <w:szCs w:val="18"/>
              </w:rPr>
              <w:t>15,152</w:t>
            </w:r>
            <w:r>
              <w:rPr>
                <w:sz w:val="18"/>
                <w:szCs w:val="18"/>
                <w:lang w:val="hy-AM"/>
              </w:rPr>
              <w:t>.</w:t>
            </w:r>
            <w:r>
              <w:rPr>
                <w:sz w:val="18"/>
                <w:szCs w:val="18"/>
              </w:rPr>
              <w:t>8</w:t>
            </w:r>
          </w:p>
        </w:tc>
        <w:tc>
          <w:tcPr>
            <w:tcW w:w="1326" w:type="dxa"/>
            <w:vAlign w:val="bottom"/>
          </w:tcPr>
          <w:p w14:paraId="49A5A162" w14:textId="77777777" w:rsidR="001F1694" w:rsidRDefault="001F1694" w:rsidP="00147C8B">
            <w:pPr>
              <w:spacing w:before="0" w:after="0" w:line="240" w:lineRule="auto"/>
              <w:jc w:val="center"/>
              <w:rPr>
                <w:sz w:val="18"/>
                <w:szCs w:val="18"/>
              </w:rPr>
            </w:pPr>
            <w:r w:rsidRPr="00E76BF6">
              <w:rPr>
                <w:sz w:val="18"/>
                <w:szCs w:val="18"/>
              </w:rPr>
              <w:t>16,234</w:t>
            </w:r>
          </w:p>
        </w:tc>
        <w:tc>
          <w:tcPr>
            <w:tcW w:w="1113" w:type="dxa"/>
            <w:vAlign w:val="bottom"/>
          </w:tcPr>
          <w:p w14:paraId="722CFAAD" w14:textId="77777777" w:rsidR="001F1694" w:rsidRPr="00E76BF6" w:rsidRDefault="001F1694" w:rsidP="00147C8B">
            <w:pPr>
              <w:spacing w:before="0" w:after="0" w:line="240" w:lineRule="auto"/>
              <w:jc w:val="center"/>
              <w:rPr>
                <w:sz w:val="18"/>
                <w:szCs w:val="18"/>
              </w:rPr>
            </w:pPr>
            <w:r w:rsidRPr="00BC1AF8">
              <w:rPr>
                <w:sz w:val="18"/>
                <w:szCs w:val="18"/>
              </w:rPr>
              <w:t>17,501</w:t>
            </w:r>
          </w:p>
        </w:tc>
      </w:tr>
      <w:tr w:rsidR="001F1694" w:rsidRPr="007C5C9E" w14:paraId="0CBCCF2C" w14:textId="77777777" w:rsidTr="00147C8B">
        <w:trPr>
          <w:trHeight w:val="360"/>
          <w:jc w:val="right"/>
        </w:trPr>
        <w:tc>
          <w:tcPr>
            <w:tcW w:w="3714" w:type="dxa"/>
            <w:vAlign w:val="center"/>
            <w:hideMark/>
          </w:tcPr>
          <w:p w14:paraId="1B1017D7" w14:textId="77777777" w:rsidR="001F1694" w:rsidRPr="001407D3" w:rsidRDefault="001F1694" w:rsidP="00147C8B">
            <w:pPr>
              <w:spacing w:before="0" w:after="0" w:line="240" w:lineRule="auto"/>
              <w:ind w:right="92"/>
              <w:jc w:val="both"/>
              <w:rPr>
                <w:color w:val="A6A6A6" w:themeColor="background1" w:themeShade="A6"/>
                <w:sz w:val="18"/>
                <w:szCs w:val="18"/>
                <w:lang w:val="hy-AM"/>
              </w:rPr>
            </w:pPr>
            <w:r w:rsidRPr="001407D3">
              <w:rPr>
                <w:color w:val="A6A6A6" w:themeColor="background1" w:themeShade="A6"/>
                <w:sz w:val="18"/>
                <w:szCs w:val="18"/>
              </w:rPr>
              <w:t>ՀՀ կառավարության պարտք, % ՀՆԱ-ի նկատմամբ</w:t>
            </w:r>
          </w:p>
        </w:tc>
        <w:tc>
          <w:tcPr>
            <w:tcW w:w="1364" w:type="dxa"/>
            <w:vAlign w:val="bottom"/>
            <w:hideMark/>
          </w:tcPr>
          <w:p w14:paraId="536F53D8" w14:textId="77777777" w:rsidR="001F1694" w:rsidRPr="004B2B0B" w:rsidRDefault="001F1694" w:rsidP="00147C8B">
            <w:pPr>
              <w:spacing w:before="0" w:after="0" w:line="240" w:lineRule="auto"/>
              <w:jc w:val="center"/>
              <w:rPr>
                <w:color w:val="A6A6A6" w:themeColor="background1" w:themeShade="A6"/>
                <w:sz w:val="18"/>
                <w:szCs w:val="18"/>
              </w:rPr>
            </w:pPr>
            <w:r w:rsidRPr="004B2B0B">
              <w:rPr>
                <w:color w:val="A6A6A6" w:themeColor="background1" w:themeShade="A6"/>
                <w:sz w:val="18"/>
                <w:szCs w:val="18"/>
              </w:rPr>
              <w:t>48.0</w:t>
            </w:r>
          </w:p>
        </w:tc>
        <w:tc>
          <w:tcPr>
            <w:tcW w:w="1359" w:type="dxa"/>
            <w:vAlign w:val="bottom"/>
            <w:hideMark/>
          </w:tcPr>
          <w:p w14:paraId="70F05CE8" w14:textId="77777777" w:rsidR="001F1694" w:rsidRPr="00CF658A" w:rsidRDefault="001F1694" w:rsidP="00147C8B">
            <w:pPr>
              <w:spacing w:before="0" w:after="0" w:line="240" w:lineRule="auto"/>
              <w:jc w:val="center"/>
              <w:rPr>
                <w:color w:val="A6A6A6" w:themeColor="background1" w:themeShade="A6"/>
                <w:sz w:val="18"/>
                <w:szCs w:val="18"/>
              </w:rPr>
            </w:pPr>
            <w:r w:rsidRPr="00CF658A">
              <w:rPr>
                <w:color w:val="A6A6A6" w:themeColor="background1" w:themeShade="A6"/>
                <w:sz w:val="18"/>
                <w:szCs w:val="18"/>
              </w:rPr>
              <w:t>49.5</w:t>
            </w:r>
          </w:p>
        </w:tc>
        <w:tc>
          <w:tcPr>
            <w:tcW w:w="1364" w:type="dxa"/>
            <w:vAlign w:val="bottom"/>
            <w:hideMark/>
          </w:tcPr>
          <w:p w14:paraId="50292F82" w14:textId="77777777" w:rsidR="001F1694" w:rsidRPr="00CF658A" w:rsidRDefault="001F1694" w:rsidP="00147C8B">
            <w:pPr>
              <w:spacing w:before="0" w:after="0" w:line="240" w:lineRule="auto"/>
              <w:jc w:val="center"/>
              <w:rPr>
                <w:color w:val="A6A6A6" w:themeColor="background1" w:themeShade="A6"/>
                <w:sz w:val="18"/>
                <w:szCs w:val="18"/>
              </w:rPr>
            </w:pPr>
            <w:r w:rsidRPr="00CF658A">
              <w:rPr>
                <w:color w:val="A6A6A6" w:themeColor="background1" w:themeShade="A6"/>
                <w:sz w:val="18"/>
                <w:szCs w:val="18"/>
              </w:rPr>
              <w:t>5</w:t>
            </w:r>
            <w:r>
              <w:rPr>
                <w:color w:val="A6A6A6" w:themeColor="background1" w:themeShade="A6"/>
                <w:sz w:val="18"/>
                <w:szCs w:val="18"/>
              </w:rPr>
              <w:t>2</w:t>
            </w:r>
            <w:r w:rsidRPr="00CF658A">
              <w:rPr>
                <w:color w:val="A6A6A6" w:themeColor="background1" w:themeShade="A6"/>
                <w:sz w:val="18"/>
                <w:szCs w:val="18"/>
              </w:rPr>
              <w:t>.</w:t>
            </w:r>
            <w:r>
              <w:rPr>
                <w:color w:val="A6A6A6" w:themeColor="background1" w:themeShade="A6"/>
                <w:sz w:val="18"/>
                <w:szCs w:val="18"/>
              </w:rPr>
              <w:t>9</w:t>
            </w:r>
          </w:p>
        </w:tc>
        <w:tc>
          <w:tcPr>
            <w:tcW w:w="1326" w:type="dxa"/>
            <w:vAlign w:val="bottom"/>
          </w:tcPr>
          <w:p w14:paraId="5710788C" w14:textId="77777777" w:rsidR="001F1694" w:rsidRPr="00BC1AF8" w:rsidRDefault="001F1694" w:rsidP="00147C8B">
            <w:pPr>
              <w:spacing w:before="0" w:after="0" w:line="240" w:lineRule="auto"/>
              <w:jc w:val="center"/>
              <w:rPr>
                <w:color w:val="A6A6A6" w:themeColor="background1" w:themeShade="A6"/>
                <w:sz w:val="18"/>
                <w:szCs w:val="18"/>
              </w:rPr>
            </w:pPr>
            <w:r w:rsidRPr="00BC1AF8">
              <w:rPr>
                <w:color w:val="A6A6A6" w:themeColor="background1" w:themeShade="A6"/>
                <w:sz w:val="18"/>
                <w:szCs w:val="18"/>
              </w:rPr>
              <w:t>53.7</w:t>
            </w:r>
          </w:p>
        </w:tc>
        <w:tc>
          <w:tcPr>
            <w:tcW w:w="1113" w:type="dxa"/>
            <w:vAlign w:val="bottom"/>
          </w:tcPr>
          <w:p w14:paraId="2DED8966" w14:textId="77777777" w:rsidR="001F1694" w:rsidRPr="00BC1AF8" w:rsidRDefault="001F1694" w:rsidP="00147C8B">
            <w:pPr>
              <w:spacing w:before="0" w:after="0" w:line="240" w:lineRule="auto"/>
              <w:jc w:val="center"/>
              <w:rPr>
                <w:color w:val="A6A6A6" w:themeColor="background1" w:themeShade="A6"/>
                <w:sz w:val="18"/>
                <w:szCs w:val="18"/>
              </w:rPr>
            </w:pPr>
            <w:r w:rsidRPr="00BC1AF8">
              <w:rPr>
                <w:color w:val="A6A6A6" w:themeColor="background1" w:themeShade="A6"/>
                <w:sz w:val="18"/>
                <w:szCs w:val="18"/>
              </w:rPr>
              <w:t>53.7</w:t>
            </w:r>
          </w:p>
        </w:tc>
      </w:tr>
    </w:tbl>
    <w:p w14:paraId="4264788A" w14:textId="77777777" w:rsidR="001F1694" w:rsidRPr="00C3014C" w:rsidRDefault="001F1694" w:rsidP="001F1694">
      <w:pPr>
        <w:pStyle w:val="BodyText1"/>
        <w:ind w:left="0"/>
        <w:rPr>
          <w:lang w:val="hy-AM"/>
        </w:rPr>
      </w:pPr>
    </w:p>
    <w:p w14:paraId="237130C2" w14:textId="77777777" w:rsidR="001F1694" w:rsidRPr="00557B8B" w:rsidRDefault="001F1694" w:rsidP="001F1694">
      <w:pPr>
        <w:pStyle w:val="BodyText1"/>
        <w:ind w:left="0"/>
        <w:rPr>
          <w:lang w:val="hy-AM"/>
        </w:rPr>
      </w:pPr>
      <w:bookmarkStart w:id="460" w:name="_Toc178350629"/>
      <w:bookmarkStart w:id="461" w:name="_Toc178612154"/>
      <w:bookmarkStart w:id="462" w:name="_Toc184110780"/>
      <w:r>
        <w:rPr>
          <w:lang w:val="hy-AM"/>
        </w:rPr>
        <w:t>Պարտքը</w:t>
      </w:r>
      <w:r w:rsidRPr="00557B8B">
        <w:rPr>
          <w:lang w:val="hy-AM"/>
        </w:rPr>
        <w:t xml:space="preserve"> կառավարելի մակարդակում պահպանմանը զուգահեռ ՀՀ կառավարությունը կշարունակի պարտքի պորտֆելի բարելավման ջանքերը՝ նպատակ ունենալով պահպանել դիմակայունությունը հնարավոր ցնցումներին, պետական պարտատոմսերի շուկայի շարունակական զարգացման ապահովումը և խորացումը, մշտական հասանելիությունը ներքին ու արտաքին ֆինանսական շուկաներին, ինչպես նաև ֆինանսավորման աղբյուրների ու գործիքների դիվերսիֆիկացումը: </w:t>
      </w:r>
    </w:p>
    <w:p w14:paraId="48684829" w14:textId="77777777" w:rsidR="001F1694" w:rsidRPr="00557B8B" w:rsidRDefault="001F1694" w:rsidP="001F1694">
      <w:pPr>
        <w:pStyle w:val="BodyText1"/>
        <w:ind w:left="0"/>
        <w:rPr>
          <w:lang w:val="hy-AM"/>
        </w:rPr>
      </w:pPr>
      <w:r w:rsidRPr="00557B8B">
        <w:rPr>
          <w:lang w:val="hy-AM"/>
        </w:rPr>
        <w:t>Այս տեսանկյունից ՀՀ կառավարության պարտքի կառուցվածքում ներքին արժույթով պարտքը կշարունակի պահպանվել պատմականորեն բարձր մակարդակներում, կշարունակվեն արտաքին ներդրողների մոտ պարտատոմսերի շուկայի գրավչության պահպանման ջանքերը, ինչպես նաև կընդլայնվի միջազգային ֆինանսական կառույցների հետ համագործակցությունը: Կառավարության պարտքը կունենա հետևյալ կառուցվածքը.</w:t>
      </w:r>
    </w:p>
    <w:p w14:paraId="63A523E2" w14:textId="77777777" w:rsidR="001F1694" w:rsidRPr="00C3014C" w:rsidRDefault="001F1694" w:rsidP="001F1694">
      <w:pPr>
        <w:pStyle w:val="a"/>
        <w:rPr>
          <w:lang w:eastAsia="ru-RU"/>
        </w:rPr>
      </w:pPr>
      <w:r w:rsidRPr="00C3014C">
        <w:t xml:space="preserve">Աղյուսակ </w:t>
      </w:r>
      <w:r>
        <w:t>20</w:t>
      </w:r>
      <w:r w:rsidRPr="00C3014C">
        <w:t>. Կառավարության պարտքի կառուցվածքը</w:t>
      </w:r>
      <w:bookmarkEnd w:id="460"/>
      <w:bookmarkEnd w:id="461"/>
      <w:bookmarkEnd w:id="462"/>
    </w:p>
    <w:tbl>
      <w:tblPr>
        <w:tblW w:w="10890" w:type="dxa"/>
        <w:tblInd w:w="-455" w:type="dxa"/>
        <w:tblBorders>
          <w:top w:val="single" w:sz="8" w:space="0" w:color="E1E1E3" w:themeColor="accent3" w:themeTint="33"/>
          <w:left w:val="single" w:sz="8" w:space="0" w:color="E1E1E3" w:themeColor="accent3" w:themeTint="33"/>
          <w:bottom w:val="single" w:sz="8" w:space="0" w:color="E1E1E3" w:themeColor="accent3" w:themeTint="33"/>
          <w:right w:val="single" w:sz="8" w:space="0" w:color="E1E1E3" w:themeColor="accent3" w:themeTint="33"/>
          <w:insideH w:val="single" w:sz="8" w:space="0" w:color="E1E1E3" w:themeColor="accent3" w:themeTint="33"/>
          <w:insideV w:val="single" w:sz="8" w:space="0" w:color="E1E1E3" w:themeColor="accent3" w:themeTint="33"/>
        </w:tblBorders>
        <w:tblLayout w:type="fixed"/>
        <w:tblLook w:val="04A0" w:firstRow="1" w:lastRow="0" w:firstColumn="1" w:lastColumn="0" w:noHBand="0" w:noVBand="1"/>
      </w:tblPr>
      <w:tblGrid>
        <w:gridCol w:w="4140"/>
        <w:gridCol w:w="1350"/>
        <w:gridCol w:w="1440"/>
        <w:gridCol w:w="1530"/>
        <w:gridCol w:w="1170"/>
        <w:gridCol w:w="1260"/>
      </w:tblGrid>
      <w:tr w:rsidR="001F1694" w:rsidRPr="001407D3" w14:paraId="531CB3C0" w14:textId="77777777" w:rsidTr="00147C8B">
        <w:trPr>
          <w:trHeight w:val="360"/>
          <w:tblHeader/>
        </w:trPr>
        <w:tc>
          <w:tcPr>
            <w:tcW w:w="4140" w:type="dxa"/>
            <w:tcBorders>
              <w:top w:val="single" w:sz="4" w:space="0" w:color="E1E1E3" w:themeColor="accent3" w:themeTint="33"/>
              <w:left w:val="single" w:sz="4" w:space="0" w:color="E1E1E3" w:themeColor="accent3" w:themeTint="33"/>
              <w:bottom w:val="single" w:sz="4" w:space="0" w:color="E1E1E3" w:themeColor="accent3" w:themeTint="33"/>
              <w:right w:val="single" w:sz="4" w:space="0" w:color="E1E1E3" w:themeColor="accent3" w:themeTint="33"/>
            </w:tcBorders>
            <w:shd w:val="clear" w:color="auto" w:fill="auto"/>
            <w:hideMark/>
          </w:tcPr>
          <w:p w14:paraId="515E90E2" w14:textId="77777777" w:rsidR="001F1694" w:rsidRPr="001407D3" w:rsidRDefault="001F1694" w:rsidP="00147C8B">
            <w:pPr>
              <w:spacing w:before="0" w:after="0" w:line="240" w:lineRule="auto"/>
              <w:jc w:val="both"/>
              <w:rPr>
                <w:sz w:val="18"/>
                <w:szCs w:val="18"/>
                <w:lang w:val="hy-AM"/>
              </w:rPr>
            </w:pPr>
            <w:r w:rsidRPr="001407D3">
              <w:rPr>
                <w:rFonts w:ascii="Calibri" w:hAnsi="Calibri" w:cs="Calibri"/>
                <w:sz w:val="18"/>
                <w:szCs w:val="18"/>
                <w:lang w:val="hy-AM"/>
              </w:rPr>
              <w:t> </w:t>
            </w:r>
          </w:p>
        </w:tc>
        <w:tc>
          <w:tcPr>
            <w:tcW w:w="1350" w:type="dxa"/>
            <w:tcBorders>
              <w:top w:val="single" w:sz="4" w:space="0" w:color="E1E1E3" w:themeColor="accent3" w:themeTint="33"/>
              <w:left w:val="single" w:sz="4" w:space="0" w:color="E1E1E3" w:themeColor="accent3" w:themeTint="33"/>
              <w:bottom w:val="single" w:sz="4" w:space="0" w:color="E1E1E3" w:themeColor="accent3" w:themeTint="33"/>
              <w:right w:val="single" w:sz="4" w:space="0" w:color="E1E1E3" w:themeColor="accent3" w:themeTint="33"/>
            </w:tcBorders>
            <w:shd w:val="clear" w:color="auto" w:fill="auto"/>
            <w:vAlign w:val="center"/>
            <w:hideMark/>
          </w:tcPr>
          <w:p w14:paraId="33E90AA4" w14:textId="77777777" w:rsidR="001F1694" w:rsidRPr="00557B8B" w:rsidRDefault="001F1694" w:rsidP="00147C8B">
            <w:pPr>
              <w:spacing w:before="0" w:after="0" w:line="240" w:lineRule="auto"/>
              <w:jc w:val="center"/>
              <w:rPr>
                <w:b/>
                <w:sz w:val="18"/>
                <w:szCs w:val="18"/>
                <w:lang w:val="hy-AM" w:eastAsia="ru-RU"/>
              </w:rPr>
            </w:pPr>
            <w:r>
              <w:rPr>
                <w:b/>
                <w:sz w:val="18"/>
                <w:szCs w:val="18"/>
              </w:rPr>
              <w:t>31.12.202</w:t>
            </w:r>
            <w:r>
              <w:rPr>
                <w:b/>
                <w:sz w:val="18"/>
                <w:szCs w:val="18"/>
                <w:lang w:val="hy-AM"/>
              </w:rPr>
              <w:t>4</w:t>
            </w:r>
          </w:p>
        </w:tc>
        <w:tc>
          <w:tcPr>
            <w:tcW w:w="1440" w:type="dxa"/>
            <w:tcBorders>
              <w:top w:val="single" w:sz="4" w:space="0" w:color="E1E1E3" w:themeColor="accent3" w:themeTint="33"/>
              <w:left w:val="single" w:sz="4" w:space="0" w:color="E1E1E3" w:themeColor="accent3" w:themeTint="33"/>
              <w:bottom w:val="single" w:sz="4" w:space="0" w:color="E1E1E3" w:themeColor="accent3" w:themeTint="33"/>
              <w:right w:val="single" w:sz="4" w:space="0" w:color="E1E1E3" w:themeColor="accent3" w:themeTint="33"/>
            </w:tcBorders>
            <w:shd w:val="clear" w:color="auto" w:fill="auto"/>
            <w:vAlign w:val="center"/>
            <w:hideMark/>
          </w:tcPr>
          <w:p w14:paraId="0E49F592" w14:textId="77777777" w:rsidR="001F1694" w:rsidRPr="001407D3" w:rsidRDefault="001F1694" w:rsidP="00147C8B">
            <w:pPr>
              <w:spacing w:before="0" w:after="0" w:line="240" w:lineRule="auto"/>
              <w:jc w:val="center"/>
              <w:rPr>
                <w:b/>
                <w:sz w:val="18"/>
                <w:szCs w:val="18"/>
              </w:rPr>
            </w:pPr>
            <w:r>
              <w:rPr>
                <w:b/>
                <w:sz w:val="18"/>
                <w:szCs w:val="18"/>
              </w:rPr>
              <w:t>31.12.2025</w:t>
            </w:r>
          </w:p>
        </w:tc>
        <w:tc>
          <w:tcPr>
            <w:tcW w:w="1530" w:type="dxa"/>
            <w:tcBorders>
              <w:top w:val="single" w:sz="4" w:space="0" w:color="E1E1E3" w:themeColor="accent3" w:themeTint="33"/>
              <w:left w:val="single" w:sz="4" w:space="0" w:color="E1E1E3" w:themeColor="accent3" w:themeTint="33"/>
              <w:bottom w:val="single" w:sz="4" w:space="0" w:color="E1E1E3" w:themeColor="accent3" w:themeTint="33"/>
              <w:right w:val="single" w:sz="4" w:space="0" w:color="E1E1E3" w:themeColor="accent3" w:themeTint="33"/>
            </w:tcBorders>
            <w:shd w:val="clear" w:color="auto" w:fill="auto"/>
            <w:vAlign w:val="center"/>
            <w:hideMark/>
          </w:tcPr>
          <w:p w14:paraId="465E9A29" w14:textId="77777777" w:rsidR="001F1694" w:rsidRPr="001407D3" w:rsidRDefault="001F1694" w:rsidP="00147C8B">
            <w:pPr>
              <w:spacing w:before="0" w:after="0" w:line="240" w:lineRule="auto"/>
              <w:jc w:val="center"/>
              <w:rPr>
                <w:b/>
                <w:sz w:val="18"/>
                <w:szCs w:val="18"/>
              </w:rPr>
            </w:pPr>
            <w:r>
              <w:rPr>
                <w:b/>
                <w:sz w:val="18"/>
                <w:szCs w:val="18"/>
              </w:rPr>
              <w:t>31.12.2026</w:t>
            </w:r>
          </w:p>
        </w:tc>
        <w:tc>
          <w:tcPr>
            <w:tcW w:w="1170" w:type="dxa"/>
            <w:tcBorders>
              <w:top w:val="single" w:sz="4" w:space="0" w:color="E1E1E3" w:themeColor="accent3" w:themeTint="33"/>
              <w:left w:val="single" w:sz="4" w:space="0" w:color="E1E1E3" w:themeColor="accent3" w:themeTint="33"/>
              <w:bottom w:val="single" w:sz="4" w:space="0" w:color="E1E1E3" w:themeColor="accent3" w:themeTint="33"/>
              <w:right w:val="single" w:sz="4" w:space="0" w:color="E1E1E3" w:themeColor="accent3" w:themeTint="33"/>
            </w:tcBorders>
            <w:vAlign w:val="center"/>
          </w:tcPr>
          <w:p w14:paraId="364CF29C" w14:textId="77777777" w:rsidR="001F1694" w:rsidRDefault="001F1694" w:rsidP="00147C8B">
            <w:pPr>
              <w:spacing w:before="0" w:after="0" w:line="240" w:lineRule="auto"/>
              <w:jc w:val="center"/>
              <w:rPr>
                <w:b/>
                <w:sz w:val="18"/>
                <w:szCs w:val="18"/>
              </w:rPr>
            </w:pPr>
            <w:r>
              <w:rPr>
                <w:b/>
                <w:sz w:val="18"/>
                <w:szCs w:val="18"/>
              </w:rPr>
              <w:t>31.12.2027</w:t>
            </w:r>
          </w:p>
        </w:tc>
        <w:tc>
          <w:tcPr>
            <w:tcW w:w="1260" w:type="dxa"/>
            <w:tcBorders>
              <w:top w:val="single" w:sz="4" w:space="0" w:color="E1E1E3" w:themeColor="accent3" w:themeTint="33"/>
              <w:left w:val="single" w:sz="4" w:space="0" w:color="E1E1E3" w:themeColor="accent3" w:themeTint="33"/>
              <w:bottom w:val="single" w:sz="4" w:space="0" w:color="E1E1E3" w:themeColor="accent3" w:themeTint="33"/>
              <w:right w:val="single" w:sz="4" w:space="0" w:color="E1E1E3" w:themeColor="accent3" w:themeTint="33"/>
            </w:tcBorders>
            <w:vAlign w:val="center"/>
          </w:tcPr>
          <w:p w14:paraId="41040ABC" w14:textId="77777777" w:rsidR="001F1694" w:rsidRDefault="001F1694" w:rsidP="00147C8B">
            <w:pPr>
              <w:spacing w:before="0" w:after="0" w:line="240" w:lineRule="auto"/>
              <w:jc w:val="center"/>
              <w:rPr>
                <w:b/>
                <w:sz w:val="18"/>
                <w:szCs w:val="18"/>
              </w:rPr>
            </w:pPr>
            <w:r>
              <w:rPr>
                <w:b/>
                <w:sz w:val="18"/>
                <w:szCs w:val="18"/>
              </w:rPr>
              <w:t>31.12.2028</w:t>
            </w:r>
          </w:p>
        </w:tc>
      </w:tr>
      <w:tr w:rsidR="001F1694" w:rsidRPr="001407D3" w14:paraId="25358469" w14:textId="77777777" w:rsidTr="00147C8B">
        <w:trPr>
          <w:trHeight w:val="360"/>
        </w:trPr>
        <w:tc>
          <w:tcPr>
            <w:tcW w:w="10890" w:type="dxa"/>
            <w:gridSpan w:val="6"/>
            <w:tcBorders>
              <w:top w:val="single" w:sz="4" w:space="0" w:color="E1E1E3" w:themeColor="accent3" w:themeTint="33"/>
            </w:tcBorders>
            <w:shd w:val="clear" w:color="auto" w:fill="D5DCE4" w:themeFill="text2" w:themeFillTint="33"/>
            <w:vAlign w:val="center"/>
          </w:tcPr>
          <w:p w14:paraId="0F28A458" w14:textId="77777777" w:rsidR="001F1694" w:rsidRPr="001407D3" w:rsidRDefault="001F1694" w:rsidP="00147C8B">
            <w:pPr>
              <w:spacing w:before="0" w:after="0" w:line="240" w:lineRule="auto"/>
              <w:rPr>
                <w:sz w:val="18"/>
                <w:szCs w:val="18"/>
                <w:lang w:val="hy-AM"/>
              </w:rPr>
            </w:pPr>
            <w:r w:rsidRPr="001407D3">
              <w:rPr>
                <w:sz w:val="18"/>
                <w:szCs w:val="18"/>
                <w:lang w:val="hy-AM"/>
              </w:rPr>
              <w:t>Կառուցվածքն ըստ ռեզիդենտության, մլրդ դրամ*</w:t>
            </w:r>
          </w:p>
        </w:tc>
      </w:tr>
      <w:tr w:rsidR="001F1694" w:rsidRPr="001407D3" w14:paraId="1BC70375" w14:textId="77777777" w:rsidTr="00147C8B">
        <w:trPr>
          <w:trHeight w:val="360"/>
        </w:trPr>
        <w:tc>
          <w:tcPr>
            <w:tcW w:w="4140" w:type="dxa"/>
            <w:vAlign w:val="center"/>
            <w:hideMark/>
          </w:tcPr>
          <w:p w14:paraId="11256BB7" w14:textId="77777777" w:rsidR="001F1694" w:rsidRPr="001407D3" w:rsidRDefault="001F1694" w:rsidP="00147C8B">
            <w:pPr>
              <w:spacing w:before="0" w:after="0" w:line="240" w:lineRule="auto"/>
              <w:jc w:val="both"/>
              <w:rPr>
                <w:sz w:val="18"/>
                <w:szCs w:val="18"/>
              </w:rPr>
            </w:pPr>
            <w:r w:rsidRPr="001407D3">
              <w:rPr>
                <w:sz w:val="18"/>
                <w:szCs w:val="18"/>
              </w:rPr>
              <w:t>ներքին պարտք</w:t>
            </w:r>
          </w:p>
        </w:tc>
        <w:tc>
          <w:tcPr>
            <w:tcW w:w="1350" w:type="dxa"/>
            <w:vAlign w:val="center"/>
            <w:hideMark/>
          </w:tcPr>
          <w:p w14:paraId="63A20E77" w14:textId="77777777" w:rsidR="001F1694" w:rsidRPr="00BF23DC" w:rsidRDefault="001F1694" w:rsidP="00147C8B">
            <w:pPr>
              <w:spacing w:before="0" w:after="0" w:line="240" w:lineRule="auto"/>
              <w:jc w:val="right"/>
              <w:rPr>
                <w:sz w:val="18"/>
                <w:szCs w:val="18"/>
                <w:lang w:val="ru-RU"/>
              </w:rPr>
            </w:pPr>
            <w:r w:rsidRPr="00D51C15">
              <w:rPr>
                <w:sz w:val="18"/>
                <w:szCs w:val="18"/>
              </w:rPr>
              <w:t>2,533.3</w:t>
            </w:r>
          </w:p>
        </w:tc>
        <w:tc>
          <w:tcPr>
            <w:tcW w:w="1440" w:type="dxa"/>
            <w:vAlign w:val="center"/>
            <w:hideMark/>
          </w:tcPr>
          <w:p w14:paraId="5B11D3E7" w14:textId="77777777" w:rsidR="001F1694" w:rsidRPr="00607220" w:rsidRDefault="001F1694" w:rsidP="00147C8B">
            <w:pPr>
              <w:spacing w:before="0" w:after="0" w:line="240" w:lineRule="auto"/>
              <w:jc w:val="right"/>
              <w:rPr>
                <w:sz w:val="18"/>
                <w:szCs w:val="18"/>
              </w:rPr>
            </w:pPr>
            <w:r w:rsidRPr="00607220">
              <w:rPr>
                <w:sz w:val="18"/>
                <w:szCs w:val="18"/>
              </w:rPr>
              <w:t xml:space="preserve">        2,874.9 </w:t>
            </w:r>
          </w:p>
        </w:tc>
        <w:tc>
          <w:tcPr>
            <w:tcW w:w="1530" w:type="dxa"/>
            <w:vAlign w:val="center"/>
            <w:hideMark/>
          </w:tcPr>
          <w:p w14:paraId="55FB3B9A" w14:textId="77777777" w:rsidR="001F1694" w:rsidRPr="001407D3" w:rsidRDefault="001F1694" w:rsidP="00147C8B">
            <w:pPr>
              <w:spacing w:before="0" w:after="0" w:line="240" w:lineRule="auto"/>
              <w:jc w:val="right"/>
              <w:rPr>
                <w:sz w:val="18"/>
                <w:szCs w:val="18"/>
              </w:rPr>
            </w:pPr>
            <w:r w:rsidRPr="00607220">
              <w:rPr>
                <w:sz w:val="18"/>
                <w:szCs w:val="18"/>
              </w:rPr>
              <w:t xml:space="preserve">    3,206.5 </w:t>
            </w:r>
          </w:p>
        </w:tc>
        <w:tc>
          <w:tcPr>
            <w:tcW w:w="1170" w:type="dxa"/>
            <w:vAlign w:val="center"/>
          </w:tcPr>
          <w:p w14:paraId="222A785C" w14:textId="77777777" w:rsidR="001F1694" w:rsidRPr="00607220" w:rsidRDefault="001F1694" w:rsidP="00147C8B">
            <w:pPr>
              <w:spacing w:before="0" w:after="0" w:line="240" w:lineRule="auto"/>
              <w:jc w:val="right"/>
              <w:rPr>
                <w:sz w:val="18"/>
                <w:szCs w:val="18"/>
              </w:rPr>
            </w:pPr>
            <w:r w:rsidRPr="007859EE">
              <w:rPr>
                <w:sz w:val="18"/>
                <w:szCs w:val="18"/>
              </w:rPr>
              <w:t xml:space="preserve">     3,474.9 </w:t>
            </w:r>
          </w:p>
        </w:tc>
        <w:tc>
          <w:tcPr>
            <w:tcW w:w="1260" w:type="dxa"/>
            <w:vAlign w:val="center"/>
          </w:tcPr>
          <w:p w14:paraId="52582D19" w14:textId="77777777" w:rsidR="001F1694" w:rsidRPr="00607220" w:rsidRDefault="001F1694" w:rsidP="00147C8B">
            <w:pPr>
              <w:spacing w:before="0" w:after="0" w:line="240" w:lineRule="auto"/>
              <w:jc w:val="right"/>
              <w:rPr>
                <w:sz w:val="18"/>
                <w:szCs w:val="18"/>
              </w:rPr>
            </w:pPr>
            <w:r w:rsidRPr="007859EE">
              <w:rPr>
                <w:sz w:val="18"/>
                <w:szCs w:val="18"/>
              </w:rPr>
              <w:t xml:space="preserve">       3,715.1 </w:t>
            </w:r>
          </w:p>
        </w:tc>
      </w:tr>
      <w:tr w:rsidR="001F1694" w:rsidRPr="001407D3" w14:paraId="6AD68A2D" w14:textId="77777777" w:rsidTr="00147C8B">
        <w:trPr>
          <w:trHeight w:val="360"/>
        </w:trPr>
        <w:tc>
          <w:tcPr>
            <w:tcW w:w="4140" w:type="dxa"/>
            <w:vAlign w:val="center"/>
            <w:hideMark/>
          </w:tcPr>
          <w:p w14:paraId="3CDC5E25" w14:textId="77777777" w:rsidR="001F1694" w:rsidRPr="001407D3" w:rsidRDefault="001F1694" w:rsidP="00147C8B">
            <w:pPr>
              <w:spacing w:before="0" w:after="0" w:line="240" w:lineRule="auto"/>
              <w:jc w:val="both"/>
              <w:rPr>
                <w:sz w:val="18"/>
                <w:szCs w:val="18"/>
                <w:lang w:val="hy-AM"/>
              </w:rPr>
            </w:pPr>
            <w:r w:rsidRPr="001407D3">
              <w:rPr>
                <w:sz w:val="18"/>
                <w:szCs w:val="18"/>
              </w:rPr>
              <w:t>արտաքին պարտք</w:t>
            </w:r>
          </w:p>
        </w:tc>
        <w:tc>
          <w:tcPr>
            <w:tcW w:w="1350" w:type="dxa"/>
            <w:vAlign w:val="center"/>
            <w:hideMark/>
          </w:tcPr>
          <w:p w14:paraId="6D148595" w14:textId="77777777" w:rsidR="001F1694" w:rsidRPr="001407D3" w:rsidRDefault="001F1694" w:rsidP="00147C8B">
            <w:pPr>
              <w:spacing w:before="0" w:after="0" w:line="240" w:lineRule="auto"/>
              <w:jc w:val="right"/>
              <w:rPr>
                <w:sz w:val="18"/>
                <w:szCs w:val="18"/>
                <w:lang w:val="ru-RU" w:eastAsia="ru-RU"/>
              </w:rPr>
            </w:pPr>
            <w:r w:rsidRPr="00D51C15">
              <w:rPr>
                <w:sz w:val="18"/>
                <w:szCs w:val="18"/>
              </w:rPr>
              <w:t>2,359.6</w:t>
            </w:r>
          </w:p>
        </w:tc>
        <w:tc>
          <w:tcPr>
            <w:tcW w:w="1440" w:type="dxa"/>
            <w:vAlign w:val="center"/>
            <w:hideMark/>
          </w:tcPr>
          <w:p w14:paraId="4755A4A8" w14:textId="77777777" w:rsidR="001F1694" w:rsidRPr="001407D3" w:rsidRDefault="001F1694" w:rsidP="00147C8B">
            <w:pPr>
              <w:spacing w:before="0" w:after="0" w:line="240" w:lineRule="auto"/>
              <w:jc w:val="right"/>
              <w:rPr>
                <w:sz w:val="18"/>
                <w:szCs w:val="18"/>
              </w:rPr>
            </w:pPr>
            <w:r w:rsidRPr="00607220">
              <w:rPr>
                <w:sz w:val="18"/>
                <w:szCs w:val="18"/>
              </w:rPr>
              <w:t xml:space="preserve">        2,573.4 </w:t>
            </w:r>
          </w:p>
        </w:tc>
        <w:tc>
          <w:tcPr>
            <w:tcW w:w="1530" w:type="dxa"/>
            <w:vAlign w:val="center"/>
            <w:hideMark/>
          </w:tcPr>
          <w:p w14:paraId="3B9AA0DD" w14:textId="77777777" w:rsidR="001F1694" w:rsidRPr="001407D3" w:rsidRDefault="001F1694" w:rsidP="00147C8B">
            <w:pPr>
              <w:spacing w:before="0" w:after="0" w:line="240" w:lineRule="auto"/>
              <w:jc w:val="right"/>
              <w:rPr>
                <w:sz w:val="18"/>
                <w:szCs w:val="18"/>
              </w:rPr>
            </w:pPr>
            <w:r w:rsidRPr="00607220">
              <w:rPr>
                <w:sz w:val="18"/>
                <w:szCs w:val="18"/>
              </w:rPr>
              <w:t xml:space="preserve">    3,1</w:t>
            </w:r>
            <w:r>
              <w:rPr>
                <w:sz w:val="18"/>
                <w:szCs w:val="18"/>
              </w:rPr>
              <w:t>03</w:t>
            </w:r>
            <w:r w:rsidRPr="00607220">
              <w:rPr>
                <w:sz w:val="18"/>
                <w:szCs w:val="18"/>
              </w:rPr>
              <w:t>.</w:t>
            </w:r>
            <w:r>
              <w:rPr>
                <w:sz w:val="18"/>
                <w:szCs w:val="18"/>
              </w:rPr>
              <w:t>8</w:t>
            </w:r>
            <w:r w:rsidRPr="00607220">
              <w:rPr>
                <w:sz w:val="18"/>
                <w:szCs w:val="18"/>
              </w:rPr>
              <w:t xml:space="preserve"> </w:t>
            </w:r>
          </w:p>
        </w:tc>
        <w:tc>
          <w:tcPr>
            <w:tcW w:w="1170" w:type="dxa"/>
            <w:vAlign w:val="center"/>
          </w:tcPr>
          <w:p w14:paraId="361A2457" w14:textId="77777777" w:rsidR="001F1694" w:rsidRPr="00607220" w:rsidRDefault="001F1694" w:rsidP="00147C8B">
            <w:pPr>
              <w:spacing w:before="0" w:after="0" w:line="240" w:lineRule="auto"/>
              <w:jc w:val="right"/>
              <w:rPr>
                <w:sz w:val="18"/>
                <w:szCs w:val="18"/>
              </w:rPr>
            </w:pPr>
            <w:r w:rsidRPr="007859EE">
              <w:rPr>
                <w:sz w:val="18"/>
                <w:szCs w:val="18"/>
              </w:rPr>
              <w:t xml:space="preserve">      3,476.7 </w:t>
            </w:r>
          </w:p>
        </w:tc>
        <w:tc>
          <w:tcPr>
            <w:tcW w:w="1260" w:type="dxa"/>
            <w:vAlign w:val="center"/>
          </w:tcPr>
          <w:p w14:paraId="23F0E038" w14:textId="77777777" w:rsidR="001F1694" w:rsidRPr="00607220" w:rsidRDefault="001F1694" w:rsidP="00147C8B">
            <w:pPr>
              <w:spacing w:before="0" w:after="0" w:line="240" w:lineRule="auto"/>
              <w:jc w:val="right"/>
              <w:rPr>
                <w:sz w:val="18"/>
                <w:szCs w:val="18"/>
              </w:rPr>
            </w:pPr>
            <w:r w:rsidRPr="007859EE">
              <w:rPr>
                <w:sz w:val="18"/>
                <w:szCs w:val="18"/>
              </w:rPr>
              <w:t xml:space="preserve">      3,829.1 </w:t>
            </w:r>
          </w:p>
        </w:tc>
      </w:tr>
      <w:tr w:rsidR="001F1694" w:rsidRPr="001407D3" w14:paraId="7D16266F" w14:textId="77777777" w:rsidTr="00147C8B">
        <w:trPr>
          <w:trHeight w:val="360"/>
        </w:trPr>
        <w:tc>
          <w:tcPr>
            <w:tcW w:w="8460" w:type="dxa"/>
            <w:gridSpan w:val="4"/>
            <w:shd w:val="clear" w:color="auto" w:fill="D5DCE4" w:themeFill="text2" w:themeFillTint="33"/>
            <w:vAlign w:val="center"/>
          </w:tcPr>
          <w:p w14:paraId="437FC547" w14:textId="77777777" w:rsidR="001F1694" w:rsidRPr="001407D3" w:rsidRDefault="001F1694" w:rsidP="00147C8B">
            <w:pPr>
              <w:spacing w:before="0" w:after="0" w:line="240" w:lineRule="auto"/>
              <w:rPr>
                <w:sz w:val="18"/>
                <w:szCs w:val="18"/>
              </w:rPr>
            </w:pPr>
            <w:r w:rsidRPr="001407D3">
              <w:rPr>
                <w:sz w:val="18"/>
                <w:szCs w:val="18"/>
              </w:rPr>
              <w:t>Կառուցվածքն ըստ գործիքակազմի, մլրդ դրամ</w:t>
            </w:r>
          </w:p>
        </w:tc>
        <w:tc>
          <w:tcPr>
            <w:tcW w:w="1170" w:type="dxa"/>
            <w:shd w:val="clear" w:color="auto" w:fill="D5DCE4" w:themeFill="text2" w:themeFillTint="33"/>
          </w:tcPr>
          <w:p w14:paraId="17C0020C" w14:textId="77777777" w:rsidR="001F1694" w:rsidRPr="001407D3" w:rsidRDefault="001F1694" w:rsidP="00147C8B">
            <w:pPr>
              <w:spacing w:before="0" w:after="0" w:line="240" w:lineRule="auto"/>
              <w:rPr>
                <w:sz w:val="18"/>
                <w:szCs w:val="18"/>
              </w:rPr>
            </w:pPr>
          </w:p>
        </w:tc>
        <w:tc>
          <w:tcPr>
            <w:tcW w:w="1260" w:type="dxa"/>
            <w:shd w:val="clear" w:color="auto" w:fill="D5DCE4" w:themeFill="text2" w:themeFillTint="33"/>
          </w:tcPr>
          <w:p w14:paraId="3C1B4440" w14:textId="77777777" w:rsidR="001F1694" w:rsidRPr="001407D3" w:rsidRDefault="001F1694" w:rsidP="00147C8B">
            <w:pPr>
              <w:spacing w:before="0" w:after="0" w:line="240" w:lineRule="auto"/>
              <w:rPr>
                <w:sz w:val="18"/>
                <w:szCs w:val="18"/>
              </w:rPr>
            </w:pPr>
          </w:p>
        </w:tc>
      </w:tr>
      <w:tr w:rsidR="001F1694" w:rsidRPr="001407D3" w14:paraId="6216C3AB" w14:textId="77777777" w:rsidTr="00147C8B">
        <w:trPr>
          <w:trHeight w:val="360"/>
        </w:trPr>
        <w:tc>
          <w:tcPr>
            <w:tcW w:w="4140" w:type="dxa"/>
            <w:vAlign w:val="center"/>
            <w:hideMark/>
          </w:tcPr>
          <w:p w14:paraId="55CD72B3" w14:textId="77777777" w:rsidR="001F1694" w:rsidRPr="001407D3" w:rsidRDefault="001F1694" w:rsidP="00147C8B">
            <w:pPr>
              <w:spacing w:before="0" w:after="0" w:line="240" w:lineRule="auto"/>
              <w:rPr>
                <w:sz w:val="18"/>
                <w:szCs w:val="18"/>
              </w:rPr>
            </w:pPr>
            <w:r w:rsidRPr="001407D3">
              <w:rPr>
                <w:sz w:val="18"/>
                <w:szCs w:val="18"/>
              </w:rPr>
              <w:t>արտաքին վարկեր և փոխառություններ</w:t>
            </w:r>
          </w:p>
        </w:tc>
        <w:tc>
          <w:tcPr>
            <w:tcW w:w="1350" w:type="dxa"/>
            <w:vAlign w:val="center"/>
            <w:hideMark/>
          </w:tcPr>
          <w:p w14:paraId="45B618F7" w14:textId="77777777" w:rsidR="001F1694" w:rsidRPr="00BF23DC" w:rsidRDefault="001F1694" w:rsidP="00147C8B">
            <w:pPr>
              <w:spacing w:before="0" w:after="0" w:line="240" w:lineRule="auto"/>
              <w:jc w:val="right"/>
              <w:rPr>
                <w:sz w:val="18"/>
                <w:szCs w:val="18"/>
                <w:lang w:val="ru-RU"/>
              </w:rPr>
            </w:pPr>
            <w:r w:rsidRPr="00D51C15">
              <w:rPr>
                <w:sz w:val="18"/>
                <w:szCs w:val="18"/>
              </w:rPr>
              <w:t>1,786.8</w:t>
            </w:r>
          </w:p>
        </w:tc>
        <w:tc>
          <w:tcPr>
            <w:tcW w:w="1440" w:type="dxa"/>
            <w:vAlign w:val="center"/>
            <w:hideMark/>
          </w:tcPr>
          <w:p w14:paraId="75E890B2" w14:textId="77777777" w:rsidR="001F1694" w:rsidRPr="00607220" w:rsidRDefault="001F1694" w:rsidP="00147C8B">
            <w:pPr>
              <w:spacing w:before="0" w:after="0" w:line="240" w:lineRule="auto"/>
              <w:jc w:val="right"/>
              <w:rPr>
                <w:sz w:val="18"/>
                <w:szCs w:val="18"/>
              </w:rPr>
            </w:pPr>
            <w:r w:rsidRPr="00607220">
              <w:rPr>
                <w:sz w:val="18"/>
                <w:szCs w:val="18"/>
              </w:rPr>
              <w:t xml:space="preserve">        1,833.0 </w:t>
            </w:r>
          </w:p>
        </w:tc>
        <w:tc>
          <w:tcPr>
            <w:tcW w:w="1530" w:type="dxa"/>
            <w:vAlign w:val="center"/>
            <w:hideMark/>
          </w:tcPr>
          <w:p w14:paraId="7603FC1D" w14:textId="77777777" w:rsidR="001F1694" w:rsidRPr="001407D3" w:rsidRDefault="001F1694" w:rsidP="00147C8B">
            <w:pPr>
              <w:spacing w:before="0" w:after="0" w:line="240" w:lineRule="auto"/>
              <w:jc w:val="right"/>
              <w:rPr>
                <w:sz w:val="18"/>
                <w:szCs w:val="18"/>
              </w:rPr>
            </w:pPr>
            <w:r w:rsidRPr="00607220">
              <w:rPr>
                <w:sz w:val="18"/>
                <w:szCs w:val="18"/>
              </w:rPr>
              <w:t xml:space="preserve">    2,3</w:t>
            </w:r>
            <w:r>
              <w:rPr>
                <w:sz w:val="18"/>
                <w:szCs w:val="18"/>
              </w:rPr>
              <w:t>13</w:t>
            </w:r>
            <w:r w:rsidRPr="00607220">
              <w:rPr>
                <w:sz w:val="18"/>
                <w:szCs w:val="18"/>
              </w:rPr>
              <w:t>.</w:t>
            </w:r>
            <w:r>
              <w:rPr>
                <w:sz w:val="18"/>
                <w:szCs w:val="18"/>
              </w:rPr>
              <w:t>3</w:t>
            </w:r>
            <w:r w:rsidRPr="00607220">
              <w:rPr>
                <w:sz w:val="18"/>
                <w:szCs w:val="18"/>
              </w:rPr>
              <w:t xml:space="preserve"> </w:t>
            </w:r>
          </w:p>
        </w:tc>
        <w:tc>
          <w:tcPr>
            <w:tcW w:w="1170" w:type="dxa"/>
            <w:vAlign w:val="center"/>
          </w:tcPr>
          <w:p w14:paraId="11EBE3B1" w14:textId="77777777" w:rsidR="001F1694" w:rsidRPr="00607220" w:rsidRDefault="001F1694" w:rsidP="00147C8B">
            <w:pPr>
              <w:spacing w:before="0" w:after="0" w:line="240" w:lineRule="auto"/>
              <w:jc w:val="right"/>
              <w:rPr>
                <w:sz w:val="18"/>
                <w:szCs w:val="18"/>
              </w:rPr>
            </w:pPr>
            <w:r w:rsidRPr="007859EE">
              <w:rPr>
                <w:sz w:val="18"/>
                <w:szCs w:val="18"/>
              </w:rPr>
              <w:t xml:space="preserve">      2,654.2 </w:t>
            </w:r>
          </w:p>
        </w:tc>
        <w:tc>
          <w:tcPr>
            <w:tcW w:w="1260" w:type="dxa"/>
            <w:vAlign w:val="center"/>
          </w:tcPr>
          <w:p w14:paraId="218ABA38" w14:textId="77777777" w:rsidR="001F1694" w:rsidRPr="00607220" w:rsidRDefault="001F1694" w:rsidP="00147C8B">
            <w:pPr>
              <w:spacing w:before="0" w:after="0" w:line="240" w:lineRule="auto"/>
              <w:jc w:val="right"/>
              <w:rPr>
                <w:sz w:val="18"/>
                <w:szCs w:val="18"/>
              </w:rPr>
            </w:pPr>
            <w:r w:rsidRPr="007859EE">
              <w:rPr>
                <w:sz w:val="18"/>
                <w:szCs w:val="18"/>
              </w:rPr>
              <w:t xml:space="preserve">    2,989.5 </w:t>
            </w:r>
          </w:p>
        </w:tc>
      </w:tr>
      <w:tr w:rsidR="001F1694" w:rsidRPr="001407D3" w14:paraId="1AA0444F" w14:textId="77777777" w:rsidTr="00147C8B">
        <w:trPr>
          <w:trHeight w:val="360"/>
        </w:trPr>
        <w:tc>
          <w:tcPr>
            <w:tcW w:w="4140" w:type="dxa"/>
            <w:vAlign w:val="center"/>
            <w:hideMark/>
          </w:tcPr>
          <w:p w14:paraId="1E5D6259" w14:textId="77777777" w:rsidR="001F1694" w:rsidRPr="001407D3" w:rsidRDefault="001F1694" w:rsidP="00147C8B">
            <w:pPr>
              <w:spacing w:before="0" w:after="0" w:line="240" w:lineRule="auto"/>
              <w:rPr>
                <w:sz w:val="18"/>
                <w:szCs w:val="18"/>
                <w:lang w:val="hy-AM"/>
              </w:rPr>
            </w:pPr>
            <w:r w:rsidRPr="001407D3">
              <w:rPr>
                <w:sz w:val="18"/>
                <w:szCs w:val="18"/>
              </w:rPr>
              <w:t>պետական գանձապետական պարտատոմսեր</w:t>
            </w:r>
          </w:p>
        </w:tc>
        <w:tc>
          <w:tcPr>
            <w:tcW w:w="1350" w:type="dxa"/>
            <w:vAlign w:val="center"/>
            <w:hideMark/>
          </w:tcPr>
          <w:p w14:paraId="7F92A108" w14:textId="77777777" w:rsidR="001F1694" w:rsidRPr="001407D3" w:rsidRDefault="001F1694" w:rsidP="00147C8B">
            <w:pPr>
              <w:spacing w:before="0" w:after="0" w:line="240" w:lineRule="auto"/>
              <w:jc w:val="right"/>
              <w:rPr>
                <w:sz w:val="18"/>
                <w:szCs w:val="18"/>
                <w:lang w:val="ru-RU" w:eastAsia="ru-RU"/>
              </w:rPr>
            </w:pPr>
            <w:r w:rsidRPr="00D51C15">
              <w:rPr>
                <w:sz w:val="18"/>
                <w:szCs w:val="18"/>
              </w:rPr>
              <w:t>2,474.0</w:t>
            </w:r>
          </w:p>
        </w:tc>
        <w:tc>
          <w:tcPr>
            <w:tcW w:w="1440" w:type="dxa"/>
            <w:vAlign w:val="center"/>
            <w:hideMark/>
          </w:tcPr>
          <w:p w14:paraId="3738B2A8" w14:textId="77777777" w:rsidR="001F1694" w:rsidRPr="001407D3" w:rsidRDefault="001F1694" w:rsidP="00147C8B">
            <w:pPr>
              <w:spacing w:before="0" w:after="0" w:line="240" w:lineRule="auto"/>
              <w:jc w:val="right"/>
              <w:rPr>
                <w:sz w:val="18"/>
                <w:szCs w:val="18"/>
              </w:rPr>
            </w:pPr>
            <w:r w:rsidRPr="00607220">
              <w:rPr>
                <w:sz w:val="18"/>
                <w:szCs w:val="18"/>
              </w:rPr>
              <w:t xml:space="preserve">         2,771.2 </w:t>
            </w:r>
          </w:p>
        </w:tc>
        <w:tc>
          <w:tcPr>
            <w:tcW w:w="1530" w:type="dxa"/>
            <w:vAlign w:val="center"/>
            <w:hideMark/>
          </w:tcPr>
          <w:p w14:paraId="152AAF86" w14:textId="77777777" w:rsidR="001F1694" w:rsidRPr="001407D3" w:rsidRDefault="001F1694" w:rsidP="00147C8B">
            <w:pPr>
              <w:spacing w:before="0" w:after="0" w:line="240" w:lineRule="auto"/>
              <w:jc w:val="right"/>
              <w:rPr>
                <w:sz w:val="18"/>
                <w:szCs w:val="18"/>
              </w:rPr>
            </w:pPr>
            <w:r w:rsidRPr="00607220">
              <w:rPr>
                <w:sz w:val="18"/>
                <w:szCs w:val="18"/>
              </w:rPr>
              <w:t xml:space="preserve">    3,098.2 </w:t>
            </w:r>
          </w:p>
        </w:tc>
        <w:tc>
          <w:tcPr>
            <w:tcW w:w="1170" w:type="dxa"/>
            <w:vAlign w:val="center"/>
          </w:tcPr>
          <w:p w14:paraId="219C6F03" w14:textId="77777777" w:rsidR="001F1694" w:rsidRPr="00607220" w:rsidRDefault="001F1694" w:rsidP="00147C8B">
            <w:pPr>
              <w:spacing w:before="0" w:after="0" w:line="240" w:lineRule="auto"/>
              <w:jc w:val="right"/>
              <w:rPr>
                <w:sz w:val="18"/>
                <w:szCs w:val="18"/>
              </w:rPr>
            </w:pPr>
            <w:r w:rsidRPr="007859EE">
              <w:rPr>
                <w:sz w:val="18"/>
                <w:szCs w:val="18"/>
              </w:rPr>
              <w:t xml:space="preserve">     3,393.2 </w:t>
            </w:r>
          </w:p>
        </w:tc>
        <w:tc>
          <w:tcPr>
            <w:tcW w:w="1260" w:type="dxa"/>
            <w:vAlign w:val="center"/>
          </w:tcPr>
          <w:p w14:paraId="095B9CEF" w14:textId="77777777" w:rsidR="001F1694" w:rsidRPr="00607220" w:rsidRDefault="001F1694" w:rsidP="00147C8B">
            <w:pPr>
              <w:spacing w:before="0" w:after="0" w:line="240" w:lineRule="auto"/>
              <w:jc w:val="right"/>
              <w:rPr>
                <w:sz w:val="18"/>
                <w:szCs w:val="18"/>
              </w:rPr>
            </w:pPr>
            <w:r w:rsidRPr="007859EE">
              <w:rPr>
                <w:sz w:val="18"/>
                <w:szCs w:val="18"/>
              </w:rPr>
              <w:t xml:space="preserve">     3,663.3 </w:t>
            </w:r>
          </w:p>
        </w:tc>
      </w:tr>
      <w:tr w:rsidR="001F1694" w:rsidRPr="001407D3" w14:paraId="3CD54131" w14:textId="77777777" w:rsidTr="00147C8B">
        <w:trPr>
          <w:trHeight w:val="360"/>
        </w:trPr>
        <w:tc>
          <w:tcPr>
            <w:tcW w:w="4140" w:type="dxa"/>
            <w:vAlign w:val="center"/>
            <w:hideMark/>
          </w:tcPr>
          <w:p w14:paraId="1169491E" w14:textId="77777777" w:rsidR="001F1694" w:rsidRPr="001407D3" w:rsidRDefault="001F1694" w:rsidP="00147C8B">
            <w:pPr>
              <w:spacing w:before="0" w:after="0" w:line="240" w:lineRule="auto"/>
              <w:rPr>
                <w:sz w:val="18"/>
                <w:szCs w:val="18"/>
                <w:lang w:val="hy-AM"/>
              </w:rPr>
            </w:pPr>
            <w:r w:rsidRPr="001407D3">
              <w:rPr>
                <w:sz w:val="18"/>
                <w:szCs w:val="18"/>
              </w:rPr>
              <w:t>արտարժութային պետական պարտատոմսեր</w:t>
            </w:r>
          </w:p>
        </w:tc>
        <w:tc>
          <w:tcPr>
            <w:tcW w:w="1350" w:type="dxa"/>
            <w:vAlign w:val="center"/>
            <w:hideMark/>
          </w:tcPr>
          <w:p w14:paraId="0F26C324" w14:textId="77777777" w:rsidR="001F1694" w:rsidRPr="00607220" w:rsidRDefault="001F1694" w:rsidP="00147C8B">
            <w:pPr>
              <w:spacing w:before="0" w:after="0" w:line="240" w:lineRule="auto"/>
              <w:jc w:val="right"/>
              <w:rPr>
                <w:sz w:val="18"/>
                <w:szCs w:val="18"/>
                <w:lang w:val="ru-RU" w:eastAsia="ru-RU"/>
              </w:rPr>
            </w:pPr>
            <w:r w:rsidRPr="00607220">
              <w:rPr>
                <w:iCs/>
                <w:sz w:val="18"/>
                <w:szCs w:val="18"/>
              </w:rPr>
              <w:t>619.9</w:t>
            </w:r>
          </w:p>
        </w:tc>
        <w:tc>
          <w:tcPr>
            <w:tcW w:w="1440" w:type="dxa"/>
            <w:vAlign w:val="center"/>
            <w:hideMark/>
          </w:tcPr>
          <w:p w14:paraId="5D18FB3E" w14:textId="77777777" w:rsidR="001F1694" w:rsidRPr="00607220" w:rsidRDefault="001F1694" w:rsidP="00147C8B">
            <w:pPr>
              <w:spacing w:before="0" w:after="0" w:line="240" w:lineRule="auto"/>
              <w:jc w:val="right"/>
              <w:rPr>
                <w:sz w:val="18"/>
                <w:szCs w:val="18"/>
              </w:rPr>
            </w:pPr>
            <w:r w:rsidRPr="00607220">
              <w:rPr>
                <w:sz w:val="18"/>
                <w:szCs w:val="18"/>
              </w:rPr>
              <w:t xml:space="preserve">          788.0 </w:t>
            </w:r>
          </w:p>
        </w:tc>
        <w:tc>
          <w:tcPr>
            <w:tcW w:w="1530" w:type="dxa"/>
            <w:vAlign w:val="center"/>
            <w:hideMark/>
          </w:tcPr>
          <w:p w14:paraId="226B5816" w14:textId="77777777" w:rsidR="001F1694" w:rsidRPr="00607220" w:rsidRDefault="001F1694" w:rsidP="00147C8B">
            <w:pPr>
              <w:spacing w:before="0" w:after="0" w:line="240" w:lineRule="auto"/>
              <w:jc w:val="right"/>
              <w:rPr>
                <w:sz w:val="18"/>
                <w:szCs w:val="18"/>
              </w:rPr>
            </w:pPr>
            <w:r w:rsidRPr="00607220">
              <w:rPr>
                <w:sz w:val="18"/>
                <w:szCs w:val="18"/>
              </w:rPr>
              <w:t xml:space="preserve">      832.9 </w:t>
            </w:r>
          </w:p>
        </w:tc>
        <w:tc>
          <w:tcPr>
            <w:tcW w:w="1170" w:type="dxa"/>
            <w:vAlign w:val="center"/>
          </w:tcPr>
          <w:p w14:paraId="0B1F0050" w14:textId="77777777" w:rsidR="001F1694" w:rsidRPr="00607220" w:rsidRDefault="001F1694" w:rsidP="00147C8B">
            <w:pPr>
              <w:spacing w:before="0" w:after="0" w:line="240" w:lineRule="auto"/>
              <w:jc w:val="right"/>
              <w:rPr>
                <w:sz w:val="18"/>
                <w:szCs w:val="18"/>
              </w:rPr>
            </w:pPr>
            <w:r w:rsidRPr="007859EE">
              <w:rPr>
                <w:sz w:val="18"/>
                <w:szCs w:val="18"/>
              </w:rPr>
              <w:t xml:space="preserve">       856.4 </w:t>
            </w:r>
          </w:p>
        </w:tc>
        <w:tc>
          <w:tcPr>
            <w:tcW w:w="1260" w:type="dxa"/>
            <w:vAlign w:val="center"/>
          </w:tcPr>
          <w:p w14:paraId="3F5BB901" w14:textId="77777777" w:rsidR="001F1694" w:rsidRPr="00607220" w:rsidRDefault="001F1694" w:rsidP="00147C8B">
            <w:pPr>
              <w:spacing w:before="0" w:after="0" w:line="240" w:lineRule="auto"/>
              <w:jc w:val="right"/>
              <w:rPr>
                <w:sz w:val="18"/>
                <w:szCs w:val="18"/>
              </w:rPr>
            </w:pPr>
            <w:r w:rsidRPr="007859EE">
              <w:rPr>
                <w:sz w:val="18"/>
                <w:szCs w:val="18"/>
              </w:rPr>
              <w:t xml:space="preserve">        862.1 </w:t>
            </w:r>
          </w:p>
        </w:tc>
      </w:tr>
      <w:tr w:rsidR="001F1694" w:rsidRPr="001407D3" w14:paraId="68EB1442" w14:textId="77777777" w:rsidTr="00147C8B">
        <w:trPr>
          <w:trHeight w:val="360"/>
        </w:trPr>
        <w:tc>
          <w:tcPr>
            <w:tcW w:w="4140" w:type="dxa"/>
            <w:vAlign w:val="center"/>
            <w:hideMark/>
          </w:tcPr>
          <w:p w14:paraId="5C32C8DE" w14:textId="77777777" w:rsidR="001F1694" w:rsidRPr="001407D3" w:rsidRDefault="001F1694" w:rsidP="00147C8B">
            <w:pPr>
              <w:spacing w:before="0" w:after="0" w:line="240" w:lineRule="auto"/>
              <w:rPr>
                <w:sz w:val="18"/>
                <w:szCs w:val="18"/>
                <w:lang w:val="hy-AM"/>
              </w:rPr>
            </w:pPr>
            <w:r w:rsidRPr="001407D3">
              <w:rPr>
                <w:sz w:val="18"/>
                <w:szCs w:val="18"/>
              </w:rPr>
              <w:t>արտաքին երաշխիքներ</w:t>
            </w:r>
          </w:p>
        </w:tc>
        <w:tc>
          <w:tcPr>
            <w:tcW w:w="1350" w:type="dxa"/>
            <w:vAlign w:val="center"/>
            <w:hideMark/>
          </w:tcPr>
          <w:p w14:paraId="2350E536" w14:textId="77777777" w:rsidR="001F1694" w:rsidRPr="00607220" w:rsidRDefault="001F1694" w:rsidP="00147C8B">
            <w:pPr>
              <w:spacing w:before="0" w:after="0" w:line="240" w:lineRule="auto"/>
              <w:jc w:val="right"/>
              <w:rPr>
                <w:sz w:val="18"/>
                <w:szCs w:val="18"/>
                <w:lang w:val="ru-RU" w:eastAsia="ru-RU"/>
              </w:rPr>
            </w:pPr>
            <w:r w:rsidRPr="00607220">
              <w:rPr>
                <w:iCs/>
                <w:sz w:val="18"/>
                <w:szCs w:val="18"/>
              </w:rPr>
              <w:t>2.6</w:t>
            </w:r>
          </w:p>
        </w:tc>
        <w:tc>
          <w:tcPr>
            <w:tcW w:w="1440" w:type="dxa"/>
            <w:vAlign w:val="center"/>
            <w:hideMark/>
          </w:tcPr>
          <w:p w14:paraId="7176060E" w14:textId="77777777" w:rsidR="001F1694" w:rsidRPr="00607220" w:rsidRDefault="001F1694" w:rsidP="00147C8B">
            <w:pPr>
              <w:spacing w:before="0" w:after="0" w:line="240" w:lineRule="auto"/>
              <w:jc w:val="right"/>
              <w:rPr>
                <w:sz w:val="18"/>
                <w:szCs w:val="18"/>
              </w:rPr>
            </w:pPr>
            <w:r w:rsidRPr="00607220">
              <w:rPr>
                <w:sz w:val="18"/>
                <w:szCs w:val="18"/>
              </w:rPr>
              <w:t xml:space="preserve">              2.5 </w:t>
            </w:r>
          </w:p>
        </w:tc>
        <w:tc>
          <w:tcPr>
            <w:tcW w:w="1530" w:type="dxa"/>
            <w:vAlign w:val="center"/>
            <w:hideMark/>
          </w:tcPr>
          <w:p w14:paraId="57D34530" w14:textId="77777777" w:rsidR="001F1694" w:rsidRPr="00607220" w:rsidRDefault="001F1694" w:rsidP="00147C8B">
            <w:pPr>
              <w:spacing w:before="0" w:after="0" w:line="240" w:lineRule="auto"/>
              <w:jc w:val="right"/>
              <w:rPr>
                <w:sz w:val="18"/>
                <w:szCs w:val="18"/>
              </w:rPr>
            </w:pPr>
            <w:r w:rsidRPr="00607220">
              <w:rPr>
                <w:sz w:val="18"/>
                <w:szCs w:val="18"/>
              </w:rPr>
              <w:t xml:space="preserve">         2.3 </w:t>
            </w:r>
          </w:p>
        </w:tc>
        <w:tc>
          <w:tcPr>
            <w:tcW w:w="1170" w:type="dxa"/>
            <w:vAlign w:val="center"/>
          </w:tcPr>
          <w:p w14:paraId="5F123740" w14:textId="77777777" w:rsidR="001F1694" w:rsidRPr="00607220" w:rsidRDefault="001F1694" w:rsidP="00147C8B">
            <w:pPr>
              <w:spacing w:before="0" w:after="0" w:line="240" w:lineRule="auto"/>
              <w:jc w:val="right"/>
              <w:rPr>
                <w:sz w:val="18"/>
                <w:szCs w:val="18"/>
              </w:rPr>
            </w:pPr>
            <w:r w:rsidRPr="007859EE">
              <w:rPr>
                <w:sz w:val="18"/>
                <w:szCs w:val="18"/>
              </w:rPr>
              <w:t xml:space="preserve">            2.2 </w:t>
            </w:r>
          </w:p>
        </w:tc>
        <w:tc>
          <w:tcPr>
            <w:tcW w:w="1260" w:type="dxa"/>
            <w:vAlign w:val="center"/>
          </w:tcPr>
          <w:p w14:paraId="58DE72E8" w14:textId="77777777" w:rsidR="001F1694" w:rsidRPr="00607220" w:rsidRDefault="001F1694" w:rsidP="00147C8B">
            <w:pPr>
              <w:spacing w:before="0" w:after="0" w:line="240" w:lineRule="auto"/>
              <w:jc w:val="right"/>
              <w:rPr>
                <w:sz w:val="18"/>
                <w:szCs w:val="18"/>
              </w:rPr>
            </w:pPr>
            <w:r w:rsidRPr="007859EE">
              <w:rPr>
                <w:sz w:val="18"/>
                <w:szCs w:val="18"/>
              </w:rPr>
              <w:t xml:space="preserve">             1.9 </w:t>
            </w:r>
          </w:p>
        </w:tc>
      </w:tr>
      <w:tr w:rsidR="001F1694" w:rsidRPr="001407D3" w14:paraId="0324D67F" w14:textId="77777777" w:rsidTr="00147C8B">
        <w:trPr>
          <w:trHeight w:val="360"/>
        </w:trPr>
        <w:tc>
          <w:tcPr>
            <w:tcW w:w="4140" w:type="dxa"/>
            <w:vAlign w:val="center"/>
            <w:hideMark/>
          </w:tcPr>
          <w:p w14:paraId="1D7509FC" w14:textId="77777777" w:rsidR="001F1694" w:rsidRPr="001407D3" w:rsidRDefault="001F1694" w:rsidP="00147C8B">
            <w:pPr>
              <w:spacing w:before="0" w:after="0" w:line="240" w:lineRule="auto"/>
              <w:rPr>
                <w:sz w:val="18"/>
                <w:szCs w:val="18"/>
                <w:lang w:val="hy-AM"/>
              </w:rPr>
            </w:pPr>
            <w:r w:rsidRPr="001407D3">
              <w:rPr>
                <w:sz w:val="18"/>
                <w:szCs w:val="18"/>
              </w:rPr>
              <w:t>ներքին երաշխիքներ</w:t>
            </w:r>
          </w:p>
        </w:tc>
        <w:tc>
          <w:tcPr>
            <w:tcW w:w="1350" w:type="dxa"/>
            <w:vAlign w:val="center"/>
            <w:hideMark/>
          </w:tcPr>
          <w:p w14:paraId="2E0CD281" w14:textId="77777777" w:rsidR="001F1694" w:rsidRPr="00607220" w:rsidRDefault="001F1694" w:rsidP="00147C8B">
            <w:pPr>
              <w:spacing w:before="0" w:after="0" w:line="240" w:lineRule="auto"/>
              <w:jc w:val="right"/>
              <w:rPr>
                <w:sz w:val="18"/>
                <w:szCs w:val="18"/>
                <w:lang w:val="ru-RU" w:eastAsia="ru-RU"/>
              </w:rPr>
            </w:pPr>
            <w:r w:rsidRPr="00607220">
              <w:rPr>
                <w:sz w:val="18"/>
                <w:szCs w:val="18"/>
              </w:rPr>
              <w:t>9.5</w:t>
            </w:r>
          </w:p>
        </w:tc>
        <w:tc>
          <w:tcPr>
            <w:tcW w:w="1440" w:type="dxa"/>
            <w:vAlign w:val="center"/>
            <w:hideMark/>
          </w:tcPr>
          <w:p w14:paraId="3CF45D0E" w14:textId="77777777" w:rsidR="001F1694" w:rsidRPr="00607220" w:rsidRDefault="001F1694" w:rsidP="00147C8B">
            <w:pPr>
              <w:spacing w:before="0" w:after="0" w:line="240" w:lineRule="auto"/>
              <w:jc w:val="right"/>
              <w:rPr>
                <w:sz w:val="18"/>
                <w:szCs w:val="18"/>
              </w:rPr>
            </w:pPr>
            <w:r w:rsidRPr="00607220">
              <w:rPr>
                <w:sz w:val="18"/>
                <w:szCs w:val="18"/>
              </w:rPr>
              <w:t xml:space="preserve">             53.7 </w:t>
            </w:r>
          </w:p>
        </w:tc>
        <w:tc>
          <w:tcPr>
            <w:tcW w:w="1530" w:type="dxa"/>
            <w:vAlign w:val="center"/>
            <w:hideMark/>
          </w:tcPr>
          <w:p w14:paraId="05A2B2CA" w14:textId="77777777" w:rsidR="001F1694" w:rsidRPr="00607220" w:rsidRDefault="001F1694" w:rsidP="00147C8B">
            <w:pPr>
              <w:spacing w:before="0" w:after="0" w:line="240" w:lineRule="auto"/>
              <w:jc w:val="right"/>
              <w:rPr>
                <w:sz w:val="18"/>
                <w:szCs w:val="18"/>
              </w:rPr>
            </w:pPr>
            <w:r w:rsidRPr="00607220">
              <w:rPr>
                <w:sz w:val="18"/>
                <w:szCs w:val="18"/>
              </w:rPr>
              <w:t xml:space="preserve">        63.5 </w:t>
            </w:r>
          </w:p>
        </w:tc>
        <w:tc>
          <w:tcPr>
            <w:tcW w:w="1170" w:type="dxa"/>
            <w:vAlign w:val="center"/>
          </w:tcPr>
          <w:p w14:paraId="4DB1948C" w14:textId="77777777" w:rsidR="001F1694" w:rsidRPr="00607220" w:rsidRDefault="001F1694" w:rsidP="00147C8B">
            <w:pPr>
              <w:spacing w:before="0" w:after="0" w:line="240" w:lineRule="auto"/>
              <w:jc w:val="right"/>
              <w:rPr>
                <w:sz w:val="18"/>
                <w:szCs w:val="18"/>
              </w:rPr>
            </w:pPr>
            <w:r w:rsidRPr="007859EE">
              <w:rPr>
                <w:sz w:val="18"/>
                <w:szCs w:val="18"/>
              </w:rPr>
              <w:t xml:space="preserve">          45.6 </w:t>
            </w:r>
          </w:p>
        </w:tc>
        <w:tc>
          <w:tcPr>
            <w:tcW w:w="1260" w:type="dxa"/>
            <w:vAlign w:val="center"/>
          </w:tcPr>
          <w:p w14:paraId="309C9C4C" w14:textId="77777777" w:rsidR="001F1694" w:rsidRPr="00607220" w:rsidRDefault="001F1694" w:rsidP="00147C8B">
            <w:pPr>
              <w:spacing w:before="0" w:after="0" w:line="240" w:lineRule="auto"/>
              <w:jc w:val="right"/>
              <w:rPr>
                <w:sz w:val="18"/>
                <w:szCs w:val="18"/>
              </w:rPr>
            </w:pPr>
            <w:r w:rsidRPr="007859EE">
              <w:rPr>
                <w:sz w:val="18"/>
                <w:szCs w:val="18"/>
              </w:rPr>
              <w:t xml:space="preserve">           27.4 </w:t>
            </w:r>
          </w:p>
        </w:tc>
      </w:tr>
      <w:tr w:rsidR="001F1694" w:rsidRPr="001407D3" w14:paraId="31C1CAAD" w14:textId="77777777" w:rsidTr="00147C8B">
        <w:trPr>
          <w:trHeight w:val="360"/>
        </w:trPr>
        <w:tc>
          <w:tcPr>
            <w:tcW w:w="8460" w:type="dxa"/>
            <w:gridSpan w:val="4"/>
            <w:shd w:val="clear" w:color="auto" w:fill="D5DCE4" w:themeFill="text2" w:themeFillTint="33"/>
            <w:vAlign w:val="center"/>
          </w:tcPr>
          <w:p w14:paraId="3745732B" w14:textId="77777777" w:rsidR="001F1694" w:rsidRPr="001407D3" w:rsidRDefault="001F1694" w:rsidP="00147C8B">
            <w:pPr>
              <w:spacing w:before="0" w:after="0" w:line="240" w:lineRule="auto"/>
              <w:rPr>
                <w:sz w:val="18"/>
                <w:szCs w:val="18"/>
              </w:rPr>
            </w:pPr>
            <w:r w:rsidRPr="001407D3">
              <w:rPr>
                <w:sz w:val="18"/>
                <w:szCs w:val="18"/>
              </w:rPr>
              <w:t>Արժութային կառուցվածքը, մլրդ դրամ</w:t>
            </w:r>
          </w:p>
        </w:tc>
        <w:tc>
          <w:tcPr>
            <w:tcW w:w="1170" w:type="dxa"/>
            <w:shd w:val="clear" w:color="auto" w:fill="D5DCE4" w:themeFill="text2" w:themeFillTint="33"/>
          </w:tcPr>
          <w:p w14:paraId="7E6018D4" w14:textId="77777777" w:rsidR="001F1694" w:rsidRPr="001407D3" w:rsidRDefault="001F1694" w:rsidP="00147C8B">
            <w:pPr>
              <w:spacing w:before="0" w:after="0" w:line="240" w:lineRule="auto"/>
              <w:rPr>
                <w:sz w:val="18"/>
                <w:szCs w:val="18"/>
              </w:rPr>
            </w:pPr>
          </w:p>
        </w:tc>
        <w:tc>
          <w:tcPr>
            <w:tcW w:w="1260" w:type="dxa"/>
            <w:shd w:val="clear" w:color="auto" w:fill="D5DCE4" w:themeFill="text2" w:themeFillTint="33"/>
          </w:tcPr>
          <w:p w14:paraId="47A5768D" w14:textId="77777777" w:rsidR="001F1694" w:rsidRPr="001407D3" w:rsidRDefault="001F1694" w:rsidP="00147C8B">
            <w:pPr>
              <w:spacing w:before="0" w:after="0" w:line="240" w:lineRule="auto"/>
              <w:rPr>
                <w:sz w:val="18"/>
                <w:szCs w:val="18"/>
              </w:rPr>
            </w:pPr>
          </w:p>
        </w:tc>
      </w:tr>
      <w:tr w:rsidR="001F1694" w:rsidRPr="001407D3" w14:paraId="13B4F1BA" w14:textId="77777777" w:rsidTr="00147C8B">
        <w:trPr>
          <w:trHeight w:val="360"/>
        </w:trPr>
        <w:tc>
          <w:tcPr>
            <w:tcW w:w="4140" w:type="dxa"/>
            <w:vAlign w:val="center"/>
            <w:hideMark/>
          </w:tcPr>
          <w:p w14:paraId="72892550" w14:textId="77777777" w:rsidR="001F1694" w:rsidRPr="001407D3" w:rsidRDefault="001F1694" w:rsidP="00147C8B">
            <w:pPr>
              <w:spacing w:before="0" w:after="0" w:line="240" w:lineRule="auto"/>
              <w:jc w:val="both"/>
              <w:rPr>
                <w:sz w:val="18"/>
                <w:szCs w:val="18"/>
              </w:rPr>
            </w:pPr>
            <w:r w:rsidRPr="001407D3">
              <w:rPr>
                <w:sz w:val="18"/>
                <w:szCs w:val="18"/>
              </w:rPr>
              <w:t>ՀՀ դրամով ներգրավված պարտք</w:t>
            </w:r>
          </w:p>
        </w:tc>
        <w:tc>
          <w:tcPr>
            <w:tcW w:w="1350" w:type="dxa"/>
            <w:vAlign w:val="center"/>
            <w:hideMark/>
          </w:tcPr>
          <w:p w14:paraId="12695F6F" w14:textId="77777777" w:rsidR="001F1694" w:rsidRPr="00BF23DC" w:rsidRDefault="001F1694" w:rsidP="00147C8B">
            <w:pPr>
              <w:spacing w:before="0" w:after="0" w:line="240" w:lineRule="auto"/>
              <w:jc w:val="right"/>
              <w:rPr>
                <w:sz w:val="18"/>
                <w:szCs w:val="18"/>
                <w:lang w:val="ru-RU"/>
              </w:rPr>
            </w:pPr>
            <w:r w:rsidRPr="00D51C15">
              <w:rPr>
                <w:sz w:val="18"/>
                <w:szCs w:val="18"/>
              </w:rPr>
              <w:t>2,483.6</w:t>
            </w:r>
          </w:p>
        </w:tc>
        <w:tc>
          <w:tcPr>
            <w:tcW w:w="1440" w:type="dxa"/>
            <w:vAlign w:val="center"/>
            <w:hideMark/>
          </w:tcPr>
          <w:p w14:paraId="6F7ED20E" w14:textId="77777777" w:rsidR="001F1694" w:rsidRPr="000853BC" w:rsidRDefault="001F1694" w:rsidP="00147C8B">
            <w:pPr>
              <w:spacing w:before="0" w:after="0" w:line="240" w:lineRule="auto"/>
              <w:jc w:val="right"/>
              <w:rPr>
                <w:sz w:val="18"/>
                <w:szCs w:val="18"/>
                <w:lang w:val="hy-AM"/>
              </w:rPr>
            </w:pPr>
            <w:r w:rsidRPr="0004654B">
              <w:rPr>
                <w:sz w:val="18"/>
                <w:szCs w:val="18"/>
              </w:rPr>
              <w:t xml:space="preserve">        2,</w:t>
            </w:r>
            <w:r>
              <w:rPr>
                <w:sz w:val="18"/>
                <w:szCs w:val="18"/>
                <w:lang w:val="hy-AM"/>
              </w:rPr>
              <w:t>771</w:t>
            </w:r>
            <w:r>
              <w:rPr>
                <w:sz w:val="18"/>
                <w:szCs w:val="18"/>
              </w:rPr>
              <w:t>.</w:t>
            </w:r>
            <w:r>
              <w:rPr>
                <w:sz w:val="18"/>
                <w:szCs w:val="18"/>
                <w:lang w:val="hy-AM"/>
              </w:rPr>
              <w:t>2</w:t>
            </w:r>
          </w:p>
        </w:tc>
        <w:tc>
          <w:tcPr>
            <w:tcW w:w="1530" w:type="dxa"/>
            <w:vAlign w:val="center"/>
            <w:hideMark/>
          </w:tcPr>
          <w:p w14:paraId="6F4D4DC8" w14:textId="77777777" w:rsidR="001F1694" w:rsidRPr="001407D3" w:rsidRDefault="001F1694" w:rsidP="00147C8B">
            <w:pPr>
              <w:spacing w:before="0" w:after="0" w:line="240" w:lineRule="auto"/>
              <w:jc w:val="right"/>
              <w:rPr>
                <w:sz w:val="18"/>
                <w:szCs w:val="18"/>
              </w:rPr>
            </w:pPr>
            <w:r w:rsidRPr="0004654B">
              <w:rPr>
                <w:sz w:val="18"/>
                <w:szCs w:val="18"/>
              </w:rPr>
              <w:t xml:space="preserve">    3,098.2 </w:t>
            </w:r>
          </w:p>
        </w:tc>
        <w:tc>
          <w:tcPr>
            <w:tcW w:w="1170" w:type="dxa"/>
            <w:vAlign w:val="center"/>
          </w:tcPr>
          <w:p w14:paraId="03ADE4AD" w14:textId="77777777" w:rsidR="001F1694" w:rsidRPr="0004654B" w:rsidRDefault="001F1694" w:rsidP="00147C8B">
            <w:pPr>
              <w:spacing w:before="0" w:after="0" w:line="240" w:lineRule="auto"/>
              <w:jc w:val="right"/>
              <w:rPr>
                <w:sz w:val="18"/>
                <w:szCs w:val="18"/>
              </w:rPr>
            </w:pPr>
            <w:r w:rsidRPr="007859EE">
              <w:rPr>
                <w:sz w:val="18"/>
                <w:szCs w:val="18"/>
              </w:rPr>
              <w:t xml:space="preserve">    3,393.2 </w:t>
            </w:r>
          </w:p>
        </w:tc>
        <w:tc>
          <w:tcPr>
            <w:tcW w:w="1260" w:type="dxa"/>
            <w:vAlign w:val="center"/>
          </w:tcPr>
          <w:p w14:paraId="412A6D6E" w14:textId="77777777" w:rsidR="001F1694" w:rsidRPr="0004654B" w:rsidRDefault="001F1694" w:rsidP="00147C8B">
            <w:pPr>
              <w:spacing w:before="0" w:after="0" w:line="240" w:lineRule="auto"/>
              <w:jc w:val="right"/>
              <w:rPr>
                <w:sz w:val="18"/>
                <w:szCs w:val="18"/>
              </w:rPr>
            </w:pPr>
            <w:r w:rsidRPr="007859EE">
              <w:rPr>
                <w:sz w:val="18"/>
                <w:szCs w:val="18"/>
              </w:rPr>
              <w:t xml:space="preserve">    3,663.3 </w:t>
            </w:r>
          </w:p>
        </w:tc>
      </w:tr>
      <w:tr w:rsidR="001F1694" w:rsidRPr="001407D3" w14:paraId="7BCED784" w14:textId="77777777" w:rsidTr="00147C8B">
        <w:trPr>
          <w:trHeight w:val="360"/>
        </w:trPr>
        <w:tc>
          <w:tcPr>
            <w:tcW w:w="4140" w:type="dxa"/>
            <w:vAlign w:val="center"/>
            <w:hideMark/>
          </w:tcPr>
          <w:p w14:paraId="1FAA1B1A" w14:textId="77777777" w:rsidR="001F1694" w:rsidRPr="001407D3" w:rsidRDefault="001F1694" w:rsidP="00147C8B">
            <w:pPr>
              <w:spacing w:before="0" w:after="0" w:line="240" w:lineRule="auto"/>
              <w:jc w:val="both"/>
              <w:rPr>
                <w:sz w:val="18"/>
                <w:szCs w:val="18"/>
                <w:lang w:val="hy-AM"/>
              </w:rPr>
            </w:pPr>
            <w:r w:rsidRPr="001407D3">
              <w:rPr>
                <w:sz w:val="18"/>
                <w:szCs w:val="18"/>
              </w:rPr>
              <w:t>արտարժույթով ներգրավված պարտք</w:t>
            </w:r>
          </w:p>
        </w:tc>
        <w:tc>
          <w:tcPr>
            <w:tcW w:w="1350" w:type="dxa"/>
            <w:vAlign w:val="center"/>
            <w:hideMark/>
          </w:tcPr>
          <w:p w14:paraId="5BDE8691" w14:textId="77777777" w:rsidR="001F1694" w:rsidRPr="001407D3" w:rsidRDefault="001F1694" w:rsidP="00147C8B">
            <w:pPr>
              <w:spacing w:before="0" w:after="0" w:line="240" w:lineRule="auto"/>
              <w:jc w:val="right"/>
              <w:rPr>
                <w:sz w:val="18"/>
                <w:szCs w:val="18"/>
                <w:lang w:val="ru-RU" w:eastAsia="ru-RU"/>
              </w:rPr>
            </w:pPr>
            <w:r w:rsidRPr="00D51C15">
              <w:rPr>
                <w:sz w:val="18"/>
                <w:szCs w:val="18"/>
              </w:rPr>
              <w:t>2,409.3</w:t>
            </w:r>
          </w:p>
        </w:tc>
        <w:tc>
          <w:tcPr>
            <w:tcW w:w="1440" w:type="dxa"/>
            <w:vAlign w:val="center"/>
            <w:hideMark/>
          </w:tcPr>
          <w:p w14:paraId="02DD4584" w14:textId="77777777" w:rsidR="001F1694" w:rsidRPr="001407D3" w:rsidRDefault="001F1694" w:rsidP="00147C8B">
            <w:pPr>
              <w:spacing w:before="0" w:after="0" w:line="240" w:lineRule="auto"/>
              <w:jc w:val="right"/>
              <w:rPr>
                <w:sz w:val="18"/>
                <w:szCs w:val="18"/>
              </w:rPr>
            </w:pPr>
            <w:r w:rsidRPr="0004654B">
              <w:rPr>
                <w:sz w:val="18"/>
                <w:szCs w:val="18"/>
              </w:rPr>
              <w:t xml:space="preserve">        2,6</w:t>
            </w:r>
            <w:r>
              <w:rPr>
                <w:sz w:val="18"/>
                <w:szCs w:val="18"/>
                <w:lang w:val="hy-AM"/>
              </w:rPr>
              <w:t>77.1</w:t>
            </w:r>
            <w:r w:rsidRPr="0004654B">
              <w:rPr>
                <w:sz w:val="18"/>
                <w:szCs w:val="18"/>
              </w:rPr>
              <w:t xml:space="preserve"> </w:t>
            </w:r>
          </w:p>
        </w:tc>
        <w:tc>
          <w:tcPr>
            <w:tcW w:w="1530" w:type="dxa"/>
            <w:vAlign w:val="center"/>
            <w:hideMark/>
          </w:tcPr>
          <w:p w14:paraId="7DC08E73" w14:textId="77777777" w:rsidR="001F1694" w:rsidRPr="001407D3" w:rsidRDefault="001F1694" w:rsidP="00147C8B">
            <w:pPr>
              <w:spacing w:before="0" w:after="0" w:line="240" w:lineRule="auto"/>
              <w:jc w:val="right"/>
              <w:rPr>
                <w:sz w:val="18"/>
                <w:szCs w:val="18"/>
              </w:rPr>
            </w:pPr>
            <w:r w:rsidRPr="0004654B">
              <w:rPr>
                <w:sz w:val="18"/>
                <w:szCs w:val="18"/>
              </w:rPr>
              <w:t xml:space="preserve">    3,2</w:t>
            </w:r>
            <w:r>
              <w:rPr>
                <w:sz w:val="18"/>
                <w:szCs w:val="18"/>
              </w:rPr>
              <w:t>12</w:t>
            </w:r>
            <w:r w:rsidRPr="0004654B">
              <w:rPr>
                <w:sz w:val="18"/>
                <w:szCs w:val="18"/>
              </w:rPr>
              <w:t>.</w:t>
            </w:r>
            <w:r>
              <w:rPr>
                <w:sz w:val="18"/>
                <w:szCs w:val="18"/>
              </w:rPr>
              <w:t>1</w:t>
            </w:r>
            <w:r w:rsidRPr="0004654B">
              <w:rPr>
                <w:sz w:val="18"/>
                <w:szCs w:val="18"/>
              </w:rPr>
              <w:t xml:space="preserve"> </w:t>
            </w:r>
          </w:p>
        </w:tc>
        <w:tc>
          <w:tcPr>
            <w:tcW w:w="1170" w:type="dxa"/>
            <w:vAlign w:val="center"/>
          </w:tcPr>
          <w:p w14:paraId="5F25C624" w14:textId="77777777" w:rsidR="001F1694" w:rsidRPr="0004654B" w:rsidRDefault="001F1694" w:rsidP="00147C8B">
            <w:pPr>
              <w:spacing w:before="0" w:after="0" w:line="240" w:lineRule="auto"/>
              <w:jc w:val="right"/>
              <w:rPr>
                <w:sz w:val="18"/>
                <w:szCs w:val="18"/>
              </w:rPr>
            </w:pPr>
            <w:r w:rsidRPr="007859EE">
              <w:rPr>
                <w:sz w:val="18"/>
                <w:szCs w:val="18"/>
              </w:rPr>
              <w:t xml:space="preserve">    3,558.4 </w:t>
            </w:r>
          </w:p>
        </w:tc>
        <w:tc>
          <w:tcPr>
            <w:tcW w:w="1260" w:type="dxa"/>
            <w:vAlign w:val="center"/>
          </w:tcPr>
          <w:p w14:paraId="472F474B" w14:textId="77777777" w:rsidR="001F1694" w:rsidRPr="0004654B" w:rsidRDefault="001F1694" w:rsidP="00147C8B">
            <w:pPr>
              <w:spacing w:before="0" w:after="0" w:line="240" w:lineRule="auto"/>
              <w:jc w:val="right"/>
              <w:rPr>
                <w:sz w:val="18"/>
                <w:szCs w:val="18"/>
              </w:rPr>
            </w:pPr>
            <w:r w:rsidRPr="007859EE">
              <w:rPr>
                <w:sz w:val="18"/>
                <w:szCs w:val="18"/>
              </w:rPr>
              <w:t xml:space="preserve">     3,880.9 </w:t>
            </w:r>
          </w:p>
        </w:tc>
      </w:tr>
      <w:tr w:rsidR="001F1694" w:rsidRPr="001407D3" w14:paraId="16A18786" w14:textId="77777777" w:rsidTr="00147C8B">
        <w:trPr>
          <w:trHeight w:val="360"/>
        </w:trPr>
        <w:tc>
          <w:tcPr>
            <w:tcW w:w="8460" w:type="dxa"/>
            <w:gridSpan w:val="4"/>
            <w:shd w:val="clear" w:color="auto" w:fill="D5DCE4" w:themeFill="text2" w:themeFillTint="33"/>
            <w:vAlign w:val="center"/>
          </w:tcPr>
          <w:p w14:paraId="492EE9E6" w14:textId="77777777" w:rsidR="001F1694" w:rsidRPr="001407D3" w:rsidRDefault="001F1694" w:rsidP="00147C8B">
            <w:pPr>
              <w:spacing w:before="0" w:after="0" w:line="240" w:lineRule="auto"/>
              <w:rPr>
                <w:sz w:val="18"/>
                <w:szCs w:val="18"/>
              </w:rPr>
            </w:pPr>
            <w:r w:rsidRPr="001407D3">
              <w:rPr>
                <w:sz w:val="18"/>
                <w:szCs w:val="18"/>
              </w:rPr>
              <w:t>Կառուցվածքն ըստ տոկոսադրույքի տեսակի, մլրդ դրամ</w:t>
            </w:r>
          </w:p>
        </w:tc>
        <w:tc>
          <w:tcPr>
            <w:tcW w:w="1170" w:type="dxa"/>
            <w:shd w:val="clear" w:color="auto" w:fill="D5DCE4" w:themeFill="text2" w:themeFillTint="33"/>
          </w:tcPr>
          <w:p w14:paraId="27CFFBA4" w14:textId="77777777" w:rsidR="001F1694" w:rsidRPr="001407D3" w:rsidRDefault="001F1694" w:rsidP="00147C8B">
            <w:pPr>
              <w:spacing w:before="0" w:after="0" w:line="240" w:lineRule="auto"/>
              <w:rPr>
                <w:sz w:val="18"/>
                <w:szCs w:val="18"/>
              </w:rPr>
            </w:pPr>
          </w:p>
        </w:tc>
        <w:tc>
          <w:tcPr>
            <w:tcW w:w="1260" w:type="dxa"/>
            <w:shd w:val="clear" w:color="auto" w:fill="D5DCE4" w:themeFill="text2" w:themeFillTint="33"/>
          </w:tcPr>
          <w:p w14:paraId="70F5894F" w14:textId="77777777" w:rsidR="001F1694" w:rsidRPr="001407D3" w:rsidRDefault="001F1694" w:rsidP="00147C8B">
            <w:pPr>
              <w:spacing w:before="0" w:after="0" w:line="240" w:lineRule="auto"/>
              <w:rPr>
                <w:sz w:val="18"/>
                <w:szCs w:val="18"/>
              </w:rPr>
            </w:pPr>
          </w:p>
        </w:tc>
      </w:tr>
      <w:tr w:rsidR="001F1694" w:rsidRPr="001407D3" w14:paraId="413B456D" w14:textId="77777777" w:rsidTr="00147C8B">
        <w:trPr>
          <w:trHeight w:val="360"/>
        </w:trPr>
        <w:tc>
          <w:tcPr>
            <w:tcW w:w="4140" w:type="dxa"/>
            <w:vAlign w:val="center"/>
            <w:hideMark/>
          </w:tcPr>
          <w:p w14:paraId="4DD8E1D7" w14:textId="77777777" w:rsidR="001F1694" w:rsidRPr="001407D3" w:rsidRDefault="001F1694" w:rsidP="00147C8B">
            <w:pPr>
              <w:spacing w:before="0" w:after="0" w:line="240" w:lineRule="auto"/>
              <w:jc w:val="both"/>
              <w:rPr>
                <w:sz w:val="18"/>
                <w:szCs w:val="18"/>
              </w:rPr>
            </w:pPr>
            <w:r w:rsidRPr="001407D3">
              <w:rPr>
                <w:sz w:val="18"/>
                <w:szCs w:val="18"/>
              </w:rPr>
              <w:t>լողացող տոկոսադրույքով</w:t>
            </w:r>
          </w:p>
        </w:tc>
        <w:tc>
          <w:tcPr>
            <w:tcW w:w="1350" w:type="dxa"/>
            <w:vAlign w:val="center"/>
            <w:hideMark/>
          </w:tcPr>
          <w:p w14:paraId="145CDDDC" w14:textId="77777777" w:rsidR="001F1694" w:rsidRPr="005D1A1E" w:rsidRDefault="001F1694" w:rsidP="00147C8B">
            <w:pPr>
              <w:spacing w:before="0" w:after="0" w:line="240" w:lineRule="auto"/>
              <w:jc w:val="right"/>
              <w:rPr>
                <w:sz w:val="18"/>
                <w:szCs w:val="18"/>
              </w:rPr>
            </w:pPr>
            <w:r w:rsidRPr="005D1A1E">
              <w:rPr>
                <w:sz w:val="18"/>
                <w:szCs w:val="18"/>
              </w:rPr>
              <w:t xml:space="preserve">           762.3 </w:t>
            </w:r>
          </w:p>
        </w:tc>
        <w:tc>
          <w:tcPr>
            <w:tcW w:w="1440" w:type="dxa"/>
            <w:vAlign w:val="center"/>
            <w:hideMark/>
          </w:tcPr>
          <w:p w14:paraId="49B7F1DA" w14:textId="77777777" w:rsidR="001F1694" w:rsidRPr="0004654B" w:rsidRDefault="001F1694" w:rsidP="00147C8B">
            <w:pPr>
              <w:spacing w:before="0" w:after="0" w:line="240" w:lineRule="auto"/>
              <w:jc w:val="right"/>
              <w:rPr>
                <w:sz w:val="18"/>
                <w:szCs w:val="18"/>
              </w:rPr>
            </w:pPr>
            <w:r w:rsidRPr="0004654B">
              <w:rPr>
                <w:sz w:val="18"/>
                <w:szCs w:val="18"/>
              </w:rPr>
              <w:t xml:space="preserve">           84</w:t>
            </w:r>
            <w:r>
              <w:rPr>
                <w:sz w:val="18"/>
                <w:szCs w:val="18"/>
                <w:lang w:val="hy-AM"/>
              </w:rPr>
              <w:t>8</w:t>
            </w:r>
            <w:r w:rsidRPr="0004654B">
              <w:rPr>
                <w:sz w:val="18"/>
                <w:szCs w:val="18"/>
              </w:rPr>
              <w:t>.</w:t>
            </w:r>
            <w:r>
              <w:rPr>
                <w:sz w:val="18"/>
                <w:szCs w:val="18"/>
                <w:lang w:val="hy-AM"/>
              </w:rPr>
              <w:t>8</w:t>
            </w:r>
            <w:r w:rsidRPr="0004654B">
              <w:rPr>
                <w:sz w:val="18"/>
                <w:szCs w:val="18"/>
              </w:rPr>
              <w:t xml:space="preserve"> </w:t>
            </w:r>
          </w:p>
        </w:tc>
        <w:tc>
          <w:tcPr>
            <w:tcW w:w="1530" w:type="dxa"/>
            <w:vAlign w:val="center"/>
            <w:hideMark/>
          </w:tcPr>
          <w:p w14:paraId="30C60320" w14:textId="77777777" w:rsidR="001F1694" w:rsidRPr="0004654B" w:rsidRDefault="001F1694" w:rsidP="00147C8B">
            <w:pPr>
              <w:spacing w:before="0" w:after="0" w:line="240" w:lineRule="auto"/>
              <w:jc w:val="right"/>
              <w:rPr>
                <w:sz w:val="18"/>
                <w:szCs w:val="18"/>
              </w:rPr>
            </w:pPr>
            <w:r w:rsidRPr="0004654B">
              <w:rPr>
                <w:sz w:val="18"/>
                <w:szCs w:val="18"/>
              </w:rPr>
              <w:t xml:space="preserve">      9</w:t>
            </w:r>
            <w:r>
              <w:rPr>
                <w:sz w:val="18"/>
                <w:szCs w:val="18"/>
                <w:lang w:val="hy-AM"/>
              </w:rPr>
              <w:t>46.4</w:t>
            </w:r>
            <w:r w:rsidRPr="0004654B">
              <w:rPr>
                <w:sz w:val="18"/>
                <w:szCs w:val="18"/>
              </w:rPr>
              <w:t xml:space="preserve"> </w:t>
            </w:r>
          </w:p>
        </w:tc>
        <w:tc>
          <w:tcPr>
            <w:tcW w:w="1170" w:type="dxa"/>
            <w:vAlign w:val="center"/>
          </w:tcPr>
          <w:p w14:paraId="3772AEAE" w14:textId="77777777" w:rsidR="001F1694" w:rsidRPr="0004654B" w:rsidRDefault="001F1694" w:rsidP="00147C8B">
            <w:pPr>
              <w:spacing w:before="0" w:after="0" w:line="240" w:lineRule="auto"/>
              <w:jc w:val="right"/>
              <w:rPr>
                <w:sz w:val="18"/>
                <w:szCs w:val="18"/>
              </w:rPr>
            </w:pPr>
            <w:r w:rsidRPr="007859EE">
              <w:rPr>
                <w:sz w:val="18"/>
                <w:szCs w:val="18"/>
              </w:rPr>
              <w:t xml:space="preserve">     1,031.8 </w:t>
            </w:r>
          </w:p>
        </w:tc>
        <w:tc>
          <w:tcPr>
            <w:tcW w:w="1260" w:type="dxa"/>
            <w:vAlign w:val="center"/>
          </w:tcPr>
          <w:p w14:paraId="45A40AB3" w14:textId="77777777" w:rsidR="001F1694" w:rsidRPr="0004654B" w:rsidRDefault="001F1694" w:rsidP="00147C8B">
            <w:pPr>
              <w:spacing w:before="0" w:after="0" w:line="240" w:lineRule="auto"/>
              <w:jc w:val="right"/>
              <w:rPr>
                <w:sz w:val="18"/>
                <w:szCs w:val="18"/>
              </w:rPr>
            </w:pPr>
            <w:r w:rsidRPr="007859EE">
              <w:rPr>
                <w:sz w:val="18"/>
                <w:szCs w:val="18"/>
              </w:rPr>
              <w:t xml:space="preserve">       1,178.6 </w:t>
            </w:r>
          </w:p>
        </w:tc>
      </w:tr>
      <w:tr w:rsidR="001F1694" w:rsidRPr="001407D3" w14:paraId="0C6D0B4F" w14:textId="77777777" w:rsidTr="00147C8B">
        <w:trPr>
          <w:trHeight w:val="360"/>
        </w:trPr>
        <w:tc>
          <w:tcPr>
            <w:tcW w:w="4140" w:type="dxa"/>
            <w:vAlign w:val="center"/>
            <w:hideMark/>
          </w:tcPr>
          <w:p w14:paraId="19E33C9E" w14:textId="77777777" w:rsidR="001F1694" w:rsidRPr="001407D3" w:rsidRDefault="001F1694" w:rsidP="00147C8B">
            <w:pPr>
              <w:spacing w:before="0" w:after="0" w:line="240" w:lineRule="auto"/>
              <w:jc w:val="both"/>
              <w:rPr>
                <w:sz w:val="18"/>
                <w:szCs w:val="18"/>
                <w:lang w:val="hy-AM"/>
              </w:rPr>
            </w:pPr>
            <w:r w:rsidRPr="001407D3">
              <w:rPr>
                <w:sz w:val="18"/>
                <w:szCs w:val="18"/>
              </w:rPr>
              <w:t>ֆիքսված տոկոսադրույքով</w:t>
            </w:r>
          </w:p>
        </w:tc>
        <w:tc>
          <w:tcPr>
            <w:tcW w:w="1350" w:type="dxa"/>
            <w:vAlign w:val="center"/>
            <w:hideMark/>
          </w:tcPr>
          <w:p w14:paraId="3D9940F5" w14:textId="77777777" w:rsidR="001F1694" w:rsidRPr="005D1A1E" w:rsidRDefault="001F1694" w:rsidP="00147C8B">
            <w:pPr>
              <w:spacing w:before="0" w:after="0" w:line="240" w:lineRule="auto"/>
              <w:jc w:val="right"/>
              <w:rPr>
                <w:sz w:val="18"/>
                <w:szCs w:val="18"/>
              </w:rPr>
            </w:pPr>
            <w:r w:rsidRPr="005D1A1E">
              <w:rPr>
                <w:sz w:val="18"/>
                <w:szCs w:val="18"/>
              </w:rPr>
              <w:t xml:space="preserve">         4,130.6 </w:t>
            </w:r>
          </w:p>
        </w:tc>
        <w:tc>
          <w:tcPr>
            <w:tcW w:w="1440" w:type="dxa"/>
            <w:vAlign w:val="center"/>
            <w:hideMark/>
          </w:tcPr>
          <w:p w14:paraId="3B5DBC63" w14:textId="77777777" w:rsidR="001F1694" w:rsidRPr="001407D3" w:rsidRDefault="001F1694" w:rsidP="00147C8B">
            <w:pPr>
              <w:spacing w:before="0" w:after="0" w:line="240" w:lineRule="auto"/>
              <w:jc w:val="right"/>
              <w:rPr>
                <w:sz w:val="18"/>
                <w:szCs w:val="18"/>
              </w:rPr>
            </w:pPr>
            <w:r w:rsidRPr="0004654B">
              <w:rPr>
                <w:sz w:val="18"/>
                <w:szCs w:val="18"/>
              </w:rPr>
              <w:t xml:space="preserve">         4,5</w:t>
            </w:r>
            <w:r>
              <w:rPr>
                <w:sz w:val="18"/>
                <w:szCs w:val="18"/>
                <w:lang w:val="hy-AM"/>
              </w:rPr>
              <w:t>99</w:t>
            </w:r>
            <w:r w:rsidRPr="0004654B">
              <w:rPr>
                <w:sz w:val="18"/>
                <w:szCs w:val="18"/>
              </w:rPr>
              <w:t>.</w:t>
            </w:r>
            <w:r>
              <w:rPr>
                <w:sz w:val="18"/>
                <w:szCs w:val="18"/>
                <w:lang w:val="hy-AM"/>
              </w:rPr>
              <w:t>6</w:t>
            </w:r>
            <w:r w:rsidRPr="0004654B">
              <w:rPr>
                <w:sz w:val="18"/>
                <w:szCs w:val="18"/>
              </w:rPr>
              <w:t xml:space="preserve"> </w:t>
            </w:r>
          </w:p>
        </w:tc>
        <w:tc>
          <w:tcPr>
            <w:tcW w:w="1530" w:type="dxa"/>
            <w:vAlign w:val="center"/>
            <w:hideMark/>
          </w:tcPr>
          <w:p w14:paraId="16110373" w14:textId="77777777" w:rsidR="001F1694" w:rsidRPr="001407D3" w:rsidRDefault="001F1694" w:rsidP="00147C8B">
            <w:pPr>
              <w:spacing w:before="0" w:after="0" w:line="240" w:lineRule="auto"/>
              <w:jc w:val="right"/>
              <w:rPr>
                <w:sz w:val="18"/>
                <w:szCs w:val="18"/>
              </w:rPr>
            </w:pPr>
            <w:r w:rsidRPr="0004654B">
              <w:rPr>
                <w:sz w:val="18"/>
                <w:szCs w:val="18"/>
              </w:rPr>
              <w:t xml:space="preserve">    5,3</w:t>
            </w:r>
            <w:r>
              <w:rPr>
                <w:sz w:val="18"/>
                <w:szCs w:val="18"/>
              </w:rPr>
              <w:t>63</w:t>
            </w:r>
            <w:r>
              <w:rPr>
                <w:sz w:val="18"/>
                <w:szCs w:val="18"/>
                <w:lang w:val="hy-AM"/>
              </w:rPr>
              <w:t>.</w:t>
            </w:r>
            <w:r>
              <w:rPr>
                <w:sz w:val="18"/>
                <w:szCs w:val="18"/>
              </w:rPr>
              <w:t>9</w:t>
            </w:r>
            <w:r w:rsidRPr="0004654B">
              <w:rPr>
                <w:sz w:val="18"/>
                <w:szCs w:val="18"/>
              </w:rPr>
              <w:t xml:space="preserve"> </w:t>
            </w:r>
          </w:p>
        </w:tc>
        <w:tc>
          <w:tcPr>
            <w:tcW w:w="1170" w:type="dxa"/>
            <w:vAlign w:val="center"/>
          </w:tcPr>
          <w:p w14:paraId="25BE1252" w14:textId="77777777" w:rsidR="001F1694" w:rsidRPr="0004654B" w:rsidRDefault="001F1694" w:rsidP="00147C8B">
            <w:pPr>
              <w:spacing w:before="0" w:after="0" w:line="240" w:lineRule="auto"/>
              <w:jc w:val="right"/>
              <w:rPr>
                <w:sz w:val="18"/>
                <w:szCs w:val="18"/>
              </w:rPr>
            </w:pPr>
            <w:r w:rsidRPr="007859EE">
              <w:rPr>
                <w:sz w:val="18"/>
                <w:szCs w:val="18"/>
              </w:rPr>
              <w:t xml:space="preserve">     5,919.7 </w:t>
            </w:r>
          </w:p>
        </w:tc>
        <w:tc>
          <w:tcPr>
            <w:tcW w:w="1260" w:type="dxa"/>
            <w:vAlign w:val="center"/>
          </w:tcPr>
          <w:p w14:paraId="07D18878" w14:textId="77777777" w:rsidR="001F1694" w:rsidRPr="0004654B" w:rsidRDefault="001F1694" w:rsidP="00147C8B">
            <w:pPr>
              <w:spacing w:before="0" w:after="0" w:line="240" w:lineRule="auto"/>
              <w:jc w:val="right"/>
              <w:rPr>
                <w:sz w:val="18"/>
                <w:szCs w:val="18"/>
              </w:rPr>
            </w:pPr>
            <w:r w:rsidRPr="007859EE">
              <w:rPr>
                <w:sz w:val="18"/>
                <w:szCs w:val="18"/>
              </w:rPr>
              <w:t xml:space="preserve">     6,365.6 </w:t>
            </w:r>
          </w:p>
        </w:tc>
      </w:tr>
    </w:tbl>
    <w:p w14:paraId="4E579384" w14:textId="77777777" w:rsidR="001F1694" w:rsidRDefault="001F1694" w:rsidP="001F1694">
      <w:pPr>
        <w:pStyle w:val="a0"/>
        <w:ind w:right="116"/>
        <w:rPr>
          <w:lang w:val="hy-AM"/>
        </w:rPr>
      </w:pPr>
      <w:r w:rsidRPr="00B84464">
        <w:rPr>
          <w:sz w:val="14"/>
          <w:szCs w:val="14"/>
        </w:rPr>
        <w:t>*</w:t>
      </w:r>
      <w:r w:rsidRPr="00557B8B">
        <w:rPr>
          <w:bCs/>
          <w:iCs/>
          <w:sz w:val="14"/>
          <w:szCs w:val="14"/>
          <w:lang w:val="hy-AM"/>
        </w:rPr>
        <w:t>202</w:t>
      </w:r>
      <w:r w:rsidRPr="00557B8B">
        <w:rPr>
          <w:bCs/>
          <w:iCs/>
          <w:sz w:val="14"/>
          <w:szCs w:val="14"/>
        </w:rPr>
        <w:t>5</w:t>
      </w:r>
      <w:r w:rsidRPr="00557B8B">
        <w:rPr>
          <w:bCs/>
          <w:iCs/>
          <w:sz w:val="14"/>
          <w:szCs w:val="14"/>
          <w:lang w:val="hy-AM"/>
        </w:rPr>
        <w:t xml:space="preserve"> և 202</w:t>
      </w:r>
      <w:r w:rsidRPr="00557B8B">
        <w:rPr>
          <w:bCs/>
          <w:iCs/>
          <w:sz w:val="14"/>
          <w:szCs w:val="14"/>
        </w:rPr>
        <w:t>6</w:t>
      </w:r>
      <w:r w:rsidRPr="00557B8B">
        <w:rPr>
          <w:bCs/>
          <w:iCs/>
          <w:sz w:val="14"/>
          <w:szCs w:val="14"/>
          <w:lang w:val="hy-AM"/>
        </w:rPr>
        <w:t xml:space="preserve"> թվականների համար պետական գանձապետական և արտարժութային պարտատոմսերի գծով պարտքի մնացորդը բաշխվել է ըստ ռեզիդենտության՝ հիմք ընդունելով 2022-202</w:t>
      </w:r>
      <w:r w:rsidRPr="00557B8B">
        <w:rPr>
          <w:bCs/>
          <w:iCs/>
          <w:sz w:val="14"/>
          <w:szCs w:val="14"/>
        </w:rPr>
        <w:t>4</w:t>
      </w:r>
      <w:r w:rsidRPr="00557B8B">
        <w:rPr>
          <w:bCs/>
          <w:iCs/>
          <w:sz w:val="14"/>
          <w:szCs w:val="14"/>
          <w:lang w:val="hy-AM"/>
        </w:rPr>
        <w:t>թթ. միջին տեսակարար կշիռները:</w:t>
      </w:r>
    </w:p>
    <w:p w14:paraId="10C3032D" w14:textId="77777777" w:rsidR="001F1694" w:rsidRDefault="001F1694" w:rsidP="001F1694">
      <w:pPr>
        <w:pStyle w:val="BodyText1"/>
        <w:ind w:left="0"/>
        <w:rPr>
          <w:lang w:val="hy-AM"/>
        </w:rPr>
      </w:pPr>
    </w:p>
    <w:p w14:paraId="245D8F1F" w14:textId="77777777" w:rsidR="001F1694" w:rsidRDefault="001F1694" w:rsidP="001F1694">
      <w:pPr>
        <w:pStyle w:val="BodyText1"/>
        <w:ind w:left="0"/>
        <w:rPr>
          <w:lang w:val="hy-AM"/>
        </w:rPr>
      </w:pPr>
      <w:r w:rsidRPr="00557B8B">
        <w:rPr>
          <w:lang w:val="hy-AM"/>
        </w:rPr>
        <w:t xml:space="preserve">Տոկոսավճարների բեռը էական չավելացնելու, ինչպես նաև պետական բյուջեի արտարժութային մուտքերի կարիքն ապահովելու նպատակով, 2026 թվականի տարեվերջին՝ 2025 թվականի կանխատեսումային մակարդակների նկատմամբ, ներքին պարտքի և դրամային պարտքի մասնաբաժինները պարտքի կառուցվածքում կնվազեն համապատասխանաբար </w:t>
      </w:r>
      <w:r>
        <w:rPr>
          <w:lang w:val="hy-AM"/>
        </w:rPr>
        <w:t>2</w:t>
      </w:r>
      <w:r w:rsidRPr="00557B8B">
        <w:rPr>
          <w:lang w:val="hy-AM"/>
        </w:rPr>
        <w:t>.</w:t>
      </w:r>
      <w:r w:rsidRPr="005E5783">
        <w:rPr>
          <w:lang w:val="hy-AM"/>
        </w:rPr>
        <w:t>0</w:t>
      </w:r>
      <w:r w:rsidRPr="00557B8B">
        <w:rPr>
          <w:lang w:val="hy-AM"/>
        </w:rPr>
        <w:t xml:space="preserve"> և </w:t>
      </w:r>
      <w:r w:rsidRPr="005E5783">
        <w:rPr>
          <w:lang w:val="hy-AM"/>
        </w:rPr>
        <w:t>1</w:t>
      </w:r>
      <w:r w:rsidRPr="00557B8B">
        <w:rPr>
          <w:lang w:val="hy-AM"/>
        </w:rPr>
        <w:t>.</w:t>
      </w:r>
      <w:r w:rsidRPr="005E5783">
        <w:rPr>
          <w:lang w:val="hy-AM"/>
        </w:rPr>
        <w:t>8</w:t>
      </w:r>
      <w:r w:rsidRPr="00557B8B">
        <w:rPr>
          <w:lang w:val="hy-AM"/>
        </w:rPr>
        <w:t xml:space="preserve"> տոկոսային կետով: Այնուամենայնիվ, ներքին պարտքի և դրամային պարտքի մասնաբաժինները 2026 թվականին կպահպանվեն պատմականորեն բարձր մակարդակներում:</w:t>
      </w:r>
      <w:r w:rsidRPr="000F006D">
        <w:rPr>
          <w:lang w:val="hy-AM"/>
        </w:rPr>
        <w:t xml:space="preserve"> </w:t>
      </w:r>
      <w:r>
        <w:rPr>
          <w:lang w:val="hy-AM"/>
        </w:rPr>
        <w:t>2026-2028 թվականներին դրամային և ներքին պարտքի կշիռների միջին նվազումը կկազմի 0.6 տոկոսային կետ:</w:t>
      </w:r>
      <w:bookmarkStart w:id="463" w:name="_Toc178350587"/>
      <w:bookmarkStart w:id="464" w:name="_Toc178595164"/>
      <w:bookmarkStart w:id="465" w:name="_Toc184110751"/>
    </w:p>
    <w:p w14:paraId="34484D76" w14:textId="4C470606" w:rsidR="001F1694" w:rsidRPr="009D765F" w:rsidRDefault="001F1694" w:rsidP="001F1694">
      <w:pPr>
        <w:pStyle w:val="BodyText1"/>
        <w:ind w:left="0"/>
        <w:rPr>
          <w:lang w:val="hy-AM"/>
        </w:rPr>
      </w:pPr>
      <w:r w:rsidRPr="009D765F">
        <w:rPr>
          <w:lang w:val="hy-AM"/>
        </w:rPr>
        <w:t xml:space="preserve">Գծապատկեր </w:t>
      </w:r>
      <w:r w:rsidR="009D765F">
        <w:fldChar w:fldCharType="begin"/>
      </w:r>
      <w:r w:rsidR="009D765F" w:rsidRPr="009D765F">
        <w:rPr>
          <w:lang w:val="hy-AM"/>
        </w:rPr>
        <w:instrText xml:space="preserve"> SEQ գծապատկեր \* ARABIC </w:instrText>
      </w:r>
      <w:r w:rsidR="009D765F">
        <w:fldChar w:fldCharType="separate"/>
      </w:r>
      <w:r w:rsidR="001848B1" w:rsidRPr="009D765F">
        <w:rPr>
          <w:noProof/>
          <w:lang w:val="hy-AM"/>
        </w:rPr>
        <w:t>6</w:t>
      </w:r>
      <w:r w:rsidR="009D765F">
        <w:rPr>
          <w:noProof/>
        </w:rPr>
        <w:fldChar w:fldCharType="end"/>
      </w:r>
      <w:r w:rsidRPr="009D765F">
        <w:rPr>
          <w:lang w:val="hy-AM"/>
        </w:rPr>
        <w:t>. Կառավարության պարտքի կառուցվածքն ըստ տարբեր դասակարգումների</w:t>
      </w:r>
      <w:bookmarkEnd w:id="463"/>
      <w:bookmarkEnd w:id="464"/>
      <w:bookmarkEnd w:id="465"/>
    </w:p>
    <w:p w14:paraId="54D0805B" w14:textId="77777777" w:rsidR="001F1694" w:rsidRDefault="001F1694" w:rsidP="001F1694">
      <w:pPr>
        <w:rPr>
          <w:lang w:val="hy-AM"/>
        </w:rPr>
      </w:pPr>
      <w:r>
        <w:rPr>
          <w:noProof/>
        </w:rPr>
        <mc:AlternateContent>
          <mc:Choice Requires="wpg">
            <w:drawing>
              <wp:anchor distT="0" distB="0" distL="114300" distR="114300" simplePos="0" relativeHeight="251963392" behindDoc="0" locked="0" layoutInCell="1" allowOverlap="1" wp14:anchorId="37339FD9" wp14:editId="52881D1A">
                <wp:simplePos x="0" y="0"/>
                <wp:positionH relativeFrom="column">
                  <wp:posOffset>-283191</wp:posOffset>
                </wp:positionH>
                <wp:positionV relativeFrom="paragraph">
                  <wp:posOffset>71840</wp:posOffset>
                </wp:positionV>
                <wp:extent cx="6823710" cy="5684293"/>
                <wp:effectExtent l="0" t="0" r="0" b="0"/>
                <wp:wrapNone/>
                <wp:docPr id="8" name="Group 24">
                  <a:extLst xmlns:a="http://schemas.openxmlformats.org/drawingml/2006/main">
                    <a:ext uri="{FF2B5EF4-FFF2-40B4-BE49-F238E27FC236}">
                      <a16:creationId xmlns:a16="http://schemas.microsoft.com/office/drawing/2014/main" id="{00000000-0008-0000-0600-000019000000}"/>
                    </a:ext>
                  </a:extLst>
                </wp:docPr>
                <wp:cNvGraphicFramePr/>
                <a:graphic xmlns:a="http://schemas.openxmlformats.org/drawingml/2006/main">
                  <a:graphicData uri="http://schemas.microsoft.com/office/word/2010/wordprocessingGroup">
                    <wpg:wgp>
                      <wpg:cNvGrpSpPr/>
                      <wpg:grpSpPr>
                        <a:xfrm>
                          <a:off x="0" y="0"/>
                          <a:ext cx="6823710" cy="5684293"/>
                          <a:chOff x="0" y="0"/>
                          <a:chExt cx="7190348" cy="6303215"/>
                        </a:xfrm>
                        <a:noFill/>
                      </wpg:grpSpPr>
                      <wpg:graphicFrame>
                        <wpg:cNvPr id="19" name="Chart 19">
                          <a:extLst>
                            <a:ext uri="{FF2B5EF4-FFF2-40B4-BE49-F238E27FC236}">
                              <a16:creationId xmlns:a16="http://schemas.microsoft.com/office/drawing/2014/main" id="{00000000-0008-0000-0600-000011000000}"/>
                            </a:ext>
                          </a:extLst>
                        </wpg:cNvPr>
                        <wpg:cNvFrPr>
                          <a:graphicFrameLocks/>
                        </wpg:cNvFrPr>
                        <wpg:xfrm>
                          <a:off x="0" y="0"/>
                          <a:ext cx="3471457" cy="3271781"/>
                        </wpg:xfrm>
                        <a:graphic>
                          <a:graphicData uri="http://schemas.openxmlformats.org/drawingml/2006/chart">
                            <c:chart xmlns:c="http://schemas.openxmlformats.org/drawingml/2006/chart" xmlns:r="http://schemas.openxmlformats.org/officeDocument/2006/relationships" r:id="rId73"/>
                          </a:graphicData>
                        </a:graphic>
                      </wpg:graphicFrame>
                      <wpg:graphicFrame>
                        <wpg:cNvPr id="22" name="Chart 22">
                          <a:extLst>
                            <a:ext uri="{FF2B5EF4-FFF2-40B4-BE49-F238E27FC236}">
                              <a16:creationId xmlns:a16="http://schemas.microsoft.com/office/drawing/2014/main" id="{00000000-0008-0000-0600-000013000000}"/>
                            </a:ext>
                          </a:extLst>
                        </wpg:cNvPr>
                        <wpg:cNvFrPr>
                          <a:graphicFrameLocks/>
                        </wpg:cNvFrPr>
                        <wpg:xfrm>
                          <a:off x="3463174" y="0"/>
                          <a:ext cx="3727174" cy="3288346"/>
                        </wpg:xfrm>
                        <a:graphic>
                          <a:graphicData uri="http://schemas.openxmlformats.org/drawingml/2006/chart">
                            <c:chart xmlns:c="http://schemas.openxmlformats.org/drawingml/2006/chart" xmlns:r="http://schemas.openxmlformats.org/officeDocument/2006/relationships" r:id="rId74"/>
                          </a:graphicData>
                        </a:graphic>
                      </wpg:graphicFrame>
                      <wpg:graphicFrame>
                        <wpg:cNvPr id="24" name="Chart 24">
                          <a:extLst>
                            <a:ext uri="{FF2B5EF4-FFF2-40B4-BE49-F238E27FC236}">
                              <a16:creationId xmlns:a16="http://schemas.microsoft.com/office/drawing/2014/main" id="{00000000-0008-0000-0600-000016000000}"/>
                            </a:ext>
                          </a:extLst>
                        </wpg:cNvPr>
                        <wpg:cNvFrPr>
                          <a:graphicFrameLocks/>
                        </wpg:cNvFrPr>
                        <wpg:xfrm>
                          <a:off x="9326" y="3280063"/>
                          <a:ext cx="3470413" cy="3014870"/>
                        </wpg:xfrm>
                        <a:graphic>
                          <a:graphicData uri="http://schemas.openxmlformats.org/drawingml/2006/chart">
                            <c:chart xmlns:c="http://schemas.openxmlformats.org/drawingml/2006/chart" xmlns:r="http://schemas.openxmlformats.org/officeDocument/2006/relationships" r:id="rId75"/>
                          </a:graphicData>
                        </a:graphic>
                      </wpg:graphicFrame>
                      <wpg:graphicFrame>
                        <wpg:cNvPr id="51" name="Chart 51">
                          <a:extLst>
                            <a:ext uri="{FF2B5EF4-FFF2-40B4-BE49-F238E27FC236}">
                              <a16:creationId xmlns:a16="http://schemas.microsoft.com/office/drawing/2014/main" id="{00000000-0008-0000-0600-000018000000}"/>
                            </a:ext>
                          </a:extLst>
                        </wpg:cNvPr>
                        <wpg:cNvFrPr>
                          <a:graphicFrameLocks/>
                        </wpg:cNvFrPr>
                        <wpg:xfrm>
                          <a:off x="3471455" y="3280065"/>
                          <a:ext cx="3710610" cy="3023150"/>
                        </wpg:xfrm>
                        <a:graphic>
                          <a:graphicData uri="http://schemas.openxmlformats.org/drawingml/2006/chart">
                            <c:chart xmlns:c="http://schemas.openxmlformats.org/drawingml/2006/chart" xmlns:r="http://schemas.openxmlformats.org/officeDocument/2006/relationships" r:id="rId76"/>
                          </a:graphicData>
                        </a:graphic>
                      </wpg:graphicFrame>
                    </wpg:wgp>
                  </a:graphicData>
                </a:graphic>
                <wp14:sizeRelH relativeFrom="margin">
                  <wp14:pctWidth>0</wp14:pctWidth>
                </wp14:sizeRelH>
                <wp14:sizeRelV relativeFrom="margin">
                  <wp14:pctHeight>0</wp14:pctHeight>
                </wp14:sizeRelV>
              </wp:anchor>
            </w:drawing>
          </mc:Choice>
          <mc:Fallback>
            <w:pict>
              <v:group w14:anchorId="1BB13871" id="Group 24" o:spid="_x0000_s1026" style="position:absolute;margin-left:-22.3pt;margin-top:5.65pt;width:537.3pt;height:447.6pt;z-index:251963392;mso-width-relative:margin;mso-height-relative:margin" coordsize="71903,63032" o:gfxdata="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Chart 19" o:spid="_x0000_s1027" type="#_x0000_t75" style="position:absolute;left:449;top:473;width:33659;height:3136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">
                  <v:imagedata r:id="rId77" o:title=""/>
                  <o:lock v:ext="edit" aspectratio="f"/>
                </v:shape>
                <v:shape id="Chart 22" o:spid="_x0000_s1028" type="#_x0000_t75" style="position:absolute;left:35200;top:473;width:35972;height:3156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">
                  <v:imagedata r:id="rId78" o:title=""/>
                  <o:lock v:ext="edit" aspectratio="f"/>
                </v:shape>
                <v:shape id="Chart 24" o:spid="_x0000_s1029" type="#_x0000_t75" style="position:absolute;left:513;top:33257;width:33660;height:28121;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">
                  <v:imagedata r:id="rId79" o:title=""/>
                  <o:lock v:ext="edit" aspectratio="f"/>
                </v:shape>
                <v:shape id="Chart 51" o:spid="_x0000_s1030" type="#_x0000_t75" style="position:absolute;left:35136;top:33257;width:36679;height:2913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">
                  <v:imagedata r:id="rId80" o:title=""/>
                  <o:lock v:ext="edit" aspectratio="f"/>
                </v:shape>
              </v:group>
            </w:pict>
          </mc:Fallback>
        </mc:AlternateContent>
      </w:r>
    </w:p>
    <w:p w14:paraId="5DD910C1" w14:textId="77777777" w:rsidR="001F1694" w:rsidRDefault="001F1694" w:rsidP="001F1694">
      <w:pPr>
        <w:rPr>
          <w:lang w:val="hy-AM"/>
        </w:rPr>
      </w:pPr>
    </w:p>
    <w:p w14:paraId="6B6492F4" w14:textId="77777777" w:rsidR="001F1694" w:rsidRDefault="001F1694" w:rsidP="001F1694">
      <w:pPr>
        <w:rPr>
          <w:lang w:val="hy-AM"/>
        </w:rPr>
      </w:pPr>
    </w:p>
    <w:p w14:paraId="0C66887D" w14:textId="77777777" w:rsidR="001F1694" w:rsidRDefault="001F1694" w:rsidP="001F1694">
      <w:pPr>
        <w:rPr>
          <w:lang w:val="hy-AM"/>
        </w:rPr>
      </w:pPr>
    </w:p>
    <w:p w14:paraId="548EE1F9" w14:textId="77777777" w:rsidR="001F1694" w:rsidRDefault="001F1694" w:rsidP="001F1694">
      <w:pPr>
        <w:rPr>
          <w:lang w:val="hy-AM"/>
        </w:rPr>
      </w:pPr>
    </w:p>
    <w:p w14:paraId="08800100" w14:textId="77777777" w:rsidR="001F1694" w:rsidRDefault="001F1694" w:rsidP="001F1694">
      <w:pPr>
        <w:rPr>
          <w:lang w:val="hy-AM"/>
        </w:rPr>
      </w:pPr>
    </w:p>
    <w:p w14:paraId="31B313EC" w14:textId="77777777" w:rsidR="001F1694" w:rsidRDefault="001F1694" w:rsidP="001F1694">
      <w:pPr>
        <w:rPr>
          <w:lang w:val="hy-AM"/>
        </w:rPr>
      </w:pPr>
    </w:p>
    <w:p w14:paraId="3E10240B" w14:textId="77777777" w:rsidR="001F1694" w:rsidRDefault="001F1694" w:rsidP="001F1694">
      <w:pPr>
        <w:rPr>
          <w:lang w:val="hy-AM"/>
        </w:rPr>
      </w:pPr>
    </w:p>
    <w:p w14:paraId="0C4395A3" w14:textId="77777777" w:rsidR="001F1694" w:rsidRPr="008E16D4" w:rsidRDefault="001F1694" w:rsidP="001F1694">
      <w:pPr>
        <w:rPr>
          <w:lang w:val="hy-AM"/>
        </w:rPr>
      </w:pPr>
    </w:p>
    <w:p w14:paraId="17D04750" w14:textId="77777777" w:rsidR="001F1694" w:rsidRDefault="001F1694" w:rsidP="001F1694">
      <w:pPr>
        <w:pStyle w:val="BodyText1"/>
        <w:ind w:left="0"/>
        <w:rPr>
          <w:lang w:val="hy-AM"/>
        </w:rPr>
      </w:pPr>
      <w:bookmarkStart w:id="466" w:name="_Toc178350630"/>
      <w:bookmarkStart w:id="467" w:name="_Toc178612155"/>
      <w:bookmarkStart w:id="468" w:name="_Toc184110781"/>
    </w:p>
    <w:p w14:paraId="2C4C8B46" w14:textId="77777777" w:rsidR="001F1694" w:rsidRDefault="001F1694" w:rsidP="001F1694">
      <w:pPr>
        <w:pStyle w:val="BodyText1"/>
        <w:ind w:left="0"/>
        <w:rPr>
          <w:lang w:val="hy-AM"/>
        </w:rPr>
      </w:pPr>
    </w:p>
    <w:p w14:paraId="0F87D3A6" w14:textId="77777777" w:rsidR="001F1694" w:rsidRDefault="001F1694" w:rsidP="001F1694">
      <w:pPr>
        <w:pStyle w:val="BodyText1"/>
        <w:ind w:left="0"/>
        <w:rPr>
          <w:lang w:val="hy-AM"/>
        </w:rPr>
      </w:pPr>
    </w:p>
    <w:p w14:paraId="68CF4B43" w14:textId="77777777" w:rsidR="001F1694" w:rsidRDefault="001F1694" w:rsidP="001F1694">
      <w:pPr>
        <w:pStyle w:val="BodyText1"/>
        <w:ind w:left="0"/>
        <w:rPr>
          <w:lang w:val="hy-AM"/>
        </w:rPr>
      </w:pPr>
    </w:p>
    <w:p w14:paraId="73873FE0" w14:textId="77777777" w:rsidR="001F1694" w:rsidRDefault="001F1694" w:rsidP="001F1694">
      <w:pPr>
        <w:pStyle w:val="BodyText1"/>
        <w:ind w:left="0"/>
        <w:rPr>
          <w:lang w:val="hy-AM"/>
        </w:rPr>
      </w:pPr>
    </w:p>
    <w:p w14:paraId="26AA5BDA" w14:textId="77777777" w:rsidR="001F1694" w:rsidRDefault="001F1694" w:rsidP="001F1694">
      <w:pPr>
        <w:pStyle w:val="BodyText1"/>
        <w:ind w:left="0"/>
        <w:rPr>
          <w:lang w:val="hy-AM"/>
        </w:rPr>
      </w:pPr>
    </w:p>
    <w:p w14:paraId="70928E30" w14:textId="77777777" w:rsidR="001F1694" w:rsidRDefault="001F1694" w:rsidP="001F1694">
      <w:pPr>
        <w:pStyle w:val="BodyText1"/>
        <w:ind w:left="0"/>
        <w:rPr>
          <w:lang w:val="hy-AM"/>
        </w:rPr>
      </w:pPr>
    </w:p>
    <w:p w14:paraId="4165B907" w14:textId="77777777" w:rsidR="001F1694" w:rsidRPr="00EF6FDF" w:rsidRDefault="001F1694" w:rsidP="001F1694">
      <w:pPr>
        <w:pStyle w:val="BodyText1"/>
        <w:ind w:left="0"/>
        <w:rPr>
          <w:lang w:val="hy-AM"/>
        </w:rPr>
      </w:pPr>
      <w:r w:rsidRPr="00EF6FDF">
        <w:rPr>
          <w:lang w:val="hy-AM"/>
        </w:rPr>
        <w:t>Հաշվի առնելով ՀՀ 2025 թվականի պետական բյուջեի հիմքում դրված կանխատեսումները և պարտքի գծով ծրագրավորված գործառնությունները, ՀՀ կառավարության պարտքի կառավարման 2026-2028 թվականների ռազմավարական ծրագրով ամրագրված ուղենշային ցուցանիշները 2026 թվականի տարեվերջի դրությամբ կկազմեն.</w:t>
      </w:r>
    </w:p>
    <w:p w14:paraId="76782977" w14:textId="77777777" w:rsidR="001F1694" w:rsidRPr="00E77731" w:rsidRDefault="001F1694" w:rsidP="001F1694">
      <w:pPr>
        <w:pStyle w:val="a"/>
      </w:pPr>
      <w:r w:rsidRPr="00E77731">
        <w:t xml:space="preserve">Աղյուսակ </w:t>
      </w:r>
      <w:r>
        <w:t>21</w:t>
      </w:r>
      <w:r w:rsidRPr="00E77731">
        <w:t>. ՀՀ կառավարության պարտքի կառավարման</w:t>
      </w:r>
      <w:r>
        <w:t xml:space="preserve"> 2026</w:t>
      </w:r>
      <w:r w:rsidRPr="00E77731">
        <w:t>-202</w:t>
      </w:r>
      <w:r>
        <w:t>8</w:t>
      </w:r>
      <w:r w:rsidRPr="00E77731">
        <w:t xml:space="preserve"> թվականների ռազմավարական ծրագրով ամրագրված ուղենշային ցուցանիշները</w:t>
      </w:r>
      <w:r>
        <w:t xml:space="preserve"> 2026</w:t>
      </w:r>
      <w:r w:rsidRPr="00E77731">
        <w:t xml:space="preserve"> թվականի տարեվերջին</w:t>
      </w:r>
      <w:bookmarkEnd w:id="466"/>
      <w:bookmarkEnd w:id="467"/>
      <w:bookmarkEnd w:id="468"/>
    </w:p>
    <w:tbl>
      <w:tblPr>
        <w:tblW w:w="10800" w:type="dxa"/>
        <w:tblInd w:w="-365" w:type="dxa"/>
        <w:tblBorders>
          <w:top w:val="single" w:sz="8" w:space="0" w:color="E1E1E3" w:themeColor="accent3" w:themeTint="33"/>
          <w:left w:val="single" w:sz="8" w:space="0" w:color="E1E1E3" w:themeColor="accent3" w:themeTint="33"/>
          <w:bottom w:val="single" w:sz="8" w:space="0" w:color="E1E1E3" w:themeColor="accent3" w:themeTint="33"/>
          <w:right w:val="single" w:sz="8" w:space="0" w:color="E1E1E3" w:themeColor="accent3" w:themeTint="33"/>
          <w:insideH w:val="single" w:sz="8" w:space="0" w:color="E1E1E3" w:themeColor="accent3" w:themeTint="33"/>
          <w:insideV w:val="single" w:sz="8" w:space="0" w:color="E1E1E3" w:themeColor="accent3" w:themeTint="33"/>
        </w:tblBorders>
        <w:tblLayout w:type="fixed"/>
        <w:tblLook w:val="01E0" w:firstRow="1" w:lastRow="1" w:firstColumn="1" w:lastColumn="1" w:noHBand="0" w:noVBand="0"/>
      </w:tblPr>
      <w:tblGrid>
        <w:gridCol w:w="4860"/>
        <w:gridCol w:w="1800"/>
        <w:gridCol w:w="1440"/>
        <w:gridCol w:w="1340"/>
        <w:gridCol w:w="10"/>
        <w:gridCol w:w="1350"/>
      </w:tblGrid>
      <w:tr w:rsidR="001F1694" w:rsidRPr="001407D3" w14:paraId="198270CC" w14:textId="77777777" w:rsidTr="00147C8B">
        <w:trPr>
          <w:trHeight w:val="360"/>
          <w:tblHeader/>
        </w:trPr>
        <w:tc>
          <w:tcPr>
            <w:tcW w:w="4860" w:type="dxa"/>
            <w:tcBorders>
              <w:top w:val="single" w:sz="4" w:space="0" w:color="E1E1E3" w:themeColor="accent3" w:themeTint="33"/>
              <w:left w:val="single" w:sz="4" w:space="0" w:color="E1E1E3" w:themeColor="accent3" w:themeTint="33"/>
              <w:bottom w:val="single" w:sz="4" w:space="0" w:color="E1E1E3" w:themeColor="accent3" w:themeTint="33"/>
              <w:right w:val="single" w:sz="4" w:space="0" w:color="E1E1E3" w:themeColor="accent3" w:themeTint="33"/>
            </w:tcBorders>
            <w:shd w:val="clear" w:color="auto" w:fill="auto"/>
            <w:vAlign w:val="center"/>
          </w:tcPr>
          <w:p w14:paraId="7ADBB7F5" w14:textId="77777777" w:rsidR="001F1694" w:rsidRPr="001407D3" w:rsidRDefault="001F1694" w:rsidP="00147C8B">
            <w:pPr>
              <w:spacing w:before="60" w:after="60" w:line="240" w:lineRule="auto"/>
              <w:rPr>
                <w:sz w:val="18"/>
                <w:szCs w:val="18"/>
                <w:lang w:val="hy-AM"/>
              </w:rPr>
            </w:pPr>
          </w:p>
        </w:tc>
        <w:tc>
          <w:tcPr>
            <w:tcW w:w="1800" w:type="dxa"/>
            <w:tcBorders>
              <w:top w:val="single" w:sz="4" w:space="0" w:color="E1E1E3" w:themeColor="accent3" w:themeTint="33"/>
              <w:left w:val="single" w:sz="4" w:space="0" w:color="E1E1E3" w:themeColor="accent3" w:themeTint="33"/>
              <w:bottom w:val="single" w:sz="4" w:space="0" w:color="E1E1E3" w:themeColor="accent3" w:themeTint="33"/>
              <w:right w:val="single" w:sz="4" w:space="0" w:color="E1E1E3" w:themeColor="accent3" w:themeTint="33"/>
            </w:tcBorders>
            <w:shd w:val="clear" w:color="auto" w:fill="auto"/>
            <w:vAlign w:val="center"/>
            <w:hideMark/>
          </w:tcPr>
          <w:p w14:paraId="5A2D2A6A" w14:textId="77777777" w:rsidR="001F1694" w:rsidRPr="001407D3" w:rsidRDefault="001F1694" w:rsidP="00147C8B">
            <w:pPr>
              <w:spacing w:before="60" w:after="60" w:line="240" w:lineRule="auto"/>
              <w:jc w:val="center"/>
              <w:rPr>
                <w:b/>
                <w:sz w:val="18"/>
                <w:szCs w:val="18"/>
              </w:rPr>
            </w:pPr>
            <w:r w:rsidRPr="001407D3">
              <w:rPr>
                <w:b/>
                <w:sz w:val="18"/>
                <w:szCs w:val="18"/>
              </w:rPr>
              <w:t>Ուղենիշ</w:t>
            </w:r>
          </w:p>
        </w:tc>
        <w:tc>
          <w:tcPr>
            <w:tcW w:w="1440" w:type="dxa"/>
            <w:tcBorders>
              <w:top w:val="single" w:sz="4" w:space="0" w:color="E1E1E3" w:themeColor="accent3" w:themeTint="33"/>
              <w:left w:val="single" w:sz="4" w:space="0" w:color="E1E1E3" w:themeColor="accent3" w:themeTint="33"/>
              <w:bottom w:val="single" w:sz="4" w:space="0" w:color="E1E1E3" w:themeColor="accent3" w:themeTint="33"/>
              <w:right w:val="single" w:sz="4" w:space="0" w:color="E1E1E3" w:themeColor="accent3" w:themeTint="33"/>
            </w:tcBorders>
            <w:shd w:val="clear" w:color="auto" w:fill="auto"/>
            <w:vAlign w:val="center"/>
            <w:hideMark/>
          </w:tcPr>
          <w:p w14:paraId="11C0FA74" w14:textId="77777777" w:rsidR="001F1694" w:rsidRPr="001407D3" w:rsidRDefault="001F1694" w:rsidP="00147C8B">
            <w:pPr>
              <w:spacing w:before="60" w:after="60" w:line="240" w:lineRule="auto"/>
              <w:jc w:val="center"/>
              <w:rPr>
                <w:b/>
                <w:sz w:val="18"/>
                <w:szCs w:val="18"/>
              </w:rPr>
            </w:pPr>
            <w:r>
              <w:rPr>
                <w:b/>
                <w:sz w:val="18"/>
                <w:szCs w:val="18"/>
              </w:rPr>
              <w:t>2026</w:t>
            </w:r>
          </w:p>
        </w:tc>
        <w:tc>
          <w:tcPr>
            <w:tcW w:w="1350" w:type="dxa"/>
            <w:gridSpan w:val="2"/>
            <w:tcBorders>
              <w:top w:val="single" w:sz="4" w:space="0" w:color="E1E1E3" w:themeColor="accent3" w:themeTint="33"/>
              <w:left w:val="single" w:sz="4" w:space="0" w:color="E1E1E3" w:themeColor="accent3" w:themeTint="33"/>
              <w:bottom w:val="single" w:sz="4" w:space="0" w:color="E1E1E3" w:themeColor="accent3" w:themeTint="33"/>
              <w:right w:val="single" w:sz="4" w:space="0" w:color="E1E1E3" w:themeColor="accent3" w:themeTint="33"/>
            </w:tcBorders>
          </w:tcPr>
          <w:p w14:paraId="3354F4BB" w14:textId="77777777" w:rsidR="001F1694" w:rsidRDefault="001F1694" w:rsidP="00147C8B">
            <w:pPr>
              <w:spacing w:before="60" w:after="60" w:line="240" w:lineRule="auto"/>
              <w:jc w:val="center"/>
              <w:rPr>
                <w:b/>
                <w:sz w:val="18"/>
                <w:szCs w:val="18"/>
              </w:rPr>
            </w:pPr>
            <w:r>
              <w:rPr>
                <w:b/>
                <w:sz w:val="18"/>
                <w:szCs w:val="18"/>
              </w:rPr>
              <w:t>2027</w:t>
            </w:r>
          </w:p>
        </w:tc>
        <w:tc>
          <w:tcPr>
            <w:tcW w:w="1350" w:type="dxa"/>
            <w:tcBorders>
              <w:top w:val="single" w:sz="4" w:space="0" w:color="E1E1E3" w:themeColor="accent3" w:themeTint="33"/>
              <w:left w:val="single" w:sz="4" w:space="0" w:color="E1E1E3" w:themeColor="accent3" w:themeTint="33"/>
              <w:bottom w:val="single" w:sz="4" w:space="0" w:color="E1E1E3" w:themeColor="accent3" w:themeTint="33"/>
              <w:right w:val="single" w:sz="4" w:space="0" w:color="E1E1E3" w:themeColor="accent3" w:themeTint="33"/>
            </w:tcBorders>
          </w:tcPr>
          <w:p w14:paraId="5D3D7370" w14:textId="77777777" w:rsidR="001F1694" w:rsidRDefault="001F1694" w:rsidP="00147C8B">
            <w:pPr>
              <w:spacing w:before="60" w:after="60" w:line="240" w:lineRule="auto"/>
              <w:jc w:val="center"/>
              <w:rPr>
                <w:b/>
                <w:sz w:val="18"/>
                <w:szCs w:val="18"/>
              </w:rPr>
            </w:pPr>
            <w:r>
              <w:rPr>
                <w:b/>
                <w:sz w:val="18"/>
                <w:szCs w:val="18"/>
              </w:rPr>
              <w:t>2028</w:t>
            </w:r>
          </w:p>
        </w:tc>
      </w:tr>
      <w:tr w:rsidR="001F1694" w:rsidRPr="001407D3" w14:paraId="0B9361B5" w14:textId="77777777" w:rsidTr="00147C8B">
        <w:trPr>
          <w:trHeight w:val="360"/>
        </w:trPr>
        <w:tc>
          <w:tcPr>
            <w:tcW w:w="8100" w:type="dxa"/>
            <w:gridSpan w:val="3"/>
            <w:tcBorders>
              <w:top w:val="single" w:sz="4" w:space="0" w:color="E1E1E3" w:themeColor="accent3" w:themeTint="33"/>
            </w:tcBorders>
            <w:shd w:val="clear" w:color="auto" w:fill="D5DCE4" w:themeFill="text2" w:themeFillTint="33"/>
            <w:vAlign w:val="center"/>
            <w:hideMark/>
          </w:tcPr>
          <w:p w14:paraId="3C2E052C" w14:textId="77777777" w:rsidR="001F1694" w:rsidRPr="001407D3" w:rsidRDefault="001F1694" w:rsidP="00147C8B">
            <w:pPr>
              <w:spacing w:before="60" w:after="60" w:line="240" w:lineRule="auto"/>
              <w:rPr>
                <w:b/>
                <w:sz w:val="18"/>
                <w:szCs w:val="18"/>
              </w:rPr>
            </w:pPr>
            <w:r w:rsidRPr="001407D3">
              <w:rPr>
                <w:b/>
                <w:sz w:val="18"/>
                <w:szCs w:val="18"/>
              </w:rPr>
              <w:t>Վերաֆինանսավորման ռիսկ</w:t>
            </w:r>
          </w:p>
        </w:tc>
        <w:tc>
          <w:tcPr>
            <w:tcW w:w="1340" w:type="dxa"/>
            <w:tcBorders>
              <w:top w:val="single" w:sz="4" w:space="0" w:color="E1E1E3" w:themeColor="accent3" w:themeTint="33"/>
            </w:tcBorders>
            <w:shd w:val="clear" w:color="auto" w:fill="D5DCE4" w:themeFill="text2" w:themeFillTint="33"/>
          </w:tcPr>
          <w:p w14:paraId="4C893244" w14:textId="77777777" w:rsidR="001F1694" w:rsidRPr="001407D3" w:rsidRDefault="001F1694" w:rsidP="00147C8B">
            <w:pPr>
              <w:spacing w:before="60" w:after="60" w:line="240" w:lineRule="auto"/>
              <w:rPr>
                <w:b/>
                <w:sz w:val="18"/>
                <w:szCs w:val="18"/>
              </w:rPr>
            </w:pPr>
          </w:p>
        </w:tc>
        <w:tc>
          <w:tcPr>
            <w:tcW w:w="1360" w:type="dxa"/>
            <w:gridSpan w:val="2"/>
            <w:tcBorders>
              <w:top w:val="single" w:sz="4" w:space="0" w:color="E1E1E3" w:themeColor="accent3" w:themeTint="33"/>
            </w:tcBorders>
            <w:shd w:val="clear" w:color="auto" w:fill="D5DCE4" w:themeFill="text2" w:themeFillTint="33"/>
          </w:tcPr>
          <w:p w14:paraId="465A26E8" w14:textId="77777777" w:rsidR="001F1694" w:rsidRPr="001407D3" w:rsidRDefault="001F1694" w:rsidP="00147C8B">
            <w:pPr>
              <w:spacing w:before="60" w:after="60" w:line="240" w:lineRule="auto"/>
              <w:rPr>
                <w:b/>
                <w:sz w:val="18"/>
                <w:szCs w:val="18"/>
              </w:rPr>
            </w:pPr>
          </w:p>
        </w:tc>
      </w:tr>
      <w:tr w:rsidR="001F1694" w:rsidRPr="001407D3" w14:paraId="20E871CE" w14:textId="77777777" w:rsidTr="00147C8B">
        <w:trPr>
          <w:trHeight w:val="360"/>
        </w:trPr>
        <w:tc>
          <w:tcPr>
            <w:tcW w:w="4860" w:type="dxa"/>
            <w:vAlign w:val="center"/>
            <w:hideMark/>
          </w:tcPr>
          <w:p w14:paraId="301824E9" w14:textId="77777777" w:rsidR="001F1694" w:rsidRPr="001407D3" w:rsidRDefault="001F1694" w:rsidP="00147C8B">
            <w:pPr>
              <w:spacing w:before="60" w:after="60" w:line="240" w:lineRule="auto"/>
              <w:ind w:right="518"/>
              <w:rPr>
                <w:sz w:val="18"/>
                <w:szCs w:val="18"/>
              </w:rPr>
            </w:pPr>
            <w:r w:rsidRPr="001407D3">
              <w:rPr>
                <w:sz w:val="18"/>
                <w:szCs w:val="18"/>
              </w:rPr>
              <w:t xml:space="preserve">Մինչև մարում միջին ժամկետը </w:t>
            </w:r>
          </w:p>
        </w:tc>
        <w:tc>
          <w:tcPr>
            <w:tcW w:w="1800" w:type="dxa"/>
            <w:vAlign w:val="center"/>
            <w:hideMark/>
          </w:tcPr>
          <w:p w14:paraId="294CD56A" w14:textId="77777777" w:rsidR="001F1694" w:rsidRPr="001407D3" w:rsidRDefault="001F1694" w:rsidP="00147C8B">
            <w:pPr>
              <w:spacing w:before="60" w:after="60" w:line="240" w:lineRule="auto"/>
              <w:jc w:val="center"/>
              <w:rPr>
                <w:sz w:val="18"/>
                <w:szCs w:val="18"/>
              </w:rPr>
            </w:pPr>
            <w:r w:rsidRPr="001407D3">
              <w:rPr>
                <w:sz w:val="18"/>
                <w:szCs w:val="18"/>
              </w:rPr>
              <w:t>7 – 10 տարի</w:t>
            </w:r>
          </w:p>
        </w:tc>
        <w:tc>
          <w:tcPr>
            <w:tcW w:w="1440" w:type="dxa"/>
            <w:vAlign w:val="center"/>
            <w:hideMark/>
          </w:tcPr>
          <w:p w14:paraId="03A40406" w14:textId="77777777" w:rsidR="001F1694" w:rsidRPr="00B2578C" w:rsidRDefault="001F1694" w:rsidP="00147C8B">
            <w:pPr>
              <w:spacing w:before="60" w:after="60" w:line="240" w:lineRule="auto"/>
              <w:jc w:val="center"/>
              <w:rPr>
                <w:sz w:val="18"/>
                <w:szCs w:val="18"/>
              </w:rPr>
            </w:pPr>
            <w:r w:rsidRPr="00B2578C">
              <w:rPr>
                <w:bCs/>
                <w:sz w:val="18"/>
                <w:szCs w:val="18"/>
                <w:lang w:val="hy-AM"/>
              </w:rPr>
              <w:t>7.</w:t>
            </w:r>
            <w:r w:rsidRPr="00B2578C">
              <w:rPr>
                <w:bCs/>
                <w:sz w:val="18"/>
                <w:szCs w:val="18"/>
              </w:rPr>
              <w:t>2</w:t>
            </w:r>
            <w:r w:rsidRPr="00B2578C">
              <w:rPr>
                <w:bCs/>
                <w:sz w:val="18"/>
                <w:szCs w:val="18"/>
                <w:lang w:val="hy-AM"/>
              </w:rPr>
              <w:t xml:space="preserve"> տարի</w:t>
            </w:r>
          </w:p>
        </w:tc>
        <w:tc>
          <w:tcPr>
            <w:tcW w:w="1350" w:type="dxa"/>
            <w:gridSpan w:val="2"/>
          </w:tcPr>
          <w:p w14:paraId="463B1CB7" w14:textId="77777777" w:rsidR="001F1694" w:rsidRPr="006A3DE3" w:rsidRDefault="001F1694" w:rsidP="00147C8B">
            <w:pPr>
              <w:spacing w:before="60" w:after="60" w:line="240" w:lineRule="auto"/>
              <w:jc w:val="center"/>
              <w:rPr>
                <w:bCs/>
                <w:sz w:val="18"/>
                <w:szCs w:val="18"/>
                <w:lang w:val="hy-AM"/>
              </w:rPr>
            </w:pPr>
            <w:r>
              <w:rPr>
                <w:bCs/>
                <w:sz w:val="18"/>
                <w:szCs w:val="18"/>
              </w:rPr>
              <w:t xml:space="preserve">7.1 </w:t>
            </w:r>
            <w:r>
              <w:rPr>
                <w:bCs/>
                <w:sz w:val="18"/>
                <w:szCs w:val="18"/>
                <w:lang w:val="hy-AM"/>
              </w:rPr>
              <w:t>տարի</w:t>
            </w:r>
          </w:p>
        </w:tc>
        <w:tc>
          <w:tcPr>
            <w:tcW w:w="1350" w:type="dxa"/>
          </w:tcPr>
          <w:p w14:paraId="64C97DB5" w14:textId="77777777" w:rsidR="001F1694" w:rsidRPr="00B2578C" w:rsidRDefault="001F1694" w:rsidP="00147C8B">
            <w:pPr>
              <w:spacing w:before="60" w:after="60" w:line="240" w:lineRule="auto"/>
              <w:jc w:val="center"/>
              <w:rPr>
                <w:bCs/>
                <w:sz w:val="18"/>
                <w:szCs w:val="18"/>
                <w:lang w:val="hy-AM"/>
              </w:rPr>
            </w:pPr>
            <w:r>
              <w:rPr>
                <w:bCs/>
                <w:sz w:val="18"/>
                <w:szCs w:val="18"/>
                <w:lang w:val="hy-AM"/>
              </w:rPr>
              <w:t>7.0 տարի</w:t>
            </w:r>
          </w:p>
        </w:tc>
      </w:tr>
      <w:tr w:rsidR="001F1694" w:rsidRPr="001407D3" w14:paraId="6CDB4B43" w14:textId="77777777" w:rsidTr="00147C8B">
        <w:trPr>
          <w:trHeight w:val="360"/>
        </w:trPr>
        <w:tc>
          <w:tcPr>
            <w:tcW w:w="4860" w:type="dxa"/>
            <w:vAlign w:val="center"/>
            <w:hideMark/>
          </w:tcPr>
          <w:p w14:paraId="1062B8A4" w14:textId="77777777" w:rsidR="001F1694" w:rsidRPr="001407D3" w:rsidRDefault="001F1694" w:rsidP="00147C8B">
            <w:pPr>
              <w:spacing w:before="60" w:after="60" w:line="240" w:lineRule="auto"/>
              <w:ind w:right="518"/>
              <w:rPr>
                <w:sz w:val="18"/>
                <w:szCs w:val="18"/>
              </w:rPr>
            </w:pPr>
            <w:r w:rsidRPr="001407D3">
              <w:rPr>
                <w:sz w:val="18"/>
                <w:szCs w:val="18"/>
              </w:rPr>
              <w:t>Առաջիկա երեք տարվա ընթացքում մարման ենթակա պարտքի տեսակարար կշիռ, %</w:t>
            </w:r>
          </w:p>
        </w:tc>
        <w:tc>
          <w:tcPr>
            <w:tcW w:w="1800" w:type="dxa"/>
            <w:vAlign w:val="center"/>
            <w:hideMark/>
          </w:tcPr>
          <w:p w14:paraId="36522606" w14:textId="77777777" w:rsidR="001F1694" w:rsidRPr="001407D3" w:rsidRDefault="001F1694" w:rsidP="00147C8B">
            <w:pPr>
              <w:spacing w:before="60" w:after="60" w:line="240" w:lineRule="auto"/>
              <w:jc w:val="center"/>
              <w:rPr>
                <w:sz w:val="18"/>
                <w:szCs w:val="18"/>
              </w:rPr>
            </w:pPr>
            <w:r w:rsidRPr="001407D3">
              <w:rPr>
                <w:sz w:val="18"/>
                <w:szCs w:val="18"/>
              </w:rPr>
              <w:t>առավելագույնը</w:t>
            </w:r>
          </w:p>
          <w:p w14:paraId="088981BC" w14:textId="77777777" w:rsidR="001F1694" w:rsidRPr="001407D3" w:rsidRDefault="001F1694" w:rsidP="00147C8B">
            <w:pPr>
              <w:spacing w:before="60" w:after="60" w:line="240" w:lineRule="auto"/>
              <w:jc w:val="center"/>
              <w:rPr>
                <w:sz w:val="18"/>
                <w:szCs w:val="18"/>
              </w:rPr>
            </w:pPr>
            <w:r w:rsidRPr="001407D3">
              <w:rPr>
                <w:sz w:val="18"/>
                <w:szCs w:val="18"/>
              </w:rPr>
              <w:t>35%</w:t>
            </w:r>
          </w:p>
        </w:tc>
        <w:tc>
          <w:tcPr>
            <w:tcW w:w="1440" w:type="dxa"/>
            <w:vAlign w:val="center"/>
            <w:hideMark/>
          </w:tcPr>
          <w:p w14:paraId="1E42BCB3" w14:textId="77777777" w:rsidR="001F1694" w:rsidRPr="00B2578C" w:rsidRDefault="001F1694" w:rsidP="00147C8B">
            <w:pPr>
              <w:spacing w:before="60" w:after="60" w:line="240" w:lineRule="auto"/>
              <w:jc w:val="center"/>
              <w:rPr>
                <w:sz w:val="18"/>
                <w:szCs w:val="18"/>
              </w:rPr>
            </w:pPr>
            <w:r w:rsidRPr="00B2578C">
              <w:rPr>
                <w:bCs/>
                <w:sz w:val="18"/>
                <w:szCs w:val="18"/>
              </w:rPr>
              <w:t>30.0</w:t>
            </w:r>
            <w:r w:rsidRPr="00B2578C">
              <w:rPr>
                <w:bCs/>
                <w:sz w:val="18"/>
                <w:szCs w:val="18"/>
                <w:lang w:val="hy-AM"/>
              </w:rPr>
              <w:t>%</w:t>
            </w:r>
          </w:p>
        </w:tc>
        <w:tc>
          <w:tcPr>
            <w:tcW w:w="1350" w:type="dxa"/>
            <w:gridSpan w:val="2"/>
            <w:vAlign w:val="center"/>
          </w:tcPr>
          <w:p w14:paraId="014DE9BC" w14:textId="77777777" w:rsidR="001F1694" w:rsidRPr="00B2578C" w:rsidRDefault="001F1694" w:rsidP="00147C8B">
            <w:pPr>
              <w:spacing w:before="60" w:after="60" w:line="240" w:lineRule="auto"/>
              <w:jc w:val="center"/>
              <w:rPr>
                <w:bCs/>
                <w:sz w:val="18"/>
                <w:szCs w:val="18"/>
              </w:rPr>
            </w:pPr>
            <w:r>
              <w:rPr>
                <w:bCs/>
                <w:sz w:val="18"/>
                <w:szCs w:val="18"/>
              </w:rPr>
              <w:t>2</w:t>
            </w:r>
            <w:r>
              <w:rPr>
                <w:bCs/>
                <w:sz w:val="18"/>
                <w:szCs w:val="18"/>
                <w:lang w:val="hy-AM"/>
              </w:rPr>
              <w:t>7.5</w:t>
            </w:r>
            <w:r>
              <w:rPr>
                <w:bCs/>
                <w:sz w:val="18"/>
                <w:szCs w:val="18"/>
              </w:rPr>
              <w:t>%</w:t>
            </w:r>
          </w:p>
        </w:tc>
        <w:tc>
          <w:tcPr>
            <w:tcW w:w="1350" w:type="dxa"/>
            <w:vAlign w:val="center"/>
          </w:tcPr>
          <w:p w14:paraId="250C8872" w14:textId="77777777" w:rsidR="001F1694" w:rsidRPr="00B2578C" w:rsidRDefault="001F1694" w:rsidP="00147C8B">
            <w:pPr>
              <w:spacing w:before="60" w:after="60" w:line="240" w:lineRule="auto"/>
              <w:jc w:val="center"/>
              <w:rPr>
                <w:bCs/>
                <w:sz w:val="18"/>
                <w:szCs w:val="18"/>
              </w:rPr>
            </w:pPr>
            <w:r>
              <w:rPr>
                <w:bCs/>
                <w:sz w:val="18"/>
                <w:szCs w:val="18"/>
              </w:rPr>
              <w:t>33.</w:t>
            </w:r>
            <w:r>
              <w:rPr>
                <w:bCs/>
                <w:sz w:val="18"/>
                <w:szCs w:val="18"/>
                <w:lang w:val="hy-AM"/>
              </w:rPr>
              <w:t>5</w:t>
            </w:r>
            <w:r>
              <w:rPr>
                <w:bCs/>
                <w:sz w:val="18"/>
                <w:szCs w:val="18"/>
              </w:rPr>
              <w:t>%</w:t>
            </w:r>
          </w:p>
        </w:tc>
      </w:tr>
      <w:tr w:rsidR="001F1694" w:rsidRPr="001407D3" w14:paraId="08B3AA36" w14:textId="77777777" w:rsidTr="00147C8B">
        <w:trPr>
          <w:trHeight w:val="360"/>
        </w:trPr>
        <w:tc>
          <w:tcPr>
            <w:tcW w:w="4860" w:type="dxa"/>
            <w:vAlign w:val="center"/>
            <w:hideMark/>
          </w:tcPr>
          <w:p w14:paraId="33E34A7B" w14:textId="77777777" w:rsidR="001F1694" w:rsidRPr="001407D3" w:rsidRDefault="001F1694" w:rsidP="00147C8B">
            <w:pPr>
              <w:spacing w:before="60" w:after="60" w:line="240" w:lineRule="auto"/>
              <w:ind w:right="518"/>
              <w:rPr>
                <w:sz w:val="18"/>
                <w:szCs w:val="18"/>
              </w:rPr>
            </w:pPr>
            <w:r w:rsidRPr="001407D3">
              <w:rPr>
                <w:sz w:val="18"/>
                <w:szCs w:val="18"/>
              </w:rPr>
              <w:t>Առաջիկա տարվա ընթացքում մարվող պետական գանձապետական պարտատոմսերի (ՊԳՊ) առավելագույն կշիռը ՊԳՊ-երի ծավալի մեջ (տարեվերջին)</w:t>
            </w:r>
          </w:p>
        </w:tc>
        <w:tc>
          <w:tcPr>
            <w:tcW w:w="1800" w:type="dxa"/>
            <w:vAlign w:val="center"/>
            <w:hideMark/>
          </w:tcPr>
          <w:p w14:paraId="31AD1997" w14:textId="77777777" w:rsidR="001F1694" w:rsidRPr="001407D3" w:rsidRDefault="001F1694" w:rsidP="00147C8B">
            <w:pPr>
              <w:spacing w:before="60" w:after="60" w:line="240" w:lineRule="auto"/>
              <w:jc w:val="center"/>
              <w:rPr>
                <w:sz w:val="18"/>
                <w:szCs w:val="18"/>
              </w:rPr>
            </w:pPr>
            <w:r w:rsidRPr="001407D3">
              <w:rPr>
                <w:sz w:val="18"/>
                <w:szCs w:val="18"/>
              </w:rPr>
              <w:t>առավելագույնը</w:t>
            </w:r>
          </w:p>
          <w:p w14:paraId="58BB8594" w14:textId="77777777" w:rsidR="001F1694" w:rsidRPr="001407D3" w:rsidRDefault="001F1694" w:rsidP="00147C8B">
            <w:pPr>
              <w:spacing w:before="60" w:after="60" w:line="240" w:lineRule="auto"/>
              <w:jc w:val="center"/>
              <w:rPr>
                <w:sz w:val="18"/>
                <w:szCs w:val="18"/>
              </w:rPr>
            </w:pPr>
            <w:r w:rsidRPr="001407D3">
              <w:rPr>
                <w:sz w:val="18"/>
                <w:szCs w:val="18"/>
              </w:rPr>
              <w:t>20%</w:t>
            </w:r>
          </w:p>
        </w:tc>
        <w:tc>
          <w:tcPr>
            <w:tcW w:w="1440" w:type="dxa"/>
            <w:vAlign w:val="center"/>
            <w:hideMark/>
          </w:tcPr>
          <w:p w14:paraId="2D0062CC" w14:textId="77777777" w:rsidR="001F1694" w:rsidRPr="00B2578C" w:rsidRDefault="001F1694" w:rsidP="00147C8B">
            <w:pPr>
              <w:spacing w:before="60" w:after="60" w:line="240" w:lineRule="auto"/>
              <w:jc w:val="center"/>
              <w:rPr>
                <w:sz w:val="18"/>
                <w:szCs w:val="18"/>
              </w:rPr>
            </w:pPr>
            <w:r w:rsidRPr="00B2578C">
              <w:rPr>
                <w:bCs/>
                <w:sz w:val="18"/>
                <w:szCs w:val="18"/>
              </w:rPr>
              <w:t>1</w:t>
            </w:r>
            <w:r w:rsidRPr="00B2578C">
              <w:rPr>
                <w:bCs/>
                <w:sz w:val="18"/>
                <w:szCs w:val="18"/>
                <w:lang w:val="hy-AM"/>
              </w:rPr>
              <w:t>3.9%</w:t>
            </w:r>
          </w:p>
        </w:tc>
        <w:tc>
          <w:tcPr>
            <w:tcW w:w="1350" w:type="dxa"/>
            <w:gridSpan w:val="2"/>
            <w:vAlign w:val="center"/>
          </w:tcPr>
          <w:p w14:paraId="02DAF265" w14:textId="77777777" w:rsidR="001F1694" w:rsidRPr="00B2578C" w:rsidRDefault="001F1694" w:rsidP="00147C8B">
            <w:pPr>
              <w:spacing w:before="60" w:after="60" w:line="240" w:lineRule="auto"/>
              <w:jc w:val="center"/>
              <w:rPr>
                <w:bCs/>
                <w:sz w:val="18"/>
                <w:szCs w:val="18"/>
              </w:rPr>
            </w:pPr>
            <w:r>
              <w:rPr>
                <w:bCs/>
                <w:sz w:val="18"/>
                <w:szCs w:val="18"/>
              </w:rPr>
              <w:t>1</w:t>
            </w:r>
            <w:r>
              <w:rPr>
                <w:bCs/>
                <w:sz w:val="18"/>
                <w:szCs w:val="18"/>
                <w:lang w:val="hy-AM"/>
              </w:rPr>
              <w:t>3.0</w:t>
            </w:r>
            <w:r>
              <w:rPr>
                <w:bCs/>
                <w:sz w:val="18"/>
                <w:szCs w:val="18"/>
              </w:rPr>
              <w:t>%</w:t>
            </w:r>
          </w:p>
        </w:tc>
        <w:tc>
          <w:tcPr>
            <w:tcW w:w="1350" w:type="dxa"/>
            <w:vAlign w:val="center"/>
          </w:tcPr>
          <w:p w14:paraId="2491CEB5" w14:textId="77777777" w:rsidR="001F1694" w:rsidRPr="00B2578C" w:rsidRDefault="001F1694" w:rsidP="00147C8B">
            <w:pPr>
              <w:spacing w:before="60" w:after="60" w:line="240" w:lineRule="auto"/>
              <w:jc w:val="center"/>
              <w:rPr>
                <w:bCs/>
                <w:sz w:val="18"/>
                <w:szCs w:val="18"/>
              </w:rPr>
            </w:pPr>
            <w:r>
              <w:rPr>
                <w:bCs/>
                <w:sz w:val="18"/>
                <w:szCs w:val="18"/>
              </w:rPr>
              <w:t>1</w:t>
            </w:r>
            <w:r>
              <w:rPr>
                <w:bCs/>
                <w:sz w:val="18"/>
                <w:szCs w:val="18"/>
                <w:lang w:val="hy-AM"/>
              </w:rPr>
              <w:t>6.0</w:t>
            </w:r>
            <w:r>
              <w:rPr>
                <w:bCs/>
                <w:sz w:val="18"/>
                <w:szCs w:val="18"/>
              </w:rPr>
              <w:t>%</w:t>
            </w:r>
          </w:p>
        </w:tc>
      </w:tr>
      <w:tr w:rsidR="001F1694" w:rsidRPr="001407D3" w14:paraId="1BAA32C9" w14:textId="77777777" w:rsidTr="00147C8B">
        <w:trPr>
          <w:trHeight w:val="360"/>
        </w:trPr>
        <w:tc>
          <w:tcPr>
            <w:tcW w:w="8100" w:type="dxa"/>
            <w:gridSpan w:val="3"/>
            <w:shd w:val="clear" w:color="auto" w:fill="D5DCE4" w:themeFill="text2" w:themeFillTint="33"/>
            <w:vAlign w:val="center"/>
            <w:hideMark/>
          </w:tcPr>
          <w:p w14:paraId="6F95836D" w14:textId="77777777" w:rsidR="001F1694" w:rsidRPr="00B2578C" w:rsidRDefault="001F1694" w:rsidP="00147C8B">
            <w:pPr>
              <w:spacing w:before="60" w:after="60" w:line="240" w:lineRule="auto"/>
              <w:rPr>
                <w:b/>
                <w:sz w:val="18"/>
                <w:szCs w:val="18"/>
              </w:rPr>
            </w:pPr>
            <w:r w:rsidRPr="00B2578C">
              <w:rPr>
                <w:b/>
                <w:sz w:val="18"/>
                <w:szCs w:val="18"/>
              </w:rPr>
              <w:t>Տոկոսադրույքի ռիսկ</w:t>
            </w:r>
          </w:p>
        </w:tc>
        <w:tc>
          <w:tcPr>
            <w:tcW w:w="1340" w:type="dxa"/>
            <w:shd w:val="clear" w:color="auto" w:fill="D5DCE4" w:themeFill="text2" w:themeFillTint="33"/>
          </w:tcPr>
          <w:p w14:paraId="55DFD413" w14:textId="77777777" w:rsidR="001F1694" w:rsidRPr="00B2578C" w:rsidRDefault="001F1694" w:rsidP="00147C8B">
            <w:pPr>
              <w:spacing w:before="60" w:after="60" w:line="240" w:lineRule="auto"/>
              <w:rPr>
                <w:b/>
                <w:sz w:val="18"/>
                <w:szCs w:val="18"/>
              </w:rPr>
            </w:pPr>
          </w:p>
        </w:tc>
        <w:tc>
          <w:tcPr>
            <w:tcW w:w="1360" w:type="dxa"/>
            <w:gridSpan w:val="2"/>
            <w:shd w:val="clear" w:color="auto" w:fill="D5DCE4" w:themeFill="text2" w:themeFillTint="33"/>
          </w:tcPr>
          <w:p w14:paraId="06D7B0E7" w14:textId="77777777" w:rsidR="001F1694" w:rsidRPr="00B2578C" w:rsidRDefault="001F1694" w:rsidP="00147C8B">
            <w:pPr>
              <w:spacing w:before="60" w:after="60" w:line="240" w:lineRule="auto"/>
              <w:rPr>
                <w:b/>
                <w:sz w:val="18"/>
                <w:szCs w:val="18"/>
              </w:rPr>
            </w:pPr>
          </w:p>
        </w:tc>
      </w:tr>
      <w:tr w:rsidR="001F1694" w:rsidRPr="001407D3" w14:paraId="6FD8D464" w14:textId="77777777" w:rsidTr="00147C8B">
        <w:trPr>
          <w:trHeight w:val="360"/>
        </w:trPr>
        <w:tc>
          <w:tcPr>
            <w:tcW w:w="4860" w:type="dxa"/>
            <w:vAlign w:val="center"/>
            <w:hideMark/>
          </w:tcPr>
          <w:p w14:paraId="6B6B0A94" w14:textId="77777777" w:rsidR="001F1694" w:rsidRPr="001407D3" w:rsidRDefault="001F1694" w:rsidP="00147C8B">
            <w:pPr>
              <w:spacing w:before="60" w:after="60" w:line="240" w:lineRule="auto"/>
              <w:ind w:right="518"/>
              <w:rPr>
                <w:sz w:val="18"/>
                <w:szCs w:val="18"/>
              </w:rPr>
            </w:pPr>
            <w:r w:rsidRPr="001407D3">
              <w:rPr>
                <w:sz w:val="18"/>
                <w:szCs w:val="18"/>
              </w:rPr>
              <w:t>Ֆիքսված տոկոսադրույքով պարտքի կշիռն ընդամենը պարտքի մեջ</w:t>
            </w:r>
          </w:p>
        </w:tc>
        <w:tc>
          <w:tcPr>
            <w:tcW w:w="1800" w:type="dxa"/>
            <w:vAlign w:val="center"/>
            <w:hideMark/>
          </w:tcPr>
          <w:p w14:paraId="0481CD80" w14:textId="77777777" w:rsidR="001F1694" w:rsidRPr="001407D3" w:rsidRDefault="001F1694" w:rsidP="00147C8B">
            <w:pPr>
              <w:spacing w:before="60" w:after="60" w:line="240" w:lineRule="auto"/>
              <w:jc w:val="center"/>
              <w:rPr>
                <w:sz w:val="18"/>
                <w:szCs w:val="18"/>
              </w:rPr>
            </w:pPr>
            <w:r w:rsidRPr="001407D3">
              <w:rPr>
                <w:sz w:val="18"/>
                <w:szCs w:val="18"/>
              </w:rPr>
              <w:t>առնվազն 80%</w:t>
            </w:r>
          </w:p>
        </w:tc>
        <w:tc>
          <w:tcPr>
            <w:tcW w:w="1440" w:type="dxa"/>
            <w:vAlign w:val="center"/>
            <w:hideMark/>
          </w:tcPr>
          <w:p w14:paraId="02B55330" w14:textId="77777777" w:rsidR="001F1694" w:rsidRPr="00B2578C" w:rsidRDefault="001F1694" w:rsidP="00147C8B">
            <w:pPr>
              <w:spacing w:before="60" w:after="60" w:line="240" w:lineRule="auto"/>
              <w:jc w:val="center"/>
              <w:rPr>
                <w:sz w:val="18"/>
                <w:szCs w:val="18"/>
              </w:rPr>
            </w:pPr>
            <w:r w:rsidRPr="00B2578C">
              <w:rPr>
                <w:bCs/>
                <w:sz w:val="18"/>
                <w:szCs w:val="18"/>
                <w:lang w:val="hy-AM"/>
              </w:rPr>
              <w:t>8</w:t>
            </w:r>
            <w:r w:rsidRPr="00B2578C">
              <w:rPr>
                <w:bCs/>
                <w:sz w:val="18"/>
                <w:szCs w:val="18"/>
              </w:rPr>
              <w:t>5</w:t>
            </w:r>
            <w:r w:rsidRPr="00B2578C">
              <w:rPr>
                <w:bCs/>
                <w:sz w:val="18"/>
                <w:szCs w:val="18"/>
                <w:lang w:val="hy-AM"/>
              </w:rPr>
              <w:t>.</w:t>
            </w:r>
            <w:r>
              <w:rPr>
                <w:bCs/>
                <w:sz w:val="18"/>
                <w:szCs w:val="18"/>
              </w:rPr>
              <w:t>0</w:t>
            </w:r>
            <w:r w:rsidRPr="00B2578C">
              <w:rPr>
                <w:bCs/>
                <w:sz w:val="18"/>
                <w:szCs w:val="18"/>
                <w:lang w:val="hy-AM"/>
              </w:rPr>
              <w:t>%</w:t>
            </w:r>
          </w:p>
        </w:tc>
        <w:tc>
          <w:tcPr>
            <w:tcW w:w="1350" w:type="dxa"/>
            <w:gridSpan w:val="2"/>
            <w:vAlign w:val="center"/>
          </w:tcPr>
          <w:p w14:paraId="014507F2" w14:textId="77777777" w:rsidR="001F1694" w:rsidRPr="00272006" w:rsidRDefault="001F1694" w:rsidP="00147C8B">
            <w:pPr>
              <w:spacing w:before="60" w:after="60" w:line="240" w:lineRule="auto"/>
              <w:jc w:val="center"/>
              <w:rPr>
                <w:bCs/>
                <w:sz w:val="18"/>
                <w:szCs w:val="18"/>
              </w:rPr>
            </w:pPr>
            <w:r>
              <w:rPr>
                <w:bCs/>
                <w:sz w:val="18"/>
                <w:szCs w:val="18"/>
              </w:rPr>
              <w:t>85.2%</w:t>
            </w:r>
          </w:p>
        </w:tc>
        <w:tc>
          <w:tcPr>
            <w:tcW w:w="1350" w:type="dxa"/>
            <w:vAlign w:val="center"/>
          </w:tcPr>
          <w:p w14:paraId="504E8889" w14:textId="77777777" w:rsidR="001F1694" w:rsidRPr="00272006" w:rsidRDefault="001F1694" w:rsidP="00147C8B">
            <w:pPr>
              <w:spacing w:before="60" w:after="60" w:line="240" w:lineRule="auto"/>
              <w:jc w:val="center"/>
              <w:rPr>
                <w:bCs/>
                <w:sz w:val="18"/>
                <w:szCs w:val="18"/>
              </w:rPr>
            </w:pPr>
            <w:r>
              <w:rPr>
                <w:bCs/>
                <w:sz w:val="18"/>
                <w:szCs w:val="18"/>
              </w:rPr>
              <w:t>84.4%</w:t>
            </w:r>
          </w:p>
        </w:tc>
      </w:tr>
      <w:tr w:rsidR="001F1694" w:rsidRPr="001407D3" w14:paraId="120CCE6F" w14:textId="77777777" w:rsidTr="00147C8B">
        <w:trPr>
          <w:trHeight w:val="360"/>
        </w:trPr>
        <w:tc>
          <w:tcPr>
            <w:tcW w:w="8100" w:type="dxa"/>
            <w:gridSpan w:val="3"/>
            <w:shd w:val="clear" w:color="auto" w:fill="D5DCE4" w:themeFill="text2" w:themeFillTint="33"/>
            <w:vAlign w:val="center"/>
            <w:hideMark/>
          </w:tcPr>
          <w:p w14:paraId="6C58EB40" w14:textId="77777777" w:rsidR="001F1694" w:rsidRPr="00B2578C" w:rsidRDefault="001F1694" w:rsidP="00147C8B">
            <w:pPr>
              <w:spacing w:before="60" w:after="60" w:line="240" w:lineRule="auto"/>
              <w:rPr>
                <w:b/>
                <w:sz w:val="18"/>
                <w:szCs w:val="18"/>
              </w:rPr>
            </w:pPr>
            <w:r w:rsidRPr="00B2578C">
              <w:rPr>
                <w:b/>
                <w:sz w:val="18"/>
                <w:szCs w:val="18"/>
              </w:rPr>
              <w:t>Փոխարժեքի ռիսկ</w:t>
            </w:r>
          </w:p>
        </w:tc>
        <w:tc>
          <w:tcPr>
            <w:tcW w:w="1340" w:type="dxa"/>
            <w:shd w:val="clear" w:color="auto" w:fill="D5DCE4" w:themeFill="text2" w:themeFillTint="33"/>
          </w:tcPr>
          <w:p w14:paraId="2A45D7E2" w14:textId="77777777" w:rsidR="001F1694" w:rsidRPr="00B2578C" w:rsidRDefault="001F1694" w:rsidP="00147C8B">
            <w:pPr>
              <w:spacing w:before="60" w:after="60" w:line="240" w:lineRule="auto"/>
              <w:rPr>
                <w:b/>
                <w:sz w:val="18"/>
                <w:szCs w:val="18"/>
              </w:rPr>
            </w:pPr>
          </w:p>
        </w:tc>
        <w:tc>
          <w:tcPr>
            <w:tcW w:w="1360" w:type="dxa"/>
            <w:gridSpan w:val="2"/>
            <w:shd w:val="clear" w:color="auto" w:fill="D5DCE4" w:themeFill="text2" w:themeFillTint="33"/>
          </w:tcPr>
          <w:p w14:paraId="5477C6A7" w14:textId="77777777" w:rsidR="001F1694" w:rsidRPr="00B2578C" w:rsidRDefault="001F1694" w:rsidP="00147C8B">
            <w:pPr>
              <w:spacing w:before="60" w:after="60" w:line="240" w:lineRule="auto"/>
              <w:rPr>
                <w:b/>
                <w:sz w:val="18"/>
                <w:szCs w:val="18"/>
              </w:rPr>
            </w:pPr>
          </w:p>
        </w:tc>
      </w:tr>
      <w:tr w:rsidR="001F1694" w:rsidRPr="001407D3" w14:paraId="3D57D287" w14:textId="77777777" w:rsidTr="00147C8B">
        <w:trPr>
          <w:trHeight w:val="360"/>
        </w:trPr>
        <w:tc>
          <w:tcPr>
            <w:tcW w:w="4860" w:type="dxa"/>
            <w:vAlign w:val="center"/>
            <w:hideMark/>
          </w:tcPr>
          <w:p w14:paraId="10584308" w14:textId="77777777" w:rsidR="001F1694" w:rsidRPr="001407D3" w:rsidRDefault="001F1694" w:rsidP="00147C8B">
            <w:pPr>
              <w:spacing w:before="60" w:after="60" w:line="240" w:lineRule="auto"/>
              <w:ind w:right="518"/>
              <w:rPr>
                <w:sz w:val="18"/>
                <w:szCs w:val="18"/>
              </w:rPr>
            </w:pPr>
            <w:r w:rsidRPr="001407D3">
              <w:rPr>
                <w:sz w:val="18"/>
                <w:szCs w:val="18"/>
              </w:rPr>
              <w:t>Ներքին պարտքի կշիռն ընդամենը պարտքի մեջ</w:t>
            </w:r>
          </w:p>
        </w:tc>
        <w:tc>
          <w:tcPr>
            <w:tcW w:w="1800" w:type="dxa"/>
            <w:vAlign w:val="center"/>
            <w:hideMark/>
          </w:tcPr>
          <w:p w14:paraId="2510410E" w14:textId="77777777" w:rsidR="001F1694" w:rsidRPr="001407D3" w:rsidRDefault="001F1694" w:rsidP="00147C8B">
            <w:pPr>
              <w:spacing w:before="60" w:after="60" w:line="240" w:lineRule="auto"/>
              <w:jc w:val="center"/>
              <w:rPr>
                <w:sz w:val="18"/>
                <w:szCs w:val="18"/>
              </w:rPr>
            </w:pPr>
            <w:r w:rsidRPr="001407D3">
              <w:rPr>
                <w:sz w:val="18"/>
                <w:szCs w:val="18"/>
              </w:rPr>
              <w:t>առնվազն 40%</w:t>
            </w:r>
          </w:p>
        </w:tc>
        <w:tc>
          <w:tcPr>
            <w:tcW w:w="1440" w:type="dxa"/>
            <w:vAlign w:val="center"/>
            <w:hideMark/>
          </w:tcPr>
          <w:p w14:paraId="7B9C83EF" w14:textId="77777777" w:rsidR="001F1694" w:rsidRPr="00B2578C" w:rsidRDefault="001F1694" w:rsidP="00147C8B">
            <w:pPr>
              <w:spacing w:before="60" w:after="60" w:line="240" w:lineRule="auto"/>
              <w:jc w:val="center"/>
              <w:rPr>
                <w:sz w:val="18"/>
                <w:szCs w:val="18"/>
              </w:rPr>
            </w:pPr>
            <w:r w:rsidRPr="00B2578C">
              <w:rPr>
                <w:bCs/>
                <w:sz w:val="18"/>
                <w:szCs w:val="18"/>
                <w:lang w:val="hy-AM"/>
              </w:rPr>
              <w:t>50.</w:t>
            </w:r>
            <w:r>
              <w:rPr>
                <w:bCs/>
                <w:sz w:val="18"/>
                <w:szCs w:val="18"/>
              </w:rPr>
              <w:t>8</w:t>
            </w:r>
            <w:r w:rsidRPr="00B2578C">
              <w:rPr>
                <w:bCs/>
                <w:sz w:val="18"/>
                <w:szCs w:val="18"/>
                <w:lang w:val="hy-AM"/>
              </w:rPr>
              <w:t>%</w:t>
            </w:r>
          </w:p>
        </w:tc>
        <w:tc>
          <w:tcPr>
            <w:tcW w:w="1350" w:type="dxa"/>
            <w:gridSpan w:val="2"/>
            <w:vAlign w:val="center"/>
          </w:tcPr>
          <w:p w14:paraId="3E7E5D76" w14:textId="77777777" w:rsidR="001F1694" w:rsidRPr="00272006" w:rsidRDefault="001F1694" w:rsidP="00147C8B">
            <w:pPr>
              <w:spacing w:before="60" w:after="60" w:line="240" w:lineRule="auto"/>
              <w:jc w:val="center"/>
              <w:rPr>
                <w:bCs/>
                <w:sz w:val="18"/>
                <w:szCs w:val="18"/>
              </w:rPr>
            </w:pPr>
            <w:r>
              <w:rPr>
                <w:bCs/>
                <w:sz w:val="18"/>
                <w:szCs w:val="18"/>
              </w:rPr>
              <w:t>50.0%</w:t>
            </w:r>
          </w:p>
        </w:tc>
        <w:tc>
          <w:tcPr>
            <w:tcW w:w="1350" w:type="dxa"/>
            <w:vAlign w:val="center"/>
          </w:tcPr>
          <w:p w14:paraId="10D4589A" w14:textId="77777777" w:rsidR="001F1694" w:rsidRPr="00272006" w:rsidRDefault="001F1694" w:rsidP="00147C8B">
            <w:pPr>
              <w:spacing w:before="60" w:after="60" w:line="240" w:lineRule="auto"/>
              <w:jc w:val="center"/>
              <w:rPr>
                <w:bCs/>
                <w:sz w:val="18"/>
                <w:szCs w:val="18"/>
              </w:rPr>
            </w:pPr>
            <w:r>
              <w:rPr>
                <w:bCs/>
                <w:sz w:val="18"/>
                <w:szCs w:val="18"/>
              </w:rPr>
              <w:t>49.2%</w:t>
            </w:r>
          </w:p>
        </w:tc>
      </w:tr>
      <w:tr w:rsidR="001F1694" w:rsidRPr="001407D3" w14:paraId="11B3E12F" w14:textId="77777777" w:rsidTr="00147C8B">
        <w:trPr>
          <w:trHeight w:val="360"/>
        </w:trPr>
        <w:tc>
          <w:tcPr>
            <w:tcW w:w="4860" w:type="dxa"/>
            <w:vAlign w:val="center"/>
            <w:hideMark/>
          </w:tcPr>
          <w:p w14:paraId="6D3462ED" w14:textId="77777777" w:rsidR="001F1694" w:rsidRPr="001407D3" w:rsidRDefault="001F1694" w:rsidP="00147C8B">
            <w:pPr>
              <w:spacing w:before="60" w:after="60" w:line="240" w:lineRule="auto"/>
              <w:ind w:right="518"/>
              <w:rPr>
                <w:sz w:val="18"/>
                <w:szCs w:val="18"/>
              </w:rPr>
            </w:pPr>
            <w:r w:rsidRPr="001407D3">
              <w:rPr>
                <w:sz w:val="18"/>
                <w:szCs w:val="18"/>
              </w:rPr>
              <w:t>ՀՀ դրամով ներգրավված պարտքի կշիռն ընդամենը պարտքի մեջ</w:t>
            </w:r>
          </w:p>
        </w:tc>
        <w:tc>
          <w:tcPr>
            <w:tcW w:w="1800" w:type="dxa"/>
            <w:vAlign w:val="center"/>
            <w:hideMark/>
          </w:tcPr>
          <w:p w14:paraId="0DC40ECB" w14:textId="77777777" w:rsidR="001F1694" w:rsidRPr="001407D3" w:rsidRDefault="001F1694" w:rsidP="00147C8B">
            <w:pPr>
              <w:spacing w:before="60" w:after="60" w:line="240" w:lineRule="auto"/>
              <w:jc w:val="center"/>
              <w:rPr>
                <w:sz w:val="18"/>
                <w:szCs w:val="18"/>
              </w:rPr>
            </w:pPr>
            <w:r w:rsidRPr="001407D3">
              <w:rPr>
                <w:sz w:val="18"/>
                <w:szCs w:val="18"/>
              </w:rPr>
              <w:t>առնվազն 40%</w:t>
            </w:r>
          </w:p>
        </w:tc>
        <w:tc>
          <w:tcPr>
            <w:tcW w:w="1440" w:type="dxa"/>
            <w:vAlign w:val="center"/>
            <w:hideMark/>
          </w:tcPr>
          <w:p w14:paraId="35783C6A" w14:textId="77777777" w:rsidR="001F1694" w:rsidRPr="00B2578C" w:rsidRDefault="001F1694" w:rsidP="00147C8B">
            <w:pPr>
              <w:spacing w:before="60" w:after="60" w:line="240" w:lineRule="auto"/>
              <w:jc w:val="center"/>
              <w:rPr>
                <w:sz w:val="18"/>
                <w:szCs w:val="18"/>
              </w:rPr>
            </w:pPr>
            <w:r w:rsidRPr="00B2578C">
              <w:rPr>
                <w:bCs/>
                <w:sz w:val="18"/>
                <w:szCs w:val="18"/>
                <w:lang w:val="hy-AM"/>
              </w:rPr>
              <w:t>4</w:t>
            </w:r>
            <w:r>
              <w:rPr>
                <w:bCs/>
                <w:sz w:val="18"/>
                <w:szCs w:val="18"/>
              </w:rPr>
              <w:t>9</w:t>
            </w:r>
            <w:r>
              <w:rPr>
                <w:bCs/>
                <w:sz w:val="18"/>
                <w:szCs w:val="18"/>
                <w:lang w:val="hy-AM"/>
              </w:rPr>
              <w:t>.</w:t>
            </w:r>
            <w:r>
              <w:rPr>
                <w:bCs/>
                <w:sz w:val="18"/>
                <w:szCs w:val="18"/>
              </w:rPr>
              <w:t>1</w:t>
            </w:r>
            <w:r w:rsidRPr="00B2578C">
              <w:rPr>
                <w:bCs/>
                <w:sz w:val="18"/>
                <w:szCs w:val="18"/>
                <w:lang w:val="hy-AM"/>
              </w:rPr>
              <w:t>%</w:t>
            </w:r>
          </w:p>
        </w:tc>
        <w:tc>
          <w:tcPr>
            <w:tcW w:w="1350" w:type="dxa"/>
            <w:gridSpan w:val="2"/>
            <w:vAlign w:val="center"/>
          </w:tcPr>
          <w:p w14:paraId="60B290F6" w14:textId="77777777" w:rsidR="001F1694" w:rsidRPr="00272006" w:rsidRDefault="001F1694" w:rsidP="00147C8B">
            <w:pPr>
              <w:spacing w:before="60" w:after="60" w:line="240" w:lineRule="auto"/>
              <w:jc w:val="center"/>
              <w:rPr>
                <w:bCs/>
                <w:sz w:val="18"/>
                <w:szCs w:val="18"/>
              </w:rPr>
            </w:pPr>
            <w:r>
              <w:rPr>
                <w:bCs/>
                <w:sz w:val="18"/>
                <w:szCs w:val="18"/>
              </w:rPr>
              <w:t>48.8%</w:t>
            </w:r>
          </w:p>
        </w:tc>
        <w:tc>
          <w:tcPr>
            <w:tcW w:w="1350" w:type="dxa"/>
            <w:vAlign w:val="center"/>
          </w:tcPr>
          <w:p w14:paraId="3D702122" w14:textId="77777777" w:rsidR="001F1694" w:rsidRPr="00272006" w:rsidRDefault="001F1694" w:rsidP="00147C8B">
            <w:pPr>
              <w:spacing w:before="60" w:after="60" w:line="240" w:lineRule="auto"/>
              <w:jc w:val="center"/>
              <w:rPr>
                <w:bCs/>
                <w:sz w:val="18"/>
                <w:szCs w:val="18"/>
              </w:rPr>
            </w:pPr>
            <w:r>
              <w:rPr>
                <w:bCs/>
                <w:sz w:val="18"/>
                <w:szCs w:val="18"/>
              </w:rPr>
              <w:t>48.6%</w:t>
            </w:r>
          </w:p>
        </w:tc>
      </w:tr>
    </w:tbl>
    <w:p w14:paraId="3CD274A8" w14:textId="77777777" w:rsidR="001F1694" w:rsidRDefault="001F1694" w:rsidP="001F1694">
      <w:pPr>
        <w:jc w:val="both"/>
        <w:rPr>
          <w:lang w:val="hy-AM"/>
        </w:rPr>
      </w:pPr>
    </w:p>
    <w:p w14:paraId="70D22DCA" w14:textId="77777777" w:rsidR="001F1694" w:rsidRPr="00EF6FDF" w:rsidRDefault="001F1694" w:rsidP="001F1694">
      <w:pPr>
        <w:pStyle w:val="BodyText1"/>
        <w:ind w:left="0"/>
        <w:rPr>
          <w:lang w:val="hy-AM"/>
        </w:rPr>
      </w:pPr>
      <w:r w:rsidRPr="00B93C3F">
        <w:rPr>
          <w:lang w:val="hy-AM"/>
        </w:rPr>
        <w:t xml:space="preserve">ՀՀ պետական բյուջեի </w:t>
      </w:r>
      <w:r w:rsidRPr="00255EB3">
        <w:rPr>
          <w:lang w:val="hy-AM"/>
        </w:rPr>
        <w:t>պակասուրդ</w:t>
      </w:r>
      <w:r w:rsidRPr="00B93C3F">
        <w:rPr>
          <w:lang w:val="hy-AM"/>
        </w:rPr>
        <w:t>ի ֆինանսավորման կառուցվածքում ներքին և արտաքին փոխառու զուտ միջոցները բաշխվել են այնպես, որ պահպանվի ՀՀ կառավարության պարտքի կառուցվածքում ներքին պարտքի տեսակարար կշռի նվազագույն 40% ուղենիշը</w:t>
      </w:r>
      <w:r>
        <w:rPr>
          <w:lang w:val="hy-AM"/>
        </w:rPr>
        <w:t>:</w:t>
      </w:r>
      <w:r w:rsidRPr="00B93C3F">
        <w:rPr>
          <w:lang w:val="hy-AM"/>
        </w:rPr>
        <w:t xml:space="preserve"> </w:t>
      </w:r>
      <w:r>
        <w:rPr>
          <w:lang w:val="hy-AM"/>
        </w:rPr>
        <w:t>Մ</w:t>
      </w:r>
      <w:r w:rsidRPr="00B93C3F">
        <w:rPr>
          <w:lang w:val="hy-AM"/>
        </w:rPr>
        <w:t>իաժամանակ, հաշվի են առնվել 202</w:t>
      </w:r>
      <w:r>
        <w:rPr>
          <w:lang w:val="hy-AM"/>
        </w:rPr>
        <w:t>6</w:t>
      </w:r>
      <w:r w:rsidRPr="00B93C3F">
        <w:rPr>
          <w:lang w:val="hy-AM"/>
        </w:rPr>
        <w:t>-202</w:t>
      </w:r>
      <w:r>
        <w:rPr>
          <w:lang w:val="hy-AM"/>
        </w:rPr>
        <w:t>8</w:t>
      </w:r>
      <w:r w:rsidRPr="00B93C3F">
        <w:rPr>
          <w:lang w:val="hy-AM"/>
        </w:rPr>
        <w:t>թթ. հարկաբյուջետային շրջանակի առանձնահատկությունները, այդ թվում</w:t>
      </w:r>
      <w:r>
        <w:rPr>
          <w:lang w:val="hy-AM"/>
        </w:rPr>
        <w:t>՝</w:t>
      </w:r>
      <w:r w:rsidRPr="00B93C3F">
        <w:rPr>
          <w:lang w:val="hy-AM"/>
        </w:rPr>
        <w:t xml:space="preserve"> աճող ֆինանսական կարիքի պայմաններում ներքին շուկայի հագեցվածություն չառաջացնելու մղումը </w:t>
      </w:r>
      <w:r>
        <w:rPr>
          <w:lang w:val="hy-AM"/>
        </w:rPr>
        <w:t xml:space="preserve">և </w:t>
      </w:r>
      <w:r w:rsidRPr="00B93C3F">
        <w:rPr>
          <w:lang w:val="hy-AM"/>
        </w:rPr>
        <w:t>արտարժութային ելքերի առկայությ</w:t>
      </w:r>
      <w:r>
        <w:rPr>
          <w:lang w:val="hy-AM"/>
        </w:rPr>
        <w:t>ուն</w:t>
      </w:r>
      <w:r w:rsidRPr="00B93C3F">
        <w:rPr>
          <w:lang w:val="hy-AM"/>
        </w:rPr>
        <w:t xml:space="preserve">ը: </w:t>
      </w:r>
      <w:r>
        <w:rPr>
          <w:lang w:val="hy-AM"/>
        </w:rPr>
        <w:t>Այս</w:t>
      </w:r>
      <w:r w:rsidRPr="00B93C3F">
        <w:rPr>
          <w:lang w:val="hy-AM"/>
        </w:rPr>
        <w:t xml:space="preserve"> պայմաններում, չնվազեցնելով ներքին պարտքի շուկայում ակտիվությունը, անհրաժեշտություն է առաջա</w:t>
      </w:r>
      <w:r w:rsidRPr="00255EB3">
        <w:rPr>
          <w:lang w:val="hy-AM"/>
        </w:rPr>
        <w:t>ցել</w:t>
      </w:r>
      <w:r w:rsidRPr="00B93C3F">
        <w:rPr>
          <w:lang w:val="hy-AM"/>
        </w:rPr>
        <w:t xml:space="preserve"> </w:t>
      </w:r>
      <w:r>
        <w:rPr>
          <w:lang w:val="hy-AM"/>
        </w:rPr>
        <w:t>որոշակիորեն զսպել գանձապետական պարտատոմսերի</w:t>
      </w:r>
      <w:r w:rsidRPr="00B93C3F">
        <w:rPr>
          <w:lang w:val="hy-AM"/>
        </w:rPr>
        <w:t xml:space="preserve"> տարեկան զուտ թողարկումների ծավալ</w:t>
      </w:r>
      <w:r>
        <w:rPr>
          <w:lang w:val="hy-AM"/>
        </w:rPr>
        <w:t>ի աճը</w:t>
      </w:r>
      <w:r w:rsidRPr="00B93C3F">
        <w:rPr>
          <w:lang w:val="hy-AM"/>
        </w:rPr>
        <w:t xml:space="preserve">: </w:t>
      </w:r>
    </w:p>
    <w:p w14:paraId="4A3399A4" w14:textId="77777777" w:rsidR="001F1694" w:rsidRPr="00EF6FDF" w:rsidRDefault="001F1694" w:rsidP="001F1694">
      <w:pPr>
        <w:pStyle w:val="BodyText1"/>
        <w:ind w:left="0"/>
        <w:rPr>
          <w:b/>
          <w:lang w:val="hy-AM"/>
        </w:rPr>
      </w:pPr>
      <w:r w:rsidRPr="00EF6FDF">
        <w:rPr>
          <w:b/>
          <w:lang w:val="hy-AM"/>
        </w:rPr>
        <w:t xml:space="preserve">2026 թվականի տարեվերջի դրությամբ ձևավորվող կառավարության պարտքի մարման ժամանակացույցը սփռված կլինի մինչև 2054 թվականը և կունենա հետևյալ տեսքը. </w:t>
      </w:r>
    </w:p>
    <w:p w14:paraId="3899FAC6" w14:textId="11538F61" w:rsidR="001F1694" w:rsidRPr="00B84464" w:rsidRDefault="001F1694" w:rsidP="001F1694">
      <w:pPr>
        <w:pStyle w:val="Charts"/>
      </w:pPr>
      <w:bookmarkStart w:id="469" w:name="_Toc178350588"/>
      <w:bookmarkStart w:id="470" w:name="_Toc178595165"/>
      <w:bookmarkStart w:id="471" w:name="_Toc184110752"/>
      <w:r w:rsidRPr="00C87790">
        <w:t xml:space="preserve">Գծապատկեր </w:t>
      </w:r>
      <w:r w:rsidRPr="00C87790">
        <w:fldChar w:fldCharType="begin"/>
      </w:r>
      <w:r w:rsidRPr="00C87790">
        <w:instrText xml:space="preserve"> SEQ գծապատկեր \* ARABIC </w:instrText>
      </w:r>
      <w:r w:rsidRPr="00C87790">
        <w:fldChar w:fldCharType="separate"/>
      </w:r>
      <w:r w:rsidR="001848B1">
        <w:rPr>
          <w:noProof/>
        </w:rPr>
        <w:t>7</w:t>
      </w:r>
      <w:r w:rsidRPr="00C87790">
        <w:fldChar w:fldCharType="end"/>
      </w:r>
      <w:r w:rsidRPr="00C87790">
        <w:t>. Կառավարության պարտքի մարման ժամանակացույցը 31.12.2026թ. դրությամբ, մլրդ դրամ</w:t>
      </w:r>
      <w:bookmarkEnd w:id="469"/>
      <w:bookmarkEnd w:id="470"/>
      <w:bookmarkEnd w:id="471"/>
    </w:p>
    <w:p w14:paraId="063661BD" w14:textId="77777777" w:rsidR="001F1694" w:rsidRPr="00C3014C" w:rsidRDefault="001F1694" w:rsidP="001F1694">
      <w:pPr>
        <w:jc w:val="both"/>
      </w:pPr>
      <w:r>
        <w:rPr>
          <w:noProof/>
        </w:rPr>
        <w:drawing>
          <wp:inline distT="0" distB="0" distL="0" distR="0" wp14:anchorId="4AD13D0B" wp14:editId="581FBD97">
            <wp:extent cx="6351270" cy="3133725"/>
            <wp:effectExtent l="0" t="0" r="11430" b="9525"/>
            <wp:docPr id="55" name="Chart 55">
              <a:extLst xmlns:a="http://schemas.openxmlformats.org/drawingml/2006/main">
                <a:ext uri="{FF2B5EF4-FFF2-40B4-BE49-F238E27FC236}">
                  <a16:creationId xmlns:a16="http://schemas.microsoft.com/office/drawing/2014/main" id="{00000000-0008-0000-0800-000006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1"/>
              </a:graphicData>
            </a:graphic>
          </wp:inline>
        </w:drawing>
      </w:r>
    </w:p>
    <w:p w14:paraId="6F504109" w14:textId="77777777" w:rsidR="001F1694" w:rsidRPr="00C3014C" w:rsidRDefault="001F1694" w:rsidP="001F1694">
      <w:pPr>
        <w:jc w:val="both"/>
      </w:pPr>
    </w:p>
    <w:p w14:paraId="74DBEB01" w14:textId="77777777" w:rsidR="001F1694" w:rsidRPr="00EF6FDF" w:rsidRDefault="001F1694" w:rsidP="001F1694">
      <w:pPr>
        <w:pStyle w:val="BodyText1"/>
        <w:ind w:left="0"/>
        <w:rPr>
          <w:lang w:val="hy-AM"/>
        </w:rPr>
      </w:pPr>
      <w:bookmarkStart w:id="472" w:name="_Toc178350631"/>
      <w:bookmarkStart w:id="473" w:name="_Toc178612156"/>
      <w:bookmarkStart w:id="474" w:name="_Toc184110782"/>
      <w:r w:rsidRPr="00995611">
        <w:rPr>
          <w:lang w:val="hy-AM"/>
        </w:rPr>
        <w:t>2026 թվականին կառավարության պարտքի միջին կշռված տոկոսադրույքը կկազմի 7.1%:</w:t>
      </w:r>
      <w:r w:rsidRPr="00EF6FDF">
        <w:rPr>
          <w:lang w:val="hy-AM"/>
        </w:rPr>
        <w:t xml:space="preserve"> Կառավարության պարտքի սպասարկման ծախսերը (տոկոսավճարներ) կկազմեն ՀՆԱ-ի 3.5%-ը:  </w:t>
      </w:r>
    </w:p>
    <w:p w14:paraId="33D38591" w14:textId="514428BD" w:rsidR="001F1694" w:rsidRPr="00C3014C" w:rsidRDefault="001F1694" w:rsidP="001F1694">
      <w:pPr>
        <w:pStyle w:val="a"/>
      </w:pPr>
      <w:r w:rsidRPr="00C3014C">
        <w:t xml:space="preserve">Աղյուսակ </w:t>
      </w:r>
      <w:r>
        <w:fldChar w:fldCharType="begin"/>
      </w:r>
      <w:r>
        <w:instrText xml:space="preserve"> SEQ Աղյուսակ \* ARABIC </w:instrText>
      </w:r>
      <w:r>
        <w:fldChar w:fldCharType="separate"/>
      </w:r>
      <w:r w:rsidR="001848B1">
        <w:rPr>
          <w:noProof/>
        </w:rPr>
        <w:t>11</w:t>
      </w:r>
      <w:r>
        <w:fldChar w:fldCharType="end"/>
      </w:r>
      <w:r w:rsidRPr="00C3014C">
        <w:t>. Կառավարության պարտքի սպասարկման ծախսերը (տոկոսավճարներ)</w:t>
      </w:r>
      <w:bookmarkEnd w:id="472"/>
      <w:bookmarkEnd w:id="473"/>
      <w:bookmarkEnd w:id="474"/>
    </w:p>
    <w:tbl>
      <w:tblPr>
        <w:tblW w:w="10070" w:type="dxa"/>
        <w:tblBorders>
          <w:top w:val="single" w:sz="8" w:space="0" w:color="E1E1E3" w:themeColor="accent3" w:themeTint="33"/>
          <w:left w:val="single" w:sz="8" w:space="0" w:color="E1E1E3" w:themeColor="accent3" w:themeTint="33"/>
          <w:bottom w:val="single" w:sz="8" w:space="0" w:color="E1E1E3" w:themeColor="accent3" w:themeTint="33"/>
          <w:right w:val="single" w:sz="8" w:space="0" w:color="E1E1E3" w:themeColor="accent3" w:themeTint="33"/>
          <w:insideH w:val="single" w:sz="8" w:space="0" w:color="E1E1E3" w:themeColor="accent3" w:themeTint="33"/>
          <w:insideV w:val="single" w:sz="8" w:space="0" w:color="E1E1E3" w:themeColor="accent3" w:themeTint="33"/>
        </w:tblBorders>
        <w:tblLayout w:type="fixed"/>
        <w:tblLook w:val="04A0" w:firstRow="1" w:lastRow="0" w:firstColumn="1" w:lastColumn="0" w:noHBand="0" w:noVBand="1"/>
      </w:tblPr>
      <w:tblGrid>
        <w:gridCol w:w="4850"/>
        <w:gridCol w:w="990"/>
        <w:gridCol w:w="1080"/>
        <w:gridCol w:w="1170"/>
        <w:gridCol w:w="990"/>
        <w:gridCol w:w="990"/>
      </w:tblGrid>
      <w:tr w:rsidR="001F1694" w:rsidRPr="005564EE" w14:paraId="5D16A174" w14:textId="77777777" w:rsidTr="00147C8B">
        <w:trPr>
          <w:trHeight w:val="360"/>
        </w:trPr>
        <w:tc>
          <w:tcPr>
            <w:tcW w:w="4850" w:type="dxa"/>
            <w:shd w:val="clear" w:color="auto" w:fill="D5DCE4" w:themeFill="text2" w:themeFillTint="33"/>
            <w:hideMark/>
          </w:tcPr>
          <w:p w14:paraId="54B7DD6C" w14:textId="77777777" w:rsidR="001F1694" w:rsidRPr="00732944" w:rsidRDefault="001F1694" w:rsidP="00147C8B">
            <w:pPr>
              <w:spacing w:before="0" w:after="0" w:line="240" w:lineRule="auto"/>
              <w:jc w:val="both"/>
              <w:rPr>
                <w:sz w:val="18"/>
                <w:szCs w:val="18"/>
                <w:lang w:val="hy-AM"/>
              </w:rPr>
            </w:pPr>
            <w:r w:rsidRPr="00732944">
              <w:rPr>
                <w:rFonts w:ascii="Calibri" w:hAnsi="Calibri" w:cs="Calibri"/>
                <w:sz w:val="18"/>
                <w:szCs w:val="18"/>
                <w:lang w:val="hy-AM"/>
              </w:rPr>
              <w:t> </w:t>
            </w:r>
          </w:p>
        </w:tc>
        <w:tc>
          <w:tcPr>
            <w:tcW w:w="990" w:type="dxa"/>
            <w:shd w:val="clear" w:color="auto" w:fill="D5DCE4" w:themeFill="text2" w:themeFillTint="33"/>
            <w:vAlign w:val="center"/>
            <w:hideMark/>
          </w:tcPr>
          <w:p w14:paraId="2CB65898" w14:textId="77777777" w:rsidR="001F1694" w:rsidRPr="005564EE" w:rsidRDefault="001F1694" w:rsidP="00147C8B">
            <w:pPr>
              <w:spacing w:before="0" w:after="0" w:line="240" w:lineRule="auto"/>
              <w:jc w:val="center"/>
              <w:rPr>
                <w:b/>
                <w:sz w:val="18"/>
                <w:szCs w:val="18"/>
              </w:rPr>
            </w:pPr>
            <w:r>
              <w:rPr>
                <w:b/>
                <w:sz w:val="18"/>
                <w:szCs w:val="18"/>
              </w:rPr>
              <w:t>2024</w:t>
            </w:r>
          </w:p>
        </w:tc>
        <w:tc>
          <w:tcPr>
            <w:tcW w:w="1080" w:type="dxa"/>
            <w:shd w:val="clear" w:color="auto" w:fill="D5DCE4" w:themeFill="text2" w:themeFillTint="33"/>
            <w:vAlign w:val="center"/>
            <w:hideMark/>
          </w:tcPr>
          <w:p w14:paraId="6A718952" w14:textId="77777777" w:rsidR="001F1694" w:rsidRPr="005564EE" w:rsidRDefault="001F1694" w:rsidP="00147C8B">
            <w:pPr>
              <w:spacing w:before="0" w:after="0" w:line="240" w:lineRule="auto"/>
              <w:jc w:val="center"/>
              <w:rPr>
                <w:b/>
                <w:sz w:val="18"/>
                <w:szCs w:val="18"/>
              </w:rPr>
            </w:pPr>
            <w:r>
              <w:rPr>
                <w:b/>
                <w:sz w:val="18"/>
                <w:szCs w:val="18"/>
              </w:rPr>
              <w:t>2025</w:t>
            </w:r>
          </w:p>
        </w:tc>
        <w:tc>
          <w:tcPr>
            <w:tcW w:w="1170" w:type="dxa"/>
            <w:shd w:val="clear" w:color="auto" w:fill="D5DCE4" w:themeFill="text2" w:themeFillTint="33"/>
            <w:vAlign w:val="center"/>
            <w:hideMark/>
          </w:tcPr>
          <w:p w14:paraId="20AE0148" w14:textId="77777777" w:rsidR="001F1694" w:rsidRPr="005564EE" w:rsidRDefault="001F1694" w:rsidP="00147C8B">
            <w:pPr>
              <w:spacing w:before="0" w:after="0" w:line="240" w:lineRule="auto"/>
              <w:jc w:val="center"/>
              <w:rPr>
                <w:b/>
                <w:sz w:val="18"/>
                <w:szCs w:val="18"/>
              </w:rPr>
            </w:pPr>
            <w:r>
              <w:rPr>
                <w:b/>
                <w:sz w:val="18"/>
                <w:szCs w:val="18"/>
              </w:rPr>
              <w:t>2026</w:t>
            </w:r>
          </w:p>
        </w:tc>
        <w:tc>
          <w:tcPr>
            <w:tcW w:w="990" w:type="dxa"/>
            <w:shd w:val="clear" w:color="auto" w:fill="D5DCE4" w:themeFill="text2" w:themeFillTint="33"/>
            <w:vAlign w:val="center"/>
          </w:tcPr>
          <w:p w14:paraId="4E73EF9D" w14:textId="77777777" w:rsidR="001F1694" w:rsidRDefault="001F1694" w:rsidP="00147C8B">
            <w:pPr>
              <w:spacing w:before="0" w:after="0" w:line="240" w:lineRule="auto"/>
              <w:jc w:val="center"/>
              <w:rPr>
                <w:b/>
                <w:sz w:val="18"/>
                <w:szCs w:val="18"/>
              </w:rPr>
            </w:pPr>
            <w:r>
              <w:rPr>
                <w:b/>
                <w:sz w:val="18"/>
                <w:szCs w:val="18"/>
              </w:rPr>
              <w:t>2027</w:t>
            </w:r>
          </w:p>
        </w:tc>
        <w:tc>
          <w:tcPr>
            <w:tcW w:w="990" w:type="dxa"/>
            <w:shd w:val="clear" w:color="auto" w:fill="D5DCE4" w:themeFill="text2" w:themeFillTint="33"/>
            <w:vAlign w:val="center"/>
          </w:tcPr>
          <w:p w14:paraId="50BC2650" w14:textId="77777777" w:rsidR="001F1694" w:rsidRDefault="001F1694" w:rsidP="00147C8B">
            <w:pPr>
              <w:spacing w:before="0" w:after="0" w:line="240" w:lineRule="auto"/>
              <w:jc w:val="center"/>
              <w:rPr>
                <w:b/>
                <w:sz w:val="18"/>
                <w:szCs w:val="18"/>
              </w:rPr>
            </w:pPr>
            <w:r>
              <w:rPr>
                <w:b/>
                <w:sz w:val="18"/>
                <w:szCs w:val="18"/>
              </w:rPr>
              <w:t>2028</w:t>
            </w:r>
          </w:p>
        </w:tc>
      </w:tr>
      <w:tr w:rsidR="001F1694" w:rsidRPr="005564EE" w14:paraId="5DA454C8" w14:textId="77777777" w:rsidTr="00147C8B">
        <w:trPr>
          <w:trHeight w:val="360"/>
        </w:trPr>
        <w:tc>
          <w:tcPr>
            <w:tcW w:w="4850" w:type="dxa"/>
            <w:vAlign w:val="center"/>
            <w:hideMark/>
          </w:tcPr>
          <w:p w14:paraId="483CC98A" w14:textId="77777777" w:rsidR="001F1694" w:rsidRPr="005564EE" w:rsidRDefault="001F1694" w:rsidP="00147C8B">
            <w:pPr>
              <w:spacing w:before="0" w:after="0" w:line="240" w:lineRule="auto"/>
              <w:ind w:right="448"/>
              <w:rPr>
                <w:sz w:val="18"/>
                <w:szCs w:val="18"/>
              </w:rPr>
            </w:pPr>
            <w:r w:rsidRPr="005564EE">
              <w:rPr>
                <w:sz w:val="18"/>
                <w:szCs w:val="18"/>
              </w:rPr>
              <w:t>Կառավարության պարտքի սպասարկում (տոկոսավճար), մլրդ դրամ</w:t>
            </w:r>
          </w:p>
        </w:tc>
        <w:tc>
          <w:tcPr>
            <w:tcW w:w="990" w:type="dxa"/>
            <w:vAlign w:val="center"/>
            <w:hideMark/>
          </w:tcPr>
          <w:p w14:paraId="5F0C8A46" w14:textId="77777777" w:rsidR="001F1694" w:rsidRPr="005564EE" w:rsidRDefault="001F1694" w:rsidP="00147C8B">
            <w:pPr>
              <w:spacing w:before="0" w:after="0" w:line="240" w:lineRule="auto"/>
              <w:jc w:val="center"/>
              <w:rPr>
                <w:sz w:val="18"/>
                <w:szCs w:val="18"/>
              </w:rPr>
            </w:pPr>
            <w:r w:rsidRPr="00600994">
              <w:rPr>
                <w:bCs/>
                <w:sz w:val="16"/>
                <w:szCs w:val="16"/>
              </w:rPr>
              <w:t>313.6</w:t>
            </w:r>
          </w:p>
        </w:tc>
        <w:tc>
          <w:tcPr>
            <w:tcW w:w="1080" w:type="dxa"/>
            <w:vAlign w:val="center"/>
            <w:hideMark/>
          </w:tcPr>
          <w:p w14:paraId="7F2182C8" w14:textId="77777777" w:rsidR="001F1694" w:rsidRPr="00325B68" w:rsidRDefault="001F1694" w:rsidP="00147C8B">
            <w:pPr>
              <w:spacing w:before="0" w:after="0" w:line="240" w:lineRule="auto"/>
              <w:jc w:val="center"/>
              <w:rPr>
                <w:bCs/>
                <w:sz w:val="16"/>
                <w:szCs w:val="16"/>
              </w:rPr>
            </w:pPr>
            <w:r w:rsidRPr="00325B68">
              <w:rPr>
                <w:bCs/>
                <w:sz w:val="16"/>
                <w:szCs w:val="16"/>
              </w:rPr>
              <w:t>381.1</w:t>
            </w:r>
          </w:p>
        </w:tc>
        <w:tc>
          <w:tcPr>
            <w:tcW w:w="1170" w:type="dxa"/>
            <w:vAlign w:val="center"/>
            <w:hideMark/>
          </w:tcPr>
          <w:p w14:paraId="43A32D50" w14:textId="77777777" w:rsidR="001F1694" w:rsidRPr="00325B68" w:rsidRDefault="001F1694" w:rsidP="00147C8B">
            <w:pPr>
              <w:spacing w:before="0" w:after="0" w:line="240" w:lineRule="auto"/>
              <w:jc w:val="center"/>
              <w:rPr>
                <w:bCs/>
                <w:sz w:val="16"/>
                <w:szCs w:val="16"/>
              </w:rPr>
            </w:pPr>
            <w:r w:rsidRPr="00325B68">
              <w:rPr>
                <w:bCs/>
                <w:sz w:val="16"/>
                <w:szCs w:val="16"/>
              </w:rPr>
              <w:t>419.9</w:t>
            </w:r>
          </w:p>
        </w:tc>
        <w:tc>
          <w:tcPr>
            <w:tcW w:w="990" w:type="dxa"/>
            <w:vAlign w:val="center"/>
          </w:tcPr>
          <w:p w14:paraId="660E3D3D" w14:textId="77777777" w:rsidR="001F1694" w:rsidRPr="003C1D6C" w:rsidRDefault="001F1694" w:rsidP="00147C8B">
            <w:pPr>
              <w:spacing w:before="0" w:after="0" w:line="240" w:lineRule="auto"/>
              <w:jc w:val="center"/>
              <w:rPr>
                <w:bCs/>
                <w:sz w:val="16"/>
                <w:szCs w:val="16"/>
                <w:lang w:val="hy-AM"/>
              </w:rPr>
            </w:pPr>
            <w:r>
              <w:rPr>
                <w:bCs/>
                <w:sz w:val="16"/>
                <w:szCs w:val="16"/>
              </w:rPr>
              <w:t>47</w:t>
            </w:r>
            <w:r>
              <w:rPr>
                <w:bCs/>
                <w:sz w:val="16"/>
                <w:szCs w:val="16"/>
                <w:lang w:val="hy-AM"/>
              </w:rPr>
              <w:t>0.1</w:t>
            </w:r>
          </w:p>
        </w:tc>
        <w:tc>
          <w:tcPr>
            <w:tcW w:w="990" w:type="dxa"/>
            <w:vAlign w:val="center"/>
          </w:tcPr>
          <w:p w14:paraId="4B502B92" w14:textId="77777777" w:rsidR="001F1694" w:rsidRPr="00325B68" w:rsidRDefault="001F1694" w:rsidP="00147C8B">
            <w:pPr>
              <w:spacing w:before="0" w:after="0" w:line="240" w:lineRule="auto"/>
              <w:jc w:val="center"/>
              <w:rPr>
                <w:bCs/>
                <w:sz w:val="16"/>
                <w:szCs w:val="16"/>
              </w:rPr>
            </w:pPr>
            <w:r>
              <w:rPr>
                <w:bCs/>
                <w:sz w:val="16"/>
                <w:szCs w:val="16"/>
              </w:rPr>
              <w:t>51</w:t>
            </w:r>
            <w:r>
              <w:rPr>
                <w:bCs/>
                <w:sz w:val="16"/>
                <w:szCs w:val="16"/>
                <w:lang w:val="hy-AM"/>
              </w:rPr>
              <w:t>2.8</w:t>
            </w:r>
          </w:p>
        </w:tc>
      </w:tr>
      <w:tr w:rsidR="001F1694" w:rsidRPr="005564EE" w14:paraId="497E0D17" w14:textId="77777777" w:rsidTr="00147C8B">
        <w:trPr>
          <w:trHeight w:val="360"/>
        </w:trPr>
        <w:tc>
          <w:tcPr>
            <w:tcW w:w="4850" w:type="dxa"/>
            <w:vAlign w:val="center"/>
            <w:hideMark/>
          </w:tcPr>
          <w:p w14:paraId="04556735" w14:textId="77777777" w:rsidR="001F1694" w:rsidRPr="005564EE" w:rsidRDefault="001F1694" w:rsidP="00147C8B">
            <w:pPr>
              <w:spacing w:before="0" w:after="0" w:line="240" w:lineRule="auto"/>
              <w:ind w:right="448"/>
              <w:rPr>
                <w:sz w:val="18"/>
                <w:szCs w:val="18"/>
                <w:lang w:val="hy-AM"/>
              </w:rPr>
            </w:pPr>
            <w:r w:rsidRPr="005564EE">
              <w:rPr>
                <w:sz w:val="18"/>
                <w:szCs w:val="18"/>
              </w:rPr>
              <w:t>%-ներով ՀՆԱ-ի նկատմամբ</w:t>
            </w:r>
          </w:p>
        </w:tc>
        <w:tc>
          <w:tcPr>
            <w:tcW w:w="990" w:type="dxa"/>
            <w:vAlign w:val="center"/>
            <w:hideMark/>
          </w:tcPr>
          <w:p w14:paraId="5B651AF8" w14:textId="77777777" w:rsidR="001F1694" w:rsidRPr="005564EE" w:rsidRDefault="001F1694" w:rsidP="00147C8B">
            <w:pPr>
              <w:spacing w:before="0" w:after="0" w:line="240" w:lineRule="auto"/>
              <w:jc w:val="center"/>
              <w:rPr>
                <w:sz w:val="18"/>
                <w:szCs w:val="18"/>
              </w:rPr>
            </w:pPr>
            <w:r w:rsidRPr="00600994">
              <w:rPr>
                <w:sz w:val="16"/>
                <w:szCs w:val="16"/>
              </w:rPr>
              <w:t>3.1</w:t>
            </w:r>
          </w:p>
        </w:tc>
        <w:tc>
          <w:tcPr>
            <w:tcW w:w="1080" w:type="dxa"/>
            <w:vAlign w:val="center"/>
            <w:hideMark/>
          </w:tcPr>
          <w:p w14:paraId="50C87735" w14:textId="77777777" w:rsidR="001F1694" w:rsidRPr="005564EE" w:rsidRDefault="001F1694" w:rsidP="00147C8B">
            <w:pPr>
              <w:spacing w:before="0" w:after="0" w:line="240" w:lineRule="auto"/>
              <w:jc w:val="center"/>
              <w:rPr>
                <w:sz w:val="18"/>
                <w:szCs w:val="18"/>
              </w:rPr>
            </w:pPr>
            <w:r w:rsidRPr="00600994">
              <w:rPr>
                <w:sz w:val="16"/>
                <w:szCs w:val="16"/>
              </w:rPr>
              <w:t>3.5</w:t>
            </w:r>
          </w:p>
        </w:tc>
        <w:tc>
          <w:tcPr>
            <w:tcW w:w="1170" w:type="dxa"/>
            <w:vAlign w:val="center"/>
            <w:hideMark/>
          </w:tcPr>
          <w:p w14:paraId="3592014C" w14:textId="77777777" w:rsidR="001F1694" w:rsidRPr="005564EE" w:rsidRDefault="001F1694" w:rsidP="00147C8B">
            <w:pPr>
              <w:spacing w:before="0" w:after="0" w:line="240" w:lineRule="auto"/>
              <w:jc w:val="center"/>
              <w:rPr>
                <w:sz w:val="18"/>
                <w:szCs w:val="18"/>
              </w:rPr>
            </w:pPr>
            <w:r w:rsidRPr="00600994">
              <w:rPr>
                <w:sz w:val="16"/>
                <w:szCs w:val="16"/>
              </w:rPr>
              <w:t>3.5</w:t>
            </w:r>
          </w:p>
        </w:tc>
        <w:tc>
          <w:tcPr>
            <w:tcW w:w="990" w:type="dxa"/>
            <w:vAlign w:val="center"/>
          </w:tcPr>
          <w:p w14:paraId="3D48A0AB" w14:textId="77777777" w:rsidR="001F1694" w:rsidRPr="00600994" w:rsidRDefault="001F1694" w:rsidP="00147C8B">
            <w:pPr>
              <w:spacing w:before="0" w:after="0" w:line="240" w:lineRule="auto"/>
              <w:jc w:val="center"/>
              <w:rPr>
                <w:sz w:val="16"/>
                <w:szCs w:val="16"/>
              </w:rPr>
            </w:pPr>
            <w:r>
              <w:rPr>
                <w:sz w:val="16"/>
                <w:szCs w:val="16"/>
              </w:rPr>
              <w:t>3.6</w:t>
            </w:r>
          </w:p>
        </w:tc>
        <w:tc>
          <w:tcPr>
            <w:tcW w:w="990" w:type="dxa"/>
            <w:vAlign w:val="center"/>
          </w:tcPr>
          <w:p w14:paraId="264894B8" w14:textId="77777777" w:rsidR="001F1694" w:rsidRPr="003C1D6C" w:rsidRDefault="001F1694" w:rsidP="00147C8B">
            <w:pPr>
              <w:spacing w:before="0" w:after="0" w:line="240" w:lineRule="auto"/>
              <w:jc w:val="center"/>
              <w:rPr>
                <w:sz w:val="16"/>
                <w:szCs w:val="16"/>
                <w:lang w:val="hy-AM"/>
              </w:rPr>
            </w:pPr>
            <w:r>
              <w:rPr>
                <w:sz w:val="16"/>
                <w:szCs w:val="16"/>
              </w:rPr>
              <w:t>3.</w:t>
            </w:r>
            <w:r>
              <w:rPr>
                <w:sz w:val="16"/>
                <w:szCs w:val="16"/>
                <w:lang w:val="hy-AM"/>
              </w:rPr>
              <w:t>6</w:t>
            </w:r>
          </w:p>
        </w:tc>
      </w:tr>
      <w:tr w:rsidR="001F1694" w:rsidRPr="005564EE" w14:paraId="6ABD3228" w14:textId="77777777" w:rsidTr="00147C8B">
        <w:trPr>
          <w:trHeight w:val="360"/>
        </w:trPr>
        <w:tc>
          <w:tcPr>
            <w:tcW w:w="4850" w:type="dxa"/>
            <w:vAlign w:val="center"/>
            <w:hideMark/>
          </w:tcPr>
          <w:p w14:paraId="03C918AE" w14:textId="77777777" w:rsidR="001F1694" w:rsidRPr="005564EE" w:rsidRDefault="001F1694" w:rsidP="00147C8B">
            <w:pPr>
              <w:spacing w:before="0" w:after="0" w:line="240" w:lineRule="auto"/>
              <w:ind w:right="448"/>
              <w:rPr>
                <w:sz w:val="18"/>
                <w:szCs w:val="18"/>
              </w:rPr>
            </w:pPr>
            <w:r w:rsidRPr="005564EE">
              <w:rPr>
                <w:sz w:val="18"/>
                <w:szCs w:val="18"/>
              </w:rPr>
              <w:t>Կառավարության պարտքի միջին կշռված տոկոսադրույք, %</w:t>
            </w:r>
          </w:p>
        </w:tc>
        <w:tc>
          <w:tcPr>
            <w:tcW w:w="990" w:type="dxa"/>
            <w:vAlign w:val="center"/>
            <w:hideMark/>
          </w:tcPr>
          <w:p w14:paraId="54C47F36" w14:textId="77777777" w:rsidR="001F1694" w:rsidRPr="005564EE" w:rsidRDefault="001F1694" w:rsidP="00147C8B">
            <w:pPr>
              <w:spacing w:before="0" w:after="0" w:line="240" w:lineRule="auto"/>
              <w:jc w:val="center"/>
              <w:rPr>
                <w:sz w:val="18"/>
                <w:szCs w:val="18"/>
              </w:rPr>
            </w:pPr>
            <w:r w:rsidRPr="00600994">
              <w:rPr>
                <w:sz w:val="18"/>
                <w:szCs w:val="18"/>
                <w:lang w:val="hy-AM"/>
              </w:rPr>
              <w:t>7.2</w:t>
            </w:r>
          </w:p>
        </w:tc>
        <w:tc>
          <w:tcPr>
            <w:tcW w:w="1080" w:type="dxa"/>
            <w:vAlign w:val="center"/>
            <w:hideMark/>
          </w:tcPr>
          <w:p w14:paraId="115116B5" w14:textId="77777777" w:rsidR="001F1694" w:rsidRPr="00995611" w:rsidRDefault="001F1694" w:rsidP="00147C8B">
            <w:pPr>
              <w:spacing w:before="0" w:after="0" w:line="240" w:lineRule="auto"/>
              <w:jc w:val="center"/>
              <w:rPr>
                <w:sz w:val="18"/>
                <w:szCs w:val="18"/>
              </w:rPr>
            </w:pPr>
            <w:r w:rsidRPr="00995611">
              <w:rPr>
                <w:sz w:val="18"/>
                <w:szCs w:val="18"/>
                <w:lang w:val="hy-AM"/>
              </w:rPr>
              <w:t>7.</w:t>
            </w:r>
            <w:r w:rsidRPr="00995611">
              <w:rPr>
                <w:sz w:val="18"/>
                <w:szCs w:val="18"/>
              </w:rPr>
              <w:t>4</w:t>
            </w:r>
          </w:p>
        </w:tc>
        <w:tc>
          <w:tcPr>
            <w:tcW w:w="1170" w:type="dxa"/>
            <w:vAlign w:val="center"/>
            <w:hideMark/>
          </w:tcPr>
          <w:p w14:paraId="6EE0DA4B" w14:textId="77777777" w:rsidR="001F1694" w:rsidRPr="00995611" w:rsidRDefault="001F1694" w:rsidP="00147C8B">
            <w:pPr>
              <w:spacing w:before="0" w:after="0" w:line="240" w:lineRule="auto"/>
              <w:jc w:val="center"/>
              <w:rPr>
                <w:sz w:val="18"/>
                <w:szCs w:val="18"/>
              </w:rPr>
            </w:pPr>
            <w:r w:rsidRPr="00995611">
              <w:rPr>
                <w:sz w:val="18"/>
                <w:szCs w:val="18"/>
              </w:rPr>
              <w:t>7.1</w:t>
            </w:r>
          </w:p>
        </w:tc>
        <w:tc>
          <w:tcPr>
            <w:tcW w:w="990" w:type="dxa"/>
            <w:vAlign w:val="center"/>
          </w:tcPr>
          <w:p w14:paraId="43236675" w14:textId="77777777" w:rsidR="001F1694" w:rsidRPr="00995611" w:rsidRDefault="001F1694" w:rsidP="00147C8B">
            <w:pPr>
              <w:spacing w:before="0" w:after="0" w:line="240" w:lineRule="auto"/>
              <w:jc w:val="center"/>
              <w:rPr>
                <w:sz w:val="18"/>
                <w:szCs w:val="18"/>
              </w:rPr>
            </w:pPr>
            <w:r>
              <w:rPr>
                <w:sz w:val="18"/>
                <w:szCs w:val="18"/>
              </w:rPr>
              <w:t>7.1</w:t>
            </w:r>
          </w:p>
        </w:tc>
        <w:tc>
          <w:tcPr>
            <w:tcW w:w="990" w:type="dxa"/>
            <w:vAlign w:val="center"/>
          </w:tcPr>
          <w:p w14:paraId="401E700B" w14:textId="77777777" w:rsidR="001F1694" w:rsidRPr="00995611" w:rsidRDefault="001F1694" w:rsidP="00147C8B">
            <w:pPr>
              <w:spacing w:before="0" w:after="0" w:line="240" w:lineRule="auto"/>
              <w:jc w:val="center"/>
              <w:rPr>
                <w:sz w:val="18"/>
                <w:szCs w:val="18"/>
              </w:rPr>
            </w:pPr>
            <w:r>
              <w:rPr>
                <w:sz w:val="18"/>
                <w:szCs w:val="18"/>
              </w:rPr>
              <w:t>7.1</w:t>
            </w:r>
          </w:p>
        </w:tc>
      </w:tr>
    </w:tbl>
    <w:p w14:paraId="773A1267" w14:textId="77777777" w:rsidR="001F1694" w:rsidRPr="009807BC" w:rsidRDefault="001F1694" w:rsidP="001F1694">
      <w:pPr>
        <w:pStyle w:val="BodyText1"/>
        <w:ind w:left="0"/>
        <w:rPr>
          <w:lang w:val="hy-AM"/>
        </w:rPr>
      </w:pPr>
      <w:r w:rsidRPr="009807BC">
        <w:rPr>
          <w:lang w:val="hy-AM"/>
        </w:rPr>
        <w:t>Կանխատեսումային սցենարի համեմատությամբ ՀՀ դրամի՝ ԱՄՆ դոլարի նկատմամբ 10% արժեզրկման ազդեցությունը 2026 թվականի Կառավարության պարտքի տոկոսավճարների վրա կկազմի 13.</w:t>
      </w:r>
      <w:r>
        <w:t>6</w:t>
      </w:r>
      <w:r w:rsidRPr="009807BC">
        <w:rPr>
          <w:lang w:val="hy-AM"/>
        </w:rPr>
        <w:t xml:space="preserve"> մլրդ ՀՀ դրամ:</w:t>
      </w:r>
    </w:p>
    <w:p w14:paraId="09E0EC83" w14:textId="77777777" w:rsidR="001F1694" w:rsidRPr="00EF6FDF" w:rsidRDefault="001F1694" w:rsidP="001F1694">
      <w:pPr>
        <w:pStyle w:val="BodyText1"/>
        <w:ind w:left="0"/>
        <w:rPr>
          <w:lang w:val="hy-AM"/>
        </w:rPr>
      </w:pPr>
      <w:r w:rsidRPr="009807BC">
        <w:rPr>
          <w:lang w:val="hy-AM"/>
        </w:rPr>
        <w:t>Միաժամանակ, մյուս գործոններրի անփոփոխ մնալու պարագայում կանխատեսումային սցենարի համեմատությամբ SOFR և EURIBOR դրույքների բարձրացումը 1 տոկոսային կետով կավելացնի 2026 թվականի Կառավարության պարտքի գծով տոկոսավճարները 7.</w:t>
      </w:r>
      <w:r w:rsidRPr="00501EEC">
        <w:rPr>
          <w:lang w:val="hy-AM"/>
        </w:rPr>
        <w:t>1</w:t>
      </w:r>
      <w:r w:rsidRPr="009807BC">
        <w:rPr>
          <w:lang w:val="hy-AM"/>
        </w:rPr>
        <w:t xml:space="preserve"> մլրդ ՀՀ դրամով:</w:t>
      </w:r>
    </w:p>
    <w:p w14:paraId="14DE1112" w14:textId="77777777" w:rsidR="001F1694" w:rsidRPr="00EF6FDF" w:rsidRDefault="001F1694" w:rsidP="001F1694">
      <w:pPr>
        <w:pStyle w:val="TOC4"/>
        <w:rPr>
          <w:lang w:val="hy-AM"/>
        </w:rPr>
      </w:pPr>
      <w:r w:rsidRPr="00EF6FDF">
        <w:rPr>
          <w:lang w:val="hy-AM"/>
        </w:rPr>
        <w:t>ՊԱԿԱՍՈՒՐԴԻ ՖԻՆԱՆՍԱՎՈՐՄԱՆ ՊԱՐՏՔԱՅԻՆ ԳՈՐԾԻՔԱԿԱԶՄԸ</w:t>
      </w:r>
    </w:p>
    <w:p w14:paraId="26418AD9" w14:textId="77777777" w:rsidR="001F1694" w:rsidRPr="00EF6FDF" w:rsidRDefault="001F1694" w:rsidP="001F1694">
      <w:pPr>
        <w:pStyle w:val="BodyText1"/>
        <w:ind w:left="0"/>
        <w:rPr>
          <w:lang w:val="hy-AM"/>
        </w:rPr>
      </w:pPr>
      <w:r w:rsidRPr="00EF6FDF">
        <w:rPr>
          <w:lang w:val="hy-AM"/>
        </w:rPr>
        <w:t xml:space="preserve">Պակասուրդի ֆինանսավորման փոխառու աղբյուրների կառուցվածքն ընտրվել է ծախսերի և ռիսկերի ցուցանիշների ուսումնասիրության և վերլուծության արդյունքում: Ընտրվել է փոխառու միջոցներով պակասուրդի ֆինանսավորման այնպիսի կառուցվածք, որը կնպաստի ներքին պարտքի շուկայի զարգացմանը, կապահովի ՀՀ կառավարության պարտքի գծով ռիսկերի չափավոր մակարդակ, միաժամանակ, կարճաժամկետ և միջնաժամկետ հատվածներում հնարավորինս կսահմանափակի պետական պարտքի գծով ծախսերի աճը: </w:t>
      </w:r>
    </w:p>
    <w:p w14:paraId="3B788039" w14:textId="77777777" w:rsidR="001F1694" w:rsidRPr="00EF6FDF" w:rsidRDefault="001F1694" w:rsidP="001F1694">
      <w:pPr>
        <w:pStyle w:val="BodyText1"/>
        <w:ind w:left="0"/>
        <w:rPr>
          <w:lang w:val="hy-AM"/>
        </w:rPr>
      </w:pPr>
      <w:r w:rsidRPr="00EF6FDF">
        <w:rPr>
          <w:lang w:val="hy-AM"/>
        </w:rPr>
        <w:t>Ներքին փոխառու զուտ միջոցների հաշվին դեֆիցիտի ֆինանսավորման կառուցվածքը նախատեսելիս հաշվի են առնվել տնտեսությունում մակրոմիջավայրի զարգացումներն ըստ կանխատեսումների բազային սցենարի, իրացվելիության առկա մակարդակը, պետական գանձապետական պարտատոմսերի նկատմամբ ձևավորված կայուն պահանջարկը և պարտքի սպասարկման մեծությունը:</w:t>
      </w:r>
    </w:p>
    <w:p w14:paraId="18DBD8EF" w14:textId="77777777" w:rsidR="001F1694" w:rsidRPr="00EF6FDF" w:rsidRDefault="001F1694" w:rsidP="001F1694">
      <w:pPr>
        <w:pStyle w:val="BodyText1"/>
        <w:ind w:left="0"/>
        <w:rPr>
          <w:lang w:val="hy-AM"/>
        </w:rPr>
      </w:pPr>
      <w:r w:rsidRPr="00EF6FDF">
        <w:rPr>
          <w:lang w:val="hy-AM"/>
        </w:rPr>
        <w:t xml:space="preserve">2026 թվականին պետական բյուջեի պակասուրդի զուտ ֆինանսավորումը փոխառու միջոցների հաշվին կկազմի </w:t>
      </w:r>
      <w:r w:rsidRPr="00A76D45">
        <w:rPr>
          <w:lang w:val="hy-AM"/>
        </w:rPr>
        <w:t>6</w:t>
      </w:r>
      <w:r w:rsidRPr="00EB5B82">
        <w:rPr>
          <w:lang w:val="hy-AM"/>
        </w:rPr>
        <w:t>49</w:t>
      </w:r>
      <w:r w:rsidRPr="00EF6FDF">
        <w:rPr>
          <w:lang w:val="hy-AM"/>
        </w:rPr>
        <w:t>.</w:t>
      </w:r>
      <w:r w:rsidRPr="00797743">
        <w:rPr>
          <w:lang w:val="hy-AM"/>
        </w:rPr>
        <w:t>7</w:t>
      </w:r>
      <w:r w:rsidRPr="00EF6FDF">
        <w:rPr>
          <w:lang w:val="hy-AM"/>
        </w:rPr>
        <w:t xml:space="preserve"> մլրդ դրամ, ինչը կիրականացվի պետական գանձապետական պարտատոմսերի հաշվին՝ 31</w:t>
      </w:r>
      <w:r w:rsidRPr="00582408">
        <w:rPr>
          <w:lang w:val="hy-AM"/>
        </w:rPr>
        <w:t>5</w:t>
      </w:r>
      <w:r w:rsidRPr="00EF6FDF">
        <w:rPr>
          <w:lang w:val="hy-AM"/>
        </w:rPr>
        <w:t>.</w:t>
      </w:r>
      <w:r w:rsidRPr="00582408">
        <w:rPr>
          <w:lang w:val="hy-AM"/>
        </w:rPr>
        <w:t>0</w:t>
      </w:r>
      <w:r w:rsidRPr="00EF6FDF">
        <w:rPr>
          <w:lang w:val="hy-AM"/>
        </w:rPr>
        <w:t xml:space="preserve"> մլրդ դրամի չափով, արտաքին վարկերի հաշվին՝ </w:t>
      </w:r>
      <w:r w:rsidRPr="00582408">
        <w:rPr>
          <w:lang w:val="hy-AM"/>
        </w:rPr>
        <w:t>3</w:t>
      </w:r>
      <w:r w:rsidRPr="00EB5B82">
        <w:rPr>
          <w:lang w:val="hy-AM"/>
        </w:rPr>
        <w:t>34</w:t>
      </w:r>
      <w:r w:rsidRPr="00EF6FDF">
        <w:rPr>
          <w:lang w:val="hy-AM"/>
        </w:rPr>
        <w:t>.</w:t>
      </w:r>
      <w:r w:rsidRPr="00EB5B82">
        <w:rPr>
          <w:lang w:val="hy-AM"/>
        </w:rPr>
        <w:t>7</w:t>
      </w:r>
      <w:r w:rsidRPr="00EF6FDF">
        <w:rPr>
          <w:lang w:val="hy-AM"/>
        </w:rPr>
        <w:t xml:space="preserve"> մլրդ դրամի չափով:</w:t>
      </w:r>
    </w:p>
    <w:p w14:paraId="451E1494" w14:textId="77777777" w:rsidR="001F1694" w:rsidRDefault="001F1694" w:rsidP="001F1694">
      <w:pPr>
        <w:pStyle w:val="TOC4"/>
        <w:rPr>
          <w:lang w:val="hy-AM"/>
        </w:rPr>
      </w:pPr>
    </w:p>
    <w:p w14:paraId="2E083DBF" w14:textId="77777777" w:rsidR="001F1694" w:rsidRPr="008B041E" w:rsidRDefault="001F1694" w:rsidP="001F1694">
      <w:pPr>
        <w:pStyle w:val="TOC4"/>
        <w:rPr>
          <w:lang w:val="hy-AM"/>
        </w:rPr>
      </w:pPr>
      <w:r w:rsidRPr="00E90CCB">
        <w:rPr>
          <w:lang w:val="hy-AM"/>
        </w:rPr>
        <w:t>ՊԱԿԱՍՈՒՐԴԻ ՖԻՆԱՆՍԱՎՈՐՈՒՄԸ ՊԵՏԱԿԱՆ ԳԱՆՁԱՊԵՏԱԿԱՆ ՊԱՐՏԱՏՈՄՍԵՐՈՎ</w:t>
      </w:r>
    </w:p>
    <w:p w14:paraId="0D3582E9" w14:textId="77777777" w:rsidR="001F1694" w:rsidRPr="00732944" w:rsidRDefault="001F1694" w:rsidP="001F1694">
      <w:pPr>
        <w:pStyle w:val="BodyText1"/>
        <w:ind w:left="0"/>
        <w:rPr>
          <w:b/>
          <w:lang w:val="hy-AM"/>
        </w:rPr>
      </w:pPr>
      <w:r w:rsidRPr="00732944">
        <w:rPr>
          <w:b/>
          <w:lang w:val="hy-AM"/>
        </w:rPr>
        <w:t>Ներքին պարտքի շուկայում իրականացվելիք միջոցառումները</w:t>
      </w:r>
    </w:p>
    <w:p w14:paraId="58EBD2CD" w14:textId="77777777" w:rsidR="001F1694" w:rsidRPr="006A509A" w:rsidRDefault="001F1694" w:rsidP="001F1694">
      <w:pPr>
        <w:pStyle w:val="BodyText1"/>
        <w:ind w:left="0"/>
        <w:rPr>
          <w:lang w:val="hy-AM"/>
        </w:rPr>
      </w:pPr>
      <w:r w:rsidRPr="006A509A">
        <w:rPr>
          <w:lang w:val="hy-AM"/>
        </w:rPr>
        <w:t>ՀՀ ֆինանսների նախարարությունը կշարունակի պետական գանձապետական պարտատոմ</w:t>
      </w:r>
      <w:r w:rsidRPr="006A509A">
        <w:rPr>
          <w:lang w:val="hy-AM"/>
        </w:rPr>
        <w:softHyphen/>
        <w:t>սերի հետգնումների, փոխա</w:t>
      </w:r>
      <w:r w:rsidRPr="006A509A">
        <w:rPr>
          <w:lang w:val="hy-AM"/>
        </w:rPr>
        <w:softHyphen/>
        <w:t>նակումների իրականացումը` նպատակ ունենալով հարթեցնել պարտ</w:t>
      </w:r>
      <w:r w:rsidRPr="006A509A">
        <w:rPr>
          <w:lang w:val="hy-AM"/>
        </w:rPr>
        <w:softHyphen/>
        <w:t>քի մարման գրաֆիկը և նվազեցնել վերաֆինանսավորման ռիսկը, ինչպես նաև բարձ</w:t>
      </w:r>
      <w:r w:rsidRPr="006A509A">
        <w:rPr>
          <w:lang w:val="hy-AM"/>
        </w:rPr>
        <w:softHyphen/>
        <w:t>րաց</w:t>
      </w:r>
      <w:r w:rsidRPr="006A509A">
        <w:rPr>
          <w:lang w:val="hy-AM"/>
        </w:rPr>
        <w:softHyphen/>
        <w:t xml:space="preserve">նել տեղաբաշխվող պարտատոմսերի իրացվելիությունը և նպաստել երկրորդային շուկայի զարգացմանը: </w:t>
      </w:r>
    </w:p>
    <w:p w14:paraId="6A02D81D" w14:textId="77777777" w:rsidR="001F1694" w:rsidRPr="006A509A" w:rsidRDefault="001F1694" w:rsidP="001F1694">
      <w:pPr>
        <w:pStyle w:val="BodyText1"/>
        <w:ind w:left="0"/>
        <w:rPr>
          <w:lang w:val="hy-AM"/>
        </w:rPr>
      </w:pPr>
      <w:r w:rsidRPr="006A509A">
        <w:rPr>
          <w:lang w:val="hy-AM"/>
        </w:rPr>
        <w:t>Պետական գանձապետական պարտատոմսերի եկամտաբերության նվազման պայմաններում աստիճանաբար կավելացվի երկարաժամկետ պարտատոմսերի տեղաբաշխումների ծավալը՝ դրանք կենտրոնացնելով 10 տարի մարման ժամկետի շուրջ՝ որպես հիմնական ուղենիշ:</w:t>
      </w:r>
    </w:p>
    <w:p w14:paraId="0A29C1FB" w14:textId="77777777" w:rsidR="001F1694" w:rsidRPr="006A509A" w:rsidRDefault="001F1694" w:rsidP="001F1694">
      <w:pPr>
        <w:pStyle w:val="BodyText1"/>
        <w:ind w:left="0"/>
        <w:rPr>
          <w:lang w:val="hy-AM"/>
        </w:rPr>
      </w:pPr>
      <w:r w:rsidRPr="006A509A">
        <w:rPr>
          <w:lang w:val="hy-AM"/>
        </w:rPr>
        <w:t>Պետական բյուջեով նախատեսված որոշակի ոլորտներում առանձին նախագծերի ֆինանսավորման նպատակով կդիտարկվի նպատակային պարտատոմսերի թողարկման հնարավորությունը:</w:t>
      </w:r>
    </w:p>
    <w:p w14:paraId="7F036DCE" w14:textId="77777777" w:rsidR="001F1694" w:rsidRPr="008B041E" w:rsidRDefault="001F1694" w:rsidP="001F1694">
      <w:pPr>
        <w:pStyle w:val="BodyText1"/>
        <w:ind w:left="0"/>
        <w:rPr>
          <w:lang w:val="hy-AM"/>
        </w:rPr>
      </w:pPr>
      <w:r w:rsidRPr="006A509A">
        <w:rPr>
          <w:lang w:val="hy-AM"/>
        </w:rPr>
        <w:t>Կարևորելով պետական գանձապետական պարտատոմսերի մանրածախ շուկայի զարգացումը` կընդլայնվի մանրածախ առցանց հարթակի (gp.minfin.am) հասանելիությունը Հայաստանի Հանրապետության տարածքից դուրս ևս ապահովելու և ոչ ռեզիդենտների մուտքը պետական գանձապետական պարտատոմսերի շուկա առավել մատչելի դարձնելու համար: Կառավարության նկատմամբ վստահության ամրապնդման ուղղությամբ քայլերին զուգահեռ, կշարունակվեն հանրային իրազեկման աշխատանքները պոտեն</w:t>
      </w:r>
      <w:r w:rsidRPr="006A509A">
        <w:rPr>
          <w:lang w:val="hy-AM"/>
        </w:rPr>
        <w:softHyphen/>
        <w:t>ցիալ ներդրողների շրջանում:</w:t>
      </w:r>
    </w:p>
    <w:p w14:paraId="41987DCF" w14:textId="77777777" w:rsidR="001F1694" w:rsidRPr="008B041E" w:rsidRDefault="001F1694" w:rsidP="001F1694">
      <w:pPr>
        <w:pStyle w:val="BodyText1"/>
        <w:ind w:left="0"/>
        <w:rPr>
          <w:b/>
          <w:lang w:val="hy-AM"/>
        </w:rPr>
      </w:pPr>
      <w:r w:rsidRPr="008B041E">
        <w:rPr>
          <w:b/>
          <w:lang w:val="hy-AM"/>
        </w:rPr>
        <w:t>Պակասուրդի ֆինանսավորման գործիքակազմը</w:t>
      </w:r>
    </w:p>
    <w:p w14:paraId="121F3F5A" w14:textId="77777777" w:rsidR="001F1694" w:rsidRPr="006A509A" w:rsidRDefault="001F1694" w:rsidP="001F1694">
      <w:pPr>
        <w:pStyle w:val="BodyText1"/>
        <w:ind w:left="0"/>
        <w:rPr>
          <w:lang w:val="hy-AM"/>
        </w:rPr>
      </w:pPr>
      <w:r w:rsidRPr="006A509A">
        <w:rPr>
          <w:lang w:val="hy-AM"/>
        </w:rPr>
        <w:t>Պետական գանձապետական պարտատոմսերով բյուջեի դեֆիցիտի ֆինանսավորումն իրականացվելու է կարճաժամկետ (3, 6, 9 և 12 ամիս), միջնաժամկետ (3 և 5 տարի), երկարաժամկետ (10 և 30 տարի) և խնայողական պարտատոմսերի հաշվին:</w:t>
      </w:r>
    </w:p>
    <w:p w14:paraId="53CE084E" w14:textId="77777777" w:rsidR="001F1694" w:rsidRPr="006A509A" w:rsidRDefault="001F1694" w:rsidP="001F1694">
      <w:pPr>
        <w:pStyle w:val="BodyText1"/>
        <w:ind w:left="0"/>
        <w:rPr>
          <w:lang w:val="hy-AM"/>
        </w:rPr>
      </w:pPr>
      <w:r w:rsidRPr="006A509A">
        <w:rPr>
          <w:lang w:val="hy-AM"/>
        </w:rPr>
        <w:t>Յուրաքանչյուր երկու ամիսն առնվազն մեկ անգամ կկազմակերպվի 52, 39, 26 և 13 շաբաթ մարման ժամկետ ունեցող պետական գանձապետական կարճաժամկետ պարտատոմսերի տեղաբաշխման աճուրդներ: Կարող են իրականացվել նաև պետական գանձապետական կարճաժամկետ պարտատոմսերի լրացուցիչ թողարկումներ, ընդ որում մինչև 3 շաբաթ մարման ժամկետայնությամբ թողարկումներ կարող են իրականացվել կանխիկ հոսքերի կառավարման նպատակով, իսկ 3-12 շաբաթ մարման ժամկետայնությամբ թողարկումներ` հարկաբյուջետային և դրամավարկային քաղաքականությունների կոորդինացման շրջանակներում:</w:t>
      </w:r>
    </w:p>
    <w:p w14:paraId="22218369" w14:textId="77777777" w:rsidR="001F1694" w:rsidRPr="006A509A" w:rsidRDefault="001F1694" w:rsidP="001F1694">
      <w:pPr>
        <w:pStyle w:val="BodyText1"/>
        <w:ind w:left="0"/>
        <w:rPr>
          <w:lang w:val="hy-AM"/>
        </w:rPr>
      </w:pPr>
      <w:r w:rsidRPr="006A509A">
        <w:rPr>
          <w:lang w:val="hy-AM"/>
        </w:rPr>
        <w:t xml:space="preserve">2026 թվականի ապրիլի 29-ին կթողարկվեն 3 և 5 տարի մարման ժամկետայնությամբ նոր միջնաժամկետ պետական գանձապետական պարտատոմսեր: </w:t>
      </w:r>
    </w:p>
    <w:p w14:paraId="7ABB1C45" w14:textId="77777777" w:rsidR="001F1694" w:rsidRPr="006A509A" w:rsidRDefault="001F1694" w:rsidP="001F1694">
      <w:pPr>
        <w:pStyle w:val="BodyText1"/>
        <w:ind w:left="0"/>
        <w:rPr>
          <w:lang w:val="hy-AM"/>
        </w:rPr>
      </w:pPr>
      <w:r w:rsidRPr="006A509A">
        <w:rPr>
          <w:lang w:val="hy-AM"/>
        </w:rPr>
        <w:t xml:space="preserve">Աճուրդների կողմնորոշիչ ծավալների վերաբերյալ տեղեկատվությունը կհրապարակվի եռամսյակային կտրվածքով: </w:t>
      </w:r>
    </w:p>
    <w:p w14:paraId="77388E0E" w14:textId="77777777" w:rsidR="001F1694" w:rsidRPr="006A509A" w:rsidRDefault="001F1694" w:rsidP="001F1694">
      <w:pPr>
        <w:pStyle w:val="BodyText1"/>
        <w:ind w:left="0"/>
        <w:rPr>
          <w:lang w:val="hy-AM"/>
        </w:rPr>
      </w:pPr>
      <w:r w:rsidRPr="006A509A">
        <w:rPr>
          <w:lang w:val="hy-AM"/>
        </w:rPr>
        <w:t>Յուրաքանչյուր աճուրդին տեղաբաշխման ենթակա պարտատոմսերի ծավալների և ժամկետների վերաբերյալ տեղեկատվությունը կհրապարակվի աճուրդից առաջ՝ գործակալների հետ խորհրդակցելուց հետո:</w:t>
      </w:r>
    </w:p>
    <w:p w14:paraId="4FAEAD31" w14:textId="77777777" w:rsidR="001F1694" w:rsidRPr="006A509A" w:rsidRDefault="001F1694" w:rsidP="001F1694">
      <w:pPr>
        <w:pStyle w:val="BodyText1"/>
        <w:ind w:left="0"/>
        <w:rPr>
          <w:lang w:val="hy-AM"/>
        </w:rPr>
      </w:pPr>
      <w:r w:rsidRPr="006A509A">
        <w:rPr>
          <w:lang w:val="hy-AM"/>
        </w:rPr>
        <w:t>2026 թվականի ընթացքում կիրականացվեն նաև պետական գանձապետական պարտատոմսերի հետգնումներ և փոխանակումներ: 2026 թվականի ընթացքում պարտատոմսերի հետգնումների 70-80%-ը կիրականացվեն մարման գրաֆիկի հարթեցման, իսկ 20-30%-ը՝ պարտատոմսերի իրացվելիությունը խթանելու նպատակով: ՀՀ ֆինանսների նախարարությունը յուրաքանչյուր թողարկման պարտատոմսերի տեղաբաշխման ժամանակահատվածում այդ պարտատոմսերի հետգնում չի իրականացնի:</w:t>
      </w:r>
    </w:p>
    <w:p w14:paraId="7B36FF3F" w14:textId="77777777" w:rsidR="001F1694" w:rsidRPr="006A509A" w:rsidRDefault="001F1694" w:rsidP="001F1694">
      <w:pPr>
        <w:pStyle w:val="BodyText1"/>
        <w:ind w:left="0"/>
        <w:rPr>
          <w:lang w:val="hy-AM"/>
        </w:rPr>
      </w:pPr>
      <w:r w:rsidRPr="006A509A">
        <w:rPr>
          <w:lang w:val="hy-AM"/>
        </w:rPr>
        <w:t>ՀՀ ֆինանսների նախարարության պաշտոնական կայքէջում եռամսյակային կտրվածքով, յուրաքանչյուր եռամսյակից 10 օր առաջ կհրապարակվի ուղենշային համարվող պարտատոմսերի ցանկը:</w:t>
      </w:r>
    </w:p>
    <w:p w14:paraId="07EB1AE9" w14:textId="77777777" w:rsidR="001F1694" w:rsidRPr="00732944" w:rsidRDefault="001F1694" w:rsidP="001F1694">
      <w:pPr>
        <w:pStyle w:val="TOC4"/>
        <w:rPr>
          <w:lang w:val="hy-AM"/>
        </w:rPr>
      </w:pPr>
      <w:r w:rsidRPr="00732944">
        <w:rPr>
          <w:lang w:val="hy-AM"/>
        </w:rPr>
        <w:t>ՊԱԿԱՍՈՒՐԴԻ ՖԻՆԱՆՍԱՎՈՐՈՒՄՆ ԱՐՏԱՔԻՆ ՎԱՐԿԵՐՈՎ</w:t>
      </w:r>
    </w:p>
    <w:p w14:paraId="61741C68" w14:textId="77777777" w:rsidR="001F1694" w:rsidRPr="000E5DF3" w:rsidRDefault="001F1694" w:rsidP="001F1694">
      <w:pPr>
        <w:pStyle w:val="BodyText1"/>
        <w:ind w:left="0"/>
        <w:rPr>
          <w:lang w:val="hy-AM"/>
        </w:rPr>
      </w:pPr>
      <w:r w:rsidRPr="000E5DF3">
        <w:rPr>
          <w:lang w:val="hy-AM"/>
        </w:rPr>
        <w:t>Համագործակցությունն արտաքին վարկատուների հետ կշարունակվի՝ նա</w:t>
      </w:r>
      <w:r w:rsidRPr="000E5DF3">
        <w:rPr>
          <w:lang w:val="hy-AM"/>
        </w:rPr>
        <w:softHyphen/>
        <w:t>խա</w:t>
      </w:r>
      <w:r w:rsidRPr="000E5DF3">
        <w:rPr>
          <w:lang w:val="hy-AM"/>
        </w:rPr>
        <w:softHyphen/>
      </w:r>
      <w:r w:rsidRPr="000E5DF3">
        <w:rPr>
          <w:lang w:val="hy-AM"/>
        </w:rPr>
        <w:softHyphen/>
        <w:t>պատվությունը տալով վարկավորման առավել բարենպաստ պայմաններով և ազատ փոխարկելի արժույթով փոխառու միջոցներ տրամադրող վարկատուների հետ համա</w:t>
      </w:r>
      <w:r w:rsidRPr="000E5DF3">
        <w:rPr>
          <w:lang w:val="hy-AM"/>
        </w:rPr>
        <w:softHyphen/>
        <w:t>գործակ</w:t>
      </w:r>
      <w:r w:rsidRPr="000E5DF3">
        <w:rPr>
          <w:lang w:val="hy-AM"/>
        </w:rPr>
        <w:softHyphen/>
        <w:t>ցությանը, և աստիճանաբար անցում կկատարվի շուկայական գործիքներով պակասուրդի ֆինանսավորմանը:</w:t>
      </w:r>
    </w:p>
    <w:p w14:paraId="3E72B1B9" w14:textId="77777777" w:rsidR="001F1694" w:rsidRPr="000E5DF3" w:rsidRDefault="001F1694" w:rsidP="001F1694">
      <w:pPr>
        <w:pStyle w:val="BodyText1"/>
        <w:ind w:left="0"/>
        <w:rPr>
          <w:lang w:val="hy-AM"/>
        </w:rPr>
      </w:pPr>
      <w:r w:rsidRPr="000E5DF3">
        <w:rPr>
          <w:lang w:val="hy-AM"/>
        </w:rPr>
        <w:t xml:space="preserve">ՀՀ 2026 թվականին պետական բյուջեի պակասուրդը ֆինանսավորելու համար նախատեսվում է արտաքին վարկերի գծով կատարել </w:t>
      </w:r>
      <w:r w:rsidRPr="00B74CB4">
        <w:rPr>
          <w:lang w:val="hy-AM"/>
        </w:rPr>
        <w:t>5</w:t>
      </w:r>
      <w:r w:rsidRPr="00797743">
        <w:rPr>
          <w:lang w:val="hy-AM"/>
        </w:rPr>
        <w:t>14</w:t>
      </w:r>
      <w:r w:rsidRPr="00B74CB4">
        <w:rPr>
          <w:lang w:val="hy-AM"/>
        </w:rPr>
        <w:t>.</w:t>
      </w:r>
      <w:r w:rsidRPr="00797743">
        <w:rPr>
          <w:lang w:val="hy-AM"/>
        </w:rPr>
        <w:t>5</w:t>
      </w:r>
      <w:r w:rsidRPr="00B74CB4">
        <w:rPr>
          <w:lang w:val="hy-AM"/>
        </w:rPr>
        <w:t xml:space="preserve"> մլրդ դրամի (1,</w:t>
      </w:r>
      <w:r w:rsidRPr="00797743">
        <w:rPr>
          <w:lang w:val="hy-AM"/>
        </w:rPr>
        <w:t>341</w:t>
      </w:r>
      <w:r w:rsidRPr="00B74CB4">
        <w:rPr>
          <w:lang w:val="hy-AM"/>
        </w:rPr>
        <w:t>.5 մլն ԱՄՆ դոլար) մասհանումներ: Ընդ որում մասհանումներից 131.9 մլրդ դրամը (34</w:t>
      </w:r>
      <w:r w:rsidRPr="00501EEC">
        <w:rPr>
          <w:lang w:val="hy-AM"/>
        </w:rPr>
        <w:t>1.5</w:t>
      </w:r>
      <w:r w:rsidRPr="00B74CB4">
        <w:rPr>
          <w:lang w:val="hy-AM"/>
        </w:rPr>
        <w:t xml:space="preserve"> մլն ԱՄՆ դոլար) նախատեսվում է կատարել նպատակային վարկային ծրագրերի գծով, իսկ մնացած </w:t>
      </w:r>
      <w:r w:rsidRPr="00797743">
        <w:rPr>
          <w:lang w:val="hy-AM"/>
        </w:rPr>
        <w:t>382</w:t>
      </w:r>
      <w:r w:rsidRPr="00B74CB4">
        <w:rPr>
          <w:lang w:val="hy-AM"/>
        </w:rPr>
        <w:t>.</w:t>
      </w:r>
      <w:r w:rsidRPr="00797743">
        <w:rPr>
          <w:lang w:val="hy-AM"/>
        </w:rPr>
        <w:t>6</w:t>
      </w:r>
      <w:r w:rsidRPr="00B74CB4">
        <w:rPr>
          <w:lang w:val="hy-AM"/>
        </w:rPr>
        <w:t xml:space="preserve"> մլրդ դրամը (1,0</w:t>
      </w:r>
      <w:r w:rsidRPr="00797743">
        <w:rPr>
          <w:lang w:val="hy-AM"/>
        </w:rPr>
        <w:t>00</w:t>
      </w:r>
      <w:r w:rsidRPr="00B74CB4">
        <w:rPr>
          <w:lang w:val="hy-AM"/>
        </w:rPr>
        <w:t>.0 մլն ԱՄՆ դոլար)՝ բյուջետային աջակցության վարկերի գծով:</w:t>
      </w:r>
      <w:r w:rsidRPr="000E5DF3">
        <w:rPr>
          <w:lang w:val="hy-AM"/>
        </w:rPr>
        <w:t xml:space="preserve"> </w:t>
      </w:r>
    </w:p>
    <w:p w14:paraId="5118EE48" w14:textId="77777777" w:rsidR="001F1694" w:rsidRPr="000E5DF3" w:rsidRDefault="001F1694" w:rsidP="001F1694">
      <w:pPr>
        <w:pStyle w:val="BodyText1"/>
        <w:ind w:left="0"/>
        <w:rPr>
          <w:lang w:val="hy-AM"/>
        </w:rPr>
      </w:pPr>
      <w:r w:rsidRPr="000E5DF3">
        <w:rPr>
          <w:lang w:val="hy-AM"/>
        </w:rPr>
        <w:t>2026 թվականի համար ծրագրավորված բյուջետային աջակցության վարկերի ստացման համար բանակցություններ են վարվում ՀՀ հիմնական գործընկեր միջազգային ֆինանսական կազմակերպությունների հետ. Ասիական Զարգացման Բանկ, Զարգացման Ֆրանսիական Գործակալություն, Վերակառուցման և Զարգացման Միջազգային Բանկ, ՕՊԵԿ-ի Միջազգային Զարգացման Հիմնադրամ և այլն:</w:t>
      </w:r>
    </w:p>
    <w:p w14:paraId="447A2576" w14:textId="77777777" w:rsidR="001F1694" w:rsidRPr="00732944" w:rsidRDefault="001F1694" w:rsidP="001F1694">
      <w:pPr>
        <w:pStyle w:val="TOC4"/>
        <w:rPr>
          <w:lang w:val="hy-AM"/>
        </w:rPr>
      </w:pPr>
      <w:r w:rsidRPr="00732944">
        <w:rPr>
          <w:lang w:val="hy-AM"/>
        </w:rPr>
        <w:t>ԿԱՌԱՎԱՐՈՒԹՅԱՆ ՊԱՐՏՔԻ ՄԱՐՈՒՄԸ ԵՎ ՍՊԱՍԱՐԿՈՒՄԸ</w:t>
      </w:r>
    </w:p>
    <w:p w14:paraId="1CFBE986" w14:textId="77777777" w:rsidR="001F1694" w:rsidRPr="000E5DF3" w:rsidRDefault="001F1694" w:rsidP="001F1694">
      <w:pPr>
        <w:pStyle w:val="BodyText1"/>
        <w:ind w:left="0"/>
        <w:rPr>
          <w:lang w:val="hy-AM"/>
        </w:rPr>
      </w:pPr>
      <w:bookmarkStart w:id="475" w:name="_Toc178350632"/>
      <w:bookmarkStart w:id="476" w:name="_Toc178612157"/>
      <w:bookmarkStart w:id="477" w:name="_Toc184110783"/>
      <w:r w:rsidRPr="000E5DF3">
        <w:rPr>
          <w:lang w:val="hy-AM"/>
        </w:rPr>
        <w:t>2026 թվականին կառավարության պարտքի մարման և սպասարկման համար կպահանջվի 1,0</w:t>
      </w:r>
      <w:r>
        <w:rPr>
          <w:lang w:val="hy-AM"/>
        </w:rPr>
        <w:t>49.</w:t>
      </w:r>
      <w:r w:rsidRPr="00E90CCB">
        <w:rPr>
          <w:lang w:val="hy-AM"/>
        </w:rPr>
        <w:t>7</w:t>
      </w:r>
      <w:r w:rsidRPr="000E5DF3">
        <w:rPr>
          <w:lang w:val="hy-AM"/>
        </w:rPr>
        <w:t xml:space="preserve"> մլրդ դրամ, որից 629.8 մլրդ դրամը կկազմեն պարտքի գծով մարումները, իսկ 4</w:t>
      </w:r>
      <w:r>
        <w:rPr>
          <w:lang w:val="hy-AM"/>
        </w:rPr>
        <w:t>19.9</w:t>
      </w:r>
      <w:r w:rsidRPr="000E5DF3">
        <w:rPr>
          <w:lang w:val="hy-AM"/>
        </w:rPr>
        <w:t xml:space="preserve"> մլրդ դրամը՝ տոկոսավճարները:</w:t>
      </w:r>
    </w:p>
    <w:p w14:paraId="073A825D" w14:textId="77777777" w:rsidR="001F1694" w:rsidRPr="00C3014C" w:rsidRDefault="001F1694" w:rsidP="001F1694">
      <w:pPr>
        <w:pStyle w:val="a"/>
        <w:rPr>
          <w:lang w:eastAsia="ru-RU"/>
        </w:rPr>
      </w:pPr>
      <w:r w:rsidRPr="00C3014C">
        <w:t xml:space="preserve">Աղյուսակ </w:t>
      </w:r>
      <w:r>
        <w:t>23</w:t>
      </w:r>
      <w:r w:rsidRPr="00C3014C">
        <w:t>. Կառավարության պարտքի մարման և սպասարկման ծախսերը (մլրդ դրամ)</w:t>
      </w:r>
      <w:bookmarkEnd w:id="475"/>
      <w:bookmarkEnd w:id="476"/>
      <w:bookmarkEnd w:id="477"/>
    </w:p>
    <w:tbl>
      <w:tblPr>
        <w:tblW w:w="0" w:type="auto"/>
        <w:tblBorders>
          <w:top w:val="single" w:sz="8" w:space="0" w:color="E1E1E3" w:themeColor="accent3" w:themeTint="33"/>
          <w:left w:val="single" w:sz="8" w:space="0" w:color="E1E1E3" w:themeColor="accent3" w:themeTint="33"/>
          <w:bottom w:val="single" w:sz="8" w:space="0" w:color="E1E1E3" w:themeColor="accent3" w:themeTint="33"/>
          <w:right w:val="single" w:sz="8" w:space="0" w:color="E1E1E3" w:themeColor="accent3" w:themeTint="33"/>
          <w:insideH w:val="single" w:sz="8" w:space="0" w:color="E1E1E3" w:themeColor="accent3" w:themeTint="33"/>
          <w:insideV w:val="single" w:sz="8" w:space="0" w:color="E1E1E3" w:themeColor="accent3" w:themeTint="33"/>
        </w:tblBorders>
        <w:tblLook w:val="04A0" w:firstRow="1" w:lastRow="0" w:firstColumn="1" w:lastColumn="0" w:noHBand="0" w:noVBand="1"/>
      </w:tblPr>
      <w:tblGrid>
        <w:gridCol w:w="4624"/>
        <w:gridCol w:w="1556"/>
        <w:gridCol w:w="1661"/>
        <w:gridCol w:w="1606"/>
      </w:tblGrid>
      <w:tr w:rsidR="001F1694" w:rsidRPr="005564EE" w14:paraId="58D8598F" w14:textId="77777777" w:rsidTr="00147C8B">
        <w:trPr>
          <w:trHeight w:val="360"/>
        </w:trPr>
        <w:tc>
          <w:tcPr>
            <w:tcW w:w="4624" w:type="dxa"/>
            <w:shd w:val="clear" w:color="auto" w:fill="D5DCE4" w:themeFill="text2" w:themeFillTint="33"/>
          </w:tcPr>
          <w:p w14:paraId="6AA7E49A" w14:textId="77777777" w:rsidR="001F1694" w:rsidRPr="00732944" w:rsidRDefault="001F1694" w:rsidP="00147C8B">
            <w:pPr>
              <w:spacing w:before="0" w:after="0" w:line="240" w:lineRule="auto"/>
              <w:jc w:val="both"/>
              <w:rPr>
                <w:b/>
                <w:sz w:val="18"/>
                <w:szCs w:val="18"/>
                <w:lang w:val="hy-AM"/>
              </w:rPr>
            </w:pPr>
          </w:p>
        </w:tc>
        <w:tc>
          <w:tcPr>
            <w:tcW w:w="1556" w:type="dxa"/>
            <w:shd w:val="clear" w:color="auto" w:fill="D5DCE4" w:themeFill="text2" w:themeFillTint="33"/>
            <w:vAlign w:val="center"/>
            <w:hideMark/>
          </w:tcPr>
          <w:p w14:paraId="45F9D856" w14:textId="77777777" w:rsidR="001F1694" w:rsidRPr="005564EE" w:rsidRDefault="001F1694" w:rsidP="00147C8B">
            <w:pPr>
              <w:spacing w:before="0" w:after="0" w:line="240" w:lineRule="auto"/>
              <w:jc w:val="center"/>
              <w:rPr>
                <w:b/>
                <w:sz w:val="18"/>
                <w:szCs w:val="18"/>
              </w:rPr>
            </w:pPr>
            <w:r>
              <w:rPr>
                <w:b/>
                <w:sz w:val="18"/>
                <w:szCs w:val="18"/>
                <w:lang w:val="hy-AM"/>
              </w:rPr>
              <w:t>Մ</w:t>
            </w:r>
            <w:r w:rsidRPr="005564EE">
              <w:rPr>
                <w:b/>
                <w:sz w:val="18"/>
                <w:szCs w:val="18"/>
              </w:rPr>
              <w:t>արում</w:t>
            </w:r>
          </w:p>
        </w:tc>
        <w:tc>
          <w:tcPr>
            <w:tcW w:w="1661" w:type="dxa"/>
            <w:shd w:val="clear" w:color="auto" w:fill="D5DCE4" w:themeFill="text2" w:themeFillTint="33"/>
            <w:vAlign w:val="center"/>
            <w:hideMark/>
          </w:tcPr>
          <w:p w14:paraId="1CED46C4" w14:textId="77777777" w:rsidR="001F1694" w:rsidRPr="005564EE" w:rsidRDefault="001F1694" w:rsidP="00147C8B">
            <w:pPr>
              <w:spacing w:before="0" w:after="0" w:line="240" w:lineRule="auto"/>
              <w:jc w:val="center"/>
              <w:rPr>
                <w:b/>
                <w:sz w:val="18"/>
                <w:szCs w:val="18"/>
              </w:rPr>
            </w:pPr>
            <w:r>
              <w:rPr>
                <w:b/>
                <w:sz w:val="18"/>
                <w:szCs w:val="18"/>
                <w:lang w:val="hy-AM"/>
              </w:rPr>
              <w:t>Ս</w:t>
            </w:r>
            <w:r w:rsidRPr="005564EE">
              <w:rPr>
                <w:b/>
                <w:sz w:val="18"/>
                <w:szCs w:val="18"/>
              </w:rPr>
              <w:t>պասարկում</w:t>
            </w:r>
          </w:p>
        </w:tc>
        <w:tc>
          <w:tcPr>
            <w:tcW w:w="1606" w:type="dxa"/>
            <w:shd w:val="clear" w:color="auto" w:fill="D5DCE4" w:themeFill="text2" w:themeFillTint="33"/>
            <w:vAlign w:val="center"/>
            <w:hideMark/>
          </w:tcPr>
          <w:p w14:paraId="55C099C7" w14:textId="77777777" w:rsidR="001F1694" w:rsidRPr="005564EE" w:rsidRDefault="001F1694" w:rsidP="00147C8B">
            <w:pPr>
              <w:spacing w:before="0" w:after="0" w:line="240" w:lineRule="auto"/>
              <w:jc w:val="center"/>
              <w:rPr>
                <w:b/>
                <w:sz w:val="18"/>
                <w:szCs w:val="18"/>
              </w:rPr>
            </w:pPr>
            <w:r>
              <w:rPr>
                <w:b/>
                <w:sz w:val="18"/>
                <w:szCs w:val="18"/>
                <w:lang w:val="hy-AM"/>
              </w:rPr>
              <w:t>Ը</w:t>
            </w:r>
            <w:r w:rsidRPr="005564EE">
              <w:rPr>
                <w:b/>
                <w:sz w:val="18"/>
                <w:szCs w:val="18"/>
              </w:rPr>
              <w:t>նդամենը</w:t>
            </w:r>
          </w:p>
        </w:tc>
      </w:tr>
      <w:tr w:rsidR="001F1694" w:rsidRPr="005564EE" w14:paraId="7503B6D0" w14:textId="77777777" w:rsidTr="00147C8B">
        <w:trPr>
          <w:trHeight w:val="360"/>
        </w:trPr>
        <w:tc>
          <w:tcPr>
            <w:tcW w:w="4624" w:type="dxa"/>
            <w:hideMark/>
          </w:tcPr>
          <w:p w14:paraId="7EF09CDC" w14:textId="77777777" w:rsidR="001F1694" w:rsidRPr="005564EE" w:rsidRDefault="001F1694" w:rsidP="00147C8B">
            <w:pPr>
              <w:spacing w:before="0" w:after="0" w:line="240" w:lineRule="auto"/>
              <w:jc w:val="both"/>
              <w:rPr>
                <w:sz w:val="18"/>
                <w:szCs w:val="18"/>
              </w:rPr>
            </w:pPr>
            <w:r w:rsidRPr="005564EE">
              <w:rPr>
                <w:sz w:val="18"/>
                <w:szCs w:val="18"/>
              </w:rPr>
              <w:t>Պետական գանձապետական պարտատոմսեր</w:t>
            </w:r>
          </w:p>
        </w:tc>
        <w:tc>
          <w:tcPr>
            <w:tcW w:w="1556" w:type="dxa"/>
            <w:vAlign w:val="bottom"/>
            <w:hideMark/>
          </w:tcPr>
          <w:p w14:paraId="6FBEA2EC" w14:textId="77777777" w:rsidR="001F1694" w:rsidRPr="005564EE" w:rsidRDefault="001F1694" w:rsidP="00147C8B">
            <w:pPr>
              <w:spacing w:before="0" w:after="0" w:line="240" w:lineRule="auto"/>
              <w:jc w:val="center"/>
              <w:rPr>
                <w:sz w:val="18"/>
                <w:szCs w:val="18"/>
              </w:rPr>
            </w:pPr>
            <w:r w:rsidRPr="000E5DF3">
              <w:rPr>
                <w:sz w:val="18"/>
                <w:szCs w:val="18"/>
              </w:rPr>
              <w:t xml:space="preserve">450.0 </w:t>
            </w:r>
          </w:p>
        </w:tc>
        <w:tc>
          <w:tcPr>
            <w:tcW w:w="1661" w:type="dxa"/>
            <w:vAlign w:val="bottom"/>
            <w:hideMark/>
          </w:tcPr>
          <w:p w14:paraId="7F7D3370" w14:textId="77777777" w:rsidR="001F1694" w:rsidRPr="000E5DF3" w:rsidRDefault="001F1694" w:rsidP="00147C8B">
            <w:pPr>
              <w:spacing w:before="0" w:after="0" w:line="240" w:lineRule="auto"/>
              <w:jc w:val="center"/>
              <w:rPr>
                <w:sz w:val="18"/>
                <w:szCs w:val="18"/>
              </w:rPr>
            </w:pPr>
            <w:r>
              <w:rPr>
                <w:sz w:val="18"/>
                <w:szCs w:val="18"/>
              </w:rPr>
              <w:t>283.1</w:t>
            </w:r>
          </w:p>
        </w:tc>
        <w:tc>
          <w:tcPr>
            <w:tcW w:w="1606" w:type="dxa"/>
            <w:vAlign w:val="bottom"/>
            <w:hideMark/>
          </w:tcPr>
          <w:p w14:paraId="012B4BB3" w14:textId="77777777" w:rsidR="001F1694" w:rsidRPr="005564EE" w:rsidRDefault="001F1694" w:rsidP="00147C8B">
            <w:pPr>
              <w:spacing w:before="0" w:after="0" w:line="240" w:lineRule="auto"/>
              <w:jc w:val="center"/>
              <w:rPr>
                <w:sz w:val="18"/>
                <w:szCs w:val="18"/>
              </w:rPr>
            </w:pPr>
            <w:r w:rsidRPr="000E5DF3">
              <w:rPr>
                <w:sz w:val="18"/>
                <w:szCs w:val="18"/>
              </w:rPr>
              <w:t>733.1</w:t>
            </w:r>
          </w:p>
        </w:tc>
      </w:tr>
      <w:tr w:rsidR="001F1694" w:rsidRPr="005564EE" w14:paraId="03354EBD" w14:textId="77777777" w:rsidTr="00147C8B">
        <w:trPr>
          <w:trHeight w:val="360"/>
        </w:trPr>
        <w:tc>
          <w:tcPr>
            <w:tcW w:w="4624" w:type="dxa"/>
            <w:hideMark/>
          </w:tcPr>
          <w:p w14:paraId="2A8950E3" w14:textId="77777777" w:rsidR="001F1694" w:rsidRPr="005564EE" w:rsidRDefault="001F1694" w:rsidP="00147C8B">
            <w:pPr>
              <w:spacing w:before="0" w:after="0" w:line="240" w:lineRule="auto"/>
              <w:jc w:val="both"/>
              <w:rPr>
                <w:sz w:val="18"/>
                <w:szCs w:val="18"/>
                <w:lang w:val="hy-AM"/>
              </w:rPr>
            </w:pPr>
            <w:r w:rsidRPr="005564EE">
              <w:rPr>
                <w:sz w:val="18"/>
                <w:szCs w:val="18"/>
              </w:rPr>
              <w:t>Արտարժութային պետական պարտատոմսեր</w:t>
            </w:r>
          </w:p>
        </w:tc>
        <w:tc>
          <w:tcPr>
            <w:tcW w:w="1556" w:type="dxa"/>
            <w:vAlign w:val="bottom"/>
            <w:hideMark/>
          </w:tcPr>
          <w:p w14:paraId="70F0D520" w14:textId="77777777" w:rsidR="001F1694" w:rsidRPr="000E5DF3" w:rsidRDefault="001F1694" w:rsidP="00147C8B">
            <w:pPr>
              <w:spacing w:before="0" w:after="0" w:line="240" w:lineRule="auto"/>
              <w:jc w:val="center"/>
              <w:rPr>
                <w:sz w:val="18"/>
                <w:szCs w:val="18"/>
              </w:rPr>
            </w:pPr>
            <w:r>
              <w:rPr>
                <w:sz w:val="18"/>
                <w:szCs w:val="18"/>
              </w:rPr>
              <w:t>-</w:t>
            </w:r>
          </w:p>
        </w:tc>
        <w:tc>
          <w:tcPr>
            <w:tcW w:w="1661" w:type="dxa"/>
            <w:vAlign w:val="bottom"/>
            <w:hideMark/>
          </w:tcPr>
          <w:p w14:paraId="622D2376" w14:textId="77777777" w:rsidR="001F1694" w:rsidRPr="005564EE" w:rsidRDefault="001F1694" w:rsidP="00147C8B">
            <w:pPr>
              <w:spacing w:before="0" w:after="0" w:line="240" w:lineRule="auto"/>
              <w:jc w:val="center"/>
              <w:rPr>
                <w:sz w:val="18"/>
                <w:szCs w:val="18"/>
              </w:rPr>
            </w:pPr>
            <w:r>
              <w:rPr>
                <w:sz w:val="18"/>
                <w:szCs w:val="18"/>
              </w:rPr>
              <w:t>39.9</w:t>
            </w:r>
          </w:p>
        </w:tc>
        <w:tc>
          <w:tcPr>
            <w:tcW w:w="1606" w:type="dxa"/>
            <w:vAlign w:val="bottom"/>
            <w:hideMark/>
          </w:tcPr>
          <w:p w14:paraId="78B64300" w14:textId="77777777" w:rsidR="001F1694" w:rsidRPr="005564EE" w:rsidRDefault="001F1694" w:rsidP="00147C8B">
            <w:pPr>
              <w:spacing w:before="0" w:after="0" w:line="240" w:lineRule="auto"/>
              <w:jc w:val="center"/>
              <w:rPr>
                <w:sz w:val="18"/>
                <w:szCs w:val="18"/>
              </w:rPr>
            </w:pPr>
            <w:r>
              <w:rPr>
                <w:sz w:val="18"/>
                <w:szCs w:val="18"/>
              </w:rPr>
              <w:t>39.9</w:t>
            </w:r>
          </w:p>
        </w:tc>
      </w:tr>
      <w:tr w:rsidR="001F1694" w:rsidRPr="005564EE" w14:paraId="51AF02E3" w14:textId="77777777" w:rsidTr="00147C8B">
        <w:trPr>
          <w:trHeight w:val="360"/>
        </w:trPr>
        <w:tc>
          <w:tcPr>
            <w:tcW w:w="4624" w:type="dxa"/>
            <w:hideMark/>
          </w:tcPr>
          <w:p w14:paraId="2F1A6654" w14:textId="77777777" w:rsidR="001F1694" w:rsidRPr="005564EE" w:rsidRDefault="001F1694" w:rsidP="00147C8B">
            <w:pPr>
              <w:spacing w:before="0" w:after="0" w:line="240" w:lineRule="auto"/>
              <w:jc w:val="both"/>
              <w:rPr>
                <w:sz w:val="18"/>
                <w:szCs w:val="18"/>
                <w:lang w:val="hy-AM"/>
              </w:rPr>
            </w:pPr>
            <w:r w:rsidRPr="005564EE">
              <w:rPr>
                <w:sz w:val="18"/>
                <w:szCs w:val="18"/>
              </w:rPr>
              <w:t>Արտաքին վարկեր</w:t>
            </w:r>
          </w:p>
        </w:tc>
        <w:tc>
          <w:tcPr>
            <w:tcW w:w="1556" w:type="dxa"/>
            <w:vAlign w:val="bottom"/>
            <w:hideMark/>
          </w:tcPr>
          <w:p w14:paraId="22D46ACE" w14:textId="77777777" w:rsidR="001F1694" w:rsidRPr="000E5DF3" w:rsidRDefault="001F1694" w:rsidP="00147C8B">
            <w:pPr>
              <w:spacing w:before="0" w:after="0" w:line="240" w:lineRule="auto"/>
              <w:jc w:val="center"/>
              <w:rPr>
                <w:sz w:val="18"/>
                <w:szCs w:val="18"/>
              </w:rPr>
            </w:pPr>
            <w:r w:rsidRPr="000E5DF3">
              <w:rPr>
                <w:sz w:val="18"/>
                <w:szCs w:val="18"/>
              </w:rPr>
              <w:t>179.8</w:t>
            </w:r>
          </w:p>
        </w:tc>
        <w:tc>
          <w:tcPr>
            <w:tcW w:w="1661" w:type="dxa"/>
            <w:vAlign w:val="bottom"/>
            <w:hideMark/>
          </w:tcPr>
          <w:p w14:paraId="4A12137D" w14:textId="77777777" w:rsidR="001F1694" w:rsidRPr="00F501BD" w:rsidRDefault="001F1694" w:rsidP="00147C8B">
            <w:pPr>
              <w:spacing w:before="0" w:after="0" w:line="240" w:lineRule="auto"/>
              <w:jc w:val="center"/>
              <w:rPr>
                <w:sz w:val="18"/>
                <w:szCs w:val="18"/>
                <w:lang w:val="hy-AM"/>
              </w:rPr>
            </w:pPr>
            <w:r>
              <w:rPr>
                <w:sz w:val="18"/>
                <w:szCs w:val="18"/>
                <w:lang w:val="hy-AM"/>
              </w:rPr>
              <w:t>97</w:t>
            </w:r>
            <w:r w:rsidRPr="000E5DF3">
              <w:rPr>
                <w:sz w:val="18"/>
                <w:szCs w:val="18"/>
              </w:rPr>
              <w:t>.</w:t>
            </w:r>
            <w:r>
              <w:rPr>
                <w:sz w:val="18"/>
                <w:szCs w:val="18"/>
                <w:lang w:val="hy-AM"/>
              </w:rPr>
              <w:t>0</w:t>
            </w:r>
          </w:p>
        </w:tc>
        <w:tc>
          <w:tcPr>
            <w:tcW w:w="1606" w:type="dxa"/>
            <w:vAlign w:val="bottom"/>
            <w:hideMark/>
          </w:tcPr>
          <w:p w14:paraId="32827428" w14:textId="77777777" w:rsidR="001F1694" w:rsidRPr="00F501BD" w:rsidRDefault="001F1694" w:rsidP="00147C8B">
            <w:pPr>
              <w:spacing w:before="0" w:after="0" w:line="240" w:lineRule="auto"/>
              <w:jc w:val="center"/>
              <w:rPr>
                <w:sz w:val="18"/>
                <w:szCs w:val="18"/>
                <w:lang w:val="hy-AM"/>
              </w:rPr>
            </w:pPr>
            <w:r w:rsidRPr="000E5DF3">
              <w:rPr>
                <w:sz w:val="18"/>
                <w:szCs w:val="18"/>
              </w:rPr>
              <w:t>2</w:t>
            </w:r>
            <w:r>
              <w:rPr>
                <w:sz w:val="18"/>
                <w:szCs w:val="18"/>
                <w:lang w:val="hy-AM"/>
              </w:rPr>
              <w:t>76</w:t>
            </w:r>
            <w:r w:rsidRPr="000E5DF3">
              <w:rPr>
                <w:sz w:val="18"/>
                <w:szCs w:val="18"/>
              </w:rPr>
              <w:t>.</w:t>
            </w:r>
            <w:r>
              <w:rPr>
                <w:sz w:val="18"/>
                <w:szCs w:val="18"/>
                <w:lang w:val="hy-AM"/>
              </w:rPr>
              <w:t>7</w:t>
            </w:r>
          </w:p>
        </w:tc>
      </w:tr>
      <w:tr w:rsidR="001F1694" w:rsidRPr="005564EE" w14:paraId="400419D1" w14:textId="77777777" w:rsidTr="00147C8B">
        <w:trPr>
          <w:trHeight w:val="360"/>
        </w:trPr>
        <w:tc>
          <w:tcPr>
            <w:tcW w:w="4624" w:type="dxa"/>
            <w:hideMark/>
          </w:tcPr>
          <w:p w14:paraId="420EAEEF" w14:textId="77777777" w:rsidR="001F1694" w:rsidRPr="005564EE" w:rsidRDefault="001F1694" w:rsidP="00147C8B">
            <w:pPr>
              <w:spacing w:before="0" w:after="0" w:line="240" w:lineRule="auto"/>
              <w:jc w:val="both"/>
              <w:rPr>
                <w:b/>
                <w:sz w:val="18"/>
                <w:szCs w:val="18"/>
                <w:lang w:val="hy-AM"/>
              </w:rPr>
            </w:pPr>
            <w:r w:rsidRPr="005564EE">
              <w:rPr>
                <w:b/>
                <w:sz w:val="18"/>
                <w:szCs w:val="18"/>
              </w:rPr>
              <w:t>Ընդամենը</w:t>
            </w:r>
          </w:p>
        </w:tc>
        <w:tc>
          <w:tcPr>
            <w:tcW w:w="1556" w:type="dxa"/>
            <w:vAlign w:val="center"/>
            <w:hideMark/>
          </w:tcPr>
          <w:p w14:paraId="4859D2F4" w14:textId="77777777" w:rsidR="001F1694" w:rsidRPr="005564EE" w:rsidRDefault="001F1694" w:rsidP="00147C8B">
            <w:pPr>
              <w:spacing w:before="0" w:after="0" w:line="240" w:lineRule="auto"/>
              <w:jc w:val="center"/>
              <w:rPr>
                <w:b/>
                <w:sz w:val="18"/>
                <w:szCs w:val="18"/>
                <w:lang w:val="ru-RU" w:eastAsia="ru-RU"/>
              </w:rPr>
            </w:pPr>
            <w:r>
              <w:rPr>
                <w:b/>
                <w:sz w:val="18"/>
                <w:szCs w:val="18"/>
              </w:rPr>
              <w:t>629.8</w:t>
            </w:r>
          </w:p>
        </w:tc>
        <w:tc>
          <w:tcPr>
            <w:tcW w:w="1661" w:type="dxa"/>
            <w:vAlign w:val="center"/>
            <w:hideMark/>
          </w:tcPr>
          <w:p w14:paraId="38FEA319" w14:textId="77777777" w:rsidR="001F1694" w:rsidRPr="00F501BD" w:rsidRDefault="001F1694" w:rsidP="00147C8B">
            <w:pPr>
              <w:spacing w:before="0" w:after="0" w:line="240" w:lineRule="auto"/>
              <w:jc w:val="center"/>
              <w:rPr>
                <w:b/>
                <w:sz w:val="18"/>
                <w:szCs w:val="18"/>
                <w:lang w:val="hy-AM"/>
              </w:rPr>
            </w:pPr>
            <w:r>
              <w:rPr>
                <w:b/>
                <w:sz w:val="18"/>
                <w:szCs w:val="18"/>
              </w:rPr>
              <w:t>4</w:t>
            </w:r>
            <w:r>
              <w:rPr>
                <w:b/>
                <w:sz w:val="18"/>
                <w:szCs w:val="18"/>
                <w:lang w:val="hy-AM"/>
              </w:rPr>
              <w:t>19</w:t>
            </w:r>
            <w:r>
              <w:rPr>
                <w:b/>
                <w:sz w:val="18"/>
                <w:szCs w:val="18"/>
              </w:rPr>
              <w:t>.</w:t>
            </w:r>
            <w:r>
              <w:rPr>
                <w:b/>
                <w:sz w:val="18"/>
                <w:szCs w:val="18"/>
                <w:lang w:val="hy-AM"/>
              </w:rPr>
              <w:t>9</w:t>
            </w:r>
          </w:p>
        </w:tc>
        <w:tc>
          <w:tcPr>
            <w:tcW w:w="1606" w:type="dxa"/>
            <w:vAlign w:val="center"/>
            <w:hideMark/>
          </w:tcPr>
          <w:p w14:paraId="1BC3C25D" w14:textId="77777777" w:rsidR="001F1694" w:rsidRPr="000E5DF3" w:rsidRDefault="001F1694" w:rsidP="00147C8B">
            <w:pPr>
              <w:spacing w:before="0" w:after="0" w:line="240" w:lineRule="auto"/>
              <w:jc w:val="center"/>
              <w:rPr>
                <w:b/>
                <w:sz w:val="18"/>
                <w:szCs w:val="18"/>
                <w:lang w:val="hy-AM"/>
              </w:rPr>
            </w:pPr>
            <w:r>
              <w:rPr>
                <w:b/>
                <w:sz w:val="18"/>
                <w:szCs w:val="18"/>
              </w:rPr>
              <w:t>1,0</w:t>
            </w:r>
            <w:r>
              <w:rPr>
                <w:b/>
                <w:sz w:val="18"/>
                <w:szCs w:val="18"/>
                <w:lang w:val="hy-AM"/>
              </w:rPr>
              <w:t>49.7</w:t>
            </w:r>
          </w:p>
        </w:tc>
      </w:tr>
    </w:tbl>
    <w:p w14:paraId="785F2AF5" w14:textId="2B340554" w:rsidR="001F1694" w:rsidRPr="00C65214" w:rsidRDefault="001F1694" w:rsidP="001F1694">
      <w:pPr>
        <w:pStyle w:val="Charts"/>
      </w:pPr>
      <w:bookmarkStart w:id="478" w:name="_Toc178350589"/>
      <w:bookmarkStart w:id="479" w:name="_Toc178595166"/>
      <w:bookmarkStart w:id="480" w:name="_Toc184110753"/>
      <w:r w:rsidRPr="00C65214">
        <w:t xml:space="preserve">Գծապատկեր </w:t>
      </w:r>
      <w:r w:rsidRPr="00C65214">
        <w:fldChar w:fldCharType="begin"/>
      </w:r>
      <w:r w:rsidRPr="00C65214">
        <w:instrText xml:space="preserve"> SEQ գծապատկեր \* ARABIC </w:instrText>
      </w:r>
      <w:r w:rsidRPr="00C65214">
        <w:fldChar w:fldCharType="separate"/>
      </w:r>
      <w:r w:rsidR="001848B1">
        <w:rPr>
          <w:noProof/>
        </w:rPr>
        <w:t>8</w:t>
      </w:r>
      <w:r w:rsidRPr="00C65214">
        <w:fldChar w:fldCharType="end"/>
      </w:r>
      <w:r w:rsidRPr="00C65214">
        <w:t>. Սպասարկման ծախսերի կառուցվածքը (%)</w:t>
      </w:r>
      <w:bookmarkEnd w:id="478"/>
      <w:bookmarkEnd w:id="479"/>
      <w:bookmarkEnd w:id="480"/>
    </w:p>
    <w:p w14:paraId="75FFF681" w14:textId="77777777" w:rsidR="001F1694" w:rsidRPr="00C3014C" w:rsidRDefault="001F1694" w:rsidP="001F1694">
      <w:pPr>
        <w:jc w:val="both"/>
      </w:pPr>
      <w:r>
        <w:rPr>
          <w:noProof/>
        </w:rPr>
        <w:drawing>
          <wp:inline distT="0" distB="0" distL="0" distR="0" wp14:anchorId="54B92797" wp14:editId="5E30AE9C">
            <wp:extent cx="6254115" cy="2275027"/>
            <wp:effectExtent l="0" t="0" r="13335" b="11430"/>
            <wp:docPr id="58" name="Chart 58"/>
            <wp:cNvGraphicFramePr/>
            <a:graphic xmlns:a="http://schemas.openxmlformats.org/drawingml/2006/main">
              <a:graphicData uri="http://schemas.openxmlformats.org/drawingml/2006/chart">
                <c:chart xmlns:c="http://schemas.openxmlformats.org/drawingml/2006/chart" xmlns:r="http://schemas.openxmlformats.org/officeDocument/2006/relationships" r:id="rId82"/>
              </a:graphicData>
            </a:graphic>
          </wp:inline>
        </w:drawing>
      </w:r>
    </w:p>
    <w:p w14:paraId="77A0BCA7" w14:textId="77777777" w:rsidR="001F1694" w:rsidRDefault="001F1694" w:rsidP="001F1694">
      <w:pPr>
        <w:pStyle w:val="BodyText1"/>
        <w:ind w:left="0"/>
      </w:pPr>
    </w:p>
    <w:p w14:paraId="6C72545E" w14:textId="77777777" w:rsidR="001F1694" w:rsidRPr="000E5DF3" w:rsidRDefault="001F1694" w:rsidP="001F1694">
      <w:pPr>
        <w:pStyle w:val="BodyText1"/>
        <w:ind w:left="0"/>
        <w:rPr>
          <w:lang w:val="hy-AM"/>
        </w:rPr>
      </w:pPr>
      <w:r w:rsidRPr="000E5DF3">
        <w:rPr>
          <w:lang w:val="hy-AM"/>
        </w:rPr>
        <w:t>Պետական գանձապետական պարտատոմսերի մարման համար նախատեսված 450.0 մլրդ դրամի մեջ 30 մլրդ դրամը կազմում է պարտատոմսերի հետգնումների համար ծրագրավորված գումարը:</w:t>
      </w:r>
    </w:p>
    <w:p w14:paraId="791B842B" w14:textId="77777777" w:rsidR="001F1694" w:rsidRPr="000E5DF3" w:rsidRDefault="001F1694" w:rsidP="001F1694">
      <w:pPr>
        <w:pStyle w:val="BodyText1"/>
        <w:ind w:left="0"/>
        <w:rPr>
          <w:lang w:val="hy-AM"/>
        </w:rPr>
      </w:pPr>
      <w:r w:rsidRPr="00193AEC">
        <w:rPr>
          <w:lang w:val="hy-AM"/>
        </w:rPr>
        <w:t>Արտաքին վարկերի մարման և սպասարկման գծով նախատեսվում է վճարել 276.7 մլրդ դրամ (</w:t>
      </w:r>
      <w:r w:rsidRPr="00501EEC">
        <w:rPr>
          <w:lang w:val="hy-AM"/>
        </w:rPr>
        <w:t>675.</w:t>
      </w:r>
      <w:r w:rsidRPr="00535345">
        <w:rPr>
          <w:lang w:val="hy-AM"/>
        </w:rPr>
        <w:t>8 մ</w:t>
      </w:r>
      <w:r w:rsidRPr="00501EEC">
        <w:rPr>
          <w:lang w:val="hy-AM"/>
        </w:rPr>
        <w:t>լն ԱՄՆ դոլար</w:t>
      </w:r>
      <w:r w:rsidRPr="00193AEC">
        <w:rPr>
          <w:lang w:val="hy-AM"/>
        </w:rPr>
        <w:t>):</w:t>
      </w:r>
      <w:r w:rsidRPr="000E5DF3">
        <w:rPr>
          <w:lang w:val="hy-AM"/>
        </w:rPr>
        <w:t xml:space="preserve"> </w:t>
      </w:r>
    </w:p>
    <w:p w14:paraId="436FEA0A" w14:textId="384F7F90" w:rsidR="00AC1502" w:rsidRDefault="001F1694" w:rsidP="001F1694">
      <w:pPr>
        <w:pStyle w:val="BodyText1"/>
        <w:ind w:left="0"/>
        <w:rPr>
          <w:lang w:val="hy-AM"/>
        </w:rPr>
      </w:pPr>
      <w:r w:rsidRPr="000E5DF3">
        <w:rPr>
          <w:lang w:val="hy-AM"/>
        </w:rPr>
        <w:t>Արտարժութային պետական պարտատոմսերի սպասարկման ծախսերը 2026 թվականին կկազմեն 97.4 մլն ԱՄՆ դոլար` շրջանառության մեջ գտնվող պարտատոմսերի գծով արժեկտրոնային վճարումների համար:</w:t>
      </w:r>
    </w:p>
    <w:p w14:paraId="5CDD944C" w14:textId="77777777" w:rsidR="001F1694" w:rsidRPr="001F1694" w:rsidRDefault="001F1694" w:rsidP="001F1694">
      <w:pPr>
        <w:rPr>
          <w:lang w:val="hy-AM"/>
        </w:rPr>
      </w:pPr>
    </w:p>
    <w:p w14:paraId="5FE8449F" w14:textId="77777777" w:rsidR="00957A78" w:rsidRPr="00C83848" w:rsidRDefault="00957A78" w:rsidP="001739BB">
      <w:pPr>
        <w:pStyle w:val="TOC2"/>
        <w:outlineLvl w:val="1"/>
        <w:rPr>
          <w:lang w:val="hy-AM"/>
        </w:rPr>
      </w:pPr>
      <w:bookmarkStart w:id="481" w:name="_Toc106822903"/>
      <w:bookmarkStart w:id="482" w:name="_Toc46154385"/>
      <w:bookmarkStart w:id="483" w:name="_Toc45838560"/>
      <w:bookmarkStart w:id="484" w:name="_Toc13837279"/>
      <w:bookmarkStart w:id="485" w:name="_Toc14687615"/>
      <w:bookmarkStart w:id="486" w:name="_Toc170926363"/>
      <w:bookmarkStart w:id="487" w:name="_Toc178356617"/>
      <w:bookmarkStart w:id="488" w:name="_Toc183801113"/>
      <w:bookmarkStart w:id="489" w:name="_Toc215157699"/>
      <w:bookmarkStart w:id="490" w:name="_Toc83650399"/>
      <w:bookmarkStart w:id="491" w:name="_Toc83972894"/>
      <w:bookmarkStart w:id="492" w:name="_Toc178356618"/>
      <w:bookmarkEnd w:id="452"/>
      <w:r w:rsidRPr="00C83848">
        <w:rPr>
          <w:lang w:val="hy-AM"/>
        </w:rPr>
        <w:t>2.</w:t>
      </w:r>
      <w:bookmarkStart w:id="493" w:name="_Toc138956242"/>
      <w:bookmarkStart w:id="494" w:name="_Toc77837912"/>
      <w:bookmarkEnd w:id="481"/>
      <w:bookmarkEnd w:id="482"/>
      <w:bookmarkEnd w:id="483"/>
      <w:bookmarkEnd w:id="484"/>
      <w:bookmarkEnd w:id="485"/>
      <w:r w:rsidRPr="00C83848">
        <w:rPr>
          <w:lang w:val="hy-AM"/>
        </w:rPr>
        <w:t xml:space="preserve"> ՀԱՐԿԱԲՅՈՒՋԵՏԱՅԻՆ ՌԻՍԿԵՐԻ ԳՆԱՀԱՏՈՒՄ</w:t>
      </w:r>
      <w:bookmarkEnd w:id="486"/>
      <w:bookmarkEnd w:id="487"/>
      <w:bookmarkEnd w:id="488"/>
      <w:bookmarkEnd w:id="489"/>
    </w:p>
    <w:p w14:paraId="6C9D6DF6" w14:textId="77777777" w:rsidR="00957A78" w:rsidRPr="00C83848" w:rsidRDefault="00957A78" w:rsidP="00957A78">
      <w:pPr>
        <w:pStyle w:val="TOC4"/>
        <w:rPr>
          <w:b/>
          <w:bCs/>
          <w:lang w:val="hy-AM"/>
        </w:rPr>
      </w:pPr>
      <w:bookmarkStart w:id="495" w:name="_Toc178604166"/>
      <w:bookmarkStart w:id="496" w:name="_Toc178595347"/>
      <w:bookmarkEnd w:id="493"/>
      <w:bookmarkEnd w:id="494"/>
      <w:r w:rsidRPr="00C83848">
        <w:rPr>
          <w:b/>
          <w:bCs/>
          <w:lang w:val="hy-AM"/>
        </w:rPr>
        <w:t>2.1. ՊԵՏԱԿԱՆ ԲՅՈՒՋԵԻ ՎՐԱ ՄԱԿՐՈՏՆՏԵՍԱԿԱՆ ԿԱՆԽԱՏԵՍՎԱԾ ՑՈՒՑԱՆԻՇՆԵՐԻՑ ՇԵՂՄԱՆ ՌԻՍԿԵՐԻ ԱԶԴԵՑՈՒԹՅԱՆ ՔԱՆԱԿԱԿԱՆ ԳՆԱՀԱՏՈՒՄ</w:t>
      </w:r>
      <w:bookmarkEnd w:id="495"/>
      <w:bookmarkEnd w:id="496"/>
    </w:p>
    <w:p w14:paraId="6E906D47" w14:textId="77777777" w:rsidR="00957A78" w:rsidRDefault="00957A78" w:rsidP="00957A78">
      <w:pPr>
        <w:pStyle w:val="TOC4"/>
        <w:rPr>
          <w:lang w:val="hy-AM"/>
        </w:rPr>
      </w:pPr>
      <w:bookmarkStart w:id="497" w:name="_5._ՖԻՍԿԱԼ_ՌԻՍԿԵՐԻ"/>
      <w:bookmarkStart w:id="498" w:name="_Toc170750603"/>
      <w:bookmarkEnd w:id="497"/>
      <w:r>
        <w:rPr>
          <w:lang w:val="hy-AM"/>
        </w:rPr>
        <w:t>2.1.1. 202</w:t>
      </w:r>
      <w:r w:rsidRPr="002E3CEF">
        <w:rPr>
          <w:lang w:val="hy-AM"/>
        </w:rPr>
        <w:t xml:space="preserve">6 </w:t>
      </w:r>
      <w:r>
        <w:rPr>
          <w:lang w:val="hy-AM"/>
        </w:rPr>
        <w:t>ԹՎԱԿԱՆԻ ՊԵՏԱԿԱՆ ԲՅՈՒՋԵԻ ԵՎ ՄԻՋՆԱԺԱՄԿԵՏ ՀՈՐԻԶՈՆԻ ՀԱՐԿԱՅԻՆ ԵԿԱՄՈՒՏՆԵՐԻ ՎՐԱ ՄԱԿՐՈՏՆՏԵՍԱԿԱՆ ՑՈՒՑԱՆԻՇՆԵՐԻ ԿԱՆԽԱՏԵՍՎԱԾԻՑ ՇԵՂՄԱՆ ՌԻՍԿԵՐԻ ԱԶԴԵՑՈՒԹՅԱՆ ՔԱՆԱԿԱԿԱՆ ԳՆԱՀԱՏՈՒՄԸ</w:t>
      </w:r>
      <w:bookmarkEnd w:id="498"/>
    </w:p>
    <w:p w14:paraId="35BD20D3" w14:textId="77777777" w:rsidR="00957A78" w:rsidRDefault="00957A78" w:rsidP="00957A78">
      <w:pPr>
        <w:pStyle w:val="BodyText1"/>
        <w:rPr>
          <w:lang w:val="hy-AM"/>
        </w:rPr>
      </w:pPr>
      <w:r>
        <w:rPr>
          <w:lang w:val="hy-AM"/>
        </w:rPr>
        <w:t xml:space="preserve">Միջնաժամկետ հատվածում հարկային եկամուտների կանխատեսվող հոսքերի վրա մակրոտնտեսական բնույթի ռիսկերի ազդեցության քանակական գնահատումը հիմնվել է ստորև նկարագրված </w:t>
      </w:r>
      <w:r>
        <w:rPr>
          <w:b/>
          <w:lang w:val="hy-AM"/>
        </w:rPr>
        <w:t xml:space="preserve">ՀՆԱ կանխատեսումներից շեղումների ռիսկի և ենթադրություններից շեղումների ռիսկի վրա: </w:t>
      </w:r>
      <w:r>
        <w:rPr>
          <w:lang w:val="hy-AM"/>
        </w:rPr>
        <w:t>Ռիսկերի առարկայացման գնահատումն իրականացվել է Բայեսյան Վեկտոր ավտոռեգրեսիոն մոդելով, որի նախնական արժեքները նշանակվել են հիմք ընդունելով ՀՀ ՖՆ «AFSM DSGE» կառուցվածքային մոդելով</w:t>
      </w:r>
      <w:r>
        <w:rPr>
          <w:vertAlign w:val="superscript"/>
        </w:rPr>
        <w:footnoteReference w:id="22"/>
      </w:r>
      <w:r>
        <w:rPr>
          <w:vertAlign w:val="superscript"/>
          <w:lang w:val="hy-AM"/>
        </w:rPr>
        <w:t xml:space="preserve"> </w:t>
      </w:r>
      <w:r>
        <w:rPr>
          <w:lang w:val="hy-AM"/>
        </w:rPr>
        <w:t xml:space="preserve">գնահատված զգայունության գործակիցները։  </w:t>
      </w:r>
    </w:p>
    <w:p w14:paraId="33A10503" w14:textId="77777777" w:rsidR="00957A78" w:rsidRDefault="00957A78" w:rsidP="00957A78">
      <w:pPr>
        <w:pStyle w:val="TOC4"/>
        <w:rPr>
          <w:lang w:val="hy-AM"/>
        </w:rPr>
      </w:pPr>
      <w:r>
        <w:rPr>
          <w:lang w:val="hy-AM"/>
        </w:rPr>
        <w:t>1. ՀՆԱ ԿԱՆԽԱՏԵՍՈՒՄՆԵՐԻՑ ՇԵՂՈՒՄՆԵՐԻ ՌԻՍԿ</w:t>
      </w:r>
    </w:p>
    <w:p w14:paraId="434A0D12" w14:textId="77777777" w:rsidR="00957A78" w:rsidRPr="00121AF3" w:rsidRDefault="00957A78" w:rsidP="00957A78">
      <w:pPr>
        <w:pStyle w:val="BodyText1"/>
        <w:rPr>
          <w:lang w:val="hy-AM"/>
        </w:rPr>
      </w:pPr>
      <w:r w:rsidRPr="00121AF3">
        <w:rPr>
          <w:lang w:val="hy-AM"/>
        </w:rPr>
        <w:t xml:space="preserve">ՀՆԱ-ի կանխատեսումների ռիսկը գնահատվել է 2010-2024 թվականներին միջնաժամկետ ծախսերի ծրագրերի հիմքում դրվող ՀՆԱ-ի կանխատեսված ցուցանիշների և ՀՆԱ-ի փաստացի ցուցանիշների միջև շեղման հիման վրա, որոնք վերջին տարիների համար եղել են 3.0-ից 3.9 տոկոսային կետ: Ընդ որում, պետք է նշել, որ այս գնահատականներն ամփոփում են կանխատեսումներից ինչպես դրական, այնպես էլ բացասական շեղումները՝ ըստ էության արտացոլելով ՀՆԱ պատմական տատանողականության և ՀՆԱ կանխատեսումների շուրջ ձևավորվող անորոշության ազդեցությունը։ </w:t>
      </w:r>
    </w:p>
    <w:p w14:paraId="0AE4423C" w14:textId="77777777" w:rsidR="00957A78" w:rsidRPr="00121AF3" w:rsidRDefault="00957A78" w:rsidP="00957A78">
      <w:pPr>
        <w:pStyle w:val="BodyText1"/>
        <w:rPr>
          <w:lang w:val="hy-AM"/>
        </w:rPr>
      </w:pPr>
      <w:r w:rsidRPr="00121AF3">
        <w:rPr>
          <w:lang w:val="hy-AM"/>
        </w:rPr>
        <w:t>2026-2028թթ</w:t>
      </w:r>
      <w:r>
        <w:rPr>
          <w:lang w:val="hy-AM"/>
        </w:rPr>
        <w:t>.</w:t>
      </w:r>
      <w:r w:rsidRPr="00121AF3">
        <w:rPr>
          <w:lang w:val="hy-AM"/>
        </w:rPr>
        <w:t xml:space="preserve">-ի համար որպես ռիսկ է դիտարկվել ՀՆԱ-ի իրական աճի հավանականությունների բաշխման գծապատկերի 40% հավանականությանը համապատասխանող մակարդակը, որ կլինի </w:t>
      </w:r>
      <w:r w:rsidRPr="002E3CEF">
        <w:rPr>
          <w:lang w:val="hy-AM"/>
        </w:rPr>
        <w:t>1.2</w:t>
      </w:r>
      <w:r w:rsidRPr="00121AF3">
        <w:rPr>
          <w:lang w:val="hy-AM"/>
        </w:rPr>
        <w:t>-1</w:t>
      </w:r>
      <w:r w:rsidRPr="002E3CEF">
        <w:rPr>
          <w:lang w:val="hy-AM"/>
        </w:rPr>
        <w:t>.3</w:t>
      </w:r>
      <w:r w:rsidRPr="00121AF3">
        <w:rPr>
          <w:lang w:val="hy-AM"/>
        </w:rPr>
        <w:t xml:space="preserve"> տոկոսային կետով ավելի ցածր կանխատեսված մակարդակից, և 30% հավանականությանը համապատասխանող մակարդակը, որ կլինի 1.</w:t>
      </w:r>
      <w:r w:rsidRPr="002E3CEF">
        <w:rPr>
          <w:lang w:val="hy-AM"/>
        </w:rPr>
        <w:t>6</w:t>
      </w:r>
      <w:r w:rsidRPr="00121AF3">
        <w:rPr>
          <w:lang w:val="hy-AM"/>
        </w:rPr>
        <w:t>-1.</w:t>
      </w:r>
      <w:r w:rsidRPr="002E3CEF">
        <w:rPr>
          <w:lang w:val="hy-AM"/>
        </w:rPr>
        <w:t>7</w:t>
      </w:r>
      <w:r w:rsidRPr="00121AF3">
        <w:rPr>
          <w:lang w:val="hy-AM"/>
        </w:rPr>
        <w:t xml:space="preserve"> տոկոսային կետով ավելի ցածր (տե՛ս 1.5. Մակրոտնտեսական կանխատեսումների ռիսկերը բաժինը):</w:t>
      </w:r>
    </w:p>
    <w:p w14:paraId="71CDB157" w14:textId="77777777" w:rsidR="00957A78" w:rsidRDefault="00957A78" w:rsidP="00957A78">
      <w:pPr>
        <w:pStyle w:val="BodyText1"/>
        <w:rPr>
          <w:lang w:val="hy-AM"/>
        </w:rPr>
      </w:pPr>
      <w:r w:rsidRPr="00121AF3">
        <w:rPr>
          <w:lang w:val="hy-AM"/>
        </w:rPr>
        <w:t xml:space="preserve">Ֆինանսական պահանջի ավելացման ուղղությամբ ՀՆԱ նվազման ռիսկի ազդեցությունը հարկային եկամուտների վրա տնտեսական աճի </w:t>
      </w:r>
      <w:r w:rsidRPr="002E3CEF">
        <w:rPr>
          <w:lang w:val="hy-AM"/>
        </w:rPr>
        <w:t>1.2</w:t>
      </w:r>
      <w:r w:rsidRPr="00121AF3">
        <w:rPr>
          <w:lang w:val="hy-AM"/>
        </w:rPr>
        <w:t>-1</w:t>
      </w:r>
      <w:r w:rsidRPr="002E3CEF">
        <w:rPr>
          <w:lang w:val="hy-AM"/>
        </w:rPr>
        <w:t>.3</w:t>
      </w:r>
      <w:r w:rsidRPr="00121AF3">
        <w:rPr>
          <w:lang w:val="hy-AM"/>
        </w:rPr>
        <w:t xml:space="preserve"> տոկոսային կետով ցածր լինելու հավանականությունը 2026 թվականին գնահատվում է 1</w:t>
      </w:r>
      <w:r w:rsidRPr="002E3CEF">
        <w:rPr>
          <w:lang w:val="hy-AM"/>
        </w:rPr>
        <w:t>9.6</w:t>
      </w:r>
      <w:r w:rsidRPr="00121AF3">
        <w:rPr>
          <w:lang w:val="hy-AM"/>
        </w:rPr>
        <w:t xml:space="preserve"> մլրդ դրամ, իսկ 2027 և 2028 թվականների համար գնահատվում է համապատասխանաբար </w:t>
      </w:r>
      <w:r w:rsidRPr="002E3CEF">
        <w:rPr>
          <w:lang w:val="hy-AM"/>
        </w:rPr>
        <w:t>23.5</w:t>
      </w:r>
      <w:r w:rsidRPr="00121AF3">
        <w:rPr>
          <w:lang w:val="hy-AM"/>
        </w:rPr>
        <w:t xml:space="preserve"> և </w:t>
      </w:r>
      <w:r w:rsidRPr="002E3CEF">
        <w:rPr>
          <w:lang w:val="hy-AM"/>
        </w:rPr>
        <w:t>25.7</w:t>
      </w:r>
      <w:r w:rsidRPr="00121AF3">
        <w:rPr>
          <w:lang w:val="hy-AM"/>
        </w:rPr>
        <w:t xml:space="preserve"> մլրդ ՀՀ դրամ: Տնտեսական աճի՝ 1.</w:t>
      </w:r>
      <w:r w:rsidRPr="002E3CEF">
        <w:rPr>
          <w:lang w:val="hy-AM"/>
        </w:rPr>
        <w:t>6</w:t>
      </w:r>
      <w:r w:rsidRPr="00121AF3">
        <w:rPr>
          <w:lang w:val="hy-AM"/>
        </w:rPr>
        <w:t>-1.</w:t>
      </w:r>
      <w:r w:rsidRPr="002E3CEF">
        <w:rPr>
          <w:lang w:val="hy-AM"/>
        </w:rPr>
        <w:t>7</w:t>
      </w:r>
      <w:r w:rsidRPr="00121AF3">
        <w:rPr>
          <w:lang w:val="hy-AM"/>
        </w:rPr>
        <w:t xml:space="preserve"> տոկոսային կետով ցածր լինելու սցենարի ազդեցությունը 2026 թվականին գնահատվում է </w:t>
      </w:r>
      <w:r w:rsidRPr="002E3CEF">
        <w:rPr>
          <w:lang w:val="hy-AM"/>
        </w:rPr>
        <w:t>26.1</w:t>
      </w:r>
      <w:r w:rsidRPr="00121AF3">
        <w:rPr>
          <w:lang w:val="hy-AM"/>
        </w:rPr>
        <w:t xml:space="preserve"> մլրդ դրամ, իսկ 2027 և 2028 թվականների համար գնահատվում է համապատասխանաբար 3</w:t>
      </w:r>
      <w:r w:rsidRPr="002E3CEF">
        <w:rPr>
          <w:lang w:val="hy-AM"/>
        </w:rPr>
        <w:t>0</w:t>
      </w:r>
      <w:r w:rsidRPr="00121AF3">
        <w:rPr>
          <w:lang w:val="hy-AM"/>
        </w:rPr>
        <w:t>.7 և 3</w:t>
      </w:r>
      <w:r w:rsidRPr="002E3CEF">
        <w:rPr>
          <w:lang w:val="hy-AM"/>
        </w:rPr>
        <w:t>3</w:t>
      </w:r>
      <w:r w:rsidRPr="00121AF3">
        <w:rPr>
          <w:lang w:val="hy-AM"/>
        </w:rPr>
        <w:t>.</w:t>
      </w:r>
      <w:r w:rsidRPr="002E3CEF">
        <w:rPr>
          <w:lang w:val="hy-AM"/>
        </w:rPr>
        <w:t>6</w:t>
      </w:r>
      <w:r w:rsidRPr="00121AF3">
        <w:rPr>
          <w:lang w:val="hy-AM"/>
        </w:rPr>
        <w:t xml:space="preserve"> մլրդ ՀՀ դրամ։</w:t>
      </w:r>
    </w:p>
    <w:p w14:paraId="7B19439F" w14:textId="77777777" w:rsidR="00957A78" w:rsidRDefault="00957A78" w:rsidP="00957A78">
      <w:pPr>
        <w:pStyle w:val="TOC4"/>
        <w:rPr>
          <w:lang w:val="hy-AM"/>
        </w:rPr>
      </w:pPr>
      <w:r>
        <w:rPr>
          <w:lang w:val="hy-AM"/>
        </w:rPr>
        <w:t>2. ԵՆԹԱԴՐՈՒԹՅՈՒՆՆԵՐԻՑ ՇԵՂՈՒՄՆԵՐԻ ՌԻՍԿ</w:t>
      </w:r>
    </w:p>
    <w:p w14:paraId="1344360E" w14:textId="77777777" w:rsidR="00957A78" w:rsidRDefault="00957A78" w:rsidP="00957A78">
      <w:pPr>
        <w:pStyle w:val="BodyText1"/>
        <w:rPr>
          <w:lang w:val="hy-AM"/>
        </w:rPr>
      </w:pPr>
      <w:r>
        <w:rPr>
          <w:lang w:val="hy-AM"/>
        </w:rPr>
        <w:t>Բյուջեի հիմքում դրվող կանխատեսումները կառուցվում են որոշակի ենթադրու</w:t>
      </w:r>
      <w:r>
        <w:rPr>
          <w:lang w:val="hy-AM"/>
        </w:rPr>
        <w:softHyphen/>
        <w:t>թյու</w:t>
      </w:r>
      <w:r>
        <w:rPr>
          <w:lang w:val="hy-AM"/>
        </w:rPr>
        <w:softHyphen/>
        <w:t xml:space="preserve">նների հիման վրա, որոնք էլ իրենց հերթին կախված են արտաքին կամ ներքին գործոններից։ Սակայն միշտ չէ, որ այդ ենթադրությունները կանխատեսվող հորիզոնում իրականություն են դառնում՝ կապված ՀՀ կառավարության և ՀՀ ԿԲ-ի կառավարման դաշտից դուրս ի հայտ եկող երևույթների հետ: </w:t>
      </w:r>
    </w:p>
    <w:p w14:paraId="6C13BB7E" w14:textId="77777777" w:rsidR="00957A78" w:rsidRDefault="00957A78" w:rsidP="00957A78">
      <w:pPr>
        <w:pStyle w:val="BodyText1"/>
        <w:ind w:left="0"/>
        <w:rPr>
          <w:b/>
          <w:lang w:val="hy-AM"/>
        </w:rPr>
      </w:pPr>
      <w:r>
        <w:rPr>
          <w:b/>
          <w:lang w:val="hy-AM"/>
        </w:rPr>
        <w:t>2.1. Գնաճի շեղման հնարավոր չափը</w:t>
      </w:r>
    </w:p>
    <w:p w14:paraId="4C0CD253" w14:textId="77777777" w:rsidR="00957A78" w:rsidRDefault="00957A78" w:rsidP="00957A78">
      <w:pPr>
        <w:pStyle w:val="BodyText1"/>
        <w:rPr>
          <w:lang w:val="hy-AM"/>
        </w:rPr>
      </w:pPr>
      <w:r>
        <w:rPr>
          <w:lang w:val="hy-AM"/>
        </w:rPr>
        <w:t xml:space="preserve">Գնաճի ցուցանիշի շեղման հնարավոր չափ է դիտարկվում է վերջին տասնամյակում միջնաժամկետ ծախսերի ծրագրերի հիմքում դրվող գնաճի կանխատեսումներից փաստացի շեղումների միջին չափը: </w:t>
      </w:r>
    </w:p>
    <w:p w14:paraId="22ED963E" w14:textId="77777777" w:rsidR="00957A78" w:rsidRDefault="00957A78" w:rsidP="00957A78">
      <w:pPr>
        <w:pStyle w:val="BodyText1"/>
        <w:rPr>
          <w:lang w:val="hy-AM"/>
        </w:rPr>
      </w:pPr>
      <w:r>
        <w:rPr>
          <w:lang w:val="hy-AM"/>
        </w:rPr>
        <w:t>Կանխատեսված ցուցանիշից գնաճի շեղման ռիսկերը միջնաժամկետ հորիզոնում գնահատվում են միջինում դեպի ներքև` 1</w:t>
      </w:r>
      <w:r w:rsidRPr="002E3CEF">
        <w:rPr>
          <w:lang w:val="hy-AM"/>
        </w:rPr>
        <w:t>.8</w:t>
      </w:r>
      <w:r>
        <w:rPr>
          <w:lang w:val="hy-AM"/>
        </w:rPr>
        <w:t xml:space="preserve"> տոկոսային կետի չափով: </w:t>
      </w:r>
    </w:p>
    <w:p w14:paraId="0FA98512" w14:textId="77777777" w:rsidR="00957A78" w:rsidRDefault="00957A78" w:rsidP="00957A78">
      <w:pPr>
        <w:pStyle w:val="BodyText1"/>
        <w:rPr>
          <w:lang w:val="hy-AM"/>
        </w:rPr>
      </w:pPr>
      <w:r>
        <w:rPr>
          <w:lang w:val="hy-AM"/>
        </w:rPr>
        <w:t xml:space="preserve">Գնաճի շեղման ռիսկը կարող է ազդեցություն ունենալ ՀՀ պետական բյուջեի և՛ եկամտային, և՛ ծախսային կատարողականների վրա` անուղղակի հարկերի, ինչպես նաև ապրանքների և ծառայությունների գծով ծախսերի ուղղությամբ: Գնանկումային պայմաններում հարկերից մուտքերը կկրճատվեն և ընդհակառակը: </w:t>
      </w:r>
    </w:p>
    <w:p w14:paraId="7562AE05" w14:textId="77777777" w:rsidR="00957A78" w:rsidRDefault="00957A78" w:rsidP="00957A78">
      <w:pPr>
        <w:pStyle w:val="BodyText1"/>
        <w:rPr>
          <w:lang w:val="hy-AM"/>
        </w:rPr>
      </w:pPr>
      <w:r>
        <w:rPr>
          <w:lang w:val="hy-AM"/>
        </w:rPr>
        <w:t>Արդյունքում, գնաճի դանդաղման ռիսկի ազդեցությունը հարկային եկամուտների վրա 202</w:t>
      </w:r>
      <w:r w:rsidRPr="002E3CEF">
        <w:rPr>
          <w:lang w:val="hy-AM"/>
        </w:rPr>
        <w:t>6</w:t>
      </w:r>
      <w:r>
        <w:rPr>
          <w:lang w:val="hy-AM"/>
        </w:rPr>
        <w:t>, 202</w:t>
      </w:r>
      <w:r w:rsidRPr="002E3CEF">
        <w:rPr>
          <w:lang w:val="hy-AM"/>
        </w:rPr>
        <w:t>7</w:t>
      </w:r>
      <w:r>
        <w:rPr>
          <w:lang w:val="hy-AM"/>
        </w:rPr>
        <w:t xml:space="preserve"> և 202</w:t>
      </w:r>
      <w:r w:rsidRPr="002E3CEF">
        <w:rPr>
          <w:lang w:val="hy-AM"/>
        </w:rPr>
        <w:t>8</w:t>
      </w:r>
      <w:r>
        <w:rPr>
          <w:lang w:val="hy-AM"/>
        </w:rPr>
        <w:t xml:space="preserve"> թվականների համար գնահատվում է համապատասխանաբար </w:t>
      </w:r>
      <w:r w:rsidRPr="002E3CEF">
        <w:rPr>
          <w:lang w:val="hy-AM"/>
        </w:rPr>
        <w:t>17.1</w:t>
      </w:r>
      <w:r>
        <w:rPr>
          <w:lang w:val="hy-AM"/>
        </w:rPr>
        <w:t xml:space="preserve">, </w:t>
      </w:r>
      <w:r w:rsidRPr="002E3CEF">
        <w:rPr>
          <w:lang w:val="hy-AM"/>
        </w:rPr>
        <w:t>19.0</w:t>
      </w:r>
      <w:r>
        <w:rPr>
          <w:lang w:val="hy-AM"/>
        </w:rPr>
        <w:t xml:space="preserve"> և 2</w:t>
      </w:r>
      <w:r w:rsidRPr="002E3CEF">
        <w:rPr>
          <w:lang w:val="hy-AM"/>
        </w:rPr>
        <w:t>0.8</w:t>
      </w:r>
      <w:r>
        <w:rPr>
          <w:lang w:val="hy-AM"/>
        </w:rPr>
        <w:t xml:space="preserve"> մլրդ ՀՀ դրամ ֆինանսական պահանջի ավելացման ուղղությամբ:</w:t>
      </w:r>
    </w:p>
    <w:p w14:paraId="3CA21617" w14:textId="77777777" w:rsidR="00957A78" w:rsidRDefault="00957A78" w:rsidP="00957A78">
      <w:pPr>
        <w:pStyle w:val="BodyText1"/>
        <w:ind w:left="0"/>
        <w:rPr>
          <w:b/>
          <w:lang w:val="hy-AM"/>
        </w:rPr>
      </w:pPr>
      <w:r>
        <w:rPr>
          <w:b/>
          <w:lang w:val="hy-AM"/>
        </w:rPr>
        <w:t>2.2. Փոխարժեքի շեղման հնարավոր չափը</w:t>
      </w:r>
    </w:p>
    <w:p w14:paraId="31363477" w14:textId="77777777" w:rsidR="00957A78" w:rsidRPr="00923982" w:rsidRDefault="00957A78" w:rsidP="00957A78">
      <w:pPr>
        <w:pStyle w:val="BodyText1"/>
        <w:rPr>
          <w:lang w:val="hy-AM"/>
        </w:rPr>
      </w:pPr>
      <w:r w:rsidRPr="00923982">
        <w:rPr>
          <w:lang w:val="hy-AM"/>
        </w:rPr>
        <w:t>Չնայած ՀՀ ԿԲ-ն և ՀՀ ՖՆ-ն մշակում են փոխարժեքի վերաբերյալ սցենարներ, որոնք արտացոլում են փոխարժեքի վարքագիծը տարբեր մակրոտնտեսական հիմնարարների ներքո, ՀՀ-ում իրականացվում է լողացող փոխարժեքի քաղաքականություն, իսկ յուրաքանչյուր տարվա պետական բյուջեի ցուցանիշների կանխատեսումների հիմքում դրվում է փոխարժեքի անփոփոխ (որոշակի պահի դրությամբ) մակարդակ: Սակայն փոխարժեքի տատանումները կազդեն ներմուծումից ՀՀ պետական բյուջե մուտքագրվող հարկային եկամուտների վրա:</w:t>
      </w:r>
    </w:p>
    <w:p w14:paraId="07879758" w14:textId="77777777" w:rsidR="00957A78" w:rsidRPr="00923982" w:rsidRDefault="00957A78" w:rsidP="00957A78">
      <w:pPr>
        <w:pStyle w:val="BodyText1"/>
        <w:rPr>
          <w:lang w:val="hy-AM"/>
        </w:rPr>
      </w:pPr>
      <w:r w:rsidRPr="00923982">
        <w:rPr>
          <w:lang w:val="hy-AM"/>
        </w:rPr>
        <w:t xml:space="preserve">Հաշվի առնելով այն հանգամանքը, որ վերջին տարիների համար և՛ արժևորման, և՛ արժեզրկման ուղղությամբ փոխար¬ժեքի տատանումների բացարձակ շեղման միջին չափը չի գերազանցել 6.1 տոկոսը` որպես ռիսկ է դիտարկվել ԱՄՆ դոլարի նկատմամբ ՀՀ դրամի առավելագույնը 6.1 տոկոս արժեզրկումը: </w:t>
      </w:r>
    </w:p>
    <w:p w14:paraId="77C5C3D6" w14:textId="77777777" w:rsidR="00957A78" w:rsidRDefault="00957A78" w:rsidP="00957A78">
      <w:pPr>
        <w:pStyle w:val="BodyText1"/>
        <w:rPr>
          <w:lang w:val="hy-AM"/>
        </w:rPr>
      </w:pPr>
      <w:r w:rsidRPr="00923982">
        <w:rPr>
          <w:lang w:val="hy-AM"/>
        </w:rPr>
        <w:t>Արդյունքում, փոխարժեքի 6.1 տոկոսով արժեզրկման ռիսկի դրսևորման դեպքում, այլ հավասար պայմաններում, 2026, 2027 և 2028 թվականներին կարելի է ապահովել հարկային եկամուտների համապատասխանաբար 17.</w:t>
      </w:r>
      <w:r w:rsidRPr="002E3CEF">
        <w:rPr>
          <w:lang w:val="hy-AM"/>
        </w:rPr>
        <w:t>6</w:t>
      </w:r>
      <w:r w:rsidRPr="00923982">
        <w:rPr>
          <w:lang w:val="hy-AM"/>
        </w:rPr>
        <w:t>, 19.</w:t>
      </w:r>
      <w:r w:rsidRPr="002E3CEF">
        <w:rPr>
          <w:lang w:val="hy-AM"/>
        </w:rPr>
        <w:t>6</w:t>
      </w:r>
      <w:r w:rsidRPr="00923982">
        <w:rPr>
          <w:lang w:val="hy-AM"/>
        </w:rPr>
        <w:t xml:space="preserve"> և 21.</w:t>
      </w:r>
      <w:r w:rsidRPr="002E3CEF">
        <w:rPr>
          <w:lang w:val="hy-AM"/>
        </w:rPr>
        <w:t>4</w:t>
      </w:r>
      <w:r w:rsidRPr="00923982">
        <w:rPr>
          <w:lang w:val="hy-AM"/>
        </w:rPr>
        <w:t xml:space="preserve"> մլրդ ՀՀ դրամ լրացուցիչ մուտք՝ պայմանավորված ներմուծման դրամային համարժեքի մեծացմամբ։ </w:t>
      </w:r>
    </w:p>
    <w:p w14:paraId="78F6E3C5" w14:textId="77777777" w:rsidR="00957A78" w:rsidRDefault="00957A78" w:rsidP="00957A78">
      <w:pPr>
        <w:pStyle w:val="BodyText1"/>
        <w:ind w:left="0"/>
        <w:rPr>
          <w:b/>
          <w:lang w:val="hy-AM"/>
        </w:rPr>
      </w:pPr>
      <w:r>
        <w:rPr>
          <w:b/>
          <w:lang w:val="hy-AM"/>
        </w:rPr>
        <w:t>2.3. Ներմուծման գծով ռիսկի հնարավոր չափը</w:t>
      </w:r>
    </w:p>
    <w:p w14:paraId="328D06A9" w14:textId="77777777" w:rsidR="00957A78" w:rsidRDefault="00957A78" w:rsidP="00957A78">
      <w:pPr>
        <w:pStyle w:val="BodyText1"/>
        <w:rPr>
          <w:lang w:val="hy-AM"/>
        </w:rPr>
      </w:pPr>
      <w:r>
        <w:rPr>
          <w:lang w:val="hy-AM"/>
        </w:rPr>
        <w:t>Քանի որ մաքսային սահմանին ներմուծումից գանձվող անուղղակի հարկերը էական կշիռ ունեն պետական բյուջեի ընդհանուր հարկային եկամուտներում, անհրաժեշտ է գնահատել նաև ներմուծման հնարավոր նվազման պարագայում հարկային եկամուտների նվազման ռիսկի չափը: 2010-202</w:t>
      </w:r>
      <w:r w:rsidRPr="002E3CEF">
        <w:rPr>
          <w:lang w:val="hy-AM"/>
        </w:rPr>
        <w:t>4</w:t>
      </w:r>
      <w:r>
        <w:rPr>
          <w:lang w:val="hy-AM"/>
        </w:rPr>
        <w:t xml:space="preserve"> թվականների ընթացքում ՄԺԾԾ-ում ներմուծման գծով կանխատեսումների շեղման միջին բացարձակ չափը գտնվում է 7.3-14.3%-ի միջակայքում, ինչն էլ հաշվի է առնվել այս գործոնի ազդեցությունը գնահատելու համար: 2022-2024 թթ. գնահատականներում ներմուծման ցուցանիշները դիտարկվել են առանց վերաարտահանման ծավալների: </w:t>
      </w:r>
      <w:r w:rsidRPr="000C664E">
        <w:rPr>
          <w:lang w:val="hy-AM"/>
        </w:rPr>
        <w:t xml:space="preserve">2026, 2027 և 2028 </w:t>
      </w:r>
      <w:r>
        <w:rPr>
          <w:lang w:val="hy-AM"/>
        </w:rPr>
        <w:t>թվականների համար ծրագրվածից համապատասխանաբար 7.3, 12.3 և 14.3% պակաս ներմուծման ռիսկի դրսևորման պայմաններում հարկային եկամուտների վրա ազդեցությունը գնահատվել է համապատասխանաբար՝ 2</w:t>
      </w:r>
      <w:r w:rsidRPr="002E3CEF">
        <w:rPr>
          <w:lang w:val="hy-AM"/>
        </w:rPr>
        <w:t>6.2</w:t>
      </w:r>
      <w:r>
        <w:rPr>
          <w:lang w:val="hy-AM"/>
        </w:rPr>
        <w:t>, 4</w:t>
      </w:r>
      <w:r w:rsidRPr="002E3CEF">
        <w:rPr>
          <w:lang w:val="hy-AM"/>
        </w:rPr>
        <w:t>9.4</w:t>
      </w:r>
      <w:r>
        <w:rPr>
          <w:lang w:val="hy-AM"/>
        </w:rPr>
        <w:t xml:space="preserve"> և </w:t>
      </w:r>
      <w:r w:rsidRPr="002E3CEF">
        <w:rPr>
          <w:lang w:val="hy-AM"/>
        </w:rPr>
        <w:t>62.5</w:t>
      </w:r>
      <w:r>
        <w:rPr>
          <w:lang w:val="hy-AM"/>
        </w:rPr>
        <w:t xml:space="preserve"> մլրդ ՀՀ դրամ` ֆինանսական պահանջի ավելացման ուղղությամբ:</w:t>
      </w:r>
    </w:p>
    <w:p w14:paraId="6745523D" w14:textId="77777777" w:rsidR="00957A78" w:rsidRDefault="00957A78" w:rsidP="00957A78">
      <w:pPr>
        <w:pStyle w:val="BodyText1"/>
        <w:rPr>
          <w:b/>
          <w:lang w:val="hy-AM"/>
        </w:rPr>
      </w:pPr>
      <w:r>
        <w:rPr>
          <w:b/>
          <w:lang w:val="hy-AM"/>
        </w:rPr>
        <w:t>Ամփոփելով վերը նկարագրված կանխատեսումների ռիսկի, ենթադրություններից շեղումների և հարկեր/ՀՆԱ թիրախավորված բարելավումը չապահովելու ռիսկի գնահատականները, միջնաժամկետ հորիզոնում ՀՀ պետական բյուջեի հարկային եկամուտների վրա մակրոտնտեսական ցուցանիշների` իրական ՀՆԱ-ի աճի, գնաճի, փոխարժեքի տատանողականության և ներմուծման, ինչպես նաև հարկային վարչարարության լրացուցիչ ջանքի չապահովման ռիսկերի ազդեցության քանակական ամփոփ գնահատականները ներկայացվում են ստորև.</w:t>
      </w:r>
    </w:p>
    <w:p w14:paraId="2C66D81B" w14:textId="0D866E70" w:rsidR="00957A78" w:rsidRDefault="00957A78" w:rsidP="00957A78">
      <w:pPr>
        <w:pStyle w:val="a"/>
        <w:rPr>
          <w:vertAlign w:val="superscript"/>
        </w:rPr>
      </w:pPr>
      <w:bookmarkStart w:id="499" w:name="_Toc178612158"/>
      <w:r>
        <w:rPr>
          <w:rFonts w:ascii="GHEA Grapalat" w:hAnsi="GHEA Grapalat"/>
          <w:szCs w:val="20"/>
        </w:rPr>
        <w:t>Աղյուսակ</w:t>
      </w:r>
      <w:r w:rsidR="002C5ABD">
        <w:rPr>
          <w:rFonts w:ascii="GHEA Grapalat" w:hAnsi="GHEA Grapalat"/>
          <w:szCs w:val="20"/>
        </w:rPr>
        <w:t xml:space="preserve"> 2</w:t>
      </w:r>
      <w:r>
        <w:rPr>
          <w:rFonts w:ascii="GHEA Grapalat" w:hAnsi="GHEA Grapalat"/>
          <w:szCs w:val="20"/>
        </w:rPr>
        <w:t>.1.1 Հարկային եկամուտների վրա մակրոտնտեսական կանխատեսումների և ենթադրությունների ռիսկերի ազդեցություն, մլրդ դրամ</w:t>
      </w:r>
      <w:r>
        <w:rPr>
          <w:vertAlign w:val="superscript"/>
        </w:rPr>
        <w:footnoteReference w:id="23"/>
      </w:r>
      <w:bookmarkEnd w:id="499"/>
    </w:p>
    <w:tbl>
      <w:tblPr>
        <w:tblW w:w="9778" w:type="dxa"/>
        <w:tblBorders>
          <w:top w:val="single" w:sz="8" w:space="0" w:color="E1E1E3" w:themeColor="accent3" w:themeTint="33"/>
          <w:left w:val="single" w:sz="8" w:space="0" w:color="E1E1E3" w:themeColor="accent3" w:themeTint="33"/>
          <w:bottom w:val="single" w:sz="8" w:space="0" w:color="E1E1E3" w:themeColor="accent3" w:themeTint="33"/>
          <w:right w:val="single" w:sz="8" w:space="0" w:color="E1E1E3" w:themeColor="accent3" w:themeTint="33"/>
          <w:insideH w:val="single" w:sz="8" w:space="0" w:color="E1E1E3" w:themeColor="accent3" w:themeTint="33"/>
          <w:insideV w:val="single" w:sz="8" w:space="0" w:color="E1E1E3" w:themeColor="accent3" w:themeTint="33"/>
        </w:tblBorders>
        <w:tblLook w:val="04A0" w:firstRow="1" w:lastRow="0" w:firstColumn="1" w:lastColumn="0" w:noHBand="0" w:noVBand="1"/>
      </w:tblPr>
      <w:tblGrid>
        <w:gridCol w:w="5180"/>
        <w:gridCol w:w="1584"/>
        <w:gridCol w:w="1488"/>
        <w:gridCol w:w="1526"/>
      </w:tblGrid>
      <w:tr w:rsidR="00957A78" w14:paraId="4626EAC5" w14:textId="77777777" w:rsidTr="00A72B0A">
        <w:trPr>
          <w:trHeight w:val="432"/>
        </w:trPr>
        <w:tc>
          <w:tcPr>
            <w:tcW w:w="5180" w:type="dxa"/>
            <w:tcBorders>
              <w:top w:val="nil"/>
              <w:left w:val="nil"/>
              <w:bottom w:val="nil"/>
              <w:right w:val="nil"/>
            </w:tcBorders>
            <w:vAlign w:val="center"/>
            <w:hideMark/>
          </w:tcPr>
          <w:p w14:paraId="007D4B72" w14:textId="77777777" w:rsidR="00957A78" w:rsidRPr="0086663B" w:rsidRDefault="00957A78" w:rsidP="00A72B0A">
            <w:pPr>
              <w:rPr>
                <w:vertAlign w:val="superscript"/>
                <w:lang w:val="hy-AM"/>
              </w:rPr>
            </w:pPr>
          </w:p>
        </w:tc>
        <w:tc>
          <w:tcPr>
            <w:tcW w:w="1584" w:type="dxa"/>
            <w:tcBorders>
              <w:top w:val="nil"/>
              <w:left w:val="nil"/>
              <w:bottom w:val="nil"/>
              <w:right w:val="nil"/>
            </w:tcBorders>
            <w:vAlign w:val="center"/>
            <w:hideMark/>
          </w:tcPr>
          <w:p w14:paraId="61C3FA67" w14:textId="77777777" w:rsidR="00957A78" w:rsidRDefault="00957A78" w:rsidP="00A72B0A">
            <w:pPr>
              <w:spacing w:before="0" w:after="0" w:line="240" w:lineRule="auto"/>
              <w:jc w:val="center"/>
              <w:rPr>
                <w:b/>
                <w:sz w:val="18"/>
                <w:szCs w:val="18"/>
              </w:rPr>
            </w:pPr>
            <w:r>
              <w:rPr>
                <w:b/>
                <w:sz w:val="18"/>
                <w:szCs w:val="18"/>
              </w:rPr>
              <w:t>2026</w:t>
            </w:r>
          </w:p>
        </w:tc>
        <w:tc>
          <w:tcPr>
            <w:tcW w:w="1488" w:type="dxa"/>
            <w:tcBorders>
              <w:top w:val="nil"/>
              <w:left w:val="nil"/>
              <w:bottom w:val="nil"/>
              <w:right w:val="nil"/>
            </w:tcBorders>
            <w:vAlign w:val="center"/>
            <w:hideMark/>
          </w:tcPr>
          <w:p w14:paraId="366A1EC8" w14:textId="77777777" w:rsidR="00957A78" w:rsidRDefault="00957A78" w:rsidP="00A72B0A">
            <w:pPr>
              <w:spacing w:before="0" w:after="0" w:line="240" w:lineRule="auto"/>
              <w:jc w:val="center"/>
              <w:rPr>
                <w:b/>
                <w:sz w:val="18"/>
                <w:szCs w:val="18"/>
              </w:rPr>
            </w:pPr>
            <w:r>
              <w:rPr>
                <w:b/>
                <w:sz w:val="18"/>
                <w:szCs w:val="18"/>
              </w:rPr>
              <w:t>2027</w:t>
            </w:r>
          </w:p>
        </w:tc>
        <w:tc>
          <w:tcPr>
            <w:tcW w:w="1526" w:type="dxa"/>
            <w:tcBorders>
              <w:top w:val="nil"/>
              <w:left w:val="nil"/>
              <w:bottom w:val="nil"/>
              <w:right w:val="nil"/>
            </w:tcBorders>
            <w:vAlign w:val="center"/>
            <w:hideMark/>
          </w:tcPr>
          <w:p w14:paraId="202BAA09" w14:textId="77777777" w:rsidR="00957A78" w:rsidRDefault="00957A78" w:rsidP="00A72B0A">
            <w:pPr>
              <w:spacing w:before="0" w:after="0" w:line="240" w:lineRule="auto"/>
              <w:jc w:val="center"/>
              <w:rPr>
                <w:b/>
                <w:sz w:val="18"/>
                <w:szCs w:val="18"/>
              </w:rPr>
            </w:pPr>
            <w:r>
              <w:rPr>
                <w:b/>
                <w:sz w:val="18"/>
                <w:szCs w:val="18"/>
              </w:rPr>
              <w:t>2028</w:t>
            </w:r>
          </w:p>
        </w:tc>
      </w:tr>
      <w:tr w:rsidR="00957A78" w14:paraId="335EA92B" w14:textId="77777777" w:rsidTr="00A72B0A">
        <w:trPr>
          <w:trHeight w:val="432"/>
        </w:trPr>
        <w:tc>
          <w:tcPr>
            <w:tcW w:w="5180" w:type="dxa"/>
            <w:tcBorders>
              <w:top w:val="nil"/>
              <w:left w:val="single" w:sz="8" w:space="0" w:color="E1E1E3" w:themeColor="accent3" w:themeTint="33"/>
              <w:bottom w:val="single" w:sz="8" w:space="0" w:color="E1E1E3" w:themeColor="accent3" w:themeTint="33"/>
              <w:right w:val="single" w:sz="8" w:space="0" w:color="E1E1E3" w:themeColor="accent3" w:themeTint="33"/>
            </w:tcBorders>
            <w:shd w:val="clear" w:color="auto" w:fill="D5DCE4" w:themeFill="text2" w:themeFillTint="33"/>
            <w:vAlign w:val="center"/>
            <w:hideMark/>
          </w:tcPr>
          <w:p w14:paraId="5E0956B0" w14:textId="77777777" w:rsidR="00957A78" w:rsidRDefault="00957A78" w:rsidP="00A72B0A">
            <w:pPr>
              <w:spacing w:before="0" w:after="0" w:line="240" w:lineRule="auto"/>
              <w:rPr>
                <w:b/>
                <w:sz w:val="18"/>
                <w:szCs w:val="18"/>
              </w:rPr>
            </w:pPr>
            <w:r>
              <w:rPr>
                <w:b/>
                <w:sz w:val="18"/>
                <w:szCs w:val="18"/>
              </w:rPr>
              <w:t>Ռիսկի տեսակը</w:t>
            </w:r>
          </w:p>
        </w:tc>
        <w:tc>
          <w:tcPr>
            <w:tcW w:w="4598" w:type="dxa"/>
            <w:gridSpan w:val="3"/>
            <w:tcBorders>
              <w:top w:val="nil"/>
              <w:left w:val="single" w:sz="8" w:space="0" w:color="E1E1E3" w:themeColor="accent3" w:themeTint="33"/>
              <w:bottom w:val="single" w:sz="8" w:space="0" w:color="E1E1E3" w:themeColor="accent3" w:themeTint="33"/>
              <w:right w:val="single" w:sz="8" w:space="0" w:color="E1E1E3" w:themeColor="accent3" w:themeTint="33"/>
            </w:tcBorders>
            <w:shd w:val="clear" w:color="auto" w:fill="D5DCE4" w:themeFill="text2" w:themeFillTint="33"/>
            <w:vAlign w:val="center"/>
            <w:hideMark/>
          </w:tcPr>
          <w:p w14:paraId="274F96F3" w14:textId="77777777" w:rsidR="00957A78" w:rsidRDefault="00957A78" w:rsidP="00A72B0A">
            <w:pPr>
              <w:spacing w:before="0" w:after="0" w:line="240" w:lineRule="auto"/>
              <w:jc w:val="center"/>
              <w:rPr>
                <w:rFonts w:ascii="Calibri" w:hAnsi="Calibri" w:cs="Calibri"/>
                <w:b/>
                <w:sz w:val="18"/>
                <w:szCs w:val="18"/>
              </w:rPr>
            </w:pPr>
            <w:r>
              <w:rPr>
                <w:b/>
                <w:sz w:val="18"/>
                <w:szCs w:val="18"/>
              </w:rPr>
              <w:t>Ազդեցության գնահատականը</w:t>
            </w:r>
          </w:p>
        </w:tc>
      </w:tr>
      <w:tr w:rsidR="00957A78" w14:paraId="19555ED7" w14:textId="77777777" w:rsidTr="00A72B0A">
        <w:trPr>
          <w:trHeight w:val="432"/>
        </w:trPr>
        <w:tc>
          <w:tcPr>
            <w:tcW w:w="9778" w:type="dxa"/>
            <w:gridSpan w:val="4"/>
            <w:tcBorders>
              <w:top w:val="single" w:sz="8" w:space="0" w:color="E1E1E3" w:themeColor="accent3" w:themeTint="33"/>
              <w:left w:val="single" w:sz="8" w:space="0" w:color="E1E1E3" w:themeColor="accent3" w:themeTint="33"/>
              <w:bottom w:val="single" w:sz="8" w:space="0" w:color="E1E1E3" w:themeColor="accent3" w:themeTint="33"/>
              <w:right w:val="single" w:sz="8" w:space="0" w:color="E1E1E3" w:themeColor="accent3" w:themeTint="33"/>
            </w:tcBorders>
            <w:shd w:val="clear" w:color="auto" w:fill="D5DCE4" w:themeFill="text2" w:themeFillTint="33"/>
            <w:vAlign w:val="center"/>
            <w:hideMark/>
          </w:tcPr>
          <w:p w14:paraId="518C95A3" w14:textId="77777777" w:rsidR="00957A78" w:rsidRDefault="00957A78" w:rsidP="00A72B0A">
            <w:pPr>
              <w:spacing w:before="0" w:after="0" w:line="240" w:lineRule="auto"/>
              <w:rPr>
                <w:rFonts w:ascii="Calibri" w:hAnsi="Calibri" w:cs="Calibri"/>
                <w:b/>
                <w:sz w:val="18"/>
                <w:szCs w:val="18"/>
              </w:rPr>
            </w:pPr>
            <w:r>
              <w:rPr>
                <w:b/>
                <w:sz w:val="18"/>
                <w:szCs w:val="18"/>
              </w:rPr>
              <w:t>Ռիսկերի առանձին հանդես գալու պայմաններում</w:t>
            </w:r>
          </w:p>
        </w:tc>
      </w:tr>
      <w:tr w:rsidR="00957A78" w14:paraId="64C64041" w14:textId="77777777" w:rsidTr="00A72B0A">
        <w:trPr>
          <w:trHeight w:val="432"/>
        </w:trPr>
        <w:tc>
          <w:tcPr>
            <w:tcW w:w="5180" w:type="dxa"/>
            <w:tcBorders>
              <w:top w:val="single" w:sz="8" w:space="0" w:color="E1E1E3" w:themeColor="accent3" w:themeTint="33"/>
              <w:left w:val="single" w:sz="8" w:space="0" w:color="E1E1E3" w:themeColor="accent3" w:themeTint="33"/>
              <w:bottom w:val="single" w:sz="8" w:space="0" w:color="E1E1E3" w:themeColor="accent3" w:themeTint="33"/>
              <w:right w:val="single" w:sz="8" w:space="0" w:color="E1E1E3" w:themeColor="accent3" w:themeTint="33"/>
            </w:tcBorders>
            <w:vAlign w:val="center"/>
            <w:hideMark/>
          </w:tcPr>
          <w:p w14:paraId="7B2422A9" w14:textId="77777777" w:rsidR="00957A78" w:rsidRDefault="00957A78" w:rsidP="00A72B0A">
            <w:pPr>
              <w:spacing w:before="0" w:after="0" w:line="240" w:lineRule="auto"/>
              <w:rPr>
                <w:sz w:val="18"/>
                <w:szCs w:val="18"/>
              </w:rPr>
            </w:pPr>
            <w:r>
              <w:rPr>
                <w:sz w:val="18"/>
                <w:szCs w:val="18"/>
              </w:rPr>
              <w:t>1. Կանխատեսվածից ավելի ցածր իրական ՀՆԱ-ի աճ</w:t>
            </w:r>
          </w:p>
        </w:tc>
        <w:tc>
          <w:tcPr>
            <w:tcW w:w="1584" w:type="dxa"/>
            <w:tcBorders>
              <w:top w:val="single" w:sz="8" w:space="0" w:color="E1E1E3" w:themeColor="accent3" w:themeTint="33"/>
              <w:left w:val="single" w:sz="8" w:space="0" w:color="E1E1E3" w:themeColor="accent3" w:themeTint="33"/>
              <w:bottom w:val="single" w:sz="8" w:space="0" w:color="E1E1E3" w:themeColor="accent3" w:themeTint="33"/>
              <w:right w:val="single" w:sz="8" w:space="0" w:color="E1E1E3" w:themeColor="accent3" w:themeTint="33"/>
            </w:tcBorders>
            <w:vAlign w:val="center"/>
            <w:hideMark/>
          </w:tcPr>
          <w:p w14:paraId="3452B551" w14:textId="77777777" w:rsidR="00957A78" w:rsidRDefault="00957A78" w:rsidP="00A72B0A">
            <w:pPr>
              <w:rPr>
                <w:sz w:val="18"/>
                <w:szCs w:val="18"/>
              </w:rPr>
            </w:pPr>
          </w:p>
        </w:tc>
        <w:tc>
          <w:tcPr>
            <w:tcW w:w="1488" w:type="dxa"/>
            <w:tcBorders>
              <w:top w:val="single" w:sz="8" w:space="0" w:color="E1E1E3" w:themeColor="accent3" w:themeTint="33"/>
              <w:left w:val="single" w:sz="8" w:space="0" w:color="E1E1E3" w:themeColor="accent3" w:themeTint="33"/>
              <w:bottom w:val="single" w:sz="8" w:space="0" w:color="E1E1E3" w:themeColor="accent3" w:themeTint="33"/>
              <w:right w:val="single" w:sz="8" w:space="0" w:color="E1E1E3" w:themeColor="accent3" w:themeTint="33"/>
            </w:tcBorders>
            <w:vAlign w:val="center"/>
            <w:hideMark/>
          </w:tcPr>
          <w:p w14:paraId="6402AB15" w14:textId="77777777" w:rsidR="00957A78" w:rsidRDefault="00957A78" w:rsidP="00A72B0A">
            <w:pPr>
              <w:spacing w:before="0" w:after="0"/>
              <w:rPr>
                <w:color w:val="auto"/>
                <w:sz w:val="20"/>
                <w:szCs w:val="20"/>
              </w:rPr>
            </w:pPr>
          </w:p>
        </w:tc>
        <w:tc>
          <w:tcPr>
            <w:tcW w:w="1526" w:type="dxa"/>
            <w:tcBorders>
              <w:top w:val="single" w:sz="8" w:space="0" w:color="E1E1E3" w:themeColor="accent3" w:themeTint="33"/>
              <w:left w:val="single" w:sz="8" w:space="0" w:color="E1E1E3" w:themeColor="accent3" w:themeTint="33"/>
              <w:bottom w:val="single" w:sz="8" w:space="0" w:color="E1E1E3" w:themeColor="accent3" w:themeTint="33"/>
              <w:right w:val="single" w:sz="8" w:space="0" w:color="E1E1E3" w:themeColor="accent3" w:themeTint="33"/>
            </w:tcBorders>
            <w:vAlign w:val="center"/>
            <w:hideMark/>
          </w:tcPr>
          <w:p w14:paraId="556A297B" w14:textId="77777777" w:rsidR="00957A78" w:rsidRDefault="00957A78" w:rsidP="00A72B0A">
            <w:pPr>
              <w:spacing w:before="0" w:after="0"/>
              <w:rPr>
                <w:color w:val="auto"/>
                <w:sz w:val="20"/>
                <w:szCs w:val="20"/>
              </w:rPr>
            </w:pPr>
          </w:p>
        </w:tc>
      </w:tr>
      <w:tr w:rsidR="00957A78" w14:paraId="5D33D8AB" w14:textId="77777777" w:rsidTr="00A72B0A">
        <w:trPr>
          <w:trHeight w:val="432"/>
        </w:trPr>
        <w:tc>
          <w:tcPr>
            <w:tcW w:w="5180" w:type="dxa"/>
            <w:tcBorders>
              <w:top w:val="single" w:sz="8" w:space="0" w:color="E1E1E3" w:themeColor="accent3" w:themeTint="33"/>
              <w:left w:val="single" w:sz="8" w:space="0" w:color="E1E1E3" w:themeColor="accent3" w:themeTint="33"/>
              <w:bottom w:val="single" w:sz="8" w:space="0" w:color="E1E1E3" w:themeColor="accent3" w:themeTint="33"/>
              <w:right w:val="single" w:sz="8" w:space="0" w:color="E1E1E3" w:themeColor="accent3" w:themeTint="33"/>
            </w:tcBorders>
            <w:vAlign w:val="center"/>
            <w:hideMark/>
          </w:tcPr>
          <w:p w14:paraId="249BDF06" w14:textId="77777777" w:rsidR="00957A78" w:rsidRDefault="00957A78" w:rsidP="00A72B0A">
            <w:pPr>
              <w:spacing w:before="0" w:after="0" w:line="240" w:lineRule="auto"/>
              <w:rPr>
                <w:sz w:val="18"/>
                <w:szCs w:val="18"/>
                <w:lang w:val="hy-AM"/>
              </w:rPr>
            </w:pPr>
            <w:r>
              <w:rPr>
                <w:sz w:val="18"/>
                <w:szCs w:val="18"/>
              </w:rPr>
              <w:t>Կանխատեսումից 1.2-1.3 տոկոսային կետով ցածր աճ</w:t>
            </w:r>
          </w:p>
        </w:tc>
        <w:tc>
          <w:tcPr>
            <w:tcW w:w="1584" w:type="dxa"/>
            <w:tcBorders>
              <w:top w:val="single" w:sz="8" w:space="0" w:color="E1E1E3" w:themeColor="accent3" w:themeTint="33"/>
              <w:left w:val="single" w:sz="8" w:space="0" w:color="E1E1E3" w:themeColor="accent3" w:themeTint="33"/>
              <w:bottom w:val="single" w:sz="8" w:space="0" w:color="E1E1E3" w:themeColor="accent3" w:themeTint="33"/>
              <w:right w:val="single" w:sz="8" w:space="0" w:color="E1E1E3" w:themeColor="accent3" w:themeTint="33"/>
            </w:tcBorders>
            <w:vAlign w:val="center"/>
            <w:hideMark/>
          </w:tcPr>
          <w:p w14:paraId="0AC7A1C1" w14:textId="77777777" w:rsidR="00957A78" w:rsidRPr="002E3CEF" w:rsidRDefault="00957A78" w:rsidP="00A72B0A">
            <w:pPr>
              <w:spacing w:before="0" w:after="0" w:line="240" w:lineRule="auto"/>
              <w:jc w:val="center"/>
              <w:rPr>
                <w:sz w:val="18"/>
                <w:szCs w:val="18"/>
              </w:rPr>
            </w:pPr>
            <w:r w:rsidRPr="002E3CEF">
              <w:rPr>
                <w:sz w:val="18"/>
                <w:szCs w:val="18"/>
              </w:rPr>
              <w:t>-19.6</w:t>
            </w:r>
          </w:p>
        </w:tc>
        <w:tc>
          <w:tcPr>
            <w:tcW w:w="1488" w:type="dxa"/>
            <w:tcBorders>
              <w:top w:val="single" w:sz="8" w:space="0" w:color="E1E1E3" w:themeColor="accent3" w:themeTint="33"/>
              <w:left w:val="single" w:sz="8" w:space="0" w:color="E1E1E3" w:themeColor="accent3" w:themeTint="33"/>
              <w:bottom w:val="single" w:sz="8" w:space="0" w:color="E1E1E3" w:themeColor="accent3" w:themeTint="33"/>
              <w:right w:val="single" w:sz="8" w:space="0" w:color="E1E1E3" w:themeColor="accent3" w:themeTint="33"/>
            </w:tcBorders>
            <w:vAlign w:val="center"/>
            <w:hideMark/>
          </w:tcPr>
          <w:p w14:paraId="279521E9" w14:textId="77777777" w:rsidR="00957A78" w:rsidRDefault="00957A78" w:rsidP="00A72B0A">
            <w:pPr>
              <w:spacing w:before="0" w:after="0" w:line="240" w:lineRule="auto"/>
              <w:jc w:val="center"/>
              <w:rPr>
                <w:sz w:val="18"/>
                <w:szCs w:val="18"/>
              </w:rPr>
            </w:pPr>
            <w:r w:rsidRPr="002E3CEF">
              <w:rPr>
                <w:sz w:val="18"/>
                <w:szCs w:val="18"/>
              </w:rPr>
              <w:t>-23.5</w:t>
            </w:r>
          </w:p>
        </w:tc>
        <w:tc>
          <w:tcPr>
            <w:tcW w:w="1526" w:type="dxa"/>
            <w:tcBorders>
              <w:top w:val="single" w:sz="8" w:space="0" w:color="E1E1E3" w:themeColor="accent3" w:themeTint="33"/>
              <w:left w:val="single" w:sz="8" w:space="0" w:color="E1E1E3" w:themeColor="accent3" w:themeTint="33"/>
              <w:bottom w:val="single" w:sz="8" w:space="0" w:color="E1E1E3" w:themeColor="accent3" w:themeTint="33"/>
              <w:right w:val="single" w:sz="8" w:space="0" w:color="E1E1E3" w:themeColor="accent3" w:themeTint="33"/>
            </w:tcBorders>
            <w:vAlign w:val="center"/>
            <w:hideMark/>
          </w:tcPr>
          <w:p w14:paraId="1F42B559" w14:textId="77777777" w:rsidR="00957A78" w:rsidRDefault="00957A78" w:rsidP="00A72B0A">
            <w:pPr>
              <w:spacing w:before="0" w:after="0" w:line="240" w:lineRule="auto"/>
              <w:jc w:val="center"/>
              <w:rPr>
                <w:sz w:val="18"/>
                <w:szCs w:val="18"/>
              </w:rPr>
            </w:pPr>
            <w:r w:rsidRPr="002E3CEF">
              <w:rPr>
                <w:sz w:val="18"/>
                <w:szCs w:val="18"/>
              </w:rPr>
              <w:t>-25.7</w:t>
            </w:r>
          </w:p>
        </w:tc>
      </w:tr>
      <w:tr w:rsidR="00957A78" w14:paraId="68D71455" w14:textId="77777777" w:rsidTr="00A72B0A">
        <w:trPr>
          <w:trHeight w:val="432"/>
        </w:trPr>
        <w:tc>
          <w:tcPr>
            <w:tcW w:w="5180" w:type="dxa"/>
            <w:tcBorders>
              <w:top w:val="single" w:sz="8" w:space="0" w:color="E1E1E3" w:themeColor="accent3" w:themeTint="33"/>
              <w:left w:val="single" w:sz="8" w:space="0" w:color="E1E1E3" w:themeColor="accent3" w:themeTint="33"/>
              <w:bottom w:val="single" w:sz="8" w:space="0" w:color="E1E1E3" w:themeColor="accent3" w:themeTint="33"/>
              <w:right w:val="single" w:sz="8" w:space="0" w:color="E1E1E3" w:themeColor="accent3" w:themeTint="33"/>
            </w:tcBorders>
            <w:vAlign w:val="center"/>
            <w:hideMark/>
          </w:tcPr>
          <w:p w14:paraId="290C00F3" w14:textId="77777777" w:rsidR="00957A78" w:rsidRDefault="00957A78" w:rsidP="00A72B0A">
            <w:pPr>
              <w:spacing w:before="0" w:after="0" w:line="240" w:lineRule="auto"/>
              <w:rPr>
                <w:sz w:val="18"/>
                <w:szCs w:val="18"/>
                <w:lang w:val="hy-AM"/>
              </w:rPr>
            </w:pPr>
            <w:r>
              <w:rPr>
                <w:sz w:val="18"/>
                <w:szCs w:val="18"/>
              </w:rPr>
              <w:t>Կանխատեսումից 1.6-1.7 տոկոսային կետով ցածր աճ</w:t>
            </w:r>
          </w:p>
        </w:tc>
        <w:tc>
          <w:tcPr>
            <w:tcW w:w="1584" w:type="dxa"/>
            <w:tcBorders>
              <w:top w:val="single" w:sz="8" w:space="0" w:color="E1E1E3" w:themeColor="accent3" w:themeTint="33"/>
              <w:left w:val="single" w:sz="8" w:space="0" w:color="E1E1E3" w:themeColor="accent3" w:themeTint="33"/>
              <w:bottom w:val="single" w:sz="8" w:space="0" w:color="E1E1E3" w:themeColor="accent3" w:themeTint="33"/>
              <w:right w:val="single" w:sz="8" w:space="0" w:color="E1E1E3" w:themeColor="accent3" w:themeTint="33"/>
            </w:tcBorders>
            <w:vAlign w:val="center"/>
            <w:hideMark/>
          </w:tcPr>
          <w:p w14:paraId="4C8D222C" w14:textId="77777777" w:rsidR="00957A78" w:rsidRPr="002E3CEF" w:rsidRDefault="00957A78" w:rsidP="00A72B0A">
            <w:pPr>
              <w:spacing w:before="0" w:after="0" w:line="240" w:lineRule="auto"/>
              <w:jc w:val="center"/>
              <w:rPr>
                <w:sz w:val="18"/>
                <w:szCs w:val="18"/>
              </w:rPr>
            </w:pPr>
            <w:r w:rsidRPr="002E3CEF">
              <w:rPr>
                <w:sz w:val="18"/>
                <w:szCs w:val="18"/>
              </w:rPr>
              <w:t>-26.1</w:t>
            </w:r>
          </w:p>
        </w:tc>
        <w:tc>
          <w:tcPr>
            <w:tcW w:w="1488" w:type="dxa"/>
            <w:tcBorders>
              <w:top w:val="single" w:sz="8" w:space="0" w:color="E1E1E3" w:themeColor="accent3" w:themeTint="33"/>
              <w:left w:val="single" w:sz="8" w:space="0" w:color="E1E1E3" w:themeColor="accent3" w:themeTint="33"/>
              <w:bottom w:val="single" w:sz="8" w:space="0" w:color="E1E1E3" w:themeColor="accent3" w:themeTint="33"/>
              <w:right w:val="single" w:sz="8" w:space="0" w:color="E1E1E3" w:themeColor="accent3" w:themeTint="33"/>
            </w:tcBorders>
            <w:vAlign w:val="center"/>
            <w:hideMark/>
          </w:tcPr>
          <w:p w14:paraId="5D64DF27" w14:textId="77777777" w:rsidR="00957A78" w:rsidRDefault="00957A78" w:rsidP="00A72B0A">
            <w:pPr>
              <w:spacing w:before="0" w:after="0" w:line="240" w:lineRule="auto"/>
              <w:jc w:val="center"/>
              <w:rPr>
                <w:sz w:val="18"/>
                <w:szCs w:val="18"/>
              </w:rPr>
            </w:pPr>
            <w:r w:rsidRPr="002E3CEF">
              <w:rPr>
                <w:sz w:val="18"/>
                <w:szCs w:val="18"/>
              </w:rPr>
              <w:t>-30.7</w:t>
            </w:r>
          </w:p>
        </w:tc>
        <w:tc>
          <w:tcPr>
            <w:tcW w:w="1526" w:type="dxa"/>
            <w:tcBorders>
              <w:top w:val="single" w:sz="8" w:space="0" w:color="E1E1E3" w:themeColor="accent3" w:themeTint="33"/>
              <w:left w:val="single" w:sz="8" w:space="0" w:color="E1E1E3" w:themeColor="accent3" w:themeTint="33"/>
              <w:bottom w:val="single" w:sz="8" w:space="0" w:color="E1E1E3" w:themeColor="accent3" w:themeTint="33"/>
              <w:right w:val="single" w:sz="8" w:space="0" w:color="E1E1E3" w:themeColor="accent3" w:themeTint="33"/>
            </w:tcBorders>
            <w:vAlign w:val="center"/>
            <w:hideMark/>
          </w:tcPr>
          <w:p w14:paraId="01D1CDF6" w14:textId="77777777" w:rsidR="00957A78" w:rsidRDefault="00957A78" w:rsidP="00A72B0A">
            <w:pPr>
              <w:spacing w:before="0" w:after="0" w:line="240" w:lineRule="auto"/>
              <w:jc w:val="center"/>
              <w:rPr>
                <w:sz w:val="18"/>
                <w:szCs w:val="18"/>
              </w:rPr>
            </w:pPr>
            <w:r w:rsidRPr="002E3CEF">
              <w:rPr>
                <w:sz w:val="18"/>
                <w:szCs w:val="18"/>
              </w:rPr>
              <w:t>-33.6</w:t>
            </w:r>
          </w:p>
        </w:tc>
      </w:tr>
      <w:tr w:rsidR="00957A78" w14:paraId="6CEB7746" w14:textId="77777777" w:rsidTr="00A72B0A">
        <w:trPr>
          <w:trHeight w:val="432"/>
        </w:trPr>
        <w:tc>
          <w:tcPr>
            <w:tcW w:w="5180" w:type="dxa"/>
            <w:tcBorders>
              <w:top w:val="single" w:sz="8" w:space="0" w:color="E1E1E3" w:themeColor="accent3" w:themeTint="33"/>
              <w:left w:val="single" w:sz="8" w:space="0" w:color="E1E1E3" w:themeColor="accent3" w:themeTint="33"/>
              <w:bottom w:val="single" w:sz="8" w:space="0" w:color="E1E1E3" w:themeColor="accent3" w:themeTint="33"/>
              <w:right w:val="single" w:sz="8" w:space="0" w:color="E1E1E3" w:themeColor="accent3" w:themeTint="33"/>
            </w:tcBorders>
            <w:hideMark/>
          </w:tcPr>
          <w:p w14:paraId="1E33E30A" w14:textId="77777777" w:rsidR="00957A78" w:rsidRDefault="00957A78" w:rsidP="00A72B0A">
            <w:pPr>
              <w:spacing w:before="0" w:after="0" w:line="240" w:lineRule="auto"/>
              <w:rPr>
                <w:sz w:val="18"/>
                <w:szCs w:val="18"/>
              </w:rPr>
            </w:pPr>
            <w:r w:rsidRPr="002E3CEF">
              <w:rPr>
                <w:sz w:val="18"/>
                <w:szCs w:val="18"/>
              </w:rPr>
              <w:t xml:space="preserve">2. Ավելի ցածր գնաճի ռիսկ, 1.8 տոկոսային կետ </w:t>
            </w:r>
          </w:p>
        </w:tc>
        <w:tc>
          <w:tcPr>
            <w:tcW w:w="1584" w:type="dxa"/>
            <w:tcBorders>
              <w:top w:val="single" w:sz="8" w:space="0" w:color="E1E1E3" w:themeColor="accent3" w:themeTint="33"/>
              <w:left w:val="single" w:sz="8" w:space="0" w:color="E1E1E3" w:themeColor="accent3" w:themeTint="33"/>
              <w:bottom w:val="single" w:sz="8" w:space="0" w:color="E1E1E3" w:themeColor="accent3" w:themeTint="33"/>
              <w:right w:val="single" w:sz="8" w:space="0" w:color="E1E1E3" w:themeColor="accent3" w:themeTint="33"/>
            </w:tcBorders>
            <w:vAlign w:val="center"/>
            <w:hideMark/>
          </w:tcPr>
          <w:p w14:paraId="4799BF2A" w14:textId="77777777" w:rsidR="00957A78" w:rsidRDefault="00957A78" w:rsidP="00A72B0A">
            <w:pPr>
              <w:spacing w:before="0" w:after="0" w:line="240" w:lineRule="auto"/>
              <w:jc w:val="center"/>
              <w:rPr>
                <w:sz w:val="18"/>
                <w:szCs w:val="18"/>
              </w:rPr>
            </w:pPr>
            <w:r w:rsidRPr="002E3CEF">
              <w:rPr>
                <w:sz w:val="18"/>
                <w:szCs w:val="18"/>
              </w:rPr>
              <w:t>-17.1</w:t>
            </w:r>
          </w:p>
        </w:tc>
        <w:tc>
          <w:tcPr>
            <w:tcW w:w="1488" w:type="dxa"/>
            <w:tcBorders>
              <w:top w:val="single" w:sz="8" w:space="0" w:color="E1E1E3" w:themeColor="accent3" w:themeTint="33"/>
              <w:left w:val="single" w:sz="8" w:space="0" w:color="E1E1E3" w:themeColor="accent3" w:themeTint="33"/>
              <w:bottom w:val="single" w:sz="8" w:space="0" w:color="E1E1E3" w:themeColor="accent3" w:themeTint="33"/>
              <w:right w:val="single" w:sz="8" w:space="0" w:color="E1E1E3" w:themeColor="accent3" w:themeTint="33"/>
            </w:tcBorders>
            <w:vAlign w:val="center"/>
            <w:hideMark/>
          </w:tcPr>
          <w:p w14:paraId="70478180" w14:textId="77777777" w:rsidR="00957A78" w:rsidRDefault="00957A78" w:rsidP="00A72B0A">
            <w:pPr>
              <w:spacing w:before="0" w:after="0" w:line="240" w:lineRule="auto"/>
              <w:jc w:val="center"/>
              <w:rPr>
                <w:sz w:val="18"/>
                <w:szCs w:val="18"/>
              </w:rPr>
            </w:pPr>
            <w:r w:rsidRPr="002E3CEF">
              <w:rPr>
                <w:sz w:val="18"/>
                <w:szCs w:val="18"/>
              </w:rPr>
              <w:t>-19.0</w:t>
            </w:r>
          </w:p>
        </w:tc>
        <w:tc>
          <w:tcPr>
            <w:tcW w:w="1526" w:type="dxa"/>
            <w:tcBorders>
              <w:top w:val="single" w:sz="8" w:space="0" w:color="E1E1E3" w:themeColor="accent3" w:themeTint="33"/>
              <w:left w:val="single" w:sz="8" w:space="0" w:color="E1E1E3" w:themeColor="accent3" w:themeTint="33"/>
              <w:bottom w:val="single" w:sz="8" w:space="0" w:color="E1E1E3" w:themeColor="accent3" w:themeTint="33"/>
              <w:right w:val="single" w:sz="8" w:space="0" w:color="E1E1E3" w:themeColor="accent3" w:themeTint="33"/>
            </w:tcBorders>
            <w:vAlign w:val="center"/>
            <w:hideMark/>
          </w:tcPr>
          <w:p w14:paraId="02400423" w14:textId="77777777" w:rsidR="00957A78" w:rsidRDefault="00957A78" w:rsidP="00A72B0A">
            <w:pPr>
              <w:spacing w:before="0" w:after="0" w:line="240" w:lineRule="auto"/>
              <w:jc w:val="center"/>
              <w:rPr>
                <w:sz w:val="18"/>
                <w:szCs w:val="18"/>
              </w:rPr>
            </w:pPr>
            <w:r w:rsidRPr="002E3CEF">
              <w:rPr>
                <w:sz w:val="18"/>
                <w:szCs w:val="18"/>
              </w:rPr>
              <w:t>-20.8</w:t>
            </w:r>
          </w:p>
        </w:tc>
      </w:tr>
      <w:tr w:rsidR="00957A78" w14:paraId="6B87A17C" w14:textId="77777777" w:rsidTr="00A72B0A">
        <w:trPr>
          <w:trHeight w:val="432"/>
        </w:trPr>
        <w:tc>
          <w:tcPr>
            <w:tcW w:w="5180" w:type="dxa"/>
            <w:tcBorders>
              <w:top w:val="single" w:sz="8" w:space="0" w:color="E1E1E3" w:themeColor="accent3" w:themeTint="33"/>
              <w:left w:val="single" w:sz="8" w:space="0" w:color="E1E1E3" w:themeColor="accent3" w:themeTint="33"/>
              <w:bottom w:val="single" w:sz="8" w:space="0" w:color="E1E1E3" w:themeColor="accent3" w:themeTint="33"/>
              <w:right w:val="single" w:sz="8" w:space="0" w:color="E1E1E3" w:themeColor="accent3" w:themeTint="33"/>
            </w:tcBorders>
            <w:hideMark/>
          </w:tcPr>
          <w:p w14:paraId="204B99FE" w14:textId="77777777" w:rsidR="00957A78" w:rsidRDefault="00957A78" w:rsidP="00A72B0A">
            <w:pPr>
              <w:spacing w:before="0" w:after="0" w:line="240" w:lineRule="auto"/>
              <w:rPr>
                <w:sz w:val="18"/>
                <w:szCs w:val="18"/>
              </w:rPr>
            </w:pPr>
            <w:r w:rsidRPr="002E3CEF">
              <w:rPr>
                <w:sz w:val="18"/>
                <w:szCs w:val="18"/>
              </w:rPr>
              <w:t>3. Փոխարժեքի 6.1 տոկոս արժեզրկման ռիսկ</w:t>
            </w:r>
          </w:p>
        </w:tc>
        <w:tc>
          <w:tcPr>
            <w:tcW w:w="1584" w:type="dxa"/>
            <w:tcBorders>
              <w:top w:val="single" w:sz="8" w:space="0" w:color="E1E1E3" w:themeColor="accent3" w:themeTint="33"/>
              <w:left w:val="single" w:sz="8" w:space="0" w:color="E1E1E3" w:themeColor="accent3" w:themeTint="33"/>
              <w:bottom w:val="single" w:sz="8" w:space="0" w:color="E1E1E3" w:themeColor="accent3" w:themeTint="33"/>
              <w:right w:val="single" w:sz="8" w:space="0" w:color="E1E1E3" w:themeColor="accent3" w:themeTint="33"/>
            </w:tcBorders>
            <w:vAlign w:val="center"/>
            <w:hideMark/>
          </w:tcPr>
          <w:p w14:paraId="0F5F5C80" w14:textId="77777777" w:rsidR="00957A78" w:rsidRDefault="00957A78" w:rsidP="00A72B0A">
            <w:pPr>
              <w:spacing w:before="0" w:after="0" w:line="240" w:lineRule="auto"/>
              <w:jc w:val="center"/>
              <w:rPr>
                <w:sz w:val="18"/>
                <w:szCs w:val="18"/>
              </w:rPr>
            </w:pPr>
            <w:r w:rsidRPr="002E3CEF">
              <w:rPr>
                <w:sz w:val="18"/>
                <w:szCs w:val="18"/>
              </w:rPr>
              <w:t>17.6</w:t>
            </w:r>
          </w:p>
        </w:tc>
        <w:tc>
          <w:tcPr>
            <w:tcW w:w="1488" w:type="dxa"/>
            <w:tcBorders>
              <w:top w:val="single" w:sz="8" w:space="0" w:color="E1E1E3" w:themeColor="accent3" w:themeTint="33"/>
              <w:left w:val="single" w:sz="8" w:space="0" w:color="E1E1E3" w:themeColor="accent3" w:themeTint="33"/>
              <w:bottom w:val="single" w:sz="8" w:space="0" w:color="E1E1E3" w:themeColor="accent3" w:themeTint="33"/>
              <w:right w:val="single" w:sz="8" w:space="0" w:color="E1E1E3" w:themeColor="accent3" w:themeTint="33"/>
            </w:tcBorders>
            <w:vAlign w:val="center"/>
            <w:hideMark/>
          </w:tcPr>
          <w:p w14:paraId="586C48F4" w14:textId="77777777" w:rsidR="00957A78" w:rsidRDefault="00957A78" w:rsidP="00A72B0A">
            <w:pPr>
              <w:spacing w:before="0" w:after="0" w:line="240" w:lineRule="auto"/>
              <w:jc w:val="center"/>
              <w:rPr>
                <w:sz w:val="18"/>
                <w:szCs w:val="18"/>
              </w:rPr>
            </w:pPr>
            <w:r w:rsidRPr="002E3CEF">
              <w:rPr>
                <w:sz w:val="18"/>
                <w:szCs w:val="18"/>
              </w:rPr>
              <w:t>19.6</w:t>
            </w:r>
          </w:p>
        </w:tc>
        <w:tc>
          <w:tcPr>
            <w:tcW w:w="1526" w:type="dxa"/>
            <w:tcBorders>
              <w:top w:val="single" w:sz="8" w:space="0" w:color="E1E1E3" w:themeColor="accent3" w:themeTint="33"/>
              <w:left w:val="single" w:sz="8" w:space="0" w:color="E1E1E3" w:themeColor="accent3" w:themeTint="33"/>
              <w:bottom w:val="single" w:sz="8" w:space="0" w:color="E1E1E3" w:themeColor="accent3" w:themeTint="33"/>
              <w:right w:val="single" w:sz="8" w:space="0" w:color="E1E1E3" w:themeColor="accent3" w:themeTint="33"/>
            </w:tcBorders>
            <w:vAlign w:val="center"/>
            <w:hideMark/>
          </w:tcPr>
          <w:p w14:paraId="4D37AA28" w14:textId="77777777" w:rsidR="00957A78" w:rsidRDefault="00957A78" w:rsidP="00A72B0A">
            <w:pPr>
              <w:spacing w:before="0" w:after="0" w:line="240" w:lineRule="auto"/>
              <w:jc w:val="center"/>
              <w:rPr>
                <w:sz w:val="18"/>
                <w:szCs w:val="18"/>
              </w:rPr>
            </w:pPr>
            <w:r w:rsidRPr="002E3CEF">
              <w:rPr>
                <w:sz w:val="18"/>
                <w:szCs w:val="18"/>
              </w:rPr>
              <w:t>21.4</w:t>
            </w:r>
          </w:p>
        </w:tc>
      </w:tr>
      <w:tr w:rsidR="00957A78" w14:paraId="6C14C744" w14:textId="77777777" w:rsidTr="00A72B0A">
        <w:trPr>
          <w:trHeight w:val="432"/>
        </w:trPr>
        <w:tc>
          <w:tcPr>
            <w:tcW w:w="5180" w:type="dxa"/>
            <w:tcBorders>
              <w:top w:val="single" w:sz="8" w:space="0" w:color="E1E1E3" w:themeColor="accent3" w:themeTint="33"/>
              <w:left w:val="single" w:sz="8" w:space="0" w:color="E1E1E3" w:themeColor="accent3" w:themeTint="33"/>
              <w:bottom w:val="single" w:sz="8" w:space="0" w:color="E1E1E3" w:themeColor="accent3" w:themeTint="33"/>
              <w:right w:val="single" w:sz="8" w:space="0" w:color="E1E1E3" w:themeColor="accent3" w:themeTint="33"/>
            </w:tcBorders>
            <w:hideMark/>
          </w:tcPr>
          <w:p w14:paraId="4D4B13E6" w14:textId="77777777" w:rsidR="00957A78" w:rsidRDefault="00957A78" w:rsidP="00A72B0A">
            <w:pPr>
              <w:spacing w:before="0" w:after="0" w:line="240" w:lineRule="auto"/>
              <w:rPr>
                <w:sz w:val="18"/>
                <w:szCs w:val="18"/>
              </w:rPr>
            </w:pPr>
            <w:r w:rsidRPr="002E3CEF">
              <w:rPr>
                <w:sz w:val="18"/>
                <w:szCs w:val="18"/>
              </w:rPr>
              <w:t>4. Ներմուծման</w:t>
            </w:r>
            <w:r>
              <w:rPr>
                <w:sz w:val="18"/>
                <w:szCs w:val="18"/>
              </w:rPr>
              <w:t xml:space="preserve"> </w:t>
            </w:r>
            <w:r w:rsidRPr="002E3CEF">
              <w:rPr>
                <w:sz w:val="18"/>
                <w:szCs w:val="18"/>
              </w:rPr>
              <w:t>նվազման ռիսկ, 7.3-14.3 տոկոսային կետ</w:t>
            </w:r>
          </w:p>
        </w:tc>
        <w:tc>
          <w:tcPr>
            <w:tcW w:w="1584" w:type="dxa"/>
            <w:tcBorders>
              <w:top w:val="single" w:sz="8" w:space="0" w:color="E1E1E3" w:themeColor="accent3" w:themeTint="33"/>
              <w:left w:val="single" w:sz="8" w:space="0" w:color="E1E1E3" w:themeColor="accent3" w:themeTint="33"/>
              <w:bottom w:val="single" w:sz="8" w:space="0" w:color="E1E1E3" w:themeColor="accent3" w:themeTint="33"/>
              <w:right w:val="single" w:sz="8" w:space="0" w:color="E1E1E3" w:themeColor="accent3" w:themeTint="33"/>
            </w:tcBorders>
            <w:vAlign w:val="center"/>
            <w:hideMark/>
          </w:tcPr>
          <w:p w14:paraId="54473027" w14:textId="77777777" w:rsidR="00957A78" w:rsidRDefault="00957A78" w:rsidP="00A72B0A">
            <w:pPr>
              <w:spacing w:before="0" w:after="0" w:line="240" w:lineRule="auto"/>
              <w:jc w:val="center"/>
              <w:rPr>
                <w:sz w:val="18"/>
                <w:szCs w:val="18"/>
              </w:rPr>
            </w:pPr>
            <w:r w:rsidRPr="002E3CEF">
              <w:rPr>
                <w:sz w:val="18"/>
                <w:szCs w:val="18"/>
              </w:rPr>
              <w:t>-26.2</w:t>
            </w:r>
          </w:p>
        </w:tc>
        <w:tc>
          <w:tcPr>
            <w:tcW w:w="1488" w:type="dxa"/>
            <w:tcBorders>
              <w:top w:val="single" w:sz="8" w:space="0" w:color="E1E1E3" w:themeColor="accent3" w:themeTint="33"/>
              <w:left w:val="single" w:sz="8" w:space="0" w:color="E1E1E3" w:themeColor="accent3" w:themeTint="33"/>
              <w:bottom w:val="single" w:sz="8" w:space="0" w:color="E1E1E3" w:themeColor="accent3" w:themeTint="33"/>
              <w:right w:val="single" w:sz="8" w:space="0" w:color="E1E1E3" w:themeColor="accent3" w:themeTint="33"/>
            </w:tcBorders>
            <w:vAlign w:val="center"/>
            <w:hideMark/>
          </w:tcPr>
          <w:p w14:paraId="4A0F1A97" w14:textId="77777777" w:rsidR="00957A78" w:rsidRDefault="00957A78" w:rsidP="00A72B0A">
            <w:pPr>
              <w:spacing w:before="0" w:after="0" w:line="240" w:lineRule="auto"/>
              <w:jc w:val="center"/>
              <w:rPr>
                <w:sz w:val="18"/>
                <w:szCs w:val="18"/>
              </w:rPr>
            </w:pPr>
            <w:r w:rsidRPr="002E3CEF">
              <w:rPr>
                <w:sz w:val="18"/>
                <w:szCs w:val="18"/>
              </w:rPr>
              <w:t>-49.4</w:t>
            </w:r>
          </w:p>
        </w:tc>
        <w:tc>
          <w:tcPr>
            <w:tcW w:w="1526" w:type="dxa"/>
            <w:tcBorders>
              <w:top w:val="single" w:sz="8" w:space="0" w:color="E1E1E3" w:themeColor="accent3" w:themeTint="33"/>
              <w:left w:val="single" w:sz="8" w:space="0" w:color="E1E1E3" w:themeColor="accent3" w:themeTint="33"/>
              <w:bottom w:val="single" w:sz="8" w:space="0" w:color="E1E1E3" w:themeColor="accent3" w:themeTint="33"/>
              <w:right w:val="single" w:sz="8" w:space="0" w:color="E1E1E3" w:themeColor="accent3" w:themeTint="33"/>
            </w:tcBorders>
            <w:vAlign w:val="center"/>
            <w:hideMark/>
          </w:tcPr>
          <w:p w14:paraId="407BE534" w14:textId="77777777" w:rsidR="00957A78" w:rsidRDefault="00957A78" w:rsidP="00A72B0A">
            <w:pPr>
              <w:spacing w:before="0" w:after="0" w:line="240" w:lineRule="auto"/>
              <w:jc w:val="center"/>
              <w:rPr>
                <w:sz w:val="18"/>
                <w:szCs w:val="18"/>
              </w:rPr>
            </w:pPr>
            <w:r w:rsidRPr="002E3CEF">
              <w:rPr>
                <w:sz w:val="18"/>
                <w:szCs w:val="18"/>
              </w:rPr>
              <w:t>-62.5</w:t>
            </w:r>
          </w:p>
        </w:tc>
      </w:tr>
      <w:tr w:rsidR="00957A78" w14:paraId="0E6A96E1" w14:textId="77777777" w:rsidTr="00A72B0A">
        <w:trPr>
          <w:trHeight w:val="432"/>
        </w:trPr>
        <w:tc>
          <w:tcPr>
            <w:tcW w:w="9778" w:type="dxa"/>
            <w:gridSpan w:val="4"/>
            <w:tcBorders>
              <w:top w:val="single" w:sz="8" w:space="0" w:color="E1E1E3" w:themeColor="accent3" w:themeTint="33"/>
              <w:left w:val="single" w:sz="8" w:space="0" w:color="E1E1E3" w:themeColor="accent3" w:themeTint="33"/>
              <w:bottom w:val="single" w:sz="8" w:space="0" w:color="E1E1E3" w:themeColor="accent3" w:themeTint="33"/>
              <w:right w:val="single" w:sz="8" w:space="0" w:color="E1E1E3" w:themeColor="accent3" w:themeTint="33"/>
            </w:tcBorders>
            <w:shd w:val="clear" w:color="auto" w:fill="D5DCE4" w:themeFill="text2" w:themeFillTint="33"/>
            <w:vAlign w:val="center"/>
            <w:hideMark/>
          </w:tcPr>
          <w:p w14:paraId="742D7190" w14:textId="77777777" w:rsidR="00957A78" w:rsidRDefault="00957A78" w:rsidP="00A72B0A">
            <w:pPr>
              <w:spacing w:before="0" w:after="0" w:line="240" w:lineRule="auto"/>
              <w:rPr>
                <w:b/>
                <w:sz w:val="18"/>
                <w:szCs w:val="18"/>
              </w:rPr>
            </w:pPr>
            <w:r>
              <w:rPr>
                <w:b/>
                <w:sz w:val="18"/>
                <w:szCs w:val="18"/>
              </w:rPr>
              <w:t xml:space="preserve">Վերոնշյալ ռիսկերի </w:t>
            </w:r>
            <w:r>
              <w:rPr>
                <w:b/>
                <w:sz w:val="18"/>
                <w:szCs w:val="18"/>
                <w:shd w:val="clear" w:color="auto" w:fill="D5DCE4" w:themeFill="text2" w:themeFillTint="33"/>
              </w:rPr>
              <w:t>միաժամանակյա հանդես գալու պայմաններում</w:t>
            </w:r>
          </w:p>
        </w:tc>
      </w:tr>
      <w:tr w:rsidR="00957A78" w14:paraId="2E5026DD" w14:textId="77777777" w:rsidTr="00A72B0A">
        <w:trPr>
          <w:trHeight w:val="432"/>
        </w:trPr>
        <w:tc>
          <w:tcPr>
            <w:tcW w:w="5180" w:type="dxa"/>
            <w:tcBorders>
              <w:top w:val="single" w:sz="8" w:space="0" w:color="E1E1E3" w:themeColor="accent3" w:themeTint="33"/>
              <w:left w:val="single" w:sz="8" w:space="0" w:color="E1E1E3" w:themeColor="accent3" w:themeTint="33"/>
              <w:bottom w:val="single" w:sz="8" w:space="0" w:color="E1E1E3" w:themeColor="accent3" w:themeTint="33"/>
              <w:right w:val="single" w:sz="8" w:space="0" w:color="E1E1E3" w:themeColor="accent3" w:themeTint="33"/>
            </w:tcBorders>
            <w:vAlign w:val="center"/>
            <w:hideMark/>
          </w:tcPr>
          <w:p w14:paraId="2A2AE911" w14:textId="77777777" w:rsidR="00957A78" w:rsidRDefault="00957A78" w:rsidP="00A72B0A">
            <w:pPr>
              <w:spacing w:before="0" w:after="0" w:line="240" w:lineRule="auto"/>
              <w:rPr>
                <w:b/>
                <w:sz w:val="18"/>
                <w:szCs w:val="18"/>
              </w:rPr>
            </w:pPr>
            <w:r>
              <w:rPr>
                <w:b/>
                <w:sz w:val="18"/>
                <w:szCs w:val="18"/>
              </w:rPr>
              <w:t>ԸՆԴԱՄԵՆԸ</w:t>
            </w:r>
          </w:p>
        </w:tc>
        <w:tc>
          <w:tcPr>
            <w:tcW w:w="1584" w:type="dxa"/>
            <w:tcBorders>
              <w:top w:val="single" w:sz="8" w:space="0" w:color="E1E1E3" w:themeColor="accent3" w:themeTint="33"/>
              <w:left w:val="single" w:sz="8" w:space="0" w:color="E1E1E3" w:themeColor="accent3" w:themeTint="33"/>
              <w:bottom w:val="single" w:sz="8" w:space="0" w:color="E1E1E3" w:themeColor="accent3" w:themeTint="33"/>
              <w:right w:val="single" w:sz="8" w:space="0" w:color="E1E1E3" w:themeColor="accent3" w:themeTint="33"/>
            </w:tcBorders>
            <w:vAlign w:val="center"/>
            <w:hideMark/>
          </w:tcPr>
          <w:p w14:paraId="4B3BF4E9" w14:textId="77777777" w:rsidR="00957A78" w:rsidRDefault="00957A78" w:rsidP="00A72B0A">
            <w:pPr>
              <w:rPr>
                <w:b/>
                <w:sz w:val="18"/>
                <w:szCs w:val="18"/>
              </w:rPr>
            </w:pPr>
          </w:p>
        </w:tc>
        <w:tc>
          <w:tcPr>
            <w:tcW w:w="1488" w:type="dxa"/>
            <w:tcBorders>
              <w:top w:val="single" w:sz="8" w:space="0" w:color="E1E1E3" w:themeColor="accent3" w:themeTint="33"/>
              <w:left w:val="single" w:sz="8" w:space="0" w:color="E1E1E3" w:themeColor="accent3" w:themeTint="33"/>
              <w:bottom w:val="single" w:sz="8" w:space="0" w:color="E1E1E3" w:themeColor="accent3" w:themeTint="33"/>
              <w:right w:val="single" w:sz="8" w:space="0" w:color="E1E1E3" w:themeColor="accent3" w:themeTint="33"/>
            </w:tcBorders>
            <w:vAlign w:val="center"/>
            <w:hideMark/>
          </w:tcPr>
          <w:p w14:paraId="562F7046" w14:textId="77777777" w:rsidR="00957A78" w:rsidRDefault="00957A78" w:rsidP="00A72B0A">
            <w:pPr>
              <w:spacing w:before="0" w:after="0"/>
              <w:rPr>
                <w:color w:val="auto"/>
                <w:sz w:val="20"/>
                <w:szCs w:val="20"/>
              </w:rPr>
            </w:pPr>
          </w:p>
        </w:tc>
        <w:tc>
          <w:tcPr>
            <w:tcW w:w="1526" w:type="dxa"/>
            <w:tcBorders>
              <w:top w:val="single" w:sz="8" w:space="0" w:color="E1E1E3" w:themeColor="accent3" w:themeTint="33"/>
              <w:left w:val="single" w:sz="8" w:space="0" w:color="E1E1E3" w:themeColor="accent3" w:themeTint="33"/>
              <w:bottom w:val="single" w:sz="8" w:space="0" w:color="E1E1E3" w:themeColor="accent3" w:themeTint="33"/>
              <w:right w:val="single" w:sz="8" w:space="0" w:color="E1E1E3" w:themeColor="accent3" w:themeTint="33"/>
            </w:tcBorders>
            <w:vAlign w:val="center"/>
            <w:hideMark/>
          </w:tcPr>
          <w:p w14:paraId="74F32144" w14:textId="77777777" w:rsidR="00957A78" w:rsidRDefault="00957A78" w:rsidP="00A72B0A">
            <w:pPr>
              <w:spacing w:before="0" w:after="0"/>
              <w:rPr>
                <w:color w:val="auto"/>
                <w:sz w:val="20"/>
                <w:szCs w:val="20"/>
              </w:rPr>
            </w:pPr>
          </w:p>
        </w:tc>
      </w:tr>
      <w:tr w:rsidR="00957A78" w14:paraId="2C111AF3" w14:textId="77777777" w:rsidTr="00A72B0A">
        <w:trPr>
          <w:trHeight w:val="432"/>
        </w:trPr>
        <w:tc>
          <w:tcPr>
            <w:tcW w:w="5180" w:type="dxa"/>
            <w:tcBorders>
              <w:top w:val="single" w:sz="8" w:space="0" w:color="E1E1E3" w:themeColor="accent3" w:themeTint="33"/>
              <w:left w:val="single" w:sz="8" w:space="0" w:color="E1E1E3" w:themeColor="accent3" w:themeTint="33"/>
              <w:bottom w:val="single" w:sz="8" w:space="0" w:color="E1E1E3" w:themeColor="accent3" w:themeTint="33"/>
              <w:right w:val="single" w:sz="8" w:space="0" w:color="E1E1E3" w:themeColor="accent3" w:themeTint="33"/>
            </w:tcBorders>
            <w:hideMark/>
          </w:tcPr>
          <w:p w14:paraId="53EFBB2F" w14:textId="77777777" w:rsidR="00957A78" w:rsidRDefault="00957A78" w:rsidP="00A72B0A">
            <w:pPr>
              <w:spacing w:before="0" w:after="0" w:line="240" w:lineRule="auto"/>
              <w:rPr>
                <w:sz w:val="18"/>
                <w:szCs w:val="18"/>
              </w:rPr>
            </w:pPr>
            <w:r w:rsidRPr="002E3CEF">
              <w:rPr>
                <w:sz w:val="18"/>
                <w:szCs w:val="18"/>
              </w:rPr>
              <w:t>1.2-1.3 տոկոսային կետով ավելի ցածր ՀՆԱ աճ</w:t>
            </w:r>
          </w:p>
        </w:tc>
        <w:tc>
          <w:tcPr>
            <w:tcW w:w="1584" w:type="dxa"/>
            <w:tcBorders>
              <w:top w:val="single" w:sz="8" w:space="0" w:color="E1E1E3" w:themeColor="accent3" w:themeTint="33"/>
              <w:left w:val="single" w:sz="8" w:space="0" w:color="E1E1E3" w:themeColor="accent3" w:themeTint="33"/>
              <w:bottom w:val="single" w:sz="8" w:space="0" w:color="E1E1E3" w:themeColor="accent3" w:themeTint="33"/>
              <w:right w:val="single" w:sz="8" w:space="0" w:color="E1E1E3" w:themeColor="accent3" w:themeTint="33"/>
            </w:tcBorders>
            <w:hideMark/>
          </w:tcPr>
          <w:p w14:paraId="2EECDE2E" w14:textId="77777777" w:rsidR="00957A78" w:rsidRDefault="00957A78" w:rsidP="00A72B0A">
            <w:pPr>
              <w:spacing w:before="0" w:after="0" w:line="240" w:lineRule="auto"/>
              <w:jc w:val="center"/>
              <w:rPr>
                <w:sz w:val="18"/>
                <w:szCs w:val="18"/>
              </w:rPr>
            </w:pPr>
            <w:r w:rsidRPr="002E3CEF">
              <w:rPr>
                <w:sz w:val="18"/>
                <w:szCs w:val="18"/>
              </w:rPr>
              <w:t>-46.9</w:t>
            </w:r>
          </w:p>
        </w:tc>
        <w:tc>
          <w:tcPr>
            <w:tcW w:w="1488" w:type="dxa"/>
            <w:tcBorders>
              <w:top w:val="single" w:sz="8" w:space="0" w:color="E1E1E3" w:themeColor="accent3" w:themeTint="33"/>
              <w:left w:val="single" w:sz="8" w:space="0" w:color="E1E1E3" w:themeColor="accent3" w:themeTint="33"/>
              <w:bottom w:val="single" w:sz="8" w:space="0" w:color="E1E1E3" w:themeColor="accent3" w:themeTint="33"/>
              <w:right w:val="single" w:sz="8" w:space="0" w:color="E1E1E3" w:themeColor="accent3" w:themeTint="33"/>
            </w:tcBorders>
            <w:hideMark/>
          </w:tcPr>
          <w:p w14:paraId="501457F6" w14:textId="77777777" w:rsidR="00957A78" w:rsidRDefault="00957A78" w:rsidP="00A72B0A">
            <w:pPr>
              <w:spacing w:before="0" w:after="0" w:line="240" w:lineRule="auto"/>
              <w:jc w:val="center"/>
              <w:rPr>
                <w:sz w:val="18"/>
                <w:szCs w:val="18"/>
              </w:rPr>
            </w:pPr>
            <w:r w:rsidRPr="002E3CEF">
              <w:rPr>
                <w:sz w:val="18"/>
                <w:szCs w:val="18"/>
              </w:rPr>
              <w:t>-71.9</w:t>
            </w:r>
          </w:p>
        </w:tc>
        <w:tc>
          <w:tcPr>
            <w:tcW w:w="1526" w:type="dxa"/>
            <w:tcBorders>
              <w:top w:val="single" w:sz="8" w:space="0" w:color="E1E1E3" w:themeColor="accent3" w:themeTint="33"/>
              <w:left w:val="single" w:sz="8" w:space="0" w:color="E1E1E3" w:themeColor="accent3" w:themeTint="33"/>
              <w:bottom w:val="single" w:sz="8" w:space="0" w:color="E1E1E3" w:themeColor="accent3" w:themeTint="33"/>
              <w:right w:val="single" w:sz="8" w:space="0" w:color="E1E1E3" w:themeColor="accent3" w:themeTint="33"/>
            </w:tcBorders>
            <w:hideMark/>
          </w:tcPr>
          <w:p w14:paraId="377F5C9F" w14:textId="77777777" w:rsidR="00957A78" w:rsidRDefault="00957A78" w:rsidP="00A72B0A">
            <w:pPr>
              <w:spacing w:before="0" w:after="0" w:line="240" w:lineRule="auto"/>
              <w:jc w:val="center"/>
              <w:rPr>
                <w:sz w:val="18"/>
                <w:szCs w:val="18"/>
              </w:rPr>
            </w:pPr>
            <w:r w:rsidRPr="002E3CEF">
              <w:rPr>
                <w:sz w:val="18"/>
                <w:szCs w:val="18"/>
              </w:rPr>
              <w:t>-86.3</w:t>
            </w:r>
          </w:p>
        </w:tc>
      </w:tr>
      <w:tr w:rsidR="00957A78" w14:paraId="4FE034A2" w14:textId="77777777" w:rsidTr="00A72B0A">
        <w:trPr>
          <w:trHeight w:val="432"/>
        </w:trPr>
        <w:tc>
          <w:tcPr>
            <w:tcW w:w="5180" w:type="dxa"/>
            <w:tcBorders>
              <w:top w:val="single" w:sz="8" w:space="0" w:color="E1E1E3" w:themeColor="accent3" w:themeTint="33"/>
              <w:left w:val="single" w:sz="8" w:space="0" w:color="E1E1E3" w:themeColor="accent3" w:themeTint="33"/>
              <w:bottom w:val="single" w:sz="8" w:space="0" w:color="E1E1E3" w:themeColor="accent3" w:themeTint="33"/>
              <w:right w:val="single" w:sz="8" w:space="0" w:color="E1E1E3" w:themeColor="accent3" w:themeTint="33"/>
            </w:tcBorders>
            <w:hideMark/>
          </w:tcPr>
          <w:p w14:paraId="2743B84B" w14:textId="77777777" w:rsidR="00957A78" w:rsidRDefault="00957A78" w:rsidP="00A72B0A">
            <w:pPr>
              <w:spacing w:before="0" w:after="0" w:line="240" w:lineRule="auto"/>
              <w:rPr>
                <w:sz w:val="18"/>
                <w:szCs w:val="18"/>
              </w:rPr>
            </w:pPr>
            <w:r w:rsidRPr="002E3CEF">
              <w:rPr>
                <w:sz w:val="18"/>
                <w:szCs w:val="18"/>
              </w:rPr>
              <w:t>1.6-1.7 տոկոսային կետով ավելի ցածր ՀՆԱ աճ</w:t>
            </w:r>
          </w:p>
        </w:tc>
        <w:tc>
          <w:tcPr>
            <w:tcW w:w="1584" w:type="dxa"/>
            <w:tcBorders>
              <w:top w:val="single" w:sz="8" w:space="0" w:color="E1E1E3" w:themeColor="accent3" w:themeTint="33"/>
              <w:left w:val="single" w:sz="8" w:space="0" w:color="E1E1E3" w:themeColor="accent3" w:themeTint="33"/>
              <w:bottom w:val="single" w:sz="8" w:space="0" w:color="E1E1E3" w:themeColor="accent3" w:themeTint="33"/>
              <w:right w:val="single" w:sz="8" w:space="0" w:color="E1E1E3" w:themeColor="accent3" w:themeTint="33"/>
            </w:tcBorders>
            <w:hideMark/>
          </w:tcPr>
          <w:p w14:paraId="6C01CAD1" w14:textId="77777777" w:rsidR="00957A78" w:rsidRDefault="00957A78" w:rsidP="00A72B0A">
            <w:pPr>
              <w:spacing w:before="0" w:after="0" w:line="240" w:lineRule="auto"/>
              <w:jc w:val="center"/>
              <w:rPr>
                <w:sz w:val="18"/>
                <w:szCs w:val="18"/>
              </w:rPr>
            </w:pPr>
            <w:r w:rsidRPr="002E3CEF">
              <w:rPr>
                <w:sz w:val="18"/>
                <w:szCs w:val="18"/>
              </w:rPr>
              <w:t>-52.6</w:t>
            </w:r>
          </w:p>
        </w:tc>
        <w:tc>
          <w:tcPr>
            <w:tcW w:w="1488" w:type="dxa"/>
            <w:tcBorders>
              <w:top w:val="single" w:sz="8" w:space="0" w:color="E1E1E3" w:themeColor="accent3" w:themeTint="33"/>
              <w:left w:val="single" w:sz="8" w:space="0" w:color="E1E1E3" w:themeColor="accent3" w:themeTint="33"/>
              <w:bottom w:val="single" w:sz="8" w:space="0" w:color="E1E1E3" w:themeColor="accent3" w:themeTint="33"/>
              <w:right w:val="single" w:sz="8" w:space="0" w:color="E1E1E3" w:themeColor="accent3" w:themeTint="33"/>
            </w:tcBorders>
            <w:hideMark/>
          </w:tcPr>
          <w:p w14:paraId="1BCEAF43" w14:textId="77777777" w:rsidR="00957A78" w:rsidRDefault="00957A78" w:rsidP="00A72B0A">
            <w:pPr>
              <w:spacing w:before="0" w:after="0" w:line="240" w:lineRule="auto"/>
              <w:jc w:val="center"/>
              <w:rPr>
                <w:sz w:val="18"/>
                <w:szCs w:val="18"/>
              </w:rPr>
            </w:pPr>
            <w:r w:rsidRPr="002E3CEF">
              <w:rPr>
                <w:sz w:val="18"/>
                <w:szCs w:val="18"/>
              </w:rPr>
              <w:t>-78.3</w:t>
            </w:r>
          </w:p>
        </w:tc>
        <w:tc>
          <w:tcPr>
            <w:tcW w:w="1526" w:type="dxa"/>
            <w:tcBorders>
              <w:top w:val="single" w:sz="8" w:space="0" w:color="E1E1E3" w:themeColor="accent3" w:themeTint="33"/>
              <w:left w:val="single" w:sz="8" w:space="0" w:color="E1E1E3" w:themeColor="accent3" w:themeTint="33"/>
              <w:bottom w:val="single" w:sz="8" w:space="0" w:color="E1E1E3" w:themeColor="accent3" w:themeTint="33"/>
              <w:right w:val="single" w:sz="8" w:space="0" w:color="E1E1E3" w:themeColor="accent3" w:themeTint="33"/>
            </w:tcBorders>
            <w:hideMark/>
          </w:tcPr>
          <w:p w14:paraId="63265037" w14:textId="77777777" w:rsidR="00957A78" w:rsidRDefault="00957A78" w:rsidP="00A72B0A">
            <w:pPr>
              <w:spacing w:before="0" w:after="0" w:line="240" w:lineRule="auto"/>
              <w:jc w:val="center"/>
              <w:rPr>
                <w:sz w:val="18"/>
                <w:szCs w:val="18"/>
              </w:rPr>
            </w:pPr>
            <w:r w:rsidRPr="002E3CEF">
              <w:rPr>
                <w:sz w:val="18"/>
                <w:szCs w:val="18"/>
              </w:rPr>
              <w:t>-93.3</w:t>
            </w:r>
          </w:p>
        </w:tc>
      </w:tr>
    </w:tbl>
    <w:p w14:paraId="674FFED8" w14:textId="77777777" w:rsidR="00957A78" w:rsidRDefault="00957A78" w:rsidP="00957A78">
      <w:pPr>
        <w:jc w:val="both"/>
        <w:rPr>
          <w:lang w:val="hy-AM" w:eastAsia="ru-RU"/>
        </w:rPr>
      </w:pPr>
    </w:p>
    <w:p w14:paraId="02F09610" w14:textId="77777777" w:rsidR="00957A78" w:rsidRDefault="00957A78" w:rsidP="00957A78">
      <w:pPr>
        <w:pStyle w:val="BodyText1"/>
        <w:rPr>
          <w:lang w:val="hy-AM"/>
        </w:rPr>
      </w:pPr>
      <w:r>
        <w:rPr>
          <w:lang w:val="hy-AM"/>
        </w:rPr>
        <w:t>Այսպիսով, գնահատվում է, որ հարկային եկամուտների վրա ազդող վերոնշյալ ռիսկերի միաժամանակյա ի հայտ գալու պարագայում հարկային եկամուտների ծրագրված մակարդակից առավելագույն շեղումը 202</w:t>
      </w:r>
      <w:r w:rsidRPr="002E3CEF">
        <w:rPr>
          <w:lang w:val="hy-AM"/>
        </w:rPr>
        <w:t>6</w:t>
      </w:r>
      <w:r>
        <w:rPr>
          <w:lang w:val="hy-AM"/>
        </w:rPr>
        <w:t xml:space="preserve">-ի համար կկազմի շուրջ </w:t>
      </w:r>
      <w:r w:rsidRPr="002E3CEF">
        <w:rPr>
          <w:lang w:val="hy-AM"/>
        </w:rPr>
        <w:t>52.6</w:t>
      </w:r>
      <w:r>
        <w:rPr>
          <w:lang w:val="hy-AM"/>
        </w:rPr>
        <w:t xml:space="preserve"> մլրդ ՀՀ դրամ, իսկ 202</w:t>
      </w:r>
      <w:r w:rsidRPr="002E3CEF">
        <w:rPr>
          <w:lang w:val="hy-AM"/>
        </w:rPr>
        <w:t>7</w:t>
      </w:r>
      <w:r>
        <w:rPr>
          <w:lang w:val="hy-AM"/>
        </w:rPr>
        <w:t xml:space="preserve"> և 202</w:t>
      </w:r>
      <w:r w:rsidRPr="002E3CEF">
        <w:rPr>
          <w:lang w:val="hy-AM"/>
        </w:rPr>
        <w:t>8</w:t>
      </w:r>
      <w:r>
        <w:rPr>
          <w:lang w:val="hy-AM"/>
        </w:rPr>
        <w:t xml:space="preserve"> թթ.-ի համար համապատասխանաբար </w:t>
      </w:r>
      <w:r w:rsidRPr="002E3CEF">
        <w:rPr>
          <w:lang w:val="hy-AM"/>
        </w:rPr>
        <w:t>78.3</w:t>
      </w:r>
      <w:r>
        <w:rPr>
          <w:lang w:val="hy-AM"/>
        </w:rPr>
        <w:t xml:space="preserve"> մլրդ ՀՀ դրամ և </w:t>
      </w:r>
      <w:r w:rsidRPr="002E3CEF">
        <w:rPr>
          <w:lang w:val="hy-AM"/>
        </w:rPr>
        <w:t>93.3</w:t>
      </w:r>
      <w:r>
        <w:rPr>
          <w:lang w:val="hy-AM"/>
        </w:rPr>
        <w:t xml:space="preserve"> մլրդ ՀՀ դրամ: </w:t>
      </w:r>
    </w:p>
    <w:p w14:paraId="62B9A55F" w14:textId="77777777" w:rsidR="00957A78" w:rsidRDefault="00957A78" w:rsidP="00957A78">
      <w:pPr>
        <w:pStyle w:val="BodyText1"/>
        <w:rPr>
          <w:lang w:val="hy-AM"/>
        </w:rPr>
      </w:pPr>
      <w:r>
        <w:rPr>
          <w:lang w:val="hy-AM"/>
        </w:rPr>
        <w:t>Հարկային եկամուտների վրա առանձին ռիսկերի ազդեցության չափի վերաբերյալ պատկերացում են տալիս նաև ստորև ներկայացվող զգայունության գնահատականները, սակայն այս դեպքում դիտարկվում է հարկային եկամուտների աճի վրա ազդող գործոնների աճերի 1% փոփոխության ազդեցությունը, ինչը ներկայացված է հարկային եկամուտների զգայունության աղյուսակում:</w:t>
      </w:r>
    </w:p>
    <w:p w14:paraId="070A2B3F" w14:textId="5D12C70C" w:rsidR="00957A78" w:rsidRDefault="00957A78" w:rsidP="00957A78">
      <w:pPr>
        <w:pStyle w:val="a"/>
        <w:rPr>
          <w:rFonts w:ascii="GHEA Grapalat" w:hAnsi="GHEA Grapalat"/>
          <w:szCs w:val="20"/>
        </w:rPr>
      </w:pPr>
      <w:bookmarkStart w:id="500" w:name="_Toc178612159"/>
      <w:r>
        <w:rPr>
          <w:rFonts w:ascii="GHEA Grapalat" w:hAnsi="GHEA Grapalat"/>
          <w:szCs w:val="20"/>
        </w:rPr>
        <w:t>Աղյուսակ</w:t>
      </w:r>
      <w:r w:rsidR="002C5ABD">
        <w:rPr>
          <w:rFonts w:ascii="GHEA Grapalat" w:hAnsi="GHEA Grapalat"/>
          <w:szCs w:val="20"/>
        </w:rPr>
        <w:t xml:space="preserve"> 2</w:t>
      </w:r>
      <w:r>
        <w:rPr>
          <w:rFonts w:ascii="GHEA Grapalat" w:hAnsi="GHEA Grapalat"/>
          <w:szCs w:val="20"/>
        </w:rPr>
        <w:t>.1.2 Հարկային եկամուտների զգայունությունը հիմնական տնտեսական գործոնների նկատմամբ, %</w:t>
      </w:r>
      <w:bookmarkEnd w:id="500"/>
    </w:p>
    <w:tbl>
      <w:tblPr>
        <w:tblW w:w="9357" w:type="dxa"/>
        <w:tblBorders>
          <w:top w:val="single" w:sz="4" w:space="0" w:color="E1E1E3" w:themeColor="accent3" w:themeTint="33"/>
          <w:left w:val="single" w:sz="4" w:space="0" w:color="E1E1E3" w:themeColor="accent3" w:themeTint="33"/>
          <w:bottom w:val="single" w:sz="4" w:space="0" w:color="E1E1E3" w:themeColor="accent3" w:themeTint="33"/>
          <w:right w:val="single" w:sz="4" w:space="0" w:color="E1E1E3" w:themeColor="accent3" w:themeTint="33"/>
          <w:insideH w:val="single" w:sz="4" w:space="0" w:color="E1E1E3" w:themeColor="accent3" w:themeTint="33"/>
          <w:insideV w:val="single" w:sz="4" w:space="0" w:color="E1E1E3" w:themeColor="accent3" w:themeTint="33"/>
        </w:tblBorders>
        <w:tblLook w:val="04A0" w:firstRow="1" w:lastRow="0" w:firstColumn="1" w:lastColumn="0" w:noHBand="0" w:noVBand="1"/>
      </w:tblPr>
      <w:tblGrid>
        <w:gridCol w:w="3931"/>
        <w:gridCol w:w="1208"/>
        <w:gridCol w:w="1220"/>
        <w:gridCol w:w="1492"/>
        <w:gridCol w:w="1506"/>
      </w:tblGrid>
      <w:tr w:rsidR="00957A78" w14:paraId="29FEB1C3" w14:textId="77777777" w:rsidTr="00A72B0A">
        <w:trPr>
          <w:trHeight w:val="360"/>
        </w:trPr>
        <w:tc>
          <w:tcPr>
            <w:tcW w:w="3931" w:type="dxa"/>
            <w:tcBorders>
              <w:top w:val="single" w:sz="4" w:space="0" w:color="E1E1E3" w:themeColor="accent3" w:themeTint="33"/>
              <w:left w:val="single" w:sz="4" w:space="0" w:color="E1E1E3" w:themeColor="accent3" w:themeTint="33"/>
              <w:bottom w:val="single" w:sz="4" w:space="0" w:color="E1E1E3" w:themeColor="accent3" w:themeTint="33"/>
              <w:right w:val="single" w:sz="4" w:space="0" w:color="E1E1E3" w:themeColor="accent3" w:themeTint="33"/>
            </w:tcBorders>
            <w:shd w:val="clear" w:color="auto" w:fill="D5DCE4" w:themeFill="text2" w:themeFillTint="33"/>
            <w:vAlign w:val="center"/>
            <w:hideMark/>
          </w:tcPr>
          <w:p w14:paraId="2C29D26D" w14:textId="77777777" w:rsidR="00957A78" w:rsidRDefault="00957A78" w:rsidP="00A72B0A">
            <w:pPr>
              <w:jc w:val="both"/>
              <w:rPr>
                <w:sz w:val="18"/>
                <w:szCs w:val="18"/>
                <w:lang w:val="hy-AM"/>
              </w:rPr>
            </w:pPr>
            <w:r>
              <w:rPr>
                <w:rFonts w:ascii="Calibri" w:hAnsi="Calibri" w:cs="Calibri"/>
                <w:sz w:val="18"/>
                <w:szCs w:val="18"/>
                <w:lang w:val="hy-AM"/>
              </w:rPr>
              <w:t> </w:t>
            </w:r>
          </w:p>
        </w:tc>
        <w:tc>
          <w:tcPr>
            <w:tcW w:w="1208" w:type="dxa"/>
            <w:tcBorders>
              <w:top w:val="single" w:sz="4" w:space="0" w:color="E1E1E3" w:themeColor="accent3" w:themeTint="33"/>
              <w:left w:val="single" w:sz="4" w:space="0" w:color="E1E1E3" w:themeColor="accent3" w:themeTint="33"/>
              <w:bottom w:val="single" w:sz="4" w:space="0" w:color="E1E1E3" w:themeColor="accent3" w:themeTint="33"/>
              <w:right w:val="single" w:sz="4" w:space="0" w:color="E1E1E3" w:themeColor="accent3" w:themeTint="33"/>
            </w:tcBorders>
            <w:shd w:val="clear" w:color="auto" w:fill="D5DCE4" w:themeFill="text2" w:themeFillTint="33"/>
            <w:vAlign w:val="center"/>
            <w:hideMark/>
          </w:tcPr>
          <w:p w14:paraId="5B7A5E76" w14:textId="77777777" w:rsidR="00957A78" w:rsidRDefault="00957A78" w:rsidP="00A72B0A">
            <w:pPr>
              <w:jc w:val="center"/>
              <w:rPr>
                <w:b/>
                <w:sz w:val="18"/>
                <w:szCs w:val="18"/>
                <w:lang w:val="ru-RU"/>
              </w:rPr>
            </w:pPr>
            <w:r>
              <w:rPr>
                <w:b/>
                <w:sz w:val="18"/>
                <w:szCs w:val="18"/>
              </w:rPr>
              <w:t>ՀՆԱ</w:t>
            </w:r>
          </w:p>
        </w:tc>
        <w:tc>
          <w:tcPr>
            <w:tcW w:w="1220" w:type="dxa"/>
            <w:tcBorders>
              <w:top w:val="single" w:sz="4" w:space="0" w:color="E1E1E3" w:themeColor="accent3" w:themeTint="33"/>
              <w:left w:val="single" w:sz="4" w:space="0" w:color="E1E1E3" w:themeColor="accent3" w:themeTint="33"/>
              <w:bottom w:val="single" w:sz="4" w:space="0" w:color="E1E1E3" w:themeColor="accent3" w:themeTint="33"/>
              <w:right w:val="single" w:sz="4" w:space="0" w:color="E1E1E3" w:themeColor="accent3" w:themeTint="33"/>
            </w:tcBorders>
            <w:shd w:val="clear" w:color="auto" w:fill="D5DCE4" w:themeFill="text2" w:themeFillTint="33"/>
            <w:vAlign w:val="center"/>
            <w:hideMark/>
          </w:tcPr>
          <w:p w14:paraId="0086BDEC" w14:textId="77777777" w:rsidR="00957A78" w:rsidRDefault="00957A78" w:rsidP="00A72B0A">
            <w:pPr>
              <w:jc w:val="center"/>
              <w:rPr>
                <w:b/>
                <w:sz w:val="18"/>
                <w:szCs w:val="18"/>
              </w:rPr>
            </w:pPr>
            <w:r>
              <w:rPr>
                <w:b/>
                <w:sz w:val="18"/>
                <w:szCs w:val="18"/>
              </w:rPr>
              <w:t>Գնաճ</w:t>
            </w:r>
          </w:p>
        </w:tc>
        <w:tc>
          <w:tcPr>
            <w:tcW w:w="1492" w:type="dxa"/>
            <w:tcBorders>
              <w:top w:val="single" w:sz="4" w:space="0" w:color="E1E1E3" w:themeColor="accent3" w:themeTint="33"/>
              <w:left w:val="single" w:sz="4" w:space="0" w:color="E1E1E3" w:themeColor="accent3" w:themeTint="33"/>
              <w:bottom w:val="single" w:sz="4" w:space="0" w:color="E1E1E3" w:themeColor="accent3" w:themeTint="33"/>
              <w:right w:val="single" w:sz="4" w:space="0" w:color="E1E1E3" w:themeColor="accent3" w:themeTint="33"/>
            </w:tcBorders>
            <w:shd w:val="clear" w:color="auto" w:fill="D5DCE4" w:themeFill="text2" w:themeFillTint="33"/>
            <w:vAlign w:val="center"/>
            <w:hideMark/>
          </w:tcPr>
          <w:p w14:paraId="4C30AD2C" w14:textId="77777777" w:rsidR="00957A78" w:rsidRDefault="00957A78" w:rsidP="00A72B0A">
            <w:pPr>
              <w:jc w:val="center"/>
              <w:rPr>
                <w:b/>
                <w:sz w:val="18"/>
                <w:szCs w:val="18"/>
              </w:rPr>
            </w:pPr>
            <w:r>
              <w:rPr>
                <w:b/>
                <w:sz w:val="18"/>
                <w:szCs w:val="18"/>
              </w:rPr>
              <w:t>Փոխարժեք</w:t>
            </w:r>
          </w:p>
        </w:tc>
        <w:tc>
          <w:tcPr>
            <w:tcW w:w="1506" w:type="dxa"/>
            <w:tcBorders>
              <w:top w:val="single" w:sz="4" w:space="0" w:color="E1E1E3" w:themeColor="accent3" w:themeTint="33"/>
              <w:left w:val="single" w:sz="4" w:space="0" w:color="E1E1E3" w:themeColor="accent3" w:themeTint="33"/>
              <w:bottom w:val="single" w:sz="4" w:space="0" w:color="E1E1E3" w:themeColor="accent3" w:themeTint="33"/>
              <w:right w:val="single" w:sz="4" w:space="0" w:color="E1E1E3" w:themeColor="accent3" w:themeTint="33"/>
            </w:tcBorders>
            <w:shd w:val="clear" w:color="auto" w:fill="D5DCE4" w:themeFill="text2" w:themeFillTint="33"/>
            <w:vAlign w:val="center"/>
            <w:hideMark/>
          </w:tcPr>
          <w:p w14:paraId="027051CC" w14:textId="77777777" w:rsidR="00957A78" w:rsidRDefault="00957A78" w:rsidP="00A72B0A">
            <w:pPr>
              <w:jc w:val="center"/>
              <w:rPr>
                <w:b/>
                <w:sz w:val="18"/>
                <w:szCs w:val="18"/>
              </w:rPr>
            </w:pPr>
            <w:r>
              <w:rPr>
                <w:b/>
                <w:sz w:val="18"/>
                <w:szCs w:val="18"/>
              </w:rPr>
              <w:t>Ներմուծում</w:t>
            </w:r>
          </w:p>
        </w:tc>
      </w:tr>
      <w:tr w:rsidR="00957A78" w14:paraId="2FB85D7A" w14:textId="77777777" w:rsidTr="00A72B0A">
        <w:trPr>
          <w:trHeight w:val="360"/>
        </w:trPr>
        <w:tc>
          <w:tcPr>
            <w:tcW w:w="3931" w:type="dxa"/>
            <w:tcBorders>
              <w:top w:val="single" w:sz="4" w:space="0" w:color="E1E1E3" w:themeColor="accent3" w:themeTint="33"/>
              <w:left w:val="single" w:sz="4" w:space="0" w:color="E1E1E3" w:themeColor="accent3" w:themeTint="33"/>
              <w:bottom w:val="single" w:sz="4" w:space="0" w:color="E1E1E3" w:themeColor="accent3" w:themeTint="33"/>
              <w:right w:val="single" w:sz="4" w:space="0" w:color="E1E1E3" w:themeColor="accent3" w:themeTint="33"/>
            </w:tcBorders>
            <w:vAlign w:val="center"/>
            <w:hideMark/>
          </w:tcPr>
          <w:p w14:paraId="2AF65797" w14:textId="77777777" w:rsidR="00957A78" w:rsidRDefault="00957A78" w:rsidP="00A72B0A">
            <w:pPr>
              <w:rPr>
                <w:sz w:val="18"/>
                <w:szCs w:val="18"/>
              </w:rPr>
            </w:pPr>
            <w:r>
              <w:rPr>
                <w:sz w:val="18"/>
                <w:szCs w:val="18"/>
              </w:rPr>
              <w:t>Տարեկան (շոկին հաջորդող 4 եռամսյակների) ազդեցություն</w:t>
            </w:r>
          </w:p>
        </w:tc>
        <w:tc>
          <w:tcPr>
            <w:tcW w:w="1208" w:type="dxa"/>
            <w:tcBorders>
              <w:top w:val="single" w:sz="4" w:space="0" w:color="E1E1E3" w:themeColor="accent3" w:themeTint="33"/>
              <w:left w:val="single" w:sz="4" w:space="0" w:color="E1E1E3" w:themeColor="accent3" w:themeTint="33"/>
              <w:bottom w:val="single" w:sz="4" w:space="0" w:color="E1E1E3" w:themeColor="accent3" w:themeTint="33"/>
              <w:right w:val="single" w:sz="4" w:space="0" w:color="E1E1E3" w:themeColor="accent3" w:themeTint="33"/>
            </w:tcBorders>
            <w:vAlign w:val="center"/>
            <w:hideMark/>
          </w:tcPr>
          <w:p w14:paraId="478B0CDA" w14:textId="77777777" w:rsidR="00957A78" w:rsidRDefault="00957A78" w:rsidP="00A72B0A">
            <w:pPr>
              <w:jc w:val="center"/>
              <w:rPr>
                <w:b/>
                <w:sz w:val="18"/>
                <w:szCs w:val="18"/>
              </w:rPr>
            </w:pPr>
            <w:r>
              <w:rPr>
                <w:b/>
                <w:sz w:val="18"/>
                <w:szCs w:val="18"/>
              </w:rPr>
              <w:t>0.99</w:t>
            </w:r>
          </w:p>
        </w:tc>
        <w:tc>
          <w:tcPr>
            <w:tcW w:w="1220" w:type="dxa"/>
            <w:tcBorders>
              <w:top w:val="single" w:sz="4" w:space="0" w:color="E1E1E3" w:themeColor="accent3" w:themeTint="33"/>
              <w:left w:val="single" w:sz="4" w:space="0" w:color="E1E1E3" w:themeColor="accent3" w:themeTint="33"/>
              <w:bottom w:val="single" w:sz="4" w:space="0" w:color="E1E1E3" w:themeColor="accent3" w:themeTint="33"/>
              <w:right w:val="single" w:sz="4" w:space="0" w:color="E1E1E3" w:themeColor="accent3" w:themeTint="33"/>
            </w:tcBorders>
            <w:vAlign w:val="center"/>
            <w:hideMark/>
          </w:tcPr>
          <w:p w14:paraId="3C78EE99" w14:textId="77777777" w:rsidR="00957A78" w:rsidRDefault="00957A78" w:rsidP="00A72B0A">
            <w:pPr>
              <w:jc w:val="center"/>
              <w:rPr>
                <w:b/>
                <w:sz w:val="18"/>
                <w:szCs w:val="18"/>
              </w:rPr>
            </w:pPr>
            <w:r>
              <w:rPr>
                <w:b/>
                <w:sz w:val="18"/>
                <w:szCs w:val="18"/>
              </w:rPr>
              <w:t>0.66</w:t>
            </w:r>
          </w:p>
        </w:tc>
        <w:tc>
          <w:tcPr>
            <w:tcW w:w="1492" w:type="dxa"/>
            <w:tcBorders>
              <w:top w:val="single" w:sz="4" w:space="0" w:color="E1E1E3" w:themeColor="accent3" w:themeTint="33"/>
              <w:left w:val="single" w:sz="4" w:space="0" w:color="E1E1E3" w:themeColor="accent3" w:themeTint="33"/>
              <w:bottom w:val="single" w:sz="4" w:space="0" w:color="E1E1E3" w:themeColor="accent3" w:themeTint="33"/>
              <w:right w:val="single" w:sz="4" w:space="0" w:color="E1E1E3" w:themeColor="accent3" w:themeTint="33"/>
            </w:tcBorders>
            <w:vAlign w:val="center"/>
            <w:hideMark/>
          </w:tcPr>
          <w:p w14:paraId="0666308A" w14:textId="77777777" w:rsidR="00957A78" w:rsidRDefault="00957A78" w:rsidP="00A72B0A">
            <w:pPr>
              <w:jc w:val="center"/>
              <w:rPr>
                <w:b/>
                <w:sz w:val="18"/>
                <w:szCs w:val="18"/>
              </w:rPr>
            </w:pPr>
            <w:r>
              <w:rPr>
                <w:b/>
                <w:sz w:val="18"/>
                <w:szCs w:val="18"/>
              </w:rPr>
              <w:t>0.26</w:t>
            </w:r>
          </w:p>
        </w:tc>
        <w:tc>
          <w:tcPr>
            <w:tcW w:w="1506" w:type="dxa"/>
            <w:tcBorders>
              <w:top w:val="single" w:sz="4" w:space="0" w:color="E1E1E3" w:themeColor="accent3" w:themeTint="33"/>
              <w:left w:val="single" w:sz="4" w:space="0" w:color="E1E1E3" w:themeColor="accent3" w:themeTint="33"/>
              <w:bottom w:val="single" w:sz="4" w:space="0" w:color="E1E1E3" w:themeColor="accent3" w:themeTint="33"/>
              <w:right w:val="single" w:sz="4" w:space="0" w:color="E1E1E3" w:themeColor="accent3" w:themeTint="33"/>
            </w:tcBorders>
            <w:vAlign w:val="center"/>
            <w:hideMark/>
          </w:tcPr>
          <w:p w14:paraId="1960C027" w14:textId="77777777" w:rsidR="00957A78" w:rsidRDefault="00957A78" w:rsidP="00A72B0A">
            <w:pPr>
              <w:jc w:val="center"/>
              <w:rPr>
                <w:b/>
                <w:sz w:val="18"/>
                <w:szCs w:val="18"/>
              </w:rPr>
            </w:pPr>
            <w:r>
              <w:rPr>
                <w:b/>
                <w:sz w:val="18"/>
                <w:szCs w:val="18"/>
              </w:rPr>
              <w:t>0.13</w:t>
            </w:r>
          </w:p>
        </w:tc>
      </w:tr>
    </w:tbl>
    <w:p w14:paraId="4EE6EBD5" w14:textId="77777777" w:rsidR="00957A78" w:rsidRDefault="00957A78" w:rsidP="00957A78">
      <w:pPr>
        <w:jc w:val="both"/>
        <w:rPr>
          <w:lang w:val="hy-AM" w:eastAsia="ru-RU"/>
        </w:rPr>
      </w:pPr>
    </w:p>
    <w:p w14:paraId="0BF23468" w14:textId="77777777" w:rsidR="00957A78" w:rsidRDefault="00957A78" w:rsidP="00957A78">
      <w:pPr>
        <w:pStyle w:val="BodyText1"/>
        <w:rPr>
          <w:lang w:val="hy-AM"/>
        </w:rPr>
      </w:pPr>
      <w:r>
        <w:rPr>
          <w:lang w:val="hy-AM"/>
        </w:rPr>
        <w:t>Ինչպես երևում է աղյուսակից, հարկերի հավաքագրման առումով առավել էական գործոններ են հանդիսանում ՀՆԱ-ի և գնաճի փոփոխությունները:</w:t>
      </w:r>
    </w:p>
    <w:p w14:paraId="65D12E14" w14:textId="77777777" w:rsidR="00957A78" w:rsidRDefault="00957A78" w:rsidP="00957A78">
      <w:pPr>
        <w:pStyle w:val="BodyText1"/>
        <w:rPr>
          <w:lang w:val="hy-AM"/>
        </w:rPr>
      </w:pPr>
      <w:r>
        <w:rPr>
          <w:lang w:val="hy-AM"/>
        </w:rPr>
        <w:t>Հարկային եկամուտների կանխատեսումների հետ կապված անորոշությունների և ռիսկերի հաշվեկշռի վերաբերյալ գնահատականներն իրենց արտացոլումն են գտել ստորև ներկայացվող հարկային եկամուտների հավանականային բաշխման գծապատկերում և համապատասխան աղյուսակում (տես` Գծապատկեր 3.1 և Աղյուսակ 3.1.3): Հավանականային բաշխման գրաֆիկի կառուցման ժամանակ օգտագործվել է աղյուսակ 3.1.1-ում գնահատված ամբողջական ռիսկերի միաժամանակյա հանդես գալու պայմաններում ի հայտ եկող բացասական ռիսկերը:</w:t>
      </w:r>
    </w:p>
    <w:p w14:paraId="24E1AD3A" w14:textId="3005506E" w:rsidR="00957A78" w:rsidRPr="006934A1" w:rsidRDefault="00957A78" w:rsidP="00957A78">
      <w:pPr>
        <w:rPr>
          <w:rFonts w:ascii="GHEA Grapalat" w:hAnsi="GHEA Grapalat"/>
          <w:szCs w:val="20"/>
          <w:lang w:val="hy-AM"/>
        </w:rPr>
      </w:pPr>
      <w:bookmarkStart w:id="501" w:name="_Toc178612160"/>
      <w:bookmarkStart w:id="502" w:name="_Toc178595167"/>
      <w:r w:rsidRPr="005F5B20">
        <w:rPr>
          <w:rFonts w:ascii="GHEA Grapalat" w:hAnsi="GHEA Grapalat"/>
          <w:szCs w:val="20"/>
          <w:lang w:val="hy-AM"/>
        </w:rPr>
        <w:t>Գծապատկեր</w:t>
      </w:r>
      <w:r w:rsidR="002C5ABD">
        <w:rPr>
          <w:rFonts w:ascii="GHEA Grapalat" w:hAnsi="GHEA Grapalat"/>
          <w:szCs w:val="20"/>
          <w:lang w:val="hy-AM"/>
        </w:rPr>
        <w:t xml:space="preserve"> 2</w:t>
      </w:r>
      <w:r w:rsidRPr="005F5B20">
        <w:rPr>
          <w:rFonts w:ascii="GHEA Grapalat" w:hAnsi="GHEA Grapalat"/>
          <w:szCs w:val="20"/>
          <w:lang w:val="hy-AM"/>
        </w:rPr>
        <w:t>.1. Հարկային եկամուտների տարեկան աճի տեմպերի կանխատեսումների հավանականային բաշխումը, %</w:t>
      </w:r>
      <w:bookmarkEnd w:id="501"/>
      <w:bookmarkEnd w:id="502"/>
    </w:p>
    <w:p w14:paraId="00BF5C7F" w14:textId="77777777" w:rsidR="00957A78" w:rsidRDefault="00957A78" w:rsidP="00957A78">
      <w:pPr>
        <w:jc w:val="both"/>
      </w:pPr>
      <w:r>
        <w:rPr>
          <w:noProof/>
        </w:rPr>
        <w:drawing>
          <wp:inline distT="0" distB="0" distL="0" distR="0" wp14:anchorId="41B1ABEA" wp14:editId="581D1037">
            <wp:extent cx="6019800" cy="2524125"/>
            <wp:effectExtent l="0" t="0" r="0" b="9525"/>
            <wp:docPr id="16120845" name="Chart 16120845">
              <a:extLst xmlns:a="http://schemas.openxmlformats.org/drawingml/2006/main">
                <a:ext uri="{FF2B5EF4-FFF2-40B4-BE49-F238E27FC236}">
                  <a16:creationId xmlns:a16="http://schemas.microsoft.com/office/drawing/2014/main" id="{C2B0A62E-0AE8-4B9F-98B2-C858CF28183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3"/>
              </a:graphicData>
            </a:graphic>
          </wp:inline>
        </w:drawing>
      </w:r>
    </w:p>
    <w:p w14:paraId="484C201F" w14:textId="77777777" w:rsidR="00957A78" w:rsidRDefault="00957A78" w:rsidP="00957A78">
      <w:pPr>
        <w:pStyle w:val="BodyText1"/>
        <w:ind w:left="0"/>
      </w:pPr>
    </w:p>
    <w:p w14:paraId="50489A1A" w14:textId="1AD731B6" w:rsidR="006D7B40" w:rsidRPr="006D7B40" w:rsidRDefault="00957A78">
      <w:pPr>
        <w:pStyle w:val="BodyText1"/>
        <w:ind w:left="288"/>
      </w:pPr>
      <w:r>
        <w:t>Կանխատեսումների բաշխման հավանականություններն առավել պարզորոշ երևում են ստորև բերվող աղյուսակում:</w:t>
      </w:r>
    </w:p>
    <w:p w14:paraId="61EAF241" w14:textId="77777777" w:rsidR="00F3736A" w:rsidRDefault="00491228">
      <w:pPr>
        <w:rPr>
          <w:rFonts w:ascii="GHEA Grapalat" w:hAnsi="GHEA Grapalat"/>
          <w:szCs w:val="20"/>
        </w:rPr>
      </w:pPr>
      <w:r>
        <w:rPr>
          <w:noProof/>
        </w:rPr>
        <mc:AlternateContent>
          <mc:Choice Requires="wps">
            <w:drawing>
              <wp:anchor distT="0" distB="0" distL="114300" distR="114300" simplePos="0" relativeHeight="251956224" behindDoc="0" locked="0" layoutInCell="1" allowOverlap="1" wp14:anchorId="521CB6CC" wp14:editId="36DB45E4">
                <wp:simplePos x="0" y="0"/>
                <wp:positionH relativeFrom="margin">
                  <wp:align>left</wp:align>
                </wp:positionH>
                <wp:positionV relativeFrom="paragraph">
                  <wp:posOffset>89536</wp:posOffset>
                </wp:positionV>
                <wp:extent cx="6378480" cy="1504950"/>
                <wp:effectExtent l="0" t="0" r="22860" b="19050"/>
                <wp:wrapNone/>
                <wp:docPr id="56" name="Text Box 56"/>
                <wp:cNvGraphicFramePr/>
                <a:graphic xmlns:a="http://schemas.openxmlformats.org/drawingml/2006/main">
                  <a:graphicData uri="http://schemas.microsoft.com/office/word/2010/wordprocessingShape">
                    <wps:wsp>
                      <wps:cNvSpPr txBox="1"/>
                      <wps:spPr>
                        <a:xfrm>
                          <a:off x="0" y="0"/>
                          <a:ext cx="6378480" cy="1504950"/>
                        </a:xfrm>
                        <a:prstGeom prst="rect">
                          <a:avLst/>
                        </a:prstGeom>
                        <a:solidFill>
                          <a:schemeClr val="accent1">
                            <a:lumMod val="20000"/>
                            <a:lumOff val="80000"/>
                          </a:schemeClr>
                        </a:solidFill>
                        <a:ln w="6350">
                          <a:solidFill>
                            <a:schemeClr val="accent1">
                              <a:lumMod val="60000"/>
                              <a:lumOff val="40000"/>
                            </a:schemeClr>
                          </a:solidFill>
                        </a:ln>
                      </wps:spPr>
                      <wps:txbx id="10">
                        <w:txbxContent>
                          <w:p w14:paraId="4198C8E6" w14:textId="77777777" w:rsidR="00147C8B" w:rsidRPr="00EA364F" w:rsidRDefault="00147C8B" w:rsidP="00491228">
                            <w:pPr>
                              <w:jc w:val="both"/>
                              <w:rPr>
                                <w:rFonts w:ascii="GHEA Grapalat" w:hAnsi="GHEA Grapalat"/>
                                <w:b/>
                                <w:i/>
                                <w:sz w:val="20"/>
                                <w:szCs w:val="20"/>
                                <w:lang w:val="hy-AM"/>
                              </w:rPr>
                            </w:pPr>
                            <w:r w:rsidRPr="00EA364F">
                              <w:rPr>
                                <w:rFonts w:ascii="GHEA Grapalat" w:hAnsi="GHEA Grapalat"/>
                                <w:b/>
                                <w:i/>
                                <w:sz w:val="20"/>
                                <w:szCs w:val="20"/>
                                <w:lang w:val="hy-AM"/>
                              </w:rPr>
                              <w:t>Ներգիր</w:t>
                            </w:r>
                            <w:r>
                              <w:rPr>
                                <w:rFonts w:ascii="GHEA Grapalat" w:hAnsi="GHEA Grapalat"/>
                                <w:b/>
                                <w:i/>
                                <w:sz w:val="20"/>
                                <w:szCs w:val="20"/>
                                <w:lang w:val="hy-AM"/>
                              </w:rPr>
                              <w:t xml:space="preserve"> 3</w:t>
                            </w:r>
                            <w:r w:rsidRPr="00EA364F">
                              <w:rPr>
                                <w:rFonts w:ascii="GHEA Grapalat" w:hAnsi="GHEA Grapalat"/>
                                <w:b/>
                                <w:i/>
                                <w:sz w:val="20"/>
                                <w:szCs w:val="20"/>
                                <w:lang w:val="hy-AM"/>
                              </w:rPr>
                              <w:t>. Ֆինանսների նախարարության կանխատեսումային համակարգը համալրվել է հարկաբյուջետային ռիսկերի գնահատման նոր գործիքով</w:t>
                            </w:r>
                          </w:p>
                          <w:p w14:paraId="1D5FF74C" w14:textId="06CE4646" w:rsidR="00147C8B" w:rsidRPr="00EA364F" w:rsidRDefault="00147C8B" w:rsidP="00491228">
                            <w:pPr>
                              <w:contextualSpacing/>
                              <w:jc w:val="both"/>
                              <w:rPr>
                                <w:rFonts w:ascii="GHEA Grapalat" w:hAnsi="GHEA Grapalat"/>
                                <w:sz w:val="20"/>
                                <w:szCs w:val="20"/>
                                <w:lang w:val="hy-AM"/>
                              </w:rPr>
                            </w:pPr>
                            <w:r w:rsidRPr="00EA364F">
                              <w:rPr>
                                <w:rFonts w:ascii="GHEA Grapalat" w:hAnsi="GHEA Grapalat"/>
                                <w:sz w:val="20"/>
                                <w:szCs w:val="20"/>
                                <w:lang w:val="hy-AM"/>
                              </w:rPr>
                              <w:t>ՀՀ ֆինանսների նախարարության և ՌԴ ֆինանսների նախարարության գիտահետազոտական ֆինանսական ինստիտուտի համագործակցության արդյունքում մշակվել է հարկաբյուջետային ռիսկերի գնահատման և վերլուծության նոր համակարգ՝ հիմնված Բայեսյան վեկտոր-ավտոռեգրեսիվ մոդելավորման գործիքակազմի վրա։ Սույն գործիքակազմի ներդրումը փոխլրացնում է Ֆինանսների նախարարությունում հարկային եկամուտների հավանականային կանխատեսումների առաջադեմ փորձի շարունակական</w:t>
                            </w:r>
                            <w:r>
                              <w:rPr>
                                <w:rFonts w:ascii="GHEA Grapalat" w:hAnsi="GHEA Grapalat"/>
                                <w:sz w:val="20"/>
                                <w:szCs w:val="20"/>
                                <w:lang w:val="hy-AM"/>
                              </w:rPr>
                              <w:t xml:space="preserve"> </w:t>
                            </w:r>
                            <w:r w:rsidRPr="00EA364F">
                              <w:rPr>
                                <w:rFonts w:ascii="GHEA Grapalat" w:hAnsi="GHEA Grapalat"/>
                                <w:sz w:val="20"/>
                                <w:szCs w:val="20"/>
                                <w:lang w:val="hy-AM"/>
                              </w:rPr>
                              <w:t>կիրարկմանը</w:t>
                            </w:r>
                            <w:r>
                              <w:rPr>
                                <w:rFonts w:ascii="GHEA Grapalat" w:hAnsi="GHEA Grapalat"/>
                                <w:sz w:val="20"/>
                                <w:szCs w:val="20"/>
                                <w:vertAlign w:val="superscript"/>
                                <w:lang w:val="hy-AM"/>
                              </w:rPr>
                              <w:t>1</w:t>
                            </w:r>
                            <w:r w:rsidRPr="00EA364F">
                              <w:rPr>
                                <w:rFonts w:ascii="GHEA Grapalat" w:hAnsi="GHEA Grapalat"/>
                                <w:sz w:val="20"/>
                                <w:szCs w:val="20"/>
                                <w:lang w:val="hy-AM"/>
                              </w:rPr>
                              <w:t>։</w:t>
                            </w:r>
                            <w:r w:rsidRPr="00EA364F">
                              <w:rPr>
                                <w:rFonts w:ascii="GHEA Grapalat" w:hAnsi="GHEA Grapalat"/>
                                <w:noProof/>
                                <w:sz w:val="20"/>
                                <w:szCs w:val="20"/>
                              </w:rPr>
                              <w:drawing>
                                <wp:inline distT="0" distB="0" distL="0" distR="0" wp14:anchorId="0A8EE3D9" wp14:editId="26C7B29B">
                                  <wp:extent cx="5872163" cy="1452562"/>
                                  <wp:effectExtent l="19050" t="0" r="14605" b="0"/>
                                  <wp:docPr id="1545876418" name="Diagram 154587641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4" r:lo="rId85" r:qs="rId86" r:cs="rId87"/>
                                    </a:graphicData>
                                  </a:graphic>
                                </wp:inline>
                              </w:drawing>
                            </w:r>
                          </w:p>
                          <w:p w14:paraId="059EECFD" w14:textId="77777777" w:rsidR="00147C8B" w:rsidRPr="00EA364F" w:rsidRDefault="00147C8B" w:rsidP="00491228">
                            <w:pPr>
                              <w:jc w:val="both"/>
                              <w:rPr>
                                <w:rFonts w:ascii="GHEA Grapalat" w:hAnsi="GHEA Grapalat"/>
                                <w:sz w:val="20"/>
                                <w:szCs w:val="20"/>
                                <w:lang w:val="hy-AM"/>
                              </w:rPr>
                            </w:pPr>
                            <w:r w:rsidRPr="00EA364F">
                              <w:rPr>
                                <w:rFonts w:ascii="GHEA Grapalat" w:hAnsi="GHEA Grapalat"/>
                                <w:sz w:val="20"/>
                                <w:szCs w:val="20"/>
                                <w:lang w:val="hy-AM"/>
                              </w:rPr>
                              <w:t>Համակարգը հնարավորություն է տալիս Բայեսյան վեկտոր-ավտոռեգրեսիվ մոդելով գնահատել հավանականային պարամետրերի համախումբ, որի մուտքագրումը առանցքային կանխատեսման մոդել հնարավորություն է տալիս իրականացնել սցենարային կանխատեսումներ՝ ստանալով ինչպես ընդհանուր հարկային եկամուտների, այնպես էլ ըստ առանձին հարկատեսակների կանխատեսումային ռիսկերի հավանականային բաշխում՝ հիմնվելով մի շարք մակրոտնտեսական փոփոխականների՝ սպառման, գնաճի, ներմուծման, արտահանման և ՀՆԱ-ի իրական աճերի վրա։</w:t>
                            </w:r>
                          </w:p>
                          <w:p w14:paraId="3CF6593D" w14:textId="77777777" w:rsidR="00147C8B" w:rsidRPr="00EA364F" w:rsidRDefault="00147C8B" w:rsidP="00491228">
                            <w:pPr>
                              <w:jc w:val="both"/>
                              <w:rPr>
                                <w:rFonts w:ascii="GHEA Grapalat" w:hAnsi="GHEA Grapalat"/>
                                <w:i/>
                                <w:sz w:val="20"/>
                                <w:szCs w:val="20"/>
                                <w:lang w:val="hy-AM"/>
                              </w:rPr>
                            </w:pPr>
                            <w:r w:rsidRPr="00EA364F">
                              <w:rPr>
                                <w:rFonts w:ascii="GHEA Grapalat" w:hAnsi="GHEA Grapalat"/>
                                <w:i/>
                                <w:sz w:val="20"/>
                                <w:szCs w:val="20"/>
                                <w:lang w:val="hy-AM"/>
                              </w:rPr>
                              <w:t>Գծապատկեր. Հարկային եկամուտների տարեկան կանխատեսումների հավանականային բաշխումը, մլրդ դրամ</w:t>
                            </w:r>
                          </w:p>
                          <w:p w14:paraId="51CA3CE5" w14:textId="77777777" w:rsidR="00147C8B" w:rsidRPr="00EA364F" w:rsidRDefault="00147C8B" w:rsidP="00491228">
                            <w:pPr>
                              <w:jc w:val="both"/>
                              <w:rPr>
                                <w:rFonts w:ascii="GHEA Grapalat" w:hAnsi="GHEA Grapalat"/>
                                <w:lang w:val="hy-AM"/>
                              </w:rPr>
                            </w:pPr>
                            <w:r w:rsidRPr="00306FE4">
                              <w:rPr>
                                <w:noProof/>
                              </w:rPr>
                              <w:drawing>
                                <wp:inline distT="0" distB="0" distL="0" distR="0" wp14:anchorId="561BB5AE" wp14:editId="0015B818">
                                  <wp:extent cx="6010275" cy="2794571"/>
                                  <wp:effectExtent l="0" t="0" r="0" b="6350"/>
                                  <wp:docPr id="1545876421" name="Picture 1545876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6011611" cy="2795192"/>
                                          </a:xfrm>
                                          <a:prstGeom prst="rect">
                                            <a:avLst/>
                                          </a:prstGeom>
                                          <a:noFill/>
                                          <a:ln>
                                            <a:noFill/>
                                          </a:ln>
                                        </pic:spPr>
                                      </pic:pic>
                                    </a:graphicData>
                                  </a:graphic>
                                </wp:inline>
                              </w:drawing>
                            </w:r>
                          </w:p>
                          <w:p w14:paraId="568EFED2" w14:textId="77777777" w:rsidR="00147C8B" w:rsidRPr="00353214" w:rsidRDefault="00147C8B" w:rsidP="00491228">
                            <w:pPr>
                              <w:spacing w:before="0" w:after="0" w:line="240" w:lineRule="auto"/>
                              <w:jc w:val="both"/>
                              <w:rPr>
                                <w:rFonts w:ascii="GHEA Grapalat" w:hAnsi="GHEA Grapalat"/>
                                <w:sz w:val="18"/>
                                <w:szCs w:val="18"/>
                              </w:rPr>
                            </w:pPr>
                            <w:r w:rsidRPr="00353214">
                              <w:rPr>
                                <w:rFonts w:ascii="GHEA Grapalat" w:hAnsi="GHEA Grapalat"/>
                                <w:b/>
                                <w:sz w:val="18"/>
                                <w:szCs w:val="18"/>
                                <w:vertAlign w:val="superscript"/>
                                <w:lang w:val="hy-AM"/>
                              </w:rPr>
                              <w:t>1</w:t>
                            </w:r>
                            <w:r w:rsidRPr="00353214">
                              <w:rPr>
                                <w:rFonts w:ascii="GHEA Grapalat" w:hAnsi="GHEA Grapalat"/>
                                <w:b/>
                                <w:sz w:val="18"/>
                                <w:szCs w:val="18"/>
                                <w:lang w:val="hy-AM"/>
                              </w:rPr>
                              <w:t xml:space="preserve"> </w:t>
                            </w:r>
                            <w:r w:rsidRPr="00353214">
                              <w:rPr>
                                <w:rFonts w:ascii="GHEA Grapalat" w:hAnsi="GHEA Grapalat"/>
                                <w:sz w:val="18"/>
                                <w:szCs w:val="18"/>
                                <w:lang w:val="hy-AM"/>
                              </w:rPr>
                              <w:t xml:space="preserve">Petrosyan G.A, Karapetyan N.N., Margaryan A.A, Sokolov A.N., Yakovleva I.I., Votinov A.I. (2024). </w:t>
                            </w:r>
                            <w:r w:rsidRPr="00353214">
                              <w:rPr>
                                <w:rFonts w:ascii="GHEA Grapalat" w:hAnsi="GHEA Grapalat"/>
                                <w:sz w:val="18"/>
                                <w:szCs w:val="18"/>
                              </w:rPr>
                              <w:t>“Bayesian Approach to Forecasting Aggregate Taxes of the Republic of Armenia”. Financial Journal, 16 (3), 51–67.</w:t>
                            </w:r>
                          </w:p>
                          <w:p w14:paraId="46D2B221" w14:textId="77777777" w:rsidR="00147C8B" w:rsidRPr="00353214" w:rsidRDefault="0017075C" w:rsidP="00491228">
                            <w:pPr>
                              <w:jc w:val="both"/>
                              <w:rPr>
                                <w:rFonts w:ascii="GHEA Grapalat" w:hAnsi="GHEA Grapalat"/>
                                <w:sz w:val="18"/>
                                <w:szCs w:val="18"/>
                                <w:lang w:val="hy-AM"/>
                              </w:rPr>
                            </w:pPr>
                            <w:hyperlink r:id="rId90" w:history="1">
                              <w:r w:rsidR="00147C8B" w:rsidRPr="00353214">
                                <w:rPr>
                                  <w:rFonts w:ascii="GHEA Grapalat" w:hAnsi="GHEA Grapalat"/>
                                  <w:color w:val="0563C1" w:themeColor="hyperlink"/>
                                  <w:sz w:val="18"/>
                                  <w:szCs w:val="18"/>
                                  <w:u w:val="single"/>
                                </w:rPr>
                                <w:t>https://doi.org/10.31107/2075-1990-2024-3-51-67</w:t>
                              </w:r>
                            </w:hyperlink>
                          </w:p>
                          <w:p w14:paraId="1C086EC9" w14:textId="77777777" w:rsidR="00147C8B" w:rsidRDefault="00147C8B" w:rsidP="00491228"/>
                          <w:p w14:paraId="5D296AA7" w14:textId="77777777" w:rsidR="00147C8B" w:rsidRDefault="00147C8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1CB6CC" id="Text Box 56" o:spid="_x0000_s1037" type="#_x0000_t202" style="position:absolute;margin-left:0;margin-top:7.05pt;width:502.25pt;height:118.5pt;z-index:25195622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" fillcolor="#deeaf6 [660]" strokecolor="#9cc2e5 [1940]" strokeweight=".5pt">
                <v:textbox style="mso-next-textbox:#Text Box 57">
                  <w:txbxContent>
                    <w:p w14:paraId="4198C8E6" w14:textId="77777777" w:rsidR="00147C8B" w:rsidRPr="00EA364F" w:rsidRDefault="00147C8B" w:rsidP="00491228">
                      <w:pPr>
                        <w:jc w:val="both"/>
                        <w:rPr>
                          <w:rFonts w:ascii="GHEA Grapalat" w:hAnsi="GHEA Grapalat"/>
                          <w:b/>
                          <w:i/>
                          <w:sz w:val="20"/>
                          <w:szCs w:val="20"/>
                          <w:lang w:val="hy-AM"/>
                        </w:rPr>
                      </w:pPr>
                      <w:r w:rsidRPr="00EA364F">
                        <w:rPr>
                          <w:rFonts w:ascii="GHEA Grapalat" w:hAnsi="GHEA Grapalat"/>
                          <w:b/>
                          <w:i/>
                          <w:sz w:val="20"/>
                          <w:szCs w:val="20"/>
                          <w:lang w:val="hy-AM"/>
                        </w:rPr>
                        <w:t>Ներգիր</w:t>
                      </w:r>
                      <w:r>
                        <w:rPr>
                          <w:rFonts w:ascii="GHEA Grapalat" w:hAnsi="GHEA Grapalat"/>
                          <w:b/>
                          <w:i/>
                          <w:sz w:val="20"/>
                          <w:szCs w:val="20"/>
                          <w:lang w:val="hy-AM"/>
                        </w:rPr>
                        <w:t xml:space="preserve"> 3</w:t>
                      </w:r>
                      <w:r w:rsidRPr="00EA364F">
                        <w:rPr>
                          <w:rFonts w:ascii="GHEA Grapalat" w:hAnsi="GHEA Grapalat"/>
                          <w:b/>
                          <w:i/>
                          <w:sz w:val="20"/>
                          <w:szCs w:val="20"/>
                          <w:lang w:val="hy-AM"/>
                        </w:rPr>
                        <w:t>. Ֆինանսների նախարարության կանխատեսումային համակարգը համալրվել է հարկաբյուջետային ռիսկերի գնահատման նոր գործիքով</w:t>
                      </w:r>
                    </w:p>
                    <w:p w14:paraId="1D5FF74C" w14:textId="06CE4646" w:rsidR="00147C8B" w:rsidRPr="00EA364F" w:rsidRDefault="00147C8B" w:rsidP="00491228">
                      <w:pPr>
                        <w:contextualSpacing/>
                        <w:jc w:val="both"/>
                        <w:rPr>
                          <w:rFonts w:ascii="GHEA Grapalat" w:hAnsi="GHEA Grapalat"/>
                          <w:sz w:val="20"/>
                          <w:szCs w:val="20"/>
                          <w:lang w:val="hy-AM"/>
                        </w:rPr>
                      </w:pPr>
                      <w:r w:rsidRPr="00EA364F">
                        <w:rPr>
                          <w:rFonts w:ascii="GHEA Grapalat" w:hAnsi="GHEA Grapalat"/>
                          <w:sz w:val="20"/>
                          <w:szCs w:val="20"/>
                          <w:lang w:val="hy-AM"/>
                        </w:rPr>
                        <w:t>ՀՀ ֆինանսների նախարարության և ՌԴ ֆինանսների նախարարության գիտահետազոտական ֆինանսական ինստիտուտի համագործակցության արդյունքում մշակվել է հարկաբյուջետային ռիսկերի գնահատման և վերլուծության նոր համակարգ՝ հիմնված Բայեսյան վեկտոր-ավտոռեգրեսիվ մոդելավորման գործիքակազմի վրա։ Սույն գործիքակազմի ներդրումը փոխլրացնում է Ֆինանսների նախարարությունում հարկային եկամուտների հավանականային կանխատեսումների առաջադեմ փորձի շարունակական</w:t>
                      </w:r>
                      <w:r>
                        <w:rPr>
                          <w:rFonts w:ascii="GHEA Grapalat" w:hAnsi="GHEA Grapalat"/>
                          <w:sz w:val="20"/>
                          <w:szCs w:val="20"/>
                          <w:lang w:val="hy-AM"/>
                        </w:rPr>
                        <w:t xml:space="preserve"> </w:t>
                      </w:r>
                      <w:r w:rsidRPr="00EA364F">
                        <w:rPr>
                          <w:rFonts w:ascii="GHEA Grapalat" w:hAnsi="GHEA Grapalat"/>
                          <w:sz w:val="20"/>
                          <w:szCs w:val="20"/>
                          <w:lang w:val="hy-AM"/>
                        </w:rPr>
                        <w:t>կիրարկմանը</w:t>
                      </w:r>
                      <w:r>
                        <w:rPr>
                          <w:rFonts w:ascii="GHEA Grapalat" w:hAnsi="GHEA Grapalat"/>
                          <w:sz w:val="20"/>
                          <w:szCs w:val="20"/>
                          <w:vertAlign w:val="superscript"/>
                          <w:lang w:val="hy-AM"/>
                        </w:rPr>
                        <w:t>1</w:t>
                      </w:r>
                      <w:r w:rsidRPr="00EA364F">
                        <w:rPr>
                          <w:rFonts w:ascii="GHEA Grapalat" w:hAnsi="GHEA Grapalat"/>
                          <w:sz w:val="20"/>
                          <w:szCs w:val="20"/>
                          <w:lang w:val="hy-AM"/>
                        </w:rPr>
                        <w:t>։</w:t>
                      </w:r>
                      <w:r w:rsidRPr="00EA364F">
                        <w:rPr>
                          <w:rFonts w:ascii="GHEA Grapalat" w:hAnsi="GHEA Grapalat"/>
                          <w:noProof/>
                          <w:sz w:val="20"/>
                          <w:szCs w:val="20"/>
                        </w:rPr>
                        <w:drawing>
                          <wp:inline distT="0" distB="0" distL="0" distR="0" wp14:anchorId="0A8EE3D9" wp14:editId="26C7B29B">
                            <wp:extent cx="5872163" cy="1452562"/>
                            <wp:effectExtent l="19050" t="0" r="14605" b="0"/>
                            <wp:docPr id="1545876418" name="Diagram 154587641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1" r:lo="rId85" r:qs="rId86" r:cs="rId87"/>
                              </a:graphicData>
                            </a:graphic>
                          </wp:inline>
                        </w:drawing>
                      </w:r>
                    </w:p>
                    <w:p w14:paraId="059EECFD" w14:textId="77777777" w:rsidR="00147C8B" w:rsidRPr="00EA364F" w:rsidRDefault="00147C8B" w:rsidP="00491228">
                      <w:pPr>
                        <w:jc w:val="both"/>
                        <w:rPr>
                          <w:rFonts w:ascii="GHEA Grapalat" w:hAnsi="GHEA Grapalat"/>
                          <w:sz w:val="20"/>
                          <w:szCs w:val="20"/>
                          <w:lang w:val="hy-AM"/>
                        </w:rPr>
                      </w:pPr>
                      <w:r w:rsidRPr="00EA364F">
                        <w:rPr>
                          <w:rFonts w:ascii="GHEA Grapalat" w:hAnsi="GHEA Grapalat"/>
                          <w:sz w:val="20"/>
                          <w:szCs w:val="20"/>
                          <w:lang w:val="hy-AM"/>
                        </w:rPr>
                        <w:t>Համակարգը հնարավորություն է տալիս Բայեսյան վեկտոր-ավտոռեգրեսիվ մոդելով գնահատել հավանականային պարամետրերի համախումբ, որի մուտքագրումը առանցքային կանխատեսման մոդել հնարավորություն է տալիս իրականացնել սցենարային կանխատեսումներ՝ ստանալով ինչպես ընդհանուր հարկային եկամուտների, այնպես էլ ըստ առանձին հարկատեսակների կանխատեսումային ռիսկերի հավանականային բաշխում՝ հիմնվելով մի շարք մակրոտնտեսական փոփոխականների՝ սպառման, գնաճի, ներմուծման, արտահանման և ՀՆԱ-ի իրական աճերի վրա։</w:t>
                      </w:r>
                    </w:p>
                    <w:p w14:paraId="3CF6593D" w14:textId="77777777" w:rsidR="00147C8B" w:rsidRPr="00EA364F" w:rsidRDefault="00147C8B" w:rsidP="00491228">
                      <w:pPr>
                        <w:jc w:val="both"/>
                        <w:rPr>
                          <w:rFonts w:ascii="GHEA Grapalat" w:hAnsi="GHEA Grapalat"/>
                          <w:i/>
                          <w:sz w:val="20"/>
                          <w:szCs w:val="20"/>
                          <w:lang w:val="hy-AM"/>
                        </w:rPr>
                      </w:pPr>
                      <w:r w:rsidRPr="00EA364F">
                        <w:rPr>
                          <w:rFonts w:ascii="GHEA Grapalat" w:hAnsi="GHEA Grapalat"/>
                          <w:i/>
                          <w:sz w:val="20"/>
                          <w:szCs w:val="20"/>
                          <w:lang w:val="hy-AM"/>
                        </w:rPr>
                        <w:t>Գծապատկեր. Հարկային եկամուտների տարեկան կանխատեսումների հավանականային բաշխումը, մլրդ դրամ</w:t>
                      </w:r>
                    </w:p>
                    <w:p w14:paraId="51CA3CE5" w14:textId="77777777" w:rsidR="00147C8B" w:rsidRPr="00EA364F" w:rsidRDefault="00147C8B" w:rsidP="00491228">
                      <w:pPr>
                        <w:jc w:val="both"/>
                        <w:rPr>
                          <w:rFonts w:ascii="GHEA Grapalat" w:hAnsi="GHEA Grapalat"/>
                          <w:lang w:val="hy-AM"/>
                        </w:rPr>
                      </w:pPr>
                      <w:r w:rsidRPr="00306FE4">
                        <w:rPr>
                          <w:noProof/>
                        </w:rPr>
                        <w:drawing>
                          <wp:inline distT="0" distB="0" distL="0" distR="0" wp14:anchorId="561BB5AE" wp14:editId="0015B818">
                            <wp:extent cx="6010275" cy="2794571"/>
                            <wp:effectExtent l="0" t="0" r="0" b="6350"/>
                            <wp:docPr id="1545876421" name="Picture 1545876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6011611" cy="2795192"/>
                                    </a:xfrm>
                                    <a:prstGeom prst="rect">
                                      <a:avLst/>
                                    </a:prstGeom>
                                    <a:noFill/>
                                    <a:ln>
                                      <a:noFill/>
                                    </a:ln>
                                  </pic:spPr>
                                </pic:pic>
                              </a:graphicData>
                            </a:graphic>
                          </wp:inline>
                        </w:drawing>
                      </w:r>
                    </w:p>
                    <w:p w14:paraId="568EFED2" w14:textId="77777777" w:rsidR="00147C8B" w:rsidRPr="00353214" w:rsidRDefault="00147C8B" w:rsidP="00491228">
                      <w:pPr>
                        <w:spacing w:before="0" w:after="0" w:line="240" w:lineRule="auto"/>
                        <w:jc w:val="both"/>
                        <w:rPr>
                          <w:rFonts w:ascii="GHEA Grapalat" w:hAnsi="GHEA Grapalat"/>
                          <w:sz w:val="18"/>
                          <w:szCs w:val="18"/>
                        </w:rPr>
                      </w:pPr>
                      <w:r w:rsidRPr="00353214">
                        <w:rPr>
                          <w:rFonts w:ascii="GHEA Grapalat" w:hAnsi="GHEA Grapalat"/>
                          <w:b/>
                          <w:sz w:val="18"/>
                          <w:szCs w:val="18"/>
                          <w:vertAlign w:val="superscript"/>
                          <w:lang w:val="hy-AM"/>
                        </w:rPr>
                        <w:t>1</w:t>
                      </w:r>
                      <w:r w:rsidRPr="00353214">
                        <w:rPr>
                          <w:rFonts w:ascii="GHEA Grapalat" w:hAnsi="GHEA Grapalat"/>
                          <w:b/>
                          <w:sz w:val="18"/>
                          <w:szCs w:val="18"/>
                          <w:lang w:val="hy-AM"/>
                        </w:rPr>
                        <w:t xml:space="preserve"> </w:t>
                      </w:r>
                      <w:r w:rsidRPr="00353214">
                        <w:rPr>
                          <w:rFonts w:ascii="GHEA Grapalat" w:hAnsi="GHEA Grapalat"/>
                          <w:sz w:val="18"/>
                          <w:szCs w:val="18"/>
                          <w:lang w:val="hy-AM"/>
                        </w:rPr>
                        <w:t xml:space="preserve">Petrosyan G.A, Karapetyan N.N., Margaryan A.A, Sokolov A.N., Yakovleva I.I., Votinov A.I. (2024). </w:t>
                      </w:r>
                      <w:r w:rsidRPr="00353214">
                        <w:rPr>
                          <w:rFonts w:ascii="GHEA Grapalat" w:hAnsi="GHEA Grapalat"/>
                          <w:sz w:val="18"/>
                          <w:szCs w:val="18"/>
                        </w:rPr>
                        <w:t>“Bayesian Approach to Forecasting Aggregate Taxes of the Republic of Armenia”. Financial Journal, 16 (3), 51–67.</w:t>
                      </w:r>
                    </w:p>
                    <w:p w14:paraId="46D2B221" w14:textId="77777777" w:rsidR="00147C8B" w:rsidRPr="00353214" w:rsidRDefault="0017075C" w:rsidP="00491228">
                      <w:pPr>
                        <w:jc w:val="both"/>
                        <w:rPr>
                          <w:rFonts w:ascii="GHEA Grapalat" w:hAnsi="GHEA Grapalat"/>
                          <w:sz w:val="18"/>
                          <w:szCs w:val="18"/>
                          <w:lang w:val="hy-AM"/>
                        </w:rPr>
                      </w:pPr>
                      <w:hyperlink r:id="rId92" w:history="1">
                        <w:r w:rsidR="00147C8B" w:rsidRPr="00353214">
                          <w:rPr>
                            <w:rFonts w:ascii="GHEA Grapalat" w:hAnsi="GHEA Grapalat"/>
                            <w:color w:val="0563C1" w:themeColor="hyperlink"/>
                            <w:sz w:val="18"/>
                            <w:szCs w:val="18"/>
                            <w:u w:val="single"/>
                          </w:rPr>
                          <w:t>https://doi.org/10.31107/2075-1990-2024-3-51-67</w:t>
                        </w:r>
                      </w:hyperlink>
                    </w:p>
                    <w:p w14:paraId="1C086EC9" w14:textId="77777777" w:rsidR="00147C8B" w:rsidRDefault="00147C8B" w:rsidP="00491228"/>
                    <w:p w14:paraId="5D296AA7" w14:textId="77777777" w:rsidR="00147C8B" w:rsidRDefault="00147C8B"/>
                  </w:txbxContent>
                </v:textbox>
                <w10:wrap anchorx="margin"/>
              </v:shape>
            </w:pict>
          </mc:Fallback>
        </mc:AlternateContent>
      </w:r>
      <w:r w:rsidR="00F3736A">
        <w:br w:type="page"/>
      </w:r>
    </w:p>
    <w:p w14:paraId="0348AD91" w14:textId="41E15FBC" w:rsidR="00957A78" w:rsidRDefault="00491228" w:rsidP="00957A78">
      <w:pPr>
        <w:pStyle w:val="BodyText1"/>
        <w:ind w:left="288"/>
      </w:pPr>
      <w:r>
        <w:rPr>
          <w:noProof/>
        </w:rPr>
        <mc:AlternateContent>
          <mc:Choice Requires="wps">
            <w:drawing>
              <wp:anchor distT="0" distB="0" distL="114300" distR="114300" simplePos="0" relativeHeight="251957248" behindDoc="0" locked="0" layoutInCell="1" allowOverlap="1" wp14:anchorId="7E228DA1" wp14:editId="3B83AEC7">
                <wp:simplePos x="0" y="0"/>
                <wp:positionH relativeFrom="column">
                  <wp:posOffset>38100</wp:posOffset>
                </wp:positionH>
                <wp:positionV relativeFrom="paragraph">
                  <wp:posOffset>76200</wp:posOffset>
                </wp:positionV>
                <wp:extent cx="6378480" cy="7315200"/>
                <wp:effectExtent l="0" t="0" r="22860" b="19050"/>
                <wp:wrapNone/>
                <wp:docPr id="57" name="Text Box 57"/>
                <wp:cNvGraphicFramePr/>
                <a:graphic xmlns:a="http://schemas.openxmlformats.org/drawingml/2006/main">
                  <a:graphicData uri="http://schemas.microsoft.com/office/word/2010/wordprocessingShape">
                    <wps:wsp>
                      <wps:cNvSpPr txBox="1"/>
                      <wps:spPr>
                        <a:xfrm>
                          <a:off x="0" y="0"/>
                          <a:ext cx="6378480" cy="7315200"/>
                        </a:xfrm>
                        <a:prstGeom prst="rect">
                          <a:avLst/>
                        </a:prstGeom>
                        <a:solidFill>
                          <a:schemeClr val="accent1">
                            <a:lumMod val="20000"/>
                            <a:lumOff val="80000"/>
                          </a:schemeClr>
                        </a:solidFill>
                        <a:ln w="6350">
                          <a:solidFill>
                            <a:schemeClr val="accent1">
                              <a:lumMod val="60000"/>
                              <a:lumOff val="40000"/>
                            </a:schemeClr>
                          </a:solidFill>
                        </a:ln>
                      </wps:spPr>
                      <wps:linkedTxbx id="10" seq="1"/>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228DA1" id="Text Box 57" o:spid="_x0000_s1038" type="#_x0000_t202" style="position:absolute;left:0;text-align:left;margin-left:3pt;margin-top:6pt;width:502.25pt;height:8in;z-index:251957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" fillcolor="#deeaf6 [660]" strokecolor="#9cc2e5 [1940]" strokeweight=".5pt">
                <v:textbox>
                  <w:txbxContent/>
                </v:textbox>
              </v:shape>
            </w:pict>
          </mc:Fallback>
        </mc:AlternateContent>
      </w:r>
    </w:p>
    <w:p w14:paraId="0FD6788D" w14:textId="77777777" w:rsidR="00491228" w:rsidRPr="006901C6" w:rsidRDefault="00491228" w:rsidP="00F82E03"/>
    <w:p w14:paraId="0CFF3B89" w14:textId="77777777" w:rsidR="00353214" w:rsidRDefault="00353214">
      <w:pPr>
        <w:rPr>
          <w:lang w:val="hy-AM"/>
        </w:rPr>
      </w:pPr>
    </w:p>
    <w:p w14:paraId="40676C03" w14:textId="77777777" w:rsidR="00353214" w:rsidRDefault="00353214">
      <w:pPr>
        <w:rPr>
          <w:lang w:val="hy-AM"/>
        </w:rPr>
      </w:pPr>
    </w:p>
    <w:p w14:paraId="2507D8BA" w14:textId="16A62649" w:rsidR="00353214" w:rsidRDefault="00EA364F" w:rsidP="00353214">
      <w:pPr>
        <w:pStyle w:val="a"/>
        <w:rPr>
          <w:rFonts w:ascii="GHEA Grapalat" w:hAnsi="GHEA Grapalat"/>
          <w:szCs w:val="20"/>
        </w:rPr>
      </w:pPr>
      <w:r>
        <w:br w:type="page"/>
      </w:r>
      <w:bookmarkStart w:id="503" w:name="_Toc178612161"/>
      <w:r w:rsidR="00353214">
        <w:rPr>
          <w:rFonts w:ascii="GHEA Grapalat" w:hAnsi="GHEA Grapalat"/>
          <w:szCs w:val="20"/>
        </w:rPr>
        <w:t>Աղյուսակ</w:t>
      </w:r>
      <w:r w:rsidR="002C5ABD">
        <w:rPr>
          <w:rFonts w:ascii="GHEA Grapalat" w:hAnsi="GHEA Grapalat"/>
          <w:szCs w:val="20"/>
        </w:rPr>
        <w:t xml:space="preserve"> 2</w:t>
      </w:r>
      <w:r w:rsidR="00353214">
        <w:rPr>
          <w:rFonts w:ascii="GHEA Grapalat" w:hAnsi="GHEA Grapalat"/>
          <w:szCs w:val="20"/>
        </w:rPr>
        <w:t>.1.3 Հարկային եկամուտների կանխատեսումների հավանականային բաշխումը</w:t>
      </w:r>
      <w:bookmarkEnd w:id="503"/>
      <w:r w:rsidR="00353214">
        <w:rPr>
          <w:rFonts w:ascii="GHEA Grapalat" w:hAnsi="GHEA Grapalat"/>
          <w:szCs w:val="20"/>
        </w:rPr>
        <w:t xml:space="preserve">  </w:t>
      </w:r>
    </w:p>
    <w:tbl>
      <w:tblPr>
        <w:tblW w:w="970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23"/>
        <w:gridCol w:w="2378"/>
        <w:gridCol w:w="2001"/>
        <w:gridCol w:w="2000"/>
      </w:tblGrid>
      <w:tr w:rsidR="00353214" w14:paraId="316C96E7" w14:textId="77777777" w:rsidTr="00605178">
        <w:trPr>
          <w:trHeight w:val="360"/>
        </w:trPr>
        <w:tc>
          <w:tcPr>
            <w:tcW w:w="3323" w:type="dxa"/>
            <w:tcBorders>
              <w:top w:val="nil"/>
              <w:left w:val="nil"/>
              <w:bottom w:val="single" w:sz="4" w:space="0" w:color="E1E1E3" w:themeColor="accent3" w:themeTint="33"/>
              <w:right w:val="nil"/>
            </w:tcBorders>
            <w:vAlign w:val="center"/>
          </w:tcPr>
          <w:p w14:paraId="39122B6A" w14:textId="77777777" w:rsidR="00353214" w:rsidRPr="00353214" w:rsidRDefault="00353214" w:rsidP="00605178">
            <w:pPr>
              <w:spacing w:before="0" w:after="0" w:line="240" w:lineRule="auto"/>
              <w:jc w:val="both"/>
              <w:rPr>
                <w:sz w:val="18"/>
                <w:szCs w:val="18"/>
                <w:lang w:val="hy-AM"/>
              </w:rPr>
            </w:pPr>
          </w:p>
        </w:tc>
        <w:tc>
          <w:tcPr>
            <w:tcW w:w="2378" w:type="dxa"/>
            <w:tcBorders>
              <w:top w:val="nil"/>
              <w:left w:val="nil"/>
              <w:bottom w:val="single" w:sz="4" w:space="0" w:color="E1E1E3" w:themeColor="accent3" w:themeTint="33"/>
              <w:right w:val="nil"/>
            </w:tcBorders>
            <w:vAlign w:val="center"/>
            <w:hideMark/>
          </w:tcPr>
          <w:p w14:paraId="0918652B" w14:textId="77777777" w:rsidR="00353214" w:rsidRDefault="00353214" w:rsidP="00605178">
            <w:pPr>
              <w:spacing w:before="0" w:after="0" w:line="240" w:lineRule="auto"/>
              <w:jc w:val="center"/>
              <w:rPr>
                <w:b/>
                <w:sz w:val="18"/>
                <w:szCs w:val="18"/>
                <w:lang w:val="hy-AM"/>
              </w:rPr>
            </w:pPr>
            <w:r>
              <w:rPr>
                <w:b/>
                <w:sz w:val="18"/>
                <w:szCs w:val="18"/>
                <w:lang w:val="hy-AM"/>
              </w:rPr>
              <w:t>202</w:t>
            </w:r>
            <w:r>
              <w:rPr>
                <w:b/>
                <w:sz w:val="18"/>
                <w:szCs w:val="18"/>
              </w:rPr>
              <w:t>6</w:t>
            </w:r>
          </w:p>
        </w:tc>
        <w:tc>
          <w:tcPr>
            <w:tcW w:w="2001" w:type="dxa"/>
            <w:tcBorders>
              <w:top w:val="nil"/>
              <w:left w:val="nil"/>
              <w:bottom w:val="single" w:sz="4" w:space="0" w:color="E1E1E3" w:themeColor="accent3" w:themeTint="33"/>
              <w:right w:val="nil"/>
            </w:tcBorders>
            <w:vAlign w:val="center"/>
            <w:hideMark/>
          </w:tcPr>
          <w:p w14:paraId="07EDC611" w14:textId="77777777" w:rsidR="00353214" w:rsidRDefault="00353214" w:rsidP="00605178">
            <w:pPr>
              <w:spacing w:before="0" w:after="0" w:line="240" w:lineRule="auto"/>
              <w:jc w:val="center"/>
              <w:rPr>
                <w:b/>
                <w:sz w:val="18"/>
                <w:szCs w:val="18"/>
                <w:lang w:val="hy-AM"/>
              </w:rPr>
            </w:pPr>
            <w:r>
              <w:rPr>
                <w:b/>
                <w:sz w:val="18"/>
                <w:szCs w:val="18"/>
                <w:lang w:val="hy-AM"/>
              </w:rPr>
              <w:t>202</w:t>
            </w:r>
            <w:r>
              <w:rPr>
                <w:b/>
                <w:sz w:val="18"/>
                <w:szCs w:val="18"/>
              </w:rPr>
              <w:t>7</w:t>
            </w:r>
          </w:p>
        </w:tc>
        <w:tc>
          <w:tcPr>
            <w:tcW w:w="2000" w:type="dxa"/>
            <w:tcBorders>
              <w:top w:val="nil"/>
              <w:left w:val="nil"/>
              <w:bottom w:val="single" w:sz="4" w:space="0" w:color="E1E1E3" w:themeColor="accent3" w:themeTint="33"/>
              <w:right w:val="nil"/>
            </w:tcBorders>
            <w:vAlign w:val="center"/>
            <w:hideMark/>
          </w:tcPr>
          <w:p w14:paraId="47D42A6E" w14:textId="77777777" w:rsidR="00353214" w:rsidRDefault="00353214" w:rsidP="00605178">
            <w:pPr>
              <w:spacing w:before="0" w:after="0" w:line="240" w:lineRule="auto"/>
              <w:jc w:val="center"/>
              <w:rPr>
                <w:b/>
                <w:sz w:val="18"/>
                <w:szCs w:val="18"/>
                <w:lang w:val="hy-AM"/>
              </w:rPr>
            </w:pPr>
            <w:r>
              <w:rPr>
                <w:b/>
                <w:sz w:val="18"/>
                <w:szCs w:val="18"/>
                <w:lang w:val="hy-AM"/>
              </w:rPr>
              <w:t>202</w:t>
            </w:r>
            <w:r>
              <w:rPr>
                <w:b/>
                <w:sz w:val="18"/>
                <w:szCs w:val="18"/>
              </w:rPr>
              <w:t>8</w:t>
            </w:r>
          </w:p>
        </w:tc>
      </w:tr>
      <w:tr w:rsidR="00353214" w14:paraId="3647982C" w14:textId="77777777" w:rsidTr="00605178">
        <w:trPr>
          <w:trHeight w:val="720"/>
        </w:trPr>
        <w:tc>
          <w:tcPr>
            <w:tcW w:w="3323" w:type="dxa"/>
            <w:tcBorders>
              <w:top w:val="single" w:sz="4" w:space="0" w:color="E1E1E3" w:themeColor="accent3" w:themeTint="33"/>
              <w:left w:val="single" w:sz="4" w:space="0" w:color="E1E1E3" w:themeColor="accent3" w:themeTint="33"/>
              <w:bottom w:val="single" w:sz="4" w:space="0" w:color="E1E1E3" w:themeColor="accent3" w:themeTint="33"/>
              <w:right w:val="single" w:sz="4" w:space="0" w:color="E1E1E3" w:themeColor="accent3" w:themeTint="33"/>
            </w:tcBorders>
            <w:shd w:val="clear" w:color="auto" w:fill="D5DCE4" w:themeFill="text2" w:themeFillTint="33"/>
            <w:vAlign w:val="center"/>
            <w:hideMark/>
          </w:tcPr>
          <w:p w14:paraId="2DE5E6B3" w14:textId="77777777" w:rsidR="00353214" w:rsidRDefault="00353214" w:rsidP="00605178">
            <w:pPr>
              <w:spacing w:before="0" w:after="0" w:line="240" w:lineRule="auto"/>
              <w:ind w:right="420"/>
              <w:rPr>
                <w:b/>
                <w:sz w:val="18"/>
                <w:szCs w:val="18"/>
              </w:rPr>
            </w:pPr>
            <w:r>
              <w:rPr>
                <w:b/>
                <w:sz w:val="18"/>
                <w:szCs w:val="18"/>
              </w:rPr>
              <w:t>Հարկային եկամուտների աճի միջակայքը</w:t>
            </w:r>
          </w:p>
        </w:tc>
        <w:tc>
          <w:tcPr>
            <w:tcW w:w="6379" w:type="dxa"/>
            <w:gridSpan w:val="3"/>
            <w:tcBorders>
              <w:top w:val="single" w:sz="4" w:space="0" w:color="E1E1E3" w:themeColor="accent3" w:themeTint="33"/>
              <w:left w:val="single" w:sz="4" w:space="0" w:color="E1E1E3" w:themeColor="accent3" w:themeTint="33"/>
              <w:bottom w:val="single" w:sz="4" w:space="0" w:color="E1E1E3" w:themeColor="accent3" w:themeTint="33"/>
              <w:right w:val="single" w:sz="4" w:space="0" w:color="E1E1E3" w:themeColor="accent3" w:themeTint="33"/>
            </w:tcBorders>
            <w:shd w:val="clear" w:color="auto" w:fill="D5DCE4" w:themeFill="text2" w:themeFillTint="33"/>
            <w:vAlign w:val="center"/>
            <w:hideMark/>
          </w:tcPr>
          <w:p w14:paraId="67D01F24" w14:textId="77777777" w:rsidR="00353214" w:rsidRDefault="00353214" w:rsidP="00605178">
            <w:pPr>
              <w:spacing w:before="0" w:after="0" w:line="240" w:lineRule="auto"/>
              <w:rPr>
                <w:b/>
                <w:sz w:val="18"/>
                <w:szCs w:val="18"/>
              </w:rPr>
            </w:pPr>
            <w:r>
              <w:rPr>
                <w:b/>
                <w:sz w:val="18"/>
                <w:szCs w:val="18"/>
              </w:rPr>
              <w:t>Հարկային եկամուտների աճի՝ տվյալ միջակայքում ձևավորվելու հավանականությունը</w:t>
            </w:r>
          </w:p>
        </w:tc>
      </w:tr>
      <w:tr w:rsidR="00353214" w14:paraId="74E2428E" w14:textId="77777777" w:rsidTr="00605178">
        <w:trPr>
          <w:trHeight w:val="360"/>
        </w:trPr>
        <w:tc>
          <w:tcPr>
            <w:tcW w:w="3323" w:type="dxa"/>
            <w:tcBorders>
              <w:top w:val="single" w:sz="4" w:space="0" w:color="E1E1E3" w:themeColor="accent3" w:themeTint="33"/>
              <w:left w:val="single" w:sz="4" w:space="0" w:color="E1E1E3" w:themeColor="accent3" w:themeTint="33"/>
              <w:bottom w:val="single" w:sz="4" w:space="0" w:color="E1E1E3" w:themeColor="accent3" w:themeTint="33"/>
              <w:right w:val="single" w:sz="4" w:space="0" w:color="E1E1E3" w:themeColor="accent3" w:themeTint="33"/>
            </w:tcBorders>
            <w:hideMark/>
          </w:tcPr>
          <w:p w14:paraId="73A59FA1" w14:textId="77777777" w:rsidR="00353214" w:rsidRPr="00E02445" w:rsidRDefault="00353214" w:rsidP="00605178">
            <w:pPr>
              <w:spacing w:before="0" w:after="0" w:line="240" w:lineRule="auto"/>
              <w:jc w:val="both"/>
              <w:rPr>
                <w:sz w:val="18"/>
                <w:szCs w:val="18"/>
              </w:rPr>
            </w:pPr>
            <w:r w:rsidRPr="002E3CEF">
              <w:rPr>
                <w:sz w:val="18"/>
              </w:rPr>
              <w:t>1-6 տոկոս</w:t>
            </w:r>
          </w:p>
        </w:tc>
        <w:tc>
          <w:tcPr>
            <w:tcW w:w="2378" w:type="dxa"/>
            <w:tcBorders>
              <w:top w:val="single" w:sz="4" w:space="0" w:color="E1E1E3" w:themeColor="accent3" w:themeTint="33"/>
              <w:left w:val="single" w:sz="4" w:space="0" w:color="E1E1E3" w:themeColor="accent3" w:themeTint="33"/>
              <w:bottom w:val="single" w:sz="4" w:space="0" w:color="E1E1E3" w:themeColor="accent3" w:themeTint="33"/>
              <w:right w:val="single" w:sz="4" w:space="0" w:color="E1E1E3" w:themeColor="accent3" w:themeTint="33"/>
            </w:tcBorders>
            <w:hideMark/>
          </w:tcPr>
          <w:p w14:paraId="33E9E6EA" w14:textId="77777777" w:rsidR="00353214" w:rsidRPr="00E02445" w:rsidRDefault="00353214" w:rsidP="00605178">
            <w:pPr>
              <w:spacing w:before="0" w:after="0" w:line="240" w:lineRule="auto"/>
              <w:jc w:val="center"/>
              <w:rPr>
                <w:sz w:val="18"/>
                <w:szCs w:val="18"/>
              </w:rPr>
            </w:pPr>
            <w:r w:rsidRPr="002E3CEF">
              <w:rPr>
                <w:sz w:val="18"/>
              </w:rPr>
              <w:t>0.12</w:t>
            </w:r>
          </w:p>
        </w:tc>
        <w:tc>
          <w:tcPr>
            <w:tcW w:w="2001" w:type="dxa"/>
            <w:tcBorders>
              <w:top w:val="single" w:sz="4" w:space="0" w:color="E1E1E3" w:themeColor="accent3" w:themeTint="33"/>
              <w:left w:val="single" w:sz="4" w:space="0" w:color="E1E1E3" w:themeColor="accent3" w:themeTint="33"/>
              <w:bottom w:val="single" w:sz="4" w:space="0" w:color="E1E1E3" w:themeColor="accent3" w:themeTint="33"/>
              <w:right w:val="single" w:sz="4" w:space="0" w:color="E1E1E3" w:themeColor="accent3" w:themeTint="33"/>
            </w:tcBorders>
            <w:hideMark/>
          </w:tcPr>
          <w:p w14:paraId="2F4C6990" w14:textId="77777777" w:rsidR="00353214" w:rsidRPr="00E02445" w:rsidRDefault="00353214" w:rsidP="00605178">
            <w:pPr>
              <w:spacing w:before="0" w:after="0" w:line="240" w:lineRule="auto"/>
              <w:jc w:val="center"/>
              <w:rPr>
                <w:sz w:val="18"/>
                <w:szCs w:val="18"/>
              </w:rPr>
            </w:pPr>
            <w:r w:rsidRPr="002E3CEF">
              <w:rPr>
                <w:sz w:val="18"/>
              </w:rPr>
              <w:t>0.19</w:t>
            </w:r>
          </w:p>
        </w:tc>
        <w:tc>
          <w:tcPr>
            <w:tcW w:w="2000" w:type="dxa"/>
            <w:tcBorders>
              <w:top w:val="single" w:sz="4" w:space="0" w:color="E1E1E3" w:themeColor="accent3" w:themeTint="33"/>
              <w:left w:val="single" w:sz="4" w:space="0" w:color="E1E1E3" w:themeColor="accent3" w:themeTint="33"/>
              <w:bottom w:val="single" w:sz="4" w:space="0" w:color="E1E1E3" w:themeColor="accent3" w:themeTint="33"/>
              <w:right w:val="single" w:sz="4" w:space="0" w:color="E1E1E3" w:themeColor="accent3" w:themeTint="33"/>
            </w:tcBorders>
            <w:hideMark/>
          </w:tcPr>
          <w:p w14:paraId="217A88E3" w14:textId="77777777" w:rsidR="00353214" w:rsidRPr="00E02445" w:rsidRDefault="00353214" w:rsidP="00605178">
            <w:pPr>
              <w:spacing w:before="0" w:after="0" w:line="240" w:lineRule="auto"/>
              <w:jc w:val="center"/>
              <w:rPr>
                <w:sz w:val="18"/>
                <w:szCs w:val="18"/>
              </w:rPr>
            </w:pPr>
            <w:r w:rsidRPr="002E3CEF">
              <w:rPr>
                <w:sz w:val="18"/>
              </w:rPr>
              <w:t>0.18</w:t>
            </w:r>
          </w:p>
        </w:tc>
      </w:tr>
      <w:tr w:rsidR="00353214" w14:paraId="318341E5" w14:textId="77777777" w:rsidTr="00605178">
        <w:trPr>
          <w:trHeight w:val="360"/>
        </w:trPr>
        <w:tc>
          <w:tcPr>
            <w:tcW w:w="3323" w:type="dxa"/>
            <w:tcBorders>
              <w:top w:val="single" w:sz="4" w:space="0" w:color="E1E1E3" w:themeColor="accent3" w:themeTint="33"/>
              <w:left w:val="single" w:sz="4" w:space="0" w:color="E1E1E3" w:themeColor="accent3" w:themeTint="33"/>
              <w:bottom w:val="single" w:sz="4" w:space="0" w:color="E1E1E3" w:themeColor="accent3" w:themeTint="33"/>
              <w:right w:val="single" w:sz="4" w:space="0" w:color="E1E1E3" w:themeColor="accent3" w:themeTint="33"/>
            </w:tcBorders>
            <w:hideMark/>
          </w:tcPr>
          <w:p w14:paraId="2720367A" w14:textId="77777777" w:rsidR="00353214" w:rsidRPr="00E02445" w:rsidRDefault="00353214" w:rsidP="00605178">
            <w:pPr>
              <w:spacing w:before="0" w:after="0" w:line="240" w:lineRule="auto"/>
              <w:jc w:val="both"/>
              <w:rPr>
                <w:sz w:val="18"/>
                <w:szCs w:val="18"/>
              </w:rPr>
            </w:pPr>
            <w:r w:rsidRPr="002E3CEF">
              <w:rPr>
                <w:sz w:val="18"/>
              </w:rPr>
              <w:t>6-11 տոկոս</w:t>
            </w:r>
          </w:p>
        </w:tc>
        <w:tc>
          <w:tcPr>
            <w:tcW w:w="2378" w:type="dxa"/>
            <w:tcBorders>
              <w:top w:val="single" w:sz="4" w:space="0" w:color="E1E1E3" w:themeColor="accent3" w:themeTint="33"/>
              <w:left w:val="single" w:sz="4" w:space="0" w:color="E1E1E3" w:themeColor="accent3" w:themeTint="33"/>
              <w:bottom w:val="single" w:sz="4" w:space="0" w:color="E1E1E3" w:themeColor="accent3" w:themeTint="33"/>
              <w:right w:val="single" w:sz="4" w:space="0" w:color="E1E1E3" w:themeColor="accent3" w:themeTint="33"/>
            </w:tcBorders>
            <w:hideMark/>
          </w:tcPr>
          <w:p w14:paraId="19D6A796" w14:textId="77777777" w:rsidR="00353214" w:rsidRPr="002E3CEF" w:rsidRDefault="00353214" w:rsidP="00605178">
            <w:pPr>
              <w:spacing w:before="0" w:after="0" w:line="240" w:lineRule="auto"/>
              <w:jc w:val="center"/>
              <w:rPr>
                <w:b/>
                <w:sz w:val="18"/>
                <w:szCs w:val="18"/>
                <w:u w:val="single"/>
              </w:rPr>
            </w:pPr>
            <w:r w:rsidRPr="002E3CEF">
              <w:rPr>
                <w:b/>
                <w:sz w:val="18"/>
                <w:u w:val="single"/>
              </w:rPr>
              <w:t>0.59</w:t>
            </w:r>
          </w:p>
        </w:tc>
        <w:tc>
          <w:tcPr>
            <w:tcW w:w="2001" w:type="dxa"/>
            <w:tcBorders>
              <w:top w:val="single" w:sz="4" w:space="0" w:color="E1E1E3" w:themeColor="accent3" w:themeTint="33"/>
              <w:left w:val="single" w:sz="4" w:space="0" w:color="E1E1E3" w:themeColor="accent3" w:themeTint="33"/>
              <w:bottom w:val="single" w:sz="4" w:space="0" w:color="E1E1E3" w:themeColor="accent3" w:themeTint="33"/>
              <w:right w:val="single" w:sz="4" w:space="0" w:color="E1E1E3" w:themeColor="accent3" w:themeTint="33"/>
            </w:tcBorders>
            <w:hideMark/>
          </w:tcPr>
          <w:p w14:paraId="5AE7E0FC" w14:textId="77777777" w:rsidR="00353214" w:rsidRPr="002E3CEF" w:rsidRDefault="00353214" w:rsidP="00605178">
            <w:pPr>
              <w:spacing w:before="0" w:after="0" w:line="240" w:lineRule="auto"/>
              <w:jc w:val="center"/>
              <w:rPr>
                <w:b/>
                <w:sz w:val="18"/>
                <w:szCs w:val="18"/>
                <w:u w:val="single"/>
              </w:rPr>
            </w:pPr>
            <w:r w:rsidRPr="002E3CEF">
              <w:rPr>
                <w:b/>
                <w:sz w:val="18"/>
                <w:u w:val="single"/>
              </w:rPr>
              <w:t>0.66</w:t>
            </w:r>
          </w:p>
        </w:tc>
        <w:tc>
          <w:tcPr>
            <w:tcW w:w="2000" w:type="dxa"/>
            <w:tcBorders>
              <w:top w:val="single" w:sz="4" w:space="0" w:color="E1E1E3" w:themeColor="accent3" w:themeTint="33"/>
              <w:left w:val="single" w:sz="4" w:space="0" w:color="E1E1E3" w:themeColor="accent3" w:themeTint="33"/>
              <w:bottom w:val="single" w:sz="4" w:space="0" w:color="E1E1E3" w:themeColor="accent3" w:themeTint="33"/>
              <w:right w:val="single" w:sz="4" w:space="0" w:color="E1E1E3" w:themeColor="accent3" w:themeTint="33"/>
            </w:tcBorders>
            <w:hideMark/>
          </w:tcPr>
          <w:p w14:paraId="0CAF05EE" w14:textId="77777777" w:rsidR="00353214" w:rsidRPr="002E3CEF" w:rsidRDefault="00353214" w:rsidP="00605178">
            <w:pPr>
              <w:spacing w:before="0" w:after="0" w:line="240" w:lineRule="auto"/>
              <w:jc w:val="center"/>
              <w:rPr>
                <w:b/>
                <w:sz w:val="18"/>
                <w:szCs w:val="18"/>
                <w:u w:val="single"/>
              </w:rPr>
            </w:pPr>
            <w:r w:rsidRPr="002E3CEF">
              <w:rPr>
                <w:b/>
                <w:sz w:val="18"/>
                <w:u w:val="single"/>
              </w:rPr>
              <w:t>0.68</w:t>
            </w:r>
          </w:p>
        </w:tc>
      </w:tr>
      <w:tr w:rsidR="00353214" w14:paraId="6E76C885" w14:textId="77777777" w:rsidTr="00605178">
        <w:trPr>
          <w:trHeight w:val="360"/>
        </w:trPr>
        <w:tc>
          <w:tcPr>
            <w:tcW w:w="3323" w:type="dxa"/>
            <w:tcBorders>
              <w:top w:val="single" w:sz="4" w:space="0" w:color="E1E1E3" w:themeColor="accent3" w:themeTint="33"/>
              <w:left w:val="single" w:sz="4" w:space="0" w:color="E1E1E3" w:themeColor="accent3" w:themeTint="33"/>
              <w:bottom w:val="single" w:sz="4" w:space="0" w:color="E1E1E3" w:themeColor="accent3" w:themeTint="33"/>
              <w:right w:val="single" w:sz="4" w:space="0" w:color="E1E1E3" w:themeColor="accent3" w:themeTint="33"/>
            </w:tcBorders>
            <w:hideMark/>
          </w:tcPr>
          <w:p w14:paraId="1383BE25" w14:textId="77777777" w:rsidR="00353214" w:rsidRPr="00E02445" w:rsidRDefault="00353214" w:rsidP="00605178">
            <w:pPr>
              <w:spacing w:before="0" w:after="0" w:line="240" w:lineRule="auto"/>
              <w:jc w:val="both"/>
              <w:rPr>
                <w:sz w:val="18"/>
                <w:szCs w:val="18"/>
              </w:rPr>
            </w:pPr>
            <w:r w:rsidRPr="002E3CEF">
              <w:rPr>
                <w:sz w:val="18"/>
              </w:rPr>
              <w:t>11-16 տոկոս</w:t>
            </w:r>
          </w:p>
        </w:tc>
        <w:tc>
          <w:tcPr>
            <w:tcW w:w="2378" w:type="dxa"/>
            <w:tcBorders>
              <w:top w:val="single" w:sz="4" w:space="0" w:color="E1E1E3" w:themeColor="accent3" w:themeTint="33"/>
              <w:left w:val="single" w:sz="4" w:space="0" w:color="E1E1E3" w:themeColor="accent3" w:themeTint="33"/>
              <w:bottom w:val="single" w:sz="4" w:space="0" w:color="E1E1E3" w:themeColor="accent3" w:themeTint="33"/>
              <w:right w:val="single" w:sz="4" w:space="0" w:color="E1E1E3" w:themeColor="accent3" w:themeTint="33"/>
            </w:tcBorders>
            <w:hideMark/>
          </w:tcPr>
          <w:p w14:paraId="40223DA6" w14:textId="77777777" w:rsidR="00353214" w:rsidRPr="00E02445" w:rsidRDefault="00353214" w:rsidP="00605178">
            <w:pPr>
              <w:spacing w:before="0" w:after="0" w:line="240" w:lineRule="auto"/>
              <w:jc w:val="center"/>
              <w:rPr>
                <w:sz w:val="18"/>
                <w:szCs w:val="18"/>
              </w:rPr>
            </w:pPr>
            <w:r w:rsidRPr="002E3CEF">
              <w:rPr>
                <w:sz w:val="18"/>
              </w:rPr>
              <w:t>0.28</w:t>
            </w:r>
          </w:p>
        </w:tc>
        <w:tc>
          <w:tcPr>
            <w:tcW w:w="2001" w:type="dxa"/>
            <w:tcBorders>
              <w:top w:val="single" w:sz="4" w:space="0" w:color="E1E1E3" w:themeColor="accent3" w:themeTint="33"/>
              <w:left w:val="single" w:sz="4" w:space="0" w:color="E1E1E3" w:themeColor="accent3" w:themeTint="33"/>
              <w:bottom w:val="single" w:sz="4" w:space="0" w:color="E1E1E3" w:themeColor="accent3" w:themeTint="33"/>
              <w:right w:val="single" w:sz="4" w:space="0" w:color="E1E1E3" w:themeColor="accent3" w:themeTint="33"/>
            </w:tcBorders>
            <w:hideMark/>
          </w:tcPr>
          <w:p w14:paraId="7CA3E996" w14:textId="77777777" w:rsidR="00353214" w:rsidRPr="00E02445" w:rsidRDefault="00353214" w:rsidP="00605178">
            <w:pPr>
              <w:spacing w:before="0" w:after="0" w:line="240" w:lineRule="auto"/>
              <w:jc w:val="center"/>
              <w:rPr>
                <w:sz w:val="18"/>
                <w:szCs w:val="18"/>
              </w:rPr>
            </w:pPr>
            <w:r w:rsidRPr="002E3CEF">
              <w:rPr>
                <w:sz w:val="18"/>
              </w:rPr>
              <w:t>0.14</w:t>
            </w:r>
          </w:p>
        </w:tc>
        <w:tc>
          <w:tcPr>
            <w:tcW w:w="2000" w:type="dxa"/>
            <w:tcBorders>
              <w:top w:val="single" w:sz="4" w:space="0" w:color="E1E1E3" w:themeColor="accent3" w:themeTint="33"/>
              <w:left w:val="single" w:sz="4" w:space="0" w:color="E1E1E3" w:themeColor="accent3" w:themeTint="33"/>
              <w:bottom w:val="single" w:sz="4" w:space="0" w:color="E1E1E3" w:themeColor="accent3" w:themeTint="33"/>
              <w:right w:val="single" w:sz="4" w:space="0" w:color="E1E1E3" w:themeColor="accent3" w:themeTint="33"/>
            </w:tcBorders>
            <w:hideMark/>
          </w:tcPr>
          <w:p w14:paraId="374508FE" w14:textId="77777777" w:rsidR="00353214" w:rsidRPr="00E02445" w:rsidRDefault="00353214" w:rsidP="00605178">
            <w:pPr>
              <w:spacing w:before="0" w:after="0" w:line="240" w:lineRule="auto"/>
              <w:jc w:val="center"/>
              <w:rPr>
                <w:sz w:val="18"/>
                <w:szCs w:val="18"/>
              </w:rPr>
            </w:pPr>
            <w:r w:rsidRPr="002E3CEF">
              <w:rPr>
                <w:sz w:val="18"/>
              </w:rPr>
              <w:t>0.14</w:t>
            </w:r>
          </w:p>
        </w:tc>
      </w:tr>
    </w:tbl>
    <w:p w14:paraId="0B53ED2E" w14:textId="77777777" w:rsidR="00353214" w:rsidRDefault="00353214" w:rsidP="00957A78">
      <w:pPr>
        <w:jc w:val="both"/>
        <w:rPr>
          <w:lang w:val="hy-AM"/>
        </w:rPr>
      </w:pPr>
    </w:p>
    <w:p w14:paraId="3B9FEDDE" w14:textId="53309F16" w:rsidR="00957A78" w:rsidRPr="002E3CEF" w:rsidRDefault="00EA364F" w:rsidP="00957A78">
      <w:pPr>
        <w:jc w:val="both"/>
        <w:rPr>
          <w:lang w:val="hy-AM"/>
        </w:rPr>
      </w:pPr>
      <w:r>
        <w:rPr>
          <w:lang w:val="hy-AM"/>
        </w:rPr>
        <w:t>Աղյուսակ 3.1.3-ի առաջին սյունը ներկայացնում է հարկային եկամուտների աճի միջակայքերը, իսկ 2-ից 4-րդ սյուները` նշված միջակայքերից յուրաքանչյուրում այդ աճի ձևավորվելու հավանականությունները` ըստ միջնաժամկետ կանխատեսումների: Համաձայն գնահատականների, 202</w:t>
      </w:r>
      <w:r w:rsidRPr="002E3CEF">
        <w:rPr>
          <w:lang w:val="hy-AM"/>
        </w:rPr>
        <w:t>6</w:t>
      </w:r>
      <w:r>
        <w:rPr>
          <w:lang w:val="hy-AM"/>
        </w:rPr>
        <w:t>-202</w:t>
      </w:r>
      <w:r w:rsidRPr="002E3CEF">
        <w:rPr>
          <w:lang w:val="hy-AM"/>
        </w:rPr>
        <w:t>8</w:t>
      </w:r>
      <w:r>
        <w:rPr>
          <w:lang w:val="hy-AM"/>
        </w:rPr>
        <w:t xml:space="preserve"> թվականներին հարկային եկամուտների աճի տեմպի՝ </w:t>
      </w:r>
      <w:r w:rsidRPr="002E3CEF">
        <w:rPr>
          <w:lang w:val="hy-AM"/>
        </w:rPr>
        <w:t>6</w:t>
      </w:r>
      <w:r>
        <w:rPr>
          <w:lang w:val="hy-AM"/>
        </w:rPr>
        <w:t>-1</w:t>
      </w:r>
      <w:r w:rsidRPr="002E3CEF">
        <w:rPr>
          <w:lang w:val="hy-AM"/>
        </w:rPr>
        <w:t>1</w:t>
      </w:r>
      <w:r>
        <w:rPr>
          <w:lang w:val="hy-AM"/>
        </w:rPr>
        <w:t xml:space="preserve">% միջակայքում գտնվելու հավանականությունն ամենաբարձրն է (Գծապատկեր 3.1-ում այն մուգ կարմիր է, իսկ Աղյուսակ 3.1.3-ում՝ հոծ նշումով): </w:t>
      </w:r>
    </w:p>
    <w:p w14:paraId="5059EABA" w14:textId="21E3ABF4" w:rsidR="00957A78" w:rsidRDefault="00957A78" w:rsidP="00957A78">
      <w:pPr>
        <w:pStyle w:val="TOC4"/>
        <w:rPr>
          <w:lang w:val="hy-AM"/>
        </w:rPr>
      </w:pPr>
      <w:bookmarkStart w:id="504" w:name="_Toc170750604"/>
      <w:r>
        <w:rPr>
          <w:lang w:val="hy-AM"/>
        </w:rPr>
        <w:t>2.1.2. 2025</w:t>
      </w:r>
      <w:r w:rsidR="002C5ABD">
        <w:rPr>
          <w:lang w:val="hy-AM"/>
        </w:rPr>
        <w:t xml:space="preserve"> </w:t>
      </w:r>
      <w:r>
        <w:rPr>
          <w:lang w:val="hy-AM"/>
        </w:rPr>
        <w:t>ԹՎԱԿԱՆԻ ՊԵՏԱԿԱՆ ԲՅՈՒՋԵԻ ԵՎ ՄԻՋՆԱԺԱՄԿԵՏ ՀՈՐԻԶՈՆԻ ՄԱԿՐՈՏՆՏԵՍԱԿԱՆ ՑՈՒՑԱՆԻՇՆԵՐԻ ԿԱՆԽԱՏԵՍՎԱԾԻՑ ՇԵՂՄԱՆ ՌԻՍԿԵՐԻ ԱԶԴԵՑՈՒԹՅԱՆ ԸՆԴՀԱՆՈՒՐ ԳՆԱՀԱՏԱԿԱՆԸ ԵՎ ԴՐԱՆՑ ՄԵՂՄՄԱՆ ՀՆԱՐԱՎՈՐՈՒԹՅՈՒՆՆԵՐԸ</w:t>
      </w:r>
      <w:bookmarkEnd w:id="504"/>
    </w:p>
    <w:p w14:paraId="248EB7F7" w14:textId="77777777" w:rsidR="00957A78" w:rsidRDefault="00957A78" w:rsidP="00957A78">
      <w:pPr>
        <w:pStyle w:val="BodyText1"/>
        <w:ind w:left="0"/>
        <w:rPr>
          <w:lang w:val="hy-AM"/>
        </w:rPr>
      </w:pPr>
      <w:r>
        <w:rPr>
          <w:lang w:val="hy-AM"/>
        </w:rPr>
        <w:t xml:space="preserve">Կանխատեսումներում մեծ ուշադրություն է դարձվում նաև պետական բյուջեի ծախսերի պլանավորված մակարդակների ապահովումը խաթարող ռիսկերին, որոնք կարող են հանգեցնել լրացուցիչ ֆինանսավորման պահանջի առաջացման: </w:t>
      </w:r>
    </w:p>
    <w:p w14:paraId="123442C5" w14:textId="44ED1EB5" w:rsidR="00957A78" w:rsidRDefault="00957A78" w:rsidP="00957A78">
      <w:pPr>
        <w:pStyle w:val="a"/>
        <w:rPr>
          <w:rFonts w:ascii="GHEA Grapalat" w:hAnsi="GHEA Grapalat"/>
          <w:szCs w:val="20"/>
        </w:rPr>
      </w:pPr>
      <w:bookmarkStart w:id="505" w:name="_Toc178612162"/>
      <w:r>
        <w:rPr>
          <w:rFonts w:ascii="GHEA Grapalat" w:hAnsi="GHEA Grapalat"/>
          <w:szCs w:val="20"/>
        </w:rPr>
        <w:t>Աղյուսակ</w:t>
      </w:r>
      <w:r w:rsidR="002C5ABD">
        <w:rPr>
          <w:rFonts w:ascii="GHEA Grapalat" w:hAnsi="GHEA Grapalat"/>
          <w:szCs w:val="20"/>
        </w:rPr>
        <w:t xml:space="preserve"> 2</w:t>
      </w:r>
      <w:r>
        <w:rPr>
          <w:rFonts w:ascii="GHEA Grapalat" w:hAnsi="GHEA Grapalat"/>
          <w:szCs w:val="20"/>
        </w:rPr>
        <w:t>.2.1 ՀՀ պետական բյուջեի հարկային եկամուտների և ծախսերի, ինչպես նաև այլ հոսքերի գծով ռիսկերի ընդհանուր ազդեցությունը</w:t>
      </w:r>
      <w:r w:rsidRPr="002E3CEF">
        <w:rPr>
          <w:vertAlign w:val="superscript"/>
        </w:rPr>
        <w:footnoteReference w:id="24"/>
      </w:r>
      <w:r>
        <w:rPr>
          <w:rFonts w:ascii="GHEA Grapalat" w:hAnsi="GHEA Grapalat"/>
          <w:szCs w:val="20"/>
        </w:rPr>
        <w:t xml:space="preserve"> (ֆինանսավորման պահանջ` - պահանջի մեծացում, + պահանջի նվազում), մլրդ ՀՀ դրամ</w:t>
      </w:r>
      <w:bookmarkEnd w:id="505"/>
    </w:p>
    <w:tbl>
      <w:tblPr>
        <w:tblW w:w="9805" w:type="dxa"/>
        <w:tblBorders>
          <w:top w:val="single" w:sz="4" w:space="0" w:color="E1E1E3" w:themeColor="accent3" w:themeTint="33"/>
          <w:left w:val="single" w:sz="4" w:space="0" w:color="E1E1E3" w:themeColor="accent3" w:themeTint="33"/>
          <w:bottom w:val="single" w:sz="4" w:space="0" w:color="E1E1E3" w:themeColor="accent3" w:themeTint="33"/>
          <w:right w:val="single" w:sz="4" w:space="0" w:color="E1E1E3" w:themeColor="accent3" w:themeTint="33"/>
          <w:insideH w:val="single" w:sz="4" w:space="0" w:color="E1E1E3" w:themeColor="accent3" w:themeTint="33"/>
          <w:insideV w:val="single" w:sz="4" w:space="0" w:color="E1E1E3" w:themeColor="accent3" w:themeTint="33"/>
        </w:tblBorders>
        <w:tblLook w:val="04A0" w:firstRow="1" w:lastRow="0" w:firstColumn="1" w:lastColumn="0" w:noHBand="0" w:noVBand="1"/>
      </w:tblPr>
      <w:tblGrid>
        <w:gridCol w:w="5485"/>
        <w:gridCol w:w="1440"/>
        <w:gridCol w:w="1440"/>
        <w:gridCol w:w="1440"/>
      </w:tblGrid>
      <w:tr w:rsidR="00957A78" w14:paraId="7E67F22C" w14:textId="77777777" w:rsidTr="00A72B0A">
        <w:trPr>
          <w:trHeight w:val="580"/>
        </w:trPr>
        <w:tc>
          <w:tcPr>
            <w:tcW w:w="5485" w:type="dxa"/>
            <w:vMerge w:val="restart"/>
            <w:tcBorders>
              <w:top w:val="single" w:sz="4" w:space="0" w:color="E1E1E3" w:themeColor="accent3" w:themeTint="33"/>
              <w:left w:val="single" w:sz="4" w:space="0" w:color="E1E1E3" w:themeColor="accent3" w:themeTint="33"/>
              <w:bottom w:val="single" w:sz="4" w:space="0" w:color="E1E1E3" w:themeColor="accent3" w:themeTint="33"/>
              <w:right w:val="single" w:sz="4" w:space="0" w:color="E1E1E3" w:themeColor="accent3" w:themeTint="33"/>
            </w:tcBorders>
            <w:shd w:val="clear" w:color="auto" w:fill="D5DCE4" w:themeFill="text2" w:themeFillTint="33"/>
            <w:vAlign w:val="center"/>
            <w:hideMark/>
          </w:tcPr>
          <w:p w14:paraId="79F23057" w14:textId="77777777" w:rsidR="00957A78" w:rsidRDefault="00957A78" w:rsidP="00A72B0A">
            <w:pPr>
              <w:spacing w:before="0" w:after="0" w:line="240" w:lineRule="auto"/>
              <w:ind w:right="22"/>
              <w:rPr>
                <w:b/>
                <w:sz w:val="18"/>
                <w:szCs w:val="18"/>
                <w:lang w:val="ru-RU"/>
              </w:rPr>
            </w:pPr>
            <w:r>
              <w:rPr>
                <w:b/>
                <w:sz w:val="18"/>
                <w:szCs w:val="18"/>
              </w:rPr>
              <w:t>Մակրոտնտեսական ցուցանիշների կանխատեսվող ռիսկեր</w:t>
            </w:r>
          </w:p>
        </w:tc>
        <w:tc>
          <w:tcPr>
            <w:tcW w:w="1440" w:type="dxa"/>
            <w:vMerge w:val="restart"/>
            <w:tcBorders>
              <w:top w:val="single" w:sz="4" w:space="0" w:color="E1E1E3" w:themeColor="accent3" w:themeTint="33"/>
              <w:left w:val="single" w:sz="4" w:space="0" w:color="E1E1E3" w:themeColor="accent3" w:themeTint="33"/>
              <w:bottom w:val="single" w:sz="4" w:space="0" w:color="E1E1E3" w:themeColor="accent3" w:themeTint="33"/>
              <w:right w:val="single" w:sz="4" w:space="0" w:color="E1E1E3" w:themeColor="accent3" w:themeTint="33"/>
            </w:tcBorders>
            <w:shd w:val="clear" w:color="auto" w:fill="D5DCE4" w:themeFill="text2" w:themeFillTint="33"/>
            <w:vAlign w:val="center"/>
            <w:hideMark/>
          </w:tcPr>
          <w:p w14:paraId="5B358353" w14:textId="77777777" w:rsidR="00957A78" w:rsidRDefault="00957A78" w:rsidP="00A72B0A">
            <w:pPr>
              <w:spacing w:before="0" w:after="0" w:line="240" w:lineRule="auto"/>
              <w:jc w:val="center"/>
              <w:rPr>
                <w:b/>
                <w:sz w:val="18"/>
                <w:szCs w:val="18"/>
              </w:rPr>
            </w:pPr>
            <w:r>
              <w:rPr>
                <w:b/>
                <w:sz w:val="18"/>
                <w:szCs w:val="18"/>
              </w:rPr>
              <w:t>2026</w:t>
            </w:r>
          </w:p>
        </w:tc>
        <w:tc>
          <w:tcPr>
            <w:tcW w:w="1440" w:type="dxa"/>
            <w:vMerge w:val="restart"/>
            <w:tcBorders>
              <w:top w:val="single" w:sz="4" w:space="0" w:color="E1E1E3" w:themeColor="accent3" w:themeTint="33"/>
              <w:left w:val="single" w:sz="4" w:space="0" w:color="E1E1E3" w:themeColor="accent3" w:themeTint="33"/>
              <w:bottom w:val="single" w:sz="4" w:space="0" w:color="E1E1E3" w:themeColor="accent3" w:themeTint="33"/>
              <w:right w:val="single" w:sz="4" w:space="0" w:color="E1E1E3" w:themeColor="accent3" w:themeTint="33"/>
            </w:tcBorders>
            <w:shd w:val="clear" w:color="auto" w:fill="D5DCE4" w:themeFill="text2" w:themeFillTint="33"/>
            <w:vAlign w:val="center"/>
            <w:hideMark/>
          </w:tcPr>
          <w:p w14:paraId="2EFBDB99" w14:textId="77777777" w:rsidR="00957A78" w:rsidRDefault="00957A78" w:rsidP="00A72B0A">
            <w:pPr>
              <w:spacing w:before="0" w:after="0" w:line="240" w:lineRule="auto"/>
              <w:jc w:val="center"/>
              <w:rPr>
                <w:b/>
                <w:sz w:val="18"/>
                <w:szCs w:val="18"/>
              </w:rPr>
            </w:pPr>
            <w:r>
              <w:rPr>
                <w:b/>
                <w:sz w:val="18"/>
                <w:szCs w:val="18"/>
              </w:rPr>
              <w:t>2027</w:t>
            </w:r>
          </w:p>
        </w:tc>
        <w:tc>
          <w:tcPr>
            <w:tcW w:w="1440" w:type="dxa"/>
            <w:vMerge w:val="restart"/>
            <w:tcBorders>
              <w:top w:val="single" w:sz="4" w:space="0" w:color="E1E1E3" w:themeColor="accent3" w:themeTint="33"/>
              <w:left w:val="single" w:sz="4" w:space="0" w:color="E1E1E3" w:themeColor="accent3" w:themeTint="33"/>
              <w:bottom w:val="single" w:sz="4" w:space="0" w:color="E1E1E3" w:themeColor="accent3" w:themeTint="33"/>
              <w:right w:val="single" w:sz="4" w:space="0" w:color="E1E1E3" w:themeColor="accent3" w:themeTint="33"/>
            </w:tcBorders>
            <w:shd w:val="clear" w:color="auto" w:fill="D5DCE4" w:themeFill="text2" w:themeFillTint="33"/>
            <w:vAlign w:val="center"/>
            <w:hideMark/>
          </w:tcPr>
          <w:p w14:paraId="0F244B43" w14:textId="77777777" w:rsidR="00957A78" w:rsidRDefault="00957A78" w:rsidP="00A72B0A">
            <w:pPr>
              <w:spacing w:before="0" w:after="0" w:line="240" w:lineRule="auto"/>
              <w:jc w:val="center"/>
              <w:rPr>
                <w:b/>
                <w:sz w:val="18"/>
                <w:szCs w:val="18"/>
              </w:rPr>
            </w:pPr>
            <w:r>
              <w:rPr>
                <w:b/>
                <w:sz w:val="18"/>
                <w:szCs w:val="18"/>
              </w:rPr>
              <w:t>2028</w:t>
            </w:r>
          </w:p>
        </w:tc>
      </w:tr>
      <w:tr w:rsidR="00957A78" w14:paraId="6DE5CBAB" w14:textId="77777777" w:rsidTr="00A72B0A">
        <w:trPr>
          <w:trHeight w:val="587"/>
        </w:trPr>
        <w:tc>
          <w:tcPr>
            <w:tcW w:w="0" w:type="auto"/>
            <w:vMerge/>
            <w:tcBorders>
              <w:top w:val="single" w:sz="4" w:space="0" w:color="E1E1E3" w:themeColor="accent3" w:themeTint="33"/>
              <w:left w:val="single" w:sz="4" w:space="0" w:color="E1E1E3" w:themeColor="accent3" w:themeTint="33"/>
              <w:bottom w:val="single" w:sz="4" w:space="0" w:color="E1E1E3" w:themeColor="accent3" w:themeTint="33"/>
              <w:right w:val="single" w:sz="4" w:space="0" w:color="E1E1E3" w:themeColor="accent3" w:themeTint="33"/>
            </w:tcBorders>
            <w:vAlign w:val="center"/>
            <w:hideMark/>
          </w:tcPr>
          <w:p w14:paraId="74C281F6" w14:textId="77777777" w:rsidR="00957A78" w:rsidRDefault="00957A78" w:rsidP="00A72B0A">
            <w:pPr>
              <w:spacing w:before="0" w:after="0"/>
              <w:rPr>
                <w:b/>
                <w:sz w:val="18"/>
                <w:szCs w:val="18"/>
                <w:lang w:val="ru-RU"/>
              </w:rPr>
            </w:pPr>
          </w:p>
        </w:tc>
        <w:tc>
          <w:tcPr>
            <w:tcW w:w="0" w:type="auto"/>
            <w:vMerge/>
            <w:tcBorders>
              <w:top w:val="single" w:sz="4" w:space="0" w:color="E1E1E3" w:themeColor="accent3" w:themeTint="33"/>
              <w:left w:val="single" w:sz="4" w:space="0" w:color="E1E1E3" w:themeColor="accent3" w:themeTint="33"/>
              <w:bottom w:val="single" w:sz="4" w:space="0" w:color="E1E1E3" w:themeColor="accent3" w:themeTint="33"/>
              <w:right w:val="single" w:sz="4" w:space="0" w:color="E1E1E3" w:themeColor="accent3" w:themeTint="33"/>
            </w:tcBorders>
            <w:vAlign w:val="center"/>
            <w:hideMark/>
          </w:tcPr>
          <w:p w14:paraId="65009D7F" w14:textId="77777777" w:rsidR="00957A78" w:rsidRDefault="00957A78" w:rsidP="00A72B0A">
            <w:pPr>
              <w:spacing w:before="0" w:after="0"/>
              <w:rPr>
                <w:b/>
                <w:sz w:val="18"/>
                <w:szCs w:val="18"/>
              </w:rPr>
            </w:pPr>
          </w:p>
        </w:tc>
        <w:tc>
          <w:tcPr>
            <w:tcW w:w="0" w:type="auto"/>
            <w:vMerge/>
            <w:tcBorders>
              <w:top w:val="single" w:sz="4" w:space="0" w:color="E1E1E3" w:themeColor="accent3" w:themeTint="33"/>
              <w:left w:val="single" w:sz="4" w:space="0" w:color="E1E1E3" w:themeColor="accent3" w:themeTint="33"/>
              <w:bottom w:val="single" w:sz="4" w:space="0" w:color="E1E1E3" w:themeColor="accent3" w:themeTint="33"/>
              <w:right w:val="single" w:sz="4" w:space="0" w:color="E1E1E3" w:themeColor="accent3" w:themeTint="33"/>
            </w:tcBorders>
            <w:vAlign w:val="center"/>
            <w:hideMark/>
          </w:tcPr>
          <w:p w14:paraId="63A6F6F6" w14:textId="77777777" w:rsidR="00957A78" w:rsidRDefault="00957A78" w:rsidP="00A72B0A">
            <w:pPr>
              <w:spacing w:before="0" w:after="0"/>
              <w:rPr>
                <w:b/>
                <w:sz w:val="18"/>
                <w:szCs w:val="18"/>
              </w:rPr>
            </w:pPr>
          </w:p>
        </w:tc>
        <w:tc>
          <w:tcPr>
            <w:tcW w:w="0" w:type="auto"/>
            <w:vMerge/>
            <w:tcBorders>
              <w:top w:val="single" w:sz="4" w:space="0" w:color="E1E1E3" w:themeColor="accent3" w:themeTint="33"/>
              <w:left w:val="single" w:sz="4" w:space="0" w:color="E1E1E3" w:themeColor="accent3" w:themeTint="33"/>
              <w:bottom w:val="single" w:sz="4" w:space="0" w:color="E1E1E3" w:themeColor="accent3" w:themeTint="33"/>
              <w:right w:val="single" w:sz="4" w:space="0" w:color="E1E1E3" w:themeColor="accent3" w:themeTint="33"/>
            </w:tcBorders>
            <w:vAlign w:val="center"/>
            <w:hideMark/>
          </w:tcPr>
          <w:p w14:paraId="175D35CE" w14:textId="77777777" w:rsidR="00957A78" w:rsidRDefault="00957A78" w:rsidP="00A72B0A">
            <w:pPr>
              <w:spacing w:before="0" w:after="0"/>
              <w:rPr>
                <w:b/>
                <w:sz w:val="18"/>
                <w:szCs w:val="18"/>
              </w:rPr>
            </w:pPr>
          </w:p>
        </w:tc>
      </w:tr>
      <w:tr w:rsidR="00957A78" w14:paraId="14EB55D7" w14:textId="77777777" w:rsidTr="00A72B0A">
        <w:trPr>
          <w:trHeight w:val="360"/>
        </w:trPr>
        <w:tc>
          <w:tcPr>
            <w:tcW w:w="9805" w:type="dxa"/>
            <w:gridSpan w:val="4"/>
            <w:tcBorders>
              <w:top w:val="single" w:sz="8" w:space="0" w:color="E1E1E3" w:themeColor="accent3" w:themeTint="33"/>
              <w:left w:val="single" w:sz="8" w:space="0" w:color="E1E1E3" w:themeColor="accent3" w:themeTint="33"/>
              <w:bottom w:val="single" w:sz="8" w:space="0" w:color="E1E1E3" w:themeColor="accent3" w:themeTint="33"/>
              <w:right w:val="single" w:sz="8" w:space="0" w:color="E1E1E3" w:themeColor="accent3" w:themeTint="33"/>
            </w:tcBorders>
            <w:vAlign w:val="center"/>
            <w:hideMark/>
          </w:tcPr>
          <w:p w14:paraId="23C342ED" w14:textId="77777777" w:rsidR="00957A78" w:rsidRDefault="00957A78" w:rsidP="00A72B0A">
            <w:pPr>
              <w:spacing w:before="0" w:after="0" w:line="240" w:lineRule="auto"/>
              <w:rPr>
                <w:sz w:val="18"/>
                <w:szCs w:val="18"/>
              </w:rPr>
            </w:pPr>
            <w:r>
              <w:rPr>
                <w:sz w:val="18"/>
                <w:szCs w:val="18"/>
              </w:rPr>
              <w:t>1. Կանխատեսվածից ավելի ցածր իրական ՀՆԱ-ի աճ</w:t>
            </w:r>
          </w:p>
        </w:tc>
      </w:tr>
      <w:tr w:rsidR="00957A78" w14:paraId="59C14CE3" w14:textId="77777777" w:rsidTr="00A72B0A">
        <w:trPr>
          <w:trHeight w:val="360"/>
        </w:trPr>
        <w:tc>
          <w:tcPr>
            <w:tcW w:w="5485" w:type="dxa"/>
            <w:tcBorders>
              <w:top w:val="single" w:sz="8" w:space="0" w:color="E1E1E3" w:themeColor="accent3" w:themeTint="33"/>
              <w:left w:val="single" w:sz="8" w:space="0" w:color="E1E1E3" w:themeColor="accent3" w:themeTint="33"/>
              <w:bottom w:val="single" w:sz="8" w:space="0" w:color="E1E1E3" w:themeColor="accent3" w:themeTint="33"/>
              <w:right w:val="single" w:sz="8" w:space="0" w:color="E1E1E3" w:themeColor="accent3" w:themeTint="33"/>
            </w:tcBorders>
            <w:vAlign w:val="center"/>
            <w:hideMark/>
          </w:tcPr>
          <w:p w14:paraId="2348E77C" w14:textId="77777777" w:rsidR="00957A78" w:rsidRDefault="00957A78" w:rsidP="00A72B0A">
            <w:pPr>
              <w:spacing w:before="0" w:after="0" w:line="240" w:lineRule="auto"/>
              <w:ind w:right="202"/>
              <w:rPr>
                <w:sz w:val="18"/>
                <w:szCs w:val="18"/>
              </w:rPr>
            </w:pPr>
            <w:r>
              <w:rPr>
                <w:sz w:val="18"/>
                <w:szCs w:val="18"/>
              </w:rPr>
              <w:t>Կանխատեսումից 1.2-1.3 տոկոսային կետով ցածր աճ</w:t>
            </w:r>
          </w:p>
        </w:tc>
        <w:tc>
          <w:tcPr>
            <w:tcW w:w="1440" w:type="dxa"/>
            <w:tcBorders>
              <w:top w:val="single" w:sz="8" w:space="0" w:color="E1E1E3" w:themeColor="accent3" w:themeTint="33"/>
              <w:left w:val="single" w:sz="8" w:space="0" w:color="E1E1E3" w:themeColor="accent3" w:themeTint="33"/>
              <w:bottom w:val="single" w:sz="8" w:space="0" w:color="E1E1E3" w:themeColor="accent3" w:themeTint="33"/>
              <w:right w:val="single" w:sz="8" w:space="0" w:color="E1E1E3" w:themeColor="accent3" w:themeTint="33"/>
            </w:tcBorders>
            <w:vAlign w:val="center"/>
            <w:hideMark/>
          </w:tcPr>
          <w:p w14:paraId="3EE53360" w14:textId="77777777" w:rsidR="00957A78" w:rsidRDefault="00957A78" w:rsidP="00A72B0A">
            <w:pPr>
              <w:spacing w:before="0" w:after="0" w:line="240" w:lineRule="auto"/>
              <w:jc w:val="center"/>
              <w:rPr>
                <w:sz w:val="16"/>
                <w:szCs w:val="16"/>
              </w:rPr>
            </w:pPr>
            <w:r w:rsidRPr="00FE6EF7">
              <w:rPr>
                <w:sz w:val="18"/>
                <w:szCs w:val="18"/>
              </w:rPr>
              <w:t>-19.6</w:t>
            </w:r>
          </w:p>
        </w:tc>
        <w:tc>
          <w:tcPr>
            <w:tcW w:w="1440" w:type="dxa"/>
            <w:tcBorders>
              <w:top w:val="single" w:sz="8" w:space="0" w:color="E1E1E3" w:themeColor="accent3" w:themeTint="33"/>
              <w:left w:val="single" w:sz="8" w:space="0" w:color="E1E1E3" w:themeColor="accent3" w:themeTint="33"/>
              <w:bottom w:val="single" w:sz="8" w:space="0" w:color="E1E1E3" w:themeColor="accent3" w:themeTint="33"/>
              <w:right w:val="single" w:sz="8" w:space="0" w:color="E1E1E3" w:themeColor="accent3" w:themeTint="33"/>
            </w:tcBorders>
            <w:vAlign w:val="center"/>
            <w:hideMark/>
          </w:tcPr>
          <w:p w14:paraId="79F0AD9B" w14:textId="77777777" w:rsidR="00957A78" w:rsidRDefault="00957A78" w:rsidP="00A72B0A">
            <w:pPr>
              <w:spacing w:before="0" w:after="0" w:line="240" w:lineRule="auto"/>
              <w:jc w:val="center"/>
              <w:rPr>
                <w:sz w:val="16"/>
                <w:szCs w:val="16"/>
              </w:rPr>
            </w:pPr>
            <w:r w:rsidRPr="00FE6EF7">
              <w:rPr>
                <w:sz w:val="18"/>
                <w:szCs w:val="18"/>
              </w:rPr>
              <w:t>-23.5</w:t>
            </w:r>
          </w:p>
        </w:tc>
        <w:tc>
          <w:tcPr>
            <w:tcW w:w="1440" w:type="dxa"/>
            <w:tcBorders>
              <w:top w:val="single" w:sz="8" w:space="0" w:color="E1E1E3" w:themeColor="accent3" w:themeTint="33"/>
              <w:left w:val="single" w:sz="8" w:space="0" w:color="E1E1E3" w:themeColor="accent3" w:themeTint="33"/>
              <w:bottom w:val="single" w:sz="8" w:space="0" w:color="E1E1E3" w:themeColor="accent3" w:themeTint="33"/>
              <w:right w:val="single" w:sz="8" w:space="0" w:color="E1E1E3" w:themeColor="accent3" w:themeTint="33"/>
            </w:tcBorders>
            <w:vAlign w:val="center"/>
            <w:hideMark/>
          </w:tcPr>
          <w:p w14:paraId="21411B4E" w14:textId="77777777" w:rsidR="00957A78" w:rsidRDefault="00957A78" w:rsidP="00A72B0A">
            <w:pPr>
              <w:spacing w:before="0" w:after="0" w:line="240" w:lineRule="auto"/>
              <w:jc w:val="center"/>
              <w:rPr>
                <w:sz w:val="16"/>
                <w:szCs w:val="16"/>
              </w:rPr>
            </w:pPr>
            <w:r w:rsidRPr="00FE6EF7">
              <w:rPr>
                <w:sz w:val="18"/>
                <w:szCs w:val="18"/>
              </w:rPr>
              <w:t>-25.7</w:t>
            </w:r>
          </w:p>
        </w:tc>
      </w:tr>
      <w:tr w:rsidR="00957A78" w14:paraId="1AEBB303" w14:textId="77777777" w:rsidTr="00A72B0A">
        <w:trPr>
          <w:trHeight w:val="360"/>
        </w:trPr>
        <w:tc>
          <w:tcPr>
            <w:tcW w:w="5485" w:type="dxa"/>
            <w:tcBorders>
              <w:top w:val="single" w:sz="8" w:space="0" w:color="E1E1E3" w:themeColor="accent3" w:themeTint="33"/>
              <w:left w:val="single" w:sz="8" w:space="0" w:color="E1E1E3" w:themeColor="accent3" w:themeTint="33"/>
              <w:bottom w:val="single" w:sz="8" w:space="0" w:color="E1E1E3" w:themeColor="accent3" w:themeTint="33"/>
              <w:right w:val="single" w:sz="8" w:space="0" w:color="E1E1E3" w:themeColor="accent3" w:themeTint="33"/>
            </w:tcBorders>
            <w:vAlign w:val="center"/>
            <w:hideMark/>
          </w:tcPr>
          <w:p w14:paraId="67AF7A3A" w14:textId="77777777" w:rsidR="00957A78" w:rsidRDefault="00957A78" w:rsidP="00A72B0A">
            <w:pPr>
              <w:spacing w:before="0" w:after="0" w:line="240" w:lineRule="auto"/>
              <w:ind w:right="202"/>
              <w:rPr>
                <w:sz w:val="18"/>
                <w:szCs w:val="18"/>
              </w:rPr>
            </w:pPr>
            <w:r>
              <w:rPr>
                <w:sz w:val="18"/>
                <w:szCs w:val="18"/>
              </w:rPr>
              <w:t>Կանխատեսումից 1.6-1.7 տոկոսային կետով ցածր աճ</w:t>
            </w:r>
          </w:p>
        </w:tc>
        <w:tc>
          <w:tcPr>
            <w:tcW w:w="1440" w:type="dxa"/>
            <w:tcBorders>
              <w:top w:val="single" w:sz="8" w:space="0" w:color="E1E1E3" w:themeColor="accent3" w:themeTint="33"/>
              <w:left w:val="single" w:sz="8" w:space="0" w:color="E1E1E3" w:themeColor="accent3" w:themeTint="33"/>
              <w:bottom w:val="single" w:sz="8" w:space="0" w:color="E1E1E3" w:themeColor="accent3" w:themeTint="33"/>
              <w:right w:val="single" w:sz="8" w:space="0" w:color="E1E1E3" w:themeColor="accent3" w:themeTint="33"/>
            </w:tcBorders>
            <w:vAlign w:val="center"/>
            <w:hideMark/>
          </w:tcPr>
          <w:p w14:paraId="51F0F423" w14:textId="77777777" w:rsidR="00957A78" w:rsidRDefault="00957A78" w:rsidP="00A72B0A">
            <w:pPr>
              <w:spacing w:before="0" w:after="0" w:line="240" w:lineRule="auto"/>
              <w:jc w:val="center"/>
              <w:rPr>
                <w:sz w:val="16"/>
                <w:szCs w:val="16"/>
              </w:rPr>
            </w:pPr>
            <w:r w:rsidRPr="00FE6EF7">
              <w:rPr>
                <w:sz w:val="18"/>
                <w:szCs w:val="18"/>
              </w:rPr>
              <w:t>-26.1</w:t>
            </w:r>
          </w:p>
        </w:tc>
        <w:tc>
          <w:tcPr>
            <w:tcW w:w="1440" w:type="dxa"/>
            <w:tcBorders>
              <w:top w:val="single" w:sz="8" w:space="0" w:color="E1E1E3" w:themeColor="accent3" w:themeTint="33"/>
              <w:left w:val="single" w:sz="8" w:space="0" w:color="E1E1E3" w:themeColor="accent3" w:themeTint="33"/>
              <w:bottom w:val="single" w:sz="8" w:space="0" w:color="E1E1E3" w:themeColor="accent3" w:themeTint="33"/>
              <w:right w:val="single" w:sz="8" w:space="0" w:color="E1E1E3" w:themeColor="accent3" w:themeTint="33"/>
            </w:tcBorders>
            <w:vAlign w:val="center"/>
            <w:hideMark/>
          </w:tcPr>
          <w:p w14:paraId="23D2C03A" w14:textId="77777777" w:rsidR="00957A78" w:rsidRDefault="00957A78" w:rsidP="00A72B0A">
            <w:pPr>
              <w:spacing w:before="0" w:after="0" w:line="240" w:lineRule="auto"/>
              <w:jc w:val="center"/>
              <w:rPr>
                <w:sz w:val="16"/>
                <w:szCs w:val="16"/>
              </w:rPr>
            </w:pPr>
            <w:r w:rsidRPr="00FE6EF7">
              <w:rPr>
                <w:sz w:val="18"/>
                <w:szCs w:val="18"/>
              </w:rPr>
              <w:t>-30.7</w:t>
            </w:r>
          </w:p>
        </w:tc>
        <w:tc>
          <w:tcPr>
            <w:tcW w:w="1440" w:type="dxa"/>
            <w:tcBorders>
              <w:top w:val="single" w:sz="8" w:space="0" w:color="E1E1E3" w:themeColor="accent3" w:themeTint="33"/>
              <w:left w:val="single" w:sz="8" w:space="0" w:color="E1E1E3" w:themeColor="accent3" w:themeTint="33"/>
              <w:bottom w:val="single" w:sz="8" w:space="0" w:color="E1E1E3" w:themeColor="accent3" w:themeTint="33"/>
              <w:right w:val="single" w:sz="8" w:space="0" w:color="E1E1E3" w:themeColor="accent3" w:themeTint="33"/>
            </w:tcBorders>
            <w:vAlign w:val="center"/>
            <w:hideMark/>
          </w:tcPr>
          <w:p w14:paraId="67253EEB" w14:textId="77777777" w:rsidR="00957A78" w:rsidRDefault="00957A78" w:rsidP="00A72B0A">
            <w:pPr>
              <w:spacing w:before="0" w:after="0" w:line="240" w:lineRule="auto"/>
              <w:jc w:val="center"/>
              <w:rPr>
                <w:sz w:val="16"/>
                <w:szCs w:val="16"/>
              </w:rPr>
            </w:pPr>
            <w:r w:rsidRPr="00FE6EF7">
              <w:rPr>
                <w:sz w:val="18"/>
                <w:szCs w:val="18"/>
              </w:rPr>
              <w:t>-33.6</w:t>
            </w:r>
          </w:p>
        </w:tc>
      </w:tr>
      <w:tr w:rsidR="00957A78" w14:paraId="3569904A" w14:textId="77777777" w:rsidTr="00A72B0A">
        <w:trPr>
          <w:trHeight w:val="360"/>
        </w:trPr>
        <w:tc>
          <w:tcPr>
            <w:tcW w:w="5485" w:type="dxa"/>
            <w:tcBorders>
              <w:top w:val="single" w:sz="8" w:space="0" w:color="E1E1E3" w:themeColor="accent3" w:themeTint="33"/>
              <w:left w:val="single" w:sz="8" w:space="0" w:color="E1E1E3" w:themeColor="accent3" w:themeTint="33"/>
              <w:bottom w:val="single" w:sz="8" w:space="0" w:color="E1E1E3" w:themeColor="accent3" w:themeTint="33"/>
              <w:right w:val="single" w:sz="8" w:space="0" w:color="E1E1E3" w:themeColor="accent3" w:themeTint="33"/>
            </w:tcBorders>
            <w:hideMark/>
          </w:tcPr>
          <w:p w14:paraId="5F3F344F" w14:textId="77777777" w:rsidR="00957A78" w:rsidRDefault="00957A78" w:rsidP="00A72B0A">
            <w:pPr>
              <w:spacing w:before="0" w:after="0" w:line="240" w:lineRule="auto"/>
              <w:ind w:right="202"/>
              <w:rPr>
                <w:sz w:val="18"/>
                <w:szCs w:val="18"/>
              </w:rPr>
            </w:pPr>
            <w:r w:rsidRPr="00FE6EF7">
              <w:rPr>
                <w:sz w:val="18"/>
                <w:szCs w:val="18"/>
              </w:rPr>
              <w:t xml:space="preserve">2. Ավելի ցածր գնաճի ռիսկ, 1.8 տոկոսային կետ </w:t>
            </w:r>
          </w:p>
        </w:tc>
        <w:tc>
          <w:tcPr>
            <w:tcW w:w="1440" w:type="dxa"/>
            <w:tcBorders>
              <w:top w:val="single" w:sz="8" w:space="0" w:color="E1E1E3" w:themeColor="accent3" w:themeTint="33"/>
              <w:left w:val="single" w:sz="8" w:space="0" w:color="E1E1E3" w:themeColor="accent3" w:themeTint="33"/>
              <w:bottom w:val="single" w:sz="8" w:space="0" w:color="E1E1E3" w:themeColor="accent3" w:themeTint="33"/>
              <w:right w:val="single" w:sz="8" w:space="0" w:color="E1E1E3" w:themeColor="accent3" w:themeTint="33"/>
            </w:tcBorders>
            <w:vAlign w:val="center"/>
            <w:hideMark/>
          </w:tcPr>
          <w:p w14:paraId="16C699B6" w14:textId="77777777" w:rsidR="00957A78" w:rsidRDefault="00957A78" w:rsidP="00A72B0A">
            <w:pPr>
              <w:spacing w:before="0" w:after="0" w:line="240" w:lineRule="auto"/>
              <w:jc w:val="center"/>
              <w:rPr>
                <w:sz w:val="16"/>
                <w:szCs w:val="16"/>
              </w:rPr>
            </w:pPr>
            <w:r w:rsidRPr="00FE6EF7">
              <w:rPr>
                <w:sz w:val="18"/>
                <w:szCs w:val="18"/>
              </w:rPr>
              <w:t>-17.1</w:t>
            </w:r>
          </w:p>
        </w:tc>
        <w:tc>
          <w:tcPr>
            <w:tcW w:w="1440" w:type="dxa"/>
            <w:tcBorders>
              <w:top w:val="single" w:sz="8" w:space="0" w:color="E1E1E3" w:themeColor="accent3" w:themeTint="33"/>
              <w:left w:val="single" w:sz="8" w:space="0" w:color="E1E1E3" w:themeColor="accent3" w:themeTint="33"/>
              <w:bottom w:val="single" w:sz="8" w:space="0" w:color="E1E1E3" w:themeColor="accent3" w:themeTint="33"/>
              <w:right w:val="single" w:sz="8" w:space="0" w:color="E1E1E3" w:themeColor="accent3" w:themeTint="33"/>
            </w:tcBorders>
            <w:vAlign w:val="center"/>
            <w:hideMark/>
          </w:tcPr>
          <w:p w14:paraId="5C039AE1" w14:textId="77777777" w:rsidR="00957A78" w:rsidRDefault="00957A78" w:rsidP="00A72B0A">
            <w:pPr>
              <w:spacing w:before="0" w:after="0" w:line="240" w:lineRule="auto"/>
              <w:jc w:val="center"/>
              <w:rPr>
                <w:sz w:val="16"/>
                <w:szCs w:val="16"/>
              </w:rPr>
            </w:pPr>
            <w:r w:rsidRPr="00FE6EF7">
              <w:rPr>
                <w:sz w:val="18"/>
                <w:szCs w:val="18"/>
              </w:rPr>
              <w:t>-19.0</w:t>
            </w:r>
          </w:p>
        </w:tc>
        <w:tc>
          <w:tcPr>
            <w:tcW w:w="1440" w:type="dxa"/>
            <w:tcBorders>
              <w:top w:val="single" w:sz="8" w:space="0" w:color="E1E1E3" w:themeColor="accent3" w:themeTint="33"/>
              <w:left w:val="single" w:sz="8" w:space="0" w:color="E1E1E3" w:themeColor="accent3" w:themeTint="33"/>
              <w:bottom w:val="single" w:sz="8" w:space="0" w:color="E1E1E3" w:themeColor="accent3" w:themeTint="33"/>
              <w:right w:val="single" w:sz="8" w:space="0" w:color="E1E1E3" w:themeColor="accent3" w:themeTint="33"/>
            </w:tcBorders>
            <w:vAlign w:val="center"/>
            <w:hideMark/>
          </w:tcPr>
          <w:p w14:paraId="115999AF" w14:textId="77777777" w:rsidR="00957A78" w:rsidRDefault="00957A78" w:rsidP="00A72B0A">
            <w:pPr>
              <w:spacing w:before="0" w:after="0" w:line="240" w:lineRule="auto"/>
              <w:jc w:val="center"/>
              <w:rPr>
                <w:sz w:val="16"/>
                <w:szCs w:val="16"/>
              </w:rPr>
            </w:pPr>
            <w:r w:rsidRPr="00FE6EF7">
              <w:rPr>
                <w:sz w:val="18"/>
                <w:szCs w:val="18"/>
              </w:rPr>
              <w:t>-20.8</w:t>
            </w:r>
          </w:p>
        </w:tc>
      </w:tr>
      <w:tr w:rsidR="00957A78" w14:paraId="39468F44" w14:textId="77777777" w:rsidTr="00A72B0A">
        <w:trPr>
          <w:trHeight w:val="360"/>
        </w:trPr>
        <w:tc>
          <w:tcPr>
            <w:tcW w:w="5485" w:type="dxa"/>
            <w:tcBorders>
              <w:top w:val="single" w:sz="8" w:space="0" w:color="E1E1E3" w:themeColor="accent3" w:themeTint="33"/>
              <w:left w:val="single" w:sz="8" w:space="0" w:color="E1E1E3" w:themeColor="accent3" w:themeTint="33"/>
              <w:bottom w:val="single" w:sz="8" w:space="0" w:color="E1E1E3" w:themeColor="accent3" w:themeTint="33"/>
              <w:right w:val="single" w:sz="8" w:space="0" w:color="E1E1E3" w:themeColor="accent3" w:themeTint="33"/>
            </w:tcBorders>
            <w:hideMark/>
          </w:tcPr>
          <w:p w14:paraId="2DD125D3" w14:textId="77777777" w:rsidR="00957A78" w:rsidRDefault="00957A78" w:rsidP="00A72B0A">
            <w:pPr>
              <w:spacing w:before="0" w:after="0" w:line="240" w:lineRule="auto"/>
              <w:ind w:right="202"/>
              <w:rPr>
                <w:sz w:val="18"/>
                <w:szCs w:val="18"/>
              </w:rPr>
            </w:pPr>
            <w:r w:rsidRPr="00FE6EF7">
              <w:rPr>
                <w:sz w:val="18"/>
                <w:szCs w:val="18"/>
              </w:rPr>
              <w:t>3. Փոխարժեքի 6.1 տոկոս արժեզրկման ռիսկ</w:t>
            </w:r>
          </w:p>
        </w:tc>
        <w:tc>
          <w:tcPr>
            <w:tcW w:w="1440" w:type="dxa"/>
            <w:tcBorders>
              <w:top w:val="single" w:sz="8" w:space="0" w:color="E1E1E3" w:themeColor="accent3" w:themeTint="33"/>
              <w:left w:val="single" w:sz="8" w:space="0" w:color="E1E1E3" w:themeColor="accent3" w:themeTint="33"/>
              <w:bottom w:val="single" w:sz="8" w:space="0" w:color="E1E1E3" w:themeColor="accent3" w:themeTint="33"/>
              <w:right w:val="single" w:sz="8" w:space="0" w:color="E1E1E3" w:themeColor="accent3" w:themeTint="33"/>
            </w:tcBorders>
            <w:vAlign w:val="center"/>
            <w:hideMark/>
          </w:tcPr>
          <w:p w14:paraId="4BA4D94E" w14:textId="77777777" w:rsidR="00957A78" w:rsidRDefault="00957A78" w:rsidP="00A72B0A">
            <w:pPr>
              <w:spacing w:before="0" w:after="0" w:line="240" w:lineRule="auto"/>
              <w:jc w:val="center"/>
              <w:rPr>
                <w:sz w:val="16"/>
                <w:szCs w:val="16"/>
              </w:rPr>
            </w:pPr>
            <w:r w:rsidRPr="00FE6EF7">
              <w:rPr>
                <w:sz w:val="18"/>
                <w:szCs w:val="18"/>
              </w:rPr>
              <w:t>17.6</w:t>
            </w:r>
          </w:p>
        </w:tc>
        <w:tc>
          <w:tcPr>
            <w:tcW w:w="1440" w:type="dxa"/>
            <w:tcBorders>
              <w:top w:val="single" w:sz="8" w:space="0" w:color="E1E1E3" w:themeColor="accent3" w:themeTint="33"/>
              <w:left w:val="single" w:sz="8" w:space="0" w:color="E1E1E3" w:themeColor="accent3" w:themeTint="33"/>
              <w:bottom w:val="single" w:sz="8" w:space="0" w:color="E1E1E3" w:themeColor="accent3" w:themeTint="33"/>
              <w:right w:val="single" w:sz="8" w:space="0" w:color="E1E1E3" w:themeColor="accent3" w:themeTint="33"/>
            </w:tcBorders>
            <w:vAlign w:val="center"/>
            <w:hideMark/>
          </w:tcPr>
          <w:p w14:paraId="0E317462" w14:textId="77777777" w:rsidR="00957A78" w:rsidRDefault="00957A78" w:rsidP="00A72B0A">
            <w:pPr>
              <w:spacing w:before="0" w:after="0" w:line="240" w:lineRule="auto"/>
              <w:jc w:val="center"/>
              <w:rPr>
                <w:sz w:val="16"/>
                <w:szCs w:val="16"/>
              </w:rPr>
            </w:pPr>
            <w:r w:rsidRPr="00FE6EF7">
              <w:rPr>
                <w:sz w:val="18"/>
                <w:szCs w:val="18"/>
              </w:rPr>
              <w:t>19.6</w:t>
            </w:r>
          </w:p>
        </w:tc>
        <w:tc>
          <w:tcPr>
            <w:tcW w:w="1440" w:type="dxa"/>
            <w:tcBorders>
              <w:top w:val="single" w:sz="8" w:space="0" w:color="E1E1E3" w:themeColor="accent3" w:themeTint="33"/>
              <w:left w:val="single" w:sz="8" w:space="0" w:color="E1E1E3" w:themeColor="accent3" w:themeTint="33"/>
              <w:bottom w:val="single" w:sz="8" w:space="0" w:color="E1E1E3" w:themeColor="accent3" w:themeTint="33"/>
              <w:right w:val="single" w:sz="8" w:space="0" w:color="E1E1E3" w:themeColor="accent3" w:themeTint="33"/>
            </w:tcBorders>
            <w:vAlign w:val="center"/>
            <w:hideMark/>
          </w:tcPr>
          <w:p w14:paraId="1A4A8E6C" w14:textId="77777777" w:rsidR="00957A78" w:rsidRDefault="00957A78" w:rsidP="00A72B0A">
            <w:pPr>
              <w:spacing w:before="0" w:after="0" w:line="240" w:lineRule="auto"/>
              <w:jc w:val="center"/>
              <w:rPr>
                <w:sz w:val="16"/>
                <w:szCs w:val="16"/>
              </w:rPr>
            </w:pPr>
            <w:r w:rsidRPr="00FE6EF7">
              <w:rPr>
                <w:sz w:val="18"/>
                <w:szCs w:val="18"/>
              </w:rPr>
              <w:t>21.4</w:t>
            </w:r>
          </w:p>
        </w:tc>
      </w:tr>
      <w:tr w:rsidR="00957A78" w14:paraId="06300857" w14:textId="77777777" w:rsidTr="00A72B0A">
        <w:trPr>
          <w:trHeight w:val="360"/>
        </w:trPr>
        <w:tc>
          <w:tcPr>
            <w:tcW w:w="5485" w:type="dxa"/>
            <w:tcBorders>
              <w:top w:val="single" w:sz="8" w:space="0" w:color="E1E1E3" w:themeColor="accent3" w:themeTint="33"/>
              <w:left w:val="single" w:sz="8" w:space="0" w:color="E1E1E3" w:themeColor="accent3" w:themeTint="33"/>
              <w:bottom w:val="single" w:sz="8" w:space="0" w:color="E1E1E3" w:themeColor="accent3" w:themeTint="33"/>
              <w:right w:val="single" w:sz="8" w:space="0" w:color="E1E1E3" w:themeColor="accent3" w:themeTint="33"/>
            </w:tcBorders>
            <w:hideMark/>
          </w:tcPr>
          <w:p w14:paraId="62F2E8DC" w14:textId="77777777" w:rsidR="00957A78" w:rsidRDefault="00957A78" w:rsidP="00A72B0A">
            <w:pPr>
              <w:spacing w:before="0" w:after="0" w:line="240" w:lineRule="auto"/>
              <w:ind w:right="202"/>
              <w:rPr>
                <w:sz w:val="18"/>
                <w:szCs w:val="18"/>
              </w:rPr>
            </w:pPr>
            <w:r w:rsidRPr="00FE6EF7">
              <w:rPr>
                <w:sz w:val="18"/>
                <w:szCs w:val="18"/>
              </w:rPr>
              <w:t>4. Ներմուծման</w:t>
            </w:r>
            <w:r>
              <w:rPr>
                <w:sz w:val="18"/>
                <w:szCs w:val="18"/>
              </w:rPr>
              <w:t xml:space="preserve"> </w:t>
            </w:r>
            <w:r w:rsidRPr="00FE6EF7">
              <w:rPr>
                <w:sz w:val="18"/>
                <w:szCs w:val="18"/>
              </w:rPr>
              <w:t>նվազման ռիսկ, 7.3-14.3 տոկոսային կետ</w:t>
            </w:r>
          </w:p>
        </w:tc>
        <w:tc>
          <w:tcPr>
            <w:tcW w:w="1440" w:type="dxa"/>
            <w:tcBorders>
              <w:top w:val="single" w:sz="8" w:space="0" w:color="E1E1E3" w:themeColor="accent3" w:themeTint="33"/>
              <w:left w:val="single" w:sz="8" w:space="0" w:color="E1E1E3" w:themeColor="accent3" w:themeTint="33"/>
              <w:bottom w:val="single" w:sz="8" w:space="0" w:color="E1E1E3" w:themeColor="accent3" w:themeTint="33"/>
              <w:right w:val="single" w:sz="8" w:space="0" w:color="E1E1E3" w:themeColor="accent3" w:themeTint="33"/>
            </w:tcBorders>
            <w:vAlign w:val="center"/>
            <w:hideMark/>
          </w:tcPr>
          <w:p w14:paraId="1BDC32DD" w14:textId="77777777" w:rsidR="00957A78" w:rsidRDefault="00957A78" w:rsidP="00A72B0A">
            <w:pPr>
              <w:spacing w:before="0" w:after="0" w:line="240" w:lineRule="auto"/>
              <w:jc w:val="center"/>
              <w:rPr>
                <w:sz w:val="16"/>
                <w:szCs w:val="16"/>
              </w:rPr>
            </w:pPr>
            <w:r w:rsidRPr="00FE6EF7">
              <w:rPr>
                <w:sz w:val="18"/>
                <w:szCs w:val="18"/>
              </w:rPr>
              <w:t>-26.2</w:t>
            </w:r>
          </w:p>
        </w:tc>
        <w:tc>
          <w:tcPr>
            <w:tcW w:w="1440" w:type="dxa"/>
            <w:tcBorders>
              <w:top w:val="single" w:sz="8" w:space="0" w:color="E1E1E3" w:themeColor="accent3" w:themeTint="33"/>
              <w:left w:val="single" w:sz="8" w:space="0" w:color="E1E1E3" w:themeColor="accent3" w:themeTint="33"/>
              <w:bottom w:val="single" w:sz="8" w:space="0" w:color="E1E1E3" w:themeColor="accent3" w:themeTint="33"/>
              <w:right w:val="single" w:sz="8" w:space="0" w:color="E1E1E3" w:themeColor="accent3" w:themeTint="33"/>
            </w:tcBorders>
            <w:vAlign w:val="center"/>
            <w:hideMark/>
          </w:tcPr>
          <w:p w14:paraId="6998142F" w14:textId="77777777" w:rsidR="00957A78" w:rsidRDefault="00957A78" w:rsidP="00A72B0A">
            <w:pPr>
              <w:spacing w:before="0" w:after="0" w:line="240" w:lineRule="auto"/>
              <w:jc w:val="center"/>
              <w:rPr>
                <w:sz w:val="16"/>
                <w:szCs w:val="16"/>
              </w:rPr>
            </w:pPr>
            <w:r w:rsidRPr="00FE6EF7">
              <w:rPr>
                <w:sz w:val="18"/>
                <w:szCs w:val="18"/>
              </w:rPr>
              <w:t>-49.4</w:t>
            </w:r>
          </w:p>
        </w:tc>
        <w:tc>
          <w:tcPr>
            <w:tcW w:w="1440" w:type="dxa"/>
            <w:tcBorders>
              <w:top w:val="single" w:sz="8" w:space="0" w:color="E1E1E3" w:themeColor="accent3" w:themeTint="33"/>
              <w:left w:val="single" w:sz="8" w:space="0" w:color="E1E1E3" w:themeColor="accent3" w:themeTint="33"/>
              <w:bottom w:val="single" w:sz="8" w:space="0" w:color="E1E1E3" w:themeColor="accent3" w:themeTint="33"/>
              <w:right w:val="single" w:sz="8" w:space="0" w:color="E1E1E3" w:themeColor="accent3" w:themeTint="33"/>
            </w:tcBorders>
            <w:vAlign w:val="center"/>
            <w:hideMark/>
          </w:tcPr>
          <w:p w14:paraId="0A4B4F5B" w14:textId="77777777" w:rsidR="00957A78" w:rsidRDefault="00957A78" w:rsidP="00A72B0A">
            <w:pPr>
              <w:spacing w:before="0" w:after="0" w:line="240" w:lineRule="auto"/>
              <w:jc w:val="center"/>
              <w:rPr>
                <w:sz w:val="16"/>
                <w:szCs w:val="16"/>
              </w:rPr>
            </w:pPr>
            <w:r w:rsidRPr="00FE6EF7">
              <w:rPr>
                <w:sz w:val="18"/>
                <w:szCs w:val="18"/>
              </w:rPr>
              <w:t>-62.5</w:t>
            </w:r>
          </w:p>
        </w:tc>
      </w:tr>
      <w:tr w:rsidR="00957A78" w14:paraId="0E669031" w14:textId="77777777" w:rsidTr="00A72B0A">
        <w:trPr>
          <w:trHeight w:val="360"/>
        </w:trPr>
        <w:tc>
          <w:tcPr>
            <w:tcW w:w="9805" w:type="dxa"/>
            <w:gridSpan w:val="4"/>
            <w:tcBorders>
              <w:top w:val="single" w:sz="4" w:space="0" w:color="E1E1E3" w:themeColor="accent3" w:themeTint="33"/>
              <w:left w:val="single" w:sz="4" w:space="0" w:color="E1E1E3" w:themeColor="accent3" w:themeTint="33"/>
              <w:bottom w:val="single" w:sz="4" w:space="0" w:color="E1E1E3" w:themeColor="accent3" w:themeTint="33"/>
              <w:right w:val="single" w:sz="4" w:space="0" w:color="E1E1E3" w:themeColor="accent3" w:themeTint="33"/>
            </w:tcBorders>
            <w:vAlign w:val="center"/>
            <w:hideMark/>
          </w:tcPr>
          <w:p w14:paraId="7BBCA082" w14:textId="77777777" w:rsidR="00957A78" w:rsidRDefault="00957A78" w:rsidP="00A72B0A">
            <w:pPr>
              <w:spacing w:before="0" w:after="0" w:line="240" w:lineRule="auto"/>
              <w:rPr>
                <w:b/>
                <w:sz w:val="18"/>
                <w:szCs w:val="18"/>
              </w:rPr>
            </w:pPr>
            <w:r>
              <w:rPr>
                <w:b/>
                <w:sz w:val="18"/>
                <w:szCs w:val="18"/>
              </w:rPr>
              <w:t>Ընդամենը</w:t>
            </w:r>
          </w:p>
        </w:tc>
      </w:tr>
      <w:tr w:rsidR="00957A78" w14:paraId="39F8453F" w14:textId="77777777" w:rsidTr="00A72B0A">
        <w:trPr>
          <w:trHeight w:val="360"/>
        </w:trPr>
        <w:tc>
          <w:tcPr>
            <w:tcW w:w="5485" w:type="dxa"/>
            <w:tcBorders>
              <w:top w:val="single" w:sz="8" w:space="0" w:color="E1E1E3" w:themeColor="accent3" w:themeTint="33"/>
              <w:left w:val="single" w:sz="8" w:space="0" w:color="E1E1E3" w:themeColor="accent3" w:themeTint="33"/>
              <w:bottom w:val="single" w:sz="8" w:space="0" w:color="E1E1E3" w:themeColor="accent3" w:themeTint="33"/>
              <w:right w:val="single" w:sz="8" w:space="0" w:color="E1E1E3" w:themeColor="accent3" w:themeTint="33"/>
            </w:tcBorders>
            <w:hideMark/>
          </w:tcPr>
          <w:p w14:paraId="0FB6701C" w14:textId="77777777" w:rsidR="00957A78" w:rsidRDefault="00957A78" w:rsidP="00A72B0A">
            <w:pPr>
              <w:spacing w:before="0" w:after="0" w:line="240" w:lineRule="auto"/>
              <w:ind w:right="202"/>
              <w:rPr>
                <w:sz w:val="18"/>
                <w:szCs w:val="18"/>
              </w:rPr>
            </w:pPr>
            <w:r w:rsidRPr="00FE6EF7">
              <w:rPr>
                <w:sz w:val="18"/>
                <w:szCs w:val="18"/>
              </w:rPr>
              <w:t>1.2-1.3 տոկոսային կետով ավելի ցածր ՀՆԱ աճ</w:t>
            </w:r>
          </w:p>
        </w:tc>
        <w:tc>
          <w:tcPr>
            <w:tcW w:w="1440" w:type="dxa"/>
            <w:tcBorders>
              <w:top w:val="single" w:sz="4" w:space="0" w:color="E1E1E3" w:themeColor="accent3" w:themeTint="33"/>
              <w:left w:val="single" w:sz="4" w:space="0" w:color="E1E1E3" w:themeColor="accent3" w:themeTint="33"/>
              <w:bottom w:val="single" w:sz="4" w:space="0" w:color="E1E1E3" w:themeColor="accent3" w:themeTint="33"/>
              <w:right w:val="single" w:sz="4" w:space="0" w:color="E1E1E3" w:themeColor="accent3" w:themeTint="33"/>
            </w:tcBorders>
            <w:hideMark/>
          </w:tcPr>
          <w:p w14:paraId="64F7A083" w14:textId="77777777" w:rsidR="00957A78" w:rsidRDefault="00957A78" w:rsidP="00A72B0A">
            <w:pPr>
              <w:spacing w:before="0" w:after="0" w:line="240" w:lineRule="auto"/>
              <w:jc w:val="center"/>
              <w:rPr>
                <w:sz w:val="18"/>
                <w:szCs w:val="18"/>
              </w:rPr>
            </w:pPr>
            <w:r w:rsidRPr="002E3CEF">
              <w:rPr>
                <w:sz w:val="18"/>
                <w:szCs w:val="18"/>
              </w:rPr>
              <w:t>-45.3</w:t>
            </w:r>
          </w:p>
        </w:tc>
        <w:tc>
          <w:tcPr>
            <w:tcW w:w="1440" w:type="dxa"/>
            <w:tcBorders>
              <w:top w:val="single" w:sz="4" w:space="0" w:color="E1E1E3" w:themeColor="accent3" w:themeTint="33"/>
              <w:left w:val="single" w:sz="4" w:space="0" w:color="E1E1E3" w:themeColor="accent3" w:themeTint="33"/>
              <w:bottom w:val="single" w:sz="4" w:space="0" w:color="E1E1E3" w:themeColor="accent3" w:themeTint="33"/>
              <w:right w:val="single" w:sz="4" w:space="0" w:color="E1E1E3" w:themeColor="accent3" w:themeTint="33"/>
            </w:tcBorders>
            <w:hideMark/>
          </w:tcPr>
          <w:p w14:paraId="0AD5A03A" w14:textId="77777777" w:rsidR="00957A78" w:rsidRDefault="00957A78" w:rsidP="00A72B0A">
            <w:pPr>
              <w:spacing w:before="0" w:after="0" w:line="240" w:lineRule="auto"/>
              <w:jc w:val="center"/>
              <w:rPr>
                <w:sz w:val="18"/>
                <w:szCs w:val="18"/>
              </w:rPr>
            </w:pPr>
            <w:r w:rsidRPr="002E3CEF">
              <w:rPr>
                <w:sz w:val="18"/>
                <w:szCs w:val="18"/>
              </w:rPr>
              <w:t>-72.3</w:t>
            </w:r>
          </w:p>
        </w:tc>
        <w:tc>
          <w:tcPr>
            <w:tcW w:w="1440" w:type="dxa"/>
            <w:tcBorders>
              <w:top w:val="single" w:sz="4" w:space="0" w:color="E1E1E3" w:themeColor="accent3" w:themeTint="33"/>
              <w:left w:val="single" w:sz="4" w:space="0" w:color="E1E1E3" w:themeColor="accent3" w:themeTint="33"/>
              <w:bottom w:val="single" w:sz="4" w:space="0" w:color="E1E1E3" w:themeColor="accent3" w:themeTint="33"/>
              <w:right w:val="single" w:sz="4" w:space="0" w:color="E1E1E3" w:themeColor="accent3" w:themeTint="33"/>
            </w:tcBorders>
            <w:hideMark/>
          </w:tcPr>
          <w:p w14:paraId="4070945B" w14:textId="77777777" w:rsidR="00957A78" w:rsidRDefault="00957A78" w:rsidP="00A72B0A">
            <w:pPr>
              <w:spacing w:before="0" w:after="0" w:line="240" w:lineRule="auto"/>
              <w:jc w:val="center"/>
              <w:rPr>
                <w:sz w:val="18"/>
                <w:szCs w:val="18"/>
              </w:rPr>
            </w:pPr>
            <w:r w:rsidRPr="002E3CEF">
              <w:rPr>
                <w:sz w:val="18"/>
                <w:szCs w:val="18"/>
              </w:rPr>
              <w:t>-87.5</w:t>
            </w:r>
          </w:p>
        </w:tc>
      </w:tr>
      <w:tr w:rsidR="00957A78" w14:paraId="41581A95" w14:textId="77777777" w:rsidTr="00A72B0A">
        <w:trPr>
          <w:trHeight w:val="360"/>
        </w:trPr>
        <w:tc>
          <w:tcPr>
            <w:tcW w:w="5485" w:type="dxa"/>
            <w:tcBorders>
              <w:top w:val="single" w:sz="8" w:space="0" w:color="E1E1E3" w:themeColor="accent3" w:themeTint="33"/>
              <w:left w:val="single" w:sz="8" w:space="0" w:color="E1E1E3" w:themeColor="accent3" w:themeTint="33"/>
              <w:bottom w:val="single" w:sz="8" w:space="0" w:color="E1E1E3" w:themeColor="accent3" w:themeTint="33"/>
              <w:right w:val="single" w:sz="8" w:space="0" w:color="E1E1E3" w:themeColor="accent3" w:themeTint="33"/>
            </w:tcBorders>
            <w:hideMark/>
          </w:tcPr>
          <w:p w14:paraId="048541BB" w14:textId="77777777" w:rsidR="00957A78" w:rsidRDefault="00957A78" w:rsidP="00A72B0A">
            <w:pPr>
              <w:spacing w:before="0" w:after="0" w:line="240" w:lineRule="auto"/>
              <w:ind w:right="202"/>
              <w:rPr>
                <w:sz w:val="18"/>
                <w:szCs w:val="18"/>
              </w:rPr>
            </w:pPr>
            <w:r w:rsidRPr="00FE6EF7">
              <w:rPr>
                <w:sz w:val="18"/>
                <w:szCs w:val="18"/>
              </w:rPr>
              <w:t>1.6-1.7 տոկոսային կետով ավելի ցածր ՀՆԱ աճ</w:t>
            </w:r>
          </w:p>
        </w:tc>
        <w:tc>
          <w:tcPr>
            <w:tcW w:w="1440" w:type="dxa"/>
            <w:tcBorders>
              <w:top w:val="single" w:sz="4" w:space="0" w:color="E1E1E3" w:themeColor="accent3" w:themeTint="33"/>
              <w:left w:val="single" w:sz="4" w:space="0" w:color="E1E1E3" w:themeColor="accent3" w:themeTint="33"/>
              <w:bottom w:val="single" w:sz="4" w:space="0" w:color="E1E1E3" w:themeColor="accent3" w:themeTint="33"/>
              <w:right w:val="single" w:sz="4" w:space="0" w:color="E1E1E3" w:themeColor="accent3" w:themeTint="33"/>
            </w:tcBorders>
            <w:hideMark/>
          </w:tcPr>
          <w:p w14:paraId="07374D1F" w14:textId="77777777" w:rsidR="00957A78" w:rsidRDefault="00957A78" w:rsidP="00A72B0A">
            <w:pPr>
              <w:spacing w:before="0" w:after="0" w:line="240" w:lineRule="auto"/>
              <w:jc w:val="center"/>
              <w:rPr>
                <w:sz w:val="18"/>
                <w:szCs w:val="18"/>
              </w:rPr>
            </w:pPr>
            <w:r w:rsidRPr="002E3CEF">
              <w:rPr>
                <w:sz w:val="18"/>
                <w:szCs w:val="18"/>
              </w:rPr>
              <w:t>-51.8</w:t>
            </w:r>
          </w:p>
        </w:tc>
        <w:tc>
          <w:tcPr>
            <w:tcW w:w="1440" w:type="dxa"/>
            <w:tcBorders>
              <w:top w:val="single" w:sz="4" w:space="0" w:color="E1E1E3" w:themeColor="accent3" w:themeTint="33"/>
              <w:left w:val="single" w:sz="4" w:space="0" w:color="E1E1E3" w:themeColor="accent3" w:themeTint="33"/>
              <w:bottom w:val="single" w:sz="4" w:space="0" w:color="E1E1E3" w:themeColor="accent3" w:themeTint="33"/>
              <w:right w:val="single" w:sz="4" w:space="0" w:color="E1E1E3" w:themeColor="accent3" w:themeTint="33"/>
            </w:tcBorders>
            <w:hideMark/>
          </w:tcPr>
          <w:p w14:paraId="6F965BDA" w14:textId="77777777" w:rsidR="00957A78" w:rsidRDefault="00957A78" w:rsidP="00A72B0A">
            <w:pPr>
              <w:spacing w:before="0" w:after="0" w:line="240" w:lineRule="auto"/>
              <w:jc w:val="center"/>
              <w:rPr>
                <w:sz w:val="18"/>
                <w:szCs w:val="18"/>
              </w:rPr>
            </w:pPr>
            <w:r w:rsidRPr="002E3CEF">
              <w:rPr>
                <w:sz w:val="18"/>
                <w:szCs w:val="18"/>
              </w:rPr>
              <w:t>-79.5</w:t>
            </w:r>
          </w:p>
        </w:tc>
        <w:tc>
          <w:tcPr>
            <w:tcW w:w="1440" w:type="dxa"/>
            <w:tcBorders>
              <w:top w:val="single" w:sz="4" w:space="0" w:color="E1E1E3" w:themeColor="accent3" w:themeTint="33"/>
              <w:left w:val="single" w:sz="4" w:space="0" w:color="E1E1E3" w:themeColor="accent3" w:themeTint="33"/>
              <w:bottom w:val="single" w:sz="4" w:space="0" w:color="E1E1E3" w:themeColor="accent3" w:themeTint="33"/>
              <w:right w:val="single" w:sz="4" w:space="0" w:color="E1E1E3" w:themeColor="accent3" w:themeTint="33"/>
            </w:tcBorders>
            <w:hideMark/>
          </w:tcPr>
          <w:p w14:paraId="764E9FDF" w14:textId="77777777" w:rsidR="00957A78" w:rsidRDefault="00957A78" w:rsidP="00A72B0A">
            <w:pPr>
              <w:spacing w:before="0" w:after="0" w:line="240" w:lineRule="auto"/>
              <w:jc w:val="center"/>
              <w:rPr>
                <w:sz w:val="18"/>
                <w:szCs w:val="18"/>
              </w:rPr>
            </w:pPr>
            <w:r w:rsidRPr="002E3CEF">
              <w:rPr>
                <w:sz w:val="18"/>
                <w:szCs w:val="18"/>
              </w:rPr>
              <w:t>-95.4</w:t>
            </w:r>
          </w:p>
        </w:tc>
      </w:tr>
    </w:tbl>
    <w:p w14:paraId="6C00A79C" w14:textId="77777777" w:rsidR="00957A78" w:rsidRDefault="00957A78" w:rsidP="00957A78">
      <w:pPr>
        <w:jc w:val="both"/>
        <w:rPr>
          <w:lang w:val="hy-AM" w:eastAsia="ru-RU"/>
        </w:rPr>
      </w:pPr>
    </w:p>
    <w:p w14:paraId="702AF192" w14:textId="77777777" w:rsidR="00957A78" w:rsidRDefault="00957A78" w:rsidP="00957A78">
      <w:pPr>
        <w:pStyle w:val="BodyText1"/>
        <w:ind w:left="0"/>
        <w:rPr>
          <w:lang w:val="hy-AM"/>
        </w:rPr>
      </w:pPr>
      <w:r>
        <w:rPr>
          <w:lang w:val="hy-AM"/>
        </w:rPr>
        <w:t xml:space="preserve">Աղյուսակ 3.2.1-ում ցույց են տրված գնահատված լրացուցիչ ռիսկերը, որոնք կհանգեցնեն լրացուցիչ ֆինանսավորման պահանջի առաջացման: Ակնհայտորեն երևում է, որ գնաճի տատանումների հետևանքով կնվազի նախատեսված ֆինանսավորման պահանջը և համապատասխանաբար կփոփոխվեն նաև պետական բյուջեի ծախսերը` նվազման ուղղությամբ: </w:t>
      </w:r>
    </w:p>
    <w:p w14:paraId="3A826F71" w14:textId="77777777" w:rsidR="00957A78" w:rsidRDefault="00957A78" w:rsidP="00957A78">
      <w:pPr>
        <w:jc w:val="both"/>
        <w:rPr>
          <w:lang w:val="hy-AM"/>
        </w:rPr>
      </w:pPr>
      <w:r w:rsidRPr="00EA3CCC">
        <w:rPr>
          <w:lang w:val="hy-AM"/>
        </w:rPr>
        <w:t xml:space="preserve">Հաշվի առնելով մակրոտնտեսական ցուցանիշների կանխատեսվող մակարդակից վերոնշյալ հնարավոր շեղումների ռիսկերի գնահատականները` ՀՀ պետական բյուջեի եկամուտների հավաքագրման և ծախսերի կատարման տեսանկյունից 2026 թվականին ՀՀ պետական բյուջեի պակասուրդի լրացուցիչ ֆինանսավորման պահանջը առավելագույնը կկազմի շուրջ </w:t>
      </w:r>
      <w:r w:rsidRPr="002E3CEF">
        <w:rPr>
          <w:rFonts w:ascii="GHEA Grapalat" w:hAnsi="GHEA Grapalat"/>
          <w:szCs w:val="20"/>
          <w:lang w:val="hy-AM"/>
        </w:rPr>
        <w:t>51.8</w:t>
      </w:r>
      <w:r w:rsidRPr="00EA3CCC">
        <w:rPr>
          <w:lang w:val="hy-AM"/>
        </w:rPr>
        <w:t xml:space="preserve"> մլրդ ՀՀ դրամ կամ ՀՆԱ-ի 0.</w:t>
      </w:r>
      <w:r w:rsidRPr="002E3CEF">
        <w:rPr>
          <w:rFonts w:ascii="GHEA Grapalat" w:hAnsi="GHEA Grapalat"/>
          <w:szCs w:val="20"/>
          <w:lang w:val="hy-AM"/>
        </w:rPr>
        <w:t>4</w:t>
      </w:r>
      <w:r w:rsidRPr="00EA3CCC">
        <w:rPr>
          <w:lang w:val="hy-AM"/>
        </w:rPr>
        <w:t>%-ը, իսկ 2027 և 2028 թթ</w:t>
      </w:r>
      <w:r>
        <w:rPr>
          <w:lang w:val="hy-AM"/>
        </w:rPr>
        <w:t>.</w:t>
      </w:r>
      <w:r w:rsidRPr="00EA3CCC">
        <w:rPr>
          <w:lang w:val="hy-AM"/>
        </w:rPr>
        <w:t xml:space="preserve">-ին կկազմի համապատասխանաբար </w:t>
      </w:r>
      <w:r w:rsidRPr="002E3CEF">
        <w:rPr>
          <w:rFonts w:ascii="GHEA Grapalat" w:hAnsi="GHEA Grapalat"/>
          <w:szCs w:val="20"/>
          <w:lang w:val="hy-AM"/>
        </w:rPr>
        <w:t>79.5</w:t>
      </w:r>
      <w:r w:rsidRPr="00EA3CCC">
        <w:rPr>
          <w:lang w:val="hy-AM"/>
        </w:rPr>
        <w:t xml:space="preserve"> և </w:t>
      </w:r>
      <w:r w:rsidRPr="002E3CEF">
        <w:rPr>
          <w:rFonts w:ascii="GHEA Grapalat" w:hAnsi="GHEA Grapalat"/>
          <w:szCs w:val="20"/>
          <w:lang w:val="hy-AM"/>
        </w:rPr>
        <w:t>95.4</w:t>
      </w:r>
      <w:r w:rsidRPr="00EA3CCC">
        <w:rPr>
          <w:lang w:val="hy-AM"/>
        </w:rPr>
        <w:t xml:space="preserve"> մլրդ ՀՀ դրամ կամ ՀՆԱ-ի 0.</w:t>
      </w:r>
      <w:r w:rsidRPr="002E3CEF">
        <w:rPr>
          <w:rFonts w:ascii="GHEA Grapalat" w:hAnsi="GHEA Grapalat"/>
          <w:szCs w:val="20"/>
          <w:lang w:val="hy-AM"/>
        </w:rPr>
        <w:t>6</w:t>
      </w:r>
      <w:r w:rsidRPr="00EA3CCC">
        <w:rPr>
          <w:lang w:val="hy-AM"/>
        </w:rPr>
        <w:t>-0.</w:t>
      </w:r>
      <w:r w:rsidRPr="002E3CEF">
        <w:rPr>
          <w:rFonts w:ascii="GHEA Grapalat" w:hAnsi="GHEA Grapalat"/>
          <w:szCs w:val="20"/>
          <w:lang w:val="hy-AM"/>
        </w:rPr>
        <w:t>7</w:t>
      </w:r>
      <w:r w:rsidRPr="00EA3CCC">
        <w:rPr>
          <w:lang w:val="hy-AM"/>
        </w:rPr>
        <w:t>%-ը:</w:t>
      </w:r>
    </w:p>
    <w:p w14:paraId="38FA1034" w14:textId="77777777" w:rsidR="00957A78" w:rsidRPr="00971398" w:rsidRDefault="00957A78" w:rsidP="00957A78">
      <w:pPr>
        <w:pStyle w:val="BodyText1"/>
        <w:ind w:left="0"/>
        <w:rPr>
          <w:lang w:val="hy-AM"/>
        </w:rPr>
      </w:pPr>
      <w:r>
        <w:rPr>
          <w:lang w:val="hy-AM"/>
        </w:rPr>
        <w:t>Պետք է նշել, որ գնահատված ռիսկի չափը, առարկայացման դեպքում մասնակիորեն կկլանվի կառավարության պահուստային ֆոնդով, որը նույն ժամանակահատվածի համար նախատեսված է 0</w:t>
      </w:r>
      <w:r>
        <w:rPr>
          <w:rFonts w:ascii="Cambria Math" w:hAnsi="Cambria Math" w:cs="Cambria Math"/>
          <w:lang w:val="hy-AM"/>
        </w:rPr>
        <w:t>․</w:t>
      </w:r>
      <w:r w:rsidRPr="002E3CEF">
        <w:rPr>
          <w:lang w:val="hy-AM"/>
        </w:rPr>
        <w:t>3</w:t>
      </w:r>
      <w:r>
        <w:rPr>
          <w:lang w:val="hy-AM"/>
        </w:rPr>
        <w:t>-0.</w:t>
      </w:r>
      <w:r w:rsidRPr="002E3CEF">
        <w:rPr>
          <w:lang w:val="hy-AM"/>
        </w:rPr>
        <w:t>5</w:t>
      </w:r>
      <w:r>
        <w:rPr>
          <w:lang w:val="hy-AM"/>
        </w:rPr>
        <w:t xml:space="preserve">%, </w:t>
      </w:r>
      <w:r w:rsidRPr="00997538">
        <w:rPr>
          <w:lang w:val="hy-AM"/>
        </w:rPr>
        <w:t>իսկ լրացուցիչ մասը՝ կկլանվի ՀՀ կառավարության կողմից ապահովվող՝ նվազագույնը ՀՆԱ 1%-ի չափով իրացվելիության «բարձիկի» միջոցով։</w:t>
      </w:r>
      <w:r>
        <w:rPr>
          <w:lang w:val="hy-AM"/>
        </w:rPr>
        <w:t xml:space="preserve"> </w:t>
      </w:r>
    </w:p>
    <w:p w14:paraId="48FF3FF2" w14:textId="103A90EE" w:rsidR="00957A78" w:rsidRDefault="00957A78" w:rsidP="00957A78">
      <w:pPr>
        <w:jc w:val="both"/>
        <w:rPr>
          <w:lang w:val="hy-AM"/>
        </w:rPr>
      </w:pPr>
      <w:r w:rsidRPr="00EA3CCC">
        <w:rPr>
          <w:lang w:val="hy-AM"/>
        </w:rPr>
        <w:t xml:space="preserve">  </w:t>
      </w:r>
    </w:p>
    <w:p w14:paraId="03450780" w14:textId="182D0C89" w:rsidR="00957A78" w:rsidRPr="00E77731" w:rsidRDefault="00957A78" w:rsidP="001739BB">
      <w:pPr>
        <w:pStyle w:val="TOC2"/>
        <w:outlineLvl w:val="1"/>
        <w:rPr>
          <w:lang w:val="hy-AM"/>
        </w:rPr>
      </w:pPr>
      <w:bookmarkStart w:id="506" w:name="_Toc209625776"/>
      <w:bookmarkStart w:id="507" w:name="_Toc215157700"/>
      <w:r w:rsidRPr="00E77731">
        <w:rPr>
          <w:lang w:val="hy-AM"/>
        </w:rPr>
        <w:t>3.</w:t>
      </w:r>
      <w:bookmarkEnd w:id="490"/>
      <w:bookmarkEnd w:id="491"/>
      <w:bookmarkEnd w:id="492"/>
      <w:bookmarkEnd w:id="506"/>
      <w:r w:rsidR="00F25C90">
        <w:rPr>
          <w:lang w:val="hy-AM"/>
        </w:rPr>
        <w:t xml:space="preserve"> ՀԱՏՈՒԿ ՀԱՐԿԱԲՅՈՒՋԵՏԱՅԻՆ ՌԻՍԿԵՐԻ ՎԵՐԼՈՒԾՈՒԹՅՈՒՆ</w:t>
      </w:r>
      <w:bookmarkEnd w:id="507"/>
    </w:p>
    <w:p w14:paraId="0A3D7226" w14:textId="77777777" w:rsidR="00957A78" w:rsidRPr="00CE1326" w:rsidRDefault="00957A78" w:rsidP="00957A78">
      <w:pPr>
        <w:pStyle w:val="TOC4"/>
        <w:rPr>
          <w:b/>
          <w:bCs/>
          <w:lang w:val="hy-AM"/>
        </w:rPr>
      </w:pPr>
      <w:bookmarkStart w:id="508" w:name="_Toc170906937"/>
      <w:bookmarkStart w:id="509" w:name="_Toc170906565"/>
      <w:bookmarkStart w:id="510" w:name="_Toc178595349"/>
      <w:bookmarkStart w:id="511" w:name="_Toc178604168"/>
      <w:bookmarkStart w:id="512" w:name="_Toc45838554"/>
      <w:r w:rsidRPr="00CE1326">
        <w:rPr>
          <w:b/>
          <w:bCs/>
          <w:lang w:val="hy-AM"/>
        </w:rPr>
        <w:t>3.1 ՀԱՏՈՒԿ ՀԱՐԿԱԲՅՈՒՋԵՏԱՅԻՆ ՌԻՍԿԵՐԻ ՎԵՐԼՈՒԾՈՒԹՅՈՒՆ</w:t>
      </w:r>
      <w:bookmarkEnd w:id="508"/>
      <w:bookmarkEnd w:id="509"/>
      <w:bookmarkEnd w:id="510"/>
      <w:bookmarkEnd w:id="511"/>
    </w:p>
    <w:p w14:paraId="7250DB91" w14:textId="77777777" w:rsidR="00957A78" w:rsidRPr="00B14C2A" w:rsidRDefault="00957A78" w:rsidP="00957A78">
      <w:pPr>
        <w:pStyle w:val="BodyText1"/>
        <w:ind w:left="0"/>
        <w:rPr>
          <w:lang w:val="hy-AM"/>
        </w:rPr>
      </w:pPr>
      <w:bookmarkStart w:id="513" w:name="_Toc170906938"/>
      <w:bookmarkStart w:id="514" w:name="_Toc170906566"/>
      <w:r>
        <w:rPr>
          <w:lang w:val="hy-AM"/>
        </w:rPr>
        <w:t xml:space="preserve">Սույն բաժնում վերլուծվել են հատուկ հարկաբյուջետային ռիսկերի </w:t>
      </w:r>
      <w:r w:rsidRPr="00B14C2A">
        <w:rPr>
          <w:lang w:val="hy-AM"/>
        </w:rPr>
        <w:t>այն աղբյուրները, որոնք պետական բյուջեի կայունության տեսանկյունից համարվում են էական, և դրանց ազդեցության գնահատումն ու կառավարմանն ուղղված քայլերը նշանակալի են ֆիսկալ կայունության տեսանկյունից։</w:t>
      </w:r>
      <w:r>
        <w:rPr>
          <w:lang w:val="hy-AM"/>
        </w:rPr>
        <w:t xml:space="preserve"> Դ</w:t>
      </w:r>
      <w:r w:rsidRPr="00B14C2A">
        <w:rPr>
          <w:lang w:val="hy-AM"/>
        </w:rPr>
        <w:t>իտարկվել են այնպիսի ռիսկեր, որոնք բխում են պետական մասնակցությամբ ընկերություններից</w:t>
      </w:r>
      <w:r>
        <w:rPr>
          <w:lang w:val="hy-AM"/>
        </w:rPr>
        <w:t xml:space="preserve"> </w:t>
      </w:r>
      <w:r w:rsidRPr="00E14ADC">
        <w:rPr>
          <w:lang w:val="hy-AM"/>
        </w:rPr>
        <w:t>(</w:t>
      </w:r>
      <w:r>
        <w:rPr>
          <w:lang w:val="hy-AM"/>
        </w:rPr>
        <w:t>այսուհետ՝ ՊՄԸ</w:t>
      </w:r>
      <w:r w:rsidRPr="00E14ADC">
        <w:rPr>
          <w:lang w:val="hy-AM"/>
        </w:rPr>
        <w:t>)</w:t>
      </w:r>
      <w:r w:rsidRPr="00B14C2A">
        <w:rPr>
          <w:lang w:val="hy-AM"/>
        </w:rPr>
        <w:t xml:space="preserve">, բյուջետային վարկերից և երաշխիքներից, պետություն-մասնավոր գործընկերության </w:t>
      </w:r>
      <w:r w:rsidRPr="00E14ADC">
        <w:rPr>
          <w:lang w:val="hy-AM"/>
        </w:rPr>
        <w:t>(</w:t>
      </w:r>
      <w:r>
        <w:rPr>
          <w:lang w:val="hy-AM"/>
        </w:rPr>
        <w:t>այսուհետ՝ ՊՄԳ</w:t>
      </w:r>
      <w:r w:rsidRPr="00E14ADC">
        <w:rPr>
          <w:lang w:val="hy-AM"/>
        </w:rPr>
        <w:t xml:space="preserve">) </w:t>
      </w:r>
      <w:r w:rsidRPr="00B14C2A">
        <w:rPr>
          <w:lang w:val="hy-AM"/>
        </w:rPr>
        <w:t>պայմանագրերից, բնական և մարդածին աղետներից, բնապահպանական պարտավորություններից, շրջակա միջավայրի դեգրադացիայից, ինչպես նաև պետության դեմ դատական վարույթներից։</w:t>
      </w:r>
    </w:p>
    <w:p w14:paraId="2304509D" w14:textId="77777777" w:rsidR="00957A78" w:rsidRPr="00C3014C" w:rsidRDefault="00957A78" w:rsidP="00957A78">
      <w:pPr>
        <w:pStyle w:val="TOC4"/>
        <w:rPr>
          <w:lang w:val="hy-AM"/>
        </w:rPr>
      </w:pPr>
      <w:r w:rsidRPr="00E77731">
        <w:rPr>
          <w:lang w:val="af-ZA"/>
        </w:rPr>
        <w:t>3.1</w:t>
      </w:r>
      <w:r w:rsidRPr="00E77731">
        <w:rPr>
          <w:rFonts w:ascii="Cambria Math" w:hAnsi="Cambria Math" w:cs="Cambria Math"/>
          <w:lang w:val="af-ZA"/>
        </w:rPr>
        <w:t>․</w:t>
      </w:r>
      <w:r w:rsidRPr="00E77731">
        <w:rPr>
          <w:lang w:val="af-ZA"/>
        </w:rPr>
        <w:t xml:space="preserve">1 </w:t>
      </w:r>
      <w:r w:rsidRPr="001D2D3B">
        <w:rPr>
          <w:lang w:val="hy-AM"/>
        </w:rPr>
        <w:t>ՊԵՏԱԿԱՆ</w:t>
      </w:r>
      <w:r w:rsidRPr="00E77731">
        <w:rPr>
          <w:lang w:val="af-ZA"/>
        </w:rPr>
        <w:t xml:space="preserve"> </w:t>
      </w:r>
      <w:r w:rsidRPr="001D2D3B">
        <w:rPr>
          <w:lang w:val="hy-AM"/>
        </w:rPr>
        <w:t>ՄԱՍՆԱԿՑՈՒԹՅԱՄԲ</w:t>
      </w:r>
      <w:r w:rsidRPr="00E77731">
        <w:rPr>
          <w:lang w:val="af-ZA"/>
        </w:rPr>
        <w:t xml:space="preserve"> </w:t>
      </w:r>
      <w:r w:rsidRPr="001D2D3B">
        <w:rPr>
          <w:lang w:val="hy-AM"/>
        </w:rPr>
        <w:t>ԸՆԿԵՐՈՒԹՅՈՒՆՆԵՐԻՑ</w:t>
      </w:r>
      <w:r w:rsidRPr="00E77731">
        <w:rPr>
          <w:lang w:val="af-ZA"/>
        </w:rPr>
        <w:t xml:space="preserve"> </w:t>
      </w:r>
      <w:r>
        <w:rPr>
          <w:lang w:val="hy-AM"/>
        </w:rPr>
        <w:t>ԲԽՈՂ</w:t>
      </w:r>
      <w:r w:rsidRPr="00E77731">
        <w:rPr>
          <w:lang w:val="af-ZA"/>
        </w:rPr>
        <w:t xml:space="preserve"> </w:t>
      </w:r>
      <w:r w:rsidRPr="001D2D3B">
        <w:rPr>
          <w:lang w:val="hy-AM"/>
        </w:rPr>
        <w:t>ՀԱՐԿԱԲՅՈՒՋԵՏԱՅԻՆ</w:t>
      </w:r>
      <w:r w:rsidRPr="00E77731">
        <w:rPr>
          <w:lang w:val="af-ZA"/>
        </w:rPr>
        <w:t xml:space="preserve"> </w:t>
      </w:r>
      <w:r w:rsidRPr="001D2D3B">
        <w:rPr>
          <w:lang w:val="hy-AM"/>
        </w:rPr>
        <w:t>ՌԻՍԿԵՐ</w:t>
      </w:r>
      <w:bookmarkEnd w:id="513"/>
      <w:bookmarkEnd w:id="514"/>
    </w:p>
    <w:p w14:paraId="779566D5" w14:textId="77777777" w:rsidR="00957A78" w:rsidRPr="007D5340" w:rsidRDefault="00957A78" w:rsidP="00957A78">
      <w:pPr>
        <w:pStyle w:val="BodyText1"/>
        <w:ind w:left="0"/>
        <w:rPr>
          <w:lang w:val="hy-AM"/>
        </w:rPr>
      </w:pPr>
      <w:r w:rsidRPr="007D5340">
        <w:rPr>
          <w:lang w:val="hy-AM"/>
        </w:rPr>
        <w:t>Այս բաժ</w:t>
      </w:r>
      <w:r>
        <w:rPr>
          <w:lang w:val="hy-AM"/>
        </w:rPr>
        <w:t xml:space="preserve">նում </w:t>
      </w:r>
      <w:r w:rsidRPr="007D5340">
        <w:rPr>
          <w:lang w:val="hy-AM"/>
        </w:rPr>
        <w:t xml:space="preserve"> վերլուծ</w:t>
      </w:r>
      <w:r>
        <w:rPr>
          <w:lang w:val="hy-AM"/>
        </w:rPr>
        <w:t>վ</w:t>
      </w:r>
      <w:r w:rsidRPr="007D5340">
        <w:rPr>
          <w:lang w:val="hy-AM"/>
        </w:rPr>
        <w:t>ում է</w:t>
      </w:r>
      <w:r>
        <w:rPr>
          <w:lang w:val="hy-AM"/>
        </w:rPr>
        <w:t xml:space="preserve"> </w:t>
      </w:r>
      <w:r w:rsidRPr="007D5340">
        <w:rPr>
          <w:lang w:val="hy-AM"/>
        </w:rPr>
        <w:t>ՊՄԸ</w:t>
      </w:r>
      <w:r>
        <w:rPr>
          <w:lang w:val="hy-AM"/>
        </w:rPr>
        <w:t xml:space="preserve">-ների </w:t>
      </w:r>
      <w:r w:rsidRPr="007D5340">
        <w:rPr>
          <w:lang w:val="hy-AM"/>
        </w:rPr>
        <w:t>առկա վիճակից և գործունեությունից բխող ֆիսկալ ռիսկերի մակարդակը</w:t>
      </w:r>
      <w:r>
        <w:rPr>
          <w:lang w:val="hy-AM"/>
        </w:rPr>
        <w:t>։ Գնահատման շրջանակներում կիրառվել են ԱՄՀ ֆիսկալ ռիսկերի գնահատման գործիքակազմի</w:t>
      </w:r>
      <w:r>
        <w:rPr>
          <w:rStyle w:val="FootnoteReference"/>
          <w:lang w:val="hy-AM"/>
        </w:rPr>
        <w:footnoteReference w:id="25"/>
      </w:r>
      <w:r>
        <w:rPr>
          <w:lang w:val="hy-AM"/>
        </w:rPr>
        <w:t>՝ «Ֆինանսական առողջության գնահատման»</w:t>
      </w:r>
      <w:r w:rsidRPr="00DD311C">
        <w:rPr>
          <w:lang w:val="hy-AM"/>
        </w:rPr>
        <w:t xml:space="preserve"> (</w:t>
      </w:r>
      <w:r>
        <w:rPr>
          <w:lang w:val="hy-AM"/>
        </w:rPr>
        <w:t>SOE</w:t>
      </w:r>
      <w:r w:rsidRPr="00DD311C">
        <w:rPr>
          <w:lang w:val="hy-AM"/>
        </w:rPr>
        <w:t xml:space="preserve"> Health Check Tool)</w:t>
      </w:r>
      <w:r>
        <w:rPr>
          <w:lang w:val="hy-AM"/>
        </w:rPr>
        <w:t>, «Սթրես թեստավորման և կանխատեսման»</w:t>
      </w:r>
      <w:r w:rsidRPr="00DD311C">
        <w:rPr>
          <w:lang w:val="hy-AM"/>
        </w:rPr>
        <w:t xml:space="preserve"> (</w:t>
      </w:r>
      <w:r>
        <w:rPr>
          <w:lang w:val="hy-AM"/>
        </w:rPr>
        <w:t>SOE</w:t>
      </w:r>
      <w:r w:rsidRPr="00DD311C">
        <w:rPr>
          <w:lang w:val="hy-AM"/>
        </w:rPr>
        <w:t xml:space="preserve"> </w:t>
      </w:r>
      <w:r>
        <w:rPr>
          <w:lang w:val="hy-AM"/>
        </w:rPr>
        <w:t>Stress Test</w:t>
      </w:r>
      <w:r w:rsidRPr="001C5E87">
        <w:rPr>
          <w:lang w:val="hy-AM"/>
        </w:rPr>
        <w:t>ing</w:t>
      </w:r>
      <w:r>
        <w:rPr>
          <w:lang w:val="hy-AM"/>
        </w:rPr>
        <w:t xml:space="preserve"> And Fo</w:t>
      </w:r>
      <w:r w:rsidRPr="001C5E87">
        <w:rPr>
          <w:lang w:val="hy-AM"/>
        </w:rPr>
        <w:t>re</w:t>
      </w:r>
      <w:r w:rsidRPr="00DD311C">
        <w:rPr>
          <w:lang w:val="hy-AM"/>
        </w:rPr>
        <w:t>cast</w:t>
      </w:r>
      <w:r w:rsidRPr="001C5E87">
        <w:rPr>
          <w:lang w:val="hy-AM"/>
        </w:rPr>
        <w:t>ing</w:t>
      </w:r>
      <w:r w:rsidRPr="00DD311C">
        <w:rPr>
          <w:lang w:val="hy-AM"/>
        </w:rPr>
        <w:t xml:space="preserve"> Tool)</w:t>
      </w:r>
      <w:r w:rsidRPr="007D5340">
        <w:rPr>
          <w:lang w:val="hy-AM"/>
        </w:rPr>
        <w:t xml:space="preserve"> </w:t>
      </w:r>
      <w:r>
        <w:rPr>
          <w:lang w:val="hy-AM"/>
        </w:rPr>
        <w:t xml:space="preserve">գործիքները։ </w:t>
      </w:r>
    </w:p>
    <w:p w14:paraId="3996E461" w14:textId="77777777" w:rsidR="00957A78" w:rsidRPr="007D5340" w:rsidRDefault="00957A78" w:rsidP="00957A78">
      <w:pPr>
        <w:pStyle w:val="BodyText1"/>
        <w:ind w:left="0"/>
        <w:rPr>
          <w:lang w:val="hy-AM"/>
        </w:rPr>
      </w:pPr>
      <w:r>
        <w:rPr>
          <w:lang w:val="hy-AM"/>
        </w:rPr>
        <w:t>Նշենք, որ ֆ</w:t>
      </w:r>
      <w:r w:rsidRPr="007D5340">
        <w:rPr>
          <w:lang w:val="hy-AM"/>
        </w:rPr>
        <w:t>իսկալ ռիսկը կարող է ի հայտ գալ այն ժամանակ, երբ ՊՄԸ-ների գործունեությունը կամ ֆինանսական վիճակը հանգեցնում է լրացուցիչ փոխառությունների, սուբսիդիաների, սեփական կապիտալի ներարկումների կամ պետական բյուջեից այլ վճարումների անհրաժեշտության: Բացի այդ, ֆինանսական դժվարություններ ունեցող ՊՄԸ-ներից ակնկալվող շահութաբաժինների կամ փոխառությունների սպասարկման վճարումների չկատարումը կարող է բացասաբար անդրադառնալ պետական եկամուտների վրա:</w:t>
      </w:r>
    </w:p>
    <w:p w14:paraId="6CC41F66" w14:textId="77777777" w:rsidR="00957A78" w:rsidRPr="00E77731" w:rsidRDefault="00957A78" w:rsidP="00957A78">
      <w:pPr>
        <w:pStyle w:val="TOC4"/>
        <w:rPr>
          <w:lang w:val="hy-AM"/>
        </w:rPr>
      </w:pPr>
      <w:r w:rsidRPr="00E77731">
        <w:rPr>
          <w:lang w:val="hy-AM"/>
        </w:rPr>
        <w:t>ՊՄԸ-ՆԵՐԻ ՊՈՐՏՖԵԼԻ ՎԵՐԼՈՒԾՈՒԹՅՈՒՆ</w:t>
      </w:r>
    </w:p>
    <w:p w14:paraId="3AF574CE" w14:textId="77777777" w:rsidR="00957A78" w:rsidRPr="007D5340" w:rsidRDefault="00957A78" w:rsidP="00957A78">
      <w:pPr>
        <w:pStyle w:val="BodyText1"/>
        <w:ind w:left="0"/>
        <w:rPr>
          <w:lang w:val="hy-AM"/>
        </w:rPr>
      </w:pPr>
      <w:bookmarkStart w:id="515" w:name="_Toc178612163"/>
      <w:r w:rsidRPr="00143865">
        <w:rPr>
          <w:lang w:val="hy-AM"/>
        </w:rPr>
        <w:t>2024 թվականի տվյալներով</w:t>
      </w:r>
      <w:r w:rsidRPr="007D5340">
        <w:rPr>
          <w:lang w:val="hy-AM"/>
        </w:rPr>
        <w:t xml:space="preserve"> ՀՀ-ում գործում է 18</w:t>
      </w:r>
      <w:r w:rsidRPr="00143865">
        <w:rPr>
          <w:lang w:val="hy-AM"/>
        </w:rPr>
        <w:t>4</w:t>
      </w:r>
      <w:r w:rsidRPr="007D5340">
        <w:rPr>
          <w:lang w:val="hy-AM"/>
        </w:rPr>
        <w:t xml:space="preserve"> պետական մասնակցությամբ և համայնքային մասնակցությամբ ընկերություն, որոնցից </w:t>
      </w:r>
      <w:r w:rsidRPr="00143865">
        <w:rPr>
          <w:lang w:val="hy-AM"/>
        </w:rPr>
        <w:t>32</w:t>
      </w:r>
      <w:r w:rsidRPr="007D5340">
        <w:rPr>
          <w:lang w:val="hy-AM"/>
        </w:rPr>
        <w:t>-ը գտնվում է Երևանի քաղաքապետարանի կառավարման ներքո: Առկա է նաև 1</w:t>
      </w:r>
      <w:r w:rsidRPr="00143865">
        <w:rPr>
          <w:lang w:val="hy-AM"/>
        </w:rPr>
        <w:t>9</w:t>
      </w:r>
      <w:r w:rsidRPr="007D5340">
        <w:rPr>
          <w:lang w:val="hy-AM"/>
        </w:rPr>
        <w:t xml:space="preserve"> ընկերություն, որտեղ պետությունն ունի մինչև 50 տոկոս</w:t>
      </w:r>
      <w:r>
        <w:rPr>
          <w:lang w:val="hy-AM"/>
        </w:rPr>
        <w:t xml:space="preserve"> </w:t>
      </w:r>
      <w:r w:rsidRPr="00DD311C">
        <w:rPr>
          <w:lang w:val="hy-AM"/>
        </w:rPr>
        <w:t>(</w:t>
      </w:r>
      <w:r>
        <w:rPr>
          <w:lang w:val="hy-AM"/>
        </w:rPr>
        <w:t>մինորիտար</w:t>
      </w:r>
      <w:r w:rsidRPr="00DD311C">
        <w:rPr>
          <w:lang w:val="hy-AM"/>
        </w:rPr>
        <w:t>)</w:t>
      </w:r>
      <w:r w:rsidRPr="007D5340">
        <w:rPr>
          <w:lang w:val="hy-AM"/>
        </w:rPr>
        <w:t xml:space="preserve"> բաժնեմաս</w:t>
      </w:r>
      <w:r>
        <w:rPr>
          <w:lang w:val="hy-AM"/>
        </w:rPr>
        <w:t>նակցություն</w:t>
      </w:r>
      <w:r w:rsidRPr="007D5340">
        <w:rPr>
          <w:lang w:val="hy-AM"/>
        </w:rPr>
        <w:t xml:space="preserve"> (</w:t>
      </w:r>
      <w:r>
        <w:rPr>
          <w:lang w:val="hy-AM"/>
        </w:rPr>
        <w:t xml:space="preserve">տես՝ </w:t>
      </w:r>
      <w:r w:rsidRPr="007D5340">
        <w:rPr>
          <w:lang w:val="hy-AM"/>
        </w:rPr>
        <w:t>աղյուսակ 1):</w:t>
      </w:r>
    </w:p>
    <w:p w14:paraId="758EDA46" w14:textId="77777777" w:rsidR="00957A78" w:rsidRPr="000832D9" w:rsidRDefault="00957A78" w:rsidP="00957A78">
      <w:pPr>
        <w:pStyle w:val="a"/>
        <w:rPr>
          <w:rFonts w:ascii="GHEA Grapalat" w:hAnsi="GHEA Grapalat"/>
          <w:szCs w:val="20"/>
        </w:rPr>
      </w:pPr>
      <w:r w:rsidRPr="000832D9">
        <w:rPr>
          <w:rFonts w:ascii="GHEA Grapalat" w:hAnsi="GHEA Grapalat"/>
          <w:szCs w:val="20"/>
        </w:rPr>
        <w:t>Աղյուսակ 1. Պետական և համայնքային մասնակցությամբ ընկերությունների դասակարգումն՝ ըստ բաժնեմասնակցության</w:t>
      </w:r>
      <w:bookmarkEnd w:id="515"/>
    </w:p>
    <w:tbl>
      <w:tblPr>
        <w:tblW w:w="9792" w:type="dxa"/>
        <w:tblInd w:w="-8" w:type="dxa"/>
        <w:tblBorders>
          <w:top w:val="single" w:sz="4" w:space="0" w:color="E1E1E3" w:themeColor="accent3" w:themeTint="33"/>
          <w:left w:val="single" w:sz="4" w:space="0" w:color="E1E1E3" w:themeColor="accent3" w:themeTint="33"/>
          <w:bottom w:val="single" w:sz="4" w:space="0" w:color="E1E1E3" w:themeColor="accent3" w:themeTint="33"/>
          <w:right w:val="single" w:sz="4" w:space="0" w:color="E1E1E3" w:themeColor="accent3" w:themeTint="33"/>
          <w:insideH w:val="single" w:sz="4" w:space="0" w:color="E1E1E3" w:themeColor="accent3" w:themeTint="33"/>
          <w:insideV w:val="single" w:sz="4" w:space="0" w:color="E1E1E3" w:themeColor="accent3" w:themeTint="33"/>
        </w:tblBorders>
        <w:tblLayout w:type="fixed"/>
        <w:tblLook w:val="0400" w:firstRow="0" w:lastRow="0" w:firstColumn="0" w:lastColumn="0" w:noHBand="0" w:noVBand="1"/>
      </w:tblPr>
      <w:tblGrid>
        <w:gridCol w:w="2448"/>
        <w:gridCol w:w="2448"/>
        <w:gridCol w:w="2448"/>
        <w:gridCol w:w="2448"/>
      </w:tblGrid>
      <w:tr w:rsidR="00957A78" w:rsidRPr="00C3014C" w14:paraId="01139092" w14:textId="77777777" w:rsidTr="00A72B0A">
        <w:trPr>
          <w:trHeight w:val="864"/>
        </w:trPr>
        <w:tc>
          <w:tcPr>
            <w:tcW w:w="2448" w:type="dxa"/>
            <w:vAlign w:val="center"/>
            <w:hideMark/>
          </w:tcPr>
          <w:p w14:paraId="0458AEA9" w14:textId="77777777" w:rsidR="00957A78" w:rsidRPr="008F1727" w:rsidRDefault="00957A78" w:rsidP="00A72B0A">
            <w:pPr>
              <w:spacing w:before="0" w:after="0" w:line="240" w:lineRule="auto"/>
              <w:jc w:val="center"/>
              <w:rPr>
                <w:b/>
                <w:sz w:val="18"/>
                <w:szCs w:val="18"/>
              </w:rPr>
            </w:pPr>
            <w:r>
              <w:t>50 տոկոս և ավել</w:t>
            </w:r>
          </w:p>
        </w:tc>
        <w:tc>
          <w:tcPr>
            <w:tcW w:w="2448" w:type="dxa"/>
            <w:vAlign w:val="center"/>
            <w:hideMark/>
          </w:tcPr>
          <w:p w14:paraId="59314D5A" w14:textId="77777777" w:rsidR="00957A78" w:rsidRPr="008F1727" w:rsidRDefault="00957A78" w:rsidP="00A72B0A">
            <w:pPr>
              <w:spacing w:before="0" w:after="0" w:line="240" w:lineRule="auto"/>
              <w:jc w:val="center"/>
              <w:rPr>
                <w:b/>
                <w:sz w:val="18"/>
                <w:szCs w:val="18"/>
              </w:rPr>
            </w:pPr>
            <w:r>
              <w:t>Երևանի Քաղաքապետարան</w:t>
            </w:r>
          </w:p>
        </w:tc>
        <w:tc>
          <w:tcPr>
            <w:tcW w:w="2448" w:type="dxa"/>
            <w:vAlign w:val="center"/>
            <w:hideMark/>
          </w:tcPr>
          <w:p w14:paraId="53716C3B" w14:textId="77777777" w:rsidR="00957A78" w:rsidRPr="008F1727" w:rsidRDefault="00957A78" w:rsidP="00A72B0A">
            <w:pPr>
              <w:spacing w:before="0" w:after="0" w:line="240" w:lineRule="auto"/>
              <w:jc w:val="center"/>
              <w:rPr>
                <w:b/>
                <w:sz w:val="18"/>
                <w:szCs w:val="18"/>
              </w:rPr>
            </w:pPr>
            <w:r>
              <w:t>Մինչև 50 տոկոս</w:t>
            </w:r>
          </w:p>
        </w:tc>
        <w:tc>
          <w:tcPr>
            <w:tcW w:w="2448" w:type="dxa"/>
            <w:vAlign w:val="center"/>
            <w:hideMark/>
          </w:tcPr>
          <w:p w14:paraId="4151FAE9" w14:textId="77777777" w:rsidR="00957A78" w:rsidRPr="008F1727" w:rsidRDefault="00957A78" w:rsidP="00A72B0A">
            <w:pPr>
              <w:spacing w:before="0" w:after="0" w:line="240" w:lineRule="auto"/>
              <w:jc w:val="center"/>
              <w:rPr>
                <w:b/>
                <w:sz w:val="18"/>
                <w:szCs w:val="18"/>
              </w:rPr>
            </w:pPr>
            <w:r>
              <w:t>Ընդհանուր</w:t>
            </w:r>
          </w:p>
        </w:tc>
      </w:tr>
      <w:tr w:rsidR="00957A78" w:rsidRPr="00C3014C" w14:paraId="13CFF98B" w14:textId="77777777" w:rsidTr="00A72B0A">
        <w:trPr>
          <w:trHeight w:val="432"/>
        </w:trPr>
        <w:tc>
          <w:tcPr>
            <w:tcW w:w="2448" w:type="dxa"/>
            <w:vAlign w:val="center"/>
            <w:hideMark/>
          </w:tcPr>
          <w:p w14:paraId="669DCEEF" w14:textId="77777777" w:rsidR="00957A78" w:rsidRPr="008F1727" w:rsidRDefault="00957A78" w:rsidP="00A72B0A">
            <w:pPr>
              <w:spacing w:before="0" w:after="0" w:line="240" w:lineRule="auto"/>
              <w:jc w:val="center"/>
              <w:rPr>
                <w:b/>
                <w:sz w:val="18"/>
                <w:szCs w:val="18"/>
              </w:rPr>
            </w:pPr>
            <w:r>
              <w:t>152</w:t>
            </w:r>
          </w:p>
        </w:tc>
        <w:tc>
          <w:tcPr>
            <w:tcW w:w="2448" w:type="dxa"/>
            <w:vAlign w:val="center"/>
            <w:hideMark/>
          </w:tcPr>
          <w:p w14:paraId="4F1892DF" w14:textId="77777777" w:rsidR="00957A78" w:rsidRPr="008F1727" w:rsidRDefault="00957A78" w:rsidP="00A72B0A">
            <w:pPr>
              <w:spacing w:before="0" w:after="0" w:line="240" w:lineRule="auto"/>
              <w:jc w:val="center"/>
              <w:rPr>
                <w:b/>
                <w:sz w:val="18"/>
                <w:szCs w:val="18"/>
                <w:lang w:val="hy-AM"/>
              </w:rPr>
            </w:pPr>
            <w:r>
              <w:t>32</w:t>
            </w:r>
          </w:p>
        </w:tc>
        <w:tc>
          <w:tcPr>
            <w:tcW w:w="2448" w:type="dxa"/>
            <w:vAlign w:val="center"/>
            <w:hideMark/>
          </w:tcPr>
          <w:p w14:paraId="7CC75777" w14:textId="77777777" w:rsidR="00957A78" w:rsidRPr="008F1727" w:rsidRDefault="00957A78" w:rsidP="00A72B0A">
            <w:pPr>
              <w:spacing w:before="0" w:after="0" w:line="240" w:lineRule="auto"/>
              <w:jc w:val="center"/>
              <w:rPr>
                <w:b/>
                <w:sz w:val="18"/>
                <w:szCs w:val="18"/>
              </w:rPr>
            </w:pPr>
            <w:r>
              <w:t>19</w:t>
            </w:r>
          </w:p>
        </w:tc>
        <w:tc>
          <w:tcPr>
            <w:tcW w:w="2448" w:type="dxa"/>
            <w:vAlign w:val="center"/>
            <w:hideMark/>
          </w:tcPr>
          <w:p w14:paraId="06736400" w14:textId="77777777" w:rsidR="00957A78" w:rsidRPr="008F1727" w:rsidRDefault="00957A78" w:rsidP="00A72B0A">
            <w:pPr>
              <w:spacing w:before="0" w:after="0" w:line="240" w:lineRule="auto"/>
              <w:jc w:val="center"/>
              <w:rPr>
                <w:b/>
                <w:sz w:val="18"/>
                <w:szCs w:val="18"/>
              </w:rPr>
            </w:pPr>
            <w:r>
              <w:t>203</w:t>
            </w:r>
          </w:p>
        </w:tc>
      </w:tr>
    </w:tbl>
    <w:p w14:paraId="2CA4FD0C" w14:textId="77777777" w:rsidR="00957A78" w:rsidRPr="00C3014C" w:rsidRDefault="00957A78" w:rsidP="00957A78">
      <w:pPr>
        <w:jc w:val="both"/>
        <w:rPr>
          <w:lang w:val="hy-AM" w:eastAsia="ru-RU"/>
        </w:rPr>
      </w:pPr>
    </w:p>
    <w:p w14:paraId="508C8E00" w14:textId="77777777" w:rsidR="00957A78" w:rsidRPr="00947715" w:rsidRDefault="00957A78" w:rsidP="00957A78">
      <w:pPr>
        <w:pStyle w:val="BodyText1"/>
        <w:ind w:left="0"/>
        <w:rPr>
          <w:szCs w:val="22"/>
          <w:lang w:val="hy-AM"/>
        </w:rPr>
      </w:pPr>
      <w:r w:rsidRPr="00947715">
        <w:rPr>
          <w:szCs w:val="22"/>
          <w:lang w:val="hy-AM"/>
        </w:rPr>
        <w:t xml:space="preserve">ՊՄԸ-ները հիմնականում գործում են այնպիսի ռազմավարական ոլորտներում, ինչպիսիք են էներգետիկան, առողջապահությունը, ջրային տնտեսությունը և այլն։ Ընկերությունների ակտիվների և պարտավորությունների մեծ մասը կենտրոնացված է էներգետիկայի ոլորտում՝ կազմելով ՊՄԸ-ների ընդհանուր պորտֆելի, համապատասխանաբար, 48%-ը և 61%-ը (տես՝ գծապատկեր 1): </w:t>
      </w:r>
    </w:p>
    <w:p w14:paraId="12B15083" w14:textId="77777777" w:rsidR="00354756" w:rsidRDefault="00354756" w:rsidP="00957A78">
      <w:pPr>
        <w:rPr>
          <w:rFonts w:eastAsia="Tahoma" w:cs="Times New Roman"/>
          <w:b/>
          <w:bCs/>
          <w:i/>
          <w:iCs/>
          <w:sz w:val="20"/>
          <w:szCs w:val="20"/>
          <w:lang w:val="hy-AM"/>
        </w:rPr>
      </w:pPr>
    </w:p>
    <w:p w14:paraId="435D8D84" w14:textId="77777777" w:rsidR="00354756" w:rsidRDefault="00354756">
      <w:pPr>
        <w:rPr>
          <w:rFonts w:eastAsia="Tahoma" w:cs="Times New Roman"/>
          <w:b/>
          <w:bCs/>
          <w:i/>
          <w:iCs/>
          <w:sz w:val="20"/>
          <w:szCs w:val="20"/>
          <w:lang w:val="hy-AM"/>
        </w:rPr>
      </w:pPr>
      <w:r>
        <w:rPr>
          <w:rFonts w:eastAsia="Tahoma" w:cs="Times New Roman"/>
          <w:b/>
          <w:bCs/>
          <w:i/>
          <w:iCs/>
          <w:sz w:val="20"/>
          <w:szCs w:val="20"/>
          <w:lang w:val="hy-AM"/>
        </w:rPr>
        <w:br w:type="page"/>
      </w:r>
    </w:p>
    <w:p w14:paraId="3B306B45" w14:textId="6CB3A8BF" w:rsidR="00957A78" w:rsidRPr="00E93E86" w:rsidRDefault="00957A78" w:rsidP="00957A78">
      <w:pPr>
        <w:rPr>
          <w:rFonts w:eastAsia="Tahoma" w:cs="Times New Roman"/>
          <w:bCs/>
          <w:i/>
          <w:iCs/>
          <w:sz w:val="20"/>
          <w:szCs w:val="20"/>
          <w:lang w:val="hy-AM"/>
        </w:rPr>
      </w:pPr>
      <w:r w:rsidRPr="00E93E86">
        <w:rPr>
          <w:rFonts w:eastAsia="Tahoma" w:cs="Times New Roman"/>
          <w:b/>
          <w:bCs/>
          <w:i/>
          <w:iCs/>
          <w:sz w:val="20"/>
          <w:szCs w:val="20"/>
          <w:lang w:val="hy-AM"/>
        </w:rPr>
        <w:t>Գծապատկեր 1</w:t>
      </w:r>
      <w:r w:rsidRPr="00E93E86">
        <w:rPr>
          <w:rFonts w:ascii="Cambria Math" w:eastAsia="Tahoma" w:hAnsi="Cambria Math" w:cs="Cambria Math"/>
          <w:b/>
          <w:bCs/>
          <w:i/>
          <w:iCs/>
          <w:sz w:val="20"/>
          <w:szCs w:val="20"/>
          <w:lang w:val="hy-AM"/>
        </w:rPr>
        <w:t>․</w:t>
      </w:r>
      <w:r w:rsidRPr="00E93E86">
        <w:rPr>
          <w:rFonts w:eastAsia="Tahoma" w:cs="Times New Roman"/>
          <w:b/>
          <w:bCs/>
          <w:i/>
          <w:iCs/>
          <w:sz w:val="20"/>
          <w:szCs w:val="20"/>
          <w:lang w:val="hy-AM"/>
        </w:rPr>
        <w:t xml:space="preserve"> </w:t>
      </w:r>
      <w:r w:rsidRPr="00E93E86">
        <w:rPr>
          <w:rFonts w:eastAsia="Tahoma" w:cs="Times New Roman"/>
          <w:bCs/>
          <w:i/>
          <w:iCs/>
          <w:sz w:val="20"/>
          <w:szCs w:val="20"/>
          <w:lang w:val="hy-AM"/>
        </w:rPr>
        <w:t xml:space="preserve">Պետական մասնակցությամբ ընկերությունների ակտիվները և </w:t>
      </w:r>
      <w:r w:rsidRPr="00B82B0C">
        <w:rPr>
          <w:rFonts w:eastAsia="Tahoma" w:cs="Times New Roman"/>
          <w:bCs/>
          <w:i/>
          <w:iCs/>
          <w:sz w:val="20"/>
          <w:szCs w:val="20"/>
          <w:lang w:val="hy-AM"/>
        </w:rPr>
        <w:t xml:space="preserve">պարտավորությունները՝ </w:t>
      </w:r>
      <w:r w:rsidRPr="00E93E86">
        <w:rPr>
          <w:rFonts w:eastAsia="Tahoma" w:cs="Times New Roman"/>
          <w:bCs/>
          <w:i/>
          <w:iCs/>
          <w:sz w:val="20"/>
          <w:szCs w:val="20"/>
          <w:lang w:val="hy-AM"/>
        </w:rPr>
        <w:t>ըստ ոլորտների</w:t>
      </w:r>
    </w:p>
    <w:p w14:paraId="4B9004AA" w14:textId="77777777" w:rsidR="00957A78" w:rsidRPr="00E93E86" w:rsidRDefault="00957A78" w:rsidP="00957A78">
      <w:pPr>
        <w:spacing w:before="0" w:after="0" w:line="240" w:lineRule="auto"/>
        <w:ind w:left="-619" w:right="-694" w:hanging="101"/>
        <w:jc w:val="center"/>
        <w:rPr>
          <w:noProof/>
          <w:sz w:val="24"/>
          <w:szCs w:val="24"/>
          <w:lang w:val="hy-AM"/>
        </w:rPr>
      </w:pPr>
      <w:r>
        <w:rPr>
          <w:noProof/>
          <w:sz w:val="24"/>
          <w:szCs w:val="24"/>
        </w:rPr>
        <w:drawing>
          <wp:inline distT="0" distB="0" distL="0" distR="0" wp14:anchorId="20A1963A" wp14:editId="720CE9F6">
            <wp:extent cx="3066962" cy="2173853"/>
            <wp:effectExtent l="0" t="0" r="635" b="0"/>
            <wp:docPr id="16120832" name="Picture 16120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3" cstate="print">
                      <a:extLst>
                        <a:ext uri="{BEBA8EAE-BF5A-486C-A8C5-ECC9F3942E4B}">
                          <a14:imgProps xmlns:a14="http://schemas.microsoft.com/office/drawing/2010/main">
                            <a14:imgLayer r:embed="rId94">
                              <a14:imgEffect>
                                <a14:sharpenSoften amount="25000"/>
                              </a14:imgEffect>
                            </a14:imgLayer>
                          </a14:imgProps>
                        </a:ext>
                        <a:ext uri="{28A0092B-C50C-407E-A947-70E740481C1C}">
                          <a14:useLocalDpi xmlns:a14="http://schemas.microsoft.com/office/drawing/2010/main" val="0"/>
                        </a:ext>
                      </a:extLst>
                    </a:blip>
                    <a:srcRect/>
                    <a:stretch>
                      <a:fillRect/>
                    </a:stretch>
                  </pic:blipFill>
                  <pic:spPr bwMode="auto">
                    <a:xfrm>
                      <a:off x="0" y="0"/>
                      <a:ext cx="3089100" cy="2189544"/>
                    </a:xfrm>
                    <a:prstGeom prst="rect">
                      <a:avLst/>
                    </a:prstGeom>
                    <a:noFill/>
                  </pic:spPr>
                </pic:pic>
              </a:graphicData>
            </a:graphic>
          </wp:inline>
        </w:drawing>
      </w:r>
      <w:r>
        <w:rPr>
          <w:noProof/>
          <w:sz w:val="24"/>
          <w:szCs w:val="24"/>
        </w:rPr>
        <w:drawing>
          <wp:inline distT="0" distB="0" distL="0" distR="0" wp14:anchorId="747879BA" wp14:editId="4CE2BC0C">
            <wp:extent cx="3328670" cy="2166437"/>
            <wp:effectExtent l="0" t="0" r="5080" b="5715"/>
            <wp:docPr id="16120833" name="Picture 16120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5" cstate="print">
                      <a:extLst>
                        <a:ext uri="{BEBA8EAE-BF5A-486C-A8C5-ECC9F3942E4B}">
                          <a14:imgProps xmlns:a14="http://schemas.microsoft.com/office/drawing/2010/main">
                            <a14:imgLayer r:embed="rId96">
                              <a14:imgEffect>
                                <a14:sharpenSoften amount="25000"/>
                              </a14:imgEffect>
                            </a14:imgLayer>
                          </a14:imgProps>
                        </a:ext>
                        <a:ext uri="{28A0092B-C50C-407E-A947-70E740481C1C}">
                          <a14:useLocalDpi xmlns:a14="http://schemas.microsoft.com/office/drawing/2010/main" val="0"/>
                        </a:ext>
                      </a:extLst>
                    </a:blip>
                    <a:srcRect/>
                    <a:stretch>
                      <a:fillRect/>
                    </a:stretch>
                  </pic:blipFill>
                  <pic:spPr bwMode="auto">
                    <a:xfrm>
                      <a:off x="0" y="0"/>
                      <a:ext cx="3351866" cy="2181534"/>
                    </a:xfrm>
                    <a:prstGeom prst="rect">
                      <a:avLst/>
                    </a:prstGeom>
                    <a:noFill/>
                  </pic:spPr>
                </pic:pic>
              </a:graphicData>
            </a:graphic>
          </wp:inline>
        </w:drawing>
      </w:r>
    </w:p>
    <w:p w14:paraId="6F0FDC59" w14:textId="77777777" w:rsidR="00957A78" w:rsidRPr="00A94596" w:rsidRDefault="00957A78" w:rsidP="00957A78">
      <w:pPr>
        <w:spacing w:before="0" w:after="0" w:line="240" w:lineRule="auto"/>
        <w:ind w:left="548" w:right="547" w:hanging="689"/>
        <w:jc w:val="center"/>
        <w:rPr>
          <w:sz w:val="24"/>
          <w:szCs w:val="24"/>
          <w:lang w:val="hy-AM"/>
        </w:rPr>
      </w:pPr>
    </w:p>
    <w:p w14:paraId="4E85466E" w14:textId="08C58BD1" w:rsidR="00957A78" w:rsidRPr="00947715" w:rsidRDefault="00957A78" w:rsidP="00957A78">
      <w:pPr>
        <w:pStyle w:val="BodyText1"/>
        <w:ind w:left="0"/>
        <w:rPr>
          <w:szCs w:val="22"/>
          <w:lang w:val="hy-AM"/>
        </w:rPr>
      </w:pPr>
      <w:r w:rsidRPr="00947715">
        <w:rPr>
          <w:szCs w:val="22"/>
          <w:lang w:val="hy-AM"/>
        </w:rPr>
        <w:t>Հարկ է նշել, որ ՀՀ-ում ՊՄԸ-ների շահութաբերությունը ՀՆԱ-ի նկատմամբ ցածր է համաշխարհային միջին մակարդակից: Մասնավորապես, ՀՀ-ում ՊՄԸ-ների շահույթ/ՀՆԱ հարաբերակցությունը 2024թ.-ին կազմել է շուրջ 1.6%</w:t>
      </w:r>
      <w:r>
        <w:rPr>
          <w:rStyle w:val="FootnoteReference"/>
          <w:szCs w:val="22"/>
          <w:lang w:val="hy-AM"/>
        </w:rPr>
        <w:footnoteReference w:id="26"/>
      </w:r>
      <w:r w:rsidRPr="00947715">
        <w:rPr>
          <w:szCs w:val="22"/>
          <w:lang w:val="hy-AM"/>
        </w:rPr>
        <w:t>, մինչդեռ, Համաշխարհային բանկի զեկույցի համաձայն, որտեղ 91 երկրում ուսումնասիրվել է առնվազն 10% պետական մասնաբաժին ունեցող 76,000 ընկերություն, միջին եկամուտը կազմել է ՀՆԱ-ի 17%-ը</w:t>
      </w:r>
      <w:r w:rsidR="0078450D">
        <w:rPr>
          <w:rStyle w:val="FootnoteReference"/>
          <w:szCs w:val="22"/>
          <w:lang w:val="hy-AM"/>
        </w:rPr>
        <w:footnoteReference w:id="27"/>
      </w:r>
      <w:r w:rsidRPr="00947715">
        <w:rPr>
          <w:szCs w:val="22"/>
          <w:lang w:val="hy-AM"/>
        </w:rPr>
        <w:t>:</w:t>
      </w:r>
    </w:p>
    <w:p w14:paraId="69EBCCCA" w14:textId="77777777" w:rsidR="00957A78" w:rsidRPr="00947715" w:rsidRDefault="00957A78" w:rsidP="00957A78">
      <w:pPr>
        <w:pStyle w:val="BodyText1"/>
        <w:ind w:left="0"/>
        <w:rPr>
          <w:szCs w:val="22"/>
          <w:lang w:val="hy-AM"/>
        </w:rPr>
      </w:pPr>
      <w:r w:rsidRPr="00947715">
        <w:rPr>
          <w:szCs w:val="22"/>
          <w:lang w:val="hy-AM"/>
        </w:rPr>
        <w:t xml:space="preserve">2024թ.-ին ՊՄԸ-ների ակտիվների ծավալը կազմել է 876.1 մլրդ ՀՀ դրամ՝ աճելով 2020թ.-ի նկատմամբ 10.1%-ով, իսկ պարտավորությունների ծավալը կազմել է 449.7 մլրդ ՀՀ դրամ՝ 2020թ.-ի նկատմամբ նվազելով 17.9%-ով (տես՝ գծապատկեր 2): </w:t>
      </w:r>
    </w:p>
    <w:p w14:paraId="161C51A1" w14:textId="77777777" w:rsidR="00957A78" w:rsidRPr="004E039C" w:rsidRDefault="00957A78" w:rsidP="00957A78">
      <w:pPr>
        <w:rPr>
          <w:b/>
          <w:i/>
          <w:sz w:val="20"/>
          <w:szCs w:val="20"/>
          <w:lang w:val="hy-AM"/>
        </w:rPr>
      </w:pPr>
    </w:p>
    <w:p w14:paraId="577444B6" w14:textId="77777777" w:rsidR="00957A78" w:rsidRPr="003D0A2D" w:rsidRDefault="00957A78" w:rsidP="00957A78">
      <w:pPr>
        <w:rPr>
          <w:b/>
          <w:i/>
          <w:sz w:val="20"/>
          <w:szCs w:val="20"/>
          <w:lang w:val="hy-AM"/>
        </w:rPr>
      </w:pPr>
      <w:r w:rsidRPr="003D0A2D">
        <w:rPr>
          <w:b/>
          <w:i/>
          <w:sz w:val="20"/>
          <w:szCs w:val="20"/>
          <w:lang w:val="hy-AM"/>
        </w:rPr>
        <w:t>Գծապատկեր 2</w:t>
      </w:r>
      <w:r w:rsidRPr="003D0A2D">
        <w:rPr>
          <w:rFonts w:ascii="Cambria Math" w:eastAsia="Cambria Math" w:hAnsi="Cambria Math" w:cs="Cambria Math"/>
          <w:b/>
          <w:i/>
          <w:sz w:val="20"/>
          <w:szCs w:val="20"/>
          <w:lang w:val="hy-AM"/>
        </w:rPr>
        <w:t>․</w:t>
      </w:r>
      <w:r w:rsidRPr="003D0A2D">
        <w:rPr>
          <w:b/>
          <w:i/>
          <w:sz w:val="20"/>
          <w:szCs w:val="20"/>
          <w:lang w:val="hy-AM"/>
        </w:rPr>
        <w:t xml:space="preserve"> </w:t>
      </w:r>
      <w:r w:rsidRPr="003D0A2D">
        <w:rPr>
          <w:i/>
          <w:sz w:val="20"/>
          <w:szCs w:val="20"/>
          <w:lang w:val="hy-AM"/>
        </w:rPr>
        <w:t>ՊՄԸ-ների ակտիվների և պարտավորությունների ծավալը 2020-202</w:t>
      </w:r>
      <w:r w:rsidRPr="00E93E86">
        <w:rPr>
          <w:i/>
          <w:sz w:val="20"/>
          <w:szCs w:val="20"/>
          <w:lang w:val="hy-AM"/>
        </w:rPr>
        <w:t>4</w:t>
      </w:r>
      <w:r w:rsidRPr="003D0A2D">
        <w:rPr>
          <w:i/>
          <w:sz w:val="20"/>
          <w:szCs w:val="20"/>
          <w:lang w:val="hy-AM"/>
        </w:rPr>
        <w:t>թթ.</w:t>
      </w:r>
      <w:r w:rsidRPr="00E93E86">
        <w:rPr>
          <w:i/>
          <w:sz w:val="20"/>
          <w:szCs w:val="20"/>
          <w:vertAlign w:val="superscript"/>
        </w:rPr>
        <w:footnoteReference w:id="28"/>
      </w:r>
    </w:p>
    <w:p w14:paraId="227CCEF0" w14:textId="77777777" w:rsidR="00957A78" w:rsidRPr="00E93E86" w:rsidRDefault="00957A78" w:rsidP="00957A78">
      <w:pPr>
        <w:jc w:val="center"/>
      </w:pPr>
      <w:r w:rsidRPr="00E93E86">
        <w:rPr>
          <w:noProof/>
        </w:rPr>
        <w:drawing>
          <wp:inline distT="0" distB="0" distL="0" distR="0" wp14:anchorId="3154EC5B" wp14:editId="21FC2A4A">
            <wp:extent cx="4933950" cy="2752725"/>
            <wp:effectExtent l="0" t="0" r="0" b="9525"/>
            <wp:docPr id="16120838" name="Chart 16120838"/>
            <wp:cNvGraphicFramePr/>
            <a:graphic xmlns:a="http://schemas.openxmlformats.org/drawingml/2006/main">
              <a:graphicData uri="http://schemas.openxmlformats.org/drawingml/2006/chart">
                <c:chart xmlns:c="http://schemas.openxmlformats.org/drawingml/2006/chart" xmlns:r="http://schemas.openxmlformats.org/officeDocument/2006/relationships" r:id="rId97"/>
              </a:graphicData>
            </a:graphic>
          </wp:inline>
        </w:drawing>
      </w:r>
    </w:p>
    <w:p w14:paraId="291B9858" w14:textId="77777777" w:rsidR="00957A78" w:rsidRPr="00947715" w:rsidRDefault="00957A78" w:rsidP="00957A78">
      <w:pPr>
        <w:pStyle w:val="BodyText1"/>
        <w:ind w:left="0"/>
        <w:rPr>
          <w:szCs w:val="22"/>
          <w:lang w:val="hy-AM"/>
        </w:rPr>
      </w:pPr>
      <w:r w:rsidRPr="00947715">
        <w:rPr>
          <w:szCs w:val="22"/>
          <w:lang w:val="hy-AM"/>
        </w:rPr>
        <w:t xml:space="preserve">2025 թվականին 20 ՊՄԸ-ների ֆինանսական հաշվետվությունների՝ առնվազն 3 տարիների հիման վրա, իրականացվել է ֆինանսական վիճակի գնահատում՝ Արժույթի միջազգային հիմնադրամի «Ֆինանսական առողջության գնահատման» և «z-score» գործիքակազմի կիրառմամբ: Առանձնացնելով ՊՄԸ-ների պորտֆելում ակտիվների մեծ տեսակարար կշիռ ունեցող 20 ընկերություն՝ կատարվել են մի շարք վերլուծություններ։ Մասնավորապես՝ 2024 թվականին 20 ընկերության ակտիվների ծավալը կազմել է ընդհանուր ակտիվների պորտֆելի 76.4%-ը, մինչդեռ նրանց պարտավորությունները կազմում են ընդհանուր պարտավորությունների պորտֆելի 82.1%-ը: Ուսումնասիրված ընկերություններն են՝ «Հայկական ատոմային էլեկտրակայան» ՓԲԸ-ն, «Բարձրավոլտ էլեկտրացանցեր» ՓԲԸ-ն, «Երևանի ՋԷԿ» ՓԲԸ-ն, «Ջրառ» ՓԲԸ-ն, «Երևանի Ավտոբուս» ՓԲԸ-ն, «Հայփոստ» ՓԲԸ-ն, ««Սուրբ Գրիգոր Լուսավորիչ» բժշկական կենտրոն» ՓԲԸ-ն, «Կարեն Դեմիրճյանի անվան Երևանի մետրոպոլիտեն» ՓԲԸ-ն, «Հայաստանի հեռուստատեսային և ռադիոհաղորդիչ ցանց» ՓԲԸ-ն, «Էլեկտրաէներգետիկական համակարգի օպերատոր» ՓԲԸ-ն, «Հայաստանի հանրային հեռուստաընկերություն» ՓԲԸ-ն, «Վ. Ա. Ֆանարջյանի անվան ուռուցքաբանության ազգային կենտրոն» ՓԲԸ-ն, «Վանաձորի բժշկական կենտրոն» ՓԲԸ-ն, «Հայաէրոնավիգացիա» ՓԲԸ-ն, «Գյումրու բժշկական կենտրոն»  ՓԲԸ-ն, «Նորք-Մարաշ» բժշկական կենտրոն» ՓԲԸ-ն, «Երևանի էլեկտրատրանսպորտ» ՓԲԸ-ն, «Հայ-Ալմաստ» ՓԲԸ-ն, «Հաշվարկային կենտրոն» ՓԲԸ-ն և «Էներգաիմպէքս» ՓԲԸ-ն: Հաշվի առնելով վերջիններիս ակտիվների գերակշռող մակարդակը և հետևաբար դրանց նշանակությունը թե՛ հանրային շահի, թե՛ ֆինանսական կայունության տեսանկյունից՝ ստորև վերլուծվել է 20 ՊՄԸ-ների ֆինանսական առողջության մակարդակը։ Ներկայացվել են նաև այդ ընկերությունների շարքում քվազի-ֆիսկալ գործունեության օրինակներ։ </w:t>
      </w:r>
    </w:p>
    <w:p w14:paraId="22B02291" w14:textId="77777777" w:rsidR="00957A78" w:rsidRPr="00947715" w:rsidRDefault="00957A78" w:rsidP="00957A78">
      <w:pPr>
        <w:pStyle w:val="BodyText1"/>
        <w:ind w:left="0"/>
        <w:rPr>
          <w:szCs w:val="22"/>
          <w:lang w:val="hy-AM"/>
        </w:rPr>
      </w:pPr>
      <w:r w:rsidRPr="00947715">
        <w:rPr>
          <w:szCs w:val="22"/>
          <w:lang w:val="hy-AM"/>
        </w:rPr>
        <w:t>Հաշվի առնելով, որ «Կարեն Դեմիրճյանի անվան Երևանի մետրոպոլիտեն» ՓԲԸ-ի կողմից մատուցվող ծառայությունների արժեքը ցածր է շուկայականից՝ պետությունն աջակցում է ընկերությանը՝ գործառնական գործունեության արդյունքում առաջացող ֆինանսական ճեղքվածքի չափով: Մասնավորապես, 2024թ.-ին ֆինանսական ճեղքվածքի ծածկմանն ուղղվել է շուրջ 1.9 մլրդ ՀՀ դրամ: «Ջրառ» ՓԲԸ-ին ուղղվել է շուրջ 1.3 մլրդ ՀՀ դրամ՝ ոռոգման ջրի սակագնի և նվազագույն շահավետ գնի տարբերության չափով</w:t>
      </w:r>
      <w:r>
        <w:rPr>
          <w:rStyle w:val="FootnoteReference"/>
          <w:szCs w:val="22"/>
          <w:lang w:val="hy-AM"/>
        </w:rPr>
        <w:footnoteReference w:id="29"/>
      </w:r>
      <w:r w:rsidRPr="00947715">
        <w:rPr>
          <w:szCs w:val="22"/>
          <w:lang w:val="hy-AM"/>
        </w:rPr>
        <w:t>:</w:t>
      </w:r>
    </w:p>
    <w:p w14:paraId="5A2AC9CC" w14:textId="77777777" w:rsidR="00957A78" w:rsidRDefault="00957A78" w:rsidP="00957A78">
      <w:pPr>
        <w:pStyle w:val="BodyText1"/>
        <w:rPr>
          <w:lang w:val="hy-AM"/>
        </w:rPr>
      </w:pPr>
    </w:p>
    <w:p w14:paraId="368C8EFF" w14:textId="77777777" w:rsidR="00957A78" w:rsidRPr="001D2D3B" w:rsidRDefault="00957A78" w:rsidP="00957A78">
      <w:pPr>
        <w:pStyle w:val="BodyText1"/>
        <w:rPr>
          <w:vertAlign w:val="superscript"/>
          <w:lang w:val="hy-AM"/>
        </w:rPr>
      </w:pPr>
      <w:r w:rsidRPr="001D2D3B">
        <w:rPr>
          <w:lang w:val="hy-AM"/>
        </w:rPr>
        <w:t>ՊՄԸ-ՆԵՐԻ ՖԻՆԱՆՍԱԿԱՆ ԱՌՈՂՋՈՒԹՅԱՆ ՎԵՐԼՈՒԾՈՒԹՅՈՒՆ</w:t>
      </w:r>
    </w:p>
    <w:p w14:paraId="49569817" w14:textId="77777777" w:rsidR="00957A78" w:rsidRPr="00947715" w:rsidRDefault="00957A78" w:rsidP="00957A78">
      <w:pPr>
        <w:pStyle w:val="BodyText1"/>
        <w:ind w:left="0"/>
        <w:rPr>
          <w:szCs w:val="22"/>
          <w:lang w:val="hy-AM"/>
        </w:rPr>
      </w:pPr>
      <w:r w:rsidRPr="00947715">
        <w:rPr>
          <w:szCs w:val="22"/>
          <w:lang w:val="hy-AM"/>
        </w:rPr>
        <w:t xml:space="preserve">Վերլուծությունը կատարվել է շահութաբերության, իրացվելիության և վճարունակության ցուցանիշների գնահատումների հիման վրա, որոնց արդյունքում ռիսկայնության մակարդակը դասակարգվել է ըստ կատեգորիանների: Ընդ որում, 1-ին կատեգորիան նշում է ռիսկի ցածր մակարդակ, իսկ 5-րդը՝ ռիսկի բարձր մակարդակ (տես՝ աղյուսակ 2): Վերլուծության համաձայն՝ </w:t>
      </w:r>
      <w:r w:rsidRPr="00B40093">
        <w:rPr>
          <w:i/>
          <w:szCs w:val="22"/>
          <w:lang w:val="hy-AM"/>
        </w:rPr>
        <w:t>ՊՄԸ-ների ռիսկի միջին կշռված մակարդակը 2024թ. դրությամբ 3-րդ կատեգորիայում է</w:t>
      </w:r>
      <w:r w:rsidRPr="00947715">
        <w:rPr>
          <w:szCs w:val="22"/>
          <w:lang w:val="hy-AM"/>
        </w:rPr>
        <w:t xml:space="preserve"> (տես՝ աղյուսակ 3): Ի թիվս այլ ֆինանսական ցուցանիշների՝ վերլուծված ընկերությունների պարտքի մակարդակը</w:t>
      </w:r>
      <w:r>
        <w:rPr>
          <w:rStyle w:val="FootnoteReference"/>
          <w:szCs w:val="22"/>
          <w:lang w:val="hy-AM"/>
        </w:rPr>
        <w:footnoteReference w:id="30"/>
      </w:r>
      <w:r w:rsidRPr="00947715">
        <w:rPr>
          <w:szCs w:val="22"/>
          <w:lang w:val="hy-AM"/>
        </w:rPr>
        <w:t xml:space="preserve"> շարունակում է մնալ բարձր։ Պարտքի բարձր մակարդակը կարող է հանգեցնել պետության կողմից աջակցության կարիքի առաջացման հավանականության բարձրացմանը` ֆինանսական անկայունության պայմաններում: ՊՄԸ-ների ֆինանսական առողջությունը հատկապես վատթարացել է 2020 և 2021 թվականներին, ինչը պայմանավորված է COVID-19-ի համավարակի ազդեցությամբ: 2023-2024թթ.-ին, չնայած պարտքի մակարդակի իջեցմանը, այն դեռևս մնում է էական:</w:t>
      </w:r>
    </w:p>
    <w:p w14:paraId="1A1580D3" w14:textId="77777777" w:rsidR="00957A78" w:rsidRPr="00947715" w:rsidRDefault="00957A78" w:rsidP="00957A78">
      <w:pPr>
        <w:pStyle w:val="BodyText1"/>
        <w:ind w:left="0"/>
        <w:rPr>
          <w:szCs w:val="22"/>
          <w:lang w:val="hy-AM"/>
        </w:rPr>
      </w:pPr>
      <w:r w:rsidRPr="00947715">
        <w:rPr>
          <w:szCs w:val="22"/>
          <w:lang w:val="hy-AM"/>
        </w:rPr>
        <w:t>2024թ</w:t>
      </w:r>
      <w:r w:rsidRPr="00947715">
        <w:rPr>
          <w:rFonts w:ascii="Cambria Math" w:hAnsi="Cambria Math" w:cs="Cambria Math"/>
          <w:szCs w:val="22"/>
          <w:lang w:val="hy-AM"/>
        </w:rPr>
        <w:t>․</w:t>
      </w:r>
      <w:r w:rsidRPr="00947715">
        <w:rPr>
          <w:szCs w:val="22"/>
          <w:lang w:val="hy-AM"/>
        </w:rPr>
        <w:t>-ին դիտարկված ընկերություններից 11-ը շահութաբեր են եղել, իսկ 9-ը աշխատել են վնասով:</w:t>
      </w:r>
    </w:p>
    <w:p w14:paraId="45FBE9A8" w14:textId="77777777" w:rsidR="00957A78" w:rsidRPr="0034648D" w:rsidRDefault="00957A78" w:rsidP="00957A78">
      <w:pPr>
        <w:jc w:val="center"/>
        <w:rPr>
          <w:b/>
          <w:i/>
          <w:sz w:val="20"/>
          <w:szCs w:val="20"/>
          <w:lang w:val="hy-AM"/>
        </w:rPr>
      </w:pPr>
    </w:p>
    <w:p w14:paraId="6C3FA50D" w14:textId="77777777" w:rsidR="00957A78" w:rsidRPr="00E93E86" w:rsidRDefault="00957A78" w:rsidP="00957A78">
      <w:pPr>
        <w:rPr>
          <w:i/>
          <w:sz w:val="20"/>
          <w:szCs w:val="20"/>
        </w:rPr>
      </w:pPr>
      <w:r w:rsidRPr="00E93E86">
        <w:rPr>
          <w:b/>
          <w:i/>
          <w:sz w:val="20"/>
          <w:szCs w:val="20"/>
        </w:rPr>
        <w:t xml:space="preserve">Աղյուսակ 2. </w:t>
      </w:r>
      <w:r w:rsidRPr="00E93E86">
        <w:rPr>
          <w:i/>
          <w:sz w:val="20"/>
          <w:szCs w:val="20"/>
        </w:rPr>
        <w:t>Ռիսկի դասակարգումը</w:t>
      </w:r>
    </w:p>
    <w:tbl>
      <w:tblPr>
        <w:tblStyle w:val="TableGrid"/>
        <w:tblW w:w="10028"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2"/>
        <w:gridCol w:w="1938"/>
        <w:gridCol w:w="1890"/>
        <w:gridCol w:w="1189"/>
        <w:gridCol w:w="800"/>
        <w:gridCol w:w="969"/>
        <w:gridCol w:w="1382"/>
        <w:gridCol w:w="18"/>
      </w:tblGrid>
      <w:tr w:rsidR="00957A78" w14:paraId="3ECB8A56" w14:textId="77777777" w:rsidTr="0076022A">
        <w:trPr>
          <w:gridAfter w:val="1"/>
          <w:wAfter w:w="18" w:type="dxa"/>
          <w:trHeight w:val="360"/>
          <w:jc w:val="center"/>
        </w:trPr>
        <w:tc>
          <w:tcPr>
            <w:tcW w:w="1842" w:type="dxa"/>
            <w:shd w:val="clear" w:color="auto" w:fill="008A3E"/>
            <w:vAlign w:val="center"/>
          </w:tcPr>
          <w:p w14:paraId="60ABC773" w14:textId="77777777" w:rsidR="00957A78" w:rsidRPr="0076022A" w:rsidRDefault="00957A78" w:rsidP="00A72B0A">
            <w:pPr>
              <w:rPr>
                <w:color w:val="FFFFFF" w:themeColor="background1"/>
                <w:sz w:val="20"/>
                <w:lang w:val="hy-AM"/>
              </w:rPr>
            </w:pPr>
            <w:r w:rsidRPr="0076022A">
              <w:rPr>
                <w:color w:val="FFFFFF" w:themeColor="background1"/>
                <w:sz w:val="20"/>
                <w:lang w:val="hy-AM"/>
              </w:rPr>
              <w:t>1-ին կատեգորիա</w:t>
            </w:r>
          </w:p>
        </w:tc>
        <w:tc>
          <w:tcPr>
            <w:tcW w:w="1938" w:type="dxa"/>
            <w:shd w:val="clear" w:color="auto" w:fill="FFC000" w:themeFill="accent4"/>
            <w:vAlign w:val="center"/>
          </w:tcPr>
          <w:p w14:paraId="390F7DFD" w14:textId="77777777" w:rsidR="00957A78" w:rsidRPr="0076022A" w:rsidRDefault="00957A78" w:rsidP="00A72B0A">
            <w:pPr>
              <w:rPr>
                <w:color w:val="FFFFFF" w:themeColor="background1"/>
                <w:sz w:val="20"/>
              </w:rPr>
            </w:pPr>
            <w:r w:rsidRPr="0076022A">
              <w:rPr>
                <w:color w:val="FFFFFF" w:themeColor="background1"/>
                <w:sz w:val="20"/>
                <w:lang w:val="hy-AM"/>
              </w:rPr>
              <w:t>2-րդ կատեգորիա</w:t>
            </w:r>
          </w:p>
        </w:tc>
        <w:tc>
          <w:tcPr>
            <w:tcW w:w="1890" w:type="dxa"/>
            <w:shd w:val="clear" w:color="auto" w:fill="ED7D31" w:themeFill="accent2"/>
            <w:vAlign w:val="center"/>
          </w:tcPr>
          <w:p w14:paraId="22612C60" w14:textId="77777777" w:rsidR="00957A78" w:rsidRPr="0076022A" w:rsidRDefault="00957A78" w:rsidP="00A72B0A">
            <w:pPr>
              <w:rPr>
                <w:color w:val="FFFFFF" w:themeColor="background1"/>
                <w:sz w:val="20"/>
              </w:rPr>
            </w:pPr>
            <w:r w:rsidRPr="0076022A">
              <w:rPr>
                <w:color w:val="FFFFFF" w:themeColor="background1"/>
                <w:sz w:val="20"/>
                <w:lang w:val="hy-AM"/>
              </w:rPr>
              <w:t>3-րդ կատեգորիա</w:t>
            </w:r>
          </w:p>
        </w:tc>
        <w:tc>
          <w:tcPr>
            <w:tcW w:w="1989" w:type="dxa"/>
            <w:gridSpan w:val="2"/>
            <w:shd w:val="clear" w:color="auto" w:fill="FF0000"/>
            <w:vAlign w:val="center"/>
          </w:tcPr>
          <w:p w14:paraId="04F03413" w14:textId="77777777" w:rsidR="00957A78" w:rsidRPr="0076022A" w:rsidRDefault="00957A78" w:rsidP="00A72B0A">
            <w:pPr>
              <w:rPr>
                <w:color w:val="FFFFFF" w:themeColor="background1"/>
                <w:sz w:val="20"/>
              </w:rPr>
            </w:pPr>
            <w:r w:rsidRPr="0076022A">
              <w:rPr>
                <w:color w:val="FFFFFF" w:themeColor="background1"/>
                <w:sz w:val="20"/>
                <w:lang w:val="hy-AM"/>
              </w:rPr>
              <w:t>4-րդ կատեգորիա</w:t>
            </w:r>
          </w:p>
        </w:tc>
        <w:tc>
          <w:tcPr>
            <w:tcW w:w="2351" w:type="dxa"/>
            <w:gridSpan w:val="2"/>
            <w:shd w:val="clear" w:color="auto" w:fill="C00000"/>
            <w:vAlign w:val="center"/>
          </w:tcPr>
          <w:p w14:paraId="0E0A5E2D" w14:textId="77777777" w:rsidR="00957A78" w:rsidRPr="0076022A" w:rsidRDefault="00957A78" w:rsidP="00A72B0A">
            <w:pPr>
              <w:rPr>
                <w:color w:val="FFFFFF" w:themeColor="background1"/>
                <w:sz w:val="20"/>
              </w:rPr>
            </w:pPr>
            <w:r w:rsidRPr="0076022A">
              <w:rPr>
                <w:color w:val="FFFFFF" w:themeColor="background1"/>
                <w:sz w:val="20"/>
                <w:lang w:val="hy-AM"/>
              </w:rPr>
              <w:t>5-րդ կատեգորիա</w:t>
            </w:r>
          </w:p>
        </w:tc>
      </w:tr>
      <w:tr w:rsidR="00957A78" w14:paraId="4EB01439" w14:textId="77777777" w:rsidTr="00A72B0A">
        <w:trPr>
          <w:trHeight w:val="576"/>
          <w:jc w:val="center"/>
        </w:trPr>
        <w:tc>
          <w:tcPr>
            <w:tcW w:w="10028" w:type="dxa"/>
            <w:gridSpan w:val="8"/>
            <w:vAlign w:val="bottom"/>
          </w:tcPr>
          <w:p w14:paraId="2186E29B" w14:textId="77777777" w:rsidR="00957A78" w:rsidRPr="004C6730" w:rsidRDefault="00957A78" w:rsidP="00A72B0A">
            <w:pPr>
              <w:jc w:val="center"/>
              <w:rPr>
                <w:lang w:val="hy-AM"/>
              </w:rPr>
            </w:pPr>
            <w:r w:rsidRPr="004C6730">
              <w:rPr>
                <w:lang w:val="hy-AM"/>
              </w:rPr>
              <w:t>ռիսկայնություն</w:t>
            </w:r>
          </w:p>
        </w:tc>
      </w:tr>
      <w:tr w:rsidR="00957A78" w14:paraId="3318300D" w14:textId="77777777" w:rsidTr="00A72B0A">
        <w:trPr>
          <w:trHeight w:val="288"/>
          <w:jc w:val="center"/>
        </w:trPr>
        <w:tc>
          <w:tcPr>
            <w:tcW w:w="6859" w:type="dxa"/>
            <w:gridSpan w:val="4"/>
            <w:vAlign w:val="center"/>
          </w:tcPr>
          <w:p w14:paraId="5404A639" w14:textId="77777777" w:rsidR="00957A78" w:rsidRPr="00E7440A" w:rsidRDefault="00957A78" w:rsidP="00A72B0A">
            <w:pPr>
              <w:rPr>
                <w:sz w:val="18"/>
                <w:szCs w:val="18"/>
                <w:lang w:val="hy-AM"/>
              </w:rPr>
            </w:pPr>
            <w:r>
              <w:rPr>
                <w:noProof/>
              </w:rPr>
              <mc:AlternateContent>
                <mc:Choice Requires="wps">
                  <w:drawing>
                    <wp:anchor distT="0" distB="0" distL="114300" distR="114300" simplePos="0" relativeHeight="251929600" behindDoc="0" locked="0" layoutInCell="1" allowOverlap="1" wp14:anchorId="61EF1A71" wp14:editId="2CD65EC8">
                      <wp:simplePos x="0" y="0"/>
                      <wp:positionH relativeFrom="column">
                        <wp:posOffset>539750</wp:posOffset>
                      </wp:positionH>
                      <wp:positionV relativeFrom="paragraph">
                        <wp:posOffset>107315</wp:posOffset>
                      </wp:positionV>
                      <wp:extent cx="5120640" cy="0"/>
                      <wp:effectExtent l="0" t="95250" r="0" b="95250"/>
                      <wp:wrapNone/>
                      <wp:docPr id="16120839" name="Straight Arrow Connector 16120839"/>
                      <wp:cNvGraphicFramePr/>
                      <a:graphic xmlns:a="http://schemas.openxmlformats.org/drawingml/2006/main">
                        <a:graphicData uri="http://schemas.microsoft.com/office/word/2010/wordprocessingShape">
                          <wps:wsp>
                            <wps:cNvCnPr/>
                            <wps:spPr>
                              <a:xfrm flipV="1">
                                <a:off x="0" y="0"/>
                                <a:ext cx="5120640" cy="0"/>
                              </a:xfrm>
                              <a:prstGeom prst="straightConnector1">
                                <a:avLst/>
                              </a:prstGeom>
                              <a:ln w="38100">
                                <a:gradFill flip="none" rotWithShape="1">
                                  <a:gsLst>
                                    <a:gs pos="0">
                                      <a:srgbClr val="00B050"/>
                                    </a:gs>
                                    <a:gs pos="26000">
                                      <a:schemeClr val="accent4"/>
                                    </a:gs>
                                    <a:gs pos="74000">
                                      <a:srgbClr val="FF0000"/>
                                    </a:gs>
                                    <a:gs pos="50000">
                                      <a:schemeClr val="accent2"/>
                                    </a:gs>
                                    <a:gs pos="100000">
                                      <a:srgbClr val="C00000"/>
                                    </a:gs>
                                  </a:gsLst>
                                  <a:lin ang="0" scaled="1"/>
                                  <a:tileRect/>
                                </a:gradFill>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type w14:anchorId="5D35543D" id="_x0000_t32" coordsize="21600,21600" o:spt="32" o:oned="t" path="m,l21600,21600e" filled="f">
                      <v:path arrowok="t" fillok="f" o:connecttype="none"/>
                      <o:lock v:ext="edit" shapetype="t"/>
                    </v:shapetype>
                    <v:shape id="Straight Arrow Connector 16120839" o:spid="_x0000_s1026" type="#_x0000_t32" style="position:absolute;margin-left:42.5pt;margin-top:8.45pt;width:403.2pt;height:0;flip:y;z-index:251929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" strokeweight="3pt">
                      <v:stroke startarrow="block" endarrow="block" joinstyle="miter"/>
                    </v:shape>
                  </w:pict>
                </mc:Fallback>
              </mc:AlternateContent>
            </w:r>
            <w:r>
              <w:rPr>
                <w:sz w:val="18"/>
                <w:szCs w:val="18"/>
                <w:lang w:val="hy-AM"/>
              </w:rPr>
              <w:t xml:space="preserve">     ՑԱԾՐ</w:t>
            </w:r>
          </w:p>
        </w:tc>
        <w:tc>
          <w:tcPr>
            <w:tcW w:w="1769" w:type="dxa"/>
            <w:gridSpan w:val="2"/>
            <w:vAlign w:val="center"/>
          </w:tcPr>
          <w:p w14:paraId="5169B88A" w14:textId="77777777" w:rsidR="00957A78" w:rsidRPr="00E7440A" w:rsidRDefault="00957A78" w:rsidP="00A72B0A">
            <w:pPr>
              <w:jc w:val="center"/>
              <w:rPr>
                <w:sz w:val="18"/>
                <w:szCs w:val="18"/>
              </w:rPr>
            </w:pPr>
          </w:p>
        </w:tc>
        <w:tc>
          <w:tcPr>
            <w:tcW w:w="1400" w:type="dxa"/>
            <w:gridSpan w:val="2"/>
            <w:vAlign w:val="center"/>
          </w:tcPr>
          <w:p w14:paraId="5FD96C2F" w14:textId="77777777" w:rsidR="00957A78" w:rsidRPr="00E7440A" w:rsidRDefault="00957A78" w:rsidP="00A72B0A">
            <w:pPr>
              <w:rPr>
                <w:sz w:val="18"/>
                <w:szCs w:val="18"/>
                <w:lang w:val="hy-AM"/>
              </w:rPr>
            </w:pPr>
            <w:r>
              <w:rPr>
                <w:sz w:val="18"/>
                <w:szCs w:val="18"/>
                <w:lang w:val="hy-AM"/>
              </w:rPr>
              <w:t xml:space="preserve">       </w:t>
            </w:r>
            <w:r w:rsidRPr="00E7440A">
              <w:rPr>
                <w:sz w:val="18"/>
                <w:szCs w:val="18"/>
                <w:lang w:val="hy-AM"/>
              </w:rPr>
              <w:t>ԲԱՐՁՐ</w:t>
            </w:r>
          </w:p>
        </w:tc>
      </w:tr>
    </w:tbl>
    <w:p w14:paraId="41F8288E" w14:textId="77777777" w:rsidR="00957A78" w:rsidRPr="00E93E86" w:rsidRDefault="00957A78" w:rsidP="00957A78">
      <w:pPr>
        <w:spacing w:after="0"/>
      </w:pPr>
    </w:p>
    <w:p w14:paraId="6838B483" w14:textId="77777777" w:rsidR="00957A78" w:rsidRPr="00E93E86" w:rsidRDefault="00957A78" w:rsidP="00957A78">
      <w:pPr>
        <w:rPr>
          <w:i/>
          <w:sz w:val="20"/>
          <w:szCs w:val="20"/>
        </w:rPr>
      </w:pPr>
      <w:r w:rsidRPr="00E93E86">
        <w:rPr>
          <w:b/>
          <w:i/>
          <w:sz w:val="20"/>
          <w:szCs w:val="20"/>
        </w:rPr>
        <w:t xml:space="preserve">Աղյուսակ 3. </w:t>
      </w:r>
      <w:r w:rsidRPr="007F4C51">
        <w:rPr>
          <w:i/>
          <w:sz w:val="20"/>
          <w:szCs w:val="20"/>
        </w:rPr>
        <w:t>ՊՄԸ-ների պորտֆելում ակտիվների մեծ տեսակարար կշիռ ունեցող</w:t>
      </w:r>
      <w:r w:rsidRPr="007F4C51">
        <w:rPr>
          <w:i/>
          <w:sz w:val="20"/>
          <w:szCs w:val="20"/>
          <w:lang w:val="hy-AM"/>
        </w:rPr>
        <w:t xml:space="preserve"> 10</w:t>
      </w:r>
      <w:r w:rsidRPr="007F4C51">
        <w:rPr>
          <w:i/>
          <w:sz w:val="20"/>
          <w:szCs w:val="20"/>
        </w:rPr>
        <w:t xml:space="preserve"> </w:t>
      </w:r>
      <w:r w:rsidRPr="007F4C51">
        <w:rPr>
          <w:i/>
          <w:sz w:val="20"/>
          <w:szCs w:val="20"/>
          <w:lang w:val="hy-AM"/>
        </w:rPr>
        <w:t>ընկերությունների ռիսկայնության մակարդակը</w:t>
      </w:r>
      <w:r>
        <w:rPr>
          <w:b/>
          <w:i/>
          <w:sz w:val="20"/>
          <w:szCs w:val="20"/>
          <w:lang w:val="hy-AM"/>
        </w:rPr>
        <w:t xml:space="preserve"> </w:t>
      </w:r>
    </w:p>
    <w:tbl>
      <w:tblPr>
        <w:tblW w:w="5268" w:type="pct"/>
        <w:tblInd w:w="-4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2179"/>
        <w:gridCol w:w="1472"/>
        <w:gridCol w:w="1450"/>
        <w:gridCol w:w="1334"/>
        <w:gridCol w:w="90"/>
        <w:gridCol w:w="1238"/>
        <w:gridCol w:w="210"/>
        <w:gridCol w:w="1117"/>
        <w:gridCol w:w="331"/>
        <w:gridCol w:w="983"/>
        <w:gridCol w:w="548"/>
      </w:tblGrid>
      <w:tr w:rsidR="00957A78" w:rsidRPr="00D35ADF" w14:paraId="54C7F7FC" w14:textId="77777777" w:rsidTr="000B0E06">
        <w:trPr>
          <w:gridAfter w:val="1"/>
          <w:wAfter w:w="250" w:type="pct"/>
          <w:trHeight w:val="615"/>
        </w:trPr>
        <w:tc>
          <w:tcPr>
            <w:tcW w:w="995" w:type="pct"/>
            <w:shd w:val="clear" w:color="auto" w:fill="auto"/>
            <w:vAlign w:val="center"/>
          </w:tcPr>
          <w:p w14:paraId="6271F921" w14:textId="77777777" w:rsidR="00957A78" w:rsidRPr="00630EAF" w:rsidRDefault="00957A78" w:rsidP="00A72B0A">
            <w:pPr>
              <w:spacing w:after="0"/>
              <w:jc w:val="center"/>
              <w:rPr>
                <w:b/>
                <w:color w:val="000000"/>
                <w:sz w:val="16"/>
                <w:szCs w:val="20"/>
              </w:rPr>
            </w:pPr>
            <w:r w:rsidRPr="00630EAF">
              <w:rPr>
                <w:b/>
                <w:color w:val="000000"/>
                <w:sz w:val="16"/>
                <w:szCs w:val="20"/>
              </w:rPr>
              <w:t>Կազմակերպության անվանում</w:t>
            </w:r>
          </w:p>
        </w:tc>
        <w:tc>
          <w:tcPr>
            <w:tcW w:w="672" w:type="pct"/>
            <w:shd w:val="clear" w:color="auto" w:fill="auto"/>
            <w:vAlign w:val="center"/>
          </w:tcPr>
          <w:p w14:paraId="496F4446" w14:textId="77777777" w:rsidR="00957A78" w:rsidRPr="00630EAF" w:rsidRDefault="00957A78" w:rsidP="00A72B0A">
            <w:pPr>
              <w:spacing w:after="0"/>
              <w:jc w:val="center"/>
              <w:rPr>
                <w:b/>
                <w:color w:val="000000"/>
                <w:sz w:val="16"/>
                <w:szCs w:val="20"/>
              </w:rPr>
            </w:pPr>
            <w:r w:rsidRPr="00630EAF">
              <w:rPr>
                <w:b/>
                <w:sz w:val="16"/>
                <w:szCs w:val="20"/>
              </w:rPr>
              <w:t>2019</w:t>
            </w:r>
          </w:p>
        </w:tc>
        <w:tc>
          <w:tcPr>
            <w:tcW w:w="662" w:type="pct"/>
            <w:shd w:val="clear" w:color="auto" w:fill="auto"/>
            <w:vAlign w:val="center"/>
          </w:tcPr>
          <w:p w14:paraId="4C9B10BD" w14:textId="77777777" w:rsidR="00957A78" w:rsidRPr="00630EAF" w:rsidRDefault="00957A78" w:rsidP="00A72B0A">
            <w:pPr>
              <w:spacing w:after="0"/>
              <w:jc w:val="center"/>
              <w:rPr>
                <w:b/>
                <w:color w:val="000000"/>
                <w:sz w:val="16"/>
                <w:szCs w:val="20"/>
              </w:rPr>
            </w:pPr>
            <w:r w:rsidRPr="00630EAF">
              <w:rPr>
                <w:b/>
                <w:sz w:val="16"/>
                <w:szCs w:val="20"/>
              </w:rPr>
              <w:t>2020</w:t>
            </w:r>
          </w:p>
        </w:tc>
        <w:tc>
          <w:tcPr>
            <w:tcW w:w="609" w:type="pct"/>
            <w:shd w:val="clear" w:color="auto" w:fill="auto"/>
            <w:vAlign w:val="center"/>
          </w:tcPr>
          <w:p w14:paraId="73DDFE4B" w14:textId="77777777" w:rsidR="00957A78" w:rsidRPr="00630EAF" w:rsidRDefault="00957A78" w:rsidP="00A72B0A">
            <w:pPr>
              <w:spacing w:after="0"/>
              <w:jc w:val="center"/>
              <w:rPr>
                <w:b/>
                <w:color w:val="000000"/>
                <w:sz w:val="16"/>
                <w:szCs w:val="20"/>
              </w:rPr>
            </w:pPr>
            <w:r w:rsidRPr="00630EAF">
              <w:rPr>
                <w:b/>
                <w:sz w:val="16"/>
                <w:szCs w:val="20"/>
              </w:rPr>
              <w:t>2021</w:t>
            </w:r>
          </w:p>
        </w:tc>
        <w:tc>
          <w:tcPr>
            <w:tcW w:w="606" w:type="pct"/>
            <w:gridSpan w:val="2"/>
            <w:shd w:val="clear" w:color="auto" w:fill="auto"/>
            <w:vAlign w:val="center"/>
          </w:tcPr>
          <w:p w14:paraId="26718912" w14:textId="77777777" w:rsidR="00957A78" w:rsidRPr="00630EAF" w:rsidRDefault="00957A78" w:rsidP="00A72B0A">
            <w:pPr>
              <w:spacing w:after="0"/>
              <w:jc w:val="center"/>
              <w:rPr>
                <w:b/>
                <w:color w:val="000000"/>
                <w:sz w:val="16"/>
                <w:szCs w:val="20"/>
              </w:rPr>
            </w:pPr>
            <w:r w:rsidRPr="00630EAF">
              <w:rPr>
                <w:b/>
                <w:color w:val="000000"/>
                <w:sz w:val="16"/>
                <w:szCs w:val="20"/>
              </w:rPr>
              <w:t>2022</w:t>
            </w:r>
          </w:p>
        </w:tc>
        <w:tc>
          <w:tcPr>
            <w:tcW w:w="606" w:type="pct"/>
            <w:gridSpan w:val="2"/>
            <w:vAlign w:val="center"/>
          </w:tcPr>
          <w:p w14:paraId="6CA43AE6" w14:textId="77777777" w:rsidR="00957A78" w:rsidRPr="00630EAF" w:rsidRDefault="00957A78" w:rsidP="00A72B0A">
            <w:pPr>
              <w:spacing w:after="0"/>
              <w:jc w:val="center"/>
              <w:rPr>
                <w:b/>
                <w:sz w:val="16"/>
                <w:szCs w:val="20"/>
              </w:rPr>
            </w:pPr>
            <w:r w:rsidRPr="00630EAF">
              <w:rPr>
                <w:b/>
                <w:sz w:val="16"/>
                <w:szCs w:val="20"/>
              </w:rPr>
              <w:t>2023</w:t>
            </w:r>
          </w:p>
        </w:tc>
        <w:tc>
          <w:tcPr>
            <w:tcW w:w="600" w:type="pct"/>
            <w:gridSpan w:val="2"/>
            <w:vAlign w:val="center"/>
          </w:tcPr>
          <w:p w14:paraId="73746EB5" w14:textId="77777777" w:rsidR="00957A78" w:rsidRPr="00630EAF" w:rsidRDefault="00957A78" w:rsidP="00A72B0A">
            <w:pPr>
              <w:spacing w:after="0"/>
              <w:jc w:val="center"/>
              <w:rPr>
                <w:b/>
                <w:sz w:val="16"/>
                <w:szCs w:val="20"/>
              </w:rPr>
            </w:pPr>
            <w:r w:rsidRPr="00630EAF">
              <w:rPr>
                <w:b/>
                <w:sz w:val="16"/>
                <w:szCs w:val="20"/>
              </w:rPr>
              <w:t>2024</w:t>
            </w:r>
          </w:p>
        </w:tc>
      </w:tr>
      <w:tr w:rsidR="000B0E06" w:rsidRPr="00D35ADF" w14:paraId="201DC0AB" w14:textId="77777777" w:rsidTr="000B0E06">
        <w:trPr>
          <w:trHeight w:val="186"/>
        </w:trPr>
        <w:tc>
          <w:tcPr>
            <w:tcW w:w="995" w:type="pct"/>
            <w:shd w:val="clear" w:color="auto" w:fill="D5DCE4" w:themeFill="text2" w:themeFillTint="33"/>
            <w:vAlign w:val="center"/>
          </w:tcPr>
          <w:p w14:paraId="16815D7C" w14:textId="77777777" w:rsidR="00957A78" w:rsidRPr="000B0E06" w:rsidRDefault="00957A78" w:rsidP="00A72B0A">
            <w:pPr>
              <w:spacing w:after="0"/>
              <w:ind w:left="-97" w:right="-107"/>
              <w:jc w:val="center"/>
              <w:rPr>
                <w:rFonts w:ascii="GHEA Grapalat" w:hAnsi="GHEA Grapalat"/>
                <w:color w:val="000000"/>
                <w:sz w:val="16"/>
              </w:rPr>
            </w:pPr>
            <w:r w:rsidRPr="000B0E06">
              <w:rPr>
                <w:rFonts w:ascii="GHEA Grapalat" w:hAnsi="GHEA Grapalat"/>
                <w:color w:val="000000"/>
                <w:sz w:val="16"/>
              </w:rPr>
              <w:t>«Հայկական ատոմային էլեկտրակայան» ՓԲԸ</w:t>
            </w:r>
          </w:p>
        </w:tc>
        <w:tc>
          <w:tcPr>
            <w:tcW w:w="672" w:type="pct"/>
            <w:shd w:val="clear" w:color="auto" w:fill="FF0000"/>
            <w:vAlign w:val="center"/>
          </w:tcPr>
          <w:p w14:paraId="7BEC16D7" w14:textId="77777777" w:rsidR="00957A78" w:rsidRPr="000B0E06" w:rsidRDefault="00957A78" w:rsidP="00A72B0A">
            <w:pPr>
              <w:spacing w:after="0"/>
              <w:jc w:val="center"/>
              <w:rPr>
                <w:rFonts w:ascii="GHEA Grapalat" w:hAnsi="GHEA Grapalat"/>
                <w:color w:val="000000"/>
                <w:sz w:val="14"/>
                <w:szCs w:val="14"/>
              </w:rPr>
            </w:pPr>
            <w:r w:rsidRPr="000B0E06">
              <w:rPr>
                <w:rFonts w:ascii="GHEA Grapalat" w:hAnsi="GHEA Grapalat"/>
                <w:color w:val="FFFFFF"/>
                <w:sz w:val="14"/>
                <w:szCs w:val="14"/>
              </w:rPr>
              <w:t>4-րդ կատեգորիա</w:t>
            </w:r>
          </w:p>
        </w:tc>
        <w:tc>
          <w:tcPr>
            <w:tcW w:w="662" w:type="pct"/>
            <w:shd w:val="clear" w:color="auto" w:fill="FF0000"/>
            <w:vAlign w:val="center"/>
          </w:tcPr>
          <w:p w14:paraId="2B352A2C" w14:textId="77777777" w:rsidR="00957A78" w:rsidRPr="000B0E06" w:rsidRDefault="00957A78" w:rsidP="00A72B0A">
            <w:pPr>
              <w:spacing w:after="0"/>
              <w:jc w:val="center"/>
              <w:rPr>
                <w:rFonts w:ascii="GHEA Grapalat" w:hAnsi="GHEA Grapalat"/>
                <w:color w:val="FFFFFF"/>
                <w:sz w:val="14"/>
                <w:szCs w:val="14"/>
              </w:rPr>
            </w:pPr>
            <w:r w:rsidRPr="000B0E06">
              <w:rPr>
                <w:rFonts w:ascii="GHEA Grapalat" w:hAnsi="GHEA Grapalat"/>
                <w:color w:val="FFFFFF"/>
                <w:sz w:val="14"/>
                <w:szCs w:val="14"/>
              </w:rPr>
              <w:t>4-րդ կատեգորիա</w:t>
            </w:r>
          </w:p>
        </w:tc>
        <w:tc>
          <w:tcPr>
            <w:tcW w:w="650" w:type="pct"/>
            <w:gridSpan w:val="2"/>
            <w:shd w:val="clear" w:color="auto" w:fill="FF0000"/>
            <w:vAlign w:val="center"/>
          </w:tcPr>
          <w:p w14:paraId="319F9B66" w14:textId="77777777" w:rsidR="00957A78" w:rsidRPr="000B0E06" w:rsidRDefault="00957A78" w:rsidP="00A72B0A">
            <w:pPr>
              <w:spacing w:after="0"/>
              <w:jc w:val="center"/>
              <w:rPr>
                <w:rFonts w:ascii="GHEA Grapalat" w:hAnsi="GHEA Grapalat"/>
                <w:color w:val="FFFFFF"/>
                <w:sz w:val="14"/>
                <w:szCs w:val="14"/>
              </w:rPr>
            </w:pPr>
            <w:r w:rsidRPr="000B0E06">
              <w:rPr>
                <w:rFonts w:ascii="GHEA Grapalat" w:hAnsi="GHEA Grapalat"/>
                <w:color w:val="FFFFFF"/>
                <w:sz w:val="14"/>
                <w:szCs w:val="14"/>
              </w:rPr>
              <w:t>4-րդ կատեգորիա</w:t>
            </w:r>
          </w:p>
        </w:tc>
        <w:tc>
          <w:tcPr>
            <w:tcW w:w="661" w:type="pct"/>
            <w:gridSpan w:val="2"/>
            <w:shd w:val="clear" w:color="auto" w:fill="ED7D31" w:themeFill="accent2"/>
            <w:vAlign w:val="center"/>
          </w:tcPr>
          <w:p w14:paraId="5319617C" w14:textId="77777777" w:rsidR="00957A78" w:rsidRPr="000B0E06" w:rsidRDefault="00957A78" w:rsidP="00A72B0A">
            <w:pPr>
              <w:spacing w:after="0"/>
              <w:jc w:val="center"/>
              <w:rPr>
                <w:rFonts w:ascii="GHEA Grapalat" w:hAnsi="GHEA Grapalat"/>
                <w:color w:val="000000"/>
                <w:sz w:val="14"/>
                <w:szCs w:val="14"/>
              </w:rPr>
            </w:pPr>
            <w:r w:rsidRPr="000B0E06">
              <w:rPr>
                <w:rFonts w:ascii="GHEA Grapalat" w:hAnsi="GHEA Grapalat"/>
                <w:color w:val="000000"/>
                <w:sz w:val="14"/>
                <w:szCs w:val="14"/>
              </w:rPr>
              <w:t>3-րդ կատեգորիա</w:t>
            </w:r>
          </w:p>
        </w:tc>
        <w:tc>
          <w:tcPr>
            <w:tcW w:w="661" w:type="pct"/>
            <w:gridSpan w:val="2"/>
            <w:shd w:val="clear" w:color="auto" w:fill="FF0000"/>
            <w:vAlign w:val="center"/>
          </w:tcPr>
          <w:p w14:paraId="0FBDAC30" w14:textId="77777777" w:rsidR="00957A78" w:rsidRPr="000B0E06" w:rsidRDefault="00957A78" w:rsidP="00A72B0A">
            <w:pPr>
              <w:spacing w:after="0"/>
              <w:jc w:val="center"/>
              <w:rPr>
                <w:rFonts w:ascii="GHEA Grapalat" w:hAnsi="GHEA Grapalat"/>
                <w:sz w:val="14"/>
                <w:szCs w:val="14"/>
              </w:rPr>
            </w:pPr>
            <w:r w:rsidRPr="000B0E06">
              <w:rPr>
                <w:rFonts w:ascii="GHEA Grapalat" w:hAnsi="GHEA Grapalat"/>
                <w:color w:val="FFFFFF"/>
                <w:sz w:val="14"/>
                <w:szCs w:val="14"/>
              </w:rPr>
              <w:t>4-րդ կատեգորիա</w:t>
            </w:r>
          </w:p>
        </w:tc>
        <w:tc>
          <w:tcPr>
            <w:tcW w:w="699" w:type="pct"/>
            <w:gridSpan w:val="2"/>
            <w:shd w:val="clear" w:color="auto" w:fill="FF0000"/>
            <w:vAlign w:val="center"/>
          </w:tcPr>
          <w:p w14:paraId="7A83749E" w14:textId="77777777" w:rsidR="00957A78" w:rsidRPr="000B0E06" w:rsidRDefault="00957A78" w:rsidP="00A72B0A">
            <w:pPr>
              <w:spacing w:after="0"/>
              <w:jc w:val="center"/>
              <w:rPr>
                <w:rFonts w:ascii="GHEA Grapalat" w:hAnsi="GHEA Grapalat"/>
                <w:sz w:val="14"/>
                <w:szCs w:val="14"/>
              </w:rPr>
            </w:pPr>
            <w:r w:rsidRPr="000B0E06">
              <w:rPr>
                <w:rFonts w:ascii="GHEA Grapalat" w:hAnsi="GHEA Grapalat"/>
                <w:color w:val="FFFFFF"/>
                <w:sz w:val="14"/>
                <w:szCs w:val="14"/>
              </w:rPr>
              <w:t>4-րդ կատեգորիա</w:t>
            </w:r>
          </w:p>
        </w:tc>
      </w:tr>
      <w:tr w:rsidR="000B0E06" w:rsidRPr="00D35ADF" w14:paraId="0582BEC9" w14:textId="77777777" w:rsidTr="000B0E06">
        <w:trPr>
          <w:trHeight w:val="186"/>
        </w:trPr>
        <w:tc>
          <w:tcPr>
            <w:tcW w:w="995" w:type="pct"/>
            <w:shd w:val="clear" w:color="auto" w:fill="FFFFFF" w:themeFill="background1"/>
            <w:vAlign w:val="center"/>
          </w:tcPr>
          <w:p w14:paraId="30752FEC" w14:textId="77777777" w:rsidR="00957A78" w:rsidRPr="000B0E06" w:rsidRDefault="00957A78" w:rsidP="00A72B0A">
            <w:pPr>
              <w:spacing w:after="0"/>
              <w:ind w:left="-97" w:right="-107"/>
              <w:jc w:val="center"/>
              <w:rPr>
                <w:rFonts w:ascii="GHEA Grapalat" w:hAnsi="GHEA Grapalat"/>
                <w:color w:val="000000"/>
                <w:sz w:val="16"/>
              </w:rPr>
            </w:pPr>
            <w:r w:rsidRPr="000B0E06">
              <w:rPr>
                <w:rFonts w:ascii="GHEA Grapalat" w:hAnsi="GHEA Grapalat"/>
                <w:color w:val="000000"/>
                <w:sz w:val="16"/>
              </w:rPr>
              <w:t>«Բարձրավոլտ էլեկտրացանցեր» ՓԲԸ</w:t>
            </w:r>
          </w:p>
        </w:tc>
        <w:tc>
          <w:tcPr>
            <w:tcW w:w="672" w:type="pct"/>
            <w:shd w:val="clear" w:color="auto" w:fill="ED7D31" w:themeFill="accent2"/>
            <w:vAlign w:val="center"/>
          </w:tcPr>
          <w:p w14:paraId="1ABC355F" w14:textId="77777777" w:rsidR="00957A78" w:rsidRPr="000B0E06" w:rsidRDefault="00957A78" w:rsidP="00A72B0A">
            <w:pPr>
              <w:spacing w:after="0"/>
              <w:jc w:val="center"/>
              <w:rPr>
                <w:rFonts w:ascii="GHEA Grapalat" w:hAnsi="GHEA Grapalat"/>
                <w:color w:val="FFFFFF"/>
                <w:sz w:val="14"/>
                <w:szCs w:val="14"/>
              </w:rPr>
            </w:pPr>
            <w:r w:rsidRPr="000B0E06">
              <w:rPr>
                <w:rFonts w:ascii="GHEA Grapalat" w:hAnsi="GHEA Grapalat"/>
                <w:color w:val="000000"/>
                <w:sz w:val="14"/>
                <w:szCs w:val="14"/>
              </w:rPr>
              <w:t>3-րդ կատեգորիա</w:t>
            </w:r>
          </w:p>
        </w:tc>
        <w:tc>
          <w:tcPr>
            <w:tcW w:w="662" w:type="pct"/>
            <w:shd w:val="clear" w:color="auto" w:fill="FF0000"/>
            <w:vAlign w:val="center"/>
          </w:tcPr>
          <w:p w14:paraId="41583FAC" w14:textId="77777777" w:rsidR="00957A78" w:rsidRPr="000B0E06" w:rsidRDefault="00957A78" w:rsidP="00A72B0A">
            <w:pPr>
              <w:spacing w:after="0"/>
              <w:jc w:val="center"/>
              <w:rPr>
                <w:rFonts w:ascii="GHEA Grapalat" w:hAnsi="GHEA Grapalat"/>
                <w:color w:val="FFFFFF"/>
                <w:sz w:val="14"/>
                <w:szCs w:val="14"/>
              </w:rPr>
            </w:pPr>
            <w:r w:rsidRPr="000B0E06">
              <w:rPr>
                <w:rFonts w:ascii="GHEA Grapalat" w:hAnsi="GHEA Grapalat"/>
                <w:color w:val="FFFFFF"/>
                <w:sz w:val="14"/>
                <w:szCs w:val="14"/>
              </w:rPr>
              <w:t>4-րդ կատեգորիա</w:t>
            </w:r>
          </w:p>
        </w:tc>
        <w:tc>
          <w:tcPr>
            <w:tcW w:w="650" w:type="pct"/>
            <w:gridSpan w:val="2"/>
            <w:shd w:val="clear" w:color="auto" w:fill="ED7D31" w:themeFill="accent2"/>
            <w:vAlign w:val="center"/>
          </w:tcPr>
          <w:p w14:paraId="718F923B" w14:textId="77777777" w:rsidR="00957A78" w:rsidRPr="000B0E06" w:rsidRDefault="00957A78" w:rsidP="00A72B0A">
            <w:pPr>
              <w:spacing w:after="0"/>
              <w:jc w:val="center"/>
              <w:rPr>
                <w:rFonts w:ascii="GHEA Grapalat" w:hAnsi="GHEA Grapalat"/>
                <w:color w:val="FFFFFF"/>
                <w:sz w:val="14"/>
                <w:szCs w:val="14"/>
              </w:rPr>
            </w:pPr>
            <w:r w:rsidRPr="000B0E06">
              <w:rPr>
                <w:rFonts w:ascii="GHEA Grapalat" w:hAnsi="GHEA Grapalat"/>
                <w:color w:val="000000"/>
                <w:sz w:val="14"/>
                <w:szCs w:val="14"/>
              </w:rPr>
              <w:t>3-րդ կատեգորիա</w:t>
            </w:r>
          </w:p>
        </w:tc>
        <w:tc>
          <w:tcPr>
            <w:tcW w:w="661" w:type="pct"/>
            <w:gridSpan w:val="2"/>
            <w:shd w:val="clear" w:color="auto" w:fill="ED7D31" w:themeFill="accent2"/>
            <w:vAlign w:val="center"/>
          </w:tcPr>
          <w:p w14:paraId="2BE9DF17" w14:textId="77777777" w:rsidR="00957A78" w:rsidRPr="000B0E06" w:rsidRDefault="00957A78" w:rsidP="00A72B0A">
            <w:pPr>
              <w:spacing w:after="0"/>
              <w:jc w:val="center"/>
              <w:rPr>
                <w:rFonts w:ascii="GHEA Grapalat" w:hAnsi="GHEA Grapalat"/>
                <w:color w:val="000000"/>
                <w:sz w:val="14"/>
                <w:szCs w:val="14"/>
              </w:rPr>
            </w:pPr>
            <w:r w:rsidRPr="000B0E06">
              <w:rPr>
                <w:rFonts w:ascii="GHEA Grapalat" w:hAnsi="GHEA Grapalat"/>
                <w:color w:val="000000"/>
                <w:sz w:val="14"/>
                <w:szCs w:val="14"/>
              </w:rPr>
              <w:t>3-րդ կատեգորիա</w:t>
            </w:r>
          </w:p>
        </w:tc>
        <w:tc>
          <w:tcPr>
            <w:tcW w:w="661" w:type="pct"/>
            <w:gridSpan w:val="2"/>
            <w:shd w:val="clear" w:color="auto" w:fill="ED7D31" w:themeFill="accent2"/>
            <w:vAlign w:val="center"/>
          </w:tcPr>
          <w:p w14:paraId="4620405C" w14:textId="77777777" w:rsidR="00957A78" w:rsidRPr="000B0E06" w:rsidRDefault="00957A78" w:rsidP="00A72B0A">
            <w:pPr>
              <w:spacing w:after="0"/>
              <w:jc w:val="center"/>
              <w:rPr>
                <w:rFonts w:ascii="GHEA Grapalat" w:hAnsi="GHEA Grapalat"/>
                <w:sz w:val="14"/>
                <w:szCs w:val="14"/>
              </w:rPr>
            </w:pPr>
            <w:r w:rsidRPr="000B0E06">
              <w:rPr>
                <w:rFonts w:ascii="GHEA Grapalat" w:hAnsi="GHEA Grapalat"/>
                <w:sz w:val="14"/>
                <w:szCs w:val="14"/>
              </w:rPr>
              <w:t>3-րդ կատեգորիա</w:t>
            </w:r>
          </w:p>
        </w:tc>
        <w:tc>
          <w:tcPr>
            <w:tcW w:w="699" w:type="pct"/>
            <w:gridSpan w:val="2"/>
            <w:shd w:val="clear" w:color="auto" w:fill="ED7D31" w:themeFill="accent2"/>
            <w:vAlign w:val="center"/>
          </w:tcPr>
          <w:p w14:paraId="5E51DC71" w14:textId="77777777" w:rsidR="00957A78" w:rsidRPr="000B0E06" w:rsidRDefault="00957A78" w:rsidP="00A72B0A">
            <w:pPr>
              <w:spacing w:after="0"/>
              <w:jc w:val="center"/>
              <w:rPr>
                <w:rFonts w:ascii="GHEA Grapalat" w:hAnsi="GHEA Grapalat"/>
                <w:color w:val="FFFFFF"/>
                <w:sz w:val="14"/>
                <w:szCs w:val="14"/>
              </w:rPr>
            </w:pPr>
            <w:r w:rsidRPr="000B0E06">
              <w:rPr>
                <w:rFonts w:ascii="GHEA Grapalat" w:hAnsi="GHEA Grapalat"/>
                <w:sz w:val="14"/>
                <w:szCs w:val="14"/>
              </w:rPr>
              <w:t>3-րդ կատեգորիա</w:t>
            </w:r>
          </w:p>
        </w:tc>
      </w:tr>
      <w:tr w:rsidR="000B0E06" w:rsidRPr="00D35ADF" w14:paraId="3D096521" w14:textId="77777777" w:rsidTr="000B0E06">
        <w:trPr>
          <w:trHeight w:val="186"/>
        </w:trPr>
        <w:tc>
          <w:tcPr>
            <w:tcW w:w="995" w:type="pct"/>
            <w:shd w:val="clear" w:color="auto" w:fill="D5DCE4" w:themeFill="text2" w:themeFillTint="33"/>
            <w:vAlign w:val="center"/>
          </w:tcPr>
          <w:p w14:paraId="03DDCF6F" w14:textId="77777777" w:rsidR="00957A78" w:rsidRPr="000B0E06" w:rsidRDefault="00957A78" w:rsidP="00A72B0A">
            <w:pPr>
              <w:spacing w:after="0"/>
              <w:ind w:left="-97" w:right="-107"/>
              <w:jc w:val="center"/>
              <w:rPr>
                <w:rFonts w:ascii="GHEA Grapalat" w:hAnsi="GHEA Grapalat"/>
                <w:color w:val="000000"/>
                <w:sz w:val="16"/>
              </w:rPr>
            </w:pPr>
            <w:r w:rsidRPr="000B0E06">
              <w:rPr>
                <w:rFonts w:ascii="GHEA Grapalat" w:hAnsi="GHEA Grapalat"/>
                <w:color w:val="000000"/>
                <w:sz w:val="16"/>
              </w:rPr>
              <w:t>«Երևանի Ջերմաէլեկտրակենտրոն» ՓԲԸ</w:t>
            </w:r>
          </w:p>
        </w:tc>
        <w:tc>
          <w:tcPr>
            <w:tcW w:w="672" w:type="pct"/>
            <w:shd w:val="clear" w:color="auto" w:fill="ED7D31"/>
            <w:vAlign w:val="center"/>
          </w:tcPr>
          <w:p w14:paraId="6F6B8174" w14:textId="77777777" w:rsidR="00957A78" w:rsidRPr="000B0E06" w:rsidRDefault="00957A78" w:rsidP="00A72B0A">
            <w:pPr>
              <w:spacing w:after="0"/>
              <w:jc w:val="center"/>
              <w:rPr>
                <w:rFonts w:ascii="GHEA Grapalat" w:hAnsi="GHEA Grapalat"/>
                <w:color w:val="000000"/>
                <w:sz w:val="14"/>
                <w:szCs w:val="14"/>
              </w:rPr>
            </w:pPr>
            <w:r w:rsidRPr="000B0E06">
              <w:rPr>
                <w:rFonts w:ascii="GHEA Grapalat" w:hAnsi="GHEA Grapalat"/>
                <w:color w:val="000000"/>
                <w:sz w:val="14"/>
                <w:szCs w:val="14"/>
              </w:rPr>
              <w:t>3-րդ կատեգորիա</w:t>
            </w:r>
          </w:p>
        </w:tc>
        <w:tc>
          <w:tcPr>
            <w:tcW w:w="662" w:type="pct"/>
            <w:shd w:val="clear" w:color="auto" w:fill="FF0000"/>
            <w:vAlign w:val="center"/>
          </w:tcPr>
          <w:p w14:paraId="0A523ED2" w14:textId="77777777" w:rsidR="00957A78" w:rsidRPr="000B0E06" w:rsidRDefault="00957A78" w:rsidP="00A72B0A">
            <w:pPr>
              <w:spacing w:after="0"/>
              <w:jc w:val="center"/>
              <w:rPr>
                <w:rFonts w:ascii="GHEA Grapalat" w:hAnsi="GHEA Grapalat"/>
                <w:color w:val="FFFFFF"/>
                <w:sz w:val="14"/>
                <w:szCs w:val="14"/>
              </w:rPr>
            </w:pPr>
            <w:r w:rsidRPr="000B0E06">
              <w:rPr>
                <w:rFonts w:ascii="GHEA Grapalat" w:hAnsi="GHEA Grapalat"/>
                <w:color w:val="FFFFFF"/>
                <w:sz w:val="14"/>
                <w:szCs w:val="14"/>
              </w:rPr>
              <w:t>4-րդ կատեգորիա</w:t>
            </w:r>
          </w:p>
        </w:tc>
        <w:tc>
          <w:tcPr>
            <w:tcW w:w="650" w:type="pct"/>
            <w:gridSpan w:val="2"/>
            <w:shd w:val="clear" w:color="auto" w:fill="FF0000"/>
            <w:vAlign w:val="center"/>
          </w:tcPr>
          <w:p w14:paraId="1040C58D" w14:textId="77777777" w:rsidR="00957A78" w:rsidRPr="000B0E06" w:rsidRDefault="00957A78" w:rsidP="00A72B0A">
            <w:pPr>
              <w:spacing w:after="0"/>
              <w:jc w:val="center"/>
              <w:rPr>
                <w:rFonts w:ascii="GHEA Grapalat" w:hAnsi="GHEA Grapalat"/>
                <w:color w:val="000000"/>
                <w:sz w:val="14"/>
                <w:szCs w:val="14"/>
              </w:rPr>
            </w:pPr>
            <w:r w:rsidRPr="000B0E06">
              <w:rPr>
                <w:rFonts w:ascii="GHEA Grapalat" w:hAnsi="GHEA Grapalat"/>
                <w:color w:val="FFFFFF"/>
                <w:sz w:val="14"/>
                <w:szCs w:val="14"/>
              </w:rPr>
              <w:t>4-րդ կատեգորիա</w:t>
            </w:r>
          </w:p>
        </w:tc>
        <w:tc>
          <w:tcPr>
            <w:tcW w:w="661" w:type="pct"/>
            <w:gridSpan w:val="2"/>
            <w:shd w:val="clear" w:color="auto" w:fill="FFC000" w:themeFill="accent4"/>
            <w:vAlign w:val="center"/>
          </w:tcPr>
          <w:p w14:paraId="1FE75BBC" w14:textId="77777777" w:rsidR="00957A78" w:rsidRPr="000B0E06" w:rsidRDefault="00957A78" w:rsidP="00A72B0A">
            <w:pPr>
              <w:spacing w:after="0"/>
              <w:jc w:val="center"/>
              <w:rPr>
                <w:rFonts w:ascii="GHEA Grapalat" w:hAnsi="GHEA Grapalat"/>
                <w:color w:val="000000"/>
                <w:sz w:val="14"/>
                <w:szCs w:val="14"/>
              </w:rPr>
            </w:pPr>
            <w:r w:rsidRPr="000B0E06">
              <w:rPr>
                <w:rFonts w:ascii="GHEA Grapalat" w:hAnsi="GHEA Grapalat"/>
                <w:color w:val="000000"/>
                <w:sz w:val="14"/>
                <w:szCs w:val="14"/>
              </w:rPr>
              <w:t>2-րդ կատեգորիա</w:t>
            </w:r>
          </w:p>
        </w:tc>
        <w:tc>
          <w:tcPr>
            <w:tcW w:w="661" w:type="pct"/>
            <w:gridSpan w:val="2"/>
            <w:shd w:val="clear" w:color="auto" w:fill="ED7D31"/>
            <w:vAlign w:val="center"/>
          </w:tcPr>
          <w:p w14:paraId="09B706E7" w14:textId="77777777" w:rsidR="00957A78" w:rsidRPr="000B0E06" w:rsidRDefault="00957A78" w:rsidP="00A72B0A">
            <w:pPr>
              <w:spacing w:after="0"/>
              <w:jc w:val="center"/>
              <w:rPr>
                <w:rFonts w:ascii="GHEA Grapalat" w:hAnsi="GHEA Grapalat"/>
                <w:sz w:val="14"/>
                <w:szCs w:val="14"/>
              </w:rPr>
            </w:pPr>
            <w:r w:rsidRPr="000B0E06">
              <w:rPr>
                <w:rFonts w:ascii="GHEA Grapalat" w:hAnsi="GHEA Grapalat"/>
                <w:sz w:val="14"/>
                <w:szCs w:val="14"/>
              </w:rPr>
              <w:t>3-րդ կատեգորիա</w:t>
            </w:r>
          </w:p>
        </w:tc>
        <w:tc>
          <w:tcPr>
            <w:tcW w:w="699" w:type="pct"/>
            <w:gridSpan w:val="2"/>
            <w:shd w:val="clear" w:color="auto" w:fill="ED7D31"/>
            <w:vAlign w:val="center"/>
          </w:tcPr>
          <w:p w14:paraId="4D9089F5" w14:textId="77777777" w:rsidR="00957A78" w:rsidRPr="000B0E06" w:rsidRDefault="00957A78" w:rsidP="00A72B0A">
            <w:pPr>
              <w:spacing w:after="0"/>
              <w:jc w:val="center"/>
              <w:rPr>
                <w:rFonts w:ascii="GHEA Grapalat" w:hAnsi="GHEA Grapalat"/>
                <w:sz w:val="14"/>
                <w:szCs w:val="14"/>
              </w:rPr>
            </w:pPr>
            <w:r w:rsidRPr="000B0E06">
              <w:rPr>
                <w:rFonts w:ascii="GHEA Grapalat" w:hAnsi="GHEA Grapalat"/>
                <w:sz w:val="14"/>
                <w:szCs w:val="14"/>
              </w:rPr>
              <w:t>3-րդ կատեգորիա</w:t>
            </w:r>
          </w:p>
        </w:tc>
      </w:tr>
      <w:tr w:rsidR="000B0E06" w:rsidRPr="00D35ADF" w14:paraId="1B772007" w14:textId="77777777" w:rsidTr="000B0E06">
        <w:trPr>
          <w:trHeight w:val="186"/>
        </w:trPr>
        <w:tc>
          <w:tcPr>
            <w:tcW w:w="995" w:type="pct"/>
            <w:shd w:val="clear" w:color="auto" w:fill="FFFFFF" w:themeFill="background1"/>
            <w:vAlign w:val="center"/>
          </w:tcPr>
          <w:p w14:paraId="2C7976C2" w14:textId="77777777" w:rsidR="00957A78" w:rsidRPr="000B0E06" w:rsidRDefault="00957A78" w:rsidP="00A72B0A">
            <w:pPr>
              <w:spacing w:after="0"/>
              <w:ind w:left="-97" w:right="-107"/>
              <w:jc w:val="center"/>
              <w:rPr>
                <w:rFonts w:ascii="GHEA Grapalat" w:hAnsi="GHEA Grapalat"/>
                <w:color w:val="000000"/>
                <w:sz w:val="16"/>
              </w:rPr>
            </w:pPr>
            <w:r w:rsidRPr="000B0E06">
              <w:rPr>
                <w:rFonts w:ascii="GHEA Grapalat" w:hAnsi="GHEA Grapalat"/>
                <w:color w:val="000000"/>
                <w:sz w:val="16"/>
              </w:rPr>
              <w:t>«Ջրառ» ՓԲԸ</w:t>
            </w:r>
          </w:p>
        </w:tc>
        <w:tc>
          <w:tcPr>
            <w:tcW w:w="672" w:type="pct"/>
            <w:shd w:val="clear" w:color="auto" w:fill="auto"/>
            <w:vAlign w:val="center"/>
          </w:tcPr>
          <w:p w14:paraId="4ACDCD2A" w14:textId="77777777" w:rsidR="00957A78" w:rsidRPr="000B0E06" w:rsidRDefault="00957A78" w:rsidP="00A72B0A">
            <w:pPr>
              <w:spacing w:after="0"/>
              <w:jc w:val="center"/>
              <w:rPr>
                <w:rFonts w:ascii="GHEA Grapalat" w:hAnsi="GHEA Grapalat"/>
                <w:color w:val="000000"/>
                <w:sz w:val="14"/>
                <w:szCs w:val="14"/>
              </w:rPr>
            </w:pPr>
          </w:p>
        </w:tc>
        <w:tc>
          <w:tcPr>
            <w:tcW w:w="662" w:type="pct"/>
            <w:shd w:val="clear" w:color="auto" w:fill="auto"/>
            <w:vAlign w:val="center"/>
          </w:tcPr>
          <w:p w14:paraId="5444922F" w14:textId="77777777" w:rsidR="00957A78" w:rsidRPr="000B0E06" w:rsidRDefault="00957A78" w:rsidP="00A72B0A">
            <w:pPr>
              <w:spacing w:after="0"/>
              <w:jc w:val="center"/>
              <w:rPr>
                <w:rFonts w:ascii="GHEA Grapalat" w:hAnsi="GHEA Grapalat"/>
                <w:color w:val="000000"/>
                <w:sz w:val="14"/>
                <w:szCs w:val="14"/>
              </w:rPr>
            </w:pPr>
          </w:p>
        </w:tc>
        <w:tc>
          <w:tcPr>
            <w:tcW w:w="650" w:type="pct"/>
            <w:gridSpan w:val="2"/>
            <w:shd w:val="clear" w:color="auto" w:fill="ED7D31" w:themeFill="accent2"/>
            <w:vAlign w:val="center"/>
          </w:tcPr>
          <w:p w14:paraId="65A8EB51" w14:textId="77777777" w:rsidR="00957A78" w:rsidRPr="000B0E06" w:rsidRDefault="00957A78" w:rsidP="00A72B0A">
            <w:pPr>
              <w:spacing w:after="0"/>
              <w:jc w:val="center"/>
              <w:rPr>
                <w:rFonts w:ascii="GHEA Grapalat" w:hAnsi="GHEA Grapalat"/>
                <w:color w:val="000000"/>
                <w:sz w:val="14"/>
                <w:szCs w:val="14"/>
              </w:rPr>
            </w:pPr>
            <w:r w:rsidRPr="000B0E06">
              <w:rPr>
                <w:rFonts w:ascii="GHEA Grapalat" w:hAnsi="GHEA Grapalat"/>
                <w:sz w:val="14"/>
                <w:szCs w:val="14"/>
              </w:rPr>
              <w:t>3-րդ կատեգորիա</w:t>
            </w:r>
          </w:p>
        </w:tc>
        <w:tc>
          <w:tcPr>
            <w:tcW w:w="661" w:type="pct"/>
            <w:gridSpan w:val="2"/>
            <w:shd w:val="clear" w:color="auto" w:fill="ED7D31" w:themeFill="accent2"/>
            <w:vAlign w:val="center"/>
          </w:tcPr>
          <w:p w14:paraId="1C585EE4" w14:textId="77777777" w:rsidR="00957A78" w:rsidRPr="000B0E06" w:rsidRDefault="00957A78" w:rsidP="00A72B0A">
            <w:pPr>
              <w:spacing w:after="0"/>
              <w:jc w:val="center"/>
              <w:rPr>
                <w:rFonts w:ascii="GHEA Grapalat" w:hAnsi="GHEA Grapalat"/>
                <w:color w:val="000000"/>
                <w:sz w:val="14"/>
                <w:szCs w:val="14"/>
              </w:rPr>
            </w:pPr>
            <w:r w:rsidRPr="000B0E06">
              <w:rPr>
                <w:rFonts w:ascii="GHEA Grapalat" w:hAnsi="GHEA Grapalat"/>
                <w:sz w:val="14"/>
                <w:szCs w:val="14"/>
              </w:rPr>
              <w:t>3-րդ կատեգորիա</w:t>
            </w:r>
          </w:p>
        </w:tc>
        <w:tc>
          <w:tcPr>
            <w:tcW w:w="661" w:type="pct"/>
            <w:gridSpan w:val="2"/>
            <w:shd w:val="clear" w:color="auto" w:fill="ED7D31" w:themeFill="accent2"/>
            <w:vAlign w:val="center"/>
          </w:tcPr>
          <w:p w14:paraId="053D09DA" w14:textId="77777777" w:rsidR="00957A78" w:rsidRPr="000B0E06" w:rsidRDefault="00957A78" w:rsidP="00A72B0A">
            <w:pPr>
              <w:spacing w:after="0"/>
              <w:jc w:val="center"/>
              <w:rPr>
                <w:rFonts w:ascii="GHEA Grapalat" w:hAnsi="GHEA Grapalat"/>
                <w:sz w:val="14"/>
                <w:szCs w:val="14"/>
              </w:rPr>
            </w:pPr>
            <w:r w:rsidRPr="000B0E06">
              <w:rPr>
                <w:rFonts w:ascii="GHEA Grapalat" w:hAnsi="GHEA Grapalat"/>
                <w:sz w:val="14"/>
                <w:szCs w:val="14"/>
              </w:rPr>
              <w:t>3-րդ կատեգորիա</w:t>
            </w:r>
          </w:p>
        </w:tc>
        <w:tc>
          <w:tcPr>
            <w:tcW w:w="699" w:type="pct"/>
            <w:gridSpan w:val="2"/>
            <w:shd w:val="clear" w:color="auto" w:fill="ED7D31" w:themeFill="accent2"/>
            <w:vAlign w:val="center"/>
          </w:tcPr>
          <w:p w14:paraId="11AFAC71" w14:textId="77777777" w:rsidR="00957A78" w:rsidRPr="000B0E06" w:rsidRDefault="00957A78" w:rsidP="00A72B0A">
            <w:pPr>
              <w:spacing w:after="0"/>
              <w:jc w:val="center"/>
              <w:rPr>
                <w:rFonts w:ascii="GHEA Grapalat" w:hAnsi="GHEA Grapalat"/>
                <w:sz w:val="14"/>
                <w:szCs w:val="14"/>
              </w:rPr>
            </w:pPr>
            <w:r w:rsidRPr="000B0E06">
              <w:rPr>
                <w:rFonts w:ascii="GHEA Grapalat" w:hAnsi="GHEA Grapalat"/>
                <w:sz w:val="14"/>
                <w:szCs w:val="14"/>
              </w:rPr>
              <w:t>3-րդ կատեգորիա</w:t>
            </w:r>
          </w:p>
        </w:tc>
      </w:tr>
      <w:tr w:rsidR="000B0E06" w:rsidRPr="00D35ADF" w14:paraId="12EAB328" w14:textId="77777777" w:rsidTr="000B0E06">
        <w:trPr>
          <w:trHeight w:val="186"/>
        </w:trPr>
        <w:tc>
          <w:tcPr>
            <w:tcW w:w="995" w:type="pct"/>
            <w:shd w:val="clear" w:color="auto" w:fill="D5DCE4" w:themeFill="text2" w:themeFillTint="33"/>
            <w:vAlign w:val="center"/>
          </w:tcPr>
          <w:p w14:paraId="44147021" w14:textId="77777777" w:rsidR="00957A78" w:rsidRPr="000B0E06" w:rsidRDefault="00957A78" w:rsidP="00A72B0A">
            <w:pPr>
              <w:spacing w:after="0"/>
              <w:ind w:left="-97" w:right="-107"/>
              <w:jc w:val="center"/>
              <w:rPr>
                <w:rFonts w:ascii="GHEA Grapalat" w:hAnsi="GHEA Grapalat"/>
                <w:color w:val="000000"/>
                <w:sz w:val="16"/>
              </w:rPr>
            </w:pPr>
            <w:r w:rsidRPr="000B0E06">
              <w:rPr>
                <w:rFonts w:ascii="GHEA Grapalat" w:hAnsi="GHEA Grapalat"/>
                <w:color w:val="000000"/>
                <w:sz w:val="16"/>
              </w:rPr>
              <w:t>«Երևան</w:t>
            </w:r>
            <w:r w:rsidRPr="000B0E06">
              <w:rPr>
                <w:rFonts w:ascii="GHEA Grapalat" w:hAnsi="GHEA Grapalat"/>
                <w:color w:val="000000"/>
                <w:sz w:val="16"/>
                <w:lang w:val="hy-AM"/>
              </w:rPr>
              <w:t>ի</w:t>
            </w:r>
            <w:r w:rsidRPr="000B0E06">
              <w:rPr>
                <w:rFonts w:ascii="GHEA Grapalat" w:hAnsi="GHEA Grapalat"/>
                <w:color w:val="000000"/>
                <w:sz w:val="16"/>
              </w:rPr>
              <w:t xml:space="preserve"> Ավտոբուս» ՓԲԸ</w:t>
            </w:r>
          </w:p>
        </w:tc>
        <w:tc>
          <w:tcPr>
            <w:tcW w:w="672" w:type="pct"/>
            <w:shd w:val="clear" w:color="auto" w:fill="FF0000"/>
            <w:vAlign w:val="center"/>
          </w:tcPr>
          <w:p w14:paraId="5F1E75AE" w14:textId="77777777" w:rsidR="00957A78" w:rsidRPr="000B0E06" w:rsidRDefault="00957A78" w:rsidP="00A72B0A">
            <w:pPr>
              <w:spacing w:after="0"/>
              <w:jc w:val="center"/>
              <w:rPr>
                <w:rFonts w:ascii="GHEA Grapalat" w:hAnsi="GHEA Grapalat"/>
                <w:color w:val="000000"/>
                <w:sz w:val="14"/>
                <w:szCs w:val="14"/>
              </w:rPr>
            </w:pPr>
            <w:r w:rsidRPr="000B0E06">
              <w:rPr>
                <w:rFonts w:ascii="GHEA Grapalat" w:hAnsi="GHEA Grapalat"/>
                <w:color w:val="FFFFFF"/>
                <w:sz w:val="14"/>
                <w:szCs w:val="14"/>
              </w:rPr>
              <w:t>4-րդ կատեգորիա</w:t>
            </w:r>
          </w:p>
        </w:tc>
        <w:tc>
          <w:tcPr>
            <w:tcW w:w="662" w:type="pct"/>
            <w:shd w:val="clear" w:color="auto" w:fill="FF0000"/>
            <w:vAlign w:val="center"/>
          </w:tcPr>
          <w:p w14:paraId="2E95904B" w14:textId="77777777" w:rsidR="00957A78" w:rsidRPr="000B0E06" w:rsidRDefault="00957A78" w:rsidP="00A72B0A">
            <w:pPr>
              <w:spacing w:after="0"/>
              <w:jc w:val="center"/>
              <w:rPr>
                <w:rFonts w:ascii="GHEA Grapalat" w:hAnsi="GHEA Grapalat"/>
                <w:color w:val="000000"/>
                <w:sz w:val="14"/>
                <w:szCs w:val="14"/>
              </w:rPr>
            </w:pPr>
            <w:r w:rsidRPr="000B0E06">
              <w:rPr>
                <w:rFonts w:ascii="GHEA Grapalat" w:hAnsi="GHEA Grapalat"/>
                <w:color w:val="FFFFFF"/>
                <w:sz w:val="14"/>
                <w:szCs w:val="14"/>
              </w:rPr>
              <w:t>4-րդ կատեգորիա</w:t>
            </w:r>
          </w:p>
        </w:tc>
        <w:tc>
          <w:tcPr>
            <w:tcW w:w="650" w:type="pct"/>
            <w:gridSpan w:val="2"/>
            <w:shd w:val="clear" w:color="auto" w:fill="FF0000"/>
            <w:vAlign w:val="center"/>
          </w:tcPr>
          <w:p w14:paraId="3ACD5F4B" w14:textId="77777777" w:rsidR="00957A78" w:rsidRPr="000B0E06" w:rsidRDefault="00957A78" w:rsidP="00A72B0A">
            <w:pPr>
              <w:spacing w:after="0"/>
              <w:jc w:val="center"/>
              <w:rPr>
                <w:rFonts w:ascii="GHEA Grapalat" w:hAnsi="GHEA Grapalat"/>
                <w:color w:val="000000"/>
                <w:sz w:val="14"/>
                <w:szCs w:val="14"/>
              </w:rPr>
            </w:pPr>
            <w:r w:rsidRPr="000B0E06">
              <w:rPr>
                <w:rFonts w:ascii="GHEA Grapalat" w:hAnsi="GHEA Grapalat"/>
                <w:color w:val="FFFFFF"/>
                <w:sz w:val="14"/>
                <w:szCs w:val="14"/>
              </w:rPr>
              <w:t>4-րդ կատեգորիա</w:t>
            </w:r>
          </w:p>
        </w:tc>
        <w:tc>
          <w:tcPr>
            <w:tcW w:w="661" w:type="pct"/>
            <w:gridSpan w:val="2"/>
            <w:shd w:val="clear" w:color="auto" w:fill="FF0000"/>
            <w:vAlign w:val="center"/>
          </w:tcPr>
          <w:p w14:paraId="73CD961C" w14:textId="77777777" w:rsidR="00957A78" w:rsidRPr="000B0E06" w:rsidRDefault="00957A78" w:rsidP="00A72B0A">
            <w:pPr>
              <w:spacing w:after="0"/>
              <w:jc w:val="center"/>
              <w:rPr>
                <w:rFonts w:ascii="GHEA Grapalat" w:hAnsi="GHEA Grapalat"/>
                <w:color w:val="000000"/>
                <w:sz w:val="14"/>
                <w:szCs w:val="14"/>
              </w:rPr>
            </w:pPr>
            <w:r w:rsidRPr="000B0E06">
              <w:rPr>
                <w:rFonts w:ascii="GHEA Grapalat" w:hAnsi="GHEA Grapalat"/>
                <w:color w:val="FFFFFF"/>
                <w:sz w:val="14"/>
                <w:szCs w:val="14"/>
              </w:rPr>
              <w:t>4-րդ կատեգորիա</w:t>
            </w:r>
          </w:p>
        </w:tc>
        <w:tc>
          <w:tcPr>
            <w:tcW w:w="661" w:type="pct"/>
            <w:gridSpan w:val="2"/>
            <w:shd w:val="clear" w:color="auto" w:fill="FF0000"/>
            <w:vAlign w:val="center"/>
          </w:tcPr>
          <w:p w14:paraId="3104B685" w14:textId="77777777" w:rsidR="00957A78" w:rsidRPr="000B0E06" w:rsidRDefault="00957A78" w:rsidP="00A72B0A">
            <w:pPr>
              <w:spacing w:after="0"/>
              <w:jc w:val="center"/>
              <w:rPr>
                <w:rFonts w:ascii="GHEA Grapalat" w:hAnsi="GHEA Grapalat"/>
                <w:sz w:val="14"/>
                <w:szCs w:val="14"/>
              </w:rPr>
            </w:pPr>
            <w:r w:rsidRPr="000B0E06">
              <w:rPr>
                <w:rFonts w:ascii="GHEA Grapalat" w:hAnsi="GHEA Grapalat"/>
                <w:color w:val="FFFFFF"/>
                <w:sz w:val="14"/>
                <w:szCs w:val="14"/>
              </w:rPr>
              <w:t>4-րդ կատեգորիա</w:t>
            </w:r>
          </w:p>
        </w:tc>
        <w:tc>
          <w:tcPr>
            <w:tcW w:w="699" w:type="pct"/>
            <w:gridSpan w:val="2"/>
            <w:shd w:val="clear" w:color="auto" w:fill="FF0000"/>
            <w:vAlign w:val="center"/>
          </w:tcPr>
          <w:p w14:paraId="1CDADA05" w14:textId="77777777" w:rsidR="00957A78" w:rsidRPr="000B0E06" w:rsidRDefault="00957A78" w:rsidP="00A72B0A">
            <w:pPr>
              <w:spacing w:after="0"/>
              <w:jc w:val="center"/>
              <w:rPr>
                <w:rFonts w:ascii="GHEA Grapalat" w:hAnsi="GHEA Grapalat"/>
                <w:sz w:val="14"/>
                <w:szCs w:val="14"/>
              </w:rPr>
            </w:pPr>
            <w:r w:rsidRPr="000B0E06">
              <w:rPr>
                <w:rFonts w:ascii="GHEA Grapalat" w:hAnsi="GHEA Grapalat"/>
                <w:color w:val="FFFFFF"/>
                <w:sz w:val="14"/>
                <w:szCs w:val="14"/>
              </w:rPr>
              <w:t>4-րդ կատեգորիա</w:t>
            </w:r>
          </w:p>
        </w:tc>
      </w:tr>
      <w:tr w:rsidR="000B0E06" w:rsidRPr="00D35ADF" w14:paraId="76491130" w14:textId="77777777" w:rsidTr="000B0E06">
        <w:trPr>
          <w:trHeight w:val="186"/>
        </w:trPr>
        <w:tc>
          <w:tcPr>
            <w:tcW w:w="995" w:type="pct"/>
            <w:shd w:val="clear" w:color="auto" w:fill="FFFFFF" w:themeFill="background1"/>
            <w:vAlign w:val="center"/>
          </w:tcPr>
          <w:p w14:paraId="50E7C7FE" w14:textId="77777777" w:rsidR="00957A78" w:rsidRPr="000B0E06" w:rsidRDefault="00957A78" w:rsidP="00A72B0A">
            <w:pPr>
              <w:spacing w:after="0"/>
              <w:ind w:left="-97" w:right="-107"/>
              <w:jc w:val="center"/>
              <w:rPr>
                <w:rFonts w:ascii="GHEA Grapalat" w:hAnsi="GHEA Grapalat"/>
                <w:color w:val="000000"/>
                <w:sz w:val="16"/>
              </w:rPr>
            </w:pPr>
            <w:r w:rsidRPr="000B0E06">
              <w:rPr>
                <w:rFonts w:ascii="GHEA Grapalat" w:hAnsi="GHEA Grapalat"/>
                <w:color w:val="000000"/>
                <w:sz w:val="16"/>
              </w:rPr>
              <w:t>«Հայփոստ» ՓԲԸ</w:t>
            </w:r>
          </w:p>
        </w:tc>
        <w:tc>
          <w:tcPr>
            <w:tcW w:w="672" w:type="pct"/>
            <w:shd w:val="clear" w:color="auto" w:fill="ED7D31"/>
            <w:vAlign w:val="center"/>
          </w:tcPr>
          <w:p w14:paraId="66F03988" w14:textId="77777777" w:rsidR="00957A78" w:rsidRPr="000B0E06" w:rsidRDefault="00957A78" w:rsidP="00A72B0A">
            <w:pPr>
              <w:spacing w:after="0"/>
              <w:jc w:val="center"/>
              <w:rPr>
                <w:rFonts w:ascii="GHEA Grapalat" w:hAnsi="GHEA Grapalat"/>
                <w:color w:val="000000"/>
                <w:sz w:val="14"/>
                <w:szCs w:val="14"/>
              </w:rPr>
            </w:pPr>
            <w:r w:rsidRPr="000B0E06">
              <w:rPr>
                <w:rFonts w:ascii="GHEA Grapalat" w:hAnsi="GHEA Grapalat"/>
                <w:color w:val="000000"/>
                <w:sz w:val="14"/>
                <w:szCs w:val="14"/>
              </w:rPr>
              <w:t>3-րդ կատեգորիա</w:t>
            </w:r>
          </w:p>
        </w:tc>
        <w:tc>
          <w:tcPr>
            <w:tcW w:w="662" w:type="pct"/>
            <w:shd w:val="clear" w:color="auto" w:fill="FF0000"/>
            <w:vAlign w:val="center"/>
          </w:tcPr>
          <w:p w14:paraId="28DC0394" w14:textId="77777777" w:rsidR="00957A78" w:rsidRPr="000B0E06" w:rsidRDefault="00957A78" w:rsidP="00A72B0A">
            <w:pPr>
              <w:spacing w:after="0"/>
              <w:jc w:val="center"/>
              <w:rPr>
                <w:rFonts w:ascii="GHEA Grapalat" w:hAnsi="GHEA Grapalat"/>
                <w:color w:val="FFFFFF"/>
                <w:sz w:val="14"/>
                <w:szCs w:val="14"/>
              </w:rPr>
            </w:pPr>
            <w:r w:rsidRPr="000B0E06">
              <w:rPr>
                <w:rFonts w:ascii="GHEA Grapalat" w:hAnsi="GHEA Grapalat"/>
                <w:color w:val="FFFFFF"/>
                <w:sz w:val="14"/>
                <w:szCs w:val="14"/>
              </w:rPr>
              <w:t>4-րդ կատեգորիա</w:t>
            </w:r>
          </w:p>
        </w:tc>
        <w:tc>
          <w:tcPr>
            <w:tcW w:w="650" w:type="pct"/>
            <w:gridSpan w:val="2"/>
            <w:shd w:val="clear" w:color="auto" w:fill="FF0000"/>
            <w:vAlign w:val="center"/>
          </w:tcPr>
          <w:p w14:paraId="1B821132" w14:textId="77777777" w:rsidR="00957A78" w:rsidRPr="000B0E06" w:rsidRDefault="00957A78" w:rsidP="00A72B0A">
            <w:pPr>
              <w:spacing w:after="0"/>
              <w:jc w:val="center"/>
              <w:rPr>
                <w:rFonts w:ascii="GHEA Grapalat" w:hAnsi="GHEA Grapalat"/>
                <w:color w:val="FFFFFF"/>
                <w:sz w:val="14"/>
                <w:szCs w:val="14"/>
              </w:rPr>
            </w:pPr>
            <w:r w:rsidRPr="000B0E06">
              <w:rPr>
                <w:rFonts w:ascii="GHEA Grapalat" w:hAnsi="GHEA Grapalat"/>
                <w:color w:val="FFFFFF"/>
                <w:sz w:val="14"/>
                <w:szCs w:val="14"/>
              </w:rPr>
              <w:t>4-րդ կատեգորիա</w:t>
            </w:r>
          </w:p>
        </w:tc>
        <w:tc>
          <w:tcPr>
            <w:tcW w:w="661" w:type="pct"/>
            <w:gridSpan w:val="2"/>
            <w:shd w:val="clear" w:color="auto" w:fill="FF0000"/>
            <w:vAlign w:val="center"/>
          </w:tcPr>
          <w:p w14:paraId="67DA6921" w14:textId="77777777" w:rsidR="00957A78" w:rsidRPr="000B0E06" w:rsidRDefault="00957A78" w:rsidP="00A72B0A">
            <w:pPr>
              <w:spacing w:after="0"/>
              <w:jc w:val="center"/>
              <w:rPr>
                <w:rFonts w:ascii="GHEA Grapalat" w:hAnsi="GHEA Grapalat"/>
                <w:color w:val="FFFFFF"/>
                <w:sz w:val="14"/>
                <w:szCs w:val="14"/>
              </w:rPr>
            </w:pPr>
            <w:r w:rsidRPr="000B0E06">
              <w:rPr>
                <w:rFonts w:ascii="GHEA Grapalat" w:hAnsi="GHEA Grapalat"/>
                <w:color w:val="FFFFFF"/>
                <w:sz w:val="14"/>
                <w:szCs w:val="14"/>
              </w:rPr>
              <w:t>4-րդ կատեգորիա</w:t>
            </w:r>
          </w:p>
        </w:tc>
        <w:tc>
          <w:tcPr>
            <w:tcW w:w="661" w:type="pct"/>
            <w:gridSpan w:val="2"/>
            <w:shd w:val="clear" w:color="auto" w:fill="ED7D31"/>
            <w:vAlign w:val="center"/>
          </w:tcPr>
          <w:p w14:paraId="40FFF925" w14:textId="77777777" w:rsidR="00957A78" w:rsidRPr="000B0E06" w:rsidRDefault="00957A78" w:rsidP="00A72B0A">
            <w:pPr>
              <w:spacing w:after="160" w:line="259" w:lineRule="auto"/>
              <w:jc w:val="center"/>
              <w:rPr>
                <w:rFonts w:ascii="GHEA Grapalat" w:hAnsi="GHEA Grapalat"/>
                <w:sz w:val="14"/>
                <w:szCs w:val="14"/>
              </w:rPr>
            </w:pPr>
            <w:r w:rsidRPr="000B0E06">
              <w:rPr>
                <w:rFonts w:ascii="GHEA Grapalat" w:hAnsi="GHEA Grapalat"/>
                <w:sz w:val="14"/>
                <w:szCs w:val="14"/>
              </w:rPr>
              <w:t>3-րդ կատեգորիա</w:t>
            </w:r>
          </w:p>
        </w:tc>
        <w:tc>
          <w:tcPr>
            <w:tcW w:w="699" w:type="pct"/>
            <w:gridSpan w:val="2"/>
            <w:shd w:val="clear" w:color="auto" w:fill="FF0000"/>
            <w:vAlign w:val="center"/>
          </w:tcPr>
          <w:p w14:paraId="3705D855" w14:textId="77777777" w:rsidR="00957A78" w:rsidRPr="000B0E06" w:rsidRDefault="00957A78" w:rsidP="00A72B0A">
            <w:pPr>
              <w:spacing w:after="160" w:line="259" w:lineRule="auto"/>
              <w:jc w:val="center"/>
              <w:rPr>
                <w:rFonts w:ascii="GHEA Grapalat" w:hAnsi="GHEA Grapalat"/>
                <w:sz w:val="14"/>
                <w:szCs w:val="14"/>
              </w:rPr>
            </w:pPr>
            <w:r w:rsidRPr="000B0E06">
              <w:rPr>
                <w:rFonts w:ascii="GHEA Grapalat" w:hAnsi="GHEA Grapalat"/>
                <w:color w:val="FFFFFF"/>
                <w:sz w:val="14"/>
                <w:szCs w:val="14"/>
              </w:rPr>
              <w:t>4-րդ կատեգորիա</w:t>
            </w:r>
          </w:p>
        </w:tc>
      </w:tr>
      <w:tr w:rsidR="000B0E06" w:rsidRPr="00D35ADF" w14:paraId="4A75BFE7" w14:textId="77777777" w:rsidTr="000B0E06">
        <w:trPr>
          <w:trHeight w:val="186"/>
        </w:trPr>
        <w:tc>
          <w:tcPr>
            <w:tcW w:w="995" w:type="pct"/>
            <w:shd w:val="clear" w:color="auto" w:fill="D5DCE4" w:themeFill="text2" w:themeFillTint="33"/>
            <w:vAlign w:val="center"/>
          </w:tcPr>
          <w:p w14:paraId="6C25563F" w14:textId="77777777" w:rsidR="00957A78" w:rsidRPr="000B0E06" w:rsidRDefault="00957A78" w:rsidP="00A72B0A">
            <w:pPr>
              <w:spacing w:after="0"/>
              <w:ind w:left="-97" w:right="-107"/>
              <w:jc w:val="center"/>
              <w:rPr>
                <w:rFonts w:ascii="GHEA Grapalat" w:hAnsi="GHEA Grapalat"/>
                <w:color w:val="000000"/>
                <w:sz w:val="16"/>
              </w:rPr>
            </w:pPr>
            <w:r w:rsidRPr="000B0E06">
              <w:rPr>
                <w:rFonts w:ascii="GHEA Grapalat" w:hAnsi="GHEA Grapalat"/>
                <w:color w:val="000000"/>
                <w:sz w:val="16"/>
              </w:rPr>
              <w:t>««Սուրբ Գրիգոր Լուսավորիչ» բժշկական կենտրոն» ՓԲԸ</w:t>
            </w:r>
          </w:p>
        </w:tc>
        <w:tc>
          <w:tcPr>
            <w:tcW w:w="672" w:type="pct"/>
            <w:shd w:val="clear" w:color="auto" w:fill="auto"/>
            <w:vAlign w:val="center"/>
          </w:tcPr>
          <w:p w14:paraId="6F6A99CF" w14:textId="77777777" w:rsidR="00957A78" w:rsidRPr="000B0E06" w:rsidRDefault="00957A78" w:rsidP="00A72B0A">
            <w:pPr>
              <w:spacing w:after="0"/>
              <w:jc w:val="center"/>
              <w:rPr>
                <w:rFonts w:ascii="GHEA Grapalat" w:hAnsi="GHEA Grapalat"/>
                <w:color w:val="000000"/>
                <w:sz w:val="14"/>
                <w:szCs w:val="14"/>
              </w:rPr>
            </w:pPr>
          </w:p>
        </w:tc>
        <w:tc>
          <w:tcPr>
            <w:tcW w:w="662" w:type="pct"/>
            <w:shd w:val="clear" w:color="auto" w:fill="FF0000"/>
            <w:vAlign w:val="center"/>
          </w:tcPr>
          <w:p w14:paraId="679B7BD4" w14:textId="77777777" w:rsidR="00957A78" w:rsidRPr="000B0E06" w:rsidRDefault="00957A78" w:rsidP="00A72B0A">
            <w:pPr>
              <w:spacing w:after="0"/>
              <w:jc w:val="center"/>
              <w:rPr>
                <w:rFonts w:ascii="GHEA Grapalat" w:hAnsi="GHEA Grapalat"/>
                <w:color w:val="FFFFFF"/>
                <w:sz w:val="14"/>
                <w:szCs w:val="14"/>
              </w:rPr>
            </w:pPr>
            <w:r w:rsidRPr="000B0E06">
              <w:rPr>
                <w:rFonts w:ascii="GHEA Grapalat" w:hAnsi="GHEA Grapalat"/>
                <w:color w:val="FFFFFF"/>
                <w:sz w:val="14"/>
                <w:szCs w:val="14"/>
              </w:rPr>
              <w:t>4-րդ կատեգորիա</w:t>
            </w:r>
          </w:p>
        </w:tc>
        <w:tc>
          <w:tcPr>
            <w:tcW w:w="650" w:type="pct"/>
            <w:gridSpan w:val="2"/>
            <w:shd w:val="clear" w:color="auto" w:fill="FF0000"/>
            <w:vAlign w:val="center"/>
          </w:tcPr>
          <w:p w14:paraId="52EA67EE" w14:textId="77777777" w:rsidR="00957A78" w:rsidRPr="000B0E06" w:rsidRDefault="00957A78" w:rsidP="00A72B0A">
            <w:pPr>
              <w:spacing w:after="0"/>
              <w:jc w:val="center"/>
              <w:rPr>
                <w:rFonts w:ascii="GHEA Grapalat" w:hAnsi="GHEA Grapalat"/>
                <w:color w:val="FFFFFF"/>
                <w:sz w:val="14"/>
                <w:szCs w:val="14"/>
              </w:rPr>
            </w:pPr>
            <w:r w:rsidRPr="000B0E06">
              <w:rPr>
                <w:rFonts w:ascii="GHEA Grapalat" w:hAnsi="GHEA Grapalat"/>
                <w:color w:val="FFFFFF"/>
                <w:sz w:val="14"/>
                <w:szCs w:val="14"/>
              </w:rPr>
              <w:t>4-րդ կատեգորիա</w:t>
            </w:r>
          </w:p>
        </w:tc>
        <w:tc>
          <w:tcPr>
            <w:tcW w:w="661" w:type="pct"/>
            <w:gridSpan w:val="2"/>
            <w:shd w:val="clear" w:color="auto" w:fill="ED7D31" w:themeFill="accent2"/>
            <w:vAlign w:val="center"/>
          </w:tcPr>
          <w:p w14:paraId="05A1EF3B" w14:textId="77777777" w:rsidR="00957A78" w:rsidRPr="000B0E06" w:rsidRDefault="00957A78" w:rsidP="00A72B0A">
            <w:pPr>
              <w:spacing w:after="0"/>
              <w:jc w:val="center"/>
              <w:rPr>
                <w:rFonts w:ascii="GHEA Grapalat" w:hAnsi="GHEA Grapalat"/>
                <w:color w:val="FFFFFF"/>
                <w:sz w:val="14"/>
                <w:szCs w:val="14"/>
              </w:rPr>
            </w:pPr>
            <w:r w:rsidRPr="000B0E06">
              <w:rPr>
                <w:rFonts w:ascii="GHEA Grapalat" w:hAnsi="GHEA Grapalat"/>
                <w:sz w:val="14"/>
                <w:szCs w:val="14"/>
              </w:rPr>
              <w:t>3-րդ կատեգորիա</w:t>
            </w:r>
          </w:p>
        </w:tc>
        <w:tc>
          <w:tcPr>
            <w:tcW w:w="661" w:type="pct"/>
            <w:gridSpan w:val="2"/>
            <w:shd w:val="clear" w:color="auto" w:fill="FFC000" w:themeFill="accent4"/>
            <w:vAlign w:val="center"/>
          </w:tcPr>
          <w:p w14:paraId="30634EC6" w14:textId="77777777" w:rsidR="00957A78" w:rsidRPr="000B0E06" w:rsidRDefault="00957A78" w:rsidP="00A72B0A">
            <w:pPr>
              <w:spacing w:after="160" w:line="259" w:lineRule="auto"/>
              <w:jc w:val="center"/>
              <w:rPr>
                <w:rFonts w:ascii="GHEA Grapalat" w:hAnsi="GHEA Grapalat"/>
                <w:sz w:val="14"/>
                <w:szCs w:val="14"/>
              </w:rPr>
            </w:pPr>
            <w:r w:rsidRPr="000B0E06">
              <w:rPr>
                <w:rFonts w:ascii="GHEA Grapalat" w:hAnsi="GHEA Grapalat"/>
                <w:color w:val="000000"/>
                <w:sz w:val="14"/>
                <w:szCs w:val="14"/>
              </w:rPr>
              <w:t>2-րդ կատեգորիա</w:t>
            </w:r>
          </w:p>
        </w:tc>
        <w:tc>
          <w:tcPr>
            <w:tcW w:w="699" w:type="pct"/>
            <w:gridSpan w:val="2"/>
            <w:shd w:val="clear" w:color="auto" w:fill="ED7D31"/>
            <w:vAlign w:val="center"/>
          </w:tcPr>
          <w:p w14:paraId="6CD1DF70" w14:textId="77777777" w:rsidR="00957A78" w:rsidRPr="000B0E06" w:rsidRDefault="00957A78" w:rsidP="00A72B0A">
            <w:pPr>
              <w:spacing w:after="160" w:line="259" w:lineRule="auto"/>
              <w:jc w:val="center"/>
              <w:rPr>
                <w:rFonts w:ascii="GHEA Grapalat" w:hAnsi="GHEA Grapalat"/>
                <w:color w:val="FFFFFF"/>
                <w:sz w:val="14"/>
                <w:szCs w:val="14"/>
              </w:rPr>
            </w:pPr>
            <w:r w:rsidRPr="000B0E06">
              <w:rPr>
                <w:rFonts w:ascii="GHEA Grapalat" w:hAnsi="GHEA Grapalat"/>
                <w:sz w:val="14"/>
                <w:szCs w:val="14"/>
              </w:rPr>
              <w:t>3-րդ կատեգորիա</w:t>
            </w:r>
          </w:p>
        </w:tc>
      </w:tr>
      <w:tr w:rsidR="000B0E06" w:rsidRPr="00D35ADF" w14:paraId="2D9FFD8D" w14:textId="77777777" w:rsidTr="000B0E06">
        <w:trPr>
          <w:trHeight w:val="186"/>
        </w:trPr>
        <w:tc>
          <w:tcPr>
            <w:tcW w:w="995" w:type="pct"/>
            <w:shd w:val="clear" w:color="auto" w:fill="FFFFFF" w:themeFill="background1"/>
            <w:vAlign w:val="center"/>
          </w:tcPr>
          <w:p w14:paraId="224FD045" w14:textId="77777777" w:rsidR="00957A78" w:rsidRPr="000B0E06" w:rsidRDefault="00957A78" w:rsidP="00A72B0A">
            <w:pPr>
              <w:spacing w:after="0"/>
              <w:ind w:left="-97" w:right="-107"/>
              <w:jc w:val="center"/>
              <w:rPr>
                <w:rFonts w:ascii="GHEA Grapalat" w:hAnsi="GHEA Grapalat"/>
                <w:color w:val="000000"/>
                <w:sz w:val="16"/>
              </w:rPr>
            </w:pPr>
            <w:r w:rsidRPr="000B0E06">
              <w:rPr>
                <w:rFonts w:ascii="GHEA Grapalat" w:hAnsi="GHEA Grapalat"/>
                <w:color w:val="000000"/>
                <w:sz w:val="16"/>
              </w:rPr>
              <w:t>«Կարեն Դեմիրճյանի անվան Երևանի մետրոպոլիտեն» ՓԲԸ</w:t>
            </w:r>
          </w:p>
        </w:tc>
        <w:tc>
          <w:tcPr>
            <w:tcW w:w="672" w:type="pct"/>
            <w:shd w:val="clear" w:color="auto" w:fill="ED7D31"/>
            <w:vAlign w:val="center"/>
          </w:tcPr>
          <w:p w14:paraId="6AF5A840" w14:textId="77777777" w:rsidR="00957A78" w:rsidRPr="000B0E06" w:rsidRDefault="00957A78" w:rsidP="00A72B0A">
            <w:pPr>
              <w:spacing w:after="0"/>
              <w:rPr>
                <w:rFonts w:ascii="GHEA Grapalat" w:hAnsi="GHEA Grapalat"/>
                <w:color w:val="000000"/>
                <w:sz w:val="14"/>
                <w:szCs w:val="14"/>
              </w:rPr>
            </w:pPr>
            <w:r w:rsidRPr="000B0E06">
              <w:rPr>
                <w:rFonts w:ascii="GHEA Grapalat" w:hAnsi="GHEA Grapalat"/>
                <w:color w:val="000000"/>
                <w:sz w:val="14"/>
                <w:szCs w:val="14"/>
              </w:rPr>
              <w:t>3-րդ կատեգորիա</w:t>
            </w:r>
          </w:p>
        </w:tc>
        <w:tc>
          <w:tcPr>
            <w:tcW w:w="662" w:type="pct"/>
            <w:shd w:val="clear" w:color="auto" w:fill="FF0000"/>
            <w:vAlign w:val="center"/>
          </w:tcPr>
          <w:p w14:paraId="6D44A080" w14:textId="77777777" w:rsidR="00957A78" w:rsidRPr="000B0E06" w:rsidRDefault="00957A78" w:rsidP="00A72B0A">
            <w:pPr>
              <w:spacing w:after="0"/>
              <w:jc w:val="center"/>
              <w:rPr>
                <w:rFonts w:ascii="GHEA Grapalat" w:hAnsi="GHEA Grapalat"/>
                <w:color w:val="FFFFFF"/>
                <w:sz w:val="14"/>
                <w:szCs w:val="14"/>
              </w:rPr>
            </w:pPr>
            <w:r w:rsidRPr="000B0E06">
              <w:rPr>
                <w:rFonts w:ascii="GHEA Grapalat" w:hAnsi="GHEA Grapalat"/>
                <w:color w:val="FFFFFF"/>
                <w:sz w:val="14"/>
                <w:szCs w:val="14"/>
              </w:rPr>
              <w:t>4-րդ կատեգորիա</w:t>
            </w:r>
          </w:p>
        </w:tc>
        <w:tc>
          <w:tcPr>
            <w:tcW w:w="650" w:type="pct"/>
            <w:gridSpan w:val="2"/>
            <w:shd w:val="clear" w:color="auto" w:fill="FFC000" w:themeFill="accent4"/>
            <w:vAlign w:val="center"/>
          </w:tcPr>
          <w:p w14:paraId="7CCE3513" w14:textId="77777777" w:rsidR="00957A78" w:rsidRPr="000B0E06" w:rsidRDefault="00957A78" w:rsidP="00A72B0A">
            <w:pPr>
              <w:spacing w:after="0"/>
              <w:jc w:val="center"/>
              <w:rPr>
                <w:rFonts w:ascii="GHEA Grapalat" w:hAnsi="GHEA Grapalat"/>
                <w:color w:val="FFFFFF"/>
                <w:sz w:val="14"/>
                <w:szCs w:val="14"/>
              </w:rPr>
            </w:pPr>
            <w:r w:rsidRPr="000B0E06">
              <w:rPr>
                <w:rFonts w:ascii="GHEA Grapalat" w:hAnsi="GHEA Grapalat"/>
                <w:color w:val="000000"/>
                <w:sz w:val="14"/>
                <w:szCs w:val="14"/>
              </w:rPr>
              <w:t>2-րդ կատեգորիա</w:t>
            </w:r>
          </w:p>
        </w:tc>
        <w:tc>
          <w:tcPr>
            <w:tcW w:w="661" w:type="pct"/>
            <w:gridSpan w:val="2"/>
            <w:shd w:val="clear" w:color="auto" w:fill="FFC000" w:themeFill="accent4"/>
            <w:vAlign w:val="center"/>
          </w:tcPr>
          <w:p w14:paraId="0DD70D5F" w14:textId="77777777" w:rsidR="00957A78" w:rsidRPr="000B0E06" w:rsidRDefault="00957A78" w:rsidP="00A72B0A">
            <w:pPr>
              <w:spacing w:after="0"/>
              <w:jc w:val="center"/>
              <w:rPr>
                <w:rFonts w:ascii="GHEA Grapalat" w:hAnsi="GHEA Grapalat"/>
                <w:color w:val="FFFFFF"/>
                <w:sz w:val="14"/>
                <w:szCs w:val="14"/>
              </w:rPr>
            </w:pPr>
            <w:r w:rsidRPr="000B0E06">
              <w:rPr>
                <w:rFonts w:ascii="GHEA Grapalat" w:hAnsi="GHEA Grapalat"/>
                <w:color w:val="000000"/>
                <w:sz w:val="14"/>
                <w:szCs w:val="14"/>
              </w:rPr>
              <w:t>2-րդ կատեգորիա</w:t>
            </w:r>
          </w:p>
        </w:tc>
        <w:tc>
          <w:tcPr>
            <w:tcW w:w="661" w:type="pct"/>
            <w:gridSpan w:val="2"/>
            <w:shd w:val="clear" w:color="auto" w:fill="ED7D31"/>
            <w:vAlign w:val="center"/>
          </w:tcPr>
          <w:p w14:paraId="0E28A58B" w14:textId="77777777" w:rsidR="00957A78" w:rsidRPr="000B0E06" w:rsidRDefault="00957A78" w:rsidP="00A72B0A">
            <w:pPr>
              <w:spacing w:after="160" w:line="259" w:lineRule="auto"/>
              <w:jc w:val="center"/>
              <w:rPr>
                <w:rFonts w:ascii="GHEA Grapalat" w:hAnsi="GHEA Grapalat"/>
                <w:sz w:val="14"/>
                <w:szCs w:val="14"/>
              </w:rPr>
            </w:pPr>
            <w:r w:rsidRPr="000B0E06">
              <w:rPr>
                <w:rFonts w:ascii="GHEA Grapalat" w:hAnsi="GHEA Grapalat"/>
                <w:sz w:val="14"/>
                <w:szCs w:val="14"/>
              </w:rPr>
              <w:t>3-րդ կատեգորիա</w:t>
            </w:r>
          </w:p>
        </w:tc>
        <w:tc>
          <w:tcPr>
            <w:tcW w:w="699" w:type="pct"/>
            <w:gridSpan w:val="2"/>
            <w:shd w:val="clear" w:color="auto" w:fill="ED7D31"/>
            <w:vAlign w:val="center"/>
          </w:tcPr>
          <w:p w14:paraId="48638988" w14:textId="77777777" w:rsidR="00957A78" w:rsidRPr="000B0E06" w:rsidRDefault="00957A78" w:rsidP="00A72B0A">
            <w:pPr>
              <w:spacing w:after="160" w:line="259" w:lineRule="auto"/>
              <w:jc w:val="center"/>
              <w:rPr>
                <w:rFonts w:ascii="GHEA Grapalat" w:hAnsi="GHEA Grapalat"/>
                <w:color w:val="FFFFFF"/>
                <w:sz w:val="14"/>
                <w:szCs w:val="14"/>
              </w:rPr>
            </w:pPr>
            <w:r w:rsidRPr="000B0E06">
              <w:rPr>
                <w:rFonts w:ascii="GHEA Grapalat" w:hAnsi="GHEA Grapalat"/>
                <w:sz w:val="14"/>
                <w:szCs w:val="14"/>
              </w:rPr>
              <w:t>3-րդ կատեգորիա</w:t>
            </w:r>
          </w:p>
        </w:tc>
      </w:tr>
      <w:tr w:rsidR="000B0E06" w:rsidRPr="00D35ADF" w14:paraId="321D063B" w14:textId="77777777" w:rsidTr="000B0E06">
        <w:trPr>
          <w:trHeight w:val="186"/>
        </w:trPr>
        <w:tc>
          <w:tcPr>
            <w:tcW w:w="995" w:type="pct"/>
            <w:shd w:val="clear" w:color="auto" w:fill="D5DCE4" w:themeFill="text2" w:themeFillTint="33"/>
            <w:vAlign w:val="center"/>
          </w:tcPr>
          <w:p w14:paraId="6DCEC736" w14:textId="77777777" w:rsidR="00957A78" w:rsidRPr="000B0E06" w:rsidRDefault="00957A78" w:rsidP="00A72B0A">
            <w:pPr>
              <w:spacing w:before="0" w:after="0" w:line="240" w:lineRule="auto"/>
              <w:ind w:left="-97" w:right="-107"/>
              <w:jc w:val="center"/>
              <w:rPr>
                <w:rFonts w:ascii="GHEA Grapalat" w:hAnsi="GHEA Grapalat"/>
                <w:color w:val="000000"/>
                <w:sz w:val="16"/>
              </w:rPr>
            </w:pPr>
            <w:r w:rsidRPr="000B0E06">
              <w:rPr>
                <w:rFonts w:ascii="GHEA Grapalat" w:hAnsi="GHEA Grapalat"/>
                <w:color w:val="000000"/>
                <w:sz w:val="16"/>
              </w:rPr>
              <w:t>«Հայաստանի հեռուստատեսային և ռադիոհաղորդ</w:t>
            </w:r>
            <w:r w:rsidRPr="000B0E06">
              <w:rPr>
                <w:rFonts w:ascii="GHEA Grapalat" w:hAnsi="GHEA Grapalat"/>
                <w:color w:val="000000"/>
                <w:sz w:val="16"/>
                <w:lang w:val="hy-AM"/>
              </w:rPr>
              <w:t>ի</w:t>
            </w:r>
            <w:r w:rsidRPr="000B0E06">
              <w:rPr>
                <w:rFonts w:ascii="GHEA Grapalat" w:hAnsi="GHEA Grapalat"/>
                <w:color w:val="000000"/>
                <w:sz w:val="16"/>
              </w:rPr>
              <w:t>չ ցանց» ՓԲԸ</w:t>
            </w:r>
          </w:p>
        </w:tc>
        <w:tc>
          <w:tcPr>
            <w:tcW w:w="672" w:type="pct"/>
            <w:shd w:val="clear" w:color="auto" w:fill="auto"/>
            <w:vAlign w:val="center"/>
          </w:tcPr>
          <w:p w14:paraId="30BD5D47" w14:textId="77777777" w:rsidR="00957A78" w:rsidRPr="000B0E06" w:rsidRDefault="00957A78" w:rsidP="00A72B0A">
            <w:pPr>
              <w:spacing w:after="0"/>
              <w:jc w:val="center"/>
              <w:rPr>
                <w:rFonts w:ascii="GHEA Grapalat" w:hAnsi="GHEA Grapalat"/>
                <w:color w:val="000000"/>
                <w:sz w:val="14"/>
                <w:szCs w:val="14"/>
              </w:rPr>
            </w:pPr>
          </w:p>
        </w:tc>
        <w:tc>
          <w:tcPr>
            <w:tcW w:w="662" w:type="pct"/>
            <w:shd w:val="clear" w:color="auto" w:fill="auto"/>
            <w:vAlign w:val="center"/>
          </w:tcPr>
          <w:p w14:paraId="6BB02D9B" w14:textId="77777777" w:rsidR="00957A78" w:rsidRPr="000B0E06" w:rsidRDefault="00957A78" w:rsidP="00A72B0A">
            <w:pPr>
              <w:spacing w:after="0"/>
              <w:jc w:val="center"/>
              <w:rPr>
                <w:rFonts w:ascii="GHEA Grapalat" w:hAnsi="GHEA Grapalat"/>
                <w:color w:val="FFFFFF"/>
                <w:sz w:val="14"/>
                <w:szCs w:val="14"/>
              </w:rPr>
            </w:pPr>
          </w:p>
        </w:tc>
        <w:tc>
          <w:tcPr>
            <w:tcW w:w="650" w:type="pct"/>
            <w:gridSpan w:val="2"/>
            <w:shd w:val="clear" w:color="auto" w:fill="FFC000" w:themeFill="accent4"/>
            <w:vAlign w:val="center"/>
          </w:tcPr>
          <w:p w14:paraId="60D271B7" w14:textId="77777777" w:rsidR="00957A78" w:rsidRPr="000B0E06" w:rsidRDefault="00957A78" w:rsidP="00A72B0A">
            <w:pPr>
              <w:spacing w:after="0"/>
              <w:jc w:val="center"/>
              <w:rPr>
                <w:rFonts w:ascii="GHEA Grapalat" w:hAnsi="GHEA Grapalat"/>
                <w:color w:val="FFFFFF"/>
                <w:sz w:val="14"/>
                <w:szCs w:val="14"/>
              </w:rPr>
            </w:pPr>
            <w:r w:rsidRPr="000B0E06">
              <w:rPr>
                <w:rFonts w:ascii="GHEA Grapalat" w:hAnsi="GHEA Grapalat"/>
                <w:color w:val="000000"/>
                <w:sz w:val="14"/>
                <w:szCs w:val="14"/>
              </w:rPr>
              <w:t>2-րդ կատեգորիա</w:t>
            </w:r>
          </w:p>
        </w:tc>
        <w:tc>
          <w:tcPr>
            <w:tcW w:w="661" w:type="pct"/>
            <w:gridSpan w:val="2"/>
            <w:shd w:val="clear" w:color="auto" w:fill="FFC000" w:themeFill="accent4"/>
            <w:vAlign w:val="center"/>
          </w:tcPr>
          <w:p w14:paraId="04617497" w14:textId="77777777" w:rsidR="00957A78" w:rsidRPr="000B0E06" w:rsidRDefault="00957A78" w:rsidP="00A72B0A">
            <w:pPr>
              <w:spacing w:after="0"/>
              <w:jc w:val="center"/>
              <w:rPr>
                <w:rFonts w:ascii="GHEA Grapalat" w:hAnsi="GHEA Grapalat"/>
                <w:color w:val="FFFFFF"/>
                <w:sz w:val="14"/>
                <w:szCs w:val="14"/>
              </w:rPr>
            </w:pPr>
            <w:r w:rsidRPr="000B0E06">
              <w:rPr>
                <w:rFonts w:ascii="GHEA Grapalat" w:hAnsi="GHEA Grapalat"/>
                <w:color w:val="000000"/>
                <w:sz w:val="14"/>
                <w:szCs w:val="14"/>
              </w:rPr>
              <w:t>2-րդ կատեգորիա</w:t>
            </w:r>
          </w:p>
        </w:tc>
        <w:tc>
          <w:tcPr>
            <w:tcW w:w="661" w:type="pct"/>
            <w:gridSpan w:val="2"/>
            <w:shd w:val="clear" w:color="auto" w:fill="FFC000" w:themeFill="accent4"/>
            <w:vAlign w:val="center"/>
          </w:tcPr>
          <w:p w14:paraId="29C2890B" w14:textId="77777777" w:rsidR="00957A78" w:rsidRPr="000B0E06" w:rsidRDefault="00957A78" w:rsidP="00A72B0A">
            <w:pPr>
              <w:spacing w:after="160" w:line="259" w:lineRule="auto"/>
              <w:jc w:val="center"/>
              <w:rPr>
                <w:rFonts w:ascii="GHEA Grapalat" w:hAnsi="GHEA Grapalat"/>
                <w:sz w:val="14"/>
                <w:szCs w:val="14"/>
              </w:rPr>
            </w:pPr>
            <w:r w:rsidRPr="000B0E06">
              <w:rPr>
                <w:rFonts w:ascii="GHEA Grapalat" w:hAnsi="GHEA Grapalat"/>
                <w:color w:val="000000"/>
                <w:sz w:val="14"/>
                <w:szCs w:val="14"/>
              </w:rPr>
              <w:t>2-րդ կատեգորիա</w:t>
            </w:r>
          </w:p>
        </w:tc>
        <w:tc>
          <w:tcPr>
            <w:tcW w:w="699" w:type="pct"/>
            <w:gridSpan w:val="2"/>
            <w:shd w:val="clear" w:color="auto" w:fill="FFC000" w:themeFill="accent4"/>
            <w:vAlign w:val="center"/>
          </w:tcPr>
          <w:p w14:paraId="271029B7" w14:textId="77777777" w:rsidR="00957A78" w:rsidRPr="000B0E06" w:rsidRDefault="00957A78" w:rsidP="00A72B0A">
            <w:pPr>
              <w:spacing w:after="160" w:line="259" w:lineRule="auto"/>
              <w:jc w:val="center"/>
              <w:rPr>
                <w:rFonts w:ascii="GHEA Grapalat" w:hAnsi="GHEA Grapalat"/>
                <w:color w:val="FFFFFF"/>
                <w:sz w:val="14"/>
                <w:szCs w:val="14"/>
              </w:rPr>
            </w:pPr>
            <w:r w:rsidRPr="000B0E06">
              <w:rPr>
                <w:rFonts w:ascii="GHEA Grapalat" w:hAnsi="GHEA Grapalat"/>
                <w:color w:val="000000"/>
                <w:sz w:val="14"/>
                <w:szCs w:val="14"/>
              </w:rPr>
              <w:t>2-րդ կատեգորիա</w:t>
            </w:r>
          </w:p>
        </w:tc>
      </w:tr>
      <w:tr w:rsidR="000B0E06" w:rsidRPr="00D35ADF" w14:paraId="70D79CCF" w14:textId="77777777" w:rsidTr="000B0E06">
        <w:trPr>
          <w:trHeight w:val="186"/>
        </w:trPr>
        <w:tc>
          <w:tcPr>
            <w:tcW w:w="995" w:type="pct"/>
            <w:shd w:val="clear" w:color="auto" w:fill="FFFFFF" w:themeFill="background1"/>
            <w:vAlign w:val="center"/>
          </w:tcPr>
          <w:p w14:paraId="1E84DA7B" w14:textId="77777777" w:rsidR="00957A78" w:rsidRPr="000B0E06" w:rsidRDefault="00957A78" w:rsidP="00A72B0A">
            <w:pPr>
              <w:spacing w:after="0"/>
              <w:ind w:left="-97" w:right="-107"/>
              <w:jc w:val="center"/>
              <w:rPr>
                <w:rFonts w:ascii="GHEA Grapalat" w:hAnsi="GHEA Grapalat"/>
                <w:color w:val="000000"/>
                <w:sz w:val="16"/>
              </w:rPr>
            </w:pPr>
            <w:r w:rsidRPr="000B0E06">
              <w:rPr>
                <w:rFonts w:ascii="GHEA Grapalat" w:hAnsi="GHEA Grapalat"/>
                <w:color w:val="000000"/>
                <w:sz w:val="16"/>
              </w:rPr>
              <w:t>«ԷլեկտրաԷներգետիկական Համակարգի Օպերատոր» ՓԲԸ</w:t>
            </w:r>
          </w:p>
        </w:tc>
        <w:tc>
          <w:tcPr>
            <w:tcW w:w="672" w:type="pct"/>
            <w:shd w:val="clear" w:color="auto" w:fill="FF0000"/>
            <w:vAlign w:val="center"/>
          </w:tcPr>
          <w:p w14:paraId="69BE5A60" w14:textId="77777777" w:rsidR="00957A78" w:rsidRPr="000B0E06" w:rsidRDefault="00957A78" w:rsidP="00A72B0A">
            <w:pPr>
              <w:spacing w:after="0"/>
              <w:jc w:val="center"/>
              <w:rPr>
                <w:rFonts w:ascii="GHEA Grapalat" w:hAnsi="GHEA Grapalat"/>
                <w:color w:val="000000"/>
                <w:sz w:val="14"/>
                <w:szCs w:val="14"/>
              </w:rPr>
            </w:pPr>
            <w:r w:rsidRPr="000B0E06">
              <w:rPr>
                <w:rFonts w:ascii="GHEA Grapalat" w:hAnsi="GHEA Grapalat"/>
                <w:color w:val="FFFFFF"/>
                <w:sz w:val="14"/>
                <w:szCs w:val="14"/>
              </w:rPr>
              <w:t>4-րդ կատեգորիա</w:t>
            </w:r>
          </w:p>
        </w:tc>
        <w:tc>
          <w:tcPr>
            <w:tcW w:w="662" w:type="pct"/>
            <w:shd w:val="clear" w:color="auto" w:fill="ED7D31" w:themeFill="accent2"/>
            <w:vAlign w:val="center"/>
          </w:tcPr>
          <w:p w14:paraId="469E0FD5" w14:textId="77777777" w:rsidR="00957A78" w:rsidRPr="000B0E06" w:rsidRDefault="00957A78" w:rsidP="00A72B0A">
            <w:pPr>
              <w:spacing w:after="0"/>
              <w:jc w:val="center"/>
              <w:rPr>
                <w:rFonts w:ascii="GHEA Grapalat" w:hAnsi="GHEA Grapalat"/>
                <w:color w:val="FFFFFF"/>
                <w:sz w:val="14"/>
                <w:szCs w:val="14"/>
              </w:rPr>
            </w:pPr>
            <w:r w:rsidRPr="000B0E06">
              <w:rPr>
                <w:rFonts w:ascii="GHEA Grapalat" w:hAnsi="GHEA Grapalat"/>
                <w:color w:val="000000"/>
                <w:sz w:val="14"/>
                <w:szCs w:val="14"/>
              </w:rPr>
              <w:t>3-րդ կատեգորիա</w:t>
            </w:r>
          </w:p>
        </w:tc>
        <w:tc>
          <w:tcPr>
            <w:tcW w:w="650" w:type="pct"/>
            <w:gridSpan w:val="2"/>
            <w:shd w:val="clear" w:color="auto" w:fill="ED7D31" w:themeFill="accent2"/>
            <w:vAlign w:val="center"/>
          </w:tcPr>
          <w:p w14:paraId="38D23AFE" w14:textId="77777777" w:rsidR="00957A78" w:rsidRPr="000B0E06" w:rsidRDefault="00957A78" w:rsidP="00A72B0A">
            <w:pPr>
              <w:spacing w:after="0"/>
              <w:jc w:val="center"/>
              <w:rPr>
                <w:rFonts w:ascii="GHEA Grapalat" w:hAnsi="GHEA Grapalat"/>
                <w:color w:val="FFFFFF"/>
                <w:sz w:val="14"/>
                <w:szCs w:val="14"/>
              </w:rPr>
            </w:pPr>
            <w:r w:rsidRPr="000B0E06">
              <w:rPr>
                <w:rFonts w:ascii="GHEA Grapalat" w:hAnsi="GHEA Grapalat"/>
                <w:color w:val="000000"/>
                <w:sz w:val="14"/>
                <w:szCs w:val="14"/>
              </w:rPr>
              <w:t>3-րդ կատեգորիա</w:t>
            </w:r>
          </w:p>
        </w:tc>
        <w:tc>
          <w:tcPr>
            <w:tcW w:w="661" w:type="pct"/>
            <w:gridSpan w:val="2"/>
            <w:shd w:val="clear" w:color="auto" w:fill="ED7D31" w:themeFill="accent2"/>
            <w:vAlign w:val="center"/>
          </w:tcPr>
          <w:p w14:paraId="742DE93A" w14:textId="77777777" w:rsidR="00957A78" w:rsidRPr="000B0E06" w:rsidRDefault="00957A78" w:rsidP="00A72B0A">
            <w:pPr>
              <w:spacing w:after="0"/>
              <w:jc w:val="center"/>
              <w:rPr>
                <w:rFonts w:ascii="GHEA Grapalat" w:hAnsi="GHEA Grapalat"/>
                <w:color w:val="FFFFFF"/>
                <w:sz w:val="14"/>
                <w:szCs w:val="14"/>
              </w:rPr>
            </w:pPr>
            <w:r w:rsidRPr="000B0E06">
              <w:rPr>
                <w:rFonts w:ascii="GHEA Grapalat" w:hAnsi="GHEA Grapalat"/>
                <w:color w:val="000000"/>
                <w:sz w:val="14"/>
                <w:szCs w:val="14"/>
              </w:rPr>
              <w:t>3-րդ կատեգորիա</w:t>
            </w:r>
          </w:p>
        </w:tc>
        <w:tc>
          <w:tcPr>
            <w:tcW w:w="661" w:type="pct"/>
            <w:gridSpan w:val="2"/>
            <w:shd w:val="clear" w:color="auto" w:fill="ED7D31"/>
            <w:vAlign w:val="center"/>
          </w:tcPr>
          <w:p w14:paraId="205956CD" w14:textId="77777777" w:rsidR="00957A78" w:rsidRPr="000B0E06" w:rsidRDefault="00957A78" w:rsidP="00A72B0A">
            <w:pPr>
              <w:spacing w:after="160" w:line="259" w:lineRule="auto"/>
              <w:jc w:val="center"/>
              <w:rPr>
                <w:rFonts w:ascii="GHEA Grapalat" w:hAnsi="GHEA Grapalat"/>
                <w:sz w:val="14"/>
                <w:szCs w:val="14"/>
              </w:rPr>
            </w:pPr>
            <w:r w:rsidRPr="000B0E06">
              <w:rPr>
                <w:rFonts w:ascii="GHEA Grapalat" w:hAnsi="GHEA Grapalat"/>
                <w:sz w:val="14"/>
                <w:szCs w:val="14"/>
              </w:rPr>
              <w:t>3-րդ կատեգորիա</w:t>
            </w:r>
          </w:p>
        </w:tc>
        <w:tc>
          <w:tcPr>
            <w:tcW w:w="699" w:type="pct"/>
            <w:gridSpan w:val="2"/>
            <w:shd w:val="clear" w:color="auto" w:fill="ED7D31"/>
            <w:vAlign w:val="center"/>
          </w:tcPr>
          <w:p w14:paraId="1E63AC59" w14:textId="77777777" w:rsidR="00957A78" w:rsidRPr="000B0E06" w:rsidRDefault="00957A78" w:rsidP="00A72B0A">
            <w:pPr>
              <w:spacing w:after="160" w:line="259" w:lineRule="auto"/>
              <w:jc w:val="center"/>
              <w:rPr>
                <w:rFonts w:ascii="GHEA Grapalat" w:hAnsi="GHEA Grapalat"/>
                <w:color w:val="FFFFFF"/>
                <w:sz w:val="14"/>
                <w:szCs w:val="14"/>
              </w:rPr>
            </w:pPr>
            <w:r w:rsidRPr="000B0E06">
              <w:rPr>
                <w:rFonts w:ascii="GHEA Grapalat" w:hAnsi="GHEA Grapalat"/>
                <w:sz w:val="14"/>
                <w:szCs w:val="14"/>
              </w:rPr>
              <w:t>3-րդ կատեգորիա</w:t>
            </w:r>
          </w:p>
        </w:tc>
      </w:tr>
      <w:tr w:rsidR="000B0E06" w:rsidRPr="00D35ADF" w14:paraId="06F2C792" w14:textId="77777777" w:rsidTr="000B0E06">
        <w:trPr>
          <w:trHeight w:val="186"/>
        </w:trPr>
        <w:tc>
          <w:tcPr>
            <w:tcW w:w="995" w:type="pct"/>
            <w:shd w:val="clear" w:color="auto" w:fill="D5DCE4" w:themeFill="text2" w:themeFillTint="33"/>
            <w:vAlign w:val="center"/>
          </w:tcPr>
          <w:p w14:paraId="1AA7A02C" w14:textId="77777777" w:rsidR="00957A78" w:rsidRPr="000B0E06" w:rsidRDefault="00957A78" w:rsidP="00A72B0A">
            <w:pPr>
              <w:spacing w:after="0"/>
              <w:jc w:val="center"/>
              <w:rPr>
                <w:rFonts w:ascii="GHEA Grapalat" w:hAnsi="GHEA Grapalat"/>
                <w:b/>
                <w:color w:val="000000"/>
                <w:sz w:val="16"/>
              </w:rPr>
            </w:pPr>
            <w:r w:rsidRPr="000B0E06">
              <w:rPr>
                <w:rFonts w:ascii="GHEA Grapalat" w:hAnsi="GHEA Grapalat"/>
                <w:b/>
                <w:color w:val="000000"/>
                <w:sz w:val="16"/>
              </w:rPr>
              <w:t>Միջին ռիսկայնության մակարդակ</w:t>
            </w:r>
          </w:p>
        </w:tc>
        <w:tc>
          <w:tcPr>
            <w:tcW w:w="672" w:type="pct"/>
            <w:shd w:val="clear" w:color="auto" w:fill="FF0000"/>
            <w:vAlign w:val="center"/>
          </w:tcPr>
          <w:p w14:paraId="2BB86BE9" w14:textId="77777777" w:rsidR="00957A78" w:rsidRPr="000B0E06" w:rsidRDefault="00957A78" w:rsidP="00A72B0A">
            <w:pPr>
              <w:spacing w:after="0"/>
              <w:jc w:val="center"/>
              <w:rPr>
                <w:rFonts w:ascii="GHEA Grapalat" w:hAnsi="GHEA Grapalat"/>
                <w:color w:val="FFFFFF"/>
                <w:sz w:val="14"/>
                <w:szCs w:val="14"/>
              </w:rPr>
            </w:pPr>
            <w:r w:rsidRPr="000B0E06">
              <w:rPr>
                <w:rFonts w:ascii="GHEA Grapalat" w:hAnsi="GHEA Grapalat"/>
                <w:color w:val="FFFFFF"/>
                <w:sz w:val="14"/>
                <w:szCs w:val="14"/>
              </w:rPr>
              <w:t>4-րդ կատեգորիա</w:t>
            </w:r>
          </w:p>
        </w:tc>
        <w:tc>
          <w:tcPr>
            <w:tcW w:w="662" w:type="pct"/>
            <w:shd w:val="clear" w:color="auto" w:fill="FF0000"/>
            <w:vAlign w:val="center"/>
          </w:tcPr>
          <w:p w14:paraId="5D109EC3" w14:textId="77777777" w:rsidR="00957A78" w:rsidRPr="000B0E06" w:rsidRDefault="00957A78" w:rsidP="00A72B0A">
            <w:pPr>
              <w:spacing w:after="0"/>
              <w:jc w:val="center"/>
              <w:rPr>
                <w:rFonts w:ascii="GHEA Grapalat" w:hAnsi="GHEA Grapalat"/>
                <w:color w:val="FFFFFF"/>
                <w:sz w:val="14"/>
                <w:szCs w:val="14"/>
              </w:rPr>
            </w:pPr>
            <w:r w:rsidRPr="000B0E06">
              <w:rPr>
                <w:rFonts w:ascii="GHEA Grapalat" w:hAnsi="GHEA Grapalat"/>
                <w:color w:val="FFFFFF"/>
                <w:sz w:val="14"/>
                <w:szCs w:val="14"/>
              </w:rPr>
              <w:t>4-րդ կատեգորիա</w:t>
            </w:r>
          </w:p>
        </w:tc>
        <w:tc>
          <w:tcPr>
            <w:tcW w:w="650" w:type="pct"/>
            <w:gridSpan w:val="2"/>
            <w:shd w:val="clear" w:color="auto" w:fill="FF0000"/>
            <w:vAlign w:val="center"/>
          </w:tcPr>
          <w:p w14:paraId="61A785DD" w14:textId="77777777" w:rsidR="00957A78" w:rsidRPr="000B0E06" w:rsidRDefault="00957A78" w:rsidP="00A72B0A">
            <w:pPr>
              <w:spacing w:after="0"/>
              <w:jc w:val="center"/>
              <w:rPr>
                <w:rFonts w:ascii="GHEA Grapalat" w:hAnsi="GHEA Grapalat"/>
                <w:color w:val="FFFFFF"/>
                <w:sz w:val="14"/>
                <w:szCs w:val="14"/>
              </w:rPr>
            </w:pPr>
            <w:r w:rsidRPr="000B0E06">
              <w:rPr>
                <w:rFonts w:ascii="GHEA Grapalat" w:hAnsi="GHEA Grapalat"/>
                <w:color w:val="FFFFFF"/>
                <w:sz w:val="14"/>
                <w:szCs w:val="14"/>
              </w:rPr>
              <w:t>4-րդ կատեգորիա</w:t>
            </w:r>
          </w:p>
        </w:tc>
        <w:tc>
          <w:tcPr>
            <w:tcW w:w="661" w:type="pct"/>
            <w:gridSpan w:val="2"/>
            <w:shd w:val="clear" w:color="auto" w:fill="ED7D31"/>
            <w:vAlign w:val="center"/>
          </w:tcPr>
          <w:p w14:paraId="72C7661E" w14:textId="77777777" w:rsidR="00957A78" w:rsidRPr="000B0E06" w:rsidRDefault="00957A78" w:rsidP="00A72B0A">
            <w:pPr>
              <w:spacing w:after="0"/>
              <w:jc w:val="center"/>
              <w:rPr>
                <w:rFonts w:ascii="GHEA Grapalat" w:hAnsi="GHEA Grapalat"/>
                <w:color w:val="000000"/>
                <w:sz w:val="14"/>
                <w:szCs w:val="14"/>
              </w:rPr>
            </w:pPr>
            <w:r w:rsidRPr="000B0E06">
              <w:rPr>
                <w:rFonts w:ascii="GHEA Grapalat" w:hAnsi="GHEA Grapalat"/>
                <w:color w:val="000000"/>
                <w:sz w:val="14"/>
                <w:szCs w:val="14"/>
              </w:rPr>
              <w:t>3-րդ կատեգորիա</w:t>
            </w:r>
          </w:p>
        </w:tc>
        <w:tc>
          <w:tcPr>
            <w:tcW w:w="661" w:type="pct"/>
            <w:gridSpan w:val="2"/>
            <w:shd w:val="clear" w:color="auto" w:fill="ED7D31"/>
            <w:vAlign w:val="center"/>
          </w:tcPr>
          <w:p w14:paraId="66A5903F" w14:textId="77777777" w:rsidR="00957A78" w:rsidRPr="000B0E06" w:rsidRDefault="00957A78" w:rsidP="00A72B0A">
            <w:pPr>
              <w:spacing w:after="0"/>
              <w:jc w:val="center"/>
              <w:rPr>
                <w:rFonts w:ascii="GHEA Grapalat" w:hAnsi="GHEA Grapalat"/>
                <w:sz w:val="14"/>
                <w:szCs w:val="14"/>
              </w:rPr>
            </w:pPr>
            <w:r w:rsidRPr="000B0E06">
              <w:rPr>
                <w:rFonts w:ascii="GHEA Grapalat" w:hAnsi="GHEA Grapalat"/>
                <w:sz w:val="14"/>
                <w:szCs w:val="14"/>
              </w:rPr>
              <w:t>3-րդ կատեգորիա</w:t>
            </w:r>
          </w:p>
        </w:tc>
        <w:tc>
          <w:tcPr>
            <w:tcW w:w="699" w:type="pct"/>
            <w:gridSpan w:val="2"/>
            <w:shd w:val="clear" w:color="auto" w:fill="ED7D31"/>
            <w:vAlign w:val="center"/>
          </w:tcPr>
          <w:p w14:paraId="789BAAC2" w14:textId="77777777" w:rsidR="00957A78" w:rsidRPr="000B0E06" w:rsidRDefault="00957A78" w:rsidP="00A72B0A">
            <w:pPr>
              <w:spacing w:after="0"/>
              <w:jc w:val="center"/>
              <w:rPr>
                <w:rFonts w:ascii="GHEA Grapalat" w:hAnsi="GHEA Grapalat"/>
                <w:sz w:val="14"/>
                <w:szCs w:val="14"/>
              </w:rPr>
            </w:pPr>
            <w:r w:rsidRPr="000B0E06">
              <w:rPr>
                <w:rFonts w:ascii="GHEA Grapalat" w:hAnsi="GHEA Grapalat"/>
                <w:sz w:val="14"/>
                <w:szCs w:val="14"/>
              </w:rPr>
              <w:t>3-րդ կատեգորիա</w:t>
            </w:r>
          </w:p>
        </w:tc>
      </w:tr>
    </w:tbl>
    <w:p w14:paraId="2ADEDF84" w14:textId="77777777" w:rsidR="00957A78" w:rsidRPr="00947715" w:rsidRDefault="00957A78" w:rsidP="00957A78">
      <w:pPr>
        <w:pStyle w:val="BodyText1"/>
        <w:ind w:left="0"/>
        <w:rPr>
          <w:szCs w:val="22"/>
          <w:lang w:val="hy-AM"/>
        </w:rPr>
      </w:pPr>
      <w:r w:rsidRPr="00947715">
        <w:rPr>
          <w:szCs w:val="22"/>
          <w:lang w:val="hy-AM"/>
        </w:rPr>
        <w:t>Չնայած նրան, որ ընկերությունների վճարունակությունը բարելավման միտումներ ունի, այնուամենայնիվ, պարտք/ակտիվներ հարաբերակցությունը (աջ առանցք)</w:t>
      </w:r>
      <w:r>
        <w:rPr>
          <w:rStyle w:val="FootnoteReference"/>
          <w:szCs w:val="22"/>
          <w:lang w:val="hy-AM"/>
        </w:rPr>
        <w:footnoteReference w:id="31"/>
      </w:r>
      <w:r w:rsidRPr="00947715">
        <w:rPr>
          <w:szCs w:val="22"/>
          <w:lang w:val="hy-AM"/>
        </w:rPr>
        <w:t>, և պարտք/սեփական կապիտալ հարաբերակցությունը (ձախ առանցք)</w:t>
      </w:r>
      <w:r>
        <w:rPr>
          <w:rStyle w:val="FootnoteReference"/>
          <w:szCs w:val="22"/>
          <w:lang w:val="hy-AM"/>
        </w:rPr>
        <w:footnoteReference w:id="32"/>
      </w:r>
      <w:r w:rsidRPr="00947715">
        <w:rPr>
          <w:szCs w:val="22"/>
          <w:lang w:val="hy-AM"/>
        </w:rPr>
        <w:t xml:space="preserve"> 2023-2024թթ. նվազման միտում ունեն (տես՝ գծապատկեր 3): </w:t>
      </w:r>
    </w:p>
    <w:p w14:paraId="43319CA0" w14:textId="77777777" w:rsidR="00957A78" w:rsidRDefault="00957A78" w:rsidP="00957A78">
      <w:pPr>
        <w:spacing w:after="0"/>
      </w:pPr>
    </w:p>
    <w:p w14:paraId="61527F83" w14:textId="77777777" w:rsidR="00957A78" w:rsidRPr="00E93E86" w:rsidRDefault="0017075C" w:rsidP="00957A78">
      <w:pPr>
        <w:spacing w:before="0" w:after="160" w:line="259" w:lineRule="auto"/>
        <w:rPr>
          <w:i/>
          <w:sz w:val="20"/>
          <w:szCs w:val="20"/>
        </w:rPr>
      </w:pPr>
      <w:sdt>
        <w:sdtPr>
          <w:tag w:val="goog_rdk_3"/>
          <w:id w:val="859625409"/>
          <w:showingPlcHdr/>
        </w:sdtPr>
        <w:sdtEndPr>
          <w:rPr>
            <w:sz w:val="20"/>
            <w:szCs w:val="20"/>
          </w:rPr>
        </w:sdtEndPr>
        <w:sdtContent>
          <w:r w:rsidR="00957A78" w:rsidRPr="00E93E86">
            <w:rPr>
              <w:sz w:val="20"/>
              <w:szCs w:val="20"/>
            </w:rPr>
            <w:t xml:space="preserve">     </w:t>
          </w:r>
        </w:sdtContent>
      </w:sdt>
      <w:r w:rsidR="00957A78" w:rsidRPr="00E93E86">
        <w:rPr>
          <w:b/>
          <w:i/>
          <w:sz w:val="20"/>
          <w:szCs w:val="20"/>
        </w:rPr>
        <w:t xml:space="preserve">Գծապատկեր </w:t>
      </w:r>
      <w:r w:rsidR="00957A78">
        <w:rPr>
          <w:b/>
          <w:i/>
          <w:sz w:val="20"/>
          <w:szCs w:val="20"/>
          <w:lang w:val="hy-AM"/>
        </w:rPr>
        <w:t>3</w:t>
      </w:r>
      <w:r w:rsidR="00957A78" w:rsidRPr="00E93E86">
        <w:rPr>
          <w:b/>
          <w:i/>
          <w:sz w:val="20"/>
          <w:szCs w:val="20"/>
        </w:rPr>
        <w:t xml:space="preserve">. </w:t>
      </w:r>
      <w:r w:rsidR="00957A78" w:rsidRPr="00E93E86">
        <w:rPr>
          <w:i/>
          <w:sz w:val="20"/>
          <w:szCs w:val="20"/>
        </w:rPr>
        <w:t>ՊՄԸ-ների վճարունակությունը</w:t>
      </w:r>
    </w:p>
    <w:p w14:paraId="34F2B92E" w14:textId="77777777" w:rsidR="00957A78" w:rsidRPr="00FC44DE" w:rsidRDefault="00957A78" w:rsidP="00957A78">
      <w:pPr>
        <w:ind w:right="2160"/>
        <w:rPr>
          <w:b/>
          <w:i/>
        </w:rPr>
      </w:pPr>
      <w:r>
        <w:rPr>
          <w:noProof/>
        </w:rPr>
        <w:drawing>
          <wp:inline distT="0" distB="0" distL="0" distR="0" wp14:anchorId="36FEF08E" wp14:editId="6D5F3F84">
            <wp:extent cx="5886450" cy="2317115"/>
            <wp:effectExtent l="0" t="0" r="0" b="6985"/>
            <wp:docPr id="16120840" name="Chart 16120840">
              <a:extLst xmlns:a="http://schemas.openxmlformats.org/drawingml/2006/main">
                <a:ext uri="{FF2B5EF4-FFF2-40B4-BE49-F238E27FC236}">
                  <a16:creationId xmlns:a16="http://schemas.microsoft.com/office/drawing/2014/main" id="{00000000-0008-0000-1000-00001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8"/>
              </a:graphicData>
            </a:graphic>
          </wp:inline>
        </w:drawing>
      </w:r>
      <w:r w:rsidRPr="00E93E86">
        <w:rPr>
          <w:noProof/>
          <w:lang w:val="hy-AM" w:eastAsia="hy-AM"/>
        </w:rPr>
        <w:t xml:space="preserve"> </w:t>
      </w:r>
    </w:p>
    <w:p w14:paraId="5EB6E576" w14:textId="77777777" w:rsidR="00957A78" w:rsidRPr="00947715" w:rsidRDefault="00957A78" w:rsidP="00957A78">
      <w:pPr>
        <w:pStyle w:val="BodyText1"/>
        <w:ind w:left="0"/>
        <w:rPr>
          <w:szCs w:val="22"/>
          <w:lang w:val="hy-AM"/>
        </w:rPr>
      </w:pPr>
      <w:r w:rsidRPr="00947715">
        <w:rPr>
          <w:szCs w:val="22"/>
          <w:lang w:val="hy-AM"/>
        </w:rPr>
        <w:t xml:space="preserve">Ըստ առանձին ՊՄԸ-ների պարտավորությունների չափի և ընդհանուր ռիսկի՝ փոխկապվածությունը ներկայացված է Գծապատկեր 4-ում: Վերջինից երևում է, որ չնայած ընկերությունների պարտավորությունների բարձր չափի, նրանք գտնվում են ռիսկայնության ավելի ցածր մակարդակում, քան այն ընկերությունները, որոնց պարտավորությունները ավելի ցածր են: </w:t>
      </w:r>
    </w:p>
    <w:p w14:paraId="298DD236" w14:textId="77777777" w:rsidR="00957A78" w:rsidRPr="00947715" w:rsidRDefault="00957A78" w:rsidP="00957A78">
      <w:pPr>
        <w:pStyle w:val="BodyText1"/>
        <w:ind w:left="0"/>
        <w:rPr>
          <w:szCs w:val="22"/>
          <w:lang w:val="hy-AM"/>
        </w:rPr>
      </w:pPr>
      <w:r w:rsidRPr="00947715">
        <w:rPr>
          <w:szCs w:val="22"/>
          <w:lang w:val="hy-AM"/>
        </w:rPr>
        <w:t>Այս հանգամանքը հիմնավորվում է նրանով, որ մոդելի յուրաքանչյուր ցուցանիշին տրված է հավասար կշիռ, և մեկ ցուցանիշի բարձր ռիսկային արդյունքը կարող է փոխհատուցվել մեկ այլ ցուցանիշի ցածր ռիսկային արդյունքով:</w:t>
      </w:r>
    </w:p>
    <w:p w14:paraId="40C61C23" w14:textId="77777777" w:rsidR="00957A78" w:rsidRPr="003A5AE3" w:rsidRDefault="00957A78" w:rsidP="00957A78">
      <w:pPr>
        <w:spacing w:after="0"/>
        <w:rPr>
          <w:sz w:val="8"/>
          <w:lang w:val="hy-AM"/>
        </w:rPr>
      </w:pPr>
    </w:p>
    <w:p w14:paraId="0B323F3D" w14:textId="77777777" w:rsidR="00957A78" w:rsidRPr="003A5AE3" w:rsidRDefault="00957A78" w:rsidP="00957A78">
      <w:pPr>
        <w:spacing w:after="0"/>
        <w:rPr>
          <w:i/>
          <w:sz w:val="20"/>
          <w:szCs w:val="20"/>
          <w:lang w:val="hy-AM"/>
        </w:rPr>
      </w:pPr>
      <w:r w:rsidRPr="003A5AE3">
        <w:rPr>
          <w:b/>
          <w:i/>
          <w:sz w:val="20"/>
          <w:szCs w:val="20"/>
          <w:lang w:val="hy-AM"/>
        </w:rPr>
        <w:t xml:space="preserve">Գծապատկեր </w:t>
      </w:r>
      <w:r w:rsidRPr="00E614FD">
        <w:rPr>
          <w:b/>
          <w:i/>
          <w:sz w:val="20"/>
          <w:szCs w:val="20"/>
          <w:lang w:val="hy-AM"/>
        </w:rPr>
        <w:t>4</w:t>
      </w:r>
      <w:r w:rsidRPr="003A5AE3">
        <w:rPr>
          <w:b/>
          <w:i/>
          <w:sz w:val="20"/>
          <w:szCs w:val="20"/>
          <w:lang w:val="hy-AM"/>
        </w:rPr>
        <w:t xml:space="preserve">. </w:t>
      </w:r>
      <w:r w:rsidRPr="003A5AE3">
        <w:rPr>
          <w:i/>
          <w:sz w:val="20"/>
          <w:szCs w:val="20"/>
          <w:lang w:val="hy-AM"/>
        </w:rPr>
        <w:t>ՊՄԸ-ների պարտավորությունների չափի և ընդհանուր ռիսկի փոխկապվածությունը 2024թ., հազար ՀՀ դրամ</w:t>
      </w:r>
    </w:p>
    <w:p w14:paraId="21B0B671" w14:textId="77777777" w:rsidR="00957A78" w:rsidRDefault="00957A78" w:rsidP="00957A78">
      <w:pPr>
        <w:spacing w:after="0"/>
        <w:jc w:val="center"/>
        <w:rPr>
          <w:i/>
          <w:sz w:val="20"/>
          <w:szCs w:val="20"/>
        </w:rPr>
      </w:pPr>
      <w:r>
        <w:rPr>
          <w:i/>
          <w:noProof/>
        </w:rPr>
        <w:drawing>
          <wp:inline distT="0" distB="0" distL="0" distR="0" wp14:anchorId="7A14932D" wp14:editId="025F18AB">
            <wp:extent cx="4030521" cy="2736000"/>
            <wp:effectExtent l="0" t="0" r="8255" b="7620"/>
            <wp:docPr id="16120841" name="Picture 16120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4030521" cy="2736000"/>
                    </a:xfrm>
                    <a:prstGeom prst="rect">
                      <a:avLst/>
                    </a:prstGeom>
                    <a:noFill/>
                  </pic:spPr>
                </pic:pic>
              </a:graphicData>
            </a:graphic>
          </wp:inline>
        </w:drawing>
      </w:r>
    </w:p>
    <w:p w14:paraId="1353D822" w14:textId="77777777" w:rsidR="00957A78" w:rsidRPr="00AB0F0A" w:rsidRDefault="00957A78" w:rsidP="00957A78">
      <w:pPr>
        <w:pStyle w:val="ListParagraph"/>
        <w:numPr>
          <w:ilvl w:val="0"/>
          <w:numId w:val="41"/>
        </w:numPr>
        <w:pBdr>
          <w:top w:val="nil"/>
          <w:left w:val="nil"/>
          <w:bottom w:val="nil"/>
          <w:right w:val="nil"/>
          <w:between w:val="nil"/>
        </w:pBdr>
        <w:spacing w:after="0"/>
        <w:rPr>
          <w:rFonts w:ascii="GHEA Grapalat" w:eastAsia="GHEA Grapalat" w:hAnsi="GHEA Grapalat"/>
        </w:rPr>
      </w:pPr>
      <w:r w:rsidRPr="00AB0F0A">
        <w:rPr>
          <w:rFonts w:ascii="GHEA Grapalat" w:eastAsia="GHEA Grapalat" w:hAnsi="GHEA Grapalat"/>
        </w:rPr>
        <w:t>«Հայկական ատոմային էլեկտրակայան» ՓԲԸ</w:t>
      </w:r>
    </w:p>
    <w:p w14:paraId="129743FB" w14:textId="77777777" w:rsidR="00957A78" w:rsidRPr="00AB0F0A" w:rsidRDefault="00957A78" w:rsidP="00957A78">
      <w:pPr>
        <w:pStyle w:val="ListParagraph"/>
        <w:numPr>
          <w:ilvl w:val="0"/>
          <w:numId w:val="41"/>
        </w:numPr>
        <w:pBdr>
          <w:top w:val="nil"/>
          <w:left w:val="nil"/>
          <w:bottom w:val="nil"/>
          <w:right w:val="nil"/>
          <w:between w:val="nil"/>
        </w:pBdr>
        <w:spacing w:after="0"/>
        <w:rPr>
          <w:rFonts w:ascii="GHEA Grapalat" w:eastAsia="GHEA Grapalat" w:hAnsi="GHEA Grapalat"/>
        </w:rPr>
      </w:pPr>
      <w:r w:rsidRPr="00AB0F0A">
        <w:rPr>
          <w:rFonts w:ascii="GHEA Grapalat" w:eastAsia="GHEA Grapalat" w:hAnsi="GHEA Grapalat"/>
        </w:rPr>
        <w:t>«Բարձրավոլտ էլեկտրացանցեր» ՓԲԸ</w:t>
      </w:r>
    </w:p>
    <w:p w14:paraId="5017AD6E" w14:textId="77777777" w:rsidR="00957A78" w:rsidRPr="00AB0F0A" w:rsidRDefault="00957A78" w:rsidP="00957A78">
      <w:pPr>
        <w:pStyle w:val="ListParagraph"/>
        <w:numPr>
          <w:ilvl w:val="0"/>
          <w:numId w:val="41"/>
        </w:numPr>
        <w:pBdr>
          <w:top w:val="nil"/>
          <w:left w:val="nil"/>
          <w:bottom w:val="nil"/>
          <w:right w:val="nil"/>
          <w:between w:val="nil"/>
        </w:pBdr>
        <w:spacing w:after="0"/>
        <w:rPr>
          <w:rFonts w:ascii="GHEA Grapalat" w:eastAsia="GHEA Grapalat" w:hAnsi="GHEA Grapalat"/>
        </w:rPr>
      </w:pPr>
      <w:r w:rsidRPr="00AB0F0A">
        <w:rPr>
          <w:rFonts w:ascii="GHEA Grapalat" w:eastAsia="GHEA Grapalat" w:hAnsi="GHEA Grapalat"/>
        </w:rPr>
        <w:t>«Երևանի ՋԷԿ» ՓԲԸ</w:t>
      </w:r>
    </w:p>
    <w:p w14:paraId="3765261C" w14:textId="77777777" w:rsidR="00957A78" w:rsidRPr="00AB0F0A" w:rsidRDefault="00957A78" w:rsidP="00957A78">
      <w:pPr>
        <w:pStyle w:val="ListParagraph"/>
        <w:numPr>
          <w:ilvl w:val="0"/>
          <w:numId w:val="41"/>
        </w:numPr>
        <w:pBdr>
          <w:top w:val="nil"/>
          <w:left w:val="nil"/>
          <w:bottom w:val="nil"/>
          <w:right w:val="nil"/>
          <w:between w:val="nil"/>
        </w:pBdr>
        <w:spacing w:after="0"/>
        <w:rPr>
          <w:rFonts w:ascii="GHEA Grapalat" w:eastAsia="GHEA Grapalat" w:hAnsi="GHEA Grapalat"/>
        </w:rPr>
      </w:pPr>
      <w:r w:rsidRPr="00AB0F0A">
        <w:rPr>
          <w:rFonts w:ascii="GHEA Grapalat" w:eastAsia="GHEA Grapalat" w:hAnsi="GHEA Grapalat"/>
        </w:rPr>
        <w:t>«Երևան</w:t>
      </w:r>
      <w:r w:rsidRPr="00AB0F0A">
        <w:rPr>
          <w:rFonts w:ascii="GHEA Grapalat" w:eastAsia="GHEA Grapalat" w:hAnsi="GHEA Grapalat"/>
          <w:lang w:val="hy-AM"/>
        </w:rPr>
        <w:t>ի</w:t>
      </w:r>
      <w:r w:rsidRPr="00AB0F0A">
        <w:rPr>
          <w:rFonts w:ascii="GHEA Grapalat" w:eastAsia="GHEA Grapalat" w:hAnsi="GHEA Grapalat"/>
        </w:rPr>
        <w:t xml:space="preserve"> Ավտոբուս» ՓԲԸ</w:t>
      </w:r>
    </w:p>
    <w:p w14:paraId="3E73CF26" w14:textId="77777777" w:rsidR="00957A78" w:rsidRPr="00AB0F0A" w:rsidRDefault="00957A78" w:rsidP="00957A78">
      <w:pPr>
        <w:pStyle w:val="ListParagraph"/>
        <w:numPr>
          <w:ilvl w:val="0"/>
          <w:numId w:val="41"/>
        </w:numPr>
        <w:pBdr>
          <w:top w:val="nil"/>
          <w:left w:val="nil"/>
          <w:bottom w:val="nil"/>
          <w:right w:val="nil"/>
          <w:between w:val="nil"/>
        </w:pBdr>
        <w:spacing w:after="0"/>
        <w:rPr>
          <w:rFonts w:ascii="GHEA Grapalat" w:eastAsia="GHEA Grapalat" w:hAnsi="GHEA Grapalat"/>
        </w:rPr>
      </w:pPr>
      <w:r w:rsidRPr="00AB0F0A">
        <w:rPr>
          <w:rFonts w:ascii="GHEA Grapalat" w:eastAsia="GHEA Grapalat" w:hAnsi="GHEA Grapalat"/>
        </w:rPr>
        <w:t>«Հայփոստ» ՓԲԸ</w:t>
      </w:r>
    </w:p>
    <w:p w14:paraId="7BDEA983" w14:textId="77777777" w:rsidR="00957A78" w:rsidRPr="00AB0F0A" w:rsidRDefault="00957A78" w:rsidP="00957A78">
      <w:pPr>
        <w:pStyle w:val="ListParagraph"/>
        <w:numPr>
          <w:ilvl w:val="0"/>
          <w:numId w:val="41"/>
        </w:numPr>
        <w:pBdr>
          <w:top w:val="nil"/>
          <w:left w:val="nil"/>
          <w:bottom w:val="nil"/>
          <w:right w:val="nil"/>
          <w:between w:val="nil"/>
        </w:pBdr>
        <w:spacing w:after="0"/>
        <w:rPr>
          <w:rFonts w:ascii="GHEA Grapalat" w:eastAsia="GHEA Grapalat" w:hAnsi="GHEA Grapalat"/>
        </w:rPr>
      </w:pPr>
      <w:r w:rsidRPr="00AB0F0A">
        <w:rPr>
          <w:rFonts w:ascii="GHEA Grapalat" w:eastAsia="GHEA Grapalat" w:hAnsi="GHEA Grapalat"/>
        </w:rPr>
        <w:t>«Կարեն Դեմիրճյանի անվան Երևանի մետրոպոլիտեն» ՓԲԸ</w:t>
      </w:r>
    </w:p>
    <w:p w14:paraId="2819F616" w14:textId="77777777" w:rsidR="00957A78" w:rsidRPr="00AB0F0A" w:rsidRDefault="00957A78" w:rsidP="00957A78">
      <w:pPr>
        <w:pStyle w:val="ListParagraph"/>
        <w:numPr>
          <w:ilvl w:val="0"/>
          <w:numId w:val="41"/>
        </w:numPr>
        <w:pBdr>
          <w:top w:val="nil"/>
          <w:left w:val="nil"/>
          <w:bottom w:val="nil"/>
          <w:right w:val="nil"/>
          <w:between w:val="nil"/>
        </w:pBdr>
        <w:spacing w:after="0"/>
        <w:rPr>
          <w:rFonts w:ascii="GHEA Grapalat" w:eastAsia="GHEA Grapalat" w:hAnsi="GHEA Grapalat"/>
        </w:rPr>
      </w:pPr>
      <w:r w:rsidRPr="00AB0F0A">
        <w:rPr>
          <w:rFonts w:ascii="GHEA Grapalat" w:eastAsia="GHEA Grapalat" w:hAnsi="GHEA Grapalat"/>
        </w:rPr>
        <w:t>««Սուրբ Գրիգոր Լուսավորիչ» բժշկական կենտրոն» ՓԲԸ</w:t>
      </w:r>
    </w:p>
    <w:p w14:paraId="07026843" w14:textId="77777777" w:rsidR="00957A78" w:rsidRPr="00AB0F0A" w:rsidRDefault="00957A78" w:rsidP="00957A78">
      <w:pPr>
        <w:pStyle w:val="ListParagraph"/>
        <w:numPr>
          <w:ilvl w:val="0"/>
          <w:numId w:val="41"/>
        </w:numPr>
        <w:pBdr>
          <w:top w:val="nil"/>
          <w:left w:val="nil"/>
          <w:bottom w:val="nil"/>
          <w:right w:val="nil"/>
          <w:between w:val="nil"/>
        </w:pBdr>
        <w:spacing w:after="0"/>
        <w:rPr>
          <w:rFonts w:ascii="GHEA Grapalat" w:eastAsia="GHEA Grapalat" w:hAnsi="GHEA Grapalat"/>
        </w:rPr>
      </w:pPr>
      <w:r w:rsidRPr="00AB0F0A">
        <w:rPr>
          <w:rFonts w:ascii="GHEA Grapalat" w:eastAsia="GHEA Grapalat" w:hAnsi="GHEA Grapalat"/>
        </w:rPr>
        <w:t>«Էլեկտրաէներգետիկական համակարգի օպերատոր» ՓԲԸ</w:t>
      </w:r>
    </w:p>
    <w:p w14:paraId="026683A6" w14:textId="77777777" w:rsidR="00957A78" w:rsidRPr="00AB0F0A" w:rsidRDefault="00957A78" w:rsidP="00957A78">
      <w:pPr>
        <w:pStyle w:val="ListParagraph"/>
        <w:numPr>
          <w:ilvl w:val="0"/>
          <w:numId w:val="41"/>
        </w:numPr>
        <w:pBdr>
          <w:top w:val="nil"/>
          <w:left w:val="nil"/>
          <w:bottom w:val="nil"/>
          <w:right w:val="nil"/>
          <w:between w:val="nil"/>
        </w:pBdr>
        <w:spacing w:after="0"/>
        <w:rPr>
          <w:rFonts w:ascii="GHEA Grapalat" w:eastAsia="GHEA Grapalat" w:hAnsi="GHEA Grapalat"/>
        </w:rPr>
      </w:pPr>
      <w:r w:rsidRPr="00AB0F0A">
        <w:rPr>
          <w:rFonts w:ascii="GHEA Grapalat" w:eastAsia="GHEA Grapalat" w:hAnsi="GHEA Grapalat"/>
        </w:rPr>
        <w:t>«Վ. Ա. Ֆանարջյանի անվան ուռուցքաբանության ազգային կենտրոն» ՓԲԸ</w:t>
      </w:r>
    </w:p>
    <w:p w14:paraId="31D51859" w14:textId="77777777" w:rsidR="00957A78" w:rsidRPr="00AB0F0A" w:rsidRDefault="00957A78" w:rsidP="00957A78">
      <w:pPr>
        <w:pStyle w:val="ListParagraph"/>
        <w:numPr>
          <w:ilvl w:val="0"/>
          <w:numId w:val="41"/>
        </w:numPr>
        <w:pBdr>
          <w:top w:val="nil"/>
          <w:left w:val="nil"/>
          <w:bottom w:val="nil"/>
          <w:right w:val="nil"/>
          <w:between w:val="nil"/>
        </w:pBdr>
        <w:spacing w:after="0"/>
        <w:rPr>
          <w:rFonts w:ascii="GHEA Grapalat" w:eastAsia="GHEA Grapalat" w:hAnsi="GHEA Grapalat"/>
        </w:rPr>
      </w:pPr>
      <w:r w:rsidRPr="00AB0F0A">
        <w:rPr>
          <w:rFonts w:ascii="GHEA Grapalat" w:eastAsia="GHEA Grapalat" w:hAnsi="GHEA Grapalat"/>
        </w:rPr>
        <w:t>«Երևանի էլեկտրատրանսպորտ» ՓԲԸ</w:t>
      </w:r>
    </w:p>
    <w:p w14:paraId="5713EC25" w14:textId="77777777" w:rsidR="00957A78" w:rsidRPr="00AB0F0A" w:rsidRDefault="00957A78" w:rsidP="00957A78">
      <w:pPr>
        <w:pStyle w:val="ListParagraph"/>
        <w:numPr>
          <w:ilvl w:val="0"/>
          <w:numId w:val="41"/>
        </w:numPr>
        <w:pBdr>
          <w:top w:val="nil"/>
          <w:left w:val="nil"/>
          <w:bottom w:val="nil"/>
          <w:right w:val="nil"/>
          <w:between w:val="nil"/>
        </w:pBdr>
        <w:spacing w:after="0"/>
        <w:rPr>
          <w:rFonts w:ascii="GHEA Grapalat" w:eastAsia="GHEA Grapalat" w:hAnsi="GHEA Grapalat"/>
        </w:rPr>
      </w:pPr>
      <w:r w:rsidRPr="00AB0F0A">
        <w:rPr>
          <w:rFonts w:ascii="GHEA Grapalat" w:eastAsia="GHEA Grapalat" w:hAnsi="GHEA Grapalat"/>
        </w:rPr>
        <w:t>«Նորք-Մարաշ» բժշկական կենտրոն» ՓԲԸ</w:t>
      </w:r>
    </w:p>
    <w:p w14:paraId="325721CE" w14:textId="77777777" w:rsidR="00957A78" w:rsidRPr="00AB0F0A" w:rsidRDefault="00957A78" w:rsidP="00957A78">
      <w:pPr>
        <w:pStyle w:val="ListParagraph"/>
        <w:numPr>
          <w:ilvl w:val="0"/>
          <w:numId w:val="41"/>
        </w:numPr>
        <w:pBdr>
          <w:top w:val="nil"/>
          <w:left w:val="nil"/>
          <w:bottom w:val="nil"/>
          <w:right w:val="nil"/>
          <w:between w:val="nil"/>
        </w:pBdr>
        <w:spacing w:after="0"/>
        <w:rPr>
          <w:rFonts w:ascii="GHEA Grapalat" w:eastAsia="GHEA Grapalat" w:hAnsi="GHEA Grapalat"/>
        </w:rPr>
      </w:pPr>
      <w:r w:rsidRPr="00AB0F0A">
        <w:rPr>
          <w:rFonts w:ascii="GHEA Grapalat" w:eastAsia="GHEA Grapalat" w:hAnsi="GHEA Grapalat"/>
        </w:rPr>
        <w:t>«Հայաստանի հանրային հեռուստաընկերություն» ՓԲԸ</w:t>
      </w:r>
    </w:p>
    <w:p w14:paraId="53B8B7EC" w14:textId="77777777" w:rsidR="00957A78" w:rsidRPr="00AB0F0A" w:rsidRDefault="00957A78" w:rsidP="00957A78">
      <w:pPr>
        <w:pStyle w:val="ListParagraph"/>
        <w:numPr>
          <w:ilvl w:val="0"/>
          <w:numId w:val="41"/>
        </w:numPr>
        <w:pBdr>
          <w:top w:val="nil"/>
          <w:left w:val="nil"/>
          <w:bottom w:val="nil"/>
          <w:right w:val="nil"/>
          <w:between w:val="nil"/>
        </w:pBdr>
        <w:spacing w:after="0"/>
        <w:rPr>
          <w:rFonts w:ascii="GHEA Grapalat" w:eastAsia="GHEA Grapalat" w:hAnsi="GHEA Grapalat"/>
        </w:rPr>
      </w:pPr>
      <w:r w:rsidRPr="00AB0F0A">
        <w:rPr>
          <w:rFonts w:ascii="GHEA Grapalat" w:eastAsia="GHEA Grapalat" w:hAnsi="GHEA Grapalat"/>
        </w:rPr>
        <w:t>«Վանաձորի բժշկական կենտրոն» ՓԲԸ</w:t>
      </w:r>
    </w:p>
    <w:p w14:paraId="7074BBA3" w14:textId="77777777" w:rsidR="00957A78" w:rsidRPr="00AB0F0A" w:rsidRDefault="00957A78" w:rsidP="00957A78">
      <w:pPr>
        <w:pStyle w:val="ListParagraph"/>
        <w:numPr>
          <w:ilvl w:val="0"/>
          <w:numId w:val="41"/>
        </w:numPr>
        <w:pBdr>
          <w:top w:val="nil"/>
          <w:left w:val="nil"/>
          <w:bottom w:val="nil"/>
          <w:right w:val="nil"/>
          <w:between w:val="nil"/>
        </w:pBdr>
        <w:spacing w:after="0"/>
        <w:rPr>
          <w:rFonts w:ascii="GHEA Grapalat" w:eastAsia="GHEA Grapalat" w:hAnsi="GHEA Grapalat"/>
        </w:rPr>
      </w:pPr>
      <w:r w:rsidRPr="00AB0F0A">
        <w:rPr>
          <w:rFonts w:ascii="GHEA Grapalat" w:eastAsia="GHEA Grapalat" w:hAnsi="GHEA Grapalat"/>
        </w:rPr>
        <w:t>«Գյումրու բժշկական կենտրոն»  ՓԲԸ</w:t>
      </w:r>
    </w:p>
    <w:p w14:paraId="494F536D" w14:textId="77777777" w:rsidR="00957A78" w:rsidRPr="00AB0F0A" w:rsidRDefault="00957A78" w:rsidP="00957A78">
      <w:pPr>
        <w:pStyle w:val="ListParagraph"/>
        <w:numPr>
          <w:ilvl w:val="0"/>
          <w:numId w:val="41"/>
        </w:numPr>
        <w:pBdr>
          <w:top w:val="nil"/>
          <w:left w:val="nil"/>
          <w:bottom w:val="nil"/>
          <w:right w:val="nil"/>
          <w:between w:val="nil"/>
        </w:pBdr>
        <w:spacing w:after="0"/>
        <w:rPr>
          <w:rFonts w:ascii="GHEA Grapalat" w:eastAsia="GHEA Grapalat" w:hAnsi="GHEA Grapalat"/>
        </w:rPr>
      </w:pPr>
      <w:r w:rsidRPr="00AB0F0A">
        <w:rPr>
          <w:rFonts w:ascii="GHEA Grapalat" w:eastAsia="GHEA Grapalat" w:hAnsi="GHEA Grapalat"/>
        </w:rPr>
        <w:t>«Հայ-Ալմաստ» ՓԲԸ</w:t>
      </w:r>
    </w:p>
    <w:p w14:paraId="03405624" w14:textId="77777777" w:rsidR="00957A78" w:rsidRPr="00AB0F0A" w:rsidRDefault="00957A78" w:rsidP="00957A78">
      <w:pPr>
        <w:pStyle w:val="ListParagraph"/>
        <w:numPr>
          <w:ilvl w:val="0"/>
          <w:numId w:val="41"/>
        </w:numPr>
        <w:pBdr>
          <w:top w:val="nil"/>
          <w:left w:val="nil"/>
          <w:bottom w:val="nil"/>
          <w:right w:val="nil"/>
          <w:between w:val="nil"/>
        </w:pBdr>
        <w:spacing w:after="0"/>
        <w:rPr>
          <w:rFonts w:ascii="GHEA Grapalat" w:eastAsia="GHEA Grapalat" w:hAnsi="GHEA Grapalat"/>
        </w:rPr>
      </w:pPr>
      <w:r w:rsidRPr="00AB0F0A">
        <w:rPr>
          <w:rFonts w:ascii="GHEA Grapalat" w:eastAsia="GHEA Grapalat" w:hAnsi="GHEA Grapalat"/>
        </w:rPr>
        <w:t>«Հայաէրոնավիգացիա» ՓԲԸ</w:t>
      </w:r>
    </w:p>
    <w:p w14:paraId="563558E0" w14:textId="77777777" w:rsidR="00957A78" w:rsidRPr="00AB0F0A" w:rsidRDefault="00957A78" w:rsidP="00957A78">
      <w:pPr>
        <w:pStyle w:val="ListParagraph"/>
        <w:numPr>
          <w:ilvl w:val="0"/>
          <w:numId w:val="41"/>
        </w:numPr>
        <w:pBdr>
          <w:top w:val="nil"/>
          <w:left w:val="nil"/>
          <w:bottom w:val="nil"/>
          <w:right w:val="nil"/>
          <w:between w:val="nil"/>
        </w:pBdr>
        <w:spacing w:after="0"/>
        <w:rPr>
          <w:rFonts w:ascii="GHEA Grapalat" w:eastAsia="GHEA Grapalat" w:hAnsi="GHEA Grapalat"/>
        </w:rPr>
      </w:pPr>
      <w:r w:rsidRPr="00AB0F0A">
        <w:rPr>
          <w:rFonts w:ascii="GHEA Grapalat" w:eastAsia="GHEA Grapalat" w:hAnsi="GHEA Grapalat"/>
        </w:rPr>
        <w:t>«Հայաստանի հեռուստատեսային և ռադիոհաղորդրչ ցանց» ՓԲԸ</w:t>
      </w:r>
    </w:p>
    <w:p w14:paraId="579F7340" w14:textId="77777777" w:rsidR="00957A78" w:rsidRPr="00AB0F0A" w:rsidRDefault="00957A78" w:rsidP="00957A78">
      <w:pPr>
        <w:pStyle w:val="ListParagraph"/>
        <w:numPr>
          <w:ilvl w:val="0"/>
          <w:numId w:val="41"/>
        </w:numPr>
        <w:pBdr>
          <w:top w:val="nil"/>
          <w:left w:val="nil"/>
          <w:bottom w:val="nil"/>
          <w:right w:val="nil"/>
          <w:between w:val="nil"/>
        </w:pBdr>
        <w:spacing w:after="0"/>
        <w:rPr>
          <w:rFonts w:ascii="GHEA Grapalat" w:eastAsia="GHEA Grapalat" w:hAnsi="GHEA Grapalat"/>
        </w:rPr>
      </w:pPr>
      <w:r w:rsidRPr="00AB0F0A">
        <w:rPr>
          <w:rFonts w:ascii="GHEA Grapalat" w:eastAsia="GHEA Grapalat" w:hAnsi="GHEA Grapalat"/>
        </w:rPr>
        <w:t>«Հաշվարկային կենտրոն» ՓԲԸ</w:t>
      </w:r>
    </w:p>
    <w:p w14:paraId="1B1541FB" w14:textId="77777777" w:rsidR="00957A78" w:rsidRPr="00AB0F0A" w:rsidRDefault="00957A78" w:rsidP="00957A78">
      <w:pPr>
        <w:pStyle w:val="ListParagraph"/>
        <w:numPr>
          <w:ilvl w:val="0"/>
          <w:numId w:val="41"/>
        </w:numPr>
        <w:pBdr>
          <w:top w:val="nil"/>
          <w:left w:val="nil"/>
          <w:bottom w:val="nil"/>
          <w:right w:val="nil"/>
          <w:between w:val="nil"/>
        </w:pBdr>
        <w:spacing w:after="0"/>
        <w:rPr>
          <w:rFonts w:ascii="GHEA Grapalat" w:eastAsia="GHEA Grapalat" w:hAnsi="GHEA Grapalat"/>
        </w:rPr>
      </w:pPr>
      <w:r w:rsidRPr="00AB0F0A">
        <w:rPr>
          <w:rFonts w:ascii="GHEA Grapalat" w:eastAsia="GHEA Grapalat" w:hAnsi="GHEA Grapalat"/>
        </w:rPr>
        <w:t>«Էներգաիմպէքս» ՓԲԸ</w:t>
      </w:r>
    </w:p>
    <w:p w14:paraId="19910AF5" w14:textId="77777777" w:rsidR="00957A78" w:rsidRPr="00AB0F0A" w:rsidRDefault="00957A78" w:rsidP="00957A78">
      <w:pPr>
        <w:pStyle w:val="ListParagraph"/>
        <w:numPr>
          <w:ilvl w:val="0"/>
          <w:numId w:val="41"/>
        </w:numPr>
        <w:pBdr>
          <w:top w:val="nil"/>
          <w:left w:val="nil"/>
          <w:bottom w:val="nil"/>
          <w:right w:val="nil"/>
          <w:between w:val="nil"/>
        </w:pBdr>
        <w:spacing w:after="0"/>
        <w:rPr>
          <w:rFonts w:ascii="GHEA Grapalat" w:eastAsia="GHEA Grapalat" w:hAnsi="GHEA Grapalat"/>
        </w:rPr>
      </w:pPr>
      <w:r w:rsidRPr="00AB0F0A">
        <w:rPr>
          <w:rFonts w:ascii="GHEA Grapalat" w:eastAsia="GHEA Grapalat" w:hAnsi="GHEA Grapalat"/>
        </w:rPr>
        <w:t>«Ջրառ» ՓԲԸ</w:t>
      </w:r>
    </w:p>
    <w:p w14:paraId="6C5E2B7F" w14:textId="77777777" w:rsidR="00957A78" w:rsidRPr="00AB0F0A" w:rsidRDefault="00957A78" w:rsidP="00957A78">
      <w:pPr>
        <w:spacing w:before="0" w:after="0"/>
        <w:jc w:val="both"/>
        <w:rPr>
          <w:rFonts w:ascii="GHEA Grapalat" w:hAnsi="GHEA Grapalat"/>
          <w:sz w:val="10"/>
        </w:rPr>
      </w:pPr>
    </w:p>
    <w:p w14:paraId="73B7A6D0" w14:textId="7CC1C75B" w:rsidR="00957A78" w:rsidRPr="00AB0F0A" w:rsidRDefault="00957A78" w:rsidP="00957A78">
      <w:pPr>
        <w:spacing w:before="0" w:after="0"/>
        <w:jc w:val="both"/>
        <w:rPr>
          <w:rFonts w:ascii="GHEA Grapalat" w:hAnsi="GHEA Grapalat"/>
        </w:rPr>
      </w:pPr>
      <w:r w:rsidRPr="00AB0F0A">
        <w:rPr>
          <w:rFonts w:ascii="GHEA Grapalat" w:hAnsi="GHEA Grapalat"/>
        </w:rPr>
        <w:t>2017-</w:t>
      </w:r>
      <w:r w:rsidR="006C7477">
        <w:rPr>
          <w:rFonts w:ascii="GHEA Grapalat" w:hAnsi="GHEA Grapalat"/>
          <w:lang w:val="hy-AM"/>
        </w:rPr>
        <w:t>2</w:t>
      </w:r>
      <w:r w:rsidRPr="00AB0F0A">
        <w:rPr>
          <w:rFonts w:ascii="GHEA Grapalat" w:hAnsi="GHEA Grapalat"/>
        </w:rPr>
        <w:t>024թթ. ընդհանուր ՊՄԸ-ների կողմից պետական բյուջե փաստացի վճարված շահութաբաժինների գումարի առավելագույն չափը արձանագրվել է 2024 թվականին՝ կազմելով 38.8 մլրդ ՀՀ դրամ։ Միևնույն ժամանակ, փաստացի վճարված շահութաբաժինների կշիռը պետական բյուջեի եկամուտներում կազմել է 1.5%: 2024 թվականին վճարված շահութաբաժինների չափը (38.8 մլրդ ՀՀ դրամ) շուրջ 15 անգամ գերազանցել է 2023 թվականի ցուցանիշը (2.3 մլրդ ՀՀ դրամ): Մասնավորապես, 2024 թվականի</w:t>
      </w:r>
      <w:r w:rsidRPr="00AB0F0A">
        <w:rPr>
          <w:rFonts w:ascii="GHEA Grapalat" w:hAnsi="GHEA Grapalat"/>
          <w:lang w:val="hy-AM"/>
        </w:rPr>
        <w:t>ն</w:t>
      </w:r>
      <w:r w:rsidRPr="00AB0F0A">
        <w:rPr>
          <w:rFonts w:ascii="GHEA Grapalat" w:hAnsi="GHEA Grapalat"/>
        </w:rPr>
        <w:t xml:space="preserve"> ցուցանիշ</w:t>
      </w:r>
      <w:r w:rsidRPr="00AB0F0A">
        <w:rPr>
          <w:rFonts w:ascii="GHEA Grapalat" w:hAnsi="GHEA Grapalat"/>
          <w:lang w:val="hy-AM"/>
        </w:rPr>
        <w:t>ի բարձր մակարդակը</w:t>
      </w:r>
      <w:r w:rsidRPr="00AB0F0A">
        <w:rPr>
          <w:rFonts w:ascii="GHEA Grapalat" w:hAnsi="GHEA Grapalat"/>
        </w:rPr>
        <w:t xml:space="preserve"> պայմանավորված է «Զանգեզուրի պղնձամոլիբդենային կոմբինատ» ՓԲԸ-ի կողմից 2023 թվականին հայտարարված և 2024 թվականին պետական բյուջե փաստացի վճարված շահութաբաժինների գումարով, որը կազմել է շուրջ 33.3 մլրդ ՀՀ դրամ:</w:t>
      </w:r>
    </w:p>
    <w:p w14:paraId="6787672E" w14:textId="77777777" w:rsidR="00957A78" w:rsidRPr="00AB0F0A" w:rsidRDefault="00957A78" w:rsidP="00957A78">
      <w:pPr>
        <w:spacing w:before="0" w:after="0"/>
        <w:jc w:val="both"/>
        <w:rPr>
          <w:rFonts w:ascii="GHEA Grapalat" w:hAnsi="GHEA Grapalat"/>
        </w:rPr>
      </w:pPr>
      <w:r w:rsidRPr="00AB0F0A">
        <w:rPr>
          <w:rFonts w:ascii="GHEA Grapalat" w:hAnsi="GHEA Grapalat"/>
        </w:rPr>
        <w:t xml:space="preserve">Գծապատկեր </w:t>
      </w:r>
      <w:r w:rsidRPr="00AB0F0A">
        <w:rPr>
          <w:rFonts w:ascii="GHEA Grapalat" w:hAnsi="GHEA Grapalat"/>
          <w:lang w:val="hy-AM"/>
        </w:rPr>
        <w:t>5</w:t>
      </w:r>
      <w:r w:rsidRPr="00AB0F0A">
        <w:rPr>
          <w:rFonts w:ascii="GHEA Grapalat" w:hAnsi="GHEA Grapalat"/>
        </w:rPr>
        <w:t>-ում ներկայացված են փաստացի վճարված շահութաբաժինների չափերը և դրանց կշիռները պետական բյուջեի եկամուտներում՝ 2017-2024թթ</w:t>
      </w:r>
      <w:r w:rsidRPr="00AB0F0A">
        <w:rPr>
          <w:rFonts w:ascii="Cambria Math" w:eastAsia="Cambria Math" w:hAnsi="Cambria Math" w:cs="Cambria Math"/>
        </w:rPr>
        <w:t>․</w:t>
      </w:r>
      <w:r w:rsidRPr="00AB0F0A">
        <w:rPr>
          <w:rFonts w:ascii="GHEA Grapalat" w:hAnsi="GHEA Grapalat"/>
        </w:rPr>
        <w:t>-ին</w:t>
      </w:r>
      <w:r w:rsidRPr="00AB0F0A">
        <w:rPr>
          <w:rFonts w:ascii="GHEA Grapalat" w:hAnsi="GHEA Grapalat"/>
          <w:vertAlign w:val="superscript"/>
        </w:rPr>
        <w:footnoteReference w:id="33"/>
      </w:r>
      <w:r w:rsidRPr="00AB0F0A">
        <w:rPr>
          <w:rFonts w:ascii="GHEA Grapalat" w:hAnsi="GHEA Grapalat"/>
        </w:rPr>
        <w:t>։</w:t>
      </w:r>
    </w:p>
    <w:p w14:paraId="508E4606" w14:textId="77777777" w:rsidR="00957A78" w:rsidRPr="00164E32" w:rsidRDefault="00957A78" w:rsidP="00957A78">
      <w:pPr>
        <w:rPr>
          <w:b/>
          <w:i/>
          <w:sz w:val="12"/>
          <w:szCs w:val="20"/>
        </w:rPr>
      </w:pPr>
    </w:p>
    <w:p w14:paraId="7D2126BF" w14:textId="77777777" w:rsidR="00957A78" w:rsidRPr="00E93E86" w:rsidRDefault="00957A78" w:rsidP="00957A78">
      <w:pPr>
        <w:rPr>
          <w:i/>
          <w:sz w:val="20"/>
          <w:szCs w:val="20"/>
        </w:rPr>
      </w:pPr>
      <w:r w:rsidRPr="00E93E86">
        <w:rPr>
          <w:b/>
          <w:i/>
          <w:sz w:val="20"/>
          <w:szCs w:val="20"/>
        </w:rPr>
        <w:t xml:space="preserve">Գծապատկեր </w:t>
      </w:r>
      <w:r>
        <w:rPr>
          <w:b/>
          <w:i/>
          <w:sz w:val="20"/>
          <w:szCs w:val="20"/>
          <w:lang w:val="hy-AM"/>
        </w:rPr>
        <w:t>5</w:t>
      </w:r>
      <w:r w:rsidRPr="00E93E86">
        <w:rPr>
          <w:rFonts w:ascii="Cambria Math" w:eastAsia="Cambria Math" w:hAnsi="Cambria Math" w:cs="Cambria Math"/>
          <w:b/>
          <w:i/>
          <w:sz w:val="20"/>
          <w:szCs w:val="20"/>
        </w:rPr>
        <w:t>․</w:t>
      </w:r>
      <w:r w:rsidRPr="00E93E86">
        <w:rPr>
          <w:b/>
          <w:i/>
          <w:sz w:val="20"/>
          <w:szCs w:val="20"/>
        </w:rPr>
        <w:t xml:space="preserve"> </w:t>
      </w:r>
      <w:r w:rsidRPr="00E93E86">
        <w:rPr>
          <w:i/>
          <w:sz w:val="20"/>
          <w:szCs w:val="20"/>
        </w:rPr>
        <w:t>Շահութաբաժինների գծով փաստացի բյուջետային մուտքերը և դրանց կշիռը պետական բյուջեի եկամուտներում</w:t>
      </w:r>
    </w:p>
    <w:p w14:paraId="7BD87408" w14:textId="77777777" w:rsidR="00957A78" w:rsidRPr="00E93E86" w:rsidRDefault="00957A78" w:rsidP="00957A78">
      <w:pPr>
        <w:jc w:val="center"/>
        <w:rPr>
          <w:sz w:val="24"/>
          <w:szCs w:val="24"/>
        </w:rPr>
      </w:pPr>
      <w:r w:rsidRPr="00E93E86">
        <w:rPr>
          <w:noProof/>
        </w:rPr>
        <w:drawing>
          <wp:inline distT="0" distB="0" distL="0" distR="0" wp14:anchorId="1541FA37" wp14:editId="1F28DC43">
            <wp:extent cx="4770407" cy="2182483"/>
            <wp:effectExtent l="0" t="0" r="11430" b="8890"/>
            <wp:docPr id="16120842" name="Chart 16120842"/>
            <wp:cNvGraphicFramePr/>
            <a:graphic xmlns:a="http://schemas.openxmlformats.org/drawingml/2006/main">
              <a:graphicData uri="http://schemas.openxmlformats.org/drawingml/2006/chart">
                <c:chart xmlns:c="http://schemas.openxmlformats.org/drawingml/2006/chart" xmlns:r="http://schemas.openxmlformats.org/officeDocument/2006/relationships" r:id="rId100"/>
              </a:graphicData>
            </a:graphic>
          </wp:inline>
        </w:drawing>
      </w:r>
    </w:p>
    <w:p w14:paraId="39E8407B" w14:textId="77777777" w:rsidR="00957A78" w:rsidRPr="005721F4" w:rsidRDefault="00957A78" w:rsidP="00957A78">
      <w:pPr>
        <w:spacing w:after="0"/>
        <w:jc w:val="both"/>
        <w:rPr>
          <w:rFonts w:ascii="GHEA Grapalat" w:hAnsi="GHEA Grapalat"/>
          <w:lang w:val="hy-AM"/>
        </w:rPr>
      </w:pPr>
      <w:r w:rsidRPr="00AB0F0A">
        <w:rPr>
          <w:lang w:val="hy-AM"/>
        </w:rPr>
        <w:t>ՊՄԸ-ներից բխող հարկաբյուջետային ռիսկի վրա էական ազդեցություն ունեն նաև դրանց տրամադրված բյուջետային վարկերը (ենթավարկերը) և երաշխիքները, որը պայմանավորված է այն հանգամանքով, որ վերջիններս արտահայտված են հիմնականում արտարժույթով: Վերջինիս տատանումները կարող են բացասաբար ազդել պարտքի սպասարկման ծախսերի վրա և մեծացնել ՊՄԸ-ների կողմից դրանց վճարման ընդհանուր ֆինանսական բեռը: ՊՄԸ-ներին տրամադրված վարկերը և ենթավարկերը 2024 թվականի դեկտեմբերի 31-ի դրությամբ կազմում են ընդհանուր վարկային պորտֆելի 74.6%՝ շուրջ 211,631 մլն ՀՀ դրամ: Այդ ընկերություններն են</w:t>
      </w:r>
      <w:r w:rsidRPr="00AB0F0A">
        <w:rPr>
          <w:rFonts w:cs="Cambria Math"/>
          <w:lang w:val="hy-AM"/>
        </w:rPr>
        <w:t>՝ «Հայկական ատոմային էլեկտրակայան» ՓԲԸ-ն, «Երևան Ջերմաէլեկտրակենտրոն» ՓԲԸ-ն, «Բարձրավոլտ էլեկտրացանցեր» ՓԲԸ-ն, «Երևանի  ավտոբուս» ՓԲԸ-ն, «Էլեկտրաէներգետիկական համակարգի օպերատոր» ՓԲԸ-ն, «Կարեն Դեմիրճյանի անվան Երևանի մետրոպոլիտեն» ՓԲԸ-ն, «Ռադիոիզոտոպների արտադրության կենտրոն» ՓԲԸ-ն, «Հայ-Ալմաստ» ՓԲԸ-ն, «Կարեն Դեմիրճյանի անվան մարզահամերգային համալիր» ՓԲԸ-ն, «Հայփոստ» ՓԲԸ-ն, «Նաիրիտ գործարան» ՓԲԸ-ն, «Համո Բեկնազարյանի անվան «Հայֆիլմ» կինոստուդիա» ՓԲԸ-ն, «Երևանի քաղաքային նոր աղբավայր» ՓԲԸ-ն, «Հեր-Հեր» հիդրոէլեկտրակայան» ՓԲԸ-ն, «Արտաշատի ԲԿ» ՓԲԸ-ն և «Երքաղլույս» ՓԲԸ-ն</w:t>
      </w:r>
      <w:r w:rsidRPr="00AB0F0A">
        <w:rPr>
          <w:lang w:val="hy-AM"/>
        </w:rPr>
        <w:t xml:space="preserve">։ Միաժամանակ, վարկերի և ենթավարկերի հիմնական մասը կենտրոնացված է էներգետիկ ոլորտում («Հայկական ատոմային էլեկտրակայան» ՓԲԸ, «Երևան ՋԷԿ» ՓԲԸ, «Բարձրավոլտ էլեկտրական ցանցեր» ՓԲԸ, «ԷլեկտրաԷներգետիկական Համակարգի Օպերատոր» ՓԲԸ): </w:t>
      </w:r>
    </w:p>
    <w:p w14:paraId="1DFE85FA" w14:textId="77777777" w:rsidR="00957A78" w:rsidRDefault="00957A78" w:rsidP="00957A78">
      <w:pPr>
        <w:pStyle w:val="BodyText1"/>
        <w:rPr>
          <w:lang w:val="hy-AM"/>
        </w:rPr>
      </w:pPr>
    </w:p>
    <w:p w14:paraId="486692C0" w14:textId="77777777" w:rsidR="00957A78" w:rsidRPr="001D2D3B" w:rsidRDefault="00957A78" w:rsidP="00957A78">
      <w:pPr>
        <w:pStyle w:val="BodyText1"/>
        <w:ind w:left="0"/>
        <w:rPr>
          <w:vertAlign w:val="superscript"/>
          <w:lang w:val="hy-AM"/>
        </w:rPr>
      </w:pPr>
      <w:r w:rsidRPr="001D2D3B">
        <w:rPr>
          <w:lang w:val="hy-AM"/>
        </w:rPr>
        <w:t>ՊՄԸ-ՆԵՐԻ</w:t>
      </w:r>
      <w:r>
        <w:rPr>
          <w:lang w:val="hy-AM"/>
        </w:rPr>
        <w:t xml:space="preserve"> ՍԹՐԵՍ ԹԵՍՏԱՎՈՐՈՒՄ</w:t>
      </w:r>
    </w:p>
    <w:p w14:paraId="251DEF53" w14:textId="77777777" w:rsidR="00957A78" w:rsidRPr="00A86E0B" w:rsidRDefault="00957A78" w:rsidP="00957A78">
      <w:pPr>
        <w:pBdr>
          <w:top w:val="nil"/>
          <w:left w:val="nil"/>
          <w:bottom w:val="nil"/>
          <w:right w:val="nil"/>
          <w:between w:val="nil"/>
        </w:pBdr>
        <w:spacing w:after="0"/>
        <w:jc w:val="both"/>
        <w:rPr>
          <w:sz w:val="24"/>
          <w:lang w:val="hy-AM"/>
        </w:rPr>
      </w:pPr>
      <w:r w:rsidRPr="00A86E0B">
        <w:rPr>
          <w:lang w:val="hy-AM"/>
        </w:rPr>
        <w:t>ՊՄԸ-ների սթրես թեստավորման և կանխատեսման գործիք</w:t>
      </w:r>
      <w:r>
        <w:rPr>
          <w:lang w:val="hy-AM"/>
        </w:rPr>
        <w:t>ի</w:t>
      </w:r>
      <w:r w:rsidRPr="00A86E0B">
        <w:rPr>
          <w:lang w:val="hy-AM"/>
        </w:rPr>
        <w:t xml:space="preserve"> (Stress Testing and Forecasting Tool)</w:t>
      </w:r>
      <w:r>
        <w:rPr>
          <w:lang w:val="hy-AM"/>
        </w:rPr>
        <w:t xml:space="preserve"> </w:t>
      </w:r>
      <w:r w:rsidRPr="00A86E0B">
        <w:rPr>
          <w:lang w:val="hy-AM"/>
        </w:rPr>
        <w:t xml:space="preserve"> (Ներդիր 1)</w:t>
      </w:r>
      <w:r>
        <w:rPr>
          <w:lang w:val="hy-AM"/>
        </w:rPr>
        <w:t xml:space="preserve"> կիրառմամբ </w:t>
      </w:r>
      <w:r w:rsidRPr="00A86E0B">
        <w:rPr>
          <w:lang w:val="hy-AM"/>
        </w:rPr>
        <w:t xml:space="preserve">վերլուծության </w:t>
      </w:r>
      <w:r>
        <w:rPr>
          <w:lang w:val="hy-AM"/>
        </w:rPr>
        <w:t>է</w:t>
      </w:r>
      <w:r w:rsidRPr="00A86E0B">
        <w:rPr>
          <w:lang w:val="hy-AM"/>
        </w:rPr>
        <w:t xml:space="preserve"> ենթարկ</w:t>
      </w:r>
      <w:r>
        <w:rPr>
          <w:lang w:val="hy-AM"/>
        </w:rPr>
        <w:t>վ</w:t>
      </w:r>
      <w:r w:rsidRPr="00A86E0B">
        <w:rPr>
          <w:lang w:val="hy-AM"/>
        </w:rPr>
        <w:t xml:space="preserve">ել «Հայկական ատոմային էլեկտրակայան» ՓԲԸ-ն և </w:t>
      </w:r>
      <w:bookmarkStart w:id="516" w:name="_Hlk208949949"/>
      <w:r w:rsidRPr="00A86E0B">
        <w:rPr>
          <w:lang w:val="hy-AM"/>
        </w:rPr>
        <w:t>«Բարձրավոլտ էլեկտրացանցեր» ՓԲԸ-ն</w:t>
      </w:r>
      <w:bookmarkEnd w:id="516"/>
      <w:r w:rsidRPr="00A86E0B">
        <w:rPr>
          <w:lang w:val="hy-AM"/>
        </w:rPr>
        <w:t>: Վերլուծությունը իրականացվել է 2025-2029թթ. կանխատեսումներով՝ մակրոտնտեսական ցուցանիշների առավելագույն շոկային սցենար ընտրելով 2027</w:t>
      </w:r>
      <w:r>
        <w:rPr>
          <w:lang w:val="hy-AM"/>
        </w:rPr>
        <w:t>թ</w:t>
      </w:r>
      <w:r w:rsidRPr="00A86E0B">
        <w:rPr>
          <w:lang w:val="hy-AM"/>
        </w:rPr>
        <w:t>.</w:t>
      </w:r>
      <w:r>
        <w:rPr>
          <w:rStyle w:val="FootnoteReference"/>
        </w:rPr>
        <w:footnoteReference w:id="34"/>
      </w:r>
      <w:r w:rsidRPr="00A86E0B">
        <w:rPr>
          <w:lang w:val="hy-AM"/>
        </w:rPr>
        <w:t xml:space="preserve">: </w:t>
      </w:r>
    </w:p>
    <w:p w14:paraId="0873138E" w14:textId="77777777" w:rsidR="00957A78" w:rsidRDefault="00957A78" w:rsidP="00957A78">
      <w:pPr>
        <w:spacing w:after="0"/>
        <w:rPr>
          <w:b/>
          <w:lang w:val="hy-AM"/>
        </w:rPr>
      </w:pPr>
      <w:r>
        <w:rPr>
          <w:rFonts w:eastAsia="Calibri" w:cs="Sylfaen"/>
          <w:bCs/>
          <w:noProof/>
        </w:rPr>
        <mc:AlternateContent>
          <mc:Choice Requires="wps">
            <w:drawing>
              <wp:inline distT="0" distB="0" distL="0" distR="0" wp14:anchorId="7D96BD5E" wp14:editId="71EBA49D">
                <wp:extent cx="6482993" cy="5373384"/>
                <wp:effectExtent l="0" t="0" r="13335" b="17780"/>
                <wp:docPr id="16120873" name="Text Box 1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2993" cy="5373384"/>
                        </a:xfrm>
                        <a:prstGeom prst="rect">
                          <a:avLst/>
                        </a:prstGeom>
                        <a:solidFill>
                          <a:srgbClr val="D8E2F4"/>
                        </a:solidFill>
                        <a:ln w="6350">
                          <a:solidFill>
                            <a:srgbClr val="000000"/>
                          </a:solidFill>
                          <a:miter lim="800000"/>
                          <a:headEnd/>
                          <a:tailEnd/>
                        </a:ln>
                      </wps:spPr>
                      <wps:txbx>
                        <w:txbxContent>
                          <w:p w14:paraId="36DD2F23" w14:textId="77777777" w:rsidR="00147C8B" w:rsidRPr="00D35ADF" w:rsidRDefault="00147C8B" w:rsidP="00957A78">
                            <w:pPr>
                              <w:pBdr>
                                <w:top w:val="nil"/>
                                <w:left w:val="nil"/>
                                <w:bottom w:val="nil"/>
                                <w:right w:val="nil"/>
                                <w:between w:val="nil"/>
                              </w:pBdr>
                              <w:spacing w:after="0"/>
                              <w:rPr>
                                <w:b/>
                                <w:i/>
                                <w:sz w:val="18"/>
                              </w:rPr>
                            </w:pPr>
                            <w:r w:rsidRPr="00D35ADF">
                              <w:rPr>
                                <w:b/>
                                <w:i/>
                                <w:sz w:val="18"/>
                              </w:rPr>
                              <w:t xml:space="preserve">Ներդիր 1. ՊՄԸ-ների սթրես թեստավորման և կանխատեսման </w:t>
                            </w:r>
                            <w:r w:rsidRPr="00D35ADF">
                              <w:rPr>
                                <w:b/>
                                <w:i/>
                                <w:sz w:val="18"/>
                                <w:lang w:val="hy-AM"/>
                              </w:rPr>
                              <w:t>գործիք</w:t>
                            </w:r>
                            <w:r w:rsidRPr="00D35ADF">
                              <w:rPr>
                                <w:b/>
                                <w:i/>
                                <w:sz w:val="18"/>
                              </w:rPr>
                              <w:t xml:space="preserve"> (Stress Testing and Forecasting Tool)</w:t>
                            </w:r>
                          </w:p>
                          <w:p w14:paraId="5E6615E6" w14:textId="77777777" w:rsidR="00147C8B" w:rsidRPr="00D35ADF" w:rsidRDefault="00147C8B" w:rsidP="00957A78">
                            <w:pPr>
                              <w:pBdr>
                                <w:top w:val="nil"/>
                                <w:left w:val="nil"/>
                                <w:bottom w:val="nil"/>
                                <w:right w:val="nil"/>
                                <w:between w:val="nil"/>
                              </w:pBdr>
                              <w:spacing w:after="0"/>
                              <w:rPr>
                                <w:sz w:val="18"/>
                              </w:rPr>
                            </w:pPr>
                            <w:r w:rsidRPr="00D35ADF">
                              <w:rPr>
                                <w:sz w:val="18"/>
                              </w:rPr>
                              <w:t xml:space="preserve">Հայաստանի ՊՄԸ-ների սթրես թեստավորման և կանխատեսման </w:t>
                            </w:r>
                            <w:r w:rsidRPr="00D35ADF">
                              <w:rPr>
                                <w:sz w:val="18"/>
                                <w:lang w:val="hy-AM"/>
                              </w:rPr>
                              <w:t>գործիքը</w:t>
                            </w:r>
                            <w:r w:rsidRPr="00D35ADF">
                              <w:rPr>
                                <w:sz w:val="18"/>
                              </w:rPr>
                              <w:t xml:space="preserve"> (STFT) կիրառվում է ՊՄԸ-ների ֆինանսական ցուցանիշների կանխատեսման և մակրոտնտեսական շոկերին ենթարկվելու ռիսկերի և խոցելիության գնահատման նպատակով: </w:t>
                            </w:r>
                            <w:r w:rsidRPr="00D35ADF">
                              <w:rPr>
                                <w:sz w:val="18"/>
                                <w:lang w:val="hy-AM"/>
                              </w:rPr>
                              <w:t>Գործիքը</w:t>
                            </w:r>
                            <w:r w:rsidRPr="00D35ADF">
                              <w:rPr>
                                <w:sz w:val="18"/>
                              </w:rPr>
                              <w:t xml:space="preserve"> համադրում է Արժույթի միջազգային հիմնադրամի կողմից մշակված ՊՄԸ-ների առողջության գնահատման (HCT) և սթրես թեստավորման (ST) գործիքների տարրերը՝ հարմարեցնելով ՀՀ առանձնահատկություններին: Ռիսկերի վերլուծության արդյունքները ունեն կողմնորոշիչ, այլ ոչ թե ճշգրիտ բնույթ՝ մասնավորապես պայմանավորված գործիքում կիրառվող կանխատեսումների և ենթադրությունների առկայությամբ: Թեև արդյունքները ճշգրիտ կանխատեսումներ չեն, դրանք օգնում են քանակապես ներկայացնել խոցելիությունները և խթանում են քաղաքականության վաղ արձագանքների ձևավորումը։</w:t>
                            </w:r>
                          </w:p>
                          <w:p w14:paraId="0D62FDA3" w14:textId="77777777" w:rsidR="00147C8B" w:rsidRPr="00D35ADF" w:rsidRDefault="00147C8B" w:rsidP="00957A78">
                            <w:pPr>
                              <w:pBdr>
                                <w:top w:val="nil"/>
                                <w:left w:val="nil"/>
                                <w:bottom w:val="nil"/>
                                <w:right w:val="nil"/>
                                <w:between w:val="nil"/>
                              </w:pBdr>
                              <w:spacing w:before="0" w:after="0"/>
                              <w:rPr>
                                <w:sz w:val="18"/>
                              </w:rPr>
                            </w:pPr>
                            <w:r w:rsidRPr="00D35ADF">
                              <w:rPr>
                                <w:sz w:val="18"/>
                                <w:lang w:val="hy-AM"/>
                              </w:rPr>
                              <w:t>Գործիքում</w:t>
                            </w:r>
                            <w:r w:rsidRPr="00D35ADF">
                              <w:rPr>
                                <w:sz w:val="18"/>
                              </w:rPr>
                              <w:t xml:space="preserve"> դիտարկվում է Հայաստանի մակրոտնտեսական միջավայրի 5 սցենարներ՝</w:t>
                            </w:r>
                          </w:p>
                          <w:p w14:paraId="29A90AF7" w14:textId="77777777" w:rsidR="00147C8B" w:rsidRPr="00D35ADF" w:rsidRDefault="00147C8B" w:rsidP="00957A78">
                            <w:pPr>
                              <w:numPr>
                                <w:ilvl w:val="0"/>
                                <w:numId w:val="43"/>
                              </w:numPr>
                              <w:spacing w:before="0" w:after="0"/>
                              <w:jc w:val="both"/>
                              <w:rPr>
                                <w:sz w:val="18"/>
                              </w:rPr>
                            </w:pPr>
                            <w:r w:rsidRPr="00D35ADF">
                              <w:rPr>
                                <w:b/>
                                <w:sz w:val="18"/>
                              </w:rPr>
                              <w:t>Սցենար 1 – բազային սցենար</w:t>
                            </w:r>
                            <w:r w:rsidRPr="00D35ADF">
                              <w:rPr>
                                <w:sz w:val="18"/>
                              </w:rPr>
                              <w:t>, որը կառուցված է յուրաքանչյուր ՊՄԸ-ի ֆինանսական կանխատեսումների հիման վրա՝ ընթացիկ և հաջորդ տարիների համար:</w:t>
                            </w:r>
                          </w:p>
                          <w:p w14:paraId="55167AC6" w14:textId="77777777" w:rsidR="00147C8B" w:rsidRPr="00D35ADF" w:rsidRDefault="00147C8B" w:rsidP="00957A78">
                            <w:pPr>
                              <w:numPr>
                                <w:ilvl w:val="0"/>
                                <w:numId w:val="43"/>
                              </w:numPr>
                              <w:spacing w:before="0" w:after="0"/>
                              <w:jc w:val="both"/>
                              <w:rPr>
                                <w:sz w:val="18"/>
                              </w:rPr>
                            </w:pPr>
                            <w:r w:rsidRPr="00D35ADF">
                              <w:rPr>
                                <w:b/>
                                <w:sz w:val="18"/>
                              </w:rPr>
                              <w:t>Սցենար 2 – ՀՆԱ-ի շոկային սցենար</w:t>
                            </w:r>
                            <w:r w:rsidRPr="00D35ADF">
                              <w:rPr>
                                <w:sz w:val="18"/>
                              </w:rPr>
                              <w:t>, որը ենթադրում է ՀՆԱ</w:t>
                            </w:r>
                            <w:r>
                              <w:rPr>
                                <w:sz w:val="18"/>
                                <w:lang w:val="hy-AM"/>
                              </w:rPr>
                              <w:t xml:space="preserve"> աճի տեմպի</w:t>
                            </w:r>
                            <w:r w:rsidRPr="00D35ADF">
                              <w:rPr>
                                <w:sz w:val="18"/>
                              </w:rPr>
                              <w:t xml:space="preserve"> շեղումները բազային ցուցանիշից՝ մյուս մակրոտնտեսական ցուցանիշները անփոփոխ թողնելով:</w:t>
                            </w:r>
                          </w:p>
                          <w:p w14:paraId="5A70DDFD" w14:textId="77777777" w:rsidR="00147C8B" w:rsidRPr="00D35ADF" w:rsidRDefault="00147C8B" w:rsidP="00957A78">
                            <w:pPr>
                              <w:numPr>
                                <w:ilvl w:val="0"/>
                                <w:numId w:val="43"/>
                              </w:numPr>
                              <w:spacing w:before="0" w:after="0"/>
                              <w:jc w:val="both"/>
                              <w:rPr>
                                <w:sz w:val="18"/>
                              </w:rPr>
                            </w:pPr>
                            <w:r w:rsidRPr="00D35ADF">
                              <w:rPr>
                                <w:b/>
                                <w:sz w:val="18"/>
                              </w:rPr>
                              <w:t>Սցենար 3 – Փոխարժեքի շոկային սցենար</w:t>
                            </w:r>
                            <w:r w:rsidRPr="00D35ADF">
                              <w:rPr>
                                <w:sz w:val="18"/>
                              </w:rPr>
                              <w:t>, որը ենթադրում է հայկական դրամի արժեզրկում՝ մյուս մակրոտնտեսական ցուցանիշները անփոփոխ թողնելով:</w:t>
                            </w:r>
                          </w:p>
                          <w:p w14:paraId="37010781" w14:textId="77777777" w:rsidR="00147C8B" w:rsidRPr="00D35ADF" w:rsidRDefault="00147C8B" w:rsidP="00957A78">
                            <w:pPr>
                              <w:numPr>
                                <w:ilvl w:val="0"/>
                                <w:numId w:val="43"/>
                              </w:numPr>
                              <w:spacing w:before="0" w:after="0"/>
                              <w:jc w:val="both"/>
                              <w:rPr>
                                <w:sz w:val="18"/>
                              </w:rPr>
                            </w:pPr>
                            <w:r w:rsidRPr="00D35ADF">
                              <w:rPr>
                                <w:b/>
                                <w:sz w:val="18"/>
                              </w:rPr>
                              <w:t>Սցենար 4 – Տոկոսադրույքների շոկային սցենար</w:t>
                            </w:r>
                            <w:r w:rsidRPr="00D35ADF">
                              <w:rPr>
                                <w:sz w:val="18"/>
                              </w:rPr>
                              <w:t>, որը ենթադրում է տոկոսադրույքի շեղումներ՝ մյուս մակրոտնտեսական ցուցանիշները անփոփոխ թողնելով:</w:t>
                            </w:r>
                          </w:p>
                          <w:p w14:paraId="3D89BC7A" w14:textId="77777777" w:rsidR="00147C8B" w:rsidRPr="00D35ADF" w:rsidRDefault="00147C8B" w:rsidP="00957A78">
                            <w:pPr>
                              <w:numPr>
                                <w:ilvl w:val="0"/>
                                <w:numId w:val="43"/>
                              </w:numPr>
                              <w:spacing w:before="0" w:after="0"/>
                              <w:jc w:val="both"/>
                              <w:rPr>
                                <w:sz w:val="18"/>
                              </w:rPr>
                            </w:pPr>
                            <w:r w:rsidRPr="00D35ADF">
                              <w:rPr>
                                <w:b/>
                                <w:sz w:val="18"/>
                              </w:rPr>
                              <w:t>Սցենար 5 – Համակցված շոկային սցենար</w:t>
                            </w:r>
                            <w:r w:rsidRPr="00D35ADF">
                              <w:rPr>
                                <w:sz w:val="18"/>
                              </w:rPr>
                              <w:t>, որն ընդգրկում է միաժամանակ ՀՆԱ-ի, փոխարժեքի և տոկոսադրույքների շոկերը՝ 2-4 սցենարներում նկարագրված չափերի և տևողության շրջանակներում։</w:t>
                            </w:r>
                          </w:p>
                          <w:p w14:paraId="68105B46" w14:textId="77777777" w:rsidR="00147C8B" w:rsidRPr="00D35ADF" w:rsidRDefault="00147C8B" w:rsidP="00957A78">
                            <w:pPr>
                              <w:spacing w:after="0"/>
                              <w:rPr>
                                <w:sz w:val="18"/>
                                <w:szCs w:val="20"/>
                              </w:rPr>
                            </w:pPr>
                            <w:r w:rsidRPr="00D35ADF">
                              <w:rPr>
                                <w:sz w:val="18"/>
                                <w:szCs w:val="20"/>
                                <w:lang w:val="hy-AM"/>
                              </w:rPr>
                              <w:t>Գործիքն</w:t>
                            </w:r>
                            <w:r w:rsidRPr="00D35ADF">
                              <w:rPr>
                                <w:sz w:val="18"/>
                                <w:szCs w:val="20"/>
                              </w:rPr>
                              <w:t xml:space="preserve"> օգտագործում է ՊՄԸ-ների ֆինանսական ցուցանիշների պատմական տվյալները, մակրոտնտեսական կանխատեսումները և հարմարեցվող ենթադրությունները՝ ֆինանսական ցուցանիշները կանխատեսելու, տնտեսական շոկերը մոդելավորելու համար՝ նպատակ ունենալով գնահատել ՀՀ կառավարության համար ՊՄԸ-ներից բխող ֆիսկալ ռիսկերի ֆինանսական հետևանքները, մասնավորապես</w:t>
                            </w:r>
                            <w:r w:rsidRPr="00D35ADF">
                              <w:rPr>
                                <w:sz w:val="18"/>
                                <w:szCs w:val="20"/>
                                <w:lang w:val="hy-AM"/>
                              </w:rPr>
                              <w:t>,</w:t>
                            </w:r>
                            <w:r w:rsidRPr="00D35ADF">
                              <w:rPr>
                                <w:sz w:val="18"/>
                                <w:szCs w:val="20"/>
                              </w:rPr>
                              <w:t xml:space="preserve"> տնտեսական ցնցումների ֆինանսական ազդեցությունը ՊՄԸ-ների և դրանց սեփականատիրոջ (պետության) վրա՝ ռիսկերի մեղմման և հիմնավորված որոշումների ընդունման համար, խոցելի ՊՄԸ-ների բացահայտումը, թափանցիկության բարձրացումը, վաղ նախազգուշացման ազդակների կիրառումը՝ վերահսկողության և բարեփոխումների առաջնահերթությունները սահմանելու համար։</w:t>
                            </w:r>
                          </w:p>
                          <w:p w14:paraId="568A8D28" w14:textId="77777777" w:rsidR="00147C8B" w:rsidRPr="000B4913" w:rsidRDefault="00147C8B" w:rsidP="00957A78">
                            <w:pPr>
                              <w:pBdr>
                                <w:top w:val="nil"/>
                                <w:left w:val="nil"/>
                                <w:bottom w:val="nil"/>
                                <w:right w:val="nil"/>
                                <w:between w:val="nil"/>
                              </w:pBdr>
                              <w:spacing w:after="0"/>
                              <w:rPr>
                                <w:sz w:val="20"/>
                                <w:szCs w:val="20"/>
                                <w:highlight w:val="green"/>
                              </w:rPr>
                            </w:pPr>
                          </w:p>
                          <w:p w14:paraId="1C56139F" w14:textId="77777777" w:rsidR="00147C8B" w:rsidRPr="000B4913" w:rsidRDefault="00147C8B" w:rsidP="00957A78">
                            <w:pPr>
                              <w:rPr>
                                <w:rFonts w:ascii="Sylfaen" w:hAnsi="Sylfaen"/>
                                <w:sz w:val="20"/>
                                <w:szCs w:val="20"/>
                              </w:rPr>
                            </w:pPr>
                          </w:p>
                          <w:p w14:paraId="2D3B774E" w14:textId="77777777" w:rsidR="00147C8B" w:rsidRPr="00123DB8" w:rsidRDefault="00147C8B" w:rsidP="00957A78">
                            <w:pPr>
                              <w:rPr>
                                <w:rFonts w:ascii="Sylfaen" w:hAnsi="Sylfaen"/>
                                <w:sz w:val="18"/>
                                <w:szCs w:val="18"/>
                              </w:rPr>
                            </w:pPr>
                          </w:p>
                        </w:txbxContent>
                      </wps:txbx>
                      <wps:bodyPr rot="0" vert="horz" wrap="square" lIns="91440" tIns="45720" rIns="91440" bIns="45720" anchor="t" anchorCtr="0" upright="1">
                        <a:noAutofit/>
                      </wps:bodyPr>
                    </wps:wsp>
                  </a:graphicData>
                </a:graphic>
              </wp:inline>
            </w:drawing>
          </mc:Choice>
          <mc:Fallback>
            <w:pict>
              <v:shape w14:anchorId="7D96BD5E" id="Text Box 102" o:spid="_x0000_s1039" type="#_x0000_t202" style="width:510.45pt;height:423.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" fillcolor="#d8e2f4" strokeweight=".5pt">
                <v:textbox>
                  <w:txbxContent>
                    <w:p w14:paraId="36DD2F23" w14:textId="77777777" w:rsidR="00147C8B" w:rsidRPr="00D35ADF" w:rsidRDefault="00147C8B" w:rsidP="00957A78">
                      <w:pPr>
                        <w:pBdr>
                          <w:top w:val="nil"/>
                          <w:left w:val="nil"/>
                          <w:bottom w:val="nil"/>
                          <w:right w:val="nil"/>
                          <w:between w:val="nil"/>
                        </w:pBdr>
                        <w:spacing w:after="0"/>
                        <w:rPr>
                          <w:b/>
                          <w:i/>
                          <w:sz w:val="18"/>
                        </w:rPr>
                      </w:pPr>
                      <w:r w:rsidRPr="00D35ADF">
                        <w:rPr>
                          <w:b/>
                          <w:i/>
                          <w:sz w:val="18"/>
                        </w:rPr>
                        <w:t xml:space="preserve">Ներդիր 1. ՊՄԸ-ների սթրես թեստավորման և կանխատեսման </w:t>
                      </w:r>
                      <w:r w:rsidRPr="00D35ADF">
                        <w:rPr>
                          <w:b/>
                          <w:i/>
                          <w:sz w:val="18"/>
                          <w:lang w:val="hy-AM"/>
                        </w:rPr>
                        <w:t>գործիք</w:t>
                      </w:r>
                      <w:r w:rsidRPr="00D35ADF">
                        <w:rPr>
                          <w:b/>
                          <w:i/>
                          <w:sz w:val="18"/>
                        </w:rPr>
                        <w:t xml:space="preserve"> (Stress Testing and Forecasting Tool)</w:t>
                      </w:r>
                    </w:p>
                    <w:p w14:paraId="5E6615E6" w14:textId="77777777" w:rsidR="00147C8B" w:rsidRPr="00D35ADF" w:rsidRDefault="00147C8B" w:rsidP="00957A78">
                      <w:pPr>
                        <w:pBdr>
                          <w:top w:val="nil"/>
                          <w:left w:val="nil"/>
                          <w:bottom w:val="nil"/>
                          <w:right w:val="nil"/>
                          <w:between w:val="nil"/>
                        </w:pBdr>
                        <w:spacing w:after="0"/>
                        <w:rPr>
                          <w:sz w:val="18"/>
                        </w:rPr>
                      </w:pPr>
                      <w:r w:rsidRPr="00D35ADF">
                        <w:rPr>
                          <w:sz w:val="18"/>
                        </w:rPr>
                        <w:t xml:space="preserve">Հայաստանի ՊՄԸ-ների սթրես թեստավորման և կանխատեսման </w:t>
                      </w:r>
                      <w:r w:rsidRPr="00D35ADF">
                        <w:rPr>
                          <w:sz w:val="18"/>
                          <w:lang w:val="hy-AM"/>
                        </w:rPr>
                        <w:t>գործիքը</w:t>
                      </w:r>
                      <w:r w:rsidRPr="00D35ADF">
                        <w:rPr>
                          <w:sz w:val="18"/>
                        </w:rPr>
                        <w:t xml:space="preserve"> (STFT) կիրառվում է ՊՄԸ-ների ֆինանսական ցուցանիշների կանխատեսման և մակրոտնտեսական շոկերին ենթարկվելու ռիսկերի և խոցելիության գնահատման նպատակով: </w:t>
                      </w:r>
                      <w:r w:rsidRPr="00D35ADF">
                        <w:rPr>
                          <w:sz w:val="18"/>
                          <w:lang w:val="hy-AM"/>
                        </w:rPr>
                        <w:t>Գործիքը</w:t>
                      </w:r>
                      <w:r w:rsidRPr="00D35ADF">
                        <w:rPr>
                          <w:sz w:val="18"/>
                        </w:rPr>
                        <w:t xml:space="preserve"> համադրում է Արժույթի միջազգային հիմնադրամի կողմից մշակված ՊՄԸ-ների առողջության գնահատման (HCT) և սթրես թեստավորման (ST) գործիքների տարրերը՝ հարմարեցնելով ՀՀ առանձնահատկություններին: Ռիսկերի վերլուծության արդյունքները ունեն կողմնորոշիչ, այլ ոչ թե ճշգրիտ բնույթ՝ մասնավորապես պայմանավորված գործիքում կիրառվող կանխատեսումների և ենթադրությունների առկայությամբ: Թեև արդյունքները ճշգրիտ կանխատեսումներ չեն, դրանք օգնում են քանակապես ներկայացնել խոցելիությունները և խթանում են քաղաքականության վաղ արձագանքների ձևավորումը։</w:t>
                      </w:r>
                    </w:p>
                    <w:p w14:paraId="0D62FDA3" w14:textId="77777777" w:rsidR="00147C8B" w:rsidRPr="00D35ADF" w:rsidRDefault="00147C8B" w:rsidP="00957A78">
                      <w:pPr>
                        <w:pBdr>
                          <w:top w:val="nil"/>
                          <w:left w:val="nil"/>
                          <w:bottom w:val="nil"/>
                          <w:right w:val="nil"/>
                          <w:between w:val="nil"/>
                        </w:pBdr>
                        <w:spacing w:before="0" w:after="0"/>
                        <w:rPr>
                          <w:sz w:val="18"/>
                        </w:rPr>
                      </w:pPr>
                      <w:r w:rsidRPr="00D35ADF">
                        <w:rPr>
                          <w:sz w:val="18"/>
                          <w:lang w:val="hy-AM"/>
                        </w:rPr>
                        <w:t>Գործիքում</w:t>
                      </w:r>
                      <w:r w:rsidRPr="00D35ADF">
                        <w:rPr>
                          <w:sz w:val="18"/>
                        </w:rPr>
                        <w:t xml:space="preserve"> դիտարկվում է Հայաստանի մակրոտնտեսական միջավայրի 5 սցենարներ՝</w:t>
                      </w:r>
                    </w:p>
                    <w:p w14:paraId="29A90AF7" w14:textId="77777777" w:rsidR="00147C8B" w:rsidRPr="00D35ADF" w:rsidRDefault="00147C8B" w:rsidP="00957A78">
                      <w:pPr>
                        <w:numPr>
                          <w:ilvl w:val="0"/>
                          <w:numId w:val="43"/>
                        </w:numPr>
                        <w:spacing w:before="0" w:after="0"/>
                        <w:jc w:val="both"/>
                        <w:rPr>
                          <w:sz w:val="18"/>
                        </w:rPr>
                      </w:pPr>
                      <w:r w:rsidRPr="00D35ADF">
                        <w:rPr>
                          <w:b/>
                          <w:sz w:val="18"/>
                        </w:rPr>
                        <w:t>Սցենար 1 – բազային սցենար</w:t>
                      </w:r>
                      <w:r w:rsidRPr="00D35ADF">
                        <w:rPr>
                          <w:sz w:val="18"/>
                        </w:rPr>
                        <w:t>, որը կառուցված է յուրաքանչյուր ՊՄԸ-ի ֆինանսական կանխատեսումների հիման վրա՝ ընթացիկ և հաջորդ տարիների համար:</w:t>
                      </w:r>
                    </w:p>
                    <w:p w14:paraId="55167AC6" w14:textId="77777777" w:rsidR="00147C8B" w:rsidRPr="00D35ADF" w:rsidRDefault="00147C8B" w:rsidP="00957A78">
                      <w:pPr>
                        <w:numPr>
                          <w:ilvl w:val="0"/>
                          <w:numId w:val="43"/>
                        </w:numPr>
                        <w:spacing w:before="0" w:after="0"/>
                        <w:jc w:val="both"/>
                        <w:rPr>
                          <w:sz w:val="18"/>
                        </w:rPr>
                      </w:pPr>
                      <w:r w:rsidRPr="00D35ADF">
                        <w:rPr>
                          <w:b/>
                          <w:sz w:val="18"/>
                        </w:rPr>
                        <w:t>Սցենար 2 – ՀՆԱ-ի շոկային սցենար</w:t>
                      </w:r>
                      <w:r w:rsidRPr="00D35ADF">
                        <w:rPr>
                          <w:sz w:val="18"/>
                        </w:rPr>
                        <w:t>, որը ենթադրում է ՀՆԱ</w:t>
                      </w:r>
                      <w:r>
                        <w:rPr>
                          <w:sz w:val="18"/>
                          <w:lang w:val="hy-AM"/>
                        </w:rPr>
                        <w:t xml:space="preserve"> աճի տեմպի</w:t>
                      </w:r>
                      <w:r w:rsidRPr="00D35ADF">
                        <w:rPr>
                          <w:sz w:val="18"/>
                        </w:rPr>
                        <w:t xml:space="preserve"> շեղումները բազային ցուցանիշից՝ մյուս մակրոտնտեսական ցուցանիշները անփոփոխ թողնելով:</w:t>
                      </w:r>
                    </w:p>
                    <w:p w14:paraId="5A70DDFD" w14:textId="77777777" w:rsidR="00147C8B" w:rsidRPr="00D35ADF" w:rsidRDefault="00147C8B" w:rsidP="00957A78">
                      <w:pPr>
                        <w:numPr>
                          <w:ilvl w:val="0"/>
                          <w:numId w:val="43"/>
                        </w:numPr>
                        <w:spacing w:before="0" w:after="0"/>
                        <w:jc w:val="both"/>
                        <w:rPr>
                          <w:sz w:val="18"/>
                        </w:rPr>
                      </w:pPr>
                      <w:r w:rsidRPr="00D35ADF">
                        <w:rPr>
                          <w:b/>
                          <w:sz w:val="18"/>
                        </w:rPr>
                        <w:t>Սցենար 3 – Փոխարժեքի շոկային սցենար</w:t>
                      </w:r>
                      <w:r w:rsidRPr="00D35ADF">
                        <w:rPr>
                          <w:sz w:val="18"/>
                        </w:rPr>
                        <w:t>, որը ենթադրում է հայկական դրամի արժեզրկում՝ մյուս մակրոտնտեսական ցուցանիշները անփոփոխ թողնելով:</w:t>
                      </w:r>
                    </w:p>
                    <w:p w14:paraId="37010781" w14:textId="77777777" w:rsidR="00147C8B" w:rsidRPr="00D35ADF" w:rsidRDefault="00147C8B" w:rsidP="00957A78">
                      <w:pPr>
                        <w:numPr>
                          <w:ilvl w:val="0"/>
                          <w:numId w:val="43"/>
                        </w:numPr>
                        <w:spacing w:before="0" w:after="0"/>
                        <w:jc w:val="both"/>
                        <w:rPr>
                          <w:sz w:val="18"/>
                        </w:rPr>
                      </w:pPr>
                      <w:r w:rsidRPr="00D35ADF">
                        <w:rPr>
                          <w:b/>
                          <w:sz w:val="18"/>
                        </w:rPr>
                        <w:t>Սցենար 4 – Տոկոսադրույքների շոկային սցենար</w:t>
                      </w:r>
                      <w:r w:rsidRPr="00D35ADF">
                        <w:rPr>
                          <w:sz w:val="18"/>
                        </w:rPr>
                        <w:t>, որը ենթադրում է տոկոսադրույքի շեղումներ՝ մյուս մակրոտնտեսական ցուցանիշները անփոփոխ թողնելով:</w:t>
                      </w:r>
                    </w:p>
                    <w:p w14:paraId="3D89BC7A" w14:textId="77777777" w:rsidR="00147C8B" w:rsidRPr="00D35ADF" w:rsidRDefault="00147C8B" w:rsidP="00957A78">
                      <w:pPr>
                        <w:numPr>
                          <w:ilvl w:val="0"/>
                          <w:numId w:val="43"/>
                        </w:numPr>
                        <w:spacing w:before="0" w:after="0"/>
                        <w:jc w:val="both"/>
                        <w:rPr>
                          <w:sz w:val="18"/>
                        </w:rPr>
                      </w:pPr>
                      <w:r w:rsidRPr="00D35ADF">
                        <w:rPr>
                          <w:b/>
                          <w:sz w:val="18"/>
                        </w:rPr>
                        <w:t>Սցենար 5 – Համակցված շոկային սցենար</w:t>
                      </w:r>
                      <w:r w:rsidRPr="00D35ADF">
                        <w:rPr>
                          <w:sz w:val="18"/>
                        </w:rPr>
                        <w:t>, որն ընդգրկում է միաժամանակ ՀՆԱ-ի, փոխարժեքի և տոկոսադրույքների շոկերը՝ 2-4 սցենարներում նկարագրված չափերի և տևողության շրջանակներում։</w:t>
                      </w:r>
                    </w:p>
                    <w:p w14:paraId="68105B46" w14:textId="77777777" w:rsidR="00147C8B" w:rsidRPr="00D35ADF" w:rsidRDefault="00147C8B" w:rsidP="00957A78">
                      <w:pPr>
                        <w:spacing w:after="0"/>
                        <w:rPr>
                          <w:sz w:val="18"/>
                          <w:szCs w:val="20"/>
                        </w:rPr>
                      </w:pPr>
                      <w:r w:rsidRPr="00D35ADF">
                        <w:rPr>
                          <w:sz w:val="18"/>
                          <w:szCs w:val="20"/>
                          <w:lang w:val="hy-AM"/>
                        </w:rPr>
                        <w:t>Գործիքն</w:t>
                      </w:r>
                      <w:r w:rsidRPr="00D35ADF">
                        <w:rPr>
                          <w:sz w:val="18"/>
                          <w:szCs w:val="20"/>
                        </w:rPr>
                        <w:t xml:space="preserve"> օգտագործում է ՊՄԸ-ների ֆինանսական ցուցանիշների պատմական տվյալները, մակրոտնտեսական կանխատեսումները և հարմարեցվող ենթադրությունները՝ ֆինանսական ցուցանիշները կանխատեսելու, տնտեսական շոկերը մոդելավորելու համար՝ նպատակ ունենալով գնահատել ՀՀ կառավարության համար ՊՄԸ-ներից բխող ֆիսկալ ռիսկերի ֆինանսական հետևանքները, մասնավորապես</w:t>
                      </w:r>
                      <w:r w:rsidRPr="00D35ADF">
                        <w:rPr>
                          <w:sz w:val="18"/>
                          <w:szCs w:val="20"/>
                          <w:lang w:val="hy-AM"/>
                        </w:rPr>
                        <w:t>,</w:t>
                      </w:r>
                      <w:r w:rsidRPr="00D35ADF">
                        <w:rPr>
                          <w:sz w:val="18"/>
                          <w:szCs w:val="20"/>
                        </w:rPr>
                        <w:t xml:space="preserve"> տնտեսական ցնցումների ֆինանսական ազդեցությունը ՊՄԸ-ների և դրանց սեփականատիրոջ (պետության) վրա՝ ռիսկերի մեղմման և հիմնավորված որոշումների ընդունման համար, խոցելի ՊՄԸ-ների բացահայտումը, թափանցիկության բարձրացումը, վաղ նախազգուշացման ազդակների կիրառումը՝ վերահսկողության և բարեփոխումների առաջնահերթությունները սահմանելու համար։</w:t>
                      </w:r>
                    </w:p>
                    <w:p w14:paraId="568A8D28" w14:textId="77777777" w:rsidR="00147C8B" w:rsidRPr="000B4913" w:rsidRDefault="00147C8B" w:rsidP="00957A78">
                      <w:pPr>
                        <w:pBdr>
                          <w:top w:val="nil"/>
                          <w:left w:val="nil"/>
                          <w:bottom w:val="nil"/>
                          <w:right w:val="nil"/>
                          <w:between w:val="nil"/>
                        </w:pBdr>
                        <w:spacing w:after="0"/>
                        <w:rPr>
                          <w:sz w:val="20"/>
                          <w:szCs w:val="20"/>
                          <w:highlight w:val="green"/>
                        </w:rPr>
                      </w:pPr>
                    </w:p>
                    <w:p w14:paraId="1C56139F" w14:textId="77777777" w:rsidR="00147C8B" w:rsidRPr="000B4913" w:rsidRDefault="00147C8B" w:rsidP="00957A78">
                      <w:pPr>
                        <w:rPr>
                          <w:rFonts w:ascii="Sylfaen" w:hAnsi="Sylfaen"/>
                          <w:sz w:val="20"/>
                          <w:szCs w:val="20"/>
                        </w:rPr>
                      </w:pPr>
                    </w:p>
                    <w:p w14:paraId="2D3B774E" w14:textId="77777777" w:rsidR="00147C8B" w:rsidRPr="00123DB8" w:rsidRDefault="00147C8B" w:rsidP="00957A78">
                      <w:pPr>
                        <w:rPr>
                          <w:rFonts w:ascii="Sylfaen" w:hAnsi="Sylfaen"/>
                          <w:sz w:val="18"/>
                          <w:szCs w:val="18"/>
                        </w:rPr>
                      </w:pPr>
                    </w:p>
                  </w:txbxContent>
                </v:textbox>
                <w10:anchorlock/>
              </v:shape>
            </w:pict>
          </mc:Fallback>
        </mc:AlternateContent>
      </w:r>
    </w:p>
    <w:p w14:paraId="41C1DE3E" w14:textId="77777777" w:rsidR="00957A78" w:rsidRDefault="00957A78" w:rsidP="00957A78">
      <w:pPr>
        <w:spacing w:after="0"/>
        <w:rPr>
          <w:b/>
          <w:lang w:val="hy-AM"/>
        </w:rPr>
      </w:pPr>
    </w:p>
    <w:p w14:paraId="4577B814" w14:textId="77777777" w:rsidR="00957A78" w:rsidRPr="00386778" w:rsidRDefault="00957A78" w:rsidP="00957A78">
      <w:pPr>
        <w:spacing w:after="0"/>
        <w:jc w:val="both"/>
        <w:rPr>
          <w:b/>
          <w:lang w:val="hy-AM"/>
        </w:rPr>
      </w:pPr>
      <w:r w:rsidRPr="00386778">
        <w:rPr>
          <w:b/>
          <w:lang w:val="hy-AM"/>
        </w:rPr>
        <w:t>ՀՆԱ-ի շոկային սցենար</w:t>
      </w:r>
    </w:p>
    <w:p w14:paraId="1CDDC304" w14:textId="77777777" w:rsidR="00957A78" w:rsidRPr="00386778" w:rsidRDefault="00957A78" w:rsidP="00957A78">
      <w:pPr>
        <w:spacing w:after="0"/>
        <w:jc w:val="both"/>
        <w:rPr>
          <w:lang w:val="hy-AM"/>
        </w:rPr>
      </w:pPr>
      <w:r w:rsidRPr="00386778">
        <w:rPr>
          <w:lang w:val="hy-AM"/>
        </w:rPr>
        <w:t>Տվյալ սցենարի համար ՀՆԱ աճի</w:t>
      </w:r>
      <w:r>
        <w:rPr>
          <w:lang w:val="hy-AM"/>
        </w:rPr>
        <w:t xml:space="preserve"> տեմպի</w:t>
      </w:r>
      <w:r w:rsidRPr="00386778">
        <w:rPr>
          <w:lang w:val="hy-AM"/>
        </w:rPr>
        <w:t xml:space="preserve"> առավելագույն շեղումը բազային ցուցանիշից կազմում է 3.7%` մյուս մակրոտնտեսական ցուցանիշները թողնելով անփոփոխ: Ազդեցությունը զգալի է, բայց ոչ այնքան մեծ, որքան հաջորդիվ սցենարում նկարագրված փոխարժեքի շոկի ազդեցությունը։</w:t>
      </w:r>
    </w:p>
    <w:p w14:paraId="028F2B93" w14:textId="73123C7F" w:rsidR="00642879" w:rsidRDefault="00642879">
      <w:pPr>
        <w:rPr>
          <w:b/>
          <w:i/>
          <w:sz w:val="20"/>
          <w:lang w:val="hy-AM"/>
        </w:rPr>
      </w:pPr>
      <w:r>
        <w:rPr>
          <w:b/>
          <w:i/>
          <w:sz w:val="20"/>
          <w:lang w:val="hy-AM"/>
        </w:rPr>
        <w:br w:type="page"/>
      </w:r>
    </w:p>
    <w:p w14:paraId="1DA7CF8C" w14:textId="77777777" w:rsidR="00957A78" w:rsidRPr="00386778" w:rsidRDefault="00957A78" w:rsidP="00957A78">
      <w:pPr>
        <w:spacing w:after="0"/>
        <w:jc w:val="both"/>
        <w:rPr>
          <w:b/>
          <w:i/>
          <w:sz w:val="20"/>
          <w:lang w:val="hy-AM"/>
        </w:rPr>
      </w:pPr>
    </w:p>
    <w:p w14:paraId="498765F1" w14:textId="77777777" w:rsidR="00957A78" w:rsidRPr="00386778" w:rsidRDefault="00957A78" w:rsidP="00957A78">
      <w:pPr>
        <w:spacing w:after="0"/>
        <w:jc w:val="both"/>
        <w:rPr>
          <w:b/>
          <w:i/>
          <w:noProof/>
          <w:lang w:val="hy-AM"/>
        </w:rPr>
      </w:pPr>
      <w:r w:rsidRPr="00386778">
        <w:rPr>
          <w:b/>
          <w:i/>
          <w:sz w:val="20"/>
          <w:lang w:val="hy-AM"/>
        </w:rPr>
        <w:t xml:space="preserve">Գծապատկեր </w:t>
      </w:r>
      <w:r>
        <w:rPr>
          <w:b/>
          <w:i/>
          <w:sz w:val="20"/>
          <w:lang w:val="hy-AM"/>
        </w:rPr>
        <w:t>6</w:t>
      </w:r>
      <w:r w:rsidRPr="00386778">
        <w:rPr>
          <w:b/>
          <w:i/>
          <w:sz w:val="20"/>
          <w:lang w:val="hy-AM"/>
        </w:rPr>
        <w:t xml:space="preserve">. </w:t>
      </w:r>
      <w:r w:rsidRPr="00386778">
        <w:rPr>
          <w:i/>
          <w:sz w:val="20"/>
          <w:lang w:val="hy-AM"/>
        </w:rPr>
        <w:t xml:space="preserve">«Հարկումից հետո զուտ շահույթ/վնաս» (NPAT) </w:t>
      </w:r>
      <w:r w:rsidRPr="00D35ADF">
        <w:rPr>
          <w:i/>
          <w:sz w:val="20"/>
          <w:lang w:val="hy-AM"/>
        </w:rPr>
        <w:t xml:space="preserve">համակցված </w:t>
      </w:r>
      <w:r w:rsidRPr="00386778">
        <w:rPr>
          <w:i/>
          <w:sz w:val="20"/>
          <w:lang w:val="hy-AM"/>
        </w:rPr>
        <w:t>ցուցանիշի տարբերությունը բազային և ՀՆԱ-ի շոկային սցենարների միջև, մլն ՀՀ դրամ</w:t>
      </w:r>
      <w:r w:rsidRPr="00386778">
        <w:rPr>
          <w:b/>
          <w:i/>
          <w:noProof/>
          <w:lang w:val="hy-AM"/>
        </w:rPr>
        <w:t xml:space="preserve"> </w:t>
      </w:r>
    </w:p>
    <w:p w14:paraId="6A5EA997" w14:textId="77777777" w:rsidR="00957A78" w:rsidRPr="00386778" w:rsidRDefault="00957A78" w:rsidP="00957A78">
      <w:pPr>
        <w:spacing w:before="240" w:after="240"/>
        <w:jc w:val="both"/>
        <w:rPr>
          <w:lang w:val="hy-AM"/>
        </w:rPr>
      </w:pPr>
      <w:r w:rsidRPr="00D35ADF">
        <w:rPr>
          <w:b/>
          <w:i/>
          <w:noProof/>
        </w:rPr>
        <w:drawing>
          <wp:anchor distT="0" distB="0" distL="114300" distR="114300" simplePos="0" relativeHeight="251930624" behindDoc="0" locked="0" layoutInCell="1" allowOverlap="1" wp14:anchorId="62382482" wp14:editId="1EDD797A">
            <wp:simplePos x="0" y="0"/>
            <wp:positionH relativeFrom="column">
              <wp:posOffset>0</wp:posOffset>
            </wp:positionH>
            <wp:positionV relativeFrom="paragraph">
              <wp:posOffset>151765</wp:posOffset>
            </wp:positionV>
            <wp:extent cx="3041426" cy="1885950"/>
            <wp:effectExtent l="0" t="0" r="6985"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1">
                      <a:extLst>
                        <a:ext uri="{28A0092B-C50C-407E-A947-70E740481C1C}">
                          <a14:useLocalDpi xmlns:a14="http://schemas.microsoft.com/office/drawing/2010/main" val="0"/>
                        </a:ext>
                      </a:extLst>
                    </a:blip>
                    <a:srcRect l="1765" t="9090" r="8430" b="7626"/>
                    <a:stretch/>
                  </pic:blipFill>
                  <pic:spPr bwMode="auto">
                    <a:xfrm>
                      <a:off x="0" y="0"/>
                      <a:ext cx="3041426" cy="18859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386778">
        <w:rPr>
          <w:sz w:val="20"/>
          <w:lang w:val="hy-AM"/>
        </w:rPr>
        <w:t xml:space="preserve">Այս սցենարում ՀՆԱ </w:t>
      </w:r>
      <w:r>
        <w:rPr>
          <w:sz w:val="20"/>
          <w:lang w:val="hy-AM"/>
        </w:rPr>
        <w:t>աճ</w:t>
      </w:r>
      <w:r w:rsidRPr="00386778">
        <w:rPr>
          <w:sz w:val="20"/>
          <w:lang w:val="hy-AM"/>
        </w:rPr>
        <w:t>ի</w:t>
      </w:r>
      <w:r>
        <w:rPr>
          <w:sz w:val="20"/>
          <w:lang w:val="hy-AM"/>
        </w:rPr>
        <w:t xml:space="preserve"> տեմպի</w:t>
      </w:r>
      <w:r w:rsidRPr="00386778">
        <w:rPr>
          <w:sz w:val="20"/>
          <w:lang w:val="hy-AM"/>
        </w:rPr>
        <w:t xml:space="preserve"> առավելագույն շեղման ժամանակահատվածում՝ 2027թ.-ին, «Հայկական ատոմային էլեկտրակայան» ՓԲԸ-ի բազային ցուցանիշի համեմատ կանխատեսվող «Հարկումից հետո զուտ շահույթ/վնաս»</w:t>
      </w:r>
      <w:r w:rsidRPr="00D35ADF">
        <w:rPr>
          <w:sz w:val="20"/>
          <w:lang w:val="hy-AM"/>
        </w:rPr>
        <w:t>-ը</w:t>
      </w:r>
      <w:r w:rsidRPr="00386778">
        <w:rPr>
          <w:sz w:val="20"/>
          <w:lang w:val="hy-AM"/>
        </w:rPr>
        <w:t xml:space="preserve"> (NPAT) կրճատվում է 362.1 մլն ՀՀ դրամով, իսկ «Բարձրավոլտ էլեկտրացանցեր» ՓԲԸ-ի </w:t>
      </w:r>
      <w:r w:rsidRPr="00D35ADF">
        <w:rPr>
          <w:sz w:val="20"/>
          <w:lang w:val="hy-AM"/>
        </w:rPr>
        <w:t>համապատասխան ցուցանիշը</w:t>
      </w:r>
      <w:r w:rsidRPr="00386778">
        <w:rPr>
          <w:sz w:val="20"/>
          <w:lang w:val="hy-AM"/>
        </w:rPr>
        <w:t>՝ 432.6 մլն</w:t>
      </w:r>
      <w:r w:rsidRPr="00D35ADF">
        <w:rPr>
          <w:sz w:val="20"/>
          <w:lang w:val="hy-AM"/>
        </w:rPr>
        <w:t xml:space="preserve"> ՀՀ</w:t>
      </w:r>
      <w:r w:rsidRPr="00386778">
        <w:rPr>
          <w:sz w:val="20"/>
          <w:lang w:val="hy-AM"/>
        </w:rPr>
        <w:t xml:space="preserve"> դրամով</w:t>
      </w:r>
      <w:r w:rsidRPr="00386778">
        <w:rPr>
          <w:lang w:val="hy-AM"/>
        </w:rPr>
        <w:t>:</w:t>
      </w:r>
    </w:p>
    <w:p w14:paraId="4C9CEAEF" w14:textId="77777777" w:rsidR="00957A78" w:rsidRPr="00386778" w:rsidRDefault="00957A78" w:rsidP="00957A78">
      <w:pPr>
        <w:spacing w:after="0"/>
        <w:jc w:val="both"/>
        <w:rPr>
          <w:b/>
          <w:i/>
          <w:lang w:val="hy-AM"/>
        </w:rPr>
      </w:pPr>
    </w:p>
    <w:p w14:paraId="3AEDADF0" w14:textId="77777777" w:rsidR="00957A78" w:rsidRPr="00386778" w:rsidRDefault="00957A78" w:rsidP="00957A78">
      <w:pPr>
        <w:spacing w:after="0"/>
        <w:jc w:val="both"/>
        <w:rPr>
          <w:b/>
          <w:i/>
          <w:lang w:val="hy-AM"/>
        </w:rPr>
      </w:pPr>
    </w:p>
    <w:p w14:paraId="4B36A53B" w14:textId="77777777" w:rsidR="00957A78" w:rsidRPr="00386778" w:rsidRDefault="00957A78" w:rsidP="00957A78">
      <w:pPr>
        <w:spacing w:after="0"/>
        <w:jc w:val="both"/>
        <w:rPr>
          <w:i/>
          <w:sz w:val="20"/>
          <w:lang w:val="hy-AM"/>
        </w:rPr>
      </w:pPr>
      <w:r w:rsidRPr="00386778">
        <w:rPr>
          <w:b/>
          <w:i/>
          <w:sz w:val="20"/>
          <w:lang w:val="hy-AM"/>
        </w:rPr>
        <w:t xml:space="preserve">Գծապատկեր 7. </w:t>
      </w:r>
      <w:r w:rsidRPr="00386778">
        <w:rPr>
          <w:i/>
          <w:sz w:val="20"/>
          <w:lang w:val="hy-AM"/>
        </w:rPr>
        <w:t xml:space="preserve">«Զուտ ակտիվների արժեք» (Net Worth) </w:t>
      </w:r>
      <w:r w:rsidRPr="00686AF2">
        <w:rPr>
          <w:i/>
          <w:sz w:val="20"/>
          <w:lang w:val="hy-AM"/>
        </w:rPr>
        <w:t xml:space="preserve">համակցված </w:t>
      </w:r>
      <w:r w:rsidRPr="00386778">
        <w:rPr>
          <w:i/>
          <w:sz w:val="20"/>
          <w:lang w:val="hy-AM"/>
        </w:rPr>
        <w:t xml:space="preserve">ցուցանիշի տարբերությունը բազային և ՀՆԱ-ի շոկային սցենարների միջև, մլն ՀՀ դրամ </w:t>
      </w:r>
    </w:p>
    <w:p w14:paraId="0A6DA87F" w14:textId="77777777" w:rsidR="00957A78" w:rsidRPr="00386778" w:rsidRDefault="00957A78" w:rsidP="00957A78">
      <w:pPr>
        <w:spacing w:after="0"/>
        <w:jc w:val="both"/>
        <w:rPr>
          <w:sz w:val="20"/>
          <w:lang w:val="hy-AM"/>
        </w:rPr>
      </w:pPr>
    </w:p>
    <w:p w14:paraId="2BE5BE5E" w14:textId="77777777" w:rsidR="00957A78" w:rsidRPr="00386778" w:rsidRDefault="00957A78" w:rsidP="00957A78">
      <w:pPr>
        <w:spacing w:after="0"/>
        <w:jc w:val="both"/>
        <w:rPr>
          <w:lang w:val="hy-AM"/>
        </w:rPr>
      </w:pPr>
      <w:r w:rsidRPr="00686AF2">
        <w:rPr>
          <w:b/>
          <w:noProof/>
        </w:rPr>
        <w:drawing>
          <wp:anchor distT="0" distB="0" distL="114300" distR="114300" simplePos="0" relativeHeight="251932672" behindDoc="0" locked="0" layoutInCell="1" allowOverlap="1" wp14:anchorId="318A0687" wp14:editId="17292E48">
            <wp:simplePos x="0" y="0"/>
            <wp:positionH relativeFrom="margin">
              <wp:align>left</wp:align>
            </wp:positionH>
            <wp:positionV relativeFrom="paragraph">
              <wp:posOffset>34925</wp:posOffset>
            </wp:positionV>
            <wp:extent cx="2971800" cy="1824337"/>
            <wp:effectExtent l="0" t="0" r="0" b="508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2">
                      <a:extLst>
                        <a:ext uri="{28A0092B-C50C-407E-A947-70E740481C1C}">
                          <a14:useLocalDpi xmlns:a14="http://schemas.microsoft.com/office/drawing/2010/main" val="0"/>
                        </a:ext>
                      </a:extLst>
                    </a:blip>
                    <a:srcRect l="9492" t="9038" r="12373" b="8455"/>
                    <a:stretch/>
                  </pic:blipFill>
                  <pic:spPr bwMode="auto">
                    <a:xfrm>
                      <a:off x="0" y="0"/>
                      <a:ext cx="2971800" cy="182433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386778">
        <w:rPr>
          <w:sz w:val="20"/>
          <w:lang w:val="hy-AM"/>
        </w:rPr>
        <w:t xml:space="preserve">Ցածր տնտեսական աճի պայմաններում «Հայկական ատոմային էլեկտրակայան» ՓԲԸ-ի </w:t>
      </w:r>
      <w:r w:rsidRPr="00686AF2">
        <w:rPr>
          <w:sz w:val="20"/>
          <w:lang w:val="hy-AM"/>
        </w:rPr>
        <w:t>«Զ</w:t>
      </w:r>
      <w:r w:rsidRPr="00386778">
        <w:rPr>
          <w:sz w:val="20"/>
          <w:lang w:val="hy-AM"/>
        </w:rPr>
        <w:t>ուտ ակտիվների արժեք</w:t>
      </w:r>
      <w:r w:rsidRPr="00686AF2">
        <w:rPr>
          <w:sz w:val="20"/>
          <w:lang w:val="hy-AM"/>
        </w:rPr>
        <w:t>»-</w:t>
      </w:r>
      <w:r w:rsidRPr="00386778">
        <w:rPr>
          <w:sz w:val="20"/>
          <w:lang w:val="hy-AM"/>
        </w:rPr>
        <w:t>ը (Net Worth)</w:t>
      </w:r>
      <w:r w:rsidRPr="00386778">
        <w:rPr>
          <w:i/>
          <w:sz w:val="20"/>
          <w:lang w:val="hy-AM"/>
        </w:rPr>
        <w:t xml:space="preserve"> </w:t>
      </w:r>
      <w:r w:rsidRPr="00386778">
        <w:rPr>
          <w:sz w:val="20"/>
          <w:lang w:val="hy-AM"/>
        </w:rPr>
        <w:t>2027թ.-ին կնվազի 222.7 մլն ՀՀ դրամով՝ համեմատած բազային սցենարի հետ</w:t>
      </w:r>
      <w:r w:rsidRPr="00686AF2">
        <w:rPr>
          <w:sz w:val="20"/>
          <w:lang w:val="hy-AM"/>
        </w:rPr>
        <w:t>,</w:t>
      </w:r>
      <w:r w:rsidRPr="00386778">
        <w:rPr>
          <w:sz w:val="20"/>
          <w:lang w:val="hy-AM"/>
        </w:rPr>
        <w:t xml:space="preserve"> իսկ «Բարձրավոլտ էլեկտրացանցեր» ՓԲԸ-ի </w:t>
      </w:r>
      <w:r w:rsidRPr="00686AF2">
        <w:rPr>
          <w:sz w:val="20"/>
          <w:lang w:val="hy-AM"/>
        </w:rPr>
        <w:t>համապատասխան ցուցանիշը՝</w:t>
      </w:r>
      <w:r w:rsidRPr="00386778">
        <w:rPr>
          <w:sz w:val="20"/>
          <w:lang w:val="hy-AM"/>
        </w:rPr>
        <w:t xml:space="preserve"> 288.6 մլն </w:t>
      </w:r>
      <w:r w:rsidRPr="00686AF2">
        <w:rPr>
          <w:sz w:val="20"/>
          <w:lang w:val="hy-AM"/>
        </w:rPr>
        <w:t xml:space="preserve">ՀՀ </w:t>
      </w:r>
      <w:r w:rsidRPr="00386778">
        <w:rPr>
          <w:sz w:val="20"/>
          <w:lang w:val="hy-AM"/>
        </w:rPr>
        <w:t xml:space="preserve">դրամով։ </w:t>
      </w:r>
      <w:r w:rsidRPr="00686AF2">
        <w:rPr>
          <w:sz w:val="20"/>
          <w:lang w:val="hy-AM"/>
        </w:rPr>
        <w:t xml:space="preserve">Ցուցանիշը </w:t>
      </w:r>
      <w:r w:rsidRPr="00386778">
        <w:rPr>
          <w:sz w:val="20"/>
          <w:lang w:val="hy-AM"/>
        </w:rPr>
        <w:t>պահպանում է իր նվազման միտումը նաև մոդելավորման մյուս տարիներին:</w:t>
      </w:r>
    </w:p>
    <w:p w14:paraId="27C4F8C3" w14:textId="77777777" w:rsidR="00957A78" w:rsidRPr="00386778" w:rsidRDefault="00957A78" w:rsidP="00957A78">
      <w:pPr>
        <w:spacing w:after="0"/>
        <w:jc w:val="both"/>
        <w:rPr>
          <w:lang w:val="hy-AM"/>
        </w:rPr>
      </w:pPr>
    </w:p>
    <w:p w14:paraId="4A8817CC" w14:textId="77777777" w:rsidR="00957A78" w:rsidRPr="00386778" w:rsidRDefault="00957A78" w:rsidP="00957A78">
      <w:pPr>
        <w:spacing w:before="0" w:after="0"/>
        <w:jc w:val="both"/>
        <w:rPr>
          <w:b/>
          <w:lang w:val="hy-AM"/>
        </w:rPr>
      </w:pPr>
    </w:p>
    <w:p w14:paraId="6205C779" w14:textId="77777777" w:rsidR="00957A78" w:rsidRPr="00386778" w:rsidRDefault="00957A78" w:rsidP="00957A78">
      <w:pPr>
        <w:spacing w:before="0" w:after="0"/>
        <w:jc w:val="both"/>
        <w:rPr>
          <w:b/>
          <w:lang w:val="hy-AM"/>
        </w:rPr>
      </w:pPr>
    </w:p>
    <w:p w14:paraId="12C2490C" w14:textId="77777777" w:rsidR="00957A78" w:rsidRPr="006F5DC2" w:rsidRDefault="00957A78" w:rsidP="00957A78">
      <w:pPr>
        <w:spacing w:before="0" w:after="0"/>
        <w:jc w:val="both"/>
        <w:rPr>
          <w:lang w:val="hy-AM"/>
        </w:rPr>
      </w:pPr>
      <w:r w:rsidRPr="006F5DC2">
        <w:rPr>
          <w:b/>
          <w:lang w:val="hy-AM"/>
        </w:rPr>
        <w:t>Փոխարժեքի շոկային սցենար</w:t>
      </w:r>
    </w:p>
    <w:p w14:paraId="42790DE7" w14:textId="77777777" w:rsidR="00957A78" w:rsidRPr="00686AF2" w:rsidRDefault="00957A78" w:rsidP="00957A78">
      <w:pPr>
        <w:spacing w:after="0"/>
        <w:jc w:val="both"/>
        <w:rPr>
          <w:lang w:val="hy-AM"/>
        </w:rPr>
      </w:pPr>
      <w:r w:rsidRPr="006F5DC2">
        <w:rPr>
          <w:lang w:val="hy-AM"/>
        </w:rPr>
        <w:t xml:space="preserve">Փոխարժեքի շոկային սցենարում փոխարժեքի առավելագույն շեղումը բազային ցուցանիշից կազմում է 12.3%` մյուս մակրոտնտեսական ցուցանիշները թողնելով անփոփոխ: Փոխարժեքի շոկի ազդեցությունը ֆինանսական արդյունքների </w:t>
      </w:r>
      <w:r w:rsidRPr="0014325A">
        <w:rPr>
          <w:lang w:val="hy-AM"/>
        </w:rPr>
        <w:t>վրա էական</w:t>
      </w:r>
      <w:r w:rsidRPr="006F5DC2">
        <w:rPr>
          <w:lang w:val="hy-AM"/>
        </w:rPr>
        <w:t xml:space="preserve"> է, քանի որ «Հայկական ատոմային էլեկտրակայան» ՓԲԸ-ի վարկային պորտֆելի ավելի քան 40%-ը և «Բարձրավոլտ էլեկտրացանցեր» ՓԲԸ-ի վարկային պորտֆելի շուրջ 90%-ը</w:t>
      </w:r>
      <w:r w:rsidRPr="00686AF2">
        <w:rPr>
          <w:lang w:val="hy-AM"/>
        </w:rPr>
        <w:t xml:space="preserve"> </w:t>
      </w:r>
      <w:r w:rsidRPr="006F5DC2">
        <w:rPr>
          <w:lang w:val="hy-AM"/>
        </w:rPr>
        <w:t>արտահայտված է արտարժույթով</w:t>
      </w:r>
      <w:r w:rsidRPr="00686AF2">
        <w:rPr>
          <w:lang w:val="hy-AM"/>
        </w:rPr>
        <w:t>:</w:t>
      </w:r>
    </w:p>
    <w:p w14:paraId="391727C4" w14:textId="77777777" w:rsidR="00957A78" w:rsidRPr="00686AF2" w:rsidRDefault="00957A78" w:rsidP="00957A78">
      <w:pPr>
        <w:spacing w:after="0"/>
        <w:jc w:val="both"/>
        <w:rPr>
          <w:b/>
          <w:i/>
          <w:sz w:val="20"/>
          <w:lang w:val="hy-AM"/>
        </w:rPr>
      </w:pPr>
    </w:p>
    <w:p w14:paraId="3DBB93A1" w14:textId="77777777" w:rsidR="009E3FBA" w:rsidRDefault="009E3FBA">
      <w:pPr>
        <w:rPr>
          <w:b/>
          <w:i/>
          <w:sz w:val="20"/>
          <w:lang w:val="hy-AM"/>
        </w:rPr>
      </w:pPr>
      <w:r>
        <w:rPr>
          <w:b/>
          <w:i/>
          <w:sz w:val="20"/>
          <w:lang w:val="hy-AM"/>
        </w:rPr>
        <w:br w:type="page"/>
      </w:r>
    </w:p>
    <w:p w14:paraId="485D63AB" w14:textId="1661B724" w:rsidR="00957A78" w:rsidRPr="003D0A2D" w:rsidRDefault="00957A78" w:rsidP="00957A78">
      <w:pPr>
        <w:spacing w:after="0"/>
        <w:jc w:val="both"/>
        <w:rPr>
          <w:sz w:val="20"/>
          <w:lang w:val="hy-AM"/>
        </w:rPr>
      </w:pPr>
      <w:r w:rsidRPr="003D0A2D">
        <w:rPr>
          <w:b/>
          <w:i/>
          <w:sz w:val="20"/>
          <w:lang w:val="hy-AM"/>
        </w:rPr>
        <w:t xml:space="preserve">Գծապատկեր </w:t>
      </w:r>
      <w:r>
        <w:rPr>
          <w:b/>
          <w:i/>
          <w:sz w:val="20"/>
          <w:lang w:val="hy-AM"/>
        </w:rPr>
        <w:t>8</w:t>
      </w:r>
      <w:r w:rsidRPr="003D0A2D">
        <w:rPr>
          <w:b/>
          <w:i/>
          <w:sz w:val="20"/>
          <w:lang w:val="hy-AM"/>
        </w:rPr>
        <w:t xml:space="preserve">. </w:t>
      </w:r>
      <w:r w:rsidRPr="003D0A2D">
        <w:rPr>
          <w:i/>
          <w:sz w:val="20"/>
          <w:lang w:val="hy-AM"/>
        </w:rPr>
        <w:t xml:space="preserve">«Հարկումից հետո զուտ շահույթ/վնաս» (NPAT) </w:t>
      </w:r>
      <w:r w:rsidRPr="00686AF2">
        <w:rPr>
          <w:i/>
          <w:sz w:val="20"/>
          <w:lang w:val="hy-AM"/>
        </w:rPr>
        <w:t xml:space="preserve">համակցված </w:t>
      </w:r>
      <w:r w:rsidRPr="003D0A2D">
        <w:rPr>
          <w:i/>
          <w:sz w:val="20"/>
          <w:lang w:val="hy-AM"/>
        </w:rPr>
        <w:t xml:space="preserve">ցուցանիշի տարբերությունը բազային և փոխարժեքի շոկային սցենարների միջև, մլն ՀՀ դրամ </w:t>
      </w:r>
    </w:p>
    <w:p w14:paraId="41C56C51" w14:textId="77777777" w:rsidR="00957A78" w:rsidRPr="003D0A2D" w:rsidRDefault="00957A78" w:rsidP="00957A78">
      <w:pPr>
        <w:spacing w:after="0"/>
        <w:jc w:val="both"/>
        <w:rPr>
          <w:lang w:val="hy-AM"/>
        </w:rPr>
      </w:pPr>
    </w:p>
    <w:p w14:paraId="4DD9270F" w14:textId="77777777" w:rsidR="00957A78" w:rsidRPr="003D0A2D" w:rsidRDefault="00957A78" w:rsidP="00957A78">
      <w:pPr>
        <w:spacing w:after="0"/>
        <w:jc w:val="both"/>
        <w:rPr>
          <w:lang w:val="hy-AM"/>
        </w:rPr>
      </w:pPr>
      <w:r w:rsidRPr="00686AF2">
        <w:rPr>
          <w:noProof/>
        </w:rPr>
        <w:drawing>
          <wp:anchor distT="0" distB="0" distL="114300" distR="114300" simplePos="0" relativeHeight="251931648" behindDoc="0" locked="0" layoutInCell="1" allowOverlap="1" wp14:anchorId="21E12D57" wp14:editId="56952A63">
            <wp:simplePos x="0" y="0"/>
            <wp:positionH relativeFrom="column">
              <wp:posOffset>-57150</wp:posOffset>
            </wp:positionH>
            <wp:positionV relativeFrom="paragraph">
              <wp:posOffset>0</wp:posOffset>
            </wp:positionV>
            <wp:extent cx="3112569" cy="1895475"/>
            <wp:effectExtent l="0" t="0" r="0" b="0"/>
            <wp:wrapSquare wrapText="bothSides"/>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3">
                      <a:extLst>
                        <a:ext uri="{28A0092B-C50C-407E-A947-70E740481C1C}">
                          <a14:useLocalDpi xmlns:a14="http://schemas.microsoft.com/office/drawing/2010/main" val="0"/>
                        </a:ext>
                      </a:extLst>
                    </a:blip>
                    <a:srcRect l="8909" t="9440" r="5999" b="6489"/>
                    <a:stretch/>
                  </pic:blipFill>
                  <pic:spPr bwMode="auto">
                    <a:xfrm>
                      <a:off x="0" y="0"/>
                      <a:ext cx="3112569" cy="18954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3D0A2D">
        <w:rPr>
          <w:sz w:val="20"/>
          <w:lang w:val="hy-AM"/>
        </w:rPr>
        <w:t>Ինչպես երևում է գծապատկերից, փոխարժեքի շոկը զգալի ազդեցություն ունի ընկերությունների «</w:t>
      </w:r>
      <w:r w:rsidRPr="00686AF2">
        <w:rPr>
          <w:sz w:val="20"/>
          <w:lang w:val="hy-AM"/>
        </w:rPr>
        <w:t>Հ</w:t>
      </w:r>
      <w:r w:rsidRPr="003D0A2D">
        <w:rPr>
          <w:sz w:val="20"/>
          <w:lang w:val="hy-AM"/>
        </w:rPr>
        <w:t>արկումից հետո զուտ շահույթ</w:t>
      </w:r>
      <w:r w:rsidRPr="00686AF2">
        <w:rPr>
          <w:sz w:val="20"/>
          <w:lang w:val="hy-AM"/>
        </w:rPr>
        <w:t>/վնաս</w:t>
      </w:r>
      <w:r w:rsidRPr="003D0A2D">
        <w:rPr>
          <w:sz w:val="20"/>
          <w:lang w:val="hy-AM"/>
        </w:rPr>
        <w:t>»</w:t>
      </w:r>
      <w:r w:rsidRPr="00686AF2">
        <w:rPr>
          <w:sz w:val="20"/>
          <w:lang w:val="hy-AM"/>
        </w:rPr>
        <w:t>-ի</w:t>
      </w:r>
      <w:r w:rsidRPr="003D0A2D">
        <w:rPr>
          <w:sz w:val="20"/>
          <w:lang w:val="hy-AM"/>
        </w:rPr>
        <w:t xml:space="preserve"> (NPAT)</w:t>
      </w:r>
      <w:r w:rsidRPr="003D0A2D">
        <w:rPr>
          <w:i/>
          <w:sz w:val="20"/>
          <w:lang w:val="hy-AM"/>
        </w:rPr>
        <w:t xml:space="preserve"> </w:t>
      </w:r>
      <w:r w:rsidRPr="003D0A2D">
        <w:rPr>
          <w:sz w:val="20"/>
          <w:lang w:val="hy-AM"/>
        </w:rPr>
        <w:t>վրա։ Նշված շոկի պայմաններում կանխատեսվում է, որ առավելագույն շեղման ժամանակահատվածում՝ 2027թ.-ին, «Հայկական ատոմային էլեկտրակայան» ՓԲԸ-ի մասով «</w:t>
      </w:r>
      <w:r w:rsidRPr="00686AF2">
        <w:rPr>
          <w:sz w:val="20"/>
          <w:lang w:val="hy-AM"/>
        </w:rPr>
        <w:t>Հ</w:t>
      </w:r>
      <w:r w:rsidRPr="003D0A2D">
        <w:rPr>
          <w:sz w:val="20"/>
          <w:lang w:val="hy-AM"/>
        </w:rPr>
        <w:t>արկումից հետո զուտ շահույթ</w:t>
      </w:r>
      <w:r w:rsidRPr="00686AF2">
        <w:rPr>
          <w:sz w:val="20"/>
          <w:lang w:val="hy-AM"/>
        </w:rPr>
        <w:t>/վնաս</w:t>
      </w:r>
      <w:r w:rsidRPr="003D0A2D">
        <w:rPr>
          <w:sz w:val="20"/>
          <w:lang w:val="hy-AM"/>
        </w:rPr>
        <w:t>»</w:t>
      </w:r>
      <w:r w:rsidRPr="00686AF2">
        <w:rPr>
          <w:sz w:val="20"/>
          <w:lang w:val="hy-AM"/>
        </w:rPr>
        <w:t>-ը</w:t>
      </w:r>
      <w:r w:rsidRPr="003D0A2D">
        <w:rPr>
          <w:sz w:val="20"/>
          <w:lang w:val="hy-AM"/>
        </w:rPr>
        <w:t xml:space="preserve"> (NPAT)</w:t>
      </w:r>
      <w:r w:rsidRPr="003D0A2D">
        <w:rPr>
          <w:i/>
          <w:sz w:val="20"/>
          <w:lang w:val="hy-AM"/>
        </w:rPr>
        <w:t xml:space="preserve"> </w:t>
      </w:r>
      <w:r w:rsidRPr="003D0A2D">
        <w:rPr>
          <w:sz w:val="20"/>
          <w:lang w:val="hy-AM"/>
        </w:rPr>
        <w:t xml:space="preserve">կնվազի 4,270.9 մլն ՀՀ դրամով` համեմատած բազային սցենարի հետ, իսկ «Բարձրավոլտ էլեկտրացանցեր» ՓԲԸ-ի մասով՝ 8,724 մլն </w:t>
      </w:r>
      <w:r w:rsidRPr="00686AF2">
        <w:rPr>
          <w:sz w:val="20"/>
          <w:lang w:val="hy-AM"/>
        </w:rPr>
        <w:t xml:space="preserve">ՀՀ </w:t>
      </w:r>
      <w:r w:rsidRPr="003D0A2D">
        <w:rPr>
          <w:sz w:val="20"/>
          <w:lang w:val="hy-AM"/>
        </w:rPr>
        <w:t>դրամով</w:t>
      </w:r>
      <w:r w:rsidRPr="003D0A2D">
        <w:rPr>
          <w:lang w:val="hy-AM"/>
        </w:rPr>
        <w:t>:</w:t>
      </w:r>
    </w:p>
    <w:p w14:paraId="1EBC36CE" w14:textId="77777777" w:rsidR="00957A78" w:rsidRDefault="00957A78" w:rsidP="00957A78">
      <w:pPr>
        <w:spacing w:after="0"/>
        <w:jc w:val="both"/>
        <w:rPr>
          <w:b/>
          <w:i/>
          <w:sz w:val="20"/>
          <w:lang w:val="hy-AM"/>
        </w:rPr>
      </w:pPr>
    </w:p>
    <w:p w14:paraId="358F33D6" w14:textId="77777777" w:rsidR="00957A78" w:rsidRPr="003D0A2D" w:rsidRDefault="00957A78" w:rsidP="00957A78">
      <w:pPr>
        <w:spacing w:after="0"/>
        <w:jc w:val="both"/>
        <w:rPr>
          <w:sz w:val="20"/>
          <w:lang w:val="hy-AM"/>
        </w:rPr>
      </w:pPr>
      <w:r w:rsidRPr="003D0A2D">
        <w:rPr>
          <w:b/>
          <w:i/>
          <w:sz w:val="20"/>
          <w:lang w:val="hy-AM"/>
        </w:rPr>
        <w:t xml:space="preserve">Գծապատկեր </w:t>
      </w:r>
      <w:r w:rsidRPr="00686AF2">
        <w:rPr>
          <w:b/>
          <w:i/>
          <w:sz w:val="20"/>
          <w:lang w:val="hy-AM"/>
        </w:rPr>
        <w:t>9</w:t>
      </w:r>
      <w:r w:rsidRPr="003D0A2D">
        <w:rPr>
          <w:b/>
          <w:i/>
          <w:sz w:val="20"/>
          <w:lang w:val="hy-AM"/>
        </w:rPr>
        <w:t xml:space="preserve"> . </w:t>
      </w:r>
      <w:r w:rsidRPr="003D0A2D">
        <w:rPr>
          <w:i/>
          <w:sz w:val="20"/>
          <w:lang w:val="hy-AM"/>
        </w:rPr>
        <w:t>«Զուտ ակտիվների արժեք» (Net Worth)</w:t>
      </w:r>
      <w:r w:rsidRPr="00686AF2">
        <w:rPr>
          <w:i/>
          <w:sz w:val="20"/>
          <w:lang w:val="hy-AM"/>
        </w:rPr>
        <w:t xml:space="preserve"> համակցված</w:t>
      </w:r>
      <w:r w:rsidRPr="003D0A2D">
        <w:rPr>
          <w:i/>
          <w:sz w:val="20"/>
          <w:lang w:val="hy-AM"/>
        </w:rPr>
        <w:t xml:space="preserve"> ցուցանիշի տարբերությունը բազային և փոխարժեքի շոկային սցենարների միջև, մլն ՀՀ դրամ </w:t>
      </w:r>
    </w:p>
    <w:p w14:paraId="51C458A8" w14:textId="77777777" w:rsidR="00957A78" w:rsidRPr="003D0A2D" w:rsidRDefault="00957A78" w:rsidP="00957A78">
      <w:pPr>
        <w:spacing w:after="0"/>
        <w:jc w:val="both"/>
        <w:rPr>
          <w:sz w:val="20"/>
          <w:lang w:val="hy-AM"/>
        </w:rPr>
      </w:pPr>
      <w:r w:rsidRPr="00686AF2">
        <w:rPr>
          <w:noProof/>
        </w:rPr>
        <w:drawing>
          <wp:anchor distT="0" distB="0" distL="114300" distR="114300" simplePos="0" relativeHeight="251933696" behindDoc="0" locked="0" layoutInCell="1" allowOverlap="1" wp14:anchorId="3387F241" wp14:editId="01657CBC">
            <wp:simplePos x="0" y="0"/>
            <wp:positionH relativeFrom="column">
              <wp:posOffset>-8890</wp:posOffset>
            </wp:positionH>
            <wp:positionV relativeFrom="paragraph">
              <wp:posOffset>30480</wp:posOffset>
            </wp:positionV>
            <wp:extent cx="2941320" cy="1800225"/>
            <wp:effectExtent l="0" t="0" r="0" b="9525"/>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4">
                      <a:extLst>
                        <a:ext uri="{28A0092B-C50C-407E-A947-70E740481C1C}">
                          <a14:useLocalDpi xmlns:a14="http://schemas.microsoft.com/office/drawing/2010/main" val="0"/>
                        </a:ext>
                      </a:extLst>
                    </a:blip>
                    <a:srcRect l="13707" t="9172" r="14018" b="6804"/>
                    <a:stretch/>
                  </pic:blipFill>
                  <pic:spPr bwMode="auto">
                    <a:xfrm>
                      <a:off x="0" y="0"/>
                      <a:ext cx="2941320" cy="18002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3D0A2D">
        <w:rPr>
          <w:sz w:val="20"/>
          <w:lang w:val="hy-AM"/>
        </w:rPr>
        <w:br/>
        <w:t>Փոխարժեքի շոկը հանգեցնում է «Հայկական ատոմային էլեկտրակայան» ՓԲԸ-ի</w:t>
      </w:r>
      <w:r w:rsidRPr="00686AF2">
        <w:rPr>
          <w:sz w:val="20"/>
          <w:lang w:val="hy-AM"/>
        </w:rPr>
        <w:t xml:space="preserve"> «Զ</w:t>
      </w:r>
      <w:r w:rsidRPr="003D0A2D">
        <w:rPr>
          <w:sz w:val="20"/>
          <w:lang w:val="hy-AM"/>
        </w:rPr>
        <w:t>ուտ ակտիվների արժեք</w:t>
      </w:r>
      <w:r w:rsidRPr="00686AF2">
        <w:rPr>
          <w:sz w:val="20"/>
          <w:lang w:val="hy-AM"/>
        </w:rPr>
        <w:t>»-</w:t>
      </w:r>
      <w:r w:rsidRPr="003D0A2D">
        <w:rPr>
          <w:sz w:val="20"/>
          <w:lang w:val="hy-AM"/>
        </w:rPr>
        <w:t>ի (Net Worth)</w:t>
      </w:r>
      <w:r w:rsidRPr="00686AF2">
        <w:rPr>
          <w:sz w:val="20"/>
          <w:lang w:val="hy-AM"/>
        </w:rPr>
        <w:t>՝</w:t>
      </w:r>
      <w:r w:rsidRPr="003D0A2D">
        <w:rPr>
          <w:i/>
          <w:sz w:val="20"/>
          <w:lang w:val="hy-AM"/>
        </w:rPr>
        <w:t xml:space="preserve"> </w:t>
      </w:r>
      <w:r w:rsidRPr="003D0A2D">
        <w:rPr>
          <w:iCs/>
          <w:sz w:val="20"/>
          <w:lang w:val="hy-AM"/>
        </w:rPr>
        <w:t>4,068.6</w:t>
      </w:r>
      <w:r w:rsidRPr="003D0A2D">
        <w:rPr>
          <w:sz w:val="20"/>
          <w:lang w:val="hy-AM"/>
        </w:rPr>
        <w:t xml:space="preserve"> մլն ՀՀ դրամով նվազմանը 2027թ.-ին՝ համեմատած բազային սցենարի հետ, իսկ «Բարձրավոլտ էլեկտրացանցեր» ՓԲԸ-ի մասով՝ 8,421.6 մլն </w:t>
      </w:r>
      <w:r w:rsidRPr="00686AF2">
        <w:rPr>
          <w:sz w:val="20"/>
          <w:lang w:val="hy-AM"/>
        </w:rPr>
        <w:t xml:space="preserve">ՀՀ </w:t>
      </w:r>
      <w:r w:rsidRPr="003D0A2D">
        <w:rPr>
          <w:sz w:val="20"/>
          <w:lang w:val="hy-AM"/>
        </w:rPr>
        <w:t>դրամով: Նշված ցուցանիշի նվազման միտումը կրում է շարունակական բնույթ մոդելավորման մ</w:t>
      </w:r>
      <w:r w:rsidRPr="00686AF2">
        <w:rPr>
          <w:sz w:val="20"/>
          <w:lang w:val="hy-AM"/>
        </w:rPr>
        <w:t>յուս</w:t>
      </w:r>
      <w:r w:rsidRPr="003D0A2D">
        <w:rPr>
          <w:sz w:val="20"/>
          <w:lang w:val="hy-AM"/>
        </w:rPr>
        <w:t xml:space="preserve"> տարիներին:</w:t>
      </w:r>
    </w:p>
    <w:p w14:paraId="7489FC8B" w14:textId="77777777" w:rsidR="00957A78" w:rsidRPr="003D0A2D" w:rsidRDefault="00957A78" w:rsidP="00957A78">
      <w:pPr>
        <w:spacing w:after="0"/>
        <w:jc w:val="both"/>
        <w:rPr>
          <w:lang w:val="hy-AM"/>
        </w:rPr>
      </w:pPr>
    </w:p>
    <w:p w14:paraId="6CAA66B1" w14:textId="77777777" w:rsidR="00957A78" w:rsidRDefault="00957A78" w:rsidP="00957A78">
      <w:pPr>
        <w:spacing w:before="0" w:after="0"/>
        <w:jc w:val="both"/>
        <w:rPr>
          <w:b/>
          <w:lang w:val="hy-AM"/>
        </w:rPr>
      </w:pPr>
    </w:p>
    <w:p w14:paraId="60327A6D" w14:textId="77777777" w:rsidR="00957A78" w:rsidRPr="003D0A2D" w:rsidRDefault="00957A78" w:rsidP="00957A78">
      <w:pPr>
        <w:spacing w:before="0" w:after="0"/>
        <w:jc w:val="both"/>
        <w:rPr>
          <w:lang w:val="hy-AM"/>
        </w:rPr>
      </w:pPr>
      <w:r w:rsidRPr="003D0A2D">
        <w:rPr>
          <w:b/>
          <w:lang w:val="hy-AM"/>
        </w:rPr>
        <w:t>Տոկոսադրույքների շոկային սցենար</w:t>
      </w:r>
    </w:p>
    <w:p w14:paraId="0B8F979E" w14:textId="77777777" w:rsidR="00957A78" w:rsidRPr="003D0A2D" w:rsidRDefault="00957A78" w:rsidP="00957A78">
      <w:pPr>
        <w:spacing w:after="0"/>
        <w:jc w:val="both"/>
        <w:rPr>
          <w:lang w:val="hy-AM"/>
        </w:rPr>
      </w:pPr>
      <w:r w:rsidRPr="003D0A2D">
        <w:rPr>
          <w:lang w:val="hy-AM"/>
        </w:rPr>
        <w:t xml:space="preserve">Տոկոսադրույքների շոկային սցենարում տոկոսադրույքի առավելագույն շեղումը բազային ցուցանիշից կազմում է 1.5%` մյուս մակրոտնտեսական ցուցանիշները թողնելով անփոփոխ: </w:t>
      </w:r>
      <w:r w:rsidRPr="00D97733">
        <w:rPr>
          <w:lang w:val="hy-AM"/>
        </w:rPr>
        <w:t>Առանձին ընկերությունների համար բ</w:t>
      </w:r>
      <w:r w:rsidRPr="003D0A2D">
        <w:rPr>
          <w:lang w:val="hy-AM"/>
        </w:rPr>
        <w:t>ացասական ազդեցությունը ակնհայտ է, սակայն փոխարժեքի շոկի առաջաց</w:t>
      </w:r>
      <w:r w:rsidRPr="00D97733">
        <w:rPr>
          <w:lang w:val="hy-AM"/>
        </w:rPr>
        <w:t>ր</w:t>
      </w:r>
      <w:r w:rsidRPr="003D0A2D">
        <w:rPr>
          <w:lang w:val="hy-AM"/>
        </w:rPr>
        <w:t xml:space="preserve">ած </w:t>
      </w:r>
      <w:r w:rsidRPr="00D97733">
        <w:rPr>
          <w:lang w:val="hy-AM"/>
        </w:rPr>
        <w:t xml:space="preserve">ազդեցության </w:t>
      </w:r>
      <w:r w:rsidRPr="003D0A2D">
        <w:rPr>
          <w:lang w:val="hy-AM"/>
        </w:rPr>
        <w:t>հետևանքների համեմատ</w:t>
      </w:r>
      <w:r w:rsidRPr="00D97733">
        <w:rPr>
          <w:lang w:val="hy-AM"/>
        </w:rPr>
        <w:t>՝ այն ան</w:t>
      </w:r>
      <w:r w:rsidRPr="003D0A2D">
        <w:rPr>
          <w:lang w:val="hy-AM"/>
        </w:rPr>
        <w:t>նշան է: «Հայկական ատոմային էլեկտրակայան» ՓԲԸ-ի վարկային պորտֆելի զգալի մասնաբաժինը ֆիքսված տոկոսադրույքով է, ուստի տոկոսադրույքի աճի բացասական ազդեցությունը որոշ չափով մեղմվում է, և հետևաբար տոկոսադրույքի բարձրացման ռիսկը ընկերության համար զգալի չէ: «Բարձրավոլտ էլեկտրացանցեր» ՓԲԸ-ի վարկային պորտֆելի ավելի քան 40%-ը լողացող տոկոսադրույքով է, ուստի ընկերության կախվածությունը տոկոսադրույքների փոփոխություններից զգալի է:</w:t>
      </w:r>
    </w:p>
    <w:p w14:paraId="1EB85115" w14:textId="77777777" w:rsidR="00957A78" w:rsidRDefault="00957A78" w:rsidP="00957A78">
      <w:pPr>
        <w:spacing w:after="0"/>
        <w:jc w:val="both"/>
        <w:rPr>
          <w:b/>
          <w:i/>
          <w:sz w:val="20"/>
          <w:lang w:val="hy-AM"/>
        </w:rPr>
      </w:pPr>
    </w:p>
    <w:p w14:paraId="2246D131" w14:textId="77777777" w:rsidR="009E3FBA" w:rsidRDefault="009E3FBA">
      <w:pPr>
        <w:rPr>
          <w:b/>
          <w:i/>
          <w:sz w:val="20"/>
          <w:lang w:val="hy-AM"/>
        </w:rPr>
      </w:pPr>
      <w:r>
        <w:rPr>
          <w:b/>
          <w:i/>
          <w:sz w:val="20"/>
          <w:lang w:val="hy-AM"/>
        </w:rPr>
        <w:br w:type="page"/>
      </w:r>
    </w:p>
    <w:p w14:paraId="200B4D73" w14:textId="6057C5A9" w:rsidR="00957A78" w:rsidRPr="003D0A2D" w:rsidRDefault="00957A78" w:rsidP="00957A78">
      <w:pPr>
        <w:spacing w:after="0"/>
        <w:jc w:val="both"/>
        <w:rPr>
          <w:i/>
          <w:sz w:val="20"/>
          <w:lang w:val="hy-AM"/>
        </w:rPr>
      </w:pPr>
      <w:r w:rsidRPr="003D0A2D">
        <w:rPr>
          <w:b/>
          <w:i/>
          <w:sz w:val="20"/>
          <w:lang w:val="hy-AM"/>
        </w:rPr>
        <w:t>Գծապատկեր 1</w:t>
      </w:r>
      <w:r>
        <w:rPr>
          <w:b/>
          <w:i/>
          <w:sz w:val="20"/>
          <w:lang w:val="hy-AM"/>
        </w:rPr>
        <w:t>0</w:t>
      </w:r>
      <w:r w:rsidRPr="003D0A2D">
        <w:rPr>
          <w:b/>
          <w:i/>
          <w:sz w:val="20"/>
          <w:lang w:val="hy-AM"/>
        </w:rPr>
        <w:t xml:space="preserve">. </w:t>
      </w:r>
      <w:r w:rsidRPr="003D0A2D">
        <w:rPr>
          <w:i/>
          <w:sz w:val="20"/>
          <w:lang w:val="hy-AM"/>
        </w:rPr>
        <w:t xml:space="preserve">«Հարկումից հետո զուտ շահույթ/վնաս» (NPAT) </w:t>
      </w:r>
      <w:r w:rsidRPr="00D97733">
        <w:rPr>
          <w:i/>
          <w:sz w:val="20"/>
          <w:lang w:val="hy-AM"/>
        </w:rPr>
        <w:t xml:space="preserve">համակցված </w:t>
      </w:r>
      <w:r w:rsidRPr="003D0A2D">
        <w:rPr>
          <w:i/>
          <w:sz w:val="20"/>
          <w:lang w:val="hy-AM"/>
        </w:rPr>
        <w:t xml:space="preserve">ցուցանիշի տարբերությունը բազային և տոկոսադրույքի շոկային սցենարների միջև, մլն ՀՀ դրամ </w:t>
      </w:r>
    </w:p>
    <w:p w14:paraId="6CA6FECE" w14:textId="77777777" w:rsidR="00957A78" w:rsidRPr="003D0A2D" w:rsidRDefault="00957A78" w:rsidP="00957A78">
      <w:pPr>
        <w:spacing w:after="0"/>
        <w:jc w:val="both"/>
        <w:rPr>
          <w:sz w:val="20"/>
          <w:lang w:val="hy-AM"/>
        </w:rPr>
      </w:pPr>
      <w:r w:rsidRPr="00D97733">
        <w:rPr>
          <w:noProof/>
        </w:rPr>
        <w:drawing>
          <wp:anchor distT="0" distB="0" distL="114300" distR="114300" simplePos="0" relativeHeight="251934720" behindDoc="0" locked="0" layoutInCell="1" allowOverlap="1" wp14:anchorId="2D6EF8F6" wp14:editId="1551C5D8">
            <wp:simplePos x="0" y="0"/>
            <wp:positionH relativeFrom="column">
              <wp:posOffset>154437</wp:posOffset>
            </wp:positionH>
            <wp:positionV relativeFrom="paragraph">
              <wp:posOffset>28263</wp:posOffset>
            </wp:positionV>
            <wp:extent cx="2990850" cy="1769056"/>
            <wp:effectExtent l="0" t="0" r="0" b="3175"/>
            <wp:wrapSquare wrapText="bothSides"/>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5">
                      <a:extLst>
                        <a:ext uri="{28A0092B-C50C-407E-A947-70E740481C1C}">
                          <a14:useLocalDpi xmlns:a14="http://schemas.microsoft.com/office/drawing/2010/main" val="0"/>
                        </a:ext>
                      </a:extLst>
                    </a:blip>
                    <a:srcRect l="9706" t="6453" r="21177" b="12022"/>
                    <a:stretch/>
                  </pic:blipFill>
                  <pic:spPr bwMode="auto">
                    <a:xfrm>
                      <a:off x="0" y="0"/>
                      <a:ext cx="2990850" cy="176905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3D0A2D">
        <w:rPr>
          <w:sz w:val="20"/>
          <w:lang w:val="hy-AM"/>
        </w:rPr>
        <w:t>Տվյալ սցենարում տոկոսադրույքի բարձրացումը առավելագույն շեղման ժամանակահատվածում՝ 2027թ.-ին, «Հայկական ատոմային էլեկտրակայան» ՓԲԸ-ի կանխատեսվող «</w:t>
      </w:r>
      <w:r w:rsidRPr="00D97733">
        <w:rPr>
          <w:sz w:val="20"/>
          <w:lang w:val="hy-AM"/>
        </w:rPr>
        <w:t>Հ</w:t>
      </w:r>
      <w:r w:rsidRPr="003D0A2D">
        <w:rPr>
          <w:sz w:val="20"/>
          <w:lang w:val="hy-AM"/>
        </w:rPr>
        <w:t xml:space="preserve">արկումից հետո զուտ շահույթ/վնաս» (NPAT) ցուցանիշը կրճատում է ավելի քան 37 մլն ՀՀ դրամով՝ համեմատած բազային սցենարի հետ, իսկ «Բարձրավոլտ էլեկտրացանցեր» ՓԲԸ-ի մասով՝ ավելի քան 373 մլն </w:t>
      </w:r>
      <w:r w:rsidRPr="00D97733">
        <w:rPr>
          <w:sz w:val="20"/>
          <w:lang w:val="hy-AM"/>
        </w:rPr>
        <w:t xml:space="preserve">ՀՀ </w:t>
      </w:r>
      <w:r w:rsidRPr="003D0A2D">
        <w:rPr>
          <w:sz w:val="20"/>
          <w:lang w:val="hy-AM"/>
        </w:rPr>
        <w:t>դրամով:</w:t>
      </w:r>
    </w:p>
    <w:p w14:paraId="5D8A105B" w14:textId="77777777" w:rsidR="00957A78" w:rsidRPr="003D0A2D" w:rsidRDefault="00957A78" w:rsidP="00957A78">
      <w:pPr>
        <w:spacing w:after="0"/>
        <w:jc w:val="both"/>
        <w:rPr>
          <w:b/>
          <w:i/>
          <w:sz w:val="20"/>
          <w:lang w:val="hy-AM"/>
        </w:rPr>
      </w:pPr>
    </w:p>
    <w:p w14:paraId="14A26614" w14:textId="77777777" w:rsidR="00957A78" w:rsidRPr="003D0A2D" w:rsidRDefault="00957A78" w:rsidP="00957A78">
      <w:pPr>
        <w:spacing w:after="0"/>
        <w:jc w:val="both"/>
        <w:rPr>
          <w:b/>
          <w:i/>
          <w:sz w:val="20"/>
          <w:lang w:val="hy-AM"/>
        </w:rPr>
      </w:pPr>
    </w:p>
    <w:p w14:paraId="3532B9C6" w14:textId="77777777" w:rsidR="00957A78" w:rsidRPr="003D0A2D" w:rsidRDefault="00957A78" w:rsidP="00957A78">
      <w:pPr>
        <w:spacing w:after="0"/>
        <w:jc w:val="both"/>
        <w:rPr>
          <w:i/>
          <w:sz w:val="20"/>
          <w:lang w:val="hy-AM"/>
        </w:rPr>
      </w:pPr>
      <w:r w:rsidRPr="003D0A2D">
        <w:rPr>
          <w:b/>
          <w:i/>
          <w:sz w:val="20"/>
          <w:lang w:val="hy-AM"/>
        </w:rPr>
        <w:t>Գծապատկեր 1</w:t>
      </w:r>
      <w:r>
        <w:rPr>
          <w:b/>
          <w:i/>
          <w:sz w:val="20"/>
          <w:lang w:val="hy-AM"/>
        </w:rPr>
        <w:t>1</w:t>
      </w:r>
      <w:r w:rsidRPr="003D0A2D">
        <w:rPr>
          <w:b/>
          <w:i/>
          <w:sz w:val="20"/>
          <w:lang w:val="hy-AM"/>
        </w:rPr>
        <w:t xml:space="preserve">. </w:t>
      </w:r>
      <w:r w:rsidRPr="003D0A2D">
        <w:rPr>
          <w:i/>
          <w:sz w:val="20"/>
          <w:lang w:val="hy-AM"/>
        </w:rPr>
        <w:t xml:space="preserve">«Զուտ ակտիվների արժեք» (Net Worth) </w:t>
      </w:r>
      <w:r w:rsidRPr="00D97733">
        <w:rPr>
          <w:i/>
          <w:sz w:val="20"/>
          <w:lang w:val="hy-AM"/>
        </w:rPr>
        <w:t xml:space="preserve">համակցված </w:t>
      </w:r>
      <w:r w:rsidRPr="003D0A2D">
        <w:rPr>
          <w:i/>
          <w:sz w:val="20"/>
          <w:lang w:val="hy-AM"/>
        </w:rPr>
        <w:t xml:space="preserve">ցուցանիշի տարբերությունը բազային և տոկոսադրույքի շոկային սցենարների միջև, մլն ՀՀ դրամ </w:t>
      </w:r>
    </w:p>
    <w:p w14:paraId="760DB6B8" w14:textId="77777777" w:rsidR="00957A78" w:rsidRPr="003D0A2D" w:rsidRDefault="00957A78" w:rsidP="00957A78">
      <w:pPr>
        <w:spacing w:after="0"/>
        <w:jc w:val="both"/>
        <w:rPr>
          <w:i/>
          <w:lang w:val="hy-AM"/>
        </w:rPr>
      </w:pPr>
      <w:r w:rsidRPr="00D97733">
        <w:rPr>
          <w:b/>
          <w:noProof/>
        </w:rPr>
        <w:drawing>
          <wp:anchor distT="0" distB="0" distL="114300" distR="114300" simplePos="0" relativeHeight="251935744" behindDoc="0" locked="0" layoutInCell="1" allowOverlap="1" wp14:anchorId="7D1FB197" wp14:editId="43ECE64E">
            <wp:simplePos x="0" y="0"/>
            <wp:positionH relativeFrom="margin">
              <wp:align>left</wp:align>
            </wp:positionH>
            <wp:positionV relativeFrom="paragraph">
              <wp:posOffset>204470</wp:posOffset>
            </wp:positionV>
            <wp:extent cx="2782570" cy="1714500"/>
            <wp:effectExtent l="0" t="0" r="0"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6">
                      <a:extLst>
                        <a:ext uri="{28A0092B-C50C-407E-A947-70E740481C1C}">
                          <a14:useLocalDpi xmlns:a14="http://schemas.microsoft.com/office/drawing/2010/main" val="0"/>
                        </a:ext>
                      </a:extLst>
                    </a:blip>
                    <a:srcRect l="7913" t="9788" r="14477" b="15079"/>
                    <a:stretch/>
                  </pic:blipFill>
                  <pic:spPr bwMode="auto">
                    <a:xfrm>
                      <a:off x="0" y="0"/>
                      <a:ext cx="2782570" cy="17145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727B03A" w14:textId="77777777" w:rsidR="00957A78" w:rsidRPr="003D0A2D" w:rsidRDefault="00957A78" w:rsidP="00957A78">
      <w:pPr>
        <w:spacing w:after="0"/>
        <w:jc w:val="both"/>
        <w:rPr>
          <w:i/>
          <w:lang w:val="hy-AM"/>
        </w:rPr>
      </w:pPr>
      <w:r w:rsidRPr="003D0A2D">
        <w:rPr>
          <w:sz w:val="20"/>
          <w:lang w:val="hy-AM"/>
        </w:rPr>
        <w:t xml:space="preserve">Տոկոսադրույքի շոկի հետևանքով «Հայկական ատոմային էլեկտրակայան» ՓԲԸ-ի </w:t>
      </w:r>
      <w:r w:rsidRPr="00D97733">
        <w:rPr>
          <w:sz w:val="20"/>
          <w:lang w:val="hy-AM"/>
        </w:rPr>
        <w:t>«Զ</w:t>
      </w:r>
      <w:r w:rsidRPr="003D0A2D">
        <w:rPr>
          <w:sz w:val="20"/>
          <w:lang w:val="hy-AM"/>
        </w:rPr>
        <w:t>ուտ ակտիվների արժեք</w:t>
      </w:r>
      <w:r w:rsidRPr="00D97733">
        <w:rPr>
          <w:sz w:val="20"/>
          <w:lang w:val="hy-AM"/>
        </w:rPr>
        <w:t>»-</w:t>
      </w:r>
      <w:r w:rsidRPr="003D0A2D">
        <w:rPr>
          <w:sz w:val="20"/>
          <w:lang w:val="hy-AM"/>
        </w:rPr>
        <w:t xml:space="preserve">ի (Net Worth) նվազումը ընդգրկված ժամանակահատվածի համար դիտվում է 7-41 մլն ՀՀ դրամի միջակայքում՝ համեմատած բազային սցենարի հետ, իսկ «Բարձրավոլտ էլեկտրացանցեր» ՓԲԸ-ի մոտ՝ 77-415 մլն </w:t>
      </w:r>
      <w:r w:rsidRPr="00D97733">
        <w:rPr>
          <w:sz w:val="20"/>
          <w:lang w:val="hy-AM"/>
        </w:rPr>
        <w:t xml:space="preserve">ՀՀ </w:t>
      </w:r>
      <w:r w:rsidRPr="003D0A2D">
        <w:rPr>
          <w:sz w:val="20"/>
          <w:lang w:val="hy-AM"/>
        </w:rPr>
        <w:t xml:space="preserve">դրամի միջակայքում: </w:t>
      </w:r>
    </w:p>
    <w:p w14:paraId="18A04C75" w14:textId="77777777" w:rsidR="00957A78" w:rsidRPr="003D0A2D" w:rsidRDefault="00957A78" w:rsidP="00957A78">
      <w:pPr>
        <w:pBdr>
          <w:top w:val="nil"/>
          <w:left w:val="nil"/>
          <w:bottom w:val="nil"/>
          <w:right w:val="nil"/>
          <w:between w:val="nil"/>
        </w:pBdr>
        <w:spacing w:after="0"/>
        <w:jc w:val="both"/>
        <w:rPr>
          <w:lang w:val="hy-AM"/>
        </w:rPr>
      </w:pPr>
    </w:p>
    <w:p w14:paraId="58A1DE7F" w14:textId="77777777" w:rsidR="00957A78" w:rsidRPr="003D0A2D" w:rsidRDefault="00957A78" w:rsidP="00957A78">
      <w:pPr>
        <w:spacing w:after="0"/>
        <w:jc w:val="both"/>
        <w:rPr>
          <w:b/>
          <w:lang w:val="hy-AM"/>
        </w:rPr>
      </w:pPr>
    </w:p>
    <w:p w14:paraId="54E19E9A" w14:textId="77777777" w:rsidR="00957A78" w:rsidRDefault="00957A78" w:rsidP="00957A78">
      <w:pPr>
        <w:spacing w:after="0"/>
        <w:jc w:val="both"/>
        <w:rPr>
          <w:b/>
          <w:lang w:val="hy-AM"/>
        </w:rPr>
      </w:pPr>
    </w:p>
    <w:p w14:paraId="6E8E6C6F" w14:textId="77777777" w:rsidR="00957A78" w:rsidRPr="003D0A2D" w:rsidRDefault="00957A78" w:rsidP="00957A78">
      <w:pPr>
        <w:spacing w:after="0"/>
        <w:jc w:val="both"/>
        <w:rPr>
          <w:lang w:val="hy-AM"/>
        </w:rPr>
      </w:pPr>
      <w:r w:rsidRPr="003D0A2D">
        <w:rPr>
          <w:b/>
          <w:lang w:val="hy-AM"/>
        </w:rPr>
        <w:t>Համակցված շոկային սցենար</w:t>
      </w:r>
    </w:p>
    <w:p w14:paraId="68E2CD24" w14:textId="77777777" w:rsidR="00957A78" w:rsidRPr="00D97733" w:rsidRDefault="00957A78" w:rsidP="00957A78">
      <w:pPr>
        <w:spacing w:after="0"/>
        <w:jc w:val="both"/>
        <w:rPr>
          <w:lang w:val="hy-AM"/>
        </w:rPr>
      </w:pPr>
      <w:r w:rsidRPr="003D0A2D">
        <w:rPr>
          <w:lang w:val="hy-AM"/>
        </w:rPr>
        <w:t xml:space="preserve">Համակցված շոկի պայմաններում բոլոր երեք մակրոտնտեսական ցուցանիշները (ՀՆԱ, փոխարժեք, տոկոսադրույքներ) միաժամանակ ենթարկվում են շոկերի, որոնցից յուրաքանչյուրի միջակայքն ու տևողությունը նույնն են, ինչը նկարագրված է նախորդ սցենարներում: Համակցված շոկերի ազդեցությունը ընկերությունների ֆինանսական ցուցանիշների վրա </w:t>
      </w:r>
      <w:r w:rsidRPr="00D97733">
        <w:rPr>
          <w:lang w:val="hy-AM"/>
        </w:rPr>
        <w:t>նշանակալի է</w:t>
      </w:r>
      <w:r w:rsidRPr="003D0A2D">
        <w:rPr>
          <w:lang w:val="hy-AM"/>
        </w:rPr>
        <w:t xml:space="preserve">՝ </w:t>
      </w:r>
      <w:r w:rsidRPr="00D97733">
        <w:rPr>
          <w:lang w:val="hy-AM"/>
        </w:rPr>
        <w:t xml:space="preserve">առավելապես պայմանավորված արտարժութային շոկի ազդեցությամբ: </w:t>
      </w:r>
      <w:r w:rsidRPr="003D0A2D">
        <w:rPr>
          <w:lang w:val="hy-AM"/>
        </w:rPr>
        <w:t>Արդյունքները ներկայացված են ստորև գծապատկերներում:</w:t>
      </w:r>
    </w:p>
    <w:p w14:paraId="5FE4D0CB" w14:textId="77777777" w:rsidR="00957A78" w:rsidRPr="003D0A2D" w:rsidRDefault="00957A78" w:rsidP="00957A78">
      <w:pPr>
        <w:spacing w:after="0"/>
        <w:jc w:val="both"/>
        <w:rPr>
          <w:b/>
          <w:i/>
          <w:sz w:val="20"/>
          <w:lang w:val="hy-AM"/>
        </w:rPr>
      </w:pPr>
    </w:p>
    <w:p w14:paraId="0215A436" w14:textId="77777777" w:rsidR="009E3FBA" w:rsidRDefault="009E3FBA">
      <w:pPr>
        <w:rPr>
          <w:b/>
          <w:i/>
          <w:sz w:val="20"/>
          <w:lang w:val="hy-AM"/>
        </w:rPr>
      </w:pPr>
      <w:r>
        <w:rPr>
          <w:b/>
          <w:i/>
          <w:sz w:val="20"/>
          <w:lang w:val="hy-AM"/>
        </w:rPr>
        <w:br w:type="page"/>
      </w:r>
    </w:p>
    <w:p w14:paraId="682AD91B" w14:textId="019667B8" w:rsidR="00957A78" w:rsidRPr="003D0A2D" w:rsidRDefault="00957A78" w:rsidP="00957A78">
      <w:pPr>
        <w:spacing w:after="0"/>
        <w:jc w:val="both"/>
        <w:rPr>
          <w:sz w:val="18"/>
          <w:lang w:val="hy-AM"/>
        </w:rPr>
      </w:pPr>
      <w:r w:rsidRPr="003D0A2D">
        <w:rPr>
          <w:b/>
          <w:i/>
          <w:sz w:val="20"/>
          <w:lang w:val="hy-AM"/>
        </w:rPr>
        <w:t xml:space="preserve">Գծապատկեր 12. </w:t>
      </w:r>
      <w:r w:rsidRPr="003D0A2D">
        <w:rPr>
          <w:i/>
          <w:sz w:val="20"/>
          <w:lang w:val="hy-AM"/>
        </w:rPr>
        <w:t>«Հարկումից հետո</w:t>
      </w:r>
      <w:r w:rsidRPr="003D0A2D">
        <w:rPr>
          <w:b/>
          <w:i/>
          <w:sz w:val="20"/>
          <w:lang w:val="hy-AM"/>
        </w:rPr>
        <w:t xml:space="preserve"> </w:t>
      </w:r>
      <w:r w:rsidRPr="003D0A2D">
        <w:rPr>
          <w:i/>
          <w:sz w:val="20"/>
          <w:lang w:val="hy-AM"/>
        </w:rPr>
        <w:t xml:space="preserve">զուտ շահույթ/վնաս» (NPAT) </w:t>
      </w:r>
      <w:r w:rsidRPr="00D97733">
        <w:rPr>
          <w:i/>
          <w:sz w:val="20"/>
          <w:lang w:val="hy-AM"/>
        </w:rPr>
        <w:t xml:space="preserve">համակցված </w:t>
      </w:r>
      <w:r w:rsidRPr="003D0A2D">
        <w:rPr>
          <w:i/>
          <w:sz w:val="20"/>
          <w:lang w:val="hy-AM"/>
        </w:rPr>
        <w:t xml:space="preserve">ցուցանիշի տարբերությունը բազային և համակցված շոկային սցենարների միջև, մլն ՀՀ դրամ </w:t>
      </w:r>
    </w:p>
    <w:p w14:paraId="4ED7C716" w14:textId="77777777" w:rsidR="00957A78" w:rsidRPr="00D97733" w:rsidRDefault="00957A78" w:rsidP="00957A78">
      <w:pPr>
        <w:spacing w:after="0"/>
        <w:jc w:val="both"/>
        <w:rPr>
          <w:sz w:val="20"/>
          <w:lang w:val="hy-AM"/>
        </w:rPr>
      </w:pPr>
      <w:r w:rsidRPr="00D97733">
        <w:rPr>
          <w:noProof/>
        </w:rPr>
        <w:drawing>
          <wp:anchor distT="0" distB="0" distL="114300" distR="114300" simplePos="0" relativeHeight="251936768" behindDoc="0" locked="0" layoutInCell="1" allowOverlap="1" wp14:anchorId="724C048A" wp14:editId="0504531C">
            <wp:simplePos x="0" y="0"/>
            <wp:positionH relativeFrom="margin">
              <wp:posOffset>19050</wp:posOffset>
            </wp:positionH>
            <wp:positionV relativeFrom="paragraph">
              <wp:posOffset>170815</wp:posOffset>
            </wp:positionV>
            <wp:extent cx="3152140" cy="2238375"/>
            <wp:effectExtent l="0" t="0" r="0" b="9525"/>
            <wp:wrapSquare wrapText="bothSides"/>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7">
                      <a:extLst>
                        <a:ext uri="{28A0092B-C50C-407E-A947-70E740481C1C}">
                          <a14:useLocalDpi xmlns:a14="http://schemas.microsoft.com/office/drawing/2010/main" val="0"/>
                        </a:ext>
                      </a:extLst>
                    </a:blip>
                    <a:srcRect l="10327" t="9440" r="9466" b="7080"/>
                    <a:stretch/>
                  </pic:blipFill>
                  <pic:spPr bwMode="auto">
                    <a:xfrm>
                      <a:off x="0" y="0"/>
                      <a:ext cx="3152140" cy="22383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D97733">
        <w:rPr>
          <w:sz w:val="20"/>
          <w:lang w:val="hy-AM"/>
        </w:rPr>
        <w:t>Ցածր տնտեսական աճի, արժույթի արժեզրկման և տոկոսադրույքի բարձրացման համադրությունը զգալի ազդեցություն ունի ընկերությունների «Հարկումից հետո զուտ շահույթ/վնաս» (NPAT) ցուցանիշի վրա։ Համակցված շոկերի առավելագույն շեղման ժամանակահատվածում՝ 2027թ.-ին,</w:t>
      </w:r>
      <w:r w:rsidRPr="00D97733">
        <w:rPr>
          <w:i/>
          <w:sz w:val="20"/>
          <w:lang w:val="hy-AM"/>
        </w:rPr>
        <w:t xml:space="preserve"> </w:t>
      </w:r>
      <w:r w:rsidRPr="00D97733">
        <w:rPr>
          <w:sz w:val="20"/>
          <w:lang w:val="hy-AM"/>
        </w:rPr>
        <w:t>բազային ցուցանիշի համեմատ կանխատեսվող «Հարկումից հետո զուտ շահույթ/վնաս» ցուցանիշը «Հայկական ատոմային էլեկտրակայան» ՓԲԸ-ի համար կրճատվում է 4,775.9 մլն ՀՀ դրամով, իսկ «Բարձրավոլտ էլեկտրացանցեր» ՓԲԸ-ի համար՝ 9,792.6 մլն ՀՀ դրամով:</w:t>
      </w:r>
    </w:p>
    <w:p w14:paraId="46FD6E82" w14:textId="77777777" w:rsidR="00957A78" w:rsidRPr="00D97733" w:rsidRDefault="00957A78" w:rsidP="00957A78">
      <w:pPr>
        <w:spacing w:after="0"/>
        <w:jc w:val="both"/>
        <w:rPr>
          <w:sz w:val="20"/>
          <w:lang w:val="hy-AM"/>
        </w:rPr>
      </w:pPr>
      <w:r w:rsidRPr="00D97733">
        <w:rPr>
          <w:b/>
          <w:i/>
          <w:sz w:val="20"/>
          <w:lang w:val="hy-AM"/>
        </w:rPr>
        <w:t>Գծապատկեր</w:t>
      </w:r>
      <w:r>
        <w:rPr>
          <w:b/>
          <w:i/>
          <w:sz w:val="20"/>
          <w:lang w:val="hy-AM"/>
        </w:rPr>
        <w:t xml:space="preserve"> 13</w:t>
      </w:r>
      <w:r w:rsidRPr="00D97733">
        <w:rPr>
          <w:b/>
          <w:i/>
          <w:sz w:val="20"/>
          <w:lang w:val="hy-AM"/>
        </w:rPr>
        <w:t xml:space="preserve">. </w:t>
      </w:r>
      <w:r w:rsidRPr="00D97733">
        <w:rPr>
          <w:i/>
          <w:sz w:val="20"/>
          <w:lang w:val="hy-AM"/>
        </w:rPr>
        <w:t xml:space="preserve">«Զուտ ակտիվների արժեք» (Net Worth) համակցված ցուցանիշի տարբերությունը բազային և համակցված շոկային սցենարների միջև, մլն ՀՀ դրամ </w:t>
      </w:r>
    </w:p>
    <w:p w14:paraId="03855110" w14:textId="77777777" w:rsidR="00957A78" w:rsidRPr="00D97733" w:rsidRDefault="00957A78" w:rsidP="00957A78">
      <w:pPr>
        <w:spacing w:after="0"/>
        <w:jc w:val="both"/>
        <w:rPr>
          <w:sz w:val="20"/>
          <w:lang w:val="hy-AM"/>
        </w:rPr>
      </w:pPr>
      <w:r w:rsidRPr="00D97733">
        <w:rPr>
          <w:noProof/>
        </w:rPr>
        <w:drawing>
          <wp:anchor distT="0" distB="0" distL="114300" distR="114300" simplePos="0" relativeHeight="251937792" behindDoc="0" locked="0" layoutInCell="1" allowOverlap="1" wp14:anchorId="4FEF61DA" wp14:editId="2D89C75B">
            <wp:simplePos x="0" y="0"/>
            <wp:positionH relativeFrom="margin">
              <wp:align>left</wp:align>
            </wp:positionH>
            <wp:positionV relativeFrom="paragraph">
              <wp:posOffset>41275</wp:posOffset>
            </wp:positionV>
            <wp:extent cx="3174365" cy="1895475"/>
            <wp:effectExtent l="0" t="0" r="6985" b="9525"/>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8">
                      <a:extLst>
                        <a:ext uri="{28A0092B-C50C-407E-A947-70E740481C1C}">
                          <a14:useLocalDpi xmlns:a14="http://schemas.microsoft.com/office/drawing/2010/main" val="0"/>
                        </a:ext>
                      </a:extLst>
                    </a:blip>
                    <a:srcRect l="7206" t="5507" r="10369" b="13334"/>
                    <a:stretch/>
                  </pic:blipFill>
                  <pic:spPr bwMode="auto">
                    <a:xfrm>
                      <a:off x="0" y="0"/>
                      <a:ext cx="3174365" cy="18954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D97733">
        <w:rPr>
          <w:sz w:val="20"/>
          <w:lang w:val="hy-AM"/>
        </w:rPr>
        <w:t>Համակցված շոկային սցենարի դեպքում «Հայկական ատոմային էլեկտրակայան» ՓԲԸ-ի «Զուտ ակտիվների արժեք»-ը (Net Worth)</w:t>
      </w:r>
      <w:r w:rsidRPr="00D97733">
        <w:rPr>
          <w:i/>
          <w:sz w:val="20"/>
          <w:lang w:val="hy-AM"/>
        </w:rPr>
        <w:t xml:space="preserve"> </w:t>
      </w:r>
      <w:r w:rsidRPr="00D97733">
        <w:rPr>
          <w:sz w:val="20"/>
          <w:lang w:val="hy-AM"/>
        </w:rPr>
        <w:t>2027թ.-ին նվազում է 4,839.0 մլն ՀՀ դրամով՝ բազային սցենարի համեմատ, իսկ «Բարձրավոլտ էլեկտրացանցեր» ՓԲԸ-ի մոտ՝ 10,107.7 մլն ՀՀ դրամով:</w:t>
      </w:r>
    </w:p>
    <w:p w14:paraId="2C839281" w14:textId="77777777" w:rsidR="00957A78" w:rsidRPr="00D97733" w:rsidRDefault="00957A78" w:rsidP="00957A78">
      <w:pPr>
        <w:spacing w:after="0"/>
        <w:jc w:val="both"/>
        <w:rPr>
          <w:lang w:val="hy-AM"/>
        </w:rPr>
      </w:pPr>
      <w:r w:rsidRPr="00D97733">
        <w:rPr>
          <w:lang w:val="hy-AM"/>
        </w:rPr>
        <w:t xml:space="preserve"> </w:t>
      </w:r>
    </w:p>
    <w:p w14:paraId="4E982179" w14:textId="77777777" w:rsidR="00957A78" w:rsidRPr="00D97733" w:rsidRDefault="00957A78" w:rsidP="00957A78">
      <w:pPr>
        <w:spacing w:after="0"/>
        <w:jc w:val="both"/>
        <w:rPr>
          <w:lang w:val="hy-AM"/>
        </w:rPr>
      </w:pPr>
    </w:p>
    <w:p w14:paraId="3D490B27" w14:textId="77777777" w:rsidR="00957A78" w:rsidRPr="00E226F3" w:rsidRDefault="00957A78" w:rsidP="00957A78">
      <w:pPr>
        <w:spacing w:after="0"/>
        <w:jc w:val="both"/>
        <w:rPr>
          <w:lang w:val="hy-AM"/>
        </w:rPr>
      </w:pPr>
    </w:p>
    <w:p w14:paraId="363DBC19" w14:textId="77777777" w:rsidR="00957A78" w:rsidRDefault="00957A78" w:rsidP="00957A78">
      <w:pPr>
        <w:spacing w:after="0"/>
        <w:jc w:val="both"/>
        <w:rPr>
          <w:lang w:val="hy-AM"/>
        </w:rPr>
      </w:pPr>
    </w:p>
    <w:p w14:paraId="7965D841" w14:textId="77777777" w:rsidR="00957A78" w:rsidRPr="00D97733" w:rsidRDefault="00957A78" w:rsidP="00957A78">
      <w:pPr>
        <w:spacing w:after="0"/>
        <w:jc w:val="both"/>
        <w:rPr>
          <w:i/>
          <w:sz w:val="20"/>
          <w:lang w:val="hy-AM"/>
        </w:rPr>
      </w:pPr>
      <w:r w:rsidRPr="00D97733">
        <w:rPr>
          <w:b/>
          <w:i/>
          <w:sz w:val="20"/>
          <w:lang w:val="hy-AM"/>
        </w:rPr>
        <w:t>Գծապատկեր</w:t>
      </w:r>
      <w:r>
        <w:rPr>
          <w:b/>
          <w:i/>
          <w:sz w:val="20"/>
          <w:lang w:val="hy-AM"/>
        </w:rPr>
        <w:t xml:space="preserve"> 14</w:t>
      </w:r>
      <w:r w:rsidRPr="00D97733">
        <w:rPr>
          <w:b/>
          <w:i/>
          <w:sz w:val="20"/>
          <w:lang w:val="hy-AM"/>
        </w:rPr>
        <w:t xml:space="preserve">. </w:t>
      </w:r>
      <w:r w:rsidRPr="00D97733">
        <w:rPr>
          <w:i/>
          <w:sz w:val="20"/>
          <w:lang w:val="hy-AM"/>
        </w:rPr>
        <w:t xml:space="preserve">«Սեփական կապիտալի եկամտաբերություն» (ROE) համակցված ցուցանիշի տարբերությունը բազային և համակցված շոկային սցենարների միջև, % </w:t>
      </w:r>
    </w:p>
    <w:p w14:paraId="53263943" w14:textId="77777777" w:rsidR="00957A78" w:rsidRPr="00D97733" w:rsidRDefault="00957A78" w:rsidP="00957A78">
      <w:pPr>
        <w:spacing w:after="0"/>
        <w:jc w:val="both"/>
        <w:rPr>
          <w:lang w:val="hy-AM"/>
        </w:rPr>
      </w:pPr>
      <w:r w:rsidRPr="00D97733">
        <w:rPr>
          <w:b/>
          <w:noProof/>
        </w:rPr>
        <w:drawing>
          <wp:anchor distT="0" distB="0" distL="114300" distR="114300" simplePos="0" relativeHeight="251938816" behindDoc="0" locked="0" layoutInCell="1" allowOverlap="1" wp14:anchorId="19B1BBC3" wp14:editId="527CE92D">
            <wp:simplePos x="0" y="0"/>
            <wp:positionH relativeFrom="column">
              <wp:posOffset>0</wp:posOffset>
            </wp:positionH>
            <wp:positionV relativeFrom="paragraph">
              <wp:posOffset>20955</wp:posOffset>
            </wp:positionV>
            <wp:extent cx="3343275" cy="1965353"/>
            <wp:effectExtent l="0" t="0" r="0" b="0"/>
            <wp:wrapSquare wrapText="bothSides"/>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9">
                      <a:extLst>
                        <a:ext uri="{28A0092B-C50C-407E-A947-70E740481C1C}">
                          <a14:useLocalDpi xmlns:a14="http://schemas.microsoft.com/office/drawing/2010/main" val="0"/>
                        </a:ext>
                      </a:extLst>
                    </a:blip>
                    <a:srcRect l="10894" t="11181" r="23036" b="19955"/>
                    <a:stretch/>
                  </pic:blipFill>
                  <pic:spPr bwMode="auto">
                    <a:xfrm>
                      <a:off x="0" y="0"/>
                      <a:ext cx="3343275" cy="196535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D97733">
        <w:rPr>
          <w:sz w:val="20"/>
          <w:lang w:val="hy-AM"/>
        </w:rPr>
        <w:t>Համակցված շոկի պայմաններում «Սեփական կապիտալի եկամտաբերություն» (ROE) ցուցանիշը առավելագույն շեղման տարում «Հայկական ատոմային էլեկտրակայան» ՓԲԸ-ի մոտ նվազում է 14.37%-ով՝ բազային սցենարի համեմատ, իսկ «Բարձրավոլտ էլեկտրացանցեր» ՓԲԸ-ի մոտ՝ 21.68%-ով: Հաջորդիվ մոդելավորված տարիներին նշված ցուցանիշը դրսևորում է աճման միտումներ</w:t>
      </w:r>
      <w:r w:rsidRPr="00D97733">
        <w:rPr>
          <w:lang w:val="hy-AM"/>
        </w:rPr>
        <w:t>:</w:t>
      </w:r>
    </w:p>
    <w:p w14:paraId="7C6F9EB8" w14:textId="77777777" w:rsidR="00957A78" w:rsidRDefault="00957A78" w:rsidP="00957A78">
      <w:pPr>
        <w:spacing w:after="0"/>
        <w:rPr>
          <w:lang w:val="hy-AM"/>
        </w:rPr>
      </w:pPr>
    </w:p>
    <w:p w14:paraId="612901D0" w14:textId="77777777" w:rsidR="00957A78" w:rsidRDefault="00957A78" w:rsidP="00957A78">
      <w:pPr>
        <w:spacing w:after="0"/>
        <w:rPr>
          <w:lang w:val="hy-AM"/>
        </w:rPr>
      </w:pPr>
    </w:p>
    <w:p w14:paraId="7D3763E6" w14:textId="77777777" w:rsidR="00957A78" w:rsidRPr="00E226F3" w:rsidRDefault="00957A78" w:rsidP="00957A78">
      <w:pPr>
        <w:spacing w:after="0"/>
        <w:rPr>
          <w:lang w:val="hy-AM"/>
        </w:rPr>
      </w:pPr>
    </w:p>
    <w:p w14:paraId="51005881" w14:textId="11FE429B" w:rsidR="00957A78" w:rsidRPr="00E0402C" w:rsidRDefault="00957A78" w:rsidP="00957A78">
      <w:pPr>
        <w:pBdr>
          <w:top w:val="nil"/>
          <w:left w:val="nil"/>
          <w:bottom w:val="nil"/>
          <w:right w:val="nil"/>
          <w:between w:val="nil"/>
        </w:pBdr>
        <w:spacing w:after="0"/>
        <w:rPr>
          <w:b/>
          <w:lang w:val="hy-AM"/>
        </w:rPr>
      </w:pPr>
      <w:r w:rsidRPr="00E226F3">
        <w:rPr>
          <w:b/>
          <w:lang w:val="hy-AM"/>
        </w:rPr>
        <w:t>Եզրակացություններ</w:t>
      </w:r>
    </w:p>
    <w:p w14:paraId="155020B6" w14:textId="77777777" w:rsidR="00957A78" w:rsidRPr="00D97733" w:rsidRDefault="00957A78" w:rsidP="00957A78">
      <w:pPr>
        <w:pBdr>
          <w:top w:val="nil"/>
          <w:left w:val="nil"/>
          <w:bottom w:val="nil"/>
          <w:right w:val="nil"/>
          <w:between w:val="nil"/>
        </w:pBdr>
        <w:spacing w:after="0"/>
        <w:jc w:val="both"/>
        <w:rPr>
          <w:lang w:val="hy-AM"/>
        </w:rPr>
      </w:pPr>
      <w:r w:rsidRPr="00D97733">
        <w:rPr>
          <w:lang w:val="hy-AM"/>
        </w:rPr>
        <w:t>Ներկայացված վերլուծությունը ընդգծում է, որ արտարժութային ռիսկը դիտարկվածներից ներկայումս ընկերությունների առջև ծառացած ամենաէական մակրոտնտեսական ռիսկն է՝ հաշվի առնելով, որ ընկերությունների վարկային պորտֆելի նշանակալի մասը արտահայտված է արտարժույթով:</w:t>
      </w:r>
    </w:p>
    <w:p w14:paraId="3E03A369" w14:textId="77777777" w:rsidR="00957A78" w:rsidRPr="00D97733" w:rsidRDefault="00957A78" w:rsidP="00957A78">
      <w:pPr>
        <w:spacing w:after="0"/>
        <w:jc w:val="both"/>
        <w:rPr>
          <w:lang w:val="hy-AM"/>
        </w:rPr>
      </w:pPr>
      <w:r w:rsidRPr="00D97733">
        <w:rPr>
          <w:lang w:val="hy-AM"/>
        </w:rPr>
        <w:t>Վերլուծությունը ցույց է տալիս, որ դիտարկված ընկերությունները շատ ավելի քիչ են արձագանքում տնտեսական անկումներին և տոկոսադրույքների բարձրացմանը, քան արժույթի արժեզրկմանը։ Սակայն ենթադրվում է, որ տնտեսական անկումները և տոկոսադրույքների աճը կկապակցվեն և կհամակցվեն արժույթի արժեզրկման հետ:</w:t>
      </w:r>
    </w:p>
    <w:p w14:paraId="2CA0BCF3" w14:textId="77777777" w:rsidR="00957A78" w:rsidRDefault="00957A78" w:rsidP="00957A78">
      <w:pPr>
        <w:spacing w:after="0"/>
        <w:jc w:val="both"/>
        <w:rPr>
          <w:b/>
          <w:lang w:val="hy-AM"/>
        </w:rPr>
      </w:pPr>
    </w:p>
    <w:p w14:paraId="2D7D8CE5" w14:textId="77777777" w:rsidR="00957A78" w:rsidRPr="00A86E0B" w:rsidRDefault="00957A78" w:rsidP="00957A78">
      <w:pPr>
        <w:spacing w:after="0"/>
        <w:jc w:val="both"/>
        <w:rPr>
          <w:lang w:val="hy-AM"/>
        </w:rPr>
      </w:pPr>
      <w:r w:rsidRPr="00A86E0B">
        <w:rPr>
          <w:lang w:val="hy-AM"/>
        </w:rPr>
        <w:t>Հանրային միջոցների արդյունավետ կառավարման, թափանցիկության, հաշվետվողականության և մրցակցային հավասար դաշտի երաշխավորման նպատակով</w:t>
      </w:r>
      <w:r>
        <w:rPr>
          <w:lang w:val="hy-AM"/>
        </w:rPr>
        <w:t>, ինչպես նաև</w:t>
      </w:r>
      <w:r w:rsidRPr="00A86E0B">
        <w:rPr>
          <w:lang w:val="hy-AM"/>
        </w:rPr>
        <w:t xml:space="preserve"> </w:t>
      </w:r>
      <w:r>
        <w:rPr>
          <w:lang w:val="hy-AM"/>
        </w:rPr>
        <w:t>հ</w:t>
      </w:r>
      <w:r w:rsidRPr="00A86E0B">
        <w:rPr>
          <w:lang w:val="hy-AM"/>
        </w:rPr>
        <w:t xml:space="preserve">իմք ընդունելով </w:t>
      </w:r>
      <w:r>
        <w:rPr>
          <w:lang w:val="hy-AM"/>
        </w:rPr>
        <w:t>«</w:t>
      </w:r>
      <w:r w:rsidRPr="00A86E0B">
        <w:rPr>
          <w:lang w:val="hy-AM"/>
        </w:rPr>
        <w:t>Պետական մասնակցությամբ ընկերությունների սեփականության քաղաքականության վերաբերյալ</w:t>
      </w:r>
      <w:r>
        <w:rPr>
          <w:lang w:val="hy-AM"/>
        </w:rPr>
        <w:t>»</w:t>
      </w:r>
      <w:r w:rsidRPr="00A86E0B">
        <w:rPr>
          <w:lang w:val="hy-AM"/>
        </w:rPr>
        <w:t xml:space="preserve"> ԱՄՀ տեխնիկական աջակցության, ինչպես նաև ԱԶԲ-ի հետ համագործակցության արդյունքները՝ մշակվել է «Պ</w:t>
      </w:r>
      <w:r w:rsidRPr="0014325A">
        <w:rPr>
          <w:lang w:val="hy-AM"/>
        </w:rPr>
        <w:t>ՄԸ և մինորիտար մասնակցությամբ ընկերությունների</w:t>
      </w:r>
      <w:r w:rsidRPr="00A86E0B">
        <w:rPr>
          <w:lang w:val="hy-AM"/>
        </w:rPr>
        <w:t xml:space="preserve"> սեփականության քաղաքականության </w:t>
      </w:r>
      <w:r w:rsidRPr="0014325A">
        <w:rPr>
          <w:lang w:val="hy-AM"/>
        </w:rPr>
        <w:t>մասին</w:t>
      </w:r>
      <w:r w:rsidRPr="00A86E0B">
        <w:rPr>
          <w:lang w:val="hy-AM"/>
        </w:rPr>
        <w:t>» Կառավարության որոշման նախագի</w:t>
      </w:r>
      <w:r w:rsidRPr="0014325A">
        <w:rPr>
          <w:lang w:val="hy-AM"/>
        </w:rPr>
        <w:t>ծ</w:t>
      </w:r>
      <w:r w:rsidRPr="00A86E0B">
        <w:rPr>
          <w:lang w:val="hy-AM"/>
        </w:rPr>
        <w:t xml:space="preserve">ը։ </w:t>
      </w:r>
    </w:p>
    <w:p w14:paraId="44930622" w14:textId="77777777" w:rsidR="00957A78" w:rsidRPr="00386778" w:rsidRDefault="00957A78" w:rsidP="00957A78">
      <w:pPr>
        <w:spacing w:after="0"/>
        <w:jc w:val="both"/>
        <w:rPr>
          <w:lang w:val="hy-AM"/>
        </w:rPr>
      </w:pPr>
      <w:r w:rsidRPr="00386778">
        <w:rPr>
          <w:lang w:val="hy-AM"/>
        </w:rPr>
        <w:t xml:space="preserve">Ֆինանսների նախարարությունում </w:t>
      </w:r>
      <w:r w:rsidRPr="00C4120B">
        <w:rPr>
          <w:lang w:val="hy-AM"/>
        </w:rPr>
        <w:t>մշակվել է</w:t>
      </w:r>
      <w:r w:rsidRPr="00386778">
        <w:rPr>
          <w:lang w:val="hy-AM"/>
        </w:rPr>
        <w:t xml:space="preserve"> Պետական մասնակցությամբ ընկերությունների և Պետական ոչ առևտրային կազմակերպությունների ֆինանսական հաշվետվությունների հավաքագրման և հրապարակման FERST էլեկտրոնային </w:t>
      </w:r>
      <w:r w:rsidRPr="00C4120B">
        <w:rPr>
          <w:lang w:val="hy-AM"/>
        </w:rPr>
        <w:t xml:space="preserve">թվային </w:t>
      </w:r>
      <w:r w:rsidRPr="00386778">
        <w:rPr>
          <w:lang w:val="hy-AM"/>
        </w:rPr>
        <w:t xml:space="preserve">հարթակը, որը </w:t>
      </w:r>
      <w:r w:rsidRPr="00C4120B">
        <w:rPr>
          <w:lang w:val="hy-AM"/>
        </w:rPr>
        <w:t>նպատակ ունի բարձրացնելու</w:t>
      </w:r>
      <w:r w:rsidRPr="00386778">
        <w:rPr>
          <w:lang w:val="hy-AM"/>
        </w:rPr>
        <w:t xml:space="preserve"> ՊՄԸ-ների հաշվետվողականությունը և թափանցիկությունը՝ միաժամանակ կրճատելով հաշվետվությունների ներկայացման վարչարարությունը</w:t>
      </w:r>
      <w:r w:rsidRPr="00C4120B">
        <w:rPr>
          <w:lang w:val="hy-AM"/>
        </w:rPr>
        <w:t>. ներկայումս համակարգը գտնվում է պիլոտային փորձարկման փուլում</w:t>
      </w:r>
      <w:r w:rsidRPr="00386778">
        <w:rPr>
          <w:lang w:val="hy-AM"/>
        </w:rPr>
        <w:t>:</w:t>
      </w:r>
    </w:p>
    <w:p w14:paraId="575F1121" w14:textId="77777777" w:rsidR="00957A78" w:rsidRPr="00386778" w:rsidRDefault="00957A78" w:rsidP="00957A78">
      <w:pPr>
        <w:jc w:val="both"/>
        <w:rPr>
          <w:lang w:val="hy-AM"/>
        </w:rPr>
      </w:pPr>
      <w:r>
        <w:rPr>
          <w:lang w:val="hy-AM"/>
        </w:rPr>
        <w:t>Ը</w:t>
      </w:r>
      <w:r w:rsidRPr="00386778">
        <w:rPr>
          <w:lang w:val="hy-AM"/>
        </w:rPr>
        <w:t xml:space="preserve">նթացքում է </w:t>
      </w:r>
      <w:r>
        <w:rPr>
          <w:lang w:val="hy-AM"/>
        </w:rPr>
        <w:t xml:space="preserve">նաև </w:t>
      </w:r>
      <w:r w:rsidRPr="00386778">
        <w:rPr>
          <w:lang w:val="hy-AM"/>
        </w:rPr>
        <w:t xml:space="preserve">«Հայաստանի պետական հետաքրքրությունների ֆոնդ» ՓԲԸ-ի գործունեությունը դադարեցնելու գործընթացը: </w:t>
      </w:r>
      <w:r>
        <w:rPr>
          <w:lang w:val="hy-AM"/>
        </w:rPr>
        <w:t xml:space="preserve">Նշենք, որ </w:t>
      </w:r>
      <w:r w:rsidRPr="00386778">
        <w:rPr>
          <w:lang w:val="hy-AM"/>
        </w:rPr>
        <w:t>ՀՀ ֆինանսների նախարարություն</w:t>
      </w:r>
      <w:r>
        <w:rPr>
          <w:lang w:val="hy-AM"/>
        </w:rPr>
        <w:t>ը լուծարման գործընթացում</w:t>
      </w:r>
      <w:r w:rsidRPr="00386778">
        <w:rPr>
          <w:lang w:val="hy-AM"/>
        </w:rPr>
        <w:t xml:space="preserve"> ապահով</w:t>
      </w:r>
      <w:r>
        <w:rPr>
          <w:lang w:val="hy-AM"/>
        </w:rPr>
        <w:t>ում է</w:t>
      </w:r>
      <w:r w:rsidRPr="00386778">
        <w:rPr>
          <w:lang w:val="hy-AM"/>
        </w:rPr>
        <w:t xml:space="preserve"> անհրաժեշտ աջակցություն՝ </w:t>
      </w:r>
      <w:r>
        <w:rPr>
          <w:lang w:val="hy-AM"/>
        </w:rPr>
        <w:t xml:space="preserve">ներկայացնելով առաջարկներ </w:t>
      </w:r>
      <w:r w:rsidRPr="00386778">
        <w:rPr>
          <w:lang w:val="hy-AM"/>
        </w:rPr>
        <w:t xml:space="preserve">ֆիսկալ ռիսկերը նվազեցնելու ուղղությամբ:      </w:t>
      </w:r>
    </w:p>
    <w:p w14:paraId="0E8EDC54" w14:textId="77777777" w:rsidR="00957A78" w:rsidRPr="00E77731" w:rsidRDefault="00957A78" w:rsidP="00957A78">
      <w:pPr>
        <w:pStyle w:val="TOC4"/>
        <w:rPr>
          <w:lang w:val="hy-AM"/>
        </w:rPr>
      </w:pPr>
      <w:bookmarkStart w:id="517" w:name="_Toc170906939"/>
      <w:bookmarkStart w:id="518" w:name="_Toc170906567"/>
      <w:r w:rsidRPr="00E77731">
        <w:rPr>
          <w:lang w:val="hy-AM"/>
        </w:rPr>
        <w:t>3.1</w:t>
      </w:r>
      <w:r w:rsidRPr="00E77731">
        <w:rPr>
          <w:rFonts w:ascii="Cambria Math" w:hAnsi="Cambria Math" w:cs="Cambria Math"/>
          <w:lang w:val="hy-AM"/>
        </w:rPr>
        <w:t>․</w:t>
      </w:r>
      <w:r w:rsidRPr="00E77731">
        <w:rPr>
          <w:lang w:val="hy-AM"/>
        </w:rPr>
        <w:t xml:space="preserve">2 ԲՅՈՒՋԵՏԱՅԻՆ ՎԱՐԿԵՐԻՑ </w:t>
      </w:r>
      <w:r>
        <w:rPr>
          <w:lang w:val="hy-AM"/>
        </w:rPr>
        <w:t>ԲԽՈՂ</w:t>
      </w:r>
      <w:r w:rsidRPr="00E77731">
        <w:rPr>
          <w:lang w:val="hy-AM"/>
        </w:rPr>
        <w:t xml:space="preserve"> ՀԱՐԿԱԲՅՈՒՋԵՏԱՅԻՆ ՌԻՍԿԵՐ</w:t>
      </w:r>
      <w:bookmarkEnd w:id="517"/>
      <w:bookmarkEnd w:id="518"/>
    </w:p>
    <w:p w14:paraId="19A72BCE" w14:textId="77777777" w:rsidR="00957A78" w:rsidRPr="00DC4A13" w:rsidRDefault="00957A78" w:rsidP="00957A78">
      <w:pPr>
        <w:spacing w:after="0"/>
        <w:jc w:val="both"/>
        <w:rPr>
          <w:color w:val="FF0000"/>
          <w:lang w:val="hy-AM"/>
        </w:rPr>
      </w:pPr>
      <w:bookmarkStart w:id="519" w:name="_Toc170906940"/>
      <w:bookmarkStart w:id="520" w:name="_Toc170906568"/>
      <w:r w:rsidRPr="00036D4F">
        <w:rPr>
          <w:lang w:val="hy-AM"/>
        </w:rPr>
        <w:t xml:space="preserve">Այս բաժնում վերլուծվում </w:t>
      </w:r>
      <w:r>
        <w:rPr>
          <w:lang w:val="hy-AM"/>
        </w:rPr>
        <w:t>է</w:t>
      </w:r>
      <w:r w:rsidRPr="00036D4F">
        <w:rPr>
          <w:lang w:val="hy-AM"/>
        </w:rPr>
        <w:t xml:space="preserve"> տրամադրված բյուջետային վարկերից և երաշխիքներից բխող ուղղակի ու ածանցված ֆիսկալ ռիսկերի մակարդակը, ներկայացվում՝ բյուջետային վարկերի և երաշխիքների պորտֆելնե</w:t>
      </w:r>
      <w:r w:rsidRPr="00050678">
        <w:rPr>
          <w:lang w:val="hy-AM"/>
        </w:rPr>
        <w:t xml:space="preserve">րի վերլուծական պատկերը: </w:t>
      </w:r>
    </w:p>
    <w:p w14:paraId="3D483489" w14:textId="77777777" w:rsidR="00957A78" w:rsidRPr="00157F33" w:rsidRDefault="00957A78" w:rsidP="00957A78">
      <w:pPr>
        <w:spacing w:after="0"/>
        <w:jc w:val="both"/>
        <w:rPr>
          <w:lang w:val="hy-AM"/>
        </w:rPr>
      </w:pPr>
      <w:r w:rsidRPr="00050678">
        <w:rPr>
          <w:lang w:val="hy-AM"/>
        </w:rPr>
        <w:t>Վարկային պորտֆելի իրականացված վերլուծության հիմնական նպատակը պորտֆելի` տարբեր ռիսկերի</w:t>
      </w:r>
      <w:r>
        <w:rPr>
          <w:lang w:val="hy-AM"/>
        </w:rPr>
        <w:t>ց կախվածության</w:t>
      </w:r>
      <w:r w:rsidRPr="00050678">
        <w:rPr>
          <w:lang w:val="hy-AM"/>
        </w:rPr>
        <w:t xml:space="preserve"> աստիճանի գնահատումն է:</w:t>
      </w:r>
    </w:p>
    <w:p w14:paraId="1614362D" w14:textId="77777777" w:rsidR="00957A78" w:rsidRPr="0011008C" w:rsidRDefault="00957A78" w:rsidP="00957A78">
      <w:pPr>
        <w:spacing w:after="0"/>
        <w:jc w:val="both"/>
        <w:rPr>
          <w:sz w:val="24"/>
          <w:szCs w:val="24"/>
          <w:highlight w:val="yellow"/>
          <w:lang w:val="hy-AM"/>
        </w:rPr>
      </w:pPr>
      <w:r w:rsidRPr="00157F33">
        <w:rPr>
          <w:lang w:val="hy-AM"/>
        </w:rPr>
        <w:t xml:space="preserve">2025 թվականի </w:t>
      </w:r>
      <w:r>
        <w:rPr>
          <w:lang w:val="hy-AM"/>
        </w:rPr>
        <w:t>օգոստոսի</w:t>
      </w:r>
      <w:r w:rsidRPr="00157F33">
        <w:rPr>
          <w:lang w:val="hy-AM"/>
        </w:rPr>
        <w:t xml:space="preserve"> </w:t>
      </w:r>
      <w:r>
        <w:rPr>
          <w:lang w:val="hy-AM"/>
        </w:rPr>
        <w:t>31</w:t>
      </w:r>
      <w:r w:rsidRPr="00157F33">
        <w:rPr>
          <w:lang w:val="hy-AM"/>
        </w:rPr>
        <w:t>-ի դրությամբ վարկային պորտֆելի չմարված</w:t>
      </w:r>
      <w:r w:rsidRPr="00036D4F">
        <w:rPr>
          <w:lang w:val="hy-AM"/>
        </w:rPr>
        <w:t xml:space="preserve"> մասի ընդհանուր գումարը կազմել է</w:t>
      </w:r>
      <w:r w:rsidRPr="007001D1">
        <w:rPr>
          <w:lang w:val="hy-AM"/>
        </w:rPr>
        <w:t xml:space="preserve"> 281.1 մլրդ: Հար</w:t>
      </w:r>
      <w:r w:rsidRPr="00036D4F">
        <w:rPr>
          <w:lang w:val="hy-AM"/>
        </w:rPr>
        <w:t>կ է նշել, որ զուգահեռաբար նախորդ տարվա նույն ժամանակահատվածի համեմատ պորտֆելը համալրվել է նոր վարկերով՝ միաժամանակ կրելով փոխարժեքի տատանումները (նախորդ տարվա նույն ժամանակահատվածի նկատմամբ դրամի փոքր-ինչ արժ</w:t>
      </w:r>
      <w:r>
        <w:rPr>
          <w:lang w:val="hy-AM"/>
        </w:rPr>
        <w:t xml:space="preserve">ևորում): </w:t>
      </w:r>
    </w:p>
    <w:p w14:paraId="206F1DFD" w14:textId="77777777" w:rsidR="00957A78" w:rsidRPr="00036D4F" w:rsidRDefault="00957A78" w:rsidP="00957A78">
      <w:pPr>
        <w:spacing w:after="0"/>
        <w:jc w:val="both"/>
        <w:rPr>
          <w:lang w:val="hy-AM"/>
        </w:rPr>
      </w:pPr>
      <w:r w:rsidRPr="005F735A">
        <w:rPr>
          <w:lang w:val="hy-AM"/>
        </w:rPr>
        <w:t xml:space="preserve">2025 թվականի </w:t>
      </w:r>
      <w:r>
        <w:rPr>
          <w:lang w:val="hy-AM"/>
        </w:rPr>
        <w:t>օգոստոսի 31</w:t>
      </w:r>
      <w:r w:rsidRPr="005F735A">
        <w:rPr>
          <w:lang w:val="hy-AM"/>
        </w:rPr>
        <w:t xml:space="preserve">-ի դրությամբ վարկային պորտֆելի գերակշիռ մասը բաժին է </w:t>
      </w:r>
      <w:r w:rsidRPr="00157F33">
        <w:rPr>
          <w:lang w:val="hy-AM"/>
        </w:rPr>
        <w:t>ընկել էներգետիկայի ոլորտին՝ կազմելով</w:t>
      </w:r>
      <w:r w:rsidRPr="005F735A">
        <w:rPr>
          <w:lang w:val="hy-AM"/>
        </w:rPr>
        <w:t xml:space="preserve"> </w:t>
      </w:r>
      <w:r>
        <w:rPr>
          <w:lang w:val="hy-AM"/>
        </w:rPr>
        <w:t xml:space="preserve">շուրջ </w:t>
      </w:r>
      <w:r w:rsidRPr="005F735A">
        <w:rPr>
          <w:lang w:val="hy-AM"/>
        </w:rPr>
        <w:t>7</w:t>
      </w:r>
      <w:r w:rsidRPr="007B3614">
        <w:rPr>
          <w:lang w:val="hy-AM"/>
        </w:rPr>
        <w:t>7</w:t>
      </w:r>
      <w:r w:rsidRPr="005F735A">
        <w:rPr>
          <w:lang w:val="hy-AM"/>
        </w:rPr>
        <w:t>.</w:t>
      </w:r>
      <w:r w:rsidRPr="00C0484D">
        <w:rPr>
          <w:lang w:val="hy-AM"/>
        </w:rPr>
        <w:t>1</w:t>
      </w:r>
      <w:r w:rsidRPr="005F735A">
        <w:rPr>
          <w:lang w:val="hy-AM"/>
        </w:rPr>
        <w:t>%, իսկ հանրագումարային</w:t>
      </w:r>
      <w:r>
        <w:rPr>
          <w:lang w:val="hy-AM"/>
        </w:rPr>
        <w:t>՝</w:t>
      </w:r>
      <w:r w:rsidRPr="005F735A">
        <w:rPr>
          <w:lang w:val="hy-AM"/>
        </w:rPr>
        <w:t xml:space="preserve"> 21</w:t>
      </w:r>
      <w:r w:rsidRPr="007B3614">
        <w:rPr>
          <w:lang w:val="hy-AM"/>
        </w:rPr>
        <w:t>6</w:t>
      </w:r>
      <w:r w:rsidRPr="005F735A">
        <w:rPr>
          <w:lang w:val="hy-AM"/>
        </w:rPr>
        <w:t>.</w:t>
      </w:r>
      <w:r w:rsidRPr="007B3614">
        <w:rPr>
          <w:lang w:val="hy-AM"/>
        </w:rPr>
        <w:t>69</w:t>
      </w:r>
      <w:r w:rsidRPr="005F735A">
        <w:rPr>
          <w:lang w:val="hy-AM"/>
        </w:rPr>
        <w:t xml:space="preserve"> մլրդ ՀՀ դրամ:</w:t>
      </w:r>
    </w:p>
    <w:p w14:paraId="61DE2AE1" w14:textId="77777777" w:rsidR="00957A78" w:rsidRPr="00B47B7D" w:rsidRDefault="00957A78" w:rsidP="00957A78">
      <w:pPr>
        <w:spacing w:after="0"/>
        <w:jc w:val="both"/>
        <w:rPr>
          <w:lang w:val="hy-AM"/>
        </w:rPr>
      </w:pPr>
      <w:r>
        <w:rPr>
          <w:lang w:val="hy-AM"/>
        </w:rPr>
        <w:t>2025</w:t>
      </w:r>
      <w:r w:rsidRPr="00B47B7D">
        <w:rPr>
          <w:lang w:val="hy-AM"/>
        </w:rPr>
        <w:t xml:space="preserve"> թվականի </w:t>
      </w:r>
      <w:r>
        <w:rPr>
          <w:lang w:val="hy-AM"/>
        </w:rPr>
        <w:t>օգոստոսի 31</w:t>
      </w:r>
      <w:r w:rsidRPr="005F735A">
        <w:rPr>
          <w:lang w:val="hy-AM"/>
        </w:rPr>
        <w:t xml:space="preserve">-ի </w:t>
      </w:r>
      <w:r w:rsidRPr="00B47B7D">
        <w:rPr>
          <w:lang w:val="hy-AM"/>
        </w:rPr>
        <w:t>դրությամբ ենթավարկային պայմանագրերով տրամադրված վարկե</w:t>
      </w:r>
      <w:r w:rsidRPr="0051581D">
        <w:rPr>
          <w:lang w:val="hy-AM"/>
        </w:rPr>
        <w:t xml:space="preserve">րը կազմել են ընդհանուր պորտֆելի 59.4%-ը, իսկ բյուջետային վարկերը՝ 40.6%-ը (տես՝ գծապատկեր 15): Հատկանշական է, որ 2025 թվականի օգոստոսի </w:t>
      </w:r>
      <w:r w:rsidRPr="00361E9F">
        <w:rPr>
          <w:color w:val="000000" w:themeColor="text1"/>
          <w:lang w:val="hy-AM"/>
        </w:rPr>
        <w:t>31-ի տվյալներով ՊՄԸ-ներին տրամադրված վարկերի մասնաբաժինը վարկային պորտֆելում կազմել է շուրջ 75.1%:</w:t>
      </w:r>
    </w:p>
    <w:p w14:paraId="231FEDE1" w14:textId="77777777" w:rsidR="00957A78" w:rsidRDefault="00957A78" w:rsidP="00957A78">
      <w:pPr>
        <w:spacing w:after="0" w:line="240" w:lineRule="auto"/>
        <w:rPr>
          <w:b/>
          <w:sz w:val="20"/>
          <w:szCs w:val="24"/>
          <w:lang w:val="hy-AM"/>
        </w:rPr>
      </w:pPr>
    </w:p>
    <w:p w14:paraId="1AF5990C" w14:textId="77777777" w:rsidR="00957A78" w:rsidRPr="00A461D4" w:rsidRDefault="00957A78" w:rsidP="00957A78">
      <w:pPr>
        <w:spacing w:after="200"/>
        <w:rPr>
          <w:b/>
          <w:i/>
          <w:sz w:val="20"/>
          <w:szCs w:val="20"/>
          <w:lang w:val="hy-AM"/>
        </w:rPr>
      </w:pPr>
      <w:r w:rsidRPr="00A461D4">
        <w:rPr>
          <w:b/>
          <w:i/>
          <w:sz w:val="20"/>
          <w:szCs w:val="20"/>
          <w:lang w:val="hy-AM"/>
        </w:rPr>
        <w:t>Գծապատկեր</w:t>
      </w:r>
      <w:r>
        <w:rPr>
          <w:b/>
          <w:i/>
          <w:sz w:val="20"/>
          <w:szCs w:val="20"/>
          <w:lang w:val="hy-AM"/>
        </w:rPr>
        <w:t xml:space="preserve"> 15</w:t>
      </w:r>
      <w:r w:rsidRPr="00A461D4">
        <w:rPr>
          <w:b/>
          <w:i/>
          <w:sz w:val="20"/>
          <w:szCs w:val="20"/>
          <w:lang w:val="hy-AM"/>
        </w:rPr>
        <w:t xml:space="preserve">. </w:t>
      </w:r>
      <w:r w:rsidRPr="00A461D4">
        <w:rPr>
          <w:i/>
          <w:sz w:val="20"/>
          <w:szCs w:val="20"/>
          <w:lang w:val="hy-AM"/>
        </w:rPr>
        <w:t>Վարկային պորտֆելի տարանջատումը ըստ բյուջետային վարկերի և ենթավարկերի</w:t>
      </w:r>
    </w:p>
    <w:p w14:paraId="5AFD1FB3" w14:textId="77777777" w:rsidR="00957A78" w:rsidRPr="002C121C" w:rsidRDefault="00957A78" w:rsidP="00957A78">
      <w:pPr>
        <w:spacing w:after="200"/>
        <w:jc w:val="center"/>
        <w:rPr>
          <w:b/>
          <w:i/>
          <w:color w:val="000000"/>
          <w:lang w:val="hy-AM"/>
          <w14:textFill>
            <w14:solidFill>
              <w14:srgbClr w14:val="000000">
                <w14:alpha w14:val="3000"/>
              </w14:srgbClr>
            </w14:solidFill>
          </w14:textFill>
        </w:rPr>
      </w:pPr>
      <w:r>
        <w:rPr>
          <w:noProof/>
        </w:rPr>
        <w:drawing>
          <wp:inline distT="0" distB="0" distL="0" distR="0" wp14:anchorId="1D0A4C2D" wp14:editId="2F19123F">
            <wp:extent cx="3625215" cy="2333625"/>
            <wp:effectExtent l="0" t="0" r="13335" b="9525"/>
            <wp:docPr id="1545876452" name="Chart 1545876452"/>
            <wp:cNvGraphicFramePr/>
            <a:graphic xmlns:a="http://schemas.openxmlformats.org/drawingml/2006/main">
              <a:graphicData uri="http://schemas.openxmlformats.org/drawingml/2006/chart">
                <c:chart xmlns:c="http://schemas.openxmlformats.org/drawingml/2006/chart" xmlns:r="http://schemas.openxmlformats.org/officeDocument/2006/relationships" r:id="rId110"/>
              </a:graphicData>
            </a:graphic>
          </wp:inline>
        </w:drawing>
      </w:r>
    </w:p>
    <w:p w14:paraId="3BB5F4AA" w14:textId="77777777" w:rsidR="00957A78" w:rsidRPr="00036D4F" w:rsidRDefault="00957A78" w:rsidP="00957A78">
      <w:pPr>
        <w:spacing w:after="0"/>
        <w:jc w:val="both"/>
        <w:rPr>
          <w:lang w:val="hy-AM"/>
        </w:rPr>
      </w:pPr>
      <w:r w:rsidRPr="00036D4F">
        <w:rPr>
          <w:lang w:val="hy-AM"/>
        </w:rPr>
        <w:t>Վարկային պորտֆելի դինամիկայի վերաբերյալ պատկերացում կազմելու համար ստորև՝ Գծապատկեր</w:t>
      </w:r>
      <w:r>
        <w:rPr>
          <w:lang w:val="hy-AM"/>
        </w:rPr>
        <w:t xml:space="preserve"> 16</w:t>
      </w:r>
      <w:r w:rsidRPr="00036D4F">
        <w:rPr>
          <w:lang w:val="hy-AM"/>
        </w:rPr>
        <w:t>–ում, ներկայացնենք վերջինիս տեսակարար կշիռը ՀՆԱ-ում</w:t>
      </w:r>
      <w:r>
        <w:rPr>
          <w:lang w:val="hy-AM"/>
        </w:rPr>
        <w:t>՝</w:t>
      </w:r>
      <w:r w:rsidRPr="00036D4F">
        <w:rPr>
          <w:lang w:val="hy-AM"/>
        </w:rPr>
        <w:t xml:space="preserve"> վերջին տարիների կտրվածքով:</w:t>
      </w:r>
    </w:p>
    <w:p w14:paraId="4E77E10B" w14:textId="77777777" w:rsidR="00957A78" w:rsidRPr="00A461D4" w:rsidRDefault="00957A78" w:rsidP="00957A78">
      <w:pPr>
        <w:spacing w:line="240" w:lineRule="auto"/>
        <w:ind w:right="-630"/>
        <w:rPr>
          <w:i/>
          <w:sz w:val="20"/>
          <w:szCs w:val="20"/>
          <w:lang w:val="hy-AM"/>
        </w:rPr>
      </w:pPr>
      <w:r w:rsidRPr="00A461D4">
        <w:rPr>
          <w:b/>
          <w:i/>
          <w:sz w:val="20"/>
          <w:szCs w:val="20"/>
          <w:lang w:val="hy-AM"/>
        </w:rPr>
        <w:t>Գծապատկեր 1</w:t>
      </w:r>
      <w:r>
        <w:rPr>
          <w:b/>
          <w:i/>
          <w:sz w:val="20"/>
          <w:szCs w:val="20"/>
          <w:lang w:val="hy-AM"/>
        </w:rPr>
        <w:t>6</w:t>
      </w:r>
      <w:r w:rsidRPr="00A461D4">
        <w:rPr>
          <w:b/>
          <w:i/>
          <w:sz w:val="20"/>
          <w:szCs w:val="20"/>
          <w:lang w:val="hy-AM"/>
        </w:rPr>
        <w:t xml:space="preserve">. </w:t>
      </w:r>
      <w:r w:rsidRPr="00A461D4">
        <w:rPr>
          <w:i/>
          <w:sz w:val="20"/>
          <w:szCs w:val="20"/>
          <w:lang w:val="hy-AM"/>
        </w:rPr>
        <w:t>Վարկային պորտֆելը և վերջինիս կշիռը ՀՆԱ-ում (մլրդ, %)</w:t>
      </w:r>
    </w:p>
    <w:p w14:paraId="6801412E" w14:textId="77777777" w:rsidR="00957A78" w:rsidRPr="00255EF6" w:rsidRDefault="00957A78" w:rsidP="00957A78">
      <w:pPr>
        <w:spacing w:line="240" w:lineRule="auto"/>
        <w:ind w:right="-630"/>
        <w:jc w:val="center"/>
        <w:rPr>
          <w:i/>
          <w:lang w:val="hy-AM"/>
        </w:rPr>
      </w:pPr>
      <w:r>
        <w:rPr>
          <w:noProof/>
        </w:rPr>
        <w:drawing>
          <wp:inline distT="0" distB="0" distL="0" distR="0" wp14:anchorId="6FDDC1B1" wp14:editId="295C9618">
            <wp:extent cx="5991225" cy="2743200"/>
            <wp:effectExtent l="0" t="0" r="9525" b="0"/>
            <wp:docPr id="1545876453" name="Chart 1545876453"/>
            <wp:cNvGraphicFramePr/>
            <a:graphic xmlns:a="http://schemas.openxmlformats.org/drawingml/2006/main">
              <a:graphicData uri="http://schemas.openxmlformats.org/drawingml/2006/chart">
                <c:chart xmlns:c="http://schemas.openxmlformats.org/drawingml/2006/chart" xmlns:r="http://schemas.openxmlformats.org/officeDocument/2006/relationships" r:id="rId111"/>
              </a:graphicData>
            </a:graphic>
          </wp:inline>
        </w:drawing>
      </w:r>
    </w:p>
    <w:p w14:paraId="132E67EB" w14:textId="77777777" w:rsidR="00957A78" w:rsidRPr="00B35A3C" w:rsidRDefault="00957A78" w:rsidP="00957A78">
      <w:pPr>
        <w:spacing w:after="0"/>
        <w:jc w:val="both"/>
        <w:rPr>
          <w:lang w:val="hy-AM"/>
        </w:rPr>
      </w:pPr>
      <w:r w:rsidRPr="00B35A3C">
        <w:rPr>
          <w:lang w:val="hy-AM"/>
        </w:rPr>
        <w:t>Ինչպես տեսանելի է գծապատկերից, դիտարկվող տարիներին առավելագույն վարկային պորտֆելի չափն ու կշիռը ՀՆԱ-ում արձանագրվել է 2020 թվականին, որը հետևանք է համավարակի ֆոնին տնտեսական ծրագրերի իրականացման նպատակով տրամադրված նոր վարկերի, ինչպես նաև տվյալ տարում արտարժույթի փոխարժեքի դեպի վեր տատանման: Հարկ է նշել, որ վերջին տարիների վարկային պորտֆելի նվազումը մեծամասամբ պայմանավորված է դրամի արժևորմամբ</w:t>
      </w:r>
      <w:r>
        <w:rPr>
          <w:lang w:val="hy-AM"/>
        </w:rPr>
        <w:t>, իսկ 2024 թվականին՝ նաև տրամադրված որոշ վարկերի մարմամբ</w:t>
      </w:r>
      <w:r w:rsidRPr="00B35A3C">
        <w:rPr>
          <w:lang w:val="hy-AM"/>
        </w:rPr>
        <w:t>:</w:t>
      </w:r>
    </w:p>
    <w:p w14:paraId="76554C8E" w14:textId="77777777" w:rsidR="00957A78" w:rsidRPr="00B35A3C" w:rsidRDefault="00957A78" w:rsidP="00957A78">
      <w:pPr>
        <w:spacing w:after="0"/>
        <w:jc w:val="both"/>
        <w:rPr>
          <w:lang w:val="hy-AM"/>
        </w:rPr>
      </w:pPr>
      <w:r w:rsidRPr="00C80DF6">
        <w:rPr>
          <w:lang w:val="hy-AM"/>
        </w:rPr>
        <w:t>2025 թվականի օգոստոսի 31-ի դրությամբ ընդհանուր վարկային պորտֆելում ՀՀ դրամով տրամադրված վարկերը կազմել են 38.29% կամ 107.64 մլրդ ՀՀ դրամ, ԱՄՆ դոլարով` 79.89 մլրդ ՀՀ դրամ կամ 28.42%, եվրոյով` 13.84% կամ 38.89 մլրդ ՀՀ դրամ, ճապոնական իենով` 17.01% կամ 47.82 մլրդ ՀՀ դրամ, հատուկ փոխառության իրավունքով (ՀՓԻ) տրամադրված վարկերը՝ 2.44% կամ 6.8 մլրդ ՀՀ դրամ (տես՝ գծապատկեր 17):</w:t>
      </w:r>
    </w:p>
    <w:p w14:paraId="4166C78A" w14:textId="77777777" w:rsidR="00957A78" w:rsidRDefault="00957A78" w:rsidP="00957A78">
      <w:pPr>
        <w:rPr>
          <w:lang w:val="hy-AM"/>
        </w:rPr>
      </w:pPr>
    </w:p>
    <w:p w14:paraId="1F01DEF6" w14:textId="77777777" w:rsidR="00957A78" w:rsidRPr="003E5C32" w:rsidRDefault="00957A78" w:rsidP="00957A78">
      <w:pPr>
        <w:rPr>
          <w:i/>
          <w:sz w:val="20"/>
          <w:szCs w:val="20"/>
          <w:lang w:val="hy-AM"/>
        </w:rPr>
      </w:pPr>
      <w:r w:rsidRPr="00A461D4">
        <w:rPr>
          <w:b/>
          <w:i/>
          <w:sz w:val="20"/>
          <w:szCs w:val="20"/>
          <w:lang w:val="hy-AM"/>
        </w:rPr>
        <w:t>Գծապատկեր</w:t>
      </w:r>
      <w:r>
        <w:rPr>
          <w:b/>
          <w:i/>
          <w:sz w:val="20"/>
          <w:szCs w:val="20"/>
          <w:lang w:val="hy-AM"/>
        </w:rPr>
        <w:t xml:space="preserve"> 17</w:t>
      </w:r>
      <w:r w:rsidRPr="00A461D4">
        <w:rPr>
          <w:b/>
          <w:i/>
          <w:sz w:val="20"/>
          <w:szCs w:val="20"/>
          <w:lang w:val="hy-AM"/>
        </w:rPr>
        <w:t xml:space="preserve">. </w:t>
      </w:r>
      <w:r w:rsidRPr="00A461D4">
        <w:rPr>
          <w:i/>
          <w:sz w:val="20"/>
          <w:szCs w:val="20"/>
          <w:lang w:val="hy-AM"/>
        </w:rPr>
        <w:t>Վարկային պորտֆելի արժութային կազմը</w:t>
      </w:r>
      <w:r w:rsidRPr="001F4D77">
        <w:rPr>
          <w:i/>
          <w:sz w:val="20"/>
          <w:szCs w:val="20"/>
          <w:lang w:val="hy-AM"/>
        </w:rPr>
        <w:t>,</w:t>
      </w:r>
      <w:r w:rsidRPr="003E5C32">
        <w:rPr>
          <w:i/>
          <w:sz w:val="20"/>
          <w:szCs w:val="20"/>
          <w:lang w:val="hy-AM"/>
        </w:rPr>
        <w:t xml:space="preserve"> %</w:t>
      </w:r>
    </w:p>
    <w:p w14:paraId="25D35770" w14:textId="77777777" w:rsidR="00957A78" w:rsidRDefault="00957A78" w:rsidP="00957A78">
      <w:pPr>
        <w:spacing w:line="240" w:lineRule="auto"/>
        <w:ind w:firstLine="720"/>
        <w:jc w:val="center"/>
        <w:rPr>
          <w:sz w:val="24"/>
          <w:szCs w:val="24"/>
          <w:lang w:val="hy-AM"/>
        </w:rPr>
      </w:pPr>
      <w:r>
        <w:rPr>
          <w:noProof/>
        </w:rPr>
        <w:drawing>
          <wp:inline distT="0" distB="0" distL="0" distR="0" wp14:anchorId="5FF6D4AF" wp14:editId="1B4A1FBC">
            <wp:extent cx="5429250" cy="2743200"/>
            <wp:effectExtent l="0" t="0" r="0" b="0"/>
            <wp:docPr id="18" name="Chart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112"/>
              </a:graphicData>
            </a:graphic>
          </wp:inline>
        </w:drawing>
      </w:r>
    </w:p>
    <w:p w14:paraId="37CE35E2" w14:textId="77777777" w:rsidR="00957A78" w:rsidRPr="00C62C25" w:rsidRDefault="00957A78" w:rsidP="00957A78">
      <w:pPr>
        <w:spacing w:after="0"/>
        <w:jc w:val="both"/>
        <w:rPr>
          <w:lang w:val="hy-AM"/>
        </w:rPr>
      </w:pPr>
      <w:r w:rsidRPr="00B35A3C">
        <w:rPr>
          <w:lang w:val="hy-AM"/>
        </w:rPr>
        <w:t xml:space="preserve">Վարկային պորտֆելի՝ արժութային </w:t>
      </w:r>
      <w:r>
        <w:rPr>
          <w:lang w:val="hy-AM"/>
        </w:rPr>
        <w:t>ռիսկից կախվածության մակարդակը</w:t>
      </w:r>
      <w:r w:rsidRPr="00B35A3C">
        <w:rPr>
          <w:lang w:val="hy-AM"/>
        </w:rPr>
        <w:t xml:space="preserve"> գնահատվում է բավականին բարձր, քանի որ տրամադրված վարկերի գերակշիռ մասը՝</w:t>
      </w:r>
      <w:r>
        <w:rPr>
          <w:lang w:val="hy-AM"/>
        </w:rPr>
        <w:t xml:space="preserve"> 6</w:t>
      </w:r>
      <w:r w:rsidRPr="000D49B4">
        <w:rPr>
          <w:lang w:val="hy-AM"/>
        </w:rPr>
        <w:t>1</w:t>
      </w:r>
      <w:r>
        <w:rPr>
          <w:lang w:val="hy-AM"/>
        </w:rPr>
        <w:t>.</w:t>
      </w:r>
      <w:r w:rsidRPr="00D652E7">
        <w:rPr>
          <w:lang w:val="hy-AM"/>
        </w:rPr>
        <w:t>7</w:t>
      </w:r>
      <w:r w:rsidRPr="00B35A3C">
        <w:rPr>
          <w:lang w:val="hy-AM"/>
        </w:rPr>
        <w:t>%-ը, արտարժույթով են, իսկ վարկառուների եկամուտները՝ հիմնականում ՀՀ դրամով:</w:t>
      </w:r>
    </w:p>
    <w:p w14:paraId="7CF602E7" w14:textId="77777777" w:rsidR="00957A78" w:rsidRDefault="00957A78" w:rsidP="00957A78">
      <w:pPr>
        <w:jc w:val="both"/>
        <w:rPr>
          <w:lang w:val="hy-AM"/>
        </w:rPr>
      </w:pPr>
      <w:r w:rsidRPr="00B35A3C">
        <w:rPr>
          <w:lang w:val="hy-AM"/>
        </w:rPr>
        <w:t xml:space="preserve">Վարկային պորտֆելի՝ տոկոսադրույքի </w:t>
      </w:r>
      <w:r>
        <w:rPr>
          <w:lang w:val="hy-AM"/>
        </w:rPr>
        <w:t>ռիսկից կախվածության մակարդակը</w:t>
      </w:r>
      <w:r w:rsidRPr="00B35A3C">
        <w:rPr>
          <w:lang w:val="hy-AM"/>
        </w:rPr>
        <w:t xml:space="preserve"> գնահատելու </w:t>
      </w:r>
      <w:r>
        <w:rPr>
          <w:lang w:val="hy-AM"/>
        </w:rPr>
        <w:t>նպատակով</w:t>
      </w:r>
      <w:r w:rsidRPr="00B35A3C">
        <w:rPr>
          <w:lang w:val="hy-AM"/>
        </w:rPr>
        <w:t xml:space="preserve"> ներկայացնենք փոփոխվող տոկոսադրույքով վարկերի տեսակարար կշիռը վարկային պորտֆելում</w:t>
      </w:r>
      <w:r>
        <w:rPr>
          <w:lang w:val="hy-AM"/>
        </w:rPr>
        <w:t>՝</w:t>
      </w:r>
      <w:r w:rsidRPr="00B35A3C">
        <w:rPr>
          <w:lang w:val="hy-AM"/>
        </w:rPr>
        <w:t xml:space="preserve"> վերջին տարիների կտրվածքով (</w:t>
      </w:r>
      <w:r>
        <w:rPr>
          <w:lang w:val="hy-AM"/>
        </w:rPr>
        <w:t xml:space="preserve">տես՝ </w:t>
      </w:r>
      <w:r w:rsidRPr="00B35A3C">
        <w:rPr>
          <w:lang w:val="hy-AM"/>
        </w:rPr>
        <w:t xml:space="preserve">Գծապատկեր </w:t>
      </w:r>
      <w:r>
        <w:rPr>
          <w:lang w:val="hy-AM"/>
        </w:rPr>
        <w:t>18</w:t>
      </w:r>
      <w:r w:rsidRPr="00B35A3C">
        <w:rPr>
          <w:lang w:val="hy-AM"/>
        </w:rPr>
        <w:t>):</w:t>
      </w:r>
    </w:p>
    <w:p w14:paraId="6027ADE6" w14:textId="77777777" w:rsidR="0034695F" w:rsidRDefault="0034695F">
      <w:pPr>
        <w:rPr>
          <w:b/>
          <w:i/>
          <w:sz w:val="20"/>
          <w:szCs w:val="20"/>
          <w:lang w:val="hy-AM"/>
        </w:rPr>
      </w:pPr>
      <w:r>
        <w:rPr>
          <w:b/>
          <w:i/>
          <w:sz w:val="20"/>
          <w:szCs w:val="20"/>
          <w:lang w:val="hy-AM"/>
        </w:rPr>
        <w:br w:type="page"/>
      </w:r>
    </w:p>
    <w:p w14:paraId="04DA5607" w14:textId="7FB50FAF" w:rsidR="00957A78" w:rsidRDefault="00957A78" w:rsidP="00957A78">
      <w:pPr>
        <w:spacing w:after="0"/>
        <w:rPr>
          <w:i/>
          <w:sz w:val="20"/>
          <w:szCs w:val="20"/>
          <w:lang w:val="hy-AM"/>
        </w:rPr>
      </w:pPr>
      <w:r w:rsidRPr="00A461D4">
        <w:rPr>
          <w:b/>
          <w:i/>
          <w:sz w:val="20"/>
          <w:szCs w:val="20"/>
          <w:lang w:val="hy-AM"/>
        </w:rPr>
        <w:t>Գծապատկեր</w:t>
      </w:r>
      <w:r>
        <w:rPr>
          <w:b/>
          <w:i/>
          <w:sz w:val="20"/>
          <w:szCs w:val="20"/>
          <w:lang w:val="hy-AM"/>
        </w:rPr>
        <w:t xml:space="preserve"> 18</w:t>
      </w:r>
      <w:r w:rsidRPr="00A461D4">
        <w:rPr>
          <w:i/>
          <w:sz w:val="20"/>
          <w:szCs w:val="20"/>
          <w:lang w:val="hy-AM"/>
        </w:rPr>
        <w:t>. Փոփոխվող տոկոսադրույքով վարկերը և վերջիններիս տեսակարար կշիռը վարկային պորտֆելում (մլրդ, %)</w:t>
      </w:r>
    </w:p>
    <w:p w14:paraId="4722F2A1" w14:textId="77777777" w:rsidR="00957A78" w:rsidRDefault="00957A78" w:rsidP="00957A78">
      <w:pPr>
        <w:spacing w:after="0"/>
        <w:jc w:val="center"/>
        <w:rPr>
          <w:i/>
          <w:sz w:val="20"/>
          <w:szCs w:val="20"/>
          <w:lang w:val="hy-AM"/>
        </w:rPr>
      </w:pPr>
      <w:r>
        <w:rPr>
          <w:noProof/>
        </w:rPr>
        <w:drawing>
          <wp:inline distT="0" distB="0" distL="0" distR="0" wp14:anchorId="05B020D4" wp14:editId="50E81AF7">
            <wp:extent cx="5334276" cy="2464904"/>
            <wp:effectExtent l="0" t="0" r="0" b="12065"/>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13"/>
              </a:graphicData>
            </a:graphic>
          </wp:inline>
        </w:drawing>
      </w:r>
    </w:p>
    <w:p w14:paraId="22C2EB26" w14:textId="77777777" w:rsidR="00957A78" w:rsidRPr="00B35A3C" w:rsidRDefault="00957A78" w:rsidP="00957A78">
      <w:pPr>
        <w:spacing w:after="0"/>
        <w:jc w:val="both"/>
        <w:rPr>
          <w:lang w:val="hy-AM"/>
        </w:rPr>
      </w:pPr>
      <w:r w:rsidRPr="00B35A3C">
        <w:rPr>
          <w:lang w:val="hy-AM"/>
        </w:rPr>
        <w:t xml:space="preserve">Գծապատկերից նկատելի է, որ վարկային պորտֆելի՝ տոկոսադրույքի </w:t>
      </w:r>
      <w:r>
        <w:rPr>
          <w:lang w:val="hy-AM"/>
        </w:rPr>
        <w:t xml:space="preserve">ռիսկից կախվածության մակարդակը </w:t>
      </w:r>
      <w:r w:rsidRPr="00B35A3C">
        <w:rPr>
          <w:lang w:val="hy-AM"/>
        </w:rPr>
        <w:t>ցածր է</w:t>
      </w:r>
      <w:r w:rsidRPr="00966ABC">
        <w:rPr>
          <w:lang w:val="hy-AM"/>
        </w:rPr>
        <w:t>:  Փոփոխվող տոկոսադրույքով վարկերի առավելագույն բացարձակ մեծությունը դիտարկվող ժամանակահատվածում արձանագրվել է 2</w:t>
      </w:r>
      <w:r>
        <w:rPr>
          <w:lang w:val="hy-AM"/>
        </w:rPr>
        <w:t>020թ.-ին</w:t>
      </w:r>
      <w:r w:rsidRPr="00B35A3C">
        <w:rPr>
          <w:lang w:val="hy-AM"/>
        </w:rPr>
        <w:t>, սակայն</w:t>
      </w:r>
      <w:r>
        <w:rPr>
          <w:lang w:val="hy-AM"/>
        </w:rPr>
        <w:t>,</w:t>
      </w:r>
      <w:r w:rsidRPr="00B35A3C">
        <w:rPr>
          <w:lang w:val="hy-AM"/>
        </w:rPr>
        <w:t xml:space="preserve"> ի հակադրություն դրան, տեսակարար կշիռը նվազել է, ինչը հետևանք է վարկային պորտֆելի ավելի առաջանցիկ աճի տեմպի, որի հիմնական պատճառներ են հանդիսացել թե՛ համավարակի ֆոնին տրամադրված վարկերը, թե՛ արտարժույթի զգալի տատանումները: 2022-2023թթ. ցուցանիշի աճը պայմանավորված է վարկային պորտֆելի նվազմամբ (վարկերի մայր գումարի մարում</w:t>
      </w:r>
      <w:r>
        <w:rPr>
          <w:lang w:val="hy-AM"/>
        </w:rPr>
        <w:t>) և</w:t>
      </w:r>
      <w:r w:rsidRPr="00B35A3C">
        <w:rPr>
          <w:lang w:val="hy-AM"/>
        </w:rPr>
        <w:t xml:space="preserve"> միևնույն ժամանակ փոփոխվող տոկոսադրույքով վարկերի աճով (փոփոխվող տոկոսադրույքով վարկերի աճ, արտարժույթի արժևորում):</w:t>
      </w:r>
    </w:p>
    <w:p w14:paraId="2AC3D06C" w14:textId="77777777" w:rsidR="00957A78" w:rsidRDefault="00957A78" w:rsidP="00957A78">
      <w:pPr>
        <w:spacing w:after="0"/>
        <w:jc w:val="both"/>
        <w:rPr>
          <w:lang w:val="hy-AM"/>
        </w:rPr>
      </w:pPr>
      <w:r w:rsidRPr="00B35A3C">
        <w:rPr>
          <w:lang w:val="hy-AM"/>
        </w:rPr>
        <w:t>Հաշվի առնելով, որ բյուջետային վարկերը տրամադրվել են փոփոխվող և ֆիքսված տոկոսադրույքներով</w:t>
      </w:r>
      <w:r>
        <w:rPr>
          <w:lang w:val="hy-AM"/>
        </w:rPr>
        <w:t>՝</w:t>
      </w:r>
      <w:r w:rsidRPr="00B35A3C">
        <w:rPr>
          <w:lang w:val="hy-AM"/>
        </w:rPr>
        <w:t xml:space="preserve"> ստորև ներկայացնենք ֆիքսված տոկոսադրույքով տրամադրված բյուջետային վարկերի միջին տոկոսադրույքների (ՀՀ դրամ, ԱՄՆ դոլար) դինամիկան՝ բանկային վարկերի միջին տոկոսադրույքների (ՀՀ դրամ, ԱՄՆ դոլար)</w:t>
      </w:r>
      <w:r w:rsidRPr="00B35A3C">
        <w:rPr>
          <w:rStyle w:val="FootnoteReference"/>
        </w:rPr>
        <w:footnoteReference w:id="35"/>
      </w:r>
      <w:r w:rsidRPr="00B35A3C">
        <w:rPr>
          <w:lang w:val="hy-AM"/>
        </w:rPr>
        <w:t xml:space="preserve"> համեմատությամբ և վերաֆինանսավորման տոկոսադրույքի համադրությամբ</w:t>
      </w:r>
      <w:r>
        <w:rPr>
          <w:lang w:val="hy-AM"/>
        </w:rPr>
        <w:t>:</w:t>
      </w:r>
    </w:p>
    <w:p w14:paraId="351F7AE1" w14:textId="77777777" w:rsidR="00957A78" w:rsidRDefault="00957A78" w:rsidP="00957A78">
      <w:pPr>
        <w:spacing w:before="0" w:after="160" w:line="259" w:lineRule="auto"/>
        <w:rPr>
          <w:lang w:val="hy-AM"/>
        </w:rPr>
      </w:pPr>
      <w:r>
        <w:rPr>
          <w:lang w:val="hy-AM"/>
        </w:rPr>
        <w:br w:type="page"/>
      </w:r>
    </w:p>
    <w:p w14:paraId="13B9D3B2" w14:textId="77777777" w:rsidR="00957A78" w:rsidRPr="00A461D4" w:rsidRDefault="00957A78" w:rsidP="00957A78">
      <w:pPr>
        <w:rPr>
          <w:i/>
          <w:sz w:val="20"/>
          <w:szCs w:val="20"/>
          <w:lang w:val="hy-AM"/>
        </w:rPr>
      </w:pPr>
      <w:r w:rsidRPr="00630EAF">
        <w:rPr>
          <w:b/>
          <w:i/>
          <w:sz w:val="20"/>
          <w:szCs w:val="20"/>
          <w:lang w:val="hy-AM"/>
        </w:rPr>
        <w:t xml:space="preserve">Գծապատկեր 19. </w:t>
      </w:r>
      <w:r w:rsidRPr="00630EAF">
        <w:rPr>
          <w:i/>
          <w:sz w:val="20"/>
          <w:szCs w:val="20"/>
          <w:lang w:val="hy-AM"/>
        </w:rPr>
        <w:t>Ֆիքսված տոկոսադրույքով տրամադրված վարկերի ընդհանուր պորտֆելի միջին տոկոսադրույքների դինամիկան՝ ֆինանսական համակարգի տոկոսադրույքների համադրությամբ (%)</w:t>
      </w:r>
    </w:p>
    <w:p w14:paraId="5AFB11DA" w14:textId="77777777" w:rsidR="00957A78" w:rsidRPr="00C30621" w:rsidRDefault="00957A78" w:rsidP="00957A78">
      <w:pPr>
        <w:spacing w:line="240" w:lineRule="auto"/>
        <w:jc w:val="center"/>
        <w:rPr>
          <w:sz w:val="24"/>
          <w:szCs w:val="24"/>
          <w:lang w:val="hy-AM"/>
        </w:rPr>
      </w:pPr>
      <w:r>
        <w:rPr>
          <w:noProof/>
        </w:rPr>
        <w:drawing>
          <wp:inline distT="0" distB="0" distL="0" distR="0" wp14:anchorId="735F472D" wp14:editId="293A7432">
            <wp:extent cx="6297433" cy="3085106"/>
            <wp:effectExtent l="0" t="0" r="8255" b="1270"/>
            <wp:docPr id="1545876454" name="Chart 1545876454"/>
            <wp:cNvGraphicFramePr/>
            <a:graphic xmlns:a="http://schemas.openxmlformats.org/drawingml/2006/main">
              <a:graphicData uri="http://schemas.openxmlformats.org/drawingml/2006/chart">
                <c:chart xmlns:c="http://schemas.openxmlformats.org/drawingml/2006/chart" xmlns:r="http://schemas.openxmlformats.org/officeDocument/2006/relationships" r:id="rId114"/>
              </a:graphicData>
            </a:graphic>
          </wp:inline>
        </w:drawing>
      </w:r>
    </w:p>
    <w:p w14:paraId="6CE8CF41" w14:textId="77777777" w:rsidR="00957A78" w:rsidRPr="00B35A3C" w:rsidRDefault="00957A78" w:rsidP="00957A78">
      <w:pPr>
        <w:spacing w:after="0"/>
        <w:jc w:val="both"/>
        <w:rPr>
          <w:lang w:val="hy-AM"/>
        </w:rPr>
      </w:pPr>
      <w:r w:rsidRPr="00B35A3C">
        <w:rPr>
          <w:lang w:val="hy-AM"/>
        </w:rPr>
        <w:t>Գծապատկերից նկատելի է</w:t>
      </w:r>
      <w:r w:rsidRPr="00966ABC">
        <w:rPr>
          <w:lang w:val="hy-AM"/>
        </w:rPr>
        <w:t>, որ մինչև 2023 թվականը վերաֆ</w:t>
      </w:r>
      <w:r w:rsidRPr="00B35A3C">
        <w:rPr>
          <w:lang w:val="hy-AM"/>
        </w:rPr>
        <w:t xml:space="preserve">ինանսավորման տոկոսադրույքի դեպի վեր փոփոխությանը համընթաց փոփոխվել են նաև ֆինանսական շուկայի միջին տոկոսադրույքները, իսկ բյուջետային վարկերի միջին տոկոսադրույքները դիտարկվող ժամանակահատվածում էական փոփոխությունների չեն ենթարկվել: </w:t>
      </w:r>
    </w:p>
    <w:p w14:paraId="3A63E281" w14:textId="77777777" w:rsidR="00957A78" w:rsidRPr="00B35A3C" w:rsidRDefault="00957A78" w:rsidP="00957A78">
      <w:pPr>
        <w:spacing w:after="0"/>
        <w:jc w:val="both"/>
        <w:rPr>
          <w:lang w:val="hy-AM"/>
        </w:rPr>
      </w:pPr>
      <w:r>
        <w:rPr>
          <w:lang w:val="hy-AM"/>
        </w:rPr>
        <w:t>2025</w:t>
      </w:r>
      <w:r w:rsidRPr="00B35A3C">
        <w:rPr>
          <w:lang w:val="hy-AM"/>
        </w:rPr>
        <w:t xml:space="preserve"> թվականի </w:t>
      </w:r>
      <w:r>
        <w:rPr>
          <w:lang w:val="hy-AM"/>
        </w:rPr>
        <w:t>օգոստոսի 31</w:t>
      </w:r>
      <w:r w:rsidRPr="00B35A3C">
        <w:rPr>
          <w:lang w:val="hy-AM"/>
        </w:rPr>
        <w:t>-ի դրությամբ պետության կողմից տրամադրված վարկերի</w:t>
      </w:r>
      <w:r>
        <w:rPr>
          <w:lang w:val="hy-AM"/>
        </w:rPr>
        <w:t xml:space="preserve"> 68.</w:t>
      </w:r>
      <w:r w:rsidRPr="00A326F7">
        <w:rPr>
          <w:lang w:val="hy-AM"/>
        </w:rPr>
        <w:t>3</w:t>
      </w:r>
      <w:r w:rsidRPr="00B35A3C">
        <w:rPr>
          <w:lang w:val="hy-AM"/>
        </w:rPr>
        <w:t>%-ն ապահովված են գրավով (անշարժ և շարժական գույք, հասարակ մուրհակներ, ակտիվներ և այլն), իսկ</w:t>
      </w:r>
      <w:r>
        <w:rPr>
          <w:lang w:val="hy-AM"/>
        </w:rPr>
        <w:t xml:space="preserve"> 31.</w:t>
      </w:r>
      <w:r w:rsidRPr="00A326F7">
        <w:rPr>
          <w:lang w:val="hy-AM"/>
        </w:rPr>
        <w:t>7</w:t>
      </w:r>
      <w:r w:rsidRPr="00B35A3C">
        <w:rPr>
          <w:lang w:val="hy-AM"/>
        </w:rPr>
        <w:t xml:space="preserve">%-ը կազմում են գրավով չապահովված վարկերը: Չապահովված վարկերի </w:t>
      </w:r>
      <w:r>
        <w:rPr>
          <w:lang w:val="hy-AM"/>
        </w:rPr>
        <w:t xml:space="preserve">շուրջ </w:t>
      </w:r>
      <w:r w:rsidRPr="00DF1903">
        <w:rPr>
          <w:lang w:val="hy-AM"/>
        </w:rPr>
        <w:t>71.8%-</w:t>
      </w:r>
      <w:r w:rsidRPr="00B35A3C">
        <w:rPr>
          <w:lang w:val="hy-AM"/>
        </w:rPr>
        <w:t>ը բաժին է ընկնում ՊՄԸ-ներին:</w:t>
      </w:r>
    </w:p>
    <w:p w14:paraId="24F54C4D" w14:textId="77777777" w:rsidR="00957A78" w:rsidRPr="00255EF6" w:rsidRDefault="00957A78" w:rsidP="00957A78">
      <w:pPr>
        <w:spacing w:line="240" w:lineRule="auto"/>
        <w:rPr>
          <w:b/>
          <w:i/>
          <w:sz w:val="20"/>
          <w:szCs w:val="24"/>
          <w:lang w:val="hy-AM"/>
        </w:rPr>
      </w:pPr>
    </w:p>
    <w:p w14:paraId="717CECDA" w14:textId="77777777" w:rsidR="00957A78" w:rsidRPr="00A461D4" w:rsidRDefault="00957A78" w:rsidP="00957A78">
      <w:pPr>
        <w:spacing w:line="240" w:lineRule="auto"/>
        <w:rPr>
          <w:i/>
          <w:sz w:val="20"/>
          <w:szCs w:val="20"/>
          <w:lang w:val="hy-AM"/>
        </w:rPr>
      </w:pPr>
      <w:r w:rsidRPr="00A461D4">
        <w:rPr>
          <w:b/>
          <w:i/>
          <w:sz w:val="20"/>
          <w:szCs w:val="20"/>
          <w:lang w:val="hy-AM"/>
        </w:rPr>
        <w:t>Գծապատկեր</w:t>
      </w:r>
      <w:r>
        <w:rPr>
          <w:b/>
          <w:i/>
          <w:sz w:val="20"/>
          <w:szCs w:val="20"/>
          <w:lang w:val="hy-AM"/>
        </w:rPr>
        <w:t xml:space="preserve"> 20</w:t>
      </w:r>
      <w:r w:rsidRPr="00A461D4">
        <w:rPr>
          <w:b/>
          <w:i/>
          <w:sz w:val="20"/>
          <w:szCs w:val="20"/>
          <w:lang w:val="hy-AM"/>
        </w:rPr>
        <w:t xml:space="preserve">. </w:t>
      </w:r>
      <w:r w:rsidRPr="00A461D4">
        <w:rPr>
          <w:i/>
          <w:sz w:val="20"/>
          <w:szCs w:val="20"/>
          <w:lang w:val="hy-AM"/>
        </w:rPr>
        <w:t>Բյուջետային վարկերի տարանջատումն՝ ըստ ապահովվածության</w:t>
      </w:r>
    </w:p>
    <w:p w14:paraId="609760F4" w14:textId="77777777" w:rsidR="00957A78" w:rsidRDefault="00957A78" w:rsidP="00957A78">
      <w:pPr>
        <w:spacing w:line="240" w:lineRule="auto"/>
        <w:jc w:val="center"/>
        <w:rPr>
          <w:sz w:val="24"/>
          <w:szCs w:val="24"/>
          <w:lang w:val="hy-AM"/>
        </w:rPr>
      </w:pPr>
      <w:r>
        <w:rPr>
          <w:noProof/>
        </w:rPr>
        <w:drawing>
          <wp:inline distT="0" distB="0" distL="0" distR="0" wp14:anchorId="42887CE7" wp14:editId="092C827D">
            <wp:extent cx="5657850" cy="2743200"/>
            <wp:effectExtent l="0" t="0" r="0" b="0"/>
            <wp:docPr id="1545876455" name="Chart 1545876455"/>
            <wp:cNvGraphicFramePr/>
            <a:graphic xmlns:a="http://schemas.openxmlformats.org/drawingml/2006/main">
              <a:graphicData uri="http://schemas.openxmlformats.org/drawingml/2006/chart">
                <c:chart xmlns:c="http://schemas.openxmlformats.org/drawingml/2006/chart" xmlns:r="http://schemas.openxmlformats.org/officeDocument/2006/relationships" r:id="rId115"/>
              </a:graphicData>
            </a:graphic>
          </wp:inline>
        </w:drawing>
      </w:r>
    </w:p>
    <w:p w14:paraId="2A6F50ED" w14:textId="77777777" w:rsidR="00957A78" w:rsidRPr="00C918E3" w:rsidRDefault="00957A78" w:rsidP="00957A78">
      <w:pPr>
        <w:spacing w:after="0"/>
        <w:jc w:val="both"/>
        <w:rPr>
          <w:lang w:val="hy-AM"/>
        </w:rPr>
      </w:pPr>
      <w:r>
        <w:rPr>
          <w:lang w:val="hy-AM"/>
        </w:rPr>
        <w:t>2025</w:t>
      </w:r>
      <w:r w:rsidRPr="00C84801">
        <w:rPr>
          <w:lang w:val="hy-AM"/>
        </w:rPr>
        <w:t xml:space="preserve"> թվականի </w:t>
      </w:r>
      <w:r>
        <w:rPr>
          <w:lang w:val="hy-AM"/>
        </w:rPr>
        <w:t>օգոստոսի 31</w:t>
      </w:r>
      <w:r w:rsidRPr="00C84801">
        <w:rPr>
          <w:lang w:val="hy-AM"/>
        </w:rPr>
        <w:t>-ի դրությամբ վարկային պորտֆելի կենտրոնացվածության մասին պատկերացում կազմելու նպատակով թվով</w:t>
      </w:r>
      <w:r>
        <w:rPr>
          <w:lang w:val="hy-AM"/>
        </w:rPr>
        <w:t xml:space="preserve"> </w:t>
      </w:r>
      <w:r w:rsidRPr="00A46033">
        <w:rPr>
          <w:lang w:val="hy-AM"/>
        </w:rPr>
        <w:t>58</w:t>
      </w:r>
      <w:r w:rsidRPr="00C84801">
        <w:rPr>
          <w:lang w:val="hy-AM"/>
        </w:rPr>
        <w:t xml:space="preserve"> վարկառուներից </w:t>
      </w:r>
      <w:r w:rsidRPr="00157F33">
        <w:rPr>
          <w:lang w:val="hy-AM"/>
        </w:rPr>
        <w:t xml:space="preserve">առանձնացվել են 10 խոշոր վարկառուները (տես՝ աղյուսակ </w:t>
      </w:r>
      <w:r>
        <w:rPr>
          <w:lang w:val="hy-AM"/>
        </w:rPr>
        <w:t>4</w:t>
      </w:r>
      <w:r w:rsidRPr="00157F33">
        <w:rPr>
          <w:lang w:val="hy-AM"/>
        </w:rPr>
        <w:t>), որոնց տրամադրված վարկերի կշիռը վարկային պորտֆելում կազմում է</w:t>
      </w:r>
      <w:r>
        <w:rPr>
          <w:lang w:val="hy-AM"/>
        </w:rPr>
        <w:t xml:space="preserve"> 86.</w:t>
      </w:r>
      <w:r w:rsidRPr="00A46033">
        <w:rPr>
          <w:lang w:val="hy-AM"/>
        </w:rPr>
        <w:t>9</w:t>
      </w:r>
      <w:r w:rsidRPr="00157F33">
        <w:rPr>
          <w:lang w:val="hy-AM"/>
        </w:rPr>
        <w:t>%</w:t>
      </w:r>
      <w:r w:rsidRPr="00C84801">
        <w:rPr>
          <w:lang w:val="hy-AM"/>
        </w:rPr>
        <w:t>:</w:t>
      </w:r>
    </w:p>
    <w:tbl>
      <w:tblPr>
        <w:tblpPr w:leftFromText="180" w:rightFromText="180" w:vertAnchor="text" w:horzAnchor="margin" w:tblpXSpec="center" w:tblpY="417"/>
        <w:tblW w:w="10446" w:type="dxa"/>
        <w:tbl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insideH w:val="single" w:sz="8" w:space="0" w:color="D9D9D9" w:themeColor="background1" w:themeShade="D9"/>
          <w:insideV w:val="single" w:sz="8" w:space="0" w:color="D9D9D9" w:themeColor="background1" w:themeShade="D9"/>
        </w:tblBorders>
        <w:tblLook w:val="04A0" w:firstRow="1" w:lastRow="0" w:firstColumn="1" w:lastColumn="0" w:noHBand="0" w:noVBand="1"/>
      </w:tblPr>
      <w:tblGrid>
        <w:gridCol w:w="4670"/>
        <w:gridCol w:w="810"/>
        <w:gridCol w:w="2070"/>
        <w:gridCol w:w="2896"/>
      </w:tblGrid>
      <w:tr w:rsidR="00957A78" w:rsidRPr="007D50F5" w14:paraId="0E0AB6D5" w14:textId="77777777" w:rsidTr="00A72B0A">
        <w:trPr>
          <w:trHeight w:val="354"/>
        </w:trPr>
        <w:tc>
          <w:tcPr>
            <w:tcW w:w="4670" w:type="dxa"/>
            <w:shd w:val="clear" w:color="auto" w:fill="D5DCE4" w:themeFill="text2" w:themeFillTint="33"/>
            <w:noWrap/>
            <w:vAlign w:val="center"/>
            <w:hideMark/>
          </w:tcPr>
          <w:p w14:paraId="0B80573D" w14:textId="77777777" w:rsidR="00957A78" w:rsidRPr="007D50F5" w:rsidRDefault="00957A78" w:rsidP="00A72B0A">
            <w:pPr>
              <w:spacing w:after="0" w:line="240" w:lineRule="auto"/>
              <w:ind w:right="263"/>
              <w:rPr>
                <w:rFonts w:eastAsia="Times New Roman" w:cs="Calibri"/>
                <w:b/>
                <w:bCs/>
                <w:color w:val="35363A" w:themeColor="accent3" w:themeShade="80"/>
                <w:sz w:val="20"/>
                <w:szCs w:val="20"/>
              </w:rPr>
            </w:pPr>
            <w:r w:rsidRPr="007D50F5">
              <w:rPr>
                <w:rFonts w:cs="Calibri"/>
                <w:b/>
                <w:bCs/>
                <w:color w:val="35363A" w:themeColor="accent3" w:themeShade="80"/>
                <w:sz w:val="20"/>
                <w:szCs w:val="20"/>
              </w:rPr>
              <w:t>Վարկառու</w:t>
            </w:r>
          </w:p>
        </w:tc>
        <w:tc>
          <w:tcPr>
            <w:tcW w:w="810" w:type="dxa"/>
            <w:shd w:val="clear" w:color="auto" w:fill="D5DCE4" w:themeFill="text2" w:themeFillTint="33"/>
            <w:noWrap/>
            <w:vAlign w:val="center"/>
            <w:hideMark/>
          </w:tcPr>
          <w:p w14:paraId="559F690B" w14:textId="77777777" w:rsidR="00957A78" w:rsidRPr="007D50F5" w:rsidRDefault="00957A78" w:rsidP="00A72B0A">
            <w:pPr>
              <w:spacing w:after="0" w:line="240" w:lineRule="auto"/>
              <w:ind w:right="263" w:firstLine="167"/>
              <w:jc w:val="center"/>
              <w:rPr>
                <w:rFonts w:eastAsia="Times New Roman" w:cs="Calibri"/>
                <w:b/>
                <w:bCs/>
                <w:color w:val="35363A" w:themeColor="accent3" w:themeShade="80"/>
                <w:sz w:val="20"/>
                <w:szCs w:val="20"/>
              </w:rPr>
            </w:pPr>
            <w:r w:rsidRPr="007D50F5">
              <w:rPr>
                <w:rFonts w:ascii="Calibri" w:hAnsi="Calibri" w:cs="Calibri"/>
                <w:color w:val="35363A" w:themeColor="accent3" w:themeShade="80"/>
              </w:rPr>
              <w:t> </w:t>
            </w:r>
          </w:p>
        </w:tc>
        <w:tc>
          <w:tcPr>
            <w:tcW w:w="2070" w:type="dxa"/>
            <w:shd w:val="clear" w:color="auto" w:fill="D5DCE4" w:themeFill="text2" w:themeFillTint="33"/>
            <w:noWrap/>
            <w:vAlign w:val="center"/>
            <w:hideMark/>
          </w:tcPr>
          <w:p w14:paraId="5F8DB970" w14:textId="77777777" w:rsidR="00957A78" w:rsidRPr="007D50F5" w:rsidRDefault="00957A78" w:rsidP="00A72B0A">
            <w:pPr>
              <w:spacing w:after="0" w:line="240" w:lineRule="auto"/>
              <w:ind w:right="263" w:firstLine="317"/>
              <w:jc w:val="center"/>
              <w:rPr>
                <w:rFonts w:eastAsia="Times New Roman" w:cs="Calibri"/>
                <w:b/>
                <w:bCs/>
                <w:color w:val="35363A" w:themeColor="accent3" w:themeShade="80"/>
                <w:sz w:val="20"/>
                <w:szCs w:val="20"/>
              </w:rPr>
            </w:pPr>
            <w:r w:rsidRPr="007D50F5">
              <w:rPr>
                <w:rFonts w:cs="Calibri"/>
                <w:b/>
                <w:bCs/>
                <w:color w:val="35363A" w:themeColor="accent3" w:themeShade="80"/>
                <w:sz w:val="20"/>
                <w:szCs w:val="20"/>
              </w:rPr>
              <w:t>Վարկի չափ</w:t>
            </w:r>
          </w:p>
        </w:tc>
        <w:tc>
          <w:tcPr>
            <w:tcW w:w="2896" w:type="dxa"/>
            <w:shd w:val="clear" w:color="auto" w:fill="D5DCE4" w:themeFill="text2" w:themeFillTint="33"/>
            <w:noWrap/>
            <w:vAlign w:val="center"/>
            <w:hideMark/>
          </w:tcPr>
          <w:p w14:paraId="5B0FF3D9" w14:textId="77777777" w:rsidR="00957A78" w:rsidRPr="007D50F5" w:rsidRDefault="00957A78" w:rsidP="00A72B0A">
            <w:pPr>
              <w:spacing w:after="0" w:line="240" w:lineRule="auto"/>
              <w:ind w:right="263"/>
              <w:jc w:val="center"/>
              <w:rPr>
                <w:rFonts w:eastAsia="Times New Roman" w:cs="Calibri"/>
                <w:b/>
                <w:bCs/>
                <w:color w:val="35363A" w:themeColor="accent3" w:themeShade="80"/>
                <w:sz w:val="20"/>
                <w:szCs w:val="20"/>
                <w:lang w:val="hy-AM"/>
              </w:rPr>
            </w:pPr>
            <w:r w:rsidRPr="007D50F5">
              <w:rPr>
                <w:rFonts w:cs="Calibri"/>
                <w:b/>
                <w:bCs/>
                <w:color w:val="35363A" w:themeColor="accent3" w:themeShade="80"/>
                <w:sz w:val="20"/>
                <w:szCs w:val="20"/>
                <w:lang w:val="hy-AM"/>
              </w:rPr>
              <w:t>Կշիռը պորտֆելում</w:t>
            </w:r>
          </w:p>
        </w:tc>
      </w:tr>
      <w:tr w:rsidR="00957A78" w:rsidRPr="00130784" w14:paraId="39437ED1" w14:textId="77777777" w:rsidTr="00A72B0A">
        <w:trPr>
          <w:trHeight w:val="354"/>
        </w:trPr>
        <w:tc>
          <w:tcPr>
            <w:tcW w:w="4670" w:type="dxa"/>
            <w:shd w:val="clear" w:color="auto" w:fill="FFFFFF" w:themeFill="background1"/>
            <w:hideMark/>
          </w:tcPr>
          <w:p w14:paraId="4C14CB8A" w14:textId="77777777" w:rsidR="00957A78" w:rsidRPr="00B0693E" w:rsidRDefault="00957A78" w:rsidP="00A72B0A">
            <w:pPr>
              <w:spacing w:after="0" w:line="240" w:lineRule="auto"/>
              <w:rPr>
                <w:rFonts w:eastAsia="Times New Roman" w:cs="Calibri"/>
                <w:color w:val="000000"/>
                <w:sz w:val="20"/>
                <w:szCs w:val="20"/>
              </w:rPr>
            </w:pPr>
            <w:r w:rsidRPr="00B0693E">
              <w:rPr>
                <w:sz w:val="20"/>
              </w:rPr>
              <w:t>1. «Հայկական ատոմային էլեկտրոկայան» ՓԲԸ</w:t>
            </w:r>
          </w:p>
        </w:tc>
        <w:tc>
          <w:tcPr>
            <w:tcW w:w="810" w:type="dxa"/>
            <w:shd w:val="clear" w:color="auto" w:fill="FFFFFF" w:themeFill="background1"/>
            <w:hideMark/>
          </w:tcPr>
          <w:p w14:paraId="54D155E2" w14:textId="77777777" w:rsidR="00957A78" w:rsidRPr="00B0693E" w:rsidRDefault="00957A78" w:rsidP="00A72B0A">
            <w:pPr>
              <w:spacing w:after="0" w:line="240" w:lineRule="auto"/>
              <w:ind w:hanging="103"/>
              <w:jc w:val="center"/>
              <w:rPr>
                <w:rFonts w:eastAsia="Times New Roman" w:cs="Calibri"/>
                <w:color w:val="000000"/>
                <w:sz w:val="20"/>
                <w:szCs w:val="20"/>
              </w:rPr>
            </w:pPr>
            <w:r w:rsidRPr="00B0693E">
              <w:rPr>
                <w:sz w:val="20"/>
              </w:rPr>
              <w:t>ՊՄԸ</w:t>
            </w:r>
          </w:p>
        </w:tc>
        <w:tc>
          <w:tcPr>
            <w:tcW w:w="2070" w:type="dxa"/>
            <w:shd w:val="clear" w:color="auto" w:fill="FFFFFF" w:themeFill="background1"/>
            <w:noWrap/>
            <w:hideMark/>
          </w:tcPr>
          <w:p w14:paraId="7DD89664" w14:textId="77777777" w:rsidR="00957A78" w:rsidRPr="00B0693E" w:rsidRDefault="00957A78" w:rsidP="00A72B0A">
            <w:pPr>
              <w:spacing w:after="0" w:line="240" w:lineRule="auto"/>
              <w:ind w:firstLine="227"/>
              <w:jc w:val="center"/>
              <w:rPr>
                <w:rFonts w:eastAsia="Times New Roman" w:cs="Calibri"/>
                <w:color w:val="000000"/>
                <w:sz w:val="20"/>
                <w:szCs w:val="20"/>
              </w:rPr>
            </w:pPr>
            <w:r w:rsidRPr="00B0693E">
              <w:rPr>
                <w:sz w:val="20"/>
              </w:rPr>
              <w:t>82,204,411,918</w:t>
            </w:r>
          </w:p>
        </w:tc>
        <w:tc>
          <w:tcPr>
            <w:tcW w:w="2896" w:type="dxa"/>
            <w:shd w:val="clear" w:color="auto" w:fill="FFFFFF" w:themeFill="background1"/>
            <w:noWrap/>
            <w:hideMark/>
          </w:tcPr>
          <w:p w14:paraId="790E6B9E" w14:textId="77777777" w:rsidR="00957A78" w:rsidRPr="00B0693E" w:rsidRDefault="00957A78" w:rsidP="00A72B0A">
            <w:pPr>
              <w:spacing w:after="0" w:line="240" w:lineRule="auto"/>
              <w:ind w:firstLine="227"/>
              <w:jc w:val="center"/>
              <w:rPr>
                <w:rFonts w:eastAsia="Times New Roman" w:cs="Calibri"/>
                <w:color w:val="000000"/>
                <w:sz w:val="20"/>
                <w:szCs w:val="20"/>
              </w:rPr>
            </w:pPr>
            <w:r w:rsidRPr="00B0693E">
              <w:rPr>
                <w:sz w:val="20"/>
              </w:rPr>
              <w:t>29.24%</w:t>
            </w:r>
          </w:p>
        </w:tc>
      </w:tr>
      <w:tr w:rsidR="00957A78" w:rsidRPr="00130784" w14:paraId="007FCBF2" w14:textId="77777777" w:rsidTr="00A72B0A">
        <w:trPr>
          <w:trHeight w:val="354"/>
        </w:trPr>
        <w:tc>
          <w:tcPr>
            <w:tcW w:w="4670" w:type="dxa"/>
            <w:shd w:val="clear" w:color="auto" w:fill="FFFFFF" w:themeFill="background1"/>
            <w:hideMark/>
          </w:tcPr>
          <w:p w14:paraId="6D64D97C" w14:textId="77777777" w:rsidR="00957A78" w:rsidRPr="00B0693E" w:rsidRDefault="00957A78" w:rsidP="00A72B0A">
            <w:pPr>
              <w:spacing w:after="0" w:line="240" w:lineRule="auto"/>
              <w:rPr>
                <w:rFonts w:eastAsia="Times New Roman" w:cs="Calibri"/>
                <w:color w:val="000000"/>
                <w:sz w:val="20"/>
                <w:szCs w:val="20"/>
              </w:rPr>
            </w:pPr>
            <w:r w:rsidRPr="00B0693E">
              <w:rPr>
                <w:sz w:val="20"/>
              </w:rPr>
              <w:t>2. «Երևան Ջերմաէլեկտրակենտրոն» ՓԲԸ</w:t>
            </w:r>
          </w:p>
        </w:tc>
        <w:tc>
          <w:tcPr>
            <w:tcW w:w="810" w:type="dxa"/>
            <w:shd w:val="clear" w:color="auto" w:fill="FFFFFF" w:themeFill="background1"/>
            <w:hideMark/>
          </w:tcPr>
          <w:p w14:paraId="50F867C7" w14:textId="77777777" w:rsidR="00957A78" w:rsidRPr="00B0693E" w:rsidRDefault="00957A78" w:rsidP="00A72B0A">
            <w:pPr>
              <w:spacing w:after="0" w:line="240" w:lineRule="auto"/>
              <w:ind w:hanging="103"/>
              <w:jc w:val="center"/>
              <w:rPr>
                <w:rFonts w:eastAsia="Times New Roman" w:cs="Calibri"/>
                <w:color w:val="000000"/>
                <w:sz w:val="20"/>
                <w:szCs w:val="20"/>
              </w:rPr>
            </w:pPr>
            <w:r w:rsidRPr="00B0693E">
              <w:rPr>
                <w:sz w:val="20"/>
              </w:rPr>
              <w:t>ՊՄԸ</w:t>
            </w:r>
          </w:p>
        </w:tc>
        <w:tc>
          <w:tcPr>
            <w:tcW w:w="2070" w:type="dxa"/>
            <w:shd w:val="clear" w:color="auto" w:fill="FFFFFF" w:themeFill="background1"/>
            <w:noWrap/>
            <w:hideMark/>
          </w:tcPr>
          <w:p w14:paraId="64B20F56" w14:textId="77777777" w:rsidR="00957A78" w:rsidRPr="00B0693E" w:rsidRDefault="00957A78" w:rsidP="00A72B0A">
            <w:pPr>
              <w:spacing w:after="0" w:line="240" w:lineRule="auto"/>
              <w:ind w:firstLine="227"/>
              <w:jc w:val="center"/>
              <w:rPr>
                <w:rFonts w:eastAsia="Times New Roman" w:cs="Calibri"/>
                <w:color w:val="000000"/>
                <w:sz w:val="20"/>
                <w:szCs w:val="20"/>
              </w:rPr>
            </w:pPr>
            <w:r w:rsidRPr="00B0693E">
              <w:rPr>
                <w:sz w:val="20"/>
              </w:rPr>
              <w:t>61,427,296,910</w:t>
            </w:r>
          </w:p>
        </w:tc>
        <w:tc>
          <w:tcPr>
            <w:tcW w:w="2896" w:type="dxa"/>
            <w:shd w:val="clear" w:color="auto" w:fill="FFFFFF" w:themeFill="background1"/>
            <w:noWrap/>
            <w:hideMark/>
          </w:tcPr>
          <w:p w14:paraId="1E03527A" w14:textId="77777777" w:rsidR="00957A78" w:rsidRPr="00B0693E" w:rsidRDefault="00957A78" w:rsidP="00A72B0A">
            <w:pPr>
              <w:spacing w:after="0" w:line="240" w:lineRule="auto"/>
              <w:ind w:firstLine="227"/>
              <w:jc w:val="center"/>
              <w:rPr>
                <w:rFonts w:eastAsia="Times New Roman" w:cs="Calibri"/>
                <w:color w:val="000000"/>
                <w:sz w:val="20"/>
                <w:szCs w:val="20"/>
              </w:rPr>
            </w:pPr>
            <w:r w:rsidRPr="00B0693E">
              <w:rPr>
                <w:sz w:val="20"/>
              </w:rPr>
              <w:t>21.85%</w:t>
            </w:r>
          </w:p>
        </w:tc>
      </w:tr>
      <w:tr w:rsidR="00957A78" w:rsidRPr="00130784" w14:paraId="7E697A55" w14:textId="77777777" w:rsidTr="00A72B0A">
        <w:trPr>
          <w:trHeight w:val="354"/>
        </w:trPr>
        <w:tc>
          <w:tcPr>
            <w:tcW w:w="4670" w:type="dxa"/>
            <w:shd w:val="clear" w:color="auto" w:fill="FFFFFF" w:themeFill="background1"/>
            <w:hideMark/>
          </w:tcPr>
          <w:p w14:paraId="41BFAA2D" w14:textId="77777777" w:rsidR="00957A78" w:rsidRPr="00B0693E" w:rsidRDefault="00957A78" w:rsidP="00A72B0A">
            <w:pPr>
              <w:spacing w:after="0" w:line="240" w:lineRule="auto"/>
              <w:rPr>
                <w:rFonts w:eastAsia="Times New Roman" w:cs="Calibri"/>
                <w:color w:val="000000"/>
                <w:sz w:val="20"/>
                <w:szCs w:val="20"/>
              </w:rPr>
            </w:pPr>
            <w:r w:rsidRPr="00B0693E">
              <w:rPr>
                <w:sz w:val="20"/>
              </w:rPr>
              <w:t>3. «Բարձրավոլտ էլեկտրացանցեր» ՓԲԸ</w:t>
            </w:r>
          </w:p>
        </w:tc>
        <w:tc>
          <w:tcPr>
            <w:tcW w:w="810" w:type="dxa"/>
            <w:shd w:val="clear" w:color="auto" w:fill="FFFFFF" w:themeFill="background1"/>
            <w:hideMark/>
          </w:tcPr>
          <w:p w14:paraId="70F06114" w14:textId="77777777" w:rsidR="00957A78" w:rsidRPr="00B0693E" w:rsidRDefault="00957A78" w:rsidP="00A72B0A">
            <w:pPr>
              <w:spacing w:after="0" w:line="240" w:lineRule="auto"/>
              <w:ind w:hanging="103"/>
              <w:jc w:val="center"/>
              <w:rPr>
                <w:rFonts w:eastAsia="Times New Roman" w:cs="Calibri"/>
                <w:color w:val="000000"/>
                <w:sz w:val="20"/>
                <w:szCs w:val="20"/>
              </w:rPr>
            </w:pPr>
            <w:r w:rsidRPr="00B0693E">
              <w:rPr>
                <w:sz w:val="20"/>
              </w:rPr>
              <w:t>ՊՄԸ</w:t>
            </w:r>
          </w:p>
        </w:tc>
        <w:tc>
          <w:tcPr>
            <w:tcW w:w="2070" w:type="dxa"/>
            <w:shd w:val="clear" w:color="auto" w:fill="FFFFFF" w:themeFill="background1"/>
            <w:noWrap/>
            <w:hideMark/>
          </w:tcPr>
          <w:p w14:paraId="50C934AD" w14:textId="77777777" w:rsidR="00957A78" w:rsidRPr="00B0693E" w:rsidRDefault="00957A78" w:rsidP="00A72B0A">
            <w:pPr>
              <w:spacing w:after="0" w:line="240" w:lineRule="auto"/>
              <w:ind w:firstLine="227"/>
              <w:jc w:val="center"/>
              <w:rPr>
                <w:rFonts w:eastAsia="Times New Roman" w:cs="Calibri"/>
                <w:color w:val="000000"/>
                <w:sz w:val="20"/>
                <w:szCs w:val="20"/>
              </w:rPr>
            </w:pPr>
            <w:r w:rsidRPr="00B0693E">
              <w:rPr>
                <w:sz w:val="20"/>
              </w:rPr>
              <w:t>44,083,733,916</w:t>
            </w:r>
          </w:p>
        </w:tc>
        <w:tc>
          <w:tcPr>
            <w:tcW w:w="2896" w:type="dxa"/>
            <w:shd w:val="clear" w:color="auto" w:fill="FFFFFF" w:themeFill="background1"/>
            <w:noWrap/>
            <w:hideMark/>
          </w:tcPr>
          <w:p w14:paraId="51F6A6CA" w14:textId="77777777" w:rsidR="00957A78" w:rsidRPr="00B0693E" w:rsidRDefault="00957A78" w:rsidP="00A72B0A">
            <w:pPr>
              <w:spacing w:after="0" w:line="240" w:lineRule="auto"/>
              <w:ind w:firstLine="227"/>
              <w:jc w:val="center"/>
              <w:rPr>
                <w:rFonts w:eastAsia="Times New Roman" w:cs="Calibri"/>
                <w:color w:val="000000"/>
                <w:sz w:val="20"/>
                <w:szCs w:val="20"/>
              </w:rPr>
            </w:pPr>
            <w:r w:rsidRPr="00B0693E">
              <w:rPr>
                <w:sz w:val="20"/>
              </w:rPr>
              <w:t>15.68%</w:t>
            </w:r>
          </w:p>
        </w:tc>
      </w:tr>
      <w:tr w:rsidR="00957A78" w:rsidRPr="00130784" w14:paraId="081DFB9C" w14:textId="77777777" w:rsidTr="00A72B0A">
        <w:trPr>
          <w:trHeight w:val="354"/>
        </w:trPr>
        <w:tc>
          <w:tcPr>
            <w:tcW w:w="4670" w:type="dxa"/>
            <w:shd w:val="clear" w:color="auto" w:fill="FFFFFF" w:themeFill="background1"/>
            <w:hideMark/>
          </w:tcPr>
          <w:p w14:paraId="2F86FEC0" w14:textId="77777777" w:rsidR="00957A78" w:rsidRPr="00B0693E" w:rsidRDefault="00957A78" w:rsidP="00A72B0A">
            <w:pPr>
              <w:spacing w:after="0" w:line="240" w:lineRule="auto"/>
              <w:rPr>
                <w:rFonts w:eastAsia="Times New Roman" w:cs="Calibri"/>
                <w:color w:val="000000"/>
                <w:sz w:val="20"/>
                <w:szCs w:val="20"/>
              </w:rPr>
            </w:pPr>
            <w:r w:rsidRPr="00B0693E">
              <w:rPr>
                <w:sz w:val="20"/>
              </w:rPr>
              <w:t>4. «ՔոնթուրԳլոբալ  Հիդրո Կասկադ» ՓԲԸ</w:t>
            </w:r>
          </w:p>
        </w:tc>
        <w:tc>
          <w:tcPr>
            <w:tcW w:w="810" w:type="dxa"/>
            <w:shd w:val="clear" w:color="auto" w:fill="FFFFFF" w:themeFill="background1"/>
            <w:hideMark/>
          </w:tcPr>
          <w:p w14:paraId="68E7C691" w14:textId="77777777" w:rsidR="00957A78" w:rsidRPr="00B0693E" w:rsidRDefault="00957A78" w:rsidP="00A72B0A">
            <w:pPr>
              <w:spacing w:after="0" w:line="240" w:lineRule="auto"/>
              <w:ind w:hanging="103"/>
              <w:jc w:val="center"/>
              <w:rPr>
                <w:rFonts w:eastAsia="Times New Roman" w:cs="Calibri"/>
                <w:color w:val="000000"/>
                <w:sz w:val="20"/>
                <w:szCs w:val="20"/>
              </w:rPr>
            </w:pPr>
          </w:p>
        </w:tc>
        <w:tc>
          <w:tcPr>
            <w:tcW w:w="2070" w:type="dxa"/>
            <w:shd w:val="clear" w:color="auto" w:fill="FFFFFF" w:themeFill="background1"/>
            <w:noWrap/>
            <w:hideMark/>
          </w:tcPr>
          <w:p w14:paraId="1EB99912" w14:textId="77777777" w:rsidR="00957A78" w:rsidRPr="00B0693E" w:rsidRDefault="00957A78" w:rsidP="00A72B0A">
            <w:pPr>
              <w:spacing w:after="0" w:line="240" w:lineRule="auto"/>
              <w:ind w:firstLine="227"/>
              <w:jc w:val="center"/>
              <w:rPr>
                <w:rFonts w:eastAsia="Times New Roman" w:cs="Calibri"/>
                <w:color w:val="000000"/>
                <w:sz w:val="20"/>
                <w:szCs w:val="20"/>
              </w:rPr>
            </w:pPr>
            <w:r w:rsidRPr="00B0693E">
              <w:rPr>
                <w:sz w:val="20"/>
              </w:rPr>
              <w:t>14,200,055,220</w:t>
            </w:r>
          </w:p>
        </w:tc>
        <w:tc>
          <w:tcPr>
            <w:tcW w:w="2896" w:type="dxa"/>
            <w:shd w:val="clear" w:color="auto" w:fill="FFFFFF" w:themeFill="background1"/>
            <w:noWrap/>
            <w:hideMark/>
          </w:tcPr>
          <w:p w14:paraId="51320CB2" w14:textId="77777777" w:rsidR="00957A78" w:rsidRPr="00B0693E" w:rsidRDefault="00957A78" w:rsidP="00A72B0A">
            <w:pPr>
              <w:spacing w:after="0" w:line="240" w:lineRule="auto"/>
              <w:ind w:firstLine="227"/>
              <w:jc w:val="center"/>
              <w:rPr>
                <w:rFonts w:eastAsia="Times New Roman" w:cs="Calibri"/>
                <w:color w:val="000000"/>
                <w:sz w:val="20"/>
                <w:szCs w:val="20"/>
              </w:rPr>
            </w:pPr>
            <w:r w:rsidRPr="00B0693E">
              <w:rPr>
                <w:sz w:val="20"/>
              </w:rPr>
              <w:t>5.05%</w:t>
            </w:r>
          </w:p>
        </w:tc>
      </w:tr>
      <w:tr w:rsidR="00957A78" w:rsidRPr="00130784" w14:paraId="47962C33" w14:textId="77777777" w:rsidTr="00A72B0A">
        <w:trPr>
          <w:trHeight w:val="354"/>
        </w:trPr>
        <w:tc>
          <w:tcPr>
            <w:tcW w:w="4670" w:type="dxa"/>
            <w:shd w:val="clear" w:color="auto" w:fill="FFFFFF" w:themeFill="background1"/>
            <w:hideMark/>
          </w:tcPr>
          <w:p w14:paraId="014A3537" w14:textId="77777777" w:rsidR="00957A78" w:rsidRPr="00B0693E" w:rsidRDefault="00957A78" w:rsidP="00A72B0A">
            <w:pPr>
              <w:spacing w:after="0" w:line="240" w:lineRule="auto"/>
              <w:rPr>
                <w:rFonts w:eastAsia="Times New Roman" w:cs="Calibri"/>
                <w:color w:val="000000"/>
                <w:sz w:val="20"/>
                <w:szCs w:val="20"/>
              </w:rPr>
            </w:pPr>
            <w:r w:rsidRPr="00B0693E">
              <w:rPr>
                <w:sz w:val="20"/>
              </w:rPr>
              <w:t>5. «Դի Էնդ Էյջ Գրուպ»  ՍՊԸ</w:t>
            </w:r>
          </w:p>
        </w:tc>
        <w:tc>
          <w:tcPr>
            <w:tcW w:w="810" w:type="dxa"/>
            <w:shd w:val="clear" w:color="auto" w:fill="FFFFFF" w:themeFill="background1"/>
            <w:hideMark/>
          </w:tcPr>
          <w:p w14:paraId="16E83289" w14:textId="77777777" w:rsidR="00957A78" w:rsidRPr="00B0693E" w:rsidRDefault="00957A78" w:rsidP="00A72B0A">
            <w:pPr>
              <w:spacing w:after="0" w:line="240" w:lineRule="auto"/>
              <w:ind w:hanging="103"/>
              <w:jc w:val="center"/>
              <w:rPr>
                <w:rFonts w:eastAsia="Times New Roman" w:cs="Calibri"/>
                <w:color w:val="000000"/>
                <w:sz w:val="20"/>
                <w:szCs w:val="20"/>
              </w:rPr>
            </w:pPr>
          </w:p>
        </w:tc>
        <w:tc>
          <w:tcPr>
            <w:tcW w:w="2070" w:type="dxa"/>
            <w:shd w:val="clear" w:color="auto" w:fill="FFFFFF" w:themeFill="background1"/>
            <w:noWrap/>
            <w:hideMark/>
          </w:tcPr>
          <w:p w14:paraId="64E7640C" w14:textId="77777777" w:rsidR="00957A78" w:rsidRPr="00B0693E" w:rsidRDefault="00957A78" w:rsidP="00A72B0A">
            <w:pPr>
              <w:spacing w:after="0" w:line="240" w:lineRule="auto"/>
              <w:ind w:firstLine="227"/>
              <w:jc w:val="center"/>
              <w:rPr>
                <w:rFonts w:eastAsia="Times New Roman" w:cs="Calibri"/>
                <w:color w:val="000000"/>
                <w:sz w:val="20"/>
                <w:szCs w:val="20"/>
              </w:rPr>
            </w:pPr>
            <w:r w:rsidRPr="00B0693E">
              <w:rPr>
                <w:sz w:val="20"/>
              </w:rPr>
              <w:t>9,898,911,769</w:t>
            </w:r>
          </w:p>
        </w:tc>
        <w:tc>
          <w:tcPr>
            <w:tcW w:w="2896" w:type="dxa"/>
            <w:shd w:val="clear" w:color="auto" w:fill="FFFFFF" w:themeFill="background1"/>
            <w:noWrap/>
            <w:hideMark/>
          </w:tcPr>
          <w:p w14:paraId="1BF60122" w14:textId="77777777" w:rsidR="00957A78" w:rsidRPr="00B0693E" w:rsidRDefault="00957A78" w:rsidP="00A72B0A">
            <w:pPr>
              <w:spacing w:after="0" w:line="240" w:lineRule="auto"/>
              <w:ind w:firstLine="227"/>
              <w:jc w:val="center"/>
              <w:rPr>
                <w:rFonts w:eastAsia="Times New Roman" w:cs="Calibri"/>
                <w:color w:val="000000"/>
                <w:sz w:val="20"/>
                <w:szCs w:val="20"/>
              </w:rPr>
            </w:pPr>
            <w:r w:rsidRPr="00B0693E">
              <w:rPr>
                <w:sz w:val="20"/>
              </w:rPr>
              <w:t>3.52%</w:t>
            </w:r>
          </w:p>
        </w:tc>
      </w:tr>
      <w:tr w:rsidR="00957A78" w:rsidRPr="00130784" w14:paraId="376D3410" w14:textId="77777777" w:rsidTr="00A72B0A">
        <w:trPr>
          <w:trHeight w:val="354"/>
        </w:trPr>
        <w:tc>
          <w:tcPr>
            <w:tcW w:w="4670" w:type="dxa"/>
            <w:shd w:val="clear" w:color="auto" w:fill="FFFFFF" w:themeFill="background1"/>
            <w:hideMark/>
          </w:tcPr>
          <w:p w14:paraId="672A78DE" w14:textId="77777777" w:rsidR="00957A78" w:rsidRPr="00B0693E" w:rsidRDefault="00957A78" w:rsidP="00A72B0A">
            <w:pPr>
              <w:spacing w:after="0" w:line="240" w:lineRule="auto"/>
              <w:rPr>
                <w:rFonts w:eastAsia="Times New Roman" w:cs="Calibri"/>
                <w:color w:val="000000"/>
                <w:sz w:val="20"/>
                <w:szCs w:val="20"/>
              </w:rPr>
            </w:pPr>
            <w:r w:rsidRPr="00B0693E">
              <w:rPr>
                <w:sz w:val="20"/>
              </w:rPr>
              <w:t>6.ՀՀ ԿԲ գերմանահայկական հիմնադրամին վարկավորում</w:t>
            </w:r>
          </w:p>
        </w:tc>
        <w:tc>
          <w:tcPr>
            <w:tcW w:w="810" w:type="dxa"/>
            <w:shd w:val="clear" w:color="auto" w:fill="FFFFFF" w:themeFill="background1"/>
            <w:hideMark/>
          </w:tcPr>
          <w:p w14:paraId="636BBC68" w14:textId="77777777" w:rsidR="00957A78" w:rsidRPr="00B0693E" w:rsidRDefault="00957A78" w:rsidP="00A72B0A">
            <w:pPr>
              <w:spacing w:after="0" w:line="240" w:lineRule="auto"/>
              <w:ind w:hanging="103"/>
              <w:jc w:val="center"/>
              <w:rPr>
                <w:rFonts w:eastAsia="Times New Roman" w:cs="Calibri"/>
                <w:color w:val="000000"/>
                <w:sz w:val="20"/>
                <w:szCs w:val="20"/>
              </w:rPr>
            </w:pPr>
          </w:p>
        </w:tc>
        <w:tc>
          <w:tcPr>
            <w:tcW w:w="2070" w:type="dxa"/>
            <w:shd w:val="clear" w:color="auto" w:fill="FFFFFF" w:themeFill="background1"/>
            <w:noWrap/>
            <w:hideMark/>
          </w:tcPr>
          <w:p w14:paraId="3727C0DE" w14:textId="77777777" w:rsidR="00957A78" w:rsidRPr="00B0693E" w:rsidRDefault="00957A78" w:rsidP="00A72B0A">
            <w:pPr>
              <w:spacing w:after="0" w:line="240" w:lineRule="auto"/>
              <w:ind w:firstLine="227"/>
              <w:jc w:val="center"/>
              <w:rPr>
                <w:rFonts w:eastAsia="Times New Roman" w:cs="Calibri"/>
                <w:color w:val="000000"/>
                <w:sz w:val="20"/>
                <w:szCs w:val="20"/>
              </w:rPr>
            </w:pPr>
            <w:r w:rsidRPr="00B0693E">
              <w:rPr>
                <w:sz w:val="20"/>
              </w:rPr>
              <w:t>9,001,341,250</w:t>
            </w:r>
          </w:p>
        </w:tc>
        <w:tc>
          <w:tcPr>
            <w:tcW w:w="2896" w:type="dxa"/>
            <w:shd w:val="clear" w:color="auto" w:fill="FFFFFF" w:themeFill="background1"/>
            <w:noWrap/>
            <w:hideMark/>
          </w:tcPr>
          <w:p w14:paraId="0B1ECB62" w14:textId="77777777" w:rsidR="00957A78" w:rsidRPr="00B0693E" w:rsidRDefault="00957A78" w:rsidP="00A72B0A">
            <w:pPr>
              <w:spacing w:after="0" w:line="240" w:lineRule="auto"/>
              <w:ind w:firstLine="227"/>
              <w:jc w:val="center"/>
              <w:rPr>
                <w:rFonts w:eastAsia="Times New Roman" w:cs="Calibri"/>
                <w:color w:val="000000"/>
                <w:sz w:val="20"/>
                <w:szCs w:val="20"/>
              </w:rPr>
            </w:pPr>
            <w:r w:rsidRPr="00B0693E">
              <w:rPr>
                <w:sz w:val="20"/>
              </w:rPr>
              <w:t>3.20%</w:t>
            </w:r>
          </w:p>
        </w:tc>
      </w:tr>
      <w:tr w:rsidR="00957A78" w:rsidRPr="00130784" w14:paraId="5E2854F5" w14:textId="77777777" w:rsidTr="00A72B0A">
        <w:trPr>
          <w:trHeight w:val="432"/>
        </w:trPr>
        <w:tc>
          <w:tcPr>
            <w:tcW w:w="4670" w:type="dxa"/>
            <w:shd w:val="clear" w:color="auto" w:fill="FFFFFF" w:themeFill="background1"/>
            <w:hideMark/>
          </w:tcPr>
          <w:p w14:paraId="73730BE5" w14:textId="77777777" w:rsidR="00957A78" w:rsidRPr="00B0693E" w:rsidRDefault="00957A78" w:rsidP="00A72B0A">
            <w:pPr>
              <w:spacing w:after="0" w:line="240" w:lineRule="auto"/>
              <w:rPr>
                <w:rFonts w:eastAsia="Times New Roman" w:cs="Calibri"/>
                <w:color w:val="000000"/>
                <w:sz w:val="20"/>
                <w:szCs w:val="20"/>
              </w:rPr>
            </w:pPr>
            <w:r w:rsidRPr="00B0693E">
              <w:rPr>
                <w:sz w:val="20"/>
              </w:rPr>
              <w:t>7.«Երևանի  ավտոբուս» ՓԲԸ</w:t>
            </w:r>
          </w:p>
        </w:tc>
        <w:tc>
          <w:tcPr>
            <w:tcW w:w="810" w:type="dxa"/>
            <w:shd w:val="clear" w:color="auto" w:fill="FFFFFF" w:themeFill="background1"/>
            <w:hideMark/>
          </w:tcPr>
          <w:p w14:paraId="1F9C5857" w14:textId="77777777" w:rsidR="00957A78" w:rsidRPr="00B0693E" w:rsidRDefault="00957A78" w:rsidP="00A72B0A">
            <w:pPr>
              <w:spacing w:after="0" w:line="240" w:lineRule="auto"/>
              <w:ind w:hanging="103"/>
              <w:jc w:val="center"/>
              <w:rPr>
                <w:rFonts w:eastAsia="Times New Roman" w:cs="Calibri"/>
                <w:color w:val="000000"/>
                <w:sz w:val="20"/>
                <w:szCs w:val="20"/>
              </w:rPr>
            </w:pPr>
            <w:r w:rsidRPr="00B0693E">
              <w:rPr>
                <w:sz w:val="20"/>
              </w:rPr>
              <w:t>ՊՄԸ</w:t>
            </w:r>
          </w:p>
        </w:tc>
        <w:tc>
          <w:tcPr>
            <w:tcW w:w="2070" w:type="dxa"/>
            <w:shd w:val="clear" w:color="auto" w:fill="FFFFFF" w:themeFill="background1"/>
            <w:noWrap/>
            <w:hideMark/>
          </w:tcPr>
          <w:p w14:paraId="4BF5B6BB" w14:textId="77777777" w:rsidR="00957A78" w:rsidRPr="00B0693E" w:rsidRDefault="00957A78" w:rsidP="00A72B0A">
            <w:pPr>
              <w:spacing w:after="0" w:line="240" w:lineRule="auto"/>
              <w:ind w:firstLine="227"/>
              <w:jc w:val="center"/>
              <w:rPr>
                <w:rFonts w:eastAsia="Times New Roman" w:cs="Calibri"/>
                <w:color w:val="000000"/>
                <w:sz w:val="20"/>
                <w:szCs w:val="20"/>
              </w:rPr>
            </w:pPr>
            <w:r w:rsidRPr="00B0693E">
              <w:rPr>
                <w:sz w:val="20"/>
              </w:rPr>
              <w:t>8,925,800,000</w:t>
            </w:r>
          </w:p>
        </w:tc>
        <w:tc>
          <w:tcPr>
            <w:tcW w:w="2896" w:type="dxa"/>
            <w:shd w:val="clear" w:color="auto" w:fill="FFFFFF" w:themeFill="background1"/>
            <w:noWrap/>
            <w:hideMark/>
          </w:tcPr>
          <w:p w14:paraId="2C6FF575" w14:textId="77777777" w:rsidR="00957A78" w:rsidRPr="00B0693E" w:rsidRDefault="00957A78" w:rsidP="00A72B0A">
            <w:pPr>
              <w:spacing w:after="0" w:line="240" w:lineRule="auto"/>
              <w:ind w:firstLine="227"/>
              <w:jc w:val="center"/>
              <w:rPr>
                <w:rFonts w:eastAsia="Times New Roman" w:cs="Calibri"/>
                <w:color w:val="000000"/>
                <w:sz w:val="20"/>
                <w:szCs w:val="20"/>
              </w:rPr>
            </w:pPr>
            <w:r w:rsidRPr="00B0693E">
              <w:rPr>
                <w:sz w:val="20"/>
              </w:rPr>
              <w:t>3.18%</w:t>
            </w:r>
          </w:p>
        </w:tc>
      </w:tr>
      <w:tr w:rsidR="00957A78" w:rsidRPr="00130784" w14:paraId="42D25F70" w14:textId="77777777" w:rsidTr="00A72B0A">
        <w:trPr>
          <w:trHeight w:val="354"/>
        </w:trPr>
        <w:tc>
          <w:tcPr>
            <w:tcW w:w="4670" w:type="dxa"/>
            <w:shd w:val="clear" w:color="auto" w:fill="FFFFFF" w:themeFill="background1"/>
            <w:hideMark/>
          </w:tcPr>
          <w:p w14:paraId="4C501179" w14:textId="77777777" w:rsidR="00957A78" w:rsidRPr="00B0693E" w:rsidRDefault="00957A78" w:rsidP="00A72B0A">
            <w:pPr>
              <w:spacing w:after="0" w:line="240" w:lineRule="auto"/>
              <w:rPr>
                <w:rFonts w:eastAsia="Times New Roman" w:cs="Calibri"/>
                <w:color w:val="000000"/>
                <w:sz w:val="20"/>
                <w:szCs w:val="20"/>
              </w:rPr>
            </w:pPr>
            <w:r w:rsidRPr="00B0693E">
              <w:rPr>
                <w:sz w:val="20"/>
              </w:rPr>
              <w:t>8. ՀՀ կենտրոնական բանկ</w:t>
            </w:r>
          </w:p>
        </w:tc>
        <w:tc>
          <w:tcPr>
            <w:tcW w:w="810" w:type="dxa"/>
            <w:shd w:val="clear" w:color="auto" w:fill="FFFFFF" w:themeFill="background1"/>
          </w:tcPr>
          <w:p w14:paraId="36BB19F6" w14:textId="77777777" w:rsidR="00957A78" w:rsidRPr="00B0693E" w:rsidRDefault="00957A78" w:rsidP="00A72B0A">
            <w:pPr>
              <w:spacing w:after="0" w:line="240" w:lineRule="auto"/>
              <w:ind w:hanging="103"/>
              <w:jc w:val="center"/>
              <w:rPr>
                <w:rFonts w:eastAsia="Times New Roman" w:cs="Calibri"/>
                <w:color w:val="000000"/>
                <w:sz w:val="20"/>
                <w:szCs w:val="20"/>
              </w:rPr>
            </w:pPr>
          </w:p>
        </w:tc>
        <w:tc>
          <w:tcPr>
            <w:tcW w:w="2070" w:type="dxa"/>
            <w:shd w:val="clear" w:color="auto" w:fill="FFFFFF" w:themeFill="background1"/>
            <w:noWrap/>
            <w:hideMark/>
          </w:tcPr>
          <w:p w14:paraId="42DFC563" w14:textId="77777777" w:rsidR="00957A78" w:rsidRPr="00B0693E" w:rsidRDefault="00957A78" w:rsidP="00A72B0A">
            <w:pPr>
              <w:spacing w:after="0" w:line="240" w:lineRule="auto"/>
              <w:ind w:firstLine="227"/>
              <w:jc w:val="center"/>
              <w:rPr>
                <w:rFonts w:eastAsia="Times New Roman" w:cs="Calibri"/>
                <w:color w:val="000000"/>
                <w:sz w:val="20"/>
                <w:szCs w:val="20"/>
              </w:rPr>
            </w:pPr>
            <w:r w:rsidRPr="00B0693E">
              <w:rPr>
                <w:sz w:val="20"/>
              </w:rPr>
              <w:t>5,559,699,823</w:t>
            </w:r>
          </w:p>
        </w:tc>
        <w:tc>
          <w:tcPr>
            <w:tcW w:w="2896" w:type="dxa"/>
            <w:shd w:val="clear" w:color="auto" w:fill="FFFFFF" w:themeFill="background1"/>
            <w:noWrap/>
            <w:hideMark/>
          </w:tcPr>
          <w:p w14:paraId="1DA44AB2" w14:textId="77777777" w:rsidR="00957A78" w:rsidRPr="00B0693E" w:rsidRDefault="00957A78" w:rsidP="00A72B0A">
            <w:pPr>
              <w:spacing w:after="0" w:line="240" w:lineRule="auto"/>
              <w:ind w:firstLine="227"/>
              <w:jc w:val="center"/>
              <w:rPr>
                <w:rFonts w:eastAsia="Times New Roman" w:cs="Calibri"/>
                <w:color w:val="000000"/>
                <w:sz w:val="20"/>
                <w:szCs w:val="20"/>
              </w:rPr>
            </w:pPr>
            <w:r w:rsidRPr="00B0693E">
              <w:rPr>
                <w:sz w:val="20"/>
              </w:rPr>
              <w:t>1.98%</w:t>
            </w:r>
          </w:p>
        </w:tc>
      </w:tr>
      <w:tr w:rsidR="00957A78" w:rsidRPr="00130784" w14:paraId="4F3DE7C1" w14:textId="77777777" w:rsidTr="00A72B0A">
        <w:trPr>
          <w:trHeight w:val="694"/>
        </w:trPr>
        <w:tc>
          <w:tcPr>
            <w:tcW w:w="4670" w:type="dxa"/>
            <w:shd w:val="clear" w:color="auto" w:fill="FFFFFF" w:themeFill="background1"/>
            <w:hideMark/>
          </w:tcPr>
          <w:p w14:paraId="1BA41E30" w14:textId="77777777" w:rsidR="00957A78" w:rsidRPr="00B0693E" w:rsidRDefault="00957A78" w:rsidP="00A72B0A">
            <w:pPr>
              <w:spacing w:after="0" w:line="240" w:lineRule="auto"/>
              <w:rPr>
                <w:rFonts w:eastAsia="Times New Roman" w:cs="Calibri"/>
                <w:color w:val="000000"/>
                <w:sz w:val="20"/>
                <w:szCs w:val="20"/>
              </w:rPr>
            </w:pPr>
            <w:r w:rsidRPr="00B0693E">
              <w:rPr>
                <w:sz w:val="20"/>
              </w:rPr>
              <w:t>9. «Էլեկտրաէներգետիկական համակարգի օպերատոր» ՓԲԸ</w:t>
            </w:r>
          </w:p>
        </w:tc>
        <w:tc>
          <w:tcPr>
            <w:tcW w:w="810" w:type="dxa"/>
            <w:shd w:val="clear" w:color="auto" w:fill="FFFFFF" w:themeFill="background1"/>
            <w:hideMark/>
          </w:tcPr>
          <w:p w14:paraId="0226CA65" w14:textId="77777777" w:rsidR="00957A78" w:rsidRPr="00B0693E" w:rsidRDefault="00957A78" w:rsidP="00A72B0A">
            <w:pPr>
              <w:spacing w:after="0" w:line="240" w:lineRule="auto"/>
              <w:ind w:hanging="103"/>
              <w:jc w:val="center"/>
              <w:rPr>
                <w:rFonts w:eastAsia="Times New Roman" w:cs="Calibri"/>
                <w:color w:val="000000"/>
                <w:sz w:val="20"/>
                <w:szCs w:val="20"/>
              </w:rPr>
            </w:pPr>
            <w:r w:rsidRPr="00B0693E">
              <w:rPr>
                <w:sz w:val="20"/>
              </w:rPr>
              <w:t>ՊՄԸ</w:t>
            </w:r>
          </w:p>
        </w:tc>
        <w:tc>
          <w:tcPr>
            <w:tcW w:w="2070" w:type="dxa"/>
            <w:shd w:val="clear" w:color="auto" w:fill="FFFFFF" w:themeFill="background1"/>
            <w:noWrap/>
            <w:hideMark/>
          </w:tcPr>
          <w:p w14:paraId="252F2596" w14:textId="77777777" w:rsidR="00957A78" w:rsidRPr="00B0693E" w:rsidRDefault="00957A78" w:rsidP="00A72B0A">
            <w:pPr>
              <w:spacing w:after="0" w:line="240" w:lineRule="auto"/>
              <w:ind w:firstLine="227"/>
              <w:jc w:val="center"/>
              <w:rPr>
                <w:rFonts w:eastAsia="Times New Roman" w:cs="Calibri"/>
                <w:color w:val="000000"/>
                <w:sz w:val="20"/>
                <w:szCs w:val="20"/>
              </w:rPr>
            </w:pPr>
            <w:r w:rsidRPr="00B0693E">
              <w:rPr>
                <w:sz w:val="20"/>
              </w:rPr>
              <w:t>5,231,734,897</w:t>
            </w:r>
          </w:p>
        </w:tc>
        <w:tc>
          <w:tcPr>
            <w:tcW w:w="2896" w:type="dxa"/>
            <w:shd w:val="clear" w:color="auto" w:fill="FFFFFF" w:themeFill="background1"/>
            <w:noWrap/>
            <w:hideMark/>
          </w:tcPr>
          <w:p w14:paraId="1CC1BB5F" w14:textId="77777777" w:rsidR="00957A78" w:rsidRPr="00B0693E" w:rsidRDefault="00957A78" w:rsidP="00A72B0A">
            <w:pPr>
              <w:spacing w:after="0" w:line="240" w:lineRule="auto"/>
              <w:ind w:firstLine="227"/>
              <w:jc w:val="center"/>
              <w:rPr>
                <w:rFonts w:eastAsia="Times New Roman" w:cs="Calibri"/>
                <w:color w:val="000000"/>
                <w:sz w:val="20"/>
                <w:szCs w:val="20"/>
              </w:rPr>
            </w:pPr>
            <w:r w:rsidRPr="00B0693E">
              <w:rPr>
                <w:sz w:val="20"/>
              </w:rPr>
              <w:t>1.86%</w:t>
            </w:r>
          </w:p>
        </w:tc>
      </w:tr>
      <w:tr w:rsidR="00957A78" w:rsidRPr="00130784" w14:paraId="0D1AA528" w14:textId="77777777" w:rsidTr="00A72B0A">
        <w:trPr>
          <w:trHeight w:val="680"/>
        </w:trPr>
        <w:tc>
          <w:tcPr>
            <w:tcW w:w="4670" w:type="dxa"/>
            <w:shd w:val="clear" w:color="auto" w:fill="FFFFFF" w:themeFill="background1"/>
            <w:hideMark/>
          </w:tcPr>
          <w:p w14:paraId="14F0B274" w14:textId="77777777" w:rsidR="00957A78" w:rsidRPr="00B0693E" w:rsidRDefault="00957A78" w:rsidP="00A72B0A">
            <w:pPr>
              <w:spacing w:after="0" w:line="240" w:lineRule="auto"/>
              <w:rPr>
                <w:rFonts w:eastAsia="Times New Roman" w:cs="Calibri"/>
                <w:color w:val="000000"/>
                <w:sz w:val="20"/>
                <w:szCs w:val="20"/>
              </w:rPr>
            </w:pPr>
            <w:r w:rsidRPr="00B0693E">
              <w:rPr>
                <w:sz w:val="20"/>
              </w:rPr>
              <w:t>10. ԳՖԿ ԾԻԳ (Գյուղատնտեսական տարածքների տնտեսական զարգացում ԳՏՏԶ)</w:t>
            </w:r>
          </w:p>
        </w:tc>
        <w:tc>
          <w:tcPr>
            <w:tcW w:w="810" w:type="dxa"/>
            <w:shd w:val="clear" w:color="auto" w:fill="FFFFFF" w:themeFill="background1"/>
            <w:hideMark/>
          </w:tcPr>
          <w:p w14:paraId="70FACFB9" w14:textId="77777777" w:rsidR="00957A78" w:rsidRPr="00B0693E" w:rsidRDefault="00957A78" w:rsidP="00A72B0A">
            <w:pPr>
              <w:spacing w:after="0" w:line="240" w:lineRule="auto"/>
              <w:jc w:val="center"/>
              <w:rPr>
                <w:rFonts w:eastAsia="Times New Roman" w:cs="Calibri"/>
                <w:color w:val="000000"/>
                <w:sz w:val="20"/>
                <w:szCs w:val="20"/>
              </w:rPr>
            </w:pPr>
          </w:p>
        </w:tc>
        <w:tc>
          <w:tcPr>
            <w:tcW w:w="2070" w:type="dxa"/>
            <w:shd w:val="clear" w:color="auto" w:fill="FFFFFF" w:themeFill="background1"/>
            <w:noWrap/>
            <w:hideMark/>
          </w:tcPr>
          <w:p w14:paraId="60FFE643" w14:textId="77777777" w:rsidR="00957A78" w:rsidRPr="00B0693E" w:rsidRDefault="00957A78" w:rsidP="00A72B0A">
            <w:pPr>
              <w:spacing w:after="0" w:line="240" w:lineRule="auto"/>
              <w:ind w:firstLine="227"/>
              <w:jc w:val="center"/>
              <w:rPr>
                <w:rFonts w:eastAsia="Times New Roman" w:cs="Calibri"/>
                <w:color w:val="000000"/>
                <w:sz w:val="20"/>
                <w:szCs w:val="20"/>
              </w:rPr>
            </w:pPr>
            <w:r w:rsidRPr="00B0693E">
              <w:rPr>
                <w:sz w:val="20"/>
              </w:rPr>
              <w:t>3,800,472,545</w:t>
            </w:r>
          </w:p>
        </w:tc>
        <w:tc>
          <w:tcPr>
            <w:tcW w:w="2896" w:type="dxa"/>
            <w:shd w:val="clear" w:color="auto" w:fill="FFFFFF" w:themeFill="background1"/>
            <w:noWrap/>
            <w:hideMark/>
          </w:tcPr>
          <w:p w14:paraId="5431947F" w14:textId="77777777" w:rsidR="00957A78" w:rsidRPr="00B0693E" w:rsidRDefault="00957A78" w:rsidP="00A72B0A">
            <w:pPr>
              <w:spacing w:after="0" w:line="240" w:lineRule="auto"/>
              <w:ind w:firstLine="227"/>
              <w:jc w:val="center"/>
              <w:rPr>
                <w:rFonts w:eastAsia="Times New Roman" w:cs="Calibri"/>
                <w:color w:val="000000"/>
                <w:sz w:val="20"/>
                <w:szCs w:val="20"/>
              </w:rPr>
            </w:pPr>
            <w:r w:rsidRPr="00B0693E">
              <w:rPr>
                <w:sz w:val="20"/>
              </w:rPr>
              <w:t>1.35%</w:t>
            </w:r>
          </w:p>
        </w:tc>
      </w:tr>
    </w:tbl>
    <w:p w14:paraId="523E9AEA" w14:textId="77777777" w:rsidR="00957A78" w:rsidRPr="00A461D4" w:rsidRDefault="00957A78" w:rsidP="00957A78">
      <w:pPr>
        <w:spacing w:line="240" w:lineRule="auto"/>
        <w:rPr>
          <w:i/>
          <w:sz w:val="20"/>
          <w:szCs w:val="20"/>
          <w:lang w:val="hy-AM"/>
        </w:rPr>
      </w:pPr>
      <w:r w:rsidRPr="00A461D4">
        <w:rPr>
          <w:b/>
          <w:i/>
          <w:sz w:val="20"/>
          <w:szCs w:val="20"/>
          <w:lang w:val="hy-AM"/>
        </w:rPr>
        <w:t xml:space="preserve">Աղյուսակ </w:t>
      </w:r>
      <w:r>
        <w:rPr>
          <w:b/>
          <w:i/>
          <w:sz w:val="20"/>
          <w:szCs w:val="20"/>
          <w:lang w:val="hy-AM"/>
        </w:rPr>
        <w:t>4</w:t>
      </w:r>
      <w:r w:rsidRPr="00A461D4">
        <w:rPr>
          <w:b/>
          <w:i/>
          <w:sz w:val="20"/>
          <w:szCs w:val="20"/>
          <w:lang w:val="hy-AM"/>
        </w:rPr>
        <w:t xml:space="preserve">. </w:t>
      </w:r>
      <w:r w:rsidRPr="00A461D4">
        <w:rPr>
          <w:i/>
          <w:sz w:val="20"/>
          <w:szCs w:val="20"/>
          <w:lang w:val="hy-AM"/>
        </w:rPr>
        <w:t>Վարկային պորտֆելի 10 խոշոր վարկառուները, ՀՀ դրամ</w:t>
      </w:r>
    </w:p>
    <w:p w14:paraId="46C9E35E" w14:textId="77777777" w:rsidR="00957A78" w:rsidRDefault="00957A78" w:rsidP="00957A78">
      <w:pPr>
        <w:spacing w:after="0" w:line="240" w:lineRule="auto"/>
        <w:rPr>
          <w:sz w:val="24"/>
          <w:szCs w:val="24"/>
          <w:lang w:val="hy-AM"/>
        </w:rPr>
      </w:pPr>
    </w:p>
    <w:p w14:paraId="4A245741" w14:textId="77777777" w:rsidR="00957A78" w:rsidRPr="00C84801" w:rsidRDefault="00957A78" w:rsidP="00957A78">
      <w:pPr>
        <w:spacing w:after="0"/>
        <w:jc w:val="both"/>
        <w:rPr>
          <w:lang w:val="hy-AM"/>
        </w:rPr>
      </w:pPr>
      <w:r w:rsidRPr="00E21AF2">
        <w:rPr>
          <w:lang w:val="hy-AM"/>
        </w:rPr>
        <w:t>Բյուջետային վարկերից</w:t>
      </w:r>
      <w:r w:rsidRPr="00C84801">
        <w:rPr>
          <w:lang w:val="hy-AM"/>
        </w:rPr>
        <w:t xml:space="preserve"> բացի պետության կողմից տրամադրվում են նաև պետական երաշխիքներ, որոնք</w:t>
      </w:r>
      <w:r>
        <w:rPr>
          <w:lang w:val="hy-AM"/>
        </w:rPr>
        <w:t xml:space="preserve">, </w:t>
      </w:r>
      <w:r w:rsidRPr="00C84801">
        <w:rPr>
          <w:lang w:val="hy-AM"/>
        </w:rPr>
        <w:t>ներքին և արտաքին պետական պարտքի հետ միաժամանակ</w:t>
      </w:r>
      <w:r>
        <w:rPr>
          <w:lang w:val="hy-AM"/>
        </w:rPr>
        <w:t xml:space="preserve">, </w:t>
      </w:r>
      <w:r w:rsidRPr="00C84801">
        <w:rPr>
          <w:lang w:val="hy-AM"/>
        </w:rPr>
        <w:t xml:space="preserve">հանդիսանում են պետական պարտքի բաղադրիչ և ըստ տեսակների լինում </w:t>
      </w:r>
      <w:r>
        <w:rPr>
          <w:lang w:val="hy-AM"/>
        </w:rPr>
        <w:t>են</w:t>
      </w:r>
      <w:r w:rsidRPr="00C84801">
        <w:rPr>
          <w:lang w:val="hy-AM"/>
        </w:rPr>
        <w:t xml:space="preserve"> </w:t>
      </w:r>
      <w:r w:rsidRPr="00C84801">
        <w:rPr>
          <w:i/>
          <w:lang w:val="hy-AM"/>
        </w:rPr>
        <w:t>ներքին և արտաքին</w:t>
      </w:r>
      <w:r w:rsidRPr="00C84801">
        <w:rPr>
          <w:lang w:val="hy-AM"/>
        </w:rPr>
        <w:t>:</w:t>
      </w:r>
    </w:p>
    <w:p w14:paraId="6F3424BD" w14:textId="77777777" w:rsidR="00957A78" w:rsidRPr="006D4F65" w:rsidRDefault="00957A78" w:rsidP="00957A78">
      <w:pPr>
        <w:spacing w:after="0"/>
        <w:jc w:val="both"/>
        <w:rPr>
          <w:lang w:val="hy-AM"/>
        </w:rPr>
      </w:pPr>
      <w:r>
        <w:rPr>
          <w:lang w:val="hy-AM"/>
        </w:rPr>
        <w:t>2024</w:t>
      </w:r>
      <w:r w:rsidRPr="00C84801">
        <w:rPr>
          <w:lang w:val="hy-AM"/>
        </w:rPr>
        <w:t xml:space="preserve"> թվականի դեկտեմբերի 31-ի դրությամբ տրամադրված երաշխիքները կազմել են հանրագումարային </w:t>
      </w:r>
      <w:r w:rsidRPr="006D4F65">
        <w:rPr>
          <w:lang w:val="hy-AM"/>
        </w:rPr>
        <w:t>37.96</w:t>
      </w:r>
      <w:r w:rsidRPr="00C84801">
        <w:rPr>
          <w:lang w:val="hy-AM"/>
        </w:rPr>
        <w:t xml:space="preserve"> մլրդ ՀՀ դրամ կամ նույն տարվա ՀՆԱ-ի</w:t>
      </w:r>
      <w:r>
        <w:rPr>
          <w:lang w:val="hy-AM"/>
        </w:rPr>
        <w:t xml:space="preserve"> 0.</w:t>
      </w:r>
      <w:r w:rsidRPr="006D4F65">
        <w:rPr>
          <w:lang w:val="hy-AM"/>
        </w:rPr>
        <w:t>37</w:t>
      </w:r>
      <w:r w:rsidRPr="00C84801">
        <w:rPr>
          <w:lang w:val="hy-AM"/>
        </w:rPr>
        <w:t>%-ը:</w:t>
      </w:r>
    </w:p>
    <w:p w14:paraId="3E72557B" w14:textId="77777777" w:rsidR="00957A78" w:rsidRPr="00C84801" w:rsidRDefault="00957A78" w:rsidP="00957A78">
      <w:pPr>
        <w:spacing w:after="0"/>
        <w:jc w:val="both"/>
        <w:rPr>
          <w:lang w:val="hy-AM"/>
        </w:rPr>
      </w:pPr>
      <w:r w:rsidRPr="00C84801">
        <w:rPr>
          <w:lang w:val="hy-AM"/>
        </w:rPr>
        <w:t>Վերոնշյալ երաշխիքների փաթեթում արտարժույթով տրամադրված երաշխիքները կազմել են հանրագումարային</w:t>
      </w:r>
      <w:r>
        <w:rPr>
          <w:lang w:val="hy-AM"/>
        </w:rPr>
        <w:t xml:space="preserve"> 71.</w:t>
      </w:r>
      <w:r w:rsidRPr="00951489">
        <w:rPr>
          <w:lang w:val="hy-AM"/>
        </w:rPr>
        <w:t>7</w:t>
      </w:r>
      <w:r w:rsidRPr="00C84801">
        <w:rPr>
          <w:lang w:val="hy-AM"/>
        </w:rPr>
        <w:t xml:space="preserve"> մլն ԱՄՆ դոլար, իսկ ազգային արժույթով՝ </w:t>
      </w:r>
      <w:r w:rsidRPr="00C865C2">
        <w:rPr>
          <w:lang w:val="hy-AM"/>
        </w:rPr>
        <w:t>9.5</w:t>
      </w:r>
      <w:r w:rsidRPr="00C84801">
        <w:rPr>
          <w:lang w:val="hy-AM"/>
        </w:rPr>
        <w:t xml:space="preserve"> մլրդ ՀՀ դրամ:</w:t>
      </w:r>
    </w:p>
    <w:p w14:paraId="43461C09" w14:textId="77777777" w:rsidR="00957A78" w:rsidRDefault="00957A78" w:rsidP="00957A78">
      <w:pPr>
        <w:spacing w:after="0"/>
        <w:jc w:val="both"/>
        <w:rPr>
          <w:lang w:val="hy-AM"/>
        </w:rPr>
      </w:pPr>
      <w:r w:rsidRPr="00C84801">
        <w:rPr>
          <w:lang w:val="hy-AM"/>
        </w:rPr>
        <w:t>Ստորև ներկայացնենք տրամադրված պետական երաշխիքների դինամիկան</w:t>
      </w:r>
      <w:r w:rsidRPr="002A7D7E">
        <w:rPr>
          <w:lang w:val="hy-AM"/>
        </w:rPr>
        <w:t xml:space="preserve"> </w:t>
      </w:r>
      <w:r>
        <w:rPr>
          <w:lang w:val="hy-AM"/>
        </w:rPr>
        <w:t>և վերջիններիս տեսակարար կշիռը Կառավարության պարտքում</w:t>
      </w:r>
      <w:r w:rsidRPr="00C84801">
        <w:rPr>
          <w:lang w:val="hy-AM"/>
        </w:rPr>
        <w:t>՝ ըստ տարիների:</w:t>
      </w:r>
    </w:p>
    <w:p w14:paraId="73AE62A1" w14:textId="77777777" w:rsidR="00957A78" w:rsidRDefault="00957A78" w:rsidP="00957A78">
      <w:pPr>
        <w:spacing w:before="0" w:after="160" w:line="259" w:lineRule="auto"/>
        <w:rPr>
          <w:b/>
          <w:i/>
          <w:sz w:val="20"/>
          <w:szCs w:val="20"/>
          <w:lang w:val="hy-AM"/>
        </w:rPr>
      </w:pPr>
      <w:r>
        <w:rPr>
          <w:b/>
          <w:i/>
          <w:sz w:val="20"/>
          <w:szCs w:val="20"/>
          <w:lang w:val="hy-AM"/>
        </w:rPr>
        <w:br w:type="page"/>
      </w:r>
    </w:p>
    <w:p w14:paraId="040AA0C5" w14:textId="77777777" w:rsidR="00957A78" w:rsidRPr="00A461D4" w:rsidRDefault="00957A78" w:rsidP="00957A78">
      <w:pPr>
        <w:spacing w:after="0"/>
        <w:rPr>
          <w:i/>
          <w:sz w:val="20"/>
          <w:szCs w:val="20"/>
          <w:lang w:val="hy-AM"/>
        </w:rPr>
      </w:pPr>
      <w:r w:rsidRPr="00A461D4">
        <w:rPr>
          <w:b/>
          <w:i/>
          <w:sz w:val="20"/>
          <w:szCs w:val="20"/>
          <w:lang w:val="hy-AM"/>
        </w:rPr>
        <w:t>Գծապատկեր</w:t>
      </w:r>
      <w:r>
        <w:rPr>
          <w:b/>
          <w:i/>
          <w:sz w:val="20"/>
          <w:szCs w:val="20"/>
          <w:lang w:val="hy-AM"/>
        </w:rPr>
        <w:t xml:space="preserve"> 21</w:t>
      </w:r>
      <w:r w:rsidRPr="00A461D4">
        <w:rPr>
          <w:b/>
          <w:i/>
          <w:sz w:val="20"/>
          <w:szCs w:val="20"/>
          <w:lang w:val="hy-AM"/>
        </w:rPr>
        <w:t xml:space="preserve">. </w:t>
      </w:r>
      <w:r w:rsidRPr="00A461D4">
        <w:rPr>
          <w:i/>
          <w:sz w:val="20"/>
          <w:szCs w:val="20"/>
          <w:lang w:val="hy-AM"/>
        </w:rPr>
        <w:t xml:space="preserve">Տրամադրված պետական երաշխիքների դինամիկան և վերջիններիս տեսակարար կշիռը Կառավարության պարտքում՝ 2016-2024 թթ. (մլրդ ՀՀ դրամ, </w:t>
      </w:r>
      <w:r w:rsidRPr="00A461D4">
        <w:rPr>
          <w:i/>
          <w:sz w:val="20"/>
          <w:szCs w:val="20"/>
        </w:rPr>
        <w:t>%</w:t>
      </w:r>
      <w:r w:rsidRPr="00A461D4">
        <w:rPr>
          <w:i/>
          <w:sz w:val="20"/>
          <w:szCs w:val="20"/>
          <w:lang w:val="hy-AM"/>
        </w:rPr>
        <w:t>)</w:t>
      </w:r>
    </w:p>
    <w:p w14:paraId="26C656CC" w14:textId="77777777" w:rsidR="00957A78" w:rsidRDefault="00957A78" w:rsidP="00957A78">
      <w:pPr>
        <w:spacing w:line="240" w:lineRule="auto"/>
        <w:jc w:val="center"/>
        <w:rPr>
          <w:sz w:val="24"/>
          <w:szCs w:val="24"/>
          <w:lang w:val="hy-AM"/>
        </w:rPr>
      </w:pPr>
      <w:r>
        <w:rPr>
          <w:noProof/>
        </w:rPr>
        <w:drawing>
          <wp:inline distT="0" distB="0" distL="0" distR="0" wp14:anchorId="0B969D5A" wp14:editId="2C1F320E">
            <wp:extent cx="5419725" cy="2733675"/>
            <wp:effectExtent l="0" t="0" r="9525" b="9525"/>
            <wp:docPr id="1545876456" name="Chart 1545876456"/>
            <wp:cNvGraphicFramePr/>
            <a:graphic xmlns:a="http://schemas.openxmlformats.org/drawingml/2006/main">
              <a:graphicData uri="http://schemas.openxmlformats.org/drawingml/2006/chart">
                <c:chart xmlns:c="http://schemas.openxmlformats.org/drawingml/2006/chart" xmlns:r="http://schemas.openxmlformats.org/officeDocument/2006/relationships" r:id="rId116"/>
              </a:graphicData>
            </a:graphic>
          </wp:inline>
        </w:drawing>
      </w:r>
    </w:p>
    <w:p w14:paraId="21FC908D" w14:textId="77777777" w:rsidR="00957A78" w:rsidRPr="007F261E" w:rsidRDefault="00957A78" w:rsidP="00957A78">
      <w:pPr>
        <w:spacing w:after="0"/>
        <w:jc w:val="both"/>
        <w:rPr>
          <w:lang w:val="hy-AM"/>
        </w:rPr>
      </w:pPr>
      <w:r w:rsidRPr="00966EFD">
        <w:rPr>
          <w:lang w:val="hy-AM"/>
        </w:rPr>
        <w:t>Ինչպես նկատելի է գծապատկերից</w:t>
      </w:r>
      <w:r>
        <w:rPr>
          <w:lang w:val="hy-AM"/>
        </w:rPr>
        <w:t>,</w:t>
      </w:r>
      <w:r w:rsidRPr="00966EFD">
        <w:rPr>
          <w:lang w:val="hy-AM"/>
        </w:rPr>
        <w:t xml:space="preserve"> վերջին տարիներին Երաշխիքներ/Կառավարության պարտք ցուցանիշը ցուցաբերել է մոնոտոն նվազման միտում՝ պայմանավորված մի կողմից տրամադրված </w:t>
      </w:r>
      <w:r>
        <w:rPr>
          <w:lang w:val="hy-AM"/>
        </w:rPr>
        <w:t>արտաքին երաշխիքներով ապահովված պարտավորությունների նվազմամբ</w:t>
      </w:r>
      <w:r w:rsidRPr="008A1D98">
        <w:rPr>
          <w:lang w:val="hy-AM"/>
        </w:rPr>
        <w:t xml:space="preserve"> (</w:t>
      </w:r>
      <w:r>
        <w:rPr>
          <w:lang w:val="hy-AM"/>
        </w:rPr>
        <w:t>մարման ժամկետի լրացում, պարտավորության մնացորդի նվազում</w:t>
      </w:r>
      <w:r w:rsidRPr="008A1D98">
        <w:rPr>
          <w:lang w:val="hy-AM"/>
        </w:rPr>
        <w:t>)</w:t>
      </w:r>
      <w:r w:rsidRPr="00966EFD">
        <w:rPr>
          <w:lang w:val="hy-AM"/>
        </w:rPr>
        <w:t>, մյուս կողմից Կառավարության պարտքի ավելացմամբ:</w:t>
      </w:r>
    </w:p>
    <w:p w14:paraId="71422CCA" w14:textId="77777777" w:rsidR="00957A78" w:rsidRDefault="00957A78" w:rsidP="00957A78">
      <w:pPr>
        <w:spacing w:after="0"/>
        <w:jc w:val="both"/>
        <w:rPr>
          <w:lang w:val="hy-AM"/>
        </w:rPr>
      </w:pPr>
      <w:r w:rsidRPr="00C84801">
        <w:rPr>
          <w:lang w:val="hy-AM"/>
        </w:rPr>
        <w:t>Ստորև ներկայացնենք պետական երաշխիքների տարանջատումը՝ արտաքինի և ներքինի</w:t>
      </w:r>
      <w:r>
        <w:rPr>
          <w:lang w:val="hy-AM"/>
        </w:rPr>
        <w:t>՝</w:t>
      </w:r>
      <w:r w:rsidRPr="00C84801">
        <w:rPr>
          <w:lang w:val="hy-AM"/>
        </w:rPr>
        <w:t xml:space="preserve"> ըստ տարիների:</w:t>
      </w:r>
    </w:p>
    <w:p w14:paraId="12BD2ABC" w14:textId="77777777" w:rsidR="00957A78" w:rsidRDefault="00957A78" w:rsidP="00957A78">
      <w:pPr>
        <w:spacing w:after="0"/>
        <w:rPr>
          <w:b/>
          <w:i/>
          <w:sz w:val="20"/>
          <w:szCs w:val="20"/>
          <w:lang w:val="hy-AM"/>
        </w:rPr>
      </w:pPr>
    </w:p>
    <w:p w14:paraId="7E1D30C1" w14:textId="77777777" w:rsidR="00957A78" w:rsidRPr="00727FD5" w:rsidRDefault="00957A78" w:rsidP="00957A78">
      <w:pPr>
        <w:spacing w:after="0"/>
        <w:rPr>
          <w:i/>
          <w:sz w:val="20"/>
          <w:szCs w:val="20"/>
          <w:lang w:val="hy-AM"/>
        </w:rPr>
      </w:pPr>
      <w:r w:rsidRPr="00727FD5">
        <w:rPr>
          <w:b/>
          <w:i/>
          <w:sz w:val="20"/>
          <w:szCs w:val="20"/>
          <w:lang w:val="hy-AM"/>
        </w:rPr>
        <w:t>Գծապատկեր 2</w:t>
      </w:r>
      <w:r>
        <w:rPr>
          <w:b/>
          <w:i/>
          <w:sz w:val="20"/>
          <w:szCs w:val="20"/>
          <w:lang w:val="hy-AM"/>
        </w:rPr>
        <w:t>2</w:t>
      </w:r>
      <w:r w:rsidRPr="00727FD5">
        <w:rPr>
          <w:b/>
          <w:i/>
          <w:sz w:val="20"/>
          <w:szCs w:val="20"/>
          <w:lang w:val="hy-AM"/>
        </w:rPr>
        <w:t xml:space="preserve">. </w:t>
      </w:r>
      <w:r w:rsidRPr="00727FD5">
        <w:rPr>
          <w:i/>
          <w:sz w:val="20"/>
          <w:szCs w:val="20"/>
          <w:lang w:val="hy-AM"/>
        </w:rPr>
        <w:t>Պետական երաշխիքների տարանջատումը՝ արտաքինի և ներքինի 2016-2024թթ.</w:t>
      </w:r>
    </w:p>
    <w:p w14:paraId="40E460BD" w14:textId="77777777" w:rsidR="00957A78" w:rsidRPr="00C84801" w:rsidRDefault="00957A78" w:rsidP="00957A78">
      <w:pPr>
        <w:spacing w:line="240" w:lineRule="auto"/>
        <w:jc w:val="center"/>
        <w:rPr>
          <w:sz w:val="24"/>
          <w:szCs w:val="24"/>
          <w:lang w:val="hy-AM"/>
        </w:rPr>
      </w:pPr>
      <w:r>
        <w:rPr>
          <w:noProof/>
        </w:rPr>
        <w:drawing>
          <wp:inline distT="0" distB="0" distL="0" distR="0" wp14:anchorId="43D00AF1" wp14:editId="1F40A0CF">
            <wp:extent cx="6435306" cy="2665562"/>
            <wp:effectExtent l="0" t="0" r="3810" b="1905"/>
            <wp:docPr id="1545876457" name="Chart 1545876457"/>
            <wp:cNvGraphicFramePr/>
            <a:graphic xmlns:a="http://schemas.openxmlformats.org/drawingml/2006/main">
              <a:graphicData uri="http://schemas.openxmlformats.org/drawingml/2006/chart">
                <c:chart xmlns:c="http://schemas.openxmlformats.org/drawingml/2006/chart" xmlns:r="http://schemas.openxmlformats.org/officeDocument/2006/relationships" r:id="rId117"/>
              </a:graphicData>
            </a:graphic>
          </wp:inline>
        </w:drawing>
      </w:r>
    </w:p>
    <w:p w14:paraId="145FF99F" w14:textId="77777777" w:rsidR="00957A78" w:rsidRPr="00C84801" w:rsidRDefault="00957A78" w:rsidP="00957A78">
      <w:pPr>
        <w:spacing w:after="0"/>
        <w:jc w:val="both"/>
        <w:rPr>
          <w:lang w:val="hy-AM"/>
        </w:rPr>
      </w:pPr>
      <w:r w:rsidRPr="00C84801">
        <w:rPr>
          <w:lang w:val="hy-AM"/>
        </w:rPr>
        <w:t xml:space="preserve">Գծապատկերից նկատելի է, որ բյուջետային երաշխիքները մեծամասամբ տրամադրվել են արտարժույթով, ինչն էլ փաստում է փաթեթի՝ արտարժութային ռիսկի ենթարկվածության բարձր մակարդակի մասին: </w:t>
      </w:r>
      <w:r>
        <w:rPr>
          <w:lang w:val="hy-AM"/>
        </w:rPr>
        <w:t xml:space="preserve">Հատկանշական է այն, որ 2024 թվականին տրամադրվել է թվով 6 ներքին երաշխիք՝ գյուղատնտեսական հումքի մթերումների նպատակով ագրովերամշակման ոլորտին տրամադրվող աջակցության շրջանակում: </w:t>
      </w:r>
    </w:p>
    <w:p w14:paraId="40F7FCC3" w14:textId="77777777" w:rsidR="00957A78" w:rsidRDefault="00957A78" w:rsidP="00957A78">
      <w:pPr>
        <w:spacing w:after="0"/>
        <w:jc w:val="both"/>
        <w:rPr>
          <w:lang w:val="hy-AM"/>
        </w:rPr>
      </w:pPr>
      <w:r w:rsidRPr="00C84801">
        <w:rPr>
          <w:lang w:val="hy-AM"/>
        </w:rPr>
        <w:t>Ներկայացնենք երաշխավորվող կազմակերպությունների ցանկը, տրամադրված երաշխիքի չափը ՀՀ դրամով և կշիռը համապատասխան պորտֆելում</w:t>
      </w:r>
      <w:r>
        <w:rPr>
          <w:lang w:val="hy-AM"/>
        </w:rPr>
        <w:t>՝ 2024</w:t>
      </w:r>
      <w:r w:rsidRPr="00C84801">
        <w:rPr>
          <w:lang w:val="hy-AM"/>
        </w:rPr>
        <w:t>թ.-ի դեկտեմբերի 31-ի դրությամբ (</w:t>
      </w:r>
      <w:r>
        <w:rPr>
          <w:lang w:val="hy-AM"/>
        </w:rPr>
        <w:t xml:space="preserve">տես՝ </w:t>
      </w:r>
      <w:r w:rsidRPr="00C84801">
        <w:rPr>
          <w:lang w:val="hy-AM"/>
        </w:rPr>
        <w:t xml:space="preserve">աղյուսակ </w:t>
      </w:r>
      <w:r>
        <w:rPr>
          <w:lang w:val="hy-AM"/>
        </w:rPr>
        <w:t>5</w:t>
      </w:r>
      <w:r w:rsidRPr="00C84801">
        <w:rPr>
          <w:lang w:val="hy-AM"/>
        </w:rPr>
        <w:t>):</w:t>
      </w:r>
    </w:p>
    <w:p w14:paraId="04A8A0EE" w14:textId="77777777" w:rsidR="00957A78" w:rsidRDefault="00957A78" w:rsidP="00957A78">
      <w:pPr>
        <w:rPr>
          <w:b/>
          <w:i/>
          <w:sz w:val="20"/>
          <w:szCs w:val="20"/>
          <w:lang w:val="hy-AM"/>
        </w:rPr>
      </w:pPr>
    </w:p>
    <w:p w14:paraId="54328701" w14:textId="77777777" w:rsidR="00957A78" w:rsidRPr="00A461D4" w:rsidRDefault="00957A78" w:rsidP="00957A78">
      <w:pPr>
        <w:rPr>
          <w:i/>
          <w:sz w:val="20"/>
          <w:szCs w:val="20"/>
          <w:lang w:val="hy-AM"/>
        </w:rPr>
      </w:pPr>
      <w:r w:rsidRPr="00A461D4">
        <w:rPr>
          <w:b/>
          <w:i/>
          <w:sz w:val="20"/>
          <w:szCs w:val="20"/>
          <w:lang w:val="hy-AM"/>
        </w:rPr>
        <w:t xml:space="preserve">Աղյուսակ </w:t>
      </w:r>
      <w:r>
        <w:rPr>
          <w:b/>
          <w:i/>
          <w:sz w:val="20"/>
          <w:szCs w:val="20"/>
          <w:lang w:val="hy-AM"/>
        </w:rPr>
        <w:t>5</w:t>
      </w:r>
      <w:r w:rsidRPr="00A461D4">
        <w:rPr>
          <w:b/>
          <w:i/>
          <w:sz w:val="20"/>
          <w:szCs w:val="20"/>
          <w:lang w:val="hy-AM"/>
        </w:rPr>
        <w:t xml:space="preserve">. </w:t>
      </w:r>
      <w:r w:rsidRPr="00A461D4">
        <w:rPr>
          <w:i/>
          <w:sz w:val="20"/>
          <w:szCs w:val="20"/>
          <w:lang w:val="hy-AM"/>
        </w:rPr>
        <w:t>Երաշխավորվող կազմակերպությունների ցանկ</w:t>
      </w:r>
    </w:p>
    <w:tbl>
      <w:tblPr>
        <w:tblW w:w="9845" w:type="dxa"/>
        <w:jc w:val="center"/>
        <w:tbl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insideH w:val="single" w:sz="8" w:space="0" w:color="D9D9D9" w:themeColor="background1" w:themeShade="D9"/>
          <w:insideV w:val="single" w:sz="8" w:space="0" w:color="D9D9D9" w:themeColor="background1" w:themeShade="D9"/>
        </w:tblBorders>
        <w:tblLook w:val="04A0" w:firstRow="1" w:lastRow="0" w:firstColumn="1" w:lastColumn="0" w:noHBand="0" w:noVBand="1"/>
      </w:tblPr>
      <w:tblGrid>
        <w:gridCol w:w="2967"/>
        <w:gridCol w:w="2552"/>
        <w:gridCol w:w="2342"/>
        <w:gridCol w:w="1984"/>
      </w:tblGrid>
      <w:tr w:rsidR="00957A78" w:rsidRPr="00793ECF" w14:paraId="260F4BBE" w14:textId="77777777" w:rsidTr="00A72B0A">
        <w:trPr>
          <w:trHeight w:val="57"/>
          <w:jc w:val="center"/>
        </w:trPr>
        <w:tc>
          <w:tcPr>
            <w:tcW w:w="2967" w:type="dxa"/>
            <w:shd w:val="clear" w:color="auto" w:fill="D5DCE4" w:themeFill="text2" w:themeFillTint="33"/>
            <w:noWrap/>
            <w:vAlign w:val="center"/>
          </w:tcPr>
          <w:p w14:paraId="31720236" w14:textId="77777777" w:rsidR="00957A78" w:rsidRPr="006F23D7" w:rsidRDefault="00957A78" w:rsidP="00A72B0A">
            <w:pPr>
              <w:spacing w:after="0" w:line="240" w:lineRule="auto"/>
              <w:rPr>
                <w:rFonts w:eastAsia="Times New Roman" w:cs="Calibri"/>
                <w:b/>
                <w:bCs/>
                <w:i/>
                <w:color w:val="35363A" w:themeColor="accent3" w:themeShade="80"/>
                <w:sz w:val="20"/>
                <w:szCs w:val="20"/>
              </w:rPr>
            </w:pPr>
            <w:r w:rsidRPr="006F23D7">
              <w:rPr>
                <w:rFonts w:eastAsia="Times New Roman" w:cs="Times New Roman"/>
                <w:b/>
                <w:i/>
                <w:color w:val="404040"/>
                <w:sz w:val="20"/>
                <w:szCs w:val="18"/>
              </w:rPr>
              <w:t>Արտաքին  երաշխիքներ</w:t>
            </w:r>
          </w:p>
        </w:tc>
        <w:tc>
          <w:tcPr>
            <w:tcW w:w="2552" w:type="dxa"/>
            <w:shd w:val="clear" w:color="auto" w:fill="D5DCE4" w:themeFill="text2" w:themeFillTint="33"/>
            <w:noWrap/>
            <w:vAlign w:val="center"/>
          </w:tcPr>
          <w:p w14:paraId="7DCBAB14" w14:textId="77777777" w:rsidR="00957A78" w:rsidRPr="001F4D77" w:rsidRDefault="00957A78" w:rsidP="00A72B0A">
            <w:pPr>
              <w:spacing w:after="0" w:line="240" w:lineRule="auto"/>
              <w:rPr>
                <w:rFonts w:eastAsia="Times New Roman" w:cs="Calibri"/>
                <w:b/>
                <w:bCs/>
                <w:color w:val="35363A" w:themeColor="accent3" w:themeShade="80"/>
                <w:sz w:val="20"/>
                <w:szCs w:val="20"/>
              </w:rPr>
            </w:pPr>
          </w:p>
        </w:tc>
        <w:tc>
          <w:tcPr>
            <w:tcW w:w="2342" w:type="dxa"/>
            <w:shd w:val="clear" w:color="auto" w:fill="D5DCE4" w:themeFill="text2" w:themeFillTint="33"/>
            <w:noWrap/>
            <w:vAlign w:val="center"/>
          </w:tcPr>
          <w:p w14:paraId="096F19D3" w14:textId="77777777" w:rsidR="00957A78" w:rsidRPr="001F4D77" w:rsidRDefault="00957A78" w:rsidP="00A72B0A">
            <w:pPr>
              <w:spacing w:after="0" w:line="240" w:lineRule="auto"/>
              <w:ind w:firstLine="91"/>
              <w:jc w:val="center"/>
              <w:rPr>
                <w:rFonts w:eastAsia="Times New Roman" w:cs="Calibri"/>
                <w:b/>
                <w:bCs/>
                <w:color w:val="35363A" w:themeColor="accent3" w:themeShade="80"/>
                <w:sz w:val="20"/>
                <w:szCs w:val="20"/>
              </w:rPr>
            </w:pPr>
          </w:p>
        </w:tc>
        <w:tc>
          <w:tcPr>
            <w:tcW w:w="1984" w:type="dxa"/>
            <w:shd w:val="clear" w:color="auto" w:fill="D5DCE4" w:themeFill="text2" w:themeFillTint="33"/>
            <w:vAlign w:val="center"/>
          </w:tcPr>
          <w:p w14:paraId="063E7B5D" w14:textId="77777777" w:rsidR="00957A78" w:rsidRPr="001F4D77" w:rsidRDefault="00957A78" w:rsidP="00A72B0A">
            <w:pPr>
              <w:spacing w:after="0" w:line="240" w:lineRule="auto"/>
              <w:jc w:val="center"/>
              <w:rPr>
                <w:rFonts w:eastAsia="Times New Roman" w:cs="Calibri"/>
                <w:b/>
                <w:bCs/>
                <w:color w:val="35363A" w:themeColor="accent3" w:themeShade="80"/>
                <w:sz w:val="20"/>
                <w:szCs w:val="20"/>
              </w:rPr>
            </w:pPr>
          </w:p>
        </w:tc>
      </w:tr>
      <w:tr w:rsidR="00957A78" w:rsidRPr="00793ECF" w14:paraId="2BBD942C" w14:textId="77777777" w:rsidTr="00A72B0A">
        <w:trPr>
          <w:trHeight w:val="57"/>
          <w:jc w:val="center"/>
        </w:trPr>
        <w:tc>
          <w:tcPr>
            <w:tcW w:w="2967" w:type="dxa"/>
            <w:shd w:val="clear" w:color="auto" w:fill="D5DCE4" w:themeFill="text2" w:themeFillTint="33"/>
            <w:noWrap/>
            <w:vAlign w:val="center"/>
            <w:hideMark/>
          </w:tcPr>
          <w:p w14:paraId="33D99144" w14:textId="77777777" w:rsidR="00957A78" w:rsidRPr="001F4D77" w:rsidRDefault="00957A78" w:rsidP="00A72B0A">
            <w:pPr>
              <w:spacing w:after="0" w:line="240" w:lineRule="auto"/>
              <w:rPr>
                <w:rFonts w:eastAsia="Times New Roman" w:cs="Calibri"/>
                <w:b/>
                <w:bCs/>
                <w:color w:val="35363A" w:themeColor="accent3" w:themeShade="80"/>
                <w:sz w:val="20"/>
                <w:szCs w:val="20"/>
              </w:rPr>
            </w:pPr>
            <w:bookmarkStart w:id="521" w:name="RANGE!B211"/>
            <w:r w:rsidRPr="001F4D77">
              <w:rPr>
                <w:rFonts w:eastAsia="Times New Roman" w:cs="Calibri"/>
                <w:b/>
                <w:bCs/>
                <w:color w:val="35363A" w:themeColor="accent3" w:themeShade="80"/>
                <w:sz w:val="20"/>
                <w:szCs w:val="20"/>
              </w:rPr>
              <w:t>Պրինցիպալ</w:t>
            </w:r>
            <w:bookmarkEnd w:id="521"/>
          </w:p>
        </w:tc>
        <w:tc>
          <w:tcPr>
            <w:tcW w:w="2552" w:type="dxa"/>
            <w:shd w:val="clear" w:color="auto" w:fill="D5DCE4" w:themeFill="text2" w:themeFillTint="33"/>
            <w:noWrap/>
            <w:vAlign w:val="center"/>
            <w:hideMark/>
          </w:tcPr>
          <w:p w14:paraId="3CA69DFE" w14:textId="77777777" w:rsidR="00957A78" w:rsidRPr="001F4D77" w:rsidRDefault="00957A78" w:rsidP="00A72B0A">
            <w:pPr>
              <w:spacing w:after="0" w:line="240" w:lineRule="auto"/>
              <w:rPr>
                <w:rFonts w:eastAsia="Times New Roman" w:cs="Calibri"/>
                <w:b/>
                <w:bCs/>
                <w:color w:val="35363A" w:themeColor="accent3" w:themeShade="80"/>
                <w:sz w:val="20"/>
                <w:szCs w:val="20"/>
              </w:rPr>
            </w:pPr>
            <w:bookmarkStart w:id="522" w:name="RANGE!C211"/>
            <w:r w:rsidRPr="001F4D77">
              <w:rPr>
                <w:rFonts w:eastAsia="Times New Roman" w:cs="Calibri"/>
                <w:b/>
                <w:bCs/>
                <w:color w:val="35363A" w:themeColor="accent3" w:themeShade="80"/>
                <w:sz w:val="20"/>
                <w:szCs w:val="20"/>
              </w:rPr>
              <w:t>Բենեֆիցիար</w:t>
            </w:r>
            <w:bookmarkEnd w:id="522"/>
          </w:p>
        </w:tc>
        <w:tc>
          <w:tcPr>
            <w:tcW w:w="2342" w:type="dxa"/>
            <w:shd w:val="clear" w:color="auto" w:fill="D5DCE4" w:themeFill="text2" w:themeFillTint="33"/>
            <w:noWrap/>
            <w:vAlign w:val="center"/>
            <w:hideMark/>
          </w:tcPr>
          <w:p w14:paraId="5F07ED44" w14:textId="77777777" w:rsidR="00957A78" w:rsidRPr="001F4D77" w:rsidRDefault="00957A78" w:rsidP="00A72B0A">
            <w:pPr>
              <w:spacing w:after="0" w:line="240" w:lineRule="auto"/>
              <w:ind w:firstLine="91"/>
              <w:jc w:val="center"/>
              <w:rPr>
                <w:rFonts w:eastAsia="Times New Roman" w:cs="Calibri"/>
                <w:b/>
                <w:bCs/>
                <w:color w:val="35363A" w:themeColor="accent3" w:themeShade="80"/>
                <w:sz w:val="20"/>
                <w:szCs w:val="20"/>
              </w:rPr>
            </w:pPr>
            <w:r w:rsidRPr="001F4D77">
              <w:rPr>
                <w:rFonts w:eastAsia="Times New Roman" w:cs="Calibri"/>
                <w:b/>
                <w:bCs/>
                <w:color w:val="35363A" w:themeColor="accent3" w:themeShade="80"/>
                <w:sz w:val="20"/>
                <w:szCs w:val="20"/>
              </w:rPr>
              <w:t>Երաշխիքի չափ</w:t>
            </w:r>
            <w:r w:rsidRPr="001F4D77">
              <w:rPr>
                <w:rFonts w:eastAsia="Times New Roman" w:cs="Calibri"/>
                <w:b/>
                <w:bCs/>
                <w:color w:val="35363A" w:themeColor="accent3" w:themeShade="80"/>
                <w:sz w:val="20"/>
                <w:szCs w:val="20"/>
              </w:rPr>
              <w:br/>
              <w:t>(ՀՀ դրամ)</w:t>
            </w:r>
          </w:p>
        </w:tc>
        <w:tc>
          <w:tcPr>
            <w:tcW w:w="1984" w:type="dxa"/>
            <w:shd w:val="clear" w:color="auto" w:fill="D5DCE4" w:themeFill="text2" w:themeFillTint="33"/>
            <w:vAlign w:val="center"/>
            <w:hideMark/>
          </w:tcPr>
          <w:p w14:paraId="4E263B4B" w14:textId="77777777" w:rsidR="00957A78" w:rsidRPr="001F4D77" w:rsidRDefault="00957A78" w:rsidP="00A72B0A">
            <w:pPr>
              <w:spacing w:after="0" w:line="240" w:lineRule="auto"/>
              <w:jc w:val="center"/>
              <w:rPr>
                <w:rFonts w:eastAsia="Times New Roman" w:cs="Calibri"/>
                <w:b/>
                <w:bCs/>
                <w:color w:val="35363A" w:themeColor="accent3" w:themeShade="80"/>
                <w:sz w:val="20"/>
                <w:szCs w:val="20"/>
              </w:rPr>
            </w:pPr>
            <w:r w:rsidRPr="001F4D77">
              <w:rPr>
                <w:rFonts w:eastAsia="Times New Roman" w:cs="Calibri"/>
                <w:b/>
                <w:bCs/>
                <w:color w:val="35363A" w:themeColor="accent3" w:themeShade="80"/>
                <w:sz w:val="20"/>
                <w:szCs w:val="20"/>
              </w:rPr>
              <w:t>Կշիռը արտաքին երաշխիքների պորտֆելում</w:t>
            </w:r>
          </w:p>
        </w:tc>
      </w:tr>
      <w:tr w:rsidR="00957A78" w:rsidRPr="004F1398" w14:paraId="6E5661C8" w14:textId="77777777" w:rsidTr="00A72B0A">
        <w:trPr>
          <w:trHeight w:val="36"/>
          <w:jc w:val="center"/>
        </w:trPr>
        <w:tc>
          <w:tcPr>
            <w:tcW w:w="2967" w:type="dxa"/>
            <w:shd w:val="clear" w:color="auto" w:fill="FFFFFF" w:themeFill="background1"/>
            <w:noWrap/>
            <w:vAlign w:val="center"/>
            <w:hideMark/>
          </w:tcPr>
          <w:p w14:paraId="22EA335A" w14:textId="77777777" w:rsidR="00957A78" w:rsidRPr="004F1398" w:rsidRDefault="00957A78" w:rsidP="00A72B0A">
            <w:pPr>
              <w:spacing w:after="0" w:line="240" w:lineRule="auto"/>
              <w:rPr>
                <w:rFonts w:eastAsia="Times New Roman" w:cs="Calibri"/>
                <w:color w:val="35363A" w:themeColor="accent3" w:themeShade="80"/>
                <w:sz w:val="20"/>
                <w:szCs w:val="20"/>
              </w:rPr>
            </w:pPr>
            <w:r w:rsidRPr="004F1398">
              <w:rPr>
                <w:rFonts w:eastAsia="Times New Roman" w:cs="Calibri"/>
                <w:color w:val="35363A" w:themeColor="accent3" w:themeShade="80"/>
                <w:sz w:val="20"/>
                <w:szCs w:val="20"/>
              </w:rPr>
              <w:t>1. ՀՀ կենտրոնական բանկ</w:t>
            </w:r>
          </w:p>
        </w:tc>
        <w:tc>
          <w:tcPr>
            <w:tcW w:w="2552" w:type="dxa"/>
            <w:shd w:val="clear" w:color="auto" w:fill="FFFFFF" w:themeFill="background1"/>
            <w:vAlign w:val="center"/>
            <w:hideMark/>
          </w:tcPr>
          <w:p w14:paraId="0DC0D598" w14:textId="77777777" w:rsidR="00957A78" w:rsidRPr="004F1398" w:rsidRDefault="00957A78" w:rsidP="00A72B0A">
            <w:pPr>
              <w:spacing w:after="0" w:line="240" w:lineRule="auto"/>
              <w:rPr>
                <w:rFonts w:eastAsia="Times New Roman" w:cs="Calibri"/>
                <w:color w:val="35363A" w:themeColor="accent3" w:themeShade="80"/>
                <w:sz w:val="20"/>
                <w:szCs w:val="20"/>
              </w:rPr>
            </w:pPr>
            <w:r w:rsidRPr="004F1398">
              <w:rPr>
                <w:rFonts w:eastAsia="Times New Roman" w:cs="Calibri"/>
                <w:color w:val="35363A" w:themeColor="accent3" w:themeShade="80"/>
                <w:sz w:val="20"/>
                <w:szCs w:val="20"/>
              </w:rPr>
              <w:t>ՎԶՄԲ, ԱԶԲ, Գերմանիա (ՎՎԲ)</w:t>
            </w:r>
          </w:p>
        </w:tc>
        <w:tc>
          <w:tcPr>
            <w:tcW w:w="2342" w:type="dxa"/>
            <w:shd w:val="clear" w:color="auto" w:fill="FFFFFF" w:themeFill="background1"/>
            <w:noWrap/>
            <w:vAlign w:val="center"/>
            <w:hideMark/>
          </w:tcPr>
          <w:p w14:paraId="39CEF027" w14:textId="77777777" w:rsidR="00957A78" w:rsidRPr="004F1398" w:rsidRDefault="00957A78" w:rsidP="00A72B0A">
            <w:pPr>
              <w:spacing w:after="0" w:line="240" w:lineRule="auto"/>
              <w:rPr>
                <w:rFonts w:eastAsia="Times New Roman" w:cs="Calibri"/>
                <w:color w:val="35363A" w:themeColor="accent3" w:themeShade="80"/>
                <w:sz w:val="20"/>
                <w:szCs w:val="20"/>
              </w:rPr>
            </w:pPr>
            <w:r w:rsidRPr="004F1398">
              <w:rPr>
                <w:rFonts w:eastAsia="Times New Roman" w:cs="Calibri"/>
                <w:color w:val="35363A" w:themeColor="accent3" w:themeShade="80"/>
                <w:sz w:val="20"/>
                <w:szCs w:val="20"/>
              </w:rPr>
              <w:t>25,851,630,069</w:t>
            </w:r>
          </w:p>
        </w:tc>
        <w:tc>
          <w:tcPr>
            <w:tcW w:w="1984" w:type="dxa"/>
            <w:shd w:val="clear" w:color="auto" w:fill="FFFFFF" w:themeFill="background1"/>
            <w:noWrap/>
            <w:vAlign w:val="center"/>
            <w:hideMark/>
          </w:tcPr>
          <w:p w14:paraId="52DFCA07" w14:textId="77777777" w:rsidR="00957A78" w:rsidRPr="004F1398" w:rsidRDefault="00957A78" w:rsidP="00A72B0A">
            <w:pPr>
              <w:spacing w:after="0" w:line="240" w:lineRule="auto"/>
              <w:rPr>
                <w:rFonts w:eastAsia="Times New Roman" w:cs="Calibri"/>
                <w:b/>
                <w:color w:val="35363A" w:themeColor="accent3" w:themeShade="80"/>
                <w:sz w:val="20"/>
                <w:szCs w:val="20"/>
              </w:rPr>
            </w:pPr>
            <w:r w:rsidRPr="004F1398">
              <w:rPr>
                <w:rFonts w:eastAsia="Times New Roman" w:cs="Calibri"/>
                <w:b/>
                <w:color w:val="35363A" w:themeColor="accent3" w:themeShade="80"/>
                <w:sz w:val="20"/>
                <w:szCs w:val="20"/>
              </w:rPr>
              <w:t>90.98%</w:t>
            </w:r>
          </w:p>
        </w:tc>
      </w:tr>
      <w:tr w:rsidR="00957A78" w:rsidRPr="004F1398" w14:paraId="5B2A5183" w14:textId="77777777" w:rsidTr="00A72B0A">
        <w:trPr>
          <w:trHeight w:val="36"/>
          <w:jc w:val="center"/>
        </w:trPr>
        <w:tc>
          <w:tcPr>
            <w:tcW w:w="2967" w:type="dxa"/>
            <w:shd w:val="clear" w:color="auto" w:fill="FFFFFF" w:themeFill="background1"/>
            <w:vAlign w:val="center"/>
            <w:hideMark/>
          </w:tcPr>
          <w:p w14:paraId="02F21D70" w14:textId="77777777" w:rsidR="00957A78" w:rsidRPr="004F1398" w:rsidRDefault="00957A78" w:rsidP="00A72B0A">
            <w:pPr>
              <w:spacing w:after="0" w:line="240" w:lineRule="auto"/>
              <w:rPr>
                <w:rFonts w:eastAsia="Times New Roman" w:cs="Calibri"/>
                <w:color w:val="35363A" w:themeColor="accent3" w:themeShade="80"/>
                <w:sz w:val="20"/>
                <w:szCs w:val="20"/>
              </w:rPr>
            </w:pPr>
            <w:r w:rsidRPr="004F1398">
              <w:rPr>
                <w:rFonts w:eastAsia="Times New Roman" w:cs="Calibri"/>
                <w:color w:val="35363A" w:themeColor="accent3" w:themeShade="80"/>
                <w:sz w:val="20"/>
                <w:szCs w:val="20"/>
              </w:rPr>
              <w:t>2. «ՆՈՐՔ-ՄԱՐԱՇ» Բժշկական Կենտրոն ՓԲԸ</w:t>
            </w:r>
          </w:p>
        </w:tc>
        <w:tc>
          <w:tcPr>
            <w:tcW w:w="2552" w:type="dxa"/>
            <w:shd w:val="clear" w:color="auto" w:fill="FFFFFF" w:themeFill="background1"/>
            <w:vAlign w:val="center"/>
            <w:hideMark/>
          </w:tcPr>
          <w:p w14:paraId="1D5FF4D5" w14:textId="77777777" w:rsidR="00957A78" w:rsidRPr="004F1398" w:rsidRDefault="00957A78" w:rsidP="00A72B0A">
            <w:pPr>
              <w:spacing w:after="0" w:line="240" w:lineRule="auto"/>
              <w:rPr>
                <w:rFonts w:eastAsia="Times New Roman" w:cs="Calibri"/>
                <w:color w:val="35363A" w:themeColor="accent3" w:themeShade="80"/>
                <w:sz w:val="20"/>
                <w:szCs w:val="20"/>
              </w:rPr>
            </w:pPr>
            <w:r w:rsidRPr="004F1398">
              <w:rPr>
                <w:rFonts w:eastAsia="Times New Roman" w:cs="Calibri"/>
                <w:color w:val="35363A" w:themeColor="accent3" w:themeShade="80"/>
                <w:sz w:val="20"/>
                <w:szCs w:val="20"/>
              </w:rPr>
              <w:t>Էռստե Բանկ (Ավստրիա)</w:t>
            </w:r>
          </w:p>
        </w:tc>
        <w:tc>
          <w:tcPr>
            <w:tcW w:w="2342" w:type="dxa"/>
            <w:shd w:val="clear" w:color="auto" w:fill="FFFFFF" w:themeFill="background1"/>
            <w:noWrap/>
            <w:vAlign w:val="center"/>
            <w:hideMark/>
          </w:tcPr>
          <w:p w14:paraId="05404A21" w14:textId="77777777" w:rsidR="00957A78" w:rsidRPr="004F1398" w:rsidRDefault="00957A78" w:rsidP="00A72B0A">
            <w:pPr>
              <w:spacing w:after="0" w:line="240" w:lineRule="auto"/>
              <w:rPr>
                <w:rFonts w:eastAsia="Times New Roman" w:cs="Calibri"/>
                <w:color w:val="35363A" w:themeColor="accent3" w:themeShade="80"/>
                <w:sz w:val="20"/>
                <w:szCs w:val="20"/>
              </w:rPr>
            </w:pPr>
            <w:r w:rsidRPr="004F1398">
              <w:rPr>
                <w:rFonts w:eastAsia="Times New Roman" w:cs="Calibri"/>
                <w:color w:val="35363A" w:themeColor="accent3" w:themeShade="80"/>
                <w:sz w:val="20"/>
                <w:szCs w:val="20"/>
              </w:rPr>
              <w:t>2,562,934,231</w:t>
            </w:r>
          </w:p>
        </w:tc>
        <w:tc>
          <w:tcPr>
            <w:tcW w:w="1984" w:type="dxa"/>
            <w:shd w:val="clear" w:color="auto" w:fill="FFFFFF" w:themeFill="background1"/>
            <w:noWrap/>
            <w:vAlign w:val="center"/>
            <w:hideMark/>
          </w:tcPr>
          <w:p w14:paraId="0E6887B1" w14:textId="77777777" w:rsidR="00957A78" w:rsidRPr="004F1398" w:rsidRDefault="00957A78" w:rsidP="00A72B0A">
            <w:pPr>
              <w:spacing w:after="0" w:line="240" w:lineRule="auto"/>
              <w:rPr>
                <w:rFonts w:eastAsia="Times New Roman" w:cs="Calibri"/>
                <w:b/>
                <w:color w:val="35363A" w:themeColor="accent3" w:themeShade="80"/>
                <w:sz w:val="20"/>
                <w:szCs w:val="20"/>
              </w:rPr>
            </w:pPr>
            <w:r w:rsidRPr="004F1398">
              <w:rPr>
                <w:rFonts w:eastAsia="Times New Roman" w:cs="Calibri"/>
                <w:b/>
                <w:color w:val="35363A" w:themeColor="accent3" w:themeShade="80"/>
                <w:sz w:val="20"/>
                <w:szCs w:val="20"/>
              </w:rPr>
              <w:t>9.02%</w:t>
            </w:r>
          </w:p>
        </w:tc>
      </w:tr>
      <w:tr w:rsidR="00957A78" w:rsidRPr="00793ECF" w14:paraId="29E36F85" w14:textId="77777777" w:rsidTr="00A72B0A">
        <w:trPr>
          <w:trHeight w:val="20"/>
          <w:jc w:val="center"/>
        </w:trPr>
        <w:tc>
          <w:tcPr>
            <w:tcW w:w="2967" w:type="dxa"/>
            <w:shd w:val="clear" w:color="auto" w:fill="D5DCE4" w:themeFill="text2" w:themeFillTint="33"/>
            <w:noWrap/>
            <w:vAlign w:val="center"/>
            <w:hideMark/>
          </w:tcPr>
          <w:p w14:paraId="018601FC" w14:textId="77777777" w:rsidR="00957A78" w:rsidRPr="006F23D7" w:rsidRDefault="00957A78" w:rsidP="00A72B0A">
            <w:pPr>
              <w:spacing w:after="0" w:line="240" w:lineRule="auto"/>
              <w:rPr>
                <w:rFonts w:eastAsia="Times New Roman" w:cs="Calibri"/>
                <w:b/>
                <w:bCs/>
                <w:i/>
                <w:iCs/>
                <w:color w:val="000000"/>
                <w:sz w:val="20"/>
                <w:szCs w:val="20"/>
              </w:rPr>
            </w:pPr>
            <w:r w:rsidRPr="006F23D7">
              <w:rPr>
                <w:rFonts w:eastAsia="Times New Roman" w:cs="Times New Roman"/>
                <w:b/>
                <w:i/>
                <w:color w:val="404040"/>
                <w:sz w:val="20"/>
                <w:szCs w:val="18"/>
              </w:rPr>
              <w:t>Ներքին  երաշխիքներ</w:t>
            </w:r>
            <w:r w:rsidRPr="006F23D7">
              <w:rPr>
                <w:rFonts w:ascii="Calibri" w:eastAsia="Times New Roman" w:hAnsi="Calibri" w:cs="Calibri"/>
                <w:b/>
                <w:i/>
                <w:color w:val="404040"/>
                <w:sz w:val="20"/>
                <w:szCs w:val="18"/>
              </w:rPr>
              <w:t> </w:t>
            </w:r>
          </w:p>
        </w:tc>
        <w:tc>
          <w:tcPr>
            <w:tcW w:w="2552" w:type="dxa"/>
            <w:shd w:val="clear" w:color="auto" w:fill="D5DCE4" w:themeFill="text2" w:themeFillTint="33"/>
            <w:noWrap/>
            <w:vAlign w:val="center"/>
            <w:hideMark/>
          </w:tcPr>
          <w:p w14:paraId="0D06C989" w14:textId="77777777" w:rsidR="00957A78" w:rsidRPr="00793ECF" w:rsidRDefault="00957A78" w:rsidP="00A72B0A">
            <w:pPr>
              <w:spacing w:after="0" w:line="240" w:lineRule="auto"/>
              <w:jc w:val="center"/>
              <w:rPr>
                <w:rFonts w:ascii="Calibri" w:eastAsia="Times New Roman" w:hAnsi="Calibri" w:cs="Calibri"/>
                <w:b/>
                <w:bCs/>
                <w:i/>
                <w:iCs/>
                <w:color w:val="000000"/>
                <w:sz w:val="20"/>
                <w:szCs w:val="20"/>
              </w:rPr>
            </w:pPr>
            <w:r w:rsidRPr="00793ECF">
              <w:rPr>
                <w:rFonts w:ascii="Calibri" w:eastAsia="Times New Roman" w:hAnsi="Calibri" w:cs="Calibri"/>
                <w:b/>
                <w:bCs/>
                <w:i/>
                <w:iCs/>
                <w:color w:val="000000"/>
                <w:sz w:val="20"/>
                <w:szCs w:val="20"/>
              </w:rPr>
              <w:t> </w:t>
            </w:r>
          </w:p>
        </w:tc>
        <w:tc>
          <w:tcPr>
            <w:tcW w:w="2342" w:type="dxa"/>
            <w:shd w:val="clear" w:color="auto" w:fill="D5DCE4" w:themeFill="text2" w:themeFillTint="33"/>
            <w:noWrap/>
            <w:vAlign w:val="center"/>
            <w:hideMark/>
          </w:tcPr>
          <w:p w14:paraId="586E4DF5" w14:textId="77777777" w:rsidR="00957A78" w:rsidRPr="00793ECF" w:rsidRDefault="00957A78" w:rsidP="00A72B0A">
            <w:pPr>
              <w:spacing w:after="0" w:line="240" w:lineRule="auto"/>
              <w:jc w:val="center"/>
              <w:rPr>
                <w:rFonts w:ascii="Calibri" w:eastAsia="Times New Roman" w:hAnsi="Calibri" w:cs="Calibri"/>
                <w:color w:val="000000"/>
                <w:sz w:val="20"/>
                <w:szCs w:val="20"/>
              </w:rPr>
            </w:pPr>
            <w:r w:rsidRPr="00793ECF">
              <w:rPr>
                <w:rFonts w:ascii="Calibri" w:eastAsia="Times New Roman" w:hAnsi="Calibri" w:cs="Calibri"/>
                <w:color w:val="000000"/>
                <w:sz w:val="20"/>
                <w:szCs w:val="20"/>
              </w:rPr>
              <w:t> </w:t>
            </w:r>
          </w:p>
        </w:tc>
        <w:tc>
          <w:tcPr>
            <w:tcW w:w="1984" w:type="dxa"/>
            <w:shd w:val="clear" w:color="auto" w:fill="D5DCE4" w:themeFill="text2" w:themeFillTint="33"/>
            <w:noWrap/>
            <w:vAlign w:val="center"/>
            <w:hideMark/>
          </w:tcPr>
          <w:p w14:paraId="1AB19665" w14:textId="77777777" w:rsidR="00957A78" w:rsidRPr="00793ECF" w:rsidRDefault="00957A78" w:rsidP="00A72B0A">
            <w:pPr>
              <w:spacing w:after="0" w:line="240" w:lineRule="auto"/>
              <w:jc w:val="center"/>
              <w:rPr>
                <w:rFonts w:ascii="Calibri" w:eastAsia="Times New Roman" w:hAnsi="Calibri" w:cs="Calibri"/>
                <w:color w:val="000000"/>
                <w:sz w:val="20"/>
                <w:szCs w:val="20"/>
              </w:rPr>
            </w:pPr>
            <w:r w:rsidRPr="00793ECF">
              <w:rPr>
                <w:rFonts w:ascii="Calibri" w:eastAsia="Times New Roman" w:hAnsi="Calibri" w:cs="Calibri"/>
                <w:color w:val="000000"/>
                <w:sz w:val="20"/>
                <w:szCs w:val="20"/>
              </w:rPr>
              <w:t> </w:t>
            </w:r>
          </w:p>
        </w:tc>
      </w:tr>
      <w:tr w:rsidR="00957A78" w:rsidRPr="00793ECF" w14:paraId="70AAB988" w14:textId="77777777" w:rsidTr="00A72B0A">
        <w:trPr>
          <w:trHeight w:val="20"/>
          <w:jc w:val="center"/>
        </w:trPr>
        <w:tc>
          <w:tcPr>
            <w:tcW w:w="2967" w:type="dxa"/>
            <w:shd w:val="clear" w:color="auto" w:fill="D5DCE4" w:themeFill="text2" w:themeFillTint="33"/>
            <w:noWrap/>
            <w:vAlign w:val="center"/>
          </w:tcPr>
          <w:p w14:paraId="1539F818" w14:textId="77777777" w:rsidR="00957A78" w:rsidRPr="001F4D77" w:rsidRDefault="00957A78" w:rsidP="00A72B0A">
            <w:pPr>
              <w:spacing w:after="0" w:line="240" w:lineRule="auto"/>
              <w:rPr>
                <w:rFonts w:eastAsia="Times New Roman" w:cs="Times New Roman"/>
                <w:b/>
                <w:color w:val="404040"/>
                <w:sz w:val="20"/>
                <w:szCs w:val="18"/>
              </w:rPr>
            </w:pPr>
            <w:r w:rsidRPr="001F4D77">
              <w:rPr>
                <w:rFonts w:eastAsia="Times New Roman" w:cs="Calibri"/>
                <w:b/>
                <w:bCs/>
                <w:color w:val="35363A" w:themeColor="accent3" w:themeShade="80"/>
                <w:sz w:val="20"/>
                <w:szCs w:val="20"/>
              </w:rPr>
              <w:t>Պրինցիպալ</w:t>
            </w:r>
          </w:p>
        </w:tc>
        <w:tc>
          <w:tcPr>
            <w:tcW w:w="2552" w:type="dxa"/>
            <w:shd w:val="clear" w:color="auto" w:fill="D5DCE4" w:themeFill="text2" w:themeFillTint="33"/>
            <w:noWrap/>
            <w:vAlign w:val="center"/>
          </w:tcPr>
          <w:p w14:paraId="6BEF5BBA" w14:textId="77777777" w:rsidR="00957A78" w:rsidRPr="00793ECF" w:rsidRDefault="00957A78" w:rsidP="00A72B0A">
            <w:pPr>
              <w:spacing w:after="0" w:line="240" w:lineRule="auto"/>
              <w:rPr>
                <w:rFonts w:ascii="Calibri" w:eastAsia="Times New Roman" w:hAnsi="Calibri" w:cs="Calibri"/>
                <w:b/>
                <w:bCs/>
                <w:i/>
                <w:iCs/>
                <w:color w:val="000000"/>
                <w:sz w:val="20"/>
                <w:szCs w:val="20"/>
              </w:rPr>
            </w:pPr>
            <w:r w:rsidRPr="001F4D77">
              <w:rPr>
                <w:rFonts w:eastAsia="Times New Roman" w:cs="Calibri"/>
                <w:b/>
                <w:bCs/>
                <w:color w:val="35363A" w:themeColor="accent3" w:themeShade="80"/>
                <w:sz w:val="20"/>
                <w:szCs w:val="20"/>
              </w:rPr>
              <w:t>Բենեֆիցիար</w:t>
            </w:r>
          </w:p>
        </w:tc>
        <w:tc>
          <w:tcPr>
            <w:tcW w:w="2342" w:type="dxa"/>
            <w:shd w:val="clear" w:color="auto" w:fill="D5DCE4" w:themeFill="text2" w:themeFillTint="33"/>
            <w:noWrap/>
            <w:vAlign w:val="center"/>
          </w:tcPr>
          <w:p w14:paraId="589ED273" w14:textId="77777777" w:rsidR="00957A78" w:rsidRPr="00793ECF" w:rsidRDefault="00957A78" w:rsidP="00A72B0A">
            <w:pPr>
              <w:spacing w:after="0" w:line="240" w:lineRule="auto"/>
              <w:jc w:val="center"/>
              <w:rPr>
                <w:rFonts w:ascii="Calibri" w:eastAsia="Times New Roman" w:hAnsi="Calibri" w:cs="Calibri"/>
                <w:color w:val="000000"/>
                <w:sz w:val="20"/>
                <w:szCs w:val="20"/>
              </w:rPr>
            </w:pPr>
            <w:r w:rsidRPr="001F4D77">
              <w:rPr>
                <w:rFonts w:eastAsia="Times New Roman" w:cs="Calibri"/>
                <w:b/>
                <w:bCs/>
                <w:color w:val="35363A" w:themeColor="accent3" w:themeShade="80"/>
                <w:sz w:val="20"/>
                <w:szCs w:val="20"/>
              </w:rPr>
              <w:t>Երաշխիքի չափ</w:t>
            </w:r>
            <w:r w:rsidRPr="001F4D77">
              <w:rPr>
                <w:rFonts w:eastAsia="Times New Roman" w:cs="Calibri"/>
                <w:b/>
                <w:bCs/>
                <w:color w:val="35363A" w:themeColor="accent3" w:themeShade="80"/>
                <w:sz w:val="20"/>
                <w:szCs w:val="20"/>
              </w:rPr>
              <w:br/>
              <w:t>(ՀՀ դրամ)</w:t>
            </w:r>
          </w:p>
        </w:tc>
        <w:tc>
          <w:tcPr>
            <w:tcW w:w="1984" w:type="dxa"/>
            <w:shd w:val="clear" w:color="auto" w:fill="D5DCE4" w:themeFill="text2" w:themeFillTint="33"/>
            <w:noWrap/>
            <w:vAlign w:val="center"/>
          </w:tcPr>
          <w:p w14:paraId="5FFC648F" w14:textId="77777777" w:rsidR="00957A78" w:rsidRPr="00793ECF" w:rsidRDefault="00957A78" w:rsidP="00A72B0A">
            <w:pPr>
              <w:spacing w:after="0" w:line="240" w:lineRule="auto"/>
              <w:jc w:val="center"/>
              <w:rPr>
                <w:rFonts w:ascii="Calibri" w:eastAsia="Times New Roman" w:hAnsi="Calibri" w:cs="Calibri"/>
                <w:color w:val="000000"/>
                <w:sz w:val="20"/>
                <w:szCs w:val="20"/>
              </w:rPr>
            </w:pPr>
            <w:r w:rsidRPr="001F4D77">
              <w:rPr>
                <w:rFonts w:eastAsia="Times New Roman" w:cs="Calibri"/>
                <w:b/>
                <w:bCs/>
                <w:color w:val="35363A" w:themeColor="accent3" w:themeShade="80"/>
                <w:sz w:val="20"/>
                <w:szCs w:val="20"/>
              </w:rPr>
              <w:t xml:space="preserve">Կշիռը </w:t>
            </w:r>
            <w:r>
              <w:rPr>
                <w:rFonts w:eastAsia="Times New Roman" w:cs="Calibri"/>
                <w:b/>
                <w:bCs/>
                <w:color w:val="35363A" w:themeColor="accent3" w:themeShade="80"/>
                <w:sz w:val="20"/>
                <w:szCs w:val="20"/>
                <w:lang w:val="hy-AM"/>
              </w:rPr>
              <w:t>ներքին</w:t>
            </w:r>
            <w:r w:rsidRPr="001F4D77">
              <w:rPr>
                <w:rFonts w:eastAsia="Times New Roman" w:cs="Calibri"/>
                <w:b/>
                <w:bCs/>
                <w:color w:val="35363A" w:themeColor="accent3" w:themeShade="80"/>
                <w:sz w:val="20"/>
                <w:szCs w:val="20"/>
              </w:rPr>
              <w:t xml:space="preserve"> երաշխիքների պորտֆելում</w:t>
            </w:r>
          </w:p>
        </w:tc>
      </w:tr>
      <w:tr w:rsidR="00957A78" w:rsidRPr="004F1398" w14:paraId="6CEA58D0" w14:textId="77777777" w:rsidTr="00A72B0A">
        <w:trPr>
          <w:trHeight w:val="20"/>
          <w:jc w:val="center"/>
        </w:trPr>
        <w:tc>
          <w:tcPr>
            <w:tcW w:w="2967" w:type="dxa"/>
            <w:shd w:val="clear" w:color="auto" w:fill="FFFFFF" w:themeFill="background1"/>
            <w:noWrap/>
            <w:vAlign w:val="center"/>
            <w:hideMark/>
          </w:tcPr>
          <w:p w14:paraId="609C92B6" w14:textId="77777777" w:rsidR="00957A78" w:rsidRPr="004F1398" w:rsidRDefault="00957A78" w:rsidP="00A72B0A">
            <w:pPr>
              <w:spacing w:after="0" w:line="240" w:lineRule="auto"/>
              <w:rPr>
                <w:rFonts w:eastAsia="Times New Roman" w:cs="Calibri"/>
                <w:color w:val="35363A" w:themeColor="accent3" w:themeShade="80"/>
                <w:sz w:val="20"/>
                <w:szCs w:val="20"/>
              </w:rPr>
            </w:pPr>
            <w:r w:rsidRPr="004F1398">
              <w:rPr>
                <w:rFonts w:eastAsia="Times New Roman" w:cs="Calibri"/>
                <w:color w:val="35363A" w:themeColor="accent3" w:themeShade="80"/>
                <w:sz w:val="20"/>
                <w:szCs w:val="20"/>
              </w:rPr>
              <w:t>1.«Վեդի Ալկո» ՓԲԸ</w:t>
            </w:r>
          </w:p>
        </w:tc>
        <w:tc>
          <w:tcPr>
            <w:tcW w:w="2552" w:type="dxa"/>
            <w:shd w:val="clear" w:color="auto" w:fill="FFFFFF" w:themeFill="background1"/>
            <w:noWrap/>
            <w:vAlign w:val="center"/>
            <w:hideMark/>
          </w:tcPr>
          <w:p w14:paraId="71B53724" w14:textId="77777777" w:rsidR="00957A78" w:rsidRPr="004F1398" w:rsidRDefault="00957A78" w:rsidP="00A72B0A">
            <w:pPr>
              <w:spacing w:after="0" w:line="240" w:lineRule="auto"/>
              <w:rPr>
                <w:rFonts w:eastAsia="Times New Roman" w:cs="Calibri"/>
                <w:color w:val="35363A" w:themeColor="accent3" w:themeShade="80"/>
                <w:sz w:val="20"/>
                <w:szCs w:val="20"/>
              </w:rPr>
            </w:pPr>
            <w:r w:rsidRPr="004F1398">
              <w:rPr>
                <w:rFonts w:eastAsia="Times New Roman" w:cs="Calibri"/>
                <w:color w:val="35363A" w:themeColor="accent3" w:themeShade="80"/>
                <w:sz w:val="20"/>
                <w:szCs w:val="20"/>
              </w:rPr>
              <w:t>«ԱՐՄՍՎԻՍԲԱՆԿ» ՓԲԸ</w:t>
            </w:r>
          </w:p>
        </w:tc>
        <w:tc>
          <w:tcPr>
            <w:tcW w:w="2342" w:type="dxa"/>
            <w:shd w:val="clear" w:color="auto" w:fill="FFFFFF" w:themeFill="background1"/>
            <w:noWrap/>
            <w:vAlign w:val="center"/>
            <w:hideMark/>
          </w:tcPr>
          <w:p w14:paraId="501156EA" w14:textId="77777777" w:rsidR="00957A78" w:rsidRPr="004F1398" w:rsidRDefault="00957A78" w:rsidP="00A72B0A">
            <w:pPr>
              <w:spacing w:after="0" w:line="240" w:lineRule="auto"/>
              <w:rPr>
                <w:rFonts w:eastAsia="Times New Roman" w:cs="Calibri"/>
                <w:color w:val="35363A" w:themeColor="accent3" w:themeShade="80"/>
                <w:sz w:val="20"/>
                <w:szCs w:val="20"/>
              </w:rPr>
            </w:pPr>
            <w:r w:rsidRPr="004F1398">
              <w:rPr>
                <w:rFonts w:eastAsia="Times New Roman" w:cs="Calibri"/>
                <w:color w:val="35363A" w:themeColor="accent3" w:themeShade="80"/>
                <w:sz w:val="20"/>
                <w:szCs w:val="20"/>
              </w:rPr>
              <w:t>3,052,160,000</w:t>
            </w:r>
          </w:p>
        </w:tc>
        <w:tc>
          <w:tcPr>
            <w:tcW w:w="1984" w:type="dxa"/>
            <w:shd w:val="clear" w:color="auto" w:fill="FFFFFF" w:themeFill="background1"/>
            <w:noWrap/>
            <w:vAlign w:val="center"/>
            <w:hideMark/>
          </w:tcPr>
          <w:p w14:paraId="44402C25" w14:textId="77777777" w:rsidR="00957A78" w:rsidRPr="004F1398" w:rsidRDefault="00957A78" w:rsidP="00A72B0A">
            <w:pPr>
              <w:spacing w:after="0" w:line="240" w:lineRule="auto"/>
              <w:rPr>
                <w:rFonts w:eastAsia="Times New Roman" w:cs="Calibri"/>
                <w:b/>
                <w:color w:val="35363A" w:themeColor="accent3" w:themeShade="80"/>
                <w:sz w:val="20"/>
                <w:szCs w:val="20"/>
              </w:rPr>
            </w:pPr>
            <w:r w:rsidRPr="004F1398">
              <w:rPr>
                <w:rFonts w:eastAsia="Times New Roman" w:cs="Calibri"/>
                <w:b/>
                <w:color w:val="35363A" w:themeColor="accent3" w:themeShade="80"/>
                <w:sz w:val="20"/>
                <w:szCs w:val="20"/>
              </w:rPr>
              <w:t>31.99%</w:t>
            </w:r>
          </w:p>
        </w:tc>
      </w:tr>
      <w:tr w:rsidR="00957A78" w:rsidRPr="004F1398" w14:paraId="35281654" w14:textId="77777777" w:rsidTr="00A72B0A">
        <w:trPr>
          <w:trHeight w:val="72"/>
          <w:jc w:val="center"/>
        </w:trPr>
        <w:tc>
          <w:tcPr>
            <w:tcW w:w="2967" w:type="dxa"/>
            <w:shd w:val="clear" w:color="auto" w:fill="FFFFFF" w:themeFill="background1"/>
            <w:vAlign w:val="center"/>
            <w:hideMark/>
          </w:tcPr>
          <w:p w14:paraId="755E0770" w14:textId="77777777" w:rsidR="00957A78" w:rsidRPr="004F1398" w:rsidRDefault="00957A78" w:rsidP="00A72B0A">
            <w:pPr>
              <w:spacing w:after="0" w:line="240" w:lineRule="auto"/>
              <w:rPr>
                <w:rFonts w:eastAsia="Times New Roman" w:cs="Calibri"/>
                <w:color w:val="35363A" w:themeColor="accent3" w:themeShade="80"/>
                <w:sz w:val="20"/>
                <w:szCs w:val="20"/>
              </w:rPr>
            </w:pPr>
            <w:r w:rsidRPr="004F1398">
              <w:rPr>
                <w:rFonts w:eastAsia="Times New Roman" w:cs="Calibri"/>
                <w:color w:val="35363A" w:themeColor="accent3" w:themeShade="80"/>
                <w:sz w:val="20"/>
                <w:szCs w:val="20"/>
              </w:rPr>
              <w:t>2. «Իջևանի գինու, կոնյակի գործարան» ՓԲԸ</w:t>
            </w:r>
          </w:p>
        </w:tc>
        <w:tc>
          <w:tcPr>
            <w:tcW w:w="2552" w:type="dxa"/>
            <w:shd w:val="clear" w:color="auto" w:fill="FFFFFF" w:themeFill="background1"/>
            <w:vAlign w:val="center"/>
            <w:hideMark/>
          </w:tcPr>
          <w:p w14:paraId="335058D6" w14:textId="77777777" w:rsidR="00957A78" w:rsidRPr="004F1398" w:rsidRDefault="00957A78" w:rsidP="00A72B0A">
            <w:pPr>
              <w:spacing w:after="0" w:line="240" w:lineRule="auto"/>
              <w:rPr>
                <w:rFonts w:eastAsia="Times New Roman" w:cs="Calibri"/>
                <w:color w:val="35363A" w:themeColor="accent3" w:themeShade="80"/>
                <w:sz w:val="20"/>
                <w:szCs w:val="20"/>
              </w:rPr>
            </w:pPr>
            <w:r w:rsidRPr="004F1398">
              <w:rPr>
                <w:rFonts w:eastAsia="Times New Roman" w:cs="Calibri"/>
                <w:color w:val="35363A" w:themeColor="accent3" w:themeShade="80"/>
                <w:sz w:val="20"/>
                <w:szCs w:val="20"/>
              </w:rPr>
              <w:t>«ԻՆԵԿՈԲԱՆԿ» ՓԲԸ, «Հայաստանի զարգացման և ներդրումների Կորպորացիա» ՈՒՎԿ ՓԲԸ</w:t>
            </w:r>
          </w:p>
        </w:tc>
        <w:tc>
          <w:tcPr>
            <w:tcW w:w="2342" w:type="dxa"/>
            <w:shd w:val="clear" w:color="auto" w:fill="FFFFFF" w:themeFill="background1"/>
            <w:noWrap/>
            <w:vAlign w:val="center"/>
            <w:hideMark/>
          </w:tcPr>
          <w:p w14:paraId="2C6CDB0A" w14:textId="77777777" w:rsidR="00957A78" w:rsidRPr="004F1398" w:rsidRDefault="00957A78" w:rsidP="00A72B0A">
            <w:pPr>
              <w:spacing w:after="0" w:line="240" w:lineRule="auto"/>
              <w:rPr>
                <w:rFonts w:eastAsia="Times New Roman" w:cs="Calibri"/>
                <w:color w:val="35363A" w:themeColor="accent3" w:themeShade="80"/>
                <w:sz w:val="20"/>
                <w:szCs w:val="20"/>
              </w:rPr>
            </w:pPr>
            <w:r w:rsidRPr="004F1398">
              <w:rPr>
                <w:rFonts w:eastAsia="Times New Roman" w:cs="Calibri"/>
                <w:color w:val="35363A" w:themeColor="accent3" w:themeShade="80"/>
                <w:sz w:val="20"/>
                <w:szCs w:val="20"/>
              </w:rPr>
              <w:t>2,050,000,000</w:t>
            </w:r>
          </w:p>
        </w:tc>
        <w:tc>
          <w:tcPr>
            <w:tcW w:w="1984" w:type="dxa"/>
            <w:shd w:val="clear" w:color="auto" w:fill="FFFFFF" w:themeFill="background1"/>
            <w:noWrap/>
            <w:vAlign w:val="center"/>
            <w:hideMark/>
          </w:tcPr>
          <w:p w14:paraId="671BEB8B" w14:textId="77777777" w:rsidR="00957A78" w:rsidRPr="004F1398" w:rsidRDefault="00957A78" w:rsidP="00A72B0A">
            <w:pPr>
              <w:spacing w:after="0" w:line="240" w:lineRule="auto"/>
              <w:rPr>
                <w:rFonts w:eastAsia="Times New Roman" w:cs="Calibri"/>
                <w:b/>
                <w:color w:val="35363A" w:themeColor="accent3" w:themeShade="80"/>
                <w:sz w:val="20"/>
                <w:szCs w:val="20"/>
              </w:rPr>
            </w:pPr>
            <w:r w:rsidRPr="004F1398">
              <w:rPr>
                <w:rFonts w:eastAsia="Times New Roman" w:cs="Calibri"/>
                <w:b/>
                <w:color w:val="35363A" w:themeColor="accent3" w:themeShade="80"/>
                <w:sz w:val="20"/>
                <w:szCs w:val="20"/>
              </w:rPr>
              <w:t>21.49%</w:t>
            </w:r>
          </w:p>
        </w:tc>
      </w:tr>
      <w:tr w:rsidR="00957A78" w:rsidRPr="004F1398" w14:paraId="539ED265" w14:textId="77777777" w:rsidTr="00A72B0A">
        <w:trPr>
          <w:trHeight w:val="54"/>
          <w:jc w:val="center"/>
        </w:trPr>
        <w:tc>
          <w:tcPr>
            <w:tcW w:w="2967" w:type="dxa"/>
            <w:shd w:val="clear" w:color="auto" w:fill="FFFFFF" w:themeFill="background1"/>
            <w:vAlign w:val="center"/>
            <w:hideMark/>
          </w:tcPr>
          <w:p w14:paraId="5DED5E65" w14:textId="77777777" w:rsidR="00957A78" w:rsidRPr="004F1398" w:rsidRDefault="00957A78" w:rsidP="00A72B0A">
            <w:pPr>
              <w:spacing w:after="0" w:line="240" w:lineRule="auto"/>
              <w:rPr>
                <w:rFonts w:eastAsia="Times New Roman" w:cs="Calibri"/>
                <w:color w:val="35363A" w:themeColor="accent3" w:themeShade="80"/>
                <w:sz w:val="20"/>
                <w:szCs w:val="20"/>
              </w:rPr>
            </w:pPr>
            <w:r w:rsidRPr="004F1398">
              <w:rPr>
                <w:rFonts w:eastAsia="Times New Roman" w:cs="Calibri"/>
                <w:color w:val="35363A" w:themeColor="accent3" w:themeShade="80"/>
                <w:sz w:val="20"/>
                <w:szCs w:val="20"/>
              </w:rPr>
              <w:t>3. «Պռոշյանի կոնյակի գործարան» ՍՊԸ</w:t>
            </w:r>
          </w:p>
        </w:tc>
        <w:tc>
          <w:tcPr>
            <w:tcW w:w="2552" w:type="dxa"/>
            <w:shd w:val="clear" w:color="auto" w:fill="FFFFFF" w:themeFill="background1"/>
            <w:vAlign w:val="center"/>
            <w:hideMark/>
          </w:tcPr>
          <w:p w14:paraId="764B2646" w14:textId="77777777" w:rsidR="00957A78" w:rsidRPr="004F1398" w:rsidRDefault="00957A78" w:rsidP="00A72B0A">
            <w:pPr>
              <w:spacing w:after="0" w:line="240" w:lineRule="auto"/>
              <w:rPr>
                <w:rFonts w:eastAsia="Times New Roman" w:cs="Calibri"/>
                <w:color w:val="35363A" w:themeColor="accent3" w:themeShade="80"/>
                <w:sz w:val="20"/>
                <w:szCs w:val="20"/>
              </w:rPr>
            </w:pPr>
            <w:r w:rsidRPr="004F1398">
              <w:rPr>
                <w:rFonts w:eastAsia="Times New Roman" w:cs="Calibri"/>
                <w:color w:val="35363A" w:themeColor="accent3" w:themeShade="80"/>
                <w:sz w:val="20"/>
                <w:szCs w:val="20"/>
              </w:rPr>
              <w:t>«ԱՐՄՍՎԻՍԲԱՆԿ» ՓԲԸ, «ԻՆԵԿՈԲԱՆԿ» ՓԲԸ, «ԱՄԻՕ ԲԱՆԿ»</w:t>
            </w:r>
          </w:p>
        </w:tc>
        <w:tc>
          <w:tcPr>
            <w:tcW w:w="2342" w:type="dxa"/>
            <w:shd w:val="clear" w:color="auto" w:fill="FFFFFF" w:themeFill="background1"/>
            <w:noWrap/>
            <w:vAlign w:val="center"/>
            <w:hideMark/>
          </w:tcPr>
          <w:p w14:paraId="3C08469D" w14:textId="77777777" w:rsidR="00957A78" w:rsidRPr="004F1398" w:rsidRDefault="00957A78" w:rsidP="00A72B0A">
            <w:pPr>
              <w:spacing w:after="0" w:line="240" w:lineRule="auto"/>
              <w:rPr>
                <w:rFonts w:eastAsia="Times New Roman" w:cs="Calibri"/>
                <w:color w:val="35363A" w:themeColor="accent3" w:themeShade="80"/>
                <w:sz w:val="20"/>
                <w:szCs w:val="20"/>
              </w:rPr>
            </w:pPr>
            <w:r w:rsidRPr="004F1398">
              <w:rPr>
                <w:rFonts w:eastAsia="Times New Roman" w:cs="Calibri"/>
                <w:color w:val="35363A" w:themeColor="accent3" w:themeShade="80"/>
                <w:sz w:val="20"/>
                <w:szCs w:val="20"/>
              </w:rPr>
              <w:t>1,912,430,000</w:t>
            </w:r>
          </w:p>
        </w:tc>
        <w:tc>
          <w:tcPr>
            <w:tcW w:w="1984" w:type="dxa"/>
            <w:shd w:val="clear" w:color="auto" w:fill="FFFFFF" w:themeFill="background1"/>
            <w:noWrap/>
            <w:vAlign w:val="center"/>
            <w:hideMark/>
          </w:tcPr>
          <w:p w14:paraId="2489C031" w14:textId="77777777" w:rsidR="00957A78" w:rsidRPr="004F1398" w:rsidRDefault="00957A78" w:rsidP="00A72B0A">
            <w:pPr>
              <w:spacing w:after="0" w:line="240" w:lineRule="auto"/>
              <w:rPr>
                <w:rFonts w:eastAsia="Times New Roman" w:cs="Calibri"/>
                <w:b/>
                <w:color w:val="35363A" w:themeColor="accent3" w:themeShade="80"/>
                <w:sz w:val="20"/>
                <w:szCs w:val="20"/>
              </w:rPr>
            </w:pPr>
            <w:r w:rsidRPr="004F1398">
              <w:rPr>
                <w:rFonts w:eastAsia="Times New Roman" w:cs="Calibri"/>
                <w:b/>
                <w:color w:val="35363A" w:themeColor="accent3" w:themeShade="80"/>
                <w:sz w:val="20"/>
                <w:szCs w:val="20"/>
              </w:rPr>
              <w:t>20.04%</w:t>
            </w:r>
          </w:p>
        </w:tc>
      </w:tr>
      <w:tr w:rsidR="00957A78" w:rsidRPr="004F1398" w14:paraId="73DB1DD8" w14:textId="77777777" w:rsidTr="00A72B0A">
        <w:trPr>
          <w:trHeight w:val="20"/>
          <w:jc w:val="center"/>
        </w:trPr>
        <w:tc>
          <w:tcPr>
            <w:tcW w:w="2967" w:type="dxa"/>
            <w:shd w:val="clear" w:color="auto" w:fill="FFFFFF" w:themeFill="background1"/>
            <w:noWrap/>
            <w:vAlign w:val="center"/>
            <w:hideMark/>
          </w:tcPr>
          <w:p w14:paraId="0EFA482F" w14:textId="77777777" w:rsidR="00957A78" w:rsidRPr="004F1398" w:rsidRDefault="00957A78" w:rsidP="00A72B0A">
            <w:pPr>
              <w:spacing w:after="0" w:line="240" w:lineRule="auto"/>
              <w:rPr>
                <w:rFonts w:eastAsia="Times New Roman" w:cs="Calibri"/>
                <w:color w:val="35363A" w:themeColor="accent3" w:themeShade="80"/>
                <w:sz w:val="20"/>
                <w:szCs w:val="20"/>
              </w:rPr>
            </w:pPr>
            <w:r w:rsidRPr="004F1398">
              <w:rPr>
                <w:rFonts w:eastAsia="Times New Roman" w:cs="Calibri"/>
                <w:color w:val="35363A" w:themeColor="accent3" w:themeShade="80"/>
                <w:sz w:val="20"/>
                <w:szCs w:val="20"/>
              </w:rPr>
              <w:t>4. «ՄԱՊ» ՓԲԸ</w:t>
            </w:r>
          </w:p>
        </w:tc>
        <w:tc>
          <w:tcPr>
            <w:tcW w:w="2552" w:type="dxa"/>
            <w:shd w:val="clear" w:color="auto" w:fill="FFFFFF" w:themeFill="background1"/>
            <w:vAlign w:val="center"/>
            <w:hideMark/>
          </w:tcPr>
          <w:p w14:paraId="32AFDE3C" w14:textId="77777777" w:rsidR="00957A78" w:rsidRPr="004F1398" w:rsidRDefault="00957A78" w:rsidP="00A72B0A">
            <w:pPr>
              <w:spacing w:after="0" w:line="240" w:lineRule="auto"/>
              <w:rPr>
                <w:rFonts w:eastAsia="Times New Roman" w:cs="Calibri"/>
                <w:color w:val="35363A" w:themeColor="accent3" w:themeShade="80"/>
                <w:sz w:val="20"/>
                <w:szCs w:val="20"/>
              </w:rPr>
            </w:pPr>
            <w:r w:rsidRPr="004F1398">
              <w:rPr>
                <w:rFonts w:eastAsia="Times New Roman" w:cs="Calibri"/>
                <w:color w:val="35363A" w:themeColor="accent3" w:themeShade="80"/>
                <w:sz w:val="20"/>
                <w:szCs w:val="20"/>
              </w:rPr>
              <w:t>«ԷՎՈԿԱԲԱՆԿ» ՓԲԸ</w:t>
            </w:r>
          </w:p>
        </w:tc>
        <w:tc>
          <w:tcPr>
            <w:tcW w:w="2342" w:type="dxa"/>
            <w:shd w:val="clear" w:color="auto" w:fill="FFFFFF" w:themeFill="background1"/>
            <w:noWrap/>
            <w:vAlign w:val="center"/>
            <w:hideMark/>
          </w:tcPr>
          <w:p w14:paraId="1FED6F40" w14:textId="77777777" w:rsidR="00957A78" w:rsidRPr="004F1398" w:rsidRDefault="00957A78" w:rsidP="00A72B0A">
            <w:pPr>
              <w:spacing w:after="0" w:line="240" w:lineRule="auto"/>
              <w:rPr>
                <w:rFonts w:eastAsia="Times New Roman" w:cs="Calibri"/>
                <w:color w:val="35363A" w:themeColor="accent3" w:themeShade="80"/>
                <w:sz w:val="20"/>
                <w:szCs w:val="20"/>
              </w:rPr>
            </w:pPr>
            <w:r w:rsidRPr="004F1398">
              <w:rPr>
                <w:rFonts w:eastAsia="Times New Roman" w:cs="Calibri"/>
                <w:color w:val="35363A" w:themeColor="accent3" w:themeShade="80"/>
                <w:sz w:val="20"/>
                <w:szCs w:val="20"/>
              </w:rPr>
              <w:t>825,260,000</w:t>
            </w:r>
          </w:p>
        </w:tc>
        <w:tc>
          <w:tcPr>
            <w:tcW w:w="1984" w:type="dxa"/>
            <w:shd w:val="clear" w:color="auto" w:fill="FFFFFF" w:themeFill="background1"/>
            <w:noWrap/>
            <w:vAlign w:val="center"/>
            <w:hideMark/>
          </w:tcPr>
          <w:p w14:paraId="72D1C0B7" w14:textId="77777777" w:rsidR="00957A78" w:rsidRPr="004F1398" w:rsidRDefault="00957A78" w:rsidP="00A72B0A">
            <w:pPr>
              <w:spacing w:after="0" w:line="240" w:lineRule="auto"/>
              <w:rPr>
                <w:rFonts w:eastAsia="Times New Roman" w:cs="Calibri"/>
                <w:b/>
                <w:color w:val="35363A" w:themeColor="accent3" w:themeShade="80"/>
                <w:sz w:val="20"/>
                <w:szCs w:val="20"/>
              </w:rPr>
            </w:pPr>
            <w:r w:rsidRPr="004F1398">
              <w:rPr>
                <w:rFonts w:eastAsia="Times New Roman" w:cs="Calibri"/>
                <w:b/>
                <w:color w:val="35363A" w:themeColor="accent3" w:themeShade="80"/>
                <w:sz w:val="20"/>
                <w:szCs w:val="20"/>
              </w:rPr>
              <w:t>8.65%</w:t>
            </w:r>
          </w:p>
        </w:tc>
      </w:tr>
      <w:tr w:rsidR="00957A78" w:rsidRPr="004F1398" w14:paraId="6CDC3F1C" w14:textId="77777777" w:rsidTr="00A72B0A">
        <w:trPr>
          <w:trHeight w:val="20"/>
          <w:jc w:val="center"/>
        </w:trPr>
        <w:tc>
          <w:tcPr>
            <w:tcW w:w="2967" w:type="dxa"/>
            <w:shd w:val="clear" w:color="auto" w:fill="FFFFFF" w:themeFill="background1"/>
            <w:noWrap/>
            <w:vAlign w:val="center"/>
            <w:hideMark/>
          </w:tcPr>
          <w:p w14:paraId="3814E0EE" w14:textId="77777777" w:rsidR="00957A78" w:rsidRPr="004F1398" w:rsidRDefault="00957A78" w:rsidP="00A72B0A">
            <w:pPr>
              <w:spacing w:after="0" w:line="240" w:lineRule="auto"/>
              <w:rPr>
                <w:rFonts w:eastAsia="Times New Roman" w:cs="Calibri"/>
                <w:color w:val="35363A" w:themeColor="accent3" w:themeShade="80"/>
                <w:sz w:val="20"/>
                <w:szCs w:val="20"/>
              </w:rPr>
            </w:pPr>
            <w:r w:rsidRPr="004F1398">
              <w:rPr>
                <w:rFonts w:eastAsia="Times New Roman" w:cs="Calibri"/>
                <w:color w:val="35363A" w:themeColor="accent3" w:themeShade="80"/>
                <w:sz w:val="20"/>
                <w:szCs w:val="20"/>
              </w:rPr>
              <w:t>5. «Արտաշատ-Վինկոն» ՓԲԸ</w:t>
            </w:r>
          </w:p>
        </w:tc>
        <w:tc>
          <w:tcPr>
            <w:tcW w:w="2552" w:type="dxa"/>
            <w:shd w:val="clear" w:color="auto" w:fill="FFFFFF" w:themeFill="background1"/>
            <w:noWrap/>
            <w:vAlign w:val="center"/>
            <w:hideMark/>
          </w:tcPr>
          <w:p w14:paraId="1405CEE0" w14:textId="77777777" w:rsidR="00957A78" w:rsidRPr="004F1398" w:rsidRDefault="00957A78" w:rsidP="00A72B0A">
            <w:pPr>
              <w:spacing w:after="0" w:line="240" w:lineRule="auto"/>
              <w:rPr>
                <w:rFonts w:eastAsia="Times New Roman" w:cs="Calibri"/>
                <w:color w:val="35363A" w:themeColor="accent3" w:themeShade="80"/>
                <w:sz w:val="20"/>
                <w:szCs w:val="20"/>
              </w:rPr>
            </w:pPr>
            <w:r w:rsidRPr="004F1398">
              <w:rPr>
                <w:rFonts w:eastAsia="Times New Roman" w:cs="Calibri"/>
                <w:color w:val="35363A" w:themeColor="accent3" w:themeShade="80"/>
                <w:sz w:val="20"/>
                <w:szCs w:val="20"/>
              </w:rPr>
              <w:t>«ԱՐՄՍՎԻՍԲԱՆԿ» ՓԲԸ</w:t>
            </w:r>
          </w:p>
        </w:tc>
        <w:tc>
          <w:tcPr>
            <w:tcW w:w="2342" w:type="dxa"/>
            <w:shd w:val="clear" w:color="auto" w:fill="FFFFFF" w:themeFill="background1"/>
            <w:noWrap/>
            <w:vAlign w:val="center"/>
            <w:hideMark/>
          </w:tcPr>
          <w:p w14:paraId="3DDE14A2" w14:textId="77777777" w:rsidR="00957A78" w:rsidRPr="004F1398" w:rsidRDefault="00957A78" w:rsidP="00A72B0A">
            <w:pPr>
              <w:spacing w:after="0" w:line="240" w:lineRule="auto"/>
              <w:rPr>
                <w:rFonts w:eastAsia="Times New Roman" w:cs="Calibri"/>
                <w:color w:val="35363A" w:themeColor="accent3" w:themeShade="80"/>
                <w:sz w:val="20"/>
                <w:szCs w:val="20"/>
              </w:rPr>
            </w:pPr>
            <w:r w:rsidRPr="004F1398">
              <w:rPr>
                <w:rFonts w:eastAsia="Times New Roman" w:cs="Calibri"/>
                <w:color w:val="35363A" w:themeColor="accent3" w:themeShade="80"/>
                <w:sz w:val="20"/>
                <w:szCs w:val="20"/>
              </w:rPr>
              <w:t>635,210,000</w:t>
            </w:r>
          </w:p>
        </w:tc>
        <w:tc>
          <w:tcPr>
            <w:tcW w:w="1984" w:type="dxa"/>
            <w:shd w:val="clear" w:color="auto" w:fill="FFFFFF" w:themeFill="background1"/>
            <w:noWrap/>
            <w:vAlign w:val="center"/>
            <w:hideMark/>
          </w:tcPr>
          <w:p w14:paraId="0BCA599B" w14:textId="77777777" w:rsidR="00957A78" w:rsidRPr="004F1398" w:rsidRDefault="00957A78" w:rsidP="00A72B0A">
            <w:pPr>
              <w:spacing w:after="0" w:line="240" w:lineRule="auto"/>
              <w:rPr>
                <w:rFonts w:eastAsia="Times New Roman" w:cs="Calibri"/>
                <w:b/>
                <w:color w:val="35363A" w:themeColor="accent3" w:themeShade="80"/>
                <w:sz w:val="20"/>
                <w:szCs w:val="20"/>
              </w:rPr>
            </w:pPr>
            <w:r w:rsidRPr="004F1398">
              <w:rPr>
                <w:rFonts w:eastAsia="Times New Roman" w:cs="Calibri"/>
                <w:b/>
                <w:color w:val="35363A" w:themeColor="accent3" w:themeShade="80"/>
                <w:sz w:val="20"/>
                <w:szCs w:val="20"/>
              </w:rPr>
              <w:t>6.66%</w:t>
            </w:r>
          </w:p>
        </w:tc>
      </w:tr>
      <w:tr w:rsidR="00957A78" w:rsidRPr="004F1398" w14:paraId="7BA8E6DF" w14:textId="77777777" w:rsidTr="00A72B0A">
        <w:trPr>
          <w:trHeight w:val="20"/>
          <w:jc w:val="center"/>
        </w:trPr>
        <w:tc>
          <w:tcPr>
            <w:tcW w:w="2967" w:type="dxa"/>
            <w:shd w:val="clear" w:color="auto" w:fill="FFFFFF" w:themeFill="background1"/>
            <w:vAlign w:val="center"/>
            <w:hideMark/>
          </w:tcPr>
          <w:p w14:paraId="586E1107" w14:textId="77777777" w:rsidR="00957A78" w:rsidRPr="004F1398" w:rsidRDefault="00957A78" w:rsidP="00A72B0A">
            <w:pPr>
              <w:spacing w:after="0" w:line="240" w:lineRule="auto"/>
              <w:rPr>
                <w:rFonts w:eastAsia="Times New Roman" w:cs="Calibri"/>
                <w:color w:val="35363A" w:themeColor="accent3" w:themeShade="80"/>
                <w:sz w:val="20"/>
                <w:szCs w:val="20"/>
              </w:rPr>
            </w:pPr>
            <w:r w:rsidRPr="004F1398">
              <w:rPr>
                <w:rFonts w:eastAsia="Times New Roman" w:cs="Calibri"/>
                <w:color w:val="35363A" w:themeColor="accent3" w:themeShade="80"/>
                <w:sz w:val="20"/>
                <w:szCs w:val="20"/>
              </w:rPr>
              <w:t>6. «Բագրատ Գրուպ» ՍՊԸ</w:t>
            </w:r>
          </w:p>
        </w:tc>
        <w:tc>
          <w:tcPr>
            <w:tcW w:w="2552" w:type="dxa"/>
            <w:shd w:val="clear" w:color="auto" w:fill="FFFFFF" w:themeFill="background1"/>
            <w:vAlign w:val="center"/>
            <w:hideMark/>
          </w:tcPr>
          <w:p w14:paraId="11901D20" w14:textId="77777777" w:rsidR="00957A78" w:rsidRPr="004F1398" w:rsidRDefault="00957A78" w:rsidP="00A72B0A">
            <w:pPr>
              <w:spacing w:after="0" w:line="240" w:lineRule="auto"/>
              <w:rPr>
                <w:rFonts w:eastAsia="Times New Roman" w:cs="Calibri"/>
                <w:color w:val="35363A" w:themeColor="accent3" w:themeShade="80"/>
                <w:sz w:val="20"/>
                <w:szCs w:val="20"/>
              </w:rPr>
            </w:pPr>
            <w:r w:rsidRPr="004F1398">
              <w:rPr>
                <w:rFonts w:eastAsia="Times New Roman" w:cs="Calibri"/>
                <w:color w:val="35363A" w:themeColor="accent3" w:themeShade="80"/>
                <w:sz w:val="20"/>
                <w:szCs w:val="20"/>
              </w:rPr>
              <w:t>«ԱՐԴՇԻՆԲԱՆԿ» ՓԲԸ</w:t>
            </w:r>
          </w:p>
        </w:tc>
        <w:tc>
          <w:tcPr>
            <w:tcW w:w="2342" w:type="dxa"/>
            <w:shd w:val="clear" w:color="auto" w:fill="FFFFFF" w:themeFill="background1"/>
            <w:noWrap/>
            <w:vAlign w:val="center"/>
            <w:hideMark/>
          </w:tcPr>
          <w:p w14:paraId="60BA1776" w14:textId="77777777" w:rsidR="00957A78" w:rsidRPr="004F1398" w:rsidRDefault="00957A78" w:rsidP="00A72B0A">
            <w:pPr>
              <w:spacing w:after="0" w:line="240" w:lineRule="auto"/>
              <w:rPr>
                <w:rFonts w:eastAsia="Times New Roman" w:cs="Calibri"/>
                <w:color w:val="35363A" w:themeColor="accent3" w:themeShade="80"/>
                <w:sz w:val="20"/>
                <w:szCs w:val="20"/>
              </w:rPr>
            </w:pPr>
            <w:r w:rsidRPr="004F1398">
              <w:rPr>
                <w:rFonts w:eastAsia="Times New Roman" w:cs="Calibri"/>
                <w:color w:val="35363A" w:themeColor="accent3" w:themeShade="80"/>
                <w:sz w:val="20"/>
                <w:szCs w:val="20"/>
              </w:rPr>
              <w:t>469,730,000</w:t>
            </w:r>
          </w:p>
        </w:tc>
        <w:tc>
          <w:tcPr>
            <w:tcW w:w="1984" w:type="dxa"/>
            <w:shd w:val="clear" w:color="auto" w:fill="FFFFFF" w:themeFill="background1"/>
            <w:noWrap/>
            <w:vAlign w:val="center"/>
            <w:hideMark/>
          </w:tcPr>
          <w:p w14:paraId="5E22E49B" w14:textId="77777777" w:rsidR="00957A78" w:rsidRPr="004F1398" w:rsidRDefault="00957A78" w:rsidP="00A72B0A">
            <w:pPr>
              <w:spacing w:after="0" w:line="240" w:lineRule="auto"/>
              <w:rPr>
                <w:rFonts w:eastAsia="Times New Roman" w:cs="Calibri"/>
                <w:b/>
                <w:color w:val="35363A" w:themeColor="accent3" w:themeShade="80"/>
                <w:sz w:val="20"/>
                <w:szCs w:val="20"/>
              </w:rPr>
            </w:pPr>
            <w:r w:rsidRPr="004F1398">
              <w:rPr>
                <w:rFonts w:eastAsia="Times New Roman" w:cs="Calibri"/>
                <w:b/>
                <w:color w:val="35363A" w:themeColor="accent3" w:themeShade="80"/>
                <w:sz w:val="20"/>
                <w:szCs w:val="20"/>
              </w:rPr>
              <w:t>4.92%</w:t>
            </w:r>
          </w:p>
        </w:tc>
      </w:tr>
      <w:tr w:rsidR="00957A78" w:rsidRPr="004F1398" w14:paraId="078CA6FB" w14:textId="77777777" w:rsidTr="00A72B0A">
        <w:trPr>
          <w:trHeight w:val="36"/>
          <w:jc w:val="center"/>
        </w:trPr>
        <w:tc>
          <w:tcPr>
            <w:tcW w:w="2967" w:type="dxa"/>
            <w:shd w:val="clear" w:color="auto" w:fill="FFFFFF" w:themeFill="background1"/>
            <w:vAlign w:val="center"/>
            <w:hideMark/>
          </w:tcPr>
          <w:p w14:paraId="19ADEDAE" w14:textId="77777777" w:rsidR="00957A78" w:rsidRPr="004F1398" w:rsidRDefault="00957A78" w:rsidP="00A72B0A">
            <w:pPr>
              <w:spacing w:after="0" w:line="240" w:lineRule="auto"/>
              <w:rPr>
                <w:rFonts w:eastAsia="Times New Roman" w:cs="Calibri"/>
                <w:color w:val="35363A" w:themeColor="accent3" w:themeShade="80"/>
                <w:sz w:val="20"/>
                <w:szCs w:val="20"/>
              </w:rPr>
            </w:pPr>
            <w:r w:rsidRPr="004F1398">
              <w:rPr>
                <w:rFonts w:eastAsia="Times New Roman" w:cs="Calibri"/>
                <w:color w:val="35363A" w:themeColor="accent3" w:themeShade="80"/>
                <w:sz w:val="20"/>
                <w:szCs w:val="20"/>
              </w:rPr>
              <w:t>7.«Արարատի գինու գործարան» ՍՊԸ</w:t>
            </w:r>
          </w:p>
        </w:tc>
        <w:tc>
          <w:tcPr>
            <w:tcW w:w="2552" w:type="dxa"/>
            <w:shd w:val="clear" w:color="auto" w:fill="FFFFFF" w:themeFill="background1"/>
            <w:vAlign w:val="center"/>
            <w:hideMark/>
          </w:tcPr>
          <w:p w14:paraId="4083D8A5" w14:textId="77777777" w:rsidR="00957A78" w:rsidRPr="004F1398" w:rsidRDefault="00957A78" w:rsidP="00A72B0A">
            <w:pPr>
              <w:spacing w:after="0" w:line="240" w:lineRule="auto"/>
              <w:rPr>
                <w:rFonts w:eastAsia="Times New Roman" w:cs="Calibri"/>
                <w:color w:val="35363A" w:themeColor="accent3" w:themeShade="80"/>
                <w:sz w:val="20"/>
                <w:szCs w:val="20"/>
              </w:rPr>
            </w:pPr>
            <w:r w:rsidRPr="004F1398">
              <w:rPr>
                <w:rFonts w:eastAsia="Times New Roman" w:cs="Calibri"/>
                <w:color w:val="35363A" w:themeColor="accent3" w:themeShade="80"/>
                <w:sz w:val="20"/>
                <w:szCs w:val="20"/>
              </w:rPr>
              <w:t>«ԱՐԴՇԻՆԲԱՆԿ» ՓԲԸ</w:t>
            </w:r>
          </w:p>
        </w:tc>
        <w:tc>
          <w:tcPr>
            <w:tcW w:w="2342" w:type="dxa"/>
            <w:shd w:val="clear" w:color="auto" w:fill="FFFFFF" w:themeFill="background1"/>
            <w:noWrap/>
            <w:vAlign w:val="center"/>
            <w:hideMark/>
          </w:tcPr>
          <w:p w14:paraId="1D1B00C5" w14:textId="77777777" w:rsidR="00957A78" w:rsidRPr="004F1398" w:rsidRDefault="00957A78" w:rsidP="00A72B0A">
            <w:pPr>
              <w:spacing w:after="0" w:line="240" w:lineRule="auto"/>
              <w:rPr>
                <w:rFonts w:eastAsia="Times New Roman" w:cs="Calibri"/>
                <w:color w:val="35363A" w:themeColor="accent3" w:themeShade="80"/>
                <w:sz w:val="20"/>
                <w:szCs w:val="20"/>
              </w:rPr>
            </w:pPr>
            <w:r w:rsidRPr="004F1398">
              <w:rPr>
                <w:rFonts w:eastAsia="Times New Roman" w:cs="Calibri"/>
                <w:color w:val="35363A" w:themeColor="accent3" w:themeShade="80"/>
                <w:sz w:val="20"/>
                <w:szCs w:val="20"/>
              </w:rPr>
              <w:t>250,000,000</w:t>
            </w:r>
          </w:p>
        </w:tc>
        <w:tc>
          <w:tcPr>
            <w:tcW w:w="1984" w:type="dxa"/>
            <w:shd w:val="clear" w:color="auto" w:fill="FFFFFF" w:themeFill="background1"/>
            <w:noWrap/>
            <w:vAlign w:val="center"/>
            <w:hideMark/>
          </w:tcPr>
          <w:p w14:paraId="2FF93C57" w14:textId="77777777" w:rsidR="00957A78" w:rsidRPr="004F1398" w:rsidRDefault="00957A78" w:rsidP="00A72B0A">
            <w:pPr>
              <w:spacing w:after="0" w:line="240" w:lineRule="auto"/>
              <w:rPr>
                <w:rFonts w:eastAsia="Times New Roman" w:cs="Calibri"/>
                <w:b/>
                <w:color w:val="35363A" w:themeColor="accent3" w:themeShade="80"/>
                <w:sz w:val="20"/>
                <w:szCs w:val="20"/>
              </w:rPr>
            </w:pPr>
            <w:r w:rsidRPr="004F1398">
              <w:rPr>
                <w:rFonts w:eastAsia="Times New Roman" w:cs="Calibri"/>
                <w:b/>
                <w:color w:val="35363A" w:themeColor="accent3" w:themeShade="80"/>
                <w:sz w:val="20"/>
                <w:szCs w:val="20"/>
              </w:rPr>
              <w:t>2.62%</w:t>
            </w:r>
          </w:p>
        </w:tc>
      </w:tr>
      <w:tr w:rsidR="00957A78" w:rsidRPr="004F1398" w14:paraId="67CA911D" w14:textId="77777777" w:rsidTr="00A72B0A">
        <w:trPr>
          <w:trHeight w:val="36"/>
          <w:jc w:val="center"/>
        </w:trPr>
        <w:tc>
          <w:tcPr>
            <w:tcW w:w="2967" w:type="dxa"/>
            <w:shd w:val="clear" w:color="auto" w:fill="FFFFFF" w:themeFill="background1"/>
            <w:vAlign w:val="center"/>
            <w:hideMark/>
          </w:tcPr>
          <w:p w14:paraId="39EEA8B3" w14:textId="77777777" w:rsidR="00957A78" w:rsidRPr="004F1398" w:rsidRDefault="00957A78" w:rsidP="00A72B0A">
            <w:pPr>
              <w:spacing w:after="0" w:line="240" w:lineRule="auto"/>
              <w:rPr>
                <w:rFonts w:eastAsia="Times New Roman" w:cs="Calibri"/>
                <w:color w:val="35363A" w:themeColor="accent3" w:themeShade="80"/>
                <w:sz w:val="20"/>
                <w:szCs w:val="20"/>
              </w:rPr>
            </w:pPr>
            <w:r w:rsidRPr="004F1398">
              <w:rPr>
                <w:rFonts w:eastAsia="Times New Roman" w:cs="Calibri"/>
                <w:color w:val="35363A" w:themeColor="accent3" w:themeShade="80"/>
                <w:sz w:val="20"/>
                <w:szCs w:val="20"/>
              </w:rPr>
              <w:t>8. «Գետափի գինու, կոնյակի գործարան» ՍՊԸ</w:t>
            </w:r>
          </w:p>
        </w:tc>
        <w:tc>
          <w:tcPr>
            <w:tcW w:w="2552" w:type="dxa"/>
            <w:shd w:val="clear" w:color="auto" w:fill="FFFFFF" w:themeFill="background1"/>
            <w:vAlign w:val="center"/>
            <w:hideMark/>
          </w:tcPr>
          <w:p w14:paraId="13CAB9BD" w14:textId="77777777" w:rsidR="00957A78" w:rsidRPr="004F1398" w:rsidRDefault="00957A78" w:rsidP="00A72B0A">
            <w:pPr>
              <w:spacing w:after="0" w:line="240" w:lineRule="auto"/>
              <w:rPr>
                <w:rFonts w:eastAsia="Times New Roman" w:cs="Calibri"/>
                <w:color w:val="35363A" w:themeColor="accent3" w:themeShade="80"/>
                <w:sz w:val="20"/>
                <w:szCs w:val="20"/>
              </w:rPr>
            </w:pPr>
            <w:r w:rsidRPr="004F1398">
              <w:rPr>
                <w:rFonts w:eastAsia="Times New Roman" w:cs="Calibri"/>
                <w:color w:val="35363A" w:themeColor="accent3" w:themeShade="80"/>
                <w:sz w:val="20"/>
                <w:szCs w:val="20"/>
              </w:rPr>
              <w:t>«ԱՐՄՍՎԻՍԲԱՆԿ» ՓԲԸ</w:t>
            </w:r>
          </w:p>
        </w:tc>
        <w:tc>
          <w:tcPr>
            <w:tcW w:w="2342" w:type="dxa"/>
            <w:shd w:val="clear" w:color="auto" w:fill="FFFFFF" w:themeFill="background1"/>
            <w:noWrap/>
            <w:vAlign w:val="center"/>
            <w:hideMark/>
          </w:tcPr>
          <w:p w14:paraId="634451EA" w14:textId="77777777" w:rsidR="00957A78" w:rsidRPr="004F1398" w:rsidRDefault="00957A78" w:rsidP="00A72B0A">
            <w:pPr>
              <w:spacing w:after="0" w:line="240" w:lineRule="auto"/>
              <w:rPr>
                <w:rFonts w:eastAsia="Times New Roman" w:cs="Calibri"/>
                <w:color w:val="35363A" w:themeColor="accent3" w:themeShade="80"/>
                <w:sz w:val="20"/>
                <w:szCs w:val="20"/>
              </w:rPr>
            </w:pPr>
            <w:r w:rsidRPr="004F1398">
              <w:rPr>
                <w:rFonts w:eastAsia="Times New Roman" w:cs="Calibri"/>
                <w:color w:val="35363A" w:themeColor="accent3" w:themeShade="80"/>
                <w:sz w:val="20"/>
                <w:szCs w:val="20"/>
              </w:rPr>
              <w:t>218,140,000</w:t>
            </w:r>
          </w:p>
        </w:tc>
        <w:tc>
          <w:tcPr>
            <w:tcW w:w="1984" w:type="dxa"/>
            <w:shd w:val="clear" w:color="auto" w:fill="FFFFFF" w:themeFill="background1"/>
            <w:noWrap/>
            <w:vAlign w:val="center"/>
            <w:hideMark/>
          </w:tcPr>
          <w:p w14:paraId="4F075812" w14:textId="77777777" w:rsidR="00957A78" w:rsidRPr="004F1398" w:rsidRDefault="00957A78" w:rsidP="00A72B0A">
            <w:pPr>
              <w:spacing w:after="0" w:line="240" w:lineRule="auto"/>
              <w:rPr>
                <w:rFonts w:eastAsia="Times New Roman" w:cs="Calibri"/>
                <w:b/>
                <w:color w:val="35363A" w:themeColor="accent3" w:themeShade="80"/>
                <w:sz w:val="20"/>
                <w:szCs w:val="20"/>
              </w:rPr>
            </w:pPr>
            <w:r w:rsidRPr="004F1398">
              <w:rPr>
                <w:rFonts w:eastAsia="Times New Roman" w:cs="Calibri"/>
                <w:b/>
                <w:color w:val="35363A" w:themeColor="accent3" w:themeShade="80"/>
                <w:sz w:val="20"/>
                <w:szCs w:val="20"/>
              </w:rPr>
              <w:t>2.29%</w:t>
            </w:r>
          </w:p>
        </w:tc>
      </w:tr>
      <w:tr w:rsidR="00957A78" w:rsidRPr="004F1398" w14:paraId="5BE62CF9" w14:textId="77777777" w:rsidTr="00A72B0A">
        <w:trPr>
          <w:trHeight w:val="36"/>
          <w:jc w:val="center"/>
        </w:trPr>
        <w:tc>
          <w:tcPr>
            <w:tcW w:w="2967" w:type="dxa"/>
            <w:shd w:val="clear" w:color="auto" w:fill="FFFFFF" w:themeFill="background1"/>
            <w:vAlign w:val="center"/>
            <w:hideMark/>
          </w:tcPr>
          <w:p w14:paraId="612DF8EC" w14:textId="77777777" w:rsidR="00957A78" w:rsidRPr="004F1398" w:rsidRDefault="00957A78" w:rsidP="00A72B0A">
            <w:pPr>
              <w:spacing w:after="0" w:line="240" w:lineRule="auto"/>
              <w:rPr>
                <w:rFonts w:eastAsia="Times New Roman" w:cs="Calibri"/>
                <w:color w:val="35363A" w:themeColor="accent3" w:themeShade="80"/>
                <w:sz w:val="20"/>
                <w:szCs w:val="20"/>
              </w:rPr>
            </w:pPr>
            <w:r w:rsidRPr="004F1398">
              <w:rPr>
                <w:rFonts w:eastAsia="Times New Roman" w:cs="Calibri"/>
                <w:color w:val="35363A" w:themeColor="accent3" w:themeShade="80"/>
                <w:sz w:val="20"/>
                <w:szCs w:val="20"/>
              </w:rPr>
              <w:t>9. «Երասխի գինու գործարան» ՍՊԸ</w:t>
            </w:r>
          </w:p>
        </w:tc>
        <w:tc>
          <w:tcPr>
            <w:tcW w:w="2552" w:type="dxa"/>
            <w:shd w:val="clear" w:color="auto" w:fill="FFFFFF" w:themeFill="background1"/>
            <w:noWrap/>
            <w:vAlign w:val="center"/>
            <w:hideMark/>
          </w:tcPr>
          <w:p w14:paraId="3BB36B73" w14:textId="77777777" w:rsidR="00957A78" w:rsidRPr="004F1398" w:rsidRDefault="00957A78" w:rsidP="00A72B0A">
            <w:pPr>
              <w:spacing w:after="0" w:line="240" w:lineRule="auto"/>
              <w:rPr>
                <w:rFonts w:eastAsia="Times New Roman" w:cs="Calibri"/>
                <w:color w:val="35363A" w:themeColor="accent3" w:themeShade="80"/>
                <w:sz w:val="20"/>
                <w:szCs w:val="20"/>
              </w:rPr>
            </w:pPr>
            <w:r w:rsidRPr="004F1398">
              <w:rPr>
                <w:rFonts w:eastAsia="Times New Roman" w:cs="Calibri"/>
                <w:color w:val="35363A" w:themeColor="accent3" w:themeShade="80"/>
                <w:sz w:val="20"/>
                <w:szCs w:val="20"/>
              </w:rPr>
              <w:t>«ԱՐՄՍՎԻՍԲԱՆԿ» ՓԲԸ</w:t>
            </w:r>
          </w:p>
        </w:tc>
        <w:tc>
          <w:tcPr>
            <w:tcW w:w="2342" w:type="dxa"/>
            <w:shd w:val="clear" w:color="auto" w:fill="FFFFFF" w:themeFill="background1"/>
            <w:noWrap/>
            <w:vAlign w:val="center"/>
            <w:hideMark/>
          </w:tcPr>
          <w:p w14:paraId="6D2DDBF6" w14:textId="77777777" w:rsidR="00957A78" w:rsidRPr="004F1398" w:rsidRDefault="00957A78" w:rsidP="00A72B0A">
            <w:pPr>
              <w:spacing w:after="0" w:line="240" w:lineRule="auto"/>
              <w:rPr>
                <w:rFonts w:eastAsia="Times New Roman" w:cs="Calibri"/>
                <w:color w:val="35363A" w:themeColor="accent3" w:themeShade="80"/>
                <w:sz w:val="20"/>
                <w:szCs w:val="20"/>
              </w:rPr>
            </w:pPr>
            <w:r w:rsidRPr="004F1398">
              <w:rPr>
                <w:rFonts w:eastAsia="Times New Roman" w:cs="Calibri"/>
                <w:color w:val="35363A" w:themeColor="accent3" w:themeShade="80"/>
                <w:sz w:val="20"/>
                <w:szCs w:val="20"/>
              </w:rPr>
              <w:t>127,760,000</w:t>
            </w:r>
          </w:p>
        </w:tc>
        <w:tc>
          <w:tcPr>
            <w:tcW w:w="1984" w:type="dxa"/>
            <w:shd w:val="clear" w:color="auto" w:fill="FFFFFF" w:themeFill="background1"/>
            <w:noWrap/>
            <w:vAlign w:val="center"/>
            <w:hideMark/>
          </w:tcPr>
          <w:p w14:paraId="135C6D9F" w14:textId="77777777" w:rsidR="00957A78" w:rsidRPr="004F1398" w:rsidRDefault="00957A78" w:rsidP="00A72B0A">
            <w:pPr>
              <w:spacing w:after="0" w:line="240" w:lineRule="auto"/>
              <w:rPr>
                <w:rFonts w:eastAsia="Times New Roman" w:cs="Calibri"/>
                <w:b/>
                <w:color w:val="35363A" w:themeColor="accent3" w:themeShade="80"/>
                <w:sz w:val="20"/>
                <w:szCs w:val="20"/>
              </w:rPr>
            </w:pPr>
            <w:r w:rsidRPr="004F1398">
              <w:rPr>
                <w:rFonts w:eastAsia="Times New Roman" w:cs="Calibri"/>
                <w:b/>
                <w:color w:val="35363A" w:themeColor="accent3" w:themeShade="80"/>
                <w:sz w:val="20"/>
                <w:szCs w:val="20"/>
              </w:rPr>
              <w:t>1.34%</w:t>
            </w:r>
          </w:p>
        </w:tc>
      </w:tr>
    </w:tbl>
    <w:p w14:paraId="28583FD9" w14:textId="77777777" w:rsidR="00957A78" w:rsidRPr="00F17C66" w:rsidRDefault="00957A78" w:rsidP="00957A78">
      <w:pPr>
        <w:spacing w:after="0"/>
        <w:jc w:val="both"/>
        <w:rPr>
          <w:lang w:val="hy-AM"/>
        </w:rPr>
      </w:pPr>
      <w:r w:rsidRPr="00F17C66">
        <w:rPr>
          <w:lang w:val="hy-AM"/>
        </w:rPr>
        <w:t xml:space="preserve">Համաձայն «Բյուջետային համակարգի մասին» ՀՀ օրենքի 11-րդ հոդվածի 4-րդ </w:t>
      </w:r>
      <w:r>
        <w:rPr>
          <w:lang w:val="hy-AM"/>
        </w:rPr>
        <w:t>մասի</w:t>
      </w:r>
      <w:r w:rsidRPr="00F17C66">
        <w:rPr>
          <w:lang w:val="hy-AM"/>
        </w:rPr>
        <w:t>՝ տվյալ բյուջետային տարում երաշխավորվող պարտավորությունների ընդհանուր գումարը (բացառությամբ Հայաստանի Հանրապետության անունից կնքված միջազգային պայմանագրերով նախատեսված երաշխիքների) չի կարող գերազանցել նախորդ բյուջետային տարվա պետական բյուջեի հարկային եկամուտների 10 տոկոսը:</w:t>
      </w:r>
    </w:p>
    <w:p w14:paraId="5C96372E" w14:textId="77777777" w:rsidR="00957A78" w:rsidRDefault="00957A78" w:rsidP="00957A78">
      <w:pPr>
        <w:spacing w:after="0"/>
        <w:jc w:val="both"/>
        <w:rPr>
          <w:lang w:val="hy-AM"/>
        </w:rPr>
      </w:pPr>
      <w:r w:rsidRPr="00F17C66">
        <w:rPr>
          <w:lang w:val="hy-AM"/>
        </w:rPr>
        <w:t>Հաշվի առնելով օրենսդրորեն սահմանված վերոնշյալ ֆիսկալ կանոնը</w:t>
      </w:r>
      <w:r>
        <w:rPr>
          <w:lang w:val="hy-AM"/>
        </w:rPr>
        <w:t>՝</w:t>
      </w:r>
      <w:r w:rsidRPr="00F17C66">
        <w:rPr>
          <w:lang w:val="hy-AM"/>
        </w:rPr>
        <w:t xml:space="preserve"> ստորև ներկայացնենք տվյալ բյուջետային տարում երաշխավորվող պարտավորությունների կշիռը նախորդ բյուջետային տարվա պետական բյուջեի հարկային եկամուտներում՝ համեմատելով սահմանային շեմի հետ</w:t>
      </w:r>
      <w:r>
        <w:rPr>
          <w:lang w:val="hy-AM"/>
        </w:rPr>
        <w:t>:</w:t>
      </w:r>
    </w:p>
    <w:p w14:paraId="09CFC744" w14:textId="77777777" w:rsidR="00957A78" w:rsidRDefault="00957A78" w:rsidP="00957A78">
      <w:pPr>
        <w:spacing w:after="0"/>
        <w:rPr>
          <w:lang w:val="hy-AM"/>
        </w:rPr>
      </w:pPr>
    </w:p>
    <w:p w14:paraId="031C303B" w14:textId="77777777" w:rsidR="00957A78" w:rsidRPr="00A461D4" w:rsidRDefault="00957A78" w:rsidP="00957A78">
      <w:pPr>
        <w:rPr>
          <w:i/>
          <w:sz w:val="20"/>
          <w:szCs w:val="20"/>
          <w:lang w:val="hy-AM"/>
        </w:rPr>
      </w:pPr>
      <w:r w:rsidRPr="00A461D4">
        <w:rPr>
          <w:b/>
          <w:i/>
          <w:sz w:val="20"/>
          <w:szCs w:val="20"/>
          <w:lang w:val="hy-AM"/>
        </w:rPr>
        <w:t>Գծապատկեր 2</w:t>
      </w:r>
      <w:r>
        <w:rPr>
          <w:b/>
          <w:i/>
          <w:sz w:val="20"/>
          <w:szCs w:val="20"/>
          <w:lang w:val="hy-AM"/>
        </w:rPr>
        <w:t>3</w:t>
      </w:r>
      <w:r w:rsidRPr="00A461D4">
        <w:rPr>
          <w:b/>
          <w:i/>
          <w:sz w:val="20"/>
          <w:szCs w:val="20"/>
          <w:lang w:val="hy-AM"/>
        </w:rPr>
        <w:t xml:space="preserve">. </w:t>
      </w:r>
      <w:r w:rsidRPr="00A461D4">
        <w:rPr>
          <w:i/>
          <w:sz w:val="20"/>
          <w:szCs w:val="20"/>
          <w:lang w:val="hy-AM"/>
        </w:rPr>
        <w:t>Տվյալ բյուջետային տարում երաշխավորվող պարտավորությունների կշիռը նախորդ բյուջետային տարվա պետական բյուջեի հարկային եկամուտներում՝ 2016-2024թթ.</w:t>
      </w:r>
    </w:p>
    <w:p w14:paraId="6B730792" w14:textId="77777777" w:rsidR="00957A78" w:rsidRPr="004469E0" w:rsidRDefault="00957A78" w:rsidP="00957A78">
      <w:pPr>
        <w:spacing w:line="240" w:lineRule="auto"/>
        <w:ind w:right="270" w:firstLine="360"/>
        <w:jc w:val="center"/>
        <w:rPr>
          <w:sz w:val="24"/>
          <w:szCs w:val="24"/>
          <w:lang w:val="hy-AM"/>
        </w:rPr>
      </w:pPr>
      <w:r>
        <w:rPr>
          <w:noProof/>
        </w:rPr>
        <w:drawing>
          <wp:inline distT="0" distB="0" distL="0" distR="0" wp14:anchorId="0D65F633" wp14:editId="1BA2C391">
            <wp:extent cx="5210175" cy="2590800"/>
            <wp:effectExtent l="0" t="0" r="9525" b="0"/>
            <wp:docPr id="1545876458" name="Chart 1545876458"/>
            <wp:cNvGraphicFramePr/>
            <a:graphic xmlns:a="http://schemas.openxmlformats.org/drawingml/2006/main">
              <a:graphicData uri="http://schemas.openxmlformats.org/drawingml/2006/chart">
                <c:chart xmlns:c="http://schemas.openxmlformats.org/drawingml/2006/chart" xmlns:r="http://schemas.openxmlformats.org/officeDocument/2006/relationships" r:id="rId118"/>
              </a:graphicData>
            </a:graphic>
          </wp:inline>
        </w:drawing>
      </w:r>
    </w:p>
    <w:p w14:paraId="36F65877" w14:textId="77777777" w:rsidR="00957A78" w:rsidRPr="00916288" w:rsidRDefault="00957A78" w:rsidP="00957A78">
      <w:pPr>
        <w:spacing w:after="0"/>
        <w:jc w:val="both"/>
        <w:rPr>
          <w:lang w:val="hy-AM"/>
        </w:rPr>
      </w:pPr>
      <w:r w:rsidRPr="00916288">
        <w:rPr>
          <w:lang w:val="hy-AM"/>
        </w:rPr>
        <w:t>Ինչպես նկատելի է գծապատկերից</w:t>
      </w:r>
      <w:r>
        <w:rPr>
          <w:lang w:val="hy-AM"/>
        </w:rPr>
        <w:t>,</w:t>
      </w:r>
      <w:r w:rsidRPr="00916288">
        <w:rPr>
          <w:lang w:val="hy-AM"/>
        </w:rPr>
        <w:t xml:space="preserve"> դիտարկվող ժամանակահատվածում ցուցանիշը չի հատել սահմանային շեմը՝ վերջին տարիներին դրսևորելով նվազման միտում, որը պայմանավորված է ինչպես հարկային եկամուտների աճով, այնպես էլ երաշխավորվող պարտավորությունների նվազմամբ:</w:t>
      </w:r>
    </w:p>
    <w:p w14:paraId="2E5094B8" w14:textId="77777777" w:rsidR="00957A78" w:rsidRPr="003F34DE" w:rsidRDefault="00957A78" w:rsidP="00957A78">
      <w:pPr>
        <w:pStyle w:val="TOC4"/>
        <w:rPr>
          <w:lang w:val="af-ZA"/>
        </w:rPr>
      </w:pPr>
      <w:bookmarkStart w:id="523" w:name="_Toc170906941"/>
      <w:bookmarkStart w:id="524" w:name="_Toc170906569"/>
      <w:bookmarkEnd w:id="519"/>
      <w:bookmarkEnd w:id="520"/>
      <w:r>
        <w:rPr>
          <w:lang w:val="af-ZA"/>
        </w:rPr>
        <w:t>3.1.</w:t>
      </w:r>
      <w:r>
        <w:rPr>
          <w:lang w:val="hy-AM"/>
        </w:rPr>
        <w:t>3</w:t>
      </w:r>
      <w:r w:rsidRPr="00E77731">
        <w:rPr>
          <w:lang w:val="af-ZA"/>
        </w:rPr>
        <w:t xml:space="preserve"> </w:t>
      </w:r>
      <w:r w:rsidRPr="00C0795E">
        <w:rPr>
          <w:lang w:val="hy-AM"/>
        </w:rPr>
        <w:t>ՊԵՏՈՒԹՅՈՒՆ</w:t>
      </w:r>
      <w:r w:rsidRPr="00E77731">
        <w:rPr>
          <w:lang w:val="af-ZA"/>
        </w:rPr>
        <w:t>-</w:t>
      </w:r>
      <w:r w:rsidRPr="00C0795E">
        <w:rPr>
          <w:lang w:val="hy-AM"/>
        </w:rPr>
        <w:t>ՄԱՍՆԱՎՈՐ</w:t>
      </w:r>
      <w:r w:rsidRPr="00E77731">
        <w:rPr>
          <w:lang w:val="af-ZA"/>
        </w:rPr>
        <w:t xml:space="preserve"> </w:t>
      </w:r>
      <w:r w:rsidRPr="00C0795E">
        <w:rPr>
          <w:lang w:val="hy-AM"/>
        </w:rPr>
        <w:t>ԳՈՐԾԸՆԿԵՐՈՒԹՅԱՆ</w:t>
      </w:r>
      <w:r w:rsidRPr="00E77731">
        <w:rPr>
          <w:lang w:val="af-ZA"/>
        </w:rPr>
        <w:t xml:space="preserve"> (</w:t>
      </w:r>
      <w:r w:rsidRPr="00C0795E">
        <w:rPr>
          <w:lang w:val="hy-AM"/>
        </w:rPr>
        <w:t>ՊՄԳ</w:t>
      </w:r>
      <w:r w:rsidRPr="00E77731">
        <w:rPr>
          <w:lang w:val="af-ZA"/>
        </w:rPr>
        <w:t xml:space="preserve">) </w:t>
      </w:r>
      <w:r w:rsidRPr="00C0795E">
        <w:rPr>
          <w:lang w:val="hy-AM"/>
        </w:rPr>
        <w:t>ՁԵՎԱՉԱՓՈՎ</w:t>
      </w:r>
      <w:r w:rsidRPr="00E77731">
        <w:rPr>
          <w:lang w:val="af-ZA"/>
        </w:rPr>
        <w:t xml:space="preserve"> </w:t>
      </w:r>
      <w:r w:rsidRPr="00C0795E">
        <w:rPr>
          <w:lang w:val="hy-AM"/>
        </w:rPr>
        <w:t>ԳՈՐԾՈՂ</w:t>
      </w:r>
      <w:r w:rsidRPr="00E77731">
        <w:rPr>
          <w:lang w:val="af-ZA"/>
        </w:rPr>
        <w:t xml:space="preserve"> </w:t>
      </w:r>
      <w:r w:rsidRPr="00C0795E">
        <w:rPr>
          <w:lang w:val="hy-AM"/>
        </w:rPr>
        <w:t>ՊԱՅՄԱՆԱԳՐԵՐԻՑ</w:t>
      </w:r>
      <w:r w:rsidRPr="00E77731">
        <w:rPr>
          <w:lang w:val="af-ZA"/>
        </w:rPr>
        <w:t xml:space="preserve"> </w:t>
      </w:r>
      <w:r w:rsidRPr="00C0795E">
        <w:rPr>
          <w:lang w:val="hy-AM"/>
        </w:rPr>
        <w:t>ԲԽՈՂ</w:t>
      </w:r>
      <w:r w:rsidRPr="00E77731">
        <w:rPr>
          <w:lang w:val="af-ZA"/>
        </w:rPr>
        <w:t xml:space="preserve"> </w:t>
      </w:r>
      <w:r w:rsidRPr="00C0795E">
        <w:rPr>
          <w:lang w:val="hy-AM"/>
        </w:rPr>
        <w:t>ՀԱՐԿԱԲՅՈՒՋԵՏԱՅԻՆ</w:t>
      </w:r>
      <w:r w:rsidRPr="003F34DE">
        <w:rPr>
          <w:lang w:val="af-ZA"/>
        </w:rPr>
        <w:t xml:space="preserve"> </w:t>
      </w:r>
      <w:r w:rsidRPr="00C0795E">
        <w:rPr>
          <w:lang w:val="hy-AM"/>
        </w:rPr>
        <w:t>ՌԻՍԿԵՐԻ</w:t>
      </w:r>
      <w:r w:rsidRPr="003F34DE">
        <w:rPr>
          <w:lang w:val="af-ZA"/>
        </w:rPr>
        <w:t xml:space="preserve"> </w:t>
      </w:r>
      <w:r w:rsidRPr="00C0795E">
        <w:rPr>
          <w:lang w:val="hy-AM"/>
        </w:rPr>
        <w:t>ՎԵՐԼՈՒԾՈՒԹՅՈՒՆ</w:t>
      </w:r>
      <w:r w:rsidRPr="003F34DE">
        <w:rPr>
          <w:lang w:val="af-ZA"/>
        </w:rPr>
        <w:t xml:space="preserve"> </w:t>
      </w:r>
      <w:bookmarkEnd w:id="523"/>
      <w:bookmarkEnd w:id="524"/>
    </w:p>
    <w:p w14:paraId="64660FB6" w14:textId="77777777" w:rsidR="00957A78" w:rsidRPr="00157F33" w:rsidRDefault="00957A78" w:rsidP="00957A78">
      <w:pPr>
        <w:tabs>
          <w:tab w:val="left" w:pos="0"/>
        </w:tabs>
        <w:spacing w:after="0"/>
        <w:jc w:val="both"/>
        <w:rPr>
          <w:b/>
          <w:bCs/>
          <w:lang w:val="hy-AM"/>
        </w:rPr>
      </w:pPr>
      <w:r w:rsidRPr="007A4E3A">
        <w:rPr>
          <w:bCs/>
          <w:lang w:val="hy-AM"/>
        </w:rPr>
        <w:t>Վերլուծության են ենթարկվել «Հարավկովկասյան երկաթուղի», «Վեոլիա ջուր», «Արմենիա» միջազգային օդանավակայաններ, «ՔոնթուրԳլոբալ հիդրո կասկադ», «Արմփաուեր» և «Էֆարվի Մասրիկ» պայմանագրերը, որոնք գործունեություն են ծավալում այնպիսի կարևոր ո</w:t>
      </w:r>
      <w:r>
        <w:rPr>
          <w:bCs/>
          <w:lang w:val="hy-AM"/>
        </w:rPr>
        <w:t>լ</w:t>
      </w:r>
      <w:r w:rsidRPr="007A4E3A">
        <w:rPr>
          <w:bCs/>
          <w:lang w:val="hy-AM"/>
        </w:rPr>
        <w:t>որտներում, ինչպիսիք են տրանսպորտը, էներգետիկան և ջրամատակարարումը</w:t>
      </w:r>
      <w:r>
        <w:rPr>
          <w:bCs/>
          <w:lang w:val="hy-AM"/>
        </w:rPr>
        <w:t xml:space="preserve">։ </w:t>
      </w:r>
      <w:r w:rsidRPr="007A4E3A">
        <w:rPr>
          <w:bCs/>
          <w:lang w:val="hy-AM"/>
        </w:rPr>
        <w:t>Այս ՊՄԳ-ների համար պայմանական պարտավորությունների առավել մեծ ծավալ են կազմում վաղաժամկետ դադարեցման, տնտեսական կամ օրենսդրական փոփոխությունների հետևանքով պայմանավորված նոր բանակցությունների և յուրաքանչյուր ծրագրին հատուկ ռիսկի այլ գործոնների հետ կապված հնարավոր ծախսերը:</w:t>
      </w:r>
      <w:r>
        <w:rPr>
          <w:bCs/>
          <w:lang w:val="hy-AM"/>
        </w:rPr>
        <w:t xml:space="preserve"> Բացի այդ, երկու պայմանագրեր՝ ԱՅԳ </w:t>
      </w:r>
      <w:r w:rsidRPr="00CB6C57">
        <w:rPr>
          <w:bCs/>
          <w:lang w:val="hy-AM"/>
        </w:rPr>
        <w:t xml:space="preserve">1 </w:t>
      </w:r>
      <w:r>
        <w:rPr>
          <w:bCs/>
          <w:lang w:val="hy-AM"/>
        </w:rPr>
        <w:t xml:space="preserve">արևային կայանը և 2025 թվականին ստորագրված </w:t>
      </w:r>
      <w:r w:rsidRPr="00686E0D">
        <w:rPr>
          <w:bCs/>
          <w:color w:val="1A1A1A"/>
          <w:lang w:val="hy-AM"/>
        </w:rPr>
        <w:t xml:space="preserve">կենսաչափական տվյալներ </w:t>
      </w:r>
      <w:r w:rsidRPr="00157F33">
        <w:rPr>
          <w:bCs/>
          <w:color w:val="1A1A1A"/>
          <w:lang w:val="hy-AM"/>
        </w:rPr>
        <w:t xml:space="preserve">պարունակող անձնագրերի տրամադրում և էլեկտրոնային նույնականացման համակարգը, </w:t>
      </w:r>
      <w:r w:rsidRPr="00157F33">
        <w:rPr>
          <w:bCs/>
          <w:lang w:val="hy-AM"/>
        </w:rPr>
        <w:t xml:space="preserve">դեռևս չեն </w:t>
      </w:r>
      <w:r>
        <w:rPr>
          <w:bCs/>
          <w:lang w:val="hy-AM"/>
        </w:rPr>
        <w:t xml:space="preserve"> անցել ներդրումային փուլ</w:t>
      </w:r>
      <w:r w:rsidRPr="00157F33">
        <w:rPr>
          <w:bCs/>
          <w:lang w:val="hy-AM"/>
        </w:rPr>
        <w:t>, և իրենց գծով տեղեկատվությունը ներկայացված է ի լրումն։</w:t>
      </w:r>
    </w:p>
    <w:p w14:paraId="3A75B426" w14:textId="77777777" w:rsidR="00957A78" w:rsidRDefault="00957A78" w:rsidP="00957A78">
      <w:pPr>
        <w:rPr>
          <w:rFonts w:eastAsia="Calibri" w:cs="Sylfaen"/>
          <w:bCs/>
          <w:i/>
          <w:sz w:val="20"/>
          <w:szCs w:val="20"/>
          <w:lang w:val="hy-AM"/>
        </w:rPr>
      </w:pPr>
      <w:r w:rsidRPr="00727FD5">
        <w:rPr>
          <w:rFonts w:eastAsia="Calibri" w:cs="Sylfaen"/>
          <w:b/>
          <w:bCs/>
          <w:i/>
          <w:sz w:val="20"/>
          <w:szCs w:val="20"/>
          <w:lang w:val="hy-AM"/>
        </w:rPr>
        <w:t xml:space="preserve">Աղյուսակ </w:t>
      </w:r>
      <w:r>
        <w:rPr>
          <w:rFonts w:eastAsia="Calibri" w:cs="Sylfaen"/>
          <w:b/>
          <w:bCs/>
          <w:i/>
          <w:sz w:val="20"/>
          <w:szCs w:val="20"/>
          <w:lang w:val="hy-AM"/>
        </w:rPr>
        <w:t>6</w:t>
      </w:r>
      <w:r w:rsidRPr="00727FD5">
        <w:rPr>
          <w:rFonts w:eastAsia="Calibri" w:cs="Sylfaen"/>
          <w:b/>
          <w:bCs/>
          <w:i/>
          <w:sz w:val="20"/>
          <w:szCs w:val="20"/>
          <w:lang w:val="hy-AM"/>
        </w:rPr>
        <w:t>.</w:t>
      </w:r>
      <w:r w:rsidRPr="00727FD5">
        <w:rPr>
          <w:rFonts w:eastAsia="Calibri" w:cs="Sylfaen"/>
          <w:bCs/>
          <w:i/>
          <w:sz w:val="20"/>
          <w:szCs w:val="20"/>
          <w:lang w:val="hy-AM"/>
        </w:rPr>
        <w:t xml:space="preserve"> Գործող ՊՄԳ և ԷԳՊ պայմանագրերը</w:t>
      </w:r>
    </w:p>
    <w:tbl>
      <w:tblPr>
        <w:tblW w:w="9728" w:type="dxa"/>
        <w:jc w:val="center"/>
        <w:tblBorders>
          <w:top w:val="single" w:sz="4" w:space="0" w:color="E1E1E3" w:themeColor="accent3" w:themeTint="33"/>
          <w:left w:val="single" w:sz="4" w:space="0" w:color="E1E1E3" w:themeColor="accent3" w:themeTint="33"/>
          <w:bottom w:val="single" w:sz="4" w:space="0" w:color="E1E1E3" w:themeColor="accent3" w:themeTint="33"/>
          <w:right w:val="single" w:sz="4" w:space="0" w:color="E1E1E3" w:themeColor="accent3" w:themeTint="33"/>
          <w:insideH w:val="single" w:sz="4" w:space="0" w:color="E1E1E3" w:themeColor="accent3" w:themeTint="33"/>
          <w:insideV w:val="single" w:sz="4" w:space="0" w:color="E1E1E3" w:themeColor="accent3" w:themeTint="33"/>
        </w:tblBorders>
        <w:tblLayout w:type="fixed"/>
        <w:tblLook w:val="0480" w:firstRow="0" w:lastRow="0" w:firstColumn="1" w:lastColumn="0" w:noHBand="0" w:noVBand="1"/>
      </w:tblPr>
      <w:tblGrid>
        <w:gridCol w:w="2592"/>
        <w:gridCol w:w="2592"/>
        <w:gridCol w:w="933"/>
        <w:gridCol w:w="1019"/>
        <w:gridCol w:w="2592"/>
      </w:tblGrid>
      <w:tr w:rsidR="00957A78" w:rsidRPr="0075631F" w14:paraId="7AE6F6AB" w14:textId="77777777" w:rsidTr="00A72B0A">
        <w:trPr>
          <w:trHeight w:val="885"/>
          <w:jc w:val="center"/>
        </w:trPr>
        <w:tc>
          <w:tcPr>
            <w:tcW w:w="2592" w:type="dxa"/>
            <w:shd w:val="clear" w:color="auto" w:fill="D5DCE4" w:themeFill="text2" w:themeFillTint="33"/>
            <w:vAlign w:val="center"/>
            <w:hideMark/>
          </w:tcPr>
          <w:p w14:paraId="508CF962" w14:textId="77777777" w:rsidR="00957A78" w:rsidRPr="000624E0" w:rsidRDefault="00957A78" w:rsidP="00A72B0A">
            <w:pPr>
              <w:rPr>
                <w:color w:val="35363A" w:themeColor="accent3" w:themeShade="80"/>
                <w:sz w:val="18"/>
                <w:szCs w:val="18"/>
              </w:rPr>
            </w:pPr>
            <w:r w:rsidRPr="000624E0">
              <w:rPr>
                <w:color w:val="35363A" w:themeColor="accent3" w:themeShade="80"/>
                <w:sz w:val="18"/>
                <w:szCs w:val="18"/>
              </w:rPr>
              <w:t>Անվանում</w:t>
            </w:r>
          </w:p>
        </w:tc>
        <w:tc>
          <w:tcPr>
            <w:tcW w:w="2592" w:type="dxa"/>
            <w:shd w:val="clear" w:color="auto" w:fill="D5DCE4" w:themeFill="text2" w:themeFillTint="33"/>
            <w:vAlign w:val="center"/>
            <w:hideMark/>
          </w:tcPr>
          <w:p w14:paraId="4B480DCD" w14:textId="77777777" w:rsidR="00957A78" w:rsidRPr="000624E0" w:rsidRDefault="00957A78" w:rsidP="00A72B0A">
            <w:pPr>
              <w:rPr>
                <w:color w:val="35363A" w:themeColor="accent3" w:themeShade="80"/>
                <w:sz w:val="18"/>
                <w:szCs w:val="18"/>
              </w:rPr>
            </w:pPr>
            <w:r w:rsidRPr="000624E0">
              <w:rPr>
                <w:color w:val="35363A" w:themeColor="accent3" w:themeShade="80"/>
                <w:sz w:val="18"/>
                <w:szCs w:val="18"/>
              </w:rPr>
              <w:t>Ոլորտ</w:t>
            </w:r>
          </w:p>
        </w:tc>
        <w:tc>
          <w:tcPr>
            <w:tcW w:w="933" w:type="dxa"/>
            <w:shd w:val="clear" w:color="auto" w:fill="D5DCE4" w:themeFill="text2" w:themeFillTint="33"/>
            <w:vAlign w:val="center"/>
            <w:hideMark/>
          </w:tcPr>
          <w:p w14:paraId="26464C36" w14:textId="77777777" w:rsidR="00957A78" w:rsidRPr="000624E0" w:rsidRDefault="00957A78" w:rsidP="00A72B0A">
            <w:pPr>
              <w:rPr>
                <w:b/>
                <w:color w:val="35363A" w:themeColor="accent3" w:themeShade="80"/>
                <w:sz w:val="18"/>
                <w:szCs w:val="18"/>
              </w:rPr>
            </w:pPr>
            <w:r w:rsidRPr="000624E0">
              <w:rPr>
                <w:b/>
                <w:color w:val="35363A" w:themeColor="accent3" w:themeShade="80"/>
                <w:sz w:val="18"/>
                <w:szCs w:val="18"/>
              </w:rPr>
              <w:t>Սկիզբ</w:t>
            </w:r>
          </w:p>
        </w:tc>
        <w:tc>
          <w:tcPr>
            <w:tcW w:w="1019" w:type="dxa"/>
            <w:shd w:val="clear" w:color="auto" w:fill="D5DCE4" w:themeFill="text2" w:themeFillTint="33"/>
            <w:vAlign w:val="center"/>
            <w:hideMark/>
          </w:tcPr>
          <w:p w14:paraId="71E68C2E" w14:textId="77777777" w:rsidR="00957A78" w:rsidRPr="000624E0" w:rsidRDefault="00957A78" w:rsidP="00A72B0A">
            <w:pPr>
              <w:rPr>
                <w:b/>
                <w:color w:val="35363A" w:themeColor="accent3" w:themeShade="80"/>
                <w:sz w:val="18"/>
                <w:szCs w:val="18"/>
              </w:rPr>
            </w:pPr>
            <w:r w:rsidRPr="000624E0">
              <w:rPr>
                <w:b/>
                <w:color w:val="35363A" w:themeColor="accent3" w:themeShade="80"/>
                <w:sz w:val="18"/>
                <w:szCs w:val="18"/>
              </w:rPr>
              <w:t>Ավարտ</w:t>
            </w:r>
          </w:p>
        </w:tc>
        <w:tc>
          <w:tcPr>
            <w:tcW w:w="2592" w:type="dxa"/>
            <w:shd w:val="clear" w:color="auto" w:fill="D5DCE4" w:themeFill="text2" w:themeFillTint="33"/>
            <w:vAlign w:val="center"/>
            <w:hideMark/>
          </w:tcPr>
          <w:p w14:paraId="349CB560" w14:textId="77777777" w:rsidR="00957A78" w:rsidRPr="000624E0" w:rsidRDefault="00957A78" w:rsidP="00A72B0A">
            <w:pPr>
              <w:jc w:val="center"/>
              <w:rPr>
                <w:color w:val="35363A" w:themeColor="accent3" w:themeShade="80"/>
                <w:sz w:val="18"/>
                <w:szCs w:val="18"/>
              </w:rPr>
            </w:pPr>
            <w:r w:rsidRPr="000624E0">
              <w:rPr>
                <w:color w:val="35363A" w:themeColor="accent3" w:themeShade="80"/>
                <w:sz w:val="18"/>
                <w:szCs w:val="18"/>
                <w:lang w:val="hy-AM"/>
              </w:rPr>
              <w:t>Հ</w:t>
            </w:r>
            <w:r w:rsidRPr="000624E0">
              <w:rPr>
                <w:color w:val="35363A" w:themeColor="accent3" w:themeShade="80"/>
                <w:sz w:val="18"/>
                <w:szCs w:val="18"/>
              </w:rPr>
              <w:t>արկաբյուջետային ռիսկի կարգավիճակի փոփոխությունները</w:t>
            </w:r>
          </w:p>
        </w:tc>
      </w:tr>
      <w:tr w:rsidR="00957A78" w:rsidRPr="0075631F" w14:paraId="4CFAF099" w14:textId="77777777" w:rsidTr="00A72B0A">
        <w:trPr>
          <w:trHeight w:val="660"/>
          <w:jc w:val="center"/>
        </w:trPr>
        <w:tc>
          <w:tcPr>
            <w:tcW w:w="2592" w:type="dxa"/>
            <w:vAlign w:val="center"/>
            <w:hideMark/>
          </w:tcPr>
          <w:p w14:paraId="0991F350" w14:textId="77777777" w:rsidR="00957A78" w:rsidRPr="000624E0" w:rsidRDefault="00957A78" w:rsidP="00A72B0A">
            <w:pPr>
              <w:rPr>
                <w:color w:val="35363A" w:themeColor="accent3" w:themeShade="80"/>
                <w:sz w:val="18"/>
                <w:szCs w:val="18"/>
              </w:rPr>
            </w:pPr>
            <w:r w:rsidRPr="000624E0">
              <w:rPr>
                <w:color w:val="35363A" w:themeColor="accent3" w:themeShade="80"/>
                <w:sz w:val="18"/>
                <w:szCs w:val="18"/>
              </w:rPr>
              <w:t>«Հարավկովկասյան երկաթուղի» ՓԲԸ</w:t>
            </w:r>
          </w:p>
        </w:tc>
        <w:tc>
          <w:tcPr>
            <w:tcW w:w="2592" w:type="dxa"/>
            <w:vAlign w:val="center"/>
            <w:hideMark/>
          </w:tcPr>
          <w:p w14:paraId="3F2FFAD6" w14:textId="77777777" w:rsidR="00957A78" w:rsidRPr="000624E0" w:rsidRDefault="00957A78" w:rsidP="00A72B0A">
            <w:pPr>
              <w:rPr>
                <w:color w:val="35363A" w:themeColor="accent3" w:themeShade="80"/>
                <w:sz w:val="18"/>
                <w:szCs w:val="18"/>
              </w:rPr>
            </w:pPr>
            <w:r w:rsidRPr="000624E0">
              <w:rPr>
                <w:color w:val="35363A" w:themeColor="accent3" w:themeShade="80"/>
                <w:sz w:val="18"/>
                <w:szCs w:val="18"/>
              </w:rPr>
              <w:t>Տրանսպորտ</w:t>
            </w:r>
          </w:p>
        </w:tc>
        <w:tc>
          <w:tcPr>
            <w:tcW w:w="933" w:type="dxa"/>
            <w:vAlign w:val="center"/>
            <w:hideMark/>
          </w:tcPr>
          <w:p w14:paraId="2EB6B51E" w14:textId="77777777" w:rsidR="00957A78" w:rsidRPr="000624E0" w:rsidRDefault="00957A78" w:rsidP="00A72B0A">
            <w:pPr>
              <w:jc w:val="center"/>
              <w:rPr>
                <w:b/>
                <w:color w:val="35363A" w:themeColor="accent3" w:themeShade="80"/>
                <w:sz w:val="18"/>
                <w:szCs w:val="18"/>
              </w:rPr>
            </w:pPr>
            <w:r w:rsidRPr="000624E0">
              <w:rPr>
                <w:b/>
                <w:color w:val="35363A" w:themeColor="accent3" w:themeShade="80"/>
                <w:sz w:val="18"/>
                <w:szCs w:val="18"/>
              </w:rPr>
              <w:t>2008թ.</w:t>
            </w:r>
          </w:p>
        </w:tc>
        <w:tc>
          <w:tcPr>
            <w:tcW w:w="1019" w:type="dxa"/>
            <w:vAlign w:val="center"/>
            <w:hideMark/>
          </w:tcPr>
          <w:p w14:paraId="324EFD6A" w14:textId="77777777" w:rsidR="00957A78" w:rsidRPr="000624E0" w:rsidRDefault="00957A78" w:rsidP="00A72B0A">
            <w:pPr>
              <w:jc w:val="center"/>
              <w:rPr>
                <w:b/>
                <w:color w:val="35363A" w:themeColor="accent3" w:themeShade="80"/>
                <w:sz w:val="18"/>
                <w:szCs w:val="18"/>
              </w:rPr>
            </w:pPr>
            <w:r w:rsidRPr="000624E0">
              <w:rPr>
                <w:b/>
                <w:color w:val="35363A" w:themeColor="accent3" w:themeShade="80"/>
                <w:sz w:val="18"/>
                <w:szCs w:val="18"/>
              </w:rPr>
              <w:t>2038թ.</w:t>
            </w:r>
          </w:p>
        </w:tc>
        <w:tc>
          <w:tcPr>
            <w:tcW w:w="2592" w:type="dxa"/>
            <w:vAlign w:val="center"/>
            <w:hideMark/>
          </w:tcPr>
          <w:p w14:paraId="1B5CAA38" w14:textId="77777777" w:rsidR="00957A78" w:rsidRPr="000624E0" w:rsidRDefault="00957A78" w:rsidP="00A72B0A">
            <w:pPr>
              <w:rPr>
                <w:color w:val="35363A" w:themeColor="accent3" w:themeShade="80"/>
                <w:sz w:val="18"/>
                <w:szCs w:val="18"/>
              </w:rPr>
            </w:pPr>
            <w:r w:rsidRPr="000624E0">
              <w:rPr>
                <w:color w:val="35363A" w:themeColor="accent3" w:themeShade="80"/>
                <w:sz w:val="18"/>
                <w:szCs w:val="18"/>
              </w:rPr>
              <w:t>Նշանակալի, Անփոփոխ</w:t>
            </w:r>
          </w:p>
        </w:tc>
      </w:tr>
      <w:tr w:rsidR="00957A78" w:rsidRPr="0075631F" w14:paraId="2C0B1CB6" w14:textId="77777777" w:rsidTr="00A72B0A">
        <w:trPr>
          <w:trHeight w:val="614"/>
          <w:jc w:val="center"/>
        </w:trPr>
        <w:tc>
          <w:tcPr>
            <w:tcW w:w="2592" w:type="dxa"/>
            <w:vAlign w:val="center"/>
            <w:hideMark/>
          </w:tcPr>
          <w:p w14:paraId="51ECF7A5" w14:textId="77777777" w:rsidR="00957A78" w:rsidRPr="000624E0" w:rsidRDefault="00957A78" w:rsidP="00A72B0A">
            <w:pPr>
              <w:rPr>
                <w:color w:val="35363A" w:themeColor="accent3" w:themeShade="80"/>
                <w:sz w:val="18"/>
                <w:szCs w:val="18"/>
                <w:lang w:val="hy-AM"/>
              </w:rPr>
            </w:pPr>
            <w:r w:rsidRPr="000624E0">
              <w:rPr>
                <w:color w:val="35363A" w:themeColor="accent3" w:themeShade="80"/>
                <w:sz w:val="18"/>
                <w:szCs w:val="18"/>
              </w:rPr>
              <w:t>«Վեոլիա Ջուր» ՓԲԸ</w:t>
            </w:r>
          </w:p>
        </w:tc>
        <w:tc>
          <w:tcPr>
            <w:tcW w:w="2592" w:type="dxa"/>
            <w:vAlign w:val="center"/>
            <w:hideMark/>
          </w:tcPr>
          <w:p w14:paraId="0AE55B86" w14:textId="77777777" w:rsidR="00957A78" w:rsidRPr="000624E0" w:rsidRDefault="00957A78" w:rsidP="00A72B0A">
            <w:pPr>
              <w:rPr>
                <w:color w:val="35363A" w:themeColor="accent3" w:themeShade="80"/>
                <w:sz w:val="18"/>
                <w:szCs w:val="18"/>
              </w:rPr>
            </w:pPr>
            <w:r w:rsidRPr="000624E0">
              <w:rPr>
                <w:color w:val="35363A" w:themeColor="accent3" w:themeShade="80"/>
                <w:sz w:val="18"/>
                <w:szCs w:val="18"/>
              </w:rPr>
              <w:t>Ջրամատակարարում և կեղտաջրերի հեռացում</w:t>
            </w:r>
          </w:p>
        </w:tc>
        <w:tc>
          <w:tcPr>
            <w:tcW w:w="933" w:type="dxa"/>
            <w:vAlign w:val="center"/>
            <w:hideMark/>
          </w:tcPr>
          <w:p w14:paraId="1BF4CA58" w14:textId="77777777" w:rsidR="00957A78" w:rsidRPr="000624E0" w:rsidRDefault="00957A78" w:rsidP="00A72B0A">
            <w:pPr>
              <w:rPr>
                <w:b/>
                <w:color w:val="35363A" w:themeColor="accent3" w:themeShade="80"/>
                <w:sz w:val="18"/>
                <w:szCs w:val="18"/>
              </w:rPr>
            </w:pPr>
            <w:r w:rsidRPr="000624E0">
              <w:rPr>
                <w:b/>
                <w:color w:val="35363A" w:themeColor="accent3" w:themeShade="80"/>
                <w:sz w:val="18"/>
                <w:szCs w:val="18"/>
              </w:rPr>
              <w:t>2016թ.</w:t>
            </w:r>
          </w:p>
        </w:tc>
        <w:tc>
          <w:tcPr>
            <w:tcW w:w="1019" w:type="dxa"/>
            <w:vAlign w:val="center"/>
            <w:hideMark/>
          </w:tcPr>
          <w:p w14:paraId="19036152" w14:textId="77777777" w:rsidR="00957A78" w:rsidRPr="000624E0" w:rsidRDefault="00957A78" w:rsidP="00A72B0A">
            <w:pPr>
              <w:rPr>
                <w:b/>
                <w:color w:val="35363A" w:themeColor="accent3" w:themeShade="80"/>
                <w:sz w:val="18"/>
                <w:szCs w:val="18"/>
              </w:rPr>
            </w:pPr>
            <w:r w:rsidRPr="000624E0">
              <w:rPr>
                <w:b/>
                <w:color w:val="35363A" w:themeColor="accent3" w:themeShade="80"/>
                <w:sz w:val="18"/>
                <w:szCs w:val="18"/>
              </w:rPr>
              <w:t>2031թ.</w:t>
            </w:r>
          </w:p>
        </w:tc>
        <w:tc>
          <w:tcPr>
            <w:tcW w:w="2592" w:type="dxa"/>
            <w:vAlign w:val="center"/>
            <w:hideMark/>
          </w:tcPr>
          <w:p w14:paraId="31B947FA" w14:textId="77777777" w:rsidR="00957A78" w:rsidRPr="000624E0" w:rsidRDefault="00957A78" w:rsidP="00A72B0A">
            <w:pPr>
              <w:rPr>
                <w:color w:val="35363A" w:themeColor="accent3" w:themeShade="80"/>
                <w:sz w:val="18"/>
                <w:szCs w:val="18"/>
              </w:rPr>
            </w:pPr>
            <w:r w:rsidRPr="000624E0">
              <w:rPr>
                <w:color w:val="35363A" w:themeColor="accent3" w:themeShade="80"/>
                <w:sz w:val="18"/>
                <w:szCs w:val="18"/>
                <w:lang w:val="hy-AM"/>
              </w:rPr>
              <w:t>Միջին</w:t>
            </w:r>
            <w:r w:rsidRPr="000624E0">
              <w:rPr>
                <w:color w:val="35363A" w:themeColor="accent3" w:themeShade="80"/>
                <w:sz w:val="18"/>
                <w:szCs w:val="18"/>
              </w:rPr>
              <w:t>, Անփոփոխ</w:t>
            </w:r>
          </w:p>
        </w:tc>
      </w:tr>
      <w:tr w:rsidR="00957A78" w:rsidRPr="0075631F" w14:paraId="45518DE9" w14:textId="77777777" w:rsidTr="00A72B0A">
        <w:trPr>
          <w:trHeight w:val="244"/>
          <w:jc w:val="center"/>
        </w:trPr>
        <w:tc>
          <w:tcPr>
            <w:tcW w:w="2592" w:type="dxa"/>
            <w:vAlign w:val="center"/>
            <w:hideMark/>
          </w:tcPr>
          <w:p w14:paraId="41593242" w14:textId="77777777" w:rsidR="00957A78" w:rsidRPr="000624E0" w:rsidRDefault="00957A78" w:rsidP="00A72B0A">
            <w:pPr>
              <w:rPr>
                <w:color w:val="35363A" w:themeColor="accent3" w:themeShade="80"/>
                <w:sz w:val="18"/>
                <w:szCs w:val="18"/>
              </w:rPr>
            </w:pPr>
            <w:r w:rsidRPr="000624E0">
              <w:rPr>
                <w:color w:val="35363A" w:themeColor="accent3" w:themeShade="80"/>
                <w:sz w:val="18"/>
                <w:szCs w:val="18"/>
              </w:rPr>
              <w:t>«Արմենիա միջազգային օդանավակայաններ» ՓԲԸ</w:t>
            </w:r>
          </w:p>
        </w:tc>
        <w:tc>
          <w:tcPr>
            <w:tcW w:w="2592" w:type="dxa"/>
            <w:vAlign w:val="center"/>
            <w:hideMark/>
          </w:tcPr>
          <w:p w14:paraId="15E9D40A" w14:textId="77777777" w:rsidR="00957A78" w:rsidRPr="000624E0" w:rsidRDefault="00957A78" w:rsidP="00A72B0A">
            <w:pPr>
              <w:rPr>
                <w:color w:val="35363A" w:themeColor="accent3" w:themeShade="80"/>
                <w:sz w:val="18"/>
                <w:szCs w:val="18"/>
              </w:rPr>
            </w:pPr>
            <w:r w:rsidRPr="000624E0">
              <w:rPr>
                <w:color w:val="35363A" w:themeColor="accent3" w:themeShade="80"/>
                <w:sz w:val="18"/>
                <w:szCs w:val="18"/>
              </w:rPr>
              <w:t>Տրանսպորտ</w:t>
            </w:r>
          </w:p>
        </w:tc>
        <w:tc>
          <w:tcPr>
            <w:tcW w:w="933" w:type="dxa"/>
            <w:vAlign w:val="center"/>
            <w:hideMark/>
          </w:tcPr>
          <w:p w14:paraId="467830BD" w14:textId="77777777" w:rsidR="00957A78" w:rsidRPr="000624E0" w:rsidRDefault="00957A78" w:rsidP="00A72B0A">
            <w:pPr>
              <w:rPr>
                <w:b/>
                <w:color w:val="35363A" w:themeColor="accent3" w:themeShade="80"/>
                <w:sz w:val="18"/>
                <w:szCs w:val="18"/>
              </w:rPr>
            </w:pPr>
            <w:r w:rsidRPr="000624E0">
              <w:rPr>
                <w:b/>
                <w:color w:val="35363A" w:themeColor="accent3" w:themeShade="80"/>
                <w:sz w:val="18"/>
                <w:szCs w:val="18"/>
              </w:rPr>
              <w:t>2002թ.</w:t>
            </w:r>
          </w:p>
        </w:tc>
        <w:tc>
          <w:tcPr>
            <w:tcW w:w="1019" w:type="dxa"/>
            <w:vAlign w:val="center"/>
            <w:hideMark/>
          </w:tcPr>
          <w:p w14:paraId="0BF2A9D7" w14:textId="77777777" w:rsidR="00957A78" w:rsidRPr="000624E0" w:rsidRDefault="00957A78" w:rsidP="00A72B0A">
            <w:pPr>
              <w:rPr>
                <w:b/>
                <w:color w:val="35363A" w:themeColor="accent3" w:themeShade="80"/>
                <w:sz w:val="18"/>
                <w:szCs w:val="18"/>
              </w:rPr>
            </w:pPr>
            <w:r w:rsidRPr="000624E0">
              <w:rPr>
                <w:b/>
                <w:color w:val="35363A" w:themeColor="accent3" w:themeShade="80"/>
                <w:sz w:val="18"/>
                <w:szCs w:val="18"/>
              </w:rPr>
              <w:t>2032թ.</w:t>
            </w:r>
          </w:p>
        </w:tc>
        <w:tc>
          <w:tcPr>
            <w:tcW w:w="2592" w:type="dxa"/>
            <w:vAlign w:val="center"/>
            <w:hideMark/>
          </w:tcPr>
          <w:p w14:paraId="776A5526" w14:textId="77777777" w:rsidR="00957A78" w:rsidRPr="000624E0" w:rsidRDefault="00957A78" w:rsidP="00A72B0A">
            <w:pPr>
              <w:rPr>
                <w:color w:val="35363A" w:themeColor="accent3" w:themeShade="80"/>
                <w:sz w:val="18"/>
                <w:szCs w:val="18"/>
              </w:rPr>
            </w:pPr>
            <w:r w:rsidRPr="000624E0">
              <w:rPr>
                <w:color w:val="35363A" w:themeColor="accent3" w:themeShade="80"/>
                <w:sz w:val="18"/>
                <w:szCs w:val="18"/>
              </w:rPr>
              <w:t>Նշանակալի, Անփոփոխ</w:t>
            </w:r>
          </w:p>
        </w:tc>
      </w:tr>
      <w:tr w:rsidR="00957A78" w:rsidRPr="0075631F" w14:paraId="47293BD8" w14:textId="77777777" w:rsidTr="00A72B0A">
        <w:trPr>
          <w:trHeight w:val="791"/>
          <w:jc w:val="center"/>
        </w:trPr>
        <w:tc>
          <w:tcPr>
            <w:tcW w:w="2592" w:type="dxa"/>
            <w:vAlign w:val="center"/>
            <w:hideMark/>
          </w:tcPr>
          <w:p w14:paraId="64BE0E44" w14:textId="77777777" w:rsidR="00957A78" w:rsidRPr="000624E0" w:rsidRDefault="00957A78" w:rsidP="00A72B0A">
            <w:pPr>
              <w:rPr>
                <w:color w:val="35363A" w:themeColor="accent3" w:themeShade="80"/>
                <w:sz w:val="18"/>
                <w:szCs w:val="18"/>
              </w:rPr>
            </w:pPr>
            <w:r w:rsidRPr="000624E0">
              <w:rPr>
                <w:color w:val="35363A" w:themeColor="accent3" w:themeShade="80"/>
                <w:sz w:val="18"/>
                <w:szCs w:val="18"/>
              </w:rPr>
              <w:t>«ՔոնթուրԳլոբալ հիդրո կասկադ» ՓԲԸ (Որոտան ՀԷԿ), ԷԳՊ</w:t>
            </w:r>
          </w:p>
        </w:tc>
        <w:tc>
          <w:tcPr>
            <w:tcW w:w="2592" w:type="dxa"/>
            <w:vAlign w:val="center"/>
            <w:hideMark/>
          </w:tcPr>
          <w:p w14:paraId="6A3632BF" w14:textId="77777777" w:rsidR="00957A78" w:rsidRPr="000624E0" w:rsidRDefault="00957A78" w:rsidP="00A72B0A">
            <w:pPr>
              <w:rPr>
                <w:color w:val="35363A" w:themeColor="accent3" w:themeShade="80"/>
                <w:sz w:val="18"/>
                <w:szCs w:val="18"/>
              </w:rPr>
            </w:pPr>
            <w:r w:rsidRPr="000624E0">
              <w:rPr>
                <w:color w:val="35363A" w:themeColor="accent3" w:themeShade="80"/>
                <w:sz w:val="18"/>
                <w:szCs w:val="18"/>
              </w:rPr>
              <w:t>Էներգետիկա</w:t>
            </w:r>
          </w:p>
        </w:tc>
        <w:tc>
          <w:tcPr>
            <w:tcW w:w="933" w:type="dxa"/>
            <w:vAlign w:val="center"/>
            <w:hideMark/>
          </w:tcPr>
          <w:p w14:paraId="3C45C6BE" w14:textId="77777777" w:rsidR="00957A78" w:rsidRPr="000624E0" w:rsidRDefault="00957A78" w:rsidP="00A72B0A">
            <w:pPr>
              <w:rPr>
                <w:b/>
                <w:color w:val="35363A" w:themeColor="accent3" w:themeShade="80"/>
                <w:sz w:val="18"/>
                <w:szCs w:val="18"/>
              </w:rPr>
            </w:pPr>
            <w:r w:rsidRPr="000624E0">
              <w:rPr>
                <w:b/>
                <w:color w:val="35363A" w:themeColor="accent3" w:themeShade="80"/>
                <w:sz w:val="18"/>
                <w:szCs w:val="18"/>
              </w:rPr>
              <w:t>2016թ.*</w:t>
            </w:r>
          </w:p>
        </w:tc>
        <w:tc>
          <w:tcPr>
            <w:tcW w:w="1019" w:type="dxa"/>
            <w:vAlign w:val="center"/>
            <w:hideMark/>
          </w:tcPr>
          <w:p w14:paraId="5BE63C71" w14:textId="77777777" w:rsidR="00957A78" w:rsidRPr="000624E0" w:rsidRDefault="00957A78" w:rsidP="00A72B0A">
            <w:pPr>
              <w:rPr>
                <w:b/>
                <w:color w:val="35363A" w:themeColor="accent3" w:themeShade="80"/>
                <w:sz w:val="18"/>
                <w:szCs w:val="18"/>
              </w:rPr>
            </w:pPr>
            <w:r w:rsidRPr="000624E0">
              <w:rPr>
                <w:b/>
                <w:color w:val="35363A" w:themeColor="accent3" w:themeShade="80"/>
                <w:sz w:val="18"/>
                <w:szCs w:val="18"/>
              </w:rPr>
              <w:t>2038թ.</w:t>
            </w:r>
          </w:p>
        </w:tc>
        <w:tc>
          <w:tcPr>
            <w:tcW w:w="2592" w:type="dxa"/>
            <w:vAlign w:val="center"/>
            <w:hideMark/>
          </w:tcPr>
          <w:p w14:paraId="2AA99797" w14:textId="77777777" w:rsidR="00957A78" w:rsidRPr="000624E0" w:rsidRDefault="00957A78" w:rsidP="00A72B0A">
            <w:pPr>
              <w:rPr>
                <w:color w:val="35363A" w:themeColor="accent3" w:themeShade="80"/>
                <w:sz w:val="18"/>
                <w:szCs w:val="18"/>
              </w:rPr>
            </w:pPr>
            <w:r w:rsidRPr="000624E0">
              <w:rPr>
                <w:color w:val="35363A" w:themeColor="accent3" w:themeShade="80"/>
                <w:sz w:val="18"/>
                <w:szCs w:val="18"/>
                <w:lang w:val="hy-AM"/>
              </w:rPr>
              <w:t>Միջին</w:t>
            </w:r>
            <w:r w:rsidRPr="000624E0">
              <w:rPr>
                <w:color w:val="35363A" w:themeColor="accent3" w:themeShade="80"/>
                <w:sz w:val="18"/>
                <w:szCs w:val="18"/>
              </w:rPr>
              <w:t>, Անփոփոխ</w:t>
            </w:r>
          </w:p>
        </w:tc>
      </w:tr>
      <w:tr w:rsidR="00957A78" w:rsidRPr="0075631F" w14:paraId="33001157" w14:textId="77777777" w:rsidTr="00A72B0A">
        <w:trPr>
          <w:trHeight w:val="415"/>
          <w:jc w:val="center"/>
        </w:trPr>
        <w:tc>
          <w:tcPr>
            <w:tcW w:w="2592" w:type="dxa"/>
            <w:vAlign w:val="center"/>
            <w:hideMark/>
          </w:tcPr>
          <w:p w14:paraId="13E9ABF5" w14:textId="77777777" w:rsidR="00957A78" w:rsidRPr="000624E0" w:rsidRDefault="00957A78" w:rsidP="00A72B0A">
            <w:pPr>
              <w:rPr>
                <w:color w:val="35363A" w:themeColor="accent3" w:themeShade="80"/>
                <w:sz w:val="18"/>
                <w:szCs w:val="18"/>
              </w:rPr>
            </w:pPr>
            <w:r w:rsidRPr="000624E0">
              <w:rPr>
                <w:color w:val="35363A" w:themeColor="accent3" w:themeShade="80"/>
                <w:sz w:val="18"/>
                <w:szCs w:val="18"/>
              </w:rPr>
              <w:t>«Արմփաուեր» ՓԲԸ, ԷԳՊ</w:t>
            </w:r>
          </w:p>
        </w:tc>
        <w:tc>
          <w:tcPr>
            <w:tcW w:w="2592" w:type="dxa"/>
            <w:vAlign w:val="center"/>
            <w:hideMark/>
          </w:tcPr>
          <w:p w14:paraId="06768B5B" w14:textId="77777777" w:rsidR="00957A78" w:rsidRPr="000624E0" w:rsidRDefault="00957A78" w:rsidP="00A72B0A">
            <w:pPr>
              <w:rPr>
                <w:color w:val="35363A" w:themeColor="accent3" w:themeShade="80"/>
                <w:sz w:val="18"/>
                <w:szCs w:val="18"/>
              </w:rPr>
            </w:pPr>
            <w:r w:rsidRPr="000624E0">
              <w:rPr>
                <w:color w:val="35363A" w:themeColor="accent3" w:themeShade="80"/>
                <w:sz w:val="18"/>
                <w:szCs w:val="18"/>
              </w:rPr>
              <w:t>Էներգետիկա</w:t>
            </w:r>
          </w:p>
        </w:tc>
        <w:tc>
          <w:tcPr>
            <w:tcW w:w="933" w:type="dxa"/>
            <w:vAlign w:val="center"/>
            <w:hideMark/>
          </w:tcPr>
          <w:p w14:paraId="0CCCE220" w14:textId="77777777" w:rsidR="00957A78" w:rsidRPr="000624E0" w:rsidRDefault="00957A78" w:rsidP="00A72B0A">
            <w:pPr>
              <w:rPr>
                <w:b/>
                <w:color w:val="35363A" w:themeColor="accent3" w:themeShade="80"/>
                <w:sz w:val="18"/>
                <w:szCs w:val="18"/>
              </w:rPr>
            </w:pPr>
            <w:r w:rsidRPr="000624E0">
              <w:rPr>
                <w:b/>
                <w:color w:val="35363A" w:themeColor="accent3" w:themeShade="80"/>
                <w:sz w:val="18"/>
                <w:szCs w:val="18"/>
              </w:rPr>
              <w:t>2019թ.*</w:t>
            </w:r>
          </w:p>
        </w:tc>
        <w:tc>
          <w:tcPr>
            <w:tcW w:w="1019" w:type="dxa"/>
            <w:vAlign w:val="center"/>
            <w:hideMark/>
          </w:tcPr>
          <w:p w14:paraId="2B0BA4B7" w14:textId="77777777" w:rsidR="00957A78" w:rsidRPr="000624E0" w:rsidRDefault="00957A78" w:rsidP="00A72B0A">
            <w:pPr>
              <w:rPr>
                <w:b/>
                <w:color w:val="35363A" w:themeColor="accent3" w:themeShade="80"/>
                <w:sz w:val="18"/>
                <w:szCs w:val="18"/>
              </w:rPr>
            </w:pPr>
            <w:r w:rsidRPr="000624E0">
              <w:rPr>
                <w:b/>
                <w:color w:val="35363A" w:themeColor="accent3" w:themeShade="80"/>
                <w:sz w:val="18"/>
                <w:szCs w:val="18"/>
              </w:rPr>
              <w:t>2041թ.</w:t>
            </w:r>
          </w:p>
        </w:tc>
        <w:tc>
          <w:tcPr>
            <w:tcW w:w="2592" w:type="dxa"/>
            <w:vAlign w:val="center"/>
            <w:hideMark/>
          </w:tcPr>
          <w:p w14:paraId="78BAD812" w14:textId="77777777" w:rsidR="00957A78" w:rsidRPr="000624E0" w:rsidRDefault="00957A78" w:rsidP="00A72B0A">
            <w:pPr>
              <w:rPr>
                <w:color w:val="35363A" w:themeColor="accent3" w:themeShade="80"/>
                <w:sz w:val="18"/>
                <w:szCs w:val="18"/>
              </w:rPr>
            </w:pPr>
            <w:r w:rsidRPr="000624E0">
              <w:rPr>
                <w:color w:val="35363A" w:themeColor="accent3" w:themeShade="80"/>
                <w:sz w:val="18"/>
                <w:szCs w:val="18"/>
              </w:rPr>
              <w:t>Միջին, Անփոփոխ</w:t>
            </w:r>
          </w:p>
        </w:tc>
      </w:tr>
      <w:tr w:rsidR="00957A78" w:rsidRPr="0075631F" w14:paraId="69CD2070" w14:textId="77777777" w:rsidTr="00A72B0A">
        <w:trPr>
          <w:trHeight w:val="647"/>
          <w:jc w:val="center"/>
        </w:trPr>
        <w:tc>
          <w:tcPr>
            <w:tcW w:w="2592" w:type="dxa"/>
            <w:vAlign w:val="center"/>
            <w:hideMark/>
          </w:tcPr>
          <w:p w14:paraId="24A6188A" w14:textId="77777777" w:rsidR="00957A78" w:rsidRPr="000624E0" w:rsidRDefault="00957A78" w:rsidP="00A72B0A">
            <w:pPr>
              <w:rPr>
                <w:color w:val="35363A" w:themeColor="accent3" w:themeShade="80"/>
                <w:sz w:val="18"/>
                <w:szCs w:val="18"/>
              </w:rPr>
            </w:pPr>
            <w:r w:rsidRPr="000624E0">
              <w:rPr>
                <w:color w:val="35363A" w:themeColor="accent3" w:themeShade="80"/>
                <w:sz w:val="18"/>
                <w:szCs w:val="18"/>
              </w:rPr>
              <w:t>«Էֆարվի Մասրիկ» ՓԲԸ, Մասրիկ-1 արևային ֆոտովոլտային էլեկտրակայան, ԷԳՊ</w:t>
            </w:r>
          </w:p>
        </w:tc>
        <w:tc>
          <w:tcPr>
            <w:tcW w:w="2592" w:type="dxa"/>
            <w:vAlign w:val="center"/>
            <w:hideMark/>
          </w:tcPr>
          <w:p w14:paraId="1308291F" w14:textId="77777777" w:rsidR="00957A78" w:rsidRPr="000624E0" w:rsidRDefault="00957A78" w:rsidP="00A72B0A">
            <w:pPr>
              <w:rPr>
                <w:color w:val="35363A" w:themeColor="accent3" w:themeShade="80"/>
                <w:sz w:val="18"/>
                <w:szCs w:val="18"/>
              </w:rPr>
            </w:pPr>
            <w:r w:rsidRPr="000624E0">
              <w:rPr>
                <w:color w:val="35363A" w:themeColor="accent3" w:themeShade="80"/>
                <w:sz w:val="18"/>
                <w:szCs w:val="18"/>
              </w:rPr>
              <w:t>Էներգետիկա</w:t>
            </w:r>
          </w:p>
        </w:tc>
        <w:tc>
          <w:tcPr>
            <w:tcW w:w="933" w:type="dxa"/>
            <w:vAlign w:val="center"/>
            <w:hideMark/>
          </w:tcPr>
          <w:p w14:paraId="3B1E4C93" w14:textId="77777777" w:rsidR="00957A78" w:rsidRPr="000624E0" w:rsidRDefault="00957A78" w:rsidP="00A72B0A">
            <w:pPr>
              <w:rPr>
                <w:b/>
                <w:color w:val="35363A" w:themeColor="accent3" w:themeShade="80"/>
                <w:sz w:val="18"/>
                <w:szCs w:val="18"/>
              </w:rPr>
            </w:pPr>
            <w:r w:rsidRPr="000624E0">
              <w:rPr>
                <w:b/>
                <w:color w:val="35363A" w:themeColor="accent3" w:themeShade="80"/>
                <w:sz w:val="18"/>
                <w:szCs w:val="18"/>
              </w:rPr>
              <w:t>2021թ.*</w:t>
            </w:r>
          </w:p>
        </w:tc>
        <w:tc>
          <w:tcPr>
            <w:tcW w:w="1019" w:type="dxa"/>
            <w:vAlign w:val="center"/>
            <w:hideMark/>
          </w:tcPr>
          <w:p w14:paraId="146C73BA" w14:textId="77777777" w:rsidR="00957A78" w:rsidRPr="000624E0" w:rsidRDefault="00957A78" w:rsidP="00A72B0A">
            <w:pPr>
              <w:rPr>
                <w:b/>
                <w:color w:val="35363A" w:themeColor="accent3" w:themeShade="80"/>
                <w:sz w:val="18"/>
                <w:szCs w:val="18"/>
              </w:rPr>
            </w:pPr>
            <w:r w:rsidRPr="000624E0">
              <w:rPr>
                <w:b/>
                <w:color w:val="35363A" w:themeColor="accent3" w:themeShade="80"/>
                <w:sz w:val="18"/>
                <w:szCs w:val="18"/>
              </w:rPr>
              <w:t>2041թ.</w:t>
            </w:r>
          </w:p>
        </w:tc>
        <w:tc>
          <w:tcPr>
            <w:tcW w:w="2592" w:type="dxa"/>
            <w:vAlign w:val="center"/>
            <w:hideMark/>
          </w:tcPr>
          <w:p w14:paraId="1FA0759F" w14:textId="77777777" w:rsidR="00957A78" w:rsidRPr="000624E0" w:rsidRDefault="00957A78" w:rsidP="00A72B0A">
            <w:pPr>
              <w:rPr>
                <w:color w:val="35363A" w:themeColor="accent3" w:themeShade="80"/>
                <w:sz w:val="18"/>
                <w:szCs w:val="18"/>
              </w:rPr>
            </w:pPr>
            <w:r w:rsidRPr="000624E0">
              <w:rPr>
                <w:bCs/>
                <w:color w:val="35363A" w:themeColor="accent3" w:themeShade="80"/>
                <w:sz w:val="20"/>
                <w:szCs w:val="20"/>
                <w:lang w:val="hy-AM"/>
              </w:rPr>
              <w:t>Ցածր, Բարելավում</w:t>
            </w:r>
          </w:p>
        </w:tc>
      </w:tr>
    </w:tbl>
    <w:p w14:paraId="7D62540E" w14:textId="77777777" w:rsidR="00957A78" w:rsidRDefault="00957A78" w:rsidP="00957A78">
      <w:pPr>
        <w:spacing w:line="240" w:lineRule="auto"/>
        <w:ind w:left="540" w:right="630" w:hanging="180"/>
        <w:rPr>
          <w:b/>
          <w:bCs/>
          <w:sz w:val="16"/>
          <w:lang w:val="hy-AM"/>
        </w:rPr>
      </w:pPr>
      <w:r w:rsidRPr="007A4E3A">
        <w:rPr>
          <w:bCs/>
          <w:lang w:val="hy-AM"/>
        </w:rPr>
        <w:t>*</w:t>
      </w:r>
      <w:r w:rsidRPr="007A4E3A">
        <w:rPr>
          <w:bCs/>
          <w:sz w:val="16"/>
          <w:lang w:val="hy-AM"/>
        </w:rPr>
        <w:t>գործարքի ֆինանսական պայմանների բավարարման տարի. ԷԳՊ պայմանագրերի փաստացի տևողությունը կազմում է մինչև 25 տարի՝ սկսած ստորագրման տարվանից:</w:t>
      </w:r>
    </w:p>
    <w:p w14:paraId="403FA874" w14:textId="77777777" w:rsidR="00957A78" w:rsidRPr="00B16805" w:rsidRDefault="00957A78" w:rsidP="00957A78">
      <w:pPr>
        <w:spacing w:line="240" w:lineRule="auto"/>
        <w:ind w:left="540" w:right="630" w:hanging="180"/>
        <w:rPr>
          <w:b/>
          <w:bCs/>
          <w:sz w:val="16"/>
          <w:lang w:val="hy-AM"/>
        </w:rPr>
      </w:pPr>
    </w:p>
    <w:p w14:paraId="652E3E48" w14:textId="77777777" w:rsidR="00957A78" w:rsidRPr="003F34DE" w:rsidRDefault="00957A78" w:rsidP="00957A78">
      <w:pPr>
        <w:spacing w:after="0"/>
        <w:jc w:val="both"/>
        <w:rPr>
          <w:bCs/>
          <w:lang w:val="hy-AM"/>
        </w:rPr>
      </w:pPr>
      <w:r w:rsidRPr="003F34DE">
        <w:rPr>
          <w:bCs/>
          <w:lang w:val="hy-AM"/>
        </w:rPr>
        <w:t xml:space="preserve">ՊՄԳ պայմանագրերի վերլուծության արդյունքում նյութականացման ռիսկի աստիճանը նշանակալի է համարվել ՊՄԳ այն պայմանագրերի համար, որտեղ պայմանագրի վերաբանակցման կամ պայմանագրի վաղաժամ դադարեցման ռիսկերը բարձր են։ </w:t>
      </w:r>
    </w:p>
    <w:p w14:paraId="3A184FAF" w14:textId="77777777" w:rsidR="00957A78" w:rsidRPr="007A4E3A" w:rsidRDefault="00957A78" w:rsidP="00957A78">
      <w:pPr>
        <w:spacing w:after="0"/>
        <w:rPr>
          <w:b/>
          <w:bCs/>
          <w:color w:val="222222"/>
          <w:shd w:val="clear" w:color="auto" w:fill="FFFFFF"/>
          <w:lang w:val="hy-AM"/>
        </w:rPr>
      </w:pPr>
    </w:p>
    <w:p w14:paraId="51B5CC42" w14:textId="77777777" w:rsidR="00957A78" w:rsidRPr="00AB6BFE" w:rsidRDefault="00957A78" w:rsidP="00957A78">
      <w:pPr>
        <w:pStyle w:val="BodyText"/>
        <w:spacing w:before="120" w:after="0" w:line="276" w:lineRule="auto"/>
        <w:rPr>
          <w:rFonts w:ascii="GHEA Grapalat" w:hAnsi="GHEA Grapalat"/>
          <w:b/>
          <w:lang w:val="hy-AM"/>
        </w:rPr>
      </w:pPr>
      <w:bookmarkStart w:id="525" w:name="_Toc199682013"/>
      <w:r w:rsidRPr="00AB6BFE">
        <w:rPr>
          <w:rFonts w:ascii="GHEA Grapalat" w:hAnsi="GHEA Grapalat"/>
          <w:b/>
          <w:lang w:val="hy-AM"/>
        </w:rPr>
        <w:t>«ՀԱՐԱՎԿՈՎԿԱՍՅԱՆ ԵՐԿԱԹՈՒՂԻ» ՓԲԸ</w:t>
      </w:r>
      <w:bookmarkEnd w:id="525"/>
    </w:p>
    <w:p w14:paraId="4669D818" w14:textId="77777777" w:rsidR="00957A78" w:rsidRPr="00AB6BFE" w:rsidRDefault="00957A78" w:rsidP="00957A78">
      <w:pPr>
        <w:spacing w:after="0"/>
        <w:jc w:val="both"/>
        <w:rPr>
          <w:rFonts w:ascii="GHEA Grapalat" w:hAnsi="GHEA Grapalat"/>
          <w:b/>
          <w:bCs/>
          <w:lang w:val="hy-AM"/>
        </w:rPr>
      </w:pPr>
      <w:r w:rsidRPr="00AB6BFE">
        <w:rPr>
          <w:rFonts w:ascii="GHEA Grapalat" w:hAnsi="GHEA Grapalat"/>
          <w:bCs/>
          <w:lang w:val="hy-AM"/>
        </w:rPr>
        <w:t xml:space="preserve">ՀՀ կառավարության 07.02.2008թ. N 83-Ա որոշման հիման վրա Հայաստանի Հանրապետության, «Հարավկովկասյան երկաթուղի» ՓԲԸ-ի և «Ռուսական երկաթուղիներ» ԲԲԸ-ի միջև 13.02.2008թ. կնքվել է «Հայկական երկաթուղու համակարգը «Ռուսական երկաթուղիներ» ԲԲԸ կողմից ստեղծված «Հարավկովկասյան երկաթուղի» ՓԲԸ փոխանցելու մասին» կոնցեսիոն պայմանագիրը: </w:t>
      </w:r>
    </w:p>
    <w:p w14:paraId="6593DB92" w14:textId="77777777" w:rsidR="00957A78" w:rsidRPr="00AB6BFE" w:rsidRDefault="00957A78" w:rsidP="00957A78">
      <w:pPr>
        <w:spacing w:after="0"/>
        <w:jc w:val="both"/>
        <w:rPr>
          <w:rFonts w:ascii="GHEA Grapalat" w:hAnsi="GHEA Grapalat"/>
          <w:b/>
          <w:bCs/>
          <w:lang w:val="hy-AM"/>
        </w:rPr>
      </w:pPr>
      <w:r w:rsidRPr="00AB6BFE">
        <w:rPr>
          <w:rFonts w:ascii="GHEA Grapalat" w:hAnsi="GHEA Grapalat"/>
          <w:bCs/>
          <w:lang w:val="hy-AM"/>
        </w:rPr>
        <w:t xml:space="preserve">Կոնցեսիոն պայմանագիրը ներառում է վնասի սուբսիդավորում որոշ ուղևորափոխադրումների երթուղիների համար, որոնք իրականացվել են պայմանագրի բոլոր տարիներին: Սակայն, ըստ պայմանագրի, վճարման ենթակա գումարների առավելագույն չափը սահմանափակվում է կոնցեսիոների կողմից վճարման ենթակա տարեկան կոնցեսիոն վճարի չափով: Համաձայն առկա պատմական տեղեկատվության՝ կոնցեսիոն պայմանագրի սկզբից ի վեր որևէ այլ պայմանական պարտավորության նյութականացում տեղի չի ունեցել։ </w:t>
      </w:r>
    </w:p>
    <w:p w14:paraId="745B5B7C" w14:textId="77777777" w:rsidR="00957A78" w:rsidRPr="00AB6BFE" w:rsidRDefault="00957A78" w:rsidP="00957A78">
      <w:pPr>
        <w:spacing w:after="0"/>
        <w:jc w:val="both"/>
        <w:rPr>
          <w:rFonts w:ascii="GHEA Grapalat" w:hAnsi="GHEA Grapalat"/>
          <w:b/>
          <w:bCs/>
          <w:lang w:val="hy-AM"/>
        </w:rPr>
      </w:pPr>
      <w:r w:rsidRPr="00AB6BFE">
        <w:rPr>
          <w:rFonts w:ascii="GHEA Grapalat" w:hAnsi="GHEA Grapalat"/>
          <w:bCs/>
          <w:lang w:val="hy-AM"/>
        </w:rPr>
        <w:t>Կոնցեսիոն պայմանագիրը նախատեսում է նաև փոխհատուցումներ մի շարք դեպքերում։ Այդպիսի դեպքերից են՝</w:t>
      </w:r>
    </w:p>
    <w:p w14:paraId="6FD19004" w14:textId="77777777" w:rsidR="00957A78" w:rsidRPr="00AB6BFE" w:rsidRDefault="00957A78" w:rsidP="00957A78">
      <w:pPr>
        <w:pStyle w:val="ListParagraph"/>
        <w:numPr>
          <w:ilvl w:val="0"/>
          <w:numId w:val="45"/>
        </w:numPr>
        <w:tabs>
          <w:tab w:val="left" w:pos="284"/>
        </w:tabs>
        <w:spacing w:after="0"/>
        <w:ind w:left="0" w:firstLine="0"/>
        <w:contextualSpacing w:val="0"/>
        <w:rPr>
          <w:rFonts w:ascii="GHEA Grapalat" w:hAnsi="GHEA Grapalat"/>
          <w:b/>
          <w:bCs/>
          <w:lang w:val="hy-AM"/>
        </w:rPr>
      </w:pPr>
      <w:r w:rsidRPr="00AB6BFE">
        <w:rPr>
          <w:rFonts w:ascii="GHEA Grapalat" w:hAnsi="GHEA Grapalat"/>
          <w:bCs/>
          <w:lang w:val="hy-AM"/>
        </w:rPr>
        <w:t>Օրենսդրության անբարենպաստ փոփոխություն,</w:t>
      </w:r>
    </w:p>
    <w:p w14:paraId="558EDFEA" w14:textId="77777777" w:rsidR="00957A78" w:rsidRPr="00AB6BFE" w:rsidRDefault="00957A78" w:rsidP="00957A78">
      <w:pPr>
        <w:pStyle w:val="ListParagraph"/>
        <w:numPr>
          <w:ilvl w:val="0"/>
          <w:numId w:val="45"/>
        </w:numPr>
        <w:tabs>
          <w:tab w:val="left" w:pos="284"/>
        </w:tabs>
        <w:spacing w:after="0"/>
        <w:ind w:left="0" w:firstLine="0"/>
        <w:contextualSpacing w:val="0"/>
        <w:rPr>
          <w:rFonts w:ascii="GHEA Grapalat" w:hAnsi="GHEA Grapalat"/>
          <w:b/>
          <w:bCs/>
          <w:lang w:val="hy-AM"/>
        </w:rPr>
      </w:pPr>
      <w:r w:rsidRPr="00AB6BFE">
        <w:rPr>
          <w:rFonts w:ascii="GHEA Grapalat" w:hAnsi="GHEA Grapalat"/>
          <w:bCs/>
          <w:lang w:val="hy-AM"/>
        </w:rPr>
        <w:t>Անհաղթահարելի ուժի ազդեցության մեղմման ծախսեր,</w:t>
      </w:r>
    </w:p>
    <w:p w14:paraId="6530F497" w14:textId="77777777" w:rsidR="00957A78" w:rsidRPr="00AB6BFE" w:rsidRDefault="00957A78" w:rsidP="00957A78">
      <w:pPr>
        <w:pStyle w:val="ListParagraph"/>
        <w:numPr>
          <w:ilvl w:val="0"/>
          <w:numId w:val="45"/>
        </w:numPr>
        <w:tabs>
          <w:tab w:val="left" w:pos="284"/>
        </w:tabs>
        <w:spacing w:after="0"/>
        <w:ind w:left="0" w:firstLine="0"/>
        <w:contextualSpacing w:val="0"/>
        <w:rPr>
          <w:rFonts w:ascii="GHEA Grapalat" w:hAnsi="GHEA Grapalat"/>
          <w:b/>
          <w:bCs/>
          <w:lang w:val="hy-AM"/>
        </w:rPr>
      </w:pPr>
      <w:r w:rsidRPr="00AB6BFE">
        <w:rPr>
          <w:rFonts w:ascii="GHEA Grapalat" w:hAnsi="GHEA Grapalat"/>
          <w:bCs/>
          <w:lang w:val="hy-AM"/>
        </w:rPr>
        <w:t>Անհաղթահարելի ուժի ազդեցության հետևանքով պայմանագրի վաղաժամ դադարեցման հետ կապված վճարումներ,</w:t>
      </w:r>
    </w:p>
    <w:p w14:paraId="222423DE" w14:textId="77777777" w:rsidR="00957A78" w:rsidRPr="00AB6BFE" w:rsidRDefault="00957A78" w:rsidP="00957A78">
      <w:pPr>
        <w:pStyle w:val="ListParagraph"/>
        <w:numPr>
          <w:ilvl w:val="0"/>
          <w:numId w:val="45"/>
        </w:numPr>
        <w:tabs>
          <w:tab w:val="left" w:pos="284"/>
        </w:tabs>
        <w:spacing w:after="0"/>
        <w:ind w:left="0" w:firstLine="0"/>
        <w:contextualSpacing w:val="0"/>
        <w:rPr>
          <w:rFonts w:ascii="GHEA Grapalat" w:hAnsi="GHEA Grapalat"/>
          <w:b/>
          <w:bCs/>
          <w:lang w:val="hy-AM"/>
        </w:rPr>
      </w:pPr>
      <w:r w:rsidRPr="00AB6BFE">
        <w:rPr>
          <w:rFonts w:ascii="GHEA Grapalat" w:hAnsi="GHEA Grapalat"/>
          <w:bCs/>
          <w:lang w:val="hy-AM"/>
        </w:rPr>
        <w:t xml:space="preserve">Կոնցեդենտի կողմից պարտավորությունների չկատարման հիմքով պայմանագրի վաղաժամ դադարեցման վճարներ, </w:t>
      </w:r>
    </w:p>
    <w:p w14:paraId="5F80BB69" w14:textId="77777777" w:rsidR="00957A78" w:rsidRPr="00AB6BFE" w:rsidRDefault="00957A78" w:rsidP="00957A78">
      <w:pPr>
        <w:pStyle w:val="ListParagraph"/>
        <w:numPr>
          <w:ilvl w:val="0"/>
          <w:numId w:val="45"/>
        </w:numPr>
        <w:tabs>
          <w:tab w:val="left" w:pos="284"/>
        </w:tabs>
        <w:spacing w:after="0"/>
        <w:ind w:left="0" w:firstLine="0"/>
        <w:contextualSpacing w:val="0"/>
        <w:rPr>
          <w:rFonts w:ascii="GHEA Grapalat" w:hAnsi="GHEA Grapalat"/>
          <w:b/>
          <w:bCs/>
          <w:lang w:val="hy-AM"/>
        </w:rPr>
      </w:pPr>
      <w:r w:rsidRPr="00AB6BFE">
        <w:rPr>
          <w:rFonts w:ascii="GHEA Grapalat" w:hAnsi="GHEA Grapalat"/>
          <w:bCs/>
          <w:lang w:val="hy-AM"/>
        </w:rPr>
        <w:t>Փոխադարձ համաձայնությամբ պայմանագրի վաղաժամ դադարեցման վճարներ:</w:t>
      </w:r>
    </w:p>
    <w:p w14:paraId="68A29B16" w14:textId="77777777" w:rsidR="00957A78" w:rsidRPr="00AB6BFE" w:rsidRDefault="00957A78" w:rsidP="00957A78">
      <w:pPr>
        <w:spacing w:after="0"/>
        <w:jc w:val="both"/>
        <w:rPr>
          <w:rFonts w:ascii="GHEA Grapalat" w:hAnsi="GHEA Grapalat"/>
          <w:b/>
          <w:bCs/>
          <w:lang w:val="hy-AM"/>
        </w:rPr>
      </w:pPr>
      <w:r w:rsidRPr="00AB6BFE">
        <w:rPr>
          <w:rFonts w:ascii="GHEA Grapalat" w:hAnsi="GHEA Grapalat"/>
          <w:bCs/>
          <w:lang w:val="hy-AM"/>
        </w:rPr>
        <w:t>Կոնցեսիոն պայմանագրի վաղաժամ դադարեցման մասով պայմանական պարտավորությունները հիմնականում չափելի են, և դրանց առավելագույն ազդեցությունը վատագույն սցենարի դեպքում գնահատվում է 103.6 մլրդ ՀՀ դրամ</w:t>
      </w:r>
      <w:r w:rsidRPr="00AB6BFE">
        <w:rPr>
          <w:rStyle w:val="FootnoteReference"/>
          <w:rFonts w:ascii="GHEA Grapalat" w:hAnsi="GHEA Grapalat"/>
          <w:bCs/>
        </w:rPr>
        <w:footnoteReference w:id="36"/>
      </w:r>
      <w:r w:rsidRPr="00AB6BFE">
        <w:rPr>
          <w:rFonts w:ascii="GHEA Grapalat" w:hAnsi="GHEA Grapalat"/>
          <w:bCs/>
          <w:lang w:val="hy-AM"/>
        </w:rPr>
        <w:t xml:space="preserve">: </w:t>
      </w:r>
    </w:p>
    <w:p w14:paraId="41248311" w14:textId="77777777" w:rsidR="00957A78" w:rsidRPr="00AB6BFE" w:rsidRDefault="00957A78" w:rsidP="00957A78">
      <w:pPr>
        <w:spacing w:after="0"/>
        <w:jc w:val="both"/>
        <w:rPr>
          <w:rFonts w:ascii="GHEA Grapalat" w:hAnsi="GHEA Grapalat"/>
          <w:bCs/>
          <w:lang w:val="hy-AM"/>
        </w:rPr>
      </w:pPr>
      <w:r w:rsidRPr="00AB6BFE">
        <w:rPr>
          <w:rFonts w:ascii="GHEA Grapalat" w:hAnsi="GHEA Grapalat"/>
          <w:bCs/>
          <w:lang w:val="hy-AM"/>
        </w:rPr>
        <w:t>Կոնցեսիոն պայմանագրի ֆիսկալ ռիսկայնության կարգավիճակը մինչև համավարակը գնահատվում էր միջին, իսկ համավարակի և պատերազմի ճգնաժամերով պայմանավորված՝ նշանակալի, և ներկայումս շարունակում է գնահատվել նշանակալի՝ պայմանավորված զարգացող աշխարհաքաղաքական և մակրոտնտեսական ճգնաժամով, ինչպես նաև ընթացող վերաբանակցություններով։ Միաժամանակ կարևոր է փաստել, որ ընկերության եկամուտների նվազման միտումը շարունակվում է, և 2024 թվականին արձանագրվել է 20% նվազում։ Մասնավորապես, շարունակել են ընկնել խոշոր գնորդ «Գեորպրոմայնինգ» ընկերությունից ստացվող եկամուտները՝ պայմանավորված ընկերության արտադրական ծավալների նվազմամբ: 2023 թվականին ընկերությունը վերագնահատել է կոնցեսիոն պայմանագրի արժեքը՝ կիրառելով զեղչված դրամական հոսքերի մեթոդը՝ արժեզրկելով ոչ նյութական ակտիվների մնացորդային արժեքը 61.5 մլրդ-ով, արձանագրելով 58.7 մլրդ դրամի զուտ վնաս: 2024 թվականին ևս ընկերության գործունեությունը եղել է վնասաբեր՝ 0.8 մլրդ դրամի չափով։ Բեռնափոխադրումների ֆիզիկական ծավալների անկման միտումը շարունակվել է՝ 40% անկում ապրելով 2023թ. ընթացքում և 31%՝ 2024 թվականի ընթացքում,</w:t>
      </w:r>
      <w:r w:rsidRPr="00AB6BFE">
        <w:rPr>
          <w:rFonts w:ascii="GHEA Grapalat" w:hAnsi="GHEA Grapalat"/>
          <w:lang w:val="hy-AM"/>
        </w:rPr>
        <w:t xml:space="preserve"> </w:t>
      </w:r>
      <w:r w:rsidRPr="00AB6BFE">
        <w:rPr>
          <w:rFonts w:ascii="GHEA Grapalat" w:hAnsi="GHEA Grapalat"/>
          <w:bCs/>
          <w:lang w:val="hy-AM"/>
        </w:rPr>
        <w:t>սակայն 2025 թվականի առաջին 7 ամիսների ընթացքում որոշ չափով վերականգնվել է՝ 19% աճելով նախորդ տարվա նույն ժամանակաշրջանի նկատմամբ։ Ուղևորափոխադրումների ծավալի աճի տեմպը շարունակել է դանդաղել 2024 թվականին՝ կազմելով 5%,</w:t>
      </w:r>
      <w:r w:rsidRPr="00AB6BFE">
        <w:rPr>
          <w:rFonts w:ascii="GHEA Grapalat" w:hAnsi="GHEA Grapalat"/>
          <w:lang w:val="hy-AM"/>
        </w:rPr>
        <w:t xml:space="preserve"> </w:t>
      </w:r>
      <w:r w:rsidRPr="00AB6BFE">
        <w:rPr>
          <w:rFonts w:ascii="GHEA Grapalat" w:hAnsi="GHEA Grapalat"/>
          <w:bCs/>
          <w:lang w:val="hy-AM"/>
        </w:rPr>
        <w:t xml:space="preserve">իսկ 2025 թվականի առաջին 7 ամիսների ընթացքում նվազել է գրեթե 10%: </w:t>
      </w:r>
    </w:p>
    <w:p w14:paraId="30C5087B" w14:textId="77777777" w:rsidR="00957A78" w:rsidRPr="00AB6BFE" w:rsidRDefault="00957A78" w:rsidP="00957A78">
      <w:pPr>
        <w:tabs>
          <w:tab w:val="left" w:pos="0"/>
        </w:tabs>
        <w:rPr>
          <w:rFonts w:ascii="GHEA Grapalat" w:hAnsi="GHEA Grapalat"/>
          <w:b/>
          <w:bCs/>
          <w:i/>
          <w:sz w:val="20"/>
          <w:szCs w:val="20"/>
          <w:lang w:val="hy-AM"/>
        </w:rPr>
      </w:pPr>
    </w:p>
    <w:p w14:paraId="34A0F010" w14:textId="77777777" w:rsidR="00271C4E" w:rsidRDefault="00271C4E">
      <w:pPr>
        <w:rPr>
          <w:rFonts w:ascii="GHEA Grapalat" w:hAnsi="GHEA Grapalat"/>
          <w:b/>
          <w:bCs/>
          <w:i/>
          <w:sz w:val="20"/>
          <w:szCs w:val="20"/>
          <w:lang w:val="hy-AM"/>
        </w:rPr>
      </w:pPr>
      <w:r>
        <w:rPr>
          <w:rFonts w:ascii="GHEA Grapalat" w:hAnsi="GHEA Grapalat"/>
          <w:b/>
          <w:bCs/>
          <w:i/>
          <w:sz w:val="20"/>
          <w:szCs w:val="20"/>
          <w:lang w:val="hy-AM"/>
        </w:rPr>
        <w:br w:type="page"/>
      </w:r>
    </w:p>
    <w:p w14:paraId="11E32057" w14:textId="224B0F91" w:rsidR="00957A78" w:rsidRPr="00AB6BFE" w:rsidRDefault="00957A78" w:rsidP="00957A78">
      <w:pPr>
        <w:tabs>
          <w:tab w:val="left" w:pos="0"/>
        </w:tabs>
        <w:rPr>
          <w:rFonts w:ascii="GHEA Grapalat" w:hAnsi="GHEA Grapalat"/>
          <w:b/>
          <w:bCs/>
          <w:i/>
          <w:sz w:val="20"/>
          <w:szCs w:val="20"/>
          <w:lang w:val="hy-AM"/>
        </w:rPr>
      </w:pPr>
      <w:r w:rsidRPr="00AB6BFE">
        <w:rPr>
          <w:rFonts w:ascii="GHEA Grapalat" w:hAnsi="GHEA Grapalat"/>
          <w:b/>
          <w:bCs/>
          <w:i/>
          <w:sz w:val="20"/>
          <w:szCs w:val="20"/>
          <w:lang w:val="hy-AM"/>
        </w:rPr>
        <w:t>Գծապատկեր 24.</w:t>
      </w:r>
      <w:r w:rsidRPr="00AB6BFE">
        <w:rPr>
          <w:rFonts w:ascii="GHEA Grapalat" w:hAnsi="GHEA Grapalat"/>
          <w:bCs/>
          <w:i/>
          <w:sz w:val="20"/>
          <w:szCs w:val="20"/>
          <w:lang w:val="hy-AM"/>
        </w:rPr>
        <w:t xml:space="preserve"> Ուղևորափոխադրումները և բեռնափոխադրումները 2021-2024թթ.</w:t>
      </w:r>
    </w:p>
    <w:p w14:paraId="515C7249" w14:textId="77777777" w:rsidR="00957A78" w:rsidRPr="00AB6BFE" w:rsidRDefault="00957A78" w:rsidP="00957A78">
      <w:pPr>
        <w:tabs>
          <w:tab w:val="left" w:pos="0"/>
        </w:tabs>
        <w:jc w:val="center"/>
        <w:rPr>
          <w:rFonts w:ascii="GHEA Grapalat" w:hAnsi="GHEA Grapalat"/>
          <w:b/>
          <w:bCs/>
          <w:lang w:val="hy-AM"/>
        </w:rPr>
      </w:pPr>
      <w:r w:rsidRPr="00AB6BFE">
        <w:rPr>
          <w:rFonts w:ascii="GHEA Grapalat" w:hAnsi="GHEA Grapalat"/>
          <w:noProof/>
          <w14:ligatures w14:val="standardContextual"/>
        </w:rPr>
        <w:drawing>
          <wp:inline distT="0" distB="0" distL="0" distR="0" wp14:anchorId="4E355EA0" wp14:editId="707C0EDE">
            <wp:extent cx="5815584" cy="1913255"/>
            <wp:effectExtent l="0" t="0" r="13970" b="10795"/>
            <wp:docPr id="1451616038" name="Chart 1">
              <a:extLst xmlns:a="http://schemas.openxmlformats.org/drawingml/2006/main">
                <a:ext uri="{FF2B5EF4-FFF2-40B4-BE49-F238E27FC236}">
                  <a16:creationId xmlns:a16="http://schemas.microsoft.com/office/drawing/2014/main" id="{3B214BE0-26C3-7F98-93CF-44D6148738B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9"/>
              </a:graphicData>
            </a:graphic>
          </wp:inline>
        </w:drawing>
      </w:r>
    </w:p>
    <w:p w14:paraId="62993BB3" w14:textId="77777777" w:rsidR="00957A78" w:rsidRPr="00AB6BFE" w:rsidRDefault="00957A78" w:rsidP="00957A78">
      <w:pPr>
        <w:pStyle w:val="BodyText"/>
        <w:spacing w:before="120" w:after="0" w:line="276" w:lineRule="auto"/>
        <w:rPr>
          <w:rFonts w:ascii="GHEA Grapalat" w:hAnsi="GHEA Grapalat"/>
          <w:b/>
          <w:lang w:val="hy-AM"/>
        </w:rPr>
      </w:pPr>
      <w:bookmarkStart w:id="526" w:name="_Toc199682014"/>
    </w:p>
    <w:p w14:paraId="2B94326C" w14:textId="77777777" w:rsidR="00957A78" w:rsidRPr="00AB6BFE" w:rsidRDefault="00957A78" w:rsidP="00957A78">
      <w:pPr>
        <w:pStyle w:val="BodyText"/>
        <w:spacing w:before="120" w:after="0" w:line="276" w:lineRule="auto"/>
        <w:rPr>
          <w:rFonts w:ascii="GHEA Grapalat" w:hAnsi="GHEA Grapalat"/>
          <w:b/>
          <w:lang w:val="hy-AM"/>
        </w:rPr>
      </w:pPr>
      <w:r w:rsidRPr="00AB6BFE">
        <w:rPr>
          <w:rFonts w:ascii="GHEA Grapalat" w:hAnsi="GHEA Grapalat"/>
          <w:b/>
          <w:lang w:val="hy-AM"/>
        </w:rPr>
        <w:t>«ՎԵՈԼԻԱ ՋՈՒՐ» ՓԲԸ</w:t>
      </w:r>
      <w:bookmarkEnd w:id="526"/>
    </w:p>
    <w:p w14:paraId="6F5F1E64" w14:textId="77777777" w:rsidR="00957A78" w:rsidRPr="00AB6BFE" w:rsidRDefault="00957A78" w:rsidP="00957A78">
      <w:pPr>
        <w:tabs>
          <w:tab w:val="left" w:pos="0"/>
        </w:tabs>
        <w:spacing w:after="0"/>
        <w:jc w:val="both"/>
        <w:rPr>
          <w:rFonts w:ascii="GHEA Grapalat" w:hAnsi="GHEA Grapalat"/>
          <w:b/>
          <w:bCs/>
          <w:lang w:val="hy-AM"/>
        </w:rPr>
      </w:pPr>
      <w:r w:rsidRPr="00AB6BFE">
        <w:rPr>
          <w:rFonts w:ascii="GHEA Grapalat" w:hAnsi="GHEA Grapalat"/>
          <w:bCs/>
          <w:lang w:val="hy-AM"/>
        </w:rPr>
        <w:t>21.11.2016թ. ՀՀ կառավարության, «Վեոլիա Օ Կոմպանի Ժեներալ Դեզ Օ» կոմանդիտային բաժնետիրական ընկերության և «Վեոլիա Ջուր» ՓԲԸ-ի (այսուհետ` Ընկերություն) միջև կնքվել է «Երևան Ջուր», «Հայջրմուղկոյուղի», «Լոռի-ջրմուղկոյուղի», «Շիրակ-ջրմուղկոյուղի» և «Նոր Ակունք» փակ բաժնետիրական ընկերությունների կողմից օգտագործվող ու պահպանվող ջրային համակարգերի և այլ գույքի վարձակալության պայմանագիր` 15 տարի ժամկետով (Վարձակալական պայմանագիր):</w:t>
      </w:r>
    </w:p>
    <w:p w14:paraId="2F1DD545" w14:textId="77777777" w:rsidR="00957A78" w:rsidRPr="00AB6BFE" w:rsidRDefault="00957A78" w:rsidP="00957A78">
      <w:pPr>
        <w:tabs>
          <w:tab w:val="left" w:pos="0"/>
        </w:tabs>
        <w:spacing w:after="0"/>
        <w:jc w:val="both"/>
        <w:rPr>
          <w:rFonts w:ascii="GHEA Grapalat" w:hAnsi="GHEA Grapalat"/>
          <w:b/>
          <w:bCs/>
          <w:lang w:val="hy-AM"/>
        </w:rPr>
      </w:pPr>
      <w:r w:rsidRPr="00AB6BFE">
        <w:rPr>
          <w:rFonts w:ascii="GHEA Grapalat" w:hAnsi="GHEA Grapalat"/>
          <w:bCs/>
          <w:lang w:val="hy-AM"/>
        </w:rPr>
        <w:t>Ընկերությունը  շահութաբեր է եղել 2021-2024 թվականներին` պայմանավորված եկամուտների ավելացմամբ, ինչպես նաև բարելավվել են դեբիտորական պարտքերի հավաքագրման ցուցանիշները։ 2024 թվականին բաժանորդների թիվն ավելացել է 9,867-ով։</w:t>
      </w:r>
    </w:p>
    <w:p w14:paraId="268B841F" w14:textId="77777777" w:rsidR="00957A78" w:rsidRPr="00AB6BFE" w:rsidRDefault="00957A78" w:rsidP="00957A78">
      <w:pPr>
        <w:tabs>
          <w:tab w:val="left" w:pos="0"/>
        </w:tabs>
        <w:spacing w:after="0"/>
        <w:jc w:val="both"/>
        <w:rPr>
          <w:rFonts w:ascii="GHEA Grapalat" w:hAnsi="GHEA Grapalat"/>
          <w:b/>
          <w:bCs/>
          <w:lang w:val="hy-AM"/>
        </w:rPr>
      </w:pPr>
      <w:r w:rsidRPr="00AB6BFE">
        <w:rPr>
          <w:rFonts w:ascii="GHEA Grapalat" w:hAnsi="GHEA Grapalat"/>
          <w:bCs/>
          <w:lang w:val="hy-AM"/>
        </w:rPr>
        <w:t>Վարձակալական պայմանագրի շրջանակներում առկա են մի շարք նշանակալի պայմանական պարտավորություններ, այդ թվում.</w:t>
      </w:r>
    </w:p>
    <w:p w14:paraId="51585AC0" w14:textId="77777777" w:rsidR="00957A78" w:rsidRPr="00AB6BFE" w:rsidRDefault="00957A78" w:rsidP="00957A78">
      <w:pPr>
        <w:numPr>
          <w:ilvl w:val="0"/>
          <w:numId w:val="44"/>
        </w:numPr>
        <w:tabs>
          <w:tab w:val="left" w:pos="0"/>
          <w:tab w:val="left" w:pos="284"/>
        </w:tabs>
        <w:spacing w:after="0"/>
        <w:ind w:left="0" w:firstLine="0"/>
        <w:jc w:val="both"/>
        <w:rPr>
          <w:rFonts w:ascii="GHEA Grapalat" w:hAnsi="GHEA Grapalat"/>
          <w:b/>
          <w:bCs/>
          <w:lang w:val="hy-AM"/>
        </w:rPr>
      </w:pPr>
      <w:r w:rsidRPr="00AB6BFE">
        <w:rPr>
          <w:rFonts w:ascii="GHEA Grapalat" w:hAnsi="GHEA Grapalat"/>
          <w:bCs/>
          <w:lang w:val="hy-AM"/>
        </w:rPr>
        <w:t xml:space="preserve">Վարձակալի կողմից պարտադիր կապիտալ աշխատանքների ծրագրի շրջանակից դուրս այլ աշխատանքների իրականացման դեպքում Վարձատուի կողմից համապատասխան գումարի փոխհատուցում, </w:t>
      </w:r>
    </w:p>
    <w:p w14:paraId="459E4826" w14:textId="77777777" w:rsidR="00957A78" w:rsidRPr="00AB6BFE" w:rsidRDefault="00957A78" w:rsidP="00957A78">
      <w:pPr>
        <w:numPr>
          <w:ilvl w:val="0"/>
          <w:numId w:val="44"/>
        </w:numPr>
        <w:tabs>
          <w:tab w:val="left" w:pos="0"/>
          <w:tab w:val="left" w:pos="284"/>
        </w:tabs>
        <w:spacing w:after="0"/>
        <w:ind w:left="0" w:firstLine="0"/>
        <w:jc w:val="both"/>
        <w:rPr>
          <w:rFonts w:ascii="GHEA Grapalat" w:hAnsi="GHEA Grapalat"/>
          <w:b/>
          <w:bCs/>
          <w:lang w:val="hy-AM"/>
        </w:rPr>
      </w:pPr>
      <w:r w:rsidRPr="00AB6BFE">
        <w:rPr>
          <w:rFonts w:ascii="GHEA Grapalat" w:hAnsi="GHEA Grapalat"/>
          <w:bCs/>
          <w:lang w:val="hy-AM"/>
        </w:rPr>
        <w:t>Վարձակալական պայմանագիրը պարունակում է վերաբանակցությունների և վաղաժամկետ դադարեցման բազմաթիվ դեպքեր։ Առաջիկայում Վարձակալական պայմանագրի վաղաժամ դադարեցման ռիսկը համարվել է ցածր։</w:t>
      </w:r>
    </w:p>
    <w:p w14:paraId="6442AFD2" w14:textId="77777777" w:rsidR="00957A78" w:rsidRPr="00AB6BFE" w:rsidRDefault="00957A78" w:rsidP="00957A78">
      <w:pPr>
        <w:numPr>
          <w:ilvl w:val="0"/>
          <w:numId w:val="44"/>
        </w:numPr>
        <w:tabs>
          <w:tab w:val="left" w:pos="0"/>
          <w:tab w:val="left" w:pos="284"/>
        </w:tabs>
        <w:spacing w:after="0"/>
        <w:ind w:left="0" w:firstLine="0"/>
        <w:jc w:val="both"/>
        <w:rPr>
          <w:rFonts w:ascii="GHEA Grapalat" w:hAnsi="GHEA Grapalat"/>
          <w:b/>
          <w:bCs/>
          <w:lang w:val="hy-AM"/>
        </w:rPr>
      </w:pPr>
      <w:r w:rsidRPr="00AB6BFE">
        <w:rPr>
          <w:rFonts w:ascii="GHEA Grapalat" w:hAnsi="GHEA Grapalat"/>
          <w:bCs/>
          <w:lang w:val="hy-AM"/>
        </w:rPr>
        <w:t xml:space="preserve">Պայմանագրի վաղաժամ դադարեցման գծով պայմանական պարտավորությունը մասնակի չափելի է և վերագնահատվել է պայմանագրի վերջին փոփոխությունից հետո՝ 44.8 մլրդ դրամ՝ միջանկյալ սցենարի դեպքում, որտեղ նման վճարումը չի կարող գերազանցել ապագա վարձակալական վճարների հանրագումարը: </w:t>
      </w:r>
    </w:p>
    <w:p w14:paraId="6D5FF935" w14:textId="77777777" w:rsidR="00957A78" w:rsidRPr="00AB6BFE" w:rsidRDefault="00957A78" w:rsidP="00957A78">
      <w:pPr>
        <w:tabs>
          <w:tab w:val="left" w:pos="0"/>
          <w:tab w:val="left" w:pos="284"/>
        </w:tabs>
        <w:spacing w:after="0"/>
        <w:jc w:val="both"/>
        <w:rPr>
          <w:rFonts w:ascii="GHEA Grapalat" w:hAnsi="GHEA Grapalat"/>
          <w:b/>
          <w:bCs/>
          <w:lang w:val="hy-AM"/>
        </w:rPr>
      </w:pPr>
      <w:r w:rsidRPr="00AB6BFE">
        <w:rPr>
          <w:rFonts w:ascii="GHEA Grapalat" w:hAnsi="GHEA Grapalat"/>
          <w:bCs/>
          <w:lang w:val="hy-AM"/>
        </w:rPr>
        <w:t>Չնայած որոշակի կրճատմանը՝ չհաշվառված ջրաքանակը մնում է արտադրված ջրի 56.7%-ի սահմաններում՝ թույլատրված չհաշվառված օգտագործման համար ճշգրտում կատարելուց հետո: Վարձակալը պարբերաբար հանրային տիրույթում արտահայտվում է Ջրային Կոմիտեի և Կառավարության այլ մարմինների կողմից չկատարված պարտավորությունների վերաբերյալ, ուստի հարցը պետք է մշտապես մշտադիտարկվի, նույնիսկ եթե բանակցությունները միշտ դրական են ավարտվել: Ենթակառուցվածքները հնացող են և մաշված</w:t>
      </w:r>
      <w:r w:rsidRPr="00AB6BFE">
        <w:rPr>
          <w:rFonts w:ascii="GHEA Grapalat" w:eastAsia="Microsoft JhengHei" w:hAnsi="GHEA Grapalat" w:cs="Microsoft JhengHei"/>
          <w:bCs/>
          <w:lang w:val="hy-AM"/>
        </w:rPr>
        <w:t>:</w:t>
      </w:r>
      <w:r w:rsidRPr="00AB6BFE">
        <w:rPr>
          <w:rFonts w:ascii="GHEA Grapalat" w:hAnsi="GHEA Grapalat"/>
          <w:bCs/>
          <w:lang w:val="hy-AM"/>
        </w:rPr>
        <w:t xml:space="preserve"> Վարձակալի կողմից, պայմանագրի պայմաններին համաձայն, 2018-2023 թվականների համար ներկայացվել է Վարձատուի կողմից իրականացվելիք հնգամյա ներդրումային ծրագրի, որը լիովին չի իրականացվել։ ՀՀ կառավարության կողմից կապիտալ ներդրումների պարտավորությունները չկատարելը թուլացնում է ենթակառուցվածքը և դանդաղեցնում արդիականացումը։ Ի լրումն դրան՝ Երևան քաղաքում ակտիվ կառուցապատումներով պայմանավորված ավելացել է ջրապահանջարկը, և ընկերությունը ներկայացրել է իր մտահոգությունն առ այն, որ առկա պետական ներդրումային քաղաքականության պայմաններում առաջիկայում խնդրահարույց կլինի լրացուցիչ ջրապահանջարկի ապահովումը։ Այս աշխատանքները ֆինանսավորվելու են պետական բյուջեի միջոցներից, այդպիսով՝ դրանք չեն հանդիսանում պայմանական պարտավորություններ, բայց այս տեղեկատվության առկայությունը ավելի ամբողջական պատկերացում է տալիս այս նախագծի իրական արժեքի մասին:</w:t>
      </w:r>
    </w:p>
    <w:p w14:paraId="15E85201" w14:textId="77777777" w:rsidR="00957A78" w:rsidRPr="00AB6BFE" w:rsidRDefault="00957A78" w:rsidP="00957A78">
      <w:pPr>
        <w:spacing w:after="0"/>
        <w:jc w:val="both"/>
        <w:rPr>
          <w:rFonts w:ascii="GHEA Grapalat" w:hAnsi="GHEA Grapalat"/>
          <w:b/>
          <w:bCs/>
          <w:lang w:val="hy-AM"/>
        </w:rPr>
      </w:pPr>
      <w:r w:rsidRPr="00AB6BFE">
        <w:rPr>
          <w:rFonts w:ascii="GHEA Grapalat" w:hAnsi="GHEA Grapalat"/>
          <w:bCs/>
          <w:lang w:val="hy-AM"/>
        </w:rPr>
        <w:t>2024 թվականի ընթացքում ընկերության կողմից իրականացվել են 4.4 մլրդ ՀՀ դրամի գույքի պահպանման, վերանորոգման և ջրամատակարարման ծառայությունների բարելավմանն ուղղված աշխատանքներ՝ կապալառու կազմակերպությունների միջոցով և սեփական ուժերով, նախատեսված 2.75 մլրդ ՀՀ դրամից 60%-ով ավել՝ նպատակ ունենալով մարել նախորդ պայմանագրային տարիներից տեղափոխված պարտավորությունները: Պայմանագրի ողջ տևողության ընթացքում «Վեոլիա ջուր» ՓԲԸ-ն իր 45 մլրդ դրամ ներդրումային պարտավորությունից իրականացրել է շուրջ 23 մլրդ ՀՀ դրամ՝ պարտադիր կապիտալ աշխատանքների ծրագրի շրջանակներում:</w:t>
      </w:r>
    </w:p>
    <w:p w14:paraId="0C9EABA3" w14:textId="77777777" w:rsidR="00957A78" w:rsidRPr="00AB6BFE" w:rsidRDefault="00957A78" w:rsidP="00957A78">
      <w:pPr>
        <w:tabs>
          <w:tab w:val="left" w:pos="0"/>
        </w:tabs>
        <w:spacing w:after="0"/>
        <w:jc w:val="both"/>
        <w:rPr>
          <w:rFonts w:ascii="GHEA Grapalat" w:hAnsi="GHEA Grapalat"/>
          <w:b/>
          <w:bCs/>
          <w:lang w:val="hy-AM"/>
        </w:rPr>
      </w:pPr>
      <w:r w:rsidRPr="00AB6BFE">
        <w:rPr>
          <w:rFonts w:ascii="GHEA Grapalat" w:hAnsi="GHEA Grapalat"/>
          <w:bCs/>
          <w:lang w:val="hy-AM"/>
        </w:rPr>
        <w:t xml:space="preserve">Վերջին տարիներին ընթանում էին որոշակի բանակցություններ արդեն իսկ կառուցված ակտիվի, մասնավորապես` ջրի մաքրման կայանի վերաբերյալ։ 2023 թվականի սկզբին որոշվեց, որ այդ ակտիվը կփոխանցվի և կվերականգնվի Հայկական տարածքային զարգացման հիմնադրամի կողմից: Այսպիսով՝ այս հարցն այլևս չի ստեղծելու ՀՀ կառավարության համար հավելյալ պայմանական պարտավորություններ (նախկինում դրանք գնահատվել էին 13 միլիարդ դրամ), և նախագիծը դառնալու է պետական բյուջեով ֆինանսավորվող ներդրումային ծրագիր։ </w:t>
      </w:r>
    </w:p>
    <w:p w14:paraId="3E2B3354" w14:textId="77777777" w:rsidR="00957A78" w:rsidRPr="00AB6BFE" w:rsidRDefault="00957A78" w:rsidP="00957A78">
      <w:pPr>
        <w:tabs>
          <w:tab w:val="left" w:pos="0"/>
        </w:tabs>
        <w:spacing w:after="0"/>
        <w:jc w:val="both"/>
        <w:rPr>
          <w:rFonts w:ascii="GHEA Grapalat" w:hAnsi="GHEA Grapalat"/>
          <w:bCs/>
          <w:lang w:val="hy-AM"/>
        </w:rPr>
      </w:pPr>
      <w:r w:rsidRPr="00AB6BFE">
        <w:rPr>
          <w:rFonts w:ascii="GHEA Grapalat" w:hAnsi="GHEA Grapalat"/>
          <w:bCs/>
          <w:lang w:val="hy-AM"/>
        </w:rPr>
        <w:t>Այդպիսով՝ հարկաբյուջետային ռիսկի կարգավիճակը բարելավվել է դեպի միջին:</w:t>
      </w:r>
    </w:p>
    <w:p w14:paraId="1A5CF050" w14:textId="77777777" w:rsidR="00957A78" w:rsidRPr="00AB6BFE" w:rsidRDefault="00957A78" w:rsidP="00957A78">
      <w:pPr>
        <w:tabs>
          <w:tab w:val="left" w:pos="0"/>
        </w:tabs>
        <w:spacing w:after="0"/>
        <w:jc w:val="both"/>
        <w:rPr>
          <w:rFonts w:ascii="GHEA Grapalat" w:hAnsi="GHEA Grapalat"/>
          <w:b/>
          <w:bCs/>
          <w:lang w:val="hy-AM"/>
        </w:rPr>
      </w:pPr>
    </w:p>
    <w:p w14:paraId="7A7BFBE2" w14:textId="77777777" w:rsidR="00957A78" w:rsidRPr="00AB6BFE" w:rsidRDefault="00957A78" w:rsidP="00957A78">
      <w:pPr>
        <w:pStyle w:val="BodyText"/>
        <w:spacing w:before="120" w:after="0" w:line="276" w:lineRule="auto"/>
        <w:rPr>
          <w:rFonts w:ascii="GHEA Grapalat" w:hAnsi="GHEA Grapalat"/>
          <w:b/>
          <w:lang w:val="hy-AM"/>
        </w:rPr>
      </w:pPr>
      <w:bookmarkStart w:id="527" w:name="_Toc199682015"/>
      <w:r w:rsidRPr="00AB6BFE">
        <w:rPr>
          <w:rFonts w:ascii="GHEA Grapalat" w:hAnsi="GHEA Grapalat"/>
          <w:b/>
          <w:lang w:val="hy-AM"/>
        </w:rPr>
        <w:t>«ԱՐՄԵՆԻԱ ՄԻՋԱԶԳԱՅԻՆ ՕԴԱՆԱՎԱԿԱՅԱՆՆԵՐ» ՓԲԸ</w:t>
      </w:r>
      <w:bookmarkEnd w:id="527"/>
    </w:p>
    <w:p w14:paraId="017B109B" w14:textId="77777777" w:rsidR="00957A78" w:rsidRPr="00AB6BFE" w:rsidRDefault="00957A78" w:rsidP="00957A78">
      <w:pPr>
        <w:tabs>
          <w:tab w:val="left" w:pos="0"/>
        </w:tabs>
        <w:spacing w:after="0"/>
        <w:jc w:val="both"/>
        <w:rPr>
          <w:rFonts w:ascii="GHEA Grapalat" w:hAnsi="GHEA Grapalat"/>
          <w:b/>
          <w:bCs/>
          <w:lang w:val="hy-AM"/>
        </w:rPr>
      </w:pPr>
      <w:r w:rsidRPr="00AB6BFE">
        <w:rPr>
          <w:rFonts w:ascii="GHEA Grapalat" w:hAnsi="GHEA Grapalat"/>
          <w:bCs/>
          <w:lang w:val="hy-AM"/>
        </w:rPr>
        <w:t>Կոնցեսիոն պայմանագիրը գործում է 2002թ.-ից՝ Երևանի «Զվարթնոց» օդանավակայանի համար, իսկ 2007թ.-ից ներառում է նաև Գյումրու «Շիրակ» օդանավակայանը: Մայր ընկերությունը՝ «Կորպորասիոն Ամերիկա Ս.Ա.»-ը, աշխարհի օդանավակայանների խոշորագույն օպերատորներից է, որը ցուցակված է Նյու Յորքի ֆոնդային բորսայում:</w:t>
      </w:r>
    </w:p>
    <w:p w14:paraId="6938B564" w14:textId="77777777" w:rsidR="00957A78" w:rsidRPr="00AB6BFE" w:rsidRDefault="00957A78" w:rsidP="00957A78">
      <w:pPr>
        <w:tabs>
          <w:tab w:val="left" w:pos="0"/>
        </w:tabs>
        <w:spacing w:after="0"/>
        <w:jc w:val="both"/>
        <w:rPr>
          <w:rFonts w:ascii="GHEA Grapalat" w:hAnsi="GHEA Grapalat"/>
          <w:b/>
          <w:bCs/>
          <w:lang w:val="hy-AM"/>
        </w:rPr>
      </w:pPr>
      <w:r w:rsidRPr="00AB6BFE">
        <w:rPr>
          <w:rFonts w:ascii="GHEA Grapalat" w:hAnsi="GHEA Grapalat"/>
          <w:bCs/>
          <w:lang w:val="hy-AM"/>
        </w:rPr>
        <w:t>ՀՀ-ի դուստր ձեռնարկությունը շարունակում է լինել խմբի ամենաշահութաբերներից մեկը: Համավարակի ճգնաժամից հետո ֆինանսական վիճակը վերականգնվել է, և 2022թ.-ին «ԱՄՕ»-ն արձանագրել է 2019 թ</w:t>
      </w:r>
      <w:r w:rsidRPr="00AB6BFE">
        <w:rPr>
          <w:rFonts w:ascii="Cambria Math" w:hAnsi="Cambria Math" w:cs="Cambria Math"/>
          <w:bCs/>
          <w:lang w:val="hy-AM"/>
        </w:rPr>
        <w:t>․</w:t>
      </w:r>
      <w:r w:rsidRPr="00AB6BFE">
        <w:rPr>
          <w:rFonts w:ascii="GHEA Grapalat" w:hAnsi="GHEA Grapalat"/>
          <w:bCs/>
          <w:lang w:val="hy-AM"/>
        </w:rPr>
        <w:t>-ի ցուցանիշները 50% գերազանցող զուտ շահույթի մակարդակ։ Ելնելով ՀՀ ուղևորափոխադրումների վիճակագրությունից՝ ոլորտի վերականգնումը գրանցվել է 2021 թվականի ընթացքում և թափ է առել 2022 թվականին՝ շարունակվելով 2023թ.-ին, երբ արձանագրված ծավալները գերազանցել են նախահամավարակային մակարդակը: Ռուս-ուկրաինական ճգնաժամով պայմանավորված՝ ուղևորահոսքի մակարդակը 2024թ</w:t>
      </w:r>
      <w:r w:rsidRPr="00AB6BFE">
        <w:rPr>
          <w:rFonts w:ascii="Cambria Math" w:eastAsia="Microsoft JhengHei" w:hAnsi="Cambria Math" w:cs="Cambria Math"/>
          <w:bCs/>
          <w:lang w:val="hy-AM"/>
        </w:rPr>
        <w:t>․</w:t>
      </w:r>
      <w:r w:rsidRPr="00AB6BFE">
        <w:rPr>
          <w:rFonts w:ascii="GHEA Grapalat" w:eastAsia="Microsoft JhengHei" w:hAnsi="GHEA Grapalat" w:cs="Microsoft JhengHei"/>
          <w:bCs/>
          <w:lang w:val="hy-AM"/>
        </w:rPr>
        <w:t>-</w:t>
      </w:r>
      <w:r w:rsidRPr="00AB6BFE">
        <w:rPr>
          <w:rFonts w:ascii="GHEA Grapalat" w:hAnsi="GHEA Grapalat"/>
          <w:bCs/>
          <w:lang w:val="hy-AM"/>
        </w:rPr>
        <w:t xml:space="preserve">ին պահպանվել է, սակայն եկամուտների աճ նախորդ տարվա համեմատ չի արձանագրվել, ֆիզիկական ծավալներով ուղևորահոսքը չնչին նվազել է (0.4%), իսկ բեռնափոխադրումներն ավելացել են 24%-ով: 2025 թվականի առաջին յոթ ամիսների արդյունքներով՝ ուղևորափոխադրումները աճել են 4%-ով, իսկ բեռնափոխադրումները՝ 9%-ով նախորդ տարվա նույն ժամանակաշրջանի նկատմամբ։ </w:t>
      </w:r>
    </w:p>
    <w:p w14:paraId="3F93A82D" w14:textId="77777777" w:rsidR="00957A78" w:rsidRPr="00AB6BFE" w:rsidRDefault="00957A78" w:rsidP="00957A78">
      <w:pPr>
        <w:tabs>
          <w:tab w:val="left" w:pos="0"/>
        </w:tabs>
        <w:spacing w:after="0"/>
        <w:jc w:val="both"/>
        <w:rPr>
          <w:rFonts w:ascii="GHEA Grapalat" w:hAnsi="GHEA Grapalat"/>
          <w:b/>
          <w:bCs/>
          <w:lang w:val="hy-AM"/>
        </w:rPr>
      </w:pPr>
      <w:r w:rsidRPr="00AB6BFE">
        <w:rPr>
          <w:rFonts w:ascii="GHEA Grapalat" w:hAnsi="GHEA Grapalat"/>
          <w:bCs/>
          <w:lang w:val="hy-AM"/>
        </w:rPr>
        <w:t>2023 և 2024 թվականների զուտ շահույթի մարժան կազմում է 25%՝ ապահովելով տարեկան շահույթ շուրջ 63 մլն ԱՄՆ դոլարի չափով: Այդպիսով՝ Հայաստանը շարունակում է լինել խմբի ամենաշահութաբեր սեգմենտներից մեկը։</w:t>
      </w:r>
    </w:p>
    <w:p w14:paraId="1EA7AC67" w14:textId="77777777" w:rsidR="00957A78" w:rsidRPr="00AB6BFE" w:rsidRDefault="00957A78" w:rsidP="00957A78">
      <w:pPr>
        <w:tabs>
          <w:tab w:val="left" w:pos="0"/>
        </w:tabs>
        <w:spacing w:after="0"/>
        <w:jc w:val="both"/>
        <w:rPr>
          <w:rFonts w:ascii="GHEA Grapalat" w:hAnsi="GHEA Grapalat"/>
          <w:b/>
          <w:bCs/>
          <w:lang w:val="hy-AM"/>
        </w:rPr>
      </w:pPr>
      <w:r w:rsidRPr="00AB6BFE">
        <w:rPr>
          <w:rFonts w:ascii="GHEA Grapalat" w:hAnsi="GHEA Grapalat"/>
          <w:bCs/>
          <w:lang w:val="hy-AM"/>
        </w:rPr>
        <w:t>Պայմանագիրը Կոնցեսիոներին հնարավորություն է տալիս միակողմանիորեն երկարացնել կոնցեսիայի տևողությունը:</w:t>
      </w:r>
    </w:p>
    <w:p w14:paraId="218DAE08" w14:textId="77777777" w:rsidR="00957A78" w:rsidRPr="00AB6BFE" w:rsidRDefault="00957A78" w:rsidP="00957A78">
      <w:pPr>
        <w:tabs>
          <w:tab w:val="left" w:pos="0"/>
        </w:tabs>
        <w:spacing w:after="0"/>
        <w:jc w:val="both"/>
        <w:rPr>
          <w:rFonts w:ascii="GHEA Grapalat" w:hAnsi="GHEA Grapalat"/>
          <w:b/>
          <w:bCs/>
          <w:lang w:val="hy-AM"/>
        </w:rPr>
      </w:pPr>
      <w:r w:rsidRPr="00AB6BFE">
        <w:rPr>
          <w:rFonts w:ascii="GHEA Grapalat" w:hAnsi="GHEA Grapalat"/>
          <w:bCs/>
          <w:lang w:val="hy-AM"/>
        </w:rPr>
        <w:t xml:space="preserve">Ըստ պայմանագրի՝ սահմանված է տարեկան 20% ֆինանսական ներքին շահութաբերության թիրախային մակարդակ, որը սահմանված է օդանավակայանում ներդրողի ընդհանուր ներդրումների (այդ թվում՝ սեփական կապիտալի, դրա համարժեքների, ենթավարկերի և/կամ փոխարկելի վարկերի և միջազգային աուդիտորական ընկերության կողմից աուդիտ անցած Կառավարչի հաշվապահական հաշվետվություններում արտացոլված ցանկացած այլ կապիտալ ներդրման) տարեկան ներքին զուտ դոլարային շահութաբերությունը հարկվելուց հետո։ </w:t>
      </w:r>
    </w:p>
    <w:p w14:paraId="535A2EBD" w14:textId="77777777" w:rsidR="00957A78" w:rsidRPr="00AB6BFE" w:rsidRDefault="00957A78" w:rsidP="00957A78">
      <w:pPr>
        <w:tabs>
          <w:tab w:val="left" w:pos="0"/>
        </w:tabs>
        <w:spacing w:after="0"/>
        <w:jc w:val="both"/>
        <w:rPr>
          <w:rFonts w:ascii="GHEA Grapalat" w:hAnsi="GHEA Grapalat"/>
          <w:b/>
          <w:bCs/>
          <w:lang w:val="hy-AM"/>
        </w:rPr>
      </w:pPr>
      <w:r w:rsidRPr="00AB6BFE">
        <w:rPr>
          <w:rFonts w:ascii="GHEA Grapalat" w:hAnsi="GHEA Grapalat"/>
          <w:bCs/>
          <w:lang w:val="hy-AM"/>
        </w:rPr>
        <w:t xml:space="preserve">Համաձայնեցված ներքին շահութաբերության մակարդակը պահպանելու համար պայմանագրով նախատեսված է հետևյալ մեխանիզմը՝ մաստեր-պլանի վերանայում, որի արդյունքում փոխվում է կապիտալ ծախսերի կառուցվածքը և ժամանակացույցը, սակագնի բարձրացում և պայմանագրի ժամկետի երկարացում։ Պայմանագրի դադարեցման փոխհատուցման վճարները կարող են լինել չափազանց բարձր՝ վաղաժամ դադարեցման դեպքում։ </w:t>
      </w:r>
    </w:p>
    <w:p w14:paraId="45BFED97" w14:textId="77777777" w:rsidR="00957A78" w:rsidRPr="00AB6BFE" w:rsidRDefault="00957A78" w:rsidP="00957A78">
      <w:pPr>
        <w:tabs>
          <w:tab w:val="left" w:pos="0"/>
        </w:tabs>
        <w:spacing w:after="0"/>
        <w:jc w:val="both"/>
        <w:rPr>
          <w:rFonts w:ascii="GHEA Grapalat" w:hAnsi="GHEA Grapalat"/>
          <w:b/>
          <w:bCs/>
          <w:lang w:val="hy-AM"/>
        </w:rPr>
      </w:pPr>
      <w:r w:rsidRPr="00AB6BFE">
        <w:rPr>
          <w:rFonts w:ascii="GHEA Grapalat" w:hAnsi="GHEA Grapalat"/>
          <w:bCs/>
          <w:lang w:val="hy-AM"/>
        </w:rPr>
        <w:t xml:space="preserve">Հաշվի առնելով ընկերության բարձր շահութաբերությունը՝ պայմանագրի վաղաժամ դադարեցման պայմանական պարտավորությունը և ընկերության բիզնես ռիսկը համապատասխանաբար գնահատվում էին ցածր, սակայն աշխարհաքաղաքական ճգնաժամով պայմանավորված ոլորտը դրսևորում է չափազանց տատանողական վարքագիծ՝ ունենալով եզակիորեն շահութաբեր 2022-2024 թվականներ, որոնք սակայն կարող են կայուն չլինել։ </w:t>
      </w:r>
    </w:p>
    <w:p w14:paraId="6F0A8707" w14:textId="77777777" w:rsidR="00957A78" w:rsidRPr="00AB6BFE" w:rsidRDefault="00957A78" w:rsidP="00957A78">
      <w:pPr>
        <w:tabs>
          <w:tab w:val="left" w:pos="0"/>
        </w:tabs>
        <w:spacing w:after="0"/>
        <w:jc w:val="both"/>
        <w:rPr>
          <w:rFonts w:ascii="GHEA Grapalat" w:hAnsi="GHEA Grapalat"/>
          <w:b/>
          <w:bCs/>
          <w:lang w:val="hy-AM"/>
        </w:rPr>
      </w:pPr>
      <w:r w:rsidRPr="00AB6BFE">
        <w:rPr>
          <w:rFonts w:ascii="GHEA Grapalat" w:hAnsi="GHEA Grapalat"/>
          <w:bCs/>
          <w:lang w:val="hy-AM"/>
        </w:rPr>
        <w:t xml:space="preserve">Կանխիկի մնացորդը 2024 թվականի տարեվերջին կազմել է 36 մլն ԱՄՆ դոլար: Ընկերությունն ունի նաև 35.5 մլն ԱՄՆ դոլարի չափով ավանդներ, բացի այդ ընկերությունը այլևս չունի վարկային պարտավորություններ։ Արդյունքում, կարելի է փաստել ընկերության կայուն ֆինանսական վիճակը։ </w:t>
      </w:r>
    </w:p>
    <w:p w14:paraId="01EB1B32" w14:textId="77777777" w:rsidR="00957A78" w:rsidRPr="00AB6BFE" w:rsidRDefault="00957A78" w:rsidP="00957A78">
      <w:pPr>
        <w:tabs>
          <w:tab w:val="left" w:pos="0"/>
        </w:tabs>
        <w:spacing w:after="0"/>
        <w:jc w:val="both"/>
        <w:rPr>
          <w:rFonts w:ascii="GHEA Grapalat" w:hAnsi="GHEA Grapalat"/>
          <w:b/>
          <w:bCs/>
          <w:lang w:val="hy-AM"/>
        </w:rPr>
      </w:pPr>
      <w:r w:rsidRPr="00AB6BFE">
        <w:rPr>
          <w:rFonts w:ascii="GHEA Grapalat" w:hAnsi="GHEA Grapalat"/>
          <w:bCs/>
          <w:lang w:val="hy-AM"/>
        </w:rPr>
        <w:t xml:space="preserve">Խումբը նաև հրապարակայնորեն հայտարարել է «Զվարթնոց» օդանավակայանի ընդլայնման մասին, որը ենթադրում է հզորությունների կրկնապատկում, և ներդրումների ծավալը գնահատվում է  շուրջ 400 մլն ԱՄՆ դոլար։ Ընդլայնման ծրագրի շուրջ ՀՀ կառավարության հետ բանակցությունները դեռ շարունակվում են, և այդ ծրագիրը զգալիորեն կբարձրացնի ՀՀ կառավարության համար պայմանական պարտավորությունները։ </w:t>
      </w:r>
    </w:p>
    <w:p w14:paraId="337F0630" w14:textId="77777777" w:rsidR="00957A78" w:rsidRPr="00AB6BFE" w:rsidRDefault="00957A78" w:rsidP="00957A78">
      <w:pPr>
        <w:tabs>
          <w:tab w:val="left" w:pos="0"/>
        </w:tabs>
        <w:spacing w:after="0"/>
        <w:jc w:val="both"/>
        <w:rPr>
          <w:rFonts w:ascii="GHEA Grapalat" w:hAnsi="GHEA Grapalat"/>
          <w:bCs/>
          <w:lang w:val="hy-AM"/>
        </w:rPr>
      </w:pPr>
      <w:r w:rsidRPr="00AB6BFE">
        <w:rPr>
          <w:rFonts w:ascii="GHEA Grapalat" w:hAnsi="GHEA Grapalat"/>
          <w:bCs/>
          <w:lang w:val="hy-AM"/>
        </w:rPr>
        <w:t>Ֆիսկալ ռիսկի կարգավիճակը գնահատվել է՝ հաշվի առնելով «Զվարթնոց» օդանավակայանի ընդլայնման հավակնոտ ծրագիրը և դրա հիմքում դրված ուղևորահոսքի ենթադրությունը, որը հիմնվել է նախորդ տարիների արտասովոր ցուցանիշների վրա և, մյուս կողմից, այդ ցուցանիշների կայունության անորոշությունը միջնաժամկետ և երկարաժամկետ հեռանկարում, ինչը կարող է հագեցնել ՀՀ-ի համար պայմանական պարտավորությունների։ Մինչ ընդլայնման ծրագիրը, «ԱՄՕ» ՓԲԸ-ի ռիսկը զգալիորեն բարելավվել էր, սակայն այժմ այս ՊՄԳ-ի հարկաբյուջետային ռիսկի կարգավիճակը շարունակում է մնալ «Էական»:</w:t>
      </w:r>
    </w:p>
    <w:p w14:paraId="2B1D1BAF" w14:textId="77777777" w:rsidR="00957A78" w:rsidRPr="00AB6BFE" w:rsidRDefault="00957A78" w:rsidP="00957A78">
      <w:pPr>
        <w:pStyle w:val="BodyText"/>
        <w:spacing w:before="120" w:after="0" w:line="276" w:lineRule="auto"/>
        <w:rPr>
          <w:rFonts w:ascii="GHEA Grapalat" w:hAnsi="GHEA Grapalat"/>
          <w:b/>
          <w:lang w:val="hy-AM"/>
        </w:rPr>
      </w:pPr>
      <w:bookmarkStart w:id="528" w:name="_Toc199682016"/>
    </w:p>
    <w:p w14:paraId="16BBD48E" w14:textId="77777777" w:rsidR="00957A78" w:rsidRPr="00AB6BFE" w:rsidRDefault="00957A78" w:rsidP="00957A78">
      <w:pPr>
        <w:pStyle w:val="BodyText"/>
        <w:spacing w:before="120" w:after="0" w:line="276" w:lineRule="auto"/>
        <w:rPr>
          <w:rFonts w:ascii="GHEA Grapalat" w:hAnsi="GHEA Grapalat"/>
          <w:b/>
          <w:lang w:val="hy-AM"/>
        </w:rPr>
      </w:pPr>
      <w:r w:rsidRPr="00AB6BFE">
        <w:rPr>
          <w:rFonts w:ascii="GHEA Grapalat" w:hAnsi="GHEA Grapalat"/>
          <w:b/>
          <w:lang w:val="hy-AM"/>
        </w:rPr>
        <w:t>«ՔՈՆԹՈՒՐԳԼՈԲԱԼ ՀԻԴՐՈ ԿԱՍԿԱԴ» ՓԲԸ</w:t>
      </w:r>
      <w:bookmarkEnd w:id="528"/>
    </w:p>
    <w:p w14:paraId="3ED6061B" w14:textId="77777777" w:rsidR="00957A78" w:rsidRPr="00AB6BFE" w:rsidRDefault="00957A78" w:rsidP="00957A78">
      <w:pPr>
        <w:tabs>
          <w:tab w:val="left" w:pos="0"/>
        </w:tabs>
        <w:spacing w:after="0"/>
        <w:jc w:val="both"/>
        <w:rPr>
          <w:rFonts w:ascii="GHEA Grapalat" w:hAnsi="GHEA Grapalat"/>
          <w:b/>
          <w:bCs/>
          <w:lang w:val="hy-AM"/>
        </w:rPr>
      </w:pPr>
      <w:r w:rsidRPr="00AB6BFE">
        <w:rPr>
          <w:rFonts w:ascii="GHEA Grapalat" w:hAnsi="GHEA Grapalat"/>
          <w:bCs/>
          <w:lang w:val="hy-AM"/>
        </w:rPr>
        <w:t xml:space="preserve">Ընկերությունը հանդիսանում է հիդրոէլեկտրաէներգիայի արտադրության առանցքային համալիրներից մեկը: Այն նախկինում պետական մասնակցությամբ ընկերություն էր, որը մասնավորեցման արդյունքում վաճառվել է էլեկտրաէներգիայի արտադրությամբ զբաղվող «ՔոնթուրԳլոբալ» խոշոր միջազգային խմբին: Ընկերությունն արտադրված էլեկտրաէներգիան վաճառում է «Հայաստանի էլեկտրական ցանցեր» ՓԲԸ-ին (ՀԷՑ)՝ ՀԾԿՀ կողմից հաստատված սակագներով: ՀԷՑ ընկերությունը պարտավոր է գնել արտադրված ամբողջ էլեկտրաէներգիան և կատարել հզորության դիմաց վճարներ: Ամենախոշոր պայմանական պարտավորությունը պետության կողմից հիմնական միջոցների հետգնման պարտավորությունն է, որի արժեքը 2024թ. ավարտին կազմում է 98 մլրդ դրամ, և ակնկալվում է դրա նվազում՝ պայմանավորված խոշոր ներդրումների պլանների բացակայությամբ։ </w:t>
      </w:r>
    </w:p>
    <w:p w14:paraId="33B50E54" w14:textId="77777777" w:rsidR="00957A78" w:rsidRPr="00AB6BFE" w:rsidRDefault="00957A78" w:rsidP="00957A78">
      <w:pPr>
        <w:tabs>
          <w:tab w:val="left" w:pos="0"/>
        </w:tabs>
        <w:spacing w:after="0"/>
        <w:jc w:val="both"/>
        <w:rPr>
          <w:rFonts w:ascii="GHEA Grapalat" w:hAnsi="GHEA Grapalat"/>
          <w:bCs/>
          <w:lang w:val="hy-AM"/>
        </w:rPr>
      </w:pPr>
      <w:r w:rsidRPr="00AB6BFE">
        <w:rPr>
          <w:rFonts w:ascii="GHEA Grapalat" w:hAnsi="GHEA Grapalat"/>
          <w:bCs/>
          <w:lang w:val="hy-AM"/>
        </w:rPr>
        <w:t>Նշենք նաև, որ ընկերությունը ներկայում մարում է Վերականգնման վարկերի</w:t>
      </w:r>
      <w:r w:rsidRPr="00AB6BFE">
        <w:rPr>
          <w:rFonts w:ascii="Calibri" w:hAnsi="Calibri" w:cs="Calibri"/>
          <w:bCs/>
          <w:lang w:val="hy-AM"/>
        </w:rPr>
        <w:t> </w:t>
      </w:r>
      <w:r w:rsidRPr="00AB6BFE">
        <w:rPr>
          <w:rFonts w:ascii="GHEA Grapalat" w:hAnsi="GHEA Grapalat"/>
          <w:bCs/>
          <w:lang w:val="hy-AM"/>
        </w:rPr>
        <w:t>բանկից</w:t>
      </w:r>
      <w:r w:rsidRPr="00AB6BFE">
        <w:rPr>
          <w:rFonts w:ascii="Calibri" w:hAnsi="Calibri" w:cs="Calibri"/>
          <w:bCs/>
          <w:lang w:val="hy-AM"/>
        </w:rPr>
        <w:t> </w:t>
      </w:r>
      <w:r w:rsidRPr="00AB6BFE">
        <w:rPr>
          <w:rFonts w:ascii="GHEA Grapalat" w:hAnsi="GHEA Grapalat"/>
          <w:bCs/>
          <w:lang w:val="hy-AM"/>
        </w:rPr>
        <w:t xml:space="preserve">(KFW) եվրոյով ստացված վարկը, ինչպես նաև 3 այլ ՄՖՀ-ներից, այդ թվում՝ Միջազգային ֆինանսական կորպորացիայից, ԱՄՆ դոլարով ստացված վարկեր: Հարկ է նկատել, որ ընկերության վարկերը (52.9 մլրդ դրամ) արտահայտված են արտարժույթով, և չնայած փոխարժեքի ռիսկի՝ սակագնին փոխանցմանը, ընկերությունը զգայուն է դրամի փոխարժեքի տատանումների նկատմամբ։ Ընկերության պարտք/սեփական կապիտալ հարաբերակցությունը կազմում է 1.15, ինչը բավական բարձր է և արտահայտվում է ընկերության եկամուտներում տոկոսային ծախսերի մեծ կշռով (37%)։ </w:t>
      </w:r>
    </w:p>
    <w:p w14:paraId="43F38229" w14:textId="77777777" w:rsidR="00957A78" w:rsidRPr="00AB6BFE" w:rsidRDefault="00957A78" w:rsidP="00957A78">
      <w:pPr>
        <w:tabs>
          <w:tab w:val="left" w:pos="0"/>
        </w:tabs>
        <w:spacing w:after="0"/>
        <w:jc w:val="both"/>
        <w:rPr>
          <w:rFonts w:ascii="GHEA Grapalat" w:hAnsi="GHEA Grapalat"/>
          <w:b/>
          <w:lang w:val="hy-AM"/>
        </w:rPr>
      </w:pPr>
      <w:r w:rsidRPr="00AB6BFE">
        <w:rPr>
          <w:rFonts w:ascii="GHEA Grapalat" w:hAnsi="GHEA Grapalat"/>
          <w:lang w:val="hy-AM"/>
        </w:rPr>
        <w:t xml:space="preserve">2023 թվականին ընկերությունն արձանագրել էր 1.8 մլրդ դրամի վնաս՝ պայմանավորված եկամուտների անկմամբ և ֆինանսական բարձր ծախսերով: Իրավիճակը մի փոքր բարելավվել է 2024 թվականի ընթացքում՝ եկամտի 14%-ով ավելացմամբ և 3.8 մլրդ դրամ շահույթով, որից շուրջ 2 մլրդ առաջացել են արտարժույթի փոխարժեքային տարբերությունների օգուտներից։ </w:t>
      </w:r>
    </w:p>
    <w:p w14:paraId="6FD529F8" w14:textId="77777777" w:rsidR="00957A78" w:rsidRPr="00AB6BFE" w:rsidRDefault="00957A78" w:rsidP="00957A78">
      <w:pPr>
        <w:tabs>
          <w:tab w:val="left" w:pos="0"/>
        </w:tabs>
        <w:spacing w:after="0"/>
        <w:jc w:val="both"/>
        <w:rPr>
          <w:rFonts w:ascii="GHEA Grapalat" w:hAnsi="GHEA Grapalat"/>
          <w:lang w:val="hy-AM"/>
        </w:rPr>
      </w:pPr>
      <w:r w:rsidRPr="00AB6BFE">
        <w:rPr>
          <w:rFonts w:ascii="GHEA Grapalat" w:hAnsi="GHEA Grapalat"/>
          <w:lang w:val="hy-AM"/>
        </w:rPr>
        <w:t>Ընկերությունը շարունակում է սպասարկել իր վարկերը, շնորհիվ բաժնետերերի կողմից կանոնադրական կապիտալի ավելացման (2.24 մլրդ դրամ՝ 2024 թվականին և 1.66 մլրդ դրամ՝ 2023 թ.-ին): Միաժամանակ, ընկերությունը իրականացրել է շահութաբաժինների վճարում երկու տարիների ընթացքում շուրջ 4.3 մլրդ դրամի չափով, ընկերությունը 2023 թվականի ընթացքում հայտարարել է 5.5 միլիարդ դրամ բացառիկ շահութաբաժնի վճարում՝ չնայած 2023 թվականի ֆինանսական վնասների:</w:t>
      </w:r>
    </w:p>
    <w:p w14:paraId="5FB80F72" w14:textId="77777777" w:rsidR="00957A78" w:rsidRPr="00AB6BFE" w:rsidRDefault="00957A78" w:rsidP="00957A78">
      <w:pPr>
        <w:tabs>
          <w:tab w:val="left" w:pos="0"/>
        </w:tabs>
        <w:spacing w:after="0"/>
        <w:jc w:val="both"/>
        <w:rPr>
          <w:rFonts w:ascii="GHEA Grapalat" w:hAnsi="GHEA Grapalat"/>
          <w:bCs/>
          <w:lang w:val="hy-AM"/>
        </w:rPr>
      </w:pPr>
      <w:r w:rsidRPr="00AB6BFE">
        <w:rPr>
          <w:rFonts w:ascii="GHEA Grapalat" w:hAnsi="GHEA Grapalat"/>
          <w:bCs/>
          <w:lang w:val="hy-AM"/>
        </w:rPr>
        <w:t>Խումբը դիմել է վարկատուներին՝ ավելացնելու վարկի ծավալը, այդ թվում՝ նախատեսվող ավելի մեծ կանխիկ միջոցների դուրսբերումը սպասարկելու նպատակով: Այս վարկի ավելացումը պահանջում էր ՀՀ կառավարության համաձայնությունը, որը նույնպես վարկատու է՝ KFW վարկի օժանդակությամբ: Հաշվի առնելով բանակցությունների ընթացքում բարձրաձայնված ֆիսկալ ռիսկերը և դրանց քննարկումների արդյունքները՝ կողմերը համաձայնվել են պահպանել Կառավարության առաջնային գրավի իրավունքը (վարկի՝ գրավով ապահովման մակարդակը)։</w:t>
      </w:r>
    </w:p>
    <w:p w14:paraId="33356819" w14:textId="77777777" w:rsidR="00957A78" w:rsidRPr="00AB6BFE" w:rsidRDefault="00957A78" w:rsidP="00957A78">
      <w:pPr>
        <w:tabs>
          <w:tab w:val="left" w:pos="0"/>
        </w:tabs>
        <w:spacing w:after="0"/>
        <w:jc w:val="both"/>
        <w:rPr>
          <w:rFonts w:ascii="GHEA Grapalat" w:hAnsi="GHEA Grapalat"/>
          <w:bCs/>
          <w:lang w:val="hy-AM"/>
        </w:rPr>
      </w:pPr>
      <w:r w:rsidRPr="00AB6BFE">
        <w:rPr>
          <w:rFonts w:ascii="GHEA Grapalat" w:hAnsi="GHEA Grapalat"/>
          <w:bCs/>
          <w:lang w:val="hy-AM"/>
        </w:rPr>
        <w:t xml:space="preserve">Ֆիսկալ ռիսկի կարգավիճակը բարելավվել է «միջին»՝ հաշվի առնելով ընկերության ֆինանսական վիճակը: 2022 թվականին իրականացվել է մայր ընկերության ձեռք բերում KKR խմբի կողմից և ապացուցակում։ Մայր ընկերության ձեռքբերումը KKR խմբի կողմից Կառավարության համար շարունակում է մնալ անորոշության գործոն, քանի որ ակտիվները կարող են ենթարկվել վերակազմավորման և վաճառքի, ինչպես նաև կարող է փոխվել Խմբի ներդրումային քաղաքականությունը: </w:t>
      </w:r>
    </w:p>
    <w:p w14:paraId="22E75F33" w14:textId="77777777" w:rsidR="00957A78" w:rsidRPr="00AB6BFE" w:rsidRDefault="00957A78" w:rsidP="00957A78">
      <w:pPr>
        <w:pStyle w:val="BodyText"/>
        <w:spacing w:before="120" w:after="0" w:line="276" w:lineRule="auto"/>
        <w:rPr>
          <w:rFonts w:ascii="GHEA Grapalat" w:hAnsi="GHEA Grapalat"/>
          <w:b/>
          <w:lang w:val="hy-AM"/>
        </w:rPr>
      </w:pPr>
      <w:bookmarkStart w:id="529" w:name="_Toc199682017"/>
    </w:p>
    <w:p w14:paraId="213BF262" w14:textId="77777777" w:rsidR="00957A78" w:rsidRPr="00AB6BFE" w:rsidRDefault="00957A78" w:rsidP="00957A78">
      <w:pPr>
        <w:pStyle w:val="BodyText"/>
        <w:spacing w:before="120" w:after="0" w:line="276" w:lineRule="auto"/>
        <w:rPr>
          <w:rFonts w:ascii="GHEA Grapalat" w:hAnsi="GHEA Grapalat"/>
          <w:b/>
          <w:lang w:val="hy-AM"/>
        </w:rPr>
      </w:pPr>
      <w:r w:rsidRPr="00AB6BFE">
        <w:rPr>
          <w:rFonts w:ascii="GHEA Grapalat" w:hAnsi="GHEA Grapalat"/>
          <w:b/>
          <w:lang w:val="hy-AM"/>
        </w:rPr>
        <w:t>«ԱՐՄՓԱՈՒԵՐ» ՓԲԸ (ԵՐԵՎԱՆԻ ՆՈՐ ՋԷԿ)</w:t>
      </w:r>
      <w:bookmarkEnd w:id="529"/>
    </w:p>
    <w:p w14:paraId="13CE5EB0" w14:textId="77777777" w:rsidR="00957A78" w:rsidRPr="00AB6BFE" w:rsidRDefault="00957A78" w:rsidP="00957A78">
      <w:pPr>
        <w:tabs>
          <w:tab w:val="left" w:pos="0"/>
        </w:tabs>
        <w:spacing w:after="0"/>
        <w:jc w:val="both"/>
        <w:rPr>
          <w:rFonts w:ascii="GHEA Grapalat" w:hAnsi="GHEA Grapalat"/>
          <w:b/>
          <w:bCs/>
          <w:lang w:val="hy-AM"/>
        </w:rPr>
      </w:pPr>
      <w:r w:rsidRPr="00AB6BFE">
        <w:rPr>
          <w:rFonts w:ascii="GHEA Grapalat" w:hAnsi="GHEA Grapalat"/>
          <w:bCs/>
          <w:lang w:val="hy-AM"/>
        </w:rPr>
        <w:t>Ընկերությունը Երևան քաղաքում կառուցել և հանձնել է շահագործման ջերմային էլեկտրակայան, որը հանդիսանում է աշխարհում էլեկտրաէներգիայի արտադրության խոշոր գործունեություն իրականացնող իտալական «Ռենկո» էներգետիկական խմբի և գերմանական «Սիմենս» խմբի դուստր ընկերություն: Ծրագրի գնահատված արժեքը կազմել է 257.575 մլն ԱՄՆ դոլար, ինչը նվազեցնում է նախկինում հաշվարկված պայմանական պարտավորության ծավալը: Կոնցեսիայի ժամկետը կազմում է 20 տարի՝ սկսած առևտրային շահագործման մեկնարկից: Կայանը շահագործման է հանձնվել 2021թ. դեկտեմբերի 11-ին:</w:t>
      </w:r>
    </w:p>
    <w:p w14:paraId="6F134B8B" w14:textId="77777777" w:rsidR="00957A78" w:rsidRPr="00AB6BFE" w:rsidRDefault="00957A78" w:rsidP="00957A78">
      <w:pPr>
        <w:tabs>
          <w:tab w:val="left" w:pos="0"/>
        </w:tabs>
        <w:spacing w:after="0"/>
        <w:jc w:val="both"/>
        <w:rPr>
          <w:rFonts w:ascii="GHEA Grapalat" w:hAnsi="GHEA Grapalat"/>
          <w:b/>
          <w:bCs/>
          <w:lang w:val="hy-AM"/>
        </w:rPr>
      </w:pPr>
      <w:r w:rsidRPr="00AB6BFE">
        <w:rPr>
          <w:rFonts w:ascii="GHEA Grapalat" w:hAnsi="GHEA Grapalat"/>
          <w:bCs/>
          <w:lang w:val="hy-AM"/>
        </w:rPr>
        <w:t>Հիմնական պայմանական պարտավորությունը ՀՀ կառավարության կողմից պարտավորությունների չկատարման հետևանքով պայմանագրի վաղաժամ դադարեցման դեպքում կայանի հետգնման պարտավորությունն է (նյութականացման դեպքերն են՝ օտարումը, բռնագրավումը, զավթումը, ՀՀ կառավարությանն առնչվող անվճարունակության դեպքի տեղի ունենալը, պայմանագրի շրջանակներում պետության կողմից տրված հավաստիացումների և երաշխիքների էական խախտումը, ծրագրի կառուցման կամ շահագործման՝ Կառուցապատողի կարողության վրա էականորեն և անբարենպաստ կերպով ազդող օրենսդրական փոփոխությունը): Շահագործման առաջին տարվանից հետո պայմանական պարտավորության գումարին կավելանա 15 տոկոս հավելավճար՝ ի հավելումն ներդրման գումարի, իսկ այնուհետև գումարը կնվազի տարեկան 4 տոկոսով: Քանի որ կայանը ստիպված էր վերագործարկվել շահագործման մեջ մտնելուց անմիջապես հետո, հավելավճարը կիրառելի է միայն 2023 թվականի սեպտեմբերից։ Վերագործարկման համար պահանջվել էր լրացուցիչ 3.2 մլն ԱՄՆ դոլար, որը ֆինանսավորվել է սեփական կապիտալի համալրման հաշվին։ Հիմնական միջոցների մնացորդը այժմ կազմում է 241.2 մլն ԱՄՆ դոլար՝ մաշվածության նվազեցումից հետո:</w:t>
      </w:r>
    </w:p>
    <w:p w14:paraId="524609E2" w14:textId="77777777" w:rsidR="00957A78" w:rsidRPr="00AB6BFE" w:rsidRDefault="00957A78" w:rsidP="00957A78">
      <w:pPr>
        <w:tabs>
          <w:tab w:val="left" w:pos="0"/>
        </w:tabs>
        <w:spacing w:after="0"/>
        <w:jc w:val="both"/>
        <w:rPr>
          <w:rFonts w:ascii="GHEA Grapalat" w:hAnsi="GHEA Grapalat"/>
          <w:b/>
          <w:bCs/>
          <w:lang w:val="hy-AM"/>
        </w:rPr>
      </w:pPr>
      <w:r w:rsidRPr="00AB6BFE">
        <w:rPr>
          <w:rFonts w:ascii="GHEA Grapalat" w:hAnsi="GHEA Grapalat"/>
          <w:bCs/>
          <w:lang w:val="hy-AM"/>
        </w:rPr>
        <w:t>Ընկերության 2024 թվականի եկամուտը 2023 թվականի 114.7 միլիոն ԱՄՆ դոլարից նվազել է մինչև 105.7 միլիոն ԱՄՆ դոլար, ինչը կազմում է 8% անկում, որը հիմնականում պայմանավորված է հզորության վճարումների անկմամբ՝ 67.4 միլիոն ԱՄՆ դոլարից մինչև 56.3 միլիոն ԱՄՆ դոլար (16% անկում)։ Համախառն շահույթի մարժան նվազել է 16.6% մինչև 12.3%:</w:t>
      </w:r>
    </w:p>
    <w:p w14:paraId="63F5FCA4" w14:textId="77777777" w:rsidR="00957A78" w:rsidRPr="00AB6BFE" w:rsidRDefault="00957A78" w:rsidP="00957A78">
      <w:pPr>
        <w:tabs>
          <w:tab w:val="left" w:pos="0"/>
        </w:tabs>
        <w:spacing w:after="0"/>
        <w:jc w:val="both"/>
        <w:rPr>
          <w:rFonts w:ascii="GHEA Grapalat" w:hAnsi="GHEA Grapalat"/>
          <w:b/>
          <w:bCs/>
          <w:lang w:val="hy-AM"/>
        </w:rPr>
      </w:pPr>
      <w:r w:rsidRPr="00AB6BFE">
        <w:rPr>
          <w:rFonts w:ascii="GHEA Grapalat" w:hAnsi="GHEA Grapalat"/>
          <w:bCs/>
          <w:lang w:val="hy-AM"/>
        </w:rPr>
        <w:t>Գործառնություններից ստացված զուտ դրամական հոսքը 2024 թվականին նվազել է մինչև 20.2 միլիոն ԱՄՆ դոլար՝ 2023 թվականի 29.7 միլիոն ԱՄՆ դոլարի համեմատ, մինչդեռ ֆինանսական ծախսերը մնում են բարձր՝ 13.1 միլիոն ԱՄՆ դոլար։</w:t>
      </w:r>
    </w:p>
    <w:p w14:paraId="6EE9FBBD" w14:textId="77777777" w:rsidR="00957A78" w:rsidRPr="00AB6BFE" w:rsidRDefault="00957A78" w:rsidP="00957A78">
      <w:pPr>
        <w:tabs>
          <w:tab w:val="left" w:pos="0"/>
        </w:tabs>
        <w:spacing w:after="0"/>
        <w:jc w:val="both"/>
        <w:rPr>
          <w:rFonts w:ascii="GHEA Grapalat" w:hAnsi="GHEA Grapalat"/>
          <w:b/>
          <w:bCs/>
          <w:lang w:val="hy-AM"/>
        </w:rPr>
      </w:pPr>
      <w:r w:rsidRPr="00AB6BFE">
        <w:rPr>
          <w:rFonts w:ascii="GHEA Grapalat" w:hAnsi="GHEA Grapalat"/>
          <w:bCs/>
          <w:lang w:val="hy-AM"/>
        </w:rPr>
        <w:t xml:space="preserve">Ընկերության վարկային համաձայնագրերով սահմանված պարտքի սպասարկման ծածկույթի գործակիցը (DSCR) խախտվել է, որի համար ընկերությունը դիմել և ստացել է իրավունքից հրաժարում (waiver): </w:t>
      </w:r>
    </w:p>
    <w:p w14:paraId="216B6B89" w14:textId="77777777" w:rsidR="00957A78" w:rsidRPr="00AB6BFE" w:rsidRDefault="00957A78" w:rsidP="00957A78">
      <w:pPr>
        <w:tabs>
          <w:tab w:val="left" w:pos="0"/>
        </w:tabs>
        <w:spacing w:after="0"/>
        <w:jc w:val="both"/>
        <w:rPr>
          <w:rFonts w:ascii="GHEA Grapalat" w:hAnsi="GHEA Grapalat"/>
          <w:b/>
          <w:bCs/>
          <w:lang w:val="hy-AM"/>
        </w:rPr>
      </w:pPr>
      <w:r w:rsidRPr="00AB6BFE">
        <w:rPr>
          <w:rFonts w:ascii="GHEA Grapalat" w:hAnsi="GHEA Grapalat"/>
          <w:bCs/>
          <w:lang w:val="hy-AM"/>
        </w:rPr>
        <w:t xml:space="preserve">Ընկերությունը 2024 թվականին արձանագրել է զուտ վնաս 4.5 մլն ԱՄՆ դոլարի չափով՝ նախորդ տարվա 3.4 մլն դոլարի չափով շահույթի դիմաց, սակայն նախորդ տարվա արդյունքը պայմանավորված է եղել այլ եկամուտներով։ </w:t>
      </w:r>
    </w:p>
    <w:p w14:paraId="31093393" w14:textId="77777777" w:rsidR="00957A78" w:rsidRPr="00AB6BFE" w:rsidRDefault="00957A78" w:rsidP="00957A78">
      <w:pPr>
        <w:tabs>
          <w:tab w:val="left" w:pos="0"/>
        </w:tabs>
        <w:spacing w:after="0"/>
        <w:jc w:val="both"/>
        <w:rPr>
          <w:rFonts w:ascii="GHEA Grapalat" w:hAnsi="GHEA Grapalat"/>
          <w:b/>
          <w:bCs/>
          <w:lang w:val="hy-AM"/>
        </w:rPr>
      </w:pPr>
      <w:r w:rsidRPr="00AB6BFE">
        <w:rPr>
          <w:rFonts w:ascii="GHEA Grapalat" w:hAnsi="GHEA Grapalat"/>
          <w:bCs/>
          <w:lang w:val="hy-AM"/>
        </w:rPr>
        <w:t>Ընկերության կանխիկի մնացորդը 5.9 մլն ԱՄՆ դոլարից նվազել է մինչև 2.7 մլն</w:t>
      </w:r>
      <w:r w:rsidRPr="00AB6BFE">
        <w:rPr>
          <w:rFonts w:ascii="GHEA Grapalat" w:eastAsia="Microsoft JhengHei" w:hAnsi="GHEA Grapalat" w:cs="Microsoft JhengHei"/>
          <w:bCs/>
          <w:lang w:val="hy-AM"/>
        </w:rPr>
        <w:t>՝</w:t>
      </w:r>
      <w:r w:rsidRPr="00AB6BFE">
        <w:rPr>
          <w:rFonts w:ascii="GHEA Grapalat" w:hAnsi="GHEA Grapalat"/>
          <w:bCs/>
          <w:lang w:val="hy-AM"/>
        </w:rPr>
        <w:t xml:space="preserve"> պայմանավորված բացասական զուտ դրամական հոսքերով՝ վկայելով իրացվելիության վատթարացման մասին։</w:t>
      </w:r>
    </w:p>
    <w:p w14:paraId="490C48D9" w14:textId="77777777" w:rsidR="00957A78" w:rsidRPr="00AB6BFE" w:rsidRDefault="00957A78" w:rsidP="00957A78">
      <w:pPr>
        <w:tabs>
          <w:tab w:val="left" w:pos="0"/>
        </w:tabs>
        <w:spacing w:after="0"/>
        <w:jc w:val="both"/>
        <w:rPr>
          <w:rFonts w:ascii="GHEA Grapalat" w:hAnsi="GHEA Grapalat"/>
          <w:bCs/>
          <w:lang w:val="hy-AM"/>
        </w:rPr>
      </w:pPr>
      <w:r w:rsidRPr="00AB6BFE">
        <w:rPr>
          <w:rFonts w:ascii="GHEA Grapalat" w:hAnsi="GHEA Grapalat"/>
          <w:bCs/>
          <w:lang w:val="hy-AM"/>
        </w:rPr>
        <w:t>Հաշվի առնելով կայանի հաջող շահագործման հանձնումը՝ չնայած կորոնավիրուսային համավարակի հետևանքով առաջացած ուշացումներին, ծրագրի ֆիսկալ ռիսկի կարգավիճակը կարող էր փոփոխվել ցածրի, սակայն ֆինանսական դժվարություններով պայմանավորված ծրագրի հարկաբյուջետային ռիսկի կարգավիճակը պահպանվում է միջին մակարդակում:</w:t>
      </w:r>
    </w:p>
    <w:p w14:paraId="77537A61" w14:textId="77777777" w:rsidR="00957A78" w:rsidRPr="00AB6BFE" w:rsidRDefault="00957A78" w:rsidP="00957A78">
      <w:pPr>
        <w:tabs>
          <w:tab w:val="left" w:pos="0"/>
        </w:tabs>
        <w:spacing w:after="0"/>
        <w:rPr>
          <w:rFonts w:ascii="GHEA Grapalat" w:hAnsi="GHEA Grapalat"/>
          <w:bCs/>
          <w:lang w:val="hy-AM"/>
        </w:rPr>
      </w:pPr>
    </w:p>
    <w:p w14:paraId="588ADB5D" w14:textId="77777777" w:rsidR="00957A78" w:rsidRPr="00AB6BFE" w:rsidRDefault="00957A78" w:rsidP="00957A78">
      <w:pPr>
        <w:pStyle w:val="BodyText"/>
        <w:spacing w:before="120" w:after="0" w:line="276" w:lineRule="auto"/>
        <w:rPr>
          <w:rFonts w:ascii="GHEA Grapalat" w:hAnsi="GHEA Grapalat"/>
          <w:b/>
          <w:lang w:val="hy-AM"/>
        </w:rPr>
      </w:pPr>
      <w:bookmarkStart w:id="530" w:name="_Toc199682018"/>
      <w:r w:rsidRPr="00AB6BFE">
        <w:rPr>
          <w:rFonts w:ascii="GHEA Grapalat" w:hAnsi="GHEA Grapalat"/>
          <w:b/>
          <w:lang w:val="hy-AM"/>
        </w:rPr>
        <w:t>«ՄԱՍՐԻԿ-1» ԱՐԵՎԱՅԻՆ ՖՈՏՈՎՈԼՏԱՅԻՆ ԿԱՅԱՆ</w:t>
      </w:r>
      <w:bookmarkEnd w:id="530"/>
      <w:r w:rsidRPr="00AB6BFE">
        <w:rPr>
          <w:rFonts w:ascii="GHEA Grapalat" w:hAnsi="GHEA Grapalat"/>
          <w:b/>
          <w:lang w:val="hy-AM"/>
        </w:rPr>
        <w:t xml:space="preserve"> </w:t>
      </w:r>
    </w:p>
    <w:p w14:paraId="620E7000" w14:textId="77777777" w:rsidR="00957A78" w:rsidRPr="00AB6BFE" w:rsidRDefault="00957A78" w:rsidP="00957A78">
      <w:pPr>
        <w:tabs>
          <w:tab w:val="left" w:pos="0"/>
        </w:tabs>
        <w:spacing w:after="0"/>
        <w:jc w:val="both"/>
        <w:rPr>
          <w:rFonts w:ascii="GHEA Grapalat" w:hAnsi="GHEA Grapalat"/>
          <w:b/>
          <w:bCs/>
          <w:lang w:val="hy-AM"/>
        </w:rPr>
      </w:pPr>
      <w:r w:rsidRPr="00AB6BFE">
        <w:rPr>
          <w:rFonts w:ascii="GHEA Grapalat" w:hAnsi="GHEA Grapalat"/>
          <w:bCs/>
          <w:lang w:val="hy-AM"/>
        </w:rPr>
        <w:t>Այս նախագծի շրջանակներում կառուցվել է 55 Մվտ դրվածքային հզորությամբ արևային էլեկտրակայանը: Այն պատկանում է La Providencia և FRV իսպանական մասնագիտացված խմբերին և ֆինանսավորվում է IFC-ի, EBRD-ի և Ֆինլանդիայի կառավարության վարկային միջոցներով: Պայմանագրի ֆինանսական կայացումը տեղի է ունեցել 2020թ. հուլիսին, իսկ աշխատանքները նախատեսվում էր ավարտել 2022թ.-ին, սակայն հաջորդող լրացուցիչ համաձայնագրերով այն հետաձգվել է մինչև 2024 թվականի դեկտեմբեր, քանի որ արձանագրվել էին էական ուշացումներ, մասնավորապես ադրբեջանական զինված ուժերի գործողություններով պայմանավորված (Մասրիկի տեղամասը սահմանին շատ մոտ է):</w:t>
      </w:r>
    </w:p>
    <w:p w14:paraId="5EEB9B72" w14:textId="77777777" w:rsidR="00957A78" w:rsidRPr="00AB6BFE" w:rsidRDefault="00957A78" w:rsidP="00957A78">
      <w:pPr>
        <w:tabs>
          <w:tab w:val="left" w:pos="0"/>
        </w:tabs>
        <w:spacing w:after="0"/>
        <w:jc w:val="both"/>
        <w:rPr>
          <w:rFonts w:ascii="GHEA Grapalat" w:hAnsi="GHEA Grapalat"/>
          <w:b/>
          <w:bCs/>
          <w:lang w:val="hy-AM"/>
        </w:rPr>
      </w:pPr>
      <w:r w:rsidRPr="00AB6BFE">
        <w:rPr>
          <w:rFonts w:ascii="GHEA Grapalat" w:hAnsi="GHEA Grapalat"/>
          <w:bCs/>
          <w:lang w:val="hy-AM"/>
        </w:rPr>
        <w:t xml:space="preserve">Կայանը ներկայումս գործում է և միացված է բաշխման ցանցին: Առաջին շահագործումը տեղի է ունեցել 2024 թվականի դեկտեմբերի 15-ին: Այնուամենայնիվ, Կայանի կառուցման ավարտը և շահագործմանը հանձնման ավարտը արձանագրվել է ս.թ. մայիսի 14-ին ՀՀ հանրային ծառայությունները կարգավորող </w:t>
      </w:r>
      <w:r w:rsidRPr="00AB6BFE">
        <w:rPr>
          <w:rFonts w:ascii="GHEA Grapalat" w:hAnsi="GHEA Grapalat"/>
          <w:lang w:val="hy-AM"/>
        </w:rPr>
        <w:t>հանձնաժողովի (ՀԾԿՀ) ընդունած որոշումներով, երբ «ԷֆԱրՎի Մասրիկ» ընկերության «Մասրիկ-1» արևային կայանը անցել է էլեկտրական էներգիայի արտադրության փուլ և սկսել առևտրային էլեկտրաէներգիայի մատակարարումները՝ համաձայնեցված պայմանագրային պայմաններին համապատասխան:</w:t>
      </w:r>
    </w:p>
    <w:p w14:paraId="0FB75064" w14:textId="77777777" w:rsidR="00957A78" w:rsidRPr="00AB6BFE" w:rsidRDefault="00957A78" w:rsidP="00957A78">
      <w:pPr>
        <w:tabs>
          <w:tab w:val="left" w:pos="0"/>
        </w:tabs>
        <w:spacing w:after="0"/>
        <w:jc w:val="both"/>
        <w:rPr>
          <w:rFonts w:ascii="GHEA Grapalat" w:hAnsi="GHEA Grapalat"/>
          <w:b/>
          <w:bCs/>
          <w:lang w:val="hy-AM"/>
        </w:rPr>
      </w:pPr>
      <w:r w:rsidRPr="00AB6BFE">
        <w:rPr>
          <w:rFonts w:ascii="GHEA Grapalat" w:hAnsi="GHEA Grapalat"/>
          <w:bCs/>
          <w:lang w:val="hy-AM"/>
        </w:rPr>
        <w:t xml:space="preserve">Ըստ ընկերության ֆինանսական հաշվետվությունների՝ 2024 թվականի ավարտին հիմնական միջոցների մնացորդային արժեքը կազմում է մոտ 15 մլրդ դրամ, դրանք ամբողջությամբ գրավադրված են 34.2 մլն ԱՄՆ դոլար վարկի դիմաց, որի մարման վերջնաժամկետ է սահմանված 2043 թվականը: </w:t>
      </w:r>
    </w:p>
    <w:p w14:paraId="0693B5FE" w14:textId="77777777" w:rsidR="00957A78" w:rsidRPr="00AB6BFE" w:rsidRDefault="00957A78" w:rsidP="00957A78">
      <w:pPr>
        <w:tabs>
          <w:tab w:val="left" w:pos="0"/>
        </w:tabs>
        <w:spacing w:after="0"/>
        <w:jc w:val="both"/>
        <w:rPr>
          <w:rFonts w:ascii="GHEA Grapalat" w:hAnsi="GHEA Grapalat"/>
          <w:b/>
          <w:bCs/>
          <w:lang w:val="hy-AM"/>
        </w:rPr>
      </w:pPr>
      <w:r w:rsidRPr="00AB6BFE">
        <w:rPr>
          <w:rFonts w:ascii="GHEA Grapalat" w:hAnsi="GHEA Grapalat"/>
          <w:bCs/>
          <w:lang w:val="hy-AM"/>
        </w:rPr>
        <w:t>Նախագծի իրականացման արդյունքում շինարարության ավարտից մեկ տարվա ընթացքում առաջանում են մի շարք պայմանական պարտավորություններ, մասնավորապես՝ արտադրվող էլեկտրաէներգիայի համար գնման երաշխիք և անբարենպաստ իրադարձությունների դիմաց լրացուցիչ հատուցման իրավունք:</w:t>
      </w:r>
    </w:p>
    <w:p w14:paraId="6BB98472" w14:textId="77777777" w:rsidR="00957A78" w:rsidRPr="00AB6BFE" w:rsidRDefault="00957A78" w:rsidP="00957A78">
      <w:pPr>
        <w:tabs>
          <w:tab w:val="left" w:pos="0"/>
        </w:tabs>
        <w:spacing w:after="0"/>
        <w:jc w:val="both"/>
        <w:rPr>
          <w:rFonts w:ascii="GHEA Grapalat" w:hAnsi="GHEA Grapalat"/>
          <w:b/>
          <w:bCs/>
          <w:lang w:val="hy-AM"/>
        </w:rPr>
      </w:pPr>
      <w:r w:rsidRPr="00AB6BFE">
        <w:rPr>
          <w:rFonts w:ascii="GHEA Grapalat" w:hAnsi="GHEA Grapalat"/>
          <w:bCs/>
          <w:lang w:val="hy-AM"/>
        </w:rPr>
        <w:t xml:space="preserve">Մինչ այդ, հիմնական պայմանական պարտավորությունը վաղաժամ դադարեցումն է՝ ՀՀ Կառավարության տարբեր հիմքերով գործողությունների հետևանքով. (ա) ՀՀ Կառավարությունը չի կատարում իր կողմից պարտավորություն հանդիսացող որևէ վճար, (բ) որևէ պետական մարմնի կողմից էքսպրոպրիացիայի կամ հարկադիր ձեռքբերման է ենթարկվել ծրագրի տարածքը, կայանը, գ) ՀՀ Կառավարությանը վերաբերող անվճարունակության դեպք, դ) Օրենքի փոփոխություն կամ անբարենպաստ պայմանի դեպք, որը վերացված կամ փոփոխված չէ 180 (մեկ հարյուր ութսուն) օրվա ընթացքում և անհնար է դարձնում կայանի կառուցումը կամ շահագործումը: Կառուցապատողի կողմից. ե) ՀՀ Կառավարության կողմից Համաձայնագրի ցանկացած այլ էական խախտում, եթե այդ խախտումը չի վերացվել 180 օրվա ընթացքում: </w:t>
      </w:r>
    </w:p>
    <w:p w14:paraId="471B0BF0" w14:textId="77777777" w:rsidR="00957A78" w:rsidRPr="00AB6BFE" w:rsidRDefault="00957A78" w:rsidP="00957A78">
      <w:pPr>
        <w:tabs>
          <w:tab w:val="left" w:pos="0"/>
        </w:tabs>
        <w:spacing w:after="0"/>
        <w:jc w:val="both"/>
        <w:rPr>
          <w:rFonts w:ascii="GHEA Grapalat" w:hAnsi="GHEA Grapalat"/>
          <w:b/>
          <w:bCs/>
          <w:lang w:val="hy-AM"/>
        </w:rPr>
      </w:pPr>
      <w:r w:rsidRPr="00AB6BFE">
        <w:rPr>
          <w:rFonts w:ascii="GHEA Grapalat" w:hAnsi="GHEA Grapalat"/>
          <w:bCs/>
          <w:lang w:val="hy-AM"/>
        </w:rPr>
        <w:t xml:space="preserve">Հաշվարկվել է առավելագույնը 19 մլրդ ՀՀ դրամի փոխհատուցում՝ պայմանավորված պայմանագրով սահմանված վաղաժամ դադարեցման դրույթի ՝ շահագործման փուլ անցնելուց հետո կիրառելիությամբ: </w:t>
      </w:r>
    </w:p>
    <w:p w14:paraId="73A5E035" w14:textId="77777777" w:rsidR="00957A78" w:rsidRPr="00AB6BFE" w:rsidRDefault="00957A78" w:rsidP="00957A78">
      <w:pPr>
        <w:tabs>
          <w:tab w:val="left" w:pos="0"/>
        </w:tabs>
        <w:spacing w:after="0"/>
        <w:jc w:val="both"/>
        <w:rPr>
          <w:rFonts w:ascii="GHEA Grapalat" w:hAnsi="GHEA Grapalat"/>
          <w:bCs/>
          <w:lang w:val="hy-AM"/>
        </w:rPr>
      </w:pPr>
      <w:r w:rsidRPr="00AB6BFE">
        <w:rPr>
          <w:rFonts w:ascii="GHEA Grapalat" w:hAnsi="GHEA Grapalat"/>
          <w:bCs/>
          <w:lang w:val="hy-AM"/>
        </w:rPr>
        <w:t>Նախորդ հաշվետվության համեմատ, էականորեն նվազել է տվյալ ծրագրի ռիսկի նյութականացման հավանականությունը և հարկաբյուջետային ռիսկի կարգավիճակը գնահատվում է «ցածր»։</w:t>
      </w:r>
    </w:p>
    <w:p w14:paraId="3D975248" w14:textId="77777777" w:rsidR="00957A78" w:rsidRPr="00AB6BFE" w:rsidRDefault="00957A78" w:rsidP="00957A78">
      <w:pPr>
        <w:tabs>
          <w:tab w:val="left" w:pos="0"/>
        </w:tabs>
        <w:spacing w:after="0"/>
        <w:rPr>
          <w:rFonts w:ascii="GHEA Grapalat" w:hAnsi="GHEA Grapalat"/>
          <w:b/>
          <w:bCs/>
          <w:lang w:val="hy-AM"/>
        </w:rPr>
      </w:pPr>
    </w:p>
    <w:p w14:paraId="713C65E6" w14:textId="77777777" w:rsidR="00957A78" w:rsidRPr="00AB6BFE" w:rsidRDefault="00957A78" w:rsidP="00957A78">
      <w:pPr>
        <w:rPr>
          <w:rFonts w:ascii="GHEA Grapalat" w:eastAsia="Calibri" w:hAnsi="GHEA Grapalat"/>
          <w:bCs/>
          <w:i/>
          <w:iCs/>
          <w:sz w:val="20"/>
          <w:szCs w:val="20"/>
          <w:lang w:val="hy-AM"/>
        </w:rPr>
      </w:pPr>
      <w:r w:rsidRPr="00AB6BFE">
        <w:rPr>
          <w:rFonts w:ascii="GHEA Grapalat" w:eastAsia="Calibri" w:hAnsi="GHEA Grapalat" w:cs="Sylfaen"/>
          <w:b/>
          <w:bCs/>
          <w:i/>
          <w:sz w:val="20"/>
          <w:szCs w:val="20"/>
          <w:lang w:val="hy-AM"/>
        </w:rPr>
        <w:t>Աղյուսակ 7.</w:t>
      </w:r>
      <w:r w:rsidRPr="00AB6BFE">
        <w:rPr>
          <w:rFonts w:ascii="GHEA Grapalat" w:eastAsia="Calibri" w:hAnsi="GHEA Grapalat" w:cs="Sylfaen"/>
          <w:bCs/>
          <w:i/>
          <w:sz w:val="20"/>
          <w:szCs w:val="20"/>
          <w:lang w:val="hy-AM"/>
        </w:rPr>
        <w:t xml:space="preserve"> </w:t>
      </w:r>
      <w:r w:rsidRPr="00AB6BFE">
        <w:rPr>
          <w:rFonts w:ascii="GHEA Grapalat" w:hAnsi="GHEA Grapalat"/>
          <w:bCs/>
          <w:i/>
          <w:sz w:val="20"/>
          <w:szCs w:val="20"/>
          <w:lang w:val="hy-AM"/>
        </w:rPr>
        <w:t xml:space="preserve">ՊՄԳ ծրագրերի գծով պայմանական պարտավորությունների </w:t>
      </w:r>
      <w:r w:rsidRPr="00AB6BFE">
        <w:rPr>
          <w:rFonts w:ascii="GHEA Grapalat" w:eastAsia="Calibri" w:hAnsi="GHEA Grapalat" w:cs="Sylfaen"/>
          <w:bCs/>
          <w:i/>
          <w:sz w:val="20"/>
          <w:szCs w:val="20"/>
          <w:lang w:val="hy-AM"/>
        </w:rPr>
        <w:t>ամփոփ հաշվարկ, 2024թ</w:t>
      </w:r>
      <w:r w:rsidRPr="00AB6BFE">
        <w:rPr>
          <w:rFonts w:ascii="Cambria Math" w:eastAsia="Calibri" w:hAnsi="Cambria Math" w:cs="Cambria Math"/>
          <w:bCs/>
          <w:i/>
          <w:sz w:val="20"/>
          <w:szCs w:val="20"/>
          <w:lang w:val="hy-AM"/>
        </w:rPr>
        <w:t>․</w:t>
      </w:r>
      <w:r w:rsidRPr="00AB6BFE">
        <w:rPr>
          <w:rFonts w:ascii="GHEA Grapalat" w:eastAsia="Calibri" w:hAnsi="GHEA Grapalat" w:cs="Sylfaen"/>
          <w:bCs/>
          <w:i/>
          <w:sz w:val="20"/>
          <w:szCs w:val="20"/>
          <w:lang w:val="hy-AM"/>
        </w:rPr>
        <w:t>, (</w:t>
      </w:r>
      <w:r w:rsidRPr="00AB6BFE">
        <w:rPr>
          <w:rFonts w:ascii="GHEA Grapalat" w:eastAsia="Calibri" w:hAnsi="GHEA Grapalat"/>
          <w:bCs/>
          <w:i/>
          <w:iCs/>
          <w:sz w:val="20"/>
          <w:szCs w:val="20"/>
          <w:lang w:val="hy-AM"/>
        </w:rPr>
        <w:t>մլրդ ՀՀ դրամ)</w:t>
      </w:r>
    </w:p>
    <w:tbl>
      <w:tblPr>
        <w:tblW w:w="9857" w:type="dxa"/>
        <w:jc w:val="center"/>
        <w:tblBorders>
          <w:top w:val="single" w:sz="4" w:space="0" w:color="E1E1E3" w:themeColor="accent3" w:themeTint="33"/>
          <w:left w:val="single" w:sz="4" w:space="0" w:color="E1E1E3" w:themeColor="accent3" w:themeTint="33"/>
          <w:bottom w:val="single" w:sz="4" w:space="0" w:color="E1E1E3" w:themeColor="accent3" w:themeTint="33"/>
          <w:right w:val="single" w:sz="4" w:space="0" w:color="E1E1E3" w:themeColor="accent3" w:themeTint="33"/>
          <w:insideH w:val="single" w:sz="4" w:space="0" w:color="E1E1E3" w:themeColor="accent3" w:themeTint="33"/>
          <w:insideV w:val="single" w:sz="4" w:space="0" w:color="E1E1E3" w:themeColor="accent3" w:themeTint="33"/>
        </w:tblBorders>
        <w:tblLook w:val="04E0" w:firstRow="1" w:lastRow="1" w:firstColumn="1" w:lastColumn="0" w:noHBand="0" w:noVBand="1"/>
      </w:tblPr>
      <w:tblGrid>
        <w:gridCol w:w="4993"/>
        <w:gridCol w:w="1083"/>
        <w:gridCol w:w="1334"/>
        <w:gridCol w:w="1188"/>
        <w:gridCol w:w="1259"/>
      </w:tblGrid>
      <w:tr w:rsidR="00957A78" w:rsidRPr="00AB6BFE" w14:paraId="4E177413" w14:textId="77777777" w:rsidTr="00A72B0A">
        <w:trPr>
          <w:trHeight w:val="576"/>
          <w:jc w:val="center"/>
        </w:trPr>
        <w:tc>
          <w:tcPr>
            <w:tcW w:w="5040" w:type="dxa"/>
            <w:shd w:val="clear" w:color="auto" w:fill="D5DCE4" w:themeFill="text2" w:themeFillTint="33"/>
            <w:vAlign w:val="center"/>
            <w:hideMark/>
          </w:tcPr>
          <w:p w14:paraId="351E2F47" w14:textId="77777777" w:rsidR="00957A78" w:rsidRPr="00AB6BFE" w:rsidRDefault="00957A78" w:rsidP="00A72B0A">
            <w:pPr>
              <w:spacing w:before="0" w:after="0" w:line="240" w:lineRule="auto"/>
              <w:ind w:right="345"/>
              <w:rPr>
                <w:rFonts w:ascii="GHEA Grapalat" w:hAnsi="GHEA Grapalat"/>
                <w:b/>
                <w:color w:val="35363A" w:themeColor="accent3" w:themeShade="80"/>
                <w:sz w:val="18"/>
                <w:szCs w:val="18"/>
                <w:lang w:val="hy-AM"/>
              </w:rPr>
            </w:pPr>
            <w:r w:rsidRPr="00AB6BFE">
              <w:rPr>
                <w:rFonts w:ascii="GHEA Grapalat" w:hAnsi="GHEA Grapalat"/>
                <w:b/>
                <w:color w:val="35363A" w:themeColor="accent3" w:themeShade="80"/>
                <w:sz w:val="18"/>
                <w:szCs w:val="18"/>
              </w:rPr>
              <w:t>Ծրագրի անվանում</w:t>
            </w:r>
          </w:p>
        </w:tc>
        <w:tc>
          <w:tcPr>
            <w:tcW w:w="1092" w:type="dxa"/>
            <w:shd w:val="clear" w:color="auto" w:fill="D5DCE4" w:themeFill="text2" w:themeFillTint="33"/>
            <w:vAlign w:val="center"/>
            <w:hideMark/>
          </w:tcPr>
          <w:p w14:paraId="6208810C" w14:textId="77777777" w:rsidR="00957A78" w:rsidRPr="00AB6BFE" w:rsidRDefault="00957A78" w:rsidP="00A72B0A">
            <w:pPr>
              <w:spacing w:before="0" w:after="0" w:line="240" w:lineRule="auto"/>
              <w:rPr>
                <w:rFonts w:ascii="GHEA Grapalat" w:hAnsi="GHEA Grapalat"/>
                <w:b/>
                <w:color w:val="35363A" w:themeColor="accent3" w:themeShade="80"/>
                <w:sz w:val="18"/>
                <w:szCs w:val="18"/>
              </w:rPr>
            </w:pPr>
            <w:r w:rsidRPr="00AB6BFE">
              <w:rPr>
                <w:rFonts w:ascii="GHEA Grapalat" w:hAnsi="GHEA Grapalat"/>
                <w:b/>
                <w:color w:val="35363A" w:themeColor="accent3" w:themeShade="80"/>
                <w:sz w:val="18"/>
                <w:szCs w:val="18"/>
              </w:rPr>
              <w:t>Այլ ՊՊ</w:t>
            </w:r>
          </w:p>
        </w:tc>
        <w:tc>
          <w:tcPr>
            <w:tcW w:w="1334" w:type="dxa"/>
            <w:shd w:val="clear" w:color="auto" w:fill="D5DCE4" w:themeFill="text2" w:themeFillTint="33"/>
            <w:vAlign w:val="center"/>
            <w:hideMark/>
          </w:tcPr>
          <w:p w14:paraId="7B4B836B" w14:textId="77777777" w:rsidR="00957A78" w:rsidRPr="00AB6BFE" w:rsidRDefault="00957A78" w:rsidP="00A72B0A">
            <w:pPr>
              <w:spacing w:before="0" w:after="0" w:line="240" w:lineRule="auto"/>
              <w:jc w:val="center"/>
              <w:rPr>
                <w:rFonts w:ascii="GHEA Grapalat" w:hAnsi="GHEA Grapalat"/>
                <w:b/>
                <w:color w:val="35363A" w:themeColor="accent3" w:themeShade="80"/>
                <w:sz w:val="18"/>
                <w:szCs w:val="18"/>
              </w:rPr>
            </w:pPr>
            <w:r w:rsidRPr="00AB6BFE">
              <w:rPr>
                <w:rFonts w:ascii="GHEA Grapalat" w:hAnsi="GHEA Grapalat"/>
                <w:b/>
                <w:color w:val="35363A" w:themeColor="accent3" w:themeShade="80"/>
                <w:sz w:val="18"/>
                <w:szCs w:val="18"/>
              </w:rPr>
              <w:t>Վաղաժամ դադարեցում</w:t>
            </w:r>
          </w:p>
        </w:tc>
        <w:tc>
          <w:tcPr>
            <w:tcW w:w="1188" w:type="dxa"/>
            <w:shd w:val="clear" w:color="auto" w:fill="D5DCE4" w:themeFill="text2" w:themeFillTint="33"/>
            <w:vAlign w:val="center"/>
            <w:hideMark/>
          </w:tcPr>
          <w:p w14:paraId="1AFDACD0" w14:textId="77777777" w:rsidR="00957A78" w:rsidRPr="00AB6BFE" w:rsidRDefault="00957A78" w:rsidP="00A72B0A">
            <w:pPr>
              <w:spacing w:before="0" w:after="0" w:line="240" w:lineRule="auto"/>
              <w:jc w:val="center"/>
              <w:rPr>
                <w:rFonts w:ascii="GHEA Grapalat" w:hAnsi="GHEA Grapalat"/>
                <w:b/>
                <w:color w:val="35363A" w:themeColor="accent3" w:themeShade="80"/>
                <w:sz w:val="18"/>
                <w:szCs w:val="18"/>
              </w:rPr>
            </w:pPr>
            <w:r w:rsidRPr="00AB6BFE">
              <w:rPr>
                <w:rFonts w:ascii="GHEA Grapalat" w:hAnsi="GHEA Grapalat"/>
                <w:b/>
                <w:color w:val="35363A" w:themeColor="accent3" w:themeShade="80"/>
                <w:sz w:val="18"/>
                <w:szCs w:val="18"/>
              </w:rPr>
              <w:t>Ընդհանուր ՊՊ</w:t>
            </w:r>
          </w:p>
        </w:tc>
        <w:tc>
          <w:tcPr>
            <w:tcW w:w="1203" w:type="dxa"/>
            <w:shd w:val="clear" w:color="auto" w:fill="D5DCE4" w:themeFill="text2" w:themeFillTint="33"/>
            <w:vAlign w:val="center"/>
            <w:hideMark/>
          </w:tcPr>
          <w:p w14:paraId="10DB74AB" w14:textId="77777777" w:rsidR="00957A78" w:rsidRPr="00AB6BFE" w:rsidRDefault="00957A78" w:rsidP="00A72B0A">
            <w:pPr>
              <w:spacing w:before="0" w:after="0" w:line="240" w:lineRule="auto"/>
              <w:jc w:val="center"/>
              <w:rPr>
                <w:rFonts w:ascii="GHEA Grapalat" w:hAnsi="GHEA Grapalat"/>
                <w:b/>
                <w:color w:val="35363A" w:themeColor="accent3" w:themeShade="80"/>
                <w:sz w:val="18"/>
                <w:szCs w:val="18"/>
              </w:rPr>
            </w:pPr>
            <w:r w:rsidRPr="00AB6BFE">
              <w:rPr>
                <w:rFonts w:ascii="GHEA Grapalat" w:hAnsi="GHEA Grapalat"/>
                <w:b/>
                <w:color w:val="35363A" w:themeColor="accent3" w:themeShade="80"/>
                <w:sz w:val="18"/>
                <w:szCs w:val="18"/>
              </w:rPr>
              <w:t>ՀՆԱ նկատմամբ</w:t>
            </w:r>
            <w:r w:rsidRPr="00AB6BFE">
              <w:rPr>
                <w:rFonts w:ascii="GHEA Grapalat" w:hAnsi="GHEA Grapalat"/>
                <w:b/>
                <w:color w:val="35363A" w:themeColor="accent3" w:themeShade="80"/>
                <w:sz w:val="18"/>
                <w:szCs w:val="18"/>
                <w:lang w:val="ru-RU"/>
              </w:rPr>
              <w:t xml:space="preserve">, </w:t>
            </w:r>
            <w:r w:rsidRPr="00AB6BFE">
              <w:rPr>
                <w:rFonts w:ascii="GHEA Grapalat" w:hAnsi="GHEA Grapalat"/>
                <w:b/>
                <w:color w:val="35363A" w:themeColor="accent3" w:themeShade="80"/>
                <w:sz w:val="18"/>
                <w:szCs w:val="18"/>
              </w:rPr>
              <w:t>%</w:t>
            </w:r>
          </w:p>
        </w:tc>
      </w:tr>
      <w:tr w:rsidR="00957A78" w:rsidRPr="00AB6BFE" w14:paraId="47D6C939" w14:textId="77777777" w:rsidTr="00A72B0A">
        <w:trPr>
          <w:trHeight w:val="432"/>
          <w:jc w:val="center"/>
        </w:trPr>
        <w:tc>
          <w:tcPr>
            <w:tcW w:w="5040" w:type="dxa"/>
            <w:vAlign w:val="center"/>
            <w:hideMark/>
          </w:tcPr>
          <w:p w14:paraId="74CCE054" w14:textId="77777777" w:rsidR="00957A78" w:rsidRPr="00AB6BFE" w:rsidRDefault="00957A78" w:rsidP="00A72B0A">
            <w:pPr>
              <w:spacing w:before="0" w:after="0" w:line="240" w:lineRule="auto"/>
              <w:ind w:right="345"/>
              <w:rPr>
                <w:rFonts w:ascii="GHEA Grapalat" w:hAnsi="GHEA Grapalat"/>
                <w:sz w:val="18"/>
                <w:szCs w:val="18"/>
              </w:rPr>
            </w:pPr>
            <w:r w:rsidRPr="00AB6BFE">
              <w:rPr>
                <w:rFonts w:ascii="GHEA Grapalat" w:hAnsi="GHEA Grapalat"/>
                <w:sz w:val="18"/>
                <w:szCs w:val="18"/>
              </w:rPr>
              <w:t>«Հարավկովկասյան երկաթուղի» ՓԲԸ</w:t>
            </w:r>
          </w:p>
        </w:tc>
        <w:tc>
          <w:tcPr>
            <w:tcW w:w="1092" w:type="dxa"/>
            <w:vAlign w:val="center"/>
          </w:tcPr>
          <w:p w14:paraId="72C6F824" w14:textId="77777777" w:rsidR="00957A78" w:rsidRPr="00AB6BFE" w:rsidRDefault="00957A78" w:rsidP="00A72B0A">
            <w:pPr>
              <w:spacing w:before="0" w:after="0" w:line="240" w:lineRule="auto"/>
              <w:jc w:val="center"/>
              <w:rPr>
                <w:rFonts w:ascii="GHEA Grapalat" w:hAnsi="GHEA Grapalat"/>
                <w:sz w:val="18"/>
                <w:szCs w:val="18"/>
              </w:rPr>
            </w:pPr>
          </w:p>
        </w:tc>
        <w:tc>
          <w:tcPr>
            <w:tcW w:w="1334" w:type="dxa"/>
            <w:vAlign w:val="center"/>
            <w:hideMark/>
          </w:tcPr>
          <w:p w14:paraId="562A6035" w14:textId="77777777" w:rsidR="00957A78" w:rsidRPr="00AB6BFE" w:rsidRDefault="00957A78" w:rsidP="00A72B0A">
            <w:pPr>
              <w:spacing w:before="0" w:after="0" w:line="240" w:lineRule="auto"/>
              <w:jc w:val="center"/>
              <w:rPr>
                <w:rFonts w:ascii="GHEA Grapalat" w:hAnsi="GHEA Grapalat"/>
                <w:sz w:val="18"/>
                <w:szCs w:val="18"/>
              </w:rPr>
            </w:pPr>
            <w:r w:rsidRPr="00AB6BFE">
              <w:rPr>
                <w:rFonts w:ascii="GHEA Grapalat" w:hAnsi="GHEA Grapalat"/>
                <w:sz w:val="18"/>
                <w:szCs w:val="18"/>
              </w:rPr>
              <w:t>103</w:t>
            </w:r>
          </w:p>
        </w:tc>
        <w:tc>
          <w:tcPr>
            <w:tcW w:w="1188" w:type="dxa"/>
            <w:vAlign w:val="center"/>
            <w:hideMark/>
          </w:tcPr>
          <w:p w14:paraId="32B9B715" w14:textId="77777777" w:rsidR="00957A78" w:rsidRPr="00AB6BFE" w:rsidRDefault="00957A78" w:rsidP="00A72B0A">
            <w:pPr>
              <w:spacing w:before="0" w:after="0" w:line="240" w:lineRule="auto"/>
              <w:jc w:val="center"/>
              <w:rPr>
                <w:rFonts w:ascii="GHEA Grapalat" w:hAnsi="GHEA Grapalat"/>
                <w:sz w:val="18"/>
                <w:szCs w:val="18"/>
              </w:rPr>
            </w:pPr>
            <w:r w:rsidRPr="00AB6BFE">
              <w:rPr>
                <w:rFonts w:ascii="GHEA Grapalat" w:hAnsi="GHEA Grapalat"/>
                <w:sz w:val="18"/>
                <w:szCs w:val="18"/>
              </w:rPr>
              <w:t>103</w:t>
            </w:r>
          </w:p>
        </w:tc>
        <w:tc>
          <w:tcPr>
            <w:tcW w:w="1203" w:type="dxa"/>
            <w:vAlign w:val="center"/>
            <w:hideMark/>
          </w:tcPr>
          <w:p w14:paraId="19B174B3" w14:textId="77777777" w:rsidR="00957A78" w:rsidRPr="00AB6BFE" w:rsidRDefault="00957A78" w:rsidP="00A72B0A">
            <w:pPr>
              <w:spacing w:before="0" w:after="0" w:line="240" w:lineRule="auto"/>
              <w:jc w:val="center"/>
              <w:rPr>
                <w:rFonts w:ascii="GHEA Grapalat" w:hAnsi="GHEA Grapalat"/>
                <w:sz w:val="18"/>
                <w:szCs w:val="18"/>
              </w:rPr>
            </w:pPr>
            <w:r w:rsidRPr="00AB6BFE">
              <w:rPr>
                <w:rFonts w:ascii="GHEA Grapalat" w:hAnsi="GHEA Grapalat"/>
                <w:sz w:val="18"/>
                <w:szCs w:val="18"/>
              </w:rPr>
              <w:t>1.0</w:t>
            </w:r>
          </w:p>
        </w:tc>
      </w:tr>
      <w:tr w:rsidR="00957A78" w:rsidRPr="00AB6BFE" w14:paraId="1A933E2C" w14:textId="77777777" w:rsidTr="00A72B0A">
        <w:trPr>
          <w:trHeight w:val="432"/>
          <w:jc w:val="center"/>
        </w:trPr>
        <w:tc>
          <w:tcPr>
            <w:tcW w:w="5040" w:type="dxa"/>
            <w:vAlign w:val="center"/>
            <w:hideMark/>
          </w:tcPr>
          <w:p w14:paraId="15F27384" w14:textId="77777777" w:rsidR="00957A78" w:rsidRPr="00AB6BFE" w:rsidRDefault="00957A78" w:rsidP="00A72B0A">
            <w:pPr>
              <w:spacing w:before="0" w:after="0" w:line="240" w:lineRule="auto"/>
              <w:ind w:right="345"/>
              <w:rPr>
                <w:rFonts w:ascii="GHEA Grapalat" w:hAnsi="GHEA Grapalat"/>
                <w:sz w:val="18"/>
                <w:szCs w:val="18"/>
              </w:rPr>
            </w:pPr>
            <w:r w:rsidRPr="00AB6BFE">
              <w:rPr>
                <w:rFonts w:ascii="GHEA Grapalat" w:hAnsi="GHEA Grapalat"/>
                <w:sz w:val="18"/>
                <w:szCs w:val="18"/>
              </w:rPr>
              <w:t>«Վեոլիա Ջուր» ՓԲԸ</w:t>
            </w:r>
          </w:p>
        </w:tc>
        <w:tc>
          <w:tcPr>
            <w:tcW w:w="1092" w:type="dxa"/>
            <w:vAlign w:val="center"/>
          </w:tcPr>
          <w:p w14:paraId="11464056" w14:textId="77777777" w:rsidR="00957A78" w:rsidRPr="00AB6BFE" w:rsidRDefault="00957A78" w:rsidP="00A72B0A">
            <w:pPr>
              <w:spacing w:before="0" w:after="0" w:line="240" w:lineRule="auto"/>
              <w:jc w:val="center"/>
              <w:rPr>
                <w:rFonts w:ascii="GHEA Grapalat" w:hAnsi="GHEA Grapalat"/>
                <w:sz w:val="18"/>
                <w:szCs w:val="18"/>
                <w:lang w:val="ru-RU"/>
              </w:rPr>
            </w:pPr>
          </w:p>
        </w:tc>
        <w:tc>
          <w:tcPr>
            <w:tcW w:w="1334" w:type="dxa"/>
            <w:vAlign w:val="center"/>
            <w:hideMark/>
          </w:tcPr>
          <w:p w14:paraId="4F1ECB41" w14:textId="77777777" w:rsidR="00957A78" w:rsidRPr="00AB6BFE" w:rsidRDefault="00957A78" w:rsidP="00A72B0A">
            <w:pPr>
              <w:spacing w:before="0" w:after="0" w:line="240" w:lineRule="auto"/>
              <w:jc w:val="center"/>
              <w:rPr>
                <w:rFonts w:ascii="GHEA Grapalat" w:hAnsi="GHEA Grapalat"/>
                <w:sz w:val="18"/>
                <w:szCs w:val="18"/>
                <w:lang w:val="ru-RU"/>
              </w:rPr>
            </w:pPr>
            <w:r w:rsidRPr="00AB6BFE">
              <w:rPr>
                <w:rFonts w:ascii="GHEA Grapalat" w:hAnsi="GHEA Grapalat"/>
                <w:sz w:val="18"/>
                <w:szCs w:val="18"/>
                <w:lang w:val="ru-RU"/>
              </w:rPr>
              <w:t>45</w:t>
            </w:r>
          </w:p>
        </w:tc>
        <w:tc>
          <w:tcPr>
            <w:tcW w:w="1188" w:type="dxa"/>
            <w:vAlign w:val="center"/>
            <w:hideMark/>
          </w:tcPr>
          <w:p w14:paraId="6B68564D" w14:textId="77777777" w:rsidR="00957A78" w:rsidRPr="00AB6BFE" w:rsidRDefault="00957A78" w:rsidP="00A72B0A">
            <w:pPr>
              <w:spacing w:before="0" w:after="0" w:line="240" w:lineRule="auto"/>
              <w:jc w:val="center"/>
              <w:rPr>
                <w:rFonts w:ascii="GHEA Grapalat" w:hAnsi="GHEA Grapalat"/>
                <w:sz w:val="18"/>
                <w:szCs w:val="18"/>
              </w:rPr>
            </w:pPr>
            <w:r w:rsidRPr="00AB6BFE">
              <w:rPr>
                <w:rFonts w:ascii="GHEA Grapalat" w:hAnsi="GHEA Grapalat"/>
                <w:sz w:val="18"/>
                <w:szCs w:val="18"/>
              </w:rPr>
              <w:t>45</w:t>
            </w:r>
          </w:p>
        </w:tc>
        <w:tc>
          <w:tcPr>
            <w:tcW w:w="1203" w:type="dxa"/>
            <w:vAlign w:val="center"/>
            <w:hideMark/>
          </w:tcPr>
          <w:p w14:paraId="1CC3B213" w14:textId="77777777" w:rsidR="00957A78" w:rsidRPr="00AB6BFE" w:rsidRDefault="00957A78" w:rsidP="00A72B0A">
            <w:pPr>
              <w:spacing w:before="0" w:after="0" w:line="240" w:lineRule="auto"/>
              <w:jc w:val="center"/>
              <w:rPr>
                <w:rFonts w:ascii="GHEA Grapalat" w:hAnsi="GHEA Grapalat"/>
                <w:sz w:val="18"/>
                <w:szCs w:val="18"/>
              </w:rPr>
            </w:pPr>
            <w:r w:rsidRPr="00AB6BFE">
              <w:rPr>
                <w:rFonts w:ascii="GHEA Grapalat" w:hAnsi="GHEA Grapalat"/>
                <w:sz w:val="18"/>
                <w:szCs w:val="18"/>
              </w:rPr>
              <w:t>0.4</w:t>
            </w:r>
          </w:p>
        </w:tc>
      </w:tr>
      <w:tr w:rsidR="00957A78" w:rsidRPr="00AB6BFE" w14:paraId="6D3537C8" w14:textId="77777777" w:rsidTr="00A72B0A">
        <w:trPr>
          <w:trHeight w:val="432"/>
          <w:jc w:val="center"/>
        </w:trPr>
        <w:tc>
          <w:tcPr>
            <w:tcW w:w="5040" w:type="dxa"/>
            <w:vAlign w:val="center"/>
            <w:hideMark/>
          </w:tcPr>
          <w:p w14:paraId="1DC4EB76" w14:textId="77777777" w:rsidR="00957A78" w:rsidRPr="00AB6BFE" w:rsidRDefault="00957A78" w:rsidP="00A72B0A">
            <w:pPr>
              <w:spacing w:before="0" w:after="0" w:line="240" w:lineRule="auto"/>
              <w:ind w:right="345"/>
              <w:rPr>
                <w:rFonts w:ascii="GHEA Grapalat" w:hAnsi="GHEA Grapalat"/>
                <w:sz w:val="18"/>
                <w:szCs w:val="18"/>
                <w:lang w:val="hy-AM"/>
              </w:rPr>
            </w:pPr>
            <w:r w:rsidRPr="00AB6BFE">
              <w:rPr>
                <w:rFonts w:ascii="GHEA Grapalat" w:hAnsi="GHEA Grapalat"/>
                <w:sz w:val="18"/>
                <w:szCs w:val="18"/>
              </w:rPr>
              <w:t>«Արմենիա միջազգային օդանավակայաններ» ՓԲԸ</w:t>
            </w:r>
          </w:p>
        </w:tc>
        <w:tc>
          <w:tcPr>
            <w:tcW w:w="1092" w:type="dxa"/>
            <w:vAlign w:val="center"/>
            <w:hideMark/>
          </w:tcPr>
          <w:p w14:paraId="2689E0AA" w14:textId="77777777" w:rsidR="00957A78" w:rsidRPr="00AB6BFE" w:rsidRDefault="00957A78" w:rsidP="00A72B0A">
            <w:pPr>
              <w:spacing w:before="0" w:after="0" w:line="240" w:lineRule="auto"/>
              <w:jc w:val="center"/>
              <w:rPr>
                <w:rFonts w:ascii="GHEA Grapalat" w:hAnsi="GHEA Grapalat"/>
                <w:sz w:val="18"/>
                <w:szCs w:val="18"/>
              </w:rPr>
            </w:pPr>
          </w:p>
        </w:tc>
        <w:tc>
          <w:tcPr>
            <w:tcW w:w="1334" w:type="dxa"/>
            <w:vAlign w:val="center"/>
            <w:hideMark/>
          </w:tcPr>
          <w:p w14:paraId="127CA896" w14:textId="77777777" w:rsidR="00957A78" w:rsidRPr="00AB6BFE" w:rsidRDefault="00957A78" w:rsidP="00A72B0A">
            <w:pPr>
              <w:spacing w:before="0" w:after="0" w:line="240" w:lineRule="auto"/>
              <w:jc w:val="center"/>
              <w:rPr>
                <w:rFonts w:ascii="GHEA Grapalat" w:hAnsi="GHEA Grapalat"/>
                <w:sz w:val="18"/>
                <w:szCs w:val="18"/>
              </w:rPr>
            </w:pPr>
            <w:r w:rsidRPr="00AB6BFE">
              <w:rPr>
                <w:rFonts w:ascii="GHEA Grapalat" w:hAnsi="GHEA Grapalat"/>
                <w:sz w:val="18"/>
                <w:szCs w:val="18"/>
              </w:rPr>
              <w:t>215</w:t>
            </w:r>
          </w:p>
        </w:tc>
        <w:tc>
          <w:tcPr>
            <w:tcW w:w="1188" w:type="dxa"/>
            <w:vAlign w:val="center"/>
            <w:hideMark/>
          </w:tcPr>
          <w:p w14:paraId="535C3944" w14:textId="77777777" w:rsidR="00957A78" w:rsidRPr="00AB6BFE" w:rsidRDefault="00957A78" w:rsidP="00A72B0A">
            <w:pPr>
              <w:spacing w:before="0" w:after="0" w:line="240" w:lineRule="auto"/>
              <w:jc w:val="center"/>
              <w:rPr>
                <w:rFonts w:ascii="GHEA Grapalat" w:hAnsi="GHEA Grapalat"/>
                <w:sz w:val="18"/>
                <w:szCs w:val="18"/>
              </w:rPr>
            </w:pPr>
            <w:r w:rsidRPr="00AB6BFE">
              <w:rPr>
                <w:rFonts w:ascii="GHEA Grapalat" w:hAnsi="GHEA Grapalat"/>
                <w:sz w:val="18"/>
                <w:szCs w:val="18"/>
              </w:rPr>
              <w:t>215</w:t>
            </w:r>
          </w:p>
        </w:tc>
        <w:tc>
          <w:tcPr>
            <w:tcW w:w="1203" w:type="dxa"/>
            <w:vAlign w:val="center"/>
            <w:hideMark/>
          </w:tcPr>
          <w:p w14:paraId="140DB714" w14:textId="77777777" w:rsidR="00957A78" w:rsidRPr="00AB6BFE" w:rsidRDefault="00957A78" w:rsidP="00A72B0A">
            <w:pPr>
              <w:spacing w:before="0" w:after="0" w:line="240" w:lineRule="auto"/>
              <w:jc w:val="center"/>
              <w:rPr>
                <w:rFonts w:ascii="GHEA Grapalat" w:hAnsi="GHEA Grapalat"/>
                <w:sz w:val="18"/>
                <w:szCs w:val="18"/>
              </w:rPr>
            </w:pPr>
            <w:r w:rsidRPr="00AB6BFE">
              <w:rPr>
                <w:rFonts w:ascii="GHEA Grapalat" w:hAnsi="GHEA Grapalat"/>
                <w:sz w:val="18"/>
                <w:szCs w:val="18"/>
              </w:rPr>
              <w:t>2.1</w:t>
            </w:r>
          </w:p>
        </w:tc>
      </w:tr>
      <w:tr w:rsidR="00957A78" w:rsidRPr="00AB6BFE" w14:paraId="23C17480" w14:textId="77777777" w:rsidTr="00A72B0A">
        <w:trPr>
          <w:trHeight w:val="432"/>
          <w:jc w:val="center"/>
        </w:trPr>
        <w:tc>
          <w:tcPr>
            <w:tcW w:w="5040" w:type="dxa"/>
            <w:vAlign w:val="center"/>
            <w:hideMark/>
          </w:tcPr>
          <w:p w14:paraId="2DA9D25E" w14:textId="77777777" w:rsidR="00957A78" w:rsidRPr="00AB6BFE" w:rsidRDefault="00957A78" w:rsidP="00A72B0A">
            <w:pPr>
              <w:spacing w:before="0" w:after="0" w:line="240" w:lineRule="auto"/>
              <w:ind w:right="345"/>
              <w:rPr>
                <w:rFonts w:ascii="GHEA Grapalat" w:hAnsi="GHEA Grapalat"/>
                <w:sz w:val="18"/>
                <w:szCs w:val="18"/>
                <w:lang w:val="hy-AM"/>
              </w:rPr>
            </w:pPr>
            <w:r w:rsidRPr="00AB6BFE">
              <w:rPr>
                <w:rFonts w:ascii="GHEA Grapalat" w:hAnsi="GHEA Grapalat"/>
                <w:sz w:val="18"/>
                <w:szCs w:val="18"/>
              </w:rPr>
              <w:t>«Քոնթուր Գլոբալ հիդրո կասկադ» ՓԲԸ</w:t>
            </w:r>
          </w:p>
        </w:tc>
        <w:tc>
          <w:tcPr>
            <w:tcW w:w="1092" w:type="dxa"/>
            <w:vAlign w:val="center"/>
          </w:tcPr>
          <w:p w14:paraId="66F82A66" w14:textId="77777777" w:rsidR="00957A78" w:rsidRPr="00AB6BFE" w:rsidRDefault="00957A78" w:rsidP="00A72B0A">
            <w:pPr>
              <w:spacing w:before="0" w:after="0" w:line="240" w:lineRule="auto"/>
              <w:jc w:val="center"/>
              <w:rPr>
                <w:rFonts w:ascii="GHEA Grapalat" w:hAnsi="GHEA Grapalat"/>
                <w:sz w:val="18"/>
                <w:szCs w:val="18"/>
              </w:rPr>
            </w:pPr>
          </w:p>
        </w:tc>
        <w:tc>
          <w:tcPr>
            <w:tcW w:w="1334" w:type="dxa"/>
            <w:vAlign w:val="center"/>
            <w:hideMark/>
          </w:tcPr>
          <w:p w14:paraId="597F8B7B" w14:textId="77777777" w:rsidR="00957A78" w:rsidRPr="00AB6BFE" w:rsidRDefault="00957A78" w:rsidP="00A72B0A">
            <w:pPr>
              <w:spacing w:before="0" w:after="0" w:line="240" w:lineRule="auto"/>
              <w:jc w:val="center"/>
              <w:rPr>
                <w:rFonts w:ascii="GHEA Grapalat" w:hAnsi="GHEA Grapalat"/>
                <w:sz w:val="18"/>
                <w:szCs w:val="18"/>
              </w:rPr>
            </w:pPr>
            <w:r w:rsidRPr="00AB6BFE">
              <w:rPr>
                <w:rFonts w:ascii="GHEA Grapalat" w:hAnsi="GHEA Grapalat"/>
                <w:sz w:val="18"/>
                <w:szCs w:val="18"/>
              </w:rPr>
              <w:t>98</w:t>
            </w:r>
          </w:p>
        </w:tc>
        <w:tc>
          <w:tcPr>
            <w:tcW w:w="1188" w:type="dxa"/>
            <w:vAlign w:val="center"/>
            <w:hideMark/>
          </w:tcPr>
          <w:p w14:paraId="0D16D444" w14:textId="77777777" w:rsidR="00957A78" w:rsidRPr="00AB6BFE" w:rsidRDefault="00957A78" w:rsidP="00A72B0A">
            <w:pPr>
              <w:spacing w:before="0" w:after="0" w:line="240" w:lineRule="auto"/>
              <w:jc w:val="center"/>
              <w:rPr>
                <w:rFonts w:ascii="GHEA Grapalat" w:hAnsi="GHEA Grapalat"/>
                <w:sz w:val="18"/>
                <w:szCs w:val="18"/>
              </w:rPr>
            </w:pPr>
            <w:r w:rsidRPr="00AB6BFE">
              <w:rPr>
                <w:rFonts w:ascii="GHEA Grapalat" w:hAnsi="GHEA Grapalat"/>
                <w:sz w:val="18"/>
                <w:szCs w:val="18"/>
              </w:rPr>
              <w:t>98</w:t>
            </w:r>
          </w:p>
        </w:tc>
        <w:tc>
          <w:tcPr>
            <w:tcW w:w="1203" w:type="dxa"/>
            <w:vAlign w:val="center"/>
            <w:hideMark/>
          </w:tcPr>
          <w:p w14:paraId="3FD9DB5E" w14:textId="77777777" w:rsidR="00957A78" w:rsidRPr="00AB6BFE" w:rsidRDefault="00957A78" w:rsidP="00A72B0A">
            <w:pPr>
              <w:spacing w:before="0" w:after="0" w:line="240" w:lineRule="auto"/>
              <w:jc w:val="center"/>
              <w:rPr>
                <w:rFonts w:ascii="GHEA Grapalat" w:hAnsi="GHEA Grapalat"/>
                <w:sz w:val="18"/>
                <w:szCs w:val="18"/>
              </w:rPr>
            </w:pPr>
            <w:r w:rsidRPr="00AB6BFE">
              <w:rPr>
                <w:rFonts w:ascii="GHEA Grapalat" w:hAnsi="GHEA Grapalat"/>
                <w:sz w:val="18"/>
                <w:szCs w:val="18"/>
              </w:rPr>
              <w:t>1.0</w:t>
            </w:r>
          </w:p>
        </w:tc>
      </w:tr>
      <w:tr w:rsidR="00957A78" w:rsidRPr="00AB6BFE" w14:paraId="2700C933" w14:textId="77777777" w:rsidTr="00A72B0A">
        <w:trPr>
          <w:trHeight w:val="432"/>
          <w:jc w:val="center"/>
        </w:trPr>
        <w:tc>
          <w:tcPr>
            <w:tcW w:w="5040" w:type="dxa"/>
            <w:vAlign w:val="center"/>
            <w:hideMark/>
          </w:tcPr>
          <w:p w14:paraId="4F9F13B0" w14:textId="77777777" w:rsidR="00957A78" w:rsidRPr="00AB6BFE" w:rsidRDefault="00957A78" w:rsidP="00A72B0A">
            <w:pPr>
              <w:spacing w:before="0" w:after="0" w:line="240" w:lineRule="auto"/>
              <w:ind w:right="345"/>
              <w:rPr>
                <w:rFonts w:ascii="GHEA Grapalat" w:hAnsi="GHEA Grapalat"/>
                <w:sz w:val="18"/>
                <w:szCs w:val="18"/>
                <w:lang w:val="hy-AM"/>
              </w:rPr>
            </w:pPr>
            <w:r w:rsidRPr="00AB6BFE">
              <w:rPr>
                <w:rFonts w:ascii="GHEA Grapalat" w:hAnsi="GHEA Grapalat"/>
                <w:sz w:val="18"/>
                <w:szCs w:val="18"/>
              </w:rPr>
              <w:t>«Արմփաուեր» ՓԲԸ</w:t>
            </w:r>
          </w:p>
        </w:tc>
        <w:tc>
          <w:tcPr>
            <w:tcW w:w="1092" w:type="dxa"/>
            <w:vAlign w:val="center"/>
          </w:tcPr>
          <w:p w14:paraId="24C321D4" w14:textId="77777777" w:rsidR="00957A78" w:rsidRPr="00AB6BFE" w:rsidRDefault="00957A78" w:rsidP="00A72B0A">
            <w:pPr>
              <w:spacing w:before="0" w:after="0" w:line="240" w:lineRule="auto"/>
              <w:jc w:val="center"/>
              <w:rPr>
                <w:rFonts w:ascii="GHEA Grapalat" w:hAnsi="GHEA Grapalat"/>
                <w:sz w:val="18"/>
                <w:szCs w:val="18"/>
              </w:rPr>
            </w:pPr>
          </w:p>
        </w:tc>
        <w:tc>
          <w:tcPr>
            <w:tcW w:w="1334" w:type="dxa"/>
            <w:vAlign w:val="center"/>
            <w:hideMark/>
          </w:tcPr>
          <w:p w14:paraId="6CF58227" w14:textId="77777777" w:rsidR="00957A78" w:rsidRPr="00AB6BFE" w:rsidRDefault="00957A78" w:rsidP="00A72B0A">
            <w:pPr>
              <w:spacing w:before="0" w:after="0" w:line="240" w:lineRule="auto"/>
              <w:jc w:val="center"/>
              <w:rPr>
                <w:rFonts w:ascii="GHEA Grapalat" w:hAnsi="GHEA Grapalat"/>
                <w:sz w:val="18"/>
                <w:szCs w:val="18"/>
              </w:rPr>
            </w:pPr>
            <w:r w:rsidRPr="00AB6BFE">
              <w:rPr>
                <w:rFonts w:ascii="GHEA Grapalat" w:hAnsi="GHEA Grapalat"/>
                <w:sz w:val="18"/>
                <w:szCs w:val="18"/>
              </w:rPr>
              <w:t>101</w:t>
            </w:r>
          </w:p>
        </w:tc>
        <w:tc>
          <w:tcPr>
            <w:tcW w:w="1188" w:type="dxa"/>
            <w:vAlign w:val="center"/>
            <w:hideMark/>
          </w:tcPr>
          <w:p w14:paraId="218EFE97" w14:textId="77777777" w:rsidR="00957A78" w:rsidRPr="00AB6BFE" w:rsidRDefault="00957A78" w:rsidP="00A72B0A">
            <w:pPr>
              <w:spacing w:before="0" w:after="0" w:line="240" w:lineRule="auto"/>
              <w:jc w:val="center"/>
              <w:rPr>
                <w:rFonts w:ascii="GHEA Grapalat" w:hAnsi="GHEA Grapalat"/>
                <w:sz w:val="18"/>
                <w:szCs w:val="18"/>
              </w:rPr>
            </w:pPr>
            <w:r w:rsidRPr="00AB6BFE">
              <w:rPr>
                <w:rFonts w:ascii="GHEA Grapalat" w:hAnsi="GHEA Grapalat"/>
                <w:sz w:val="18"/>
                <w:szCs w:val="18"/>
              </w:rPr>
              <w:t>101</w:t>
            </w:r>
          </w:p>
        </w:tc>
        <w:tc>
          <w:tcPr>
            <w:tcW w:w="1203" w:type="dxa"/>
            <w:vAlign w:val="center"/>
            <w:hideMark/>
          </w:tcPr>
          <w:p w14:paraId="05C9BA68" w14:textId="77777777" w:rsidR="00957A78" w:rsidRPr="00AB6BFE" w:rsidRDefault="00957A78" w:rsidP="00A72B0A">
            <w:pPr>
              <w:spacing w:before="0" w:after="0" w:line="240" w:lineRule="auto"/>
              <w:jc w:val="center"/>
              <w:rPr>
                <w:rFonts w:ascii="GHEA Grapalat" w:hAnsi="GHEA Grapalat"/>
                <w:sz w:val="18"/>
                <w:szCs w:val="18"/>
              </w:rPr>
            </w:pPr>
            <w:r w:rsidRPr="00AB6BFE">
              <w:rPr>
                <w:rFonts w:ascii="GHEA Grapalat" w:hAnsi="GHEA Grapalat"/>
                <w:sz w:val="18"/>
                <w:szCs w:val="18"/>
              </w:rPr>
              <w:t>1.0</w:t>
            </w:r>
          </w:p>
        </w:tc>
      </w:tr>
      <w:tr w:rsidR="00957A78" w:rsidRPr="00AB6BFE" w14:paraId="4FD4EC35" w14:textId="77777777" w:rsidTr="00A72B0A">
        <w:trPr>
          <w:trHeight w:val="432"/>
          <w:jc w:val="center"/>
        </w:trPr>
        <w:tc>
          <w:tcPr>
            <w:tcW w:w="5040" w:type="dxa"/>
            <w:vAlign w:val="center"/>
            <w:hideMark/>
          </w:tcPr>
          <w:p w14:paraId="643383D0" w14:textId="77777777" w:rsidR="00957A78" w:rsidRPr="00AB6BFE" w:rsidRDefault="00957A78" w:rsidP="00A72B0A">
            <w:pPr>
              <w:spacing w:before="0" w:after="0" w:line="240" w:lineRule="auto"/>
              <w:ind w:right="345"/>
              <w:rPr>
                <w:rFonts w:ascii="GHEA Grapalat" w:hAnsi="GHEA Grapalat"/>
                <w:sz w:val="18"/>
                <w:szCs w:val="18"/>
                <w:lang w:val="hy-AM"/>
              </w:rPr>
            </w:pPr>
            <w:r w:rsidRPr="00AB6BFE">
              <w:rPr>
                <w:rFonts w:ascii="GHEA Grapalat" w:hAnsi="GHEA Grapalat"/>
                <w:sz w:val="18"/>
                <w:szCs w:val="18"/>
              </w:rPr>
              <w:t>«Էֆարվի Մասրիկ» ՓԲԸ</w:t>
            </w:r>
          </w:p>
        </w:tc>
        <w:tc>
          <w:tcPr>
            <w:tcW w:w="1092" w:type="dxa"/>
            <w:vAlign w:val="center"/>
          </w:tcPr>
          <w:p w14:paraId="2754BE0C" w14:textId="77777777" w:rsidR="00957A78" w:rsidRPr="00AB6BFE" w:rsidRDefault="00957A78" w:rsidP="00A72B0A">
            <w:pPr>
              <w:spacing w:before="0" w:after="0" w:line="240" w:lineRule="auto"/>
              <w:jc w:val="center"/>
              <w:rPr>
                <w:rFonts w:ascii="GHEA Grapalat" w:hAnsi="GHEA Grapalat"/>
                <w:sz w:val="18"/>
                <w:szCs w:val="18"/>
              </w:rPr>
            </w:pPr>
          </w:p>
        </w:tc>
        <w:tc>
          <w:tcPr>
            <w:tcW w:w="1334" w:type="dxa"/>
            <w:vAlign w:val="center"/>
            <w:hideMark/>
          </w:tcPr>
          <w:p w14:paraId="790B9305" w14:textId="77777777" w:rsidR="00957A78" w:rsidRPr="00AB6BFE" w:rsidRDefault="00957A78" w:rsidP="00A72B0A">
            <w:pPr>
              <w:spacing w:before="0" w:after="0" w:line="240" w:lineRule="auto"/>
              <w:jc w:val="center"/>
              <w:rPr>
                <w:rFonts w:ascii="GHEA Grapalat" w:hAnsi="GHEA Grapalat"/>
                <w:sz w:val="18"/>
                <w:szCs w:val="18"/>
              </w:rPr>
            </w:pPr>
            <w:r w:rsidRPr="00AB6BFE">
              <w:rPr>
                <w:rFonts w:ascii="GHEA Grapalat" w:hAnsi="GHEA Grapalat"/>
                <w:sz w:val="18"/>
                <w:szCs w:val="18"/>
              </w:rPr>
              <w:t>19</w:t>
            </w:r>
          </w:p>
        </w:tc>
        <w:tc>
          <w:tcPr>
            <w:tcW w:w="1188" w:type="dxa"/>
            <w:vAlign w:val="center"/>
            <w:hideMark/>
          </w:tcPr>
          <w:p w14:paraId="4C141DA7" w14:textId="77777777" w:rsidR="00957A78" w:rsidRPr="00AB6BFE" w:rsidRDefault="00957A78" w:rsidP="00A72B0A">
            <w:pPr>
              <w:spacing w:before="0" w:after="0" w:line="240" w:lineRule="auto"/>
              <w:jc w:val="center"/>
              <w:rPr>
                <w:rFonts w:ascii="GHEA Grapalat" w:hAnsi="GHEA Grapalat"/>
                <w:sz w:val="18"/>
                <w:szCs w:val="18"/>
                <w:lang w:val="ru-RU"/>
              </w:rPr>
            </w:pPr>
            <w:r w:rsidRPr="00AB6BFE">
              <w:rPr>
                <w:rFonts w:ascii="GHEA Grapalat" w:hAnsi="GHEA Grapalat"/>
                <w:sz w:val="18"/>
                <w:szCs w:val="18"/>
              </w:rPr>
              <w:t>19</w:t>
            </w:r>
          </w:p>
        </w:tc>
        <w:tc>
          <w:tcPr>
            <w:tcW w:w="1203" w:type="dxa"/>
            <w:vAlign w:val="center"/>
            <w:hideMark/>
          </w:tcPr>
          <w:p w14:paraId="3AC26CCE" w14:textId="77777777" w:rsidR="00957A78" w:rsidRPr="00AB6BFE" w:rsidRDefault="00957A78" w:rsidP="00A72B0A">
            <w:pPr>
              <w:spacing w:before="0" w:after="0" w:line="240" w:lineRule="auto"/>
              <w:jc w:val="center"/>
              <w:rPr>
                <w:rFonts w:ascii="GHEA Grapalat" w:hAnsi="GHEA Grapalat"/>
                <w:sz w:val="18"/>
                <w:szCs w:val="18"/>
              </w:rPr>
            </w:pPr>
            <w:r w:rsidRPr="00AB6BFE">
              <w:rPr>
                <w:rFonts w:ascii="GHEA Grapalat" w:hAnsi="GHEA Grapalat"/>
                <w:sz w:val="18"/>
                <w:szCs w:val="18"/>
              </w:rPr>
              <w:t>0.2</w:t>
            </w:r>
          </w:p>
        </w:tc>
      </w:tr>
      <w:tr w:rsidR="00957A78" w:rsidRPr="00AB6BFE" w14:paraId="126A1595" w14:textId="77777777" w:rsidTr="00A72B0A">
        <w:trPr>
          <w:trHeight w:val="432"/>
          <w:jc w:val="center"/>
        </w:trPr>
        <w:tc>
          <w:tcPr>
            <w:tcW w:w="5040" w:type="dxa"/>
            <w:vAlign w:val="center"/>
            <w:hideMark/>
          </w:tcPr>
          <w:p w14:paraId="36769122" w14:textId="77777777" w:rsidR="00957A78" w:rsidRPr="00AB6BFE" w:rsidRDefault="00957A78" w:rsidP="00A72B0A">
            <w:pPr>
              <w:spacing w:before="0" w:after="0" w:line="240" w:lineRule="auto"/>
              <w:ind w:right="345"/>
              <w:rPr>
                <w:rFonts w:ascii="GHEA Grapalat" w:hAnsi="GHEA Grapalat"/>
                <w:b/>
                <w:sz w:val="18"/>
                <w:szCs w:val="18"/>
                <w:lang w:val="hy-AM"/>
              </w:rPr>
            </w:pPr>
            <w:r w:rsidRPr="00AB6BFE">
              <w:rPr>
                <w:rFonts w:ascii="GHEA Grapalat" w:hAnsi="GHEA Grapalat"/>
                <w:b/>
                <w:sz w:val="18"/>
                <w:szCs w:val="18"/>
              </w:rPr>
              <w:t>Ընդամենը</w:t>
            </w:r>
          </w:p>
        </w:tc>
        <w:tc>
          <w:tcPr>
            <w:tcW w:w="1092" w:type="dxa"/>
            <w:vAlign w:val="center"/>
            <w:hideMark/>
          </w:tcPr>
          <w:p w14:paraId="7DAAA40F" w14:textId="77777777" w:rsidR="00957A78" w:rsidRPr="00AB6BFE" w:rsidRDefault="00957A78" w:rsidP="00A72B0A">
            <w:pPr>
              <w:spacing w:before="0" w:after="0" w:line="240" w:lineRule="auto"/>
              <w:rPr>
                <w:rFonts w:ascii="GHEA Grapalat" w:hAnsi="GHEA Grapalat"/>
                <w:b/>
                <w:sz w:val="18"/>
                <w:szCs w:val="18"/>
              </w:rPr>
            </w:pPr>
            <w:r w:rsidRPr="00AB6BFE">
              <w:rPr>
                <w:rFonts w:ascii="GHEA Grapalat" w:hAnsi="GHEA Grapalat"/>
                <w:b/>
                <w:sz w:val="18"/>
                <w:szCs w:val="18"/>
              </w:rPr>
              <w:t>0</w:t>
            </w:r>
          </w:p>
        </w:tc>
        <w:tc>
          <w:tcPr>
            <w:tcW w:w="1334" w:type="dxa"/>
            <w:vAlign w:val="center"/>
            <w:hideMark/>
          </w:tcPr>
          <w:p w14:paraId="1664C412" w14:textId="77777777" w:rsidR="00957A78" w:rsidRPr="00AB6BFE" w:rsidRDefault="00957A78" w:rsidP="00A72B0A">
            <w:pPr>
              <w:spacing w:before="0" w:after="0" w:line="240" w:lineRule="auto"/>
              <w:jc w:val="center"/>
              <w:rPr>
                <w:rFonts w:ascii="GHEA Grapalat" w:hAnsi="GHEA Grapalat"/>
                <w:b/>
                <w:sz w:val="18"/>
                <w:szCs w:val="18"/>
              </w:rPr>
            </w:pPr>
            <w:r w:rsidRPr="00AB6BFE">
              <w:rPr>
                <w:rFonts w:ascii="GHEA Grapalat" w:hAnsi="GHEA Grapalat"/>
                <w:b/>
                <w:sz w:val="18"/>
                <w:szCs w:val="18"/>
              </w:rPr>
              <w:t>581</w:t>
            </w:r>
          </w:p>
        </w:tc>
        <w:tc>
          <w:tcPr>
            <w:tcW w:w="1188" w:type="dxa"/>
            <w:vAlign w:val="center"/>
            <w:hideMark/>
          </w:tcPr>
          <w:p w14:paraId="32C29A51" w14:textId="77777777" w:rsidR="00957A78" w:rsidRPr="00AB6BFE" w:rsidRDefault="00957A78" w:rsidP="00A72B0A">
            <w:pPr>
              <w:spacing w:before="0" w:after="0" w:line="240" w:lineRule="auto"/>
              <w:jc w:val="center"/>
              <w:rPr>
                <w:rFonts w:ascii="GHEA Grapalat" w:hAnsi="GHEA Grapalat"/>
                <w:b/>
                <w:sz w:val="18"/>
                <w:szCs w:val="18"/>
              </w:rPr>
            </w:pPr>
            <w:r w:rsidRPr="00AB6BFE">
              <w:rPr>
                <w:rFonts w:ascii="GHEA Grapalat" w:hAnsi="GHEA Grapalat"/>
                <w:b/>
                <w:sz w:val="18"/>
                <w:szCs w:val="18"/>
              </w:rPr>
              <w:t>581</w:t>
            </w:r>
          </w:p>
        </w:tc>
        <w:tc>
          <w:tcPr>
            <w:tcW w:w="1203" w:type="dxa"/>
            <w:vAlign w:val="center"/>
            <w:hideMark/>
          </w:tcPr>
          <w:p w14:paraId="6EA6DC9B" w14:textId="77777777" w:rsidR="00957A78" w:rsidRPr="00AB6BFE" w:rsidRDefault="00957A78" w:rsidP="00A72B0A">
            <w:pPr>
              <w:spacing w:before="0" w:after="0" w:line="240" w:lineRule="auto"/>
              <w:jc w:val="center"/>
              <w:rPr>
                <w:rFonts w:ascii="GHEA Grapalat" w:hAnsi="GHEA Grapalat"/>
                <w:b/>
                <w:sz w:val="18"/>
                <w:szCs w:val="18"/>
              </w:rPr>
            </w:pPr>
            <w:r w:rsidRPr="00AB6BFE">
              <w:rPr>
                <w:rFonts w:ascii="GHEA Grapalat" w:hAnsi="GHEA Grapalat"/>
                <w:b/>
                <w:sz w:val="18"/>
                <w:szCs w:val="18"/>
              </w:rPr>
              <w:t>5.7</w:t>
            </w:r>
          </w:p>
        </w:tc>
      </w:tr>
    </w:tbl>
    <w:p w14:paraId="0ACA9E91" w14:textId="77777777" w:rsidR="00957A78" w:rsidRPr="00AB6BFE" w:rsidRDefault="00957A78" w:rsidP="00957A78">
      <w:pPr>
        <w:spacing w:before="160"/>
        <w:jc w:val="both"/>
        <w:rPr>
          <w:rFonts w:ascii="GHEA Grapalat" w:hAnsi="GHEA Grapalat"/>
          <w:bCs/>
          <w:i/>
          <w:iCs/>
          <w:sz w:val="20"/>
          <w:lang w:val="hy-AM"/>
        </w:rPr>
      </w:pPr>
      <w:r w:rsidRPr="00AB6BFE">
        <w:rPr>
          <w:rFonts w:ascii="GHEA Grapalat" w:hAnsi="GHEA Grapalat"/>
          <w:bCs/>
          <w:i/>
          <w:iCs/>
          <w:lang w:val="hy-AM"/>
        </w:rPr>
        <w:t>Ծանոթագրություններ</w:t>
      </w:r>
      <w:r w:rsidRPr="00AB6BFE">
        <w:rPr>
          <w:rFonts w:ascii="GHEA Grapalat" w:hAnsi="GHEA Grapalat"/>
          <w:bCs/>
          <w:lang w:val="hy-AM"/>
        </w:rPr>
        <w:t xml:space="preserve">. </w:t>
      </w:r>
      <w:r w:rsidRPr="00AB6BFE">
        <w:rPr>
          <w:rFonts w:ascii="GHEA Grapalat" w:hAnsi="GHEA Grapalat"/>
          <w:bCs/>
          <w:i/>
          <w:iCs/>
          <w:sz w:val="20"/>
          <w:lang w:val="hy-AM"/>
        </w:rPr>
        <w:t>«Վեոլիա Ջուր» ՓԲԸ մասով Աերացիայի կայանը մինչև 13 մլրդ ՀՀ դրամ արժեքով այլևս ներառված չէ: ԱՄՆ դոլարով արտահայտված գումարների փոխարկման համար կիրառվել է 385 ՀՀ դրամ 1 ԱՄՆ դոլարի դիմաց փոխարժեքը: 2024թ. ՀՆԱ-ն՝ 10,193 մլրդ ՀՀ դրամ:</w:t>
      </w:r>
    </w:p>
    <w:p w14:paraId="1A31E550" w14:textId="77777777" w:rsidR="00957A78" w:rsidRPr="00AB6BFE" w:rsidRDefault="00957A78" w:rsidP="00957A78">
      <w:pPr>
        <w:jc w:val="both"/>
        <w:rPr>
          <w:rFonts w:ascii="GHEA Grapalat" w:hAnsi="GHEA Grapalat"/>
          <w:bCs/>
          <w:lang w:val="hy-AM"/>
        </w:rPr>
      </w:pPr>
      <w:r w:rsidRPr="00AB6BFE">
        <w:rPr>
          <w:rFonts w:ascii="GHEA Grapalat" w:hAnsi="GHEA Grapalat"/>
          <w:bCs/>
          <w:lang w:val="hy-AM"/>
        </w:rPr>
        <w:t>ՊՄԳ-ների գծով պայմանական պարտավորությունների ՀՆԱ-ին հարաբերակցության ցուցանիշը նախորդ զեկույցում կազմում էր 6.05%:</w:t>
      </w:r>
    </w:p>
    <w:p w14:paraId="0736F03A" w14:textId="77777777" w:rsidR="00957A78" w:rsidRPr="00AB6BFE" w:rsidRDefault="00957A78" w:rsidP="00957A78">
      <w:pPr>
        <w:pStyle w:val="BodyText"/>
        <w:spacing w:before="120" w:after="0" w:line="276" w:lineRule="auto"/>
        <w:rPr>
          <w:rFonts w:ascii="GHEA Grapalat" w:hAnsi="GHEA Grapalat"/>
          <w:b/>
          <w:lang w:val="hy-AM"/>
        </w:rPr>
      </w:pPr>
      <w:bookmarkStart w:id="531" w:name="_Toc199682019"/>
    </w:p>
    <w:p w14:paraId="61AAA374" w14:textId="77777777" w:rsidR="00957A78" w:rsidRPr="00AB6BFE" w:rsidRDefault="00957A78" w:rsidP="00957A78">
      <w:pPr>
        <w:pStyle w:val="BodyText"/>
        <w:spacing w:before="120" w:after="0" w:line="276" w:lineRule="auto"/>
        <w:rPr>
          <w:rFonts w:ascii="GHEA Grapalat" w:hAnsi="GHEA Grapalat"/>
          <w:b/>
          <w:lang w:val="hy-AM"/>
        </w:rPr>
      </w:pPr>
      <w:r w:rsidRPr="00AB6BFE">
        <w:rPr>
          <w:rFonts w:ascii="GHEA Grapalat" w:hAnsi="GHEA Grapalat"/>
          <w:b/>
          <w:lang w:val="hy-AM"/>
        </w:rPr>
        <w:t>ԿԵՆՍԱՉԱՓԱԿԱՆ ԱՆՁՆԱԳՐԵՐ և ՆՈՒՅՆԱԿԱՆԱՑՄԱՆ ՔԱՐՏԵՐԻ ԾՐԱԳԻՐ</w:t>
      </w:r>
      <w:bookmarkEnd w:id="531"/>
    </w:p>
    <w:p w14:paraId="6A4D96CB" w14:textId="77777777" w:rsidR="00957A78" w:rsidRPr="00AB6BFE" w:rsidRDefault="00957A78" w:rsidP="00957A78">
      <w:pPr>
        <w:spacing w:after="0"/>
        <w:jc w:val="both"/>
        <w:rPr>
          <w:rFonts w:ascii="GHEA Grapalat" w:hAnsi="GHEA Grapalat"/>
          <w:bCs/>
          <w:lang w:val="hy-AM"/>
        </w:rPr>
      </w:pPr>
      <w:r w:rsidRPr="00AB6BFE">
        <w:rPr>
          <w:rFonts w:ascii="GHEA Grapalat" w:hAnsi="GHEA Grapalat"/>
          <w:bCs/>
          <w:lang w:val="hy-AM"/>
        </w:rPr>
        <w:t xml:space="preserve">2025 թվականին ՀՀ ՆԳՆ-ն ամփոփել է կենսաչափական անձնագրերի և նույնականացման քարտերի համակարգի ներդրման համար կազմակերպության ընտրության մրցույթի արդյունքները, ըստ որի՝ հաղթող է ճանաչվել «IDEMIA Identity Security France և A.C.I. Technology S.à.r.l.» կոնսորցիումը։ Այս պայմանագիրը առաջինն է, որ ստորագրվել է ՊՄԳ օրենսդրական շրջանակին համապատասխան: Ակնկալվում է, որ 2026 թ.-ի կեսից կներդրվի կենսաչափական անձնագրերի տրամադրման նոր համակարգը։ </w:t>
      </w:r>
    </w:p>
    <w:p w14:paraId="3D9EDB0A" w14:textId="77777777" w:rsidR="00957A78" w:rsidRPr="00AB6BFE" w:rsidRDefault="00957A78" w:rsidP="00957A78">
      <w:pPr>
        <w:pStyle w:val="BodyText"/>
        <w:spacing w:before="120" w:after="0" w:line="276" w:lineRule="auto"/>
        <w:rPr>
          <w:rFonts w:ascii="GHEA Grapalat" w:hAnsi="GHEA Grapalat"/>
          <w:b/>
          <w:lang w:val="hy-AM"/>
        </w:rPr>
      </w:pPr>
      <w:bookmarkStart w:id="532" w:name="_Toc199682020"/>
      <w:r w:rsidRPr="00AB6BFE">
        <w:rPr>
          <w:rFonts w:ascii="GHEA Grapalat" w:hAnsi="GHEA Grapalat"/>
          <w:b/>
          <w:lang w:val="hy-AM"/>
        </w:rPr>
        <w:t>ԱՅԳ -1</w:t>
      </w:r>
      <w:bookmarkEnd w:id="532"/>
    </w:p>
    <w:p w14:paraId="1245DAB0" w14:textId="77777777" w:rsidR="00957A78" w:rsidRPr="00AB6BFE" w:rsidRDefault="00957A78" w:rsidP="00957A78">
      <w:pPr>
        <w:spacing w:after="0"/>
        <w:jc w:val="both"/>
        <w:rPr>
          <w:rFonts w:ascii="GHEA Grapalat" w:hAnsi="GHEA Grapalat"/>
          <w:bCs/>
          <w:lang w:val="hy-AM"/>
        </w:rPr>
      </w:pPr>
      <w:r w:rsidRPr="00AB6BFE">
        <w:rPr>
          <w:rFonts w:ascii="GHEA Grapalat" w:hAnsi="GHEA Grapalat"/>
          <w:bCs/>
          <w:lang w:val="hy-AM"/>
        </w:rPr>
        <w:t>2021 թվականի հունիսի 18-ի ՀՀ կառավարության որոշմամբ հաստատվել են Հայաստանում արդյունաբերական մասշտաբի «Այգ-1» արևային ֆոտովոլտային ծրագրի շրջանակում կազմակերպված մրցույթի ընթացակարգի արդյունքները՝ հաղթող ճանաչելով «Աբու Դաբի Ֆյուչեր Էներջի Քոմփանի» ՀԲԸ («Մասդար»)։ Ծրագրի իրականացման շուրջ կնքվել է կառավարության աջակցության համաձայնագիր, իսկ ֆինանսական կայացման համար նախապես սահմանված վերջնաժամկետը՝ 2022 թվականի դեկտեմբեր ամիսը, երկարաձգվել է մինչև 270 օրով, սակայն 2023 թվականի հունիսին այն երկարաձգվել է ևս մեկ անգամ՝ մինչև 2023 թվականի դեկտեմբերի 25-ը: Ներկայումս կողմերը նորից բանակցում են ֆինանսական կայացման ժամկետը մինչև 2026 թվականի սկիզբ երկարաձգման վերաբերյալ։ Ծրագրով նախատեսվում է իրականացնել շուրջ 174 մլն ԱՄՆ դոլարի չափով ներդրում (ՀՆԱ-ի շուրջ 0.65%): Նախքան ֆինանսական կայացումը՝ պայմանագրի դադարեցման պարագայում վաղաժամ դադարեցման պայմանական պարտավորությունը կազմում է 380 մլն դրամ։</w:t>
      </w:r>
    </w:p>
    <w:p w14:paraId="58044CFF" w14:textId="48E0F768" w:rsidR="00957A78" w:rsidRPr="001D2D3B" w:rsidRDefault="00957A78" w:rsidP="00957A78">
      <w:pPr>
        <w:pStyle w:val="TOC4"/>
        <w:rPr>
          <w:lang w:val="hy-AM"/>
        </w:rPr>
      </w:pPr>
      <w:bookmarkStart w:id="533" w:name="_Toc170906942"/>
      <w:bookmarkStart w:id="534" w:name="_Toc170906570"/>
      <w:r w:rsidRPr="001D2D3B">
        <w:rPr>
          <w:lang w:val="hy-AM"/>
        </w:rPr>
        <w:t>3.1.</w:t>
      </w:r>
      <w:r>
        <w:rPr>
          <w:lang w:val="hy-AM"/>
        </w:rPr>
        <w:t>4</w:t>
      </w:r>
      <w:r w:rsidRPr="001D2D3B">
        <w:rPr>
          <w:lang w:val="hy-AM"/>
        </w:rPr>
        <w:t xml:space="preserve"> ԲՆԱԿԱՆ ԵՎ ՄԱՐԴԱԾԻՆ ԱՂԵՏՆԵՐԻՑ </w:t>
      </w:r>
      <w:r w:rsidR="006670DE">
        <w:rPr>
          <w:lang w:val="hy-AM"/>
        </w:rPr>
        <w:t>ԲԽՈՂ</w:t>
      </w:r>
      <w:r w:rsidRPr="001D2D3B">
        <w:rPr>
          <w:lang w:val="hy-AM"/>
        </w:rPr>
        <w:t xml:space="preserve"> ՀԱՐԿԱԲՅՈՒՋԵՏԱՅԻՆ ՌԻՍԿԵՐ</w:t>
      </w:r>
      <w:bookmarkEnd w:id="533"/>
      <w:bookmarkEnd w:id="534"/>
    </w:p>
    <w:p w14:paraId="380AA8A8" w14:textId="77777777" w:rsidR="00957A78" w:rsidRPr="00431CFD" w:rsidRDefault="00957A78" w:rsidP="00957A78">
      <w:pPr>
        <w:spacing w:after="0"/>
        <w:jc w:val="both"/>
        <w:rPr>
          <w:rFonts w:ascii="GHEA Grapalat" w:hAnsi="GHEA Grapalat"/>
          <w:lang w:val="hy-AM"/>
        </w:rPr>
      </w:pPr>
      <w:bookmarkStart w:id="535" w:name="_Toc170906943"/>
      <w:bookmarkStart w:id="536" w:name="_Toc170906571"/>
      <w:r w:rsidRPr="00431CFD">
        <w:rPr>
          <w:rFonts w:ascii="GHEA Grapalat" w:hAnsi="GHEA Grapalat"/>
          <w:lang w:val="hy-AM"/>
        </w:rPr>
        <w:t xml:space="preserve">Աղետների ռիսկը համարվում է Հայաստանում ֆիսկալ ռիսկերի արդիական աղբյուրներից մեկը՝ հաշվի առնելով երկրի «աղետների պրոֆիլը», որը ներառում է էական երկրաֆիզիկական (հատկապես՝ երկրաշարժերի և սողանքների), եղանակային պայմանների հետ կապված (հիդրոօդերևութաբանական և այլ), ինչպես նաև մարդածին ռիսկեր: </w:t>
      </w:r>
    </w:p>
    <w:p w14:paraId="0BF4FC97" w14:textId="77777777" w:rsidR="00957A78" w:rsidRPr="00431CFD" w:rsidRDefault="00957A78" w:rsidP="00957A78">
      <w:pPr>
        <w:spacing w:after="0"/>
        <w:jc w:val="both"/>
        <w:rPr>
          <w:rFonts w:ascii="GHEA Grapalat" w:hAnsi="GHEA Grapalat"/>
          <w:bCs/>
          <w:lang w:val="hy-AM"/>
        </w:rPr>
      </w:pPr>
      <w:r w:rsidRPr="00431CFD">
        <w:rPr>
          <w:rFonts w:ascii="GHEA Grapalat" w:hAnsi="GHEA Grapalat"/>
          <w:bCs/>
          <w:lang w:val="hy-AM"/>
        </w:rPr>
        <w:t>Համաձայն ՄԱԿ Զարգացման ծրագրի տվյալների՝ Հայաստանը աշխարհում ամենից շատ աղետների ենթակա 60 երկրների շարքում է: Հայաստանը բազմաթիվ վտանգներ ունեցող երկրի տիպիկ օրինակ է՝ խոշոր երկրաշարժերի, ջրհեղեղների, երաշտների, ծայրահեղ եղանակային պայմանների (ցրտահարություն և ջերմային ալիքներ), ուժեղ քամիների, կարկուտի, փոթորիկների, սելավների, սողանքների և այլնի պատմությամբ:</w:t>
      </w:r>
    </w:p>
    <w:p w14:paraId="508AF23D" w14:textId="77777777" w:rsidR="00957A78" w:rsidRPr="00431CFD" w:rsidRDefault="00957A78" w:rsidP="00957A78">
      <w:pPr>
        <w:spacing w:after="0"/>
        <w:jc w:val="both"/>
        <w:rPr>
          <w:rFonts w:ascii="GHEA Grapalat" w:hAnsi="GHEA Grapalat"/>
          <w:bCs/>
          <w:lang w:val="hy-AM"/>
        </w:rPr>
      </w:pPr>
      <w:r w:rsidRPr="00431CFD">
        <w:rPr>
          <w:rFonts w:ascii="GHEA Grapalat" w:hAnsi="GHEA Grapalat"/>
          <w:b/>
          <w:lang w:val="hy-AM"/>
        </w:rPr>
        <w:t>Երկրաֆիզիկական ռիսկերից</w:t>
      </w:r>
      <w:r w:rsidRPr="00431CFD">
        <w:rPr>
          <w:rFonts w:ascii="GHEA Grapalat" w:hAnsi="GHEA Grapalat"/>
          <w:lang w:val="hy-AM"/>
        </w:rPr>
        <w:t xml:space="preserve"> ՀՀ-ում </w:t>
      </w:r>
      <w:r w:rsidRPr="00431CFD">
        <w:rPr>
          <w:rFonts w:ascii="GHEA Grapalat" w:hAnsi="GHEA Grapalat"/>
          <w:bCs/>
          <w:lang w:val="hy-AM"/>
        </w:rPr>
        <w:t>7.0 կամ ավելի բարձր մագնիտուդ ուժգնությամբ երկրաշարժի դեպքում կարող է փլուզվել Երևան քաղաքի շենքերի մեծամասնությունը՝ խլելով շուրջ 300,000 մարդու կյանք: Նախնական ուսումնասիրությունները ցույց են տալիս, որ 2012թ. տվյալներով տնտեսական վնասները կարող են հավասար լինել՝ ընդհուպ ՀՆԱ-ի 100 տոկոսին</w:t>
      </w:r>
      <w:r w:rsidRPr="00431CFD">
        <w:rPr>
          <w:rStyle w:val="FootnoteReference"/>
          <w:rFonts w:ascii="GHEA Grapalat" w:hAnsi="GHEA Grapalat"/>
          <w:bCs/>
        </w:rPr>
        <w:footnoteReference w:id="37"/>
      </w:r>
      <w:r w:rsidRPr="00431CFD">
        <w:rPr>
          <w:rFonts w:ascii="GHEA Grapalat" w:hAnsi="GHEA Grapalat"/>
          <w:bCs/>
          <w:lang w:val="hy-AM"/>
        </w:rPr>
        <w:t>:</w:t>
      </w:r>
    </w:p>
    <w:p w14:paraId="7D7BEFA3" w14:textId="77777777" w:rsidR="00957A78" w:rsidRPr="00431CFD" w:rsidRDefault="00957A78" w:rsidP="00957A78">
      <w:pPr>
        <w:spacing w:after="0"/>
        <w:jc w:val="both"/>
        <w:rPr>
          <w:rFonts w:ascii="GHEA Grapalat" w:hAnsi="GHEA Grapalat"/>
          <w:bCs/>
          <w:lang w:val="hy-AM"/>
        </w:rPr>
      </w:pPr>
      <w:r w:rsidRPr="00431CFD">
        <w:rPr>
          <w:rFonts w:ascii="GHEA Grapalat" w:hAnsi="GHEA Grapalat"/>
          <w:bCs/>
          <w:lang w:val="hy-AM"/>
        </w:rPr>
        <w:t>2017 թվականին Համաշխարհային բանկը հաշվարկել է 1.3 միլիարդ ԱՄՆ դոլարի չափով «ֆինանսավորման բաց»՝ Սպիտակի երկրաշարժի նման ևս մեկ ուժեղ երկրաշարժի դեպքում</w:t>
      </w:r>
      <w:r w:rsidRPr="00431CFD">
        <w:rPr>
          <w:rStyle w:val="FootnoteReference"/>
          <w:rFonts w:ascii="GHEA Grapalat" w:hAnsi="GHEA Grapalat"/>
          <w:bCs/>
        </w:rPr>
        <w:footnoteReference w:id="38"/>
      </w:r>
      <w:r w:rsidRPr="00431CFD">
        <w:rPr>
          <w:rFonts w:ascii="GHEA Grapalat" w:hAnsi="GHEA Grapalat"/>
          <w:bCs/>
          <w:lang w:val="hy-AM"/>
        </w:rPr>
        <w:t>: Սակայն, համաձայն աղետների նվազեցման և վերականգնման գլոբալ հիմնադրամի կողմից 2017 թվականին կազմված՝ Հայաստանի աղետների ռիսկի պրոֆիլի, ընդհանուր տնտեսական ազդեցությունը կարող է շատ ավելի մեծ լինել, չնայած հնարավոր զոհերի գնահատված ավելի փոքր քանակին</w:t>
      </w:r>
      <w:r w:rsidRPr="00431CFD">
        <w:rPr>
          <w:rStyle w:val="FootnoteReference"/>
          <w:rFonts w:ascii="GHEA Grapalat" w:hAnsi="GHEA Grapalat"/>
          <w:bCs/>
        </w:rPr>
        <w:footnoteReference w:id="39"/>
      </w:r>
      <w:r w:rsidRPr="00431CFD">
        <w:rPr>
          <w:rFonts w:ascii="GHEA Grapalat" w:hAnsi="GHEA Grapalat"/>
          <w:bCs/>
          <w:lang w:val="hy-AM"/>
        </w:rPr>
        <w:t xml:space="preserve">: </w:t>
      </w:r>
    </w:p>
    <w:p w14:paraId="16A54C7C" w14:textId="77777777" w:rsidR="00957A78" w:rsidRPr="00431CFD" w:rsidRDefault="00957A78" w:rsidP="00957A78">
      <w:pPr>
        <w:spacing w:after="0"/>
        <w:jc w:val="both"/>
        <w:rPr>
          <w:rFonts w:ascii="GHEA Grapalat" w:hAnsi="GHEA Grapalat"/>
          <w:bCs/>
          <w:lang w:val="hy-AM"/>
        </w:rPr>
      </w:pPr>
      <w:r w:rsidRPr="00431CFD">
        <w:rPr>
          <w:rFonts w:ascii="GHEA Grapalat" w:hAnsi="GHEA Grapalat"/>
          <w:bCs/>
          <w:lang w:val="hy-AM"/>
        </w:rPr>
        <w:t>ՇՄՆ քարտեզագրման արդյունքներով արձանագրվել է շուրջ 2500</w:t>
      </w:r>
      <w:r w:rsidRPr="00431CFD">
        <w:rPr>
          <w:rFonts w:ascii="GHEA Grapalat" w:hAnsi="GHEA Grapalat"/>
          <w:b/>
          <w:bCs/>
          <w:lang w:val="hy-AM"/>
        </w:rPr>
        <w:t xml:space="preserve"> սողանքային տարածք</w:t>
      </w:r>
      <w:r w:rsidRPr="00431CFD">
        <w:rPr>
          <w:rFonts w:ascii="GHEA Grapalat" w:hAnsi="GHEA Grapalat"/>
          <w:bCs/>
          <w:lang w:val="hy-AM"/>
        </w:rPr>
        <w:t>, որոնց համար 2024թ. պետական բյուջեի «Սողանքային տեղամասերի ինժեներաերկրաբանական հետազոտություններ» հոդվածով նախատեսվել է 61,290 հազար ՀՀ դրամ, իսկ որպես սողանքներից բխող խնդիրների ֆինանսավորման աղբյուր ներկայումս դիտարկվում է ՀՀ կառավարության պահուստային ֆոնդը:</w:t>
      </w:r>
    </w:p>
    <w:p w14:paraId="5E73E5B8" w14:textId="77777777" w:rsidR="00957A78" w:rsidRPr="00431CFD" w:rsidRDefault="00957A78" w:rsidP="00957A78">
      <w:pPr>
        <w:spacing w:after="0"/>
        <w:jc w:val="both"/>
        <w:rPr>
          <w:rFonts w:ascii="GHEA Grapalat" w:hAnsi="GHEA Grapalat"/>
          <w:bCs/>
          <w:lang w:val="hy-AM"/>
        </w:rPr>
      </w:pPr>
      <w:r w:rsidRPr="00431CFD">
        <w:rPr>
          <w:rFonts w:ascii="GHEA Grapalat" w:hAnsi="GHEA Grapalat"/>
          <w:lang w:val="hy-AM"/>
        </w:rPr>
        <w:t xml:space="preserve">Ինչ վերաբերում է </w:t>
      </w:r>
      <w:r w:rsidRPr="00431CFD">
        <w:rPr>
          <w:rFonts w:ascii="GHEA Grapalat" w:hAnsi="GHEA Grapalat"/>
          <w:b/>
          <w:lang w:val="hy-AM"/>
        </w:rPr>
        <w:t>եղանակային պայմանների</w:t>
      </w:r>
      <w:r w:rsidRPr="00431CFD">
        <w:rPr>
          <w:rFonts w:ascii="GHEA Grapalat" w:hAnsi="GHEA Grapalat"/>
          <w:lang w:val="hy-AM"/>
        </w:rPr>
        <w:t xml:space="preserve"> հետ կապված ռիսկերին, ապա կլիմայի փոփոխությունը համարվում է աղետների և՛ հաճախականության, և՛ ուժգնության վրա ազդող էական գործոն:</w:t>
      </w:r>
      <w:r w:rsidRPr="00431CFD">
        <w:rPr>
          <w:rFonts w:ascii="GHEA Grapalat" w:hAnsi="GHEA Grapalat"/>
          <w:bCs/>
          <w:lang w:val="hy-AM"/>
        </w:rPr>
        <w:t xml:space="preserve"> Այդ իսկ պատճառով կարևոր է ներդրումներ կատարել կլիմայի փոփոխության հարմարվողականության և աղետների ռիսկի համապարփակ նվազեցման ուղղություններով։ Վերջին 9 տասնամյակի ընթացքում գրանցվել է միջին ջերմաստիճանի կայուն աճ և միջին տեղումների կայուն նվազում՝ համաշխարհային միջինից բարձր և վերջին 3 տասնամյակների ընթացքում արագացող միտումներով։ Հայաստանի տարածքի համար 1961-1990թթ</w:t>
      </w:r>
      <w:r w:rsidRPr="00431CFD">
        <w:rPr>
          <w:rFonts w:ascii="Cambria Math" w:hAnsi="Cambria Math" w:cs="Cambria Math"/>
          <w:bCs/>
          <w:lang w:val="hy-AM"/>
        </w:rPr>
        <w:t>․</w:t>
      </w:r>
      <w:r w:rsidRPr="00431CFD">
        <w:rPr>
          <w:rFonts w:ascii="GHEA Grapalat" w:hAnsi="GHEA Grapalat"/>
          <w:bCs/>
          <w:lang w:val="hy-AM"/>
        </w:rPr>
        <w:t xml:space="preserve"> միջինի (5.50 C) նկատմամբ կանխատեսվում է տարեկան միջին ջերմաստիճանի աճ՝ մինչև 1.60 ºC -ով՝ 2040թ</w:t>
      </w:r>
      <w:r w:rsidRPr="00431CFD">
        <w:rPr>
          <w:rFonts w:ascii="Cambria Math" w:hAnsi="Cambria Math" w:cs="Cambria Math"/>
          <w:bCs/>
          <w:lang w:val="hy-AM"/>
        </w:rPr>
        <w:t>․</w:t>
      </w:r>
      <w:r w:rsidRPr="00431CFD">
        <w:rPr>
          <w:rFonts w:ascii="GHEA Grapalat" w:hAnsi="GHEA Grapalat"/>
          <w:bCs/>
          <w:lang w:val="hy-AM"/>
        </w:rPr>
        <w:t>, 3.30 ºC-ով՝ 2070թ</w:t>
      </w:r>
      <w:r w:rsidRPr="00431CFD">
        <w:rPr>
          <w:rFonts w:ascii="Cambria Math" w:hAnsi="Cambria Math" w:cs="Cambria Math"/>
          <w:bCs/>
          <w:lang w:val="hy-AM"/>
        </w:rPr>
        <w:t>․</w:t>
      </w:r>
      <w:r w:rsidRPr="00431CFD">
        <w:rPr>
          <w:rFonts w:ascii="GHEA Grapalat" w:hAnsi="GHEA Grapalat"/>
          <w:bCs/>
          <w:lang w:val="hy-AM"/>
        </w:rPr>
        <w:t xml:space="preserve"> և 4.70 ºC-ով՝ 2100թ</w:t>
      </w:r>
      <w:r w:rsidRPr="00431CFD">
        <w:rPr>
          <w:rFonts w:ascii="Cambria Math" w:hAnsi="Cambria Math" w:cs="Cambria Math"/>
          <w:bCs/>
          <w:lang w:val="hy-AM"/>
        </w:rPr>
        <w:t>․</w:t>
      </w:r>
      <w:r w:rsidRPr="00431CFD">
        <w:rPr>
          <w:rFonts w:ascii="GHEA Grapalat" w:hAnsi="GHEA Grapalat"/>
          <w:bCs/>
          <w:lang w:val="hy-AM"/>
        </w:rPr>
        <w:t>։ Մթնոլորտային տեղումների դեպքում ակնկալվում է 1961-1990թթ</w:t>
      </w:r>
      <w:r w:rsidRPr="00431CFD">
        <w:rPr>
          <w:rFonts w:ascii="Cambria Math" w:hAnsi="Cambria Math" w:cs="Cambria Math"/>
          <w:bCs/>
          <w:lang w:val="hy-AM"/>
        </w:rPr>
        <w:t>․</w:t>
      </w:r>
      <w:r w:rsidRPr="00431CFD">
        <w:rPr>
          <w:rFonts w:ascii="GHEA Grapalat" w:hAnsi="GHEA Grapalat"/>
          <w:bCs/>
          <w:lang w:val="hy-AM"/>
        </w:rPr>
        <w:t xml:space="preserve"> տարեկան տեղումների միջին քանակի (592 մմ) նկատմամբ նվազում՝ մինչև 2.7%-ով՝ 2040թ</w:t>
      </w:r>
      <w:r w:rsidRPr="00431CFD">
        <w:rPr>
          <w:rFonts w:ascii="Cambria Math" w:hAnsi="Cambria Math" w:cs="Cambria Math"/>
          <w:bCs/>
          <w:lang w:val="hy-AM"/>
        </w:rPr>
        <w:t>․</w:t>
      </w:r>
      <w:r w:rsidRPr="00431CFD">
        <w:rPr>
          <w:rFonts w:ascii="GHEA Grapalat" w:hAnsi="GHEA Grapalat"/>
          <w:bCs/>
          <w:lang w:val="hy-AM"/>
        </w:rPr>
        <w:t>, 5.4%-ով՝ 2070թ</w:t>
      </w:r>
      <w:r w:rsidRPr="00431CFD">
        <w:rPr>
          <w:rFonts w:ascii="Cambria Math" w:hAnsi="Cambria Math" w:cs="Cambria Math"/>
          <w:bCs/>
          <w:lang w:val="hy-AM"/>
        </w:rPr>
        <w:t>․</w:t>
      </w:r>
      <w:r w:rsidRPr="00431CFD">
        <w:rPr>
          <w:rFonts w:ascii="GHEA Grapalat" w:hAnsi="GHEA Grapalat"/>
          <w:bCs/>
          <w:lang w:val="hy-AM"/>
        </w:rPr>
        <w:t xml:space="preserve"> և 8.3%-ով՝ 2100թ</w:t>
      </w:r>
      <w:r w:rsidRPr="00431CFD">
        <w:rPr>
          <w:rFonts w:ascii="Cambria Math" w:hAnsi="Cambria Math" w:cs="Cambria Math"/>
          <w:bCs/>
          <w:lang w:val="hy-AM"/>
        </w:rPr>
        <w:t>․</w:t>
      </w:r>
      <w:r w:rsidRPr="00431CFD">
        <w:rPr>
          <w:rFonts w:ascii="GHEA Grapalat" w:hAnsi="GHEA Grapalat" w:cs="Cambria Math"/>
          <w:bCs/>
          <w:lang w:val="hy-AM"/>
        </w:rPr>
        <w:t xml:space="preserve"> (տես՝ աղյուսակ 8)</w:t>
      </w:r>
      <w:r w:rsidRPr="00431CFD">
        <w:rPr>
          <w:rStyle w:val="FootnoteReference"/>
          <w:rFonts w:ascii="GHEA Grapalat" w:hAnsi="GHEA Grapalat" w:cs="Cambria Math"/>
          <w:bCs/>
        </w:rPr>
        <w:footnoteReference w:id="40"/>
      </w:r>
      <w:r w:rsidRPr="00431CFD">
        <w:rPr>
          <w:rFonts w:ascii="GHEA Grapalat" w:hAnsi="GHEA Grapalat"/>
          <w:bCs/>
          <w:lang w:val="hy-AM"/>
        </w:rPr>
        <w:t xml:space="preserve">։ </w:t>
      </w:r>
    </w:p>
    <w:p w14:paraId="1F40B849" w14:textId="77777777" w:rsidR="00957A78" w:rsidRDefault="00957A78" w:rsidP="00957A78">
      <w:pPr>
        <w:rPr>
          <w:bCs/>
          <w:lang w:val="hy-AM"/>
        </w:rPr>
      </w:pPr>
    </w:p>
    <w:p w14:paraId="0E3B6ED8" w14:textId="77777777" w:rsidR="00285136" w:rsidRDefault="00285136">
      <w:pPr>
        <w:rPr>
          <w:b/>
          <w:bCs/>
          <w:i/>
          <w:sz w:val="20"/>
          <w:szCs w:val="20"/>
          <w:lang w:val="hy-AM"/>
        </w:rPr>
      </w:pPr>
      <w:r>
        <w:rPr>
          <w:b/>
          <w:bCs/>
          <w:i/>
          <w:sz w:val="20"/>
          <w:szCs w:val="20"/>
          <w:lang w:val="hy-AM"/>
        </w:rPr>
        <w:br w:type="page"/>
      </w:r>
    </w:p>
    <w:p w14:paraId="10EA8657" w14:textId="0E41D2AA" w:rsidR="00957A78" w:rsidRDefault="00957A78" w:rsidP="00957A78">
      <w:pPr>
        <w:jc w:val="both"/>
        <w:rPr>
          <w:bCs/>
          <w:i/>
          <w:sz w:val="20"/>
          <w:szCs w:val="20"/>
          <w:lang w:val="hy-AM"/>
        </w:rPr>
      </w:pPr>
      <w:r w:rsidRPr="00A461D4">
        <w:rPr>
          <w:b/>
          <w:bCs/>
          <w:i/>
          <w:sz w:val="20"/>
          <w:szCs w:val="20"/>
          <w:lang w:val="hy-AM"/>
        </w:rPr>
        <w:t xml:space="preserve">Աղյուսակ </w:t>
      </w:r>
      <w:r>
        <w:rPr>
          <w:b/>
          <w:bCs/>
          <w:i/>
          <w:sz w:val="20"/>
          <w:szCs w:val="20"/>
          <w:lang w:val="hy-AM"/>
        </w:rPr>
        <w:t>8</w:t>
      </w:r>
      <w:r w:rsidRPr="00A461D4">
        <w:rPr>
          <w:b/>
          <w:bCs/>
          <w:i/>
          <w:sz w:val="20"/>
          <w:szCs w:val="20"/>
          <w:lang w:val="hy-AM"/>
        </w:rPr>
        <w:t xml:space="preserve">. </w:t>
      </w:r>
      <w:r w:rsidRPr="00A461D4">
        <w:rPr>
          <w:bCs/>
          <w:i/>
          <w:sz w:val="20"/>
          <w:szCs w:val="20"/>
          <w:lang w:val="hy-AM"/>
        </w:rPr>
        <w:t>Տարեկան միջին ջերմաստիճանի (T, ºC) և տեղումների քանակի (P, մմ) կանխատեսվող արժեքները Հայաստանի տարածքում ըստ բարձրության տարբեր գոտիների (մ) METRAS մոդելով՝ համաձայն RCP8.5 սցենարի</w:t>
      </w:r>
      <w:r w:rsidRPr="00A461D4">
        <w:rPr>
          <w:rStyle w:val="FootnoteReference"/>
          <w:bCs/>
          <w:i/>
          <w:sz w:val="20"/>
          <w:lang w:val="hy-AM"/>
        </w:rPr>
        <w:footnoteReference w:id="41"/>
      </w:r>
    </w:p>
    <w:tbl>
      <w:tblPr>
        <w:tblW w:w="9972" w:type="dxa"/>
        <w:jc w:val="center"/>
        <w:tblBorders>
          <w:top w:val="single" w:sz="4" w:space="0" w:color="E1E1E3" w:themeColor="accent3" w:themeTint="33"/>
          <w:left w:val="single" w:sz="4" w:space="0" w:color="E1E1E3" w:themeColor="accent3" w:themeTint="33"/>
          <w:bottom w:val="single" w:sz="4" w:space="0" w:color="E1E1E3" w:themeColor="accent3" w:themeTint="33"/>
          <w:right w:val="single" w:sz="4" w:space="0" w:color="E1E1E3" w:themeColor="accent3" w:themeTint="33"/>
          <w:insideH w:val="single" w:sz="4" w:space="0" w:color="E1E1E3" w:themeColor="accent3" w:themeTint="33"/>
          <w:insideV w:val="single" w:sz="4" w:space="0" w:color="E1E1E3" w:themeColor="accent3" w:themeTint="33"/>
        </w:tblBorders>
        <w:tblLook w:val="04A0" w:firstRow="1" w:lastRow="0" w:firstColumn="1" w:lastColumn="0" w:noHBand="0" w:noVBand="1"/>
      </w:tblPr>
      <w:tblGrid>
        <w:gridCol w:w="2972"/>
        <w:gridCol w:w="1060"/>
        <w:gridCol w:w="780"/>
        <w:gridCol w:w="800"/>
        <w:gridCol w:w="940"/>
        <w:gridCol w:w="860"/>
        <w:gridCol w:w="880"/>
        <w:gridCol w:w="880"/>
        <w:gridCol w:w="800"/>
      </w:tblGrid>
      <w:tr w:rsidR="00957A78" w:rsidRPr="00AF5E22" w14:paraId="5022E976" w14:textId="77777777" w:rsidTr="00A72B0A">
        <w:trPr>
          <w:trHeight w:val="300"/>
          <w:jc w:val="center"/>
        </w:trPr>
        <w:tc>
          <w:tcPr>
            <w:tcW w:w="2972" w:type="dxa"/>
            <w:vMerge w:val="restart"/>
            <w:shd w:val="clear" w:color="auto" w:fill="D5DCE4" w:themeFill="text2" w:themeFillTint="33"/>
            <w:noWrap/>
            <w:vAlign w:val="center"/>
            <w:hideMark/>
          </w:tcPr>
          <w:p w14:paraId="10306577" w14:textId="77777777" w:rsidR="00957A78" w:rsidRPr="00AF5E22" w:rsidRDefault="00957A78" w:rsidP="00A72B0A">
            <w:pPr>
              <w:jc w:val="center"/>
              <w:rPr>
                <w:b/>
                <w:bCs/>
                <w:color w:val="35363A" w:themeColor="accent3" w:themeShade="80"/>
                <w:sz w:val="20"/>
                <w:szCs w:val="20"/>
              </w:rPr>
            </w:pPr>
            <w:r w:rsidRPr="00AF5E22">
              <w:rPr>
                <w:b/>
                <w:bCs/>
                <w:color w:val="35363A" w:themeColor="accent3" w:themeShade="80"/>
                <w:sz w:val="20"/>
                <w:szCs w:val="20"/>
              </w:rPr>
              <w:t>Բարձրության գոտիներ, մ</w:t>
            </w:r>
          </w:p>
        </w:tc>
        <w:tc>
          <w:tcPr>
            <w:tcW w:w="1840" w:type="dxa"/>
            <w:gridSpan w:val="2"/>
            <w:shd w:val="clear" w:color="auto" w:fill="D5DCE4" w:themeFill="text2" w:themeFillTint="33"/>
            <w:vAlign w:val="center"/>
            <w:hideMark/>
          </w:tcPr>
          <w:p w14:paraId="2BB14000" w14:textId="77777777" w:rsidR="00957A78" w:rsidRPr="00AF5E22" w:rsidRDefault="00957A78" w:rsidP="00A72B0A">
            <w:pPr>
              <w:jc w:val="center"/>
              <w:rPr>
                <w:b/>
                <w:bCs/>
                <w:color w:val="35363A" w:themeColor="accent3" w:themeShade="80"/>
                <w:sz w:val="20"/>
                <w:szCs w:val="20"/>
                <w:lang w:val="ru-RU"/>
              </w:rPr>
            </w:pPr>
            <w:r w:rsidRPr="00AF5E22">
              <w:rPr>
                <w:b/>
                <w:bCs/>
                <w:color w:val="35363A" w:themeColor="accent3" w:themeShade="80"/>
                <w:sz w:val="20"/>
                <w:szCs w:val="20"/>
              </w:rPr>
              <w:t>1961-1990</w:t>
            </w:r>
          </w:p>
        </w:tc>
        <w:tc>
          <w:tcPr>
            <w:tcW w:w="1740" w:type="dxa"/>
            <w:gridSpan w:val="2"/>
            <w:shd w:val="clear" w:color="auto" w:fill="D5DCE4" w:themeFill="text2" w:themeFillTint="33"/>
            <w:vAlign w:val="center"/>
            <w:hideMark/>
          </w:tcPr>
          <w:p w14:paraId="49F11B90" w14:textId="77777777" w:rsidR="00957A78" w:rsidRPr="00AF5E22" w:rsidRDefault="00957A78" w:rsidP="00A72B0A">
            <w:pPr>
              <w:jc w:val="center"/>
              <w:rPr>
                <w:b/>
                <w:bCs/>
                <w:color w:val="35363A" w:themeColor="accent3" w:themeShade="80"/>
                <w:sz w:val="20"/>
                <w:szCs w:val="20"/>
              </w:rPr>
            </w:pPr>
            <w:r w:rsidRPr="00AF5E22">
              <w:rPr>
                <w:b/>
                <w:bCs/>
                <w:color w:val="35363A" w:themeColor="accent3" w:themeShade="80"/>
                <w:sz w:val="20"/>
                <w:szCs w:val="20"/>
              </w:rPr>
              <w:t>2011-2040</w:t>
            </w:r>
          </w:p>
        </w:tc>
        <w:tc>
          <w:tcPr>
            <w:tcW w:w="1740" w:type="dxa"/>
            <w:gridSpan w:val="2"/>
            <w:shd w:val="clear" w:color="auto" w:fill="D5DCE4" w:themeFill="text2" w:themeFillTint="33"/>
            <w:vAlign w:val="center"/>
            <w:hideMark/>
          </w:tcPr>
          <w:p w14:paraId="41BB3BCE" w14:textId="77777777" w:rsidR="00957A78" w:rsidRPr="00AF5E22" w:rsidRDefault="00957A78" w:rsidP="00A72B0A">
            <w:pPr>
              <w:jc w:val="center"/>
              <w:rPr>
                <w:b/>
                <w:bCs/>
                <w:color w:val="35363A" w:themeColor="accent3" w:themeShade="80"/>
                <w:sz w:val="20"/>
                <w:szCs w:val="20"/>
              </w:rPr>
            </w:pPr>
            <w:r w:rsidRPr="00AF5E22">
              <w:rPr>
                <w:b/>
                <w:bCs/>
                <w:color w:val="35363A" w:themeColor="accent3" w:themeShade="80"/>
                <w:sz w:val="20"/>
                <w:szCs w:val="20"/>
              </w:rPr>
              <w:t>2041-2070</w:t>
            </w:r>
          </w:p>
        </w:tc>
        <w:tc>
          <w:tcPr>
            <w:tcW w:w="1680" w:type="dxa"/>
            <w:gridSpan w:val="2"/>
            <w:shd w:val="clear" w:color="auto" w:fill="D5DCE4" w:themeFill="text2" w:themeFillTint="33"/>
            <w:vAlign w:val="center"/>
            <w:hideMark/>
          </w:tcPr>
          <w:p w14:paraId="46F2152B" w14:textId="77777777" w:rsidR="00957A78" w:rsidRPr="00AF5E22" w:rsidRDefault="00957A78" w:rsidP="00A72B0A">
            <w:pPr>
              <w:jc w:val="center"/>
              <w:rPr>
                <w:b/>
                <w:bCs/>
                <w:color w:val="35363A" w:themeColor="accent3" w:themeShade="80"/>
                <w:sz w:val="20"/>
                <w:szCs w:val="20"/>
              </w:rPr>
            </w:pPr>
            <w:r w:rsidRPr="00AF5E22">
              <w:rPr>
                <w:b/>
                <w:bCs/>
                <w:color w:val="35363A" w:themeColor="accent3" w:themeShade="80"/>
                <w:sz w:val="20"/>
                <w:szCs w:val="20"/>
              </w:rPr>
              <w:t>2071-2100</w:t>
            </w:r>
          </w:p>
        </w:tc>
      </w:tr>
      <w:tr w:rsidR="00957A78" w:rsidRPr="00AF5E22" w14:paraId="01746125" w14:textId="77777777" w:rsidTr="00A72B0A">
        <w:trPr>
          <w:trHeight w:val="300"/>
          <w:jc w:val="center"/>
        </w:trPr>
        <w:tc>
          <w:tcPr>
            <w:tcW w:w="2972" w:type="dxa"/>
            <w:vMerge/>
            <w:shd w:val="clear" w:color="auto" w:fill="D5DCE4" w:themeFill="text2" w:themeFillTint="33"/>
            <w:vAlign w:val="center"/>
            <w:hideMark/>
          </w:tcPr>
          <w:p w14:paraId="666341B6" w14:textId="77777777" w:rsidR="00957A78" w:rsidRPr="00AF5E22" w:rsidRDefault="00957A78" w:rsidP="00A72B0A">
            <w:pPr>
              <w:jc w:val="center"/>
              <w:rPr>
                <w:b/>
                <w:bCs/>
                <w:color w:val="35363A" w:themeColor="accent3" w:themeShade="80"/>
                <w:sz w:val="20"/>
                <w:szCs w:val="20"/>
              </w:rPr>
            </w:pPr>
          </w:p>
        </w:tc>
        <w:tc>
          <w:tcPr>
            <w:tcW w:w="1060" w:type="dxa"/>
            <w:shd w:val="clear" w:color="auto" w:fill="D5DCE4" w:themeFill="text2" w:themeFillTint="33"/>
            <w:vAlign w:val="center"/>
            <w:hideMark/>
          </w:tcPr>
          <w:p w14:paraId="08DCC7E6" w14:textId="77777777" w:rsidR="00957A78" w:rsidRPr="00AF5E22" w:rsidRDefault="00957A78" w:rsidP="00A72B0A">
            <w:pPr>
              <w:jc w:val="center"/>
              <w:rPr>
                <w:b/>
                <w:bCs/>
                <w:color w:val="35363A" w:themeColor="accent3" w:themeShade="80"/>
                <w:sz w:val="20"/>
                <w:szCs w:val="20"/>
              </w:rPr>
            </w:pPr>
            <w:r w:rsidRPr="00AF5E22">
              <w:rPr>
                <w:b/>
                <w:bCs/>
                <w:color w:val="35363A" w:themeColor="accent3" w:themeShade="80"/>
                <w:sz w:val="20"/>
                <w:szCs w:val="20"/>
              </w:rPr>
              <w:t>T, °C</w:t>
            </w:r>
          </w:p>
        </w:tc>
        <w:tc>
          <w:tcPr>
            <w:tcW w:w="780" w:type="dxa"/>
            <w:shd w:val="clear" w:color="auto" w:fill="D5DCE4" w:themeFill="text2" w:themeFillTint="33"/>
            <w:vAlign w:val="center"/>
            <w:hideMark/>
          </w:tcPr>
          <w:p w14:paraId="18ED81CC" w14:textId="77777777" w:rsidR="00957A78" w:rsidRPr="00AF5E22" w:rsidRDefault="00957A78" w:rsidP="00A72B0A">
            <w:pPr>
              <w:jc w:val="center"/>
              <w:rPr>
                <w:b/>
                <w:bCs/>
                <w:color w:val="35363A" w:themeColor="accent3" w:themeShade="80"/>
                <w:sz w:val="20"/>
                <w:szCs w:val="20"/>
              </w:rPr>
            </w:pPr>
            <w:r w:rsidRPr="00AF5E22">
              <w:rPr>
                <w:b/>
                <w:bCs/>
                <w:color w:val="35363A" w:themeColor="accent3" w:themeShade="80"/>
                <w:sz w:val="20"/>
                <w:szCs w:val="20"/>
              </w:rPr>
              <w:t>P, մմ</w:t>
            </w:r>
          </w:p>
        </w:tc>
        <w:tc>
          <w:tcPr>
            <w:tcW w:w="800" w:type="dxa"/>
            <w:shd w:val="clear" w:color="auto" w:fill="D5DCE4" w:themeFill="text2" w:themeFillTint="33"/>
            <w:vAlign w:val="center"/>
            <w:hideMark/>
          </w:tcPr>
          <w:p w14:paraId="6A992E46" w14:textId="77777777" w:rsidR="00957A78" w:rsidRPr="00AF5E22" w:rsidRDefault="00957A78" w:rsidP="00A72B0A">
            <w:pPr>
              <w:jc w:val="center"/>
              <w:rPr>
                <w:b/>
                <w:bCs/>
                <w:color w:val="35363A" w:themeColor="accent3" w:themeShade="80"/>
                <w:sz w:val="20"/>
                <w:szCs w:val="20"/>
              </w:rPr>
            </w:pPr>
            <w:r w:rsidRPr="00AF5E22">
              <w:rPr>
                <w:b/>
                <w:bCs/>
                <w:color w:val="35363A" w:themeColor="accent3" w:themeShade="80"/>
                <w:sz w:val="20"/>
                <w:szCs w:val="20"/>
              </w:rPr>
              <w:t>T, °C</w:t>
            </w:r>
          </w:p>
        </w:tc>
        <w:tc>
          <w:tcPr>
            <w:tcW w:w="940" w:type="dxa"/>
            <w:shd w:val="clear" w:color="auto" w:fill="D5DCE4" w:themeFill="text2" w:themeFillTint="33"/>
            <w:vAlign w:val="center"/>
            <w:hideMark/>
          </w:tcPr>
          <w:p w14:paraId="119111FE" w14:textId="77777777" w:rsidR="00957A78" w:rsidRPr="00AF5E22" w:rsidRDefault="00957A78" w:rsidP="00A72B0A">
            <w:pPr>
              <w:jc w:val="center"/>
              <w:rPr>
                <w:b/>
                <w:bCs/>
                <w:color w:val="35363A" w:themeColor="accent3" w:themeShade="80"/>
                <w:sz w:val="20"/>
                <w:szCs w:val="20"/>
              </w:rPr>
            </w:pPr>
            <w:r w:rsidRPr="00AF5E22">
              <w:rPr>
                <w:b/>
                <w:bCs/>
                <w:color w:val="35363A" w:themeColor="accent3" w:themeShade="80"/>
                <w:sz w:val="20"/>
                <w:szCs w:val="20"/>
              </w:rPr>
              <w:t>P, մմ</w:t>
            </w:r>
          </w:p>
        </w:tc>
        <w:tc>
          <w:tcPr>
            <w:tcW w:w="860" w:type="dxa"/>
            <w:shd w:val="clear" w:color="auto" w:fill="D5DCE4" w:themeFill="text2" w:themeFillTint="33"/>
            <w:vAlign w:val="center"/>
            <w:hideMark/>
          </w:tcPr>
          <w:p w14:paraId="056BF998" w14:textId="77777777" w:rsidR="00957A78" w:rsidRPr="00AF5E22" w:rsidRDefault="00957A78" w:rsidP="00A72B0A">
            <w:pPr>
              <w:jc w:val="center"/>
              <w:rPr>
                <w:b/>
                <w:bCs/>
                <w:color w:val="35363A" w:themeColor="accent3" w:themeShade="80"/>
                <w:sz w:val="20"/>
                <w:szCs w:val="20"/>
              </w:rPr>
            </w:pPr>
            <w:r w:rsidRPr="00AF5E22">
              <w:rPr>
                <w:b/>
                <w:bCs/>
                <w:color w:val="35363A" w:themeColor="accent3" w:themeShade="80"/>
                <w:sz w:val="20"/>
                <w:szCs w:val="20"/>
              </w:rPr>
              <w:t>T, °C</w:t>
            </w:r>
          </w:p>
        </w:tc>
        <w:tc>
          <w:tcPr>
            <w:tcW w:w="880" w:type="dxa"/>
            <w:shd w:val="clear" w:color="auto" w:fill="D5DCE4" w:themeFill="text2" w:themeFillTint="33"/>
            <w:vAlign w:val="center"/>
            <w:hideMark/>
          </w:tcPr>
          <w:p w14:paraId="1A52F82A" w14:textId="77777777" w:rsidR="00957A78" w:rsidRPr="00AF5E22" w:rsidRDefault="00957A78" w:rsidP="00A72B0A">
            <w:pPr>
              <w:jc w:val="center"/>
              <w:rPr>
                <w:b/>
                <w:bCs/>
                <w:color w:val="35363A" w:themeColor="accent3" w:themeShade="80"/>
                <w:sz w:val="20"/>
                <w:szCs w:val="20"/>
              </w:rPr>
            </w:pPr>
            <w:r w:rsidRPr="00AF5E22">
              <w:rPr>
                <w:b/>
                <w:bCs/>
                <w:color w:val="35363A" w:themeColor="accent3" w:themeShade="80"/>
                <w:sz w:val="20"/>
                <w:szCs w:val="20"/>
              </w:rPr>
              <w:t>P, մմ</w:t>
            </w:r>
          </w:p>
        </w:tc>
        <w:tc>
          <w:tcPr>
            <w:tcW w:w="880" w:type="dxa"/>
            <w:shd w:val="clear" w:color="auto" w:fill="D5DCE4" w:themeFill="text2" w:themeFillTint="33"/>
            <w:vAlign w:val="center"/>
            <w:hideMark/>
          </w:tcPr>
          <w:p w14:paraId="7C0722B8" w14:textId="77777777" w:rsidR="00957A78" w:rsidRPr="00AF5E22" w:rsidRDefault="00957A78" w:rsidP="00A72B0A">
            <w:pPr>
              <w:jc w:val="center"/>
              <w:rPr>
                <w:b/>
                <w:bCs/>
                <w:color w:val="35363A" w:themeColor="accent3" w:themeShade="80"/>
                <w:sz w:val="20"/>
                <w:szCs w:val="20"/>
              </w:rPr>
            </w:pPr>
            <w:r w:rsidRPr="00AF5E22">
              <w:rPr>
                <w:b/>
                <w:bCs/>
                <w:color w:val="35363A" w:themeColor="accent3" w:themeShade="80"/>
                <w:sz w:val="20"/>
                <w:szCs w:val="20"/>
              </w:rPr>
              <w:t>T, °C</w:t>
            </w:r>
          </w:p>
        </w:tc>
        <w:tc>
          <w:tcPr>
            <w:tcW w:w="800" w:type="dxa"/>
            <w:shd w:val="clear" w:color="auto" w:fill="D5DCE4" w:themeFill="text2" w:themeFillTint="33"/>
            <w:vAlign w:val="center"/>
            <w:hideMark/>
          </w:tcPr>
          <w:p w14:paraId="38CBE747" w14:textId="77777777" w:rsidR="00957A78" w:rsidRPr="00AF5E22" w:rsidRDefault="00957A78" w:rsidP="00A72B0A">
            <w:pPr>
              <w:jc w:val="center"/>
              <w:rPr>
                <w:b/>
                <w:bCs/>
                <w:color w:val="35363A" w:themeColor="accent3" w:themeShade="80"/>
                <w:sz w:val="20"/>
                <w:szCs w:val="20"/>
              </w:rPr>
            </w:pPr>
            <w:r w:rsidRPr="00AF5E22">
              <w:rPr>
                <w:b/>
                <w:bCs/>
                <w:color w:val="35363A" w:themeColor="accent3" w:themeShade="80"/>
                <w:sz w:val="20"/>
                <w:szCs w:val="20"/>
              </w:rPr>
              <w:t>P, մմ</w:t>
            </w:r>
          </w:p>
        </w:tc>
      </w:tr>
      <w:tr w:rsidR="00957A78" w:rsidRPr="00AF5E22" w14:paraId="6F338FE6" w14:textId="77777777" w:rsidTr="00A72B0A">
        <w:trPr>
          <w:trHeight w:val="432"/>
          <w:jc w:val="center"/>
        </w:trPr>
        <w:tc>
          <w:tcPr>
            <w:tcW w:w="2972" w:type="dxa"/>
            <w:noWrap/>
            <w:vAlign w:val="center"/>
            <w:hideMark/>
          </w:tcPr>
          <w:p w14:paraId="68BF6D74" w14:textId="77777777" w:rsidR="00957A78" w:rsidRPr="00AF5E22" w:rsidRDefault="00957A78" w:rsidP="00A72B0A">
            <w:pPr>
              <w:rPr>
                <w:bCs/>
                <w:sz w:val="20"/>
                <w:szCs w:val="20"/>
              </w:rPr>
            </w:pPr>
            <w:r w:rsidRPr="00AF5E22">
              <w:rPr>
                <w:bCs/>
                <w:sz w:val="20"/>
                <w:szCs w:val="20"/>
              </w:rPr>
              <w:t>&lt; 800</w:t>
            </w:r>
          </w:p>
        </w:tc>
        <w:tc>
          <w:tcPr>
            <w:tcW w:w="1060" w:type="dxa"/>
            <w:noWrap/>
            <w:vAlign w:val="center"/>
            <w:hideMark/>
          </w:tcPr>
          <w:p w14:paraId="12D6F102" w14:textId="77777777" w:rsidR="00957A78" w:rsidRPr="00AF5E22" w:rsidRDefault="00957A78" w:rsidP="00A72B0A">
            <w:pPr>
              <w:jc w:val="center"/>
              <w:rPr>
                <w:bCs/>
                <w:sz w:val="20"/>
                <w:szCs w:val="20"/>
              </w:rPr>
            </w:pPr>
            <w:r w:rsidRPr="00AF5E22">
              <w:rPr>
                <w:bCs/>
                <w:sz w:val="20"/>
                <w:szCs w:val="20"/>
              </w:rPr>
              <w:t>11.2</w:t>
            </w:r>
          </w:p>
        </w:tc>
        <w:tc>
          <w:tcPr>
            <w:tcW w:w="780" w:type="dxa"/>
            <w:noWrap/>
            <w:vAlign w:val="center"/>
            <w:hideMark/>
          </w:tcPr>
          <w:p w14:paraId="5AE88DF3" w14:textId="77777777" w:rsidR="00957A78" w:rsidRPr="00AF5E22" w:rsidRDefault="00957A78" w:rsidP="00A72B0A">
            <w:pPr>
              <w:jc w:val="center"/>
              <w:rPr>
                <w:bCs/>
                <w:sz w:val="20"/>
                <w:szCs w:val="20"/>
              </w:rPr>
            </w:pPr>
            <w:r w:rsidRPr="00AF5E22">
              <w:rPr>
                <w:bCs/>
                <w:sz w:val="20"/>
                <w:szCs w:val="20"/>
              </w:rPr>
              <w:t>467</w:t>
            </w:r>
          </w:p>
        </w:tc>
        <w:tc>
          <w:tcPr>
            <w:tcW w:w="800" w:type="dxa"/>
            <w:noWrap/>
            <w:vAlign w:val="center"/>
            <w:hideMark/>
          </w:tcPr>
          <w:p w14:paraId="269A9445" w14:textId="77777777" w:rsidR="00957A78" w:rsidRPr="00AF5E22" w:rsidRDefault="00957A78" w:rsidP="00A72B0A">
            <w:pPr>
              <w:jc w:val="center"/>
              <w:rPr>
                <w:bCs/>
                <w:sz w:val="20"/>
                <w:szCs w:val="20"/>
              </w:rPr>
            </w:pPr>
            <w:r w:rsidRPr="00AF5E22">
              <w:rPr>
                <w:bCs/>
                <w:sz w:val="20"/>
                <w:szCs w:val="20"/>
              </w:rPr>
              <w:t>12.8</w:t>
            </w:r>
          </w:p>
        </w:tc>
        <w:tc>
          <w:tcPr>
            <w:tcW w:w="940" w:type="dxa"/>
            <w:noWrap/>
            <w:vAlign w:val="center"/>
            <w:hideMark/>
          </w:tcPr>
          <w:p w14:paraId="1336F19D" w14:textId="77777777" w:rsidR="00957A78" w:rsidRPr="00AF5E22" w:rsidRDefault="00957A78" w:rsidP="00A72B0A">
            <w:pPr>
              <w:jc w:val="center"/>
              <w:rPr>
                <w:bCs/>
                <w:sz w:val="20"/>
                <w:szCs w:val="20"/>
              </w:rPr>
            </w:pPr>
            <w:r w:rsidRPr="00AF5E22">
              <w:rPr>
                <w:bCs/>
                <w:sz w:val="20"/>
                <w:szCs w:val="20"/>
              </w:rPr>
              <w:t>452</w:t>
            </w:r>
          </w:p>
        </w:tc>
        <w:tc>
          <w:tcPr>
            <w:tcW w:w="860" w:type="dxa"/>
            <w:noWrap/>
            <w:vAlign w:val="center"/>
            <w:hideMark/>
          </w:tcPr>
          <w:p w14:paraId="3DDFBFA5" w14:textId="77777777" w:rsidR="00957A78" w:rsidRPr="00AF5E22" w:rsidRDefault="00957A78" w:rsidP="00A72B0A">
            <w:pPr>
              <w:jc w:val="center"/>
              <w:rPr>
                <w:bCs/>
                <w:sz w:val="20"/>
                <w:szCs w:val="20"/>
              </w:rPr>
            </w:pPr>
            <w:r w:rsidRPr="00AF5E22">
              <w:rPr>
                <w:bCs/>
                <w:sz w:val="20"/>
                <w:szCs w:val="20"/>
              </w:rPr>
              <w:t>14.5</w:t>
            </w:r>
          </w:p>
        </w:tc>
        <w:tc>
          <w:tcPr>
            <w:tcW w:w="880" w:type="dxa"/>
            <w:noWrap/>
            <w:vAlign w:val="center"/>
            <w:hideMark/>
          </w:tcPr>
          <w:p w14:paraId="4BC7EBD7" w14:textId="77777777" w:rsidR="00957A78" w:rsidRPr="00AF5E22" w:rsidRDefault="00957A78" w:rsidP="00A72B0A">
            <w:pPr>
              <w:jc w:val="center"/>
              <w:rPr>
                <w:bCs/>
                <w:sz w:val="20"/>
                <w:szCs w:val="20"/>
              </w:rPr>
            </w:pPr>
            <w:r w:rsidRPr="00AF5E22">
              <w:rPr>
                <w:bCs/>
                <w:sz w:val="20"/>
                <w:szCs w:val="20"/>
              </w:rPr>
              <w:t>439</w:t>
            </w:r>
          </w:p>
        </w:tc>
        <w:tc>
          <w:tcPr>
            <w:tcW w:w="880" w:type="dxa"/>
            <w:noWrap/>
            <w:vAlign w:val="center"/>
            <w:hideMark/>
          </w:tcPr>
          <w:p w14:paraId="4FAF7B36" w14:textId="77777777" w:rsidR="00957A78" w:rsidRPr="00AF5E22" w:rsidRDefault="00957A78" w:rsidP="00A72B0A">
            <w:pPr>
              <w:jc w:val="center"/>
              <w:rPr>
                <w:bCs/>
                <w:sz w:val="20"/>
                <w:szCs w:val="20"/>
              </w:rPr>
            </w:pPr>
            <w:r w:rsidRPr="00AF5E22">
              <w:rPr>
                <w:bCs/>
                <w:sz w:val="20"/>
                <w:szCs w:val="20"/>
              </w:rPr>
              <w:t>15.9</w:t>
            </w:r>
          </w:p>
        </w:tc>
        <w:tc>
          <w:tcPr>
            <w:tcW w:w="800" w:type="dxa"/>
            <w:noWrap/>
            <w:vAlign w:val="center"/>
            <w:hideMark/>
          </w:tcPr>
          <w:p w14:paraId="1A1693DF" w14:textId="77777777" w:rsidR="00957A78" w:rsidRPr="00AF5E22" w:rsidRDefault="00957A78" w:rsidP="00A72B0A">
            <w:pPr>
              <w:jc w:val="center"/>
              <w:rPr>
                <w:bCs/>
                <w:sz w:val="20"/>
                <w:szCs w:val="20"/>
              </w:rPr>
            </w:pPr>
            <w:r w:rsidRPr="00AF5E22">
              <w:rPr>
                <w:bCs/>
                <w:sz w:val="20"/>
                <w:szCs w:val="20"/>
              </w:rPr>
              <w:t>426</w:t>
            </w:r>
          </w:p>
        </w:tc>
      </w:tr>
      <w:tr w:rsidR="00957A78" w:rsidRPr="00AF5E22" w14:paraId="2DEFCF12" w14:textId="77777777" w:rsidTr="00A72B0A">
        <w:trPr>
          <w:trHeight w:val="432"/>
          <w:jc w:val="center"/>
        </w:trPr>
        <w:tc>
          <w:tcPr>
            <w:tcW w:w="2972" w:type="dxa"/>
            <w:noWrap/>
            <w:vAlign w:val="center"/>
            <w:hideMark/>
          </w:tcPr>
          <w:p w14:paraId="28246C1C" w14:textId="77777777" w:rsidR="00957A78" w:rsidRPr="00AF5E22" w:rsidRDefault="00957A78" w:rsidP="00A72B0A">
            <w:pPr>
              <w:rPr>
                <w:bCs/>
                <w:sz w:val="20"/>
                <w:szCs w:val="20"/>
              </w:rPr>
            </w:pPr>
            <w:r w:rsidRPr="00AF5E22">
              <w:rPr>
                <w:bCs/>
                <w:sz w:val="20"/>
                <w:szCs w:val="20"/>
              </w:rPr>
              <w:t>800 – 1000</w:t>
            </w:r>
          </w:p>
        </w:tc>
        <w:tc>
          <w:tcPr>
            <w:tcW w:w="1060" w:type="dxa"/>
            <w:noWrap/>
            <w:vAlign w:val="center"/>
            <w:hideMark/>
          </w:tcPr>
          <w:p w14:paraId="185423E6" w14:textId="77777777" w:rsidR="00957A78" w:rsidRPr="00AF5E22" w:rsidRDefault="00957A78" w:rsidP="00A72B0A">
            <w:pPr>
              <w:jc w:val="center"/>
              <w:rPr>
                <w:bCs/>
                <w:sz w:val="20"/>
                <w:szCs w:val="20"/>
              </w:rPr>
            </w:pPr>
            <w:r w:rsidRPr="00AF5E22">
              <w:rPr>
                <w:bCs/>
                <w:sz w:val="20"/>
                <w:szCs w:val="20"/>
              </w:rPr>
              <w:t>10.8</w:t>
            </w:r>
          </w:p>
        </w:tc>
        <w:tc>
          <w:tcPr>
            <w:tcW w:w="780" w:type="dxa"/>
            <w:noWrap/>
            <w:vAlign w:val="center"/>
            <w:hideMark/>
          </w:tcPr>
          <w:p w14:paraId="6EF1EB18" w14:textId="77777777" w:rsidR="00957A78" w:rsidRPr="00AF5E22" w:rsidRDefault="00957A78" w:rsidP="00A72B0A">
            <w:pPr>
              <w:jc w:val="center"/>
              <w:rPr>
                <w:bCs/>
                <w:sz w:val="20"/>
                <w:szCs w:val="20"/>
              </w:rPr>
            </w:pPr>
            <w:r w:rsidRPr="00AF5E22">
              <w:rPr>
                <w:bCs/>
                <w:sz w:val="20"/>
                <w:szCs w:val="20"/>
              </w:rPr>
              <w:t>343</w:t>
            </w:r>
          </w:p>
        </w:tc>
        <w:tc>
          <w:tcPr>
            <w:tcW w:w="800" w:type="dxa"/>
            <w:noWrap/>
            <w:vAlign w:val="center"/>
            <w:hideMark/>
          </w:tcPr>
          <w:p w14:paraId="51D4EEEE" w14:textId="77777777" w:rsidR="00957A78" w:rsidRPr="00AF5E22" w:rsidRDefault="00957A78" w:rsidP="00A72B0A">
            <w:pPr>
              <w:jc w:val="center"/>
              <w:rPr>
                <w:bCs/>
                <w:sz w:val="20"/>
                <w:szCs w:val="20"/>
              </w:rPr>
            </w:pPr>
            <w:r w:rsidRPr="00AF5E22">
              <w:rPr>
                <w:bCs/>
                <w:sz w:val="20"/>
                <w:szCs w:val="20"/>
              </w:rPr>
              <w:t>12.4</w:t>
            </w:r>
          </w:p>
        </w:tc>
        <w:tc>
          <w:tcPr>
            <w:tcW w:w="940" w:type="dxa"/>
            <w:noWrap/>
            <w:vAlign w:val="center"/>
            <w:hideMark/>
          </w:tcPr>
          <w:p w14:paraId="70DEF9FF" w14:textId="77777777" w:rsidR="00957A78" w:rsidRPr="00AF5E22" w:rsidRDefault="00957A78" w:rsidP="00A72B0A">
            <w:pPr>
              <w:jc w:val="center"/>
              <w:rPr>
                <w:bCs/>
                <w:sz w:val="20"/>
                <w:szCs w:val="20"/>
              </w:rPr>
            </w:pPr>
            <w:r w:rsidRPr="00AF5E22">
              <w:rPr>
                <w:bCs/>
                <w:sz w:val="20"/>
                <w:szCs w:val="20"/>
              </w:rPr>
              <w:t>332</w:t>
            </w:r>
          </w:p>
        </w:tc>
        <w:tc>
          <w:tcPr>
            <w:tcW w:w="860" w:type="dxa"/>
            <w:noWrap/>
            <w:vAlign w:val="center"/>
            <w:hideMark/>
          </w:tcPr>
          <w:p w14:paraId="3529AE2A" w14:textId="77777777" w:rsidR="00957A78" w:rsidRPr="00AF5E22" w:rsidRDefault="00957A78" w:rsidP="00A72B0A">
            <w:pPr>
              <w:jc w:val="center"/>
              <w:rPr>
                <w:bCs/>
                <w:sz w:val="20"/>
                <w:szCs w:val="20"/>
              </w:rPr>
            </w:pPr>
            <w:r w:rsidRPr="00AF5E22">
              <w:rPr>
                <w:bCs/>
                <w:sz w:val="20"/>
                <w:szCs w:val="20"/>
              </w:rPr>
              <w:t>14.1</w:t>
            </w:r>
          </w:p>
        </w:tc>
        <w:tc>
          <w:tcPr>
            <w:tcW w:w="880" w:type="dxa"/>
            <w:noWrap/>
            <w:vAlign w:val="center"/>
            <w:hideMark/>
          </w:tcPr>
          <w:p w14:paraId="1B0B44EC" w14:textId="77777777" w:rsidR="00957A78" w:rsidRPr="00AF5E22" w:rsidRDefault="00957A78" w:rsidP="00A72B0A">
            <w:pPr>
              <w:jc w:val="center"/>
              <w:rPr>
                <w:bCs/>
                <w:sz w:val="20"/>
                <w:szCs w:val="20"/>
              </w:rPr>
            </w:pPr>
            <w:r w:rsidRPr="00AF5E22">
              <w:rPr>
                <w:bCs/>
                <w:sz w:val="20"/>
                <w:szCs w:val="20"/>
              </w:rPr>
              <w:t>322</w:t>
            </w:r>
          </w:p>
        </w:tc>
        <w:tc>
          <w:tcPr>
            <w:tcW w:w="880" w:type="dxa"/>
            <w:noWrap/>
            <w:vAlign w:val="center"/>
            <w:hideMark/>
          </w:tcPr>
          <w:p w14:paraId="1A5FC609" w14:textId="77777777" w:rsidR="00957A78" w:rsidRPr="00AF5E22" w:rsidRDefault="00957A78" w:rsidP="00A72B0A">
            <w:pPr>
              <w:jc w:val="center"/>
              <w:rPr>
                <w:bCs/>
                <w:sz w:val="20"/>
                <w:szCs w:val="20"/>
              </w:rPr>
            </w:pPr>
            <w:r w:rsidRPr="00AF5E22">
              <w:rPr>
                <w:bCs/>
                <w:sz w:val="20"/>
                <w:szCs w:val="20"/>
              </w:rPr>
              <w:t>15.5</w:t>
            </w:r>
          </w:p>
        </w:tc>
        <w:tc>
          <w:tcPr>
            <w:tcW w:w="800" w:type="dxa"/>
            <w:noWrap/>
            <w:vAlign w:val="center"/>
            <w:hideMark/>
          </w:tcPr>
          <w:p w14:paraId="673D18DD" w14:textId="77777777" w:rsidR="00957A78" w:rsidRPr="00AF5E22" w:rsidRDefault="00957A78" w:rsidP="00A72B0A">
            <w:pPr>
              <w:jc w:val="center"/>
              <w:rPr>
                <w:bCs/>
                <w:sz w:val="20"/>
                <w:szCs w:val="20"/>
              </w:rPr>
            </w:pPr>
            <w:r w:rsidRPr="00AF5E22">
              <w:rPr>
                <w:bCs/>
                <w:sz w:val="20"/>
                <w:szCs w:val="20"/>
              </w:rPr>
              <w:t>313</w:t>
            </w:r>
          </w:p>
        </w:tc>
      </w:tr>
      <w:tr w:rsidR="00957A78" w:rsidRPr="00AF5E22" w14:paraId="573DE963" w14:textId="77777777" w:rsidTr="00A72B0A">
        <w:trPr>
          <w:trHeight w:val="432"/>
          <w:jc w:val="center"/>
        </w:trPr>
        <w:tc>
          <w:tcPr>
            <w:tcW w:w="2972" w:type="dxa"/>
            <w:noWrap/>
            <w:vAlign w:val="center"/>
            <w:hideMark/>
          </w:tcPr>
          <w:p w14:paraId="63E7B7E2" w14:textId="77777777" w:rsidR="00957A78" w:rsidRPr="00AF5E22" w:rsidRDefault="00957A78" w:rsidP="00A72B0A">
            <w:pPr>
              <w:rPr>
                <w:bCs/>
                <w:sz w:val="20"/>
                <w:szCs w:val="20"/>
              </w:rPr>
            </w:pPr>
            <w:r w:rsidRPr="00AF5E22">
              <w:rPr>
                <w:bCs/>
                <w:sz w:val="20"/>
                <w:szCs w:val="20"/>
              </w:rPr>
              <w:t>1000 - 1500</w:t>
            </w:r>
          </w:p>
        </w:tc>
        <w:tc>
          <w:tcPr>
            <w:tcW w:w="1060" w:type="dxa"/>
            <w:noWrap/>
            <w:vAlign w:val="center"/>
            <w:hideMark/>
          </w:tcPr>
          <w:p w14:paraId="4B864AD8" w14:textId="77777777" w:rsidR="00957A78" w:rsidRPr="00AF5E22" w:rsidRDefault="00957A78" w:rsidP="00A72B0A">
            <w:pPr>
              <w:jc w:val="center"/>
              <w:rPr>
                <w:bCs/>
                <w:sz w:val="20"/>
                <w:szCs w:val="20"/>
              </w:rPr>
            </w:pPr>
            <w:r w:rsidRPr="00AF5E22">
              <w:rPr>
                <w:bCs/>
                <w:sz w:val="20"/>
                <w:szCs w:val="20"/>
              </w:rPr>
              <w:t>8.4</w:t>
            </w:r>
          </w:p>
        </w:tc>
        <w:tc>
          <w:tcPr>
            <w:tcW w:w="780" w:type="dxa"/>
            <w:noWrap/>
            <w:vAlign w:val="center"/>
            <w:hideMark/>
          </w:tcPr>
          <w:p w14:paraId="79F20FF7" w14:textId="77777777" w:rsidR="00957A78" w:rsidRPr="00AF5E22" w:rsidRDefault="00957A78" w:rsidP="00A72B0A">
            <w:pPr>
              <w:jc w:val="center"/>
              <w:rPr>
                <w:bCs/>
                <w:sz w:val="20"/>
                <w:szCs w:val="20"/>
              </w:rPr>
            </w:pPr>
            <w:r w:rsidRPr="00AF5E22">
              <w:rPr>
                <w:bCs/>
                <w:sz w:val="20"/>
                <w:szCs w:val="20"/>
              </w:rPr>
              <w:t>502</w:t>
            </w:r>
          </w:p>
        </w:tc>
        <w:tc>
          <w:tcPr>
            <w:tcW w:w="800" w:type="dxa"/>
            <w:noWrap/>
            <w:vAlign w:val="center"/>
            <w:hideMark/>
          </w:tcPr>
          <w:p w14:paraId="565B6C38" w14:textId="77777777" w:rsidR="00957A78" w:rsidRPr="00AF5E22" w:rsidRDefault="00957A78" w:rsidP="00A72B0A">
            <w:pPr>
              <w:jc w:val="center"/>
              <w:rPr>
                <w:bCs/>
                <w:sz w:val="20"/>
                <w:szCs w:val="20"/>
              </w:rPr>
            </w:pPr>
            <w:r w:rsidRPr="00AF5E22">
              <w:rPr>
                <w:bCs/>
                <w:sz w:val="20"/>
                <w:szCs w:val="20"/>
              </w:rPr>
              <w:t>10</w:t>
            </w:r>
          </w:p>
        </w:tc>
        <w:tc>
          <w:tcPr>
            <w:tcW w:w="940" w:type="dxa"/>
            <w:noWrap/>
            <w:vAlign w:val="center"/>
            <w:hideMark/>
          </w:tcPr>
          <w:p w14:paraId="0C5372FE" w14:textId="77777777" w:rsidR="00957A78" w:rsidRPr="00AF5E22" w:rsidRDefault="00957A78" w:rsidP="00A72B0A">
            <w:pPr>
              <w:jc w:val="center"/>
              <w:rPr>
                <w:bCs/>
                <w:sz w:val="20"/>
                <w:szCs w:val="20"/>
              </w:rPr>
            </w:pPr>
            <w:r w:rsidRPr="00AF5E22">
              <w:rPr>
                <w:bCs/>
                <w:sz w:val="20"/>
                <w:szCs w:val="20"/>
              </w:rPr>
              <w:t>486</w:t>
            </w:r>
          </w:p>
        </w:tc>
        <w:tc>
          <w:tcPr>
            <w:tcW w:w="860" w:type="dxa"/>
            <w:noWrap/>
            <w:vAlign w:val="center"/>
            <w:hideMark/>
          </w:tcPr>
          <w:p w14:paraId="786F3B29" w14:textId="77777777" w:rsidR="00957A78" w:rsidRPr="00AF5E22" w:rsidRDefault="00957A78" w:rsidP="00A72B0A">
            <w:pPr>
              <w:jc w:val="center"/>
              <w:rPr>
                <w:bCs/>
                <w:sz w:val="20"/>
                <w:szCs w:val="20"/>
              </w:rPr>
            </w:pPr>
            <w:r w:rsidRPr="00AF5E22">
              <w:rPr>
                <w:bCs/>
                <w:sz w:val="20"/>
                <w:szCs w:val="20"/>
              </w:rPr>
              <w:t>11.7</w:t>
            </w:r>
          </w:p>
        </w:tc>
        <w:tc>
          <w:tcPr>
            <w:tcW w:w="880" w:type="dxa"/>
            <w:noWrap/>
            <w:vAlign w:val="center"/>
            <w:hideMark/>
          </w:tcPr>
          <w:p w14:paraId="5E3D7945" w14:textId="77777777" w:rsidR="00957A78" w:rsidRPr="00AF5E22" w:rsidRDefault="00957A78" w:rsidP="00A72B0A">
            <w:pPr>
              <w:jc w:val="center"/>
              <w:rPr>
                <w:bCs/>
                <w:sz w:val="20"/>
                <w:szCs w:val="20"/>
              </w:rPr>
            </w:pPr>
            <w:r w:rsidRPr="00AF5E22">
              <w:rPr>
                <w:bCs/>
                <w:sz w:val="20"/>
                <w:szCs w:val="20"/>
              </w:rPr>
              <w:t>472</w:t>
            </w:r>
          </w:p>
        </w:tc>
        <w:tc>
          <w:tcPr>
            <w:tcW w:w="880" w:type="dxa"/>
            <w:noWrap/>
            <w:vAlign w:val="center"/>
            <w:hideMark/>
          </w:tcPr>
          <w:p w14:paraId="77624320" w14:textId="77777777" w:rsidR="00957A78" w:rsidRPr="00AF5E22" w:rsidRDefault="00957A78" w:rsidP="00A72B0A">
            <w:pPr>
              <w:jc w:val="center"/>
              <w:rPr>
                <w:bCs/>
                <w:sz w:val="20"/>
                <w:szCs w:val="20"/>
              </w:rPr>
            </w:pPr>
            <w:r w:rsidRPr="00AF5E22">
              <w:rPr>
                <w:bCs/>
                <w:sz w:val="20"/>
                <w:szCs w:val="20"/>
              </w:rPr>
              <w:t>13.1</w:t>
            </w:r>
          </w:p>
        </w:tc>
        <w:tc>
          <w:tcPr>
            <w:tcW w:w="800" w:type="dxa"/>
            <w:noWrap/>
            <w:vAlign w:val="center"/>
            <w:hideMark/>
          </w:tcPr>
          <w:p w14:paraId="0FB61485" w14:textId="77777777" w:rsidR="00957A78" w:rsidRPr="00AF5E22" w:rsidRDefault="00957A78" w:rsidP="00A72B0A">
            <w:pPr>
              <w:jc w:val="center"/>
              <w:rPr>
                <w:bCs/>
                <w:sz w:val="20"/>
                <w:szCs w:val="20"/>
              </w:rPr>
            </w:pPr>
            <w:r w:rsidRPr="00AF5E22">
              <w:rPr>
                <w:bCs/>
                <w:sz w:val="20"/>
                <w:szCs w:val="20"/>
              </w:rPr>
              <w:t>458</w:t>
            </w:r>
          </w:p>
        </w:tc>
      </w:tr>
      <w:tr w:rsidR="00957A78" w:rsidRPr="00AF5E22" w14:paraId="185E9952" w14:textId="77777777" w:rsidTr="00A72B0A">
        <w:trPr>
          <w:trHeight w:val="432"/>
          <w:jc w:val="center"/>
        </w:trPr>
        <w:tc>
          <w:tcPr>
            <w:tcW w:w="2972" w:type="dxa"/>
            <w:noWrap/>
            <w:vAlign w:val="center"/>
            <w:hideMark/>
          </w:tcPr>
          <w:p w14:paraId="7D2F6835" w14:textId="77777777" w:rsidR="00957A78" w:rsidRPr="00AF5E22" w:rsidRDefault="00957A78" w:rsidP="00A72B0A">
            <w:pPr>
              <w:rPr>
                <w:bCs/>
                <w:sz w:val="20"/>
                <w:szCs w:val="20"/>
              </w:rPr>
            </w:pPr>
            <w:r w:rsidRPr="00AF5E22">
              <w:rPr>
                <w:bCs/>
                <w:sz w:val="20"/>
                <w:szCs w:val="20"/>
              </w:rPr>
              <w:t>1500 - 2000</w:t>
            </w:r>
          </w:p>
        </w:tc>
        <w:tc>
          <w:tcPr>
            <w:tcW w:w="1060" w:type="dxa"/>
            <w:noWrap/>
            <w:vAlign w:val="center"/>
            <w:hideMark/>
          </w:tcPr>
          <w:p w14:paraId="1EBDB304" w14:textId="77777777" w:rsidR="00957A78" w:rsidRPr="00AF5E22" w:rsidRDefault="00957A78" w:rsidP="00A72B0A">
            <w:pPr>
              <w:jc w:val="center"/>
              <w:rPr>
                <w:bCs/>
                <w:sz w:val="20"/>
                <w:szCs w:val="20"/>
              </w:rPr>
            </w:pPr>
            <w:r w:rsidRPr="00AF5E22">
              <w:rPr>
                <w:bCs/>
                <w:sz w:val="20"/>
                <w:szCs w:val="20"/>
              </w:rPr>
              <w:t>5.5</w:t>
            </w:r>
          </w:p>
        </w:tc>
        <w:tc>
          <w:tcPr>
            <w:tcW w:w="780" w:type="dxa"/>
            <w:noWrap/>
            <w:vAlign w:val="center"/>
            <w:hideMark/>
          </w:tcPr>
          <w:p w14:paraId="6E895A5F" w14:textId="77777777" w:rsidR="00957A78" w:rsidRPr="00AF5E22" w:rsidRDefault="00957A78" w:rsidP="00A72B0A">
            <w:pPr>
              <w:jc w:val="center"/>
              <w:rPr>
                <w:bCs/>
                <w:sz w:val="20"/>
                <w:szCs w:val="20"/>
              </w:rPr>
            </w:pPr>
            <w:r w:rsidRPr="00AF5E22">
              <w:rPr>
                <w:bCs/>
                <w:sz w:val="20"/>
                <w:szCs w:val="20"/>
              </w:rPr>
              <w:t>592</w:t>
            </w:r>
          </w:p>
        </w:tc>
        <w:tc>
          <w:tcPr>
            <w:tcW w:w="800" w:type="dxa"/>
            <w:noWrap/>
            <w:vAlign w:val="center"/>
            <w:hideMark/>
          </w:tcPr>
          <w:p w14:paraId="265CD803" w14:textId="77777777" w:rsidR="00957A78" w:rsidRPr="00AF5E22" w:rsidRDefault="00957A78" w:rsidP="00A72B0A">
            <w:pPr>
              <w:jc w:val="center"/>
              <w:rPr>
                <w:bCs/>
                <w:sz w:val="20"/>
                <w:szCs w:val="20"/>
              </w:rPr>
            </w:pPr>
            <w:r w:rsidRPr="00AF5E22">
              <w:rPr>
                <w:bCs/>
                <w:sz w:val="20"/>
                <w:szCs w:val="20"/>
              </w:rPr>
              <w:t>7.1</w:t>
            </w:r>
          </w:p>
        </w:tc>
        <w:tc>
          <w:tcPr>
            <w:tcW w:w="940" w:type="dxa"/>
            <w:noWrap/>
            <w:vAlign w:val="center"/>
            <w:hideMark/>
          </w:tcPr>
          <w:p w14:paraId="52D7BB56" w14:textId="77777777" w:rsidR="00957A78" w:rsidRPr="00AF5E22" w:rsidRDefault="00957A78" w:rsidP="00A72B0A">
            <w:pPr>
              <w:jc w:val="center"/>
              <w:rPr>
                <w:bCs/>
                <w:sz w:val="20"/>
                <w:szCs w:val="20"/>
              </w:rPr>
            </w:pPr>
            <w:r w:rsidRPr="00AF5E22">
              <w:rPr>
                <w:bCs/>
                <w:sz w:val="20"/>
                <w:szCs w:val="20"/>
              </w:rPr>
              <w:t>573</w:t>
            </w:r>
          </w:p>
        </w:tc>
        <w:tc>
          <w:tcPr>
            <w:tcW w:w="860" w:type="dxa"/>
            <w:noWrap/>
            <w:vAlign w:val="center"/>
            <w:hideMark/>
          </w:tcPr>
          <w:p w14:paraId="393AC0B0" w14:textId="77777777" w:rsidR="00957A78" w:rsidRPr="00AF5E22" w:rsidRDefault="00957A78" w:rsidP="00A72B0A">
            <w:pPr>
              <w:jc w:val="center"/>
              <w:rPr>
                <w:bCs/>
                <w:sz w:val="20"/>
                <w:szCs w:val="20"/>
              </w:rPr>
            </w:pPr>
            <w:r w:rsidRPr="00AF5E22">
              <w:rPr>
                <w:bCs/>
                <w:sz w:val="20"/>
                <w:szCs w:val="20"/>
              </w:rPr>
              <w:t>8.8</w:t>
            </w:r>
          </w:p>
        </w:tc>
        <w:tc>
          <w:tcPr>
            <w:tcW w:w="880" w:type="dxa"/>
            <w:noWrap/>
            <w:vAlign w:val="center"/>
            <w:hideMark/>
          </w:tcPr>
          <w:p w14:paraId="1DFEEFBD" w14:textId="77777777" w:rsidR="00957A78" w:rsidRPr="00AF5E22" w:rsidRDefault="00957A78" w:rsidP="00A72B0A">
            <w:pPr>
              <w:jc w:val="center"/>
              <w:rPr>
                <w:bCs/>
                <w:sz w:val="20"/>
                <w:szCs w:val="20"/>
              </w:rPr>
            </w:pPr>
            <w:r w:rsidRPr="00AF5E22">
              <w:rPr>
                <w:bCs/>
                <w:sz w:val="20"/>
                <w:szCs w:val="20"/>
              </w:rPr>
              <w:t>557</w:t>
            </w:r>
          </w:p>
        </w:tc>
        <w:tc>
          <w:tcPr>
            <w:tcW w:w="880" w:type="dxa"/>
            <w:noWrap/>
            <w:vAlign w:val="center"/>
            <w:hideMark/>
          </w:tcPr>
          <w:p w14:paraId="583FEA4B" w14:textId="77777777" w:rsidR="00957A78" w:rsidRPr="00AF5E22" w:rsidRDefault="00957A78" w:rsidP="00A72B0A">
            <w:pPr>
              <w:jc w:val="center"/>
              <w:rPr>
                <w:bCs/>
                <w:sz w:val="20"/>
                <w:szCs w:val="20"/>
              </w:rPr>
            </w:pPr>
            <w:r w:rsidRPr="00AF5E22">
              <w:rPr>
                <w:bCs/>
                <w:sz w:val="20"/>
                <w:szCs w:val="20"/>
              </w:rPr>
              <w:t>10.2</w:t>
            </w:r>
          </w:p>
        </w:tc>
        <w:tc>
          <w:tcPr>
            <w:tcW w:w="800" w:type="dxa"/>
            <w:noWrap/>
            <w:vAlign w:val="center"/>
            <w:hideMark/>
          </w:tcPr>
          <w:p w14:paraId="270C27C6" w14:textId="77777777" w:rsidR="00957A78" w:rsidRPr="00AF5E22" w:rsidRDefault="00957A78" w:rsidP="00A72B0A">
            <w:pPr>
              <w:jc w:val="center"/>
              <w:rPr>
                <w:bCs/>
                <w:sz w:val="20"/>
                <w:szCs w:val="20"/>
              </w:rPr>
            </w:pPr>
            <w:r w:rsidRPr="00AF5E22">
              <w:rPr>
                <w:bCs/>
                <w:sz w:val="20"/>
                <w:szCs w:val="20"/>
              </w:rPr>
              <w:t>540</w:t>
            </w:r>
          </w:p>
        </w:tc>
      </w:tr>
      <w:tr w:rsidR="00957A78" w:rsidRPr="00AF5E22" w14:paraId="6DA5ECBD" w14:textId="77777777" w:rsidTr="00A72B0A">
        <w:trPr>
          <w:trHeight w:val="432"/>
          <w:jc w:val="center"/>
        </w:trPr>
        <w:tc>
          <w:tcPr>
            <w:tcW w:w="2972" w:type="dxa"/>
            <w:noWrap/>
            <w:vAlign w:val="center"/>
            <w:hideMark/>
          </w:tcPr>
          <w:p w14:paraId="002C8FB9" w14:textId="77777777" w:rsidR="00957A78" w:rsidRPr="00AF5E22" w:rsidRDefault="00957A78" w:rsidP="00A72B0A">
            <w:pPr>
              <w:rPr>
                <w:bCs/>
                <w:sz w:val="20"/>
                <w:szCs w:val="20"/>
              </w:rPr>
            </w:pPr>
            <w:r w:rsidRPr="00AF5E22">
              <w:rPr>
                <w:bCs/>
                <w:sz w:val="20"/>
                <w:szCs w:val="20"/>
              </w:rPr>
              <w:t>2000 - 2500</w:t>
            </w:r>
          </w:p>
        </w:tc>
        <w:tc>
          <w:tcPr>
            <w:tcW w:w="1060" w:type="dxa"/>
            <w:noWrap/>
            <w:vAlign w:val="center"/>
            <w:hideMark/>
          </w:tcPr>
          <w:p w14:paraId="489250C6" w14:textId="77777777" w:rsidR="00957A78" w:rsidRPr="00AF5E22" w:rsidRDefault="00957A78" w:rsidP="00A72B0A">
            <w:pPr>
              <w:jc w:val="center"/>
              <w:rPr>
                <w:bCs/>
                <w:sz w:val="20"/>
                <w:szCs w:val="20"/>
              </w:rPr>
            </w:pPr>
            <w:r w:rsidRPr="00AF5E22">
              <w:rPr>
                <w:bCs/>
                <w:sz w:val="20"/>
                <w:szCs w:val="20"/>
              </w:rPr>
              <w:t>3.3</w:t>
            </w:r>
          </w:p>
        </w:tc>
        <w:tc>
          <w:tcPr>
            <w:tcW w:w="780" w:type="dxa"/>
            <w:noWrap/>
            <w:vAlign w:val="center"/>
            <w:hideMark/>
          </w:tcPr>
          <w:p w14:paraId="303187FC" w14:textId="77777777" w:rsidR="00957A78" w:rsidRPr="00AF5E22" w:rsidRDefault="00957A78" w:rsidP="00A72B0A">
            <w:pPr>
              <w:jc w:val="center"/>
              <w:rPr>
                <w:bCs/>
                <w:sz w:val="20"/>
                <w:szCs w:val="20"/>
              </w:rPr>
            </w:pPr>
            <w:r w:rsidRPr="00AF5E22">
              <w:rPr>
                <w:bCs/>
                <w:sz w:val="20"/>
                <w:szCs w:val="20"/>
              </w:rPr>
              <w:t>660</w:t>
            </w:r>
          </w:p>
        </w:tc>
        <w:tc>
          <w:tcPr>
            <w:tcW w:w="800" w:type="dxa"/>
            <w:noWrap/>
            <w:vAlign w:val="center"/>
            <w:hideMark/>
          </w:tcPr>
          <w:p w14:paraId="773A9E6B" w14:textId="77777777" w:rsidR="00957A78" w:rsidRPr="00AF5E22" w:rsidRDefault="00957A78" w:rsidP="00A72B0A">
            <w:pPr>
              <w:jc w:val="center"/>
              <w:rPr>
                <w:bCs/>
                <w:sz w:val="20"/>
                <w:szCs w:val="20"/>
              </w:rPr>
            </w:pPr>
            <w:r w:rsidRPr="00AF5E22">
              <w:rPr>
                <w:bCs/>
                <w:sz w:val="20"/>
                <w:szCs w:val="20"/>
              </w:rPr>
              <w:t>4.9</w:t>
            </w:r>
          </w:p>
        </w:tc>
        <w:tc>
          <w:tcPr>
            <w:tcW w:w="940" w:type="dxa"/>
            <w:noWrap/>
            <w:vAlign w:val="center"/>
            <w:hideMark/>
          </w:tcPr>
          <w:p w14:paraId="1EDC60D7" w14:textId="77777777" w:rsidR="00957A78" w:rsidRPr="00AF5E22" w:rsidRDefault="00957A78" w:rsidP="00A72B0A">
            <w:pPr>
              <w:jc w:val="center"/>
              <w:rPr>
                <w:bCs/>
                <w:sz w:val="20"/>
                <w:szCs w:val="20"/>
              </w:rPr>
            </w:pPr>
            <w:r w:rsidRPr="00AF5E22">
              <w:rPr>
                <w:bCs/>
                <w:sz w:val="20"/>
                <w:szCs w:val="20"/>
              </w:rPr>
              <w:t>640</w:t>
            </w:r>
          </w:p>
        </w:tc>
        <w:tc>
          <w:tcPr>
            <w:tcW w:w="860" w:type="dxa"/>
            <w:noWrap/>
            <w:vAlign w:val="center"/>
            <w:hideMark/>
          </w:tcPr>
          <w:p w14:paraId="077BD63A" w14:textId="77777777" w:rsidR="00957A78" w:rsidRPr="00AF5E22" w:rsidRDefault="00957A78" w:rsidP="00A72B0A">
            <w:pPr>
              <w:jc w:val="center"/>
              <w:rPr>
                <w:bCs/>
                <w:sz w:val="20"/>
                <w:szCs w:val="20"/>
              </w:rPr>
            </w:pPr>
            <w:r w:rsidRPr="00AF5E22">
              <w:rPr>
                <w:bCs/>
                <w:sz w:val="20"/>
                <w:szCs w:val="20"/>
              </w:rPr>
              <w:t>6.6</w:t>
            </w:r>
          </w:p>
        </w:tc>
        <w:tc>
          <w:tcPr>
            <w:tcW w:w="880" w:type="dxa"/>
            <w:noWrap/>
            <w:vAlign w:val="center"/>
            <w:hideMark/>
          </w:tcPr>
          <w:p w14:paraId="34D61270" w14:textId="77777777" w:rsidR="00957A78" w:rsidRPr="00AF5E22" w:rsidRDefault="00957A78" w:rsidP="00A72B0A">
            <w:pPr>
              <w:jc w:val="center"/>
              <w:rPr>
                <w:bCs/>
                <w:sz w:val="20"/>
                <w:szCs w:val="20"/>
              </w:rPr>
            </w:pPr>
            <w:r w:rsidRPr="00AF5E22">
              <w:rPr>
                <w:bCs/>
                <w:sz w:val="20"/>
                <w:szCs w:val="20"/>
              </w:rPr>
              <w:t>621</w:t>
            </w:r>
          </w:p>
        </w:tc>
        <w:tc>
          <w:tcPr>
            <w:tcW w:w="880" w:type="dxa"/>
            <w:noWrap/>
            <w:vAlign w:val="center"/>
            <w:hideMark/>
          </w:tcPr>
          <w:p w14:paraId="138E2257" w14:textId="77777777" w:rsidR="00957A78" w:rsidRPr="00AF5E22" w:rsidRDefault="00957A78" w:rsidP="00A72B0A">
            <w:pPr>
              <w:jc w:val="center"/>
              <w:rPr>
                <w:bCs/>
                <w:sz w:val="20"/>
                <w:szCs w:val="20"/>
              </w:rPr>
            </w:pPr>
            <w:r w:rsidRPr="00AF5E22">
              <w:rPr>
                <w:bCs/>
                <w:sz w:val="20"/>
                <w:szCs w:val="20"/>
              </w:rPr>
              <w:t>8</w:t>
            </w:r>
          </w:p>
        </w:tc>
        <w:tc>
          <w:tcPr>
            <w:tcW w:w="800" w:type="dxa"/>
            <w:noWrap/>
            <w:vAlign w:val="center"/>
            <w:hideMark/>
          </w:tcPr>
          <w:p w14:paraId="4EC81A4D" w14:textId="77777777" w:rsidR="00957A78" w:rsidRPr="00AF5E22" w:rsidRDefault="00957A78" w:rsidP="00A72B0A">
            <w:pPr>
              <w:jc w:val="center"/>
              <w:rPr>
                <w:bCs/>
                <w:sz w:val="20"/>
                <w:szCs w:val="20"/>
              </w:rPr>
            </w:pPr>
            <w:r w:rsidRPr="00AF5E22">
              <w:rPr>
                <w:bCs/>
                <w:sz w:val="20"/>
                <w:szCs w:val="20"/>
              </w:rPr>
              <w:t>603</w:t>
            </w:r>
          </w:p>
        </w:tc>
      </w:tr>
      <w:tr w:rsidR="00957A78" w:rsidRPr="00AF5E22" w14:paraId="0D83EB4F" w14:textId="77777777" w:rsidTr="00A72B0A">
        <w:trPr>
          <w:trHeight w:val="432"/>
          <w:jc w:val="center"/>
        </w:trPr>
        <w:tc>
          <w:tcPr>
            <w:tcW w:w="2972" w:type="dxa"/>
            <w:noWrap/>
            <w:vAlign w:val="center"/>
            <w:hideMark/>
          </w:tcPr>
          <w:p w14:paraId="1177F6AA" w14:textId="77777777" w:rsidR="00957A78" w:rsidRPr="00AF5E22" w:rsidRDefault="00957A78" w:rsidP="00A72B0A">
            <w:pPr>
              <w:rPr>
                <w:bCs/>
                <w:sz w:val="20"/>
                <w:szCs w:val="20"/>
              </w:rPr>
            </w:pPr>
            <w:r w:rsidRPr="00AF5E22">
              <w:rPr>
                <w:bCs/>
                <w:sz w:val="20"/>
                <w:szCs w:val="20"/>
              </w:rPr>
              <w:t>2500 - 3000</w:t>
            </w:r>
          </w:p>
        </w:tc>
        <w:tc>
          <w:tcPr>
            <w:tcW w:w="1060" w:type="dxa"/>
            <w:noWrap/>
            <w:vAlign w:val="center"/>
            <w:hideMark/>
          </w:tcPr>
          <w:p w14:paraId="423E8FBB" w14:textId="77777777" w:rsidR="00957A78" w:rsidRPr="00AF5E22" w:rsidRDefault="00957A78" w:rsidP="00A72B0A">
            <w:pPr>
              <w:jc w:val="center"/>
              <w:rPr>
                <w:bCs/>
                <w:sz w:val="20"/>
                <w:szCs w:val="20"/>
              </w:rPr>
            </w:pPr>
            <w:r w:rsidRPr="00AF5E22">
              <w:rPr>
                <w:bCs/>
                <w:sz w:val="20"/>
                <w:szCs w:val="20"/>
              </w:rPr>
              <w:t>1.6</w:t>
            </w:r>
          </w:p>
        </w:tc>
        <w:tc>
          <w:tcPr>
            <w:tcW w:w="780" w:type="dxa"/>
            <w:noWrap/>
            <w:vAlign w:val="center"/>
            <w:hideMark/>
          </w:tcPr>
          <w:p w14:paraId="751CC6B5" w14:textId="77777777" w:rsidR="00957A78" w:rsidRPr="00AF5E22" w:rsidRDefault="00957A78" w:rsidP="00A72B0A">
            <w:pPr>
              <w:jc w:val="center"/>
              <w:rPr>
                <w:bCs/>
                <w:sz w:val="20"/>
                <w:szCs w:val="20"/>
              </w:rPr>
            </w:pPr>
            <w:r w:rsidRPr="00AF5E22">
              <w:rPr>
                <w:bCs/>
                <w:sz w:val="20"/>
                <w:szCs w:val="20"/>
              </w:rPr>
              <w:t>732</w:t>
            </w:r>
          </w:p>
        </w:tc>
        <w:tc>
          <w:tcPr>
            <w:tcW w:w="800" w:type="dxa"/>
            <w:noWrap/>
            <w:vAlign w:val="center"/>
            <w:hideMark/>
          </w:tcPr>
          <w:p w14:paraId="6BFFFC6C" w14:textId="77777777" w:rsidR="00957A78" w:rsidRPr="00AF5E22" w:rsidRDefault="00957A78" w:rsidP="00A72B0A">
            <w:pPr>
              <w:jc w:val="center"/>
              <w:rPr>
                <w:bCs/>
                <w:sz w:val="20"/>
                <w:szCs w:val="20"/>
              </w:rPr>
            </w:pPr>
            <w:r w:rsidRPr="00AF5E22">
              <w:rPr>
                <w:bCs/>
                <w:sz w:val="20"/>
                <w:szCs w:val="20"/>
              </w:rPr>
              <w:t>3.2</w:t>
            </w:r>
          </w:p>
        </w:tc>
        <w:tc>
          <w:tcPr>
            <w:tcW w:w="940" w:type="dxa"/>
            <w:noWrap/>
            <w:vAlign w:val="center"/>
            <w:hideMark/>
          </w:tcPr>
          <w:p w14:paraId="5683A003" w14:textId="77777777" w:rsidR="00957A78" w:rsidRPr="00AF5E22" w:rsidRDefault="00957A78" w:rsidP="00A72B0A">
            <w:pPr>
              <w:jc w:val="center"/>
              <w:rPr>
                <w:bCs/>
                <w:sz w:val="20"/>
                <w:szCs w:val="20"/>
              </w:rPr>
            </w:pPr>
            <w:r w:rsidRPr="00AF5E22">
              <w:rPr>
                <w:bCs/>
                <w:sz w:val="20"/>
                <w:szCs w:val="20"/>
              </w:rPr>
              <w:t>713</w:t>
            </w:r>
          </w:p>
        </w:tc>
        <w:tc>
          <w:tcPr>
            <w:tcW w:w="860" w:type="dxa"/>
            <w:noWrap/>
            <w:vAlign w:val="center"/>
            <w:hideMark/>
          </w:tcPr>
          <w:p w14:paraId="129E78C5" w14:textId="77777777" w:rsidR="00957A78" w:rsidRPr="00AF5E22" w:rsidRDefault="00957A78" w:rsidP="00A72B0A">
            <w:pPr>
              <w:jc w:val="center"/>
              <w:rPr>
                <w:bCs/>
                <w:sz w:val="20"/>
                <w:szCs w:val="20"/>
              </w:rPr>
            </w:pPr>
            <w:r w:rsidRPr="00AF5E22">
              <w:rPr>
                <w:bCs/>
                <w:sz w:val="20"/>
                <w:szCs w:val="20"/>
              </w:rPr>
              <w:t>4.9</w:t>
            </w:r>
          </w:p>
        </w:tc>
        <w:tc>
          <w:tcPr>
            <w:tcW w:w="880" w:type="dxa"/>
            <w:noWrap/>
            <w:vAlign w:val="center"/>
            <w:hideMark/>
          </w:tcPr>
          <w:p w14:paraId="648BE3B3" w14:textId="77777777" w:rsidR="00957A78" w:rsidRPr="00AF5E22" w:rsidRDefault="00957A78" w:rsidP="00A72B0A">
            <w:pPr>
              <w:jc w:val="center"/>
              <w:rPr>
                <w:bCs/>
                <w:sz w:val="20"/>
                <w:szCs w:val="20"/>
              </w:rPr>
            </w:pPr>
            <w:r w:rsidRPr="00AF5E22">
              <w:rPr>
                <w:bCs/>
                <w:sz w:val="20"/>
                <w:szCs w:val="20"/>
              </w:rPr>
              <w:t>692</w:t>
            </w:r>
          </w:p>
        </w:tc>
        <w:tc>
          <w:tcPr>
            <w:tcW w:w="880" w:type="dxa"/>
            <w:noWrap/>
            <w:vAlign w:val="center"/>
            <w:hideMark/>
          </w:tcPr>
          <w:p w14:paraId="65AB2477" w14:textId="77777777" w:rsidR="00957A78" w:rsidRPr="00AF5E22" w:rsidRDefault="00957A78" w:rsidP="00A72B0A">
            <w:pPr>
              <w:jc w:val="center"/>
              <w:rPr>
                <w:bCs/>
                <w:sz w:val="20"/>
                <w:szCs w:val="20"/>
              </w:rPr>
            </w:pPr>
            <w:r w:rsidRPr="00AF5E22">
              <w:rPr>
                <w:bCs/>
                <w:sz w:val="20"/>
                <w:szCs w:val="20"/>
              </w:rPr>
              <w:t>6.3</w:t>
            </w:r>
          </w:p>
        </w:tc>
        <w:tc>
          <w:tcPr>
            <w:tcW w:w="800" w:type="dxa"/>
            <w:noWrap/>
            <w:vAlign w:val="center"/>
            <w:hideMark/>
          </w:tcPr>
          <w:p w14:paraId="71A2CC48" w14:textId="77777777" w:rsidR="00957A78" w:rsidRPr="00AF5E22" w:rsidRDefault="00957A78" w:rsidP="00A72B0A">
            <w:pPr>
              <w:jc w:val="center"/>
              <w:rPr>
                <w:bCs/>
                <w:sz w:val="20"/>
                <w:szCs w:val="20"/>
              </w:rPr>
            </w:pPr>
            <w:r w:rsidRPr="00AF5E22">
              <w:rPr>
                <w:bCs/>
                <w:sz w:val="20"/>
                <w:szCs w:val="20"/>
              </w:rPr>
              <w:t>671</w:t>
            </w:r>
          </w:p>
        </w:tc>
      </w:tr>
      <w:tr w:rsidR="00957A78" w:rsidRPr="00AF5E22" w14:paraId="6036797A" w14:textId="77777777" w:rsidTr="00A72B0A">
        <w:trPr>
          <w:trHeight w:val="432"/>
          <w:jc w:val="center"/>
        </w:trPr>
        <w:tc>
          <w:tcPr>
            <w:tcW w:w="2972" w:type="dxa"/>
            <w:noWrap/>
            <w:vAlign w:val="center"/>
            <w:hideMark/>
          </w:tcPr>
          <w:p w14:paraId="18E6E0A3" w14:textId="77777777" w:rsidR="00957A78" w:rsidRPr="00AF5E22" w:rsidRDefault="00957A78" w:rsidP="00A72B0A">
            <w:pPr>
              <w:rPr>
                <w:bCs/>
                <w:sz w:val="20"/>
                <w:szCs w:val="20"/>
              </w:rPr>
            </w:pPr>
            <w:r w:rsidRPr="00AF5E22">
              <w:rPr>
                <w:bCs/>
                <w:sz w:val="20"/>
                <w:szCs w:val="20"/>
              </w:rPr>
              <w:t>&gt; 3000</w:t>
            </w:r>
          </w:p>
        </w:tc>
        <w:tc>
          <w:tcPr>
            <w:tcW w:w="1060" w:type="dxa"/>
            <w:noWrap/>
            <w:vAlign w:val="center"/>
            <w:hideMark/>
          </w:tcPr>
          <w:p w14:paraId="6C4483C3" w14:textId="77777777" w:rsidR="00957A78" w:rsidRPr="00AF5E22" w:rsidRDefault="00957A78" w:rsidP="00A72B0A">
            <w:pPr>
              <w:jc w:val="center"/>
              <w:rPr>
                <w:bCs/>
                <w:sz w:val="20"/>
                <w:szCs w:val="20"/>
              </w:rPr>
            </w:pPr>
            <w:r w:rsidRPr="00AF5E22">
              <w:rPr>
                <w:bCs/>
                <w:sz w:val="20"/>
                <w:szCs w:val="20"/>
              </w:rPr>
              <w:t>-0.7</w:t>
            </w:r>
          </w:p>
        </w:tc>
        <w:tc>
          <w:tcPr>
            <w:tcW w:w="780" w:type="dxa"/>
            <w:noWrap/>
            <w:vAlign w:val="center"/>
            <w:hideMark/>
          </w:tcPr>
          <w:p w14:paraId="1B7FB2AC" w14:textId="77777777" w:rsidR="00957A78" w:rsidRPr="00AF5E22" w:rsidRDefault="00957A78" w:rsidP="00A72B0A">
            <w:pPr>
              <w:jc w:val="center"/>
              <w:rPr>
                <w:bCs/>
                <w:sz w:val="20"/>
                <w:szCs w:val="20"/>
              </w:rPr>
            </w:pPr>
            <w:r w:rsidRPr="00AF5E22">
              <w:rPr>
                <w:bCs/>
                <w:sz w:val="20"/>
                <w:szCs w:val="20"/>
              </w:rPr>
              <w:t>800</w:t>
            </w:r>
          </w:p>
        </w:tc>
        <w:tc>
          <w:tcPr>
            <w:tcW w:w="800" w:type="dxa"/>
            <w:noWrap/>
            <w:vAlign w:val="center"/>
            <w:hideMark/>
          </w:tcPr>
          <w:p w14:paraId="0CF63A71" w14:textId="77777777" w:rsidR="00957A78" w:rsidRPr="00AF5E22" w:rsidRDefault="00957A78" w:rsidP="00A72B0A">
            <w:pPr>
              <w:jc w:val="center"/>
              <w:rPr>
                <w:bCs/>
                <w:sz w:val="20"/>
                <w:szCs w:val="20"/>
              </w:rPr>
            </w:pPr>
            <w:r w:rsidRPr="00AF5E22">
              <w:rPr>
                <w:bCs/>
                <w:sz w:val="20"/>
                <w:szCs w:val="20"/>
              </w:rPr>
              <w:t>0.9</w:t>
            </w:r>
          </w:p>
        </w:tc>
        <w:tc>
          <w:tcPr>
            <w:tcW w:w="940" w:type="dxa"/>
            <w:noWrap/>
            <w:vAlign w:val="center"/>
            <w:hideMark/>
          </w:tcPr>
          <w:p w14:paraId="5D2CBF3D" w14:textId="77777777" w:rsidR="00957A78" w:rsidRPr="00AF5E22" w:rsidRDefault="00957A78" w:rsidP="00A72B0A">
            <w:pPr>
              <w:jc w:val="center"/>
              <w:rPr>
                <w:bCs/>
                <w:sz w:val="20"/>
                <w:szCs w:val="20"/>
              </w:rPr>
            </w:pPr>
            <w:r w:rsidRPr="00AF5E22">
              <w:rPr>
                <w:bCs/>
                <w:sz w:val="20"/>
                <w:szCs w:val="20"/>
              </w:rPr>
              <w:t>776</w:t>
            </w:r>
          </w:p>
        </w:tc>
        <w:tc>
          <w:tcPr>
            <w:tcW w:w="860" w:type="dxa"/>
            <w:noWrap/>
            <w:vAlign w:val="center"/>
            <w:hideMark/>
          </w:tcPr>
          <w:p w14:paraId="18B17E39" w14:textId="77777777" w:rsidR="00957A78" w:rsidRPr="00AF5E22" w:rsidRDefault="00957A78" w:rsidP="00A72B0A">
            <w:pPr>
              <w:jc w:val="center"/>
              <w:rPr>
                <w:bCs/>
                <w:sz w:val="20"/>
                <w:szCs w:val="20"/>
              </w:rPr>
            </w:pPr>
            <w:r w:rsidRPr="00AF5E22">
              <w:rPr>
                <w:bCs/>
                <w:sz w:val="20"/>
                <w:szCs w:val="20"/>
              </w:rPr>
              <w:t>2.6</w:t>
            </w:r>
          </w:p>
        </w:tc>
        <w:tc>
          <w:tcPr>
            <w:tcW w:w="880" w:type="dxa"/>
            <w:noWrap/>
            <w:vAlign w:val="center"/>
            <w:hideMark/>
          </w:tcPr>
          <w:p w14:paraId="6C441C3B" w14:textId="77777777" w:rsidR="00957A78" w:rsidRPr="00AF5E22" w:rsidRDefault="00957A78" w:rsidP="00A72B0A">
            <w:pPr>
              <w:jc w:val="center"/>
              <w:rPr>
                <w:bCs/>
                <w:sz w:val="20"/>
                <w:szCs w:val="20"/>
              </w:rPr>
            </w:pPr>
            <w:r w:rsidRPr="00AF5E22">
              <w:rPr>
                <w:bCs/>
                <w:sz w:val="20"/>
                <w:szCs w:val="20"/>
              </w:rPr>
              <w:t>753</w:t>
            </w:r>
          </w:p>
        </w:tc>
        <w:tc>
          <w:tcPr>
            <w:tcW w:w="880" w:type="dxa"/>
            <w:noWrap/>
            <w:vAlign w:val="center"/>
            <w:hideMark/>
          </w:tcPr>
          <w:p w14:paraId="0BFC073C" w14:textId="77777777" w:rsidR="00957A78" w:rsidRPr="00AF5E22" w:rsidRDefault="00957A78" w:rsidP="00A72B0A">
            <w:pPr>
              <w:jc w:val="center"/>
              <w:rPr>
                <w:bCs/>
                <w:sz w:val="20"/>
                <w:szCs w:val="20"/>
              </w:rPr>
            </w:pPr>
            <w:r w:rsidRPr="00AF5E22">
              <w:rPr>
                <w:bCs/>
                <w:sz w:val="20"/>
                <w:szCs w:val="20"/>
              </w:rPr>
              <w:t>4</w:t>
            </w:r>
          </w:p>
        </w:tc>
        <w:tc>
          <w:tcPr>
            <w:tcW w:w="800" w:type="dxa"/>
            <w:noWrap/>
            <w:vAlign w:val="center"/>
            <w:hideMark/>
          </w:tcPr>
          <w:p w14:paraId="5EAE4FC1" w14:textId="77777777" w:rsidR="00957A78" w:rsidRPr="00AF5E22" w:rsidRDefault="00957A78" w:rsidP="00A72B0A">
            <w:pPr>
              <w:jc w:val="center"/>
              <w:rPr>
                <w:bCs/>
                <w:sz w:val="20"/>
                <w:szCs w:val="20"/>
              </w:rPr>
            </w:pPr>
            <w:r w:rsidRPr="00AF5E22">
              <w:rPr>
                <w:bCs/>
                <w:sz w:val="20"/>
                <w:szCs w:val="20"/>
              </w:rPr>
              <w:t>731</w:t>
            </w:r>
          </w:p>
        </w:tc>
      </w:tr>
      <w:tr w:rsidR="00957A78" w:rsidRPr="00AF5E22" w14:paraId="5624E1A9" w14:textId="77777777" w:rsidTr="00A72B0A">
        <w:trPr>
          <w:trHeight w:val="432"/>
          <w:jc w:val="center"/>
        </w:trPr>
        <w:tc>
          <w:tcPr>
            <w:tcW w:w="2972" w:type="dxa"/>
            <w:noWrap/>
            <w:vAlign w:val="center"/>
            <w:hideMark/>
          </w:tcPr>
          <w:p w14:paraId="24DF1969" w14:textId="77777777" w:rsidR="00957A78" w:rsidRPr="00AF5E22" w:rsidRDefault="00957A78" w:rsidP="00A72B0A">
            <w:pPr>
              <w:rPr>
                <w:b/>
                <w:bCs/>
                <w:sz w:val="20"/>
                <w:szCs w:val="20"/>
              </w:rPr>
            </w:pPr>
            <w:r w:rsidRPr="00AF5E22">
              <w:rPr>
                <w:b/>
                <w:bCs/>
                <w:sz w:val="20"/>
                <w:szCs w:val="20"/>
              </w:rPr>
              <w:t>Հայաստան</w:t>
            </w:r>
          </w:p>
        </w:tc>
        <w:tc>
          <w:tcPr>
            <w:tcW w:w="1060" w:type="dxa"/>
            <w:noWrap/>
            <w:vAlign w:val="center"/>
            <w:hideMark/>
          </w:tcPr>
          <w:p w14:paraId="1DDE8DB0" w14:textId="77777777" w:rsidR="00957A78" w:rsidRPr="00AF5E22" w:rsidRDefault="00957A78" w:rsidP="00A72B0A">
            <w:pPr>
              <w:jc w:val="center"/>
              <w:rPr>
                <w:b/>
                <w:bCs/>
                <w:sz w:val="20"/>
                <w:szCs w:val="20"/>
              </w:rPr>
            </w:pPr>
            <w:r w:rsidRPr="00AF5E22">
              <w:rPr>
                <w:b/>
                <w:bCs/>
                <w:sz w:val="20"/>
                <w:szCs w:val="20"/>
              </w:rPr>
              <w:t>5.5</w:t>
            </w:r>
          </w:p>
        </w:tc>
        <w:tc>
          <w:tcPr>
            <w:tcW w:w="780" w:type="dxa"/>
            <w:noWrap/>
            <w:vAlign w:val="center"/>
            <w:hideMark/>
          </w:tcPr>
          <w:p w14:paraId="7DEE69C8" w14:textId="77777777" w:rsidR="00957A78" w:rsidRPr="00AF5E22" w:rsidRDefault="00957A78" w:rsidP="00A72B0A">
            <w:pPr>
              <w:jc w:val="center"/>
              <w:rPr>
                <w:b/>
                <w:bCs/>
                <w:sz w:val="20"/>
                <w:szCs w:val="20"/>
              </w:rPr>
            </w:pPr>
            <w:r w:rsidRPr="00AF5E22">
              <w:rPr>
                <w:b/>
                <w:bCs/>
                <w:sz w:val="20"/>
                <w:szCs w:val="20"/>
              </w:rPr>
              <w:t>592</w:t>
            </w:r>
          </w:p>
        </w:tc>
        <w:tc>
          <w:tcPr>
            <w:tcW w:w="800" w:type="dxa"/>
            <w:noWrap/>
            <w:vAlign w:val="center"/>
            <w:hideMark/>
          </w:tcPr>
          <w:p w14:paraId="3E5D1D7C" w14:textId="77777777" w:rsidR="00957A78" w:rsidRPr="00AF5E22" w:rsidRDefault="00957A78" w:rsidP="00A72B0A">
            <w:pPr>
              <w:jc w:val="center"/>
              <w:rPr>
                <w:b/>
                <w:bCs/>
                <w:sz w:val="20"/>
                <w:szCs w:val="20"/>
              </w:rPr>
            </w:pPr>
            <w:r w:rsidRPr="00AF5E22">
              <w:rPr>
                <w:b/>
                <w:bCs/>
                <w:sz w:val="20"/>
                <w:szCs w:val="20"/>
              </w:rPr>
              <w:t>7.1</w:t>
            </w:r>
          </w:p>
        </w:tc>
        <w:tc>
          <w:tcPr>
            <w:tcW w:w="940" w:type="dxa"/>
            <w:noWrap/>
            <w:vAlign w:val="center"/>
            <w:hideMark/>
          </w:tcPr>
          <w:p w14:paraId="1540F365" w14:textId="77777777" w:rsidR="00957A78" w:rsidRPr="00AF5E22" w:rsidRDefault="00957A78" w:rsidP="00A72B0A">
            <w:pPr>
              <w:jc w:val="center"/>
              <w:rPr>
                <w:b/>
                <w:bCs/>
                <w:sz w:val="20"/>
                <w:szCs w:val="20"/>
              </w:rPr>
            </w:pPr>
            <w:r w:rsidRPr="00AF5E22">
              <w:rPr>
                <w:b/>
                <w:bCs/>
                <w:sz w:val="20"/>
                <w:szCs w:val="20"/>
              </w:rPr>
              <w:t>576</w:t>
            </w:r>
          </w:p>
        </w:tc>
        <w:tc>
          <w:tcPr>
            <w:tcW w:w="860" w:type="dxa"/>
            <w:noWrap/>
            <w:vAlign w:val="center"/>
            <w:hideMark/>
          </w:tcPr>
          <w:p w14:paraId="77C618E5" w14:textId="77777777" w:rsidR="00957A78" w:rsidRPr="00AF5E22" w:rsidRDefault="00957A78" w:rsidP="00A72B0A">
            <w:pPr>
              <w:jc w:val="center"/>
              <w:rPr>
                <w:b/>
                <w:bCs/>
                <w:sz w:val="20"/>
                <w:szCs w:val="20"/>
              </w:rPr>
            </w:pPr>
            <w:r w:rsidRPr="00AF5E22">
              <w:rPr>
                <w:b/>
                <w:bCs/>
                <w:sz w:val="20"/>
                <w:szCs w:val="20"/>
              </w:rPr>
              <w:t>8.8</w:t>
            </w:r>
          </w:p>
        </w:tc>
        <w:tc>
          <w:tcPr>
            <w:tcW w:w="880" w:type="dxa"/>
            <w:noWrap/>
            <w:vAlign w:val="center"/>
            <w:hideMark/>
          </w:tcPr>
          <w:p w14:paraId="05B5F3AB" w14:textId="77777777" w:rsidR="00957A78" w:rsidRPr="00AF5E22" w:rsidRDefault="00957A78" w:rsidP="00A72B0A">
            <w:pPr>
              <w:jc w:val="center"/>
              <w:rPr>
                <w:b/>
                <w:bCs/>
                <w:sz w:val="20"/>
                <w:szCs w:val="20"/>
              </w:rPr>
            </w:pPr>
            <w:r w:rsidRPr="00AF5E22">
              <w:rPr>
                <w:b/>
                <w:bCs/>
                <w:sz w:val="20"/>
                <w:szCs w:val="20"/>
              </w:rPr>
              <w:t>560</w:t>
            </w:r>
          </w:p>
        </w:tc>
        <w:tc>
          <w:tcPr>
            <w:tcW w:w="880" w:type="dxa"/>
            <w:noWrap/>
            <w:vAlign w:val="center"/>
            <w:hideMark/>
          </w:tcPr>
          <w:p w14:paraId="30519EF2" w14:textId="77777777" w:rsidR="00957A78" w:rsidRPr="00AF5E22" w:rsidRDefault="00957A78" w:rsidP="00A72B0A">
            <w:pPr>
              <w:jc w:val="center"/>
              <w:rPr>
                <w:b/>
                <w:bCs/>
                <w:sz w:val="20"/>
                <w:szCs w:val="20"/>
              </w:rPr>
            </w:pPr>
            <w:r w:rsidRPr="00AF5E22">
              <w:rPr>
                <w:b/>
                <w:bCs/>
                <w:sz w:val="20"/>
                <w:szCs w:val="20"/>
              </w:rPr>
              <w:t>10.2</w:t>
            </w:r>
          </w:p>
        </w:tc>
        <w:tc>
          <w:tcPr>
            <w:tcW w:w="800" w:type="dxa"/>
            <w:noWrap/>
            <w:vAlign w:val="center"/>
            <w:hideMark/>
          </w:tcPr>
          <w:p w14:paraId="464B69C1" w14:textId="77777777" w:rsidR="00957A78" w:rsidRPr="00AF5E22" w:rsidRDefault="00957A78" w:rsidP="00A72B0A">
            <w:pPr>
              <w:jc w:val="center"/>
              <w:rPr>
                <w:b/>
                <w:bCs/>
                <w:sz w:val="20"/>
                <w:szCs w:val="20"/>
              </w:rPr>
            </w:pPr>
            <w:r w:rsidRPr="00AF5E22">
              <w:rPr>
                <w:b/>
                <w:bCs/>
                <w:sz w:val="20"/>
                <w:szCs w:val="20"/>
              </w:rPr>
              <w:t>543</w:t>
            </w:r>
          </w:p>
        </w:tc>
      </w:tr>
    </w:tbl>
    <w:p w14:paraId="5FF1F459" w14:textId="77777777" w:rsidR="00957A78" w:rsidRDefault="00957A78" w:rsidP="00957A78">
      <w:pPr>
        <w:rPr>
          <w:bCs/>
          <w:i/>
          <w:sz w:val="20"/>
          <w:szCs w:val="20"/>
          <w:lang w:val="hy-AM"/>
        </w:rPr>
      </w:pPr>
    </w:p>
    <w:p w14:paraId="6037E002" w14:textId="77777777" w:rsidR="00957A78" w:rsidRPr="003877B7" w:rsidRDefault="00957A78" w:rsidP="00957A78">
      <w:pPr>
        <w:tabs>
          <w:tab w:val="left" w:pos="0"/>
        </w:tabs>
        <w:spacing w:after="0"/>
        <w:jc w:val="both"/>
        <w:rPr>
          <w:rFonts w:cs="Arial"/>
          <w:b/>
          <w:i/>
          <w:sz w:val="20"/>
          <w:szCs w:val="20"/>
          <w:lang w:val="hy-AM"/>
        </w:rPr>
      </w:pPr>
      <w:r w:rsidRPr="003877B7">
        <w:rPr>
          <w:bCs/>
          <w:lang w:val="hy-AM"/>
        </w:rPr>
        <w:t xml:space="preserve">2024թ.-ին ՀՀ-ում գրանցվել է 13,572 արտակարգ դեպք, որոնցից 4.86%-ը բաժին է ընկել տարերային վտանգավոր երևույթներին: Արտակարգ դեպքերի 73.67%-ը բաժին է ընկել </w:t>
      </w:r>
      <w:r w:rsidRPr="003877B7">
        <w:rPr>
          <w:b/>
          <w:bCs/>
          <w:lang w:val="hy-AM"/>
        </w:rPr>
        <w:t>մարդածին արտակարգ դեպքերին</w:t>
      </w:r>
      <w:r w:rsidRPr="003877B7">
        <w:rPr>
          <w:bCs/>
          <w:lang w:val="hy-AM"/>
        </w:rPr>
        <w:t xml:space="preserve"> (տես՝ գծապատկեր 25)</w:t>
      </w:r>
      <w:r w:rsidRPr="003877B7">
        <w:rPr>
          <w:rStyle w:val="FootnoteReference"/>
          <w:bCs/>
        </w:rPr>
        <w:footnoteReference w:id="42"/>
      </w:r>
      <w:r w:rsidRPr="003877B7">
        <w:rPr>
          <w:bCs/>
          <w:lang w:val="hy-AM"/>
        </w:rPr>
        <w:t>:</w:t>
      </w:r>
    </w:p>
    <w:p w14:paraId="5A999939" w14:textId="77777777" w:rsidR="00957A78" w:rsidRDefault="00957A78" w:rsidP="00957A78">
      <w:pPr>
        <w:spacing w:before="0" w:after="160" w:line="259" w:lineRule="auto"/>
        <w:rPr>
          <w:rFonts w:cs="Arial"/>
          <w:b/>
          <w:i/>
          <w:color w:val="000000"/>
          <w:sz w:val="20"/>
          <w:szCs w:val="20"/>
          <w:lang w:val="hy-AM"/>
        </w:rPr>
      </w:pPr>
      <w:r>
        <w:rPr>
          <w:rFonts w:cs="Arial"/>
          <w:b/>
          <w:i/>
          <w:color w:val="000000"/>
          <w:sz w:val="20"/>
          <w:szCs w:val="20"/>
          <w:lang w:val="hy-AM"/>
        </w:rPr>
        <w:br w:type="page"/>
      </w:r>
    </w:p>
    <w:p w14:paraId="5197FA25" w14:textId="77777777" w:rsidR="00957A78" w:rsidRPr="00A0416B" w:rsidRDefault="00957A78" w:rsidP="00957A78">
      <w:pPr>
        <w:spacing w:after="0"/>
        <w:rPr>
          <w:bCs/>
          <w:lang w:val="hy-AM"/>
        </w:rPr>
      </w:pPr>
      <w:r w:rsidRPr="004C08A1">
        <w:rPr>
          <w:rFonts w:cs="Arial"/>
          <w:b/>
          <w:i/>
          <w:color w:val="000000" w:themeColor="text1"/>
          <w:sz w:val="20"/>
          <w:szCs w:val="20"/>
          <w:lang w:val="hy-AM"/>
        </w:rPr>
        <w:t>Գծապատկեր</w:t>
      </w:r>
      <w:r>
        <w:rPr>
          <w:rFonts w:cs="Arial"/>
          <w:b/>
          <w:i/>
          <w:color w:val="000000" w:themeColor="text1"/>
          <w:sz w:val="20"/>
          <w:szCs w:val="20"/>
          <w:lang w:val="hy-AM"/>
        </w:rPr>
        <w:t xml:space="preserve"> 2</w:t>
      </w:r>
      <w:r w:rsidRPr="0034648D">
        <w:rPr>
          <w:rFonts w:cs="Arial"/>
          <w:b/>
          <w:i/>
          <w:color w:val="000000" w:themeColor="text1"/>
          <w:sz w:val="20"/>
          <w:szCs w:val="20"/>
          <w:lang w:val="hy-AM"/>
        </w:rPr>
        <w:t>5</w:t>
      </w:r>
      <w:r w:rsidRPr="004C08A1">
        <w:rPr>
          <w:rFonts w:cs="Arial"/>
          <w:b/>
          <w:i/>
          <w:color w:val="000000" w:themeColor="text1"/>
          <w:sz w:val="20"/>
          <w:szCs w:val="20"/>
          <w:lang w:val="hy-AM"/>
        </w:rPr>
        <w:t xml:space="preserve">. </w:t>
      </w:r>
      <w:r w:rsidRPr="00855647">
        <w:rPr>
          <w:rFonts w:cs="Arial"/>
          <w:i/>
          <w:color w:val="000000" w:themeColor="text1"/>
          <w:sz w:val="20"/>
          <w:szCs w:val="20"/>
          <w:lang w:val="hy-AM"/>
        </w:rPr>
        <w:t>Արտակարգ իրավիճակների</w:t>
      </w:r>
      <w:r>
        <w:rPr>
          <w:rFonts w:cs="Arial"/>
          <w:i/>
          <w:color w:val="000000" w:themeColor="text1"/>
          <w:sz w:val="20"/>
          <w:szCs w:val="20"/>
          <w:lang w:val="hy-AM"/>
        </w:rPr>
        <w:t xml:space="preserve">    </w:t>
      </w:r>
      <w:r w:rsidRPr="00855647">
        <w:rPr>
          <w:b/>
          <w:bCs/>
          <w:i/>
          <w:color w:val="000000" w:themeColor="text1"/>
          <w:sz w:val="20"/>
          <w:szCs w:val="20"/>
          <w:lang w:val="hy-AM"/>
        </w:rPr>
        <w:t>Գծապատկեր</w:t>
      </w:r>
      <w:r>
        <w:rPr>
          <w:b/>
          <w:bCs/>
          <w:i/>
          <w:color w:val="000000" w:themeColor="text1"/>
          <w:sz w:val="20"/>
          <w:szCs w:val="20"/>
          <w:lang w:val="hy-AM"/>
        </w:rPr>
        <w:t xml:space="preserve"> </w:t>
      </w:r>
      <w:r w:rsidRPr="0034648D">
        <w:rPr>
          <w:b/>
          <w:bCs/>
          <w:i/>
          <w:color w:val="000000" w:themeColor="text1"/>
          <w:sz w:val="20"/>
          <w:szCs w:val="20"/>
          <w:lang w:val="hy-AM"/>
        </w:rPr>
        <w:t>26</w:t>
      </w:r>
      <w:r w:rsidRPr="00855647">
        <w:rPr>
          <w:b/>
          <w:bCs/>
          <w:i/>
          <w:color w:val="000000" w:themeColor="text1"/>
          <w:sz w:val="20"/>
          <w:szCs w:val="20"/>
          <w:lang w:val="hy-AM"/>
        </w:rPr>
        <w:t>.</w:t>
      </w:r>
      <w:r w:rsidRPr="00855647">
        <w:rPr>
          <w:bCs/>
          <w:i/>
          <w:color w:val="000000" w:themeColor="text1"/>
          <w:sz w:val="20"/>
          <w:szCs w:val="20"/>
          <w:lang w:val="hy-AM"/>
        </w:rPr>
        <w:t xml:space="preserve"> Արտակարգ դեպքերը </w:t>
      </w:r>
      <w:r w:rsidRPr="002263F1">
        <w:rPr>
          <w:bCs/>
          <w:i/>
          <w:color w:val="000000" w:themeColor="text1"/>
          <w:sz w:val="20"/>
          <w:szCs w:val="20"/>
          <w:lang w:val="hy-AM"/>
        </w:rPr>
        <w:t>(</w:t>
      </w:r>
      <w:r w:rsidRPr="00855647">
        <w:rPr>
          <w:bCs/>
          <w:i/>
          <w:color w:val="000000" w:themeColor="text1"/>
          <w:sz w:val="20"/>
          <w:szCs w:val="20"/>
          <w:lang w:val="hy-AM"/>
        </w:rPr>
        <w:t>քանակ</w:t>
      </w:r>
      <w:r w:rsidRPr="002263F1">
        <w:rPr>
          <w:bCs/>
          <w:i/>
          <w:color w:val="000000" w:themeColor="text1"/>
          <w:sz w:val="20"/>
          <w:szCs w:val="20"/>
          <w:lang w:val="hy-AM"/>
        </w:rPr>
        <w:t>)</w:t>
      </w:r>
      <w:r>
        <w:rPr>
          <w:bCs/>
          <w:i/>
          <w:color w:val="000000" w:themeColor="text1"/>
          <w:sz w:val="20"/>
          <w:szCs w:val="20"/>
          <w:lang w:val="hy-AM"/>
        </w:rPr>
        <w:t xml:space="preserve">             </w:t>
      </w:r>
      <w:r w:rsidRPr="00855647">
        <w:rPr>
          <w:bCs/>
          <w:i/>
          <w:color w:val="000000" w:themeColor="text1"/>
          <w:sz w:val="20"/>
          <w:szCs w:val="20"/>
          <w:lang w:val="hy-AM"/>
        </w:rPr>
        <w:t xml:space="preserve"> </w:t>
      </w:r>
      <w:r w:rsidRPr="00855647">
        <w:rPr>
          <w:rFonts w:cs="Arial"/>
          <w:i/>
          <w:color w:val="000000" w:themeColor="text1"/>
          <w:sz w:val="20"/>
          <w:szCs w:val="20"/>
          <w:lang w:val="hy-AM"/>
        </w:rPr>
        <w:t>բաշխումն՝ ըստ դեպքերի</w:t>
      </w:r>
      <w:r w:rsidRPr="002460A8">
        <w:rPr>
          <w:rFonts w:cs="Arial"/>
          <w:i/>
          <w:color w:val="000000" w:themeColor="text1"/>
          <w:sz w:val="20"/>
          <w:szCs w:val="20"/>
          <w:lang w:val="hy-AM"/>
        </w:rPr>
        <w:t xml:space="preserve"> (%)</w:t>
      </w:r>
    </w:p>
    <w:p w14:paraId="4E64407F" w14:textId="77777777" w:rsidR="00957A78" w:rsidRPr="000F1F98" w:rsidRDefault="00957A78" w:rsidP="00957A78">
      <w:pPr>
        <w:spacing w:after="0"/>
        <w:jc w:val="center"/>
        <w:rPr>
          <w:bCs/>
          <w:lang w:val="hy-AM"/>
        </w:rPr>
      </w:pPr>
      <w:r>
        <w:rPr>
          <w:noProof/>
        </w:rPr>
        <w:drawing>
          <wp:inline distT="0" distB="0" distL="0" distR="0" wp14:anchorId="62534652" wp14:editId="2FBD9261">
            <wp:extent cx="2933700" cy="2952750"/>
            <wp:effectExtent l="0" t="0" r="0" b="0"/>
            <wp:docPr id="16120893" name="Chart 16120893"/>
            <wp:cNvGraphicFramePr/>
            <a:graphic xmlns:a="http://schemas.openxmlformats.org/drawingml/2006/main">
              <a:graphicData uri="http://schemas.openxmlformats.org/drawingml/2006/chart">
                <c:chart xmlns:c="http://schemas.openxmlformats.org/drawingml/2006/chart" xmlns:r="http://schemas.openxmlformats.org/officeDocument/2006/relationships" r:id="rId120"/>
              </a:graphicData>
            </a:graphic>
          </wp:inline>
        </w:drawing>
      </w:r>
      <w:r>
        <w:rPr>
          <w:noProof/>
        </w:rPr>
        <w:drawing>
          <wp:inline distT="0" distB="0" distL="0" distR="0" wp14:anchorId="16A55DDF" wp14:editId="610EE430">
            <wp:extent cx="3124200" cy="2952750"/>
            <wp:effectExtent l="0" t="0" r="0" b="0"/>
            <wp:docPr id="16120894" name="Chart 16120894"/>
            <wp:cNvGraphicFramePr/>
            <a:graphic xmlns:a="http://schemas.openxmlformats.org/drawingml/2006/main">
              <a:graphicData uri="http://schemas.openxmlformats.org/drawingml/2006/chart">
                <c:chart xmlns:c="http://schemas.openxmlformats.org/drawingml/2006/chart" xmlns:r="http://schemas.openxmlformats.org/officeDocument/2006/relationships" r:id="rId121"/>
              </a:graphicData>
            </a:graphic>
          </wp:inline>
        </w:drawing>
      </w:r>
    </w:p>
    <w:p w14:paraId="770B26EB" w14:textId="77777777" w:rsidR="00957A78" w:rsidRPr="003877B7" w:rsidRDefault="00957A78" w:rsidP="00957A78">
      <w:pPr>
        <w:spacing w:after="0"/>
        <w:jc w:val="both"/>
        <w:rPr>
          <w:rFonts w:ascii="GHEA Grapalat" w:hAnsi="GHEA Grapalat"/>
          <w:bCs/>
          <w:lang w:val="hy-AM"/>
        </w:rPr>
      </w:pPr>
      <w:r w:rsidRPr="003877B7">
        <w:rPr>
          <w:rFonts w:ascii="GHEA Grapalat" w:hAnsi="GHEA Grapalat"/>
          <w:bCs/>
          <w:lang w:val="hy-AM"/>
        </w:rPr>
        <w:t>2020 թվականին տարերային աղետների պատճառած ընդհանուր վնասը կազմել է 3.8 մլրդ դրամ, 2021 թվականին՝ շուրջ 3</w:t>
      </w:r>
      <w:r w:rsidRPr="003877B7">
        <w:rPr>
          <w:rFonts w:ascii="Cambria Math" w:hAnsi="Cambria Math" w:cs="Cambria Math"/>
          <w:bCs/>
          <w:lang w:val="hy-AM"/>
        </w:rPr>
        <w:t>․</w:t>
      </w:r>
      <w:r w:rsidRPr="003877B7">
        <w:rPr>
          <w:rFonts w:ascii="GHEA Grapalat" w:hAnsi="GHEA Grapalat"/>
          <w:bCs/>
          <w:lang w:val="hy-AM"/>
        </w:rPr>
        <w:t>1 մլրդ դրամ (հիմնական պատճառներ են հանդիսացել ուժեղ քամիները, երաշտը, տորնադոները և երկրաշարժերը), 2022 թվականին` 727 մլն դրամ, 2023թ.-ին` 892 մլն դրամ, իսկ 2024թ.-ին` 1</w:t>
      </w:r>
      <w:r w:rsidRPr="003877B7">
        <w:rPr>
          <w:rFonts w:ascii="Cambria Math" w:hAnsi="Cambria Math" w:cs="Cambria Math"/>
          <w:bCs/>
          <w:lang w:val="hy-AM"/>
        </w:rPr>
        <w:t>․</w:t>
      </w:r>
      <w:r w:rsidRPr="003877B7">
        <w:rPr>
          <w:rFonts w:ascii="GHEA Grapalat" w:hAnsi="GHEA Grapalat"/>
          <w:bCs/>
          <w:lang w:val="hy-AM"/>
        </w:rPr>
        <w:t>87 մլրդ ՀՀ դրամ, որը պայմանավորված է եղել այնպիսի տարերային աղետներով, ինչպիսիք են կարկուտը, սելավը և ցրտահարությունը: Վնասի գնահատումն իրականացվում է համաձայն ՀՀ կառավարության թիվ 1582-Ն որոշման</w:t>
      </w:r>
      <w:r w:rsidRPr="003877B7">
        <w:rPr>
          <w:rStyle w:val="FootnoteReference"/>
          <w:rFonts w:ascii="GHEA Grapalat" w:hAnsi="GHEA Grapalat"/>
          <w:bCs/>
        </w:rPr>
        <w:footnoteReference w:id="43"/>
      </w:r>
      <w:r w:rsidRPr="003877B7">
        <w:rPr>
          <w:rFonts w:ascii="GHEA Grapalat" w:hAnsi="GHEA Grapalat"/>
          <w:bCs/>
          <w:lang w:val="hy-AM"/>
        </w:rPr>
        <w:t>: Անհրաժեշտ է նշել, որ գնահատման բարդությունների պատճառով որոշ աղետներ չեն գնահատվել:</w:t>
      </w:r>
    </w:p>
    <w:p w14:paraId="01E0FCF6" w14:textId="77777777" w:rsidR="00957A78" w:rsidRPr="003877B7" w:rsidRDefault="00957A78" w:rsidP="00957A78">
      <w:pPr>
        <w:spacing w:after="0"/>
        <w:jc w:val="both"/>
        <w:rPr>
          <w:rFonts w:ascii="GHEA Grapalat" w:hAnsi="GHEA Grapalat"/>
          <w:bCs/>
          <w:iCs/>
          <w:lang w:val="hy-AM"/>
        </w:rPr>
      </w:pPr>
      <w:r w:rsidRPr="003877B7">
        <w:rPr>
          <w:rFonts w:ascii="GHEA Grapalat" w:hAnsi="GHEA Grapalat"/>
          <w:bCs/>
          <w:iCs/>
          <w:lang w:val="hy-AM"/>
        </w:rPr>
        <w:t>Բացի վերը նշված վնասների գնահատականից՝ 2024թ.-ի մայիսի 26-ին հորդառատ անձրևի հետևանքով վարարել է Դեբեդ գետը, ինչը մեծ ավերածությունների պատճառ է դարձել Լոռու և Տավուշի մարզերում։ Հեղեղումների հետևանքով փլուզվել են ճանապարհներ, այդ թվում՝ դեպի Վրաստան տանող միջպետական ճանապարհը</w:t>
      </w:r>
      <w:r w:rsidRPr="003877B7">
        <w:rPr>
          <w:rStyle w:val="FootnoteReference"/>
          <w:rFonts w:ascii="GHEA Grapalat" w:hAnsi="GHEA Grapalat"/>
          <w:bCs/>
          <w:iCs/>
        </w:rPr>
        <w:footnoteReference w:id="44"/>
      </w:r>
      <w:r w:rsidRPr="003877B7">
        <w:rPr>
          <w:rFonts w:ascii="GHEA Grapalat" w:hAnsi="GHEA Grapalat"/>
          <w:bCs/>
          <w:iCs/>
          <w:lang w:val="hy-AM"/>
        </w:rPr>
        <w:t>։ Առկա են ենթակառուցվածքային վնասներ ջրային ոլորտում և էներգետիկ համակարգում, հազարավոր մարդիկ զրկվել էին գազից և հոսանքից: Հարկ է նշել, որ կատարված աշխատանքների արդյունքում բնակչության մեծամասնության համար մատակարարումը վերականգնված է: Վնասվել է նաև երկաթուղու գիծը՝ տարբեր հատվածներում երկաթուղու վնասները հասնում են շուրջ 2 կմ: Շարունակվում են կատարվել վերականգման աշխատաքներ: Վնասների ծավալների գտնվում են գնահատման փուլում։ Աղետի հետևանքով զոհվել է 4 մարդ:</w:t>
      </w:r>
    </w:p>
    <w:p w14:paraId="2F5518F3" w14:textId="77777777" w:rsidR="00957A78" w:rsidRPr="003877B7" w:rsidRDefault="00957A78" w:rsidP="00957A78">
      <w:pPr>
        <w:spacing w:after="0"/>
        <w:jc w:val="both"/>
        <w:rPr>
          <w:rFonts w:ascii="GHEA Grapalat" w:hAnsi="GHEA Grapalat"/>
          <w:bCs/>
          <w:lang w:val="hy-AM"/>
        </w:rPr>
      </w:pPr>
      <w:r w:rsidRPr="003877B7">
        <w:rPr>
          <w:rFonts w:ascii="GHEA Grapalat" w:hAnsi="GHEA Grapalat"/>
          <w:bCs/>
          <w:lang w:val="hy-AM"/>
        </w:rPr>
        <w:t xml:space="preserve">Հայաստանում փաստացի առկա են ֆինանսական պաշտպանության ռազմավարության որոշ բաղադրիչներ. աղետներին արձագանքման անհրաժեշտության դեպքում օգտագործվում է կառավարության պահուստային ֆոնդը, աղետների դեպքում երբեմն կարող են կիրառվել պետական բյուջեի միջոցների վերաբաշխումներ, ինչպես նաև Covid-19 համավարակով պայմանավորված ճգնաժամի ընթացքում Հայաստանը ներգրավել է հետաղետային ֆինանսավորում: </w:t>
      </w:r>
    </w:p>
    <w:p w14:paraId="6EAAE2DE" w14:textId="77777777" w:rsidR="00957A78" w:rsidRPr="003877B7" w:rsidRDefault="00957A78" w:rsidP="00957A78">
      <w:pPr>
        <w:spacing w:after="0"/>
        <w:jc w:val="both"/>
        <w:rPr>
          <w:rFonts w:ascii="GHEA Grapalat" w:hAnsi="GHEA Grapalat"/>
          <w:bCs/>
          <w:lang w:val="hy-AM"/>
        </w:rPr>
      </w:pPr>
      <w:r w:rsidRPr="003877B7">
        <w:rPr>
          <w:rFonts w:ascii="GHEA Grapalat" w:hAnsi="GHEA Grapalat"/>
          <w:bCs/>
          <w:lang w:val="hy-AM"/>
        </w:rPr>
        <w:t>ՀՀ-ում առկա է աղետների ռիսկի կառավարման (այսուհետ՝ ԱՌԿ) 2023-2030թթ. ռազմավարություն, որը ընդգրկում է ԱՌԿ պետական քաղաքականության շրջանակը</w:t>
      </w:r>
      <w:r w:rsidRPr="003877B7">
        <w:rPr>
          <w:rStyle w:val="FootnoteReference"/>
          <w:rFonts w:ascii="GHEA Grapalat" w:hAnsi="GHEA Grapalat"/>
          <w:bCs/>
        </w:rPr>
        <w:footnoteReference w:id="45"/>
      </w:r>
      <w:r w:rsidRPr="003877B7">
        <w:rPr>
          <w:rFonts w:ascii="GHEA Grapalat" w:hAnsi="GHEA Grapalat"/>
          <w:bCs/>
          <w:lang w:val="hy-AM"/>
        </w:rPr>
        <w:t xml:space="preserve">: </w:t>
      </w:r>
    </w:p>
    <w:p w14:paraId="2CCE3F28" w14:textId="77777777" w:rsidR="00957A78" w:rsidRPr="003877B7" w:rsidRDefault="00957A78" w:rsidP="00957A78">
      <w:pPr>
        <w:spacing w:after="0"/>
        <w:jc w:val="both"/>
        <w:rPr>
          <w:rFonts w:ascii="GHEA Grapalat" w:hAnsi="GHEA Grapalat"/>
          <w:bCs/>
          <w:lang w:val="hy-AM"/>
        </w:rPr>
      </w:pPr>
      <w:r w:rsidRPr="003877B7">
        <w:rPr>
          <w:rFonts w:ascii="GHEA Grapalat" w:hAnsi="GHEA Grapalat"/>
          <w:bCs/>
          <w:lang w:val="hy-AM"/>
        </w:rPr>
        <w:t>ՀՀ-ում իրականացվում է պետական աջակցության՝ գյուղատնտեսության ոլորտում ապահովագրական փորձնական ծրագիր, որը իրականացվում է Գերմանական զարգացման բանկի (KFW) հետ համատեղ՝ համաձայն ՀՀ կառավարության 2019թ. թիվ 1485-Լ որոշման</w:t>
      </w:r>
      <w:r w:rsidRPr="003877B7">
        <w:rPr>
          <w:rStyle w:val="FootnoteReference"/>
          <w:rFonts w:ascii="GHEA Grapalat" w:hAnsi="GHEA Grapalat"/>
          <w:bCs/>
        </w:rPr>
        <w:footnoteReference w:id="46"/>
      </w:r>
      <w:r w:rsidRPr="003877B7">
        <w:rPr>
          <w:rFonts w:ascii="GHEA Grapalat" w:hAnsi="GHEA Grapalat"/>
          <w:bCs/>
          <w:lang w:val="hy-AM"/>
        </w:rPr>
        <w:t>:</w:t>
      </w:r>
    </w:p>
    <w:p w14:paraId="7F59B992" w14:textId="77777777" w:rsidR="00957A78" w:rsidRPr="003877B7" w:rsidRDefault="00957A78" w:rsidP="00957A78">
      <w:pPr>
        <w:spacing w:after="0"/>
        <w:jc w:val="both"/>
        <w:rPr>
          <w:rFonts w:ascii="GHEA Grapalat" w:hAnsi="GHEA Grapalat"/>
          <w:bCs/>
          <w:lang w:val="hy-AM"/>
        </w:rPr>
      </w:pPr>
      <w:r w:rsidRPr="003877B7">
        <w:rPr>
          <w:rFonts w:ascii="GHEA Grapalat" w:hAnsi="GHEA Grapalat"/>
          <w:bCs/>
          <w:lang w:val="hy-AM"/>
        </w:rPr>
        <w:t xml:space="preserve">2019 թվականին մեկնարկած գյուղատնտեսության ոլորտում ապահովագրական համակարգի ներդրման փորձնական ծրագիրը շարունակաբար իրականացվում է և՛ 2024թ.-ին, և՛ 2025թ.-ին: 2023 թվականի բարձր վնասաբերությամբ պայմանավորված 2024 թվականին վերաապահովագրական ընկերությունը դուրս է եկել հայկական շուկայից, և ապահովագրական ընկերությունների ռիսկերը մեղմելու նպատակով ՀՀ կառավարությունը ստանձնել է այդ գործառույթը: 2024 թվականին ապահովագրվել են դեղձ, սալոր, խնձոր, կեռաս, բալ, ձմերուկ, սեխ, կարտոֆիլ և հացահատիկային մշակաբույսեր՝ կարկուտի և երաշտի ռիսկերից: 2024 թվականին ապահովագրական հատուցումներ չեն տրամադրվել, իսկ խնդրահարույց հատուցման 53 մլն ՀՀ դրամի պահանջի մասով հարուցված է քրեական գործ: </w:t>
      </w:r>
    </w:p>
    <w:p w14:paraId="3031004A" w14:textId="77777777" w:rsidR="00957A78" w:rsidRPr="003877B7" w:rsidRDefault="00957A78" w:rsidP="00957A78">
      <w:pPr>
        <w:spacing w:after="0"/>
        <w:jc w:val="both"/>
        <w:rPr>
          <w:rFonts w:ascii="GHEA Grapalat" w:hAnsi="GHEA Grapalat"/>
          <w:bCs/>
          <w:lang w:val="hy-AM"/>
        </w:rPr>
      </w:pPr>
      <w:r w:rsidRPr="003877B7">
        <w:rPr>
          <w:rFonts w:ascii="GHEA Grapalat" w:hAnsi="GHEA Grapalat"/>
          <w:bCs/>
          <w:lang w:val="hy-AM"/>
        </w:rPr>
        <w:t>2025 թվականի համար, ՀՀ կառավարության որոշմամբ, սահմանվել է ապահովագրավճարի 70-80% սուբսիդավորում, ընդ որում՝ ՀՀ կառավարությունը սուբսիդավորման բեռը ամբողջությամբ կվերցնի իր վրա, եթե KFW-ի կողմից ֆինանսավորման այլ որոշում չկայացվի: Բացի ապահովագրավճարի սուբսիդավորումից, ՀՀ կառավարությունը կաջակցի նաև ապահովագրական ընկերություններին՝ ապահովագրական հատուցումների սահմանված շեմը գերազանցելու պարագայում: 2025 թվականի համար արդեն մեկնարկել է գյուղատնտեսության ապահովագրության գործընթացը, որի շրջանակում նախատեսվում է ապահովագրել 13 մշակաբույս՝ ցրտահարության, երաշտի, կարկտահարության և հրդեհի ռիսկերից: 2025 թվականի ծրագրի պետական բյուջեով ֆինանսավորման չափը սահմանվել է 1,467,929.50 ՀՀ դրամ:</w:t>
      </w:r>
    </w:p>
    <w:p w14:paraId="62E4E03C" w14:textId="77777777" w:rsidR="00957A78" w:rsidRDefault="00957A78" w:rsidP="00957A78">
      <w:pPr>
        <w:spacing w:after="0"/>
        <w:rPr>
          <w:bCs/>
          <w:lang w:val="hy-AM"/>
        </w:rPr>
      </w:pPr>
    </w:p>
    <w:p w14:paraId="017B5756" w14:textId="77777777" w:rsidR="00957A78" w:rsidRDefault="00957A78" w:rsidP="00957A78">
      <w:pPr>
        <w:rPr>
          <w:rFonts w:ascii="Cambria Math" w:hAnsi="Cambria Math" w:cs="Cambria Math"/>
          <w:bCs/>
          <w:i/>
          <w:sz w:val="20"/>
          <w:szCs w:val="20"/>
          <w:lang w:val="hy-AM"/>
        </w:rPr>
      </w:pPr>
      <w:r w:rsidRPr="00727FD5">
        <w:rPr>
          <w:b/>
          <w:bCs/>
          <w:i/>
          <w:sz w:val="20"/>
          <w:szCs w:val="20"/>
          <w:lang w:val="hy-AM"/>
        </w:rPr>
        <w:t xml:space="preserve">Աղյուսակ </w:t>
      </w:r>
      <w:r>
        <w:rPr>
          <w:b/>
          <w:bCs/>
          <w:i/>
          <w:sz w:val="20"/>
          <w:szCs w:val="20"/>
          <w:lang w:val="hy-AM"/>
        </w:rPr>
        <w:t>9</w:t>
      </w:r>
      <w:r w:rsidRPr="00727FD5">
        <w:rPr>
          <w:b/>
          <w:bCs/>
          <w:i/>
          <w:sz w:val="20"/>
          <w:szCs w:val="20"/>
          <w:lang w:val="hy-AM"/>
        </w:rPr>
        <w:t xml:space="preserve">. </w:t>
      </w:r>
      <w:r w:rsidRPr="00727FD5">
        <w:rPr>
          <w:bCs/>
          <w:i/>
          <w:sz w:val="20"/>
          <w:szCs w:val="20"/>
          <w:lang w:val="hy-AM"/>
        </w:rPr>
        <w:t>Գյուղատնտեսական տարվա համար կնքված ապահովագրական պայմանագրերը, 2020-2024թթ</w:t>
      </w:r>
      <w:r w:rsidRPr="00727FD5">
        <w:rPr>
          <w:rFonts w:ascii="Cambria Math" w:hAnsi="Cambria Math" w:cs="Cambria Math"/>
          <w:bCs/>
          <w:i/>
          <w:sz w:val="20"/>
          <w:szCs w:val="20"/>
          <w:lang w:val="hy-AM"/>
        </w:rPr>
        <w:t>․</w:t>
      </w:r>
    </w:p>
    <w:tbl>
      <w:tblPr>
        <w:tblW w:w="10661" w:type="dxa"/>
        <w:tblInd w:w="-5" w:type="dxa"/>
        <w:tblBorders>
          <w:top w:val="single" w:sz="4" w:space="0" w:color="E1E1E3" w:themeColor="accent3" w:themeTint="33"/>
          <w:left w:val="single" w:sz="4" w:space="0" w:color="E1E1E3" w:themeColor="accent3" w:themeTint="33"/>
          <w:bottom w:val="single" w:sz="4" w:space="0" w:color="E1E1E3" w:themeColor="accent3" w:themeTint="33"/>
          <w:right w:val="single" w:sz="4" w:space="0" w:color="E1E1E3" w:themeColor="accent3" w:themeTint="33"/>
          <w:insideH w:val="single" w:sz="4" w:space="0" w:color="E1E1E3" w:themeColor="accent3" w:themeTint="33"/>
          <w:insideV w:val="single" w:sz="4" w:space="0" w:color="E1E1E3" w:themeColor="accent3" w:themeTint="33"/>
        </w:tblBorders>
        <w:tblLook w:val="04A0" w:firstRow="1" w:lastRow="0" w:firstColumn="1" w:lastColumn="0" w:noHBand="0" w:noVBand="1"/>
      </w:tblPr>
      <w:tblGrid>
        <w:gridCol w:w="3828"/>
        <w:gridCol w:w="1423"/>
        <w:gridCol w:w="1401"/>
        <w:gridCol w:w="1406"/>
        <w:gridCol w:w="1401"/>
        <w:gridCol w:w="1202"/>
      </w:tblGrid>
      <w:tr w:rsidR="00957A78" w:rsidRPr="00D538E1" w14:paraId="6F6233F1" w14:textId="77777777" w:rsidTr="00A72B0A">
        <w:trPr>
          <w:trHeight w:val="360"/>
        </w:trPr>
        <w:tc>
          <w:tcPr>
            <w:tcW w:w="3828" w:type="dxa"/>
            <w:shd w:val="clear" w:color="auto" w:fill="D5DCE4" w:themeFill="text2" w:themeFillTint="33"/>
          </w:tcPr>
          <w:p w14:paraId="73D2232E" w14:textId="77777777" w:rsidR="00957A78" w:rsidRPr="00CA253D" w:rsidRDefault="00957A78" w:rsidP="00A72B0A">
            <w:pPr>
              <w:spacing w:before="0" w:after="0" w:line="240" w:lineRule="auto"/>
              <w:rPr>
                <w:b/>
                <w:sz w:val="18"/>
                <w:szCs w:val="18"/>
                <w:lang w:val="hy-AM"/>
              </w:rPr>
            </w:pPr>
          </w:p>
        </w:tc>
        <w:tc>
          <w:tcPr>
            <w:tcW w:w="1423" w:type="dxa"/>
            <w:shd w:val="clear" w:color="auto" w:fill="D5DCE4" w:themeFill="text2" w:themeFillTint="33"/>
            <w:vAlign w:val="center"/>
            <w:hideMark/>
          </w:tcPr>
          <w:p w14:paraId="5F9C8A9B" w14:textId="77777777" w:rsidR="00957A78" w:rsidRPr="00D538E1" w:rsidRDefault="00957A78" w:rsidP="00A72B0A">
            <w:pPr>
              <w:spacing w:before="0" w:after="0" w:line="240" w:lineRule="auto"/>
              <w:jc w:val="center"/>
              <w:rPr>
                <w:b/>
                <w:sz w:val="18"/>
                <w:szCs w:val="18"/>
              </w:rPr>
            </w:pPr>
            <w:r w:rsidRPr="00D538E1">
              <w:rPr>
                <w:b/>
                <w:sz w:val="18"/>
                <w:szCs w:val="18"/>
              </w:rPr>
              <w:t>2020</w:t>
            </w:r>
          </w:p>
        </w:tc>
        <w:tc>
          <w:tcPr>
            <w:tcW w:w="1401" w:type="dxa"/>
            <w:shd w:val="clear" w:color="auto" w:fill="D5DCE4" w:themeFill="text2" w:themeFillTint="33"/>
            <w:vAlign w:val="center"/>
            <w:hideMark/>
          </w:tcPr>
          <w:p w14:paraId="137E3B19" w14:textId="77777777" w:rsidR="00957A78" w:rsidRPr="00D538E1" w:rsidRDefault="00957A78" w:rsidP="00A72B0A">
            <w:pPr>
              <w:spacing w:before="0" w:after="0" w:line="240" w:lineRule="auto"/>
              <w:jc w:val="center"/>
              <w:rPr>
                <w:b/>
                <w:sz w:val="18"/>
                <w:szCs w:val="18"/>
                <w:lang w:val="ru-RU"/>
              </w:rPr>
            </w:pPr>
            <w:r w:rsidRPr="00D538E1">
              <w:rPr>
                <w:b/>
                <w:sz w:val="18"/>
                <w:szCs w:val="18"/>
              </w:rPr>
              <w:t>2021</w:t>
            </w:r>
          </w:p>
        </w:tc>
        <w:tc>
          <w:tcPr>
            <w:tcW w:w="1406" w:type="dxa"/>
            <w:shd w:val="clear" w:color="auto" w:fill="D5DCE4" w:themeFill="text2" w:themeFillTint="33"/>
            <w:vAlign w:val="center"/>
            <w:hideMark/>
          </w:tcPr>
          <w:p w14:paraId="6CADD8F0" w14:textId="77777777" w:rsidR="00957A78" w:rsidRPr="00D538E1" w:rsidRDefault="00957A78" w:rsidP="00A72B0A">
            <w:pPr>
              <w:spacing w:before="0" w:after="0" w:line="240" w:lineRule="auto"/>
              <w:jc w:val="center"/>
              <w:rPr>
                <w:b/>
                <w:sz w:val="18"/>
                <w:szCs w:val="18"/>
              </w:rPr>
            </w:pPr>
            <w:r w:rsidRPr="00D538E1">
              <w:rPr>
                <w:b/>
                <w:sz w:val="18"/>
                <w:szCs w:val="18"/>
              </w:rPr>
              <w:t>2022</w:t>
            </w:r>
          </w:p>
        </w:tc>
        <w:tc>
          <w:tcPr>
            <w:tcW w:w="1401" w:type="dxa"/>
            <w:shd w:val="clear" w:color="auto" w:fill="D5DCE4" w:themeFill="text2" w:themeFillTint="33"/>
            <w:vAlign w:val="center"/>
            <w:hideMark/>
          </w:tcPr>
          <w:p w14:paraId="64686B7E" w14:textId="77777777" w:rsidR="00957A78" w:rsidRPr="00D538E1" w:rsidRDefault="00957A78" w:rsidP="00A72B0A">
            <w:pPr>
              <w:spacing w:before="0" w:after="0" w:line="240" w:lineRule="auto"/>
              <w:jc w:val="center"/>
              <w:rPr>
                <w:b/>
                <w:sz w:val="18"/>
                <w:szCs w:val="18"/>
              </w:rPr>
            </w:pPr>
            <w:r w:rsidRPr="00D538E1">
              <w:rPr>
                <w:b/>
                <w:sz w:val="18"/>
                <w:szCs w:val="18"/>
              </w:rPr>
              <w:t>2023</w:t>
            </w:r>
          </w:p>
        </w:tc>
        <w:tc>
          <w:tcPr>
            <w:tcW w:w="1202" w:type="dxa"/>
            <w:shd w:val="clear" w:color="auto" w:fill="D5DCE4" w:themeFill="text2" w:themeFillTint="33"/>
            <w:vAlign w:val="center"/>
          </w:tcPr>
          <w:p w14:paraId="14F0A7CE" w14:textId="77777777" w:rsidR="00957A78" w:rsidRPr="00D538E1" w:rsidRDefault="00957A78" w:rsidP="00A72B0A">
            <w:pPr>
              <w:spacing w:before="0" w:after="0" w:line="240" w:lineRule="auto"/>
              <w:jc w:val="center"/>
              <w:rPr>
                <w:b/>
                <w:sz w:val="18"/>
                <w:szCs w:val="18"/>
              </w:rPr>
            </w:pPr>
            <w:r>
              <w:rPr>
                <w:b/>
                <w:sz w:val="18"/>
                <w:szCs w:val="18"/>
              </w:rPr>
              <w:t>2024</w:t>
            </w:r>
          </w:p>
        </w:tc>
      </w:tr>
      <w:tr w:rsidR="00957A78" w:rsidRPr="00D538E1" w14:paraId="55F02260" w14:textId="77777777" w:rsidTr="00A72B0A">
        <w:trPr>
          <w:trHeight w:val="360"/>
        </w:trPr>
        <w:tc>
          <w:tcPr>
            <w:tcW w:w="3828" w:type="dxa"/>
            <w:hideMark/>
          </w:tcPr>
          <w:p w14:paraId="256FA7E7" w14:textId="77777777" w:rsidR="00957A78" w:rsidRPr="00D538E1" w:rsidRDefault="00957A78" w:rsidP="00A72B0A">
            <w:pPr>
              <w:spacing w:before="0" w:after="0" w:line="240" w:lineRule="auto"/>
              <w:rPr>
                <w:sz w:val="18"/>
                <w:szCs w:val="18"/>
                <w:lang w:val="hy-AM"/>
              </w:rPr>
            </w:pPr>
            <w:r w:rsidRPr="00D538E1">
              <w:rPr>
                <w:sz w:val="18"/>
                <w:szCs w:val="18"/>
              </w:rPr>
              <w:t>Պայմանագրերի թիվ, հատ</w:t>
            </w:r>
          </w:p>
        </w:tc>
        <w:tc>
          <w:tcPr>
            <w:tcW w:w="1423" w:type="dxa"/>
            <w:vAlign w:val="center"/>
            <w:hideMark/>
          </w:tcPr>
          <w:p w14:paraId="47890C6E" w14:textId="77777777" w:rsidR="00957A78" w:rsidRPr="00D538E1" w:rsidRDefault="00957A78" w:rsidP="00A72B0A">
            <w:pPr>
              <w:spacing w:before="0" w:after="0" w:line="240" w:lineRule="auto"/>
              <w:jc w:val="center"/>
              <w:rPr>
                <w:sz w:val="18"/>
                <w:szCs w:val="18"/>
              </w:rPr>
            </w:pPr>
            <w:r w:rsidRPr="00D538E1">
              <w:rPr>
                <w:sz w:val="18"/>
                <w:szCs w:val="18"/>
              </w:rPr>
              <w:t>1546</w:t>
            </w:r>
          </w:p>
        </w:tc>
        <w:tc>
          <w:tcPr>
            <w:tcW w:w="1401" w:type="dxa"/>
            <w:vAlign w:val="center"/>
            <w:hideMark/>
          </w:tcPr>
          <w:p w14:paraId="6FAEA4AF" w14:textId="77777777" w:rsidR="00957A78" w:rsidRPr="00D538E1" w:rsidRDefault="00957A78" w:rsidP="00A72B0A">
            <w:pPr>
              <w:spacing w:before="0" w:after="0" w:line="240" w:lineRule="auto"/>
              <w:jc w:val="center"/>
              <w:rPr>
                <w:sz w:val="18"/>
                <w:szCs w:val="18"/>
                <w:lang w:val="ru-RU"/>
              </w:rPr>
            </w:pPr>
            <w:r w:rsidRPr="00D538E1">
              <w:rPr>
                <w:sz w:val="18"/>
                <w:szCs w:val="18"/>
              </w:rPr>
              <w:t>4279</w:t>
            </w:r>
          </w:p>
        </w:tc>
        <w:tc>
          <w:tcPr>
            <w:tcW w:w="1406" w:type="dxa"/>
            <w:vAlign w:val="center"/>
            <w:hideMark/>
          </w:tcPr>
          <w:p w14:paraId="19F0CDC7" w14:textId="77777777" w:rsidR="00957A78" w:rsidRPr="00D538E1" w:rsidRDefault="00957A78" w:rsidP="00A72B0A">
            <w:pPr>
              <w:spacing w:before="0" w:after="0" w:line="240" w:lineRule="auto"/>
              <w:jc w:val="center"/>
              <w:rPr>
                <w:sz w:val="18"/>
                <w:szCs w:val="18"/>
              </w:rPr>
            </w:pPr>
            <w:r w:rsidRPr="00D538E1">
              <w:rPr>
                <w:sz w:val="18"/>
                <w:szCs w:val="18"/>
              </w:rPr>
              <w:t>5091</w:t>
            </w:r>
          </w:p>
        </w:tc>
        <w:tc>
          <w:tcPr>
            <w:tcW w:w="1401" w:type="dxa"/>
            <w:vAlign w:val="center"/>
            <w:hideMark/>
          </w:tcPr>
          <w:p w14:paraId="46131D0A" w14:textId="77777777" w:rsidR="00957A78" w:rsidRPr="00D538E1" w:rsidRDefault="00957A78" w:rsidP="00A72B0A">
            <w:pPr>
              <w:spacing w:before="0" w:after="0" w:line="240" w:lineRule="auto"/>
              <w:jc w:val="center"/>
              <w:rPr>
                <w:sz w:val="18"/>
                <w:szCs w:val="18"/>
              </w:rPr>
            </w:pPr>
            <w:r w:rsidRPr="00D538E1">
              <w:rPr>
                <w:sz w:val="18"/>
                <w:szCs w:val="18"/>
              </w:rPr>
              <w:t>10192</w:t>
            </w:r>
          </w:p>
        </w:tc>
        <w:tc>
          <w:tcPr>
            <w:tcW w:w="1202" w:type="dxa"/>
            <w:vAlign w:val="center"/>
          </w:tcPr>
          <w:p w14:paraId="664DE8FD" w14:textId="77777777" w:rsidR="00957A78" w:rsidRPr="00D538E1" w:rsidRDefault="00957A78" w:rsidP="00A72B0A">
            <w:pPr>
              <w:spacing w:before="0" w:after="0" w:line="240" w:lineRule="auto"/>
              <w:jc w:val="center"/>
              <w:rPr>
                <w:sz w:val="18"/>
                <w:szCs w:val="18"/>
              </w:rPr>
            </w:pPr>
            <w:r>
              <w:rPr>
                <w:sz w:val="18"/>
                <w:szCs w:val="18"/>
              </w:rPr>
              <w:t>27</w:t>
            </w:r>
          </w:p>
        </w:tc>
      </w:tr>
      <w:tr w:rsidR="00957A78" w:rsidRPr="00D538E1" w14:paraId="2D603A4E" w14:textId="77777777" w:rsidTr="00A72B0A">
        <w:trPr>
          <w:trHeight w:val="360"/>
        </w:trPr>
        <w:tc>
          <w:tcPr>
            <w:tcW w:w="3828" w:type="dxa"/>
            <w:hideMark/>
          </w:tcPr>
          <w:p w14:paraId="7863AF5D" w14:textId="77777777" w:rsidR="00957A78" w:rsidRPr="00D538E1" w:rsidRDefault="00957A78" w:rsidP="00A72B0A">
            <w:pPr>
              <w:spacing w:before="0" w:after="0" w:line="240" w:lineRule="auto"/>
              <w:rPr>
                <w:sz w:val="18"/>
                <w:szCs w:val="18"/>
              </w:rPr>
            </w:pPr>
            <w:r w:rsidRPr="00D538E1">
              <w:rPr>
                <w:sz w:val="18"/>
                <w:szCs w:val="18"/>
              </w:rPr>
              <w:t>Ապահովագրված տարածք, հա</w:t>
            </w:r>
          </w:p>
        </w:tc>
        <w:tc>
          <w:tcPr>
            <w:tcW w:w="1423" w:type="dxa"/>
            <w:vAlign w:val="center"/>
            <w:hideMark/>
          </w:tcPr>
          <w:p w14:paraId="234B719B" w14:textId="77777777" w:rsidR="00957A78" w:rsidRPr="00D538E1" w:rsidRDefault="00957A78" w:rsidP="00A72B0A">
            <w:pPr>
              <w:spacing w:before="0" w:after="0" w:line="240" w:lineRule="auto"/>
              <w:jc w:val="center"/>
              <w:rPr>
                <w:sz w:val="18"/>
                <w:szCs w:val="18"/>
              </w:rPr>
            </w:pPr>
            <w:r w:rsidRPr="00D538E1">
              <w:rPr>
                <w:sz w:val="18"/>
                <w:szCs w:val="18"/>
              </w:rPr>
              <w:t>2363.3</w:t>
            </w:r>
          </w:p>
        </w:tc>
        <w:tc>
          <w:tcPr>
            <w:tcW w:w="1401" w:type="dxa"/>
            <w:vAlign w:val="center"/>
            <w:hideMark/>
          </w:tcPr>
          <w:p w14:paraId="205213AA" w14:textId="77777777" w:rsidR="00957A78" w:rsidRPr="00D538E1" w:rsidRDefault="00957A78" w:rsidP="00A72B0A">
            <w:pPr>
              <w:spacing w:before="0" w:after="0" w:line="240" w:lineRule="auto"/>
              <w:jc w:val="center"/>
              <w:rPr>
                <w:sz w:val="18"/>
                <w:szCs w:val="18"/>
              </w:rPr>
            </w:pPr>
            <w:r w:rsidRPr="00D538E1">
              <w:rPr>
                <w:sz w:val="18"/>
                <w:szCs w:val="18"/>
              </w:rPr>
              <w:t>5832</w:t>
            </w:r>
          </w:p>
        </w:tc>
        <w:tc>
          <w:tcPr>
            <w:tcW w:w="1406" w:type="dxa"/>
            <w:vAlign w:val="center"/>
            <w:hideMark/>
          </w:tcPr>
          <w:p w14:paraId="07C917C2" w14:textId="77777777" w:rsidR="00957A78" w:rsidRPr="00D538E1" w:rsidRDefault="00957A78" w:rsidP="00A72B0A">
            <w:pPr>
              <w:spacing w:before="0" w:after="0" w:line="240" w:lineRule="auto"/>
              <w:jc w:val="center"/>
              <w:rPr>
                <w:sz w:val="18"/>
                <w:szCs w:val="18"/>
              </w:rPr>
            </w:pPr>
            <w:r w:rsidRPr="00D538E1">
              <w:rPr>
                <w:sz w:val="18"/>
                <w:szCs w:val="18"/>
              </w:rPr>
              <w:t>6444</w:t>
            </w:r>
          </w:p>
        </w:tc>
        <w:tc>
          <w:tcPr>
            <w:tcW w:w="1401" w:type="dxa"/>
            <w:vAlign w:val="center"/>
            <w:hideMark/>
          </w:tcPr>
          <w:p w14:paraId="48A12D64" w14:textId="77777777" w:rsidR="00957A78" w:rsidRPr="00D538E1" w:rsidRDefault="00957A78" w:rsidP="00A72B0A">
            <w:pPr>
              <w:spacing w:before="0" w:after="0" w:line="240" w:lineRule="auto"/>
              <w:jc w:val="center"/>
              <w:rPr>
                <w:sz w:val="18"/>
                <w:szCs w:val="18"/>
              </w:rPr>
            </w:pPr>
            <w:r w:rsidRPr="00D538E1">
              <w:rPr>
                <w:sz w:val="18"/>
                <w:szCs w:val="18"/>
              </w:rPr>
              <w:t>11662</w:t>
            </w:r>
          </w:p>
        </w:tc>
        <w:tc>
          <w:tcPr>
            <w:tcW w:w="1202" w:type="dxa"/>
            <w:vAlign w:val="center"/>
          </w:tcPr>
          <w:p w14:paraId="6A572CD8" w14:textId="77777777" w:rsidR="00957A78" w:rsidRPr="00D538E1" w:rsidRDefault="00957A78" w:rsidP="00A72B0A">
            <w:pPr>
              <w:spacing w:before="0" w:after="0" w:line="240" w:lineRule="auto"/>
              <w:jc w:val="center"/>
              <w:rPr>
                <w:sz w:val="18"/>
                <w:szCs w:val="18"/>
              </w:rPr>
            </w:pPr>
            <w:r>
              <w:rPr>
                <w:sz w:val="18"/>
                <w:szCs w:val="18"/>
              </w:rPr>
              <w:t>247</w:t>
            </w:r>
          </w:p>
        </w:tc>
      </w:tr>
      <w:tr w:rsidR="00957A78" w:rsidRPr="00D538E1" w14:paraId="065EE2BD" w14:textId="77777777" w:rsidTr="00A72B0A">
        <w:trPr>
          <w:trHeight w:val="360"/>
        </w:trPr>
        <w:tc>
          <w:tcPr>
            <w:tcW w:w="3828" w:type="dxa"/>
            <w:hideMark/>
          </w:tcPr>
          <w:p w14:paraId="5FA98206" w14:textId="77777777" w:rsidR="00957A78" w:rsidRPr="00D538E1" w:rsidRDefault="00957A78" w:rsidP="00A72B0A">
            <w:pPr>
              <w:spacing w:before="0" w:after="0" w:line="240" w:lineRule="auto"/>
              <w:rPr>
                <w:sz w:val="18"/>
                <w:szCs w:val="18"/>
                <w:lang w:val="hy-AM"/>
              </w:rPr>
            </w:pPr>
            <w:r w:rsidRPr="00D538E1">
              <w:rPr>
                <w:sz w:val="18"/>
                <w:szCs w:val="18"/>
              </w:rPr>
              <w:t>Համախառն ապահովագրավճար, մլն դրամ</w:t>
            </w:r>
          </w:p>
        </w:tc>
        <w:tc>
          <w:tcPr>
            <w:tcW w:w="1423" w:type="dxa"/>
            <w:vAlign w:val="center"/>
            <w:hideMark/>
          </w:tcPr>
          <w:p w14:paraId="04EE0928" w14:textId="77777777" w:rsidR="00957A78" w:rsidRPr="00D538E1" w:rsidRDefault="00957A78" w:rsidP="00A72B0A">
            <w:pPr>
              <w:spacing w:before="0" w:after="0" w:line="240" w:lineRule="auto"/>
              <w:jc w:val="center"/>
              <w:rPr>
                <w:sz w:val="18"/>
                <w:szCs w:val="18"/>
              </w:rPr>
            </w:pPr>
            <w:r w:rsidRPr="00D538E1">
              <w:rPr>
                <w:sz w:val="18"/>
                <w:szCs w:val="18"/>
              </w:rPr>
              <w:t>130.5</w:t>
            </w:r>
          </w:p>
        </w:tc>
        <w:tc>
          <w:tcPr>
            <w:tcW w:w="1401" w:type="dxa"/>
            <w:vAlign w:val="center"/>
            <w:hideMark/>
          </w:tcPr>
          <w:p w14:paraId="3AE2095D" w14:textId="77777777" w:rsidR="00957A78" w:rsidRPr="00D538E1" w:rsidRDefault="00957A78" w:rsidP="00A72B0A">
            <w:pPr>
              <w:spacing w:before="0" w:after="0" w:line="240" w:lineRule="auto"/>
              <w:jc w:val="center"/>
              <w:rPr>
                <w:sz w:val="18"/>
                <w:szCs w:val="18"/>
                <w:lang w:val="ru-RU"/>
              </w:rPr>
            </w:pPr>
            <w:r w:rsidRPr="00D538E1">
              <w:rPr>
                <w:sz w:val="18"/>
                <w:szCs w:val="18"/>
              </w:rPr>
              <w:t>474.6</w:t>
            </w:r>
          </w:p>
        </w:tc>
        <w:tc>
          <w:tcPr>
            <w:tcW w:w="1406" w:type="dxa"/>
            <w:vAlign w:val="center"/>
            <w:hideMark/>
          </w:tcPr>
          <w:p w14:paraId="0C8E19B8" w14:textId="77777777" w:rsidR="00957A78" w:rsidRPr="00D538E1" w:rsidRDefault="00957A78" w:rsidP="00A72B0A">
            <w:pPr>
              <w:spacing w:before="0" w:after="0" w:line="240" w:lineRule="auto"/>
              <w:jc w:val="center"/>
              <w:rPr>
                <w:sz w:val="18"/>
                <w:szCs w:val="18"/>
              </w:rPr>
            </w:pPr>
            <w:r w:rsidRPr="00D538E1">
              <w:rPr>
                <w:sz w:val="18"/>
                <w:szCs w:val="18"/>
              </w:rPr>
              <w:t>866.3</w:t>
            </w:r>
          </w:p>
        </w:tc>
        <w:tc>
          <w:tcPr>
            <w:tcW w:w="1401" w:type="dxa"/>
            <w:vAlign w:val="center"/>
            <w:hideMark/>
          </w:tcPr>
          <w:p w14:paraId="427D4EA8" w14:textId="77777777" w:rsidR="00957A78" w:rsidRPr="00D538E1" w:rsidRDefault="00957A78" w:rsidP="00A72B0A">
            <w:pPr>
              <w:spacing w:before="0" w:after="0" w:line="240" w:lineRule="auto"/>
              <w:jc w:val="center"/>
              <w:rPr>
                <w:sz w:val="18"/>
                <w:szCs w:val="18"/>
              </w:rPr>
            </w:pPr>
            <w:r w:rsidRPr="00D538E1">
              <w:rPr>
                <w:sz w:val="18"/>
                <w:szCs w:val="18"/>
              </w:rPr>
              <w:t>1,800</w:t>
            </w:r>
          </w:p>
        </w:tc>
        <w:tc>
          <w:tcPr>
            <w:tcW w:w="1202" w:type="dxa"/>
            <w:vAlign w:val="center"/>
          </w:tcPr>
          <w:p w14:paraId="5C3F6051" w14:textId="77777777" w:rsidR="00957A78" w:rsidRPr="00D538E1" w:rsidRDefault="00957A78" w:rsidP="00A72B0A">
            <w:pPr>
              <w:spacing w:before="0" w:after="0" w:line="240" w:lineRule="auto"/>
              <w:jc w:val="center"/>
              <w:rPr>
                <w:sz w:val="18"/>
                <w:szCs w:val="18"/>
              </w:rPr>
            </w:pPr>
            <w:r>
              <w:rPr>
                <w:sz w:val="18"/>
                <w:szCs w:val="18"/>
              </w:rPr>
              <w:t>21,9</w:t>
            </w:r>
          </w:p>
        </w:tc>
      </w:tr>
      <w:tr w:rsidR="00957A78" w:rsidRPr="00D538E1" w14:paraId="0C148E66" w14:textId="77777777" w:rsidTr="00A72B0A">
        <w:trPr>
          <w:trHeight w:val="360"/>
        </w:trPr>
        <w:tc>
          <w:tcPr>
            <w:tcW w:w="3828" w:type="dxa"/>
            <w:hideMark/>
          </w:tcPr>
          <w:p w14:paraId="012D21F0" w14:textId="77777777" w:rsidR="00957A78" w:rsidRPr="00D538E1" w:rsidRDefault="00957A78" w:rsidP="00A72B0A">
            <w:pPr>
              <w:spacing w:before="0" w:after="0" w:line="240" w:lineRule="auto"/>
              <w:rPr>
                <w:sz w:val="18"/>
                <w:szCs w:val="18"/>
              </w:rPr>
            </w:pPr>
            <w:r w:rsidRPr="00D538E1">
              <w:rPr>
                <w:sz w:val="18"/>
                <w:szCs w:val="18"/>
              </w:rPr>
              <w:t>Սուբսիդիա, մլն դրամ</w:t>
            </w:r>
          </w:p>
        </w:tc>
        <w:tc>
          <w:tcPr>
            <w:tcW w:w="1423" w:type="dxa"/>
            <w:vAlign w:val="center"/>
            <w:hideMark/>
          </w:tcPr>
          <w:p w14:paraId="3B7BAD49" w14:textId="77777777" w:rsidR="00957A78" w:rsidRPr="00D538E1" w:rsidRDefault="00957A78" w:rsidP="00A72B0A">
            <w:pPr>
              <w:spacing w:before="0" w:after="0" w:line="240" w:lineRule="auto"/>
              <w:jc w:val="center"/>
              <w:rPr>
                <w:sz w:val="18"/>
                <w:szCs w:val="18"/>
              </w:rPr>
            </w:pPr>
            <w:r w:rsidRPr="00D538E1">
              <w:rPr>
                <w:sz w:val="18"/>
                <w:szCs w:val="18"/>
              </w:rPr>
              <w:t>69</w:t>
            </w:r>
          </w:p>
        </w:tc>
        <w:tc>
          <w:tcPr>
            <w:tcW w:w="1401" w:type="dxa"/>
            <w:vAlign w:val="center"/>
            <w:hideMark/>
          </w:tcPr>
          <w:p w14:paraId="12B38CBC" w14:textId="77777777" w:rsidR="00957A78" w:rsidRPr="00D538E1" w:rsidRDefault="00957A78" w:rsidP="00A72B0A">
            <w:pPr>
              <w:spacing w:before="0" w:after="0" w:line="240" w:lineRule="auto"/>
              <w:jc w:val="center"/>
              <w:rPr>
                <w:sz w:val="18"/>
                <w:szCs w:val="18"/>
              </w:rPr>
            </w:pPr>
            <w:r w:rsidRPr="00D538E1">
              <w:rPr>
                <w:sz w:val="18"/>
                <w:szCs w:val="18"/>
              </w:rPr>
              <w:t>275.9</w:t>
            </w:r>
          </w:p>
        </w:tc>
        <w:tc>
          <w:tcPr>
            <w:tcW w:w="1406" w:type="dxa"/>
            <w:vAlign w:val="center"/>
            <w:hideMark/>
          </w:tcPr>
          <w:p w14:paraId="0D2AC49E" w14:textId="77777777" w:rsidR="00957A78" w:rsidRPr="00D538E1" w:rsidRDefault="00957A78" w:rsidP="00A72B0A">
            <w:pPr>
              <w:spacing w:before="0" w:after="0" w:line="240" w:lineRule="auto"/>
              <w:jc w:val="center"/>
              <w:rPr>
                <w:sz w:val="18"/>
                <w:szCs w:val="18"/>
              </w:rPr>
            </w:pPr>
            <w:r w:rsidRPr="00D538E1">
              <w:rPr>
                <w:sz w:val="18"/>
                <w:szCs w:val="18"/>
              </w:rPr>
              <w:t>513.6</w:t>
            </w:r>
          </w:p>
        </w:tc>
        <w:tc>
          <w:tcPr>
            <w:tcW w:w="1401" w:type="dxa"/>
            <w:vAlign w:val="center"/>
            <w:hideMark/>
          </w:tcPr>
          <w:p w14:paraId="3CC59D57" w14:textId="77777777" w:rsidR="00957A78" w:rsidRPr="00D538E1" w:rsidRDefault="00957A78" w:rsidP="00A72B0A">
            <w:pPr>
              <w:spacing w:before="0" w:after="0" w:line="240" w:lineRule="auto"/>
              <w:jc w:val="center"/>
              <w:rPr>
                <w:sz w:val="18"/>
                <w:szCs w:val="18"/>
              </w:rPr>
            </w:pPr>
            <w:r w:rsidRPr="00D538E1">
              <w:rPr>
                <w:sz w:val="18"/>
                <w:szCs w:val="18"/>
              </w:rPr>
              <w:t>1,100</w:t>
            </w:r>
          </w:p>
        </w:tc>
        <w:tc>
          <w:tcPr>
            <w:tcW w:w="1202" w:type="dxa"/>
            <w:vAlign w:val="center"/>
          </w:tcPr>
          <w:p w14:paraId="0431F870" w14:textId="77777777" w:rsidR="00957A78" w:rsidRPr="00D538E1" w:rsidRDefault="00957A78" w:rsidP="00A72B0A">
            <w:pPr>
              <w:spacing w:before="0" w:after="0" w:line="240" w:lineRule="auto"/>
              <w:jc w:val="center"/>
              <w:rPr>
                <w:sz w:val="18"/>
                <w:szCs w:val="18"/>
              </w:rPr>
            </w:pPr>
            <w:r>
              <w:rPr>
                <w:sz w:val="18"/>
                <w:szCs w:val="18"/>
              </w:rPr>
              <w:t>10,9</w:t>
            </w:r>
          </w:p>
        </w:tc>
      </w:tr>
      <w:tr w:rsidR="00957A78" w:rsidRPr="00D538E1" w14:paraId="6CA247C5" w14:textId="77777777" w:rsidTr="00A72B0A">
        <w:trPr>
          <w:trHeight w:val="360"/>
        </w:trPr>
        <w:tc>
          <w:tcPr>
            <w:tcW w:w="3828" w:type="dxa"/>
            <w:hideMark/>
          </w:tcPr>
          <w:p w14:paraId="0BA78AE4" w14:textId="77777777" w:rsidR="00957A78" w:rsidRPr="00D538E1" w:rsidRDefault="00957A78" w:rsidP="00A72B0A">
            <w:pPr>
              <w:spacing w:before="0" w:after="0" w:line="240" w:lineRule="auto"/>
              <w:rPr>
                <w:sz w:val="18"/>
                <w:szCs w:val="18"/>
              </w:rPr>
            </w:pPr>
            <w:r w:rsidRPr="00D538E1">
              <w:rPr>
                <w:sz w:val="18"/>
                <w:szCs w:val="18"/>
              </w:rPr>
              <w:t>Հատուցումներ, մլն դրամ</w:t>
            </w:r>
          </w:p>
        </w:tc>
        <w:tc>
          <w:tcPr>
            <w:tcW w:w="1423" w:type="dxa"/>
            <w:vAlign w:val="center"/>
            <w:hideMark/>
          </w:tcPr>
          <w:p w14:paraId="35880A45" w14:textId="77777777" w:rsidR="00957A78" w:rsidRPr="00D538E1" w:rsidRDefault="00957A78" w:rsidP="00A72B0A">
            <w:pPr>
              <w:spacing w:before="0" w:after="0" w:line="240" w:lineRule="auto"/>
              <w:jc w:val="center"/>
              <w:rPr>
                <w:sz w:val="18"/>
                <w:szCs w:val="18"/>
              </w:rPr>
            </w:pPr>
            <w:r w:rsidRPr="00D538E1">
              <w:rPr>
                <w:sz w:val="18"/>
                <w:szCs w:val="18"/>
              </w:rPr>
              <w:t>151.3</w:t>
            </w:r>
          </w:p>
        </w:tc>
        <w:tc>
          <w:tcPr>
            <w:tcW w:w="1401" w:type="dxa"/>
            <w:vAlign w:val="center"/>
            <w:hideMark/>
          </w:tcPr>
          <w:p w14:paraId="3EFED0CF" w14:textId="77777777" w:rsidR="00957A78" w:rsidRPr="00D538E1" w:rsidRDefault="00957A78" w:rsidP="00A72B0A">
            <w:pPr>
              <w:spacing w:before="0" w:after="0" w:line="240" w:lineRule="auto"/>
              <w:jc w:val="center"/>
              <w:rPr>
                <w:sz w:val="18"/>
                <w:szCs w:val="18"/>
              </w:rPr>
            </w:pPr>
            <w:r w:rsidRPr="00D538E1">
              <w:rPr>
                <w:sz w:val="18"/>
                <w:szCs w:val="18"/>
              </w:rPr>
              <w:t>319.1</w:t>
            </w:r>
          </w:p>
        </w:tc>
        <w:tc>
          <w:tcPr>
            <w:tcW w:w="1406" w:type="dxa"/>
            <w:vAlign w:val="center"/>
            <w:hideMark/>
          </w:tcPr>
          <w:p w14:paraId="509D6393" w14:textId="77777777" w:rsidR="00957A78" w:rsidRPr="00D538E1" w:rsidRDefault="00957A78" w:rsidP="00A72B0A">
            <w:pPr>
              <w:spacing w:before="0" w:after="0" w:line="240" w:lineRule="auto"/>
              <w:jc w:val="center"/>
              <w:rPr>
                <w:sz w:val="18"/>
                <w:szCs w:val="18"/>
              </w:rPr>
            </w:pPr>
            <w:r w:rsidRPr="00D538E1">
              <w:rPr>
                <w:sz w:val="18"/>
                <w:szCs w:val="18"/>
              </w:rPr>
              <w:t>1,300</w:t>
            </w:r>
          </w:p>
        </w:tc>
        <w:tc>
          <w:tcPr>
            <w:tcW w:w="1401" w:type="dxa"/>
            <w:vAlign w:val="center"/>
            <w:hideMark/>
          </w:tcPr>
          <w:p w14:paraId="4101D817" w14:textId="77777777" w:rsidR="00957A78" w:rsidRPr="00D538E1" w:rsidRDefault="00957A78" w:rsidP="00A72B0A">
            <w:pPr>
              <w:spacing w:before="0" w:after="0" w:line="240" w:lineRule="auto"/>
              <w:jc w:val="center"/>
              <w:rPr>
                <w:sz w:val="18"/>
                <w:szCs w:val="18"/>
              </w:rPr>
            </w:pPr>
            <w:r w:rsidRPr="00D538E1">
              <w:rPr>
                <w:sz w:val="18"/>
                <w:szCs w:val="18"/>
              </w:rPr>
              <w:t>2700</w:t>
            </w:r>
          </w:p>
        </w:tc>
        <w:tc>
          <w:tcPr>
            <w:tcW w:w="1202" w:type="dxa"/>
            <w:vAlign w:val="center"/>
          </w:tcPr>
          <w:p w14:paraId="7ECBD473" w14:textId="77777777" w:rsidR="00957A78" w:rsidRPr="00D538E1" w:rsidRDefault="00957A78" w:rsidP="00A72B0A">
            <w:pPr>
              <w:spacing w:before="0" w:after="0" w:line="240" w:lineRule="auto"/>
              <w:jc w:val="center"/>
              <w:rPr>
                <w:sz w:val="18"/>
                <w:szCs w:val="18"/>
              </w:rPr>
            </w:pPr>
            <w:r>
              <w:rPr>
                <w:sz w:val="18"/>
                <w:szCs w:val="18"/>
              </w:rPr>
              <w:t>0</w:t>
            </w:r>
          </w:p>
        </w:tc>
      </w:tr>
      <w:tr w:rsidR="00957A78" w:rsidRPr="00D538E1" w14:paraId="359D8EF3" w14:textId="77777777" w:rsidTr="00A72B0A">
        <w:trPr>
          <w:trHeight w:val="360"/>
        </w:trPr>
        <w:tc>
          <w:tcPr>
            <w:tcW w:w="3828" w:type="dxa"/>
            <w:hideMark/>
          </w:tcPr>
          <w:p w14:paraId="28A8447B" w14:textId="77777777" w:rsidR="00957A78" w:rsidRPr="00D538E1" w:rsidRDefault="00957A78" w:rsidP="00A72B0A">
            <w:pPr>
              <w:spacing w:before="0" w:after="0" w:line="240" w:lineRule="auto"/>
              <w:rPr>
                <w:sz w:val="18"/>
                <w:szCs w:val="18"/>
                <w:lang w:val="hy-AM"/>
              </w:rPr>
            </w:pPr>
            <w:r w:rsidRPr="00D538E1">
              <w:rPr>
                <w:sz w:val="18"/>
                <w:szCs w:val="18"/>
              </w:rPr>
              <w:t>Հատուցումների քանակ, հատ</w:t>
            </w:r>
          </w:p>
        </w:tc>
        <w:tc>
          <w:tcPr>
            <w:tcW w:w="1423" w:type="dxa"/>
            <w:vAlign w:val="center"/>
          </w:tcPr>
          <w:p w14:paraId="5A57FC85" w14:textId="77777777" w:rsidR="00957A78" w:rsidRPr="00D538E1" w:rsidRDefault="00957A78" w:rsidP="00A72B0A">
            <w:pPr>
              <w:spacing w:before="0" w:after="0" w:line="240" w:lineRule="auto"/>
              <w:jc w:val="center"/>
              <w:rPr>
                <w:sz w:val="18"/>
                <w:szCs w:val="18"/>
              </w:rPr>
            </w:pPr>
          </w:p>
        </w:tc>
        <w:tc>
          <w:tcPr>
            <w:tcW w:w="1401" w:type="dxa"/>
            <w:vAlign w:val="center"/>
            <w:hideMark/>
          </w:tcPr>
          <w:p w14:paraId="7C7F7259" w14:textId="77777777" w:rsidR="00957A78" w:rsidRPr="00D538E1" w:rsidRDefault="00957A78" w:rsidP="00A72B0A">
            <w:pPr>
              <w:spacing w:before="0" w:after="0" w:line="240" w:lineRule="auto"/>
              <w:jc w:val="center"/>
              <w:rPr>
                <w:sz w:val="18"/>
                <w:szCs w:val="18"/>
                <w:lang w:val="ru-RU"/>
              </w:rPr>
            </w:pPr>
            <w:r w:rsidRPr="00D538E1">
              <w:rPr>
                <w:sz w:val="18"/>
                <w:szCs w:val="18"/>
              </w:rPr>
              <w:t>1517</w:t>
            </w:r>
          </w:p>
        </w:tc>
        <w:tc>
          <w:tcPr>
            <w:tcW w:w="1406" w:type="dxa"/>
            <w:vAlign w:val="center"/>
            <w:hideMark/>
          </w:tcPr>
          <w:p w14:paraId="4052C016" w14:textId="77777777" w:rsidR="00957A78" w:rsidRPr="00D538E1" w:rsidRDefault="00957A78" w:rsidP="00A72B0A">
            <w:pPr>
              <w:spacing w:before="0" w:after="0" w:line="240" w:lineRule="auto"/>
              <w:jc w:val="center"/>
              <w:rPr>
                <w:sz w:val="18"/>
                <w:szCs w:val="18"/>
              </w:rPr>
            </w:pPr>
            <w:r w:rsidRPr="00D538E1">
              <w:rPr>
                <w:sz w:val="18"/>
                <w:szCs w:val="18"/>
              </w:rPr>
              <w:t>2167</w:t>
            </w:r>
          </w:p>
        </w:tc>
        <w:tc>
          <w:tcPr>
            <w:tcW w:w="1401" w:type="dxa"/>
            <w:vAlign w:val="center"/>
            <w:hideMark/>
          </w:tcPr>
          <w:p w14:paraId="419FDA4B" w14:textId="77777777" w:rsidR="00957A78" w:rsidRPr="00D538E1" w:rsidRDefault="00957A78" w:rsidP="00A72B0A">
            <w:pPr>
              <w:spacing w:before="0" w:after="0" w:line="240" w:lineRule="auto"/>
              <w:jc w:val="center"/>
              <w:rPr>
                <w:sz w:val="18"/>
                <w:szCs w:val="18"/>
              </w:rPr>
            </w:pPr>
            <w:r w:rsidRPr="00D538E1">
              <w:rPr>
                <w:sz w:val="18"/>
                <w:szCs w:val="18"/>
              </w:rPr>
              <w:t>3864</w:t>
            </w:r>
          </w:p>
        </w:tc>
        <w:tc>
          <w:tcPr>
            <w:tcW w:w="1202" w:type="dxa"/>
            <w:vAlign w:val="center"/>
          </w:tcPr>
          <w:p w14:paraId="2C8641F8" w14:textId="77777777" w:rsidR="00957A78" w:rsidRPr="00D538E1" w:rsidRDefault="00957A78" w:rsidP="00A72B0A">
            <w:pPr>
              <w:spacing w:before="0" w:after="0" w:line="240" w:lineRule="auto"/>
              <w:jc w:val="center"/>
              <w:rPr>
                <w:sz w:val="18"/>
                <w:szCs w:val="18"/>
              </w:rPr>
            </w:pPr>
            <w:r>
              <w:rPr>
                <w:sz w:val="18"/>
                <w:szCs w:val="18"/>
              </w:rPr>
              <w:t>0</w:t>
            </w:r>
          </w:p>
        </w:tc>
      </w:tr>
    </w:tbl>
    <w:p w14:paraId="7881E188" w14:textId="77777777" w:rsidR="00957A78" w:rsidRDefault="00957A78" w:rsidP="00957A78">
      <w:pPr>
        <w:rPr>
          <w:rFonts w:ascii="Cambria Math" w:hAnsi="Cambria Math" w:cs="Cambria Math"/>
          <w:bCs/>
          <w:i/>
          <w:sz w:val="20"/>
          <w:szCs w:val="20"/>
          <w:lang w:val="hy-AM"/>
        </w:rPr>
      </w:pPr>
    </w:p>
    <w:p w14:paraId="29B615C5" w14:textId="77777777" w:rsidR="00957A78" w:rsidRDefault="00957A78" w:rsidP="00957A78">
      <w:pPr>
        <w:spacing w:after="0"/>
        <w:jc w:val="both"/>
        <w:rPr>
          <w:bCs/>
          <w:lang w:val="hy-AM"/>
        </w:rPr>
      </w:pPr>
      <w:r w:rsidRPr="00E74EF5">
        <w:rPr>
          <w:bCs/>
          <w:lang w:val="hy-AM"/>
        </w:rPr>
        <w:t>«</w:t>
      </w:r>
      <w:r>
        <w:rPr>
          <w:bCs/>
          <w:lang w:val="hy-AM"/>
        </w:rPr>
        <w:t>Ս</w:t>
      </w:r>
      <w:r w:rsidRPr="00E74EF5">
        <w:rPr>
          <w:bCs/>
          <w:lang w:val="hy-AM"/>
        </w:rPr>
        <w:t xml:space="preserve">եյսմիկ անվտանգության բարելավման </w:t>
      </w:r>
      <w:r>
        <w:rPr>
          <w:bCs/>
          <w:lang w:val="hy-AM"/>
        </w:rPr>
        <w:t>ծրագրի</w:t>
      </w:r>
      <w:r w:rsidRPr="00E74EF5">
        <w:rPr>
          <w:bCs/>
          <w:lang w:val="hy-AM"/>
        </w:rPr>
        <w:t xml:space="preserve">» շրջանակներում 07.05.2025 թվականի դրությամբ ավարտվել </w:t>
      </w:r>
      <w:r>
        <w:rPr>
          <w:bCs/>
          <w:lang w:val="hy-AM"/>
        </w:rPr>
        <w:t>են</w:t>
      </w:r>
      <w:r w:rsidRPr="00E74EF5">
        <w:rPr>
          <w:bCs/>
          <w:lang w:val="hy-AM"/>
        </w:rPr>
        <w:t xml:space="preserve"> 15284 աշակերտի համար նախատեսված 23 դպրոցի կառուցմ</w:t>
      </w:r>
      <w:r>
        <w:rPr>
          <w:bCs/>
          <w:lang w:val="hy-AM"/>
        </w:rPr>
        <w:t xml:space="preserve">ան </w:t>
      </w:r>
      <w:r w:rsidRPr="00BA341D">
        <w:rPr>
          <w:bCs/>
          <w:lang w:val="hy-AM"/>
        </w:rPr>
        <w:t xml:space="preserve">աշխատանքները, 7255 աշակերտի համար նախատեսված 18 դպրոց գտնվում են կառուցման փուլում, իսկ 988 աշակերտի համար նախատեսված 4 դպրոց գտնվում են նախագծման և/կամ փորձաքննության փուլում: </w:t>
      </w:r>
    </w:p>
    <w:p w14:paraId="496DE7AE" w14:textId="77777777" w:rsidR="00957A78" w:rsidRDefault="00957A78" w:rsidP="00957A78">
      <w:pPr>
        <w:spacing w:after="0"/>
        <w:rPr>
          <w:bCs/>
          <w:lang w:val="hy-AM"/>
        </w:rPr>
      </w:pPr>
    </w:p>
    <w:p w14:paraId="185DD222" w14:textId="77777777" w:rsidR="00957A78" w:rsidRDefault="00957A78" w:rsidP="00957A78">
      <w:pPr>
        <w:spacing w:after="0"/>
        <w:rPr>
          <w:rFonts w:eastAsia="Times New Roman" w:cs="Calibri"/>
          <w:i/>
          <w:color w:val="000000"/>
          <w:sz w:val="20"/>
          <w:szCs w:val="20"/>
          <w:lang w:val="hy-AM"/>
        </w:rPr>
      </w:pPr>
      <w:r w:rsidRPr="00727FD5">
        <w:rPr>
          <w:b/>
          <w:bCs/>
          <w:i/>
          <w:sz w:val="20"/>
          <w:szCs w:val="20"/>
          <w:lang w:val="hy-AM"/>
        </w:rPr>
        <w:t xml:space="preserve">Աղյուսակ </w:t>
      </w:r>
      <w:r>
        <w:rPr>
          <w:b/>
          <w:bCs/>
          <w:i/>
          <w:sz w:val="20"/>
          <w:szCs w:val="20"/>
          <w:lang w:val="hy-AM"/>
        </w:rPr>
        <w:t>10</w:t>
      </w:r>
      <w:r w:rsidRPr="00727FD5">
        <w:rPr>
          <w:b/>
          <w:bCs/>
          <w:i/>
          <w:sz w:val="20"/>
          <w:szCs w:val="20"/>
          <w:lang w:val="hy-AM"/>
        </w:rPr>
        <w:t xml:space="preserve">. </w:t>
      </w:r>
      <w:r w:rsidRPr="00727FD5">
        <w:rPr>
          <w:bCs/>
          <w:i/>
          <w:sz w:val="20"/>
          <w:szCs w:val="20"/>
          <w:lang w:val="hy-AM"/>
        </w:rPr>
        <w:t xml:space="preserve">Ծրագրի շրջանակում 2024թ. կատարված փաստացի և 2025-2028թթ. համար պլանավորված ծախսերը, </w:t>
      </w:r>
      <w:r w:rsidRPr="00727FD5">
        <w:rPr>
          <w:rFonts w:eastAsia="Times New Roman" w:cs="Calibri"/>
          <w:i/>
          <w:color w:val="000000"/>
          <w:sz w:val="20"/>
          <w:szCs w:val="20"/>
          <w:lang w:val="hy-AM"/>
        </w:rPr>
        <w:t>հազ. ՀՀ դրամ</w:t>
      </w:r>
    </w:p>
    <w:tbl>
      <w:tblPr>
        <w:tblW w:w="10754" w:type="dxa"/>
        <w:jc w:val="center"/>
        <w:tblBorders>
          <w:top w:val="single" w:sz="4" w:space="0" w:color="E1E1E3" w:themeColor="accent3" w:themeTint="33"/>
          <w:left w:val="single" w:sz="4" w:space="0" w:color="E1E1E3" w:themeColor="accent3" w:themeTint="33"/>
          <w:bottom w:val="single" w:sz="4" w:space="0" w:color="E1E1E3" w:themeColor="accent3" w:themeTint="33"/>
          <w:right w:val="single" w:sz="4" w:space="0" w:color="E1E1E3" w:themeColor="accent3" w:themeTint="33"/>
          <w:insideH w:val="single" w:sz="4" w:space="0" w:color="E1E1E3" w:themeColor="accent3" w:themeTint="33"/>
          <w:insideV w:val="single" w:sz="4" w:space="0" w:color="E1E1E3" w:themeColor="accent3" w:themeTint="33"/>
        </w:tblBorders>
        <w:tblLook w:val="04A0" w:firstRow="1" w:lastRow="0" w:firstColumn="1" w:lastColumn="0" w:noHBand="0" w:noVBand="1"/>
      </w:tblPr>
      <w:tblGrid>
        <w:gridCol w:w="2405"/>
        <w:gridCol w:w="1867"/>
        <w:gridCol w:w="1768"/>
        <w:gridCol w:w="1768"/>
        <w:gridCol w:w="1732"/>
        <w:gridCol w:w="1214"/>
      </w:tblGrid>
      <w:tr w:rsidR="00957A78" w:rsidRPr="00D538E1" w14:paraId="40FB6C6B" w14:textId="77777777" w:rsidTr="00A72B0A">
        <w:trPr>
          <w:trHeight w:val="360"/>
          <w:jc w:val="center"/>
        </w:trPr>
        <w:tc>
          <w:tcPr>
            <w:tcW w:w="2405" w:type="dxa"/>
            <w:shd w:val="clear" w:color="auto" w:fill="D5DCE4" w:themeFill="text2" w:themeFillTint="33"/>
          </w:tcPr>
          <w:p w14:paraId="6253269C" w14:textId="77777777" w:rsidR="00957A78" w:rsidRPr="00D538E1" w:rsidRDefault="00957A78" w:rsidP="00A72B0A">
            <w:pPr>
              <w:spacing w:before="0" w:after="0" w:line="240" w:lineRule="auto"/>
              <w:rPr>
                <w:b/>
                <w:sz w:val="18"/>
                <w:szCs w:val="18"/>
              </w:rPr>
            </w:pPr>
          </w:p>
        </w:tc>
        <w:tc>
          <w:tcPr>
            <w:tcW w:w="1867" w:type="dxa"/>
            <w:shd w:val="clear" w:color="auto" w:fill="D5DCE4" w:themeFill="text2" w:themeFillTint="33"/>
            <w:vAlign w:val="center"/>
            <w:hideMark/>
          </w:tcPr>
          <w:p w14:paraId="2AFD1AB8" w14:textId="77777777" w:rsidR="00957A78" w:rsidRPr="00D538E1" w:rsidRDefault="00957A78" w:rsidP="00A72B0A">
            <w:pPr>
              <w:spacing w:before="0" w:after="0" w:line="240" w:lineRule="auto"/>
              <w:rPr>
                <w:b/>
                <w:sz w:val="18"/>
                <w:szCs w:val="18"/>
              </w:rPr>
            </w:pPr>
            <w:r>
              <w:rPr>
                <w:b/>
                <w:sz w:val="18"/>
                <w:szCs w:val="18"/>
              </w:rPr>
              <w:t>2024</w:t>
            </w:r>
          </w:p>
        </w:tc>
        <w:tc>
          <w:tcPr>
            <w:tcW w:w="1768" w:type="dxa"/>
            <w:shd w:val="clear" w:color="auto" w:fill="D5DCE4" w:themeFill="text2" w:themeFillTint="33"/>
            <w:vAlign w:val="center"/>
            <w:hideMark/>
          </w:tcPr>
          <w:p w14:paraId="4AF6DBD6" w14:textId="77777777" w:rsidR="00957A78" w:rsidRPr="00D538E1" w:rsidRDefault="00957A78" w:rsidP="00A72B0A">
            <w:pPr>
              <w:spacing w:before="0" w:after="0" w:line="240" w:lineRule="auto"/>
              <w:rPr>
                <w:b/>
                <w:sz w:val="18"/>
                <w:szCs w:val="18"/>
                <w:lang w:val="ru-RU"/>
              </w:rPr>
            </w:pPr>
            <w:r>
              <w:rPr>
                <w:b/>
                <w:sz w:val="18"/>
                <w:szCs w:val="18"/>
              </w:rPr>
              <w:t>2025</w:t>
            </w:r>
          </w:p>
        </w:tc>
        <w:tc>
          <w:tcPr>
            <w:tcW w:w="1768" w:type="dxa"/>
            <w:shd w:val="clear" w:color="auto" w:fill="D5DCE4" w:themeFill="text2" w:themeFillTint="33"/>
            <w:vAlign w:val="center"/>
            <w:hideMark/>
          </w:tcPr>
          <w:p w14:paraId="7B5C7628" w14:textId="77777777" w:rsidR="00957A78" w:rsidRPr="00D538E1" w:rsidRDefault="00957A78" w:rsidP="00A72B0A">
            <w:pPr>
              <w:spacing w:before="0" w:after="0" w:line="240" w:lineRule="auto"/>
              <w:rPr>
                <w:b/>
                <w:sz w:val="18"/>
                <w:szCs w:val="18"/>
              </w:rPr>
            </w:pPr>
            <w:r>
              <w:rPr>
                <w:b/>
                <w:sz w:val="18"/>
                <w:szCs w:val="18"/>
              </w:rPr>
              <w:t>2026</w:t>
            </w:r>
          </w:p>
        </w:tc>
        <w:tc>
          <w:tcPr>
            <w:tcW w:w="1732" w:type="dxa"/>
            <w:shd w:val="clear" w:color="auto" w:fill="D5DCE4" w:themeFill="text2" w:themeFillTint="33"/>
            <w:vAlign w:val="center"/>
            <w:hideMark/>
          </w:tcPr>
          <w:p w14:paraId="252DDF6F" w14:textId="77777777" w:rsidR="00957A78" w:rsidRPr="00D538E1" w:rsidRDefault="00957A78" w:rsidP="00A72B0A">
            <w:pPr>
              <w:spacing w:before="0" w:after="0" w:line="240" w:lineRule="auto"/>
              <w:rPr>
                <w:b/>
                <w:sz w:val="18"/>
                <w:szCs w:val="18"/>
              </w:rPr>
            </w:pPr>
            <w:r>
              <w:rPr>
                <w:b/>
                <w:sz w:val="18"/>
                <w:szCs w:val="18"/>
              </w:rPr>
              <w:t>2027</w:t>
            </w:r>
          </w:p>
        </w:tc>
        <w:tc>
          <w:tcPr>
            <w:tcW w:w="1214" w:type="dxa"/>
            <w:shd w:val="clear" w:color="auto" w:fill="D5DCE4" w:themeFill="text2" w:themeFillTint="33"/>
            <w:vAlign w:val="center"/>
          </w:tcPr>
          <w:p w14:paraId="6BE16563" w14:textId="77777777" w:rsidR="00957A78" w:rsidRDefault="00957A78" w:rsidP="00A72B0A">
            <w:pPr>
              <w:spacing w:before="0" w:after="0" w:line="240" w:lineRule="auto"/>
              <w:jc w:val="center"/>
              <w:rPr>
                <w:b/>
                <w:sz w:val="18"/>
                <w:szCs w:val="18"/>
              </w:rPr>
            </w:pPr>
            <w:r>
              <w:rPr>
                <w:b/>
                <w:sz w:val="18"/>
                <w:szCs w:val="18"/>
              </w:rPr>
              <w:t>2028</w:t>
            </w:r>
          </w:p>
        </w:tc>
      </w:tr>
      <w:tr w:rsidR="00957A78" w:rsidRPr="00D538E1" w14:paraId="126233E6" w14:textId="77777777" w:rsidTr="00A72B0A">
        <w:trPr>
          <w:trHeight w:val="360"/>
          <w:jc w:val="center"/>
        </w:trPr>
        <w:tc>
          <w:tcPr>
            <w:tcW w:w="2405" w:type="dxa"/>
            <w:hideMark/>
          </w:tcPr>
          <w:p w14:paraId="087B1C9E" w14:textId="77777777" w:rsidR="00957A78" w:rsidRPr="00D538E1" w:rsidRDefault="00957A78" w:rsidP="00A72B0A">
            <w:pPr>
              <w:spacing w:before="0" w:after="0" w:line="240" w:lineRule="auto"/>
              <w:rPr>
                <w:sz w:val="18"/>
                <w:szCs w:val="18"/>
                <w:lang w:val="hy-AM"/>
              </w:rPr>
            </w:pPr>
            <w:r w:rsidRPr="003E15EE">
              <w:rPr>
                <w:sz w:val="18"/>
                <w:szCs w:val="18"/>
              </w:rPr>
              <w:t>Փաստացի կատարված</w:t>
            </w:r>
            <w:r>
              <w:rPr>
                <w:sz w:val="18"/>
                <w:szCs w:val="18"/>
              </w:rPr>
              <w:t xml:space="preserve"> </w:t>
            </w:r>
            <w:r w:rsidRPr="003E15EE">
              <w:rPr>
                <w:sz w:val="18"/>
                <w:szCs w:val="18"/>
              </w:rPr>
              <w:t xml:space="preserve">ծախսեր  </w:t>
            </w:r>
          </w:p>
        </w:tc>
        <w:tc>
          <w:tcPr>
            <w:tcW w:w="1867" w:type="dxa"/>
            <w:vAlign w:val="center"/>
            <w:hideMark/>
          </w:tcPr>
          <w:p w14:paraId="76058168" w14:textId="77777777" w:rsidR="00957A78" w:rsidRPr="00D538E1" w:rsidRDefault="00957A78" w:rsidP="00A72B0A">
            <w:pPr>
              <w:spacing w:before="0" w:after="0" w:line="240" w:lineRule="auto"/>
              <w:jc w:val="center"/>
              <w:rPr>
                <w:sz w:val="18"/>
                <w:szCs w:val="18"/>
              </w:rPr>
            </w:pPr>
            <w:r w:rsidRPr="003E15EE">
              <w:rPr>
                <w:sz w:val="18"/>
                <w:szCs w:val="18"/>
              </w:rPr>
              <w:t>14,191,244.97</w:t>
            </w:r>
          </w:p>
        </w:tc>
        <w:tc>
          <w:tcPr>
            <w:tcW w:w="1768" w:type="dxa"/>
            <w:vAlign w:val="center"/>
            <w:hideMark/>
          </w:tcPr>
          <w:p w14:paraId="4C4272D5" w14:textId="77777777" w:rsidR="00957A78" w:rsidRPr="00D538E1" w:rsidRDefault="00957A78" w:rsidP="00A72B0A">
            <w:pPr>
              <w:spacing w:before="0" w:after="0" w:line="240" w:lineRule="auto"/>
              <w:jc w:val="center"/>
              <w:rPr>
                <w:sz w:val="18"/>
                <w:szCs w:val="18"/>
                <w:lang w:val="ru-RU"/>
              </w:rPr>
            </w:pPr>
          </w:p>
        </w:tc>
        <w:tc>
          <w:tcPr>
            <w:tcW w:w="1768" w:type="dxa"/>
            <w:vAlign w:val="center"/>
            <w:hideMark/>
          </w:tcPr>
          <w:p w14:paraId="2C3C3F8E" w14:textId="77777777" w:rsidR="00957A78" w:rsidRPr="00D538E1" w:rsidRDefault="00957A78" w:rsidP="00A72B0A">
            <w:pPr>
              <w:spacing w:before="0" w:after="0" w:line="240" w:lineRule="auto"/>
              <w:jc w:val="center"/>
              <w:rPr>
                <w:sz w:val="18"/>
                <w:szCs w:val="18"/>
              </w:rPr>
            </w:pPr>
          </w:p>
        </w:tc>
        <w:tc>
          <w:tcPr>
            <w:tcW w:w="1732" w:type="dxa"/>
            <w:vAlign w:val="center"/>
            <w:hideMark/>
          </w:tcPr>
          <w:p w14:paraId="1E5EECD3" w14:textId="77777777" w:rsidR="00957A78" w:rsidRPr="00D538E1" w:rsidRDefault="00957A78" w:rsidP="00A72B0A">
            <w:pPr>
              <w:spacing w:before="0" w:after="0" w:line="240" w:lineRule="auto"/>
              <w:jc w:val="center"/>
              <w:rPr>
                <w:sz w:val="18"/>
                <w:szCs w:val="18"/>
              </w:rPr>
            </w:pPr>
          </w:p>
        </w:tc>
        <w:tc>
          <w:tcPr>
            <w:tcW w:w="1214" w:type="dxa"/>
          </w:tcPr>
          <w:p w14:paraId="3AB02402" w14:textId="77777777" w:rsidR="00957A78" w:rsidRPr="00D538E1" w:rsidRDefault="00957A78" w:rsidP="00A72B0A">
            <w:pPr>
              <w:spacing w:before="0" w:after="0" w:line="240" w:lineRule="auto"/>
              <w:jc w:val="center"/>
              <w:rPr>
                <w:sz w:val="18"/>
                <w:szCs w:val="18"/>
              </w:rPr>
            </w:pPr>
          </w:p>
        </w:tc>
      </w:tr>
      <w:tr w:rsidR="00957A78" w:rsidRPr="00D538E1" w14:paraId="186AEC6D" w14:textId="77777777" w:rsidTr="00A72B0A">
        <w:trPr>
          <w:trHeight w:val="360"/>
          <w:jc w:val="center"/>
        </w:trPr>
        <w:tc>
          <w:tcPr>
            <w:tcW w:w="2405" w:type="dxa"/>
            <w:hideMark/>
          </w:tcPr>
          <w:p w14:paraId="5C6DC9DB" w14:textId="77777777" w:rsidR="00957A78" w:rsidRPr="00D538E1" w:rsidRDefault="00957A78" w:rsidP="00A72B0A">
            <w:pPr>
              <w:spacing w:before="0" w:after="0" w:line="240" w:lineRule="auto"/>
              <w:rPr>
                <w:sz w:val="18"/>
                <w:szCs w:val="18"/>
              </w:rPr>
            </w:pPr>
            <w:r w:rsidRPr="003E15EE">
              <w:rPr>
                <w:sz w:val="18"/>
                <w:szCs w:val="18"/>
              </w:rPr>
              <w:t>Պլանավորված ծախսեր</w:t>
            </w:r>
          </w:p>
        </w:tc>
        <w:tc>
          <w:tcPr>
            <w:tcW w:w="1867" w:type="dxa"/>
            <w:vAlign w:val="center"/>
            <w:hideMark/>
          </w:tcPr>
          <w:p w14:paraId="7AE5C573" w14:textId="77777777" w:rsidR="00957A78" w:rsidRPr="00D538E1" w:rsidRDefault="00957A78" w:rsidP="00A72B0A">
            <w:pPr>
              <w:spacing w:before="0" w:after="0" w:line="240" w:lineRule="auto"/>
              <w:jc w:val="center"/>
              <w:rPr>
                <w:sz w:val="18"/>
                <w:szCs w:val="18"/>
              </w:rPr>
            </w:pPr>
            <w:r>
              <w:rPr>
                <w:sz w:val="18"/>
                <w:szCs w:val="18"/>
              </w:rPr>
              <w:t>-</w:t>
            </w:r>
          </w:p>
        </w:tc>
        <w:tc>
          <w:tcPr>
            <w:tcW w:w="1768" w:type="dxa"/>
            <w:vAlign w:val="center"/>
            <w:hideMark/>
          </w:tcPr>
          <w:p w14:paraId="5BD4C662" w14:textId="77777777" w:rsidR="00957A78" w:rsidRPr="00D538E1" w:rsidRDefault="00957A78" w:rsidP="00A72B0A">
            <w:pPr>
              <w:spacing w:before="0" w:after="0" w:line="240" w:lineRule="auto"/>
              <w:jc w:val="center"/>
              <w:rPr>
                <w:sz w:val="18"/>
                <w:szCs w:val="18"/>
              </w:rPr>
            </w:pPr>
            <w:r w:rsidRPr="003E15EE">
              <w:rPr>
                <w:sz w:val="18"/>
                <w:szCs w:val="18"/>
                <w:lang w:val="hy-AM"/>
              </w:rPr>
              <w:t>10,714,812.7</w:t>
            </w:r>
          </w:p>
        </w:tc>
        <w:tc>
          <w:tcPr>
            <w:tcW w:w="1768" w:type="dxa"/>
            <w:vAlign w:val="center"/>
            <w:hideMark/>
          </w:tcPr>
          <w:p w14:paraId="0CCB9651" w14:textId="77777777" w:rsidR="00957A78" w:rsidRPr="00D538E1" w:rsidRDefault="00957A78" w:rsidP="00A72B0A">
            <w:pPr>
              <w:spacing w:before="0" w:after="0" w:line="240" w:lineRule="auto"/>
              <w:jc w:val="center"/>
              <w:rPr>
                <w:sz w:val="18"/>
                <w:szCs w:val="18"/>
              </w:rPr>
            </w:pPr>
            <w:r w:rsidRPr="003E15EE">
              <w:rPr>
                <w:sz w:val="18"/>
                <w:szCs w:val="18"/>
                <w:lang w:val="hy-AM"/>
              </w:rPr>
              <w:t>7,476,084.5</w:t>
            </w:r>
          </w:p>
        </w:tc>
        <w:tc>
          <w:tcPr>
            <w:tcW w:w="1732" w:type="dxa"/>
            <w:vAlign w:val="center"/>
            <w:hideMark/>
          </w:tcPr>
          <w:p w14:paraId="79524670" w14:textId="77777777" w:rsidR="00957A78" w:rsidRPr="00D538E1" w:rsidRDefault="00957A78" w:rsidP="00A72B0A">
            <w:pPr>
              <w:spacing w:before="0" w:after="0" w:line="240" w:lineRule="auto"/>
              <w:jc w:val="center"/>
              <w:rPr>
                <w:sz w:val="18"/>
                <w:szCs w:val="18"/>
              </w:rPr>
            </w:pPr>
            <w:r w:rsidRPr="003E15EE">
              <w:rPr>
                <w:sz w:val="18"/>
                <w:szCs w:val="18"/>
                <w:lang w:val="hy-AM"/>
              </w:rPr>
              <w:t>2,197,426.0</w:t>
            </w:r>
          </w:p>
        </w:tc>
        <w:tc>
          <w:tcPr>
            <w:tcW w:w="1214" w:type="dxa"/>
          </w:tcPr>
          <w:p w14:paraId="64652C8C" w14:textId="77777777" w:rsidR="00957A78" w:rsidRPr="00D538E1" w:rsidRDefault="00957A78" w:rsidP="00A72B0A">
            <w:pPr>
              <w:spacing w:before="0" w:after="0" w:line="240" w:lineRule="auto"/>
              <w:jc w:val="center"/>
              <w:rPr>
                <w:sz w:val="18"/>
                <w:szCs w:val="18"/>
              </w:rPr>
            </w:pPr>
            <w:r>
              <w:rPr>
                <w:sz w:val="18"/>
                <w:szCs w:val="18"/>
              </w:rPr>
              <w:t>-</w:t>
            </w:r>
          </w:p>
        </w:tc>
      </w:tr>
    </w:tbl>
    <w:p w14:paraId="58FCC4D9" w14:textId="77777777" w:rsidR="00957A78" w:rsidRDefault="00957A78" w:rsidP="00957A78">
      <w:pPr>
        <w:pStyle w:val="TOC4"/>
        <w:rPr>
          <w:lang w:val="hy-AM"/>
        </w:rPr>
      </w:pPr>
    </w:p>
    <w:p w14:paraId="74189BF6" w14:textId="20DB49CD" w:rsidR="00957A78" w:rsidRPr="00E77731" w:rsidRDefault="00957A78" w:rsidP="00957A78">
      <w:pPr>
        <w:pStyle w:val="TOC4"/>
        <w:rPr>
          <w:lang w:val="hy-AM"/>
        </w:rPr>
      </w:pPr>
      <w:r>
        <w:rPr>
          <w:lang w:val="hy-AM"/>
        </w:rPr>
        <w:t>3.1.5</w:t>
      </w:r>
      <w:r w:rsidRPr="00E77731">
        <w:rPr>
          <w:lang w:val="hy-AM"/>
        </w:rPr>
        <w:t xml:space="preserve"> ԲՆԱՊԱՀՊԱՆԱԿԱՆ ՊԱՐՏԱՎՈՐՈՒԹՅՈՒՆՆԵՐԻՑ, ՇՐՋԱԿԱ ՄԻՋԱՎԱՅՐԻ ԴԵԳՐԱԴԱՑԻԱՅԻՑ ԵՎ ՋԵՐՄՈՑԱՅԻՆ ԳԱԶԵՐԻ ԱՐՏԱՆԵՏՈՒՄՆԵՐԻ ԱՎԵԼԱՑՈՒՄԻՑ </w:t>
      </w:r>
      <w:r w:rsidR="00F925A0">
        <w:rPr>
          <w:lang w:val="hy-AM"/>
        </w:rPr>
        <w:t>ԲԽՈՂ</w:t>
      </w:r>
      <w:r w:rsidRPr="00E77731">
        <w:rPr>
          <w:lang w:val="hy-AM"/>
        </w:rPr>
        <w:t xml:space="preserve"> ՀԱՐԿԱԲՅՈՒՋԵՏԱՅԻՆ ՌԻՍԿԵՐ</w:t>
      </w:r>
      <w:bookmarkEnd w:id="535"/>
      <w:bookmarkEnd w:id="536"/>
    </w:p>
    <w:p w14:paraId="6F24121E" w14:textId="77777777" w:rsidR="00957A78" w:rsidRPr="00776E7A" w:rsidRDefault="00957A78" w:rsidP="00957A78">
      <w:pPr>
        <w:spacing w:after="0"/>
        <w:jc w:val="both"/>
        <w:rPr>
          <w:rFonts w:ascii="GHEA Grapalat" w:eastAsia="Times New Roman" w:hAnsi="GHEA Grapalat" w:cs="Times New Roman"/>
          <w:lang w:val="hy-AM"/>
        </w:rPr>
      </w:pPr>
      <w:bookmarkStart w:id="537" w:name="_Toc170906944"/>
      <w:bookmarkStart w:id="538" w:name="_Toc170906572"/>
      <w:r w:rsidRPr="00776E7A">
        <w:rPr>
          <w:rFonts w:ascii="GHEA Grapalat" w:eastAsia="Times New Roman" w:hAnsi="GHEA Grapalat" w:cs="Times New Roman"/>
          <w:lang w:val="hy-AM"/>
        </w:rPr>
        <w:t>Համաշխարհային տնտեսության աճի տեմպերի զգալի ավելացումը բնապահպանական մարտահրավերներ է ստեղծում, մասնավորապես, բնապահպանական ասպեկտները հաճախ դառնում են հարկաբյուջետային ռիսկերի աղբյուր՝ հատկապես կլիմայի փոփոխության պայմաններում:</w:t>
      </w:r>
    </w:p>
    <w:p w14:paraId="55D7FC83" w14:textId="77777777" w:rsidR="00957A78" w:rsidRPr="00776E7A" w:rsidRDefault="00957A78" w:rsidP="00957A78">
      <w:pPr>
        <w:spacing w:after="0"/>
        <w:jc w:val="both"/>
        <w:rPr>
          <w:rFonts w:ascii="GHEA Grapalat" w:hAnsi="GHEA Grapalat"/>
          <w:lang w:val="hy-AM"/>
        </w:rPr>
      </w:pPr>
      <w:r w:rsidRPr="00776E7A">
        <w:rPr>
          <w:rFonts w:ascii="GHEA Grapalat" w:hAnsi="GHEA Grapalat"/>
          <w:lang w:val="hy-AM"/>
        </w:rPr>
        <w:t>Կլիմայի փոփոխությունը նշանակալի ազդեցություն ունի նաև Հայաստանի Հանրապետության վրա: Մասնավորապես, ավելանում է բնական աղետների քանակը և փոխվում են բնական ցիկլերը (երաշտների, վաղ ցրտահարությունների, անտառային հրդեհների և ջրհեղեղների թվի աճ), կրճատվում է կենսաբազմազանությունը: 2019 թվականին գրանցվել է +1.5°C շեղում՝ 1961-1990 թվականների միջին տարեկան ջերմաստիճանից</w:t>
      </w:r>
      <w:r w:rsidRPr="00776E7A">
        <w:rPr>
          <w:rStyle w:val="FootnoteReference"/>
          <w:rFonts w:ascii="GHEA Grapalat" w:hAnsi="GHEA Grapalat"/>
          <w:lang w:val="hy-AM"/>
        </w:rPr>
        <w:footnoteReference w:id="47"/>
      </w:r>
      <w:r w:rsidRPr="00776E7A">
        <w:rPr>
          <w:rFonts w:ascii="GHEA Grapalat" w:hAnsi="GHEA Grapalat"/>
          <w:lang w:val="hy-AM"/>
        </w:rPr>
        <w:t xml:space="preserve">: </w:t>
      </w:r>
    </w:p>
    <w:p w14:paraId="59FF11EB" w14:textId="77777777" w:rsidR="00957A78" w:rsidRPr="00776E7A" w:rsidRDefault="00957A78" w:rsidP="00957A78">
      <w:pPr>
        <w:spacing w:after="0"/>
        <w:jc w:val="both"/>
        <w:rPr>
          <w:rFonts w:ascii="GHEA Grapalat" w:hAnsi="GHEA Grapalat"/>
          <w:lang w:val="hy-AM"/>
        </w:rPr>
      </w:pPr>
      <w:r w:rsidRPr="00776E7A">
        <w:rPr>
          <w:rFonts w:ascii="GHEA Grapalat" w:hAnsi="GHEA Grapalat"/>
          <w:lang w:val="hy-AM"/>
        </w:rPr>
        <w:t>Հայաստանի Հանրապետության 2019թ.-ի ջերմոցային գազերի (ՋԳ) մասնաբաժնում գերակշռում է ածխածնի երկօքսիդը, որի մասնաբաժինը ընդհանուր արտանետումներում կազմել է 55.7%, մեթանը՝ 24.2%, ազոտի ենթօքսիդը՝ 11.4% և հիդրոֆտորածխածինները՝ շուրջ 8.7%: 2019 թվականի տվյալներով ՋԳ արտանետումների մասնաբաժնում ամենամեծ աղբյուրը էներգետիկայի ոլորտն է 64% մասնաբաժնով, որն իր մեջ ներառում է բնակարանային (19</w:t>
      </w:r>
      <w:r w:rsidRPr="00776E7A">
        <w:rPr>
          <w:rFonts w:ascii="Cambria Math" w:hAnsi="Cambria Math" w:cs="Cambria Math"/>
          <w:lang w:val="hy-AM"/>
        </w:rPr>
        <w:t>․</w:t>
      </w:r>
      <w:r w:rsidRPr="00776E7A">
        <w:rPr>
          <w:rFonts w:ascii="GHEA Grapalat" w:hAnsi="GHEA Grapalat"/>
          <w:lang w:val="hy-AM"/>
        </w:rPr>
        <w:t>1%), տրանսպորտային (30</w:t>
      </w:r>
      <w:r w:rsidRPr="00776E7A">
        <w:rPr>
          <w:rFonts w:ascii="Cambria Math" w:hAnsi="Cambria Math" w:cs="Cambria Math"/>
          <w:lang w:val="hy-AM"/>
        </w:rPr>
        <w:t>․</w:t>
      </w:r>
      <w:r w:rsidRPr="00776E7A">
        <w:rPr>
          <w:rFonts w:ascii="GHEA Grapalat" w:hAnsi="GHEA Grapalat"/>
          <w:lang w:val="hy-AM"/>
        </w:rPr>
        <w:t xml:space="preserve">1%) ենթաոլորտները: Երկրորդ խոշոր ոլորտը` գյուղատնտեսությունն է, որի մասնաբաժինը կազմում է 18.8%: ՋԳ արտանետումների կրճատման և կլանման կարողությունների ընդլայնման ուղղությամբ պետությունն իրականացնում է աջակցության ծրագրեր: Մասնավորապես, Կառավարությունը շեշտը դնում է սեփական էներգետիկ ռեսուրսների առավելագույն օգտագործումն ապահովող միջոցառումների վրա (էներգետիկ անկախության) և կենտրոնանում էներգիայի վերականգնվող աղբյուրների և էներգաարդյունավետության վրա: Այդ նպատակով պետությունն աջակցում է արևային ֆոտովոլտային կայանների տեղադրմանը և տրամադրում արտոնություններ էլեկտրական մեքենաների ներկրման մաքսատուրքերի համար: </w:t>
      </w:r>
    </w:p>
    <w:p w14:paraId="295F4687" w14:textId="77777777" w:rsidR="00957A78" w:rsidRPr="00776E7A" w:rsidRDefault="00957A78" w:rsidP="00957A78">
      <w:pPr>
        <w:spacing w:after="0"/>
        <w:jc w:val="both"/>
        <w:rPr>
          <w:rFonts w:ascii="GHEA Grapalat" w:eastAsia="Times New Roman" w:hAnsi="GHEA Grapalat" w:cs="Times New Roman"/>
          <w:lang w:val="hy-AM"/>
        </w:rPr>
      </w:pPr>
      <w:r w:rsidRPr="00776E7A">
        <w:rPr>
          <w:rFonts w:ascii="GHEA Grapalat" w:eastAsia="Times New Roman" w:hAnsi="GHEA Grapalat" w:cs="Times New Roman"/>
          <w:lang w:val="hy-AM"/>
        </w:rPr>
        <w:t>Բնապահպանական ռիսկերի կառավարման նպատակով հնարավոր տնտեսական և ֆիսկալ վնասների հաշվարկման համար դեռևս մշակված չեն սցենարների վերլուծության և սթրես թեստերի մեթոդաբանություններ, իսկ ՋԳ արտանետումների գույքագրման կարգը ՀՀ կառավարության N 54-Ն որոշմամբ հաստատվել է 2024թ. հունվարին, ուստի ֆիսկալ ռիսկերի գնահատման շրջանակներում բնապահպանական ռիսկերին հնարավոր է դարձել անդրադարձ կատարել միայն փաստերի (ստորև նշված) արձանագրման միջոցով:</w:t>
      </w:r>
    </w:p>
    <w:p w14:paraId="472180EF" w14:textId="77777777" w:rsidR="00957A78" w:rsidRPr="00776E7A" w:rsidRDefault="00957A78" w:rsidP="00957A78">
      <w:pPr>
        <w:spacing w:after="0"/>
        <w:jc w:val="both"/>
        <w:rPr>
          <w:rFonts w:ascii="GHEA Grapalat" w:eastAsia="Times New Roman" w:hAnsi="GHEA Grapalat" w:cs="Times New Roman"/>
          <w:lang w:val="hy-AM"/>
        </w:rPr>
      </w:pPr>
      <w:r w:rsidRPr="00776E7A">
        <w:rPr>
          <w:rFonts w:ascii="GHEA Grapalat" w:eastAsia="Times New Roman" w:hAnsi="GHEA Grapalat" w:cs="Times New Roman"/>
          <w:lang w:val="hy-AM"/>
        </w:rPr>
        <w:t xml:space="preserve">ՀՀ շրջակա միջավայրի նախարարության կողմից (ՇՄՆ), 11.10.2019թ. N 337-L հրամանով նույնականացված, հնարավոր բնապահպանական պարտավորություններ ենթադրող 44 տեղամասերից բացի, 2024 թվականի ընթացքում վերականգնում պահանջող նոր տեղամասեր չեն արձանագրվել, հետևաբար 2019 թվականից ի վեր այդ տեղամասերի քանակը չի փոխվել: 2024 թվականին ընդերքօգտագործման թափոնների փակված օբյեկտների, լքված արտադրական լցակույտերի վերականգնման աշխատանքներ չեն իրականացվել: 2023 թվականին հատկացված բյուջետային միջոցների հաշվին մշակվել է Նազիկ և Փխրուտ պոչամբարի ռեկուլտիվացիոն աշխատանքների նախագծանախահաշվային փաթեթները: Նազիկ պոչամբարի ռեկուլտիվացիոն աշխատանքների կատարման ընդհանուր արժեքը (ներառյալ վերադիր ծախսեր, տեխնիկական հսկողության արժեք) կազմել է շուրջ 250 մլն ՀՀ դրամ, իսկ Փխրուտինը՝ 675 մլն ՀՀ դրամ: ՇՄՆ և «Ախթալայի ԼՀԿ» ՓԲԸ միջև ձեռք է բերվել պայմանավորվածություն 2025 թվականին ընկերության կողմից Նազիկ պոչամբարի ռեկուլտիվացիոն աշխատանքների իրականացնելու վերաբերյալ: «Ալյոտիգ» ՍՊԸ նախատեսում է իրականացնել իրեն սեփականության իրավունքով պատկանող պոչամբարներում (այդ թվում՝ Փխրուտ պոչամբարում) գոյացած արտադրական լցակույտերի սակավաթափոն մշակման ներդրումային ծրագիր՝ ընդ որում՝ ընկերությունը պարտավորվել է համապատասխան թույլտվությունները ստանալուց և ծրագիրն իրականացնելուց պետական բյուջե վերադարձնել նախագծանախահաշվային փաստաթղթերի վրա կատարված ծախսը: </w:t>
      </w:r>
    </w:p>
    <w:p w14:paraId="6B5C2D22" w14:textId="77777777" w:rsidR="00957A78" w:rsidRPr="00776E7A" w:rsidRDefault="00957A78" w:rsidP="00957A78">
      <w:pPr>
        <w:spacing w:after="0"/>
        <w:jc w:val="both"/>
        <w:rPr>
          <w:rFonts w:ascii="GHEA Grapalat" w:eastAsia="Times New Roman" w:hAnsi="GHEA Grapalat" w:cs="Times New Roman"/>
          <w:lang w:val="hy-AM"/>
        </w:rPr>
      </w:pPr>
      <w:r w:rsidRPr="00776E7A">
        <w:rPr>
          <w:rFonts w:ascii="GHEA Grapalat" w:eastAsia="Times New Roman" w:hAnsi="GHEA Grapalat" w:cs="Times New Roman"/>
          <w:lang w:val="hy-AM"/>
        </w:rPr>
        <w:t xml:space="preserve">Արգելված և ժամկետանց թունաքիմիկատները մատակարարման շղթայից հեռացնելու նպատակով 1970թ.-ին կառուցված Նուբարաշենի ժամկետանց թունաքիմիկատների գերեզմանոցը (ՆԹԳ)՝ </w:t>
      </w:r>
      <w:r w:rsidRPr="00776E7A">
        <w:rPr>
          <w:rFonts w:ascii="GHEA Grapalat" w:eastAsia="Times New Roman" w:hAnsi="GHEA Grapalat" w:cs="Calibri"/>
          <w:color w:val="000000"/>
          <w:lang w:val="hy-AM"/>
        </w:rPr>
        <w:t>պայմանավորված տարածքում թաղված մաքուր թունաքիմիկատների և դրանց մետաբոլիտների տարալվացման կամ փոշու տեսքով օդում տարածման հետ, դեռևս շարունակում է</w:t>
      </w:r>
      <w:r w:rsidRPr="00776E7A">
        <w:rPr>
          <w:rFonts w:ascii="GHEA Grapalat" w:eastAsia="Times New Roman" w:hAnsi="GHEA Grapalat" w:cs="Times New Roman"/>
          <w:lang w:val="hy-AM"/>
        </w:rPr>
        <w:t xml:space="preserve"> մնալ հնարավոր բնապահպանական ռիսկի աղբյուր, որի լուծման նպատակով 2024 թվականին ֆինանսական միջոցներ չեն տրամադրվել և վերականգնման աշխատանքներ չեն իրականացվել:</w:t>
      </w:r>
    </w:p>
    <w:p w14:paraId="4A3C6929" w14:textId="77777777" w:rsidR="00957A78" w:rsidRPr="00776E7A" w:rsidRDefault="00957A78" w:rsidP="00957A78">
      <w:pPr>
        <w:spacing w:after="0"/>
        <w:jc w:val="both"/>
        <w:rPr>
          <w:rFonts w:ascii="GHEA Grapalat" w:eastAsia="Times New Roman" w:hAnsi="GHEA Grapalat" w:cs="Calibri"/>
          <w:color w:val="000000"/>
          <w:lang w:val="hy-AM"/>
        </w:rPr>
      </w:pPr>
      <w:r w:rsidRPr="00776E7A">
        <w:rPr>
          <w:rFonts w:ascii="GHEA Grapalat" w:eastAsia="Times New Roman" w:hAnsi="GHEA Grapalat" w:cs="Calibri"/>
          <w:color w:val="000000"/>
          <w:lang w:val="hy-AM"/>
        </w:rPr>
        <w:t>Սևանա լճի ջրածածկ անտառտնկարկների մաքրման աշխատանքների իրականացման նպատակով 2024 թվականի բյուջետային հատկացումներով ՇՄՆ «Սևան ազգային պարկ» ՊՈԱԿ-ի տեխնիկական միոցներով իրականացվել են «Դրախտիկ» տեղամասի 18.8 հա անտառմաքրման աշխատանքներ: Շուրջ 98,124.8 հազ. ՀՀ դրամ գումարի շրջանակներում 2 տեղամասում նախատեսված 203.4 հա աշխատանքներ չեն իրականացվել՝ հայտարարված մրցույթներին մասնակից չլինելու պատճառով:</w:t>
      </w:r>
    </w:p>
    <w:p w14:paraId="0A9B34D2" w14:textId="77777777" w:rsidR="00957A78" w:rsidRPr="00776E7A" w:rsidRDefault="00957A78" w:rsidP="00957A78">
      <w:pPr>
        <w:spacing w:after="0"/>
        <w:jc w:val="both"/>
        <w:rPr>
          <w:rFonts w:ascii="GHEA Grapalat" w:eastAsia="Times New Roman" w:hAnsi="GHEA Grapalat" w:cs="Calibri"/>
          <w:color w:val="000000"/>
          <w:lang w:val="hy-AM"/>
        </w:rPr>
      </w:pPr>
      <w:r w:rsidRPr="00776E7A">
        <w:rPr>
          <w:rFonts w:ascii="GHEA Grapalat" w:eastAsia="Times New Roman" w:hAnsi="GHEA Grapalat" w:cs="Calibri"/>
          <w:color w:val="000000"/>
          <w:lang w:val="hy-AM"/>
        </w:rPr>
        <w:t>2024 թվականին Սևանա լճի առափնյա հատվածներում ծովի մակարդակից 1901,5 մետր բացարձակ նիշից ցածր, ապօրինի կառուցված և քանդման ենթակա շենք-շինությունների ապամոնտաժման (քանդման) աշխատանքներ չեն իրականացվել, քանի որ այդ նպատակի համար պետական բյուջեով ֆինանսական միջոցներ չեն հատկացվել:</w:t>
      </w:r>
    </w:p>
    <w:p w14:paraId="7F46177B" w14:textId="77777777" w:rsidR="00957A78" w:rsidRPr="00776E7A" w:rsidRDefault="00957A78" w:rsidP="00957A78">
      <w:pPr>
        <w:spacing w:after="0"/>
        <w:jc w:val="both"/>
        <w:rPr>
          <w:rFonts w:ascii="GHEA Grapalat" w:eastAsia="Times New Roman" w:hAnsi="GHEA Grapalat" w:cs="Calibri"/>
          <w:color w:val="000000"/>
          <w:lang w:val="hy-AM"/>
        </w:rPr>
      </w:pPr>
      <w:r w:rsidRPr="00776E7A">
        <w:rPr>
          <w:rFonts w:ascii="GHEA Grapalat" w:eastAsia="Times New Roman" w:hAnsi="GHEA Grapalat" w:cs="Calibri"/>
          <w:color w:val="000000"/>
          <w:lang w:val="hy-AM"/>
        </w:rPr>
        <w:t xml:space="preserve">2024 թվականին իրականացվել է 337.4 հա </w:t>
      </w:r>
      <w:r w:rsidRPr="00776E7A">
        <w:rPr>
          <w:rFonts w:ascii="GHEA Grapalat" w:eastAsia="Times New Roman" w:hAnsi="GHEA Grapalat" w:cs="Times New Roman"/>
          <w:lang w:val="hy-AM"/>
        </w:rPr>
        <w:t>անտառվերականգնման ու անտառապատման աշխատանքներ</w:t>
      </w:r>
      <w:r w:rsidRPr="00776E7A">
        <w:rPr>
          <w:rFonts w:ascii="GHEA Grapalat" w:eastAsia="Times New Roman" w:hAnsi="GHEA Grapalat" w:cs="Calibri"/>
          <w:color w:val="000000"/>
          <w:lang w:val="hy-AM"/>
        </w:rPr>
        <w:t>, այդ թվում՝ 257.4 հա անտառմշակույթի հիմնում, որից 130 հա պետական բյուջեով հատկացված 839.6 մլն ՀՀ դրամի շրջանակում:</w:t>
      </w:r>
    </w:p>
    <w:p w14:paraId="730B3C93" w14:textId="77777777" w:rsidR="00957A78" w:rsidRPr="00E77731" w:rsidRDefault="00957A78" w:rsidP="00957A78">
      <w:pPr>
        <w:pStyle w:val="TOC4"/>
        <w:rPr>
          <w:lang w:val="hy-AM"/>
        </w:rPr>
      </w:pPr>
      <w:r w:rsidRPr="00E77731">
        <w:rPr>
          <w:lang w:val="hy-AM"/>
        </w:rPr>
        <w:t>3.1</w:t>
      </w:r>
      <w:r w:rsidRPr="00E77731">
        <w:rPr>
          <w:rFonts w:ascii="Cambria Math" w:hAnsi="Cambria Math" w:cs="Cambria Math"/>
          <w:lang w:val="hy-AM"/>
        </w:rPr>
        <w:t>․</w:t>
      </w:r>
      <w:r>
        <w:rPr>
          <w:lang w:val="hy-AM"/>
        </w:rPr>
        <w:t>6</w:t>
      </w:r>
      <w:r w:rsidRPr="00E77731">
        <w:rPr>
          <w:lang w:val="hy-AM"/>
        </w:rPr>
        <w:t xml:space="preserve"> ՊԵՏՈՒԹՅԱՆ ԴԵՄ ԻՐԱԿԱՆԱՑՎՈՂ ԴԱՏԱԿԱՆ ՎԱՐՈՒՅԹՆԵՐԻՑ </w:t>
      </w:r>
      <w:r>
        <w:rPr>
          <w:lang w:val="hy-AM"/>
        </w:rPr>
        <w:t>ԲԽՈՂ</w:t>
      </w:r>
      <w:r w:rsidRPr="00E77731">
        <w:rPr>
          <w:lang w:val="hy-AM"/>
        </w:rPr>
        <w:t xml:space="preserve"> ՀԱՐԿԱԲՅՈՒՋԵՏԱՅԻՆ ՌԻՍԿԵՐ</w:t>
      </w:r>
      <w:bookmarkEnd w:id="537"/>
      <w:bookmarkEnd w:id="538"/>
    </w:p>
    <w:p w14:paraId="111FCF30" w14:textId="77777777" w:rsidR="00957A78" w:rsidRDefault="00957A78" w:rsidP="00957A78">
      <w:pPr>
        <w:spacing w:after="0"/>
        <w:jc w:val="both"/>
        <w:rPr>
          <w:rFonts w:eastAsia="Times New Roman" w:cs="Times New Roman"/>
          <w:lang w:val="hy-AM"/>
        </w:rPr>
      </w:pPr>
      <w:r w:rsidRPr="00924344">
        <w:rPr>
          <w:rFonts w:eastAsia="Times New Roman" w:cs="Times New Roman"/>
          <w:lang w:val="hy-AM"/>
        </w:rPr>
        <w:t xml:space="preserve">2025 թվականի մարտի 31-ի դրությամբ </w:t>
      </w:r>
      <w:r w:rsidRPr="00924344">
        <w:rPr>
          <w:rFonts w:eastAsia="Times New Roman" w:cs="Times New Roman"/>
          <w:b/>
          <w:lang w:val="hy-AM"/>
        </w:rPr>
        <w:t>ընդդեմ Հայաստանի Հանրապետության</w:t>
      </w:r>
      <w:r w:rsidRPr="00924344">
        <w:rPr>
          <w:rFonts w:eastAsia="Times New Roman" w:cs="Times New Roman"/>
          <w:lang w:val="hy-AM"/>
        </w:rPr>
        <w:t xml:space="preserve"> Մարդու իրավունքների եվրոպական դատարանը կոմունիկացրել է 493 գործ (ընթացքում գտնվող գործեր, որոնցով առկա չէ վերջնական դատական ակտ)։ 2024 թվականի ընթացքում Մարդու իրավունքների եվրոպական դատարանը 15 վճռով դիմումատուներին վճարել է 205,274 եվրոյին համարժեք ՀՀ դրամ՝ որպես արդարացի փոխհատուցում։ 2025 թվականի առաջին եռամսյակի ընթացքում ընդհանուր թվով Մարդու իրավունքների եվրոպական դատարանի 2 վճռով կատարվել է արդարացի փոխհատուցման գումարների վճարում, որը կազմել է 12,600 եվրոյին համարժեք ՀՀ դրամ:</w:t>
      </w:r>
    </w:p>
    <w:p w14:paraId="0C5C1A9D" w14:textId="77777777" w:rsidR="00957A78" w:rsidRPr="00106FAC" w:rsidRDefault="00957A78" w:rsidP="00957A78">
      <w:pPr>
        <w:spacing w:after="0"/>
        <w:jc w:val="both"/>
        <w:rPr>
          <w:rFonts w:eastAsia="Times New Roman" w:cs="Times New Roman"/>
          <w:lang w:val="hy-AM"/>
        </w:rPr>
      </w:pPr>
      <w:r w:rsidRPr="00106FAC">
        <w:rPr>
          <w:rFonts w:eastAsia="Times New Roman" w:cs="Times New Roman"/>
          <w:lang w:val="hy-AM"/>
        </w:rPr>
        <w:t>Անհրաժեշտ է նշել, որ դիմումատուների կողմից պահանջված և Մարդու իրավունքների եվրոպական դատարանի կողմից հատկացված արդարացի փոխհատուցման գումարների մի</w:t>
      </w:r>
      <w:r>
        <w:rPr>
          <w:rFonts w:eastAsia="Times New Roman" w:cs="Times New Roman"/>
          <w:lang w:val="hy-AM"/>
        </w:rPr>
        <w:t>ջև առկա է մեծ տարբերություն (տե</w:t>
      </w:r>
      <w:r w:rsidRPr="00106FAC">
        <w:rPr>
          <w:rFonts w:eastAsia="Times New Roman" w:cs="Times New Roman"/>
          <w:lang w:val="hy-AM"/>
        </w:rPr>
        <w:t>ս</w:t>
      </w:r>
      <w:r w:rsidRPr="002F4641">
        <w:rPr>
          <w:rFonts w:eastAsia="Times New Roman" w:cs="Times New Roman"/>
          <w:lang w:val="hy-AM"/>
        </w:rPr>
        <w:t>`</w:t>
      </w:r>
      <w:r w:rsidRPr="00106FAC">
        <w:rPr>
          <w:rFonts w:eastAsia="Times New Roman" w:cs="Times New Roman"/>
          <w:lang w:val="hy-AM"/>
        </w:rPr>
        <w:t xml:space="preserve"> </w:t>
      </w:r>
      <w:r>
        <w:rPr>
          <w:rFonts w:eastAsia="Times New Roman" w:cs="Times New Roman"/>
          <w:lang w:val="hy-AM"/>
        </w:rPr>
        <w:t xml:space="preserve">գծապատկեր </w:t>
      </w:r>
      <w:r w:rsidRPr="00143E45">
        <w:rPr>
          <w:rFonts w:eastAsia="Times New Roman" w:cs="Times New Roman"/>
          <w:lang w:val="hy-AM"/>
        </w:rPr>
        <w:t>27</w:t>
      </w:r>
      <w:r w:rsidRPr="00BA341D">
        <w:rPr>
          <w:rFonts w:eastAsia="Times New Roman" w:cs="Times New Roman"/>
          <w:lang w:val="hy-AM"/>
        </w:rPr>
        <w:t>):</w:t>
      </w:r>
      <w:r w:rsidRPr="00106FAC">
        <w:rPr>
          <w:rFonts w:eastAsia="Times New Roman" w:cs="Times New Roman"/>
          <w:lang w:val="hy-AM"/>
        </w:rPr>
        <w:t xml:space="preserve"> </w:t>
      </w:r>
    </w:p>
    <w:p w14:paraId="4475B906" w14:textId="77777777" w:rsidR="00957A78" w:rsidRPr="00093A67" w:rsidRDefault="00957A78" w:rsidP="00957A78">
      <w:pPr>
        <w:spacing w:after="0"/>
        <w:jc w:val="both"/>
        <w:rPr>
          <w:rFonts w:eastAsia="Times New Roman" w:cs="Times New Roman"/>
          <w:b/>
          <w:i/>
          <w:lang w:val="hy-AM"/>
        </w:rPr>
      </w:pPr>
    </w:p>
    <w:p w14:paraId="7347F9A9" w14:textId="77777777" w:rsidR="00957A78" w:rsidRPr="00A461D4" w:rsidRDefault="00957A78" w:rsidP="00957A78">
      <w:pPr>
        <w:jc w:val="both"/>
        <w:rPr>
          <w:rFonts w:eastAsia="Times New Roman" w:cs="Times New Roman"/>
          <w:sz w:val="20"/>
          <w:szCs w:val="20"/>
          <w:highlight w:val="yellow"/>
          <w:lang w:val="hy-AM"/>
        </w:rPr>
      </w:pPr>
      <w:r>
        <w:rPr>
          <w:rFonts w:eastAsia="Times New Roman" w:cs="Times New Roman"/>
          <w:b/>
          <w:i/>
          <w:sz w:val="20"/>
          <w:szCs w:val="20"/>
          <w:lang w:val="hy-AM"/>
        </w:rPr>
        <w:t xml:space="preserve">Գծապատկեր </w:t>
      </w:r>
      <w:r w:rsidRPr="0034648D">
        <w:rPr>
          <w:rFonts w:eastAsia="Times New Roman" w:cs="Times New Roman"/>
          <w:b/>
          <w:i/>
          <w:sz w:val="20"/>
          <w:szCs w:val="20"/>
          <w:lang w:val="hy-AM"/>
        </w:rPr>
        <w:t>27</w:t>
      </w:r>
      <w:r w:rsidRPr="00A461D4">
        <w:rPr>
          <w:rFonts w:eastAsia="Times New Roman" w:cs="Times New Roman"/>
          <w:b/>
          <w:i/>
          <w:sz w:val="20"/>
          <w:szCs w:val="20"/>
          <w:lang w:val="hy-AM"/>
        </w:rPr>
        <w:t>.</w:t>
      </w:r>
      <w:r w:rsidRPr="00A461D4">
        <w:rPr>
          <w:rFonts w:eastAsia="Times New Roman" w:cs="Times New Roman"/>
          <w:i/>
          <w:sz w:val="20"/>
          <w:szCs w:val="20"/>
          <w:lang w:val="hy-AM"/>
        </w:rPr>
        <w:t xml:space="preserve"> Դիմումատուների կողմից պահանջված և Մարդու իրավունքների եվրոպական դատարանի կողմից հատկացված արդարացի փոխհատուցման գումարը (հազար եվրո)</w:t>
      </w:r>
      <w:r w:rsidRPr="00A461D4">
        <w:rPr>
          <w:rStyle w:val="FootnoteReference"/>
          <w:rFonts w:eastAsia="Times New Roman" w:cs="Times New Roman"/>
          <w:i/>
          <w:sz w:val="20"/>
          <w:lang w:val="hy-AM"/>
        </w:rPr>
        <w:footnoteReference w:id="48"/>
      </w:r>
    </w:p>
    <w:p w14:paraId="2B41CA79" w14:textId="77777777" w:rsidR="00957A78" w:rsidRPr="009B73F7" w:rsidRDefault="00957A78" w:rsidP="00957A78">
      <w:pPr>
        <w:spacing w:after="0" w:line="240" w:lineRule="auto"/>
        <w:jc w:val="both"/>
        <w:rPr>
          <w:rFonts w:eastAsia="Times New Roman" w:cs="Times New Roman"/>
          <w:sz w:val="24"/>
          <w:szCs w:val="24"/>
          <w:highlight w:val="yellow"/>
          <w:lang w:val="hy-AM"/>
        </w:rPr>
      </w:pPr>
      <w:r>
        <w:rPr>
          <w:noProof/>
        </w:rPr>
        <w:drawing>
          <wp:inline distT="0" distB="0" distL="0" distR="0" wp14:anchorId="1354FDC6" wp14:editId="3E9863D4">
            <wp:extent cx="4389120" cy="2282342"/>
            <wp:effectExtent l="0" t="0" r="11430" b="3810"/>
            <wp:docPr id="16120895" name="Chart 16120895"/>
            <wp:cNvGraphicFramePr/>
            <a:graphic xmlns:a="http://schemas.openxmlformats.org/drawingml/2006/main">
              <a:graphicData uri="http://schemas.openxmlformats.org/drawingml/2006/chart">
                <c:chart xmlns:c="http://schemas.openxmlformats.org/drawingml/2006/chart" xmlns:r="http://schemas.openxmlformats.org/officeDocument/2006/relationships" r:id="rId122"/>
              </a:graphicData>
            </a:graphic>
          </wp:inline>
        </w:drawing>
      </w:r>
    </w:p>
    <w:p w14:paraId="16014406" w14:textId="77777777" w:rsidR="00957A78" w:rsidRPr="009B73F7" w:rsidRDefault="00957A78" w:rsidP="00957A78">
      <w:pPr>
        <w:spacing w:after="0" w:line="240" w:lineRule="auto"/>
        <w:jc w:val="both"/>
        <w:rPr>
          <w:rFonts w:eastAsia="Times New Roman" w:cs="Times New Roman"/>
          <w:sz w:val="24"/>
          <w:szCs w:val="24"/>
          <w:highlight w:val="yellow"/>
          <w:lang w:val="hy-AM"/>
        </w:rPr>
      </w:pPr>
    </w:p>
    <w:p w14:paraId="499B5945" w14:textId="77777777" w:rsidR="00957A78" w:rsidRPr="002061C7" w:rsidRDefault="00957A78" w:rsidP="00957A78">
      <w:pPr>
        <w:spacing w:after="0"/>
        <w:jc w:val="both"/>
        <w:rPr>
          <w:rFonts w:eastAsia="Times New Roman" w:cs="Sylfaen"/>
          <w:lang w:val="hy-AM"/>
        </w:rPr>
      </w:pPr>
      <w:r w:rsidRPr="00AE6563">
        <w:rPr>
          <w:rFonts w:eastAsia="Times New Roman" w:cs="Times New Roman"/>
          <w:lang w:val="hy-AM"/>
        </w:rPr>
        <w:t>Հ</w:t>
      </w:r>
      <w:r w:rsidRPr="002061C7">
        <w:rPr>
          <w:rFonts w:eastAsia="Times New Roman" w:cs="Times New Roman"/>
          <w:lang w:val="hy-AM"/>
        </w:rPr>
        <w:t>Հ մասնակցությամբ 2025 թվականի մարտի 31-ի դրությամբ առկա է 5 միջազգային արբիտրաժային/դատական գործ, որոնցով պահանջվող գու</w:t>
      </w:r>
      <w:r>
        <w:rPr>
          <w:rFonts w:eastAsia="Times New Roman" w:cs="Times New Roman"/>
          <w:lang w:val="hy-AM"/>
        </w:rPr>
        <w:t>մարի չափը կազմում է ավելի քան 1.</w:t>
      </w:r>
      <w:r w:rsidRPr="002061C7">
        <w:rPr>
          <w:rFonts w:eastAsia="Times New Roman" w:cs="Times New Roman"/>
          <w:lang w:val="hy-AM"/>
        </w:rPr>
        <w:t>5 մլրդ ԱՄՆ դոլար</w:t>
      </w:r>
      <w:r w:rsidRPr="002061C7">
        <w:rPr>
          <w:rStyle w:val="FootnoteReference"/>
          <w:rFonts w:eastAsia="Times New Roman" w:cs="Times New Roman"/>
          <w:lang w:val="hy-AM"/>
        </w:rPr>
        <w:footnoteReference w:id="49"/>
      </w:r>
      <w:r w:rsidRPr="002061C7">
        <w:rPr>
          <w:rFonts w:eastAsia="Times New Roman" w:cs="Times New Roman"/>
          <w:lang w:val="hy-AM"/>
        </w:rPr>
        <w:t xml:space="preserve">: Հարկ է նշել, որ </w:t>
      </w:r>
      <w:r w:rsidRPr="002061C7">
        <w:rPr>
          <w:rFonts w:eastAsia="Times New Roman" w:cs="Sylfaen"/>
          <w:lang w:val="hy-AM"/>
        </w:rPr>
        <w:t>2021-2024</w:t>
      </w:r>
      <w:r w:rsidRPr="002061C7">
        <w:rPr>
          <w:rFonts w:eastAsia="Times New Roman" w:cs="Times New Roman"/>
          <w:lang w:val="hy-AM"/>
        </w:rPr>
        <w:t>թթ</w:t>
      </w:r>
      <w:r w:rsidRPr="002061C7">
        <w:rPr>
          <w:rFonts w:eastAsia="Times New Roman" w:cs="Sylfaen"/>
          <w:lang w:val="hy-AM"/>
        </w:rPr>
        <w:t xml:space="preserve">., ինչպես նաև մինչև 2025թ. </w:t>
      </w:r>
      <w:r w:rsidRPr="002061C7">
        <w:rPr>
          <w:rFonts w:eastAsia="Times New Roman" w:cs="Times New Roman"/>
          <w:lang w:val="hy-AM"/>
        </w:rPr>
        <w:t>մարտի</w:t>
      </w:r>
      <w:r w:rsidRPr="002061C7">
        <w:rPr>
          <w:rFonts w:eastAsia="Times New Roman" w:cs="Sylfaen"/>
          <w:lang w:val="hy-AM"/>
        </w:rPr>
        <w:t xml:space="preserve"> 31-</w:t>
      </w:r>
      <w:r w:rsidRPr="002061C7">
        <w:rPr>
          <w:rFonts w:eastAsia="Times New Roman" w:cs="Times New Roman"/>
          <w:lang w:val="hy-AM"/>
        </w:rPr>
        <w:t>ն</w:t>
      </w:r>
      <w:r w:rsidRPr="002061C7">
        <w:rPr>
          <w:rFonts w:eastAsia="Times New Roman" w:cs="Sylfaen"/>
          <w:lang w:val="hy-AM"/>
        </w:rPr>
        <w:t xml:space="preserve"> </w:t>
      </w:r>
      <w:r w:rsidRPr="002061C7">
        <w:rPr>
          <w:rFonts w:eastAsia="Times New Roman" w:cs="Times New Roman"/>
          <w:lang w:val="hy-AM"/>
        </w:rPr>
        <w:t>ընդգրկող</w:t>
      </w:r>
      <w:r w:rsidRPr="002061C7">
        <w:rPr>
          <w:rFonts w:eastAsia="Times New Roman" w:cs="Sylfaen"/>
          <w:lang w:val="hy-AM"/>
        </w:rPr>
        <w:t xml:space="preserve"> </w:t>
      </w:r>
      <w:r w:rsidRPr="002061C7">
        <w:rPr>
          <w:rFonts w:eastAsia="Times New Roman" w:cs="Times New Roman"/>
          <w:lang w:val="hy-AM"/>
        </w:rPr>
        <w:t>ժամանակահատվածում</w:t>
      </w:r>
      <w:r w:rsidRPr="002061C7">
        <w:rPr>
          <w:rFonts w:eastAsia="Times New Roman" w:cs="Sylfaen"/>
          <w:lang w:val="hy-AM"/>
        </w:rPr>
        <w:t xml:space="preserve"> արբիտրաժային վարույթների շրջանակներում ՀՀ-ի կողմից </w:t>
      </w:r>
      <w:r w:rsidRPr="002061C7">
        <w:rPr>
          <w:rFonts w:eastAsia="Times New Roman" w:cs="Times New Roman"/>
          <w:lang w:val="hy-AM"/>
        </w:rPr>
        <w:t>հայցվորներին</w:t>
      </w:r>
      <w:r w:rsidRPr="002061C7">
        <w:rPr>
          <w:rFonts w:eastAsia="Times New Roman" w:cs="Sylfaen"/>
          <w:lang w:val="hy-AM"/>
        </w:rPr>
        <w:t xml:space="preserve"> </w:t>
      </w:r>
      <w:r w:rsidRPr="002061C7">
        <w:rPr>
          <w:rFonts w:eastAsia="Times New Roman" w:cs="Times New Roman"/>
          <w:lang w:val="hy-AM"/>
        </w:rPr>
        <w:t>գումարներ</w:t>
      </w:r>
      <w:r w:rsidRPr="002061C7">
        <w:rPr>
          <w:rFonts w:eastAsia="Times New Roman" w:cs="Sylfaen"/>
          <w:lang w:val="hy-AM"/>
        </w:rPr>
        <w:t xml:space="preserve"> </w:t>
      </w:r>
      <w:r w:rsidRPr="002061C7">
        <w:rPr>
          <w:rFonts w:eastAsia="Times New Roman" w:cs="Times New Roman"/>
          <w:lang w:val="hy-AM"/>
        </w:rPr>
        <w:t>չեն</w:t>
      </w:r>
      <w:r w:rsidRPr="002061C7">
        <w:rPr>
          <w:rFonts w:eastAsia="Times New Roman" w:cs="Sylfaen"/>
          <w:lang w:val="hy-AM"/>
        </w:rPr>
        <w:t xml:space="preserve"> </w:t>
      </w:r>
      <w:r w:rsidRPr="002061C7">
        <w:rPr>
          <w:rFonts w:eastAsia="Times New Roman" w:cs="Times New Roman"/>
          <w:lang w:val="hy-AM"/>
        </w:rPr>
        <w:t>վճարվել</w:t>
      </w:r>
      <w:r w:rsidRPr="002061C7">
        <w:rPr>
          <w:rFonts w:eastAsia="Times New Roman" w:cs="Sylfaen"/>
          <w:lang w:val="hy-AM"/>
        </w:rPr>
        <w:t>:</w:t>
      </w:r>
    </w:p>
    <w:p w14:paraId="67BC83A8" w14:textId="77777777" w:rsidR="00957A78" w:rsidRPr="002061C7" w:rsidRDefault="00957A78" w:rsidP="00957A78">
      <w:pPr>
        <w:spacing w:after="0"/>
        <w:jc w:val="both"/>
        <w:rPr>
          <w:rFonts w:eastAsia="Times New Roman" w:cs="Times New Roman"/>
          <w:lang w:val="hy-AM"/>
        </w:rPr>
      </w:pPr>
      <w:r w:rsidRPr="002061C7">
        <w:rPr>
          <w:rFonts w:eastAsia="Times New Roman" w:cs="Times New Roman"/>
          <w:lang w:val="hy-AM"/>
        </w:rPr>
        <w:t>Միջպետական</w:t>
      </w:r>
      <w:r w:rsidRPr="002061C7">
        <w:rPr>
          <w:rFonts w:eastAsia="Times New Roman" w:cs="Sylfaen"/>
          <w:lang w:val="hy-AM"/>
        </w:rPr>
        <w:t xml:space="preserve"> </w:t>
      </w:r>
      <w:r w:rsidRPr="002061C7">
        <w:rPr>
          <w:rFonts w:eastAsia="Times New Roman" w:cs="Times New Roman"/>
          <w:lang w:val="hy-AM"/>
        </w:rPr>
        <w:t>գանգատների</w:t>
      </w:r>
      <w:r w:rsidRPr="002061C7">
        <w:rPr>
          <w:rFonts w:eastAsia="Times New Roman" w:cs="Sylfaen"/>
          <w:lang w:val="hy-AM"/>
        </w:rPr>
        <w:t xml:space="preserve"> </w:t>
      </w:r>
      <w:r w:rsidRPr="002061C7">
        <w:rPr>
          <w:rFonts w:eastAsia="Times New Roman" w:cs="Times New Roman"/>
          <w:lang w:val="hy-AM"/>
        </w:rPr>
        <w:t>առնչությամբ</w:t>
      </w:r>
      <w:r w:rsidRPr="002061C7">
        <w:rPr>
          <w:rFonts w:eastAsia="Times New Roman" w:cs="Sylfaen"/>
          <w:lang w:val="hy-AM"/>
        </w:rPr>
        <w:t xml:space="preserve"> </w:t>
      </w:r>
      <w:r w:rsidRPr="002061C7">
        <w:rPr>
          <w:rFonts w:eastAsia="Times New Roman" w:cs="Times New Roman"/>
          <w:lang w:val="hy-AM"/>
        </w:rPr>
        <w:t>հարկ</w:t>
      </w:r>
      <w:r w:rsidRPr="002061C7">
        <w:rPr>
          <w:rFonts w:eastAsia="Times New Roman" w:cs="Sylfaen"/>
          <w:lang w:val="hy-AM"/>
        </w:rPr>
        <w:t xml:space="preserve"> </w:t>
      </w:r>
      <w:r w:rsidRPr="002061C7">
        <w:rPr>
          <w:rFonts w:eastAsia="Times New Roman" w:cs="Times New Roman"/>
          <w:lang w:val="hy-AM"/>
        </w:rPr>
        <w:t>է</w:t>
      </w:r>
      <w:r w:rsidRPr="002061C7">
        <w:rPr>
          <w:rFonts w:eastAsia="Times New Roman" w:cs="Sylfaen"/>
          <w:lang w:val="hy-AM"/>
        </w:rPr>
        <w:t xml:space="preserve"> </w:t>
      </w:r>
      <w:r w:rsidRPr="002061C7">
        <w:rPr>
          <w:rFonts w:eastAsia="Times New Roman" w:cs="Times New Roman"/>
          <w:lang w:val="hy-AM"/>
        </w:rPr>
        <w:t>նկատի</w:t>
      </w:r>
      <w:r w:rsidRPr="002061C7">
        <w:rPr>
          <w:rFonts w:eastAsia="Times New Roman" w:cs="Sylfaen"/>
          <w:lang w:val="hy-AM"/>
        </w:rPr>
        <w:t xml:space="preserve"> </w:t>
      </w:r>
      <w:r w:rsidRPr="002061C7">
        <w:rPr>
          <w:rFonts w:eastAsia="Times New Roman" w:cs="Times New Roman"/>
          <w:lang w:val="hy-AM"/>
        </w:rPr>
        <w:t>ունենալ</w:t>
      </w:r>
      <w:r w:rsidRPr="002061C7">
        <w:rPr>
          <w:rFonts w:eastAsia="Times New Roman" w:cs="Sylfaen"/>
          <w:lang w:val="hy-AM"/>
        </w:rPr>
        <w:t xml:space="preserve">, </w:t>
      </w:r>
      <w:r w:rsidRPr="002061C7">
        <w:rPr>
          <w:rFonts w:eastAsia="Times New Roman" w:cs="Times New Roman"/>
          <w:lang w:val="hy-AM"/>
        </w:rPr>
        <w:t>որ</w:t>
      </w:r>
      <w:r w:rsidRPr="002061C7">
        <w:rPr>
          <w:rFonts w:eastAsia="Times New Roman" w:cs="Sylfaen"/>
          <w:lang w:val="hy-AM"/>
        </w:rPr>
        <w:t xml:space="preserve"> 2025 թվականի մարտի 31-ի դրությամբ </w:t>
      </w:r>
      <w:r w:rsidRPr="002061C7">
        <w:rPr>
          <w:rFonts w:eastAsia="Times New Roman" w:cs="Times New Roman"/>
          <w:lang w:val="hy-AM"/>
        </w:rPr>
        <w:t>ընդդեմ</w:t>
      </w:r>
      <w:r w:rsidRPr="002061C7">
        <w:rPr>
          <w:rFonts w:eastAsia="Times New Roman" w:cs="Sylfaen"/>
          <w:lang w:val="hy-AM"/>
        </w:rPr>
        <w:t xml:space="preserve"> </w:t>
      </w:r>
      <w:r w:rsidRPr="002061C7">
        <w:rPr>
          <w:rFonts w:eastAsia="Times New Roman" w:cs="Times New Roman"/>
          <w:lang w:val="hy-AM"/>
        </w:rPr>
        <w:t>Հայաստանի</w:t>
      </w:r>
      <w:r w:rsidRPr="002061C7">
        <w:rPr>
          <w:rFonts w:eastAsia="Times New Roman" w:cs="Sylfaen"/>
          <w:lang w:val="hy-AM"/>
        </w:rPr>
        <w:t xml:space="preserve"> </w:t>
      </w:r>
      <w:r w:rsidRPr="002061C7">
        <w:rPr>
          <w:rFonts w:eastAsia="Times New Roman" w:cs="Times New Roman"/>
          <w:lang w:val="hy-AM"/>
        </w:rPr>
        <w:t>Հանրապետության</w:t>
      </w:r>
      <w:r w:rsidRPr="002061C7">
        <w:rPr>
          <w:rFonts w:eastAsia="Times New Roman" w:cs="Sylfaen"/>
          <w:lang w:val="hy-AM"/>
        </w:rPr>
        <w:t xml:space="preserve"> </w:t>
      </w:r>
      <w:r w:rsidRPr="002061C7">
        <w:rPr>
          <w:rFonts w:eastAsia="Times New Roman" w:cs="Times New Roman"/>
          <w:lang w:val="hy-AM"/>
        </w:rPr>
        <w:t>ընթանում</w:t>
      </w:r>
      <w:r w:rsidRPr="002061C7">
        <w:rPr>
          <w:rFonts w:eastAsia="Times New Roman" w:cs="Sylfaen"/>
          <w:lang w:val="hy-AM"/>
        </w:rPr>
        <w:t xml:space="preserve"> </w:t>
      </w:r>
      <w:r w:rsidRPr="002061C7">
        <w:rPr>
          <w:rFonts w:eastAsia="Times New Roman" w:cs="Times New Roman"/>
          <w:lang w:val="hy-AM"/>
        </w:rPr>
        <w:t>է</w:t>
      </w:r>
      <w:r w:rsidRPr="002061C7">
        <w:rPr>
          <w:rFonts w:eastAsia="Times New Roman" w:cs="Sylfaen"/>
          <w:lang w:val="hy-AM"/>
        </w:rPr>
        <w:t xml:space="preserve"> </w:t>
      </w:r>
      <w:r w:rsidRPr="002061C7">
        <w:rPr>
          <w:rFonts w:eastAsia="Times New Roman" w:cs="Times New Roman"/>
          <w:lang w:val="hy-AM"/>
        </w:rPr>
        <w:t>թվով</w:t>
      </w:r>
      <w:r w:rsidRPr="002061C7">
        <w:rPr>
          <w:rFonts w:eastAsia="Times New Roman" w:cs="Sylfaen"/>
          <w:lang w:val="hy-AM"/>
        </w:rPr>
        <w:t xml:space="preserve"> 5 </w:t>
      </w:r>
      <w:r w:rsidRPr="002061C7">
        <w:rPr>
          <w:rFonts w:eastAsia="Times New Roman" w:cs="Times New Roman"/>
          <w:lang w:val="hy-AM"/>
        </w:rPr>
        <w:t>միջազգային</w:t>
      </w:r>
      <w:r w:rsidRPr="002061C7">
        <w:rPr>
          <w:rFonts w:eastAsia="Times New Roman" w:cs="Sylfaen"/>
          <w:lang w:val="hy-AM"/>
        </w:rPr>
        <w:t xml:space="preserve"> </w:t>
      </w:r>
      <w:r w:rsidRPr="002061C7">
        <w:rPr>
          <w:rFonts w:eastAsia="Times New Roman" w:cs="Times New Roman"/>
          <w:lang w:val="hy-AM"/>
        </w:rPr>
        <w:t>դատական</w:t>
      </w:r>
      <w:r w:rsidRPr="002061C7">
        <w:rPr>
          <w:rFonts w:eastAsia="Times New Roman" w:cs="Sylfaen"/>
          <w:lang w:val="hy-AM"/>
        </w:rPr>
        <w:t>/</w:t>
      </w:r>
      <w:r w:rsidRPr="002061C7">
        <w:rPr>
          <w:rFonts w:eastAsia="Times New Roman" w:cs="Times New Roman"/>
          <w:lang w:val="hy-AM"/>
        </w:rPr>
        <w:t>արբիտրաժային</w:t>
      </w:r>
      <w:r w:rsidRPr="002061C7">
        <w:rPr>
          <w:rFonts w:eastAsia="Times New Roman" w:cs="Sylfaen"/>
          <w:lang w:val="hy-AM"/>
        </w:rPr>
        <w:t xml:space="preserve"> </w:t>
      </w:r>
      <w:r w:rsidRPr="002061C7">
        <w:rPr>
          <w:rFonts w:eastAsia="Times New Roman" w:cs="Times New Roman"/>
          <w:lang w:val="hy-AM"/>
        </w:rPr>
        <w:t>վարույթ</w:t>
      </w:r>
      <w:r w:rsidRPr="002061C7">
        <w:rPr>
          <w:rFonts w:eastAsia="Times New Roman" w:cs="Sylfaen"/>
          <w:lang w:val="hy-AM"/>
        </w:rPr>
        <w:t xml:space="preserve">, </w:t>
      </w:r>
      <w:r w:rsidRPr="002061C7">
        <w:rPr>
          <w:rFonts w:eastAsia="Times New Roman" w:cs="Times New Roman"/>
          <w:lang w:val="hy-AM"/>
        </w:rPr>
        <w:t>որոնցով հայցապահանջների ընդհա</w:t>
      </w:r>
      <w:r>
        <w:rPr>
          <w:rFonts w:eastAsia="Times New Roman" w:cs="Times New Roman"/>
          <w:lang w:val="hy-AM"/>
        </w:rPr>
        <w:t>նուր չափը կազմում է ավելի քան 1.</w:t>
      </w:r>
      <w:r w:rsidRPr="002061C7">
        <w:rPr>
          <w:rFonts w:eastAsia="Times New Roman" w:cs="Times New Roman"/>
          <w:lang w:val="hy-AM"/>
        </w:rPr>
        <w:t>9 մլրդ ԱՄՆ դոլար։</w:t>
      </w:r>
    </w:p>
    <w:p w14:paraId="4613AAD5" w14:textId="77777777" w:rsidR="00957A78" w:rsidRPr="002061C7" w:rsidRDefault="00957A78" w:rsidP="00957A78">
      <w:pPr>
        <w:spacing w:after="0"/>
        <w:jc w:val="both"/>
        <w:rPr>
          <w:rFonts w:eastAsia="Times New Roman" w:cs="Times New Roman"/>
          <w:lang w:val="hy-AM"/>
        </w:rPr>
      </w:pPr>
      <w:r w:rsidRPr="002061C7">
        <w:rPr>
          <w:rFonts w:eastAsia="Times New Roman" w:cs="Times New Roman"/>
          <w:lang w:val="hy-AM"/>
        </w:rPr>
        <w:t xml:space="preserve">2025թ. մայիսի դրությամբ ՀՀ դատարաններում ՀՀ ֆինանսների նախարարության և ՀՀ վարչապետի համապատասխան հանձնարարականների հիման վրա </w:t>
      </w:r>
      <w:r w:rsidRPr="002061C7">
        <w:rPr>
          <w:rFonts w:eastAsia="Times New Roman" w:cs="Times New Roman"/>
          <w:b/>
          <w:lang w:val="hy-AM"/>
        </w:rPr>
        <w:t>ՀՀ ֆինանսների նախարարության</w:t>
      </w:r>
      <w:r w:rsidRPr="002061C7">
        <w:rPr>
          <w:rFonts w:eastAsia="Times New Roman" w:cs="Times New Roman"/>
          <w:lang w:val="hy-AM"/>
        </w:rPr>
        <w:t xml:space="preserve"> մասնակցությամբ գույքային պահանջներով քննվում է 218 գործ, ընդհանուր 2,388,154,066 ՀՀ դրամ, 71,184 Եվրո և 29,800 ԱՄՆ դոլար պահանջով:</w:t>
      </w:r>
    </w:p>
    <w:p w14:paraId="7B8D8F4F" w14:textId="77777777" w:rsidR="00957A78" w:rsidRPr="00106FAC" w:rsidRDefault="00957A78" w:rsidP="00957A78">
      <w:pPr>
        <w:spacing w:after="0"/>
        <w:jc w:val="both"/>
        <w:rPr>
          <w:rFonts w:eastAsia="Times New Roman" w:cs="Times New Roman"/>
          <w:lang w:val="hy-AM"/>
        </w:rPr>
      </w:pPr>
      <w:r w:rsidRPr="002061C7">
        <w:rPr>
          <w:rFonts w:eastAsia="Times New Roman" w:cs="Times New Roman"/>
          <w:lang w:val="hy-AM"/>
        </w:rPr>
        <w:t>2020թ.-ից մինչև 2025թ. մայիս ընկած ժամանակահատվածում ՀՀ դատարաններում ՀՀ ֆինանսների նախարարության և ՀՀ վարչապետի համապատասխան հանձնարարականներ</w:t>
      </w:r>
      <w:r w:rsidRPr="00F64894">
        <w:rPr>
          <w:rFonts w:eastAsia="Times New Roman" w:cs="Times New Roman"/>
          <w:lang w:val="hy-AM"/>
        </w:rPr>
        <w:t>ի հիման վրա ՀՀ ֆինանսների նախարարության մասնակցությամբ գույքային պահանջներով ներկայացվել է 452 գործ, ընդհանուր՝ 3,960,960,226 ՀՀ դրամ պահանջով, 1,572,806,160 ՀՀ դրամի չափով պահանջների մասով դատական գործերն ավարտվել են, որոնց հիման վրա վճարվել է 564,258,419 ՀՀ դրամ: Այդ թվում մերժվել է 517,000 ԱՄՆ դոլարի և 611,459 եվրոյի պահանջ:</w:t>
      </w:r>
    </w:p>
    <w:p w14:paraId="00BFB30D" w14:textId="77777777" w:rsidR="00957A78" w:rsidRDefault="00957A78" w:rsidP="00957A78">
      <w:pPr>
        <w:spacing w:after="0"/>
        <w:jc w:val="both"/>
        <w:rPr>
          <w:rFonts w:eastAsia="Times New Roman" w:cs="Times New Roman"/>
          <w:lang w:val="hy-AM"/>
        </w:rPr>
      </w:pPr>
      <w:r w:rsidRPr="00BE2A06">
        <w:rPr>
          <w:rFonts w:eastAsia="Times New Roman" w:cs="Times New Roman"/>
          <w:lang w:val="hy-AM"/>
        </w:rPr>
        <w:t>Բացի վերը նշված</w:t>
      </w:r>
      <w:r>
        <w:rPr>
          <w:rFonts w:eastAsia="Times New Roman" w:cs="Times New Roman"/>
          <w:lang w:val="hy-AM"/>
        </w:rPr>
        <w:t xml:space="preserve">ներից </w:t>
      </w:r>
      <w:r w:rsidRPr="00BE2A06">
        <w:rPr>
          <w:rFonts w:eastAsia="Times New Roman" w:cs="Times New Roman"/>
          <w:lang w:val="hy-AM"/>
        </w:rPr>
        <w:t xml:space="preserve">առկա են նաև այլ հայցեր՝ </w:t>
      </w:r>
      <w:r w:rsidRPr="00BE2A06">
        <w:rPr>
          <w:rFonts w:eastAsia="Times New Roman" w:cs="Times New Roman"/>
          <w:b/>
          <w:lang w:val="hy-AM"/>
        </w:rPr>
        <w:t>ընդդեմ ՀՀ պետական եկամուտների կոմիտեի</w:t>
      </w:r>
      <w:r w:rsidRPr="00BE2A06">
        <w:rPr>
          <w:rFonts w:eastAsia="Times New Roman" w:cs="Times New Roman"/>
          <w:lang w:val="hy-AM"/>
        </w:rPr>
        <w:t xml:space="preserve">: 2025 </w:t>
      </w:r>
      <w:r w:rsidRPr="00361D10">
        <w:rPr>
          <w:rFonts w:eastAsia="Times New Roman" w:cs="Times New Roman"/>
          <w:lang w:val="hy-AM"/>
        </w:rPr>
        <w:t xml:space="preserve">թվականի </w:t>
      </w:r>
      <w:r>
        <w:rPr>
          <w:rFonts w:eastAsia="Times New Roman" w:cs="Times New Roman"/>
          <w:lang w:val="hy-AM"/>
        </w:rPr>
        <w:t>մարտի 31-ի</w:t>
      </w:r>
      <w:r w:rsidRPr="00361D10">
        <w:rPr>
          <w:rFonts w:eastAsia="Times New Roman" w:cs="Times New Roman"/>
          <w:lang w:val="hy-AM"/>
        </w:rPr>
        <w:t xml:space="preserve"> դրությամբ</w:t>
      </w:r>
      <w:r>
        <w:rPr>
          <w:rFonts w:eastAsia="Times New Roman" w:cs="Times New Roman"/>
          <w:lang w:val="hy-AM"/>
        </w:rPr>
        <w:t xml:space="preserve"> ընդդեմ ՀՀ ՊԵԿ-ի </w:t>
      </w:r>
      <w:r w:rsidRPr="00C2213D">
        <w:rPr>
          <w:rFonts w:eastAsia="Times New Roman" w:cs="Times New Roman"/>
          <w:lang w:val="hy-AM"/>
        </w:rPr>
        <w:t>ներկայացված հայց</w:t>
      </w:r>
      <w:r>
        <w:rPr>
          <w:rFonts w:eastAsia="Times New Roman" w:cs="Times New Roman"/>
          <w:lang w:val="hy-AM"/>
        </w:rPr>
        <w:t xml:space="preserve">ադիմումներով </w:t>
      </w:r>
      <w:r w:rsidRPr="00C2213D">
        <w:rPr>
          <w:rFonts w:eastAsia="Times New Roman" w:cs="Times New Roman"/>
          <w:lang w:val="hy-AM"/>
        </w:rPr>
        <w:t>ՀՀ դատարաններում քննվում են 5,215 դատական գործեր՝ շուրջ 231.3 մլրդ ՀՀ դրամի չափով: Ընդ որում՝ 2025թ. առաջին եռամսյակի ընթացքում նշված գործերից հարուցվել են 556</w:t>
      </w:r>
      <w:r>
        <w:rPr>
          <w:rFonts w:eastAsia="Times New Roman" w:cs="Times New Roman"/>
          <w:lang w:val="hy-AM"/>
        </w:rPr>
        <w:t>-ը</w:t>
      </w:r>
      <w:r w:rsidRPr="00C2213D">
        <w:rPr>
          <w:rFonts w:eastAsia="Times New Roman" w:cs="Times New Roman"/>
          <w:lang w:val="hy-AM"/>
        </w:rPr>
        <w:t>՝ 8.0 մլրդ ՀՀ դրամի</w:t>
      </w:r>
      <w:r>
        <w:rPr>
          <w:rFonts w:eastAsia="Times New Roman" w:cs="Times New Roman"/>
          <w:lang w:val="hy-AM"/>
        </w:rPr>
        <w:t xml:space="preserve"> չափով: </w:t>
      </w:r>
      <w:r w:rsidRPr="00361D10">
        <w:rPr>
          <w:rFonts w:eastAsia="Times New Roman" w:cs="Times New Roman"/>
          <w:lang w:val="hy-AM"/>
        </w:rPr>
        <w:t xml:space="preserve">2024 թվականի ընթացքում դատական վարույթների շրջանակներում </w:t>
      </w:r>
      <w:r w:rsidRPr="00BA341D">
        <w:rPr>
          <w:rFonts w:eastAsia="Times New Roman" w:cs="Times New Roman"/>
          <w:lang w:val="hy-AM"/>
        </w:rPr>
        <w:t>հայցվորներին վճարված ընդհանուր գումարը 2023 թվականի համեմատ նվազել է 13.7%-ով, իսկ 2025 թվականի առաջին եռամսյակի ընթացքում կազմել է 20.1</w:t>
      </w:r>
      <w:r w:rsidRPr="00BA341D">
        <w:rPr>
          <w:rFonts w:eastAsia="Times New Roman" w:cs="Cambria Math"/>
          <w:lang w:val="hy-AM"/>
        </w:rPr>
        <w:t xml:space="preserve"> </w:t>
      </w:r>
      <w:r w:rsidRPr="00BA341D">
        <w:rPr>
          <w:rFonts w:eastAsia="Times New Roman" w:cs="Times New Roman"/>
          <w:lang w:val="hy-AM"/>
        </w:rPr>
        <w:t>մլն</w:t>
      </w:r>
      <w:r w:rsidRPr="00BA341D">
        <w:rPr>
          <w:rFonts w:eastAsia="Times New Roman" w:cs="Cambria Math"/>
          <w:lang w:val="hy-AM"/>
        </w:rPr>
        <w:t xml:space="preserve"> </w:t>
      </w:r>
      <w:r w:rsidRPr="00BA341D">
        <w:rPr>
          <w:rFonts w:eastAsia="Times New Roman" w:cs="Times New Roman"/>
          <w:lang w:val="hy-AM"/>
        </w:rPr>
        <w:t xml:space="preserve">ՀՀ դրամ (տես` գծապատկեր </w:t>
      </w:r>
      <w:r>
        <w:rPr>
          <w:rFonts w:eastAsia="Times New Roman" w:cs="Times New Roman"/>
          <w:lang w:val="hy-AM"/>
        </w:rPr>
        <w:t>28</w:t>
      </w:r>
      <w:r w:rsidRPr="00BA341D">
        <w:rPr>
          <w:rFonts w:eastAsia="Times New Roman" w:cs="Times New Roman"/>
          <w:lang w:val="hy-AM"/>
        </w:rPr>
        <w:t>):</w:t>
      </w:r>
      <w:r w:rsidRPr="00361D10">
        <w:rPr>
          <w:rFonts w:eastAsia="Times New Roman" w:cs="Times New Roman"/>
          <w:lang w:val="hy-AM"/>
        </w:rPr>
        <w:t xml:space="preserve"> </w:t>
      </w:r>
    </w:p>
    <w:p w14:paraId="5544BC2F" w14:textId="77777777" w:rsidR="00957A78" w:rsidRDefault="00957A78" w:rsidP="00957A78">
      <w:pPr>
        <w:jc w:val="both"/>
        <w:rPr>
          <w:rFonts w:eastAsia="Times New Roman" w:cs="Times New Roman"/>
          <w:b/>
          <w:i/>
          <w:sz w:val="20"/>
          <w:szCs w:val="20"/>
          <w:lang w:val="hy-AM"/>
        </w:rPr>
      </w:pPr>
    </w:p>
    <w:p w14:paraId="48F43556" w14:textId="77777777" w:rsidR="00957A78" w:rsidRPr="00A461D4" w:rsidRDefault="00957A78" w:rsidP="00957A78">
      <w:pPr>
        <w:jc w:val="both"/>
        <w:rPr>
          <w:rFonts w:eastAsia="Times New Roman" w:cs="Times New Roman"/>
          <w:i/>
          <w:sz w:val="20"/>
          <w:szCs w:val="20"/>
          <w:lang w:val="hy-AM"/>
        </w:rPr>
      </w:pPr>
      <w:r>
        <w:rPr>
          <w:rFonts w:eastAsia="Times New Roman" w:cs="Times New Roman"/>
          <w:b/>
          <w:i/>
          <w:sz w:val="20"/>
          <w:szCs w:val="20"/>
          <w:lang w:val="hy-AM"/>
        </w:rPr>
        <w:t xml:space="preserve">Գծապատկեր </w:t>
      </w:r>
      <w:r w:rsidRPr="0034648D">
        <w:rPr>
          <w:rFonts w:eastAsia="Times New Roman" w:cs="Times New Roman"/>
          <w:b/>
          <w:i/>
          <w:sz w:val="20"/>
          <w:szCs w:val="20"/>
          <w:lang w:val="hy-AM"/>
        </w:rPr>
        <w:t>28</w:t>
      </w:r>
      <w:r w:rsidRPr="00A461D4">
        <w:rPr>
          <w:rFonts w:eastAsia="Times New Roman" w:cs="Times New Roman"/>
          <w:b/>
          <w:i/>
          <w:sz w:val="20"/>
          <w:szCs w:val="20"/>
          <w:lang w:val="hy-AM"/>
        </w:rPr>
        <w:t>.</w:t>
      </w:r>
      <w:r w:rsidRPr="00A461D4">
        <w:rPr>
          <w:rFonts w:eastAsia="Times New Roman" w:cs="Times New Roman"/>
          <w:i/>
          <w:sz w:val="20"/>
          <w:szCs w:val="20"/>
          <w:lang w:val="hy-AM"/>
        </w:rPr>
        <w:t xml:space="preserve"> 2020-2024թթ. հայցվորներին վճարված գումարները (մլն ՀՀ դրամ)</w:t>
      </w:r>
    </w:p>
    <w:p w14:paraId="5BAEF683" w14:textId="77777777" w:rsidR="00957A78" w:rsidRDefault="00957A78" w:rsidP="00957A78">
      <w:pPr>
        <w:jc w:val="both"/>
        <w:rPr>
          <w:rFonts w:eastAsia="Times New Roman" w:cs="Times New Roman"/>
          <w:i/>
          <w:highlight w:val="yellow"/>
          <w:lang w:val="hy-AM"/>
        </w:rPr>
      </w:pPr>
      <w:r>
        <w:rPr>
          <w:noProof/>
        </w:rPr>
        <w:drawing>
          <wp:inline distT="0" distB="0" distL="0" distR="0" wp14:anchorId="773AA01E" wp14:editId="5B421581">
            <wp:extent cx="4343400" cy="1657350"/>
            <wp:effectExtent l="0" t="0" r="0" b="0"/>
            <wp:docPr id="1451616000" name="Chart 1451616000"/>
            <wp:cNvGraphicFramePr/>
            <a:graphic xmlns:a="http://schemas.openxmlformats.org/drawingml/2006/main">
              <a:graphicData uri="http://schemas.openxmlformats.org/drawingml/2006/chart">
                <c:chart xmlns:c="http://schemas.openxmlformats.org/drawingml/2006/chart" xmlns:r="http://schemas.openxmlformats.org/officeDocument/2006/relationships" r:id="rId123"/>
              </a:graphicData>
            </a:graphic>
          </wp:inline>
        </w:drawing>
      </w:r>
    </w:p>
    <w:p w14:paraId="6233EA5C" w14:textId="77777777" w:rsidR="00957A78" w:rsidRDefault="00957A78" w:rsidP="00957A78">
      <w:pPr>
        <w:spacing w:before="0" w:after="0"/>
        <w:jc w:val="both"/>
        <w:rPr>
          <w:rFonts w:eastAsia="Times New Roman" w:cs="Times New Roman"/>
          <w:lang w:val="hy-AM"/>
        </w:rPr>
      </w:pPr>
      <w:r w:rsidRPr="003F24C5">
        <w:rPr>
          <w:rFonts w:eastAsia="Times New Roman" w:cs="Times New Roman"/>
          <w:lang w:val="hy-AM"/>
        </w:rPr>
        <w:t>Անհրաժեշտ է նշել, որ ռիսկի իրական մակարդակը շատ ավելի ցածր է, քանի որ հայցվորները ոչ բոլոր գործերն են հաղթում, իսկ հաղթելու պարագայում վճռով հաճախ սահմանվում են ավելի փոքր գումարներ:</w:t>
      </w:r>
    </w:p>
    <w:p w14:paraId="7CB2C567" w14:textId="77777777" w:rsidR="00957A78" w:rsidRPr="00B14C2A" w:rsidRDefault="00957A78" w:rsidP="00957A78">
      <w:pPr>
        <w:spacing w:before="0" w:after="160" w:line="259" w:lineRule="auto"/>
        <w:rPr>
          <w:lang w:val="hy-AM"/>
        </w:rPr>
      </w:pPr>
    </w:p>
    <w:p w14:paraId="714BF587" w14:textId="77777777" w:rsidR="00957A78" w:rsidRPr="00776E7A" w:rsidRDefault="00957A78" w:rsidP="00957A78">
      <w:pPr>
        <w:jc w:val="both"/>
        <w:rPr>
          <w:lang w:val="hy-AM"/>
        </w:rPr>
      </w:pPr>
    </w:p>
    <w:p w14:paraId="0A1738A7" w14:textId="77777777" w:rsidR="00957A78" w:rsidRPr="00776E7A" w:rsidRDefault="00957A78" w:rsidP="00957A78">
      <w:pPr>
        <w:rPr>
          <w:lang w:val="hy-AM"/>
        </w:rPr>
      </w:pPr>
      <w:bookmarkStart w:id="539" w:name="_Toc178356619"/>
      <w:bookmarkEnd w:id="512"/>
      <w:r w:rsidRPr="00776E7A">
        <w:rPr>
          <w:lang w:val="hy-AM"/>
        </w:rPr>
        <w:br w:type="page"/>
      </w:r>
    </w:p>
    <w:p w14:paraId="37E514D8" w14:textId="5677F08B" w:rsidR="00957A78" w:rsidRPr="005721F4" w:rsidRDefault="00957A78" w:rsidP="001739BB">
      <w:pPr>
        <w:pStyle w:val="TOC2"/>
        <w:outlineLvl w:val="1"/>
        <w:rPr>
          <w:lang w:val="hy-AM"/>
        </w:rPr>
      </w:pPr>
      <w:bookmarkStart w:id="540" w:name="_Toc209625777"/>
      <w:bookmarkStart w:id="541" w:name="_Toc215157701"/>
      <w:r w:rsidRPr="005721F4">
        <w:rPr>
          <w:lang w:val="hy-AM"/>
        </w:rPr>
        <w:t>4. 202</w:t>
      </w:r>
      <w:r w:rsidR="005154BC" w:rsidRPr="00FA475A">
        <w:rPr>
          <w:lang w:val="hy-AM"/>
        </w:rPr>
        <w:t>6</w:t>
      </w:r>
      <w:r w:rsidRPr="005721F4">
        <w:rPr>
          <w:lang w:val="hy-AM"/>
        </w:rPr>
        <w:t xml:space="preserve"> ԹՎԱԿԱՆԻ ՀԱՐԿԱՅԻՆ ԾԱԽՍԵՐԻ ԳՆԱՀԱՏԱԿԱՆԻ ՎԵՐԼՈՒԾՈՒԹՅՈՒՆ</w:t>
      </w:r>
      <w:bookmarkEnd w:id="539"/>
      <w:bookmarkEnd w:id="540"/>
      <w:bookmarkEnd w:id="541"/>
    </w:p>
    <w:p w14:paraId="6A5D6275" w14:textId="77777777" w:rsidR="00957A78" w:rsidRPr="005721F4" w:rsidRDefault="00957A78" w:rsidP="00C0795E">
      <w:pPr>
        <w:pStyle w:val="TOC4"/>
        <w:rPr>
          <w:lang w:val="hy-AM" w:eastAsia="ru-RU"/>
        </w:rPr>
      </w:pPr>
      <w:r w:rsidRPr="005721F4">
        <w:rPr>
          <w:lang w:val="hy-AM"/>
        </w:rPr>
        <w:t>ՆԱԽԱԲԱՆ</w:t>
      </w:r>
    </w:p>
    <w:p w14:paraId="1B9700FE" w14:textId="77777777" w:rsidR="00957A78" w:rsidRPr="005721F4" w:rsidRDefault="00957A78" w:rsidP="00C0795E">
      <w:pPr>
        <w:pStyle w:val="BodyText1"/>
        <w:ind w:left="0"/>
        <w:rPr>
          <w:lang w:val="hy-AM"/>
        </w:rPr>
      </w:pPr>
      <w:r w:rsidRPr="005721F4">
        <w:rPr>
          <w:lang w:val="hy-AM"/>
        </w:rPr>
        <w:t>Արդյունավետ հարկա</w:t>
      </w:r>
      <w:r w:rsidRPr="005721F4">
        <w:rPr>
          <w:lang w:val="hy-AM"/>
        </w:rPr>
        <w:softHyphen/>
        <w:t>բյու</w:t>
      </w:r>
      <w:r w:rsidRPr="005721F4">
        <w:rPr>
          <w:lang w:val="hy-AM"/>
        </w:rPr>
        <w:softHyphen/>
        <w:t>ջետային քաղաքականություն մշա</w:t>
      </w:r>
      <w:r w:rsidRPr="005721F4">
        <w:rPr>
          <w:lang w:val="hy-AM"/>
        </w:rPr>
        <w:softHyphen/>
        <w:t>կելու և իրականացնելու տես</w:t>
      </w:r>
      <w:r w:rsidRPr="005721F4">
        <w:rPr>
          <w:lang w:val="hy-AM"/>
        </w:rPr>
        <w:softHyphen/>
        <w:t>անկյունից հարկային ծախսերի գնահատականը խիստ կարևոր է, քանի որ հար</w:t>
      </w:r>
      <w:r w:rsidRPr="005721F4">
        <w:rPr>
          <w:lang w:val="hy-AM"/>
        </w:rPr>
        <w:softHyphen/>
        <w:t>կա</w:t>
      </w:r>
      <w:r w:rsidRPr="005721F4">
        <w:rPr>
          <w:lang w:val="hy-AM"/>
        </w:rPr>
        <w:softHyphen/>
        <w:t>յին ծախ</w:t>
      </w:r>
      <w:r w:rsidRPr="005721F4">
        <w:rPr>
          <w:lang w:val="hy-AM"/>
        </w:rPr>
        <w:softHyphen/>
        <w:t>սերի գնահատմամբ ամբողջականացվում է պետության կողմից իրա</w:t>
      </w:r>
      <w:r w:rsidRPr="005721F4">
        <w:rPr>
          <w:lang w:val="hy-AM"/>
        </w:rPr>
        <w:softHyphen/>
        <w:t>կա</w:t>
      </w:r>
      <w:r w:rsidRPr="005721F4">
        <w:rPr>
          <w:lang w:val="hy-AM"/>
        </w:rPr>
        <w:softHyphen/>
        <w:t>նացվող` եկա</w:t>
      </w:r>
      <w:r w:rsidRPr="005721F4">
        <w:rPr>
          <w:lang w:val="hy-AM"/>
        </w:rPr>
        <w:softHyphen/>
        <w:t>մուտ</w:t>
      </w:r>
      <w:r w:rsidRPr="005721F4">
        <w:rPr>
          <w:lang w:val="hy-AM"/>
        </w:rPr>
        <w:softHyphen/>
        <w:t>ների վերա</w:t>
      </w:r>
      <w:r w:rsidRPr="005721F4">
        <w:rPr>
          <w:lang w:val="hy-AM"/>
        </w:rPr>
        <w:softHyphen/>
        <w:t>բաշխման գործառույթի շրջանակներն ու արդյունավե</w:t>
      </w:r>
      <w:r w:rsidRPr="005721F4">
        <w:rPr>
          <w:lang w:val="hy-AM"/>
        </w:rPr>
        <w:softHyphen/>
        <w:t>տու</w:t>
      </w:r>
      <w:r w:rsidRPr="005721F4">
        <w:rPr>
          <w:lang w:val="hy-AM"/>
        </w:rPr>
        <w:softHyphen/>
        <w:t>թյունը:</w:t>
      </w:r>
    </w:p>
    <w:p w14:paraId="0B0DC5A0" w14:textId="77777777" w:rsidR="00957A78" w:rsidRPr="005721F4" w:rsidRDefault="00957A78" w:rsidP="00C0795E">
      <w:pPr>
        <w:pStyle w:val="BodyText1"/>
        <w:ind w:left="0"/>
        <w:rPr>
          <w:lang w:val="hy-AM"/>
        </w:rPr>
      </w:pPr>
      <w:r w:rsidRPr="005721F4">
        <w:rPr>
          <w:lang w:val="hy-AM"/>
        </w:rPr>
        <w:t>Հարկային ծախսերի գնահատականի վերաբերյալ տեղեկատվությունը թափանցիկ և շահա</w:t>
      </w:r>
      <w:r w:rsidRPr="005721F4">
        <w:rPr>
          <w:lang w:val="hy-AM"/>
        </w:rPr>
        <w:softHyphen/>
        <w:t>ռուների տարբեր խմբերի համար հասանելի դարձնելու նպատակով, որոշ երկրներ այդ տեղեկատվությունը ներառում են առաջիկա տարվա համար մշակվող բյուջեի բացատ</w:t>
      </w:r>
      <w:r w:rsidRPr="005721F4">
        <w:rPr>
          <w:lang w:val="hy-AM"/>
        </w:rPr>
        <w:softHyphen/>
        <w:t>րա</w:t>
      </w:r>
      <w:r w:rsidRPr="005721F4">
        <w:rPr>
          <w:lang w:val="hy-AM"/>
        </w:rPr>
        <w:softHyphen/>
        <w:t>գրում:</w:t>
      </w:r>
    </w:p>
    <w:p w14:paraId="2A634B31" w14:textId="77777777" w:rsidR="00957A78" w:rsidRPr="005721F4" w:rsidRDefault="00957A78" w:rsidP="00C0795E">
      <w:pPr>
        <w:pStyle w:val="BodyText1"/>
        <w:ind w:left="0"/>
        <w:rPr>
          <w:lang w:val="hy-AM"/>
        </w:rPr>
      </w:pPr>
      <w:r w:rsidRPr="005721F4">
        <w:rPr>
          <w:lang w:val="hy-AM"/>
        </w:rPr>
        <w:t>Հայաստանի Հանրա</w:t>
      </w:r>
      <w:r w:rsidRPr="005721F4">
        <w:rPr>
          <w:lang w:val="hy-AM"/>
        </w:rPr>
        <w:softHyphen/>
        <w:t>պե</w:t>
      </w:r>
      <w:r w:rsidRPr="005721F4">
        <w:rPr>
          <w:lang w:val="hy-AM"/>
        </w:rPr>
        <w:softHyphen/>
        <w:t>տու</w:t>
      </w:r>
      <w:r w:rsidRPr="005721F4">
        <w:rPr>
          <w:lang w:val="hy-AM"/>
        </w:rPr>
        <w:softHyphen/>
        <w:t>թյունում առաջին անգամ հարկային ծախսերի մեծությունը գնահատվել է 2015թ. համար, որը ներառ</w:t>
      </w:r>
      <w:r w:rsidRPr="005721F4">
        <w:rPr>
          <w:lang w:val="hy-AM"/>
        </w:rPr>
        <w:softHyphen/>
        <w:t xml:space="preserve">վել է 2015 թվականի պետական բյուջեի մասին ՀՀ օրենքի բացատրագրում` որպես առանձին հավելված: </w:t>
      </w:r>
    </w:p>
    <w:p w14:paraId="3E4855E4" w14:textId="77777777" w:rsidR="00957A78" w:rsidRPr="005721F4" w:rsidRDefault="00957A78" w:rsidP="00C0795E">
      <w:pPr>
        <w:pStyle w:val="TOC4"/>
        <w:rPr>
          <w:lang w:val="hy-AM"/>
        </w:rPr>
      </w:pPr>
      <w:r w:rsidRPr="005721F4">
        <w:rPr>
          <w:lang w:val="hy-AM"/>
        </w:rPr>
        <w:t>ՀԱՐԿԱՅԻՆ ԾԱԽՍԵՐԸ</w:t>
      </w:r>
    </w:p>
    <w:p w14:paraId="7813E36B" w14:textId="77777777" w:rsidR="00957A78" w:rsidRPr="005721F4" w:rsidRDefault="00957A78" w:rsidP="00C0795E">
      <w:pPr>
        <w:pStyle w:val="BodyText1"/>
        <w:ind w:left="0"/>
        <w:rPr>
          <w:lang w:val="hy-AM"/>
        </w:rPr>
      </w:pPr>
      <w:r w:rsidRPr="005721F4">
        <w:rPr>
          <w:lang w:val="hy-AM"/>
        </w:rPr>
        <w:t>Հայաստանի Հանրապետության գործող օրենսդրությամբ Հարկային ծախս հասկա</w:t>
      </w:r>
      <w:r w:rsidRPr="005721F4">
        <w:rPr>
          <w:lang w:val="hy-AM"/>
        </w:rPr>
        <w:softHyphen/>
        <w:t>ցու</w:t>
      </w:r>
      <w:r w:rsidRPr="005721F4">
        <w:rPr>
          <w:lang w:val="hy-AM"/>
        </w:rPr>
        <w:softHyphen/>
        <w:t>թյունը սահմանված չէ: Բովան</w:t>
      </w:r>
      <w:r w:rsidRPr="005721F4">
        <w:rPr>
          <w:lang w:val="hy-AM"/>
        </w:rPr>
        <w:softHyphen/>
        <w:t>դակային առումով, հարկային ծախսերը գործող հարկային արտոնությունների հետևան</w:t>
      </w:r>
      <w:r w:rsidRPr="005721F4">
        <w:rPr>
          <w:lang w:val="hy-AM"/>
        </w:rPr>
        <w:softHyphen/>
        <w:t>քով պետական բյուջե չգանձվող (պակաս գանձվող) հարկային եկամուտներն են կամ այդ եկամուտների չափով պետության կրած այլընտրանքային ծախ</w:t>
      </w:r>
      <w:r w:rsidRPr="005721F4">
        <w:rPr>
          <w:lang w:val="hy-AM"/>
        </w:rPr>
        <w:softHyphen/>
        <w:t>սերն են, քանի որ հարկային ծախսերը հանգեցնում են համապատասխան գումարի չափով բյու</w:t>
      </w:r>
      <w:r w:rsidRPr="005721F4">
        <w:rPr>
          <w:lang w:val="hy-AM"/>
        </w:rPr>
        <w:softHyphen/>
        <w:t>ջետային ծախսերի կրճատման: Ընդ որում, ի տարբերություն պետական բյուջեի ծախ</w:t>
      </w:r>
      <w:r w:rsidRPr="005721F4">
        <w:rPr>
          <w:lang w:val="hy-AM"/>
        </w:rPr>
        <w:softHyphen/>
        <w:t>սե</w:t>
      </w:r>
      <w:r w:rsidRPr="005721F4">
        <w:rPr>
          <w:lang w:val="hy-AM"/>
        </w:rPr>
        <w:softHyphen/>
        <w:t>րի, որոնք ենթակա են խորքային վերլուծության, մոնիտորինգի ու հսկողության, հարկային ծախսերը հաճախ պատշաճ ձևով չեն վերահսկվում: Արդյունքում, նվազում է հանրային ֆինանս</w:t>
      </w:r>
      <w:r w:rsidRPr="005721F4">
        <w:rPr>
          <w:lang w:val="hy-AM"/>
        </w:rPr>
        <w:softHyphen/>
        <w:t>ների կառավարման արդյունավետությունն ու թափանցիկությունը, սահմանափակ</w:t>
      </w:r>
      <w:r w:rsidRPr="005721F4">
        <w:rPr>
          <w:lang w:val="hy-AM"/>
        </w:rPr>
        <w:softHyphen/>
        <w:t>վում են պետության վերաբաշխիչ գործառույթի շրջանակները: Այդ իսկ պատճառով հար</w:t>
      </w:r>
      <w:r w:rsidRPr="005721F4">
        <w:rPr>
          <w:lang w:val="hy-AM"/>
        </w:rPr>
        <w:softHyphen/>
        <w:t>կա</w:t>
      </w:r>
      <w:r w:rsidRPr="005721F4">
        <w:rPr>
          <w:lang w:val="hy-AM"/>
        </w:rPr>
        <w:softHyphen/>
        <w:t>յին ծախսերի պարբերաբար գնահատումը հանգուցային նշանակություն ունի պետության հար</w:t>
      </w:r>
      <w:r w:rsidRPr="005721F4">
        <w:rPr>
          <w:lang w:val="hy-AM"/>
        </w:rPr>
        <w:softHyphen/>
        <w:t>կաբյուջետային քաղաքականության տեսանկյունից:</w:t>
      </w:r>
    </w:p>
    <w:p w14:paraId="2E0866AD" w14:textId="77777777" w:rsidR="00957A78" w:rsidRPr="00211639" w:rsidRDefault="00957A78" w:rsidP="00C0795E">
      <w:pPr>
        <w:pStyle w:val="TOC4"/>
        <w:rPr>
          <w:lang w:val="hy-AM"/>
        </w:rPr>
      </w:pPr>
      <w:r w:rsidRPr="00211639">
        <w:rPr>
          <w:lang w:val="hy-AM"/>
        </w:rPr>
        <w:t>ՀԱՇՎԵՏՎՈՒԹՅԱՄԲ ԸՆԴԳՐԿՎՈՂ ԺԱՄԱՆԱԿԱՀԱՏՎԱԾԸ, ՀԱՐԿԱՅԻՆ ԾԱԽՍԵՐԻ ԳՆԱՀԱՏՄԱՆ ՀԱՄԱՐ ՕԳՏԱԳՈՐԾՎԱԾ ՏԵՂԵԿԱՏՎՈՒԹՅՈՒՆԸ և ԸՆՏՐՎԱԾ ՄԵԹՈԴԱԲԱՆՈՒԹՅՈՒՆԸ.</w:t>
      </w:r>
    </w:p>
    <w:p w14:paraId="1357B66B" w14:textId="77777777" w:rsidR="00957A78" w:rsidRPr="00AB18D9" w:rsidRDefault="00957A78" w:rsidP="00C0795E">
      <w:pPr>
        <w:pStyle w:val="BodyText1"/>
        <w:ind w:left="0"/>
        <w:rPr>
          <w:lang w:val="hy-AM"/>
        </w:rPr>
      </w:pPr>
      <w:r w:rsidRPr="00AB18D9">
        <w:rPr>
          <w:lang w:val="hy-AM"/>
        </w:rPr>
        <w:t>Սույն հաշվետվությամբ գնահատված են 2026 թվականի հաշվետու տարվա հարկային ծախսերը:</w:t>
      </w:r>
    </w:p>
    <w:p w14:paraId="26FDE9DC" w14:textId="77777777" w:rsidR="00957A78" w:rsidRPr="00AB18D9" w:rsidRDefault="00957A78" w:rsidP="00C0795E">
      <w:pPr>
        <w:pStyle w:val="BodyText1"/>
        <w:ind w:left="0"/>
        <w:rPr>
          <w:lang w:val="hy-AM"/>
        </w:rPr>
      </w:pPr>
      <w:r w:rsidRPr="00AB18D9">
        <w:rPr>
          <w:lang w:val="hy-AM"/>
        </w:rPr>
        <w:t>Գնահատման համար տեղեկատվական հիմք են հանդիսացել 2024 թվականի հաշ</w:t>
      </w:r>
      <w:r w:rsidRPr="00AB18D9">
        <w:rPr>
          <w:lang w:val="hy-AM"/>
        </w:rPr>
        <w:softHyphen/>
        <w:t>վետու տարվա համար ՀՀ վիճակագրական կոմիտեի կողմից հրապարակված հիմ</w:t>
      </w:r>
      <w:r w:rsidRPr="00AB18D9">
        <w:rPr>
          <w:lang w:val="hy-AM"/>
        </w:rPr>
        <w:softHyphen/>
        <w:t>նա</w:t>
      </w:r>
      <w:r w:rsidRPr="00AB18D9">
        <w:rPr>
          <w:lang w:val="hy-AM"/>
        </w:rPr>
        <w:softHyphen/>
        <w:t>կան մակրոտնտեսական տվյալները, ինչ</w:t>
      </w:r>
      <w:r w:rsidRPr="00AB18D9">
        <w:rPr>
          <w:lang w:val="hy-AM"/>
        </w:rPr>
        <w:softHyphen/>
        <w:t>պես նաև ՀՀ  ՊԵԿ  տեղեկատվական բազայում առկա` տնտեսա</w:t>
      </w:r>
      <w:r w:rsidRPr="00AB18D9">
        <w:rPr>
          <w:lang w:val="hy-AM"/>
        </w:rPr>
        <w:softHyphen/>
        <w:t>վա</w:t>
      </w:r>
      <w:r w:rsidRPr="00AB18D9">
        <w:rPr>
          <w:lang w:val="hy-AM"/>
        </w:rPr>
        <w:softHyphen/>
        <w:t>րող սուբյեկտների կողմից ներկայացված հաշվետվությունների տվյալները, որոնք ենթարկվել են որոշակի ճշգրտումների` կապ</w:t>
      </w:r>
      <w:r w:rsidRPr="00AB18D9">
        <w:rPr>
          <w:lang w:val="hy-AM"/>
        </w:rPr>
        <w:softHyphen/>
        <w:t>ված 2026 թվականի համար կանխատեսվող համապատասխան տվյալների հետ:</w:t>
      </w:r>
    </w:p>
    <w:p w14:paraId="76015F3B" w14:textId="77777777" w:rsidR="00957A78" w:rsidRPr="00AB18D9" w:rsidRDefault="00957A78" w:rsidP="00C0795E">
      <w:pPr>
        <w:pStyle w:val="BodyText1"/>
        <w:ind w:left="0"/>
        <w:rPr>
          <w:lang w:val="hy-AM"/>
        </w:rPr>
      </w:pPr>
      <w:r w:rsidRPr="00AB18D9">
        <w:rPr>
          <w:lang w:val="hy-AM"/>
        </w:rPr>
        <w:t>Հաշվետվության մեթոդաբանության հիմքում դրված են ՀՆԱ-ի ճյուղային կառուց</w:t>
      </w:r>
      <w:r w:rsidRPr="00AB18D9">
        <w:rPr>
          <w:lang w:val="hy-AM"/>
        </w:rPr>
        <w:softHyphen/>
        <w:t>վածքի (հարկունակ և ոչ հարկունակ մասերի) ուսումնասիրության մակրոտնտեսական մոտե</w:t>
      </w:r>
      <w:r w:rsidRPr="00AB18D9">
        <w:rPr>
          <w:lang w:val="hy-AM"/>
        </w:rPr>
        <w:softHyphen/>
      </w:r>
      <w:r w:rsidRPr="00AB18D9">
        <w:rPr>
          <w:lang w:val="hy-AM"/>
        </w:rPr>
        <w:softHyphen/>
      </w:r>
      <w:r w:rsidRPr="00AB18D9">
        <w:rPr>
          <w:lang w:val="hy-AM"/>
        </w:rPr>
        <w:softHyphen/>
        <w:t>ցումները, 2024 թվականին վերաբերող ԱԱՀ-ի, շահութահարկի, շրջանառության հարկի և շրջանառության հարկի հաշվարկներով՝ ԱԱՀ-ի, շահութահարկի և եկամտային հարկի արտոնությունների, ինչպես նաև ԱԱՀ-ով հարկվող շեմի ուսումնասիրության արդյունքները:</w:t>
      </w:r>
    </w:p>
    <w:p w14:paraId="2DAF511F" w14:textId="77777777" w:rsidR="00957A78" w:rsidRPr="00AB18D9" w:rsidRDefault="00957A78" w:rsidP="00C0795E">
      <w:pPr>
        <w:pStyle w:val="BodyText1"/>
        <w:ind w:left="0"/>
        <w:rPr>
          <w:lang w:val="hy-AM"/>
        </w:rPr>
      </w:pPr>
      <w:r w:rsidRPr="00AB18D9">
        <w:rPr>
          <w:lang w:val="hy-AM"/>
        </w:rPr>
        <w:t>Հաշվետվության կազմման համար ընտրվող մեթոդաբանության տեսանկյունից շատ կարևոր է նաև Հարկային ծախս հասկացության հստակ սահմանումը և հարկային ծախ</w:t>
      </w:r>
      <w:r w:rsidRPr="00AB18D9">
        <w:rPr>
          <w:lang w:val="hy-AM"/>
        </w:rPr>
        <w:softHyphen/>
        <w:t>սերի շրջանակի ճիշտ որոշումը: Այս առումով, հատ</w:t>
      </w:r>
      <w:r w:rsidRPr="00AB18D9">
        <w:rPr>
          <w:lang w:val="hy-AM"/>
        </w:rPr>
        <w:softHyphen/>
        <w:t>կա</w:t>
      </w:r>
      <w:r w:rsidRPr="00AB18D9">
        <w:rPr>
          <w:lang w:val="hy-AM"/>
        </w:rPr>
        <w:softHyphen/>
        <w:t>նշական է այն, որ գործող հարկային օրենս</w:t>
      </w:r>
      <w:r w:rsidRPr="00AB18D9">
        <w:rPr>
          <w:lang w:val="hy-AM"/>
        </w:rPr>
        <w:softHyphen/>
        <w:t>դրությամբ նախատեսված` հարկման արտոնյալ պայմաններ ենթադրող ոչ բոլոր կար</w:t>
      </w:r>
      <w:r w:rsidRPr="00AB18D9">
        <w:rPr>
          <w:lang w:val="hy-AM"/>
        </w:rPr>
        <w:softHyphen/>
        <w:t>գա</w:t>
      </w:r>
      <w:r w:rsidRPr="00AB18D9">
        <w:rPr>
          <w:lang w:val="hy-AM"/>
        </w:rPr>
        <w:softHyphen/>
        <w:t>վորումները կարելի է դիտարկել որպես հարկային ծախսեր (օրինակ` եկամտային հար</w:t>
      </w:r>
      <w:r w:rsidRPr="00AB18D9">
        <w:rPr>
          <w:lang w:val="hy-AM"/>
        </w:rPr>
        <w:softHyphen/>
        <w:t>կով հարկման նպատակով համախառն եկամտից նվազեցվող եկամուտները)` անգամ եթե դրանց կիրառության արդյունքում կրճատվում են տնտեսավարող սուբյեկտների կողմից վճար</w:t>
      </w:r>
      <w:r w:rsidRPr="00AB18D9">
        <w:rPr>
          <w:lang w:val="hy-AM"/>
        </w:rPr>
        <w:softHyphen/>
        <w:t>վող հարկերը: Հարկային ծախսերի շրջանակի որոշման համար հաշվի է առնվել Հենա</w:t>
      </w:r>
      <w:r w:rsidRPr="00AB18D9">
        <w:rPr>
          <w:lang w:val="hy-AM"/>
        </w:rPr>
        <w:softHyphen/>
        <w:t>նի</w:t>
      </w:r>
      <w:r w:rsidRPr="00AB18D9">
        <w:rPr>
          <w:lang w:val="hy-AM"/>
        </w:rPr>
        <w:softHyphen/>
        <w:t>շա</w:t>
      </w:r>
      <w:r w:rsidRPr="00AB18D9">
        <w:rPr>
          <w:lang w:val="hy-AM"/>
        </w:rPr>
        <w:softHyphen/>
        <w:t>յին հարկ հասկացությունը, որն իրենից ներկայացնում է հարկերի այն հան</w:t>
      </w:r>
      <w:r w:rsidRPr="00AB18D9">
        <w:rPr>
          <w:lang w:val="hy-AM"/>
        </w:rPr>
        <w:softHyphen/>
        <w:t>րա</w:t>
      </w:r>
      <w:r w:rsidRPr="00AB18D9">
        <w:rPr>
          <w:lang w:val="hy-AM"/>
        </w:rPr>
        <w:softHyphen/>
        <w:t>գու</w:t>
      </w:r>
      <w:r w:rsidRPr="00AB18D9">
        <w:rPr>
          <w:lang w:val="hy-AM"/>
        </w:rPr>
        <w:softHyphen/>
        <w:t>մարը, որը կվճար</w:t>
      </w:r>
      <w:r w:rsidRPr="00AB18D9">
        <w:rPr>
          <w:lang w:val="hy-AM"/>
        </w:rPr>
        <w:softHyphen/>
        <w:t>վեր պետական բյուջե տնտեսության մեջ ձևավորվող ողջ հարկման բազան հար</w:t>
      </w:r>
      <w:r w:rsidRPr="00AB18D9">
        <w:rPr>
          <w:lang w:val="hy-AM"/>
        </w:rPr>
        <w:softHyphen/>
        <w:t>կելու պարա</w:t>
      </w:r>
      <w:r w:rsidRPr="00AB18D9">
        <w:rPr>
          <w:lang w:val="hy-AM"/>
        </w:rPr>
        <w:softHyphen/>
        <w:t>գայում: Այս համատեքստում հարկային ծախսերը որոշվել են որպես հենանի</w:t>
      </w:r>
      <w:r w:rsidRPr="00AB18D9">
        <w:rPr>
          <w:lang w:val="hy-AM"/>
        </w:rPr>
        <w:softHyphen/>
        <w:t>շա</w:t>
      </w:r>
      <w:r w:rsidRPr="00AB18D9">
        <w:rPr>
          <w:lang w:val="hy-AM"/>
        </w:rPr>
        <w:softHyphen/>
        <w:t>յին հարկերի և փաստացի պետական բյուջե վճարվող հարկերի տարբերություն: Հար</w:t>
      </w:r>
      <w:r w:rsidRPr="00AB18D9">
        <w:rPr>
          <w:lang w:val="hy-AM"/>
        </w:rPr>
        <w:softHyphen/>
        <w:t>կային ծախսերի գնահատումը` որպես հենանիշային հարկերի ու պետական բյուջե փաս</w:t>
      </w:r>
      <w:r w:rsidRPr="00AB18D9">
        <w:rPr>
          <w:lang w:val="hy-AM"/>
        </w:rPr>
        <w:softHyphen/>
        <w:t>տացի գանձվող հարկերի տարբերություն, ընդունված մոտեցում է նաև միջազգային պրակ</w:t>
      </w:r>
      <w:r w:rsidRPr="00AB18D9">
        <w:rPr>
          <w:lang w:val="hy-AM"/>
        </w:rPr>
        <w:softHyphen/>
        <w:t>տի</w:t>
      </w:r>
      <w:r w:rsidRPr="00AB18D9">
        <w:rPr>
          <w:lang w:val="hy-AM"/>
        </w:rPr>
        <w:softHyphen/>
        <w:t>կա</w:t>
      </w:r>
      <w:r w:rsidRPr="00AB18D9">
        <w:rPr>
          <w:lang w:val="hy-AM"/>
        </w:rPr>
        <w:softHyphen/>
        <w:t>յում: Ընդ որում, հատկանշական է այն, որ միջազգային պրակտիկայում հենա</w:t>
      </w:r>
      <w:r w:rsidRPr="00AB18D9">
        <w:rPr>
          <w:lang w:val="hy-AM"/>
        </w:rPr>
        <w:softHyphen/>
        <w:t>նի</w:t>
      </w:r>
      <w:r w:rsidRPr="00AB18D9">
        <w:rPr>
          <w:lang w:val="hy-AM"/>
        </w:rPr>
        <w:softHyphen/>
        <w:t>շային հար</w:t>
      </w:r>
      <w:r w:rsidRPr="00AB18D9">
        <w:rPr>
          <w:lang w:val="hy-AM"/>
        </w:rPr>
        <w:softHyphen/>
        <w:t>կերի կամ այլ կերպ ասած` հարկային նշաձողի միասնական կամ սպառիչ սահ</w:t>
      </w:r>
      <w:r w:rsidRPr="00AB18D9">
        <w:rPr>
          <w:lang w:val="hy-AM"/>
        </w:rPr>
        <w:softHyphen/>
        <w:t>մա</w:t>
      </w:r>
      <w:r w:rsidRPr="00AB18D9">
        <w:rPr>
          <w:lang w:val="hy-AM"/>
        </w:rPr>
        <w:softHyphen/>
        <w:t>նում չկա: Երկրների մի մասում, օրինակ, հարկային ծախսերը սահմանվում են որպես օրենս</w:t>
      </w:r>
      <w:r w:rsidRPr="00AB18D9">
        <w:rPr>
          <w:lang w:val="hy-AM"/>
        </w:rPr>
        <w:softHyphen/>
      </w:r>
      <w:r w:rsidRPr="00AB18D9">
        <w:rPr>
          <w:lang w:val="hy-AM"/>
        </w:rPr>
        <w:softHyphen/>
        <w:t>դրու</w:t>
      </w:r>
      <w:r w:rsidRPr="00AB18D9">
        <w:rPr>
          <w:lang w:val="hy-AM"/>
        </w:rPr>
        <w:softHyphen/>
      </w:r>
      <w:r w:rsidRPr="00AB18D9">
        <w:rPr>
          <w:lang w:val="hy-AM"/>
        </w:rPr>
        <w:softHyphen/>
        <w:t>թյամբ նախատեսված դրույթներ, որոնց կիրառությունը հանգեցնում է պետական եկա</w:t>
      </w:r>
      <w:r w:rsidRPr="00AB18D9">
        <w:rPr>
          <w:lang w:val="hy-AM"/>
        </w:rPr>
        <w:softHyphen/>
        <w:t>մուտ</w:t>
      </w:r>
      <w:r w:rsidRPr="00AB18D9">
        <w:rPr>
          <w:lang w:val="hy-AM"/>
        </w:rPr>
        <w:softHyphen/>
        <w:t>ների կրճատման հարկային նշաձողի կամ նորմի (այսինքն` հարկի հաշվարկման հիմ</w:t>
      </w:r>
      <w:r w:rsidRPr="00AB18D9">
        <w:rPr>
          <w:lang w:val="hy-AM"/>
        </w:rPr>
        <w:softHyphen/>
        <w:t>նա</w:t>
      </w:r>
      <w:r w:rsidRPr="00AB18D9">
        <w:rPr>
          <w:lang w:val="hy-AM"/>
        </w:rPr>
        <w:softHyphen/>
        <w:t>կան սկզբունքի) կիրառության համեմատությամբ: Հարկային ծախսերի սահմանման ընդ</w:t>
      </w:r>
      <w:r w:rsidRPr="00AB18D9">
        <w:rPr>
          <w:lang w:val="hy-AM"/>
        </w:rPr>
        <w:softHyphen/>
        <w:t>հա</w:t>
      </w:r>
      <w:r w:rsidRPr="00AB18D9">
        <w:rPr>
          <w:lang w:val="hy-AM"/>
        </w:rPr>
        <w:softHyphen/>
        <w:t>նուր սկզբունքն այն է, որ դրանք ունեն սահմանափակ կիրառության շրջանակ: Օրենս</w:t>
      </w:r>
      <w:r w:rsidRPr="00AB18D9">
        <w:rPr>
          <w:lang w:val="hy-AM"/>
        </w:rPr>
        <w:softHyphen/>
        <w:t>դրու</w:t>
      </w:r>
      <w:r w:rsidRPr="00AB18D9">
        <w:rPr>
          <w:lang w:val="hy-AM"/>
        </w:rPr>
        <w:softHyphen/>
        <w:t>թյան այնպիսի դրույթներ, որոնցից կարող է օգտվել հարկ վճարողների մեծա</w:t>
      </w:r>
      <w:r w:rsidRPr="00AB18D9">
        <w:rPr>
          <w:lang w:val="hy-AM"/>
        </w:rPr>
        <w:softHyphen/>
        <w:t>մաս</w:t>
      </w:r>
      <w:r w:rsidRPr="00AB18D9">
        <w:rPr>
          <w:lang w:val="hy-AM"/>
        </w:rPr>
        <w:softHyphen/>
        <w:t>նու</w:t>
      </w:r>
      <w:r w:rsidRPr="00AB18D9">
        <w:rPr>
          <w:lang w:val="hy-AM"/>
        </w:rPr>
        <w:softHyphen/>
        <w:t>թյունը, դիտվում են որպես ընդհանուր կանոնի` հարկային նորմի մաս և չեն որակվում որպես հարկային ծախսեր: Կան երկրներ, որտեղ ընդհանրապես հարկային ծախ</w:t>
      </w:r>
      <w:r w:rsidRPr="00AB18D9">
        <w:rPr>
          <w:lang w:val="hy-AM"/>
        </w:rPr>
        <w:softHyphen/>
        <w:t>սերի կամ հենա</w:t>
      </w:r>
      <w:r w:rsidRPr="00AB18D9">
        <w:rPr>
          <w:lang w:val="hy-AM"/>
        </w:rPr>
        <w:softHyphen/>
        <w:t>նի</w:t>
      </w:r>
      <w:r w:rsidRPr="00AB18D9">
        <w:rPr>
          <w:lang w:val="hy-AM"/>
        </w:rPr>
        <w:softHyphen/>
      </w:r>
      <w:r w:rsidRPr="00AB18D9">
        <w:rPr>
          <w:lang w:val="hy-AM"/>
        </w:rPr>
        <w:softHyphen/>
        <w:t>շային հարկի կամ հարկային նշաձողի սահմանումներ չկան: Այս երկրնե</w:t>
      </w:r>
      <w:r w:rsidRPr="00AB18D9">
        <w:rPr>
          <w:lang w:val="hy-AM"/>
        </w:rPr>
        <w:softHyphen/>
        <w:t>րում, օրենս</w:t>
      </w:r>
      <w:r w:rsidRPr="00AB18D9">
        <w:rPr>
          <w:lang w:val="hy-AM"/>
        </w:rPr>
        <w:softHyphen/>
        <w:t>դրու</w:t>
      </w:r>
      <w:r w:rsidRPr="00AB18D9">
        <w:rPr>
          <w:lang w:val="hy-AM"/>
        </w:rPr>
        <w:softHyphen/>
        <w:t>թյան առանձնա</w:t>
      </w:r>
      <w:r w:rsidRPr="00AB18D9">
        <w:rPr>
          <w:lang w:val="hy-AM"/>
        </w:rPr>
        <w:softHyphen/>
        <w:t>հա</w:t>
      </w:r>
      <w:r w:rsidRPr="00AB18D9">
        <w:rPr>
          <w:lang w:val="hy-AM"/>
        </w:rPr>
        <w:softHyphen/>
        <w:t>տուկ դրույթները (օրինակ, ազատումներ կամ հարկման նվազեցված դրույքաչափեր) դիտ</w:t>
      </w:r>
      <w:r w:rsidRPr="00AB18D9">
        <w:rPr>
          <w:lang w:val="hy-AM"/>
        </w:rPr>
        <w:softHyphen/>
      </w:r>
      <w:r w:rsidRPr="00AB18D9">
        <w:rPr>
          <w:lang w:val="hy-AM"/>
        </w:rPr>
        <w:softHyphen/>
        <w:t>վում են որպես բազային հարկային համակարգի մաս, այլ ոչ թե որպես հարկային ծախս: Ընդհանուր առմամբ, ձեռնարկատիրական գործունեության հետ կապված ազատում</w:t>
      </w:r>
      <w:r w:rsidRPr="00AB18D9">
        <w:rPr>
          <w:lang w:val="hy-AM"/>
        </w:rPr>
        <w:softHyphen/>
        <w:t>ները երկրների այս խմբում չեն դիտարկվում որպես հարկային ծախ</w:t>
      </w:r>
      <w:r w:rsidRPr="00AB18D9">
        <w:rPr>
          <w:lang w:val="hy-AM"/>
        </w:rPr>
        <w:softHyphen/>
        <w:t>սեր: Երրորդ խումբ երկրներում հար</w:t>
      </w:r>
      <w:r w:rsidRPr="00AB18D9">
        <w:rPr>
          <w:lang w:val="hy-AM"/>
        </w:rPr>
        <w:softHyphen/>
        <w:t>կա</w:t>
      </w:r>
      <w:r w:rsidRPr="00AB18D9">
        <w:rPr>
          <w:lang w:val="hy-AM"/>
        </w:rPr>
        <w:softHyphen/>
        <w:t>յին ծախսերը սահմանվում են որպես հարկային համակարգի առանձին դրույթներ, որոնք նվա</w:t>
      </w:r>
      <w:r w:rsidRPr="00AB18D9">
        <w:rPr>
          <w:lang w:val="hy-AM"/>
        </w:rPr>
        <w:softHyphen/>
        <w:t>զեցնում են տնտեսական միավորի հարկային պարտավորությունները` որոշակի քաղա</w:t>
      </w:r>
      <w:r w:rsidRPr="00AB18D9">
        <w:rPr>
          <w:lang w:val="hy-AM"/>
        </w:rPr>
        <w:softHyphen/>
        <w:t>քա</w:t>
      </w:r>
      <w:r w:rsidRPr="00AB18D9">
        <w:rPr>
          <w:lang w:val="hy-AM"/>
        </w:rPr>
        <w:softHyphen/>
        <w:t>կանության նպատակներին հասնելու և ոչ թե առավել արդյունավետ և տնտեսապես չեզոք եղանակով եկամուտներ ստանալու նպա</w:t>
      </w:r>
      <w:r w:rsidRPr="00AB18D9">
        <w:rPr>
          <w:lang w:val="hy-AM"/>
        </w:rPr>
        <w:softHyphen/>
        <w:t>տա</w:t>
      </w:r>
      <w:r w:rsidRPr="00AB18D9">
        <w:rPr>
          <w:lang w:val="hy-AM"/>
        </w:rPr>
        <w:softHyphen/>
        <w:t>կով:</w:t>
      </w:r>
    </w:p>
    <w:p w14:paraId="39C7E150" w14:textId="0C1031B8" w:rsidR="00957A78" w:rsidRPr="00AB18D9" w:rsidRDefault="00957A78" w:rsidP="00C0795E">
      <w:pPr>
        <w:pStyle w:val="BodyText1"/>
        <w:ind w:left="0"/>
        <w:rPr>
          <w:lang w:val="hy-AM"/>
        </w:rPr>
      </w:pPr>
      <w:r w:rsidRPr="00AB18D9">
        <w:rPr>
          <w:lang w:val="hy-AM"/>
        </w:rPr>
        <w:t>Հաշվետվության շրջանակներում գնա</w:t>
      </w:r>
      <w:r w:rsidRPr="00AB18D9">
        <w:rPr>
          <w:lang w:val="hy-AM"/>
        </w:rPr>
        <w:softHyphen/>
        <w:t>հատ</w:t>
      </w:r>
      <w:r w:rsidRPr="00AB18D9">
        <w:rPr>
          <w:lang w:val="hy-AM"/>
        </w:rPr>
        <w:softHyphen/>
        <w:t>վել են ավելացված արժեքի հարկին, շահութահարկին, եկա</w:t>
      </w:r>
      <w:r w:rsidRPr="00AB18D9">
        <w:rPr>
          <w:lang w:val="hy-AM"/>
        </w:rPr>
        <w:softHyphen/>
        <w:t>մտա</w:t>
      </w:r>
      <w:r w:rsidRPr="00AB18D9">
        <w:rPr>
          <w:lang w:val="hy-AM"/>
        </w:rPr>
        <w:softHyphen/>
        <w:t>յին հարկին և շրջանառության հարկին վերա</w:t>
      </w:r>
      <w:r w:rsidRPr="00AB18D9">
        <w:rPr>
          <w:lang w:val="hy-AM"/>
        </w:rPr>
        <w:softHyphen/>
        <w:t>բե</w:t>
      </w:r>
      <w:r w:rsidRPr="00AB18D9">
        <w:rPr>
          <w:lang w:val="hy-AM"/>
        </w:rPr>
        <w:softHyphen/>
      </w:r>
      <w:r w:rsidRPr="00AB18D9">
        <w:rPr>
          <w:lang w:val="hy-AM"/>
        </w:rPr>
        <w:softHyphen/>
        <w:t>րող հիմնական (ընդգրկուն) հարկային արտոնությունների, ավե</w:t>
      </w:r>
      <w:r w:rsidRPr="00AB18D9">
        <w:rPr>
          <w:lang w:val="hy-AM"/>
        </w:rPr>
        <w:softHyphen/>
        <w:t>լացված արժեքի հարկի չհարկվող շեմի և միկրոբիզնեսի կիրառության հետևան</w:t>
      </w:r>
      <w:r w:rsidRPr="00AB18D9">
        <w:rPr>
          <w:lang w:val="hy-AM"/>
        </w:rPr>
        <w:softHyphen/>
        <w:t>քով պետական բյուջե չգանձ</w:t>
      </w:r>
      <w:r w:rsidRPr="00AB18D9">
        <w:rPr>
          <w:lang w:val="hy-AM"/>
        </w:rPr>
        <w:softHyphen/>
      </w:r>
      <w:r w:rsidRPr="00AB18D9">
        <w:rPr>
          <w:lang w:val="hy-AM"/>
        </w:rPr>
        <w:softHyphen/>
        <w:t>վող (պակաս գանձ</w:t>
      </w:r>
      <w:r w:rsidRPr="00AB18D9">
        <w:rPr>
          <w:lang w:val="hy-AM"/>
        </w:rPr>
        <w:softHyphen/>
        <w:t>վող) հար</w:t>
      </w:r>
      <w:r w:rsidRPr="00AB18D9">
        <w:rPr>
          <w:lang w:val="hy-AM"/>
        </w:rPr>
        <w:softHyphen/>
        <w:t>կային եկամուտները: Այսինքն` սույն հաշվետվությամբ տրվել է արդյունավետ հարկաբյուջ</w:t>
      </w:r>
      <w:r w:rsidR="004748FB">
        <w:rPr>
          <w:lang w:val="hy-AM"/>
        </w:rPr>
        <w:t>ե</w:t>
      </w:r>
      <w:r w:rsidRPr="00AB18D9">
        <w:rPr>
          <w:lang w:val="hy-AM"/>
        </w:rPr>
        <w:t>ատային քաղաքականության իրականացման համար անհրաժեշտ հարկային ծախսերի նվազագույն գնահատականը, որի ընդգրկման շրջանակների սահմանափակ լինելը հիմնականում պայմանավորված է հարկային ծախսերի առանձին տեսակների գնահատման համար անհրաժեշտ տվյալների բացակայությամբ:</w:t>
      </w:r>
    </w:p>
    <w:p w14:paraId="441B85BD" w14:textId="64500621" w:rsidR="00957A78" w:rsidRPr="00211639" w:rsidRDefault="00957A78" w:rsidP="00C0795E">
      <w:pPr>
        <w:pStyle w:val="TOC4"/>
        <w:rPr>
          <w:lang w:val="hy-AM"/>
        </w:rPr>
      </w:pPr>
      <w:r w:rsidRPr="00211639">
        <w:rPr>
          <w:lang w:val="hy-AM"/>
        </w:rPr>
        <w:t>ՀԱՐԿԱՅԻՆ ԾԱԽՍԵՐԻ ՄԱՍԻՆ ՀԱՇՎԵՏՎՈՒԹՅՈՒՆՆԵՐԻ ԿԱԶՄՄԱՆ ՈՒ ՆԵՐԿԱՅԱՑՄԱՆ ՄԻՋԱԶԳԱՅԻՆ ՓՈՐՁԸ</w:t>
      </w:r>
    </w:p>
    <w:p w14:paraId="6EE68F08" w14:textId="77777777" w:rsidR="00957A78" w:rsidRPr="00AB18D9" w:rsidRDefault="00957A78" w:rsidP="00C0795E">
      <w:pPr>
        <w:pStyle w:val="BodyText1"/>
        <w:ind w:left="0"/>
        <w:rPr>
          <w:lang w:val="hy-AM"/>
        </w:rPr>
      </w:pPr>
      <w:r w:rsidRPr="00AB18D9">
        <w:rPr>
          <w:lang w:val="hy-AM"/>
        </w:rPr>
        <w:t>Հարկային ծախսերի մասին հաշվետվությունների կազմումն ու ներկայացումը ընդուն</w:t>
      </w:r>
      <w:r w:rsidRPr="00AB18D9">
        <w:rPr>
          <w:lang w:val="hy-AM"/>
        </w:rPr>
        <w:softHyphen/>
        <w:t>ված ու տարածված գործելակերպ է Եվրոպական Միության ու Տնտեսական համագոր</w:t>
      </w:r>
      <w:r w:rsidRPr="00AB18D9">
        <w:rPr>
          <w:lang w:val="hy-AM"/>
        </w:rPr>
        <w:softHyphen/>
        <w:t>ծակ</w:t>
      </w:r>
      <w:r w:rsidRPr="00AB18D9">
        <w:rPr>
          <w:lang w:val="hy-AM"/>
        </w:rPr>
        <w:softHyphen/>
        <w:t>ցու</w:t>
      </w:r>
      <w:r w:rsidRPr="00AB18D9">
        <w:rPr>
          <w:lang w:val="hy-AM"/>
        </w:rPr>
        <w:softHyphen/>
        <w:t>թյան և զարգացման կազմակերպության անդամ երկրների մեծ մասում:</w:t>
      </w:r>
    </w:p>
    <w:p w14:paraId="1E0A0AE9" w14:textId="77777777" w:rsidR="00957A78" w:rsidRPr="00AB18D9" w:rsidRDefault="00957A78" w:rsidP="00C0795E">
      <w:pPr>
        <w:pStyle w:val="BodyText1"/>
        <w:ind w:left="0"/>
        <w:rPr>
          <w:lang w:val="hy-AM"/>
        </w:rPr>
      </w:pPr>
      <w:r w:rsidRPr="00AB18D9">
        <w:rPr>
          <w:lang w:val="hy-AM"/>
        </w:rPr>
        <w:t>Հարկային ծախսերի վերաբերյալ առաջին հաշվետվությունները կազմվել են 1960-ական թվականների վերջերին Գերմանիայում և Ամերիկայի Միացյալ Նահանգներում: 1970-ական թվականների վերջին հարկային ծախսերի մասին հաշվետվություններ սկսեցին կազմ</w:t>
      </w:r>
      <w:r w:rsidRPr="00AB18D9">
        <w:rPr>
          <w:lang w:val="hy-AM"/>
        </w:rPr>
        <w:softHyphen/>
        <w:t>վել նաև Ավստրիայում, Կանադայում, Իսպանիայում և Միացյալ Թագավորությունում:</w:t>
      </w:r>
    </w:p>
    <w:p w14:paraId="025160CB" w14:textId="77777777" w:rsidR="00957A78" w:rsidRPr="00AB18D9" w:rsidRDefault="00957A78" w:rsidP="00C0795E">
      <w:pPr>
        <w:pStyle w:val="BodyText1"/>
        <w:ind w:left="0"/>
        <w:rPr>
          <w:lang w:val="hy-AM"/>
        </w:rPr>
      </w:pPr>
      <w:r w:rsidRPr="00AB18D9">
        <w:rPr>
          <w:lang w:val="hy-AM"/>
        </w:rPr>
        <w:t>Հարկային ծախսերի տարեկան հաշվետվությունները կազմվում և հրապարակվում են հար</w:t>
      </w:r>
      <w:r w:rsidRPr="00AB18D9">
        <w:rPr>
          <w:lang w:val="hy-AM"/>
        </w:rPr>
        <w:softHyphen/>
      </w:r>
      <w:r w:rsidRPr="00AB18D9">
        <w:rPr>
          <w:lang w:val="hy-AM"/>
        </w:rPr>
        <w:softHyphen/>
      </w:r>
      <w:r w:rsidRPr="00AB18D9">
        <w:rPr>
          <w:lang w:val="hy-AM"/>
        </w:rPr>
        <w:softHyphen/>
        <w:t>կային արտոնությունների կիրառության արդյունքում չգանձվող հարկային եկա</w:t>
      </w:r>
      <w:r w:rsidRPr="00AB18D9">
        <w:rPr>
          <w:lang w:val="hy-AM"/>
        </w:rPr>
        <w:softHyphen/>
        <w:t>մուտ</w:t>
      </w:r>
      <w:r w:rsidRPr="00AB18D9">
        <w:rPr>
          <w:lang w:val="hy-AM"/>
        </w:rPr>
        <w:softHyphen/>
        <w:t>ների մեծությունը ուշադրության կենտրոնում պահելու, հարկային արտոնությունների շրջա</w:t>
      </w:r>
      <w:r w:rsidRPr="00AB18D9">
        <w:rPr>
          <w:lang w:val="hy-AM"/>
        </w:rPr>
        <w:softHyphen/>
        <w:t>նակի վերանայման վերաբերյալ քաղաքական որոշումներ կայացնելու, ինչպես նաև հար</w:t>
      </w:r>
      <w:r w:rsidRPr="00AB18D9">
        <w:rPr>
          <w:lang w:val="hy-AM"/>
        </w:rPr>
        <w:softHyphen/>
        <w:t>կա</w:t>
      </w:r>
      <w:r w:rsidRPr="00AB18D9">
        <w:rPr>
          <w:lang w:val="hy-AM"/>
        </w:rPr>
        <w:softHyphen/>
        <w:t>բյու</w:t>
      </w:r>
      <w:r w:rsidRPr="00AB18D9">
        <w:rPr>
          <w:lang w:val="hy-AM"/>
        </w:rPr>
        <w:softHyphen/>
        <w:t>ջետային քաղաքականության թափանցիկությունն ու Կառավարության հաշվետվո</w:t>
      </w:r>
      <w:r w:rsidRPr="00AB18D9">
        <w:rPr>
          <w:lang w:val="hy-AM"/>
        </w:rPr>
        <w:softHyphen/>
        <w:t>ղա</w:t>
      </w:r>
      <w:r w:rsidRPr="00AB18D9">
        <w:rPr>
          <w:lang w:val="hy-AM"/>
        </w:rPr>
        <w:softHyphen/>
        <w:t>կա</w:t>
      </w:r>
      <w:r w:rsidRPr="00AB18D9">
        <w:rPr>
          <w:lang w:val="hy-AM"/>
        </w:rPr>
        <w:softHyphen/>
        <w:t>նու</w:t>
      </w:r>
      <w:r w:rsidRPr="00AB18D9">
        <w:rPr>
          <w:lang w:val="hy-AM"/>
        </w:rPr>
        <w:softHyphen/>
        <w:t>թյունն ապահովելու նպատակով:</w:t>
      </w:r>
    </w:p>
    <w:p w14:paraId="06FAFE8D" w14:textId="77777777" w:rsidR="00957A78" w:rsidRPr="00AB18D9" w:rsidRDefault="00957A78" w:rsidP="00C0795E">
      <w:pPr>
        <w:pStyle w:val="BodyText1"/>
        <w:ind w:left="0"/>
        <w:rPr>
          <w:lang w:val="hy-AM"/>
        </w:rPr>
      </w:pPr>
      <w:r w:rsidRPr="00AB18D9">
        <w:rPr>
          <w:lang w:val="hy-AM"/>
        </w:rPr>
        <w:t>Ավստրիայում, Բելգիայում, Ֆրանսիայում, Գերմանիայում, Պորտուգալիայում, Իսպա</w:t>
      </w:r>
      <w:r w:rsidRPr="00AB18D9">
        <w:rPr>
          <w:lang w:val="hy-AM"/>
        </w:rPr>
        <w:softHyphen/>
        <w:t>նիա</w:t>
      </w:r>
      <w:r w:rsidRPr="00AB18D9">
        <w:rPr>
          <w:lang w:val="hy-AM"/>
        </w:rPr>
        <w:softHyphen/>
        <w:t>յում և Միացյալ Թագավորությունում հարկային ծախսերի մասին հաշվետվությունների կազ</w:t>
      </w:r>
      <w:r w:rsidRPr="00AB18D9">
        <w:rPr>
          <w:lang w:val="hy-AM"/>
        </w:rPr>
        <w:softHyphen/>
        <w:t>մումն ու հրապարակումը կարգավորվում է օրենքով: Նշյալ հաշվետվությունները ուղղա</w:t>
      </w:r>
      <w:r w:rsidRPr="00AB18D9">
        <w:rPr>
          <w:lang w:val="hy-AM"/>
        </w:rPr>
        <w:softHyphen/>
        <w:t>կիո</w:t>
      </w:r>
      <w:r w:rsidRPr="00AB18D9">
        <w:rPr>
          <w:lang w:val="hy-AM"/>
        </w:rPr>
        <w:softHyphen/>
        <w:t>րեն կապված են պետական բյուջեի հետ, իսկ դրանց կազմումը բյուջետային գործըն</w:t>
      </w:r>
      <w:r w:rsidRPr="00AB18D9">
        <w:rPr>
          <w:lang w:val="hy-AM"/>
        </w:rPr>
        <w:softHyphen/>
        <w:t>թացի կարևոր բաղկացուցիչներից է:</w:t>
      </w:r>
    </w:p>
    <w:p w14:paraId="6604208B" w14:textId="77777777" w:rsidR="00957A78" w:rsidRPr="00AB18D9" w:rsidRDefault="00957A78" w:rsidP="00C0795E">
      <w:pPr>
        <w:pStyle w:val="BodyText1"/>
        <w:ind w:left="0"/>
        <w:rPr>
          <w:lang w:val="hy-AM"/>
        </w:rPr>
      </w:pPr>
      <w:r w:rsidRPr="00AB18D9">
        <w:rPr>
          <w:lang w:val="hy-AM"/>
        </w:rPr>
        <w:t>Հարկային ծախսերի մասին հաշվետվությունների կազմումն ու ներկայացումը հիմնա</w:t>
      </w:r>
      <w:r w:rsidRPr="00AB18D9">
        <w:rPr>
          <w:lang w:val="hy-AM"/>
        </w:rPr>
        <w:softHyphen/>
        <w:t>կա</w:t>
      </w:r>
      <w:r w:rsidRPr="00AB18D9">
        <w:rPr>
          <w:lang w:val="hy-AM"/>
        </w:rPr>
        <w:softHyphen/>
        <w:t>նում կատարվում է տարեկան պարբերականությամբ, թեև կան երկրներ, որոնք այս հաշ</w:t>
      </w:r>
      <w:r w:rsidRPr="00AB18D9">
        <w:rPr>
          <w:lang w:val="hy-AM"/>
        </w:rPr>
        <w:softHyphen/>
        <w:t>վետ</w:t>
      </w:r>
      <w:r w:rsidRPr="00AB18D9">
        <w:rPr>
          <w:lang w:val="hy-AM"/>
        </w:rPr>
        <w:softHyphen/>
        <w:t>վությունները կազմում և ներկայացնում են երկու կամ երեք տարին մեկ անգամ:</w:t>
      </w:r>
    </w:p>
    <w:p w14:paraId="4761639B" w14:textId="77777777" w:rsidR="00957A78" w:rsidRPr="00211639" w:rsidRDefault="00957A78" w:rsidP="00C0795E">
      <w:pPr>
        <w:pStyle w:val="TOC4"/>
        <w:rPr>
          <w:lang w:val="hy-AM"/>
        </w:rPr>
      </w:pPr>
      <w:r w:rsidRPr="00211639">
        <w:rPr>
          <w:lang w:val="hy-AM"/>
        </w:rPr>
        <w:t>ՀԱՐԿԱՅԻՆ ԾԱԽՍԵՐԻ ՄԱՍԻՆ ՀԱՇՎԵՏՎՈՒԹՅԱՆ ԿԱԶՄՄԱՆ ՈՒ ՆԵՐԿԱՅԱՑՄԱՆ ԱՆՀՐԱԺԵՇՏՈՒԹՅՈՒՆԸ ՀԱՅԱՍՏԱՆԻ ՀԱՆՐԱՊԵՏՈՒԹՅՈՒՆՈՒՄ</w:t>
      </w:r>
    </w:p>
    <w:p w14:paraId="7E370A2C" w14:textId="77777777" w:rsidR="00957A78" w:rsidRPr="00AB18D9" w:rsidRDefault="00957A78" w:rsidP="00C0795E">
      <w:pPr>
        <w:pStyle w:val="BodyText1"/>
        <w:ind w:left="0"/>
        <w:rPr>
          <w:lang w:val="hy-AM"/>
        </w:rPr>
      </w:pPr>
      <w:r w:rsidRPr="00AB18D9">
        <w:rPr>
          <w:lang w:val="hy-AM"/>
        </w:rPr>
        <w:t>Սույն փաստաթուղթը Հայաստանի Հանրապետությունում իրականացվող բյուջետային գործ</w:t>
      </w:r>
      <w:r w:rsidRPr="00AB18D9">
        <w:rPr>
          <w:lang w:val="hy-AM"/>
        </w:rPr>
        <w:softHyphen/>
        <w:t>ընթացի շրջանակներում հարկային ծախսերի գնահատման տասներորդ հաշվետվությունն է: Թեև մեր երկրի օրենսդրությամբ հարկային ծախսերի մասին հաշվետվություն կազմելու և ներ</w:t>
      </w:r>
      <w:r w:rsidRPr="00AB18D9">
        <w:rPr>
          <w:lang w:val="hy-AM"/>
        </w:rPr>
        <w:softHyphen/>
        <w:t>կայացնելու պահանջ նախատեսված չէ, այդուհանդերձ կարևորելով այսպիսի փաստա</w:t>
      </w:r>
      <w:r w:rsidRPr="00AB18D9">
        <w:rPr>
          <w:lang w:val="hy-AM"/>
        </w:rPr>
        <w:softHyphen/>
        <w:t>թղթերի դերը հանրային ֆինանսների կառավարման թափանցիկության անհրաժեշտ մակար</w:t>
      </w:r>
      <w:r w:rsidRPr="00AB18D9">
        <w:rPr>
          <w:lang w:val="hy-AM"/>
        </w:rPr>
        <w:softHyphen/>
        <w:t>դակի ապահովման գործում՝ Կառավարությունը մտադիր է հարկային ծախսերի մասին ամենամյա հաշվետվությունների կազմումն ու ներկայացումը դարձնել բյուջետային գործ</w:t>
      </w:r>
      <w:r w:rsidRPr="00AB18D9">
        <w:rPr>
          <w:lang w:val="hy-AM"/>
        </w:rPr>
        <w:softHyphen/>
        <w:t>ընթացի կարևոր բաղկացուցիչ:</w:t>
      </w:r>
    </w:p>
    <w:p w14:paraId="208E2429" w14:textId="77777777" w:rsidR="00957A78" w:rsidRPr="00AB18D9" w:rsidRDefault="00957A78" w:rsidP="00C0795E">
      <w:pPr>
        <w:pStyle w:val="BodyText1"/>
        <w:ind w:left="0"/>
        <w:rPr>
          <w:lang w:val="hy-AM"/>
        </w:rPr>
      </w:pPr>
      <w:r w:rsidRPr="00AB18D9">
        <w:rPr>
          <w:lang w:val="hy-AM"/>
        </w:rPr>
        <w:t>Մյուս կողմից, հարկային ծախսերի մասին այսպիսի փաստաթղթի կազմումը հնա</w:t>
      </w:r>
      <w:r w:rsidRPr="00AB18D9">
        <w:rPr>
          <w:lang w:val="hy-AM"/>
        </w:rPr>
        <w:softHyphen/>
        <w:t>րա</w:t>
      </w:r>
      <w:r w:rsidRPr="00AB18D9">
        <w:rPr>
          <w:lang w:val="hy-AM"/>
        </w:rPr>
        <w:softHyphen/>
        <w:t>վո</w:t>
      </w:r>
      <w:r w:rsidRPr="00AB18D9">
        <w:rPr>
          <w:lang w:val="hy-AM"/>
        </w:rPr>
        <w:softHyphen/>
        <w:t>րություն կընձեռի առավել համապարփակ ձևով գնահատել գործող հարկային արտոնու</w:t>
      </w:r>
      <w:r w:rsidRPr="00AB18D9">
        <w:rPr>
          <w:lang w:val="hy-AM"/>
        </w:rPr>
        <w:softHyphen/>
        <w:t>թյուն</w:t>
      </w:r>
      <w:r w:rsidRPr="00AB18D9">
        <w:rPr>
          <w:lang w:val="hy-AM"/>
        </w:rPr>
        <w:softHyphen/>
        <w:t>ների արդյունավետությունը, դրանց հետագա կիրառության նպատակահարմա</w:t>
      </w:r>
      <w:r w:rsidRPr="00AB18D9">
        <w:rPr>
          <w:lang w:val="hy-AM"/>
        </w:rPr>
        <w:softHyphen/>
        <w:t>րու</w:t>
      </w:r>
      <w:r w:rsidRPr="00AB18D9">
        <w:rPr>
          <w:lang w:val="hy-AM"/>
        </w:rPr>
        <w:softHyphen/>
        <w:t>թյունը կամ հարկային արտոնությունները կրճատելու հնարավորություններն ու սահմանա</w:t>
      </w:r>
      <w:r w:rsidRPr="00AB18D9">
        <w:rPr>
          <w:lang w:val="hy-AM"/>
        </w:rPr>
        <w:softHyphen/>
        <w:t>փա</w:t>
      </w:r>
      <w:r w:rsidRPr="00AB18D9">
        <w:rPr>
          <w:lang w:val="hy-AM"/>
        </w:rPr>
        <w:softHyphen/>
        <w:t>կումները:</w:t>
      </w:r>
    </w:p>
    <w:p w14:paraId="080DFB36" w14:textId="77777777" w:rsidR="00957A78" w:rsidRPr="00AB18D9" w:rsidRDefault="00957A78" w:rsidP="00C0795E">
      <w:pPr>
        <w:pStyle w:val="BodyText1"/>
        <w:ind w:left="0"/>
        <w:rPr>
          <w:lang w:val="hy-AM"/>
        </w:rPr>
      </w:pPr>
      <w:r w:rsidRPr="00AB18D9">
        <w:rPr>
          <w:lang w:val="hy-AM"/>
        </w:rPr>
        <w:t>Բացի այդ, հարկային ծախսերի գնահատմամբ Կառավարությունը ընդհանրացնում է երկրի ռեսուրսային ներուժի վերաբերյալ պատկերացումները, ինչը շատ կարևոր է՝ գնա</w:t>
      </w:r>
      <w:r w:rsidRPr="00AB18D9">
        <w:rPr>
          <w:lang w:val="hy-AM"/>
        </w:rPr>
        <w:softHyphen/>
        <w:t>հա</w:t>
      </w:r>
      <w:r w:rsidRPr="00AB18D9">
        <w:rPr>
          <w:lang w:val="hy-AM"/>
        </w:rPr>
        <w:softHyphen/>
        <w:t>տելու համար Կառավարության առջև դրված համակարգային խնդիրների լուծման եղանակները:</w:t>
      </w:r>
    </w:p>
    <w:p w14:paraId="1B6AF094" w14:textId="77777777" w:rsidR="00957A78" w:rsidRPr="00211639" w:rsidRDefault="00957A78" w:rsidP="00C0795E">
      <w:pPr>
        <w:pStyle w:val="TOC4"/>
        <w:rPr>
          <w:lang w:val="hy-AM"/>
        </w:rPr>
      </w:pPr>
      <w:r w:rsidRPr="00211639">
        <w:rPr>
          <w:lang w:val="hy-AM"/>
        </w:rPr>
        <w:t>ՀԱՐԿԱՅԻՆ ԾԱԽՍԵՐԻ ՀԱՇՎԵՏՎՈՒԹՅԱՆ ՆԵՐԿԱՅԱՑՄԱՆ ԿԱՐևՈՐՈՒԹՅՈՒՆԸ ՀԱՐԿԱՅԻՆ ԱՐՏՈՆՈՒԹՅՈՒՆՆԵՐԻ ՇՐՋԱՆԱԿԸ ՎԵՐԱՆԱՅԵԼՈՒ ՏԵՍԱՆԿՅՈՒՆԻՑ</w:t>
      </w:r>
    </w:p>
    <w:p w14:paraId="709C2CD0" w14:textId="77777777" w:rsidR="00957A78" w:rsidRPr="00AB18D9" w:rsidRDefault="00957A78" w:rsidP="00C0795E">
      <w:pPr>
        <w:pStyle w:val="BodyText1"/>
        <w:ind w:left="0"/>
        <w:rPr>
          <w:lang w:val="hy-AM"/>
        </w:rPr>
      </w:pPr>
      <w:r w:rsidRPr="00AB18D9">
        <w:rPr>
          <w:lang w:val="hy-AM"/>
        </w:rPr>
        <w:t>Հայաստանյան հարկային համակարգի ձևավորման ու զարգացման ողջ ընթացքում հար</w:t>
      </w:r>
      <w:r w:rsidRPr="00AB18D9">
        <w:rPr>
          <w:lang w:val="hy-AM"/>
        </w:rPr>
        <w:softHyphen/>
        <w:t>կային օրենսդրությամբ նախատեսված են եղել տարբեր հարկային արտոնություններ, որոնց շրջանակը հարկային քաղաքականության իրականացման տարբեր փուլերում, կախ</w:t>
      </w:r>
      <w:r w:rsidRPr="00AB18D9">
        <w:rPr>
          <w:lang w:val="hy-AM"/>
        </w:rPr>
        <w:softHyphen/>
        <w:t>ված տնտեսության զարգացման տեմպերից, առաջնահերթություններից ու մարտահրավեր</w:t>
      </w:r>
      <w:r w:rsidRPr="00AB18D9">
        <w:rPr>
          <w:lang w:val="hy-AM"/>
        </w:rPr>
        <w:softHyphen/>
        <w:t>նե</w:t>
      </w:r>
      <w:r w:rsidRPr="00AB18D9">
        <w:rPr>
          <w:lang w:val="hy-AM"/>
        </w:rPr>
        <w:softHyphen/>
        <w:t>րից, մշտապես վերանայվել է: Որոշ հարկային արտոնություններ ժամանակավոր բնույթ են ունեցել (օրինակ` օտարերկրյա ներդրումներով ռեզիդենտ կազմակերպությունների` շահու</w:t>
      </w:r>
      <w:r w:rsidRPr="00AB18D9">
        <w:rPr>
          <w:lang w:val="hy-AM"/>
        </w:rPr>
        <w:softHyphen/>
      </w:r>
      <w:r w:rsidRPr="00AB18D9">
        <w:rPr>
          <w:lang w:val="hy-AM"/>
        </w:rPr>
        <w:softHyphen/>
        <w:t>թահարկի գումարի նվազեցման արտոնությունը) և կողմնորոշված են եղել քաղաքա</w:t>
      </w:r>
      <w:r w:rsidRPr="00AB18D9">
        <w:rPr>
          <w:lang w:val="hy-AM"/>
        </w:rPr>
        <w:softHyphen/>
        <w:t>կա</w:t>
      </w:r>
      <w:r w:rsidRPr="00AB18D9">
        <w:rPr>
          <w:lang w:val="hy-AM"/>
        </w:rPr>
        <w:softHyphen/>
        <w:t>նության իրականացման որևէ ժամանակահատվածում կոնկրետ խնդիրների լուծմանը: Որոշ հարկային արտոնություններ, որոնք տրվել են դեռևս հարկային համակարգի ձևա</w:t>
      </w:r>
      <w:r w:rsidRPr="00AB18D9">
        <w:rPr>
          <w:lang w:val="hy-AM"/>
        </w:rPr>
        <w:softHyphen/>
        <w:t>վոր</w:t>
      </w:r>
      <w:r w:rsidRPr="00AB18D9">
        <w:rPr>
          <w:lang w:val="hy-AM"/>
        </w:rPr>
        <w:softHyphen/>
        <w:t>ման ամենավաղ փուլերում, շարունակվում են կիրառվել մինչև այժմ, քանի որ դրանց կիրա</w:t>
      </w:r>
      <w:r w:rsidRPr="00AB18D9">
        <w:rPr>
          <w:lang w:val="hy-AM"/>
        </w:rPr>
        <w:softHyphen/>
        <w:t>ռու</w:t>
      </w:r>
      <w:r w:rsidRPr="00AB18D9">
        <w:rPr>
          <w:lang w:val="hy-AM"/>
        </w:rPr>
        <w:softHyphen/>
        <w:t>թյան պատճառներն ու հիմնավորումները արդիական են նաև մեր օրերում (օրինակ` գյու</w:t>
      </w:r>
      <w:r w:rsidRPr="00AB18D9">
        <w:rPr>
          <w:lang w:val="hy-AM"/>
        </w:rPr>
        <w:softHyphen/>
        <w:t>ղա</w:t>
      </w:r>
      <w:r w:rsidRPr="00AB18D9">
        <w:rPr>
          <w:lang w:val="hy-AM"/>
        </w:rPr>
        <w:softHyphen/>
        <w:t>տնտեսական արտադրանքի իրացումից ստացվող եկամուտների համար նախատեսված` շահութահարկից ու եկամտային հարկից ազատման արտոնությունները):</w:t>
      </w:r>
    </w:p>
    <w:p w14:paraId="3270199B" w14:textId="77777777" w:rsidR="00957A78" w:rsidRPr="00AB18D9" w:rsidRDefault="00957A78" w:rsidP="00C0795E">
      <w:pPr>
        <w:pStyle w:val="BodyText1"/>
        <w:ind w:left="0"/>
        <w:rPr>
          <w:lang w:val="hy-AM"/>
        </w:rPr>
      </w:pPr>
      <w:r w:rsidRPr="00AB18D9">
        <w:rPr>
          <w:lang w:val="hy-AM"/>
        </w:rPr>
        <w:t>Ընդհանուր առմամբ, ինչպես նախկինում, այնպես էլ ներկայումս հարկային օրենս</w:t>
      </w:r>
      <w:r w:rsidRPr="00AB18D9">
        <w:rPr>
          <w:lang w:val="hy-AM"/>
        </w:rPr>
        <w:softHyphen/>
        <w:t>դրու</w:t>
      </w:r>
      <w:r w:rsidRPr="00AB18D9">
        <w:rPr>
          <w:lang w:val="hy-AM"/>
        </w:rPr>
        <w:softHyphen/>
        <w:t>թյամբ նախատեսված հարկային արտոնությունները կարելի է խմբավորել երեք հիմնական խմբե</w:t>
      </w:r>
      <w:r w:rsidRPr="00AB18D9">
        <w:rPr>
          <w:lang w:val="hy-AM"/>
        </w:rPr>
        <w:softHyphen/>
        <w:t>րում`</w:t>
      </w:r>
    </w:p>
    <w:p w14:paraId="11931478" w14:textId="77777777" w:rsidR="00957A78" w:rsidRPr="00AB18D9" w:rsidRDefault="00957A78" w:rsidP="00C0795E">
      <w:pPr>
        <w:pStyle w:val="BodyText1"/>
        <w:ind w:left="0"/>
        <w:rPr>
          <w:lang w:val="hy-AM"/>
        </w:rPr>
      </w:pPr>
      <w:r w:rsidRPr="00AB18D9">
        <w:rPr>
          <w:lang w:val="hy-AM"/>
        </w:rPr>
        <w:t>սոցիալական ուղղվածություն ունեցող հարկային արտոնություններ,</w:t>
      </w:r>
    </w:p>
    <w:p w14:paraId="52850C2B" w14:textId="77777777" w:rsidR="00957A78" w:rsidRPr="00AB18D9" w:rsidRDefault="00957A78" w:rsidP="00C0795E">
      <w:pPr>
        <w:pStyle w:val="BodyText1"/>
        <w:ind w:left="0"/>
        <w:rPr>
          <w:lang w:val="hy-AM"/>
        </w:rPr>
      </w:pPr>
      <w:r w:rsidRPr="00AB18D9">
        <w:rPr>
          <w:lang w:val="hy-AM"/>
        </w:rPr>
        <w:t>ոլորտային հարկային արտոնություններ,</w:t>
      </w:r>
    </w:p>
    <w:p w14:paraId="5530BFE3" w14:textId="77777777" w:rsidR="00957A78" w:rsidRPr="00AB18D9" w:rsidRDefault="00957A78" w:rsidP="00C0795E">
      <w:pPr>
        <w:pStyle w:val="BodyText1"/>
        <w:ind w:left="0"/>
        <w:rPr>
          <w:lang w:val="hy-AM"/>
        </w:rPr>
      </w:pPr>
      <w:r w:rsidRPr="00AB18D9">
        <w:rPr>
          <w:lang w:val="hy-AM"/>
        </w:rPr>
        <w:t>գործարար և ներդրումային միջավայրի բարելավմանն ու ակտիվության բարձրաց</w:t>
      </w:r>
      <w:r w:rsidRPr="00AB18D9">
        <w:rPr>
          <w:lang w:val="hy-AM"/>
        </w:rPr>
        <w:softHyphen/>
        <w:t>մանն ուղղված հարկային արտոնություններ:</w:t>
      </w:r>
    </w:p>
    <w:p w14:paraId="4A3E4161" w14:textId="77777777" w:rsidR="00957A78" w:rsidRPr="00AB18D9" w:rsidRDefault="00957A78" w:rsidP="00C0795E">
      <w:pPr>
        <w:pStyle w:val="BodyText1"/>
        <w:ind w:left="0"/>
        <w:rPr>
          <w:lang w:val="hy-AM"/>
        </w:rPr>
      </w:pPr>
      <w:r w:rsidRPr="00AB18D9">
        <w:rPr>
          <w:lang w:val="hy-AM"/>
        </w:rPr>
        <w:t>Սոցիալական ուղղվածություն ունեցող հարկային արտոնությունների կիրառության հիմ</w:t>
      </w:r>
      <w:r w:rsidRPr="00AB18D9">
        <w:rPr>
          <w:lang w:val="hy-AM"/>
        </w:rPr>
        <w:softHyphen/>
        <w:t>նա</w:t>
      </w:r>
      <w:r w:rsidRPr="00AB18D9">
        <w:rPr>
          <w:lang w:val="hy-AM"/>
        </w:rPr>
        <w:softHyphen/>
        <w:t>կան նպատակը առողջապահական, կրթական ու գիտական նշանակության որոշ ծառա</w:t>
      </w:r>
      <w:r w:rsidRPr="00AB18D9">
        <w:rPr>
          <w:lang w:val="hy-AM"/>
        </w:rPr>
        <w:softHyphen/>
      </w:r>
      <w:r w:rsidRPr="00AB18D9">
        <w:rPr>
          <w:lang w:val="hy-AM"/>
        </w:rPr>
        <w:softHyphen/>
        <w:t>յությունների մատուցումն ու ապրանքների մատակարարումը ավելացված արժեքի հար</w:t>
      </w:r>
      <w:r w:rsidRPr="00AB18D9">
        <w:rPr>
          <w:lang w:val="hy-AM"/>
        </w:rPr>
        <w:softHyphen/>
        <w:t>կից ազատելն է, ինչը, այլ հավասար պայմաններում հնարավորություն է ընձեռում նշյալ ապրանք</w:t>
      </w:r>
      <w:r w:rsidRPr="00AB18D9">
        <w:rPr>
          <w:lang w:val="hy-AM"/>
        </w:rPr>
        <w:softHyphen/>
        <w:t>ներն ու ծառայությունները ձեռք բերել համեմատաբար ցածր գներով:</w:t>
      </w:r>
    </w:p>
    <w:p w14:paraId="515EFEE1" w14:textId="77777777" w:rsidR="00957A78" w:rsidRPr="00AB18D9" w:rsidRDefault="00957A78" w:rsidP="00C0795E">
      <w:pPr>
        <w:pStyle w:val="BodyText1"/>
        <w:ind w:left="0"/>
        <w:rPr>
          <w:lang w:val="hy-AM"/>
        </w:rPr>
      </w:pPr>
      <w:r w:rsidRPr="00AB18D9">
        <w:rPr>
          <w:lang w:val="hy-AM"/>
        </w:rPr>
        <w:t>Ոլորտային հարկային արտոնությունների կիրառությունը պայմանավորված է հիմնականում ազգային տնտեսության երկարաժամկետ և կայուն զարգացման տեսանկյունից տնտե</w:t>
      </w:r>
      <w:r w:rsidRPr="00AB18D9">
        <w:rPr>
          <w:lang w:val="hy-AM"/>
        </w:rPr>
        <w:softHyphen/>
        <w:t>սության որոշ ոլորտների զարգացման գերակայություն համարելը: Դրանք հիմ</w:t>
      </w:r>
      <w:r w:rsidRPr="00AB18D9">
        <w:rPr>
          <w:lang w:val="hy-AM"/>
        </w:rPr>
        <w:softHyphen/>
        <w:t>նա</w:t>
      </w:r>
      <w:r w:rsidRPr="00AB18D9">
        <w:rPr>
          <w:lang w:val="hy-AM"/>
        </w:rPr>
        <w:softHyphen/>
        <w:t>կանում այն ոլորտներն են, որոնք ավանդաբար ձևավորել են ազգային տնտեսության նկա</w:t>
      </w:r>
      <w:r w:rsidRPr="00AB18D9">
        <w:rPr>
          <w:lang w:val="hy-AM"/>
        </w:rPr>
        <w:softHyphen/>
        <w:t>րա</w:t>
      </w:r>
      <w:r w:rsidRPr="00AB18D9">
        <w:rPr>
          <w:lang w:val="hy-AM"/>
        </w:rPr>
        <w:softHyphen/>
        <w:t>գիրը (ոսկերչություն, զբոսաշրջություն, գորգագործություն և այլն): Այս առումով, Կառա</w:t>
      </w:r>
      <w:r w:rsidRPr="00AB18D9">
        <w:rPr>
          <w:lang w:val="hy-AM"/>
        </w:rPr>
        <w:softHyphen/>
        <w:t>վա</w:t>
      </w:r>
      <w:r w:rsidRPr="00AB18D9">
        <w:rPr>
          <w:lang w:val="hy-AM"/>
        </w:rPr>
        <w:softHyphen/>
        <w:t>րությունը տարբեր գործիքներով (այդ թվում` հարկային արտոնությունների կիրա</w:t>
      </w:r>
      <w:r w:rsidRPr="00AB18D9">
        <w:rPr>
          <w:lang w:val="hy-AM"/>
        </w:rPr>
        <w:softHyphen/>
        <w:t>ռու</w:t>
      </w:r>
      <w:r w:rsidRPr="00AB18D9">
        <w:rPr>
          <w:lang w:val="hy-AM"/>
        </w:rPr>
        <w:softHyphen/>
        <w:t>թյամբ) օժանդակում է այդ ոլորտներում գործող տնտեսավարող սուբյեկտներին,</w:t>
      </w:r>
    </w:p>
    <w:p w14:paraId="4464D302" w14:textId="77777777" w:rsidR="00957A78" w:rsidRPr="00AB18D9" w:rsidRDefault="00957A78" w:rsidP="00C0795E">
      <w:pPr>
        <w:pStyle w:val="BodyText1"/>
        <w:ind w:left="0"/>
        <w:rPr>
          <w:lang w:val="hy-AM"/>
        </w:rPr>
      </w:pPr>
      <w:r w:rsidRPr="00AB18D9">
        <w:rPr>
          <w:lang w:val="hy-AM"/>
        </w:rPr>
        <w:t>Գործարար և ներդրումային միջավայրի բարելավմանն ու ակտիվության բարձրաց</w:t>
      </w:r>
      <w:r w:rsidRPr="00AB18D9">
        <w:rPr>
          <w:lang w:val="hy-AM"/>
        </w:rPr>
        <w:softHyphen/>
        <w:t>մանն ուղղված հարկային արտոնությունների կիրառության հիմնական նպատակը տնտե</w:t>
      </w:r>
      <w:r w:rsidRPr="00AB18D9">
        <w:rPr>
          <w:lang w:val="hy-AM"/>
        </w:rPr>
        <w:softHyphen/>
        <w:t>սա</w:t>
      </w:r>
      <w:r w:rsidRPr="00AB18D9">
        <w:rPr>
          <w:lang w:val="hy-AM"/>
        </w:rPr>
        <w:softHyphen/>
        <w:t>վարող սուբյեկտների համար առավել նպաստավոր հարկային միջավայրի ձևավորումը և ազգա</w:t>
      </w:r>
      <w:r w:rsidRPr="00AB18D9">
        <w:rPr>
          <w:lang w:val="hy-AM"/>
        </w:rPr>
        <w:softHyphen/>
        <w:t>յին տնտեսության մրցունակության բարձրացումն է:</w:t>
      </w:r>
    </w:p>
    <w:p w14:paraId="6AFFC253" w14:textId="77777777" w:rsidR="00957A78" w:rsidRPr="00AB18D9" w:rsidRDefault="00957A78" w:rsidP="00C0795E">
      <w:pPr>
        <w:pStyle w:val="BodyText1"/>
        <w:ind w:left="0"/>
        <w:rPr>
          <w:lang w:val="hy-AM"/>
        </w:rPr>
      </w:pPr>
      <w:r w:rsidRPr="00AB18D9">
        <w:rPr>
          <w:lang w:val="hy-AM"/>
        </w:rPr>
        <w:t>Վերոնշյալ հարկային արտոնությունների կիրառության հետևանքով առաջացող` հար</w:t>
      </w:r>
      <w:r w:rsidRPr="00AB18D9">
        <w:rPr>
          <w:lang w:val="hy-AM"/>
        </w:rPr>
        <w:softHyphen/>
        <w:t>կա</w:t>
      </w:r>
      <w:r w:rsidRPr="00AB18D9">
        <w:rPr>
          <w:lang w:val="hy-AM"/>
        </w:rPr>
        <w:softHyphen/>
        <w:t>յին եկամուտների կորստի` հարկային ծախսերի գնահատման հաշվետվությունների կազ</w:t>
      </w:r>
      <w:r w:rsidRPr="00AB18D9">
        <w:rPr>
          <w:lang w:val="hy-AM"/>
        </w:rPr>
        <w:softHyphen/>
        <w:t>մումը, ներկայացումը և գոր</w:t>
      </w:r>
      <w:r w:rsidRPr="00AB18D9">
        <w:rPr>
          <w:lang w:val="hy-AM"/>
        </w:rPr>
        <w:softHyphen/>
        <w:t>ծադիր ու օրենսդիր իշխանության մարմիններում դրանց քննար</w:t>
      </w:r>
      <w:r w:rsidRPr="00AB18D9">
        <w:rPr>
          <w:lang w:val="hy-AM"/>
        </w:rPr>
        <w:softHyphen/>
        <w:t>կումը կարևոր քայլ է հար</w:t>
      </w:r>
      <w:r w:rsidRPr="00AB18D9">
        <w:rPr>
          <w:lang w:val="hy-AM"/>
        </w:rPr>
        <w:softHyphen/>
        <w:t>կային արտոնությունների շրջանակի հնարավոր վերանայման քաղաքականության իրա</w:t>
      </w:r>
      <w:r w:rsidRPr="00AB18D9">
        <w:rPr>
          <w:lang w:val="hy-AM"/>
        </w:rPr>
        <w:softHyphen/>
        <w:t>կանացման ճանապարհին:</w:t>
      </w:r>
    </w:p>
    <w:p w14:paraId="70CED8BE" w14:textId="77777777" w:rsidR="00957A78" w:rsidRPr="00AB18D9" w:rsidRDefault="00957A78" w:rsidP="00C0795E">
      <w:pPr>
        <w:pStyle w:val="BodyText1"/>
        <w:ind w:left="0"/>
        <w:rPr>
          <w:lang w:val="hy-AM"/>
        </w:rPr>
      </w:pPr>
      <w:r w:rsidRPr="00AB18D9">
        <w:rPr>
          <w:lang w:val="hy-AM"/>
        </w:rPr>
        <w:t>Այս իմաստով, առաջիկա տարիներին հարկային ծախսերի նման գնահատականները հիմք են հանդիսանալու հարկային արտոնությունների շրջանակի վերանայման, հարկման բազայի ընդլայնման ու ամրապնդման քաղաքականություն իրականացնելու համար, ինչը հնա</w:t>
      </w:r>
      <w:r w:rsidRPr="00AB18D9">
        <w:rPr>
          <w:lang w:val="hy-AM"/>
        </w:rPr>
        <w:softHyphen/>
        <w:t>րավորություն կընձեռի աստի</w:t>
      </w:r>
      <w:r w:rsidRPr="00AB18D9">
        <w:rPr>
          <w:lang w:val="hy-AM"/>
        </w:rPr>
        <w:softHyphen/>
        <w:t>ճանաբար բարե</w:t>
      </w:r>
      <w:r w:rsidRPr="00AB18D9">
        <w:rPr>
          <w:lang w:val="hy-AM"/>
        </w:rPr>
        <w:softHyphen/>
        <w:t>լավել հարկեր/ՀՆԱ հարաբերակցությունը և ամրապնդել հարկման հորի</w:t>
      </w:r>
      <w:r w:rsidRPr="00AB18D9">
        <w:rPr>
          <w:lang w:val="hy-AM"/>
        </w:rPr>
        <w:softHyphen/>
        <w:t>զո</w:t>
      </w:r>
      <w:r w:rsidRPr="00AB18D9">
        <w:rPr>
          <w:lang w:val="hy-AM"/>
        </w:rPr>
        <w:softHyphen/>
        <w:t>նա</w:t>
      </w:r>
      <w:r w:rsidRPr="00AB18D9">
        <w:rPr>
          <w:lang w:val="hy-AM"/>
        </w:rPr>
        <w:softHyphen/>
        <w:t>կան արդա</w:t>
      </w:r>
      <w:r w:rsidRPr="00AB18D9">
        <w:rPr>
          <w:lang w:val="hy-AM"/>
        </w:rPr>
        <w:softHyphen/>
        <w:t>րության սկզբունքը: Հարկային քաղաքակա</w:t>
      </w:r>
      <w:r w:rsidRPr="00AB18D9">
        <w:rPr>
          <w:lang w:val="hy-AM"/>
        </w:rPr>
        <w:softHyphen/>
        <w:t>նու</w:t>
      </w:r>
      <w:r w:rsidRPr="00AB18D9">
        <w:rPr>
          <w:lang w:val="hy-AM"/>
        </w:rPr>
        <w:softHyphen/>
        <w:t>թյան այս ուղղության նպա</w:t>
      </w:r>
      <w:r w:rsidRPr="00AB18D9">
        <w:rPr>
          <w:lang w:val="hy-AM"/>
        </w:rPr>
        <w:softHyphen/>
        <w:t>տակը, ըստ էության, հարկման ոլոր</w:t>
      </w:r>
      <w:r w:rsidRPr="00AB18D9">
        <w:rPr>
          <w:lang w:val="hy-AM"/>
        </w:rPr>
        <w:softHyphen/>
        <w:t>տում խտրա</w:t>
      </w:r>
      <w:r w:rsidRPr="00AB18D9">
        <w:rPr>
          <w:lang w:val="hy-AM"/>
        </w:rPr>
        <w:softHyphen/>
        <w:t>կանությունը նվա</w:t>
      </w:r>
      <w:r w:rsidRPr="00AB18D9">
        <w:rPr>
          <w:lang w:val="hy-AM"/>
        </w:rPr>
        <w:softHyphen/>
        <w:t>զագույնի հասցնելը և պետա</w:t>
      </w:r>
      <w:r w:rsidRPr="00AB18D9">
        <w:rPr>
          <w:lang w:val="hy-AM"/>
        </w:rPr>
        <w:softHyphen/>
      </w:r>
      <w:r w:rsidRPr="00AB18D9">
        <w:rPr>
          <w:lang w:val="hy-AM"/>
        </w:rPr>
        <w:softHyphen/>
        <w:t>կան բյուջեի հարկային եկա</w:t>
      </w:r>
      <w:r w:rsidRPr="00AB18D9">
        <w:rPr>
          <w:lang w:val="hy-AM"/>
        </w:rPr>
        <w:softHyphen/>
        <w:t>մուտ</w:t>
      </w:r>
      <w:r w:rsidRPr="00AB18D9">
        <w:rPr>
          <w:lang w:val="hy-AM"/>
        </w:rPr>
        <w:softHyphen/>
        <w:t>ների արդարացի վերաբաշխում ապա</w:t>
      </w:r>
      <w:r w:rsidRPr="00AB18D9">
        <w:rPr>
          <w:lang w:val="hy-AM"/>
        </w:rPr>
        <w:softHyphen/>
        <w:t>հովելն է:</w:t>
      </w:r>
    </w:p>
    <w:p w14:paraId="4A5DF51F" w14:textId="77777777" w:rsidR="00957A78" w:rsidRPr="00AB18D9" w:rsidRDefault="00957A78" w:rsidP="00C0795E">
      <w:pPr>
        <w:pStyle w:val="BodyText1"/>
        <w:ind w:left="0"/>
        <w:rPr>
          <w:lang w:val="hy-AM"/>
        </w:rPr>
      </w:pPr>
      <w:r w:rsidRPr="00AB18D9">
        <w:rPr>
          <w:lang w:val="hy-AM"/>
        </w:rPr>
        <w:t>Միաժամանակ, ակնհայտ է, որ գործող արտո</w:t>
      </w:r>
      <w:r w:rsidRPr="00AB18D9">
        <w:rPr>
          <w:lang w:val="hy-AM"/>
        </w:rPr>
        <w:softHyphen/>
        <w:t>նությունների շրջանակի վերանայումը կնշա</w:t>
      </w:r>
      <w:r w:rsidRPr="00AB18D9">
        <w:rPr>
          <w:lang w:val="hy-AM"/>
        </w:rPr>
        <w:softHyphen/>
        <w:t>նակի կտրուկ փոփոխել այդ արտոնություններից օգտ</w:t>
      </w:r>
      <w:r w:rsidRPr="00AB18D9">
        <w:rPr>
          <w:lang w:val="hy-AM"/>
        </w:rPr>
        <w:softHyphen/>
        <w:t>վող</w:t>
      </w:r>
      <w:r w:rsidRPr="00AB18D9">
        <w:rPr>
          <w:lang w:val="hy-AM"/>
        </w:rPr>
        <w:softHyphen/>
        <w:t>ների ձեռնարկատիրական ու տնտե</w:t>
      </w:r>
      <w:r w:rsidRPr="00AB18D9">
        <w:rPr>
          <w:lang w:val="hy-AM"/>
        </w:rPr>
        <w:softHyphen/>
        <w:t>սա</w:t>
      </w:r>
      <w:r w:rsidRPr="00AB18D9">
        <w:rPr>
          <w:lang w:val="hy-AM"/>
        </w:rPr>
        <w:softHyphen/>
        <w:t>կան գործունեության պայմանները և ազգային տնտեսության ներդրումային միջա</w:t>
      </w:r>
      <w:r w:rsidRPr="00AB18D9">
        <w:rPr>
          <w:lang w:val="hy-AM"/>
        </w:rPr>
        <w:softHyphen/>
        <w:t>վայրն ընդ</w:t>
      </w:r>
      <w:r w:rsidRPr="00AB18D9">
        <w:rPr>
          <w:lang w:val="hy-AM"/>
        </w:rPr>
        <w:softHyphen/>
        <w:t>հանրապես: Այս առումով, հարկային արտո</w:t>
      </w:r>
      <w:r w:rsidRPr="00AB18D9">
        <w:rPr>
          <w:lang w:val="hy-AM"/>
        </w:rPr>
        <w:softHyphen/>
        <w:t>նու</w:t>
      </w:r>
      <w:r w:rsidRPr="00AB18D9">
        <w:rPr>
          <w:lang w:val="hy-AM"/>
        </w:rPr>
        <w:softHyphen/>
        <w:t>թյուն</w:t>
      </w:r>
      <w:r w:rsidRPr="00AB18D9">
        <w:rPr>
          <w:lang w:val="hy-AM"/>
        </w:rPr>
        <w:softHyphen/>
        <w:t>ների շրջանակի վերանայումը պետք է իրա</w:t>
      </w:r>
      <w:r w:rsidRPr="00AB18D9">
        <w:rPr>
          <w:lang w:val="hy-AM"/>
        </w:rPr>
        <w:softHyphen/>
        <w:t>կանացվի բավարար զգուշավորությամբ` խուսա</w:t>
      </w:r>
      <w:r w:rsidRPr="00AB18D9">
        <w:rPr>
          <w:lang w:val="hy-AM"/>
        </w:rPr>
        <w:softHyphen/>
        <w:t>փելու համար հնարավոր ցնցում</w:t>
      </w:r>
      <w:r w:rsidRPr="00AB18D9">
        <w:rPr>
          <w:lang w:val="hy-AM"/>
        </w:rPr>
        <w:softHyphen/>
        <w:t>ներից ու տնտեսության վրա բացասական հետևանք</w:t>
      </w:r>
      <w:r w:rsidRPr="00AB18D9">
        <w:rPr>
          <w:lang w:val="hy-AM"/>
        </w:rPr>
        <w:softHyphen/>
        <w:t>նե</w:t>
      </w:r>
      <w:r w:rsidRPr="00AB18D9">
        <w:rPr>
          <w:lang w:val="hy-AM"/>
        </w:rPr>
        <w:softHyphen/>
        <w:t>րից, և հետևողականությամբ, քանի որ հարկային արտոնությունների շրջանակի վերանայումը լրացուցիչ ռեսուրսներ կենտ</w:t>
      </w:r>
      <w:r w:rsidRPr="00AB18D9">
        <w:rPr>
          <w:lang w:val="hy-AM"/>
        </w:rPr>
        <w:softHyphen/>
        <w:t>րոնացնելու և դրանք տնտեսության հետագա զարգացմանն ուղղելու հնարավորություն կընձեռի: Մասնավորապես, նախքան հարկային արտոնությունների կրճատումը պետք է ման</w:t>
      </w:r>
      <w:r w:rsidRPr="00AB18D9">
        <w:rPr>
          <w:lang w:val="hy-AM"/>
        </w:rPr>
        <w:softHyphen/>
        <w:t>րա</w:t>
      </w:r>
      <w:r w:rsidRPr="00AB18D9">
        <w:rPr>
          <w:lang w:val="hy-AM"/>
        </w:rPr>
        <w:softHyphen/>
        <w:t>մասն ուսումնասիրվեն գործող հարկային արտո</w:t>
      </w:r>
      <w:r w:rsidRPr="00AB18D9">
        <w:rPr>
          <w:lang w:val="hy-AM"/>
        </w:rPr>
        <w:softHyphen/>
        <w:t>նությունների կիրառության բոլոր դրա</w:t>
      </w:r>
      <w:r w:rsidRPr="00AB18D9">
        <w:rPr>
          <w:lang w:val="hy-AM"/>
        </w:rPr>
        <w:softHyphen/>
        <w:t>կան ու բացասական կողմերը, այդ թվում` ինչ</w:t>
      </w:r>
      <w:r w:rsidRPr="00AB18D9">
        <w:rPr>
          <w:lang w:val="hy-AM"/>
        </w:rPr>
        <w:softHyphen/>
        <w:t>պես պետության, այնպես էլ այդ արտո</w:t>
      </w:r>
      <w:r w:rsidRPr="00AB18D9">
        <w:rPr>
          <w:lang w:val="hy-AM"/>
        </w:rPr>
        <w:softHyphen/>
        <w:t>նու</w:t>
      </w:r>
      <w:r w:rsidRPr="00AB18D9">
        <w:rPr>
          <w:lang w:val="hy-AM"/>
        </w:rPr>
        <w:softHyphen/>
        <w:t>թյուն</w:t>
      </w:r>
      <w:r w:rsidRPr="00AB18D9">
        <w:rPr>
          <w:lang w:val="hy-AM"/>
        </w:rPr>
        <w:softHyphen/>
        <w:t>ներից օգտվողների տեսանկյունից, համադր</w:t>
      </w:r>
      <w:r w:rsidRPr="00AB18D9">
        <w:rPr>
          <w:lang w:val="hy-AM"/>
        </w:rPr>
        <w:softHyphen/>
        <w:t>վեն արտոնությունների կիրառության օգուտ</w:t>
      </w:r>
      <w:r w:rsidRPr="00AB18D9">
        <w:rPr>
          <w:lang w:val="hy-AM"/>
        </w:rPr>
        <w:softHyphen/>
        <w:t>ներն ու վնասները, բացահայտվեն արտոնու</w:t>
      </w:r>
      <w:r w:rsidRPr="00AB18D9">
        <w:rPr>
          <w:lang w:val="hy-AM"/>
        </w:rPr>
        <w:softHyphen/>
        <w:t>թյուն</w:t>
      </w:r>
      <w:r w:rsidRPr="00AB18D9">
        <w:rPr>
          <w:lang w:val="hy-AM"/>
        </w:rPr>
        <w:softHyphen/>
        <w:t>ների վերանայման հնարավոր ազդե</w:t>
      </w:r>
      <w:r w:rsidRPr="00AB18D9">
        <w:rPr>
          <w:lang w:val="hy-AM"/>
        </w:rPr>
        <w:softHyphen/>
        <w:t>ցու</w:t>
      </w:r>
      <w:r w:rsidRPr="00AB18D9">
        <w:rPr>
          <w:lang w:val="hy-AM"/>
        </w:rPr>
        <w:softHyphen/>
        <w:t>թյունները պետական բյուջեի հարկային եկա</w:t>
      </w:r>
      <w:r w:rsidRPr="00AB18D9">
        <w:rPr>
          <w:lang w:val="hy-AM"/>
        </w:rPr>
        <w:softHyphen/>
        <w:t>մուտ</w:t>
      </w:r>
      <w:r w:rsidRPr="00AB18D9">
        <w:rPr>
          <w:lang w:val="hy-AM"/>
        </w:rPr>
        <w:softHyphen/>
        <w:t>ների, ազգային տնտեսության տնտե</w:t>
      </w:r>
      <w:r w:rsidRPr="00AB18D9">
        <w:rPr>
          <w:lang w:val="hy-AM"/>
        </w:rPr>
        <w:softHyphen/>
        <w:t>սա</w:t>
      </w:r>
      <w:r w:rsidRPr="00AB18D9">
        <w:rPr>
          <w:lang w:val="hy-AM"/>
        </w:rPr>
        <w:softHyphen/>
        <w:t>կան ակտիվության, գործարար ու ներդրու</w:t>
      </w:r>
      <w:r w:rsidRPr="00AB18D9">
        <w:rPr>
          <w:lang w:val="hy-AM"/>
        </w:rPr>
        <w:softHyphen/>
        <w:t>մա</w:t>
      </w:r>
      <w:r w:rsidRPr="00AB18D9">
        <w:rPr>
          <w:lang w:val="hy-AM"/>
        </w:rPr>
        <w:softHyphen/>
        <w:t>յին գրավչության, երկրի սոցիալ-տնտե</w:t>
      </w:r>
      <w:r w:rsidRPr="00AB18D9">
        <w:rPr>
          <w:lang w:val="hy-AM"/>
        </w:rPr>
        <w:softHyphen/>
        <w:t>սա</w:t>
      </w:r>
      <w:r w:rsidRPr="00AB18D9">
        <w:rPr>
          <w:lang w:val="hy-AM"/>
        </w:rPr>
        <w:softHyphen/>
        <w:t>կան վիճակի, տնտեսական մրցակցության, գնա</w:t>
      </w:r>
      <w:r w:rsidRPr="00AB18D9">
        <w:rPr>
          <w:lang w:val="hy-AM"/>
        </w:rPr>
        <w:softHyphen/>
        <w:t>ճա</w:t>
      </w:r>
      <w:r w:rsidRPr="00AB18D9">
        <w:rPr>
          <w:lang w:val="hy-AM"/>
        </w:rPr>
        <w:softHyphen/>
        <w:t>յին ճնշումների և այլ կարևոր ցուցա</w:t>
      </w:r>
      <w:r w:rsidRPr="00AB18D9">
        <w:rPr>
          <w:lang w:val="hy-AM"/>
        </w:rPr>
        <w:softHyphen/>
        <w:t>նիշ</w:t>
      </w:r>
      <w:r w:rsidRPr="00AB18D9">
        <w:rPr>
          <w:lang w:val="hy-AM"/>
        </w:rPr>
        <w:softHyphen/>
        <w:t>ների վրա: Վերոնշյալը նաև նշանակում է, որ առա</w:t>
      </w:r>
      <w:r w:rsidRPr="00AB18D9">
        <w:rPr>
          <w:lang w:val="hy-AM"/>
        </w:rPr>
        <w:softHyphen/>
        <w:t>ջիկա տարիներին հարկային քաղա</w:t>
      </w:r>
      <w:r w:rsidRPr="00AB18D9">
        <w:rPr>
          <w:lang w:val="hy-AM"/>
        </w:rPr>
        <w:softHyphen/>
        <w:t>քակա</w:t>
      </w:r>
      <w:r w:rsidRPr="00AB18D9">
        <w:rPr>
          <w:lang w:val="hy-AM"/>
        </w:rPr>
        <w:softHyphen/>
        <w:t>նու</w:t>
      </w:r>
      <w:r w:rsidRPr="00AB18D9">
        <w:rPr>
          <w:lang w:val="hy-AM"/>
        </w:rPr>
        <w:softHyphen/>
        <w:t>թյան շրջանակներում շեշտադրումը կատար</w:t>
      </w:r>
      <w:r w:rsidRPr="00AB18D9">
        <w:rPr>
          <w:lang w:val="hy-AM"/>
        </w:rPr>
        <w:softHyphen/>
        <w:t>վելու է հատ</w:t>
      </w:r>
      <w:r w:rsidRPr="00AB18D9">
        <w:rPr>
          <w:lang w:val="hy-AM"/>
        </w:rPr>
        <w:softHyphen/>
        <w:t>կապես այն արտո</w:t>
      </w:r>
      <w:r w:rsidRPr="00AB18D9">
        <w:rPr>
          <w:lang w:val="hy-AM"/>
        </w:rPr>
        <w:softHyphen/>
        <w:t>նու</w:t>
      </w:r>
      <w:r w:rsidRPr="00AB18D9">
        <w:rPr>
          <w:lang w:val="hy-AM"/>
        </w:rPr>
        <w:softHyphen/>
        <w:t>թյունների վերանայման վրա, որոնց ազդեցությունն ազգա</w:t>
      </w:r>
      <w:r w:rsidRPr="00AB18D9">
        <w:rPr>
          <w:lang w:val="hy-AM"/>
        </w:rPr>
        <w:softHyphen/>
        <w:t>յին տնտե</w:t>
      </w:r>
      <w:r w:rsidRPr="00AB18D9">
        <w:rPr>
          <w:lang w:val="hy-AM"/>
        </w:rPr>
        <w:softHyphen/>
        <w:t>սության զարգաց</w:t>
      </w:r>
      <w:r w:rsidRPr="00AB18D9">
        <w:rPr>
          <w:lang w:val="hy-AM"/>
        </w:rPr>
        <w:softHyphen/>
        <w:t>ման տեսանկյունից գնահատվում է ցածր և որոնց կիրա</w:t>
      </w:r>
      <w:r w:rsidRPr="00AB18D9">
        <w:rPr>
          <w:lang w:val="hy-AM"/>
        </w:rPr>
        <w:softHyphen/>
        <w:t>ռու</w:t>
      </w:r>
      <w:r w:rsidRPr="00AB18D9">
        <w:rPr>
          <w:lang w:val="hy-AM"/>
        </w:rPr>
        <w:softHyphen/>
        <w:t>թյան նպա</w:t>
      </w:r>
      <w:r w:rsidRPr="00AB18D9">
        <w:rPr>
          <w:lang w:val="hy-AM"/>
        </w:rPr>
        <w:softHyphen/>
        <w:t>տակահարմարությունը չի հիմնավորվում «ծախսեր-օգուտներ» վերլու</w:t>
      </w:r>
      <w:r w:rsidRPr="00AB18D9">
        <w:rPr>
          <w:lang w:val="hy-AM"/>
        </w:rPr>
        <w:softHyphen/>
        <w:t>ծու</w:t>
      </w:r>
      <w:r w:rsidRPr="00AB18D9">
        <w:rPr>
          <w:lang w:val="hy-AM"/>
        </w:rPr>
        <w:softHyphen/>
        <w:t>թյուն</w:t>
      </w:r>
      <w:r w:rsidRPr="00AB18D9">
        <w:rPr>
          <w:lang w:val="hy-AM"/>
        </w:rPr>
        <w:softHyphen/>
        <w:t>ների արդ</w:t>
      </w:r>
      <w:r w:rsidRPr="00AB18D9">
        <w:rPr>
          <w:lang w:val="hy-AM"/>
        </w:rPr>
        <w:softHyphen/>
        <w:t>յունքներով: Այսինքն, բոլոր այն հարկային արտոնությունները, որոնց կիրառու</w:t>
      </w:r>
      <w:r w:rsidRPr="00AB18D9">
        <w:rPr>
          <w:lang w:val="hy-AM"/>
        </w:rPr>
        <w:softHyphen/>
        <w:t>թյան արդ</w:t>
      </w:r>
      <w:r w:rsidRPr="00AB18D9">
        <w:rPr>
          <w:lang w:val="hy-AM"/>
        </w:rPr>
        <w:softHyphen/>
        <w:t>յունքում սպառողների ու տնտե</w:t>
      </w:r>
      <w:r w:rsidRPr="00AB18D9">
        <w:rPr>
          <w:lang w:val="hy-AM"/>
        </w:rPr>
        <w:softHyphen/>
        <w:t>սա</w:t>
      </w:r>
      <w:r w:rsidRPr="00AB18D9">
        <w:rPr>
          <w:lang w:val="hy-AM"/>
        </w:rPr>
        <w:softHyphen/>
        <w:t>վարող սուբյեկտների համար ստեղծվող «օգուտ</w:t>
      </w:r>
      <w:r w:rsidRPr="00AB18D9">
        <w:rPr>
          <w:lang w:val="hy-AM"/>
        </w:rPr>
        <w:softHyphen/>
        <w:t>ները» համարժեք չեն պետության կրած «ծախ</w:t>
      </w:r>
      <w:r w:rsidRPr="00AB18D9">
        <w:rPr>
          <w:lang w:val="hy-AM"/>
        </w:rPr>
        <w:softHyphen/>
        <w:t>սերին» (պետության կորցրած հարկային եկա</w:t>
      </w:r>
      <w:r w:rsidRPr="00AB18D9">
        <w:rPr>
          <w:lang w:val="hy-AM"/>
        </w:rPr>
        <w:softHyphen/>
        <w:t>մուտ</w:t>
      </w:r>
      <w:r w:rsidRPr="00AB18D9">
        <w:rPr>
          <w:lang w:val="hy-AM"/>
        </w:rPr>
        <w:softHyphen/>
      </w:r>
      <w:r w:rsidRPr="00AB18D9">
        <w:rPr>
          <w:lang w:val="hy-AM"/>
        </w:rPr>
        <w:softHyphen/>
        <w:t>նե</w:t>
      </w:r>
      <w:r w:rsidRPr="00AB18D9">
        <w:rPr>
          <w:lang w:val="hy-AM"/>
        </w:rPr>
        <w:softHyphen/>
        <w:t>րին), պետք է աստիճանաբար կրճատ</w:t>
      </w:r>
      <w:r w:rsidRPr="00AB18D9">
        <w:rPr>
          <w:lang w:val="hy-AM"/>
        </w:rPr>
        <w:softHyphen/>
        <w:t>վեն: Քաղաքականության այսպիսի մոտեցումը հիմ</w:t>
      </w:r>
      <w:r w:rsidRPr="00AB18D9">
        <w:rPr>
          <w:lang w:val="hy-AM"/>
        </w:rPr>
        <w:softHyphen/>
      </w:r>
      <w:r w:rsidRPr="00AB18D9">
        <w:rPr>
          <w:lang w:val="hy-AM"/>
        </w:rPr>
        <w:softHyphen/>
        <w:t>նա</w:t>
      </w:r>
      <w:r w:rsidRPr="00AB18D9">
        <w:rPr>
          <w:lang w:val="hy-AM"/>
        </w:rPr>
        <w:softHyphen/>
        <w:t>վորվում է ֆինանսական ռեսուրս</w:t>
      </w:r>
      <w:r w:rsidRPr="00AB18D9">
        <w:rPr>
          <w:lang w:val="hy-AM"/>
        </w:rPr>
        <w:softHyphen/>
        <w:t>ներ կենտրոնացնելու՝ պետության սահմանափակ ներուժն առավել արդյունավետ և առա</w:t>
      </w:r>
      <w:r w:rsidRPr="00AB18D9">
        <w:rPr>
          <w:lang w:val="hy-AM"/>
        </w:rPr>
        <w:softHyphen/>
        <w:t>վել հասցեական ձևով օգտագործելու նպատակա</w:t>
      </w:r>
      <w:r w:rsidRPr="00AB18D9">
        <w:rPr>
          <w:lang w:val="hy-AM"/>
        </w:rPr>
        <w:softHyphen/>
        <w:t>դրու</w:t>
      </w:r>
      <w:r w:rsidRPr="00AB18D9">
        <w:rPr>
          <w:lang w:val="hy-AM"/>
        </w:rPr>
        <w:softHyphen/>
      </w:r>
      <w:r w:rsidRPr="00AB18D9">
        <w:rPr>
          <w:lang w:val="hy-AM"/>
        </w:rPr>
        <w:softHyphen/>
        <w:t>մով, քանի որ հարկային արտո</w:t>
      </w:r>
      <w:r w:rsidRPr="00AB18D9">
        <w:rPr>
          <w:lang w:val="hy-AM"/>
        </w:rPr>
        <w:softHyphen/>
        <w:t>նու</w:t>
      </w:r>
      <w:r w:rsidRPr="00AB18D9">
        <w:rPr>
          <w:lang w:val="hy-AM"/>
        </w:rPr>
        <w:softHyphen/>
        <w:t>թյունների տրամադրմամբ, պետությունը, ըստ էութ</w:t>
      </w:r>
      <w:r w:rsidRPr="00AB18D9">
        <w:rPr>
          <w:lang w:val="hy-AM"/>
        </w:rPr>
        <w:softHyphen/>
        <w:t>յան, զրկվում է լրացուցիչ հարկային եկա</w:t>
      </w:r>
      <w:r w:rsidRPr="00AB18D9">
        <w:rPr>
          <w:lang w:val="hy-AM"/>
        </w:rPr>
        <w:softHyphen/>
        <w:t>մուտներ հավաքագրելու և զարգացման, սոցիա</w:t>
      </w:r>
      <w:r w:rsidRPr="00AB18D9">
        <w:rPr>
          <w:lang w:val="hy-AM"/>
        </w:rPr>
        <w:softHyphen/>
        <w:t>լա</w:t>
      </w:r>
      <w:r w:rsidRPr="00AB18D9">
        <w:rPr>
          <w:lang w:val="hy-AM"/>
        </w:rPr>
        <w:softHyphen/>
        <w:t>կան, բնապահպանական, առողջա</w:t>
      </w:r>
      <w:r w:rsidRPr="00AB18D9">
        <w:rPr>
          <w:lang w:val="hy-AM"/>
        </w:rPr>
        <w:softHyphen/>
        <w:t>պա</w:t>
      </w:r>
      <w:r w:rsidRPr="00AB18D9">
        <w:rPr>
          <w:lang w:val="hy-AM"/>
        </w:rPr>
        <w:softHyphen/>
        <w:t>հական կամ այլ հանրօգուտ նպատակներով լրա</w:t>
      </w:r>
      <w:r w:rsidRPr="00AB18D9">
        <w:rPr>
          <w:lang w:val="hy-AM"/>
        </w:rPr>
        <w:softHyphen/>
        <w:t>ցու</w:t>
      </w:r>
      <w:r w:rsidRPr="00AB18D9">
        <w:rPr>
          <w:lang w:val="hy-AM"/>
        </w:rPr>
        <w:softHyphen/>
        <w:t>ցիչ ծրագրեր իրականացնելու հնա</w:t>
      </w:r>
      <w:r w:rsidRPr="00AB18D9">
        <w:rPr>
          <w:lang w:val="hy-AM"/>
        </w:rPr>
        <w:softHyphen/>
        <w:t>րա</w:t>
      </w:r>
      <w:r w:rsidRPr="00AB18D9">
        <w:rPr>
          <w:lang w:val="hy-AM"/>
        </w:rPr>
        <w:softHyphen/>
        <w:t>վորություններից: Արդ</w:t>
      </w:r>
      <w:r w:rsidRPr="00AB18D9">
        <w:rPr>
          <w:lang w:val="hy-AM"/>
        </w:rPr>
        <w:softHyphen/>
        <w:t>յուն</w:t>
      </w:r>
      <w:r w:rsidRPr="00AB18D9">
        <w:rPr>
          <w:lang w:val="hy-AM"/>
        </w:rPr>
        <w:softHyphen/>
        <w:t>քում պետության կարևորա</w:t>
      </w:r>
      <w:r w:rsidRPr="00AB18D9">
        <w:rPr>
          <w:lang w:val="hy-AM"/>
        </w:rPr>
        <w:softHyphen/>
        <w:t>գույն գործառույթներից մեկը՝ եկա</w:t>
      </w:r>
      <w:r w:rsidRPr="00AB18D9">
        <w:rPr>
          <w:lang w:val="hy-AM"/>
        </w:rPr>
        <w:softHyphen/>
        <w:t>մուտ</w:t>
      </w:r>
      <w:r w:rsidRPr="00AB18D9">
        <w:rPr>
          <w:lang w:val="hy-AM"/>
        </w:rPr>
        <w:softHyphen/>
        <w:t>ների վերաբաշխ</w:t>
      </w:r>
      <w:r w:rsidRPr="00AB18D9">
        <w:rPr>
          <w:lang w:val="hy-AM"/>
        </w:rPr>
        <w:softHyphen/>
        <w:t>ման գոր</w:t>
      </w:r>
      <w:r w:rsidRPr="00AB18D9">
        <w:rPr>
          <w:lang w:val="hy-AM"/>
        </w:rPr>
        <w:softHyphen/>
        <w:t>ծառույթը, ամբողջությամբ և հասցեական ձևով չի իրակա</w:t>
      </w:r>
      <w:r w:rsidRPr="00AB18D9">
        <w:rPr>
          <w:lang w:val="hy-AM"/>
        </w:rPr>
        <w:softHyphen/>
        <w:t>նաց</w:t>
      </w:r>
      <w:r w:rsidRPr="00AB18D9">
        <w:rPr>
          <w:lang w:val="hy-AM"/>
        </w:rPr>
        <w:softHyphen/>
        <w:t>վում:</w:t>
      </w:r>
    </w:p>
    <w:p w14:paraId="11918918" w14:textId="77777777" w:rsidR="00957A78" w:rsidRPr="00AB18D9" w:rsidRDefault="00957A78" w:rsidP="00C0795E">
      <w:pPr>
        <w:pStyle w:val="TOC4"/>
        <w:rPr>
          <w:lang w:val="hy-AM"/>
        </w:rPr>
      </w:pPr>
      <w:r w:rsidRPr="00AB18D9">
        <w:rPr>
          <w:lang w:val="hy-AM"/>
        </w:rPr>
        <w:t>ՀԱՐԿԱՅԻՆ ԾԱԽՍԵՐԻ ԳՆԱՀԱՏԱԿԱՆՆԵՐԸ ԸՍՏ ՀԱՐԿԱՏԵՍԱԿՆԵՐԻ ՈՒ ԱՐՏՈՆՈՒԹՅՈՒՆՆԵՐԻ ՀԻՄՆԱԿԱՆ ՏԵՍԱԿՆԵՐԻ</w:t>
      </w:r>
    </w:p>
    <w:p w14:paraId="1745279A" w14:textId="77777777" w:rsidR="00957A78" w:rsidRPr="00AB18D9" w:rsidRDefault="00957A78" w:rsidP="00C0795E">
      <w:pPr>
        <w:pStyle w:val="BodyText1"/>
        <w:ind w:left="0"/>
        <w:rPr>
          <w:lang w:val="hy-AM"/>
        </w:rPr>
      </w:pPr>
      <w:r w:rsidRPr="00AB18D9">
        <w:rPr>
          <w:lang w:val="hy-AM"/>
        </w:rPr>
        <w:t>Սույն հաշվետվությամբ ներկայացված է հարկային արտոնությունների հետևանքով պետա</w:t>
      </w:r>
      <w:r w:rsidRPr="00AB18D9">
        <w:rPr>
          <w:lang w:val="hy-AM"/>
        </w:rPr>
        <w:softHyphen/>
        <w:t>կան բյուջե չգանձվող (պակաս գանձվող) հարկային եկամուտների մակրոտնտե</w:t>
      </w:r>
      <w:r w:rsidRPr="00AB18D9">
        <w:rPr>
          <w:lang w:val="hy-AM"/>
        </w:rPr>
        <w:softHyphen/>
        <w:t>սա</w:t>
      </w:r>
      <w:r w:rsidRPr="00AB18D9">
        <w:rPr>
          <w:lang w:val="hy-AM"/>
        </w:rPr>
        <w:softHyphen/>
        <w:t>կան գնահատականը՝ տնտեսության այն ոլորտների մասով, որոնք օգտվում են հարկային արտո</w:t>
      </w:r>
      <w:r w:rsidRPr="00AB18D9">
        <w:rPr>
          <w:lang w:val="hy-AM"/>
        </w:rPr>
        <w:softHyphen/>
        <w:t>նություններից:  Միաժամանակ, գնահատվել են մի քանի այլ հարկային արտո</w:t>
      </w:r>
      <w:r w:rsidRPr="00AB18D9">
        <w:rPr>
          <w:lang w:val="hy-AM"/>
        </w:rPr>
        <w:softHyphen/>
        <w:t>նու</w:t>
      </w:r>
      <w:r w:rsidRPr="00AB18D9">
        <w:rPr>
          <w:lang w:val="hy-AM"/>
        </w:rPr>
        <w:softHyphen/>
        <w:t>թյուն</w:t>
      </w:r>
      <w:r w:rsidRPr="00AB18D9">
        <w:rPr>
          <w:lang w:val="hy-AM"/>
        </w:rPr>
        <w:softHyphen/>
        <w:t>ների (ոչ ոլորտային նշանակության) կիրառության հետևանքով պետական բյուջեի հար</w:t>
      </w:r>
      <w:r w:rsidRPr="00AB18D9">
        <w:rPr>
          <w:lang w:val="hy-AM"/>
        </w:rPr>
        <w:softHyphen/>
        <w:t>կա</w:t>
      </w:r>
      <w:r w:rsidRPr="00AB18D9">
        <w:rPr>
          <w:lang w:val="hy-AM"/>
        </w:rPr>
        <w:softHyphen/>
        <w:t xml:space="preserve">յին եկամուտների կորուստները: </w:t>
      </w:r>
    </w:p>
    <w:p w14:paraId="530CF62B" w14:textId="1FFAF067" w:rsidR="00957A78" w:rsidRPr="00AB18D9" w:rsidRDefault="00957A78" w:rsidP="00C0795E">
      <w:pPr>
        <w:pStyle w:val="BodyText1"/>
        <w:ind w:left="0"/>
        <w:rPr>
          <w:lang w:val="hy-AM"/>
        </w:rPr>
      </w:pPr>
      <w:r w:rsidRPr="00AB18D9">
        <w:rPr>
          <w:lang w:val="hy-AM"/>
        </w:rPr>
        <w:t xml:space="preserve">Գնահատման արդյունքների համաձայն, հարկային ծախսերի տարեկան մեծությունը կազմել է </w:t>
      </w:r>
      <w:r w:rsidRPr="00AB18D9">
        <w:rPr>
          <w:b/>
          <w:lang w:val="hy-AM"/>
        </w:rPr>
        <w:t>802,847</w:t>
      </w:r>
      <w:r w:rsidRPr="00AB18D9">
        <w:rPr>
          <w:lang w:val="hy-AM"/>
        </w:rPr>
        <w:t xml:space="preserve"> մլն դրամ, ինչը 31,707 մլն դրամով կամ 4.1 տոկոսով ավելին է, քան նախորդ տարվա գնահատականը: Ավելացված արժեքի հարկի գծով հարկային ծախսերը գնահատվել են </w:t>
      </w:r>
      <w:r w:rsidRPr="00AB18D9">
        <w:rPr>
          <w:b/>
          <w:lang w:val="hy-AM"/>
        </w:rPr>
        <w:t>670,703</w:t>
      </w:r>
      <w:r w:rsidRPr="00AB18D9">
        <w:rPr>
          <w:lang w:val="hy-AM"/>
        </w:rPr>
        <w:t xml:space="preserve"> մլն դրամ, ինչը 95,662 մլն դրամով կամ 16.6 տոկոսով ավելին է, քան նախորդ տարվա գնահատականը: Շահութահարկի գծով հարկային ծախսերը գնահատվել են </w:t>
      </w:r>
      <w:r w:rsidRPr="00AB18D9">
        <w:rPr>
          <w:b/>
          <w:lang w:val="hy-AM"/>
        </w:rPr>
        <w:t>90,747</w:t>
      </w:r>
      <w:r w:rsidRPr="00AB18D9">
        <w:rPr>
          <w:lang w:val="hy-AM"/>
        </w:rPr>
        <w:t xml:space="preserve"> մլն դրամ, ինչը 794 մլն դրամով կամ 0.9 տոկոսով պակաս է, քան նախորդ տարվա գնահատականը: Եկամտային հարկի գծով հարկային ծախսերը գնահատվել են </w:t>
      </w:r>
      <w:r w:rsidRPr="00AB18D9">
        <w:rPr>
          <w:b/>
          <w:lang w:val="hy-AM"/>
        </w:rPr>
        <w:t>14,545</w:t>
      </w:r>
      <w:r w:rsidRPr="00AB18D9">
        <w:rPr>
          <w:lang w:val="hy-AM"/>
        </w:rPr>
        <w:t xml:space="preserve"> մլն դրամ, ինչը 99,911 մլն դրամով կամ 87.3 տոկոսով պակաս է, քան նախորդ տարվա գնահատականը: Շրջանառության հարկի գծով հարկային ծախսերը գնահատվել են </w:t>
      </w:r>
      <w:r w:rsidRPr="00AB18D9">
        <w:rPr>
          <w:b/>
          <w:lang w:val="hy-AM"/>
        </w:rPr>
        <w:t>26,852</w:t>
      </w:r>
      <w:r w:rsidRPr="00AB18D9">
        <w:rPr>
          <w:lang w:val="hy-AM"/>
        </w:rPr>
        <w:t xml:space="preserve"> մլն դրամ, ինչը նախորդ տարում չի եղել:</w:t>
      </w:r>
    </w:p>
    <w:p w14:paraId="334CA471" w14:textId="77777777" w:rsidR="00957A78" w:rsidRPr="00AB18D9" w:rsidRDefault="00957A78" w:rsidP="00C0795E">
      <w:pPr>
        <w:pStyle w:val="BodyText1"/>
        <w:ind w:left="0"/>
        <w:rPr>
          <w:b/>
          <w:lang w:val="hy-AM"/>
        </w:rPr>
      </w:pPr>
      <w:r w:rsidRPr="00AB18D9">
        <w:rPr>
          <w:b/>
          <w:lang w:val="hy-AM"/>
        </w:rPr>
        <w:t>ԱԱՀ-ի գծով հարկային ծախսերը</w:t>
      </w:r>
    </w:p>
    <w:p w14:paraId="1E4D4E35" w14:textId="77777777" w:rsidR="00957A78" w:rsidRPr="00AB18D9" w:rsidRDefault="00957A78" w:rsidP="00C0795E">
      <w:pPr>
        <w:pStyle w:val="BodyText1"/>
        <w:ind w:left="0"/>
        <w:rPr>
          <w:lang w:val="hy-AM"/>
        </w:rPr>
      </w:pPr>
      <w:r w:rsidRPr="00AB18D9">
        <w:rPr>
          <w:lang w:val="hy-AM"/>
        </w:rPr>
        <w:t>Ավելացված արժեքի հարկի գծով հարկային ծախսերի մեծությունը տնտեսության տար</w:t>
      </w:r>
      <w:r w:rsidRPr="00AB18D9">
        <w:rPr>
          <w:lang w:val="hy-AM"/>
        </w:rPr>
        <w:softHyphen/>
        <w:t>բեր ոլորտների ու առանձին հարկային արտոնությունների միջև բաշխվում է հետևյալ կերպ.</w:t>
      </w:r>
    </w:p>
    <w:p w14:paraId="16BE01DA" w14:textId="78E56C2E" w:rsidR="00957A78" w:rsidRPr="0012355A" w:rsidRDefault="00957A78" w:rsidP="00C0795E">
      <w:pPr>
        <w:pStyle w:val="BodyText1"/>
        <w:numPr>
          <w:ilvl w:val="0"/>
          <w:numId w:val="7"/>
        </w:numPr>
        <w:ind w:left="0" w:firstLine="0"/>
      </w:pPr>
      <w:r w:rsidRPr="0012355A">
        <w:t xml:space="preserve">գյուղատնտեսություն` </w:t>
      </w:r>
      <w:r w:rsidRPr="00211639">
        <w:t>27,437 մլն դրամ</w:t>
      </w:r>
      <w:r w:rsidRPr="0012355A">
        <w:t>,</w:t>
      </w:r>
    </w:p>
    <w:p w14:paraId="1259BD53" w14:textId="14741138" w:rsidR="00957A78" w:rsidRPr="0012355A" w:rsidRDefault="00957A78" w:rsidP="00C0795E">
      <w:pPr>
        <w:pStyle w:val="BodyText1"/>
        <w:numPr>
          <w:ilvl w:val="0"/>
          <w:numId w:val="7"/>
        </w:numPr>
        <w:ind w:left="0" w:firstLine="0"/>
      </w:pPr>
      <w:r w:rsidRPr="0012355A">
        <w:t xml:space="preserve">առողջապահություն` </w:t>
      </w:r>
      <w:r w:rsidRPr="00211639">
        <w:t>88,614 մլն դրամ</w:t>
      </w:r>
      <w:r w:rsidRPr="0012355A">
        <w:t>,</w:t>
      </w:r>
    </w:p>
    <w:p w14:paraId="17C0C450" w14:textId="43C54DD0" w:rsidR="00957A78" w:rsidRPr="0012355A" w:rsidRDefault="00957A78" w:rsidP="00C0795E">
      <w:pPr>
        <w:pStyle w:val="BodyText1"/>
        <w:numPr>
          <w:ilvl w:val="0"/>
          <w:numId w:val="7"/>
        </w:numPr>
        <w:ind w:left="0" w:firstLine="0"/>
      </w:pPr>
      <w:r w:rsidRPr="0012355A">
        <w:t xml:space="preserve">կրթություն` </w:t>
      </w:r>
      <w:r w:rsidRPr="00211639">
        <w:t>43,340 մլն դրամ</w:t>
      </w:r>
      <w:r w:rsidRPr="0012355A">
        <w:t>,</w:t>
      </w:r>
    </w:p>
    <w:p w14:paraId="5937FC84" w14:textId="0346EE72" w:rsidR="00957A78" w:rsidRDefault="00957A78" w:rsidP="00C0795E">
      <w:pPr>
        <w:pStyle w:val="BodyText1"/>
        <w:numPr>
          <w:ilvl w:val="0"/>
          <w:numId w:val="7"/>
        </w:numPr>
        <w:ind w:left="0" w:firstLine="0"/>
      </w:pPr>
      <w:r w:rsidRPr="0012355A">
        <w:t xml:space="preserve">ֆինանսներ և ապահովագրություն` </w:t>
      </w:r>
      <w:r w:rsidRPr="00211639">
        <w:t>235,069 մլն դրամ</w:t>
      </w:r>
      <w:r w:rsidRPr="0012355A">
        <w:t>,</w:t>
      </w:r>
    </w:p>
    <w:p w14:paraId="53DF2A6B" w14:textId="533642A3" w:rsidR="00957A78" w:rsidRDefault="00957A78" w:rsidP="00C0795E">
      <w:pPr>
        <w:pStyle w:val="BodyText1"/>
        <w:numPr>
          <w:ilvl w:val="0"/>
          <w:numId w:val="7"/>
        </w:numPr>
        <w:ind w:left="0" w:firstLine="0"/>
      </w:pPr>
      <w:r>
        <w:t xml:space="preserve">խաղատների գործունեություն, </w:t>
      </w:r>
      <w:r w:rsidRPr="00A07C2F">
        <w:t>շահումով խաղերի (այդ թվում՝ ինտերնետ շահումով խաղերի), տոտալիզատորի և ինտերնետ տոտալիզատորի կազմակերպում</w:t>
      </w:r>
      <w:r>
        <w:t xml:space="preserve">՝ </w:t>
      </w:r>
      <w:r w:rsidRPr="00211639">
        <w:t>71,960 մլն դրամ</w:t>
      </w:r>
      <w:r w:rsidRPr="0012355A">
        <w:t>,</w:t>
      </w:r>
    </w:p>
    <w:p w14:paraId="336B3C3D" w14:textId="63A73C09" w:rsidR="00957A78" w:rsidRDefault="00957A78" w:rsidP="00C0795E">
      <w:pPr>
        <w:pStyle w:val="BodyText1"/>
        <w:numPr>
          <w:ilvl w:val="0"/>
          <w:numId w:val="7"/>
        </w:numPr>
        <w:ind w:left="0" w:firstLine="0"/>
      </w:pPr>
      <w:r>
        <w:t xml:space="preserve">ոսկու և թանկարժեք քարերի իրացում՝ </w:t>
      </w:r>
      <w:r w:rsidRPr="00211639">
        <w:t>38,732 մլն դրամ</w:t>
      </w:r>
      <w:r w:rsidRPr="0012355A">
        <w:t>,</w:t>
      </w:r>
    </w:p>
    <w:p w14:paraId="33F2C32F" w14:textId="21B7076E" w:rsidR="00957A78" w:rsidRDefault="00957A78" w:rsidP="00C0795E">
      <w:pPr>
        <w:pStyle w:val="BodyText1"/>
        <w:numPr>
          <w:ilvl w:val="0"/>
          <w:numId w:val="7"/>
        </w:numPr>
        <w:ind w:left="0" w:firstLine="0"/>
      </w:pPr>
      <w:r>
        <w:t xml:space="preserve">մարդասիրական օգնություն՝ </w:t>
      </w:r>
      <w:r w:rsidRPr="00211639">
        <w:t>10,050 մլն դրամ</w:t>
      </w:r>
      <w:r w:rsidRPr="0012355A">
        <w:t>,</w:t>
      </w:r>
    </w:p>
    <w:p w14:paraId="03369F72" w14:textId="05A4B87E" w:rsidR="00957A78" w:rsidRDefault="00957A78" w:rsidP="00C0795E">
      <w:pPr>
        <w:pStyle w:val="BodyText1"/>
        <w:numPr>
          <w:ilvl w:val="0"/>
          <w:numId w:val="7"/>
        </w:numPr>
        <w:ind w:left="0" w:firstLine="0"/>
      </w:pPr>
      <w:r>
        <w:t xml:space="preserve">պարարտանյութերի իրացում՝ </w:t>
      </w:r>
      <w:r w:rsidRPr="00211639">
        <w:t>6,748 մլն դրամ</w:t>
      </w:r>
      <w:r w:rsidRPr="0012355A">
        <w:t>,</w:t>
      </w:r>
    </w:p>
    <w:p w14:paraId="618F82D2" w14:textId="1B466FB9" w:rsidR="00957A78" w:rsidRDefault="00957A78" w:rsidP="00C0795E">
      <w:pPr>
        <w:pStyle w:val="BodyText1"/>
        <w:numPr>
          <w:ilvl w:val="0"/>
          <w:numId w:val="7"/>
        </w:numPr>
        <w:ind w:left="0" w:firstLine="0"/>
      </w:pPr>
      <w:r w:rsidRPr="008D5235">
        <w:t>ջրօգտագործողների ընկերությունների կողմից ոռոգման ջրի օտարում</w:t>
      </w:r>
      <w:r>
        <w:t xml:space="preserve">՝ </w:t>
      </w:r>
      <w:r w:rsidRPr="00211639">
        <w:t>1,785 մլն դրամ</w:t>
      </w:r>
      <w:r w:rsidRPr="0012355A">
        <w:t>,</w:t>
      </w:r>
    </w:p>
    <w:p w14:paraId="599AAB26" w14:textId="7838DDA7" w:rsidR="00957A78" w:rsidRPr="008D5235" w:rsidRDefault="00957A78" w:rsidP="00C0795E">
      <w:pPr>
        <w:pStyle w:val="BodyText1"/>
        <w:numPr>
          <w:ilvl w:val="0"/>
          <w:numId w:val="7"/>
        </w:numPr>
        <w:ind w:left="0" w:firstLine="0"/>
      </w:pPr>
      <w:r w:rsidRPr="008D5235">
        <w:t>սուբսիդիաների, սուբվենցիաների և դրամաշնորհային ծրագրերի շրջանակներում իրականացվող` ապրանքի մատակարարում, աշխատանքի կատարում և (կամ) ծառայության մատուցում</w:t>
      </w:r>
      <w:r>
        <w:t xml:space="preserve">՝ </w:t>
      </w:r>
      <w:r w:rsidRPr="00211639">
        <w:t>1,082 մլն դրամ</w:t>
      </w:r>
      <w:r w:rsidRPr="0012355A">
        <w:t>,</w:t>
      </w:r>
    </w:p>
    <w:p w14:paraId="1DA4C120" w14:textId="389C3A84" w:rsidR="00957A78" w:rsidRDefault="00957A78" w:rsidP="00C0795E">
      <w:pPr>
        <w:pStyle w:val="BodyText1"/>
        <w:numPr>
          <w:ilvl w:val="0"/>
          <w:numId w:val="7"/>
        </w:numPr>
        <w:ind w:left="0" w:firstLine="0"/>
      </w:pPr>
      <w:r w:rsidRPr="008D5235">
        <w:t>ազատ տնտեսական գոտու կազմակերպչին և ազատ տնտեսական գոտու շահագործողին ծառայությունների մատուցում, ազատ տնտեսական գոտու կազմակերպչի և ազատ տնտեսական գոտու շահագործողի համար աշխատանքների կատարում, ազատ տնտեսական գոտու տարածքում ապրանքների մատակարարում</w:t>
      </w:r>
      <w:r>
        <w:t xml:space="preserve">՝ </w:t>
      </w:r>
      <w:r w:rsidRPr="00211639">
        <w:t>363 մլն դրամ</w:t>
      </w:r>
      <w:r w:rsidRPr="0012355A">
        <w:t>,</w:t>
      </w:r>
    </w:p>
    <w:p w14:paraId="5491A6D1" w14:textId="5C7DB4B1" w:rsidR="00957A78" w:rsidRDefault="00957A78" w:rsidP="00C0795E">
      <w:pPr>
        <w:pStyle w:val="BodyText1"/>
        <w:numPr>
          <w:ilvl w:val="0"/>
          <w:numId w:val="7"/>
        </w:numPr>
        <w:ind w:left="0" w:firstLine="0"/>
      </w:pPr>
      <w:r w:rsidRPr="00211639">
        <w:t xml:space="preserve">օրենսգրքով սահմանված </w:t>
      </w:r>
      <w:r>
        <w:t>վերը չնշված</w:t>
      </w:r>
      <w:r w:rsidRPr="0012355A">
        <w:t xml:space="preserve"> այլ արտոնություններ</w:t>
      </w:r>
      <w:r>
        <w:t xml:space="preserve">` </w:t>
      </w:r>
      <w:r w:rsidRPr="00211639">
        <w:t>18,435 մլն դրամ*</w:t>
      </w:r>
    </w:p>
    <w:p w14:paraId="72B9709F" w14:textId="5D89C2DD" w:rsidR="00957A78" w:rsidRPr="00051CF8" w:rsidRDefault="00957A78" w:rsidP="00C0795E">
      <w:pPr>
        <w:pStyle w:val="BodyText1"/>
        <w:numPr>
          <w:ilvl w:val="0"/>
          <w:numId w:val="7"/>
        </w:numPr>
        <w:ind w:left="0" w:firstLine="0"/>
      </w:pPr>
      <w:r>
        <w:t xml:space="preserve">այլ օրենքներով տրված արտոնություններ՝ </w:t>
      </w:r>
      <w:r w:rsidRPr="00211639">
        <w:t>3,068 մլն դրամ:</w:t>
      </w:r>
    </w:p>
    <w:p w14:paraId="4F2275A7" w14:textId="77777777" w:rsidR="00957A78" w:rsidRDefault="00957A78" w:rsidP="00C0795E">
      <w:pPr>
        <w:pStyle w:val="BodyText1"/>
        <w:ind w:left="0"/>
        <w:rPr>
          <w:i/>
        </w:rPr>
      </w:pPr>
    </w:p>
    <w:p w14:paraId="7808651A" w14:textId="77777777" w:rsidR="00957A78" w:rsidRDefault="00957A78" w:rsidP="00C0795E">
      <w:pPr>
        <w:pStyle w:val="BodyText1"/>
        <w:ind w:left="0"/>
        <w:rPr>
          <w:i/>
          <w:color w:val="7F7F7F" w:themeColor="text1" w:themeTint="80"/>
          <w:lang w:val="hy-AM"/>
        </w:rPr>
      </w:pPr>
    </w:p>
    <w:p w14:paraId="751B83B0" w14:textId="77777777" w:rsidR="00957A78" w:rsidRPr="00B751D7" w:rsidRDefault="00957A78" w:rsidP="00C0795E">
      <w:pPr>
        <w:pStyle w:val="BodyText1"/>
        <w:ind w:left="0"/>
        <w:rPr>
          <w:i/>
          <w:color w:val="7F7F7F" w:themeColor="text1" w:themeTint="80"/>
          <w:lang w:val="hy-AM"/>
        </w:rPr>
      </w:pPr>
      <w:r w:rsidRPr="00B751D7">
        <w:rPr>
          <w:i/>
          <w:color w:val="7F7F7F" w:themeColor="text1" w:themeTint="80"/>
          <w:lang w:val="hy-AM"/>
        </w:rPr>
        <w:t>*ավելացված արժեքի հարկի գծով հարկային ծախսերի մեծությունը գնահատելիս՝</w:t>
      </w:r>
    </w:p>
    <w:p w14:paraId="3B97F0D9" w14:textId="77777777" w:rsidR="00957A78" w:rsidRPr="00AB18D9" w:rsidRDefault="00957A78" w:rsidP="00C0795E">
      <w:pPr>
        <w:pStyle w:val="BodyText1"/>
        <w:ind w:left="0"/>
        <w:rPr>
          <w:lang w:val="hy-AM"/>
        </w:rPr>
      </w:pPr>
      <w:r w:rsidRPr="00AB18D9">
        <w:rPr>
          <w:lang w:val="hy-AM"/>
        </w:rPr>
        <w:t>ավելացված արժեքի հարկի զրոյական դրույքաչափի կիրառությունը չի դիտվել որպես հարկային ծախս, քանի որ այն հիմնականում կիրառվում է արտահանվող ապրանք</w:t>
      </w:r>
      <w:r w:rsidRPr="00AB18D9">
        <w:rPr>
          <w:lang w:val="hy-AM"/>
        </w:rPr>
        <w:softHyphen/>
        <w:t>ների իրացման գործարքների համար, որոնց մասով ավելացված արժեքի հարկի զրոյական դրույ</w:t>
      </w:r>
      <w:r w:rsidRPr="00AB18D9">
        <w:rPr>
          <w:lang w:val="hy-AM"/>
        </w:rPr>
        <w:softHyphen/>
        <w:t>քաչափի կիրառությունը միջազգային պրակտիկայում ընդունված մոտեցում է, և հետևա</w:t>
      </w:r>
      <w:r w:rsidRPr="00AB18D9">
        <w:rPr>
          <w:lang w:val="hy-AM"/>
        </w:rPr>
        <w:softHyphen/>
        <w:t>բար, այդ գործարքներից ավելացված արժեքի հարկի հաշվարկային մեծությունը չի կարող համարվել հենանիշային հարկ,</w:t>
      </w:r>
    </w:p>
    <w:p w14:paraId="4EFF7CB0" w14:textId="77777777" w:rsidR="00957A78" w:rsidRPr="00AB18D9" w:rsidRDefault="00957A78" w:rsidP="00C0795E">
      <w:pPr>
        <w:pStyle w:val="BodyText1"/>
        <w:ind w:left="0"/>
        <w:rPr>
          <w:lang w:val="hy-AM"/>
        </w:rPr>
      </w:pPr>
      <w:r w:rsidRPr="00AB18D9">
        <w:rPr>
          <w:lang w:val="hy-AM"/>
        </w:rPr>
        <w:t>հաշվարկներում չեն ներառվել նաև ներդրումային ծրագրերի շրջանակներում ներ</w:t>
      </w:r>
      <w:r w:rsidRPr="00AB18D9">
        <w:rPr>
          <w:lang w:val="hy-AM"/>
        </w:rPr>
        <w:softHyphen/>
        <w:t>մուծ</w:t>
      </w:r>
      <w:r w:rsidRPr="00AB18D9">
        <w:rPr>
          <w:lang w:val="hy-AM"/>
        </w:rPr>
        <w:softHyphen/>
        <w:t>վող ապրանքների մասով մաքսային մարմինների կողմից հաշվարկվող ավելացված արժեքի հարկի գումարները, որոնց վճարման ժամկետը հետաձգվում է օրենքով սահ</w:t>
      </w:r>
      <w:r w:rsidRPr="00AB18D9">
        <w:rPr>
          <w:lang w:val="hy-AM"/>
        </w:rPr>
        <w:softHyphen/>
        <w:t>ման</w:t>
      </w:r>
      <w:r w:rsidRPr="00AB18D9">
        <w:rPr>
          <w:lang w:val="hy-AM"/>
        </w:rPr>
        <w:softHyphen/>
        <w:t>ված համապատասխան ժամկետներով՝ հաշվի առնելով այն, որ ավելացված արժեքի հարկի գումար</w:t>
      </w:r>
      <w:r w:rsidRPr="00AB18D9">
        <w:rPr>
          <w:lang w:val="hy-AM"/>
        </w:rPr>
        <w:softHyphen/>
        <w:t>ների վճարման ժամկետի հետաձգումը միայն ժամանակային ազդեցություն է ունե</w:t>
      </w:r>
      <w:r w:rsidRPr="00AB18D9">
        <w:rPr>
          <w:lang w:val="hy-AM"/>
        </w:rPr>
        <w:softHyphen/>
        <w:t>նում պետական բյուջեի հարկային եկամուտների մեծության վրա,</w:t>
      </w:r>
    </w:p>
    <w:p w14:paraId="3A5F4D32" w14:textId="77777777" w:rsidR="00957A78" w:rsidRPr="00AB18D9" w:rsidRDefault="00957A78" w:rsidP="00C0795E">
      <w:pPr>
        <w:pStyle w:val="BodyText1"/>
        <w:ind w:left="0"/>
        <w:rPr>
          <w:lang w:val="hy-AM"/>
        </w:rPr>
      </w:pPr>
      <w:r w:rsidRPr="00AB18D9">
        <w:rPr>
          <w:lang w:val="hy-AM"/>
        </w:rPr>
        <w:t>հաշվարկներում չեն ներառվել նաև այն ապրանքների ներմուծման համար ավելաց</w:t>
      </w:r>
      <w:r w:rsidRPr="00AB18D9">
        <w:rPr>
          <w:lang w:val="hy-AM"/>
        </w:rPr>
        <w:softHyphen/>
        <w:t>ված արժեքի հարկի հաշվարկային գումարները, որոնք ներառված են «Կազմակերպու</w:t>
      </w:r>
      <w:r w:rsidRPr="00AB18D9">
        <w:rPr>
          <w:lang w:val="hy-AM"/>
        </w:rPr>
        <w:softHyphen/>
        <w:t>թյուն</w:t>
      </w:r>
      <w:r w:rsidRPr="00AB18D9">
        <w:rPr>
          <w:lang w:val="hy-AM"/>
        </w:rPr>
        <w:softHyphen/>
        <w:t>ների և անհատ ձեռնարկատերերի կողմից ներմուծվող՝ ակցիզային հարկով հարկման ոչ ենթակա այն ապրանքների ցանկը հաստատելու մասին, որոնց ներմուծումն ազատված է ավելացված արժեքի հարկից» ՀՀ օրենքով հաստատված ցանկում, քանի որ այդ ապրանք</w:t>
      </w:r>
      <w:r w:rsidRPr="00AB18D9">
        <w:rPr>
          <w:lang w:val="hy-AM"/>
        </w:rPr>
        <w:softHyphen/>
        <w:t>ների մասով, տնտեսական գործունեության հետագա փուլերում կարող են ձևավորվել ավելացված արժեքով հարկման բազաներ, որոնցից ավելացված արժեքի հարկը հաշվարկվում և վճարվում է օրենքով սահմանված կարգով:</w:t>
      </w:r>
    </w:p>
    <w:p w14:paraId="75214829" w14:textId="09058CF4" w:rsidR="00957A78" w:rsidRPr="00AB18D9" w:rsidRDefault="00957A78" w:rsidP="00C0795E">
      <w:pPr>
        <w:pStyle w:val="BodyText1"/>
        <w:ind w:left="0"/>
        <w:rPr>
          <w:lang w:val="hy-AM"/>
        </w:rPr>
      </w:pPr>
      <w:r w:rsidRPr="00AB18D9">
        <w:rPr>
          <w:lang w:val="hy-AM"/>
        </w:rPr>
        <w:t xml:space="preserve">Այսպիսով, 2026 թվականի ԱԱՀ-ի գծով գնահատված հարկային ծախսերը կազմում են </w:t>
      </w:r>
      <w:r w:rsidRPr="00AB18D9">
        <w:rPr>
          <w:b/>
          <w:lang w:val="hy-AM"/>
        </w:rPr>
        <w:t>670,703</w:t>
      </w:r>
      <w:r w:rsidRPr="00AB18D9">
        <w:rPr>
          <w:lang w:val="hy-AM"/>
        </w:rPr>
        <w:t xml:space="preserve"> մլն դրամ: </w:t>
      </w:r>
    </w:p>
    <w:p w14:paraId="18DA344C" w14:textId="6CB4DCDB" w:rsidR="00957A78" w:rsidRPr="00AB18D9" w:rsidRDefault="00957A78" w:rsidP="00C0795E">
      <w:pPr>
        <w:pStyle w:val="BodyText1"/>
        <w:ind w:left="0"/>
        <w:rPr>
          <w:lang w:val="hy-AM"/>
        </w:rPr>
      </w:pPr>
      <w:r w:rsidRPr="00AB18D9">
        <w:rPr>
          <w:lang w:val="hy-AM"/>
        </w:rPr>
        <w:t>Տրված գնահատականում ներառված է նաև ԱԱՀ-ի շեմի կիրառության հետևան</w:t>
      </w:r>
      <w:r w:rsidRPr="00AB18D9">
        <w:rPr>
          <w:lang w:val="hy-AM"/>
        </w:rPr>
        <w:softHyphen/>
        <w:t>քով ԱԱՀ-ի գծով հարկային եկամուտների հաշվարկային կորուստը, որը սույն հաշվետ</w:t>
      </w:r>
      <w:r w:rsidRPr="00AB18D9">
        <w:rPr>
          <w:lang w:val="hy-AM"/>
        </w:rPr>
        <w:softHyphen/>
        <w:t>վու</w:t>
      </w:r>
      <w:r w:rsidRPr="00AB18D9">
        <w:rPr>
          <w:lang w:val="hy-AM"/>
        </w:rPr>
        <w:softHyphen/>
      </w:r>
      <w:r w:rsidRPr="00AB18D9">
        <w:rPr>
          <w:lang w:val="hy-AM"/>
        </w:rPr>
        <w:softHyphen/>
        <w:t xml:space="preserve">թյունում ներկայացվում է առանձին գնահատմամբ և կազմում է </w:t>
      </w:r>
      <w:r w:rsidRPr="00AB18D9">
        <w:rPr>
          <w:b/>
          <w:lang w:val="hy-AM"/>
        </w:rPr>
        <w:t>99,544</w:t>
      </w:r>
      <w:r w:rsidRPr="00AB18D9">
        <w:rPr>
          <w:lang w:val="hy-AM"/>
        </w:rPr>
        <w:t xml:space="preserve"> մլն դրամ, ինչպես նաև միկրոբիզնեսին տրված հարկային արտոնությունների մասով ԱԱՀ-ի գծով հարկային եկամուտների հաշվարկային կորուստը, որը սույն հաշվետ</w:t>
      </w:r>
      <w:r w:rsidRPr="00AB18D9">
        <w:rPr>
          <w:lang w:val="hy-AM"/>
        </w:rPr>
        <w:softHyphen/>
        <w:t>վու</w:t>
      </w:r>
      <w:r w:rsidRPr="00AB18D9">
        <w:rPr>
          <w:lang w:val="hy-AM"/>
        </w:rPr>
        <w:softHyphen/>
      </w:r>
      <w:r w:rsidRPr="00AB18D9">
        <w:rPr>
          <w:lang w:val="hy-AM"/>
        </w:rPr>
        <w:softHyphen/>
        <w:t xml:space="preserve">թյունում ներկայացվում է առանձին գնահատմամբ և կազմում է </w:t>
      </w:r>
      <w:r w:rsidRPr="00AB18D9">
        <w:rPr>
          <w:b/>
          <w:lang w:val="hy-AM"/>
        </w:rPr>
        <w:t>24,475</w:t>
      </w:r>
      <w:r w:rsidRPr="00AB18D9">
        <w:rPr>
          <w:lang w:val="hy-AM"/>
        </w:rPr>
        <w:t xml:space="preserve"> մլն դրամ:</w:t>
      </w:r>
    </w:p>
    <w:p w14:paraId="06151491" w14:textId="77777777" w:rsidR="00957A78" w:rsidRPr="009A43DC" w:rsidRDefault="00957A78" w:rsidP="00C0795E">
      <w:pPr>
        <w:pStyle w:val="BodyText1"/>
        <w:ind w:left="0"/>
        <w:rPr>
          <w:b/>
          <w:lang w:val="hy-AM"/>
        </w:rPr>
      </w:pPr>
      <w:r w:rsidRPr="009A43DC">
        <w:rPr>
          <w:b/>
          <w:lang w:val="hy-AM"/>
        </w:rPr>
        <w:t>Շահութահարկի գծով հարկային ծախսեր</w:t>
      </w:r>
    </w:p>
    <w:p w14:paraId="71C2A0B1" w14:textId="71899ED0" w:rsidR="00957A78" w:rsidRPr="009A43DC" w:rsidRDefault="00957A78" w:rsidP="00C0795E">
      <w:pPr>
        <w:pStyle w:val="BodyText1"/>
        <w:ind w:left="0"/>
        <w:rPr>
          <w:b/>
          <w:lang w:val="hy-AM"/>
        </w:rPr>
      </w:pPr>
      <w:r w:rsidRPr="009A43DC">
        <w:rPr>
          <w:b/>
          <w:lang w:val="hy-AM"/>
        </w:rPr>
        <w:t xml:space="preserve">Շահութահարկի գծով հարկային ծախսերը գնահատվել են </w:t>
      </w:r>
      <w:r w:rsidRPr="00527EAF">
        <w:rPr>
          <w:b/>
          <w:i/>
          <w:szCs w:val="22"/>
          <w:lang w:val="hy-AM"/>
        </w:rPr>
        <w:t xml:space="preserve">90,747 </w:t>
      </w:r>
      <w:r w:rsidRPr="009A43DC">
        <w:rPr>
          <w:b/>
          <w:lang w:val="hy-AM"/>
        </w:rPr>
        <w:t>մլն դրամի չափով</w:t>
      </w:r>
      <w:r w:rsidRPr="00B751D7">
        <w:rPr>
          <w:rStyle w:val="FootnoteReference"/>
          <w:b/>
        </w:rPr>
        <w:footnoteReference w:id="50"/>
      </w:r>
      <w:r w:rsidRPr="009A43DC">
        <w:rPr>
          <w:b/>
          <w:lang w:val="hy-AM"/>
        </w:rPr>
        <w:t xml:space="preserve">: </w:t>
      </w:r>
    </w:p>
    <w:p w14:paraId="529B91F9" w14:textId="77777777" w:rsidR="00957A78" w:rsidRPr="00AB18D9" w:rsidRDefault="00957A78" w:rsidP="00C0795E">
      <w:pPr>
        <w:pStyle w:val="BodyText1"/>
        <w:ind w:left="0"/>
        <w:rPr>
          <w:lang w:val="hy-AM"/>
        </w:rPr>
      </w:pPr>
      <w:r w:rsidRPr="00AB18D9">
        <w:rPr>
          <w:lang w:val="hy-AM"/>
        </w:rPr>
        <w:t>Շահու</w:t>
      </w:r>
      <w:r w:rsidRPr="00AB18D9">
        <w:rPr>
          <w:lang w:val="hy-AM"/>
        </w:rPr>
        <w:softHyphen/>
        <w:t>թահարկի գծով հարկային արտոնությունները գնահատվել են հետևյալ հիմնական ուղղու</w:t>
      </w:r>
      <w:r w:rsidRPr="00AB18D9">
        <w:rPr>
          <w:lang w:val="hy-AM"/>
        </w:rPr>
        <w:softHyphen/>
        <w:t>թյուններով.</w:t>
      </w:r>
    </w:p>
    <w:p w14:paraId="353BD80C" w14:textId="40499852" w:rsidR="00957A78" w:rsidRPr="00AB18D9" w:rsidRDefault="00957A78" w:rsidP="00C0795E">
      <w:pPr>
        <w:pStyle w:val="BodyText1"/>
        <w:numPr>
          <w:ilvl w:val="0"/>
          <w:numId w:val="8"/>
        </w:numPr>
        <w:ind w:left="0" w:firstLine="0"/>
        <w:rPr>
          <w:lang w:val="hy-AM"/>
        </w:rPr>
      </w:pPr>
      <w:r w:rsidRPr="00AB18D9">
        <w:rPr>
          <w:lang w:val="hy-AM"/>
        </w:rPr>
        <w:t>գյուղատնտեսություն</w:t>
      </w:r>
      <w:r w:rsidRPr="00AB18D9">
        <w:rPr>
          <w:b/>
          <w:lang w:val="hy-AM"/>
        </w:rPr>
        <w:t>` 40,507 մլն դրամ</w:t>
      </w:r>
      <w:r w:rsidRPr="00AB18D9">
        <w:rPr>
          <w:lang w:val="hy-AM"/>
        </w:rPr>
        <w:t xml:space="preserve">, այդ թվում՝ կազմակերպությունների շահույթից՝ </w:t>
      </w:r>
      <w:r w:rsidRPr="00AB18D9">
        <w:rPr>
          <w:b/>
          <w:lang w:val="hy-AM"/>
        </w:rPr>
        <w:t>3,254 մլն դրամ</w:t>
      </w:r>
      <w:r w:rsidRPr="00AB18D9">
        <w:rPr>
          <w:lang w:val="hy-AM"/>
        </w:rPr>
        <w:t xml:space="preserve">, և ԱՁ-ների (ֆիզիկական անձանց) շահույթից՝ </w:t>
      </w:r>
      <w:r w:rsidRPr="00AB18D9">
        <w:rPr>
          <w:b/>
          <w:lang w:val="hy-AM"/>
        </w:rPr>
        <w:t>37,253 մլն</w:t>
      </w:r>
      <w:r w:rsidRPr="00AB18D9">
        <w:rPr>
          <w:lang w:val="hy-AM"/>
        </w:rPr>
        <w:t xml:space="preserve"> դրամ,</w:t>
      </w:r>
    </w:p>
    <w:p w14:paraId="53DC0EFD" w14:textId="626546CC" w:rsidR="00957A78" w:rsidRPr="00AB18D9" w:rsidRDefault="00957A78" w:rsidP="00C0795E">
      <w:pPr>
        <w:pStyle w:val="BodyText1"/>
        <w:numPr>
          <w:ilvl w:val="0"/>
          <w:numId w:val="8"/>
        </w:numPr>
        <w:ind w:left="0" w:firstLine="0"/>
        <w:rPr>
          <w:lang w:val="hy-AM"/>
        </w:rPr>
      </w:pPr>
      <w:r w:rsidRPr="00AB18D9">
        <w:rPr>
          <w:lang w:val="hy-AM"/>
        </w:rPr>
        <w:t xml:space="preserve">հարկվող շահույթի նվազեցման արտոնություններ, բացառությամբ՝ գյուղատնտեսության՝ </w:t>
      </w:r>
      <w:r w:rsidRPr="00AB18D9">
        <w:rPr>
          <w:b/>
          <w:lang w:val="hy-AM"/>
        </w:rPr>
        <w:t>1,765 մլն</w:t>
      </w:r>
      <w:r w:rsidRPr="00AB18D9">
        <w:rPr>
          <w:lang w:val="hy-AM"/>
        </w:rPr>
        <w:t xml:space="preserve"> դրամ,</w:t>
      </w:r>
    </w:p>
    <w:p w14:paraId="3C37D674" w14:textId="6259E51C" w:rsidR="00957A78" w:rsidRPr="00AB18D9" w:rsidRDefault="00957A78" w:rsidP="00C0795E">
      <w:pPr>
        <w:pStyle w:val="BodyText1"/>
        <w:numPr>
          <w:ilvl w:val="0"/>
          <w:numId w:val="8"/>
        </w:numPr>
        <w:ind w:left="0" w:firstLine="0"/>
        <w:rPr>
          <w:lang w:val="hy-AM"/>
        </w:rPr>
      </w:pPr>
      <w:r w:rsidRPr="00AB18D9">
        <w:rPr>
          <w:lang w:val="hy-AM"/>
        </w:rPr>
        <w:t xml:space="preserve">շահութահարկի նվազեցման արտոնություններ՝ </w:t>
      </w:r>
      <w:r w:rsidRPr="00AB18D9">
        <w:rPr>
          <w:b/>
          <w:lang w:val="hy-AM"/>
        </w:rPr>
        <w:t>331 մլն</w:t>
      </w:r>
      <w:r w:rsidRPr="00AB18D9">
        <w:rPr>
          <w:lang w:val="hy-AM"/>
        </w:rPr>
        <w:t xml:space="preserve"> դրամ,</w:t>
      </w:r>
    </w:p>
    <w:p w14:paraId="452AF21D" w14:textId="2DB75DAE" w:rsidR="00957A78" w:rsidRPr="00AB18D9" w:rsidRDefault="00957A78" w:rsidP="00C0795E">
      <w:pPr>
        <w:pStyle w:val="BodyText1"/>
        <w:numPr>
          <w:ilvl w:val="0"/>
          <w:numId w:val="8"/>
        </w:numPr>
        <w:ind w:left="0" w:firstLine="0"/>
        <w:rPr>
          <w:lang w:val="hy-AM"/>
        </w:rPr>
      </w:pPr>
      <w:r w:rsidRPr="00AB18D9">
        <w:rPr>
          <w:lang w:val="hy-AM"/>
        </w:rPr>
        <w:t xml:space="preserve">ԱԱՀ-ի շեմ` </w:t>
      </w:r>
      <w:r w:rsidRPr="00AB18D9">
        <w:rPr>
          <w:b/>
          <w:lang w:val="hy-AM"/>
        </w:rPr>
        <w:t>35,836 մլն</w:t>
      </w:r>
      <w:r w:rsidRPr="00AB18D9">
        <w:rPr>
          <w:lang w:val="hy-AM"/>
        </w:rPr>
        <w:t xml:space="preserve"> դրամ,</w:t>
      </w:r>
    </w:p>
    <w:p w14:paraId="1B971170" w14:textId="6E91B560" w:rsidR="00957A78" w:rsidRPr="00A84558" w:rsidRDefault="00957A78" w:rsidP="00C0795E">
      <w:pPr>
        <w:pStyle w:val="BodyText1"/>
        <w:numPr>
          <w:ilvl w:val="0"/>
          <w:numId w:val="8"/>
        </w:numPr>
        <w:ind w:left="0" w:firstLine="0"/>
      </w:pPr>
      <w:r w:rsidRPr="00527EAF">
        <w:t xml:space="preserve">միկրոբիզնես՝ </w:t>
      </w:r>
      <w:r w:rsidRPr="0031294C">
        <w:rPr>
          <w:b/>
        </w:rPr>
        <w:t>8,811 մլն</w:t>
      </w:r>
      <w:r w:rsidRPr="00527EAF">
        <w:t xml:space="preserve"> դրամ,</w:t>
      </w:r>
    </w:p>
    <w:p w14:paraId="0D84B36F" w14:textId="66E8038E" w:rsidR="00957A78" w:rsidRPr="00C509C9" w:rsidRDefault="00957A78" w:rsidP="00C0795E">
      <w:pPr>
        <w:pStyle w:val="BodyText1"/>
        <w:numPr>
          <w:ilvl w:val="0"/>
          <w:numId w:val="8"/>
        </w:numPr>
        <w:ind w:left="0" w:firstLine="0"/>
      </w:pPr>
      <w:r w:rsidRPr="00527EAF">
        <w:t xml:space="preserve">ՏՏ ոլորտի արտոնություններ` </w:t>
      </w:r>
      <w:r w:rsidRPr="0031294C">
        <w:rPr>
          <w:b/>
        </w:rPr>
        <w:t>3,497 մլն</w:t>
      </w:r>
      <w:r w:rsidRPr="00527EAF">
        <w:t xml:space="preserve"> դրամ:</w:t>
      </w:r>
    </w:p>
    <w:p w14:paraId="36E45036" w14:textId="77777777" w:rsidR="00957A78" w:rsidRPr="002A3BB6" w:rsidRDefault="00957A78" w:rsidP="00C0795E">
      <w:pPr>
        <w:pStyle w:val="BodyText1"/>
        <w:ind w:left="0"/>
        <w:rPr>
          <w:b/>
          <w:lang w:val="hy-AM"/>
        </w:rPr>
      </w:pPr>
      <w:r w:rsidRPr="002A3BB6">
        <w:rPr>
          <w:b/>
          <w:lang w:val="hy-AM"/>
        </w:rPr>
        <w:t>Եկամտային հարկի գծով հարկային ծախսեր</w:t>
      </w:r>
      <w:r>
        <w:rPr>
          <w:rStyle w:val="FootnoteReference"/>
          <w:b/>
          <w:lang w:val="hy-AM"/>
        </w:rPr>
        <w:footnoteReference w:id="51"/>
      </w:r>
    </w:p>
    <w:p w14:paraId="6FE60BDE" w14:textId="6DDD5D23" w:rsidR="00957A78" w:rsidRDefault="00957A78" w:rsidP="00C0795E">
      <w:pPr>
        <w:pStyle w:val="BodyText1"/>
        <w:ind w:left="0"/>
        <w:rPr>
          <w:lang w:val="hy-AM"/>
        </w:rPr>
      </w:pPr>
      <w:r w:rsidRPr="0031294C">
        <w:rPr>
          <w:b/>
          <w:lang w:val="hy-AM"/>
        </w:rPr>
        <w:t>Եկամտային հարկի գծով հարկային ծախսերը գնահատվել են 14,545 մլն դրամի չափով:</w:t>
      </w:r>
      <w:r w:rsidRPr="0031294C">
        <w:rPr>
          <w:lang w:val="hy-AM"/>
        </w:rPr>
        <w:t xml:space="preserve"> </w:t>
      </w:r>
    </w:p>
    <w:p w14:paraId="67624533" w14:textId="77777777" w:rsidR="00957A78" w:rsidRPr="0031294C" w:rsidRDefault="00957A78" w:rsidP="00C0795E">
      <w:pPr>
        <w:pStyle w:val="BodyText1"/>
        <w:ind w:left="0"/>
        <w:rPr>
          <w:lang w:val="hy-AM"/>
        </w:rPr>
      </w:pPr>
      <w:r w:rsidRPr="0031294C">
        <w:rPr>
          <w:lang w:val="hy-AM"/>
        </w:rPr>
        <w:t>Եկամտային հարկի գծով հարկային արտոնությունները գնահատվել են հետևյալ հիմնական ուղղու</w:t>
      </w:r>
      <w:r w:rsidRPr="0031294C">
        <w:rPr>
          <w:lang w:val="hy-AM"/>
        </w:rPr>
        <w:softHyphen/>
        <w:t>թյուններով.</w:t>
      </w:r>
    </w:p>
    <w:p w14:paraId="4005919D" w14:textId="604AFFE6" w:rsidR="00957A78" w:rsidRDefault="00957A78" w:rsidP="00C0795E">
      <w:pPr>
        <w:pStyle w:val="BodyText1"/>
        <w:numPr>
          <w:ilvl w:val="0"/>
          <w:numId w:val="9"/>
        </w:numPr>
        <w:ind w:left="0" w:firstLine="0"/>
      </w:pPr>
      <w:r w:rsidRPr="0012355A">
        <w:t xml:space="preserve">գյուղատնտեսություն` </w:t>
      </w:r>
      <w:r w:rsidRPr="0031294C">
        <w:rPr>
          <w:b/>
        </w:rPr>
        <w:t>14,545 մլն</w:t>
      </w:r>
      <w:r w:rsidRPr="0031294C">
        <w:t xml:space="preserve"> դրամ:</w:t>
      </w:r>
      <w:r>
        <w:t xml:space="preserve"> </w:t>
      </w:r>
    </w:p>
    <w:p w14:paraId="30B016F1" w14:textId="77777777" w:rsidR="00957A78" w:rsidRPr="002A3BB6" w:rsidRDefault="00957A78" w:rsidP="00C0795E">
      <w:pPr>
        <w:pStyle w:val="BodyText1"/>
        <w:ind w:left="0"/>
        <w:rPr>
          <w:b/>
          <w:lang w:val="hy-AM"/>
        </w:rPr>
      </w:pPr>
      <w:r w:rsidRPr="002A3BB6">
        <w:rPr>
          <w:b/>
          <w:lang w:val="hy-AM"/>
        </w:rPr>
        <w:t>ԱԱՀ-ի շեմի գծով հարկային ծախսերը</w:t>
      </w:r>
    </w:p>
    <w:p w14:paraId="6E6CEC65" w14:textId="384801E2" w:rsidR="00957A78" w:rsidRPr="00E77731" w:rsidRDefault="00957A78" w:rsidP="00C0795E">
      <w:pPr>
        <w:pStyle w:val="BodyText1"/>
        <w:ind w:left="0"/>
        <w:rPr>
          <w:lang w:val="hy-AM"/>
        </w:rPr>
      </w:pPr>
      <w:r w:rsidRPr="00E77731">
        <w:rPr>
          <w:lang w:val="hy-AM"/>
        </w:rPr>
        <w:t xml:space="preserve">ԱԱՀ-ի շեմի գծով հարկային ծախսերը գնահատվել են </w:t>
      </w:r>
      <w:r w:rsidRPr="0031294C">
        <w:rPr>
          <w:b/>
          <w:i/>
          <w:szCs w:val="22"/>
          <w:lang w:val="hy-AM"/>
        </w:rPr>
        <w:t xml:space="preserve">135,380 </w:t>
      </w:r>
      <w:r w:rsidRPr="0031294C">
        <w:rPr>
          <w:b/>
          <w:i/>
          <w:lang w:val="hy-AM"/>
        </w:rPr>
        <w:t>մլն</w:t>
      </w:r>
      <w:r w:rsidRPr="0031294C">
        <w:rPr>
          <w:i/>
          <w:lang w:val="hy-AM"/>
        </w:rPr>
        <w:t xml:space="preserve"> </w:t>
      </w:r>
      <w:r w:rsidRPr="0031294C">
        <w:rPr>
          <w:b/>
          <w:i/>
          <w:lang w:val="hy-AM"/>
        </w:rPr>
        <w:t>դրամի չափով</w:t>
      </w:r>
      <w:r>
        <w:rPr>
          <w:rStyle w:val="FootnoteReference"/>
          <w:b/>
          <w:lang w:val="hy-AM"/>
        </w:rPr>
        <w:footnoteReference w:id="52"/>
      </w:r>
      <w:r w:rsidRPr="00E77731">
        <w:rPr>
          <w:lang w:val="hy-AM"/>
        </w:rPr>
        <w:t>, այդ թվում`</w:t>
      </w:r>
    </w:p>
    <w:p w14:paraId="63B5DE84" w14:textId="3D7D0116" w:rsidR="00957A78" w:rsidRPr="00E77731" w:rsidRDefault="00957A78" w:rsidP="00C0795E">
      <w:pPr>
        <w:pStyle w:val="BodytextBullets"/>
        <w:ind w:left="0" w:firstLine="0"/>
        <w:rPr>
          <w:lang w:val="hy-AM"/>
        </w:rPr>
      </w:pPr>
      <w:r w:rsidRPr="00E77731">
        <w:rPr>
          <w:lang w:val="hy-AM"/>
        </w:rPr>
        <w:t xml:space="preserve">ԱԱՀ` </w:t>
      </w:r>
      <w:r w:rsidRPr="0031294C">
        <w:rPr>
          <w:b/>
          <w:lang w:val="hy-AM"/>
        </w:rPr>
        <w:t>94,188 մլն դրամ</w:t>
      </w:r>
      <w:r w:rsidRPr="00E77731">
        <w:rPr>
          <w:lang w:val="hy-AM"/>
        </w:rPr>
        <w:t>,</w:t>
      </w:r>
    </w:p>
    <w:p w14:paraId="532669A9" w14:textId="7F9F757E" w:rsidR="00957A78" w:rsidRPr="00B751D7" w:rsidRDefault="00957A78" w:rsidP="00C0795E">
      <w:pPr>
        <w:pStyle w:val="BodytextBullets"/>
        <w:ind w:left="0" w:firstLine="0"/>
        <w:rPr>
          <w:lang w:val="hy-AM"/>
        </w:rPr>
      </w:pPr>
      <w:r w:rsidRPr="00E77731">
        <w:rPr>
          <w:lang w:val="hy-AM"/>
        </w:rPr>
        <w:t xml:space="preserve">Շահութահարկ` </w:t>
      </w:r>
      <w:r w:rsidRPr="0031294C">
        <w:rPr>
          <w:b/>
          <w:lang w:val="hy-AM"/>
        </w:rPr>
        <w:t>33,908 մլն դրամ</w:t>
      </w:r>
      <w:r w:rsidRPr="00E77731">
        <w:rPr>
          <w:lang w:val="hy-AM"/>
        </w:rPr>
        <w:t>:</w:t>
      </w:r>
    </w:p>
    <w:p w14:paraId="03B04DF7" w14:textId="77777777" w:rsidR="00957A78" w:rsidRPr="002A3BB6" w:rsidRDefault="00957A78" w:rsidP="00C0795E">
      <w:pPr>
        <w:pStyle w:val="BodyText1"/>
        <w:ind w:left="0"/>
        <w:rPr>
          <w:b/>
          <w:lang w:val="hy-AM"/>
        </w:rPr>
      </w:pPr>
      <w:r w:rsidRPr="002A3BB6">
        <w:rPr>
          <w:b/>
          <w:lang w:val="hy-AM"/>
        </w:rPr>
        <w:t>Միկրոբիզնեսի գծով հարկային ծախսերը</w:t>
      </w:r>
    </w:p>
    <w:p w14:paraId="1DABC0D8" w14:textId="236B4E13" w:rsidR="00957A78" w:rsidRPr="0031294C" w:rsidRDefault="00957A78" w:rsidP="00C0795E">
      <w:pPr>
        <w:spacing w:line="360" w:lineRule="auto"/>
        <w:jc w:val="both"/>
        <w:rPr>
          <w:rFonts w:ascii="GHEA Grapalat" w:hAnsi="GHEA Grapalat"/>
          <w:szCs w:val="20"/>
          <w:lang w:val="hy-AM"/>
        </w:rPr>
      </w:pPr>
      <w:r w:rsidRPr="0031294C">
        <w:rPr>
          <w:rFonts w:ascii="GHEA Grapalat" w:hAnsi="GHEA Grapalat"/>
          <w:szCs w:val="20"/>
          <w:lang w:val="hy-AM"/>
        </w:rPr>
        <w:t xml:space="preserve">Միկրոբիզնեսի գծով հարկային ծախսերը գնահատվել են </w:t>
      </w:r>
      <w:r w:rsidRPr="0031294C">
        <w:rPr>
          <w:rFonts w:ascii="GHEA Grapalat" w:hAnsi="GHEA Grapalat"/>
          <w:b/>
          <w:szCs w:val="20"/>
          <w:lang w:val="hy-AM"/>
        </w:rPr>
        <w:t>33,286 մլն դրամի չափով</w:t>
      </w:r>
      <w:r w:rsidRPr="0031294C">
        <w:rPr>
          <w:rFonts w:ascii="GHEA Grapalat" w:hAnsi="GHEA Grapalat"/>
          <w:szCs w:val="20"/>
          <w:lang w:val="hy-AM"/>
        </w:rPr>
        <w:t>, այդ թվում`</w:t>
      </w:r>
    </w:p>
    <w:p w14:paraId="6111D637" w14:textId="669EE692" w:rsidR="00957A78" w:rsidRPr="0031294C" w:rsidRDefault="00957A78" w:rsidP="00C0795E">
      <w:pPr>
        <w:pStyle w:val="BodytextBullets"/>
        <w:ind w:left="0" w:firstLine="0"/>
        <w:rPr>
          <w:lang w:val="hy-AM"/>
        </w:rPr>
      </w:pPr>
      <w:r w:rsidRPr="0031294C">
        <w:rPr>
          <w:lang w:val="hy-AM"/>
        </w:rPr>
        <w:t xml:space="preserve">ԱԱՀ` </w:t>
      </w:r>
      <w:r w:rsidRPr="0031294C">
        <w:rPr>
          <w:b/>
          <w:lang w:val="hy-AM"/>
        </w:rPr>
        <w:t>24,475 մլն դրամ</w:t>
      </w:r>
      <w:r w:rsidRPr="0031294C">
        <w:rPr>
          <w:lang w:val="hy-AM"/>
        </w:rPr>
        <w:t>,</w:t>
      </w:r>
    </w:p>
    <w:p w14:paraId="0453DB38" w14:textId="79006DAA" w:rsidR="00957A78" w:rsidRDefault="00957A78" w:rsidP="00C0795E">
      <w:pPr>
        <w:pStyle w:val="BodytextBullets"/>
        <w:ind w:left="0" w:firstLine="0"/>
        <w:rPr>
          <w:lang w:val="hy-AM"/>
        </w:rPr>
      </w:pPr>
      <w:r w:rsidRPr="0031294C">
        <w:rPr>
          <w:lang w:val="hy-AM"/>
        </w:rPr>
        <w:t xml:space="preserve">Շահութահարկ` </w:t>
      </w:r>
      <w:r w:rsidRPr="0031294C">
        <w:rPr>
          <w:b/>
          <w:lang w:val="hy-AM"/>
        </w:rPr>
        <w:t>8,811 մլն դրամ</w:t>
      </w:r>
      <w:r w:rsidRPr="0031294C">
        <w:rPr>
          <w:lang w:val="hy-AM"/>
        </w:rPr>
        <w:t>:</w:t>
      </w:r>
    </w:p>
    <w:p w14:paraId="200DA1A7" w14:textId="77777777" w:rsidR="00957A78" w:rsidRDefault="00957A78" w:rsidP="00C0795E">
      <w:pPr>
        <w:pStyle w:val="BodytextBullets"/>
        <w:numPr>
          <w:ilvl w:val="0"/>
          <w:numId w:val="0"/>
        </w:numPr>
        <w:rPr>
          <w:lang w:val="hy-AM"/>
        </w:rPr>
      </w:pPr>
    </w:p>
    <w:p w14:paraId="45FF40E2" w14:textId="77777777" w:rsidR="00957A78" w:rsidRPr="0031294C" w:rsidRDefault="00957A78" w:rsidP="00C0795E">
      <w:pPr>
        <w:pStyle w:val="BodyText1"/>
        <w:ind w:left="0"/>
        <w:rPr>
          <w:b/>
          <w:lang w:val="hy-AM"/>
        </w:rPr>
      </w:pPr>
      <w:r w:rsidRPr="0031294C">
        <w:rPr>
          <w:b/>
          <w:lang w:val="hy-AM"/>
        </w:rPr>
        <w:t>Շրջանառության հարկի գծով հարկային ծախսերը.</w:t>
      </w:r>
    </w:p>
    <w:p w14:paraId="6C69074C" w14:textId="207C11EA" w:rsidR="00957A78" w:rsidRPr="0031294C" w:rsidRDefault="00957A78" w:rsidP="00C0795E">
      <w:pPr>
        <w:spacing w:line="360" w:lineRule="auto"/>
        <w:jc w:val="both"/>
        <w:rPr>
          <w:rFonts w:ascii="GHEA Grapalat" w:hAnsi="GHEA Grapalat"/>
          <w:szCs w:val="20"/>
          <w:lang w:val="hy-AM"/>
        </w:rPr>
      </w:pPr>
      <w:r w:rsidRPr="0031294C">
        <w:rPr>
          <w:rFonts w:ascii="GHEA Grapalat" w:hAnsi="GHEA Grapalat"/>
          <w:szCs w:val="20"/>
          <w:lang w:val="hy-AM"/>
        </w:rPr>
        <w:t xml:space="preserve">Շրջանառության հարկի գծով հարկային ծախսերը գնահատվել են </w:t>
      </w:r>
      <w:r w:rsidRPr="0031294C">
        <w:rPr>
          <w:rFonts w:ascii="GHEA Grapalat" w:hAnsi="GHEA Grapalat"/>
          <w:b/>
          <w:szCs w:val="20"/>
          <w:lang w:val="hy-AM"/>
        </w:rPr>
        <w:t>26,852 մլն դրամի</w:t>
      </w:r>
      <w:r w:rsidRPr="0031294C">
        <w:rPr>
          <w:rFonts w:ascii="GHEA Grapalat" w:hAnsi="GHEA Grapalat"/>
          <w:szCs w:val="20"/>
          <w:lang w:val="hy-AM"/>
        </w:rPr>
        <w:t xml:space="preserve"> չափով: Շրջանառության հարկի գծով հարկային արտոնությունները գնահատվել են հետևյալ ուղղու</w:t>
      </w:r>
      <w:r w:rsidRPr="0031294C">
        <w:rPr>
          <w:rFonts w:ascii="GHEA Grapalat" w:hAnsi="GHEA Grapalat"/>
          <w:szCs w:val="20"/>
          <w:lang w:val="hy-AM"/>
        </w:rPr>
        <w:softHyphen/>
        <w:t>թյամբ.</w:t>
      </w:r>
    </w:p>
    <w:p w14:paraId="1449EFB7" w14:textId="52C7FAEC" w:rsidR="00957A78" w:rsidRPr="0031294C" w:rsidRDefault="00957A78" w:rsidP="00C0795E">
      <w:pPr>
        <w:pStyle w:val="ListParagraph"/>
        <w:numPr>
          <w:ilvl w:val="0"/>
          <w:numId w:val="10"/>
        </w:numPr>
        <w:spacing w:line="360" w:lineRule="auto"/>
        <w:ind w:left="0" w:firstLine="0"/>
        <w:rPr>
          <w:rFonts w:ascii="GHEA Grapalat" w:hAnsi="GHEA Grapalat"/>
          <w:szCs w:val="20"/>
          <w:lang w:val="hy-AM"/>
        </w:rPr>
      </w:pPr>
      <w:r w:rsidRPr="0031294C">
        <w:rPr>
          <w:rFonts w:ascii="GHEA Grapalat" w:hAnsi="GHEA Grapalat"/>
          <w:szCs w:val="20"/>
          <w:lang w:val="hy-AM"/>
        </w:rPr>
        <w:t xml:space="preserve">ՏՏ ոլորտի արտոնություններ` </w:t>
      </w:r>
      <w:r w:rsidRPr="0031294C">
        <w:rPr>
          <w:rFonts w:ascii="GHEA Grapalat" w:hAnsi="GHEA Grapalat"/>
          <w:b/>
          <w:szCs w:val="20"/>
          <w:lang w:val="hy-AM"/>
        </w:rPr>
        <w:t>26,852 մլն դրամ</w:t>
      </w:r>
      <w:r w:rsidRPr="0031294C">
        <w:rPr>
          <w:rFonts w:ascii="GHEA Grapalat" w:hAnsi="GHEA Grapalat"/>
          <w:szCs w:val="20"/>
          <w:lang w:val="hy-AM"/>
        </w:rPr>
        <w:t xml:space="preserve">: </w:t>
      </w:r>
    </w:p>
    <w:p w14:paraId="737DF1C1" w14:textId="5CF2236C" w:rsidR="00957A78" w:rsidRPr="00607F3E" w:rsidRDefault="00957A78" w:rsidP="00C0795E">
      <w:pPr>
        <w:spacing w:line="360" w:lineRule="auto"/>
        <w:jc w:val="both"/>
        <w:rPr>
          <w:rFonts w:ascii="GHEA Grapalat" w:hAnsi="GHEA Grapalat"/>
          <w:lang w:val="hy-AM"/>
        </w:rPr>
      </w:pPr>
      <w:r w:rsidRPr="0031294C">
        <w:rPr>
          <w:rFonts w:ascii="GHEA Grapalat" w:hAnsi="GHEA Grapalat"/>
          <w:szCs w:val="20"/>
          <w:lang w:val="hy-AM"/>
        </w:rPr>
        <w:t xml:space="preserve">Ընդհանուր հարկային ծախսը գնահատվել է </w:t>
      </w:r>
      <w:r w:rsidRPr="0031294C">
        <w:rPr>
          <w:rFonts w:ascii="GHEA Grapalat" w:hAnsi="GHEA Grapalat"/>
          <w:b/>
          <w:szCs w:val="20"/>
          <w:lang w:val="hy-AM"/>
        </w:rPr>
        <w:t>802,847 մլն դրամի չափով</w:t>
      </w:r>
      <w:r w:rsidRPr="0031294C">
        <w:rPr>
          <w:rFonts w:ascii="GHEA Grapalat" w:hAnsi="GHEA Grapalat"/>
          <w:szCs w:val="20"/>
          <w:lang w:val="hy-AM"/>
        </w:rPr>
        <w:t xml:space="preserve">, ինչը 2026-2028 թվականների ՄԺԾԾ-ով 2026 թվականի համար կանխատեսված հարկային եկամուտների և ՀՆԱ-ի նկատմամբ կազմում է համապատասխանաբար` </w:t>
      </w:r>
      <w:r w:rsidRPr="0031294C">
        <w:rPr>
          <w:rFonts w:ascii="GHEA Grapalat" w:hAnsi="GHEA Grapalat"/>
          <w:b/>
          <w:szCs w:val="20"/>
          <w:lang w:val="hy-AM"/>
        </w:rPr>
        <w:t>27.36 և 6.75 տոկոս</w:t>
      </w:r>
      <w:r w:rsidRPr="0031294C">
        <w:rPr>
          <w:rFonts w:ascii="GHEA Grapalat" w:hAnsi="GHEA Grapalat"/>
          <w:szCs w:val="20"/>
          <w:lang w:val="hy-AM"/>
        </w:rPr>
        <w:t>:</w:t>
      </w:r>
    </w:p>
    <w:p w14:paraId="41B074BF" w14:textId="77777777" w:rsidR="00957A78" w:rsidRPr="0031294C" w:rsidRDefault="00957A78" w:rsidP="00957A78">
      <w:pPr>
        <w:pStyle w:val="BodytextBullets"/>
        <w:numPr>
          <w:ilvl w:val="0"/>
          <w:numId w:val="0"/>
        </w:numPr>
        <w:ind w:firstLine="630"/>
        <w:rPr>
          <w:lang w:val="hy-AM"/>
        </w:rPr>
      </w:pPr>
    </w:p>
    <w:p w14:paraId="297B9223" w14:textId="77777777" w:rsidR="00957A78" w:rsidRPr="00B751D7" w:rsidRDefault="00957A78" w:rsidP="00957A78">
      <w:pPr>
        <w:jc w:val="both"/>
        <w:rPr>
          <w:b/>
          <w:lang w:val="hy-AM"/>
        </w:rPr>
      </w:pPr>
      <w:r w:rsidRPr="00B751D7">
        <w:rPr>
          <w:b/>
          <w:lang w:val="hy-AM"/>
        </w:rPr>
        <w:t>Վերլուծության ամփոփ արդյունքները ներ</w:t>
      </w:r>
      <w:r w:rsidRPr="00B751D7">
        <w:rPr>
          <w:b/>
          <w:lang w:val="hy-AM"/>
        </w:rPr>
        <w:softHyphen/>
        <w:t>կա</w:t>
      </w:r>
      <w:r w:rsidRPr="00B751D7">
        <w:rPr>
          <w:b/>
          <w:lang w:val="hy-AM"/>
        </w:rPr>
        <w:softHyphen/>
        <w:t>յաց</w:t>
      </w:r>
      <w:r w:rsidRPr="00B751D7">
        <w:rPr>
          <w:b/>
          <w:lang w:val="hy-AM"/>
        </w:rPr>
        <w:softHyphen/>
        <w:t>ված են ստորև</w:t>
      </w:r>
      <w:r>
        <w:rPr>
          <w:b/>
          <w:lang w:val="hy-AM"/>
        </w:rPr>
        <w:t>:</w:t>
      </w:r>
    </w:p>
    <w:tbl>
      <w:tblPr>
        <w:tblW w:w="9951" w:type="dxa"/>
        <w:tblInd w:w="-5" w:type="dxa"/>
        <w:tblBorders>
          <w:top w:val="single" w:sz="4" w:space="0" w:color="E1E1E3" w:themeColor="accent3" w:themeTint="33"/>
          <w:left w:val="single" w:sz="4" w:space="0" w:color="E1E1E3" w:themeColor="accent3" w:themeTint="33"/>
          <w:bottom w:val="single" w:sz="4" w:space="0" w:color="E1E1E3" w:themeColor="accent3" w:themeTint="33"/>
          <w:right w:val="single" w:sz="4" w:space="0" w:color="E1E1E3" w:themeColor="accent3" w:themeTint="33"/>
          <w:insideH w:val="single" w:sz="4" w:space="0" w:color="E1E1E3" w:themeColor="accent3" w:themeTint="33"/>
          <w:insideV w:val="single" w:sz="4" w:space="0" w:color="E1E1E3" w:themeColor="accent3" w:themeTint="33"/>
        </w:tblBorders>
        <w:tblLook w:val="04A0" w:firstRow="1" w:lastRow="0" w:firstColumn="1" w:lastColumn="0" w:noHBand="0" w:noVBand="1"/>
      </w:tblPr>
      <w:tblGrid>
        <w:gridCol w:w="720"/>
        <w:gridCol w:w="4953"/>
        <w:gridCol w:w="9"/>
        <w:gridCol w:w="1490"/>
        <w:gridCol w:w="9"/>
        <w:gridCol w:w="1612"/>
        <w:gridCol w:w="9"/>
        <w:gridCol w:w="1140"/>
        <w:gridCol w:w="9"/>
      </w:tblGrid>
      <w:tr w:rsidR="00957A78" w:rsidRPr="00B80461" w14:paraId="67C76C0C" w14:textId="77777777" w:rsidTr="00A72B0A">
        <w:trPr>
          <w:gridAfter w:val="1"/>
          <w:wAfter w:w="9" w:type="dxa"/>
          <w:trHeight w:val="245"/>
        </w:trPr>
        <w:tc>
          <w:tcPr>
            <w:tcW w:w="720" w:type="dxa"/>
            <w:shd w:val="clear" w:color="auto" w:fill="D5DCE4" w:themeFill="text2" w:themeFillTint="33"/>
            <w:vAlign w:val="center"/>
            <w:hideMark/>
          </w:tcPr>
          <w:p w14:paraId="04A21EE3" w14:textId="77777777" w:rsidR="00957A78" w:rsidRPr="00B80461" w:rsidRDefault="00957A78" w:rsidP="00A72B0A">
            <w:pPr>
              <w:spacing w:before="0" w:after="0" w:line="240" w:lineRule="auto"/>
              <w:rPr>
                <w:b/>
                <w:sz w:val="16"/>
                <w:szCs w:val="16"/>
              </w:rPr>
            </w:pPr>
            <w:r w:rsidRPr="00B80461">
              <w:rPr>
                <w:b/>
                <w:sz w:val="16"/>
                <w:szCs w:val="16"/>
              </w:rPr>
              <w:t>Հ/Հ</w:t>
            </w:r>
          </w:p>
        </w:tc>
        <w:tc>
          <w:tcPr>
            <w:tcW w:w="4953" w:type="dxa"/>
            <w:shd w:val="clear" w:color="auto" w:fill="D5DCE4" w:themeFill="text2" w:themeFillTint="33"/>
            <w:vAlign w:val="center"/>
            <w:hideMark/>
          </w:tcPr>
          <w:p w14:paraId="5A879998" w14:textId="77777777" w:rsidR="00957A78" w:rsidRPr="00B80461" w:rsidRDefault="00957A78" w:rsidP="00A72B0A">
            <w:pPr>
              <w:spacing w:before="0" w:after="0" w:line="240" w:lineRule="auto"/>
              <w:rPr>
                <w:b/>
                <w:sz w:val="16"/>
                <w:szCs w:val="16"/>
                <w:lang w:val="hy-AM"/>
              </w:rPr>
            </w:pPr>
            <w:r w:rsidRPr="00B80461">
              <w:rPr>
                <w:b/>
                <w:sz w:val="16"/>
                <w:szCs w:val="16"/>
              </w:rPr>
              <w:t>Հարկային ծախսերի տեսակը</w:t>
            </w:r>
            <w:r w:rsidRPr="00B80461">
              <w:rPr>
                <w:b/>
                <w:sz w:val="16"/>
                <w:szCs w:val="16"/>
                <w:lang w:val="hy-AM"/>
              </w:rPr>
              <w:t>, մլրդ դրամ</w:t>
            </w:r>
          </w:p>
        </w:tc>
        <w:tc>
          <w:tcPr>
            <w:tcW w:w="1499" w:type="dxa"/>
            <w:gridSpan w:val="2"/>
            <w:shd w:val="clear" w:color="auto" w:fill="D5DCE4" w:themeFill="text2" w:themeFillTint="33"/>
            <w:vAlign w:val="center"/>
            <w:hideMark/>
          </w:tcPr>
          <w:p w14:paraId="1F1C3FBA" w14:textId="77777777" w:rsidR="00957A78" w:rsidRPr="00B80461" w:rsidRDefault="00957A78" w:rsidP="00A72B0A">
            <w:pPr>
              <w:spacing w:before="0" w:after="0" w:line="240" w:lineRule="auto"/>
              <w:rPr>
                <w:b/>
                <w:sz w:val="16"/>
                <w:szCs w:val="16"/>
              </w:rPr>
            </w:pPr>
            <w:r w:rsidRPr="00B80461">
              <w:rPr>
                <w:b/>
                <w:sz w:val="16"/>
                <w:szCs w:val="16"/>
              </w:rPr>
              <w:t>Հարկային ծախսերի չափը</w:t>
            </w:r>
          </w:p>
        </w:tc>
        <w:tc>
          <w:tcPr>
            <w:tcW w:w="1621" w:type="dxa"/>
            <w:gridSpan w:val="2"/>
            <w:shd w:val="clear" w:color="auto" w:fill="D5DCE4" w:themeFill="text2" w:themeFillTint="33"/>
            <w:vAlign w:val="center"/>
            <w:hideMark/>
          </w:tcPr>
          <w:p w14:paraId="19C57E71" w14:textId="77777777" w:rsidR="00957A78" w:rsidRPr="00B80461" w:rsidRDefault="00957A78" w:rsidP="00A72B0A">
            <w:pPr>
              <w:spacing w:before="0" w:after="0" w:line="240" w:lineRule="auto"/>
              <w:rPr>
                <w:b/>
                <w:sz w:val="16"/>
                <w:szCs w:val="16"/>
              </w:rPr>
            </w:pPr>
            <w:r w:rsidRPr="00B80461">
              <w:rPr>
                <w:b/>
                <w:sz w:val="16"/>
                <w:szCs w:val="16"/>
              </w:rPr>
              <w:t>Կշիռը հարկային եկամուտների մեջ</w:t>
            </w:r>
          </w:p>
        </w:tc>
        <w:tc>
          <w:tcPr>
            <w:tcW w:w="1149" w:type="dxa"/>
            <w:gridSpan w:val="2"/>
            <w:shd w:val="clear" w:color="auto" w:fill="D5DCE4" w:themeFill="text2" w:themeFillTint="33"/>
            <w:vAlign w:val="center"/>
            <w:hideMark/>
          </w:tcPr>
          <w:p w14:paraId="48906D8C" w14:textId="77777777" w:rsidR="00957A78" w:rsidRPr="00B80461" w:rsidRDefault="00957A78" w:rsidP="00A72B0A">
            <w:pPr>
              <w:spacing w:before="0" w:after="0" w:line="240" w:lineRule="auto"/>
              <w:rPr>
                <w:b/>
                <w:sz w:val="16"/>
                <w:szCs w:val="16"/>
              </w:rPr>
            </w:pPr>
            <w:r w:rsidRPr="00B80461">
              <w:rPr>
                <w:b/>
                <w:sz w:val="16"/>
                <w:szCs w:val="16"/>
              </w:rPr>
              <w:t>Կշիռը ՀՆԱ-ի մեջ</w:t>
            </w:r>
          </w:p>
        </w:tc>
      </w:tr>
      <w:tr w:rsidR="00957A78" w:rsidRPr="00B80461" w14:paraId="42317F1C" w14:textId="77777777" w:rsidTr="00A72B0A">
        <w:trPr>
          <w:gridAfter w:val="1"/>
          <w:wAfter w:w="9" w:type="dxa"/>
          <w:trHeight w:val="245"/>
        </w:trPr>
        <w:tc>
          <w:tcPr>
            <w:tcW w:w="720" w:type="dxa"/>
            <w:shd w:val="clear" w:color="auto" w:fill="D5DCE4" w:themeFill="text2" w:themeFillTint="33"/>
            <w:vAlign w:val="center"/>
            <w:hideMark/>
          </w:tcPr>
          <w:p w14:paraId="6889008B" w14:textId="77777777" w:rsidR="00957A78" w:rsidRPr="00B80461" w:rsidRDefault="00957A78" w:rsidP="00A72B0A">
            <w:pPr>
              <w:spacing w:before="0" w:after="0" w:line="240" w:lineRule="auto"/>
              <w:jc w:val="both"/>
              <w:rPr>
                <w:b/>
                <w:sz w:val="18"/>
                <w:szCs w:val="18"/>
              </w:rPr>
            </w:pPr>
            <w:r w:rsidRPr="00B80461">
              <w:rPr>
                <w:b/>
                <w:sz w:val="18"/>
                <w:szCs w:val="18"/>
              </w:rPr>
              <w:t>1</w:t>
            </w:r>
          </w:p>
        </w:tc>
        <w:tc>
          <w:tcPr>
            <w:tcW w:w="4953" w:type="dxa"/>
            <w:shd w:val="clear" w:color="auto" w:fill="D5DCE4" w:themeFill="text2" w:themeFillTint="33"/>
            <w:vAlign w:val="center"/>
            <w:hideMark/>
          </w:tcPr>
          <w:p w14:paraId="6AE6BBD2" w14:textId="77777777" w:rsidR="00957A78" w:rsidRPr="00B80461" w:rsidRDefault="00957A78" w:rsidP="00A72B0A">
            <w:pPr>
              <w:spacing w:before="0" w:after="0" w:line="240" w:lineRule="auto"/>
              <w:rPr>
                <w:b/>
                <w:sz w:val="18"/>
                <w:szCs w:val="18"/>
              </w:rPr>
            </w:pPr>
            <w:r w:rsidRPr="00B80461">
              <w:rPr>
                <w:b/>
                <w:sz w:val="18"/>
                <w:szCs w:val="18"/>
              </w:rPr>
              <w:t>ԱԱՀ-ի գծով, այդ թվում`</w:t>
            </w:r>
          </w:p>
        </w:tc>
        <w:tc>
          <w:tcPr>
            <w:tcW w:w="1499" w:type="dxa"/>
            <w:gridSpan w:val="2"/>
            <w:shd w:val="clear" w:color="auto" w:fill="D5DCE4" w:themeFill="text2" w:themeFillTint="33"/>
            <w:vAlign w:val="center"/>
            <w:hideMark/>
          </w:tcPr>
          <w:p w14:paraId="30C053A3" w14:textId="77777777" w:rsidR="00957A78" w:rsidRPr="00B80461" w:rsidRDefault="00957A78" w:rsidP="00A72B0A">
            <w:pPr>
              <w:spacing w:before="0" w:after="0" w:line="240" w:lineRule="auto"/>
              <w:jc w:val="center"/>
              <w:rPr>
                <w:b/>
                <w:sz w:val="18"/>
                <w:szCs w:val="18"/>
              </w:rPr>
            </w:pPr>
            <w:r w:rsidRPr="0031294C">
              <w:rPr>
                <w:b/>
                <w:sz w:val="18"/>
                <w:szCs w:val="18"/>
              </w:rPr>
              <w:t>670,703</w:t>
            </w:r>
          </w:p>
        </w:tc>
        <w:tc>
          <w:tcPr>
            <w:tcW w:w="1621" w:type="dxa"/>
            <w:gridSpan w:val="2"/>
            <w:shd w:val="clear" w:color="auto" w:fill="D5DCE4" w:themeFill="text2" w:themeFillTint="33"/>
            <w:vAlign w:val="center"/>
            <w:hideMark/>
          </w:tcPr>
          <w:p w14:paraId="5D5560DD" w14:textId="77777777" w:rsidR="00957A78" w:rsidRPr="00B80461" w:rsidRDefault="00957A78" w:rsidP="00A72B0A">
            <w:pPr>
              <w:spacing w:before="0" w:after="0" w:line="240" w:lineRule="auto"/>
              <w:jc w:val="center"/>
              <w:rPr>
                <w:b/>
                <w:sz w:val="18"/>
                <w:szCs w:val="18"/>
              </w:rPr>
            </w:pPr>
            <w:r w:rsidRPr="0031294C">
              <w:rPr>
                <w:b/>
                <w:sz w:val="18"/>
                <w:szCs w:val="18"/>
              </w:rPr>
              <w:t>22.85%</w:t>
            </w:r>
          </w:p>
        </w:tc>
        <w:tc>
          <w:tcPr>
            <w:tcW w:w="1149" w:type="dxa"/>
            <w:gridSpan w:val="2"/>
            <w:shd w:val="clear" w:color="auto" w:fill="D5DCE4" w:themeFill="text2" w:themeFillTint="33"/>
            <w:vAlign w:val="center"/>
            <w:hideMark/>
          </w:tcPr>
          <w:p w14:paraId="2F71F785" w14:textId="77777777" w:rsidR="00957A78" w:rsidRPr="00B80461" w:rsidRDefault="00957A78" w:rsidP="00A72B0A">
            <w:pPr>
              <w:spacing w:before="0" w:after="0" w:line="240" w:lineRule="auto"/>
              <w:jc w:val="center"/>
              <w:rPr>
                <w:b/>
                <w:sz w:val="18"/>
                <w:szCs w:val="18"/>
              </w:rPr>
            </w:pPr>
            <w:r w:rsidRPr="0031294C">
              <w:rPr>
                <w:b/>
                <w:sz w:val="18"/>
                <w:szCs w:val="18"/>
              </w:rPr>
              <w:t>5.64%</w:t>
            </w:r>
          </w:p>
        </w:tc>
      </w:tr>
      <w:tr w:rsidR="00957A78" w:rsidRPr="00B80461" w14:paraId="6DED1F03" w14:textId="77777777" w:rsidTr="00A72B0A">
        <w:trPr>
          <w:gridAfter w:val="1"/>
          <w:wAfter w:w="9" w:type="dxa"/>
          <w:trHeight w:val="245"/>
        </w:trPr>
        <w:tc>
          <w:tcPr>
            <w:tcW w:w="720" w:type="dxa"/>
            <w:shd w:val="clear" w:color="auto" w:fill="auto"/>
            <w:vAlign w:val="center"/>
            <w:hideMark/>
          </w:tcPr>
          <w:p w14:paraId="7FE62E2F" w14:textId="77777777" w:rsidR="00957A78" w:rsidRPr="00B80461" w:rsidRDefault="00957A78" w:rsidP="00A72B0A">
            <w:pPr>
              <w:spacing w:before="0" w:after="0" w:line="240" w:lineRule="auto"/>
              <w:jc w:val="both"/>
              <w:rPr>
                <w:sz w:val="18"/>
                <w:szCs w:val="18"/>
              </w:rPr>
            </w:pPr>
            <w:r w:rsidRPr="0031294C">
              <w:rPr>
                <w:sz w:val="18"/>
                <w:szCs w:val="18"/>
              </w:rPr>
              <w:t>1.1.</w:t>
            </w:r>
          </w:p>
        </w:tc>
        <w:tc>
          <w:tcPr>
            <w:tcW w:w="4953" w:type="dxa"/>
            <w:shd w:val="clear" w:color="auto" w:fill="auto"/>
            <w:vAlign w:val="center"/>
            <w:hideMark/>
          </w:tcPr>
          <w:p w14:paraId="3C86B92F" w14:textId="77777777" w:rsidR="00957A78" w:rsidRPr="00B80461" w:rsidRDefault="00957A78" w:rsidP="00A72B0A">
            <w:pPr>
              <w:spacing w:before="0" w:after="0" w:line="240" w:lineRule="auto"/>
              <w:rPr>
                <w:sz w:val="18"/>
                <w:szCs w:val="18"/>
              </w:rPr>
            </w:pPr>
            <w:r w:rsidRPr="0031294C">
              <w:rPr>
                <w:sz w:val="18"/>
                <w:szCs w:val="18"/>
              </w:rPr>
              <w:t>գյուղատնտեսություն</w:t>
            </w:r>
          </w:p>
        </w:tc>
        <w:tc>
          <w:tcPr>
            <w:tcW w:w="1499" w:type="dxa"/>
            <w:gridSpan w:val="2"/>
            <w:shd w:val="clear" w:color="auto" w:fill="auto"/>
            <w:vAlign w:val="center"/>
            <w:hideMark/>
          </w:tcPr>
          <w:p w14:paraId="177B2082" w14:textId="77777777" w:rsidR="00957A78" w:rsidRPr="00B80461" w:rsidRDefault="00957A78" w:rsidP="00A72B0A">
            <w:pPr>
              <w:spacing w:before="0" w:after="0" w:line="240" w:lineRule="auto"/>
              <w:jc w:val="center"/>
              <w:rPr>
                <w:sz w:val="18"/>
                <w:szCs w:val="18"/>
              </w:rPr>
            </w:pPr>
            <w:r w:rsidRPr="0031294C">
              <w:rPr>
                <w:sz w:val="18"/>
                <w:szCs w:val="18"/>
              </w:rPr>
              <w:t>27,437</w:t>
            </w:r>
          </w:p>
        </w:tc>
        <w:tc>
          <w:tcPr>
            <w:tcW w:w="1621" w:type="dxa"/>
            <w:gridSpan w:val="2"/>
            <w:shd w:val="clear" w:color="auto" w:fill="auto"/>
            <w:vAlign w:val="center"/>
            <w:hideMark/>
          </w:tcPr>
          <w:p w14:paraId="699AEC4C" w14:textId="77777777" w:rsidR="00957A78" w:rsidRPr="00B80461" w:rsidRDefault="00957A78" w:rsidP="00A72B0A">
            <w:pPr>
              <w:spacing w:before="0" w:after="0" w:line="240" w:lineRule="auto"/>
              <w:jc w:val="center"/>
              <w:rPr>
                <w:sz w:val="18"/>
                <w:szCs w:val="18"/>
              </w:rPr>
            </w:pPr>
            <w:r w:rsidRPr="0031294C">
              <w:rPr>
                <w:sz w:val="18"/>
                <w:szCs w:val="18"/>
              </w:rPr>
              <w:t>0.93%</w:t>
            </w:r>
          </w:p>
        </w:tc>
        <w:tc>
          <w:tcPr>
            <w:tcW w:w="1149" w:type="dxa"/>
            <w:gridSpan w:val="2"/>
            <w:shd w:val="clear" w:color="auto" w:fill="auto"/>
            <w:vAlign w:val="center"/>
            <w:hideMark/>
          </w:tcPr>
          <w:p w14:paraId="77680DFA" w14:textId="77777777" w:rsidR="00957A78" w:rsidRPr="00B80461" w:rsidRDefault="00957A78" w:rsidP="00A72B0A">
            <w:pPr>
              <w:spacing w:before="0" w:after="0" w:line="240" w:lineRule="auto"/>
              <w:jc w:val="center"/>
              <w:rPr>
                <w:sz w:val="18"/>
                <w:szCs w:val="18"/>
              </w:rPr>
            </w:pPr>
            <w:r w:rsidRPr="0031294C">
              <w:rPr>
                <w:sz w:val="18"/>
                <w:szCs w:val="18"/>
              </w:rPr>
              <w:t>0.23%</w:t>
            </w:r>
          </w:p>
        </w:tc>
      </w:tr>
      <w:tr w:rsidR="00957A78" w:rsidRPr="00B80461" w14:paraId="19E6E113" w14:textId="77777777" w:rsidTr="00A72B0A">
        <w:trPr>
          <w:gridAfter w:val="1"/>
          <w:wAfter w:w="9" w:type="dxa"/>
          <w:trHeight w:val="245"/>
        </w:trPr>
        <w:tc>
          <w:tcPr>
            <w:tcW w:w="720" w:type="dxa"/>
            <w:shd w:val="clear" w:color="auto" w:fill="auto"/>
            <w:vAlign w:val="center"/>
            <w:hideMark/>
          </w:tcPr>
          <w:p w14:paraId="3CCBA536" w14:textId="77777777" w:rsidR="00957A78" w:rsidRPr="00B80461" w:rsidRDefault="00957A78" w:rsidP="00A72B0A">
            <w:pPr>
              <w:spacing w:before="0" w:after="0" w:line="240" w:lineRule="auto"/>
              <w:jc w:val="both"/>
              <w:rPr>
                <w:sz w:val="18"/>
                <w:szCs w:val="18"/>
              </w:rPr>
            </w:pPr>
            <w:r w:rsidRPr="0031294C">
              <w:rPr>
                <w:sz w:val="18"/>
                <w:szCs w:val="18"/>
              </w:rPr>
              <w:t>1.2.</w:t>
            </w:r>
          </w:p>
        </w:tc>
        <w:tc>
          <w:tcPr>
            <w:tcW w:w="4953" w:type="dxa"/>
            <w:shd w:val="clear" w:color="auto" w:fill="auto"/>
            <w:vAlign w:val="center"/>
            <w:hideMark/>
          </w:tcPr>
          <w:p w14:paraId="6B8DCA7A" w14:textId="77777777" w:rsidR="00957A78" w:rsidRPr="00B80461" w:rsidRDefault="00957A78" w:rsidP="00A72B0A">
            <w:pPr>
              <w:spacing w:before="0" w:after="0" w:line="240" w:lineRule="auto"/>
              <w:rPr>
                <w:sz w:val="18"/>
                <w:szCs w:val="18"/>
              </w:rPr>
            </w:pPr>
            <w:r w:rsidRPr="0031294C">
              <w:rPr>
                <w:sz w:val="18"/>
                <w:szCs w:val="18"/>
              </w:rPr>
              <w:t>առողջապահություն</w:t>
            </w:r>
          </w:p>
        </w:tc>
        <w:tc>
          <w:tcPr>
            <w:tcW w:w="1499" w:type="dxa"/>
            <w:gridSpan w:val="2"/>
            <w:shd w:val="clear" w:color="auto" w:fill="auto"/>
            <w:vAlign w:val="center"/>
            <w:hideMark/>
          </w:tcPr>
          <w:p w14:paraId="399D9D90" w14:textId="77777777" w:rsidR="00957A78" w:rsidRPr="00B80461" w:rsidRDefault="00957A78" w:rsidP="00A72B0A">
            <w:pPr>
              <w:spacing w:before="0" w:after="0" w:line="240" w:lineRule="auto"/>
              <w:jc w:val="center"/>
              <w:rPr>
                <w:sz w:val="18"/>
                <w:szCs w:val="18"/>
              </w:rPr>
            </w:pPr>
            <w:r w:rsidRPr="0031294C">
              <w:rPr>
                <w:sz w:val="18"/>
                <w:szCs w:val="18"/>
              </w:rPr>
              <w:t>88,614</w:t>
            </w:r>
          </w:p>
        </w:tc>
        <w:tc>
          <w:tcPr>
            <w:tcW w:w="1621" w:type="dxa"/>
            <w:gridSpan w:val="2"/>
            <w:shd w:val="clear" w:color="auto" w:fill="auto"/>
            <w:vAlign w:val="center"/>
            <w:hideMark/>
          </w:tcPr>
          <w:p w14:paraId="6EB25EDF" w14:textId="77777777" w:rsidR="00957A78" w:rsidRPr="00B80461" w:rsidRDefault="00957A78" w:rsidP="00A72B0A">
            <w:pPr>
              <w:spacing w:before="0" w:after="0" w:line="240" w:lineRule="auto"/>
              <w:jc w:val="center"/>
              <w:rPr>
                <w:sz w:val="18"/>
                <w:szCs w:val="18"/>
              </w:rPr>
            </w:pPr>
            <w:r w:rsidRPr="0031294C">
              <w:rPr>
                <w:sz w:val="18"/>
                <w:szCs w:val="18"/>
              </w:rPr>
              <w:t>3.02%</w:t>
            </w:r>
          </w:p>
        </w:tc>
        <w:tc>
          <w:tcPr>
            <w:tcW w:w="1149" w:type="dxa"/>
            <w:gridSpan w:val="2"/>
            <w:shd w:val="clear" w:color="auto" w:fill="auto"/>
            <w:vAlign w:val="center"/>
            <w:hideMark/>
          </w:tcPr>
          <w:p w14:paraId="4BEE8EBE" w14:textId="77777777" w:rsidR="00957A78" w:rsidRPr="00B80461" w:rsidRDefault="00957A78" w:rsidP="00A72B0A">
            <w:pPr>
              <w:spacing w:before="0" w:after="0" w:line="240" w:lineRule="auto"/>
              <w:jc w:val="center"/>
              <w:rPr>
                <w:sz w:val="18"/>
                <w:szCs w:val="18"/>
              </w:rPr>
            </w:pPr>
            <w:r w:rsidRPr="0031294C">
              <w:rPr>
                <w:sz w:val="18"/>
                <w:szCs w:val="18"/>
              </w:rPr>
              <w:t>0.75%</w:t>
            </w:r>
          </w:p>
        </w:tc>
      </w:tr>
      <w:tr w:rsidR="00957A78" w:rsidRPr="00B80461" w14:paraId="66F645C3" w14:textId="77777777" w:rsidTr="00A72B0A">
        <w:trPr>
          <w:gridAfter w:val="1"/>
          <w:wAfter w:w="9" w:type="dxa"/>
          <w:trHeight w:val="245"/>
        </w:trPr>
        <w:tc>
          <w:tcPr>
            <w:tcW w:w="720" w:type="dxa"/>
            <w:shd w:val="clear" w:color="auto" w:fill="auto"/>
            <w:vAlign w:val="center"/>
            <w:hideMark/>
          </w:tcPr>
          <w:p w14:paraId="49554568" w14:textId="77777777" w:rsidR="00957A78" w:rsidRPr="00B80461" w:rsidRDefault="00957A78" w:rsidP="00A72B0A">
            <w:pPr>
              <w:spacing w:before="0" w:after="0" w:line="240" w:lineRule="auto"/>
              <w:jc w:val="both"/>
              <w:rPr>
                <w:sz w:val="18"/>
                <w:szCs w:val="18"/>
              </w:rPr>
            </w:pPr>
            <w:r w:rsidRPr="0031294C">
              <w:rPr>
                <w:sz w:val="18"/>
                <w:szCs w:val="18"/>
              </w:rPr>
              <w:t>1.3.</w:t>
            </w:r>
          </w:p>
        </w:tc>
        <w:tc>
          <w:tcPr>
            <w:tcW w:w="4953" w:type="dxa"/>
            <w:shd w:val="clear" w:color="auto" w:fill="auto"/>
            <w:vAlign w:val="center"/>
            <w:hideMark/>
          </w:tcPr>
          <w:p w14:paraId="675486C3" w14:textId="77777777" w:rsidR="00957A78" w:rsidRPr="00B80461" w:rsidRDefault="00957A78" w:rsidP="00A72B0A">
            <w:pPr>
              <w:spacing w:before="0" w:after="0" w:line="240" w:lineRule="auto"/>
              <w:rPr>
                <w:sz w:val="18"/>
                <w:szCs w:val="18"/>
              </w:rPr>
            </w:pPr>
            <w:r w:rsidRPr="0031294C">
              <w:rPr>
                <w:sz w:val="18"/>
                <w:szCs w:val="18"/>
              </w:rPr>
              <w:t>կրթություն</w:t>
            </w:r>
          </w:p>
        </w:tc>
        <w:tc>
          <w:tcPr>
            <w:tcW w:w="1499" w:type="dxa"/>
            <w:gridSpan w:val="2"/>
            <w:shd w:val="clear" w:color="auto" w:fill="auto"/>
            <w:vAlign w:val="center"/>
            <w:hideMark/>
          </w:tcPr>
          <w:p w14:paraId="30C2DAD5" w14:textId="77777777" w:rsidR="00957A78" w:rsidRPr="00B80461" w:rsidRDefault="00957A78" w:rsidP="00A72B0A">
            <w:pPr>
              <w:spacing w:before="0" w:after="0" w:line="240" w:lineRule="auto"/>
              <w:jc w:val="center"/>
              <w:rPr>
                <w:sz w:val="18"/>
                <w:szCs w:val="18"/>
              </w:rPr>
            </w:pPr>
            <w:r w:rsidRPr="0031294C">
              <w:rPr>
                <w:sz w:val="18"/>
                <w:szCs w:val="18"/>
              </w:rPr>
              <w:t>43,340</w:t>
            </w:r>
          </w:p>
        </w:tc>
        <w:tc>
          <w:tcPr>
            <w:tcW w:w="1621" w:type="dxa"/>
            <w:gridSpan w:val="2"/>
            <w:shd w:val="clear" w:color="auto" w:fill="auto"/>
            <w:vAlign w:val="center"/>
            <w:hideMark/>
          </w:tcPr>
          <w:p w14:paraId="3E51D7C0" w14:textId="77777777" w:rsidR="00957A78" w:rsidRPr="00B80461" w:rsidRDefault="00957A78" w:rsidP="00A72B0A">
            <w:pPr>
              <w:spacing w:before="0" w:after="0" w:line="240" w:lineRule="auto"/>
              <w:jc w:val="center"/>
              <w:rPr>
                <w:sz w:val="18"/>
                <w:szCs w:val="18"/>
              </w:rPr>
            </w:pPr>
            <w:r w:rsidRPr="0031294C">
              <w:rPr>
                <w:sz w:val="18"/>
                <w:szCs w:val="18"/>
              </w:rPr>
              <w:t>1.48%</w:t>
            </w:r>
          </w:p>
        </w:tc>
        <w:tc>
          <w:tcPr>
            <w:tcW w:w="1149" w:type="dxa"/>
            <w:gridSpan w:val="2"/>
            <w:shd w:val="clear" w:color="auto" w:fill="auto"/>
            <w:vAlign w:val="center"/>
            <w:hideMark/>
          </w:tcPr>
          <w:p w14:paraId="64CEA755" w14:textId="77777777" w:rsidR="00957A78" w:rsidRPr="00B80461" w:rsidRDefault="00957A78" w:rsidP="00A72B0A">
            <w:pPr>
              <w:spacing w:before="0" w:after="0" w:line="240" w:lineRule="auto"/>
              <w:jc w:val="center"/>
              <w:rPr>
                <w:sz w:val="18"/>
                <w:szCs w:val="18"/>
              </w:rPr>
            </w:pPr>
            <w:r w:rsidRPr="0031294C">
              <w:rPr>
                <w:sz w:val="18"/>
                <w:szCs w:val="18"/>
              </w:rPr>
              <w:t>0.36%</w:t>
            </w:r>
          </w:p>
        </w:tc>
      </w:tr>
      <w:tr w:rsidR="00957A78" w:rsidRPr="00B80461" w14:paraId="0A3D7B8F" w14:textId="77777777" w:rsidTr="00A72B0A">
        <w:trPr>
          <w:gridAfter w:val="1"/>
          <w:wAfter w:w="9" w:type="dxa"/>
          <w:trHeight w:val="245"/>
        </w:trPr>
        <w:tc>
          <w:tcPr>
            <w:tcW w:w="720" w:type="dxa"/>
            <w:shd w:val="clear" w:color="auto" w:fill="auto"/>
            <w:vAlign w:val="center"/>
            <w:hideMark/>
          </w:tcPr>
          <w:p w14:paraId="10DF3A89" w14:textId="77777777" w:rsidR="00957A78" w:rsidRPr="00B80461" w:rsidRDefault="00957A78" w:rsidP="00A72B0A">
            <w:pPr>
              <w:spacing w:before="0" w:after="0" w:line="240" w:lineRule="auto"/>
              <w:jc w:val="both"/>
              <w:rPr>
                <w:sz w:val="18"/>
                <w:szCs w:val="18"/>
              </w:rPr>
            </w:pPr>
            <w:r w:rsidRPr="0031294C">
              <w:rPr>
                <w:sz w:val="18"/>
                <w:szCs w:val="18"/>
              </w:rPr>
              <w:t>1.4.</w:t>
            </w:r>
          </w:p>
        </w:tc>
        <w:tc>
          <w:tcPr>
            <w:tcW w:w="4953" w:type="dxa"/>
            <w:shd w:val="clear" w:color="auto" w:fill="auto"/>
            <w:vAlign w:val="center"/>
            <w:hideMark/>
          </w:tcPr>
          <w:p w14:paraId="5ED55470" w14:textId="77777777" w:rsidR="00957A78" w:rsidRPr="00B80461" w:rsidRDefault="00957A78" w:rsidP="00A72B0A">
            <w:pPr>
              <w:spacing w:before="0" w:after="0" w:line="240" w:lineRule="auto"/>
              <w:rPr>
                <w:sz w:val="18"/>
                <w:szCs w:val="18"/>
              </w:rPr>
            </w:pPr>
            <w:r w:rsidRPr="0031294C">
              <w:rPr>
                <w:sz w:val="18"/>
                <w:szCs w:val="18"/>
              </w:rPr>
              <w:t>ֆինանսներ և ապահովագրություն</w:t>
            </w:r>
          </w:p>
        </w:tc>
        <w:tc>
          <w:tcPr>
            <w:tcW w:w="1499" w:type="dxa"/>
            <w:gridSpan w:val="2"/>
            <w:shd w:val="clear" w:color="auto" w:fill="auto"/>
            <w:vAlign w:val="center"/>
            <w:hideMark/>
          </w:tcPr>
          <w:p w14:paraId="39152F25" w14:textId="77777777" w:rsidR="00957A78" w:rsidRPr="00B80461" w:rsidRDefault="00957A78" w:rsidP="00A72B0A">
            <w:pPr>
              <w:spacing w:before="0" w:after="0" w:line="240" w:lineRule="auto"/>
              <w:jc w:val="center"/>
              <w:rPr>
                <w:sz w:val="18"/>
                <w:szCs w:val="18"/>
              </w:rPr>
            </w:pPr>
            <w:r w:rsidRPr="0031294C">
              <w:rPr>
                <w:sz w:val="18"/>
                <w:szCs w:val="18"/>
              </w:rPr>
              <w:t>235,069</w:t>
            </w:r>
          </w:p>
        </w:tc>
        <w:tc>
          <w:tcPr>
            <w:tcW w:w="1621" w:type="dxa"/>
            <w:gridSpan w:val="2"/>
            <w:shd w:val="clear" w:color="auto" w:fill="auto"/>
            <w:vAlign w:val="center"/>
            <w:hideMark/>
          </w:tcPr>
          <w:p w14:paraId="7CBE6BD7" w14:textId="77777777" w:rsidR="00957A78" w:rsidRPr="00B80461" w:rsidRDefault="00957A78" w:rsidP="00A72B0A">
            <w:pPr>
              <w:spacing w:before="0" w:after="0" w:line="240" w:lineRule="auto"/>
              <w:jc w:val="center"/>
              <w:rPr>
                <w:sz w:val="18"/>
                <w:szCs w:val="18"/>
              </w:rPr>
            </w:pPr>
            <w:r w:rsidRPr="0031294C">
              <w:rPr>
                <w:sz w:val="18"/>
                <w:szCs w:val="18"/>
              </w:rPr>
              <w:t>8.01%</w:t>
            </w:r>
          </w:p>
        </w:tc>
        <w:tc>
          <w:tcPr>
            <w:tcW w:w="1149" w:type="dxa"/>
            <w:gridSpan w:val="2"/>
            <w:shd w:val="clear" w:color="auto" w:fill="auto"/>
            <w:vAlign w:val="center"/>
            <w:hideMark/>
          </w:tcPr>
          <w:p w14:paraId="303C094C" w14:textId="77777777" w:rsidR="00957A78" w:rsidRPr="00B80461" w:rsidRDefault="00957A78" w:rsidP="00A72B0A">
            <w:pPr>
              <w:spacing w:before="0" w:after="0" w:line="240" w:lineRule="auto"/>
              <w:jc w:val="center"/>
              <w:rPr>
                <w:sz w:val="18"/>
                <w:szCs w:val="18"/>
              </w:rPr>
            </w:pPr>
            <w:r w:rsidRPr="0031294C">
              <w:rPr>
                <w:sz w:val="18"/>
                <w:szCs w:val="18"/>
              </w:rPr>
              <w:t>1.98%</w:t>
            </w:r>
          </w:p>
        </w:tc>
      </w:tr>
      <w:tr w:rsidR="00957A78" w:rsidRPr="00B80461" w14:paraId="57687778" w14:textId="77777777" w:rsidTr="00A72B0A">
        <w:trPr>
          <w:gridAfter w:val="1"/>
          <w:wAfter w:w="9" w:type="dxa"/>
          <w:trHeight w:val="245"/>
        </w:trPr>
        <w:tc>
          <w:tcPr>
            <w:tcW w:w="720" w:type="dxa"/>
            <w:shd w:val="clear" w:color="auto" w:fill="auto"/>
            <w:vAlign w:val="center"/>
            <w:hideMark/>
          </w:tcPr>
          <w:p w14:paraId="73B9D358" w14:textId="77777777" w:rsidR="00957A78" w:rsidRPr="00B80461" w:rsidRDefault="00957A78" w:rsidP="00A72B0A">
            <w:pPr>
              <w:spacing w:before="0" w:after="0" w:line="240" w:lineRule="auto"/>
              <w:jc w:val="both"/>
              <w:rPr>
                <w:sz w:val="18"/>
                <w:szCs w:val="18"/>
              </w:rPr>
            </w:pPr>
            <w:r w:rsidRPr="0031294C">
              <w:rPr>
                <w:sz w:val="18"/>
                <w:szCs w:val="18"/>
              </w:rPr>
              <w:t>1.5.</w:t>
            </w:r>
          </w:p>
        </w:tc>
        <w:tc>
          <w:tcPr>
            <w:tcW w:w="4953" w:type="dxa"/>
            <w:shd w:val="clear" w:color="auto" w:fill="auto"/>
            <w:vAlign w:val="center"/>
            <w:hideMark/>
          </w:tcPr>
          <w:p w14:paraId="3AEDD23A" w14:textId="77777777" w:rsidR="00957A78" w:rsidRPr="00B80461" w:rsidRDefault="00957A78" w:rsidP="00A72B0A">
            <w:pPr>
              <w:spacing w:before="0" w:after="0" w:line="240" w:lineRule="auto"/>
              <w:rPr>
                <w:sz w:val="18"/>
                <w:szCs w:val="18"/>
              </w:rPr>
            </w:pPr>
            <w:r w:rsidRPr="0031294C">
              <w:rPr>
                <w:sz w:val="18"/>
                <w:szCs w:val="18"/>
              </w:rPr>
              <w:t>ԱԱՀ-ի շեմ</w:t>
            </w:r>
          </w:p>
        </w:tc>
        <w:tc>
          <w:tcPr>
            <w:tcW w:w="1499" w:type="dxa"/>
            <w:gridSpan w:val="2"/>
            <w:shd w:val="clear" w:color="auto" w:fill="auto"/>
            <w:vAlign w:val="center"/>
            <w:hideMark/>
          </w:tcPr>
          <w:p w14:paraId="50A6CD44" w14:textId="77777777" w:rsidR="00957A78" w:rsidRPr="00B80461" w:rsidRDefault="00957A78" w:rsidP="00A72B0A">
            <w:pPr>
              <w:spacing w:before="0" w:after="0" w:line="240" w:lineRule="auto"/>
              <w:jc w:val="center"/>
              <w:rPr>
                <w:sz w:val="18"/>
                <w:szCs w:val="18"/>
              </w:rPr>
            </w:pPr>
            <w:r w:rsidRPr="0031294C">
              <w:rPr>
                <w:sz w:val="18"/>
                <w:szCs w:val="18"/>
              </w:rPr>
              <w:t>99,544</w:t>
            </w:r>
          </w:p>
        </w:tc>
        <w:tc>
          <w:tcPr>
            <w:tcW w:w="1621" w:type="dxa"/>
            <w:gridSpan w:val="2"/>
            <w:shd w:val="clear" w:color="auto" w:fill="auto"/>
            <w:vAlign w:val="center"/>
            <w:hideMark/>
          </w:tcPr>
          <w:p w14:paraId="2A1D8D82" w14:textId="77777777" w:rsidR="00957A78" w:rsidRPr="00B80461" w:rsidRDefault="00957A78" w:rsidP="00A72B0A">
            <w:pPr>
              <w:spacing w:before="0" w:after="0" w:line="240" w:lineRule="auto"/>
              <w:jc w:val="center"/>
              <w:rPr>
                <w:sz w:val="18"/>
                <w:szCs w:val="18"/>
              </w:rPr>
            </w:pPr>
            <w:r w:rsidRPr="0031294C">
              <w:rPr>
                <w:sz w:val="18"/>
                <w:szCs w:val="18"/>
              </w:rPr>
              <w:t>3.39%</w:t>
            </w:r>
          </w:p>
        </w:tc>
        <w:tc>
          <w:tcPr>
            <w:tcW w:w="1149" w:type="dxa"/>
            <w:gridSpan w:val="2"/>
            <w:shd w:val="clear" w:color="auto" w:fill="auto"/>
            <w:vAlign w:val="center"/>
            <w:hideMark/>
          </w:tcPr>
          <w:p w14:paraId="4ACA8BF8" w14:textId="77777777" w:rsidR="00957A78" w:rsidRPr="00B80461" w:rsidRDefault="00957A78" w:rsidP="00A72B0A">
            <w:pPr>
              <w:spacing w:before="0" w:after="0" w:line="240" w:lineRule="auto"/>
              <w:jc w:val="center"/>
              <w:rPr>
                <w:sz w:val="18"/>
                <w:szCs w:val="18"/>
              </w:rPr>
            </w:pPr>
            <w:r w:rsidRPr="0031294C">
              <w:rPr>
                <w:sz w:val="18"/>
                <w:szCs w:val="18"/>
              </w:rPr>
              <w:t>0.84%</w:t>
            </w:r>
          </w:p>
        </w:tc>
      </w:tr>
      <w:tr w:rsidR="00957A78" w:rsidRPr="00B80461" w14:paraId="0A2E29F5" w14:textId="77777777" w:rsidTr="00A72B0A">
        <w:trPr>
          <w:gridAfter w:val="1"/>
          <w:wAfter w:w="9" w:type="dxa"/>
          <w:trHeight w:val="245"/>
        </w:trPr>
        <w:tc>
          <w:tcPr>
            <w:tcW w:w="720" w:type="dxa"/>
            <w:shd w:val="clear" w:color="auto" w:fill="auto"/>
            <w:vAlign w:val="center"/>
            <w:hideMark/>
          </w:tcPr>
          <w:p w14:paraId="5DBC1048" w14:textId="77777777" w:rsidR="00957A78" w:rsidRPr="00B80461" w:rsidRDefault="00957A78" w:rsidP="00A72B0A">
            <w:pPr>
              <w:spacing w:before="0" w:after="0" w:line="240" w:lineRule="auto"/>
              <w:jc w:val="both"/>
              <w:rPr>
                <w:sz w:val="18"/>
                <w:szCs w:val="18"/>
              </w:rPr>
            </w:pPr>
            <w:r w:rsidRPr="0031294C">
              <w:rPr>
                <w:sz w:val="18"/>
                <w:szCs w:val="18"/>
              </w:rPr>
              <w:t>1.6.</w:t>
            </w:r>
          </w:p>
        </w:tc>
        <w:tc>
          <w:tcPr>
            <w:tcW w:w="4953" w:type="dxa"/>
            <w:shd w:val="clear" w:color="auto" w:fill="auto"/>
            <w:vAlign w:val="center"/>
            <w:hideMark/>
          </w:tcPr>
          <w:p w14:paraId="12C98442" w14:textId="77777777" w:rsidR="00957A78" w:rsidRPr="00B80461" w:rsidRDefault="00957A78" w:rsidP="00A72B0A">
            <w:pPr>
              <w:spacing w:before="60" w:after="60" w:line="240" w:lineRule="auto"/>
              <w:rPr>
                <w:sz w:val="18"/>
                <w:szCs w:val="18"/>
              </w:rPr>
            </w:pPr>
            <w:r w:rsidRPr="0031294C">
              <w:rPr>
                <w:sz w:val="18"/>
                <w:szCs w:val="18"/>
              </w:rPr>
              <w:t>խաղատների գործունեություն, շահումով խաղերի (այդ թվում՝ ինտերնետ շահումով խաղերի), տոտալիզատորի և ինտերնետ տոտալիզատորի կազմակերպում</w:t>
            </w:r>
          </w:p>
        </w:tc>
        <w:tc>
          <w:tcPr>
            <w:tcW w:w="1499" w:type="dxa"/>
            <w:gridSpan w:val="2"/>
            <w:shd w:val="clear" w:color="auto" w:fill="auto"/>
            <w:vAlign w:val="center"/>
            <w:hideMark/>
          </w:tcPr>
          <w:p w14:paraId="57E3933E" w14:textId="77777777" w:rsidR="00957A78" w:rsidRPr="00B80461" w:rsidRDefault="00957A78" w:rsidP="00A72B0A">
            <w:pPr>
              <w:spacing w:before="0" w:after="0" w:line="240" w:lineRule="auto"/>
              <w:jc w:val="center"/>
              <w:rPr>
                <w:sz w:val="18"/>
                <w:szCs w:val="18"/>
              </w:rPr>
            </w:pPr>
            <w:r w:rsidRPr="0031294C">
              <w:rPr>
                <w:sz w:val="18"/>
                <w:szCs w:val="18"/>
              </w:rPr>
              <w:t>71,960</w:t>
            </w:r>
          </w:p>
        </w:tc>
        <w:tc>
          <w:tcPr>
            <w:tcW w:w="1621" w:type="dxa"/>
            <w:gridSpan w:val="2"/>
            <w:shd w:val="clear" w:color="auto" w:fill="auto"/>
            <w:vAlign w:val="center"/>
            <w:hideMark/>
          </w:tcPr>
          <w:p w14:paraId="5094A55D" w14:textId="77777777" w:rsidR="00957A78" w:rsidRPr="00B80461" w:rsidRDefault="00957A78" w:rsidP="00A72B0A">
            <w:pPr>
              <w:spacing w:before="0" w:after="0" w:line="240" w:lineRule="auto"/>
              <w:jc w:val="center"/>
              <w:rPr>
                <w:sz w:val="18"/>
                <w:szCs w:val="18"/>
              </w:rPr>
            </w:pPr>
            <w:r w:rsidRPr="0031294C">
              <w:rPr>
                <w:sz w:val="18"/>
                <w:szCs w:val="18"/>
              </w:rPr>
              <w:t>2.45%</w:t>
            </w:r>
          </w:p>
        </w:tc>
        <w:tc>
          <w:tcPr>
            <w:tcW w:w="1149" w:type="dxa"/>
            <w:gridSpan w:val="2"/>
            <w:shd w:val="clear" w:color="auto" w:fill="auto"/>
            <w:vAlign w:val="center"/>
            <w:hideMark/>
          </w:tcPr>
          <w:p w14:paraId="7198B394" w14:textId="77777777" w:rsidR="00957A78" w:rsidRPr="00B80461" w:rsidRDefault="00957A78" w:rsidP="00A72B0A">
            <w:pPr>
              <w:spacing w:before="0" w:after="0" w:line="240" w:lineRule="auto"/>
              <w:jc w:val="center"/>
              <w:rPr>
                <w:sz w:val="18"/>
                <w:szCs w:val="18"/>
              </w:rPr>
            </w:pPr>
            <w:r w:rsidRPr="0031294C">
              <w:rPr>
                <w:sz w:val="18"/>
                <w:szCs w:val="18"/>
              </w:rPr>
              <w:t>0.61%</w:t>
            </w:r>
          </w:p>
        </w:tc>
      </w:tr>
      <w:tr w:rsidR="00957A78" w:rsidRPr="00B80461" w14:paraId="1B93C7A7" w14:textId="77777777" w:rsidTr="00A72B0A">
        <w:trPr>
          <w:gridAfter w:val="1"/>
          <w:wAfter w:w="9" w:type="dxa"/>
          <w:trHeight w:val="245"/>
        </w:trPr>
        <w:tc>
          <w:tcPr>
            <w:tcW w:w="720" w:type="dxa"/>
            <w:shd w:val="clear" w:color="auto" w:fill="auto"/>
            <w:vAlign w:val="center"/>
            <w:hideMark/>
          </w:tcPr>
          <w:p w14:paraId="280C52C7" w14:textId="77777777" w:rsidR="00957A78" w:rsidRPr="00B80461" w:rsidRDefault="00957A78" w:rsidP="00A72B0A">
            <w:pPr>
              <w:spacing w:before="0" w:after="0" w:line="240" w:lineRule="auto"/>
              <w:jc w:val="both"/>
              <w:rPr>
                <w:sz w:val="18"/>
                <w:szCs w:val="18"/>
              </w:rPr>
            </w:pPr>
            <w:r w:rsidRPr="0031294C">
              <w:rPr>
                <w:sz w:val="18"/>
                <w:szCs w:val="18"/>
              </w:rPr>
              <w:t>1.7.</w:t>
            </w:r>
          </w:p>
        </w:tc>
        <w:tc>
          <w:tcPr>
            <w:tcW w:w="4953" w:type="dxa"/>
            <w:shd w:val="clear" w:color="auto" w:fill="auto"/>
            <w:vAlign w:val="center"/>
            <w:hideMark/>
          </w:tcPr>
          <w:p w14:paraId="7BD06DA9" w14:textId="77777777" w:rsidR="00957A78" w:rsidRPr="00B80461" w:rsidRDefault="00957A78" w:rsidP="00A72B0A">
            <w:pPr>
              <w:spacing w:before="0" w:after="0" w:line="240" w:lineRule="auto"/>
              <w:rPr>
                <w:sz w:val="18"/>
                <w:szCs w:val="18"/>
              </w:rPr>
            </w:pPr>
            <w:r w:rsidRPr="0031294C">
              <w:rPr>
                <w:sz w:val="18"/>
                <w:szCs w:val="18"/>
              </w:rPr>
              <w:t>ոսկու և թանկարժեք քարերի իրացում</w:t>
            </w:r>
          </w:p>
        </w:tc>
        <w:tc>
          <w:tcPr>
            <w:tcW w:w="1499" w:type="dxa"/>
            <w:gridSpan w:val="2"/>
            <w:shd w:val="clear" w:color="auto" w:fill="auto"/>
            <w:vAlign w:val="center"/>
            <w:hideMark/>
          </w:tcPr>
          <w:p w14:paraId="060BF6A4" w14:textId="77777777" w:rsidR="00957A78" w:rsidRPr="00B80461" w:rsidRDefault="00957A78" w:rsidP="00A72B0A">
            <w:pPr>
              <w:spacing w:before="0" w:after="0" w:line="240" w:lineRule="auto"/>
              <w:jc w:val="center"/>
              <w:rPr>
                <w:sz w:val="18"/>
                <w:szCs w:val="18"/>
              </w:rPr>
            </w:pPr>
            <w:r w:rsidRPr="0031294C">
              <w:rPr>
                <w:sz w:val="18"/>
                <w:szCs w:val="18"/>
              </w:rPr>
              <w:t>38,732</w:t>
            </w:r>
          </w:p>
        </w:tc>
        <w:tc>
          <w:tcPr>
            <w:tcW w:w="1621" w:type="dxa"/>
            <w:gridSpan w:val="2"/>
            <w:shd w:val="clear" w:color="auto" w:fill="auto"/>
            <w:vAlign w:val="center"/>
            <w:hideMark/>
          </w:tcPr>
          <w:p w14:paraId="1401AA01" w14:textId="77777777" w:rsidR="00957A78" w:rsidRPr="00B80461" w:rsidRDefault="00957A78" w:rsidP="00A72B0A">
            <w:pPr>
              <w:spacing w:before="0" w:after="0" w:line="240" w:lineRule="auto"/>
              <w:jc w:val="center"/>
              <w:rPr>
                <w:sz w:val="18"/>
                <w:szCs w:val="18"/>
              </w:rPr>
            </w:pPr>
            <w:r w:rsidRPr="0031294C">
              <w:rPr>
                <w:sz w:val="18"/>
                <w:szCs w:val="18"/>
              </w:rPr>
              <w:t>1.32%</w:t>
            </w:r>
          </w:p>
        </w:tc>
        <w:tc>
          <w:tcPr>
            <w:tcW w:w="1149" w:type="dxa"/>
            <w:gridSpan w:val="2"/>
            <w:shd w:val="clear" w:color="auto" w:fill="auto"/>
            <w:vAlign w:val="center"/>
            <w:hideMark/>
          </w:tcPr>
          <w:p w14:paraId="1EE3933A" w14:textId="77777777" w:rsidR="00957A78" w:rsidRPr="00B80461" w:rsidRDefault="00957A78" w:rsidP="00A72B0A">
            <w:pPr>
              <w:spacing w:before="0" w:after="0" w:line="240" w:lineRule="auto"/>
              <w:jc w:val="center"/>
              <w:rPr>
                <w:sz w:val="18"/>
                <w:szCs w:val="18"/>
              </w:rPr>
            </w:pPr>
            <w:r w:rsidRPr="0031294C">
              <w:rPr>
                <w:sz w:val="18"/>
                <w:szCs w:val="18"/>
              </w:rPr>
              <w:t>0.33%</w:t>
            </w:r>
          </w:p>
        </w:tc>
      </w:tr>
      <w:tr w:rsidR="00957A78" w:rsidRPr="00B80461" w14:paraId="422B80C2" w14:textId="77777777" w:rsidTr="00A72B0A">
        <w:trPr>
          <w:gridAfter w:val="1"/>
          <w:wAfter w:w="9" w:type="dxa"/>
          <w:trHeight w:val="245"/>
        </w:trPr>
        <w:tc>
          <w:tcPr>
            <w:tcW w:w="720" w:type="dxa"/>
            <w:shd w:val="clear" w:color="auto" w:fill="auto"/>
            <w:vAlign w:val="center"/>
            <w:hideMark/>
          </w:tcPr>
          <w:p w14:paraId="0F5F1242" w14:textId="77777777" w:rsidR="00957A78" w:rsidRPr="00B80461" w:rsidRDefault="00957A78" w:rsidP="00A72B0A">
            <w:pPr>
              <w:spacing w:before="0" w:after="0" w:line="240" w:lineRule="auto"/>
              <w:jc w:val="both"/>
              <w:rPr>
                <w:sz w:val="18"/>
                <w:szCs w:val="18"/>
              </w:rPr>
            </w:pPr>
            <w:r w:rsidRPr="0031294C">
              <w:rPr>
                <w:sz w:val="18"/>
                <w:szCs w:val="18"/>
              </w:rPr>
              <w:t>1.8.</w:t>
            </w:r>
          </w:p>
        </w:tc>
        <w:tc>
          <w:tcPr>
            <w:tcW w:w="4953" w:type="dxa"/>
            <w:shd w:val="clear" w:color="auto" w:fill="auto"/>
            <w:vAlign w:val="center"/>
            <w:hideMark/>
          </w:tcPr>
          <w:p w14:paraId="4D4C377B" w14:textId="77777777" w:rsidR="00957A78" w:rsidRPr="00B80461" w:rsidRDefault="00957A78" w:rsidP="00A72B0A">
            <w:pPr>
              <w:spacing w:before="0" w:after="0" w:line="240" w:lineRule="auto"/>
              <w:rPr>
                <w:sz w:val="18"/>
                <w:szCs w:val="18"/>
              </w:rPr>
            </w:pPr>
            <w:r w:rsidRPr="0031294C">
              <w:rPr>
                <w:sz w:val="18"/>
                <w:szCs w:val="18"/>
              </w:rPr>
              <w:t>մարդասիրական օգնություն</w:t>
            </w:r>
          </w:p>
        </w:tc>
        <w:tc>
          <w:tcPr>
            <w:tcW w:w="1499" w:type="dxa"/>
            <w:gridSpan w:val="2"/>
            <w:shd w:val="clear" w:color="auto" w:fill="auto"/>
            <w:vAlign w:val="center"/>
            <w:hideMark/>
          </w:tcPr>
          <w:p w14:paraId="7FF94AC9" w14:textId="77777777" w:rsidR="00957A78" w:rsidRPr="00B80461" w:rsidRDefault="00957A78" w:rsidP="00A72B0A">
            <w:pPr>
              <w:spacing w:before="0" w:after="0" w:line="240" w:lineRule="auto"/>
              <w:jc w:val="center"/>
              <w:rPr>
                <w:sz w:val="18"/>
                <w:szCs w:val="18"/>
              </w:rPr>
            </w:pPr>
            <w:r w:rsidRPr="0031294C">
              <w:rPr>
                <w:sz w:val="18"/>
                <w:szCs w:val="18"/>
              </w:rPr>
              <w:t>10,050</w:t>
            </w:r>
          </w:p>
        </w:tc>
        <w:tc>
          <w:tcPr>
            <w:tcW w:w="1621" w:type="dxa"/>
            <w:gridSpan w:val="2"/>
            <w:shd w:val="clear" w:color="auto" w:fill="auto"/>
            <w:vAlign w:val="center"/>
            <w:hideMark/>
          </w:tcPr>
          <w:p w14:paraId="19B710CF" w14:textId="77777777" w:rsidR="00957A78" w:rsidRPr="00B80461" w:rsidRDefault="00957A78" w:rsidP="00A72B0A">
            <w:pPr>
              <w:spacing w:before="0" w:after="0" w:line="240" w:lineRule="auto"/>
              <w:jc w:val="center"/>
              <w:rPr>
                <w:sz w:val="18"/>
                <w:szCs w:val="18"/>
              </w:rPr>
            </w:pPr>
            <w:r w:rsidRPr="0031294C">
              <w:rPr>
                <w:sz w:val="18"/>
                <w:szCs w:val="18"/>
              </w:rPr>
              <w:t>0.34%</w:t>
            </w:r>
          </w:p>
        </w:tc>
        <w:tc>
          <w:tcPr>
            <w:tcW w:w="1149" w:type="dxa"/>
            <w:gridSpan w:val="2"/>
            <w:shd w:val="clear" w:color="auto" w:fill="auto"/>
            <w:vAlign w:val="center"/>
            <w:hideMark/>
          </w:tcPr>
          <w:p w14:paraId="1F0C9E8E" w14:textId="77777777" w:rsidR="00957A78" w:rsidRPr="00B80461" w:rsidRDefault="00957A78" w:rsidP="00A72B0A">
            <w:pPr>
              <w:spacing w:before="0" w:after="0" w:line="240" w:lineRule="auto"/>
              <w:jc w:val="center"/>
              <w:rPr>
                <w:sz w:val="18"/>
                <w:szCs w:val="18"/>
              </w:rPr>
            </w:pPr>
            <w:r w:rsidRPr="0031294C">
              <w:rPr>
                <w:sz w:val="18"/>
                <w:szCs w:val="18"/>
              </w:rPr>
              <w:t>0.08%</w:t>
            </w:r>
          </w:p>
        </w:tc>
      </w:tr>
      <w:tr w:rsidR="00957A78" w:rsidRPr="00B80461" w14:paraId="6D860424" w14:textId="77777777" w:rsidTr="00A72B0A">
        <w:trPr>
          <w:gridAfter w:val="1"/>
          <w:wAfter w:w="9" w:type="dxa"/>
          <w:trHeight w:val="245"/>
        </w:trPr>
        <w:tc>
          <w:tcPr>
            <w:tcW w:w="720" w:type="dxa"/>
            <w:shd w:val="clear" w:color="auto" w:fill="auto"/>
            <w:vAlign w:val="center"/>
            <w:hideMark/>
          </w:tcPr>
          <w:p w14:paraId="19F75DC8" w14:textId="77777777" w:rsidR="00957A78" w:rsidRPr="00B80461" w:rsidRDefault="00957A78" w:rsidP="00A72B0A">
            <w:pPr>
              <w:spacing w:before="0" w:after="0" w:line="240" w:lineRule="auto"/>
              <w:jc w:val="both"/>
              <w:rPr>
                <w:sz w:val="18"/>
                <w:szCs w:val="18"/>
              </w:rPr>
            </w:pPr>
            <w:r w:rsidRPr="0031294C">
              <w:rPr>
                <w:sz w:val="18"/>
                <w:szCs w:val="18"/>
              </w:rPr>
              <w:t>1.9.</w:t>
            </w:r>
          </w:p>
        </w:tc>
        <w:tc>
          <w:tcPr>
            <w:tcW w:w="4953" w:type="dxa"/>
            <w:shd w:val="clear" w:color="auto" w:fill="auto"/>
            <w:vAlign w:val="center"/>
            <w:hideMark/>
          </w:tcPr>
          <w:p w14:paraId="41D58A30" w14:textId="77777777" w:rsidR="00957A78" w:rsidRPr="00B80461" w:rsidRDefault="00957A78" w:rsidP="00A72B0A">
            <w:pPr>
              <w:spacing w:before="0" w:after="0" w:line="240" w:lineRule="auto"/>
              <w:rPr>
                <w:sz w:val="18"/>
                <w:szCs w:val="18"/>
              </w:rPr>
            </w:pPr>
            <w:r w:rsidRPr="0031294C">
              <w:rPr>
                <w:sz w:val="18"/>
                <w:szCs w:val="18"/>
              </w:rPr>
              <w:t>պարարտանյութերի իրացում</w:t>
            </w:r>
          </w:p>
        </w:tc>
        <w:tc>
          <w:tcPr>
            <w:tcW w:w="1499" w:type="dxa"/>
            <w:gridSpan w:val="2"/>
            <w:shd w:val="clear" w:color="auto" w:fill="auto"/>
            <w:vAlign w:val="center"/>
            <w:hideMark/>
          </w:tcPr>
          <w:p w14:paraId="382326AF" w14:textId="77777777" w:rsidR="00957A78" w:rsidRPr="00B80461" w:rsidRDefault="00957A78" w:rsidP="00A72B0A">
            <w:pPr>
              <w:spacing w:before="0" w:after="0" w:line="240" w:lineRule="auto"/>
              <w:jc w:val="center"/>
              <w:rPr>
                <w:sz w:val="18"/>
                <w:szCs w:val="18"/>
              </w:rPr>
            </w:pPr>
            <w:r w:rsidRPr="0031294C">
              <w:rPr>
                <w:sz w:val="18"/>
                <w:szCs w:val="18"/>
              </w:rPr>
              <w:t>6,748</w:t>
            </w:r>
          </w:p>
        </w:tc>
        <w:tc>
          <w:tcPr>
            <w:tcW w:w="1621" w:type="dxa"/>
            <w:gridSpan w:val="2"/>
            <w:shd w:val="clear" w:color="auto" w:fill="auto"/>
            <w:vAlign w:val="center"/>
            <w:hideMark/>
          </w:tcPr>
          <w:p w14:paraId="378FD9D9" w14:textId="77777777" w:rsidR="00957A78" w:rsidRPr="00B80461" w:rsidRDefault="00957A78" w:rsidP="00A72B0A">
            <w:pPr>
              <w:spacing w:before="0" w:after="0" w:line="240" w:lineRule="auto"/>
              <w:jc w:val="center"/>
              <w:rPr>
                <w:sz w:val="18"/>
                <w:szCs w:val="18"/>
              </w:rPr>
            </w:pPr>
            <w:r w:rsidRPr="0031294C">
              <w:rPr>
                <w:sz w:val="18"/>
                <w:szCs w:val="18"/>
              </w:rPr>
              <w:t>0.23%</w:t>
            </w:r>
          </w:p>
        </w:tc>
        <w:tc>
          <w:tcPr>
            <w:tcW w:w="1149" w:type="dxa"/>
            <w:gridSpan w:val="2"/>
            <w:shd w:val="clear" w:color="auto" w:fill="auto"/>
            <w:vAlign w:val="center"/>
            <w:hideMark/>
          </w:tcPr>
          <w:p w14:paraId="24A51E3E" w14:textId="77777777" w:rsidR="00957A78" w:rsidRPr="00B80461" w:rsidRDefault="00957A78" w:rsidP="00A72B0A">
            <w:pPr>
              <w:spacing w:before="0" w:after="0" w:line="240" w:lineRule="auto"/>
              <w:jc w:val="center"/>
              <w:rPr>
                <w:sz w:val="18"/>
                <w:szCs w:val="18"/>
              </w:rPr>
            </w:pPr>
            <w:r w:rsidRPr="0031294C">
              <w:rPr>
                <w:sz w:val="18"/>
                <w:szCs w:val="18"/>
              </w:rPr>
              <w:t>0.06%</w:t>
            </w:r>
          </w:p>
        </w:tc>
      </w:tr>
      <w:tr w:rsidR="00957A78" w:rsidRPr="00B80461" w14:paraId="638D25E0" w14:textId="77777777" w:rsidTr="00A72B0A">
        <w:trPr>
          <w:gridAfter w:val="1"/>
          <w:wAfter w:w="9" w:type="dxa"/>
          <w:trHeight w:val="245"/>
        </w:trPr>
        <w:tc>
          <w:tcPr>
            <w:tcW w:w="720" w:type="dxa"/>
            <w:shd w:val="clear" w:color="auto" w:fill="auto"/>
            <w:vAlign w:val="center"/>
            <w:hideMark/>
          </w:tcPr>
          <w:p w14:paraId="4959CE31" w14:textId="77777777" w:rsidR="00957A78" w:rsidRPr="00B80461" w:rsidRDefault="00957A78" w:rsidP="00A72B0A">
            <w:pPr>
              <w:spacing w:before="0" w:after="0" w:line="240" w:lineRule="auto"/>
              <w:jc w:val="both"/>
              <w:rPr>
                <w:sz w:val="18"/>
                <w:szCs w:val="18"/>
              </w:rPr>
            </w:pPr>
            <w:r w:rsidRPr="0031294C">
              <w:rPr>
                <w:sz w:val="18"/>
                <w:szCs w:val="18"/>
              </w:rPr>
              <w:t>1.10.</w:t>
            </w:r>
          </w:p>
        </w:tc>
        <w:tc>
          <w:tcPr>
            <w:tcW w:w="4953" w:type="dxa"/>
            <w:shd w:val="clear" w:color="auto" w:fill="auto"/>
            <w:vAlign w:val="center"/>
            <w:hideMark/>
          </w:tcPr>
          <w:p w14:paraId="1548040C" w14:textId="77777777" w:rsidR="00957A78" w:rsidRPr="00B80461" w:rsidRDefault="00957A78" w:rsidP="00A72B0A">
            <w:pPr>
              <w:spacing w:before="60" w:after="60" w:line="240" w:lineRule="auto"/>
              <w:rPr>
                <w:sz w:val="18"/>
                <w:szCs w:val="18"/>
              </w:rPr>
            </w:pPr>
            <w:r w:rsidRPr="0031294C">
              <w:rPr>
                <w:sz w:val="18"/>
                <w:szCs w:val="18"/>
              </w:rPr>
              <w:t>ջրօգտագործողների ընկերությունների կողմից ոռոգման ջրի օտարում</w:t>
            </w:r>
          </w:p>
        </w:tc>
        <w:tc>
          <w:tcPr>
            <w:tcW w:w="1499" w:type="dxa"/>
            <w:gridSpan w:val="2"/>
            <w:shd w:val="clear" w:color="auto" w:fill="auto"/>
            <w:vAlign w:val="center"/>
            <w:hideMark/>
          </w:tcPr>
          <w:p w14:paraId="06CFF676" w14:textId="77777777" w:rsidR="00957A78" w:rsidRPr="00B80461" w:rsidRDefault="00957A78" w:rsidP="00A72B0A">
            <w:pPr>
              <w:spacing w:before="0" w:after="0" w:line="240" w:lineRule="auto"/>
              <w:jc w:val="center"/>
              <w:rPr>
                <w:sz w:val="18"/>
                <w:szCs w:val="18"/>
              </w:rPr>
            </w:pPr>
            <w:r w:rsidRPr="0031294C">
              <w:rPr>
                <w:sz w:val="18"/>
                <w:szCs w:val="18"/>
              </w:rPr>
              <w:t>1,785</w:t>
            </w:r>
          </w:p>
        </w:tc>
        <w:tc>
          <w:tcPr>
            <w:tcW w:w="1621" w:type="dxa"/>
            <w:gridSpan w:val="2"/>
            <w:shd w:val="clear" w:color="auto" w:fill="auto"/>
            <w:vAlign w:val="center"/>
            <w:hideMark/>
          </w:tcPr>
          <w:p w14:paraId="732EC5E3" w14:textId="77777777" w:rsidR="00957A78" w:rsidRPr="00B80461" w:rsidRDefault="00957A78" w:rsidP="00A72B0A">
            <w:pPr>
              <w:spacing w:before="0" w:after="0" w:line="240" w:lineRule="auto"/>
              <w:jc w:val="center"/>
              <w:rPr>
                <w:sz w:val="18"/>
                <w:szCs w:val="18"/>
              </w:rPr>
            </w:pPr>
            <w:r w:rsidRPr="0031294C">
              <w:rPr>
                <w:sz w:val="18"/>
                <w:szCs w:val="18"/>
              </w:rPr>
              <w:t>0.06%</w:t>
            </w:r>
          </w:p>
        </w:tc>
        <w:tc>
          <w:tcPr>
            <w:tcW w:w="1149" w:type="dxa"/>
            <w:gridSpan w:val="2"/>
            <w:shd w:val="clear" w:color="auto" w:fill="auto"/>
            <w:vAlign w:val="center"/>
            <w:hideMark/>
          </w:tcPr>
          <w:p w14:paraId="646A7812" w14:textId="77777777" w:rsidR="00957A78" w:rsidRPr="00B80461" w:rsidRDefault="00957A78" w:rsidP="00A72B0A">
            <w:pPr>
              <w:spacing w:before="0" w:after="0" w:line="240" w:lineRule="auto"/>
              <w:jc w:val="center"/>
              <w:rPr>
                <w:sz w:val="18"/>
                <w:szCs w:val="18"/>
              </w:rPr>
            </w:pPr>
            <w:r w:rsidRPr="0031294C">
              <w:rPr>
                <w:sz w:val="18"/>
                <w:szCs w:val="18"/>
              </w:rPr>
              <w:t>0.02%</w:t>
            </w:r>
          </w:p>
        </w:tc>
      </w:tr>
      <w:tr w:rsidR="00957A78" w:rsidRPr="00B80461" w14:paraId="622E68CE" w14:textId="77777777" w:rsidTr="00A72B0A">
        <w:trPr>
          <w:gridAfter w:val="1"/>
          <w:wAfter w:w="9" w:type="dxa"/>
          <w:trHeight w:val="245"/>
        </w:trPr>
        <w:tc>
          <w:tcPr>
            <w:tcW w:w="720" w:type="dxa"/>
            <w:shd w:val="clear" w:color="auto" w:fill="auto"/>
            <w:vAlign w:val="center"/>
            <w:hideMark/>
          </w:tcPr>
          <w:p w14:paraId="38F2EC53" w14:textId="77777777" w:rsidR="00957A78" w:rsidRPr="00B80461" w:rsidRDefault="00957A78" w:rsidP="00A72B0A">
            <w:pPr>
              <w:spacing w:before="0" w:after="0" w:line="240" w:lineRule="auto"/>
              <w:jc w:val="both"/>
              <w:rPr>
                <w:sz w:val="18"/>
                <w:szCs w:val="18"/>
              </w:rPr>
            </w:pPr>
            <w:r w:rsidRPr="0031294C">
              <w:rPr>
                <w:sz w:val="18"/>
                <w:szCs w:val="18"/>
              </w:rPr>
              <w:t>1.11.</w:t>
            </w:r>
          </w:p>
        </w:tc>
        <w:tc>
          <w:tcPr>
            <w:tcW w:w="4953" w:type="dxa"/>
            <w:shd w:val="clear" w:color="auto" w:fill="auto"/>
            <w:vAlign w:val="center"/>
            <w:hideMark/>
          </w:tcPr>
          <w:p w14:paraId="5A60FFD9" w14:textId="77777777" w:rsidR="00957A78" w:rsidRPr="00B80461" w:rsidRDefault="00957A78" w:rsidP="00A72B0A">
            <w:pPr>
              <w:spacing w:before="60" w:after="60" w:line="240" w:lineRule="auto"/>
              <w:rPr>
                <w:sz w:val="18"/>
                <w:szCs w:val="18"/>
              </w:rPr>
            </w:pPr>
            <w:r w:rsidRPr="0031294C">
              <w:rPr>
                <w:sz w:val="18"/>
                <w:szCs w:val="18"/>
              </w:rPr>
              <w:t>սուբսիդիաների, սուբվենցիաների և դրամաշնորհային ծրագրերի շրջանակներում իրականացվող` ապրանքի մատակարարում, աշխատանքի կատարում և (կամ) ծառայության մատուցում</w:t>
            </w:r>
          </w:p>
        </w:tc>
        <w:tc>
          <w:tcPr>
            <w:tcW w:w="1499" w:type="dxa"/>
            <w:gridSpan w:val="2"/>
            <w:shd w:val="clear" w:color="auto" w:fill="auto"/>
            <w:vAlign w:val="center"/>
            <w:hideMark/>
          </w:tcPr>
          <w:p w14:paraId="5643FD8D" w14:textId="77777777" w:rsidR="00957A78" w:rsidRPr="00B80461" w:rsidRDefault="00957A78" w:rsidP="00A72B0A">
            <w:pPr>
              <w:spacing w:before="0" w:after="0" w:line="240" w:lineRule="auto"/>
              <w:jc w:val="center"/>
              <w:rPr>
                <w:sz w:val="18"/>
                <w:szCs w:val="18"/>
              </w:rPr>
            </w:pPr>
            <w:r w:rsidRPr="0031294C">
              <w:rPr>
                <w:sz w:val="18"/>
                <w:szCs w:val="18"/>
              </w:rPr>
              <w:t>1,082</w:t>
            </w:r>
          </w:p>
        </w:tc>
        <w:tc>
          <w:tcPr>
            <w:tcW w:w="1621" w:type="dxa"/>
            <w:gridSpan w:val="2"/>
            <w:shd w:val="clear" w:color="auto" w:fill="auto"/>
            <w:vAlign w:val="center"/>
            <w:hideMark/>
          </w:tcPr>
          <w:p w14:paraId="0962DC46" w14:textId="77777777" w:rsidR="00957A78" w:rsidRPr="00B80461" w:rsidRDefault="00957A78" w:rsidP="00A72B0A">
            <w:pPr>
              <w:spacing w:before="0" w:after="0" w:line="240" w:lineRule="auto"/>
              <w:jc w:val="center"/>
              <w:rPr>
                <w:sz w:val="18"/>
                <w:szCs w:val="18"/>
              </w:rPr>
            </w:pPr>
            <w:r w:rsidRPr="0031294C">
              <w:rPr>
                <w:sz w:val="18"/>
                <w:szCs w:val="18"/>
              </w:rPr>
              <w:t>0.04%</w:t>
            </w:r>
          </w:p>
        </w:tc>
        <w:tc>
          <w:tcPr>
            <w:tcW w:w="1149" w:type="dxa"/>
            <w:gridSpan w:val="2"/>
            <w:shd w:val="clear" w:color="auto" w:fill="auto"/>
            <w:vAlign w:val="center"/>
            <w:hideMark/>
          </w:tcPr>
          <w:p w14:paraId="30A918EF" w14:textId="77777777" w:rsidR="00957A78" w:rsidRPr="00B80461" w:rsidRDefault="00957A78" w:rsidP="00A72B0A">
            <w:pPr>
              <w:spacing w:before="0" w:after="0" w:line="240" w:lineRule="auto"/>
              <w:jc w:val="center"/>
              <w:rPr>
                <w:sz w:val="18"/>
                <w:szCs w:val="18"/>
              </w:rPr>
            </w:pPr>
            <w:r w:rsidRPr="0031294C">
              <w:rPr>
                <w:sz w:val="18"/>
                <w:szCs w:val="18"/>
              </w:rPr>
              <w:t>0.01%</w:t>
            </w:r>
          </w:p>
        </w:tc>
      </w:tr>
      <w:tr w:rsidR="00957A78" w:rsidRPr="00B80461" w14:paraId="76092B4A" w14:textId="77777777" w:rsidTr="00A72B0A">
        <w:trPr>
          <w:gridAfter w:val="1"/>
          <w:wAfter w:w="9" w:type="dxa"/>
          <w:trHeight w:val="245"/>
        </w:trPr>
        <w:tc>
          <w:tcPr>
            <w:tcW w:w="720" w:type="dxa"/>
            <w:shd w:val="clear" w:color="auto" w:fill="auto"/>
            <w:vAlign w:val="center"/>
            <w:hideMark/>
          </w:tcPr>
          <w:p w14:paraId="29779AD4" w14:textId="77777777" w:rsidR="00957A78" w:rsidRPr="00B80461" w:rsidRDefault="00957A78" w:rsidP="00A72B0A">
            <w:pPr>
              <w:spacing w:before="0" w:after="0" w:line="240" w:lineRule="auto"/>
              <w:jc w:val="both"/>
              <w:rPr>
                <w:sz w:val="18"/>
                <w:szCs w:val="18"/>
              </w:rPr>
            </w:pPr>
            <w:r w:rsidRPr="0031294C">
              <w:rPr>
                <w:sz w:val="18"/>
                <w:szCs w:val="18"/>
              </w:rPr>
              <w:t>1.12.</w:t>
            </w:r>
          </w:p>
        </w:tc>
        <w:tc>
          <w:tcPr>
            <w:tcW w:w="4953" w:type="dxa"/>
            <w:shd w:val="clear" w:color="auto" w:fill="auto"/>
            <w:vAlign w:val="center"/>
            <w:hideMark/>
          </w:tcPr>
          <w:p w14:paraId="6C7B7162" w14:textId="77777777" w:rsidR="00957A78" w:rsidRPr="00B80461" w:rsidRDefault="00957A78" w:rsidP="00A72B0A">
            <w:pPr>
              <w:spacing w:before="60" w:after="60" w:line="240" w:lineRule="auto"/>
              <w:rPr>
                <w:sz w:val="18"/>
                <w:szCs w:val="18"/>
              </w:rPr>
            </w:pPr>
            <w:r w:rsidRPr="0031294C">
              <w:rPr>
                <w:sz w:val="18"/>
                <w:szCs w:val="18"/>
              </w:rPr>
              <w:t>ազատ տնտեսական գոտու կազմակերպչին և ազատ տնտեսական գոտու շահագործողին ծառայությունների մատուցումը, ազատ տնտեսական գոտու կազմակերպչի և ազատ տնտեսական գոտու շահագործողի համար աշխատանքների կատարումը, ազատ տնտեսական գոտու տարածքում ապրանքների մատակարարում</w:t>
            </w:r>
          </w:p>
        </w:tc>
        <w:tc>
          <w:tcPr>
            <w:tcW w:w="1499" w:type="dxa"/>
            <w:gridSpan w:val="2"/>
            <w:shd w:val="clear" w:color="auto" w:fill="auto"/>
            <w:vAlign w:val="center"/>
            <w:hideMark/>
          </w:tcPr>
          <w:p w14:paraId="56B9A98C" w14:textId="77777777" w:rsidR="00957A78" w:rsidRPr="00B80461" w:rsidRDefault="00957A78" w:rsidP="00A72B0A">
            <w:pPr>
              <w:spacing w:before="0" w:after="0" w:line="240" w:lineRule="auto"/>
              <w:jc w:val="center"/>
              <w:rPr>
                <w:sz w:val="18"/>
                <w:szCs w:val="18"/>
              </w:rPr>
            </w:pPr>
            <w:r w:rsidRPr="0031294C">
              <w:rPr>
                <w:sz w:val="18"/>
                <w:szCs w:val="18"/>
              </w:rPr>
              <w:t>363</w:t>
            </w:r>
          </w:p>
        </w:tc>
        <w:tc>
          <w:tcPr>
            <w:tcW w:w="1621" w:type="dxa"/>
            <w:gridSpan w:val="2"/>
            <w:shd w:val="clear" w:color="auto" w:fill="auto"/>
            <w:vAlign w:val="center"/>
            <w:hideMark/>
          </w:tcPr>
          <w:p w14:paraId="2BAA3DE5" w14:textId="77777777" w:rsidR="00957A78" w:rsidRPr="00B80461" w:rsidRDefault="00957A78" w:rsidP="00A72B0A">
            <w:pPr>
              <w:spacing w:before="0" w:after="0" w:line="240" w:lineRule="auto"/>
              <w:jc w:val="center"/>
              <w:rPr>
                <w:sz w:val="18"/>
                <w:szCs w:val="18"/>
              </w:rPr>
            </w:pPr>
            <w:r w:rsidRPr="0031294C">
              <w:rPr>
                <w:sz w:val="18"/>
                <w:szCs w:val="18"/>
              </w:rPr>
              <w:t>0.01%</w:t>
            </w:r>
          </w:p>
        </w:tc>
        <w:tc>
          <w:tcPr>
            <w:tcW w:w="1149" w:type="dxa"/>
            <w:gridSpan w:val="2"/>
            <w:shd w:val="clear" w:color="auto" w:fill="auto"/>
            <w:vAlign w:val="center"/>
            <w:hideMark/>
          </w:tcPr>
          <w:p w14:paraId="3D155275" w14:textId="77777777" w:rsidR="00957A78" w:rsidRPr="00B80461" w:rsidRDefault="00957A78" w:rsidP="00A72B0A">
            <w:pPr>
              <w:spacing w:before="0" w:after="0" w:line="240" w:lineRule="auto"/>
              <w:jc w:val="center"/>
              <w:rPr>
                <w:sz w:val="18"/>
                <w:szCs w:val="18"/>
              </w:rPr>
            </w:pPr>
            <w:r w:rsidRPr="0031294C">
              <w:rPr>
                <w:sz w:val="18"/>
                <w:szCs w:val="18"/>
              </w:rPr>
              <w:t>0.00%</w:t>
            </w:r>
          </w:p>
        </w:tc>
      </w:tr>
      <w:tr w:rsidR="00957A78" w:rsidRPr="00B80461" w14:paraId="15555AAE" w14:textId="77777777" w:rsidTr="00A72B0A">
        <w:trPr>
          <w:gridAfter w:val="1"/>
          <w:wAfter w:w="9" w:type="dxa"/>
          <w:trHeight w:val="245"/>
        </w:trPr>
        <w:tc>
          <w:tcPr>
            <w:tcW w:w="720" w:type="dxa"/>
            <w:shd w:val="clear" w:color="auto" w:fill="auto"/>
            <w:vAlign w:val="center"/>
            <w:hideMark/>
          </w:tcPr>
          <w:p w14:paraId="58CEBF73" w14:textId="77777777" w:rsidR="00957A78" w:rsidRPr="00B80461" w:rsidRDefault="00957A78" w:rsidP="00A72B0A">
            <w:pPr>
              <w:spacing w:before="0" w:after="0" w:line="240" w:lineRule="auto"/>
              <w:jc w:val="both"/>
              <w:rPr>
                <w:sz w:val="18"/>
                <w:szCs w:val="18"/>
              </w:rPr>
            </w:pPr>
            <w:r w:rsidRPr="0031294C">
              <w:rPr>
                <w:sz w:val="18"/>
                <w:szCs w:val="18"/>
              </w:rPr>
              <w:t>1.13.</w:t>
            </w:r>
          </w:p>
        </w:tc>
        <w:tc>
          <w:tcPr>
            <w:tcW w:w="4953" w:type="dxa"/>
            <w:shd w:val="clear" w:color="auto" w:fill="auto"/>
            <w:vAlign w:val="center"/>
            <w:hideMark/>
          </w:tcPr>
          <w:p w14:paraId="0E938B80" w14:textId="77777777" w:rsidR="00957A78" w:rsidRPr="00B80461" w:rsidRDefault="00957A78" w:rsidP="00A72B0A">
            <w:pPr>
              <w:spacing w:before="0" w:after="0" w:line="240" w:lineRule="auto"/>
              <w:rPr>
                <w:sz w:val="18"/>
                <w:szCs w:val="18"/>
              </w:rPr>
            </w:pPr>
            <w:r w:rsidRPr="0031294C">
              <w:rPr>
                <w:sz w:val="18"/>
                <w:szCs w:val="18"/>
              </w:rPr>
              <w:t>Օրենսգրքով սահմանված վերը չնշված այլ արտոնություններ</w:t>
            </w:r>
          </w:p>
        </w:tc>
        <w:tc>
          <w:tcPr>
            <w:tcW w:w="1499" w:type="dxa"/>
            <w:gridSpan w:val="2"/>
            <w:shd w:val="clear" w:color="auto" w:fill="auto"/>
            <w:vAlign w:val="center"/>
            <w:hideMark/>
          </w:tcPr>
          <w:p w14:paraId="4D5B767B" w14:textId="77777777" w:rsidR="00957A78" w:rsidRPr="00B80461" w:rsidRDefault="00957A78" w:rsidP="00A72B0A">
            <w:pPr>
              <w:spacing w:before="0" w:after="0" w:line="240" w:lineRule="auto"/>
              <w:jc w:val="center"/>
              <w:rPr>
                <w:sz w:val="18"/>
                <w:szCs w:val="18"/>
              </w:rPr>
            </w:pPr>
            <w:r w:rsidRPr="0031294C">
              <w:rPr>
                <w:sz w:val="18"/>
                <w:szCs w:val="18"/>
              </w:rPr>
              <w:t>18,435</w:t>
            </w:r>
          </w:p>
        </w:tc>
        <w:tc>
          <w:tcPr>
            <w:tcW w:w="1621" w:type="dxa"/>
            <w:gridSpan w:val="2"/>
            <w:shd w:val="clear" w:color="auto" w:fill="auto"/>
            <w:vAlign w:val="center"/>
            <w:hideMark/>
          </w:tcPr>
          <w:p w14:paraId="48DD2360" w14:textId="77777777" w:rsidR="00957A78" w:rsidRPr="00B80461" w:rsidRDefault="00957A78" w:rsidP="00A72B0A">
            <w:pPr>
              <w:spacing w:before="0" w:after="0" w:line="240" w:lineRule="auto"/>
              <w:jc w:val="center"/>
              <w:rPr>
                <w:sz w:val="18"/>
                <w:szCs w:val="18"/>
              </w:rPr>
            </w:pPr>
            <w:r w:rsidRPr="0031294C">
              <w:rPr>
                <w:sz w:val="18"/>
                <w:szCs w:val="18"/>
              </w:rPr>
              <w:t>0.63%</w:t>
            </w:r>
          </w:p>
        </w:tc>
        <w:tc>
          <w:tcPr>
            <w:tcW w:w="1149" w:type="dxa"/>
            <w:gridSpan w:val="2"/>
            <w:shd w:val="clear" w:color="auto" w:fill="auto"/>
            <w:vAlign w:val="center"/>
            <w:hideMark/>
          </w:tcPr>
          <w:p w14:paraId="66A2F9C8" w14:textId="77777777" w:rsidR="00957A78" w:rsidRPr="00B80461" w:rsidRDefault="00957A78" w:rsidP="00A72B0A">
            <w:pPr>
              <w:spacing w:before="0" w:after="0" w:line="240" w:lineRule="auto"/>
              <w:jc w:val="center"/>
              <w:rPr>
                <w:sz w:val="18"/>
                <w:szCs w:val="18"/>
              </w:rPr>
            </w:pPr>
            <w:r w:rsidRPr="0031294C">
              <w:rPr>
                <w:sz w:val="18"/>
                <w:szCs w:val="18"/>
              </w:rPr>
              <w:t>0.16%</w:t>
            </w:r>
          </w:p>
        </w:tc>
      </w:tr>
      <w:tr w:rsidR="00957A78" w:rsidRPr="00B80461" w14:paraId="78F95B30" w14:textId="77777777" w:rsidTr="00A72B0A">
        <w:trPr>
          <w:gridAfter w:val="1"/>
          <w:wAfter w:w="9" w:type="dxa"/>
          <w:trHeight w:val="245"/>
        </w:trPr>
        <w:tc>
          <w:tcPr>
            <w:tcW w:w="720" w:type="dxa"/>
            <w:shd w:val="clear" w:color="auto" w:fill="auto"/>
            <w:vAlign w:val="center"/>
            <w:hideMark/>
          </w:tcPr>
          <w:p w14:paraId="068483B4" w14:textId="77777777" w:rsidR="00957A78" w:rsidRPr="00B80461" w:rsidRDefault="00957A78" w:rsidP="00A72B0A">
            <w:pPr>
              <w:spacing w:before="0" w:after="0" w:line="240" w:lineRule="auto"/>
              <w:jc w:val="both"/>
              <w:rPr>
                <w:sz w:val="18"/>
                <w:szCs w:val="18"/>
              </w:rPr>
            </w:pPr>
            <w:r w:rsidRPr="0031294C">
              <w:rPr>
                <w:sz w:val="18"/>
                <w:szCs w:val="18"/>
              </w:rPr>
              <w:t>1.14.</w:t>
            </w:r>
          </w:p>
        </w:tc>
        <w:tc>
          <w:tcPr>
            <w:tcW w:w="4953" w:type="dxa"/>
            <w:shd w:val="clear" w:color="auto" w:fill="auto"/>
            <w:vAlign w:val="center"/>
            <w:hideMark/>
          </w:tcPr>
          <w:p w14:paraId="24BD569A" w14:textId="77777777" w:rsidR="00957A78" w:rsidRPr="00B80461" w:rsidRDefault="00957A78" w:rsidP="00A72B0A">
            <w:pPr>
              <w:spacing w:before="0" w:after="0" w:line="240" w:lineRule="auto"/>
              <w:rPr>
                <w:sz w:val="18"/>
                <w:szCs w:val="18"/>
              </w:rPr>
            </w:pPr>
            <w:r w:rsidRPr="0031294C">
              <w:rPr>
                <w:sz w:val="18"/>
                <w:szCs w:val="18"/>
              </w:rPr>
              <w:t>այլ օրենքներով տրված արտանություններ</w:t>
            </w:r>
          </w:p>
        </w:tc>
        <w:tc>
          <w:tcPr>
            <w:tcW w:w="1499" w:type="dxa"/>
            <w:gridSpan w:val="2"/>
            <w:shd w:val="clear" w:color="auto" w:fill="auto"/>
            <w:vAlign w:val="center"/>
            <w:hideMark/>
          </w:tcPr>
          <w:p w14:paraId="0EB00CFE" w14:textId="77777777" w:rsidR="00957A78" w:rsidRPr="00B80461" w:rsidRDefault="00957A78" w:rsidP="00A72B0A">
            <w:pPr>
              <w:spacing w:before="0" w:after="0" w:line="240" w:lineRule="auto"/>
              <w:jc w:val="center"/>
              <w:rPr>
                <w:sz w:val="18"/>
                <w:szCs w:val="18"/>
              </w:rPr>
            </w:pPr>
            <w:r w:rsidRPr="0031294C">
              <w:rPr>
                <w:sz w:val="18"/>
                <w:szCs w:val="18"/>
              </w:rPr>
              <w:t>3,068</w:t>
            </w:r>
          </w:p>
        </w:tc>
        <w:tc>
          <w:tcPr>
            <w:tcW w:w="1621" w:type="dxa"/>
            <w:gridSpan w:val="2"/>
            <w:shd w:val="clear" w:color="auto" w:fill="auto"/>
            <w:vAlign w:val="center"/>
            <w:hideMark/>
          </w:tcPr>
          <w:p w14:paraId="12EF24D9" w14:textId="77777777" w:rsidR="00957A78" w:rsidRPr="00B80461" w:rsidRDefault="00957A78" w:rsidP="00A72B0A">
            <w:pPr>
              <w:spacing w:before="0" w:after="0" w:line="240" w:lineRule="auto"/>
              <w:jc w:val="center"/>
              <w:rPr>
                <w:sz w:val="18"/>
                <w:szCs w:val="18"/>
              </w:rPr>
            </w:pPr>
            <w:r w:rsidRPr="0031294C">
              <w:rPr>
                <w:sz w:val="18"/>
                <w:szCs w:val="18"/>
              </w:rPr>
              <w:t>0.10%</w:t>
            </w:r>
          </w:p>
        </w:tc>
        <w:tc>
          <w:tcPr>
            <w:tcW w:w="1149" w:type="dxa"/>
            <w:gridSpan w:val="2"/>
            <w:shd w:val="clear" w:color="auto" w:fill="auto"/>
            <w:vAlign w:val="center"/>
            <w:hideMark/>
          </w:tcPr>
          <w:p w14:paraId="7B6551A0" w14:textId="77777777" w:rsidR="00957A78" w:rsidRPr="00B80461" w:rsidRDefault="00957A78" w:rsidP="00A72B0A">
            <w:pPr>
              <w:spacing w:before="0" w:after="0" w:line="240" w:lineRule="auto"/>
              <w:jc w:val="center"/>
              <w:rPr>
                <w:sz w:val="18"/>
                <w:szCs w:val="18"/>
              </w:rPr>
            </w:pPr>
            <w:r w:rsidRPr="0031294C">
              <w:rPr>
                <w:sz w:val="18"/>
                <w:szCs w:val="18"/>
              </w:rPr>
              <w:t>0.03%</w:t>
            </w:r>
          </w:p>
        </w:tc>
      </w:tr>
      <w:tr w:rsidR="00957A78" w:rsidRPr="00B80461" w14:paraId="2AAEC0A6" w14:textId="77777777" w:rsidTr="00A72B0A">
        <w:trPr>
          <w:gridAfter w:val="1"/>
          <w:wAfter w:w="9" w:type="dxa"/>
          <w:trHeight w:val="245"/>
        </w:trPr>
        <w:tc>
          <w:tcPr>
            <w:tcW w:w="720" w:type="dxa"/>
            <w:shd w:val="clear" w:color="auto" w:fill="auto"/>
            <w:vAlign w:val="center"/>
            <w:hideMark/>
          </w:tcPr>
          <w:p w14:paraId="112C2837" w14:textId="77777777" w:rsidR="00957A78" w:rsidRPr="00B80461" w:rsidRDefault="00957A78" w:rsidP="00A72B0A">
            <w:pPr>
              <w:spacing w:before="0" w:after="0" w:line="240" w:lineRule="auto"/>
              <w:jc w:val="both"/>
              <w:rPr>
                <w:sz w:val="18"/>
                <w:szCs w:val="18"/>
              </w:rPr>
            </w:pPr>
            <w:r w:rsidRPr="0031294C">
              <w:rPr>
                <w:sz w:val="18"/>
                <w:szCs w:val="18"/>
              </w:rPr>
              <w:t>1.15.</w:t>
            </w:r>
          </w:p>
        </w:tc>
        <w:tc>
          <w:tcPr>
            <w:tcW w:w="4953" w:type="dxa"/>
            <w:shd w:val="clear" w:color="auto" w:fill="auto"/>
            <w:vAlign w:val="center"/>
            <w:hideMark/>
          </w:tcPr>
          <w:p w14:paraId="660F8F7C" w14:textId="77777777" w:rsidR="00957A78" w:rsidRPr="00B80461" w:rsidRDefault="00957A78" w:rsidP="00A72B0A">
            <w:pPr>
              <w:spacing w:before="0" w:after="0" w:line="240" w:lineRule="auto"/>
              <w:rPr>
                <w:sz w:val="18"/>
                <w:szCs w:val="18"/>
              </w:rPr>
            </w:pPr>
            <w:r w:rsidRPr="0031294C">
              <w:rPr>
                <w:sz w:val="18"/>
                <w:szCs w:val="18"/>
              </w:rPr>
              <w:t>Միկրոբիզնես</w:t>
            </w:r>
          </w:p>
        </w:tc>
        <w:tc>
          <w:tcPr>
            <w:tcW w:w="1499" w:type="dxa"/>
            <w:gridSpan w:val="2"/>
            <w:shd w:val="clear" w:color="auto" w:fill="auto"/>
            <w:vAlign w:val="center"/>
            <w:hideMark/>
          </w:tcPr>
          <w:p w14:paraId="7E006927" w14:textId="77777777" w:rsidR="00957A78" w:rsidRPr="00B80461" w:rsidRDefault="00957A78" w:rsidP="00A72B0A">
            <w:pPr>
              <w:spacing w:before="0" w:after="0" w:line="240" w:lineRule="auto"/>
              <w:jc w:val="center"/>
              <w:rPr>
                <w:sz w:val="18"/>
                <w:szCs w:val="18"/>
              </w:rPr>
            </w:pPr>
            <w:r w:rsidRPr="0031294C">
              <w:rPr>
                <w:sz w:val="18"/>
                <w:szCs w:val="18"/>
              </w:rPr>
              <w:t>24,475</w:t>
            </w:r>
          </w:p>
        </w:tc>
        <w:tc>
          <w:tcPr>
            <w:tcW w:w="1621" w:type="dxa"/>
            <w:gridSpan w:val="2"/>
            <w:shd w:val="clear" w:color="auto" w:fill="auto"/>
            <w:vAlign w:val="center"/>
            <w:hideMark/>
          </w:tcPr>
          <w:p w14:paraId="70CEE697" w14:textId="77777777" w:rsidR="00957A78" w:rsidRPr="00B80461" w:rsidRDefault="00957A78" w:rsidP="00A72B0A">
            <w:pPr>
              <w:spacing w:before="0" w:after="0" w:line="240" w:lineRule="auto"/>
              <w:jc w:val="center"/>
              <w:rPr>
                <w:sz w:val="18"/>
                <w:szCs w:val="18"/>
              </w:rPr>
            </w:pPr>
            <w:r w:rsidRPr="0031294C">
              <w:rPr>
                <w:sz w:val="18"/>
                <w:szCs w:val="18"/>
              </w:rPr>
              <w:t>0.83%</w:t>
            </w:r>
          </w:p>
        </w:tc>
        <w:tc>
          <w:tcPr>
            <w:tcW w:w="1149" w:type="dxa"/>
            <w:gridSpan w:val="2"/>
            <w:shd w:val="clear" w:color="auto" w:fill="auto"/>
            <w:vAlign w:val="center"/>
            <w:hideMark/>
          </w:tcPr>
          <w:p w14:paraId="4C711E93" w14:textId="77777777" w:rsidR="00957A78" w:rsidRPr="00B80461" w:rsidRDefault="00957A78" w:rsidP="00A72B0A">
            <w:pPr>
              <w:spacing w:before="0" w:after="0" w:line="240" w:lineRule="auto"/>
              <w:jc w:val="center"/>
              <w:rPr>
                <w:sz w:val="18"/>
                <w:szCs w:val="18"/>
              </w:rPr>
            </w:pPr>
            <w:r w:rsidRPr="0031294C">
              <w:rPr>
                <w:sz w:val="18"/>
                <w:szCs w:val="18"/>
              </w:rPr>
              <w:t>0.21%</w:t>
            </w:r>
          </w:p>
        </w:tc>
      </w:tr>
      <w:tr w:rsidR="00957A78" w:rsidRPr="00B80461" w14:paraId="74DACFB5" w14:textId="77777777" w:rsidTr="00A72B0A">
        <w:trPr>
          <w:gridAfter w:val="1"/>
          <w:wAfter w:w="9" w:type="dxa"/>
          <w:trHeight w:val="245"/>
        </w:trPr>
        <w:tc>
          <w:tcPr>
            <w:tcW w:w="720" w:type="dxa"/>
            <w:shd w:val="clear" w:color="auto" w:fill="D5DCE4" w:themeFill="text2" w:themeFillTint="33"/>
            <w:vAlign w:val="center"/>
            <w:hideMark/>
          </w:tcPr>
          <w:p w14:paraId="0D217294" w14:textId="77777777" w:rsidR="00957A78" w:rsidRPr="00B80461" w:rsidRDefault="00957A78" w:rsidP="00A72B0A">
            <w:pPr>
              <w:spacing w:before="0" w:after="0" w:line="240" w:lineRule="auto"/>
              <w:jc w:val="both"/>
              <w:rPr>
                <w:b/>
                <w:sz w:val="18"/>
                <w:szCs w:val="18"/>
              </w:rPr>
            </w:pPr>
            <w:r w:rsidRPr="00B80461">
              <w:rPr>
                <w:b/>
                <w:sz w:val="18"/>
                <w:szCs w:val="18"/>
              </w:rPr>
              <w:t>2</w:t>
            </w:r>
          </w:p>
        </w:tc>
        <w:tc>
          <w:tcPr>
            <w:tcW w:w="4953" w:type="dxa"/>
            <w:shd w:val="clear" w:color="auto" w:fill="D5DCE4" w:themeFill="text2" w:themeFillTint="33"/>
            <w:vAlign w:val="center"/>
            <w:hideMark/>
          </w:tcPr>
          <w:p w14:paraId="57355C2D" w14:textId="77777777" w:rsidR="00957A78" w:rsidRPr="00B80461" w:rsidRDefault="00957A78" w:rsidP="00A72B0A">
            <w:pPr>
              <w:spacing w:before="0" w:after="0" w:line="240" w:lineRule="auto"/>
              <w:rPr>
                <w:b/>
                <w:sz w:val="18"/>
                <w:szCs w:val="18"/>
              </w:rPr>
            </w:pPr>
            <w:r w:rsidRPr="00B80461">
              <w:rPr>
                <w:b/>
                <w:sz w:val="18"/>
                <w:szCs w:val="18"/>
              </w:rPr>
              <w:t>Շահութահարկի գծով, այդ թվում`</w:t>
            </w:r>
          </w:p>
        </w:tc>
        <w:tc>
          <w:tcPr>
            <w:tcW w:w="1499" w:type="dxa"/>
            <w:gridSpan w:val="2"/>
            <w:shd w:val="clear" w:color="auto" w:fill="D5DCE4" w:themeFill="text2" w:themeFillTint="33"/>
            <w:vAlign w:val="center"/>
            <w:hideMark/>
          </w:tcPr>
          <w:p w14:paraId="351DFDF8" w14:textId="77777777" w:rsidR="00957A78" w:rsidRPr="00B80461" w:rsidRDefault="00957A78" w:rsidP="00A72B0A">
            <w:pPr>
              <w:spacing w:before="0" w:after="0" w:line="240" w:lineRule="auto"/>
              <w:jc w:val="center"/>
              <w:rPr>
                <w:b/>
                <w:sz w:val="18"/>
                <w:szCs w:val="18"/>
              </w:rPr>
            </w:pPr>
            <w:r w:rsidRPr="0031294C">
              <w:rPr>
                <w:b/>
                <w:sz w:val="18"/>
                <w:szCs w:val="18"/>
              </w:rPr>
              <w:t>90,747</w:t>
            </w:r>
          </w:p>
        </w:tc>
        <w:tc>
          <w:tcPr>
            <w:tcW w:w="1621" w:type="dxa"/>
            <w:gridSpan w:val="2"/>
            <w:shd w:val="clear" w:color="auto" w:fill="D5DCE4" w:themeFill="text2" w:themeFillTint="33"/>
            <w:vAlign w:val="center"/>
            <w:hideMark/>
          </w:tcPr>
          <w:p w14:paraId="5AA4E1D8" w14:textId="77777777" w:rsidR="00957A78" w:rsidRPr="00B80461" w:rsidRDefault="00957A78" w:rsidP="00A72B0A">
            <w:pPr>
              <w:spacing w:before="0" w:after="0" w:line="240" w:lineRule="auto"/>
              <w:jc w:val="center"/>
              <w:rPr>
                <w:b/>
                <w:sz w:val="18"/>
                <w:szCs w:val="18"/>
              </w:rPr>
            </w:pPr>
            <w:r w:rsidRPr="0031294C">
              <w:rPr>
                <w:b/>
                <w:sz w:val="18"/>
                <w:szCs w:val="18"/>
              </w:rPr>
              <w:t>3.09%</w:t>
            </w:r>
          </w:p>
        </w:tc>
        <w:tc>
          <w:tcPr>
            <w:tcW w:w="1149" w:type="dxa"/>
            <w:gridSpan w:val="2"/>
            <w:shd w:val="clear" w:color="auto" w:fill="D5DCE4" w:themeFill="text2" w:themeFillTint="33"/>
            <w:vAlign w:val="center"/>
            <w:hideMark/>
          </w:tcPr>
          <w:p w14:paraId="0278F1A4" w14:textId="77777777" w:rsidR="00957A78" w:rsidRPr="00B80461" w:rsidRDefault="00957A78" w:rsidP="00A72B0A">
            <w:pPr>
              <w:spacing w:before="0" w:after="0" w:line="240" w:lineRule="auto"/>
              <w:jc w:val="center"/>
              <w:rPr>
                <w:b/>
                <w:sz w:val="18"/>
                <w:szCs w:val="18"/>
              </w:rPr>
            </w:pPr>
            <w:r w:rsidRPr="0031294C">
              <w:rPr>
                <w:b/>
                <w:sz w:val="18"/>
                <w:szCs w:val="18"/>
              </w:rPr>
              <w:t>0.76%</w:t>
            </w:r>
          </w:p>
        </w:tc>
      </w:tr>
      <w:tr w:rsidR="00957A78" w:rsidRPr="00B80461" w14:paraId="4B92B24E" w14:textId="77777777" w:rsidTr="00A72B0A">
        <w:trPr>
          <w:gridAfter w:val="1"/>
          <w:wAfter w:w="9" w:type="dxa"/>
          <w:trHeight w:val="245"/>
        </w:trPr>
        <w:tc>
          <w:tcPr>
            <w:tcW w:w="720" w:type="dxa"/>
            <w:shd w:val="clear" w:color="auto" w:fill="auto"/>
            <w:vAlign w:val="center"/>
            <w:hideMark/>
          </w:tcPr>
          <w:p w14:paraId="095F3644" w14:textId="77777777" w:rsidR="00957A78" w:rsidRPr="00B80461" w:rsidRDefault="00957A78" w:rsidP="00A72B0A">
            <w:pPr>
              <w:spacing w:before="0" w:after="0" w:line="240" w:lineRule="auto"/>
              <w:jc w:val="both"/>
              <w:rPr>
                <w:sz w:val="18"/>
                <w:szCs w:val="18"/>
              </w:rPr>
            </w:pPr>
            <w:r w:rsidRPr="0031294C">
              <w:rPr>
                <w:sz w:val="18"/>
                <w:szCs w:val="18"/>
              </w:rPr>
              <w:t>2.1.</w:t>
            </w:r>
          </w:p>
        </w:tc>
        <w:tc>
          <w:tcPr>
            <w:tcW w:w="4953" w:type="dxa"/>
            <w:shd w:val="clear" w:color="auto" w:fill="auto"/>
            <w:vAlign w:val="center"/>
            <w:hideMark/>
          </w:tcPr>
          <w:p w14:paraId="24B17B4A" w14:textId="77777777" w:rsidR="00957A78" w:rsidRPr="00B80461" w:rsidRDefault="00957A78" w:rsidP="00A72B0A">
            <w:pPr>
              <w:spacing w:before="0" w:after="0" w:line="240" w:lineRule="auto"/>
              <w:rPr>
                <w:sz w:val="18"/>
                <w:szCs w:val="18"/>
              </w:rPr>
            </w:pPr>
            <w:r w:rsidRPr="0031294C">
              <w:rPr>
                <w:sz w:val="18"/>
                <w:szCs w:val="18"/>
              </w:rPr>
              <w:t>գյուղատնտեսություն, այդ թվում՝</w:t>
            </w:r>
          </w:p>
        </w:tc>
        <w:tc>
          <w:tcPr>
            <w:tcW w:w="1499" w:type="dxa"/>
            <w:gridSpan w:val="2"/>
            <w:shd w:val="clear" w:color="auto" w:fill="auto"/>
            <w:vAlign w:val="center"/>
            <w:hideMark/>
          </w:tcPr>
          <w:p w14:paraId="47D37C48" w14:textId="77777777" w:rsidR="00957A78" w:rsidRPr="00B80461" w:rsidRDefault="00957A78" w:rsidP="00A72B0A">
            <w:pPr>
              <w:spacing w:before="0" w:after="0" w:line="240" w:lineRule="auto"/>
              <w:jc w:val="center"/>
              <w:rPr>
                <w:sz w:val="18"/>
                <w:szCs w:val="18"/>
              </w:rPr>
            </w:pPr>
            <w:r w:rsidRPr="0031294C">
              <w:rPr>
                <w:sz w:val="18"/>
                <w:szCs w:val="18"/>
              </w:rPr>
              <w:t>40,507</w:t>
            </w:r>
          </w:p>
        </w:tc>
        <w:tc>
          <w:tcPr>
            <w:tcW w:w="1621" w:type="dxa"/>
            <w:gridSpan w:val="2"/>
            <w:shd w:val="clear" w:color="auto" w:fill="auto"/>
            <w:vAlign w:val="center"/>
            <w:hideMark/>
          </w:tcPr>
          <w:p w14:paraId="1753AB0E" w14:textId="77777777" w:rsidR="00957A78" w:rsidRPr="00B80461" w:rsidRDefault="00957A78" w:rsidP="00A72B0A">
            <w:pPr>
              <w:spacing w:before="0" w:after="0" w:line="240" w:lineRule="auto"/>
              <w:jc w:val="center"/>
              <w:rPr>
                <w:sz w:val="18"/>
                <w:szCs w:val="18"/>
              </w:rPr>
            </w:pPr>
            <w:r w:rsidRPr="0031294C">
              <w:rPr>
                <w:sz w:val="18"/>
                <w:szCs w:val="18"/>
              </w:rPr>
              <w:t>1.38%</w:t>
            </w:r>
          </w:p>
        </w:tc>
        <w:tc>
          <w:tcPr>
            <w:tcW w:w="1149" w:type="dxa"/>
            <w:gridSpan w:val="2"/>
            <w:shd w:val="clear" w:color="auto" w:fill="auto"/>
            <w:vAlign w:val="center"/>
            <w:hideMark/>
          </w:tcPr>
          <w:p w14:paraId="7FD5E3D7" w14:textId="77777777" w:rsidR="00957A78" w:rsidRPr="00B80461" w:rsidRDefault="00957A78" w:rsidP="00A72B0A">
            <w:pPr>
              <w:spacing w:before="0" w:after="0" w:line="240" w:lineRule="auto"/>
              <w:jc w:val="center"/>
              <w:rPr>
                <w:sz w:val="18"/>
                <w:szCs w:val="18"/>
              </w:rPr>
            </w:pPr>
            <w:r w:rsidRPr="0031294C">
              <w:rPr>
                <w:sz w:val="18"/>
                <w:szCs w:val="18"/>
              </w:rPr>
              <w:t>0.34%</w:t>
            </w:r>
          </w:p>
        </w:tc>
      </w:tr>
      <w:tr w:rsidR="00957A78" w:rsidRPr="00B80461" w14:paraId="4745A00C" w14:textId="77777777" w:rsidTr="00A72B0A">
        <w:trPr>
          <w:gridAfter w:val="1"/>
          <w:wAfter w:w="9" w:type="dxa"/>
          <w:trHeight w:val="245"/>
        </w:trPr>
        <w:tc>
          <w:tcPr>
            <w:tcW w:w="720" w:type="dxa"/>
            <w:shd w:val="clear" w:color="auto" w:fill="auto"/>
            <w:vAlign w:val="center"/>
            <w:hideMark/>
          </w:tcPr>
          <w:p w14:paraId="55CF3646" w14:textId="77777777" w:rsidR="00957A78" w:rsidRPr="00B80461" w:rsidRDefault="00957A78" w:rsidP="00A72B0A">
            <w:pPr>
              <w:spacing w:before="0" w:after="0" w:line="240" w:lineRule="auto"/>
              <w:jc w:val="both"/>
              <w:rPr>
                <w:sz w:val="18"/>
                <w:szCs w:val="18"/>
              </w:rPr>
            </w:pPr>
            <w:r w:rsidRPr="0031294C">
              <w:rPr>
                <w:sz w:val="18"/>
                <w:szCs w:val="18"/>
              </w:rPr>
              <w:t>2.1.1.</w:t>
            </w:r>
          </w:p>
        </w:tc>
        <w:tc>
          <w:tcPr>
            <w:tcW w:w="4953" w:type="dxa"/>
            <w:shd w:val="clear" w:color="auto" w:fill="auto"/>
            <w:vAlign w:val="center"/>
            <w:hideMark/>
          </w:tcPr>
          <w:p w14:paraId="0961F067" w14:textId="77777777" w:rsidR="00957A78" w:rsidRPr="00B80461" w:rsidRDefault="00957A78" w:rsidP="00A72B0A">
            <w:pPr>
              <w:spacing w:before="0" w:after="0" w:line="240" w:lineRule="auto"/>
              <w:rPr>
                <w:sz w:val="18"/>
                <w:szCs w:val="18"/>
              </w:rPr>
            </w:pPr>
            <w:r w:rsidRPr="0031294C">
              <w:rPr>
                <w:sz w:val="18"/>
                <w:szCs w:val="18"/>
              </w:rPr>
              <w:t>կազմակերպությունների շահույթից</w:t>
            </w:r>
          </w:p>
        </w:tc>
        <w:tc>
          <w:tcPr>
            <w:tcW w:w="1499" w:type="dxa"/>
            <w:gridSpan w:val="2"/>
            <w:shd w:val="clear" w:color="auto" w:fill="auto"/>
            <w:vAlign w:val="center"/>
            <w:hideMark/>
          </w:tcPr>
          <w:p w14:paraId="0D505226" w14:textId="77777777" w:rsidR="00957A78" w:rsidRPr="00B80461" w:rsidRDefault="00957A78" w:rsidP="00A72B0A">
            <w:pPr>
              <w:spacing w:before="0" w:after="0" w:line="240" w:lineRule="auto"/>
              <w:jc w:val="center"/>
              <w:rPr>
                <w:sz w:val="18"/>
                <w:szCs w:val="18"/>
              </w:rPr>
            </w:pPr>
            <w:r w:rsidRPr="0031294C">
              <w:rPr>
                <w:sz w:val="18"/>
                <w:szCs w:val="18"/>
              </w:rPr>
              <w:t>3,254</w:t>
            </w:r>
          </w:p>
        </w:tc>
        <w:tc>
          <w:tcPr>
            <w:tcW w:w="1621" w:type="dxa"/>
            <w:gridSpan w:val="2"/>
            <w:shd w:val="clear" w:color="auto" w:fill="auto"/>
            <w:vAlign w:val="center"/>
            <w:hideMark/>
          </w:tcPr>
          <w:p w14:paraId="5D6C2E28" w14:textId="77777777" w:rsidR="00957A78" w:rsidRPr="00B80461" w:rsidRDefault="00957A78" w:rsidP="00A72B0A">
            <w:pPr>
              <w:spacing w:before="0" w:after="0" w:line="240" w:lineRule="auto"/>
              <w:jc w:val="center"/>
              <w:rPr>
                <w:sz w:val="18"/>
                <w:szCs w:val="18"/>
              </w:rPr>
            </w:pPr>
            <w:r w:rsidRPr="0031294C">
              <w:rPr>
                <w:sz w:val="18"/>
                <w:szCs w:val="18"/>
              </w:rPr>
              <w:t>0.11%</w:t>
            </w:r>
          </w:p>
        </w:tc>
        <w:tc>
          <w:tcPr>
            <w:tcW w:w="1149" w:type="dxa"/>
            <w:gridSpan w:val="2"/>
            <w:shd w:val="clear" w:color="auto" w:fill="auto"/>
            <w:vAlign w:val="center"/>
            <w:hideMark/>
          </w:tcPr>
          <w:p w14:paraId="1A3390C5" w14:textId="77777777" w:rsidR="00957A78" w:rsidRPr="00B80461" w:rsidRDefault="00957A78" w:rsidP="00A72B0A">
            <w:pPr>
              <w:spacing w:before="0" w:after="0" w:line="240" w:lineRule="auto"/>
              <w:jc w:val="center"/>
              <w:rPr>
                <w:sz w:val="18"/>
                <w:szCs w:val="18"/>
              </w:rPr>
            </w:pPr>
            <w:r w:rsidRPr="0031294C">
              <w:rPr>
                <w:sz w:val="18"/>
                <w:szCs w:val="18"/>
              </w:rPr>
              <w:t>0.03%</w:t>
            </w:r>
          </w:p>
        </w:tc>
      </w:tr>
      <w:tr w:rsidR="00957A78" w:rsidRPr="00B80461" w14:paraId="3195898E" w14:textId="77777777" w:rsidTr="00A72B0A">
        <w:trPr>
          <w:gridAfter w:val="1"/>
          <w:wAfter w:w="9" w:type="dxa"/>
          <w:trHeight w:val="245"/>
        </w:trPr>
        <w:tc>
          <w:tcPr>
            <w:tcW w:w="720" w:type="dxa"/>
            <w:shd w:val="clear" w:color="auto" w:fill="auto"/>
            <w:vAlign w:val="center"/>
            <w:hideMark/>
          </w:tcPr>
          <w:p w14:paraId="5519B4F7" w14:textId="77777777" w:rsidR="00957A78" w:rsidRPr="00B80461" w:rsidRDefault="00957A78" w:rsidP="00A72B0A">
            <w:pPr>
              <w:spacing w:before="0" w:after="0" w:line="240" w:lineRule="auto"/>
              <w:jc w:val="both"/>
              <w:rPr>
                <w:sz w:val="18"/>
                <w:szCs w:val="18"/>
              </w:rPr>
            </w:pPr>
            <w:r w:rsidRPr="0031294C">
              <w:rPr>
                <w:sz w:val="18"/>
                <w:szCs w:val="18"/>
              </w:rPr>
              <w:t>2.1.2.</w:t>
            </w:r>
          </w:p>
        </w:tc>
        <w:tc>
          <w:tcPr>
            <w:tcW w:w="4953" w:type="dxa"/>
            <w:shd w:val="clear" w:color="auto" w:fill="auto"/>
            <w:vAlign w:val="center"/>
            <w:hideMark/>
          </w:tcPr>
          <w:p w14:paraId="564041F1" w14:textId="77777777" w:rsidR="00957A78" w:rsidRPr="00B80461" w:rsidRDefault="00957A78" w:rsidP="00A72B0A">
            <w:pPr>
              <w:spacing w:before="0" w:after="0" w:line="240" w:lineRule="auto"/>
              <w:rPr>
                <w:sz w:val="18"/>
                <w:szCs w:val="18"/>
              </w:rPr>
            </w:pPr>
            <w:r w:rsidRPr="0031294C">
              <w:rPr>
                <w:sz w:val="18"/>
                <w:szCs w:val="18"/>
              </w:rPr>
              <w:t>ֆիզիկական անձանց (Ա/Ձ-ների) շահույթից</w:t>
            </w:r>
          </w:p>
        </w:tc>
        <w:tc>
          <w:tcPr>
            <w:tcW w:w="1499" w:type="dxa"/>
            <w:gridSpan w:val="2"/>
            <w:shd w:val="clear" w:color="auto" w:fill="auto"/>
            <w:vAlign w:val="center"/>
            <w:hideMark/>
          </w:tcPr>
          <w:p w14:paraId="7A2EAF10" w14:textId="77777777" w:rsidR="00957A78" w:rsidRPr="00B80461" w:rsidRDefault="00957A78" w:rsidP="00A72B0A">
            <w:pPr>
              <w:spacing w:before="0" w:after="0" w:line="240" w:lineRule="auto"/>
              <w:jc w:val="center"/>
              <w:rPr>
                <w:sz w:val="18"/>
                <w:szCs w:val="18"/>
              </w:rPr>
            </w:pPr>
            <w:r w:rsidRPr="0031294C">
              <w:rPr>
                <w:sz w:val="18"/>
                <w:szCs w:val="18"/>
              </w:rPr>
              <w:t>37,253</w:t>
            </w:r>
          </w:p>
        </w:tc>
        <w:tc>
          <w:tcPr>
            <w:tcW w:w="1621" w:type="dxa"/>
            <w:gridSpan w:val="2"/>
            <w:shd w:val="clear" w:color="auto" w:fill="auto"/>
            <w:vAlign w:val="center"/>
            <w:hideMark/>
          </w:tcPr>
          <w:p w14:paraId="6BFEE3F5" w14:textId="77777777" w:rsidR="00957A78" w:rsidRPr="00B80461" w:rsidRDefault="00957A78" w:rsidP="00A72B0A">
            <w:pPr>
              <w:spacing w:before="0" w:after="0" w:line="240" w:lineRule="auto"/>
              <w:jc w:val="center"/>
              <w:rPr>
                <w:sz w:val="18"/>
                <w:szCs w:val="18"/>
              </w:rPr>
            </w:pPr>
            <w:r w:rsidRPr="0031294C">
              <w:rPr>
                <w:sz w:val="18"/>
                <w:szCs w:val="18"/>
              </w:rPr>
              <w:t>1.27%</w:t>
            </w:r>
          </w:p>
        </w:tc>
        <w:tc>
          <w:tcPr>
            <w:tcW w:w="1149" w:type="dxa"/>
            <w:gridSpan w:val="2"/>
            <w:shd w:val="clear" w:color="auto" w:fill="auto"/>
            <w:vAlign w:val="center"/>
            <w:hideMark/>
          </w:tcPr>
          <w:p w14:paraId="2C7C249E" w14:textId="77777777" w:rsidR="00957A78" w:rsidRPr="00B80461" w:rsidRDefault="00957A78" w:rsidP="00A72B0A">
            <w:pPr>
              <w:spacing w:before="0" w:after="0" w:line="240" w:lineRule="auto"/>
              <w:jc w:val="center"/>
              <w:rPr>
                <w:sz w:val="18"/>
                <w:szCs w:val="18"/>
              </w:rPr>
            </w:pPr>
            <w:r w:rsidRPr="0031294C">
              <w:rPr>
                <w:sz w:val="18"/>
                <w:szCs w:val="18"/>
              </w:rPr>
              <w:t>0.31%</w:t>
            </w:r>
          </w:p>
        </w:tc>
      </w:tr>
      <w:tr w:rsidR="00957A78" w:rsidRPr="00B80461" w14:paraId="5D237CB2" w14:textId="77777777" w:rsidTr="00A72B0A">
        <w:trPr>
          <w:gridAfter w:val="1"/>
          <w:wAfter w:w="9" w:type="dxa"/>
          <w:trHeight w:val="245"/>
        </w:trPr>
        <w:tc>
          <w:tcPr>
            <w:tcW w:w="720" w:type="dxa"/>
            <w:shd w:val="clear" w:color="auto" w:fill="auto"/>
            <w:vAlign w:val="center"/>
            <w:hideMark/>
          </w:tcPr>
          <w:p w14:paraId="50CAE35A" w14:textId="77777777" w:rsidR="00957A78" w:rsidRPr="00B80461" w:rsidRDefault="00957A78" w:rsidP="00A72B0A">
            <w:pPr>
              <w:spacing w:before="0" w:after="0" w:line="240" w:lineRule="auto"/>
              <w:jc w:val="both"/>
              <w:rPr>
                <w:sz w:val="18"/>
                <w:szCs w:val="18"/>
              </w:rPr>
            </w:pPr>
            <w:r w:rsidRPr="0031294C">
              <w:rPr>
                <w:sz w:val="18"/>
                <w:szCs w:val="18"/>
              </w:rPr>
              <w:t>2.2.</w:t>
            </w:r>
          </w:p>
        </w:tc>
        <w:tc>
          <w:tcPr>
            <w:tcW w:w="4953" w:type="dxa"/>
            <w:shd w:val="clear" w:color="auto" w:fill="auto"/>
            <w:vAlign w:val="center"/>
            <w:hideMark/>
          </w:tcPr>
          <w:p w14:paraId="1280DA93" w14:textId="77777777" w:rsidR="00957A78" w:rsidRPr="00B80461" w:rsidRDefault="00957A78" w:rsidP="00A72B0A">
            <w:pPr>
              <w:spacing w:before="0" w:after="0" w:line="240" w:lineRule="auto"/>
              <w:rPr>
                <w:sz w:val="18"/>
                <w:szCs w:val="18"/>
              </w:rPr>
            </w:pPr>
            <w:r w:rsidRPr="0031294C">
              <w:rPr>
                <w:sz w:val="18"/>
                <w:szCs w:val="18"/>
              </w:rPr>
              <w:t>հարկվող շահույթի նվազեցման արտոնություններ, բացառությամբ՝ գյուղատնտեսության</w:t>
            </w:r>
          </w:p>
        </w:tc>
        <w:tc>
          <w:tcPr>
            <w:tcW w:w="1499" w:type="dxa"/>
            <w:gridSpan w:val="2"/>
            <w:shd w:val="clear" w:color="auto" w:fill="auto"/>
            <w:vAlign w:val="center"/>
            <w:hideMark/>
          </w:tcPr>
          <w:p w14:paraId="744DFBF0" w14:textId="77777777" w:rsidR="00957A78" w:rsidRPr="00B80461" w:rsidRDefault="00957A78" w:rsidP="00A72B0A">
            <w:pPr>
              <w:spacing w:before="0" w:after="0" w:line="240" w:lineRule="auto"/>
              <w:jc w:val="center"/>
              <w:rPr>
                <w:sz w:val="18"/>
                <w:szCs w:val="18"/>
              </w:rPr>
            </w:pPr>
            <w:r w:rsidRPr="0031294C">
              <w:rPr>
                <w:sz w:val="18"/>
                <w:szCs w:val="18"/>
              </w:rPr>
              <w:t>1,765</w:t>
            </w:r>
          </w:p>
        </w:tc>
        <w:tc>
          <w:tcPr>
            <w:tcW w:w="1621" w:type="dxa"/>
            <w:gridSpan w:val="2"/>
            <w:shd w:val="clear" w:color="auto" w:fill="auto"/>
            <w:vAlign w:val="center"/>
            <w:hideMark/>
          </w:tcPr>
          <w:p w14:paraId="6EC70B6A" w14:textId="77777777" w:rsidR="00957A78" w:rsidRPr="00B80461" w:rsidRDefault="00957A78" w:rsidP="00A72B0A">
            <w:pPr>
              <w:spacing w:before="0" w:after="0" w:line="240" w:lineRule="auto"/>
              <w:jc w:val="center"/>
              <w:rPr>
                <w:sz w:val="18"/>
                <w:szCs w:val="18"/>
              </w:rPr>
            </w:pPr>
            <w:r w:rsidRPr="0031294C">
              <w:rPr>
                <w:sz w:val="18"/>
                <w:szCs w:val="18"/>
              </w:rPr>
              <w:t>0.06%</w:t>
            </w:r>
          </w:p>
        </w:tc>
        <w:tc>
          <w:tcPr>
            <w:tcW w:w="1149" w:type="dxa"/>
            <w:gridSpan w:val="2"/>
            <w:shd w:val="clear" w:color="auto" w:fill="auto"/>
            <w:vAlign w:val="center"/>
            <w:hideMark/>
          </w:tcPr>
          <w:p w14:paraId="650DCAA1" w14:textId="77777777" w:rsidR="00957A78" w:rsidRPr="00B80461" w:rsidRDefault="00957A78" w:rsidP="00A72B0A">
            <w:pPr>
              <w:spacing w:before="0" w:after="0" w:line="240" w:lineRule="auto"/>
              <w:jc w:val="center"/>
              <w:rPr>
                <w:sz w:val="18"/>
                <w:szCs w:val="18"/>
              </w:rPr>
            </w:pPr>
            <w:r w:rsidRPr="0031294C">
              <w:rPr>
                <w:sz w:val="18"/>
                <w:szCs w:val="18"/>
              </w:rPr>
              <w:t>0.01%</w:t>
            </w:r>
          </w:p>
        </w:tc>
      </w:tr>
      <w:tr w:rsidR="00957A78" w:rsidRPr="00B80461" w14:paraId="19F38F2D" w14:textId="77777777" w:rsidTr="00A72B0A">
        <w:trPr>
          <w:gridAfter w:val="1"/>
          <w:wAfter w:w="9" w:type="dxa"/>
          <w:trHeight w:val="245"/>
        </w:trPr>
        <w:tc>
          <w:tcPr>
            <w:tcW w:w="720" w:type="dxa"/>
            <w:shd w:val="clear" w:color="auto" w:fill="auto"/>
            <w:vAlign w:val="center"/>
            <w:hideMark/>
          </w:tcPr>
          <w:p w14:paraId="35739C52" w14:textId="77777777" w:rsidR="00957A78" w:rsidRPr="00B80461" w:rsidRDefault="00957A78" w:rsidP="00A72B0A">
            <w:pPr>
              <w:spacing w:before="0" w:after="0" w:line="240" w:lineRule="auto"/>
              <w:jc w:val="both"/>
              <w:rPr>
                <w:sz w:val="18"/>
                <w:szCs w:val="18"/>
              </w:rPr>
            </w:pPr>
            <w:r w:rsidRPr="0031294C">
              <w:rPr>
                <w:sz w:val="18"/>
                <w:szCs w:val="18"/>
              </w:rPr>
              <w:t>2.3.</w:t>
            </w:r>
          </w:p>
        </w:tc>
        <w:tc>
          <w:tcPr>
            <w:tcW w:w="4953" w:type="dxa"/>
            <w:shd w:val="clear" w:color="auto" w:fill="auto"/>
            <w:vAlign w:val="center"/>
            <w:hideMark/>
          </w:tcPr>
          <w:p w14:paraId="2F40BF98" w14:textId="77777777" w:rsidR="00957A78" w:rsidRPr="00B80461" w:rsidRDefault="00957A78" w:rsidP="00A72B0A">
            <w:pPr>
              <w:spacing w:before="0" w:after="0" w:line="240" w:lineRule="auto"/>
              <w:rPr>
                <w:sz w:val="18"/>
                <w:szCs w:val="18"/>
              </w:rPr>
            </w:pPr>
            <w:r w:rsidRPr="0031294C">
              <w:rPr>
                <w:sz w:val="18"/>
                <w:szCs w:val="18"/>
              </w:rPr>
              <w:t>շահութահարկի նվազեցման արտոնություններ</w:t>
            </w:r>
          </w:p>
        </w:tc>
        <w:tc>
          <w:tcPr>
            <w:tcW w:w="1499" w:type="dxa"/>
            <w:gridSpan w:val="2"/>
            <w:shd w:val="clear" w:color="auto" w:fill="auto"/>
            <w:vAlign w:val="center"/>
            <w:hideMark/>
          </w:tcPr>
          <w:p w14:paraId="620300D6" w14:textId="77777777" w:rsidR="00957A78" w:rsidRPr="00B80461" w:rsidRDefault="00957A78" w:rsidP="00A72B0A">
            <w:pPr>
              <w:spacing w:before="0" w:after="0" w:line="240" w:lineRule="auto"/>
              <w:jc w:val="center"/>
              <w:rPr>
                <w:sz w:val="18"/>
                <w:szCs w:val="18"/>
              </w:rPr>
            </w:pPr>
            <w:r w:rsidRPr="0031294C">
              <w:rPr>
                <w:sz w:val="18"/>
                <w:szCs w:val="18"/>
              </w:rPr>
              <w:t>331</w:t>
            </w:r>
          </w:p>
        </w:tc>
        <w:tc>
          <w:tcPr>
            <w:tcW w:w="1621" w:type="dxa"/>
            <w:gridSpan w:val="2"/>
            <w:shd w:val="clear" w:color="auto" w:fill="auto"/>
            <w:vAlign w:val="center"/>
            <w:hideMark/>
          </w:tcPr>
          <w:p w14:paraId="2843EAAF" w14:textId="77777777" w:rsidR="00957A78" w:rsidRPr="00B80461" w:rsidRDefault="00957A78" w:rsidP="00A72B0A">
            <w:pPr>
              <w:spacing w:before="0" w:after="0" w:line="240" w:lineRule="auto"/>
              <w:jc w:val="center"/>
              <w:rPr>
                <w:sz w:val="18"/>
                <w:szCs w:val="18"/>
              </w:rPr>
            </w:pPr>
            <w:r w:rsidRPr="0031294C">
              <w:rPr>
                <w:sz w:val="18"/>
                <w:szCs w:val="18"/>
              </w:rPr>
              <w:t>0.01%</w:t>
            </w:r>
          </w:p>
        </w:tc>
        <w:tc>
          <w:tcPr>
            <w:tcW w:w="1149" w:type="dxa"/>
            <w:gridSpan w:val="2"/>
            <w:shd w:val="clear" w:color="auto" w:fill="auto"/>
            <w:vAlign w:val="center"/>
            <w:hideMark/>
          </w:tcPr>
          <w:p w14:paraId="508F065A" w14:textId="77777777" w:rsidR="00957A78" w:rsidRPr="00B80461" w:rsidRDefault="00957A78" w:rsidP="00A72B0A">
            <w:pPr>
              <w:spacing w:before="0" w:after="0" w:line="240" w:lineRule="auto"/>
              <w:jc w:val="center"/>
              <w:rPr>
                <w:sz w:val="18"/>
                <w:szCs w:val="18"/>
              </w:rPr>
            </w:pPr>
            <w:r w:rsidRPr="0031294C">
              <w:rPr>
                <w:sz w:val="18"/>
                <w:szCs w:val="18"/>
              </w:rPr>
              <w:t>0.00%</w:t>
            </w:r>
          </w:p>
        </w:tc>
      </w:tr>
      <w:tr w:rsidR="00957A78" w:rsidRPr="00B80461" w14:paraId="5CF9DF8E" w14:textId="77777777" w:rsidTr="00A72B0A">
        <w:trPr>
          <w:gridAfter w:val="1"/>
          <w:wAfter w:w="9" w:type="dxa"/>
          <w:trHeight w:val="245"/>
        </w:trPr>
        <w:tc>
          <w:tcPr>
            <w:tcW w:w="720" w:type="dxa"/>
            <w:shd w:val="clear" w:color="auto" w:fill="auto"/>
            <w:vAlign w:val="center"/>
            <w:hideMark/>
          </w:tcPr>
          <w:p w14:paraId="2FC87B14" w14:textId="77777777" w:rsidR="00957A78" w:rsidRPr="00B80461" w:rsidRDefault="00957A78" w:rsidP="00A72B0A">
            <w:pPr>
              <w:spacing w:before="0" w:after="0" w:line="240" w:lineRule="auto"/>
              <w:jc w:val="both"/>
              <w:rPr>
                <w:sz w:val="18"/>
                <w:szCs w:val="18"/>
              </w:rPr>
            </w:pPr>
            <w:r w:rsidRPr="0031294C">
              <w:rPr>
                <w:sz w:val="18"/>
                <w:szCs w:val="18"/>
              </w:rPr>
              <w:t>2.4.</w:t>
            </w:r>
          </w:p>
        </w:tc>
        <w:tc>
          <w:tcPr>
            <w:tcW w:w="4953" w:type="dxa"/>
            <w:shd w:val="clear" w:color="auto" w:fill="auto"/>
            <w:vAlign w:val="center"/>
            <w:hideMark/>
          </w:tcPr>
          <w:p w14:paraId="39267DEA" w14:textId="77777777" w:rsidR="00957A78" w:rsidRPr="00B80461" w:rsidRDefault="00957A78" w:rsidP="00A72B0A">
            <w:pPr>
              <w:spacing w:before="0" w:after="0" w:line="240" w:lineRule="auto"/>
              <w:rPr>
                <w:sz w:val="18"/>
                <w:szCs w:val="18"/>
              </w:rPr>
            </w:pPr>
            <w:r w:rsidRPr="0031294C">
              <w:rPr>
                <w:sz w:val="18"/>
                <w:szCs w:val="18"/>
              </w:rPr>
              <w:t>ԱԱՀ-ի շեմ</w:t>
            </w:r>
          </w:p>
        </w:tc>
        <w:tc>
          <w:tcPr>
            <w:tcW w:w="1499" w:type="dxa"/>
            <w:gridSpan w:val="2"/>
            <w:shd w:val="clear" w:color="auto" w:fill="auto"/>
            <w:vAlign w:val="center"/>
            <w:hideMark/>
          </w:tcPr>
          <w:p w14:paraId="14B95712" w14:textId="77777777" w:rsidR="00957A78" w:rsidRPr="00B80461" w:rsidRDefault="00957A78" w:rsidP="00A72B0A">
            <w:pPr>
              <w:spacing w:before="0" w:after="0" w:line="240" w:lineRule="auto"/>
              <w:jc w:val="center"/>
              <w:rPr>
                <w:sz w:val="18"/>
                <w:szCs w:val="18"/>
              </w:rPr>
            </w:pPr>
            <w:r w:rsidRPr="0031294C">
              <w:rPr>
                <w:sz w:val="18"/>
                <w:szCs w:val="18"/>
              </w:rPr>
              <w:t>35,836</w:t>
            </w:r>
          </w:p>
        </w:tc>
        <w:tc>
          <w:tcPr>
            <w:tcW w:w="1621" w:type="dxa"/>
            <w:gridSpan w:val="2"/>
            <w:shd w:val="clear" w:color="auto" w:fill="auto"/>
            <w:vAlign w:val="center"/>
            <w:hideMark/>
          </w:tcPr>
          <w:p w14:paraId="254E17F2" w14:textId="77777777" w:rsidR="00957A78" w:rsidRPr="00B80461" w:rsidRDefault="00957A78" w:rsidP="00A72B0A">
            <w:pPr>
              <w:spacing w:before="0" w:after="0" w:line="240" w:lineRule="auto"/>
              <w:jc w:val="center"/>
              <w:rPr>
                <w:sz w:val="18"/>
                <w:szCs w:val="18"/>
              </w:rPr>
            </w:pPr>
            <w:r w:rsidRPr="0031294C">
              <w:rPr>
                <w:sz w:val="18"/>
                <w:szCs w:val="18"/>
              </w:rPr>
              <w:t>1.22%</w:t>
            </w:r>
          </w:p>
        </w:tc>
        <w:tc>
          <w:tcPr>
            <w:tcW w:w="1149" w:type="dxa"/>
            <w:gridSpan w:val="2"/>
            <w:shd w:val="clear" w:color="auto" w:fill="auto"/>
            <w:vAlign w:val="center"/>
            <w:hideMark/>
          </w:tcPr>
          <w:p w14:paraId="3FF9608D" w14:textId="77777777" w:rsidR="00957A78" w:rsidRPr="00B80461" w:rsidRDefault="00957A78" w:rsidP="00A72B0A">
            <w:pPr>
              <w:spacing w:before="0" w:after="0" w:line="240" w:lineRule="auto"/>
              <w:jc w:val="center"/>
              <w:rPr>
                <w:sz w:val="18"/>
                <w:szCs w:val="18"/>
              </w:rPr>
            </w:pPr>
            <w:r w:rsidRPr="0031294C">
              <w:rPr>
                <w:sz w:val="18"/>
                <w:szCs w:val="18"/>
              </w:rPr>
              <w:t>0.30%</w:t>
            </w:r>
          </w:p>
        </w:tc>
      </w:tr>
      <w:tr w:rsidR="00957A78" w:rsidRPr="00B80461" w14:paraId="2DAFC648" w14:textId="77777777" w:rsidTr="00A72B0A">
        <w:trPr>
          <w:gridAfter w:val="1"/>
          <w:wAfter w:w="9" w:type="dxa"/>
          <w:trHeight w:val="245"/>
        </w:trPr>
        <w:tc>
          <w:tcPr>
            <w:tcW w:w="720" w:type="dxa"/>
            <w:shd w:val="clear" w:color="auto" w:fill="auto"/>
            <w:vAlign w:val="center"/>
            <w:hideMark/>
          </w:tcPr>
          <w:p w14:paraId="79023EB9" w14:textId="77777777" w:rsidR="00957A78" w:rsidRPr="00B80461" w:rsidRDefault="00957A78" w:rsidP="00A72B0A">
            <w:pPr>
              <w:spacing w:before="0" w:after="0" w:line="240" w:lineRule="auto"/>
              <w:jc w:val="both"/>
              <w:rPr>
                <w:sz w:val="18"/>
                <w:szCs w:val="18"/>
              </w:rPr>
            </w:pPr>
            <w:r w:rsidRPr="0031294C">
              <w:rPr>
                <w:sz w:val="18"/>
                <w:szCs w:val="18"/>
              </w:rPr>
              <w:t>2.5.</w:t>
            </w:r>
          </w:p>
        </w:tc>
        <w:tc>
          <w:tcPr>
            <w:tcW w:w="4953" w:type="dxa"/>
            <w:shd w:val="clear" w:color="auto" w:fill="auto"/>
            <w:vAlign w:val="center"/>
            <w:hideMark/>
          </w:tcPr>
          <w:p w14:paraId="662D2DE0" w14:textId="77777777" w:rsidR="00957A78" w:rsidRPr="00B80461" w:rsidRDefault="00957A78" w:rsidP="00A72B0A">
            <w:pPr>
              <w:spacing w:before="0" w:after="0" w:line="240" w:lineRule="auto"/>
              <w:rPr>
                <w:sz w:val="18"/>
                <w:szCs w:val="18"/>
              </w:rPr>
            </w:pPr>
            <w:r w:rsidRPr="0031294C">
              <w:rPr>
                <w:sz w:val="18"/>
                <w:szCs w:val="18"/>
              </w:rPr>
              <w:t>միկրոբիզնես</w:t>
            </w:r>
          </w:p>
        </w:tc>
        <w:tc>
          <w:tcPr>
            <w:tcW w:w="1499" w:type="dxa"/>
            <w:gridSpan w:val="2"/>
            <w:shd w:val="clear" w:color="auto" w:fill="auto"/>
            <w:vAlign w:val="center"/>
            <w:hideMark/>
          </w:tcPr>
          <w:p w14:paraId="6E45CF27" w14:textId="77777777" w:rsidR="00957A78" w:rsidRPr="00B80461" w:rsidRDefault="00957A78" w:rsidP="00A72B0A">
            <w:pPr>
              <w:spacing w:before="0" w:after="0" w:line="240" w:lineRule="auto"/>
              <w:jc w:val="center"/>
              <w:rPr>
                <w:sz w:val="18"/>
                <w:szCs w:val="18"/>
              </w:rPr>
            </w:pPr>
            <w:r w:rsidRPr="0031294C">
              <w:rPr>
                <w:sz w:val="18"/>
                <w:szCs w:val="18"/>
              </w:rPr>
              <w:t>8,811</w:t>
            </w:r>
          </w:p>
        </w:tc>
        <w:tc>
          <w:tcPr>
            <w:tcW w:w="1621" w:type="dxa"/>
            <w:gridSpan w:val="2"/>
            <w:shd w:val="clear" w:color="auto" w:fill="auto"/>
            <w:vAlign w:val="center"/>
            <w:hideMark/>
          </w:tcPr>
          <w:p w14:paraId="0728F0C6" w14:textId="77777777" w:rsidR="00957A78" w:rsidRPr="00B80461" w:rsidRDefault="00957A78" w:rsidP="00A72B0A">
            <w:pPr>
              <w:spacing w:before="0" w:after="0" w:line="240" w:lineRule="auto"/>
              <w:jc w:val="center"/>
              <w:rPr>
                <w:sz w:val="18"/>
                <w:szCs w:val="18"/>
              </w:rPr>
            </w:pPr>
            <w:r w:rsidRPr="0031294C">
              <w:rPr>
                <w:sz w:val="18"/>
                <w:szCs w:val="18"/>
              </w:rPr>
              <w:t>0.30%</w:t>
            </w:r>
          </w:p>
        </w:tc>
        <w:tc>
          <w:tcPr>
            <w:tcW w:w="1149" w:type="dxa"/>
            <w:gridSpan w:val="2"/>
            <w:shd w:val="clear" w:color="auto" w:fill="auto"/>
            <w:vAlign w:val="center"/>
            <w:hideMark/>
          </w:tcPr>
          <w:p w14:paraId="48A99B18" w14:textId="77777777" w:rsidR="00957A78" w:rsidRPr="00B80461" w:rsidRDefault="00957A78" w:rsidP="00A72B0A">
            <w:pPr>
              <w:spacing w:before="0" w:after="0" w:line="240" w:lineRule="auto"/>
              <w:jc w:val="center"/>
              <w:rPr>
                <w:sz w:val="18"/>
                <w:szCs w:val="18"/>
              </w:rPr>
            </w:pPr>
            <w:r w:rsidRPr="0031294C">
              <w:rPr>
                <w:sz w:val="18"/>
                <w:szCs w:val="18"/>
              </w:rPr>
              <w:t>0.07%</w:t>
            </w:r>
          </w:p>
        </w:tc>
      </w:tr>
      <w:tr w:rsidR="00957A78" w:rsidRPr="00B80461" w14:paraId="3CA768F1" w14:textId="77777777" w:rsidTr="00A72B0A">
        <w:trPr>
          <w:gridAfter w:val="1"/>
          <w:wAfter w:w="9" w:type="dxa"/>
          <w:trHeight w:val="245"/>
        </w:trPr>
        <w:tc>
          <w:tcPr>
            <w:tcW w:w="720" w:type="dxa"/>
            <w:shd w:val="clear" w:color="auto" w:fill="auto"/>
            <w:vAlign w:val="center"/>
          </w:tcPr>
          <w:p w14:paraId="4B567479" w14:textId="77777777" w:rsidR="00957A78" w:rsidRPr="00B80461" w:rsidRDefault="00957A78" w:rsidP="00A72B0A">
            <w:pPr>
              <w:spacing w:before="0" w:after="0" w:line="240" w:lineRule="auto"/>
              <w:jc w:val="both"/>
              <w:rPr>
                <w:sz w:val="18"/>
                <w:szCs w:val="18"/>
              </w:rPr>
            </w:pPr>
            <w:r w:rsidRPr="0031294C">
              <w:rPr>
                <w:sz w:val="18"/>
                <w:szCs w:val="18"/>
              </w:rPr>
              <w:t>2.6.</w:t>
            </w:r>
          </w:p>
        </w:tc>
        <w:tc>
          <w:tcPr>
            <w:tcW w:w="4953" w:type="dxa"/>
            <w:shd w:val="clear" w:color="auto" w:fill="auto"/>
            <w:vAlign w:val="center"/>
          </w:tcPr>
          <w:p w14:paraId="4EBF2843" w14:textId="77777777" w:rsidR="00957A78" w:rsidRPr="00B80461" w:rsidRDefault="00957A78" w:rsidP="00A72B0A">
            <w:pPr>
              <w:spacing w:before="0" w:after="0" w:line="240" w:lineRule="auto"/>
              <w:rPr>
                <w:sz w:val="18"/>
                <w:szCs w:val="18"/>
              </w:rPr>
            </w:pPr>
            <w:r w:rsidRPr="0031294C">
              <w:rPr>
                <w:sz w:val="18"/>
                <w:szCs w:val="18"/>
              </w:rPr>
              <w:t>ՏՏ ոլորտի արտոնություններ</w:t>
            </w:r>
          </w:p>
        </w:tc>
        <w:tc>
          <w:tcPr>
            <w:tcW w:w="1499" w:type="dxa"/>
            <w:gridSpan w:val="2"/>
            <w:shd w:val="clear" w:color="auto" w:fill="auto"/>
            <w:vAlign w:val="center"/>
          </w:tcPr>
          <w:p w14:paraId="1678782C" w14:textId="77777777" w:rsidR="00957A78" w:rsidRPr="00B80461" w:rsidRDefault="00957A78" w:rsidP="00A72B0A">
            <w:pPr>
              <w:spacing w:before="0" w:after="0" w:line="240" w:lineRule="auto"/>
              <w:jc w:val="center"/>
              <w:rPr>
                <w:sz w:val="18"/>
                <w:szCs w:val="18"/>
              </w:rPr>
            </w:pPr>
            <w:r w:rsidRPr="0031294C">
              <w:rPr>
                <w:sz w:val="18"/>
                <w:szCs w:val="18"/>
              </w:rPr>
              <w:t>3,497</w:t>
            </w:r>
          </w:p>
        </w:tc>
        <w:tc>
          <w:tcPr>
            <w:tcW w:w="1621" w:type="dxa"/>
            <w:gridSpan w:val="2"/>
            <w:shd w:val="clear" w:color="auto" w:fill="auto"/>
            <w:vAlign w:val="center"/>
          </w:tcPr>
          <w:p w14:paraId="26A6DDB1" w14:textId="77777777" w:rsidR="00957A78" w:rsidRPr="00B80461" w:rsidRDefault="00957A78" w:rsidP="00A72B0A">
            <w:pPr>
              <w:spacing w:before="0" w:after="0" w:line="240" w:lineRule="auto"/>
              <w:jc w:val="center"/>
              <w:rPr>
                <w:sz w:val="18"/>
                <w:szCs w:val="18"/>
              </w:rPr>
            </w:pPr>
            <w:r w:rsidRPr="0031294C">
              <w:rPr>
                <w:sz w:val="18"/>
                <w:szCs w:val="18"/>
              </w:rPr>
              <w:t>0.12%</w:t>
            </w:r>
          </w:p>
        </w:tc>
        <w:tc>
          <w:tcPr>
            <w:tcW w:w="1149" w:type="dxa"/>
            <w:gridSpan w:val="2"/>
            <w:shd w:val="clear" w:color="auto" w:fill="auto"/>
            <w:vAlign w:val="center"/>
          </w:tcPr>
          <w:p w14:paraId="6A93A17F" w14:textId="77777777" w:rsidR="00957A78" w:rsidRPr="00B80461" w:rsidRDefault="00957A78" w:rsidP="00A72B0A">
            <w:pPr>
              <w:spacing w:before="0" w:after="0" w:line="240" w:lineRule="auto"/>
              <w:jc w:val="center"/>
              <w:rPr>
                <w:sz w:val="18"/>
                <w:szCs w:val="18"/>
              </w:rPr>
            </w:pPr>
            <w:r w:rsidRPr="0031294C">
              <w:rPr>
                <w:sz w:val="18"/>
                <w:szCs w:val="18"/>
              </w:rPr>
              <w:t>0.03%</w:t>
            </w:r>
          </w:p>
        </w:tc>
      </w:tr>
      <w:tr w:rsidR="00957A78" w:rsidRPr="00B80461" w14:paraId="1D9EA35A" w14:textId="77777777" w:rsidTr="00A72B0A">
        <w:trPr>
          <w:gridAfter w:val="1"/>
          <w:wAfter w:w="9" w:type="dxa"/>
          <w:trHeight w:val="245"/>
        </w:trPr>
        <w:tc>
          <w:tcPr>
            <w:tcW w:w="720" w:type="dxa"/>
            <w:shd w:val="clear" w:color="auto" w:fill="D5DCE4" w:themeFill="text2" w:themeFillTint="33"/>
            <w:vAlign w:val="center"/>
            <w:hideMark/>
          </w:tcPr>
          <w:p w14:paraId="7D71BD4A" w14:textId="77777777" w:rsidR="00957A78" w:rsidRPr="00B80461" w:rsidRDefault="00957A78" w:rsidP="00A72B0A">
            <w:pPr>
              <w:spacing w:before="0" w:after="0" w:line="240" w:lineRule="auto"/>
              <w:jc w:val="both"/>
              <w:rPr>
                <w:b/>
                <w:sz w:val="18"/>
                <w:szCs w:val="18"/>
              </w:rPr>
            </w:pPr>
            <w:r w:rsidRPr="00B80461">
              <w:rPr>
                <w:b/>
                <w:sz w:val="18"/>
                <w:szCs w:val="18"/>
              </w:rPr>
              <w:t>3</w:t>
            </w:r>
          </w:p>
        </w:tc>
        <w:tc>
          <w:tcPr>
            <w:tcW w:w="4953" w:type="dxa"/>
            <w:shd w:val="clear" w:color="auto" w:fill="D5DCE4" w:themeFill="text2" w:themeFillTint="33"/>
            <w:vAlign w:val="center"/>
            <w:hideMark/>
          </w:tcPr>
          <w:p w14:paraId="0F77B4A0" w14:textId="77777777" w:rsidR="00957A78" w:rsidRPr="00B80461" w:rsidRDefault="00957A78" w:rsidP="00A72B0A">
            <w:pPr>
              <w:spacing w:before="0" w:after="0" w:line="240" w:lineRule="auto"/>
              <w:rPr>
                <w:b/>
                <w:sz w:val="18"/>
                <w:szCs w:val="18"/>
              </w:rPr>
            </w:pPr>
            <w:r w:rsidRPr="00B80461">
              <w:rPr>
                <w:b/>
                <w:sz w:val="18"/>
                <w:szCs w:val="18"/>
              </w:rPr>
              <w:t>Եկամտային հարկի գծով, այդ թվում`</w:t>
            </w:r>
          </w:p>
        </w:tc>
        <w:tc>
          <w:tcPr>
            <w:tcW w:w="1499" w:type="dxa"/>
            <w:gridSpan w:val="2"/>
            <w:shd w:val="clear" w:color="auto" w:fill="D5DCE4" w:themeFill="text2" w:themeFillTint="33"/>
            <w:vAlign w:val="center"/>
          </w:tcPr>
          <w:p w14:paraId="7E591199" w14:textId="77777777" w:rsidR="00957A78" w:rsidRPr="00B80461" w:rsidRDefault="00957A78" w:rsidP="00A72B0A">
            <w:pPr>
              <w:spacing w:before="0" w:after="0" w:line="240" w:lineRule="auto"/>
              <w:jc w:val="center"/>
              <w:rPr>
                <w:b/>
                <w:sz w:val="18"/>
                <w:szCs w:val="18"/>
              </w:rPr>
            </w:pPr>
            <w:r w:rsidRPr="00ED5019">
              <w:rPr>
                <w:b/>
                <w:sz w:val="18"/>
                <w:szCs w:val="18"/>
              </w:rPr>
              <w:t>14,545</w:t>
            </w:r>
          </w:p>
        </w:tc>
        <w:tc>
          <w:tcPr>
            <w:tcW w:w="1621" w:type="dxa"/>
            <w:gridSpan w:val="2"/>
            <w:shd w:val="clear" w:color="auto" w:fill="D5DCE4" w:themeFill="text2" w:themeFillTint="33"/>
            <w:vAlign w:val="center"/>
          </w:tcPr>
          <w:p w14:paraId="3A05129E" w14:textId="77777777" w:rsidR="00957A78" w:rsidRPr="00B80461" w:rsidRDefault="00957A78" w:rsidP="00A72B0A">
            <w:pPr>
              <w:spacing w:before="0" w:after="0" w:line="240" w:lineRule="auto"/>
              <w:jc w:val="center"/>
              <w:rPr>
                <w:b/>
                <w:sz w:val="18"/>
                <w:szCs w:val="18"/>
              </w:rPr>
            </w:pPr>
            <w:r w:rsidRPr="00ED5019">
              <w:rPr>
                <w:b/>
                <w:sz w:val="18"/>
                <w:szCs w:val="18"/>
              </w:rPr>
              <w:t>0.50%</w:t>
            </w:r>
          </w:p>
        </w:tc>
        <w:tc>
          <w:tcPr>
            <w:tcW w:w="1149" w:type="dxa"/>
            <w:gridSpan w:val="2"/>
            <w:shd w:val="clear" w:color="auto" w:fill="D5DCE4" w:themeFill="text2" w:themeFillTint="33"/>
            <w:vAlign w:val="center"/>
          </w:tcPr>
          <w:p w14:paraId="6FA810EF" w14:textId="77777777" w:rsidR="00957A78" w:rsidRPr="00B80461" w:rsidRDefault="00957A78" w:rsidP="00A72B0A">
            <w:pPr>
              <w:spacing w:before="0" w:after="0" w:line="240" w:lineRule="auto"/>
              <w:jc w:val="center"/>
              <w:rPr>
                <w:b/>
                <w:sz w:val="18"/>
                <w:szCs w:val="18"/>
              </w:rPr>
            </w:pPr>
            <w:r w:rsidRPr="00ED5019">
              <w:rPr>
                <w:b/>
                <w:sz w:val="18"/>
                <w:szCs w:val="18"/>
              </w:rPr>
              <w:t>0.12%</w:t>
            </w:r>
          </w:p>
        </w:tc>
      </w:tr>
      <w:tr w:rsidR="00957A78" w:rsidRPr="00B80461" w14:paraId="28193C88" w14:textId="77777777" w:rsidTr="00A72B0A">
        <w:trPr>
          <w:gridAfter w:val="1"/>
          <w:wAfter w:w="9" w:type="dxa"/>
          <w:trHeight w:val="245"/>
        </w:trPr>
        <w:tc>
          <w:tcPr>
            <w:tcW w:w="720" w:type="dxa"/>
            <w:shd w:val="clear" w:color="auto" w:fill="auto"/>
            <w:vAlign w:val="center"/>
            <w:hideMark/>
          </w:tcPr>
          <w:p w14:paraId="69ED775A" w14:textId="77777777" w:rsidR="00957A78" w:rsidRPr="00B80461" w:rsidRDefault="00957A78" w:rsidP="00A72B0A">
            <w:pPr>
              <w:spacing w:before="0" w:after="0" w:line="240" w:lineRule="auto"/>
              <w:jc w:val="both"/>
              <w:rPr>
                <w:sz w:val="18"/>
                <w:szCs w:val="18"/>
              </w:rPr>
            </w:pPr>
            <w:r w:rsidRPr="00B80461">
              <w:rPr>
                <w:sz w:val="18"/>
                <w:szCs w:val="18"/>
              </w:rPr>
              <w:t>3.1.</w:t>
            </w:r>
          </w:p>
        </w:tc>
        <w:tc>
          <w:tcPr>
            <w:tcW w:w="4953" w:type="dxa"/>
            <w:shd w:val="clear" w:color="auto" w:fill="auto"/>
            <w:vAlign w:val="center"/>
            <w:hideMark/>
          </w:tcPr>
          <w:p w14:paraId="5608B8B9" w14:textId="77777777" w:rsidR="00957A78" w:rsidRPr="00B80461" w:rsidRDefault="00957A78" w:rsidP="00A72B0A">
            <w:pPr>
              <w:spacing w:before="0" w:after="0" w:line="240" w:lineRule="auto"/>
              <w:rPr>
                <w:sz w:val="18"/>
                <w:szCs w:val="18"/>
              </w:rPr>
            </w:pPr>
            <w:r w:rsidRPr="00B80461">
              <w:rPr>
                <w:sz w:val="18"/>
                <w:szCs w:val="18"/>
              </w:rPr>
              <w:t>գյուղատնտեսության ոլորտի աշխատողների աշխատավարձ</w:t>
            </w:r>
          </w:p>
        </w:tc>
        <w:tc>
          <w:tcPr>
            <w:tcW w:w="1499" w:type="dxa"/>
            <w:gridSpan w:val="2"/>
            <w:shd w:val="clear" w:color="auto" w:fill="auto"/>
            <w:vAlign w:val="center"/>
          </w:tcPr>
          <w:p w14:paraId="27A362CE" w14:textId="77777777" w:rsidR="00957A78" w:rsidRPr="00B80461" w:rsidRDefault="00957A78" w:rsidP="00A72B0A">
            <w:pPr>
              <w:spacing w:before="0" w:after="0" w:line="240" w:lineRule="auto"/>
              <w:jc w:val="center"/>
              <w:rPr>
                <w:sz w:val="18"/>
                <w:szCs w:val="18"/>
              </w:rPr>
            </w:pPr>
            <w:r w:rsidRPr="00ED5019">
              <w:rPr>
                <w:sz w:val="18"/>
                <w:szCs w:val="18"/>
              </w:rPr>
              <w:t>14,545</w:t>
            </w:r>
          </w:p>
        </w:tc>
        <w:tc>
          <w:tcPr>
            <w:tcW w:w="1621" w:type="dxa"/>
            <w:gridSpan w:val="2"/>
            <w:shd w:val="clear" w:color="auto" w:fill="auto"/>
            <w:vAlign w:val="center"/>
          </w:tcPr>
          <w:p w14:paraId="42124B42" w14:textId="77777777" w:rsidR="00957A78" w:rsidRPr="00B80461" w:rsidRDefault="00957A78" w:rsidP="00A72B0A">
            <w:pPr>
              <w:spacing w:before="0" w:after="0" w:line="240" w:lineRule="auto"/>
              <w:jc w:val="center"/>
              <w:rPr>
                <w:sz w:val="18"/>
                <w:szCs w:val="18"/>
              </w:rPr>
            </w:pPr>
            <w:r w:rsidRPr="00ED5019">
              <w:rPr>
                <w:sz w:val="18"/>
                <w:szCs w:val="18"/>
              </w:rPr>
              <w:t>0.50%</w:t>
            </w:r>
          </w:p>
        </w:tc>
        <w:tc>
          <w:tcPr>
            <w:tcW w:w="1149" w:type="dxa"/>
            <w:gridSpan w:val="2"/>
            <w:shd w:val="clear" w:color="auto" w:fill="auto"/>
            <w:vAlign w:val="center"/>
          </w:tcPr>
          <w:p w14:paraId="52DDF552" w14:textId="77777777" w:rsidR="00957A78" w:rsidRPr="00B80461" w:rsidRDefault="00957A78" w:rsidP="00A72B0A">
            <w:pPr>
              <w:spacing w:before="0" w:after="0" w:line="240" w:lineRule="auto"/>
              <w:jc w:val="center"/>
              <w:rPr>
                <w:sz w:val="18"/>
                <w:szCs w:val="18"/>
              </w:rPr>
            </w:pPr>
            <w:r w:rsidRPr="00ED5019">
              <w:rPr>
                <w:sz w:val="18"/>
                <w:szCs w:val="18"/>
              </w:rPr>
              <w:t>0.12%</w:t>
            </w:r>
          </w:p>
        </w:tc>
      </w:tr>
      <w:tr w:rsidR="00957A78" w:rsidRPr="009F7759" w14:paraId="368ADD3E" w14:textId="77777777" w:rsidTr="00A72B0A">
        <w:trPr>
          <w:gridAfter w:val="1"/>
          <w:wAfter w:w="9" w:type="dxa"/>
          <w:trHeight w:val="245"/>
        </w:trPr>
        <w:tc>
          <w:tcPr>
            <w:tcW w:w="720" w:type="dxa"/>
            <w:shd w:val="clear" w:color="auto" w:fill="D5DCE4" w:themeFill="text2" w:themeFillTint="33"/>
            <w:vAlign w:val="center"/>
          </w:tcPr>
          <w:p w14:paraId="6B33FCE7" w14:textId="77777777" w:rsidR="00957A78" w:rsidRPr="00B80461" w:rsidRDefault="00957A78" w:rsidP="00A72B0A">
            <w:pPr>
              <w:spacing w:before="0" w:after="0" w:line="240" w:lineRule="auto"/>
              <w:jc w:val="both"/>
              <w:rPr>
                <w:b/>
                <w:sz w:val="18"/>
                <w:szCs w:val="18"/>
              </w:rPr>
            </w:pPr>
            <w:r>
              <w:rPr>
                <w:rFonts w:ascii="GHEA Grapalat" w:hAnsi="GHEA Grapalat" w:cs="Calibri"/>
                <w:b/>
                <w:bCs/>
                <w:color w:val="000000"/>
              </w:rPr>
              <w:t>4</w:t>
            </w:r>
          </w:p>
        </w:tc>
        <w:tc>
          <w:tcPr>
            <w:tcW w:w="4953" w:type="dxa"/>
            <w:shd w:val="clear" w:color="auto" w:fill="D5DCE4" w:themeFill="text2" w:themeFillTint="33"/>
            <w:vAlign w:val="center"/>
          </w:tcPr>
          <w:p w14:paraId="447A1F68" w14:textId="77777777" w:rsidR="00957A78" w:rsidRPr="00B80461" w:rsidRDefault="00957A78" w:rsidP="00A72B0A">
            <w:pPr>
              <w:spacing w:before="0" w:after="0" w:line="240" w:lineRule="auto"/>
              <w:rPr>
                <w:b/>
                <w:sz w:val="18"/>
                <w:szCs w:val="18"/>
              </w:rPr>
            </w:pPr>
            <w:r w:rsidRPr="009F7759">
              <w:rPr>
                <w:b/>
                <w:sz w:val="18"/>
                <w:szCs w:val="18"/>
              </w:rPr>
              <w:t>Շրջանառության հարկի գծով, այդ թվում`</w:t>
            </w:r>
          </w:p>
        </w:tc>
        <w:tc>
          <w:tcPr>
            <w:tcW w:w="1499" w:type="dxa"/>
            <w:gridSpan w:val="2"/>
            <w:shd w:val="clear" w:color="auto" w:fill="D5DCE4" w:themeFill="text2" w:themeFillTint="33"/>
            <w:vAlign w:val="center"/>
          </w:tcPr>
          <w:p w14:paraId="1C13AB6E" w14:textId="77777777" w:rsidR="00957A78" w:rsidRPr="0031294C" w:rsidRDefault="00957A78" w:rsidP="00A72B0A">
            <w:pPr>
              <w:spacing w:before="0" w:after="0" w:line="240" w:lineRule="auto"/>
              <w:jc w:val="center"/>
              <w:rPr>
                <w:b/>
                <w:sz w:val="18"/>
                <w:szCs w:val="18"/>
              </w:rPr>
            </w:pPr>
            <w:r w:rsidRPr="009F7759">
              <w:rPr>
                <w:b/>
                <w:sz w:val="18"/>
                <w:szCs w:val="18"/>
              </w:rPr>
              <w:t>26,852</w:t>
            </w:r>
          </w:p>
        </w:tc>
        <w:tc>
          <w:tcPr>
            <w:tcW w:w="1621" w:type="dxa"/>
            <w:gridSpan w:val="2"/>
            <w:shd w:val="clear" w:color="auto" w:fill="D5DCE4" w:themeFill="text2" w:themeFillTint="33"/>
            <w:vAlign w:val="center"/>
          </w:tcPr>
          <w:p w14:paraId="39A45BD9" w14:textId="77777777" w:rsidR="00957A78" w:rsidRPr="0031294C" w:rsidRDefault="00957A78" w:rsidP="00A72B0A">
            <w:pPr>
              <w:spacing w:before="0" w:after="0" w:line="240" w:lineRule="auto"/>
              <w:jc w:val="center"/>
              <w:rPr>
                <w:b/>
                <w:sz w:val="18"/>
                <w:szCs w:val="18"/>
              </w:rPr>
            </w:pPr>
            <w:r w:rsidRPr="009F7759">
              <w:rPr>
                <w:b/>
                <w:sz w:val="18"/>
                <w:szCs w:val="18"/>
              </w:rPr>
              <w:t>0.91%</w:t>
            </w:r>
          </w:p>
        </w:tc>
        <w:tc>
          <w:tcPr>
            <w:tcW w:w="1149" w:type="dxa"/>
            <w:gridSpan w:val="2"/>
            <w:shd w:val="clear" w:color="auto" w:fill="D5DCE4" w:themeFill="text2" w:themeFillTint="33"/>
            <w:vAlign w:val="center"/>
          </w:tcPr>
          <w:p w14:paraId="71647935" w14:textId="77777777" w:rsidR="00957A78" w:rsidRPr="0031294C" w:rsidRDefault="00957A78" w:rsidP="00A72B0A">
            <w:pPr>
              <w:spacing w:before="0" w:after="0" w:line="240" w:lineRule="auto"/>
              <w:jc w:val="center"/>
              <w:rPr>
                <w:b/>
                <w:sz w:val="18"/>
                <w:szCs w:val="18"/>
              </w:rPr>
            </w:pPr>
            <w:r w:rsidRPr="009F7759">
              <w:rPr>
                <w:b/>
                <w:sz w:val="18"/>
                <w:szCs w:val="18"/>
              </w:rPr>
              <w:t>0.23%</w:t>
            </w:r>
          </w:p>
        </w:tc>
      </w:tr>
      <w:tr w:rsidR="00957A78" w:rsidRPr="00B80461" w14:paraId="1CB9B091" w14:textId="77777777" w:rsidTr="00A72B0A">
        <w:trPr>
          <w:gridAfter w:val="1"/>
          <w:wAfter w:w="9" w:type="dxa"/>
          <w:trHeight w:val="245"/>
        </w:trPr>
        <w:tc>
          <w:tcPr>
            <w:tcW w:w="720" w:type="dxa"/>
            <w:shd w:val="clear" w:color="auto" w:fill="auto"/>
            <w:vAlign w:val="center"/>
          </w:tcPr>
          <w:p w14:paraId="08565816" w14:textId="77777777" w:rsidR="00957A78" w:rsidRPr="00ED5019" w:rsidRDefault="00957A78" w:rsidP="00A72B0A">
            <w:pPr>
              <w:spacing w:before="0" w:after="0" w:line="240" w:lineRule="auto"/>
              <w:jc w:val="both"/>
              <w:rPr>
                <w:b/>
                <w:sz w:val="18"/>
                <w:szCs w:val="18"/>
              </w:rPr>
            </w:pPr>
            <w:r w:rsidRPr="009F7759">
              <w:rPr>
                <w:sz w:val="18"/>
                <w:szCs w:val="18"/>
              </w:rPr>
              <w:t>4.1.</w:t>
            </w:r>
          </w:p>
        </w:tc>
        <w:tc>
          <w:tcPr>
            <w:tcW w:w="4953" w:type="dxa"/>
            <w:shd w:val="clear" w:color="auto" w:fill="auto"/>
            <w:vAlign w:val="center"/>
          </w:tcPr>
          <w:p w14:paraId="737DFF2F" w14:textId="77777777" w:rsidR="00957A78" w:rsidRPr="00ED5019" w:rsidRDefault="00957A78" w:rsidP="00A72B0A">
            <w:pPr>
              <w:spacing w:before="0" w:after="0" w:line="240" w:lineRule="auto"/>
              <w:rPr>
                <w:b/>
                <w:sz w:val="18"/>
                <w:szCs w:val="18"/>
              </w:rPr>
            </w:pPr>
            <w:r w:rsidRPr="009F7759">
              <w:rPr>
                <w:sz w:val="18"/>
                <w:szCs w:val="18"/>
              </w:rPr>
              <w:t>ՏՏ ոլորտի արտոնություններ</w:t>
            </w:r>
          </w:p>
        </w:tc>
        <w:tc>
          <w:tcPr>
            <w:tcW w:w="1499" w:type="dxa"/>
            <w:gridSpan w:val="2"/>
            <w:shd w:val="clear" w:color="auto" w:fill="auto"/>
            <w:vAlign w:val="center"/>
          </w:tcPr>
          <w:p w14:paraId="43B39AF2" w14:textId="77777777" w:rsidR="00957A78" w:rsidRPr="009F7759" w:rsidRDefault="00957A78" w:rsidP="00A72B0A">
            <w:pPr>
              <w:spacing w:before="0" w:after="0" w:line="240" w:lineRule="auto"/>
              <w:jc w:val="center"/>
              <w:rPr>
                <w:sz w:val="18"/>
                <w:szCs w:val="18"/>
              </w:rPr>
            </w:pPr>
            <w:r w:rsidRPr="009F7759">
              <w:rPr>
                <w:sz w:val="18"/>
                <w:szCs w:val="18"/>
              </w:rPr>
              <w:t>26,852</w:t>
            </w:r>
          </w:p>
        </w:tc>
        <w:tc>
          <w:tcPr>
            <w:tcW w:w="1621" w:type="dxa"/>
            <w:gridSpan w:val="2"/>
            <w:shd w:val="clear" w:color="auto" w:fill="auto"/>
            <w:vAlign w:val="center"/>
          </w:tcPr>
          <w:p w14:paraId="5C4C0CE8" w14:textId="77777777" w:rsidR="00957A78" w:rsidRPr="009F7759" w:rsidRDefault="00957A78" w:rsidP="00A72B0A">
            <w:pPr>
              <w:spacing w:before="0" w:after="0" w:line="240" w:lineRule="auto"/>
              <w:jc w:val="center"/>
              <w:rPr>
                <w:sz w:val="18"/>
                <w:szCs w:val="18"/>
              </w:rPr>
            </w:pPr>
            <w:r w:rsidRPr="009F7759">
              <w:rPr>
                <w:sz w:val="18"/>
                <w:szCs w:val="18"/>
              </w:rPr>
              <w:t>0.91%</w:t>
            </w:r>
          </w:p>
        </w:tc>
        <w:tc>
          <w:tcPr>
            <w:tcW w:w="1149" w:type="dxa"/>
            <w:gridSpan w:val="2"/>
            <w:shd w:val="clear" w:color="auto" w:fill="auto"/>
            <w:vAlign w:val="center"/>
          </w:tcPr>
          <w:p w14:paraId="6C97F5B2" w14:textId="77777777" w:rsidR="00957A78" w:rsidRPr="009F7759" w:rsidRDefault="00957A78" w:rsidP="00A72B0A">
            <w:pPr>
              <w:spacing w:before="0" w:after="0" w:line="240" w:lineRule="auto"/>
              <w:jc w:val="center"/>
              <w:rPr>
                <w:sz w:val="18"/>
                <w:szCs w:val="18"/>
              </w:rPr>
            </w:pPr>
            <w:r w:rsidRPr="009F7759">
              <w:rPr>
                <w:sz w:val="18"/>
                <w:szCs w:val="18"/>
              </w:rPr>
              <w:t>0.23%</w:t>
            </w:r>
          </w:p>
        </w:tc>
      </w:tr>
      <w:tr w:rsidR="00957A78" w:rsidRPr="00B80461" w14:paraId="10D73388" w14:textId="77777777" w:rsidTr="00A72B0A">
        <w:trPr>
          <w:trHeight w:val="245"/>
        </w:trPr>
        <w:tc>
          <w:tcPr>
            <w:tcW w:w="5682" w:type="dxa"/>
            <w:gridSpan w:val="3"/>
            <w:shd w:val="clear" w:color="auto" w:fill="D5DCE4" w:themeFill="text2" w:themeFillTint="33"/>
            <w:vAlign w:val="center"/>
            <w:hideMark/>
          </w:tcPr>
          <w:p w14:paraId="1AB76ABE" w14:textId="77777777" w:rsidR="00957A78" w:rsidRPr="00B80461" w:rsidRDefault="00957A78" w:rsidP="00A72B0A">
            <w:pPr>
              <w:spacing w:before="0" w:after="0" w:line="240" w:lineRule="auto"/>
              <w:rPr>
                <w:b/>
                <w:sz w:val="18"/>
                <w:szCs w:val="18"/>
              </w:rPr>
            </w:pPr>
            <w:r w:rsidRPr="00B80461">
              <w:rPr>
                <w:b/>
                <w:sz w:val="18"/>
                <w:szCs w:val="18"/>
              </w:rPr>
              <w:t>Ընդամենը</w:t>
            </w:r>
          </w:p>
        </w:tc>
        <w:tc>
          <w:tcPr>
            <w:tcW w:w="1499" w:type="dxa"/>
            <w:gridSpan w:val="2"/>
            <w:shd w:val="clear" w:color="auto" w:fill="D5DCE4" w:themeFill="text2" w:themeFillTint="33"/>
            <w:vAlign w:val="center"/>
            <w:hideMark/>
          </w:tcPr>
          <w:p w14:paraId="0986BA1E" w14:textId="77777777" w:rsidR="00957A78" w:rsidRPr="00B80461" w:rsidRDefault="00957A78" w:rsidP="00A72B0A">
            <w:pPr>
              <w:spacing w:before="0" w:after="0" w:line="240" w:lineRule="auto"/>
              <w:jc w:val="center"/>
              <w:rPr>
                <w:b/>
                <w:sz w:val="18"/>
                <w:szCs w:val="18"/>
              </w:rPr>
            </w:pPr>
            <w:r w:rsidRPr="009F7759">
              <w:rPr>
                <w:b/>
                <w:sz w:val="18"/>
                <w:szCs w:val="18"/>
              </w:rPr>
              <w:t>802,847</w:t>
            </w:r>
          </w:p>
        </w:tc>
        <w:tc>
          <w:tcPr>
            <w:tcW w:w="1621" w:type="dxa"/>
            <w:gridSpan w:val="2"/>
            <w:shd w:val="clear" w:color="auto" w:fill="D5DCE4" w:themeFill="text2" w:themeFillTint="33"/>
            <w:vAlign w:val="center"/>
            <w:hideMark/>
          </w:tcPr>
          <w:p w14:paraId="109EC221" w14:textId="77777777" w:rsidR="00957A78" w:rsidRPr="00B80461" w:rsidRDefault="00957A78" w:rsidP="00A72B0A">
            <w:pPr>
              <w:spacing w:before="0" w:after="0" w:line="240" w:lineRule="auto"/>
              <w:jc w:val="center"/>
              <w:rPr>
                <w:b/>
                <w:sz w:val="18"/>
                <w:szCs w:val="18"/>
              </w:rPr>
            </w:pPr>
            <w:r w:rsidRPr="009F7759">
              <w:rPr>
                <w:b/>
                <w:sz w:val="18"/>
                <w:szCs w:val="18"/>
              </w:rPr>
              <w:t>27.36%</w:t>
            </w:r>
          </w:p>
        </w:tc>
        <w:tc>
          <w:tcPr>
            <w:tcW w:w="1149" w:type="dxa"/>
            <w:gridSpan w:val="2"/>
            <w:shd w:val="clear" w:color="auto" w:fill="D5DCE4" w:themeFill="text2" w:themeFillTint="33"/>
            <w:vAlign w:val="center"/>
            <w:hideMark/>
          </w:tcPr>
          <w:p w14:paraId="358A2C6D" w14:textId="77777777" w:rsidR="00957A78" w:rsidRPr="00B80461" w:rsidRDefault="00957A78" w:rsidP="00A72B0A">
            <w:pPr>
              <w:spacing w:before="0" w:after="0" w:line="240" w:lineRule="auto"/>
              <w:jc w:val="center"/>
              <w:rPr>
                <w:b/>
                <w:sz w:val="18"/>
                <w:szCs w:val="18"/>
              </w:rPr>
            </w:pPr>
            <w:r w:rsidRPr="009F7759">
              <w:rPr>
                <w:b/>
                <w:sz w:val="18"/>
                <w:szCs w:val="18"/>
              </w:rPr>
              <w:t>6.75%</w:t>
            </w:r>
          </w:p>
        </w:tc>
      </w:tr>
    </w:tbl>
    <w:p w14:paraId="2AE0AB65" w14:textId="5045D175" w:rsidR="00957A78" w:rsidRPr="00ED5019" w:rsidRDefault="00957A78" w:rsidP="00957A78">
      <w:pPr>
        <w:pStyle w:val="TOC1"/>
        <w:rPr>
          <w:i/>
          <w:color w:val="A6A6A6" w:themeColor="background1" w:themeShade="A6"/>
          <w:sz w:val="16"/>
          <w:szCs w:val="16"/>
        </w:rPr>
      </w:pPr>
      <w:bookmarkStart w:id="542" w:name="_Toc209625778"/>
      <w:r w:rsidRPr="00ED5019">
        <w:rPr>
          <w:i/>
          <w:color w:val="A6A6A6" w:themeColor="background1" w:themeShade="A6"/>
          <w:sz w:val="16"/>
          <w:szCs w:val="16"/>
        </w:rPr>
        <w:t>2025</w:t>
      </w:r>
      <w:r w:rsidRPr="00ED5019">
        <w:rPr>
          <w:i/>
          <w:color w:val="A6A6A6" w:themeColor="background1" w:themeShade="A6"/>
          <w:sz w:val="16"/>
          <w:szCs w:val="16"/>
          <w:lang w:val="hy-AM"/>
        </w:rPr>
        <w:t xml:space="preserve">թ. գնահատված հարկային ծախսերը կազմել են 781,038 մլն դրամ, ինչը </w:t>
      </w:r>
      <w:r w:rsidRPr="00ED5019">
        <w:rPr>
          <w:i/>
          <w:color w:val="A6A6A6" w:themeColor="background1" w:themeShade="A6"/>
          <w:sz w:val="16"/>
          <w:szCs w:val="16"/>
        </w:rPr>
        <w:t xml:space="preserve">2026-2028 թվականների ՄԺԾԾ-ով 2025 թվականի համար </w:t>
      </w:r>
      <w:r w:rsidRPr="00ED5019">
        <w:rPr>
          <w:i/>
          <w:color w:val="A6A6A6" w:themeColor="background1" w:themeShade="A6"/>
          <w:sz w:val="16"/>
          <w:szCs w:val="16"/>
          <w:lang w:val="hy-AM"/>
        </w:rPr>
        <w:t>սպասվող</w:t>
      </w:r>
      <w:r w:rsidRPr="00ED5019">
        <w:rPr>
          <w:i/>
          <w:color w:val="A6A6A6" w:themeColor="background1" w:themeShade="A6"/>
          <w:sz w:val="16"/>
          <w:szCs w:val="16"/>
        </w:rPr>
        <w:t xml:space="preserve"> հարկային եկամուտների և ՀՆԱ-ի նկատմամբ կազմում է համապատասխանաբար` 27.77 և 6.98 տոկոս: </w:t>
      </w:r>
      <w:r w:rsidRPr="00ED5019">
        <w:rPr>
          <w:i/>
          <w:color w:val="A6A6A6" w:themeColor="background1" w:themeShade="A6"/>
          <w:sz w:val="16"/>
          <w:szCs w:val="16"/>
          <w:lang w:val="hy-AM"/>
        </w:rPr>
        <w:t>Վերոգրյալը նշանակում է, որ նախորդ տարվա գնահատականի համեմատ հարկային եկամուտների մեջ 202</w:t>
      </w:r>
      <w:r w:rsidRPr="00ED5019">
        <w:rPr>
          <w:i/>
          <w:color w:val="A6A6A6" w:themeColor="background1" w:themeShade="A6"/>
          <w:sz w:val="16"/>
          <w:szCs w:val="16"/>
        </w:rPr>
        <w:t>6</w:t>
      </w:r>
      <w:r w:rsidRPr="00ED5019">
        <w:rPr>
          <w:i/>
          <w:color w:val="A6A6A6" w:themeColor="background1" w:themeShade="A6"/>
          <w:sz w:val="16"/>
          <w:szCs w:val="16"/>
          <w:lang w:val="hy-AM"/>
        </w:rPr>
        <w:t xml:space="preserve">թ. հարկային ծախսերի կշիռը նվազել է </w:t>
      </w:r>
      <w:r w:rsidRPr="00ED5019">
        <w:rPr>
          <w:i/>
          <w:color w:val="A6A6A6" w:themeColor="background1" w:themeShade="A6"/>
          <w:sz w:val="16"/>
          <w:szCs w:val="16"/>
        </w:rPr>
        <w:t>0.41</w:t>
      </w:r>
      <w:r w:rsidRPr="00ED5019">
        <w:rPr>
          <w:i/>
          <w:color w:val="A6A6A6" w:themeColor="background1" w:themeShade="A6"/>
          <w:sz w:val="16"/>
          <w:szCs w:val="16"/>
          <w:lang w:val="hy-AM"/>
        </w:rPr>
        <w:t xml:space="preserve"> տոկոսային կետով, իսկ անվանական ՀՆԱ-ի մեջ հարկային ծախսերի կշիռը նվազել է 0.</w:t>
      </w:r>
      <w:r w:rsidRPr="00ED5019">
        <w:rPr>
          <w:i/>
          <w:color w:val="A6A6A6" w:themeColor="background1" w:themeShade="A6"/>
          <w:sz w:val="16"/>
          <w:szCs w:val="16"/>
        </w:rPr>
        <w:t>2</w:t>
      </w:r>
      <w:r w:rsidRPr="00ED5019">
        <w:rPr>
          <w:i/>
          <w:color w:val="A6A6A6" w:themeColor="background1" w:themeShade="A6"/>
          <w:sz w:val="16"/>
          <w:szCs w:val="16"/>
          <w:lang w:val="hy-AM"/>
        </w:rPr>
        <w:t>4 տոկոսային կետով:</w:t>
      </w:r>
      <w:bookmarkEnd w:id="542"/>
    </w:p>
    <w:p w14:paraId="081C0402" w14:textId="77777777" w:rsidR="00957A78" w:rsidRDefault="00957A78" w:rsidP="00957A78">
      <w:pPr>
        <w:pStyle w:val="TOC1"/>
        <w:rPr>
          <w:szCs w:val="40"/>
        </w:rPr>
      </w:pPr>
    </w:p>
    <w:p w14:paraId="35D26AB0" w14:textId="5660D638" w:rsidR="00957A78" w:rsidRPr="00F17ED9" w:rsidRDefault="00957A78" w:rsidP="00C0795E">
      <w:pPr>
        <w:pStyle w:val="TOC1"/>
        <w:outlineLvl w:val="1"/>
        <w:rPr>
          <w:szCs w:val="40"/>
        </w:rPr>
      </w:pPr>
      <w:bookmarkStart w:id="543" w:name="_Toc209625779"/>
      <w:bookmarkStart w:id="544" w:name="_Toc215157702"/>
      <w:r w:rsidRPr="00F17ED9">
        <w:rPr>
          <w:szCs w:val="40"/>
        </w:rPr>
        <w:t>202</w:t>
      </w:r>
      <w:r w:rsidR="00FA475A" w:rsidRPr="00FA475A">
        <w:rPr>
          <w:szCs w:val="40"/>
        </w:rPr>
        <w:t>6</w:t>
      </w:r>
      <w:r w:rsidRPr="00F17ED9">
        <w:rPr>
          <w:szCs w:val="40"/>
        </w:rPr>
        <w:t xml:space="preserve"> ԹՎԱԿԱՆԻ ՀԱՐԿԱՅԻՆ ԾԱԽՍԵՐԻ ԳՆԱՀԱՏՄԱՆ</w:t>
      </w:r>
      <w:r w:rsidRPr="00F17ED9">
        <w:rPr>
          <w:szCs w:val="40"/>
          <w:lang w:val="hy-AM"/>
        </w:rPr>
        <w:t xml:space="preserve"> </w:t>
      </w:r>
      <w:r w:rsidRPr="00F17ED9">
        <w:rPr>
          <w:szCs w:val="40"/>
        </w:rPr>
        <w:t>ՄԵԹՈԴԱԲԱՆՈՒԹՅՈՒՆ</w:t>
      </w:r>
      <w:bookmarkEnd w:id="543"/>
      <w:bookmarkEnd w:id="544"/>
    </w:p>
    <w:p w14:paraId="6453B0FC" w14:textId="77777777" w:rsidR="00957A78" w:rsidRPr="001D2D3B" w:rsidRDefault="00957A78" w:rsidP="00C0795E">
      <w:pPr>
        <w:pStyle w:val="TOC4"/>
        <w:rPr>
          <w:lang w:eastAsia="ru-RU"/>
        </w:rPr>
      </w:pPr>
      <w:r w:rsidRPr="00C3014C">
        <w:t>ԱԱՀ</w:t>
      </w:r>
      <w:r w:rsidRPr="001D2D3B">
        <w:t>-</w:t>
      </w:r>
      <w:r w:rsidRPr="00C3014C">
        <w:t>Ի</w:t>
      </w:r>
      <w:r w:rsidRPr="001D2D3B">
        <w:t xml:space="preserve"> </w:t>
      </w:r>
      <w:r w:rsidRPr="00C3014C">
        <w:t>ԳԾՈՎ</w:t>
      </w:r>
      <w:r w:rsidRPr="001D2D3B">
        <w:t xml:space="preserve"> </w:t>
      </w:r>
      <w:r w:rsidRPr="00C3014C">
        <w:t>ՀԱՐԿԱՅԻՆ</w:t>
      </w:r>
      <w:r w:rsidRPr="001D2D3B">
        <w:t xml:space="preserve"> </w:t>
      </w:r>
      <w:r w:rsidRPr="00C3014C">
        <w:t>ԾԱԽՍԵՐԸ</w:t>
      </w:r>
    </w:p>
    <w:p w14:paraId="79B9A596" w14:textId="77777777" w:rsidR="00957A78" w:rsidRPr="006A4300" w:rsidRDefault="00957A78" w:rsidP="00C0795E">
      <w:pPr>
        <w:pStyle w:val="BodyText1"/>
        <w:ind w:left="0"/>
        <w:rPr>
          <w:lang w:val="hy-AM"/>
        </w:rPr>
      </w:pPr>
      <w:r w:rsidRPr="006A4300">
        <w:rPr>
          <w:lang w:val="hy-AM"/>
        </w:rPr>
        <w:t>ԱԱՀ-ի գծով հարկային ծախսերը գնահատվել են հետևյալ հիմնական ուղղություն</w:t>
      </w:r>
      <w:r w:rsidRPr="006A4300">
        <w:rPr>
          <w:lang w:val="hy-AM"/>
        </w:rPr>
        <w:softHyphen/>
        <w:t>նե</w:t>
      </w:r>
      <w:r w:rsidRPr="006A4300">
        <w:rPr>
          <w:lang w:val="hy-AM"/>
        </w:rPr>
        <w:softHyphen/>
        <w:t>րով.</w:t>
      </w:r>
    </w:p>
    <w:p w14:paraId="621256DD" w14:textId="77777777" w:rsidR="00957A78" w:rsidRPr="006A4300" w:rsidRDefault="00957A78" w:rsidP="00C0795E">
      <w:pPr>
        <w:pStyle w:val="BodyText1"/>
        <w:numPr>
          <w:ilvl w:val="0"/>
          <w:numId w:val="12"/>
        </w:numPr>
        <w:ind w:left="0" w:firstLine="0"/>
        <w:rPr>
          <w:lang w:val="hy-AM"/>
        </w:rPr>
      </w:pPr>
      <w:r w:rsidRPr="006A4300">
        <w:rPr>
          <w:lang w:val="hy-AM"/>
        </w:rPr>
        <w:t>գյու</w:t>
      </w:r>
      <w:r w:rsidRPr="006A4300">
        <w:rPr>
          <w:lang w:val="hy-AM"/>
        </w:rPr>
        <w:softHyphen/>
        <w:t>ղա</w:t>
      </w:r>
      <w:r w:rsidRPr="006A4300">
        <w:rPr>
          <w:lang w:val="hy-AM"/>
        </w:rPr>
        <w:softHyphen/>
        <w:t>տնտեսություն,</w:t>
      </w:r>
    </w:p>
    <w:p w14:paraId="749B415C" w14:textId="77777777" w:rsidR="00957A78" w:rsidRPr="006A4300" w:rsidRDefault="00957A78" w:rsidP="00C0795E">
      <w:pPr>
        <w:pStyle w:val="BodyText1"/>
        <w:numPr>
          <w:ilvl w:val="0"/>
          <w:numId w:val="12"/>
        </w:numPr>
        <w:ind w:left="0" w:firstLine="0"/>
        <w:rPr>
          <w:lang w:val="hy-AM"/>
        </w:rPr>
      </w:pPr>
      <w:r w:rsidRPr="006A4300">
        <w:rPr>
          <w:lang w:val="hy-AM"/>
        </w:rPr>
        <w:t>առողջապահություն,</w:t>
      </w:r>
    </w:p>
    <w:p w14:paraId="032767E7" w14:textId="77777777" w:rsidR="00957A78" w:rsidRPr="006A4300" w:rsidRDefault="00957A78" w:rsidP="00C0795E">
      <w:pPr>
        <w:pStyle w:val="BodyText1"/>
        <w:numPr>
          <w:ilvl w:val="0"/>
          <w:numId w:val="12"/>
        </w:numPr>
        <w:ind w:left="0" w:firstLine="0"/>
        <w:rPr>
          <w:lang w:val="hy-AM"/>
        </w:rPr>
      </w:pPr>
      <w:r w:rsidRPr="006A4300">
        <w:rPr>
          <w:lang w:val="hy-AM"/>
        </w:rPr>
        <w:t>կրթություն,</w:t>
      </w:r>
    </w:p>
    <w:p w14:paraId="19C9B79A" w14:textId="77777777" w:rsidR="00957A78" w:rsidRPr="006A4300" w:rsidRDefault="00957A78" w:rsidP="00C0795E">
      <w:pPr>
        <w:pStyle w:val="BodyText1"/>
        <w:numPr>
          <w:ilvl w:val="0"/>
          <w:numId w:val="12"/>
        </w:numPr>
        <w:ind w:left="0" w:firstLine="0"/>
        <w:rPr>
          <w:lang w:val="hy-AM"/>
        </w:rPr>
      </w:pPr>
      <w:r w:rsidRPr="006A4300">
        <w:rPr>
          <w:lang w:val="hy-AM"/>
        </w:rPr>
        <w:t>ֆինանսներ և ապահովագրություն,</w:t>
      </w:r>
    </w:p>
    <w:p w14:paraId="6A9548A4" w14:textId="77777777" w:rsidR="00957A78" w:rsidRPr="006A4300" w:rsidRDefault="00957A78" w:rsidP="00C0795E">
      <w:pPr>
        <w:pStyle w:val="BodyText1"/>
        <w:numPr>
          <w:ilvl w:val="0"/>
          <w:numId w:val="12"/>
        </w:numPr>
        <w:ind w:left="0" w:firstLine="0"/>
        <w:rPr>
          <w:lang w:val="hy-AM"/>
        </w:rPr>
      </w:pPr>
      <w:r w:rsidRPr="006A4300">
        <w:rPr>
          <w:lang w:val="hy-AM"/>
        </w:rPr>
        <w:t>խաղատների գործունեություն, շահումով խաղերի (այդ թվում՝ ինտերնետ շահումով խաղերի), տոտալիզատորի և ինտերնետ տոտալիզատորի կազմակերպում,</w:t>
      </w:r>
    </w:p>
    <w:p w14:paraId="7C10A72C" w14:textId="77777777" w:rsidR="00957A78" w:rsidRPr="006A4300" w:rsidRDefault="00957A78" w:rsidP="00C0795E">
      <w:pPr>
        <w:pStyle w:val="BodyText1"/>
        <w:numPr>
          <w:ilvl w:val="0"/>
          <w:numId w:val="12"/>
        </w:numPr>
        <w:ind w:left="0" w:firstLine="0"/>
        <w:rPr>
          <w:lang w:val="hy-AM"/>
        </w:rPr>
      </w:pPr>
      <w:r w:rsidRPr="006A4300">
        <w:rPr>
          <w:lang w:val="hy-AM"/>
        </w:rPr>
        <w:t>ոսկու և թանկարժեք քարերի իրացում,</w:t>
      </w:r>
    </w:p>
    <w:p w14:paraId="25EA3CE5" w14:textId="77777777" w:rsidR="00957A78" w:rsidRPr="006A4300" w:rsidRDefault="00957A78" w:rsidP="00C0795E">
      <w:pPr>
        <w:pStyle w:val="BodyText1"/>
        <w:numPr>
          <w:ilvl w:val="0"/>
          <w:numId w:val="12"/>
        </w:numPr>
        <w:ind w:left="0" w:firstLine="0"/>
        <w:rPr>
          <w:lang w:val="hy-AM"/>
        </w:rPr>
      </w:pPr>
      <w:r w:rsidRPr="006A4300">
        <w:rPr>
          <w:lang w:val="hy-AM"/>
        </w:rPr>
        <w:t>մարդասիրական օգնություն,</w:t>
      </w:r>
    </w:p>
    <w:p w14:paraId="262EE50D" w14:textId="77777777" w:rsidR="00957A78" w:rsidRPr="006A4300" w:rsidRDefault="00957A78" w:rsidP="00C0795E">
      <w:pPr>
        <w:pStyle w:val="BodyText1"/>
        <w:numPr>
          <w:ilvl w:val="0"/>
          <w:numId w:val="12"/>
        </w:numPr>
        <w:ind w:left="0" w:firstLine="0"/>
        <w:rPr>
          <w:lang w:val="hy-AM"/>
        </w:rPr>
      </w:pPr>
      <w:r w:rsidRPr="006A4300">
        <w:rPr>
          <w:lang w:val="hy-AM"/>
        </w:rPr>
        <w:t>պարարտանյութերի իրացում,</w:t>
      </w:r>
    </w:p>
    <w:p w14:paraId="7015DE9D" w14:textId="77777777" w:rsidR="00957A78" w:rsidRPr="006A4300" w:rsidRDefault="00957A78" w:rsidP="00C0795E">
      <w:pPr>
        <w:pStyle w:val="BodyText1"/>
        <w:numPr>
          <w:ilvl w:val="0"/>
          <w:numId w:val="12"/>
        </w:numPr>
        <w:ind w:left="0" w:firstLine="0"/>
        <w:rPr>
          <w:lang w:val="hy-AM"/>
        </w:rPr>
      </w:pPr>
      <w:r w:rsidRPr="006A4300">
        <w:rPr>
          <w:lang w:val="hy-AM"/>
        </w:rPr>
        <w:t>ջրօգտագործողների ընկերությունների կողմից ոռոգման ջրի օտարում,</w:t>
      </w:r>
    </w:p>
    <w:p w14:paraId="120A2466" w14:textId="77777777" w:rsidR="00957A78" w:rsidRPr="006A4300" w:rsidRDefault="00957A78" w:rsidP="00C0795E">
      <w:pPr>
        <w:pStyle w:val="BodyText1"/>
        <w:numPr>
          <w:ilvl w:val="0"/>
          <w:numId w:val="12"/>
        </w:numPr>
        <w:ind w:left="0" w:firstLine="0"/>
        <w:rPr>
          <w:lang w:val="hy-AM"/>
        </w:rPr>
      </w:pPr>
      <w:r w:rsidRPr="006A4300">
        <w:rPr>
          <w:lang w:val="hy-AM"/>
        </w:rPr>
        <w:t>սուբսիդիաների, սուբվենցիաների և դրամաշնորհային ծրագրերի շրջանակներում իրականացվող` ապրանքի մատակարարում, աշխատանքի կատարում և (կամ) ծառայության մատուցում,</w:t>
      </w:r>
    </w:p>
    <w:p w14:paraId="2A231E2B" w14:textId="77777777" w:rsidR="00957A78" w:rsidRPr="006A4300" w:rsidRDefault="00957A78" w:rsidP="00C0795E">
      <w:pPr>
        <w:pStyle w:val="BodyText1"/>
        <w:numPr>
          <w:ilvl w:val="0"/>
          <w:numId w:val="12"/>
        </w:numPr>
        <w:ind w:left="0" w:firstLine="0"/>
        <w:rPr>
          <w:lang w:val="hy-AM"/>
        </w:rPr>
      </w:pPr>
      <w:r w:rsidRPr="006A4300">
        <w:rPr>
          <w:lang w:val="hy-AM"/>
        </w:rPr>
        <w:t>ազատ տնտեսական գոտու կազմակերպչին և ազատ տնտեսական գոտու շահագործողին ծառայությունների մատուցում, ազատ տնտեսական գոտու կազմակերպչի և ազատ տնտեսական գոտու շահագործողի համար աշխատանքների կատարում, ազատ տնտեսական գոտու տարածքում ապրանքների մատակարարում,</w:t>
      </w:r>
    </w:p>
    <w:p w14:paraId="20492B8B" w14:textId="77777777" w:rsidR="00957A78" w:rsidRPr="006A4300" w:rsidRDefault="00957A78" w:rsidP="00C0795E">
      <w:pPr>
        <w:pStyle w:val="BodyText1"/>
        <w:numPr>
          <w:ilvl w:val="0"/>
          <w:numId w:val="12"/>
        </w:numPr>
        <w:ind w:left="0" w:firstLine="0"/>
        <w:rPr>
          <w:lang w:val="hy-AM"/>
        </w:rPr>
      </w:pPr>
      <w:r>
        <w:rPr>
          <w:lang w:val="hy-AM"/>
        </w:rPr>
        <w:t xml:space="preserve">օրենսգրքով սահմանված </w:t>
      </w:r>
      <w:r w:rsidRPr="006A4300">
        <w:rPr>
          <w:lang w:val="hy-AM"/>
        </w:rPr>
        <w:t>վերը չնշված այլ արտոնություններ</w:t>
      </w:r>
      <w:r>
        <w:rPr>
          <w:lang w:val="hy-AM"/>
        </w:rPr>
        <w:t>,</w:t>
      </w:r>
    </w:p>
    <w:p w14:paraId="321837C2" w14:textId="77777777" w:rsidR="00957A78" w:rsidRPr="006A4300" w:rsidRDefault="00957A78" w:rsidP="00C0795E">
      <w:pPr>
        <w:pStyle w:val="BodyText1"/>
        <w:numPr>
          <w:ilvl w:val="0"/>
          <w:numId w:val="12"/>
        </w:numPr>
        <w:ind w:left="0" w:firstLine="0"/>
        <w:rPr>
          <w:lang w:val="hy-AM"/>
        </w:rPr>
      </w:pPr>
      <w:r w:rsidRPr="006A4300">
        <w:rPr>
          <w:lang w:val="hy-AM"/>
        </w:rPr>
        <w:t>այլ օրենքներով տրված արտոնություններ</w:t>
      </w:r>
      <w:r>
        <w:rPr>
          <w:lang w:val="hy-AM"/>
        </w:rPr>
        <w:t>:</w:t>
      </w:r>
    </w:p>
    <w:p w14:paraId="661FD328" w14:textId="77777777" w:rsidR="00957A78" w:rsidRPr="006A4300" w:rsidRDefault="00957A78" w:rsidP="00C0795E">
      <w:pPr>
        <w:pStyle w:val="BodyText1"/>
        <w:ind w:left="0"/>
        <w:rPr>
          <w:lang w:val="hy-AM"/>
        </w:rPr>
      </w:pPr>
      <w:r w:rsidRPr="006A4300">
        <w:rPr>
          <w:lang w:val="hy-AM"/>
        </w:rPr>
        <w:t>ՀՀ ՎԿ տվյալների բազայից որոշվել են 2024 թվականի համար տնտեսության յուրա</w:t>
      </w:r>
      <w:r w:rsidRPr="006A4300">
        <w:rPr>
          <w:lang w:val="hy-AM"/>
        </w:rPr>
        <w:softHyphen/>
        <w:t>քանչյուր ոլորտի ավելացված արժեքները, որոնք նախապես ճշգրտվել են ֆինան</w:t>
      </w:r>
      <w:r w:rsidRPr="006A4300">
        <w:rPr>
          <w:lang w:val="hy-AM"/>
        </w:rPr>
        <w:softHyphen/>
        <w:t>սա</w:t>
      </w:r>
      <w:r w:rsidRPr="006A4300">
        <w:rPr>
          <w:lang w:val="hy-AM"/>
        </w:rPr>
        <w:softHyphen/>
        <w:t>կան միջնորդությունների անուղղակի չափվող ծառայությունների արժեքի չափով:</w:t>
      </w:r>
    </w:p>
    <w:p w14:paraId="6DF4A2E2" w14:textId="77777777" w:rsidR="00957A78" w:rsidRPr="006A4300" w:rsidRDefault="00957A78" w:rsidP="00C0795E">
      <w:pPr>
        <w:pStyle w:val="BodyText1"/>
        <w:ind w:left="0"/>
        <w:rPr>
          <w:lang w:val="hy-AM"/>
        </w:rPr>
      </w:pPr>
      <w:r w:rsidRPr="006A4300">
        <w:rPr>
          <w:lang w:val="hy-AM"/>
        </w:rPr>
        <w:t>Տնտեսության յուրաքանչյուր ոլորտի ավելացված արժեքները նվազեցվել են չդի</w:t>
      </w:r>
      <w:r w:rsidRPr="006A4300">
        <w:rPr>
          <w:lang w:val="hy-AM"/>
        </w:rPr>
        <w:softHyphen/>
        <w:t>տարկ</w:t>
      </w:r>
      <w:r w:rsidRPr="006A4300">
        <w:rPr>
          <w:lang w:val="hy-AM"/>
        </w:rPr>
        <w:softHyphen/>
        <w:t>վող (չհաշվառվող) տնտեսության ավելացված արժեքների մասնաբաժնի չափով:</w:t>
      </w:r>
    </w:p>
    <w:p w14:paraId="5D19B3E2" w14:textId="77777777" w:rsidR="00957A78" w:rsidRPr="006A4300" w:rsidRDefault="00957A78" w:rsidP="00C0795E">
      <w:pPr>
        <w:pStyle w:val="BodyText1"/>
        <w:ind w:left="0"/>
        <w:rPr>
          <w:lang w:val="hy-AM"/>
        </w:rPr>
      </w:pPr>
      <w:r w:rsidRPr="006A4300">
        <w:rPr>
          <w:lang w:val="hy-AM"/>
        </w:rPr>
        <w:t>Տնտեսության արտահանելի ճյուղերի ավելացված արժեքները նվազեցվել են արտա</w:t>
      </w:r>
      <w:r w:rsidRPr="006A4300">
        <w:rPr>
          <w:lang w:val="hy-AM"/>
        </w:rPr>
        <w:softHyphen/>
      </w:r>
      <w:r w:rsidRPr="006A4300">
        <w:rPr>
          <w:lang w:val="hy-AM"/>
        </w:rPr>
        <w:softHyphen/>
      </w:r>
      <w:r w:rsidRPr="006A4300">
        <w:rPr>
          <w:lang w:val="hy-AM"/>
        </w:rPr>
        <w:softHyphen/>
        <w:t>հան</w:t>
      </w:r>
      <w:r w:rsidRPr="006A4300">
        <w:rPr>
          <w:lang w:val="hy-AM"/>
        </w:rPr>
        <w:softHyphen/>
        <w:t>ման արժեքների չափով` արտահանմանն ուղղված ճյուղերի (գյուղատնտե</w:t>
      </w:r>
      <w:r w:rsidRPr="006A4300">
        <w:rPr>
          <w:lang w:val="hy-AM"/>
        </w:rPr>
        <w:softHyphen/>
        <w:t>սու</w:t>
      </w:r>
      <w:r w:rsidRPr="006A4300">
        <w:rPr>
          <w:lang w:val="hy-AM"/>
        </w:rPr>
        <w:softHyphen/>
        <w:t>թյուն, հան</w:t>
      </w:r>
      <w:r w:rsidRPr="006A4300">
        <w:rPr>
          <w:lang w:val="hy-AM"/>
        </w:rPr>
        <w:softHyphen/>
        <w:t>ք</w:t>
      </w:r>
      <w:r w:rsidRPr="006A4300">
        <w:rPr>
          <w:lang w:val="hy-AM"/>
        </w:rPr>
        <w:softHyphen/>
        <w:t>արդյունաբերություն, մշակող արդյունաբերություն, էլեկտրաէներգետիկա, առևտուր, փոխա</w:t>
      </w:r>
      <w:r w:rsidRPr="006A4300">
        <w:rPr>
          <w:lang w:val="hy-AM"/>
        </w:rPr>
        <w:softHyphen/>
      </w:r>
      <w:r w:rsidRPr="006A4300">
        <w:rPr>
          <w:lang w:val="hy-AM"/>
        </w:rPr>
        <w:softHyphen/>
      </w:r>
      <w:r w:rsidRPr="006A4300">
        <w:rPr>
          <w:lang w:val="hy-AM"/>
        </w:rPr>
        <w:softHyphen/>
        <w:t>դրում</w:t>
      </w:r>
      <w:r w:rsidRPr="006A4300">
        <w:rPr>
          <w:lang w:val="hy-AM"/>
        </w:rPr>
        <w:softHyphen/>
      </w:r>
      <w:r w:rsidRPr="006A4300">
        <w:rPr>
          <w:lang w:val="hy-AM"/>
        </w:rPr>
        <w:softHyphen/>
        <w:t>ներ և պահեստային տնտեսություն, տեղեկատվություն և կապ)` ընդհանուր ավե</w:t>
      </w:r>
      <w:r w:rsidRPr="006A4300">
        <w:rPr>
          <w:lang w:val="hy-AM"/>
        </w:rPr>
        <w:softHyphen/>
      </w:r>
      <w:r w:rsidRPr="006A4300">
        <w:rPr>
          <w:lang w:val="hy-AM"/>
        </w:rPr>
        <w:softHyphen/>
      </w:r>
      <w:r w:rsidRPr="006A4300">
        <w:rPr>
          <w:lang w:val="hy-AM"/>
        </w:rPr>
        <w:softHyphen/>
        <w:t>լաց</w:t>
      </w:r>
      <w:r w:rsidRPr="006A4300">
        <w:rPr>
          <w:lang w:val="hy-AM"/>
        </w:rPr>
        <w:softHyphen/>
        <w:t>ված արժեքի մեջ ունեցած տեսակարար կշիռներին համապատասխան:</w:t>
      </w:r>
    </w:p>
    <w:p w14:paraId="3E16C1A3" w14:textId="77777777" w:rsidR="00957A78" w:rsidRPr="006A4300" w:rsidRDefault="00957A78" w:rsidP="00C0795E">
      <w:pPr>
        <w:pStyle w:val="BodyText1"/>
        <w:ind w:left="0"/>
        <w:rPr>
          <w:lang w:val="hy-AM"/>
        </w:rPr>
      </w:pPr>
      <w:r w:rsidRPr="006A4300">
        <w:rPr>
          <w:lang w:val="hy-AM"/>
        </w:rPr>
        <w:t>Գյուղատնտեսության ոլորտի ստացված արդյունքը ճշգրտվել է գյուղատնտեսության մասնաբաժնում ապրան</w:t>
      </w:r>
      <w:r w:rsidRPr="006A4300">
        <w:rPr>
          <w:lang w:val="hy-AM"/>
        </w:rPr>
        <w:softHyphen/>
      </w:r>
      <w:r w:rsidRPr="006A4300">
        <w:rPr>
          <w:lang w:val="hy-AM"/>
        </w:rPr>
        <w:softHyphen/>
      </w:r>
      <w:r w:rsidRPr="006A4300">
        <w:rPr>
          <w:lang w:val="hy-AM"/>
        </w:rPr>
        <w:softHyphen/>
        <w:t>քայ</w:t>
      </w:r>
      <w:r w:rsidRPr="006A4300">
        <w:rPr>
          <w:lang w:val="hy-AM"/>
        </w:rPr>
        <w:softHyphen/>
        <w:t>նու</w:t>
      </w:r>
      <w:r w:rsidRPr="006A4300">
        <w:rPr>
          <w:lang w:val="hy-AM"/>
        </w:rPr>
        <w:softHyphen/>
        <w:t>թյան մակարդակով (ապրան</w:t>
      </w:r>
      <w:r w:rsidRPr="006A4300">
        <w:rPr>
          <w:lang w:val="hy-AM"/>
        </w:rPr>
        <w:softHyphen/>
        <w:t>քայ</w:t>
      </w:r>
      <w:r w:rsidRPr="006A4300">
        <w:rPr>
          <w:lang w:val="hy-AM"/>
        </w:rPr>
        <w:softHyphen/>
      </w:r>
      <w:r w:rsidRPr="006A4300">
        <w:rPr>
          <w:lang w:val="hy-AM"/>
        </w:rPr>
        <w:softHyphen/>
        <w:t>նության մակարդակը ցույց է տալիս գյու</w:t>
      </w:r>
      <w:r w:rsidRPr="006A4300">
        <w:rPr>
          <w:lang w:val="hy-AM"/>
        </w:rPr>
        <w:softHyphen/>
        <w:t>ղա</w:t>
      </w:r>
      <w:r w:rsidRPr="006A4300">
        <w:rPr>
          <w:lang w:val="hy-AM"/>
        </w:rPr>
        <w:softHyphen/>
        <w:t>տնտե</w:t>
      </w:r>
      <w:r w:rsidRPr="006A4300">
        <w:rPr>
          <w:lang w:val="hy-AM"/>
        </w:rPr>
        <w:softHyphen/>
        <w:t>սական արտադ</w:t>
      </w:r>
      <w:r w:rsidRPr="006A4300">
        <w:rPr>
          <w:lang w:val="hy-AM"/>
        </w:rPr>
        <w:softHyphen/>
        <w:t>րանքի այն մասը, որը գնա</w:t>
      </w:r>
      <w:r w:rsidRPr="006A4300">
        <w:rPr>
          <w:lang w:val="hy-AM"/>
        </w:rPr>
        <w:softHyphen/>
        <w:t>ցել է իրացման կամ այլ ձևով օտարման կամ ապրան</w:t>
      </w:r>
      <w:r w:rsidRPr="006A4300">
        <w:rPr>
          <w:lang w:val="hy-AM"/>
        </w:rPr>
        <w:softHyphen/>
        <w:t>քա</w:t>
      </w:r>
      <w:r w:rsidRPr="006A4300">
        <w:rPr>
          <w:lang w:val="hy-AM"/>
        </w:rPr>
        <w:softHyphen/>
        <w:t>փո</w:t>
      </w:r>
      <w:r w:rsidRPr="006A4300">
        <w:rPr>
          <w:lang w:val="hy-AM"/>
        </w:rPr>
        <w:softHyphen/>
        <w:t>խանակման):</w:t>
      </w:r>
    </w:p>
    <w:p w14:paraId="0A0F7092" w14:textId="77777777" w:rsidR="00957A78" w:rsidRPr="006A4300" w:rsidRDefault="00957A78" w:rsidP="00C0795E">
      <w:pPr>
        <w:pStyle w:val="BodyText1"/>
        <w:ind w:left="0"/>
        <w:rPr>
          <w:lang w:val="hy-AM"/>
        </w:rPr>
      </w:pPr>
      <w:r w:rsidRPr="006A4300">
        <w:rPr>
          <w:lang w:val="hy-AM"/>
        </w:rPr>
        <w:t>Այնուհետև ստացված բազայի նկատմամբ կիրառվել է ԱԱՀ-ի 20% դրույքաչափը և հաշ</w:t>
      </w:r>
      <w:r w:rsidRPr="006A4300">
        <w:rPr>
          <w:lang w:val="hy-AM"/>
        </w:rPr>
        <w:softHyphen/>
      </w:r>
      <w:r w:rsidRPr="006A4300">
        <w:rPr>
          <w:lang w:val="hy-AM"/>
        </w:rPr>
        <w:softHyphen/>
      </w:r>
      <w:r w:rsidRPr="006A4300">
        <w:rPr>
          <w:lang w:val="hy-AM"/>
        </w:rPr>
        <w:softHyphen/>
        <w:t>վարկ</w:t>
      </w:r>
      <w:r w:rsidRPr="006A4300">
        <w:rPr>
          <w:lang w:val="hy-AM"/>
        </w:rPr>
        <w:softHyphen/>
        <w:t>վել է ԱԱՀ-ի գծով եկամտային ներուժը: Ստացված արդյունքը ճշգրտվել է 2026 թվականի տնտեսության ճյուղերի կանխատեսվող ծավալների աճով:</w:t>
      </w:r>
    </w:p>
    <w:p w14:paraId="0D5E492A" w14:textId="77777777" w:rsidR="00957A78" w:rsidRPr="006A4300" w:rsidRDefault="00957A78" w:rsidP="00C0795E">
      <w:pPr>
        <w:pStyle w:val="BodyText1"/>
        <w:ind w:left="0"/>
        <w:rPr>
          <w:lang w:val="hy-AM"/>
        </w:rPr>
      </w:pPr>
      <w:r w:rsidRPr="006A4300">
        <w:rPr>
          <w:lang w:val="hy-AM"/>
        </w:rPr>
        <w:t>Ստացված արդյունքների հիման վրա առանձնացվել են գյուղատնտեսության, կրթու</w:t>
      </w:r>
      <w:r w:rsidRPr="006A4300">
        <w:rPr>
          <w:lang w:val="hy-AM"/>
        </w:rPr>
        <w:softHyphen/>
        <w:t>թյան, առողջապահության, ֆինանսական և ապահովագրության ոլորտների համապատասխան ԱԱՀ-ի մասնաբաժինները, որոնք իրենցից ներ</w:t>
      </w:r>
      <w:r w:rsidRPr="006A4300">
        <w:rPr>
          <w:lang w:val="hy-AM"/>
        </w:rPr>
        <w:softHyphen/>
        <w:t xml:space="preserve">կայացնում են այդ ոլորտների համար ԱԱՀ-ի գծով հարկային ծախսերը: </w:t>
      </w:r>
    </w:p>
    <w:p w14:paraId="7529859B" w14:textId="77777777" w:rsidR="00957A78" w:rsidRPr="006A4300" w:rsidRDefault="00957A78" w:rsidP="00C0795E">
      <w:pPr>
        <w:pStyle w:val="BodyText1"/>
        <w:ind w:left="0"/>
        <w:rPr>
          <w:lang w:val="hy-AM"/>
        </w:rPr>
      </w:pPr>
      <w:r w:rsidRPr="006A4300">
        <w:rPr>
          <w:lang w:val="hy-AM"/>
        </w:rPr>
        <w:t>Միաժամանակ, ԱԱՀ-ի հաշվարկներից արտածվել են խաղատների, շահումով խաղերի (այդ թվում՝ ինտերնետ շահումով խաղերի), տոտալիզատորի և ինտերնետ տոտալիզատորի կազմակերպման, ոսկու և թանկարժեք քարերի իրացման, մարդասիրական օգնության, պարարտանյութերի իրացման, ջրօգտագործողների ընկերությունների կողմից ոռոգման ջրի օտարում, սուբսիդիաների, սուբվենցիաների և դրամաշնորհային ծրագրերի շրջանակներում իրականացվող` ապրանքի մատակարարում, աշխատանքի կատարում և (կամ) ծառայության մատուցում, ազատ տնտեսական գոտու կազմակերպչին և ազատ տնտեսական գոտու շահագործողին ծառայությունների մատուցում, ազատ տնտեսական գոտու կազմակերպչի և ազատ տնտեսական գոտու շահագործողի համար աշխատանքների կատարում, ազատ տնտեսական գոտու տարածքում ապրանքների մատակարարում և այլ օրենքներով տրված ԱԱՀ-ից ազատման արտոնությունների մասով շրջանառությունները, որոնց նկատմամբ կիարառելով համապատասխան գործունեության տեսակների ավելացված արժեք/թողարկում հարաբերակցության ցուցանիշը, այնուհետև՝ ԱԱՀ-ի 20% դրույքաչափը, հաշ</w:t>
      </w:r>
      <w:r w:rsidRPr="006A4300">
        <w:rPr>
          <w:lang w:val="hy-AM"/>
        </w:rPr>
        <w:softHyphen/>
      </w:r>
      <w:r w:rsidRPr="006A4300">
        <w:rPr>
          <w:lang w:val="hy-AM"/>
        </w:rPr>
        <w:softHyphen/>
      </w:r>
      <w:r w:rsidRPr="006A4300">
        <w:rPr>
          <w:lang w:val="hy-AM"/>
        </w:rPr>
        <w:softHyphen/>
        <w:t>վարկ</w:t>
      </w:r>
      <w:r w:rsidRPr="006A4300">
        <w:rPr>
          <w:lang w:val="hy-AM"/>
        </w:rPr>
        <w:softHyphen/>
        <w:t xml:space="preserve">վել է նշված գործունեության տեսակների համար ԱԱՀ-ի գծով եկամտային ներուժը: Ստացված արդյունքը ճշգրտվել է 2026 թվականի նշված գործունեության տեսակների կանխատեսվող ծավալների աճով: </w:t>
      </w:r>
    </w:p>
    <w:p w14:paraId="54F771BC" w14:textId="77777777" w:rsidR="00957A78" w:rsidRPr="006A4300" w:rsidRDefault="00957A78" w:rsidP="00C0795E">
      <w:pPr>
        <w:pStyle w:val="BodyText1"/>
        <w:ind w:left="0"/>
        <w:rPr>
          <w:lang w:val="hy-AM"/>
        </w:rPr>
      </w:pPr>
      <w:r w:rsidRPr="006A4300">
        <w:rPr>
          <w:lang w:val="hy-AM"/>
        </w:rPr>
        <w:t>Բացի այդ, որոշվել են ԱԱՀ-ի գծով վերը չնշված այլ հարկային ծախսերը` որպես ԱԱՀ-ի գծով եկա</w:t>
      </w:r>
      <w:r w:rsidRPr="006A4300">
        <w:rPr>
          <w:lang w:val="hy-AM"/>
        </w:rPr>
        <w:softHyphen/>
        <w:t>մտա</w:t>
      </w:r>
      <w:r w:rsidRPr="006A4300">
        <w:rPr>
          <w:lang w:val="hy-AM"/>
        </w:rPr>
        <w:softHyphen/>
        <w:t>յին ներուժի և ներքին տնտեսությունից փաստացի հավաքագրված ԱԱՀ-ի, վերոնշյալ ոլորտ</w:t>
      </w:r>
      <w:r w:rsidRPr="006A4300">
        <w:rPr>
          <w:lang w:val="hy-AM"/>
        </w:rPr>
        <w:softHyphen/>
        <w:t>ների, գործունեության տեսակների, ԱԱՀ-ի շեմի ու միկրոբիզնեսի գծով գնա</w:t>
      </w:r>
      <w:r w:rsidRPr="006A4300">
        <w:rPr>
          <w:lang w:val="hy-AM"/>
        </w:rPr>
        <w:softHyphen/>
        <w:t>հատված` ԱԱՀ-ի հար</w:t>
      </w:r>
      <w:r w:rsidRPr="006A4300">
        <w:rPr>
          <w:lang w:val="hy-AM"/>
        </w:rPr>
        <w:softHyphen/>
        <w:t xml:space="preserve">կային ծախսերի հանրագումարի տարբերություն: </w:t>
      </w:r>
    </w:p>
    <w:p w14:paraId="33D31ED3" w14:textId="77777777" w:rsidR="00957A78" w:rsidRDefault="00957A78" w:rsidP="00C0795E">
      <w:pPr>
        <w:rPr>
          <w:rFonts w:ascii="GHEA Grapalat" w:hAnsi="GHEA Grapalat"/>
          <w:color w:val="A6A6A6" w:themeColor="background1" w:themeShade="A6"/>
          <w:szCs w:val="20"/>
          <w:lang w:val="hy-AM"/>
        </w:rPr>
      </w:pPr>
    </w:p>
    <w:p w14:paraId="45526336" w14:textId="77777777" w:rsidR="00957A78" w:rsidRPr="00E77731" w:rsidRDefault="00957A78" w:rsidP="00C0795E">
      <w:pPr>
        <w:pStyle w:val="TOC4"/>
        <w:rPr>
          <w:lang w:val="hy-AM"/>
        </w:rPr>
      </w:pPr>
      <w:r w:rsidRPr="00E77731">
        <w:rPr>
          <w:lang w:val="hy-AM"/>
        </w:rPr>
        <w:t>ՇԱՀՈՒԹԱՀԱՐԿԻ ԳԾՈՎ ՀԱՐԿԱՅԻՆ ԾԱԽՍԵՐ</w:t>
      </w:r>
    </w:p>
    <w:p w14:paraId="04B4F14D" w14:textId="77777777" w:rsidR="00957A78" w:rsidRPr="006A4300" w:rsidRDefault="00957A78" w:rsidP="00C0795E">
      <w:pPr>
        <w:pStyle w:val="BodyText1"/>
        <w:ind w:left="0"/>
        <w:rPr>
          <w:lang w:val="hy-AM"/>
        </w:rPr>
      </w:pPr>
      <w:r w:rsidRPr="006A4300">
        <w:rPr>
          <w:lang w:val="hy-AM"/>
        </w:rPr>
        <w:t>Շահու</w:t>
      </w:r>
      <w:r w:rsidRPr="006A4300">
        <w:rPr>
          <w:lang w:val="hy-AM"/>
        </w:rPr>
        <w:softHyphen/>
        <w:t>թահարկի գծով հարկային ծախսերի գնահատականը ներառում է գյուղատնտեսության արտոնությունները, շահութահարկի նվազեցման արտոնությունները, ՏՏ ոլորտի արտոնությունները, ինչպես նաև շահութահարկի հաշվարկներով արտացոլված հարկվող շահույթի նվազեցման արտոնությունները, բացառությամբ՝ գյուղատնտեսության արտոնությունների: Միաժամանակ, առանձին գնահատվել են միկրոբիզնեսի և ԱԱՀ-ի շեմի գծով հարկային ծախսերը:</w:t>
      </w:r>
    </w:p>
    <w:p w14:paraId="2C99D2EB" w14:textId="77777777" w:rsidR="00957A78" w:rsidRPr="00F17ED9" w:rsidRDefault="00957A78" w:rsidP="00C0795E">
      <w:pPr>
        <w:pStyle w:val="BodyText1"/>
        <w:ind w:left="0"/>
        <w:rPr>
          <w:b/>
          <w:lang w:val="hy-AM"/>
        </w:rPr>
      </w:pPr>
      <w:r w:rsidRPr="00F17ED9">
        <w:rPr>
          <w:b/>
          <w:lang w:val="hy-AM"/>
        </w:rPr>
        <w:t>Գյուղատնտեսություն</w:t>
      </w:r>
    </w:p>
    <w:p w14:paraId="243D40D6" w14:textId="77777777" w:rsidR="00957A78" w:rsidRPr="006A4300" w:rsidRDefault="00957A78" w:rsidP="00C0795E">
      <w:pPr>
        <w:pStyle w:val="BodyText1"/>
        <w:ind w:left="0"/>
        <w:rPr>
          <w:lang w:val="hy-AM"/>
        </w:rPr>
      </w:pPr>
      <w:r w:rsidRPr="006A4300">
        <w:rPr>
          <w:lang w:val="hy-AM"/>
        </w:rPr>
        <w:t>Որոշվել են 2024 թվականի համար գյուղատնտեսության ոլորտի զուտ շահույթը և զուտ խառը եկամուտները` հիմք ընդունելով եկամուտների ձևավորման եղանակով 2023 թվա</w:t>
      </w:r>
      <w:r w:rsidRPr="006A4300">
        <w:rPr>
          <w:lang w:val="hy-AM"/>
        </w:rPr>
        <w:softHyphen/>
        <w:t>կանի համար հաշվարկված գյուղատնտեսության ոլորտի զուտ շահույթը և զուտ խառը եկա</w:t>
      </w:r>
      <w:r w:rsidRPr="006A4300">
        <w:rPr>
          <w:lang w:val="hy-AM"/>
        </w:rPr>
        <w:softHyphen/>
        <w:t>մուտ</w:t>
      </w:r>
      <w:r w:rsidRPr="006A4300">
        <w:rPr>
          <w:lang w:val="hy-AM"/>
        </w:rPr>
        <w:softHyphen/>
        <w:t>ները, որոնց նկատմամբ կիրառվել է գյուղատնտեսության ոլորտի 2024 թվականի` արտադ</w:t>
      </w:r>
      <w:r w:rsidRPr="006A4300">
        <w:rPr>
          <w:lang w:val="hy-AM"/>
        </w:rPr>
        <w:softHyphen/>
      </w:r>
      <w:r w:rsidRPr="006A4300">
        <w:rPr>
          <w:lang w:val="hy-AM"/>
        </w:rPr>
        <w:softHyphen/>
        <w:t>րական եղանակով որոշված ավելացված արժեքների աճի տեմպը:</w:t>
      </w:r>
    </w:p>
    <w:p w14:paraId="5CED25CF" w14:textId="77777777" w:rsidR="00957A78" w:rsidRPr="006A4300" w:rsidRDefault="00957A78" w:rsidP="00C0795E">
      <w:pPr>
        <w:pStyle w:val="BodyText1"/>
        <w:ind w:left="0"/>
        <w:rPr>
          <w:lang w:val="hy-AM"/>
        </w:rPr>
      </w:pPr>
      <w:r w:rsidRPr="006A4300">
        <w:rPr>
          <w:lang w:val="hy-AM"/>
        </w:rPr>
        <w:t>Ստացված արդյունքը ճշգրտվել է գյուղատնտեսության մաս</w:t>
      </w:r>
      <w:r w:rsidRPr="006A4300">
        <w:rPr>
          <w:lang w:val="hy-AM"/>
        </w:rPr>
        <w:softHyphen/>
        <w:t>նա</w:t>
      </w:r>
      <w:r w:rsidRPr="006A4300">
        <w:rPr>
          <w:lang w:val="hy-AM"/>
        </w:rPr>
        <w:softHyphen/>
        <w:t>բաժ</w:t>
      </w:r>
      <w:r w:rsidRPr="006A4300">
        <w:rPr>
          <w:lang w:val="hy-AM"/>
        </w:rPr>
        <w:softHyphen/>
        <w:t>նում չդիտարկվող (չհաշվառվող) տնտեսության և ապրանքայնության մակարդակով:</w:t>
      </w:r>
    </w:p>
    <w:p w14:paraId="10D06EC3" w14:textId="77777777" w:rsidR="00957A78" w:rsidRPr="006A4300" w:rsidRDefault="00957A78" w:rsidP="00C0795E">
      <w:pPr>
        <w:pStyle w:val="BodyText1"/>
        <w:ind w:left="0"/>
        <w:rPr>
          <w:lang w:val="hy-AM"/>
        </w:rPr>
      </w:pPr>
      <w:r w:rsidRPr="006A4300">
        <w:rPr>
          <w:lang w:val="hy-AM"/>
        </w:rPr>
        <w:t>Այնուհետև որոշվել է ստացված արդյունքի մեջ առևտրային կազմակեր</w:t>
      </w:r>
      <w:r w:rsidRPr="006A4300">
        <w:rPr>
          <w:lang w:val="hy-AM"/>
        </w:rPr>
        <w:softHyphen/>
        <w:t>պու</w:t>
      </w:r>
      <w:r w:rsidRPr="006A4300">
        <w:rPr>
          <w:lang w:val="hy-AM"/>
        </w:rPr>
        <w:softHyphen/>
        <w:t>թյուն</w:t>
      </w:r>
      <w:r w:rsidRPr="006A4300">
        <w:rPr>
          <w:lang w:val="hy-AM"/>
        </w:rPr>
        <w:softHyphen/>
        <w:t>ների և անհատ ձեռնարկատերերի մասնաբաժինը` համաձայն ՀՀ ՎԿ տվյալների: Այնուհետև կիրառվել է շահութահարկի 18% դրույքաչափը և հաշ</w:t>
      </w:r>
      <w:r w:rsidRPr="006A4300">
        <w:rPr>
          <w:lang w:val="hy-AM"/>
        </w:rPr>
        <w:softHyphen/>
      </w:r>
      <w:r w:rsidRPr="006A4300">
        <w:rPr>
          <w:lang w:val="hy-AM"/>
        </w:rPr>
        <w:softHyphen/>
      </w:r>
      <w:r w:rsidRPr="006A4300">
        <w:rPr>
          <w:lang w:val="hy-AM"/>
        </w:rPr>
        <w:softHyphen/>
        <w:t>վարկ</w:t>
      </w:r>
      <w:r w:rsidRPr="006A4300">
        <w:rPr>
          <w:lang w:val="hy-AM"/>
        </w:rPr>
        <w:softHyphen/>
        <w:t>վել է շահութահարկի գծով եկամտային ներուժը: Ստացված արդյունքը ճշգրտվել է 2026 թվականի գյուղատնտեսության ճյուղի կանխատեսվող ծավալների աճով:</w:t>
      </w:r>
    </w:p>
    <w:p w14:paraId="2735EC48" w14:textId="77777777" w:rsidR="00957A78" w:rsidRPr="00F17ED9" w:rsidRDefault="00957A78" w:rsidP="00C0795E">
      <w:pPr>
        <w:pStyle w:val="BodyText1"/>
        <w:ind w:left="0"/>
        <w:rPr>
          <w:b/>
          <w:lang w:val="hy-AM"/>
        </w:rPr>
      </w:pPr>
      <w:r w:rsidRPr="00F17ED9">
        <w:rPr>
          <w:b/>
          <w:lang w:val="hy-AM"/>
        </w:rPr>
        <w:t>Հարկվող շահույթի նվազեցման արտոնությունները, բացառությամբ՝ գյուղատնտեսության.</w:t>
      </w:r>
    </w:p>
    <w:p w14:paraId="5AB65DE5" w14:textId="77777777" w:rsidR="00957A78" w:rsidRPr="006A4300" w:rsidRDefault="00957A78" w:rsidP="00C0795E">
      <w:pPr>
        <w:pStyle w:val="BodyText1"/>
        <w:ind w:left="0"/>
        <w:rPr>
          <w:lang w:val="hy-AM"/>
        </w:rPr>
      </w:pPr>
      <w:r w:rsidRPr="006A4300">
        <w:rPr>
          <w:lang w:val="hy-AM"/>
        </w:rPr>
        <w:t>Շահութահարկի հաշվարկներից արտածվել են հարկվող շահույթի նվազեցման արտոնությունները, բացառությամբ՝ գյուղատնտեսության արտոնությունների,  որոնց նկատմամբ կիրառվել է շահութահարկի 18% դրույքաչափը՝ արդյունքում հաշ</w:t>
      </w:r>
      <w:r w:rsidRPr="006A4300">
        <w:rPr>
          <w:lang w:val="hy-AM"/>
        </w:rPr>
        <w:softHyphen/>
      </w:r>
      <w:r w:rsidRPr="006A4300">
        <w:rPr>
          <w:lang w:val="hy-AM"/>
        </w:rPr>
        <w:softHyphen/>
      </w:r>
      <w:r w:rsidRPr="006A4300">
        <w:rPr>
          <w:lang w:val="hy-AM"/>
        </w:rPr>
        <w:softHyphen/>
        <w:t>վարկ</w:t>
      </w:r>
      <w:r w:rsidRPr="006A4300">
        <w:rPr>
          <w:lang w:val="hy-AM"/>
        </w:rPr>
        <w:softHyphen/>
        <w:t>վել է նշված ուղղության համար շահութահարկի գծով եկամտային ներուժը: Ստացված արդյունքը ճշգրտվել է 2026 թվականի նշված ուղղության կանխատեսվող ծավալների աճով:</w:t>
      </w:r>
    </w:p>
    <w:p w14:paraId="213D0EEF" w14:textId="77777777" w:rsidR="00957A78" w:rsidRPr="00F17ED9" w:rsidRDefault="00957A78" w:rsidP="00C0795E">
      <w:pPr>
        <w:pStyle w:val="BodyText1"/>
        <w:ind w:left="0"/>
        <w:rPr>
          <w:b/>
          <w:lang w:val="hy-AM"/>
        </w:rPr>
      </w:pPr>
      <w:r w:rsidRPr="00F17ED9">
        <w:rPr>
          <w:b/>
          <w:lang w:val="hy-AM"/>
        </w:rPr>
        <w:t>Շահութահարկի նվազեցման արտոնությունները</w:t>
      </w:r>
    </w:p>
    <w:p w14:paraId="3E729A27" w14:textId="77777777" w:rsidR="00957A78" w:rsidRPr="006A4300" w:rsidRDefault="00957A78" w:rsidP="00C0795E">
      <w:pPr>
        <w:pStyle w:val="BodyText1"/>
        <w:ind w:left="0"/>
        <w:rPr>
          <w:lang w:val="hy-AM"/>
        </w:rPr>
      </w:pPr>
      <w:r w:rsidRPr="006A4300">
        <w:rPr>
          <w:lang w:val="hy-AM"/>
        </w:rPr>
        <w:t>Շահութահարկի հաշվարկներից արտածվել են շահութահարկի նվազեցման արտոնությունները, որն իրենից ներկայացնում է նշված ուղղության համար շահութահարկի գծով եկամտային ներուժը: Ստացված արդյունքը ճշգրտվել է 2026 թվականի նշված ուղղության կանխատեսվող ծավալների աճով:</w:t>
      </w:r>
    </w:p>
    <w:p w14:paraId="4D908DE7" w14:textId="77777777" w:rsidR="00957A78" w:rsidRPr="00E77731" w:rsidRDefault="00957A78" w:rsidP="00C0795E">
      <w:pPr>
        <w:pStyle w:val="BodyText1"/>
        <w:ind w:left="0"/>
        <w:rPr>
          <w:lang w:val="hy-AM"/>
        </w:rPr>
      </w:pPr>
    </w:p>
    <w:p w14:paraId="3DA0B88D" w14:textId="77777777" w:rsidR="00957A78" w:rsidRPr="00033030" w:rsidRDefault="00957A78" w:rsidP="00C0795E">
      <w:pPr>
        <w:pStyle w:val="BodyText1"/>
        <w:ind w:left="0"/>
        <w:rPr>
          <w:b/>
          <w:szCs w:val="22"/>
          <w:lang w:val="hy-AM"/>
        </w:rPr>
      </w:pPr>
      <w:r w:rsidRPr="003B44F2">
        <w:rPr>
          <w:b/>
          <w:lang w:val="hy-AM"/>
        </w:rPr>
        <w:t>ՏՏ ոլորտի արտոնություններ.</w:t>
      </w:r>
    </w:p>
    <w:p w14:paraId="59D4C6B2" w14:textId="77777777" w:rsidR="00957A78" w:rsidRPr="003B44F2" w:rsidRDefault="00957A78" w:rsidP="00C0795E">
      <w:pPr>
        <w:pStyle w:val="BodyText1"/>
        <w:ind w:left="0"/>
        <w:rPr>
          <w:lang w:val="hy-AM"/>
        </w:rPr>
      </w:pPr>
      <w:r w:rsidRPr="003B44F2">
        <w:rPr>
          <w:lang w:val="hy-AM"/>
        </w:rPr>
        <w:t>Որոշվել են 2024 թվականի համար ՏՏ ոլորտին տրված արտոնությունների գումարը` որպես 2024 և 2023 թվականի շահութահարկի հաշվարկների այլ նվազեցումներ տողերի  (82-րդ տողերի) տարբերություն: Ստացված արդյունքը ճշգրտվել է 2026 թվականի համար կանխատեսվող ծավալների աճով` հիմք ընդունելով փորձագիտական եղանակով գնահատված նախորդ տարվա նկատմամբ ոլորտի աճի տեմպը: Այնուհետև հաշվարկվել է հարկային ծախսը` ստացված արդյունքի նկատմամբ կիրառելով շահութահարկի դրույքաչափը (18%):</w:t>
      </w:r>
    </w:p>
    <w:p w14:paraId="52D793D3" w14:textId="77777777" w:rsidR="00957A78" w:rsidRDefault="00957A78" w:rsidP="00C0795E">
      <w:pPr>
        <w:rPr>
          <w:rFonts w:ascii="GHEA Grapalat" w:hAnsi="GHEA Grapalat"/>
          <w:color w:val="A6A6A6" w:themeColor="background1" w:themeShade="A6"/>
          <w:szCs w:val="20"/>
          <w:lang w:val="hy-AM"/>
        </w:rPr>
      </w:pPr>
    </w:p>
    <w:p w14:paraId="334ED47A" w14:textId="77777777" w:rsidR="00957A78" w:rsidRPr="00E77731" w:rsidRDefault="00957A78" w:rsidP="00C0795E">
      <w:pPr>
        <w:pStyle w:val="TOC4"/>
        <w:rPr>
          <w:lang w:val="hy-AM"/>
        </w:rPr>
      </w:pPr>
      <w:r w:rsidRPr="00E77731">
        <w:rPr>
          <w:lang w:val="hy-AM"/>
        </w:rPr>
        <w:t>ԵԿԱՄՏԱՅԻՆ ՀԱՐԿԻ ԳԾՈՎ ՀԱՐԿԱՅԻՆ ԾԱԽՍԵՐ</w:t>
      </w:r>
    </w:p>
    <w:p w14:paraId="723A2974" w14:textId="77777777" w:rsidR="00957A78" w:rsidRPr="003B44F2" w:rsidRDefault="00957A78" w:rsidP="00C0795E">
      <w:pPr>
        <w:pStyle w:val="BodyText1"/>
        <w:ind w:left="0"/>
        <w:rPr>
          <w:lang w:val="hy-AM"/>
        </w:rPr>
      </w:pPr>
      <w:r w:rsidRPr="003B44F2">
        <w:rPr>
          <w:lang w:val="hy-AM"/>
        </w:rPr>
        <w:t>Եկամտային հարկի գծով հարկային ծախսերի մասով գնահատվել է գյուղատնտեսության արտոնությունները:</w:t>
      </w:r>
    </w:p>
    <w:p w14:paraId="3C553EE0" w14:textId="77777777" w:rsidR="00957A78" w:rsidRPr="00F17ED9" w:rsidRDefault="00957A78" w:rsidP="00C0795E">
      <w:pPr>
        <w:pStyle w:val="BodyText1"/>
        <w:ind w:left="0"/>
        <w:rPr>
          <w:b/>
          <w:lang w:val="hy-AM"/>
        </w:rPr>
      </w:pPr>
      <w:r w:rsidRPr="00F17ED9">
        <w:rPr>
          <w:b/>
          <w:lang w:val="hy-AM"/>
        </w:rPr>
        <w:t>Գյուղատնտեսություն</w:t>
      </w:r>
    </w:p>
    <w:p w14:paraId="2D59FB68" w14:textId="77777777" w:rsidR="00957A78" w:rsidRPr="003B44F2" w:rsidRDefault="00957A78" w:rsidP="00C0795E">
      <w:pPr>
        <w:pStyle w:val="BodyText1"/>
        <w:ind w:left="0"/>
        <w:rPr>
          <w:lang w:val="hy-AM"/>
        </w:rPr>
      </w:pPr>
      <w:r w:rsidRPr="003B44F2">
        <w:rPr>
          <w:lang w:val="hy-AM"/>
        </w:rPr>
        <w:t>Որոշվել են 2024 թվականի համար գյուղատնտեսության ոլորտի  վարձու աշխատողների աշխատանքի վարձատրության գծով եկամուտները` հիմք ընդունելով եկամուտների ձևավորման եղանակով 2023 թվա</w:t>
      </w:r>
      <w:r w:rsidRPr="003B44F2">
        <w:rPr>
          <w:lang w:val="hy-AM"/>
        </w:rPr>
        <w:softHyphen/>
        <w:t>կանի համար հաշվարկված գյուղատնտեսության ոլորտի վարձու աշխատողների աշխատանքի վարձատրության գծով եկա</w:t>
      </w:r>
      <w:r w:rsidRPr="003B44F2">
        <w:rPr>
          <w:lang w:val="hy-AM"/>
        </w:rPr>
        <w:softHyphen/>
        <w:t>մուտ</w:t>
      </w:r>
      <w:r w:rsidRPr="003B44F2">
        <w:rPr>
          <w:lang w:val="hy-AM"/>
        </w:rPr>
        <w:softHyphen/>
        <w:t>ները, որոնց նկատմամբ կիրառվել է գյուղատնտեսության ոլորտի 2024 թվականի` արտադ</w:t>
      </w:r>
      <w:r w:rsidRPr="003B44F2">
        <w:rPr>
          <w:lang w:val="hy-AM"/>
        </w:rPr>
        <w:softHyphen/>
      </w:r>
      <w:r w:rsidRPr="003B44F2">
        <w:rPr>
          <w:lang w:val="hy-AM"/>
        </w:rPr>
        <w:softHyphen/>
        <w:t>րական եղանակով որոշված ավելացված արժեքների աճի տեմպը:</w:t>
      </w:r>
    </w:p>
    <w:p w14:paraId="700E8B10" w14:textId="77777777" w:rsidR="00957A78" w:rsidRPr="003B44F2" w:rsidRDefault="00957A78" w:rsidP="00C0795E">
      <w:pPr>
        <w:pStyle w:val="BodyText1"/>
        <w:ind w:left="0"/>
        <w:rPr>
          <w:lang w:val="hy-AM"/>
        </w:rPr>
      </w:pPr>
      <w:r w:rsidRPr="003B44F2">
        <w:rPr>
          <w:lang w:val="hy-AM"/>
        </w:rPr>
        <w:t>Ստացված արդյունքը ճշգրտվել է գյուղատնտեսության մասնաբաժ</w:t>
      </w:r>
      <w:r w:rsidRPr="003B44F2">
        <w:rPr>
          <w:lang w:val="hy-AM"/>
        </w:rPr>
        <w:softHyphen/>
        <w:t>նում ապրանքայ</w:t>
      </w:r>
      <w:r w:rsidRPr="003B44F2">
        <w:rPr>
          <w:lang w:val="hy-AM"/>
        </w:rPr>
        <w:softHyphen/>
        <w:t>նու</w:t>
      </w:r>
      <w:r w:rsidRPr="003B44F2">
        <w:rPr>
          <w:lang w:val="hy-AM"/>
        </w:rPr>
        <w:softHyphen/>
        <w:t>թյան մակարդակով:</w:t>
      </w:r>
    </w:p>
    <w:p w14:paraId="78F9CD2F" w14:textId="77777777" w:rsidR="00957A78" w:rsidRPr="003B44F2" w:rsidRDefault="00957A78" w:rsidP="00C0795E">
      <w:pPr>
        <w:pStyle w:val="BodyText1"/>
        <w:ind w:left="0"/>
        <w:rPr>
          <w:lang w:val="hy-AM"/>
        </w:rPr>
      </w:pPr>
      <w:r w:rsidRPr="003B44F2">
        <w:rPr>
          <w:lang w:val="hy-AM"/>
        </w:rPr>
        <w:t>Որոշվել է ճշգրտված արդյունքի մեջ անհատ ձեռնարկատեր չհանդիսացող ֆիզիկական անձանց մաս</w:t>
      </w:r>
      <w:r w:rsidRPr="003B44F2">
        <w:rPr>
          <w:lang w:val="hy-AM"/>
        </w:rPr>
        <w:softHyphen/>
        <w:t>նա</w:t>
      </w:r>
      <w:r w:rsidRPr="003B44F2">
        <w:rPr>
          <w:lang w:val="hy-AM"/>
        </w:rPr>
        <w:softHyphen/>
        <w:t>բա</w:t>
      </w:r>
      <w:r w:rsidRPr="003B44F2">
        <w:rPr>
          <w:lang w:val="hy-AM"/>
        </w:rPr>
        <w:softHyphen/>
        <w:t>ժինը` համաձայն ՀՀ ՎԿ տվյալների: Ստացված արդյունքը ճշգրտվել է 2026 թվականի գյուղատնտեսության ճյուղի կանխատեսվող ծավալների աճով:</w:t>
      </w:r>
    </w:p>
    <w:p w14:paraId="22418554" w14:textId="77777777" w:rsidR="00957A78" w:rsidRDefault="00957A78" w:rsidP="00C0795E">
      <w:pPr>
        <w:pStyle w:val="BodyText1"/>
        <w:ind w:left="0"/>
        <w:rPr>
          <w:lang w:val="hy-AM"/>
        </w:rPr>
      </w:pPr>
      <w:r w:rsidRPr="003B44F2">
        <w:rPr>
          <w:lang w:val="hy-AM"/>
        </w:rPr>
        <w:t>Հաշվարկվել է ստացված արդյունքին համապատասխանող եկամտային հարկի գումարը` հաշվի առնելով եկամտային հարկի դրույքաչափի փոփոխության արդյունքները:</w:t>
      </w:r>
    </w:p>
    <w:p w14:paraId="46A4A7BB" w14:textId="77777777" w:rsidR="00957A78" w:rsidRPr="00F21AD0" w:rsidRDefault="00957A78" w:rsidP="00C0795E">
      <w:pPr>
        <w:pStyle w:val="TOC4"/>
        <w:rPr>
          <w:lang w:val="hy-AM"/>
        </w:rPr>
      </w:pPr>
      <w:r w:rsidRPr="00F21AD0">
        <w:rPr>
          <w:lang w:val="hy-AM"/>
        </w:rPr>
        <w:t>ԱԱՀ-Ի ՇԵՄԻ ԳԾՈՎ ՀԱՐԿԱՅԻՆ ԾԱԽՍԵՐԸ</w:t>
      </w:r>
    </w:p>
    <w:p w14:paraId="35C37DF6" w14:textId="77777777" w:rsidR="00957A78" w:rsidRPr="003B44F2" w:rsidRDefault="00957A78" w:rsidP="00C0795E">
      <w:pPr>
        <w:pStyle w:val="BodyText1"/>
        <w:ind w:left="0"/>
        <w:rPr>
          <w:lang w:val="hy-AM"/>
        </w:rPr>
      </w:pPr>
      <w:r w:rsidRPr="003B44F2">
        <w:rPr>
          <w:lang w:val="hy-AM"/>
        </w:rPr>
        <w:t>Որոշվել է 2024 թվականի շրջանառության հարկ վճարողների շրջանառությունը` համաձայն հարկ վճա</w:t>
      </w:r>
      <w:r w:rsidRPr="003B44F2">
        <w:rPr>
          <w:lang w:val="hy-AM"/>
        </w:rPr>
        <w:softHyphen/>
        <w:t>րող</w:t>
      </w:r>
      <w:r w:rsidRPr="003B44F2">
        <w:rPr>
          <w:lang w:val="hy-AM"/>
        </w:rPr>
        <w:softHyphen/>
        <w:t>ների կողմից ներկայացված շրջանառության հարկի հաշվարկների:</w:t>
      </w:r>
    </w:p>
    <w:p w14:paraId="27C415B8" w14:textId="77777777" w:rsidR="00957A78" w:rsidRPr="003B44F2" w:rsidRDefault="00957A78" w:rsidP="00C0795E">
      <w:pPr>
        <w:pStyle w:val="BodyText1"/>
        <w:ind w:left="0"/>
        <w:rPr>
          <w:lang w:val="hy-AM"/>
        </w:rPr>
      </w:pPr>
      <w:r w:rsidRPr="003B44F2">
        <w:rPr>
          <w:lang w:val="hy-AM"/>
        </w:rPr>
        <w:t>Հաշվարկվել է շահութահարկի բազան*` հիմք ընդունելով շահութա</w:t>
      </w:r>
      <w:r w:rsidRPr="003B44F2">
        <w:rPr>
          <w:lang w:val="hy-AM"/>
        </w:rPr>
        <w:softHyphen/>
        <w:t>բե</w:t>
      </w:r>
      <w:r w:rsidRPr="003B44F2">
        <w:rPr>
          <w:lang w:val="hy-AM"/>
        </w:rPr>
        <w:softHyphen/>
        <w:t>րու</w:t>
      </w:r>
      <w:r w:rsidRPr="003B44F2">
        <w:rPr>
          <w:lang w:val="hy-AM"/>
        </w:rPr>
        <w:softHyphen/>
        <w:t>թյան միջի</w:t>
      </w:r>
      <w:r w:rsidRPr="003B44F2">
        <w:rPr>
          <w:lang w:val="hy-AM"/>
        </w:rPr>
        <w:softHyphen/>
        <w:t>նաց</w:t>
      </w:r>
      <w:r w:rsidRPr="003B44F2">
        <w:rPr>
          <w:lang w:val="hy-AM"/>
        </w:rPr>
        <w:softHyphen/>
        <w:t>ված մակարդակները:</w:t>
      </w:r>
    </w:p>
    <w:p w14:paraId="2881F508" w14:textId="77777777" w:rsidR="00957A78" w:rsidRPr="003B44F2" w:rsidRDefault="00957A78" w:rsidP="00C0795E">
      <w:pPr>
        <w:pStyle w:val="BodyText1"/>
        <w:ind w:left="0"/>
        <w:rPr>
          <w:lang w:val="hy-AM"/>
        </w:rPr>
      </w:pPr>
      <w:r w:rsidRPr="003B44F2">
        <w:rPr>
          <w:lang w:val="hy-AM"/>
        </w:rPr>
        <w:t>Ստացված բազայի նկատմամբ կիրառվել է շահութահարկի 18% դրույքաչափ և հաշ</w:t>
      </w:r>
      <w:r w:rsidRPr="003B44F2">
        <w:rPr>
          <w:lang w:val="hy-AM"/>
        </w:rPr>
        <w:softHyphen/>
        <w:t>վարկ</w:t>
      </w:r>
      <w:r w:rsidRPr="003B44F2">
        <w:rPr>
          <w:lang w:val="hy-AM"/>
        </w:rPr>
        <w:softHyphen/>
        <w:t>վել է շահութահարկի գծով արդյունքը:</w:t>
      </w:r>
    </w:p>
    <w:p w14:paraId="1CA20ECC" w14:textId="77777777" w:rsidR="00957A78" w:rsidRPr="003B44F2" w:rsidRDefault="00957A78" w:rsidP="00C0795E">
      <w:pPr>
        <w:pStyle w:val="BodyText1"/>
        <w:ind w:left="0"/>
        <w:rPr>
          <w:lang w:val="hy-AM"/>
        </w:rPr>
      </w:pPr>
      <w:r w:rsidRPr="003B44F2">
        <w:rPr>
          <w:lang w:val="hy-AM"/>
        </w:rPr>
        <w:t>Հաշվարկվել է ԱԱՀ-ի բազան</w:t>
      </w:r>
      <w:r>
        <w:rPr>
          <w:rStyle w:val="FootnoteReference"/>
          <w:lang w:val="hy-AM"/>
        </w:rPr>
        <w:footnoteReference w:id="53"/>
      </w:r>
      <w:r w:rsidRPr="003B44F2">
        <w:rPr>
          <w:lang w:val="hy-AM"/>
        </w:rPr>
        <w:t xml:space="preserve"> ` հիմք ընդունելով շահութաբերության և աշխատավար</w:t>
      </w:r>
      <w:r w:rsidRPr="003B44F2">
        <w:rPr>
          <w:lang w:val="hy-AM"/>
        </w:rPr>
        <w:softHyphen/>
        <w:t>ձերի միջինացված մակարդակները:</w:t>
      </w:r>
    </w:p>
    <w:p w14:paraId="101E6840" w14:textId="77777777" w:rsidR="00957A78" w:rsidRPr="003B44F2" w:rsidRDefault="00957A78" w:rsidP="00C0795E">
      <w:pPr>
        <w:pStyle w:val="BodyText1"/>
        <w:ind w:left="0"/>
        <w:rPr>
          <w:lang w:val="hy-AM"/>
        </w:rPr>
      </w:pPr>
      <w:r w:rsidRPr="003B44F2">
        <w:rPr>
          <w:lang w:val="hy-AM"/>
        </w:rPr>
        <w:t xml:space="preserve">Ստացված բազայի նկատմամբ կիրառվել է ԱԱՀ-ի 20% դրույքաչափ և հաշվարկվել է ԱԱՀ-ի գծով արդյունքը: </w:t>
      </w:r>
    </w:p>
    <w:p w14:paraId="7992254E" w14:textId="77777777" w:rsidR="00957A78" w:rsidRPr="003B44F2" w:rsidRDefault="00957A78" w:rsidP="00C0795E">
      <w:pPr>
        <w:pStyle w:val="BodyText1"/>
        <w:ind w:left="0"/>
        <w:rPr>
          <w:lang w:val="hy-AM"/>
        </w:rPr>
      </w:pPr>
      <w:r w:rsidRPr="003B44F2">
        <w:rPr>
          <w:lang w:val="hy-AM"/>
        </w:rPr>
        <w:t>Շահութահարկի ու ԱԱՀ-ի գծով ստացված եկամտային ներուժի և փաստացի վճարված շրջա</w:t>
      </w:r>
      <w:r w:rsidRPr="003B44F2">
        <w:rPr>
          <w:lang w:val="hy-AM"/>
        </w:rPr>
        <w:softHyphen/>
        <w:t>նառության հարկի տարբերությունը` ճշգրտված 2026 թվականի տնտեսության ճյուղերի կանխատեսվող ծավալների աճով, իրենից ներկայացնում է ԱԱՀ-ի շեմի գծով շահութահարկի ու ԱԱՀ-ի հարկա</w:t>
      </w:r>
      <w:r w:rsidRPr="003B44F2">
        <w:rPr>
          <w:lang w:val="hy-AM"/>
        </w:rPr>
        <w:softHyphen/>
        <w:t>յին ծախսը:</w:t>
      </w:r>
    </w:p>
    <w:p w14:paraId="76AE1B2B" w14:textId="77777777" w:rsidR="00957A78" w:rsidRDefault="00957A78" w:rsidP="00C0795E">
      <w:pPr>
        <w:pStyle w:val="TOC4"/>
        <w:rPr>
          <w:lang w:val="hy-AM"/>
        </w:rPr>
      </w:pPr>
    </w:p>
    <w:p w14:paraId="105527F3" w14:textId="77777777" w:rsidR="00957A78" w:rsidRPr="00F21AD0" w:rsidRDefault="00957A78" w:rsidP="00C0795E">
      <w:pPr>
        <w:pStyle w:val="TOC4"/>
        <w:rPr>
          <w:lang w:val="hy-AM"/>
        </w:rPr>
      </w:pPr>
      <w:r w:rsidRPr="00F21AD0">
        <w:rPr>
          <w:lang w:val="hy-AM"/>
        </w:rPr>
        <w:t>ՄԻԿՐՈԲԻԶՆԵՍԻ ԳԾՈՎ ՀԱՐԿԱՅԻՆ ԾԱԽՍԵՐԸ</w:t>
      </w:r>
    </w:p>
    <w:p w14:paraId="2DEA5B56" w14:textId="77777777" w:rsidR="00957A78" w:rsidRPr="003B44F2" w:rsidRDefault="00957A78" w:rsidP="00C0795E">
      <w:pPr>
        <w:pStyle w:val="BodyText1"/>
        <w:ind w:left="0"/>
        <w:rPr>
          <w:lang w:val="hy-AM"/>
        </w:rPr>
      </w:pPr>
      <w:r w:rsidRPr="003B44F2">
        <w:rPr>
          <w:lang w:val="hy-AM"/>
        </w:rPr>
        <w:t>Որոշվել է 2024 թվականի միկրոբիզնեսի հարկման համակարգում գործող հարկ վճարողների իրացման շրջանառությունը` համաձայն միկրոձեռնարկատիրության սուբյեկտի իրացման շրջանառությունների վերաբերյալ հաշվետվության տվյալների:</w:t>
      </w:r>
    </w:p>
    <w:p w14:paraId="12BEC5B7" w14:textId="77777777" w:rsidR="00957A78" w:rsidRPr="003B44F2" w:rsidRDefault="00957A78" w:rsidP="00C0795E">
      <w:pPr>
        <w:pStyle w:val="BodyText1"/>
        <w:ind w:left="0"/>
        <w:rPr>
          <w:lang w:val="hy-AM"/>
        </w:rPr>
      </w:pPr>
      <w:r w:rsidRPr="003B44F2">
        <w:rPr>
          <w:lang w:val="hy-AM"/>
        </w:rPr>
        <w:t>Հաշվարկվել է շահութահարկի բազան` հիմք ընդունելով շահութա</w:t>
      </w:r>
      <w:r w:rsidRPr="003B44F2">
        <w:rPr>
          <w:lang w:val="hy-AM"/>
        </w:rPr>
        <w:softHyphen/>
        <w:t>բե</w:t>
      </w:r>
      <w:r w:rsidRPr="003B44F2">
        <w:rPr>
          <w:lang w:val="hy-AM"/>
        </w:rPr>
        <w:softHyphen/>
        <w:t>րու</w:t>
      </w:r>
      <w:r w:rsidRPr="003B44F2">
        <w:rPr>
          <w:lang w:val="hy-AM"/>
        </w:rPr>
        <w:softHyphen/>
        <w:t>թյան միջի</w:t>
      </w:r>
      <w:r w:rsidRPr="003B44F2">
        <w:rPr>
          <w:lang w:val="hy-AM"/>
        </w:rPr>
        <w:softHyphen/>
        <w:t>նաց</w:t>
      </w:r>
      <w:r w:rsidRPr="003B44F2">
        <w:rPr>
          <w:lang w:val="hy-AM"/>
        </w:rPr>
        <w:softHyphen/>
        <w:t>ված մակարդակները:</w:t>
      </w:r>
    </w:p>
    <w:p w14:paraId="3BB3BE4B" w14:textId="77777777" w:rsidR="00957A78" w:rsidRPr="003B44F2" w:rsidRDefault="00957A78" w:rsidP="00C0795E">
      <w:pPr>
        <w:pStyle w:val="BodyText1"/>
        <w:ind w:left="0"/>
        <w:rPr>
          <w:lang w:val="hy-AM"/>
        </w:rPr>
      </w:pPr>
      <w:r w:rsidRPr="003B44F2">
        <w:rPr>
          <w:lang w:val="hy-AM"/>
        </w:rPr>
        <w:t>Ստացված բազայի նկատմամբ կիրառվել է շահութահարկի 18% դրույքաչափ և հաշ</w:t>
      </w:r>
      <w:r w:rsidRPr="003B44F2">
        <w:rPr>
          <w:lang w:val="hy-AM"/>
        </w:rPr>
        <w:softHyphen/>
        <w:t>վարկ</w:t>
      </w:r>
      <w:r w:rsidRPr="003B44F2">
        <w:rPr>
          <w:lang w:val="hy-AM"/>
        </w:rPr>
        <w:softHyphen/>
        <w:t>վել է շահութահարկի գծով արդյունքը:</w:t>
      </w:r>
    </w:p>
    <w:p w14:paraId="799821A7" w14:textId="77777777" w:rsidR="00957A78" w:rsidRPr="003B44F2" w:rsidRDefault="00957A78" w:rsidP="00C0795E">
      <w:pPr>
        <w:pStyle w:val="BodyText1"/>
        <w:ind w:left="0"/>
        <w:rPr>
          <w:lang w:val="hy-AM"/>
        </w:rPr>
      </w:pPr>
      <w:r w:rsidRPr="003B44F2">
        <w:rPr>
          <w:lang w:val="hy-AM"/>
        </w:rPr>
        <w:t>Հաշվարկվել է ԱԱՀ-ի բազան` հիմք ընդունելով շահութաբերության և աշխատավար</w:t>
      </w:r>
      <w:r w:rsidRPr="003B44F2">
        <w:rPr>
          <w:lang w:val="hy-AM"/>
        </w:rPr>
        <w:softHyphen/>
        <w:t>ձերի միջինացված մակարդակները:</w:t>
      </w:r>
    </w:p>
    <w:p w14:paraId="5C4FFEC6" w14:textId="77777777" w:rsidR="00957A78" w:rsidRPr="003B44F2" w:rsidRDefault="00957A78" w:rsidP="00C0795E">
      <w:pPr>
        <w:pStyle w:val="BodyText1"/>
        <w:ind w:left="0"/>
        <w:rPr>
          <w:lang w:val="hy-AM"/>
        </w:rPr>
      </w:pPr>
      <w:r w:rsidRPr="003B44F2">
        <w:rPr>
          <w:lang w:val="hy-AM"/>
        </w:rPr>
        <w:t xml:space="preserve">Ստացված բազայի նկատմամբ կիրառվել է ԱԱՀ-ի 20% դրույքաչափ և հաշվարկվել է ԱԱՀ-ի գծով արդյունքը: </w:t>
      </w:r>
    </w:p>
    <w:p w14:paraId="03EDDC8E" w14:textId="77777777" w:rsidR="00957A78" w:rsidRPr="003B44F2" w:rsidRDefault="00957A78" w:rsidP="00C0795E">
      <w:pPr>
        <w:pStyle w:val="BodyText1"/>
        <w:ind w:left="0"/>
        <w:rPr>
          <w:lang w:val="hy-AM"/>
        </w:rPr>
      </w:pPr>
      <w:r w:rsidRPr="003B44F2">
        <w:rPr>
          <w:lang w:val="hy-AM"/>
        </w:rPr>
        <w:t>Շահութահարկի ու ԱԱՀ-ի գծով ստացված եկամտային ներուժի` ճշգրտված 2026 թվականի տնտեսության ճյուղերի կանխատեսվող ծավալների աճով, իրենից ներկայացնում է միկրոձեռնարկատիրության գծով շահութահարկի ու ԱԱՀ-ի հարկա</w:t>
      </w:r>
      <w:r w:rsidRPr="003B44F2">
        <w:rPr>
          <w:lang w:val="hy-AM"/>
        </w:rPr>
        <w:softHyphen/>
        <w:t>յին ծախսը:</w:t>
      </w:r>
    </w:p>
    <w:p w14:paraId="5732F945" w14:textId="77777777" w:rsidR="00957A78" w:rsidRDefault="00957A78" w:rsidP="00C0795E">
      <w:pPr>
        <w:pStyle w:val="TOC4"/>
        <w:spacing w:before="0" w:after="240"/>
        <w:rPr>
          <w:lang w:val="hy-AM"/>
        </w:rPr>
      </w:pPr>
      <w:r w:rsidRPr="00C01748">
        <w:rPr>
          <w:lang w:val="hy-AM"/>
        </w:rPr>
        <w:t>ՇՐՋԱՆԱՌՈՒԹՅԱՆ ՀԱՐԿԻ ԳԾՈՎ ՀԱՐԿԱՅԻՆ ԾԱԽՍԵՐԸ</w:t>
      </w:r>
    </w:p>
    <w:p w14:paraId="5991A30F" w14:textId="77777777" w:rsidR="00957A78" w:rsidRPr="00C01748" w:rsidRDefault="00957A78" w:rsidP="00C0795E">
      <w:pPr>
        <w:pStyle w:val="BodyText1"/>
        <w:ind w:left="0"/>
        <w:rPr>
          <w:lang w:val="hy-AM"/>
        </w:rPr>
      </w:pPr>
      <w:r w:rsidRPr="00C01748">
        <w:rPr>
          <w:lang w:val="hy-AM"/>
        </w:rPr>
        <w:t>Շրջանառության հարկի գծով հարկային ծախսերի մասով գնահատվել է ՏՏ ոլորտի արտոնությունները:</w:t>
      </w:r>
    </w:p>
    <w:p w14:paraId="43294BDE" w14:textId="77777777" w:rsidR="00957A78" w:rsidRPr="00F21AD0" w:rsidRDefault="00957A78" w:rsidP="00C0795E">
      <w:pPr>
        <w:pStyle w:val="TOC4"/>
        <w:spacing w:before="0" w:after="240"/>
        <w:rPr>
          <w:lang w:val="hy-AM"/>
        </w:rPr>
      </w:pPr>
      <w:r w:rsidRPr="00F21AD0">
        <w:rPr>
          <w:lang w:val="hy-AM"/>
        </w:rPr>
        <w:t>ՏՏ ՈԼՈՐՏԻ ԱՐՏՈՆՈՒԹՅՈՒՆՆԵՐ</w:t>
      </w:r>
    </w:p>
    <w:p w14:paraId="22506030" w14:textId="77777777" w:rsidR="00957A78" w:rsidRPr="003B44F2" w:rsidRDefault="00957A78" w:rsidP="00C0795E">
      <w:pPr>
        <w:pStyle w:val="BodyText1"/>
        <w:ind w:left="0"/>
        <w:rPr>
          <w:lang w:val="hy-AM"/>
        </w:rPr>
      </w:pPr>
      <w:r w:rsidRPr="003B44F2">
        <w:rPr>
          <w:lang w:val="hy-AM"/>
        </w:rPr>
        <w:t xml:space="preserve">Որոշվել են 2025 թվականի 1-ին կիսամյակի համար ՏՏ ոլորտին տրված արտոնությունների գումարը` որպես շրջանառության հարկի 10 տոկոս հաշվարկային դրույքի և 1 տոկոս փաստացի կիրառված արտոնյալ դրույքարչափով հաշվարկված շրջանառության հարկի տարբերություն: Որոշվել է 2025թ. 2-րդ կիսամյակի համար ՏՏ ոլորտին տրված արտոնությունների գումարը` որպես 1-ին կիսամյակի համար արտոնության գնահատված գումարի և 2024թ. 2-րդ և 1-ին կիսամյակների ՏՏ ոլորտի շրջանառության հարկի հարաբերակցության արտադրյալով: Ստացված արդյունքը ճշգրտվել է 2026 թվականի համար կանխատեսվող ծավալների աճով` հիմք ընդունելով փորձագիտական եղանակով գնահատված նախորդ տարվա նկատմամբ ոլորտի աճի տեմպը: </w:t>
      </w:r>
    </w:p>
    <w:p w14:paraId="7E5BD7AF" w14:textId="74056562" w:rsidR="00E534FB" w:rsidRPr="00682902" w:rsidRDefault="00E534FB" w:rsidP="00C0795E">
      <w:pPr>
        <w:ind w:right="357"/>
        <w:rPr>
          <w:rFonts w:eastAsia="Calibri"/>
          <w:b/>
          <w:color w:val="auto"/>
          <w:lang w:val="hy-AM"/>
        </w:rPr>
      </w:pPr>
    </w:p>
    <w:p w14:paraId="0E0F5737" w14:textId="7D91A122" w:rsidR="007C2444" w:rsidRDefault="007C2444" w:rsidP="00E534FB">
      <w:pPr>
        <w:rPr>
          <w:rFonts w:eastAsia="Calibri"/>
          <w:b/>
          <w:color w:val="auto"/>
          <w:lang w:val="af-ZA"/>
        </w:rPr>
      </w:pPr>
    </w:p>
    <w:p w14:paraId="56DF927B" w14:textId="5A035FB5" w:rsidR="007C2444" w:rsidRDefault="007C2444" w:rsidP="00E534FB">
      <w:pPr>
        <w:rPr>
          <w:rFonts w:eastAsia="Calibri"/>
          <w:b/>
          <w:color w:val="auto"/>
          <w:lang w:val="af-ZA"/>
        </w:rPr>
      </w:pPr>
    </w:p>
    <w:p w14:paraId="4E7B9997" w14:textId="1E512333" w:rsidR="00C0795E" w:rsidRDefault="00C0795E">
      <w:pPr>
        <w:rPr>
          <w:rFonts w:eastAsia="Calibri"/>
          <w:b/>
          <w:color w:val="auto"/>
          <w:lang w:val="af-ZA"/>
        </w:rPr>
      </w:pPr>
      <w:r>
        <w:rPr>
          <w:rFonts w:eastAsia="Calibri"/>
          <w:b/>
          <w:color w:val="auto"/>
          <w:lang w:val="af-ZA"/>
        </w:rPr>
        <w:br w:type="page"/>
      </w:r>
    </w:p>
    <w:p w14:paraId="22CCE453" w14:textId="791B0D76" w:rsidR="00F76E1D" w:rsidRDefault="006612E9" w:rsidP="001739BB">
      <w:pPr>
        <w:pStyle w:val="TOC1"/>
        <w:outlineLvl w:val="1"/>
        <w:rPr>
          <w:sz w:val="32"/>
          <w:szCs w:val="40"/>
          <w:lang w:val="hy-AM"/>
        </w:rPr>
      </w:pPr>
      <w:bookmarkStart w:id="545" w:name="_Toc215157703"/>
      <w:r>
        <w:rPr>
          <w:szCs w:val="40"/>
          <w:lang w:val="hy-AM"/>
        </w:rPr>
        <w:t>ՀԱՎԵԼՎԱԾՆԵՐ</w:t>
      </w:r>
      <w:bookmarkEnd w:id="545"/>
    </w:p>
    <w:p w14:paraId="1DE0715D" w14:textId="7952B667" w:rsidR="00F76E1D" w:rsidRDefault="00F76E1D" w:rsidP="00454850">
      <w:pPr>
        <w:pStyle w:val="TOC1"/>
        <w:rPr>
          <w:b w:val="0"/>
          <w:color w:val="404040" w:themeColor="text1" w:themeTint="BF"/>
          <w:sz w:val="22"/>
          <w:lang w:val="hy-AM"/>
        </w:rPr>
      </w:pPr>
      <w:r w:rsidRPr="00F76E1D">
        <w:rPr>
          <w:b w:val="0"/>
          <w:color w:val="404040" w:themeColor="text1" w:themeTint="BF"/>
          <w:sz w:val="22"/>
          <w:lang w:val="hy-AM"/>
        </w:rPr>
        <w:t>Հավելված</w:t>
      </w:r>
      <w:r w:rsidR="00D86242">
        <w:rPr>
          <w:b w:val="0"/>
          <w:color w:val="404040" w:themeColor="text1" w:themeTint="BF"/>
          <w:sz w:val="22"/>
          <w:lang w:val="hy-AM"/>
        </w:rPr>
        <w:t xml:space="preserve"> N 1. </w:t>
      </w:r>
      <w:r w:rsidRPr="00F76E1D">
        <w:rPr>
          <w:b w:val="0"/>
          <w:color w:val="404040" w:themeColor="text1" w:themeTint="BF"/>
          <w:sz w:val="22"/>
          <w:lang w:val="hy-AM"/>
        </w:rPr>
        <w:t xml:space="preserve">Ոլորտային ուղղությունները ըստ </w:t>
      </w:r>
      <w:r>
        <w:rPr>
          <w:b w:val="0"/>
          <w:color w:val="404040" w:themeColor="text1" w:themeTint="BF"/>
          <w:sz w:val="22"/>
          <w:lang w:val="hy-AM"/>
        </w:rPr>
        <w:t>բյուջետային գլխավոր կարգադրիչների</w:t>
      </w:r>
    </w:p>
    <w:p w14:paraId="576F385C" w14:textId="73E39F23" w:rsidR="00877C14" w:rsidRDefault="00877C14" w:rsidP="00454850">
      <w:pPr>
        <w:pStyle w:val="TOC1"/>
        <w:rPr>
          <w:b w:val="0"/>
          <w:color w:val="404040" w:themeColor="text1" w:themeTint="BF"/>
          <w:sz w:val="22"/>
          <w:lang w:val="hy-AM"/>
        </w:rPr>
      </w:pPr>
      <w:r>
        <w:rPr>
          <w:b w:val="0"/>
          <w:color w:val="404040" w:themeColor="text1" w:themeTint="BF"/>
          <w:sz w:val="22"/>
          <w:lang w:val="hy-AM"/>
        </w:rPr>
        <w:t xml:space="preserve">Հավելված </w:t>
      </w:r>
      <w:r w:rsidRPr="00877C14">
        <w:rPr>
          <w:b w:val="0"/>
          <w:color w:val="404040" w:themeColor="text1" w:themeTint="BF"/>
          <w:sz w:val="22"/>
          <w:lang w:val="hy-AM"/>
        </w:rPr>
        <w:t>N 2.</w:t>
      </w:r>
      <w:r w:rsidR="00D86242">
        <w:rPr>
          <w:b w:val="0"/>
          <w:color w:val="404040" w:themeColor="text1" w:themeTint="BF"/>
          <w:sz w:val="22"/>
          <w:lang w:val="hy-AM"/>
        </w:rPr>
        <w:t xml:space="preserve"> </w:t>
      </w:r>
      <w:r w:rsidRPr="00877C14">
        <w:rPr>
          <w:b w:val="0"/>
          <w:color w:val="404040" w:themeColor="text1" w:themeTint="BF"/>
          <w:sz w:val="22"/>
          <w:lang w:val="hy-AM"/>
        </w:rPr>
        <w:t>2026-2028</w:t>
      </w:r>
      <w:r>
        <w:rPr>
          <w:b w:val="0"/>
          <w:color w:val="404040" w:themeColor="text1" w:themeTint="BF"/>
          <w:sz w:val="22"/>
          <w:lang w:val="hy-AM"/>
        </w:rPr>
        <w:t>թթ. Ծախսերը</w:t>
      </w:r>
    </w:p>
    <w:p w14:paraId="76A8CAF3" w14:textId="1789B3C8" w:rsidR="00877C14" w:rsidRDefault="00877C14" w:rsidP="00454850">
      <w:pPr>
        <w:pStyle w:val="TOC1"/>
        <w:rPr>
          <w:b w:val="0"/>
          <w:color w:val="404040" w:themeColor="text1" w:themeTint="BF"/>
          <w:sz w:val="22"/>
          <w:lang w:val="hy-AM"/>
        </w:rPr>
      </w:pPr>
      <w:r>
        <w:rPr>
          <w:b w:val="0"/>
          <w:color w:val="404040" w:themeColor="text1" w:themeTint="BF"/>
          <w:sz w:val="22"/>
          <w:lang w:val="hy-AM"/>
        </w:rPr>
        <w:t xml:space="preserve">Հավելված </w:t>
      </w:r>
      <w:r w:rsidRPr="00877C14">
        <w:rPr>
          <w:b w:val="0"/>
          <w:color w:val="404040" w:themeColor="text1" w:themeTint="BF"/>
          <w:sz w:val="22"/>
          <w:lang w:val="hy-AM"/>
        </w:rPr>
        <w:t>N 3.</w:t>
      </w:r>
      <w:r w:rsidR="00D86242">
        <w:rPr>
          <w:b w:val="0"/>
          <w:color w:val="404040" w:themeColor="text1" w:themeTint="BF"/>
          <w:sz w:val="22"/>
          <w:lang w:val="hy-AM"/>
        </w:rPr>
        <w:t xml:space="preserve"> </w:t>
      </w:r>
      <w:r>
        <w:rPr>
          <w:b w:val="0"/>
          <w:color w:val="404040" w:themeColor="text1" w:themeTint="BF"/>
          <w:sz w:val="22"/>
          <w:lang w:val="hy-AM"/>
        </w:rPr>
        <w:t>Միջոցառումների տնտեսագիտական դասակարգման</w:t>
      </w:r>
    </w:p>
    <w:p w14:paraId="2F4A5B3D" w14:textId="68FA7FBF" w:rsidR="00877C14" w:rsidRDefault="00877C14" w:rsidP="00454850">
      <w:pPr>
        <w:pStyle w:val="TOC1"/>
        <w:rPr>
          <w:b w:val="0"/>
          <w:color w:val="404040" w:themeColor="text1" w:themeTint="BF"/>
          <w:sz w:val="22"/>
          <w:lang w:val="hy-AM"/>
        </w:rPr>
      </w:pPr>
      <w:r>
        <w:rPr>
          <w:b w:val="0"/>
          <w:color w:val="404040" w:themeColor="text1" w:themeTint="BF"/>
          <w:sz w:val="22"/>
          <w:lang w:val="hy-AM"/>
        </w:rPr>
        <w:t xml:space="preserve">Հավելված </w:t>
      </w:r>
      <w:r w:rsidRPr="00877C14">
        <w:rPr>
          <w:b w:val="0"/>
          <w:color w:val="404040" w:themeColor="text1" w:themeTint="BF"/>
          <w:sz w:val="22"/>
          <w:lang w:val="hy-AM"/>
        </w:rPr>
        <w:t>N 3.1.</w:t>
      </w:r>
      <w:r w:rsidR="00D86242">
        <w:rPr>
          <w:b w:val="0"/>
          <w:color w:val="404040" w:themeColor="text1" w:themeTint="BF"/>
          <w:sz w:val="22"/>
          <w:lang w:val="hy-AM"/>
        </w:rPr>
        <w:t xml:space="preserve"> </w:t>
      </w:r>
      <w:r>
        <w:rPr>
          <w:b w:val="0"/>
          <w:color w:val="404040" w:themeColor="text1" w:themeTint="BF"/>
          <w:sz w:val="22"/>
          <w:lang w:val="hy-AM"/>
        </w:rPr>
        <w:t>Տնտեսագիտական դասկարգման</w:t>
      </w:r>
    </w:p>
    <w:p w14:paraId="74308E21" w14:textId="715FAB7D" w:rsidR="00877C14" w:rsidRDefault="00877C14" w:rsidP="00454850">
      <w:pPr>
        <w:pStyle w:val="TOC1"/>
        <w:rPr>
          <w:b w:val="0"/>
          <w:color w:val="404040" w:themeColor="text1" w:themeTint="BF"/>
          <w:sz w:val="22"/>
          <w:lang w:val="hy-AM"/>
        </w:rPr>
      </w:pPr>
      <w:r>
        <w:rPr>
          <w:b w:val="0"/>
          <w:color w:val="404040" w:themeColor="text1" w:themeTint="BF"/>
          <w:sz w:val="22"/>
          <w:lang w:val="hy-AM"/>
        </w:rPr>
        <w:t xml:space="preserve">Հավելված </w:t>
      </w:r>
      <w:r w:rsidR="00D86242">
        <w:rPr>
          <w:b w:val="0"/>
          <w:color w:val="404040" w:themeColor="text1" w:themeTint="BF"/>
          <w:sz w:val="22"/>
          <w:lang w:val="hy-AM"/>
        </w:rPr>
        <w:t xml:space="preserve">N 4. </w:t>
      </w:r>
      <w:r>
        <w:rPr>
          <w:b w:val="0"/>
          <w:color w:val="404040" w:themeColor="text1" w:themeTint="BF"/>
          <w:sz w:val="22"/>
          <w:lang w:val="hy-AM"/>
        </w:rPr>
        <w:t>Գործառնական դասակարգման</w:t>
      </w:r>
    </w:p>
    <w:p w14:paraId="1D430B6C" w14:textId="547F985F" w:rsidR="00877C14" w:rsidRDefault="00877C14" w:rsidP="00454850">
      <w:pPr>
        <w:pStyle w:val="TOC1"/>
        <w:rPr>
          <w:b w:val="0"/>
          <w:color w:val="404040" w:themeColor="text1" w:themeTint="BF"/>
          <w:sz w:val="22"/>
          <w:lang w:val="hy-AM"/>
        </w:rPr>
      </w:pPr>
      <w:r>
        <w:rPr>
          <w:b w:val="0"/>
          <w:color w:val="404040" w:themeColor="text1" w:themeTint="BF"/>
          <w:sz w:val="22"/>
          <w:lang w:val="hy-AM"/>
        </w:rPr>
        <w:t xml:space="preserve">Հավելված </w:t>
      </w:r>
      <w:r w:rsidRPr="00877C14">
        <w:rPr>
          <w:b w:val="0"/>
          <w:color w:val="404040" w:themeColor="text1" w:themeTint="BF"/>
          <w:sz w:val="22"/>
          <w:lang w:val="hy-AM"/>
        </w:rPr>
        <w:t>N</w:t>
      </w:r>
      <w:r w:rsidR="00D86242">
        <w:rPr>
          <w:b w:val="0"/>
          <w:color w:val="404040" w:themeColor="text1" w:themeTint="BF"/>
          <w:sz w:val="22"/>
          <w:lang w:val="hy-AM"/>
        </w:rPr>
        <w:t xml:space="preserve"> 5. </w:t>
      </w:r>
      <w:r>
        <w:rPr>
          <w:b w:val="0"/>
          <w:color w:val="404040" w:themeColor="text1" w:themeTint="BF"/>
          <w:sz w:val="22"/>
          <w:lang w:val="hy-AM"/>
        </w:rPr>
        <w:t>Արդյունքային ցուցանիշներ</w:t>
      </w:r>
    </w:p>
    <w:p w14:paraId="35022FCD" w14:textId="6C8D9D9C" w:rsidR="00877C14" w:rsidRDefault="00877C14" w:rsidP="00454850">
      <w:pPr>
        <w:pStyle w:val="TOC1"/>
        <w:rPr>
          <w:b w:val="0"/>
          <w:color w:val="404040" w:themeColor="text1" w:themeTint="BF"/>
          <w:sz w:val="22"/>
          <w:lang w:val="hy-AM"/>
        </w:rPr>
      </w:pPr>
      <w:r>
        <w:rPr>
          <w:b w:val="0"/>
          <w:color w:val="404040" w:themeColor="text1" w:themeTint="BF"/>
          <w:sz w:val="22"/>
          <w:lang w:val="hy-AM"/>
        </w:rPr>
        <w:t xml:space="preserve">Հավելված </w:t>
      </w:r>
      <w:r w:rsidRPr="00877C14">
        <w:rPr>
          <w:b w:val="0"/>
          <w:color w:val="404040" w:themeColor="text1" w:themeTint="BF"/>
          <w:sz w:val="22"/>
          <w:lang w:val="hy-AM"/>
        </w:rPr>
        <w:t>N</w:t>
      </w:r>
      <w:r w:rsidR="009A7815">
        <w:rPr>
          <w:b w:val="0"/>
          <w:color w:val="404040" w:themeColor="text1" w:themeTint="BF"/>
          <w:sz w:val="22"/>
          <w:lang w:val="hy-AM"/>
        </w:rPr>
        <w:t xml:space="preserve"> 6.</w:t>
      </w:r>
      <w:r w:rsidR="00D86242">
        <w:rPr>
          <w:b w:val="0"/>
          <w:color w:val="404040" w:themeColor="text1" w:themeTint="BF"/>
          <w:sz w:val="22"/>
          <w:lang w:val="hy-AM"/>
        </w:rPr>
        <w:t xml:space="preserve"> </w:t>
      </w:r>
      <w:r w:rsidR="00237BE6">
        <w:rPr>
          <w:b w:val="0"/>
          <w:color w:val="404040" w:themeColor="text1" w:themeTint="BF"/>
          <w:sz w:val="22"/>
          <w:lang w:val="hy-AM"/>
        </w:rPr>
        <w:t>Ավարտի ժամկետ ունեցող միջոցառումներ</w:t>
      </w:r>
      <w:r w:rsidRPr="00237BE6">
        <w:rPr>
          <w:b w:val="0"/>
          <w:color w:val="404040" w:themeColor="text1" w:themeTint="BF"/>
          <w:sz w:val="22"/>
          <w:lang w:val="hy-AM"/>
        </w:rPr>
        <w:t xml:space="preserve"> </w:t>
      </w:r>
    </w:p>
    <w:p w14:paraId="732B7502" w14:textId="72E42526" w:rsidR="00237BE6" w:rsidRDefault="00237BE6" w:rsidP="00454850">
      <w:pPr>
        <w:pStyle w:val="TOC1"/>
        <w:rPr>
          <w:b w:val="0"/>
          <w:color w:val="404040" w:themeColor="text1" w:themeTint="BF"/>
          <w:sz w:val="22"/>
          <w:lang w:val="hy-AM"/>
        </w:rPr>
      </w:pPr>
      <w:r>
        <w:rPr>
          <w:b w:val="0"/>
          <w:color w:val="404040" w:themeColor="text1" w:themeTint="BF"/>
          <w:sz w:val="22"/>
          <w:lang w:val="hy-AM"/>
        </w:rPr>
        <w:t xml:space="preserve">Հավելված </w:t>
      </w:r>
      <w:r w:rsidR="00D86242">
        <w:rPr>
          <w:b w:val="0"/>
          <w:color w:val="404040" w:themeColor="text1" w:themeTint="BF"/>
          <w:sz w:val="22"/>
          <w:lang w:val="hy-AM"/>
        </w:rPr>
        <w:t xml:space="preserve">N 7. </w:t>
      </w:r>
      <w:r>
        <w:rPr>
          <w:b w:val="0"/>
          <w:color w:val="404040" w:themeColor="text1" w:themeTint="BF"/>
          <w:sz w:val="22"/>
          <w:lang w:val="hy-AM"/>
        </w:rPr>
        <w:t>Գենդերային զգայուն բյուջեի արդյունքային ցուցանիշներ</w:t>
      </w:r>
    </w:p>
    <w:p w14:paraId="494CD345" w14:textId="07B7B7D1" w:rsidR="00237BE6" w:rsidRDefault="00237BE6" w:rsidP="00454850">
      <w:pPr>
        <w:pStyle w:val="TOC1"/>
        <w:rPr>
          <w:b w:val="0"/>
          <w:color w:val="404040" w:themeColor="text1" w:themeTint="BF"/>
          <w:sz w:val="22"/>
          <w:lang w:val="hy-AM"/>
        </w:rPr>
      </w:pPr>
      <w:r>
        <w:rPr>
          <w:b w:val="0"/>
          <w:color w:val="404040" w:themeColor="text1" w:themeTint="BF"/>
          <w:sz w:val="22"/>
          <w:lang w:val="hy-AM"/>
        </w:rPr>
        <w:t xml:space="preserve">Հավելված </w:t>
      </w:r>
      <w:r w:rsidRPr="00237BE6">
        <w:rPr>
          <w:b w:val="0"/>
          <w:color w:val="404040" w:themeColor="text1" w:themeTint="BF"/>
          <w:sz w:val="22"/>
          <w:lang w:val="hy-AM"/>
        </w:rPr>
        <w:t>N</w:t>
      </w:r>
      <w:r w:rsidR="009A7815">
        <w:rPr>
          <w:b w:val="0"/>
          <w:color w:val="404040" w:themeColor="text1" w:themeTint="BF"/>
          <w:sz w:val="22"/>
          <w:lang w:val="hy-AM"/>
        </w:rPr>
        <w:t xml:space="preserve"> 8.</w:t>
      </w:r>
      <w:r w:rsidR="00D86242">
        <w:rPr>
          <w:b w:val="0"/>
          <w:color w:val="404040" w:themeColor="text1" w:themeTint="BF"/>
          <w:sz w:val="22"/>
          <w:lang w:val="hy-AM"/>
        </w:rPr>
        <w:t xml:space="preserve"> </w:t>
      </w:r>
      <w:r>
        <w:rPr>
          <w:b w:val="0"/>
          <w:color w:val="404040" w:themeColor="text1" w:themeTint="BF"/>
          <w:sz w:val="22"/>
          <w:lang w:val="hy-AM"/>
        </w:rPr>
        <w:t>Գույքի մոտարկված վարձակալական արժեք</w:t>
      </w:r>
    </w:p>
    <w:p w14:paraId="4CDFACAA" w14:textId="5E56E9C4" w:rsidR="00237BE6" w:rsidRPr="00ED147C" w:rsidRDefault="00237BE6" w:rsidP="00454850">
      <w:pPr>
        <w:pStyle w:val="TOC1"/>
        <w:rPr>
          <w:b w:val="0"/>
          <w:color w:val="404040" w:themeColor="text1" w:themeTint="BF"/>
          <w:sz w:val="22"/>
          <w:lang w:val="hy-AM"/>
        </w:rPr>
      </w:pPr>
      <w:r>
        <w:rPr>
          <w:b w:val="0"/>
          <w:color w:val="404040" w:themeColor="text1" w:themeTint="BF"/>
          <w:sz w:val="22"/>
          <w:lang w:val="hy-AM"/>
        </w:rPr>
        <w:t xml:space="preserve">Հավելված </w:t>
      </w:r>
      <w:r w:rsidRPr="00237BE6">
        <w:rPr>
          <w:b w:val="0"/>
          <w:color w:val="404040" w:themeColor="text1" w:themeTint="BF"/>
          <w:sz w:val="22"/>
          <w:lang w:val="hy-AM"/>
        </w:rPr>
        <w:t>N</w:t>
      </w:r>
      <w:r w:rsidR="009A7815">
        <w:rPr>
          <w:b w:val="0"/>
          <w:color w:val="404040" w:themeColor="text1" w:themeTint="BF"/>
          <w:sz w:val="22"/>
          <w:lang w:val="hy-AM"/>
        </w:rPr>
        <w:t xml:space="preserve"> 9.</w:t>
      </w:r>
      <w:r w:rsidR="00D86242">
        <w:rPr>
          <w:b w:val="0"/>
          <w:color w:val="404040" w:themeColor="text1" w:themeTint="BF"/>
          <w:sz w:val="22"/>
          <w:lang w:val="hy-AM"/>
        </w:rPr>
        <w:t xml:space="preserve"> </w:t>
      </w:r>
      <w:r>
        <w:rPr>
          <w:b w:val="0"/>
          <w:color w:val="404040" w:themeColor="text1" w:themeTint="BF"/>
          <w:sz w:val="22"/>
          <w:lang w:val="hy-AM"/>
        </w:rPr>
        <w:t>Ամփոփ ցուցանիշներ</w:t>
      </w:r>
      <w:r w:rsidR="00B75B0A" w:rsidRPr="00ED147C">
        <w:rPr>
          <w:b w:val="0"/>
          <w:color w:val="404040" w:themeColor="text1" w:themeTint="BF"/>
          <w:sz w:val="22"/>
          <w:lang w:val="hy-AM"/>
        </w:rPr>
        <w:t xml:space="preserve"> (APP)</w:t>
      </w:r>
    </w:p>
    <w:p w14:paraId="154D12D9" w14:textId="76888E48" w:rsidR="00237BE6" w:rsidRDefault="00237BE6" w:rsidP="00454850">
      <w:pPr>
        <w:pStyle w:val="TOC1"/>
        <w:rPr>
          <w:b w:val="0"/>
          <w:color w:val="404040" w:themeColor="text1" w:themeTint="BF"/>
          <w:sz w:val="22"/>
          <w:lang w:val="hy-AM"/>
        </w:rPr>
      </w:pPr>
      <w:r>
        <w:rPr>
          <w:b w:val="0"/>
          <w:color w:val="404040" w:themeColor="text1" w:themeTint="BF"/>
          <w:sz w:val="22"/>
          <w:lang w:val="hy-AM"/>
        </w:rPr>
        <w:t xml:space="preserve">Հավելված </w:t>
      </w:r>
      <w:r w:rsidRPr="00237BE6">
        <w:rPr>
          <w:b w:val="0"/>
          <w:color w:val="404040" w:themeColor="text1" w:themeTint="BF"/>
          <w:sz w:val="22"/>
          <w:lang w:val="hy-AM"/>
        </w:rPr>
        <w:t>N</w:t>
      </w:r>
      <w:r w:rsidR="00D86242">
        <w:rPr>
          <w:b w:val="0"/>
          <w:color w:val="404040" w:themeColor="text1" w:themeTint="BF"/>
          <w:sz w:val="22"/>
          <w:lang w:val="hy-AM"/>
        </w:rPr>
        <w:t xml:space="preserve"> 10. </w:t>
      </w:r>
      <w:r>
        <w:rPr>
          <w:b w:val="0"/>
          <w:color w:val="404040" w:themeColor="text1" w:themeTint="BF"/>
          <w:sz w:val="22"/>
          <w:lang w:val="hy-AM"/>
        </w:rPr>
        <w:t>ԿԲ նախահաշիվ</w:t>
      </w:r>
    </w:p>
    <w:p w14:paraId="400CB4A9" w14:textId="5B27AE4D" w:rsidR="00237BE6" w:rsidRDefault="00237BE6" w:rsidP="00454850">
      <w:pPr>
        <w:pStyle w:val="TOC1"/>
        <w:rPr>
          <w:b w:val="0"/>
          <w:color w:val="404040" w:themeColor="text1" w:themeTint="BF"/>
          <w:sz w:val="22"/>
          <w:lang w:val="hy-AM"/>
        </w:rPr>
      </w:pPr>
      <w:r>
        <w:rPr>
          <w:b w:val="0"/>
          <w:color w:val="404040" w:themeColor="text1" w:themeTint="BF"/>
          <w:sz w:val="22"/>
          <w:lang w:val="hy-AM"/>
        </w:rPr>
        <w:t xml:space="preserve">Աղյուսակ </w:t>
      </w:r>
      <w:r w:rsidRPr="00237BE6">
        <w:rPr>
          <w:b w:val="0"/>
          <w:color w:val="404040" w:themeColor="text1" w:themeTint="BF"/>
          <w:sz w:val="22"/>
          <w:lang w:val="hy-AM"/>
        </w:rPr>
        <w:t>N</w:t>
      </w:r>
      <w:r w:rsidR="00D86242">
        <w:rPr>
          <w:b w:val="0"/>
          <w:color w:val="404040" w:themeColor="text1" w:themeTint="BF"/>
          <w:sz w:val="22"/>
          <w:lang w:val="hy-AM"/>
        </w:rPr>
        <w:t xml:space="preserve"> 1. </w:t>
      </w:r>
      <w:r>
        <w:rPr>
          <w:b w:val="0"/>
          <w:color w:val="404040" w:themeColor="text1" w:themeTint="BF"/>
          <w:sz w:val="22"/>
          <w:lang w:val="hy-AM"/>
        </w:rPr>
        <w:t>Եկամուտ</w:t>
      </w:r>
    </w:p>
    <w:p w14:paraId="6529CC07" w14:textId="235C8567" w:rsidR="00237BE6" w:rsidRPr="009A7815" w:rsidRDefault="00237BE6" w:rsidP="00454850">
      <w:pPr>
        <w:pStyle w:val="TOC1"/>
        <w:rPr>
          <w:b w:val="0"/>
          <w:color w:val="404040" w:themeColor="text1" w:themeTint="BF"/>
          <w:sz w:val="22"/>
          <w:lang w:val="hy-AM"/>
        </w:rPr>
      </w:pPr>
      <w:r>
        <w:rPr>
          <w:b w:val="0"/>
          <w:color w:val="404040" w:themeColor="text1" w:themeTint="BF"/>
          <w:sz w:val="22"/>
          <w:lang w:val="hy-AM"/>
        </w:rPr>
        <w:t xml:space="preserve">Աղյուսակներ </w:t>
      </w:r>
      <w:r w:rsidRPr="009A7815">
        <w:rPr>
          <w:b w:val="0"/>
          <w:color w:val="404040" w:themeColor="text1" w:themeTint="BF"/>
          <w:sz w:val="22"/>
          <w:lang w:val="hy-AM"/>
        </w:rPr>
        <w:t>N</w:t>
      </w:r>
      <w:r w:rsidRPr="00237BE6">
        <w:rPr>
          <w:b w:val="0"/>
          <w:color w:val="404040" w:themeColor="text1" w:themeTint="BF"/>
          <w:sz w:val="22"/>
          <w:lang w:val="hy-AM"/>
        </w:rPr>
        <w:t xml:space="preserve"> 2</w:t>
      </w:r>
      <w:r w:rsidR="009A7815">
        <w:rPr>
          <w:b w:val="0"/>
          <w:color w:val="404040" w:themeColor="text1" w:themeTint="BF"/>
          <w:sz w:val="22"/>
          <w:lang w:val="hy-AM"/>
        </w:rPr>
        <w:t>,</w:t>
      </w:r>
      <w:r w:rsidR="009A7815" w:rsidRPr="004D5315">
        <w:rPr>
          <w:b w:val="0"/>
          <w:color w:val="404040" w:themeColor="text1" w:themeTint="BF"/>
          <w:sz w:val="22"/>
          <w:lang w:val="hy-AM"/>
        </w:rPr>
        <w:t xml:space="preserve"> </w:t>
      </w:r>
      <w:r w:rsidR="009A7815" w:rsidRPr="009A7815">
        <w:rPr>
          <w:b w:val="0"/>
          <w:color w:val="404040" w:themeColor="text1" w:themeTint="BF"/>
          <w:sz w:val="22"/>
          <w:lang w:val="hy-AM"/>
        </w:rPr>
        <w:t xml:space="preserve">N </w:t>
      </w:r>
      <w:r w:rsidRPr="009A7815">
        <w:rPr>
          <w:b w:val="0"/>
          <w:color w:val="404040" w:themeColor="text1" w:themeTint="BF"/>
          <w:sz w:val="22"/>
          <w:lang w:val="hy-AM"/>
        </w:rPr>
        <w:t>2</w:t>
      </w:r>
      <w:r w:rsidR="009A7815" w:rsidRPr="009A7815">
        <w:rPr>
          <w:b w:val="0"/>
          <w:color w:val="404040" w:themeColor="text1" w:themeTint="BF"/>
          <w:sz w:val="22"/>
          <w:lang w:val="hy-AM"/>
        </w:rPr>
        <w:t xml:space="preserve"> </w:t>
      </w:r>
      <w:r>
        <w:rPr>
          <w:b w:val="0"/>
          <w:color w:val="404040" w:themeColor="text1" w:themeTint="BF"/>
          <w:sz w:val="22"/>
          <w:lang w:val="hy-AM"/>
        </w:rPr>
        <w:t>Ա</w:t>
      </w:r>
      <w:r w:rsidR="009A7815" w:rsidRPr="009A7815">
        <w:rPr>
          <w:b w:val="0"/>
          <w:color w:val="404040" w:themeColor="text1" w:themeTint="BF"/>
          <w:sz w:val="22"/>
          <w:lang w:val="hy-AM"/>
        </w:rPr>
        <w:t xml:space="preserve"> </w:t>
      </w:r>
    </w:p>
    <w:p w14:paraId="633AD278" w14:textId="1EA4D1B1" w:rsidR="00237BE6" w:rsidRDefault="00237BE6" w:rsidP="00454850">
      <w:pPr>
        <w:pStyle w:val="TOC1"/>
        <w:rPr>
          <w:b w:val="0"/>
          <w:color w:val="404040" w:themeColor="text1" w:themeTint="BF"/>
          <w:sz w:val="22"/>
          <w:lang w:val="hy-AM"/>
        </w:rPr>
      </w:pPr>
      <w:r>
        <w:rPr>
          <w:b w:val="0"/>
          <w:color w:val="404040" w:themeColor="text1" w:themeTint="BF"/>
          <w:sz w:val="22"/>
          <w:lang w:val="hy-AM"/>
        </w:rPr>
        <w:t xml:space="preserve">Աղյուսակ </w:t>
      </w:r>
      <w:r w:rsidRPr="009A7815">
        <w:rPr>
          <w:b w:val="0"/>
          <w:color w:val="404040" w:themeColor="text1" w:themeTint="BF"/>
          <w:sz w:val="22"/>
          <w:lang w:val="hy-AM"/>
        </w:rPr>
        <w:t>N 3.</w:t>
      </w:r>
      <w:r w:rsidR="00D86242">
        <w:rPr>
          <w:b w:val="0"/>
          <w:color w:val="404040" w:themeColor="text1" w:themeTint="BF"/>
          <w:sz w:val="22"/>
          <w:lang w:val="hy-AM"/>
        </w:rPr>
        <w:t xml:space="preserve"> </w:t>
      </w:r>
      <w:r w:rsidR="009A7815">
        <w:rPr>
          <w:b w:val="0"/>
          <w:color w:val="404040" w:themeColor="text1" w:themeTint="BF"/>
          <w:sz w:val="22"/>
          <w:lang w:val="hy-AM"/>
        </w:rPr>
        <w:t>Ավտոմեքենաների քանակ</w:t>
      </w:r>
    </w:p>
    <w:p w14:paraId="4AA748AC" w14:textId="4D39D5F4" w:rsidR="009A7815" w:rsidRPr="009A7815" w:rsidRDefault="009A7815" w:rsidP="00454850">
      <w:pPr>
        <w:pStyle w:val="TOC1"/>
        <w:rPr>
          <w:b w:val="0"/>
          <w:color w:val="404040" w:themeColor="text1" w:themeTint="BF"/>
          <w:sz w:val="22"/>
          <w:lang w:val="hy-AM"/>
        </w:rPr>
      </w:pPr>
      <w:r>
        <w:rPr>
          <w:b w:val="0"/>
          <w:color w:val="404040" w:themeColor="text1" w:themeTint="BF"/>
          <w:sz w:val="22"/>
          <w:lang w:val="hy-AM"/>
        </w:rPr>
        <w:t xml:space="preserve">Աղյուսակ </w:t>
      </w:r>
      <w:r w:rsidR="00D86242">
        <w:rPr>
          <w:b w:val="0"/>
          <w:color w:val="404040" w:themeColor="text1" w:themeTint="BF"/>
          <w:sz w:val="22"/>
          <w:lang w:val="hy-AM"/>
        </w:rPr>
        <w:t xml:space="preserve">N 4. </w:t>
      </w:r>
      <w:r>
        <w:rPr>
          <w:b w:val="0"/>
          <w:color w:val="404040" w:themeColor="text1" w:themeTint="BF"/>
          <w:sz w:val="22"/>
          <w:lang w:val="hy-AM"/>
        </w:rPr>
        <w:t>Ծախսերի համեմատական</w:t>
      </w:r>
    </w:p>
    <w:p w14:paraId="10ED0821" w14:textId="77777777" w:rsidR="00877C14" w:rsidRPr="00877C14" w:rsidRDefault="00877C14" w:rsidP="001739BB">
      <w:pPr>
        <w:pStyle w:val="TOC1"/>
        <w:outlineLvl w:val="1"/>
        <w:rPr>
          <w:b w:val="0"/>
          <w:color w:val="404040" w:themeColor="text1" w:themeTint="BF"/>
          <w:sz w:val="22"/>
          <w:lang w:val="hy-AM"/>
        </w:rPr>
      </w:pPr>
    </w:p>
    <w:sectPr w:rsidR="00877C14" w:rsidRPr="00877C14" w:rsidSect="009D765F">
      <w:footerReference w:type="default" r:id="rId124"/>
      <w:pgSz w:w="11906" w:h="16838" w:code="9"/>
      <w:pgMar w:top="1440" w:right="424" w:bottom="1440" w:left="1077" w:header="720" w:footer="60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1E8B56" w14:textId="77777777" w:rsidR="00147C8B" w:rsidRDefault="00147C8B" w:rsidP="00E77731">
      <w:pPr>
        <w:spacing w:before="0" w:after="0" w:line="240" w:lineRule="auto"/>
      </w:pPr>
      <w:r>
        <w:separator/>
      </w:r>
    </w:p>
  </w:endnote>
  <w:endnote w:type="continuationSeparator" w:id="0">
    <w:p w14:paraId="49CA120B" w14:textId="77777777" w:rsidR="00147C8B" w:rsidRDefault="00147C8B" w:rsidP="00E77731">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Armenian">
    <w:panose1 w:val="02020603050405020304"/>
    <w:charset w:val="00"/>
    <w:family w:val="roman"/>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MS Mincho">
    <w:altName w:val="Yu Gothic UI"/>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icrosoft YaHei">
    <w:panose1 w:val="020B0503020204020204"/>
    <w:charset w:val="86"/>
    <w:family w:val="swiss"/>
    <w:pitch w:val="variable"/>
    <w:sig w:usb0="80000287" w:usb1="2ACF3C50" w:usb2="00000016" w:usb3="00000000" w:csb0="0004001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icrosoft JhengHei">
    <w:panose1 w:val="020B0604030504040204"/>
    <w:charset w:val="88"/>
    <w:family w:val="swiss"/>
    <w:pitch w:val="variable"/>
    <w:sig w:usb0="000002A7" w:usb1="28CF4400" w:usb2="00000016" w:usb3="00000000" w:csb0="00100009"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color w:val="BFBFBF" w:themeColor="background1" w:themeShade="BF"/>
        <w:sz w:val="18"/>
        <w:szCs w:val="18"/>
      </w:rPr>
      <w:id w:val="-12379299"/>
      <w:docPartObj>
        <w:docPartGallery w:val="Page Numbers (Bottom of Page)"/>
        <w:docPartUnique/>
      </w:docPartObj>
    </w:sdtPr>
    <w:sdtEndPr>
      <w:rPr>
        <w:noProof/>
        <w:color w:val="A6A6A6" w:themeColor="background1" w:themeShade="A6"/>
      </w:rPr>
    </w:sdtEndPr>
    <w:sdtContent>
      <w:p w14:paraId="249618E6" w14:textId="4F3590E7" w:rsidR="00147C8B" w:rsidRPr="00B65B76" w:rsidRDefault="00147C8B" w:rsidP="00950B3D">
        <w:pPr>
          <w:pStyle w:val="Footer"/>
          <w:rPr>
            <w:color w:val="A6A6A6" w:themeColor="background1" w:themeShade="A6"/>
            <w:sz w:val="18"/>
            <w:szCs w:val="18"/>
          </w:rPr>
        </w:pPr>
        <w:r>
          <w:rPr>
            <w:color w:val="A6A6A6" w:themeColor="background1" w:themeShade="A6"/>
            <w:spacing w:val="10"/>
            <w:sz w:val="18"/>
            <w:szCs w:val="18"/>
          </w:rPr>
          <w:t>2026</w:t>
        </w:r>
        <w:r w:rsidRPr="00B65B76">
          <w:rPr>
            <w:color w:val="A6A6A6" w:themeColor="background1" w:themeShade="A6"/>
            <w:spacing w:val="10"/>
            <w:sz w:val="18"/>
            <w:szCs w:val="18"/>
          </w:rPr>
          <w:t xml:space="preserve"> ԹՎԱԿԱՆԻ ԲՅՈՒՋԵՏԱՅԻՆ</w:t>
        </w:r>
        <w:r w:rsidRPr="00B65B76">
          <w:rPr>
            <w:color w:val="A6A6A6" w:themeColor="background1" w:themeShade="A6"/>
            <w:spacing w:val="10"/>
            <w:sz w:val="18"/>
            <w:szCs w:val="18"/>
            <w:lang w:val="hy-AM"/>
          </w:rPr>
          <w:t xml:space="preserve"> </w:t>
        </w:r>
        <w:r w:rsidRPr="00B65B76">
          <w:rPr>
            <w:color w:val="A6A6A6" w:themeColor="background1" w:themeShade="A6"/>
            <w:spacing w:val="10"/>
            <w:sz w:val="18"/>
            <w:szCs w:val="18"/>
          </w:rPr>
          <w:t>ՈՒՂԵՐՁ</w:t>
        </w:r>
        <w:r w:rsidRPr="00B65B76">
          <w:rPr>
            <w:color w:val="A6A6A6" w:themeColor="background1" w:themeShade="A6"/>
            <w:spacing w:val="10"/>
            <w:sz w:val="18"/>
            <w:szCs w:val="18"/>
            <w:lang w:val="ru-RU"/>
          </w:rPr>
          <w:t xml:space="preserve"> </w:t>
        </w:r>
        <w:r w:rsidRPr="00B65B76">
          <w:rPr>
            <w:color w:val="A6A6A6" w:themeColor="background1" w:themeShade="A6"/>
            <w:spacing w:val="10"/>
            <w:sz w:val="18"/>
            <w:szCs w:val="18"/>
          </w:rPr>
          <w:t xml:space="preserve">| </w:t>
        </w:r>
        <w:r w:rsidRPr="00B65B76">
          <w:rPr>
            <w:color w:val="A6A6A6" w:themeColor="background1" w:themeShade="A6"/>
            <w:spacing w:val="10"/>
            <w:sz w:val="18"/>
            <w:szCs w:val="18"/>
            <w:lang w:val="hy-AM"/>
          </w:rPr>
          <w:t>ՀՀ ԿԱՌԱՎԱՐՈՒԹՅՈՒՆ</w:t>
        </w:r>
        <w:r w:rsidRPr="00B65B76">
          <w:rPr>
            <w:color w:val="A6A6A6" w:themeColor="background1" w:themeShade="A6"/>
            <w:sz w:val="18"/>
            <w:szCs w:val="18"/>
          </w:rPr>
          <w:t xml:space="preserve"> </w:t>
        </w:r>
        <w:r w:rsidRPr="00B65B76">
          <w:rPr>
            <w:color w:val="A6A6A6" w:themeColor="background1" w:themeShade="A6"/>
            <w:sz w:val="18"/>
            <w:szCs w:val="18"/>
            <w:lang w:val="hy-AM"/>
          </w:rPr>
          <w:t xml:space="preserve">     </w:t>
        </w:r>
        <w:r w:rsidRPr="00B65B76">
          <w:rPr>
            <w:color w:val="A6A6A6" w:themeColor="background1" w:themeShade="A6"/>
            <w:sz w:val="18"/>
            <w:szCs w:val="18"/>
          </w:rPr>
          <w:t xml:space="preserve">  </w:t>
        </w:r>
        <w:r w:rsidRPr="00B65B76">
          <w:rPr>
            <w:color w:val="A6A6A6" w:themeColor="background1" w:themeShade="A6"/>
            <w:sz w:val="18"/>
            <w:szCs w:val="18"/>
            <w:lang w:val="hy-AM"/>
          </w:rPr>
          <w:t xml:space="preserve">                                      </w:t>
        </w:r>
        <w:r w:rsidRPr="00B65B76">
          <w:rPr>
            <w:color w:val="A6A6A6" w:themeColor="background1" w:themeShade="A6"/>
            <w:sz w:val="18"/>
            <w:szCs w:val="18"/>
          </w:rPr>
          <w:t xml:space="preserve">       </w:t>
        </w:r>
        <w:r w:rsidRPr="00B65B76">
          <w:rPr>
            <w:color w:val="A6A6A6" w:themeColor="background1" w:themeShade="A6"/>
            <w:sz w:val="18"/>
            <w:szCs w:val="18"/>
          </w:rPr>
          <w:fldChar w:fldCharType="begin"/>
        </w:r>
        <w:r w:rsidRPr="00B65B76">
          <w:rPr>
            <w:color w:val="A6A6A6" w:themeColor="background1" w:themeShade="A6"/>
            <w:sz w:val="18"/>
            <w:szCs w:val="18"/>
          </w:rPr>
          <w:instrText xml:space="preserve"> PAGE   \* MERGEFORMAT </w:instrText>
        </w:r>
        <w:r w:rsidRPr="00B65B76">
          <w:rPr>
            <w:color w:val="A6A6A6" w:themeColor="background1" w:themeShade="A6"/>
            <w:sz w:val="18"/>
            <w:szCs w:val="18"/>
          </w:rPr>
          <w:fldChar w:fldCharType="separate"/>
        </w:r>
        <w:r w:rsidR="0017075C">
          <w:rPr>
            <w:noProof/>
            <w:color w:val="A6A6A6" w:themeColor="background1" w:themeShade="A6"/>
            <w:sz w:val="18"/>
            <w:szCs w:val="18"/>
          </w:rPr>
          <w:t>102</w:t>
        </w:r>
        <w:r w:rsidRPr="00B65B76">
          <w:rPr>
            <w:noProof/>
            <w:color w:val="A6A6A6" w:themeColor="background1" w:themeShade="A6"/>
            <w:sz w:val="18"/>
            <w:szCs w:val="18"/>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7223F5" w14:textId="77777777" w:rsidR="00147C8B" w:rsidRPr="005C168A" w:rsidRDefault="00147C8B" w:rsidP="00E77731">
      <w:pPr>
        <w:spacing w:before="0" w:after="0" w:line="240" w:lineRule="auto"/>
        <w:rPr>
          <w:color w:val="C3C3C7" w:themeColor="accent3" w:themeTint="66"/>
        </w:rPr>
      </w:pPr>
      <w:r w:rsidRPr="005C168A">
        <w:rPr>
          <w:color w:val="C3C3C7" w:themeColor="accent3" w:themeTint="66"/>
        </w:rPr>
        <w:separator/>
      </w:r>
    </w:p>
  </w:footnote>
  <w:footnote w:type="continuationSeparator" w:id="0">
    <w:p w14:paraId="197BB5B6" w14:textId="77777777" w:rsidR="00147C8B" w:rsidRDefault="00147C8B" w:rsidP="00E77731">
      <w:pPr>
        <w:spacing w:before="0" w:after="0" w:line="240" w:lineRule="auto"/>
      </w:pPr>
      <w:r>
        <w:continuationSeparator/>
      </w:r>
    </w:p>
  </w:footnote>
  <w:footnote w:id="1">
    <w:p w14:paraId="7A6B9C65" w14:textId="77777777" w:rsidR="00147C8B" w:rsidRPr="00D42838" w:rsidRDefault="00147C8B" w:rsidP="00FE3BE4">
      <w:pPr>
        <w:pStyle w:val="Footnote"/>
        <w:ind w:right="1916"/>
        <w:jc w:val="both"/>
      </w:pPr>
      <w:r w:rsidRPr="00D42838">
        <w:rPr>
          <w:vertAlign w:val="superscript"/>
        </w:rPr>
        <w:footnoteRef/>
      </w:r>
      <w:r w:rsidRPr="00D42838">
        <w:rPr>
          <w:vertAlign w:val="superscript"/>
        </w:rPr>
        <w:t xml:space="preserve"> </w:t>
      </w:r>
      <w:r w:rsidRPr="00D42838">
        <w:t>Կապիտալ ներդրումներում ներառված չէ պաշարների փոփոխությունը, ներկայացված են միայն հիմնական միջոցներում կատարված կապիտալ ներդրումները, քանի որ 2019թ.-ից ՀՀ ՎԿ կողմից պաշարների փոփոխությունը հաշվառվում է որպես հաշվեկշռող գործոն կամ այլ կերպ՝ դրա մեջ ներառվում են նաև վիճակագրական սխալները:</w:t>
      </w:r>
    </w:p>
  </w:footnote>
  <w:footnote w:id="2">
    <w:p w14:paraId="0D5BC382" w14:textId="77777777" w:rsidR="00147C8B" w:rsidRPr="00D340DD" w:rsidRDefault="00147C8B" w:rsidP="00FE3BE4">
      <w:pPr>
        <w:pStyle w:val="FootnoteText"/>
        <w:jc w:val="both"/>
        <w:rPr>
          <w:rFonts w:ascii="GHEA Grapalat" w:hAnsi="GHEA Grapalat"/>
          <w:sz w:val="18"/>
          <w:szCs w:val="18"/>
          <w:lang w:val="hy-AM"/>
        </w:rPr>
      </w:pPr>
      <w:r w:rsidRPr="00836728">
        <w:rPr>
          <w:rStyle w:val="FootnoteReference"/>
          <w:rFonts w:ascii="GHEA Grapalat" w:hAnsi="GHEA Grapalat"/>
          <w:sz w:val="18"/>
          <w:szCs w:val="18"/>
        </w:rPr>
        <w:footnoteRef/>
      </w:r>
      <w:r w:rsidRPr="00D340DD">
        <w:rPr>
          <w:rFonts w:ascii="GHEA Grapalat" w:hAnsi="GHEA Grapalat"/>
          <w:sz w:val="18"/>
          <w:szCs w:val="18"/>
          <w:lang w:val="hy-AM"/>
        </w:rPr>
        <w:t xml:space="preserve"> Աղբյուրը՝ Տնտեսական վերլուծությունների բյուրո, </w:t>
      </w:r>
      <w:hyperlink r:id="rId1" w:history="1">
        <w:r w:rsidRPr="00D340DD">
          <w:rPr>
            <w:rStyle w:val="Hyperlink"/>
            <w:sz w:val="18"/>
            <w:szCs w:val="18"/>
            <w:lang w:val="hy-AM"/>
          </w:rPr>
          <w:t>https://www.bea.gov/</w:t>
        </w:r>
      </w:hyperlink>
      <w:r w:rsidRPr="00D340DD">
        <w:rPr>
          <w:rFonts w:ascii="GHEA Grapalat" w:hAnsi="GHEA Grapalat"/>
          <w:sz w:val="18"/>
          <w:szCs w:val="18"/>
          <w:lang w:val="hy-AM"/>
        </w:rPr>
        <w:t xml:space="preserve"> </w:t>
      </w:r>
    </w:p>
  </w:footnote>
  <w:footnote w:id="3">
    <w:p w14:paraId="14680C99" w14:textId="77777777" w:rsidR="00147C8B" w:rsidRPr="00D340DD" w:rsidRDefault="00147C8B" w:rsidP="00FE3BE4">
      <w:pPr>
        <w:pStyle w:val="FootnoteText"/>
        <w:jc w:val="both"/>
        <w:rPr>
          <w:rFonts w:ascii="GHEA Grapalat" w:hAnsi="GHEA Grapalat"/>
          <w:sz w:val="18"/>
          <w:szCs w:val="18"/>
          <w:lang w:val="hy-AM"/>
        </w:rPr>
      </w:pPr>
      <w:r w:rsidRPr="00836728">
        <w:rPr>
          <w:rStyle w:val="FootnoteReference"/>
          <w:rFonts w:ascii="GHEA Grapalat" w:hAnsi="GHEA Grapalat"/>
          <w:sz w:val="18"/>
          <w:szCs w:val="18"/>
        </w:rPr>
        <w:footnoteRef/>
      </w:r>
      <w:r w:rsidRPr="00D340DD">
        <w:rPr>
          <w:rFonts w:ascii="GHEA Grapalat" w:hAnsi="GHEA Grapalat"/>
          <w:sz w:val="18"/>
          <w:szCs w:val="18"/>
          <w:lang w:val="hy-AM"/>
        </w:rPr>
        <w:t xml:space="preserve"> Աղբյուրը՝ Եվրոստատ, </w:t>
      </w:r>
      <w:hyperlink r:id="rId2" w:history="1">
        <w:r w:rsidRPr="00D340DD">
          <w:rPr>
            <w:rStyle w:val="Hyperlink"/>
            <w:sz w:val="18"/>
            <w:szCs w:val="18"/>
            <w:lang w:val="hy-AM"/>
          </w:rPr>
          <w:t>https://ec.europa.eu/eurostat/</w:t>
        </w:r>
      </w:hyperlink>
      <w:r w:rsidRPr="00D340DD">
        <w:rPr>
          <w:rFonts w:ascii="GHEA Grapalat" w:hAnsi="GHEA Grapalat"/>
          <w:sz w:val="18"/>
          <w:szCs w:val="18"/>
          <w:lang w:val="hy-AM"/>
        </w:rPr>
        <w:t xml:space="preserve"> </w:t>
      </w:r>
    </w:p>
  </w:footnote>
  <w:footnote w:id="4">
    <w:p w14:paraId="76B81029" w14:textId="77777777" w:rsidR="00147C8B" w:rsidRPr="00D340DD" w:rsidRDefault="00147C8B" w:rsidP="00FE3BE4">
      <w:pPr>
        <w:pStyle w:val="FootnoteText"/>
        <w:rPr>
          <w:rFonts w:ascii="GHEA Grapalat" w:hAnsi="GHEA Grapalat"/>
          <w:sz w:val="18"/>
          <w:szCs w:val="18"/>
          <w:lang w:val="hy-AM"/>
        </w:rPr>
      </w:pPr>
      <w:r w:rsidRPr="00836728">
        <w:rPr>
          <w:rStyle w:val="FootnoteReference"/>
          <w:rFonts w:ascii="GHEA Grapalat" w:hAnsi="GHEA Grapalat"/>
          <w:sz w:val="18"/>
          <w:szCs w:val="18"/>
        </w:rPr>
        <w:footnoteRef/>
      </w:r>
      <w:r w:rsidRPr="00D340DD">
        <w:rPr>
          <w:rFonts w:ascii="GHEA Grapalat" w:hAnsi="GHEA Grapalat"/>
          <w:sz w:val="18"/>
          <w:szCs w:val="18"/>
          <w:lang w:val="hy-AM"/>
        </w:rPr>
        <w:t xml:space="preserve"> Աղբյուրը՝ ՌԴ տնտեսական զարգացման նախարարություն, </w:t>
      </w:r>
      <w:hyperlink r:id="rId3" w:history="1">
        <w:r w:rsidRPr="00D340DD">
          <w:rPr>
            <w:rStyle w:val="Hyperlink"/>
            <w:sz w:val="18"/>
            <w:szCs w:val="18"/>
            <w:lang w:val="hy-AM"/>
          </w:rPr>
          <w:t>https://economy.gov.ru/</w:t>
        </w:r>
      </w:hyperlink>
    </w:p>
  </w:footnote>
  <w:footnote w:id="5">
    <w:p w14:paraId="0E50F925" w14:textId="77777777" w:rsidR="00147C8B" w:rsidRPr="00E77731" w:rsidRDefault="00147C8B" w:rsidP="00FE3BE4">
      <w:pPr>
        <w:pStyle w:val="Footnote"/>
        <w:ind w:right="1826"/>
      </w:pPr>
      <w:r w:rsidRPr="00FB6E4A">
        <w:rPr>
          <w:vertAlign w:val="superscript"/>
        </w:rPr>
        <w:footnoteRef/>
      </w:r>
      <w:r w:rsidRPr="00FB6E4A">
        <w:rPr>
          <w:vertAlign w:val="superscript"/>
        </w:rPr>
        <w:t xml:space="preserve"> </w:t>
      </w:r>
      <w:r w:rsidRPr="00E77731">
        <w:t>ԱՄՆ համար դիտարկվել է դաշնային ֆոնդերի արդյունավետ տոկոսադրույքը, ԵԳ՝ հիմնական վերաֆինանսավորման տոկոսադրույքը, Չինաստան՝ վարկավորման մեկ տարվա տոկոսադրույք (one-year loan prime rate), ՌԴ՝ հիմնական տոկոսադրույքը:</w:t>
      </w:r>
    </w:p>
  </w:footnote>
  <w:footnote w:id="6">
    <w:p w14:paraId="5372CAD8" w14:textId="77777777" w:rsidR="00147C8B" w:rsidRPr="00390185" w:rsidRDefault="00147C8B" w:rsidP="00FE3BE4">
      <w:pPr>
        <w:pStyle w:val="Footnote"/>
        <w:ind w:right="1826"/>
      </w:pPr>
      <w:r w:rsidRPr="00390185">
        <w:rPr>
          <w:vertAlign w:val="superscript"/>
        </w:rPr>
        <w:footnoteRef/>
      </w:r>
      <w:r w:rsidRPr="00390185">
        <w:t xml:space="preserve"> Դոլարի ինդեքսը հաշվարկվում է որպես կշռված երկրաչափական միջին՝ հետևյալ արժույթների նկատմամբ. Եվրո, Ճապոնական յեն, Բրիտանական ֆունտ, Կանադական դոլար, Շվեդական կրոն, Շվեյցարական ֆրանկ։</w:t>
      </w:r>
    </w:p>
  </w:footnote>
  <w:footnote w:id="7">
    <w:p w14:paraId="75DCA877" w14:textId="77777777" w:rsidR="00147C8B" w:rsidRPr="00E77731" w:rsidRDefault="00147C8B" w:rsidP="00FE3BE4">
      <w:pPr>
        <w:pStyle w:val="Footnote"/>
        <w:ind w:right="1826"/>
      </w:pPr>
      <w:r w:rsidRPr="00390185">
        <w:rPr>
          <w:vertAlign w:val="superscript"/>
        </w:rPr>
        <w:footnoteRef/>
      </w:r>
      <w:r w:rsidRPr="00390185">
        <w:t xml:space="preserve"> Երկրի ռիսկի հավելավճարները հաշվարկված են որպես տվյալ երկրի եվրոպարտատոմսերի (դոլարային արժույթով) և ԱՄՆ համապատասխան ժամկետայնությամբ գանձապետական պարտատոմսերի եկամտաբերությունների տարբերություն (պարտատոմսերի մարման ժամկետները նշված են երկրների անվանումների կողքը՝ փակագծերում):</w:t>
      </w:r>
      <w:r w:rsidRPr="00E77731">
        <w:t xml:space="preserve"> </w:t>
      </w:r>
    </w:p>
  </w:footnote>
  <w:footnote w:id="8">
    <w:p w14:paraId="2D37E1EE" w14:textId="77777777" w:rsidR="00147C8B" w:rsidRPr="00E77731" w:rsidRDefault="00147C8B" w:rsidP="00FE3BE4">
      <w:pPr>
        <w:pStyle w:val="Footnote"/>
        <w:ind w:right="-64"/>
        <w:rPr>
          <w:highlight w:val="yellow"/>
        </w:rPr>
      </w:pPr>
      <w:r w:rsidRPr="00F213C1">
        <w:rPr>
          <w:vertAlign w:val="superscript"/>
        </w:rPr>
        <w:footnoteRef/>
      </w:r>
      <w:r w:rsidRPr="00E77731">
        <w:t xml:space="preserve">ՏԱՑ-ի աճին ճյուղերի նպաստումները ՀՀ ֆինանսների նախարարության գնահատականներն են: Գյուղատնտեսության ցուցանիշը ոչ բոլոր տեղերում է ներառված հաշվարկներում, քանի որ </w:t>
      </w:r>
      <w:r>
        <w:t>հ</w:t>
      </w:r>
      <w:r w:rsidRPr="00E77731">
        <w:t>րապարակվում է եռամսյակային պարբերականությամբ:</w:t>
      </w:r>
    </w:p>
  </w:footnote>
  <w:footnote w:id="9">
    <w:p w14:paraId="53E3354F" w14:textId="77777777" w:rsidR="00147C8B" w:rsidRPr="00E77731" w:rsidRDefault="00147C8B" w:rsidP="00FE3BE4">
      <w:pPr>
        <w:pStyle w:val="Footnote"/>
        <w:ind w:right="-64"/>
      </w:pPr>
      <w:r w:rsidRPr="00F05775">
        <w:rPr>
          <w:vertAlign w:val="superscript"/>
        </w:rPr>
        <w:footnoteRef/>
      </w:r>
      <w:r w:rsidRPr="00E77731">
        <w:t>ՏԱՑ-ի նպաստումների «այլ» բաղադրիչի մեջ ներառված են գյուղատնտեսության (բացառությամբ՝ հունվար-մարտի և հունվար-հունիսի) և ոչ շուկայական ծառայությունների նպաստումները:</w:t>
      </w:r>
    </w:p>
  </w:footnote>
  <w:footnote w:id="10">
    <w:p w14:paraId="4E810D56" w14:textId="77777777" w:rsidR="00147C8B" w:rsidRPr="00E77731" w:rsidRDefault="00147C8B" w:rsidP="00FE3BE4">
      <w:pPr>
        <w:pStyle w:val="Footnote"/>
        <w:ind w:right="-64"/>
      </w:pPr>
      <w:r w:rsidRPr="00F05775">
        <w:rPr>
          <w:vertAlign w:val="superscript"/>
        </w:rPr>
        <w:footnoteRef/>
      </w:r>
      <w:r>
        <w:t xml:space="preserve">«Այլ»-ի մեջ ներառված են </w:t>
      </w:r>
      <w:r w:rsidRPr="00025122">
        <w:t>նաև գյուղանտեսության նպաստումները</w:t>
      </w:r>
      <w:r>
        <w:t>:</w:t>
      </w:r>
    </w:p>
  </w:footnote>
  <w:footnote w:id="11">
    <w:p w14:paraId="47E97CD3" w14:textId="77777777" w:rsidR="00147C8B" w:rsidRPr="00632AE7" w:rsidRDefault="00147C8B" w:rsidP="00FE3BE4">
      <w:pPr>
        <w:pStyle w:val="a1"/>
        <w:ind w:firstLine="0"/>
        <w:rPr>
          <w:sz w:val="18"/>
          <w:szCs w:val="18"/>
        </w:rPr>
      </w:pPr>
      <w:r w:rsidRPr="00632AE7">
        <w:rPr>
          <w:rStyle w:val="FootnoteReference"/>
          <w:rFonts w:eastAsiaTheme="minorEastAsia"/>
          <w:sz w:val="18"/>
          <w:szCs w:val="18"/>
        </w:rPr>
        <w:footnoteRef/>
      </w:r>
      <w:r w:rsidRPr="00632AE7">
        <w:rPr>
          <w:sz w:val="18"/>
          <w:szCs w:val="18"/>
        </w:rPr>
        <w:t xml:space="preserve">2020թ. սկսած </w:t>
      </w:r>
      <w:r w:rsidRPr="00435C1F">
        <w:rPr>
          <w:sz w:val="18"/>
          <w:szCs w:val="18"/>
        </w:rPr>
        <w:t xml:space="preserve">աշխատանքի շուկայի ցուցանիշները </w:t>
      </w:r>
      <w:r w:rsidRPr="00632AE7">
        <w:rPr>
          <w:sz w:val="18"/>
          <w:szCs w:val="18"/>
        </w:rPr>
        <w:t xml:space="preserve">հաշվարկվում են՝ հիմք ընդունելով մշտական բնակչության </w:t>
      </w:r>
      <w:r w:rsidRPr="00435C1F">
        <w:rPr>
          <w:sz w:val="18"/>
          <w:szCs w:val="18"/>
        </w:rPr>
        <w:t xml:space="preserve">թվաքանակը </w:t>
      </w:r>
      <w:r w:rsidRPr="00632AE7">
        <w:rPr>
          <w:sz w:val="18"/>
          <w:szCs w:val="18"/>
        </w:rPr>
        <w:t>(ներառում է նաև մինչև 12 ամիս ժամկետով ՀՀ-ից դուրս գտնվող զբաղվածներին և գործազուրկներին)</w:t>
      </w:r>
      <w:r w:rsidRPr="00435C1F">
        <w:rPr>
          <w:sz w:val="18"/>
          <w:szCs w:val="18"/>
        </w:rPr>
        <w:t>՝</w:t>
      </w:r>
      <w:r w:rsidRPr="00632AE7">
        <w:rPr>
          <w:sz w:val="18"/>
          <w:szCs w:val="18"/>
        </w:rPr>
        <w:t xml:space="preserve"> ներկայացն</w:t>
      </w:r>
      <w:r w:rsidRPr="00435C1F">
        <w:rPr>
          <w:sz w:val="18"/>
          <w:szCs w:val="18"/>
        </w:rPr>
        <w:t>ելով</w:t>
      </w:r>
      <w:r w:rsidRPr="00632AE7">
        <w:rPr>
          <w:sz w:val="18"/>
          <w:szCs w:val="18"/>
        </w:rPr>
        <w:t xml:space="preserve"> ազգային զբաղվածությունը և գործազրկությունը:</w:t>
      </w:r>
    </w:p>
  </w:footnote>
  <w:footnote w:id="12">
    <w:p w14:paraId="636689A9" w14:textId="77777777" w:rsidR="00147C8B" w:rsidRPr="00CF2B70" w:rsidRDefault="00147C8B" w:rsidP="00FE3BE4">
      <w:pPr>
        <w:pStyle w:val="FootnoteText"/>
        <w:rPr>
          <w:lang w:val="hy-AM"/>
        </w:rPr>
      </w:pPr>
      <w:r>
        <w:rPr>
          <w:rStyle w:val="FootnoteReference"/>
        </w:rPr>
        <w:footnoteRef/>
      </w:r>
      <w:r w:rsidRPr="00CF2B70">
        <w:rPr>
          <w:lang w:val="hy-AM"/>
        </w:rPr>
        <w:t xml:space="preserve"> </w:t>
      </w:r>
      <w:r w:rsidRPr="00CF2B70">
        <w:rPr>
          <w:sz w:val="16"/>
          <w:szCs w:val="16"/>
          <w:lang w:val="hy-AM"/>
        </w:rPr>
        <w:t>Աղբյուրը՝ ՀՀ Զբոսաշրջության կոմիտե:</w:t>
      </w:r>
    </w:p>
  </w:footnote>
  <w:footnote w:id="13">
    <w:p w14:paraId="6FBBFE85" w14:textId="77777777" w:rsidR="00147C8B" w:rsidRPr="00E77731" w:rsidRDefault="00147C8B" w:rsidP="00FE3BE4">
      <w:pPr>
        <w:pStyle w:val="Footnote"/>
        <w:ind w:right="1826"/>
      </w:pPr>
      <w:r w:rsidRPr="007F49F0">
        <w:rPr>
          <w:vertAlign w:val="superscript"/>
        </w:rPr>
        <w:footnoteRef/>
      </w:r>
      <w:r w:rsidRPr="00E77731">
        <w:t xml:space="preserve"> </w:t>
      </w:r>
      <w:r w:rsidRPr="006325B3">
        <w:t>https://old.cba.am/AM/pperiodicals/MPR_2025Q2_arm.pdf</w:t>
      </w:r>
    </w:p>
  </w:footnote>
  <w:footnote w:id="14">
    <w:p w14:paraId="1D22C3B1" w14:textId="77777777" w:rsidR="00147C8B" w:rsidRPr="00E77731" w:rsidRDefault="00147C8B" w:rsidP="003625D6">
      <w:pPr>
        <w:pStyle w:val="Footnote"/>
        <w:ind w:right="26"/>
        <w:jc w:val="both"/>
      </w:pPr>
      <w:r w:rsidRPr="00850F7C">
        <w:rPr>
          <w:vertAlign w:val="superscript"/>
        </w:rPr>
        <w:footnoteRef/>
      </w:r>
      <w:r w:rsidRPr="00850F7C">
        <w:rPr>
          <w:vertAlign w:val="superscript"/>
        </w:rPr>
        <w:t xml:space="preserve"> </w:t>
      </w:r>
      <w:r w:rsidRPr="00E77731">
        <w:t>ՀՀ ֆինանսների նախարարության Արարատ հարկաբյուջետային ռազմավարության դինամիկ ստոխաստիկ ընդհանուր հավասարակշռության մոդելը մշակվել է 2018-2020 թվականների ընթացքում՝ ԱՄՀ կողմից տրամադրված տեխնիկական աջակցության շրջանակներում: Առավել մանրամասն տե՛ս ՀՀ կառավարության 2021 թվականի բյուջետային ուղերձ, Երևան 2020, էջ՝ 84, ներդիր 2: Մոդելը և կիրառությունները նկարագրող ամբողջական աշխատանքային փաստաթուղթը տե՛ս հետևյալ հղմամբ՝ https://www.imf.org/en/Publications/WP/Issues/2022/06/10/The-Ararat-Fiscal-Strategy-Model-A-Structural-Framework-for-Fi</w:t>
      </w:r>
      <w:r>
        <w:t>scal-Policy-Analysis-in-519522:</w:t>
      </w:r>
    </w:p>
  </w:footnote>
  <w:footnote w:id="15">
    <w:p w14:paraId="59BA180B" w14:textId="77777777" w:rsidR="00147C8B" w:rsidRPr="00C3014C" w:rsidRDefault="00147C8B" w:rsidP="00FE3BE4">
      <w:pPr>
        <w:pStyle w:val="Footnote"/>
        <w:ind w:right="1826"/>
      </w:pPr>
      <w:r w:rsidRPr="00412C8B">
        <w:rPr>
          <w:vertAlign w:val="superscript"/>
        </w:rPr>
        <w:footnoteRef/>
      </w:r>
      <w:r w:rsidRPr="00C3014C">
        <w:t xml:space="preserve"> (տե՛ս IMF (2019). WEO October 2019, Chapter 3: Reigniting Growth in Emerging Market and Low-Income Economies: What Role for Structural Reforms? </w:t>
      </w:r>
      <w:hyperlink r:id="rId4" w:history="1">
        <w:r w:rsidRPr="00832DA9">
          <w:rPr>
            <w:rStyle w:val="Hyperlink"/>
          </w:rPr>
          <w:t>https://www.imf.org/en/Publications/WEO/Issues/2019/10/01/world-economic-outlook-october-2019</w:t>
        </w:r>
      </w:hyperlink>
      <w:r>
        <w:t xml:space="preserve"> </w:t>
      </w:r>
    </w:p>
  </w:footnote>
  <w:footnote w:id="16">
    <w:p w14:paraId="5339476B" w14:textId="77777777" w:rsidR="00147C8B" w:rsidRPr="00412C8B" w:rsidRDefault="00147C8B" w:rsidP="008D4E1E">
      <w:pPr>
        <w:pStyle w:val="Footnote"/>
        <w:tabs>
          <w:tab w:val="left" w:pos="7920"/>
        </w:tabs>
        <w:ind w:right="1826"/>
        <w:jc w:val="both"/>
      </w:pPr>
      <w:r w:rsidRPr="006042C4">
        <w:rPr>
          <w:vertAlign w:val="superscript"/>
        </w:rPr>
        <w:footnoteRef/>
      </w:r>
      <w:r w:rsidRPr="00412C8B">
        <w:t xml:space="preserve"> Աղյուսակի 1-ին սյունը իրենից ներկայացնում է տնտեսական աճի հնարավոր միջա</w:t>
      </w:r>
      <w:r w:rsidRPr="00412C8B">
        <w:softHyphen/>
        <w:t>կայքերը, իսկ 2-ից 5-րդ սյուները` համապատասխան միջակայքերում միջնաժամկետում տնտեսական աճի գտնվելու հավանականությունները։ Աղյուսակում ներկայացվել են տնտեսական աճի ամենահավանական միջակայքերը, որոնք միասին ծածկում են բաշխման ընդհանուր հավանականության շուրջ</w:t>
      </w:r>
      <w:r>
        <w:t xml:space="preserve"> </w:t>
      </w:r>
      <w:r w:rsidRPr="006934A1">
        <w:t>76</w:t>
      </w:r>
      <w:r w:rsidRPr="00412C8B">
        <w:t xml:space="preserve">%-ը, այսինքն` հավանականությունը, որ տնտեսական աճը կգտնվի 2.0%-ից </w:t>
      </w:r>
      <w:r w:rsidRPr="006934A1">
        <w:t>8</w:t>
      </w:r>
      <w:r w:rsidRPr="005257FC">
        <w:t>.</w:t>
      </w:r>
      <w:r w:rsidRPr="00C64C06">
        <w:t>0</w:t>
      </w:r>
      <w:r w:rsidRPr="00412C8B">
        <w:t xml:space="preserve">% միջակայքում, կազմում է մոտ </w:t>
      </w:r>
      <w:r w:rsidRPr="00C64C06">
        <w:t>76</w:t>
      </w:r>
      <w:r w:rsidRPr="00412C8B">
        <w:t>%:</w:t>
      </w:r>
    </w:p>
  </w:footnote>
  <w:footnote w:id="17">
    <w:p w14:paraId="7BD8FA25" w14:textId="77777777" w:rsidR="00147C8B" w:rsidRPr="008B0AC8" w:rsidRDefault="00147C8B" w:rsidP="00CB39D1">
      <w:pPr>
        <w:pStyle w:val="Footnote"/>
        <w:ind w:right="1826"/>
        <w:jc w:val="both"/>
      </w:pPr>
      <w:r w:rsidRPr="00B845A5">
        <w:rPr>
          <w:vertAlign w:val="superscript"/>
        </w:rPr>
        <w:footnoteRef/>
      </w:r>
      <w:r w:rsidRPr="008B0AC8">
        <w:t xml:space="preserve">Առանձին հարկատեսակների գծով ներկայացված են ուղենշային կանխատեսումները (հիմնված մակրոտնտեսական ցուցանիշների կանխատեսումների վրա), որոնք պլանային ցուցանիշներ չեն հանդիսանում: </w:t>
      </w:r>
    </w:p>
    <w:p w14:paraId="4E0153C1" w14:textId="77777777" w:rsidR="00147C8B" w:rsidRPr="008B0AC8" w:rsidRDefault="00147C8B" w:rsidP="00CB39D1">
      <w:pPr>
        <w:rPr>
          <w:lang w:val="hy-AM"/>
        </w:rPr>
      </w:pPr>
    </w:p>
  </w:footnote>
  <w:footnote w:id="18">
    <w:p w14:paraId="23F6E5C3" w14:textId="77777777" w:rsidR="00147C8B" w:rsidRPr="003E7987" w:rsidRDefault="00147C8B" w:rsidP="00CB39D1">
      <w:pPr>
        <w:pStyle w:val="Footnote"/>
        <w:ind w:right="1826"/>
      </w:pPr>
      <w:r w:rsidRPr="003E7987">
        <w:rPr>
          <w:vertAlign w:val="superscript"/>
        </w:rPr>
        <w:footnoteRef/>
      </w:r>
      <w:r w:rsidRPr="003E7987">
        <w:t xml:space="preserve"> Հարկաբյուջետային ազդակի հաշվարկներում օգտագործված եկամուտների և ծախսերի ցուցանիշներում կատարվել են անհրաժեշտ ճշգրտումներ՝ արտացոլելու կառավարության կողմից իրականացված այն բոլոր գործառնությունները, որոնք չեն ներառվել ծախսերում, սակայն կարող են ազդեցություն ունեցած լինել ամբողջական պահանջարկի վրա, կամ հակառակը։  </w:t>
      </w:r>
    </w:p>
  </w:footnote>
  <w:footnote w:id="19">
    <w:p w14:paraId="51D92ABA" w14:textId="77777777" w:rsidR="00147C8B" w:rsidRPr="003E7987" w:rsidRDefault="00147C8B" w:rsidP="00CB39D1">
      <w:pPr>
        <w:pStyle w:val="Footnote"/>
        <w:tabs>
          <w:tab w:val="left" w:pos="7920"/>
        </w:tabs>
        <w:ind w:right="1826"/>
        <w:jc w:val="both"/>
      </w:pPr>
      <w:r w:rsidRPr="003E7987">
        <w:rPr>
          <w:vertAlign w:val="superscript"/>
        </w:rPr>
        <w:footnoteRef/>
      </w:r>
      <w:r w:rsidRPr="003E7987">
        <w:t xml:space="preserve"> ՀՀ կառավարության պարտքի բեռի փոփոխության տրոհումը ըստ գործոնների հաշվարկվել է բաց տնտեսությունում «պարտքի շարժման» բանաձևի օգնությամբ, որտեղ պարտքի փոփոխությունը ֆունկցիա է տնտեսական աճից, բյուջեի առաջնային հաշվեկշռից, փոխարժեքից, իրական տոկոսադրույքից և պարտք առաջացնող այլ հոսքերից (ՀՀ համար՝ զուտ վարկավորում պետական բյուջեից)։ Հաշվարկման ընթացքում այս գործոններով չբացատրված պարտքի փոփոխության չափը արտացոլվում է որպես «մնացորդ», և, կարող է բնութագրել քրոս (արժույթների միմյանց նկատմամբ) փոխարժեքների փոփոխությամբ պայմանավորված վերագնահատման ազդեցությունները։  </w:t>
      </w:r>
    </w:p>
  </w:footnote>
  <w:footnote w:id="20">
    <w:p w14:paraId="134906F4" w14:textId="77777777" w:rsidR="00147C8B" w:rsidRPr="00C3014C" w:rsidRDefault="00147C8B" w:rsidP="0017110A">
      <w:pPr>
        <w:pStyle w:val="Footnote"/>
        <w:ind w:right="1826"/>
        <w:jc w:val="both"/>
      </w:pPr>
      <w:r w:rsidRPr="003E7987">
        <w:rPr>
          <w:vertAlign w:val="superscript"/>
        </w:rPr>
        <w:footnoteRef/>
      </w:r>
      <w:r w:rsidRPr="003E7987">
        <w:t xml:space="preserve"> Այս հատվածում նկարագրված ռիսկերի առավել մանրամասն վերլուծությունը ներկայացված է այս փաստաթղթի ՄԱՍ IV-ի «Պետական բյուջեի վրա մակրոտնտեսական կանխատեսված ցուցանիշներից շեղման ռիսկերի ազդեցության քանակական գնահատում» և «ՀՀ կառավարության պարտքի կայունության վերլուծություն» բաժիններում։ </w:t>
      </w:r>
    </w:p>
  </w:footnote>
  <w:footnote w:id="21">
    <w:p w14:paraId="5650C8AD" w14:textId="77777777" w:rsidR="00147C8B" w:rsidRPr="00C3014C" w:rsidRDefault="00147C8B" w:rsidP="006B15F5">
      <w:pPr>
        <w:pStyle w:val="Footnote"/>
        <w:ind w:right="1826"/>
        <w:jc w:val="both"/>
        <w:rPr>
          <w:lang w:val="af-ZA"/>
        </w:rPr>
      </w:pPr>
      <w:r w:rsidRPr="00C25C64">
        <w:rPr>
          <w:vertAlign w:val="superscript"/>
        </w:rPr>
        <w:footnoteRef/>
      </w:r>
      <w:r w:rsidRPr="00E77731">
        <w:t xml:space="preserve"> </w:t>
      </w:r>
      <w:r w:rsidRPr="004C2207">
        <w:t>Ոչ ֆինանսական ակտիվների գծով 2026</w:t>
      </w:r>
      <w:r w:rsidRPr="00A845F4">
        <w:t>-2028</w:t>
      </w:r>
      <w:r w:rsidRPr="004C2207">
        <w:t>թ</w:t>
      </w:r>
      <w:r>
        <w:t>թ</w:t>
      </w:r>
      <w:r w:rsidRPr="004C2207">
        <w:t xml:space="preserve"> ծախսերում ներառված են նաև ոչ ֆինանսական ակտիվների օտարումից մուտքեր`  10.0 մլրդ դրամ, իսկ ՀՀ 2022-2025թթ. պետական բյուջեով համապատասխանաբար՝ 8.7 մլրդ դրամ, 21.7 մլրդ դրամ, 16.1 մլրդ դրամ և 15.0 մլրդ դրամ:</w:t>
      </w:r>
    </w:p>
    <w:p w14:paraId="742F8802" w14:textId="77777777" w:rsidR="00147C8B" w:rsidRPr="00C3014C" w:rsidRDefault="00147C8B" w:rsidP="006B15F5">
      <w:pPr>
        <w:rPr>
          <w:lang w:val="hy-AM"/>
        </w:rPr>
      </w:pPr>
    </w:p>
  </w:footnote>
  <w:footnote w:id="22">
    <w:p w14:paraId="4C8A8FEB" w14:textId="77777777" w:rsidR="00147C8B" w:rsidRPr="009C22CA" w:rsidRDefault="00147C8B" w:rsidP="00957A78">
      <w:pPr>
        <w:pStyle w:val="Footnote"/>
        <w:ind w:right="1826"/>
      </w:pPr>
      <w:r>
        <w:rPr>
          <w:vertAlign w:val="superscript"/>
        </w:rPr>
        <w:footnoteRef/>
      </w:r>
      <w:r>
        <w:rPr>
          <w:vertAlign w:val="superscript"/>
        </w:rPr>
        <w:t xml:space="preserve"> </w:t>
      </w:r>
      <w:r>
        <w:t xml:space="preserve">Տե՛ս Babajanyan, V., Baksa, D., Fukac, M. M., Hakobyan, E., Harutyunyan, A., Karapetyan, N., ... &amp; Zanna, L. F. (2022). The ararat fiscal strategy model: a structural framework for fiscal policy analysis in Armenia. International Monetary Fund. </w:t>
      </w:r>
      <w:hyperlink r:id="rId5" w:history="1">
        <w:r>
          <w:rPr>
            <w:rStyle w:val="Hyperlink"/>
          </w:rPr>
          <w:t>https://www.imf.org/en/Publications/WP/Issues/2022/06/10/The-Ararat-Fiscal-Strategy-Model-A-Structural-Framework-for-Fiscal-Policy-Analysis-in-519522</w:t>
        </w:r>
      </w:hyperlink>
      <w:r>
        <w:t xml:space="preserve"> </w:t>
      </w:r>
    </w:p>
  </w:footnote>
  <w:footnote w:id="23">
    <w:p w14:paraId="7AC00C86" w14:textId="77777777" w:rsidR="00147C8B" w:rsidRDefault="00147C8B" w:rsidP="00957A78">
      <w:pPr>
        <w:pStyle w:val="Footnote"/>
        <w:ind w:right="1826"/>
        <w:rPr>
          <w:lang w:val="ro-RO"/>
        </w:rPr>
      </w:pPr>
      <w:r>
        <w:rPr>
          <w:vertAlign w:val="superscript"/>
        </w:rPr>
        <w:footnoteRef/>
      </w:r>
      <w:r>
        <w:t>ՀՆԱ, ներմուծման, փոխարժեքի և գների գծով հավանական ռիսկերի քանակային գնահատականը ստացվել է` հիմք ընդունելով այս գործոնների պատմական շարժի բացարձակ միջին սխալը:</w:t>
      </w:r>
    </w:p>
  </w:footnote>
  <w:footnote w:id="24">
    <w:p w14:paraId="34AD6EEF" w14:textId="77777777" w:rsidR="00147C8B" w:rsidRDefault="00147C8B" w:rsidP="00957A78">
      <w:pPr>
        <w:pStyle w:val="Footnote"/>
        <w:ind w:right="1826"/>
        <w:rPr>
          <w:lang w:val="ro-RO"/>
        </w:rPr>
      </w:pPr>
      <w:r>
        <w:rPr>
          <w:vertAlign w:val="superscript"/>
        </w:rPr>
        <w:footnoteRef/>
      </w:r>
      <w:r>
        <w:rPr>
          <w:vertAlign w:val="superscript"/>
          <w:lang w:val="ro-RO"/>
        </w:rPr>
        <w:t xml:space="preserve"> </w:t>
      </w:r>
      <w:r>
        <w:t>Ընդհանուր</w:t>
      </w:r>
      <w:r>
        <w:rPr>
          <w:lang w:val="ro-RO"/>
        </w:rPr>
        <w:t xml:space="preserve"> </w:t>
      </w:r>
      <w:r>
        <w:t>ազդեցության</w:t>
      </w:r>
      <w:r>
        <w:rPr>
          <w:lang w:val="ro-RO"/>
        </w:rPr>
        <w:t xml:space="preserve"> </w:t>
      </w:r>
      <w:r>
        <w:t>գնահատականը</w:t>
      </w:r>
      <w:r>
        <w:rPr>
          <w:lang w:val="ro-RO"/>
        </w:rPr>
        <w:t xml:space="preserve"> </w:t>
      </w:r>
      <w:r>
        <w:t>հիմնված</w:t>
      </w:r>
      <w:r>
        <w:rPr>
          <w:lang w:val="ro-RO"/>
        </w:rPr>
        <w:t xml:space="preserve"> </w:t>
      </w:r>
      <w:r>
        <w:t>է</w:t>
      </w:r>
      <w:r>
        <w:rPr>
          <w:lang w:val="ro-RO"/>
        </w:rPr>
        <w:t xml:space="preserve"> </w:t>
      </w:r>
      <w:r>
        <w:t>մակրոտնտեսական</w:t>
      </w:r>
      <w:r>
        <w:rPr>
          <w:lang w:val="ro-RO"/>
        </w:rPr>
        <w:t xml:space="preserve"> </w:t>
      </w:r>
      <w:r>
        <w:t>ռիսկերի</w:t>
      </w:r>
      <w:r>
        <w:rPr>
          <w:lang w:val="ro-RO"/>
        </w:rPr>
        <w:t xml:space="preserve"> </w:t>
      </w:r>
      <w:r>
        <w:t>առանձին</w:t>
      </w:r>
      <w:r>
        <w:rPr>
          <w:lang w:val="ro-RO"/>
        </w:rPr>
        <w:t xml:space="preserve"> </w:t>
      </w:r>
      <w:r>
        <w:t>հանդես</w:t>
      </w:r>
      <w:r>
        <w:rPr>
          <w:lang w:val="ro-RO"/>
        </w:rPr>
        <w:t xml:space="preserve"> </w:t>
      </w:r>
      <w:r>
        <w:t>գալու</w:t>
      </w:r>
      <w:r>
        <w:rPr>
          <w:lang w:val="ro-RO"/>
        </w:rPr>
        <w:t xml:space="preserve"> </w:t>
      </w:r>
      <w:r>
        <w:t>ենթադրության</w:t>
      </w:r>
      <w:r>
        <w:rPr>
          <w:lang w:val="ro-RO"/>
        </w:rPr>
        <w:t xml:space="preserve"> </w:t>
      </w:r>
      <w:r>
        <w:t>վրա</w:t>
      </w:r>
      <w:r>
        <w:rPr>
          <w:lang w:val="ro-RO"/>
        </w:rPr>
        <w:t>:</w:t>
      </w:r>
    </w:p>
  </w:footnote>
  <w:footnote w:id="25">
    <w:p w14:paraId="7C85A335" w14:textId="77777777" w:rsidR="00147C8B" w:rsidRPr="001D34CE" w:rsidRDefault="00147C8B" w:rsidP="00957A78">
      <w:pPr>
        <w:pStyle w:val="FootnoteText"/>
        <w:rPr>
          <w:lang w:val="ro-RO"/>
        </w:rPr>
      </w:pPr>
      <w:r>
        <w:rPr>
          <w:rStyle w:val="FootnoteReference"/>
        </w:rPr>
        <w:footnoteRef/>
      </w:r>
      <w:r w:rsidRPr="001D34CE">
        <w:rPr>
          <w:lang w:val="ro-RO"/>
        </w:rPr>
        <w:t xml:space="preserve"> </w:t>
      </w:r>
      <w:hyperlink r:id="rId6" w:history="1">
        <w:r w:rsidRPr="00AC7703">
          <w:rPr>
            <w:rStyle w:val="Hyperlink"/>
            <w:lang w:val="ro-RO"/>
          </w:rPr>
          <w:t xml:space="preserve"> IMF “Fiscal Risk Toolkit</w:t>
        </w:r>
      </w:hyperlink>
      <w:r w:rsidRPr="00AC7703">
        <w:rPr>
          <w:lang w:val="ro-RO"/>
        </w:rPr>
        <w:t>”</w:t>
      </w:r>
    </w:p>
  </w:footnote>
  <w:footnote w:id="26">
    <w:p w14:paraId="2DD32709" w14:textId="77777777" w:rsidR="00147C8B" w:rsidRPr="001D34CE" w:rsidRDefault="00147C8B" w:rsidP="00957A78">
      <w:pPr>
        <w:pStyle w:val="FootnoteText"/>
        <w:rPr>
          <w:lang w:val="ro-RO"/>
        </w:rPr>
      </w:pPr>
      <w:r>
        <w:rPr>
          <w:rStyle w:val="FootnoteReference"/>
        </w:rPr>
        <w:footnoteRef/>
      </w:r>
      <w:r w:rsidRPr="001D34CE">
        <w:rPr>
          <w:lang w:val="ro-RO"/>
        </w:rPr>
        <w:t xml:space="preserve"> </w:t>
      </w:r>
      <w:r>
        <w:rPr>
          <w:rFonts w:eastAsia="GHEA Grapalat"/>
          <w:color w:val="000000"/>
          <w:sz w:val="16"/>
          <w:szCs w:val="16"/>
        </w:rPr>
        <w:t>Հաշվարկում</w:t>
      </w:r>
      <w:r w:rsidRPr="007D5340">
        <w:rPr>
          <w:rFonts w:eastAsia="GHEA Grapalat"/>
          <w:color w:val="000000"/>
          <w:sz w:val="16"/>
          <w:szCs w:val="16"/>
          <w:lang w:val="ro-RO"/>
        </w:rPr>
        <w:t xml:space="preserve"> </w:t>
      </w:r>
      <w:r>
        <w:rPr>
          <w:rFonts w:eastAsia="GHEA Grapalat"/>
          <w:color w:val="000000"/>
          <w:sz w:val="16"/>
          <w:szCs w:val="16"/>
        </w:rPr>
        <w:t>ներառվել</w:t>
      </w:r>
      <w:r w:rsidRPr="007D5340">
        <w:rPr>
          <w:rFonts w:eastAsia="GHEA Grapalat"/>
          <w:color w:val="000000"/>
          <w:sz w:val="16"/>
          <w:szCs w:val="16"/>
          <w:lang w:val="ro-RO"/>
        </w:rPr>
        <w:t xml:space="preserve"> </w:t>
      </w:r>
      <w:r>
        <w:rPr>
          <w:rFonts w:eastAsia="GHEA Grapalat"/>
          <w:color w:val="000000"/>
          <w:sz w:val="16"/>
          <w:szCs w:val="16"/>
        </w:rPr>
        <w:t>են</w:t>
      </w:r>
      <w:r w:rsidRPr="007D5340">
        <w:rPr>
          <w:rFonts w:eastAsia="GHEA Grapalat"/>
          <w:color w:val="000000"/>
          <w:sz w:val="16"/>
          <w:szCs w:val="16"/>
          <w:lang w:val="ro-RO"/>
        </w:rPr>
        <w:t xml:space="preserve"> </w:t>
      </w:r>
      <w:r>
        <w:rPr>
          <w:rFonts w:eastAsia="GHEA Grapalat"/>
          <w:color w:val="000000"/>
          <w:sz w:val="16"/>
          <w:szCs w:val="16"/>
        </w:rPr>
        <w:t>միայն</w:t>
      </w:r>
      <w:r w:rsidRPr="007D5340">
        <w:rPr>
          <w:rFonts w:eastAsia="GHEA Grapalat"/>
          <w:color w:val="000000"/>
          <w:sz w:val="16"/>
          <w:szCs w:val="16"/>
          <w:lang w:val="ro-RO"/>
        </w:rPr>
        <w:t xml:space="preserve"> 50 % </w:t>
      </w:r>
      <w:r>
        <w:rPr>
          <w:rFonts w:eastAsia="GHEA Grapalat"/>
          <w:color w:val="000000"/>
          <w:sz w:val="16"/>
          <w:szCs w:val="16"/>
        </w:rPr>
        <w:t>և</w:t>
      </w:r>
      <w:r w:rsidRPr="007D5340">
        <w:rPr>
          <w:rFonts w:eastAsia="GHEA Grapalat"/>
          <w:color w:val="000000"/>
          <w:sz w:val="16"/>
          <w:szCs w:val="16"/>
          <w:lang w:val="ro-RO"/>
        </w:rPr>
        <w:t xml:space="preserve"> </w:t>
      </w:r>
      <w:r>
        <w:rPr>
          <w:rFonts w:eastAsia="GHEA Grapalat"/>
          <w:color w:val="000000"/>
          <w:sz w:val="16"/>
          <w:szCs w:val="16"/>
        </w:rPr>
        <w:t>ավել</w:t>
      </w:r>
      <w:r w:rsidRPr="007D5340">
        <w:rPr>
          <w:rFonts w:eastAsia="GHEA Grapalat"/>
          <w:color w:val="000000"/>
          <w:sz w:val="16"/>
          <w:szCs w:val="16"/>
          <w:lang w:val="ro-RO"/>
        </w:rPr>
        <w:t xml:space="preserve"> </w:t>
      </w:r>
      <w:r>
        <w:rPr>
          <w:rFonts w:eastAsia="GHEA Grapalat"/>
          <w:color w:val="000000"/>
          <w:sz w:val="16"/>
          <w:szCs w:val="16"/>
        </w:rPr>
        <w:t>պետական</w:t>
      </w:r>
      <w:r w:rsidRPr="007D5340">
        <w:rPr>
          <w:rFonts w:eastAsia="GHEA Grapalat"/>
          <w:color w:val="000000"/>
          <w:sz w:val="16"/>
          <w:szCs w:val="16"/>
          <w:lang w:val="ro-RO"/>
        </w:rPr>
        <w:t xml:space="preserve"> </w:t>
      </w:r>
      <w:r>
        <w:rPr>
          <w:rFonts w:eastAsia="GHEA Grapalat"/>
          <w:color w:val="000000"/>
          <w:sz w:val="16"/>
          <w:szCs w:val="16"/>
        </w:rPr>
        <w:t>մասնակցություն</w:t>
      </w:r>
      <w:r w:rsidRPr="007D5340">
        <w:rPr>
          <w:rFonts w:eastAsia="GHEA Grapalat"/>
          <w:color w:val="000000"/>
          <w:sz w:val="16"/>
          <w:szCs w:val="16"/>
          <w:lang w:val="ro-RO"/>
        </w:rPr>
        <w:t xml:space="preserve"> </w:t>
      </w:r>
      <w:r>
        <w:rPr>
          <w:rFonts w:eastAsia="GHEA Grapalat"/>
          <w:color w:val="000000"/>
          <w:sz w:val="16"/>
          <w:szCs w:val="16"/>
        </w:rPr>
        <w:t>ունեցող</w:t>
      </w:r>
      <w:r w:rsidRPr="007D5340">
        <w:rPr>
          <w:rFonts w:eastAsia="GHEA Grapalat"/>
          <w:color w:val="000000"/>
          <w:sz w:val="16"/>
          <w:szCs w:val="16"/>
          <w:lang w:val="ro-RO"/>
        </w:rPr>
        <w:t xml:space="preserve"> </w:t>
      </w:r>
      <w:r>
        <w:rPr>
          <w:rFonts w:eastAsia="GHEA Grapalat"/>
          <w:color w:val="000000"/>
          <w:sz w:val="16"/>
          <w:szCs w:val="16"/>
        </w:rPr>
        <w:t>ընկերությունները</w:t>
      </w:r>
      <w:r w:rsidRPr="007D5340">
        <w:rPr>
          <w:rFonts w:eastAsia="GHEA Grapalat"/>
          <w:color w:val="000000"/>
          <w:sz w:val="16"/>
          <w:szCs w:val="16"/>
          <w:lang w:val="ro-RO"/>
        </w:rPr>
        <w:t>:</w:t>
      </w:r>
    </w:p>
  </w:footnote>
  <w:footnote w:id="27">
    <w:p w14:paraId="1D9197CF" w14:textId="567AE552" w:rsidR="00147C8B" w:rsidRPr="0078450D" w:rsidRDefault="00147C8B" w:rsidP="0078450D">
      <w:pPr>
        <w:pBdr>
          <w:top w:val="nil"/>
          <w:left w:val="nil"/>
          <w:bottom w:val="nil"/>
          <w:right w:val="nil"/>
          <w:between w:val="nil"/>
        </w:pBdr>
        <w:spacing w:before="0" w:after="0" w:line="240" w:lineRule="auto"/>
        <w:rPr>
          <w:rFonts w:eastAsia="GHEA Grapalat"/>
          <w:color w:val="000000"/>
          <w:sz w:val="16"/>
          <w:szCs w:val="16"/>
        </w:rPr>
      </w:pPr>
      <w:r>
        <w:rPr>
          <w:rStyle w:val="FootnoteReference"/>
        </w:rPr>
        <w:footnoteRef/>
      </w:r>
      <w:r w:rsidRPr="0078450D">
        <w:rPr>
          <w:lang w:val="ro-RO"/>
        </w:rPr>
        <w:t xml:space="preserve"> </w:t>
      </w:r>
      <w:r>
        <w:rPr>
          <w:rFonts w:eastAsia="GHEA Grapalat"/>
          <w:color w:val="000000"/>
          <w:sz w:val="16"/>
          <w:szCs w:val="16"/>
        </w:rPr>
        <w:t>Աղբյուրը՝ World Bank, The business of the state, 2023.</w:t>
      </w:r>
    </w:p>
  </w:footnote>
  <w:footnote w:id="28">
    <w:p w14:paraId="7E8ED5D0" w14:textId="77777777" w:rsidR="00147C8B" w:rsidRPr="0078450D" w:rsidRDefault="00147C8B" w:rsidP="00957A78">
      <w:pPr>
        <w:spacing w:before="0" w:after="0" w:line="240" w:lineRule="auto"/>
        <w:rPr>
          <w:rFonts w:eastAsia="GHEA Grapalat"/>
          <w:color w:val="000000"/>
          <w:sz w:val="16"/>
          <w:szCs w:val="16"/>
          <w:lang w:val="ro-RO"/>
        </w:rPr>
      </w:pPr>
      <w:r>
        <w:rPr>
          <w:rStyle w:val="FootnoteReference"/>
        </w:rPr>
        <w:footnoteRef/>
      </w:r>
      <w:r w:rsidRPr="0078450D">
        <w:rPr>
          <w:rFonts w:eastAsia="GHEA Grapalat"/>
          <w:color w:val="000000"/>
          <w:sz w:val="16"/>
          <w:szCs w:val="16"/>
          <w:lang w:val="ro-RO"/>
        </w:rPr>
        <w:t xml:space="preserve"> </w:t>
      </w:r>
      <w:r>
        <w:rPr>
          <w:rFonts w:eastAsia="GHEA Grapalat"/>
          <w:color w:val="000000"/>
          <w:sz w:val="16"/>
          <w:szCs w:val="16"/>
        </w:rPr>
        <w:t>Ներառված</w:t>
      </w:r>
      <w:r w:rsidRPr="0078450D">
        <w:rPr>
          <w:rFonts w:eastAsia="GHEA Grapalat"/>
          <w:color w:val="000000"/>
          <w:sz w:val="16"/>
          <w:szCs w:val="16"/>
          <w:lang w:val="ro-RO"/>
        </w:rPr>
        <w:t xml:space="preserve"> </w:t>
      </w:r>
      <w:r>
        <w:rPr>
          <w:rFonts w:eastAsia="GHEA Grapalat"/>
          <w:color w:val="000000"/>
          <w:sz w:val="16"/>
          <w:szCs w:val="16"/>
        </w:rPr>
        <w:t>են</w:t>
      </w:r>
      <w:r w:rsidRPr="0078450D">
        <w:rPr>
          <w:rFonts w:eastAsia="GHEA Grapalat"/>
          <w:color w:val="000000"/>
          <w:sz w:val="16"/>
          <w:szCs w:val="16"/>
          <w:lang w:val="ro-RO"/>
        </w:rPr>
        <w:t xml:space="preserve"> </w:t>
      </w:r>
      <w:r>
        <w:rPr>
          <w:rFonts w:eastAsia="GHEA Grapalat"/>
          <w:color w:val="000000"/>
          <w:sz w:val="16"/>
          <w:szCs w:val="16"/>
        </w:rPr>
        <w:t>նաև</w:t>
      </w:r>
      <w:r w:rsidRPr="0078450D">
        <w:rPr>
          <w:rFonts w:eastAsia="GHEA Grapalat"/>
          <w:color w:val="000000"/>
          <w:sz w:val="16"/>
          <w:szCs w:val="16"/>
          <w:lang w:val="ro-RO"/>
        </w:rPr>
        <w:t xml:space="preserve"> </w:t>
      </w:r>
      <w:r>
        <w:rPr>
          <w:rFonts w:eastAsia="GHEA Grapalat"/>
          <w:color w:val="000000"/>
          <w:sz w:val="16"/>
          <w:szCs w:val="16"/>
        </w:rPr>
        <w:t>Երևան</w:t>
      </w:r>
      <w:r w:rsidRPr="0078450D">
        <w:rPr>
          <w:rFonts w:eastAsia="GHEA Grapalat"/>
          <w:color w:val="000000"/>
          <w:sz w:val="16"/>
          <w:szCs w:val="16"/>
          <w:lang w:val="ro-RO"/>
        </w:rPr>
        <w:t xml:space="preserve"> </w:t>
      </w:r>
      <w:r>
        <w:rPr>
          <w:rFonts w:eastAsia="GHEA Grapalat"/>
          <w:color w:val="000000"/>
          <w:sz w:val="16"/>
          <w:szCs w:val="16"/>
        </w:rPr>
        <w:t>քաղաքապետարանի</w:t>
      </w:r>
      <w:r w:rsidRPr="0078450D">
        <w:rPr>
          <w:rFonts w:eastAsia="GHEA Grapalat"/>
          <w:color w:val="000000"/>
          <w:sz w:val="16"/>
          <w:szCs w:val="16"/>
          <w:lang w:val="ro-RO"/>
        </w:rPr>
        <w:t xml:space="preserve"> </w:t>
      </w:r>
      <w:r>
        <w:rPr>
          <w:rFonts w:eastAsia="GHEA Grapalat"/>
          <w:color w:val="000000"/>
          <w:sz w:val="16"/>
          <w:szCs w:val="16"/>
        </w:rPr>
        <w:t>ենթակայության</w:t>
      </w:r>
      <w:r w:rsidRPr="0078450D">
        <w:rPr>
          <w:rFonts w:eastAsia="GHEA Grapalat"/>
          <w:color w:val="000000"/>
          <w:sz w:val="16"/>
          <w:szCs w:val="16"/>
          <w:lang w:val="ro-RO"/>
        </w:rPr>
        <w:t xml:space="preserve"> </w:t>
      </w:r>
      <w:r>
        <w:rPr>
          <w:rFonts w:eastAsia="GHEA Grapalat"/>
          <w:color w:val="000000"/>
          <w:sz w:val="16"/>
          <w:szCs w:val="16"/>
        </w:rPr>
        <w:t>տակ</w:t>
      </w:r>
      <w:r w:rsidRPr="0078450D">
        <w:rPr>
          <w:rFonts w:eastAsia="GHEA Grapalat"/>
          <w:color w:val="000000"/>
          <w:sz w:val="16"/>
          <w:szCs w:val="16"/>
          <w:lang w:val="ro-RO"/>
        </w:rPr>
        <w:t xml:space="preserve"> </w:t>
      </w:r>
      <w:r>
        <w:rPr>
          <w:rFonts w:eastAsia="GHEA Grapalat"/>
          <w:color w:val="000000"/>
          <w:sz w:val="16"/>
          <w:szCs w:val="16"/>
        </w:rPr>
        <w:t>գտնվող</w:t>
      </w:r>
      <w:r w:rsidRPr="0078450D">
        <w:rPr>
          <w:rFonts w:eastAsia="GHEA Grapalat"/>
          <w:color w:val="000000"/>
          <w:sz w:val="16"/>
          <w:szCs w:val="16"/>
          <w:lang w:val="ro-RO"/>
        </w:rPr>
        <w:t xml:space="preserve"> </w:t>
      </w:r>
      <w:r>
        <w:rPr>
          <w:rFonts w:eastAsia="GHEA Grapalat"/>
          <w:color w:val="000000"/>
          <w:sz w:val="16"/>
          <w:szCs w:val="16"/>
        </w:rPr>
        <w:t>համայնքային</w:t>
      </w:r>
      <w:r w:rsidRPr="0078450D">
        <w:rPr>
          <w:rFonts w:eastAsia="GHEA Grapalat"/>
          <w:color w:val="000000"/>
          <w:sz w:val="16"/>
          <w:szCs w:val="16"/>
          <w:lang w:val="ro-RO"/>
        </w:rPr>
        <w:t xml:space="preserve"> </w:t>
      </w:r>
      <w:r>
        <w:rPr>
          <w:rFonts w:eastAsia="GHEA Grapalat"/>
          <w:color w:val="000000"/>
          <w:sz w:val="16"/>
          <w:szCs w:val="16"/>
        </w:rPr>
        <w:t>մասնակցությամբ</w:t>
      </w:r>
      <w:r w:rsidRPr="0078450D">
        <w:rPr>
          <w:rFonts w:eastAsia="GHEA Grapalat"/>
          <w:color w:val="000000"/>
          <w:sz w:val="16"/>
          <w:szCs w:val="16"/>
          <w:lang w:val="ro-RO"/>
        </w:rPr>
        <w:t xml:space="preserve"> </w:t>
      </w:r>
      <w:r>
        <w:rPr>
          <w:rFonts w:eastAsia="GHEA Grapalat"/>
          <w:color w:val="000000"/>
          <w:sz w:val="16"/>
          <w:szCs w:val="16"/>
        </w:rPr>
        <w:t>ընկերությունների</w:t>
      </w:r>
      <w:r w:rsidRPr="0078450D">
        <w:rPr>
          <w:rFonts w:eastAsia="GHEA Grapalat"/>
          <w:color w:val="000000"/>
          <w:sz w:val="16"/>
          <w:szCs w:val="16"/>
          <w:lang w:val="ro-RO"/>
        </w:rPr>
        <w:t xml:space="preserve"> </w:t>
      </w:r>
      <w:r>
        <w:rPr>
          <w:rFonts w:eastAsia="GHEA Grapalat"/>
          <w:color w:val="000000"/>
          <w:sz w:val="16"/>
          <w:szCs w:val="16"/>
        </w:rPr>
        <w:t>տվյալները</w:t>
      </w:r>
      <w:r w:rsidRPr="0078450D">
        <w:rPr>
          <w:rFonts w:eastAsia="GHEA Grapalat"/>
          <w:color w:val="000000"/>
          <w:sz w:val="16"/>
          <w:szCs w:val="16"/>
          <w:lang w:val="ro-RO"/>
        </w:rPr>
        <w:t>:</w:t>
      </w:r>
    </w:p>
  </w:footnote>
  <w:footnote w:id="29">
    <w:p w14:paraId="48AD7A08" w14:textId="77777777" w:rsidR="00147C8B" w:rsidRPr="001A52CE" w:rsidRDefault="00147C8B" w:rsidP="00957A78">
      <w:pPr>
        <w:pBdr>
          <w:top w:val="nil"/>
          <w:left w:val="nil"/>
          <w:bottom w:val="nil"/>
          <w:right w:val="nil"/>
          <w:between w:val="nil"/>
        </w:pBdr>
        <w:spacing w:before="0" w:after="0" w:line="240" w:lineRule="auto"/>
        <w:rPr>
          <w:lang w:val="ro-RO"/>
        </w:rPr>
      </w:pPr>
      <w:r>
        <w:rPr>
          <w:rStyle w:val="FootnoteReference"/>
        </w:rPr>
        <w:footnoteRef/>
      </w:r>
      <w:r w:rsidRPr="001A52CE">
        <w:rPr>
          <w:lang w:val="ro-RO"/>
        </w:rPr>
        <w:t xml:space="preserve"> </w:t>
      </w:r>
      <w:r>
        <w:rPr>
          <w:rFonts w:eastAsia="GHEA Grapalat"/>
          <w:sz w:val="16"/>
          <w:szCs w:val="16"/>
        </w:rPr>
        <w:t>Աղբյուրը</w:t>
      </w:r>
      <w:r w:rsidRPr="001A52CE">
        <w:rPr>
          <w:rFonts w:eastAsia="GHEA Grapalat"/>
          <w:sz w:val="16"/>
          <w:szCs w:val="16"/>
          <w:lang w:val="ro-RO"/>
        </w:rPr>
        <w:t xml:space="preserve"> </w:t>
      </w:r>
      <w:r>
        <w:rPr>
          <w:rFonts w:eastAsia="GHEA Grapalat"/>
          <w:sz w:val="16"/>
          <w:szCs w:val="16"/>
        </w:rPr>
        <w:t>՝</w:t>
      </w:r>
      <w:r w:rsidRPr="001A52CE">
        <w:rPr>
          <w:rFonts w:eastAsia="GHEA Grapalat"/>
          <w:sz w:val="16"/>
          <w:szCs w:val="16"/>
          <w:lang w:val="ro-RO"/>
        </w:rPr>
        <w:t xml:space="preserve"> </w:t>
      </w:r>
      <w:r>
        <w:rPr>
          <w:rFonts w:eastAsia="GHEA Grapalat"/>
          <w:sz w:val="16"/>
          <w:szCs w:val="16"/>
        </w:rPr>
        <w:t>ՀՀ</w:t>
      </w:r>
      <w:r w:rsidRPr="001A52CE">
        <w:rPr>
          <w:rFonts w:eastAsia="GHEA Grapalat"/>
          <w:sz w:val="16"/>
          <w:szCs w:val="16"/>
          <w:lang w:val="ro-RO"/>
        </w:rPr>
        <w:t xml:space="preserve"> </w:t>
      </w:r>
      <w:r>
        <w:rPr>
          <w:rFonts w:eastAsia="GHEA Grapalat"/>
          <w:sz w:val="16"/>
          <w:szCs w:val="16"/>
        </w:rPr>
        <w:t>կառավարության</w:t>
      </w:r>
      <w:r w:rsidRPr="001A52CE">
        <w:rPr>
          <w:rFonts w:eastAsia="GHEA Grapalat"/>
          <w:sz w:val="16"/>
          <w:szCs w:val="16"/>
          <w:lang w:val="ro-RO"/>
        </w:rPr>
        <w:t xml:space="preserve"> 28.12.2023</w:t>
      </w:r>
      <w:r>
        <w:rPr>
          <w:rFonts w:eastAsia="GHEA Grapalat"/>
          <w:sz w:val="16"/>
          <w:szCs w:val="16"/>
        </w:rPr>
        <w:t>թ</w:t>
      </w:r>
      <w:r w:rsidRPr="001A52CE">
        <w:rPr>
          <w:rFonts w:eastAsia="GHEA Grapalat"/>
          <w:sz w:val="16"/>
          <w:szCs w:val="16"/>
          <w:lang w:val="ro-RO"/>
        </w:rPr>
        <w:t xml:space="preserve">. </w:t>
      </w:r>
      <w:r>
        <w:rPr>
          <w:rFonts w:eastAsia="GHEA Grapalat"/>
          <w:sz w:val="16"/>
          <w:szCs w:val="16"/>
        </w:rPr>
        <w:t>թիվ</w:t>
      </w:r>
      <w:r w:rsidRPr="001A52CE">
        <w:rPr>
          <w:rFonts w:eastAsia="GHEA Grapalat"/>
          <w:sz w:val="16"/>
          <w:szCs w:val="16"/>
          <w:lang w:val="ro-RO"/>
        </w:rPr>
        <w:t xml:space="preserve"> 2323-</w:t>
      </w:r>
      <w:r>
        <w:rPr>
          <w:rFonts w:eastAsia="GHEA Grapalat"/>
          <w:sz w:val="16"/>
          <w:szCs w:val="16"/>
        </w:rPr>
        <w:t>Ն</w:t>
      </w:r>
      <w:r w:rsidRPr="001A52CE">
        <w:rPr>
          <w:rFonts w:eastAsia="GHEA Grapalat"/>
          <w:sz w:val="16"/>
          <w:szCs w:val="16"/>
          <w:lang w:val="ro-RO"/>
        </w:rPr>
        <w:t xml:space="preserve"> </w:t>
      </w:r>
      <w:r>
        <w:rPr>
          <w:rFonts w:eastAsia="GHEA Grapalat"/>
          <w:sz w:val="16"/>
          <w:szCs w:val="16"/>
        </w:rPr>
        <w:t>որոշում</w:t>
      </w:r>
      <w:r w:rsidRPr="001A52CE">
        <w:rPr>
          <w:rFonts w:eastAsia="GHEA Grapalat"/>
          <w:sz w:val="16"/>
          <w:szCs w:val="16"/>
          <w:lang w:val="ro-RO"/>
        </w:rPr>
        <w:t xml:space="preserve"> </w:t>
      </w:r>
    </w:p>
  </w:footnote>
  <w:footnote w:id="30">
    <w:p w14:paraId="422F6D48" w14:textId="77777777" w:rsidR="00147C8B" w:rsidRPr="00947715" w:rsidRDefault="00147C8B" w:rsidP="00957A78">
      <w:pPr>
        <w:pBdr>
          <w:top w:val="nil"/>
          <w:left w:val="nil"/>
          <w:bottom w:val="nil"/>
          <w:right w:val="nil"/>
          <w:between w:val="nil"/>
        </w:pBdr>
        <w:spacing w:before="0" w:after="0" w:line="240" w:lineRule="auto"/>
        <w:rPr>
          <w:rFonts w:eastAsia="GHEA Grapalat"/>
          <w:color w:val="000000"/>
          <w:sz w:val="16"/>
          <w:szCs w:val="16"/>
          <w:lang w:val="hy-AM"/>
        </w:rPr>
      </w:pPr>
      <w:r>
        <w:rPr>
          <w:rStyle w:val="FootnoteReference"/>
        </w:rPr>
        <w:footnoteRef/>
      </w:r>
      <w:r w:rsidRPr="001A52CE">
        <w:rPr>
          <w:lang w:val="ro-RO"/>
        </w:rPr>
        <w:t xml:space="preserve"> </w:t>
      </w:r>
      <w:r w:rsidRPr="00947715">
        <w:rPr>
          <w:rFonts w:eastAsia="GHEA Grapalat"/>
          <w:color w:val="000000"/>
          <w:sz w:val="16"/>
          <w:szCs w:val="16"/>
          <w:lang w:val="hy-AM"/>
        </w:rPr>
        <w:t xml:space="preserve">Պարտքի մակարդակը բնութագրող հիմնական ֆինանսական ցուցանիշներն են պարտքը՝ ակտիվների նկատմամբ (debt to assets), պարտքը՝ սեփական կապիտալի նկատմաբ (debt to equity), պարտքը՝ ճշգրտված շահույթը նախքան տոկոսների վճարումը, հարկումը, մաշվածության և ամորտիզացիայի մասհանումների (debt to EBITDA) նկատմամբ: </w:t>
      </w:r>
    </w:p>
  </w:footnote>
  <w:footnote w:id="31">
    <w:p w14:paraId="30803DF8" w14:textId="77777777" w:rsidR="00147C8B" w:rsidRPr="00947715" w:rsidRDefault="00147C8B" w:rsidP="00957A78">
      <w:pPr>
        <w:pStyle w:val="FootnoteText"/>
        <w:rPr>
          <w:lang w:val="hy-AM"/>
        </w:rPr>
      </w:pPr>
      <w:r>
        <w:rPr>
          <w:rStyle w:val="FootnoteReference"/>
        </w:rPr>
        <w:footnoteRef/>
      </w:r>
      <w:r w:rsidRPr="00947715">
        <w:rPr>
          <w:lang w:val="hy-AM"/>
        </w:rPr>
        <w:t xml:space="preserve"> </w:t>
      </w:r>
      <w:r w:rsidRPr="00947715">
        <w:rPr>
          <w:sz w:val="16"/>
          <w:szCs w:val="16"/>
          <w:lang w:val="hy-AM"/>
        </w:rPr>
        <w:t>Չափում է ընկերության ֆինանսավորման մասնաբաժինը, ինչը բխում է պարտավորություններից: Բարձր հարաբերակցությունը ցույց է տալիս ավելի մեծ կախվածություն պարտքի ֆինանսավորումից:</w:t>
      </w:r>
    </w:p>
  </w:footnote>
  <w:footnote w:id="32">
    <w:p w14:paraId="42D632A1" w14:textId="77777777" w:rsidR="00147C8B" w:rsidRPr="00947715" w:rsidRDefault="00147C8B" w:rsidP="00957A78">
      <w:pPr>
        <w:pStyle w:val="FootnoteText"/>
        <w:rPr>
          <w:lang w:val="hy-AM"/>
        </w:rPr>
      </w:pPr>
      <w:r>
        <w:rPr>
          <w:rStyle w:val="FootnoteReference"/>
        </w:rPr>
        <w:footnoteRef/>
      </w:r>
      <w:r w:rsidRPr="00947715">
        <w:rPr>
          <w:lang w:val="hy-AM"/>
        </w:rPr>
        <w:t xml:space="preserve"> </w:t>
      </w:r>
      <w:r w:rsidRPr="00947715">
        <w:rPr>
          <w:rFonts w:eastAsia="GHEA Grapalat"/>
          <w:color w:val="000000"/>
          <w:sz w:val="16"/>
          <w:szCs w:val="16"/>
          <w:lang w:val="hy-AM"/>
        </w:rPr>
        <w:t>Չափում է ընկերության ֆինանսավորման մասնաբաժինը, որը բխում է պարտավորություններից սեփական կապիտալի նկատմամբ: Բարձր հարաբերակցությունը ցույց է տալիս ավելի մեծ կախվածություն պարտքի ֆինանսավորումից և ավելի քիչ ֆինանսական ճկունություն:</w:t>
      </w:r>
    </w:p>
  </w:footnote>
  <w:footnote w:id="33">
    <w:p w14:paraId="2E6114AB" w14:textId="77777777" w:rsidR="00147C8B" w:rsidRPr="00947715" w:rsidRDefault="00147C8B" w:rsidP="00957A78">
      <w:pPr>
        <w:pBdr>
          <w:top w:val="nil"/>
          <w:left w:val="nil"/>
          <w:bottom w:val="nil"/>
          <w:right w:val="nil"/>
          <w:between w:val="nil"/>
        </w:pBdr>
        <w:spacing w:before="0" w:after="0" w:line="240" w:lineRule="auto"/>
        <w:rPr>
          <w:rFonts w:eastAsia="GHEA Grapalat"/>
          <w:color w:val="000000"/>
          <w:sz w:val="16"/>
          <w:szCs w:val="16"/>
          <w:lang w:val="hy-AM"/>
        </w:rPr>
      </w:pPr>
      <w:r>
        <w:rPr>
          <w:rStyle w:val="FootnoteReference"/>
        </w:rPr>
        <w:footnoteRef/>
      </w:r>
      <w:r w:rsidRPr="00947715">
        <w:rPr>
          <w:rFonts w:eastAsia="GHEA Grapalat"/>
          <w:color w:val="000000"/>
          <w:sz w:val="16"/>
          <w:szCs w:val="16"/>
          <w:lang w:val="hy-AM"/>
        </w:rPr>
        <w:t xml:space="preserve"> Գծապատկերը ներառում է նաև այն ընկերությունները, որտեղ պետության մասնաբաժինը 50%-ից ցածր է։</w:t>
      </w:r>
    </w:p>
  </w:footnote>
  <w:footnote w:id="34">
    <w:p w14:paraId="5D62B737" w14:textId="77777777" w:rsidR="00147C8B" w:rsidRPr="005D5E85" w:rsidRDefault="00147C8B" w:rsidP="00957A78">
      <w:pPr>
        <w:pBdr>
          <w:top w:val="nil"/>
          <w:left w:val="nil"/>
          <w:bottom w:val="nil"/>
          <w:right w:val="nil"/>
          <w:between w:val="nil"/>
        </w:pBdr>
        <w:spacing w:before="0" w:after="0" w:line="240" w:lineRule="auto"/>
        <w:rPr>
          <w:sz w:val="16"/>
          <w:lang w:val="hy-AM"/>
        </w:rPr>
      </w:pPr>
      <w:r w:rsidRPr="00722CEB">
        <w:rPr>
          <w:rStyle w:val="FootnoteReference"/>
          <w:sz w:val="16"/>
        </w:rPr>
        <w:footnoteRef/>
      </w:r>
      <w:r w:rsidRPr="005D5E85">
        <w:rPr>
          <w:sz w:val="16"/>
          <w:lang w:val="hy-AM"/>
        </w:rPr>
        <w:t xml:space="preserve"> </w:t>
      </w:r>
      <w:r>
        <w:rPr>
          <w:sz w:val="16"/>
          <w:lang w:val="hy-AM"/>
        </w:rPr>
        <w:t>Գործիքում</w:t>
      </w:r>
      <w:r w:rsidRPr="005D5E85">
        <w:rPr>
          <w:sz w:val="16"/>
          <w:lang w:val="hy-AM"/>
        </w:rPr>
        <w:t xml:space="preserve"> մակրոտնտեսական բազային ենթադրությունները հիմնված են ՀՀ ֆինանսների նախարարության կողմից վերլուծական նպատակներով պատրաստված սցենարների վրա։ Շոկային սցենարներում կիրառվող ենթադրությունները տարբերվում են նախար</w:t>
      </w:r>
      <w:r>
        <w:rPr>
          <w:sz w:val="16"/>
          <w:lang w:val="hy-AM"/>
        </w:rPr>
        <w:t>ար</w:t>
      </w:r>
      <w:r w:rsidRPr="005D5E85">
        <w:rPr>
          <w:sz w:val="16"/>
          <w:lang w:val="hy-AM"/>
        </w:rPr>
        <w:t>ության կողմից պատրաստված շոկային սցենարներից՝ հնարավորություն տալով պատկերել այն ֆիսկալ հետևանքները, որոնք կարող են առաջանալ տնտեսության վրա շոկային առավելագույն ցնցումների ազդեցության հետևանքով:</w:t>
      </w:r>
    </w:p>
  </w:footnote>
  <w:footnote w:id="35">
    <w:p w14:paraId="2F1BA3AE" w14:textId="77777777" w:rsidR="00147C8B" w:rsidRPr="00171099" w:rsidRDefault="00147C8B" w:rsidP="00957A78">
      <w:pPr>
        <w:pStyle w:val="FootnoteText"/>
        <w:rPr>
          <w:szCs w:val="16"/>
          <w:lang w:val="hy-AM"/>
        </w:rPr>
      </w:pPr>
      <w:r w:rsidRPr="00171099">
        <w:rPr>
          <w:rStyle w:val="FootnoteReference"/>
          <w:szCs w:val="16"/>
        </w:rPr>
        <w:footnoteRef/>
      </w:r>
      <w:r w:rsidRPr="00171099">
        <w:rPr>
          <w:szCs w:val="16"/>
          <w:lang w:val="hy-AM"/>
        </w:rPr>
        <w:t xml:space="preserve"> «Ֆինանսական շուկայի 1 տարուց ավել ժամկետով իրավաբանական անձանց տրամադրված վարկերի միջին տոկոսադրույք (ՀՀ դրամ, ԱՄՆ դոլար)», աղբյուրը՝ ԿԲ տեղեկագրեր</w:t>
      </w:r>
    </w:p>
  </w:footnote>
  <w:footnote w:id="36">
    <w:p w14:paraId="526316DD" w14:textId="77777777" w:rsidR="00147C8B" w:rsidRPr="00C05AC0" w:rsidRDefault="00147C8B" w:rsidP="00957A78">
      <w:pPr>
        <w:spacing w:before="0" w:after="0" w:line="240" w:lineRule="auto"/>
        <w:rPr>
          <w:b/>
          <w:bCs/>
          <w:sz w:val="16"/>
          <w:szCs w:val="16"/>
          <w:lang w:val="hy-AM"/>
        </w:rPr>
      </w:pPr>
      <w:r w:rsidRPr="00C05AC0">
        <w:rPr>
          <w:rStyle w:val="FootnoteReference"/>
          <w:sz w:val="16"/>
          <w:szCs w:val="16"/>
        </w:rPr>
        <w:footnoteRef/>
      </w:r>
      <w:r w:rsidRPr="00C05AC0">
        <w:rPr>
          <w:bCs/>
          <w:sz w:val="16"/>
          <w:szCs w:val="16"/>
          <w:lang w:val="hy-AM"/>
        </w:rPr>
        <w:t xml:space="preserve"> Կիրառվել է Ասիական Զարգացման Բանկի կողմից մշակված մեթոդաբանությունը՝ ինչպես և սույն </w:t>
      </w:r>
      <w:r>
        <w:rPr>
          <w:bCs/>
          <w:sz w:val="16"/>
          <w:szCs w:val="16"/>
          <w:lang w:val="hy-AM"/>
        </w:rPr>
        <w:t>ենթաբաժնում</w:t>
      </w:r>
      <w:r w:rsidRPr="00C05AC0">
        <w:rPr>
          <w:bCs/>
          <w:sz w:val="16"/>
          <w:szCs w:val="16"/>
          <w:lang w:val="hy-AM"/>
        </w:rPr>
        <w:t xml:space="preserve"> ներկայացվող այլ հաշվարկների դեպքում:</w:t>
      </w:r>
    </w:p>
  </w:footnote>
  <w:footnote w:id="37">
    <w:p w14:paraId="3E70EF28" w14:textId="77777777" w:rsidR="00147C8B" w:rsidRPr="00FC42E9" w:rsidRDefault="00147C8B" w:rsidP="00957A78">
      <w:pPr>
        <w:pStyle w:val="FootnoteText"/>
        <w:rPr>
          <w:szCs w:val="16"/>
          <w:lang w:val="hy-AM"/>
        </w:rPr>
      </w:pPr>
      <w:r w:rsidRPr="00FC42E9">
        <w:rPr>
          <w:rStyle w:val="FootnoteReference"/>
          <w:szCs w:val="16"/>
        </w:rPr>
        <w:footnoteRef/>
      </w:r>
      <w:r w:rsidRPr="00FC42E9">
        <w:rPr>
          <w:szCs w:val="16"/>
          <w:lang w:val="hy-AM"/>
        </w:rPr>
        <w:t xml:space="preserve"> </w:t>
      </w:r>
      <w:hyperlink r:id="rId7" w:history="1">
        <w:r w:rsidRPr="00FC42E9">
          <w:rPr>
            <w:rStyle w:val="Hyperlink"/>
            <w:szCs w:val="16"/>
            <w:lang w:val="hy-AM"/>
          </w:rPr>
          <w:t>https://www.adb.org/sites/default/files/linked-documents/cps-arm-2014-2018-sd-02.pdf</w:t>
        </w:r>
      </w:hyperlink>
    </w:p>
  </w:footnote>
  <w:footnote w:id="38">
    <w:p w14:paraId="0D93A754" w14:textId="77777777" w:rsidR="00147C8B" w:rsidRPr="00FC42E9" w:rsidRDefault="00147C8B" w:rsidP="00957A78">
      <w:pPr>
        <w:pStyle w:val="FootnoteText"/>
        <w:rPr>
          <w:szCs w:val="16"/>
          <w:lang w:val="hy-AM"/>
        </w:rPr>
      </w:pPr>
      <w:r w:rsidRPr="00FC42E9">
        <w:rPr>
          <w:rStyle w:val="FootnoteReference"/>
          <w:szCs w:val="16"/>
        </w:rPr>
        <w:footnoteRef/>
      </w:r>
      <w:r w:rsidRPr="00FC42E9">
        <w:rPr>
          <w:szCs w:val="16"/>
          <w:lang w:val="hy-AM"/>
        </w:rPr>
        <w:t xml:space="preserve"> </w:t>
      </w:r>
      <w:hyperlink r:id="rId8" w:history="1">
        <w:r w:rsidRPr="00FC42E9">
          <w:rPr>
            <w:rStyle w:val="Hyperlink"/>
            <w:szCs w:val="16"/>
            <w:lang w:val="hy-AM"/>
          </w:rPr>
          <w:t>https://documents1.worldbank.org/curated/zh/316831526641378244/pdf/Armenia-Disaster-Risk-Finance-Country-Note.pdf</w:t>
        </w:r>
      </w:hyperlink>
      <w:r w:rsidRPr="00FC42E9">
        <w:rPr>
          <w:szCs w:val="16"/>
          <w:lang w:val="hy-AM"/>
        </w:rPr>
        <w:t xml:space="preserve"> </w:t>
      </w:r>
    </w:p>
  </w:footnote>
  <w:footnote w:id="39">
    <w:p w14:paraId="7486F42A" w14:textId="77777777" w:rsidR="00147C8B" w:rsidRPr="00696307" w:rsidRDefault="00147C8B" w:rsidP="00957A78">
      <w:pPr>
        <w:pStyle w:val="FootnoteText"/>
        <w:rPr>
          <w:sz w:val="18"/>
          <w:szCs w:val="18"/>
          <w:lang w:val="hy-AM"/>
        </w:rPr>
      </w:pPr>
      <w:r w:rsidRPr="00FC42E9">
        <w:rPr>
          <w:rStyle w:val="FootnoteReference"/>
          <w:szCs w:val="16"/>
        </w:rPr>
        <w:footnoteRef/>
      </w:r>
      <w:r w:rsidRPr="00FC42E9">
        <w:rPr>
          <w:szCs w:val="16"/>
          <w:lang w:val="hy-AM"/>
        </w:rPr>
        <w:t xml:space="preserve"> </w:t>
      </w:r>
      <w:hyperlink r:id="rId9" w:history="1">
        <w:r w:rsidRPr="00FC42E9">
          <w:rPr>
            <w:rStyle w:val="Hyperlink"/>
            <w:szCs w:val="16"/>
            <w:lang w:val="hy-AM"/>
          </w:rPr>
          <w:t>https://www.gfdrr.org/sites/default/files/publication/drp_armenia.pdf</w:t>
        </w:r>
      </w:hyperlink>
      <w:r w:rsidRPr="00696307">
        <w:rPr>
          <w:sz w:val="18"/>
          <w:szCs w:val="18"/>
          <w:lang w:val="hy-AM"/>
        </w:rPr>
        <w:t xml:space="preserve"> </w:t>
      </w:r>
    </w:p>
  </w:footnote>
  <w:footnote w:id="40">
    <w:p w14:paraId="7851E75D" w14:textId="77777777" w:rsidR="00147C8B" w:rsidRPr="00115506" w:rsidRDefault="00147C8B" w:rsidP="00957A78">
      <w:pPr>
        <w:spacing w:before="0" w:after="0" w:line="240" w:lineRule="auto"/>
        <w:rPr>
          <w:rStyle w:val="Hyperlink"/>
          <w:bCs/>
          <w:sz w:val="16"/>
          <w:szCs w:val="16"/>
          <w:lang w:val="hy-AM"/>
        </w:rPr>
      </w:pPr>
      <w:r w:rsidRPr="00115506">
        <w:rPr>
          <w:rStyle w:val="FootnoteReference"/>
          <w:sz w:val="16"/>
          <w:szCs w:val="16"/>
        </w:rPr>
        <w:footnoteRef/>
      </w:r>
      <w:r w:rsidRPr="00115506">
        <w:rPr>
          <w:sz w:val="16"/>
          <w:szCs w:val="16"/>
          <w:lang w:val="hy-AM"/>
        </w:rPr>
        <w:t xml:space="preserve"> </w:t>
      </w:r>
      <w:hyperlink r:id="rId10" w:history="1">
        <w:r w:rsidRPr="00115506">
          <w:rPr>
            <w:rStyle w:val="Hyperlink"/>
            <w:sz w:val="16"/>
            <w:szCs w:val="16"/>
            <w:lang w:val="hy-AM"/>
          </w:rPr>
          <w:t>2021-2025 թվականների Հարմարվողականության ազգային ծրագիր:</w:t>
        </w:r>
      </w:hyperlink>
    </w:p>
    <w:p w14:paraId="7925E194" w14:textId="77777777" w:rsidR="00147C8B" w:rsidRPr="00115506" w:rsidRDefault="00147C8B" w:rsidP="00957A78">
      <w:pPr>
        <w:pStyle w:val="FootnoteText"/>
        <w:rPr>
          <w:szCs w:val="16"/>
          <w:lang w:val="hy-AM"/>
        </w:rPr>
      </w:pPr>
      <w:r w:rsidRPr="00115506">
        <w:rPr>
          <w:szCs w:val="16"/>
          <w:lang w:val="hy-AM"/>
        </w:rPr>
        <w:t>Տվյալների սկզբնաղբյուր. ՄԱԿ կլիմայի փոփոխության շրջանակային կոնվենցիայի ներքո կլիմայի փոփոխության մասին Հայաստանի 4-րդ ազգային հաղորդագրություն (2020թ.):</w:t>
      </w:r>
    </w:p>
  </w:footnote>
  <w:footnote w:id="41">
    <w:p w14:paraId="3D4BE247" w14:textId="77777777" w:rsidR="00147C8B" w:rsidRPr="0058321C" w:rsidRDefault="00147C8B" w:rsidP="00957A78">
      <w:pPr>
        <w:pStyle w:val="FootnoteText"/>
        <w:rPr>
          <w:lang w:val="hy-AM"/>
        </w:rPr>
      </w:pPr>
      <w:r>
        <w:rPr>
          <w:rStyle w:val="FootnoteReference"/>
        </w:rPr>
        <w:footnoteRef/>
      </w:r>
      <w:r w:rsidRPr="0058321C">
        <w:rPr>
          <w:lang w:val="hy-AM"/>
        </w:rPr>
        <w:t xml:space="preserve"> </w:t>
      </w:r>
      <w:r w:rsidRPr="0058321C">
        <w:rPr>
          <w:rStyle w:val="Hyperlink"/>
          <w:color w:val="auto"/>
          <w:szCs w:val="16"/>
          <w:lang w:val="hy-AM"/>
        </w:rPr>
        <w:t>1991-2010թթ-ի տեղեկատվությունը բացակայում է</w:t>
      </w:r>
    </w:p>
  </w:footnote>
  <w:footnote w:id="42">
    <w:p w14:paraId="23348CD8" w14:textId="77777777" w:rsidR="00147C8B" w:rsidRPr="00696307" w:rsidRDefault="00147C8B" w:rsidP="00957A78">
      <w:pPr>
        <w:pStyle w:val="FootnoteText"/>
        <w:rPr>
          <w:sz w:val="18"/>
          <w:szCs w:val="18"/>
          <w:lang w:val="hy-AM"/>
        </w:rPr>
      </w:pPr>
      <w:r w:rsidRPr="0058321C">
        <w:rPr>
          <w:rStyle w:val="FootnoteReference"/>
          <w:szCs w:val="16"/>
        </w:rPr>
        <w:footnoteRef/>
      </w:r>
      <w:r w:rsidRPr="0058321C">
        <w:rPr>
          <w:szCs w:val="16"/>
          <w:lang w:val="hy-AM"/>
        </w:rPr>
        <w:t xml:space="preserve"> </w:t>
      </w:r>
      <w:hyperlink r:id="rId11" w:history="1">
        <w:r w:rsidRPr="0058321C">
          <w:rPr>
            <w:rStyle w:val="Hyperlink"/>
            <w:color w:val="auto"/>
            <w:szCs w:val="16"/>
            <w:lang w:val="hy-AM"/>
          </w:rPr>
          <w:t>Աղբյուր. Արմստատ</w:t>
        </w:r>
      </w:hyperlink>
    </w:p>
  </w:footnote>
  <w:footnote w:id="43">
    <w:p w14:paraId="320C0626" w14:textId="77777777" w:rsidR="00147C8B" w:rsidRPr="00115506" w:rsidRDefault="00147C8B" w:rsidP="00957A78">
      <w:pPr>
        <w:pStyle w:val="FootnoteText"/>
        <w:rPr>
          <w:szCs w:val="16"/>
          <w:lang w:val="hy-AM"/>
        </w:rPr>
      </w:pPr>
      <w:r w:rsidRPr="00115506">
        <w:rPr>
          <w:rStyle w:val="FootnoteReference"/>
          <w:szCs w:val="16"/>
        </w:rPr>
        <w:footnoteRef/>
      </w:r>
      <w:r w:rsidRPr="00115506">
        <w:rPr>
          <w:szCs w:val="16"/>
          <w:lang w:val="hy-AM"/>
        </w:rPr>
        <w:t xml:space="preserve"> </w:t>
      </w:r>
      <w:hyperlink r:id="rId12" w:history="1">
        <w:r w:rsidRPr="00115506">
          <w:rPr>
            <w:rStyle w:val="Hyperlink"/>
            <w:szCs w:val="16"/>
            <w:lang w:val="hy-AM"/>
          </w:rPr>
          <w:t>arlis.am/DocumentView.aspx?DocID=72227</w:t>
        </w:r>
      </w:hyperlink>
    </w:p>
  </w:footnote>
  <w:footnote w:id="44">
    <w:p w14:paraId="1254A4D1" w14:textId="77777777" w:rsidR="00147C8B" w:rsidRPr="007B6BE5" w:rsidRDefault="00147C8B" w:rsidP="00957A78">
      <w:pPr>
        <w:pStyle w:val="FootnoteText"/>
        <w:rPr>
          <w:lang w:val="hy-AM"/>
        </w:rPr>
      </w:pPr>
      <w:r w:rsidRPr="00115506">
        <w:rPr>
          <w:rStyle w:val="FootnoteReference"/>
          <w:szCs w:val="16"/>
        </w:rPr>
        <w:footnoteRef/>
      </w:r>
      <w:r w:rsidRPr="00115506">
        <w:rPr>
          <w:szCs w:val="16"/>
          <w:lang w:val="hy-AM"/>
        </w:rPr>
        <w:t xml:space="preserve"> </w:t>
      </w:r>
      <w:hyperlink r:id="rId13" w:history="1">
        <w:r w:rsidRPr="00115506">
          <w:rPr>
            <w:rStyle w:val="Hyperlink"/>
            <w:szCs w:val="16"/>
            <w:lang w:val="hy-AM"/>
          </w:rPr>
          <w:t>https://www.azatutyun.am/a/there-are-closed-highways-in-armenia/32964957.html</w:t>
        </w:r>
      </w:hyperlink>
      <w:r>
        <w:rPr>
          <w:lang w:val="hy-AM"/>
        </w:rPr>
        <w:t xml:space="preserve"> </w:t>
      </w:r>
    </w:p>
  </w:footnote>
  <w:footnote w:id="45">
    <w:p w14:paraId="5443A491" w14:textId="77777777" w:rsidR="00147C8B" w:rsidRPr="00115506" w:rsidRDefault="00147C8B" w:rsidP="00957A78">
      <w:pPr>
        <w:pStyle w:val="FootnoteText"/>
        <w:rPr>
          <w:szCs w:val="16"/>
          <w:lang w:val="hy-AM"/>
        </w:rPr>
      </w:pPr>
      <w:r w:rsidRPr="00115506">
        <w:rPr>
          <w:rStyle w:val="FootnoteReference"/>
          <w:szCs w:val="16"/>
        </w:rPr>
        <w:footnoteRef/>
      </w:r>
      <w:r w:rsidRPr="00115506">
        <w:rPr>
          <w:szCs w:val="16"/>
          <w:lang w:val="hy-AM"/>
        </w:rPr>
        <w:t xml:space="preserve"> </w:t>
      </w:r>
      <w:hyperlink r:id="rId14" w:history="1">
        <w:r w:rsidRPr="00115506">
          <w:rPr>
            <w:rStyle w:val="Hyperlink"/>
            <w:szCs w:val="16"/>
            <w:lang w:val="hy-AM"/>
          </w:rPr>
          <w:t>https://www.arlis.am/Annexes/7/2023_N1717hav.1.pdf</w:t>
        </w:r>
      </w:hyperlink>
      <w:r w:rsidRPr="00115506">
        <w:rPr>
          <w:szCs w:val="16"/>
          <w:lang w:val="hy-AM"/>
        </w:rPr>
        <w:t xml:space="preserve"> </w:t>
      </w:r>
    </w:p>
  </w:footnote>
  <w:footnote w:id="46">
    <w:p w14:paraId="420D22D2" w14:textId="77777777" w:rsidR="00147C8B" w:rsidRPr="00696307" w:rsidRDefault="00147C8B" w:rsidP="00957A78">
      <w:pPr>
        <w:pStyle w:val="FootnoteText"/>
        <w:rPr>
          <w:sz w:val="18"/>
          <w:szCs w:val="18"/>
          <w:lang w:val="hy-AM"/>
        </w:rPr>
      </w:pPr>
      <w:r w:rsidRPr="00115506">
        <w:rPr>
          <w:rStyle w:val="FootnoteReference"/>
          <w:szCs w:val="16"/>
        </w:rPr>
        <w:footnoteRef/>
      </w:r>
      <w:r w:rsidRPr="00115506">
        <w:rPr>
          <w:szCs w:val="16"/>
          <w:lang w:val="hy-AM"/>
        </w:rPr>
        <w:t xml:space="preserve"> </w:t>
      </w:r>
      <w:hyperlink r:id="rId15" w:history="1">
        <w:r w:rsidRPr="00115506">
          <w:rPr>
            <w:rStyle w:val="Hyperlink"/>
            <w:szCs w:val="16"/>
            <w:lang w:val="hy-AM"/>
          </w:rPr>
          <w:t>https://www.arlis.am/DocumentView.aspx?DocID=173538</w:t>
        </w:r>
      </w:hyperlink>
      <w:r w:rsidRPr="00696307">
        <w:rPr>
          <w:sz w:val="18"/>
          <w:szCs w:val="18"/>
          <w:lang w:val="hy-AM"/>
        </w:rPr>
        <w:t xml:space="preserve"> </w:t>
      </w:r>
    </w:p>
  </w:footnote>
  <w:footnote w:id="47">
    <w:p w14:paraId="0CFDAB75" w14:textId="77777777" w:rsidR="00147C8B" w:rsidRDefault="00147C8B" w:rsidP="00957A78">
      <w:pPr>
        <w:spacing w:before="0" w:after="0" w:line="240" w:lineRule="auto"/>
        <w:rPr>
          <w:lang w:val="hy-AM"/>
        </w:rPr>
      </w:pPr>
      <w:r>
        <w:rPr>
          <w:rStyle w:val="FootnoteReference"/>
        </w:rPr>
        <w:footnoteRef/>
      </w:r>
      <w:r w:rsidRPr="003A0D38">
        <w:rPr>
          <w:lang w:val="hy-AM"/>
        </w:rPr>
        <w:t xml:space="preserve"> </w:t>
      </w:r>
      <w:r w:rsidRPr="0062475A">
        <w:rPr>
          <w:sz w:val="16"/>
          <w:szCs w:val="16"/>
          <w:lang w:val="hy-AM"/>
        </w:rPr>
        <w:t>ՀՀ ջերմոցային գազերի</w:t>
      </w:r>
      <w:r>
        <w:rPr>
          <w:sz w:val="16"/>
          <w:szCs w:val="16"/>
          <w:lang w:val="hy-AM"/>
        </w:rPr>
        <w:t xml:space="preserve"> </w:t>
      </w:r>
      <w:r w:rsidRPr="0062475A">
        <w:rPr>
          <w:sz w:val="16"/>
          <w:szCs w:val="16"/>
          <w:lang w:val="hy-AM"/>
        </w:rPr>
        <w:t>ցածր արտանետումներով զարգացման երկարաժամկետ ռազմավարություն (մինչև 2050թ</w:t>
      </w:r>
      <w:r>
        <w:rPr>
          <w:sz w:val="16"/>
          <w:szCs w:val="16"/>
          <w:lang w:val="hy-AM"/>
        </w:rPr>
        <w:t>.</w:t>
      </w:r>
      <w:r w:rsidRPr="0062475A">
        <w:rPr>
          <w:sz w:val="16"/>
          <w:szCs w:val="16"/>
          <w:lang w:val="hy-AM"/>
        </w:rPr>
        <w:t>)</w:t>
      </w:r>
    </w:p>
    <w:p w14:paraId="7AA760D2" w14:textId="77777777" w:rsidR="00147C8B" w:rsidRPr="003A0D38" w:rsidRDefault="00147C8B" w:rsidP="00957A78">
      <w:pPr>
        <w:pStyle w:val="FootnoteText"/>
        <w:rPr>
          <w:lang w:val="hy-AM"/>
        </w:rPr>
      </w:pPr>
    </w:p>
  </w:footnote>
  <w:footnote w:id="48">
    <w:p w14:paraId="023A56C6" w14:textId="77777777" w:rsidR="00147C8B" w:rsidRPr="005963A9" w:rsidRDefault="00147C8B" w:rsidP="00957A78">
      <w:pPr>
        <w:pStyle w:val="FootnoteText"/>
        <w:rPr>
          <w:lang w:val="hy-AM"/>
        </w:rPr>
      </w:pPr>
      <w:r w:rsidRPr="005963A9">
        <w:rPr>
          <w:sz w:val="18"/>
          <w:lang w:val="hy-AM"/>
        </w:rPr>
        <w:footnoteRef/>
      </w:r>
      <w:r w:rsidRPr="005963A9">
        <w:rPr>
          <w:sz w:val="18"/>
          <w:lang w:val="hy-AM"/>
        </w:rPr>
        <w:t xml:space="preserve"> Աղբյուրը՝ </w:t>
      </w:r>
      <w:r>
        <w:rPr>
          <w:sz w:val="18"/>
          <w:lang w:val="hy-AM"/>
        </w:rPr>
        <w:t>Մ</w:t>
      </w:r>
      <w:r w:rsidRPr="005963A9">
        <w:rPr>
          <w:sz w:val="18"/>
          <w:lang w:val="hy-AM"/>
        </w:rPr>
        <w:t>իջազգային իրավական հարցերով ներկայացուցչի գրասենյակ</w:t>
      </w:r>
      <w:r>
        <w:rPr>
          <w:sz w:val="18"/>
          <w:lang w:val="hy-AM"/>
        </w:rPr>
        <w:t xml:space="preserve">ի կայքէջ, </w:t>
      </w:r>
      <w:r w:rsidRPr="005963A9">
        <w:rPr>
          <w:sz w:val="18"/>
          <w:lang w:val="hy-AM"/>
        </w:rPr>
        <w:t>http://rilm.am</w:t>
      </w:r>
    </w:p>
  </w:footnote>
  <w:footnote w:id="49">
    <w:p w14:paraId="131F8E6C" w14:textId="77777777" w:rsidR="00147C8B" w:rsidRPr="00106FAC" w:rsidRDefault="00147C8B" w:rsidP="00957A78">
      <w:pPr>
        <w:pStyle w:val="FootnoteText"/>
        <w:rPr>
          <w:color w:val="ED7D31" w:themeColor="accent2"/>
          <w:sz w:val="18"/>
          <w:lang w:val="hy-AM"/>
        </w:rPr>
      </w:pPr>
      <w:r w:rsidRPr="005963A9">
        <w:rPr>
          <w:rStyle w:val="FootnoteReference"/>
          <w:sz w:val="18"/>
        </w:rPr>
        <w:footnoteRef/>
      </w:r>
      <w:r w:rsidRPr="005963A9">
        <w:rPr>
          <w:sz w:val="18"/>
          <w:lang w:val="hy-AM"/>
        </w:rPr>
        <w:t xml:space="preserve"> </w:t>
      </w:r>
      <w:r>
        <w:rPr>
          <w:sz w:val="18"/>
          <w:lang w:val="hy-AM"/>
        </w:rPr>
        <w:t>Ն</w:t>
      </w:r>
      <w:r w:rsidRPr="005963A9">
        <w:rPr>
          <w:sz w:val="18"/>
          <w:lang w:val="hy-AM"/>
        </w:rPr>
        <w:t xml:space="preserve">շված գումարը իր մեջ չի ներառում տոկոսները և արբիտրաժային ծախսերը: </w:t>
      </w:r>
    </w:p>
  </w:footnote>
  <w:footnote w:id="50">
    <w:p w14:paraId="3CA78A52" w14:textId="77777777" w:rsidR="00147C8B" w:rsidRDefault="00147C8B" w:rsidP="00957A78">
      <w:pPr>
        <w:pStyle w:val="Footnote"/>
        <w:ind w:right="1826"/>
      </w:pPr>
      <w:r>
        <w:rPr>
          <w:rStyle w:val="FootnoteReference"/>
        </w:rPr>
        <w:footnoteRef/>
      </w:r>
      <w:r w:rsidRPr="002A3BB6">
        <w:t xml:space="preserve"> Մինչև 2020 թվականը հարկային ծախսերի գնահատականներում ԱՁ-ների (ֆիզիկական անձանց) շահույթի գծով հարկային ծախսերը ներառված էին եկամտային հարկի բաժնում</w:t>
      </w:r>
      <w:r>
        <w:t xml:space="preserve">: </w:t>
      </w:r>
    </w:p>
    <w:p w14:paraId="02724868" w14:textId="77777777" w:rsidR="00147C8B" w:rsidRPr="002A3BB6" w:rsidRDefault="00147C8B" w:rsidP="00957A78">
      <w:pPr>
        <w:pStyle w:val="Footnote"/>
        <w:ind w:right="1826"/>
      </w:pPr>
    </w:p>
  </w:footnote>
  <w:footnote w:id="51">
    <w:p w14:paraId="75505E5F" w14:textId="166A8304" w:rsidR="00147C8B" w:rsidRPr="00F41513" w:rsidRDefault="00147C8B" w:rsidP="00957A78">
      <w:pPr>
        <w:pStyle w:val="Footnote"/>
        <w:ind w:right="1826"/>
      </w:pPr>
      <w:r w:rsidRPr="00F41513">
        <w:rPr>
          <w:vertAlign w:val="superscript"/>
        </w:rPr>
        <w:footnoteRef/>
      </w:r>
      <w:r w:rsidRPr="00F41513">
        <w:t xml:space="preserve"> </w:t>
      </w:r>
      <w:r w:rsidRPr="0031294C">
        <w:t>2026թ. եկամտային հարկի գծով հարկային ծախսերի մեջ հի</w:t>
      </w:r>
      <w:r>
        <w:t>փ</w:t>
      </w:r>
      <w:r w:rsidRPr="0031294C">
        <w:t>ո</w:t>
      </w:r>
      <w:r>
        <w:t>թ</w:t>
      </w:r>
      <w:r w:rsidRPr="0031294C">
        <w:t>ե</w:t>
      </w:r>
      <w:r>
        <w:t>ք</w:t>
      </w:r>
      <w:r w:rsidRPr="0031294C">
        <w:t>ային վարկերի տոկոսների սպասարկման համար վերադարձված եկամտային հարկը ներառված չէ, հաշվի առնելով, որ բյուջետային կանոնների համաձայն այսուհետ այն հարկային եկամուտներից չի նվազեցվում</w:t>
      </w:r>
      <w:r w:rsidRPr="00F41513">
        <w:t>:</w:t>
      </w:r>
    </w:p>
  </w:footnote>
  <w:footnote w:id="52">
    <w:p w14:paraId="2741633E" w14:textId="0F30F0D2" w:rsidR="00147C8B" w:rsidRPr="0031294C" w:rsidRDefault="00147C8B" w:rsidP="00957A78">
      <w:pPr>
        <w:pStyle w:val="Footnote"/>
        <w:ind w:right="1826"/>
      </w:pPr>
      <w:r w:rsidRPr="00F41513">
        <w:rPr>
          <w:vertAlign w:val="superscript"/>
        </w:rPr>
        <w:footnoteRef/>
      </w:r>
      <w:r w:rsidRPr="00F41513">
        <w:t xml:space="preserve"> </w:t>
      </w:r>
      <w:r w:rsidRPr="0031294C">
        <w:t>ԱԱՀ-ի շեմի գծով հարկային ծախսերի գնահատման համար ԱԱՀ-ի շեմն ընդունվել է 115.0 մլն դրամ:</w:t>
      </w:r>
    </w:p>
  </w:footnote>
  <w:footnote w:id="53">
    <w:p w14:paraId="12890E54" w14:textId="77777777" w:rsidR="00147C8B" w:rsidRPr="003B44F2" w:rsidRDefault="00147C8B" w:rsidP="00957A78">
      <w:pPr>
        <w:pStyle w:val="FootnoteText"/>
        <w:rPr>
          <w:lang w:val="hy-AM"/>
        </w:rPr>
      </w:pPr>
      <w:r>
        <w:rPr>
          <w:rStyle w:val="FootnoteReference"/>
        </w:rPr>
        <w:footnoteRef/>
      </w:r>
      <w:r w:rsidRPr="003B44F2">
        <w:rPr>
          <w:lang w:val="hy-AM"/>
        </w:rPr>
        <w:t xml:space="preserve"> </w:t>
      </w:r>
      <w:r w:rsidRPr="003B44F2">
        <w:rPr>
          <w:i/>
          <w:color w:val="E7E6E6" w:themeColor="background2"/>
          <w:sz w:val="16"/>
          <w:szCs w:val="18"/>
          <w:lang w:val="hy-AM"/>
          <w14:textFill>
            <w14:solidFill>
              <w14:schemeClr w14:val="bg2">
                <w14:lumMod w14:val="90000"/>
                <w14:lumMod w14:val="40000"/>
                <w14:lumOff w14:val="60000"/>
                <w14:lumMod w14:val="75000"/>
                <w14:lumMod w14:val="90000"/>
              </w14:schemeClr>
            </w14:solidFill>
          </w14:textFill>
        </w:rPr>
        <w:t>Կրկնահաշվարկներից խուսափելու նպատակով շահութահարկի և ԱԱՀ-ի բազաները ճշգրտվել են (նվազեցվել են) շրջանառության հարկի արտոնություն ունեցող հարկ վճարողների եկամուտների չափով:</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5E6F06"/>
    <w:multiLevelType w:val="hybridMultilevel"/>
    <w:tmpl w:val="10200C82"/>
    <w:lvl w:ilvl="0" w:tplc="414A0FB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D913783"/>
    <w:multiLevelType w:val="hybridMultilevel"/>
    <w:tmpl w:val="E6921642"/>
    <w:lvl w:ilvl="0" w:tplc="5218D098">
      <w:start w:val="1"/>
      <w:numFmt w:val="decimal"/>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2" w15:restartNumberingAfterBreak="0">
    <w:nsid w:val="10874564"/>
    <w:multiLevelType w:val="hybridMultilevel"/>
    <w:tmpl w:val="7F9C10CC"/>
    <w:lvl w:ilvl="0" w:tplc="04090001">
      <w:start w:val="1"/>
      <w:numFmt w:val="bullet"/>
      <w:lvlText w:val=""/>
      <w:lvlJc w:val="left"/>
      <w:pPr>
        <w:ind w:left="1152" w:hanging="360"/>
      </w:pPr>
      <w:rPr>
        <w:rFonts w:ascii="Symbol" w:hAnsi="Symbol" w:hint="default"/>
      </w:rPr>
    </w:lvl>
    <w:lvl w:ilvl="1" w:tplc="04090003" w:tentative="1">
      <w:start w:val="1"/>
      <w:numFmt w:val="bullet"/>
      <w:lvlText w:val="o"/>
      <w:lvlJc w:val="left"/>
      <w:pPr>
        <w:ind w:left="1872" w:hanging="360"/>
      </w:pPr>
      <w:rPr>
        <w:rFonts w:ascii="Courier New" w:hAnsi="Courier New" w:cs="Courier New" w:hint="default"/>
      </w:rPr>
    </w:lvl>
    <w:lvl w:ilvl="2" w:tplc="04090005" w:tentative="1">
      <w:start w:val="1"/>
      <w:numFmt w:val="bullet"/>
      <w:lvlText w:val=""/>
      <w:lvlJc w:val="left"/>
      <w:pPr>
        <w:ind w:left="2592" w:hanging="360"/>
      </w:pPr>
      <w:rPr>
        <w:rFonts w:ascii="Wingdings" w:hAnsi="Wingdings" w:hint="default"/>
      </w:rPr>
    </w:lvl>
    <w:lvl w:ilvl="3" w:tplc="04090001" w:tentative="1">
      <w:start w:val="1"/>
      <w:numFmt w:val="bullet"/>
      <w:lvlText w:val=""/>
      <w:lvlJc w:val="left"/>
      <w:pPr>
        <w:ind w:left="3312" w:hanging="360"/>
      </w:pPr>
      <w:rPr>
        <w:rFonts w:ascii="Symbol" w:hAnsi="Symbol" w:hint="default"/>
      </w:rPr>
    </w:lvl>
    <w:lvl w:ilvl="4" w:tplc="04090003" w:tentative="1">
      <w:start w:val="1"/>
      <w:numFmt w:val="bullet"/>
      <w:lvlText w:val="o"/>
      <w:lvlJc w:val="left"/>
      <w:pPr>
        <w:ind w:left="4032" w:hanging="360"/>
      </w:pPr>
      <w:rPr>
        <w:rFonts w:ascii="Courier New" w:hAnsi="Courier New" w:cs="Courier New" w:hint="default"/>
      </w:rPr>
    </w:lvl>
    <w:lvl w:ilvl="5" w:tplc="04090005" w:tentative="1">
      <w:start w:val="1"/>
      <w:numFmt w:val="bullet"/>
      <w:lvlText w:val=""/>
      <w:lvlJc w:val="left"/>
      <w:pPr>
        <w:ind w:left="4752" w:hanging="360"/>
      </w:pPr>
      <w:rPr>
        <w:rFonts w:ascii="Wingdings" w:hAnsi="Wingdings" w:hint="default"/>
      </w:rPr>
    </w:lvl>
    <w:lvl w:ilvl="6" w:tplc="04090001" w:tentative="1">
      <w:start w:val="1"/>
      <w:numFmt w:val="bullet"/>
      <w:lvlText w:val=""/>
      <w:lvlJc w:val="left"/>
      <w:pPr>
        <w:ind w:left="5472" w:hanging="360"/>
      </w:pPr>
      <w:rPr>
        <w:rFonts w:ascii="Symbol" w:hAnsi="Symbol" w:hint="default"/>
      </w:rPr>
    </w:lvl>
    <w:lvl w:ilvl="7" w:tplc="04090003" w:tentative="1">
      <w:start w:val="1"/>
      <w:numFmt w:val="bullet"/>
      <w:lvlText w:val="o"/>
      <w:lvlJc w:val="left"/>
      <w:pPr>
        <w:ind w:left="6192" w:hanging="360"/>
      </w:pPr>
      <w:rPr>
        <w:rFonts w:ascii="Courier New" w:hAnsi="Courier New" w:cs="Courier New" w:hint="default"/>
      </w:rPr>
    </w:lvl>
    <w:lvl w:ilvl="8" w:tplc="04090005" w:tentative="1">
      <w:start w:val="1"/>
      <w:numFmt w:val="bullet"/>
      <w:lvlText w:val=""/>
      <w:lvlJc w:val="left"/>
      <w:pPr>
        <w:ind w:left="6912" w:hanging="360"/>
      </w:pPr>
      <w:rPr>
        <w:rFonts w:ascii="Wingdings" w:hAnsi="Wingdings" w:hint="default"/>
      </w:rPr>
    </w:lvl>
  </w:abstractNum>
  <w:abstractNum w:abstractNumId="3" w15:restartNumberingAfterBreak="0">
    <w:nsid w:val="125D3593"/>
    <w:multiLevelType w:val="hybridMultilevel"/>
    <w:tmpl w:val="BB6A60DE"/>
    <w:lvl w:ilvl="0" w:tplc="1828113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17AC4F24"/>
    <w:multiLevelType w:val="hybridMultilevel"/>
    <w:tmpl w:val="B49A2F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8C85AAC"/>
    <w:multiLevelType w:val="hybridMultilevel"/>
    <w:tmpl w:val="2D56BB66"/>
    <w:lvl w:ilvl="0" w:tplc="EDE6366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CA7644D"/>
    <w:multiLevelType w:val="hybridMultilevel"/>
    <w:tmpl w:val="6704A4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1C258E5"/>
    <w:multiLevelType w:val="hybridMultilevel"/>
    <w:tmpl w:val="830AB8EE"/>
    <w:lvl w:ilvl="0" w:tplc="49CECB08">
      <w:start w:val="1"/>
      <w:numFmt w:val="decimal"/>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8" w15:restartNumberingAfterBreak="0">
    <w:nsid w:val="27B2122F"/>
    <w:multiLevelType w:val="hybridMultilevel"/>
    <w:tmpl w:val="9CF299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80B781C"/>
    <w:multiLevelType w:val="hybridMultilevel"/>
    <w:tmpl w:val="A596D64E"/>
    <w:lvl w:ilvl="0" w:tplc="C7B27C36">
      <w:start w:val="1"/>
      <w:numFmt w:val="decimal"/>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10" w15:restartNumberingAfterBreak="0">
    <w:nsid w:val="29A85016"/>
    <w:multiLevelType w:val="hybridMultilevel"/>
    <w:tmpl w:val="ED546316"/>
    <w:lvl w:ilvl="0" w:tplc="5D52694C">
      <w:start w:val="1"/>
      <w:numFmt w:val="decimal"/>
      <w:lvlText w:val="%1)"/>
      <w:lvlJc w:val="left"/>
      <w:pPr>
        <w:ind w:left="928" w:hanging="360"/>
      </w:pPr>
      <w:rPr>
        <w:rFonts w:hint="default"/>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11" w15:restartNumberingAfterBreak="0">
    <w:nsid w:val="2B342129"/>
    <w:multiLevelType w:val="hybridMultilevel"/>
    <w:tmpl w:val="A8068C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CC83565"/>
    <w:multiLevelType w:val="hybridMultilevel"/>
    <w:tmpl w:val="3B44317E"/>
    <w:lvl w:ilvl="0" w:tplc="04090001">
      <w:start w:val="1"/>
      <w:numFmt w:val="bullet"/>
      <w:lvlText w:val=""/>
      <w:lvlJc w:val="left"/>
      <w:pPr>
        <w:ind w:left="1152" w:hanging="360"/>
      </w:pPr>
      <w:rPr>
        <w:rFonts w:ascii="Symbol" w:hAnsi="Symbol" w:hint="default"/>
      </w:rPr>
    </w:lvl>
    <w:lvl w:ilvl="1" w:tplc="04090003" w:tentative="1">
      <w:start w:val="1"/>
      <w:numFmt w:val="bullet"/>
      <w:lvlText w:val="o"/>
      <w:lvlJc w:val="left"/>
      <w:pPr>
        <w:ind w:left="1872" w:hanging="360"/>
      </w:pPr>
      <w:rPr>
        <w:rFonts w:ascii="Courier New" w:hAnsi="Courier New" w:cs="Courier New" w:hint="default"/>
      </w:rPr>
    </w:lvl>
    <w:lvl w:ilvl="2" w:tplc="04090005" w:tentative="1">
      <w:start w:val="1"/>
      <w:numFmt w:val="bullet"/>
      <w:lvlText w:val=""/>
      <w:lvlJc w:val="left"/>
      <w:pPr>
        <w:ind w:left="2592" w:hanging="360"/>
      </w:pPr>
      <w:rPr>
        <w:rFonts w:ascii="Wingdings" w:hAnsi="Wingdings" w:hint="default"/>
      </w:rPr>
    </w:lvl>
    <w:lvl w:ilvl="3" w:tplc="04090001" w:tentative="1">
      <w:start w:val="1"/>
      <w:numFmt w:val="bullet"/>
      <w:lvlText w:val=""/>
      <w:lvlJc w:val="left"/>
      <w:pPr>
        <w:ind w:left="3312" w:hanging="360"/>
      </w:pPr>
      <w:rPr>
        <w:rFonts w:ascii="Symbol" w:hAnsi="Symbol" w:hint="default"/>
      </w:rPr>
    </w:lvl>
    <w:lvl w:ilvl="4" w:tplc="04090003" w:tentative="1">
      <w:start w:val="1"/>
      <w:numFmt w:val="bullet"/>
      <w:lvlText w:val="o"/>
      <w:lvlJc w:val="left"/>
      <w:pPr>
        <w:ind w:left="4032" w:hanging="360"/>
      </w:pPr>
      <w:rPr>
        <w:rFonts w:ascii="Courier New" w:hAnsi="Courier New" w:cs="Courier New" w:hint="default"/>
      </w:rPr>
    </w:lvl>
    <w:lvl w:ilvl="5" w:tplc="04090005" w:tentative="1">
      <w:start w:val="1"/>
      <w:numFmt w:val="bullet"/>
      <w:lvlText w:val=""/>
      <w:lvlJc w:val="left"/>
      <w:pPr>
        <w:ind w:left="4752" w:hanging="360"/>
      </w:pPr>
      <w:rPr>
        <w:rFonts w:ascii="Wingdings" w:hAnsi="Wingdings" w:hint="default"/>
      </w:rPr>
    </w:lvl>
    <w:lvl w:ilvl="6" w:tplc="04090001" w:tentative="1">
      <w:start w:val="1"/>
      <w:numFmt w:val="bullet"/>
      <w:lvlText w:val=""/>
      <w:lvlJc w:val="left"/>
      <w:pPr>
        <w:ind w:left="5472" w:hanging="360"/>
      </w:pPr>
      <w:rPr>
        <w:rFonts w:ascii="Symbol" w:hAnsi="Symbol" w:hint="default"/>
      </w:rPr>
    </w:lvl>
    <w:lvl w:ilvl="7" w:tplc="04090003" w:tentative="1">
      <w:start w:val="1"/>
      <w:numFmt w:val="bullet"/>
      <w:lvlText w:val="o"/>
      <w:lvlJc w:val="left"/>
      <w:pPr>
        <w:ind w:left="6192" w:hanging="360"/>
      </w:pPr>
      <w:rPr>
        <w:rFonts w:ascii="Courier New" w:hAnsi="Courier New" w:cs="Courier New" w:hint="default"/>
      </w:rPr>
    </w:lvl>
    <w:lvl w:ilvl="8" w:tplc="04090005" w:tentative="1">
      <w:start w:val="1"/>
      <w:numFmt w:val="bullet"/>
      <w:lvlText w:val=""/>
      <w:lvlJc w:val="left"/>
      <w:pPr>
        <w:ind w:left="6912" w:hanging="360"/>
      </w:pPr>
      <w:rPr>
        <w:rFonts w:ascii="Wingdings" w:hAnsi="Wingdings" w:hint="default"/>
      </w:rPr>
    </w:lvl>
  </w:abstractNum>
  <w:abstractNum w:abstractNumId="13" w15:restartNumberingAfterBreak="0">
    <w:nsid w:val="2DE611D9"/>
    <w:multiLevelType w:val="hybridMultilevel"/>
    <w:tmpl w:val="D9565CB4"/>
    <w:lvl w:ilvl="0" w:tplc="414A0FB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4D516F7"/>
    <w:multiLevelType w:val="hybridMultilevel"/>
    <w:tmpl w:val="5C0229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8B70647"/>
    <w:multiLevelType w:val="hybridMultilevel"/>
    <w:tmpl w:val="F044F36C"/>
    <w:lvl w:ilvl="0" w:tplc="79D8E8D2">
      <w:start w:val="1"/>
      <w:numFmt w:val="decimal"/>
      <w:pStyle w:val="StyleGHEAGrapalatJustifiedBefore12pt"/>
      <w:lvlText w:val="%1."/>
      <w:lvlJc w:val="left"/>
      <w:pPr>
        <w:ind w:left="720" w:hanging="360"/>
      </w:pPr>
    </w:lvl>
    <w:lvl w:ilvl="1" w:tplc="04090019">
      <w:start w:val="1"/>
      <w:numFmt w:val="lowerLetter"/>
      <w:pStyle w:val="KLegalHeading2"/>
      <w:lvlText w:val="%2."/>
      <w:lvlJc w:val="left"/>
      <w:pPr>
        <w:ind w:left="1440" w:hanging="360"/>
      </w:pPr>
    </w:lvl>
    <w:lvl w:ilvl="2" w:tplc="0409001B">
      <w:start w:val="1"/>
      <w:numFmt w:val="lowerRoman"/>
      <w:pStyle w:val="KLegalHeading3"/>
      <w:lvlText w:val="%3."/>
      <w:lvlJc w:val="right"/>
      <w:pPr>
        <w:ind w:left="2160" w:hanging="180"/>
      </w:pPr>
    </w:lvl>
    <w:lvl w:ilvl="3" w:tplc="0409000F">
      <w:start w:val="1"/>
      <w:numFmt w:val="decimal"/>
      <w:pStyle w:val="KLegalHeading4"/>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397E437C"/>
    <w:multiLevelType w:val="hybridMultilevel"/>
    <w:tmpl w:val="4880B8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BE50728"/>
    <w:multiLevelType w:val="hybridMultilevel"/>
    <w:tmpl w:val="6890EA06"/>
    <w:lvl w:ilvl="0" w:tplc="042B000F">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8" w15:restartNumberingAfterBreak="0">
    <w:nsid w:val="3BFC7372"/>
    <w:multiLevelType w:val="hybridMultilevel"/>
    <w:tmpl w:val="6D6C35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CC3328E"/>
    <w:multiLevelType w:val="hybridMultilevel"/>
    <w:tmpl w:val="3F3C7586"/>
    <w:lvl w:ilvl="0" w:tplc="0409000F">
      <w:start w:val="1"/>
      <w:numFmt w:val="decimal"/>
      <w:lvlText w:val="%1."/>
      <w:lvlJc w:val="left"/>
      <w:pPr>
        <w:ind w:left="1070" w:hanging="360"/>
      </w:pPr>
      <w:rPr>
        <w:strike w:val="0"/>
      </w:rPr>
    </w:lvl>
    <w:lvl w:ilvl="1" w:tplc="04090019" w:tentative="1">
      <w:start w:val="1"/>
      <w:numFmt w:val="lowerLetter"/>
      <w:lvlText w:val="%2."/>
      <w:lvlJc w:val="left"/>
      <w:pPr>
        <w:ind w:left="1872" w:hanging="360"/>
      </w:pPr>
    </w:lvl>
    <w:lvl w:ilvl="2" w:tplc="0409001B" w:tentative="1">
      <w:start w:val="1"/>
      <w:numFmt w:val="lowerRoman"/>
      <w:lvlText w:val="%3."/>
      <w:lvlJc w:val="right"/>
      <w:pPr>
        <w:ind w:left="2592" w:hanging="180"/>
      </w:pPr>
    </w:lvl>
    <w:lvl w:ilvl="3" w:tplc="0409000F" w:tentative="1">
      <w:start w:val="1"/>
      <w:numFmt w:val="decimal"/>
      <w:lvlText w:val="%4."/>
      <w:lvlJc w:val="left"/>
      <w:pPr>
        <w:ind w:left="3312" w:hanging="360"/>
      </w:pPr>
    </w:lvl>
    <w:lvl w:ilvl="4" w:tplc="04090019" w:tentative="1">
      <w:start w:val="1"/>
      <w:numFmt w:val="lowerLetter"/>
      <w:lvlText w:val="%5."/>
      <w:lvlJc w:val="left"/>
      <w:pPr>
        <w:ind w:left="4032" w:hanging="360"/>
      </w:pPr>
    </w:lvl>
    <w:lvl w:ilvl="5" w:tplc="0409001B" w:tentative="1">
      <w:start w:val="1"/>
      <w:numFmt w:val="lowerRoman"/>
      <w:lvlText w:val="%6."/>
      <w:lvlJc w:val="right"/>
      <w:pPr>
        <w:ind w:left="4752" w:hanging="180"/>
      </w:pPr>
    </w:lvl>
    <w:lvl w:ilvl="6" w:tplc="0409000F" w:tentative="1">
      <w:start w:val="1"/>
      <w:numFmt w:val="decimal"/>
      <w:lvlText w:val="%7."/>
      <w:lvlJc w:val="left"/>
      <w:pPr>
        <w:ind w:left="5472" w:hanging="360"/>
      </w:pPr>
    </w:lvl>
    <w:lvl w:ilvl="7" w:tplc="04090019" w:tentative="1">
      <w:start w:val="1"/>
      <w:numFmt w:val="lowerLetter"/>
      <w:lvlText w:val="%8."/>
      <w:lvlJc w:val="left"/>
      <w:pPr>
        <w:ind w:left="6192" w:hanging="360"/>
      </w:pPr>
    </w:lvl>
    <w:lvl w:ilvl="8" w:tplc="0409001B" w:tentative="1">
      <w:start w:val="1"/>
      <w:numFmt w:val="lowerRoman"/>
      <w:lvlText w:val="%9."/>
      <w:lvlJc w:val="right"/>
      <w:pPr>
        <w:ind w:left="6912" w:hanging="180"/>
      </w:pPr>
    </w:lvl>
  </w:abstractNum>
  <w:abstractNum w:abstractNumId="20" w15:restartNumberingAfterBreak="0">
    <w:nsid w:val="3F3E5CE2"/>
    <w:multiLevelType w:val="hybridMultilevel"/>
    <w:tmpl w:val="4CF0273A"/>
    <w:lvl w:ilvl="0" w:tplc="03AC5E3C">
      <w:start w:val="1"/>
      <w:numFmt w:val="bullet"/>
      <w:pStyle w:val="Heading1"/>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1396CB0"/>
    <w:multiLevelType w:val="hybridMultilevel"/>
    <w:tmpl w:val="C4B6EFBA"/>
    <w:lvl w:ilvl="0" w:tplc="04090001">
      <w:start w:val="1"/>
      <w:numFmt w:val="bullet"/>
      <w:lvlText w:val=""/>
      <w:lvlJc w:val="left"/>
      <w:pPr>
        <w:ind w:left="1152" w:hanging="360"/>
      </w:pPr>
      <w:rPr>
        <w:rFonts w:ascii="Symbol" w:hAnsi="Symbol" w:hint="default"/>
      </w:rPr>
    </w:lvl>
    <w:lvl w:ilvl="1" w:tplc="04090003" w:tentative="1">
      <w:start w:val="1"/>
      <w:numFmt w:val="bullet"/>
      <w:lvlText w:val="o"/>
      <w:lvlJc w:val="left"/>
      <w:pPr>
        <w:ind w:left="1872" w:hanging="360"/>
      </w:pPr>
      <w:rPr>
        <w:rFonts w:ascii="Courier New" w:hAnsi="Courier New" w:cs="Courier New" w:hint="default"/>
      </w:rPr>
    </w:lvl>
    <w:lvl w:ilvl="2" w:tplc="04090005" w:tentative="1">
      <w:start w:val="1"/>
      <w:numFmt w:val="bullet"/>
      <w:lvlText w:val=""/>
      <w:lvlJc w:val="left"/>
      <w:pPr>
        <w:ind w:left="2592" w:hanging="360"/>
      </w:pPr>
      <w:rPr>
        <w:rFonts w:ascii="Wingdings" w:hAnsi="Wingdings" w:hint="default"/>
      </w:rPr>
    </w:lvl>
    <w:lvl w:ilvl="3" w:tplc="04090001" w:tentative="1">
      <w:start w:val="1"/>
      <w:numFmt w:val="bullet"/>
      <w:lvlText w:val=""/>
      <w:lvlJc w:val="left"/>
      <w:pPr>
        <w:ind w:left="3312" w:hanging="360"/>
      </w:pPr>
      <w:rPr>
        <w:rFonts w:ascii="Symbol" w:hAnsi="Symbol" w:hint="default"/>
      </w:rPr>
    </w:lvl>
    <w:lvl w:ilvl="4" w:tplc="04090003" w:tentative="1">
      <w:start w:val="1"/>
      <w:numFmt w:val="bullet"/>
      <w:lvlText w:val="o"/>
      <w:lvlJc w:val="left"/>
      <w:pPr>
        <w:ind w:left="4032" w:hanging="360"/>
      </w:pPr>
      <w:rPr>
        <w:rFonts w:ascii="Courier New" w:hAnsi="Courier New" w:cs="Courier New" w:hint="default"/>
      </w:rPr>
    </w:lvl>
    <w:lvl w:ilvl="5" w:tplc="04090005" w:tentative="1">
      <w:start w:val="1"/>
      <w:numFmt w:val="bullet"/>
      <w:lvlText w:val=""/>
      <w:lvlJc w:val="left"/>
      <w:pPr>
        <w:ind w:left="4752" w:hanging="360"/>
      </w:pPr>
      <w:rPr>
        <w:rFonts w:ascii="Wingdings" w:hAnsi="Wingdings" w:hint="default"/>
      </w:rPr>
    </w:lvl>
    <w:lvl w:ilvl="6" w:tplc="04090001" w:tentative="1">
      <w:start w:val="1"/>
      <w:numFmt w:val="bullet"/>
      <w:lvlText w:val=""/>
      <w:lvlJc w:val="left"/>
      <w:pPr>
        <w:ind w:left="5472" w:hanging="360"/>
      </w:pPr>
      <w:rPr>
        <w:rFonts w:ascii="Symbol" w:hAnsi="Symbol" w:hint="default"/>
      </w:rPr>
    </w:lvl>
    <w:lvl w:ilvl="7" w:tplc="04090003" w:tentative="1">
      <w:start w:val="1"/>
      <w:numFmt w:val="bullet"/>
      <w:lvlText w:val="o"/>
      <w:lvlJc w:val="left"/>
      <w:pPr>
        <w:ind w:left="6192" w:hanging="360"/>
      </w:pPr>
      <w:rPr>
        <w:rFonts w:ascii="Courier New" w:hAnsi="Courier New" w:cs="Courier New" w:hint="default"/>
      </w:rPr>
    </w:lvl>
    <w:lvl w:ilvl="8" w:tplc="04090005" w:tentative="1">
      <w:start w:val="1"/>
      <w:numFmt w:val="bullet"/>
      <w:lvlText w:val=""/>
      <w:lvlJc w:val="left"/>
      <w:pPr>
        <w:ind w:left="6912" w:hanging="360"/>
      </w:pPr>
      <w:rPr>
        <w:rFonts w:ascii="Wingdings" w:hAnsi="Wingdings" w:hint="default"/>
      </w:rPr>
    </w:lvl>
  </w:abstractNum>
  <w:abstractNum w:abstractNumId="22" w15:restartNumberingAfterBreak="0">
    <w:nsid w:val="43513303"/>
    <w:multiLevelType w:val="hybridMultilevel"/>
    <w:tmpl w:val="93686C38"/>
    <w:lvl w:ilvl="0" w:tplc="0409000F">
      <w:start w:val="1"/>
      <w:numFmt w:val="decimal"/>
      <w:lvlText w:val="%1."/>
      <w:lvlJc w:val="left"/>
      <w:pPr>
        <w:ind w:left="1152" w:hanging="360"/>
      </w:pPr>
    </w:lvl>
    <w:lvl w:ilvl="1" w:tplc="04090019" w:tentative="1">
      <w:start w:val="1"/>
      <w:numFmt w:val="lowerLetter"/>
      <w:lvlText w:val="%2."/>
      <w:lvlJc w:val="left"/>
      <w:pPr>
        <w:ind w:left="1872" w:hanging="360"/>
      </w:pPr>
    </w:lvl>
    <w:lvl w:ilvl="2" w:tplc="0409001B" w:tentative="1">
      <w:start w:val="1"/>
      <w:numFmt w:val="lowerRoman"/>
      <w:lvlText w:val="%3."/>
      <w:lvlJc w:val="right"/>
      <w:pPr>
        <w:ind w:left="2592" w:hanging="180"/>
      </w:pPr>
    </w:lvl>
    <w:lvl w:ilvl="3" w:tplc="0409000F" w:tentative="1">
      <w:start w:val="1"/>
      <w:numFmt w:val="decimal"/>
      <w:lvlText w:val="%4."/>
      <w:lvlJc w:val="left"/>
      <w:pPr>
        <w:ind w:left="3312" w:hanging="360"/>
      </w:pPr>
    </w:lvl>
    <w:lvl w:ilvl="4" w:tplc="04090019" w:tentative="1">
      <w:start w:val="1"/>
      <w:numFmt w:val="lowerLetter"/>
      <w:lvlText w:val="%5."/>
      <w:lvlJc w:val="left"/>
      <w:pPr>
        <w:ind w:left="4032" w:hanging="360"/>
      </w:pPr>
    </w:lvl>
    <w:lvl w:ilvl="5" w:tplc="0409001B" w:tentative="1">
      <w:start w:val="1"/>
      <w:numFmt w:val="lowerRoman"/>
      <w:lvlText w:val="%6."/>
      <w:lvlJc w:val="right"/>
      <w:pPr>
        <w:ind w:left="4752" w:hanging="180"/>
      </w:pPr>
    </w:lvl>
    <w:lvl w:ilvl="6" w:tplc="0409000F" w:tentative="1">
      <w:start w:val="1"/>
      <w:numFmt w:val="decimal"/>
      <w:lvlText w:val="%7."/>
      <w:lvlJc w:val="left"/>
      <w:pPr>
        <w:ind w:left="5472" w:hanging="360"/>
      </w:pPr>
    </w:lvl>
    <w:lvl w:ilvl="7" w:tplc="04090019" w:tentative="1">
      <w:start w:val="1"/>
      <w:numFmt w:val="lowerLetter"/>
      <w:lvlText w:val="%8."/>
      <w:lvlJc w:val="left"/>
      <w:pPr>
        <w:ind w:left="6192" w:hanging="360"/>
      </w:pPr>
    </w:lvl>
    <w:lvl w:ilvl="8" w:tplc="0409001B" w:tentative="1">
      <w:start w:val="1"/>
      <w:numFmt w:val="lowerRoman"/>
      <w:lvlText w:val="%9."/>
      <w:lvlJc w:val="right"/>
      <w:pPr>
        <w:ind w:left="6912" w:hanging="180"/>
      </w:pPr>
    </w:lvl>
  </w:abstractNum>
  <w:abstractNum w:abstractNumId="23" w15:restartNumberingAfterBreak="0">
    <w:nsid w:val="454814B3"/>
    <w:multiLevelType w:val="multilevel"/>
    <w:tmpl w:val="8DDCAE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4DF7344B"/>
    <w:multiLevelType w:val="hybridMultilevel"/>
    <w:tmpl w:val="C91CC4E2"/>
    <w:lvl w:ilvl="0" w:tplc="3500BE6C">
      <w:start w:val="1"/>
      <w:numFmt w:val="bullet"/>
      <w:pStyle w:val="BodytextBullets"/>
      <w:lvlText w:val=""/>
      <w:lvlJc w:val="left"/>
      <w:pPr>
        <w:ind w:left="360" w:hanging="360"/>
      </w:pPr>
      <w:rPr>
        <w:rFonts w:ascii="Symbol" w:hAnsi="Symbol" w:hint="default"/>
        <w:color w:val="44546A" w:themeColor="text2"/>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E54268C"/>
    <w:multiLevelType w:val="hybridMultilevel"/>
    <w:tmpl w:val="194025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F012748"/>
    <w:multiLevelType w:val="hybridMultilevel"/>
    <w:tmpl w:val="DEE0F514"/>
    <w:lvl w:ilvl="0" w:tplc="710C6728">
      <w:start w:val="1"/>
      <w:numFmt w:val="decimal"/>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27" w15:restartNumberingAfterBreak="0">
    <w:nsid w:val="50A05D30"/>
    <w:multiLevelType w:val="hybridMultilevel"/>
    <w:tmpl w:val="81D690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0B900FF"/>
    <w:multiLevelType w:val="hybridMultilevel"/>
    <w:tmpl w:val="D0C0DDE6"/>
    <w:lvl w:ilvl="0" w:tplc="04090011">
      <w:start w:val="1"/>
      <w:numFmt w:val="decimal"/>
      <w:lvlText w:val="%1)"/>
      <w:lvlJc w:val="left"/>
      <w:pPr>
        <w:ind w:left="928" w:hanging="360"/>
      </w:p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29" w15:restartNumberingAfterBreak="0">
    <w:nsid w:val="513825F0"/>
    <w:multiLevelType w:val="hybridMultilevel"/>
    <w:tmpl w:val="1EE21A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13D4E9A"/>
    <w:multiLevelType w:val="hybridMultilevel"/>
    <w:tmpl w:val="5DB09D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4076AC8"/>
    <w:multiLevelType w:val="hybridMultilevel"/>
    <w:tmpl w:val="A230B3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467329B"/>
    <w:multiLevelType w:val="hybridMultilevel"/>
    <w:tmpl w:val="5282A2E6"/>
    <w:lvl w:ilvl="0" w:tplc="04090001">
      <w:start w:val="1"/>
      <w:numFmt w:val="bullet"/>
      <w:lvlText w:val=""/>
      <w:lvlJc w:val="left"/>
      <w:pPr>
        <w:ind w:left="1215" w:hanging="360"/>
      </w:pPr>
      <w:rPr>
        <w:rFonts w:ascii="Symbol" w:hAnsi="Symbol" w:hint="default"/>
      </w:rPr>
    </w:lvl>
    <w:lvl w:ilvl="1" w:tplc="04090003" w:tentative="1">
      <w:start w:val="1"/>
      <w:numFmt w:val="bullet"/>
      <w:lvlText w:val="o"/>
      <w:lvlJc w:val="left"/>
      <w:pPr>
        <w:ind w:left="1935" w:hanging="360"/>
      </w:pPr>
      <w:rPr>
        <w:rFonts w:ascii="Courier New" w:hAnsi="Courier New" w:cs="Courier New" w:hint="default"/>
      </w:rPr>
    </w:lvl>
    <w:lvl w:ilvl="2" w:tplc="04090005" w:tentative="1">
      <w:start w:val="1"/>
      <w:numFmt w:val="bullet"/>
      <w:lvlText w:val=""/>
      <w:lvlJc w:val="left"/>
      <w:pPr>
        <w:ind w:left="2655" w:hanging="360"/>
      </w:pPr>
      <w:rPr>
        <w:rFonts w:ascii="Wingdings" w:hAnsi="Wingdings" w:hint="default"/>
      </w:rPr>
    </w:lvl>
    <w:lvl w:ilvl="3" w:tplc="04090001" w:tentative="1">
      <w:start w:val="1"/>
      <w:numFmt w:val="bullet"/>
      <w:lvlText w:val=""/>
      <w:lvlJc w:val="left"/>
      <w:pPr>
        <w:ind w:left="3375" w:hanging="360"/>
      </w:pPr>
      <w:rPr>
        <w:rFonts w:ascii="Symbol" w:hAnsi="Symbol" w:hint="default"/>
      </w:rPr>
    </w:lvl>
    <w:lvl w:ilvl="4" w:tplc="04090003" w:tentative="1">
      <w:start w:val="1"/>
      <w:numFmt w:val="bullet"/>
      <w:lvlText w:val="o"/>
      <w:lvlJc w:val="left"/>
      <w:pPr>
        <w:ind w:left="4095" w:hanging="360"/>
      </w:pPr>
      <w:rPr>
        <w:rFonts w:ascii="Courier New" w:hAnsi="Courier New" w:cs="Courier New" w:hint="default"/>
      </w:rPr>
    </w:lvl>
    <w:lvl w:ilvl="5" w:tplc="04090005" w:tentative="1">
      <w:start w:val="1"/>
      <w:numFmt w:val="bullet"/>
      <w:lvlText w:val=""/>
      <w:lvlJc w:val="left"/>
      <w:pPr>
        <w:ind w:left="4815" w:hanging="360"/>
      </w:pPr>
      <w:rPr>
        <w:rFonts w:ascii="Wingdings" w:hAnsi="Wingdings" w:hint="default"/>
      </w:rPr>
    </w:lvl>
    <w:lvl w:ilvl="6" w:tplc="04090001" w:tentative="1">
      <w:start w:val="1"/>
      <w:numFmt w:val="bullet"/>
      <w:lvlText w:val=""/>
      <w:lvlJc w:val="left"/>
      <w:pPr>
        <w:ind w:left="5535" w:hanging="360"/>
      </w:pPr>
      <w:rPr>
        <w:rFonts w:ascii="Symbol" w:hAnsi="Symbol" w:hint="default"/>
      </w:rPr>
    </w:lvl>
    <w:lvl w:ilvl="7" w:tplc="04090003" w:tentative="1">
      <w:start w:val="1"/>
      <w:numFmt w:val="bullet"/>
      <w:lvlText w:val="o"/>
      <w:lvlJc w:val="left"/>
      <w:pPr>
        <w:ind w:left="6255" w:hanging="360"/>
      </w:pPr>
      <w:rPr>
        <w:rFonts w:ascii="Courier New" w:hAnsi="Courier New" w:cs="Courier New" w:hint="default"/>
      </w:rPr>
    </w:lvl>
    <w:lvl w:ilvl="8" w:tplc="04090005" w:tentative="1">
      <w:start w:val="1"/>
      <w:numFmt w:val="bullet"/>
      <w:lvlText w:val=""/>
      <w:lvlJc w:val="left"/>
      <w:pPr>
        <w:ind w:left="6975" w:hanging="360"/>
      </w:pPr>
      <w:rPr>
        <w:rFonts w:ascii="Wingdings" w:hAnsi="Wingdings" w:hint="default"/>
      </w:rPr>
    </w:lvl>
  </w:abstractNum>
  <w:abstractNum w:abstractNumId="33" w15:restartNumberingAfterBreak="0">
    <w:nsid w:val="56247228"/>
    <w:multiLevelType w:val="hybridMultilevel"/>
    <w:tmpl w:val="69C88C5A"/>
    <w:lvl w:ilvl="0" w:tplc="04190001">
      <w:numFmt w:val="bullet"/>
      <w:lvlText w:val="-"/>
      <w:lvlJc w:val="left"/>
      <w:pPr>
        <w:tabs>
          <w:tab w:val="num" w:pos="360"/>
        </w:tabs>
        <w:ind w:left="0" w:firstLine="0"/>
      </w:pPr>
      <w:rPr>
        <w:rFonts w:ascii="Times Armenian" w:eastAsia="Times New Roman" w:hAnsi="Times Armeni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F12BF0"/>
    <w:multiLevelType w:val="hybridMultilevel"/>
    <w:tmpl w:val="D1FE86D0"/>
    <w:lvl w:ilvl="0" w:tplc="414A0FB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A761E34"/>
    <w:multiLevelType w:val="hybridMultilevel"/>
    <w:tmpl w:val="03C02330"/>
    <w:lvl w:ilvl="0" w:tplc="49D6164E">
      <w:start w:val="1"/>
      <w:numFmt w:val="decimal"/>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15:restartNumberingAfterBreak="0">
    <w:nsid w:val="5D7C21F8"/>
    <w:multiLevelType w:val="hybridMultilevel"/>
    <w:tmpl w:val="9F48FF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5E984937"/>
    <w:multiLevelType w:val="hybridMultilevel"/>
    <w:tmpl w:val="2AB00628"/>
    <w:lvl w:ilvl="0" w:tplc="E52A27B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0171044"/>
    <w:multiLevelType w:val="hybridMultilevel"/>
    <w:tmpl w:val="7A9051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60B7C26"/>
    <w:multiLevelType w:val="hybridMultilevel"/>
    <w:tmpl w:val="36223C64"/>
    <w:lvl w:ilvl="0" w:tplc="04090001">
      <w:start w:val="1"/>
      <w:numFmt w:val="bullet"/>
      <w:lvlText w:val=""/>
      <w:lvlJc w:val="left"/>
      <w:pPr>
        <w:ind w:left="1152" w:hanging="360"/>
      </w:pPr>
      <w:rPr>
        <w:rFonts w:ascii="Symbol" w:hAnsi="Symbol" w:hint="default"/>
      </w:rPr>
    </w:lvl>
    <w:lvl w:ilvl="1" w:tplc="04090003" w:tentative="1">
      <w:start w:val="1"/>
      <w:numFmt w:val="bullet"/>
      <w:lvlText w:val="o"/>
      <w:lvlJc w:val="left"/>
      <w:pPr>
        <w:ind w:left="1872" w:hanging="360"/>
      </w:pPr>
      <w:rPr>
        <w:rFonts w:ascii="Courier New" w:hAnsi="Courier New" w:cs="Courier New" w:hint="default"/>
      </w:rPr>
    </w:lvl>
    <w:lvl w:ilvl="2" w:tplc="04090005" w:tentative="1">
      <w:start w:val="1"/>
      <w:numFmt w:val="bullet"/>
      <w:lvlText w:val=""/>
      <w:lvlJc w:val="left"/>
      <w:pPr>
        <w:ind w:left="2592" w:hanging="360"/>
      </w:pPr>
      <w:rPr>
        <w:rFonts w:ascii="Wingdings" w:hAnsi="Wingdings" w:hint="default"/>
      </w:rPr>
    </w:lvl>
    <w:lvl w:ilvl="3" w:tplc="04090001" w:tentative="1">
      <w:start w:val="1"/>
      <w:numFmt w:val="bullet"/>
      <w:lvlText w:val=""/>
      <w:lvlJc w:val="left"/>
      <w:pPr>
        <w:ind w:left="3312" w:hanging="360"/>
      </w:pPr>
      <w:rPr>
        <w:rFonts w:ascii="Symbol" w:hAnsi="Symbol" w:hint="default"/>
      </w:rPr>
    </w:lvl>
    <w:lvl w:ilvl="4" w:tplc="04090003" w:tentative="1">
      <w:start w:val="1"/>
      <w:numFmt w:val="bullet"/>
      <w:lvlText w:val="o"/>
      <w:lvlJc w:val="left"/>
      <w:pPr>
        <w:ind w:left="4032" w:hanging="360"/>
      </w:pPr>
      <w:rPr>
        <w:rFonts w:ascii="Courier New" w:hAnsi="Courier New" w:cs="Courier New" w:hint="default"/>
      </w:rPr>
    </w:lvl>
    <w:lvl w:ilvl="5" w:tplc="04090005" w:tentative="1">
      <w:start w:val="1"/>
      <w:numFmt w:val="bullet"/>
      <w:lvlText w:val=""/>
      <w:lvlJc w:val="left"/>
      <w:pPr>
        <w:ind w:left="4752" w:hanging="360"/>
      </w:pPr>
      <w:rPr>
        <w:rFonts w:ascii="Wingdings" w:hAnsi="Wingdings" w:hint="default"/>
      </w:rPr>
    </w:lvl>
    <w:lvl w:ilvl="6" w:tplc="04090001" w:tentative="1">
      <w:start w:val="1"/>
      <w:numFmt w:val="bullet"/>
      <w:lvlText w:val=""/>
      <w:lvlJc w:val="left"/>
      <w:pPr>
        <w:ind w:left="5472" w:hanging="360"/>
      </w:pPr>
      <w:rPr>
        <w:rFonts w:ascii="Symbol" w:hAnsi="Symbol" w:hint="default"/>
      </w:rPr>
    </w:lvl>
    <w:lvl w:ilvl="7" w:tplc="04090003" w:tentative="1">
      <w:start w:val="1"/>
      <w:numFmt w:val="bullet"/>
      <w:lvlText w:val="o"/>
      <w:lvlJc w:val="left"/>
      <w:pPr>
        <w:ind w:left="6192" w:hanging="360"/>
      </w:pPr>
      <w:rPr>
        <w:rFonts w:ascii="Courier New" w:hAnsi="Courier New" w:cs="Courier New" w:hint="default"/>
      </w:rPr>
    </w:lvl>
    <w:lvl w:ilvl="8" w:tplc="04090005" w:tentative="1">
      <w:start w:val="1"/>
      <w:numFmt w:val="bullet"/>
      <w:lvlText w:val=""/>
      <w:lvlJc w:val="left"/>
      <w:pPr>
        <w:ind w:left="6912" w:hanging="360"/>
      </w:pPr>
      <w:rPr>
        <w:rFonts w:ascii="Wingdings" w:hAnsi="Wingdings" w:hint="default"/>
      </w:rPr>
    </w:lvl>
  </w:abstractNum>
  <w:abstractNum w:abstractNumId="40" w15:restartNumberingAfterBreak="0">
    <w:nsid w:val="6F6C442D"/>
    <w:multiLevelType w:val="hybridMultilevel"/>
    <w:tmpl w:val="8FA641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105144A"/>
    <w:multiLevelType w:val="hybridMultilevel"/>
    <w:tmpl w:val="189695BA"/>
    <w:lvl w:ilvl="0" w:tplc="04090011">
      <w:start w:val="1"/>
      <w:numFmt w:val="decimal"/>
      <w:lvlText w:val="%1)"/>
      <w:lvlJc w:val="left"/>
      <w:pPr>
        <w:ind w:left="928" w:hanging="360"/>
      </w:pPr>
    </w:lvl>
    <w:lvl w:ilvl="1" w:tplc="04090019" w:tentative="1">
      <w:start w:val="1"/>
      <w:numFmt w:val="lowerLetter"/>
      <w:lvlText w:val="%2."/>
      <w:lvlJc w:val="left"/>
      <w:pPr>
        <w:ind w:left="2053" w:hanging="360"/>
      </w:pPr>
    </w:lvl>
    <w:lvl w:ilvl="2" w:tplc="0409001B" w:tentative="1">
      <w:start w:val="1"/>
      <w:numFmt w:val="lowerRoman"/>
      <w:lvlText w:val="%3."/>
      <w:lvlJc w:val="right"/>
      <w:pPr>
        <w:ind w:left="2773" w:hanging="180"/>
      </w:pPr>
    </w:lvl>
    <w:lvl w:ilvl="3" w:tplc="0409000F" w:tentative="1">
      <w:start w:val="1"/>
      <w:numFmt w:val="decimal"/>
      <w:lvlText w:val="%4."/>
      <w:lvlJc w:val="left"/>
      <w:pPr>
        <w:ind w:left="3493" w:hanging="360"/>
      </w:pPr>
    </w:lvl>
    <w:lvl w:ilvl="4" w:tplc="04090019" w:tentative="1">
      <w:start w:val="1"/>
      <w:numFmt w:val="lowerLetter"/>
      <w:lvlText w:val="%5."/>
      <w:lvlJc w:val="left"/>
      <w:pPr>
        <w:ind w:left="4213" w:hanging="360"/>
      </w:pPr>
    </w:lvl>
    <w:lvl w:ilvl="5" w:tplc="0409001B" w:tentative="1">
      <w:start w:val="1"/>
      <w:numFmt w:val="lowerRoman"/>
      <w:lvlText w:val="%6."/>
      <w:lvlJc w:val="right"/>
      <w:pPr>
        <w:ind w:left="4933" w:hanging="180"/>
      </w:pPr>
    </w:lvl>
    <w:lvl w:ilvl="6" w:tplc="0409000F" w:tentative="1">
      <w:start w:val="1"/>
      <w:numFmt w:val="decimal"/>
      <w:lvlText w:val="%7."/>
      <w:lvlJc w:val="left"/>
      <w:pPr>
        <w:ind w:left="5653" w:hanging="360"/>
      </w:pPr>
    </w:lvl>
    <w:lvl w:ilvl="7" w:tplc="04090019" w:tentative="1">
      <w:start w:val="1"/>
      <w:numFmt w:val="lowerLetter"/>
      <w:lvlText w:val="%8."/>
      <w:lvlJc w:val="left"/>
      <w:pPr>
        <w:ind w:left="6373" w:hanging="360"/>
      </w:pPr>
    </w:lvl>
    <w:lvl w:ilvl="8" w:tplc="0409001B" w:tentative="1">
      <w:start w:val="1"/>
      <w:numFmt w:val="lowerRoman"/>
      <w:lvlText w:val="%9."/>
      <w:lvlJc w:val="right"/>
      <w:pPr>
        <w:ind w:left="7093" w:hanging="180"/>
      </w:pPr>
    </w:lvl>
  </w:abstractNum>
  <w:abstractNum w:abstractNumId="42" w15:restartNumberingAfterBreak="0">
    <w:nsid w:val="73472F69"/>
    <w:multiLevelType w:val="hybridMultilevel"/>
    <w:tmpl w:val="27C28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5A752B0"/>
    <w:multiLevelType w:val="hybridMultilevel"/>
    <w:tmpl w:val="E920104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20"/>
  </w:num>
  <w:num w:numId="2">
    <w:abstractNumId w:val="24"/>
  </w:num>
  <w:num w:numId="3">
    <w:abstractNumId w:val="8"/>
  </w:num>
  <w:num w:numId="4">
    <w:abstractNumId w:val="22"/>
  </w:num>
  <w:num w:numId="5">
    <w:abstractNumId w:val="24"/>
  </w:num>
  <w:num w:numId="6">
    <w:abstractNumId w:val="32"/>
  </w:num>
  <w:num w:numId="7">
    <w:abstractNumId w:val="7"/>
  </w:num>
  <w:num w:numId="8">
    <w:abstractNumId w:val="9"/>
  </w:num>
  <w:num w:numId="9">
    <w:abstractNumId w:val="1"/>
  </w:num>
  <w:num w:numId="10">
    <w:abstractNumId w:val="3"/>
  </w:num>
  <w:num w:numId="11">
    <w:abstractNumId w:val="35"/>
  </w:num>
  <w:num w:numId="12">
    <w:abstractNumId w:val="26"/>
  </w:num>
  <w:num w:numId="13">
    <w:abstractNumId w:val="27"/>
  </w:num>
  <w:num w:numId="14">
    <w:abstractNumId w:val="21"/>
  </w:num>
  <w:num w:numId="15">
    <w:abstractNumId w:val="2"/>
  </w:num>
  <w:num w:numId="16">
    <w:abstractNumId w:val="25"/>
  </w:num>
  <w:num w:numId="17">
    <w:abstractNumId w:val="11"/>
  </w:num>
  <w:num w:numId="18">
    <w:abstractNumId w:val="19"/>
  </w:num>
  <w:num w:numId="19">
    <w:abstractNumId w:val="10"/>
  </w:num>
  <w:num w:numId="20">
    <w:abstractNumId w:val="28"/>
  </w:num>
  <w:num w:numId="21">
    <w:abstractNumId w:val="41"/>
  </w:num>
  <w:num w:numId="22">
    <w:abstractNumId w:val="24"/>
  </w:num>
  <w:num w:numId="23">
    <w:abstractNumId w:val="14"/>
  </w:num>
  <w:num w:numId="24">
    <w:abstractNumId w:val="30"/>
  </w:num>
  <w:num w:numId="25">
    <w:abstractNumId w:val="37"/>
  </w:num>
  <w:num w:numId="26">
    <w:abstractNumId w:val="36"/>
  </w:num>
  <w:num w:numId="27">
    <w:abstractNumId w:val="6"/>
  </w:num>
  <w:num w:numId="28">
    <w:abstractNumId w:val="34"/>
  </w:num>
  <w:num w:numId="29">
    <w:abstractNumId w:val="0"/>
  </w:num>
  <w:num w:numId="30">
    <w:abstractNumId w:val="13"/>
  </w:num>
  <w:num w:numId="31">
    <w:abstractNumId w:val="5"/>
  </w:num>
  <w:num w:numId="32">
    <w:abstractNumId w:val="40"/>
  </w:num>
  <w:num w:numId="33">
    <w:abstractNumId w:val="42"/>
  </w:num>
  <w:num w:numId="34">
    <w:abstractNumId w:val="4"/>
  </w:num>
  <w:num w:numId="35">
    <w:abstractNumId w:val="31"/>
  </w:num>
  <w:num w:numId="36">
    <w:abstractNumId w:val="12"/>
  </w:num>
  <w:num w:numId="37">
    <w:abstractNumId w:val="29"/>
  </w:num>
  <w:num w:numId="38">
    <w:abstractNumId w:val="18"/>
  </w:num>
  <w:num w:numId="39">
    <w:abstractNumId w:val="39"/>
  </w:num>
  <w:num w:numId="40">
    <w:abstractNumId w:val="33"/>
  </w:num>
  <w:num w:numId="41">
    <w:abstractNumId w:val="17"/>
  </w:num>
  <w:num w:numId="42">
    <w:abstractNumId w:val="24"/>
  </w:num>
  <w:num w:numId="43">
    <w:abstractNumId w:val="23"/>
  </w:num>
  <w:num w:numId="44">
    <w:abstractNumId w:val="38"/>
  </w:num>
  <w:num w:numId="45">
    <w:abstractNumId w:val="16"/>
  </w:num>
  <w:num w:numId="46">
    <w:abstractNumId w:val="43"/>
  </w:num>
  <w:num w:numId="47">
    <w:abstractNumId w:val="24"/>
  </w:num>
  <w:num w:numId="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hideSpellingErrors/>
  <w:defaultTabStop w:val="288"/>
  <w:hyphenationZone w:val="141"/>
  <w:characterSpacingControl w:val="doNotCompress"/>
  <w:hdrShapeDefaults>
    <o:shapedefaults v:ext="edit" spidmax="307201">
      <o:colormru v:ext="edit" colors="#f5f5f5,#f7f7f7"/>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7731"/>
    <w:rsid w:val="00000440"/>
    <w:rsid w:val="00000552"/>
    <w:rsid w:val="00001823"/>
    <w:rsid w:val="00003AD9"/>
    <w:rsid w:val="0001225E"/>
    <w:rsid w:val="00015C38"/>
    <w:rsid w:val="000177A4"/>
    <w:rsid w:val="0002118E"/>
    <w:rsid w:val="0002553B"/>
    <w:rsid w:val="000278F5"/>
    <w:rsid w:val="00034D92"/>
    <w:rsid w:val="00035DC7"/>
    <w:rsid w:val="00036261"/>
    <w:rsid w:val="00040A7A"/>
    <w:rsid w:val="00043D52"/>
    <w:rsid w:val="00044198"/>
    <w:rsid w:val="000507FB"/>
    <w:rsid w:val="000515A3"/>
    <w:rsid w:val="00051A09"/>
    <w:rsid w:val="00051BA9"/>
    <w:rsid w:val="00055543"/>
    <w:rsid w:val="00056843"/>
    <w:rsid w:val="00063FAC"/>
    <w:rsid w:val="00067DCC"/>
    <w:rsid w:val="00071EDC"/>
    <w:rsid w:val="000726CE"/>
    <w:rsid w:val="00073965"/>
    <w:rsid w:val="00076A92"/>
    <w:rsid w:val="00080C80"/>
    <w:rsid w:val="0008116C"/>
    <w:rsid w:val="00081526"/>
    <w:rsid w:val="000832D9"/>
    <w:rsid w:val="000841C2"/>
    <w:rsid w:val="000854AE"/>
    <w:rsid w:val="000927D8"/>
    <w:rsid w:val="00092A45"/>
    <w:rsid w:val="000A0E73"/>
    <w:rsid w:val="000A23B9"/>
    <w:rsid w:val="000A3B66"/>
    <w:rsid w:val="000B0E06"/>
    <w:rsid w:val="000B3E96"/>
    <w:rsid w:val="000C2F88"/>
    <w:rsid w:val="000C3091"/>
    <w:rsid w:val="000C7D74"/>
    <w:rsid w:val="000D1C98"/>
    <w:rsid w:val="000E1614"/>
    <w:rsid w:val="000E25AC"/>
    <w:rsid w:val="000E3D6E"/>
    <w:rsid w:val="000E5DF3"/>
    <w:rsid w:val="000E76DF"/>
    <w:rsid w:val="000F574F"/>
    <w:rsid w:val="001021B2"/>
    <w:rsid w:val="00102B9D"/>
    <w:rsid w:val="00103A51"/>
    <w:rsid w:val="00103CA7"/>
    <w:rsid w:val="00104E7A"/>
    <w:rsid w:val="00105AA3"/>
    <w:rsid w:val="0010658D"/>
    <w:rsid w:val="001135EE"/>
    <w:rsid w:val="001153F2"/>
    <w:rsid w:val="00116755"/>
    <w:rsid w:val="00116A69"/>
    <w:rsid w:val="001217F2"/>
    <w:rsid w:val="00121D12"/>
    <w:rsid w:val="00121E75"/>
    <w:rsid w:val="00122752"/>
    <w:rsid w:val="00130EDC"/>
    <w:rsid w:val="00132BC8"/>
    <w:rsid w:val="00135EED"/>
    <w:rsid w:val="001407D3"/>
    <w:rsid w:val="001419A8"/>
    <w:rsid w:val="00146BFC"/>
    <w:rsid w:val="001471C6"/>
    <w:rsid w:val="00147C8B"/>
    <w:rsid w:val="00154A12"/>
    <w:rsid w:val="00166FF0"/>
    <w:rsid w:val="0016771D"/>
    <w:rsid w:val="0017075C"/>
    <w:rsid w:val="0017110A"/>
    <w:rsid w:val="00172F42"/>
    <w:rsid w:val="001739BB"/>
    <w:rsid w:val="0018378A"/>
    <w:rsid w:val="001844EA"/>
    <w:rsid w:val="001848B1"/>
    <w:rsid w:val="001905BE"/>
    <w:rsid w:val="001912A8"/>
    <w:rsid w:val="001951C9"/>
    <w:rsid w:val="001968F9"/>
    <w:rsid w:val="001A28E3"/>
    <w:rsid w:val="001A37EE"/>
    <w:rsid w:val="001A52CE"/>
    <w:rsid w:val="001A6C41"/>
    <w:rsid w:val="001B1382"/>
    <w:rsid w:val="001B3488"/>
    <w:rsid w:val="001B34CA"/>
    <w:rsid w:val="001B6016"/>
    <w:rsid w:val="001B6E27"/>
    <w:rsid w:val="001C0050"/>
    <w:rsid w:val="001C2CF6"/>
    <w:rsid w:val="001C4DCD"/>
    <w:rsid w:val="001D07F4"/>
    <w:rsid w:val="001D0A28"/>
    <w:rsid w:val="001D1807"/>
    <w:rsid w:val="001D1E15"/>
    <w:rsid w:val="001D22DD"/>
    <w:rsid w:val="001D2D3B"/>
    <w:rsid w:val="001D34CE"/>
    <w:rsid w:val="001D5CD3"/>
    <w:rsid w:val="001D7E5A"/>
    <w:rsid w:val="001E561D"/>
    <w:rsid w:val="001E76E2"/>
    <w:rsid w:val="001F089C"/>
    <w:rsid w:val="001F1694"/>
    <w:rsid w:val="001F21C0"/>
    <w:rsid w:val="001F32FA"/>
    <w:rsid w:val="001F4070"/>
    <w:rsid w:val="001F7BBF"/>
    <w:rsid w:val="0020002D"/>
    <w:rsid w:val="002009F9"/>
    <w:rsid w:val="00202938"/>
    <w:rsid w:val="00205344"/>
    <w:rsid w:val="00205589"/>
    <w:rsid w:val="002079A5"/>
    <w:rsid w:val="00211639"/>
    <w:rsid w:val="002134D4"/>
    <w:rsid w:val="00224296"/>
    <w:rsid w:val="0022586A"/>
    <w:rsid w:val="00225BB5"/>
    <w:rsid w:val="00227CF8"/>
    <w:rsid w:val="002305B0"/>
    <w:rsid w:val="00234EC5"/>
    <w:rsid w:val="00235D82"/>
    <w:rsid w:val="00236501"/>
    <w:rsid w:val="00237BE6"/>
    <w:rsid w:val="00243A0B"/>
    <w:rsid w:val="00247767"/>
    <w:rsid w:val="002506A8"/>
    <w:rsid w:val="002507D1"/>
    <w:rsid w:val="00253468"/>
    <w:rsid w:val="00254AC4"/>
    <w:rsid w:val="00254D2C"/>
    <w:rsid w:val="00255AC6"/>
    <w:rsid w:val="002572C9"/>
    <w:rsid w:val="0026026E"/>
    <w:rsid w:val="00262371"/>
    <w:rsid w:val="002627B7"/>
    <w:rsid w:val="00263DB2"/>
    <w:rsid w:val="00267989"/>
    <w:rsid w:val="0027036A"/>
    <w:rsid w:val="00271ACC"/>
    <w:rsid w:val="00271C4E"/>
    <w:rsid w:val="00272FCA"/>
    <w:rsid w:val="00275727"/>
    <w:rsid w:val="00276AA3"/>
    <w:rsid w:val="002812B5"/>
    <w:rsid w:val="002827DC"/>
    <w:rsid w:val="00284CA9"/>
    <w:rsid w:val="00284D44"/>
    <w:rsid w:val="00285136"/>
    <w:rsid w:val="00285DC1"/>
    <w:rsid w:val="0029313B"/>
    <w:rsid w:val="00295E26"/>
    <w:rsid w:val="002973EB"/>
    <w:rsid w:val="002975FD"/>
    <w:rsid w:val="002A0656"/>
    <w:rsid w:val="002A35E7"/>
    <w:rsid w:val="002A3BB6"/>
    <w:rsid w:val="002A5599"/>
    <w:rsid w:val="002A6E56"/>
    <w:rsid w:val="002B0427"/>
    <w:rsid w:val="002C1B04"/>
    <w:rsid w:val="002C2676"/>
    <w:rsid w:val="002C44F3"/>
    <w:rsid w:val="002C5ABD"/>
    <w:rsid w:val="002C6734"/>
    <w:rsid w:val="002D251E"/>
    <w:rsid w:val="002D5320"/>
    <w:rsid w:val="002D73EF"/>
    <w:rsid w:val="002E0219"/>
    <w:rsid w:val="002E053F"/>
    <w:rsid w:val="002E0B4D"/>
    <w:rsid w:val="002E311E"/>
    <w:rsid w:val="002E469A"/>
    <w:rsid w:val="002E5B93"/>
    <w:rsid w:val="002F14B9"/>
    <w:rsid w:val="002F1C1C"/>
    <w:rsid w:val="00300FD4"/>
    <w:rsid w:val="00306FE4"/>
    <w:rsid w:val="0031112E"/>
    <w:rsid w:val="0031294C"/>
    <w:rsid w:val="0031294F"/>
    <w:rsid w:val="003170C3"/>
    <w:rsid w:val="00317C9A"/>
    <w:rsid w:val="003205EF"/>
    <w:rsid w:val="00321674"/>
    <w:rsid w:val="003222C9"/>
    <w:rsid w:val="0032398D"/>
    <w:rsid w:val="003271D8"/>
    <w:rsid w:val="0032725B"/>
    <w:rsid w:val="00327AAC"/>
    <w:rsid w:val="003302E5"/>
    <w:rsid w:val="003309F8"/>
    <w:rsid w:val="003321F4"/>
    <w:rsid w:val="00332BFD"/>
    <w:rsid w:val="0033475F"/>
    <w:rsid w:val="003359CD"/>
    <w:rsid w:val="0034258C"/>
    <w:rsid w:val="00342E5A"/>
    <w:rsid w:val="0034442C"/>
    <w:rsid w:val="003461D9"/>
    <w:rsid w:val="0034695F"/>
    <w:rsid w:val="00351B56"/>
    <w:rsid w:val="00353214"/>
    <w:rsid w:val="003543C0"/>
    <w:rsid w:val="00354756"/>
    <w:rsid w:val="0035624F"/>
    <w:rsid w:val="00357367"/>
    <w:rsid w:val="00357CEB"/>
    <w:rsid w:val="003625D6"/>
    <w:rsid w:val="00362FE7"/>
    <w:rsid w:val="00364F8A"/>
    <w:rsid w:val="0036568A"/>
    <w:rsid w:val="00366F69"/>
    <w:rsid w:val="003676BB"/>
    <w:rsid w:val="00371A36"/>
    <w:rsid w:val="0037312E"/>
    <w:rsid w:val="003755FC"/>
    <w:rsid w:val="00380F63"/>
    <w:rsid w:val="00382935"/>
    <w:rsid w:val="00382B23"/>
    <w:rsid w:val="003877B7"/>
    <w:rsid w:val="00390185"/>
    <w:rsid w:val="0039049A"/>
    <w:rsid w:val="0039144D"/>
    <w:rsid w:val="00393D0E"/>
    <w:rsid w:val="003940A2"/>
    <w:rsid w:val="003945CB"/>
    <w:rsid w:val="00396FB2"/>
    <w:rsid w:val="00397E7B"/>
    <w:rsid w:val="003A28F0"/>
    <w:rsid w:val="003A430D"/>
    <w:rsid w:val="003A4CA5"/>
    <w:rsid w:val="003A51E1"/>
    <w:rsid w:val="003A5AE3"/>
    <w:rsid w:val="003A5CC1"/>
    <w:rsid w:val="003A6459"/>
    <w:rsid w:val="003B011E"/>
    <w:rsid w:val="003B0442"/>
    <w:rsid w:val="003B3615"/>
    <w:rsid w:val="003B39C1"/>
    <w:rsid w:val="003B44F2"/>
    <w:rsid w:val="003B5C3C"/>
    <w:rsid w:val="003C098E"/>
    <w:rsid w:val="003C3969"/>
    <w:rsid w:val="003C62EF"/>
    <w:rsid w:val="003C6BFC"/>
    <w:rsid w:val="003C6D10"/>
    <w:rsid w:val="003D3B67"/>
    <w:rsid w:val="003D478F"/>
    <w:rsid w:val="003D67B5"/>
    <w:rsid w:val="003D7AEF"/>
    <w:rsid w:val="003E48E5"/>
    <w:rsid w:val="003E52DE"/>
    <w:rsid w:val="003E73CF"/>
    <w:rsid w:val="003E7987"/>
    <w:rsid w:val="003F2203"/>
    <w:rsid w:val="003F34DE"/>
    <w:rsid w:val="003F5CF7"/>
    <w:rsid w:val="003F6728"/>
    <w:rsid w:val="003F6AB8"/>
    <w:rsid w:val="003F6B12"/>
    <w:rsid w:val="003F7C72"/>
    <w:rsid w:val="003F7FF3"/>
    <w:rsid w:val="004032F2"/>
    <w:rsid w:val="00404B3B"/>
    <w:rsid w:val="004118F4"/>
    <w:rsid w:val="00412C8B"/>
    <w:rsid w:val="00414A18"/>
    <w:rsid w:val="00421115"/>
    <w:rsid w:val="004235E4"/>
    <w:rsid w:val="00423806"/>
    <w:rsid w:val="00423B83"/>
    <w:rsid w:val="0042441B"/>
    <w:rsid w:val="00426200"/>
    <w:rsid w:val="00431CFD"/>
    <w:rsid w:val="00435063"/>
    <w:rsid w:val="00435CB2"/>
    <w:rsid w:val="00436998"/>
    <w:rsid w:val="00436B7A"/>
    <w:rsid w:val="00436DC0"/>
    <w:rsid w:val="00436DFE"/>
    <w:rsid w:val="004400C5"/>
    <w:rsid w:val="00440387"/>
    <w:rsid w:val="004414EC"/>
    <w:rsid w:val="0044474D"/>
    <w:rsid w:val="00445223"/>
    <w:rsid w:val="0044547B"/>
    <w:rsid w:val="0045344B"/>
    <w:rsid w:val="0045399E"/>
    <w:rsid w:val="00454850"/>
    <w:rsid w:val="00454DBB"/>
    <w:rsid w:val="00455C1B"/>
    <w:rsid w:val="00455E15"/>
    <w:rsid w:val="004560DF"/>
    <w:rsid w:val="004578D0"/>
    <w:rsid w:val="00460D89"/>
    <w:rsid w:val="00462206"/>
    <w:rsid w:val="0046288A"/>
    <w:rsid w:val="00462D34"/>
    <w:rsid w:val="00463D69"/>
    <w:rsid w:val="00463FDC"/>
    <w:rsid w:val="004705D7"/>
    <w:rsid w:val="00471D21"/>
    <w:rsid w:val="004748FB"/>
    <w:rsid w:val="00475693"/>
    <w:rsid w:val="00482873"/>
    <w:rsid w:val="004836A2"/>
    <w:rsid w:val="00483A27"/>
    <w:rsid w:val="00485B95"/>
    <w:rsid w:val="00487DE5"/>
    <w:rsid w:val="00491228"/>
    <w:rsid w:val="00491DC7"/>
    <w:rsid w:val="00492FD7"/>
    <w:rsid w:val="00493A8F"/>
    <w:rsid w:val="00493FAD"/>
    <w:rsid w:val="00495E3A"/>
    <w:rsid w:val="00496094"/>
    <w:rsid w:val="004A14EB"/>
    <w:rsid w:val="004A2B27"/>
    <w:rsid w:val="004A3867"/>
    <w:rsid w:val="004A3C1A"/>
    <w:rsid w:val="004A53D6"/>
    <w:rsid w:val="004B0413"/>
    <w:rsid w:val="004B12F0"/>
    <w:rsid w:val="004B2B0B"/>
    <w:rsid w:val="004B36EE"/>
    <w:rsid w:val="004B37E7"/>
    <w:rsid w:val="004B4EBF"/>
    <w:rsid w:val="004B6F33"/>
    <w:rsid w:val="004C097E"/>
    <w:rsid w:val="004C2207"/>
    <w:rsid w:val="004C3F5B"/>
    <w:rsid w:val="004C6429"/>
    <w:rsid w:val="004C658D"/>
    <w:rsid w:val="004C6730"/>
    <w:rsid w:val="004C72A1"/>
    <w:rsid w:val="004C7EF4"/>
    <w:rsid w:val="004D35BD"/>
    <w:rsid w:val="004D4222"/>
    <w:rsid w:val="004D4768"/>
    <w:rsid w:val="004D5315"/>
    <w:rsid w:val="004E00CC"/>
    <w:rsid w:val="004E1FE4"/>
    <w:rsid w:val="004E2C97"/>
    <w:rsid w:val="004E6120"/>
    <w:rsid w:val="004E73A8"/>
    <w:rsid w:val="004F04C6"/>
    <w:rsid w:val="004F226E"/>
    <w:rsid w:val="005036F6"/>
    <w:rsid w:val="005038CD"/>
    <w:rsid w:val="0051248B"/>
    <w:rsid w:val="00512715"/>
    <w:rsid w:val="005154BC"/>
    <w:rsid w:val="005156F2"/>
    <w:rsid w:val="00515A7F"/>
    <w:rsid w:val="00517044"/>
    <w:rsid w:val="00523610"/>
    <w:rsid w:val="00525102"/>
    <w:rsid w:val="00527EAF"/>
    <w:rsid w:val="0053541D"/>
    <w:rsid w:val="00542DF8"/>
    <w:rsid w:val="00544214"/>
    <w:rsid w:val="00545523"/>
    <w:rsid w:val="00545AB7"/>
    <w:rsid w:val="00546C3C"/>
    <w:rsid w:val="005473A2"/>
    <w:rsid w:val="0055404A"/>
    <w:rsid w:val="00554845"/>
    <w:rsid w:val="005564EE"/>
    <w:rsid w:val="00556A6A"/>
    <w:rsid w:val="00557B8B"/>
    <w:rsid w:val="005624CA"/>
    <w:rsid w:val="005636FA"/>
    <w:rsid w:val="005637BB"/>
    <w:rsid w:val="005653D0"/>
    <w:rsid w:val="005673C4"/>
    <w:rsid w:val="00567E06"/>
    <w:rsid w:val="005721F4"/>
    <w:rsid w:val="005729FC"/>
    <w:rsid w:val="00572E0B"/>
    <w:rsid w:val="00574B87"/>
    <w:rsid w:val="005763E2"/>
    <w:rsid w:val="00580828"/>
    <w:rsid w:val="00583A8B"/>
    <w:rsid w:val="005858BD"/>
    <w:rsid w:val="005867F1"/>
    <w:rsid w:val="00591C26"/>
    <w:rsid w:val="0059701B"/>
    <w:rsid w:val="005A0C56"/>
    <w:rsid w:val="005A109F"/>
    <w:rsid w:val="005A140C"/>
    <w:rsid w:val="005A2172"/>
    <w:rsid w:val="005A4A88"/>
    <w:rsid w:val="005A68C3"/>
    <w:rsid w:val="005B1AAC"/>
    <w:rsid w:val="005B3086"/>
    <w:rsid w:val="005B34D3"/>
    <w:rsid w:val="005B42C2"/>
    <w:rsid w:val="005B6598"/>
    <w:rsid w:val="005B7BC4"/>
    <w:rsid w:val="005C01D1"/>
    <w:rsid w:val="005C168A"/>
    <w:rsid w:val="005C2BE1"/>
    <w:rsid w:val="005C7D22"/>
    <w:rsid w:val="005D0EF0"/>
    <w:rsid w:val="005D2C21"/>
    <w:rsid w:val="005D3566"/>
    <w:rsid w:val="005D504A"/>
    <w:rsid w:val="005D5E85"/>
    <w:rsid w:val="005D62CD"/>
    <w:rsid w:val="005E630A"/>
    <w:rsid w:val="005E716D"/>
    <w:rsid w:val="005F2D49"/>
    <w:rsid w:val="005F3672"/>
    <w:rsid w:val="00600E39"/>
    <w:rsid w:val="00603290"/>
    <w:rsid w:val="006042C4"/>
    <w:rsid w:val="00605135"/>
    <w:rsid w:val="00605178"/>
    <w:rsid w:val="0060788C"/>
    <w:rsid w:val="00616987"/>
    <w:rsid w:val="00621383"/>
    <w:rsid w:val="00621577"/>
    <w:rsid w:val="00625BF9"/>
    <w:rsid w:val="00627AA2"/>
    <w:rsid w:val="00627BE1"/>
    <w:rsid w:val="006372B9"/>
    <w:rsid w:val="00640ECC"/>
    <w:rsid w:val="00641447"/>
    <w:rsid w:val="00642879"/>
    <w:rsid w:val="0064393D"/>
    <w:rsid w:val="0064484C"/>
    <w:rsid w:val="006454C7"/>
    <w:rsid w:val="00647ECA"/>
    <w:rsid w:val="00647ECE"/>
    <w:rsid w:val="006508A7"/>
    <w:rsid w:val="00660FE5"/>
    <w:rsid w:val="006612E9"/>
    <w:rsid w:val="00661964"/>
    <w:rsid w:val="006622DA"/>
    <w:rsid w:val="00663E22"/>
    <w:rsid w:val="00665FB6"/>
    <w:rsid w:val="00666251"/>
    <w:rsid w:val="006670DE"/>
    <w:rsid w:val="00670D5B"/>
    <w:rsid w:val="006745EA"/>
    <w:rsid w:val="00675D76"/>
    <w:rsid w:val="006765F7"/>
    <w:rsid w:val="00682390"/>
    <w:rsid w:val="00682902"/>
    <w:rsid w:val="006838B1"/>
    <w:rsid w:val="006901C6"/>
    <w:rsid w:val="006964C5"/>
    <w:rsid w:val="00696D1E"/>
    <w:rsid w:val="006A0389"/>
    <w:rsid w:val="006A1F08"/>
    <w:rsid w:val="006A3FD6"/>
    <w:rsid w:val="006A42DE"/>
    <w:rsid w:val="006A4300"/>
    <w:rsid w:val="006A509A"/>
    <w:rsid w:val="006A515F"/>
    <w:rsid w:val="006A5419"/>
    <w:rsid w:val="006A54A7"/>
    <w:rsid w:val="006A58B6"/>
    <w:rsid w:val="006A6E73"/>
    <w:rsid w:val="006A7FEA"/>
    <w:rsid w:val="006B15F5"/>
    <w:rsid w:val="006B1606"/>
    <w:rsid w:val="006B1D4C"/>
    <w:rsid w:val="006C5C37"/>
    <w:rsid w:val="006C610E"/>
    <w:rsid w:val="006C7477"/>
    <w:rsid w:val="006C7E3E"/>
    <w:rsid w:val="006D0A21"/>
    <w:rsid w:val="006D33C7"/>
    <w:rsid w:val="006D4082"/>
    <w:rsid w:val="006D6E1A"/>
    <w:rsid w:val="006D7B40"/>
    <w:rsid w:val="006E05A9"/>
    <w:rsid w:val="006E3233"/>
    <w:rsid w:val="006E46A0"/>
    <w:rsid w:val="006F13BE"/>
    <w:rsid w:val="006F2097"/>
    <w:rsid w:val="006F4614"/>
    <w:rsid w:val="00705D07"/>
    <w:rsid w:val="007067DB"/>
    <w:rsid w:val="00715A4E"/>
    <w:rsid w:val="00720DB1"/>
    <w:rsid w:val="0072213F"/>
    <w:rsid w:val="007234E0"/>
    <w:rsid w:val="007252CF"/>
    <w:rsid w:val="00726150"/>
    <w:rsid w:val="00727450"/>
    <w:rsid w:val="00730A4F"/>
    <w:rsid w:val="00731C41"/>
    <w:rsid w:val="00732944"/>
    <w:rsid w:val="00733464"/>
    <w:rsid w:val="007354B2"/>
    <w:rsid w:val="007375AD"/>
    <w:rsid w:val="00737A12"/>
    <w:rsid w:val="00740EE6"/>
    <w:rsid w:val="007428B1"/>
    <w:rsid w:val="00743D62"/>
    <w:rsid w:val="0074412F"/>
    <w:rsid w:val="00751D18"/>
    <w:rsid w:val="007532A4"/>
    <w:rsid w:val="0075459F"/>
    <w:rsid w:val="00754D7E"/>
    <w:rsid w:val="00755070"/>
    <w:rsid w:val="00755E0B"/>
    <w:rsid w:val="0075631F"/>
    <w:rsid w:val="0076022A"/>
    <w:rsid w:val="00760A8E"/>
    <w:rsid w:val="007645A6"/>
    <w:rsid w:val="007663CC"/>
    <w:rsid w:val="00770830"/>
    <w:rsid w:val="00772E4F"/>
    <w:rsid w:val="00776E7A"/>
    <w:rsid w:val="0078105B"/>
    <w:rsid w:val="00781D38"/>
    <w:rsid w:val="00783FB6"/>
    <w:rsid w:val="0078450D"/>
    <w:rsid w:val="0078513E"/>
    <w:rsid w:val="00786D09"/>
    <w:rsid w:val="00794C8D"/>
    <w:rsid w:val="007A1E0C"/>
    <w:rsid w:val="007A1E67"/>
    <w:rsid w:val="007A4C49"/>
    <w:rsid w:val="007A5D84"/>
    <w:rsid w:val="007B0391"/>
    <w:rsid w:val="007B0B74"/>
    <w:rsid w:val="007B0FBF"/>
    <w:rsid w:val="007B12B2"/>
    <w:rsid w:val="007B1653"/>
    <w:rsid w:val="007B26C1"/>
    <w:rsid w:val="007C1DBF"/>
    <w:rsid w:val="007C1E20"/>
    <w:rsid w:val="007C2444"/>
    <w:rsid w:val="007C2724"/>
    <w:rsid w:val="007C4DBA"/>
    <w:rsid w:val="007C58AB"/>
    <w:rsid w:val="007C5A7E"/>
    <w:rsid w:val="007C5C9E"/>
    <w:rsid w:val="007D3743"/>
    <w:rsid w:val="007D56B5"/>
    <w:rsid w:val="007E0480"/>
    <w:rsid w:val="007E2F26"/>
    <w:rsid w:val="007F14CE"/>
    <w:rsid w:val="007F2456"/>
    <w:rsid w:val="007F49F0"/>
    <w:rsid w:val="007F7D96"/>
    <w:rsid w:val="008024B6"/>
    <w:rsid w:val="00804DBC"/>
    <w:rsid w:val="00805AE2"/>
    <w:rsid w:val="008073A5"/>
    <w:rsid w:val="00807480"/>
    <w:rsid w:val="00811ACA"/>
    <w:rsid w:val="00812204"/>
    <w:rsid w:val="00812F22"/>
    <w:rsid w:val="0081345A"/>
    <w:rsid w:val="00816A48"/>
    <w:rsid w:val="0082610A"/>
    <w:rsid w:val="00836069"/>
    <w:rsid w:val="00836E32"/>
    <w:rsid w:val="0084028B"/>
    <w:rsid w:val="008409DC"/>
    <w:rsid w:val="0084323C"/>
    <w:rsid w:val="00844958"/>
    <w:rsid w:val="00844DF9"/>
    <w:rsid w:val="00847EC9"/>
    <w:rsid w:val="00850F7C"/>
    <w:rsid w:val="0085126D"/>
    <w:rsid w:val="008531EA"/>
    <w:rsid w:val="00853660"/>
    <w:rsid w:val="008554EA"/>
    <w:rsid w:val="00860074"/>
    <w:rsid w:val="00862756"/>
    <w:rsid w:val="0086663B"/>
    <w:rsid w:val="008666A8"/>
    <w:rsid w:val="00867F0B"/>
    <w:rsid w:val="00867F9E"/>
    <w:rsid w:val="0087491E"/>
    <w:rsid w:val="0087517F"/>
    <w:rsid w:val="00875316"/>
    <w:rsid w:val="00875AB9"/>
    <w:rsid w:val="00876780"/>
    <w:rsid w:val="00877C14"/>
    <w:rsid w:val="00880ACB"/>
    <w:rsid w:val="00885984"/>
    <w:rsid w:val="00885A17"/>
    <w:rsid w:val="008871BB"/>
    <w:rsid w:val="00887CC1"/>
    <w:rsid w:val="00890E6D"/>
    <w:rsid w:val="0089188B"/>
    <w:rsid w:val="008935B2"/>
    <w:rsid w:val="00893957"/>
    <w:rsid w:val="00893A60"/>
    <w:rsid w:val="00895AE2"/>
    <w:rsid w:val="008A073D"/>
    <w:rsid w:val="008A1FF5"/>
    <w:rsid w:val="008A2378"/>
    <w:rsid w:val="008A2D4A"/>
    <w:rsid w:val="008A2EB7"/>
    <w:rsid w:val="008A3B04"/>
    <w:rsid w:val="008A3F21"/>
    <w:rsid w:val="008A42D8"/>
    <w:rsid w:val="008A4821"/>
    <w:rsid w:val="008A53F3"/>
    <w:rsid w:val="008A675A"/>
    <w:rsid w:val="008B041E"/>
    <w:rsid w:val="008B0AC8"/>
    <w:rsid w:val="008B116B"/>
    <w:rsid w:val="008B1DA1"/>
    <w:rsid w:val="008B346F"/>
    <w:rsid w:val="008B7032"/>
    <w:rsid w:val="008C3536"/>
    <w:rsid w:val="008C386A"/>
    <w:rsid w:val="008C7431"/>
    <w:rsid w:val="008C77C6"/>
    <w:rsid w:val="008D0DE9"/>
    <w:rsid w:val="008D1C72"/>
    <w:rsid w:val="008D2DE4"/>
    <w:rsid w:val="008D4E1E"/>
    <w:rsid w:val="008D6070"/>
    <w:rsid w:val="008E16D4"/>
    <w:rsid w:val="008E28E4"/>
    <w:rsid w:val="008E3251"/>
    <w:rsid w:val="008E3999"/>
    <w:rsid w:val="008E49B8"/>
    <w:rsid w:val="008F09DA"/>
    <w:rsid w:val="008F1727"/>
    <w:rsid w:val="008F2A2B"/>
    <w:rsid w:val="008F6DBD"/>
    <w:rsid w:val="008F76CB"/>
    <w:rsid w:val="00900606"/>
    <w:rsid w:val="00903A58"/>
    <w:rsid w:val="00906432"/>
    <w:rsid w:val="00915C0D"/>
    <w:rsid w:val="0092287F"/>
    <w:rsid w:val="009234EC"/>
    <w:rsid w:val="0092474B"/>
    <w:rsid w:val="00926949"/>
    <w:rsid w:val="00932E13"/>
    <w:rsid w:val="009334DA"/>
    <w:rsid w:val="00933DA2"/>
    <w:rsid w:val="00936DA8"/>
    <w:rsid w:val="00940361"/>
    <w:rsid w:val="00941414"/>
    <w:rsid w:val="00941790"/>
    <w:rsid w:val="00941B19"/>
    <w:rsid w:val="00945BCB"/>
    <w:rsid w:val="00947715"/>
    <w:rsid w:val="009502AD"/>
    <w:rsid w:val="00950B3D"/>
    <w:rsid w:val="00951011"/>
    <w:rsid w:val="0095702F"/>
    <w:rsid w:val="00957A78"/>
    <w:rsid w:val="00962879"/>
    <w:rsid w:val="00965EE6"/>
    <w:rsid w:val="0096614B"/>
    <w:rsid w:val="00966250"/>
    <w:rsid w:val="009665F3"/>
    <w:rsid w:val="009712D9"/>
    <w:rsid w:val="009714C5"/>
    <w:rsid w:val="00973E97"/>
    <w:rsid w:val="00974623"/>
    <w:rsid w:val="0097620D"/>
    <w:rsid w:val="009805D1"/>
    <w:rsid w:val="00980748"/>
    <w:rsid w:val="0099258E"/>
    <w:rsid w:val="009933F8"/>
    <w:rsid w:val="00993E1B"/>
    <w:rsid w:val="00997666"/>
    <w:rsid w:val="009A0150"/>
    <w:rsid w:val="009A185E"/>
    <w:rsid w:val="009A30DD"/>
    <w:rsid w:val="009A30E5"/>
    <w:rsid w:val="009A3257"/>
    <w:rsid w:val="009A3CD0"/>
    <w:rsid w:val="009A4041"/>
    <w:rsid w:val="009A43DC"/>
    <w:rsid w:val="009A4462"/>
    <w:rsid w:val="009A47DB"/>
    <w:rsid w:val="009A6BFC"/>
    <w:rsid w:val="009A7815"/>
    <w:rsid w:val="009B1658"/>
    <w:rsid w:val="009B20C3"/>
    <w:rsid w:val="009B21C7"/>
    <w:rsid w:val="009C0506"/>
    <w:rsid w:val="009C2153"/>
    <w:rsid w:val="009C2154"/>
    <w:rsid w:val="009C22CA"/>
    <w:rsid w:val="009C4287"/>
    <w:rsid w:val="009C5A88"/>
    <w:rsid w:val="009C645D"/>
    <w:rsid w:val="009D765F"/>
    <w:rsid w:val="009E12F5"/>
    <w:rsid w:val="009E2A37"/>
    <w:rsid w:val="009E3FBA"/>
    <w:rsid w:val="009E4D0A"/>
    <w:rsid w:val="009E6B3B"/>
    <w:rsid w:val="009F0766"/>
    <w:rsid w:val="009F09E8"/>
    <w:rsid w:val="009F442D"/>
    <w:rsid w:val="009F7759"/>
    <w:rsid w:val="00A0009D"/>
    <w:rsid w:val="00A00912"/>
    <w:rsid w:val="00A0256B"/>
    <w:rsid w:val="00A03B71"/>
    <w:rsid w:val="00A0496C"/>
    <w:rsid w:val="00A13C65"/>
    <w:rsid w:val="00A17FF8"/>
    <w:rsid w:val="00A22453"/>
    <w:rsid w:val="00A24C02"/>
    <w:rsid w:val="00A25269"/>
    <w:rsid w:val="00A30B0C"/>
    <w:rsid w:val="00A3353C"/>
    <w:rsid w:val="00A426AA"/>
    <w:rsid w:val="00A4358D"/>
    <w:rsid w:val="00A435E2"/>
    <w:rsid w:val="00A45E99"/>
    <w:rsid w:val="00A506F2"/>
    <w:rsid w:val="00A571C9"/>
    <w:rsid w:val="00A62559"/>
    <w:rsid w:val="00A72B0A"/>
    <w:rsid w:val="00A72E8A"/>
    <w:rsid w:val="00A74C27"/>
    <w:rsid w:val="00A74FC5"/>
    <w:rsid w:val="00A75D09"/>
    <w:rsid w:val="00A76896"/>
    <w:rsid w:val="00A774F4"/>
    <w:rsid w:val="00A810B1"/>
    <w:rsid w:val="00A82D5D"/>
    <w:rsid w:val="00A845F4"/>
    <w:rsid w:val="00A96494"/>
    <w:rsid w:val="00A9726F"/>
    <w:rsid w:val="00AA1F2E"/>
    <w:rsid w:val="00AA21F7"/>
    <w:rsid w:val="00AA603D"/>
    <w:rsid w:val="00AA75F6"/>
    <w:rsid w:val="00AB0F0A"/>
    <w:rsid w:val="00AB17B1"/>
    <w:rsid w:val="00AB18D9"/>
    <w:rsid w:val="00AB53E8"/>
    <w:rsid w:val="00AB6BFE"/>
    <w:rsid w:val="00AC06F5"/>
    <w:rsid w:val="00AC1502"/>
    <w:rsid w:val="00AC2430"/>
    <w:rsid w:val="00AC2A63"/>
    <w:rsid w:val="00AC3368"/>
    <w:rsid w:val="00AC34E6"/>
    <w:rsid w:val="00AC42F6"/>
    <w:rsid w:val="00AC6DFA"/>
    <w:rsid w:val="00AC6F07"/>
    <w:rsid w:val="00AC7703"/>
    <w:rsid w:val="00AD0599"/>
    <w:rsid w:val="00AD0EC5"/>
    <w:rsid w:val="00AD70DC"/>
    <w:rsid w:val="00AD71B4"/>
    <w:rsid w:val="00AD7BE7"/>
    <w:rsid w:val="00AE24E9"/>
    <w:rsid w:val="00AE2561"/>
    <w:rsid w:val="00AE40FF"/>
    <w:rsid w:val="00AF5FD3"/>
    <w:rsid w:val="00AF6A99"/>
    <w:rsid w:val="00B01107"/>
    <w:rsid w:val="00B0538D"/>
    <w:rsid w:val="00B0585E"/>
    <w:rsid w:val="00B0693E"/>
    <w:rsid w:val="00B14282"/>
    <w:rsid w:val="00B14FFC"/>
    <w:rsid w:val="00B1611D"/>
    <w:rsid w:val="00B23FA8"/>
    <w:rsid w:val="00B25FEA"/>
    <w:rsid w:val="00B27127"/>
    <w:rsid w:val="00B31451"/>
    <w:rsid w:val="00B331C1"/>
    <w:rsid w:val="00B3404A"/>
    <w:rsid w:val="00B35CD3"/>
    <w:rsid w:val="00B36CD2"/>
    <w:rsid w:val="00B40093"/>
    <w:rsid w:val="00B401A9"/>
    <w:rsid w:val="00B42B3E"/>
    <w:rsid w:val="00B45BC4"/>
    <w:rsid w:val="00B46AEA"/>
    <w:rsid w:val="00B47519"/>
    <w:rsid w:val="00B53F6A"/>
    <w:rsid w:val="00B567C0"/>
    <w:rsid w:val="00B57CFF"/>
    <w:rsid w:val="00B628A7"/>
    <w:rsid w:val="00B65B76"/>
    <w:rsid w:val="00B66BDF"/>
    <w:rsid w:val="00B66DA9"/>
    <w:rsid w:val="00B67765"/>
    <w:rsid w:val="00B67889"/>
    <w:rsid w:val="00B70006"/>
    <w:rsid w:val="00B751D7"/>
    <w:rsid w:val="00B75B0A"/>
    <w:rsid w:val="00B75F98"/>
    <w:rsid w:val="00B769A7"/>
    <w:rsid w:val="00B76A22"/>
    <w:rsid w:val="00B76E46"/>
    <w:rsid w:val="00B773E0"/>
    <w:rsid w:val="00B80461"/>
    <w:rsid w:val="00B82E5E"/>
    <w:rsid w:val="00B84464"/>
    <w:rsid w:val="00B845A5"/>
    <w:rsid w:val="00B85308"/>
    <w:rsid w:val="00B86B56"/>
    <w:rsid w:val="00B874B9"/>
    <w:rsid w:val="00B95751"/>
    <w:rsid w:val="00B961AE"/>
    <w:rsid w:val="00BA2D59"/>
    <w:rsid w:val="00BA3931"/>
    <w:rsid w:val="00BA3BBF"/>
    <w:rsid w:val="00BA5A39"/>
    <w:rsid w:val="00BA6C2B"/>
    <w:rsid w:val="00BA7A81"/>
    <w:rsid w:val="00BB07E6"/>
    <w:rsid w:val="00BB2A97"/>
    <w:rsid w:val="00BB3ABE"/>
    <w:rsid w:val="00BB5674"/>
    <w:rsid w:val="00BB5FAB"/>
    <w:rsid w:val="00BB6109"/>
    <w:rsid w:val="00BC1166"/>
    <w:rsid w:val="00BC13D2"/>
    <w:rsid w:val="00BC5AF0"/>
    <w:rsid w:val="00BC6681"/>
    <w:rsid w:val="00BD2085"/>
    <w:rsid w:val="00BD3D4E"/>
    <w:rsid w:val="00BD637F"/>
    <w:rsid w:val="00BE54D1"/>
    <w:rsid w:val="00BF08F1"/>
    <w:rsid w:val="00BF23DC"/>
    <w:rsid w:val="00BF41EF"/>
    <w:rsid w:val="00BF5006"/>
    <w:rsid w:val="00BF5A35"/>
    <w:rsid w:val="00C01748"/>
    <w:rsid w:val="00C0293C"/>
    <w:rsid w:val="00C04F64"/>
    <w:rsid w:val="00C06A03"/>
    <w:rsid w:val="00C07124"/>
    <w:rsid w:val="00C0795E"/>
    <w:rsid w:val="00C07E7A"/>
    <w:rsid w:val="00C14CC1"/>
    <w:rsid w:val="00C15BA3"/>
    <w:rsid w:val="00C178D0"/>
    <w:rsid w:val="00C20F00"/>
    <w:rsid w:val="00C22B5F"/>
    <w:rsid w:val="00C24172"/>
    <w:rsid w:val="00C243A3"/>
    <w:rsid w:val="00C24713"/>
    <w:rsid w:val="00C25C64"/>
    <w:rsid w:val="00C278D9"/>
    <w:rsid w:val="00C30901"/>
    <w:rsid w:val="00C324C8"/>
    <w:rsid w:val="00C33D04"/>
    <w:rsid w:val="00C33EC8"/>
    <w:rsid w:val="00C36BE2"/>
    <w:rsid w:val="00C43521"/>
    <w:rsid w:val="00C44479"/>
    <w:rsid w:val="00C444E7"/>
    <w:rsid w:val="00C44723"/>
    <w:rsid w:val="00C47194"/>
    <w:rsid w:val="00C505EF"/>
    <w:rsid w:val="00C52B80"/>
    <w:rsid w:val="00C53475"/>
    <w:rsid w:val="00C53A3B"/>
    <w:rsid w:val="00C544E0"/>
    <w:rsid w:val="00C56182"/>
    <w:rsid w:val="00C56C73"/>
    <w:rsid w:val="00C65214"/>
    <w:rsid w:val="00C65325"/>
    <w:rsid w:val="00C70B22"/>
    <w:rsid w:val="00C71F35"/>
    <w:rsid w:val="00C72299"/>
    <w:rsid w:val="00C72573"/>
    <w:rsid w:val="00C76236"/>
    <w:rsid w:val="00C767E9"/>
    <w:rsid w:val="00C81022"/>
    <w:rsid w:val="00C82E22"/>
    <w:rsid w:val="00C87173"/>
    <w:rsid w:val="00C879A9"/>
    <w:rsid w:val="00C87B1F"/>
    <w:rsid w:val="00C90DF1"/>
    <w:rsid w:val="00C91769"/>
    <w:rsid w:val="00C91777"/>
    <w:rsid w:val="00C97CFD"/>
    <w:rsid w:val="00CA0751"/>
    <w:rsid w:val="00CA133A"/>
    <w:rsid w:val="00CA33D9"/>
    <w:rsid w:val="00CA34F2"/>
    <w:rsid w:val="00CA38F6"/>
    <w:rsid w:val="00CA5307"/>
    <w:rsid w:val="00CA5BC1"/>
    <w:rsid w:val="00CA6D33"/>
    <w:rsid w:val="00CB1367"/>
    <w:rsid w:val="00CB39D1"/>
    <w:rsid w:val="00CB3D48"/>
    <w:rsid w:val="00CB7DC9"/>
    <w:rsid w:val="00CC517B"/>
    <w:rsid w:val="00CC68D7"/>
    <w:rsid w:val="00CC6EEE"/>
    <w:rsid w:val="00CC702D"/>
    <w:rsid w:val="00CD00F0"/>
    <w:rsid w:val="00CD6B5E"/>
    <w:rsid w:val="00CE1326"/>
    <w:rsid w:val="00CE3873"/>
    <w:rsid w:val="00CE3D78"/>
    <w:rsid w:val="00CF247A"/>
    <w:rsid w:val="00CF2CEB"/>
    <w:rsid w:val="00CF6288"/>
    <w:rsid w:val="00CF6F72"/>
    <w:rsid w:val="00D04D7B"/>
    <w:rsid w:val="00D071D7"/>
    <w:rsid w:val="00D1057E"/>
    <w:rsid w:val="00D13755"/>
    <w:rsid w:val="00D17FDA"/>
    <w:rsid w:val="00D27235"/>
    <w:rsid w:val="00D344FD"/>
    <w:rsid w:val="00D34CB1"/>
    <w:rsid w:val="00D40123"/>
    <w:rsid w:val="00D4077B"/>
    <w:rsid w:val="00D41F43"/>
    <w:rsid w:val="00D42447"/>
    <w:rsid w:val="00D42838"/>
    <w:rsid w:val="00D44C26"/>
    <w:rsid w:val="00D46A68"/>
    <w:rsid w:val="00D51D2E"/>
    <w:rsid w:val="00D5267F"/>
    <w:rsid w:val="00D535D8"/>
    <w:rsid w:val="00D538E1"/>
    <w:rsid w:val="00D61F26"/>
    <w:rsid w:val="00D63C0B"/>
    <w:rsid w:val="00D63E4D"/>
    <w:rsid w:val="00D64FA0"/>
    <w:rsid w:val="00D66391"/>
    <w:rsid w:val="00D66910"/>
    <w:rsid w:val="00D71D53"/>
    <w:rsid w:val="00D76383"/>
    <w:rsid w:val="00D77835"/>
    <w:rsid w:val="00D83539"/>
    <w:rsid w:val="00D8450B"/>
    <w:rsid w:val="00D86242"/>
    <w:rsid w:val="00D901F0"/>
    <w:rsid w:val="00D904DB"/>
    <w:rsid w:val="00D90E7A"/>
    <w:rsid w:val="00D95ED4"/>
    <w:rsid w:val="00DA1A96"/>
    <w:rsid w:val="00DA231E"/>
    <w:rsid w:val="00DA2579"/>
    <w:rsid w:val="00DA488A"/>
    <w:rsid w:val="00DA656D"/>
    <w:rsid w:val="00DA7BDF"/>
    <w:rsid w:val="00DB1627"/>
    <w:rsid w:val="00DB34C1"/>
    <w:rsid w:val="00DC116A"/>
    <w:rsid w:val="00DC1EF0"/>
    <w:rsid w:val="00DC2C57"/>
    <w:rsid w:val="00DC5E45"/>
    <w:rsid w:val="00DC6F71"/>
    <w:rsid w:val="00DD0271"/>
    <w:rsid w:val="00DD3551"/>
    <w:rsid w:val="00DD75C7"/>
    <w:rsid w:val="00DD7623"/>
    <w:rsid w:val="00DE4734"/>
    <w:rsid w:val="00DE6352"/>
    <w:rsid w:val="00DE7062"/>
    <w:rsid w:val="00DF1E9C"/>
    <w:rsid w:val="00DF3033"/>
    <w:rsid w:val="00DF3524"/>
    <w:rsid w:val="00DF4373"/>
    <w:rsid w:val="00DF5F52"/>
    <w:rsid w:val="00DF6B9B"/>
    <w:rsid w:val="00DF70B4"/>
    <w:rsid w:val="00E0017E"/>
    <w:rsid w:val="00E00384"/>
    <w:rsid w:val="00E01A99"/>
    <w:rsid w:val="00E054E1"/>
    <w:rsid w:val="00E0674D"/>
    <w:rsid w:val="00E1053C"/>
    <w:rsid w:val="00E113A0"/>
    <w:rsid w:val="00E12D49"/>
    <w:rsid w:val="00E14B71"/>
    <w:rsid w:val="00E14C88"/>
    <w:rsid w:val="00E20FEB"/>
    <w:rsid w:val="00E25140"/>
    <w:rsid w:val="00E2546A"/>
    <w:rsid w:val="00E25BE6"/>
    <w:rsid w:val="00E27130"/>
    <w:rsid w:val="00E2771A"/>
    <w:rsid w:val="00E339D8"/>
    <w:rsid w:val="00E346E5"/>
    <w:rsid w:val="00E40447"/>
    <w:rsid w:val="00E43AD9"/>
    <w:rsid w:val="00E43B05"/>
    <w:rsid w:val="00E44063"/>
    <w:rsid w:val="00E44FCF"/>
    <w:rsid w:val="00E467B5"/>
    <w:rsid w:val="00E50C7D"/>
    <w:rsid w:val="00E514FE"/>
    <w:rsid w:val="00E5301B"/>
    <w:rsid w:val="00E5343A"/>
    <w:rsid w:val="00E534FB"/>
    <w:rsid w:val="00E5391F"/>
    <w:rsid w:val="00E5455D"/>
    <w:rsid w:val="00E546EC"/>
    <w:rsid w:val="00E54AA5"/>
    <w:rsid w:val="00E55224"/>
    <w:rsid w:val="00E57464"/>
    <w:rsid w:val="00E65CBA"/>
    <w:rsid w:val="00E708BD"/>
    <w:rsid w:val="00E716B8"/>
    <w:rsid w:val="00E73E3A"/>
    <w:rsid w:val="00E740D4"/>
    <w:rsid w:val="00E7440A"/>
    <w:rsid w:val="00E77731"/>
    <w:rsid w:val="00E8598A"/>
    <w:rsid w:val="00E91910"/>
    <w:rsid w:val="00E9207F"/>
    <w:rsid w:val="00E9229D"/>
    <w:rsid w:val="00E92338"/>
    <w:rsid w:val="00E977C5"/>
    <w:rsid w:val="00EA00BF"/>
    <w:rsid w:val="00EA284A"/>
    <w:rsid w:val="00EA364F"/>
    <w:rsid w:val="00EA616A"/>
    <w:rsid w:val="00EA7212"/>
    <w:rsid w:val="00EB0773"/>
    <w:rsid w:val="00EB18B8"/>
    <w:rsid w:val="00EB3E8A"/>
    <w:rsid w:val="00EB5FF9"/>
    <w:rsid w:val="00EC0288"/>
    <w:rsid w:val="00EC2680"/>
    <w:rsid w:val="00EC2F3E"/>
    <w:rsid w:val="00EC4E39"/>
    <w:rsid w:val="00EC6689"/>
    <w:rsid w:val="00EC7E36"/>
    <w:rsid w:val="00ED147C"/>
    <w:rsid w:val="00ED4246"/>
    <w:rsid w:val="00ED5019"/>
    <w:rsid w:val="00EE52CA"/>
    <w:rsid w:val="00EF052E"/>
    <w:rsid w:val="00EF3790"/>
    <w:rsid w:val="00EF3BE6"/>
    <w:rsid w:val="00EF464B"/>
    <w:rsid w:val="00EF6FDF"/>
    <w:rsid w:val="00EF7301"/>
    <w:rsid w:val="00F01753"/>
    <w:rsid w:val="00F03652"/>
    <w:rsid w:val="00F04426"/>
    <w:rsid w:val="00F05775"/>
    <w:rsid w:val="00F067D0"/>
    <w:rsid w:val="00F11829"/>
    <w:rsid w:val="00F11F05"/>
    <w:rsid w:val="00F13254"/>
    <w:rsid w:val="00F13E3D"/>
    <w:rsid w:val="00F14178"/>
    <w:rsid w:val="00F15679"/>
    <w:rsid w:val="00F16753"/>
    <w:rsid w:val="00F173EF"/>
    <w:rsid w:val="00F17ED9"/>
    <w:rsid w:val="00F213C1"/>
    <w:rsid w:val="00F21AD0"/>
    <w:rsid w:val="00F21CB1"/>
    <w:rsid w:val="00F24754"/>
    <w:rsid w:val="00F2498B"/>
    <w:rsid w:val="00F24FC4"/>
    <w:rsid w:val="00F255F9"/>
    <w:rsid w:val="00F25C90"/>
    <w:rsid w:val="00F2788F"/>
    <w:rsid w:val="00F30F1F"/>
    <w:rsid w:val="00F312FE"/>
    <w:rsid w:val="00F3339F"/>
    <w:rsid w:val="00F35186"/>
    <w:rsid w:val="00F36C63"/>
    <w:rsid w:val="00F3736A"/>
    <w:rsid w:val="00F41513"/>
    <w:rsid w:val="00F44F21"/>
    <w:rsid w:val="00F465EA"/>
    <w:rsid w:val="00F479F6"/>
    <w:rsid w:val="00F50951"/>
    <w:rsid w:val="00F53DDD"/>
    <w:rsid w:val="00F5648C"/>
    <w:rsid w:val="00F57071"/>
    <w:rsid w:val="00F57301"/>
    <w:rsid w:val="00F6062A"/>
    <w:rsid w:val="00F61719"/>
    <w:rsid w:val="00F6273E"/>
    <w:rsid w:val="00F634EA"/>
    <w:rsid w:val="00F65DC8"/>
    <w:rsid w:val="00F66224"/>
    <w:rsid w:val="00F70602"/>
    <w:rsid w:val="00F71368"/>
    <w:rsid w:val="00F722C7"/>
    <w:rsid w:val="00F753B8"/>
    <w:rsid w:val="00F75E4F"/>
    <w:rsid w:val="00F76DF0"/>
    <w:rsid w:val="00F76E1D"/>
    <w:rsid w:val="00F82AFE"/>
    <w:rsid w:val="00F82E03"/>
    <w:rsid w:val="00F833F7"/>
    <w:rsid w:val="00F90599"/>
    <w:rsid w:val="00F905F4"/>
    <w:rsid w:val="00F90B40"/>
    <w:rsid w:val="00F925A0"/>
    <w:rsid w:val="00F956BB"/>
    <w:rsid w:val="00FA09B9"/>
    <w:rsid w:val="00FA0DA4"/>
    <w:rsid w:val="00FA14DC"/>
    <w:rsid w:val="00FA30A3"/>
    <w:rsid w:val="00FA475A"/>
    <w:rsid w:val="00FB3D7D"/>
    <w:rsid w:val="00FB6A31"/>
    <w:rsid w:val="00FB6E4A"/>
    <w:rsid w:val="00FB7B61"/>
    <w:rsid w:val="00FC0F61"/>
    <w:rsid w:val="00FC6AD2"/>
    <w:rsid w:val="00FC6E34"/>
    <w:rsid w:val="00FC754C"/>
    <w:rsid w:val="00FD010A"/>
    <w:rsid w:val="00FD0C29"/>
    <w:rsid w:val="00FD4B35"/>
    <w:rsid w:val="00FE1C51"/>
    <w:rsid w:val="00FE3BE4"/>
    <w:rsid w:val="00FE6CA9"/>
    <w:rsid w:val="00FF02CC"/>
    <w:rsid w:val="00FF2DD0"/>
    <w:rsid w:val="00FF3BE2"/>
    <w:rsid w:val="00FF3DD6"/>
    <w:rsid w:val="00FF4A20"/>
    <w:rsid w:val="00FF55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01">
      <o:colormru v:ext="edit" colors="#f5f5f5,#f7f7f7"/>
    </o:shapedefaults>
    <o:shapelayout v:ext="edit">
      <o:idmap v:ext="edit" data="1"/>
    </o:shapelayout>
  </w:shapeDefaults>
  <w:decimalSymbol w:val="."/>
  <w:listSeparator w:val=","/>
  <w14:docId w14:val="03CC1B77"/>
  <w15:chartTrackingRefBased/>
  <w15:docId w15:val="{7D4E7E34-B4B0-4CD3-908D-362C0F484E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before="120" w:after="120" w:line="276" w:lineRule="auto"/>
      </w:pPr>
    </w:pPrDefault>
  </w:docDefaults>
  <w:latentStyles w:defLockedState="0" w:defUIPriority="99" w:defSemiHidden="0" w:defUnhideWhenUsed="0" w:defQFormat="0" w:count="371">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Body"/>
    <w:rsid w:val="00A506F2"/>
    <w:rPr>
      <w:color w:val="404040" w:themeColor="text1" w:themeTint="BF"/>
    </w:rPr>
  </w:style>
  <w:style w:type="paragraph" w:styleId="Heading1">
    <w:name w:val="heading 1"/>
    <w:aliases w:val="Body | Bullets"/>
    <w:basedOn w:val="Normal"/>
    <w:next w:val="Normal"/>
    <w:link w:val="Heading1Char"/>
    <w:uiPriority w:val="9"/>
    <w:qFormat/>
    <w:rsid w:val="0081345A"/>
    <w:pPr>
      <w:numPr>
        <w:numId w:val="1"/>
      </w:numPr>
      <w:ind w:left="0" w:firstLine="0"/>
      <w:outlineLvl w:val="0"/>
    </w:pPr>
    <w:rPr>
      <w:lang w:val="hy-AM"/>
    </w:rPr>
  </w:style>
  <w:style w:type="paragraph" w:styleId="Heading2">
    <w:name w:val="heading 2"/>
    <w:basedOn w:val="Normal"/>
    <w:next w:val="Normal"/>
    <w:link w:val="Heading2Char"/>
    <w:uiPriority w:val="9"/>
    <w:semiHidden/>
    <w:unhideWhenUsed/>
    <w:qFormat/>
    <w:rsid w:val="00E77731"/>
    <w:pPr>
      <w:keepNext/>
      <w:keepLines/>
      <w:spacing w:before="40" w:after="0" w:line="240" w:lineRule="auto"/>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E77731"/>
    <w:pPr>
      <w:keepNext/>
      <w:keepLines/>
      <w:spacing w:before="40" w:after="0" w:line="240" w:lineRule="auto"/>
      <w:outlineLvl w:val="2"/>
    </w:pPr>
    <w:rPr>
      <w:rFonts w:asciiTheme="majorHAnsi" w:eastAsiaTheme="majorEastAsia" w:hAnsiTheme="majorHAnsi"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E77731"/>
    <w:pPr>
      <w:keepNext/>
      <w:keepLines/>
      <w:spacing w:before="40" w:after="0"/>
      <w:outlineLvl w:val="3"/>
    </w:pPr>
    <w:rPr>
      <w:rFonts w:asciiTheme="majorHAnsi" w:eastAsiaTheme="majorEastAsia" w:hAnsiTheme="majorHAnsi" w:cstheme="majorBidi"/>
      <w:color w:val="2E74B5" w:themeColor="accent1" w:themeShade="BF"/>
      <w:sz w:val="24"/>
      <w:szCs w:val="24"/>
    </w:rPr>
  </w:style>
  <w:style w:type="paragraph" w:styleId="Heading5">
    <w:name w:val="heading 5"/>
    <w:basedOn w:val="Normal"/>
    <w:next w:val="Normal"/>
    <w:link w:val="Heading5Char"/>
    <w:uiPriority w:val="9"/>
    <w:semiHidden/>
    <w:unhideWhenUsed/>
    <w:qFormat/>
    <w:rsid w:val="00E77731"/>
    <w:pPr>
      <w:keepNext/>
      <w:keepLines/>
      <w:spacing w:before="40" w:after="0"/>
      <w:outlineLvl w:val="4"/>
    </w:pPr>
    <w:rPr>
      <w:rFonts w:asciiTheme="majorHAnsi" w:eastAsiaTheme="majorEastAsia" w:hAnsiTheme="majorHAnsi" w:cstheme="majorBidi"/>
      <w:caps/>
      <w:color w:val="2E74B5" w:themeColor="accent1" w:themeShade="BF"/>
    </w:rPr>
  </w:style>
  <w:style w:type="paragraph" w:styleId="Heading6">
    <w:name w:val="heading 6"/>
    <w:basedOn w:val="Normal"/>
    <w:next w:val="Normal"/>
    <w:link w:val="Heading6Char"/>
    <w:uiPriority w:val="9"/>
    <w:semiHidden/>
    <w:unhideWhenUsed/>
    <w:qFormat/>
    <w:rsid w:val="00E77731"/>
    <w:pPr>
      <w:keepNext/>
      <w:keepLines/>
      <w:spacing w:before="40" w:after="0"/>
      <w:outlineLvl w:val="5"/>
    </w:pPr>
    <w:rPr>
      <w:rFonts w:asciiTheme="majorHAnsi" w:eastAsiaTheme="majorEastAsia" w:hAnsiTheme="majorHAnsi" w:cstheme="majorBidi"/>
      <w:i/>
      <w:iCs/>
      <w:caps/>
      <w:color w:val="1F4E79" w:themeColor="accent1" w:themeShade="80"/>
    </w:rPr>
  </w:style>
  <w:style w:type="paragraph" w:styleId="Heading7">
    <w:name w:val="heading 7"/>
    <w:basedOn w:val="Normal"/>
    <w:next w:val="Normal"/>
    <w:link w:val="Heading7Char"/>
    <w:uiPriority w:val="9"/>
    <w:semiHidden/>
    <w:unhideWhenUsed/>
    <w:qFormat/>
    <w:rsid w:val="00E77731"/>
    <w:pPr>
      <w:keepNext/>
      <w:keepLines/>
      <w:spacing w:before="40" w:after="0"/>
      <w:outlineLvl w:val="6"/>
    </w:pPr>
    <w:rPr>
      <w:rFonts w:asciiTheme="majorHAnsi" w:eastAsiaTheme="majorEastAsia" w:hAnsiTheme="majorHAnsi" w:cstheme="majorBidi"/>
      <w:b/>
      <w:bCs/>
      <w:color w:val="1F4E79" w:themeColor="accent1" w:themeShade="80"/>
    </w:rPr>
  </w:style>
  <w:style w:type="paragraph" w:styleId="Heading8">
    <w:name w:val="heading 8"/>
    <w:basedOn w:val="Normal"/>
    <w:next w:val="Normal"/>
    <w:link w:val="Heading8Char"/>
    <w:uiPriority w:val="9"/>
    <w:semiHidden/>
    <w:unhideWhenUsed/>
    <w:qFormat/>
    <w:rsid w:val="00E77731"/>
    <w:pPr>
      <w:keepNext/>
      <w:keepLines/>
      <w:spacing w:before="40" w:after="0"/>
      <w:outlineLvl w:val="7"/>
    </w:pPr>
    <w:rPr>
      <w:rFonts w:asciiTheme="majorHAnsi" w:eastAsiaTheme="majorEastAsia" w:hAnsiTheme="majorHAnsi" w:cstheme="majorBidi"/>
      <w:b/>
      <w:bCs/>
      <w:i/>
      <w:iCs/>
      <w:color w:val="1F4E79" w:themeColor="accent1" w:themeShade="80"/>
    </w:rPr>
  </w:style>
  <w:style w:type="paragraph" w:styleId="Heading9">
    <w:name w:val="heading 9"/>
    <w:basedOn w:val="Normal"/>
    <w:next w:val="Normal"/>
    <w:link w:val="Heading9Char"/>
    <w:uiPriority w:val="9"/>
    <w:semiHidden/>
    <w:unhideWhenUsed/>
    <w:qFormat/>
    <w:rsid w:val="00E77731"/>
    <w:pPr>
      <w:keepNext/>
      <w:keepLines/>
      <w:spacing w:before="40" w:after="0"/>
      <w:outlineLvl w:val="8"/>
    </w:pPr>
    <w:rPr>
      <w:rFonts w:asciiTheme="majorHAnsi" w:eastAsiaTheme="majorEastAsia" w:hAnsiTheme="majorHAnsi" w:cstheme="majorBidi"/>
      <w:i/>
      <w:iCs/>
      <w:color w:val="1F4E79"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Body | Bullets Char"/>
    <w:basedOn w:val="DefaultParagraphFont"/>
    <w:link w:val="Heading1"/>
    <w:uiPriority w:val="9"/>
    <w:rsid w:val="0081345A"/>
    <w:rPr>
      <w:color w:val="404040" w:themeColor="text1" w:themeTint="BF"/>
      <w:lang w:val="hy-AM"/>
    </w:rPr>
  </w:style>
  <w:style w:type="character" w:customStyle="1" w:styleId="Heading2Char">
    <w:name w:val="Heading 2 Char"/>
    <w:basedOn w:val="DefaultParagraphFont"/>
    <w:link w:val="Heading2"/>
    <w:uiPriority w:val="9"/>
    <w:semiHidden/>
    <w:rsid w:val="00E77731"/>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E77731"/>
    <w:rPr>
      <w:rFonts w:asciiTheme="majorHAnsi" w:eastAsiaTheme="majorEastAsia" w:hAnsiTheme="majorHAnsi"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E77731"/>
    <w:rPr>
      <w:rFonts w:asciiTheme="majorHAnsi" w:eastAsiaTheme="majorEastAsia" w:hAnsiTheme="majorHAnsi" w:cstheme="majorBidi"/>
      <w:color w:val="2E74B5" w:themeColor="accent1" w:themeShade="BF"/>
      <w:sz w:val="24"/>
      <w:szCs w:val="24"/>
    </w:rPr>
  </w:style>
  <w:style w:type="character" w:customStyle="1" w:styleId="Heading5Char">
    <w:name w:val="Heading 5 Char"/>
    <w:basedOn w:val="DefaultParagraphFont"/>
    <w:link w:val="Heading5"/>
    <w:uiPriority w:val="9"/>
    <w:semiHidden/>
    <w:rsid w:val="00E77731"/>
    <w:rPr>
      <w:rFonts w:asciiTheme="majorHAnsi" w:eastAsiaTheme="majorEastAsia" w:hAnsiTheme="majorHAnsi" w:cstheme="majorBidi"/>
      <w:caps/>
      <w:color w:val="2E74B5" w:themeColor="accent1" w:themeShade="BF"/>
    </w:rPr>
  </w:style>
  <w:style w:type="character" w:customStyle="1" w:styleId="Heading6Char">
    <w:name w:val="Heading 6 Char"/>
    <w:basedOn w:val="DefaultParagraphFont"/>
    <w:link w:val="Heading6"/>
    <w:uiPriority w:val="9"/>
    <w:semiHidden/>
    <w:rsid w:val="00E77731"/>
    <w:rPr>
      <w:rFonts w:asciiTheme="majorHAnsi" w:eastAsiaTheme="majorEastAsia" w:hAnsiTheme="majorHAnsi" w:cstheme="majorBidi"/>
      <w:i/>
      <w:iCs/>
      <w:caps/>
      <w:color w:val="1F4E79" w:themeColor="accent1" w:themeShade="80"/>
    </w:rPr>
  </w:style>
  <w:style w:type="character" w:customStyle="1" w:styleId="Heading7Char">
    <w:name w:val="Heading 7 Char"/>
    <w:basedOn w:val="DefaultParagraphFont"/>
    <w:link w:val="Heading7"/>
    <w:uiPriority w:val="9"/>
    <w:semiHidden/>
    <w:rsid w:val="00E77731"/>
    <w:rPr>
      <w:rFonts w:asciiTheme="majorHAnsi" w:eastAsiaTheme="majorEastAsia" w:hAnsiTheme="majorHAnsi" w:cstheme="majorBidi"/>
      <w:b/>
      <w:bCs/>
      <w:color w:val="1F4E79" w:themeColor="accent1" w:themeShade="80"/>
    </w:rPr>
  </w:style>
  <w:style w:type="character" w:customStyle="1" w:styleId="Heading8Char">
    <w:name w:val="Heading 8 Char"/>
    <w:basedOn w:val="DefaultParagraphFont"/>
    <w:link w:val="Heading8"/>
    <w:uiPriority w:val="9"/>
    <w:semiHidden/>
    <w:rsid w:val="00E77731"/>
    <w:rPr>
      <w:rFonts w:asciiTheme="majorHAnsi" w:eastAsiaTheme="majorEastAsia" w:hAnsiTheme="majorHAnsi" w:cstheme="majorBidi"/>
      <w:b/>
      <w:bCs/>
      <w:i/>
      <w:iCs/>
      <w:color w:val="1F4E79" w:themeColor="accent1" w:themeShade="80"/>
    </w:rPr>
  </w:style>
  <w:style w:type="character" w:customStyle="1" w:styleId="Heading9Char">
    <w:name w:val="Heading 9 Char"/>
    <w:basedOn w:val="DefaultParagraphFont"/>
    <w:link w:val="Heading9"/>
    <w:uiPriority w:val="9"/>
    <w:semiHidden/>
    <w:rsid w:val="00E77731"/>
    <w:rPr>
      <w:rFonts w:asciiTheme="majorHAnsi" w:eastAsiaTheme="majorEastAsia" w:hAnsiTheme="majorHAnsi" w:cstheme="majorBidi"/>
      <w:i/>
      <w:iCs/>
      <w:color w:val="1F4E79" w:themeColor="accent1" w:themeShade="80"/>
    </w:rPr>
  </w:style>
  <w:style w:type="paragraph" w:styleId="Caption">
    <w:name w:val="caption"/>
    <w:aliases w:val="(Table Title),(Table Title) Char Char Char Char Char Char Char Char Char Char, (Table Title), (Table Title) Char Char Char Char Char Char Char Char Char Char"/>
    <w:basedOn w:val="Normal"/>
    <w:next w:val="Normal"/>
    <w:uiPriority w:val="35"/>
    <w:unhideWhenUsed/>
    <w:qFormat/>
    <w:rsid w:val="00E77731"/>
    <w:pPr>
      <w:spacing w:line="240" w:lineRule="auto"/>
    </w:pPr>
    <w:rPr>
      <w:b/>
      <w:bCs/>
      <w:smallCaps/>
      <w:color w:val="44546A" w:themeColor="text2"/>
    </w:rPr>
  </w:style>
  <w:style w:type="paragraph" w:styleId="Title">
    <w:name w:val="Title"/>
    <w:basedOn w:val="Normal"/>
    <w:next w:val="Normal"/>
    <w:link w:val="TitleChar"/>
    <w:uiPriority w:val="10"/>
    <w:qFormat/>
    <w:rsid w:val="00E77731"/>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E77731"/>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E77731"/>
    <w:pPr>
      <w:numPr>
        <w:ilvl w:val="1"/>
      </w:numPr>
      <w:spacing w:after="240" w:line="240" w:lineRule="auto"/>
    </w:pPr>
    <w:rPr>
      <w:rFonts w:asciiTheme="majorHAnsi" w:eastAsiaTheme="majorEastAsia" w:hAnsiTheme="majorHAnsi" w:cstheme="majorBidi"/>
      <w:color w:val="5B9BD5" w:themeColor="accent1"/>
      <w:sz w:val="28"/>
      <w:szCs w:val="28"/>
    </w:rPr>
  </w:style>
  <w:style w:type="character" w:customStyle="1" w:styleId="SubtitleChar">
    <w:name w:val="Subtitle Char"/>
    <w:basedOn w:val="DefaultParagraphFont"/>
    <w:link w:val="Subtitle"/>
    <w:uiPriority w:val="11"/>
    <w:rsid w:val="00E77731"/>
    <w:rPr>
      <w:rFonts w:asciiTheme="majorHAnsi" w:eastAsiaTheme="majorEastAsia" w:hAnsiTheme="majorHAnsi" w:cstheme="majorBidi"/>
      <w:color w:val="5B9BD5" w:themeColor="accent1"/>
      <w:sz w:val="28"/>
      <w:szCs w:val="28"/>
    </w:rPr>
  </w:style>
  <w:style w:type="character" w:styleId="Strong">
    <w:name w:val="Strong"/>
    <w:basedOn w:val="DefaultParagraphFont"/>
    <w:uiPriority w:val="22"/>
    <w:qFormat/>
    <w:rsid w:val="00E77731"/>
    <w:rPr>
      <w:b/>
      <w:bCs/>
    </w:rPr>
  </w:style>
  <w:style w:type="character" w:styleId="Emphasis">
    <w:name w:val="Emphasis"/>
    <w:basedOn w:val="DefaultParagraphFont"/>
    <w:uiPriority w:val="20"/>
    <w:rsid w:val="00E77731"/>
    <w:rPr>
      <w:i/>
      <w:iCs/>
    </w:rPr>
  </w:style>
  <w:style w:type="paragraph" w:styleId="NoSpacing">
    <w:name w:val="No Spacing"/>
    <w:aliases w:val="Level 0-1 | Մասեր"/>
    <w:next w:val="Normal"/>
    <w:link w:val="NoSpacingChar"/>
    <w:uiPriority w:val="1"/>
    <w:qFormat/>
    <w:rsid w:val="00755E0B"/>
    <w:pPr>
      <w:spacing w:after="480"/>
    </w:pPr>
    <w:rPr>
      <w:rFonts w:ascii="GHEA Grapalat" w:hAnsi="GHEA Grapalat"/>
      <w:b/>
      <w:color w:val="44546A" w:themeColor="text2"/>
      <w:sz w:val="50"/>
    </w:rPr>
  </w:style>
  <w:style w:type="paragraph" w:styleId="Quote">
    <w:name w:val="Quote"/>
    <w:basedOn w:val="Normal"/>
    <w:next w:val="Normal"/>
    <w:link w:val="QuoteChar"/>
    <w:uiPriority w:val="29"/>
    <w:qFormat/>
    <w:rsid w:val="00E77731"/>
    <w:pPr>
      <w:ind w:left="720"/>
    </w:pPr>
    <w:rPr>
      <w:color w:val="44546A" w:themeColor="text2"/>
      <w:sz w:val="24"/>
      <w:szCs w:val="24"/>
    </w:rPr>
  </w:style>
  <w:style w:type="character" w:customStyle="1" w:styleId="QuoteChar">
    <w:name w:val="Quote Char"/>
    <w:basedOn w:val="DefaultParagraphFont"/>
    <w:link w:val="Quote"/>
    <w:uiPriority w:val="29"/>
    <w:rsid w:val="00E77731"/>
    <w:rPr>
      <w:color w:val="44546A" w:themeColor="text2"/>
      <w:sz w:val="24"/>
      <w:szCs w:val="24"/>
    </w:rPr>
  </w:style>
  <w:style w:type="paragraph" w:styleId="IntenseQuote">
    <w:name w:val="Intense Quote"/>
    <w:basedOn w:val="Normal"/>
    <w:next w:val="Normal"/>
    <w:link w:val="IntenseQuoteChar"/>
    <w:uiPriority w:val="30"/>
    <w:qFormat/>
    <w:rsid w:val="00E77731"/>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E77731"/>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E77731"/>
    <w:rPr>
      <w:i/>
      <w:iCs/>
      <w:color w:val="595959" w:themeColor="text1" w:themeTint="A6"/>
    </w:rPr>
  </w:style>
  <w:style w:type="character" w:styleId="IntenseEmphasis">
    <w:name w:val="Intense Emphasis"/>
    <w:basedOn w:val="DefaultParagraphFont"/>
    <w:uiPriority w:val="21"/>
    <w:qFormat/>
    <w:rsid w:val="00E77731"/>
    <w:rPr>
      <w:b/>
      <w:bCs/>
      <w:i/>
      <w:iCs/>
    </w:rPr>
  </w:style>
  <w:style w:type="character" w:styleId="SubtleReference">
    <w:name w:val="Subtle Reference"/>
    <w:basedOn w:val="DefaultParagraphFont"/>
    <w:uiPriority w:val="31"/>
    <w:qFormat/>
    <w:rsid w:val="00E77731"/>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E77731"/>
    <w:rPr>
      <w:b/>
      <w:bCs/>
      <w:smallCaps/>
      <w:color w:val="44546A" w:themeColor="text2"/>
      <w:u w:val="single"/>
    </w:rPr>
  </w:style>
  <w:style w:type="character" w:styleId="BookTitle">
    <w:name w:val="Book Title"/>
    <w:basedOn w:val="DefaultParagraphFont"/>
    <w:uiPriority w:val="33"/>
    <w:qFormat/>
    <w:rsid w:val="00E77731"/>
    <w:rPr>
      <w:b/>
      <w:bCs/>
      <w:smallCaps/>
      <w:spacing w:val="10"/>
    </w:rPr>
  </w:style>
  <w:style w:type="paragraph" w:styleId="TOCHeading">
    <w:name w:val="TOC Heading"/>
    <w:basedOn w:val="Heading1"/>
    <w:next w:val="Normal"/>
    <w:uiPriority w:val="39"/>
    <w:unhideWhenUsed/>
    <w:qFormat/>
    <w:rsid w:val="00E77731"/>
    <w:pPr>
      <w:outlineLvl w:val="9"/>
    </w:pPr>
  </w:style>
  <w:style w:type="character" w:styleId="Hyperlink">
    <w:name w:val="Hyperlink"/>
    <w:basedOn w:val="DefaultParagraphFont"/>
    <w:uiPriority w:val="99"/>
    <w:unhideWhenUsed/>
    <w:rsid w:val="00FD0C29"/>
    <w:rPr>
      <w:color w:val="0563C1" w:themeColor="hyperlink"/>
      <w:u w:val="single"/>
    </w:rPr>
  </w:style>
  <w:style w:type="character" w:customStyle="1" w:styleId="NoSpacingChar">
    <w:name w:val="No Spacing Char"/>
    <w:aliases w:val="Level 0-1 | Մասեր Char"/>
    <w:basedOn w:val="DefaultParagraphFont"/>
    <w:link w:val="NoSpacing"/>
    <w:uiPriority w:val="1"/>
    <w:locked/>
    <w:rsid w:val="00755E0B"/>
    <w:rPr>
      <w:rFonts w:ascii="GHEA Grapalat" w:hAnsi="GHEA Grapalat"/>
      <w:b/>
      <w:color w:val="44546A" w:themeColor="text2"/>
      <w:sz w:val="50"/>
    </w:rPr>
  </w:style>
  <w:style w:type="character" w:customStyle="1" w:styleId="ListParagraphChar">
    <w:name w:val="List Paragraph Char"/>
    <w:aliases w:val="lp1 Char,List Paragraph4 Char,List Paragraph41 Char,List Paragraph5 Char,Paragraphe de liste PBLH Char,PDP DOCUMENT SUBTITLE Char,Bullet Points Char,Table of contents numbered Char,List Paragraph in table Char,Liste 1 Char,CPS Char"/>
    <w:link w:val="ListParagraph"/>
    <w:uiPriority w:val="34"/>
    <w:qFormat/>
    <w:locked/>
    <w:rsid w:val="00FD0C29"/>
    <w:rPr>
      <w:rFonts w:ascii="Cambria" w:hAnsi="Cambria"/>
      <w:color w:val="404040" w:themeColor="text1" w:themeTint="BF"/>
    </w:rPr>
  </w:style>
  <w:style w:type="paragraph" w:styleId="ListParagraph">
    <w:name w:val="List Paragraph"/>
    <w:aliases w:val="lp1,List Paragraph4,List Paragraph41,List Paragraph5,Paragraphe de liste PBLH,PDP DOCUMENT SUBTITLE,Bullet Points,Table of contents numbered,List Paragraph in table,Liste 1,Варианты ответов,Table no. List Paragraph,List Paragraph111,CPS,3"/>
    <w:basedOn w:val="Normal"/>
    <w:link w:val="ListParagraphChar"/>
    <w:uiPriority w:val="34"/>
    <w:qFormat/>
    <w:rsid w:val="00FD0C29"/>
    <w:pPr>
      <w:ind w:left="720"/>
      <w:contextualSpacing/>
      <w:jc w:val="both"/>
    </w:pPr>
    <w:rPr>
      <w:rFonts w:ascii="Cambria" w:hAnsi="Cambria"/>
    </w:rPr>
  </w:style>
  <w:style w:type="paragraph" w:customStyle="1" w:styleId="TOC1">
    <w:name w:val="TOC 1 | Մասեր"/>
    <w:basedOn w:val="NoSpacing"/>
    <w:link w:val="TOC1Char"/>
    <w:qFormat/>
    <w:rsid w:val="00772E4F"/>
    <w:pPr>
      <w:spacing w:after="120"/>
    </w:pPr>
    <w:rPr>
      <w:sz w:val="40"/>
      <w:szCs w:val="20"/>
    </w:rPr>
  </w:style>
  <w:style w:type="paragraph" w:customStyle="1" w:styleId="TOC2">
    <w:name w:val="TOC 2 | Բաժիններ"/>
    <w:basedOn w:val="TOC1"/>
    <w:link w:val="TOC2Char"/>
    <w:qFormat/>
    <w:rsid w:val="001D2D3B"/>
    <w:rPr>
      <w:sz w:val="30"/>
    </w:rPr>
  </w:style>
  <w:style w:type="character" w:customStyle="1" w:styleId="TOC1Char">
    <w:name w:val="TOC 1 | Մասեր Char"/>
    <w:basedOn w:val="NoSpacingChar"/>
    <w:link w:val="TOC1"/>
    <w:rsid w:val="00772E4F"/>
    <w:rPr>
      <w:rFonts w:ascii="GHEA Grapalat" w:hAnsi="GHEA Grapalat"/>
      <w:b/>
      <w:color w:val="44546A" w:themeColor="text2"/>
      <w:sz w:val="40"/>
      <w:szCs w:val="20"/>
    </w:rPr>
  </w:style>
  <w:style w:type="paragraph" w:customStyle="1" w:styleId="TOC3">
    <w:name w:val="TOC 3 | Ենթաբաժիններ"/>
    <w:basedOn w:val="TOC2"/>
    <w:link w:val="TOC3Char"/>
    <w:qFormat/>
    <w:rsid w:val="00483A27"/>
    <w:pPr>
      <w:spacing w:before="480" w:after="360"/>
    </w:pPr>
    <w:rPr>
      <w:b w:val="0"/>
      <w:color w:val="A5A6AC" w:themeColor="accent3" w:themeTint="99"/>
      <w:sz w:val="28"/>
    </w:rPr>
  </w:style>
  <w:style w:type="character" w:customStyle="1" w:styleId="TOC2Char">
    <w:name w:val="TOC 2 | Բաժիններ Char"/>
    <w:basedOn w:val="TOC1Char"/>
    <w:link w:val="TOC2"/>
    <w:rsid w:val="001D2D3B"/>
    <w:rPr>
      <w:rFonts w:ascii="GHEA Grapalat" w:hAnsi="GHEA Grapalat"/>
      <w:b/>
      <w:color w:val="44546A" w:themeColor="text2"/>
      <w:sz w:val="30"/>
      <w:szCs w:val="20"/>
    </w:rPr>
  </w:style>
  <w:style w:type="paragraph" w:customStyle="1" w:styleId="TOC4">
    <w:name w:val="TOC 4 | Վերնագրեր"/>
    <w:next w:val="Normal"/>
    <w:link w:val="TOC4Char"/>
    <w:qFormat/>
    <w:rsid w:val="006F2097"/>
    <w:pPr>
      <w:spacing w:before="360" w:after="0"/>
    </w:pPr>
    <w:rPr>
      <w:rFonts w:ascii="GHEA Grapalat" w:hAnsi="GHEA Grapalat"/>
      <w:color w:val="A6A6A6" w:themeColor="background1" w:themeShade="A6"/>
      <w:szCs w:val="20"/>
    </w:rPr>
  </w:style>
  <w:style w:type="character" w:customStyle="1" w:styleId="TOC3Char">
    <w:name w:val="TOC 3 | Ենթաբաժիններ Char"/>
    <w:basedOn w:val="TOC2Char"/>
    <w:link w:val="TOC3"/>
    <w:rsid w:val="00483A27"/>
    <w:rPr>
      <w:rFonts w:ascii="GHEA Grapalat" w:hAnsi="GHEA Grapalat"/>
      <w:b w:val="0"/>
      <w:color w:val="A5A6AC" w:themeColor="accent3" w:themeTint="99"/>
      <w:sz w:val="28"/>
      <w:szCs w:val="20"/>
    </w:rPr>
  </w:style>
  <w:style w:type="paragraph" w:customStyle="1" w:styleId="BodyText1">
    <w:name w:val="Body Text1"/>
    <w:next w:val="Normal"/>
    <w:link w:val="BodytextChar"/>
    <w:qFormat/>
    <w:rsid w:val="00F634EA"/>
    <w:pPr>
      <w:ind w:left="432"/>
      <w:jc w:val="both"/>
    </w:pPr>
    <w:rPr>
      <w:rFonts w:ascii="GHEA Grapalat" w:hAnsi="GHEA Grapalat"/>
      <w:color w:val="404040" w:themeColor="text1" w:themeTint="BF"/>
      <w:szCs w:val="20"/>
    </w:rPr>
  </w:style>
  <w:style w:type="character" w:customStyle="1" w:styleId="TOC4Char">
    <w:name w:val="TOC 4 | Վերնագրեր Char"/>
    <w:basedOn w:val="TOC3Char"/>
    <w:link w:val="TOC4"/>
    <w:rsid w:val="006F2097"/>
    <w:rPr>
      <w:rFonts w:ascii="GHEA Grapalat" w:hAnsi="GHEA Grapalat"/>
      <w:b w:val="0"/>
      <w:color w:val="A6A6A6" w:themeColor="background1" w:themeShade="A6"/>
      <w:sz w:val="28"/>
      <w:szCs w:val="20"/>
    </w:rPr>
  </w:style>
  <w:style w:type="paragraph" w:customStyle="1" w:styleId="BodytextBullets">
    <w:name w:val="Body text | Bullets"/>
    <w:basedOn w:val="BodyText1"/>
    <w:link w:val="BodytextBulletsChar"/>
    <w:qFormat/>
    <w:rsid w:val="00B961AE"/>
    <w:pPr>
      <w:numPr>
        <w:numId w:val="2"/>
      </w:numPr>
    </w:pPr>
  </w:style>
  <w:style w:type="character" w:customStyle="1" w:styleId="BodytextChar">
    <w:name w:val="Body text Char"/>
    <w:basedOn w:val="TOC4Char"/>
    <w:link w:val="BodyText1"/>
    <w:rsid w:val="00F634EA"/>
    <w:rPr>
      <w:rFonts w:ascii="GHEA Grapalat" w:hAnsi="GHEA Grapalat"/>
      <w:b w:val="0"/>
      <w:color w:val="404040" w:themeColor="text1" w:themeTint="BF"/>
      <w:sz w:val="28"/>
      <w:szCs w:val="20"/>
    </w:rPr>
  </w:style>
  <w:style w:type="character" w:customStyle="1" w:styleId="BodytextBulletsChar">
    <w:name w:val="Body text | Bullets Char"/>
    <w:basedOn w:val="BodytextChar"/>
    <w:link w:val="BodytextBullets"/>
    <w:rsid w:val="00B961AE"/>
    <w:rPr>
      <w:rFonts w:ascii="GHEA Grapalat" w:hAnsi="GHEA Grapalat"/>
      <w:b w:val="0"/>
      <w:color w:val="404040" w:themeColor="text1" w:themeTint="BF"/>
      <w:sz w:val="28"/>
      <w:szCs w:val="20"/>
    </w:rPr>
  </w:style>
  <w:style w:type="paragraph" w:customStyle="1" w:styleId="a">
    <w:name w:val="Աղյուսակ"/>
    <w:basedOn w:val="Normal"/>
    <w:link w:val="Char"/>
    <w:qFormat/>
    <w:rsid w:val="00C178D0"/>
    <w:pPr>
      <w:spacing w:before="480" w:line="240" w:lineRule="auto"/>
    </w:pPr>
    <w:rPr>
      <w:b/>
      <w:lang w:val="hy-AM"/>
    </w:rPr>
  </w:style>
  <w:style w:type="paragraph" w:customStyle="1" w:styleId="Footnote">
    <w:name w:val="Footnote"/>
    <w:basedOn w:val="Normal"/>
    <w:link w:val="FootnoteChar"/>
    <w:qFormat/>
    <w:rsid w:val="00F41513"/>
    <w:pPr>
      <w:spacing w:before="0" w:after="0"/>
    </w:pPr>
    <w:rPr>
      <w:i/>
      <w:color w:val="E7E6E6" w:themeColor="background2"/>
      <w:sz w:val="16"/>
      <w:szCs w:val="18"/>
      <w:lang w:val="hy-AM"/>
      <w14:textFill>
        <w14:solidFill>
          <w14:schemeClr w14:val="bg2">
            <w14:lumMod w14:val="90000"/>
            <w14:lumMod w14:val="40000"/>
            <w14:lumOff w14:val="60000"/>
            <w14:lumMod w14:val="75000"/>
            <w14:lumMod w14:val="90000"/>
          </w14:schemeClr>
        </w14:solidFill>
      </w14:textFill>
    </w:rPr>
  </w:style>
  <w:style w:type="character" w:customStyle="1" w:styleId="Char">
    <w:name w:val="Աղյուսակ Char"/>
    <w:basedOn w:val="DefaultParagraphFont"/>
    <w:link w:val="a"/>
    <w:rsid w:val="00C178D0"/>
    <w:rPr>
      <w:b/>
      <w:color w:val="404040" w:themeColor="text1" w:themeTint="BF"/>
      <w:lang w:val="hy-AM"/>
    </w:rPr>
  </w:style>
  <w:style w:type="paragraph" w:customStyle="1" w:styleId="a0">
    <w:name w:val="Աղբյուր"/>
    <w:basedOn w:val="Normal"/>
    <w:link w:val="Char0"/>
    <w:qFormat/>
    <w:rsid w:val="00272FCA"/>
    <w:pPr>
      <w:spacing w:before="0"/>
      <w:jc w:val="right"/>
    </w:pPr>
    <w:rPr>
      <w:i/>
      <w:color w:val="A6A6A6" w:themeColor="background1" w:themeShade="A6"/>
      <w:sz w:val="18"/>
    </w:rPr>
  </w:style>
  <w:style w:type="character" w:customStyle="1" w:styleId="FootnoteChar">
    <w:name w:val="Footnote Char"/>
    <w:basedOn w:val="DefaultParagraphFont"/>
    <w:link w:val="Footnote"/>
    <w:rsid w:val="00F41513"/>
    <w:rPr>
      <w:i/>
      <w:color w:val="E7E6E6" w:themeColor="background2"/>
      <w:sz w:val="16"/>
      <w:szCs w:val="18"/>
      <w:lang w:val="hy-AM"/>
      <w14:textFill>
        <w14:solidFill>
          <w14:schemeClr w14:val="bg2">
            <w14:lumMod w14:val="90000"/>
            <w14:lumMod w14:val="40000"/>
            <w14:lumOff w14:val="60000"/>
            <w14:lumMod w14:val="75000"/>
            <w14:lumMod w14:val="90000"/>
          </w14:schemeClr>
        </w14:solidFill>
      </w14:textFill>
    </w:rPr>
  </w:style>
  <w:style w:type="character" w:customStyle="1" w:styleId="Char0">
    <w:name w:val="Աղբյուր Char"/>
    <w:basedOn w:val="DefaultParagraphFont"/>
    <w:link w:val="a0"/>
    <w:rsid w:val="00272FCA"/>
    <w:rPr>
      <w:i/>
      <w:color w:val="A6A6A6" w:themeColor="background1" w:themeShade="A6"/>
      <w:sz w:val="18"/>
    </w:rPr>
  </w:style>
  <w:style w:type="paragraph" w:customStyle="1" w:styleId="Charts">
    <w:name w:val="Charts"/>
    <w:basedOn w:val="BodyText1"/>
    <w:link w:val="ChartsChar"/>
    <w:qFormat/>
    <w:rsid w:val="00950B3D"/>
    <w:pPr>
      <w:spacing w:before="360" w:line="240" w:lineRule="auto"/>
      <w:ind w:left="0"/>
    </w:pPr>
    <w:rPr>
      <w:b/>
      <w:lang w:val="hy-AM"/>
    </w:rPr>
  </w:style>
  <w:style w:type="character" w:customStyle="1" w:styleId="ChartsChar">
    <w:name w:val="Charts Char"/>
    <w:basedOn w:val="BodytextChar"/>
    <w:link w:val="Charts"/>
    <w:rsid w:val="00950B3D"/>
    <w:rPr>
      <w:rFonts w:ascii="GHEA Grapalat" w:hAnsi="GHEA Grapalat"/>
      <w:b/>
      <w:color w:val="404040" w:themeColor="text1" w:themeTint="BF"/>
      <w:sz w:val="28"/>
      <w:szCs w:val="20"/>
      <w:lang w:val="hy-AM"/>
    </w:rPr>
  </w:style>
  <w:style w:type="paragraph" w:styleId="Header">
    <w:name w:val="header"/>
    <w:basedOn w:val="Normal"/>
    <w:link w:val="HeaderChar"/>
    <w:uiPriority w:val="99"/>
    <w:unhideWhenUsed/>
    <w:rsid w:val="002E0B4D"/>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2E0B4D"/>
    <w:rPr>
      <w:color w:val="404040" w:themeColor="text1" w:themeTint="BF"/>
    </w:rPr>
  </w:style>
  <w:style w:type="paragraph" w:styleId="Footer">
    <w:name w:val="footer"/>
    <w:basedOn w:val="Normal"/>
    <w:link w:val="FooterChar"/>
    <w:uiPriority w:val="99"/>
    <w:unhideWhenUsed/>
    <w:rsid w:val="002E0B4D"/>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2E0B4D"/>
    <w:rPr>
      <w:color w:val="404040" w:themeColor="text1" w:themeTint="BF"/>
    </w:rPr>
  </w:style>
  <w:style w:type="table" w:styleId="TableGrid">
    <w:name w:val="Table Grid"/>
    <w:basedOn w:val="TableNormal"/>
    <w:uiPriority w:val="39"/>
    <w:qFormat/>
    <w:rsid w:val="00E7440A"/>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aliases w:val="fn,ADB,single space,footnote text Char,fn Char,ADB Char,single space Char Char,footnote text,FOOTNOTES Char,FOOTNOTES Char Char Char,FOOTNOTES,Footnote Text Char2 Char,Footnote Text Char1 Char Char,f,Fußnote,WB-Fußnotentext,ft"/>
    <w:basedOn w:val="Normal"/>
    <w:link w:val="FootnoteTextChar"/>
    <w:uiPriority w:val="99"/>
    <w:unhideWhenUsed/>
    <w:qFormat/>
    <w:rsid w:val="002A3BB6"/>
    <w:pPr>
      <w:spacing w:before="0" w:after="0" w:line="240" w:lineRule="auto"/>
    </w:pPr>
    <w:rPr>
      <w:sz w:val="20"/>
      <w:szCs w:val="20"/>
    </w:rPr>
  </w:style>
  <w:style w:type="character" w:customStyle="1" w:styleId="FootnoteTextChar">
    <w:name w:val="Footnote Text Char"/>
    <w:aliases w:val="fn Char1,ADB Char1,single space Char,footnote text Char Char,fn Char Char,ADB Char Char,single space Char Char Char,footnote text Char1,FOOTNOTES Char Char,FOOTNOTES Char Char Char Char,FOOTNOTES Char1,Footnote Text Char2 Char Char"/>
    <w:basedOn w:val="DefaultParagraphFont"/>
    <w:link w:val="FootnoteText"/>
    <w:uiPriority w:val="99"/>
    <w:rsid w:val="002A3BB6"/>
    <w:rPr>
      <w:color w:val="404040" w:themeColor="text1" w:themeTint="BF"/>
      <w:sz w:val="20"/>
      <w:szCs w:val="20"/>
    </w:rPr>
  </w:style>
  <w:style w:type="character" w:styleId="FootnoteReference">
    <w:name w:val="footnote reference"/>
    <w:aliases w:val="ftref,Footnote Reference Number,Footnote Reference_LVL6,Footnote Reference_LVL61,Footnote Reference_LVL62,Footnote Reference_LVL63,Footnote Reference_LVL64,16 Point,Superscript 6 Point,Знак сноски-FN,SUPERS,BVI fnr Char Char Char"/>
    <w:basedOn w:val="DefaultParagraphFont"/>
    <w:link w:val="BVIfnr1"/>
    <w:uiPriority w:val="99"/>
    <w:unhideWhenUsed/>
    <w:qFormat/>
    <w:rsid w:val="002A3BB6"/>
    <w:rPr>
      <w:vertAlign w:val="superscript"/>
    </w:rPr>
  </w:style>
  <w:style w:type="paragraph" w:styleId="TOC10">
    <w:name w:val="toc 1"/>
    <w:basedOn w:val="Normal"/>
    <w:next w:val="Normal"/>
    <w:autoRedefine/>
    <w:uiPriority w:val="39"/>
    <w:unhideWhenUsed/>
    <w:rsid w:val="003676BB"/>
    <w:pPr>
      <w:tabs>
        <w:tab w:val="right" w:leader="dot" w:pos="9736"/>
      </w:tabs>
      <w:spacing w:after="100"/>
    </w:pPr>
    <w:rPr>
      <w:b/>
      <w:noProof/>
      <w:lang w:val="hy-AM"/>
    </w:rPr>
  </w:style>
  <w:style w:type="paragraph" w:styleId="TOC20">
    <w:name w:val="toc 2"/>
    <w:basedOn w:val="Normal"/>
    <w:next w:val="Normal"/>
    <w:autoRedefine/>
    <w:uiPriority w:val="39"/>
    <w:unhideWhenUsed/>
    <w:rsid w:val="00A426AA"/>
    <w:pPr>
      <w:tabs>
        <w:tab w:val="right" w:leader="dot" w:pos="9736"/>
      </w:tabs>
      <w:spacing w:after="100"/>
      <w:ind w:left="220"/>
    </w:pPr>
    <w:rPr>
      <w:b/>
      <w:noProof/>
      <w:lang w:val="hy-AM"/>
    </w:rPr>
  </w:style>
  <w:style w:type="paragraph" w:styleId="TOC30">
    <w:name w:val="toc 3"/>
    <w:basedOn w:val="Normal"/>
    <w:next w:val="Normal"/>
    <w:autoRedefine/>
    <w:uiPriority w:val="39"/>
    <w:unhideWhenUsed/>
    <w:rsid w:val="00FF3DD6"/>
    <w:pPr>
      <w:tabs>
        <w:tab w:val="right" w:leader="dot" w:pos="9736"/>
      </w:tabs>
      <w:spacing w:after="100"/>
    </w:pPr>
  </w:style>
  <w:style w:type="character" w:styleId="FollowedHyperlink">
    <w:name w:val="FollowedHyperlink"/>
    <w:basedOn w:val="DefaultParagraphFont"/>
    <w:uiPriority w:val="99"/>
    <w:semiHidden/>
    <w:unhideWhenUsed/>
    <w:rsid w:val="00357CEB"/>
    <w:rPr>
      <w:color w:val="954F72" w:themeColor="followedHyperlink"/>
      <w:u w:val="single"/>
    </w:rPr>
  </w:style>
  <w:style w:type="paragraph" w:styleId="NormalWeb">
    <w:name w:val="Normal (Web)"/>
    <w:basedOn w:val="Normal"/>
    <w:link w:val="NormalWebChar"/>
    <w:uiPriority w:val="99"/>
    <w:unhideWhenUsed/>
    <w:rsid w:val="004B6F33"/>
    <w:pPr>
      <w:spacing w:before="100" w:beforeAutospacing="1" w:after="100" w:afterAutospacing="1" w:line="240" w:lineRule="auto"/>
    </w:pPr>
    <w:rPr>
      <w:rFonts w:ascii="Times New Roman" w:eastAsia="Times New Roman" w:hAnsi="Times New Roman" w:cs="Times New Roman"/>
      <w:color w:val="auto"/>
      <w:sz w:val="24"/>
      <w:szCs w:val="24"/>
      <w:lang w:val="ru-RU" w:eastAsia="ru-RU"/>
    </w:rPr>
  </w:style>
  <w:style w:type="character" w:customStyle="1" w:styleId="Heading1Char1">
    <w:name w:val="Heading 1 Char1"/>
    <w:aliases w:val="Body | Bullets Char1"/>
    <w:basedOn w:val="DefaultParagraphFont"/>
    <w:uiPriority w:val="9"/>
    <w:rsid w:val="00E00384"/>
    <w:rPr>
      <w:rFonts w:asciiTheme="majorHAnsi" w:eastAsiaTheme="majorEastAsia" w:hAnsiTheme="majorHAnsi" w:cstheme="majorBidi"/>
      <w:color w:val="2E74B5" w:themeColor="accent1" w:themeShade="BF"/>
      <w:sz w:val="32"/>
      <w:szCs w:val="32"/>
    </w:rPr>
  </w:style>
  <w:style w:type="paragraph" w:customStyle="1" w:styleId="msonormal0">
    <w:name w:val="msonormal"/>
    <w:basedOn w:val="Normal"/>
    <w:rsid w:val="00E00384"/>
    <w:pPr>
      <w:spacing w:before="100" w:beforeAutospacing="1" w:after="100" w:afterAutospacing="1" w:line="240" w:lineRule="auto"/>
    </w:pPr>
    <w:rPr>
      <w:rFonts w:ascii="Times New Roman" w:eastAsia="Times New Roman" w:hAnsi="Times New Roman" w:cs="Times New Roman"/>
      <w:color w:val="auto"/>
      <w:sz w:val="24"/>
      <w:szCs w:val="24"/>
    </w:rPr>
  </w:style>
  <w:style w:type="paragraph" w:styleId="BalloonText">
    <w:name w:val="Balloon Text"/>
    <w:basedOn w:val="Normal"/>
    <w:link w:val="BalloonTextChar"/>
    <w:uiPriority w:val="99"/>
    <w:semiHidden/>
    <w:unhideWhenUsed/>
    <w:rsid w:val="00E00384"/>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00384"/>
    <w:rPr>
      <w:rFonts w:ascii="Segoe UI" w:hAnsi="Segoe UI" w:cs="Segoe UI"/>
      <w:color w:val="404040" w:themeColor="text1" w:themeTint="BF"/>
      <w:sz w:val="18"/>
      <w:szCs w:val="18"/>
    </w:rPr>
  </w:style>
  <w:style w:type="paragraph" w:styleId="Revision">
    <w:name w:val="Revision"/>
    <w:uiPriority w:val="99"/>
    <w:semiHidden/>
    <w:rsid w:val="00E00384"/>
    <w:pPr>
      <w:spacing w:before="0" w:after="0" w:line="240" w:lineRule="auto"/>
    </w:pPr>
    <w:rPr>
      <w:color w:val="404040" w:themeColor="text1" w:themeTint="BF"/>
    </w:rPr>
  </w:style>
  <w:style w:type="paragraph" w:styleId="TableofFigures">
    <w:name w:val="table of figures"/>
    <w:basedOn w:val="Normal"/>
    <w:next w:val="Normal"/>
    <w:uiPriority w:val="99"/>
    <w:unhideWhenUsed/>
    <w:rsid w:val="009A30DD"/>
    <w:pPr>
      <w:spacing w:after="0"/>
    </w:pPr>
  </w:style>
  <w:style w:type="character" w:customStyle="1" w:styleId="NormalWebChar">
    <w:name w:val="Normal (Web) Char"/>
    <w:link w:val="NormalWeb"/>
    <w:locked/>
    <w:rsid w:val="00211639"/>
    <w:rPr>
      <w:rFonts w:ascii="Times New Roman" w:eastAsia="Times New Roman" w:hAnsi="Times New Roman" w:cs="Times New Roman"/>
      <w:sz w:val="24"/>
      <w:szCs w:val="24"/>
      <w:lang w:val="ru-RU" w:eastAsia="ru-RU"/>
    </w:rPr>
  </w:style>
  <w:style w:type="paragraph" w:styleId="EndnoteText">
    <w:name w:val="endnote text"/>
    <w:basedOn w:val="Normal"/>
    <w:link w:val="EndnoteTextChar"/>
    <w:uiPriority w:val="99"/>
    <w:semiHidden/>
    <w:unhideWhenUsed/>
    <w:rsid w:val="003B44F2"/>
    <w:pPr>
      <w:spacing w:before="0" w:after="0" w:line="240" w:lineRule="auto"/>
    </w:pPr>
    <w:rPr>
      <w:sz w:val="20"/>
      <w:szCs w:val="20"/>
    </w:rPr>
  </w:style>
  <w:style w:type="character" w:customStyle="1" w:styleId="EndnoteTextChar">
    <w:name w:val="Endnote Text Char"/>
    <w:basedOn w:val="DefaultParagraphFont"/>
    <w:link w:val="EndnoteText"/>
    <w:uiPriority w:val="99"/>
    <w:semiHidden/>
    <w:rsid w:val="003B44F2"/>
    <w:rPr>
      <w:color w:val="404040" w:themeColor="text1" w:themeTint="BF"/>
      <w:sz w:val="20"/>
      <w:szCs w:val="20"/>
    </w:rPr>
  </w:style>
  <w:style w:type="character" w:styleId="EndnoteReference">
    <w:name w:val="endnote reference"/>
    <w:basedOn w:val="DefaultParagraphFont"/>
    <w:uiPriority w:val="99"/>
    <w:semiHidden/>
    <w:unhideWhenUsed/>
    <w:rsid w:val="003B44F2"/>
    <w:rPr>
      <w:vertAlign w:val="superscript"/>
    </w:rPr>
  </w:style>
  <w:style w:type="paragraph" w:customStyle="1" w:styleId="BVIfnr1">
    <w:name w:val="BVI fnr1"/>
    <w:aliases w:val="BVI fnr Char,Appel note de bas de p..BVI fnr Car Car Car Car,BVI fnr Car Car,BVI fnr Car,BVI fnr Car Car Car Car,BVI fnr Car Car Car Car Char,Appel note de bas de p..BVI fnr Car Car Car Car1,BVI fnr, BVI fnr Char, BVI fnr Car Car, BVI fnr"/>
    <w:basedOn w:val="Normal"/>
    <w:link w:val="FootnoteReference"/>
    <w:uiPriority w:val="99"/>
    <w:rsid w:val="00AC7703"/>
    <w:pPr>
      <w:spacing w:before="0" w:after="160" w:line="240" w:lineRule="exact"/>
    </w:pPr>
    <w:rPr>
      <w:color w:val="auto"/>
      <w:vertAlign w:val="superscript"/>
    </w:rPr>
  </w:style>
  <w:style w:type="paragraph" w:styleId="BodyText">
    <w:name w:val="Body Text"/>
    <w:aliases w:val="(Main Text),date,Body Text (Main text)"/>
    <w:basedOn w:val="Normal"/>
    <w:link w:val="BodyTextChar1"/>
    <w:rsid w:val="004B37E7"/>
    <w:pPr>
      <w:spacing w:before="0" w:line="240" w:lineRule="auto"/>
    </w:pPr>
    <w:rPr>
      <w:rFonts w:ascii="Times New Roman" w:eastAsia="Times New Roman" w:hAnsi="Times New Roman" w:cs="Times New Roman"/>
      <w:color w:val="auto"/>
      <w:sz w:val="24"/>
      <w:szCs w:val="24"/>
      <w:lang w:val="x-none" w:eastAsia="x-none"/>
    </w:rPr>
  </w:style>
  <w:style w:type="character" w:customStyle="1" w:styleId="BodyTextChar0">
    <w:name w:val="Body Text Char"/>
    <w:basedOn w:val="DefaultParagraphFont"/>
    <w:uiPriority w:val="99"/>
    <w:semiHidden/>
    <w:rsid w:val="004B37E7"/>
    <w:rPr>
      <w:color w:val="404040" w:themeColor="text1" w:themeTint="BF"/>
    </w:rPr>
  </w:style>
  <w:style w:type="character" w:customStyle="1" w:styleId="BodyTextChar1">
    <w:name w:val="Body Text Char1"/>
    <w:aliases w:val="(Main Text) Char,date Char,Body Text (Main text) Char"/>
    <w:link w:val="BodyText"/>
    <w:rsid w:val="004B37E7"/>
    <w:rPr>
      <w:rFonts w:ascii="Times New Roman" w:eastAsia="Times New Roman" w:hAnsi="Times New Roman" w:cs="Times New Roman"/>
      <w:sz w:val="24"/>
      <w:szCs w:val="24"/>
      <w:lang w:val="x-none" w:eastAsia="x-none"/>
    </w:rPr>
  </w:style>
  <w:style w:type="character" w:styleId="CommentReference">
    <w:name w:val="annotation reference"/>
    <w:basedOn w:val="DefaultParagraphFont"/>
    <w:uiPriority w:val="99"/>
    <w:semiHidden/>
    <w:unhideWhenUsed/>
    <w:rsid w:val="00FE3BE4"/>
    <w:rPr>
      <w:sz w:val="16"/>
      <w:szCs w:val="16"/>
    </w:rPr>
  </w:style>
  <w:style w:type="paragraph" w:styleId="CommentText">
    <w:name w:val="annotation text"/>
    <w:basedOn w:val="Normal"/>
    <w:link w:val="CommentTextChar"/>
    <w:uiPriority w:val="99"/>
    <w:unhideWhenUsed/>
    <w:rsid w:val="00FE3BE4"/>
    <w:pPr>
      <w:spacing w:line="240" w:lineRule="auto"/>
    </w:pPr>
    <w:rPr>
      <w:sz w:val="20"/>
      <w:szCs w:val="20"/>
    </w:rPr>
  </w:style>
  <w:style w:type="character" w:customStyle="1" w:styleId="CommentTextChar">
    <w:name w:val="Comment Text Char"/>
    <w:basedOn w:val="DefaultParagraphFont"/>
    <w:link w:val="CommentText"/>
    <w:uiPriority w:val="99"/>
    <w:rsid w:val="00FE3BE4"/>
    <w:rPr>
      <w:color w:val="404040" w:themeColor="text1" w:themeTint="BF"/>
      <w:sz w:val="20"/>
      <w:szCs w:val="20"/>
    </w:rPr>
  </w:style>
  <w:style w:type="paragraph" w:customStyle="1" w:styleId="a1">
    <w:name w:val="Հղումներ"/>
    <w:basedOn w:val="Normal"/>
    <w:qFormat/>
    <w:rsid w:val="00FE3BE4"/>
    <w:pPr>
      <w:spacing w:before="60" w:after="40" w:line="240" w:lineRule="auto"/>
      <w:ind w:firstLine="567"/>
      <w:jc w:val="both"/>
    </w:pPr>
    <w:rPr>
      <w:rFonts w:ascii="GHEA Grapalat" w:eastAsia="Times New Roman" w:hAnsi="GHEA Grapalat" w:cs="Times New Roman"/>
      <w:color w:val="auto"/>
      <w:sz w:val="20"/>
      <w:szCs w:val="20"/>
      <w:lang w:val="hy-AM"/>
    </w:rPr>
  </w:style>
  <w:style w:type="paragraph" w:styleId="CommentSubject">
    <w:name w:val="annotation subject"/>
    <w:basedOn w:val="CommentText"/>
    <w:next w:val="CommentText"/>
    <w:link w:val="CommentSubjectChar"/>
    <w:uiPriority w:val="99"/>
    <w:semiHidden/>
    <w:unhideWhenUsed/>
    <w:rsid w:val="00FE3BE4"/>
    <w:rPr>
      <w:b/>
      <w:bCs/>
    </w:rPr>
  </w:style>
  <w:style w:type="character" w:customStyle="1" w:styleId="CommentSubjectChar">
    <w:name w:val="Comment Subject Char"/>
    <w:basedOn w:val="CommentTextChar"/>
    <w:link w:val="CommentSubject"/>
    <w:uiPriority w:val="99"/>
    <w:semiHidden/>
    <w:rsid w:val="00FE3BE4"/>
    <w:rPr>
      <w:b/>
      <w:bCs/>
      <w:color w:val="404040" w:themeColor="text1" w:themeTint="BF"/>
      <w:sz w:val="20"/>
      <w:szCs w:val="20"/>
    </w:rPr>
  </w:style>
  <w:style w:type="character" w:customStyle="1" w:styleId="UnresolvedMention1">
    <w:name w:val="Unresolved Mention1"/>
    <w:basedOn w:val="DefaultParagraphFont"/>
    <w:uiPriority w:val="99"/>
    <w:semiHidden/>
    <w:unhideWhenUsed/>
    <w:rsid w:val="00FE3BE4"/>
    <w:rPr>
      <w:color w:val="605E5C"/>
      <w:shd w:val="clear" w:color="auto" w:fill="E1DFDD"/>
    </w:rPr>
  </w:style>
  <w:style w:type="paragraph" w:customStyle="1" w:styleId="a2">
    <w:name w:val="Վերնագիր"/>
    <w:basedOn w:val="TOC2"/>
    <w:link w:val="Char1"/>
    <w:qFormat/>
    <w:rsid w:val="00A72B0A"/>
    <w:pPr>
      <w:jc w:val="both"/>
    </w:pPr>
    <w:rPr>
      <w:lang w:val="hy-AM"/>
    </w:rPr>
  </w:style>
  <w:style w:type="paragraph" w:customStyle="1" w:styleId="StyleGHEAGrapalatJustifiedBefore12pt">
    <w:name w:val="Style GHEA Grapalat Justified Before:  12 pt"/>
    <w:basedOn w:val="Normal"/>
    <w:rsid w:val="00F13254"/>
    <w:pPr>
      <w:numPr>
        <w:numId w:val="48"/>
      </w:numPr>
      <w:spacing w:before="240" w:after="240"/>
      <w:jc w:val="both"/>
    </w:pPr>
    <w:rPr>
      <w:rFonts w:ascii="GHEA Grapalat" w:eastAsia="Times New Roman" w:hAnsi="GHEA Grapalat" w:cs="Times New Roman"/>
      <w:b/>
      <w:noProof/>
      <w:color w:val="auto"/>
      <w:szCs w:val="20"/>
      <w:lang w:val="ru-RU" w:eastAsia="ru-RU"/>
    </w:rPr>
  </w:style>
  <w:style w:type="character" w:customStyle="1" w:styleId="Char1">
    <w:name w:val="Վերնագիր Char"/>
    <w:basedOn w:val="TOC2Char"/>
    <w:link w:val="a2"/>
    <w:rsid w:val="00A72B0A"/>
    <w:rPr>
      <w:rFonts w:ascii="GHEA Grapalat" w:hAnsi="GHEA Grapalat"/>
      <w:b/>
      <w:color w:val="44546A" w:themeColor="text2"/>
      <w:sz w:val="30"/>
      <w:szCs w:val="20"/>
      <w:lang w:val="hy-AM"/>
    </w:rPr>
  </w:style>
  <w:style w:type="paragraph" w:customStyle="1" w:styleId="KLegalHeading3">
    <w:name w:val="KLegal Heading 3"/>
    <w:basedOn w:val="Normal"/>
    <w:next w:val="Normal"/>
    <w:rsid w:val="00F13254"/>
    <w:pPr>
      <w:keepNext/>
      <w:numPr>
        <w:ilvl w:val="2"/>
        <w:numId w:val="48"/>
      </w:numPr>
      <w:overflowPunct w:val="0"/>
      <w:autoSpaceDE w:val="0"/>
      <w:autoSpaceDN w:val="0"/>
      <w:adjustRightInd w:val="0"/>
      <w:spacing w:before="0" w:after="220" w:line="240" w:lineRule="auto"/>
      <w:ind w:left="1440" w:hanging="720"/>
      <w:jc w:val="both"/>
      <w:textAlignment w:val="baseline"/>
    </w:pPr>
    <w:rPr>
      <w:rFonts w:ascii="Times New Roman" w:eastAsia="Times New Roman" w:hAnsi="Times New Roman" w:cs="Times New Roman"/>
      <w:color w:val="auto"/>
      <w:szCs w:val="20"/>
      <w:lang w:val="en-GB"/>
    </w:rPr>
  </w:style>
  <w:style w:type="paragraph" w:customStyle="1" w:styleId="KLegalHeading4">
    <w:name w:val="KLegal Heading 4"/>
    <w:basedOn w:val="Normal"/>
    <w:next w:val="Normal"/>
    <w:rsid w:val="00F13254"/>
    <w:pPr>
      <w:keepNext/>
      <w:numPr>
        <w:ilvl w:val="3"/>
        <w:numId w:val="48"/>
      </w:numPr>
      <w:overflowPunct w:val="0"/>
      <w:autoSpaceDE w:val="0"/>
      <w:autoSpaceDN w:val="0"/>
      <w:adjustRightInd w:val="0"/>
      <w:spacing w:before="0" w:after="220" w:line="240" w:lineRule="auto"/>
      <w:ind w:left="2160" w:hanging="720"/>
      <w:jc w:val="both"/>
      <w:textAlignment w:val="baseline"/>
    </w:pPr>
    <w:rPr>
      <w:rFonts w:ascii="Times New Roman" w:eastAsia="Times New Roman" w:hAnsi="Times New Roman" w:cs="Times New Roman"/>
      <w:i/>
      <w:color w:val="auto"/>
      <w:szCs w:val="20"/>
      <w:lang w:val="en-GB"/>
    </w:rPr>
  </w:style>
  <w:style w:type="paragraph" w:customStyle="1" w:styleId="KLegalHeading2">
    <w:name w:val="KLegal Heading 2"/>
    <w:basedOn w:val="Normal"/>
    <w:next w:val="KLegalHeading3"/>
    <w:rsid w:val="00F13254"/>
    <w:pPr>
      <w:keepNext/>
      <w:numPr>
        <w:ilvl w:val="1"/>
        <w:numId w:val="48"/>
      </w:numPr>
      <w:overflowPunct w:val="0"/>
      <w:autoSpaceDE w:val="0"/>
      <w:autoSpaceDN w:val="0"/>
      <w:adjustRightInd w:val="0"/>
      <w:spacing w:before="0" w:after="220" w:line="240" w:lineRule="auto"/>
      <w:ind w:left="851" w:hanging="851"/>
      <w:jc w:val="both"/>
      <w:textAlignment w:val="baseline"/>
      <w:outlineLvl w:val="1"/>
    </w:pPr>
    <w:rPr>
      <w:rFonts w:ascii="Times New Roman" w:eastAsia="Times New Roman" w:hAnsi="Times New Roman" w:cs="Times New Roman"/>
      <w:color w:val="auto"/>
      <w:sz w:val="28"/>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1517">
      <w:bodyDiv w:val="1"/>
      <w:marLeft w:val="0"/>
      <w:marRight w:val="0"/>
      <w:marTop w:val="0"/>
      <w:marBottom w:val="0"/>
      <w:divBdr>
        <w:top w:val="none" w:sz="0" w:space="0" w:color="auto"/>
        <w:left w:val="none" w:sz="0" w:space="0" w:color="auto"/>
        <w:bottom w:val="none" w:sz="0" w:space="0" w:color="auto"/>
        <w:right w:val="none" w:sz="0" w:space="0" w:color="auto"/>
      </w:divBdr>
    </w:div>
    <w:div w:id="4790142">
      <w:bodyDiv w:val="1"/>
      <w:marLeft w:val="0"/>
      <w:marRight w:val="0"/>
      <w:marTop w:val="0"/>
      <w:marBottom w:val="0"/>
      <w:divBdr>
        <w:top w:val="none" w:sz="0" w:space="0" w:color="auto"/>
        <w:left w:val="none" w:sz="0" w:space="0" w:color="auto"/>
        <w:bottom w:val="none" w:sz="0" w:space="0" w:color="auto"/>
        <w:right w:val="none" w:sz="0" w:space="0" w:color="auto"/>
      </w:divBdr>
    </w:div>
    <w:div w:id="15230982">
      <w:bodyDiv w:val="1"/>
      <w:marLeft w:val="0"/>
      <w:marRight w:val="0"/>
      <w:marTop w:val="0"/>
      <w:marBottom w:val="0"/>
      <w:divBdr>
        <w:top w:val="none" w:sz="0" w:space="0" w:color="auto"/>
        <w:left w:val="none" w:sz="0" w:space="0" w:color="auto"/>
        <w:bottom w:val="none" w:sz="0" w:space="0" w:color="auto"/>
        <w:right w:val="none" w:sz="0" w:space="0" w:color="auto"/>
      </w:divBdr>
    </w:div>
    <w:div w:id="90857037">
      <w:bodyDiv w:val="1"/>
      <w:marLeft w:val="0"/>
      <w:marRight w:val="0"/>
      <w:marTop w:val="0"/>
      <w:marBottom w:val="0"/>
      <w:divBdr>
        <w:top w:val="none" w:sz="0" w:space="0" w:color="auto"/>
        <w:left w:val="none" w:sz="0" w:space="0" w:color="auto"/>
        <w:bottom w:val="none" w:sz="0" w:space="0" w:color="auto"/>
        <w:right w:val="none" w:sz="0" w:space="0" w:color="auto"/>
      </w:divBdr>
    </w:div>
    <w:div w:id="157773821">
      <w:bodyDiv w:val="1"/>
      <w:marLeft w:val="0"/>
      <w:marRight w:val="0"/>
      <w:marTop w:val="0"/>
      <w:marBottom w:val="0"/>
      <w:divBdr>
        <w:top w:val="none" w:sz="0" w:space="0" w:color="auto"/>
        <w:left w:val="none" w:sz="0" w:space="0" w:color="auto"/>
        <w:bottom w:val="none" w:sz="0" w:space="0" w:color="auto"/>
        <w:right w:val="none" w:sz="0" w:space="0" w:color="auto"/>
      </w:divBdr>
    </w:div>
    <w:div w:id="334915441">
      <w:bodyDiv w:val="1"/>
      <w:marLeft w:val="0"/>
      <w:marRight w:val="0"/>
      <w:marTop w:val="0"/>
      <w:marBottom w:val="0"/>
      <w:divBdr>
        <w:top w:val="none" w:sz="0" w:space="0" w:color="auto"/>
        <w:left w:val="none" w:sz="0" w:space="0" w:color="auto"/>
        <w:bottom w:val="none" w:sz="0" w:space="0" w:color="auto"/>
        <w:right w:val="none" w:sz="0" w:space="0" w:color="auto"/>
      </w:divBdr>
    </w:div>
    <w:div w:id="371686233">
      <w:bodyDiv w:val="1"/>
      <w:marLeft w:val="0"/>
      <w:marRight w:val="0"/>
      <w:marTop w:val="0"/>
      <w:marBottom w:val="0"/>
      <w:divBdr>
        <w:top w:val="none" w:sz="0" w:space="0" w:color="auto"/>
        <w:left w:val="none" w:sz="0" w:space="0" w:color="auto"/>
        <w:bottom w:val="none" w:sz="0" w:space="0" w:color="auto"/>
        <w:right w:val="none" w:sz="0" w:space="0" w:color="auto"/>
      </w:divBdr>
    </w:div>
    <w:div w:id="412968303">
      <w:bodyDiv w:val="1"/>
      <w:marLeft w:val="0"/>
      <w:marRight w:val="0"/>
      <w:marTop w:val="0"/>
      <w:marBottom w:val="0"/>
      <w:divBdr>
        <w:top w:val="none" w:sz="0" w:space="0" w:color="auto"/>
        <w:left w:val="none" w:sz="0" w:space="0" w:color="auto"/>
        <w:bottom w:val="none" w:sz="0" w:space="0" w:color="auto"/>
        <w:right w:val="none" w:sz="0" w:space="0" w:color="auto"/>
      </w:divBdr>
    </w:div>
    <w:div w:id="506941557">
      <w:bodyDiv w:val="1"/>
      <w:marLeft w:val="0"/>
      <w:marRight w:val="0"/>
      <w:marTop w:val="0"/>
      <w:marBottom w:val="0"/>
      <w:divBdr>
        <w:top w:val="none" w:sz="0" w:space="0" w:color="auto"/>
        <w:left w:val="none" w:sz="0" w:space="0" w:color="auto"/>
        <w:bottom w:val="none" w:sz="0" w:space="0" w:color="auto"/>
        <w:right w:val="none" w:sz="0" w:space="0" w:color="auto"/>
      </w:divBdr>
    </w:div>
    <w:div w:id="534082321">
      <w:bodyDiv w:val="1"/>
      <w:marLeft w:val="0"/>
      <w:marRight w:val="0"/>
      <w:marTop w:val="0"/>
      <w:marBottom w:val="0"/>
      <w:divBdr>
        <w:top w:val="none" w:sz="0" w:space="0" w:color="auto"/>
        <w:left w:val="none" w:sz="0" w:space="0" w:color="auto"/>
        <w:bottom w:val="none" w:sz="0" w:space="0" w:color="auto"/>
        <w:right w:val="none" w:sz="0" w:space="0" w:color="auto"/>
      </w:divBdr>
    </w:div>
    <w:div w:id="626552088">
      <w:bodyDiv w:val="1"/>
      <w:marLeft w:val="0"/>
      <w:marRight w:val="0"/>
      <w:marTop w:val="0"/>
      <w:marBottom w:val="0"/>
      <w:divBdr>
        <w:top w:val="none" w:sz="0" w:space="0" w:color="auto"/>
        <w:left w:val="none" w:sz="0" w:space="0" w:color="auto"/>
        <w:bottom w:val="none" w:sz="0" w:space="0" w:color="auto"/>
        <w:right w:val="none" w:sz="0" w:space="0" w:color="auto"/>
      </w:divBdr>
    </w:div>
    <w:div w:id="729116607">
      <w:bodyDiv w:val="1"/>
      <w:marLeft w:val="0"/>
      <w:marRight w:val="0"/>
      <w:marTop w:val="0"/>
      <w:marBottom w:val="0"/>
      <w:divBdr>
        <w:top w:val="none" w:sz="0" w:space="0" w:color="auto"/>
        <w:left w:val="none" w:sz="0" w:space="0" w:color="auto"/>
        <w:bottom w:val="none" w:sz="0" w:space="0" w:color="auto"/>
        <w:right w:val="none" w:sz="0" w:space="0" w:color="auto"/>
      </w:divBdr>
    </w:div>
    <w:div w:id="733889088">
      <w:bodyDiv w:val="1"/>
      <w:marLeft w:val="0"/>
      <w:marRight w:val="0"/>
      <w:marTop w:val="0"/>
      <w:marBottom w:val="0"/>
      <w:divBdr>
        <w:top w:val="none" w:sz="0" w:space="0" w:color="auto"/>
        <w:left w:val="none" w:sz="0" w:space="0" w:color="auto"/>
        <w:bottom w:val="none" w:sz="0" w:space="0" w:color="auto"/>
        <w:right w:val="none" w:sz="0" w:space="0" w:color="auto"/>
      </w:divBdr>
    </w:div>
    <w:div w:id="743451044">
      <w:bodyDiv w:val="1"/>
      <w:marLeft w:val="0"/>
      <w:marRight w:val="0"/>
      <w:marTop w:val="0"/>
      <w:marBottom w:val="0"/>
      <w:divBdr>
        <w:top w:val="none" w:sz="0" w:space="0" w:color="auto"/>
        <w:left w:val="none" w:sz="0" w:space="0" w:color="auto"/>
        <w:bottom w:val="none" w:sz="0" w:space="0" w:color="auto"/>
        <w:right w:val="none" w:sz="0" w:space="0" w:color="auto"/>
      </w:divBdr>
    </w:div>
    <w:div w:id="1115100245">
      <w:bodyDiv w:val="1"/>
      <w:marLeft w:val="0"/>
      <w:marRight w:val="0"/>
      <w:marTop w:val="0"/>
      <w:marBottom w:val="0"/>
      <w:divBdr>
        <w:top w:val="none" w:sz="0" w:space="0" w:color="auto"/>
        <w:left w:val="none" w:sz="0" w:space="0" w:color="auto"/>
        <w:bottom w:val="none" w:sz="0" w:space="0" w:color="auto"/>
        <w:right w:val="none" w:sz="0" w:space="0" w:color="auto"/>
      </w:divBdr>
    </w:div>
    <w:div w:id="1115490118">
      <w:bodyDiv w:val="1"/>
      <w:marLeft w:val="0"/>
      <w:marRight w:val="0"/>
      <w:marTop w:val="0"/>
      <w:marBottom w:val="0"/>
      <w:divBdr>
        <w:top w:val="none" w:sz="0" w:space="0" w:color="auto"/>
        <w:left w:val="none" w:sz="0" w:space="0" w:color="auto"/>
        <w:bottom w:val="none" w:sz="0" w:space="0" w:color="auto"/>
        <w:right w:val="none" w:sz="0" w:space="0" w:color="auto"/>
      </w:divBdr>
    </w:div>
    <w:div w:id="1154222892">
      <w:bodyDiv w:val="1"/>
      <w:marLeft w:val="0"/>
      <w:marRight w:val="0"/>
      <w:marTop w:val="0"/>
      <w:marBottom w:val="0"/>
      <w:divBdr>
        <w:top w:val="none" w:sz="0" w:space="0" w:color="auto"/>
        <w:left w:val="none" w:sz="0" w:space="0" w:color="auto"/>
        <w:bottom w:val="none" w:sz="0" w:space="0" w:color="auto"/>
        <w:right w:val="none" w:sz="0" w:space="0" w:color="auto"/>
      </w:divBdr>
    </w:div>
    <w:div w:id="1240560272">
      <w:bodyDiv w:val="1"/>
      <w:marLeft w:val="0"/>
      <w:marRight w:val="0"/>
      <w:marTop w:val="0"/>
      <w:marBottom w:val="0"/>
      <w:divBdr>
        <w:top w:val="none" w:sz="0" w:space="0" w:color="auto"/>
        <w:left w:val="none" w:sz="0" w:space="0" w:color="auto"/>
        <w:bottom w:val="none" w:sz="0" w:space="0" w:color="auto"/>
        <w:right w:val="none" w:sz="0" w:space="0" w:color="auto"/>
      </w:divBdr>
    </w:div>
    <w:div w:id="1286231192">
      <w:bodyDiv w:val="1"/>
      <w:marLeft w:val="0"/>
      <w:marRight w:val="0"/>
      <w:marTop w:val="0"/>
      <w:marBottom w:val="0"/>
      <w:divBdr>
        <w:top w:val="none" w:sz="0" w:space="0" w:color="auto"/>
        <w:left w:val="none" w:sz="0" w:space="0" w:color="auto"/>
        <w:bottom w:val="none" w:sz="0" w:space="0" w:color="auto"/>
        <w:right w:val="none" w:sz="0" w:space="0" w:color="auto"/>
      </w:divBdr>
    </w:div>
    <w:div w:id="1339893553">
      <w:bodyDiv w:val="1"/>
      <w:marLeft w:val="0"/>
      <w:marRight w:val="0"/>
      <w:marTop w:val="0"/>
      <w:marBottom w:val="0"/>
      <w:divBdr>
        <w:top w:val="none" w:sz="0" w:space="0" w:color="auto"/>
        <w:left w:val="none" w:sz="0" w:space="0" w:color="auto"/>
        <w:bottom w:val="none" w:sz="0" w:space="0" w:color="auto"/>
        <w:right w:val="none" w:sz="0" w:space="0" w:color="auto"/>
      </w:divBdr>
    </w:div>
    <w:div w:id="1346906634">
      <w:bodyDiv w:val="1"/>
      <w:marLeft w:val="0"/>
      <w:marRight w:val="0"/>
      <w:marTop w:val="0"/>
      <w:marBottom w:val="0"/>
      <w:divBdr>
        <w:top w:val="none" w:sz="0" w:space="0" w:color="auto"/>
        <w:left w:val="none" w:sz="0" w:space="0" w:color="auto"/>
        <w:bottom w:val="none" w:sz="0" w:space="0" w:color="auto"/>
        <w:right w:val="none" w:sz="0" w:space="0" w:color="auto"/>
      </w:divBdr>
    </w:div>
    <w:div w:id="1349065734">
      <w:bodyDiv w:val="1"/>
      <w:marLeft w:val="0"/>
      <w:marRight w:val="0"/>
      <w:marTop w:val="0"/>
      <w:marBottom w:val="0"/>
      <w:divBdr>
        <w:top w:val="none" w:sz="0" w:space="0" w:color="auto"/>
        <w:left w:val="none" w:sz="0" w:space="0" w:color="auto"/>
        <w:bottom w:val="none" w:sz="0" w:space="0" w:color="auto"/>
        <w:right w:val="none" w:sz="0" w:space="0" w:color="auto"/>
      </w:divBdr>
    </w:div>
    <w:div w:id="1420640490">
      <w:bodyDiv w:val="1"/>
      <w:marLeft w:val="0"/>
      <w:marRight w:val="0"/>
      <w:marTop w:val="0"/>
      <w:marBottom w:val="0"/>
      <w:divBdr>
        <w:top w:val="none" w:sz="0" w:space="0" w:color="auto"/>
        <w:left w:val="none" w:sz="0" w:space="0" w:color="auto"/>
        <w:bottom w:val="none" w:sz="0" w:space="0" w:color="auto"/>
        <w:right w:val="none" w:sz="0" w:space="0" w:color="auto"/>
      </w:divBdr>
    </w:div>
    <w:div w:id="1576670735">
      <w:bodyDiv w:val="1"/>
      <w:marLeft w:val="0"/>
      <w:marRight w:val="0"/>
      <w:marTop w:val="0"/>
      <w:marBottom w:val="0"/>
      <w:divBdr>
        <w:top w:val="none" w:sz="0" w:space="0" w:color="auto"/>
        <w:left w:val="none" w:sz="0" w:space="0" w:color="auto"/>
        <w:bottom w:val="none" w:sz="0" w:space="0" w:color="auto"/>
        <w:right w:val="none" w:sz="0" w:space="0" w:color="auto"/>
      </w:divBdr>
    </w:div>
    <w:div w:id="1602225985">
      <w:bodyDiv w:val="1"/>
      <w:marLeft w:val="0"/>
      <w:marRight w:val="0"/>
      <w:marTop w:val="0"/>
      <w:marBottom w:val="0"/>
      <w:divBdr>
        <w:top w:val="none" w:sz="0" w:space="0" w:color="auto"/>
        <w:left w:val="none" w:sz="0" w:space="0" w:color="auto"/>
        <w:bottom w:val="none" w:sz="0" w:space="0" w:color="auto"/>
        <w:right w:val="none" w:sz="0" w:space="0" w:color="auto"/>
      </w:divBdr>
    </w:div>
    <w:div w:id="1643656963">
      <w:bodyDiv w:val="1"/>
      <w:marLeft w:val="0"/>
      <w:marRight w:val="0"/>
      <w:marTop w:val="0"/>
      <w:marBottom w:val="0"/>
      <w:divBdr>
        <w:top w:val="none" w:sz="0" w:space="0" w:color="auto"/>
        <w:left w:val="none" w:sz="0" w:space="0" w:color="auto"/>
        <w:bottom w:val="none" w:sz="0" w:space="0" w:color="auto"/>
        <w:right w:val="none" w:sz="0" w:space="0" w:color="auto"/>
      </w:divBdr>
    </w:div>
    <w:div w:id="1690255344">
      <w:bodyDiv w:val="1"/>
      <w:marLeft w:val="0"/>
      <w:marRight w:val="0"/>
      <w:marTop w:val="0"/>
      <w:marBottom w:val="0"/>
      <w:divBdr>
        <w:top w:val="none" w:sz="0" w:space="0" w:color="auto"/>
        <w:left w:val="none" w:sz="0" w:space="0" w:color="auto"/>
        <w:bottom w:val="none" w:sz="0" w:space="0" w:color="auto"/>
        <w:right w:val="none" w:sz="0" w:space="0" w:color="auto"/>
      </w:divBdr>
    </w:div>
    <w:div w:id="1718704651">
      <w:bodyDiv w:val="1"/>
      <w:marLeft w:val="0"/>
      <w:marRight w:val="0"/>
      <w:marTop w:val="0"/>
      <w:marBottom w:val="0"/>
      <w:divBdr>
        <w:top w:val="none" w:sz="0" w:space="0" w:color="auto"/>
        <w:left w:val="none" w:sz="0" w:space="0" w:color="auto"/>
        <w:bottom w:val="none" w:sz="0" w:space="0" w:color="auto"/>
        <w:right w:val="none" w:sz="0" w:space="0" w:color="auto"/>
      </w:divBdr>
    </w:div>
    <w:div w:id="1817650494">
      <w:bodyDiv w:val="1"/>
      <w:marLeft w:val="0"/>
      <w:marRight w:val="0"/>
      <w:marTop w:val="0"/>
      <w:marBottom w:val="0"/>
      <w:divBdr>
        <w:top w:val="none" w:sz="0" w:space="0" w:color="auto"/>
        <w:left w:val="none" w:sz="0" w:space="0" w:color="auto"/>
        <w:bottom w:val="none" w:sz="0" w:space="0" w:color="auto"/>
        <w:right w:val="none" w:sz="0" w:space="0" w:color="auto"/>
      </w:divBdr>
    </w:div>
    <w:div w:id="1896233525">
      <w:bodyDiv w:val="1"/>
      <w:marLeft w:val="0"/>
      <w:marRight w:val="0"/>
      <w:marTop w:val="0"/>
      <w:marBottom w:val="0"/>
      <w:divBdr>
        <w:top w:val="none" w:sz="0" w:space="0" w:color="auto"/>
        <w:left w:val="none" w:sz="0" w:space="0" w:color="auto"/>
        <w:bottom w:val="none" w:sz="0" w:space="0" w:color="auto"/>
        <w:right w:val="none" w:sz="0" w:space="0" w:color="auto"/>
      </w:divBdr>
    </w:div>
    <w:div w:id="1993437583">
      <w:bodyDiv w:val="1"/>
      <w:marLeft w:val="0"/>
      <w:marRight w:val="0"/>
      <w:marTop w:val="0"/>
      <w:marBottom w:val="0"/>
      <w:divBdr>
        <w:top w:val="none" w:sz="0" w:space="0" w:color="auto"/>
        <w:left w:val="none" w:sz="0" w:space="0" w:color="auto"/>
        <w:bottom w:val="none" w:sz="0" w:space="0" w:color="auto"/>
        <w:right w:val="none" w:sz="0" w:space="0" w:color="auto"/>
      </w:divBdr>
    </w:div>
    <w:div w:id="2048870636">
      <w:bodyDiv w:val="1"/>
      <w:marLeft w:val="0"/>
      <w:marRight w:val="0"/>
      <w:marTop w:val="0"/>
      <w:marBottom w:val="0"/>
      <w:divBdr>
        <w:top w:val="none" w:sz="0" w:space="0" w:color="auto"/>
        <w:left w:val="none" w:sz="0" w:space="0" w:color="auto"/>
        <w:bottom w:val="none" w:sz="0" w:space="0" w:color="auto"/>
        <w:right w:val="none" w:sz="0" w:space="0" w:color="auto"/>
      </w:divBdr>
    </w:div>
    <w:div w:id="2049135806">
      <w:bodyDiv w:val="1"/>
      <w:marLeft w:val="0"/>
      <w:marRight w:val="0"/>
      <w:marTop w:val="0"/>
      <w:marBottom w:val="0"/>
      <w:divBdr>
        <w:top w:val="none" w:sz="0" w:space="0" w:color="auto"/>
        <w:left w:val="none" w:sz="0" w:space="0" w:color="auto"/>
        <w:bottom w:val="none" w:sz="0" w:space="0" w:color="auto"/>
        <w:right w:val="none" w:sz="0" w:space="0" w:color="auto"/>
      </w:divBdr>
    </w:div>
    <w:div w:id="2057504571">
      <w:bodyDiv w:val="1"/>
      <w:marLeft w:val="0"/>
      <w:marRight w:val="0"/>
      <w:marTop w:val="0"/>
      <w:marBottom w:val="0"/>
      <w:divBdr>
        <w:top w:val="none" w:sz="0" w:space="0" w:color="auto"/>
        <w:left w:val="none" w:sz="0" w:space="0" w:color="auto"/>
        <w:bottom w:val="none" w:sz="0" w:space="0" w:color="auto"/>
        <w:right w:val="none" w:sz="0" w:space="0" w:color="auto"/>
      </w:divBdr>
    </w:div>
    <w:div w:id="21471564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chart" Target="charts/chart16.xml"/><Relationship Id="rId117" Type="http://schemas.openxmlformats.org/officeDocument/2006/relationships/chart" Target="charts/chart77.xml"/><Relationship Id="rId21" Type="http://schemas.openxmlformats.org/officeDocument/2006/relationships/chart" Target="charts/chart11.xml"/><Relationship Id="rId42" Type="http://schemas.openxmlformats.org/officeDocument/2006/relationships/chart" Target="charts/chart32.xml"/><Relationship Id="rId47" Type="http://schemas.openxmlformats.org/officeDocument/2006/relationships/chart" Target="charts/chart37.xml"/><Relationship Id="rId63" Type="http://schemas.openxmlformats.org/officeDocument/2006/relationships/chart" Target="charts/chart50.xml"/><Relationship Id="rId68" Type="http://schemas.openxmlformats.org/officeDocument/2006/relationships/chart" Target="charts/chart55.xml"/><Relationship Id="rId84" Type="http://schemas.openxmlformats.org/officeDocument/2006/relationships/diagramData" Target="diagrams/data1.xml"/><Relationship Id="rId89" Type="http://schemas.openxmlformats.org/officeDocument/2006/relationships/image" Target="media/image7.wmf"/><Relationship Id="rId112" Type="http://schemas.openxmlformats.org/officeDocument/2006/relationships/chart" Target="charts/chart72.xml"/><Relationship Id="rId16" Type="http://schemas.openxmlformats.org/officeDocument/2006/relationships/chart" Target="charts/chart6.xml"/><Relationship Id="rId107" Type="http://schemas.openxmlformats.org/officeDocument/2006/relationships/image" Target="media/image20.png"/><Relationship Id="rId11" Type="http://schemas.openxmlformats.org/officeDocument/2006/relationships/chart" Target="charts/chart1.xml"/><Relationship Id="rId32" Type="http://schemas.openxmlformats.org/officeDocument/2006/relationships/chart" Target="charts/chart22.xml"/><Relationship Id="rId37" Type="http://schemas.openxmlformats.org/officeDocument/2006/relationships/chart" Target="charts/chart27.xml"/><Relationship Id="rId53" Type="http://schemas.openxmlformats.org/officeDocument/2006/relationships/image" Target="media/image4.wmf"/><Relationship Id="rId58" Type="http://schemas.openxmlformats.org/officeDocument/2006/relationships/chart" Target="charts/chart45.xml"/><Relationship Id="rId74" Type="http://schemas.openxmlformats.org/officeDocument/2006/relationships/chart" Target="charts/chart61.xml"/><Relationship Id="rId79" Type="http://schemas.openxmlformats.org/officeDocument/2006/relationships/image" Target="media/image9.png"/><Relationship Id="rId102" Type="http://schemas.openxmlformats.org/officeDocument/2006/relationships/image" Target="media/image15.png"/><Relationship Id="rId123" Type="http://schemas.openxmlformats.org/officeDocument/2006/relationships/chart" Target="charts/chart83.xml"/><Relationship Id="rId5" Type="http://schemas.openxmlformats.org/officeDocument/2006/relationships/webSettings" Target="webSettings.xml"/><Relationship Id="rId90" Type="http://schemas.openxmlformats.org/officeDocument/2006/relationships/hyperlink" Target="https://doi.org/10.31107/2075-1990-2024-3-51-67" TargetMode="External"/><Relationship Id="rId95" Type="http://schemas.openxmlformats.org/officeDocument/2006/relationships/image" Target="media/image12.png"/><Relationship Id="rId22" Type="http://schemas.openxmlformats.org/officeDocument/2006/relationships/chart" Target="charts/chart12.xml"/><Relationship Id="rId27" Type="http://schemas.openxmlformats.org/officeDocument/2006/relationships/chart" Target="charts/chart17.xml"/><Relationship Id="rId43" Type="http://schemas.openxmlformats.org/officeDocument/2006/relationships/chart" Target="charts/chart33.xml"/><Relationship Id="rId48" Type="http://schemas.openxmlformats.org/officeDocument/2006/relationships/chart" Target="charts/chart38.xml"/><Relationship Id="rId64" Type="http://schemas.openxmlformats.org/officeDocument/2006/relationships/chart" Target="charts/chart51.xml"/><Relationship Id="rId69" Type="http://schemas.openxmlformats.org/officeDocument/2006/relationships/chart" Target="charts/chart56.xml"/><Relationship Id="rId113" Type="http://schemas.openxmlformats.org/officeDocument/2006/relationships/chart" Target="charts/chart73.xml"/><Relationship Id="rId118" Type="http://schemas.openxmlformats.org/officeDocument/2006/relationships/chart" Target="charts/chart78.xml"/><Relationship Id="rId80" Type="http://schemas.openxmlformats.org/officeDocument/2006/relationships/image" Target="media/image10.png"/><Relationship Id="rId85" Type="http://schemas.openxmlformats.org/officeDocument/2006/relationships/diagramLayout" Target="diagrams/layout1.xml"/><Relationship Id="rId12" Type="http://schemas.openxmlformats.org/officeDocument/2006/relationships/chart" Target="charts/chart2.xml"/><Relationship Id="rId17" Type="http://schemas.openxmlformats.org/officeDocument/2006/relationships/chart" Target="charts/chart7.xml"/><Relationship Id="rId33" Type="http://schemas.openxmlformats.org/officeDocument/2006/relationships/chart" Target="charts/chart23.xml"/><Relationship Id="rId38" Type="http://schemas.openxmlformats.org/officeDocument/2006/relationships/chart" Target="charts/chart28.xml"/><Relationship Id="rId59" Type="http://schemas.openxmlformats.org/officeDocument/2006/relationships/chart" Target="charts/chart46.xml"/><Relationship Id="rId103" Type="http://schemas.openxmlformats.org/officeDocument/2006/relationships/image" Target="media/image16.png"/><Relationship Id="rId108" Type="http://schemas.openxmlformats.org/officeDocument/2006/relationships/image" Target="media/image21.png"/><Relationship Id="rId124" Type="http://schemas.openxmlformats.org/officeDocument/2006/relationships/footer" Target="footer1.xml"/><Relationship Id="rId54" Type="http://schemas.openxmlformats.org/officeDocument/2006/relationships/image" Target="media/image5.png"/><Relationship Id="rId70" Type="http://schemas.openxmlformats.org/officeDocument/2006/relationships/chart" Target="charts/chart57.xml"/><Relationship Id="rId75" Type="http://schemas.openxmlformats.org/officeDocument/2006/relationships/chart" Target="charts/chart62.xml"/><Relationship Id="rId91" Type="http://schemas.openxmlformats.org/officeDocument/2006/relationships/diagramData" Target="diagrams/data2.xml"/><Relationship Id="rId96" Type="http://schemas.microsoft.com/office/2007/relationships/hdphoto" Target="media/hdphoto2.wdp"/><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chart" Target="charts/chart13.xml"/><Relationship Id="rId28" Type="http://schemas.openxmlformats.org/officeDocument/2006/relationships/chart" Target="charts/chart18.xml"/><Relationship Id="rId49" Type="http://schemas.openxmlformats.org/officeDocument/2006/relationships/chart" Target="charts/chart39.xml"/><Relationship Id="rId114" Type="http://schemas.openxmlformats.org/officeDocument/2006/relationships/chart" Target="charts/chart74.xml"/><Relationship Id="rId119" Type="http://schemas.openxmlformats.org/officeDocument/2006/relationships/chart" Target="charts/chart79.xml"/><Relationship Id="rId44" Type="http://schemas.openxmlformats.org/officeDocument/2006/relationships/chart" Target="charts/chart34.xml"/><Relationship Id="rId60" Type="http://schemas.openxmlformats.org/officeDocument/2006/relationships/chart" Target="charts/chart47.xml"/><Relationship Id="rId65" Type="http://schemas.openxmlformats.org/officeDocument/2006/relationships/chart" Target="charts/chart52.xml"/><Relationship Id="rId81" Type="http://schemas.openxmlformats.org/officeDocument/2006/relationships/chart" Target="charts/chart64.xml"/><Relationship Id="rId86" Type="http://schemas.openxmlformats.org/officeDocument/2006/relationships/diagramQuickStyle" Target="diagrams/quickStyle1.xml"/><Relationship Id="rId13" Type="http://schemas.openxmlformats.org/officeDocument/2006/relationships/chart" Target="charts/chart3.xml"/><Relationship Id="rId18" Type="http://schemas.openxmlformats.org/officeDocument/2006/relationships/chart" Target="charts/chart8.xml"/><Relationship Id="rId39" Type="http://schemas.openxmlformats.org/officeDocument/2006/relationships/chart" Target="charts/chart29.xml"/><Relationship Id="rId109" Type="http://schemas.openxmlformats.org/officeDocument/2006/relationships/image" Target="media/image22.png"/><Relationship Id="rId34" Type="http://schemas.openxmlformats.org/officeDocument/2006/relationships/chart" Target="charts/chart24.xml"/><Relationship Id="rId50" Type="http://schemas.openxmlformats.org/officeDocument/2006/relationships/chart" Target="charts/chart40.xml"/><Relationship Id="rId55" Type="http://schemas.openxmlformats.org/officeDocument/2006/relationships/image" Target="media/image6.wmf"/><Relationship Id="rId76" Type="http://schemas.openxmlformats.org/officeDocument/2006/relationships/chart" Target="charts/chart63.xml"/><Relationship Id="rId97" Type="http://schemas.openxmlformats.org/officeDocument/2006/relationships/chart" Target="charts/chart67.xml"/><Relationship Id="rId104" Type="http://schemas.openxmlformats.org/officeDocument/2006/relationships/image" Target="media/image17.png"/><Relationship Id="rId120" Type="http://schemas.openxmlformats.org/officeDocument/2006/relationships/chart" Target="charts/chart80.xml"/><Relationship Id="rId125"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chart" Target="charts/chart58.xml"/><Relationship Id="rId92" Type="http://schemas.openxmlformats.org/officeDocument/2006/relationships/hyperlink" Target="https://doi.org/10.31107/2075-1990-2024-3-51-67" TargetMode="External"/><Relationship Id="rId2" Type="http://schemas.openxmlformats.org/officeDocument/2006/relationships/numbering" Target="numbering.xml"/><Relationship Id="rId29" Type="http://schemas.openxmlformats.org/officeDocument/2006/relationships/chart" Target="charts/chart19.xml"/><Relationship Id="rId24" Type="http://schemas.openxmlformats.org/officeDocument/2006/relationships/chart" Target="charts/chart14.xml"/><Relationship Id="rId40" Type="http://schemas.openxmlformats.org/officeDocument/2006/relationships/chart" Target="charts/chart30.xml"/><Relationship Id="rId45" Type="http://schemas.openxmlformats.org/officeDocument/2006/relationships/chart" Target="charts/chart35.xml"/><Relationship Id="rId66" Type="http://schemas.openxmlformats.org/officeDocument/2006/relationships/chart" Target="charts/chart53.xml"/><Relationship Id="rId87" Type="http://schemas.openxmlformats.org/officeDocument/2006/relationships/diagramColors" Target="diagrams/colors1.xml"/><Relationship Id="rId110" Type="http://schemas.openxmlformats.org/officeDocument/2006/relationships/chart" Target="charts/chart70.xml"/><Relationship Id="rId115" Type="http://schemas.openxmlformats.org/officeDocument/2006/relationships/chart" Target="charts/chart75.xml"/><Relationship Id="rId61" Type="http://schemas.openxmlformats.org/officeDocument/2006/relationships/chart" Target="charts/chart48.xml"/><Relationship Id="rId82" Type="http://schemas.openxmlformats.org/officeDocument/2006/relationships/chart" Target="charts/chart65.xml"/><Relationship Id="rId19" Type="http://schemas.openxmlformats.org/officeDocument/2006/relationships/chart" Target="charts/chart9.xml"/><Relationship Id="rId14" Type="http://schemas.openxmlformats.org/officeDocument/2006/relationships/chart" Target="charts/chart4.xml"/><Relationship Id="rId30" Type="http://schemas.openxmlformats.org/officeDocument/2006/relationships/chart" Target="charts/chart20.xml"/><Relationship Id="rId35" Type="http://schemas.openxmlformats.org/officeDocument/2006/relationships/chart" Target="charts/chart25.xml"/><Relationship Id="rId56" Type="http://schemas.openxmlformats.org/officeDocument/2006/relationships/chart" Target="charts/chart43.xml"/><Relationship Id="rId77" Type="http://schemas.openxmlformats.org/officeDocument/2006/relationships/image" Target="media/image7.png"/><Relationship Id="rId100" Type="http://schemas.openxmlformats.org/officeDocument/2006/relationships/chart" Target="charts/chart69.xml"/><Relationship Id="rId105" Type="http://schemas.openxmlformats.org/officeDocument/2006/relationships/image" Target="media/image18.png"/><Relationship Id="rId126"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chart" Target="charts/chart41.xml"/><Relationship Id="rId72" Type="http://schemas.openxmlformats.org/officeDocument/2006/relationships/chart" Target="charts/chart59.xml"/><Relationship Id="rId93" Type="http://schemas.openxmlformats.org/officeDocument/2006/relationships/image" Target="media/image11.png"/><Relationship Id="rId98" Type="http://schemas.openxmlformats.org/officeDocument/2006/relationships/chart" Target="charts/chart68.xml"/><Relationship Id="rId121" Type="http://schemas.openxmlformats.org/officeDocument/2006/relationships/chart" Target="charts/chart81.xml"/><Relationship Id="rId3" Type="http://schemas.openxmlformats.org/officeDocument/2006/relationships/styles" Target="styles.xml"/><Relationship Id="rId25" Type="http://schemas.openxmlformats.org/officeDocument/2006/relationships/chart" Target="charts/chart15.xml"/><Relationship Id="rId46" Type="http://schemas.openxmlformats.org/officeDocument/2006/relationships/chart" Target="charts/chart36.xml"/><Relationship Id="rId67" Type="http://schemas.openxmlformats.org/officeDocument/2006/relationships/chart" Target="charts/chart54.xml"/><Relationship Id="rId116" Type="http://schemas.openxmlformats.org/officeDocument/2006/relationships/chart" Target="charts/chart76.xml"/><Relationship Id="rId20" Type="http://schemas.openxmlformats.org/officeDocument/2006/relationships/chart" Target="charts/chart10.xml"/><Relationship Id="rId41" Type="http://schemas.openxmlformats.org/officeDocument/2006/relationships/chart" Target="charts/chart31.xml"/><Relationship Id="rId62" Type="http://schemas.openxmlformats.org/officeDocument/2006/relationships/chart" Target="charts/chart49.xml"/><Relationship Id="rId83" Type="http://schemas.openxmlformats.org/officeDocument/2006/relationships/chart" Target="charts/chart66.xml"/><Relationship Id="rId88" Type="http://schemas.microsoft.com/office/2007/relationships/diagramDrawing" Target="diagrams/drawing1.xml"/><Relationship Id="rId111" Type="http://schemas.openxmlformats.org/officeDocument/2006/relationships/chart" Target="charts/chart71.xml"/><Relationship Id="rId15" Type="http://schemas.openxmlformats.org/officeDocument/2006/relationships/chart" Target="charts/chart5.xml"/><Relationship Id="rId36" Type="http://schemas.openxmlformats.org/officeDocument/2006/relationships/chart" Target="charts/chart26.xml"/><Relationship Id="rId57" Type="http://schemas.openxmlformats.org/officeDocument/2006/relationships/chart" Target="charts/chart44.xml"/><Relationship Id="rId106" Type="http://schemas.openxmlformats.org/officeDocument/2006/relationships/image" Target="media/image19.png"/><Relationship Id="rId10" Type="http://schemas.openxmlformats.org/officeDocument/2006/relationships/image" Target="media/image3.png"/><Relationship Id="rId31" Type="http://schemas.openxmlformats.org/officeDocument/2006/relationships/chart" Target="charts/chart21.xml"/><Relationship Id="rId52" Type="http://schemas.openxmlformats.org/officeDocument/2006/relationships/chart" Target="charts/chart42.xml"/><Relationship Id="rId73" Type="http://schemas.openxmlformats.org/officeDocument/2006/relationships/chart" Target="charts/chart60.xml"/><Relationship Id="rId78" Type="http://schemas.openxmlformats.org/officeDocument/2006/relationships/image" Target="media/image8.png"/><Relationship Id="rId94" Type="http://schemas.microsoft.com/office/2007/relationships/hdphoto" Target="media/hdphoto1.wdp"/><Relationship Id="rId99" Type="http://schemas.openxmlformats.org/officeDocument/2006/relationships/image" Target="media/image13.png"/><Relationship Id="rId101" Type="http://schemas.openxmlformats.org/officeDocument/2006/relationships/image" Target="media/image14.png"/><Relationship Id="rId122" Type="http://schemas.openxmlformats.org/officeDocument/2006/relationships/chart" Target="charts/chart82.xml"/><Relationship Id="rId4" Type="http://schemas.openxmlformats.org/officeDocument/2006/relationships/settings" Target="settings.xml"/><Relationship Id="rId9"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uments1.worldbank.org/curated/zh/316831526641378244/pdf/Armenia-Disaster-Risk-Finance-Country-Note.pdf" TargetMode="External"/><Relationship Id="rId13" Type="http://schemas.openxmlformats.org/officeDocument/2006/relationships/hyperlink" Target="https://www.azatutyun.am/a/there-are-closed-highways-in-armenia/32964957.html" TargetMode="External"/><Relationship Id="rId3" Type="http://schemas.openxmlformats.org/officeDocument/2006/relationships/hyperlink" Target="https://economy.gov.ru/" TargetMode="External"/><Relationship Id="rId7" Type="http://schemas.openxmlformats.org/officeDocument/2006/relationships/hyperlink" Target="https://www.adb.org/sites/default/files/linked-documents/cps-arm-2014-2018-sd-02.pdf" TargetMode="External"/><Relationship Id="rId12" Type="http://schemas.openxmlformats.org/officeDocument/2006/relationships/hyperlink" Target="https://www.arlis.am/DocumentView.aspx?DocID=72227" TargetMode="External"/><Relationship Id="rId2" Type="http://schemas.openxmlformats.org/officeDocument/2006/relationships/hyperlink" Target="https://ec.europa.eu/eurostat/" TargetMode="External"/><Relationship Id="rId1" Type="http://schemas.openxmlformats.org/officeDocument/2006/relationships/hyperlink" Target="https://www.bea.gov/" TargetMode="External"/><Relationship Id="rId6" Type="http://schemas.openxmlformats.org/officeDocument/2006/relationships/hyperlink" Target="https://www.imf.org/en/Topics/fiscal-policies/Fiscal-Risks/Fiscal-Risks-Toolkit" TargetMode="External"/><Relationship Id="rId11" Type="http://schemas.openxmlformats.org/officeDocument/2006/relationships/hyperlink" Target="https://armstat.am/file/article/eco_book_2022_15.pdf" TargetMode="External"/><Relationship Id="rId5" Type="http://schemas.openxmlformats.org/officeDocument/2006/relationships/hyperlink" Target="https://www.imf.org/en/Publications/WP/Issues/2022/06/10/The-Ararat-Fiscal-Strategy-Model-A-Structural-Framework-for-Fiscal-Policy-Analysis-in-519522" TargetMode="External"/><Relationship Id="rId15" Type="http://schemas.openxmlformats.org/officeDocument/2006/relationships/hyperlink" Target="https://www.arlis.am/DocumentView.aspx?DocID=173538" TargetMode="External"/><Relationship Id="rId10" Type="http://schemas.openxmlformats.org/officeDocument/2006/relationships/hyperlink" Target="https://nature-ic.am/hy/publications/national-adaptation-plan-of-the-republic-of-armenia" TargetMode="External"/><Relationship Id="rId4" Type="http://schemas.openxmlformats.org/officeDocument/2006/relationships/hyperlink" Target="https://www.imf.org/en/Publications/WEO/Issues/2019/10/01/world-economic-outlook-october-2019" TargetMode="External"/><Relationship Id="rId9" Type="http://schemas.openxmlformats.org/officeDocument/2006/relationships/hyperlink" Target="https://www.gfdrr.org/sites/default/files/publication/drp_armenia.pdf" TargetMode="External"/><Relationship Id="rId14" Type="http://schemas.openxmlformats.org/officeDocument/2006/relationships/hyperlink" Target="https://www.arlis.am/Annexes/7/2023_N1717hav.1.pdf" TargetMode="Externa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3" Type="http://schemas.openxmlformats.org/officeDocument/2006/relationships/chartUserShapes" Target="../drawings/drawing1.xml"/><Relationship Id="rId2" Type="http://schemas.openxmlformats.org/officeDocument/2006/relationships/package" Target="../embeddings/Microsoft_Excel_Worksheet1.xlsx"/><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1.xml"/><Relationship Id="rId1" Type="http://schemas.microsoft.com/office/2011/relationships/chartStyle" Target="style1.xml"/><Relationship Id="rId5" Type="http://schemas.openxmlformats.org/officeDocument/2006/relationships/chartUserShapes" Target="../drawings/drawing2.xml"/><Relationship Id="rId4" Type="http://schemas.openxmlformats.org/officeDocument/2006/relationships/package" Target="../embeddings/Microsoft_Excel_Worksheet2.xlsx"/></Relationships>
</file>

<file path=word/charts/_rels/chart4.xml.rels><?xml version="1.0" encoding="UTF-8" standalone="yes"?>
<Relationships xmlns="http://schemas.openxmlformats.org/package/2006/relationships"><Relationship Id="rId3" Type="http://schemas.openxmlformats.org/officeDocument/2006/relationships/chartUserShapes" Target="../drawings/drawing3.xml"/><Relationship Id="rId2" Type="http://schemas.openxmlformats.org/officeDocument/2006/relationships/package" Target="../embeddings/Microsoft_Excel_Worksheet3.xlsx"/><Relationship Id="rId1" Type="http://schemas.openxmlformats.org/officeDocument/2006/relationships/themeOverride" Target="../theme/themeOverride4.xml"/></Relationships>
</file>

<file path=word/charts/_rels/chart5.xml.rels><?xml version="1.0" encoding="UTF-8" standalone="yes"?>
<Relationships xmlns="http://schemas.openxmlformats.org/package/2006/relationships"><Relationship Id="rId2" Type="http://schemas.openxmlformats.org/officeDocument/2006/relationships/package" Target="../embeddings/Microsoft_Excel_Worksheet4.xlsx"/><Relationship Id="rId1" Type="http://schemas.openxmlformats.org/officeDocument/2006/relationships/themeOverride" Target="../theme/themeOverride5.xml"/></Relationships>
</file>

<file path=word/charts/_rels/chart6.xml.rels><?xml version="1.0" encoding="UTF-8" standalone="yes"?>
<Relationships xmlns="http://schemas.openxmlformats.org/package/2006/relationships"><Relationship Id="rId3" Type="http://schemas.openxmlformats.org/officeDocument/2006/relationships/themeOverride" Target="../theme/themeOverride6.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5.xlsx"/></Relationships>
</file>

<file path=word/charts/_rels/chart7.xml.rels><?xml version="1.0" encoding="UTF-8" standalone="yes"?>
<Relationships xmlns="http://schemas.openxmlformats.org/package/2006/relationships"><Relationship Id="rId3" Type="http://schemas.openxmlformats.org/officeDocument/2006/relationships/themeOverride" Target="../theme/themeOverride7.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package" Target="../embeddings/Microsoft_Excel_Worksheet6.xlsx"/></Relationships>
</file>

<file path=word/charts/_rels/chart8.xml.rels><?xml version="1.0" encoding="UTF-8" standalone="yes"?>
<Relationships xmlns="http://schemas.openxmlformats.org/package/2006/relationships"><Relationship Id="rId2" Type="http://schemas.openxmlformats.org/officeDocument/2006/relationships/package" Target="../embeddings/Microsoft_Excel_Worksheet7.xlsx"/><Relationship Id="rId1" Type="http://schemas.openxmlformats.org/officeDocument/2006/relationships/themeOverride" Target="../theme/themeOverride8.xml"/></Relationships>
</file>

<file path=word/charts/_rels/chart9.xml.rels><?xml version="1.0" encoding="UTF-8" standalone="yes"?>
<Relationships xmlns="http://schemas.openxmlformats.org/package/2006/relationships"><Relationship Id="rId2" Type="http://schemas.openxmlformats.org/officeDocument/2006/relationships/package" Target="../embeddings/Microsoft_Excel_Worksheet8.xlsx"/><Relationship Id="rId1" Type="http://schemas.openxmlformats.org/officeDocument/2006/relationships/themeOverride" Target="../theme/themeOverride9.xml"/></Relationships>
</file>

<file path=word/charts/_rels/chart10.xml.rels><?xml version="1.0" encoding="UTF-8" standalone="yes"?>
<Relationships xmlns="http://schemas.openxmlformats.org/package/2006/relationships"><Relationship Id="rId2" Type="http://schemas.openxmlformats.org/officeDocument/2006/relationships/package" Target="../embeddings/Microsoft_Excel_Worksheet9.xlsx"/><Relationship Id="rId1" Type="http://schemas.openxmlformats.org/officeDocument/2006/relationships/themeOverride" Target="../theme/themeOverride10.xml"/></Relationships>
</file>

<file path=word/charts/_rels/chart11.xml.rels><?xml version="1.0" encoding="UTF-8" standalone="yes"?>
<Relationships xmlns="http://schemas.openxmlformats.org/package/2006/relationships"><Relationship Id="rId2" Type="http://schemas.openxmlformats.org/officeDocument/2006/relationships/package" Target="../embeddings/Microsoft_Excel_Worksheet10.xlsx"/><Relationship Id="rId1" Type="http://schemas.openxmlformats.org/officeDocument/2006/relationships/themeOverride" Target="../theme/themeOverride11.xml"/></Relationships>
</file>

<file path=word/charts/_rels/chart12.xml.rels><?xml version="1.0" encoding="UTF-8" standalone="yes"?>
<Relationships xmlns="http://schemas.openxmlformats.org/package/2006/relationships"><Relationship Id="rId2" Type="http://schemas.openxmlformats.org/officeDocument/2006/relationships/package" Target="../embeddings/Microsoft_Excel_Worksheet11.xlsx"/><Relationship Id="rId1" Type="http://schemas.openxmlformats.org/officeDocument/2006/relationships/themeOverride" Target="../theme/themeOverride12.xml"/></Relationships>
</file>

<file path=word/charts/_rels/chart13.xml.rels><?xml version="1.0" encoding="UTF-8" standalone="yes"?>
<Relationships xmlns="http://schemas.openxmlformats.org/package/2006/relationships"><Relationship Id="rId2" Type="http://schemas.openxmlformats.org/officeDocument/2006/relationships/package" Target="../embeddings/Microsoft_Excel_Worksheet12.xlsx"/><Relationship Id="rId1" Type="http://schemas.openxmlformats.org/officeDocument/2006/relationships/themeOverride" Target="../theme/themeOverride13.xml"/></Relationships>
</file>

<file path=word/charts/_rels/chart14.xml.rels><?xml version="1.0" encoding="UTF-8" standalone="yes"?>
<Relationships xmlns="http://schemas.openxmlformats.org/package/2006/relationships"><Relationship Id="rId3" Type="http://schemas.openxmlformats.org/officeDocument/2006/relationships/chartUserShapes" Target="../drawings/drawing4.xml"/><Relationship Id="rId2" Type="http://schemas.openxmlformats.org/officeDocument/2006/relationships/package" Target="../embeddings/Microsoft_Excel_Worksheet13.xlsx"/><Relationship Id="rId1" Type="http://schemas.openxmlformats.org/officeDocument/2006/relationships/themeOverride" Target="../theme/themeOverride14.xml"/></Relationships>
</file>

<file path=word/charts/_rels/chart15.xml.rels><?xml version="1.0" encoding="UTF-8" standalone="yes"?>
<Relationships xmlns="http://schemas.openxmlformats.org/package/2006/relationships"><Relationship Id="rId3" Type="http://schemas.openxmlformats.org/officeDocument/2006/relationships/themeOverride" Target="../theme/themeOverride15.xml"/><Relationship Id="rId2" Type="http://schemas.microsoft.com/office/2011/relationships/chartColorStyle" Target="colors4.xml"/><Relationship Id="rId1" Type="http://schemas.microsoft.com/office/2011/relationships/chartStyle" Target="style4.xml"/><Relationship Id="rId5" Type="http://schemas.openxmlformats.org/officeDocument/2006/relationships/chartUserShapes" Target="../drawings/drawing5.xml"/><Relationship Id="rId4" Type="http://schemas.openxmlformats.org/officeDocument/2006/relationships/package" Target="../embeddings/Microsoft_Excel_Worksheet14.xlsx"/></Relationships>
</file>

<file path=word/charts/_rels/chart16.xml.rels><?xml version="1.0" encoding="UTF-8" standalone="yes"?>
<Relationships xmlns="http://schemas.openxmlformats.org/package/2006/relationships"><Relationship Id="rId3" Type="http://schemas.openxmlformats.org/officeDocument/2006/relationships/themeOverride" Target="../theme/themeOverride16.xml"/><Relationship Id="rId2" Type="http://schemas.microsoft.com/office/2011/relationships/chartColorStyle" Target="colors5.xml"/><Relationship Id="rId1" Type="http://schemas.microsoft.com/office/2011/relationships/chartStyle" Target="style5.xml"/><Relationship Id="rId5" Type="http://schemas.openxmlformats.org/officeDocument/2006/relationships/chartUserShapes" Target="../drawings/drawing6.xml"/><Relationship Id="rId4" Type="http://schemas.openxmlformats.org/officeDocument/2006/relationships/package" Target="../embeddings/Microsoft_Excel_Worksheet15.xlsx"/></Relationships>
</file>

<file path=word/charts/_rels/chart17.xml.rels><?xml version="1.0" encoding="UTF-8" standalone="yes"?>
<Relationships xmlns="http://schemas.openxmlformats.org/package/2006/relationships"><Relationship Id="rId3" Type="http://schemas.openxmlformats.org/officeDocument/2006/relationships/chartUserShapes" Target="../drawings/drawing7.xml"/><Relationship Id="rId2" Type="http://schemas.openxmlformats.org/officeDocument/2006/relationships/package" Target="../embeddings/Microsoft_Excel_Worksheet16.xlsx"/><Relationship Id="rId1" Type="http://schemas.openxmlformats.org/officeDocument/2006/relationships/themeOverride" Target="../theme/themeOverride17.xml"/></Relationships>
</file>

<file path=word/charts/_rels/chart18.xml.rels><?xml version="1.0" encoding="UTF-8" standalone="yes"?>
<Relationships xmlns="http://schemas.openxmlformats.org/package/2006/relationships"><Relationship Id="rId3" Type="http://schemas.openxmlformats.org/officeDocument/2006/relationships/chartUserShapes" Target="../drawings/drawing8.xml"/><Relationship Id="rId2" Type="http://schemas.openxmlformats.org/officeDocument/2006/relationships/package" Target="../embeddings/Microsoft_Excel_Worksheet17.xlsx"/><Relationship Id="rId1" Type="http://schemas.openxmlformats.org/officeDocument/2006/relationships/themeOverride" Target="../theme/themeOverride18.xml"/></Relationships>
</file>

<file path=word/charts/_rels/chart19.xml.rels><?xml version="1.0" encoding="UTF-8" standalone="yes"?>
<Relationships xmlns="http://schemas.openxmlformats.org/package/2006/relationships"><Relationship Id="rId3" Type="http://schemas.openxmlformats.org/officeDocument/2006/relationships/chartUserShapes" Target="../drawings/drawing9.xml"/><Relationship Id="rId2" Type="http://schemas.openxmlformats.org/officeDocument/2006/relationships/package" Target="../embeddings/Microsoft_Excel_Worksheet18.xlsx"/><Relationship Id="rId1" Type="http://schemas.openxmlformats.org/officeDocument/2006/relationships/themeOverride" Target="../theme/themeOverride19.xml"/></Relationships>
</file>

<file path=word/charts/_rels/chart20.xml.rels><?xml version="1.0" encoding="UTF-8" standalone="yes"?>
<Relationships xmlns="http://schemas.openxmlformats.org/package/2006/relationships"><Relationship Id="rId2" Type="http://schemas.openxmlformats.org/officeDocument/2006/relationships/package" Target="../embeddings/Microsoft_Excel_Worksheet19.xlsx"/><Relationship Id="rId1" Type="http://schemas.openxmlformats.org/officeDocument/2006/relationships/themeOverride" Target="../theme/themeOverride20.xml"/></Relationships>
</file>

<file path=word/charts/_rels/chart21.xml.rels><?xml version="1.0" encoding="UTF-8" standalone="yes"?>
<Relationships xmlns="http://schemas.openxmlformats.org/package/2006/relationships"><Relationship Id="rId2" Type="http://schemas.openxmlformats.org/officeDocument/2006/relationships/package" Target="../embeddings/Microsoft_Excel_Worksheet20.xlsx"/><Relationship Id="rId1" Type="http://schemas.openxmlformats.org/officeDocument/2006/relationships/themeOverride" Target="../theme/themeOverride21.xml"/></Relationships>
</file>

<file path=word/charts/_rels/chart22.xml.rels><?xml version="1.0" encoding="UTF-8" standalone="yes"?>
<Relationships xmlns="http://schemas.openxmlformats.org/package/2006/relationships"><Relationship Id="rId2" Type="http://schemas.openxmlformats.org/officeDocument/2006/relationships/package" Target="../embeddings/Microsoft_Excel_Worksheet21.xlsx"/><Relationship Id="rId1" Type="http://schemas.openxmlformats.org/officeDocument/2006/relationships/themeOverride" Target="../theme/themeOverride22.xml"/></Relationships>
</file>

<file path=word/charts/_rels/chart23.xml.rels><?xml version="1.0" encoding="UTF-8" standalone="yes"?>
<Relationships xmlns="http://schemas.openxmlformats.org/package/2006/relationships"><Relationship Id="rId2" Type="http://schemas.openxmlformats.org/officeDocument/2006/relationships/package" Target="../embeddings/Microsoft_Excel_Worksheet22.xlsx"/><Relationship Id="rId1" Type="http://schemas.openxmlformats.org/officeDocument/2006/relationships/themeOverride" Target="../theme/themeOverride23.xml"/></Relationships>
</file>

<file path=word/charts/_rels/chart24.xml.rels><?xml version="1.0" encoding="UTF-8" standalone="yes"?>
<Relationships xmlns="http://schemas.openxmlformats.org/package/2006/relationships"><Relationship Id="rId3" Type="http://schemas.openxmlformats.org/officeDocument/2006/relationships/chartUserShapes" Target="../drawings/drawing10.xml"/><Relationship Id="rId2" Type="http://schemas.openxmlformats.org/officeDocument/2006/relationships/package" Target="../embeddings/Microsoft_Excel_Worksheet23.xlsx"/><Relationship Id="rId1" Type="http://schemas.openxmlformats.org/officeDocument/2006/relationships/themeOverride" Target="../theme/themeOverride24.xml"/></Relationships>
</file>

<file path=word/charts/_rels/chart25.xml.rels><?xml version="1.0" encoding="UTF-8" standalone="yes"?>
<Relationships xmlns="http://schemas.openxmlformats.org/package/2006/relationships"><Relationship Id="rId3" Type="http://schemas.openxmlformats.org/officeDocument/2006/relationships/chartUserShapes" Target="../drawings/drawing11.xml"/><Relationship Id="rId2" Type="http://schemas.openxmlformats.org/officeDocument/2006/relationships/package" Target="../embeddings/Microsoft_Excel_Worksheet24.xlsx"/><Relationship Id="rId1" Type="http://schemas.openxmlformats.org/officeDocument/2006/relationships/themeOverride" Target="../theme/themeOverride25.xml"/></Relationships>
</file>

<file path=word/charts/_rels/chart26.xml.rels><?xml version="1.0" encoding="UTF-8" standalone="yes"?>
<Relationships xmlns="http://schemas.openxmlformats.org/package/2006/relationships"><Relationship Id="rId3" Type="http://schemas.openxmlformats.org/officeDocument/2006/relationships/chartUserShapes" Target="../drawings/drawing12.xml"/><Relationship Id="rId2" Type="http://schemas.openxmlformats.org/officeDocument/2006/relationships/package" Target="../embeddings/Microsoft_Excel_Worksheet25.xlsx"/><Relationship Id="rId1" Type="http://schemas.openxmlformats.org/officeDocument/2006/relationships/themeOverride" Target="../theme/themeOverride26.xml"/></Relationships>
</file>

<file path=word/charts/_rels/chart27.xml.rels><?xml version="1.0" encoding="UTF-8" standalone="yes"?>
<Relationships xmlns="http://schemas.openxmlformats.org/package/2006/relationships"><Relationship Id="rId3" Type="http://schemas.openxmlformats.org/officeDocument/2006/relationships/chartUserShapes" Target="../drawings/drawing13.xml"/><Relationship Id="rId2" Type="http://schemas.openxmlformats.org/officeDocument/2006/relationships/package" Target="../embeddings/Microsoft_Excel_Worksheet26.xlsx"/><Relationship Id="rId1" Type="http://schemas.openxmlformats.org/officeDocument/2006/relationships/themeOverride" Target="../theme/themeOverride27.xml"/></Relationships>
</file>

<file path=word/charts/_rels/chart28.xml.rels><?xml version="1.0" encoding="UTF-8" standalone="yes"?>
<Relationships xmlns="http://schemas.openxmlformats.org/package/2006/relationships"><Relationship Id="rId2" Type="http://schemas.openxmlformats.org/officeDocument/2006/relationships/package" Target="../embeddings/Microsoft_Excel_Worksheet27.xlsx"/><Relationship Id="rId1" Type="http://schemas.openxmlformats.org/officeDocument/2006/relationships/themeOverride" Target="../theme/themeOverride28.xml"/></Relationships>
</file>

<file path=word/charts/_rels/chart29.xml.rels><?xml version="1.0" encoding="UTF-8" standalone="yes"?>
<Relationships xmlns="http://schemas.openxmlformats.org/package/2006/relationships"><Relationship Id="rId2" Type="http://schemas.openxmlformats.org/officeDocument/2006/relationships/package" Target="../embeddings/Microsoft_Excel_Worksheet28.xlsx"/><Relationship Id="rId1" Type="http://schemas.openxmlformats.org/officeDocument/2006/relationships/themeOverride" Target="../theme/themeOverride29.xml"/></Relationships>
</file>

<file path=word/charts/_rels/chart30.xml.rels><?xml version="1.0" encoding="UTF-8" standalone="yes"?>
<Relationships xmlns="http://schemas.openxmlformats.org/package/2006/relationships"><Relationship Id="rId2" Type="http://schemas.openxmlformats.org/officeDocument/2006/relationships/package" Target="../embeddings/Microsoft_Excel_Worksheet29.xlsx"/><Relationship Id="rId1" Type="http://schemas.openxmlformats.org/officeDocument/2006/relationships/themeOverride" Target="../theme/themeOverride30.xml"/></Relationships>
</file>

<file path=word/charts/_rels/chart31.xml.rels><?xml version="1.0" encoding="UTF-8" standalone="yes"?>
<Relationships xmlns="http://schemas.openxmlformats.org/package/2006/relationships"><Relationship Id="rId2" Type="http://schemas.openxmlformats.org/officeDocument/2006/relationships/package" Target="../embeddings/Microsoft_Excel_Worksheet30.xlsx"/><Relationship Id="rId1" Type="http://schemas.openxmlformats.org/officeDocument/2006/relationships/themeOverride" Target="../theme/themeOverride31.xml"/></Relationships>
</file>

<file path=word/charts/_rels/chart32.xml.rels><?xml version="1.0" encoding="UTF-8" standalone="yes"?>
<Relationships xmlns="http://schemas.openxmlformats.org/package/2006/relationships"><Relationship Id="rId3" Type="http://schemas.openxmlformats.org/officeDocument/2006/relationships/themeOverride" Target="../theme/themeOverride32.xml"/><Relationship Id="rId2" Type="http://schemas.microsoft.com/office/2011/relationships/chartColorStyle" Target="colors6.xml"/><Relationship Id="rId1" Type="http://schemas.microsoft.com/office/2011/relationships/chartStyle" Target="style6.xml"/><Relationship Id="rId4" Type="http://schemas.openxmlformats.org/officeDocument/2006/relationships/package" Target="../embeddings/Microsoft_Excel_Worksheet31.xlsx"/></Relationships>
</file>

<file path=word/charts/_rels/chart33.xml.rels><?xml version="1.0" encoding="UTF-8" standalone="yes"?>
<Relationships xmlns="http://schemas.openxmlformats.org/package/2006/relationships"><Relationship Id="rId3" Type="http://schemas.openxmlformats.org/officeDocument/2006/relationships/themeOverride" Target="../theme/themeOverride33.xml"/><Relationship Id="rId2" Type="http://schemas.microsoft.com/office/2011/relationships/chartColorStyle" Target="colors7.xml"/><Relationship Id="rId1" Type="http://schemas.microsoft.com/office/2011/relationships/chartStyle" Target="style7.xml"/><Relationship Id="rId4" Type="http://schemas.openxmlformats.org/officeDocument/2006/relationships/package" Target="../embeddings/Microsoft_Excel_Worksheet32.xlsx"/></Relationships>
</file>

<file path=word/charts/_rels/chart34.xml.rels><?xml version="1.0" encoding="UTF-8" standalone="yes"?>
<Relationships xmlns="http://schemas.openxmlformats.org/package/2006/relationships"><Relationship Id="rId3" Type="http://schemas.openxmlformats.org/officeDocument/2006/relationships/themeOverride" Target="../theme/themeOverride34.xml"/><Relationship Id="rId2" Type="http://schemas.microsoft.com/office/2011/relationships/chartColorStyle" Target="colors8.xml"/><Relationship Id="rId1" Type="http://schemas.microsoft.com/office/2011/relationships/chartStyle" Target="style8.xml"/><Relationship Id="rId4" Type="http://schemas.openxmlformats.org/officeDocument/2006/relationships/package" Target="../embeddings/Microsoft_Excel_Worksheet33.xlsx"/></Relationships>
</file>

<file path=word/charts/_rels/chart35.xml.rels><?xml version="1.0" encoding="UTF-8" standalone="yes"?>
<Relationships xmlns="http://schemas.openxmlformats.org/package/2006/relationships"><Relationship Id="rId3" Type="http://schemas.openxmlformats.org/officeDocument/2006/relationships/themeOverride" Target="../theme/themeOverride35.xml"/><Relationship Id="rId2" Type="http://schemas.microsoft.com/office/2011/relationships/chartColorStyle" Target="colors9.xml"/><Relationship Id="rId1" Type="http://schemas.microsoft.com/office/2011/relationships/chartStyle" Target="style9.xml"/><Relationship Id="rId4" Type="http://schemas.openxmlformats.org/officeDocument/2006/relationships/package" Target="../embeddings/Microsoft_Excel_Worksheet34.xlsx"/></Relationships>
</file>

<file path=word/charts/_rels/chart36.xml.rels><?xml version="1.0" encoding="UTF-8" standalone="yes"?>
<Relationships xmlns="http://schemas.openxmlformats.org/package/2006/relationships"><Relationship Id="rId3" Type="http://schemas.openxmlformats.org/officeDocument/2006/relationships/themeOverride" Target="../theme/themeOverride36.xml"/><Relationship Id="rId2" Type="http://schemas.microsoft.com/office/2011/relationships/chartColorStyle" Target="colors10.xml"/><Relationship Id="rId1" Type="http://schemas.microsoft.com/office/2011/relationships/chartStyle" Target="style10.xml"/><Relationship Id="rId4" Type="http://schemas.openxmlformats.org/officeDocument/2006/relationships/package" Target="../embeddings/Microsoft_Excel_Worksheet35.xlsx"/></Relationships>
</file>

<file path=word/charts/_rels/chart37.xml.rels><?xml version="1.0" encoding="UTF-8" standalone="yes"?>
<Relationships xmlns="http://schemas.openxmlformats.org/package/2006/relationships"><Relationship Id="rId2" Type="http://schemas.openxmlformats.org/officeDocument/2006/relationships/package" Target="../embeddings/Microsoft_Excel_Worksheet36.xlsx"/><Relationship Id="rId1" Type="http://schemas.openxmlformats.org/officeDocument/2006/relationships/themeOverride" Target="../theme/themeOverride37.xml"/></Relationships>
</file>

<file path=word/charts/_rels/chart38.xml.rels><?xml version="1.0" encoding="UTF-8" standalone="yes"?>
<Relationships xmlns="http://schemas.openxmlformats.org/package/2006/relationships"><Relationship Id="rId2" Type="http://schemas.openxmlformats.org/officeDocument/2006/relationships/package" Target="../embeddings/Microsoft_Excel_Worksheet37.xlsx"/><Relationship Id="rId1" Type="http://schemas.openxmlformats.org/officeDocument/2006/relationships/themeOverride" Target="../theme/themeOverride38.xml"/></Relationships>
</file>

<file path=word/charts/_rels/chart39.xml.rels><?xml version="1.0" encoding="UTF-8" standalone="yes"?>
<Relationships xmlns="http://schemas.openxmlformats.org/package/2006/relationships"><Relationship Id="rId2" Type="http://schemas.openxmlformats.org/officeDocument/2006/relationships/package" Target="../embeddings/Microsoft_Excel_Worksheet38.xlsx"/><Relationship Id="rId1" Type="http://schemas.openxmlformats.org/officeDocument/2006/relationships/themeOverride" Target="../theme/themeOverride39.xml"/></Relationships>
</file>

<file path=word/charts/_rels/chart40.xml.rels><?xml version="1.0" encoding="UTF-8" standalone="yes"?>
<Relationships xmlns="http://schemas.openxmlformats.org/package/2006/relationships"><Relationship Id="rId2" Type="http://schemas.openxmlformats.org/officeDocument/2006/relationships/package" Target="../embeddings/Microsoft_Excel_Worksheet39.xlsx"/><Relationship Id="rId1" Type="http://schemas.openxmlformats.org/officeDocument/2006/relationships/themeOverride" Target="../theme/themeOverride40.xml"/></Relationships>
</file>

<file path=word/charts/_rels/chart41.xml.rels><?xml version="1.0" encoding="UTF-8" standalone="yes"?>
<Relationships xmlns="http://schemas.openxmlformats.org/package/2006/relationships"><Relationship Id="rId3" Type="http://schemas.openxmlformats.org/officeDocument/2006/relationships/chartUserShapes" Target="../drawings/drawing14.xml"/><Relationship Id="rId2" Type="http://schemas.openxmlformats.org/officeDocument/2006/relationships/package" Target="../embeddings/Microsoft_Excel_Worksheet40.xlsx"/><Relationship Id="rId1" Type="http://schemas.openxmlformats.org/officeDocument/2006/relationships/themeOverride" Target="../theme/themeOverride41.xml"/></Relationships>
</file>

<file path=word/charts/_rels/chart42.xml.rels><?xml version="1.0" encoding="UTF-8" standalone="yes"?>
<Relationships xmlns="http://schemas.openxmlformats.org/package/2006/relationships"><Relationship Id="rId2" Type="http://schemas.openxmlformats.org/officeDocument/2006/relationships/package" Target="../embeddings/Microsoft_Excel_Worksheet41.xlsx"/><Relationship Id="rId1" Type="http://schemas.openxmlformats.org/officeDocument/2006/relationships/themeOverride" Target="../theme/themeOverride42.xml"/></Relationships>
</file>

<file path=word/charts/_rels/chart43.xml.rels><?xml version="1.0" encoding="UTF-8" standalone="yes"?>
<Relationships xmlns="http://schemas.openxmlformats.org/package/2006/relationships"><Relationship Id="rId2" Type="http://schemas.openxmlformats.org/officeDocument/2006/relationships/oleObject" Target="file:///\\172.20.215.254\Share\macroeconomic\Share\Narine\2025\09\FanChart-real%20%20sector-uxerdz-2026.xlsx" TargetMode="External"/><Relationship Id="rId1" Type="http://schemas.openxmlformats.org/officeDocument/2006/relationships/themeOverride" Target="../theme/themeOverride43.xml"/></Relationships>
</file>

<file path=word/charts/_rels/chart44.xml.rels><?xml version="1.0" encoding="UTF-8" standalone="yes"?>
<Relationships xmlns="http://schemas.openxmlformats.org/package/2006/relationships"><Relationship Id="rId2" Type="http://schemas.openxmlformats.org/officeDocument/2006/relationships/package" Target="../embeddings/Microsoft_Excel_Worksheet42.xlsx"/><Relationship Id="rId1" Type="http://schemas.openxmlformats.org/officeDocument/2006/relationships/themeOverride" Target="../theme/themeOverride44.xml"/></Relationships>
</file>

<file path=word/charts/_rels/chart45.xml.rels><?xml version="1.0" encoding="UTF-8" standalone="yes"?>
<Relationships xmlns="http://schemas.openxmlformats.org/package/2006/relationships"><Relationship Id="rId2" Type="http://schemas.openxmlformats.org/officeDocument/2006/relationships/package" Target="../embeddings/Microsoft_Excel_Worksheet43.xlsx"/><Relationship Id="rId1" Type="http://schemas.openxmlformats.org/officeDocument/2006/relationships/themeOverride" Target="../theme/themeOverride45.xml"/></Relationships>
</file>

<file path=word/charts/_rels/chart46.xml.rels><?xml version="1.0" encoding="UTF-8" standalone="yes"?>
<Relationships xmlns="http://schemas.openxmlformats.org/package/2006/relationships"><Relationship Id="rId2" Type="http://schemas.openxmlformats.org/officeDocument/2006/relationships/package" Target="../embeddings/Microsoft_Excel_Worksheet44.xlsx"/><Relationship Id="rId1" Type="http://schemas.openxmlformats.org/officeDocument/2006/relationships/themeOverride" Target="../theme/themeOverride46.xml"/></Relationships>
</file>

<file path=word/charts/_rels/chart47.xml.rels><?xml version="1.0" encoding="UTF-8" standalone="yes"?>
<Relationships xmlns="http://schemas.openxmlformats.org/package/2006/relationships"><Relationship Id="rId2" Type="http://schemas.openxmlformats.org/officeDocument/2006/relationships/package" Target="../embeddings/Microsoft_Excel_Worksheet45.xlsx"/><Relationship Id="rId1" Type="http://schemas.openxmlformats.org/officeDocument/2006/relationships/themeOverride" Target="../theme/themeOverride47.xml"/></Relationships>
</file>

<file path=word/charts/_rels/chart48.xml.rels><?xml version="1.0" encoding="UTF-8" standalone="yes"?>
<Relationships xmlns="http://schemas.openxmlformats.org/package/2006/relationships"><Relationship Id="rId3" Type="http://schemas.openxmlformats.org/officeDocument/2006/relationships/themeOverride" Target="../theme/themeOverride48.xml"/><Relationship Id="rId2" Type="http://schemas.microsoft.com/office/2011/relationships/chartColorStyle" Target="colors11.xml"/><Relationship Id="rId1" Type="http://schemas.microsoft.com/office/2011/relationships/chartStyle" Target="style11.xml"/><Relationship Id="rId4" Type="http://schemas.openxmlformats.org/officeDocument/2006/relationships/package" Target="../embeddings/Microsoft_Excel_Worksheet46.xlsx"/></Relationships>
</file>

<file path=word/charts/_rels/chart49.xml.rels><?xml version="1.0" encoding="UTF-8" standalone="yes"?>
<Relationships xmlns="http://schemas.openxmlformats.org/package/2006/relationships"><Relationship Id="rId3" Type="http://schemas.openxmlformats.org/officeDocument/2006/relationships/themeOverride" Target="../theme/themeOverride49.xml"/><Relationship Id="rId2" Type="http://schemas.microsoft.com/office/2011/relationships/chartColorStyle" Target="colors12.xml"/><Relationship Id="rId1" Type="http://schemas.microsoft.com/office/2011/relationships/chartStyle" Target="style12.xml"/><Relationship Id="rId5" Type="http://schemas.openxmlformats.org/officeDocument/2006/relationships/chartUserShapes" Target="../drawings/drawing15.xml"/><Relationship Id="rId4" Type="http://schemas.openxmlformats.org/officeDocument/2006/relationships/package" Target="../embeddings/Microsoft_Excel_Worksheet47.xlsx"/></Relationships>
</file>

<file path=word/charts/_rels/chart50.xml.rels><?xml version="1.0" encoding="UTF-8" standalone="yes"?>
<Relationships xmlns="http://schemas.openxmlformats.org/package/2006/relationships"><Relationship Id="rId3" Type="http://schemas.openxmlformats.org/officeDocument/2006/relationships/themeOverride" Target="../theme/themeOverride50.xml"/><Relationship Id="rId2" Type="http://schemas.microsoft.com/office/2011/relationships/chartColorStyle" Target="colors13.xml"/><Relationship Id="rId1" Type="http://schemas.microsoft.com/office/2011/relationships/chartStyle" Target="style13.xml"/><Relationship Id="rId5" Type="http://schemas.openxmlformats.org/officeDocument/2006/relationships/chartUserShapes" Target="../drawings/drawing16.xml"/><Relationship Id="rId4" Type="http://schemas.openxmlformats.org/officeDocument/2006/relationships/package" Target="../embeddings/Microsoft_Excel_Worksheet48.xlsx"/></Relationships>
</file>

<file path=word/charts/_rels/chart51.xml.rels><?xml version="1.0" encoding="UTF-8" standalone="yes"?>
<Relationships xmlns="http://schemas.openxmlformats.org/package/2006/relationships"><Relationship Id="rId3" Type="http://schemas.openxmlformats.org/officeDocument/2006/relationships/themeOverride" Target="../theme/themeOverride51.xml"/><Relationship Id="rId2" Type="http://schemas.microsoft.com/office/2011/relationships/chartColorStyle" Target="colors14.xml"/><Relationship Id="rId1" Type="http://schemas.microsoft.com/office/2011/relationships/chartStyle" Target="style14.xml"/><Relationship Id="rId5" Type="http://schemas.openxmlformats.org/officeDocument/2006/relationships/chartUserShapes" Target="../drawings/drawing17.xml"/><Relationship Id="rId4" Type="http://schemas.openxmlformats.org/officeDocument/2006/relationships/package" Target="../embeddings/Microsoft_Excel_Worksheet49.xlsx"/></Relationships>
</file>

<file path=word/charts/_rels/chart52.xml.rels><?xml version="1.0" encoding="UTF-8" standalone="yes"?>
<Relationships xmlns="http://schemas.openxmlformats.org/package/2006/relationships"><Relationship Id="rId3" Type="http://schemas.openxmlformats.org/officeDocument/2006/relationships/chartUserShapes" Target="../drawings/drawing18.xml"/><Relationship Id="rId2" Type="http://schemas.openxmlformats.org/officeDocument/2006/relationships/package" Target="../embeddings/Microsoft_Excel_Worksheet50.xlsx"/><Relationship Id="rId1" Type="http://schemas.openxmlformats.org/officeDocument/2006/relationships/themeOverride" Target="../theme/themeOverride52.xml"/></Relationships>
</file>

<file path=word/charts/_rels/chart53.xml.rels><?xml version="1.0" encoding="UTF-8" standalone="yes"?>
<Relationships xmlns="http://schemas.openxmlformats.org/package/2006/relationships"><Relationship Id="rId3" Type="http://schemas.openxmlformats.org/officeDocument/2006/relationships/package" Target="../embeddings/Microsoft_Excel_Worksheet51.xlsx"/><Relationship Id="rId2" Type="http://schemas.microsoft.com/office/2011/relationships/chartColorStyle" Target="colors15.xml"/><Relationship Id="rId1" Type="http://schemas.microsoft.com/office/2011/relationships/chartStyle" Target="style15.xml"/></Relationships>
</file>

<file path=word/charts/_rels/chart54.xml.rels><?xml version="1.0" encoding="UTF-8" standalone="yes"?>
<Relationships xmlns="http://schemas.openxmlformats.org/package/2006/relationships"><Relationship Id="rId2" Type="http://schemas.openxmlformats.org/officeDocument/2006/relationships/package" Target="../embeddings/Microsoft_Excel_Worksheet52.xlsx"/><Relationship Id="rId1" Type="http://schemas.openxmlformats.org/officeDocument/2006/relationships/themeOverride" Target="../theme/themeOverride53.xml"/></Relationships>
</file>

<file path=word/charts/_rels/chart55.xml.rels><?xml version="1.0" encoding="UTF-8" standalone="yes"?>
<Relationships xmlns="http://schemas.openxmlformats.org/package/2006/relationships"><Relationship Id="rId3" Type="http://schemas.openxmlformats.org/officeDocument/2006/relationships/themeOverride" Target="../theme/themeOverride54.xml"/><Relationship Id="rId2" Type="http://schemas.microsoft.com/office/2011/relationships/chartColorStyle" Target="colors16.xml"/><Relationship Id="rId1" Type="http://schemas.microsoft.com/office/2011/relationships/chartStyle" Target="style16.xml"/><Relationship Id="rId4" Type="http://schemas.openxmlformats.org/officeDocument/2006/relationships/package" Target="../embeddings/Microsoft_Excel_Worksheet53.xlsx"/></Relationships>
</file>

<file path=word/charts/_rels/chart56.xml.rels><?xml version="1.0" encoding="UTF-8" standalone="yes"?>
<Relationships xmlns="http://schemas.openxmlformats.org/package/2006/relationships"><Relationship Id="rId3" Type="http://schemas.openxmlformats.org/officeDocument/2006/relationships/themeOverride" Target="../theme/themeOverride55.xml"/><Relationship Id="rId2" Type="http://schemas.microsoft.com/office/2011/relationships/chartColorStyle" Target="colors17.xml"/><Relationship Id="rId1" Type="http://schemas.microsoft.com/office/2011/relationships/chartStyle" Target="style17.xml"/><Relationship Id="rId4" Type="http://schemas.openxmlformats.org/officeDocument/2006/relationships/package" Target="../embeddings/Microsoft_Excel_Worksheet54.xlsx"/></Relationships>
</file>

<file path=word/charts/_rels/chart57.xml.rels><?xml version="1.0" encoding="UTF-8" standalone="yes"?>
<Relationships xmlns="http://schemas.openxmlformats.org/package/2006/relationships"><Relationship Id="rId2" Type="http://schemas.openxmlformats.org/officeDocument/2006/relationships/package" Target="../embeddings/Microsoft_Excel_Worksheet55.xlsx"/><Relationship Id="rId1" Type="http://schemas.openxmlformats.org/officeDocument/2006/relationships/themeOverride" Target="../theme/themeOverride56.xml"/></Relationships>
</file>

<file path=word/charts/_rels/chart58.xml.rels><?xml version="1.0" encoding="UTF-8" standalone="yes"?>
<Relationships xmlns="http://schemas.openxmlformats.org/package/2006/relationships"><Relationship Id="rId2" Type="http://schemas.openxmlformats.org/officeDocument/2006/relationships/package" Target="../embeddings/Microsoft_Excel_Worksheet56.xlsx"/><Relationship Id="rId1" Type="http://schemas.openxmlformats.org/officeDocument/2006/relationships/themeOverride" Target="../theme/themeOverride57.xml"/></Relationships>
</file>

<file path=word/charts/_rels/chart59.xml.rels><?xml version="1.0" encoding="UTF-8" standalone="yes"?>
<Relationships xmlns="http://schemas.openxmlformats.org/package/2006/relationships"><Relationship Id="rId3" Type="http://schemas.openxmlformats.org/officeDocument/2006/relationships/themeOverride" Target="../theme/themeOverride58.xml"/><Relationship Id="rId2" Type="http://schemas.microsoft.com/office/2011/relationships/chartColorStyle" Target="colors18.xml"/><Relationship Id="rId1" Type="http://schemas.microsoft.com/office/2011/relationships/chartStyle" Target="style18.xml"/><Relationship Id="rId4" Type="http://schemas.openxmlformats.org/officeDocument/2006/relationships/package" Target="../embeddings/Microsoft_Excel_Worksheet57.xlsx"/></Relationships>
</file>

<file path=word/charts/_rels/chart60.xml.rels><?xml version="1.0" encoding="UTF-8" standalone="yes"?>
<Relationships xmlns="http://schemas.openxmlformats.org/package/2006/relationships"><Relationship Id="rId2" Type="http://schemas.openxmlformats.org/officeDocument/2006/relationships/oleObject" Target="file:///\\172.20.215.254\Share\public_debt\Share\STRATEGY%20AND%20RISKS\STRATEGY\Strategy%202026-2028\Budget%202026%20November\&#1357;&#1409;&#1381;&#1398;&#1377;&#1408;%203\2026-2028%20budget-3.xlsx" TargetMode="External"/><Relationship Id="rId1" Type="http://schemas.openxmlformats.org/officeDocument/2006/relationships/themeOverride" Target="../theme/themeOverride59.xml"/></Relationships>
</file>

<file path=word/charts/_rels/chart61.xml.rels><?xml version="1.0" encoding="UTF-8" standalone="yes"?>
<Relationships xmlns="http://schemas.openxmlformats.org/package/2006/relationships"><Relationship Id="rId2" Type="http://schemas.openxmlformats.org/officeDocument/2006/relationships/oleObject" Target="file:///\\172.20.215.254\Share\public_debt\Share\STRATEGY%20AND%20RISKS\STRATEGY\Strategy%202026-2028\Budget%202026%20November\&#1357;&#1409;&#1381;&#1398;&#1377;&#1408;%203\2026-2028%20budget-3.xlsx" TargetMode="External"/><Relationship Id="rId1" Type="http://schemas.openxmlformats.org/officeDocument/2006/relationships/themeOverride" Target="../theme/themeOverride60.xml"/></Relationships>
</file>

<file path=word/charts/_rels/chart62.xml.rels><?xml version="1.0" encoding="UTF-8" standalone="yes"?>
<Relationships xmlns="http://schemas.openxmlformats.org/package/2006/relationships"><Relationship Id="rId2" Type="http://schemas.openxmlformats.org/officeDocument/2006/relationships/oleObject" Target="file:///\\172.20.215.254\Share\public_debt\Share\STRATEGY%20AND%20RISKS\STRATEGY\Strategy%202026-2028\Budget%202026%20November\&#1357;&#1409;&#1381;&#1398;&#1377;&#1408;%203\2026-2028%20budget-3.xlsx" TargetMode="External"/><Relationship Id="rId1" Type="http://schemas.openxmlformats.org/officeDocument/2006/relationships/themeOverride" Target="../theme/themeOverride61.xml"/></Relationships>
</file>

<file path=word/charts/_rels/chart63.xml.rels><?xml version="1.0" encoding="UTF-8" standalone="yes"?>
<Relationships xmlns="http://schemas.openxmlformats.org/package/2006/relationships"><Relationship Id="rId2" Type="http://schemas.openxmlformats.org/officeDocument/2006/relationships/oleObject" Target="file:///\\172.20.215.254\Share\public_debt\Share\STRATEGY%20AND%20RISKS\STRATEGY\Strategy%202026-2028\Budget%202026%20November\&#1357;&#1409;&#1381;&#1398;&#1377;&#1408;%203\2026-2028%20budget-3.xlsx" TargetMode="External"/><Relationship Id="rId1" Type="http://schemas.openxmlformats.org/officeDocument/2006/relationships/themeOverride" Target="../theme/themeOverride62.xml"/></Relationships>
</file>

<file path=word/charts/_rels/chart64.xml.rels><?xml version="1.0" encoding="UTF-8" standalone="yes"?>
<Relationships xmlns="http://schemas.openxmlformats.org/package/2006/relationships"><Relationship Id="rId3" Type="http://schemas.openxmlformats.org/officeDocument/2006/relationships/themeOverride" Target="../theme/themeOverride63.xml"/><Relationship Id="rId2" Type="http://schemas.microsoft.com/office/2011/relationships/chartColorStyle" Target="colors19.xml"/><Relationship Id="rId1" Type="http://schemas.microsoft.com/office/2011/relationships/chartStyle" Target="style19.xml"/><Relationship Id="rId4" Type="http://schemas.openxmlformats.org/officeDocument/2006/relationships/oleObject" Target="file:///\\172.20.215.254\Share\public_debt\Share\STRATEGY%20AND%20RISKS\STRATEGY\Strategy%202026-2028\Budget%202026%20November\&#1357;&#1409;&#1381;&#1398;&#1377;&#1408;%203\2026-2028%20budget-3.xlsx" TargetMode="External"/></Relationships>
</file>

<file path=word/charts/_rels/chart65.xml.rels><?xml version="1.0" encoding="UTF-8" standalone="yes"?>
<Relationships xmlns="http://schemas.openxmlformats.org/package/2006/relationships"><Relationship Id="rId3" Type="http://schemas.openxmlformats.org/officeDocument/2006/relationships/oleObject" Target="file:///\\172.20.215.254\Share\public_debt\Share\STRATEGY%20AND%20RISKS\STRATEGY\Strategy%202026-2028\Budget%202026%20November\&#1357;&#1409;&#1381;&#1398;&#1377;&#1408;%201%20&#1388;&#1408;&#1377;&#1409;&#1400;&#1410;&#1409;&#1387;&#1401;%20235%20&#1396;&#1388;&#1398;%20&#1380;&#1400;&#1388;&#1377;&#1408;%20&#1406;&#1377;&#1408;&#1391;&#1381;&#1408;&#1387;%20&#1398;&#1381;&#1408;&#1379;&#1408;&#1377;&#1406;&#1400;&#1410;&#1396;&#1373;%202026&#1385;\2026-2028%20budget.xlsx" TargetMode="External"/><Relationship Id="rId2" Type="http://schemas.microsoft.com/office/2011/relationships/chartColorStyle" Target="colors20.xml"/><Relationship Id="rId1" Type="http://schemas.microsoft.com/office/2011/relationships/chartStyle" Target="style20.xml"/></Relationships>
</file>

<file path=word/charts/_rels/chart66.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themeOverride" Target="../theme/themeOverride64.xml"/></Relationships>
</file>

<file path=word/charts/_rels/chart67.xml.rels><?xml version="1.0" encoding="UTF-8" standalone="yes"?>
<Relationships xmlns="http://schemas.openxmlformats.org/package/2006/relationships"><Relationship Id="rId3" Type="http://schemas.openxmlformats.org/officeDocument/2006/relationships/themeOverride" Target="../theme/themeOverride65.xml"/><Relationship Id="rId2" Type="http://schemas.microsoft.com/office/2011/relationships/chartColorStyle" Target="colors21.xml"/><Relationship Id="rId1" Type="http://schemas.microsoft.com/office/2011/relationships/chartStyle" Target="style21.xml"/><Relationship Id="rId4" Type="http://schemas.openxmlformats.org/officeDocument/2006/relationships/oleObject" Target="file:///C:\Users\Arsen.Margaryan\Desktop\2025\&#1329;&#1398;&#1381;&#1388;&#1387;&#1412;&#1398;&#1381;&#1408;\&#1334;&#1381;&#1391;&#1400;&#1410;&#1397;&#1409;\&#1354;&#1348;&#1336;\SOE%202024-portfolio_Final.xlsx" TargetMode="External"/></Relationships>
</file>

<file path=word/charts/_rels/chart68.xml.rels><?xml version="1.0" encoding="UTF-8" standalone="yes"?>
<Relationships xmlns="http://schemas.openxmlformats.org/package/2006/relationships"><Relationship Id="rId1" Type="http://schemas.openxmlformats.org/officeDocument/2006/relationships/oleObject" Target="file:///C:\Users\Arsen.Margaryan\Downloads\SOEHCT-v1-3-Beta_including,%20Yerevan%20Bus%202023%20(1).xlsm" TargetMode="External"/></Relationships>
</file>

<file path=word/charts/_rels/chart69.xml.rels><?xml version="1.0" encoding="UTF-8" standalone="yes"?>
<Relationships xmlns="http://schemas.openxmlformats.org/package/2006/relationships"><Relationship Id="rId2" Type="http://schemas.openxmlformats.org/officeDocument/2006/relationships/oleObject" Target="file:///\\172.20.215.254\Share\financial_market_analysis\Share\Fiscal%20Risk%20Dep%20new\2.%20&#1354;&#1348;&#1336;\SOE_data\SOE%20data%202024\Reference-dividends.xlsx" TargetMode="External"/><Relationship Id="rId1" Type="http://schemas.openxmlformats.org/officeDocument/2006/relationships/themeOverride" Target="../theme/themeOverride66.xml"/></Relationships>
</file>

<file path=word/charts/_rels/chart70.xml.rels><?xml version="1.0" encoding="UTF-8" standalone="yes"?>
<Relationships xmlns="http://schemas.openxmlformats.org/package/2006/relationships"><Relationship Id="rId3" Type="http://schemas.openxmlformats.org/officeDocument/2006/relationships/themeOverride" Target="../theme/themeOverride67.xml"/><Relationship Id="rId2" Type="http://schemas.microsoft.com/office/2011/relationships/chartColorStyle" Target="colors22.xml"/><Relationship Id="rId1" Type="http://schemas.microsoft.com/office/2011/relationships/chartStyle" Target="style22.xml"/><Relationship Id="rId4" Type="http://schemas.openxmlformats.org/officeDocument/2006/relationships/oleObject" Target="file:///C:\Users\Arsen.Margaryan\Desktop\2025\&#1329;&#1398;&#1381;&#1388;&#1387;&#1412;&#1398;&#1381;&#1408;\&#1334;&#1381;&#1391;&#1400;&#1410;&#1397;&#1409;\&#1358;&#1377;&#1408;&#1391;&#1381;&#1408;%20&#1415;%20&#1333;&#1408;&#1377;&#1399;&#1389;&#1387;&#1412;&#1398;&#1381;&#1408;\&#1334;&#1381;&#1391;&#1400;&#1410;&#1397;&#1409;&#1387;%20&#1377;&#1396;&#1411;&#1400;&#1411;%20&#1379;&#1408;&#1377;&#1414;&#1387;&#1391;&#1398;&#1381;&#1408;%20-2024.xlsx" TargetMode="External"/></Relationships>
</file>

<file path=word/charts/_rels/chart71.xml.rels><?xml version="1.0" encoding="UTF-8" standalone="yes"?>
<Relationships xmlns="http://schemas.openxmlformats.org/package/2006/relationships"><Relationship Id="rId2" Type="http://schemas.openxmlformats.org/officeDocument/2006/relationships/oleObject" Target="file:///C:\Users\Gohar.Satunts\Downloads\&#1334;&#1381;&#1391;&#1400;&#1410;&#1397;&#1409;&#1387;%20&#1377;&#1396;&#1411;&#1400;&#1411;%20&#1379;&#1408;&#1377;&#1414;&#1387;&#1391;&#1398;&#1381;&#1408;%20-2024%20(7).xlsx" TargetMode="External"/><Relationship Id="rId1" Type="http://schemas.openxmlformats.org/officeDocument/2006/relationships/themeOverride" Target="../theme/themeOverride68.xml"/></Relationships>
</file>

<file path=word/charts/_rels/chart72.xml.rels><?xml version="1.0" encoding="UTF-8" standalone="yes"?>
<Relationships xmlns="http://schemas.openxmlformats.org/package/2006/relationships"><Relationship Id="rId3" Type="http://schemas.openxmlformats.org/officeDocument/2006/relationships/oleObject" Target="file:///C:\Users\Arsen.Margaryan\Desktop\2025\&#1329;&#1398;&#1381;&#1388;&#1387;&#1412;&#1398;&#1381;&#1408;\&#1334;&#1381;&#1391;&#1400;&#1410;&#1397;&#1409;\&#1334;&#1381;&#1391;&#1400;&#1410;&#1397;&#1409;&#1387;%20&#1377;&#1396;&#1411;&#1400;&#1411;%20&#1379;&#1408;&#1377;&#1414;&#1387;&#1391;&#1398;&#1381;&#1408;%20-2024.xlsx" TargetMode="External"/><Relationship Id="rId2" Type="http://schemas.microsoft.com/office/2011/relationships/chartColorStyle" Target="colors23.xml"/><Relationship Id="rId1" Type="http://schemas.microsoft.com/office/2011/relationships/chartStyle" Target="style23.xml"/></Relationships>
</file>

<file path=word/charts/_rels/chart73.xml.rels><?xml version="1.0" encoding="UTF-8" standalone="yes"?>
<Relationships xmlns="http://schemas.openxmlformats.org/package/2006/relationships"><Relationship Id="rId3" Type="http://schemas.openxmlformats.org/officeDocument/2006/relationships/themeOverride" Target="../theme/themeOverride69.xml"/><Relationship Id="rId2" Type="http://schemas.microsoft.com/office/2011/relationships/chartColorStyle" Target="colors24.xml"/><Relationship Id="rId1" Type="http://schemas.microsoft.com/office/2011/relationships/chartStyle" Target="style24.xml"/><Relationship Id="rId4" Type="http://schemas.openxmlformats.org/officeDocument/2006/relationships/oleObject" Target="../embeddings/oleObject2.bin"/></Relationships>
</file>

<file path=word/charts/_rels/chart74.xml.rels><?xml version="1.0" encoding="UTF-8" standalone="yes"?>
<Relationships xmlns="http://schemas.openxmlformats.org/package/2006/relationships"><Relationship Id="rId3" Type="http://schemas.openxmlformats.org/officeDocument/2006/relationships/package" Target="../embeddings/Microsoft_Excel_Worksheet58.xlsx"/><Relationship Id="rId2" Type="http://schemas.microsoft.com/office/2011/relationships/chartColorStyle" Target="colors25.xml"/><Relationship Id="rId1" Type="http://schemas.microsoft.com/office/2011/relationships/chartStyle" Target="style25.xml"/></Relationships>
</file>

<file path=word/charts/_rels/chart75.xml.rels><?xml version="1.0" encoding="UTF-8" standalone="yes"?>
<Relationships xmlns="http://schemas.openxmlformats.org/package/2006/relationships"><Relationship Id="rId3" Type="http://schemas.openxmlformats.org/officeDocument/2006/relationships/themeOverride" Target="../theme/themeOverride70.xml"/><Relationship Id="rId2" Type="http://schemas.microsoft.com/office/2011/relationships/chartColorStyle" Target="colors26.xml"/><Relationship Id="rId1" Type="http://schemas.microsoft.com/office/2011/relationships/chartStyle" Target="style26.xml"/><Relationship Id="rId4" Type="http://schemas.openxmlformats.org/officeDocument/2006/relationships/oleObject" Target="file:///C:\Users\Arsen.Margaryan\Desktop\2025\&#1329;&#1398;&#1381;&#1388;&#1387;&#1412;&#1398;&#1381;&#1408;\&#1334;&#1381;&#1391;&#1400;&#1410;&#1397;&#1409;\&#1358;&#1377;&#1408;&#1391;&#1381;&#1408;%20&#1415;%20&#1333;&#1408;&#1377;&#1399;&#1389;&#1387;&#1412;&#1398;&#1381;&#1408;\&#1334;&#1381;&#1391;&#1400;&#1410;&#1397;&#1409;&#1387;%20&#1377;&#1396;&#1411;&#1400;&#1411;%20&#1379;&#1408;&#1377;&#1414;&#1387;&#1391;&#1398;&#1381;&#1408;%20-2024.xlsx" TargetMode="External"/></Relationships>
</file>

<file path=word/charts/_rels/chart76.xml.rels><?xml version="1.0" encoding="UTF-8" standalone="yes"?>
<Relationships xmlns="http://schemas.openxmlformats.org/package/2006/relationships"><Relationship Id="rId2" Type="http://schemas.openxmlformats.org/officeDocument/2006/relationships/oleObject" Target="../embeddings/oleObject3.bin"/><Relationship Id="rId1" Type="http://schemas.openxmlformats.org/officeDocument/2006/relationships/themeOverride" Target="../theme/themeOverride71.xml"/></Relationships>
</file>

<file path=word/charts/_rels/chart77.xml.rels><?xml version="1.0" encoding="UTF-8" standalone="yes"?>
<Relationships xmlns="http://schemas.openxmlformats.org/package/2006/relationships"><Relationship Id="rId2" Type="http://schemas.openxmlformats.org/officeDocument/2006/relationships/oleObject" Target="../embeddings/oleObject4.bin"/><Relationship Id="rId1" Type="http://schemas.openxmlformats.org/officeDocument/2006/relationships/themeOverride" Target="../theme/themeOverride72.xml"/></Relationships>
</file>

<file path=word/charts/_rels/chart78.xml.rels><?xml version="1.0" encoding="UTF-8" standalone="yes"?>
<Relationships xmlns="http://schemas.openxmlformats.org/package/2006/relationships"><Relationship Id="rId2" Type="http://schemas.openxmlformats.org/officeDocument/2006/relationships/oleObject" Target="../embeddings/oleObject5.bin"/><Relationship Id="rId1" Type="http://schemas.openxmlformats.org/officeDocument/2006/relationships/themeOverride" Target="../theme/themeOverride73.xml"/></Relationships>
</file>

<file path=word/charts/_rels/chart79.xml.rels><?xml version="1.0" encoding="UTF-8" standalone="yes"?>
<Relationships xmlns="http://schemas.openxmlformats.org/package/2006/relationships"><Relationship Id="rId1" Type="http://schemas.openxmlformats.org/officeDocument/2006/relationships/oleObject" Target="https://d.docs.live.net/e6f9e6114dd3e381/Documents/ADB/Projects/Railway/Railway%20numbers%202023.xlsx" TargetMode="External"/></Relationships>
</file>

<file path=word/charts/_rels/chart80.xml.rels><?xml version="1.0" encoding="UTF-8" standalone="yes"?>
<Relationships xmlns="http://schemas.openxmlformats.org/package/2006/relationships"><Relationship Id="rId1" Type="http://schemas.openxmlformats.org/officeDocument/2006/relationships/oleObject" Target="file:///C:\Users\Asya.Jeyranyan\Desktop\&#1334;&#1381;&#1391;&#1400;&#1410;&#1397;&#1409;\&#1334;&#1381;&#1391;&#1400;&#1410;&#1397;&#1409;&#1387;%20&#1377;&#1396;&#1411;&#1400;&#1411;%20&#1379;&#1408;&#1377;&#1414;&#1387;&#1391;&#1398;&#1381;&#1408;%20-2024.xlsx" TargetMode="External"/></Relationships>
</file>

<file path=word/charts/_rels/chart81.xml.rels><?xml version="1.0" encoding="UTF-8" standalone="yes"?>
<Relationships xmlns="http://schemas.openxmlformats.org/package/2006/relationships"><Relationship Id="rId1" Type="http://schemas.openxmlformats.org/officeDocument/2006/relationships/oleObject" Target="file:///C:\Users\Asya.Jeyranyan\Desktop\&#1334;&#1381;&#1391;&#1400;&#1410;&#1397;&#1409;\&#1334;&#1381;&#1391;&#1400;&#1410;&#1397;&#1409;&#1387;%20&#1377;&#1396;&#1411;&#1400;&#1411;%20&#1379;&#1408;&#1377;&#1414;&#1387;&#1391;&#1398;&#1381;&#1408;%20-2024.xlsx" TargetMode="External"/></Relationships>
</file>

<file path=word/charts/_rels/chart82.xml.rels><?xml version="1.0" encoding="UTF-8" standalone="yes"?>
<Relationships xmlns="http://schemas.openxmlformats.org/package/2006/relationships"><Relationship Id="rId1" Type="http://schemas.openxmlformats.org/officeDocument/2006/relationships/oleObject" Target="file:///C:\Users\Meri.Zakaryan\Desktop\&#1348;&#1338;&#1342;&#1342;%202026-2028\datakan.xlsx" TargetMode="External"/></Relationships>
</file>

<file path=word/charts/_rels/chart83.xml.rels><?xml version="1.0" encoding="UTF-8" standalone="yes"?>
<Relationships xmlns="http://schemas.openxmlformats.org/package/2006/relationships"><Relationship Id="rId1" Type="http://schemas.openxmlformats.org/officeDocument/2006/relationships/oleObject" Target="file:///C:\Users\Meri.Zakaryan\Desktop\&#1348;&#1338;&#1342;&#1342;%202026-2028\datakan.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5.0874729813185117E-2"/>
          <c:y val="0.12586433688795892"/>
          <c:w val="0.89390889557922903"/>
          <c:h val="0.49063273950842912"/>
        </c:manualLayout>
      </c:layout>
      <c:lineChart>
        <c:grouping val="standard"/>
        <c:varyColors val="0"/>
        <c:ser>
          <c:idx val="3"/>
          <c:order val="0"/>
          <c:tx>
            <c:strRef>
              <c:f>Sheet1!$C$1</c:f>
              <c:strCache>
                <c:ptCount val="1"/>
                <c:pt idx="0">
                  <c:v>ԱՄՆ</c:v>
                </c:pt>
              </c:strCache>
            </c:strRef>
          </c:tx>
          <c:marker>
            <c:symbol val="none"/>
          </c:marker>
          <c:cat>
            <c:multiLvlStrRef>
              <c:f>Sheet1!$A$6:$B$31</c:f>
              <c:multiLvlStrCache>
                <c:ptCount val="14"/>
                <c:lvl>
                  <c:pt idx="0">
                    <c:v>I</c:v>
                  </c:pt>
                  <c:pt idx="1">
                    <c:v>II</c:v>
                  </c:pt>
                  <c:pt idx="2">
                    <c:v>III</c:v>
                  </c:pt>
                  <c:pt idx="3">
                    <c:v>IV</c:v>
                  </c:pt>
                  <c:pt idx="4">
                    <c:v>I</c:v>
                  </c:pt>
                  <c:pt idx="5">
                    <c:v>II</c:v>
                  </c:pt>
                  <c:pt idx="6">
                    <c:v>III</c:v>
                  </c:pt>
                  <c:pt idx="7">
                    <c:v>IV</c:v>
                  </c:pt>
                  <c:pt idx="8">
                    <c:v>I</c:v>
                  </c:pt>
                  <c:pt idx="9">
                    <c:v>II</c:v>
                  </c:pt>
                  <c:pt idx="10">
                    <c:v>III</c:v>
                  </c:pt>
                  <c:pt idx="11">
                    <c:v>IV</c:v>
                  </c:pt>
                  <c:pt idx="12">
                    <c:v>I</c:v>
                  </c:pt>
                  <c:pt idx="13">
                    <c:v>II</c:v>
                  </c:pt>
                </c:lvl>
                <c:lvl>
                  <c:pt idx="0">
                    <c:v>2022</c:v>
                  </c:pt>
                  <c:pt idx="4">
                    <c:v>2023</c:v>
                  </c:pt>
                  <c:pt idx="8">
                    <c:v>2024</c:v>
                  </c:pt>
                  <c:pt idx="12">
                    <c:v>2025</c:v>
                  </c:pt>
                </c:lvl>
              </c:multiLvlStrCache>
            </c:multiLvlStrRef>
          </c:cat>
          <c:val>
            <c:numRef>
              <c:f>Sheet1!$C$6:$C$31</c:f>
              <c:numCache>
                <c:formatCode>General</c:formatCode>
                <c:ptCount val="14"/>
                <c:pt idx="0">
                  <c:v>3.7</c:v>
                </c:pt>
                <c:pt idx="1">
                  <c:v>1.8</c:v>
                </c:pt>
                <c:pt idx="2">
                  <c:v>1.9</c:v>
                </c:pt>
                <c:pt idx="3">
                  <c:v>0.9</c:v>
                </c:pt>
                <c:pt idx="4">
                  <c:v>1.8</c:v>
                </c:pt>
                <c:pt idx="5">
                  <c:v>2.6</c:v>
                </c:pt>
                <c:pt idx="6">
                  <c:v>2.9</c:v>
                </c:pt>
                <c:pt idx="7">
                  <c:v>3.1</c:v>
                </c:pt>
                <c:pt idx="8" formatCode="0.0">
                  <c:v>2.9</c:v>
                </c:pt>
                <c:pt idx="9" formatCode="0.0">
                  <c:v>3</c:v>
                </c:pt>
                <c:pt idx="10" formatCode="0.0">
                  <c:v>2.7</c:v>
                </c:pt>
                <c:pt idx="11" formatCode="0.0">
                  <c:v>2.5</c:v>
                </c:pt>
                <c:pt idx="12" formatCode="0.0">
                  <c:v>2.1</c:v>
                </c:pt>
                <c:pt idx="13" formatCode="0.0">
                  <c:v>2</c:v>
                </c:pt>
              </c:numCache>
            </c:numRef>
          </c:val>
          <c:smooth val="0"/>
          <c:extLst>
            <c:ext xmlns:c16="http://schemas.microsoft.com/office/drawing/2014/chart" uri="{C3380CC4-5D6E-409C-BE32-E72D297353CC}">
              <c16:uniqueId val="{00000000-EE28-421A-85D5-6C27E06E35AD}"/>
            </c:ext>
          </c:extLst>
        </c:ser>
        <c:ser>
          <c:idx val="0"/>
          <c:order val="1"/>
          <c:tx>
            <c:strRef>
              <c:f>Sheet1!$D$1</c:f>
              <c:strCache>
                <c:ptCount val="1"/>
                <c:pt idx="0">
                  <c:v>ԵԳ</c:v>
                </c:pt>
              </c:strCache>
            </c:strRef>
          </c:tx>
          <c:marker>
            <c:symbol val="none"/>
          </c:marker>
          <c:cat>
            <c:multiLvlStrRef>
              <c:f>Sheet1!$A$6:$B$31</c:f>
              <c:multiLvlStrCache>
                <c:ptCount val="14"/>
                <c:lvl>
                  <c:pt idx="0">
                    <c:v>I</c:v>
                  </c:pt>
                  <c:pt idx="1">
                    <c:v>II</c:v>
                  </c:pt>
                  <c:pt idx="2">
                    <c:v>III</c:v>
                  </c:pt>
                  <c:pt idx="3">
                    <c:v>IV</c:v>
                  </c:pt>
                  <c:pt idx="4">
                    <c:v>I</c:v>
                  </c:pt>
                  <c:pt idx="5">
                    <c:v>II</c:v>
                  </c:pt>
                  <c:pt idx="6">
                    <c:v>III</c:v>
                  </c:pt>
                  <c:pt idx="7">
                    <c:v>IV</c:v>
                  </c:pt>
                  <c:pt idx="8">
                    <c:v>I</c:v>
                  </c:pt>
                  <c:pt idx="9">
                    <c:v>II</c:v>
                  </c:pt>
                  <c:pt idx="10">
                    <c:v>III</c:v>
                  </c:pt>
                  <c:pt idx="11">
                    <c:v>IV</c:v>
                  </c:pt>
                  <c:pt idx="12">
                    <c:v>I</c:v>
                  </c:pt>
                  <c:pt idx="13">
                    <c:v>II</c:v>
                  </c:pt>
                </c:lvl>
                <c:lvl>
                  <c:pt idx="0">
                    <c:v>2022</c:v>
                  </c:pt>
                  <c:pt idx="4">
                    <c:v>2023</c:v>
                  </c:pt>
                  <c:pt idx="8">
                    <c:v>2024</c:v>
                  </c:pt>
                  <c:pt idx="12">
                    <c:v>2025</c:v>
                  </c:pt>
                </c:lvl>
              </c:multiLvlStrCache>
            </c:multiLvlStrRef>
          </c:cat>
          <c:val>
            <c:numRef>
              <c:f>Sheet1!$D$6:$D$31</c:f>
              <c:numCache>
                <c:formatCode>General</c:formatCode>
                <c:ptCount val="14"/>
                <c:pt idx="0">
                  <c:v>5.5</c:v>
                </c:pt>
                <c:pt idx="1">
                  <c:v>4.4000000000000004</c:v>
                </c:pt>
                <c:pt idx="2">
                  <c:v>2.4</c:v>
                </c:pt>
                <c:pt idx="3">
                  <c:v>1.8</c:v>
                </c:pt>
                <c:pt idx="4">
                  <c:v>1.1000000000000001</c:v>
                </c:pt>
                <c:pt idx="5">
                  <c:v>0.5</c:v>
                </c:pt>
                <c:pt idx="6">
                  <c:v>0</c:v>
                </c:pt>
                <c:pt idx="7">
                  <c:v>0.2</c:v>
                </c:pt>
                <c:pt idx="8" formatCode="0.0">
                  <c:v>0.4</c:v>
                </c:pt>
                <c:pt idx="9" formatCode="0.0">
                  <c:v>0.5</c:v>
                </c:pt>
                <c:pt idx="10" formatCode="0.0">
                  <c:v>0.9</c:v>
                </c:pt>
                <c:pt idx="11" formatCode="0.0">
                  <c:v>1.2</c:v>
                </c:pt>
                <c:pt idx="12" formatCode="0.0">
                  <c:v>1.5</c:v>
                </c:pt>
                <c:pt idx="13" formatCode="0.0">
                  <c:v>1.4</c:v>
                </c:pt>
              </c:numCache>
            </c:numRef>
          </c:val>
          <c:smooth val="0"/>
          <c:extLst>
            <c:ext xmlns:c16="http://schemas.microsoft.com/office/drawing/2014/chart" uri="{C3380CC4-5D6E-409C-BE32-E72D297353CC}">
              <c16:uniqueId val="{00000001-EE28-421A-85D5-6C27E06E35AD}"/>
            </c:ext>
          </c:extLst>
        </c:ser>
        <c:ser>
          <c:idx val="1"/>
          <c:order val="2"/>
          <c:tx>
            <c:strRef>
              <c:f>Sheet1!$E$1</c:f>
              <c:strCache>
                <c:ptCount val="1"/>
                <c:pt idx="0">
                  <c:v>Չինաստան</c:v>
                </c:pt>
              </c:strCache>
            </c:strRef>
          </c:tx>
          <c:marker>
            <c:symbol val="none"/>
          </c:marker>
          <c:cat>
            <c:multiLvlStrRef>
              <c:f>Sheet1!$A$6:$B$31</c:f>
              <c:multiLvlStrCache>
                <c:ptCount val="14"/>
                <c:lvl>
                  <c:pt idx="0">
                    <c:v>I</c:v>
                  </c:pt>
                  <c:pt idx="1">
                    <c:v>II</c:v>
                  </c:pt>
                  <c:pt idx="2">
                    <c:v>III</c:v>
                  </c:pt>
                  <c:pt idx="3">
                    <c:v>IV</c:v>
                  </c:pt>
                  <c:pt idx="4">
                    <c:v>I</c:v>
                  </c:pt>
                  <c:pt idx="5">
                    <c:v>II</c:v>
                  </c:pt>
                  <c:pt idx="6">
                    <c:v>III</c:v>
                  </c:pt>
                  <c:pt idx="7">
                    <c:v>IV</c:v>
                  </c:pt>
                  <c:pt idx="8">
                    <c:v>I</c:v>
                  </c:pt>
                  <c:pt idx="9">
                    <c:v>II</c:v>
                  </c:pt>
                  <c:pt idx="10">
                    <c:v>III</c:v>
                  </c:pt>
                  <c:pt idx="11">
                    <c:v>IV</c:v>
                  </c:pt>
                  <c:pt idx="12">
                    <c:v>I</c:v>
                  </c:pt>
                  <c:pt idx="13">
                    <c:v>II</c:v>
                  </c:pt>
                </c:lvl>
                <c:lvl>
                  <c:pt idx="0">
                    <c:v>2022</c:v>
                  </c:pt>
                  <c:pt idx="4">
                    <c:v>2023</c:v>
                  </c:pt>
                  <c:pt idx="8">
                    <c:v>2024</c:v>
                  </c:pt>
                  <c:pt idx="12">
                    <c:v>2025</c:v>
                  </c:pt>
                </c:lvl>
              </c:multiLvlStrCache>
            </c:multiLvlStrRef>
          </c:cat>
          <c:val>
            <c:numRef>
              <c:f>Sheet1!$E$6:$E$31</c:f>
              <c:numCache>
                <c:formatCode>General</c:formatCode>
                <c:ptCount val="14"/>
                <c:pt idx="0">
                  <c:v>4.8</c:v>
                </c:pt>
                <c:pt idx="1">
                  <c:v>0.4</c:v>
                </c:pt>
                <c:pt idx="2">
                  <c:v>3.9</c:v>
                </c:pt>
                <c:pt idx="3">
                  <c:v>2.9</c:v>
                </c:pt>
                <c:pt idx="4">
                  <c:v>4.5</c:v>
                </c:pt>
                <c:pt idx="5">
                  <c:v>6.3</c:v>
                </c:pt>
                <c:pt idx="6">
                  <c:v>4.9000000000000004</c:v>
                </c:pt>
                <c:pt idx="7">
                  <c:v>5.2</c:v>
                </c:pt>
                <c:pt idx="8" formatCode="0.0">
                  <c:v>5.3</c:v>
                </c:pt>
                <c:pt idx="9" formatCode="0.0">
                  <c:v>4.7</c:v>
                </c:pt>
                <c:pt idx="10" formatCode="0.0">
                  <c:v>4.5999999999999996</c:v>
                </c:pt>
                <c:pt idx="11" formatCode="0.0">
                  <c:v>5.4</c:v>
                </c:pt>
                <c:pt idx="12" formatCode="0.0">
                  <c:v>5.4</c:v>
                </c:pt>
                <c:pt idx="13" formatCode="0.0">
                  <c:v>5.2</c:v>
                </c:pt>
              </c:numCache>
            </c:numRef>
          </c:val>
          <c:smooth val="0"/>
          <c:extLst>
            <c:ext xmlns:c16="http://schemas.microsoft.com/office/drawing/2014/chart" uri="{C3380CC4-5D6E-409C-BE32-E72D297353CC}">
              <c16:uniqueId val="{00000002-EE28-421A-85D5-6C27E06E35AD}"/>
            </c:ext>
          </c:extLst>
        </c:ser>
        <c:ser>
          <c:idx val="2"/>
          <c:order val="3"/>
          <c:tx>
            <c:strRef>
              <c:f>Sheet1!$F$1</c:f>
              <c:strCache>
                <c:ptCount val="1"/>
                <c:pt idx="0">
                  <c:v>ՌԴ</c:v>
                </c:pt>
              </c:strCache>
            </c:strRef>
          </c:tx>
          <c:spPr>
            <a:effectLst/>
          </c:spPr>
          <c:marker>
            <c:symbol val="none"/>
          </c:marker>
          <c:cat>
            <c:multiLvlStrRef>
              <c:f>Sheet1!$A$6:$B$31</c:f>
              <c:multiLvlStrCache>
                <c:ptCount val="14"/>
                <c:lvl>
                  <c:pt idx="0">
                    <c:v>I</c:v>
                  </c:pt>
                  <c:pt idx="1">
                    <c:v>II</c:v>
                  </c:pt>
                  <c:pt idx="2">
                    <c:v>III</c:v>
                  </c:pt>
                  <c:pt idx="3">
                    <c:v>IV</c:v>
                  </c:pt>
                  <c:pt idx="4">
                    <c:v>I</c:v>
                  </c:pt>
                  <c:pt idx="5">
                    <c:v>II</c:v>
                  </c:pt>
                  <c:pt idx="6">
                    <c:v>III</c:v>
                  </c:pt>
                  <c:pt idx="7">
                    <c:v>IV</c:v>
                  </c:pt>
                  <c:pt idx="8">
                    <c:v>I</c:v>
                  </c:pt>
                  <c:pt idx="9">
                    <c:v>II</c:v>
                  </c:pt>
                  <c:pt idx="10">
                    <c:v>III</c:v>
                  </c:pt>
                  <c:pt idx="11">
                    <c:v>IV</c:v>
                  </c:pt>
                  <c:pt idx="12">
                    <c:v>I</c:v>
                  </c:pt>
                  <c:pt idx="13">
                    <c:v>II</c:v>
                  </c:pt>
                </c:lvl>
                <c:lvl>
                  <c:pt idx="0">
                    <c:v>2022</c:v>
                  </c:pt>
                  <c:pt idx="4">
                    <c:v>2023</c:v>
                  </c:pt>
                  <c:pt idx="8">
                    <c:v>2024</c:v>
                  </c:pt>
                  <c:pt idx="12">
                    <c:v>2025</c:v>
                  </c:pt>
                </c:lvl>
              </c:multiLvlStrCache>
            </c:multiLvlStrRef>
          </c:cat>
          <c:val>
            <c:numRef>
              <c:f>Sheet1!$F$6:$F$31</c:f>
              <c:numCache>
                <c:formatCode>General</c:formatCode>
                <c:ptCount val="14"/>
                <c:pt idx="0">
                  <c:v>3</c:v>
                </c:pt>
                <c:pt idx="1">
                  <c:v>-4.5</c:v>
                </c:pt>
                <c:pt idx="2">
                  <c:v>-3.5</c:v>
                </c:pt>
                <c:pt idx="3">
                  <c:v>-2.7</c:v>
                </c:pt>
                <c:pt idx="4">
                  <c:v>-1.8</c:v>
                </c:pt>
                <c:pt idx="5">
                  <c:v>4.9000000000000004</c:v>
                </c:pt>
                <c:pt idx="6">
                  <c:v>5.5</c:v>
                </c:pt>
                <c:pt idx="7">
                  <c:v>4.9000000000000004</c:v>
                </c:pt>
                <c:pt idx="8" formatCode="0.0">
                  <c:v>5.4</c:v>
                </c:pt>
                <c:pt idx="9" formatCode="0.0">
                  <c:v>4.3</c:v>
                </c:pt>
                <c:pt idx="10" formatCode="0.0">
                  <c:v>3.3</c:v>
                </c:pt>
                <c:pt idx="11" formatCode="0.0">
                  <c:v>3.3</c:v>
                </c:pt>
                <c:pt idx="12" formatCode="0.0">
                  <c:v>1.4</c:v>
                </c:pt>
                <c:pt idx="13" formatCode="0.0">
                  <c:v>1.1000000000000001</c:v>
                </c:pt>
              </c:numCache>
            </c:numRef>
          </c:val>
          <c:smooth val="0"/>
          <c:extLst>
            <c:ext xmlns:c16="http://schemas.microsoft.com/office/drawing/2014/chart" uri="{C3380CC4-5D6E-409C-BE32-E72D297353CC}">
              <c16:uniqueId val="{00000003-EE28-421A-85D5-6C27E06E35AD}"/>
            </c:ext>
          </c:extLst>
        </c:ser>
        <c:dLbls>
          <c:showLegendKey val="0"/>
          <c:showVal val="0"/>
          <c:showCatName val="0"/>
          <c:showSerName val="0"/>
          <c:showPercent val="0"/>
          <c:showBubbleSize val="0"/>
        </c:dLbls>
        <c:smooth val="0"/>
        <c:axId val="718895808"/>
        <c:axId val="718896352"/>
      </c:lineChart>
      <c:catAx>
        <c:axId val="718895808"/>
        <c:scaling>
          <c:orientation val="minMax"/>
        </c:scaling>
        <c:delete val="0"/>
        <c:axPos val="b"/>
        <c:numFmt formatCode="General" sourceLinked="1"/>
        <c:majorTickMark val="none"/>
        <c:minorTickMark val="none"/>
        <c:tickLblPos val="low"/>
        <c:spPr>
          <a:noFill/>
          <a:ln w="9522" cap="flat" cmpd="sng" algn="ctr">
            <a:solidFill>
              <a:sysClr val="window" lastClr="FFFFFF">
                <a:lumMod val="85000"/>
              </a:sysClr>
            </a:solidFill>
            <a:round/>
          </a:ln>
          <a:effectLst/>
        </c:spPr>
        <c:txPr>
          <a:bodyPr rot="-60000000" spcFirstLastPara="1" vertOverflow="ellipsis" vert="horz" wrap="square" anchor="ctr" anchorCtr="1"/>
          <a:lstStyle/>
          <a:p>
            <a:pPr>
              <a:defRPr sz="105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718896352"/>
        <c:crosses val="autoZero"/>
        <c:auto val="1"/>
        <c:lblAlgn val="ctr"/>
        <c:lblOffset val="0"/>
        <c:noMultiLvlLbl val="0"/>
      </c:catAx>
      <c:valAx>
        <c:axId val="718896352"/>
        <c:scaling>
          <c:orientation val="minMax"/>
          <c:max val="7"/>
          <c:min val="-5"/>
        </c:scaling>
        <c:delete val="0"/>
        <c:axPos val="l"/>
        <c:majorGridlines>
          <c:spPr>
            <a:ln w="9522" cap="flat" cmpd="sng" algn="ctr">
              <a:solidFill>
                <a:schemeClr val="tx1">
                  <a:lumMod val="15000"/>
                  <a:lumOff val="85000"/>
                </a:schemeClr>
              </a:solidFill>
              <a:round/>
            </a:ln>
            <a:effectLst/>
          </c:spPr>
        </c:majorGridlines>
        <c:numFmt formatCode="General" sourceLinked="1"/>
        <c:majorTickMark val="none"/>
        <c:minorTickMark val="none"/>
        <c:tickLblPos val="nextTo"/>
        <c:spPr>
          <a:ln w="6348">
            <a:noFill/>
          </a:ln>
        </c:spPr>
        <c:txPr>
          <a:bodyPr rot="-60000000" spcFirstLastPara="1" vertOverflow="ellipsis" vert="horz" wrap="square" anchor="ctr" anchorCtr="1"/>
          <a:lstStyle/>
          <a:p>
            <a:pPr>
              <a:defRPr sz="1050" b="0" i="0" u="none" strike="noStrike" kern="1200" baseline="0">
                <a:solidFill>
                  <a:schemeClr val="bg1">
                    <a:lumMod val="65000"/>
                  </a:schemeClr>
                </a:solidFill>
                <a:latin typeface="GHEA Grapalat" panose="02000506050000020003" pitchFamily="50" charset="0"/>
                <a:ea typeface="+mn-ea"/>
                <a:cs typeface="+mn-cs"/>
              </a:defRPr>
            </a:pPr>
            <a:endParaRPr lang="en-US"/>
          </a:p>
        </c:txPr>
        <c:crossAx val="718895808"/>
        <c:crosses val="autoZero"/>
        <c:crossBetween val="between"/>
        <c:majorUnit val="10"/>
      </c:valAx>
      <c:spPr>
        <a:noFill/>
        <a:ln w="25393">
          <a:noFill/>
        </a:ln>
      </c:spPr>
    </c:plotArea>
    <c:legend>
      <c:legendPos val="b"/>
      <c:layout>
        <c:manualLayout>
          <c:xMode val="edge"/>
          <c:yMode val="edge"/>
          <c:x val="0.2094697898528648"/>
          <c:y val="0.8446807253266263"/>
          <c:w val="0.61333098528125152"/>
          <c:h val="0.1118076075631544"/>
        </c:manualLayout>
      </c:layout>
      <c:overlay val="0"/>
      <c:spPr>
        <a:noFill/>
        <a:ln w="25393">
          <a:noFill/>
        </a:ln>
      </c:spPr>
      <c:txPr>
        <a:bodyPr rot="0" spcFirstLastPara="1" vertOverflow="ellipsis" vert="horz" wrap="square" anchor="ctr" anchorCtr="1"/>
        <a:lstStyle/>
        <a:p>
          <a:pPr>
            <a:defRPr sz="11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legend>
    <c:plotVisOnly val="1"/>
    <c:dispBlanksAs val="gap"/>
    <c:showDLblsOverMax val="0"/>
  </c:chart>
  <c:spPr>
    <a:noFill/>
    <a:ln w="19050" cap="flat" cmpd="sng" algn="ctr">
      <a:solidFill>
        <a:sysClr val="window" lastClr="FFFFFF"/>
      </a:solidFill>
      <a:round/>
    </a:ln>
    <a:effectLst/>
  </c:spPr>
  <c:txPr>
    <a:bodyPr/>
    <a:lstStyle/>
    <a:p>
      <a:pPr>
        <a:defRPr sz="1100">
          <a:latin typeface="GHEA Grapalat" panose="02000506050000020003" pitchFamily="50" charset="0"/>
        </a:defRPr>
      </a:pPr>
      <a:endParaRPr lang="en-US"/>
    </a:p>
  </c:tx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6973209183271909"/>
          <c:y val="7.8511713813551071E-2"/>
          <c:w val="0.77116385549589872"/>
          <c:h val="0.61058860697968309"/>
        </c:manualLayout>
      </c:layout>
      <c:barChart>
        <c:barDir val="col"/>
        <c:grouping val="clustered"/>
        <c:varyColors val="0"/>
        <c:ser>
          <c:idx val="1"/>
          <c:order val="1"/>
          <c:tx>
            <c:strRef>
              <c:f>Sheet1!$C$1</c:f>
              <c:strCache>
                <c:ptCount val="1"/>
                <c:pt idx="0">
                  <c:v>ՌԴ</c:v>
                </c:pt>
              </c:strCache>
            </c:strRef>
          </c:tx>
          <c:spPr>
            <a:solidFill>
              <a:srgbClr val="ED7D31">
                <a:lumMod val="60000"/>
                <a:lumOff val="40000"/>
              </a:srgbClr>
            </a:solidFill>
            <a:ln>
              <a:noFill/>
            </a:ln>
            <a:effectLst/>
          </c:spPr>
          <c:invertIfNegative val="0"/>
          <c:cat>
            <c:numRef>
              <c:f>Sheet1!$A$2:$A$13</c:f>
              <c:numCache>
                <c:formatCode>General</c:formatCode>
                <c:ptCount val="7"/>
                <c:pt idx="0">
                  <c:v>2022</c:v>
                </c:pt>
                <c:pt idx="1">
                  <c:v>2023</c:v>
                </c:pt>
                <c:pt idx="2">
                  <c:v>2024</c:v>
                </c:pt>
                <c:pt idx="3">
                  <c:v>2025</c:v>
                </c:pt>
                <c:pt idx="4">
                  <c:v>2026</c:v>
                </c:pt>
                <c:pt idx="5">
                  <c:v>2027</c:v>
                </c:pt>
                <c:pt idx="6">
                  <c:v>2028</c:v>
                </c:pt>
              </c:numCache>
            </c:numRef>
          </c:cat>
          <c:val>
            <c:numRef>
              <c:f>Sheet1!$C$2:$C$13</c:f>
              <c:numCache>
                <c:formatCode>0.0</c:formatCode>
                <c:ptCount val="7"/>
                <c:pt idx="0">
                  <c:v>-1.4</c:v>
                </c:pt>
                <c:pt idx="1">
                  <c:v>4.0999999999999996</c:v>
                </c:pt>
                <c:pt idx="2">
                  <c:v>4.3</c:v>
                </c:pt>
                <c:pt idx="3">
                  <c:v>0.9</c:v>
                </c:pt>
                <c:pt idx="4">
                  <c:v>1</c:v>
                </c:pt>
                <c:pt idx="5">
                  <c:v>1.1000000000000001</c:v>
                </c:pt>
                <c:pt idx="6" formatCode="_(* #,##0.0_);_(* \(#,##0.0\);_(* &quot;-&quot;??_);_(@_)">
                  <c:v>1.1000000000000001</c:v>
                </c:pt>
              </c:numCache>
            </c:numRef>
          </c:val>
          <c:extLst>
            <c:ext xmlns:c16="http://schemas.microsoft.com/office/drawing/2014/chart" uri="{C3380CC4-5D6E-409C-BE32-E72D297353CC}">
              <c16:uniqueId val="{00000000-CB0B-4928-AA00-F724AD58EA3C}"/>
            </c:ext>
          </c:extLst>
        </c:ser>
        <c:ser>
          <c:idx val="2"/>
          <c:order val="2"/>
          <c:tx>
            <c:strRef>
              <c:f>Sheet1!$D$1</c:f>
              <c:strCache>
                <c:ptCount val="1"/>
                <c:pt idx="0">
                  <c:v>Եվրագոտի</c:v>
                </c:pt>
              </c:strCache>
            </c:strRef>
          </c:tx>
          <c:spPr>
            <a:solidFill>
              <a:schemeClr val="accent3"/>
            </a:solidFill>
            <a:ln>
              <a:noFill/>
            </a:ln>
            <a:effectLst/>
          </c:spPr>
          <c:invertIfNegative val="0"/>
          <c:cat>
            <c:numRef>
              <c:f>Sheet1!$A$2:$A$13</c:f>
              <c:numCache>
                <c:formatCode>General</c:formatCode>
                <c:ptCount val="7"/>
                <c:pt idx="0">
                  <c:v>2022</c:v>
                </c:pt>
                <c:pt idx="1">
                  <c:v>2023</c:v>
                </c:pt>
                <c:pt idx="2">
                  <c:v>2024</c:v>
                </c:pt>
                <c:pt idx="3">
                  <c:v>2025</c:v>
                </c:pt>
                <c:pt idx="4">
                  <c:v>2026</c:v>
                </c:pt>
                <c:pt idx="5">
                  <c:v>2027</c:v>
                </c:pt>
                <c:pt idx="6">
                  <c:v>2028</c:v>
                </c:pt>
              </c:numCache>
            </c:numRef>
          </c:cat>
          <c:val>
            <c:numRef>
              <c:f>Sheet1!$D$2:$D$13</c:f>
              <c:numCache>
                <c:formatCode>0.0</c:formatCode>
                <c:ptCount val="7"/>
                <c:pt idx="0">
                  <c:v>3.5</c:v>
                </c:pt>
                <c:pt idx="1">
                  <c:v>0.4</c:v>
                </c:pt>
                <c:pt idx="2">
                  <c:v>0.9</c:v>
                </c:pt>
                <c:pt idx="3">
                  <c:v>1</c:v>
                </c:pt>
                <c:pt idx="4">
                  <c:v>1.2</c:v>
                </c:pt>
                <c:pt idx="5">
                  <c:v>1.3</c:v>
                </c:pt>
                <c:pt idx="6" formatCode="_(* #,##0.0_);_(* \(#,##0.0\);_(* &quot;-&quot;??_);_(@_)">
                  <c:v>1.3</c:v>
                </c:pt>
              </c:numCache>
            </c:numRef>
          </c:val>
          <c:extLst>
            <c:ext xmlns:c16="http://schemas.microsoft.com/office/drawing/2014/chart" uri="{C3380CC4-5D6E-409C-BE32-E72D297353CC}">
              <c16:uniqueId val="{00000001-CB0B-4928-AA00-F724AD58EA3C}"/>
            </c:ext>
          </c:extLst>
        </c:ser>
        <c:ser>
          <c:idx val="3"/>
          <c:order val="3"/>
          <c:tx>
            <c:strRef>
              <c:f>Sheet1!$E$1</c:f>
              <c:strCache>
                <c:ptCount val="1"/>
                <c:pt idx="0">
                  <c:v>Չինաստան</c:v>
                </c:pt>
              </c:strCache>
            </c:strRef>
          </c:tx>
          <c:spPr>
            <a:solidFill>
              <a:srgbClr val="4472C4">
                <a:lumMod val="40000"/>
                <a:lumOff val="60000"/>
              </a:srgbClr>
            </a:solidFill>
            <a:ln>
              <a:noFill/>
            </a:ln>
            <a:effectLst/>
          </c:spPr>
          <c:invertIfNegative val="0"/>
          <c:cat>
            <c:numRef>
              <c:f>Sheet1!$A$2:$A$13</c:f>
              <c:numCache>
                <c:formatCode>General</c:formatCode>
                <c:ptCount val="7"/>
                <c:pt idx="0">
                  <c:v>2022</c:v>
                </c:pt>
                <c:pt idx="1">
                  <c:v>2023</c:v>
                </c:pt>
                <c:pt idx="2">
                  <c:v>2024</c:v>
                </c:pt>
                <c:pt idx="3">
                  <c:v>2025</c:v>
                </c:pt>
                <c:pt idx="4">
                  <c:v>2026</c:v>
                </c:pt>
                <c:pt idx="5">
                  <c:v>2027</c:v>
                </c:pt>
                <c:pt idx="6">
                  <c:v>2028</c:v>
                </c:pt>
              </c:numCache>
            </c:numRef>
          </c:cat>
          <c:val>
            <c:numRef>
              <c:f>Sheet1!$E$2:$E$13</c:f>
              <c:numCache>
                <c:formatCode>0.0</c:formatCode>
                <c:ptCount val="7"/>
                <c:pt idx="0">
                  <c:v>3.1</c:v>
                </c:pt>
                <c:pt idx="1">
                  <c:v>5.4</c:v>
                </c:pt>
                <c:pt idx="2">
                  <c:v>5</c:v>
                </c:pt>
                <c:pt idx="3">
                  <c:v>4.8</c:v>
                </c:pt>
                <c:pt idx="4">
                  <c:v>4.2</c:v>
                </c:pt>
                <c:pt idx="5">
                  <c:v>4.2</c:v>
                </c:pt>
                <c:pt idx="6" formatCode="_(* #,##0.0_);_(* \(#,##0.0\);_(* &quot;-&quot;??_);_(@_)">
                  <c:v>4.0999999999999996</c:v>
                </c:pt>
              </c:numCache>
            </c:numRef>
          </c:val>
          <c:extLst>
            <c:ext xmlns:c16="http://schemas.microsoft.com/office/drawing/2014/chart" uri="{C3380CC4-5D6E-409C-BE32-E72D297353CC}">
              <c16:uniqueId val="{00000002-CB0B-4928-AA00-F724AD58EA3C}"/>
            </c:ext>
          </c:extLst>
        </c:ser>
        <c:ser>
          <c:idx val="4"/>
          <c:order val="4"/>
          <c:tx>
            <c:strRef>
              <c:f>Sheet1!$F$1</c:f>
              <c:strCache>
                <c:ptCount val="1"/>
                <c:pt idx="0">
                  <c:v>ԱՄՆ</c:v>
                </c:pt>
              </c:strCache>
            </c:strRef>
          </c:tx>
          <c:spPr>
            <a:solidFill>
              <a:srgbClr val="5B9BD5">
                <a:lumMod val="75000"/>
              </a:srgbClr>
            </a:solidFill>
            <a:ln>
              <a:noFill/>
            </a:ln>
            <a:effectLst/>
          </c:spPr>
          <c:invertIfNegative val="0"/>
          <c:cat>
            <c:numRef>
              <c:f>Sheet1!$A$2:$A$13</c:f>
              <c:numCache>
                <c:formatCode>General</c:formatCode>
                <c:ptCount val="7"/>
                <c:pt idx="0">
                  <c:v>2022</c:v>
                </c:pt>
                <c:pt idx="1">
                  <c:v>2023</c:v>
                </c:pt>
                <c:pt idx="2">
                  <c:v>2024</c:v>
                </c:pt>
                <c:pt idx="3">
                  <c:v>2025</c:v>
                </c:pt>
                <c:pt idx="4">
                  <c:v>2026</c:v>
                </c:pt>
                <c:pt idx="5">
                  <c:v>2027</c:v>
                </c:pt>
                <c:pt idx="6">
                  <c:v>2028</c:v>
                </c:pt>
              </c:numCache>
            </c:numRef>
          </c:cat>
          <c:val>
            <c:numRef>
              <c:f>Sheet1!$F$2:$F$13</c:f>
              <c:numCache>
                <c:formatCode>0.0</c:formatCode>
                <c:ptCount val="7"/>
                <c:pt idx="0">
                  <c:v>2.5</c:v>
                </c:pt>
                <c:pt idx="1">
                  <c:v>2.9</c:v>
                </c:pt>
                <c:pt idx="2">
                  <c:v>2.8</c:v>
                </c:pt>
                <c:pt idx="3">
                  <c:v>1.9</c:v>
                </c:pt>
                <c:pt idx="4">
                  <c:v>2</c:v>
                </c:pt>
                <c:pt idx="5">
                  <c:v>2</c:v>
                </c:pt>
                <c:pt idx="6" formatCode="_(* #,##0.0_);_(* \(#,##0.0\);_(* &quot;-&quot;??_);_(@_)">
                  <c:v>2.1</c:v>
                </c:pt>
              </c:numCache>
            </c:numRef>
          </c:val>
          <c:extLst>
            <c:ext xmlns:c16="http://schemas.microsoft.com/office/drawing/2014/chart" uri="{C3380CC4-5D6E-409C-BE32-E72D297353CC}">
              <c16:uniqueId val="{00000003-CB0B-4928-AA00-F724AD58EA3C}"/>
            </c:ext>
          </c:extLst>
        </c:ser>
        <c:dLbls>
          <c:showLegendKey val="0"/>
          <c:showVal val="0"/>
          <c:showCatName val="0"/>
          <c:showSerName val="0"/>
          <c:showPercent val="0"/>
          <c:showBubbleSize val="0"/>
        </c:dLbls>
        <c:gapWidth val="150"/>
        <c:axId val="718893088"/>
        <c:axId val="718894176"/>
      </c:barChart>
      <c:lineChart>
        <c:grouping val="standard"/>
        <c:varyColors val="0"/>
        <c:ser>
          <c:idx val="0"/>
          <c:order val="0"/>
          <c:tx>
            <c:strRef>
              <c:f>Sheet1!$B$1</c:f>
              <c:strCache>
                <c:ptCount val="1"/>
                <c:pt idx="0">
                  <c:v>Աշխարհ</c:v>
                </c:pt>
              </c:strCache>
            </c:strRef>
          </c:tx>
          <c:spPr>
            <a:ln w="28575" cap="rnd">
              <a:solidFill>
                <a:srgbClr val="44546A"/>
              </a:solidFill>
              <a:round/>
            </a:ln>
            <a:effectLst/>
          </c:spPr>
          <c:marker>
            <c:symbol val="circle"/>
            <c:size val="5"/>
            <c:spPr>
              <a:solidFill>
                <a:srgbClr val="44546A"/>
              </a:solidFill>
              <a:ln w="9525">
                <a:solidFill>
                  <a:srgbClr val="44546A"/>
                </a:solidFill>
              </a:ln>
              <a:effectLst/>
            </c:spPr>
          </c:marker>
          <c:dLbls>
            <c:spPr>
              <a:noFill/>
              <a:ln>
                <a:noFill/>
              </a:ln>
              <a:effectLst/>
            </c:spPr>
            <c:txPr>
              <a:bodyPr rot="0" vert="horz"/>
              <a:lstStyle/>
              <a:p>
                <a:pPr>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Sheet1!$A$2:$A$13</c:f>
              <c:numCache>
                <c:formatCode>General</c:formatCode>
                <c:ptCount val="7"/>
                <c:pt idx="0">
                  <c:v>2022</c:v>
                </c:pt>
                <c:pt idx="1">
                  <c:v>2023</c:v>
                </c:pt>
                <c:pt idx="2">
                  <c:v>2024</c:v>
                </c:pt>
                <c:pt idx="3">
                  <c:v>2025</c:v>
                </c:pt>
                <c:pt idx="4">
                  <c:v>2026</c:v>
                </c:pt>
                <c:pt idx="5">
                  <c:v>2027</c:v>
                </c:pt>
                <c:pt idx="6">
                  <c:v>2028</c:v>
                </c:pt>
              </c:numCache>
            </c:numRef>
          </c:cat>
          <c:val>
            <c:numRef>
              <c:f>Sheet1!$B$2:$B$13</c:f>
              <c:numCache>
                <c:formatCode>0.0</c:formatCode>
                <c:ptCount val="7"/>
                <c:pt idx="0">
                  <c:v>3.6</c:v>
                </c:pt>
                <c:pt idx="1">
                  <c:v>3.5</c:v>
                </c:pt>
                <c:pt idx="2">
                  <c:v>3.3</c:v>
                </c:pt>
                <c:pt idx="3">
                  <c:v>3</c:v>
                </c:pt>
                <c:pt idx="4">
                  <c:v>3.1</c:v>
                </c:pt>
                <c:pt idx="5">
                  <c:v>3.2</c:v>
                </c:pt>
                <c:pt idx="6" formatCode="_(* #,##0.0_);_(* \(#,##0.0\);_(* &quot;-&quot;??_);_(@_)">
                  <c:v>3.2</c:v>
                </c:pt>
              </c:numCache>
            </c:numRef>
          </c:val>
          <c:smooth val="0"/>
          <c:extLst>
            <c:ext xmlns:c16="http://schemas.microsoft.com/office/drawing/2014/chart" uri="{C3380CC4-5D6E-409C-BE32-E72D297353CC}">
              <c16:uniqueId val="{00000004-CB0B-4928-AA00-F724AD58EA3C}"/>
            </c:ext>
          </c:extLst>
        </c:ser>
        <c:dLbls>
          <c:showLegendKey val="0"/>
          <c:showVal val="0"/>
          <c:showCatName val="0"/>
          <c:showSerName val="0"/>
          <c:showPercent val="0"/>
          <c:showBubbleSize val="0"/>
        </c:dLbls>
        <c:marker val="1"/>
        <c:smooth val="0"/>
        <c:axId val="718893088"/>
        <c:axId val="718894176"/>
      </c:lineChart>
      <c:catAx>
        <c:axId val="718893088"/>
        <c:scaling>
          <c:orientation val="minMax"/>
        </c:scaling>
        <c:delete val="0"/>
        <c:axPos val="b"/>
        <c:numFmt formatCode="General" sourceLinked="1"/>
        <c:majorTickMark val="none"/>
        <c:minorTickMark val="none"/>
        <c:tickLblPos val="low"/>
        <c:spPr>
          <a:noFill/>
          <a:ln w="9525" cap="flat" cmpd="sng" algn="ctr">
            <a:solidFill>
              <a:schemeClr val="tx1">
                <a:lumMod val="15000"/>
                <a:lumOff val="85000"/>
              </a:schemeClr>
            </a:solidFill>
            <a:round/>
          </a:ln>
          <a:effectLst/>
        </c:spPr>
        <c:txPr>
          <a:bodyPr rot="0" vert="horz"/>
          <a:lstStyle/>
          <a:p>
            <a:pPr>
              <a:defRPr/>
            </a:pPr>
            <a:endParaRPr lang="en-US"/>
          </a:p>
        </c:txPr>
        <c:crossAx val="718894176"/>
        <c:crosses val="autoZero"/>
        <c:auto val="1"/>
        <c:lblAlgn val="ctr"/>
        <c:lblOffset val="100"/>
        <c:noMultiLvlLbl val="0"/>
      </c:catAx>
      <c:valAx>
        <c:axId val="71889417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vert="horz"/>
              <a:lstStyle/>
              <a:p>
                <a:pPr>
                  <a:defRPr/>
                </a:pPr>
                <a:r>
                  <a:rPr lang="hy-AM"/>
                  <a:t>%</a:t>
                </a:r>
                <a:endParaRPr lang="en-US"/>
              </a:p>
            </c:rich>
          </c:tx>
          <c:overlay val="0"/>
          <c:spPr>
            <a:noFill/>
            <a:ln>
              <a:noFill/>
            </a:ln>
            <a:effectLst/>
          </c:spPr>
        </c:title>
        <c:numFmt formatCode="0.0" sourceLinked="1"/>
        <c:majorTickMark val="none"/>
        <c:minorTickMark val="none"/>
        <c:tickLblPos val="nextTo"/>
        <c:spPr>
          <a:noFill/>
          <a:ln>
            <a:noFill/>
          </a:ln>
          <a:effectLst/>
        </c:spPr>
        <c:txPr>
          <a:bodyPr rot="-60000000" vert="horz"/>
          <a:lstStyle/>
          <a:p>
            <a:pPr>
              <a:defRPr>
                <a:solidFill>
                  <a:schemeClr val="bg2">
                    <a:lumMod val="75000"/>
                  </a:schemeClr>
                </a:solidFill>
              </a:defRPr>
            </a:pPr>
            <a:endParaRPr lang="en-US"/>
          </a:p>
        </c:txPr>
        <c:crossAx val="718893088"/>
        <c:crosses val="autoZero"/>
        <c:crossBetween val="between"/>
      </c:valAx>
      <c:spPr>
        <a:noFill/>
        <a:ln>
          <a:noFill/>
        </a:ln>
        <a:effectLst/>
      </c:spPr>
    </c:plotArea>
    <c:legend>
      <c:legendPos val="b"/>
      <c:layout>
        <c:manualLayout>
          <c:xMode val="edge"/>
          <c:yMode val="edge"/>
          <c:x val="0"/>
          <c:y val="0.81556454748711971"/>
          <c:w val="0.99214987549633216"/>
          <c:h val="0.17679838631282205"/>
        </c:manualLayout>
      </c:layout>
      <c:overlay val="0"/>
      <c:spPr>
        <a:noFill/>
        <a:ln>
          <a:noFill/>
        </a:ln>
        <a:effectLst/>
      </c:spPr>
      <c:txPr>
        <a:bodyPr rot="0" vert="horz"/>
        <a:lstStyle/>
        <a:p>
          <a:pPr>
            <a:defRPr sz="800">
              <a:latin typeface="+mn-lt"/>
            </a:defRPr>
          </a:pPr>
          <a:endParaRPr lang="en-US"/>
        </a:p>
      </c:txPr>
    </c:legend>
    <c:plotVisOnly val="1"/>
    <c:dispBlanksAs val="gap"/>
    <c:showDLblsOverMax val="0"/>
  </c:chart>
  <c:spPr>
    <a:noFill/>
    <a:ln w="12700" cap="flat" cmpd="sng" algn="ctr">
      <a:solidFill>
        <a:srgbClr val="FFFFFF"/>
      </a:solidFill>
      <a:round/>
    </a:ln>
    <a:effectLst/>
  </c:spPr>
  <c:txPr>
    <a:bodyPr/>
    <a:lstStyle/>
    <a:p>
      <a:pPr>
        <a:defRPr sz="800"/>
      </a:pPr>
      <a:endParaRPr lang="en-US"/>
    </a:p>
  </c:txPr>
  <c:externalData r:id="rId2">
    <c:autoUpdate val="0"/>
  </c:externalData>
  <c:userShapes r:id="rId3"/>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23058250315395659"/>
          <c:y val="0.12756732614305566"/>
          <c:w val="0.61597348408372032"/>
          <c:h val="0.58326953922426361"/>
        </c:manualLayout>
      </c:layout>
      <c:lineChart>
        <c:grouping val="standard"/>
        <c:varyColors val="0"/>
        <c:ser>
          <c:idx val="1"/>
          <c:order val="1"/>
          <c:tx>
            <c:strRef>
              <c:f>Sheet1!$C$1</c:f>
              <c:strCache>
                <c:ptCount val="1"/>
                <c:pt idx="0">
                  <c:v>Պղինձ</c:v>
                </c:pt>
              </c:strCache>
            </c:strRef>
          </c:tx>
          <c:spPr>
            <a:ln w="28575" cap="rnd">
              <a:solidFill>
                <a:schemeClr val="accent2">
                  <a:lumMod val="60000"/>
                  <a:lumOff val="40000"/>
                </a:schemeClr>
              </a:solidFill>
              <a:round/>
            </a:ln>
            <a:effectLst/>
          </c:spPr>
          <c:marker>
            <c:symbol val="circle"/>
            <c:size val="5"/>
            <c:spPr>
              <a:solidFill>
                <a:schemeClr val="accent2">
                  <a:lumMod val="60000"/>
                  <a:lumOff val="40000"/>
                </a:schemeClr>
              </a:solidFill>
              <a:ln w="9525">
                <a:solidFill>
                  <a:schemeClr val="accent2">
                    <a:lumMod val="60000"/>
                    <a:lumOff val="40000"/>
                  </a:schemeClr>
                </a:solidFill>
              </a:ln>
              <a:effectLst/>
            </c:spPr>
          </c:marker>
          <c:cat>
            <c:numRef>
              <c:f>Sheet1!$A$2:$A$13</c:f>
              <c:numCache>
                <c:formatCode>General</c:formatCode>
                <c:ptCount val="7"/>
                <c:pt idx="0">
                  <c:v>2022</c:v>
                </c:pt>
                <c:pt idx="1">
                  <c:v>2023</c:v>
                </c:pt>
                <c:pt idx="2">
                  <c:v>2024</c:v>
                </c:pt>
                <c:pt idx="3">
                  <c:v>2025</c:v>
                </c:pt>
                <c:pt idx="4">
                  <c:v>2026</c:v>
                </c:pt>
                <c:pt idx="5">
                  <c:v>2027</c:v>
                </c:pt>
                <c:pt idx="6">
                  <c:v>2028</c:v>
                </c:pt>
              </c:numCache>
            </c:numRef>
          </c:cat>
          <c:val>
            <c:numRef>
              <c:f>Sheet1!$C$2:$C$13</c:f>
              <c:numCache>
                <c:formatCode>_(* #,##0_);_(* \(#,##0\);_(* "-"??_);_(@_)</c:formatCode>
                <c:ptCount val="7"/>
                <c:pt idx="0">
                  <c:v>8822.3700000000008</c:v>
                </c:pt>
                <c:pt idx="1">
                  <c:v>8490.2900000000009</c:v>
                </c:pt>
                <c:pt idx="2" formatCode="0.0">
                  <c:v>9142.14</c:v>
                </c:pt>
                <c:pt idx="3" formatCode="0.0">
                  <c:v>9478.9102000000003</c:v>
                </c:pt>
                <c:pt idx="4" formatCode="0.0">
                  <c:v>9715.1504000000004</c:v>
                </c:pt>
                <c:pt idx="5" formatCode="0.0">
                  <c:v>10011.3496</c:v>
                </c:pt>
                <c:pt idx="6" formatCode="0.00">
                  <c:v>10490.2202</c:v>
                </c:pt>
              </c:numCache>
            </c:numRef>
          </c:val>
          <c:smooth val="0"/>
          <c:extLst>
            <c:ext xmlns:c16="http://schemas.microsoft.com/office/drawing/2014/chart" uri="{C3380CC4-5D6E-409C-BE32-E72D297353CC}">
              <c16:uniqueId val="{00000000-6552-4568-915F-C024AA221721}"/>
            </c:ext>
          </c:extLst>
        </c:ser>
        <c:dLbls>
          <c:showLegendKey val="0"/>
          <c:showVal val="0"/>
          <c:showCatName val="0"/>
          <c:showSerName val="0"/>
          <c:showPercent val="0"/>
          <c:showBubbleSize val="0"/>
        </c:dLbls>
        <c:marker val="1"/>
        <c:smooth val="0"/>
        <c:axId val="718893632"/>
        <c:axId val="718894720"/>
      </c:lineChart>
      <c:lineChart>
        <c:grouping val="standard"/>
        <c:varyColors val="0"/>
        <c:ser>
          <c:idx val="0"/>
          <c:order val="0"/>
          <c:tx>
            <c:strRef>
              <c:f>Sheet1!$B$1</c:f>
              <c:strCache>
                <c:ptCount val="1"/>
                <c:pt idx="0">
                  <c:v>Նավթ (աջ առանցք)</c:v>
                </c:pt>
              </c:strCache>
            </c:strRef>
          </c:tx>
          <c:spPr>
            <a:ln w="28575" cap="rnd">
              <a:solidFill>
                <a:srgbClr val="44546A"/>
              </a:solidFill>
              <a:round/>
            </a:ln>
            <a:effectLst/>
          </c:spPr>
          <c:marker>
            <c:symbol val="circle"/>
            <c:size val="5"/>
            <c:spPr>
              <a:solidFill>
                <a:schemeClr val="tx2"/>
              </a:solidFill>
              <a:ln w="9525">
                <a:solidFill>
                  <a:schemeClr val="tx2"/>
                </a:solidFill>
              </a:ln>
              <a:effectLst/>
            </c:spPr>
          </c:marker>
          <c:cat>
            <c:numRef>
              <c:f>Sheet1!$A$2:$A$13</c:f>
              <c:numCache>
                <c:formatCode>General</c:formatCode>
                <c:ptCount val="7"/>
                <c:pt idx="0">
                  <c:v>2022</c:v>
                </c:pt>
                <c:pt idx="1">
                  <c:v>2023</c:v>
                </c:pt>
                <c:pt idx="2">
                  <c:v>2024</c:v>
                </c:pt>
                <c:pt idx="3">
                  <c:v>2025</c:v>
                </c:pt>
                <c:pt idx="4">
                  <c:v>2026</c:v>
                </c:pt>
                <c:pt idx="5">
                  <c:v>2027</c:v>
                </c:pt>
                <c:pt idx="6">
                  <c:v>2028</c:v>
                </c:pt>
              </c:numCache>
            </c:numRef>
          </c:cat>
          <c:val>
            <c:numRef>
              <c:f>Sheet1!$B$2:$B$13</c:f>
              <c:numCache>
                <c:formatCode>_(* #,##0_);_(* \(#,##0\);_(* "-"??_);_(@_)</c:formatCode>
                <c:ptCount val="7"/>
                <c:pt idx="0">
                  <c:v>99.82</c:v>
                </c:pt>
                <c:pt idx="1">
                  <c:v>82.62</c:v>
                </c:pt>
                <c:pt idx="2" formatCode="0.0">
                  <c:v>80.7</c:v>
                </c:pt>
                <c:pt idx="3" formatCode="0.0">
                  <c:v>68</c:v>
                </c:pt>
                <c:pt idx="4" formatCode="0.0">
                  <c:v>65</c:v>
                </c:pt>
                <c:pt idx="5" formatCode="0.0">
                  <c:v>67.5</c:v>
                </c:pt>
                <c:pt idx="6" formatCode="0.0">
                  <c:v>70</c:v>
                </c:pt>
              </c:numCache>
            </c:numRef>
          </c:val>
          <c:smooth val="0"/>
          <c:extLst>
            <c:ext xmlns:c16="http://schemas.microsoft.com/office/drawing/2014/chart" uri="{C3380CC4-5D6E-409C-BE32-E72D297353CC}">
              <c16:uniqueId val="{00000001-6552-4568-915F-C024AA221721}"/>
            </c:ext>
          </c:extLst>
        </c:ser>
        <c:dLbls>
          <c:showLegendKey val="0"/>
          <c:showVal val="0"/>
          <c:showCatName val="0"/>
          <c:showSerName val="0"/>
          <c:showPercent val="0"/>
          <c:showBubbleSize val="0"/>
        </c:dLbls>
        <c:marker val="1"/>
        <c:smooth val="0"/>
        <c:axId val="709162224"/>
        <c:axId val="718895264"/>
      </c:lineChart>
      <c:catAx>
        <c:axId val="7188936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0" spcFirstLastPara="1" vertOverflow="ellipsis"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crossAx val="718894720"/>
        <c:crosses val="autoZero"/>
        <c:auto val="1"/>
        <c:lblAlgn val="ctr"/>
        <c:lblOffset val="100"/>
        <c:noMultiLvlLbl val="0"/>
      </c:catAx>
      <c:valAx>
        <c:axId val="718894720"/>
        <c:scaling>
          <c:orientation val="minMax"/>
          <c:min val="500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r>
                  <a:rPr lang="hy-AM"/>
                  <a:t>դոլար/տոննա</a:t>
                </a:r>
                <a:endParaRPr lang="en-US"/>
              </a:p>
            </c:rich>
          </c:tx>
          <c:overlay val="0"/>
          <c:spPr>
            <a:noFill/>
            <a:ln>
              <a:noFill/>
            </a:ln>
            <a:effectLst/>
          </c:spPr>
          <c:txPr>
            <a:bodyPr rot="-54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title>
        <c:numFmt formatCode="_(* #,##0_);_(* \(#,##0\);_(* &quot;-&quot;??_);_(@_)" sourceLinked="1"/>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bg2">
                    <a:lumMod val="75000"/>
                  </a:schemeClr>
                </a:solidFill>
                <a:latin typeface="+mn-lt"/>
                <a:ea typeface="+mn-ea"/>
                <a:cs typeface="+mn-cs"/>
              </a:defRPr>
            </a:pPr>
            <a:endParaRPr lang="en-US"/>
          </a:p>
        </c:txPr>
        <c:crossAx val="718893632"/>
        <c:crosses val="autoZero"/>
        <c:crossBetween val="between"/>
      </c:valAx>
      <c:valAx>
        <c:axId val="718895264"/>
        <c:scaling>
          <c:orientation val="minMax"/>
          <c:min val="30"/>
        </c:scaling>
        <c:delete val="0"/>
        <c:axPos val="r"/>
        <c:title>
          <c:tx>
            <c:rich>
              <a:bodyPr rot="-54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r>
                  <a:rPr lang="hy-AM"/>
                  <a:t>դոլար/բարել</a:t>
                </a:r>
                <a:endParaRPr lang="en-US"/>
              </a:p>
            </c:rich>
          </c:tx>
          <c:layout>
            <c:manualLayout>
              <c:xMode val="edge"/>
              <c:yMode val="edge"/>
              <c:x val="0.94104953227000476"/>
              <c:y val="0.2211808593370273"/>
            </c:manualLayout>
          </c:layout>
          <c:overlay val="0"/>
          <c:spPr>
            <a:noFill/>
            <a:ln>
              <a:noFill/>
            </a:ln>
            <a:effectLst/>
          </c:spPr>
          <c:txPr>
            <a:bodyPr rot="-54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title>
        <c:numFmt formatCode="_(* #,##0_);_(* \(#,##0\);_(* &quot;-&quot;??_);_(@_)" sourceLinked="1"/>
        <c:majorTickMark val="out"/>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bg2">
                    <a:lumMod val="75000"/>
                  </a:schemeClr>
                </a:solidFill>
                <a:latin typeface="+mn-lt"/>
                <a:ea typeface="+mn-ea"/>
                <a:cs typeface="+mn-cs"/>
              </a:defRPr>
            </a:pPr>
            <a:endParaRPr lang="en-US"/>
          </a:p>
        </c:txPr>
        <c:crossAx val="709162224"/>
        <c:crosses val="max"/>
        <c:crossBetween val="between"/>
      </c:valAx>
      <c:catAx>
        <c:axId val="709162224"/>
        <c:scaling>
          <c:orientation val="minMax"/>
        </c:scaling>
        <c:delete val="1"/>
        <c:axPos val="b"/>
        <c:numFmt formatCode="General" sourceLinked="1"/>
        <c:majorTickMark val="out"/>
        <c:minorTickMark val="none"/>
        <c:tickLblPos val="nextTo"/>
        <c:crossAx val="718895264"/>
        <c:crosses val="autoZero"/>
        <c:auto val="1"/>
        <c:lblAlgn val="ctr"/>
        <c:lblOffset val="100"/>
        <c:noMultiLvlLbl val="0"/>
      </c:catAx>
      <c:spPr>
        <a:noFill/>
        <a:ln>
          <a:noFill/>
        </a:ln>
        <a:effectLst/>
      </c:spPr>
    </c:plotArea>
    <c:legend>
      <c:legendPos val="b"/>
      <c:layout>
        <c:manualLayout>
          <c:xMode val="edge"/>
          <c:yMode val="edge"/>
          <c:x val="9.6998825423065205E-2"/>
          <c:y val="0.84394685039370088"/>
          <c:w val="0.80600234915386959"/>
          <c:h val="0.15605314960629921"/>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noFill/>
    <a:ln w="12700" cap="flat" cmpd="sng" algn="ctr">
      <a:solidFill>
        <a:srgbClr val="FFFFFF"/>
      </a:solidFill>
      <a:round/>
    </a:ln>
    <a:effectLst/>
  </c:spPr>
  <c:txPr>
    <a:bodyPr/>
    <a:lstStyle/>
    <a:p>
      <a:pPr>
        <a:defRPr sz="800"/>
      </a:pPr>
      <a:endParaRPr lang="en-US"/>
    </a:p>
  </c:txPr>
  <c:externalData r:id="rId4">
    <c:autoUpdate val="0"/>
  </c:externalData>
  <c:userShapes r:id="rId5"/>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317614709925968"/>
          <c:y val="0.12727272727272718"/>
          <c:w val="0.79296756174708927"/>
          <c:h val="0.45733767572247186"/>
        </c:manualLayout>
      </c:layout>
      <c:barChart>
        <c:barDir val="col"/>
        <c:grouping val="clustered"/>
        <c:varyColors val="0"/>
        <c:ser>
          <c:idx val="1"/>
          <c:order val="1"/>
          <c:tx>
            <c:strRef>
              <c:f>Sheet1!$C$1</c:f>
              <c:strCache>
                <c:ptCount val="1"/>
                <c:pt idx="0">
                  <c:v>Արտահանում</c:v>
                </c:pt>
              </c:strCache>
            </c:strRef>
          </c:tx>
          <c:spPr>
            <a:solidFill>
              <a:srgbClr val="ED7D31">
                <a:lumMod val="60000"/>
                <a:lumOff val="40000"/>
              </a:srgbClr>
            </a:solidFill>
            <a:ln>
              <a:noFill/>
            </a:ln>
            <a:effectLst/>
          </c:spPr>
          <c:invertIfNegative val="0"/>
          <c:cat>
            <c:numRef>
              <c:f>Sheet1!$A$2:$A$6</c:f>
              <c:numCache>
                <c:formatCode>General</c:formatCode>
                <c:ptCount val="5"/>
                <c:pt idx="0">
                  <c:v>2022</c:v>
                </c:pt>
                <c:pt idx="1">
                  <c:v>2023</c:v>
                </c:pt>
                <c:pt idx="2">
                  <c:v>2024</c:v>
                </c:pt>
                <c:pt idx="3">
                  <c:v>2025</c:v>
                </c:pt>
                <c:pt idx="4">
                  <c:v>2026</c:v>
                </c:pt>
              </c:numCache>
            </c:numRef>
          </c:cat>
          <c:val>
            <c:numRef>
              <c:f>Sheet1!$C$2:$C$8</c:f>
              <c:numCache>
                <c:formatCode>0.0</c:formatCode>
                <c:ptCount val="7"/>
                <c:pt idx="0">
                  <c:v>5.3970000000000002</c:v>
                </c:pt>
                <c:pt idx="1">
                  <c:v>1.1100000000000001</c:v>
                </c:pt>
                <c:pt idx="2">
                  <c:v>3.8690000000000002</c:v>
                </c:pt>
                <c:pt idx="3">
                  <c:v>1.3819999999999999</c:v>
                </c:pt>
                <c:pt idx="4">
                  <c:v>2.3660000000000001</c:v>
                </c:pt>
                <c:pt idx="5">
                  <c:v>3.0430000000000001</c:v>
                </c:pt>
                <c:pt idx="6">
                  <c:v>3.2069999999999999</c:v>
                </c:pt>
              </c:numCache>
            </c:numRef>
          </c:val>
          <c:extLst>
            <c:ext xmlns:c16="http://schemas.microsoft.com/office/drawing/2014/chart" uri="{C3380CC4-5D6E-409C-BE32-E72D297353CC}">
              <c16:uniqueId val="{00000000-B141-41CB-9092-6D937B601F8B}"/>
            </c:ext>
          </c:extLst>
        </c:ser>
        <c:ser>
          <c:idx val="2"/>
          <c:order val="2"/>
          <c:tx>
            <c:strRef>
              <c:f>Sheet1!$D$1</c:f>
              <c:strCache>
                <c:ptCount val="1"/>
                <c:pt idx="0">
                  <c:v>Ներմուծում</c:v>
                </c:pt>
              </c:strCache>
            </c:strRef>
          </c:tx>
          <c:spPr>
            <a:solidFill>
              <a:srgbClr val="2E75B6"/>
            </a:solidFill>
            <a:ln>
              <a:solidFill>
                <a:schemeClr val="accent1"/>
              </a:solidFill>
            </a:ln>
            <a:effectLst/>
          </c:spPr>
          <c:invertIfNegative val="0"/>
          <c:cat>
            <c:numRef>
              <c:f>Sheet1!$A$2:$A$6</c:f>
              <c:numCache>
                <c:formatCode>General</c:formatCode>
                <c:ptCount val="5"/>
                <c:pt idx="0">
                  <c:v>2022</c:v>
                </c:pt>
                <c:pt idx="1">
                  <c:v>2023</c:v>
                </c:pt>
                <c:pt idx="2">
                  <c:v>2024</c:v>
                </c:pt>
                <c:pt idx="3">
                  <c:v>2025</c:v>
                </c:pt>
                <c:pt idx="4">
                  <c:v>2026</c:v>
                </c:pt>
              </c:numCache>
            </c:numRef>
          </c:cat>
          <c:val>
            <c:numRef>
              <c:f>Sheet1!$D$2:$D$8</c:f>
              <c:numCache>
                <c:formatCode>0.0</c:formatCode>
                <c:ptCount val="7"/>
                <c:pt idx="0">
                  <c:v>6.085</c:v>
                </c:pt>
                <c:pt idx="1">
                  <c:v>0.79100000000000004</c:v>
                </c:pt>
                <c:pt idx="2">
                  <c:v>3.6360000000000001</c:v>
                </c:pt>
                <c:pt idx="3">
                  <c:v>1.9410000000000001</c:v>
                </c:pt>
                <c:pt idx="4">
                  <c:v>2.5409999999999999</c:v>
                </c:pt>
                <c:pt idx="5">
                  <c:v>3.056</c:v>
                </c:pt>
                <c:pt idx="6">
                  <c:v>3.206</c:v>
                </c:pt>
              </c:numCache>
            </c:numRef>
          </c:val>
          <c:extLst>
            <c:ext xmlns:c16="http://schemas.microsoft.com/office/drawing/2014/chart" uri="{C3380CC4-5D6E-409C-BE32-E72D297353CC}">
              <c16:uniqueId val="{00000001-B141-41CB-9092-6D937B601F8B}"/>
            </c:ext>
          </c:extLst>
        </c:ser>
        <c:dLbls>
          <c:showLegendKey val="0"/>
          <c:showVal val="0"/>
          <c:showCatName val="0"/>
          <c:showSerName val="0"/>
          <c:showPercent val="0"/>
          <c:showBubbleSize val="0"/>
        </c:dLbls>
        <c:gapWidth val="150"/>
        <c:axId val="709166032"/>
        <c:axId val="709161680"/>
      </c:barChart>
      <c:lineChart>
        <c:grouping val="standard"/>
        <c:varyColors val="0"/>
        <c:ser>
          <c:idx val="0"/>
          <c:order val="0"/>
          <c:tx>
            <c:strRef>
              <c:f>Sheet1!$B$1</c:f>
              <c:strCache>
                <c:ptCount val="1"/>
                <c:pt idx="0">
                  <c:v>Առևտրաշրջանառություն</c:v>
                </c:pt>
              </c:strCache>
            </c:strRef>
          </c:tx>
          <c:spPr>
            <a:ln w="28575" cap="rnd">
              <a:solidFill>
                <a:srgbClr val="44546A"/>
              </a:solidFill>
              <a:round/>
            </a:ln>
            <a:effectLst/>
          </c:spPr>
          <c:marker>
            <c:symbol val="circle"/>
            <c:size val="5"/>
            <c:spPr>
              <a:solidFill>
                <a:srgbClr val="4472C4">
                  <a:lumMod val="50000"/>
                </a:srgbClr>
              </a:solidFill>
              <a:ln w="9525">
                <a:solidFill>
                  <a:srgbClr val="4472C4">
                    <a:lumMod val="50000"/>
                  </a:srgbClr>
                </a:solidFill>
              </a:ln>
              <a:effectLst/>
            </c:spPr>
          </c:marker>
          <c:dLbls>
            <c:spPr>
              <a:noFill/>
              <a:ln>
                <a:noFill/>
              </a:ln>
              <a:effectLst/>
            </c:spPr>
            <c:txPr>
              <a:bodyPr rot="0" vert="horz"/>
              <a:lstStyle/>
              <a:p>
                <a:pPr>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Sheet1!$A$2:$A$8</c:f>
              <c:numCache>
                <c:formatCode>General</c:formatCode>
                <c:ptCount val="7"/>
                <c:pt idx="0">
                  <c:v>2022</c:v>
                </c:pt>
                <c:pt idx="1">
                  <c:v>2023</c:v>
                </c:pt>
                <c:pt idx="2">
                  <c:v>2024</c:v>
                </c:pt>
                <c:pt idx="3">
                  <c:v>2025</c:v>
                </c:pt>
                <c:pt idx="4">
                  <c:v>2026</c:v>
                </c:pt>
                <c:pt idx="5">
                  <c:v>2027</c:v>
                </c:pt>
                <c:pt idx="6">
                  <c:v>2028</c:v>
                </c:pt>
              </c:numCache>
            </c:numRef>
          </c:cat>
          <c:val>
            <c:numRef>
              <c:f>Sheet1!$B$2:$B$8</c:f>
              <c:numCache>
                <c:formatCode>0.0</c:formatCode>
                <c:ptCount val="7"/>
                <c:pt idx="0">
                  <c:v>5.7389999999999999</c:v>
                </c:pt>
                <c:pt idx="1">
                  <c:v>0.95099999999999996</c:v>
                </c:pt>
                <c:pt idx="2">
                  <c:v>3.7530000000000001</c:v>
                </c:pt>
                <c:pt idx="3">
                  <c:v>1.66</c:v>
                </c:pt>
                <c:pt idx="4">
                  <c:v>2.4529999999999998</c:v>
                </c:pt>
                <c:pt idx="5">
                  <c:v>3.0489999999999999</c:v>
                </c:pt>
                <c:pt idx="6">
                  <c:v>3.206</c:v>
                </c:pt>
              </c:numCache>
            </c:numRef>
          </c:val>
          <c:smooth val="0"/>
          <c:extLst>
            <c:ext xmlns:c16="http://schemas.microsoft.com/office/drawing/2014/chart" uri="{C3380CC4-5D6E-409C-BE32-E72D297353CC}">
              <c16:uniqueId val="{00000002-B141-41CB-9092-6D937B601F8B}"/>
            </c:ext>
          </c:extLst>
        </c:ser>
        <c:dLbls>
          <c:showLegendKey val="0"/>
          <c:showVal val="0"/>
          <c:showCatName val="0"/>
          <c:showSerName val="0"/>
          <c:showPercent val="0"/>
          <c:showBubbleSize val="0"/>
        </c:dLbls>
        <c:marker val="1"/>
        <c:smooth val="0"/>
        <c:axId val="709166032"/>
        <c:axId val="709161680"/>
      </c:lineChart>
      <c:catAx>
        <c:axId val="709166032"/>
        <c:scaling>
          <c:orientation val="minMax"/>
        </c:scaling>
        <c:delete val="0"/>
        <c:axPos val="b"/>
        <c:numFmt formatCode="General" sourceLinked="1"/>
        <c:majorTickMark val="none"/>
        <c:minorTickMark val="none"/>
        <c:tickLblPos val="low"/>
        <c:spPr>
          <a:noFill/>
          <a:ln w="9525" cap="flat" cmpd="sng" algn="ctr">
            <a:solidFill>
              <a:schemeClr val="tx1">
                <a:lumMod val="15000"/>
                <a:lumOff val="85000"/>
              </a:schemeClr>
            </a:solidFill>
            <a:round/>
          </a:ln>
          <a:effectLst/>
        </c:spPr>
        <c:txPr>
          <a:bodyPr rot="0" vert="horz"/>
          <a:lstStyle/>
          <a:p>
            <a:pPr>
              <a:defRPr/>
            </a:pPr>
            <a:endParaRPr lang="en-US"/>
          </a:p>
        </c:txPr>
        <c:crossAx val="709161680"/>
        <c:crosses val="autoZero"/>
        <c:auto val="1"/>
        <c:lblAlgn val="ctr"/>
        <c:lblOffset val="100"/>
        <c:noMultiLvlLbl val="0"/>
      </c:catAx>
      <c:valAx>
        <c:axId val="70916168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vert="horz"/>
              <a:lstStyle/>
              <a:p>
                <a:pPr>
                  <a:defRPr/>
                </a:pPr>
                <a:r>
                  <a:rPr lang="hy-AM"/>
                  <a:t>%</a:t>
                </a:r>
                <a:endParaRPr lang="en-US"/>
              </a:p>
            </c:rich>
          </c:tx>
          <c:overlay val="0"/>
          <c:spPr>
            <a:noFill/>
            <a:ln>
              <a:noFill/>
            </a:ln>
            <a:effectLst/>
          </c:spPr>
        </c:title>
        <c:numFmt formatCode="0.0" sourceLinked="1"/>
        <c:majorTickMark val="none"/>
        <c:minorTickMark val="none"/>
        <c:tickLblPos val="nextTo"/>
        <c:spPr>
          <a:noFill/>
          <a:ln>
            <a:noFill/>
          </a:ln>
          <a:effectLst/>
        </c:spPr>
        <c:txPr>
          <a:bodyPr rot="-60000000" vert="horz"/>
          <a:lstStyle/>
          <a:p>
            <a:pPr>
              <a:defRPr>
                <a:solidFill>
                  <a:schemeClr val="bg2">
                    <a:lumMod val="75000"/>
                  </a:schemeClr>
                </a:solidFill>
              </a:defRPr>
            </a:pPr>
            <a:endParaRPr lang="en-US"/>
          </a:p>
        </c:txPr>
        <c:crossAx val="709166032"/>
        <c:crosses val="autoZero"/>
        <c:crossBetween val="between"/>
      </c:valAx>
      <c:spPr>
        <a:noFill/>
        <a:ln>
          <a:noFill/>
        </a:ln>
        <a:effectLst/>
      </c:spPr>
    </c:plotArea>
    <c:legend>
      <c:legendPos val="b"/>
      <c:legendEntry>
        <c:idx val="1"/>
        <c:txPr>
          <a:bodyPr rot="0" vert="horz"/>
          <a:lstStyle/>
          <a:p>
            <a:pPr>
              <a:defRPr sz="700">
                <a:latin typeface="+mn-lt"/>
              </a:defRPr>
            </a:pPr>
            <a:endParaRPr lang="en-US"/>
          </a:p>
        </c:txPr>
      </c:legendEntry>
      <c:layout>
        <c:manualLayout>
          <c:xMode val="edge"/>
          <c:yMode val="edge"/>
          <c:x val="1.9549054495528882E-3"/>
          <c:y val="0.8036668666805451"/>
          <c:w val="0.98445949256342957"/>
          <c:h val="0.19382941006719706"/>
        </c:manualLayout>
      </c:layout>
      <c:overlay val="0"/>
      <c:spPr>
        <a:noFill/>
        <a:ln>
          <a:noFill/>
        </a:ln>
        <a:effectLst/>
      </c:spPr>
      <c:txPr>
        <a:bodyPr rot="0" vert="horz"/>
        <a:lstStyle/>
        <a:p>
          <a:pPr>
            <a:defRPr sz="700">
              <a:latin typeface="+mn-lt"/>
            </a:defRPr>
          </a:pPr>
          <a:endParaRPr lang="en-US"/>
        </a:p>
      </c:txPr>
    </c:legend>
    <c:plotVisOnly val="1"/>
    <c:dispBlanksAs val="gap"/>
    <c:showDLblsOverMax val="0"/>
  </c:chart>
  <c:spPr>
    <a:noFill/>
    <a:ln w="12700" cap="flat" cmpd="sng" algn="ctr">
      <a:solidFill>
        <a:srgbClr val="FFFFFF"/>
      </a:solidFill>
      <a:round/>
    </a:ln>
    <a:effectLst/>
  </c:spPr>
  <c:txPr>
    <a:bodyPr/>
    <a:lstStyle/>
    <a:p>
      <a:pPr>
        <a:defRPr sz="800">
          <a:latin typeface="+mj-lt"/>
        </a:defRPr>
      </a:pPr>
      <a:endParaRPr lang="en-US"/>
    </a:p>
  </c:txPr>
  <c:externalData r:id="rId2">
    <c:autoUpdate val="0"/>
  </c:externalData>
  <c:userShapes r:id="rId3"/>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859210958005249"/>
          <c:y val="0.10019869487234935"/>
          <c:w val="0.76905450295275579"/>
          <c:h val="0.56427410224771979"/>
        </c:manualLayout>
      </c:layout>
      <c:lineChart>
        <c:grouping val="standard"/>
        <c:varyColors val="0"/>
        <c:ser>
          <c:idx val="0"/>
          <c:order val="0"/>
          <c:tx>
            <c:strRef>
              <c:f>Sheet1!$B$1</c:f>
              <c:strCache>
                <c:ptCount val="1"/>
                <c:pt idx="0">
                  <c:v>Զարգացող երկրների արժույթ</c:v>
                </c:pt>
              </c:strCache>
            </c:strRef>
          </c:tx>
          <c:spPr>
            <a:ln w="19050" cap="rnd">
              <a:solidFill>
                <a:srgbClr val="5B9BD5"/>
              </a:solidFill>
              <a:round/>
            </a:ln>
            <a:effectLst/>
          </c:spPr>
          <c:marker>
            <c:symbol val="none"/>
          </c:marker>
          <c:cat>
            <c:numRef>
              <c:f>Sheet1!$A$2:$A$1223</c:f>
              <c:numCache>
                <c:formatCode>dd\/mm\/yy</c:formatCode>
                <c:ptCount val="1222"/>
                <c:pt idx="0">
                  <c:v>44564</c:v>
                </c:pt>
                <c:pt idx="1">
                  <c:v>44565</c:v>
                </c:pt>
                <c:pt idx="2">
                  <c:v>44566</c:v>
                </c:pt>
                <c:pt idx="3">
                  <c:v>44567</c:v>
                </c:pt>
                <c:pt idx="4">
                  <c:v>44568</c:v>
                </c:pt>
                <c:pt idx="5">
                  <c:v>44571</c:v>
                </c:pt>
                <c:pt idx="6">
                  <c:v>44572</c:v>
                </c:pt>
                <c:pt idx="7">
                  <c:v>44573</c:v>
                </c:pt>
                <c:pt idx="8">
                  <c:v>44574</c:v>
                </c:pt>
                <c:pt idx="9">
                  <c:v>44575</c:v>
                </c:pt>
                <c:pt idx="10">
                  <c:v>44578</c:v>
                </c:pt>
                <c:pt idx="11">
                  <c:v>44579</c:v>
                </c:pt>
                <c:pt idx="12">
                  <c:v>44580</c:v>
                </c:pt>
                <c:pt idx="13">
                  <c:v>44581</c:v>
                </c:pt>
                <c:pt idx="14">
                  <c:v>44582</c:v>
                </c:pt>
                <c:pt idx="15">
                  <c:v>44585</c:v>
                </c:pt>
                <c:pt idx="16">
                  <c:v>44586</c:v>
                </c:pt>
                <c:pt idx="17">
                  <c:v>44587</c:v>
                </c:pt>
                <c:pt idx="18">
                  <c:v>44588</c:v>
                </c:pt>
                <c:pt idx="19">
                  <c:v>44589</c:v>
                </c:pt>
                <c:pt idx="20">
                  <c:v>44592</c:v>
                </c:pt>
                <c:pt idx="21">
                  <c:v>44593</c:v>
                </c:pt>
                <c:pt idx="22">
                  <c:v>44594</c:v>
                </c:pt>
                <c:pt idx="23">
                  <c:v>44595</c:v>
                </c:pt>
                <c:pt idx="24">
                  <c:v>44596</c:v>
                </c:pt>
                <c:pt idx="25">
                  <c:v>44599</c:v>
                </c:pt>
                <c:pt idx="26">
                  <c:v>44600</c:v>
                </c:pt>
                <c:pt idx="27">
                  <c:v>44601</c:v>
                </c:pt>
                <c:pt idx="28">
                  <c:v>44602</c:v>
                </c:pt>
                <c:pt idx="29">
                  <c:v>44603</c:v>
                </c:pt>
                <c:pt idx="30">
                  <c:v>44606</c:v>
                </c:pt>
                <c:pt idx="31">
                  <c:v>44607</c:v>
                </c:pt>
                <c:pt idx="32">
                  <c:v>44608</c:v>
                </c:pt>
                <c:pt idx="33">
                  <c:v>44609</c:v>
                </c:pt>
                <c:pt idx="34">
                  <c:v>44610</c:v>
                </c:pt>
                <c:pt idx="35">
                  <c:v>44613</c:v>
                </c:pt>
                <c:pt idx="36">
                  <c:v>44614</c:v>
                </c:pt>
                <c:pt idx="37">
                  <c:v>44615</c:v>
                </c:pt>
                <c:pt idx="38">
                  <c:v>44616</c:v>
                </c:pt>
                <c:pt idx="39">
                  <c:v>44617</c:v>
                </c:pt>
                <c:pt idx="40">
                  <c:v>44620</c:v>
                </c:pt>
                <c:pt idx="41">
                  <c:v>44621</c:v>
                </c:pt>
                <c:pt idx="42">
                  <c:v>44622</c:v>
                </c:pt>
                <c:pt idx="43">
                  <c:v>44623</c:v>
                </c:pt>
                <c:pt idx="44">
                  <c:v>44624</c:v>
                </c:pt>
                <c:pt idx="45">
                  <c:v>44627</c:v>
                </c:pt>
                <c:pt idx="46">
                  <c:v>44628</c:v>
                </c:pt>
                <c:pt idx="47">
                  <c:v>44629</c:v>
                </c:pt>
                <c:pt idx="48">
                  <c:v>44630</c:v>
                </c:pt>
                <c:pt idx="49">
                  <c:v>44631</c:v>
                </c:pt>
                <c:pt idx="50">
                  <c:v>44634</c:v>
                </c:pt>
                <c:pt idx="51">
                  <c:v>44635</c:v>
                </c:pt>
                <c:pt idx="52">
                  <c:v>44636</c:v>
                </c:pt>
                <c:pt idx="53">
                  <c:v>44637</c:v>
                </c:pt>
                <c:pt idx="54">
                  <c:v>44638</c:v>
                </c:pt>
                <c:pt idx="55">
                  <c:v>44641</c:v>
                </c:pt>
                <c:pt idx="56">
                  <c:v>44642</c:v>
                </c:pt>
                <c:pt idx="57">
                  <c:v>44643</c:v>
                </c:pt>
                <c:pt idx="58">
                  <c:v>44644</c:v>
                </c:pt>
                <c:pt idx="59">
                  <c:v>44645</c:v>
                </c:pt>
                <c:pt idx="60">
                  <c:v>44648</c:v>
                </c:pt>
                <c:pt idx="61">
                  <c:v>44649</c:v>
                </c:pt>
                <c:pt idx="62">
                  <c:v>44650</c:v>
                </c:pt>
                <c:pt idx="63">
                  <c:v>44651</c:v>
                </c:pt>
                <c:pt idx="64">
                  <c:v>44652</c:v>
                </c:pt>
                <c:pt idx="65">
                  <c:v>44655</c:v>
                </c:pt>
                <c:pt idx="66">
                  <c:v>44656</c:v>
                </c:pt>
                <c:pt idx="67">
                  <c:v>44657</c:v>
                </c:pt>
                <c:pt idx="68">
                  <c:v>44658</c:v>
                </c:pt>
                <c:pt idx="69">
                  <c:v>44659</c:v>
                </c:pt>
                <c:pt idx="70">
                  <c:v>44662</c:v>
                </c:pt>
                <c:pt idx="71">
                  <c:v>44663</c:v>
                </c:pt>
                <c:pt idx="72">
                  <c:v>44664</c:v>
                </c:pt>
                <c:pt idx="73">
                  <c:v>44665</c:v>
                </c:pt>
                <c:pt idx="74">
                  <c:v>44669</c:v>
                </c:pt>
                <c:pt idx="75">
                  <c:v>44670</c:v>
                </c:pt>
                <c:pt idx="76">
                  <c:v>44671</c:v>
                </c:pt>
                <c:pt idx="77">
                  <c:v>44672</c:v>
                </c:pt>
                <c:pt idx="78">
                  <c:v>44673</c:v>
                </c:pt>
                <c:pt idx="79">
                  <c:v>44676</c:v>
                </c:pt>
                <c:pt idx="80">
                  <c:v>44677</c:v>
                </c:pt>
                <c:pt idx="81">
                  <c:v>44678</c:v>
                </c:pt>
                <c:pt idx="82">
                  <c:v>44679</c:v>
                </c:pt>
                <c:pt idx="83">
                  <c:v>44680</c:v>
                </c:pt>
                <c:pt idx="84">
                  <c:v>44683</c:v>
                </c:pt>
                <c:pt idx="85">
                  <c:v>44684</c:v>
                </c:pt>
                <c:pt idx="86">
                  <c:v>44685</c:v>
                </c:pt>
                <c:pt idx="87">
                  <c:v>44686</c:v>
                </c:pt>
                <c:pt idx="88">
                  <c:v>44687</c:v>
                </c:pt>
                <c:pt idx="89">
                  <c:v>44690</c:v>
                </c:pt>
                <c:pt idx="90">
                  <c:v>44691</c:v>
                </c:pt>
                <c:pt idx="91">
                  <c:v>44692</c:v>
                </c:pt>
                <c:pt idx="92">
                  <c:v>44693</c:v>
                </c:pt>
                <c:pt idx="93">
                  <c:v>44694</c:v>
                </c:pt>
                <c:pt idx="94">
                  <c:v>44697</c:v>
                </c:pt>
                <c:pt idx="95">
                  <c:v>44698</c:v>
                </c:pt>
                <c:pt idx="96">
                  <c:v>44699</c:v>
                </c:pt>
                <c:pt idx="97">
                  <c:v>44700</c:v>
                </c:pt>
                <c:pt idx="98">
                  <c:v>44701</c:v>
                </c:pt>
                <c:pt idx="99">
                  <c:v>44704</c:v>
                </c:pt>
                <c:pt idx="100">
                  <c:v>44705</c:v>
                </c:pt>
                <c:pt idx="101">
                  <c:v>44706</c:v>
                </c:pt>
                <c:pt idx="102">
                  <c:v>44707</c:v>
                </c:pt>
                <c:pt idx="103">
                  <c:v>44708</c:v>
                </c:pt>
                <c:pt idx="104">
                  <c:v>44711</c:v>
                </c:pt>
                <c:pt idx="105">
                  <c:v>44712</c:v>
                </c:pt>
                <c:pt idx="106">
                  <c:v>44713</c:v>
                </c:pt>
                <c:pt idx="107">
                  <c:v>44714</c:v>
                </c:pt>
                <c:pt idx="108">
                  <c:v>44715</c:v>
                </c:pt>
                <c:pt idx="109">
                  <c:v>44718</c:v>
                </c:pt>
                <c:pt idx="110">
                  <c:v>44719</c:v>
                </c:pt>
                <c:pt idx="111">
                  <c:v>44720</c:v>
                </c:pt>
                <c:pt idx="112">
                  <c:v>44721</c:v>
                </c:pt>
                <c:pt idx="113">
                  <c:v>44722</c:v>
                </c:pt>
                <c:pt idx="114">
                  <c:v>44725</c:v>
                </c:pt>
                <c:pt idx="115">
                  <c:v>44726</c:v>
                </c:pt>
                <c:pt idx="116">
                  <c:v>44727</c:v>
                </c:pt>
                <c:pt idx="117">
                  <c:v>44728</c:v>
                </c:pt>
                <c:pt idx="118">
                  <c:v>44729</c:v>
                </c:pt>
                <c:pt idx="119">
                  <c:v>44732</c:v>
                </c:pt>
                <c:pt idx="120">
                  <c:v>44733</c:v>
                </c:pt>
                <c:pt idx="121">
                  <c:v>44734</c:v>
                </c:pt>
                <c:pt idx="122">
                  <c:v>44735</c:v>
                </c:pt>
                <c:pt idx="123">
                  <c:v>44736</c:v>
                </c:pt>
                <c:pt idx="124">
                  <c:v>44739</c:v>
                </c:pt>
                <c:pt idx="125">
                  <c:v>44740</c:v>
                </c:pt>
                <c:pt idx="126">
                  <c:v>44741</c:v>
                </c:pt>
                <c:pt idx="127">
                  <c:v>44742</c:v>
                </c:pt>
                <c:pt idx="128">
                  <c:v>44743</c:v>
                </c:pt>
                <c:pt idx="129">
                  <c:v>44746</c:v>
                </c:pt>
                <c:pt idx="130">
                  <c:v>44747</c:v>
                </c:pt>
                <c:pt idx="131">
                  <c:v>44748</c:v>
                </c:pt>
                <c:pt idx="132">
                  <c:v>44749</c:v>
                </c:pt>
                <c:pt idx="133">
                  <c:v>44750</c:v>
                </c:pt>
                <c:pt idx="134">
                  <c:v>44753</c:v>
                </c:pt>
                <c:pt idx="135">
                  <c:v>44754</c:v>
                </c:pt>
                <c:pt idx="136">
                  <c:v>44755</c:v>
                </c:pt>
                <c:pt idx="137">
                  <c:v>44756</c:v>
                </c:pt>
                <c:pt idx="138">
                  <c:v>44757</c:v>
                </c:pt>
                <c:pt idx="139">
                  <c:v>44760</c:v>
                </c:pt>
                <c:pt idx="140">
                  <c:v>44761</c:v>
                </c:pt>
                <c:pt idx="141">
                  <c:v>44762</c:v>
                </c:pt>
                <c:pt idx="142">
                  <c:v>44763</c:v>
                </c:pt>
                <c:pt idx="143">
                  <c:v>44764</c:v>
                </c:pt>
                <c:pt idx="144">
                  <c:v>44767</c:v>
                </c:pt>
                <c:pt idx="145">
                  <c:v>44768</c:v>
                </c:pt>
                <c:pt idx="146">
                  <c:v>44769</c:v>
                </c:pt>
                <c:pt idx="147">
                  <c:v>44770</c:v>
                </c:pt>
                <c:pt idx="148">
                  <c:v>44771</c:v>
                </c:pt>
                <c:pt idx="149">
                  <c:v>44774</c:v>
                </c:pt>
                <c:pt idx="150">
                  <c:v>44775</c:v>
                </c:pt>
                <c:pt idx="151">
                  <c:v>44776</c:v>
                </c:pt>
                <c:pt idx="152">
                  <c:v>44777</c:v>
                </c:pt>
                <c:pt idx="153">
                  <c:v>44778</c:v>
                </c:pt>
                <c:pt idx="154">
                  <c:v>44781</c:v>
                </c:pt>
                <c:pt idx="155">
                  <c:v>44782</c:v>
                </c:pt>
                <c:pt idx="156">
                  <c:v>44783</c:v>
                </c:pt>
                <c:pt idx="157">
                  <c:v>44784</c:v>
                </c:pt>
                <c:pt idx="158">
                  <c:v>44785</c:v>
                </c:pt>
                <c:pt idx="159">
                  <c:v>44788</c:v>
                </c:pt>
                <c:pt idx="160">
                  <c:v>44789</c:v>
                </c:pt>
                <c:pt idx="161">
                  <c:v>44790</c:v>
                </c:pt>
                <c:pt idx="162">
                  <c:v>44791</c:v>
                </c:pt>
                <c:pt idx="163">
                  <c:v>44792</c:v>
                </c:pt>
                <c:pt idx="164">
                  <c:v>44795</c:v>
                </c:pt>
                <c:pt idx="165">
                  <c:v>44796</c:v>
                </c:pt>
                <c:pt idx="166">
                  <c:v>44797</c:v>
                </c:pt>
                <c:pt idx="167">
                  <c:v>44798</c:v>
                </c:pt>
                <c:pt idx="168">
                  <c:v>44799</c:v>
                </c:pt>
                <c:pt idx="169">
                  <c:v>44802</c:v>
                </c:pt>
                <c:pt idx="170">
                  <c:v>44803</c:v>
                </c:pt>
                <c:pt idx="171">
                  <c:v>44804</c:v>
                </c:pt>
                <c:pt idx="172">
                  <c:v>44805</c:v>
                </c:pt>
                <c:pt idx="173">
                  <c:v>44806</c:v>
                </c:pt>
                <c:pt idx="174">
                  <c:v>44809</c:v>
                </c:pt>
                <c:pt idx="175">
                  <c:v>44810</c:v>
                </c:pt>
                <c:pt idx="176">
                  <c:v>44811</c:v>
                </c:pt>
                <c:pt idx="177">
                  <c:v>44812</c:v>
                </c:pt>
                <c:pt idx="178">
                  <c:v>44813</c:v>
                </c:pt>
                <c:pt idx="179">
                  <c:v>44816</c:v>
                </c:pt>
                <c:pt idx="180">
                  <c:v>44817</c:v>
                </c:pt>
                <c:pt idx="181">
                  <c:v>44818</c:v>
                </c:pt>
                <c:pt idx="182">
                  <c:v>44819</c:v>
                </c:pt>
                <c:pt idx="183">
                  <c:v>44820</c:v>
                </c:pt>
                <c:pt idx="184">
                  <c:v>44823</c:v>
                </c:pt>
                <c:pt idx="185">
                  <c:v>44824</c:v>
                </c:pt>
                <c:pt idx="186">
                  <c:v>44825</c:v>
                </c:pt>
                <c:pt idx="187">
                  <c:v>44826</c:v>
                </c:pt>
                <c:pt idx="188">
                  <c:v>44827</c:v>
                </c:pt>
                <c:pt idx="189">
                  <c:v>44830</c:v>
                </c:pt>
                <c:pt idx="190">
                  <c:v>44831</c:v>
                </c:pt>
                <c:pt idx="191">
                  <c:v>44832</c:v>
                </c:pt>
                <c:pt idx="192">
                  <c:v>44833</c:v>
                </c:pt>
                <c:pt idx="193">
                  <c:v>44834</c:v>
                </c:pt>
                <c:pt idx="194">
                  <c:v>44837</c:v>
                </c:pt>
                <c:pt idx="195">
                  <c:v>44838</c:v>
                </c:pt>
                <c:pt idx="196">
                  <c:v>44839</c:v>
                </c:pt>
                <c:pt idx="197">
                  <c:v>44840</c:v>
                </c:pt>
                <c:pt idx="198">
                  <c:v>44841</c:v>
                </c:pt>
                <c:pt idx="199">
                  <c:v>44844</c:v>
                </c:pt>
                <c:pt idx="200">
                  <c:v>44845</c:v>
                </c:pt>
                <c:pt idx="201">
                  <c:v>44846</c:v>
                </c:pt>
                <c:pt idx="202">
                  <c:v>44847</c:v>
                </c:pt>
                <c:pt idx="203">
                  <c:v>44848</c:v>
                </c:pt>
                <c:pt idx="204">
                  <c:v>44851</c:v>
                </c:pt>
                <c:pt idx="205">
                  <c:v>44852</c:v>
                </c:pt>
                <c:pt idx="206">
                  <c:v>44853</c:v>
                </c:pt>
                <c:pt idx="207">
                  <c:v>44854</c:v>
                </c:pt>
                <c:pt idx="208">
                  <c:v>44855</c:v>
                </c:pt>
                <c:pt idx="209">
                  <c:v>44858</c:v>
                </c:pt>
                <c:pt idx="210">
                  <c:v>44859</c:v>
                </c:pt>
                <c:pt idx="211">
                  <c:v>44860</c:v>
                </c:pt>
                <c:pt idx="212">
                  <c:v>44861</c:v>
                </c:pt>
                <c:pt idx="213">
                  <c:v>44862</c:v>
                </c:pt>
                <c:pt idx="214">
                  <c:v>44865</c:v>
                </c:pt>
                <c:pt idx="215">
                  <c:v>44866</c:v>
                </c:pt>
                <c:pt idx="216">
                  <c:v>44867</c:v>
                </c:pt>
                <c:pt idx="217">
                  <c:v>44868</c:v>
                </c:pt>
                <c:pt idx="218">
                  <c:v>44869</c:v>
                </c:pt>
                <c:pt idx="219">
                  <c:v>44872</c:v>
                </c:pt>
                <c:pt idx="220">
                  <c:v>44873</c:v>
                </c:pt>
                <c:pt idx="221">
                  <c:v>44874</c:v>
                </c:pt>
                <c:pt idx="222">
                  <c:v>44875</c:v>
                </c:pt>
                <c:pt idx="223">
                  <c:v>44876</c:v>
                </c:pt>
                <c:pt idx="224">
                  <c:v>44879</c:v>
                </c:pt>
                <c:pt idx="225">
                  <c:v>44880</c:v>
                </c:pt>
                <c:pt idx="226">
                  <c:v>44881</c:v>
                </c:pt>
                <c:pt idx="227">
                  <c:v>44882</c:v>
                </c:pt>
                <c:pt idx="228">
                  <c:v>44883</c:v>
                </c:pt>
                <c:pt idx="229">
                  <c:v>44886</c:v>
                </c:pt>
                <c:pt idx="230">
                  <c:v>44887</c:v>
                </c:pt>
                <c:pt idx="231">
                  <c:v>44888</c:v>
                </c:pt>
                <c:pt idx="232">
                  <c:v>44889</c:v>
                </c:pt>
                <c:pt idx="233">
                  <c:v>44890</c:v>
                </c:pt>
                <c:pt idx="234">
                  <c:v>44893</c:v>
                </c:pt>
                <c:pt idx="235">
                  <c:v>44894</c:v>
                </c:pt>
                <c:pt idx="236">
                  <c:v>44895</c:v>
                </c:pt>
                <c:pt idx="237">
                  <c:v>44896</c:v>
                </c:pt>
                <c:pt idx="238">
                  <c:v>44897</c:v>
                </c:pt>
                <c:pt idx="239">
                  <c:v>44900</c:v>
                </c:pt>
                <c:pt idx="240">
                  <c:v>44901</c:v>
                </c:pt>
                <c:pt idx="241">
                  <c:v>44902</c:v>
                </c:pt>
                <c:pt idx="242">
                  <c:v>44903</c:v>
                </c:pt>
                <c:pt idx="243">
                  <c:v>44904</c:v>
                </c:pt>
                <c:pt idx="244">
                  <c:v>44907</c:v>
                </c:pt>
                <c:pt idx="245">
                  <c:v>44908</c:v>
                </c:pt>
                <c:pt idx="246">
                  <c:v>44909</c:v>
                </c:pt>
                <c:pt idx="247">
                  <c:v>44910</c:v>
                </c:pt>
                <c:pt idx="248">
                  <c:v>44911</c:v>
                </c:pt>
                <c:pt idx="249">
                  <c:v>44914</c:v>
                </c:pt>
                <c:pt idx="250">
                  <c:v>44915</c:v>
                </c:pt>
                <c:pt idx="251">
                  <c:v>44916</c:v>
                </c:pt>
                <c:pt idx="252">
                  <c:v>44917</c:v>
                </c:pt>
                <c:pt idx="253">
                  <c:v>44918</c:v>
                </c:pt>
                <c:pt idx="254">
                  <c:v>44922</c:v>
                </c:pt>
                <c:pt idx="255">
                  <c:v>44923</c:v>
                </c:pt>
                <c:pt idx="256">
                  <c:v>44924</c:v>
                </c:pt>
                <c:pt idx="257">
                  <c:v>44925</c:v>
                </c:pt>
                <c:pt idx="258">
                  <c:v>44929</c:v>
                </c:pt>
                <c:pt idx="259">
                  <c:v>44930</c:v>
                </c:pt>
                <c:pt idx="260">
                  <c:v>44931</c:v>
                </c:pt>
                <c:pt idx="261">
                  <c:v>44932</c:v>
                </c:pt>
                <c:pt idx="262">
                  <c:v>44935</c:v>
                </c:pt>
                <c:pt idx="263">
                  <c:v>44936</c:v>
                </c:pt>
                <c:pt idx="264">
                  <c:v>44937</c:v>
                </c:pt>
                <c:pt idx="265">
                  <c:v>44938</c:v>
                </c:pt>
                <c:pt idx="266">
                  <c:v>44939</c:v>
                </c:pt>
                <c:pt idx="267">
                  <c:v>44942</c:v>
                </c:pt>
                <c:pt idx="268">
                  <c:v>44943</c:v>
                </c:pt>
                <c:pt idx="269">
                  <c:v>44944</c:v>
                </c:pt>
                <c:pt idx="270">
                  <c:v>44945</c:v>
                </c:pt>
                <c:pt idx="271">
                  <c:v>44946</c:v>
                </c:pt>
                <c:pt idx="272">
                  <c:v>44949</c:v>
                </c:pt>
                <c:pt idx="273">
                  <c:v>44950</c:v>
                </c:pt>
                <c:pt idx="274">
                  <c:v>44951</c:v>
                </c:pt>
                <c:pt idx="275">
                  <c:v>44952</c:v>
                </c:pt>
                <c:pt idx="276">
                  <c:v>44953</c:v>
                </c:pt>
                <c:pt idx="277">
                  <c:v>44956</c:v>
                </c:pt>
                <c:pt idx="278">
                  <c:v>44957</c:v>
                </c:pt>
                <c:pt idx="279">
                  <c:v>44958</c:v>
                </c:pt>
                <c:pt idx="280">
                  <c:v>44959</c:v>
                </c:pt>
                <c:pt idx="281">
                  <c:v>44960</c:v>
                </c:pt>
                <c:pt idx="282">
                  <c:v>44963</c:v>
                </c:pt>
                <c:pt idx="283">
                  <c:v>44964</c:v>
                </c:pt>
                <c:pt idx="284">
                  <c:v>44965</c:v>
                </c:pt>
                <c:pt idx="285">
                  <c:v>44966</c:v>
                </c:pt>
                <c:pt idx="286">
                  <c:v>44967</c:v>
                </c:pt>
                <c:pt idx="287">
                  <c:v>44970</c:v>
                </c:pt>
                <c:pt idx="288">
                  <c:v>44971</c:v>
                </c:pt>
                <c:pt idx="289">
                  <c:v>44972</c:v>
                </c:pt>
                <c:pt idx="290">
                  <c:v>44973</c:v>
                </c:pt>
                <c:pt idx="291">
                  <c:v>44974</c:v>
                </c:pt>
                <c:pt idx="292">
                  <c:v>44977</c:v>
                </c:pt>
                <c:pt idx="293">
                  <c:v>44978</c:v>
                </c:pt>
                <c:pt idx="294">
                  <c:v>44979</c:v>
                </c:pt>
                <c:pt idx="295">
                  <c:v>44980</c:v>
                </c:pt>
                <c:pt idx="296">
                  <c:v>44981</c:v>
                </c:pt>
                <c:pt idx="297">
                  <c:v>44984</c:v>
                </c:pt>
                <c:pt idx="298">
                  <c:v>44985</c:v>
                </c:pt>
                <c:pt idx="299">
                  <c:v>44986</c:v>
                </c:pt>
                <c:pt idx="300">
                  <c:v>44987</c:v>
                </c:pt>
                <c:pt idx="301">
                  <c:v>44988</c:v>
                </c:pt>
                <c:pt idx="302">
                  <c:v>44991</c:v>
                </c:pt>
                <c:pt idx="303">
                  <c:v>44992</c:v>
                </c:pt>
                <c:pt idx="304">
                  <c:v>44993</c:v>
                </c:pt>
                <c:pt idx="305">
                  <c:v>44994</c:v>
                </c:pt>
                <c:pt idx="306">
                  <c:v>44995</c:v>
                </c:pt>
                <c:pt idx="307">
                  <c:v>44998</c:v>
                </c:pt>
                <c:pt idx="308">
                  <c:v>44999</c:v>
                </c:pt>
                <c:pt idx="309">
                  <c:v>45000</c:v>
                </c:pt>
                <c:pt idx="310">
                  <c:v>45001</c:v>
                </c:pt>
                <c:pt idx="311">
                  <c:v>45002</c:v>
                </c:pt>
                <c:pt idx="312">
                  <c:v>45005</c:v>
                </c:pt>
                <c:pt idx="313">
                  <c:v>45006</c:v>
                </c:pt>
                <c:pt idx="314">
                  <c:v>45007</c:v>
                </c:pt>
                <c:pt idx="315">
                  <c:v>45008</c:v>
                </c:pt>
                <c:pt idx="316">
                  <c:v>45009</c:v>
                </c:pt>
                <c:pt idx="317">
                  <c:v>45012</c:v>
                </c:pt>
                <c:pt idx="318">
                  <c:v>45013</c:v>
                </c:pt>
                <c:pt idx="319">
                  <c:v>45014</c:v>
                </c:pt>
                <c:pt idx="320">
                  <c:v>45015</c:v>
                </c:pt>
                <c:pt idx="321">
                  <c:v>45016</c:v>
                </c:pt>
                <c:pt idx="322">
                  <c:v>45019</c:v>
                </c:pt>
                <c:pt idx="323">
                  <c:v>45020</c:v>
                </c:pt>
                <c:pt idx="324">
                  <c:v>45021</c:v>
                </c:pt>
                <c:pt idx="325">
                  <c:v>45022</c:v>
                </c:pt>
                <c:pt idx="326">
                  <c:v>45023</c:v>
                </c:pt>
                <c:pt idx="327">
                  <c:v>45026</c:v>
                </c:pt>
                <c:pt idx="328">
                  <c:v>45027</c:v>
                </c:pt>
                <c:pt idx="329">
                  <c:v>45028</c:v>
                </c:pt>
                <c:pt idx="330">
                  <c:v>45029</c:v>
                </c:pt>
                <c:pt idx="331">
                  <c:v>45030</c:v>
                </c:pt>
                <c:pt idx="332">
                  <c:v>45033</c:v>
                </c:pt>
                <c:pt idx="333">
                  <c:v>45034</c:v>
                </c:pt>
                <c:pt idx="334">
                  <c:v>45035</c:v>
                </c:pt>
                <c:pt idx="335">
                  <c:v>45036</c:v>
                </c:pt>
                <c:pt idx="336">
                  <c:v>45037</c:v>
                </c:pt>
                <c:pt idx="337">
                  <c:v>45040</c:v>
                </c:pt>
                <c:pt idx="338">
                  <c:v>45041</c:v>
                </c:pt>
                <c:pt idx="339">
                  <c:v>45042</c:v>
                </c:pt>
                <c:pt idx="340">
                  <c:v>45043</c:v>
                </c:pt>
                <c:pt idx="341">
                  <c:v>45044</c:v>
                </c:pt>
                <c:pt idx="342">
                  <c:v>45047</c:v>
                </c:pt>
                <c:pt idx="343">
                  <c:v>45048</c:v>
                </c:pt>
                <c:pt idx="344">
                  <c:v>45049</c:v>
                </c:pt>
                <c:pt idx="345">
                  <c:v>45050</c:v>
                </c:pt>
                <c:pt idx="346">
                  <c:v>45051</c:v>
                </c:pt>
                <c:pt idx="347">
                  <c:v>45054</c:v>
                </c:pt>
                <c:pt idx="348">
                  <c:v>45055</c:v>
                </c:pt>
                <c:pt idx="349">
                  <c:v>45056</c:v>
                </c:pt>
                <c:pt idx="350">
                  <c:v>45057</c:v>
                </c:pt>
                <c:pt idx="351">
                  <c:v>45058</c:v>
                </c:pt>
                <c:pt idx="352">
                  <c:v>45061</c:v>
                </c:pt>
                <c:pt idx="353">
                  <c:v>45062</c:v>
                </c:pt>
                <c:pt idx="354">
                  <c:v>45063</c:v>
                </c:pt>
                <c:pt idx="355">
                  <c:v>45064</c:v>
                </c:pt>
                <c:pt idx="356">
                  <c:v>45065</c:v>
                </c:pt>
                <c:pt idx="357">
                  <c:v>45068</c:v>
                </c:pt>
                <c:pt idx="358">
                  <c:v>45069</c:v>
                </c:pt>
                <c:pt idx="359">
                  <c:v>45070</c:v>
                </c:pt>
                <c:pt idx="360">
                  <c:v>45071</c:v>
                </c:pt>
                <c:pt idx="361">
                  <c:v>45072</c:v>
                </c:pt>
                <c:pt idx="362">
                  <c:v>45075</c:v>
                </c:pt>
                <c:pt idx="363">
                  <c:v>45076</c:v>
                </c:pt>
                <c:pt idx="364">
                  <c:v>45077</c:v>
                </c:pt>
                <c:pt idx="365">
                  <c:v>45078</c:v>
                </c:pt>
                <c:pt idx="366">
                  <c:v>45079</c:v>
                </c:pt>
                <c:pt idx="367">
                  <c:v>45082</c:v>
                </c:pt>
                <c:pt idx="368">
                  <c:v>45083</c:v>
                </c:pt>
                <c:pt idx="369">
                  <c:v>45084</c:v>
                </c:pt>
                <c:pt idx="370">
                  <c:v>45085</c:v>
                </c:pt>
                <c:pt idx="371">
                  <c:v>45086</c:v>
                </c:pt>
                <c:pt idx="372">
                  <c:v>45089</c:v>
                </c:pt>
                <c:pt idx="373">
                  <c:v>45090</c:v>
                </c:pt>
                <c:pt idx="374">
                  <c:v>45091</c:v>
                </c:pt>
                <c:pt idx="375">
                  <c:v>45092</c:v>
                </c:pt>
                <c:pt idx="376">
                  <c:v>45093</c:v>
                </c:pt>
                <c:pt idx="377">
                  <c:v>45096</c:v>
                </c:pt>
                <c:pt idx="378">
                  <c:v>45097</c:v>
                </c:pt>
                <c:pt idx="379">
                  <c:v>45098</c:v>
                </c:pt>
                <c:pt idx="380">
                  <c:v>45099</c:v>
                </c:pt>
                <c:pt idx="381">
                  <c:v>45100</c:v>
                </c:pt>
                <c:pt idx="382">
                  <c:v>45103</c:v>
                </c:pt>
                <c:pt idx="383">
                  <c:v>45104</c:v>
                </c:pt>
                <c:pt idx="384">
                  <c:v>45105</c:v>
                </c:pt>
                <c:pt idx="385">
                  <c:v>45106</c:v>
                </c:pt>
                <c:pt idx="386">
                  <c:v>45107</c:v>
                </c:pt>
                <c:pt idx="387">
                  <c:v>45110</c:v>
                </c:pt>
                <c:pt idx="388">
                  <c:v>45111</c:v>
                </c:pt>
                <c:pt idx="389">
                  <c:v>45112</c:v>
                </c:pt>
                <c:pt idx="390">
                  <c:v>45113</c:v>
                </c:pt>
                <c:pt idx="391">
                  <c:v>45114</c:v>
                </c:pt>
                <c:pt idx="392">
                  <c:v>45117</c:v>
                </c:pt>
                <c:pt idx="393">
                  <c:v>45118</c:v>
                </c:pt>
                <c:pt idx="394">
                  <c:v>45119</c:v>
                </c:pt>
                <c:pt idx="395">
                  <c:v>45120</c:v>
                </c:pt>
                <c:pt idx="396">
                  <c:v>45121</c:v>
                </c:pt>
                <c:pt idx="397">
                  <c:v>45124</c:v>
                </c:pt>
                <c:pt idx="398">
                  <c:v>45125</c:v>
                </c:pt>
                <c:pt idx="399">
                  <c:v>45126</c:v>
                </c:pt>
                <c:pt idx="400">
                  <c:v>45127</c:v>
                </c:pt>
                <c:pt idx="401">
                  <c:v>45128</c:v>
                </c:pt>
                <c:pt idx="402">
                  <c:v>45131</c:v>
                </c:pt>
                <c:pt idx="403">
                  <c:v>45132</c:v>
                </c:pt>
                <c:pt idx="404">
                  <c:v>45133</c:v>
                </c:pt>
                <c:pt idx="405">
                  <c:v>45134</c:v>
                </c:pt>
                <c:pt idx="406">
                  <c:v>45135</c:v>
                </c:pt>
                <c:pt idx="407">
                  <c:v>45138</c:v>
                </c:pt>
                <c:pt idx="408">
                  <c:v>45139</c:v>
                </c:pt>
                <c:pt idx="409">
                  <c:v>45140</c:v>
                </c:pt>
                <c:pt idx="410">
                  <c:v>45141</c:v>
                </c:pt>
                <c:pt idx="411">
                  <c:v>45142</c:v>
                </c:pt>
                <c:pt idx="412">
                  <c:v>45145</c:v>
                </c:pt>
                <c:pt idx="413">
                  <c:v>45146</c:v>
                </c:pt>
                <c:pt idx="414">
                  <c:v>45147</c:v>
                </c:pt>
                <c:pt idx="415">
                  <c:v>45148</c:v>
                </c:pt>
                <c:pt idx="416">
                  <c:v>45149</c:v>
                </c:pt>
                <c:pt idx="417">
                  <c:v>45152</c:v>
                </c:pt>
                <c:pt idx="418">
                  <c:v>45153</c:v>
                </c:pt>
                <c:pt idx="419">
                  <c:v>45154</c:v>
                </c:pt>
                <c:pt idx="420">
                  <c:v>45155</c:v>
                </c:pt>
                <c:pt idx="421">
                  <c:v>45156</c:v>
                </c:pt>
                <c:pt idx="422">
                  <c:v>45159</c:v>
                </c:pt>
                <c:pt idx="423">
                  <c:v>45160</c:v>
                </c:pt>
                <c:pt idx="424">
                  <c:v>45161</c:v>
                </c:pt>
                <c:pt idx="425">
                  <c:v>45162</c:v>
                </c:pt>
                <c:pt idx="426">
                  <c:v>45163</c:v>
                </c:pt>
                <c:pt idx="427">
                  <c:v>45166</c:v>
                </c:pt>
                <c:pt idx="428">
                  <c:v>45167</c:v>
                </c:pt>
                <c:pt idx="429">
                  <c:v>45168</c:v>
                </c:pt>
                <c:pt idx="430">
                  <c:v>45169</c:v>
                </c:pt>
                <c:pt idx="431">
                  <c:v>45170</c:v>
                </c:pt>
                <c:pt idx="432">
                  <c:v>45173</c:v>
                </c:pt>
                <c:pt idx="433">
                  <c:v>45174</c:v>
                </c:pt>
                <c:pt idx="434">
                  <c:v>45175</c:v>
                </c:pt>
                <c:pt idx="435">
                  <c:v>45176</c:v>
                </c:pt>
                <c:pt idx="436">
                  <c:v>45177</c:v>
                </c:pt>
                <c:pt idx="437">
                  <c:v>45180</c:v>
                </c:pt>
                <c:pt idx="438">
                  <c:v>45181</c:v>
                </c:pt>
                <c:pt idx="439">
                  <c:v>45182</c:v>
                </c:pt>
                <c:pt idx="440">
                  <c:v>45183</c:v>
                </c:pt>
                <c:pt idx="441">
                  <c:v>45184</c:v>
                </c:pt>
                <c:pt idx="442">
                  <c:v>45187</c:v>
                </c:pt>
                <c:pt idx="443">
                  <c:v>45188</c:v>
                </c:pt>
                <c:pt idx="444">
                  <c:v>45189</c:v>
                </c:pt>
                <c:pt idx="445">
                  <c:v>45190</c:v>
                </c:pt>
                <c:pt idx="446">
                  <c:v>45191</c:v>
                </c:pt>
                <c:pt idx="447">
                  <c:v>45194</c:v>
                </c:pt>
                <c:pt idx="448">
                  <c:v>45195</c:v>
                </c:pt>
                <c:pt idx="449">
                  <c:v>45196</c:v>
                </c:pt>
                <c:pt idx="450">
                  <c:v>45197</c:v>
                </c:pt>
                <c:pt idx="451">
                  <c:v>45198</c:v>
                </c:pt>
                <c:pt idx="452">
                  <c:v>45201</c:v>
                </c:pt>
                <c:pt idx="453">
                  <c:v>45202</c:v>
                </c:pt>
                <c:pt idx="454">
                  <c:v>45203</c:v>
                </c:pt>
                <c:pt idx="455">
                  <c:v>45204</c:v>
                </c:pt>
                <c:pt idx="456">
                  <c:v>45205</c:v>
                </c:pt>
                <c:pt idx="457">
                  <c:v>45208</c:v>
                </c:pt>
                <c:pt idx="458">
                  <c:v>45209</c:v>
                </c:pt>
                <c:pt idx="459">
                  <c:v>45210</c:v>
                </c:pt>
                <c:pt idx="460">
                  <c:v>45211</c:v>
                </c:pt>
                <c:pt idx="461">
                  <c:v>45212</c:v>
                </c:pt>
                <c:pt idx="462">
                  <c:v>45215</c:v>
                </c:pt>
                <c:pt idx="463">
                  <c:v>45216</c:v>
                </c:pt>
                <c:pt idx="464">
                  <c:v>45217</c:v>
                </c:pt>
                <c:pt idx="465">
                  <c:v>45218</c:v>
                </c:pt>
                <c:pt idx="466">
                  <c:v>45219</c:v>
                </c:pt>
                <c:pt idx="467">
                  <c:v>45222</c:v>
                </c:pt>
                <c:pt idx="468">
                  <c:v>45223</c:v>
                </c:pt>
                <c:pt idx="469">
                  <c:v>45224</c:v>
                </c:pt>
                <c:pt idx="470">
                  <c:v>45225</c:v>
                </c:pt>
                <c:pt idx="471">
                  <c:v>45226</c:v>
                </c:pt>
                <c:pt idx="472">
                  <c:v>45229</c:v>
                </c:pt>
                <c:pt idx="473">
                  <c:v>45230</c:v>
                </c:pt>
                <c:pt idx="474">
                  <c:v>45231</c:v>
                </c:pt>
                <c:pt idx="475">
                  <c:v>45232</c:v>
                </c:pt>
                <c:pt idx="476">
                  <c:v>45233</c:v>
                </c:pt>
                <c:pt idx="477">
                  <c:v>45236</c:v>
                </c:pt>
                <c:pt idx="478">
                  <c:v>45237</c:v>
                </c:pt>
                <c:pt idx="479">
                  <c:v>45238</c:v>
                </c:pt>
                <c:pt idx="480">
                  <c:v>45239</c:v>
                </c:pt>
                <c:pt idx="481">
                  <c:v>45240</c:v>
                </c:pt>
                <c:pt idx="482">
                  <c:v>45243</c:v>
                </c:pt>
                <c:pt idx="483">
                  <c:v>45244</c:v>
                </c:pt>
                <c:pt idx="484">
                  <c:v>45245</c:v>
                </c:pt>
                <c:pt idx="485">
                  <c:v>45246</c:v>
                </c:pt>
                <c:pt idx="486">
                  <c:v>45247</c:v>
                </c:pt>
                <c:pt idx="487">
                  <c:v>45250</c:v>
                </c:pt>
                <c:pt idx="488">
                  <c:v>45251</c:v>
                </c:pt>
                <c:pt idx="489">
                  <c:v>45252</c:v>
                </c:pt>
                <c:pt idx="490">
                  <c:v>45253</c:v>
                </c:pt>
                <c:pt idx="491">
                  <c:v>45254</c:v>
                </c:pt>
                <c:pt idx="492">
                  <c:v>45257</c:v>
                </c:pt>
                <c:pt idx="493">
                  <c:v>45258</c:v>
                </c:pt>
                <c:pt idx="494">
                  <c:v>45259</c:v>
                </c:pt>
                <c:pt idx="495">
                  <c:v>45260</c:v>
                </c:pt>
                <c:pt idx="496">
                  <c:v>45261</c:v>
                </c:pt>
                <c:pt idx="497">
                  <c:v>45264</c:v>
                </c:pt>
                <c:pt idx="498">
                  <c:v>45265</c:v>
                </c:pt>
                <c:pt idx="499">
                  <c:v>45266</c:v>
                </c:pt>
                <c:pt idx="500">
                  <c:v>45267</c:v>
                </c:pt>
                <c:pt idx="501">
                  <c:v>45268</c:v>
                </c:pt>
                <c:pt idx="502">
                  <c:v>45271</c:v>
                </c:pt>
                <c:pt idx="503">
                  <c:v>45272</c:v>
                </c:pt>
                <c:pt idx="504">
                  <c:v>45273</c:v>
                </c:pt>
                <c:pt idx="505">
                  <c:v>45274</c:v>
                </c:pt>
                <c:pt idx="506">
                  <c:v>45275</c:v>
                </c:pt>
                <c:pt idx="507">
                  <c:v>45278</c:v>
                </c:pt>
                <c:pt idx="508">
                  <c:v>45279</c:v>
                </c:pt>
                <c:pt idx="509">
                  <c:v>45280</c:v>
                </c:pt>
                <c:pt idx="510">
                  <c:v>45281</c:v>
                </c:pt>
                <c:pt idx="511">
                  <c:v>45282</c:v>
                </c:pt>
                <c:pt idx="512">
                  <c:v>45286</c:v>
                </c:pt>
                <c:pt idx="513">
                  <c:v>45287</c:v>
                </c:pt>
                <c:pt idx="514">
                  <c:v>45288</c:v>
                </c:pt>
                <c:pt idx="515">
                  <c:v>45289</c:v>
                </c:pt>
                <c:pt idx="516">
                  <c:v>45293</c:v>
                </c:pt>
                <c:pt idx="517">
                  <c:v>45294</c:v>
                </c:pt>
                <c:pt idx="518">
                  <c:v>45295</c:v>
                </c:pt>
                <c:pt idx="519">
                  <c:v>45296</c:v>
                </c:pt>
                <c:pt idx="520">
                  <c:v>45299</c:v>
                </c:pt>
                <c:pt idx="521">
                  <c:v>45300</c:v>
                </c:pt>
                <c:pt idx="522">
                  <c:v>45301</c:v>
                </c:pt>
                <c:pt idx="523">
                  <c:v>45302</c:v>
                </c:pt>
                <c:pt idx="524">
                  <c:v>45303</c:v>
                </c:pt>
                <c:pt idx="525">
                  <c:v>45306</c:v>
                </c:pt>
                <c:pt idx="526">
                  <c:v>45307</c:v>
                </c:pt>
                <c:pt idx="527">
                  <c:v>45308</c:v>
                </c:pt>
                <c:pt idx="528">
                  <c:v>45309</c:v>
                </c:pt>
                <c:pt idx="529">
                  <c:v>45310</c:v>
                </c:pt>
                <c:pt idx="530">
                  <c:v>45313</c:v>
                </c:pt>
                <c:pt idx="531">
                  <c:v>45314</c:v>
                </c:pt>
                <c:pt idx="532">
                  <c:v>45315</c:v>
                </c:pt>
                <c:pt idx="533">
                  <c:v>45316</c:v>
                </c:pt>
                <c:pt idx="534">
                  <c:v>45317</c:v>
                </c:pt>
                <c:pt idx="535">
                  <c:v>45320</c:v>
                </c:pt>
                <c:pt idx="536">
                  <c:v>45321</c:v>
                </c:pt>
                <c:pt idx="537">
                  <c:v>45322</c:v>
                </c:pt>
                <c:pt idx="538">
                  <c:v>45323</c:v>
                </c:pt>
                <c:pt idx="539">
                  <c:v>45324</c:v>
                </c:pt>
                <c:pt idx="540">
                  <c:v>45327</c:v>
                </c:pt>
                <c:pt idx="541">
                  <c:v>45328</c:v>
                </c:pt>
                <c:pt idx="542">
                  <c:v>45329</c:v>
                </c:pt>
                <c:pt idx="543">
                  <c:v>45330</c:v>
                </c:pt>
                <c:pt idx="544">
                  <c:v>45331</c:v>
                </c:pt>
                <c:pt idx="545">
                  <c:v>45334</c:v>
                </c:pt>
                <c:pt idx="546">
                  <c:v>45335</c:v>
                </c:pt>
                <c:pt idx="547">
                  <c:v>45336</c:v>
                </c:pt>
                <c:pt idx="548">
                  <c:v>45337</c:v>
                </c:pt>
                <c:pt idx="549">
                  <c:v>45338</c:v>
                </c:pt>
                <c:pt idx="550">
                  <c:v>45341</c:v>
                </c:pt>
                <c:pt idx="551">
                  <c:v>45342</c:v>
                </c:pt>
                <c:pt idx="552">
                  <c:v>45343</c:v>
                </c:pt>
                <c:pt idx="553">
                  <c:v>45344</c:v>
                </c:pt>
                <c:pt idx="554">
                  <c:v>45345</c:v>
                </c:pt>
                <c:pt idx="555">
                  <c:v>45348</c:v>
                </c:pt>
                <c:pt idx="556">
                  <c:v>45349</c:v>
                </c:pt>
                <c:pt idx="557">
                  <c:v>45350</c:v>
                </c:pt>
                <c:pt idx="558">
                  <c:v>45351</c:v>
                </c:pt>
                <c:pt idx="559">
                  <c:v>45352</c:v>
                </c:pt>
                <c:pt idx="560">
                  <c:v>45355</c:v>
                </c:pt>
                <c:pt idx="561">
                  <c:v>45356</c:v>
                </c:pt>
                <c:pt idx="562">
                  <c:v>45357</c:v>
                </c:pt>
                <c:pt idx="563">
                  <c:v>45358</c:v>
                </c:pt>
                <c:pt idx="564">
                  <c:v>45359</c:v>
                </c:pt>
                <c:pt idx="565">
                  <c:v>45362</c:v>
                </c:pt>
                <c:pt idx="566">
                  <c:v>45363</c:v>
                </c:pt>
                <c:pt idx="567">
                  <c:v>45364</c:v>
                </c:pt>
                <c:pt idx="568">
                  <c:v>45365</c:v>
                </c:pt>
                <c:pt idx="569">
                  <c:v>45366</c:v>
                </c:pt>
                <c:pt idx="570">
                  <c:v>45369</c:v>
                </c:pt>
                <c:pt idx="571">
                  <c:v>45370</c:v>
                </c:pt>
                <c:pt idx="572">
                  <c:v>45371</c:v>
                </c:pt>
                <c:pt idx="573">
                  <c:v>45372</c:v>
                </c:pt>
                <c:pt idx="574">
                  <c:v>45373</c:v>
                </c:pt>
                <c:pt idx="575">
                  <c:v>45376</c:v>
                </c:pt>
                <c:pt idx="576">
                  <c:v>45377</c:v>
                </c:pt>
                <c:pt idx="577">
                  <c:v>45378</c:v>
                </c:pt>
                <c:pt idx="578">
                  <c:v>45379</c:v>
                </c:pt>
                <c:pt idx="579">
                  <c:v>45383</c:v>
                </c:pt>
                <c:pt idx="580">
                  <c:v>45384</c:v>
                </c:pt>
                <c:pt idx="581">
                  <c:v>45385</c:v>
                </c:pt>
                <c:pt idx="582">
                  <c:v>45386</c:v>
                </c:pt>
                <c:pt idx="583">
                  <c:v>45387</c:v>
                </c:pt>
                <c:pt idx="584">
                  <c:v>45390</c:v>
                </c:pt>
                <c:pt idx="585">
                  <c:v>45391</c:v>
                </c:pt>
                <c:pt idx="586">
                  <c:v>45392</c:v>
                </c:pt>
                <c:pt idx="587">
                  <c:v>45393</c:v>
                </c:pt>
                <c:pt idx="588">
                  <c:v>45394</c:v>
                </c:pt>
                <c:pt idx="589">
                  <c:v>45397</c:v>
                </c:pt>
                <c:pt idx="590">
                  <c:v>45398</c:v>
                </c:pt>
                <c:pt idx="591">
                  <c:v>45399</c:v>
                </c:pt>
                <c:pt idx="592">
                  <c:v>45400</c:v>
                </c:pt>
                <c:pt idx="593">
                  <c:v>45401</c:v>
                </c:pt>
                <c:pt idx="594">
                  <c:v>45404</c:v>
                </c:pt>
                <c:pt idx="595">
                  <c:v>45405</c:v>
                </c:pt>
                <c:pt idx="596">
                  <c:v>45406</c:v>
                </c:pt>
                <c:pt idx="597">
                  <c:v>45407</c:v>
                </c:pt>
                <c:pt idx="598">
                  <c:v>45408</c:v>
                </c:pt>
                <c:pt idx="599">
                  <c:v>45411</c:v>
                </c:pt>
                <c:pt idx="600">
                  <c:v>45412</c:v>
                </c:pt>
                <c:pt idx="601">
                  <c:v>45413</c:v>
                </c:pt>
                <c:pt idx="602">
                  <c:v>45414</c:v>
                </c:pt>
                <c:pt idx="603">
                  <c:v>45415</c:v>
                </c:pt>
                <c:pt idx="604">
                  <c:v>45418</c:v>
                </c:pt>
                <c:pt idx="605">
                  <c:v>45419</c:v>
                </c:pt>
                <c:pt idx="606">
                  <c:v>45420</c:v>
                </c:pt>
                <c:pt idx="607">
                  <c:v>45421</c:v>
                </c:pt>
                <c:pt idx="608">
                  <c:v>45422</c:v>
                </c:pt>
                <c:pt idx="609">
                  <c:v>45425</c:v>
                </c:pt>
                <c:pt idx="610">
                  <c:v>45426</c:v>
                </c:pt>
                <c:pt idx="611">
                  <c:v>45427</c:v>
                </c:pt>
                <c:pt idx="612">
                  <c:v>45428</c:v>
                </c:pt>
                <c:pt idx="613">
                  <c:v>45429</c:v>
                </c:pt>
                <c:pt idx="614">
                  <c:v>45432</c:v>
                </c:pt>
                <c:pt idx="615">
                  <c:v>45433</c:v>
                </c:pt>
                <c:pt idx="616">
                  <c:v>45434</c:v>
                </c:pt>
                <c:pt idx="617">
                  <c:v>45435</c:v>
                </c:pt>
                <c:pt idx="618">
                  <c:v>45436</c:v>
                </c:pt>
                <c:pt idx="619">
                  <c:v>45439</c:v>
                </c:pt>
                <c:pt idx="620">
                  <c:v>45440</c:v>
                </c:pt>
                <c:pt idx="621">
                  <c:v>45441</c:v>
                </c:pt>
                <c:pt idx="622">
                  <c:v>45442</c:v>
                </c:pt>
                <c:pt idx="623">
                  <c:v>45443</c:v>
                </c:pt>
                <c:pt idx="624">
                  <c:v>45446</c:v>
                </c:pt>
                <c:pt idx="625">
                  <c:v>45447</c:v>
                </c:pt>
                <c:pt idx="626">
                  <c:v>45448</c:v>
                </c:pt>
                <c:pt idx="627">
                  <c:v>45449</c:v>
                </c:pt>
                <c:pt idx="628">
                  <c:v>45450</c:v>
                </c:pt>
                <c:pt idx="629">
                  <c:v>45453</c:v>
                </c:pt>
                <c:pt idx="630">
                  <c:v>45454</c:v>
                </c:pt>
                <c:pt idx="631">
                  <c:v>45455</c:v>
                </c:pt>
                <c:pt idx="632">
                  <c:v>45456</c:v>
                </c:pt>
                <c:pt idx="633">
                  <c:v>45457</c:v>
                </c:pt>
                <c:pt idx="634">
                  <c:v>45460</c:v>
                </c:pt>
                <c:pt idx="635">
                  <c:v>45461</c:v>
                </c:pt>
                <c:pt idx="636">
                  <c:v>45462</c:v>
                </c:pt>
                <c:pt idx="637">
                  <c:v>45463</c:v>
                </c:pt>
                <c:pt idx="638">
                  <c:v>45464</c:v>
                </c:pt>
                <c:pt idx="639">
                  <c:v>45467</c:v>
                </c:pt>
                <c:pt idx="640">
                  <c:v>45468</c:v>
                </c:pt>
                <c:pt idx="641">
                  <c:v>45469</c:v>
                </c:pt>
                <c:pt idx="642">
                  <c:v>45470</c:v>
                </c:pt>
                <c:pt idx="643">
                  <c:v>45471</c:v>
                </c:pt>
                <c:pt idx="644">
                  <c:v>45474</c:v>
                </c:pt>
                <c:pt idx="645">
                  <c:v>45475</c:v>
                </c:pt>
                <c:pt idx="646">
                  <c:v>45476</c:v>
                </c:pt>
                <c:pt idx="647">
                  <c:v>45477</c:v>
                </c:pt>
                <c:pt idx="648">
                  <c:v>45478</c:v>
                </c:pt>
                <c:pt idx="649">
                  <c:v>45481</c:v>
                </c:pt>
                <c:pt idx="650">
                  <c:v>45482</c:v>
                </c:pt>
                <c:pt idx="651">
                  <c:v>45483</c:v>
                </c:pt>
                <c:pt idx="652">
                  <c:v>45484</c:v>
                </c:pt>
                <c:pt idx="653">
                  <c:v>45485</c:v>
                </c:pt>
                <c:pt idx="654">
                  <c:v>45488</c:v>
                </c:pt>
                <c:pt idx="655">
                  <c:v>45489</c:v>
                </c:pt>
                <c:pt idx="656">
                  <c:v>45490</c:v>
                </c:pt>
                <c:pt idx="657">
                  <c:v>45491</c:v>
                </c:pt>
                <c:pt idx="658">
                  <c:v>45492</c:v>
                </c:pt>
                <c:pt idx="659">
                  <c:v>45495</c:v>
                </c:pt>
                <c:pt idx="660">
                  <c:v>45496</c:v>
                </c:pt>
                <c:pt idx="661">
                  <c:v>45497</c:v>
                </c:pt>
                <c:pt idx="662">
                  <c:v>45498</c:v>
                </c:pt>
                <c:pt idx="663">
                  <c:v>45499</c:v>
                </c:pt>
                <c:pt idx="664">
                  <c:v>45502</c:v>
                </c:pt>
                <c:pt idx="665">
                  <c:v>45503</c:v>
                </c:pt>
                <c:pt idx="666">
                  <c:v>45504</c:v>
                </c:pt>
                <c:pt idx="667">
                  <c:v>45505</c:v>
                </c:pt>
                <c:pt idx="668">
                  <c:v>45506</c:v>
                </c:pt>
                <c:pt idx="669">
                  <c:v>45509</c:v>
                </c:pt>
                <c:pt idx="670">
                  <c:v>45510</c:v>
                </c:pt>
                <c:pt idx="671">
                  <c:v>45511</c:v>
                </c:pt>
                <c:pt idx="672">
                  <c:v>45512</c:v>
                </c:pt>
                <c:pt idx="673">
                  <c:v>45513</c:v>
                </c:pt>
                <c:pt idx="674">
                  <c:v>45516</c:v>
                </c:pt>
                <c:pt idx="675">
                  <c:v>45517</c:v>
                </c:pt>
                <c:pt idx="676">
                  <c:v>45518</c:v>
                </c:pt>
                <c:pt idx="677">
                  <c:v>45519</c:v>
                </c:pt>
                <c:pt idx="678">
                  <c:v>45520</c:v>
                </c:pt>
                <c:pt idx="679">
                  <c:v>45523</c:v>
                </c:pt>
                <c:pt idx="680">
                  <c:v>45524</c:v>
                </c:pt>
                <c:pt idx="681">
                  <c:v>45525</c:v>
                </c:pt>
                <c:pt idx="682">
                  <c:v>45526</c:v>
                </c:pt>
                <c:pt idx="683">
                  <c:v>45527</c:v>
                </c:pt>
                <c:pt idx="684">
                  <c:v>45530</c:v>
                </c:pt>
                <c:pt idx="685">
                  <c:v>45531</c:v>
                </c:pt>
                <c:pt idx="686">
                  <c:v>45532</c:v>
                </c:pt>
                <c:pt idx="687">
                  <c:v>45533</c:v>
                </c:pt>
                <c:pt idx="688">
                  <c:v>45534</c:v>
                </c:pt>
                <c:pt idx="689">
                  <c:v>45537</c:v>
                </c:pt>
                <c:pt idx="690">
                  <c:v>45538</c:v>
                </c:pt>
                <c:pt idx="691">
                  <c:v>45539</c:v>
                </c:pt>
                <c:pt idx="692">
                  <c:v>45540</c:v>
                </c:pt>
                <c:pt idx="693">
                  <c:v>45541</c:v>
                </c:pt>
                <c:pt idx="694">
                  <c:v>45544</c:v>
                </c:pt>
                <c:pt idx="695">
                  <c:v>45545</c:v>
                </c:pt>
                <c:pt idx="696">
                  <c:v>45546</c:v>
                </c:pt>
                <c:pt idx="697">
                  <c:v>45547</c:v>
                </c:pt>
                <c:pt idx="698">
                  <c:v>45548</c:v>
                </c:pt>
                <c:pt idx="699">
                  <c:v>45551</c:v>
                </c:pt>
                <c:pt idx="700">
                  <c:v>45552</c:v>
                </c:pt>
                <c:pt idx="701">
                  <c:v>45553</c:v>
                </c:pt>
                <c:pt idx="702">
                  <c:v>45554</c:v>
                </c:pt>
                <c:pt idx="703">
                  <c:v>45555</c:v>
                </c:pt>
                <c:pt idx="704">
                  <c:v>45558</c:v>
                </c:pt>
                <c:pt idx="705">
                  <c:v>45559</c:v>
                </c:pt>
                <c:pt idx="706">
                  <c:v>45560</c:v>
                </c:pt>
                <c:pt idx="707">
                  <c:v>45561</c:v>
                </c:pt>
                <c:pt idx="708">
                  <c:v>45562</c:v>
                </c:pt>
                <c:pt idx="709">
                  <c:v>45565</c:v>
                </c:pt>
                <c:pt idx="710">
                  <c:v>45566</c:v>
                </c:pt>
                <c:pt idx="711">
                  <c:v>45567</c:v>
                </c:pt>
                <c:pt idx="712">
                  <c:v>45568</c:v>
                </c:pt>
                <c:pt idx="713">
                  <c:v>45569</c:v>
                </c:pt>
                <c:pt idx="714">
                  <c:v>45572</c:v>
                </c:pt>
                <c:pt idx="715">
                  <c:v>45573</c:v>
                </c:pt>
                <c:pt idx="716">
                  <c:v>45574</c:v>
                </c:pt>
                <c:pt idx="717">
                  <c:v>45575</c:v>
                </c:pt>
                <c:pt idx="718">
                  <c:v>45576</c:v>
                </c:pt>
                <c:pt idx="719">
                  <c:v>45579</c:v>
                </c:pt>
                <c:pt idx="720">
                  <c:v>45580</c:v>
                </c:pt>
                <c:pt idx="721">
                  <c:v>45581</c:v>
                </c:pt>
                <c:pt idx="722">
                  <c:v>45582</c:v>
                </c:pt>
                <c:pt idx="723">
                  <c:v>45583</c:v>
                </c:pt>
                <c:pt idx="724">
                  <c:v>45586</c:v>
                </c:pt>
                <c:pt idx="725">
                  <c:v>45587</c:v>
                </c:pt>
                <c:pt idx="726">
                  <c:v>45588</c:v>
                </c:pt>
                <c:pt idx="727">
                  <c:v>45589</c:v>
                </c:pt>
                <c:pt idx="728">
                  <c:v>45590</c:v>
                </c:pt>
                <c:pt idx="729">
                  <c:v>45593</c:v>
                </c:pt>
                <c:pt idx="730">
                  <c:v>45594</c:v>
                </c:pt>
                <c:pt idx="731">
                  <c:v>45595</c:v>
                </c:pt>
                <c:pt idx="732">
                  <c:v>45596</c:v>
                </c:pt>
                <c:pt idx="733">
                  <c:v>45597</c:v>
                </c:pt>
                <c:pt idx="734">
                  <c:v>45600</c:v>
                </c:pt>
                <c:pt idx="735">
                  <c:v>45601</c:v>
                </c:pt>
                <c:pt idx="736">
                  <c:v>45602</c:v>
                </c:pt>
                <c:pt idx="737">
                  <c:v>45603</c:v>
                </c:pt>
                <c:pt idx="738">
                  <c:v>45604</c:v>
                </c:pt>
                <c:pt idx="739">
                  <c:v>45607</c:v>
                </c:pt>
                <c:pt idx="740">
                  <c:v>45608</c:v>
                </c:pt>
                <c:pt idx="741">
                  <c:v>45609</c:v>
                </c:pt>
                <c:pt idx="742">
                  <c:v>45610</c:v>
                </c:pt>
                <c:pt idx="743">
                  <c:v>45611</c:v>
                </c:pt>
                <c:pt idx="744">
                  <c:v>45614</c:v>
                </c:pt>
                <c:pt idx="745">
                  <c:v>45615</c:v>
                </c:pt>
                <c:pt idx="746">
                  <c:v>45616</c:v>
                </c:pt>
                <c:pt idx="747">
                  <c:v>45617</c:v>
                </c:pt>
                <c:pt idx="748">
                  <c:v>45618</c:v>
                </c:pt>
                <c:pt idx="749">
                  <c:v>45621</c:v>
                </c:pt>
                <c:pt idx="750">
                  <c:v>45622</c:v>
                </c:pt>
                <c:pt idx="751">
                  <c:v>45623</c:v>
                </c:pt>
                <c:pt idx="752">
                  <c:v>45624</c:v>
                </c:pt>
                <c:pt idx="753">
                  <c:v>45625</c:v>
                </c:pt>
                <c:pt idx="754">
                  <c:v>45628</c:v>
                </c:pt>
                <c:pt idx="755">
                  <c:v>45629</c:v>
                </c:pt>
                <c:pt idx="756">
                  <c:v>45630</c:v>
                </c:pt>
                <c:pt idx="757">
                  <c:v>45631</c:v>
                </c:pt>
                <c:pt idx="758">
                  <c:v>45632</c:v>
                </c:pt>
                <c:pt idx="759">
                  <c:v>45635</c:v>
                </c:pt>
                <c:pt idx="760">
                  <c:v>45636</c:v>
                </c:pt>
                <c:pt idx="761">
                  <c:v>45637</c:v>
                </c:pt>
                <c:pt idx="762">
                  <c:v>45638</c:v>
                </c:pt>
                <c:pt idx="763">
                  <c:v>45639</c:v>
                </c:pt>
                <c:pt idx="764">
                  <c:v>45642</c:v>
                </c:pt>
                <c:pt idx="765">
                  <c:v>45643</c:v>
                </c:pt>
                <c:pt idx="766">
                  <c:v>45644</c:v>
                </c:pt>
                <c:pt idx="767">
                  <c:v>45645</c:v>
                </c:pt>
                <c:pt idx="768">
                  <c:v>45646</c:v>
                </c:pt>
                <c:pt idx="769">
                  <c:v>45649</c:v>
                </c:pt>
                <c:pt idx="770">
                  <c:v>45650</c:v>
                </c:pt>
                <c:pt idx="771">
                  <c:v>45652</c:v>
                </c:pt>
                <c:pt idx="772">
                  <c:v>45653</c:v>
                </c:pt>
                <c:pt idx="773">
                  <c:v>45656</c:v>
                </c:pt>
                <c:pt idx="774">
                  <c:v>45657</c:v>
                </c:pt>
                <c:pt idx="775">
                  <c:v>45659</c:v>
                </c:pt>
                <c:pt idx="776">
                  <c:v>45660</c:v>
                </c:pt>
                <c:pt idx="777">
                  <c:v>45663</c:v>
                </c:pt>
                <c:pt idx="778">
                  <c:v>45664</c:v>
                </c:pt>
                <c:pt idx="779">
                  <c:v>45665</c:v>
                </c:pt>
                <c:pt idx="780">
                  <c:v>45666</c:v>
                </c:pt>
                <c:pt idx="781">
                  <c:v>45667</c:v>
                </c:pt>
                <c:pt idx="782">
                  <c:v>45670</c:v>
                </c:pt>
                <c:pt idx="783">
                  <c:v>45671</c:v>
                </c:pt>
                <c:pt idx="784">
                  <c:v>45672</c:v>
                </c:pt>
                <c:pt idx="785">
                  <c:v>45673</c:v>
                </c:pt>
                <c:pt idx="786">
                  <c:v>45674</c:v>
                </c:pt>
                <c:pt idx="787">
                  <c:v>45677</c:v>
                </c:pt>
                <c:pt idx="788">
                  <c:v>45678</c:v>
                </c:pt>
                <c:pt idx="789">
                  <c:v>45679</c:v>
                </c:pt>
                <c:pt idx="790">
                  <c:v>45680</c:v>
                </c:pt>
                <c:pt idx="791">
                  <c:v>45681</c:v>
                </c:pt>
                <c:pt idx="792">
                  <c:v>45684</c:v>
                </c:pt>
                <c:pt idx="793">
                  <c:v>45685</c:v>
                </c:pt>
                <c:pt idx="794">
                  <c:v>45686</c:v>
                </c:pt>
                <c:pt idx="795">
                  <c:v>45687</c:v>
                </c:pt>
                <c:pt idx="796">
                  <c:v>45688</c:v>
                </c:pt>
                <c:pt idx="797">
                  <c:v>45691</c:v>
                </c:pt>
                <c:pt idx="798">
                  <c:v>45692</c:v>
                </c:pt>
                <c:pt idx="799">
                  <c:v>45693</c:v>
                </c:pt>
                <c:pt idx="800">
                  <c:v>45694</c:v>
                </c:pt>
                <c:pt idx="801">
                  <c:v>45695</c:v>
                </c:pt>
                <c:pt idx="802">
                  <c:v>45698</c:v>
                </c:pt>
                <c:pt idx="803">
                  <c:v>45699</c:v>
                </c:pt>
                <c:pt idx="804">
                  <c:v>45700</c:v>
                </c:pt>
                <c:pt idx="805">
                  <c:v>45701</c:v>
                </c:pt>
                <c:pt idx="806">
                  <c:v>45702</c:v>
                </c:pt>
                <c:pt idx="807">
                  <c:v>45705</c:v>
                </c:pt>
                <c:pt idx="808">
                  <c:v>45706</c:v>
                </c:pt>
                <c:pt idx="809">
                  <c:v>45707</c:v>
                </c:pt>
                <c:pt idx="810">
                  <c:v>45708</c:v>
                </c:pt>
                <c:pt idx="811">
                  <c:v>45709</c:v>
                </c:pt>
                <c:pt idx="812">
                  <c:v>45712</c:v>
                </c:pt>
                <c:pt idx="813">
                  <c:v>45713</c:v>
                </c:pt>
                <c:pt idx="814">
                  <c:v>45714</c:v>
                </c:pt>
                <c:pt idx="815">
                  <c:v>45715</c:v>
                </c:pt>
                <c:pt idx="816">
                  <c:v>45716</c:v>
                </c:pt>
                <c:pt idx="817">
                  <c:v>45719</c:v>
                </c:pt>
                <c:pt idx="818">
                  <c:v>45720</c:v>
                </c:pt>
                <c:pt idx="819">
                  <c:v>45721</c:v>
                </c:pt>
                <c:pt idx="820">
                  <c:v>45722</c:v>
                </c:pt>
                <c:pt idx="821">
                  <c:v>45723</c:v>
                </c:pt>
                <c:pt idx="822">
                  <c:v>45726</c:v>
                </c:pt>
                <c:pt idx="823">
                  <c:v>45727</c:v>
                </c:pt>
                <c:pt idx="824">
                  <c:v>45728</c:v>
                </c:pt>
                <c:pt idx="825">
                  <c:v>45729</c:v>
                </c:pt>
                <c:pt idx="826">
                  <c:v>45730</c:v>
                </c:pt>
                <c:pt idx="827">
                  <c:v>45733</c:v>
                </c:pt>
                <c:pt idx="828">
                  <c:v>45734</c:v>
                </c:pt>
                <c:pt idx="829">
                  <c:v>45735</c:v>
                </c:pt>
                <c:pt idx="830">
                  <c:v>45736</c:v>
                </c:pt>
                <c:pt idx="831">
                  <c:v>45737</c:v>
                </c:pt>
                <c:pt idx="832">
                  <c:v>45740</c:v>
                </c:pt>
                <c:pt idx="833">
                  <c:v>45741</c:v>
                </c:pt>
                <c:pt idx="834">
                  <c:v>45742</c:v>
                </c:pt>
                <c:pt idx="835">
                  <c:v>45743</c:v>
                </c:pt>
                <c:pt idx="836">
                  <c:v>45744</c:v>
                </c:pt>
                <c:pt idx="837">
                  <c:v>45747</c:v>
                </c:pt>
                <c:pt idx="838">
                  <c:v>45748</c:v>
                </c:pt>
                <c:pt idx="839">
                  <c:v>45749</c:v>
                </c:pt>
                <c:pt idx="840">
                  <c:v>45750</c:v>
                </c:pt>
                <c:pt idx="841">
                  <c:v>45751</c:v>
                </c:pt>
                <c:pt idx="842">
                  <c:v>45754</c:v>
                </c:pt>
                <c:pt idx="843">
                  <c:v>45755</c:v>
                </c:pt>
                <c:pt idx="844">
                  <c:v>45756</c:v>
                </c:pt>
                <c:pt idx="845">
                  <c:v>45757</c:v>
                </c:pt>
                <c:pt idx="846">
                  <c:v>45758</c:v>
                </c:pt>
                <c:pt idx="847">
                  <c:v>45761</c:v>
                </c:pt>
                <c:pt idx="848">
                  <c:v>45762</c:v>
                </c:pt>
                <c:pt idx="849">
                  <c:v>45763</c:v>
                </c:pt>
                <c:pt idx="850">
                  <c:v>45764</c:v>
                </c:pt>
                <c:pt idx="851">
                  <c:v>45768</c:v>
                </c:pt>
                <c:pt idx="852">
                  <c:v>45769</c:v>
                </c:pt>
                <c:pt idx="853">
                  <c:v>45770</c:v>
                </c:pt>
                <c:pt idx="854">
                  <c:v>45771</c:v>
                </c:pt>
                <c:pt idx="855">
                  <c:v>45772</c:v>
                </c:pt>
                <c:pt idx="856">
                  <c:v>45775</c:v>
                </c:pt>
                <c:pt idx="857">
                  <c:v>45776</c:v>
                </c:pt>
                <c:pt idx="858">
                  <c:v>45777</c:v>
                </c:pt>
                <c:pt idx="859">
                  <c:v>45778</c:v>
                </c:pt>
                <c:pt idx="860">
                  <c:v>45779</c:v>
                </c:pt>
                <c:pt idx="861">
                  <c:v>45782</c:v>
                </c:pt>
                <c:pt idx="862">
                  <c:v>45783</c:v>
                </c:pt>
                <c:pt idx="863">
                  <c:v>45784</c:v>
                </c:pt>
                <c:pt idx="864">
                  <c:v>45785</c:v>
                </c:pt>
                <c:pt idx="865">
                  <c:v>45786</c:v>
                </c:pt>
                <c:pt idx="866">
                  <c:v>45789</c:v>
                </c:pt>
                <c:pt idx="867">
                  <c:v>45790</c:v>
                </c:pt>
                <c:pt idx="868">
                  <c:v>45791</c:v>
                </c:pt>
                <c:pt idx="869">
                  <c:v>45792</c:v>
                </c:pt>
                <c:pt idx="870">
                  <c:v>45793</c:v>
                </c:pt>
                <c:pt idx="871">
                  <c:v>45796</c:v>
                </c:pt>
                <c:pt idx="872">
                  <c:v>45797</c:v>
                </c:pt>
                <c:pt idx="873">
                  <c:v>45798</c:v>
                </c:pt>
                <c:pt idx="874">
                  <c:v>45799</c:v>
                </c:pt>
                <c:pt idx="875">
                  <c:v>45800</c:v>
                </c:pt>
                <c:pt idx="876">
                  <c:v>45803</c:v>
                </c:pt>
                <c:pt idx="877">
                  <c:v>45804</c:v>
                </c:pt>
                <c:pt idx="878">
                  <c:v>45805</c:v>
                </c:pt>
                <c:pt idx="879">
                  <c:v>45806</c:v>
                </c:pt>
                <c:pt idx="880">
                  <c:v>45807</c:v>
                </c:pt>
                <c:pt idx="881">
                  <c:v>45810</c:v>
                </c:pt>
                <c:pt idx="882">
                  <c:v>45811</c:v>
                </c:pt>
                <c:pt idx="883">
                  <c:v>45812</c:v>
                </c:pt>
                <c:pt idx="884">
                  <c:v>45813</c:v>
                </c:pt>
                <c:pt idx="885">
                  <c:v>45814</c:v>
                </c:pt>
                <c:pt idx="886">
                  <c:v>45817</c:v>
                </c:pt>
                <c:pt idx="887">
                  <c:v>45818</c:v>
                </c:pt>
                <c:pt idx="888">
                  <c:v>45819</c:v>
                </c:pt>
                <c:pt idx="889">
                  <c:v>45820</c:v>
                </c:pt>
                <c:pt idx="890">
                  <c:v>45821</c:v>
                </c:pt>
                <c:pt idx="891">
                  <c:v>45824</c:v>
                </c:pt>
                <c:pt idx="892">
                  <c:v>45825</c:v>
                </c:pt>
                <c:pt idx="893">
                  <c:v>45826</c:v>
                </c:pt>
                <c:pt idx="894">
                  <c:v>45827</c:v>
                </c:pt>
                <c:pt idx="895">
                  <c:v>45828</c:v>
                </c:pt>
                <c:pt idx="896">
                  <c:v>45831</c:v>
                </c:pt>
                <c:pt idx="897">
                  <c:v>45832</c:v>
                </c:pt>
                <c:pt idx="898">
                  <c:v>45833</c:v>
                </c:pt>
                <c:pt idx="899">
                  <c:v>45834</c:v>
                </c:pt>
                <c:pt idx="900">
                  <c:v>45835</c:v>
                </c:pt>
                <c:pt idx="901">
                  <c:v>45838</c:v>
                </c:pt>
                <c:pt idx="902">
                  <c:v>45839</c:v>
                </c:pt>
                <c:pt idx="903">
                  <c:v>45840</c:v>
                </c:pt>
                <c:pt idx="904">
                  <c:v>45841</c:v>
                </c:pt>
                <c:pt idx="905">
                  <c:v>45842</c:v>
                </c:pt>
                <c:pt idx="906">
                  <c:v>45845</c:v>
                </c:pt>
                <c:pt idx="907">
                  <c:v>45846</c:v>
                </c:pt>
                <c:pt idx="908">
                  <c:v>45847</c:v>
                </c:pt>
                <c:pt idx="909">
                  <c:v>45848</c:v>
                </c:pt>
                <c:pt idx="910">
                  <c:v>45849</c:v>
                </c:pt>
                <c:pt idx="911">
                  <c:v>45852</c:v>
                </c:pt>
                <c:pt idx="912">
                  <c:v>45853</c:v>
                </c:pt>
                <c:pt idx="913">
                  <c:v>45854</c:v>
                </c:pt>
                <c:pt idx="914">
                  <c:v>45855</c:v>
                </c:pt>
                <c:pt idx="915">
                  <c:v>45856</c:v>
                </c:pt>
                <c:pt idx="916">
                  <c:v>45859</c:v>
                </c:pt>
                <c:pt idx="917">
                  <c:v>45860</c:v>
                </c:pt>
                <c:pt idx="918">
                  <c:v>45861</c:v>
                </c:pt>
                <c:pt idx="919">
                  <c:v>45862</c:v>
                </c:pt>
                <c:pt idx="920">
                  <c:v>45863</c:v>
                </c:pt>
                <c:pt idx="921">
                  <c:v>45866</c:v>
                </c:pt>
                <c:pt idx="922">
                  <c:v>45867</c:v>
                </c:pt>
                <c:pt idx="923">
                  <c:v>45868</c:v>
                </c:pt>
                <c:pt idx="924">
                  <c:v>45869</c:v>
                </c:pt>
                <c:pt idx="925">
                  <c:v>45870</c:v>
                </c:pt>
                <c:pt idx="926">
                  <c:v>45873</c:v>
                </c:pt>
                <c:pt idx="927">
                  <c:v>45874</c:v>
                </c:pt>
                <c:pt idx="928">
                  <c:v>45875</c:v>
                </c:pt>
                <c:pt idx="929">
                  <c:v>45876</c:v>
                </c:pt>
                <c:pt idx="930">
                  <c:v>45877</c:v>
                </c:pt>
                <c:pt idx="931">
                  <c:v>45880</c:v>
                </c:pt>
                <c:pt idx="932">
                  <c:v>45881</c:v>
                </c:pt>
                <c:pt idx="933">
                  <c:v>45882</c:v>
                </c:pt>
                <c:pt idx="934">
                  <c:v>45883</c:v>
                </c:pt>
                <c:pt idx="935">
                  <c:v>45884</c:v>
                </c:pt>
                <c:pt idx="936">
                  <c:v>45887</c:v>
                </c:pt>
                <c:pt idx="937">
                  <c:v>45888</c:v>
                </c:pt>
                <c:pt idx="938">
                  <c:v>45889</c:v>
                </c:pt>
                <c:pt idx="939">
                  <c:v>45890</c:v>
                </c:pt>
                <c:pt idx="940">
                  <c:v>45891</c:v>
                </c:pt>
                <c:pt idx="941">
                  <c:v>45894</c:v>
                </c:pt>
                <c:pt idx="942">
                  <c:v>45895</c:v>
                </c:pt>
                <c:pt idx="943">
                  <c:v>45896</c:v>
                </c:pt>
                <c:pt idx="944">
                  <c:v>45897</c:v>
                </c:pt>
                <c:pt idx="945">
                  <c:v>45898</c:v>
                </c:pt>
                <c:pt idx="946">
                  <c:v>45901</c:v>
                </c:pt>
                <c:pt idx="947">
                  <c:v>45902</c:v>
                </c:pt>
                <c:pt idx="948">
                  <c:v>45903</c:v>
                </c:pt>
                <c:pt idx="949">
                  <c:v>45904</c:v>
                </c:pt>
                <c:pt idx="950">
                  <c:v>45905</c:v>
                </c:pt>
                <c:pt idx="951">
                  <c:v>45908</c:v>
                </c:pt>
                <c:pt idx="952">
                  <c:v>45909</c:v>
                </c:pt>
                <c:pt idx="953">
                  <c:v>45910</c:v>
                </c:pt>
                <c:pt idx="954">
                  <c:v>45911</c:v>
                </c:pt>
                <c:pt idx="955">
                  <c:v>45912</c:v>
                </c:pt>
              </c:numCache>
            </c:numRef>
          </c:cat>
          <c:val>
            <c:numRef>
              <c:f>Sheet1!$B$2:$B$1223</c:f>
              <c:numCache>
                <c:formatCode>0.0</c:formatCode>
                <c:ptCount val="1222"/>
                <c:pt idx="0">
                  <c:v>100</c:v>
                </c:pt>
                <c:pt idx="1">
                  <c:v>99.629157712568713</c:v>
                </c:pt>
                <c:pt idx="2">
                  <c:v>99.406652340109943</c:v>
                </c:pt>
                <c:pt idx="3">
                  <c:v>99.712834946655789</c:v>
                </c:pt>
                <c:pt idx="4">
                  <c:v>100.18827377669591</c:v>
                </c:pt>
                <c:pt idx="5">
                  <c:v>100.15974744689349</c:v>
                </c:pt>
                <c:pt idx="6">
                  <c:v>100.72837228762148</c:v>
                </c:pt>
                <c:pt idx="7">
                  <c:v>101.40159367095831</c:v>
                </c:pt>
                <c:pt idx="8">
                  <c:v>101.19810585170113</c:v>
                </c:pt>
                <c:pt idx="9">
                  <c:v>101.02694787288668</c:v>
                </c:pt>
                <c:pt idx="10">
                  <c:v>101.03645664948749</c:v>
                </c:pt>
                <c:pt idx="11">
                  <c:v>100.5781336173288</c:v>
                </c:pt>
                <c:pt idx="12">
                  <c:v>101.31221117091076</c:v>
                </c:pt>
                <c:pt idx="13">
                  <c:v>101.42251297948008</c:v>
                </c:pt>
                <c:pt idx="14">
                  <c:v>101.35024627731397</c:v>
                </c:pt>
                <c:pt idx="15">
                  <c:v>100.70935473441988</c:v>
                </c:pt>
                <c:pt idx="16">
                  <c:v>101.05547420268907</c:v>
                </c:pt>
                <c:pt idx="17">
                  <c:v>100.42409143639578</c:v>
                </c:pt>
                <c:pt idx="18">
                  <c:v>100.55721430880702</c:v>
                </c:pt>
                <c:pt idx="19">
                  <c:v>100.39366335127322</c:v>
                </c:pt>
                <c:pt idx="20">
                  <c:v>101.4643515965236</c:v>
                </c:pt>
                <c:pt idx="21">
                  <c:v>101.59747446893483</c:v>
                </c:pt>
                <c:pt idx="22">
                  <c:v>101.39588840499782</c:v>
                </c:pt>
                <c:pt idx="23">
                  <c:v>101.52140425612842</c:v>
                </c:pt>
                <c:pt idx="24">
                  <c:v>101.13915143677616</c:v>
                </c:pt>
                <c:pt idx="25">
                  <c:v>101.33313047943253</c:v>
                </c:pt>
                <c:pt idx="26">
                  <c:v>101.49097617100584</c:v>
                </c:pt>
                <c:pt idx="27">
                  <c:v>101.92267462868227</c:v>
                </c:pt>
                <c:pt idx="28">
                  <c:v>101.73630260730656</c:v>
                </c:pt>
                <c:pt idx="29">
                  <c:v>101.32171994751157</c:v>
                </c:pt>
                <c:pt idx="30">
                  <c:v>101.55943936253163</c:v>
                </c:pt>
                <c:pt idx="31">
                  <c:v>102.13757297986044</c:v>
                </c:pt>
                <c:pt idx="32">
                  <c:v>102.2649905863112</c:v>
                </c:pt>
                <c:pt idx="33">
                  <c:v>102.33345377783698</c:v>
                </c:pt>
                <c:pt idx="34">
                  <c:v>101.98733430956776</c:v>
                </c:pt>
                <c:pt idx="35">
                  <c:v>101.69826750090337</c:v>
                </c:pt>
                <c:pt idx="36">
                  <c:v>102.20793792670639</c:v>
                </c:pt>
                <c:pt idx="37">
                  <c:v>101.03075138352703</c:v>
                </c:pt>
                <c:pt idx="38">
                  <c:v>100.18066675541529</c:v>
                </c:pt>
                <c:pt idx="39">
                  <c:v>100.8215582983094</c:v>
                </c:pt>
                <c:pt idx="40">
                  <c:v>98.552764201357917</c:v>
                </c:pt>
                <c:pt idx="41">
                  <c:v>97.67034973280343</c:v>
                </c:pt>
                <c:pt idx="42">
                  <c:v>98.442462392788599</c:v>
                </c:pt>
                <c:pt idx="43">
                  <c:v>97.73881292432921</c:v>
                </c:pt>
                <c:pt idx="44">
                  <c:v>96.200292870319359</c:v>
                </c:pt>
                <c:pt idx="45">
                  <c:v>94.99838350797792</c:v>
                </c:pt>
                <c:pt idx="46">
                  <c:v>95.228495901717338</c:v>
                </c:pt>
                <c:pt idx="47">
                  <c:v>95.633569784911529</c:v>
                </c:pt>
                <c:pt idx="48">
                  <c:v>95.502348667820456</c:v>
                </c:pt>
                <c:pt idx="49">
                  <c:v>95.331190689006007</c:v>
                </c:pt>
                <c:pt idx="50">
                  <c:v>96.05956297662749</c:v>
                </c:pt>
                <c:pt idx="51">
                  <c:v>96.99142308350612</c:v>
                </c:pt>
                <c:pt idx="52">
                  <c:v>98.756252020615079</c:v>
                </c:pt>
                <c:pt idx="53">
                  <c:v>98.282714945895108</c:v>
                </c:pt>
                <c:pt idx="54">
                  <c:v>98.183823669246763</c:v>
                </c:pt>
                <c:pt idx="55">
                  <c:v>98.151493828804036</c:v>
                </c:pt>
                <c:pt idx="56">
                  <c:v>98.541353669436944</c:v>
                </c:pt>
                <c:pt idx="57">
                  <c:v>99.212673297453591</c:v>
                </c:pt>
                <c:pt idx="58">
                  <c:v>99.246904893216481</c:v>
                </c:pt>
                <c:pt idx="59">
                  <c:v>99.63296122320908</c:v>
                </c:pt>
                <c:pt idx="60">
                  <c:v>99.961964893596843</c:v>
                </c:pt>
                <c:pt idx="61">
                  <c:v>101.2836848411084</c:v>
                </c:pt>
                <c:pt idx="62">
                  <c:v>101.69636574558322</c:v>
                </c:pt>
                <c:pt idx="63">
                  <c:v>101.73249909666627</c:v>
                </c:pt>
                <c:pt idx="64">
                  <c:v>101.55753760721151</c:v>
                </c:pt>
                <c:pt idx="65">
                  <c:v>101.97592377764683</c:v>
                </c:pt>
                <c:pt idx="66">
                  <c:v>101.28178308578823</c:v>
                </c:pt>
                <c:pt idx="67">
                  <c:v>100.98130574520287</c:v>
                </c:pt>
                <c:pt idx="68">
                  <c:v>101.00222505372464</c:v>
                </c:pt>
                <c:pt idx="69">
                  <c:v>101.03645664948753</c:v>
                </c:pt>
                <c:pt idx="70">
                  <c:v>100.78162143658602</c:v>
                </c:pt>
                <c:pt idx="71">
                  <c:v>100.95848468136096</c:v>
                </c:pt>
                <c:pt idx="72">
                  <c:v>101.38067436243658</c:v>
                </c:pt>
                <c:pt idx="73">
                  <c:v>100.81585303234891</c:v>
                </c:pt>
                <c:pt idx="74">
                  <c:v>101.14105319209636</c:v>
                </c:pt>
                <c:pt idx="75">
                  <c:v>100.80634425574812</c:v>
                </c:pt>
                <c:pt idx="76">
                  <c:v>100.69794420249897</c:v>
                </c:pt>
                <c:pt idx="77">
                  <c:v>100.38985984063297</c:v>
                </c:pt>
                <c:pt idx="78">
                  <c:v>99.815529733944501</c:v>
                </c:pt>
                <c:pt idx="79">
                  <c:v>99.634862978529256</c:v>
                </c:pt>
                <c:pt idx="80">
                  <c:v>98.817108190860239</c:v>
                </c:pt>
                <c:pt idx="81">
                  <c:v>98.683985318449004</c:v>
                </c:pt>
                <c:pt idx="82">
                  <c:v>98.649753722686114</c:v>
                </c:pt>
                <c:pt idx="83">
                  <c:v>99.011087233516619</c:v>
                </c:pt>
                <c:pt idx="84">
                  <c:v>98.318848296978175</c:v>
                </c:pt>
                <c:pt idx="85">
                  <c:v>99.402848829469661</c:v>
                </c:pt>
                <c:pt idx="86">
                  <c:v>100.46783180875954</c:v>
                </c:pt>
                <c:pt idx="87">
                  <c:v>99.302055797501154</c:v>
                </c:pt>
                <c:pt idx="88">
                  <c:v>98.760055531255404</c:v>
                </c:pt>
                <c:pt idx="89">
                  <c:v>98.027879732993597</c:v>
                </c:pt>
                <c:pt idx="90">
                  <c:v>97.96702356274848</c:v>
                </c:pt>
                <c:pt idx="91">
                  <c:v>98.242778084171746</c:v>
                </c:pt>
                <c:pt idx="92">
                  <c:v>98.216153509689505</c:v>
                </c:pt>
                <c:pt idx="93">
                  <c:v>98.202841222448384</c:v>
                </c:pt>
                <c:pt idx="94">
                  <c:v>98.45197116938941</c:v>
                </c:pt>
                <c:pt idx="95">
                  <c:v>99.054827605880291</c:v>
                </c:pt>
                <c:pt idx="96">
                  <c:v>98.803795903619104</c:v>
                </c:pt>
                <c:pt idx="97">
                  <c:v>99.769887606260653</c:v>
                </c:pt>
                <c:pt idx="98">
                  <c:v>99.931536808474291</c:v>
                </c:pt>
                <c:pt idx="99">
                  <c:v>100.93566361751904</c:v>
                </c:pt>
                <c:pt idx="100">
                  <c:v>101.22853393682375</c:v>
                </c:pt>
                <c:pt idx="101">
                  <c:v>100.26244223418222</c:v>
                </c:pt>
                <c:pt idx="102">
                  <c:v>99.922028031873495</c:v>
                </c:pt>
                <c:pt idx="103">
                  <c:v>99.929635053154129</c:v>
                </c:pt>
                <c:pt idx="104">
                  <c:v>100.50586691516277</c:v>
                </c:pt>
                <c:pt idx="105">
                  <c:v>100.38225281935233</c:v>
                </c:pt>
                <c:pt idx="106">
                  <c:v>100.20348781925725</c:v>
                </c:pt>
                <c:pt idx="107">
                  <c:v>100.76450563870461</c:v>
                </c:pt>
                <c:pt idx="108">
                  <c:v>100.46593005343942</c:v>
                </c:pt>
                <c:pt idx="109">
                  <c:v>100.54960728752648</c:v>
                </c:pt>
                <c:pt idx="110">
                  <c:v>100.23201414905968</c:v>
                </c:pt>
                <c:pt idx="111">
                  <c:v>100.27955803206369</c:v>
                </c:pt>
                <c:pt idx="112">
                  <c:v>99.899206968031606</c:v>
                </c:pt>
                <c:pt idx="113">
                  <c:v>98.933115265390057</c:v>
                </c:pt>
                <c:pt idx="114">
                  <c:v>98.027879732993668</c:v>
                </c:pt>
                <c:pt idx="115">
                  <c:v>97.706483083886553</c:v>
                </c:pt>
                <c:pt idx="116">
                  <c:v>98.60220983968216</c:v>
                </c:pt>
                <c:pt idx="117">
                  <c:v>98.347374626780649</c:v>
                </c:pt>
                <c:pt idx="118">
                  <c:v>97.879542818021164</c:v>
                </c:pt>
                <c:pt idx="119">
                  <c:v>98.387311488504011</c:v>
                </c:pt>
                <c:pt idx="120">
                  <c:v>98.642146701405522</c:v>
                </c:pt>
                <c:pt idx="121">
                  <c:v>98.621227392883753</c:v>
                </c:pt>
                <c:pt idx="122">
                  <c:v>98.212349999049252</c:v>
                </c:pt>
                <c:pt idx="123">
                  <c:v>98.307437765057273</c:v>
                </c:pt>
                <c:pt idx="124">
                  <c:v>98.499515052393477</c:v>
                </c:pt>
                <c:pt idx="125">
                  <c:v>98.440560637468508</c:v>
                </c:pt>
                <c:pt idx="126">
                  <c:v>98.119163988361393</c:v>
                </c:pt>
                <c:pt idx="127">
                  <c:v>98.214251754369414</c:v>
                </c:pt>
                <c:pt idx="128">
                  <c:v>97.000931860107016</c:v>
                </c:pt>
                <c:pt idx="129">
                  <c:v>97.122644200597293</c:v>
                </c:pt>
                <c:pt idx="130">
                  <c:v>94.973660688815912</c:v>
                </c:pt>
                <c:pt idx="131">
                  <c:v>94.431660422570161</c:v>
                </c:pt>
                <c:pt idx="132">
                  <c:v>94.979365954776384</c:v>
                </c:pt>
                <c:pt idx="133">
                  <c:v>94.559078029020924</c:v>
                </c:pt>
                <c:pt idx="134">
                  <c:v>94.222467337352512</c:v>
                </c:pt>
                <c:pt idx="135">
                  <c:v>93.87634786908329</c:v>
                </c:pt>
                <c:pt idx="136">
                  <c:v>94.19013749690977</c:v>
                </c:pt>
                <c:pt idx="137">
                  <c:v>93.513112602932637</c:v>
                </c:pt>
                <c:pt idx="138">
                  <c:v>94.935625582412698</c:v>
                </c:pt>
                <c:pt idx="139">
                  <c:v>95.304566114523823</c:v>
                </c:pt>
                <c:pt idx="140">
                  <c:v>95.698229465797056</c:v>
                </c:pt>
                <c:pt idx="141">
                  <c:v>95.671604891314814</c:v>
                </c:pt>
                <c:pt idx="142">
                  <c:v>95.068748454823933</c:v>
                </c:pt>
                <c:pt idx="143">
                  <c:v>95.032615103740866</c:v>
                </c:pt>
                <c:pt idx="144">
                  <c:v>95.519464465701958</c:v>
                </c:pt>
                <c:pt idx="145">
                  <c:v>95.099176539946484</c:v>
                </c:pt>
                <c:pt idx="146">
                  <c:v>95.785710210524414</c:v>
                </c:pt>
                <c:pt idx="147">
                  <c:v>96.070973508548505</c:v>
                </c:pt>
                <c:pt idx="148">
                  <c:v>95.886503242492935</c:v>
                </c:pt>
                <c:pt idx="149">
                  <c:v>96.316299944849206</c:v>
                </c:pt>
                <c:pt idx="150">
                  <c:v>95.669703135994624</c:v>
                </c:pt>
                <c:pt idx="151">
                  <c:v>95.717247018998648</c:v>
                </c:pt>
                <c:pt idx="152">
                  <c:v>96.143240210714595</c:v>
                </c:pt>
                <c:pt idx="153">
                  <c:v>95.850369891409883</c:v>
                </c:pt>
                <c:pt idx="154">
                  <c:v>96.312496434208882</c:v>
                </c:pt>
                <c:pt idx="155">
                  <c:v>96.318201700169368</c:v>
                </c:pt>
                <c:pt idx="156">
                  <c:v>97.137858243158547</c:v>
                </c:pt>
                <c:pt idx="157">
                  <c:v>97.012342392027961</c:v>
                </c:pt>
                <c:pt idx="158">
                  <c:v>97.295703934731876</c:v>
                </c:pt>
                <c:pt idx="159">
                  <c:v>96.687142232280507</c:v>
                </c:pt>
                <c:pt idx="160">
                  <c:v>96.557822870509597</c:v>
                </c:pt>
                <c:pt idx="161">
                  <c:v>96.093794572390436</c:v>
                </c:pt>
                <c:pt idx="162">
                  <c:v>95.376832816689912</c:v>
                </c:pt>
                <c:pt idx="163">
                  <c:v>95.120095848468239</c:v>
                </c:pt>
                <c:pt idx="164">
                  <c:v>94.981267710096532</c:v>
                </c:pt>
                <c:pt idx="165">
                  <c:v>95.207576593195625</c:v>
                </c:pt>
                <c:pt idx="166">
                  <c:v>95.466215316737447</c:v>
                </c:pt>
                <c:pt idx="167">
                  <c:v>95.652587338113179</c:v>
                </c:pt>
                <c:pt idx="168">
                  <c:v>95.513759199741472</c:v>
                </c:pt>
                <c:pt idx="169">
                  <c:v>95.694425955156731</c:v>
                </c:pt>
                <c:pt idx="170">
                  <c:v>95.781906699884104</c:v>
                </c:pt>
                <c:pt idx="171">
                  <c:v>95.196166061274667</c:v>
                </c:pt>
                <c:pt idx="172">
                  <c:v>95.063043188863432</c:v>
                </c:pt>
                <c:pt idx="173">
                  <c:v>95.414867923093112</c:v>
                </c:pt>
                <c:pt idx="174">
                  <c:v>95.367324040089102</c:v>
                </c:pt>
                <c:pt idx="175">
                  <c:v>94.585702603503137</c:v>
                </c:pt>
                <c:pt idx="176">
                  <c:v>95.019302816499746</c:v>
                </c:pt>
                <c:pt idx="177">
                  <c:v>95.401555635852006</c:v>
                </c:pt>
                <c:pt idx="178">
                  <c:v>95.346404731567361</c:v>
                </c:pt>
                <c:pt idx="179">
                  <c:v>95.909324306334867</c:v>
                </c:pt>
                <c:pt idx="180">
                  <c:v>94.903295741969956</c:v>
                </c:pt>
                <c:pt idx="181">
                  <c:v>94.812011486602245</c:v>
                </c:pt>
                <c:pt idx="182">
                  <c:v>94.353688454443557</c:v>
                </c:pt>
                <c:pt idx="183">
                  <c:v>94.431660422570147</c:v>
                </c:pt>
                <c:pt idx="184">
                  <c:v>94.764467603598234</c:v>
                </c:pt>
                <c:pt idx="185">
                  <c:v>94.367000741684691</c:v>
                </c:pt>
                <c:pt idx="186">
                  <c:v>93.792670634996227</c:v>
                </c:pt>
                <c:pt idx="187">
                  <c:v>94.011372496814687</c:v>
                </c:pt>
                <c:pt idx="188">
                  <c:v>93.068101858015083</c:v>
                </c:pt>
                <c:pt idx="189">
                  <c:v>92.24844531502589</c:v>
                </c:pt>
                <c:pt idx="190">
                  <c:v>91.946066219120368</c:v>
                </c:pt>
                <c:pt idx="191">
                  <c:v>92.649715687579757</c:v>
                </c:pt>
                <c:pt idx="192">
                  <c:v>92.653519198220067</c:v>
                </c:pt>
                <c:pt idx="193">
                  <c:v>92.111518931974331</c:v>
                </c:pt>
                <c:pt idx="194">
                  <c:v>93.61010212426082</c:v>
                </c:pt>
                <c:pt idx="195">
                  <c:v>93.8040811669172</c:v>
                </c:pt>
                <c:pt idx="196">
                  <c:v>93.353365156039146</c:v>
                </c:pt>
                <c:pt idx="197">
                  <c:v>92.74670520890794</c:v>
                </c:pt>
                <c:pt idx="198">
                  <c:v>92.381568187437125</c:v>
                </c:pt>
                <c:pt idx="199">
                  <c:v>92.111518931974345</c:v>
                </c:pt>
                <c:pt idx="200">
                  <c:v>91.976494304242934</c:v>
                </c:pt>
                <c:pt idx="201">
                  <c:v>91.729266112622085</c:v>
                </c:pt>
                <c:pt idx="202">
                  <c:v>92.043055740448565</c:v>
                </c:pt>
                <c:pt idx="203">
                  <c:v>91.83196089991074</c:v>
                </c:pt>
                <c:pt idx="204">
                  <c:v>92.425308559800825</c:v>
                </c:pt>
                <c:pt idx="205">
                  <c:v>92.290283932069443</c:v>
                </c:pt>
                <c:pt idx="206">
                  <c:v>91.917539889317965</c:v>
                </c:pt>
                <c:pt idx="207">
                  <c:v>92.102010155373534</c:v>
                </c:pt>
                <c:pt idx="208">
                  <c:v>92.640206910978947</c:v>
                </c:pt>
                <c:pt idx="209">
                  <c:v>91.91373637867764</c:v>
                </c:pt>
                <c:pt idx="210">
                  <c:v>92.286480421429104</c:v>
                </c:pt>
                <c:pt idx="211">
                  <c:v>92.815168400433734</c:v>
                </c:pt>
                <c:pt idx="212">
                  <c:v>93.007245687769938</c:v>
                </c:pt>
                <c:pt idx="213">
                  <c:v>92.818971911074044</c:v>
                </c:pt>
                <c:pt idx="214">
                  <c:v>92.839891219595799</c:v>
                </c:pt>
                <c:pt idx="215">
                  <c:v>93.224045794268235</c:v>
                </c:pt>
                <c:pt idx="216">
                  <c:v>92.973014092007048</c:v>
                </c:pt>
                <c:pt idx="217">
                  <c:v>92.919764943042551</c:v>
                </c:pt>
                <c:pt idx="218">
                  <c:v>94.018979518095335</c:v>
                </c:pt>
                <c:pt idx="219">
                  <c:v>94.252895422475078</c:v>
                </c:pt>
                <c:pt idx="220">
                  <c:v>94.368902497004868</c:v>
                </c:pt>
                <c:pt idx="221">
                  <c:v>94.115969039423518</c:v>
                </c:pt>
                <c:pt idx="222">
                  <c:v>94.82152026320307</c:v>
                </c:pt>
                <c:pt idx="223">
                  <c:v>95.167639731472292</c:v>
                </c:pt>
                <c:pt idx="224">
                  <c:v>95.156229199551333</c:v>
                </c:pt>
                <c:pt idx="225">
                  <c:v>94.988874731377209</c:v>
                </c:pt>
                <c:pt idx="226">
                  <c:v>94.595211380103976</c:v>
                </c:pt>
                <c:pt idx="227">
                  <c:v>94.27191297567667</c:v>
                </c:pt>
                <c:pt idx="228">
                  <c:v>94.235779624593633</c:v>
                </c:pt>
                <c:pt idx="229">
                  <c:v>94.133084837304949</c:v>
                </c:pt>
                <c:pt idx="230">
                  <c:v>94.361295475724219</c:v>
                </c:pt>
                <c:pt idx="231">
                  <c:v>94.8386360610845</c:v>
                </c:pt>
                <c:pt idx="232">
                  <c:v>94.876671167487729</c:v>
                </c:pt>
                <c:pt idx="233">
                  <c:v>94.416446380008864</c:v>
                </c:pt>
                <c:pt idx="234">
                  <c:v>94.751155316357114</c:v>
                </c:pt>
                <c:pt idx="235">
                  <c:v>95.201871327235153</c:v>
                </c:pt>
                <c:pt idx="236">
                  <c:v>95.622159252990627</c:v>
                </c:pt>
                <c:pt idx="237">
                  <c:v>95.656390848753517</c:v>
                </c:pt>
                <c:pt idx="238">
                  <c:v>95.363520529448806</c:v>
                </c:pt>
                <c:pt idx="239">
                  <c:v>94.7568605823176</c:v>
                </c:pt>
                <c:pt idx="240">
                  <c:v>94.935625582412683</c:v>
                </c:pt>
                <c:pt idx="241">
                  <c:v>95.380636327330237</c:v>
                </c:pt>
                <c:pt idx="242">
                  <c:v>95.534678508263227</c:v>
                </c:pt>
                <c:pt idx="243">
                  <c:v>95.199969571914977</c:v>
                </c:pt>
                <c:pt idx="244">
                  <c:v>94.791092178080476</c:v>
                </c:pt>
                <c:pt idx="245">
                  <c:v>95.451001274176164</c:v>
                </c:pt>
                <c:pt idx="246">
                  <c:v>95.194264305954491</c:v>
                </c:pt>
                <c:pt idx="247">
                  <c:v>94.79869919936111</c:v>
                </c:pt>
                <c:pt idx="248">
                  <c:v>94.545765741779761</c:v>
                </c:pt>
                <c:pt idx="249">
                  <c:v>94.340376167202407</c:v>
                </c:pt>
                <c:pt idx="250">
                  <c:v>94.494418348135426</c:v>
                </c:pt>
                <c:pt idx="251">
                  <c:v>94.709316699313561</c:v>
                </c:pt>
                <c:pt idx="252">
                  <c:v>94.819618507882865</c:v>
                </c:pt>
                <c:pt idx="253">
                  <c:v>95.112488827187576</c:v>
                </c:pt>
                <c:pt idx="254">
                  <c:v>94.694102656752264</c:v>
                </c:pt>
                <c:pt idx="255">
                  <c:v>94.779681646159503</c:v>
                </c:pt>
                <c:pt idx="256">
                  <c:v>94.899492231329631</c:v>
                </c:pt>
                <c:pt idx="257">
                  <c:v>94.897590476009469</c:v>
                </c:pt>
                <c:pt idx="258">
                  <c:v>94.810109731282097</c:v>
                </c:pt>
                <c:pt idx="259">
                  <c:v>94.783485156799856</c:v>
                </c:pt>
                <c:pt idx="260">
                  <c:v>94.948937869653818</c:v>
                </c:pt>
                <c:pt idx="261">
                  <c:v>95.644980316832573</c:v>
                </c:pt>
                <c:pt idx="262">
                  <c:v>96.223113934161361</c:v>
                </c:pt>
                <c:pt idx="263">
                  <c:v>96.407584200216945</c:v>
                </c:pt>
                <c:pt idx="264">
                  <c:v>96.932468668581237</c:v>
                </c:pt>
                <c:pt idx="265">
                  <c:v>97.56765494551486</c:v>
                </c:pt>
                <c:pt idx="266">
                  <c:v>97.535325105072133</c:v>
                </c:pt>
                <c:pt idx="267">
                  <c:v>97.046573987790879</c:v>
                </c:pt>
                <c:pt idx="268">
                  <c:v>97.21963372192549</c:v>
                </c:pt>
                <c:pt idx="269">
                  <c:v>96.951486221782858</c:v>
                </c:pt>
                <c:pt idx="270">
                  <c:v>96.846889679174041</c:v>
                </c:pt>
                <c:pt idx="271">
                  <c:v>97.158777551680359</c:v>
                </c:pt>
                <c:pt idx="272">
                  <c:v>97.09982313675539</c:v>
                </c:pt>
                <c:pt idx="273">
                  <c:v>97.518209307190702</c:v>
                </c:pt>
                <c:pt idx="274">
                  <c:v>97.746419945609972</c:v>
                </c:pt>
                <c:pt idx="275">
                  <c:v>97.651332179601937</c:v>
                </c:pt>
                <c:pt idx="276">
                  <c:v>97.472567179506854</c:v>
                </c:pt>
                <c:pt idx="277">
                  <c:v>97.187303881482777</c:v>
                </c:pt>
                <c:pt idx="278">
                  <c:v>97.430728562463329</c:v>
                </c:pt>
                <c:pt idx="279">
                  <c:v>98.183823669246891</c:v>
                </c:pt>
                <c:pt idx="280">
                  <c:v>98.060209573436467</c:v>
                </c:pt>
                <c:pt idx="281">
                  <c:v>96.865907232375662</c:v>
                </c:pt>
                <c:pt idx="282">
                  <c:v>96.26305079588478</c:v>
                </c:pt>
                <c:pt idx="283">
                  <c:v>96.476047391742753</c:v>
                </c:pt>
                <c:pt idx="284">
                  <c:v>96.316299944849277</c:v>
                </c:pt>
                <c:pt idx="285">
                  <c:v>96.105205104311452</c:v>
                </c:pt>
                <c:pt idx="286">
                  <c:v>96.18507882775819</c:v>
                </c:pt>
                <c:pt idx="287">
                  <c:v>96.519787764106454</c:v>
                </c:pt>
                <c:pt idx="288">
                  <c:v>96.512180742825819</c:v>
                </c:pt>
                <c:pt idx="289">
                  <c:v>96.234524466082391</c:v>
                </c:pt>
                <c:pt idx="290">
                  <c:v>95.875092710572048</c:v>
                </c:pt>
                <c:pt idx="291">
                  <c:v>96.455128083221013</c:v>
                </c:pt>
                <c:pt idx="292">
                  <c:v>96.118517391552601</c:v>
                </c:pt>
                <c:pt idx="293">
                  <c:v>95.894110263773655</c:v>
                </c:pt>
                <c:pt idx="294">
                  <c:v>96.042447178746173</c:v>
                </c:pt>
                <c:pt idx="295">
                  <c:v>95.810433029686592</c:v>
                </c:pt>
                <c:pt idx="296">
                  <c:v>95.131506380389283</c:v>
                </c:pt>
                <c:pt idx="297">
                  <c:v>95.393948614571428</c:v>
                </c:pt>
                <c:pt idx="298">
                  <c:v>95.506152178460894</c:v>
                </c:pt>
                <c:pt idx="299">
                  <c:v>96.093794572390493</c:v>
                </c:pt>
                <c:pt idx="300">
                  <c:v>95.964475210619568</c:v>
                </c:pt>
                <c:pt idx="301">
                  <c:v>96.306791168248452</c:v>
                </c:pt>
                <c:pt idx="302">
                  <c:v>96.348629785291976</c:v>
                </c:pt>
                <c:pt idx="303">
                  <c:v>95.570811859346335</c:v>
                </c:pt>
                <c:pt idx="304">
                  <c:v>95.823745316927699</c:v>
                </c:pt>
                <c:pt idx="305">
                  <c:v>95.646882072152778</c:v>
                </c:pt>
                <c:pt idx="306">
                  <c:v>95.568910104026202</c:v>
                </c:pt>
                <c:pt idx="307">
                  <c:v>95.173344997432821</c:v>
                </c:pt>
                <c:pt idx="308">
                  <c:v>95.597436433828605</c:v>
                </c:pt>
                <c:pt idx="309">
                  <c:v>94.458284997052445</c:v>
                </c:pt>
                <c:pt idx="310">
                  <c:v>94.865260635566798</c:v>
                </c:pt>
                <c:pt idx="311">
                  <c:v>94.517239411977428</c:v>
                </c:pt>
                <c:pt idx="312">
                  <c:v>94.610425422665287</c:v>
                </c:pt>
                <c:pt idx="313">
                  <c:v>94.992678242017561</c:v>
                </c:pt>
                <c:pt idx="314">
                  <c:v>95.785710210524499</c:v>
                </c:pt>
                <c:pt idx="315">
                  <c:v>95.717247018998734</c:v>
                </c:pt>
                <c:pt idx="316">
                  <c:v>95.547990795504433</c:v>
                </c:pt>
                <c:pt idx="317">
                  <c:v>95.825647072247875</c:v>
                </c:pt>
                <c:pt idx="318">
                  <c:v>96.139436700074356</c:v>
                </c:pt>
                <c:pt idx="319">
                  <c:v>96.245934998003364</c:v>
                </c:pt>
                <c:pt idx="320">
                  <c:v>96.7499001578459</c:v>
                </c:pt>
                <c:pt idx="321">
                  <c:v>96.654812391837865</c:v>
                </c:pt>
                <c:pt idx="322">
                  <c:v>96.301085902288008</c:v>
                </c:pt>
                <c:pt idx="323">
                  <c:v>96.28967537036705</c:v>
                </c:pt>
                <c:pt idx="324">
                  <c:v>95.926440104216397</c:v>
                </c:pt>
                <c:pt idx="325">
                  <c:v>95.821843561607565</c:v>
                </c:pt>
                <c:pt idx="326">
                  <c:v>95.878896221212372</c:v>
                </c:pt>
                <c:pt idx="327">
                  <c:v>95.603141699789106</c:v>
                </c:pt>
                <c:pt idx="328">
                  <c:v>95.913127816975262</c:v>
                </c:pt>
                <c:pt idx="329">
                  <c:v>96.310594678888805</c:v>
                </c:pt>
                <c:pt idx="330">
                  <c:v>96.808854572770869</c:v>
                </c:pt>
                <c:pt idx="331">
                  <c:v>96.63769659395642</c:v>
                </c:pt>
                <c:pt idx="332">
                  <c:v>96.407584200217016</c:v>
                </c:pt>
                <c:pt idx="333">
                  <c:v>96.386664891695233</c:v>
                </c:pt>
                <c:pt idx="334">
                  <c:v>95.956868189338962</c:v>
                </c:pt>
                <c:pt idx="335">
                  <c:v>96.240229732042877</c:v>
                </c:pt>
                <c:pt idx="336">
                  <c:v>96.135633189434046</c:v>
                </c:pt>
                <c:pt idx="337">
                  <c:v>96.017724359584093</c:v>
                </c:pt>
                <c:pt idx="338">
                  <c:v>95.616453987030241</c:v>
                </c:pt>
                <c:pt idx="339">
                  <c:v>95.876994465892224</c:v>
                </c:pt>
                <c:pt idx="340">
                  <c:v>96.150847231995328</c:v>
                </c:pt>
                <c:pt idx="341">
                  <c:v>96.318201700169453</c:v>
                </c:pt>
                <c:pt idx="342">
                  <c:v>96.154650742635653</c:v>
                </c:pt>
                <c:pt idx="343">
                  <c:v>96.061464731947794</c:v>
                </c:pt>
                <c:pt idx="344">
                  <c:v>96.590152710952424</c:v>
                </c:pt>
                <c:pt idx="345">
                  <c:v>96.789837019569291</c:v>
                </c:pt>
                <c:pt idx="346">
                  <c:v>97.016145902668384</c:v>
                </c:pt>
                <c:pt idx="347">
                  <c:v>96.759408934446697</c:v>
                </c:pt>
                <c:pt idx="348">
                  <c:v>96.824068615332152</c:v>
                </c:pt>
                <c:pt idx="349">
                  <c:v>97.069395051632867</c:v>
                </c:pt>
                <c:pt idx="350">
                  <c:v>96.63389308331611</c:v>
                </c:pt>
                <c:pt idx="351">
                  <c:v>96.493163189624212</c:v>
                </c:pt>
                <c:pt idx="352">
                  <c:v>96.635794838636258</c:v>
                </c:pt>
                <c:pt idx="353">
                  <c:v>96.057661221307455</c:v>
                </c:pt>
                <c:pt idx="354">
                  <c:v>95.972082231900245</c:v>
                </c:pt>
                <c:pt idx="355">
                  <c:v>95.373029306049673</c:v>
                </c:pt>
                <c:pt idx="356">
                  <c:v>95.287450316642435</c:v>
                </c:pt>
                <c:pt idx="357">
                  <c:v>95.395850369891591</c:v>
                </c:pt>
                <c:pt idx="358">
                  <c:v>95.177148508073117</c:v>
                </c:pt>
                <c:pt idx="359">
                  <c:v>95.133408135709431</c:v>
                </c:pt>
                <c:pt idx="360">
                  <c:v>94.720727231234605</c:v>
                </c:pt>
                <c:pt idx="361">
                  <c:v>95.291253827282759</c:v>
                </c:pt>
                <c:pt idx="362">
                  <c:v>94.874769412167609</c:v>
                </c:pt>
                <c:pt idx="363">
                  <c:v>95.085864252705434</c:v>
                </c:pt>
                <c:pt idx="364">
                  <c:v>94.365098986364586</c:v>
                </c:pt>
                <c:pt idx="365">
                  <c:v>94.834832550444233</c:v>
                </c:pt>
                <c:pt idx="366">
                  <c:v>94.844341327045043</c:v>
                </c:pt>
                <c:pt idx="367">
                  <c:v>94.97366068881594</c:v>
                </c:pt>
                <c:pt idx="368">
                  <c:v>94.756860582317657</c:v>
                </c:pt>
                <c:pt idx="369">
                  <c:v>94.387920050206503</c:v>
                </c:pt>
                <c:pt idx="370">
                  <c:v>94.522944677937915</c:v>
                </c:pt>
                <c:pt idx="371">
                  <c:v>94.720727231234605</c:v>
                </c:pt>
                <c:pt idx="372">
                  <c:v>94.543863986459669</c:v>
                </c:pt>
                <c:pt idx="373">
                  <c:v>94.401232337447624</c:v>
                </c:pt>
                <c:pt idx="374">
                  <c:v>94.631344731187028</c:v>
                </c:pt>
                <c:pt idx="375">
                  <c:v>95.097274784626364</c:v>
                </c:pt>
                <c:pt idx="376">
                  <c:v>95.09347127398604</c:v>
                </c:pt>
                <c:pt idx="377">
                  <c:v>95.026909837780423</c:v>
                </c:pt>
                <c:pt idx="378">
                  <c:v>94.711218454633766</c:v>
                </c:pt>
                <c:pt idx="379">
                  <c:v>95.047829146302163</c:v>
                </c:pt>
                <c:pt idx="380">
                  <c:v>94.155905901146895</c:v>
                </c:pt>
                <c:pt idx="381">
                  <c:v>94.001863720213905</c:v>
                </c:pt>
                <c:pt idx="382">
                  <c:v>93.861133826522021</c:v>
                </c:pt>
                <c:pt idx="383">
                  <c:v>93.815491698838187</c:v>
                </c:pt>
                <c:pt idx="384">
                  <c:v>93.41802483692463</c:v>
                </c:pt>
                <c:pt idx="385">
                  <c:v>93.210733507027143</c:v>
                </c:pt>
                <c:pt idx="386">
                  <c:v>93.338151113477892</c:v>
                </c:pt>
                <c:pt idx="387">
                  <c:v>93.347659890078688</c:v>
                </c:pt>
                <c:pt idx="388">
                  <c:v>93.19361770914567</c:v>
                </c:pt>
                <c:pt idx="389">
                  <c:v>92.790445581271655</c:v>
                </c:pt>
                <c:pt idx="390">
                  <c:v>92.178080368179963</c:v>
                </c:pt>
                <c:pt idx="391">
                  <c:v>92.520396325808861</c:v>
                </c:pt>
                <c:pt idx="392">
                  <c:v>92.775231538710372</c:v>
                </c:pt>
                <c:pt idx="393">
                  <c:v>93.123252762299742</c:v>
                </c:pt>
                <c:pt idx="394">
                  <c:v>93.731814464751096</c:v>
                </c:pt>
                <c:pt idx="395">
                  <c:v>94.22436909267266</c:v>
                </c:pt>
                <c:pt idx="396">
                  <c:v>94.003765475534038</c:v>
                </c:pt>
                <c:pt idx="397">
                  <c:v>93.897267177605059</c:v>
                </c:pt>
                <c:pt idx="398">
                  <c:v>93.651940741304344</c:v>
                </c:pt>
                <c:pt idx="399">
                  <c:v>93.783161858395417</c:v>
                </c:pt>
                <c:pt idx="400">
                  <c:v>93.49789856037134</c:v>
                </c:pt>
                <c:pt idx="401">
                  <c:v>93.24116159214968</c:v>
                </c:pt>
                <c:pt idx="402">
                  <c:v>93.688074092387396</c:v>
                </c:pt>
                <c:pt idx="403">
                  <c:v>93.53213015613423</c:v>
                </c:pt>
                <c:pt idx="404">
                  <c:v>93.800277656276847</c:v>
                </c:pt>
                <c:pt idx="405">
                  <c:v>93.256375634710949</c:v>
                </c:pt>
                <c:pt idx="406">
                  <c:v>93.36097217731978</c:v>
                </c:pt>
                <c:pt idx="407">
                  <c:v>92.993933400528803</c:v>
                </c:pt>
                <c:pt idx="408">
                  <c:v>92.373961166156477</c:v>
                </c:pt>
                <c:pt idx="409">
                  <c:v>91.877603027594589</c:v>
                </c:pt>
                <c:pt idx="410">
                  <c:v>91.236711484700507</c:v>
                </c:pt>
                <c:pt idx="411">
                  <c:v>91.573322176368919</c:v>
                </c:pt>
                <c:pt idx="412">
                  <c:v>91.196774622977145</c:v>
                </c:pt>
                <c:pt idx="413">
                  <c:v>90.957153452636931</c:v>
                </c:pt>
                <c:pt idx="414">
                  <c:v>90.997090314360292</c:v>
                </c:pt>
                <c:pt idx="415">
                  <c:v>91.250023771941642</c:v>
                </c:pt>
                <c:pt idx="416">
                  <c:v>90.881083239830488</c:v>
                </c:pt>
                <c:pt idx="417">
                  <c:v>90.631953292889463</c:v>
                </c:pt>
                <c:pt idx="418">
                  <c:v>90.358100526786359</c:v>
                </c:pt>
                <c:pt idx="419">
                  <c:v>90.186942547971924</c:v>
                </c:pt>
                <c:pt idx="420">
                  <c:v>90.689005952494284</c:v>
                </c:pt>
                <c:pt idx="421">
                  <c:v>90.755567388699902</c:v>
                </c:pt>
                <c:pt idx="422">
                  <c:v>90.88678850579096</c:v>
                </c:pt>
                <c:pt idx="423">
                  <c:v>91.006599090961089</c:v>
                </c:pt>
                <c:pt idx="424">
                  <c:v>91.653195899815671</c:v>
                </c:pt>
                <c:pt idx="425">
                  <c:v>91.736873133902733</c:v>
                </c:pt>
                <c:pt idx="426">
                  <c:v>91.719757336021289</c:v>
                </c:pt>
                <c:pt idx="427">
                  <c:v>91.74638191050353</c:v>
                </c:pt>
                <c:pt idx="428">
                  <c:v>91.689329250898709</c:v>
                </c:pt>
                <c:pt idx="429">
                  <c:v>91.618964304052767</c:v>
                </c:pt>
                <c:pt idx="430">
                  <c:v>91.234809729380331</c:v>
                </c:pt>
                <c:pt idx="431">
                  <c:v>91.027518399482858</c:v>
                </c:pt>
                <c:pt idx="432">
                  <c:v>90.681398931213636</c:v>
                </c:pt>
                <c:pt idx="433">
                  <c:v>90.011981058517136</c:v>
                </c:pt>
                <c:pt idx="434">
                  <c:v>89.818002015860756</c:v>
                </c:pt>
                <c:pt idx="435">
                  <c:v>89.707700207291438</c:v>
                </c:pt>
                <c:pt idx="436">
                  <c:v>89.566970313599569</c:v>
                </c:pt>
                <c:pt idx="437">
                  <c:v>90.38852861190891</c:v>
                </c:pt>
                <c:pt idx="438">
                  <c:v>90.320065420383131</c:v>
                </c:pt>
                <c:pt idx="439">
                  <c:v>90.61673925032818</c:v>
                </c:pt>
                <c:pt idx="440">
                  <c:v>90.377118079987966</c:v>
                </c:pt>
                <c:pt idx="441">
                  <c:v>90.464598824715353</c:v>
                </c:pt>
                <c:pt idx="442">
                  <c:v>90.409447920430694</c:v>
                </c:pt>
                <c:pt idx="443">
                  <c:v>90.46269706939519</c:v>
                </c:pt>
                <c:pt idx="444">
                  <c:v>90.365707548067007</c:v>
                </c:pt>
                <c:pt idx="445">
                  <c:v>90.18694254797191</c:v>
                </c:pt>
                <c:pt idx="446">
                  <c:v>90.021489835117933</c:v>
                </c:pt>
                <c:pt idx="447">
                  <c:v>89.578380845520542</c:v>
                </c:pt>
                <c:pt idx="448">
                  <c:v>89.321643877298882</c:v>
                </c:pt>
                <c:pt idx="449">
                  <c:v>88.910864728144205</c:v>
                </c:pt>
                <c:pt idx="450">
                  <c:v>89.262689462373885</c:v>
                </c:pt>
                <c:pt idx="451">
                  <c:v>89.44335621778913</c:v>
                </c:pt>
                <c:pt idx="452">
                  <c:v>88.63511020672091</c:v>
                </c:pt>
                <c:pt idx="453">
                  <c:v>88.003727440427625</c:v>
                </c:pt>
                <c:pt idx="454">
                  <c:v>88.304204781012984</c:v>
                </c:pt>
                <c:pt idx="455">
                  <c:v>87.977102865945383</c:v>
                </c:pt>
                <c:pt idx="456">
                  <c:v>88.055074834071959</c:v>
                </c:pt>
                <c:pt idx="457">
                  <c:v>88.212920525645274</c:v>
                </c:pt>
                <c:pt idx="458">
                  <c:v>88.48106802578792</c:v>
                </c:pt>
                <c:pt idx="459">
                  <c:v>88.694064621645879</c:v>
                </c:pt>
                <c:pt idx="460">
                  <c:v>88.387882015100033</c:v>
                </c:pt>
                <c:pt idx="461">
                  <c:v>88.235741589487205</c:v>
                </c:pt>
                <c:pt idx="462">
                  <c:v>88.503889089629837</c:v>
                </c:pt>
                <c:pt idx="463">
                  <c:v>88.621797919479803</c:v>
                </c:pt>
                <c:pt idx="464">
                  <c:v>88.121636270277577</c:v>
                </c:pt>
                <c:pt idx="465">
                  <c:v>88.264267919289608</c:v>
                </c:pt>
                <c:pt idx="466">
                  <c:v>88.496282068349188</c:v>
                </c:pt>
                <c:pt idx="467">
                  <c:v>88.960310366468363</c:v>
                </c:pt>
                <c:pt idx="468">
                  <c:v>88.895650685582908</c:v>
                </c:pt>
                <c:pt idx="469">
                  <c:v>88.614190898199155</c:v>
                </c:pt>
                <c:pt idx="470">
                  <c:v>88.846205047258763</c:v>
                </c:pt>
                <c:pt idx="471">
                  <c:v>89.047791111195764</c:v>
                </c:pt>
                <c:pt idx="472">
                  <c:v>89.131468345282826</c:v>
                </c:pt>
                <c:pt idx="473">
                  <c:v>89.285510526215816</c:v>
                </c:pt>
                <c:pt idx="474">
                  <c:v>89.829412547781729</c:v>
                </c:pt>
                <c:pt idx="475">
                  <c:v>90.055721430880823</c:v>
                </c:pt>
                <c:pt idx="476">
                  <c:v>90.65477435673138</c:v>
                </c:pt>
                <c:pt idx="477">
                  <c:v>90.495026909837904</c:v>
                </c:pt>
                <c:pt idx="478">
                  <c:v>90.553981324762873</c:v>
                </c:pt>
                <c:pt idx="479">
                  <c:v>90.236388186296068</c:v>
                </c:pt>
                <c:pt idx="480">
                  <c:v>89.692486164730155</c:v>
                </c:pt>
                <c:pt idx="481">
                  <c:v>89.863644143544619</c:v>
                </c:pt>
                <c:pt idx="482">
                  <c:v>89.791377441378529</c:v>
                </c:pt>
                <c:pt idx="483">
                  <c:v>91.065553505886072</c:v>
                </c:pt>
                <c:pt idx="484">
                  <c:v>91.082669303767517</c:v>
                </c:pt>
                <c:pt idx="485">
                  <c:v>91.187265846376349</c:v>
                </c:pt>
                <c:pt idx="486">
                  <c:v>91.067455261206248</c:v>
                </c:pt>
                <c:pt idx="487">
                  <c:v>91.742578399863234</c:v>
                </c:pt>
                <c:pt idx="488">
                  <c:v>91.463020367799643</c:v>
                </c:pt>
                <c:pt idx="489">
                  <c:v>91.192971112336849</c:v>
                </c:pt>
                <c:pt idx="490">
                  <c:v>91.198676378297336</c:v>
                </c:pt>
                <c:pt idx="491">
                  <c:v>91.267139569823115</c:v>
                </c:pt>
                <c:pt idx="492">
                  <c:v>91.404065952874674</c:v>
                </c:pt>
                <c:pt idx="493">
                  <c:v>91.717855580701155</c:v>
                </c:pt>
                <c:pt idx="494">
                  <c:v>91.444002814598051</c:v>
                </c:pt>
                <c:pt idx="495">
                  <c:v>91.105490367609477</c:v>
                </c:pt>
                <c:pt idx="496">
                  <c:v>91.487743186961737</c:v>
                </c:pt>
                <c:pt idx="497">
                  <c:v>90.734648080178161</c:v>
                </c:pt>
                <c:pt idx="498">
                  <c:v>90.52735675028066</c:v>
                </c:pt>
                <c:pt idx="499">
                  <c:v>90.567293612004022</c:v>
                </c:pt>
                <c:pt idx="500">
                  <c:v>90.630051537569315</c:v>
                </c:pt>
                <c:pt idx="501">
                  <c:v>90.48361637791696</c:v>
                </c:pt>
                <c:pt idx="502">
                  <c:v>90.417054941711328</c:v>
                </c:pt>
                <c:pt idx="503">
                  <c:v>90.525454994960484</c:v>
                </c:pt>
                <c:pt idx="504">
                  <c:v>91.240514995340831</c:v>
                </c:pt>
                <c:pt idx="505">
                  <c:v>91.571420421048771</c:v>
                </c:pt>
                <c:pt idx="506">
                  <c:v>91.240514995340817</c:v>
                </c:pt>
                <c:pt idx="507">
                  <c:v>91.206283399577941</c:v>
                </c:pt>
                <c:pt idx="508">
                  <c:v>91.620866059372915</c:v>
                </c:pt>
                <c:pt idx="509">
                  <c:v>91.326093984748027</c:v>
                </c:pt>
                <c:pt idx="510">
                  <c:v>91.227202708099682</c:v>
                </c:pt>
                <c:pt idx="511">
                  <c:v>91.196774622977117</c:v>
                </c:pt>
                <c:pt idx="512">
                  <c:v>91.194872867656954</c:v>
                </c:pt>
                <c:pt idx="513">
                  <c:v>91.580929197649539</c:v>
                </c:pt>
                <c:pt idx="514">
                  <c:v>91.430690527356845</c:v>
                </c:pt>
                <c:pt idx="515">
                  <c:v>91.548599357206797</c:v>
                </c:pt>
                <c:pt idx="516">
                  <c:v>90.926725367514294</c:v>
                </c:pt>
                <c:pt idx="517">
                  <c:v>90.81642355894499</c:v>
                </c:pt>
                <c:pt idx="518">
                  <c:v>90.824030580225639</c:v>
                </c:pt>
                <c:pt idx="519">
                  <c:v>91.03512542076345</c:v>
                </c:pt>
                <c:pt idx="520">
                  <c:v>90.941939410075577</c:v>
                </c:pt>
                <c:pt idx="521">
                  <c:v>90.590114675845882</c:v>
                </c:pt>
                <c:pt idx="522">
                  <c:v>90.805013027024017</c:v>
                </c:pt>
                <c:pt idx="523">
                  <c:v>90.979974516478791</c:v>
                </c:pt>
                <c:pt idx="524">
                  <c:v>90.995188559040059</c:v>
                </c:pt>
                <c:pt idx="525">
                  <c:v>90.841146378107055</c:v>
                </c:pt>
                <c:pt idx="526">
                  <c:v>90.103265313884776</c:v>
                </c:pt>
                <c:pt idx="527">
                  <c:v>90.01198105851708</c:v>
                </c:pt>
                <c:pt idx="528">
                  <c:v>90.139398664967828</c:v>
                </c:pt>
                <c:pt idx="529">
                  <c:v>90.327672441663722</c:v>
                </c:pt>
                <c:pt idx="530">
                  <c:v>90.173630260730718</c:v>
                </c:pt>
                <c:pt idx="531">
                  <c:v>90.051917920240456</c:v>
                </c:pt>
                <c:pt idx="532">
                  <c:v>90.16221972880976</c:v>
                </c:pt>
                <c:pt idx="533">
                  <c:v>90.181237282011381</c:v>
                </c:pt>
                <c:pt idx="534">
                  <c:v>90.015784569157404</c:v>
                </c:pt>
                <c:pt idx="535">
                  <c:v>89.787573930738148</c:v>
                </c:pt>
                <c:pt idx="536">
                  <c:v>89.8237072818212</c:v>
                </c:pt>
                <c:pt idx="537">
                  <c:v>89.895973983987304</c:v>
                </c:pt>
                <c:pt idx="538">
                  <c:v>90.112774090485601</c:v>
                </c:pt>
                <c:pt idx="539">
                  <c:v>89.433847441188291</c:v>
                </c:pt>
                <c:pt idx="540">
                  <c:v>89.232261377251277</c:v>
                </c:pt>
                <c:pt idx="541">
                  <c:v>89.449061483749574</c:v>
                </c:pt>
                <c:pt idx="542">
                  <c:v>89.289314036856084</c:v>
                </c:pt>
                <c:pt idx="543">
                  <c:v>89.005952494152169</c:v>
                </c:pt>
                <c:pt idx="544">
                  <c:v>89.080120951638435</c:v>
                </c:pt>
                <c:pt idx="545">
                  <c:v>89.078219196318273</c:v>
                </c:pt>
                <c:pt idx="546">
                  <c:v>88.787250632333695</c:v>
                </c:pt>
                <c:pt idx="547">
                  <c:v>88.986934940950562</c:v>
                </c:pt>
                <c:pt idx="548">
                  <c:v>88.927980526025578</c:v>
                </c:pt>
                <c:pt idx="549">
                  <c:v>88.927980526025578</c:v>
                </c:pt>
                <c:pt idx="550">
                  <c:v>88.937489302626361</c:v>
                </c:pt>
                <c:pt idx="551">
                  <c:v>89.220850845330276</c:v>
                </c:pt>
                <c:pt idx="552">
                  <c:v>89.04018408991503</c:v>
                </c:pt>
                <c:pt idx="553">
                  <c:v>88.720689196128077</c:v>
                </c:pt>
                <c:pt idx="554">
                  <c:v>88.460148717266094</c:v>
                </c:pt>
                <c:pt idx="555">
                  <c:v>88.58186105775637</c:v>
                </c:pt>
                <c:pt idx="556">
                  <c:v>88.730197972728888</c:v>
                </c:pt>
                <c:pt idx="557">
                  <c:v>88.695966376966012</c:v>
                </c:pt>
                <c:pt idx="558">
                  <c:v>88.829089249377262</c:v>
                </c:pt>
                <c:pt idx="559">
                  <c:v>88.865222600460299</c:v>
                </c:pt>
                <c:pt idx="560">
                  <c:v>88.781545366373237</c:v>
                </c:pt>
                <c:pt idx="561">
                  <c:v>88.8271874940571</c:v>
                </c:pt>
                <c:pt idx="562">
                  <c:v>88.950801589867538</c:v>
                </c:pt>
                <c:pt idx="563">
                  <c:v>89.10294201548038</c:v>
                </c:pt>
                <c:pt idx="564">
                  <c:v>89.232261377251291</c:v>
                </c:pt>
                <c:pt idx="565">
                  <c:v>89.203735047448887</c:v>
                </c:pt>
                <c:pt idx="566">
                  <c:v>89.692486164730141</c:v>
                </c:pt>
                <c:pt idx="567">
                  <c:v>89.420535153947199</c:v>
                </c:pt>
                <c:pt idx="568">
                  <c:v>89.186619249567443</c:v>
                </c:pt>
                <c:pt idx="569">
                  <c:v>89.196128026168253</c:v>
                </c:pt>
                <c:pt idx="570">
                  <c:v>88.853812068539369</c:v>
                </c:pt>
                <c:pt idx="571">
                  <c:v>88.610387387558831</c:v>
                </c:pt>
                <c:pt idx="572">
                  <c:v>89.034478823954629</c:v>
                </c:pt>
                <c:pt idx="573">
                  <c:v>88.585664568396766</c:v>
                </c:pt>
                <c:pt idx="574">
                  <c:v>88.300401270372674</c:v>
                </c:pt>
                <c:pt idx="575">
                  <c:v>88.509594355590323</c:v>
                </c:pt>
                <c:pt idx="576">
                  <c:v>88.456345206625826</c:v>
                </c:pt>
                <c:pt idx="577">
                  <c:v>88.545727706673375</c:v>
                </c:pt>
                <c:pt idx="578">
                  <c:v>88.384078504459737</c:v>
                </c:pt>
                <c:pt idx="579">
                  <c:v>88.218625791605774</c:v>
                </c:pt>
                <c:pt idx="580">
                  <c:v>88.505790844950027</c:v>
                </c:pt>
                <c:pt idx="581">
                  <c:v>88.941292813266784</c:v>
                </c:pt>
                <c:pt idx="582">
                  <c:v>88.962212121788554</c:v>
                </c:pt>
                <c:pt idx="583">
                  <c:v>89.023068292033685</c:v>
                </c:pt>
                <c:pt idx="584">
                  <c:v>89.258885951733603</c:v>
                </c:pt>
                <c:pt idx="585">
                  <c:v>89.334956164540017</c:v>
                </c:pt>
                <c:pt idx="586">
                  <c:v>88.699769887606394</c:v>
                </c:pt>
                <c:pt idx="587">
                  <c:v>88.602780366278225</c:v>
                </c:pt>
                <c:pt idx="588">
                  <c:v>88.095011695795364</c:v>
                </c:pt>
                <c:pt idx="589">
                  <c:v>87.564421961470572</c:v>
                </c:pt>
                <c:pt idx="590">
                  <c:v>87.168856854877191</c:v>
                </c:pt>
                <c:pt idx="591">
                  <c:v>87.514976323146414</c:v>
                </c:pt>
                <c:pt idx="592">
                  <c:v>87.098491908031264</c:v>
                </c:pt>
                <c:pt idx="593">
                  <c:v>87.688036057281025</c:v>
                </c:pt>
                <c:pt idx="594">
                  <c:v>87.714660631763266</c:v>
                </c:pt>
                <c:pt idx="595">
                  <c:v>87.959987068063981</c:v>
                </c:pt>
                <c:pt idx="596">
                  <c:v>87.880113344617243</c:v>
                </c:pt>
                <c:pt idx="597">
                  <c:v>87.925755472301091</c:v>
                </c:pt>
                <c:pt idx="598">
                  <c:v>88.127341536238106</c:v>
                </c:pt>
                <c:pt idx="599">
                  <c:v>88.273776695890461</c:v>
                </c:pt>
                <c:pt idx="600">
                  <c:v>87.777418557328559</c:v>
                </c:pt>
                <c:pt idx="601">
                  <c:v>88.085502919194553</c:v>
                </c:pt>
                <c:pt idx="602">
                  <c:v>88.617994408839508</c:v>
                </c:pt>
                <c:pt idx="603">
                  <c:v>88.914668238784557</c:v>
                </c:pt>
                <c:pt idx="604">
                  <c:v>89.045889355875644</c:v>
                </c:pt>
                <c:pt idx="605">
                  <c:v>88.850008557899102</c:v>
                </c:pt>
                <c:pt idx="606">
                  <c:v>88.792955898294295</c:v>
                </c:pt>
                <c:pt idx="607">
                  <c:v>88.895650685582964</c:v>
                </c:pt>
                <c:pt idx="608">
                  <c:v>88.834794515337848</c:v>
                </c:pt>
                <c:pt idx="609">
                  <c:v>89.024970047353889</c:v>
                </c:pt>
                <c:pt idx="610">
                  <c:v>89.268394728334428</c:v>
                </c:pt>
                <c:pt idx="611">
                  <c:v>89.64874579236654</c:v>
                </c:pt>
                <c:pt idx="612">
                  <c:v>89.618317707243975</c:v>
                </c:pt>
                <c:pt idx="613">
                  <c:v>89.920696803149497</c:v>
                </c:pt>
                <c:pt idx="614">
                  <c:v>89.91879504782932</c:v>
                </c:pt>
                <c:pt idx="615">
                  <c:v>89.968240686153493</c:v>
                </c:pt>
                <c:pt idx="616">
                  <c:v>89.511819409314967</c:v>
                </c:pt>
                <c:pt idx="617">
                  <c:v>89.295019302816669</c:v>
                </c:pt>
                <c:pt idx="618">
                  <c:v>89.593594888081867</c:v>
                </c:pt>
                <c:pt idx="619">
                  <c:v>89.760949356255992</c:v>
                </c:pt>
                <c:pt idx="620">
                  <c:v>89.719110739212454</c:v>
                </c:pt>
                <c:pt idx="621">
                  <c:v>89.019264781393375</c:v>
                </c:pt>
                <c:pt idx="622">
                  <c:v>88.827187494057171</c:v>
                </c:pt>
                <c:pt idx="623">
                  <c:v>88.73590323868946</c:v>
                </c:pt>
                <c:pt idx="624">
                  <c:v>88.821482228096698</c:v>
                </c:pt>
                <c:pt idx="625">
                  <c:v>88.378373238499307</c:v>
                </c:pt>
                <c:pt idx="626">
                  <c:v>88.557138238594405</c:v>
                </c:pt>
                <c:pt idx="627">
                  <c:v>88.372667972538821</c:v>
                </c:pt>
                <c:pt idx="628">
                  <c:v>87.71085712112297</c:v>
                </c:pt>
                <c:pt idx="629">
                  <c:v>87.688036057281039</c:v>
                </c:pt>
                <c:pt idx="630">
                  <c:v>87.524485099747238</c:v>
                </c:pt>
                <c:pt idx="631">
                  <c:v>87.560618450830276</c:v>
                </c:pt>
                <c:pt idx="632">
                  <c:v>87.767909780727777</c:v>
                </c:pt>
                <c:pt idx="633">
                  <c:v>87.319095525169885</c:v>
                </c:pt>
                <c:pt idx="634">
                  <c:v>87.360934142213409</c:v>
                </c:pt>
                <c:pt idx="635">
                  <c:v>87.832569461613218</c:v>
                </c:pt>
                <c:pt idx="636">
                  <c:v>88.114029248996971</c:v>
                </c:pt>
                <c:pt idx="637">
                  <c:v>87.611965844474597</c:v>
                </c:pt>
                <c:pt idx="638">
                  <c:v>87.518779833786724</c:v>
                </c:pt>
                <c:pt idx="639">
                  <c:v>87.830667706293042</c:v>
                </c:pt>
                <c:pt idx="640">
                  <c:v>87.516878078466561</c:v>
                </c:pt>
                <c:pt idx="641">
                  <c:v>87.096590152711087</c:v>
                </c:pt>
                <c:pt idx="642">
                  <c:v>86.990091854782079</c:v>
                </c:pt>
                <c:pt idx="643">
                  <c:v>87.33811307837145</c:v>
                </c:pt>
                <c:pt idx="644">
                  <c:v>86.963467280299838</c:v>
                </c:pt>
                <c:pt idx="645">
                  <c:v>86.875986535572451</c:v>
                </c:pt>
                <c:pt idx="646">
                  <c:v>87.30007797196825</c:v>
                </c:pt>
                <c:pt idx="647">
                  <c:v>87.636688663636662</c:v>
                </c:pt>
                <c:pt idx="648">
                  <c:v>87.760302759447086</c:v>
                </c:pt>
                <c:pt idx="649">
                  <c:v>87.722267653043886</c:v>
                </c:pt>
                <c:pt idx="650">
                  <c:v>87.963790578704263</c:v>
                </c:pt>
                <c:pt idx="651">
                  <c:v>88.197706483084019</c:v>
                </c:pt>
                <c:pt idx="652">
                  <c:v>88.309910046973485</c:v>
                </c:pt>
                <c:pt idx="653">
                  <c:v>88.598976855637886</c:v>
                </c:pt>
                <c:pt idx="654">
                  <c:v>88.264267919289637</c:v>
                </c:pt>
                <c:pt idx="655">
                  <c:v>88.361257440617834</c:v>
                </c:pt>
                <c:pt idx="656">
                  <c:v>88.075994142593757</c:v>
                </c:pt>
                <c:pt idx="657">
                  <c:v>87.556814940189938</c:v>
                </c:pt>
                <c:pt idx="658">
                  <c:v>87.42179031245854</c:v>
                </c:pt>
                <c:pt idx="659">
                  <c:v>87.625278131715717</c:v>
                </c:pt>
                <c:pt idx="660">
                  <c:v>87.391362227335975</c:v>
                </c:pt>
                <c:pt idx="661">
                  <c:v>87.104197173991736</c:v>
                </c:pt>
                <c:pt idx="662">
                  <c:v>87.32670254645052</c:v>
                </c:pt>
                <c:pt idx="663">
                  <c:v>87.212597227240892</c:v>
                </c:pt>
                <c:pt idx="664">
                  <c:v>86.953958503699056</c:v>
                </c:pt>
                <c:pt idx="665">
                  <c:v>86.972976056900649</c:v>
                </c:pt>
                <c:pt idx="666">
                  <c:v>87.220204248521526</c:v>
                </c:pt>
                <c:pt idx="667">
                  <c:v>86.777095258924135</c:v>
                </c:pt>
                <c:pt idx="668">
                  <c:v>86.900709354734573</c:v>
                </c:pt>
                <c:pt idx="669">
                  <c:v>86.809425099366862</c:v>
                </c:pt>
                <c:pt idx="670">
                  <c:v>86.798014567445904</c:v>
                </c:pt>
                <c:pt idx="671">
                  <c:v>86.969172546260353</c:v>
                </c:pt>
                <c:pt idx="672">
                  <c:v>87.383755206055341</c:v>
                </c:pt>
                <c:pt idx="673">
                  <c:v>87.503565791225455</c:v>
                </c:pt>
                <c:pt idx="674">
                  <c:v>87.128919993153829</c:v>
                </c:pt>
                <c:pt idx="675">
                  <c:v>87.340014833691654</c:v>
                </c:pt>
                <c:pt idx="676">
                  <c:v>87.516878078466576</c:v>
                </c:pt>
                <c:pt idx="677">
                  <c:v>87.606260578514124</c:v>
                </c:pt>
                <c:pt idx="678">
                  <c:v>87.703250099842307</c:v>
                </c:pt>
                <c:pt idx="679">
                  <c:v>88.043664302151043</c:v>
                </c:pt>
                <c:pt idx="680">
                  <c:v>87.689937812601187</c:v>
                </c:pt>
                <c:pt idx="681">
                  <c:v>87.543502652948831</c:v>
                </c:pt>
                <c:pt idx="682">
                  <c:v>87.077572599509494</c:v>
                </c:pt>
                <c:pt idx="683">
                  <c:v>87.882015099937391</c:v>
                </c:pt>
                <c:pt idx="684">
                  <c:v>87.63668866363669</c:v>
                </c:pt>
                <c:pt idx="685">
                  <c:v>87.446513131620634</c:v>
                </c:pt>
                <c:pt idx="686">
                  <c:v>87.286765684727158</c:v>
                </c:pt>
                <c:pt idx="687">
                  <c:v>87.136527014434478</c:v>
                </c:pt>
                <c:pt idx="688">
                  <c:v>87.222106003841688</c:v>
                </c:pt>
                <c:pt idx="689">
                  <c:v>87.092786642070777</c:v>
                </c:pt>
                <c:pt idx="690">
                  <c:v>87.03953749310628</c:v>
                </c:pt>
                <c:pt idx="691">
                  <c:v>86.860772493011183</c:v>
                </c:pt>
                <c:pt idx="692">
                  <c:v>87.149839301675584</c:v>
                </c:pt>
                <c:pt idx="693">
                  <c:v>86.847460205770062</c:v>
                </c:pt>
                <c:pt idx="694">
                  <c:v>86.704828556758017</c:v>
                </c:pt>
                <c:pt idx="695">
                  <c:v>86.373923131050091</c:v>
                </c:pt>
                <c:pt idx="696">
                  <c:v>86.598330258829037</c:v>
                </c:pt>
                <c:pt idx="697">
                  <c:v>87.128919993153815</c:v>
                </c:pt>
                <c:pt idx="698">
                  <c:v>87.545404408268965</c:v>
                </c:pt>
                <c:pt idx="699">
                  <c:v>87.75649924880679</c:v>
                </c:pt>
                <c:pt idx="700">
                  <c:v>87.703250099842279</c:v>
                </c:pt>
                <c:pt idx="701">
                  <c:v>87.684232546640672</c:v>
                </c:pt>
                <c:pt idx="702">
                  <c:v>87.843979993534163</c:v>
                </c:pt>
                <c:pt idx="703">
                  <c:v>87.682330791320524</c:v>
                </c:pt>
                <c:pt idx="704">
                  <c:v>87.651902706197959</c:v>
                </c:pt>
                <c:pt idx="705">
                  <c:v>88.174885419242102</c:v>
                </c:pt>
                <c:pt idx="706">
                  <c:v>87.937166004222036</c:v>
                </c:pt>
                <c:pt idx="707">
                  <c:v>88.12924329155824</c:v>
                </c:pt>
                <c:pt idx="708">
                  <c:v>88.075994142593743</c:v>
                </c:pt>
                <c:pt idx="709">
                  <c:v>87.94857653614298</c:v>
                </c:pt>
                <c:pt idx="710">
                  <c:v>87.674723770039847</c:v>
                </c:pt>
                <c:pt idx="711">
                  <c:v>87.456021908221402</c:v>
                </c:pt>
                <c:pt idx="712">
                  <c:v>87.288667440047277</c:v>
                </c:pt>
                <c:pt idx="713">
                  <c:v>87.130821748473949</c:v>
                </c:pt>
                <c:pt idx="714">
                  <c:v>87.009109407983672</c:v>
                </c:pt>
                <c:pt idx="715">
                  <c:v>86.767586482323281</c:v>
                </c:pt>
                <c:pt idx="716">
                  <c:v>86.550786375824984</c:v>
                </c:pt>
                <c:pt idx="717">
                  <c:v>86.636365365232194</c:v>
                </c:pt>
                <c:pt idx="718">
                  <c:v>86.782800524884564</c:v>
                </c:pt>
                <c:pt idx="719">
                  <c:v>86.62875834395156</c:v>
                </c:pt>
                <c:pt idx="720">
                  <c:v>86.073445790464689</c:v>
                </c:pt>
                <c:pt idx="721">
                  <c:v>85.94602818401394</c:v>
                </c:pt>
                <c:pt idx="722">
                  <c:v>85.866154460567202</c:v>
                </c:pt>
                <c:pt idx="723">
                  <c:v>85.934617652092967</c:v>
                </c:pt>
                <c:pt idx="724">
                  <c:v>85.706407013673712</c:v>
                </c:pt>
                <c:pt idx="725">
                  <c:v>85.788182492440612</c:v>
                </c:pt>
                <c:pt idx="726">
                  <c:v>85.694996481752739</c:v>
                </c:pt>
                <c:pt idx="727">
                  <c:v>85.736835098796263</c:v>
                </c:pt>
                <c:pt idx="728">
                  <c:v>85.529543768898762</c:v>
                </c:pt>
                <c:pt idx="729">
                  <c:v>85.392617385847217</c:v>
                </c:pt>
                <c:pt idx="730">
                  <c:v>85.213852385752134</c:v>
                </c:pt>
                <c:pt idx="731">
                  <c:v>85.173915524028757</c:v>
                </c:pt>
                <c:pt idx="732">
                  <c:v>85.217655896392458</c:v>
                </c:pt>
                <c:pt idx="733">
                  <c:v>84.837304832360346</c:v>
                </c:pt>
                <c:pt idx="734">
                  <c:v>85.194834832550526</c:v>
                </c:pt>
                <c:pt idx="735">
                  <c:v>84.616701215221724</c:v>
                </c:pt>
                <c:pt idx="736">
                  <c:v>85.114961109103774</c:v>
                </c:pt>
                <c:pt idx="737">
                  <c:v>85.586596428503569</c:v>
                </c:pt>
                <c:pt idx="738">
                  <c:v>84.907669779206259</c:v>
                </c:pt>
                <c:pt idx="739">
                  <c:v>84.268679991632325</c:v>
                </c:pt>
                <c:pt idx="740">
                  <c:v>84.072799193655797</c:v>
                </c:pt>
                <c:pt idx="741">
                  <c:v>83.848392065876865</c:v>
                </c:pt>
                <c:pt idx="742">
                  <c:v>83.962497385086493</c:v>
                </c:pt>
                <c:pt idx="743">
                  <c:v>83.880721906319593</c:v>
                </c:pt>
                <c:pt idx="744">
                  <c:v>84.270581746952502</c:v>
                </c:pt>
                <c:pt idx="745">
                  <c:v>84.23444839586945</c:v>
                </c:pt>
                <c:pt idx="746">
                  <c:v>83.973907917007466</c:v>
                </c:pt>
                <c:pt idx="747">
                  <c:v>83.673430576422106</c:v>
                </c:pt>
                <c:pt idx="748">
                  <c:v>83.31590057623194</c:v>
                </c:pt>
                <c:pt idx="749">
                  <c:v>83.452826959283485</c:v>
                </c:pt>
                <c:pt idx="750">
                  <c:v>83.118118022935249</c:v>
                </c:pt>
                <c:pt idx="751">
                  <c:v>82.655991480136251</c:v>
                </c:pt>
                <c:pt idx="752">
                  <c:v>82.920335469638559</c:v>
                </c:pt>
                <c:pt idx="753">
                  <c:v>83.16185839529895</c:v>
                </c:pt>
                <c:pt idx="754">
                  <c:v>82.722552916341868</c:v>
                </c:pt>
                <c:pt idx="755">
                  <c:v>82.893710895156318</c:v>
                </c:pt>
                <c:pt idx="756">
                  <c:v>82.986896905844176</c:v>
                </c:pt>
                <c:pt idx="757">
                  <c:v>83.502272597607686</c:v>
                </c:pt>
                <c:pt idx="758">
                  <c:v>83.390069033718206</c:v>
                </c:pt>
                <c:pt idx="759">
                  <c:v>83.530798927410089</c:v>
                </c:pt>
                <c:pt idx="760">
                  <c:v>83.430005895441568</c:v>
                </c:pt>
                <c:pt idx="761">
                  <c:v>83.291177757069846</c:v>
                </c:pt>
                <c:pt idx="762">
                  <c:v>83.194188235741677</c:v>
                </c:pt>
                <c:pt idx="763">
                  <c:v>83.093395203773156</c:v>
                </c:pt>
                <c:pt idx="764">
                  <c:v>82.886103873875669</c:v>
                </c:pt>
                <c:pt idx="765">
                  <c:v>82.819542437670052</c:v>
                </c:pt>
                <c:pt idx="766">
                  <c:v>82.060742064926004</c:v>
                </c:pt>
                <c:pt idx="767">
                  <c:v>82.22619477777998</c:v>
                </c:pt>
                <c:pt idx="768">
                  <c:v>82.684517809938669</c:v>
                </c:pt>
                <c:pt idx="769">
                  <c:v>82.416370309796037</c:v>
                </c:pt>
                <c:pt idx="770">
                  <c:v>82.509556320483895</c:v>
                </c:pt>
                <c:pt idx="771">
                  <c:v>82.38023695871297</c:v>
                </c:pt>
                <c:pt idx="772">
                  <c:v>82.070250841526814</c:v>
                </c:pt>
                <c:pt idx="773">
                  <c:v>81.610026054047964</c:v>
                </c:pt>
                <c:pt idx="774">
                  <c:v>81.404636479470639</c:v>
                </c:pt>
                <c:pt idx="775">
                  <c:v>81.212559192134435</c:v>
                </c:pt>
                <c:pt idx="776">
                  <c:v>80.9976608409563</c:v>
                </c:pt>
                <c:pt idx="777">
                  <c:v>81.720327862617282</c:v>
                </c:pt>
                <c:pt idx="778">
                  <c:v>81.674685734933433</c:v>
                </c:pt>
                <c:pt idx="779">
                  <c:v>81.636650628530219</c:v>
                </c:pt>
                <c:pt idx="780">
                  <c:v>81.798299830743858</c:v>
                </c:pt>
                <c:pt idx="781">
                  <c:v>81.463590894395594</c:v>
                </c:pt>
                <c:pt idx="782">
                  <c:v>81.533955841241522</c:v>
                </c:pt>
                <c:pt idx="783">
                  <c:v>81.804005096704316</c:v>
                </c:pt>
                <c:pt idx="784">
                  <c:v>81.849647224388178</c:v>
                </c:pt>
                <c:pt idx="785">
                  <c:v>81.549169883802819</c:v>
                </c:pt>
                <c:pt idx="786">
                  <c:v>81.649962915771312</c:v>
                </c:pt>
                <c:pt idx="787">
                  <c:v>82.163436852214645</c:v>
                </c:pt>
                <c:pt idx="788">
                  <c:v>82.342201852309728</c:v>
                </c:pt>
                <c:pt idx="789">
                  <c:v>82.695928341859585</c:v>
                </c:pt>
                <c:pt idx="790">
                  <c:v>82.952665310081244</c:v>
                </c:pt>
                <c:pt idx="791">
                  <c:v>83.302588288990776</c:v>
                </c:pt>
                <c:pt idx="792">
                  <c:v>82.716847650381339</c:v>
                </c:pt>
                <c:pt idx="793">
                  <c:v>82.865184565353871</c:v>
                </c:pt>
                <c:pt idx="794">
                  <c:v>82.859479299393385</c:v>
                </c:pt>
                <c:pt idx="795">
                  <c:v>82.777703820626485</c:v>
                </c:pt>
                <c:pt idx="796">
                  <c:v>82.728258182302298</c:v>
                </c:pt>
                <c:pt idx="797">
                  <c:v>82.625563395013643</c:v>
                </c:pt>
                <c:pt idx="798">
                  <c:v>82.975486373923175</c:v>
                </c:pt>
                <c:pt idx="799">
                  <c:v>83.055360097369928</c:v>
                </c:pt>
                <c:pt idx="800">
                  <c:v>83.386265523077853</c:v>
                </c:pt>
                <c:pt idx="801">
                  <c:v>83.131430310176341</c:v>
                </c:pt>
                <c:pt idx="802">
                  <c:v>83.207500522982755</c:v>
                </c:pt>
                <c:pt idx="803">
                  <c:v>83.418595363520566</c:v>
                </c:pt>
                <c:pt idx="804">
                  <c:v>83.814160470113961</c:v>
                </c:pt>
                <c:pt idx="805">
                  <c:v>84.228743129908949</c:v>
                </c:pt>
                <c:pt idx="806">
                  <c:v>84.462659034288691</c:v>
                </c:pt>
                <c:pt idx="807">
                  <c:v>84.236350151189583</c:v>
                </c:pt>
                <c:pt idx="808">
                  <c:v>84.316223874636336</c:v>
                </c:pt>
                <c:pt idx="809">
                  <c:v>84.280090523553284</c:v>
                </c:pt>
                <c:pt idx="810">
                  <c:v>84.730806534431323</c:v>
                </c:pt>
                <c:pt idx="811">
                  <c:v>84.536827491774943</c:v>
                </c:pt>
                <c:pt idx="812">
                  <c:v>84.498792385371743</c:v>
                </c:pt>
                <c:pt idx="813">
                  <c:v>84.597683662020088</c:v>
                </c:pt>
                <c:pt idx="814">
                  <c:v>84.441739725766922</c:v>
                </c:pt>
                <c:pt idx="815">
                  <c:v>84.042371108533217</c:v>
                </c:pt>
                <c:pt idx="816">
                  <c:v>83.59736036361565</c:v>
                </c:pt>
                <c:pt idx="817">
                  <c:v>83.74759903390833</c:v>
                </c:pt>
                <c:pt idx="818">
                  <c:v>84.148869406462197</c:v>
                </c:pt>
                <c:pt idx="819">
                  <c:v>84.913375045166717</c:v>
                </c:pt>
                <c:pt idx="820">
                  <c:v>84.983739992012659</c:v>
                </c:pt>
                <c:pt idx="821">
                  <c:v>84.901964513245758</c:v>
                </c:pt>
                <c:pt idx="822">
                  <c:v>84.67185211950634</c:v>
                </c:pt>
                <c:pt idx="823">
                  <c:v>85.12637164102469</c:v>
                </c:pt>
                <c:pt idx="824">
                  <c:v>85.031283875016669</c:v>
                </c:pt>
                <c:pt idx="825">
                  <c:v>85.097845311222272</c:v>
                </c:pt>
                <c:pt idx="826">
                  <c:v>85.531445524218867</c:v>
                </c:pt>
                <c:pt idx="827">
                  <c:v>85.938421162733206</c:v>
                </c:pt>
                <c:pt idx="828">
                  <c:v>86.195158130954866</c:v>
                </c:pt>
                <c:pt idx="829">
                  <c:v>85.799593024361485</c:v>
                </c:pt>
                <c:pt idx="830">
                  <c:v>85.335564726242325</c:v>
                </c:pt>
                <c:pt idx="831">
                  <c:v>85.331761215602</c:v>
                </c:pt>
                <c:pt idx="832">
                  <c:v>85.305136641119759</c:v>
                </c:pt>
                <c:pt idx="833">
                  <c:v>85.398322651807618</c:v>
                </c:pt>
                <c:pt idx="834">
                  <c:v>85.24618222619479</c:v>
                </c:pt>
                <c:pt idx="835">
                  <c:v>85.038890896297289</c:v>
                </c:pt>
                <c:pt idx="836">
                  <c:v>84.747922332312726</c:v>
                </c:pt>
                <c:pt idx="837">
                  <c:v>84.850617119601381</c:v>
                </c:pt>
                <c:pt idx="838">
                  <c:v>84.863929406842516</c:v>
                </c:pt>
                <c:pt idx="839">
                  <c:v>84.844911853640895</c:v>
                </c:pt>
                <c:pt idx="840">
                  <c:v>85.4078314284084</c:v>
                </c:pt>
                <c:pt idx="841">
                  <c:v>83.905444725481601</c:v>
                </c:pt>
                <c:pt idx="842">
                  <c:v>83.308293554951206</c:v>
                </c:pt>
                <c:pt idx="843">
                  <c:v>82.728258182302255</c:v>
                </c:pt>
                <c:pt idx="844">
                  <c:v>83.810356959473594</c:v>
                </c:pt>
                <c:pt idx="845">
                  <c:v>83.987220204248516</c:v>
                </c:pt>
                <c:pt idx="846">
                  <c:v>84.555845044976522</c:v>
                </c:pt>
                <c:pt idx="847">
                  <c:v>84.911473289846541</c:v>
                </c:pt>
                <c:pt idx="848">
                  <c:v>84.645227545024071</c:v>
                </c:pt>
                <c:pt idx="849">
                  <c:v>84.957115417530389</c:v>
                </c:pt>
                <c:pt idx="850">
                  <c:v>85.329859460281853</c:v>
                </c:pt>
                <c:pt idx="851">
                  <c:v>85.647452598748671</c:v>
                </c:pt>
                <c:pt idx="852">
                  <c:v>85.833824620124403</c:v>
                </c:pt>
                <c:pt idx="853">
                  <c:v>85.603712226384985</c:v>
                </c:pt>
                <c:pt idx="854">
                  <c:v>85.780575471159921</c:v>
                </c:pt>
                <c:pt idx="855">
                  <c:v>85.873761481847794</c:v>
                </c:pt>
                <c:pt idx="856">
                  <c:v>85.972652758496139</c:v>
                </c:pt>
                <c:pt idx="857">
                  <c:v>86.10197212026705</c:v>
                </c:pt>
                <c:pt idx="858">
                  <c:v>85.928912386132438</c:v>
                </c:pt>
                <c:pt idx="859">
                  <c:v>86.153319513911384</c:v>
                </c:pt>
                <c:pt idx="860">
                  <c:v>86.153319513911384</c:v>
                </c:pt>
                <c:pt idx="861">
                  <c:v>86.394842439571775</c:v>
                </c:pt>
                <c:pt idx="862">
                  <c:v>86.364414354449195</c:v>
                </c:pt>
                <c:pt idx="863">
                  <c:v>86.26171956716054</c:v>
                </c:pt>
                <c:pt idx="864">
                  <c:v>86.084856322385605</c:v>
                </c:pt>
                <c:pt idx="865">
                  <c:v>86.267424833121026</c:v>
                </c:pt>
                <c:pt idx="866">
                  <c:v>86.14951600327106</c:v>
                </c:pt>
                <c:pt idx="867">
                  <c:v>86.448091588536272</c:v>
                </c:pt>
                <c:pt idx="868">
                  <c:v>86.417663503413706</c:v>
                </c:pt>
                <c:pt idx="869">
                  <c:v>86.45950212045723</c:v>
                </c:pt>
                <c:pt idx="870">
                  <c:v>86.292147652283106</c:v>
                </c:pt>
                <c:pt idx="871">
                  <c:v>86.626856588631355</c:v>
                </c:pt>
                <c:pt idx="872">
                  <c:v>86.661088184394245</c:v>
                </c:pt>
                <c:pt idx="873">
                  <c:v>86.704828556757931</c:v>
                </c:pt>
                <c:pt idx="874">
                  <c:v>86.558393397105576</c:v>
                </c:pt>
                <c:pt idx="875">
                  <c:v>86.995797120742495</c:v>
                </c:pt>
                <c:pt idx="876">
                  <c:v>86.910218131335284</c:v>
                </c:pt>
                <c:pt idx="877">
                  <c:v>86.727649620599863</c:v>
                </c:pt>
                <c:pt idx="878">
                  <c:v>86.516554780062052</c:v>
                </c:pt>
                <c:pt idx="879">
                  <c:v>86.908316376015108</c:v>
                </c:pt>
                <c:pt idx="880">
                  <c:v>86.647775897153124</c:v>
                </c:pt>
                <c:pt idx="881">
                  <c:v>86.914021641975594</c:v>
                </c:pt>
                <c:pt idx="882">
                  <c:v>86.870281269611908</c:v>
                </c:pt>
                <c:pt idx="883">
                  <c:v>86.934940950497364</c:v>
                </c:pt>
                <c:pt idx="884">
                  <c:v>87.309586748568975</c:v>
                </c:pt>
                <c:pt idx="885">
                  <c:v>87.20689196128032</c:v>
                </c:pt>
                <c:pt idx="886">
                  <c:v>87.282962174086734</c:v>
                </c:pt>
                <c:pt idx="887">
                  <c:v>87.334309567731069</c:v>
                </c:pt>
                <c:pt idx="888">
                  <c:v>87.587243025312418</c:v>
                </c:pt>
                <c:pt idx="889">
                  <c:v>87.260141110244817</c:v>
                </c:pt>
                <c:pt idx="890">
                  <c:v>87.222106003841603</c:v>
                </c:pt>
                <c:pt idx="891">
                  <c:v>87.553011429549528</c:v>
                </c:pt>
                <c:pt idx="892">
                  <c:v>87.168856854877106</c:v>
                </c:pt>
                <c:pt idx="893">
                  <c:v>87.113705950592461</c:v>
                </c:pt>
                <c:pt idx="894">
                  <c:v>87.244927067683534</c:v>
                </c:pt>
                <c:pt idx="895">
                  <c:v>87.071867333548923</c:v>
                </c:pt>
                <c:pt idx="896">
                  <c:v>87.326702546450434</c:v>
                </c:pt>
                <c:pt idx="897">
                  <c:v>87.581537759351946</c:v>
                </c:pt>
                <c:pt idx="898">
                  <c:v>87.663313238118846</c:v>
                </c:pt>
                <c:pt idx="899">
                  <c:v>87.785025578609122</c:v>
                </c:pt>
                <c:pt idx="900">
                  <c:v>87.764106270087368</c:v>
                </c:pt>
                <c:pt idx="901">
                  <c:v>88.152064355400114</c:v>
                </c:pt>
                <c:pt idx="902">
                  <c:v>88.129243291558183</c:v>
                </c:pt>
                <c:pt idx="903">
                  <c:v>88.115931004317062</c:v>
                </c:pt>
                <c:pt idx="904">
                  <c:v>88.233839834167</c:v>
                </c:pt>
                <c:pt idx="905">
                  <c:v>88.201509993724272</c:v>
                </c:pt>
                <c:pt idx="906">
                  <c:v>87.760302759447029</c:v>
                </c:pt>
                <c:pt idx="907">
                  <c:v>87.779320312648636</c:v>
                </c:pt>
                <c:pt idx="908">
                  <c:v>87.573930738071311</c:v>
                </c:pt>
                <c:pt idx="909">
                  <c:v>87.642393929597091</c:v>
                </c:pt>
                <c:pt idx="910">
                  <c:v>87.381853450735107</c:v>
                </c:pt>
                <c:pt idx="911">
                  <c:v>87.161249833596486</c:v>
                </c:pt>
                <c:pt idx="912">
                  <c:v>87.088983131430382</c:v>
                </c:pt>
                <c:pt idx="913">
                  <c:v>87.147937546355379</c:v>
                </c:pt>
                <c:pt idx="914">
                  <c:v>87.203088450640024</c:v>
                </c:pt>
                <c:pt idx="915">
                  <c:v>87.136527014434407</c:v>
                </c:pt>
                <c:pt idx="916">
                  <c:v>87.410379780537511</c:v>
                </c:pt>
                <c:pt idx="917">
                  <c:v>87.524485099747153</c:v>
                </c:pt>
                <c:pt idx="918">
                  <c:v>87.811650153091378</c:v>
                </c:pt>
                <c:pt idx="919">
                  <c:v>87.514976323146342</c:v>
                </c:pt>
                <c:pt idx="920">
                  <c:v>87.244927067683548</c:v>
                </c:pt>
                <c:pt idx="921">
                  <c:v>86.634463609912032</c:v>
                </c:pt>
                <c:pt idx="922">
                  <c:v>86.583116216267697</c:v>
                </c:pt>
                <c:pt idx="923">
                  <c:v>86.117186162828375</c:v>
                </c:pt>
                <c:pt idx="924">
                  <c:v>86.086758077705809</c:v>
                </c:pt>
                <c:pt idx="925">
                  <c:v>86.529867067303201</c:v>
                </c:pt>
                <c:pt idx="926">
                  <c:v>86.664891695034598</c:v>
                </c:pt>
                <c:pt idx="927">
                  <c:v>86.801818078086157</c:v>
                </c:pt>
                <c:pt idx="928">
                  <c:v>86.97677956754093</c:v>
                </c:pt>
                <c:pt idx="929">
                  <c:v>87.182169142118269</c:v>
                </c:pt>
                <c:pt idx="930">
                  <c:v>87.153642812315852</c:v>
                </c:pt>
                <c:pt idx="931">
                  <c:v>87.035733982465885</c:v>
                </c:pt>
                <c:pt idx="932">
                  <c:v>87.431299089059266</c:v>
                </c:pt>
                <c:pt idx="933">
                  <c:v>87.562520206150339</c:v>
                </c:pt>
                <c:pt idx="934">
                  <c:v>87.178365631477917</c:v>
                </c:pt>
                <c:pt idx="935">
                  <c:v>87.231614780442413</c:v>
                </c:pt>
                <c:pt idx="936">
                  <c:v>87.098491908031178</c:v>
                </c:pt>
                <c:pt idx="937">
                  <c:v>86.938744461137702</c:v>
                </c:pt>
                <c:pt idx="938">
                  <c:v>87.024323450544912</c:v>
                </c:pt>
                <c:pt idx="939">
                  <c:v>86.820835631287736</c:v>
                </c:pt>
                <c:pt idx="940">
                  <c:v>87.376148184774607</c:v>
                </c:pt>
                <c:pt idx="941">
                  <c:v>87.102295418671488</c:v>
                </c:pt>
                <c:pt idx="942">
                  <c:v>87.039537493106195</c:v>
                </c:pt>
                <c:pt idx="943">
                  <c:v>87.075670844189233</c:v>
                </c:pt>
                <c:pt idx="944">
                  <c:v>87.081376110149719</c:v>
                </c:pt>
                <c:pt idx="945">
                  <c:v>87.12511648251342</c:v>
                </c:pt>
                <c:pt idx="946">
                  <c:v>87.02242169522475</c:v>
                </c:pt>
                <c:pt idx="947">
                  <c:v>86.752372439761956</c:v>
                </c:pt>
                <c:pt idx="948">
                  <c:v>86.895004088774002</c:v>
                </c:pt>
                <c:pt idx="949">
                  <c:v>86.856968982370788</c:v>
                </c:pt>
                <c:pt idx="950">
                  <c:v>87.108000684631975</c:v>
                </c:pt>
                <c:pt idx="951">
                  <c:v>87.069965578228761</c:v>
                </c:pt>
                <c:pt idx="952">
                  <c:v>86.910218131335284</c:v>
                </c:pt>
                <c:pt idx="953">
                  <c:v>86.971074301580416</c:v>
                </c:pt>
                <c:pt idx="954">
                  <c:v>87.214498982560954</c:v>
                </c:pt>
                <c:pt idx="955">
                  <c:v>87.32289903581011</c:v>
                </c:pt>
              </c:numCache>
            </c:numRef>
          </c:val>
          <c:smooth val="0"/>
          <c:extLst>
            <c:ext xmlns:c16="http://schemas.microsoft.com/office/drawing/2014/chart" uri="{C3380CC4-5D6E-409C-BE32-E72D297353CC}">
              <c16:uniqueId val="{00000000-DDB5-4BA8-A66B-FD490C18AA1A}"/>
            </c:ext>
          </c:extLst>
        </c:ser>
        <c:ser>
          <c:idx val="1"/>
          <c:order val="1"/>
          <c:tx>
            <c:strRef>
              <c:f>Sheet1!$C$1</c:f>
              <c:strCache>
                <c:ptCount val="1"/>
                <c:pt idx="0">
                  <c:v>ՀՀ դրամ</c:v>
                </c:pt>
              </c:strCache>
            </c:strRef>
          </c:tx>
          <c:spPr>
            <a:ln w="19050" cap="rnd">
              <a:solidFill>
                <a:srgbClr val="1F497D"/>
              </a:solidFill>
              <a:round/>
            </a:ln>
            <a:effectLst/>
          </c:spPr>
          <c:marker>
            <c:symbol val="none"/>
          </c:marker>
          <c:cat>
            <c:numRef>
              <c:f>Sheet1!$A$2:$A$1223</c:f>
              <c:numCache>
                <c:formatCode>dd\/mm\/yy</c:formatCode>
                <c:ptCount val="1222"/>
                <c:pt idx="0">
                  <c:v>44564</c:v>
                </c:pt>
                <c:pt idx="1">
                  <c:v>44565</c:v>
                </c:pt>
                <c:pt idx="2">
                  <c:v>44566</c:v>
                </c:pt>
                <c:pt idx="3">
                  <c:v>44567</c:v>
                </c:pt>
                <c:pt idx="4">
                  <c:v>44568</c:v>
                </c:pt>
                <c:pt idx="5">
                  <c:v>44571</c:v>
                </c:pt>
                <c:pt idx="6">
                  <c:v>44572</c:v>
                </c:pt>
                <c:pt idx="7">
                  <c:v>44573</c:v>
                </c:pt>
                <c:pt idx="8">
                  <c:v>44574</c:v>
                </c:pt>
                <c:pt idx="9">
                  <c:v>44575</c:v>
                </c:pt>
                <c:pt idx="10">
                  <c:v>44578</c:v>
                </c:pt>
                <c:pt idx="11">
                  <c:v>44579</c:v>
                </c:pt>
                <c:pt idx="12">
                  <c:v>44580</c:v>
                </c:pt>
                <c:pt idx="13">
                  <c:v>44581</c:v>
                </c:pt>
                <c:pt idx="14">
                  <c:v>44582</c:v>
                </c:pt>
                <c:pt idx="15">
                  <c:v>44585</c:v>
                </c:pt>
                <c:pt idx="16">
                  <c:v>44586</c:v>
                </c:pt>
                <c:pt idx="17">
                  <c:v>44587</c:v>
                </c:pt>
                <c:pt idx="18">
                  <c:v>44588</c:v>
                </c:pt>
                <c:pt idx="19">
                  <c:v>44589</c:v>
                </c:pt>
                <c:pt idx="20">
                  <c:v>44592</c:v>
                </c:pt>
                <c:pt idx="21">
                  <c:v>44593</c:v>
                </c:pt>
                <c:pt idx="22">
                  <c:v>44594</c:v>
                </c:pt>
                <c:pt idx="23">
                  <c:v>44595</c:v>
                </c:pt>
                <c:pt idx="24">
                  <c:v>44596</c:v>
                </c:pt>
                <c:pt idx="25">
                  <c:v>44599</c:v>
                </c:pt>
                <c:pt idx="26">
                  <c:v>44600</c:v>
                </c:pt>
                <c:pt idx="27">
                  <c:v>44601</c:v>
                </c:pt>
                <c:pt idx="28">
                  <c:v>44602</c:v>
                </c:pt>
                <c:pt idx="29">
                  <c:v>44603</c:v>
                </c:pt>
                <c:pt idx="30">
                  <c:v>44606</c:v>
                </c:pt>
                <c:pt idx="31">
                  <c:v>44607</c:v>
                </c:pt>
                <c:pt idx="32">
                  <c:v>44608</c:v>
                </c:pt>
                <c:pt idx="33">
                  <c:v>44609</c:v>
                </c:pt>
                <c:pt idx="34">
                  <c:v>44610</c:v>
                </c:pt>
                <c:pt idx="35">
                  <c:v>44613</c:v>
                </c:pt>
                <c:pt idx="36">
                  <c:v>44614</c:v>
                </c:pt>
                <c:pt idx="37">
                  <c:v>44615</c:v>
                </c:pt>
                <c:pt idx="38">
                  <c:v>44616</c:v>
                </c:pt>
                <c:pt idx="39">
                  <c:v>44617</c:v>
                </c:pt>
                <c:pt idx="40">
                  <c:v>44620</c:v>
                </c:pt>
                <c:pt idx="41">
                  <c:v>44621</c:v>
                </c:pt>
                <c:pt idx="42">
                  <c:v>44622</c:v>
                </c:pt>
                <c:pt idx="43">
                  <c:v>44623</c:v>
                </c:pt>
                <c:pt idx="44">
                  <c:v>44624</c:v>
                </c:pt>
                <c:pt idx="45">
                  <c:v>44627</c:v>
                </c:pt>
                <c:pt idx="46">
                  <c:v>44628</c:v>
                </c:pt>
                <c:pt idx="47">
                  <c:v>44629</c:v>
                </c:pt>
                <c:pt idx="48">
                  <c:v>44630</c:v>
                </c:pt>
                <c:pt idx="49">
                  <c:v>44631</c:v>
                </c:pt>
                <c:pt idx="50">
                  <c:v>44634</c:v>
                </c:pt>
                <c:pt idx="51">
                  <c:v>44635</c:v>
                </c:pt>
                <c:pt idx="52">
                  <c:v>44636</c:v>
                </c:pt>
                <c:pt idx="53">
                  <c:v>44637</c:v>
                </c:pt>
                <c:pt idx="54">
                  <c:v>44638</c:v>
                </c:pt>
                <c:pt idx="55">
                  <c:v>44641</c:v>
                </c:pt>
                <c:pt idx="56">
                  <c:v>44642</c:v>
                </c:pt>
                <c:pt idx="57">
                  <c:v>44643</c:v>
                </c:pt>
                <c:pt idx="58">
                  <c:v>44644</c:v>
                </c:pt>
                <c:pt idx="59">
                  <c:v>44645</c:v>
                </c:pt>
                <c:pt idx="60">
                  <c:v>44648</c:v>
                </c:pt>
                <c:pt idx="61">
                  <c:v>44649</c:v>
                </c:pt>
                <c:pt idx="62">
                  <c:v>44650</c:v>
                </c:pt>
                <c:pt idx="63">
                  <c:v>44651</c:v>
                </c:pt>
                <c:pt idx="64">
                  <c:v>44652</c:v>
                </c:pt>
                <c:pt idx="65">
                  <c:v>44655</c:v>
                </c:pt>
                <c:pt idx="66">
                  <c:v>44656</c:v>
                </c:pt>
                <c:pt idx="67">
                  <c:v>44657</c:v>
                </c:pt>
                <c:pt idx="68">
                  <c:v>44658</c:v>
                </c:pt>
                <c:pt idx="69">
                  <c:v>44659</c:v>
                </c:pt>
                <c:pt idx="70">
                  <c:v>44662</c:v>
                </c:pt>
                <c:pt idx="71">
                  <c:v>44663</c:v>
                </c:pt>
                <c:pt idx="72">
                  <c:v>44664</c:v>
                </c:pt>
                <c:pt idx="73">
                  <c:v>44665</c:v>
                </c:pt>
                <c:pt idx="74">
                  <c:v>44669</c:v>
                </c:pt>
                <c:pt idx="75">
                  <c:v>44670</c:v>
                </c:pt>
                <c:pt idx="76">
                  <c:v>44671</c:v>
                </c:pt>
                <c:pt idx="77">
                  <c:v>44672</c:v>
                </c:pt>
                <c:pt idx="78">
                  <c:v>44673</c:v>
                </c:pt>
                <c:pt idx="79">
                  <c:v>44676</c:v>
                </c:pt>
                <c:pt idx="80">
                  <c:v>44677</c:v>
                </c:pt>
                <c:pt idx="81">
                  <c:v>44678</c:v>
                </c:pt>
                <c:pt idx="82">
                  <c:v>44679</c:v>
                </c:pt>
                <c:pt idx="83">
                  <c:v>44680</c:v>
                </c:pt>
                <c:pt idx="84">
                  <c:v>44683</c:v>
                </c:pt>
                <c:pt idx="85">
                  <c:v>44684</c:v>
                </c:pt>
                <c:pt idx="86">
                  <c:v>44685</c:v>
                </c:pt>
                <c:pt idx="87">
                  <c:v>44686</c:v>
                </c:pt>
                <c:pt idx="88">
                  <c:v>44687</c:v>
                </c:pt>
                <c:pt idx="89">
                  <c:v>44690</c:v>
                </c:pt>
                <c:pt idx="90">
                  <c:v>44691</c:v>
                </c:pt>
                <c:pt idx="91">
                  <c:v>44692</c:v>
                </c:pt>
                <c:pt idx="92">
                  <c:v>44693</c:v>
                </c:pt>
                <c:pt idx="93">
                  <c:v>44694</c:v>
                </c:pt>
                <c:pt idx="94">
                  <c:v>44697</c:v>
                </c:pt>
                <c:pt idx="95">
                  <c:v>44698</c:v>
                </c:pt>
                <c:pt idx="96">
                  <c:v>44699</c:v>
                </c:pt>
                <c:pt idx="97">
                  <c:v>44700</c:v>
                </c:pt>
                <c:pt idx="98">
                  <c:v>44701</c:v>
                </c:pt>
                <c:pt idx="99">
                  <c:v>44704</c:v>
                </c:pt>
                <c:pt idx="100">
                  <c:v>44705</c:v>
                </c:pt>
                <c:pt idx="101">
                  <c:v>44706</c:v>
                </c:pt>
                <c:pt idx="102">
                  <c:v>44707</c:v>
                </c:pt>
                <c:pt idx="103">
                  <c:v>44708</c:v>
                </c:pt>
                <c:pt idx="104">
                  <c:v>44711</c:v>
                </c:pt>
                <c:pt idx="105">
                  <c:v>44712</c:v>
                </c:pt>
                <c:pt idx="106">
                  <c:v>44713</c:v>
                </c:pt>
                <c:pt idx="107">
                  <c:v>44714</c:v>
                </c:pt>
                <c:pt idx="108">
                  <c:v>44715</c:v>
                </c:pt>
                <c:pt idx="109">
                  <c:v>44718</c:v>
                </c:pt>
                <c:pt idx="110">
                  <c:v>44719</c:v>
                </c:pt>
                <c:pt idx="111">
                  <c:v>44720</c:v>
                </c:pt>
                <c:pt idx="112">
                  <c:v>44721</c:v>
                </c:pt>
                <c:pt idx="113">
                  <c:v>44722</c:v>
                </c:pt>
                <c:pt idx="114">
                  <c:v>44725</c:v>
                </c:pt>
                <c:pt idx="115">
                  <c:v>44726</c:v>
                </c:pt>
                <c:pt idx="116">
                  <c:v>44727</c:v>
                </c:pt>
                <c:pt idx="117">
                  <c:v>44728</c:v>
                </c:pt>
                <c:pt idx="118">
                  <c:v>44729</c:v>
                </c:pt>
                <c:pt idx="119">
                  <c:v>44732</c:v>
                </c:pt>
                <c:pt idx="120">
                  <c:v>44733</c:v>
                </c:pt>
                <c:pt idx="121">
                  <c:v>44734</c:v>
                </c:pt>
                <c:pt idx="122">
                  <c:v>44735</c:v>
                </c:pt>
                <c:pt idx="123">
                  <c:v>44736</c:v>
                </c:pt>
                <c:pt idx="124">
                  <c:v>44739</c:v>
                </c:pt>
                <c:pt idx="125">
                  <c:v>44740</c:v>
                </c:pt>
                <c:pt idx="126">
                  <c:v>44741</c:v>
                </c:pt>
                <c:pt idx="127">
                  <c:v>44742</c:v>
                </c:pt>
                <c:pt idx="128">
                  <c:v>44743</c:v>
                </c:pt>
                <c:pt idx="129">
                  <c:v>44746</c:v>
                </c:pt>
                <c:pt idx="130">
                  <c:v>44747</c:v>
                </c:pt>
                <c:pt idx="131">
                  <c:v>44748</c:v>
                </c:pt>
                <c:pt idx="132">
                  <c:v>44749</c:v>
                </c:pt>
                <c:pt idx="133">
                  <c:v>44750</c:v>
                </c:pt>
                <c:pt idx="134">
                  <c:v>44753</c:v>
                </c:pt>
                <c:pt idx="135">
                  <c:v>44754</c:v>
                </c:pt>
                <c:pt idx="136">
                  <c:v>44755</c:v>
                </c:pt>
                <c:pt idx="137">
                  <c:v>44756</c:v>
                </c:pt>
                <c:pt idx="138">
                  <c:v>44757</c:v>
                </c:pt>
                <c:pt idx="139">
                  <c:v>44760</c:v>
                </c:pt>
                <c:pt idx="140">
                  <c:v>44761</c:v>
                </c:pt>
                <c:pt idx="141">
                  <c:v>44762</c:v>
                </c:pt>
                <c:pt idx="142">
                  <c:v>44763</c:v>
                </c:pt>
                <c:pt idx="143">
                  <c:v>44764</c:v>
                </c:pt>
                <c:pt idx="144">
                  <c:v>44767</c:v>
                </c:pt>
                <c:pt idx="145">
                  <c:v>44768</c:v>
                </c:pt>
                <c:pt idx="146">
                  <c:v>44769</c:v>
                </c:pt>
                <c:pt idx="147">
                  <c:v>44770</c:v>
                </c:pt>
                <c:pt idx="148">
                  <c:v>44771</c:v>
                </c:pt>
                <c:pt idx="149">
                  <c:v>44774</c:v>
                </c:pt>
                <c:pt idx="150">
                  <c:v>44775</c:v>
                </c:pt>
                <c:pt idx="151">
                  <c:v>44776</c:v>
                </c:pt>
                <c:pt idx="152">
                  <c:v>44777</c:v>
                </c:pt>
                <c:pt idx="153">
                  <c:v>44778</c:v>
                </c:pt>
                <c:pt idx="154">
                  <c:v>44781</c:v>
                </c:pt>
                <c:pt idx="155">
                  <c:v>44782</c:v>
                </c:pt>
                <c:pt idx="156">
                  <c:v>44783</c:v>
                </c:pt>
                <c:pt idx="157">
                  <c:v>44784</c:v>
                </c:pt>
                <c:pt idx="158">
                  <c:v>44785</c:v>
                </c:pt>
                <c:pt idx="159">
                  <c:v>44788</c:v>
                </c:pt>
                <c:pt idx="160">
                  <c:v>44789</c:v>
                </c:pt>
                <c:pt idx="161">
                  <c:v>44790</c:v>
                </c:pt>
                <c:pt idx="162">
                  <c:v>44791</c:v>
                </c:pt>
                <c:pt idx="163">
                  <c:v>44792</c:v>
                </c:pt>
                <c:pt idx="164">
                  <c:v>44795</c:v>
                </c:pt>
                <c:pt idx="165">
                  <c:v>44796</c:v>
                </c:pt>
                <c:pt idx="166">
                  <c:v>44797</c:v>
                </c:pt>
                <c:pt idx="167">
                  <c:v>44798</c:v>
                </c:pt>
                <c:pt idx="168">
                  <c:v>44799</c:v>
                </c:pt>
                <c:pt idx="169">
                  <c:v>44802</c:v>
                </c:pt>
                <c:pt idx="170">
                  <c:v>44803</c:v>
                </c:pt>
                <c:pt idx="171">
                  <c:v>44804</c:v>
                </c:pt>
                <c:pt idx="172">
                  <c:v>44805</c:v>
                </c:pt>
                <c:pt idx="173">
                  <c:v>44806</c:v>
                </c:pt>
                <c:pt idx="174">
                  <c:v>44809</c:v>
                </c:pt>
                <c:pt idx="175">
                  <c:v>44810</c:v>
                </c:pt>
                <c:pt idx="176">
                  <c:v>44811</c:v>
                </c:pt>
                <c:pt idx="177">
                  <c:v>44812</c:v>
                </c:pt>
                <c:pt idx="178">
                  <c:v>44813</c:v>
                </c:pt>
                <c:pt idx="179">
                  <c:v>44816</c:v>
                </c:pt>
                <c:pt idx="180">
                  <c:v>44817</c:v>
                </c:pt>
                <c:pt idx="181">
                  <c:v>44818</c:v>
                </c:pt>
                <c:pt idx="182">
                  <c:v>44819</c:v>
                </c:pt>
                <c:pt idx="183">
                  <c:v>44820</c:v>
                </c:pt>
                <c:pt idx="184">
                  <c:v>44823</c:v>
                </c:pt>
                <c:pt idx="185">
                  <c:v>44824</c:v>
                </c:pt>
                <c:pt idx="186">
                  <c:v>44825</c:v>
                </c:pt>
                <c:pt idx="187">
                  <c:v>44826</c:v>
                </c:pt>
                <c:pt idx="188">
                  <c:v>44827</c:v>
                </c:pt>
                <c:pt idx="189">
                  <c:v>44830</c:v>
                </c:pt>
                <c:pt idx="190">
                  <c:v>44831</c:v>
                </c:pt>
                <c:pt idx="191">
                  <c:v>44832</c:v>
                </c:pt>
                <c:pt idx="192">
                  <c:v>44833</c:v>
                </c:pt>
                <c:pt idx="193">
                  <c:v>44834</c:v>
                </c:pt>
                <c:pt idx="194">
                  <c:v>44837</c:v>
                </c:pt>
                <c:pt idx="195">
                  <c:v>44838</c:v>
                </c:pt>
                <c:pt idx="196">
                  <c:v>44839</c:v>
                </c:pt>
                <c:pt idx="197">
                  <c:v>44840</c:v>
                </c:pt>
                <c:pt idx="198">
                  <c:v>44841</c:v>
                </c:pt>
                <c:pt idx="199">
                  <c:v>44844</c:v>
                </c:pt>
                <c:pt idx="200">
                  <c:v>44845</c:v>
                </c:pt>
                <c:pt idx="201">
                  <c:v>44846</c:v>
                </c:pt>
                <c:pt idx="202">
                  <c:v>44847</c:v>
                </c:pt>
                <c:pt idx="203">
                  <c:v>44848</c:v>
                </c:pt>
                <c:pt idx="204">
                  <c:v>44851</c:v>
                </c:pt>
                <c:pt idx="205">
                  <c:v>44852</c:v>
                </c:pt>
                <c:pt idx="206">
                  <c:v>44853</c:v>
                </c:pt>
                <c:pt idx="207">
                  <c:v>44854</c:v>
                </c:pt>
                <c:pt idx="208">
                  <c:v>44855</c:v>
                </c:pt>
                <c:pt idx="209">
                  <c:v>44858</c:v>
                </c:pt>
                <c:pt idx="210">
                  <c:v>44859</c:v>
                </c:pt>
                <c:pt idx="211">
                  <c:v>44860</c:v>
                </c:pt>
                <c:pt idx="212">
                  <c:v>44861</c:v>
                </c:pt>
                <c:pt idx="213">
                  <c:v>44862</c:v>
                </c:pt>
                <c:pt idx="214">
                  <c:v>44865</c:v>
                </c:pt>
                <c:pt idx="215">
                  <c:v>44866</c:v>
                </c:pt>
                <c:pt idx="216">
                  <c:v>44867</c:v>
                </c:pt>
                <c:pt idx="217">
                  <c:v>44868</c:v>
                </c:pt>
                <c:pt idx="218">
                  <c:v>44869</c:v>
                </c:pt>
                <c:pt idx="219">
                  <c:v>44872</c:v>
                </c:pt>
                <c:pt idx="220">
                  <c:v>44873</c:v>
                </c:pt>
                <c:pt idx="221">
                  <c:v>44874</c:v>
                </c:pt>
                <c:pt idx="222">
                  <c:v>44875</c:v>
                </c:pt>
                <c:pt idx="223">
                  <c:v>44876</c:v>
                </c:pt>
                <c:pt idx="224">
                  <c:v>44879</c:v>
                </c:pt>
                <c:pt idx="225">
                  <c:v>44880</c:v>
                </c:pt>
                <c:pt idx="226">
                  <c:v>44881</c:v>
                </c:pt>
                <c:pt idx="227">
                  <c:v>44882</c:v>
                </c:pt>
                <c:pt idx="228">
                  <c:v>44883</c:v>
                </c:pt>
                <c:pt idx="229">
                  <c:v>44886</c:v>
                </c:pt>
                <c:pt idx="230">
                  <c:v>44887</c:v>
                </c:pt>
                <c:pt idx="231">
                  <c:v>44888</c:v>
                </c:pt>
                <c:pt idx="232">
                  <c:v>44889</c:v>
                </c:pt>
                <c:pt idx="233">
                  <c:v>44890</c:v>
                </c:pt>
                <c:pt idx="234">
                  <c:v>44893</c:v>
                </c:pt>
                <c:pt idx="235">
                  <c:v>44894</c:v>
                </c:pt>
                <c:pt idx="236">
                  <c:v>44895</c:v>
                </c:pt>
                <c:pt idx="237">
                  <c:v>44896</c:v>
                </c:pt>
                <c:pt idx="238">
                  <c:v>44897</c:v>
                </c:pt>
                <c:pt idx="239">
                  <c:v>44900</c:v>
                </c:pt>
                <c:pt idx="240">
                  <c:v>44901</c:v>
                </c:pt>
                <c:pt idx="241">
                  <c:v>44902</c:v>
                </c:pt>
                <c:pt idx="242">
                  <c:v>44903</c:v>
                </c:pt>
                <c:pt idx="243">
                  <c:v>44904</c:v>
                </c:pt>
                <c:pt idx="244">
                  <c:v>44907</c:v>
                </c:pt>
                <c:pt idx="245">
                  <c:v>44908</c:v>
                </c:pt>
                <c:pt idx="246">
                  <c:v>44909</c:v>
                </c:pt>
                <c:pt idx="247">
                  <c:v>44910</c:v>
                </c:pt>
                <c:pt idx="248">
                  <c:v>44911</c:v>
                </c:pt>
                <c:pt idx="249">
                  <c:v>44914</c:v>
                </c:pt>
                <c:pt idx="250">
                  <c:v>44915</c:v>
                </c:pt>
                <c:pt idx="251">
                  <c:v>44916</c:v>
                </c:pt>
                <c:pt idx="252">
                  <c:v>44917</c:v>
                </c:pt>
                <c:pt idx="253">
                  <c:v>44918</c:v>
                </c:pt>
                <c:pt idx="254">
                  <c:v>44922</c:v>
                </c:pt>
                <c:pt idx="255">
                  <c:v>44923</c:v>
                </c:pt>
                <c:pt idx="256">
                  <c:v>44924</c:v>
                </c:pt>
                <c:pt idx="257">
                  <c:v>44925</c:v>
                </c:pt>
                <c:pt idx="258">
                  <c:v>44929</c:v>
                </c:pt>
                <c:pt idx="259">
                  <c:v>44930</c:v>
                </c:pt>
                <c:pt idx="260">
                  <c:v>44931</c:v>
                </c:pt>
                <c:pt idx="261">
                  <c:v>44932</c:v>
                </c:pt>
                <c:pt idx="262">
                  <c:v>44935</c:v>
                </c:pt>
                <c:pt idx="263">
                  <c:v>44936</c:v>
                </c:pt>
                <c:pt idx="264">
                  <c:v>44937</c:v>
                </c:pt>
                <c:pt idx="265">
                  <c:v>44938</c:v>
                </c:pt>
                <c:pt idx="266">
                  <c:v>44939</c:v>
                </c:pt>
                <c:pt idx="267">
                  <c:v>44942</c:v>
                </c:pt>
                <c:pt idx="268">
                  <c:v>44943</c:v>
                </c:pt>
                <c:pt idx="269">
                  <c:v>44944</c:v>
                </c:pt>
                <c:pt idx="270">
                  <c:v>44945</c:v>
                </c:pt>
                <c:pt idx="271">
                  <c:v>44946</c:v>
                </c:pt>
                <c:pt idx="272">
                  <c:v>44949</c:v>
                </c:pt>
                <c:pt idx="273">
                  <c:v>44950</c:v>
                </c:pt>
                <c:pt idx="274">
                  <c:v>44951</c:v>
                </c:pt>
                <c:pt idx="275">
                  <c:v>44952</c:v>
                </c:pt>
                <c:pt idx="276">
                  <c:v>44953</c:v>
                </c:pt>
                <c:pt idx="277">
                  <c:v>44956</c:v>
                </c:pt>
                <c:pt idx="278">
                  <c:v>44957</c:v>
                </c:pt>
                <c:pt idx="279">
                  <c:v>44958</c:v>
                </c:pt>
                <c:pt idx="280">
                  <c:v>44959</c:v>
                </c:pt>
                <c:pt idx="281">
                  <c:v>44960</c:v>
                </c:pt>
                <c:pt idx="282">
                  <c:v>44963</c:v>
                </c:pt>
                <c:pt idx="283">
                  <c:v>44964</c:v>
                </c:pt>
                <c:pt idx="284">
                  <c:v>44965</c:v>
                </c:pt>
                <c:pt idx="285">
                  <c:v>44966</c:v>
                </c:pt>
                <c:pt idx="286">
                  <c:v>44967</c:v>
                </c:pt>
                <c:pt idx="287">
                  <c:v>44970</c:v>
                </c:pt>
                <c:pt idx="288">
                  <c:v>44971</c:v>
                </c:pt>
                <c:pt idx="289">
                  <c:v>44972</c:v>
                </c:pt>
                <c:pt idx="290">
                  <c:v>44973</c:v>
                </c:pt>
                <c:pt idx="291">
                  <c:v>44974</c:v>
                </c:pt>
                <c:pt idx="292">
                  <c:v>44977</c:v>
                </c:pt>
                <c:pt idx="293">
                  <c:v>44978</c:v>
                </c:pt>
                <c:pt idx="294">
                  <c:v>44979</c:v>
                </c:pt>
                <c:pt idx="295">
                  <c:v>44980</c:v>
                </c:pt>
                <c:pt idx="296">
                  <c:v>44981</c:v>
                </c:pt>
                <c:pt idx="297">
                  <c:v>44984</c:v>
                </c:pt>
                <c:pt idx="298">
                  <c:v>44985</c:v>
                </c:pt>
                <c:pt idx="299">
                  <c:v>44986</c:v>
                </c:pt>
                <c:pt idx="300">
                  <c:v>44987</c:v>
                </c:pt>
                <c:pt idx="301">
                  <c:v>44988</c:v>
                </c:pt>
                <c:pt idx="302">
                  <c:v>44991</c:v>
                </c:pt>
                <c:pt idx="303">
                  <c:v>44992</c:v>
                </c:pt>
                <c:pt idx="304">
                  <c:v>44993</c:v>
                </c:pt>
                <c:pt idx="305">
                  <c:v>44994</c:v>
                </c:pt>
                <c:pt idx="306">
                  <c:v>44995</c:v>
                </c:pt>
                <c:pt idx="307">
                  <c:v>44998</c:v>
                </c:pt>
                <c:pt idx="308">
                  <c:v>44999</c:v>
                </c:pt>
                <c:pt idx="309">
                  <c:v>45000</c:v>
                </c:pt>
                <c:pt idx="310">
                  <c:v>45001</c:v>
                </c:pt>
                <c:pt idx="311">
                  <c:v>45002</c:v>
                </c:pt>
                <c:pt idx="312">
                  <c:v>45005</c:v>
                </c:pt>
                <c:pt idx="313">
                  <c:v>45006</c:v>
                </c:pt>
                <c:pt idx="314">
                  <c:v>45007</c:v>
                </c:pt>
                <c:pt idx="315">
                  <c:v>45008</c:v>
                </c:pt>
                <c:pt idx="316">
                  <c:v>45009</c:v>
                </c:pt>
                <c:pt idx="317">
                  <c:v>45012</c:v>
                </c:pt>
                <c:pt idx="318">
                  <c:v>45013</c:v>
                </c:pt>
                <c:pt idx="319">
                  <c:v>45014</c:v>
                </c:pt>
                <c:pt idx="320">
                  <c:v>45015</c:v>
                </c:pt>
                <c:pt idx="321">
                  <c:v>45016</c:v>
                </c:pt>
                <c:pt idx="322">
                  <c:v>45019</c:v>
                </c:pt>
                <c:pt idx="323">
                  <c:v>45020</c:v>
                </c:pt>
                <c:pt idx="324">
                  <c:v>45021</c:v>
                </c:pt>
                <c:pt idx="325">
                  <c:v>45022</c:v>
                </c:pt>
                <c:pt idx="326">
                  <c:v>45023</c:v>
                </c:pt>
                <c:pt idx="327">
                  <c:v>45026</c:v>
                </c:pt>
                <c:pt idx="328">
                  <c:v>45027</c:v>
                </c:pt>
                <c:pt idx="329">
                  <c:v>45028</c:v>
                </c:pt>
                <c:pt idx="330">
                  <c:v>45029</c:v>
                </c:pt>
                <c:pt idx="331">
                  <c:v>45030</c:v>
                </c:pt>
                <c:pt idx="332">
                  <c:v>45033</c:v>
                </c:pt>
                <c:pt idx="333">
                  <c:v>45034</c:v>
                </c:pt>
                <c:pt idx="334">
                  <c:v>45035</c:v>
                </c:pt>
                <c:pt idx="335">
                  <c:v>45036</c:v>
                </c:pt>
                <c:pt idx="336">
                  <c:v>45037</c:v>
                </c:pt>
                <c:pt idx="337">
                  <c:v>45040</c:v>
                </c:pt>
                <c:pt idx="338">
                  <c:v>45041</c:v>
                </c:pt>
                <c:pt idx="339">
                  <c:v>45042</c:v>
                </c:pt>
                <c:pt idx="340">
                  <c:v>45043</c:v>
                </c:pt>
                <c:pt idx="341">
                  <c:v>45044</c:v>
                </c:pt>
                <c:pt idx="342">
                  <c:v>45047</c:v>
                </c:pt>
                <c:pt idx="343">
                  <c:v>45048</c:v>
                </c:pt>
                <c:pt idx="344">
                  <c:v>45049</c:v>
                </c:pt>
                <c:pt idx="345">
                  <c:v>45050</c:v>
                </c:pt>
                <c:pt idx="346">
                  <c:v>45051</c:v>
                </c:pt>
                <c:pt idx="347">
                  <c:v>45054</c:v>
                </c:pt>
                <c:pt idx="348">
                  <c:v>45055</c:v>
                </c:pt>
                <c:pt idx="349">
                  <c:v>45056</c:v>
                </c:pt>
                <c:pt idx="350">
                  <c:v>45057</c:v>
                </c:pt>
                <c:pt idx="351">
                  <c:v>45058</c:v>
                </c:pt>
                <c:pt idx="352">
                  <c:v>45061</c:v>
                </c:pt>
                <c:pt idx="353">
                  <c:v>45062</c:v>
                </c:pt>
                <c:pt idx="354">
                  <c:v>45063</c:v>
                </c:pt>
                <c:pt idx="355">
                  <c:v>45064</c:v>
                </c:pt>
                <c:pt idx="356">
                  <c:v>45065</c:v>
                </c:pt>
                <c:pt idx="357">
                  <c:v>45068</c:v>
                </c:pt>
                <c:pt idx="358">
                  <c:v>45069</c:v>
                </c:pt>
                <c:pt idx="359">
                  <c:v>45070</c:v>
                </c:pt>
                <c:pt idx="360">
                  <c:v>45071</c:v>
                </c:pt>
                <c:pt idx="361">
                  <c:v>45072</c:v>
                </c:pt>
                <c:pt idx="362">
                  <c:v>45075</c:v>
                </c:pt>
                <c:pt idx="363">
                  <c:v>45076</c:v>
                </c:pt>
                <c:pt idx="364">
                  <c:v>45077</c:v>
                </c:pt>
                <c:pt idx="365">
                  <c:v>45078</c:v>
                </c:pt>
                <c:pt idx="366">
                  <c:v>45079</c:v>
                </c:pt>
                <c:pt idx="367">
                  <c:v>45082</c:v>
                </c:pt>
                <c:pt idx="368">
                  <c:v>45083</c:v>
                </c:pt>
                <c:pt idx="369">
                  <c:v>45084</c:v>
                </c:pt>
                <c:pt idx="370">
                  <c:v>45085</c:v>
                </c:pt>
                <c:pt idx="371">
                  <c:v>45086</c:v>
                </c:pt>
                <c:pt idx="372">
                  <c:v>45089</c:v>
                </c:pt>
                <c:pt idx="373">
                  <c:v>45090</c:v>
                </c:pt>
                <c:pt idx="374">
                  <c:v>45091</c:v>
                </c:pt>
                <c:pt idx="375">
                  <c:v>45092</c:v>
                </c:pt>
                <c:pt idx="376">
                  <c:v>45093</c:v>
                </c:pt>
                <c:pt idx="377">
                  <c:v>45096</c:v>
                </c:pt>
                <c:pt idx="378">
                  <c:v>45097</c:v>
                </c:pt>
                <c:pt idx="379">
                  <c:v>45098</c:v>
                </c:pt>
                <c:pt idx="380">
                  <c:v>45099</c:v>
                </c:pt>
                <c:pt idx="381">
                  <c:v>45100</c:v>
                </c:pt>
                <c:pt idx="382">
                  <c:v>45103</c:v>
                </c:pt>
                <c:pt idx="383">
                  <c:v>45104</c:v>
                </c:pt>
                <c:pt idx="384">
                  <c:v>45105</c:v>
                </c:pt>
                <c:pt idx="385">
                  <c:v>45106</c:v>
                </c:pt>
                <c:pt idx="386">
                  <c:v>45107</c:v>
                </c:pt>
                <c:pt idx="387">
                  <c:v>45110</c:v>
                </c:pt>
                <c:pt idx="388">
                  <c:v>45111</c:v>
                </c:pt>
                <c:pt idx="389">
                  <c:v>45112</c:v>
                </c:pt>
                <c:pt idx="390">
                  <c:v>45113</c:v>
                </c:pt>
                <c:pt idx="391">
                  <c:v>45114</c:v>
                </c:pt>
                <c:pt idx="392">
                  <c:v>45117</c:v>
                </c:pt>
                <c:pt idx="393">
                  <c:v>45118</c:v>
                </c:pt>
                <c:pt idx="394">
                  <c:v>45119</c:v>
                </c:pt>
                <c:pt idx="395">
                  <c:v>45120</c:v>
                </c:pt>
                <c:pt idx="396">
                  <c:v>45121</c:v>
                </c:pt>
                <c:pt idx="397">
                  <c:v>45124</c:v>
                </c:pt>
                <c:pt idx="398">
                  <c:v>45125</c:v>
                </c:pt>
                <c:pt idx="399">
                  <c:v>45126</c:v>
                </c:pt>
                <c:pt idx="400">
                  <c:v>45127</c:v>
                </c:pt>
                <c:pt idx="401">
                  <c:v>45128</c:v>
                </c:pt>
                <c:pt idx="402">
                  <c:v>45131</c:v>
                </c:pt>
                <c:pt idx="403">
                  <c:v>45132</c:v>
                </c:pt>
                <c:pt idx="404">
                  <c:v>45133</c:v>
                </c:pt>
                <c:pt idx="405">
                  <c:v>45134</c:v>
                </c:pt>
                <c:pt idx="406">
                  <c:v>45135</c:v>
                </c:pt>
                <c:pt idx="407">
                  <c:v>45138</c:v>
                </c:pt>
                <c:pt idx="408">
                  <c:v>45139</c:v>
                </c:pt>
                <c:pt idx="409">
                  <c:v>45140</c:v>
                </c:pt>
                <c:pt idx="410">
                  <c:v>45141</c:v>
                </c:pt>
                <c:pt idx="411">
                  <c:v>45142</c:v>
                </c:pt>
                <c:pt idx="412">
                  <c:v>45145</c:v>
                </c:pt>
                <c:pt idx="413">
                  <c:v>45146</c:v>
                </c:pt>
                <c:pt idx="414">
                  <c:v>45147</c:v>
                </c:pt>
                <c:pt idx="415">
                  <c:v>45148</c:v>
                </c:pt>
                <c:pt idx="416">
                  <c:v>45149</c:v>
                </c:pt>
                <c:pt idx="417">
                  <c:v>45152</c:v>
                </c:pt>
                <c:pt idx="418">
                  <c:v>45153</c:v>
                </c:pt>
                <c:pt idx="419">
                  <c:v>45154</c:v>
                </c:pt>
                <c:pt idx="420">
                  <c:v>45155</c:v>
                </c:pt>
                <c:pt idx="421">
                  <c:v>45156</c:v>
                </c:pt>
                <c:pt idx="422">
                  <c:v>45159</c:v>
                </c:pt>
                <c:pt idx="423">
                  <c:v>45160</c:v>
                </c:pt>
                <c:pt idx="424">
                  <c:v>45161</c:v>
                </c:pt>
                <c:pt idx="425">
                  <c:v>45162</c:v>
                </c:pt>
                <c:pt idx="426">
                  <c:v>45163</c:v>
                </c:pt>
                <c:pt idx="427">
                  <c:v>45166</c:v>
                </c:pt>
                <c:pt idx="428">
                  <c:v>45167</c:v>
                </c:pt>
                <c:pt idx="429">
                  <c:v>45168</c:v>
                </c:pt>
                <c:pt idx="430">
                  <c:v>45169</c:v>
                </c:pt>
                <c:pt idx="431">
                  <c:v>45170</c:v>
                </c:pt>
                <c:pt idx="432">
                  <c:v>45173</c:v>
                </c:pt>
                <c:pt idx="433">
                  <c:v>45174</c:v>
                </c:pt>
                <c:pt idx="434">
                  <c:v>45175</c:v>
                </c:pt>
                <c:pt idx="435">
                  <c:v>45176</c:v>
                </c:pt>
                <c:pt idx="436">
                  <c:v>45177</c:v>
                </c:pt>
                <c:pt idx="437">
                  <c:v>45180</c:v>
                </c:pt>
                <c:pt idx="438">
                  <c:v>45181</c:v>
                </c:pt>
                <c:pt idx="439">
                  <c:v>45182</c:v>
                </c:pt>
                <c:pt idx="440">
                  <c:v>45183</c:v>
                </c:pt>
                <c:pt idx="441">
                  <c:v>45184</c:v>
                </c:pt>
                <c:pt idx="442">
                  <c:v>45187</c:v>
                </c:pt>
                <c:pt idx="443">
                  <c:v>45188</c:v>
                </c:pt>
                <c:pt idx="444">
                  <c:v>45189</c:v>
                </c:pt>
                <c:pt idx="445">
                  <c:v>45190</c:v>
                </c:pt>
                <c:pt idx="446">
                  <c:v>45191</c:v>
                </c:pt>
                <c:pt idx="447">
                  <c:v>45194</c:v>
                </c:pt>
                <c:pt idx="448">
                  <c:v>45195</c:v>
                </c:pt>
                <c:pt idx="449">
                  <c:v>45196</c:v>
                </c:pt>
                <c:pt idx="450">
                  <c:v>45197</c:v>
                </c:pt>
                <c:pt idx="451">
                  <c:v>45198</c:v>
                </c:pt>
                <c:pt idx="452">
                  <c:v>45201</c:v>
                </c:pt>
                <c:pt idx="453">
                  <c:v>45202</c:v>
                </c:pt>
                <c:pt idx="454">
                  <c:v>45203</c:v>
                </c:pt>
                <c:pt idx="455">
                  <c:v>45204</c:v>
                </c:pt>
                <c:pt idx="456">
                  <c:v>45205</c:v>
                </c:pt>
                <c:pt idx="457">
                  <c:v>45208</c:v>
                </c:pt>
                <c:pt idx="458">
                  <c:v>45209</c:v>
                </c:pt>
                <c:pt idx="459">
                  <c:v>45210</c:v>
                </c:pt>
                <c:pt idx="460">
                  <c:v>45211</c:v>
                </c:pt>
                <c:pt idx="461">
                  <c:v>45212</c:v>
                </c:pt>
                <c:pt idx="462">
                  <c:v>45215</c:v>
                </c:pt>
                <c:pt idx="463">
                  <c:v>45216</c:v>
                </c:pt>
                <c:pt idx="464">
                  <c:v>45217</c:v>
                </c:pt>
                <c:pt idx="465">
                  <c:v>45218</c:v>
                </c:pt>
                <c:pt idx="466">
                  <c:v>45219</c:v>
                </c:pt>
                <c:pt idx="467">
                  <c:v>45222</c:v>
                </c:pt>
                <c:pt idx="468">
                  <c:v>45223</c:v>
                </c:pt>
                <c:pt idx="469">
                  <c:v>45224</c:v>
                </c:pt>
                <c:pt idx="470">
                  <c:v>45225</c:v>
                </c:pt>
                <c:pt idx="471">
                  <c:v>45226</c:v>
                </c:pt>
                <c:pt idx="472">
                  <c:v>45229</c:v>
                </c:pt>
                <c:pt idx="473">
                  <c:v>45230</c:v>
                </c:pt>
                <c:pt idx="474">
                  <c:v>45231</c:v>
                </c:pt>
                <c:pt idx="475">
                  <c:v>45232</c:v>
                </c:pt>
                <c:pt idx="476">
                  <c:v>45233</c:v>
                </c:pt>
                <c:pt idx="477">
                  <c:v>45236</c:v>
                </c:pt>
                <c:pt idx="478">
                  <c:v>45237</c:v>
                </c:pt>
                <c:pt idx="479">
                  <c:v>45238</c:v>
                </c:pt>
                <c:pt idx="480">
                  <c:v>45239</c:v>
                </c:pt>
                <c:pt idx="481">
                  <c:v>45240</c:v>
                </c:pt>
                <c:pt idx="482">
                  <c:v>45243</c:v>
                </c:pt>
                <c:pt idx="483">
                  <c:v>45244</c:v>
                </c:pt>
                <c:pt idx="484">
                  <c:v>45245</c:v>
                </c:pt>
                <c:pt idx="485">
                  <c:v>45246</c:v>
                </c:pt>
                <c:pt idx="486">
                  <c:v>45247</c:v>
                </c:pt>
                <c:pt idx="487">
                  <c:v>45250</c:v>
                </c:pt>
                <c:pt idx="488">
                  <c:v>45251</c:v>
                </c:pt>
                <c:pt idx="489">
                  <c:v>45252</c:v>
                </c:pt>
                <c:pt idx="490">
                  <c:v>45253</c:v>
                </c:pt>
                <c:pt idx="491">
                  <c:v>45254</c:v>
                </c:pt>
                <c:pt idx="492">
                  <c:v>45257</c:v>
                </c:pt>
                <c:pt idx="493">
                  <c:v>45258</c:v>
                </c:pt>
                <c:pt idx="494">
                  <c:v>45259</c:v>
                </c:pt>
                <c:pt idx="495">
                  <c:v>45260</c:v>
                </c:pt>
                <c:pt idx="496">
                  <c:v>45261</c:v>
                </c:pt>
                <c:pt idx="497">
                  <c:v>45264</c:v>
                </c:pt>
                <c:pt idx="498">
                  <c:v>45265</c:v>
                </c:pt>
                <c:pt idx="499">
                  <c:v>45266</c:v>
                </c:pt>
                <c:pt idx="500">
                  <c:v>45267</c:v>
                </c:pt>
                <c:pt idx="501">
                  <c:v>45268</c:v>
                </c:pt>
                <c:pt idx="502">
                  <c:v>45271</c:v>
                </c:pt>
                <c:pt idx="503">
                  <c:v>45272</c:v>
                </c:pt>
                <c:pt idx="504">
                  <c:v>45273</c:v>
                </c:pt>
                <c:pt idx="505">
                  <c:v>45274</c:v>
                </c:pt>
                <c:pt idx="506">
                  <c:v>45275</c:v>
                </c:pt>
                <c:pt idx="507">
                  <c:v>45278</c:v>
                </c:pt>
                <c:pt idx="508">
                  <c:v>45279</c:v>
                </c:pt>
                <c:pt idx="509">
                  <c:v>45280</c:v>
                </c:pt>
                <c:pt idx="510">
                  <c:v>45281</c:v>
                </c:pt>
                <c:pt idx="511">
                  <c:v>45282</c:v>
                </c:pt>
                <c:pt idx="512">
                  <c:v>45286</c:v>
                </c:pt>
                <c:pt idx="513">
                  <c:v>45287</c:v>
                </c:pt>
                <c:pt idx="514">
                  <c:v>45288</c:v>
                </c:pt>
                <c:pt idx="515">
                  <c:v>45289</c:v>
                </c:pt>
                <c:pt idx="516">
                  <c:v>45293</c:v>
                </c:pt>
                <c:pt idx="517">
                  <c:v>45294</c:v>
                </c:pt>
                <c:pt idx="518">
                  <c:v>45295</c:v>
                </c:pt>
                <c:pt idx="519">
                  <c:v>45296</c:v>
                </c:pt>
                <c:pt idx="520">
                  <c:v>45299</c:v>
                </c:pt>
                <c:pt idx="521">
                  <c:v>45300</c:v>
                </c:pt>
                <c:pt idx="522">
                  <c:v>45301</c:v>
                </c:pt>
                <c:pt idx="523">
                  <c:v>45302</c:v>
                </c:pt>
                <c:pt idx="524">
                  <c:v>45303</c:v>
                </c:pt>
                <c:pt idx="525">
                  <c:v>45306</c:v>
                </c:pt>
                <c:pt idx="526">
                  <c:v>45307</c:v>
                </c:pt>
                <c:pt idx="527">
                  <c:v>45308</c:v>
                </c:pt>
                <c:pt idx="528">
                  <c:v>45309</c:v>
                </c:pt>
                <c:pt idx="529">
                  <c:v>45310</c:v>
                </c:pt>
                <c:pt idx="530">
                  <c:v>45313</c:v>
                </c:pt>
                <c:pt idx="531">
                  <c:v>45314</c:v>
                </c:pt>
                <c:pt idx="532">
                  <c:v>45315</c:v>
                </c:pt>
                <c:pt idx="533">
                  <c:v>45316</c:v>
                </c:pt>
                <c:pt idx="534">
                  <c:v>45317</c:v>
                </c:pt>
                <c:pt idx="535">
                  <c:v>45320</c:v>
                </c:pt>
                <c:pt idx="536">
                  <c:v>45321</c:v>
                </c:pt>
                <c:pt idx="537">
                  <c:v>45322</c:v>
                </c:pt>
                <c:pt idx="538">
                  <c:v>45323</c:v>
                </c:pt>
                <c:pt idx="539">
                  <c:v>45324</c:v>
                </c:pt>
                <c:pt idx="540">
                  <c:v>45327</c:v>
                </c:pt>
                <c:pt idx="541">
                  <c:v>45328</c:v>
                </c:pt>
                <c:pt idx="542">
                  <c:v>45329</c:v>
                </c:pt>
                <c:pt idx="543">
                  <c:v>45330</c:v>
                </c:pt>
                <c:pt idx="544">
                  <c:v>45331</c:v>
                </c:pt>
                <c:pt idx="545">
                  <c:v>45334</c:v>
                </c:pt>
                <c:pt idx="546">
                  <c:v>45335</c:v>
                </c:pt>
                <c:pt idx="547">
                  <c:v>45336</c:v>
                </c:pt>
                <c:pt idx="548">
                  <c:v>45337</c:v>
                </c:pt>
                <c:pt idx="549">
                  <c:v>45338</c:v>
                </c:pt>
                <c:pt idx="550">
                  <c:v>45341</c:v>
                </c:pt>
                <c:pt idx="551">
                  <c:v>45342</c:v>
                </c:pt>
                <c:pt idx="552">
                  <c:v>45343</c:v>
                </c:pt>
                <c:pt idx="553">
                  <c:v>45344</c:v>
                </c:pt>
                <c:pt idx="554">
                  <c:v>45345</c:v>
                </c:pt>
                <c:pt idx="555">
                  <c:v>45348</c:v>
                </c:pt>
                <c:pt idx="556">
                  <c:v>45349</c:v>
                </c:pt>
                <c:pt idx="557">
                  <c:v>45350</c:v>
                </c:pt>
                <c:pt idx="558">
                  <c:v>45351</c:v>
                </c:pt>
                <c:pt idx="559">
                  <c:v>45352</c:v>
                </c:pt>
                <c:pt idx="560">
                  <c:v>45355</c:v>
                </c:pt>
                <c:pt idx="561">
                  <c:v>45356</c:v>
                </c:pt>
                <c:pt idx="562">
                  <c:v>45357</c:v>
                </c:pt>
                <c:pt idx="563">
                  <c:v>45358</c:v>
                </c:pt>
                <c:pt idx="564">
                  <c:v>45359</c:v>
                </c:pt>
                <c:pt idx="565">
                  <c:v>45362</c:v>
                </c:pt>
                <c:pt idx="566">
                  <c:v>45363</c:v>
                </c:pt>
                <c:pt idx="567">
                  <c:v>45364</c:v>
                </c:pt>
                <c:pt idx="568">
                  <c:v>45365</c:v>
                </c:pt>
                <c:pt idx="569">
                  <c:v>45366</c:v>
                </c:pt>
                <c:pt idx="570">
                  <c:v>45369</c:v>
                </c:pt>
                <c:pt idx="571">
                  <c:v>45370</c:v>
                </c:pt>
                <c:pt idx="572">
                  <c:v>45371</c:v>
                </c:pt>
                <c:pt idx="573">
                  <c:v>45372</c:v>
                </c:pt>
                <c:pt idx="574">
                  <c:v>45373</c:v>
                </c:pt>
                <c:pt idx="575">
                  <c:v>45376</c:v>
                </c:pt>
                <c:pt idx="576">
                  <c:v>45377</c:v>
                </c:pt>
                <c:pt idx="577">
                  <c:v>45378</c:v>
                </c:pt>
                <c:pt idx="578">
                  <c:v>45379</c:v>
                </c:pt>
                <c:pt idx="579">
                  <c:v>45383</c:v>
                </c:pt>
                <c:pt idx="580">
                  <c:v>45384</c:v>
                </c:pt>
                <c:pt idx="581">
                  <c:v>45385</c:v>
                </c:pt>
                <c:pt idx="582">
                  <c:v>45386</c:v>
                </c:pt>
                <c:pt idx="583">
                  <c:v>45387</c:v>
                </c:pt>
                <c:pt idx="584">
                  <c:v>45390</c:v>
                </c:pt>
                <c:pt idx="585">
                  <c:v>45391</c:v>
                </c:pt>
                <c:pt idx="586">
                  <c:v>45392</c:v>
                </c:pt>
                <c:pt idx="587">
                  <c:v>45393</c:v>
                </c:pt>
                <c:pt idx="588">
                  <c:v>45394</c:v>
                </c:pt>
                <c:pt idx="589">
                  <c:v>45397</c:v>
                </c:pt>
                <c:pt idx="590">
                  <c:v>45398</c:v>
                </c:pt>
                <c:pt idx="591">
                  <c:v>45399</c:v>
                </c:pt>
                <c:pt idx="592">
                  <c:v>45400</c:v>
                </c:pt>
                <c:pt idx="593">
                  <c:v>45401</c:v>
                </c:pt>
                <c:pt idx="594">
                  <c:v>45404</c:v>
                </c:pt>
                <c:pt idx="595">
                  <c:v>45405</c:v>
                </c:pt>
                <c:pt idx="596">
                  <c:v>45406</c:v>
                </c:pt>
                <c:pt idx="597">
                  <c:v>45407</c:v>
                </c:pt>
                <c:pt idx="598">
                  <c:v>45408</c:v>
                </c:pt>
                <c:pt idx="599">
                  <c:v>45411</c:v>
                </c:pt>
                <c:pt idx="600">
                  <c:v>45412</c:v>
                </c:pt>
                <c:pt idx="601">
                  <c:v>45413</c:v>
                </c:pt>
                <c:pt idx="602">
                  <c:v>45414</c:v>
                </c:pt>
                <c:pt idx="603">
                  <c:v>45415</c:v>
                </c:pt>
                <c:pt idx="604">
                  <c:v>45418</c:v>
                </c:pt>
                <c:pt idx="605">
                  <c:v>45419</c:v>
                </c:pt>
                <c:pt idx="606">
                  <c:v>45420</c:v>
                </c:pt>
                <c:pt idx="607">
                  <c:v>45421</c:v>
                </c:pt>
                <c:pt idx="608">
                  <c:v>45422</c:v>
                </c:pt>
                <c:pt idx="609">
                  <c:v>45425</c:v>
                </c:pt>
                <c:pt idx="610">
                  <c:v>45426</c:v>
                </c:pt>
                <c:pt idx="611">
                  <c:v>45427</c:v>
                </c:pt>
                <c:pt idx="612">
                  <c:v>45428</c:v>
                </c:pt>
                <c:pt idx="613">
                  <c:v>45429</c:v>
                </c:pt>
                <c:pt idx="614">
                  <c:v>45432</c:v>
                </c:pt>
                <c:pt idx="615">
                  <c:v>45433</c:v>
                </c:pt>
                <c:pt idx="616">
                  <c:v>45434</c:v>
                </c:pt>
                <c:pt idx="617">
                  <c:v>45435</c:v>
                </c:pt>
                <c:pt idx="618">
                  <c:v>45436</c:v>
                </c:pt>
                <c:pt idx="619">
                  <c:v>45439</c:v>
                </c:pt>
                <c:pt idx="620">
                  <c:v>45440</c:v>
                </c:pt>
                <c:pt idx="621">
                  <c:v>45441</c:v>
                </c:pt>
                <c:pt idx="622">
                  <c:v>45442</c:v>
                </c:pt>
                <c:pt idx="623">
                  <c:v>45443</c:v>
                </c:pt>
                <c:pt idx="624">
                  <c:v>45446</c:v>
                </c:pt>
                <c:pt idx="625">
                  <c:v>45447</c:v>
                </c:pt>
                <c:pt idx="626">
                  <c:v>45448</c:v>
                </c:pt>
                <c:pt idx="627">
                  <c:v>45449</c:v>
                </c:pt>
                <c:pt idx="628">
                  <c:v>45450</c:v>
                </c:pt>
                <c:pt idx="629">
                  <c:v>45453</c:v>
                </c:pt>
                <c:pt idx="630">
                  <c:v>45454</c:v>
                </c:pt>
                <c:pt idx="631">
                  <c:v>45455</c:v>
                </c:pt>
                <c:pt idx="632">
                  <c:v>45456</c:v>
                </c:pt>
                <c:pt idx="633">
                  <c:v>45457</c:v>
                </c:pt>
                <c:pt idx="634">
                  <c:v>45460</c:v>
                </c:pt>
                <c:pt idx="635">
                  <c:v>45461</c:v>
                </c:pt>
                <c:pt idx="636">
                  <c:v>45462</c:v>
                </c:pt>
                <c:pt idx="637">
                  <c:v>45463</c:v>
                </c:pt>
                <c:pt idx="638">
                  <c:v>45464</c:v>
                </c:pt>
                <c:pt idx="639">
                  <c:v>45467</c:v>
                </c:pt>
                <c:pt idx="640">
                  <c:v>45468</c:v>
                </c:pt>
                <c:pt idx="641">
                  <c:v>45469</c:v>
                </c:pt>
                <c:pt idx="642">
                  <c:v>45470</c:v>
                </c:pt>
                <c:pt idx="643">
                  <c:v>45471</c:v>
                </c:pt>
                <c:pt idx="644">
                  <c:v>45474</c:v>
                </c:pt>
                <c:pt idx="645">
                  <c:v>45475</c:v>
                </c:pt>
                <c:pt idx="646">
                  <c:v>45476</c:v>
                </c:pt>
                <c:pt idx="647">
                  <c:v>45477</c:v>
                </c:pt>
                <c:pt idx="648">
                  <c:v>45478</c:v>
                </c:pt>
                <c:pt idx="649">
                  <c:v>45481</c:v>
                </c:pt>
                <c:pt idx="650">
                  <c:v>45482</c:v>
                </c:pt>
                <c:pt idx="651">
                  <c:v>45483</c:v>
                </c:pt>
                <c:pt idx="652">
                  <c:v>45484</c:v>
                </c:pt>
                <c:pt idx="653">
                  <c:v>45485</c:v>
                </c:pt>
                <c:pt idx="654">
                  <c:v>45488</c:v>
                </c:pt>
                <c:pt idx="655">
                  <c:v>45489</c:v>
                </c:pt>
                <c:pt idx="656">
                  <c:v>45490</c:v>
                </c:pt>
                <c:pt idx="657">
                  <c:v>45491</c:v>
                </c:pt>
                <c:pt idx="658">
                  <c:v>45492</c:v>
                </c:pt>
                <c:pt idx="659">
                  <c:v>45495</c:v>
                </c:pt>
                <c:pt idx="660">
                  <c:v>45496</c:v>
                </c:pt>
                <c:pt idx="661">
                  <c:v>45497</c:v>
                </c:pt>
                <c:pt idx="662">
                  <c:v>45498</c:v>
                </c:pt>
                <c:pt idx="663">
                  <c:v>45499</c:v>
                </c:pt>
                <c:pt idx="664">
                  <c:v>45502</c:v>
                </c:pt>
                <c:pt idx="665">
                  <c:v>45503</c:v>
                </c:pt>
                <c:pt idx="666">
                  <c:v>45504</c:v>
                </c:pt>
                <c:pt idx="667">
                  <c:v>45505</c:v>
                </c:pt>
                <c:pt idx="668">
                  <c:v>45506</c:v>
                </c:pt>
                <c:pt idx="669">
                  <c:v>45509</c:v>
                </c:pt>
                <c:pt idx="670">
                  <c:v>45510</c:v>
                </c:pt>
                <c:pt idx="671">
                  <c:v>45511</c:v>
                </c:pt>
                <c:pt idx="672">
                  <c:v>45512</c:v>
                </c:pt>
                <c:pt idx="673">
                  <c:v>45513</c:v>
                </c:pt>
                <c:pt idx="674">
                  <c:v>45516</c:v>
                </c:pt>
                <c:pt idx="675">
                  <c:v>45517</c:v>
                </c:pt>
                <c:pt idx="676">
                  <c:v>45518</c:v>
                </c:pt>
                <c:pt idx="677">
                  <c:v>45519</c:v>
                </c:pt>
                <c:pt idx="678">
                  <c:v>45520</c:v>
                </c:pt>
                <c:pt idx="679">
                  <c:v>45523</c:v>
                </c:pt>
                <c:pt idx="680">
                  <c:v>45524</c:v>
                </c:pt>
                <c:pt idx="681">
                  <c:v>45525</c:v>
                </c:pt>
                <c:pt idx="682">
                  <c:v>45526</c:v>
                </c:pt>
                <c:pt idx="683">
                  <c:v>45527</c:v>
                </c:pt>
                <c:pt idx="684">
                  <c:v>45530</c:v>
                </c:pt>
                <c:pt idx="685">
                  <c:v>45531</c:v>
                </c:pt>
                <c:pt idx="686">
                  <c:v>45532</c:v>
                </c:pt>
                <c:pt idx="687">
                  <c:v>45533</c:v>
                </c:pt>
                <c:pt idx="688">
                  <c:v>45534</c:v>
                </c:pt>
                <c:pt idx="689">
                  <c:v>45537</c:v>
                </c:pt>
                <c:pt idx="690">
                  <c:v>45538</c:v>
                </c:pt>
                <c:pt idx="691">
                  <c:v>45539</c:v>
                </c:pt>
                <c:pt idx="692">
                  <c:v>45540</c:v>
                </c:pt>
                <c:pt idx="693">
                  <c:v>45541</c:v>
                </c:pt>
                <c:pt idx="694">
                  <c:v>45544</c:v>
                </c:pt>
                <c:pt idx="695">
                  <c:v>45545</c:v>
                </c:pt>
                <c:pt idx="696">
                  <c:v>45546</c:v>
                </c:pt>
                <c:pt idx="697">
                  <c:v>45547</c:v>
                </c:pt>
                <c:pt idx="698">
                  <c:v>45548</c:v>
                </c:pt>
                <c:pt idx="699">
                  <c:v>45551</c:v>
                </c:pt>
                <c:pt idx="700">
                  <c:v>45552</c:v>
                </c:pt>
                <c:pt idx="701">
                  <c:v>45553</c:v>
                </c:pt>
                <c:pt idx="702">
                  <c:v>45554</c:v>
                </c:pt>
                <c:pt idx="703">
                  <c:v>45555</c:v>
                </c:pt>
                <c:pt idx="704">
                  <c:v>45558</c:v>
                </c:pt>
                <c:pt idx="705">
                  <c:v>45559</c:v>
                </c:pt>
                <c:pt idx="706">
                  <c:v>45560</c:v>
                </c:pt>
                <c:pt idx="707">
                  <c:v>45561</c:v>
                </c:pt>
                <c:pt idx="708">
                  <c:v>45562</c:v>
                </c:pt>
                <c:pt idx="709">
                  <c:v>45565</c:v>
                </c:pt>
                <c:pt idx="710">
                  <c:v>45566</c:v>
                </c:pt>
                <c:pt idx="711">
                  <c:v>45567</c:v>
                </c:pt>
                <c:pt idx="712">
                  <c:v>45568</c:v>
                </c:pt>
                <c:pt idx="713">
                  <c:v>45569</c:v>
                </c:pt>
                <c:pt idx="714">
                  <c:v>45572</c:v>
                </c:pt>
                <c:pt idx="715">
                  <c:v>45573</c:v>
                </c:pt>
                <c:pt idx="716">
                  <c:v>45574</c:v>
                </c:pt>
                <c:pt idx="717">
                  <c:v>45575</c:v>
                </c:pt>
                <c:pt idx="718">
                  <c:v>45576</c:v>
                </c:pt>
                <c:pt idx="719">
                  <c:v>45579</c:v>
                </c:pt>
                <c:pt idx="720">
                  <c:v>45580</c:v>
                </c:pt>
                <c:pt idx="721">
                  <c:v>45581</c:v>
                </c:pt>
                <c:pt idx="722">
                  <c:v>45582</c:v>
                </c:pt>
                <c:pt idx="723">
                  <c:v>45583</c:v>
                </c:pt>
                <c:pt idx="724">
                  <c:v>45586</c:v>
                </c:pt>
                <c:pt idx="725">
                  <c:v>45587</c:v>
                </c:pt>
                <c:pt idx="726">
                  <c:v>45588</c:v>
                </c:pt>
                <c:pt idx="727">
                  <c:v>45589</c:v>
                </c:pt>
                <c:pt idx="728">
                  <c:v>45590</c:v>
                </c:pt>
                <c:pt idx="729">
                  <c:v>45593</c:v>
                </c:pt>
                <c:pt idx="730">
                  <c:v>45594</c:v>
                </c:pt>
                <c:pt idx="731">
                  <c:v>45595</c:v>
                </c:pt>
                <c:pt idx="732">
                  <c:v>45596</c:v>
                </c:pt>
                <c:pt idx="733">
                  <c:v>45597</c:v>
                </c:pt>
                <c:pt idx="734">
                  <c:v>45600</c:v>
                </c:pt>
                <c:pt idx="735">
                  <c:v>45601</c:v>
                </c:pt>
                <c:pt idx="736">
                  <c:v>45602</c:v>
                </c:pt>
                <c:pt idx="737">
                  <c:v>45603</c:v>
                </c:pt>
                <c:pt idx="738">
                  <c:v>45604</c:v>
                </c:pt>
                <c:pt idx="739">
                  <c:v>45607</c:v>
                </c:pt>
                <c:pt idx="740">
                  <c:v>45608</c:v>
                </c:pt>
                <c:pt idx="741">
                  <c:v>45609</c:v>
                </c:pt>
                <c:pt idx="742">
                  <c:v>45610</c:v>
                </c:pt>
                <c:pt idx="743">
                  <c:v>45611</c:v>
                </c:pt>
                <c:pt idx="744">
                  <c:v>45614</c:v>
                </c:pt>
                <c:pt idx="745">
                  <c:v>45615</c:v>
                </c:pt>
                <c:pt idx="746">
                  <c:v>45616</c:v>
                </c:pt>
                <c:pt idx="747">
                  <c:v>45617</c:v>
                </c:pt>
                <c:pt idx="748">
                  <c:v>45618</c:v>
                </c:pt>
                <c:pt idx="749">
                  <c:v>45621</c:v>
                </c:pt>
                <c:pt idx="750">
                  <c:v>45622</c:v>
                </c:pt>
                <c:pt idx="751">
                  <c:v>45623</c:v>
                </c:pt>
                <c:pt idx="752">
                  <c:v>45624</c:v>
                </c:pt>
                <c:pt idx="753">
                  <c:v>45625</c:v>
                </c:pt>
                <c:pt idx="754">
                  <c:v>45628</c:v>
                </c:pt>
                <c:pt idx="755">
                  <c:v>45629</c:v>
                </c:pt>
                <c:pt idx="756">
                  <c:v>45630</c:v>
                </c:pt>
                <c:pt idx="757">
                  <c:v>45631</c:v>
                </c:pt>
                <c:pt idx="758">
                  <c:v>45632</c:v>
                </c:pt>
                <c:pt idx="759">
                  <c:v>45635</c:v>
                </c:pt>
                <c:pt idx="760">
                  <c:v>45636</c:v>
                </c:pt>
                <c:pt idx="761">
                  <c:v>45637</c:v>
                </c:pt>
                <c:pt idx="762">
                  <c:v>45638</c:v>
                </c:pt>
                <c:pt idx="763">
                  <c:v>45639</c:v>
                </c:pt>
                <c:pt idx="764">
                  <c:v>45642</c:v>
                </c:pt>
                <c:pt idx="765">
                  <c:v>45643</c:v>
                </c:pt>
                <c:pt idx="766">
                  <c:v>45644</c:v>
                </c:pt>
                <c:pt idx="767">
                  <c:v>45645</c:v>
                </c:pt>
                <c:pt idx="768">
                  <c:v>45646</c:v>
                </c:pt>
                <c:pt idx="769">
                  <c:v>45649</c:v>
                </c:pt>
                <c:pt idx="770">
                  <c:v>45650</c:v>
                </c:pt>
                <c:pt idx="771">
                  <c:v>45652</c:v>
                </c:pt>
                <c:pt idx="772">
                  <c:v>45653</c:v>
                </c:pt>
                <c:pt idx="773">
                  <c:v>45656</c:v>
                </c:pt>
                <c:pt idx="774">
                  <c:v>45657</c:v>
                </c:pt>
                <c:pt idx="775">
                  <c:v>45659</c:v>
                </c:pt>
                <c:pt idx="776">
                  <c:v>45660</c:v>
                </c:pt>
                <c:pt idx="777">
                  <c:v>45663</c:v>
                </c:pt>
                <c:pt idx="778">
                  <c:v>45664</c:v>
                </c:pt>
                <c:pt idx="779">
                  <c:v>45665</c:v>
                </c:pt>
                <c:pt idx="780">
                  <c:v>45666</c:v>
                </c:pt>
                <c:pt idx="781">
                  <c:v>45667</c:v>
                </c:pt>
                <c:pt idx="782">
                  <c:v>45670</c:v>
                </c:pt>
                <c:pt idx="783">
                  <c:v>45671</c:v>
                </c:pt>
                <c:pt idx="784">
                  <c:v>45672</c:v>
                </c:pt>
                <c:pt idx="785">
                  <c:v>45673</c:v>
                </c:pt>
                <c:pt idx="786">
                  <c:v>45674</c:v>
                </c:pt>
                <c:pt idx="787">
                  <c:v>45677</c:v>
                </c:pt>
                <c:pt idx="788">
                  <c:v>45678</c:v>
                </c:pt>
                <c:pt idx="789">
                  <c:v>45679</c:v>
                </c:pt>
                <c:pt idx="790">
                  <c:v>45680</c:v>
                </c:pt>
                <c:pt idx="791">
                  <c:v>45681</c:v>
                </c:pt>
                <c:pt idx="792">
                  <c:v>45684</c:v>
                </c:pt>
                <c:pt idx="793">
                  <c:v>45685</c:v>
                </c:pt>
                <c:pt idx="794">
                  <c:v>45686</c:v>
                </c:pt>
                <c:pt idx="795">
                  <c:v>45687</c:v>
                </c:pt>
                <c:pt idx="796">
                  <c:v>45688</c:v>
                </c:pt>
                <c:pt idx="797">
                  <c:v>45691</c:v>
                </c:pt>
                <c:pt idx="798">
                  <c:v>45692</c:v>
                </c:pt>
                <c:pt idx="799">
                  <c:v>45693</c:v>
                </c:pt>
                <c:pt idx="800">
                  <c:v>45694</c:v>
                </c:pt>
                <c:pt idx="801">
                  <c:v>45695</c:v>
                </c:pt>
                <c:pt idx="802">
                  <c:v>45698</c:v>
                </c:pt>
                <c:pt idx="803">
                  <c:v>45699</c:v>
                </c:pt>
                <c:pt idx="804">
                  <c:v>45700</c:v>
                </c:pt>
                <c:pt idx="805">
                  <c:v>45701</c:v>
                </c:pt>
                <c:pt idx="806">
                  <c:v>45702</c:v>
                </c:pt>
                <c:pt idx="807">
                  <c:v>45705</c:v>
                </c:pt>
                <c:pt idx="808">
                  <c:v>45706</c:v>
                </c:pt>
                <c:pt idx="809">
                  <c:v>45707</c:v>
                </c:pt>
                <c:pt idx="810">
                  <c:v>45708</c:v>
                </c:pt>
                <c:pt idx="811">
                  <c:v>45709</c:v>
                </c:pt>
                <c:pt idx="812">
                  <c:v>45712</c:v>
                </c:pt>
                <c:pt idx="813">
                  <c:v>45713</c:v>
                </c:pt>
                <c:pt idx="814">
                  <c:v>45714</c:v>
                </c:pt>
                <c:pt idx="815">
                  <c:v>45715</c:v>
                </c:pt>
                <c:pt idx="816">
                  <c:v>45716</c:v>
                </c:pt>
                <c:pt idx="817">
                  <c:v>45719</c:v>
                </c:pt>
                <c:pt idx="818">
                  <c:v>45720</c:v>
                </c:pt>
                <c:pt idx="819">
                  <c:v>45721</c:v>
                </c:pt>
                <c:pt idx="820">
                  <c:v>45722</c:v>
                </c:pt>
                <c:pt idx="821">
                  <c:v>45723</c:v>
                </c:pt>
                <c:pt idx="822">
                  <c:v>45726</c:v>
                </c:pt>
                <c:pt idx="823">
                  <c:v>45727</c:v>
                </c:pt>
                <c:pt idx="824">
                  <c:v>45728</c:v>
                </c:pt>
                <c:pt idx="825">
                  <c:v>45729</c:v>
                </c:pt>
                <c:pt idx="826">
                  <c:v>45730</c:v>
                </c:pt>
                <c:pt idx="827">
                  <c:v>45733</c:v>
                </c:pt>
                <c:pt idx="828">
                  <c:v>45734</c:v>
                </c:pt>
                <c:pt idx="829">
                  <c:v>45735</c:v>
                </c:pt>
                <c:pt idx="830">
                  <c:v>45736</c:v>
                </c:pt>
                <c:pt idx="831">
                  <c:v>45737</c:v>
                </c:pt>
                <c:pt idx="832">
                  <c:v>45740</c:v>
                </c:pt>
                <c:pt idx="833">
                  <c:v>45741</c:v>
                </c:pt>
                <c:pt idx="834">
                  <c:v>45742</c:v>
                </c:pt>
                <c:pt idx="835">
                  <c:v>45743</c:v>
                </c:pt>
                <c:pt idx="836">
                  <c:v>45744</c:v>
                </c:pt>
                <c:pt idx="837">
                  <c:v>45747</c:v>
                </c:pt>
                <c:pt idx="838">
                  <c:v>45748</c:v>
                </c:pt>
                <c:pt idx="839">
                  <c:v>45749</c:v>
                </c:pt>
                <c:pt idx="840">
                  <c:v>45750</c:v>
                </c:pt>
                <c:pt idx="841">
                  <c:v>45751</c:v>
                </c:pt>
                <c:pt idx="842">
                  <c:v>45754</c:v>
                </c:pt>
                <c:pt idx="843">
                  <c:v>45755</c:v>
                </c:pt>
                <c:pt idx="844">
                  <c:v>45756</c:v>
                </c:pt>
                <c:pt idx="845">
                  <c:v>45757</c:v>
                </c:pt>
                <c:pt idx="846">
                  <c:v>45758</c:v>
                </c:pt>
                <c:pt idx="847">
                  <c:v>45761</c:v>
                </c:pt>
                <c:pt idx="848">
                  <c:v>45762</c:v>
                </c:pt>
                <c:pt idx="849">
                  <c:v>45763</c:v>
                </c:pt>
                <c:pt idx="850">
                  <c:v>45764</c:v>
                </c:pt>
                <c:pt idx="851">
                  <c:v>45768</c:v>
                </c:pt>
                <c:pt idx="852">
                  <c:v>45769</c:v>
                </c:pt>
                <c:pt idx="853">
                  <c:v>45770</c:v>
                </c:pt>
                <c:pt idx="854">
                  <c:v>45771</c:v>
                </c:pt>
                <c:pt idx="855">
                  <c:v>45772</c:v>
                </c:pt>
                <c:pt idx="856">
                  <c:v>45775</c:v>
                </c:pt>
                <c:pt idx="857">
                  <c:v>45776</c:v>
                </c:pt>
                <c:pt idx="858">
                  <c:v>45777</c:v>
                </c:pt>
                <c:pt idx="859">
                  <c:v>45778</c:v>
                </c:pt>
                <c:pt idx="860">
                  <c:v>45779</c:v>
                </c:pt>
                <c:pt idx="861">
                  <c:v>45782</c:v>
                </c:pt>
                <c:pt idx="862">
                  <c:v>45783</c:v>
                </c:pt>
                <c:pt idx="863">
                  <c:v>45784</c:v>
                </c:pt>
                <c:pt idx="864">
                  <c:v>45785</c:v>
                </c:pt>
                <c:pt idx="865">
                  <c:v>45786</c:v>
                </c:pt>
                <c:pt idx="866">
                  <c:v>45789</c:v>
                </c:pt>
                <c:pt idx="867">
                  <c:v>45790</c:v>
                </c:pt>
                <c:pt idx="868">
                  <c:v>45791</c:v>
                </c:pt>
                <c:pt idx="869">
                  <c:v>45792</c:v>
                </c:pt>
                <c:pt idx="870">
                  <c:v>45793</c:v>
                </c:pt>
                <c:pt idx="871">
                  <c:v>45796</c:v>
                </c:pt>
                <c:pt idx="872">
                  <c:v>45797</c:v>
                </c:pt>
                <c:pt idx="873">
                  <c:v>45798</c:v>
                </c:pt>
                <c:pt idx="874">
                  <c:v>45799</c:v>
                </c:pt>
                <c:pt idx="875">
                  <c:v>45800</c:v>
                </c:pt>
                <c:pt idx="876">
                  <c:v>45803</c:v>
                </c:pt>
                <c:pt idx="877">
                  <c:v>45804</c:v>
                </c:pt>
                <c:pt idx="878">
                  <c:v>45805</c:v>
                </c:pt>
                <c:pt idx="879">
                  <c:v>45806</c:v>
                </c:pt>
                <c:pt idx="880">
                  <c:v>45807</c:v>
                </c:pt>
                <c:pt idx="881">
                  <c:v>45810</c:v>
                </c:pt>
                <c:pt idx="882">
                  <c:v>45811</c:v>
                </c:pt>
                <c:pt idx="883">
                  <c:v>45812</c:v>
                </c:pt>
                <c:pt idx="884">
                  <c:v>45813</c:v>
                </c:pt>
                <c:pt idx="885">
                  <c:v>45814</c:v>
                </c:pt>
                <c:pt idx="886">
                  <c:v>45817</c:v>
                </c:pt>
                <c:pt idx="887">
                  <c:v>45818</c:v>
                </c:pt>
                <c:pt idx="888">
                  <c:v>45819</c:v>
                </c:pt>
                <c:pt idx="889">
                  <c:v>45820</c:v>
                </c:pt>
                <c:pt idx="890">
                  <c:v>45821</c:v>
                </c:pt>
                <c:pt idx="891">
                  <c:v>45824</c:v>
                </c:pt>
                <c:pt idx="892">
                  <c:v>45825</c:v>
                </c:pt>
                <c:pt idx="893">
                  <c:v>45826</c:v>
                </c:pt>
                <c:pt idx="894">
                  <c:v>45827</c:v>
                </c:pt>
                <c:pt idx="895">
                  <c:v>45828</c:v>
                </c:pt>
                <c:pt idx="896">
                  <c:v>45831</c:v>
                </c:pt>
                <c:pt idx="897">
                  <c:v>45832</c:v>
                </c:pt>
                <c:pt idx="898">
                  <c:v>45833</c:v>
                </c:pt>
                <c:pt idx="899">
                  <c:v>45834</c:v>
                </c:pt>
                <c:pt idx="900">
                  <c:v>45835</c:v>
                </c:pt>
                <c:pt idx="901">
                  <c:v>45838</c:v>
                </c:pt>
                <c:pt idx="902">
                  <c:v>45839</c:v>
                </c:pt>
                <c:pt idx="903">
                  <c:v>45840</c:v>
                </c:pt>
                <c:pt idx="904">
                  <c:v>45841</c:v>
                </c:pt>
                <c:pt idx="905">
                  <c:v>45842</c:v>
                </c:pt>
                <c:pt idx="906">
                  <c:v>45845</c:v>
                </c:pt>
                <c:pt idx="907">
                  <c:v>45846</c:v>
                </c:pt>
                <c:pt idx="908">
                  <c:v>45847</c:v>
                </c:pt>
                <c:pt idx="909">
                  <c:v>45848</c:v>
                </c:pt>
                <c:pt idx="910">
                  <c:v>45849</c:v>
                </c:pt>
                <c:pt idx="911">
                  <c:v>45852</c:v>
                </c:pt>
                <c:pt idx="912">
                  <c:v>45853</c:v>
                </c:pt>
                <c:pt idx="913">
                  <c:v>45854</c:v>
                </c:pt>
                <c:pt idx="914">
                  <c:v>45855</c:v>
                </c:pt>
                <c:pt idx="915">
                  <c:v>45856</c:v>
                </c:pt>
                <c:pt idx="916">
                  <c:v>45859</c:v>
                </c:pt>
                <c:pt idx="917">
                  <c:v>45860</c:v>
                </c:pt>
                <c:pt idx="918">
                  <c:v>45861</c:v>
                </c:pt>
                <c:pt idx="919">
                  <c:v>45862</c:v>
                </c:pt>
                <c:pt idx="920">
                  <c:v>45863</c:v>
                </c:pt>
                <c:pt idx="921">
                  <c:v>45866</c:v>
                </c:pt>
                <c:pt idx="922">
                  <c:v>45867</c:v>
                </c:pt>
                <c:pt idx="923">
                  <c:v>45868</c:v>
                </c:pt>
                <c:pt idx="924">
                  <c:v>45869</c:v>
                </c:pt>
                <c:pt idx="925">
                  <c:v>45870</c:v>
                </c:pt>
                <c:pt idx="926">
                  <c:v>45873</c:v>
                </c:pt>
                <c:pt idx="927">
                  <c:v>45874</c:v>
                </c:pt>
                <c:pt idx="928">
                  <c:v>45875</c:v>
                </c:pt>
                <c:pt idx="929">
                  <c:v>45876</c:v>
                </c:pt>
                <c:pt idx="930">
                  <c:v>45877</c:v>
                </c:pt>
                <c:pt idx="931">
                  <c:v>45880</c:v>
                </c:pt>
                <c:pt idx="932">
                  <c:v>45881</c:v>
                </c:pt>
                <c:pt idx="933">
                  <c:v>45882</c:v>
                </c:pt>
                <c:pt idx="934">
                  <c:v>45883</c:v>
                </c:pt>
                <c:pt idx="935">
                  <c:v>45884</c:v>
                </c:pt>
                <c:pt idx="936">
                  <c:v>45887</c:v>
                </c:pt>
                <c:pt idx="937">
                  <c:v>45888</c:v>
                </c:pt>
                <c:pt idx="938">
                  <c:v>45889</c:v>
                </c:pt>
                <c:pt idx="939">
                  <c:v>45890</c:v>
                </c:pt>
                <c:pt idx="940">
                  <c:v>45891</c:v>
                </c:pt>
                <c:pt idx="941">
                  <c:v>45894</c:v>
                </c:pt>
                <c:pt idx="942">
                  <c:v>45895</c:v>
                </c:pt>
                <c:pt idx="943">
                  <c:v>45896</c:v>
                </c:pt>
                <c:pt idx="944">
                  <c:v>45897</c:v>
                </c:pt>
                <c:pt idx="945">
                  <c:v>45898</c:v>
                </c:pt>
                <c:pt idx="946">
                  <c:v>45901</c:v>
                </c:pt>
                <c:pt idx="947">
                  <c:v>45902</c:v>
                </c:pt>
                <c:pt idx="948">
                  <c:v>45903</c:v>
                </c:pt>
                <c:pt idx="949">
                  <c:v>45904</c:v>
                </c:pt>
                <c:pt idx="950">
                  <c:v>45905</c:v>
                </c:pt>
                <c:pt idx="951">
                  <c:v>45908</c:v>
                </c:pt>
                <c:pt idx="952">
                  <c:v>45909</c:v>
                </c:pt>
                <c:pt idx="953">
                  <c:v>45910</c:v>
                </c:pt>
                <c:pt idx="954">
                  <c:v>45911</c:v>
                </c:pt>
                <c:pt idx="955">
                  <c:v>45912</c:v>
                </c:pt>
              </c:numCache>
            </c:numRef>
          </c:cat>
          <c:val>
            <c:numRef>
              <c:f>Sheet1!$C$2:$C$1223</c:f>
              <c:numCache>
                <c:formatCode>0.0</c:formatCode>
                <c:ptCount val="1222"/>
                <c:pt idx="0">
                  <c:v>100</c:v>
                </c:pt>
                <c:pt idx="1">
                  <c:v>100.54177953740363</c:v>
                </c:pt>
                <c:pt idx="2">
                  <c:v>100.64596790998124</c:v>
                </c:pt>
                <c:pt idx="3">
                  <c:v>100.64596790998124</c:v>
                </c:pt>
                <c:pt idx="4">
                  <c:v>100.80225046884766</c:v>
                </c:pt>
                <c:pt idx="5">
                  <c:v>100.59387372369241</c:v>
                </c:pt>
                <c:pt idx="6">
                  <c:v>100.59387372369241</c:v>
                </c:pt>
                <c:pt idx="7">
                  <c:v>100.33131902479681</c:v>
                </c:pt>
                <c:pt idx="8">
                  <c:v>100.59387372369241</c:v>
                </c:pt>
                <c:pt idx="9">
                  <c:v>100.20212544280056</c:v>
                </c:pt>
                <c:pt idx="10">
                  <c:v>100.20212544280056</c:v>
                </c:pt>
                <c:pt idx="11">
                  <c:v>100.33757032715147</c:v>
                </c:pt>
                <c:pt idx="12">
                  <c:v>100.36465930402164</c:v>
                </c:pt>
                <c:pt idx="13">
                  <c:v>100.36674307147321</c:v>
                </c:pt>
                <c:pt idx="14">
                  <c:v>100.59387372369243</c:v>
                </c:pt>
                <c:pt idx="15">
                  <c:v>100.36049176911857</c:v>
                </c:pt>
                <c:pt idx="16">
                  <c:v>100.49176911856637</c:v>
                </c:pt>
                <c:pt idx="17">
                  <c:v>100.53552823504899</c:v>
                </c:pt>
                <c:pt idx="18">
                  <c:v>100.64596790998127</c:v>
                </c:pt>
                <c:pt idx="19">
                  <c:v>100.64596790998127</c:v>
                </c:pt>
                <c:pt idx="20">
                  <c:v>100.64596790998127</c:v>
                </c:pt>
                <c:pt idx="21">
                  <c:v>100.64596790998127</c:v>
                </c:pt>
                <c:pt idx="22">
                  <c:v>100.67305688685146</c:v>
                </c:pt>
                <c:pt idx="23">
                  <c:v>100.64596790998127</c:v>
                </c:pt>
                <c:pt idx="24">
                  <c:v>100.35840800166703</c:v>
                </c:pt>
                <c:pt idx="25">
                  <c:v>100.59387372369245</c:v>
                </c:pt>
                <c:pt idx="26">
                  <c:v>99.968743488226721</c:v>
                </c:pt>
                <c:pt idx="27">
                  <c:v>99.83538237132737</c:v>
                </c:pt>
                <c:pt idx="28">
                  <c:v>99.820795999166506</c:v>
                </c:pt>
                <c:pt idx="29">
                  <c:v>100.02083767451553</c:v>
                </c:pt>
                <c:pt idx="30">
                  <c:v>100.02083767451553</c:v>
                </c:pt>
                <c:pt idx="31">
                  <c:v>100.07293186080435</c:v>
                </c:pt>
                <c:pt idx="32">
                  <c:v>100.07293186080435</c:v>
                </c:pt>
                <c:pt idx="33">
                  <c:v>100.02083767451553</c:v>
                </c:pt>
                <c:pt idx="34">
                  <c:v>100.02083767451553</c:v>
                </c:pt>
                <c:pt idx="35">
                  <c:v>100.02083767451553</c:v>
                </c:pt>
                <c:pt idx="36">
                  <c:v>99.916649301937909</c:v>
                </c:pt>
                <c:pt idx="37">
                  <c:v>99.968743488226721</c:v>
                </c:pt>
                <c:pt idx="38">
                  <c:v>100.02083767451553</c:v>
                </c:pt>
                <c:pt idx="39">
                  <c:v>100.33340279224839</c:v>
                </c:pt>
                <c:pt idx="40">
                  <c:v>100.28130860595958</c:v>
                </c:pt>
                <c:pt idx="41">
                  <c:v>101.53156907689103</c:v>
                </c:pt>
                <c:pt idx="42">
                  <c:v>102.365076057512</c:v>
                </c:pt>
                <c:pt idx="43">
                  <c:v>103.71952490102107</c:v>
                </c:pt>
                <c:pt idx="44">
                  <c:v>104.8301729526985</c:v>
                </c:pt>
                <c:pt idx="45">
                  <c:v>106.30964784330071</c:v>
                </c:pt>
                <c:pt idx="46">
                  <c:v>106.30964784330071</c:v>
                </c:pt>
                <c:pt idx="47">
                  <c:v>106.77432798499689</c:v>
                </c:pt>
                <c:pt idx="48">
                  <c:v>107.52448426755575</c:v>
                </c:pt>
                <c:pt idx="49">
                  <c:v>107.99749947905815</c:v>
                </c:pt>
                <c:pt idx="50">
                  <c:v>107.30777245259431</c:v>
                </c:pt>
                <c:pt idx="51">
                  <c:v>105.84288393415297</c:v>
                </c:pt>
                <c:pt idx="52">
                  <c:v>103.98833090227133</c:v>
                </c:pt>
                <c:pt idx="53">
                  <c:v>101.8962283809127</c:v>
                </c:pt>
                <c:pt idx="54">
                  <c:v>101.81287768285061</c:v>
                </c:pt>
                <c:pt idx="55">
                  <c:v>101.84830172952699</c:v>
                </c:pt>
                <c:pt idx="56">
                  <c:v>101.86705563659098</c:v>
                </c:pt>
                <c:pt idx="57">
                  <c:v>101.92748489268598</c:v>
                </c:pt>
                <c:pt idx="58">
                  <c:v>101.92748489268598</c:v>
                </c:pt>
                <c:pt idx="59">
                  <c:v>102.16711814961452</c:v>
                </c:pt>
                <c:pt idx="60">
                  <c:v>102.18170452177539</c:v>
                </c:pt>
                <c:pt idx="61">
                  <c:v>102.18795582413004</c:v>
                </c:pt>
                <c:pt idx="62">
                  <c:v>101.63992498437177</c:v>
                </c:pt>
                <c:pt idx="63">
                  <c:v>101.25234423838303</c:v>
                </c:pt>
                <c:pt idx="64">
                  <c:v>101.01687851635759</c:v>
                </c:pt>
                <c:pt idx="65">
                  <c:v>100.67722442175454</c:v>
                </c:pt>
                <c:pt idx="66">
                  <c:v>100.35215669931236</c:v>
                </c:pt>
                <c:pt idx="67">
                  <c:v>99.891644092519286</c:v>
                </c:pt>
                <c:pt idx="68">
                  <c:v>99.379037299437385</c:v>
                </c:pt>
                <c:pt idx="69">
                  <c:v>99.122733902896428</c:v>
                </c:pt>
                <c:pt idx="70">
                  <c:v>98.945613669514472</c:v>
                </c:pt>
                <c:pt idx="71">
                  <c:v>98.589289435299008</c:v>
                </c:pt>
                <c:pt idx="72">
                  <c:v>98.443425713690331</c:v>
                </c:pt>
                <c:pt idx="73">
                  <c:v>98.251719108147512</c:v>
                </c:pt>
                <c:pt idx="74">
                  <c:v>98.218378828922681</c:v>
                </c:pt>
                <c:pt idx="75">
                  <c:v>98.110022921441939</c:v>
                </c:pt>
                <c:pt idx="76">
                  <c:v>97.772452594290442</c:v>
                </c:pt>
                <c:pt idx="77">
                  <c:v>97.472390081266894</c:v>
                </c:pt>
                <c:pt idx="78">
                  <c:v>97.370285476140822</c:v>
                </c:pt>
                <c:pt idx="79">
                  <c:v>97.211919149822833</c:v>
                </c:pt>
                <c:pt idx="80">
                  <c:v>96.503438216295024</c:v>
                </c:pt>
                <c:pt idx="81">
                  <c:v>95.849135236507578</c:v>
                </c:pt>
                <c:pt idx="82">
                  <c:v>95.159408210043736</c:v>
                </c:pt>
                <c:pt idx="83">
                  <c:v>94.448843509064361</c:v>
                </c:pt>
                <c:pt idx="84">
                  <c:v>93.696603459053932</c:v>
                </c:pt>
                <c:pt idx="85">
                  <c:v>93.934152948530908</c:v>
                </c:pt>
                <c:pt idx="86">
                  <c:v>94.734319649927031</c:v>
                </c:pt>
                <c:pt idx="87">
                  <c:v>96.788914357157694</c:v>
                </c:pt>
                <c:pt idx="88">
                  <c:v>96.582621379454011</c:v>
                </c:pt>
                <c:pt idx="89">
                  <c:v>98.843509064388385</c:v>
                </c:pt>
                <c:pt idx="90">
                  <c:v>98.487184830172922</c:v>
                </c:pt>
                <c:pt idx="91">
                  <c:v>97.284851010627193</c:v>
                </c:pt>
                <c:pt idx="92">
                  <c:v>95.880391748280871</c:v>
                </c:pt>
                <c:pt idx="93">
                  <c:v>95.007293186080418</c:v>
                </c:pt>
                <c:pt idx="94">
                  <c:v>94.809335278182942</c:v>
                </c:pt>
                <c:pt idx="95">
                  <c:v>94.782246301312753</c:v>
                </c:pt>
                <c:pt idx="96">
                  <c:v>95.330277141071036</c:v>
                </c:pt>
                <c:pt idx="97">
                  <c:v>95.728276724317553</c:v>
                </c:pt>
                <c:pt idx="98">
                  <c:v>95.436549281100213</c:v>
                </c:pt>
                <c:pt idx="99">
                  <c:v>94.963534069597827</c:v>
                </c:pt>
                <c:pt idx="100">
                  <c:v>94.332152531777439</c:v>
                </c:pt>
                <c:pt idx="101">
                  <c:v>93.917482808918507</c:v>
                </c:pt>
                <c:pt idx="102">
                  <c:v>93.179829131068956</c:v>
                </c:pt>
                <c:pt idx="103">
                  <c:v>93.390289643675743</c:v>
                </c:pt>
                <c:pt idx="104">
                  <c:v>93.390289643675743</c:v>
                </c:pt>
                <c:pt idx="105">
                  <c:v>93.390289643675743</c:v>
                </c:pt>
                <c:pt idx="106">
                  <c:v>92.861012710981441</c:v>
                </c:pt>
                <c:pt idx="107">
                  <c:v>92.861012710981441</c:v>
                </c:pt>
                <c:pt idx="108">
                  <c:v>91.717024380079181</c:v>
                </c:pt>
                <c:pt idx="109">
                  <c:v>91.189831214836417</c:v>
                </c:pt>
                <c:pt idx="110">
                  <c:v>90.408418420504262</c:v>
                </c:pt>
                <c:pt idx="111">
                  <c:v>89.766618045426128</c:v>
                </c:pt>
                <c:pt idx="112">
                  <c:v>88.945613669514486</c:v>
                </c:pt>
                <c:pt idx="113">
                  <c:v>87.924567618253803</c:v>
                </c:pt>
                <c:pt idx="114">
                  <c:v>87.234840591789961</c:v>
                </c:pt>
                <c:pt idx="115">
                  <c:v>87.441133569493644</c:v>
                </c:pt>
                <c:pt idx="116">
                  <c:v>88.439258178787242</c:v>
                </c:pt>
                <c:pt idx="117">
                  <c:v>88.439258178787242</c:v>
                </c:pt>
                <c:pt idx="118">
                  <c:v>88.622629714523853</c:v>
                </c:pt>
                <c:pt idx="119">
                  <c:v>88.622629714523853</c:v>
                </c:pt>
                <c:pt idx="120">
                  <c:v>86.895186497186913</c:v>
                </c:pt>
                <c:pt idx="121">
                  <c:v>85.98041258595542</c:v>
                </c:pt>
                <c:pt idx="122">
                  <c:v>85.605334444675989</c:v>
                </c:pt>
                <c:pt idx="123">
                  <c:v>85.134403000625156</c:v>
                </c:pt>
                <c:pt idx="124">
                  <c:v>87.518232965201122</c:v>
                </c:pt>
                <c:pt idx="125">
                  <c:v>85.098978953948787</c:v>
                </c:pt>
                <c:pt idx="126">
                  <c:v>85.098978953948773</c:v>
                </c:pt>
                <c:pt idx="127">
                  <c:v>84.85309439466559</c:v>
                </c:pt>
                <c:pt idx="128">
                  <c:v>85.00729318608046</c:v>
                </c:pt>
                <c:pt idx="129">
                  <c:v>85.00729318608046</c:v>
                </c:pt>
                <c:pt idx="130">
                  <c:v>84.917691185663699</c:v>
                </c:pt>
                <c:pt idx="131">
                  <c:v>85.059387372369272</c:v>
                </c:pt>
                <c:pt idx="132">
                  <c:v>85.305271931652456</c:v>
                </c:pt>
                <c:pt idx="133">
                  <c:v>85.574077932902711</c:v>
                </c:pt>
                <c:pt idx="134">
                  <c:v>85.634507188997716</c:v>
                </c:pt>
                <c:pt idx="135">
                  <c:v>85.634507188997716</c:v>
                </c:pt>
                <c:pt idx="136">
                  <c:v>85.817878724734328</c:v>
                </c:pt>
                <c:pt idx="137">
                  <c:v>85.982496353406972</c:v>
                </c:pt>
                <c:pt idx="138">
                  <c:v>86.147113982079617</c:v>
                </c:pt>
                <c:pt idx="139">
                  <c:v>86.486768076682665</c:v>
                </c:pt>
                <c:pt idx="140">
                  <c:v>86.549281100229251</c:v>
                </c:pt>
                <c:pt idx="141">
                  <c:v>86.601375286518063</c:v>
                </c:pt>
                <c:pt idx="142">
                  <c:v>86.443008960200075</c:v>
                </c:pt>
                <c:pt idx="143">
                  <c:v>86.080433423629955</c:v>
                </c:pt>
                <c:pt idx="144">
                  <c:v>85.709522817253614</c:v>
                </c:pt>
                <c:pt idx="145">
                  <c:v>85.284434257136922</c:v>
                </c:pt>
                <c:pt idx="146">
                  <c:v>84.986455511564941</c:v>
                </c:pt>
                <c:pt idx="147">
                  <c:v>84.744738487184861</c:v>
                </c:pt>
                <c:pt idx="148">
                  <c:v>84.9572827672432</c:v>
                </c:pt>
                <c:pt idx="149">
                  <c:v>85.017712023338234</c:v>
                </c:pt>
                <c:pt idx="150">
                  <c:v>84.803083975828343</c:v>
                </c:pt>
                <c:pt idx="151">
                  <c:v>84.694728068347601</c:v>
                </c:pt>
                <c:pt idx="152">
                  <c:v>84.563450718899787</c:v>
                </c:pt>
                <c:pt idx="153">
                  <c:v>84.630131277349463</c:v>
                </c:pt>
                <c:pt idx="154">
                  <c:v>84.728068347572432</c:v>
                </c:pt>
                <c:pt idx="155">
                  <c:v>84.65930402167119</c:v>
                </c:pt>
                <c:pt idx="156">
                  <c:v>84.555115649093565</c:v>
                </c:pt>
                <c:pt idx="157">
                  <c:v>84.619712440091689</c:v>
                </c:pt>
                <c:pt idx="158">
                  <c:v>84.582204625963755</c:v>
                </c:pt>
                <c:pt idx="159">
                  <c:v>84.640550114607208</c:v>
                </c:pt>
                <c:pt idx="160">
                  <c:v>84.619712440091689</c:v>
                </c:pt>
                <c:pt idx="161">
                  <c:v>84.5926234632215</c:v>
                </c:pt>
                <c:pt idx="162">
                  <c:v>84.557199416545103</c:v>
                </c:pt>
                <c:pt idx="163">
                  <c:v>84.423838299645752</c:v>
                </c:pt>
                <c:pt idx="164">
                  <c:v>84.488435090643875</c:v>
                </c:pt>
                <c:pt idx="165">
                  <c:v>84.377995415711609</c:v>
                </c:pt>
                <c:pt idx="166">
                  <c:v>84.365492811002298</c:v>
                </c:pt>
                <c:pt idx="167">
                  <c:v>84.380079183163161</c:v>
                </c:pt>
                <c:pt idx="168">
                  <c:v>84.355073973744538</c:v>
                </c:pt>
                <c:pt idx="169">
                  <c:v>84.41758699729111</c:v>
                </c:pt>
                <c:pt idx="170">
                  <c:v>84.344655136486779</c:v>
                </c:pt>
                <c:pt idx="171">
                  <c:v>84.300896020004188</c:v>
                </c:pt>
                <c:pt idx="172">
                  <c:v>84.338403834132137</c:v>
                </c:pt>
                <c:pt idx="173">
                  <c:v>84.307147322358844</c:v>
                </c:pt>
                <c:pt idx="174">
                  <c:v>84.038341321108589</c:v>
                </c:pt>
                <c:pt idx="175">
                  <c:v>84.350906438841449</c:v>
                </c:pt>
                <c:pt idx="176">
                  <c:v>84.371744113356968</c:v>
                </c:pt>
                <c:pt idx="177">
                  <c:v>84.288393415294863</c:v>
                </c:pt>
                <c:pt idx="178">
                  <c:v>84.459262346322149</c:v>
                </c:pt>
                <c:pt idx="179">
                  <c:v>84.459262346322149</c:v>
                </c:pt>
                <c:pt idx="180">
                  <c:v>84.540529276932688</c:v>
                </c:pt>
                <c:pt idx="181">
                  <c:v>84.53844550948115</c:v>
                </c:pt>
                <c:pt idx="182">
                  <c:v>85.672015003125665</c:v>
                </c:pt>
                <c:pt idx="183">
                  <c:v>86.586788914357172</c:v>
                </c:pt>
                <c:pt idx="184">
                  <c:v>86.626380495936687</c:v>
                </c:pt>
                <c:pt idx="185">
                  <c:v>86.841008543446577</c:v>
                </c:pt>
                <c:pt idx="186">
                  <c:v>86.626380495936687</c:v>
                </c:pt>
                <c:pt idx="187">
                  <c:v>86.678474682225499</c:v>
                </c:pt>
                <c:pt idx="188">
                  <c:v>86.740987705772056</c:v>
                </c:pt>
                <c:pt idx="189">
                  <c:v>86.070014586372196</c:v>
                </c:pt>
                <c:pt idx="190">
                  <c:v>85.396957699520769</c:v>
                </c:pt>
                <c:pt idx="191">
                  <c:v>85.026047093144442</c:v>
                </c:pt>
                <c:pt idx="192">
                  <c:v>84.586372160866887</c:v>
                </c:pt>
                <c:pt idx="193">
                  <c:v>84.528026672223419</c:v>
                </c:pt>
                <c:pt idx="194">
                  <c:v>84.644717649510355</c:v>
                </c:pt>
                <c:pt idx="195">
                  <c:v>84.703063138153823</c:v>
                </c:pt>
                <c:pt idx="196">
                  <c:v>84.534277974578089</c:v>
                </c:pt>
                <c:pt idx="197">
                  <c:v>84.488435090643932</c:v>
                </c:pt>
                <c:pt idx="198">
                  <c:v>84.184205042717295</c:v>
                </c:pt>
                <c:pt idx="199">
                  <c:v>84.246718066263867</c:v>
                </c:pt>
                <c:pt idx="200">
                  <c:v>84.188372577620399</c:v>
                </c:pt>
                <c:pt idx="201">
                  <c:v>84.127943321525379</c:v>
                </c:pt>
                <c:pt idx="202">
                  <c:v>84.165451135653313</c:v>
                </c:pt>
                <c:pt idx="203">
                  <c:v>84.171702438007969</c:v>
                </c:pt>
                <c:pt idx="204">
                  <c:v>84.21129401958747</c:v>
                </c:pt>
                <c:pt idx="205">
                  <c:v>84.175869972911073</c:v>
                </c:pt>
                <c:pt idx="206">
                  <c:v>84.182121275265729</c:v>
                </c:pt>
                <c:pt idx="207">
                  <c:v>84.098770577203624</c:v>
                </c:pt>
                <c:pt idx="208">
                  <c:v>84.098770577203624</c:v>
                </c:pt>
                <c:pt idx="209">
                  <c:v>83.836215878308025</c:v>
                </c:pt>
                <c:pt idx="210">
                  <c:v>83.540320900187581</c:v>
                </c:pt>
                <c:pt idx="211">
                  <c:v>83.221504480100052</c:v>
                </c:pt>
                <c:pt idx="212">
                  <c:v>82.663054803084009</c:v>
                </c:pt>
                <c:pt idx="213">
                  <c:v>82.419254011252377</c:v>
                </c:pt>
                <c:pt idx="214">
                  <c:v>83.725776203375744</c:v>
                </c:pt>
                <c:pt idx="215">
                  <c:v>83.704938528860211</c:v>
                </c:pt>
                <c:pt idx="216">
                  <c:v>82.385913732027547</c:v>
                </c:pt>
                <c:pt idx="217">
                  <c:v>82.379662429672891</c:v>
                </c:pt>
                <c:pt idx="218">
                  <c:v>82.41717024380084</c:v>
                </c:pt>
                <c:pt idx="219">
                  <c:v>82.41717024380084</c:v>
                </c:pt>
                <c:pt idx="220">
                  <c:v>82.569285267764172</c:v>
                </c:pt>
                <c:pt idx="221">
                  <c:v>82.237966242967346</c:v>
                </c:pt>
                <c:pt idx="222">
                  <c:v>82.365076057512042</c:v>
                </c:pt>
                <c:pt idx="223">
                  <c:v>82.542196290894012</c:v>
                </c:pt>
                <c:pt idx="224">
                  <c:v>82.502604709314511</c:v>
                </c:pt>
                <c:pt idx="225">
                  <c:v>82.502604709314511</c:v>
                </c:pt>
                <c:pt idx="226">
                  <c:v>82.337987080641867</c:v>
                </c:pt>
                <c:pt idx="227">
                  <c:v>82.419254011252406</c:v>
                </c:pt>
                <c:pt idx="228">
                  <c:v>82.41300270889775</c:v>
                </c:pt>
                <c:pt idx="229">
                  <c:v>82.41300270889775</c:v>
                </c:pt>
                <c:pt idx="230">
                  <c:v>82.265055219837535</c:v>
                </c:pt>
                <c:pt idx="231">
                  <c:v>82.294227964159276</c:v>
                </c:pt>
                <c:pt idx="232">
                  <c:v>82.294227964159276</c:v>
                </c:pt>
                <c:pt idx="233">
                  <c:v>82.319233173577899</c:v>
                </c:pt>
                <c:pt idx="234">
                  <c:v>82.500520941862959</c:v>
                </c:pt>
                <c:pt idx="235">
                  <c:v>82.333819545738763</c:v>
                </c:pt>
                <c:pt idx="236">
                  <c:v>82.333819545738763</c:v>
                </c:pt>
                <c:pt idx="237">
                  <c:v>82.381746197124471</c:v>
                </c:pt>
                <c:pt idx="238">
                  <c:v>82.308814336320125</c:v>
                </c:pt>
                <c:pt idx="239">
                  <c:v>82.498437174411393</c:v>
                </c:pt>
                <c:pt idx="240">
                  <c:v>82.431756615961703</c:v>
                </c:pt>
                <c:pt idx="241">
                  <c:v>82.458845592831892</c:v>
                </c:pt>
                <c:pt idx="242">
                  <c:v>82.34007084809339</c:v>
                </c:pt>
                <c:pt idx="243">
                  <c:v>82.492185872056723</c:v>
                </c:pt>
                <c:pt idx="244">
                  <c:v>82.419254011252391</c:v>
                </c:pt>
                <c:pt idx="245">
                  <c:v>82.465096895186548</c:v>
                </c:pt>
                <c:pt idx="246">
                  <c:v>82.127526568035051</c:v>
                </c:pt>
                <c:pt idx="247">
                  <c:v>82.154615544905226</c:v>
                </c:pt>
                <c:pt idx="248">
                  <c:v>82.194207126484727</c:v>
                </c:pt>
                <c:pt idx="249">
                  <c:v>82.160866847259896</c:v>
                </c:pt>
                <c:pt idx="250">
                  <c:v>82.04417586997296</c:v>
                </c:pt>
                <c:pt idx="251">
                  <c:v>82.094186288810221</c:v>
                </c:pt>
                <c:pt idx="252">
                  <c:v>82.11502396332574</c:v>
                </c:pt>
                <c:pt idx="253">
                  <c:v>82.060846009585376</c:v>
                </c:pt>
                <c:pt idx="254">
                  <c:v>82.017086893102785</c:v>
                </c:pt>
                <c:pt idx="255">
                  <c:v>81.948322567201544</c:v>
                </c:pt>
                <c:pt idx="256">
                  <c:v>81.977495311523285</c:v>
                </c:pt>
                <c:pt idx="257">
                  <c:v>82.204625963742487</c:v>
                </c:pt>
                <c:pt idx="258">
                  <c:v>82.244217545321987</c:v>
                </c:pt>
                <c:pt idx="259">
                  <c:v>82.202542196290949</c:v>
                </c:pt>
                <c:pt idx="260">
                  <c:v>82.51719108147536</c:v>
                </c:pt>
                <c:pt idx="261">
                  <c:v>82.51719108147536</c:v>
                </c:pt>
                <c:pt idx="262">
                  <c:v>82.294227964159248</c:v>
                </c:pt>
                <c:pt idx="263">
                  <c:v>82.41717024380084</c:v>
                </c:pt>
                <c:pt idx="264">
                  <c:v>82.621379454052985</c:v>
                </c:pt>
                <c:pt idx="265">
                  <c:v>82.517191081475374</c:v>
                </c:pt>
                <c:pt idx="266">
                  <c:v>82.517191081475374</c:v>
                </c:pt>
                <c:pt idx="267">
                  <c:v>82.517191081475374</c:v>
                </c:pt>
                <c:pt idx="268">
                  <c:v>82.621379454052999</c:v>
                </c:pt>
                <c:pt idx="269">
                  <c:v>82.521358616378478</c:v>
                </c:pt>
                <c:pt idx="270">
                  <c:v>82.465096895186576</c:v>
                </c:pt>
                <c:pt idx="271">
                  <c:v>82.46926443008968</c:v>
                </c:pt>
                <c:pt idx="272">
                  <c:v>82.442175453219505</c:v>
                </c:pt>
                <c:pt idx="273">
                  <c:v>82.413002708897764</c:v>
                </c:pt>
                <c:pt idx="274">
                  <c:v>82.521358616378478</c:v>
                </c:pt>
                <c:pt idx="275">
                  <c:v>82.444259220671043</c:v>
                </c:pt>
                <c:pt idx="276">
                  <c:v>82.544280058345564</c:v>
                </c:pt>
                <c:pt idx="277">
                  <c:v>82.544280058345564</c:v>
                </c:pt>
                <c:pt idx="278">
                  <c:v>82.569285267764187</c:v>
                </c:pt>
                <c:pt idx="279">
                  <c:v>82.569285267764187</c:v>
                </c:pt>
                <c:pt idx="280">
                  <c:v>82.648468430923174</c:v>
                </c:pt>
                <c:pt idx="281">
                  <c:v>82.648468430923188</c:v>
                </c:pt>
                <c:pt idx="282">
                  <c:v>82.648468430923188</c:v>
                </c:pt>
                <c:pt idx="283">
                  <c:v>82.648468430923188</c:v>
                </c:pt>
                <c:pt idx="284">
                  <c:v>82.673473640341825</c:v>
                </c:pt>
                <c:pt idx="285">
                  <c:v>82.465096895186591</c:v>
                </c:pt>
                <c:pt idx="286">
                  <c:v>82.569285267764215</c:v>
                </c:pt>
                <c:pt idx="287">
                  <c:v>82.49218587205678</c:v>
                </c:pt>
                <c:pt idx="288">
                  <c:v>82.413002708897793</c:v>
                </c:pt>
                <c:pt idx="289">
                  <c:v>82.413002708897793</c:v>
                </c:pt>
                <c:pt idx="290">
                  <c:v>82.000416753490413</c:v>
                </c:pt>
                <c:pt idx="291">
                  <c:v>81.869139404042613</c:v>
                </c:pt>
                <c:pt idx="292">
                  <c:v>81.869139404042613</c:v>
                </c:pt>
                <c:pt idx="293">
                  <c:v>81.617003542404774</c:v>
                </c:pt>
                <c:pt idx="294">
                  <c:v>81.366951448218487</c:v>
                </c:pt>
                <c:pt idx="295">
                  <c:v>81.475307355699215</c:v>
                </c:pt>
                <c:pt idx="296">
                  <c:v>81.14607209835394</c:v>
                </c:pt>
                <c:pt idx="297">
                  <c:v>81.071056470098043</c:v>
                </c:pt>
                <c:pt idx="298">
                  <c:v>81.121066888935303</c:v>
                </c:pt>
                <c:pt idx="299">
                  <c:v>81.060637632840283</c:v>
                </c:pt>
                <c:pt idx="300">
                  <c:v>81.048135028130972</c:v>
                </c:pt>
                <c:pt idx="301">
                  <c:v>80.885601166909893</c:v>
                </c:pt>
                <c:pt idx="302">
                  <c:v>80.952281725359569</c:v>
                </c:pt>
                <c:pt idx="303">
                  <c:v>80.975203167326654</c:v>
                </c:pt>
                <c:pt idx="304">
                  <c:v>80.975203167326654</c:v>
                </c:pt>
                <c:pt idx="305">
                  <c:v>80.952281725359569</c:v>
                </c:pt>
                <c:pt idx="306">
                  <c:v>80.887684934361445</c:v>
                </c:pt>
                <c:pt idx="307">
                  <c:v>80.941862888101809</c:v>
                </c:pt>
                <c:pt idx="308">
                  <c:v>81.014794748906155</c:v>
                </c:pt>
                <c:pt idx="309">
                  <c:v>80.933527818295602</c:v>
                </c:pt>
                <c:pt idx="310">
                  <c:v>80.98145446968131</c:v>
                </c:pt>
                <c:pt idx="311">
                  <c:v>80.908522608876964</c:v>
                </c:pt>
                <c:pt idx="312">
                  <c:v>80.950197957908017</c:v>
                </c:pt>
                <c:pt idx="313">
                  <c:v>80.923108981037842</c:v>
                </c:pt>
                <c:pt idx="314">
                  <c:v>80.885601166909893</c:v>
                </c:pt>
                <c:pt idx="315">
                  <c:v>80.918941446134724</c:v>
                </c:pt>
                <c:pt idx="316">
                  <c:v>80.86476349239436</c:v>
                </c:pt>
                <c:pt idx="317">
                  <c:v>80.960616795165762</c:v>
                </c:pt>
                <c:pt idx="318">
                  <c:v>80.910606376328516</c:v>
                </c:pt>
                <c:pt idx="319">
                  <c:v>80.893936236716087</c:v>
                </c:pt>
                <c:pt idx="320">
                  <c:v>80.912690143780068</c:v>
                </c:pt>
                <c:pt idx="321">
                  <c:v>80.912690143780068</c:v>
                </c:pt>
                <c:pt idx="322">
                  <c:v>80.950197957908003</c:v>
                </c:pt>
                <c:pt idx="323">
                  <c:v>80.881433632006761</c:v>
                </c:pt>
                <c:pt idx="324">
                  <c:v>80.916857678683158</c:v>
                </c:pt>
                <c:pt idx="325">
                  <c:v>80.893936236716087</c:v>
                </c:pt>
                <c:pt idx="326">
                  <c:v>80.893936236716087</c:v>
                </c:pt>
                <c:pt idx="327">
                  <c:v>80.900187539070743</c:v>
                </c:pt>
                <c:pt idx="328">
                  <c:v>80.900187539070743</c:v>
                </c:pt>
                <c:pt idx="329">
                  <c:v>80.900187539070743</c:v>
                </c:pt>
                <c:pt idx="330">
                  <c:v>80.843925817878826</c:v>
                </c:pt>
                <c:pt idx="331">
                  <c:v>80.891852469264521</c:v>
                </c:pt>
                <c:pt idx="332">
                  <c:v>80.837674515524157</c:v>
                </c:pt>
                <c:pt idx="333">
                  <c:v>80.804334236299312</c:v>
                </c:pt>
                <c:pt idx="334">
                  <c:v>80.777245259429122</c:v>
                </c:pt>
                <c:pt idx="335">
                  <c:v>80.685559491560824</c:v>
                </c:pt>
                <c:pt idx="336">
                  <c:v>80.739737445301188</c:v>
                </c:pt>
                <c:pt idx="337">
                  <c:v>80.739737445301188</c:v>
                </c:pt>
                <c:pt idx="338">
                  <c:v>80.483434048760245</c:v>
                </c:pt>
                <c:pt idx="339">
                  <c:v>80.710564700979447</c:v>
                </c:pt>
                <c:pt idx="340">
                  <c:v>80.523025630339731</c:v>
                </c:pt>
                <c:pt idx="341">
                  <c:v>80.566784746822336</c:v>
                </c:pt>
                <c:pt idx="342">
                  <c:v>80.566784746822336</c:v>
                </c:pt>
                <c:pt idx="343">
                  <c:v>80.61054386330494</c:v>
                </c:pt>
                <c:pt idx="344">
                  <c:v>80.637632840175115</c:v>
                </c:pt>
                <c:pt idx="345">
                  <c:v>80.706397166076343</c:v>
                </c:pt>
                <c:pt idx="346">
                  <c:v>80.506355490727316</c:v>
                </c:pt>
                <c:pt idx="347">
                  <c:v>80.525109397791283</c:v>
                </c:pt>
                <c:pt idx="348">
                  <c:v>80.525109397791283</c:v>
                </c:pt>
                <c:pt idx="349">
                  <c:v>80.516774327985075</c:v>
                </c:pt>
                <c:pt idx="350">
                  <c:v>80.850177120233468</c:v>
                </c:pt>
                <c:pt idx="351">
                  <c:v>80.641800375078219</c:v>
                </c:pt>
                <c:pt idx="352">
                  <c:v>80.689727026463927</c:v>
                </c:pt>
                <c:pt idx="353">
                  <c:v>80.506355490727316</c:v>
                </c:pt>
                <c:pt idx="354">
                  <c:v>80.498020420921108</c:v>
                </c:pt>
                <c:pt idx="355">
                  <c:v>80.648051677432875</c:v>
                </c:pt>
                <c:pt idx="356">
                  <c:v>80.520941862888193</c:v>
                </c:pt>
                <c:pt idx="357">
                  <c:v>80.623046468014266</c:v>
                </c:pt>
                <c:pt idx="358">
                  <c:v>80.485517816211797</c:v>
                </c:pt>
                <c:pt idx="359">
                  <c:v>80.485517816211797</c:v>
                </c:pt>
                <c:pt idx="360">
                  <c:v>80.516774327985075</c:v>
                </c:pt>
                <c:pt idx="361">
                  <c:v>80.541779537403698</c:v>
                </c:pt>
                <c:pt idx="362">
                  <c:v>80.225046884767735</c:v>
                </c:pt>
                <c:pt idx="363">
                  <c:v>80.541779537403698</c:v>
                </c:pt>
                <c:pt idx="364">
                  <c:v>80.562617211919232</c:v>
                </c:pt>
                <c:pt idx="365">
                  <c:v>80.637632840175115</c:v>
                </c:pt>
                <c:pt idx="366">
                  <c:v>80.687643259012376</c:v>
                </c:pt>
                <c:pt idx="367">
                  <c:v>80.700145863721673</c:v>
                </c:pt>
                <c:pt idx="368">
                  <c:v>80.650135444884427</c:v>
                </c:pt>
                <c:pt idx="369">
                  <c:v>80.589706188789407</c:v>
                </c:pt>
                <c:pt idx="370">
                  <c:v>80.641800375078219</c:v>
                </c:pt>
                <c:pt idx="371">
                  <c:v>80.433423629922984</c:v>
                </c:pt>
                <c:pt idx="372">
                  <c:v>80.516774327985075</c:v>
                </c:pt>
                <c:pt idx="373">
                  <c:v>80.685559491560824</c:v>
                </c:pt>
                <c:pt idx="374">
                  <c:v>80.558449677016128</c:v>
                </c:pt>
                <c:pt idx="375">
                  <c:v>80.545947072306816</c:v>
                </c:pt>
                <c:pt idx="376">
                  <c:v>80.545947072306816</c:v>
                </c:pt>
                <c:pt idx="377">
                  <c:v>80.4896853511149</c:v>
                </c:pt>
                <c:pt idx="378">
                  <c:v>80.658470514690649</c:v>
                </c:pt>
                <c:pt idx="379">
                  <c:v>80.466763909147829</c:v>
                </c:pt>
                <c:pt idx="380">
                  <c:v>80.462596374244711</c:v>
                </c:pt>
                <c:pt idx="381">
                  <c:v>80.662638049593752</c:v>
                </c:pt>
                <c:pt idx="382">
                  <c:v>80.548030839758368</c:v>
                </c:pt>
                <c:pt idx="383">
                  <c:v>80.581371118983199</c:v>
                </c:pt>
                <c:pt idx="384">
                  <c:v>80.54386330485525</c:v>
                </c:pt>
                <c:pt idx="385">
                  <c:v>80.500104188372646</c:v>
                </c:pt>
                <c:pt idx="386">
                  <c:v>80.445926234632296</c:v>
                </c:pt>
                <c:pt idx="387">
                  <c:v>80.637632840175115</c:v>
                </c:pt>
                <c:pt idx="388">
                  <c:v>80.637632840175115</c:v>
                </c:pt>
                <c:pt idx="389">
                  <c:v>80.485517816211782</c:v>
                </c:pt>
                <c:pt idx="390">
                  <c:v>80.491769118566424</c:v>
                </c:pt>
                <c:pt idx="391">
                  <c:v>80.53761200250058</c:v>
                </c:pt>
                <c:pt idx="392">
                  <c:v>80.660554282142158</c:v>
                </c:pt>
                <c:pt idx="393">
                  <c:v>80.677224421754588</c:v>
                </c:pt>
                <c:pt idx="394">
                  <c:v>80.48760158366332</c:v>
                </c:pt>
                <c:pt idx="395">
                  <c:v>81.308605959574962</c:v>
                </c:pt>
                <c:pt idx="396">
                  <c:v>80.435507397374508</c:v>
                </c:pt>
                <c:pt idx="397">
                  <c:v>80.462596374244697</c:v>
                </c:pt>
                <c:pt idx="398">
                  <c:v>80.49385288601799</c:v>
                </c:pt>
                <c:pt idx="399">
                  <c:v>80.700145863721673</c:v>
                </c:pt>
                <c:pt idx="400">
                  <c:v>80.49385288601799</c:v>
                </c:pt>
                <c:pt idx="401">
                  <c:v>80.533444467597491</c:v>
                </c:pt>
                <c:pt idx="402">
                  <c:v>80.660554282142186</c:v>
                </c:pt>
                <c:pt idx="403">
                  <c:v>80.587622421337855</c:v>
                </c:pt>
                <c:pt idx="404">
                  <c:v>80.516774327985075</c:v>
                </c:pt>
                <c:pt idx="405">
                  <c:v>80.508439258178868</c:v>
                </c:pt>
                <c:pt idx="406">
                  <c:v>80.479266513857141</c:v>
                </c:pt>
                <c:pt idx="407">
                  <c:v>80.462596374244711</c:v>
                </c:pt>
                <c:pt idx="408">
                  <c:v>80.470931444050919</c:v>
                </c:pt>
                <c:pt idx="409">
                  <c:v>80.612627630756492</c:v>
                </c:pt>
                <c:pt idx="410">
                  <c:v>80.612627630756492</c:v>
                </c:pt>
                <c:pt idx="411">
                  <c:v>80.493852886018004</c:v>
                </c:pt>
                <c:pt idx="412">
                  <c:v>80.452177536986937</c:v>
                </c:pt>
                <c:pt idx="413">
                  <c:v>80.529276932694387</c:v>
                </c:pt>
                <c:pt idx="414">
                  <c:v>80.448010002083848</c:v>
                </c:pt>
                <c:pt idx="415">
                  <c:v>80.443842467180744</c:v>
                </c:pt>
                <c:pt idx="416">
                  <c:v>80.433423629922984</c:v>
                </c:pt>
                <c:pt idx="417">
                  <c:v>80.56053344446768</c:v>
                </c:pt>
                <c:pt idx="418">
                  <c:v>80.570952281725454</c:v>
                </c:pt>
                <c:pt idx="419">
                  <c:v>80.579287351531661</c:v>
                </c:pt>
                <c:pt idx="420">
                  <c:v>80.464680141696277</c:v>
                </c:pt>
                <c:pt idx="421">
                  <c:v>80.460512606793174</c:v>
                </c:pt>
                <c:pt idx="422">
                  <c:v>80.537612002500623</c:v>
                </c:pt>
                <c:pt idx="423">
                  <c:v>80.389664513440408</c:v>
                </c:pt>
                <c:pt idx="424">
                  <c:v>80.600125026047195</c:v>
                </c:pt>
                <c:pt idx="425">
                  <c:v>80.425088560116791</c:v>
                </c:pt>
                <c:pt idx="426">
                  <c:v>80.429256095019909</c:v>
                </c:pt>
                <c:pt idx="427">
                  <c:v>80.431339862471461</c:v>
                </c:pt>
                <c:pt idx="428">
                  <c:v>80.464680141696292</c:v>
                </c:pt>
                <c:pt idx="429">
                  <c:v>80.429256095019909</c:v>
                </c:pt>
                <c:pt idx="430">
                  <c:v>80.387580745988842</c:v>
                </c:pt>
                <c:pt idx="431">
                  <c:v>80.412585955407465</c:v>
                </c:pt>
                <c:pt idx="432">
                  <c:v>80.412585955407465</c:v>
                </c:pt>
                <c:pt idx="433">
                  <c:v>80.393832048343498</c:v>
                </c:pt>
                <c:pt idx="434">
                  <c:v>80.397999583246602</c:v>
                </c:pt>
                <c:pt idx="435">
                  <c:v>80.366743071473323</c:v>
                </c:pt>
                <c:pt idx="436">
                  <c:v>80.360491769118653</c:v>
                </c:pt>
                <c:pt idx="437">
                  <c:v>80.454261304438518</c:v>
                </c:pt>
                <c:pt idx="438">
                  <c:v>80.400083350698154</c:v>
                </c:pt>
                <c:pt idx="439">
                  <c:v>80.481350281308707</c:v>
                </c:pt>
                <c:pt idx="440">
                  <c:v>80.537612002500623</c:v>
                </c:pt>
                <c:pt idx="441">
                  <c:v>80.506355490727344</c:v>
                </c:pt>
                <c:pt idx="442">
                  <c:v>80.393832048343512</c:v>
                </c:pt>
                <c:pt idx="443">
                  <c:v>80.46259637424474</c:v>
                </c:pt>
                <c:pt idx="444">
                  <c:v>80.506355490727344</c:v>
                </c:pt>
                <c:pt idx="445">
                  <c:v>80.506355490727344</c:v>
                </c:pt>
                <c:pt idx="446">
                  <c:v>80.691810793915508</c:v>
                </c:pt>
                <c:pt idx="447">
                  <c:v>80.745988747655872</c:v>
                </c:pt>
                <c:pt idx="448">
                  <c:v>80.789747864138462</c:v>
                </c:pt>
                <c:pt idx="449">
                  <c:v>80.973119399875074</c:v>
                </c:pt>
                <c:pt idx="450">
                  <c:v>81.450302146280578</c:v>
                </c:pt>
                <c:pt idx="451">
                  <c:v>82.569285267764229</c:v>
                </c:pt>
                <c:pt idx="452">
                  <c:v>84.788497603667537</c:v>
                </c:pt>
                <c:pt idx="453">
                  <c:v>87.820379245676307</c:v>
                </c:pt>
                <c:pt idx="454">
                  <c:v>89.422796415920118</c:v>
                </c:pt>
                <c:pt idx="455">
                  <c:v>87.209835382371466</c:v>
                </c:pt>
                <c:pt idx="456">
                  <c:v>85.45947072306744</c:v>
                </c:pt>
                <c:pt idx="457">
                  <c:v>84.205042717232899</c:v>
                </c:pt>
                <c:pt idx="458">
                  <c:v>82.833923734111394</c:v>
                </c:pt>
                <c:pt idx="459">
                  <c:v>82.354657220254353</c:v>
                </c:pt>
                <c:pt idx="460">
                  <c:v>82.873515315690895</c:v>
                </c:pt>
                <c:pt idx="461">
                  <c:v>83.811210668889487</c:v>
                </c:pt>
                <c:pt idx="462">
                  <c:v>83.604917691185804</c:v>
                </c:pt>
                <c:pt idx="463">
                  <c:v>83.690352156699447</c:v>
                </c:pt>
                <c:pt idx="464">
                  <c:v>83.698687226505655</c:v>
                </c:pt>
                <c:pt idx="465">
                  <c:v>83.729943738278934</c:v>
                </c:pt>
                <c:pt idx="466">
                  <c:v>83.65492811002305</c:v>
                </c:pt>
                <c:pt idx="467">
                  <c:v>83.811210668889473</c:v>
                </c:pt>
                <c:pt idx="468">
                  <c:v>83.840383413211214</c:v>
                </c:pt>
                <c:pt idx="469">
                  <c:v>83.850802250468973</c:v>
                </c:pt>
                <c:pt idx="470">
                  <c:v>83.867472390081403</c:v>
                </c:pt>
                <c:pt idx="471">
                  <c:v>83.882058762242281</c:v>
                </c:pt>
                <c:pt idx="472">
                  <c:v>83.821629506147261</c:v>
                </c:pt>
                <c:pt idx="473">
                  <c:v>83.975828297562146</c:v>
                </c:pt>
                <c:pt idx="474">
                  <c:v>83.848718483017436</c:v>
                </c:pt>
                <c:pt idx="475">
                  <c:v>83.844550948114332</c:v>
                </c:pt>
                <c:pt idx="476">
                  <c:v>83.813294436341053</c:v>
                </c:pt>
                <c:pt idx="477">
                  <c:v>83.838299645759662</c:v>
                </c:pt>
                <c:pt idx="478">
                  <c:v>83.904980204209338</c:v>
                </c:pt>
                <c:pt idx="479">
                  <c:v>83.873723692436045</c:v>
                </c:pt>
                <c:pt idx="480">
                  <c:v>83.909147739112441</c:v>
                </c:pt>
                <c:pt idx="481">
                  <c:v>83.89039383204846</c:v>
                </c:pt>
                <c:pt idx="482">
                  <c:v>83.973744530110551</c:v>
                </c:pt>
                <c:pt idx="483">
                  <c:v>84.015419879141589</c:v>
                </c:pt>
                <c:pt idx="484">
                  <c:v>83.959158157949688</c:v>
                </c:pt>
                <c:pt idx="485">
                  <c:v>83.917482808918649</c:v>
                </c:pt>
                <c:pt idx="486">
                  <c:v>83.852886017920525</c:v>
                </c:pt>
                <c:pt idx="487">
                  <c:v>83.804959366534817</c:v>
                </c:pt>
                <c:pt idx="488">
                  <c:v>83.882058762242252</c:v>
                </c:pt>
                <c:pt idx="489">
                  <c:v>83.852886017920525</c:v>
                </c:pt>
                <c:pt idx="490">
                  <c:v>83.85288601792054</c:v>
                </c:pt>
                <c:pt idx="491">
                  <c:v>83.804959366534831</c:v>
                </c:pt>
                <c:pt idx="492">
                  <c:v>83.83204834340502</c:v>
                </c:pt>
                <c:pt idx="493">
                  <c:v>83.827880808501931</c:v>
                </c:pt>
                <c:pt idx="494">
                  <c:v>83.871639924984535</c:v>
                </c:pt>
                <c:pt idx="495">
                  <c:v>83.902896436757814</c:v>
                </c:pt>
                <c:pt idx="496">
                  <c:v>83.950823088143522</c:v>
                </c:pt>
                <c:pt idx="497">
                  <c:v>83.986247134819905</c:v>
                </c:pt>
                <c:pt idx="498">
                  <c:v>83.965409460304372</c:v>
                </c:pt>
                <c:pt idx="499">
                  <c:v>83.996665972077679</c:v>
                </c:pt>
                <c:pt idx="500">
                  <c:v>83.975828297562146</c:v>
                </c:pt>
                <c:pt idx="501">
                  <c:v>84.025838716399406</c:v>
                </c:pt>
                <c:pt idx="502">
                  <c:v>84.088351739945978</c:v>
                </c:pt>
                <c:pt idx="503">
                  <c:v>84.088351739945978</c:v>
                </c:pt>
                <c:pt idx="504">
                  <c:v>84.209210252136003</c:v>
                </c:pt>
                <c:pt idx="505">
                  <c:v>84.305063554907406</c:v>
                </c:pt>
                <c:pt idx="506">
                  <c:v>84.455094811419187</c:v>
                </c:pt>
                <c:pt idx="507">
                  <c:v>84.59053969577009</c:v>
                </c:pt>
                <c:pt idx="508">
                  <c:v>84.561366951448349</c:v>
                </c:pt>
                <c:pt idx="509">
                  <c:v>84.505105230256447</c:v>
                </c:pt>
                <c:pt idx="510">
                  <c:v>84.521775369868863</c:v>
                </c:pt>
                <c:pt idx="511">
                  <c:v>84.517607834965759</c:v>
                </c:pt>
                <c:pt idx="512">
                  <c:v>84.434257136903653</c:v>
                </c:pt>
                <c:pt idx="513">
                  <c:v>84.43008960200055</c:v>
                </c:pt>
                <c:pt idx="514">
                  <c:v>84.42383829964588</c:v>
                </c:pt>
                <c:pt idx="515">
                  <c:v>84.34882267139001</c:v>
                </c:pt>
                <c:pt idx="516">
                  <c:v>84.348822671389996</c:v>
                </c:pt>
                <c:pt idx="517">
                  <c:v>84.450927276516055</c:v>
                </c:pt>
                <c:pt idx="518">
                  <c:v>84.480100020837796</c:v>
                </c:pt>
                <c:pt idx="519">
                  <c:v>84.438424671806757</c:v>
                </c:pt>
                <c:pt idx="520">
                  <c:v>84.600958533027836</c:v>
                </c:pt>
                <c:pt idx="521">
                  <c:v>84.519691602417282</c:v>
                </c:pt>
                <c:pt idx="522">
                  <c:v>84.492602625547093</c:v>
                </c:pt>
                <c:pt idx="523">
                  <c:v>84.394665555324124</c:v>
                </c:pt>
                <c:pt idx="524">
                  <c:v>84.465513648676918</c:v>
                </c:pt>
                <c:pt idx="525">
                  <c:v>84.465513648676918</c:v>
                </c:pt>
                <c:pt idx="526">
                  <c:v>84.519691602417282</c:v>
                </c:pt>
                <c:pt idx="527">
                  <c:v>84.494686392998645</c:v>
                </c:pt>
                <c:pt idx="528">
                  <c:v>84.444675974161385</c:v>
                </c:pt>
                <c:pt idx="529">
                  <c:v>84.480100020837767</c:v>
                </c:pt>
                <c:pt idx="530">
                  <c:v>84.423838299645837</c:v>
                </c:pt>
                <c:pt idx="531">
                  <c:v>84.417586997291181</c:v>
                </c:pt>
                <c:pt idx="532">
                  <c:v>84.548864346738981</c:v>
                </c:pt>
                <c:pt idx="533">
                  <c:v>84.227964159199914</c:v>
                </c:pt>
                <c:pt idx="534">
                  <c:v>84.102938112106784</c:v>
                </c:pt>
                <c:pt idx="535">
                  <c:v>84.496770160450197</c:v>
                </c:pt>
                <c:pt idx="536">
                  <c:v>84.496770160450197</c:v>
                </c:pt>
                <c:pt idx="537">
                  <c:v>84.496770160450197</c:v>
                </c:pt>
                <c:pt idx="538">
                  <c:v>84.600958533027807</c:v>
                </c:pt>
                <c:pt idx="539">
                  <c:v>84.600958533027821</c:v>
                </c:pt>
                <c:pt idx="540">
                  <c:v>84.653052719316634</c:v>
                </c:pt>
                <c:pt idx="541">
                  <c:v>84.600958533027821</c:v>
                </c:pt>
                <c:pt idx="542">
                  <c:v>84.600958533027821</c:v>
                </c:pt>
                <c:pt idx="543">
                  <c:v>84.653052719316634</c:v>
                </c:pt>
                <c:pt idx="544">
                  <c:v>84.600958533027821</c:v>
                </c:pt>
                <c:pt idx="545">
                  <c:v>84.600958533027821</c:v>
                </c:pt>
                <c:pt idx="546">
                  <c:v>84.232131694103046</c:v>
                </c:pt>
                <c:pt idx="547">
                  <c:v>84.548864346739009</c:v>
                </c:pt>
                <c:pt idx="548">
                  <c:v>84.600958533027807</c:v>
                </c:pt>
                <c:pt idx="549">
                  <c:v>84.548864346739009</c:v>
                </c:pt>
                <c:pt idx="550">
                  <c:v>84.600958533027807</c:v>
                </c:pt>
                <c:pt idx="551">
                  <c:v>84.600958533027821</c:v>
                </c:pt>
                <c:pt idx="552">
                  <c:v>84.653052719316634</c:v>
                </c:pt>
                <c:pt idx="553">
                  <c:v>84.653052719316648</c:v>
                </c:pt>
                <c:pt idx="554">
                  <c:v>84.600958533027836</c:v>
                </c:pt>
                <c:pt idx="555">
                  <c:v>84.521775369868834</c:v>
                </c:pt>
                <c:pt idx="556">
                  <c:v>84.653052719316634</c:v>
                </c:pt>
                <c:pt idx="557">
                  <c:v>84.600958533027821</c:v>
                </c:pt>
                <c:pt idx="558">
                  <c:v>84.653052719316634</c:v>
                </c:pt>
                <c:pt idx="559">
                  <c:v>84.236299229006164</c:v>
                </c:pt>
                <c:pt idx="560">
                  <c:v>84.13211085642854</c:v>
                </c:pt>
                <c:pt idx="561">
                  <c:v>84.157116065847177</c:v>
                </c:pt>
                <c:pt idx="562">
                  <c:v>84.13211085642854</c:v>
                </c:pt>
                <c:pt idx="563">
                  <c:v>84.080016670139742</c:v>
                </c:pt>
                <c:pt idx="564">
                  <c:v>83.975828297562117</c:v>
                </c:pt>
                <c:pt idx="565">
                  <c:v>83.975828297562117</c:v>
                </c:pt>
                <c:pt idx="566">
                  <c:v>83.923734111273305</c:v>
                </c:pt>
                <c:pt idx="567">
                  <c:v>83.923734111273305</c:v>
                </c:pt>
                <c:pt idx="568">
                  <c:v>83.923734111273305</c:v>
                </c:pt>
                <c:pt idx="569">
                  <c:v>83.871639924984493</c:v>
                </c:pt>
                <c:pt idx="570">
                  <c:v>83.871639924984493</c:v>
                </c:pt>
                <c:pt idx="571">
                  <c:v>83.615336528443549</c:v>
                </c:pt>
                <c:pt idx="572">
                  <c:v>83.30277141071069</c:v>
                </c:pt>
                <c:pt idx="573">
                  <c:v>83.033965409460421</c:v>
                </c:pt>
                <c:pt idx="574">
                  <c:v>82.883934152948655</c:v>
                </c:pt>
                <c:pt idx="575">
                  <c:v>82.883934152948655</c:v>
                </c:pt>
                <c:pt idx="576">
                  <c:v>82.527609918733191</c:v>
                </c:pt>
                <c:pt idx="577">
                  <c:v>82.248385080225162</c:v>
                </c:pt>
                <c:pt idx="578">
                  <c:v>82.19629089393635</c:v>
                </c:pt>
                <c:pt idx="579">
                  <c:v>81.677432798499808</c:v>
                </c:pt>
                <c:pt idx="580">
                  <c:v>81.787872473432074</c:v>
                </c:pt>
                <c:pt idx="581">
                  <c:v>81.208585121900512</c:v>
                </c:pt>
                <c:pt idx="582">
                  <c:v>80.973119399875074</c:v>
                </c:pt>
                <c:pt idx="583">
                  <c:v>80.948114190456451</c:v>
                </c:pt>
                <c:pt idx="584">
                  <c:v>81.066888935194939</c:v>
                </c:pt>
                <c:pt idx="585">
                  <c:v>81.185663679933427</c:v>
                </c:pt>
                <c:pt idx="586">
                  <c:v>81.579495728276839</c:v>
                </c:pt>
                <c:pt idx="587">
                  <c:v>81.571160658470632</c:v>
                </c:pt>
                <c:pt idx="588">
                  <c:v>81.56907689101908</c:v>
                </c:pt>
                <c:pt idx="589">
                  <c:v>82.067097311940103</c:v>
                </c:pt>
                <c:pt idx="590">
                  <c:v>82.673473640341868</c:v>
                </c:pt>
                <c:pt idx="591">
                  <c:v>82.467180662638185</c:v>
                </c:pt>
                <c:pt idx="592">
                  <c:v>82.32965201083573</c:v>
                </c:pt>
                <c:pt idx="593">
                  <c:v>82.115023963325825</c:v>
                </c:pt>
                <c:pt idx="594">
                  <c:v>81.808710147947622</c:v>
                </c:pt>
                <c:pt idx="595">
                  <c:v>81.569076891019094</c:v>
                </c:pt>
                <c:pt idx="596">
                  <c:v>81.275265680350202</c:v>
                </c:pt>
                <c:pt idx="597">
                  <c:v>81.273181912898636</c:v>
                </c:pt>
                <c:pt idx="598">
                  <c:v>80.975203167326654</c:v>
                </c:pt>
                <c:pt idx="599">
                  <c:v>80.866847259845926</c:v>
                </c:pt>
                <c:pt idx="600">
                  <c:v>80.81058553865401</c:v>
                </c:pt>
                <c:pt idx="601">
                  <c:v>80.954365492811121</c:v>
                </c:pt>
                <c:pt idx="602">
                  <c:v>80.850177120233496</c:v>
                </c:pt>
                <c:pt idx="603">
                  <c:v>80.708480933527937</c:v>
                </c:pt>
                <c:pt idx="604">
                  <c:v>81.162742237966356</c:v>
                </c:pt>
                <c:pt idx="605">
                  <c:v>80.829339445717963</c:v>
                </c:pt>
                <c:pt idx="606">
                  <c:v>80.852260887685048</c:v>
                </c:pt>
                <c:pt idx="607">
                  <c:v>80.954365492811121</c:v>
                </c:pt>
                <c:pt idx="608">
                  <c:v>80.852260887685048</c:v>
                </c:pt>
                <c:pt idx="609">
                  <c:v>80.775161491977613</c:v>
                </c:pt>
                <c:pt idx="610">
                  <c:v>80.785580329235387</c:v>
                </c:pt>
                <c:pt idx="611">
                  <c:v>80.75015628255899</c:v>
                </c:pt>
                <c:pt idx="612">
                  <c:v>80.868931027297478</c:v>
                </c:pt>
                <c:pt idx="613">
                  <c:v>80.76682642217142</c:v>
                </c:pt>
                <c:pt idx="614">
                  <c:v>80.843925817878855</c:v>
                </c:pt>
                <c:pt idx="615">
                  <c:v>80.900187539070771</c:v>
                </c:pt>
                <c:pt idx="616">
                  <c:v>80.92727651594096</c:v>
                </c:pt>
                <c:pt idx="617">
                  <c:v>80.762658887268316</c:v>
                </c:pt>
                <c:pt idx="618">
                  <c:v>80.802250468847816</c:v>
                </c:pt>
                <c:pt idx="619">
                  <c:v>80.802250468847816</c:v>
                </c:pt>
                <c:pt idx="620">
                  <c:v>80.856428422588181</c:v>
                </c:pt>
                <c:pt idx="621">
                  <c:v>80.7459887476559</c:v>
                </c:pt>
                <c:pt idx="622">
                  <c:v>80.912690143780097</c:v>
                </c:pt>
                <c:pt idx="623">
                  <c:v>80.720983538237277</c:v>
                </c:pt>
                <c:pt idx="624">
                  <c:v>80.750156282559004</c:v>
                </c:pt>
                <c:pt idx="625">
                  <c:v>80.712648468431055</c:v>
                </c:pt>
                <c:pt idx="626">
                  <c:v>80.885601166909908</c:v>
                </c:pt>
                <c:pt idx="627">
                  <c:v>80.777245259429165</c:v>
                </c:pt>
                <c:pt idx="628">
                  <c:v>80.789747864138477</c:v>
                </c:pt>
                <c:pt idx="629">
                  <c:v>80.754323817462094</c:v>
                </c:pt>
                <c:pt idx="630">
                  <c:v>80.762658887268302</c:v>
                </c:pt>
                <c:pt idx="631">
                  <c:v>80.768910189622972</c:v>
                </c:pt>
                <c:pt idx="632">
                  <c:v>80.858512190039718</c:v>
                </c:pt>
                <c:pt idx="633">
                  <c:v>80.952281725359583</c:v>
                </c:pt>
                <c:pt idx="634">
                  <c:v>81.012710981454589</c:v>
                </c:pt>
                <c:pt idx="635">
                  <c:v>81.002292144196844</c:v>
                </c:pt>
                <c:pt idx="636">
                  <c:v>80.971035632423551</c:v>
                </c:pt>
                <c:pt idx="637">
                  <c:v>80.883517399458356</c:v>
                </c:pt>
                <c:pt idx="638">
                  <c:v>80.958533027714239</c:v>
                </c:pt>
                <c:pt idx="639">
                  <c:v>80.860595957491284</c:v>
                </c:pt>
                <c:pt idx="640">
                  <c:v>80.891852469264563</c:v>
                </c:pt>
                <c:pt idx="641">
                  <c:v>80.918941446134738</c:v>
                </c:pt>
                <c:pt idx="642">
                  <c:v>80.875182329652148</c:v>
                </c:pt>
                <c:pt idx="643">
                  <c:v>80.883517399458356</c:v>
                </c:pt>
                <c:pt idx="644">
                  <c:v>80.862679724942822</c:v>
                </c:pt>
                <c:pt idx="645">
                  <c:v>80.883517399458341</c:v>
                </c:pt>
                <c:pt idx="646">
                  <c:v>80.900187539070757</c:v>
                </c:pt>
                <c:pt idx="647">
                  <c:v>80.900187539070757</c:v>
                </c:pt>
                <c:pt idx="648">
                  <c:v>80.954365492811121</c:v>
                </c:pt>
                <c:pt idx="649">
                  <c:v>80.825171910814873</c:v>
                </c:pt>
                <c:pt idx="650">
                  <c:v>80.852260887685048</c:v>
                </c:pt>
                <c:pt idx="651">
                  <c:v>80.852260887685048</c:v>
                </c:pt>
                <c:pt idx="652">
                  <c:v>80.943946655553361</c:v>
                </c:pt>
                <c:pt idx="653">
                  <c:v>80.850177120233496</c:v>
                </c:pt>
                <c:pt idx="654">
                  <c:v>80.810585538653996</c:v>
                </c:pt>
                <c:pt idx="655">
                  <c:v>80.843925817878841</c:v>
                </c:pt>
                <c:pt idx="656">
                  <c:v>80.898103771619205</c:v>
                </c:pt>
                <c:pt idx="657">
                  <c:v>80.848093352781945</c:v>
                </c:pt>
                <c:pt idx="658">
                  <c:v>80.927276515940932</c:v>
                </c:pt>
                <c:pt idx="659">
                  <c:v>80.798082933944684</c:v>
                </c:pt>
                <c:pt idx="660">
                  <c:v>80.831423213169529</c:v>
                </c:pt>
                <c:pt idx="661">
                  <c:v>80.931444050844036</c:v>
                </c:pt>
                <c:pt idx="662">
                  <c:v>80.827255678266411</c:v>
                </c:pt>
                <c:pt idx="663">
                  <c:v>80.933527818295573</c:v>
                </c:pt>
                <c:pt idx="664">
                  <c:v>80.777245259429137</c:v>
                </c:pt>
                <c:pt idx="665">
                  <c:v>80.929360283392469</c:v>
                </c:pt>
                <c:pt idx="666">
                  <c:v>80.871014794749001</c:v>
                </c:pt>
                <c:pt idx="667">
                  <c:v>80.814753073557085</c:v>
                </c:pt>
                <c:pt idx="668">
                  <c:v>80.818920608460189</c:v>
                </c:pt>
                <c:pt idx="669">
                  <c:v>80.804334236299312</c:v>
                </c:pt>
                <c:pt idx="670">
                  <c:v>80.893936236716073</c:v>
                </c:pt>
                <c:pt idx="671">
                  <c:v>80.793915399041566</c:v>
                </c:pt>
                <c:pt idx="672">
                  <c:v>80.952281725359541</c:v>
                </c:pt>
                <c:pt idx="673">
                  <c:v>80.896020004167639</c:v>
                </c:pt>
                <c:pt idx="674">
                  <c:v>80.904355073973846</c:v>
                </c:pt>
                <c:pt idx="675">
                  <c:v>80.97937070222973</c:v>
                </c:pt>
                <c:pt idx="676">
                  <c:v>80.937695353198677</c:v>
                </c:pt>
                <c:pt idx="677">
                  <c:v>80.904355073973832</c:v>
                </c:pt>
                <c:pt idx="678">
                  <c:v>80.875182329652105</c:v>
                </c:pt>
                <c:pt idx="679">
                  <c:v>80.883517399458327</c:v>
                </c:pt>
                <c:pt idx="680">
                  <c:v>80.871014794749016</c:v>
                </c:pt>
                <c:pt idx="681">
                  <c:v>80.92519274848938</c:v>
                </c:pt>
                <c:pt idx="682">
                  <c:v>80.850177120233496</c:v>
                </c:pt>
                <c:pt idx="683">
                  <c:v>80.858512190039718</c:v>
                </c:pt>
                <c:pt idx="684">
                  <c:v>80.873098562200582</c:v>
                </c:pt>
                <c:pt idx="685">
                  <c:v>80.812669306105562</c:v>
                </c:pt>
                <c:pt idx="686">
                  <c:v>80.831423213169529</c:v>
                </c:pt>
                <c:pt idx="687">
                  <c:v>80.818920608460218</c:v>
                </c:pt>
                <c:pt idx="688">
                  <c:v>80.752240050010528</c:v>
                </c:pt>
                <c:pt idx="689">
                  <c:v>80.752240050010528</c:v>
                </c:pt>
                <c:pt idx="690">
                  <c:v>80.720983538237249</c:v>
                </c:pt>
                <c:pt idx="691">
                  <c:v>80.954365492811121</c:v>
                </c:pt>
                <c:pt idx="692">
                  <c:v>80.704313398624834</c:v>
                </c:pt>
                <c:pt idx="693">
                  <c:v>80.660554282142229</c:v>
                </c:pt>
                <c:pt idx="694">
                  <c:v>80.673056886851541</c:v>
                </c:pt>
                <c:pt idx="695">
                  <c:v>80.687643259012418</c:v>
                </c:pt>
                <c:pt idx="696">
                  <c:v>80.698062096270164</c:v>
                </c:pt>
                <c:pt idx="697">
                  <c:v>80.698062096270164</c:v>
                </c:pt>
                <c:pt idx="698">
                  <c:v>80.698062096270164</c:v>
                </c:pt>
                <c:pt idx="699">
                  <c:v>80.681391956657748</c:v>
                </c:pt>
                <c:pt idx="700">
                  <c:v>80.768910189622957</c:v>
                </c:pt>
                <c:pt idx="701">
                  <c:v>80.660554282142229</c:v>
                </c:pt>
                <c:pt idx="702">
                  <c:v>80.798082933944698</c:v>
                </c:pt>
                <c:pt idx="703">
                  <c:v>80.698062096270178</c:v>
                </c:pt>
                <c:pt idx="704">
                  <c:v>80.814753073557114</c:v>
                </c:pt>
                <c:pt idx="705">
                  <c:v>80.716816003334159</c:v>
                </c:pt>
                <c:pt idx="706">
                  <c:v>80.745988747655886</c:v>
                </c:pt>
                <c:pt idx="707">
                  <c:v>80.735569910398112</c:v>
                </c:pt>
                <c:pt idx="708">
                  <c:v>80.708480933527937</c:v>
                </c:pt>
                <c:pt idx="709">
                  <c:v>80.702229631173282</c:v>
                </c:pt>
                <c:pt idx="710">
                  <c:v>80.664721817045347</c:v>
                </c:pt>
                <c:pt idx="711">
                  <c:v>80.67930818920621</c:v>
                </c:pt>
                <c:pt idx="712">
                  <c:v>80.652219212336036</c:v>
                </c:pt>
                <c:pt idx="713">
                  <c:v>80.639716607626724</c:v>
                </c:pt>
                <c:pt idx="714">
                  <c:v>80.627214002917412</c:v>
                </c:pt>
                <c:pt idx="715">
                  <c:v>80.729318608043485</c:v>
                </c:pt>
                <c:pt idx="716">
                  <c:v>80.654302979787602</c:v>
                </c:pt>
                <c:pt idx="717">
                  <c:v>80.673056886851569</c:v>
                </c:pt>
                <c:pt idx="718">
                  <c:v>80.673056886851569</c:v>
                </c:pt>
                <c:pt idx="719">
                  <c:v>80.668889351948465</c:v>
                </c:pt>
                <c:pt idx="720">
                  <c:v>80.683475724109329</c:v>
                </c:pt>
                <c:pt idx="721">
                  <c:v>80.700145863721744</c:v>
                </c:pt>
                <c:pt idx="722">
                  <c:v>80.739737445301259</c:v>
                </c:pt>
                <c:pt idx="723">
                  <c:v>80.693894561367102</c:v>
                </c:pt>
                <c:pt idx="724">
                  <c:v>80.675140654303135</c:v>
                </c:pt>
                <c:pt idx="725">
                  <c:v>80.685559491560895</c:v>
                </c:pt>
                <c:pt idx="726">
                  <c:v>80.781412794332311</c:v>
                </c:pt>
                <c:pt idx="727">
                  <c:v>80.64180037507829</c:v>
                </c:pt>
                <c:pt idx="728">
                  <c:v>80.693894561367102</c:v>
                </c:pt>
                <c:pt idx="729">
                  <c:v>80.668889351948479</c:v>
                </c:pt>
                <c:pt idx="730">
                  <c:v>80.654302979787616</c:v>
                </c:pt>
                <c:pt idx="731">
                  <c:v>80.652219212336064</c:v>
                </c:pt>
                <c:pt idx="732">
                  <c:v>80.770993957074552</c:v>
                </c:pt>
                <c:pt idx="733">
                  <c:v>80.677224421754701</c:v>
                </c:pt>
                <c:pt idx="734">
                  <c:v>80.660554282142272</c:v>
                </c:pt>
                <c:pt idx="735">
                  <c:v>80.691810793915565</c:v>
                </c:pt>
                <c:pt idx="736">
                  <c:v>80.716816003334188</c:v>
                </c:pt>
                <c:pt idx="737">
                  <c:v>80.689727026464013</c:v>
                </c:pt>
                <c:pt idx="738">
                  <c:v>80.71889977078574</c:v>
                </c:pt>
                <c:pt idx="739">
                  <c:v>80.716816003334188</c:v>
                </c:pt>
                <c:pt idx="740">
                  <c:v>80.716816003334188</c:v>
                </c:pt>
                <c:pt idx="741">
                  <c:v>80.777245259429208</c:v>
                </c:pt>
                <c:pt idx="742">
                  <c:v>80.775161491977656</c:v>
                </c:pt>
                <c:pt idx="743">
                  <c:v>80.902271306522351</c:v>
                </c:pt>
                <c:pt idx="744">
                  <c:v>81.035632423421703</c:v>
                </c:pt>
                <c:pt idx="745">
                  <c:v>81.052302563034132</c:v>
                </c:pt>
                <c:pt idx="746">
                  <c:v>81.098145446968275</c:v>
                </c:pt>
                <c:pt idx="747">
                  <c:v>81.152323400708639</c:v>
                </c:pt>
                <c:pt idx="748">
                  <c:v>81.216920191706762</c:v>
                </c:pt>
                <c:pt idx="749">
                  <c:v>81.29610335486575</c:v>
                </c:pt>
                <c:pt idx="750">
                  <c:v>81.45030214628062</c:v>
                </c:pt>
                <c:pt idx="751">
                  <c:v>81.606584705147043</c:v>
                </c:pt>
                <c:pt idx="752">
                  <c:v>82.517191081475445</c:v>
                </c:pt>
                <c:pt idx="753">
                  <c:v>82.517191081475445</c:v>
                </c:pt>
                <c:pt idx="754">
                  <c:v>82.986038758074741</c:v>
                </c:pt>
                <c:pt idx="755">
                  <c:v>83.19441550322999</c:v>
                </c:pt>
                <c:pt idx="756">
                  <c:v>83.819545738695723</c:v>
                </c:pt>
                <c:pt idx="757">
                  <c:v>83.89872890185471</c:v>
                </c:pt>
                <c:pt idx="758">
                  <c:v>83.506980620962864</c:v>
                </c:pt>
                <c:pt idx="759">
                  <c:v>82.471348197541317</c:v>
                </c:pt>
                <c:pt idx="760">
                  <c:v>82.28172535945005</c:v>
                </c:pt>
                <c:pt idx="761">
                  <c:v>82.173369451969322</c:v>
                </c:pt>
                <c:pt idx="762">
                  <c:v>82.173369451969322</c:v>
                </c:pt>
                <c:pt idx="763">
                  <c:v>82.102521358616542</c:v>
                </c:pt>
                <c:pt idx="764">
                  <c:v>81.892060846009755</c:v>
                </c:pt>
                <c:pt idx="765">
                  <c:v>82.223379870806582</c:v>
                </c:pt>
                <c:pt idx="766">
                  <c:v>82.229631173161252</c:v>
                </c:pt>
                <c:pt idx="767">
                  <c:v>82.290060429256272</c:v>
                </c:pt>
                <c:pt idx="768">
                  <c:v>82.319233173577999</c:v>
                </c:pt>
                <c:pt idx="769">
                  <c:v>82.429672848510265</c:v>
                </c:pt>
                <c:pt idx="770">
                  <c:v>83.311106480516926</c:v>
                </c:pt>
                <c:pt idx="771">
                  <c:v>82.529693686184785</c:v>
                </c:pt>
                <c:pt idx="772">
                  <c:v>82.617211919149995</c:v>
                </c:pt>
                <c:pt idx="773">
                  <c:v>82.63388205876241</c:v>
                </c:pt>
                <c:pt idx="774">
                  <c:v>82.63388205876241</c:v>
                </c:pt>
                <c:pt idx="775">
                  <c:v>82.621379454053098</c:v>
                </c:pt>
                <c:pt idx="776">
                  <c:v>83.273598666388992</c:v>
                </c:pt>
                <c:pt idx="777">
                  <c:v>83.273598666388978</c:v>
                </c:pt>
                <c:pt idx="778">
                  <c:v>83.298603875807601</c:v>
                </c:pt>
                <c:pt idx="779">
                  <c:v>82.615128151698414</c:v>
                </c:pt>
                <c:pt idx="780">
                  <c:v>83.298603875807601</c:v>
                </c:pt>
                <c:pt idx="781">
                  <c:v>83.350698062096413</c:v>
                </c:pt>
                <c:pt idx="782">
                  <c:v>83.24859345697034</c:v>
                </c:pt>
                <c:pt idx="783">
                  <c:v>83.377787038966602</c:v>
                </c:pt>
                <c:pt idx="784">
                  <c:v>83.454886434674052</c:v>
                </c:pt>
                <c:pt idx="785">
                  <c:v>83.506980620962864</c:v>
                </c:pt>
                <c:pt idx="786">
                  <c:v>83.454886434674052</c:v>
                </c:pt>
                <c:pt idx="787">
                  <c:v>83.434048760158532</c:v>
                </c:pt>
                <c:pt idx="788">
                  <c:v>83.586163784121865</c:v>
                </c:pt>
                <c:pt idx="789">
                  <c:v>83.611168993540502</c:v>
                </c:pt>
                <c:pt idx="790">
                  <c:v>83.559074807251704</c:v>
                </c:pt>
                <c:pt idx="791">
                  <c:v>83.513231923317534</c:v>
                </c:pt>
                <c:pt idx="792">
                  <c:v>83.465305271931825</c:v>
                </c:pt>
                <c:pt idx="793">
                  <c:v>83.465305271931825</c:v>
                </c:pt>
                <c:pt idx="794">
                  <c:v>83.402792248385254</c:v>
                </c:pt>
                <c:pt idx="795">
                  <c:v>83.363200666805753</c:v>
                </c:pt>
                <c:pt idx="796">
                  <c:v>82.798499687435054</c:v>
                </c:pt>
                <c:pt idx="797">
                  <c:v>82.723484059179171</c:v>
                </c:pt>
                <c:pt idx="798">
                  <c:v>82.665138570535703</c:v>
                </c:pt>
                <c:pt idx="799">
                  <c:v>82.638049593665528</c:v>
                </c:pt>
                <c:pt idx="800">
                  <c:v>83.248593456970383</c:v>
                </c:pt>
                <c:pt idx="801">
                  <c:v>83.248593456970383</c:v>
                </c:pt>
                <c:pt idx="802">
                  <c:v>82.602625546989145</c:v>
                </c:pt>
                <c:pt idx="803">
                  <c:v>82.62971452385932</c:v>
                </c:pt>
                <c:pt idx="804">
                  <c:v>82.633882058762424</c:v>
                </c:pt>
                <c:pt idx="805">
                  <c:v>82.829756199208347</c:v>
                </c:pt>
                <c:pt idx="806">
                  <c:v>82.62346322150465</c:v>
                </c:pt>
                <c:pt idx="807">
                  <c:v>82.598458012086013</c:v>
                </c:pt>
                <c:pt idx="808">
                  <c:v>82.565117732861182</c:v>
                </c:pt>
                <c:pt idx="809">
                  <c:v>82.458845592832006</c:v>
                </c:pt>
                <c:pt idx="810">
                  <c:v>82.373411127318349</c:v>
                </c:pt>
                <c:pt idx="811">
                  <c:v>82.185872056678633</c:v>
                </c:pt>
                <c:pt idx="812">
                  <c:v>82.079599916649443</c:v>
                </c:pt>
                <c:pt idx="813">
                  <c:v>82.006668055845111</c:v>
                </c:pt>
                <c:pt idx="814">
                  <c:v>81.998332986038903</c:v>
                </c:pt>
                <c:pt idx="815">
                  <c:v>81.946238799750091</c:v>
                </c:pt>
                <c:pt idx="816">
                  <c:v>81.964992706814073</c:v>
                </c:pt>
                <c:pt idx="817">
                  <c:v>81.996249218587351</c:v>
                </c:pt>
                <c:pt idx="818">
                  <c:v>82.071264846843249</c:v>
                </c:pt>
                <c:pt idx="819">
                  <c:v>82.162950614711548</c:v>
                </c:pt>
                <c:pt idx="820">
                  <c:v>82.221296103355016</c:v>
                </c:pt>
                <c:pt idx="821">
                  <c:v>82.221296103355016</c:v>
                </c:pt>
                <c:pt idx="822">
                  <c:v>82.429672848510265</c:v>
                </c:pt>
                <c:pt idx="823">
                  <c:v>82.440091685768024</c:v>
                </c:pt>
                <c:pt idx="824">
                  <c:v>81.979579078974936</c:v>
                </c:pt>
                <c:pt idx="825">
                  <c:v>81.979579078974936</c:v>
                </c:pt>
                <c:pt idx="826">
                  <c:v>81.629506147114128</c:v>
                </c:pt>
                <c:pt idx="827">
                  <c:v>81.629506147114128</c:v>
                </c:pt>
                <c:pt idx="828">
                  <c:v>81.591998332986179</c:v>
                </c:pt>
                <c:pt idx="829">
                  <c:v>81.594082100437731</c:v>
                </c:pt>
                <c:pt idx="830">
                  <c:v>81.737862054594856</c:v>
                </c:pt>
                <c:pt idx="831">
                  <c:v>81.892060846009727</c:v>
                </c:pt>
                <c:pt idx="832">
                  <c:v>81.648260054178095</c:v>
                </c:pt>
                <c:pt idx="833">
                  <c:v>81.64200875182344</c:v>
                </c:pt>
                <c:pt idx="834">
                  <c:v>81.64200875182344</c:v>
                </c:pt>
                <c:pt idx="835">
                  <c:v>81.644092519274992</c:v>
                </c:pt>
                <c:pt idx="836">
                  <c:v>81.598249635340835</c:v>
                </c:pt>
                <c:pt idx="837">
                  <c:v>81.594082100437731</c:v>
                </c:pt>
                <c:pt idx="838">
                  <c:v>81.496145030214777</c:v>
                </c:pt>
                <c:pt idx="839">
                  <c:v>81.496145030214777</c:v>
                </c:pt>
                <c:pt idx="840">
                  <c:v>81.541987914148919</c:v>
                </c:pt>
                <c:pt idx="841">
                  <c:v>81.5211502396334</c:v>
                </c:pt>
                <c:pt idx="842">
                  <c:v>81.50448010002097</c:v>
                </c:pt>
                <c:pt idx="843">
                  <c:v>81.477391123150795</c:v>
                </c:pt>
                <c:pt idx="844">
                  <c:v>81.637841216920322</c:v>
                </c:pt>
                <c:pt idx="845">
                  <c:v>81.491977495311659</c:v>
                </c:pt>
                <c:pt idx="846">
                  <c:v>81.489893727860107</c:v>
                </c:pt>
                <c:pt idx="847">
                  <c:v>81.458637216086828</c:v>
                </c:pt>
                <c:pt idx="848">
                  <c:v>81.408626797249568</c:v>
                </c:pt>
                <c:pt idx="849">
                  <c:v>81.531569076891159</c:v>
                </c:pt>
                <c:pt idx="850">
                  <c:v>81.462804750989932</c:v>
                </c:pt>
                <c:pt idx="851">
                  <c:v>81.373202750573171</c:v>
                </c:pt>
                <c:pt idx="852">
                  <c:v>81.373202750573171</c:v>
                </c:pt>
                <c:pt idx="853">
                  <c:v>81.175244842675696</c:v>
                </c:pt>
                <c:pt idx="854">
                  <c:v>81.175244842675696</c:v>
                </c:pt>
                <c:pt idx="855">
                  <c:v>81.335694936445236</c:v>
                </c:pt>
                <c:pt idx="856">
                  <c:v>81.335694936445236</c:v>
                </c:pt>
                <c:pt idx="857">
                  <c:v>81.335694936445236</c:v>
                </c:pt>
                <c:pt idx="858">
                  <c:v>81.254428005834697</c:v>
                </c:pt>
                <c:pt idx="859">
                  <c:v>81.254428005834697</c:v>
                </c:pt>
                <c:pt idx="860">
                  <c:v>81.143988330902431</c:v>
                </c:pt>
                <c:pt idx="861">
                  <c:v>81.154407168160191</c:v>
                </c:pt>
                <c:pt idx="862">
                  <c:v>81.154407168160191</c:v>
                </c:pt>
                <c:pt idx="863">
                  <c:v>81.116899354032242</c:v>
                </c:pt>
                <c:pt idx="864">
                  <c:v>81.110648051677586</c:v>
                </c:pt>
                <c:pt idx="865">
                  <c:v>81.110648051677586</c:v>
                </c:pt>
                <c:pt idx="866">
                  <c:v>81.162742237966398</c:v>
                </c:pt>
                <c:pt idx="867">
                  <c:v>80.866847259845954</c:v>
                </c:pt>
                <c:pt idx="868">
                  <c:v>81.162742237966398</c:v>
                </c:pt>
                <c:pt idx="869">
                  <c:v>80.629297770368979</c:v>
                </c:pt>
                <c:pt idx="870">
                  <c:v>80.502187955824283</c:v>
                </c:pt>
                <c:pt idx="871">
                  <c:v>80.475098978954108</c:v>
                </c:pt>
                <c:pt idx="872">
                  <c:v>80.208376745155405</c:v>
                </c:pt>
                <c:pt idx="873">
                  <c:v>80.53761200250068</c:v>
                </c:pt>
                <c:pt idx="874">
                  <c:v>80.108355907480885</c:v>
                </c:pt>
                <c:pt idx="875">
                  <c:v>80.108355907480885</c:v>
                </c:pt>
                <c:pt idx="876">
                  <c:v>80.108355907480885</c:v>
                </c:pt>
                <c:pt idx="877">
                  <c:v>80.108355907480885</c:v>
                </c:pt>
                <c:pt idx="878">
                  <c:v>80.108355907480885</c:v>
                </c:pt>
                <c:pt idx="879">
                  <c:v>80.108355907480885</c:v>
                </c:pt>
                <c:pt idx="880">
                  <c:v>80.00416753490326</c:v>
                </c:pt>
                <c:pt idx="881">
                  <c:v>80.00416753490326</c:v>
                </c:pt>
                <c:pt idx="882">
                  <c:v>80.00416753490326</c:v>
                </c:pt>
                <c:pt idx="883">
                  <c:v>80.00416753490326</c:v>
                </c:pt>
                <c:pt idx="884">
                  <c:v>79.912481767034961</c:v>
                </c:pt>
                <c:pt idx="885">
                  <c:v>79.854136278391508</c:v>
                </c:pt>
                <c:pt idx="886">
                  <c:v>79.829131068972885</c:v>
                </c:pt>
                <c:pt idx="887">
                  <c:v>79.912481767034976</c:v>
                </c:pt>
                <c:pt idx="888">
                  <c:v>79.860387580746163</c:v>
                </c:pt>
                <c:pt idx="889">
                  <c:v>79.908314232131872</c:v>
                </c:pt>
                <c:pt idx="890">
                  <c:v>79.85622004584306</c:v>
                </c:pt>
                <c:pt idx="891">
                  <c:v>79.966659720775326</c:v>
                </c:pt>
                <c:pt idx="892">
                  <c:v>80.075015628256054</c:v>
                </c:pt>
                <c:pt idx="893">
                  <c:v>80.108355907480899</c:v>
                </c:pt>
                <c:pt idx="894">
                  <c:v>79.912481767034976</c:v>
                </c:pt>
                <c:pt idx="895">
                  <c:v>80.329235257345459</c:v>
                </c:pt>
                <c:pt idx="896">
                  <c:v>80.450093769535499</c:v>
                </c:pt>
                <c:pt idx="897">
                  <c:v>80.354240466764097</c:v>
                </c:pt>
                <c:pt idx="898">
                  <c:v>80.285476140862869</c:v>
                </c:pt>
                <c:pt idx="899">
                  <c:v>80.206292977703882</c:v>
                </c:pt>
                <c:pt idx="900">
                  <c:v>80.329235257345474</c:v>
                </c:pt>
                <c:pt idx="901">
                  <c:v>80.114607209835583</c:v>
                </c:pt>
                <c:pt idx="902">
                  <c:v>80.291727443217539</c:v>
                </c:pt>
                <c:pt idx="903">
                  <c:v>80.122942279641791</c:v>
                </c:pt>
                <c:pt idx="904">
                  <c:v>80.112523442384031</c:v>
                </c:pt>
                <c:pt idx="905">
                  <c:v>80.120858512190239</c:v>
                </c:pt>
                <c:pt idx="906">
                  <c:v>80.0395915815797</c:v>
                </c:pt>
                <c:pt idx="907">
                  <c:v>80.056261721192115</c:v>
                </c:pt>
                <c:pt idx="908">
                  <c:v>79.97916232548468</c:v>
                </c:pt>
                <c:pt idx="909">
                  <c:v>79.912481767035004</c:v>
                </c:pt>
                <c:pt idx="910">
                  <c:v>79.997916232548661</c:v>
                </c:pt>
                <c:pt idx="911">
                  <c:v>80.045842883934355</c:v>
                </c:pt>
                <c:pt idx="912">
                  <c:v>80.041675349031252</c:v>
                </c:pt>
                <c:pt idx="913">
                  <c:v>80.008335069806407</c:v>
                </c:pt>
                <c:pt idx="914">
                  <c:v>80.041675349031252</c:v>
                </c:pt>
                <c:pt idx="915">
                  <c:v>80.064596790998323</c:v>
                </c:pt>
                <c:pt idx="916">
                  <c:v>79.981246092936217</c:v>
                </c:pt>
                <c:pt idx="917">
                  <c:v>79.981246092936217</c:v>
                </c:pt>
                <c:pt idx="918">
                  <c:v>79.995832465097081</c:v>
                </c:pt>
                <c:pt idx="919">
                  <c:v>79.96249218587225</c:v>
                </c:pt>
                <c:pt idx="920">
                  <c:v>80.004167534903303</c:v>
                </c:pt>
                <c:pt idx="921">
                  <c:v>79.968743488226906</c:v>
                </c:pt>
                <c:pt idx="922">
                  <c:v>79.983329860387769</c:v>
                </c:pt>
                <c:pt idx="923">
                  <c:v>79.983329860387769</c:v>
                </c:pt>
                <c:pt idx="924">
                  <c:v>79.979162325484666</c:v>
                </c:pt>
                <c:pt idx="925">
                  <c:v>79.922900604292749</c:v>
                </c:pt>
                <c:pt idx="926">
                  <c:v>79.924984371744301</c:v>
                </c:pt>
                <c:pt idx="927">
                  <c:v>80.02292144196727</c:v>
                </c:pt>
                <c:pt idx="928">
                  <c:v>79.949989581162939</c:v>
                </c:pt>
                <c:pt idx="929">
                  <c:v>79.91248176703499</c:v>
                </c:pt>
                <c:pt idx="930">
                  <c:v>79.931235674098957</c:v>
                </c:pt>
                <c:pt idx="931">
                  <c:v>79.929151906647405</c:v>
                </c:pt>
                <c:pt idx="932">
                  <c:v>79.977078558033114</c:v>
                </c:pt>
                <c:pt idx="933">
                  <c:v>79.924984371744301</c:v>
                </c:pt>
                <c:pt idx="934">
                  <c:v>79.91248176703499</c:v>
                </c:pt>
                <c:pt idx="935">
                  <c:v>79.829131068972899</c:v>
                </c:pt>
                <c:pt idx="936">
                  <c:v>79.864555115649281</c:v>
                </c:pt>
                <c:pt idx="937">
                  <c:v>79.802042092102724</c:v>
                </c:pt>
                <c:pt idx="938">
                  <c:v>79.91248176703499</c:v>
                </c:pt>
                <c:pt idx="939">
                  <c:v>79.599916649302131</c:v>
                </c:pt>
                <c:pt idx="940">
                  <c:v>79.729110231298378</c:v>
                </c:pt>
                <c:pt idx="941">
                  <c:v>79.770785580329431</c:v>
                </c:pt>
                <c:pt idx="942">
                  <c:v>79.68743488226734</c:v>
                </c:pt>
                <c:pt idx="943">
                  <c:v>79.652010835590943</c:v>
                </c:pt>
                <c:pt idx="944">
                  <c:v>79.802042092102724</c:v>
                </c:pt>
                <c:pt idx="945">
                  <c:v>79.708272556782859</c:v>
                </c:pt>
                <c:pt idx="946">
                  <c:v>79.72702646384684</c:v>
                </c:pt>
                <c:pt idx="947">
                  <c:v>79.741612836007704</c:v>
                </c:pt>
                <c:pt idx="948">
                  <c:v>79.735361533653048</c:v>
                </c:pt>
                <c:pt idx="949">
                  <c:v>79.652010835590957</c:v>
                </c:pt>
                <c:pt idx="950">
                  <c:v>79.760366743071671</c:v>
                </c:pt>
                <c:pt idx="951">
                  <c:v>79.704105021879755</c:v>
                </c:pt>
                <c:pt idx="952">
                  <c:v>79.797874557199606</c:v>
                </c:pt>
                <c:pt idx="953">
                  <c:v>79.702021254428203</c:v>
                </c:pt>
                <c:pt idx="954">
                  <c:v>79.756199208168567</c:v>
                </c:pt>
                <c:pt idx="955">
                  <c:v>79.906230464680348</c:v>
                </c:pt>
              </c:numCache>
            </c:numRef>
          </c:val>
          <c:smooth val="0"/>
          <c:extLst>
            <c:ext xmlns:c16="http://schemas.microsoft.com/office/drawing/2014/chart" uri="{C3380CC4-5D6E-409C-BE32-E72D297353CC}">
              <c16:uniqueId val="{00000001-DDB5-4BA8-A66B-FD490C18AA1A}"/>
            </c:ext>
          </c:extLst>
        </c:ser>
        <c:ser>
          <c:idx val="2"/>
          <c:order val="2"/>
          <c:tx>
            <c:strRef>
              <c:f>Sheet1!$D$1</c:f>
              <c:strCache>
                <c:ptCount val="1"/>
                <c:pt idx="0">
                  <c:v>Ռուսական ռուբլի</c:v>
                </c:pt>
              </c:strCache>
            </c:strRef>
          </c:tx>
          <c:spPr>
            <a:ln w="19050" cap="rnd">
              <a:solidFill>
                <a:sysClr val="window" lastClr="FFFFFF">
                  <a:lumMod val="65000"/>
                </a:sysClr>
              </a:solidFill>
              <a:round/>
            </a:ln>
            <a:effectLst/>
          </c:spPr>
          <c:marker>
            <c:symbol val="picture"/>
            <c:spPr>
              <a:ln w="6350">
                <a:noFill/>
              </a:ln>
            </c:spPr>
          </c:marker>
          <c:cat>
            <c:numRef>
              <c:f>Sheet1!$A$2:$A$1223</c:f>
              <c:numCache>
                <c:formatCode>dd\/mm\/yy</c:formatCode>
                <c:ptCount val="1222"/>
                <c:pt idx="0">
                  <c:v>44564</c:v>
                </c:pt>
                <c:pt idx="1">
                  <c:v>44565</c:v>
                </c:pt>
                <c:pt idx="2">
                  <c:v>44566</c:v>
                </c:pt>
                <c:pt idx="3">
                  <c:v>44567</c:v>
                </c:pt>
                <c:pt idx="4">
                  <c:v>44568</c:v>
                </c:pt>
                <c:pt idx="5">
                  <c:v>44571</c:v>
                </c:pt>
                <c:pt idx="6">
                  <c:v>44572</c:v>
                </c:pt>
                <c:pt idx="7">
                  <c:v>44573</c:v>
                </c:pt>
                <c:pt idx="8">
                  <c:v>44574</c:v>
                </c:pt>
                <c:pt idx="9">
                  <c:v>44575</c:v>
                </c:pt>
                <c:pt idx="10">
                  <c:v>44578</c:v>
                </c:pt>
                <c:pt idx="11">
                  <c:v>44579</c:v>
                </c:pt>
                <c:pt idx="12">
                  <c:v>44580</c:v>
                </c:pt>
                <c:pt idx="13">
                  <c:v>44581</c:v>
                </c:pt>
                <c:pt idx="14">
                  <c:v>44582</c:v>
                </c:pt>
                <c:pt idx="15">
                  <c:v>44585</c:v>
                </c:pt>
                <c:pt idx="16">
                  <c:v>44586</c:v>
                </c:pt>
                <c:pt idx="17">
                  <c:v>44587</c:v>
                </c:pt>
                <c:pt idx="18">
                  <c:v>44588</c:v>
                </c:pt>
                <c:pt idx="19">
                  <c:v>44589</c:v>
                </c:pt>
                <c:pt idx="20">
                  <c:v>44592</c:v>
                </c:pt>
                <c:pt idx="21">
                  <c:v>44593</c:v>
                </c:pt>
                <c:pt idx="22">
                  <c:v>44594</c:v>
                </c:pt>
                <c:pt idx="23">
                  <c:v>44595</c:v>
                </c:pt>
                <c:pt idx="24">
                  <c:v>44596</c:v>
                </c:pt>
                <c:pt idx="25">
                  <c:v>44599</c:v>
                </c:pt>
                <c:pt idx="26">
                  <c:v>44600</c:v>
                </c:pt>
                <c:pt idx="27">
                  <c:v>44601</c:v>
                </c:pt>
                <c:pt idx="28">
                  <c:v>44602</c:v>
                </c:pt>
                <c:pt idx="29">
                  <c:v>44603</c:v>
                </c:pt>
                <c:pt idx="30">
                  <c:v>44606</c:v>
                </c:pt>
                <c:pt idx="31">
                  <c:v>44607</c:v>
                </c:pt>
                <c:pt idx="32">
                  <c:v>44608</c:v>
                </c:pt>
                <c:pt idx="33">
                  <c:v>44609</c:v>
                </c:pt>
                <c:pt idx="34">
                  <c:v>44610</c:v>
                </c:pt>
                <c:pt idx="35">
                  <c:v>44613</c:v>
                </c:pt>
                <c:pt idx="36">
                  <c:v>44614</c:v>
                </c:pt>
                <c:pt idx="37">
                  <c:v>44615</c:v>
                </c:pt>
                <c:pt idx="38">
                  <c:v>44616</c:v>
                </c:pt>
                <c:pt idx="39">
                  <c:v>44617</c:v>
                </c:pt>
                <c:pt idx="40">
                  <c:v>44620</c:v>
                </c:pt>
                <c:pt idx="41">
                  <c:v>44621</c:v>
                </c:pt>
                <c:pt idx="42">
                  <c:v>44622</c:v>
                </c:pt>
                <c:pt idx="43">
                  <c:v>44623</c:v>
                </c:pt>
                <c:pt idx="44">
                  <c:v>44624</c:v>
                </c:pt>
                <c:pt idx="45">
                  <c:v>44627</c:v>
                </c:pt>
                <c:pt idx="46">
                  <c:v>44628</c:v>
                </c:pt>
                <c:pt idx="47">
                  <c:v>44629</c:v>
                </c:pt>
                <c:pt idx="48">
                  <c:v>44630</c:v>
                </c:pt>
                <c:pt idx="49">
                  <c:v>44631</c:v>
                </c:pt>
                <c:pt idx="50">
                  <c:v>44634</c:v>
                </c:pt>
                <c:pt idx="51">
                  <c:v>44635</c:v>
                </c:pt>
                <c:pt idx="52">
                  <c:v>44636</c:v>
                </c:pt>
                <c:pt idx="53">
                  <c:v>44637</c:v>
                </c:pt>
                <c:pt idx="54">
                  <c:v>44638</c:v>
                </c:pt>
                <c:pt idx="55">
                  <c:v>44641</c:v>
                </c:pt>
                <c:pt idx="56">
                  <c:v>44642</c:v>
                </c:pt>
                <c:pt idx="57">
                  <c:v>44643</c:v>
                </c:pt>
                <c:pt idx="58">
                  <c:v>44644</c:v>
                </c:pt>
                <c:pt idx="59">
                  <c:v>44645</c:v>
                </c:pt>
                <c:pt idx="60">
                  <c:v>44648</c:v>
                </c:pt>
                <c:pt idx="61">
                  <c:v>44649</c:v>
                </c:pt>
                <c:pt idx="62">
                  <c:v>44650</c:v>
                </c:pt>
                <c:pt idx="63">
                  <c:v>44651</c:v>
                </c:pt>
                <c:pt idx="64">
                  <c:v>44652</c:v>
                </c:pt>
                <c:pt idx="65">
                  <c:v>44655</c:v>
                </c:pt>
                <c:pt idx="66">
                  <c:v>44656</c:v>
                </c:pt>
                <c:pt idx="67">
                  <c:v>44657</c:v>
                </c:pt>
                <c:pt idx="68">
                  <c:v>44658</c:v>
                </c:pt>
                <c:pt idx="69">
                  <c:v>44659</c:v>
                </c:pt>
                <c:pt idx="70">
                  <c:v>44662</c:v>
                </c:pt>
                <c:pt idx="71">
                  <c:v>44663</c:v>
                </c:pt>
                <c:pt idx="72">
                  <c:v>44664</c:v>
                </c:pt>
                <c:pt idx="73">
                  <c:v>44665</c:v>
                </c:pt>
                <c:pt idx="74">
                  <c:v>44669</c:v>
                </c:pt>
                <c:pt idx="75">
                  <c:v>44670</c:v>
                </c:pt>
                <c:pt idx="76">
                  <c:v>44671</c:v>
                </c:pt>
                <c:pt idx="77">
                  <c:v>44672</c:v>
                </c:pt>
                <c:pt idx="78">
                  <c:v>44673</c:v>
                </c:pt>
                <c:pt idx="79">
                  <c:v>44676</c:v>
                </c:pt>
                <c:pt idx="80">
                  <c:v>44677</c:v>
                </c:pt>
                <c:pt idx="81">
                  <c:v>44678</c:v>
                </c:pt>
                <c:pt idx="82">
                  <c:v>44679</c:v>
                </c:pt>
                <c:pt idx="83">
                  <c:v>44680</c:v>
                </c:pt>
                <c:pt idx="84">
                  <c:v>44683</c:v>
                </c:pt>
                <c:pt idx="85">
                  <c:v>44684</c:v>
                </c:pt>
                <c:pt idx="86">
                  <c:v>44685</c:v>
                </c:pt>
                <c:pt idx="87">
                  <c:v>44686</c:v>
                </c:pt>
                <c:pt idx="88">
                  <c:v>44687</c:v>
                </c:pt>
                <c:pt idx="89">
                  <c:v>44690</c:v>
                </c:pt>
                <c:pt idx="90">
                  <c:v>44691</c:v>
                </c:pt>
                <c:pt idx="91">
                  <c:v>44692</c:v>
                </c:pt>
                <c:pt idx="92">
                  <c:v>44693</c:v>
                </c:pt>
                <c:pt idx="93">
                  <c:v>44694</c:v>
                </c:pt>
                <c:pt idx="94">
                  <c:v>44697</c:v>
                </c:pt>
                <c:pt idx="95">
                  <c:v>44698</c:v>
                </c:pt>
                <c:pt idx="96">
                  <c:v>44699</c:v>
                </c:pt>
                <c:pt idx="97">
                  <c:v>44700</c:v>
                </c:pt>
                <c:pt idx="98">
                  <c:v>44701</c:v>
                </c:pt>
                <c:pt idx="99">
                  <c:v>44704</c:v>
                </c:pt>
                <c:pt idx="100">
                  <c:v>44705</c:v>
                </c:pt>
                <c:pt idx="101">
                  <c:v>44706</c:v>
                </c:pt>
                <c:pt idx="102">
                  <c:v>44707</c:v>
                </c:pt>
                <c:pt idx="103">
                  <c:v>44708</c:v>
                </c:pt>
                <c:pt idx="104">
                  <c:v>44711</c:v>
                </c:pt>
                <c:pt idx="105">
                  <c:v>44712</c:v>
                </c:pt>
                <c:pt idx="106">
                  <c:v>44713</c:v>
                </c:pt>
                <c:pt idx="107">
                  <c:v>44714</c:v>
                </c:pt>
                <c:pt idx="108">
                  <c:v>44715</c:v>
                </c:pt>
                <c:pt idx="109">
                  <c:v>44718</c:v>
                </c:pt>
                <c:pt idx="110">
                  <c:v>44719</c:v>
                </c:pt>
                <c:pt idx="111">
                  <c:v>44720</c:v>
                </c:pt>
                <c:pt idx="112">
                  <c:v>44721</c:v>
                </c:pt>
                <c:pt idx="113">
                  <c:v>44722</c:v>
                </c:pt>
                <c:pt idx="114">
                  <c:v>44725</c:v>
                </c:pt>
                <c:pt idx="115">
                  <c:v>44726</c:v>
                </c:pt>
                <c:pt idx="116">
                  <c:v>44727</c:v>
                </c:pt>
                <c:pt idx="117">
                  <c:v>44728</c:v>
                </c:pt>
                <c:pt idx="118">
                  <c:v>44729</c:v>
                </c:pt>
                <c:pt idx="119">
                  <c:v>44732</c:v>
                </c:pt>
                <c:pt idx="120">
                  <c:v>44733</c:v>
                </c:pt>
                <c:pt idx="121">
                  <c:v>44734</c:v>
                </c:pt>
                <c:pt idx="122">
                  <c:v>44735</c:v>
                </c:pt>
                <c:pt idx="123">
                  <c:v>44736</c:v>
                </c:pt>
                <c:pt idx="124">
                  <c:v>44739</c:v>
                </c:pt>
                <c:pt idx="125">
                  <c:v>44740</c:v>
                </c:pt>
                <c:pt idx="126">
                  <c:v>44741</c:v>
                </c:pt>
                <c:pt idx="127">
                  <c:v>44742</c:v>
                </c:pt>
                <c:pt idx="128">
                  <c:v>44743</c:v>
                </c:pt>
                <c:pt idx="129">
                  <c:v>44746</c:v>
                </c:pt>
                <c:pt idx="130">
                  <c:v>44747</c:v>
                </c:pt>
                <c:pt idx="131">
                  <c:v>44748</c:v>
                </c:pt>
                <c:pt idx="132">
                  <c:v>44749</c:v>
                </c:pt>
                <c:pt idx="133">
                  <c:v>44750</c:v>
                </c:pt>
                <c:pt idx="134">
                  <c:v>44753</c:v>
                </c:pt>
                <c:pt idx="135">
                  <c:v>44754</c:v>
                </c:pt>
                <c:pt idx="136">
                  <c:v>44755</c:v>
                </c:pt>
                <c:pt idx="137">
                  <c:v>44756</c:v>
                </c:pt>
                <c:pt idx="138">
                  <c:v>44757</c:v>
                </c:pt>
                <c:pt idx="139">
                  <c:v>44760</c:v>
                </c:pt>
                <c:pt idx="140">
                  <c:v>44761</c:v>
                </c:pt>
                <c:pt idx="141">
                  <c:v>44762</c:v>
                </c:pt>
                <c:pt idx="142">
                  <c:v>44763</c:v>
                </c:pt>
                <c:pt idx="143">
                  <c:v>44764</c:v>
                </c:pt>
                <c:pt idx="144">
                  <c:v>44767</c:v>
                </c:pt>
                <c:pt idx="145">
                  <c:v>44768</c:v>
                </c:pt>
                <c:pt idx="146">
                  <c:v>44769</c:v>
                </c:pt>
                <c:pt idx="147">
                  <c:v>44770</c:v>
                </c:pt>
                <c:pt idx="148">
                  <c:v>44771</c:v>
                </c:pt>
                <c:pt idx="149">
                  <c:v>44774</c:v>
                </c:pt>
                <c:pt idx="150">
                  <c:v>44775</c:v>
                </c:pt>
                <c:pt idx="151">
                  <c:v>44776</c:v>
                </c:pt>
                <c:pt idx="152">
                  <c:v>44777</c:v>
                </c:pt>
                <c:pt idx="153">
                  <c:v>44778</c:v>
                </c:pt>
                <c:pt idx="154">
                  <c:v>44781</c:v>
                </c:pt>
                <c:pt idx="155">
                  <c:v>44782</c:v>
                </c:pt>
                <c:pt idx="156">
                  <c:v>44783</c:v>
                </c:pt>
                <c:pt idx="157">
                  <c:v>44784</c:v>
                </c:pt>
                <c:pt idx="158">
                  <c:v>44785</c:v>
                </c:pt>
                <c:pt idx="159">
                  <c:v>44788</c:v>
                </c:pt>
                <c:pt idx="160">
                  <c:v>44789</c:v>
                </c:pt>
                <c:pt idx="161">
                  <c:v>44790</c:v>
                </c:pt>
                <c:pt idx="162">
                  <c:v>44791</c:v>
                </c:pt>
                <c:pt idx="163">
                  <c:v>44792</c:v>
                </c:pt>
                <c:pt idx="164">
                  <c:v>44795</c:v>
                </c:pt>
                <c:pt idx="165">
                  <c:v>44796</c:v>
                </c:pt>
                <c:pt idx="166">
                  <c:v>44797</c:v>
                </c:pt>
                <c:pt idx="167">
                  <c:v>44798</c:v>
                </c:pt>
                <c:pt idx="168">
                  <c:v>44799</c:v>
                </c:pt>
                <c:pt idx="169">
                  <c:v>44802</c:v>
                </c:pt>
                <c:pt idx="170">
                  <c:v>44803</c:v>
                </c:pt>
                <c:pt idx="171">
                  <c:v>44804</c:v>
                </c:pt>
                <c:pt idx="172">
                  <c:v>44805</c:v>
                </c:pt>
                <c:pt idx="173">
                  <c:v>44806</c:v>
                </c:pt>
                <c:pt idx="174">
                  <c:v>44809</c:v>
                </c:pt>
                <c:pt idx="175">
                  <c:v>44810</c:v>
                </c:pt>
                <c:pt idx="176">
                  <c:v>44811</c:v>
                </c:pt>
                <c:pt idx="177">
                  <c:v>44812</c:v>
                </c:pt>
                <c:pt idx="178">
                  <c:v>44813</c:v>
                </c:pt>
                <c:pt idx="179">
                  <c:v>44816</c:v>
                </c:pt>
                <c:pt idx="180">
                  <c:v>44817</c:v>
                </c:pt>
                <c:pt idx="181">
                  <c:v>44818</c:v>
                </c:pt>
                <c:pt idx="182">
                  <c:v>44819</c:v>
                </c:pt>
                <c:pt idx="183">
                  <c:v>44820</c:v>
                </c:pt>
                <c:pt idx="184">
                  <c:v>44823</c:v>
                </c:pt>
                <c:pt idx="185">
                  <c:v>44824</c:v>
                </c:pt>
                <c:pt idx="186">
                  <c:v>44825</c:v>
                </c:pt>
                <c:pt idx="187">
                  <c:v>44826</c:v>
                </c:pt>
                <c:pt idx="188">
                  <c:v>44827</c:v>
                </c:pt>
                <c:pt idx="189">
                  <c:v>44830</c:v>
                </c:pt>
                <c:pt idx="190">
                  <c:v>44831</c:v>
                </c:pt>
                <c:pt idx="191">
                  <c:v>44832</c:v>
                </c:pt>
                <c:pt idx="192">
                  <c:v>44833</c:v>
                </c:pt>
                <c:pt idx="193">
                  <c:v>44834</c:v>
                </c:pt>
                <c:pt idx="194">
                  <c:v>44837</c:v>
                </c:pt>
                <c:pt idx="195">
                  <c:v>44838</c:v>
                </c:pt>
                <c:pt idx="196">
                  <c:v>44839</c:v>
                </c:pt>
                <c:pt idx="197">
                  <c:v>44840</c:v>
                </c:pt>
                <c:pt idx="198">
                  <c:v>44841</c:v>
                </c:pt>
                <c:pt idx="199">
                  <c:v>44844</c:v>
                </c:pt>
                <c:pt idx="200">
                  <c:v>44845</c:v>
                </c:pt>
                <c:pt idx="201">
                  <c:v>44846</c:v>
                </c:pt>
                <c:pt idx="202">
                  <c:v>44847</c:v>
                </c:pt>
                <c:pt idx="203">
                  <c:v>44848</c:v>
                </c:pt>
                <c:pt idx="204">
                  <c:v>44851</c:v>
                </c:pt>
                <c:pt idx="205">
                  <c:v>44852</c:v>
                </c:pt>
                <c:pt idx="206">
                  <c:v>44853</c:v>
                </c:pt>
                <c:pt idx="207">
                  <c:v>44854</c:v>
                </c:pt>
                <c:pt idx="208">
                  <c:v>44855</c:v>
                </c:pt>
                <c:pt idx="209">
                  <c:v>44858</c:v>
                </c:pt>
                <c:pt idx="210">
                  <c:v>44859</c:v>
                </c:pt>
                <c:pt idx="211">
                  <c:v>44860</c:v>
                </c:pt>
                <c:pt idx="212">
                  <c:v>44861</c:v>
                </c:pt>
                <c:pt idx="213">
                  <c:v>44862</c:v>
                </c:pt>
                <c:pt idx="214">
                  <c:v>44865</c:v>
                </c:pt>
                <c:pt idx="215">
                  <c:v>44866</c:v>
                </c:pt>
                <c:pt idx="216">
                  <c:v>44867</c:v>
                </c:pt>
                <c:pt idx="217">
                  <c:v>44868</c:v>
                </c:pt>
                <c:pt idx="218">
                  <c:v>44869</c:v>
                </c:pt>
                <c:pt idx="219">
                  <c:v>44872</c:v>
                </c:pt>
                <c:pt idx="220">
                  <c:v>44873</c:v>
                </c:pt>
                <c:pt idx="221">
                  <c:v>44874</c:v>
                </c:pt>
                <c:pt idx="222">
                  <c:v>44875</c:v>
                </c:pt>
                <c:pt idx="223">
                  <c:v>44876</c:v>
                </c:pt>
                <c:pt idx="224">
                  <c:v>44879</c:v>
                </c:pt>
                <c:pt idx="225">
                  <c:v>44880</c:v>
                </c:pt>
                <c:pt idx="226">
                  <c:v>44881</c:v>
                </c:pt>
                <c:pt idx="227">
                  <c:v>44882</c:v>
                </c:pt>
                <c:pt idx="228">
                  <c:v>44883</c:v>
                </c:pt>
                <c:pt idx="229">
                  <c:v>44886</c:v>
                </c:pt>
                <c:pt idx="230">
                  <c:v>44887</c:v>
                </c:pt>
                <c:pt idx="231">
                  <c:v>44888</c:v>
                </c:pt>
                <c:pt idx="232">
                  <c:v>44889</c:v>
                </c:pt>
                <c:pt idx="233">
                  <c:v>44890</c:v>
                </c:pt>
                <c:pt idx="234">
                  <c:v>44893</c:v>
                </c:pt>
                <c:pt idx="235">
                  <c:v>44894</c:v>
                </c:pt>
                <c:pt idx="236">
                  <c:v>44895</c:v>
                </c:pt>
                <c:pt idx="237">
                  <c:v>44896</c:v>
                </c:pt>
                <c:pt idx="238">
                  <c:v>44897</c:v>
                </c:pt>
                <c:pt idx="239">
                  <c:v>44900</c:v>
                </c:pt>
                <c:pt idx="240">
                  <c:v>44901</c:v>
                </c:pt>
                <c:pt idx="241">
                  <c:v>44902</c:v>
                </c:pt>
                <c:pt idx="242">
                  <c:v>44903</c:v>
                </c:pt>
                <c:pt idx="243">
                  <c:v>44904</c:v>
                </c:pt>
                <c:pt idx="244">
                  <c:v>44907</c:v>
                </c:pt>
                <c:pt idx="245">
                  <c:v>44908</c:v>
                </c:pt>
                <c:pt idx="246">
                  <c:v>44909</c:v>
                </c:pt>
                <c:pt idx="247">
                  <c:v>44910</c:v>
                </c:pt>
                <c:pt idx="248">
                  <c:v>44911</c:v>
                </c:pt>
                <c:pt idx="249">
                  <c:v>44914</c:v>
                </c:pt>
                <c:pt idx="250">
                  <c:v>44915</c:v>
                </c:pt>
                <c:pt idx="251">
                  <c:v>44916</c:v>
                </c:pt>
                <c:pt idx="252">
                  <c:v>44917</c:v>
                </c:pt>
                <c:pt idx="253">
                  <c:v>44918</c:v>
                </c:pt>
                <c:pt idx="254">
                  <c:v>44922</c:v>
                </c:pt>
                <c:pt idx="255">
                  <c:v>44923</c:v>
                </c:pt>
                <c:pt idx="256">
                  <c:v>44924</c:v>
                </c:pt>
                <c:pt idx="257">
                  <c:v>44925</c:v>
                </c:pt>
                <c:pt idx="258">
                  <c:v>44929</c:v>
                </c:pt>
                <c:pt idx="259">
                  <c:v>44930</c:v>
                </c:pt>
                <c:pt idx="260">
                  <c:v>44931</c:v>
                </c:pt>
                <c:pt idx="261">
                  <c:v>44932</c:v>
                </c:pt>
                <c:pt idx="262">
                  <c:v>44935</c:v>
                </c:pt>
                <c:pt idx="263">
                  <c:v>44936</c:v>
                </c:pt>
                <c:pt idx="264">
                  <c:v>44937</c:v>
                </c:pt>
                <c:pt idx="265">
                  <c:v>44938</c:v>
                </c:pt>
                <c:pt idx="266">
                  <c:v>44939</c:v>
                </c:pt>
                <c:pt idx="267">
                  <c:v>44942</c:v>
                </c:pt>
                <c:pt idx="268">
                  <c:v>44943</c:v>
                </c:pt>
                <c:pt idx="269">
                  <c:v>44944</c:v>
                </c:pt>
                <c:pt idx="270">
                  <c:v>44945</c:v>
                </c:pt>
                <c:pt idx="271">
                  <c:v>44946</c:v>
                </c:pt>
                <c:pt idx="272">
                  <c:v>44949</c:v>
                </c:pt>
                <c:pt idx="273">
                  <c:v>44950</c:v>
                </c:pt>
                <c:pt idx="274">
                  <c:v>44951</c:v>
                </c:pt>
                <c:pt idx="275">
                  <c:v>44952</c:v>
                </c:pt>
                <c:pt idx="276">
                  <c:v>44953</c:v>
                </c:pt>
                <c:pt idx="277">
                  <c:v>44956</c:v>
                </c:pt>
                <c:pt idx="278">
                  <c:v>44957</c:v>
                </c:pt>
                <c:pt idx="279">
                  <c:v>44958</c:v>
                </c:pt>
                <c:pt idx="280">
                  <c:v>44959</c:v>
                </c:pt>
                <c:pt idx="281">
                  <c:v>44960</c:v>
                </c:pt>
                <c:pt idx="282">
                  <c:v>44963</c:v>
                </c:pt>
                <c:pt idx="283">
                  <c:v>44964</c:v>
                </c:pt>
                <c:pt idx="284">
                  <c:v>44965</c:v>
                </c:pt>
                <c:pt idx="285">
                  <c:v>44966</c:v>
                </c:pt>
                <c:pt idx="286">
                  <c:v>44967</c:v>
                </c:pt>
                <c:pt idx="287">
                  <c:v>44970</c:v>
                </c:pt>
                <c:pt idx="288">
                  <c:v>44971</c:v>
                </c:pt>
                <c:pt idx="289">
                  <c:v>44972</c:v>
                </c:pt>
                <c:pt idx="290">
                  <c:v>44973</c:v>
                </c:pt>
                <c:pt idx="291">
                  <c:v>44974</c:v>
                </c:pt>
                <c:pt idx="292">
                  <c:v>44977</c:v>
                </c:pt>
                <c:pt idx="293">
                  <c:v>44978</c:v>
                </c:pt>
                <c:pt idx="294">
                  <c:v>44979</c:v>
                </c:pt>
                <c:pt idx="295">
                  <c:v>44980</c:v>
                </c:pt>
                <c:pt idx="296">
                  <c:v>44981</c:v>
                </c:pt>
                <c:pt idx="297">
                  <c:v>44984</c:v>
                </c:pt>
                <c:pt idx="298">
                  <c:v>44985</c:v>
                </c:pt>
                <c:pt idx="299">
                  <c:v>44986</c:v>
                </c:pt>
                <c:pt idx="300">
                  <c:v>44987</c:v>
                </c:pt>
                <c:pt idx="301">
                  <c:v>44988</c:v>
                </c:pt>
                <c:pt idx="302">
                  <c:v>44991</c:v>
                </c:pt>
                <c:pt idx="303">
                  <c:v>44992</c:v>
                </c:pt>
                <c:pt idx="304">
                  <c:v>44993</c:v>
                </c:pt>
                <c:pt idx="305">
                  <c:v>44994</c:v>
                </c:pt>
                <c:pt idx="306">
                  <c:v>44995</c:v>
                </c:pt>
                <c:pt idx="307">
                  <c:v>44998</c:v>
                </c:pt>
                <c:pt idx="308">
                  <c:v>44999</c:v>
                </c:pt>
                <c:pt idx="309">
                  <c:v>45000</c:v>
                </c:pt>
                <c:pt idx="310">
                  <c:v>45001</c:v>
                </c:pt>
                <c:pt idx="311">
                  <c:v>45002</c:v>
                </c:pt>
                <c:pt idx="312">
                  <c:v>45005</c:v>
                </c:pt>
                <c:pt idx="313">
                  <c:v>45006</c:v>
                </c:pt>
                <c:pt idx="314">
                  <c:v>45007</c:v>
                </c:pt>
                <c:pt idx="315">
                  <c:v>45008</c:v>
                </c:pt>
                <c:pt idx="316">
                  <c:v>45009</c:v>
                </c:pt>
                <c:pt idx="317">
                  <c:v>45012</c:v>
                </c:pt>
                <c:pt idx="318">
                  <c:v>45013</c:v>
                </c:pt>
                <c:pt idx="319">
                  <c:v>45014</c:v>
                </c:pt>
                <c:pt idx="320">
                  <c:v>45015</c:v>
                </c:pt>
                <c:pt idx="321">
                  <c:v>45016</c:v>
                </c:pt>
                <c:pt idx="322">
                  <c:v>45019</c:v>
                </c:pt>
                <c:pt idx="323">
                  <c:v>45020</c:v>
                </c:pt>
                <c:pt idx="324">
                  <c:v>45021</c:v>
                </c:pt>
                <c:pt idx="325">
                  <c:v>45022</c:v>
                </c:pt>
                <c:pt idx="326">
                  <c:v>45023</c:v>
                </c:pt>
                <c:pt idx="327">
                  <c:v>45026</c:v>
                </c:pt>
                <c:pt idx="328">
                  <c:v>45027</c:v>
                </c:pt>
                <c:pt idx="329">
                  <c:v>45028</c:v>
                </c:pt>
                <c:pt idx="330">
                  <c:v>45029</c:v>
                </c:pt>
                <c:pt idx="331">
                  <c:v>45030</c:v>
                </c:pt>
                <c:pt idx="332">
                  <c:v>45033</c:v>
                </c:pt>
                <c:pt idx="333">
                  <c:v>45034</c:v>
                </c:pt>
                <c:pt idx="334">
                  <c:v>45035</c:v>
                </c:pt>
                <c:pt idx="335">
                  <c:v>45036</c:v>
                </c:pt>
                <c:pt idx="336">
                  <c:v>45037</c:v>
                </c:pt>
                <c:pt idx="337">
                  <c:v>45040</c:v>
                </c:pt>
                <c:pt idx="338">
                  <c:v>45041</c:v>
                </c:pt>
                <c:pt idx="339">
                  <c:v>45042</c:v>
                </c:pt>
                <c:pt idx="340">
                  <c:v>45043</c:v>
                </c:pt>
                <c:pt idx="341">
                  <c:v>45044</c:v>
                </c:pt>
                <c:pt idx="342">
                  <c:v>45047</c:v>
                </c:pt>
                <c:pt idx="343">
                  <c:v>45048</c:v>
                </c:pt>
                <c:pt idx="344">
                  <c:v>45049</c:v>
                </c:pt>
                <c:pt idx="345">
                  <c:v>45050</c:v>
                </c:pt>
                <c:pt idx="346">
                  <c:v>45051</c:v>
                </c:pt>
                <c:pt idx="347">
                  <c:v>45054</c:v>
                </c:pt>
                <c:pt idx="348">
                  <c:v>45055</c:v>
                </c:pt>
                <c:pt idx="349">
                  <c:v>45056</c:v>
                </c:pt>
                <c:pt idx="350">
                  <c:v>45057</c:v>
                </c:pt>
                <c:pt idx="351">
                  <c:v>45058</c:v>
                </c:pt>
                <c:pt idx="352">
                  <c:v>45061</c:v>
                </c:pt>
                <c:pt idx="353">
                  <c:v>45062</c:v>
                </c:pt>
                <c:pt idx="354">
                  <c:v>45063</c:v>
                </c:pt>
                <c:pt idx="355">
                  <c:v>45064</c:v>
                </c:pt>
                <c:pt idx="356">
                  <c:v>45065</c:v>
                </c:pt>
                <c:pt idx="357">
                  <c:v>45068</c:v>
                </c:pt>
                <c:pt idx="358">
                  <c:v>45069</c:v>
                </c:pt>
                <c:pt idx="359">
                  <c:v>45070</c:v>
                </c:pt>
                <c:pt idx="360">
                  <c:v>45071</c:v>
                </c:pt>
                <c:pt idx="361">
                  <c:v>45072</c:v>
                </c:pt>
                <c:pt idx="362">
                  <c:v>45075</c:v>
                </c:pt>
                <c:pt idx="363">
                  <c:v>45076</c:v>
                </c:pt>
                <c:pt idx="364">
                  <c:v>45077</c:v>
                </c:pt>
                <c:pt idx="365">
                  <c:v>45078</c:v>
                </c:pt>
                <c:pt idx="366">
                  <c:v>45079</c:v>
                </c:pt>
                <c:pt idx="367">
                  <c:v>45082</c:v>
                </c:pt>
                <c:pt idx="368">
                  <c:v>45083</c:v>
                </c:pt>
                <c:pt idx="369">
                  <c:v>45084</c:v>
                </c:pt>
                <c:pt idx="370">
                  <c:v>45085</c:v>
                </c:pt>
                <c:pt idx="371">
                  <c:v>45086</c:v>
                </c:pt>
                <c:pt idx="372">
                  <c:v>45089</c:v>
                </c:pt>
                <c:pt idx="373">
                  <c:v>45090</c:v>
                </c:pt>
                <c:pt idx="374">
                  <c:v>45091</c:v>
                </c:pt>
                <c:pt idx="375">
                  <c:v>45092</c:v>
                </c:pt>
                <c:pt idx="376">
                  <c:v>45093</c:v>
                </c:pt>
                <c:pt idx="377">
                  <c:v>45096</c:v>
                </c:pt>
                <c:pt idx="378">
                  <c:v>45097</c:v>
                </c:pt>
                <c:pt idx="379">
                  <c:v>45098</c:v>
                </c:pt>
                <c:pt idx="380">
                  <c:v>45099</c:v>
                </c:pt>
                <c:pt idx="381">
                  <c:v>45100</c:v>
                </c:pt>
                <c:pt idx="382">
                  <c:v>45103</c:v>
                </c:pt>
                <c:pt idx="383">
                  <c:v>45104</c:v>
                </c:pt>
                <c:pt idx="384">
                  <c:v>45105</c:v>
                </c:pt>
                <c:pt idx="385">
                  <c:v>45106</c:v>
                </c:pt>
                <c:pt idx="386">
                  <c:v>45107</c:v>
                </c:pt>
                <c:pt idx="387">
                  <c:v>45110</c:v>
                </c:pt>
                <c:pt idx="388">
                  <c:v>45111</c:v>
                </c:pt>
                <c:pt idx="389">
                  <c:v>45112</c:v>
                </c:pt>
                <c:pt idx="390">
                  <c:v>45113</c:v>
                </c:pt>
                <c:pt idx="391">
                  <c:v>45114</c:v>
                </c:pt>
                <c:pt idx="392">
                  <c:v>45117</c:v>
                </c:pt>
                <c:pt idx="393">
                  <c:v>45118</c:v>
                </c:pt>
                <c:pt idx="394">
                  <c:v>45119</c:v>
                </c:pt>
                <c:pt idx="395">
                  <c:v>45120</c:v>
                </c:pt>
                <c:pt idx="396">
                  <c:v>45121</c:v>
                </c:pt>
                <c:pt idx="397">
                  <c:v>45124</c:v>
                </c:pt>
                <c:pt idx="398">
                  <c:v>45125</c:v>
                </c:pt>
                <c:pt idx="399">
                  <c:v>45126</c:v>
                </c:pt>
                <c:pt idx="400">
                  <c:v>45127</c:v>
                </c:pt>
                <c:pt idx="401">
                  <c:v>45128</c:v>
                </c:pt>
                <c:pt idx="402">
                  <c:v>45131</c:v>
                </c:pt>
                <c:pt idx="403">
                  <c:v>45132</c:v>
                </c:pt>
                <c:pt idx="404">
                  <c:v>45133</c:v>
                </c:pt>
                <c:pt idx="405">
                  <c:v>45134</c:v>
                </c:pt>
                <c:pt idx="406">
                  <c:v>45135</c:v>
                </c:pt>
                <c:pt idx="407">
                  <c:v>45138</c:v>
                </c:pt>
                <c:pt idx="408">
                  <c:v>45139</c:v>
                </c:pt>
                <c:pt idx="409">
                  <c:v>45140</c:v>
                </c:pt>
                <c:pt idx="410">
                  <c:v>45141</c:v>
                </c:pt>
                <c:pt idx="411">
                  <c:v>45142</c:v>
                </c:pt>
                <c:pt idx="412">
                  <c:v>45145</c:v>
                </c:pt>
                <c:pt idx="413">
                  <c:v>45146</c:v>
                </c:pt>
                <c:pt idx="414">
                  <c:v>45147</c:v>
                </c:pt>
                <c:pt idx="415">
                  <c:v>45148</c:v>
                </c:pt>
                <c:pt idx="416">
                  <c:v>45149</c:v>
                </c:pt>
                <c:pt idx="417">
                  <c:v>45152</c:v>
                </c:pt>
                <c:pt idx="418">
                  <c:v>45153</c:v>
                </c:pt>
                <c:pt idx="419">
                  <c:v>45154</c:v>
                </c:pt>
                <c:pt idx="420">
                  <c:v>45155</c:v>
                </c:pt>
                <c:pt idx="421">
                  <c:v>45156</c:v>
                </c:pt>
                <c:pt idx="422">
                  <c:v>45159</c:v>
                </c:pt>
                <c:pt idx="423">
                  <c:v>45160</c:v>
                </c:pt>
                <c:pt idx="424">
                  <c:v>45161</c:v>
                </c:pt>
                <c:pt idx="425">
                  <c:v>45162</c:v>
                </c:pt>
                <c:pt idx="426">
                  <c:v>45163</c:v>
                </c:pt>
                <c:pt idx="427">
                  <c:v>45166</c:v>
                </c:pt>
                <c:pt idx="428">
                  <c:v>45167</c:v>
                </c:pt>
                <c:pt idx="429">
                  <c:v>45168</c:v>
                </c:pt>
                <c:pt idx="430">
                  <c:v>45169</c:v>
                </c:pt>
                <c:pt idx="431">
                  <c:v>45170</c:v>
                </c:pt>
                <c:pt idx="432">
                  <c:v>45173</c:v>
                </c:pt>
                <c:pt idx="433">
                  <c:v>45174</c:v>
                </c:pt>
                <c:pt idx="434">
                  <c:v>45175</c:v>
                </c:pt>
                <c:pt idx="435">
                  <c:v>45176</c:v>
                </c:pt>
                <c:pt idx="436">
                  <c:v>45177</c:v>
                </c:pt>
                <c:pt idx="437">
                  <c:v>45180</c:v>
                </c:pt>
                <c:pt idx="438">
                  <c:v>45181</c:v>
                </c:pt>
                <c:pt idx="439">
                  <c:v>45182</c:v>
                </c:pt>
                <c:pt idx="440">
                  <c:v>45183</c:v>
                </c:pt>
                <c:pt idx="441">
                  <c:v>45184</c:v>
                </c:pt>
                <c:pt idx="442">
                  <c:v>45187</c:v>
                </c:pt>
                <c:pt idx="443">
                  <c:v>45188</c:v>
                </c:pt>
                <c:pt idx="444">
                  <c:v>45189</c:v>
                </c:pt>
                <c:pt idx="445">
                  <c:v>45190</c:v>
                </c:pt>
                <c:pt idx="446">
                  <c:v>45191</c:v>
                </c:pt>
                <c:pt idx="447">
                  <c:v>45194</c:v>
                </c:pt>
                <c:pt idx="448">
                  <c:v>45195</c:v>
                </c:pt>
                <c:pt idx="449">
                  <c:v>45196</c:v>
                </c:pt>
                <c:pt idx="450">
                  <c:v>45197</c:v>
                </c:pt>
                <c:pt idx="451">
                  <c:v>45198</c:v>
                </c:pt>
                <c:pt idx="452">
                  <c:v>45201</c:v>
                </c:pt>
                <c:pt idx="453">
                  <c:v>45202</c:v>
                </c:pt>
                <c:pt idx="454">
                  <c:v>45203</c:v>
                </c:pt>
                <c:pt idx="455">
                  <c:v>45204</c:v>
                </c:pt>
                <c:pt idx="456">
                  <c:v>45205</c:v>
                </c:pt>
                <c:pt idx="457">
                  <c:v>45208</c:v>
                </c:pt>
                <c:pt idx="458">
                  <c:v>45209</c:v>
                </c:pt>
                <c:pt idx="459">
                  <c:v>45210</c:v>
                </c:pt>
                <c:pt idx="460">
                  <c:v>45211</c:v>
                </c:pt>
                <c:pt idx="461">
                  <c:v>45212</c:v>
                </c:pt>
                <c:pt idx="462">
                  <c:v>45215</c:v>
                </c:pt>
                <c:pt idx="463">
                  <c:v>45216</c:v>
                </c:pt>
                <c:pt idx="464">
                  <c:v>45217</c:v>
                </c:pt>
                <c:pt idx="465">
                  <c:v>45218</c:v>
                </c:pt>
                <c:pt idx="466">
                  <c:v>45219</c:v>
                </c:pt>
                <c:pt idx="467">
                  <c:v>45222</c:v>
                </c:pt>
                <c:pt idx="468">
                  <c:v>45223</c:v>
                </c:pt>
                <c:pt idx="469">
                  <c:v>45224</c:v>
                </c:pt>
                <c:pt idx="470">
                  <c:v>45225</c:v>
                </c:pt>
                <c:pt idx="471">
                  <c:v>45226</c:v>
                </c:pt>
                <c:pt idx="472">
                  <c:v>45229</c:v>
                </c:pt>
                <c:pt idx="473">
                  <c:v>45230</c:v>
                </c:pt>
                <c:pt idx="474">
                  <c:v>45231</c:v>
                </c:pt>
                <c:pt idx="475">
                  <c:v>45232</c:v>
                </c:pt>
                <c:pt idx="476">
                  <c:v>45233</c:v>
                </c:pt>
                <c:pt idx="477">
                  <c:v>45236</c:v>
                </c:pt>
                <c:pt idx="478">
                  <c:v>45237</c:v>
                </c:pt>
                <c:pt idx="479">
                  <c:v>45238</c:v>
                </c:pt>
                <c:pt idx="480">
                  <c:v>45239</c:v>
                </c:pt>
                <c:pt idx="481">
                  <c:v>45240</c:v>
                </c:pt>
                <c:pt idx="482">
                  <c:v>45243</c:v>
                </c:pt>
                <c:pt idx="483">
                  <c:v>45244</c:v>
                </c:pt>
                <c:pt idx="484">
                  <c:v>45245</c:v>
                </c:pt>
                <c:pt idx="485">
                  <c:v>45246</c:v>
                </c:pt>
                <c:pt idx="486">
                  <c:v>45247</c:v>
                </c:pt>
                <c:pt idx="487">
                  <c:v>45250</c:v>
                </c:pt>
                <c:pt idx="488">
                  <c:v>45251</c:v>
                </c:pt>
                <c:pt idx="489">
                  <c:v>45252</c:v>
                </c:pt>
                <c:pt idx="490">
                  <c:v>45253</c:v>
                </c:pt>
                <c:pt idx="491">
                  <c:v>45254</c:v>
                </c:pt>
                <c:pt idx="492">
                  <c:v>45257</c:v>
                </c:pt>
                <c:pt idx="493">
                  <c:v>45258</c:v>
                </c:pt>
                <c:pt idx="494">
                  <c:v>45259</c:v>
                </c:pt>
                <c:pt idx="495">
                  <c:v>45260</c:v>
                </c:pt>
                <c:pt idx="496">
                  <c:v>45261</c:v>
                </c:pt>
                <c:pt idx="497">
                  <c:v>45264</c:v>
                </c:pt>
                <c:pt idx="498">
                  <c:v>45265</c:v>
                </c:pt>
                <c:pt idx="499">
                  <c:v>45266</c:v>
                </c:pt>
                <c:pt idx="500">
                  <c:v>45267</c:v>
                </c:pt>
                <c:pt idx="501">
                  <c:v>45268</c:v>
                </c:pt>
                <c:pt idx="502">
                  <c:v>45271</c:v>
                </c:pt>
                <c:pt idx="503">
                  <c:v>45272</c:v>
                </c:pt>
                <c:pt idx="504">
                  <c:v>45273</c:v>
                </c:pt>
                <c:pt idx="505">
                  <c:v>45274</c:v>
                </c:pt>
                <c:pt idx="506">
                  <c:v>45275</c:v>
                </c:pt>
                <c:pt idx="507">
                  <c:v>45278</c:v>
                </c:pt>
                <c:pt idx="508">
                  <c:v>45279</c:v>
                </c:pt>
                <c:pt idx="509">
                  <c:v>45280</c:v>
                </c:pt>
                <c:pt idx="510">
                  <c:v>45281</c:v>
                </c:pt>
                <c:pt idx="511">
                  <c:v>45282</c:v>
                </c:pt>
                <c:pt idx="512">
                  <c:v>45286</c:v>
                </c:pt>
                <c:pt idx="513">
                  <c:v>45287</c:v>
                </c:pt>
                <c:pt idx="514">
                  <c:v>45288</c:v>
                </c:pt>
                <c:pt idx="515">
                  <c:v>45289</c:v>
                </c:pt>
                <c:pt idx="516">
                  <c:v>45293</c:v>
                </c:pt>
                <c:pt idx="517">
                  <c:v>45294</c:v>
                </c:pt>
                <c:pt idx="518">
                  <c:v>45295</c:v>
                </c:pt>
                <c:pt idx="519">
                  <c:v>45296</c:v>
                </c:pt>
                <c:pt idx="520">
                  <c:v>45299</c:v>
                </c:pt>
                <c:pt idx="521">
                  <c:v>45300</c:v>
                </c:pt>
                <c:pt idx="522">
                  <c:v>45301</c:v>
                </c:pt>
                <c:pt idx="523">
                  <c:v>45302</c:v>
                </c:pt>
                <c:pt idx="524">
                  <c:v>45303</c:v>
                </c:pt>
                <c:pt idx="525">
                  <c:v>45306</c:v>
                </c:pt>
                <c:pt idx="526">
                  <c:v>45307</c:v>
                </c:pt>
                <c:pt idx="527">
                  <c:v>45308</c:v>
                </c:pt>
                <c:pt idx="528">
                  <c:v>45309</c:v>
                </c:pt>
                <c:pt idx="529">
                  <c:v>45310</c:v>
                </c:pt>
                <c:pt idx="530">
                  <c:v>45313</c:v>
                </c:pt>
                <c:pt idx="531">
                  <c:v>45314</c:v>
                </c:pt>
                <c:pt idx="532">
                  <c:v>45315</c:v>
                </c:pt>
                <c:pt idx="533">
                  <c:v>45316</c:v>
                </c:pt>
                <c:pt idx="534">
                  <c:v>45317</c:v>
                </c:pt>
                <c:pt idx="535">
                  <c:v>45320</c:v>
                </c:pt>
                <c:pt idx="536">
                  <c:v>45321</c:v>
                </c:pt>
                <c:pt idx="537">
                  <c:v>45322</c:v>
                </c:pt>
                <c:pt idx="538">
                  <c:v>45323</c:v>
                </c:pt>
                <c:pt idx="539">
                  <c:v>45324</c:v>
                </c:pt>
                <c:pt idx="540">
                  <c:v>45327</c:v>
                </c:pt>
                <c:pt idx="541">
                  <c:v>45328</c:v>
                </c:pt>
                <c:pt idx="542">
                  <c:v>45329</c:v>
                </c:pt>
                <c:pt idx="543">
                  <c:v>45330</c:v>
                </c:pt>
                <c:pt idx="544">
                  <c:v>45331</c:v>
                </c:pt>
                <c:pt idx="545">
                  <c:v>45334</c:v>
                </c:pt>
                <c:pt idx="546">
                  <c:v>45335</c:v>
                </c:pt>
                <c:pt idx="547">
                  <c:v>45336</c:v>
                </c:pt>
                <c:pt idx="548">
                  <c:v>45337</c:v>
                </c:pt>
                <c:pt idx="549">
                  <c:v>45338</c:v>
                </c:pt>
                <c:pt idx="550">
                  <c:v>45341</c:v>
                </c:pt>
                <c:pt idx="551">
                  <c:v>45342</c:v>
                </c:pt>
                <c:pt idx="552">
                  <c:v>45343</c:v>
                </c:pt>
                <c:pt idx="553">
                  <c:v>45344</c:v>
                </c:pt>
                <c:pt idx="554">
                  <c:v>45345</c:v>
                </c:pt>
                <c:pt idx="555">
                  <c:v>45348</c:v>
                </c:pt>
                <c:pt idx="556">
                  <c:v>45349</c:v>
                </c:pt>
                <c:pt idx="557">
                  <c:v>45350</c:v>
                </c:pt>
                <c:pt idx="558">
                  <c:v>45351</c:v>
                </c:pt>
                <c:pt idx="559">
                  <c:v>45352</c:v>
                </c:pt>
                <c:pt idx="560">
                  <c:v>45355</c:v>
                </c:pt>
                <c:pt idx="561">
                  <c:v>45356</c:v>
                </c:pt>
                <c:pt idx="562">
                  <c:v>45357</c:v>
                </c:pt>
                <c:pt idx="563">
                  <c:v>45358</c:v>
                </c:pt>
                <c:pt idx="564">
                  <c:v>45359</c:v>
                </c:pt>
                <c:pt idx="565">
                  <c:v>45362</c:v>
                </c:pt>
                <c:pt idx="566">
                  <c:v>45363</c:v>
                </c:pt>
                <c:pt idx="567">
                  <c:v>45364</c:v>
                </c:pt>
                <c:pt idx="568">
                  <c:v>45365</c:v>
                </c:pt>
                <c:pt idx="569">
                  <c:v>45366</c:v>
                </c:pt>
                <c:pt idx="570">
                  <c:v>45369</c:v>
                </c:pt>
                <c:pt idx="571">
                  <c:v>45370</c:v>
                </c:pt>
                <c:pt idx="572">
                  <c:v>45371</c:v>
                </c:pt>
                <c:pt idx="573">
                  <c:v>45372</c:v>
                </c:pt>
                <c:pt idx="574">
                  <c:v>45373</c:v>
                </c:pt>
                <c:pt idx="575">
                  <c:v>45376</c:v>
                </c:pt>
                <c:pt idx="576">
                  <c:v>45377</c:v>
                </c:pt>
                <c:pt idx="577">
                  <c:v>45378</c:v>
                </c:pt>
                <c:pt idx="578">
                  <c:v>45379</c:v>
                </c:pt>
                <c:pt idx="579">
                  <c:v>45383</c:v>
                </c:pt>
                <c:pt idx="580">
                  <c:v>45384</c:v>
                </c:pt>
                <c:pt idx="581">
                  <c:v>45385</c:v>
                </c:pt>
                <c:pt idx="582">
                  <c:v>45386</c:v>
                </c:pt>
                <c:pt idx="583">
                  <c:v>45387</c:v>
                </c:pt>
                <c:pt idx="584">
                  <c:v>45390</c:v>
                </c:pt>
                <c:pt idx="585">
                  <c:v>45391</c:v>
                </c:pt>
                <c:pt idx="586">
                  <c:v>45392</c:v>
                </c:pt>
                <c:pt idx="587">
                  <c:v>45393</c:v>
                </c:pt>
                <c:pt idx="588">
                  <c:v>45394</c:v>
                </c:pt>
                <c:pt idx="589">
                  <c:v>45397</c:v>
                </c:pt>
                <c:pt idx="590">
                  <c:v>45398</c:v>
                </c:pt>
                <c:pt idx="591">
                  <c:v>45399</c:v>
                </c:pt>
                <c:pt idx="592">
                  <c:v>45400</c:v>
                </c:pt>
                <c:pt idx="593">
                  <c:v>45401</c:v>
                </c:pt>
                <c:pt idx="594">
                  <c:v>45404</c:v>
                </c:pt>
                <c:pt idx="595">
                  <c:v>45405</c:v>
                </c:pt>
                <c:pt idx="596">
                  <c:v>45406</c:v>
                </c:pt>
                <c:pt idx="597">
                  <c:v>45407</c:v>
                </c:pt>
                <c:pt idx="598">
                  <c:v>45408</c:v>
                </c:pt>
                <c:pt idx="599">
                  <c:v>45411</c:v>
                </c:pt>
                <c:pt idx="600">
                  <c:v>45412</c:v>
                </c:pt>
                <c:pt idx="601">
                  <c:v>45413</c:v>
                </c:pt>
                <c:pt idx="602">
                  <c:v>45414</c:v>
                </c:pt>
                <c:pt idx="603">
                  <c:v>45415</c:v>
                </c:pt>
                <c:pt idx="604">
                  <c:v>45418</c:v>
                </c:pt>
                <c:pt idx="605">
                  <c:v>45419</c:v>
                </c:pt>
                <c:pt idx="606">
                  <c:v>45420</c:v>
                </c:pt>
                <c:pt idx="607">
                  <c:v>45421</c:v>
                </c:pt>
                <c:pt idx="608">
                  <c:v>45422</c:v>
                </c:pt>
                <c:pt idx="609">
                  <c:v>45425</c:v>
                </c:pt>
                <c:pt idx="610">
                  <c:v>45426</c:v>
                </c:pt>
                <c:pt idx="611">
                  <c:v>45427</c:v>
                </c:pt>
                <c:pt idx="612">
                  <c:v>45428</c:v>
                </c:pt>
                <c:pt idx="613">
                  <c:v>45429</c:v>
                </c:pt>
                <c:pt idx="614">
                  <c:v>45432</c:v>
                </c:pt>
                <c:pt idx="615">
                  <c:v>45433</c:v>
                </c:pt>
                <c:pt idx="616">
                  <c:v>45434</c:v>
                </c:pt>
                <c:pt idx="617">
                  <c:v>45435</c:v>
                </c:pt>
                <c:pt idx="618">
                  <c:v>45436</c:v>
                </c:pt>
                <c:pt idx="619">
                  <c:v>45439</c:v>
                </c:pt>
                <c:pt idx="620">
                  <c:v>45440</c:v>
                </c:pt>
                <c:pt idx="621">
                  <c:v>45441</c:v>
                </c:pt>
                <c:pt idx="622">
                  <c:v>45442</c:v>
                </c:pt>
                <c:pt idx="623">
                  <c:v>45443</c:v>
                </c:pt>
                <c:pt idx="624">
                  <c:v>45446</c:v>
                </c:pt>
                <c:pt idx="625">
                  <c:v>45447</c:v>
                </c:pt>
                <c:pt idx="626">
                  <c:v>45448</c:v>
                </c:pt>
                <c:pt idx="627">
                  <c:v>45449</c:v>
                </c:pt>
                <c:pt idx="628">
                  <c:v>45450</c:v>
                </c:pt>
                <c:pt idx="629">
                  <c:v>45453</c:v>
                </c:pt>
                <c:pt idx="630">
                  <c:v>45454</c:v>
                </c:pt>
                <c:pt idx="631">
                  <c:v>45455</c:v>
                </c:pt>
                <c:pt idx="632">
                  <c:v>45456</c:v>
                </c:pt>
                <c:pt idx="633">
                  <c:v>45457</c:v>
                </c:pt>
                <c:pt idx="634">
                  <c:v>45460</c:v>
                </c:pt>
                <c:pt idx="635">
                  <c:v>45461</c:v>
                </c:pt>
                <c:pt idx="636">
                  <c:v>45462</c:v>
                </c:pt>
                <c:pt idx="637">
                  <c:v>45463</c:v>
                </c:pt>
                <c:pt idx="638">
                  <c:v>45464</c:v>
                </c:pt>
                <c:pt idx="639">
                  <c:v>45467</c:v>
                </c:pt>
                <c:pt idx="640">
                  <c:v>45468</c:v>
                </c:pt>
                <c:pt idx="641">
                  <c:v>45469</c:v>
                </c:pt>
                <c:pt idx="642">
                  <c:v>45470</c:v>
                </c:pt>
                <c:pt idx="643">
                  <c:v>45471</c:v>
                </c:pt>
                <c:pt idx="644">
                  <c:v>45474</c:v>
                </c:pt>
                <c:pt idx="645">
                  <c:v>45475</c:v>
                </c:pt>
                <c:pt idx="646">
                  <c:v>45476</c:v>
                </c:pt>
                <c:pt idx="647">
                  <c:v>45477</c:v>
                </c:pt>
                <c:pt idx="648">
                  <c:v>45478</c:v>
                </c:pt>
                <c:pt idx="649">
                  <c:v>45481</c:v>
                </c:pt>
                <c:pt idx="650">
                  <c:v>45482</c:v>
                </c:pt>
                <c:pt idx="651">
                  <c:v>45483</c:v>
                </c:pt>
                <c:pt idx="652">
                  <c:v>45484</c:v>
                </c:pt>
                <c:pt idx="653">
                  <c:v>45485</c:v>
                </c:pt>
                <c:pt idx="654">
                  <c:v>45488</c:v>
                </c:pt>
                <c:pt idx="655">
                  <c:v>45489</c:v>
                </c:pt>
                <c:pt idx="656">
                  <c:v>45490</c:v>
                </c:pt>
                <c:pt idx="657">
                  <c:v>45491</c:v>
                </c:pt>
                <c:pt idx="658">
                  <c:v>45492</c:v>
                </c:pt>
                <c:pt idx="659">
                  <c:v>45495</c:v>
                </c:pt>
                <c:pt idx="660">
                  <c:v>45496</c:v>
                </c:pt>
                <c:pt idx="661">
                  <c:v>45497</c:v>
                </c:pt>
                <c:pt idx="662">
                  <c:v>45498</c:v>
                </c:pt>
                <c:pt idx="663">
                  <c:v>45499</c:v>
                </c:pt>
                <c:pt idx="664">
                  <c:v>45502</c:v>
                </c:pt>
                <c:pt idx="665">
                  <c:v>45503</c:v>
                </c:pt>
                <c:pt idx="666">
                  <c:v>45504</c:v>
                </c:pt>
                <c:pt idx="667">
                  <c:v>45505</c:v>
                </c:pt>
                <c:pt idx="668">
                  <c:v>45506</c:v>
                </c:pt>
                <c:pt idx="669">
                  <c:v>45509</c:v>
                </c:pt>
                <c:pt idx="670">
                  <c:v>45510</c:v>
                </c:pt>
                <c:pt idx="671">
                  <c:v>45511</c:v>
                </c:pt>
                <c:pt idx="672">
                  <c:v>45512</c:v>
                </c:pt>
                <c:pt idx="673">
                  <c:v>45513</c:v>
                </c:pt>
                <c:pt idx="674">
                  <c:v>45516</c:v>
                </c:pt>
                <c:pt idx="675">
                  <c:v>45517</c:v>
                </c:pt>
                <c:pt idx="676">
                  <c:v>45518</c:v>
                </c:pt>
                <c:pt idx="677">
                  <c:v>45519</c:v>
                </c:pt>
                <c:pt idx="678">
                  <c:v>45520</c:v>
                </c:pt>
                <c:pt idx="679">
                  <c:v>45523</c:v>
                </c:pt>
                <c:pt idx="680">
                  <c:v>45524</c:v>
                </c:pt>
                <c:pt idx="681">
                  <c:v>45525</c:v>
                </c:pt>
                <c:pt idx="682">
                  <c:v>45526</c:v>
                </c:pt>
                <c:pt idx="683">
                  <c:v>45527</c:v>
                </c:pt>
                <c:pt idx="684">
                  <c:v>45530</c:v>
                </c:pt>
                <c:pt idx="685">
                  <c:v>45531</c:v>
                </c:pt>
                <c:pt idx="686">
                  <c:v>45532</c:v>
                </c:pt>
                <c:pt idx="687">
                  <c:v>45533</c:v>
                </c:pt>
                <c:pt idx="688">
                  <c:v>45534</c:v>
                </c:pt>
                <c:pt idx="689">
                  <c:v>45537</c:v>
                </c:pt>
                <c:pt idx="690">
                  <c:v>45538</c:v>
                </c:pt>
                <c:pt idx="691">
                  <c:v>45539</c:v>
                </c:pt>
                <c:pt idx="692">
                  <c:v>45540</c:v>
                </c:pt>
                <c:pt idx="693">
                  <c:v>45541</c:v>
                </c:pt>
                <c:pt idx="694">
                  <c:v>45544</c:v>
                </c:pt>
                <c:pt idx="695">
                  <c:v>45545</c:v>
                </c:pt>
                <c:pt idx="696">
                  <c:v>45546</c:v>
                </c:pt>
                <c:pt idx="697">
                  <c:v>45547</c:v>
                </c:pt>
                <c:pt idx="698">
                  <c:v>45548</c:v>
                </c:pt>
                <c:pt idx="699">
                  <c:v>45551</c:v>
                </c:pt>
                <c:pt idx="700">
                  <c:v>45552</c:v>
                </c:pt>
                <c:pt idx="701">
                  <c:v>45553</c:v>
                </c:pt>
                <c:pt idx="702">
                  <c:v>45554</c:v>
                </c:pt>
                <c:pt idx="703">
                  <c:v>45555</c:v>
                </c:pt>
                <c:pt idx="704">
                  <c:v>45558</c:v>
                </c:pt>
                <c:pt idx="705">
                  <c:v>45559</c:v>
                </c:pt>
                <c:pt idx="706">
                  <c:v>45560</c:v>
                </c:pt>
                <c:pt idx="707">
                  <c:v>45561</c:v>
                </c:pt>
                <c:pt idx="708">
                  <c:v>45562</c:v>
                </c:pt>
                <c:pt idx="709">
                  <c:v>45565</c:v>
                </c:pt>
                <c:pt idx="710">
                  <c:v>45566</c:v>
                </c:pt>
                <c:pt idx="711">
                  <c:v>45567</c:v>
                </c:pt>
                <c:pt idx="712">
                  <c:v>45568</c:v>
                </c:pt>
                <c:pt idx="713">
                  <c:v>45569</c:v>
                </c:pt>
                <c:pt idx="714">
                  <c:v>45572</c:v>
                </c:pt>
                <c:pt idx="715">
                  <c:v>45573</c:v>
                </c:pt>
                <c:pt idx="716">
                  <c:v>45574</c:v>
                </c:pt>
                <c:pt idx="717">
                  <c:v>45575</c:v>
                </c:pt>
                <c:pt idx="718">
                  <c:v>45576</c:v>
                </c:pt>
                <c:pt idx="719">
                  <c:v>45579</c:v>
                </c:pt>
                <c:pt idx="720">
                  <c:v>45580</c:v>
                </c:pt>
                <c:pt idx="721">
                  <c:v>45581</c:v>
                </c:pt>
                <c:pt idx="722">
                  <c:v>45582</c:v>
                </c:pt>
                <c:pt idx="723">
                  <c:v>45583</c:v>
                </c:pt>
                <c:pt idx="724">
                  <c:v>45586</c:v>
                </c:pt>
                <c:pt idx="725">
                  <c:v>45587</c:v>
                </c:pt>
                <c:pt idx="726">
                  <c:v>45588</c:v>
                </c:pt>
                <c:pt idx="727">
                  <c:v>45589</c:v>
                </c:pt>
                <c:pt idx="728">
                  <c:v>45590</c:v>
                </c:pt>
                <c:pt idx="729">
                  <c:v>45593</c:v>
                </c:pt>
                <c:pt idx="730">
                  <c:v>45594</c:v>
                </c:pt>
                <c:pt idx="731">
                  <c:v>45595</c:v>
                </c:pt>
                <c:pt idx="732">
                  <c:v>45596</c:v>
                </c:pt>
                <c:pt idx="733">
                  <c:v>45597</c:v>
                </c:pt>
                <c:pt idx="734">
                  <c:v>45600</c:v>
                </c:pt>
                <c:pt idx="735">
                  <c:v>45601</c:v>
                </c:pt>
                <c:pt idx="736">
                  <c:v>45602</c:v>
                </c:pt>
                <c:pt idx="737">
                  <c:v>45603</c:v>
                </c:pt>
                <c:pt idx="738">
                  <c:v>45604</c:v>
                </c:pt>
                <c:pt idx="739">
                  <c:v>45607</c:v>
                </c:pt>
                <c:pt idx="740">
                  <c:v>45608</c:v>
                </c:pt>
                <c:pt idx="741">
                  <c:v>45609</c:v>
                </c:pt>
                <c:pt idx="742">
                  <c:v>45610</c:v>
                </c:pt>
                <c:pt idx="743">
                  <c:v>45611</c:v>
                </c:pt>
                <c:pt idx="744">
                  <c:v>45614</c:v>
                </c:pt>
                <c:pt idx="745">
                  <c:v>45615</c:v>
                </c:pt>
                <c:pt idx="746">
                  <c:v>45616</c:v>
                </c:pt>
                <c:pt idx="747">
                  <c:v>45617</c:v>
                </c:pt>
                <c:pt idx="748">
                  <c:v>45618</c:v>
                </c:pt>
                <c:pt idx="749">
                  <c:v>45621</c:v>
                </c:pt>
                <c:pt idx="750">
                  <c:v>45622</c:v>
                </c:pt>
                <c:pt idx="751">
                  <c:v>45623</c:v>
                </c:pt>
                <c:pt idx="752">
                  <c:v>45624</c:v>
                </c:pt>
                <c:pt idx="753">
                  <c:v>45625</c:v>
                </c:pt>
                <c:pt idx="754">
                  <c:v>45628</c:v>
                </c:pt>
                <c:pt idx="755">
                  <c:v>45629</c:v>
                </c:pt>
                <c:pt idx="756">
                  <c:v>45630</c:v>
                </c:pt>
                <c:pt idx="757">
                  <c:v>45631</c:v>
                </c:pt>
                <c:pt idx="758">
                  <c:v>45632</c:v>
                </c:pt>
                <c:pt idx="759">
                  <c:v>45635</c:v>
                </c:pt>
                <c:pt idx="760">
                  <c:v>45636</c:v>
                </c:pt>
                <c:pt idx="761">
                  <c:v>45637</c:v>
                </c:pt>
                <c:pt idx="762">
                  <c:v>45638</c:v>
                </c:pt>
                <c:pt idx="763">
                  <c:v>45639</c:v>
                </c:pt>
                <c:pt idx="764">
                  <c:v>45642</c:v>
                </c:pt>
                <c:pt idx="765">
                  <c:v>45643</c:v>
                </c:pt>
                <c:pt idx="766">
                  <c:v>45644</c:v>
                </c:pt>
                <c:pt idx="767">
                  <c:v>45645</c:v>
                </c:pt>
                <c:pt idx="768">
                  <c:v>45646</c:v>
                </c:pt>
                <c:pt idx="769">
                  <c:v>45649</c:v>
                </c:pt>
                <c:pt idx="770">
                  <c:v>45650</c:v>
                </c:pt>
                <c:pt idx="771">
                  <c:v>45652</c:v>
                </c:pt>
                <c:pt idx="772">
                  <c:v>45653</c:v>
                </c:pt>
                <c:pt idx="773">
                  <c:v>45656</c:v>
                </c:pt>
                <c:pt idx="774">
                  <c:v>45657</c:v>
                </c:pt>
                <c:pt idx="775">
                  <c:v>45659</c:v>
                </c:pt>
                <c:pt idx="776">
                  <c:v>45660</c:v>
                </c:pt>
                <c:pt idx="777">
                  <c:v>45663</c:v>
                </c:pt>
                <c:pt idx="778">
                  <c:v>45664</c:v>
                </c:pt>
                <c:pt idx="779">
                  <c:v>45665</c:v>
                </c:pt>
                <c:pt idx="780">
                  <c:v>45666</c:v>
                </c:pt>
                <c:pt idx="781">
                  <c:v>45667</c:v>
                </c:pt>
                <c:pt idx="782">
                  <c:v>45670</c:v>
                </c:pt>
                <c:pt idx="783">
                  <c:v>45671</c:v>
                </c:pt>
                <c:pt idx="784">
                  <c:v>45672</c:v>
                </c:pt>
                <c:pt idx="785">
                  <c:v>45673</c:v>
                </c:pt>
                <c:pt idx="786">
                  <c:v>45674</c:v>
                </c:pt>
                <c:pt idx="787">
                  <c:v>45677</c:v>
                </c:pt>
                <c:pt idx="788">
                  <c:v>45678</c:v>
                </c:pt>
                <c:pt idx="789">
                  <c:v>45679</c:v>
                </c:pt>
                <c:pt idx="790">
                  <c:v>45680</c:v>
                </c:pt>
                <c:pt idx="791">
                  <c:v>45681</c:v>
                </c:pt>
                <c:pt idx="792">
                  <c:v>45684</c:v>
                </c:pt>
                <c:pt idx="793">
                  <c:v>45685</c:v>
                </c:pt>
                <c:pt idx="794">
                  <c:v>45686</c:v>
                </c:pt>
                <c:pt idx="795">
                  <c:v>45687</c:v>
                </c:pt>
                <c:pt idx="796">
                  <c:v>45688</c:v>
                </c:pt>
                <c:pt idx="797">
                  <c:v>45691</c:v>
                </c:pt>
                <c:pt idx="798">
                  <c:v>45692</c:v>
                </c:pt>
                <c:pt idx="799">
                  <c:v>45693</c:v>
                </c:pt>
                <c:pt idx="800">
                  <c:v>45694</c:v>
                </c:pt>
                <c:pt idx="801">
                  <c:v>45695</c:v>
                </c:pt>
                <c:pt idx="802">
                  <c:v>45698</c:v>
                </c:pt>
                <c:pt idx="803">
                  <c:v>45699</c:v>
                </c:pt>
                <c:pt idx="804">
                  <c:v>45700</c:v>
                </c:pt>
                <c:pt idx="805">
                  <c:v>45701</c:v>
                </c:pt>
                <c:pt idx="806">
                  <c:v>45702</c:v>
                </c:pt>
                <c:pt idx="807">
                  <c:v>45705</c:v>
                </c:pt>
                <c:pt idx="808">
                  <c:v>45706</c:v>
                </c:pt>
                <c:pt idx="809">
                  <c:v>45707</c:v>
                </c:pt>
                <c:pt idx="810">
                  <c:v>45708</c:v>
                </c:pt>
                <c:pt idx="811">
                  <c:v>45709</c:v>
                </c:pt>
                <c:pt idx="812">
                  <c:v>45712</c:v>
                </c:pt>
                <c:pt idx="813">
                  <c:v>45713</c:v>
                </c:pt>
                <c:pt idx="814">
                  <c:v>45714</c:v>
                </c:pt>
                <c:pt idx="815">
                  <c:v>45715</c:v>
                </c:pt>
                <c:pt idx="816">
                  <c:v>45716</c:v>
                </c:pt>
                <c:pt idx="817">
                  <c:v>45719</c:v>
                </c:pt>
                <c:pt idx="818">
                  <c:v>45720</c:v>
                </c:pt>
                <c:pt idx="819">
                  <c:v>45721</c:v>
                </c:pt>
                <c:pt idx="820">
                  <c:v>45722</c:v>
                </c:pt>
                <c:pt idx="821">
                  <c:v>45723</c:v>
                </c:pt>
                <c:pt idx="822">
                  <c:v>45726</c:v>
                </c:pt>
                <c:pt idx="823">
                  <c:v>45727</c:v>
                </c:pt>
                <c:pt idx="824">
                  <c:v>45728</c:v>
                </c:pt>
                <c:pt idx="825">
                  <c:v>45729</c:v>
                </c:pt>
                <c:pt idx="826">
                  <c:v>45730</c:v>
                </c:pt>
                <c:pt idx="827">
                  <c:v>45733</c:v>
                </c:pt>
                <c:pt idx="828">
                  <c:v>45734</c:v>
                </c:pt>
                <c:pt idx="829">
                  <c:v>45735</c:v>
                </c:pt>
                <c:pt idx="830">
                  <c:v>45736</c:v>
                </c:pt>
                <c:pt idx="831">
                  <c:v>45737</c:v>
                </c:pt>
                <c:pt idx="832">
                  <c:v>45740</c:v>
                </c:pt>
                <c:pt idx="833">
                  <c:v>45741</c:v>
                </c:pt>
                <c:pt idx="834">
                  <c:v>45742</c:v>
                </c:pt>
                <c:pt idx="835">
                  <c:v>45743</c:v>
                </c:pt>
                <c:pt idx="836">
                  <c:v>45744</c:v>
                </c:pt>
                <c:pt idx="837">
                  <c:v>45747</c:v>
                </c:pt>
                <c:pt idx="838">
                  <c:v>45748</c:v>
                </c:pt>
                <c:pt idx="839">
                  <c:v>45749</c:v>
                </c:pt>
                <c:pt idx="840">
                  <c:v>45750</c:v>
                </c:pt>
                <c:pt idx="841">
                  <c:v>45751</c:v>
                </c:pt>
                <c:pt idx="842">
                  <c:v>45754</c:v>
                </c:pt>
                <c:pt idx="843">
                  <c:v>45755</c:v>
                </c:pt>
                <c:pt idx="844">
                  <c:v>45756</c:v>
                </c:pt>
                <c:pt idx="845">
                  <c:v>45757</c:v>
                </c:pt>
                <c:pt idx="846">
                  <c:v>45758</c:v>
                </c:pt>
                <c:pt idx="847">
                  <c:v>45761</c:v>
                </c:pt>
                <c:pt idx="848">
                  <c:v>45762</c:v>
                </c:pt>
                <c:pt idx="849">
                  <c:v>45763</c:v>
                </c:pt>
                <c:pt idx="850">
                  <c:v>45764</c:v>
                </c:pt>
                <c:pt idx="851">
                  <c:v>45768</c:v>
                </c:pt>
                <c:pt idx="852">
                  <c:v>45769</c:v>
                </c:pt>
                <c:pt idx="853">
                  <c:v>45770</c:v>
                </c:pt>
                <c:pt idx="854">
                  <c:v>45771</c:v>
                </c:pt>
                <c:pt idx="855">
                  <c:v>45772</c:v>
                </c:pt>
                <c:pt idx="856">
                  <c:v>45775</c:v>
                </c:pt>
                <c:pt idx="857">
                  <c:v>45776</c:v>
                </c:pt>
                <c:pt idx="858">
                  <c:v>45777</c:v>
                </c:pt>
                <c:pt idx="859">
                  <c:v>45778</c:v>
                </c:pt>
                <c:pt idx="860">
                  <c:v>45779</c:v>
                </c:pt>
                <c:pt idx="861">
                  <c:v>45782</c:v>
                </c:pt>
                <c:pt idx="862">
                  <c:v>45783</c:v>
                </c:pt>
                <c:pt idx="863">
                  <c:v>45784</c:v>
                </c:pt>
                <c:pt idx="864">
                  <c:v>45785</c:v>
                </c:pt>
                <c:pt idx="865">
                  <c:v>45786</c:v>
                </c:pt>
                <c:pt idx="866">
                  <c:v>45789</c:v>
                </c:pt>
                <c:pt idx="867">
                  <c:v>45790</c:v>
                </c:pt>
                <c:pt idx="868">
                  <c:v>45791</c:v>
                </c:pt>
                <c:pt idx="869">
                  <c:v>45792</c:v>
                </c:pt>
                <c:pt idx="870">
                  <c:v>45793</c:v>
                </c:pt>
                <c:pt idx="871">
                  <c:v>45796</c:v>
                </c:pt>
                <c:pt idx="872">
                  <c:v>45797</c:v>
                </c:pt>
                <c:pt idx="873">
                  <c:v>45798</c:v>
                </c:pt>
                <c:pt idx="874">
                  <c:v>45799</c:v>
                </c:pt>
                <c:pt idx="875">
                  <c:v>45800</c:v>
                </c:pt>
                <c:pt idx="876">
                  <c:v>45803</c:v>
                </c:pt>
                <c:pt idx="877">
                  <c:v>45804</c:v>
                </c:pt>
                <c:pt idx="878">
                  <c:v>45805</c:v>
                </c:pt>
                <c:pt idx="879">
                  <c:v>45806</c:v>
                </c:pt>
                <c:pt idx="880">
                  <c:v>45807</c:v>
                </c:pt>
                <c:pt idx="881">
                  <c:v>45810</c:v>
                </c:pt>
                <c:pt idx="882">
                  <c:v>45811</c:v>
                </c:pt>
                <c:pt idx="883">
                  <c:v>45812</c:v>
                </c:pt>
                <c:pt idx="884">
                  <c:v>45813</c:v>
                </c:pt>
                <c:pt idx="885">
                  <c:v>45814</c:v>
                </c:pt>
                <c:pt idx="886">
                  <c:v>45817</c:v>
                </c:pt>
                <c:pt idx="887">
                  <c:v>45818</c:v>
                </c:pt>
                <c:pt idx="888">
                  <c:v>45819</c:v>
                </c:pt>
                <c:pt idx="889">
                  <c:v>45820</c:v>
                </c:pt>
                <c:pt idx="890">
                  <c:v>45821</c:v>
                </c:pt>
                <c:pt idx="891">
                  <c:v>45824</c:v>
                </c:pt>
                <c:pt idx="892">
                  <c:v>45825</c:v>
                </c:pt>
                <c:pt idx="893">
                  <c:v>45826</c:v>
                </c:pt>
                <c:pt idx="894">
                  <c:v>45827</c:v>
                </c:pt>
                <c:pt idx="895">
                  <c:v>45828</c:v>
                </c:pt>
                <c:pt idx="896">
                  <c:v>45831</c:v>
                </c:pt>
                <c:pt idx="897">
                  <c:v>45832</c:v>
                </c:pt>
                <c:pt idx="898">
                  <c:v>45833</c:v>
                </c:pt>
                <c:pt idx="899">
                  <c:v>45834</c:v>
                </c:pt>
                <c:pt idx="900">
                  <c:v>45835</c:v>
                </c:pt>
                <c:pt idx="901">
                  <c:v>45838</c:v>
                </c:pt>
                <c:pt idx="902">
                  <c:v>45839</c:v>
                </c:pt>
                <c:pt idx="903">
                  <c:v>45840</c:v>
                </c:pt>
                <c:pt idx="904">
                  <c:v>45841</c:v>
                </c:pt>
                <c:pt idx="905">
                  <c:v>45842</c:v>
                </c:pt>
                <c:pt idx="906">
                  <c:v>45845</c:v>
                </c:pt>
                <c:pt idx="907">
                  <c:v>45846</c:v>
                </c:pt>
                <c:pt idx="908">
                  <c:v>45847</c:v>
                </c:pt>
                <c:pt idx="909">
                  <c:v>45848</c:v>
                </c:pt>
                <c:pt idx="910">
                  <c:v>45849</c:v>
                </c:pt>
                <c:pt idx="911">
                  <c:v>45852</c:v>
                </c:pt>
                <c:pt idx="912">
                  <c:v>45853</c:v>
                </c:pt>
                <c:pt idx="913">
                  <c:v>45854</c:v>
                </c:pt>
                <c:pt idx="914">
                  <c:v>45855</c:v>
                </c:pt>
                <c:pt idx="915">
                  <c:v>45856</c:v>
                </c:pt>
                <c:pt idx="916">
                  <c:v>45859</c:v>
                </c:pt>
                <c:pt idx="917">
                  <c:v>45860</c:v>
                </c:pt>
                <c:pt idx="918">
                  <c:v>45861</c:v>
                </c:pt>
                <c:pt idx="919">
                  <c:v>45862</c:v>
                </c:pt>
                <c:pt idx="920">
                  <c:v>45863</c:v>
                </c:pt>
                <c:pt idx="921">
                  <c:v>45866</c:v>
                </c:pt>
                <c:pt idx="922">
                  <c:v>45867</c:v>
                </c:pt>
                <c:pt idx="923">
                  <c:v>45868</c:v>
                </c:pt>
                <c:pt idx="924">
                  <c:v>45869</c:v>
                </c:pt>
                <c:pt idx="925">
                  <c:v>45870</c:v>
                </c:pt>
                <c:pt idx="926">
                  <c:v>45873</c:v>
                </c:pt>
                <c:pt idx="927">
                  <c:v>45874</c:v>
                </c:pt>
                <c:pt idx="928">
                  <c:v>45875</c:v>
                </c:pt>
                <c:pt idx="929">
                  <c:v>45876</c:v>
                </c:pt>
                <c:pt idx="930">
                  <c:v>45877</c:v>
                </c:pt>
                <c:pt idx="931">
                  <c:v>45880</c:v>
                </c:pt>
                <c:pt idx="932">
                  <c:v>45881</c:v>
                </c:pt>
                <c:pt idx="933">
                  <c:v>45882</c:v>
                </c:pt>
                <c:pt idx="934">
                  <c:v>45883</c:v>
                </c:pt>
                <c:pt idx="935">
                  <c:v>45884</c:v>
                </c:pt>
                <c:pt idx="936">
                  <c:v>45887</c:v>
                </c:pt>
                <c:pt idx="937">
                  <c:v>45888</c:v>
                </c:pt>
                <c:pt idx="938">
                  <c:v>45889</c:v>
                </c:pt>
                <c:pt idx="939">
                  <c:v>45890</c:v>
                </c:pt>
                <c:pt idx="940">
                  <c:v>45891</c:v>
                </c:pt>
                <c:pt idx="941">
                  <c:v>45894</c:v>
                </c:pt>
                <c:pt idx="942">
                  <c:v>45895</c:v>
                </c:pt>
                <c:pt idx="943">
                  <c:v>45896</c:v>
                </c:pt>
                <c:pt idx="944">
                  <c:v>45897</c:v>
                </c:pt>
                <c:pt idx="945">
                  <c:v>45898</c:v>
                </c:pt>
                <c:pt idx="946">
                  <c:v>45901</c:v>
                </c:pt>
                <c:pt idx="947">
                  <c:v>45902</c:v>
                </c:pt>
                <c:pt idx="948">
                  <c:v>45903</c:v>
                </c:pt>
                <c:pt idx="949">
                  <c:v>45904</c:v>
                </c:pt>
                <c:pt idx="950">
                  <c:v>45905</c:v>
                </c:pt>
                <c:pt idx="951">
                  <c:v>45908</c:v>
                </c:pt>
                <c:pt idx="952">
                  <c:v>45909</c:v>
                </c:pt>
                <c:pt idx="953">
                  <c:v>45910</c:v>
                </c:pt>
                <c:pt idx="954">
                  <c:v>45911</c:v>
                </c:pt>
                <c:pt idx="955">
                  <c:v>45912</c:v>
                </c:pt>
              </c:numCache>
            </c:numRef>
          </c:cat>
          <c:val>
            <c:numRef>
              <c:f>Sheet1!$D$2:$D$1223</c:f>
              <c:numCache>
                <c:formatCode>0.0</c:formatCode>
                <c:ptCount val="1222"/>
                <c:pt idx="0">
                  <c:v>100</c:v>
                </c:pt>
                <c:pt idx="1">
                  <c:v>101.45621249915727</c:v>
                </c:pt>
                <c:pt idx="2">
                  <c:v>103.41805433829973</c:v>
                </c:pt>
                <c:pt idx="3">
                  <c:v>102.76653407941751</c:v>
                </c:pt>
                <c:pt idx="4">
                  <c:v>101.69540888559291</c:v>
                </c:pt>
                <c:pt idx="5">
                  <c:v>100.78878177037684</c:v>
                </c:pt>
                <c:pt idx="6">
                  <c:v>100.09033910874399</c:v>
                </c:pt>
                <c:pt idx="7">
                  <c:v>100.33169284703024</c:v>
                </c:pt>
                <c:pt idx="8">
                  <c:v>102.90487426683742</c:v>
                </c:pt>
                <c:pt idx="9">
                  <c:v>102.70855524843252</c:v>
                </c:pt>
                <c:pt idx="10">
                  <c:v>102.53219173464569</c:v>
                </c:pt>
                <c:pt idx="11">
                  <c:v>103.67140834625494</c:v>
                </c:pt>
                <c:pt idx="12">
                  <c:v>102.54837187352523</c:v>
                </c:pt>
                <c:pt idx="13">
                  <c:v>103.41468347603315</c:v>
                </c:pt>
                <c:pt idx="14">
                  <c:v>104.34247960628326</c:v>
                </c:pt>
                <c:pt idx="15">
                  <c:v>105.93002089934603</c:v>
                </c:pt>
                <c:pt idx="16">
                  <c:v>105.84871570147642</c:v>
                </c:pt>
                <c:pt idx="17">
                  <c:v>106.58235016517223</c:v>
                </c:pt>
                <c:pt idx="18">
                  <c:v>104.99467403761879</c:v>
                </c:pt>
                <c:pt idx="19">
                  <c:v>105.27405110227193</c:v>
                </c:pt>
                <c:pt idx="20">
                  <c:v>104.15694734713136</c:v>
                </c:pt>
                <c:pt idx="21">
                  <c:v>103.45176296096537</c:v>
                </c:pt>
                <c:pt idx="22">
                  <c:v>102.50522483651314</c:v>
                </c:pt>
                <c:pt idx="23">
                  <c:v>102.39897525787092</c:v>
                </c:pt>
                <c:pt idx="24">
                  <c:v>101.9127620845412</c:v>
                </c:pt>
                <c:pt idx="25">
                  <c:v>101.49801119126269</c:v>
                </c:pt>
                <c:pt idx="26">
                  <c:v>101.08474347738148</c:v>
                </c:pt>
                <c:pt idx="27">
                  <c:v>100.64680105170899</c:v>
                </c:pt>
                <c:pt idx="28">
                  <c:v>100.99777523090404</c:v>
                </c:pt>
                <c:pt idx="29">
                  <c:v>103.92408818175686</c:v>
                </c:pt>
                <c:pt idx="30">
                  <c:v>102.76154520326297</c:v>
                </c:pt>
                <c:pt idx="31">
                  <c:v>101.37531180475965</c:v>
                </c:pt>
                <c:pt idx="32">
                  <c:v>101.09620440908782</c:v>
                </c:pt>
                <c:pt idx="33">
                  <c:v>102.55416975662371</c:v>
                </c:pt>
                <c:pt idx="34">
                  <c:v>104.04368637497468</c:v>
                </c:pt>
                <c:pt idx="35">
                  <c:v>107.89051439358182</c:v>
                </c:pt>
                <c:pt idx="36">
                  <c:v>105.97815681251258</c:v>
                </c:pt>
                <c:pt idx="37">
                  <c:v>109.4154924829771</c:v>
                </c:pt>
                <c:pt idx="38">
                  <c:v>113.32501853974242</c:v>
                </c:pt>
                <c:pt idx="39">
                  <c:v>113.12114878986038</c:v>
                </c:pt>
                <c:pt idx="40">
                  <c:v>136.23676936560366</c:v>
                </c:pt>
                <c:pt idx="41">
                  <c:v>141.63419402683201</c:v>
                </c:pt>
                <c:pt idx="42">
                  <c:v>131.59846288680637</c:v>
                </c:pt>
                <c:pt idx="43">
                  <c:v>146.15384615384608</c:v>
                </c:pt>
                <c:pt idx="44">
                  <c:v>163.19962246342607</c:v>
                </c:pt>
                <c:pt idx="45">
                  <c:v>182.70073484797402</c:v>
                </c:pt>
                <c:pt idx="46">
                  <c:v>161.80138879525373</c:v>
                </c:pt>
                <c:pt idx="47">
                  <c:v>175.28483786152486</c:v>
                </c:pt>
                <c:pt idx="48">
                  <c:v>169.89145823501639</c:v>
                </c:pt>
                <c:pt idx="49">
                  <c:v>170.56563068832995</c:v>
                </c:pt>
                <c:pt idx="50">
                  <c:v>154.38549180880457</c:v>
                </c:pt>
                <c:pt idx="51">
                  <c:v>133.48614575608431</c:v>
                </c:pt>
                <c:pt idx="52">
                  <c:v>122.02521404975384</c:v>
                </c:pt>
                <c:pt idx="53">
                  <c:v>128.42985235623263</c:v>
                </c:pt>
                <c:pt idx="54">
                  <c:v>133.48614575608431</c:v>
                </c:pt>
                <c:pt idx="55">
                  <c:v>133.68839749207839</c:v>
                </c:pt>
                <c:pt idx="56">
                  <c:v>132.87939054810209</c:v>
                </c:pt>
                <c:pt idx="57">
                  <c:v>120.33978291646993</c:v>
                </c:pt>
                <c:pt idx="58">
                  <c:v>127.75567990291906</c:v>
                </c:pt>
                <c:pt idx="59">
                  <c:v>130.11528348951651</c:v>
                </c:pt>
                <c:pt idx="60">
                  <c:v>117.98017932987248</c:v>
                </c:pt>
                <c:pt idx="61">
                  <c:v>107.86759253016912</c:v>
                </c:pt>
                <c:pt idx="62">
                  <c:v>102.47421290366067</c:v>
                </c:pt>
                <c:pt idx="63">
                  <c:v>106.85633385019879</c:v>
                </c:pt>
                <c:pt idx="64">
                  <c:v>112.24971347670724</c:v>
                </c:pt>
                <c:pt idx="65">
                  <c:v>109.88336816557666</c:v>
                </c:pt>
                <c:pt idx="66">
                  <c:v>110.22719611676656</c:v>
                </c:pt>
                <c:pt idx="67">
                  <c:v>107.86759253016912</c:v>
                </c:pt>
                <c:pt idx="68">
                  <c:v>103.48547158363098</c:v>
                </c:pt>
                <c:pt idx="69">
                  <c:v>104.8338164902581</c:v>
                </c:pt>
                <c:pt idx="70">
                  <c:v>109.21593743679621</c:v>
                </c:pt>
                <c:pt idx="71">
                  <c:v>111.74408413672205</c:v>
                </c:pt>
                <c:pt idx="72">
                  <c:v>107.86759253016909</c:v>
                </c:pt>
                <c:pt idx="73">
                  <c:v>108.03613564349749</c:v>
                </c:pt>
                <c:pt idx="74">
                  <c:v>106.01361828355682</c:v>
                </c:pt>
                <c:pt idx="75">
                  <c:v>105.50798894357165</c:v>
                </c:pt>
                <c:pt idx="76">
                  <c:v>107.53050630351231</c:v>
                </c:pt>
                <c:pt idx="77">
                  <c:v>105.67653205690003</c:v>
                </c:pt>
                <c:pt idx="78">
                  <c:v>100.95732488370513</c:v>
                </c:pt>
                <c:pt idx="79">
                  <c:v>97.788714353131425</c:v>
                </c:pt>
                <c:pt idx="80">
                  <c:v>98.597721297107682</c:v>
                </c:pt>
                <c:pt idx="81">
                  <c:v>96.069574597181855</c:v>
                </c:pt>
                <c:pt idx="82">
                  <c:v>94.72122969055475</c:v>
                </c:pt>
                <c:pt idx="83">
                  <c:v>94.653812445223394</c:v>
                </c:pt>
                <c:pt idx="84">
                  <c:v>91.923414009303485</c:v>
                </c:pt>
                <c:pt idx="85">
                  <c:v>88.653677610732743</c:v>
                </c:pt>
                <c:pt idx="86">
                  <c:v>85.788444684150122</c:v>
                </c:pt>
                <c:pt idx="87">
                  <c:v>84.27155666419462</c:v>
                </c:pt>
                <c:pt idx="88">
                  <c:v>89.664936290703068</c:v>
                </c:pt>
                <c:pt idx="89">
                  <c:v>91.013281197330187</c:v>
                </c:pt>
                <c:pt idx="90">
                  <c:v>91.181824310658584</c:v>
                </c:pt>
                <c:pt idx="91">
                  <c:v>86.631160250792064</c:v>
                </c:pt>
                <c:pt idx="92">
                  <c:v>83.93447043753784</c:v>
                </c:pt>
                <c:pt idx="93">
                  <c:v>86.294074024135284</c:v>
                </c:pt>
                <c:pt idx="94">
                  <c:v>83.765927324209443</c:v>
                </c:pt>
                <c:pt idx="95">
                  <c:v>84.777186004179768</c:v>
                </c:pt>
                <c:pt idx="96">
                  <c:v>83.934470437537811</c:v>
                </c:pt>
                <c:pt idx="97">
                  <c:v>83.732218701543744</c:v>
                </c:pt>
                <c:pt idx="98">
                  <c:v>80.226521944313248</c:v>
                </c:pt>
                <c:pt idx="99">
                  <c:v>75.608440639115386</c:v>
                </c:pt>
                <c:pt idx="100">
                  <c:v>74.8331423178048</c:v>
                </c:pt>
                <c:pt idx="101">
                  <c:v>78.001752848378516</c:v>
                </c:pt>
                <c:pt idx="102">
                  <c:v>83.833344569540785</c:v>
                </c:pt>
                <c:pt idx="103">
                  <c:v>86.29407402413527</c:v>
                </c:pt>
                <c:pt idx="104">
                  <c:v>82.923211757567486</c:v>
                </c:pt>
                <c:pt idx="105">
                  <c:v>81.237780624283587</c:v>
                </c:pt>
                <c:pt idx="106">
                  <c:v>82.249039304253927</c:v>
                </c:pt>
                <c:pt idx="107">
                  <c:v>82.080496190925544</c:v>
                </c:pt>
                <c:pt idx="108">
                  <c:v>82.060271017326144</c:v>
                </c:pt>
                <c:pt idx="109">
                  <c:v>79.7208926043281</c:v>
                </c:pt>
                <c:pt idx="110">
                  <c:v>79.889435717656497</c:v>
                </c:pt>
                <c:pt idx="111">
                  <c:v>78.204004584372598</c:v>
                </c:pt>
                <c:pt idx="112">
                  <c:v>74.496056091148034</c:v>
                </c:pt>
                <c:pt idx="113">
                  <c:v>75.17022854446158</c:v>
                </c:pt>
                <c:pt idx="114">
                  <c:v>74.172453313557511</c:v>
                </c:pt>
                <c:pt idx="115">
                  <c:v>75.507314771118359</c:v>
                </c:pt>
                <c:pt idx="116">
                  <c:v>71.462280051237016</c:v>
                </c:pt>
                <c:pt idx="117">
                  <c:v>73.990426751162857</c:v>
                </c:pt>
                <c:pt idx="118">
                  <c:v>72.810624957864135</c:v>
                </c:pt>
                <c:pt idx="119">
                  <c:v>71.462280051237016</c:v>
                </c:pt>
                <c:pt idx="120">
                  <c:v>69.271219577967955</c:v>
                </c:pt>
                <c:pt idx="121">
                  <c:v>70.451021371266677</c:v>
                </c:pt>
                <c:pt idx="122">
                  <c:v>70.113935144609897</c:v>
                </c:pt>
                <c:pt idx="123">
                  <c:v>68.63075574732008</c:v>
                </c:pt>
                <c:pt idx="124">
                  <c:v>71.597114541899728</c:v>
                </c:pt>
                <c:pt idx="125">
                  <c:v>69.102676464639558</c:v>
                </c:pt>
                <c:pt idx="126">
                  <c:v>67.417245331355659</c:v>
                </c:pt>
                <c:pt idx="127">
                  <c:v>70.788107597923442</c:v>
                </c:pt>
                <c:pt idx="128">
                  <c:v>69.439762691296323</c:v>
                </c:pt>
                <c:pt idx="129">
                  <c:v>72.136452504550547</c:v>
                </c:pt>
                <c:pt idx="130">
                  <c:v>80.900694397626779</c:v>
                </c:pt>
                <c:pt idx="131">
                  <c:v>84.271556664194563</c:v>
                </c:pt>
                <c:pt idx="132">
                  <c:v>85.013146362839464</c:v>
                </c:pt>
                <c:pt idx="133">
                  <c:v>84.136722173531837</c:v>
                </c:pt>
                <c:pt idx="134">
                  <c:v>83.597384210880989</c:v>
                </c:pt>
                <c:pt idx="135">
                  <c:v>78.743342547023389</c:v>
                </c:pt>
                <c:pt idx="136">
                  <c:v>78.810759792354759</c:v>
                </c:pt>
                <c:pt idx="137">
                  <c:v>78.541090811029335</c:v>
                </c:pt>
                <c:pt idx="138">
                  <c:v>73.484797411177667</c:v>
                </c:pt>
                <c:pt idx="139">
                  <c:v>73.484797411177667</c:v>
                </c:pt>
                <c:pt idx="140">
                  <c:v>72.810624957864107</c:v>
                </c:pt>
                <c:pt idx="141">
                  <c:v>72.136452504550547</c:v>
                </c:pt>
                <c:pt idx="142">
                  <c:v>72.810624957864107</c:v>
                </c:pt>
                <c:pt idx="143">
                  <c:v>75.001685431133168</c:v>
                </c:pt>
                <c:pt idx="144">
                  <c:v>75.507314771118331</c:v>
                </c:pt>
                <c:pt idx="145">
                  <c:v>77.698375244387393</c:v>
                </c:pt>
                <c:pt idx="146">
                  <c:v>80.024270208319166</c:v>
                </c:pt>
                <c:pt idx="147">
                  <c:v>80.900694397626779</c:v>
                </c:pt>
                <c:pt idx="148">
                  <c:v>80.563608170969999</c:v>
                </c:pt>
                <c:pt idx="149">
                  <c:v>80.22652194431322</c:v>
                </c:pt>
                <c:pt idx="150">
                  <c:v>78.541090811029335</c:v>
                </c:pt>
                <c:pt idx="151">
                  <c:v>79.215263264342894</c:v>
                </c:pt>
                <c:pt idx="152">
                  <c:v>80.226521944313234</c:v>
                </c:pt>
                <c:pt idx="153">
                  <c:v>81.574866850940339</c:v>
                </c:pt>
                <c:pt idx="154">
                  <c:v>80.057978830984837</c:v>
                </c:pt>
                <c:pt idx="155">
                  <c:v>81.507449605608983</c:v>
                </c:pt>
                <c:pt idx="156">
                  <c:v>79.720892604328057</c:v>
                </c:pt>
                <c:pt idx="157">
                  <c:v>81.709701341603051</c:v>
                </c:pt>
                <c:pt idx="158">
                  <c:v>81.574866850940339</c:v>
                </c:pt>
                <c:pt idx="159">
                  <c:v>81.574866850940339</c:v>
                </c:pt>
                <c:pt idx="160">
                  <c:v>81.574866850940339</c:v>
                </c:pt>
                <c:pt idx="161">
                  <c:v>80.226521944313234</c:v>
                </c:pt>
                <c:pt idx="162">
                  <c:v>79.552349490999674</c:v>
                </c:pt>
                <c:pt idx="163">
                  <c:v>78.878177037686115</c:v>
                </c:pt>
                <c:pt idx="164">
                  <c:v>79.720892604328057</c:v>
                </c:pt>
                <c:pt idx="165">
                  <c:v>79.88943571765644</c:v>
                </c:pt>
                <c:pt idx="166">
                  <c:v>80.631025416301341</c:v>
                </c:pt>
                <c:pt idx="167">
                  <c:v>80.057978830984808</c:v>
                </c:pt>
                <c:pt idx="168">
                  <c:v>79.956852962987767</c:v>
                </c:pt>
                <c:pt idx="169">
                  <c:v>81.57486685094031</c:v>
                </c:pt>
                <c:pt idx="170">
                  <c:v>79.552349490999646</c:v>
                </c:pt>
                <c:pt idx="171">
                  <c:v>79.552349490999646</c:v>
                </c:pt>
                <c:pt idx="172">
                  <c:v>79.889435717656426</c:v>
                </c:pt>
                <c:pt idx="173">
                  <c:v>81.237780624283545</c:v>
                </c:pt>
                <c:pt idx="174">
                  <c:v>80.914177846693036</c:v>
                </c:pt>
                <c:pt idx="175">
                  <c:v>81.27148924694923</c:v>
                </c:pt>
                <c:pt idx="176">
                  <c:v>80.631025416301355</c:v>
                </c:pt>
                <c:pt idx="177">
                  <c:v>81.574866850940339</c:v>
                </c:pt>
                <c:pt idx="178">
                  <c:v>81.574866850940339</c:v>
                </c:pt>
                <c:pt idx="179">
                  <c:v>80.395065057641617</c:v>
                </c:pt>
                <c:pt idx="180">
                  <c:v>78.878177037686115</c:v>
                </c:pt>
                <c:pt idx="181">
                  <c:v>80.496190925638643</c:v>
                </c:pt>
                <c:pt idx="182">
                  <c:v>80.361356434975932</c:v>
                </c:pt>
                <c:pt idx="183">
                  <c:v>80.22652194431322</c:v>
                </c:pt>
                <c:pt idx="184">
                  <c:v>80.968111642958121</c:v>
                </c:pt>
                <c:pt idx="185">
                  <c:v>81.440032360277613</c:v>
                </c:pt>
                <c:pt idx="186">
                  <c:v>81.035528888289477</c:v>
                </c:pt>
                <c:pt idx="187">
                  <c:v>79.417515000336934</c:v>
                </c:pt>
                <c:pt idx="188">
                  <c:v>76.687116564417025</c:v>
                </c:pt>
                <c:pt idx="189">
                  <c:v>77.529832131058967</c:v>
                </c:pt>
                <c:pt idx="190">
                  <c:v>78.069170093709815</c:v>
                </c:pt>
                <c:pt idx="191">
                  <c:v>76.720825187082696</c:v>
                </c:pt>
                <c:pt idx="192">
                  <c:v>75.507314771118288</c:v>
                </c:pt>
                <c:pt idx="193">
                  <c:v>79.822018472325041</c:v>
                </c:pt>
                <c:pt idx="194">
                  <c:v>78.204004584372512</c:v>
                </c:pt>
                <c:pt idx="195">
                  <c:v>79.552349490999617</c:v>
                </c:pt>
                <c:pt idx="196">
                  <c:v>80.563608170969957</c:v>
                </c:pt>
                <c:pt idx="197">
                  <c:v>81.574866850940282</c:v>
                </c:pt>
                <c:pt idx="198">
                  <c:v>81.844535832265706</c:v>
                </c:pt>
                <c:pt idx="199">
                  <c:v>84.689543585248913</c:v>
                </c:pt>
                <c:pt idx="200">
                  <c:v>86.96824647744873</c:v>
                </c:pt>
                <c:pt idx="201">
                  <c:v>85.889570552147049</c:v>
                </c:pt>
                <c:pt idx="202">
                  <c:v>84.945729117508066</c:v>
                </c:pt>
                <c:pt idx="203">
                  <c:v>83.125463493561455</c:v>
                </c:pt>
                <c:pt idx="204">
                  <c:v>82.316456549585183</c:v>
                </c:pt>
                <c:pt idx="205">
                  <c:v>81.574866850940268</c:v>
                </c:pt>
                <c:pt idx="206">
                  <c:v>80.900694397626708</c:v>
                </c:pt>
                <c:pt idx="207">
                  <c:v>81.777118586934336</c:v>
                </c:pt>
                <c:pt idx="208">
                  <c:v>81.777118586934321</c:v>
                </c:pt>
                <c:pt idx="209">
                  <c:v>82.249039304253813</c:v>
                </c:pt>
                <c:pt idx="210">
                  <c:v>82.249039304253813</c:v>
                </c:pt>
                <c:pt idx="211">
                  <c:v>82.586125530910593</c:v>
                </c:pt>
                <c:pt idx="212">
                  <c:v>82.653542776241935</c:v>
                </c:pt>
                <c:pt idx="213">
                  <c:v>82.923211757567358</c:v>
                </c:pt>
                <c:pt idx="214">
                  <c:v>82.316456549585155</c:v>
                </c:pt>
                <c:pt idx="215">
                  <c:v>81.911953077597019</c:v>
                </c:pt>
                <c:pt idx="216">
                  <c:v>80.900694397626694</c:v>
                </c:pt>
                <c:pt idx="217">
                  <c:v>82.720960021573305</c:v>
                </c:pt>
                <c:pt idx="218">
                  <c:v>82.249039304253827</c:v>
                </c:pt>
                <c:pt idx="219">
                  <c:v>81.440032360277556</c:v>
                </c:pt>
                <c:pt idx="220">
                  <c:v>82.181622058922486</c:v>
                </c:pt>
                <c:pt idx="221">
                  <c:v>80.900694397626722</c:v>
                </c:pt>
                <c:pt idx="222">
                  <c:v>80.39506505764156</c:v>
                </c:pt>
                <c:pt idx="223">
                  <c:v>80.293939189644519</c:v>
                </c:pt>
                <c:pt idx="224">
                  <c:v>81.406323737611899</c:v>
                </c:pt>
                <c:pt idx="225">
                  <c:v>80.226521944313163</c:v>
                </c:pt>
                <c:pt idx="226">
                  <c:v>80.597316793635613</c:v>
                </c:pt>
                <c:pt idx="227">
                  <c:v>80.192813321647478</c:v>
                </c:pt>
                <c:pt idx="228">
                  <c:v>80.69844266163264</c:v>
                </c:pt>
                <c:pt idx="229">
                  <c:v>81.237780624283474</c:v>
                </c:pt>
                <c:pt idx="230">
                  <c:v>81.777118586934321</c:v>
                </c:pt>
                <c:pt idx="231">
                  <c:v>80.63102541630127</c:v>
                </c:pt>
                <c:pt idx="232">
                  <c:v>81.372615114946186</c:v>
                </c:pt>
                <c:pt idx="233">
                  <c:v>80.226521944313134</c:v>
                </c:pt>
                <c:pt idx="234">
                  <c:v>82.046787568259731</c:v>
                </c:pt>
                <c:pt idx="235">
                  <c:v>82.019820670127174</c:v>
                </c:pt>
                <c:pt idx="236">
                  <c:v>81.574866850940225</c:v>
                </c:pt>
                <c:pt idx="237">
                  <c:v>82.518708285579208</c:v>
                </c:pt>
                <c:pt idx="238">
                  <c:v>82.923211757567344</c:v>
                </c:pt>
                <c:pt idx="239">
                  <c:v>83.024337625564371</c:v>
                </c:pt>
                <c:pt idx="240">
                  <c:v>84.136722173531723</c:v>
                </c:pt>
                <c:pt idx="241">
                  <c:v>82.24903930425377</c:v>
                </c:pt>
                <c:pt idx="242">
                  <c:v>84.136722173531723</c:v>
                </c:pt>
                <c:pt idx="243">
                  <c:v>84.271556664194435</c:v>
                </c:pt>
                <c:pt idx="244">
                  <c:v>83.934470437537655</c:v>
                </c:pt>
                <c:pt idx="245">
                  <c:v>85.215398098833404</c:v>
                </c:pt>
                <c:pt idx="246">
                  <c:v>85.956987797478305</c:v>
                </c:pt>
                <c:pt idx="247">
                  <c:v>85.822153306815594</c:v>
                </c:pt>
                <c:pt idx="248">
                  <c:v>86.125530910806702</c:v>
                </c:pt>
                <c:pt idx="249">
                  <c:v>88.990763837389323</c:v>
                </c:pt>
                <c:pt idx="250">
                  <c:v>93.372884783927432</c:v>
                </c:pt>
                <c:pt idx="251">
                  <c:v>96.305534955841395</c:v>
                </c:pt>
                <c:pt idx="252">
                  <c:v>90.339108744016428</c:v>
                </c:pt>
                <c:pt idx="253">
                  <c:v>93.372884783927432</c:v>
                </c:pt>
                <c:pt idx="254">
                  <c:v>93.035798557270653</c:v>
                </c:pt>
                <c:pt idx="255">
                  <c:v>96.743747050495202</c:v>
                </c:pt>
                <c:pt idx="256">
                  <c:v>97.080833277151982</c:v>
                </c:pt>
                <c:pt idx="257">
                  <c:v>97.755005730465541</c:v>
                </c:pt>
                <c:pt idx="258">
                  <c:v>97.54668644239166</c:v>
                </c:pt>
                <c:pt idx="259">
                  <c:v>96.406660823838436</c:v>
                </c:pt>
                <c:pt idx="260">
                  <c:v>95.934740106518959</c:v>
                </c:pt>
                <c:pt idx="261">
                  <c:v>97.748938178385743</c:v>
                </c:pt>
                <c:pt idx="262">
                  <c:v>94.249308973235074</c:v>
                </c:pt>
                <c:pt idx="263">
                  <c:v>93.939863817164152</c:v>
                </c:pt>
                <c:pt idx="264">
                  <c:v>92.085889570551871</c:v>
                </c:pt>
                <c:pt idx="265">
                  <c:v>91.37733432211931</c:v>
                </c:pt>
                <c:pt idx="266">
                  <c:v>87.642418930762219</c:v>
                </c:pt>
                <c:pt idx="267">
                  <c:v>92.69264477853406</c:v>
                </c:pt>
                <c:pt idx="268">
                  <c:v>92.35555855187728</c:v>
                </c:pt>
                <c:pt idx="269">
                  <c:v>92.834220993729886</c:v>
                </c:pt>
                <c:pt idx="270">
                  <c:v>93.569068967841673</c:v>
                </c:pt>
                <c:pt idx="271">
                  <c:v>92.0184723252205</c:v>
                </c:pt>
                <c:pt idx="272">
                  <c:v>92.99602238252514</c:v>
                </c:pt>
                <c:pt idx="273">
                  <c:v>93.636486213173015</c:v>
                </c:pt>
                <c:pt idx="274">
                  <c:v>93.339850333715063</c:v>
                </c:pt>
                <c:pt idx="275">
                  <c:v>93.912896919031581</c:v>
                </c:pt>
                <c:pt idx="276">
                  <c:v>93.784129980448711</c:v>
                </c:pt>
                <c:pt idx="277">
                  <c:v>94.24930897323506</c:v>
                </c:pt>
                <c:pt idx="278">
                  <c:v>95.152700060675215</c:v>
                </c:pt>
                <c:pt idx="279">
                  <c:v>94.223016247555833</c:v>
                </c:pt>
                <c:pt idx="280">
                  <c:v>94.451560709229128</c:v>
                </c:pt>
                <c:pt idx="281">
                  <c:v>95.254500101125572</c:v>
                </c:pt>
                <c:pt idx="282">
                  <c:v>96.400593271758623</c:v>
                </c:pt>
                <c:pt idx="283">
                  <c:v>96.784871570147345</c:v>
                </c:pt>
                <c:pt idx="284">
                  <c:v>97.748938178385728</c:v>
                </c:pt>
                <c:pt idx="285">
                  <c:v>98.497269601563772</c:v>
                </c:pt>
                <c:pt idx="286">
                  <c:v>98.571428571428271</c:v>
                </c:pt>
                <c:pt idx="287">
                  <c:v>98.692779613024697</c:v>
                </c:pt>
                <c:pt idx="288">
                  <c:v>99.232117575675545</c:v>
                </c:pt>
                <c:pt idx="289">
                  <c:v>99.771455538326393</c:v>
                </c:pt>
                <c:pt idx="290">
                  <c:v>100.72136452504519</c:v>
                </c:pt>
                <c:pt idx="291">
                  <c:v>99.771455538326393</c:v>
                </c:pt>
                <c:pt idx="292">
                  <c:v>98.092091957122321</c:v>
                </c:pt>
                <c:pt idx="293">
                  <c:v>101.01867457695647</c:v>
                </c:pt>
                <c:pt idx="294">
                  <c:v>101.71307220386944</c:v>
                </c:pt>
                <c:pt idx="295">
                  <c:v>102.09735050225817</c:v>
                </c:pt>
                <c:pt idx="296">
                  <c:v>102.47421290366044</c:v>
                </c:pt>
                <c:pt idx="297">
                  <c:v>101.01867457695649</c:v>
                </c:pt>
                <c:pt idx="298">
                  <c:v>101.18721769028487</c:v>
                </c:pt>
                <c:pt idx="299">
                  <c:v>101.4629542236901</c:v>
                </c:pt>
                <c:pt idx="300">
                  <c:v>100.48540416638545</c:v>
                </c:pt>
                <c:pt idx="301">
                  <c:v>100.31686105305707</c:v>
                </c:pt>
                <c:pt idx="302">
                  <c:v>101.8950987662641</c:v>
                </c:pt>
                <c:pt idx="303">
                  <c:v>101.92880738892978</c:v>
                </c:pt>
                <c:pt idx="304">
                  <c:v>102.53556259691199</c:v>
                </c:pt>
                <c:pt idx="305">
                  <c:v>102.26589361558656</c:v>
                </c:pt>
                <c:pt idx="306">
                  <c:v>102.73781433290604</c:v>
                </c:pt>
                <c:pt idx="307">
                  <c:v>101.86139014359843</c:v>
                </c:pt>
                <c:pt idx="308">
                  <c:v>102.13105912492385</c:v>
                </c:pt>
                <c:pt idx="309">
                  <c:v>103.20973505022553</c:v>
                </c:pt>
                <c:pt idx="310">
                  <c:v>104.55807995685264</c:v>
                </c:pt>
                <c:pt idx="311">
                  <c:v>103.76255646194264</c:v>
                </c:pt>
                <c:pt idx="312">
                  <c:v>102.81129913031721</c:v>
                </c:pt>
                <c:pt idx="313">
                  <c:v>104.15357648486452</c:v>
                </c:pt>
                <c:pt idx="314">
                  <c:v>103.87716577900594</c:v>
                </c:pt>
                <c:pt idx="315">
                  <c:v>102.46814535158062</c:v>
                </c:pt>
                <c:pt idx="316">
                  <c:v>104.1940268320633</c:v>
                </c:pt>
                <c:pt idx="317">
                  <c:v>103.17535225510652</c:v>
                </c:pt>
                <c:pt idx="318">
                  <c:v>103.21580260230533</c:v>
                </c:pt>
                <c:pt idx="319">
                  <c:v>102.91242499831424</c:v>
                </c:pt>
                <c:pt idx="320">
                  <c:v>104.18728510753016</c:v>
                </c:pt>
                <c:pt idx="321">
                  <c:v>105.16483516483483</c:v>
                </c:pt>
                <c:pt idx="322">
                  <c:v>104.69898199959516</c:v>
                </c:pt>
                <c:pt idx="323">
                  <c:v>106.91768354345008</c:v>
                </c:pt>
                <c:pt idx="324">
                  <c:v>108.13119395941447</c:v>
                </c:pt>
                <c:pt idx="325">
                  <c:v>108.1372615114943</c:v>
                </c:pt>
                <c:pt idx="326">
                  <c:v>108.00242702083159</c:v>
                </c:pt>
                <c:pt idx="327">
                  <c:v>110.09236162610362</c:v>
                </c:pt>
                <c:pt idx="328">
                  <c:v>109.34470437537888</c:v>
                </c:pt>
                <c:pt idx="329">
                  <c:v>109.51257331625395</c:v>
                </c:pt>
                <c:pt idx="330">
                  <c:v>110.15371131935514</c:v>
                </c:pt>
                <c:pt idx="331">
                  <c:v>108.60918222881378</c:v>
                </c:pt>
                <c:pt idx="332">
                  <c:v>110.420009438414</c:v>
                </c:pt>
                <c:pt idx="333">
                  <c:v>110.32899615721668</c:v>
                </c:pt>
                <c:pt idx="334">
                  <c:v>110.15371131935514</c:v>
                </c:pt>
                <c:pt idx="335">
                  <c:v>108.94626845547056</c:v>
                </c:pt>
                <c:pt idx="336">
                  <c:v>108.47434773815108</c:v>
                </c:pt>
                <c:pt idx="337">
                  <c:v>108.53502325894929</c:v>
                </c:pt>
                <c:pt idx="338">
                  <c:v>108.81143396480785</c:v>
                </c:pt>
                <c:pt idx="339">
                  <c:v>110.72675790467166</c:v>
                </c:pt>
                <c:pt idx="340">
                  <c:v>110.01887682869241</c:v>
                </c:pt>
                <c:pt idx="341">
                  <c:v>107.12600283152395</c:v>
                </c:pt>
                <c:pt idx="342">
                  <c:v>107.46308905818073</c:v>
                </c:pt>
                <c:pt idx="343">
                  <c:v>108.00984291781803</c:v>
                </c:pt>
                <c:pt idx="344">
                  <c:v>105.8450751702282</c:v>
                </c:pt>
                <c:pt idx="345">
                  <c:v>105.83900761814839</c:v>
                </c:pt>
                <c:pt idx="346">
                  <c:v>104.90864963257566</c:v>
                </c:pt>
                <c:pt idx="347">
                  <c:v>104.79404031551236</c:v>
                </c:pt>
                <c:pt idx="348">
                  <c:v>104.75696083058011</c:v>
                </c:pt>
                <c:pt idx="349">
                  <c:v>102.60904739432313</c:v>
                </c:pt>
                <c:pt idx="350">
                  <c:v>103.81649025820772</c:v>
                </c:pt>
                <c:pt idx="351">
                  <c:v>102.95961707004618</c:v>
                </c:pt>
                <c:pt idx="352">
                  <c:v>107.55814737409794</c:v>
                </c:pt>
                <c:pt idx="353">
                  <c:v>107.17993662778903</c:v>
                </c:pt>
                <c:pt idx="354">
                  <c:v>108.26602845007719</c:v>
                </c:pt>
                <c:pt idx="355">
                  <c:v>108.4008629407399</c:v>
                </c:pt>
                <c:pt idx="356">
                  <c:v>106.65408211420446</c:v>
                </c:pt>
                <c:pt idx="357">
                  <c:v>108.53569743140261</c:v>
                </c:pt>
                <c:pt idx="358">
                  <c:v>108.06984426616295</c:v>
                </c:pt>
                <c:pt idx="359">
                  <c:v>106.80240005393344</c:v>
                </c:pt>
                <c:pt idx="360">
                  <c:v>107.89523360075471</c:v>
                </c:pt>
                <c:pt idx="361">
                  <c:v>106.51318007146193</c:v>
                </c:pt>
                <c:pt idx="362">
                  <c:v>106.85633385019851</c:v>
                </c:pt>
                <c:pt idx="363">
                  <c:v>105.19112789051403</c:v>
                </c:pt>
                <c:pt idx="364">
                  <c:v>109.95145958336104</c:v>
                </c:pt>
                <c:pt idx="365">
                  <c:v>109.20986988471613</c:v>
                </c:pt>
                <c:pt idx="366">
                  <c:v>108.9402009033907</c:v>
                </c:pt>
                <c:pt idx="367">
                  <c:v>107.32825456751797</c:v>
                </c:pt>
                <c:pt idx="368">
                  <c:v>108.33951324748831</c:v>
                </c:pt>
                <c:pt idx="369">
                  <c:v>108.60918222881374</c:v>
                </c:pt>
                <c:pt idx="370">
                  <c:v>110.56428234342305</c:v>
                </c:pt>
                <c:pt idx="371">
                  <c:v>111.53576484864789</c:v>
                </c:pt>
                <c:pt idx="372">
                  <c:v>113.08636149126907</c:v>
                </c:pt>
                <c:pt idx="373">
                  <c:v>113.18748735926609</c:v>
                </c:pt>
                <c:pt idx="374">
                  <c:v>113.25490460459747</c:v>
                </c:pt>
                <c:pt idx="375">
                  <c:v>112.54702352861823</c:v>
                </c:pt>
                <c:pt idx="376">
                  <c:v>111.2384547967366</c:v>
                </c:pt>
                <c:pt idx="377">
                  <c:v>113.05265286860339</c:v>
                </c:pt>
                <c:pt idx="378">
                  <c:v>111.71037551405608</c:v>
                </c:pt>
                <c:pt idx="379">
                  <c:v>111.44070653273069</c:v>
                </c:pt>
                <c:pt idx="380">
                  <c:v>111.51823636486174</c:v>
                </c:pt>
                <c:pt idx="381">
                  <c:v>112.78298388727796</c:v>
                </c:pt>
                <c:pt idx="382">
                  <c:v>113.80031011932813</c:v>
                </c:pt>
                <c:pt idx="383">
                  <c:v>115.24371334187245</c:v>
                </c:pt>
                <c:pt idx="384">
                  <c:v>115.95159441785169</c:v>
                </c:pt>
                <c:pt idx="385">
                  <c:v>117.111171037551</c:v>
                </c:pt>
                <c:pt idx="386">
                  <c:v>117.23858963122726</c:v>
                </c:pt>
                <c:pt idx="387">
                  <c:v>120.67080159104657</c:v>
                </c:pt>
                <c:pt idx="388">
                  <c:v>122.69331895098725</c:v>
                </c:pt>
                <c:pt idx="389">
                  <c:v>121.08137261511452</c:v>
                </c:pt>
                <c:pt idx="390">
                  <c:v>123.03040517764401</c:v>
                </c:pt>
                <c:pt idx="391">
                  <c:v>123.04388862671028</c:v>
                </c:pt>
                <c:pt idx="392">
                  <c:v>121.48587608710265</c:v>
                </c:pt>
                <c:pt idx="393">
                  <c:v>120.67686914312638</c:v>
                </c:pt>
                <c:pt idx="394">
                  <c:v>122.01914649767367</c:v>
                </c:pt>
                <c:pt idx="395">
                  <c:v>121.51351715768851</c:v>
                </c:pt>
                <c:pt idx="396">
                  <c:v>121.68206027101691</c:v>
                </c:pt>
                <c:pt idx="397">
                  <c:v>120.47461740713231</c:v>
                </c:pt>
                <c:pt idx="398">
                  <c:v>122.35623272433047</c:v>
                </c:pt>
                <c:pt idx="399">
                  <c:v>123.67086900829189</c:v>
                </c:pt>
                <c:pt idx="400">
                  <c:v>120.54203465246368</c:v>
                </c:pt>
                <c:pt idx="401">
                  <c:v>120.67686914312638</c:v>
                </c:pt>
                <c:pt idx="402">
                  <c:v>121.9517292523423</c:v>
                </c:pt>
                <c:pt idx="403">
                  <c:v>120.3397829164696</c:v>
                </c:pt>
                <c:pt idx="404">
                  <c:v>121.34497404436011</c:v>
                </c:pt>
                <c:pt idx="405">
                  <c:v>122.28881547899908</c:v>
                </c:pt>
                <c:pt idx="406">
                  <c:v>122.78028719746469</c:v>
                </c:pt>
                <c:pt idx="407">
                  <c:v>123.70457763095759</c:v>
                </c:pt>
                <c:pt idx="408">
                  <c:v>124.5810018202652</c:v>
                </c:pt>
                <c:pt idx="409">
                  <c:v>125.81406323737569</c:v>
                </c:pt>
                <c:pt idx="410">
                  <c:v>126.07024876963484</c:v>
                </c:pt>
                <c:pt idx="411">
                  <c:v>127.92422301624713</c:v>
                </c:pt>
                <c:pt idx="412">
                  <c:v>127.58713678959036</c:v>
                </c:pt>
                <c:pt idx="413">
                  <c:v>129.71752174206119</c:v>
                </c:pt>
                <c:pt idx="414">
                  <c:v>130.61484527742155</c:v>
                </c:pt>
                <c:pt idx="415">
                  <c:v>129.88606485538958</c:v>
                </c:pt>
                <c:pt idx="416">
                  <c:v>133.47940403155084</c:v>
                </c:pt>
                <c:pt idx="417">
                  <c:v>132.80590575069061</c:v>
                </c:pt>
                <c:pt idx="418">
                  <c:v>132.13780084945688</c:v>
                </c:pt>
                <c:pt idx="419">
                  <c:v>129.91303175352215</c:v>
                </c:pt>
                <c:pt idx="420">
                  <c:v>125.39607631632134</c:v>
                </c:pt>
                <c:pt idx="421">
                  <c:v>127.01409020427387</c:v>
                </c:pt>
                <c:pt idx="422">
                  <c:v>126.06418121755507</c:v>
                </c:pt>
                <c:pt idx="423">
                  <c:v>126.07024876963489</c:v>
                </c:pt>
                <c:pt idx="424">
                  <c:v>126.73835367086862</c:v>
                </c:pt>
                <c:pt idx="425">
                  <c:v>126.07024876963489</c:v>
                </c:pt>
                <c:pt idx="426">
                  <c:v>128.08669857749575</c:v>
                </c:pt>
                <c:pt idx="427">
                  <c:v>127.41252612418221</c:v>
                </c:pt>
                <c:pt idx="428">
                  <c:v>128.6597451628123</c:v>
                </c:pt>
                <c:pt idx="429">
                  <c:v>129.63729522011695</c:v>
                </c:pt>
                <c:pt idx="430">
                  <c:v>127.9242230162472</c:v>
                </c:pt>
                <c:pt idx="431">
                  <c:v>129.98112317130685</c:v>
                </c:pt>
                <c:pt idx="432">
                  <c:v>130.61484527742161</c:v>
                </c:pt>
                <c:pt idx="433">
                  <c:v>130.70181352389903</c:v>
                </c:pt>
                <c:pt idx="434">
                  <c:v>131.32879390548067</c:v>
                </c:pt>
                <c:pt idx="435">
                  <c:v>131.46362839614335</c:v>
                </c:pt>
                <c:pt idx="436">
                  <c:v>130.45236971617302</c:v>
                </c:pt>
                <c:pt idx="437">
                  <c:v>126.81183846827982</c:v>
                </c:pt>
                <c:pt idx="438">
                  <c:v>129.43504348412287</c:v>
                </c:pt>
                <c:pt idx="439">
                  <c:v>129.7047124654483</c:v>
                </c:pt>
                <c:pt idx="440">
                  <c:v>128.42985235623237</c:v>
                </c:pt>
                <c:pt idx="441">
                  <c:v>129.17144205487728</c:v>
                </c:pt>
                <c:pt idx="442">
                  <c:v>129.36762623879153</c:v>
                </c:pt>
                <c:pt idx="443">
                  <c:v>128.09276612957561</c:v>
                </c:pt>
                <c:pt idx="444">
                  <c:v>129.46875210678857</c:v>
                </c:pt>
                <c:pt idx="445">
                  <c:v>127.01409020427391</c:v>
                </c:pt>
                <c:pt idx="446">
                  <c:v>128.49726960156372</c:v>
                </c:pt>
                <c:pt idx="447">
                  <c:v>127.96467336344601</c:v>
                </c:pt>
                <c:pt idx="448">
                  <c:v>130.24405042809914</c:v>
                </c:pt>
                <c:pt idx="449">
                  <c:v>129.54223690419974</c:v>
                </c:pt>
                <c:pt idx="450">
                  <c:v>129.77212971077967</c:v>
                </c:pt>
                <c:pt idx="451">
                  <c:v>130.78945594282982</c:v>
                </c:pt>
                <c:pt idx="452">
                  <c:v>131.86813186813151</c:v>
                </c:pt>
                <c:pt idx="453">
                  <c:v>133.62098024674674</c:v>
                </c:pt>
                <c:pt idx="454">
                  <c:v>133.2164767747586</c:v>
                </c:pt>
                <c:pt idx="455">
                  <c:v>133.65468886941241</c:v>
                </c:pt>
                <c:pt idx="456">
                  <c:v>136.17676801725844</c:v>
                </c:pt>
                <c:pt idx="457">
                  <c:v>132.81197330277047</c:v>
                </c:pt>
                <c:pt idx="458">
                  <c:v>135.23292658261946</c:v>
                </c:pt>
                <c:pt idx="459">
                  <c:v>134.16031820939759</c:v>
                </c:pt>
                <c:pt idx="460">
                  <c:v>131.76093844805465</c:v>
                </c:pt>
                <c:pt idx="461">
                  <c:v>131.72722982538897</c:v>
                </c:pt>
                <c:pt idx="462">
                  <c:v>131.35643497606654</c:v>
                </c:pt>
                <c:pt idx="463">
                  <c:v>132.16544192004278</c:v>
                </c:pt>
                <c:pt idx="464">
                  <c:v>132.28005123710611</c:v>
                </c:pt>
                <c:pt idx="465">
                  <c:v>129.67032967032932</c:v>
                </c:pt>
                <c:pt idx="466">
                  <c:v>128.69345378547797</c:v>
                </c:pt>
                <c:pt idx="467">
                  <c:v>127.41252612418222</c:v>
                </c:pt>
                <c:pt idx="468">
                  <c:v>126.03047259488943</c:v>
                </c:pt>
                <c:pt idx="469">
                  <c:v>126.73835367086868</c:v>
                </c:pt>
                <c:pt idx="470">
                  <c:v>126.26643295354917</c:v>
                </c:pt>
                <c:pt idx="471">
                  <c:v>127.00802265219407</c:v>
                </c:pt>
                <c:pt idx="472">
                  <c:v>124.78325355625934</c:v>
                </c:pt>
                <c:pt idx="473">
                  <c:v>126.1990157082178</c:v>
                </c:pt>
                <c:pt idx="474">
                  <c:v>124.85067080159068</c:v>
                </c:pt>
                <c:pt idx="475">
                  <c:v>125.76080361356398</c:v>
                </c:pt>
                <c:pt idx="476">
                  <c:v>125.18775702824747</c:v>
                </c:pt>
                <c:pt idx="477">
                  <c:v>124.91808804692205</c:v>
                </c:pt>
                <c:pt idx="478">
                  <c:v>124.17649834827715</c:v>
                </c:pt>
                <c:pt idx="479">
                  <c:v>123.83941212162037</c:v>
                </c:pt>
                <c:pt idx="480">
                  <c:v>123.60345176296063</c:v>
                </c:pt>
                <c:pt idx="481">
                  <c:v>124.41245870693689</c:v>
                </c:pt>
                <c:pt idx="482">
                  <c:v>123.92705454055113</c:v>
                </c:pt>
                <c:pt idx="483">
                  <c:v>122.05285512033944</c:v>
                </c:pt>
                <c:pt idx="484">
                  <c:v>120.6033843457153</c:v>
                </c:pt>
                <c:pt idx="485">
                  <c:v>120.4685498550526</c:v>
                </c:pt>
                <c:pt idx="486">
                  <c:v>120.97755005730434</c:v>
                </c:pt>
                <c:pt idx="487">
                  <c:v>119.38987392975092</c:v>
                </c:pt>
                <c:pt idx="488">
                  <c:v>118.97862873322963</c:v>
                </c:pt>
                <c:pt idx="489">
                  <c:v>119.18762219375682</c:v>
                </c:pt>
                <c:pt idx="490">
                  <c:v>119.42358255241656</c:v>
                </c:pt>
                <c:pt idx="491">
                  <c:v>120.40113260972122</c:v>
                </c:pt>
                <c:pt idx="492">
                  <c:v>120.09775500573011</c:v>
                </c:pt>
                <c:pt idx="493">
                  <c:v>119.8280860244047</c:v>
                </c:pt>
                <c:pt idx="494">
                  <c:v>119.59212566574493</c:v>
                </c:pt>
                <c:pt idx="495">
                  <c:v>121.3112654216945</c:v>
                </c:pt>
                <c:pt idx="496">
                  <c:v>122.9966965549784</c:v>
                </c:pt>
                <c:pt idx="497">
                  <c:v>123.36749140430086</c:v>
                </c:pt>
                <c:pt idx="498">
                  <c:v>121.624081440032</c:v>
                </c:pt>
                <c:pt idx="499">
                  <c:v>124.92415559900186</c:v>
                </c:pt>
                <c:pt idx="500">
                  <c:v>124.61471044293094</c:v>
                </c:pt>
                <c:pt idx="501">
                  <c:v>124.24391559360848</c:v>
                </c:pt>
                <c:pt idx="502">
                  <c:v>122.06296770713914</c:v>
                </c:pt>
                <c:pt idx="503">
                  <c:v>121.68880199555011</c:v>
                </c:pt>
                <c:pt idx="504">
                  <c:v>120.46854985505259</c:v>
                </c:pt>
                <c:pt idx="505">
                  <c:v>120.70451021371233</c:v>
                </c:pt>
                <c:pt idx="506">
                  <c:v>122.22139823366783</c:v>
                </c:pt>
                <c:pt idx="507">
                  <c:v>122.05285512033943</c:v>
                </c:pt>
                <c:pt idx="508">
                  <c:v>121.98543787500809</c:v>
                </c:pt>
                <c:pt idx="509">
                  <c:v>120.87642418930729</c:v>
                </c:pt>
                <c:pt idx="510">
                  <c:v>125.22146565091317</c:v>
                </c:pt>
                <c:pt idx="511">
                  <c:v>124.21020697094285</c:v>
                </c:pt>
                <c:pt idx="512">
                  <c:v>123.54547293197568</c:v>
                </c:pt>
                <c:pt idx="513">
                  <c:v>123.5360345176293</c:v>
                </c:pt>
                <c:pt idx="514">
                  <c:v>119.32245668441956</c:v>
                </c:pt>
                <c:pt idx="515">
                  <c:v>120.33371536438989</c:v>
                </c:pt>
                <c:pt idx="516">
                  <c:v>121.91802062967675</c:v>
                </c:pt>
                <c:pt idx="517">
                  <c:v>124.04166385761447</c:v>
                </c:pt>
                <c:pt idx="518">
                  <c:v>123.16523966830684</c:v>
                </c:pt>
                <c:pt idx="519">
                  <c:v>122.59219308299032</c:v>
                </c:pt>
                <c:pt idx="520">
                  <c:v>122.5618553225912</c:v>
                </c:pt>
                <c:pt idx="521">
                  <c:v>120.8561990157079</c:v>
                </c:pt>
                <c:pt idx="522">
                  <c:v>120.51237106451799</c:v>
                </c:pt>
                <c:pt idx="523">
                  <c:v>119.32245668441958</c:v>
                </c:pt>
                <c:pt idx="524">
                  <c:v>118.59502460729425</c:v>
                </c:pt>
                <c:pt idx="525">
                  <c:v>118.27748938178355</c:v>
                </c:pt>
                <c:pt idx="526">
                  <c:v>118.78311872176873</c:v>
                </c:pt>
                <c:pt idx="527">
                  <c:v>119.49099979774796</c:v>
                </c:pt>
                <c:pt idx="528">
                  <c:v>120.56967572304964</c:v>
                </c:pt>
                <c:pt idx="529">
                  <c:v>118.88424458976576</c:v>
                </c:pt>
                <c:pt idx="530">
                  <c:v>118.64828423110602</c:v>
                </c:pt>
                <c:pt idx="531">
                  <c:v>119.82633317602613</c:v>
                </c:pt>
                <c:pt idx="532">
                  <c:v>119.65954291107634</c:v>
                </c:pt>
                <c:pt idx="533">
                  <c:v>120.03033776039878</c:v>
                </c:pt>
                <c:pt idx="534">
                  <c:v>121.00788781770345</c:v>
                </c:pt>
                <c:pt idx="535">
                  <c:v>120.36742398705556</c:v>
                </c:pt>
                <c:pt idx="536">
                  <c:v>120.77192745904368</c:v>
                </c:pt>
                <c:pt idx="537">
                  <c:v>121.27755679902884</c:v>
                </c:pt>
                <c:pt idx="538">
                  <c:v>121.91127890514359</c:v>
                </c:pt>
                <c:pt idx="539">
                  <c:v>122.69331895098733</c:v>
                </c:pt>
                <c:pt idx="540">
                  <c:v>122.08656374300512</c:v>
                </c:pt>
                <c:pt idx="541">
                  <c:v>122.04543922335299</c:v>
                </c:pt>
                <c:pt idx="542">
                  <c:v>123.50232589496358</c:v>
                </c:pt>
                <c:pt idx="543">
                  <c:v>122.92927930964706</c:v>
                </c:pt>
                <c:pt idx="544">
                  <c:v>122.69331895098732</c:v>
                </c:pt>
                <c:pt idx="545">
                  <c:v>122.9966965549784</c:v>
                </c:pt>
                <c:pt idx="546">
                  <c:v>123.36749140430086</c:v>
                </c:pt>
                <c:pt idx="547">
                  <c:v>123.56974314029492</c:v>
                </c:pt>
                <c:pt idx="548">
                  <c:v>124.41245870693687</c:v>
                </c:pt>
                <c:pt idx="549">
                  <c:v>124.04166385761444</c:v>
                </c:pt>
                <c:pt idx="550">
                  <c:v>124.51358457493392</c:v>
                </c:pt>
                <c:pt idx="551">
                  <c:v>124.19065596979672</c:v>
                </c:pt>
                <c:pt idx="552">
                  <c:v>124.04166385761444</c:v>
                </c:pt>
                <c:pt idx="553">
                  <c:v>125.4574260095729</c:v>
                </c:pt>
                <c:pt idx="554">
                  <c:v>126.2327243308835</c:v>
                </c:pt>
                <c:pt idx="555">
                  <c:v>123.87783995145922</c:v>
                </c:pt>
                <c:pt idx="556">
                  <c:v>124.07537248028009</c:v>
                </c:pt>
                <c:pt idx="557">
                  <c:v>123.43490864963222</c:v>
                </c:pt>
                <c:pt idx="558">
                  <c:v>123.36749140430086</c:v>
                </c:pt>
                <c:pt idx="559">
                  <c:v>123.63877839951424</c:v>
                </c:pt>
                <c:pt idx="560">
                  <c:v>122.99332569271185</c:v>
                </c:pt>
                <c:pt idx="561">
                  <c:v>122.65961032832163</c:v>
                </c:pt>
                <c:pt idx="562">
                  <c:v>122.36297444886367</c:v>
                </c:pt>
                <c:pt idx="563">
                  <c:v>122.22139823366781</c:v>
                </c:pt>
                <c:pt idx="564">
                  <c:v>122.62509269871198</c:v>
                </c:pt>
                <c:pt idx="565">
                  <c:v>122.6933189509873</c:v>
                </c:pt>
                <c:pt idx="566">
                  <c:v>123.62367693656002</c:v>
                </c:pt>
                <c:pt idx="567">
                  <c:v>123.1652396683068</c:v>
                </c:pt>
                <c:pt idx="568">
                  <c:v>123.40120002696654</c:v>
                </c:pt>
                <c:pt idx="569">
                  <c:v>124.74954493359364</c:v>
                </c:pt>
                <c:pt idx="570">
                  <c:v>123.29535495179628</c:v>
                </c:pt>
                <c:pt idx="571">
                  <c:v>124.3753792220046</c:v>
                </c:pt>
                <c:pt idx="572">
                  <c:v>124.37875008427119</c:v>
                </c:pt>
                <c:pt idx="573">
                  <c:v>123.87312074428603</c:v>
                </c:pt>
                <c:pt idx="574">
                  <c:v>124.21020697094279</c:v>
                </c:pt>
                <c:pt idx="575">
                  <c:v>125.25517427357879</c:v>
                </c:pt>
                <c:pt idx="576">
                  <c:v>124.68212768826227</c:v>
                </c:pt>
                <c:pt idx="577">
                  <c:v>124.64841906559658</c:v>
                </c:pt>
                <c:pt idx="578">
                  <c:v>124.48324681453477</c:v>
                </c:pt>
                <c:pt idx="579">
                  <c:v>124.42863884581638</c:v>
                </c:pt>
                <c:pt idx="580">
                  <c:v>124.68212768826227</c:v>
                </c:pt>
                <c:pt idx="581">
                  <c:v>124.44616732960252</c:v>
                </c:pt>
                <c:pt idx="582">
                  <c:v>124.37875008427116</c:v>
                </c:pt>
                <c:pt idx="583">
                  <c:v>124.73269062226078</c:v>
                </c:pt>
                <c:pt idx="584">
                  <c:v>124.88437942425635</c:v>
                </c:pt>
                <c:pt idx="585">
                  <c:v>125.2551742735788</c:v>
                </c:pt>
                <c:pt idx="586">
                  <c:v>125.79451223622966</c:v>
                </c:pt>
                <c:pt idx="587">
                  <c:v>125.21674644373995</c:v>
                </c:pt>
                <c:pt idx="588">
                  <c:v>125.79451223622966</c:v>
                </c:pt>
                <c:pt idx="589">
                  <c:v>126.06418121755509</c:v>
                </c:pt>
                <c:pt idx="590">
                  <c:v>126.9406054068627</c:v>
                </c:pt>
                <c:pt idx="591">
                  <c:v>126.83947953886566</c:v>
                </c:pt>
                <c:pt idx="592">
                  <c:v>126.46801051708989</c:v>
                </c:pt>
                <c:pt idx="593">
                  <c:v>125.42371738690719</c:v>
                </c:pt>
                <c:pt idx="594">
                  <c:v>125.97856131598425</c:v>
                </c:pt>
                <c:pt idx="595">
                  <c:v>125.65967774556694</c:v>
                </c:pt>
                <c:pt idx="596">
                  <c:v>124.44643699858388</c:v>
                </c:pt>
                <c:pt idx="597">
                  <c:v>124.33829973707239</c:v>
                </c:pt>
                <c:pt idx="598">
                  <c:v>123.87986246881918</c:v>
                </c:pt>
                <c:pt idx="599">
                  <c:v>125.82822085889535</c:v>
                </c:pt>
                <c:pt idx="600">
                  <c:v>125.99676397222373</c:v>
                </c:pt>
                <c:pt idx="601">
                  <c:v>125.77765792489683</c:v>
                </c:pt>
                <c:pt idx="602">
                  <c:v>122.86186206431572</c:v>
                </c:pt>
                <c:pt idx="603">
                  <c:v>122.53623676936527</c:v>
                </c:pt>
                <c:pt idx="604">
                  <c:v>122.79781568125091</c:v>
                </c:pt>
                <c:pt idx="605">
                  <c:v>123.30007415896951</c:v>
                </c:pt>
                <c:pt idx="606">
                  <c:v>123.53778736600788</c:v>
                </c:pt>
                <c:pt idx="607">
                  <c:v>124.78325355625935</c:v>
                </c:pt>
                <c:pt idx="608">
                  <c:v>124.95179666958775</c:v>
                </c:pt>
                <c:pt idx="609">
                  <c:v>123.5023258949636</c:v>
                </c:pt>
                <c:pt idx="610">
                  <c:v>123.13153104564114</c:v>
                </c:pt>
                <c:pt idx="611">
                  <c:v>122.35690689678385</c:v>
                </c:pt>
                <c:pt idx="612">
                  <c:v>122.52477583765895</c:v>
                </c:pt>
                <c:pt idx="613">
                  <c:v>122.69331895098735</c:v>
                </c:pt>
                <c:pt idx="614">
                  <c:v>122.24499426953382</c:v>
                </c:pt>
                <c:pt idx="615">
                  <c:v>121.64835164835134</c:v>
                </c:pt>
                <c:pt idx="616">
                  <c:v>121.61464302568565</c:v>
                </c:pt>
                <c:pt idx="617">
                  <c:v>123.5360345176293</c:v>
                </c:pt>
                <c:pt idx="618">
                  <c:v>120.80563608170939</c:v>
                </c:pt>
                <c:pt idx="619">
                  <c:v>119.92921189240175</c:v>
                </c:pt>
                <c:pt idx="620">
                  <c:v>119.42358255241658</c:v>
                </c:pt>
                <c:pt idx="621">
                  <c:v>120.7719274590437</c:v>
                </c:pt>
                <c:pt idx="622">
                  <c:v>121.88431200701106</c:v>
                </c:pt>
                <c:pt idx="623">
                  <c:v>121.85734510887852</c:v>
                </c:pt>
                <c:pt idx="624">
                  <c:v>120.4348412323869</c:v>
                </c:pt>
                <c:pt idx="625">
                  <c:v>119.37301961841807</c:v>
                </c:pt>
                <c:pt idx="626">
                  <c:v>120.06404638306446</c:v>
                </c:pt>
                <c:pt idx="627">
                  <c:v>120.42068361086733</c:v>
                </c:pt>
                <c:pt idx="628">
                  <c:v>119.50785410908077</c:v>
                </c:pt>
                <c:pt idx="629">
                  <c:v>119.82808602440473</c:v>
                </c:pt>
                <c:pt idx="630">
                  <c:v>120.33371536438989</c:v>
                </c:pt>
                <c:pt idx="631">
                  <c:v>119.99662913773311</c:v>
                </c:pt>
                <c:pt idx="632">
                  <c:v>118.47974111777762</c:v>
                </c:pt>
                <c:pt idx="633">
                  <c:v>120.8276141036874</c:v>
                </c:pt>
                <c:pt idx="634">
                  <c:v>119.62583428841066</c:v>
                </c:pt>
                <c:pt idx="635">
                  <c:v>115.10887885120984</c:v>
                </c:pt>
                <c:pt idx="636">
                  <c:v>111.41913301422474</c:v>
                </c:pt>
                <c:pt idx="637">
                  <c:v>117.63702555113566</c:v>
                </c:pt>
                <c:pt idx="638">
                  <c:v>120.09775500573014</c:v>
                </c:pt>
                <c:pt idx="639">
                  <c:v>118.64828423110602</c:v>
                </c:pt>
                <c:pt idx="640">
                  <c:v>118.9853704577628</c:v>
                </c:pt>
                <c:pt idx="641">
                  <c:v>118.9853704577628</c:v>
                </c:pt>
                <c:pt idx="642">
                  <c:v>114.60324951122469</c:v>
                </c:pt>
                <c:pt idx="643">
                  <c:v>115.61450819119501</c:v>
                </c:pt>
                <c:pt idx="644">
                  <c:v>116.96285309782212</c:v>
                </c:pt>
                <c:pt idx="645">
                  <c:v>118.44603249511194</c:v>
                </c:pt>
                <c:pt idx="646">
                  <c:v>118.44603249511194</c:v>
                </c:pt>
                <c:pt idx="647">
                  <c:v>119.99662913773312</c:v>
                </c:pt>
                <c:pt idx="648">
                  <c:v>118.648284231106</c:v>
                </c:pt>
                <c:pt idx="649">
                  <c:v>116.79430998449374</c:v>
                </c:pt>
                <c:pt idx="650">
                  <c:v>116.62576687116534</c:v>
                </c:pt>
                <c:pt idx="651">
                  <c:v>119.1202049484255</c:v>
                </c:pt>
                <c:pt idx="652">
                  <c:v>117.29993932447891</c:v>
                </c:pt>
                <c:pt idx="653">
                  <c:v>118.47974111777764</c:v>
                </c:pt>
                <c:pt idx="654">
                  <c:v>119.1202049484255</c:v>
                </c:pt>
                <c:pt idx="655">
                  <c:v>119.18762219375685</c:v>
                </c:pt>
                <c:pt idx="656">
                  <c:v>119.32245668441956</c:v>
                </c:pt>
                <c:pt idx="657">
                  <c:v>119.18762219375685</c:v>
                </c:pt>
                <c:pt idx="658">
                  <c:v>118.24378075911787</c:v>
                </c:pt>
                <c:pt idx="659">
                  <c:v>118.44603249511195</c:v>
                </c:pt>
                <c:pt idx="660">
                  <c:v>118.44603249511196</c:v>
                </c:pt>
                <c:pt idx="661">
                  <c:v>116.28193891997546</c:v>
                </c:pt>
                <c:pt idx="662">
                  <c:v>114.60324951122472</c:v>
                </c:pt>
                <c:pt idx="663">
                  <c:v>116.08642890851453</c:v>
                </c:pt>
                <c:pt idx="664">
                  <c:v>116.49093238050267</c:v>
                </c:pt>
                <c:pt idx="665">
                  <c:v>115.61450819119506</c:v>
                </c:pt>
                <c:pt idx="666">
                  <c:v>116.15991370592572</c:v>
                </c:pt>
                <c:pt idx="667">
                  <c:v>115.27742196453828</c:v>
                </c:pt>
                <c:pt idx="668">
                  <c:v>115.27742196453828</c:v>
                </c:pt>
                <c:pt idx="669">
                  <c:v>114.43470639789632</c:v>
                </c:pt>
                <c:pt idx="670">
                  <c:v>115.513382323198</c:v>
                </c:pt>
                <c:pt idx="671">
                  <c:v>115.6482168138607</c:v>
                </c:pt>
                <c:pt idx="672">
                  <c:v>116.9015034045706</c:v>
                </c:pt>
                <c:pt idx="673">
                  <c:v>119.4572911750823</c:v>
                </c:pt>
                <c:pt idx="674">
                  <c:v>122.69331895098738</c:v>
                </c:pt>
                <c:pt idx="675">
                  <c:v>122.01914649767383</c:v>
                </c:pt>
                <c:pt idx="676">
                  <c:v>121.07530506303486</c:v>
                </c:pt>
                <c:pt idx="677">
                  <c:v>119.82808602440478</c:v>
                </c:pt>
                <c:pt idx="678">
                  <c:v>120.60338434571537</c:v>
                </c:pt>
                <c:pt idx="679">
                  <c:v>121.10901368570053</c:v>
                </c:pt>
                <c:pt idx="680">
                  <c:v>122.89557068698146</c:v>
                </c:pt>
                <c:pt idx="681">
                  <c:v>123.36749140430095</c:v>
                </c:pt>
                <c:pt idx="682">
                  <c:v>123.10388997505534</c:v>
                </c:pt>
                <c:pt idx="683">
                  <c:v>123.36749140430095</c:v>
                </c:pt>
                <c:pt idx="684">
                  <c:v>124.04166385761451</c:v>
                </c:pt>
                <c:pt idx="685">
                  <c:v>123.36749140430095</c:v>
                </c:pt>
                <c:pt idx="686">
                  <c:v>123.36749140430095</c:v>
                </c:pt>
                <c:pt idx="687">
                  <c:v>124.04166385761451</c:v>
                </c:pt>
                <c:pt idx="688">
                  <c:v>122.2213982336679</c:v>
                </c:pt>
                <c:pt idx="689">
                  <c:v>121.07530506303486</c:v>
                </c:pt>
                <c:pt idx="690">
                  <c:v>118.37281736668214</c:v>
                </c:pt>
                <c:pt idx="691">
                  <c:v>117.9758646261711</c:v>
                </c:pt>
                <c:pt idx="692">
                  <c:v>118.98537045776283</c:v>
                </c:pt>
                <c:pt idx="693">
                  <c:v>121.81689476167975</c:v>
                </c:pt>
                <c:pt idx="694">
                  <c:v>122.08656374300517</c:v>
                </c:pt>
                <c:pt idx="695">
                  <c:v>122.69331895098739</c:v>
                </c:pt>
                <c:pt idx="696">
                  <c:v>123.46861727229798</c:v>
                </c:pt>
                <c:pt idx="697">
                  <c:v>120.26629811905859</c:v>
                </c:pt>
                <c:pt idx="698">
                  <c:v>121.34497404436028</c:v>
                </c:pt>
                <c:pt idx="699">
                  <c:v>123.23265691363822</c:v>
                </c:pt>
                <c:pt idx="700">
                  <c:v>123.36749140430095</c:v>
                </c:pt>
                <c:pt idx="701">
                  <c:v>126.23272433088357</c:v>
                </c:pt>
                <c:pt idx="702">
                  <c:v>124.27762421627426</c:v>
                </c:pt>
                <c:pt idx="703">
                  <c:v>124.513584574934</c:v>
                </c:pt>
                <c:pt idx="704">
                  <c:v>123.33378278163526</c:v>
                </c:pt>
                <c:pt idx="705">
                  <c:v>125.1203397829162</c:v>
                </c:pt>
                <c:pt idx="706">
                  <c:v>124.71583631092807</c:v>
                </c:pt>
                <c:pt idx="707">
                  <c:v>124.87426683745676</c:v>
                </c:pt>
                <c:pt idx="708">
                  <c:v>127.17656576552255</c:v>
                </c:pt>
                <c:pt idx="709">
                  <c:v>125.39000876424166</c:v>
                </c:pt>
                <c:pt idx="710">
                  <c:v>129.2327917481289</c:v>
                </c:pt>
                <c:pt idx="711">
                  <c:v>128.96312276680348</c:v>
                </c:pt>
                <c:pt idx="712">
                  <c:v>127.74961235083909</c:v>
                </c:pt>
                <c:pt idx="713">
                  <c:v>128.08669857749587</c:v>
                </c:pt>
                <c:pt idx="714">
                  <c:v>129.70471246544838</c:v>
                </c:pt>
                <c:pt idx="715">
                  <c:v>130.44630216409331</c:v>
                </c:pt>
                <c:pt idx="716">
                  <c:v>130.7833883907501</c:v>
                </c:pt>
                <c:pt idx="717">
                  <c:v>130.24405042809926</c:v>
                </c:pt>
                <c:pt idx="718">
                  <c:v>129.16537450279759</c:v>
                </c:pt>
                <c:pt idx="719">
                  <c:v>128.89570552147217</c:v>
                </c:pt>
                <c:pt idx="720">
                  <c:v>130.38495247084182</c:v>
                </c:pt>
                <c:pt idx="721">
                  <c:v>130.38495247084182</c:v>
                </c:pt>
                <c:pt idx="722">
                  <c:v>130.38495247084182</c:v>
                </c:pt>
                <c:pt idx="723">
                  <c:v>130.38495247084182</c:v>
                </c:pt>
                <c:pt idx="724">
                  <c:v>130.51371940942471</c:v>
                </c:pt>
                <c:pt idx="725">
                  <c:v>129.09795725746625</c:v>
                </c:pt>
                <c:pt idx="726">
                  <c:v>129.43504348412301</c:v>
                </c:pt>
                <c:pt idx="727">
                  <c:v>129.77212971077978</c:v>
                </c:pt>
                <c:pt idx="728">
                  <c:v>131.12047461740687</c:v>
                </c:pt>
                <c:pt idx="729">
                  <c:v>130.99170767882399</c:v>
                </c:pt>
                <c:pt idx="730">
                  <c:v>131.45756084406364</c:v>
                </c:pt>
                <c:pt idx="731">
                  <c:v>130.65462145216719</c:v>
                </c:pt>
                <c:pt idx="732">
                  <c:v>131.28901773073525</c:v>
                </c:pt>
                <c:pt idx="733">
                  <c:v>132.1317332973772</c:v>
                </c:pt>
                <c:pt idx="734">
                  <c:v>132.6097215667765</c:v>
                </c:pt>
                <c:pt idx="735">
                  <c:v>131.86206431605177</c:v>
                </c:pt>
                <c:pt idx="736">
                  <c:v>131.08676599474117</c:v>
                </c:pt>
                <c:pt idx="737">
                  <c:v>132.1317332973772</c:v>
                </c:pt>
                <c:pt idx="738">
                  <c:v>131.59239533472635</c:v>
                </c:pt>
                <c:pt idx="739">
                  <c:v>129.43504348412296</c:v>
                </c:pt>
                <c:pt idx="740">
                  <c:v>132.46881952403396</c:v>
                </c:pt>
                <c:pt idx="741">
                  <c:v>132.80590575069073</c:v>
                </c:pt>
                <c:pt idx="742">
                  <c:v>134.16031820939764</c:v>
                </c:pt>
                <c:pt idx="743">
                  <c:v>134.82842311063138</c:v>
                </c:pt>
                <c:pt idx="744">
                  <c:v>134.49133688397461</c:v>
                </c:pt>
                <c:pt idx="745">
                  <c:v>135.60372143194198</c:v>
                </c:pt>
                <c:pt idx="746">
                  <c:v>135.63743005460765</c:v>
                </c:pt>
                <c:pt idx="747">
                  <c:v>136.58127148924663</c:v>
                </c:pt>
                <c:pt idx="748">
                  <c:v>140.69372345445933</c:v>
                </c:pt>
                <c:pt idx="749">
                  <c:v>140.22180273713985</c:v>
                </c:pt>
                <c:pt idx="750">
                  <c:v>142.2443200970805</c:v>
                </c:pt>
                <c:pt idx="751">
                  <c:v>152.55915863277789</c:v>
                </c:pt>
                <c:pt idx="752">
                  <c:v>145.6151823636483</c:v>
                </c:pt>
                <c:pt idx="753">
                  <c:v>143.59266500370762</c:v>
                </c:pt>
                <c:pt idx="754">
                  <c:v>143.59266500370762</c:v>
                </c:pt>
                <c:pt idx="755">
                  <c:v>141.57014764376694</c:v>
                </c:pt>
                <c:pt idx="756">
                  <c:v>141.57014764376694</c:v>
                </c:pt>
                <c:pt idx="757">
                  <c:v>136.1767680172585</c:v>
                </c:pt>
                <c:pt idx="758">
                  <c:v>135.57001280927631</c:v>
                </c:pt>
                <c:pt idx="759">
                  <c:v>134.82842311063141</c:v>
                </c:pt>
                <c:pt idx="760">
                  <c:v>138.9408750758441</c:v>
                </c:pt>
                <c:pt idx="761">
                  <c:v>142.24432009708053</c:v>
                </c:pt>
                <c:pt idx="762">
                  <c:v>141.57014764376697</c:v>
                </c:pt>
                <c:pt idx="763">
                  <c:v>140.89597519045341</c:v>
                </c:pt>
                <c:pt idx="764">
                  <c:v>139.68246477448901</c:v>
                </c:pt>
                <c:pt idx="765">
                  <c:v>141.03080968111612</c:v>
                </c:pt>
                <c:pt idx="766">
                  <c:v>141.13193554911317</c:v>
                </c:pt>
                <c:pt idx="767">
                  <c:v>139.54763028382629</c:v>
                </c:pt>
                <c:pt idx="768">
                  <c:v>138.87345783051273</c:v>
                </c:pt>
                <c:pt idx="769">
                  <c:v>136.48014562124959</c:v>
                </c:pt>
                <c:pt idx="770">
                  <c:v>134.82842311063138</c:v>
                </c:pt>
                <c:pt idx="771">
                  <c:v>134.83449066271118</c:v>
                </c:pt>
                <c:pt idx="772">
                  <c:v>142.58140632373724</c:v>
                </c:pt>
                <c:pt idx="773">
                  <c:v>148.98604463021601</c:v>
                </c:pt>
                <c:pt idx="774">
                  <c:v>153.03107935009734</c:v>
                </c:pt>
                <c:pt idx="775">
                  <c:v>149.66021708352955</c:v>
                </c:pt>
                <c:pt idx="776">
                  <c:v>148.98604463021599</c:v>
                </c:pt>
                <c:pt idx="777">
                  <c:v>144.94100991033466</c:v>
                </c:pt>
                <c:pt idx="778">
                  <c:v>144.60392368367786</c:v>
                </c:pt>
                <c:pt idx="779">
                  <c:v>140.8959751904533</c:v>
                </c:pt>
                <c:pt idx="780">
                  <c:v>137.8621991505423</c:v>
                </c:pt>
                <c:pt idx="781">
                  <c:v>137.18802669722874</c:v>
                </c:pt>
                <c:pt idx="782">
                  <c:v>138.53637160385583</c:v>
                </c:pt>
                <c:pt idx="783">
                  <c:v>138.47502191060428</c:v>
                </c:pt>
                <c:pt idx="784">
                  <c:v>138.19928537719906</c:v>
                </c:pt>
                <c:pt idx="785">
                  <c:v>138.13793568394752</c:v>
                </c:pt>
                <c:pt idx="786">
                  <c:v>138.19928537719906</c:v>
                </c:pt>
                <c:pt idx="787">
                  <c:v>136.17676801725838</c:v>
                </c:pt>
                <c:pt idx="788">
                  <c:v>134.1542506573177</c:v>
                </c:pt>
                <c:pt idx="789">
                  <c:v>133.81716443066094</c:v>
                </c:pt>
                <c:pt idx="790">
                  <c:v>134.65987999730288</c:v>
                </c:pt>
                <c:pt idx="791">
                  <c:v>131.86206431605163</c:v>
                </c:pt>
                <c:pt idx="792">
                  <c:v>131.28901773073511</c:v>
                </c:pt>
                <c:pt idx="793">
                  <c:v>132.13173329737705</c:v>
                </c:pt>
                <c:pt idx="794">
                  <c:v>133.81716443066094</c:v>
                </c:pt>
                <c:pt idx="795">
                  <c:v>132.80590575069061</c:v>
                </c:pt>
                <c:pt idx="796">
                  <c:v>132.90703161868763</c:v>
                </c:pt>
                <c:pt idx="797">
                  <c:v>134.4913368839745</c:v>
                </c:pt>
                <c:pt idx="798">
                  <c:v>135.77226454527022</c:v>
                </c:pt>
                <c:pt idx="799">
                  <c:v>132.13173329737702</c:v>
                </c:pt>
                <c:pt idx="800">
                  <c:v>130.44630216409314</c:v>
                </c:pt>
                <c:pt idx="801">
                  <c:v>130.78338839074991</c:v>
                </c:pt>
                <c:pt idx="802">
                  <c:v>130.27775905076473</c:v>
                </c:pt>
                <c:pt idx="803">
                  <c:v>130.10921593743635</c:v>
                </c:pt>
                <c:pt idx="804">
                  <c:v>126.73835367086856</c:v>
                </c:pt>
                <c:pt idx="805">
                  <c:v>120.67080159104657</c:v>
                </c:pt>
                <c:pt idx="806">
                  <c:v>122.86186206431562</c:v>
                </c:pt>
                <c:pt idx="807">
                  <c:v>123.36749140430079</c:v>
                </c:pt>
                <c:pt idx="808">
                  <c:v>123.43490864963213</c:v>
                </c:pt>
                <c:pt idx="809">
                  <c:v>120.83934470437497</c:v>
                </c:pt>
                <c:pt idx="810">
                  <c:v>119.5584170430792</c:v>
                </c:pt>
                <c:pt idx="811">
                  <c:v>119.32245668441945</c:v>
                </c:pt>
                <c:pt idx="812">
                  <c:v>118.31119800444912</c:v>
                </c:pt>
                <c:pt idx="813">
                  <c:v>116.76060136182794</c:v>
                </c:pt>
                <c:pt idx="814">
                  <c:v>117.06397896581903</c:v>
                </c:pt>
                <c:pt idx="815">
                  <c:v>118.24378075911775</c:v>
                </c:pt>
                <c:pt idx="816">
                  <c:v>120.50225847771819</c:v>
                </c:pt>
                <c:pt idx="817">
                  <c:v>120.94047057237198</c:v>
                </c:pt>
                <c:pt idx="818">
                  <c:v>121.00788781770335</c:v>
                </c:pt>
                <c:pt idx="819">
                  <c:v>121.88431200701096</c:v>
                </c:pt>
                <c:pt idx="820">
                  <c:v>119.99662913773302</c:v>
                </c:pt>
                <c:pt idx="821">
                  <c:v>121.34497404436013</c:v>
                </c:pt>
                <c:pt idx="822">
                  <c:v>118.14265489112074</c:v>
                </c:pt>
                <c:pt idx="823">
                  <c:v>115.44596507786652</c:v>
                </c:pt>
                <c:pt idx="824">
                  <c:v>117.50219106047285</c:v>
                </c:pt>
                <c:pt idx="825">
                  <c:v>116.28868064450846</c:v>
                </c:pt>
                <c:pt idx="826">
                  <c:v>115.27742196453814</c:v>
                </c:pt>
                <c:pt idx="827">
                  <c:v>112.51331490595254</c:v>
                </c:pt>
                <c:pt idx="828">
                  <c:v>110.22112856468648</c:v>
                </c:pt>
                <c:pt idx="829">
                  <c:v>113.25490460459747</c:v>
                </c:pt>
                <c:pt idx="830">
                  <c:v>114.50212364322753</c:v>
                </c:pt>
                <c:pt idx="831">
                  <c:v>113.929077057911</c:v>
                </c:pt>
                <c:pt idx="832">
                  <c:v>113.08636149126905</c:v>
                </c:pt>
                <c:pt idx="833">
                  <c:v>114.09762017123938</c:v>
                </c:pt>
                <c:pt idx="834">
                  <c:v>113.35603047259445</c:v>
                </c:pt>
                <c:pt idx="835">
                  <c:v>113.92907705791099</c:v>
                </c:pt>
                <c:pt idx="836">
                  <c:v>114.53583226589318</c:v>
                </c:pt>
                <c:pt idx="837">
                  <c:v>111.90655969797032</c:v>
                </c:pt>
                <c:pt idx="838">
                  <c:v>113.92907705791099</c:v>
                </c:pt>
                <c:pt idx="839">
                  <c:v>113.59199083125421</c:v>
                </c:pt>
                <c:pt idx="840">
                  <c:v>113.39135710914807</c:v>
                </c:pt>
                <c:pt idx="841">
                  <c:v>113.92907705791097</c:v>
                </c:pt>
                <c:pt idx="842">
                  <c:v>116.15384615384571</c:v>
                </c:pt>
                <c:pt idx="843">
                  <c:v>115.74934268185757</c:v>
                </c:pt>
                <c:pt idx="844">
                  <c:v>116.15384615384571</c:v>
                </c:pt>
                <c:pt idx="845">
                  <c:v>112.58073215128387</c:v>
                </c:pt>
                <c:pt idx="846">
                  <c:v>112.24364592462709</c:v>
                </c:pt>
                <c:pt idx="847">
                  <c:v>110.9013685700798</c:v>
                </c:pt>
                <c:pt idx="848">
                  <c:v>112.64814939661522</c:v>
                </c:pt>
                <c:pt idx="849">
                  <c:v>111.90655969797031</c:v>
                </c:pt>
                <c:pt idx="850">
                  <c:v>110.79417515000294</c:v>
                </c:pt>
                <c:pt idx="851">
                  <c:v>109.21593743679591</c:v>
                </c:pt>
                <c:pt idx="852">
                  <c:v>109.92381851277516</c:v>
                </c:pt>
                <c:pt idx="853">
                  <c:v>111.91262725005014</c:v>
                </c:pt>
                <c:pt idx="854">
                  <c:v>112.18229623137557</c:v>
                </c:pt>
                <c:pt idx="855">
                  <c:v>111.40699791006499</c:v>
                </c:pt>
                <c:pt idx="856">
                  <c:v>111.44070653273067</c:v>
                </c:pt>
                <c:pt idx="857">
                  <c:v>110.56428234342305</c:v>
                </c:pt>
                <c:pt idx="858">
                  <c:v>110.56428234342303</c:v>
                </c:pt>
                <c:pt idx="859">
                  <c:v>110.56428234342303</c:v>
                </c:pt>
                <c:pt idx="860">
                  <c:v>111.57554102339336</c:v>
                </c:pt>
                <c:pt idx="861">
                  <c:v>109.63392435785032</c:v>
                </c:pt>
                <c:pt idx="862">
                  <c:v>109.89010989010947</c:v>
                </c:pt>
                <c:pt idx="863">
                  <c:v>108.71030809681076</c:v>
                </c:pt>
                <c:pt idx="864">
                  <c:v>111.11710375514014</c:v>
                </c:pt>
                <c:pt idx="865">
                  <c:v>111.23845479673659</c:v>
                </c:pt>
                <c:pt idx="866">
                  <c:v>109.21593743679593</c:v>
                </c:pt>
                <c:pt idx="867">
                  <c:v>107.66534079417474</c:v>
                </c:pt>
                <c:pt idx="868">
                  <c:v>108.37322187015397</c:v>
                </c:pt>
                <c:pt idx="869">
                  <c:v>107.86759253016881</c:v>
                </c:pt>
                <c:pt idx="870">
                  <c:v>109.21593743679591</c:v>
                </c:pt>
                <c:pt idx="871">
                  <c:v>108.87885121013913</c:v>
                </c:pt>
                <c:pt idx="872">
                  <c:v>108.71030809681073</c:v>
                </c:pt>
                <c:pt idx="873">
                  <c:v>107.530506303512</c:v>
                </c:pt>
                <c:pt idx="874">
                  <c:v>107.42938043551496</c:v>
                </c:pt>
                <c:pt idx="875">
                  <c:v>107.19342007685522</c:v>
                </c:pt>
                <c:pt idx="876">
                  <c:v>107.54398975257827</c:v>
                </c:pt>
                <c:pt idx="877">
                  <c:v>108.20467875682556</c:v>
                </c:pt>
                <c:pt idx="878">
                  <c:v>107.69904941684038</c:v>
                </c:pt>
                <c:pt idx="879">
                  <c:v>103.68772331962475</c:v>
                </c:pt>
                <c:pt idx="880">
                  <c:v>104.49673026360101</c:v>
                </c:pt>
                <c:pt idx="881">
                  <c:v>106.85633385019844</c:v>
                </c:pt>
                <c:pt idx="882">
                  <c:v>106.48553900087597</c:v>
                </c:pt>
                <c:pt idx="883">
                  <c:v>106.85633385019842</c:v>
                </c:pt>
                <c:pt idx="884">
                  <c:v>104.1596440369442</c:v>
                </c:pt>
                <c:pt idx="885">
                  <c:v>106.31699588754758</c:v>
                </c:pt>
                <c:pt idx="886">
                  <c:v>106.51924762354166</c:v>
                </c:pt>
                <c:pt idx="887">
                  <c:v>105.81136654756241</c:v>
                </c:pt>
                <c:pt idx="888">
                  <c:v>107.1934200768552</c:v>
                </c:pt>
                <c:pt idx="889">
                  <c:v>107.86759253016876</c:v>
                </c:pt>
                <c:pt idx="890">
                  <c:v>107.4765725072469</c:v>
                </c:pt>
                <c:pt idx="891">
                  <c:v>106.0136182835565</c:v>
                </c:pt>
                <c:pt idx="892">
                  <c:v>105.8450751702281</c:v>
                </c:pt>
                <c:pt idx="893">
                  <c:v>105.8450751702281</c:v>
                </c:pt>
                <c:pt idx="894">
                  <c:v>105.67653205689972</c:v>
                </c:pt>
                <c:pt idx="895">
                  <c:v>105.84507517022811</c:v>
                </c:pt>
                <c:pt idx="896">
                  <c:v>105.84507517022811</c:v>
                </c:pt>
                <c:pt idx="897">
                  <c:v>105.67653205689972</c:v>
                </c:pt>
                <c:pt idx="898">
                  <c:v>105.50798894357132</c:v>
                </c:pt>
                <c:pt idx="899">
                  <c:v>106.18216139688488</c:v>
                </c:pt>
                <c:pt idx="900">
                  <c:v>105.84507517022811</c:v>
                </c:pt>
                <c:pt idx="901">
                  <c:v>105.44057169823998</c:v>
                </c:pt>
                <c:pt idx="902">
                  <c:v>105.8450751702281</c:v>
                </c:pt>
                <c:pt idx="903">
                  <c:v>106.4181217555446</c:v>
                </c:pt>
                <c:pt idx="904">
                  <c:v>106.62037349153867</c:v>
                </c:pt>
                <c:pt idx="905">
                  <c:v>106.18216139688485</c:v>
                </c:pt>
                <c:pt idx="906">
                  <c:v>106.11474415155351</c:v>
                </c:pt>
                <c:pt idx="907">
                  <c:v>105.84507517022809</c:v>
                </c:pt>
                <c:pt idx="908">
                  <c:v>105.38663790197486</c:v>
                </c:pt>
                <c:pt idx="909">
                  <c:v>104.56414750893232</c:v>
                </c:pt>
                <c:pt idx="910">
                  <c:v>105.11696892064943</c:v>
                </c:pt>
                <c:pt idx="911">
                  <c:v>105.30573720757721</c:v>
                </c:pt>
                <c:pt idx="912">
                  <c:v>105.27202858491155</c:v>
                </c:pt>
                <c:pt idx="913">
                  <c:v>105.65630688330026</c:v>
                </c:pt>
                <c:pt idx="914">
                  <c:v>105.23831996224585</c:v>
                </c:pt>
                <c:pt idx="915">
                  <c:v>106.12822760061974</c:v>
                </c:pt>
                <c:pt idx="916">
                  <c:v>105.44057169823994</c:v>
                </c:pt>
                <c:pt idx="917">
                  <c:v>105.84507517022806</c:v>
                </c:pt>
                <c:pt idx="918">
                  <c:v>105.71024067956535</c:v>
                </c:pt>
                <c:pt idx="919">
                  <c:v>106.85633385019838</c:v>
                </c:pt>
                <c:pt idx="920">
                  <c:v>107.07206903525871</c:v>
                </c:pt>
                <c:pt idx="921">
                  <c:v>109.68785815411529</c:v>
                </c:pt>
                <c:pt idx="922">
                  <c:v>109.35077192745851</c:v>
                </c:pt>
                <c:pt idx="923">
                  <c:v>109.22942088586208</c:v>
                </c:pt>
                <c:pt idx="924">
                  <c:v>109.35077192745851</c:v>
                </c:pt>
                <c:pt idx="925">
                  <c:v>107.86759253016869</c:v>
                </c:pt>
                <c:pt idx="926">
                  <c:v>107.63163217150895</c:v>
                </c:pt>
                <c:pt idx="927">
                  <c:v>107.86759253016869</c:v>
                </c:pt>
                <c:pt idx="928">
                  <c:v>107.86759253016869</c:v>
                </c:pt>
                <c:pt idx="929">
                  <c:v>106.85633385019837</c:v>
                </c:pt>
                <c:pt idx="930">
                  <c:v>107.86759253016871</c:v>
                </c:pt>
                <c:pt idx="931">
                  <c:v>107.19342007685516</c:v>
                </c:pt>
                <c:pt idx="932">
                  <c:v>107.12600283152381</c:v>
                </c:pt>
                <c:pt idx="933">
                  <c:v>107.12600283152381</c:v>
                </c:pt>
                <c:pt idx="934">
                  <c:v>107.53050630351194</c:v>
                </c:pt>
                <c:pt idx="935">
                  <c:v>108.06984426616278</c:v>
                </c:pt>
                <c:pt idx="936">
                  <c:v>108.21816220589176</c:v>
                </c:pt>
                <c:pt idx="937">
                  <c:v>108.91255983280472</c:v>
                </c:pt>
                <c:pt idx="938">
                  <c:v>108.54176498348225</c:v>
                </c:pt>
                <c:pt idx="939">
                  <c:v>108.64289085147929</c:v>
                </c:pt>
                <c:pt idx="940">
                  <c:v>108.60918222881361</c:v>
                </c:pt>
                <c:pt idx="941">
                  <c:v>108.81143396480769</c:v>
                </c:pt>
                <c:pt idx="942">
                  <c:v>108.54176498348227</c:v>
                </c:pt>
                <c:pt idx="943">
                  <c:v>108.3395132474882</c:v>
                </c:pt>
                <c:pt idx="944">
                  <c:v>108.28557945122313</c:v>
                </c:pt>
                <c:pt idx="945">
                  <c:v>107.73275803950602</c:v>
                </c:pt>
                <c:pt idx="946">
                  <c:v>108.64289085147931</c:v>
                </c:pt>
                <c:pt idx="947">
                  <c:v>108.60918222881361</c:v>
                </c:pt>
                <c:pt idx="948">
                  <c:v>109.21593743679581</c:v>
                </c:pt>
                <c:pt idx="949">
                  <c:v>109.62044090878395</c:v>
                </c:pt>
                <c:pt idx="950">
                  <c:v>109.55302366345261</c:v>
                </c:pt>
                <c:pt idx="951">
                  <c:v>111.20474617407079</c:v>
                </c:pt>
                <c:pt idx="952">
                  <c:v>112.85646868468901</c:v>
                </c:pt>
                <c:pt idx="953">
                  <c:v>113.9351446099907</c:v>
                </c:pt>
                <c:pt idx="954">
                  <c:v>113.9351446099907</c:v>
                </c:pt>
                <c:pt idx="955">
                  <c:v>113.26097215667716</c:v>
                </c:pt>
              </c:numCache>
            </c:numRef>
          </c:val>
          <c:smooth val="0"/>
          <c:extLst>
            <c:ext xmlns:c16="http://schemas.microsoft.com/office/drawing/2014/chart" uri="{C3380CC4-5D6E-409C-BE32-E72D297353CC}">
              <c16:uniqueId val="{00000002-DDB5-4BA8-A66B-FD490C18AA1A}"/>
            </c:ext>
          </c:extLst>
        </c:ser>
        <c:ser>
          <c:idx val="3"/>
          <c:order val="3"/>
          <c:tx>
            <c:strRef>
              <c:f>Sheet1!$E$1</c:f>
              <c:strCache>
                <c:ptCount val="1"/>
                <c:pt idx="0">
                  <c:v>Դոլարի ինդեքս</c:v>
                </c:pt>
              </c:strCache>
            </c:strRef>
          </c:tx>
          <c:spPr>
            <a:ln w="19050">
              <a:solidFill>
                <a:srgbClr val="ED7D31">
                  <a:lumMod val="60000"/>
                  <a:lumOff val="40000"/>
                </a:srgbClr>
              </a:solidFill>
            </a:ln>
          </c:spPr>
          <c:marker>
            <c:symbol val="none"/>
          </c:marker>
          <c:cat>
            <c:numRef>
              <c:f>Sheet1!$A$2:$A$1223</c:f>
              <c:numCache>
                <c:formatCode>dd\/mm\/yy</c:formatCode>
                <c:ptCount val="1222"/>
                <c:pt idx="0">
                  <c:v>44564</c:v>
                </c:pt>
                <c:pt idx="1">
                  <c:v>44565</c:v>
                </c:pt>
                <c:pt idx="2">
                  <c:v>44566</c:v>
                </c:pt>
                <c:pt idx="3">
                  <c:v>44567</c:v>
                </c:pt>
                <c:pt idx="4">
                  <c:v>44568</c:v>
                </c:pt>
                <c:pt idx="5">
                  <c:v>44571</c:v>
                </c:pt>
                <c:pt idx="6">
                  <c:v>44572</c:v>
                </c:pt>
                <c:pt idx="7">
                  <c:v>44573</c:v>
                </c:pt>
                <c:pt idx="8">
                  <c:v>44574</c:v>
                </c:pt>
                <c:pt idx="9">
                  <c:v>44575</c:v>
                </c:pt>
                <c:pt idx="10">
                  <c:v>44578</c:v>
                </c:pt>
                <c:pt idx="11">
                  <c:v>44579</c:v>
                </c:pt>
                <c:pt idx="12">
                  <c:v>44580</c:v>
                </c:pt>
                <c:pt idx="13">
                  <c:v>44581</c:v>
                </c:pt>
                <c:pt idx="14">
                  <c:v>44582</c:v>
                </c:pt>
                <c:pt idx="15">
                  <c:v>44585</c:v>
                </c:pt>
                <c:pt idx="16">
                  <c:v>44586</c:v>
                </c:pt>
                <c:pt idx="17">
                  <c:v>44587</c:v>
                </c:pt>
                <c:pt idx="18">
                  <c:v>44588</c:v>
                </c:pt>
                <c:pt idx="19">
                  <c:v>44589</c:v>
                </c:pt>
                <c:pt idx="20">
                  <c:v>44592</c:v>
                </c:pt>
                <c:pt idx="21">
                  <c:v>44593</c:v>
                </c:pt>
                <c:pt idx="22">
                  <c:v>44594</c:v>
                </c:pt>
                <c:pt idx="23">
                  <c:v>44595</c:v>
                </c:pt>
                <c:pt idx="24">
                  <c:v>44596</c:v>
                </c:pt>
                <c:pt idx="25">
                  <c:v>44599</c:v>
                </c:pt>
                <c:pt idx="26">
                  <c:v>44600</c:v>
                </c:pt>
                <c:pt idx="27">
                  <c:v>44601</c:v>
                </c:pt>
                <c:pt idx="28">
                  <c:v>44602</c:v>
                </c:pt>
                <c:pt idx="29">
                  <c:v>44603</c:v>
                </c:pt>
                <c:pt idx="30">
                  <c:v>44606</c:v>
                </c:pt>
                <c:pt idx="31">
                  <c:v>44607</c:v>
                </c:pt>
                <c:pt idx="32">
                  <c:v>44608</c:v>
                </c:pt>
                <c:pt idx="33">
                  <c:v>44609</c:v>
                </c:pt>
                <c:pt idx="34">
                  <c:v>44610</c:v>
                </c:pt>
                <c:pt idx="35">
                  <c:v>44613</c:v>
                </c:pt>
                <c:pt idx="36">
                  <c:v>44614</c:v>
                </c:pt>
                <c:pt idx="37">
                  <c:v>44615</c:v>
                </c:pt>
                <c:pt idx="38">
                  <c:v>44616</c:v>
                </c:pt>
                <c:pt idx="39">
                  <c:v>44617</c:v>
                </c:pt>
                <c:pt idx="40">
                  <c:v>44620</c:v>
                </c:pt>
                <c:pt idx="41">
                  <c:v>44621</c:v>
                </c:pt>
                <c:pt idx="42">
                  <c:v>44622</c:v>
                </c:pt>
                <c:pt idx="43">
                  <c:v>44623</c:v>
                </c:pt>
                <c:pt idx="44">
                  <c:v>44624</c:v>
                </c:pt>
                <c:pt idx="45">
                  <c:v>44627</c:v>
                </c:pt>
                <c:pt idx="46">
                  <c:v>44628</c:v>
                </c:pt>
                <c:pt idx="47">
                  <c:v>44629</c:v>
                </c:pt>
                <c:pt idx="48">
                  <c:v>44630</c:v>
                </c:pt>
                <c:pt idx="49">
                  <c:v>44631</c:v>
                </c:pt>
                <c:pt idx="50">
                  <c:v>44634</c:v>
                </c:pt>
                <c:pt idx="51">
                  <c:v>44635</c:v>
                </c:pt>
                <c:pt idx="52">
                  <c:v>44636</c:v>
                </c:pt>
                <c:pt idx="53">
                  <c:v>44637</c:v>
                </c:pt>
                <c:pt idx="54">
                  <c:v>44638</c:v>
                </c:pt>
                <c:pt idx="55">
                  <c:v>44641</c:v>
                </c:pt>
                <c:pt idx="56">
                  <c:v>44642</c:v>
                </c:pt>
                <c:pt idx="57">
                  <c:v>44643</c:v>
                </c:pt>
                <c:pt idx="58">
                  <c:v>44644</c:v>
                </c:pt>
                <c:pt idx="59">
                  <c:v>44645</c:v>
                </c:pt>
                <c:pt idx="60">
                  <c:v>44648</c:v>
                </c:pt>
                <c:pt idx="61">
                  <c:v>44649</c:v>
                </c:pt>
                <c:pt idx="62">
                  <c:v>44650</c:v>
                </c:pt>
                <c:pt idx="63">
                  <c:v>44651</c:v>
                </c:pt>
                <c:pt idx="64">
                  <c:v>44652</c:v>
                </c:pt>
                <c:pt idx="65">
                  <c:v>44655</c:v>
                </c:pt>
                <c:pt idx="66">
                  <c:v>44656</c:v>
                </c:pt>
                <c:pt idx="67">
                  <c:v>44657</c:v>
                </c:pt>
                <c:pt idx="68">
                  <c:v>44658</c:v>
                </c:pt>
                <c:pt idx="69">
                  <c:v>44659</c:v>
                </c:pt>
                <c:pt idx="70">
                  <c:v>44662</c:v>
                </c:pt>
                <c:pt idx="71">
                  <c:v>44663</c:v>
                </c:pt>
                <c:pt idx="72">
                  <c:v>44664</c:v>
                </c:pt>
                <c:pt idx="73">
                  <c:v>44665</c:v>
                </c:pt>
                <c:pt idx="74">
                  <c:v>44669</c:v>
                </c:pt>
                <c:pt idx="75">
                  <c:v>44670</c:v>
                </c:pt>
                <c:pt idx="76">
                  <c:v>44671</c:v>
                </c:pt>
                <c:pt idx="77">
                  <c:v>44672</c:v>
                </c:pt>
                <c:pt idx="78">
                  <c:v>44673</c:v>
                </c:pt>
                <c:pt idx="79">
                  <c:v>44676</c:v>
                </c:pt>
                <c:pt idx="80">
                  <c:v>44677</c:v>
                </c:pt>
                <c:pt idx="81">
                  <c:v>44678</c:v>
                </c:pt>
                <c:pt idx="82">
                  <c:v>44679</c:v>
                </c:pt>
                <c:pt idx="83">
                  <c:v>44680</c:v>
                </c:pt>
                <c:pt idx="84">
                  <c:v>44683</c:v>
                </c:pt>
                <c:pt idx="85">
                  <c:v>44684</c:v>
                </c:pt>
                <c:pt idx="86">
                  <c:v>44685</c:v>
                </c:pt>
                <c:pt idx="87">
                  <c:v>44686</c:v>
                </c:pt>
                <c:pt idx="88">
                  <c:v>44687</c:v>
                </c:pt>
                <c:pt idx="89">
                  <c:v>44690</c:v>
                </c:pt>
                <c:pt idx="90">
                  <c:v>44691</c:v>
                </c:pt>
                <c:pt idx="91">
                  <c:v>44692</c:v>
                </c:pt>
                <c:pt idx="92">
                  <c:v>44693</c:v>
                </c:pt>
                <c:pt idx="93">
                  <c:v>44694</c:v>
                </c:pt>
                <c:pt idx="94">
                  <c:v>44697</c:v>
                </c:pt>
                <c:pt idx="95">
                  <c:v>44698</c:v>
                </c:pt>
                <c:pt idx="96">
                  <c:v>44699</c:v>
                </c:pt>
                <c:pt idx="97">
                  <c:v>44700</c:v>
                </c:pt>
                <c:pt idx="98">
                  <c:v>44701</c:v>
                </c:pt>
                <c:pt idx="99">
                  <c:v>44704</c:v>
                </c:pt>
                <c:pt idx="100">
                  <c:v>44705</c:v>
                </c:pt>
                <c:pt idx="101">
                  <c:v>44706</c:v>
                </c:pt>
                <c:pt idx="102">
                  <c:v>44707</c:v>
                </c:pt>
                <c:pt idx="103">
                  <c:v>44708</c:v>
                </c:pt>
                <c:pt idx="104">
                  <c:v>44711</c:v>
                </c:pt>
                <c:pt idx="105">
                  <c:v>44712</c:v>
                </c:pt>
                <c:pt idx="106">
                  <c:v>44713</c:v>
                </c:pt>
                <c:pt idx="107">
                  <c:v>44714</c:v>
                </c:pt>
                <c:pt idx="108">
                  <c:v>44715</c:v>
                </c:pt>
                <c:pt idx="109">
                  <c:v>44718</c:v>
                </c:pt>
                <c:pt idx="110">
                  <c:v>44719</c:v>
                </c:pt>
                <c:pt idx="111">
                  <c:v>44720</c:v>
                </c:pt>
                <c:pt idx="112">
                  <c:v>44721</c:v>
                </c:pt>
                <c:pt idx="113">
                  <c:v>44722</c:v>
                </c:pt>
                <c:pt idx="114">
                  <c:v>44725</c:v>
                </c:pt>
                <c:pt idx="115">
                  <c:v>44726</c:v>
                </c:pt>
                <c:pt idx="116">
                  <c:v>44727</c:v>
                </c:pt>
                <c:pt idx="117">
                  <c:v>44728</c:v>
                </c:pt>
                <c:pt idx="118">
                  <c:v>44729</c:v>
                </c:pt>
                <c:pt idx="119">
                  <c:v>44732</c:v>
                </c:pt>
                <c:pt idx="120">
                  <c:v>44733</c:v>
                </c:pt>
                <c:pt idx="121">
                  <c:v>44734</c:v>
                </c:pt>
                <c:pt idx="122">
                  <c:v>44735</c:v>
                </c:pt>
                <c:pt idx="123">
                  <c:v>44736</c:v>
                </c:pt>
                <c:pt idx="124">
                  <c:v>44739</c:v>
                </c:pt>
                <c:pt idx="125">
                  <c:v>44740</c:v>
                </c:pt>
                <c:pt idx="126">
                  <c:v>44741</c:v>
                </c:pt>
                <c:pt idx="127">
                  <c:v>44742</c:v>
                </c:pt>
                <c:pt idx="128">
                  <c:v>44743</c:v>
                </c:pt>
                <c:pt idx="129">
                  <c:v>44746</c:v>
                </c:pt>
                <c:pt idx="130">
                  <c:v>44747</c:v>
                </c:pt>
                <c:pt idx="131">
                  <c:v>44748</c:v>
                </c:pt>
                <c:pt idx="132">
                  <c:v>44749</c:v>
                </c:pt>
                <c:pt idx="133">
                  <c:v>44750</c:v>
                </c:pt>
                <c:pt idx="134">
                  <c:v>44753</c:v>
                </c:pt>
                <c:pt idx="135">
                  <c:v>44754</c:v>
                </c:pt>
                <c:pt idx="136">
                  <c:v>44755</c:v>
                </c:pt>
                <c:pt idx="137">
                  <c:v>44756</c:v>
                </c:pt>
                <c:pt idx="138">
                  <c:v>44757</c:v>
                </c:pt>
                <c:pt idx="139">
                  <c:v>44760</c:v>
                </c:pt>
                <c:pt idx="140">
                  <c:v>44761</c:v>
                </c:pt>
                <c:pt idx="141">
                  <c:v>44762</c:v>
                </c:pt>
                <c:pt idx="142">
                  <c:v>44763</c:v>
                </c:pt>
                <c:pt idx="143">
                  <c:v>44764</c:v>
                </c:pt>
                <c:pt idx="144">
                  <c:v>44767</c:v>
                </c:pt>
                <c:pt idx="145">
                  <c:v>44768</c:v>
                </c:pt>
                <c:pt idx="146">
                  <c:v>44769</c:v>
                </c:pt>
                <c:pt idx="147">
                  <c:v>44770</c:v>
                </c:pt>
                <c:pt idx="148">
                  <c:v>44771</c:v>
                </c:pt>
                <c:pt idx="149">
                  <c:v>44774</c:v>
                </c:pt>
                <c:pt idx="150">
                  <c:v>44775</c:v>
                </c:pt>
                <c:pt idx="151">
                  <c:v>44776</c:v>
                </c:pt>
                <c:pt idx="152">
                  <c:v>44777</c:v>
                </c:pt>
                <c:pt idx="153">
                  <c:v>44778</c:v>
                </c:pt>
                <c:pt idx="154">
                  <c:v>44781</c:v>
                </c:pt>
                <c:pt idx="155">
                  <c:v>44782</c:v>
                </c:pt>
                <c:pt idx="156">
                  <c:v>44783</c:v>
                </c:pt>
                <c:pt idx="157">
                  <c:v>44784</c:v>
                </c:pt>
                <c:pt idx="158">
                  <c:v>44785</c:v>
                </c:pt>
                <c:pt idx="159">
                  <c:v>44788</c:v>
                </c:pt>
                <c:pt idx="160">
                  <c:v>44789</c:v>
                </c:pt>
                <c:pt idx="161">
                  <c:v>44790</c:v>
                </c:pt>
                <c:pt idx="162">
                  <c:v>44791</c:v>
                </c:pt>
                <c:pt idx="163">
                  <c:v>44792</c:v>
                </c:pt>
                <c:pt idx="164">
                  <c:v>44795</c:v>
                </c:pt>
                <c:pt idx="165">
                  <c:v>44796</c:v>
                </c:pt>
                <c:pt idx="166">
                  <c:v>44797</c:v>
                </c:pt>
                <c:pt idx="167">
                  <c:v>44798</c:v>
                </c:pt>
                <c:pt idx="168">
                  <c:v>44799</c:v>
                </c:pt>
                <c:pt idx="169">
                  <c:v>44802</c:v>
                </c:pt>
                <c:pt idx="170">
                  <c:v>44803</c:v>
                </c:pt>
                <c:pt idx="171">
                  <c:v>44804</c:v>
                </c:pt>
                <c:pt idx="172">
                  <c:v>44805</c:v>
                </c:pt>
                <c:pt idx="173">
                  <c:v>44806</c:v>
                </c:pt>
                <c:pt idx="174">
                  <c:v>44809</c:v>
                </c:pt>
                <c:pt idx="175">
                  <c:v>44810</c:v>
                </c:pt>
                <c:pt idx="176">
                  <c:v>44811</c:v>
                </c:pt>
                <c:pt idx="177">
                  <c:v>44812</c:v>
                </c:pt>
                <c:pt idx="178">
                  <c:v>44813</c:v>
                </c:pt>
                <c:pt idx="179">
                  <c:v>44816</c:v>
                </c:pt>
                <c:pt idx="180">
                  <c:v>44817</c:v>
                </c:pt>
                <c:pt idx="181">
                  <c:v>44818</c:v>
                </c:pt>
                <c:pt idx="182">
                  <c:v>44819</c:v>
                </c:pt>
                <c:pt idx="183">
                  <c:v>44820</c:v>
                </c:pt>
                <c:pt idx="184">
                  <c:v>44823</c:v>
                </c:pt>
                <c:pt idx="185">
                  <c:v>44824</c:v>
                </c:pt>
                <c:pt idx="186">
                  <c:v>44825</c:v>
                </c:pt>
                <c:pt idx="187">
                  <c:v>44826</c:v>
                </c:pt>
                <c:pt idx="188">
                  <c:v>44827</c:v>
                </c:pt>
                <c:pt idx="189">
                  <c:v>44830</c:v>
                </c:pt>
                <c:pt idx="190">
                  <c:v>44831</c:v>
                </c:pt>
                <c:pt idx="191">
                  <c:v>44832</c:v>
                </c:pt>
                <c:pt idx="192">
                  <c:v>44833</c:v>
                </c:pt>
                <c:pt idx="193">
                  <c:v>44834</c:v>
                </c:pt>
                <c:pt idx="194">
                  <c:v>44837</c:v>
                </c:pt>
                <c:pt idx="195">
                  <c:v>44838</c:v>
                </c:pt>
                <c:pt idx="196">
                  <c:v>44839</c:v>
                </c:pt>
                <c:pt idx="197">
                  <c:v>44840</c:v>
                </c:pt>
                <c:pt idx="198">
                  <c:v>44841</c:v>
                </c:pt>
                <c:pt idx="199">
                  <c:v>44844</c:v>
                </c:pt>
                <c:pt idx="200">
                  <c:v>44845</c:v>
                </c:pt>
                <c:pt idx="201">
                  <c:v>44846</c:v>
                </c:pt>
                <c:pt idx="202">
                  <c:v>44847</c:v>
                </c:pt>
                <c:pt idx="203">
                  <c:v>44848</c:v>
                </c:pt>
                <c:pt idx="204">
                  <c:v>44851</c:v>
                </c:pt>
                <c:pt idx="205">
                  <c:v>44852</c:v>
                </c:pt>
                <c:pt idx="206">
                  <c:v>44853</c:v>
                </c:pt>
                <c:pt idx="207">
                  <c:v>44854</c:v>
                </c:pt>
                <c:pt idx="208">
                  <c:v>44855</c:v>
                </c:pt>
                <c:pt idx="209">
                  <c:v>44858</c:v>
                </c:pt>
                <c:pt idx="210">
                  <c:v>44859</c:v>
                </c:pt>
                <c:pt idx="211">
                  <c:v>44860</c:v>
                </c:pt>
                <c:pt idx="212">
                  <c:v>44861</c:v>
                </c:pt>
                <c:pt idx="213">
                  <c:v>44862</c:v>
                </c:pt>
                <c:pt idx="214">
                  <c:v>44865</c:v>
                </c:pt>
                <c:pt idx="215">
                  <c:v>44866</c:v>
                </c:pt>
                <c:pt idx="216">
                  <c:v>44867</c:v>
                </c:pt>
                <c:pt idx="217">
                  <c:v>44868</c:v>
                </c:pt>
                <c:pt idx="218">
                  <c:v>44869</c:v>
                </c:pt>
                <c:pt idx="219">
                  <c:v>44872</c:v>
                </c:pt>
                <c:pt idx="220">
                  <c:v>44873</c:v>
                </c:pt>
                <c:pt idx="221">
                  <c:v>44874</c:v>
                </c:pt>
                <c:pt idx="222">
                  <c:v>44875</c:v>
                </c:pt>
                <c:pt idx="223">
                  <c:v>44876</c:v>
                </c:pt>
                <c:pt idx="224">
                  <c:v>44879</c:v>
                </c:pt>
                <c:pt idx="225">
                  <c:v>44880</c:v>
                </c:pt>
                <c:pt idx="226">
                  <c:v>44881</c:v>
                </c:pt>
                <c:pt idx="227">
                  <c:v>44882</c:v>
                </c:pt>
                <c:pt idx="228">
                  <c:v>44883</c:v>
                </c:pt>
                <c:pt idx="229">
                  <c:v>44886</c:v>
                </c:pt>
                <c:pt idx="230">
                  <c:v>44887</c:v>
                </c:pt>
                <c:pt idx="231">
                  <c:v>44888</c:v>
                </c:pt>
                <c:pt idx="232">
                  <c:v>44889</c:v>
                </c:pt>
                <c:pt idx="233">
                  <c:v>44890</c:v>
                </c:pt>
                <c:pt idx="234">
                  <c:v>44893</c:v>
                </c:pt>
                <c:pt idx="235">
                  <c:v>44894</c:v>
                </c:pt>
                <c:pt idx="236">
                  <c:v>44895</c:v>
                </c:pt>
                <c:pt idx="237">
                  <c:v>44896</c:v>
                </c:pt>
                <c:pt idx="238">
                  <c:v>44897</c:v>
                </c:pt>
                <c:pt idx="239">
                  <c:v>44900</c:v>
                </c:pt>
                <c:pt idx="240">
                  <c:v>44901</c:v>
                </c:pt>
                <c:pt idx="241">
                  <c:v>44902</c:v>
                </c:pt>
                <c:pt idx="242">
                  <c:v>44903</c:v>
                </c:pt>
                <c:pt idx="243">
                  <c:v>44904</c:v>
                </c:pt>
                <c:pt idx="244">
                  <c:v>44907</c:v>
                </c:pt>
                <c:pt idx="245">
                  <c:v>44908</c:v>
                </c:pt>
                <c:pt idx="246">
                  <c:v>44909</c:v>
                </c:pt>
                <c:pt idx="247">
                  <c:v>44910</c:v>
                </c:pt>
                <c:pt idx="248">
                  <c:v>44911</c:v>
                </c:pt>
                <c:pt idx="249">
                  <c:v>44914</c:v>
                </c:pt>
                <c:pt idx="250">
                  <c:v>44915</c:v>
                </c:pt>
                <c:pt idx="251">
                  <c:v>44916</c:v>
                </c:pt>
                <c:pt idx="252">
                  <c:v>44917</c:v>
                </c:pt>
                <c:pt idx="253">
                  <c:v>44918</c:v>
                </c:pt>
                <c:pt idx="254">
                  <c:v>44922</c:v>
                </c:pt>
                <c:pt idx="255">
                  <c:v>44923</c:v>
                </c:pt>
                <c:pt idx="256">
                  <c:v>44924</c:v>
                </c:pt>
                <c:pt idx="257">
                  <c:v>44925</c:v>
                </c:pt>
                <c:pt idx="258">
                  <c:v>44929</c:v>
                </c:pt>
                <c:pt idx="259">
                  <c:v>44930</c:v>
                </c:pt>
                <c:pt idx="260">
                  <c:v>44931</c:v>
                </c:pt>
                <c:pt idx="261">
                  <c:v>44932</c:v>
                </c:pt>
                <c:pt idx="262">
                  <c:v>44935</c:v>
                </c:pt>
                <c:pt idx="263">
                  <c:v>44936</c:v>
                </c:pt>
                <c:pt idx="264">
                  <c:v>44937</c:v>
                </c:pt>
                <c:pt idx="265">
                  <c:v>44938</c:v>
                </c:pt>
                <c:pt idx="266">
                  <c:v>44939</c:v>
                </c:pt>
                <c:pt idx="267">
                  <c:v>44942</c:v>
                </c:pt>
                <c:pt idx="268">
                  <c:v>44943</c:v>
                </c:pt>
                <c:pt idx="269">
                  <c:v>44944</c:v>
                </c:pt>
                <c:pt idx="270">
                  <c:v>44945</c:v>
                </c:pt>
                <c:pt idx="271">
                  <c:v>44946</c:v>
                </c:pt>
                <c:pt idx="272">
                  <c:v>44949</c:v>
                </c:pt>
                <c:pt idx="273">
                  <c:v>44950</c:v>
                </c:pt>
                <c:pt idx="274">
                  <c:v>44951</c:v>
                </c:pt>
                <c:pt idx="275">
                  <c:v>44952</c:v>
                </c:pt>
                <c:pt idx="276">
                  <c:v>44953</c:v>
                </c:pt>
                <c:pt idx="277">
                  <c:v>44956</c:v>
                </c:pt>
                <c:pt idx="278">
                  <c:v>44957</c:v>
                </c:pt>
                <c:pt idx="279">
                  <c:v>44958</c:v>
                </c:pt>
                <c:pt idx="280">
                  <c:v>44959</c:v>
                </c:pt>
                <c:pt idx="281">
                  <c:v>44960</c:v>
                </c:pt>
                <c:pt idx="282">
                  <c:v>44963</c:v>
                </c:pt>
                <c:pt idx="283">
                  <c:v>44964</c:v>
                </c:pt>
                <c:pt idx="284">
                  <c:v>44965</c:v>
                </c:pt>
                <c:pt idx="285">
                  <c:v>44966</c:v>
                </c:pt>
                <c:pt idx="286">
                  <c:v>44967</c:v>
                </c:pt>
                <c:pt idx="287">
                  <c:v>44970</c:v>
                </c:pt>
                <c:pt idx="288">
                  <c:v>44971</c:v>
                </c:pt>
                <c:pt idx="289">
                  <c:v>44972</c:v>
                </c:pt>
                <c:pt idx="290">
                  <c:v>44973</c:v>
                </c:pt>
                <c:pt idx="291">
                  <c:v>44974</c:v>
                </c:pt>
                <c:pt idx="292">
                  <c:v>44977</c:v>
                </c:pt>
                <c:pt idx="293">
                  <c:v>44978</c:v>
                </c:pt>
                <c:pt idx="294">
                  <c:v>44979</c:v>
                </c:pt>
                <c:pt idx="295">
                  <c:v>44980</c:v>
                </c:pt>
                <c:pt idx="296">
                  <c:v>44981</c:v>
                </c:pt>
                <c:pt idx="297">
                  <c:v>44984</c:v>
                </c:pt>
                <c:pt idx="298">
                  <c:v>44985</c:v>
                </c:pt>
                <c:pt idx="299">
                  <c:v>44986</c:v>
                </c:pt>
                <c:pt idx="300">
                  <c:v>44987</c:v>
                </c:pt>
                <c:pt idx="301">
                  <c:v>44988</c:v>
                </c:pt>
                <c:pt idx="302">
                  <c:v>44991</c:v>
                </c:pt>
                <c:pt idx="303">
                  <c:v>44992</c:v>
                </c:pt>
                <c:pt idx="304">
                  <c:v>44993</c:v>
                </c:pt>
                <c:pt idx="305">
                  <c:v>44994</c:v>
                </c:pt>
                <c:pt idx="306">
                  <c:v>44995</c:v>
                </c:pt>
                <c:pt idx="307">
                  <c:v>44998</c:v>
                </c:pt>
                <c:pt idx="308">
                  <c:v>44999</c:v>
                </c:pt>
                <c:pt idx="309">
                  <c:v>45000</c:v>
                </c:pt>
                <c:pt idx="310">
                  <c:v>45001</c:v>
                </c:pt>
                <c:pt idx="311">
                  <c:v>45002</c:v>
                </c:pt>
                <c:pt idx="312">
                  <c:v>45005</c:v>
                </c:pt>
                <c:pt idx="313">
                  <c:v>45006</c:v>
                </c:pt>
                <c:pt idx="314">
                  <c:v>45007</c:v>
                </c:pt>
                <c:pt idx="315">
                  <c:v>45008</c:v>
                </c:pt>
                <c:pt idx="316">
                  <c:v>45009</c:v>
                </c:pt>
                <c:pt idx="317">
                  <c:v>45012</c:v>
                </c:pt>
                <c:pt idx="318">
                  <c:v>45013</c:v>
                </c:pt>
                <c:pt idx="319">
                  <c:v>45014</c:v>
                </c:pt>
                <c:pt idx="320">
                  <c:v>45015</c:v>
                </c:pt>
                <c:pt idx="321">
                  <c:v>45016</c:v>
                </c:pt>
                <c:pt idx="322">
                  <c:v>45019</c:v>
                </c:pt>
                <c:pt idx="323">
                  <c:v>45020</c:v>
                </c:pt>
                <c:pt idx="324">
                  <c:v>45021</c:v>
                </c:pt>
                <c:pt idx="325">
                  <c:v>45022</c:v>
                </c:pt>
                <c:pt idx="326">
                  <c:v>45023</c:v>
                </c:pt>
                <c:pt idx="327">
                  <c:v>45026</c:v>
                </c:pt>
                <c:pt idx="328">
                  <c:v>45027</c:v>
                </c:pt>
                <c:pt idx="329">
                  <c:v>45028</c:v>
                </c:pt>
                <c:pt idx="330">
                  <c:v>45029</c:v>
                </c:pt>
                <c:pt idx="331">
                  <c:v>45030</c:v>
                </c:pt>
                <c:pt idx="332">
                  <c:v>45033</c:v>
                </c:pt>
                <c:pt idx="333">
                  <c:v>45034</c:v>
                </c:pt>
                <c:pt idx="334">
                  <c:v>45035</c:v>
                </c:pt>
                <c:pt idx="335">
                  <c:v>45036</c:v>
                </c:pt>
                <c:pt idx="336">
                  <c:v>45037</c:v>
                </c:pt>
                <c:pt idx="337">
                  <c:v>45040</c:v>
                </c:pt>
                <c:pt idx="338">
                  <c:v>45041</c:v>
                </c:pt>
                <c:pt idx="339">
                  <c:v>45042</c:v>
                </c:pt>
                <c:pt idx="340">
                  <c:v>45043</c:v>
                </c:pt>
                <c:pt idx="341">
                  <c:v>45044</c:v>
                </c:pt>
                <c:pt idx="342">
                  <c:v>45047</c:v>
                </c:pt>
                <c:pt idx="343">
                  <c:v>45048</c:v>
                </c:pt>
                <c:pt idx="344">
                  <c:v>45049</c:v>
                </c:pt>
                <c:pt idx="345">
                  <c:v>45050</c:v>
                </c:pt>
                <c:pt idx="346">
                  <c:v>45051</c:v>
                </c:pt>
                <c:pt idx="347">
                  <c:v>45054</c:v>
                </c:pt>
                <c:pt idx="348">
                  <c:v>45055</c:v>
                </c:pt>
                <c:pt idx="349">
                  <c:v>45056</c:v>
                </c:pt>
                <c:pt idx="350">
                  <c:v>45057</c:v>
                </c:pt>
                <c:pt idx="351">
                  <c:v>45058</c:v>
                </c:pt>
                <c:pt idx="352">
                  <c:v>45061</c:v>
                </c:pt>
                <c:pt idx="353">
                  <c:v>45062</c:v>
                </c:pt>
                <c:pt idx="354">
                  <c:v>45063</c:v>
                </c:pt>
                <c:pt idx="355">
                  <c:v>45064</c:v>
                </c:pt>
                <c:pt idx="356">
                  <c:v>45065</c:v>
                </c:pt>
                <c:pt idx="357">
                  <c:v>45068</c:v>
                </c:pt>
                <c:pt idx="358">
                  <c:v>45069</c:v>
                </c:pt>
                <c:pt idx="359">
                  <c:v>45070</c:v>
                </c:pt>
                <c:pt idx="360">
                  <c:v>45071</c:v>
                </c:pt>
                <c:pt idx="361">
                  <c:v>45072</c:v>
                </c:pt>
                <c:pt idx="362">
                  <c:v>45075</c:v>
                </c:pt>
                <c:pt idx="363">
                  <c:v>45076</c:v>
                </c:pt>
                <c:pt idx="364">
                  <c:v>45077</c:v>
                </c:pt>
                <c:pt idx="365">
                  <c:v>45078</c:v>
                </c:pt>
                <c:pt idx="366">
                  <c:v>45079</c:v>
                </c:pt>
                <c:pt idx="367">
                  <c:v>45082</c:v>
                </c:pt>
                <c:pt idx="368">
                  <c:v>45083</c:v>
                </c:pt>
                <c:pt idx="369">
                  <c:v>45084</c:v>
                </c:pt>
                <c:pt idx="370">
                  <c:v>45085</c:v>
                </c:pt>
                <c:pt idx="371">
                  <c:v>45086</c:v>
                </c:pt>
                <c:pt idx="372">
                  <c:v>45089</c:v>
                </c:pt>
                <c:pt idx="373">
                  <c:v>45090</c:v>
                </c:pt>
                <c:pt idx="374">
                  <c:v>45091</c:v>
                </c:pt>
                <c:pt idx="375">
                  <c:v>45092</c:v>
                </c:pt>
                <c:pt idx="376">
                  <c:v>45093</c:v>
                </c:pt>
                <c:pt idx="377">
                  <c:v>45096</c:v>
                </c:pt>
                <c:pt idx="378">
                  <c:v>45097</c:v>
                </c:pt>
                <c:pt idx="379">
                  <c:v>45098</c:v>
                </c:pt>
                <c:pt idx="380">
                  <c:v>45099</c:v>
                </c:pt>
                <c:pt idx="381">
                  <c:v>45100</c:v>
                </c:pt>
                <c:pt idx="382">
                  <c:v>45103</c:v>
                </c:pt>
                <c:pt idx="383">
                  <c:v>45104</c:v>
                </c:pt>
                <c:pt idx="384">
                  <c:v>45105</c:v>
                </c:pt>
                <c:pt idx="385">
                  <c:v>45106</c:v>
                </c:pt>
                <c:pt idx="386">
                  <c:v>45107</c:v>
                </c:pt>
                <c:pt idx="387">
                  <c:v>45110</c:v>
                </c:pt>
                <c:pt idx="388">
                  <c:v>45111</c:v>
                </c:pt>
                <c:pt idx="389">
                  <c:v>45112</c:v>
                </c:pt>
                <c:pt idx="390">
                  <c:v>45113</c:v>
                </c:pt>
                <c:pt idx="391">
                  <c:v>45114</c:v>
                </c:pt>
                <c:pt idx="392">
                  <c:v>45117</c:v>
                </c:pt>
                <c:pt idx="393">
                  <c:v>45118</c:v>
                </c:pt>
                <c:pt idx="394">
                  <c:v>45119</c:v>
                </c:pt>
                <c:pt idx="395">
                  <c:v>45120</c:v>
                </c:pt>
                <c:pt idx="396">
                  <c:v>45121</c:v>
                </c:pt>
                <c:pt idx="397">
                  <c:v>45124</c:v>
                </c:pt>
                <c:pt idx="398">
                  <c:v>45125</c:v>
                </c:pt>
                <c:pt idx="399">
                  <c:v>45126</c:v>
                </c:pt>
                <c:pt idx="400">
                  <c:v>45127</c:v>
                </c:pt>
                <c:pt idx="401">
                  <c:v>45128</c:v>
                </c:pt>
                <c:pt idx="402">
                  <c:v>45131</c:v>
                </c:pt>
                <c:pt idx="403">
                  <c:v>45132</c:v>
                </c:pt>
                <c:pt idx="404">
                  <c:v>45133</c:v>
                </c:pt>
                <c:pt idx="405">
                  <c:v>45134</c:v>
                </c:pt>
                <c:pt idx="406">
                  <c:v>45135</c:v>
                </c:pt>
                <c:pt idx="407">
                  <c:v>45138</c:v>
                </c:pt>
                <c:pt idx="408">
                  <c:v>45139</c:v>
                </c:pt>
                <c:pt idx="409">
                  <c:v>45140</c:v>
                </c:pt>
                <c:pt idx="410">
                  <c:v>45141</c:v>
                </c:pt>
                <c:pt idx="411">
                  <c:v>45142</c:v>
                </c:pt>
                <c:pt idx="412">
                  <c:v>45145</c:v>
                </c:pt>
                <c:pt idx="413">
                  <c:v>45146</c:v>
                </c:pt>
                <c:pt idx="414">
                  <c:v>45147</c:v>
                </c:pt>
                <c:pt idx="415">
                  <c:v>45148</c:v>
                </c:pt>
                <c:pt idx="416">
                  <c:v>45149</c:v>
                </c:pt>
                <c:pt idx="417">
                  <c:v>45152</c:v>
                </c:pt>
                <c:pt idx="418">
                  <c:v>45153</c:v>
                </c:pt>
                <c:pt idx="419">
                  <c:v>45154</c:v>
                </c:pt>
                <c:pt idx="420">
                  <c:v>45155</c:v>
                </c:pt>
                <c:pt idx="421">
                  <c:v>45156</c:v>
                </c:pt>
                <c:pt idx="422">
                  <c:v>45159</c:v>
                </c:pt>
                <c:pt idx="423">
                  <c:v>45160</c:v>
                </c:pt>
                <c:pt idx="424">
                  <c:v>45161</c:v>
                </c:pt>
                <c:pt idx="425">
                  <c:v>45162</c:v>
                </c:pt>
                <c:pt idx="426">
                  <c:v>45163</c:v>
                </c:pt>
                <c:pt idx="427">
                  <c:v>45166</c:v>
                </c:pt>
                <c:pt idx="428">
                  <c:v>45167</c:v>
                </c:pt>
                <c:pt idx="429">
                  <c:v>45168</c:v>
                </c:pt>
                <c:pt idx="430">
                  <c:v>45169</c:v>
                </c:pt>
                <c:pt idx="431">
                  <c:v>45170</c:v>
                </c:pt>
                <c:pt idx="432">
                  <c:v>45173</c:v>
                </c:pt>
                <c:pt idx="433">
                  <c:v>45174</c:v>
                </c:pt>
                <c:pt idx="434">
                  <c:v>45175</c:v>
                </c:pt>
                <c:pt idx="435">
                  <c:v>45176</c:v>
                </c:pt>
                <c:pt idx="436">
                  <c:v>45177</c:v>
                </c:pt>
                <c:pt idx="437">
                  <c:v>45180</c:v>
                </c:pt>
                <c:pt idx="438">
                  <c:v>45181</c:v>
                </c:pt>
                <c:pt idx="439">
                  <c:v>45182</c:v>
                </c:pt>
                <c:pt idx="440">
                  <c:v>45183</c:v>
                </c:pt>
                <c:pt idx="441">
                  <c:v>45184</c:v>
                </c:pt>
                <c:pt idx="442">
                  <c:v>45187</c:v>
                </c:pt>
                <c:pt idx="443">
                  <c:v>45188</c:v>
                </c:pt>
                <c:pt idx="444">
                  <c:v>45189</c:v>
                </c:pt>
                <c:pt idx="445">
                  <c:v>45190</c:v>
                </c:pt>
                <c:pt idx="446">
                  <c:v>45191</c:v>
                </c:pt>
                <c:pt idx="447">
                  <c:v>45194</c:v>
                </c:pt>
                <c:pt idx="448">
                  <c:v>45195</c:v>
                </c:pt>
                <c:pt idx="449">
                  <c:v>45196</c:v>
                </c:pt>
                <c:pt idx="450">
                  <c:v>45197</c:v>
                </c:pt>
                <c:pt idx="451">
                  <c:v>45198</c:v>
                </c:pt>
                <c:pt idx="452">
                  <c:v>45201</c:v>
                </c:pt>
                <c:pt idx="453">
                  <c:v>45202</c:v>
                </c:pt>
                <c:pt idx="454">
                  <c:v>45203</c:v>
                </c:pt>
                <c:pt idx="455">
                  <c:v>45204</c:v>
                </c:pt>
                <c:pt idx="456">
                  <c:v>45205</c:v>
                </c:pt>
                <c:pt idx="457">
                  <c:v>45208</c:v>
                </c:pt>
                <c:pt idx="458">
                  <c:v>45209</c:v>
                </c:pt>
                <c:pt idx="459">
                  <c:v>45210</c:v>
                </c:pt>
                <c:pt idx="460">
                  <c:v>45211</c:v>
                </c:pt>
                <c:pt idx="461">
                  <c:v>45212</c:v>
                </c:pt>
                <c:pt idx="462">
                  <c:v>45215</c:v>
                </c:pt>
                <c:pt idx="463">
                  <c:v>45216</c:v>
                </c:pt>
                <c:pt idx="464">
                  <c:v>45217</c:v>
                </c:pt>
                <c:pt idx="465">
                  <c:v>45218</c:v>
                </c:pt>
                <c:pt idx="466">
                  <c:v>45219</c:v>
                </c:pt>
                <c:pt idx="467">
                  <c:v>45222</c:v>
                </c:pt>
                <c:pt idx="468">
                  <c:v>45223</c:v>
                </c:pt>
                <c:pt idx="469">
                  <c:v>45224</c:v>
                </c:pt>
                <c:pt idx="470">
                  <c:v>45225</c:v>
                </c:pt>
                <c:pt idx="471">
                  <c:v>45226</c:v>
                </c:pt>
                <c:pt idx="472">
                  <c:v>45229</c:v>
                </c:pt>
                <c:pt idx="473">
                  <c:v>45230</c:v>
                </c:pt>
                <c:pt idx="474">
                  <c:v>45231</c:v>
                </c:pt>
                <c:pt idx="475">
                  <c:v>45232</c:v>
                </c:pt>
                <c:pt idx="476">
                  <c:v>45233</c:v>
                </c:pt>
                <c:pt idx="477">
                  <c:v>45236</c:v>
                </c:pt>
                <c:pt idx="478">
                  <c:v>45237</c:v>
                </c:pt>
                <c:pt idx="479">
                  <c:v>45238</c:v>
                </c:pt>
                <c:pt idx="480">
                  <c:v>45239</c:v>
                </c:pt>
                <c:pt idx="481">
                  <c:v>45240</c:v>
                </c:pt>
                <c:pt idx="482">
                  <c:v>45243</c:v>
                </c:pt>
                <c:pt idx="483">
                  <c:v>45244</c:v>
                </c:pt>
                <c:pt idx="484">
                  <c:v>45245</c:v>
                </c:pt>
                <c:pt idx="485">
                  <c:v>45246</c:v>
                </c:pt>
                <c:pt idx="486">
                  <c:v>45247</c:v>
                </c:pt>
                <c:pt idx="487">
                  <c:v>45250</c:v>
                </c:pt>
                <c:pt idx="488">
                  <c:v>45251</c:v>
                </c:pt>
                <c:pt idx="489">
                  <c:v>45252</c:v>
                </c:pt>
                <c:pt idx="490">
                  <c:v>45253</c:v>
                </c:pt>
                <c:pt idx="491">
                  <c:v>45254</c:v>
                </c:pt>
                <c:pt idx="492">
                  <c:v>45257</c:v>
                </c:pt>
                <c:pt idx="493">
                  <c:v>45258</c:v>
                </c:pt>
                <c:pt idx="494">
                  <c:v>45259</c:v>
                </c:pt>
                <c:pt idx="495">
                  <c:v>45260</c:v>
                </c:pt>
                <c:pt idx="496">
                  <c:v>45261</c:v>
                </c:pt>
                <c:pt idx="497">
                  <c:v>45264</c:v>
                </c:pt>
                <c:pt idx="498">
                  <c:v>45265</c:v>
                </c:pt>
                <c:pt idx="499">
                  <c:v>45266</c:v>
                </c:pt>
                <c:pt idx="500">
                  <c:v>45267</c:v>
                </c:pt>
                <c:pt idx="501">
                  <c:v>45268</c:v>
                </c:pt>
                <c:pt idx="502">
                  <c:v>45271</c:v>
                </c:pt>
                <c:pt idx="503">
                  <c:v>45272</c:v>
                </c:pt>
                <c:pt idx="504">
                  <c:v>45273</c:v>
                </c:pt>
                <c:pt idx="505">
                  <c:v>45274</c:v>
                </c:pt>
                <c:pt idx="506">
                  <c:v>45275</c:v>
                </c:pt>
                <c:pt idx="507">
                  <c:v>45278</c:v>
                </c:pt>
                <c:pt idx="508">
                  <c:v>45279</c:v>
                </c:pt>
                <c:pt idx="509">
                  <c:v>45280</c:v>
                </c:pt>
                <c:pt idx="510">
                  <c:v>45281</c:v>
                </c:pt>
                <c:pt idx="511">
                  <c:v>45282</c:v>
                </c:pt>
                <c:pt idx="512">
                  <c:v>45286</c:v>
                </c:pt>
                <c:pt idx="513">
                  <c:v>45287</c:v>
                </c:pt>
                <c:pt idx="514">
                  <c:v>45288</c:v>
                </c:pt>
                <c:pt idx="515">
                  <c:v>45289</c:v>
                </c:pt>
                <c:pt idx="516">
                  <c:v>45293</c:v>
                </c:pt>
                <c:pt idx="517">
                  <c:v>45294</c:v>
                </c:pt>
                <c:pt idx="518">
                  <c:v>45295</c:v>
                </c:pt>
                <c:pt idx="519">
                  <c:v>45296</c:v>
                </c:pt>
                <c:pt idx="520">
                  <c:v>45299</c:v>
                </c:pt>
                <c:pt idx="521">
                  <c:v>45300</c:v>
                </c:pt>
                <c:pt idx="522">
                  <c:v>45301</c:v>
                </c:pt>
                <c:pt idx="523">
                  <c:v>45302</c:v>
                </c:pt>
                <c:pt idx="524">
                  <c:v>45303</c:v>
                </c:pt>
                <c:pt idx="525">
                  <c:v>45306</c:v>
                </c:pt>
                <c:pt idx="526">
                  <c:v>45307</c:v>
                </c:pt>
                <c:pt idx="527">
                  <c:v>45308</c:v>
                </c:pt>
                <c:pt idx="528">
                  <c:v>45309</c:v>
                </c:pt>
                <c:pt idx="529">
                  <c:v>45310</c:v>
                </c:pt>
                <c:pt idx="530">
                  <c:v>45313</c:v>
                </c:pt>
                <c:pt idx="531">
                  <c:v>45314</c:v>
                </c:pt>
                <c:pt idx="532">
                  <c:v>45315</c:v>
                </c:pt>
                <c:pt idx="533">
                  <c:v>45316</c:v>
                </c:pt>
                <c:pt idx="534">
                  <c:v>45317</c:v>
                </c:pt>
                <c:pt idx="535">
                  <c:v>45320</c:v>
                </c:pt>
                <c:pt idx="536">
                  <c:v>45321</c:v>
                </c:pt>
                <c:pt idx="537">
                  <c:v>45322</c:v>
                </c:pt>
                <c:pt idx="538">
                  <c:v>45323</c:v>
                </c:pt>
                <c:pt idx="539">
                  <c:v>45324</c:v>
                </c:pt>
                <c:pt idx="540">
                  <c:v>45327</c:v>
                </c:pt>
                <c:pt idx="541">
                  <c:v>45328</c:v>
                </c:pt>
                <c:pt idx="542">
                  <c:v>45329</c:v>
                </c:pt>
                <c:pt idx="543">
                  <c:v>45330</c:v>
                </c:pt>
                <c:pt idx="544">
                  <c:v>45331</c:v>
                </c:pt>
                <c:pt idx="545">
                  <c:v>45334</c:v>
                </c:pt>
                <c:pt idx="546">
                  <c:v>45335</c:v>
                </c:pt>
                <c:pt idx="547">
                  <c:v>45336</c:v>
                </c:pt>
                <c:pt idx="548">
                  <c:v>45337</c:v>
                </c:pt>
                <c:pt idx="549">
                  <c:v>45338</c:v>
                </c:pt>
                <c:pt idx="550">
                  <c:v>45341</c:v>
                </c:pt>
                <c:pt idx="551">
                  <c:v>45342</c:v>
                </c:pt>
                <c:pt idx="552">
                  <c:v>45343</c:v>
                </c:pt>
                <c:pt idx="553">
                  <c:v>45344</c:v>
                </c:pt>
                <c:pt idx="554">
                  <c:v>45345</c:v>
                </c:pt>
                <c:pt idx="555">
                  <c:v>45348</c:v>
                </c:pt>
                <c:pt idx="556">
                  <c:v>45349</c:v>
                </c:pt>
                <c:pt idx="557">
                  <c:v>45350</c:v>
                </c:pt>
                <c:pt idx="558">
                  <c:v>45351</c:v>
                </c:pt>
                <c:pt idx="559">
                  <c:v>45352</c:v>
                </c:pt>
                <c:pt idx="560">
                  <c:v>45355</c:v>
                </c:pt>
                <c:pt idx="561">
                  <c:v>45356</c:v>
                </c:pt>
                <c:pt idx="562">
                  <c:v>45357</c:v>
                </c:pt>
                <c:pt idx="563">
                  <c:v>45358</c:v>
                </c:pt>
                <c:pt idx="564">
                  <c:v>45359</c:v>
                </c:pt>
                <c:pt idx="565">
                  <c:v>45362</c:v>
                </c:pt>
                <c:pt idx="566">
                  <c:v>45363</c:v>
                </c:pt>
                <c:pt idx="567">
                  <c:v>45364</c:v>
                </c:pt>
                <c:pt idx="568">
                  <c:v>45365</c:v>
                </c:pt>
                <c:pt idx="569">
                  <c:v>45366</c:v>
                </c:pt>
                <c:pt idx="570">
                  <c:v>45369</c:v>
                </c:pt>
                <c:pt idx="571">
                  <c:v>45370</c:v>
                </c:pt>
                <c:pt idx="572">
                  <c:v>45371</c:v>
                </c:pt>
                <c:pt idx="573">
                  <c:v>45372</c:v>
                </c:pt>
                <c:pt idx="574">
                  <c:v>45373</c:v>
                </c:pt>
                <c:pt idx="575">
                  <c:v>45376</c:v>
                </c:pt>
                <c:pt idx="576">
                  <c:v>45377</c:v>
                </c:pt>
                <c:pt idx="577">
                  <c:v>45378</c:v>
                </c:pt>
                <c:pt idx="578">
                  <c:v>45379</c:v>
                </c:pt>
                <c:pt idx="579">
                  <c:v>45383</c:v>
                </c:pt>
                <c:pt idx="580">
                  <c:v>45384</c:v>
                </c:pt>
                <c:pt idx="581">
                  <c:v>45385</c:v>
                </c:pt>
                <c:pt idx="582">
                  <c:v>45386</c:v>
                </c:pt>
                <c:pt idx="583">
                  <c:v>45387</c:v>
                </c:pt>
                <c:pt idx="584">
                  <c:v>45390</c:v>
                </c:pt>
                <c:pt idx="585">
                  <c:v>45391</c:v>
                </c:pt>
                <c:pt idx="586">
                  <c:v>45392</c:v>
                </c:pt>
                <c:pt idx="587">
                  <c:v>45393</c:v>
                </c:pt>
                <c:pt idx="588">
                  <c:v>45394</c:v>
                </c:pt>
                <c:pt idx="589">
                  <c:v>45397</c:v>
                </c:pt>
                <c:pt idx="590">
                  <c:v>45398</c:v>
                </c:pt>
                <c:pt idx="591">
                  <c:v>45399</c:v>
                </c:pt>
                <c:pt idx="592">
                  <c:v>45400</c:v>
                </c:pt>
                <c:pt idx="593">
                  <c:v>45401</c:v>
                </c:pt>
                <c:pt idx="594">
                  <c:v>45404</c:v>
                </c:pt>
                <c:pt idx="595">
                  <c:v>45405</c:v>
                </c:pt>
                <c:pt idx="596">
                  <c:v>45406</c:v>
                </c:pt>
                <c:pt idx="597">
                  <c:v>45407</c:v>
                </c:pt>
                <c:pt idx="598">
                  <c:v>45408</c:v>
                </c:pt>
                <c:pt idx="599">
                  <c:v>45411</c:v>
                </c:pt>
                <c:pt idx="600">
                  <c:v>45412</c:v>
                </c:pt>
                <c:pt idx="601">
                  <c:v>45413</c:v>
                </c:pt>
                <c:pt idx="602">
                  <c:v>45414</c:v>
                </c:pt>
                <c:pt idx="603">
                  <c:v>45415</c:v>
                </c:pt>
                <c:pt idx="604">
                  <c:v>45418</c:v>
                </c:pt>
                <c:pt idx="605">
                  <c:v>45419</c:v>
                </c:pt>
                <c:pt idx="606">
                  <c:v>45420</c:v>
                </c:pt>
                <c:pt idx="607">
                  <c:v>45421</c:v>
                </c:pt>
                <c:pt idx="608">
                  <c:v>45422</c:v>
                </c:pt>
                <c:pt idx="609">
                  <c:v>45425</c:v>
                </c:pt>
                <c:pt idx="610">
                  <c:v>45426</c:v>
                </c:pt>
                <c:pt idx="611">
                  <c:v>45427</c:v>
                </c:pt>
                <c:pt idx="612">
                  <c:v>45428</c:v>
                </c:pt>
                <c:pt idx="613">
                  <c:v>45429</c:v>
                </c:pt>
                <c:pt idx="614">
                  <c:v>45432</c:v>
                </c:pt>
                <c:pt idx="615">
                  <c:v>45433</c:v>
                </c:pt>
                <c:pt idx="616">
                  <c:v>45434</c:v>
                </c:pt>
                <c:pt idx="617">
                  <c:v>45435</c:v>
                </c:pt>
                <c:pt idx="618">
                  <c:v>45436</c:v>
                </c:pt>
                <c:pt idx="619">
                  <c:v>45439</c:v>
                </c:pt>
                <c:pt idx="620">
                  <c:v>45440</c:v>
                </c:pt>
                <c:pt idx="621">
                  <c:v>45441</c:v>
                </c:pt>
                <c:pt idx="622">
                  <c:v>45442</c:v>
                </c:pt>
                <c:pt idx="623">
                  <c:v>45443</c:v>
                </c:pt>
                <c:pt idx="624">
                  <c:v>45446</c:v>
                </c:pt>
                <c:pt idx="625">
                  <c:v>45447</c:v>
                </c:pt>
                <c:pt idx="626">
                  <c:v>45448</c:v>
                </c:pt>
                <c:pt idx="627">
                  <c:v>45449</c:v>
                </c:pt>
                <c:pt idx="628">
                  <c:v>45450</c:v>
                </c:pt>
                <c:pt idx="629">
                  <c:v>45453</c:v>
                </c:pt>
                <c:pt idx="630">
                  <c:v>45454</c:v>
                </c:pt>
                <c:pt idx="631">
                  <c:v>45455</c:v>
                </c:pt>
                <c:pt idx="632">
                  <c:v>45456</c:v>
                </c:pt>
                <c:pt idx="633">
                  <c:v>45457</c:v>
                </c:pt>
                <c:pt idx="634">
                  <c:v>45460</c:v>
                </c:pt>
                <c:pt idx="635">
                  <c:v>45461</c:v>
                </c:pt>
                <c:pt idx="636">
                  <c:v>45462</c:v>
                </c:pt>
                <c:pt idx="637">
                  <c:v>45463</c:v>
                </c:pt>
                <c:pt idx="638">
                  <c:v>45464</c:v>
                </c:pt>
                <c:pt idx="639">
                  <c:v>45467</c:v>
                </c:pt>
                <c:pt idx="640">
                  <c:v>45468</c:v>
                </c:pt>
                <c:pt idx="641">
                  <c:v>45469</c:v>
                </c:pt>
                <c:pt idx="642">
                  <c:v>45470</c:v>
                </c:pt>
                <c:pt idx="643">
                  <c:v>45471</c:v>
                </c:pt>
                <c:pt idx="644">
                  <c:v>45474</c:v>
                </c:pt>
                <c:pt idx="645">
                  <c:v>45475</c:v>
                </c:pt>
                <c:pt idx="646">
                  <c:v>45476</c:v>
                </c:pt>
                <c:pt idx="647">
                  <c:v>45477</c:v>
                </c:pt>
                <c:pt idx="648">
                  <c:v>45478</c:v>
                </c:pt>
                <c:pt idx="649">
                  <c:v>45481</c:v>
                </c:pt>
                <c:pt idx="650">
                  <c:v>45482</c:v>
                </c:pt>
                <c:pt idx="651">
                  <c:v>45483</c:v>
                </c:pt>
                <c:pt idx="652">
                  <c:v>45484</c:v>
                </c:pt>
                <c:pt idx="653">
                  <c:v>45485</c:v>
                </c:pt>
                <c:pt idx="654">
                  <c:v>45488</c:v>
                </c:pt>
                <c:pt idx="655">
                  <c:v>45489</c:v>
                </c:pt>
                <c:pt idx="656">
                  <c:v>45490</c:v>
                </c:pt>
                <c:pt idx="657">
                  <c:v>45491</c:v>
                </c:pt>
                <c:pt idx="658">
                  <c:v>45492</c:v>
                </c:pt>
                <c:pt idx="659">
                  <c:v>45495</c:v>
                </c:pt>
                <c:pt idx="660">
                  <c:v>45496</c:v>
                </c:pt>
                <c:pt idx="661">
                  <c:v>45497</c:v>
                </c:pt>
                <c:pt idx="662">
                  <c:v>45498</c:v>
                </c:pt>
                <c:pt idx="663">
                  <c:v>45499</c:v>
                </c:pt>
                <c:pt idx="664">
                  <c:v>45502</c:v>
                </c:pt>
                <c:pt idx="665">
                  <c:v>45503</c:v>
                </c:pt>
                <c:pt idx="666">
                  <c:v>45504</c:v>
                </c:pt>
                <c:pt idx="667">
                  <c:v>45505</c:v>
                </c:pt>
                <c:pt idx="668">
                  <c:v>45506</c:v>
                </c:pt>
                <c:pt idx="669">
                  <c:v>45509</c:v>
                </c:pt>
                <c:pt idx="670">
                  <c:v>45510</c:v>
                </c:pt>
                <c:pt idx="671">
                  <c:v>45511</c:v>
                </c:pt>
                <c:pt idx="672">
                  <c:v>45512</c:v>
                </c:pt>
                <c:pt idx="673">
                  <c:v>45513</c:v>
                </c:pt>
                <c:pt idx="674">
                  <c:v>45516</c:v>
                </c:pt>
                <c:pt idx="675">
                  <c:v>45517</c:v>
                </c:pt>
                <c:pt idx="676">
                  <c:v>45518</c:v>
                </c:pt>
                <c:pt idx="677">
                  <c:v>45519</c:v>
                </c:pt>
                <c:pt idx="678">
                  <c:v>45520</c:v>
                </c:pt>
                <c:pt idx="679">
                  <c:v>45523</c:v>
                </c:pt>
                <c:pt idx="680">
                  <c:v>45524</c:v>
                </c:pt>
                <c:pt idx="681">
                  <c:v>45525</c:v>
                </c:pt>
                <c:pt idx="682">
                  <c:v>45526</c:v>
                </c:pt>
                <c:pt idx="683">
                  <c:v>45527</c:v>
                </c:pt>
                <c:pt idx="684">
                  <c:v>45530</c:v>
                </c:pt>
                <c:pt idx="685">
                  <c:v>45531</c:v>
                </c:pt>
                <c:pt idx="686">
                  <c:v>45532</c:v>
                </c:pt>
                <c:pt idx="687">
                  <c:v>45533</c:v>
                </c:pt>
                <c:pt idx="688">
                  <c:v>45534</c:v>
                </c:pt>
                <c:pt idx="689">
                  <c:v>45537</c:v>
                </c:pt>
                <c:pt idx="690">
                  <c:v>45538</c:v>
                </c:pt>
                <c:pt idx="691">
                  <c:v>45539</c:v>
                </c:pt>
                <c:pt idx="692">
                  <c:v>45540</c:v>
                </c:pt>
                <c:pt idx="693">
                  <c:v>45541</c:v>
                </c:pt>
                <c:pt idx="694">
                  <c:v>45544</c:v>
                </c:pt>
                <c:pt idx="695">
                  <c:v>45545</c:v>
                </c:pt>
                <c:pt idx="696">
                  <c:v>45546</c:v>
                </c:pt>
                <c:pt idx="697">
                  <c:v>45547</c:v>
                </c:pt>
                <c:pt idx="698">
                  <c:v>45548</c:v>
                </c:pt>
                <c:pt idx="699">
                  <c:v>45551</c:v>
                </c:pt>
                <c:pt idx="700">
                  <c:v>45552</c:v>
                </c:pt>
                <c:pt idx="701">
                  <c:v>45553</c:v>
                </c:pt>
                <c:pt idx="702">
                  <c:v>45554</c:v>
                </c:pt>
                <c:pt idx="703">
                  <c:v>45555</c:v>
                </c:pt>
                <c:pt idx="704">
                  <c:v>45558</c:v>
                </c:pt>
                <c:pt idx="705">
                  <c:v>45559</c:v>
                </c:pt>
                <c:pt idx="706">
                  <c:v>45560</c:v>
                </c:pt>
                <c:pt idx="707">
                  <c:v>45561</c:v>
                </c:pt>
                <c:pt idx="708">
                  <c:v>45562</c:v>
                </c:pt>
                <c:pt idx="709">
                  <c:v>45565</c:v>
                </c:pt>
                <c:pt idx="710">
                  <c:v>45566</c:v>
                </c:pt>
                <c:pt idx="711">
                  <c:v>45567</c:v>
                </c:pt>
                <c:pt idx="712">
                  <c:v>45568</c:v>
                </c:pt>
                <c:pt idx="713">
                  <c:v>45569</c:v>
                </c:pt>
                <c:pt idx="714">
                  <c:v>45572</c:v>
                </c:pt>
                <c:pt idx="715">
                  <c:v>45573</c:v>
                </c:pt>
                <c:pt idx="716">
                  <c:v>45574</c:v>
                </c:pt>
                <c:pt idx="717">
                  <c:v>45575</c:v>
                </c:pt>
                <c:pt idx="718">
                  <c:v>45576</c:v>
                </c:pt>
                <c:pt idx="719">
                  <c:v>45579</c:v>
                </c:pt>
                <c:pt idx="720">
                  <c:v>45580</c:v>
                </c:pt>
                <c:pt idx="721">
                  <c:v>45581</c:v>
                </c:pt>
                <c:pt idx="722">
                  <c:v>45582</c:v>
                </c:pt>
                <c:pt idx="723">
                  <c:v>45583</c:v>
                </c:pt>
                <c:pt idx="724">
                  <c:v>45586</c:v>
                </c:pt>
                <c:pt idx="725">
                  <c:v>45587</c:v>
                </c:pt>
                <c:pt idx="726">
                  <c:v>45588</c:v>
                </c:pt>
                <c:pt idx="727">
                  <c:v>45589</c:v>
                </c:pt>
                <c:pt idx="728">
                  <c:v>45590</c:v>
                </c:pt>
                <c:pt idx="729">
                  <c:v>45593</c:v>
                </c:pt>
                <c:pt idx="730">
                  <c:v>45594</c:v>
                </c:pt>
                <c:pt idx="731">
                  <c:v>45595</c:v>
                </c:pt>
                <c:pt idx="732">
                  <c:v>45596</c:v>
                </c:pt>
                <c:pt idx="733">
                  <c:v>45597</c:v>
                </c:pt>
                <c:pt idx="734">
                  <c:v>45600</c:v>
                </c:pt>
                <c:pt idx="735">
                  <c:v>45601</c:v>
                </c:pt>
                <c:pt idx="736">
                  <c:v>45602</c:v>
                </c:pt>
                <c:pt idx="737">
                  <c:v>45603</c:v>
                </c:pt>
                <c:pt idx="738">
                  <c:v>45604</c:v>
                </c:pt>
                <c:pt idx="739">
                  <c:v>45607</c:v>
                </c:pt>
                <c:pt idx="740">
                  <c:v>45608</c:v>
                </c:pt>
                <c:pt idx="741">
                  <c:v>45609</c:v>
                </c:pt>
                <c:pt idx="742">
                  <c:v>45610</c:v>
                </c:pt>
                <c:pt idx="743">
                  <c:v>45611</c:v>
                </c:pt>
                <c:pt idx="744">
                  <c:v>45614</c:v>
                </c:pt>
                <c:pt idx="745">
                  <c:v>45615</c:v>
                </c:pt>
                <c:pt idx="746">
                  <c:v>45616</c:v>
                </c:pt>
                <c:pt idx="747">
                  <c:v>45617</c:v>
                </c:pt>
                <c:pt idx="748">
                  <c:v>45618</c:v>
                </c:pt>
                <c:pt idx="749">
                  <c:v>45621</c:v>
                </c:pt>
                <c:pt idx="750">
                  <c:v>45622</c:v>
                </c:pt>
                <c:pt idx="751">
                  <c:v>45623</c:v>
                </c:pt>
                <c:pt idx="752">
                  <c:v>45624</c:v>
                </c:pt>
                <c:pt idx="753">
                  <c:v>45625</c:v>
                </c:pt>
                <c:pt idx="754">
                  <c:v>45628</c:v>
                </c:pt>
                <c:pt idx="755">
                  <c:v>45629</c:v>
                </c:pt>
                <c:pt idx="756">
                  <c:v>45630</c:v>
                </c:pt>
                <c:pt idx="757">
                  <c:v>45631</c:v>
                </c:pt>
                <c:pt idx="758">
                  <c:v>45632</c:v>
                </c:pt>
                <c:pt idx="759">
                  <c:v>45635</c:v>
                </c:pt>
                <c:pt idx="760">
                  <c:v>45636</c:v>
                </c:pt>
                <c:pt idx="761">
                  <c:v>45637</c:v>
                </c:pt>
                <c:pt idx="762">
                  <c:v>45638</c:v>
                </c:pt>
                <c:pt idx="763">
                  <c:v>45639</c:v>
                </c:pt>
                <c:pt idx="764">
                  <c:v>45642</c:v>
                </c:pt>
                <c:pt idx="765">
                  <c:v>45643</c:v>
                </c:pt>
                <c:pt idx="766">
                  <c:v>45644</c:v>
                </c:pt>
                <c:pt idx="767">
                  <c:v>45645</c:v>
                </c:pt>
                <c:pt idx="768">
                  <c:v>45646</c:v>
                </c:pt>
                <c:pt idx="769">
                  <c:v>45649</c:v>
                </c:pt>
                <c:pt idx="770">
                  <c:v>45650</c:v>
                </c:pt>
                <c:pt idx="771">
                  <c:v>45652</c:v>
                </c:pt>
                <c:pt idx="772">
                  <c:v>45653</c:v>
                </c:pt>
                <c:pt idx="773">
                  <c:v>45656</c:v>
                </c:pt>
                <c:pt idx="774">
                  <c:v>45657</c:v>
                </c:pt>
                <c:pt idx="775">
                  <c:v>45659</c:v>
                </c:pt>
                <c:pt idx="776">
                  <c:v>45660</c:v>
                </c:pt>
                <c:pt idx="777">
                  <c:v>45663</c:v>
                </c:pt>
                <c:pt idx="778">
                  <c:v>45664</c:v>
                </c:pt>
                <c:pt idx="779">
                  <c:v>45665</c:v>
                </c:pt>
                <c:pt idx="780">
                  <c:v>45666</c:v>
                </c:pt>
                <c:pt idx="781">
                  <c:v>45667</c:v>
                </c:pt>
                <c:pt idx="782">
                  <c:v>45670</c:v>
                </c:pt>
                <c:pt idx="783">
                  <c:v>45671</c:v>
                </c:pt>
                <c:pt idx="784">
                  <c:v>45672</c:v>
                </c:pt>
                <c:pt idx="785">
                  <c:v>45673</c:v>
                </c:pt>
                <c:pt idx="786">
                  <c:v>45674</c:v>
                </c:pt>
                <c:pt idx="787">
                  <c:v>45677</c:v>
                </c:pt>
                <c:pt idx="788">
                  <c:v>45678</c:v>
                </c:pt>
                <c:pt idx="789">
                  <c:v>45679</c:v>
                </c:pt>
                <c:pt idx="790">
                  <c:v>45680</c:v>
                </c:pt>
                <c:pt idx="791">
                  <c:v>45681</c:v>
                </c:pt>
                <c:pt idx="792">
                  <c:v>45684</c:v>
                </c:pt>
                <c:pt idx="793">
                  <c:v>45685</c:v>
                </c:pt>
                <c:pt idx="794">
                  <c:v>45686</c:v>
                </c:pt>
                <c:pt idx="795">
                  <c:v>45687</c:v>
                </c:pt>
                <c:pt idx="796">
                  <c:v>45688</c:v>
                </c:pt>
                <c:pt idx="797">
                  <c:v>45691</c:v>
                </c:pt>
                <c:pt idx="798">
                  <c:v>45692</c:v>
                </c:pt>
                <c:pt idx="799">
                  <c:v>45693</c:v>
                </c:pt>
                <c:pt idx="800">
                  <c:v>45694</c:v>
                </c:pt>
                <c:pt idx="801">
                  <c:v>45695</c:v>
                </c:pt>
                <c:pt idx="802">
                  <c:v>45698</c:v>
                </c:pt>
                <c:pt idx="803">
                  <c:v>45699</c:v>
                </c:pt>
                <c:pt idx="804">
                  <c:v>45700</c:v>
                </c:pt>
                <c:pt idx="805">
                  <c:v>45701</c:v>
                </c:pt>
                <c:pt idx="806">
                  <c:v>45702</c:v>
                </c:pt>
                <c:pt idx="807">
                  <c:v>45705</c:v>
                </c:pt>
                <c:pt idx="808">
                  <c:v>45706</c:v>
                </c:pt>
                <c:pt idx="809">
                  <c:v>45707</c:v>
                </c:pt>
                <c:pt idx="810">
                  <c:v>45708</c:v>
                </c:pt>
                <c:pt idx="811">
                  <c:v>45709</c:v>
                </c:pt>
                <c:pt idx="812">
                  <c:v>45712</c:v>
                </c:pt>
                <c:pt idx="813">
                  <c:v>45713</c:v>
                </c:pt>
                <c:pt idx="814">
                  <c:v>45714</c:v>
                </c:pt>
                <c:pt idx="815">
                  <c:v>45715</c:v>
                </c:pt>
                <c:pt idx="816">
                  <c:v>45716</c:v>
                </c:pt>
                <c:pt idx="817">
                  <c:v>45719</c:v>
                </c:pt>
                <c:pt idx="818">
                  <c:v>45720</c:v>
                </c:pt>
                <c:pt idx="819">
                  <c:v>45721</c:v>
                </c:pt>
                <c:pt idx="820">
                  <c:v>45722</c:v>
                </c:pt>
                <c:pt idx="821">
                  <c:v>45723</c:v>
                </c:pt>
                <c:pt idx="822">
                  <c:v>45726</c:v>
                </c:pt>
                <c:pt idx="823">
                  <c:v>45727</c:v>
                </c:pt>
                <c:pt idx="824">
                  <c:v>45728</c:v>
                </c:pt>
                <c:pt idx="825">
                  <c:v>45729</c:v>
                </c:pt>
                <c:pt idx="826">
                  <c:v>45730</c:v>
                </c:pt>
                <c:pt idx="827">
                  <c:v>45733</c:v>
                </c:pt>
                <c:pt idx="828">
                  <c:v>45734</c:v>
                </c:pt>
                <c:pt idx="829">
                  <c:v>45735</c:v>
                </c:pt>
                <c:pt idx="830">
                  <c:v>45736</c:v>
                </c:pt>
                <c:pt idx="831">
                  <c:v>45737</c:v>
                </c:pt>
                <c:pt idx="832">
                  <c:v>45740</c:v>
                </c:pt>
                <c:pt idx="833">
                  <c:v>45741</c:v>
                </c:pt>
                <c:pt idx="834">
                  <c:v>45742</c:v>
                </c:pt>
                <c:pt idx="835">
                  <c:v>45743</c:v>
                </c:pt>
                <c:pt idx="836">
                  <c:v>45744</c:v>
                </c:pt>
                <c:pt idx="837">
                  <c:v>45747</c:v>
                </c:pt>
                <c:pt idx="838">
                  <c:v>45748</c:v>
                </c:pt>
                <c:pt idx="839">
                  <c:v>45749</c:v>
                </c:pt>
                <c:pt idx="840">
                  <c:v>45750</c:v>
                </c:pt>
                <c:pt idx="841">
                  <c:v>45751</c:v>
                </c:pt>
                <c:pt idx="842">
                  <c:v>45754</c:v>
                </c:pt>
                <c:pt idx="843">
                  <c:v>45755</c:v>
                </c:pt>
                <c:pt idx="844">
                  <c:v>45756</c:v>
                </c:pt>
                <c:pt idx="845">
                  <c:v>45757</c:v>
                </c:pt>
                <c:pt idx="846">
                  <c:v>45758</c:v>
                </c:pt>
                <c:pt idx="847">
                  <c:v>45761</c:v>
                </c:pt>
                <c:pt idx="848">
                  <c:v>45762</c:v>
                </c:pt>
                <c:pt idx="849">
                  <c:v>45763</c:v>
                </c:pt>
                <c:pt idx="850">
                  <c:v>45764</c:v>
                </c:pt>
                <c:pt idx="851">
                  <c:v>45768</c:v>
                </c:pt>
                <c:pt idx="852">
                  <c:v>45769</c:v>
                </c:pt>
                <c:pt idx="853">
                  <c:v>45770</c:v>
                </c:pt>
                <c:pt idx="854">
                  <c:v>45771</c:v>
                </c:pt>
                <c:pt idx="855">
                  <c:v>45772</c:v>
                </c:pt>
                <c:pt idx="856">
                  <c:v>45775</c:v>
                </c:pt>
                <c:pt idx="857">
                  <c:v>45776</c:v>
                </c:pt>
                <c:pt idx="858">
                  <c:v>45777</c:v>
                </c:pt>
                <c:pt idx="859">
                  <c:v>45778</c:v>
                </c:pt>
                <c:pt idx="860">
                  <c:v>45779</c:v>
                </c:pt>
                <c:pt idx="861">
                  <c:v>45782</c:v>
                </c:pt>
                <c:pt idx="862">
                  <c:v>45783</c:v>
                </c:pt>
                <c:pt idx="863">
                  <c:v>45784</c:v>
                </c:pt>
                <c:pt idx="864">
                  <c:v>45785</c:v>
                </c:pt>
                <c:pt idx="865">
                  <c:v>45786</c:v>
                </c:pt>
                <c:pt idx="866">
                  <c:v>45789</c:v>
                </c:pt>
                <c:pt idx="867">
                  <c:v>45790</c:v>
                </c:pt>
                <c:pt idx="868">
                  <c:v>45791</c:v>
                </c:pt>
                <c:pt idx="869">
                  <c:v>45792</c:v>
                </c:pt>
                <c:pt idx="870">
                  <c:v>45793</c:v>
                </c:pt>
                <c:pt idx="871">
                  <c:v>45796</c:v>
                </c:pt>
                <c:pt idx="872">
                  <c:v>45797</c:v>
                </c:pt>
                <c:pt idx="873">
                  <c:v>45798</c:v>
                </c:pt>
                <c:pt idx="874">
                  <c:v>45799</c:v>
                </c:pt>
                <c:pt idx="875">
                  <c:v>45800</c:v>
                </c:pt>
                <c:pt idx="876">
                  <c:v>45803</c:v>
                </c:pt>
                <c:pt idx="877">
                  <c:v>45804</c:v>
                </c:pt>
                <c:pt idx="878">
                  <c:v>45805</c:v>
                </c:pt>
                <c:pt idx="879">
                  <c:v>45806</c:v>
                </c:pt>
                <c:pt idx="880">
                  <c:v>45807</c:v>
                </c:pt>
                <c:pt idx="881">
                  <c:v>45810</c:v>
                </c:pt>
                <c:pt idx="882">
                  <c:v>45811</c:v>
                </c:pt>
                <c:pt idx="883">
                  <c:v>45812</c:v>
                </c:pt>
                <c:pt idx="884">
                  <c:v>45813</c:v>
                </c:pt>
                <c:pt idx="885">
                  <c:v>45814</c:v>
                </c:pt>
                <c:pt idx="886">
                  <c:v>45817</c:v>
                </c:pt>
                <c:pt idx="887">
                  <c:v>45818</c:v>
                </c:pt>
                <c:pt idx="888">
                  <c:v>45819</c:v>
                </c:pt>
                <c:pt idx="889">
                  <c:v>45820</c:v>
                </c:pt>
                <c:pt idx="890">
                  <c:v>45821</c:v>
                </c:pt>
                <c:pt idx="891">
                  <c:v>45824</c:v>
                </c:pt>
                <c:pt idx="892">
                  <c:v>45825</c:v>
                </c:pt>
                <c:pt idx="893">
                  <c:v>45826</c:v>
                </c:pt>
                <c:pt idx="894">
                  <c:v>45827</c:v>
                </c:pt>
                <c:pt idx="895">
                  <c:v>45828</c:v>
                </c:pt>
                <c:pt idx="896">
                  <c:v>45831</c:v>
                </c:pt>
                <c:pt idx="897">
                  <c:v>45832</c:v>
                </c:pt>
                <c:pt idx="898">
                  <c:v>45833</c:v>
                </c:pt>
                <c:pt idx="899">
                  <c:v>45834</c:v>
                </c:pt>
                <c:pt idx="900">
                  <c:v>45835</c:v>
                </c:pt>
                <c:pt idx="901">
                  <c:v>45838</c:v>
                </c:pt>
                <c:pt idx="902">
                  <c:v>45839</c:v>
                </c:pt>
                <c:pt idx="903">
                  <c:v>45840</c:v>
                </c:pt>
                <c:pt idx="904">
                  <c:v>45841</c:v>
                </c:pt>
                <c:pt idx="905">
                  <c:v>45842</c:v>
                </c:pt>
                <c:pt idx="906">
                  <c:v>45845</c:v>
                </c:pt>
                <c:pt idx="907">
                  <c:v>45846</c:v>
                </c:pt>
                <c:pt idx="908">
                  <c:v>45847</c:v>
                </c:pt>
                <c:pt idx="909">
                  <c:v>45848</c:v>
                </c:pt>
                <c:pt idx="910">
                  <c:v>45849</c:v>
                </c:pt>
                <c:pt idx="911">
                  <c:v>45852</c:v>
                </c:pt>
                <c:pt idx="912">
                  <c:v>45853</c:v>
                </c:pt>
                <c:pt idx="913">
                  <c:v>45854</c:v>
                </c:pt>
                <c:pt idx="914">
                  <c:v>45855</c:v>
                </c:pt>
                <c:pt idx="915">
                  <c:v>45856</c:v>
                </c:pt>
                <c:pt idx="916">
                  <c:v>45859</c:v>
                </c:pt>
                <c:pt idx="917">
                  <c:v>45860</c:v>
                </c:pt>
                <c:pt idx="918">
                  <c:v>45861</c:v>
                </c:pt>
                <c:pt idx="919">
                  <c:v>45862</c:v>
                </c:pt>
                <c:pt idx="920">
                  <c:v>45863</c:v>
                </c:pt>
                <c:pt idx="921">
                  <c:v>45866</c:v>
                </c:pt>
                <c:pt idx="922">
                  <c:v>45867</c:v>
                </c:pt>
                <c:pt idx="923">
                  <c:v>45868</c:v>
                </c:pt>
                <c:pt idx="924">
                  <c:v>45869</c:v>
                </c:pt>
                <c:pt idx="925">
                  <c:v>45870</c:v>
                </c:pt>
                <c:pt idx="926">
                  <c:v>45873</c:v>
                </c:pt>
                <c:pt idx="927">
                  <c:v>45874</c:v>
                </c:pt>
                <c:pt idx="928">
                  <c:v>45875</c:v>
                </c:pt>
                <c:pt idx="929">
                  <c:v>45876</c:v>
                </c:pt>
                <c:pt idx="930">
                  <c:v>45877</c:v>
                </c:pt>
                <c:pt idx="931">
                  <c:v>45880</c:v>
                </c:pt>
                <c:pt idx="932">
                  <c:v>45881</c:v>
                </c:pt>
                <c:pt idx="933">
                  <c:v>45882</c:v>
                </c:pt>
                <c:pt idx="934">
                  <c:v>45883</c:v>
                </c:pt>
                <c:pt idx="935">
                  <c:v>45884</c:v>
                </c:pt>
                <c:pt idx="936">
                  <c:v>45887</c:v>
                </c:pt>
                <c:pt idx="937">
                  <c:v>45888</c:v>
                </c:pt>
                <c:pt idx="938">
                  <c:v>45889</c:v>
                </c:pt>
                <c:pt idx="939">
                  <c:v>45890</c:v>
                </c:pt>
                <c:pt idx="940">
                  <c:v>45891</c:v>
                </c:pt>
                <c:pt idx="941">
                  <c:v>45894</c:v>
                </c:pt>
                <c:pt idx="942">
                  <c:v>45895</c:v>
                </c:pt>
                <c:pt idx="943">
                  <c:v>45896</c:v>
                </c:pt>
                <c:pt idx="944">
                  <c:v>45897</c:v>
                </c:pt>
                <c:pt idx="945">
                  <c:v>45898</c:v>
                </c:pt>
                <c:pt idx="946">
                  <c:v>45901</c:v>
                </c:pt>
                <c:pt idx="947">
                  <c:v>45902</c:v>
                </c:pt>
                <c:pt idx="948">
                  <c:v>45903</c:v>
                </c:pt>
                <c:pt idx="949">
                  <c:v>45904</c:v>
                </c:pt>
                <c:pt idx="950">
                  <c:v>45905</c:v>
                </c:pt>
                <c:pt idx="951">
                  <c:v>45908</c:v>
                </c:pt>
                <c:pt idx="952">
                  <c:v>45909</c:v>
                </c:pt>
                <c:pt idx="953">
                  <c:v>45910</c:v>
                </c:pt>
                <c:pt idx="954">
                  <c:v>45911</c:v>
                </c:pt>
                <c:pt idx="955">
                  <c:v>45912</c:v>
                </c:pt>
              </c:numCache>
            </c:numRef>
          </c:cat>
          <c:val>
            <c:numRef>
              <c:f>Sheet1!$E$2:$E$1223</c:f>
              <c:numCache>
                <c:formatCode>0.0</c:formatCode>
                <c:ptCount val="1222"/>
                <c:pt idx="0">
                  <c:v>100</c:v>
                </c:pt>
                <c:pt idx="1">
                  <c:v>100.06548107804721</c:v>
                </c:pt>
                <c:pt idx="2">
                  <c:v>99.969857916454458</c:v>
                </c:pt>
                <c:pt idx="3">
                  <c:v>100.11952895199093</c:v>
                </c:pt>
                <c:pt idx="4">
                  <c:v>99.491742108490712</c:v>
                </c:pt>
                <c:pt idx="5">
                  <c:v>99.770296535739163</c:v>
                </c:pt>
                <c:pt idx="6">
                  <c:v>99.390922035941855</c:v>
                </c:pt>
                <c:pt idx="7">
                  <c:v>98.638409329494564</c:v>
                </c:pt>
                <c:pt idx="8">
                  <c:v>98.507447173400152</c:v>
                </c:pt>
                <c:pt idx="9">
                  <c:v>98.908648699213202</c:v>
                </c:pt>
                <c:pt idx="10">
                  <c:v>98.908648699213217</c:v>
                </c:pt>
                <c:pt idx="11">
                  <c:v>99.492781490681978</c:v>
                </c:pt>
                <c:pt idx="12">
                  <c:v>99.260999262038695</c:v>
                </c:pt>
                <c:pt idx="13">
                  <c:v>99.494860255064438</c:v>
                </c:pt>
                <c:pt idx="14">
                  <c:v>99.402355240045367</c:v>
                </c:pt>
                <c:pt idx="15">
                  <c:v>99.677791520720135</c:v>
                </c:pt>
                <c:pt idx="16">
                  <c:v>99.705854839883216</c:v>
                </c:pt>
                <c:pt idx="17">
                  <c:v>100.19644323414168</c:v>
                </c:pt>
                <c:pt idx="18">
                  <c:v>101.07160303915357</c:v>
                </c:pt>
                <c:pt idx="19">
                  <c:v>101.096548211743</c:v>
                </c:pt>
                <c:pt idx="20">
                  <c:v>100.33883859433958</c:v>
                </c:pt>
                <c:pt idx="21">
                  <c:v>100.17045867936103</c:v>
                </c:pt>
                <c:pt idx="22">
                  <c:v>99.713130515221806</c:v>
                </c:pt>
                <c:pt idx="23">
                  <c:v>99.135234016900398</c:v>
                </c:pt>
                <c:pt idx="24">
                  <c:v>99.240211618214175</c:v>
                </c:pt>
                <c:pt idx="25">
                  <c:v>99.148745985386327</c:v>
                </c:pt>
                <c:pt idx="26">
                  <c:v>99.407552151001497</c:v>
                </c:pt>
                <c:pt idx="27">
                  <c:v>99.254762968891342</c:v>
                </c:pt>
                <c:pt idx="28">
                  <c:v>99.310889607217518</c:v>
                </c:pt>
                <c:pt idx="29">
                  <c:v>99.856565257610924</c:v>
                </c:pt>
                <c:pt idx="30">
                  <c:v>100.15071041772775</c:v>
                </c:pt>
                <c:pt idx="31">
                  <c:v>99.773414682312875</c:v>
                </c:pt>
                <c:pt idx="32">
                  <c:v>99.46575755371012</c:v>
                </c:pt>
                <c:pt idx="33">
                  <c:v>99.575932065980027</c:v>
                </c:pt>
                <c:pt idx="34">
                  <c:v>99.803556765858431</c:v>
                </c:pt>
                <c:pt idx="35">
                  <c:v>99.801478001475971</c:v>
                </c:pt>
                <c:pt idx="36">
                  <c:v>99.792123561754948</c:v>
                </c:pt>
                <c:pt idx="37">
                  <c:v>99.976094209601882</c:v>
                </c:pt>
                <c:pt idx="38">
                  <c:v>100.94271964744162</c:v>
                </c:pt>
                <c:pt idx="39">
                  <c:v>100.42406793402007</c:v>
                </c:pt>
                <c:pt idx="40">
                  <c:v>100.50202159836201</c:v>
                </c:pt>
                <c:pt idx="41">
                  <c:v>101.24206171851461</c:v>
                </c:pt>
                <c:pt idx="42">
                  <c:v>101.2503767760444</c:v>
                </c:pt>
                <c:pt idx="43">
                  <c:v>101.64222386213642</c:v>
                </c:pt>
                <c:pt idx="44">
                  <c:v>102.5568801904149</c:v>
                </c:pt>
                <c:pt idx="45">
                  <c:v>103.20545467773964</c:v>
                </c:pt>
                <c:pt idx="46">
                  <c:v>102.98198750662615</c:v>
                </c:pt>
                <c:pt idx="47">
                  <c:v>101.81060377711498</c:v>
                </c:pt>
                <c:pt idx="48">
                  <c:v>102.38330336448024</c:v>
                </c:pt>
                <c:pt idx="49">
                  <c:v>103.03395661618742</c:v>
                </c:pt>
                <c:pt idx="50">
                  <c:v>102.77307168618984</c:v>
                </c:pt>
                <c:pt idx="51">
                  <c:v>102.96535739156656</c:v>
                </c:pt>
                <c:pt idx="52">
                  <c:v>102.50491108085365</c:v>
                </c:pt>
                <c:pt idx="53">
                  <c:v>101.83347018532194</c:v>
                </c:pt>
                <c:pt idx="54">
                  <c:v>102.0953944975108</c:v>
                </c:pt>
                <c:pt idx="55">
                  <c:v>102.37810645352414</c:v>
                </c:pt>
                <c:pt idx="56">
                  <c:v>102.40305162611355</c:v>
                </c:pt>
                <c:pt idx="57">
                  <c:v>102.49867478770631</c:v>
                </c:pt>
                <c:pt idx="58">
                  <c:v>102.69096049308303</c:v>
                </c:pt>
                <c:pt idx="59">
                  <c:v>102.71382690128999</c:v>
                </c:pt>
                <c:pt idx="60">
                  <c:v>102.95600295184555</c:v>
                </c:pt>
                <c:pt idx="61">
                  <c:v>102.31782228643307</c:v>
                </c:pt>
                <c:pt idx="62">
                  <c:v>101.72953196619942</c:v>
                </c:pt>
                <c:pt idx="63">
                  <c:v>102.2336323289438</c:v>
                </c:pt>
                <c:pt idx="64">
                  <c:v>102.51114737400101</c:v>
                </c:pt>
                <c:pt idx="65">
                  <c:v>102.87181299435629</c:v>
                </c:pt>
                <c:pt idx="66">
                  <c:v>103.34369250917267</c:v>
                </c:pt>
                <c:pt idx="67">
                  <c:v>103.53805697893185</c:v>
                </c:pt>
                <c:pt idx="68">
                  <c:v>103.68876739665957</c:v>
                </c:pt>
                <c:pt idx="69">
                  <c:v>103.68149172132098</c:v>
                </c:pt>
                <c:pt idx="70">
                  <c:v>103.85922607602056</c:v>
                </c:pt>
                <c:pt idx="71">
                  <c:v>104.24171872239155</c:v>
                </c:pt>
                <c:pt idx="72">
                  <c:v>103.84779287191706</c:v>
                </c:pt>
                <c:pt idx="73">
                  <c:v>104.27705771689321</c:v>
                </c:pt>
                <c:pt idx="74">
                  <c:v>104.73438588103245</c:v>
                </c:pt>
                <c:pt idx="75">
                  <c:v>104.9401835548951</c:v>
                </c:pt>
                <c:pt idx="76">
                  <c:v>104.37164149629473</c:v>
                </c:pt>
                <c:pt idx="77">
                  <c:v>104.57639978796615</c:v>
                </c:pt>
                <c:pt idx="78">
                  <c:v>105.19898972051024</c:v>
                </c:pt>
                <c:pt idx="79">
                  <c:v>105.77688621883165</c:v>
                </c:pt>
                <c:pt idx="80">
                  <c:v>106.34750704181445</c:v>
                </c:pt>
                <c:pt idx="81">
                  <c:v>107.01790855515493</c:v>
                </c:pt>
                <c:pt idx="82">
                  <c:v>107.7413185602479</c:v>
                </c:pt>
                <c:pt idx="83">
                  <c:v>107.01790855515493</c:v>
                </c:pt>
                <c:pt idx="84">
                  <c:v>107.85253245470905</c:v>
                </c:pt>
                <c:pt idx="85">
                  <c:v>107.57189926307814</c:v>
                </c:pt>
                <c:pt idx="86">
                  <c:v>106.6343765265927</c:v>
                </c:pt>
                <c:pt idx="87">
                  <c:v>107.88995021359317</c:v>
                </c:pt>
                <c:pt idx="88">
                  <c:v>107.7776969369408</c:v>
                </c:pt>
                <c:pt idx="89">
                  <c:v>107.77250002598467</c:v>
                </c:pt>
                <c:pt idx="90">
                  <c:v>108.03650310255597</c:v>
                </c:pt>
                <c:pt idx="91">
                  <c:v>107.9647857313614</c:v>
                </c:pt>
                <c:pt idx="92">
                  <c:v>109.02807371298513</c:v>
                </c:pt>
                <c:pt idx="93">
                  <c:v>108.74120422820688</c:v>
                </c:pt>
                <c:pt idx="94">
                  <c:v>108.30362432570095</c:v>
                </c:pt>
                <c:pt idx="95">
                  <c:v>107.47939424805908</c:v>
                </c:pt>
                <c:pt idx="96">
                  <c:v>107.9523131450667</c:v>
                </c:pt>
                <c:pt idx="97">
                  <c:v>106.79755953061513</c:v>
                </c:pt>
                <c:pt idx="98">
                  <c:v>107.23617881531231</c:v>
                </c:pt>
                <c:pt idx="99">
                  <c:v>106.11780357755363</c:v>
                </c:pt>
                <c:pt idx="100">
                  <c:v>105.88186382014544</c:v>
                </c:pt>
                <c:pt idx="101">
                  <c:v>106.09701593372912</c:v>
                </c:pt>
                <c:pt idx="102">
                  <c:v>105.86939123385073</c:v>
                </c:pt>
                <c:pt idx="103">
                  <c:v>105.70309008325464</c:v>
                </c:pt>
                <c:pt idx="104">
                  <c:v>105.29461288210301</c:v>
                </c:pt>
                <c:pt idx="105">
                  <c:v>105.77376807225798</c:v>
                </c:pt>
                <c:pt idx="106">
                  <c:v>106.56681668416304</c:v>
                </c:pt>
                <c:pt idx="107">
                  <c:v>105.84236729687883</c:v>
                </c:pt>
                <c:pt idx="108">
                  <c:v>106.18328465560081</c:v>
                </c:pt>
                <c:pt idx="109">
                  <c:v>106.48158734448255</c:v>
                </c:pt>
                <c:pt idx="110">
                  <c:v>106.35478271715303</c:v>
                </c:pt>
                <c:pt idx="111">
                  <c:v>106.58448618141387</c:v>
                </c:pt>
                <c:pt idx="112">
                  <c:v>107.28295101391743</c:v>
                </c:pt>
                <c:pt idx="113">
                  <c:v>108.25269459833085</c:v>
                </c:pt>
                <c:pt idx="114">
                  <c:v>109.08004282254637</c:v>
                </c:pt>
                <c:pt idx="115">
                  <c:v>109.49059878808045</c:v>
                </c:pt>
                <c:pt idx="116">
                  <c:v>109.06757023625165</c:v>
                </c:pt>
                <c:pt idx="117">
                  <c:v>107.4897880699713</c:v>
                </c:pt>
                <c:pt idx="118">
                  <c:v>108.60296639677384</c:v>
                </c:pt>
                <c:pt idx="119">
                  <c:v>108.60296639677384</c:v>
                </c:pt>
                <c:pt idx="120">
                  <c:v>108.31505752980436</c:v>
                </c:pt>
                <c:pt idx="121">
                  <c:v>108.07599962582248</c:v>
                </c:pt>
                <c:pt idx="122">
                  <c:v>108.29530926817107</c:v>
                </c:pt>
                <c:pt idx="123">
                  <c:v>108.05313321761552</c:v>
                </c:pt>
                <c:pt idx="124">
                  <c:v>107.76106682188114</c:v>
                </c:pt>
                <c:pt idx="125">
                  <c:v>108.36702663936562</c:v>
                </c:pt>
                <c:pt idx="126">
                  <c:v>108.97818336780624</c:v>
                </c:pt>
                <c:pt idx="127">
                  <c:v>108.57802122418441</c:v>
                </c:pt>
                <c:pt idx="128">
                  <c:v>109.0405462992798</c:v>
                </c:pt>
                <c:pt idx="129">
                  <c:v>109.0405462992798</c:v>
                </c:pt>
                <c:pt idx="130">
                  <c:v>110.50711457109902</c:v>
                </c:pt>
                <c:pt idx="131">
                  <c:v>111.10787747762738</c:v>
                </c:pt>
                <c:pt idx="132">
                  <c:v>111.17127979129215</c:v>
                </c:pt>
                <c:pt idx="133">
                  <c:v>111.02784504890303</c:v>
                </c:pt>
                <c:pt idx="134">
                  <c:v>112.07554229765836</c:v>
                </c:pt>
                <c:pt idx="135">
                  <c:v>112.16181101953009</c:v>
                </c:pt>
                <c:pt idx="136">
                  <c:v>111.9996673976989</c:v>
                </c:pt>
                <c:pt idx="137">
                  <c:v>112.67630520418672</c:v>
                </c:pt>
                <c:pt idx="138">
                  <c:v>112.16077163733885</c:v>
                </c:pt>
                <c:pt idx="139">
                  <c:v>111.45399174730549</c:v>
                </c:pt>
                <c:pt idx="140">
                  <c:v>110.7461724750809</c:v>
                </c:pt>
                <c:pt idx="141">
                  <c:v>111.1650434981448</c:v>
                </c:pt>
                <c:pt idx="142">
                  <c:v>111.0101755516522</c:v>
                </c:pt>
                <c:pt idx="143">
                  <c:v>110.81996861065791</c:v>
                </c:pt>
                <c:pt idx="144">
                  <c:v>110.54349294779193</c:v>
                </c:pt>
                <c:pt idx="145">
                  <c:v>111.25962727754633</c:v>
                </c:pt>
                <c:pt idx="146">
                  <c:v>110.51854777520252</c:v>
                </c:pt>
                <c:pt idx="147">
                  <c:v>110.4198064670361</c:v>
                </c:pt>
                <c:pt idx="148">
                  <c:v>109.94480880564602</c:v>
                </c:pt>
                <c:pt idx="149">
                  <c:v>109.48436249493311</c:v>
                </c:pt>
                <c:pt idx="150">
                  <c:v>110.28260801779433</c:v>
                </c:pt>
                <c:pt idx="151">
                  <c:v>110.5663593559989</c:v>
                </c:pt>
                <c:pt idx="152">
                  <c:v>109.723420398915</c:v>
                </c:pt>
                <c:pt idx="153">
                  <c:v>110.68380954360738</c:v>
                </c:pt>
                <c:pt idx="154">
                  <c:v>110.51023271767272</c:v>
                </c:pt>
                <c:pt idx="155">
                  <c:v>110.43643658209571</c:v>
                </c:pt>
                <c:pt idx="156">
                  <c:v>109.21828065397938</c:v>
                </c:pt>
                <c:pt idx="157">
                  <c:v>109.12889378553399</c:v>
                </c:pt>
                <c:pt idx="158">
                  <c:v>109.66521499620637</c:v>
                </c:pt>
                <c:pt idx="159">
                  <c:v>110.62456475870755</c:v>
                </c:pt>
                <c:pt idx="160">
                  <c:v>110.5777925601024</c:v>
                </c:pt>
                <c:pt idx="161">
                  <c:v>110.67965201484249</c:v>
                </c:pt>
                <c:pt idx="162">
                  <c:v>111.64523807049102</c:v>
                </c:pt>
                <c:pt idx="163">
                  <c:v>112.35513610709806</c:v>
                </c:pt>
                <c:pt idx="164">
                  <c:v>113.2729105819502</c:v>
                </c:pt>
                <c:pt idx="165">
                  <c:v>112.8290943862969</c:v>
                </c:pt>
                <c:pt idx="166">
                  <c:v>112.89353608215289</c:v>
                </c:pt>
                <c:pt idx="167">
                  <c:v>112.70332914115862</c:v>
                </c:pt>
                <c:pt idx="168">
                  <c:v>113.03385267796834</c:v>
                </c:pt>
                <c:pt idx="169">
                  <c:v>113.07438858342613</c:v>
                </c:pt>
                <c:pt idx="170">
                  <c:v>113.03177391358587</c:v>
                </c:pt>
                <c:pt idx="171">
                  <c:v>112.94446580952292</c:v>
                </c:pt>
                <c:pt idx="172">
                  <c:v>113.99735996923438</c:v>
                </c:pt>
                <c:pt idx="173">
                  <c:v>113.82274376110848</c:v>
                </c:pt>
                <c:pt idx="174">
                  <c:v>113.82274376110848</c:v>
                </c:pt>
                <c:pt idx="175">
                  <c:v>114.544075001819</c:v>
                </c:pt>
                <c:pt idx="176">
                  <c:v>114.15742482668308</c:v>
                </c:pt>
                <c:pt idx="177">
                  <c:v>114.03373834592725</c:v>
                </c:pt>
                <c:pt idx="178">
                  <c:v>113.28954069700977</c:v>
                </c:pt>
                <c:pt idx="179">
                  <c:v>112.58172142478519</c:v>
                </c:pt>
                <c:pt idx="180">
                  <c:v>114.13351903628489</c:v>
                </c:pt>
                <c:pt idx="181">
                  <c:v>113.94850900624675</c:v>
                </c:pt>
                <c:pt idx="182">
                  <c:v>114.03165958154479</c:v>
                </c:pt>
                <c:pt idx="183">
                  <c:v>114.05764413632544</c:v>
                </c:pt>
                <c:pt idx="184">
                  <c:v>114.31333215536691</c:v>
                </c:pt>
                <c:pt idx="185">
                  <c:v>114.27175686771788</c:v>
                </c:pt>
                <c:pt idx="186">
                  <c:v>114.69166727297302</c:v>
                </c:pt>
                <c:pt idx="187">
                  <c:v>115.48055835611319</c:v>
                </c:pt>
                <c:pt idx="188">
                  <c:v>117.41069108521901</c:v>
                </c:pt>
                <c:pt idx="189">
                  <c:v>118.51035744353563</c:v>
                </c:pt>
                <c:pt idx="190">
                  <c:v>118.53842076269871</c:v>
                </c:pt>
                <c:pt idx="191">
                  <c:v>116.93881157040261</c:v>
                </c:pt>
                <c:pt idx="192">
                  <c:v>116.62076061988761</c:v>
                </c:pt>
                <c:pt idx="193">
                  <c:v>116.49811352132301</c:v>
                </c:pt>
                <c:pt idx="194">
                  <c:v>116.05325794347849</c:v>
                </c:pt>
                <c:pt idx="195">
                  <c:v>114.3122927731757</c:v>
                </c:pt>
                <c:pt idx="196">
                  <c:v>115.38285643013801</c:v>
                </c:pt>
                <c:pt idx="197">
                  <c:v>116.60101235825435</c:v>
                </c:pt>
                <c:pt idx="198">
                  <c:v>117.12070345386711</c:v>
                </c:pt>
                <c:pt idx="199">
                  <c:v>117.5239837440626</c:v>
                </c:pt>
                <c:pt idx="200">
                  <c:v>117.58322852896247</c:v>
                </c:pt>
                <c:pt idx="201">
                  <c:v>117.68300921932011</c:v>
                </c:pt>
                <c:pt idx="202">
                  <c:v>116.67376911164011</c:v>
                </c:pt>
                <c:pt idx="203">
                  <c:v>117.66014281111315</c:v>
                </c:pt>
                <c:pt idx="204">
                  <c:v>116.31518225566731</c:v>
                </c:pt>
                <c:pt idx="205">
                  <c:v>116.4045691241127</c:v>
                </c:pt>
                <c:pt idx="206">
                  <c:v>117.3244223633473</c:v>
                </c:pt>
                <c:pt idx="207">
                  <c:v>117.26102004968253</c:v>
                </c:pt>
                <c:pt idx="208">
                  <c:v>116.39001777343553</c:v>
                </c:pt>
                <c:pt idx="209">
                  <c:v>116.31622163785852</c:v>
                </c:pt>
                <c:pt idx="210">
                  <c:v>115.19472825352616</c:v>
                </c:pt>
                <c:pt idx="211">
                  <c:v>113.86639781313994</c:v>
                </c:pt>
                <c:pt idx="212">
                  <c:v>114.80288116743414</c:v>
                </c:pt>
                <c:pt idx="213">
                  <c:v>114.96190664269163</c:v>
                </c:pt>
                <c:pt idx="214">
                  <c:v>115.80796374634923</c:v>
                </c:pt>
                <c:pt idx="215">
                  <c:v>115.74456143268446</c:v>
                </c:pt>
                <c:pt idx="216">
                  <c:v>115.60632360125147</c:v>
                </c:pt>
                <c:pt idx="217">
                  <c:v>117.24646869900536</c:v>
                </c:pt>
                <c:pt idx="218">
                  <c:v>115.13652285081753</c:v>
                </c:pt>
                <c:pt idx="219">
                  <c:v>114.32476535947038</c:v>
                </c:pt>
                <c:pt idx="220">
                  <c:v>113.85600399122767</c:v>
                </c:pt>
                <c:pt idx="221">
                  <c:v>114.8101568427727</c:v>
                </c:pt>
                <c:pt idx="222">
                  <c:v>112.34889981395062</c:v>
                </c:pt>
                <c:pt idx="223">
                  <c:v>110.34497094926779</c:v>
                </c:pt>
                <c:pt idx="224">
                  <c:v>110.72642421344757</c:v>
                </c:pt>
                <c:pt idx="225">
                  <c:v>110.48113001631835</c:v>
                </c:pt>
                <c:pt idx="226">
                  <c:v>110.3324983629731</c:v>
                </c:pt>
                <c:pt idx="227">
                  <c:v>110.78982652711233</c:v>
                </c:pt>
                <c:pt idx="228">
                  <c:v>111.0330419598591</c:v>
                </c:pt>
                <c:pt idx="229">
                  <c:v>111.97472222510945</c:v>
                </c:pt>
                <c:pt idx="230">
                  <c:v>111.3334234131233</c:v>
                </c:pt>
                <c:pt idx="231">
                  <c:v>110.14021265759639</c:v>
                </c:pt>
                <c:pt idx="232">
                  <c:v>110.14021265759639</c:v>
                </c:pt>
                <c:pt idx="233">
                  <c:v>110.08824354803511</c:v>
                </c:pt>
                <c:pt idx="234">
                  <c:v>110.83140181476138</c:v>
                </c:pt>
                <c:pt idx="235">
                  <c:v>110.97275779276805</c:v>
                </c:pt>
                <c:pt idx="236">
                  <c:v>110.06745590421062</c:v>
                </c:pt>
                <c:pt idx="237">
                  <c:v>108.81188221721015</c:v>
                </c:pt>
                <c:pt idx="238">
                  <c:v>108.61543898306853</c:v>
                </c:pt>
                <c:pt idx="239">
                  <c:v>109.3835424223842</c:v>
                </c:pt>
                <c:pt idx="240">
                  <c:v>109.69847522632554</c:v>
                </c:pt>
                <c:pt idx="241">
                  <c:v>109.19333548138992</c:v>
                </c:pt>
                <c:pt idx="242">
                  <c:v>108.88152082402226</c:v>
                </c:pt>
                <c:pt idx="243">
                  <c:v>108.92621425824495</c:v>
                </c:pt>
                <c:pt idx="244">
                  <c:v>109.24322582656873</c:v>
                </c:pt>
                <c:pt idx="245">
                  <c:v>108.03650310255588</c:v>
                </c:pt>
                <c:pt idx="246">
                  <c:v>107.82446913554588</c:v>
                </c:pt>
                <c:pt idx="247">
                  <c:v>108.64869921318773</c:v>
                </c:pt>
                <c:pt idx="248">
                  <c:v>108.78277951585584</c:v>
                </c:pt>
                <c:pt idx="249">
                  <c:v>108.71418029123495</c:v>
                </c:pt>
                <c:pt idx="250">
                  <c:v>107.68623130411288</c:v>
                </c:pt>
                <c:pt idx="251">
                  <c:v>107.93672241219824</c:v>
                </c:pt>
                <c:pt idx="252">
                  <c:v>108.22774942574139</c:v>
                </c:pt>
                <c:pt idx="253">
                  <c:v>108.10614170936802</c:v>
                </c:pt>
                <c:pt idx="254">
                  <c:v>107.98453399299463</c:v>
                </c:pt>
                <c:pt idx="255">
                  <c:v>108.28491544625881</c:v>
                </c:pt>
                <c:pt idx="256">
                  <c:v>107.66544366028839</c:v>
                </c:pt>
                <c:pt idx="257">
                  <c:v>107.3359595056699</c:v>
                </c:pt>
                <c:pt idx="258">
                  <c:v>108.42003513111813</c:v>
                </c:pt>
                <c:pt idx="259">
                  <c:v>108.1175749134715</c:v>
                </c:pt>
                <c:pt idx="260">
                  <c:v>108.95635634179051</c:v>
                </c:pt>
                <c:pt idx="261">
                  <c:v>107.72780659176192</c:v>
                </c:pt>
                <c:pt idx="262">
                  <c:v>106.78924447308525</c:v>
                </c:pt>
                <c:pt idx="263">
                  <c:v>107.03557805240571</c:v>
                </c:pt>
                <c:pt idx="264">
                  <c:v>106.98153017846198</c:v>
                </c:pt>
                <c:pt idx="265">
                  <c:v>106.01178659404856</c:v>
                </c:pt>
                <c:pt idx="266">
                  <c:v>105.9608568666785</c:v>
                </c:pt>
                <c:pt idx="267">
                  <c:v>105.9608568666785</c:v>
                </c:pt>
                <c:pt idx="268">
                  <c:v>106.16353639396748</c:v>
                </c:pt>
                <c:pt idx="269">
                  <c:v>106.12819739946579</c:v>
                </c:pt>
                <c:pt idx="270">
                  <c:v>105.84132791468755</c:v>
                </c:pt>
                <c:pt idx="271">
                  <c:v>105.78935880512628</c:v>
                </c:pt>
                <c:pt idx="272">
                  <c:v>105.92967540094172</c:v>
                </c:pt>
                <c:pt idx="273">
                  <c:v>105.67918429285636</c:v>
                </c:pt>
                <c:pt idx="274">
                  <c:v>105.40998430532895</c:v>
                </c:pt>
                <c:pt idx="275">
                  <c:v>105.64072715178102</c:v>
                </c:pt>
                <c:pt idx="276">
                  <c:v>105.72699587365275</c:v>
                </c:pt>
                <c:pt idx="277">
                  <c:v>106.10637037345008</c:v>
                </c:pt>
                <c:pt idx="278">
                  <c:v>105.92863601875052</c:v>
                </c:pt>
                <c:pt idx="279">
                  <c:v>105.00670401513348</c:v>
                </c:pt>
                <c:pt idx="280">
                  <c:v>105.57524607373385</c:v>
                </c:pt>
                <c:pt idx="281">
                  <c:v>106.80171705937998</c:v>
                </c:pt>
                <c:pt idx="282">
                  <c:v>107.57397802746056</c:v>
                </c:pt>
                <c:pt idx="283">
                  <c:v>107.36610158921545</c:v>
                </c:pt>
                <c:pt idx="284">
                  <c:v>107.33907765224357</c:v>
                </c:pt>
                <c:pt idx="285">
                  <c:v>107.16654020850014</c:v>
                </c:pt>
                <c:pt idx="286">
                  <c:v>107.6124351685359</c:v>
                </c:pt>
                <c:pt idx="287">
                  <c:v>107.31413247965418</c:v>
                </c:pt>
                <c:pt idx="288">
                  <c:v>107.18420970575097</c:v>
                </c:pt>
                <c:pt idx="289">
                  <c:v>107.92840735466845</c:v>
                </c:pt>
                <c:pt idx="290">
                  <c:v>107.87851700948963</c:v>
                </c:pt>
                <c:pt idx="291">
                  <c:v>107.86708380538616</c:v>
                </c:pt>
                <c:pt idx="292">
                  <c:v>107.86708380538616</c:v>
                </c:pt>
                <c:pt idx="293">
                  <c:v>108.21215869287303</c:v>
                </c:pt>
                <c:pt idx="294">
                  <c:v>108.63934477346673</c:v>
                </c:pt>
                <c:pt idx="295">
                  <c:v>108.65597488852634</c:v>
                </c:pt>
                <c:pt idx="296">
                  <c:v>109.29935246489495</c:v>
                </c:pt>
                <c:pt idx="297">
                  <c:v>108.74432237478051</c:v>
                </c:pt>
                <c:pt idx="298">
                  <c:v>108.95323819521684</c:v>
                </c:pt>
                <c:pt idx="299">
                  <c:v>108.5447609940652</c:v>
                </c:pt>
                <c:pt idx="300">
                  <c:v>109.12993316772517</c:v>
                </c:pt>
                <c:pt idx="301">
                  <c:v>108.60296639677382</c:v>
                </c:pt>
                <c:pt idx="302">
                  <c:v>108.43354709960407</c:v>
                </c:pt>
                <c:pt idx="303">
                  <c:v>109.75044433588683</c:v>
                </c:pt>
                <c:pt idx="304">
                  <c:v>109.7940983879183</c:v>
                </c:pt>
                <c:pt idx="305">
                  <c:v>109.45214164700511</c:v>
                </c:pt>
                <c:pt idx="306">
                  <c:v>108.66948685701227</c:v>
                </c:pt>
                <c:pt idx="307">
                  <c:v>107.79744519857404</c:v>
                </c:pt>
                <c:pt idx="308">
                  <c:v>107.27983286734373</c:v>
                </c:pt>
                <c:pt idx="309">
                  <c:v>108.38261737223401</c:v>
                </c:pt>
                <c:pt idx="310">
                  <c:v>108.19137104904851</c:v>
                </c:pt>
                <c:pt idx="311">
                  <c:v>107.43054328507144</c:v>
                </c:pt>
                <c:pt idx="312">
                  <c:v>106.98672708941814</c:v>
                </c:pt>
                <c:pt idx="313">
                  <c:v>106.94930933053402</c:v>
                </c:pt>
                <c:pt idx="314">
                  <c:v>105.98788080365038</c:v>
                </c:pt>
                <c:pt idx="315">
                  <c:v>106.23213561858839</c:v>
                </c:pt>
                <c:pt idx="316">
                  <c:v>106.81107149910102</c:v>
                </c:pt>
                <c:pt idx="317">
                  <c:v>106.55538348005953</c:v>
                </c:pt>
                <c:pt idx="318">
                  <c:v>106.12715801727461</c:v>
                </c:pt>
                <c:pt idx="319">
                  <c:v>106.32671939798993</c:v>
                </c:pt>
                <c:pt idx="320">
                  <c:v>105.83093409277535</c:v>
                </c:pt>
                <c:pt idx="321">
                  <c:v>106.21030859257269</c:v>
                </c:pt>
                <c:pt idx="322">
                  <c:v>105.79559509827369</c:v>
                </c:pt>
                <c:pt idx="323">
                  <c:v>105.2551163588364</c:v>
                </c:pt>
                <c:pt idx="324">
                  <c:v>105.5440646079971</c:v>
                </c:pt>
                <c:pt idx="325">
                  <c:v>105.51704067102524</c:v>
                </c:pt>
                <c:pt idx="326">
                  <c:v>105.7436259887124</c:v>
                </c:pt>
                <c:pt idx="327">
                  <c:v>106.27578967061987</c:v>
                </c:pt>
                <c:pt idx="328">
                  <c:v>105.89641517082256</c:v>
                </c:pt>
                <c:pt idx="329">
                  <c:v>105.15533566847876</c:v>
                </c:pt>
                <c:pt idx="330">
                  <c:v>104.66578665641153</c:v>
                </c:pt>
                <c:pt idx="331">
                  <c:v>105.23224995062945</c:v>
                </c:pt>
                <c:pt idx="332">
                  <c:v>105.80494953799473</c:v>
                </c:pt>
                <c:pt idx="333">
                  <c:v>105.44324453544823</c:v>
                </c:pt>
                <c:pt idx="334">
                  <c:v>105.67190861751786</c:v>
                </c:pt>
                <c:pt idx="335">
                  <c:v>105.56589163401284</c:v>
                </c:pt>
                <c:pt idx="336">
                  <c:v>105.55134028333569</c:v>
                </c:pt>
                <c:pt idx="337">
                  <c:v>105.05347621373865</c:v>
                </c:pt>
                <c:pt idx="338">
                  <c:v>105.59291557098472</c:v>
                </c:pt>
                <c:pt idx="339">
                  <c:v>105.19067466298043</c:v>
                </c:pt>
                <c:pt idx="340">
                  <c:v>105.23952562596803</c:v>
                </c:pt>
                <c:pt idx="341">
                  <c:v>105.3964723368431</c:v>
                </c:pt>
                <c:pt idx="342">
                  <c:v>105.9338329297067</c:v>
                </c:pt>
                <c:pt idx="343">
                  <c:v>105.7311534024177</c:v>
                </c:pt>
                <c:pt idx="344">
                  <c:v>105.09713026577013</c:v>
                </c:pt>
                <c:pt idx="345">
                  <c:v>105.1688476369647</c:v>
                </c:pt>
                <c:pt idx="346">
                  <c:v>104.97656193158797</c:v>
                </c:pt>
                <c:pt idx="347">
                  <c:v>105.13870555341916</c:v>
                </c:pt>
                <c:pt idx="348">
                  <c:v>105.3923148080782</c:v>
                </c:pt>
                <c:pt idx="349">
                  <c:v>105.25719512321888</c:v>
                </c:pt>
                <c:pt idx="350">
                  <c:v>105.88498196671911</c:v>
                </c:pt>
                <c:pt idx="351">
                  <c:v>106.54602904033854</c:v>
                </c:pt>
                <c:pt idx="352">
                  <c:v>106.29865607882685</c:v>
                </c:pt>
                <c:pt idx="353">
                  <c:v>106.43689391025984</c:v>
                </c:pt>
                <c:pt idx="354">
                  <c:v>106.77157497583447</c:v>
                </c:pt>
                <c:pt idx="355">
                  <c:v>107.52928459323789</c:v>
                </c:pt>
                <c:pt idx="356">
                  <c:v>107.13847688933707</c:v>
                </c:pt>
                <c:pt idx="357">
                  <c:v>107.13847688933708</c:v>
                </c:pt>
                <c:pt idx="358">
                  <c:v>107.45652783985211</c:v>
                </c:pt>
                <c:pt idx="359">
                  <c:v>107.8868320670195</c:v>
                </c:pt>
                <c:pt idx="360">
                  <c:v>108.27763977092029</c:v>
                </c:pt>
                <c:pt idx="361">
                  <c:v>108.23710386546249</c:v>
                </c:pt>
                <c:pt idx="362">
                  <c:v>108.2371038654625</c:v>
                </c:pt>
                <c:pt idx="363">
                  <c:v>108.17681969837142</c:v>
                </c:pt>
                <c:pt idx="364">
                  <c:v>108.35039652430609</c:v>
                </c:pt>
                <c:pt idx="365">
                  <c:v>107.57813555622552</c:v>
                </c:pt>
                <c:pt idx="366">
                  <c:v>108.04585754227702</c:v>
                </c:pt>
                <c:pt idx="367">
                  <c:v>108.02922742721742</c:v>
                </c:pt>
                <c:pt idx="368">
                  <c:v>108.17266216960654</c:v>
                </c:pt>
                <c:pt idx="369">
                  <c:v>108.15291390797326</c:v>
                </c:pt>
                <c:pt idx="370">
                  <c:v>107.38481046865759</c:v>
                </c:pt>
                <c:pt idx="371">
                  <c:v>107.61035640415352</c:v>
                </c:pt>
                <c:pt idx="372">
                  <c:v>107.71221585889363</c:v>
                </c:pt>
                <c:pt idx="373">
                  <c:v>107.38688923304004</c:v>
                </c:pt>
                <c:pt idx="374">
                  <c:v>106.96905759216736</c:v>
                </c:pt>
                <c:pt idx="375">
                  <c:v>106.12923678165714</c:v>
                </c:pt>
                <c:pt idx="376">
                  <c:v>106.28514411034097</c:v>
                </c:pt>
                <c:pt idx="377">
                  <c:v>105.84860359002624</c:v>
                </c:pt>
                <c:pt idx="378">
                  <c:v>106.14690627890798</c:v>
                </c:pt>
                <c:pt idx="379">
                  <c:v>105.6802236750477</c:v>
                </c:pt>
                <c:pt idx="380">
                  <c:v>106.01074721185742</c:v>
                </c:pt>
                <c:pt idx="381">
                  <c:v>106.58032865264903</c:v>
                </c:pt>
                <c:pt idx="382">
                  <c:v>106.36413715687412</c:v>
                </c:pt>
                <c:pt idx="383">
                  <c:v>106.14898504329044</c:v>
                </c:pt>
                <c:pt idx="384">
                  <c:v>106.5865649457964</c:v>
                </c:pt>
                <c:pt idx="385">
                  <c:v>107.06468075376013</c:v>
                </c:pt>
                <c:pt idx="386">
                  <c:v>106.62710085125418</c:v>
                </c:pt>
                <c:pt idx="387">
                  <c:v>106.69673945806629</c:v>
                </c:pt>
                <c:pt idx="388">
                  <c:v>106.69673945806629</c:v>
                </c:pt>
                <c:pt idx="389">
                  <c:v>107.09274407292322</c:v>
                </c:pt>
                <c:pt idx="390">
                  <c:v>106.91812786479734</c:v>
                </c:pt>
                <c:pt idx="391">
                  <c:v>105.96501439544353</c:v>
                </c:pt>
                <c:pt idx="392">
                  <c:v>105.64488468054606</c:v>
                </c:pt>
                <c:pt idx="393">
                  <c:v>105.39647233684316</c:v>
                </c:pt>
                <c:pt idx="394">
                  <c:v>104.13881988546026</c:v>
                </c:pt>
                <c:pt idx="395">
                  <c:v>103.37279521052706</c:v>
                </c:pt>
                <c:pt idx="396">
                  <c:v>103.52766315701966</c:v>
                </c:pt>
                <c:pt idx="397">
                  <c:v>103.44867011048652</c:v>
                </c:pt>
                <c:pt idx="398">
                  <c:v>103.54845080084417</c:v>
                </c:pt>
                <c:pt idx="399">
                  <c:v>103.92574653625904</c:v>
                </c:pt>
                <c:pt idx="400">
                  <c:v>104.55873029071539</c:v>
                </c:pt>
                <c:pt idx="401">
                  <c:v>104.76764611115172</c:v>
                </c:pt>
                <c:pt idx="402">
                  <c:v>105.06387003565099</c:v>
                </c:pt>
                <c:pt idx="403">
                  <c:v>105.07738200413694</c:v>
                </c:pt>
                <c:pt idx="404">
                  <c:v>104.59926619617319</c:v>
                </c:pt>
                <c:pt idx="405">
                  <c:v>105.54302522580598</c:v>
                </c:pt>
                <c:pt idx="406">
                  <c:v>105.39231480807827</c:v>
                </c:pt>
                <c:pt idx="407">
                  <c:v>105.62825456548646</c:v>
                </c:pt>
                <c:pt idx="408">
                  <c:v>106.10533099125897</c:v>
                </c:pt>
                <c:pt idx="409">
                  <c:v>106.42130317739154</c:v>
                </c:pt>
                <c:pt idx="410">
                  <c:v>106.38076727193373</c:v>
                </c:pt>
                <c:pt idx="411">
                  <c:v>105.84652482564383</c:v>
                </c:pt>
                <c:pt idx="412">
                  <c:v>105.87250938042448</c:v>
                </c:pt>
                <c:pt idx="413">
                  <c:v>106.3703734500215</c:v>
                </c:pt>
                <c:pt idx="414">
                  <c:v>106.34127074866718</c:v>
                </c:pt>
                <c:pt idx="415">
                  <c:v>106.3984367691846</c:v>
                </c:pt>
                <c:pt idx="416">
                  <c:v>106.73311783475921</c:v>
                </c:pt>
                <c:pt idx="417">
                  <c:v>107.11664986332146</c:v>
                </c:pt>
                <c:pt idx="418">
                  <c:v>107.15510700439678</c:v>
                </c:pt>
                <c:pt idx="419">
                  <c:v>107.3879286152313</c:v>
                </c:pt>
                <c:pt idx="420">
                  <c:v>107.54487532610636</c:v>
                </c:pt>
                <c:pt idx="421">
                  <c:v>107.34323518100861</c:v>
                </c:pt>
                <c:pt idx="422">
                  <c:v>107.27047842762283</c:v>
                </c:pt>
                <c:pt idx="423">
                  <c:v>107.54799347268005</c:v>
                </c:pt>
                <c:pt idx="424">
                  <c:v>107.40247996590848</c:v>
                </c:pt>
                <c:pt idx="425">
                  <c:v>108.01155792996666</c:v>
                </c:pt>
                <c:pt idx="426">
                  <c:v>108.10925985594186</c:v>
                </c:pt>
                <c:pt idx="427">
                  <c:v>108.08743282992612</c:v>
                </c:pt>
                <c:pt idx="428">
                  <c:v>107.5459147082976</c:v>
                </c:pt>
                <c:pt idx="429">
                  <c:v>107.15302824001435</c:v>
                </c:pt>
                <c:pt idx="430">
                  <c:v>107.66648304247977</c:v>
                </c:pt>
                <c:pt idx="431">
                  <c:v>108.29426988598</c:v>
                </c:pt>
                <c:pt idx="432">
                  <c:v>108.29426988598</c:v>
                </c:pt>
                <c:pt idx="433">
                  <c:v>108.88879649936101</c:v>
                </c:pt>
                <c:pt idx="434">
                  <c:v>108.94908066645208</c:v>
                </c:pt>
                <c:pt idx="435">
                  <c:v>109.16423278003576</c:v>
                </c:pt>
                <c:pt idx="436">
                  <c:v>109.20372930330232</c:v>
                </c:pt>
                <c:pt idx="437">
                  <c:v>108.65597488852647</c:v>
                </c:pt>
                <c:pt idx="438">
                  <c:v>108.81292159940153</c:v>
                </c:pt>
                <c:pt idx="439">
                  <c:v>108.87424514868384</c:v>
                </c:pt>
                <c:pt idx="440">
                  <c:v>109.54568604421554</c:v>
                </c:pt>
                <c:pt idx="441">
                  <c:v>109.47292929082975</c:v>
                </c:pt>
                <c:pt idx="442">
                  <c:v>109.43862967851932</c:v>
                </c:pt>
                <c:pt idx="443">
                  <c:v>108.96051387055557</c:v>
                </c:pt>
                <c:pt idx="444">
                  <c:v>108.91478105414166</c:v>
                </c:pt>
                <c:pt idx="445">
                  <c:v>109.18086289509539</c:v>
                </c:pt>
                <c:pt idx="446">
                  <c:v>109.40536944840011</c:v>
                </c:pt>
                <c:pt idx="447">
                  <c:v>109.85230379062708</c:v>
                </c:pt>
                <c:pt idx="448">
                  <c:v>110.10175551652122</c:v>
                </c:pt>
                <c:pt idx="449">
                  <c:v>110.55492615189556</c:v>
                </c:pt>
                <c:pt idx="450">
                  <c:v>110.10487366309491</c:v>
                </c:pt>
                <c:pt idx="451">
                  <c:v>109.98222656453029</c:v>
                </c:pt>
                <c:pt idx="452">
                  <c:v>110.80437787778969</c:v>
                </c:pt>
                <c:pt idx="453">
                  <c:v>110.92182806539819</c:v>
                </c:pt>
                <c:pt idx="454">
                  <c:v>110.72538483125658</c:v>
                </c:pt>
                <c:pt idx="455">
                  <c:v>110.2420721123367</c:v>
                </c:pt>
                <c:pt idx="456">
                  <c:v>109.95000571660233</c:v>
                </c:pt>
                <c:pt idx="457">
                  <c:v>109.97806903576543</c:v>
                </c:pt>
                <c:pt idx="458">
                  <c:v>109.71406595919413</c:v>
                </c:pt>
                <c:pt idx="459">
                  <c:v>109.72653854548884</c:v>
                </c:pt>
                <c:pt idx="460">
                  <c:v>110.55596553408682</c:v>
                </c:pt>
                <c:pt idx="461">
                  <c:v>110.62560414089893</c:v>
                </c:pt>
                <c:pt idx="462">
                  <c:v>110.20985126440873</c:v>
                </c:pt>
                <c:pt idx="463">
                  <c:v>110.22232385070343</c:v>
                </c:pt>
                <c:pt idx="464">
                  <c:v>110.54245356560088</c:v>
                </c:pt>
                <c:pt idx="465">
                  <c:v>110.22232385070343</c:v>
                </c:pt>
                <c:pt idx="466">
                  <c:v>110.16203968361235</c:v>
                </c:pt>
                <c:pt idx="467">
                  <c:v>109.48228373055086</c:v>
                </c:pt>
                <c:pt idx="468">
                  <c:v>110.2576628452051</c:v>
                </c:pt>
                <c:pt idx="469">
                  <c:v>110.54037480121846</c:v>
                </c:pt>
                <c:pt idx="470">
                  <c:v>110.61313155460424</c:v>
                </c:pt>
                <c:pt idx="471">
                  <c:v>110.56947750257275</c:v>
                </c:pt>
                <c:pt idx="472">
                  <c:v>110.10591304528616</c:v>
                </c:pt>
                <c:pt idx="473">
                  <c:v>110.68796707237246</c:v>
                </c:pt>
                <c:pt idx="474">
                  <c:v>110.91767053663331</c:v>
                </c:pt>
                <c:pt idx="475">
                  <c:v>110.15060647950887</c:v>
                </c:pt>
                <c:pt idx="476">
                  <c:v>108.98857718971871</c:v>
                </c:pt>
                <c:pt idx="477">
                  <c:v>109.1829416594779</c:v>
                </c:pt>
                <c:pt idx="478">
                  <c:v>109.52281963600866</c:v>
                </c:pt>
                <c:pt idx="479">
                  <c:v>109.60077330035057</c:v>
                </c:pt>
                <c:pt idx="480">
                  <c:v>109.94584818783746</c:v>
                </c:pt>
                <c:pt idx="481">
                  <c:v>109.88868216732006</c:v>
                </c:pt>
                <c:pt idx="482">
                  <c:v>109.657939320868</c:v>
                </c:pt>
                <c:pt idx="483">
                  <c:v>107.99908534367204</c:v>
                </c:pt>
                <c:pt idx="484">
                  <c:v>108.37118416813078</c:v>
                </c:pt>
                <c:pt idx="485">
                  <c:v>108.33792393801157</c:v>
                </c:pt>
                <c:pt idx="486">
                  <c:v>107.88267453825478</c:v>
                </c:pt>
                <c:pt idx="487">
                  <c:v>107.38584985084896</c:v>
                </c:pt>
                <c:pt idx="488">
                  <c:v>107.52304830009074</c:v>
                </c:pt>
                <c:pt idx="489">
                  <c:v>107.91385600399155</c:v>
                </c:pt>
                <c:pt idx="490">
                  <c:v>107.91385600399155</c:v>
                </c:pt>
                <c:pt idx="491">
                  <c:v>107.37233788236306</c:v>
                </c:pt>
                <c:pt idx="492">
                  <c:v>107.16550082630918</c:v>
                </c:pt>
                <c:pt idx="493">
                  <c:v>106.69154254711033</c:v>
                </c:pt>
                <c:pt idx="494">
                  <c:v>106.71960586627343</c:v>
                </c:pt>
                <c:pt idx="495">
                  <c:v>107.50122127407504</c:v>
                </c:pt>
                <c:pt idx="496">
                  <c:v>107.26424213447561</c:v>
                </c:pt>
                <c:pt idx="497">
                  <c:v>107.72884597395343</c:v>
                </c:pt>
                <c:pt idx="498">
                  <c:v>108.09055097649991</c:v>
                </c:pt>
                <c:pt idx="499">
                  <c:v>108.2080011641084</c:v>
                </c:pt>
                <c:pt idx="500">
                  <c:v>107.58021432060816</c:v>
                </c:pt>
                <c:pt idx="501">
                  <c:v>108.07807839020519</c:v>
                </c:pt>
                <c:pt idx="502">
                  <c:v>108.16226834769445</c:v>
                </c:pt>
                <c:pt idx="503">
                  <c:v>107.92840735466871</c:v>
                </c:pt>
                <c:pt idx="504">
                  <c:v>106.89837960316419</c:v>
                </c:pt>
                <c:pt idx="505">
                  <c:v>105.9546205735314</c:v>
                </c:pt>
                <c:pt idx="506">
                  <c:v>106.58656494579652</c:v>
                </c:pt>
                <c:pt idx="507">
                  <c:v>106.57409235950182</c:v>
                </c:pt>
                <c:pt idx="508">
                  <c:v>105.80494953799493</c:v>
                </c:pt>
                <c:pt idx="509">
                  <c:v>106.05855879265395</c:v>
                </c:pt>
                <c:pt idx="510">
                  <c:v>105.47442600118519</c:v>
                </c:pt>
                <c:pt idx="511">
                  <c:v>105.32891249441361</c:v>
                </c:pt>
                <c:pt idx="512">
                  <c:v>105.08569706166685</c:v>
                </c:pt>
                <c:pt idx="513">
                  <c:v>104.61797507561535</c:v>
                </c:pt>
                <c:pt idx="514">
                  <c:v>104.88717506314276</c:v>
                </c:pt>
                <c:pt idx="515">
                  <c:v>105.00774339732493</c:v>
                </c:pt>
                <c:pt idx="516">
                  <c:v>105.90369084616135</c:v>
                </c:pt>
                <c:pt idx="517">
                  <c:v>106.21966303229389</c:v>
                </c:pt>
                <c:pt idx="518">
                  <c:v>106.15730010082036</c:v>
                </c:pt>
                <c:pt idx="519">
                  <c:v>106.15106380767301</c:v>
                </c:pt>
                <c:pt idx="520">
                  <c:v>105.94214798723667</c:v>
                </c:pt>
                <c:pt idx="521">
                  <c:v>106.31216804731297</c:v>
                </c:pt>
                <c:pt idx="522">
                  <c:v>106.10013408030295</c:v>
                </c:pt>
                <c:pt idx="523">
                  <c:v>106.04192867759433</c:v>
                </c:pt>
                <c:pt idx="524">
                  <c:v>106.17393021587998</c:v>
                </c:pt>
                <c:pt idx="525">
                  <c:v>106.17393021587998</c:v>
                </c:pt>
                <c:pt idx="526">
                  <c:v>107.1727765016477</c:v>
                </c:pt>
                <c:pt idx="527">
                  <c:v>107.27047842762292</c:v>
                </c:pt>
                <c:pt idx="528">
                  <c:v>107.38065293989283</c:v>
                </c:pt>
                <c:pt idx="529">
                  <c:v>107.12808306742502</c:v>
                </c:pt>
                <c:pt idx="530">
                  <c:v>107.17901279479507</c:v>
                </c:pt>
                <c:pt idx="531">
                  <c:v>107.47419733710312</c:v>
                </c:pt>
                <c:pt idx="532">
                  <c:v>107.09690160168826</c:v>
                </c:pt>
                <c:pt idx="533">
                  <c:v>107.44093710698392</c:v>
                </c:pt>
                <c:pt idx="534">
                  <c:v>107.29958112897724</c:v>
                </c:pt>
                <c:pt idx="535">
                  <c:v>107.49394559873643</c:v>
                </c:pt>
                <c:pt idx="536">
                  <c:v>107.27983286734397</c:v>
                </c:pt>
                <c:pt idx="537">
                  <c:v>107.14887071124956</c:v>
                </c:pt>
                <c:pt idx="538">
                  <c:v>106.92332477575361</c:v>
                </c:pt>
                <c:pt idx="539">
                  <c:v>107.86812318757764</c:v>
                </c:pt>
                <c:pt idx="540">
                  <c:v>108.42731080645697</c:v>
                </c:pt>
                <c:pt idx="541">
                  <c:v>108.16642587645936</c:v>
                </c:pt>
                <c:pt idx="542">
                  <c:v>108.00947916558431</c:v>
                </c:pt>
                <c:pt idx="543">
                  <c:v>108.13420502853138</c:v>
                </c:pt>
                <c:pt idx="544">
                  <c:v>108.08847221211744</c:v>
                </c:pt>
                <c:pt idx="545">
                  <c:v>108.14459885044361</c:v>
                </c:pt>
                <c:pt idx="546">
                  <c:v>108.97922274999772</c:v>
                </c:pt>
                <c:pt idx="547">
                  <c:v>108.73184978848604</c:v>
                </c:pt>
                <c:pt idx="548">
                  <c:v>108.30362432570114</c:v>
                </c:pt>
                <c:pt idx="549">
                  <c:v>108.28491544625908</c:v>
                </c:pt>
                <c:pt idx="550">
                  <c:v>108.28491544625908</c:v>
                </c:pt>
                <c:pt idx="551">
                  <c:v>108.07288147924906</c:v>
                </c:pt>
                <c:pt idx="552">
                  <c:v>108.00428225462819</c:v>
                </c:pt>
                <c:pt idx="553">
                  <c:v>107.96582511355284</c:v>
                </c:pt>
                <c:pt idx="554">
                  <c:v>107.94919499849323</c:v>
                </c:pt>
                <c:pt idx="555">
                  <c:v>107.83694172184087</c:v>
                </c:pt>
                <c:pt idx="556">
                  <c:v>107.84525677937067</c:v>
                </c:pt>
                <c:pt idx="557">
                  <c:v>107.99596719709838</c:v>
                </c:pt>
                <c:pt idx="558">
                  <c:v>108.19760734219614</c:v>
                </c:pt>
                <c:pt idx="559">
                  <c:v>107.88683206701971</c:v>
                </c:pt>
                <c:pt idx="560">
                  <c:v>107.86500504100398</c:v>
                </c:pt>
                <c:pt idx="561">
                  <c:v>107.83902048622335</c:v>
                </c:pt>
                <c:pt idx="562">
                  <c:v>107.39000737961392</c:v>
                </c:pt>
                <c:pt idx="563">
                  <c:v>106.81938655663112</c:v>
                </c:pt>
                <c:pt idx="564">
                  <c:v>106.73207845256817</c:v>
                </c:pt>
                <c:pt idx="565">
                  <c:v>106.90253713192917</c:v>
                </c:pt>
                <c:pt idx="566">
                  <c:v>106.98776647160965</c:v>
                </c:pt>
                <c:pt idx="567">
                  <c:v>106.81315026348376</c:v>
                </c:pt>
                <c:pt idx="568">
                  <c:v>107.41183440562968</c:v>
                </c:pt>
                <c:pt idx="569">
                  <c:v>107.48666992339793</c:v>
                </c:pt>
                <c:pt idx="570">
                  <c:v>107.53552088638553</c:v>
                </c:pt>
                <c:pt idx="571">
                  <c:v>107.5594266767837</c:v>
                </c:pt>
                <c:pt idx="572">
                  <c:v>107.10417727702692</c:v>
                </c:pt>
                <c:pt idx="573">
                  <c:v>107.74859423558674</c:v>
                </c:pt>
                <c:pt idx="574">
                  <c:v>108.27971853530299</c:v>
                </c:pt>
                <c:pt idx="575">
                  <c:v>108.02714866283519</c:v>
                </c:pt>
                <c:pt idx="576">
                  <c:v>108.08639344773503</c:v>
                </c:pt>
                <c:pt idx="577">
                  <c:v>108.16226834769449</c:v>
                </c:pt>
                <c:pt idx="578">
                  <c:v>108.37534169689575</c:v>
                </c:pt>
                <c:pt idx="579">
                  <c:v>108.88983588155237</c:v>
                </c:pt>
                <c:pt idx="580">
                  <c:v>108.67988067892482</c:v>
                </c:pt>
                <c:pt idx="581">
                  <c:v>108.09262974088239</c:v>
                </c:pt>
                <c:pt idx="582">
                  <c:v>107.98245522861249</c:v>
                </c:pt>
                <c:pt idx="583">
                  <c:v>108.16954402303308</c:v>
                </c:pt>
                <c:pt idx="584">
                  <c:v>107.99388843271596</c:v>
                </c:pt>
                <c:pt idx="585">
                  <c:v>108.01467607654048</c:v>
                </c:pt>
                <c:pt idx="586">
                  <c:v>109.1673509266096</c:v>
                </c:pt>
                <c:pt idx="587">
                  <c:v>109.20165053892003</c:v>
                </c:pt>
                <c:pt idx="588">
                  <c:v>109.99989606178126</c:v>
                </c:pt>
                <c:pt idx="589">
                  <c:v>110.17243350552471</c:v>
                </c:pt>
                <c:pt idx="590">
                  <c:v>110.24207211233681</c:v>
                </c:pt>
                <c:pt idx="591">
                  <c:v>109.92921807277793</c:v>
                </c:pt>
                <c:pt idx="592">
                  <c:v>110.15580339046511</c:v>
                </c:pt>
                <c:pt idx="593">
                  <c:v>110.15788215484756</c:v>
                </c:pt>
                <c:pt idx="594">
                  <c:v>110.08408601927056</c:v>
                </c:pt>
                <c:pt idx="595">
                  <c:v>109.66001808525053</c:v>
                </c:pt>
                <c:pt idx="596">
                  <c:v>109.86269761253952</c:v>
                </c:pt>
                <c:pt idx="597">
                  <c:v>109.60389144692435</c:v>
                </c:pt>
                <c:pt idx="598">
                  <c:v>109.97079336042698</c:v>
                </c:pt>
                <c:pt idx="599">
                  <c:v>109.60077330035068</c:v>
                </c:pt>
                <c:pt idx="600">
                  <c:v>110.27845048902974</c:v>
                </c:pt>
                <c:pt idx="601">
                  <c:v>109.78786209477128</c:v>
                </c:pt>
                <c:pt idx="602">
                  <c:v>109.3201401087198</c:v>
                </c:pt>
                <c:pt idx="603">
                  <c:v>109.04990073900117</c:v>
                </c:pt>
                <c:pt idx="604">
                  <c:v>109.0509401211924</c:v>
                </c:pt>
                <c:pt idx="605">
                  <c:v>109.44694473604933</c:v>
                </c:pt>
                <c:pt idx="606">
                  <c:v>109.57790689214374</c:v>
                </c:pt>
                <c:pt idx="607">
                  <c:v>109.24322582656913</c:v>
                </c:pt>
                <c:pt idx="608">
                  <c:v>109.31702196214614</c:v>
                </c:pt>
                <c:pt idx="609">
                  <c:v>109.24218644437789</c:v>
                </c:pt>
                <c:pt idx="610">
                  <c:v>109.0228768020293</c:v>
                </c:pt>
                <c:pt idx="611">
                  <c:v>108.31609691199594</c:v>
                </c:pt>
                <c:pt idx="612">
                  <c:v>108.45433474342893</c:v>
                </c:pt>
                <c:pt idx="613">
                  <c:v>108.43874401056054</c:v>
                </c:pt>
                <c:pt idx="614">
                  <c:v>108.57386369541985</c:v>
                </c:pt>
                <c:pt idx="615">
                  <c:v>108.67364438577751</c:v>
                </c:pt>
                <c:pt idx="616">
                  <c:v>108.96467139932066</c:v>
                </c:pt>
                <c:pt idx="617">
                  <c:v>109.17254783756577</c:v>
                </c:pt>
                <c:pt idx="618">
                  <c:v>108.758873725458</c:v>
                </c:pt>
                <c:pt idx="619">
                  <c:v>108.758873725458</c:v>
                </c:pt>
                <c:pt idx="620">
                  <c:v>108.65597488852666</c:v>
                </c:pt>
                <c:pt idx="621">
                  <c:v>109.17046907318331</c:v>
                </c:pt>
                <c:pt idx="622">
                  <c:v>108.77966136928251</c:v>
                </c:pt>
                <c:pt idx="623">
                  <c:v>108.74744052135451</c:v>
                </c:pt>
                <c:pt idx="624">
                  <c:v>108.1768196983717</c:v>
                </c:pt>
                <c:pt idx="625">
                  <c:v>108.14875637920862</c:v>
                </c:pt>
                <c:pt idx="626">
                  <c:v>108.32545135171698</c:v>
                </c:pt>
                <c:pt idx="627">
                  <c:v>108.15499267235599</c:v>
                </c:pt>
                <c:pt idx="628">
                  <c:v>108.98441966095398</c:v>
                </c:pt>
                <c:pt idx="629">
                  <c:v>109.25154088409893</c:v>
                </c:pt>
                <c:pt idx="630">
                  <c:v>109.34196713473555</c:v>
                </c:pt>
                <c:pt idx="631">
                  <c:v>108.73496793505984</c:v>
                </c:pt>
                <c:pt idx="632">
                  <c:v>109.32949454844085</c:v>
                </c:pt>
                <c:pt idx="633">
                  <c:v>109.70159337289959</c:v>
                </c:pt>
                <c:pt idx="634">
                  <c:v>109.72134163453286</c:v>
                </c:pt>
                <c:pt idx="635">
                  <c:v>109.00624668696969</c:v>
                </c:pt>
                <c:pt idx="636">
                  <c:v>109.00624668696969</c:v>
                </c:pt>
                <c:pt idx="637">
                  <c:v>109.37106983608986</c:v>
                </c:pt>
                <c:pt idx="638">
                  <c:v>109.59557638939458</c:v>
                </c:pt>
                <c:pt idx="639">
                  <c:v>109.26089532381995</c:v>
                </c:pt>
                <c:pt idx="640">
                  <c:v>109.40433006620908</c:v>
                </c:pt>
                <c:pt idx="641">
                  <c:v>109.8772489632167</c:v>
                </c:pt>
                <c:pt idx="642">
                  <c:v>109.72861730987145</c:v>
                </c:pt>
                <c:pt idx="643">
                  <c:v>109.70159337289958</c:v>
                </c:pt>
                <c:pt idx="644">
                  <c:v>109.74524742493105</c:v>
                </c:pt>
                <c:pt idx="645">
                  <c:v>109.55815863051045</c:v>
                </c:pt>
                <c:pt idx="646">
                  <c:v>109.21516250740603</c:v>
                </c:pt>
                <c:pt idx="647">
                  <c:v>109.21516250740603</c:v>
                </c:pt>
                <c:pt idx="648">
                  <c:v>108.66532932824772</c:v>
                </c:pt>
                <c:pt idx="649">
                  <c:v>108.7900551911948</c:v>
                </c:pt>
                <c:pt idx="650">
                  <c:v>108.93452931577514</c:v>
                </c:pt>
                <c:pt idx="651">
                  <c:v>108.85345750485955</c:v>
                </c:pt>
                <c:pt idx="652">
                  <c:v>108.23190695450668</c:v>
                </c:pt>
                <c:pt idx="653">
                  <c:v>107.8702019519602</c:v>
                </c:pt>
                <c:pt idx="654">
                  <c:v>107.97310078889153</c:v>
                </c:pt>
                <c:pt idx="655">
                  <c:v>108.05313321761589</c:v>
                </c:pt>
                <c:pt idx="656">
                  <c:v>107.51681200694351</c:v>
                </c:pt>
                <c:pt idx="657">
                  <c:v>107.97621893546521</c:v>
                </c:pt>
                <c:pt idx="658">
                  <c:v>108.2121586928734</c:v>
                </c:pt>
                <c:pt idx="659">
                  <c:v>108.1342050285315</c:v>
                </c:pt>
                <c:pt idx="660">
                  <c:v>108.27763977092062</c:v>
                </c:pt>
                <c:pt idx="661">
                  <c:v>108.22255251478566</c:v>
                </c:pt>
                <c:pt idx="662">
                  <c:v>108.2080011641085</c:v>
                </c:pt>
                <c:pt idx="663">
                  <c:v>108.15707143673843</c:v>
                </c:pt>
                <c:pt idx="664">
                  <c:v>108.42211389550094</c:v>
                </c:pt>
                <c:pt idx="665">
                  <c:v>108.42731080645709</c:v>
                </c:pt>
                <c:pt idx="666">
                  <c:v>107.94919499849333</c:v>
                </c:pt>
                <c:pt idx="667">
                  <c:v>108.30882123665737</c:v>
                </c:pt>
                <c:pt idx="668">
                  <c:v>107.04389310993589</c:v>
                </c:pt>
                <c:pt idx="669">
                  <c:v>106.51900510336699</c:v>
                </c:pt>
                <c:pt idx="670">
                  <c:v>106.80483520595401</c:v>
                </c:pt>
                <c:pt idx="671">
                  <c:v>107.05428693184815</c:v>
                </c:pt>
                <c:pt idx="672">
                  <c:v>107.07923210443757</c:v>
                </c:pt>
                <c:pt idx="673">
                  <c:v>107.01167226200789</c:v>
                </c:pt>
                <c:pt idx="674">
                  <c:v>107.01582979077281</c:v>
                </c:pt>
                <c:pt idx="675">
                  <c:v>106.41194873767077</c:v>
                </c:pt>
                <c:pt idx="676">
                  <c:v>106.41714564862691</c:v>
                </c:pt>
                <c:pt idx="677">
                  <c:v>106.85680431551532</c:v>
                </c:pt>
                <c:pt idx="678">
                  <c:v>106.33607383771131</c:v>
                </c:pt>
                <c:pt idx="679">
                  <c:v>105.7373896955654</c:v>
                </c:pt>
                <c:pt idx="680">
                  <c:v>105.28837658895598</c:v>
                </c:pt>
                <c:pt idx="681">
                  <c:v>104.88405691656924</c:v>
                </c:pt>
                <c:pt idx="682">
                  <c:v>105.39231480807852</c:v>
                </c:pt>
                <c:pt idx="683">
                  <c:v>104.56808473043665</c:v>
                </c:pt>
                <c:pt idx="684">
                  <c:v>104.7084013262521</c:v>
                </c:pt>
                <c:pt idx="685">
                  <c:v>104.41113801956161</c:v>
                </c:pt>
                <c:pt idx="686">
                  <c:v>104.96720749186727</c:v>
                </c:pt>
                <c:pt idx="687">
                  <c:v>105.25823450541041</c:v>
                </c:pt>
                <c:pt idx="688">
                  <c:v>105.62617580110425</c:v>
                </c:pt>
                <c:pt idx="689">
                  <c:v>105.62617580110424</c:v>
                </c:pt>
                <c:pt idx="690">
                  <c:v>105.77376807225828</c:v>
                </c:pt>
                <c:pt idx="691">
                  <c:v>105.2904553533384</c:v>
                </c:pt>
                <c:pt idx="692">
                  <c:v>105.0545155959302</c:v>
                </c:pt>
                <c:pt idx="693">
                  <c:v>105.12623296712476</c:v>
                </c:pt>
                <c:pt idx="694">
                  <c:v>105.51600128883435</c:v>
                </c:pt>
                <c:pt idx="695">
                  <c:v>105.59915186413238</c:v>
                </c:pt>
                <c:pt idx="696">
                  <c:v>105.66151479560592</c:v>
                </c:pt>
                <c:pt idx="697">
                  <c:v>105.34242446289967</c:v>
                </c:pt>
                <c:pt idx="698">
                  <c:v>105.10232717672658</c:v>
                </c:pt>
                <c:pt idx="699">
                  <c:v>104.67721986051532</c:v>
                </c:pt>
                <c:pt idx="700">
                  <c:v>104.52754882497885</c:v>
                </c:pt>
                <c:pt idx="701">
                  <c:v>104.23132490047958</c:v>
                </c:pt>
                <c:pt idx="702">
                  <c:v>104.27186080593737</c:v>
                </c:pt>
                <c:pt idx="703">
                  <c:v>104.37787778944238</c:v>
                </c:pt>
                <c:pt idx="704">
                  <c:v>104.52027314964027</c:v>
                </c:pt>
                <c:pt idx="705">
                  <c:v>104.10348089095885</c:v>
                </c:pt>
                <c:pt idx="706">
                  <c:v>104.58679360987871</c:v>
                </c:pt>
                <c:pt idx="707">
                  <c:v>104.19390714159546</c:v>
                </c:pt>
                <c:pt idx="708">
                  <c:v>104.05151178139756</c:v>
                </c:pt>
                <c:pt idx="709">
                  <c:v>104.47973724418249</c:v>
                </c:pt>
                <c:pt idx="710">
                  <c:v>104.90588394258496</c:v>
                </c:pt>
                <c:pt idx="711">
                  <c:v>105.41933874505038</c:v>
                </c:pt>
                <c:pt idx="712">
                  <c:v>105.75713795719868</c:v>
                </c:pt>
                <c:pt idx="713">
                  <c:v>106.30281360759209</c:v>
                </c:pt>
                <c:pt idx="714">
                  <c:v>106.32983754456396</c:v>
                </c:pt>
                <c:pt idx="715">
                  <c:v>106.3319163089464</c:v>
                </c:pt>
                <c:pt idx="716">
                  <c:v>106.73935412790681</c:v>
                </c:pt>
                <c:pt idx="717">
                  <c:v>106.8204259388224</c:v>
                </c:pt>
                <c:pt idx="718">
                  <c:v>106.72064524846475</c:v>
                </c:pt>
                <c:pt idx="719">
                  <c:v>107.14159503591107</c:v>
                </c:pt>
                <c:pt idx="720">
                  <c:v>107.11353171674799</c:v>
                </c:pt>
                <c:pt idx="721">
                  <c:v>107.4721185727208</c:v>
                </c:pt>
                <c:pt idx="722">
                  <c:v>107.73404288490963</c:v>
                </c:pt>
                <c:pt idx="723">
                  <c:v>107.37545602893681</c:v>
                </c:pt>
                <c:pt idx="724">
                  <c:v>107.92321044371268</c:v>
                </c:pt>
                <c:pt idx="725">
                  <c:v>108.00116410805461</c:v>
                </c:pt>
                <c:pt idx="726">
                  <c:v>108.3836567544256</c:v>
                </c:pt>
                <c:pt idx="727">
                  <c:v>108.01155792996686</c:v>
                </c:pt>
                <c:pt idx="728">
                  <c:v>108.23294633669791</c:v>
                </c:pt>
                <c:pt idx="729">
                  <c:v>108.28595482845041</c:v>
                </c:pt>
                <c:pt idx="730">
                  <c:v>108.29426988598021</c:v>
                </c:pt>
                <c:pt idx="731">
                  <c:v>107.95231314506701</c:v>
                </c:pt>
                <c:pt idx="732">
                  <c:v>107.96894326012662</c:v>
                </c:pt>
                <c:pt idx="733">
                  <c:v>108.30674247227493</c:v>
                </c:pt>
                <c:pt idx="734">
                  <c:v>107.87747762729879</c:v>
                </c:pt>
                <c:pt idx="735">
                  <c:v>107.39312552618767</c:v>
                </c:pt>
                <c:pt idx="736">
                  <c:v>109.11953934581329</c:v>
                </c:pt>
                <c:pt idx="737">
                  <c:v>108.48031929820959</c:v>
                </c:pt>
                <c:pt idx="738">
                  <c:v>109.02079803764688</c:v>
                </c:pt>
                <c:pt idx="739">
                  <c:v>109.61012774007175</c:v>
                </c:pt>
                <c:pt idx="740">
                  <c:v>110.12254316034594</c:v>
                </c:pt>
                <c:pt idx="741">
                  <c:v>110.56843812038169</c:v>
                </c:pt>
                <c:pt idx="742">
                  <c:v>110.79606282026008</c:v>
                </c:pt>
                <c:pt idx="743">
                  <c:v>110.8137323175109</c:v>
                </c:pt>
                <c:pt idx="744">
                  <c:v>110.38342809034353</c:v>
                </c:pt>
                <c:pt idx="745">
                  <c:v>110.32314392325246</c:v>
                </c:pt>
                <c:pt idx="746">
                  <c:v>110.81477169970213</c:v>
                </c:pt>
                <c:pt idx="747">
                  <c:v>111.14113770774696</c:v>
                </c:pt>
                <c:pt idx="748">
                  <c:v>111.7408612320841</c:v>
                </c:pt>
                <c:pt idx="749">
                  <c:v>110.97483655715087</c:v>
                </c:pt>
                <c:pt idx="750">
                  <c:v>111.18063423101353</c:v>
                </c:pt>
                <c:pt idx="751">
                  <c:v>110.22440261508603</c:v>
                </c:pt>
                <c:pt idx="752">
                  <c:v>110.22440261508603</c:v>
                </c:pt>
                <c:pt idx="753">
                  <c:v>109.99573853301642</c:v>
                </c:pt>
                <c:pt idx="754">
                  <c:v>110.61417093679562</c:v>
                </c:pt>
                <c:pt idx="755">
                  <c:v>110.5279022149239</c:v>
                </c:pt>
                <c:pt idx="756">
                  <c:v>110.47593310536263</c:v>
                </c:pt>
                <c:pt idx="757">
                  <c:v>109.86373699473077</c:v>
                </c:pt>
                <c:pt idx="758">
                  <c:v>110.21504817536501</c:v>
                </c:pt>
                <c:pt idx="759">
                  <c:v>110.30443504381041</c:v>
                </c:pt>
                <c:pt idx="760">
                  <c:v>110.57155626695538</c:v>
                </c:pt>
                <c:pt idx="761">
                  <c:v>110.89688289280896</c:v>
                </c:pt>
                <c:pt idx="762">
                  <c:v>111.17127979129252</c:v>
                </c:pt>
                <c:pt idx="763">
                  <c:v>111.20661878579418</c:v>
                </c:pt>
                <c:pt idx="764">
                  <c:v>111.24507592686953</c:v>
                </c:pt>
                <c:pt idx="765">
                  <c:v>110.86362266268976</c:v>
                </c:pt>
                <c:pt idx="766">
                  <c:v>111.99239172236071</c:v>
                </c:pt>
                <c:pt idx="767">
                  <c:v>112.41126274542461</c:v>
                </c:pt>
                <c:pt idx="768">
                  <c:v>111.57871761025295</c:v>
                </c:pt>
                <c:pt idx="769">
                  <c:v>112.05267588945181</c:v>
                </c:pt>
                <c:pt idx="770">
                  <c:v>112.27718244275651</c:v>
                </c:pt>
                <c:pt idx="771">
                  <c:v>112.14206275789721</c:v>
                </c:pt>
                <c:pt idx="772">
                  <c:v>112.03708515658343</c:v>
                </c:pt>
                <c:pt idx="773">
                  <c:v>112.18363804554625</c:v>
                </c:pt>
                <c:pt idx="774">
                  <c:v>112.56093378096112</c:v>
                </c:pt>
                <c:pt idx="775">
                  <c:v>113.50988972155002</c:v>
                </c:pt>
                <c:pt idx="776">
                  <c:v>113.08270364095632</c:v>
                </c:pt>
                <c:pt idx="777">
                  <c:v>112.35825425367213</c:v>
                </c:pt>
                <c:pt idx="778">
                  <c:v>112.6461631206416</c:v>
                </c:pt>
                <c:pt idx="779">
                  <c:v>113.21574456143321</c:v>
                </c:pt>
                <c:pt idx="780">
                  <c:v>113.29681637234881</c:v>
                </c:pt>
                <c:pt idx="781">
                  <c:v>113.79883797071074</c:v>
                </c:pt>
                <c:pt idx="782">
                  <c:v>114.13663718285905</c:v>
                </c:pt>
                <c:pt idx="783">
                  <c:v>113.40699088461871</c:v>
                </c:pt>
                <c:pt idx="784">
                  <c:v>113.20535073952095</c:v>
                </c:pt>
                <c:pt idx="785">
                  <c:v>113.10245190258962</c:v>
                </c:pt>
                <c:pt idx="786">
                  <c:v>113.5036534284027</c:v>
                </c:pt>
                <c:pt idx="787">
                  <c:v>113.5036534284027</c:v>
                </c:pt>
                <c:pt idx="788">
                  <c:v>112.10880252777802</c:v>
                </c:pt>
                <c:pt idx="789">
                  <c:v>112.2137801290918</c:v>
                </c:pt>
                <c:pt idx="790">
                  <c:v>112.11088129216047</c:v>
                </c:pt>
                <c:pt idx="791">
                  <c:v>111.4685430979831</c:v>
                </c:pt>
                <c:pt idx="792">
                  <c:v>111.38019561172892</c:v>
                </c:pt>
                <c:pt idx="793">
                  <c:v>111.9237924977399</c:v>
                </c:pt>
                <c:pt idx="794">
                  <c:v>112.05475465383429</c:v>
                </c:pt>
                <c:pt idx="795">
                  <c:v>111.86974462379615</c:v>
                </c:pt>
                <c:pt idx="796">
                  <c:v>112.47882258785432</c:v>
                </c:pt>
                <c:pt idx="797">
                  <c:v>113.16481483406316</c:v>
                </c:pt>
                <c:pt idx="798">
                  <c:v>112.06930600451145</c:v>
                </c:pt>
                <c:pt idx="799">
                  <c:v>111.67330138965451</c:v>
                </c:pt>
                <c:pt idx="800">
                  <c:v>111.7824365197332</c:v>
                </c:pt>
                <c:pt idx="801">
                  <c:v>112.17844113459013</c:v>
                </c:pt>
                <c:pt idx="802">
                  <c:v>112.4538774152649</c:v>
                </c:pt>
                <c:pt idx="803">
                  <c:v>112.07969982642371</c:v>
                </c:pt>
                <c:pt idx="804">
                  <c:v>112.06930600451145</c:v>
                </c:pt>
                <c:pt idx="805">
                  <c:v>111.43840101443753</c:v>
                </c:pt>
                <c:pt idx="806">
                  <c:v>110.77215702986197</c:v>
                </c:pt>
                <c:pt idx="807">
                  <c:v>110.77215702986197</c:v>
                </c:pt>
                <c:pt idx="808">
                  <c:v>111.16712226252767</c:v>
                </c:pt>
                <c:pt idx="809">
                  <c:v>111.27937553918004</c:v>
                </c:pt>
                <c:pt idx="810">
                  <c:v>110.45410607934696</c:v>
                </c:pt>
                <c:pt idx="811">
                  <c:v>110.71395162715334</c:v>
                </c:pt>
                <c:pt idx="812">
                  <c:v>110.70355780524109</c:v>
                </c:pt>
                <c:pt idx="813">
                  <c:v>110.41149140950671</c:v>
                </c:pt>
                <c:pt idx="814">
                  <c:v>110.51646901082049</c:v>
                </c:pt>
                <c:pt idx="815">
                  <c:v>111.39682572678852</c:v>
                </c:pt>
                <c:pt idx="816">
                  <c:v>111.79386972383668</c:v>
                </c:pt>
                <c:pt idx="817">
                  <c:v>110.86985895583716</c:v>
                </c:pt>
                <c:pt idx="818">
                  <c:v>109.84918564405368</c:v>
                </c:pt>
                <c:pt idx="819">
                  <c:v>108.35767219964502</c:v>
                </c:pt>
                <c:pt idx="820">
                  <c:v>108.12485058881052</c:v>
                </c:pt>
                <c:pt idx="821">
                  <c:v>107.90034403550578</c:v>
                </c:pt>
                <c:pt idx="822">
                  <c:v>107.70078265479049</c:v>
                </c:pt>
                <c:pt idx="823">
                  <c:v>106.98464832503608</c:v>
                </c:pt>
                <c:pt idx="824">
                  <c:v>107.66648304248004</c:v>
                </c:pt>
                <c:pt idx="825">
                  <c:v>107.91905291494784</c:v>
                </c:pt>
                <c:pt idx="826">
                  <c:v>107.78913014104465</c:v>
                </c:pt>
                <c:pt idx="827">
                  <c:v>107.54487532610665</c:v>
                </c:pt>
                <c:pt idx="828">
                  <c:v>106.94411241957829</c:v>
                </c:pt>
                <c:pt idx="829">
                  <c:v>107.15302824001463</c:v>
                </c:pt>
                <c:pt idx="830">
                  <c:v>107.57293864526974</c:v>
                </c:pt>
                <c:pt idx="831">
                  <c:v>107.82966604650245</c:v>
                </c:pt>
                <c:pt idx="832">
                  <c:v>108.02922742721776</c:v>
                </c:pt>
                <c:pt idx="833">
                  <c:v>107.92009229713908</c:v>
                </c:pt>
                <c:pt idx="834">
                  <c:v>108.31090000103987</c:v>
                </c:pt>
                <c:pt idx="835">
                  <c:v>108.08743282992639</c:v>
                </c:pt>
                <c:pt idx="836">
                  <c:v>107.79328766980956</c:v>
                </c:pt>
                <c:pt idx="837">
                  <c:v>107.97414017108279</c:v>
                </c:pt>
                <c:pt idx="838">
                  <c:v>108.04273939570368</c:v>
                </c:pt>
                <c:pt idx="839">
                  <c:v>107.56670235212239</c:v>
                </c:pt>
                <c:pt idx="840">
                  <c:v>105.80391015580389</c:v>
                </c:pt>
                <c:pt idx="841">
                  <c:v>106.81522902786634</c:v>
                </c:pt>
                <c:pt idx="842">
                  <c:v>107.02726299487634</c:v>
                </c:pt>
                <c:pt idx="843">
                  <c:v>106.74559042105422</c:v>
                </c:pt>
                <c:pt idx="844">
                  <c:v>106.66451861013864</c:v>
                </c:pt>
                <c:pt idx="845">
                  <c:v>104.57224225920162</c:v>
                </c:pt>
                <c:pt idx="846">
                  <c:v>103.82596584590168</c:v>
                </c:pt>
                <c:pt idx="847">
                  <c:v>103.31147166124504</c:v>
                </c:pt>
                <c:pt idx="848">
                  <c:v>103.89872259928747</c:v>
                </c:pt>
                <c:pt idx="849">
                  <c:v>103.04746858467375</c:v>
                </c:pt>
                <c:pt idx="850">
                  <c:v>103.03291723399659</c:v>
                </c:pt>
                <c:pt idx="851">
                  <c:v>101.90518755651686</c:v>
                </c:pt>
                <c:pt idx="852">
                  <c:v>102.57662845204855</c:v>
                </c:pt>
                <c:pt idx="853">
                  <c:v>103.5598840049479</c:v>
                </c:pt>
                <c:pt idx="854">
                  <c:v>103.07345313945436</c:v>
                </c:pt>
                <c:pt idx="855">
                  <c:v>103.16284000789975</c:v>
                </c:pt>
                <c:pt idx="856">
                  <c:v>102.67952728897987</c:v>
                </c:pt>
                <c:pt idx="857">
                  <c:v>102.91754581077052</c:v>
                </c:pt>
                <c:pt idx="858">
                  <c:v>103.17947012295934</c:v>
                </c:pt>
                <c:pt idx="859">
                  <c:v>103.99434576088017</c:v>
                </c:pt>
                <c:pt idx="860">
                  <c:v>103.77191797195789</c:v>
                </c:pt>
                <c:pt idx="861">
                  <c:v>103.56404153371278</c:v>
                </c:pt>
                <c:pt idx="862">
                  <c:v>102.94768789431603</c:v>
                </c:pt>
                <c:pt idx="863">
                  <c:v>103.35096818451154</c:v>
                </c:pt>
                <c:pt idx="864">
                  <c:v>104.44751639625449</c:v>
                </c:pt>
                <c:pt idx="865">
                  <c:v>104.11283533067987</c:v>
                </c:pt>
                <c:pt idx="866">
                  <c:v>105.60019124632362</c:v>
                </c:pt>
                <c:pt idx="867">
                  <c:v>104.79674881250627</c:v>
                </c:pt>
                <c:pt idx="868">
                  <c:v>104.84559977549388</c:v>
                </c:pt>
                <c:pt idx="869">
                  <c:v>104.69592873995741</c:v>
                </c:pt>
                <c:pt idx="870">
                  <c:v>104.92147467545334</c:v>
                </c:pt>
                <c:pt idx="871">
                  <c:v>104.23756119362693</c:v>
                </c:pt>
                <c:pt idx="872">
                  <c:v>103.9143133321558</c:v>
                </c:pt>
                <c:pt idx="873">
                  <c:v>103.35096818451156</c:v>
                </c:pt>
                <c:pt idx="874">
                  <c:v>103.78127241167893</c:v>
                </c:pt>
                <c:pt idx="875">
                  <c:v>102.90923075324071</c:v>
                </c:pt>
                <c:pt idx="876">
                  <c:v>102.90923075324071</c:v>
                </c:pt>
                <c:pt idx="877">
                  <c:v>103.3405743625993</c:v>
                </c:pt>
                <c:pt idx="878">
                  <c:v>103.71475195144049</c:v>
                </c:pt>
                <c:pt idx="879">
                  <c:v>103.11606780929459</c:v>
                </c:pt>
                <c:pt idx="880">
                  <c:v>103.16803691885588</c:v>
                </c:pt>
                <c:pt idx="881">
                  <c:v>102.51946243153114</c:v>
                </c:pt>
                <c:pt idx="882">
                  <c:v>103.06409869973332</c:v>
                </c:pt>
                <c:pt idx="883">
                  <c:v>102.61820373969756</c:v>
                </c:pt>
                <c:pt idx="884">
                  <c:v>102.59117980272568</c:v>
                </c:pt>
                <c:pt idx="885">
                  <c:v>103.04642920248247</c:v>
                </c:pt>
                <c:pt idx="886">
                  <c:v>102.31886166862459</c:v>
                </c:pt>
                <c:pt idx="887">
                  <c:v>102.97159368471424</c:v>
                </c:pt>
                <c:pt idx="888">
                  <c:v>102.48724158360314</c:v>
                </c:pt>
                <c:pt idx="889">
                  <c:v>101.75655590317157</c:v>
                </c:pt>
                <c:pt idx="890">
                  <c:v>102.0423860057586</c:v>
                </c:pt>
                <c:pt idx="891">
                  <c:v>101.54971884711769</c:v>
                </c:pt>
                <c:pt idx="892">
                  <c:v>102.26897132344577</c:v>
                </c:pt>
                <c:pt idx="893">
                  <c:v>102.34588560559645</c:v>
                </c:pt>
                <c:pt idx="894">
                  <c:v>102.34588560559645</c:v>
                </c:pt>
                <c:pt idx="895">
                  <c:v>102.15256051802849</c:v>
                </c:pt>
                <c:pt idx="896">
                  <c:v>101.86984856201516</c:v>
                </c:pt>
                <c:pt idx="897">
                  <c:v>101.28779453492886</c:v>
                </c:pt>
                <c:pt idx="898">
                  <c:v>101.10382388708194</c:v>
                </c:pt>
                <c:pt idx="899">
                  <c:v>100.5726995873657</c:v>
                </c:pt>
                <c:pt idx="900">
                  <c:v>100.85229339680539</c:v>
                </c:pt>
                <c:pt idx="901">
                  <c:v>100.29310577792604</c:v>
                </c:pt>
                <c:pt idx="902">
                  <c:v>100.26608184095417</c:v>
                </c:pt>
                <c:pt idx="903">
                  <c:v>100.22658531768761</c:v>
                </c:pt>
                <c:pt idx="904">
                  <c:v>100.63506251883925</c:v>
                </c:pt>
                <c:pt idx="905">
                  <c:v>100.63506251883925</c:v>
                </c:pt>
                <c:pt idx="906">
                  <c:v>100.96662543784021</c:v>
                </c:pt>
                <c:pt idx="907">
                  <c:v>100.9988462857682</c:v>
                </c:pt>
                <c:pt idx="908">
                  <c:v>101.02690960493129</c:v>
                </c:pt>
                <c:pt idx="909">
                  <c:v>101.15475361445203</c:v>
                </c:pt>
                <c:pt idx="910">
                  <c:v>101.3699057280357</c:v>
                </c:pt>
                <c:pt idx="911">
                  <c:v>101.61312116078248</c:v>
                </c:pt>
                <c:pt idx="912">
                  <c:v>102.18166321938284</c:v>
                </c:pt>
                <c:pt idx="913">
                  <c:v>101.93740840444484</c:v>
                </c:pt>
                <c:pt idx="914">
                  <c:v>102.32301919738951</c:v>
                </c:pt>
                <c:pt idx="915">
                  <c:v>102.06525241396558</c:v>
                </c:pt>
                <c:pt idx="916">
                  <c:v>101.41252039787594</c:v>
                </c:pt>
                <c:pt idx="917">
                  <c:v>100.94168026525078</c:v>
                </c:pt>
                <c:pt idx="918">
                  <c:v>100.76082776397753</c:v>
                </c:pt>
                <c:pt idx="919">
                  <c:v>100.94895594058934</c:v>
                </c:pt>
                <c:pt idx="920">
                  <c:v>101.23478604317637</c:v>
                </c:pt>
                <c:pt idx="921">
                  <c:v>102.27001070563701</c:v>
                </c:pt>
                <c:pt idx="922">
                  <c:v>102.53193501782584</c:v>
                </c:pt>
                <c:pt idx="923">
                  <c:v>103.50791489538663</c:v>
                </c:pt>
                <c:pt idx="924">
                  <c:v>103.67109789940905</c:v>
                </c:pt>
                <c:pt idx="925">
                  <c:v>102.82608017794269</c:v>
                </c:pt>
                <c:pt idx="926">
                  <c:v>102.46853270416109</c:v>
                </c:pt>
                <c:pt idx="927">
                  <c:v>102.46333579320496</c:v>
                </c:pt>
                <c:pt idx="928">
                  <c:v>101.8417852428521</c:v>
                </c:pt>
                <c:pt idx="929">
                  <c:v>102.09747326189357</c:v>
                </c:pt>
                <c:pt idx="930">
                  <c:v>101.86880917982396</c:v>
                </c:pt>
                <c:pt idx="931">
                  <c:v>102.23467171113535</c:v>
                </c:pt>
                <c:pt idx="932">
                  <c:v>101.78357984014347</c:v>
                </c:pt>
                <c:pt idx="933">
                  <c:v>101.50814355946871</c:v>
                </c:pt>
                <c:pt idx="934">
                  <c:v>101.96651110579916</c:v>
                </c:pt>
                <c:pt idx="935">
                  <c:v>101.56011266902998</c:v>
                </c:pt>
                <c:pt idx="936">
                  <c:v>101.87712423735377</c:v>
                </c:pt>
                <c:pt idx="937">
                  <c:v>101.98314122085878</c:v>
                </c:pt>
                <c:pt idx="938">
                  <c:v>101.94260531540098</c:v>
                </c:pt>
                <c:pt idx="939">
                  <c:v>102.39057903981919</c:v>
                </c:pt>
                <c:pt idx="940">
                  <c:v>101.44266248142149</c:v>
                </c:pt>
                <c:pt idx="941">
                  <c:v>102.18997827691265</c:v>
                </c:pt>
                <c:pt idx="942">
                  <c:v>101.98625936743244</c:v>
                </c:pt>
                <c:pt idx="943">
                  <c:v>101.99145627838855</c:v>
                </c:pt>
                <c:pt idx="944">
                  <c:v>101.58713660600183</c:v>
                </c:pt>
                <c:pt idx="945">
                  <c:v>101.53724626082301</c:v>
                </c:pt>
                <c:pt idx="946">
                  <c:v>101.53724626082303</c:v>
                </c:pt>
                <c:pt idx="947">
                  <c:v>102.22012036045821</c:v>
                </c:pt>
                <c:pt idx="948">
                  <c:v>101.94572346197467</c:v>
                </c:pt>
                <c:pt idx="949">
                  <c:v>102.17542692623552</c:v>
                </c:pt>
                <c:pt idx="950">
                  <c:v>101.5767427840896</c:v>
                </c:pt>
                <c:pt idx="951">
                  <c:v>101.24829801166234</c:v>
                </c:pt>
                <c:pt idx="952">
                  <c:v>101.60168795667902</c:v>
                </c:pt>
                <c:pt idx="953">
                  <c:v>101.5964910457229</c:v>
                </c:pt>
                <c:pt idx="954">
                  <c:v>101.36886634584451</c:v>
                </c:pt>
                <c:pt idx="955">
                  <c:v>101.37718140337431</c:v>
                </c:pt>
              </c:numCache>
            </c:numRef>
          </c:val>
          <c:smooth val="0"/>
          <c:extLst>
            <c:ext xmlns:c16="http://schemas.microsoft.com/office/drawing/2014/chart" uri="{C3380CC4-5D6E-409C-BE32-E72D297353CC}">
              <c16:uniqueId val="{00000003-DDB5-4BA8-A66B-FD490C18AA1A}"/>
            </c:ext>
          </c:extLst>
        </c:ser>
        <c:dLbls>
          <c:showLegendKey val="0"/>
          <c:showVal val="0"/>
          <c:showCatName val="0"/>
          <c:showSerName val="0"/>
          <c:showPercent val="0"/>
          <c:showBubbleSize val="0"/>
        </c:dLbls>
        <c:smooth val="0"/>
        <c:axId val="709164400"/>
        <c:axId val="709162768"/>
      </c:lineChart>
      <c:dateAx>
        <c:axId val="709164400"/>
        <c:scaling>
          <c:orientation val="minMax"/>
        </c:scaling>
        <c:delete val="0"/>
        <c:axPos val="b"/>
        <c:numFmt formatCode="dd\/mm\/yy"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700" b="0" i="0" u="none" strike="noStrike" kern="1200" baseline="0">
                <a:solidFill>
                  <a:schemeClr val="tx1">
                    <a:lumMod val="65000"/>
                    <a:lumOff val="35000"/>
                  </a:schemeClr>
                </a:solidFill>
                <a:latin typeface="+mn-lt"/>
                <a:ea typeface="+mn-ea"/>
                <a:cs typeface="+mn-cs"/>
              </a:defRPr>
            </a:pPr>
            <a:endParaRPr lang="en-US"/>
          </a:p>
        </c:txPr>
        <c:crossAx val="709162768"/>
        <c:crosses val="autoZero"/>
        <c:auto val="1"/>
        <c:lblOffset val="100"/>
        <c:baseTimeUnit val="days"/>
      </c:dateAx>
      <c:valAx>
        <c:axId val="709162768"/>
        <c:scaling>
          <c:orientation val="minMax"/>
          <c:max val="200"/>
          <c:min val="6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700" b="0" i="0" u="none" strike="noStrike" kern="1200" baseline="0">
                    <a:solidFill>
                      <a:schemeClr val="bg2">
                        <a:lumMod val="75000"/>
                      </a:schemeClr>
                    </a:solidFill>
                    <a:latin typeface="+mn-lt"/>
                    <a:ea typeface="+mn-ea"/>
                    <a:cs typeface="+mn-cs"/>
                  </a:defRPr>
                </a:pPr>
                <a:r>
                  <a:rPr lang="hy-AM" sz="700" b="0" i="0" u="none" strike="noStrike" baseline="0">
                    <a:solidFill>
                      <a:schemeClr val="bg2">
                        <a:lumMod val="75000"/>
                      </a:schemeClr>
                    </a:solidFill>
                    <a:effectLst/>
                  </a:rPr>
                  <a:t>Ինդեքս՝ </a:t>
                </a:r>
                <a:r>
                  <a:rPr lang="en-US" sz="700" b="0" i="0" u="none" strike="noStrike" baseline="0">
                    <a:solidFill>
                      <a:schemeClr val="bg2">
                        <a:lumMod val="75000"/>
                      </a:schemeClr>
                    </a:solidFill>
                    <a:effectLst/>
                  </a:rPr>
                  <a:t>202</a:t>
                </a:r>
                <a:r>
                  <a:rPr lang="hy-AM" sz="700" b="0" i="0" u="none" strike="noStrike" baseline="0">
                    <a:solidFill>
                      <a:schemeClr val="bg2">
                        <a:lumMod val="75000"/>
                      </a:schemeClr>
                    </a:solidFill>
                    <a:effectLst/>
                  </a:rPr>
                  <a:t>թ թ. հունվարի </a:t>
                </a:r>
                <a:r>
                  <a:rPr lang="en-US" sz="700" b="0" i="0" u="none" strike="noStrike" baseline="0">
                    <a:solidFill>
                      <a:schemeClr val="bg2">
                        <a:lumMod val="75000"/>
                      </a:schemeClr>
                    </a:solidFill>
                    <a:effectLst/>
                  </a:rPr>
                  <a:t>2</a:t>
                </a:r>
                <a:r>
                  <a:rPr lang="hy-AM" sz="700" b="0" i="0" u="none" strike="noStrike" baseline="0">
                    <a:solidFill>
                      <a:schemeClr val="bg2">
                        <a:lumMod val="75000"/>
                      </a:schemeClr>
                    </a:solidFill>
                    <a:effectLst/>
                  </a:rPr>
                  <a:t>=100</a:t>
                </a:r>
                <a:endParaRPr lang="en-US" sz="700">
                  <a:solidFill>
                    <a:schemeClr val="bg2">
                      <a:lumMod val="75000"/>
                    </a:schemeClr>
                  </a:solidFill>
                </a:endParaRPr>
              </a:p>
            </c:rich>
          </c:tx>
          <c:layout>
            <c:manualLayout>
              <c:xMode val="edge"/>
              <c:yMode val="edge"/>
              <c:x val="7.751937984496143E-3"/>
              <c:y val="8.4670206921809224E-2"/>
            </c:manualLayout>
          </c:layout>
          <c:overlay val="0"/>
          <c:spPr>
            <a:noFill/>
            <a:ln>
              <a:noFill/>
            </a:ln>
            <a:effectLst/>
          </c:spPr>
        </c:title>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700" b="0" i="0" u="none" strike="noStrike" kern="1200" baseline="0">
                <a:solidFill>
                  <a:schemeClr val="bg2">
                    <a:lumMod val="75000"/>
                  </a:schemeClr>
                </a:solidFill>
                <a:latin typeface="+mn-lt"/>
                <a:ea typeface="+mn-ea"/>
                <a:cs typeface="+mn-cs"/>
              </a:defRPr>
            </a:pPr>
            <a:endParaRPr lang="en-US"/>
          </a:p>
        </c:txPr>
        <c:crossAx val="709164400"/>
        <c:crosses val="autoZero"/>
        <c:crossBetween val="between"/>
      </c:valAx>
      <c:spPr>
        <a:noFill/>
        <a:ln>
          <a:noFill/>
        </a:ln>
        <a:effectLst/>
      </c:spPr>
    </c:plotArea>
    <c:legend>
      <c:legendPos val="b"/>
      <c:layout>
        <c:manualLayout>
          <c:xMode val="edge"/>
          <c:yMode val="edge"/>
          <c:x val="3.0381944444444444E-2"/>
          <c:y val="0.84068817055762768"/>
          <c:w val="0.96350236493875763"/>
          <c:h val="0.15931157042869643"/>
        </c:manualLayout>
      </c:layout>
      <c:overlay val="0"/>
      <c:spPr>
        <a:noFill/>
        <a:ln>
          <a:noFill/>
        </a:ln>
        <a:effectLst/>
      </c:spPr>
      <c:txPr>
        <a:bodyPr rot="0" spcFirstLastPara="1" vertOverflow="ellipsis" vert="horz" wrap="square" anchor="ctr" anchorCtr="1"/>
        <a:lstStyle/>
        <a:p>
          <a:pPr algn="just">
            <a:defRPr sz="600" b="0" i="0" u="none" strike="noStrike" kern="1200" baseline="0">
              <a:solidFill>
                <a:schemeClr val="tx1">
                  <a:lumMod val="65000"/>
                  <a:lumOff val="35000"/>
                </a:schemeClr>
              </a:solidFill>
              <a:latin typeface="Calibri" panose="020F0502020204030204" pitchFamily="34" charset="0"/>
              <a:ea typeface="Calibri" panose="020F0502020204030204" pitchFamily="34" charset="0"/>
              <a:cs typeface="Calibri" panose="020F0502020204030204" pitchFamily="34" charset="0"/>
            </a:defRPr>
          </a:pPr>
          <a:endParaRPr lang="en-US"/>
        </a:p>
      </c:txPr>
    </c:legend>
    <c:plotVisOnly val="1"/>
    <c:dispBlanksAs val="gap"/>
    <c:showDLblsOverMax val="0"/>
  </c:chart>
  <c:spPr>
    <a:noFill/>
    <a:ln w="12700" cap="flat" cmpd="sng" algn="ctr">
      <a:solidFill>
        <a:srgbClr val="FFFFFF"/>
      </a:solidFill>
      <a:round/>
    </a:ln>
    <a:effectLst/>
  </c:spPr>
  <c:txPr>
    <a:bodyPr/>
    <a:lstStyle/>
    <a:p>
      <a:pPr>
        <a:defRPr/>
      </a:pPr>
      <a:endParaRPr lang="en-US"/>
    </a:p>
  </c:txPr>
  <c:externalData r:id="rId2">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21600298009623797"/>
          <c:y val="7.3494726202702934E-2"/>
          <c:w val="0.71511783683289587"/>
          <c:h val="0.52144308048450461"/>
        </c:manualLayout>
      </c:layout>
      <c:lineChart>
        <c:grouping val="standard"/>
        <c:varyColors val="0"/>
        <c:ser>
          <c:idx val="1"/>
          <c:order val="0"/>
          <c:tx>
            <c:strRef>
              <c:f>Sheet1!$D$1</c:f>
              <c:strCache>
                <c:ptCount val="1"/>
                <c:pt idx="0">
                  <c:v>DAX (Գերմանիա)</c:v>
                </c:pt>
              </c:strCache>
            </c:strRef>
          </c:tx>
          <c:spPr>
            <a:ln w="28575" cap="rnd">
              <a:solidFill>
                <a:srgbClr val="ED7D31">
                  <a:lumMod val="60000"/>
                  <a:lumOff val="40000"/>
                </a:srgbClr>
              </a:solidFill>
              <a:round/>
            </a:ln>
            <a:effectLst/>
          </c:spPr>
          <c:marker>
            <c:symbol val="none"/>
          </c:marker>
          <c:cat>
            <c:multiLvlStrRef>
              <c:f>Sheet1!$A$2:$B$81</c:f>
              <c:multiLvlStrCache>
                <c:ptCount val="44"/>
                <c:lvl>
                  <c:pt idx="0">
                    <c:v>1</c:v>
                  </c:pt>
                  <c:pt idx="1">
                    <c:v>2</c:v>
                  </c:pt>
                  <c:pt idx="2">
                    <c:v>3</c:v>
                  </c:pt>
                  <c:pt idx="3">
                    <c:v>4</c:v>
                  </c:pt>
                  <c:pt idx="4">
                    <c:v>5</c:v>
                  </c:pt>
                  <c:pt idx="5">
                    <c:v>6</c:v>
                  </c:pt>
                  <c:pt idx="6">
                    <c:v>7</c:v>
                  </c:pt>
                  <c:pt idx="7">
                    <c:v>8</c:v>
                  </c:pt>
                  <c:pt idx="8">
                    <c:v>9</c:v>
                  </c:pt>
                  <c:pt idx="9">
                    <c:v>10</c:v>
                  </c:pt>
                  <c:pt idx="10">
                    <c:v>11</c:v>
                  </c:pt>
                  <c:pt idx="11">
                    <c:v>12</c:v>
                  </c:pt>
                  <c:pt idx="12">
                    <c:v>1</c:v>
                  </c:pt>
                  <c:pt idx="13">
                    <c:v>2</c:v>
                  </c:pt>
                  <c:pt idx="14">
                    <c:v>3</c:v>
                  </c:pt>
                  <c:pt idx="15">
                    <c:v>4</c:v>
                  </c:pt>
                  <c:pt idx="16">
                    <c:v>5</c:v>
                  </c:pt>
                  <c:pt idx="17">
                    <c:v>6</c:v>
                  </c:pt>
                  <c:pt idx="18">
                    <c:v>7</c:v>
                  </c:pt>
                  <c:pt idx="19">
                    <c:v>8</c:v>
                  </c:pt>
                  <c:pt idx="20">
                    <c:v>9</c:v>
                  </c:pt>
                  <c:pt idx="21">
                    <c:v>10</c:v>
                  </c:pt>
                  <c:pt idx="22">
                    <c:v>11</c:v>
                  </c:pt>
                  <c:pt idx="23">
                    <c:v>12</c:v>
                  </c:pt>
                  <c:pt idx="24">
                    <c:v>1</c:v>
                  </c:pt>
                  <c:pt idx="25">
                    <c:v>2</c:v>
                  </c:pt>
                  <c:pt idx="26">
                    <c:v>3</c:v>
                  </c:pt>
                  <c:pt idx="27">
                    <c:v>4</c:v>
                  </c:pt>
                  <c:pt idx="28">
                    <c:v>5</c:v>
                  </c:pt>
                  <c:pt idx="29">
                    <c:v>6</c:v>
                  </c:pt>
                  <c:pt idx="30">
                    <c:v>7</c:v>
                  </c:pt>
                  <c:pt idx="31">
                    <c:v>8</c:v>
                  </c:pt>
                  <c:pt idx="32">
                    <c:v>9</c:v>
                  </c:pt>
                  <c:pt idx="33">
                    <c:v>10</c:v>
                  </c:pt>
                  <c:pt idx="34">
                    <c:v>11</c:v>
                  </c:pt>
                  <c:pt idx="35">
                    <c:v>12</c:v>
                  </c:pt>
                  <c:pt idx="36">
                    <c:v>1</c:v>
                  </c:pt>
                  <c:pt idx="37">
                    <c:v>2</c:v>
                  </c:pt>
                  <c:pt idx="38">
                    <c:v>3</c:v>
                  </c:pt>
                  <c:pt idx="39">
                    <c:v>4</c:v>
                  </c:pt>
                  <c:pt idx="40">
                    <c:v>5</c:v>
                  </c:pt>
                  <c:pt idx="41">
                    <c:v>6</c:v>
                  </c:pt>
                  <c:pt idx="42">
                    <c:v>7</c:v>
                  </c:pt>
                  <c:pt idx="43">
                    <c:v>8</c:v>
                  </c:pt>
                </c:lvl>
                <c:lvl>
                  <c:pt idx="0">
                    <c:v>2022</c:v>
                  </c:pt>
                  <c:pt idx="12">
                    <c:v>2023</c:v>
                  </c:pt>
                  <c:pt idx="24">
                    <c:v>2024</c:v>
                  </c:pt>
                  <c:pt idx="36">
                    <c:v>2025</c:v>
                  </c:pt>
                </c:lvl>
              </c:multiLvlStrCache>
            </c:multiLvlStrRef>
          </c:cat>
          <c:val>
            <c:numRef>
              <c:f>Sheet1!$D$2:$D$81</c:f>
              <c:numCache>
                <c:formatCode>0.0</c:formatCode>
                <c:ptCount val="44"/>
                <c:pt idx="0">
                  <c:v>100</c:v>
                </c:pt>
                <c:pt idx="1">
                  <c:v>93.470577589327263</c:v>
                </c:pt>
                <c:pt idx="2">
                  <c:v>93.171505765551473</c:v>
                </c:pt>
                <c:pt idx="3">
                  <c:v>91.123377630694449</c:v>
                </c:pt>
                <c:pt idx="4">
                  <c:v>93.000866125445995</c:v>
                </c:pt>
                <c:pt idx="5">
                  <c:v>82.629466363307316</c:v>
                </c:pt>
                <c:pt idx="6">
                  <c:v>87.155812089559959</c:v>
                </c:pt>
                <c:pt idx="7">
                  <c:v>82.960339210920935</c:v>
                </c:pt>
                <c:pt idx="8">
                  <c:v>78.302652670768921</c:v>
                </c:pt>
                <c:pt idx="9">
                  <c:v>85.667175138321539</c:v>
                </c:pt>
                <c:pt idx="10">
                  <c:v>93.057035006980726</c:v>
                </c:pt>
                <c:pt idx="11">
                  <c:v>89.996832824861684</c:v>
                </c:pt>
                <c:pt idx="12">
                  <c:v>97.783429856766134</c:v>
                </c:pt>
                <c:pt idx="13">
                  <c:v>99.314468173121682</c:v>
                </c:pt>
                <c:pt idx="14">
                  <c:v>101.01892548735718</c:v>
                </c:pt>
                <c:pt idx="15">
                  <c:v>102.91625730389372</c:v>
                </c:pt>
                <c:pt idx="16">
                  <c:v>101.24631573504321</c:v>
                </c:pt>
                <c:pt idx="17">
                  <c:v>104.37393350224936</c:v>
                </c:pt>
                <c:pt idx="18">
                  <c:v>106.30610424530744</c:v>
                </c:pt>
                <c:pt idx="19">
                  <c:v>103.07590878535603</c:v>
                </c:pt>
                <c:pt idx="20">
                  <c:v>99.453048244480087</c:v>
                </c:pt>
                <c:pt idx="21">
                  <c:v>95.728450281813977</c:v>
                </c:pt>
                <c:pt idx="22">
                  <c:v>104.81042194529194</c:v>
                </c:pt>
                <c:pt idx="23">
                  <c:v>108.27628109002536</c:v>
                </c:pt>
                <c:pt idx="24">
                  <c:v>109.2595273799059</c:v>
                </c:pt>
                <c:pt idx="25">
                  <c:v>114.26515073168211</c:v>
                </c:pt>
                <c:pt idx="26">
                  <c:v>119.52847872175401</c:v>
                </c:pt>
                <c:pt idx="27">
                  <c:v>115.90678163296967</c:v>
                </c:pt>
                <c:pt idx="28">
                  <c:v>119.56370546563942</c:v>
                </c:pt>
                <c:pt idx="29">
                  <c:v>117.86706913490879</c:v>
                </c:pt>
                <c:pt idx="30">
                  <c:v>119.63293086509132</c:v>
                </c:pt>
                <c:pt idx="31">
                  <c:v>122.20719789027358</c:v>
                </c:pt>
                <c:pt idx="32">
                  <c:v>124.9090568281711</c:v>
                </c:pt>
                <c:pt idx="33">
                  <c:v>123.31002120068261</c:v>
                </c:pt>
                <c:pt idx="34">
                  <c:v>126.85796835410318</c:v>
                </c:pt>
                <c:pt idx="35">
                  <c:v>128.68516986400545</c:v>
                </c:pt>
                <c:pt idx="36">
                  <c:v>140.46777237706198</c:v>
                </c:pt>
                <c:pt idx="37">
                  <c:v>145.76393557060871</c:v>
                </c:pt>
                <c:pt idx="38">
                  <c:v>143.25643776824043</c:v>
                </c:pt>
                <c:pt idx="39">
                  <c:v>145.41199131289113</c:v>
                </c:pt>
                <c:pt idx="40">
                  <c:v>155.11065722115941</c:v>
                </c:pt>
                <c:pt idx="41">
                  <c:v>154.54269869176287</c:v>
                </c:pt>
                <c:pt idx="42">
                  <c:v>155.55011893065839</c:v>
                </c:pt>
                <c:pt idx="43">
                  <c:v>154.49486788355151</c:v>
                </c:pt>
              </c:numCache>
            </c:numRef>
          </c:val>
          <c:smooth val="0"/>
          <c:extLst>
            <c:ext xmlns:c16="http://schemas.microsoft.com/office/drawing/2014/chart" uri="{C3380CC4-5D6E-409C-BE32-E72D297353CC}">
              <c16:uniqueId val="{00000000-8A17-4D7C-8C4E-A4EB6493732A}"/>
            </c:ext>
          </c:extLst>
        </c:ser>
        <c:ser>
          <c:idx val="2"/>
          <c:order val="1"/>
          <c:tx>
            <c:strRef>
              <c:f>Sheet1!$E$1</c:f>
              <c:strCache>
                <c:ptCount val="1"/>
                <c:pt idx="0">
                  <c:v>MOEX (ՌԴ)</c:v>
                </c:pt>
              </c:strCache>
            </c:strRef>
          </c:tx>
          <c:spPr>
            <a:ln w="28575" cap="rnd">
              <a:solidFill>
                <a:srgbClr val="4472C4">
                  <a:lumMod val="75000"/>
                </a:srgbClr>
              </a:solidFill>
              <a:round/>
            </a:ln>
            <a:effectLst/>
          </c:spPr>
          <c:marker>
            <c:symbol val="none"/>
          </c:marker>
          <c:cat>
            <c:multiLvlStrRef>
              <c:f>Sheet1!$A$2:$B$81</c:f>
              <c:multiLvlStrCache>
                <c:ptCount val="44"/>
                <c:lvl>
                  <c:pt idx="0">
                    <c:v>1</c:v>
                  </c:pt>
                  <c:pt idx="1">
                    <c:v>2</c:v>
                  </c:pt>
                  <c:pt idx="2">
                    <c:v>3</c:v>
                  </c:pt>
                  <c:pt idx="3">
                    <c:v>4</c:v>
                  </c:pt>
                  <c:pt idx="4">
                    <c:v>5</c:v>
                  </c:pt>
                  <c:pt idx="5">
                    <c:v>6</c:v>
                  </c:pt>
                  <c:pt idx="6">
                    <c:v>7</c:v>
                  </c:pt>
                  <c:pt idx="7">
                    <c:v>8</c:v>
                  </c:pt>
                  <c:pt idx="8">
                    <c:v>9</c:v>
                  </c:pt>
                  <c:pt idx="9">
                    <c:v>10</c:v>
                  </c:pt>
                  <c:pt idx="10">
                    <c:v>11</c:v>
                  </c:pt>
                  <c:pt idx="11">
                    <c:v>12</c:v>
                  </c:pt>
                  <c:pt idx="12">
                    <c:v>1</c:v>
                  </c:pt>
                  <c:pt idx="13">
                    <c:v>2</c:v>
                  </c:pt>
                  <c:pt idx="14">
                    <c:v>3</c:v>
                  </c:pt>
                  <c:pt idx="15">
                    <c:v>4</c:v>
                  </c:pt>
                  <c:pt idx="16">
                    <c:v>5</c:v>
                  </c:pt>
                  <c:pt idx="17">
                    <c:v>6</c:v>
                  </c:pt>
                  <c:pt idx="18">
                    <c:v>7</c:v>
                  </c:pt>
                  <c:pt idx="19">
                    <c:v>8</c:v>
                  </c:pt>
                  <c:pt idx="20">
                    <c:v>9</c:v>
                  </c:pt>
                  <c:pt idx="21">
                    <c:v>10</c:v>
                  </c:pt>
                  <c:pt idx="22">
                    <c:v>11</c:v>
                  </c:pt>
                  <c:pt idx="23">
                    <c:v>12</c:v>
                  </c:pt>
                  <c:pt idx="24">
                    <c:v>1</c:v>
                  </c:pt>
                  <c:pt idx="25">
                    <c:v>2</c:v>
                  </c:pt>
                  <c:pt idx="26">
                    <c:v>3</c:v>
                  </c:pt>
                  <c:pt idx="27">
                    <c:v>4</c:v>
                  </c:pt>
                  <c:pt idx="28">
                    <c:v>5</c:v>
                  </c:pt>
                  <c:pt idx="29">
                    <c:v>6</c:v>
                  </c:pt>
                  <c:pt idx="30">
                    <c:v>7</c:v>
                  </c:pt>
                  <c:pt idx="31">
                    <c:v>8</c:v>
                  </c:pt>
                  <c:pt idx="32">
                    <c:v>9</c:v>
                  </c:pt>
                  <c:pt idx="33">
                    <c:v>10</c:v>
                  </c:pt>
                  <c:pt idx="34">
                    <c:v>11</c:v>
                  </c:pt>
                  <c:pt idx="35">
                    <c:v>12</c:v>
                  </c:pt>
                  <c:pt idx="36">
                    <c:v>1</c:v>
                  </c:pt>
                  <c:pt idx="37">
                    <c:v>2</c:v>
                  </c:pt>
                  <c:pt idx="38">
                    <c:v>3</c:v>
                  </c:pt>
                  <c:pt idx="39">
                    <c:v>4</c:v>
                  </c:pt>
                  <c:pt idx="40">
                    <c:v>5</c:v>
                  </c:pt>
                  <c:pt idx="41">
                    <c:v>6</c:v>
                  </c:pt>
                  <c:pt idx="42">
                    <c:v>7</c:v>
                  </c:pt>
                  <c:pt idx="43">
                    <c:v>8</c:v>
                  </c:pt>
                </c:lvl>
                <c:lvl>
                  <c:pt idx="0">
                    <c:v>2022</c:v>
                  </c:pt>
                  <c:pt idx="12">
                    <c:v>2023</c:v>
                  </c:pt>
                  <c:pt idx="24">
                    <c:v>2024</c:v>
                  </c:pt>
                  <c:pt idx="36">
                    <c:v>2025</c:v>
                  </c:pt>
                </c:lvl>
              </c:multiLvlStrCache>
            </c:multiLvlStrRef>
          </c:cat>
          <c:val>
            <c:numRef>
              <c:f>Sheet1!$E$2:$E$81</c:f>
              <c:numCache>
                <c:formatCode>0.0</c:formatCode>
                <c:ptCount val="44"/>
                <c:pt idx="0">
                  <c:v>100</c:v>
                </c:pt>
                <c:pt idx="1">
                  <c:v>69.977736107727779</c:v>
                </c:pt>
                <c:pt idx="2">
                  <c:v>76.578441980749957</c:v>
                </c:pt>
                <c:pt idx="3">
                  <c:v>69.260816116112153</c:v>
                </c:pt>
                <c:pt idx="4">
                  <c:v>66.727944300613544</c:v>
                </c:pt>
                <c:pt idx="5">
                  <c:v>62.45361689109955</c:v>
                </c:pt>
                <c:pt idx="6">
                  <c:v>62.70741393277779</c:v>
                </c:pt>
                <c:pt idx="7">
                  <c:v>67.983616494541678</c:v>
                </c:pt>
                <c:pt idx="8">
                  <c:v>55.441907103484617</c:v>
                </c:pt>
                <c:pt idx="9">
                  <c:v>61.370447373937097</c:v>
                </c:pt>
                <c:pt idx="10">
                  <c:v>61.594785830420541</c:v>
                </c:pt>
                <c:pt idx="11">
                  <c:v>61.01666109597268</c:v>
                </c:pt>
                <c:pt idx="12">
                  <c:v>63.041372316861079</c:v>
                </c:pt>
                <c:pt idx="13">
                  <c:v>63.82202482452314</c:v>
                </c:pt>
                <c:pt idx="14">
                  <c:v>69.416606710892324</c:v>
                </c:pt>
                <c:pt idx="15">
                  <c:v>74.636158147281606</c:v>
                </c:pt>
                <c:pt idx="16">
                  <c:v>76.978682181521535</c:v>
                </c:pt>
                <c:pt idx="17">
                  <c:v>79.237079294580184</c:v>
                </c:pt>
                <c:pt idx="18">
                  <c:v>87.058616919425106</c:v>
                </c:pt>
                <c:pt idx="19">
                  <c:v>91.434633098986509</c:v>
                </c:pt>
                <c:pt idx="20">
                  <c:v>88.751352545618332</c:v>
                </c:pt>
                <c:pt idx="21">
                  <c:v>90.669276395175586</c:v>
                </c:pt>
                <c:pt idx="22">
                  <c:v>89.67278309983628</c:v>
                </c:pt>
                <c:pt idx="23">
                  <c:v>87.784034579846931</c:v>
                </c:pt>
                <c:pt idx="24">
                  <c:v>91.043740333901738</c:v>
                </c:pt>
                <c:pt idx="25">
                  <c:v>92.250692560007707</c:v>
                </c:pt>
                <c:pt idx="26">
                  <c:v>94.395787422317142</c:v>
                </c:pt>
                <c:pt idx="27">
                  <c:v>98.321993666404168</c:v>
                </c:pt>
                <c:pt idx="28">
                  <c:v>90.993037576691449</c:v>
                </c:pt>
                <c:pt idx="29">
                  <c:v>88.472912264402112</c:v>
                </c:pt>
                <c:pt idx="30">
                  <c:v>83.429262572300985</c:v>
                </c:pt>
                <c:pt idx="31">
                  <c:v>75.061608098844872</c:v>
                </c:pt>
                <c:pt idx="32">
                  <c:v>80.94199491272893</c:v>
                </c:pt>
                <c:pt idx="33">
                  <c:v>72.519105592032574</c:v>
                </c:pt>
                <c:pt idx="34">
                  <c:v>73.023300607866574</c:v>
                </c:pt>
                <c:pt idx="35">
                  <c:v>81.663730250001421</c:v>
                </c:pt>
                <c:pt idx="36">
                  <c:v>83.506591358437348</c:v>
                </c:pt>
                <c:pt idx="37">
                  <c:v>90.655396869458826</c:v>
                </c:pt>
                <c:pt idx="38">
                  <c:v>85.355117579410731</c:v>
                </c:pt>
                <c:pt idx="39">
                  <c:v>82.667304936012556</c:v>
                </c:pt>
                <c:pt idx="40">
                  <c:v>80.128201496722738</c:v>
                </c:pt>
                <c:pt idx="41">
                  <c:v>80.65364068457221</c:v>
                </c:pt>
                <c:pt idx="42">
                  <c:v>77.388836329233683</c:v>
                </c:pt>
                <c:pt idx="43">
                  <c:v>82.126569944311953</c:v>
                </c:pt>
              </c:numCache>
            </c:numRef>
          </c:val>
          <c:smooth val="0"/>
          <c:extLst>
            <c:ext xmlns:c16="http://schemas.microsoft.com/office/drawing/2014/chart" uri="{C3380CC4-5D6E-409C-BE32-E72D297353CC}">
              <c16:uniqueId val="{00000001-8A17-4D7C-8C4E-A4EB6493732A}"/>
            </c:ext>
          </c:extLst>
        </c:ser>
        <c:ser>
          <c:idx val="0"/>
          <c:order val="2"/>
          <c:tx>
            <c:strRef>
              <c:f>Sheet1!$C$1</c:f>
              <c:strCache>
                <c:ptCount val="1"/>
                <c:pt idx="0">
                  <c:v>S&amp;P 500 (ԱՄՆ)</c:v>
                </c:pt>
              </c:strCache>
            </c:strRef>
          </c:tx>
          <c:spPr>
            <a:ln w="28575" cap="rnd">
              <a:solidFill>
                <a:schemeClr val="accent1"/>
              </a:solidFill>
              <a:round/>
            </a:ln>
            <a:effectLst/>
          </c:spPr>
          <c:marker>
            <c:symbol val="none"/>
          </c:marker>
          <c:cat>
            <c:multiLvlStrRef>
              <c:f>Sheet1!$A$2:$B$81</c:f>
              <c:multiLvlStrCache>
                <c:ptCount val="44"/>
                <c:lvl>
                  <c:pt idx="0">
                    <c:v>1</c:v>
                  </c:pt>
                  <c:pt idx="1">
                    <c:v>2</c:v>
                  </c:pt>
                  <c:pt idx="2">
                    <c:v>3</c:v>
                  </c:pt>
                  <c:pt idx="3">
                    <c:v>4</c:v>
                  </c:pt>
                  <c:pt idx="4">
                    <c:v>5</c:v>
                  </c:pt>
                  <c:pt idx="5">
                    <c:v>6</c:v>
                  </c:pt>
                  <c:pt idx="6">
                    <c:v>7</c:v>
                  </c:pt>
                  <c:pt idx="7">
                    <c:v>8</c:v>
                  </c:pt>
                  <c:pt idx="8">
                    <c:v>9</c:v>
                  </c:pt>
                  <c:pt idx="9">
                    <c:v>10</c:v>
                  </c:pt>
                  <c:pt idx="10">
                    <c:v>11</c:v>
                  </c:pt>
                  <c:pt idx="11">
                    <c:v>12</c:v>
                  </c:pt>
                  <c:pt idx="12">
                    <c:v>1</c:v>
                  </c:pt>
                  <c:pt idx="13">
                    <c:v>2</c:v>
                  </c:pt>
                  <c:pt idx="14">
                    <c:v>3</c:v>
                  </c:pt>
                  <c:pt idx="15">
                    <c:v>4</c:v>
                  </c:pt>
                  <c:pt idx="16">
                    <c:v>5</c:v>
                  </c:pt>
                  <c:pt idx="17">
                    <c:v>6</c:v>
                  </c:pt>
                  <c:pt idx="18">
                    <c:v>7</c:v>
                  </c:pt>
                  <c:pt idx="19">
                    <c:v>8</c:v>
                  </c:pt>
                  <c:pt idx="20">
                    <c:v>9</c:v>
                  </c:pt>
                  <c:pt idx="21">
                    <c:v>10</c:v>
                  </c:pt>
                  <c:pt idx="22">
                    <c:v>11</c:v>
                  </c:pt>
                  <c:pt idx="23">
                    <c:v>12</c:v>
                  </c:pt>
                  <c:pt idx="24">
                    <c:v>1</c:v>
                  </c:pt>
                  <c:pt idx="25">
                    <c:v>2</c:v>
                  </c:pt>
                  <c:pt idx="26">
                    <c:v>3</c:v>
                  </c:pt>
                  <c:pt idx="27">
                    <c:v>4</c:v>
                  </c:pt>
                  <c:pt idx="28">
                    <c:v>5</c:v>
                  </c:pt>
                  <c:pt idx="29">
                    <c:v>6</c:v>
                  </c:pt>
                  <c:pt idx="30">
                    <c:v>7</c:v>
                  </c:pt>
                  <c:pt idx="31">
                    <c:v>8</c:v>
                  </c:pt>
                  <c:pt idx="32">
                    <c:v>9</c:v>
                  </c:pt>
                  <c:pt idx="33">
                    <c:v>10</c:v>
                  </c:pt>
                  <c:pt idx="34">
                    <c:v>11</c:v>
                  </c:pt>
                  <c:pt idx="35">
                    <c:v>12</c:v>
                  </c:pt>
                  <c:pt idx="36">
                    <c:v>1</c:v>
                  </c:pt>
                  <c:pt idx="37">
                    <c:v>2</c:v>
                  </c:pt>
                  <c:pt idx="38">
                    <c:v>3</c:v>
                  </c:pt>
                  <c:pt idx="39">
                    <c:v>4</c:v>
                  </c:pt>
                  <c:pt idx="40">
                    <c:v>5</c:v>
                  </c:pt>
                  <c:pt idx="41">
                    <c:v>6</c:v>
                  </c:pt>
                  <c:pt idx="42">
                    <c:v>7</c:v>
                  </c:pt>
                  <c:pt idx="43">
                    <c:v>8</c:v>
                  </c:pt>
                </c:lvl>
                <c:lvl>
                  <c:pt idx="0">
                    <c:v>2022</c:v>
                  </c:pt>
                  <c:pt idx="12">
                    <c:v>2023</c:v>
                  </c:pt>
                  <c:pt idx="24">
                    <c:v>2024</c:v>
                  </c:pt>
                  <c:pt idx="36">
                    <c:v>2025</c:v>
                  </c:pt>
                </c:lvl>
              </c:multiLvlStrCache>
            </c:multiLvlStrRef>
          </c:cat>
          <c:val>
            <c:numRef>
              <c:f>Sheet1!$C$2:$C$81</c:f>
              <c:numCache>
                <c:formatCode>0.0</c:formatCode>
                <c:ptCount val="44"/>
                <c:pt idx="0">
                  <c:v>100</c:v>
                </c:pt>
                <c:pt idx="1">
                  <c:v>96.860626058841106</c:v>
                </c:pt>
                <c:pt idx="2">
                  <c:v>100.32908505054755</c:v>
                </c:pt>
                <c:pt idx="3">
                  <c:v>91.504467894276459</c:v>
                </c:pt>
                <c:pt idx="4">
                  <c:v>91.509339947514704</c:v>
                </c:pt>
                <c:pt idx="5">
                  <c:v>83.829876759198783</c:v>
                </c:pt>
                <c:pt idx="6">
                  <c:v>91.46814895195493</c:v>
                </c:pt>
                <c:pt idx="7">
                  <c:v>87.586229805892984</c:v>
                </c:pt>
                <c:pt idx="8">
                  <c:v>79.406052418863709</c:v>
                </c:pt>
                <c:pt idx="9">
                  <c:v>85.747694079348037</c:v>
                </c:pt>
                <c:pt idx="10">
                  <c:v>90.356877899702155</c:v>
                </c:pt>
                <c:pt idx="11">
                  <c:v>85.028401855809378</c:v>
                </c:pt>
                <c:pt idx="12">
                  <c:v>90.279146504855461</c:v>
                </c:pt>
                <c:pt idx="13">
                  <c:v>87.921737108436432</c:v>
                </c:pt>
                <c:pt idx="14">
                  <c:v>91.003532238597771</c:v>
                </c:pt>
                <c:pt idx="15">
                  <c:v>92.336038799260351</c:v>
                </c:pt>
                <c:pt idx="16">
                  <c:v>92.565246758423697</c:v>
                </c:pt>
                <c:pt idx="17">
                  <c:v>98.556764956649829</c:v>
                </c:pt>
                <c:pt idx="18">
                  <c:v>101.6257155828194</c:v>
                </c:pt>
                <c:pt idx="19">
                  <c:v>99.825270454318996</c:v>
                </c:pt>
                <c:pt idx="20">
                  <c:v>94.962961322541034</c:v>
                </c:pt>
                <c:pt idx="21">
                  <c:v>92.87462213905286</c:v>
                </c:pt>
                <c:pt idx="22">
                  <c:v>101.15711264408547</c:v>
                </c:pt>
                <c:pt idx="23">
                  <c:v>105.63054334466457</c:v>
                </c:pt>
                <c:pt idx="24">
                  <c:v>107.30918714220863</c:v>
                </c:pt>
                <c:pt idx="25">
                  <c:v>112.86111326416497</c:v>
                </c:pt>
                <c:pt idx="26">
                  <c:v>116.36234788674692</c:v>
                </c:pt>
                <c:pt idx="27">
                  <c:v>111.51886259702583</c:v>
                </c:pt>
                <c:pt idx="28">
                  <c:v>116.87413493372901</c:v>
                </c:pt>
                <c:pt idx="29">
                  <c:v>120.92613302919911</c:v>
                </c:pt>
                <c:pt idx="30">
                  <c:v>122.29517998914864</c:v>
                </c:pt>
                <c:pt idx="31">
                  <c:v>125.08775232252994</c:v>
                </c:pt>
                <c:pt idx="32">
                  <c:v>127.61413338353026</c:v>
                </c:pt>
                <c:pt idx="33">
                  <c:v>126.35116430999548</c:v>
                </c:pt>
                <c:pt idx="34">
                  <c:v>133.59125687900703</c:v>
                </c:pt>
                <c:pt idx="35">
                  <c:v>130.25279312597584</c:v>
                </c:pt>
                <c:pt idx="36">
                  <c:v>133.77174430578782</c:v>
                </c:pt>
                <c:pt idx="37">
                  <c:v>131.86655003266495</c:v>
                </c:pt>
                <c:pt idx="38">
                  <c:v>124.27832711408361</c:v>
                </c:pt>
                <c:pt idx="39">
                  <c:v>123.33071275924311</c:v>
                </c:pt>
                <c:pt idx="40">
                  <c:v>130.91849276389371</c:v>
                </c:pt>
                <c:pt idx="41">
                  <c:v>137.41293973048693</c:v>
                </c:pt>
                <c:pt idx="42">
                  <c:v>140.39020717299118</c:v>
                </c:pt>
                <c:pt idx="43">
                  <c:v>143.06629314258512</c:v>
                </c:pt>
              </c:numCache>
            </c:numRef>
          </c:val>
          <c:smooth val="0"/>
          <c:extLst>
            <c:ext xmlns:c16="http://schemas.microsoft.com/office/drawing/2014/chart" uri="{C3380CC4-5D6E-409C-BE32-E72D297353CC}">
              <c16:uniqueId val="{00000002-8A17-4D7C-8C4E-A4EB6493732A}"/>
            </c:ext>
          </c:extLst>
        </c:ser>
        <c:dLbls>
          <c:showLegendKey val="0"/>
          <c:showVal val="0"/>
          <c:showCatName val="0"/>
          <c:showSerName val="0"/>
          <c:showPercent val="0"/>
          <c:showBubbleSize val="0"/>
        </c:dLbls>
        <c:smooth val="0"/>
        <c:axId val="709163312"/>
        <c:axId val="709167664"/>
      </c:lineChart>
      <c:catAx>
        <c:axId val="70916331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crossAx val="709167664"/>
        <c:crosses val="autoZero"/>
        <c:auto val="1"/>
        <c:lblAlgn val="ctr"/>
        <c:lblOffset val="10"/>
        <c:noMultiLvlLbl val="0"/>
      </c:catAx>
      <c:valAx>
        <c:axId val="709167664"/>
        <c:scaling>
          <c:orientation val="minMax"/>
          <c:max val="170"/>
          <c:min val="5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r>
                  <a:rPr lang="hy-AM"/>
                  <a:t>Ինդեքս՝ 20</a:t>
                </a:r>
                <a:r>
                  <a:rPr lang="en-US"/>
                  <a:t>22</a:t>
                </a:r>
                <a:r>
                  <a:rPr lang="hy-AM"/>
                  <a:t>թ. հունվար</a:t>
                </a:r>
                <a:r>
                  <a:rPr lang="en-US"/>
                  <a:t>=100</a:t>
                </a:r>
              </a:p>
            </c:rich>
          </c:tx>
          <c:layout>
            <c:manualLayout>
              <c:xMode val="edge"/>
              <c:yMode val="edge"/>
              <c:x val="5.8228073053368332E-3"/>
              <c:y val="0.17448884106877943"/>
            </c:manualLayout>
          </c:layout>
          <c:overlay val="0"/>
          <c:spPr>
            <a:noFill/>
            <a:ln>
              <a:noFill/>
            </a:ln>
            <a:effectLst/>
          </c:spPr>
          <c:txPr>
            <a:bodyPr rot="-54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title>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bg2">
                    <a:lumMod val="75000"/>
                  </a:schemeClr>
                </a:solidFill>
                <a:latin typeface="+mn-lt"/>
                <a:ea typeface="+mn-ea"/>
                <a:cs typeface="+mn-cs"/>
              </a:defRPr>
            </a:pPr>
            <a:endParaRPr lang="en-US"/>
          </a:p>
        </c:txPr>
        <c:crossAx val="709163312"/>
        <c:crosses val="autoZero"/>
        <c:crossBetween val="between"/>
      </c:valAx>
      <c:spPr>
        <a:noFill/>
        <a:ln>
          <a:noFill/>
        </a:ln>
        <a:effectLst/>
      </c:spPr>
    </c:plotArea>
    <c:legend>
      <c:legendPos val="b"/>
      <c:layout>
        <c:manualLayout>
          <c:xMode val="edge"/>
          <c:yMode val="edge"/>
          <c:x val="0"/>
          <c:y val="0.83828625040291016"/>
          <c:w val="0.98848167539267018"/>
          <c:h val="0.13247376388129189"/>
        </c:manualLayout>
      </c:layout>
      <c:overlay val="0"/>
      <c:spPr>
        <a:noFill/>
        <a:ln>
          <a:noFill/>
        </a:ln>
        <a:effectLst/>
      </c:spPr>
      <c:txPr>
        <a:bodyPr rot="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noFill/>
    <a:ln w="12700" cap="flat" cmpd="sng" algn="ctr">
      <a:solidFill>
        <a:srgbClr val="FFFFFF"/>
      </a:solidFill>
      <a:round/>
    </a:ln>
    <a:effectLst/>
  </c:spPr>
  <c:txPr>
    <a:bodyPr/>
    <a:lstStyle/>
    <a:p>
      <a:pPr>
        <a:defRPr sz="800">
          <a:latin typeface="+mn-lt"/>
        </a:defRPr>
      </a:pPr>
      <a:endParaRPr lang="en-US"/>
    </a:p>
  </c:txPr>
  <c:externalData r:id="rId4">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5685285433070864"/>
          <c:y val="7.7208392429207212E-2"/>
          <c:w val="0.79626018427384082"/>
          <c:h val="0.50061133662640001"/>
        </c:manualLayout>
      </c:layout>
      <c:lineChart>
        <c:grouping val="standard"/>
        <c:varyColors val="0"/>
        <c:ser>
          <c:idx val="0"/>
          <c:order val="0"/>
          <c:tx>
            <c:strRef>
              <c:f>Sheet1!$B$1</c:f>
              <c:strCache>
                <c:ptCount val="1"/>
                <c:pt idx="0">
                  <c:v>Հայաստան (2035) BB-</c:v>
                </c:pt>
              </c:strCache>
            </c:strRef>
          </c:tx>
          <c:spPr>
            <a:ln w="12700" cap="rnd">
              <a:solidFill>
                <a:schemeClr val="accent1"/>
              </a:solidFill>
              <a:round/>
            </a:ln>
            <a:effectLst/>
          </c:spPr>
          <c:marker>
            <c:symbol val="none"/>
          </c:marker>
          <c:cat>
            <c:numRef>
              <c:f>Sheet1!$A$2:$A$162</c:f>
              <c:numCache>
                <c:formatCode>m\/d\/yyyy</c:formatCode>
                <c:ptCount val="161"/>
                <c:pt idx="0">
                  <c:v>45699</c:v>
                </c:pt>
                <c:pt idx="1">
                  <c:v>45700</c:v>
                </c:pt>
                <c:pt idx="2">
                  <c:v>45701</c:v>
                </c:pt>
                <c:pt idx="3">
                  <c:v>45702</c:v>
                </c:pt>
                <c:pt idx="4">
                  <c:v>45705</c:v>
                </c:pt>
                <c:pt idx="5">
                  <c:v>45706</c:v>
                </c:pt>
                <c:pt idx="6">
                  <c:v>45707</c:v>
                </c:pt>
                <c:pt idx="7">
                  <c:v>45708</c:v>
                </c:pt>
                <c:pt idx="8">
                  <c:v>45709</c:v>
                </c:pt>
                <c:pt idx="9">
                  <c:v>45712</c:v>
                </c:pt>
                <c:pt idx="10">
                  <c:v>45713</c:v>
                </c:pt>
                <c:pt idx="11">
                  <c:v>45714</c:v>
                </c:pt>
                <c:pt idx="12">
                  <c:v>45715</c:v>
                </c:pt>
                <c:pt idx="13">
                  <c:v>45716</c:v>
                </c:pt>
                <c:pt idx="14">
                  <c:v>45719</c:v>
                </c:pt>
                <c:pt idx="15">
                  <c:v>45720</c:v>
                </c:pt>
                <c:pt idx="16">
                  <c:v>45721</c:v>
                </c:pt>
                <c:pt idx="17">
                  <c:v>45722</c:v>
                </c:pt>
                <c:pt idx="18">
                  <c:v>45723</c:v>
                </c:pt>
                <c:pt idx="19">
                  <c:v>45726</c:v>
                </c:pt>
                <c:pt idx="20">
                  <c:v>45727</c:v>
                </c:pt>
                <c:pt idx="21">
                  <c:v>45728</c:v>
                </c:pt>
                <c:pt idx="22">
                  <c:v>45729</c:v>
                </c:pt>
                <c:pt idx="23">
                  <c:v>45730</c:v>
                </c:pt>
                <c:pt idx="24">
                  <c:v>45733</c:v>
                </c:pt>
                <c:pt idx="25">
                  <c:v>45734</c:v>
                </c:pt>
                <c:pt idx="26">
                  <c:v>45735</c:v>
                </c:pt>
                <c:pt idx="27">
                  <c:v>45736</c:v>
                </c:pt>
                <c:pt idx="28">
                  <c:v>45737</c:v>
                </c:pt>
                <c:pt idx="29">
                  <c:v>45740</c:v>
                </c:pt>
                <c:pt idx="30">
                  <c:v>45741</c:v>
                </c:pt>
                <c:pt idx="31">
                  <c:v>45742</c:v>
                </c:pt>
                <c:pt idx="32">
                  <c:v>45743</c:v>
                </c:pt>
                <c:pt idx="33">
                  <c:v>45744</c:v>
                </c:pt>
                <c:pt idx="34">
                  <c:v>45747</c:v>
                </c:pt>
                <c:pt idx="35">
                  <c:v>45748</c:v>
                </c:pt>
                <c:pt idx="36">
                  <c:v>45749</c:v>
                </c:pt>
                <c:pt idx="37">
                  <c:v>45750</c:v>
                </c:pt>
                <c:pt idx="38">
                  <c:v>45751</c:v>
                </c:pt>
                <c:pt idx="39">
                  <c:v>45754</c:v>
                </c:pt>
                <c:pt idx="40">
                  <c:v>45755</c:v>
                </c:pt>
                <c:pt idx="41">
                  <c:v>45756</c:v>
                </c:pt>
                <c:pt idx="42">
                  <c:v>45757</c:v>
                </c:pt>
                <c:pt idx="43">
                  <c:v>45758</c:v>
                </c:pt>
                <c:pt idx="44">
                  <c:v>45761</c:v>
                </c:pt>
                <c:pt idx="45">
                  <c:v>45762</c:v>
                </c:pt>
                <c:pt idx="46">
                  <c:v>45763</c:v>
                </c:pt>
                <c:pt idx="47">
                  <c:v>45764</c:v>
                </c:pt>
                <c:pt idx="48">
                  <c:v>45765</c:v>
                </c:pt>
                <c:pt idx="49">
                  <c:v>45768</c:v>
                </c:pt>
                <c:pt idx="50">
                  <c:v>45769</c:v>
                </c:pt>
                <c:pt idx="51">
                  <c:v>45770</c:v>
                </c:pt>
                <c:pt idx="52">
                  <c:v>45771</c:v>
                </c:pt>
                <c:pt idx="53">
                  <c:v>45772</c:v>
                </c:pt>
                <c:pt idx="54">
                  <c:v>45775</c:v>
                </c:pt>
                <c:pt idx="55">
                  <c:v>45776</c:v>
                </c:pt>
                <c:pt idx="56">
                  <c:v>45777</c:v>
                </c:pt>
                <c:pt idx="57">
                  <c:v>45778</c:v>
                </c:pt>
                <c:pt idx="58">
                  <c:v>45779</c:v>
                </c:pt>
                <c:pt idx="59">
                  <c:v>45782</c:v>
                </c:pt>
                <c:pt idx="60">
                  <c:v>45783</c:v>
                </c:pt>
                <c:pt idx="61">
                  <c:v>45784</c:v>
                </c:pt>
                <c:pt idx="62">
                  <c:v>45785</c:v>
                </c:pt>
                <c:pt idx="63">
                  <c:v>45786</c:v>
                </c:pt>
                <c:pt idx="64">
                  <c:v>45789</c:v>
                </c:pt>
                <c:pt idx="65">
                  <c:v>45790</c:v>
                </c:pt>
                <c:pt idx="66">
                  <c:v>45791</c:v>
                </c:pt>
                <c:pt idx="67">
                  <c:v>45792</c:v>
                </c:pt>
                <c:pt idx="68">
                  <c:v>45793</c:v>
                </c:pt>
                <c:pt idx="69">
                  <c:v>45796</c:v>
                </c:pt>
                <c:pt idx="70">
                  <c:v>45797</c:v>
                </c:pt>
                <c:pt idx="71">
                  <c:v>45798</c:v>
                </c:pt>
                <c:pt idx="72">
                  <c:v>45799</c:v>
                </c:pt>
                <c:pt idx="73">
                  <c:v>45800</c:v>
                </c:pt>
                <c:pt idx="74">
                  <c:v>45803</c:v>
                </c:pt>
                <c:pt idx="75">
                  <c:v>45804</c:v>
                </c:pt>
                <c:pt idx="76">
                  <c:v>45805</c:v>
                </c:pt>
                <c:pt idx="77">
                  <c:v>45806</c:v>
                </c:pt>
                <c:pt idx="78">
                  <c:v>45807</c:v>
                </c:pt>
                <c:pt idx="79">
                  <c:v>45810</c:v>
                </c:pt>
                <c:pt idx="80">
                  <c:v>45811</c:v>
                </c:pt>
                <c:pt idx="81">
                  <c:v>45812</c:v>
                </c:pt>
                <c:pt idx="82">
                  <c:v>45813</c:v>
                </c:pt>
                <c:pt idx="83">
                  <c:v>45814</c:v>
                </c:pt>
                <c:pt idx="84">
                  <c:v>45817</c:v>
                </c:pt>
                <c:pt idx="85">
                  <c:v>45818</c:v>
                </c:pt>
                <c:pt idx="86">
                  <c:v>45819</c:v>
                </c:pt>
                <c:pt idx="87">
                  <c:v>45820</c:v>
                </c:pt>
                <c:pt idx="88">
                  <c:v>45821</c:v>
                </c:pt>
                <c:pt idx="89">
                  <c:v>45824</c:v>
                </c:pt>
                <c:pt idx="90">
                  <c:v>45825</c:v>
                </c:pt>
                <c:pt idx="91">
                  <c:v>45826</c:v>
                </c:pt>
                <c:pt idx="92">
                  <c:v>45827</c:v>
                </c:pt>
                <c:pt idx="93">
                  <c:v>45828</c:v>
                </c:pt>
                <c:pt idx="94">
                  <c:v>45831</c:v>
                </c:pt>
                <c:pt idx="95">
                  <c:v>45832</c:v>
                </c:pt>
                <c:pt idx="96">
                  <c:v>45833</c:v>
                </c:pt>
                <c:pt idx="97">
                  <c:v>45834</c:v>
                </c:pt>
                <c:pt idx="98">
                  <c:v>45835</c:v>
                </c:pt>
                <c:pt idx="99">
                  <c:v>45838</c:v>
                </c:pt>
                <c:pt idx="100">
                  <c:v>45839</c:v>
                </c:pt>
                <c:pt idx="101">
                  <c:v>45840</c:v>
                </c:pt>
                <c:pt idx="102">
                  <c:v>45841</c:v>
                </c:pt>
                <c:pt idx="103">
                  <c:v>45842</c:v>
                </c:pt>
                <c:pt idx="104">
                  <c:v>45845</c:v>
                </c:pt>
                <c:pt idx="105">
                  <c:v>45846</c:v>
                </c:pt>
                <c:pt idx="106">
                  <c:v>45847</c:v>
                </c:pt>
                <c:pt idx="107">
                  <c:v>45848</c:v>
                </c:pt>
                <c:pt idx="108">
                  <c:v>45849</c:v>
                </c:pt>
                <c:pt idx="109">
                  <c:v>45852</c:v>
                </c:pt>
                <c:pt idx="110">
                  <c:v>45853</c:v>
                </c:pt>
                <c:pt idx="111">
                  <c:v>45854</c:v>
                </c:pt>
                <c:pt idx="112">
                  <c:v>45855</c:v>
                </c:pt>
                <c:pt idx="113">
                  <c:v>45856</c:v>
                </c:pt>
                <c:pt idx="114">
                  <c:v>45859</c:v>
                </c:pt>
                <c:pt idx="115">
                  <c:v>45860</c:v>
                </c:pt>
                <c:pt idx="116">
                  <c:v>45861</c:v>
                </c:pt>
                <c:pt idx="117">
                  <c:v>45862</c:v>
                </c:pt>
                <c:pt idx="118">
                  <c:v>45863</c:v>
                </c:pt>
                <c:pt idx="119">
                  <c:v>45866</c:v>
                </c:pt>
                <c:pt idx="120">
                  <c:v>45867</c:v>
                </c:pt>
                <c:pt idx="121">
                  <c:v>45868</c:v>
                </c:pt>
                <c:pt idx="122">
                  <c:v>45869</c:v>
                </c:pt>
                <c:pt idx="123">
                  <c:v>45870</c:v>
                </c:pt>
                <c:pt idx="124">
                  <c:v>45873</c:v>
                </c:pt>
                <c:pt idx="125">
                  <c:v>45874</c:v>
                </c:pt>
                <c:pt idx="126">
                  <c:v>45875</c:v>
                </c:pt>
                <c:pt idx="127">
                  <c:v>45876</c:v>
                </c:pt>
                <c:pt idx="128">
                  <c:v>45877</c:v>
                </c:pt>
                <c:pt idx="129">
                  <c:v>45880</c:v>
                </c:pt>
                <c:pt idx="130">
                  <c:v>45881</c:v>
                </c:pt>
                <c:pt idx="131">
                  <c:v>45882</c:v>
                </c:pt>
                <c:pt idx="132">
                  <c:v>45883</c:v>
                </c:pt>
                <c:pt idx="133">
                  <c:v>45884</c:v>
                </c:pt>
                <c:pt idx="134">
                  <c:v>45887</c:v>
                </c:pt>
                <c:pt idx="135">
                  <c:v>45888</c:v>
                </c:pt>
                <c:pt idx="136">
                  <c:v>45889</c:v>
                </c:pt>
                <c:pt idx="137">
                  <c:v>45890</c:v>
                </c:pt>
                <c:pt idx="138">
                  <c:v>45891</c:v>
                </c:pt>
                <c:pt idx="139">
                  <c:v>45894</c:v>
                </c:pt>
                <c:pt idx="140">
                  <c:v>45895</c:v>
                </c:pt>
                <c:pt idx="141">
                  <c:v>45896</c:v>
                </c:pt>
                <c:pt idx="142">
                  <c:v>45897</c:v>
                </c:pt>
                <c:pt idx="143">
                  <c:v>45898</c:v>
                </c:pt>
                <c:pt idx="144">
                  <c:v>45901</c:v>
                </c:pt>
                <c:pt idx="145">
                  <c:v>45902</c:v>
                </c:pt>
                <c:pt idx="146">
                  <c:v>45903</c:v>
                </c:pt>
                <c:pt idx="147">
                  <c:v>45904</c:v>
                </c:pt>
                <c:pt idx="148">
                  <c:v>45905</c:v>
                </c:pt>
                <c:pt idx="149">
                  <c:v>45908</c:v>
                </c:pt>
                <c:pt idx="150">
                  <c:v>45909</c:v>
                </c:pt>
                <c:pt idx="151">
                  <c:v>45910</c:v>
                </c:pt>
                <c:pt idx="152">
                  <c:v>45911</c:v>
                </c:pt>
                <c:pt idx="153">
                  <c:v>45912</c:v>
                </c:pt>
                <c:pt idx="154">
                  <c:v>45915</c:v>
                </c:pt>
                <c:pt idx="155">
                  <c:v>45916</c:v>
                </c:pt>
                <c:pt idx="156">
                  <c:v>45917</c:v>
                </c:pt>
                <c:pt idx="157">
                  <c:v>45918</c:v>
                </c:pt>
                <c:pt idx="158">
                  <c:v>45919</c:v>
                </c:pt>
                <c:pt idx="159">
                  <c:v>45922</c:v>
                </c:pt>
                <c:pt idx="160">
                  <c:v>45923</c:v>
                </c:pt>
              </c:numCache>
            </c:numRef>
          </c:cat>
          <c:val>
            <c:numRef>
              <c:f>Sheet1!$B$2:$B$163</c:f>
              <c:numCache>
                <c:formatCode>General</c:formatCode>
                <c:ptCount val="162"/>
                <c:pt idx="17" formatCode="0.0">
                  <c:v>282.87299999999999</c:v>
                </c:pt>
                <c:pt idx="18" formatCode="0.0">
                  <c:v>278.69</c:v>
                </c:pt>
                <c:pt idx="19" formatCode="0.0">
                  <c:v>287.69</c:v>
                </c:pt>
                <c:pt idx="20" formatCode="0.0">
                  <c:v>280.59699999999998</c:v>
                </c:pt>
                <c:pt idx="21" formatCode="0.0">
                  <c:v>279.63200000000001</c:v>
                </c:pt>
                <c:pt idx="22" formatCode="0.0">
                  <c:v>284.65499999999997</c:v>
                </c:pt>
                <c:pt idx="23" formatCode="0.0">
                  <c:v>279.375</c:v>
                </c:pt>
                <c:pt idx="24" formatCode="0.0">
                  <c:v>280.67500000000001</c:v>
                </c:pt>
                <c:pt idx="25" formatCode="0.0">
                  <c:v>282.71300000000002</c:v>
                </c:pt>
                <c:pt idx="26" formatCode="0.0">
                  <c:v>287.17899999999997</c:v>
                </c:pt>
                <c:pt idx="27" formatCode="0.0">
                  <c:v>285.88400000000001</c:v>
                </c:pt>
                <c:pt idx="28" formatCode="0.0">
                  <c:v>289.81799999999998</c:v>
                </c:pt>
                <c:pt idx="29" formatCode="0.0">
                  <c:v>284.13400000000001</c:v>
                </c:pt>
                <c:pt idx="30" formatCode="0.0">
                  <c:v>286.43700000000001</c:v>
                </c:pt>
                <c:pt idx="31" formatCode="0.0">
                  <c:v>288.041</c:v>
                </c:pt>
                <c:pt idx="32" formatCode="0.0">
                  <c:v>289.61200000000002</c:v>
                </c:pt>
                <c:pt idx="33" formatCode="0.0">
                  <c:v>300.40600000000001</c:v>
                </c:pt>
                <c:pt idx="34" formatCode="0.0">
                  <c:v>306.51799999999997</c:v>
                </c:pt>
                <c:pt idx="35" formatCode="0.0">
                  <c:v>307.76299999999998</c:v>
                </c:pt>
                <c:pt idx="36" formatCode="0.0">
                  <c:v>312.91500000000002</c:v>
                </c:pt>
                <c:pt idx="37" formatCode="0.0">
                  <c:v>327.642</c:v>
                </c:pt>
                <c:pt idx="38" formatCode="0.0">
                  <c:v>334.428</c:v>
                </c:pt>
                <c:pt idx="39" formatCode="0.0">
                  <c:v>338.83</c:v>
                </c:pt>
                <c:pt idx="40" formatCode="0.0">
                  <c:v>327.40600000000001</c:v>
                </c:pt>
                <c:pt idx="41" formatCode="0.0">
                  <c:v>345.78300000000002</c:v>
                </c:pt>
                <c:pt idx="42" formatCode="0.0">
                  <c:v>320.59399999999999</c:v>
                </c:pt>
                <c:pt idx="43" formatCode="0.0">
                  <c:v>323.83600000000001</c:v>
                </c:pt>
                <c:pt idx="44" formatCode="0.0">
                  <c:v>322.88600000000002</c:v>
                </c:pt>
                <c:pt idx="45" formatCode="0.0">
                  <c:v>326.678</c:v>
                </c:pt>
                <c:pt idx="46" formatCode="0.0">
                  <c:v>330.51900000000001</c:v>
                </c:pt>
                <c:pt idx="47" formatCode="0.0">
                  <c:v>326.37400000000002</c:v>
                </c:pt>
                <c:pt idx="48" formatCode="0.0">
                  <c:v>326.37400000000002</c:v>
                </c:pt>
                <c:pt idx="49" formatCode="0.0">
                  <c:v>312.94799999999998</c:v>
                </c:pt>
                <c:pt idx="50" formatCode="0.0">
                  <c:v>322.51799999999997</c:v>
                </c:pt>
                <c:pt idx="51" formatCode="0.0">
                  <c:v>315.79300000000001</c:v>
                </c:pt>
                <c:pt idx="52" formatCode="0.0">
                  <c:v>317.07100000000003</c:v>
                </c:pt>
                <c:pt idx="53" formatCode="0.0">
                  <c:v>324.33699999999999</c:v>
                </c:pt>
                <c:pt idx="54" formatCode="0.0">
                  <c:v>327.55200000000002</c:v>
                </c:pt>
                <c:pt idx="55" formatCode="0.0">
                  <c:v>331.30799999999999</c:v>
                </c:pt>
                <c:pt idx="56" formatCode="0.0">
                  <c:v>334.61500000000001</c:v>
                </c:pt>
                <c:pt idx="57" formatCode="0.0">
                  <c:v>331.08800000000002</c:v>
                </c:pt>
                <c:pt idx="58" formatCode="0.0">
                  <c:v>323.14100000000002</c:v>
                </c:pt>
                <c:pt idx="59" formatCode="0.0">
                  <c:v>317.76100000000002</c:v>
                </c:pt>
                <c:pt idx="60" formatCode="0.0">
                  <c:v>325.31200000000001</c:v>
                </c:pt>
                <c:pt idx="61" formatCode="0.0">
                  <c:v>326.86</c:v>
                </c:pt>
                <c:pt idx="62" formatCode="0.0">
                  <c:v>317.822</c:v>
                </c:pt>
                <c:pt idx="63" formatCode="0.0">
                  <c:v>317.65600000000001</c:v>
                </c:pt>
                <c:pt idx="64" formatCode="0.0">
                  <c:v>305.44600000000003</c:v>
                </c:pt>
                <c:pt idx="65" formatCode="0.0">
                  <c:v>305.678</c:v>
                </c:pt>
                <c:pt idx="66" formatCode="0.0">
                  <c:v>298.93599999999998</c:v>
                </c:pt>
                <c:pt idx="67" formatCode="0.0">
                  <c:v>312.75099999999998</c:v>
                </c:pt>
                <c:pt idx="68" formatCode="0.0">
                  <c:v>306.31900000000002</c:v>
                </c:pt>
                <c:pt idx="69" formatCode="0.0">
                  <c:v>312.41199999999998</c:v>
                </c:pt>
                <c:pt idx="70" formatCode="0.0">
                  <c:v>304.58100000000002</c:v>
                </c:pt>
                <c:pt idx="71" formatCode="0.0">
                  <c:v>297.21600000000001</c:v>
                </c:pt>
                <c:pt idx="72" formatCode="0.0">
                  <c:v>303.68599999999998</c:v>
                </c:pt>
                <c:pt idx="73" formatCode="0.0">
                  <c:v>306.23700000000002</c:v>
                </c:pt>
                <c:pt idx="74" formatCode="0.0">
                  <c:v>306.23700000000002</c:v>
                </c:pt>
                <c:pt idx="75" formatCode="0.0">
                  <c:v>306.90199999999999</c:v>
                </c:pt>
                <c:pt idx="76" formatCode="0.0">
                  <c:v>300.78500000000003</c:v>
                </c:pt>
                <c:pt idx="77" formatCode="0.0">
                  <c:v>305.73099999999999</c:v>
                </c:pt>
                <c:pt idx="78" formatCode="0.0">
                  <c:v>302.91000000000003</c:v>
                </c:pt>
                <c:pt idx="79" formatCode="0.0">
                  <c:v>299.46600000000001</c:v>
                </c:pt>
                <c:pt idx="80" formatCode="0.0">
                  <c:v>294.56900000000002</c:v>
                </c:pt>
                <c:pt idx="81" formatCode="0.0">
                  <c:v>302.82400000000001</c:v>
                </c:pt>
                <c:pt idx="82" formatCode="0.0">
                  <c:v>295.04500000000002</c:v>
                </c:pt>
                <c:pt idx="83" formatCode="0.0">
                  <c:v>282.548</c:v>
                </c:pt>
                <c:pt idx="84" formatCode="0.0">
                  <c:v>282.93599999999998</c:v>
                </c:pt>
                <c:pt idx="85" formatCode="0.0">
                  <c:v>281.14400000000001</c:v>
                </c:pt>
                <c:pt idx="86" formatCode="0.0">
                  <c:v>280.13600000000002</c:v>
                </c:pt>
                <c:pt idx="87" formatCode="0.0">
                  <c:v>285.76100000000002</c:v>
                </c:pt>
                <c:pt idx="88" formatCode="0.0">
                  <c:v>286.60599999999999</c:v>
                </c:pt>
                <c:pt idx="89" formatCode="0.0">
                  <c:v>279.053</c:v>
                </c:pt>
                <c:pt idx="90" formatCode="0.0">
                  <c:v>285.11099999999999</c:v>
                </c:pt>
                <c:pt idx="91" formatCode="0.0">
                  <c:v>285.63499999999999</c:v>
                </c:pt>
                <c:pt idx="92" formatCode="0.0">
                  <c:v>285.63499999999999</c:v>
                </c:pt>
                <c:pt idx="93" formatCode="0.0">
                  <c:v>288.01</c:v>
                </c:pt>
                <c:pt idx="94" formatCode="0.0">
                  <c:v>286.45600000000002</c:v>
                </c:pt>
                <c:pt idx="95" formatCode="0.0">
                  <c:v>286.233</c:v>
                </c:pt>
                <c:pt idx="96" formatCode="0.0">
                  <c:v>285.83699999999999</c:v>
                </c:pt>
                <c:pt idx="97" formatCode="0.0">
                  <c:v>291.22699999999998</c:v>
                </c:pt>
                <c:pt idx="98" formatCode="0.0">
                  <c:v>287.67399999999998</c:v>
                </c:pt>
                <c:pt idx="99" formatCode="0.0">
                  <c:v>288.923</c:v>
                </c:pt>
                <c:pt idx="100" formatCode="0.0">
                  <c:v>282.81700000000001</c:v>
                </c:pt>
                <c:pt idx="101" formatCode="0.0">
                  <c:v>278.27800000000002</c:v>
                </c:pt>
                <c:pt idx="102" formatCode="0.0">
                  <c:v>266.06900000000002</c:v>
                </c:pt>
                <c:pt idx="103" formatCode="0.0">
                  <c:v>266.06900000000002</c:v>
                </c:pt>
                <c:pt idx="104" formatCode="0.0">
                  <c:v>264.56</c:v>
                </c:pt>
                <c:pt idx="105" formatCode="0.0">
                  <c:v>264.637</c:v>
                </c:pt>
                <c:pt idx="106" formatCode="0.0">
                  <c:v>272.517</c:v>
                </c:pt>
                <c:pt idx="107" formatCode="0.0">
                  <c:v>274.98500000000001</c:v>
                </c:pt>
                <c:pt idx="108" formatCode="0.0">
                  <c:v>273.976</c:v>
                </c:pt>
                <c:pt idx="109" formatCode="0.0">
                  <c:v>273.11200000000002</c:v>
                </c:pt>
                <c:pt idx="110" formatCode="0.0">
                  <c:v>269.88600000000002</c:v>
                </c:pt>
                <c:pt idx="111" formatCode="0.0">
                  <c:v>270.38099999999997</c:v>
                </c:pt>
                <c:pt idx="112" formatCode="0.0">
                  <c:v>276.42399999999998</c:v>
                </c:pt>
                <c:pt idx="113" formatCode="0.0">
                  <c:v>275.37900000000002</c:v>
                </c:pt>
                <c:pt idx="114" formatCode="0.0">
                  <c:v>276.774</c:v>
                </c:pt>
                <c:pt idx="115" formatCode="0.0">
                  <c:v>277.31900000000002</c:v>
                </c:pt>
                <c:pt idx="116" formatCode="0.0">
                  <c:v>274.38900000000001</c:v>
                </c:pt>
                <c:pt idx="117" formatCode="0.0">
                  <c:v>268.22000000000003</c:v>
                </c:pt>
                <c:pt idx="118" formatCode="0.0">
                  <c:v>267.71699999999998</c:v>
                </c:pt>
                <c:pt idx="119" formatCode="0.0">
                  <c:v>263.87400000000002</c:v>
                </c:pt>
                <c:pt idx="120" formatCode="0.0">
                  <c:v>271.005</c:v>
                </c:pt>
                <c:pt idx="121" formatCode="0.0">
                  <c:v>265.69200000000001</c:v>
                </c:pt>
                <c:pt idx="122" formatCode="0.0">
                  <c:v>265.89800000000002</c:v>
                </c:pt>
                <c:pt idx="123" formatCode="0.0">
                  <c:v>280.64699999999999</c:v>
                </c:pt>
                <c:pt idx="124" formatCode="0.0">
                  <c:v>281.34199999999998</c:v>
                </c:pt>
                <c:pt idx="125" formatCode="0.0">
                  <c:v>278.89800000000002</c:v>
                </c:pt>
                <c:pt idx="126" formatCode="0.0">
                  <c:v>272.52499999999998</c:v>
                </c:pt>
                <c:pt idx="127" formatCode="0.0">
                  <c:v>265.31400000000002</c:v>
                </c:pt>
                <c:pt idx="128" formatCode="0.0">
                  <c:v>262.78899999999999</c:v>
                </c:pt>
                <c:pt idx="129" formatCode="0.0">
                  <c:v>248.61699999999999</c:v>
                </c:pt>
                <c:pt idx="130" formatCode="0.0">
                  <c:v>241.90700000000001</c:v>
                </c:pt>
                <c:pt idx="131" formatCode="0.0">
                  <c:v>236.452</c:v>
                </c:pt>
                <c:pt idx="132" formatCode="0.0">
                  <c:v>219.09</c:v>
                </c:pt>
                <c:pt idx="133" formatCode="0.0">
                  <c:v>216.05600000000001</c:v>
                </c:pt>
                <c:pt idx="134" formatCode="0.0">
                  <c:v>216.815</c:v>
                </c:pt>
                <c:pt idx="135" formatCode="0.0">
                  <c:v>220.428</c:v>
                </c:pt>
                <c:pt idx="136" formatCode="0.0">
                  <c:v>222.74199999999999</c:v>
                </c:pt>
                <c:pt idx="137" formatCode="0.0">
                  <c:v>220.05600000000001</c:v>
                </c:pt>
                <c:pt idx="138" formatCode="0.0">
                  <c:v>221.548</c:v>
                </c:pt>
                <c:pt idx="139" formatCode="0.0">
                  <c:v>218.31</c:v>
                </c:pt>
                <c:pt idx="140" formatCode="0.0">
                  <c:v>223.173</c:v>
                </c:pt>
                <c:pt idx="141" formatCode="0.0">
                  <c:v>225.09700000000001</c:v>
                </c:pt>
                <c:pt idx="142" formatCode="0.0">
                  <c:v>228.054</c:v>
                </c:pt>
                <c:pt idx="143" formatCode="0.0">
                  <c:v>224.39400000000001</c:v>
                </c:pt>
                <c:pt idx="144" formatCode="0.0">
                  <c:v>224.39400000000001</c:v>
                </c:pt>
                <c:pt idx="145" formatCode="0.0">
                  <c:v>223.90299999999999</c:v>
                </c:pt>
                <c:pt idx="146" formatCode="0.0">
                  <c:v>230.066</c:v>
                </c:pt>
                <c:pt idx="147" formatCode="0.0">
                  <c:v>235.66399999999999</c:v>
                </c:pt>
                <c:pt idx="148" formatCode="0.0">
                  <c:v>241.923</c:v>
                </c:pt>
                <c:pt idx="149" formatCode="0.0">
                  <c:v>243.453</c:v>
                </c:pt>
                <c:pt idx="150" formatCode="0.0">
                  <c:v>238.66200000000001</c:v>
                </c:pt>
                <c:pt idx="151" formatCode="0.0">
                  <c:v>242.81399999999999</c:v>
                </c:pt>
                <c:pt idx="152" formatCode="0.0">
                  <c:v>241.24</c:v>
                </c:pt>
                <c:pt idx="153" formatCode="0.0">
                  <c:v>235.30699999999999</c:v>
                </c:pt>
                <c:pt idx="154" formatCode="0.0">
                  <c:v>235.28800000000001</c:v>
                </c:pt>
                <c:pt idx="155" formatCode="0.0">
                  <c:v>233.703</c:v>
                </c:pt>
                <c:pt idx="156" formatCode="0.0">
                  <c:v>227.79</c:v>
                </c:pt>
                <c:pt idx="157" formatCode="0.0">
                  <c:v>225.18700000000001</c:v>
                </c:pt>
                <c:pt idx="158" formatCode="0.0">
                  <c:v>225.34</c:v>
                </c:pt>
                <c:pt idx="159" formatCode="0.0">
                  <c:v>224.108</c:v>
                </c:pt>
                <c:pt idx="160" formatCode="0.0">
                  <c:v>226.99600000000001</c:v>
                </c:pt>
              </c:numCache>
            </c:numRef>
          </c:val>
          <c:smooth val="0"/>
          <c:extLst>
            <c:ext xmlns:c16="http://schemas.microsoft.com/office/drawing/2014/chart" uri="{C3380CC4-5D6E-409C-BE32-E72D297353CC}">
              <c16:uniqueId val="{00000000-65C7-4841-82C2-DF9FC75A51EA}"/>
            </c:ext>
          </c:extLst>
        </c:ser>
        <c:ser>
          <c:idx val="1"/>
          <c:order val="1"/>
          <c:tx>
            <c:strRef>
              <c:f>Sheet1!$C$1</c:f>
              <c:strCache>
                <c:ptCount val="1"/>
                <c:pt idx="0">
                  <c:v>Հայաստան (2031) BB-</c:v>
                </c:pt>
              </c:strCache>
            </c:strRef>
          </c:tx>
          <c:spPr>
            <a:ln w="12700" cap="rnd">
              <a:solidFill>
                <a:srgbClr val="5B9BD5">
                  <a:lumMod val="50000"/>
                </a:srgbClr>
              </a:solidFill>
              <a:round/>
            </a:ln>
            <a:effectLst/>
          </c:spPr>
          <c:marker>
            <c:symbol val="none"/>
          </c:marker>
          <c:cat>
            <c:numRef>
              <c:f>Sheet1!$A$2:$A$162</c:f>
              <c:numCache>
                <c:formatCode>m\/d\/yyyy</c:formatCode>
                <c:ptCount val="161"/>
                <c:pt idx="0">
                  <c:v>45699</c:v>
                </c:pt>
                <c:pt idx="1">
                  <c:v>45700</c:v>
                </c:pt>
                <c:pt idx="2">
                  <c:v>45701</c:v>
                </c:pt>
                <c:pt idx="3">
                  <c:v>45702</c:v>
                </c:pt>
                <c:pt idx="4">
                  <c:v>45705</c:v>
                </c:pt>
                <c:pt idx="5">
                  <c:v>45706</c:v>
                </c:pt>
                <c:pt idx="6">
                  <c:v>45707</c:v>
                </c:pt>
                <c:pt idx="7">
                  <c:v>45708</c:v>
                </c:pt>
                <c:pt idx="8">
                  <c:v>45709</c:v>
                </c:pt>
                <c:pt idx="9">
                  <c:v>45712</c:v>
                </c:pt>
                <c:pt idx="10">
                  <c:v>45713</c:v>
                </c:pt>
                <c:pt idx="11">
                  <c:v>45714</c:v>
                </c:pt>
                <c:pt idx="12">
                  <c:v>45715</c:v>
                </c:pt>
                <c:pt idx="13">
                  <c:v>45716</c:v>
                </c:pt>
                <c:pt idx="14">
                  <c:v>45719</c:v>
                </c:pt>
                <c:pt idx="15">
                  <c:v>45720</c:v>
                </c:pt>
                <c:pt idx="16">
                  <c:v>45721</c:v>
                </c:pt>
                <c:pt idx="17">
                  <c:v>45722</c:v>
                </c:pt>
                <c:pt idx="18">
                  <c:v>45723</c:v>
                </c:pt>
                <c:pt idx="19">
                  <c:v>45726</c:v>
                </c:pt>
                <c:pt idx="20">
                  <c:v>45727</c:v>
                </c:pt>
                <c:pt idx="21">
                  <c:v>45728</c:v>
                </c:pt>
                <c:pt idx="22">
                  <c:v>45729</c:v>
                </c:pt>
                <c:pt idx="23">
                  <c:v>45730</c:v>
                </c:pt>
                <c:pt idx="24">
                  <c:v>45733</c:v>
                </c:pt>
                <c:pt idx="25">
                  <c:v>45734</c:v>
                </c:pt>
                <c:pt idx="26">
                  <c:v>45735</c:v>
                </c:pt>
                <c:pt idx="27">
                  <c:v>45736</c:v>
                </c:pt>
                <c:pt idx="28">
                  <c:v>45737</c:v>
                </c:pt>
                <c:pt idx="29">
                  <c:v>45740</c:v>
                </c:pt>
                <c:pt idx="30">
                  <c:v>45741</c:v>
                </c:pt>
                <c:pt idx="31">
                  <c:v>45742</c:v>
                </c:pt>
                <c:pt idx="32">
                  <c:v>45743</c:v>
                </c:pt>
                <c:pt idx="33">
                  <c:v>45744</c:v>
                </c:pt>
                <c:pt idx="34">
                  <c:v>45747</c:v>
                </c:pt>
                <c:pt idx="35">
                  <c:v>45748</c:v>
                </c:pt>
                <c:pt idx="36">
                  <c:v>45749</c:v>
                </c:pt>
                <c:pt idx="37">
                  <c:v>45750</c:v>
                </c:pt>
                <c:pt idx="38">
                  <c:v>45751</c:v>
                </c:pt>
                <c:pt idx="39">
                  <c:v>45754</c:v>
                </c:pt>
                <c:pt idx="40">
                  <c:v>45755</c:v>
                </c:pt>
                <c:pt idx="41">
                  <c:v>45756</c:v>
                </c:pt>
                <c:pt idx="42">
                  <c:v>45757</c:v>
                </c:pt>
                <c:pt idx="43">
                  <c:v>45758</c:v>
                </c:pt>
                <c:pt idx="44">
                  <c:v>45761</c:v>
                </c:pt>
                <c:pt idx="45">
                  <c:v>45762</c:v>
                </c:pt>
                <c:pt idx="46">
                  <c:v>45763</c:v>
                </c:pt>
                <c:pt idx="47">
                  <c:v>45764</c:v>
                </c:pt>
                <c:pt idx="48">
                  <c:v>45765</c:v>
                </c:pt>
                <c:pt idx="49">
                  <c:v>45768</c:v>
                </c:pt>
                <c:pt idx="50">
                  <c:v>45769</c:v>
                </c:pt>
                <c:pt idx="51">
                  <c:v>45770</c:v>
                </c:pt>
                <c:pt idx="52">
                  <c:v>45771</c:v>
                </c:pt>
                <c:pt idx="53">
                  <c:v>45772</c:v>
                </c:pt>
                <c:pt idx="54">
                  <c:v>45775</c:v>
                </c:pt>
                <c:pt idx="55">
                  <c:v>45776</c:v>
                </c:pt>
                <c:pt idx="56">
                  <c:v>45777</c:v>
                </c:pt>
                <c:pt idx="57">
                  <c:v>45778</c:v>
                </c:pt>
                <c:pt idx="58">
                  <c:v>45779</c:v>
                </c:pt>
                <c:pt idx="59">
                  <c:v>45782</c:v>
                </c:pt>
                <c:pt idx="60">
                  <c:v>45783</c:v>
                </c:pt>
                <c:pt idx="61">
                  <c:v>45784</c:v>
                </c:pt>
                <c:pt idx="62">
                  <c:v>45785</c:v>
                </c:pt>
                <c:pt idx="63">
                  <c:v>45786</c:v>
                </c:pt>
                <c:pt idx="64">
                  <c:v>45789</c:v>
                </c:pt>
                <c:pt idx="65">
                  <c:v>45790</c:v>
                </c:pt>
                <c:pt idx="66">
                  <c:v>45791</c:v>
                </c:pt>
                <c:pt idx="67">
                  <c:v>45792</c:v>
                </c:pt>
                <c:pt idx="68">
                  <c:v>45793</c:v>
                </c:pt>
                <c:pt idx="69">
                  <c:v>45796</c:v>
                </c:pt>
                <c:pt idx="70">
                  <c:v>45797</c:v>
                </c:pt>
                <c:pt idx="71">
                  <c:v>45798</c:v>
                </c:pt>
                <c:pt idx="72">
                  <c:v>45799</c:v>
                </c:pt>
                <c:pt idx="73">
                  <c:v>45800</c:v>
                </c:pt>
                <c:pt idx="74">
                  <c:v>45803</c:v>
                </c:pt>
                <c:pt idx="75">
                  <c:v>45804</c:v>
                </c:pt>
                <c:pt idx="76">
                  <c:v>45805</c:v>
                </c:pt>
                <c:pt idx="77">
                  <c:v>45806</c:v>
                </c:pt>
                <c:pt idx="78">
                  <c:v>45807</c:v>
                </c:pt>
                <c:pt idx="79">
                  <c:v>45810</c:v>
                </c:pt>
                <c:pt idx="80">
                  <c:v>45811</c:v>
                </c:pt>
                <c:pt idx="81">
                  <c:v>45812</c:v>
                </c:pt>
                <c:pt idx="82">
                  <c:v>45813</c:v>
                </c:pt>
                <c:pt idx="83">
                  <c:v>45814</c:v>
                </c:pt>
                <c:pt idx="84">
                  <c:v>45817</c:v>
                </c:pt>
                <c:pt idx="85">
                  <c:v>45818</c:v>
                </c:pt>
                <c:pt idx="86">
                  <c:v>45819</c:v>
                </c:pt>
                <c:pt idx="87">
                  <c:v>45820</c:v>
                </c:pt>
                <c:pt idx="88">
                  <c:v>45821</c:v>
                </c:pt>
                <c:pt idx="89">
                  <c:v>45824</c:v>
                </c:pt>
                <c:pt idx="90">
                  <c:v>45825</c:v>
                </c:pt>
                <c:pt idx="91">
                  <c:v>45826</c:v>
                </c:pt>
                <c:pt idx="92">
                  <c:v>45827</c:v>
                </c:pt>
                <c:pt idx="93">
                  <c:v>45828</c:v>
                </c:pt>
                <c:pt idx="94">
                  <c:v>45831</c:v>
                </c:pt>
                <c:pt idx="95">
                  <c:v>45832</c:v>
                </c:pt>
                <c:pt idx="96">
                  <c:v>45833</c:v>
                </c:pt>
                <c:pt idx="97">
                  <c:v>45834</c:v>
                </c:pt>
                <c:pt idx="98">
                  <c:v>45835</c:v>
                </c:pt>
                <c:pt idx="99">
                  <c:v>45838</c:v>
                </c:pt>
                <c:pt idx="100">
                  <c:v>45839</c:v>
                </c:pt>
                <c:pt idx="101">
                  <c:v>45840</c:v>
                </c:pt>
                <c:pt idx="102">
                  <c:v>45841</c:v>
                </c:pt>
                <c:pt idx="103">
                  <c:v>45842</c:v>
                </c:pt>
                <c:pt idx="104">
                  <c:v>45845</c:v>
                </c:pt>
                <c:pt idx="105">
                  <c:v>45846</c:v>
                </c:pt>
                <c:pt idx="106">
                  <c:v>45847</c:v>
                </c:pt>
                <c:pt idx="107">
                  <c:v>45848</c:v>
                </c:pt>
                <c:pt idx="108">
                  <c:v>45849</c:v>
                </c:pt>
                <c:pt idx="109">
                  <c:v>45852</c:v>
                </c:pt>
                <c:pt idx="110">
                  <c:v>45853</c:v>
                </c:pt>
                <c:pt idx="111">
                  <c:v>45854</c:v>
                </c:pt>
                <c:pt idx="112">
                  <c:v>45855</c:v>
                </c:pt>
                <c:pt idx="113">
                  <c:v>45856</c:v>
                </c:pt>
                <c:pt idx="114">
                  <c:v>45859</c:v>
                </c:pt>
                <c:pt idx="115">
                  <c:v>45860</c:v>
                </c:pt>
                <c:pt idx="116">
                  <c:v>45861</c:v>
                </c:pt>
                <c:pt idx="117">
                  <c:v>45862</c:v>
                </c:pt>
                <c:pt idx="118">
                  <c:v>45863</c:v>
                </c:pt>
                <c:pt idx="119">
                  <c:v>45866</c:v>
                </c:pt>
                <c:pt idx="120">
                  <c:v>45867</c:v>
                </c:pt>
                <c:pt idx="121">
                  <c:v>45868</c:v>
                </c:pt>
                <c:pt idx="122">
                  <c:v>45869</c:v>
                </c:pt>
                <c:pt idx="123">
                  <c:v>45870</c:v>
                </c:pt>
                <c:pt idx="124">
                  <c:v>45873</c:v>
                </c:pt>
                <c:pt idx="125">
                  <c:v>45874</c:v>
                </c:pt>
                <c:pt idx="126">
                  <c:v>45875</c:v>
                </c:pt>
                <c:pt idx="127">
                  <c:v>45876</c:v>
                </c:pt>
                <c:pt idx="128">
                  <c:v>45877</c:v>
                </c:pt>
                <c:pt idx="129">
                  <c:v>45880</c:v>
                </c:pt>
                <c:pt idx="130">
                  <c:v>45881</c:v>
                </c:pt>
                <c:pt idx="131">
                  <c:v>45882</c:v>
                </c:pt>
                <c:pt idx="132">
                  <c:v>45883</c:v>
                </c:pt>
                <c:pt idx="133">
                  <c:v>45884</c:v>
                </c:pt>
                <c:pt idx="134">
                  <c:v>45887</c:v>
                </c:pt>
                <c:pt idx="135">
                  <c:v>45888</c:v>
                </c:pt>
                <c:pt idx="136">
                  <c:v>45889</c:v>
                </c:pt>
                <c:pt idx="137">
                  <c:v>45890</c:v>
                </c:pt>
                <c:pt idx="138">
                  <c:v>45891</c:v>
                </c:pt>
                <c:pt idx="139">
                  <c:v>45894</c:v>
                </c:pt>
                <c:pt idx="140">
                  <c:v>45895</c:v>
                </c:pt>
                <c:pt idx="141">
                  <c:v>45896</c:v>
                </c:pt>
                <c:pt idx="142">
                  <c:v>45897</c:v>
                </c:pt>
                <c:pt idx="143">
                  <c:v>45898</c:v>
                </c:pt>
                <c:pt idx="144">
                  <c:v>45901</c:v>
                </c:pt>
                <c:pt idx="145">
                  <c:v>45902</c:v>
                </c:pt>
                <c:pt idx="146">
                  <c:v>45903</c:v>
                </c:pt>
                <c:pt idx="147">
                  <c:v>45904</c:v>
                </c:pt>
                <c:pt idx="148">
                  <c:v>45905</c:v>
                </c:pt>
                <c:pt idx="149">
                  <c:v>45908</c:v>
                </c:pt>
                <c:pt idx="150">
                  <c:v>45909</c:v>
                </c:pt>
                <c:pt idx="151">
                  <c:v>45910</c:v>
                </c:pt>
                <c:pt idx="152">
                  <c:v>45911</c:v>
                </c:pt>
                <c:pt idx="153">
                  <c:v>45912</c:v>
                </c:pt>
                <c:pt idx="154">
                  <c:v>45915</c:v>
                </c:pt>
                <c:pt idx="155">
                  <c:v>45916</c:v>
                </c:pt>
                <c:pt idx="156">
                  <c:v>45917</c:v>
                </c:pt>
                <c:pt idx="157">
                  <c:v>45918</c:v>
                </c:pt>
                <c:pt idx="158">
                  <c:v>45919</c:v>
                </c:pt>
                <c:pt idx="159">
                  <c:v>45922</c:v>
                </c:pt>
                <c:pt idx="160">
                  <c:v>45923</c:v>
                </c:pt>
              </c:numCache>
            </c:numRef>
          </c:cat>
          <c:val>
            <c:numRef>
              <c:f>Sheet1!$C$2:$C$163</c:f>
              <c:numCache>
                <c:formatCode>0.0</c:formatCode>
                <c:ptCount val="162"/>
                <c:pt idx="0">
                  <c:v>253.14599999999999</c:v>
                </c:pt>
                <c:pt idx="1">
                  <c:v>244.44900000000001</c:v>
                </c:pt>
                <c:pt idx="2">
                  <c:v>249.12200000000001</c:v>
                </c:pt>
                <c:pt idx="3">
                  <c:v>249.196</c:v>
                </c:pt>
                <c:pt idx="4">
                  <c:v>249.196</c:v>
                </c:pt>
                <c:pt idx="5">
                  <c:v>239.214</c:v>
                </c:pt>
                <c:pt idx="6">
                  <c:v>243.34899999999999</c:v>
                </c:pt>
                <c:pt idx="7">
                  <c:v>245.48500000000001</c:v>
                </c:pt>
                <c:pt idx="8">
                  <c:v>252.50299999999999</c:v>
                </c:pt>
                <c:pt idx="9">
                  <c:v>254.971</c:v>
                </c:pt>
                <c:pt idx="10">
                  <c:v>261.363</c:v>
                </c:pt>
                <c:pt idx="11">
                  <c:v>261.85199999999998</c:v>
                </c:pt>
                <c:pt idx="12">
                  <c:v>260.09500000000003</c:v>
                </c:pt>
                <c:pt idx="13">
                  <c:v>259.25799999999998</c:v>
                </c:pt>
                <c:pt idx="14">
                  <c:v>270.51400000000001</c:v>
                </c:pt>
                <c:pt idx="15">
                  <c:v>264.90699999999998</c:v>
                </c:pt>
                <c:pt idx="16">
                  <c:v>261.85500000000002</c:v>
                </c:pt>
                <c:pt idx="17">
                  <c:v>267.346</c:v>
                </c:pt>
                <c:pt idx="18">
                  <c:v>261.61500000000001</c:v>
                </c:pt>
                <c:pt idx="19">
                  <c:v>275.66899999999998</c:v>
                </c:pt>
                <c:pt idx="20">
                  <c:v>267.45600000000002</c:v>
                </c:pt>
                <c:pt idx="21">
                  <c:v>264.61700000000002</c:v>
                </c:pt>
                <c:pt idx="22">
                  <c:v>268.82799999999997</c:v>
                </c:pt>
                <c:pt idx="23">
                  <c:v>260.81099999999998</c:v>
                </c:pt>
                <c:pt idx="24">
                  <c:v>260.52300000000002</c:v>
                </c:pt>
                <c:pt idx="25">
                  <c:v>261.86799999999999</c:v>
                </c:pt>
                <c:pt idx="26">
                  <c:v>267.851</c:v>
                </c:pt>
                <c:pt idx="27">
                  <c:v>266.37200000000001</c:v>
                </c:pt>
                <c:pt idx="28">
                  <c:v>268.43299999999999</c:v>
                </c:pt>
                <c:pt idx="29">
                  <c:v>261.75099999999998</c:v>
                </c:pt>
                <c:pt idx="30">
                  <c:v>265.01100000000002</c:v>
                </c:pt>
                <c:pt idx="31">
                  <c:v>263.39600000000002</c:v>
                </c:pt>
                <c:pt idx="32">
                  <c:v>264.803</c:v>
                </c:pt>
                <c:pt idx="33">
                  <c:v>279.154</c:v>
                </c:pt>
                <c:pt idx="34">
                  <c:v>280.25099999999998</c:v>
                </c:pt>
                <c:pt idx="35">
                  <c:v>281.73500000000001</c:v>
                </c:pt>
                <c:pt idx="36">
                  <c:v>283.89999999999998</c:v>
                </c:pt>
                <c:pt idx="37">
                  <c:v>306.27699999999999</c:v>
                </c:pt>
                <c:pt idx="38">
                  <c:v>311.24</c:v>
                </c:pt>
                <c:pt idx="39">
                  <c:v>324.41399999999999</c:v>
                </c:pt>
                <c:pt idx="40">
                  <c:v>315.43099999999998</c:v>
                </c:pt>
                <c:pt idx="41">
                  <c:v>318.77</c:v>
                </c:pt>
                <c:pt idx="42">
                  <c:v>300.58699999999999</c:v>
                </c:pt>
                <c:pt idx="43">
                  <c:v>296.67599999999999</c:v>
                </c:pt>
                <c:pt idx="44">
                  <c:v>305.29300000000001</c:v>
                </c:pt>
                <c:pt idx="45">
                  <c:v>302.96499999999997</c:v>
                </c:pt>
                <c:pt idx="46">
                  <c:v>311.70400000000001</c:v>
                </c:pt>
                <c:pt idx="47">
                  <c:v>306.35599999999999</c:v>
                </c:pt>
                <c:pt idx="48">
                  <c:v>306.35599999999999</c:v>
                </c:pt>
                <c:pt idx="49">
                  <c:v>305.24900000000002</c:v>
                </c:pt>
                <c:pt idx="50">
                  <c:v>303.53500000000003</c:v>
                </c:pt>
                <c:pt idx="51">
                  <c:v>291.61599999999999</c:v>
                </c:pt>
                <c:pt idx="52">
                  <c:v>293.46800000000002</c:v>
                </c:pt>
                <c:pt idx="53">
                  <c:v>297.51400000000001</c:v>
                </c:pt>
                <c:pt idx="54">
                  <c:v>299.87799999999999</c:v>
                </c:pt>
                <c:pt idx="55">
                  <c:v>306.47000000000003</c:v>
                </c:pt>
                <c:pt idx="56">
                  <c:v>311.99700000000001</c:v>
                </c:pt>
                <c:pt idx="57">
                  <c:v>305.74599999999998</c:v>
                </c:pt>
                <c:pt idx="58">
                  <c:v>298.99900000000002</c:v>
                </c:pt>
                <c:pt idx="59">
                  <c:v>299.29599999999999</c:v>
                </c:pt>
                <c:pt idx="60">
                  <c:v>305.541</c:v>
                </c:pt>
                <c:pt idx="61">
                  <c:v>305.68400000000003</c:v>
                </c:pt>
                <c:pt idx="62">
                  <c:v>297.01299999999998</c:v>
                </c:pt>
                <c:pt idx="63">
                  <c:v>292.95100000000002</c:v>
                </c:pt>
                <c:pt idx="64">
                  <c:v>275.92</c:v>
                </c:pt>
                <c:pt idx="65">
                  <c:v>278.30099999999999</c:v>
                </c:pt>
                <c:pt idx="66">
                  <c:v>275.06299999999999</c:v>
                </c:pt>
                <c:pt idx="67">
                  <c:v>286.435</c:v>
                </c:pt>
                <c:pt idx="68">
                  <c:v>284.01400000000001</c:v>
                </c:pt>
                <c:pt idx="69">
                  <c:v>287.68200000000002</c:v>
                </c:pt>
                <c:pt idx="70">
                  <c:v>282.36900000000003</c:v>
                </c:pt>
                <c:pt idx="71">
                  <c:v>277.09199999999998</c:v>
                </c:pt>
                <c:pt idx="72">
                  <c:v>284.80700000000002</c:v>
                </c:pt>
                <c:pt idx="73">
                  <c:v>287.69600000000003</c:v>
                </c:pt>
                <c:pt idx="74">
                  <c:v>287.69600000000003</c:v>
                </c:pt>
                <c:pt idx="75">
                  <c:v>282.71699999999998</c:v>
                </c:pt>
                <c:pt idx="76">
                  <c:v>276.02600000000001</c:v>
                </c:pt>
                <c:pt idx="77">
                  <c:v>280.71100000000001</c:v>
                </c:pt>
                <c:pt idx="78">
                  <c:v>279.63799999999998</c:v>
                </c:pt>
                <c:pt idx="79">
                  <c:v>274.58999999999997</c:v>
                </c:pt>
                <c:pt idx="80">
                  <c:v>235.541</c:v>
                </c:pt>
                <c:pt idx="81">
                  <c:v>281.57600000000002</c:v>
                </c:pt>
                <c:pt idx="82">
                  <c:v>277.024</c:v>
                </c:pt>
                <c:pt idx="83">
                  <c:v>258.83</c:v>
                </c:pt>
                <c:pt idx="84">
                  <c:v>257.18400000000003</c:v>
                </c:pt>
                <c:pt idx="85">
                  <c:v>257.82600000000002</c:v>
                </c:pt>
                <c:pt idx="86">
                  <c:v>261.10899999999998</c:v>
                </c:pt>
                <c:pt idx="87">
                  <c:v>268.65899999999999</c:v>
                </c:pt>
                <c:pt idx="88">
                  <c:v>262.98399999999998</c:v>
                </c:pt>
                <c:pt idx="89">
                  <c:v>263.452</c:v>
                </c:pt>
                <c:pt idx="90">
                  <c:v>265.56700000000001</c:v>
                </c:pt>
                <c:pt idx="91">
                  <c:v>265.88799999999998</c:v>
                </c:pt>
                <c:pt idx="92">
                  <c:v>265.88799999999998</c:v>
                </c:pt>
                <c:pt idx="93">
                  <c:v>268.66399999999999</c:v>
                </c:pt>
                <c:pt idx="94">
                  <c:v>266.72500000000002</c:v>
                </c:pt>
                <c:pt idx="95">
                  <c:v>269.18299999999999</c:v>
                </c:pt>
                <c:pt idx="96">
                  <c:v>273.09899999999999</c:v>
                </c:pt>
                <c:pt idx="97">
                  <c:v>275.56900000000002</c:v>
                </c:pt>
                <c:pt idx="98">
                  <c:v>269.57</c:v>
                </c:pt>
                <c:pt idx="99">
                  <c:v>263.78399999999999</c:v>
                </c:pt>
                <c:pt idx="100">
                  <c:v>257.28399999999999</c:v>
                </c:pt>
                <c:pt idx="101">
                  <c:v>251.815</c:v>
                </c:pt>
                <c:pt idx="102">
                  <c:v>240.52099999999999</c:v>
                </c:pt>
                <c:pt idx="103">
                  <c:v>240.52099999999999</c:v>
                </c:pt>
                <c:pt idx="104">
                  <c:v>240.94200000000001</c:v>
                </c:pt>
                <c:pt idx="105">
                  <c:v>242.941</c:v>
                </c:pt>
                <c:pt idx="106">
                  <c:v>249.73099999999999</c:v>
                </c:pt>
                <c:pt idx="107">
                  <c:v>256.346</c:v>
                </c:pt>
                <c:pt idx="108">
                  <c:v>255.12299999999999</c:v>
                </c:pt>
                <c:pt idx="109">
                  <c:v>256.69600000000003</c:v>
                </c:pt>
                <c:pt idx="110">
                  <c:v>255.28299999999999</c:v>
                </c:pt>
                <c:pt idx="111">
                  <c:v>257.97399999999999</c:v>
                </c:pt>
                <c:pt idx="112">
                  <c:v>266.709</c:v>
                </c:pt>
                <c:pt idx="113">
                  <c:v>265.86</c:v>
                </c:pt>
                <c:pt idx="114">
                  <c:v>264.51600000000002</c:v>
                </c:pt>
                <c:pt idx="115">
                  <c:v>264.81799999999998</c:v>
                </c:pt>
                <c:pt idx="116">
                  <c:v>261.83199999999999</c:v>
                </c:pt>
                <c:pt idx="117">
                  <c:v>255.55699999999999</c:v>
                </c:pt>
                <c:pt idx="118">
                  <c:v>254.31899999999999</c:v>
                </c:pt>
                <c:pt idx="119">
                  <c:v>252.11199999999999</c:v>
                </c:pt>
                <c:pt idx="120">
                  <c:v>255.00399999999999</c:v>
                </c:pt>
                <c:pt idx="121">
                  <c:v>250.61500000000001</c:v>
                </c:pt>
                <c:pt idx="122">
                  <c:v>249.83799999999999</c:v>
                </c:pt>
                <c:pt idx="123">
                  <c:v>265.62200000000001</c:v>
                </c:pt>
                <c:pt idx="124">
                  <c:v>260.53500000000003</c:v>
                </c:pt>
                <c:pt idx="125">
                  <c:v>258.202</c:v>
                </c:pt>
                <c:pt idx="126">
                  <c:v>256.00099999999998</c:v>
                </c:pt>
                <c:pt idx="127">
                  <c:v>246.26400000000001</c:v>
                </c:pt>
                <c:pt idx="128">
                  <c:v>245.44800000000001</c:v>
                </c:pt>
                <c:pt idx="129">
                  <c:v>237.57</c:v>
                </c:pt>
                <c:pt idx="130">
                  <c:v>230.178</c:v>
                </c:pt>
                <c:pt idx="131">
                  <c:v>221.94499999999999</c:v>
                </c:pt>
                <c:pt idx="132">
                  <c:v>216.714</c:v>
                </c:pt>
                <c:pt idx="133">
                  <c:v>211.07400000000001</c:v>
                </c:pt>
                <c:pt idx="134">
                  <c:v>206.46100000000001</c:v>
                </c:pt>
                <c:pt idx="135">
                  <c:v>208.02500000000001</c:v>
                </c:pt>
                <c:pt idx="136">
                  <c:v>207.98099999999999</c:v>
                </c:pt>
                <c:pt idx="137">
                  <c:v>203.92699999999999</c:v>
                </c:pt>
                <c:pt idx="138">
                  <c:v>208.464</c:v>
                </c:pt>
                <c:pt idx="139">
                  <c:v>199.84700000000001</c:v>
                </c:pt>
                <c:pt idx="140">
                  <c:v>206.71799999999999</c:v>
                </c:pt>
                <c:pt idx="141">
                  <c:v>209.38800000000001</c:v>
                </c:pt>
                <c:pt idx="142">
                  <c:v>206.995</c:v>
                </c:pt>
                <c:pt idx="143">
                  <c:v>205.881</c:v>
                </c:pt>
                <c:pt idx="144">
                  <c:v>205.881</c:v>
                </c:pt>
                <c:pt idx="145">
                  <c:v>205.92699999999999</c:v>
                </c:pt>
                <c:pt idx="146">
                  <c:v>210.791</c:v>
                </c:pt>
                <c:pt idx="147">
                  <c:v>216.315</c:v>
                </c:pt>
                <c:pt idx="148">
                  <c:v>222.172</c:v>
                </c:pt>
                <c:pt idx="149">
                  <c:v>219.989</c:v>
                </c:pt>
                <c:pt idx="150">
                  <c:v>216.01900000000001</c:v>
                </c:pt>
                <c:pt idx="151">
                  <c:v>216.441</c:v>
                </c:pt>
                <c:pt idx="152">
                  <c:v>214.815</c:v>
                </c:pt>
                <c:pt idx="153">
                  <c:v>212.166</c:v>
                </c:pt>
                <c:pt idx="154">
                  <c:v>213.488</c:v>
                </c:pt>
                <c:pt idx="155">
                  <c:v>214.447</c:v>
                </c:pt>
                <c:pt idx="156">
                  <c:v>207.952</c:v>
                </c:pt>
                <c:pt idx="157">
                  <c:v>206.46299999999999</c:v>
                </c:pt>
                <c:pt idx="158">
                  <c:v>205.50299999999999</c:v>
                </c:pt>
                <c:pt idx="159">
                  <c:v>203.84</c:v>
                </c:pt>
                <c:pt idx="160">
                  <c:v>209.929</c:v>
                </c:pt>
              </c:numCache>
            </c:numRef>
          </c:val>
          <c:smooth val="0"/>
          <c:extLst>
            <c:ext xmlns:c16="http://schemas.microsoft.com/office/drawing/2014/chart" uri="{C3380CC4-5D6E-409C-BE32-E72D297353CC}">
              <c16:uniqueId val="{00000001-65C7-4841-82C2-DF9FC75A51EA}"/>
            </c:ext>
          </c:extLst>
        </c:ser>
        <c:ser>
          <c:idx val="3"/>
          <c:order val="2"/>
          <c:tx>
            <c:strRef>
              <c:f>Sheet1!$E$1</c:f>
              <c:strCache>
                <c:ptCount val="1"/>
                <c:pt idx="0">
                  <c:v>Վրաստան (2026) BB</c:v>
                </c:pt>
              </c:strCache>
            </c:strRef>
          </c:tx>
          <c:spPr>
            <a:ln w="12700" cap="rnd">
              <a:solidFill>
                <a:srgbClr val="C00000"/>
              </a:solidFill>
              <a:prstDash val="solid"/>
              <a:round/>
            </a:ln>
            <a:effectLst/>
          </c:spPr>
          <c:marker>
            <c:symbol val="none"/>
          </c:marker>
          <c:cat>
            <c:numRef>
              <c:f>Sheet1!$A$2:$A$162</c:f>
              <c:numCache>
                <c:formatCode>m\/d\/yyyy</c:formatCode>
                <c:ptCount val="161"/>
                <c:pt idx="0">
                  <c:v>45699</c:v>
                </c:pt>
                <c:pt idx="1">
                  <c:v>45700</c:v>
                </c:pt>
                <c:pt idx="2">
                  <c:v>45701</c:v>
                </c:pt>
                <c:pt idx="3">
                  <c:v>45702</c:v>
                </c:pt>
                <c:pt idx="4">
                  <c:v>45705</c:v>
                </c:pt>
                <c:pt idx="5">
                  <c:v>45706</c:v>
                </c:pt>
                <c:pt idx="6">
                  <c:v>45707</c:v>
                </c:pt>
                <c:pt idx="7">
                  <c:v>45708</c:v>
                </c:pt>
                <c:pt idx="8">
                  <c:v>45709</c:v>
                </c:pt>
                <c:pt idx="9">
                  <c:v>45712</c:v>
                </c:pt>
                <c:pt idx="10">
                  <c:v>45713</c:v>
                </c:pt>
                <c:pt idx="11">
                  <c:v>45714</c:v>
                </c:pt>
                <c:pt idx="12">
                  <c:v>45715</c:v>
                </c:pt>
                <c:pt idx="13">
                  <c:v>45716</c:v>
                </c:pt>
                <c:pt idx="14">
                  <c:v>45719</c:v>
                </c:pt>
                <c:pt idx="15">
                  <c:v>45720</c:v>
                </c:pt>
                <c:pt idx="16">
                  <c:v>45721</c:v>
                </c:pt>
                <c:pt idx="17">
                  <c:v>45722</c:v>
                </c:pt>
                <c:pt idx="18">
                  <c:v>45723</c:v>
                </c:pt>
                <c:pt idx="19">
                  <c:v>45726</c:v>
                </c:pt>
                <c:pt idx="20">
                  <c:v>45727</c:v>
                </c:pt>
                <c:pt idx="21">
                  <c:v>45728</c:v>
                </c:pt>
                <c:pt idx="22">
                  <c:v>45729</c:v>
                </c:pt>
                <c:pt idx="23">
                  <c:v>45730</c:v>
                </c:pt>
                <c:pt idx="24">
                  <c:v>45733</c:v>
                </c:pt>
                <c:pt idx="25">
                  <c:v>45734</c:v>
                </c:pt>
                <c:pt idx="26">
                  <c:v>45735</c:v>
                </c:pt>
                <c:pt idx="27">
                  <c:v>45736</c:v>
                </c:pt>
                <c:pt idx="28">
                  <c:v>45737</c:v>
                </c:pt>
                <c:pt idx="29">
                  <c:v>45740</c:v>
                </c:pt>
                <c:pt idx="30">
                  <c:v>45741</c:v>
                </c:pt>
                <c:pt idx="31">
                  <c:v>45742</c:v>
                </c:pt>
                <c:pt idx="32">
                  <c:v>45743</c:v>
                </c:pt>
                <c:pt idx="33">
                  <c:v>45744</c:v>
                </c:pt>
                <c:pt idx="34">
                  <c:v>45747</c:v>
                </c:pt>
                <c:pt idx="35">
                  <c:v>45748</c:v>
                </c:pt>
                <c:pt idx="36">
                  <c:v>45749</c:v>
                </c:pt>
                <c:pt idx="37">
                  <c:v>45750</c:v>
                </c:pt>
                <c:pt idx="38">
                  <c:v>45751</c:v>
                </c:pt>
                <c:pt idx="39">
                  <c:v>45754</c:v>
                </c:pt>
                <c:pt idx="40">
                  <c:v>45755</c:v>
                </c:pt>
                <c:pt idx="41">
                  <c:v>45756</c:v>
                </c:pt>
                <c:pt idx="42">
                  <c:v>45757</c:v>
                </c:pt>
                <c:pt idx="43">
                  <c:v>45758</c:v>
                </c:pt>
                <c:pt idx="44">
                  <c:v>45761</c:v>
                </c:pt>
                <c:pt idx="45">
                  <c:v>45762</c:v>
                </c:pt>
                <c:pt idx="46">
                  <c:v>45763</c:v>
                </c:pt>
                <c:pt idx="47">
                  <c:v>45764</c:v>
                </c:pt>
                <c:pt idx="48">
                  <c:v>45765</c:v>
                </c:pt>
                <c:pt idx="49">
                  <c:v>45768</c:v>
                </c:pt>
                <c:pt idx="50">
                  <c:v>45769</c:v>
                </c:pt>
                <c:pt idx="51">
                  <c:v>45770</c:v>
                </c:pt>
                <c:pt idx="52">
                  <c:v>45771</c:v>
                </c:pt>
                <c:pt idx="53">
                  <c:v>45772</c:v>
                </c:pt>
                <c:pt idx="54">
                  <c:v>45775</c:v>
                </c:pt>
                <c:pt idx="55">
                  <c:v>45776</c:v>
                </c:pt>
                <c:pt idx="56">
                  <c:v>45777</c:v>
                </c:pt>
                <c:pt idx="57">
                  <c:v>45778</c:v>
                </c:pt>
                <c:pt idx="58">
                  <c:v>45779</c:v>
                </c:pt>
                <c:pt idx="59">
                  <c:v>45782</c:v>
                </c:pt>
                <c:pt idx="60">
                  <c:v>45783</c:v>
                </c:pt>
                <c:pt idx="61">
                  <c:v>45784</c:v>
                </c:pt>
                <c:pt idx="62">
                  <c:v>45785</c:v>
                </c:pt>
                <c:pt idx="63">
                  <c:v>45786</c:v>
                </c:pt>
                <c:pt idx="64">
                  <c:v>45789</c:v>
                </c:pt>
                <c:pt idx="65">
                  <c:v>45790</c:v>
                </c:pt>
                <c:pt idx="66">
                  <c:v>45791</c:v>
                </c:pt>
                <c:pt idx="67">
                  <c:v>45792</c:v>
                </c:pt>
                <c:pt idx="68">
                  <c:v>45793</c:v>
                </c:pt>
                <c:pt idx="69">
                  <c:v>45796</c:v>
                </c:pt>
                <c:pt idx="70">
                  <c:v>45797</c:v>
                </c:pt>
                <c:pt idx="71">
                  <c:v>45798</c:v>
                </c:pt>
                <c:pt idx="72">
                  <c:v>45799</c:v>
                </c:pt>
                <c:pt idx="73">
                  <c:v>45800</c:v>
                </c:pt>
                <c:pt idx="74">
                  <c:v>45803</c:v>
                </c:pt>
                <c:pt idx="75">
                  <c:v>45804</c:v>
                </c:pt>
                <c:pt idx="76">
                  <c:v>45805</c:v>
                </c:pt>
                <c:pt idx="77">
                  <c:v>45806</c:v>
                </c:pt>
                <c:pt idx="78">
                  <c:v>45807</c:v>
                </c:pt>
                <c:pt idx="79">
                  <c:v>45810</c:v>
                </c:pt>
                <c:pt idx="80">
                  <c:v>45811</c:v>
                </c:pt>
                <c:pt idx="81">
                  <c:v>45812</c:v>
                </c:pt>
                <c:pt idx="82">
                  <c:v>45813</c:v>
                </c:pt>
                <c:pt idx="83">
                  <c:v>45814</c:v>
                </c:pt>
                <c:pt idx="84">
                  <c:v>45817</c:v>
                </c:pt>
                <c:pt idx="85">
                  <c:v>45818</c:v>
                </c:pt>
                <c:pt idx="86">
                  <c:v>45819</c:v>
                </c:pt>
                <c:pt idx="87">
                  <c:v>45820</c:v>
                </c:pt>
                <c:pt idx="88">
                  <c:v>45821</c:v>
                </c:pt>
                <c:pt idx="89">
                  <c:v>45824</c:v>
                </c:pt>
                <c:pt idx="90">
                  <c:v>45825</c:v>
                </c:pt>
                <c:pt idx="91">
                  <c:v>45826</c:v>
                </c:pt>
                <c:pt idx="92">
                  <c:v>45827</c:v>
                </c:pt>
                <c:pt idx="93">
                  <c:v>45828</c:v>
                </c:pt>
                <c:pt idx="94">
                  <c:v>45831</c:v>
                </c:pt>
                <c:pt idx="95">
                  <c:v>45832</c:v>
                </c:pt>
                <c:pt idx="96">
                  <c:v>45833</c:v>
                </c:pt>
                <c:pt idx="97">
                  <c:v>45834</c:v>
                </c:pt>
                <c:pt idx="98">
                  <c:v>45835</c:v>
                </c:pt>
                <c:pt idx="99">
                  <c:v>45838</c:v>
                </c:pt>
                <c:pt idx="100">
                  <c:v>45839</c:v>
                </c:pt>
                <c:pt idx="101">
                  <c:v>45840</c:v>
                </c:pt>
                <c:pt idx="102">
                  <c:v>45841</c:v>
                </c:pt>
                <c:pt idx="103">
                  <c:v>45842</c:v>
                </c:pt>
                <c:pt idx="104">
                  <c:v>45845</c:v>
                </c:pt>
                <c:pt idx="105">
                  <c:v>45846</c:v>
                </c:pt>
                <c:pt idx="106">
                  <c:v>45847</c:v>
                </c:pt>
                <c:pt idx="107">
                  <c:v>45848</c:v>
                </c:pt>
                <c:pt idx="108">
                  <c:v>45849</c:v>
                </c:pt>
                <c:pt idx="109">
                  <c:v>45852</c:v>
                </c:pt>
                <c:pt idx="110">
                  <c:v>45853</c:v>
                </c:pt>
                <c:pt idx="111">
                  <c:v>45854</c:v>
                </c:pt>
                <c:pt idx="112">
                  <c:v>45855</c:v>
                </c:pt>
                <c:pt idx="113">
                  <c:v>45856</c:v>
                </c:pt>
                <c:pt idx="114">
                  <c:v>45859</c:v>
                </c:pt>
                <c:pt idx="115">
                  <c:v>45860</c:v>
                </c:pt>
                <c:pt idx="116">
                  <c:v>45861</c:v>
                </c:pt>
                <c:pt idx="117">
                  <c:v>45862</c:v>
                </c:pt>
                <c:pt idx="118">
                  <c:v>45863</c:v>
                </c:pt>
                <c:pt idx="119">
                  <c:v>45866</c:v>
                </c:pt>
                <c:pt idx="120">
                  <c:v>45867</c:v>
                </c:pt>
                <c:pt idx="121">
                  <c:v>45868</c:v>
                </c:pt>
                <c:pt idx="122">
                  <c:v>45869</c:v>
                </c:pt>
                <c:pt idx="123">
                  <c:v>45870</c:v>
                </c:pt>
                <c:pt idx="124">
                  <c:v>45873</c:v>
                </c:pt>
                <c:pt idx="125">
                  <c:v>45874</c:v>
                </c:pt>
                <c:pt idx="126">
                  <c:v>45875</c:v>
                </c:pt>
                <c:pt idx="127">
                  <c:v>45876</c:v>
                </c:pt>
                <c:pt idx="128">
                  <c:v>45877</c:v>
                </c:pt>
                <c:pt idx="129">
                  <c:v>45880</c:v>
                </c:pt>
                <c:pt idx="130">
                  <c:v>45881</c:v>
                </c:pt>
                <c:pt idx="131">
                  <c:v>45882</c:v>
                </c:pt>
                <c:pt idx="132">
                  <c:v>45883</c:v>
                </c:pt>
                <c:pt idx="133">
                  <c:v>45884</c:v>
                </c:pt>
                <c:pt idx="134">
                  <c:v>45887</c:v>
                </c:pt>
                <c:pt idx="135">
                  <c:v>45888</c:v>
                </c:pt>
                <c:pt idx="136">
                  <c:v>45889</c:v>
                </c:pt>
                <c:pt idx="137">
                  <c:v>45890</c:v>
                </c:pt>
                <c:pt idx="138">
                  <c:v>45891</c:v>
                </c:pt>
                <c:pt idx="139">
                  <c:v>45894</c:v>
                </c:pt>
                <c:pt idx="140">
                  <c:v>45895</c:v>
                </c:pt>
                <c:pt idx="141">
                  <c:v>45896</c:v>
                </c:pt>
                <c:pt idx="142">
                  <c:v>45897</c:v>
                </c:pt>
                <c:pt idx="143">
                  <c:v>45898</c:v>
                </c:pt>
                <c:pt idx="144">
                  <c:v>45901</c:v>
                </c:pt>
                <c:pt idx="145">
                  <c:v>45902</c:v>
                </c:pt>
                <c:pt idx="146">
                  <c:v>45903</c:v>
                </c:pt>
                <c:pt idx="147">
                  <c:v>45904</c:v>
                </c:pt>
                <c:pt idx="148">
                  <c:v>45905</c:v>
                </c:pt>
                <c:pt idx="149">
                  <c:v>45908</c:v>
                </c:pt>
                <c:pt idx="150">
                  <c:v>45909</c:v>
                </c:pt>
                <c:pt idx="151">
                  <c:v>45910</c:v>
                </c:pt>
                <c:pt idx="152">
                  <c:v>45911</c:v>
                </c:pt>
                <c:pt idx="153">
                  <c:v>45912</c:v>
                </c:pt>
                <c:pt idx="154">
                  <c:v>45915</c:v>
                </c:pt>
                <c:pt idx="155">
                  <c:v>45916</c:v>
                </c:pt>
                <c:pt idx="156">
                  <c:v>45917</c:v>
                </c:pt>
                <c:pt idx="157">
                  <c:v>45918</c:v>
                </c:pt>
                <c:pt idx="158">
                  <c:v>45919</c:v>
                </c:pt>
                <c:pt idx="159">
                  <c:v>45922</c:v>
                </c:pt>
                <c:pt idx="160">
                  <c:v>45923</c:v>
                </c:pt>
              </c:numCache>
            </c:numRef>
          </c:cat>
          <c:val>
            <c:numRef>
              <c:f>Sheet1!$E$2:$E$163</c:f>
              <c:numCache>
                <c:formatCode>0.00</c:formatCode>
                <c:ptCount val="162"/>
                <c:pt idx="0">
                  <c:v>292.08300000000003</c:v>
                </c:pt>
                <c:pt idx="1">
                  <c:v>286.77199999999999</c:v>
                </c:pt>
                <c:pt idx="2">
                  <c:v>292.74299999999999</c:v>
                </c:pt>
                <c:pt idx="3">
                  <c:v>281.04199999999997</c:v>
                </c:pt>
                <c:pt idx="4">
                  <c:v>281.04199999999997</c:v>
                </c:pt>
                <c:pt idx="5">
                  <c:v>284.79700000000003</c:v>
                </c:pt>
                <c:pt idx="6">
                  <c:v>279.524</c:v>
                </c:pt>
                <c:pt idx="7">
                  <c:v>274.89</c:v>
                </c:pt>
                <c:pt idx="8">
                  <c:v>281.15300000000002</c:v>
                </c:pt>
                <c:pt idx="9">
                  <c:v>281.33999999999997</c:v>
                </c:pt>
                <c:pt idx="10">
                  <c:v>285.37299999999999</c:v>
                </c:pt>
                <c:pt idx="11">
                  <c:v>279.68400000000003</c:v>
                </c:pt>
                <c:pt idx="12">
                  <c:v>281.00799999999998</c:v>
                </c:pt>
                <c:pt idx="13">
                  <c:v>280.447</c:v>
                </c:pt>
                <c:pt idx="14">
                  <c:v>282.90699999999998</c:v>
                </c:pt>
                <c:pt idx="15">
                  <c:v>284.23899999999998</c:v>
                </c:pt>
                <c:pt idx="16">
                  <c:v>275.38900000000001</c:v>
                </c:pt>
                <c:pt idx="17">
                  <c:v>284.685</c:v>
                </c:pt>
                <c:pt idx="18">
                  <c:v>288.548</c:v>
                </c:pt>
                <c:pt idx="19">
                  <c:v>296.53399999999999</c:v>
                </c:pt>
                <c:pt idx="20">
                  <c:v>297.70800000000003</c:v>
                </c:pt>
                <c:pt idx="21">
                  <c:v>272.37799999999999</c:v>
                </c:pt>
                <c:pt idx="22">
                  <c:v>292.00299999999999</c:v>
                </c:pt>
                <c:pt idx="23">
                  <c:v>290.82400000000001</c:v>
                </c:pt>
                <c:pt idx="24">
                  <c:v>284.827</c:v>
                </c:pt>
                <c:pt idx="25">
                  <c:v>287.76400000000001</c:v>
                </c:pt>
                <c:pt idx="26">
                  <c:v>284.43900000000002</c:v>
                </c:pt>
                <c:pt idx="27">
                  <c:v>292.90300000000002</c:v>
                </c:pt>
                <c:pt idx="28">
                  <c:v>293.87099999999998</c:v>
                </c:pt>
                <c:pt idx="29">
                  <c:v>288.94099999999997</c:v>
                </c:pt>
                <c:pt idx="30">
                  <c:v>284.64400000000001</c:v>
                </c:pt>
                <c:pt idx="31">
                  <c:v>271.065</c:v>
                </c:pt>
                <c:pt idx="32">
                  <c:v>280.58499999999998</c:v>
                </c:pt>
                <c:pt idx="33">
                  <c:v>282.60500000000002</c:v>
                </c:pt>
                <c:pt idx="34">
                  <c:v>283.00299999999999</c:v>
                </c:pt>
                <c:pt idx="35">
                  <c:v>277.67500000000001</c:v>
                </c:pt>
                <c:pt idx="36">
                  <c:v>282.589</c:v>
                </c:pt>
                <c:pt idx="37">
                  <c:v>296.61500000000001</c:v>
                </c:pt>
                <c:pt idx="38">
                  <c:v>338.947</c:v>
                </c:pt>
                <c:pt idx="39">
                  <c:v>338.10899999999998</c:v>
                </c:pt>
                <c:pt idx="40">
                  <c:v>363.03500000000003</c:v>
                </c:pt>
                <c:pt idx="41">
                  <c:v>369.68599999999998</c:v>
                </c:pt>
                <c:pt idx="42">
                  <c:v>379.66</c:v>
                </c:pt>
                <c:pt idx="43">
                  <c:v>364.54199999999997</c:v>
                </c:pt>
                <c:pt idx="44">
                  <c:v>354.90899999999999</c:v>
                </c:pt>
                <c:pt idx="45">
                  <c:v>350.32600000000002</c:v>
                </c:pt>
                <c:pt idx="46">
                  <c:v>343.85700000000003</c:v>
                </c:pt>
                <c:pt idx="47">
                  <c:v>352.416</c:v>
                </c:pt>
                <c:pt idx="48">
                  <c:v>352.416</c:v>
                </c:pt>
                <c:pt idx="49">
                  <c:v>346.39400000000001</c:v>
                </c:pt>
                <c:pt idx="50">
                  <c:v>359.81299999999999</c:v>
                </c:pt>
                <c:pt idx="51">
                  <c:v>327.625</c:v>
                </c:pt>
                <c:pt idx="52">
                  <c:v>330.964</c:v>
                </c:pt>
                <c:pt idx="53">
                  <c:v>333.85899999999998</c:v>
                </c:pt>
                <c:pt idx="54">
                  <c:v>345.40300000000002</c:v>
                </c:pt>
                <c:pt idx="55">
                  <c:v>324.58600000000001</c:v>
                </c:pt>
                <c:pt idx="56">
                  <c:v>341.25799999999998</c:v>
                </c:pt>
                <c:pt idx="57">
                  <c:v>322.65499999999997</c:v>
                </c:pt>
                <c:pt idx="58">
                  <c:v>304.19</c:v>
                </c:pt>
                <c:pt idx="59">
                  <c:v>308.68400000000003</c:v>
                </c:pt>
                <c:pt idx="60">
                  <c:v>327.73599999999999</c:v>
                </c:pt>
                <c:pt idx="61">
                  <c:v>331.74299999999999</c:v>
                </c:pt>
                <c:pt idx="62">
                  <c:v>315.55900000000003</c:v>
                </c:pt>
                <c:pt idx="63">
                  <c:v>306.77699999999999</c:v>
                </c:pt>
                <c:pt idx="64">
                  <c:v>300.02499999999998</c:v>
                </c:pt>
                <c:pt idx="65">
                  <c:v>295.28899999999999</c:v>
                </c:pt>
                <c:pt idx="66">
                  <c:v>300.178</c:v>
                </c:pt>
                <c:pt idx="67">
                  <c:v>317.541</c:v>
                </c:pt>
                <c:pt idx="68">
                  <c:v>303.59800000000001</c:v>
                </c:pt>
                <c:pt idx="69">
                  <c:v>306.02999999999997</c:v>
                </c:pt>
                <c:pt idx="70">
                  <c:v>304.36799999999999</c:v>
                </c:pt>
                <c:pt idx="71">
                  <c:v>286.36399999999998</c:v>
                </c:pt>
                <c:pt idx="72">
                  <c:v>290.38799999999998</c:v>
                </c:pt>
                <c:pt idx="73">
                  <c:v>297.976</c:v>
                </c:pt>
                <c:pt idx="74">
                  <c:v>297.976</c:v>
                </c:pt>
                <c:pt idx="75">
                  <c:v>285.19200000000001</c:v>
                </c:pt>
                <c:pt idx="76">
                  <c:v>276.88299999999998</c:v>
                </c:pt>
                <c:pt idx="77">
                  <c:v>292.86099999999999</c:v>
                </c:pt>
                <c:pt idx="78">
                  <c:v>254.05099999999999</c:v>
                </c:pt>
                <c:pt idx="79">
                  <c:v>255.33</c:v>
                </c:pt>
                <c:pt idx="80">
                  <c:v>248.643</c:v>
                </c:pt>
                <c:pt idx="81">
                  <c:v>257.16300000000001</c:v>
                </c:pt>
                <c:pt idx="82">
                  <c:v>235.624</c:v>
                </c:pt>
                <c:pt idx="83">
                  <c:v>225.101</c:v>
                </c:pt>
                <c:pt idx="84">
                  <c:v>250.35499999999999</c:v>
                </c:pt>
                <c:pt idx="85">
                  <c:v>214.47399999999999</c:v>
                </c:pt>
                <c:pt idx="86">
                  <c:v>249.196</c:v>
                </c:pt>
                <c:pt idx="87">
                  <c:v>257.47500000000002</c:v>
                </c:pt>
                <c:pt idx="88">
                  <c:v>258.483</c:v>
                </c:pt>
                <c:pt idx="89">
                  <c:v>214.40299999999999</c:v>
                </c:pt>
                <c:pt idx="90">
                  <c:v>204.81</c:v>
                </c:pt>
                <c:pt idx="91">
                  <c:v>218.91900000000001</c:v>
                </c:pt>
                <c:pt idx="92">
                  <c:v>218.91900000000001</c:v>
                </c:pt>
                <c:pt idx="93">
                  <c:v>198.614</c:v>
                </c:pt>
                <c:pt idx="94">
                  <c:v>204.14400000000001</c:v>
                </c:pt>
                <c:pt idx="95">
                  <c:v>209.029</c:v>
                </c:pt>
                <c:pt idx="96">
                  <c:v>213.059</c:v>
                </c:pt>
                <c:pt idx="97">
                  <c:v>204.851</c:v>
                </c:pt>
                <c:pt idx="98">
                  <c:v>214.48</c:v>
                </c:pt>
                <c:pt idx="99">
                  <c:v>197.16900000000001</c:v>
                </c:pt>
                <c:pt idx="100">
                  <c:v>173.21700000000001</c:v>
                </c:pt>
                <c:pt idx="101">
                  <c:v>174.083</c:v>
                </c:pt>
                <c:pt idx="102">
                  <c:v>174.31</c:v>
                </c:pt>
                <c:pt idx="103">
                  <c:v>174.31</c:v>
                </c:pt>
                <c:pt idx="104">
                  <c:v>194.87200000000001</c:v>
                </c:pt>
                <c:pt idx="105">
                  <c:v>202.59800000000001</c:v>
                </c:pt>
                <c:pt idx="106">
                  <c:v>195.899</c:v>
                </c:pt>
                <c:pt idx="107">
                  <c:v>200.85</c:v>
                </c:pt>
                <c:pt idx="108">
                  <c:v>175.81</c:v>
                </c:pt>
                <c:pt idx="109">
                  <c:v>181.358</c:v>
                </c:pt>
                <c:pt idx="110">
                  <c:v>189.72300000000001</c:v>
                </c:pt>
                <c:pt idx="111">
                  <c:v>186.52099999999999</c:v>
                </c:pt>
                <c:pt idx="112">
                  <c:v>217.16200000000001</c:v>
                </c:pt>
                <c:pt idx="113">
                  <c:v>214.17599999999999</c:v>
                </c:pt>
                <c:pt idx="114">
                  <c:v>214.66900000000001</c:v>
                </c:pt>
                <c:pt idx="115">
                  <c:v>226.63800000000001</c:v>
                </c:pt>
                <c:pt idx="116">
                  <c:v>222.25200000000001</c:v>
                </c:pt>
                <c:pt idx="117">
                  <c:v>216.03200000000001</c:v>
                </c:pt>
                <c:pt idx="118">
                  <c:v>217.98500000000001</c:v>
                </c:pt>
                <c:pt idx="119">
                  <c:v>205.72200000000001</c:v>
                </c:pt>
                <c:pt idx="120">
                  <c:v>217.32300000000001</c:v>
                </c:pt>
                <c:pt idx="121">
                  <c:v>212.61799999999999</c:v>
                </c:pt>
                <c:pt idx="122">
                  <c:v>209.4</c:v>
                </c:pt>
                <c:pt idx="123">
                  <c:v>232.434</c:v>
                </c:pt>
                <c:pt idx="124">
                  <c:v>236.06100000000001</c:v>
                </c:pt>
                <c:pt idx="125">
                  <c:v>230.649</c:v>
                </c:pt>
                <c:pt idx="126">
                  <c:v>228.15299999999999</c:v>
                </c:pt>
                <c:pt idx="127">
                  <c:v>228.429</c:v>
                </c:pt>
                <c:pt idx="128">
                  <c:v>240.684</c:v>
                </c:pt>
                <c:pt idx="129">
                  <c:v>231.90799999999999</c:v>
                </c:pt>
                <c:pt idx="130">
                  <c:v>220.28399999999999</c:v>
                </c:pt>
                <c:pt idx="131">
                  <c:v>221.989</c:v>
                </c:pt>
                <c:pt idx="132">
                  <c:v>227.02500000000001</c:v>
                </c:pt>
                <c:pt idx="133">
                  <c:v>225.49199999999999</c:v>
                </c:pt>
                <c:pt idx="134">
                  <c:v>219.23699999999999</c:v>
                </c:pt>
                <c:pt idx="135">
                  <c:v>223.63900000000001</c:v>
                </c:pt>
                <c:pt idx="136">
                  <c:v>224.12799999999999</c:v>
                </c:pt>
                <c:pt idx="137">
                  <c:v>219.60499999999999</c:v>
                </c:pt>
                <c:pt idx="138">
                  <c:v>228.315</c:v>
                </c:pt>
                <c:pt idx="139">
                  <c:v>220.495</c:v>
                </c:pt>
                <c:pt idx="140">
                  <c:v>233.07</c:v>
                </c:pt>
                <c:pt idx="141">
                  <c:v>228.69</c:v>
                </c:pt>
                <c:pt idx="142">
                  <c:v>234.83699999999999</c:v>
                </c:pt>
                <c:pt idx="143">
                  <c:v>239.29900000000001</c:v>
                </c:pt>
                <c:pt idx="144">
                  <c:v>239.29900000000001</c:v>
                </c:pt>
                <c:pt idx="145">
                  <c:v>262.83100000000002</c:v>
                </c:pt>
                <c:pt idx="146">
                  <c:v>266.21699999999998</c:v>
                </c:pt>
                <c:pt idx="147">
                  <c:v>268.91800000000001</c:v>
                </c:pt>
                <c:pt idx="148">
                  <c:v>276.41500000000002</c:v>
                </c:pt>
                <c:pt idx="149">
                  <c:v>268.38799999999998</c:v>
                </c:pt>
                <c:pt idx="150">
                  <c:v>258.221</c:v>
                </c:pt>
                <c:pt idx="151">
                  <c:v>238.70599999999999</c:v>
                </c:pt>
                <c:pt idx="152">
                  <c:v>239.005</c:v>
                </c:pt>
                <c:pt idx="153">
                  <c:v>239.82599999999999</c:v>
                </c:pt>
                <c:pt idx="154">
                  <c:v>237.44499999999999</c:v>
                </c:pt>
                <c:pt idx="155">
                  <c:v>241.90799999999999</c:v>
                </c:pt>
                <c:pt idx="156">
                  <c:v>234.03399999999999</c:v>
                </c:pt>
                <c:pt idx="157">
                  <c:v>237.63300000000001</c:v>
                </c:pt>
                <c:pt idx="158">
                  <c:v>235.38300000000001</c:v>
                </c:pt>
                <c:pt idx="159">
                  <c:v>233.21600000000001</c:v>
                </c:pt>
                <c:pt idx="160">
                  <c:v>241.21899999999999</c:v>
                </c:pt>
              </c:numCache>
            </c:numRef>
          </c:val>
          <c:smooth val="0"/>
          <c:extLst>
            <c:ext xmlns:c16="http://schemas.microsoft.com/office/drawing/2014/chart" uri="{C3380CC4-5D6E-409C-BE32-E72D297353CC}">
              <c16:uniqueId val="{00000002-65C7-4841-82C2-DF9FC75A51EA}"/>
            </c:ext>
          </c:extLst>
        </c:ser>
        <c:ser>
          <c:idx val="4"/>
          <c:order val="3"/>
          <c:tx>
            <c:strRef>
              <c:f>Sheet1!$F$1</c:f>
              <c:strCache>
                <c:ptCount val="1"/>
                <c:pt idx="0">
                  <c:v>Թուրքիա (2030) BB-</c:v>
                </c:pt>
              </c:strCache>
            </c:strRef>
          </c:tx>
          <c:spPr>
            <a:ln w="12700" cap="rnd">
              <a:solidFill>
                <a:srgbClr val="FFC000">
                  <a:lumMod val="60000"/>
                  <a:lumOff val="40000"/>
                </a:srgbClr>
              </a:solidFill>
              <a:prstDash val="solid"/>
              <a:round/>
            </a:ln>
            <a:effectLst/>
          </c:spPr>
          <c:marker>
            <c:symbol val="none"/>
          </c:marker>
          <c:cat>
            <c:numRef>
              <c:f>Sheet1!$A$2:$A$162</c:f>
              <c:numCache>
                <c:formatCode>m\/d\/yyyy</c:formatCode>
                <c:ptCount val="161"/>
                <c:pt idx="0">
                  <c:v>45699</c:v>
                </c:pt>
                <c:pt idx="1">
                  <c:v>45700</c:v>
                </c:pt>
                <c:pt idx="2">
                  <c:v>45701</c:v>
                </c:pt>
                <c:pt idx="3">
                  <c:v>45702</c:v>
                </c:pt>
                <c:pt idx="4">
                  <c:v>45705</c:v>
                </c:pt>
                <c:pt idx="5">
                  <c:v>45706</c:v>
                </c:pt>
                <c:pt idx="6">
                  <c:v>45707</c:v>
                </c:pt>
                <c:pt idx="7">
                  <c:v>45708</c:v>
                </c:pt>
                <c:pt idx="8">
                  <c:v>45709</c:v>
                </c:pt>
                <c:pt idx="9">
                  <c:v>45712</c:v>
                </c:pt>
                <c:pt idx="10">
                  <c:v>45713</c:v>
                </c:pt>
                <c:pt idx="11">
                  <c:v>45714</c:v>
                </c:pt>
                <c:pt idx="12">
                  <c:v>45715</c:v>
                </c:pt>
                <c:pt idx="13">
                  <c:v>45716</c:v>
                </c:pt>
                <c:pt idx="14">
                  <c:v>45719</c:v>
                </c:pt>
                <c:pt idx="15">
                  <c:v>45720</c:v>
                </c:pt>
                <c:pt idx="16">
                  <c:v>45721</c:v>
                </c:pt>
                <c:pt idx="17">
                  <c:v>45722</c:v>
                </c:pt>
                <c:pt idx="18">
                  <c:v>45723</c:v>
                </c:pt>
                <c:pt idx="19">
                  <c:v>45726</c:v>
                </c:pt>
                <c:pt idx="20">
                  <c:v>45727</c:v>
                </c:pt>
                <c:pt idx="21">
                  <c:v>45728</c:v>
                </c:pt>
                <c:pt idx="22">
                  <c:v>45729</c:v>
                </c:pt>
                <c:pt idx="23">
                  <c:v>45730</c:v>
                </c:pt>
                <c:pt idx="24">
                  <c:v>45733</c:v>
                </c:pt>
                <c:pt idx="25">
                  <c:v>45734</c:v>
                </c:pt>
                <c:pt idx="26">
                  <c:v>45735</c:v>
                </c:pt>
                <c:pt idx="27">
                  <c:v>45736</c:v>
                </c:pt>
                <c:pt idx="28">
                  <c:v>45737</c:v>
                </c:pt>
                <c:pt idx="29">
                  <c:v>45740</c:v>
                </c:pt>
                <c:pt idx="30">
                  <c:v>45741</c:v>
                </c:pt>
                <c:pt idx="31">
                  <c:v>45742</c:v>
                </c:pt>
                <c:pt idx="32">
                  <c:v>45743</c:v>
                </c:pt>
                <c:pt idx="33">
                  <c:v>45744</c:v>
                </c:pt>
                <c:pt idx="34">
                  <c:v>45747</c:v>
                </c:pt>
                <c:pt idx="35">
                  <c:v>45748</c:v>
                </c:pt>
                <c:pt idx="36">
                  <c:v>45749</c:v>
                </c:pt>
                <c:pt idx="37">
                  <c:v>45750</c:v>
                </c:pt>
                <c:pt idx="38">
                  <c:v>45751</c:v>
                </c:pt>
                <c:pt idx="39">
                  <c:v>45754</c:v>
                </c:pt>
                <c:pt idx="40">
                  <c:v>45755</c:v>
                </c:pt>
                <c:pt idx="41">
                  <c:v>45756</c:v>
                </c:pt>
                <c:pt idx="42">
                  <c:v>45757</c:v>
                </c:pt>
                <c:pt idx="43">
                  <c:v>45758</c:v>
                </c:pt>
                <c:pt idx="44">
                  <c:v>45761</c:v>
                </c:pt>
                <c:pt idx="45">
                  <c:v>45762</c:v>
                </c:pt>
                <c:pt idx="46">
                  <c:v>45763</c:v>
                </c:pt>
                <c:pt idx="47">
                  <c:v>45764</c:v>
                </c:pt>
                <c:pt idx="48">
                  <c:v>45765</c:v>
                </c:pt>
                <c:pt idx="49">
                  <c:v>45768</c:v>
                </c:pt>
                <c:pt idx="50">
                  <c:v>45769</c:v>
                </c:pt>
                <c:pt idx="51">
                  <c:v>45770</c:v>
                </c:pt>
                <c:pt idx="52">
                  <c:v>45771</c:v>
                </c:pt>
                <c:pt idx="53">
                  <c:v>45772</c:v>
                </c:pt>
                <c:pt idx="54">
                  <c:v>45775</c:v>
                </c:pt>
                <c:pt idx="55">
                  <c:v>45776</c:v>
                </c:pt>
                <c:pt idx="56">
                  <c:v>45777</c:v>
                </c:pt>
                <c:pt idx="57">
                  <c:v>45778</c:v>
                </c:pt>
                <c:pt idx="58">
                  <c:v>45779</c:v>
                </c:pt>
                <c:pt idx="59">
                  <c:v>45782</c:v>
                </c:pt>
                <c:pt idx="60">
                  <c:v>45783</c:v>
                </c:pt>
                <c:pt idx="61">
                  <c:v>45784</c:v>
                </c:pt>
                <c:pt idx="62">
                  <c:v>45785</c:v>
                </c:pt>
                <c:pt idx="63">
                  <c:v>45786</c:v>
                </c:pt>
                <c:pt idx="64">
                  <c:v>45789</c:v>
                </c:pt>
                <c:pt idx="65">
                  <c:v>45790</c:v>
                </c:pt>
                <c:pt idx="66">
                  <c:v>45791</c:v>
                </c:pt>
                <c:pt idx="67">
                  <c:v>45792</c:v>
                </c:pt>
                <c:pt idx="68">
                  <c:v>45793</c:v>
                </c:pt>
                <c:pt idx="69">
                  <c:v>45796</c:v>
                </c:pt>
                <c:pt idx="70">
                  <c:v>45797</c:v>
                </c:pt>
                <c:pt idx="71">
                  <c:v>45798</c:v>
                </c:pt>
                <c:pt idx="72">
                  <c:v>45799</c:v>
                </c:pt>
                <c:pt idx="73">
                  <c:v>45800</c:v>
                </c:pt>
                <c:pt idx="74">
                  <c:v>45803</c:v>
                </c:pt>
                <c:pt idx="75">
                  <c:v>45804</c:v>
                </c:pt>
                <c:pt idx="76">
                  <c:v>45805</c:v>
                </c:pt>
                <c:pt idx="77">
                  <c:v>45806</c:v>
                </c:pt>
                <c:pt idx="78">
                  <c:v>45807</c:v>
                </c:pt>
                <c:pt idx="79">
                  <c:v>45810</c:v>
                </c:pt>
                <c:pt idx="80">
                  <c:v>45811</c:v>
                </c:pt>
                <c:pt idx="81">
                  <c:v>45812</c:v>
                </c:pt>
                <c:pt idx="82">
                  <c:v>45813</c:v>
                </c:pt>
                <c:pt idx="83">
                  <c:v>45814</c:v>
                </c:pt>
                <c:pt idx="84">
                  <c:v>45817</c:v>
                </c:pt>
                <c:pt idx="85">
                  <c:v>45818</c:v>
                </c:pt>
                <c:pt idx="86">
                  <c:v>45819</c:v>
                </c:pt>
                <c:pt idx="87">
                  <c:v>45820</c:v>
                </c:pt>
                <c:pt idx="88">
                  <c:v>45821</c:v>
                </c:pt>
                <c:pt idx="89">
                  <c:v>45824</c:v>
                </c:pt>
                <c:pt idx="90">
                  <c:v>45825</c:v>
                </c:pt>
                <c:pt idx="91">
                  <c:v>45826</c:v>
                </c:pt>
                <c:pt idx="92">
                  <c:v>45827</c:v>
                </c:pt>
                <c:pt idx="93">
                  <c:v>45828</c:v>
                </c:pt>
                <c:pt idx="94">
                  <c:v>45831</c:v>
                </c:pt>
                <c:pt idx="95">
                  <c:v>45832</c:v>
                </c:pt>
                <c:pt idx="96">
                  <c:v>45833</c:v>
                </c:pt>
                <c:pt idx="97">
                  <c:v>45834</c:v>
                </c:pt>
                <c:pt idx="98">
                  <c:v>45835</c:v>
                </c:pt>
                <c:pt idx="99">
                  <c:v>45838</c:v>
                </c:pt>
                <c:pt idx="100">
                  <c:v>45839</c:v>
                </c:pt>
                <c:pt idx="101">
                  <c:v>45840</c:v>
                </c:pt>
                <c:pt idx="102">
                  <c:v>45841</c:v>
                </c:pt>
                <c:pt idx="103">
                  <c:v>45842</c:v>
                </c:pt>
                <c:pt idx="104">
                  <c:v>45845</c:v>
                </c:pt>
                <c:pt idx="105">
                  <c:v>45846</c:v>
                </c:pt>
                <c:pt idx="106">
                  <c:v>45847</c:v>
                </c:pt>
                <c:pt idx="107">
                  <c:v>45848</c:v>
                </c:pt>
                <c:pt idx="108">
                  <c:v>45849</c:v>
                </c:pt>
                <c:pt idx="109">
                  <c:v>45852</c:v>
                </c:pt>
                <c:pt idx="110">
                  <c:v>45853</c:v>
                </c:pt>
                <c:pt idx="111">
                  <c:v>45854</c:v>
                </c:pt>
                <c:pt idx="112">
                  <c:v>45855</c:v>
                </c:pt>
                <c:pt idx="113">
                  <c:v>45856</c:v>
                </c:pt>
                <c:pt idx="114">
                  <c:v>45859</c:v>
                </c:pt>
                <c:pt idx="115">
                  <c:v>45860</c:v>
                </c:pt>
                <c:pt idx="116">
                  <c:v>45861</c:v>
                </c:pt>
                <c:pt idx="117">
                  <c:v>45862</c:v>
                </c:pt>
                <c:pt idx="118">
                  <c:v>45863</c:v>
                </c:pt>
                <c:pt idx="119">
                  <c:v>45866</c:v>
                </c:pt>
                <c:pt idx="120">
                  <c:v>45867</c:v>
                </c:pt>
                <c:pt idx="121">
                  <c:v>45868</c:v>
                </c:pt>
                <c:pt idx="122">
                  <c:v>45869</c:v>
                </c:pt>
                <c:pt idx="123">
                  <c:v>45870</c:v>
                </c:pt>
                <c:pt idx="124">
                  <c:v>45873</c:v>
                </c:pt>
                <c:pt idx="125">
                  <c:v>45874</c:v>
                </c:pt>
                <c:pt idx="126">
                  <c:v>45875</c:v>
                </c:pt>
                <c:pt idx="127">
                  <c:v>45876</c:v>
                </c:pt>
                <c:pt idx="128">
                  <c:v>45877</c:v>
                </c:pt>
                <c:pt idx="129">
                  <c:v>45880</c:v>
                </c:pt>
                <c:pt idx="130">
                  <c:v>45881</c:v>
                </c:pt>
                <c:pt idx="131">
                  <c:v>45882</c:v>
                </c:pt>
                <c:pt idx="132">
                  <c:v>45883</c:v>
                </c:pt>
                <c:pt idx="133">
                  <c:v>45884</c:v>
                </c:pt>
                <c:pt idx="134">
                  <c:v>45887</c:v>
                </c:pt>
                <c:pt idx="135">
                  <c:v>45888</c:v>
                </c:pt>
                <c:pt idx="136">
                  <c:v>45889</c:v>
                </c:pt>
                <c:pt idx="137">
                  <c:v>45890</c:v>
                </c:pt>
                <c:pt idx="138">
                  <c:v>45891</c:v>
                </c:pt>
                <c:pt idx="139">
                  <c:v>45894</c:v>
                </c:pt>
                <c:pt idx="140">
                  <c:v>45895</c:v>
                </c:pt>
                <c:pt idx="141">
                  <c:v>45896</c:v>
                </c:pt>
                <c:pt idx="142">
                  <c:v>45897</c:v>
                </c:pt>
                <c:pt idx="143">
                  <c:v>45898</c:v>
                </c:pt>
                <c:pt idx="144">
                  <c:v>45901</c:v>
                </c:pt>
                <c:pt idx="145">
                  <c:v>45902</c:v>
                </c:pt>
                <c:pt idx="146">
                  <c:v>45903</c:v>
                </c:pt>
                <c:pt idx="147">
                  <c:v>45904</c:v>
                </c:pt>
                <c:pt idx="148">
                  <c:v>45905</c:v>
                </c:pt>
                <c:pt idx="149">
                  <c:v>45908</c:v>
                </c:pt>
                <c:pt idx="150">
                  <c:v>45909</c:v>
                </c:pt>
                <c:pt idx="151">
                  <c:v>45910</c:v>
                </c:pt>
                <c:pt idx="152">
                  <c:v>45911</c:v>
                </c:pt>
                <c:pt idx="153">
                  <c:v>45912</c:v>
                </c:pt>
                <c:pt idx="154">
                  <c:v>45915</c:v>
                </c:pt>
                <c:pt idx="155">
                  <c:v>45916</c:v>
                </c:pt>
                <c:pt idx="156">
                  <c:v>45917</c:v>
                </c:pt>
                <c:pt idx="157">
                  <c:v>45918</c:v>
                </c:pt>
                <c:pt idx="158">
                  <c:v>45919</c:v>
                </c:pt>
                <c:pt idx="159">
                  <c:v>45922</c:v>
                </c:pt>
                <c:pt idx="160">
                  <c:v>45923</c:v>
                </c:pt>
              </c:numCache>
            </c:numRef>
          </c:cat>
          <c:val>
            <c:numRef>
              <c:f>Sheet1!$F$2:$F$163</c:f>
              <c:numCache>
                <c:formatCode>0.0</c:formatCode>
                <c:ptCount val="162"/>
                <c:pt idx="0">
                  <c:v>167.84100000000001</c:v>
                </c:pt>
                <c:pt idx="1">
                  <c:v>167.94</c:v>
                </c:pt>
                <c:pt idx="2">
                  <c:v>168.82</c:v>
                </c:pt>
                <c:pt idx="3">
                  <c:v>166.99100000000001</c:v>
                </c:pt>
                <c:pt idx="4">
                  <c:v>166.99100000000001</c:v>
                </c:pt>
                <c:pt idx="5">
                  <c:v>162.25299999999999</c:v>
                </c:pt>
                <c:pt idx="6">
                  <c:v>168.26599999999999</c:v>
                </c:pt>
                <c:pt idx="7">
                  <c:v>169.98699999999999</c:v>
                </c:pt>
                <c:pt idx="8">
                  <c:v>181.506</c:v>
                </c:pt>
                <c:pt idx="9">
                  <c:v>178.84200000000001</c:v>
                </c:pt>
                <c:pt idx="10">
                  <c:v>186.58799999999999</c:v>
                </c:pt>
                <c:pt idx="11">
                  <c:v>190.596</c:v>
                </c:pt>
                <c:pt idx="12">
                  <c:v>192.161</c:v>
                </c:pt>
                <c:pt idx="13">
                  <c:v>196.29400000000001</c:v>
                </c:pt>
                <c:pt idx="14">
                  <c:v>199.11</c:v>
                </c:pt>
                <c:pt idx="15">
                  <c:v>190.77500000000001</c:v>
                </c:pt>
                <c:pt idx="16">
                  <c:v>187.667</c:v>
                </c:pt>
                <c:pt idx="17">
                  <c:v>198.55699999999999</c:v>
                </c:pt>
                <c:pt idx="18">
                  <c:v>191.70699999999999</c:v>
                </c:pt>
                <c:pt idx="19">
                  <c:v>204.30600000000001</c:v>
                </c:pt>
                <c:pt idx="20">
                  <c:v>196.011</c:v>
                </c:pt>
                <c:pt idx="21">
                  <c:v>192.131</c:v>
                </c:pt>
                <c:pt idx="22">
                  <c:v>196.44200000000001</c:v>
                </c:pt>
                <c:pt idx="23">
                  <c:v>190.06</c:v>
                </c:pt>
                <c:pt idx="24">
                  <c:v>189.15899999999999</c:v>
                </c:pt>
                <c:pt idx="25">
                  <c:v>187.64099999999999</c:v>
                </c:pt>
                <c:pt idx="26">
                  <c:v>209.75800000000001</c:v>
                </c:pt>
                <c:pt idx="27">
                  <c:v>214.87700000000001</c:v>
                </c:pt>
                <c:pt idx="28">
                  <c:v>249.14699999999999</c:v>
                </c:pt>
                <c:pt idx="29">
                  <c:v>235.82</c:v>
                </c:pt>
                <c:pt idx="30">
                  <c:v>227.70500000000001</c:v>
                </c:pt>
                <c:pt idx="31">
                  <c:v>230.905</c:v>
                </c:pt>
                <c:pt idx="32">
                  <c:v>240.928</c:v>
                </c:pt>
                <c:pt idx="33">
                  <c:v>247.08500000000001</c:v>
                </c:pt>
                <c:pt idx="34">
                  <c:v>249.1</c:v>
                </c:pt>
                <c:pt idx="35">
                  <c:v>247.17500000000001</c:v>
                </c:pt>
                <c:pt idx="36">
                  <c:v>246.27799999999999</c:v>
                </c:pt>
                <c:pt idx="37">
                  <c:v>259.89</c:v>
                </c:pt>
                <c:pt idx="38">
                  <c:v>273.18099999999998</c:v>
                </c:pt>
                <c:pt idx="39">
                  <c:v>279.75599999999997</c:v>
                </c:pt>
                <c:pt idx="40">
                  <c:v>272.57600000000002</c:v>
                </c:pt>
                <c:pt idx="41">
                  <c:v>290.81599999999997</c:v>
                </c:pt>
                <c:pt idx="42">
                  <c:v>268.30399999999997</c:v>
                </c:pt>
                <c:pt idx="43">
                  <c:v>278.428</c:v>
                </c:pt>
                <c:pt idx="44">
                  <c:v>271.98599999999999</c:v>
                </c:pt>
                <c:pt idx="45">
                  <c:v>263.464</c:v>
                </c:pt>
                <c:pt idx="46">
                  <c:v>269.18200000000002</c:v>
                </c:pt>
                <c:pt idx="47">
                  <c:v>256.85399999999998</c:v>
                </c:pt>
                <c:pt idx="48">
                  <c:v>256.85399999999998</c:v>
                </c:pt>
                <c:pt idx="49">
                  <c:v>259.28399999999999</c:v>
                </c:pt>
                <c:pt idx="50">
                  <c:v>263.28500000000003</c:v>
                </c:pt>
                <c:pt idx="51">
                  <c:v>251.89699999999999</c:v>
                </c:pt>
                <c:pt idx="52">
                  <c:v>261.08800000000002</c:v>
                </c:pt>
                <c:pt idx="53">
                  <c:v>274.75700000000001</c:v>
                </c:pt>
                <c:pt idx="54">
                  <c:v>288.01900000000001</c:v>
                </c:pt>
                <c:pt idx="55">
                  <c:v>284.12400000000002</c:v>
                </c:pt>
                <c:pt idx="56">
                  <c:v>289.40499999999997</c:v>
                </c:pt>
                <c:pt idx="57">
                  <c:v>281.017</c:v>
                </c:pt>
                <c:pt idx="58">
                  <c:v>262.02999999999997</c:v>
                </c:pt>
                <c:pt idx="59">
                  <c:v>259.71100000000001</c:v>
                </c:pt>
                <c:pt idx="60">
                  <c:v>263.202</c:v>
                </c:pt>
                <c:pt idx="61">
                  <c:v>258.08999999999997</c:v>
                </c:pt>
                <c:pt idx="62">
                  <c:v>244.45699999999999</c:v>
                </c:pt>
                <c:pt idx="63">
                  <c:v>243.20099999999999</c:v>
                </c:pt>
                <c:pt idx="64">
                  <c:v>223.68799999999999</c:v>
                </c:pt>
                <c:pt idx="65">
                  <c:v>227.00399999999999</c:v>
                </c:pt>
                <c:pt idx="66">
                  <c:v>219.31399999999999</c:v>
                </c:pt>
                <c:pt idx="67">
                  <c:v>229.78</c:v>
                </c:pt>
                <c:pt idx="68">
                  <c:v>222.43199999999999</c:v>
                </c:pt>
                <c:pt idx="69">
                  <c:v>226.48500000000001</c:v>
                </c:pt>
                <c:pt idx="70">
                  <c:v>221.012</c:v>
                </c:pt>
                <c:pt idx="71">
                  <c:v>216.125</c:v>
                </c:pt>
                <c:pt idx="72">
                  <c:v>224.12899999999999</c:v>
                </c:pt>
                <c:pt idx="73">
                  <c:v>225.65799999999999</c:v>
                </c:pt>
                <c:pt idx="74">
                  <c:v>225.65799999999999</c:v>
                </c:pt>
                <c:pt idx="75">
                  <c:v>226.46299999999999</c:v>
                </c:pt>
                <c:pt idx="76">
                  <c:v>229.13800000000001</c:v>
                </c:pt>
                <c:pt idx="77">
                  <c:v>238.239</c:v>
                </c:pt>
                <c:pt idx="78">
                  <c:v>243.12</c:v>
                </c:pt>
                <c:pt idx="79">
                  <c:v>232.95500000000001</c:v>
                </c:pt>
                <c:pt idx="80">
                  <c:v>223.10499999999999</c:v>
                </c:pt>
                <c:pt idx="81">
                  <c:v>222.27699999999999</c:v>
                </c:pt>
                <c:pt idx="82">
                  <c:v>222.291</c:v>
                </c:pt>
                <c:pt idx="83">
                  <c:v>207.61199999999999</c:v>
                </c:pt>
                <c:pt idx="84">
                  <c:v>209.39699999999999</c:v>
                </c:pt>
                <c:pt idx="85">
                  <c:v>204.184</c:v>
                </c:pt>
                <c:pt idx="86">
                  <c:v>206.60599999999999</c:v>
                </c:pt>
                <c:pt idx="87">
                  <c:v>211.749</c:v>
                </c:pt>
                <c:pt idx="88">
                  <c:v>215.98099999999999</c:v>
                </c:pt>
                <c:pt idx="89">
                  <c:v>206.667</c:v>
                </c:pt>
                <c:pt idx="90">
                  <c:v>211.935</c:v>
                </c:pt>
                <c:pt idx="91">
                  <c:v>214.209</c:v>
                </c:pt>
                <c:pt idx="92">
                  <c:v>214.209</c:v>
                </c:pt>
                <c:pt idx="93">
                  <c:v>217.74</c:v>
                </c:pt>
                <c:pt idx="94">
                  <c:v>220.43100000000001</c:v>
                </c:pt>
                <c:pt idx="95">
                  <c:v>219.708</c:v>
                </c:pt>
                <c:pt idx="96">
                  <c:v>226.59</c:v>
                </c:pt>
                <c:pt idx="97">
                  <c:v>228.01599999999999</c:v>
                </c:pt>
                <c:pt idx="98">
                  <c:v>219.63300000000001</c:v>
                </c:pt>
                <c:pt idx="99">
                  <c:v>209.56899999999999</c:v>
                </c:pt>
                <c:pt idx="100">
                  <c:v>194.88900000000001</c:v>
                </c:pt>
                <c:pt idx="101">
                  <c:v>189.94</c:v>
                </c:pt>
                <c:pt idx="102">
                  <c:v>179.45400000000001</c:v>
                </c:pt>
                <c:pt idx="103">
                  <c:v>179.45400000000001</c:v>
                </c:pt>
                <c:pt idx="104">
                  <c:v>185.041</c:v>
                </c:pt>
                <c:pt idx="105">
                  <c:v>185.71299999999999</c:v>
                </c:pt>
                <c:pt idx="106">
                  <c:v>192.78100000000001</c:v>
                </c:pt>
                <c:pt idx="107">
                  <c:v>186.41900000000001</c:v>
                </c:pt>
                <c:pt idx="108">
                  <c:v>185.864</c:v>
                </c:pt>
                <c:pt idx="109">
                  <c:v>188.20599999999999</c:v>
                </c:pt>
                <c:pt idx="110">
                  <c:v>187.45099999999999</c:v>
                </c:pt>
                <c:pt idx="111">
                  <c:v>193.85900000000001</c:v>
                </c:pt>
                <c:pt idx="112">
                  <c:v>196.45099999999999</c:v>
                </c:pt>
                <c:pt idx="113">
                  <c:v>197.17099999999999</c:v>
                </c:pt>
                <c:pt idx="114">
                  <c:v>195.36600000000001</c:v>
                </c:pt>
                <c:pt idx="115">
                  <c:v>195.77</c:v>
                </c:pt>
                <c:pt idx="116">
                  <c:v>184.792</c:v>
                </c:pt>
                <c:pt idx="117">
                  <c:v>180.97499999999999</c:v>
                </c:pt>
                <c:pt idx="118">
                  <c:v>181.34399999999999</c:v>
                </c:pt>
                <c:pt idx="119">
                  <c:v>175.66200000000001</c:v>
                </c:pt>
                <c:pt idx="120">
                  <c:v>183.04</c:v>
                </c:pt>
                <c:pt idx="121">
                  <c:v>177.25899999999999</c:v>
                </c:pt>
                <c:pt idx="122">
                  <c:v>172.761</c:v>
                </c:pt>
                <c:pt idx="123">
                  <c:v>191.27500000000001</c:v>
                </c:pt>
                <c:pt idx="124">
                  <c:v>187.12200000000001</c:v>
                </c:pt>
                <c:pt idx="125">
                  <c:v>180.042</c:v>
                </c:pt>
                <c:pt idx="126">
                  <c:v>183.05500000000001</c:v>
                </c:pt>
                <c:pt idx="127">
                  <c:v>175.905</c:v>
                </c:pt>
                <c:pt idx="128">
                  <c:v>174.434</c:v>
                </c:pt>
                <c:pt idx="129">
                  <c:v>164.96700000000001</c:v>
                </c:pt>
                <c:pt idx="130">
                  <c:v>163.79599999999999</c:v>
                </c:pt>
                <c:pt idx="131">
                  <c:v>164.97200000000001</c:v>
                </c:pt>
                <c:pt idx="132">
                  <c:v>164.333</c:v>
                </c:pt>
                <c:pt idx="133">
                  <c:v>162.001</c:v>
                </c:pt>
                <c:pt idx="134">
                  <c:v>159.40899999999999</c:v>
                </c:pt>
                <c:pt idx="135">
                  <c:v>160.01599999999999</c:v>
                </c:pt>
                <c:pt idx="136">
                  <c:v>168.73400000000001</c:v>
                </c:pt>
                <c:pt idx="137">
                  <c:v>166.494</c:v>
                </c:pt>
                <c:pt idx="138">
                  <c:v>165.65100000000001</c:v>
                </c:pt>
                <c:pt idx="139">
                  <c:v>165.935</c:v>
                </c:pt>
                <c:pt idx="140">
                  <c:v>171.61799999999999</c:v>
                </c:pt>
                <c:pt idx="141">
                  <c:v>175.79900000000001</c:v>
                </c:pt>
                <c:pt idx="142">
                  <c:v>173.34299999999999</c:v>
                </c:pt>
                <c:pt idx="143">
                  <c:v>169.315</c:v>
                </c:pt>
                <c:pt idx="144">
                  <c:v>169.315</c:v>
                </c:pt>
                <c:pt idx="145">
                  <c:v>173.99600000000001</c:v>
                </c:pt>
                <c:pt idx="146">
                  <c:v>176.68899999999999</c:v>
                </c:pt>
                <c:pt idx="147">
                  <c:v>179.62200000000001</c:v>
                </c:pt>
                <c:pt idx="148">
                  <c:v>174.11699999999999</c:v>
                </c:pt>
                <c:pt idx="149">
                  <c:v>178.12</c:v>
                </c:pt>
                <c:pt idx="150">
                  <c:v>174.12700000000001</c:v>
                </c:pt>
                <c:pt idx="151">
                  <c:v>175.24</c:v>
                </c:pt>
                <c:pt idx="152">
                  <c:v>167.01400000000001</c:v>
                </c:pt>
                <c:pt idx="153">
                  <c:v>164.053</c:v>
                </c:pt>
                <c:pt idx="154">
                  <c:v>156.95400000000001</c:v>
                </c:pt>
                <c:pt idx="155">
                  <c:v>151.89400000000001</c:v>
                </c:pt>
                <c:pt idx="156">
                  <c:v>144.636</c:v>
                </c:pt>
                <c:pt idx="157">
                  <c:v>148.602</c:v>
                </c:pt>
                <c:pt idx="158">
                  <c:v>148.37799999999999</c:v>
                </c:pt>
                <c:pt idx="159">
                  <c:v>147.227</c:v>
                </c:pt>
                <c:pt idx="160">
                  <c:v>151.82300000000001</c:v>
                </c:pt>
              </c:numCache>
            </c:numRef>
          </c:val>
          <c:smooth val="0"/>
          <c:extLst>
            <c:ext xmlns:c16="http://schemas.microsoft.com/office/drawing/2014/chart" uri="{C3380CC4-5D6E-409C-BE32-E72D297353CC}">
              <c16:uniqueId val="{00000003-65C7-4841-82C2-DF9FC75A51EA}"/>
            </c:ext>
          </c:extLst>
        </c:ser>
        <c:ser>
          <c:idx val="7"/>
          <c:order val="4"/>
          <c:tx>
            <c:strRef>
              <c:f>Sheet1!$G$1</c:f>
              <c:strCache>
                <c:ptCount val="1"/>
                <c:pt idx="0">
                  <c:v>Սերբիա (2030) BB+</c:v>
                </c:pt>
              </c:strCache>
            </c:strRef>
          </c:tx>
          <c:spPr>
            <a:ln w="28575" cap="rnd">
              <a:solidFill>
                <a:schemeClr val="accent2">
                  <a:lumMod val="60000"/>
                </a:schemeClr>
              </a:solidFill>
              <a:round/>
            </a:ln>
            <a:effectLst/>
          </c:spPr>
          <c:marker>
            <c:symbol val="none"/>
          </c:marker>
          <c:cat>
            <c:numRef>
              <c:f>Sheet1!$A$2:$A$162</c:f>
              <c:numCache>
                <c:formatCode>m\/d\/yyyy</c:formatCode>
                <c:ptCount val="161"/>
                <c:pt idx="0">
                  <c:v>45699</c:v>
                </c:pt>
                <c:pt idx="1">
                  <c:v>45700</c:v>
                </c:pt>
                <c:pt idx="2">
                  <c:v>45701</c:v>
                </c:pt>
                <c:pt idx="3">
                  <c:v>45702</c:v>
                </c:pt>
                <c:pt idx="4">
                  <c:v>45705</c:v>
                </c:pt>
                <c:pt idx="5">
                  <c:v>45706</c:v>
                </c:pt>
                <c:pt idx="6">
                  <c:v>45707</c:v>
                </c:pt>
                <c:pt idx="7">
                  <c:v>45708</c:v>
                </c:pt>
                <c:pt idx="8">
                  <c:v>45709</c:v>
                </c:pt>
                <c:pt idx="9">
                  <c:v>45712</c:v>
                </c:pt>
                <c:pt idx="10">
                  <c:v>45713</c:v>
                </c:pt>
                <c:pt idx="11">
                  <c:v>45714</c:v>
                </c:pt>
                <c:pt idx="12">
                  <c:v>45715</c:v>
                </c:pt>
                <c:pt idx="13">
                  <c:v>45716</c:v>
                </c:pt>
                <c:pt idx="14">
                  <c:v>45719</c:v>
                </c:pt>
                <c:pt idx="15">
                  <c:v>45720</c:v>
                </c:pt>
                <c:pt idx="16">
                  <c:v>45721</c:v>
                </c:pt>
                <c:pt idx="17">
                  <c:v>45722</c:v>
                </c:pt>
                <c:pt idx="18">
                  <c:v>45723</c:v>
                </c:pt>
                <c:pt idx="19">
                  <c:v>45726</c:v>
                </c:pt>
                <c:pt idx="20">
                  <c:v>45727</c:v>
                </c:pt>
                <c:pt idx="21">
                  <c:v>45728</c:v>
                </c:pt>
                <c:pt idx="22">
                  <c:v>45729</c:v>
                </c:pt>
                <c:pt idx="23">
                  <c:v>45730</c:v>
                </c:pt>
                <c:pt idx="24">
                  <c:v>45733</c:v>
                </c:pt>
                <c:pt idx="25">
                  <c:v>45734</c:v>
                </c:pt>
                <c:pt idx="26">
                  <c:v>45735</c:v>
                </c:pt>
                <c:pt idx="27">
                  <c:v>45736</c:v>
                </c:pt>
                <c:pt idx="28">
                  <c:v>45737</c:v>
                </c:pt>
                <c:pt idx="29">
                  <c:v>45740</c:v>
                </c:pt>
                <c:pt idx="30">
                  <c:v>45741</c:v>
                </c:pt>
                <c:pt idx="31">
                  <c:v>45742</c:v>
                </c:pt>
                <c:pt idx="32">
                  <c:v>45743</c:v>
                </c:pt>
                <c:pt idx="33">
                  <c:v>45744</c:v>
                </c:pt>
                <c:pt idx="34">
                  <c:v>45747</c:v>
                </c:pt>
                <c:pt idx="35">
                  <c:v>45748</c:v>
                </c:pt>
                <c:pt idx="36">
                  <c:v>45749</c:v>
                </c:pt>
                <c:pt idx="37">
                  <c:v>45750</c:v>
                </c:pt>
                <c:pt idx="38">
                  <c:v>45751</c:v>
                </c:pt>
                <c:pt idx="39">
                  <c:v>45754</c:v>
                </c:pt>
                <c:pt idx="40">
                  <c:v>45755</c:v>
                </c:pt>
                <c:pt idx="41">
                  <c:v>45756</c:v>
                </c:pt>
                <c:pt idx="42">
                  <c:v>45757</c:v>
                </c:pt>
                <c:pt idx="43">
                  <c:v>45758</c:v>
                </c:pt>
                <c:pt idx="44">
                  <c:v>45761</c:v>
                </c:pt>
                <c:pt idx="45">
                  <c:v>45762</c:v>
                </c:pt>
                <c:pt idx="46">
                  <c:v>45763</c:v>
                </c:pt>
                <c:pt idx="47">
                  <c:v>45764</c:v>
                </c:pt>
                <c:pt idx="48">
                  <c:v>45765</c:v>
                </c:pt>
                <c:pt idx="49">
                  <c:v>45768</c:v>
                </c:pt>
                <c:pt idx="50">
                  <c:v>45769</c:v>
                </c:pt>
                <c:pt idx="51">
                  <c:v>45770</c:v>
                </c:pt>
                <c:pt idx="52">
                  <c:v>45771</c:v>
                </c:pt>
                <c:pt idx="53">
                  <c:v>45772</c:v>
                </c:pt>
                <c:pt idx="54">
                  <c:v>45775</c:v>
                </c:pt>
                <c:pt idx="55">
                  <c:v>45776</c:v>
                </c:pt>
                <c:pt idx="56">
                  <c:v>45777</c:v>
                </c:pt>
                <c:pt idx="57">
                  <c:v>45778</c:v>
                </c:pt>
                <c:pt idx="58">
                  <c:v>45779</c:v>
                </c:pt>
                <c:pt idx="59">
                  <c:v>45782</c:v>
                </c:pt>
                <c:pt idx="60">
                  <c:v>45783</c:v>
                </c:pt>
                <c:pt idx="61">
                  <c:v>45784</c:v>
                </c:pt>
                <c:pt idx="62">
                  <c:v>45785</c:v>
                </c:pt>
                <c:pt idx="63">
                  <c:v>45786</c:v>
                </c:pt>
                <c:pt idx="64">
                  <c:v>45789</c:v>
                </c:pt>
                <c:pt idx="65">
                  <c:v>45790</c:v>
                </c:pt>
                <c:pt idx="66">
                  <c:v>45791</c:v>
                </c:pt>
                <c:pt idx="67">
                  <c:v>45792</c:v>
                </c:pt>
                <c:pt idx="68">
                  <c:v>45793</c:v>
                </c:pt>
                <c:pt idx="69">
                  <c:v>45796</c:v>
                </c:pt>
                <c:pt idx="70">
                  <c:v>45797</c:v>
                </c:pt>
                <c:pt idx="71">
                  <c:v>45798</c:v>
                </c:pt>
                <c:pt idx="72">
                  <c:v>45799</c:v>
                </c:pt>
                <c:pt idx="73">
                  <c:v>45800</c:v>
                </c:pt>
                <c:pt idx="74">
                  <c:v>45803</c:v>
                </c:pt>
                <c:pt idx="75">
                  <c:v>45804</c:v>
                </c:pt>
                <c:pt idx="76">
                  <c:v>45805</c:v>
                </c:pt>
                <c:pt idx="77">
                  <c:v>45806</c:v>
                </c:pt>
                <c:pt idx="78">
                  <c:v>45807</c:v>
                </c:pt>
                <c:pt idx="79">
                  <c:v>45810</c:v>
                </c:pt>
                <c:pt idx="80">
                  <c:v>45811</c:v>
                </c:pt>
                <c:pt idx="81">
                  <c:v>45812</c:v>
                </c:pt>
                <c:pt idx="82">
                  <c:v>45813</c:v>
                </c:pt>
                <c:pt idx="83">
                  <c:v>45814</c:v>
                </c:pt>
                <c:pt idx="84">
                  <c:v>45817</c:v>
                </c:pt>
                <c:pt idx="85">
                  <c:v>45818</c:v>
                </c:pt>
                <c:pt idx="86">
                  <c:v>45819</c:v>
                </c:pt>
                <c:pt idx="87">
                  <c:v>45820</c:v>
                </c:pt>
                <c:pt idx="88">
                  <c:v>45821</c:v>
                </c:pt>
                <c:pt idx="89">
                  <c:v>45824</c:v>
                </c:pt>
                <c:pt idx="90">
                  <c:v>45825</c:v>
                </c:pt>
                <c:pt idx="91">
                  <c:v>45826</c:v>
                </c:pt>
                <c:pt idx="92">
                  <c:v>45827</c:v>
                </c:pt>
                <c:pt idx="93">
                  <c:v>45828</c:v>
                </c:pt>
                <c:pt idx="94">
                  <c:v>45831</c:v>
                </c:pt>
                <c:pt idx="95">
                  <c:v>45832</c:v>
                </c:pt>
                <c:pt idx="96">
                  <c:v>45833</c:v>
                </c:pt>
                <c:pt idx="97">
                  <c:v>45834</c:v>
                </c:pt>
                <c:pt idx="98">
                  <c:v>45835</c:v>
                </c:pt>
                <c:pt idx="99">
                  <c:v>45838</c:v>
                </c:pt>
                <c:pt idx="100">
                  <c:v>45839</c:v>
                </c:pt>
                <c:pt idx="101">
                  <c:v>45840</c:v>
                </c:pt>
                <c:pt idx="102">
                  <c:v>45841</c:v>
                </c:pt>
                <c:pt idx="103">
                  <c:v>45842</c:v>
                </c:pt>
                <c:pt idx="104">
                  <c:v>45845</c:v>
                </c:pt>
                <c:pt idx="105">
                  <c:v>45846</c:v>
                </c:pt>
                <c:pt idx="106">
                  <c:v>45847</c:v>
                </c:pt>
                <c:pt idx="107">
                  <c:v>45848</c:v>
                </c:pt>
                <c:pt idx="108">
                  <c:v>45849</c:v>
                </c:pt>
                <c:pt idx="109">
                  <c:v>45852</c:v>
                </c:pt>
                <c:pt idx="110">
                  <c:v>45853</c:v>
                </c:pt>
                <c:pt idx="111">
                  <c:v>45854</c:v>
                </c:pt>
                <c:pt idx="112">
                  <c:v>45855</c:v>
                </c:pt>
                <c:pt idx="113">
                  <c:v>45856</c:v>
                </c:pt>
                <c:pt idx="114">
                  <c:v>45859</c:v>
                </c:pt>
                <c:pt idx="115">
                  <c:v>45860</c:v>
                </c:pt>
                <c:pt idx="116">
                  <c:v>45861</c:v>
                </c:pt>
                <c:pt idx="117">
                  <c:v>45862</c:v>
                </c:pt>
                <c:pt idx="118">
                  <c:v>45863</c:v>
                </c:pt>
                <c:pt idx="119">
                  <c:v>45866</c:v>
                </c:pt>
                <c:pt idx="120">
                  <c:v>45867</c:v>
                </c:pt>
                <c:pt idx="121">
                  <c:v>45868</c:v>
                </c:pt>
                <c:pt idx="122">
                  <c:v>45869</c:v>
                </c:pt>
                <c:pt idx="123">
                  <c:v>45870</c:v>
                </c:pt>
                <c:pt idx="124">
                  <c:v>45873</c:v>
                </c:pt>
                <c:pt idx="125">
                  <c:v>45874</c:v>
                </c:pt>
                <c:pt idx="126">
                  <c:v>45875</c:v>
                </c:pt>
                <c:pt idx="127">
                  <c:v>45876</c:v>
                </c:pt>
                <c:pt idx="128">
                  <c:v>45877</c:v>
                </c:pt>
                <c:pt idx="129">
                  <c:v>45880</c:v>
                </c:pt>
                <c:pt idx="130">
                  <c:v>45881</c:v>
                </c:pt>
                <c:pt idx="131">
                  <c:v>45882</c:v>
                </c:pt>
                <c:pt idx="132">
                  <c:v>45883</c:v>
                </c:pt>
                <c:pt idx="133">
                  <c:v>45884</c:v>
                </c:pt>
                <c:pt idx="134">
                  <c:v>45887</c:v>
                </c:pt>
                <c:pt idx="135">
                  <c:v>45888</c:v>
                </c:pt>
                <c:pt idx="136">
                  <c:v>45889</c:v>
                </c:pt>
                <c:pt idx="137">
                  <c:v>45890</c:v>
                </c:pt>
                <c:pt idx="138">
                  <c:v>45891</c:v>
                </c:pt>
                <c:pt idx="139">
                  <c:v>45894</c:v>
                </c:pt>
                <c:pt idx="140">
                  <c:v>45895</c:v>
                </c:pt>
                <c:pt idx="141">
                  <c:v>45896</c:v>
                </c:pt>
                <c:pt idx="142">
                  <c:v>45897</c:v>
                </c:pt>
                <c:pt idx="143">
                  <c:v>45898</c:v>
                </c:pt>
                <c:pt idx="144">
                  <c:v>45901</c:v>
                </c:pt>
                <c:pt idx="145">
                  <c:v>45902</c:v>
                </c:pt>
                <c:pt idx="146">
                  <c:v>45903</c:v>
                </c:pt>
                <c:pt idx="147">
                  <c:v>45904</c:v>
                </c:pt>
                <c:pt idx="148">
                  <c:v>45905</c:v>
                </c:pt>
                <c:pt idx="149">
                  <c:v>45908</c:v>
                </c:pt>
                <c:pt idx="150">
                  <c:v>45909</c:v>
                </c:pt>
                <c:pt idx="151">
                  <c:v>45910</c:v>
                </c:pt>
                <c:pt idx="152">
                  <c:v>45911</c:v>
                </c:pt>
                <c:pt idx="153">
                  <c:v>45912</c:v>
                </c:pt>
                <c:pt idx="154">
                  <c:v>45915</c:v>
                </c:pt>
                <c:pt idx="155">
                  <c:v>45916</c:v>
                </c:pt>
                <c:pt idx="156">
                  <c:v>45917</c:v>
                </c:pt>
                <c:pt idx="157">
                  <c:v>45918</c:v>
                </c:pt>
                <c:pt idx="158">
                  <c:v>45919</c:v>
                </c:pt>
                <c:pt idx="159">
                  <c:v>45922</c:v>
                </c:pt>
                <c:pt idx="160">
                  <c:v>45923</c:v>
                </c:pt>
              </c:numCache>
            </c:numRef>
          </c:cat>
          <c:val>
            <c:numRef>
              <c:f>Sheet1!$G$2:$G$162</c:f>
            </c:numRef>
          </c:val>
          <c:smooth val="0"/>
          <c:extLst>
            <c:ext xmlns:c16="http://schemas.microsoft.com/office/drawing/2014/chart" uri="{C3380CC4-5D6E-409C-BE32-E72D297353CC}">
              <c16:uniqueId val="{00000004-65C7-4841-82C2-DF9FC75A51EA}"/>
            </c:ext>
          </c:extLst>
        </c:ser>
        <c:ser>
          <c:idx val="8"/>
          <c:order val="5"/>
          <c:tx>
            <c:strRef>
              <c:f>Sheet1!$H$1</c:f>
              <c:strCache>
                <c:ptCount val="1"/>
                <c:pt idx="0">
                  <c:v>Ուզբեկստան (2029) BB</c:v>
                </c:pt>
              </c:strCache>
            </c:strRef>
          </c:tx>
          <c:spPr>
            <a:ln w="12700" cap="rnd">
              <a:solidFill>
                <a:srgbClr val="7030A0"/>
              </a:solidFill>
              <a:prstDash val="solid"/>
              <a:round/>
            </a:ln>
            <a:effectLst/>
          </c:spPr>
          <c:marker>
            <c:symbol val="none"/>
          </c:marker>
          <c:cat>
            <c:numRef>
              <c:f>Sheet1!$A$2:$A$162</c:f>
              <c:numCache>
                <c:formatCode>m\/d\/yyyy</c:formatCode>
                <c:ptCount val="161"/>
                <c:pt idx="0">
                  <c:v>45699</c:v>
                </c:pt>
                <c:pt idx="1">
                  <c:v>45700</c:v>
                </c:pt>
                <c:pt idx="2">
                  <c:v>45701</c:v>
                </c:pt>
                <c:pt idx="3">
                  <c:v>45702</c:v>
                </c:pt>
                <c:pt idx="4">
                  <c:v>45705</c:v>
                </c:pt>
                <c:pt idx="5">
                  <c:v>45706</c:v>
                </c:pt>
                <c:pt idx="6">
                  <c:v>45707</c:v>
                </c:pt>
                <c:pt idx="7">
                  <c:v>45708</c:v>
                </c:pt>
                <c:pt idx="8">
                  <c:v>45709</c:v>
                </c:pt>
                <c:pt idx="9">
                  <c:v>45712</c:v>
                </c:pt>
                <c:pt idx="10">
                  <c:v>45713</c:v>
                </c:pt>
                <c:pt idx="11">
                  <c:v>45714</c:v>
                </c:pt>
                <c:pt idx="12">
                  <c:v>45715</c:v>
                </c:pt>
                <c:pt idx="13">
                  <c:v>45716</c:v>
                </c:pt>
                <c:pt idx="14">
                  <c:v>45719</c:v>
                </c:pt>
                <c:pt idx="15">
                  <c:v>45720</c:v>
                </c:pt>
                <c:pt idx="16">
                  <c:v>45721</c:v>
                </c:pt>
                <c:pt idx="17">
                  <c:v>45722</c:v>
                </c:pt>
                <c:pt idx="18">
                  <c:v>45723</c:v>
                </c:pt>
                <c:pt idx="19">
                  <c:v>45726</c:v>
                </c:pt>
                <c:pt idx="20">
                  <c:v>45727</c:v>
                </c:pt>
                <c:pt idx="21">
                  <c:v>45728</c:v>
                </c:pt>
                <c:pt idx="22">
                  <c:v>45729</c:v>
                </c:pt>
                <c:pt idx="23">
                  <c:v>45730</c:v>
                </c:pt>
                <c:pt idx="24">
                  <c:v>45733</c:v>
                </c:pt>
                <c:pt idx="25">
                  <c:v>45734</c:v>
                </c:pt>
                <c:pt idx="26">
                  <c:v>45735</c:v>
                </c:pt>
                <c:pt idx="27">
                  <c:v>45736</c:v>
                </c:pt>
                <c:pt idx="28">
                  <c:v>45737</c:v>
                </c:pt>
                <c:pt idx="29">
                  <c:v>45740</c:v>
                </c:pt>
                <c:pt idx="30">
                  <c:v>45741</c:v>
                </c:pt>
                <c:pt idx="31">
                  <c:v>45742</c:v>
                </c:pt>
                <c:pt idx="32">
                  <c:v>45743</c:v>
                </c:pt>
                <c:pt idx="33">
                  <c:v>45744</c:v>
                </c:pt>
                <c:pt idx="34">
                  <c:v>45747</c:v>
                </c:pt>
                <c:pt idx="35">
                  <c:v>45748</c:v>
                </c:pt>
                <c:pt idx="36">
                  <c:v>45749</c:v>
                </c:pt>
                <c:pt idx="37">
                  <c:v>45750</c:v>
                </c:pt>
                <c:pt idx="38">
                  <c:v>45751</c:v>
                </c:pt>
                <c:pt idx="39">
                  <c:v>45754</c:v>
                </c:pt>
                <c:pt idx="40">
                  <c:v>45755</c:v>
                </c:pt>
                <c:pt idx="41">
                  <c:v>45756</c:v>
                </c:pt>
                <c:pt idx="42">
                  <c:v>45757</c:v>
                </c:pt>
                <c:pt idx="43">
                  <c:v>45758</c:v>
                </c:pt>
                <c:pt idx="44">
                  <c:v>45761</c:v>
                </c:pt>
                <c:pt idx="45">
                  <c:v>45762</c:v>
                </c:pt>
                <c:pt idx="46">
                  <c:v>45763</c:v>
                </c:pt>
                <c:pt idx="47">
                  <c:v>45764</c:v>
                </c:pt>
                <c:pt idx="48">
                  <c:v>45765</c:v>
                </c:pt>
                <c:pt idx="49">
                  <c:v>45768</c:v>
                </c:pt>
                <c:pt idx="50">
                  <c:v>45769</c:v>
                </c:pt>
                <c:pt idx="51">
                  <c:v>45770</c:v>
                </c:pt>
                <c:pt idx="52">
                  <c:v>45771</c:v>
                </c:pt>
                <c:pt idx="53">
                  <c:v>45772</c:v>
                </c:pt>
                <c:pt idx="54">
                  <c:v>45775</c:v>
                </c:pt>
                <c:pt idx="55">
                  <c:v>45776</c:v>
                </c:pt>
                <c:pt idx="56">
                  <c:v>45777</c:v>
                </c:pt>
                <c:pt idx="57">
                  <c:v>45778</c:v>
                </c:pt>
                <c:pt idx="58">
                  <c:v>45779</c:v>
                </c:pt>
                <c:pt idx="59">
                  <c:v>45782</c:v>
                </c:pt>
                <c:pt idx="60">
                  <c:v>45783</c:v>
                </c:pt>
                <c:pt idx="61">
                  <c:v>45784</c:v>
                </c:pt>
                <c:pt idx="62">
                  <c:v>45785</c:v>
                </c:pt>
                <c:pt idx="63">
                  <c:v>45786</c:v>
                </c:pt>
                <c:pt idx="64">
                  <c:v>45789</c:v>
                </c:pt>
                <c:pt idx="65">
                  <c:v>45790</c:v>
                </c:pt>
                <c:pt idx="66">
                  <c:v>45791</c:v>
                </c:pt>
                <c:pt idx="67">
                  <c:v>45792</c:v>
                </c:pt>
                <c:pt idx="68">
                  <c:v>45793</c:v>
                </c:pt>
                <c:pt idx="69">
                  <c:v>45796</c:v>
                </c:pt>
                <c:pt idx="70">
                  <c:v>45797</c:v>
                </c:pt>
                <c:pt idx="71">
                  <c:v>45798</c:v>
                </c:pt>
                <c:pt idx="72">
                  <c:v>45799</c:v>
                </c:pt>
                <c:pt idx="73">
                  <c:v>45800</c:v>
                </c:pt>
                <c:pt idx="74">
                  <c:v>45803</c:v>
                </c:pt>
                <c:pt idx="75">
                  <c:v>45804</c:v>
                </c:pt>
                <c:pt idx="76">
                  <c:v>45805</c:v>
                </c:pt>
                <c:pt idx="77">
                  <c:v>45806</c:v>
                </c:pt>
                <c:pt idx="78">
                  <c:v>45807</c:v>
                </c:pt>
                <c:pt idx="79">
                  <c:v>45810</c:v>
                </c:pt>
                <c:pt idx="80">
                  <c:v>45811</c:v>
                </c:pt>
                <c:pt idx="81">
                  <c:v>45812</c:v>
                </c:pt>
                <c:pt idx="82">
                  <c:v>45813</c:v>
                </c:pt>
                <c:pt idx="83">
                  <c:v>45814</c:v>
                </c:pt>
                <c:pt idx="84">
                  <c:v>45817</c:v>
                </c:pt>
                <c:pt idx="85">
                  <c:v>45818</c:v>
                </c:pt>
                <c:pt idx="86">
                  <c:v>45819</c:v>
                </c:pt>
                <c:pt idx="87">
                  <c:v>45820</c:v>
                </c:pt>
                <c:pt idx="88">
                  <c:v>45821</c:v>
                </c:pt>
                <c:pt idx="89">
                  <c:v>45824</c:v>
                </c:pt>
                <c:pt idx="90">
                  <c:v>45825</c:v>
                </c:pt>
                <c:pt idx="91">
                  <c:v>45826</c:v>
                </c:pt>
                <c:pt idx="92">
                  <c:v>45827</c:v>
                </c:pt>
                <c:pt idx="93">
                  <c:v>45828</c:v>
                </c:pt>
                <c:pt idx="94">
                  <c:v>45831</c:v>
                </c:pt>
                <c:pt idx="95">
                  <c:v>45832</c:v>
                </c:pt>
                <c:pt idx="96">
                  <c:v>45833</c:v>
                </c:pt>
                <c:pt idx="97">
                  <c:v>45834</c:v>
                </c:pt>
                <c:pt idx="98">
                  <c:v>45835</c:v>
                </c:pt>
                <c:pt idx="99">
                  <c:v>45838</c:v>
                </c:pt>
                <c:pt idx="100">
                  <c:v>45839</c:v>
                </c:pt>
                <c:pt idx="101">
                  <c:v>45840</c:v>
                </c:pt>
                <c:pt idx="102">
                  <c:v>45841</c:v>
                </c:pt>
                <c:pt idx="103">
                  <c:v>45842</c:v>
                </c:pt>
                <c:pt idx="104">
                  <c:v>45845</c:v>
                </c:pt>
                <c:pt idx="105">
                  <c:v>45846</c:v>
                </c:pt>
                <c:pt idx="106">
                  <c:v>45847</c:v>
                </c:pt>
                <c:pt idx="107">
                  <c:v>45848</c:v>
                </c:pt>
                <c:pt idx="108">
                  <c:v>45849</c:v>
                </c:pt>
                <c:pt idx="109">
                  <c:v>45852</c:v>
                </c:pt>
                <c:pt idx="110">
                  <c:v>45853</c:v>
                </c:pt>
                <c:pt idx="111">
                  <c:v>45854</c:v>
                </c:pt>
                <c:pt idx="112">
                  <c:v>45855</c:v>
                </c:pt>
                <c:pt idx="113">
                  <c:v>45856</c:v>
                </c:pt>
                <c:pt idx="114">
                  <c:v>45859</c:v>
                </c:pt>
                <c:pt idx="115">
                  <c:v>45860</c:v>
                </c:pt>
                <c:pt idx="116">
                  <c:v>45861</c:v>
                </c:pt>
                <c:pt idx="117">
                  <c:v>45862</c:v>
                </c:pt>
                <c:pt idx="118">
                  <c:v>45863</c:v>
                </c:pt>
                <c:pt idx="119">
                  <c:v>45866</c:v>
                </c:pt>
                <c:pt idx="120">
                  <c:v>45867</c:v>
                </c:pt>
                <c:pt idx="121">
                  <c:v>45868</c:v>
                </c:pt>
                <c:pt idx="122">
                  <c:v>45869</c:v>
                </c:pt>
                <c:pt idx="123">
                  <c:v>45870</c:v>
                </c:pt>
                <c:pt idx="124">
                  <c:v>45873</c:v>
                </c:pt>
                <c:pt idx="125">
                  <c:v>45874</c:v>
                </c:pt>
                <c:pt idx="126">
                  <c:v>45875</c:v>
                </c:pt>
                <c:pt idx="127">
                  <c:v>45876</c:v>
                </c:pt>
                <c:pt idx="128">
                  <c:v>45877</c:v>
                </c:pt>
                <c:pt idx="129">
                  <c:v>45880</c:v>
                </c:pt>
                <c:pt idx="130">
                  <c:v>45881</c:v>
                </c:pt>
                <c:pt idx="131">
                  <c:v>45882</c:v>
                </c:pt>
                <c:pt idx="132">
                  <c:v>45883</c:v>
                </c:pt>
                <c:pt idx="133">
                  <c:v>45884</c:v>
                </c:pt>
                <c:pt idx="134">
                  <c:v>45887</c:v>
                </c:pt>
                <c:pt idx="135">
                  <c:v>45888</c:v>
                </c:pt>
                <c:pt idx="136">
                  <c:v>45889</c:v>
                </c:pt>
                <c:pt idx="137">
                  <c:v>45890</c:v>
                </c:pt>
                <c:pt idx="138">
                  <c:v>45891</c:v>
                </c:pt>
                <c:pt idx="139">
                  <c:v>45894</c:v>
                </c:pt>
                <c:pt idx="140">
                  <c:v>45895</c:v>
                </c:pt>
                <c:pt idx="141">
                  <c:v>45896</c:v>
                </c:pt>
                <c:pt idx="142">
                  <c:v>45897</c:v>
                </c:pt>
                <c:pt idx="143">
                  <c:v>45898</c:v>
                </c:pt>
                <c:pt idx="144">
                  <c:v>45901</c:v>
                </c:pt>
                <c:pt idx="145">
                  <c:v>45902</c:v>
                </c:pt>
                <c:pt idx="146">
                  <c:v>45903</c:v>
                </c:pt>
                <c:pt idx="147">
                  <c:v>45904</c:v>
                </c:pt>
                <c:pt idx="148">
                  <c:v>45905</c:v>
                </c:pt>
                <c:pt idx="149">
                  <c:v>45908</c:v>
                </c:pt>
                <c:pt idx="150">
                  <c:v>45909</c:v>
                </c:pt>
                <c:pt idx="151">
                  <c:v>45910</c:v>
                </c:pt>
                <c:pt idx="152">
                  <c:v>45911</c:v>
                </c:pt>
                <c:pt idx="153">
                  <c:v>45912</c:v>
                </c:pt>
                <c:pt idx="154">
                  <c:v>45915</c:v>
                </c:pt>
                <c:pt idx="155">
                  <c:v>45916</c:v>
                </c:pt>
                <c:pt idx="156">
                  <c:v>45917</c:v>
                </c:pt>
                <c:pt idx="157">
                  <c:v>45918</c:v>
                </c:pt>
                <c:pt idx="158">
                  <c:v>45919</c:v>
                </c:pt>
                <c:pt idx="159">
                  <c:v>45922</c:v>
                </c:pt>
                <c:pt idx="160">
                  <c:v>45923</c:v>
                </c:pt>
              </c:numCache>
            </c:numRef>
          </c:cat>
          <c:val>
            <c:numRef>
              <c:f>Sheet1!$H$2:$H$162</c:f>
              <c:numCache>
                <c:formatCode>0.0</c:formatCode>
                <c:ptCount val="161"/>
                <c:pt idx="0">
                  <c:v>252.78</c:v>
                </c:pt>
                <c:pt idx="1">
                  <c:v>249.28</c:v>
                </c:pt>
                <c:pt idx="2">
                  <c:v>250.1</c:v>
                </c:pt>
                <c:pt idx="3">
                  <c:v>254.04</c:v>
                </c:pt>
                <c:pt idx="4">
                  <c:v>253.15</c:v>
                </c:pt>
                <c:pt idx="5">
                  <c:v>244.68</c:v>
                </c:pt>
                <c:pt idx="6">
                  <c:v>247.34</c:v>
                </c:pt>
                <c:pt idx="7">
                  <c:v>249.71</c:v>
                </c:pt>
                <c:pt idx="8">
                  <c:v>250.03</c:v>
                </c:pt>
                <c:pt idx="9">
                  <c:v>253.58</c:v>
                </c:pt>
                <c:pt idx="10">
                  <c:v>258.51</c:v>
                </c:pt>
                <c:pt idx="11">
                  <c:v>255.47</c:v>
                </c:pt>
                <c:pt idx="12">
                  <c:v>252.03</c:v>
                </c:pt>
                <c:pt idx="13">
                  <c:v>261.60000000000002</c:v>
                </c:pt>
                <c:pt idx="14">
                  <c:v>264.69</c:v>
                </c:pt>
                <c:pt idx="15">
                  <c:v>266.23</c:v>
                </c:pt>
                <c:pt idx="16">
                  <c:v>260.43</c:v>
                </c:pt>
                <c:pt idx="17">
                  <c:v>265.60000000000002</c:v>
                </c:pt>
                <c:pt idx="18">
                  <c:v>262.52999999999997</c:v>
                </c:pt>
                <c:pt idx="19">
                  <c:v>264.83</c:v>
                </c:pt>
                <c:pt idx="20">
                  <c:v>266.07</c:v>
                </c:pt>
                <c:pt idx="21">
                  <c:v>262.69</c:v>
                </c:pt>
                <c:pt idx="22">
                  <c:v>267.08</c:v>
                </c:pt>
                <c:pt idx="23">
                  <c:v>264.82</c:v>
                </c:pt>
                <c:pt idx="24">
                  <c:v>260.58</c:v>
                </c:pt>
                <c:pt idx="25">
                  <c:v>258.58</c:v>
                </c:pt>
                <c:pt idx="26">
                  <c:v>263.95</c:v>
                </c:pt>
                <c:pt idx="27">
                  <c:v>254.34</c:v>
                </c:pt>
                <c:pt idx="28">
                  <c:v>263.02</c:v>
                </c:pt>
                <c:pt idx="29">
                  <c:v>253.99</c:v>
                </c:pt>
                <c:pt idx="30">
                  <c:v>257.12</c:v>
                </c:pt>
                <c:pt idx="31">
                  <c:v>262.19</c:v>
                </c:pt>
                <c:pt idx="32">
                  <c:v>268.63</c:v>
                </c:pt>
                <c:pt idx="33">
                  <c:v>279.72000000000003</c:v>
                </c:pt>
                <c:pt idx="34">
                  <c:v>285.33</c:v>
                </c:pt>
                <c:pt idx="35">
                  <c:v>288.93</c:v>
                </c:pt>
                <c:pt idx="36">
                  <c:v>296.81</c:v>
                </c:pt>
                <c:pt idx="37">
                  <c:v>319.04000000000002</c:v>
                </c:pt>
                <c:pt idx="38">
                  <c:v>321.60000000000002</c:v>
                </c:pt>
                <c:pt idx="39">
                  <c:v>344.06</c:v>
                </c:pt>
                <c:pt idx="40">
                  <c:v>335.14</c:v>
                </c:pt>
                <c:pt idx="41">
                  <c:v>339.6</c:v>
                </c:pt>
                <c:pt idx="42">
                  <c:v>319.99</c:v>
                </c:pt>
                <c:pt idx="43">
                  <c:v>325.95999999999998</c:v>
                </c:pt>
                <c:pt idx="44">
                  <c:v>324.86</c:v>
                </c:pt>
                <c:pt idx="45">
                  <c:v>308.76</c:v>
                </c:pt>
                <c:pt idx="46">
                  <c:v>313.45</c:v>
                </c:pt>
                <c:pt idx="47">
                  <c:v>302.69</c:v>
                </c:pt>
                <c:pt idx="48">
                  <c:v>302.69</c:v>
                </c:pt>
                <c:pt idx="49">
                  <c:v>278.47000000000003</c:v>
                </c:pt>
                <c:pt idx="50">
                  <c:v>288</c:v>
                </c:pt>
                <c:pt idx="51">
                  <c:v>272.5</c:v>
                </c:pt>
                <c:pt idx="52">
                  <c:v>269.77999999999997</c:v>
                </c:pt>
                <c:pt idx="53">
                  <c:v>252.31</c:v>
                </c:pt>
                <c:pt idx="54">
                  <c:v>255.54</c:v>
                </c:pt>
                <c:pt idx="55">
                  <c:v>251.6</c:v>
                </c:pt>
                <c:pt idx="56">
                  <c:v>259.38</c:v>
                </c:pt>
                <c:pt idx="57">
                  <c:v>252.68</c:v>
                </c:pt>
                <c:pt idx="58">
                  <c:v>244.41</c:v>
                </c:pt>
                <c:pt idx="59">
                  <c:v>250.22</c:v>
                </c:pt>
                <c:pt idx="60">
                  <c:v>255.71</c:v>
                </c:pt>
                <c:pt idx="61">
                  <c:v>253.68</c:v>
                </c:pt>
                <c:pt idx="62">
                  <c:v>245.43</c:v>
                </c:pt>
                <c:pt idx="63">
                  <c:v>247.68</c:v>
                </c:pt>
                <c:pt idx="64">
                  <c:v>232.17</c:v>
                </c:pt>
                <c:pt idx="65">
                  <c:v>237.63</c:v>
                </c:pt>
                <c:pt idx="66">
                  <c:v>238.34</c:v>
                </c:pt>
                <c:pt idx="67">
                  <c:v>254.49</c:v>
                </c:pt>
                <c:pt idx="68">
                  <c:v>248.27</c:v>
                </c:pt>
                <c:pt idx="69">
                  <c:v>254.25</c:v>
                </c:pt>
                <c:pt idx="70">
                  <c:v>246.2</c:v>
                </c:pt>
                <c:pt idx="71">
                  <c:v>246.24</c:v>
                </c:pt>
                <c:pt idx="72">
                  <c:v>256.45999999999998</c:v>
                </c:pt>
                <c:pt idx="73">
                  <c:v>261</c:v>
                </c:pt>
                <c:pt idx="74">
                  <c:v>261</c:v>
                </c:pt>
                <c:pt idx="75">
                  <c:v>245.62</c:v>
                </c:pt>
                <c:pt idx="76">
                  <c:v>242.31</c:v>
                </c:pt>
                <c:pt idx="77">
                  <c:v>260.52999999999997</c:v>
                </c:pt>
                <c:pt idx="78">
                  <c:v>257.16000000000003</c:v>
                </c:pt>
                <c:pt idx="79">
                  <c:v>256.83999999999997</c:v>
                </c:pt>
                <c:pt idx="80">
                  <c:v>251</c:v>
                </c:pt>
                <c:pt idx="81">
                  <c:v>253.48</c:v>
                </c:pt>
                <c:pt idx="82">
                  <c:v>243.09</c:v>
                </c:pt>
                <c:pt idx="83">
                  <c:v>233.78</c:v>
                </c:pt>
                <c:pt idx="84">
                  <c:v>238.25</c:v>
                </c:pt>
                <c:pt idx="85">
                  <c:v>236.8</c:v>
                </c:pt>
                <c:pt idx="86">
                  <c:v>240.18</c:v>
                </c:pt>
                <c:pt idx="87">
                  <c:v>241.08</c:v>
                </c:pt>
                <c:pt idx="88">
                  <c:v>233.85</c:v>
                </c:pt>
                <c:pt idx="89">
                  <c:v>227.27</c:v>
                </c:pt>
                <c:pt idx="90">
                  <c:v>223.72</c:v>
                </c:pt>
                <c:pt idx="91">
                  <c:v>224.16</c:v>
                </c:pt>
                <c:pt idx="92">
                  <c:v>224.16</c:v>
                </c:pt>
                <c:pt idx="93">
                  <c:v>218.94</c:v>
                </c:pt>
                <c:pt idx="94">
                  <c:v>220.69</c:v>
                </c:pt>
                <c:pt idx="95">
                  <c:v>222.19</c:v>
                </c:pt>
                <c:pt idx="96">
                  <c:v>219.19</c:v>
                </c:pt>
                <c:pt idx="97">
                  <c:v>226.11</c:v>
                </c:pt>
                <c:pt idx="98">
                  <c:v>222.82</c:v>
                </c:pt>
                <c:pt idx="99">
                  <c:v>221.01</c:v>
                </c:pt>
                <c:pt idx="100">
                  <c:v>213.23</c:v>
                </c:pt>
                <c:pt idx="101">
                  <c:v>210.44</c:v>
                </c:pt>
                <c:pt idx="102">
                  <c:v>202.69</c:v>
                </c:pt>
                <c:pt idx="103">
                  <c:v>202.69</c:v>
                </c:pt>
                <c:pt idx="104">
                  <c:v>205.37</c:v>
                </c:pt>
                <c:pt idx="105">
                  <c:v>204.35</c:v>
                </c:pt>
                <c:pt idx="106">
                  <c:v>214.74</c:v>
                </c:pt>
                <c:pt idx="107">
                  <c:v>208.9</c:v>
                </c:pt>
                <c:pt idx="108">
                  <c:v>209.01</c:v>
                </c:pt>
                <c:pt idx="109">
                  <c:v>207.98</c:v>
                </c:pt>
                <c:pt idx="110">
                  <c:v>202.85</c:v>
                </c:pt>
                <c:pt idx="111">
                  <c:v>216.8</c:v>
                </c:pt>
                <c:pt idx="112">
                  <c:v>216.61</c:v>
                </c:pt>
                <c:pt idx="113">
                  <c:v>212.52</c:v>
                </c:pt>
                <c:pt idx="114">
                  <c:v>211.41</c:v>
                </c:pt>
                <c:pt idx="115">
                  <c:v>214.27</c:v>
                </c:pt>
                <c:pt idx="116">
                  <c:v>205.39</c:v>
                </c:pt>
                <c:pt idx="117">
                  <c:v>202.5</c:v>
                </c:pt>
                <c:pt idx="118">
                  <c:v>202.99</c:v>
                </c:pt>
                <c:pt idx="119">
                  <c:v>197.73</c:v>
                </c:pt>
                <c:pt idx="120">
                  <c:v>204.73</c:v>
                </c:pt>
                <c:pt idx="121">
                  <c:v>197.59</c:v>
                </c:pt>
                <c:pt idx="122">
                  <c:v>192.65</c:v>
                </c:pt>
                <c:pt idx="123">
                  <c:v>212.8</c:v>
                </c:pt>
                <c:pt idx="124">
                  <c:v>213.98</c:v>
                </c:pt>
                <c:pt idx="125">
                  <c:v>209.79</c:v>
                </c:pt>
                <c:pt idx="126">
                  <c:v>210.47</c:v>
                </c:pt>
                <c:pt idx="127">
                  <c:v>205.52</c:v>
                </c:pt>
                <c:pt idx="128">
                  <c:v>200.64</c:v>
                </c:pt>
                <c:pt idx="129">
                  <c:v>196.83</c:v>
                </c:pt>
                <c:pt idx="130">
                  <c:v>195.47</c:v>
                </c:pt>
                <c:pt idx="131">
                  <c:v>197.3</c:v>
                </c:pt>
                <c:pt idx="132">
                  <c:v>191.4</c:v>
                </c:pt>
                <c:pt idx="133">
                  <c:v>190.19</c:v>
                </c:pt>
                <c:pt idx="134">
                  <c:v>189.15</c:v>
                </c:pt>
                <c:pt idx="135">
                  <c:v>190.8</c:v>
                </c:pt>
                <c:pt idx="136">
                  <c:v>187.94</c:v>
                </c:pt>
                <c:pt idx="137">
                  <c:v>183.91</c:v>
                </c:pt>
                <c:pt idx="138">
                  <c:v>193.29</c:v>
                </c:pt>
                <c:pt idx="139">
                  <c:v>186.74</c:v>
                </c:pt>
                <c:pt idx="140">
                  <c:v>191.34</c:v>
                </c:pt>
                <c:pt idx="141">
                  <c:v>195.46</c:v>
                </c:pt>
                <c:pt idx="142">
                  <c:v>191.59</c:v>
                </c:pt>
                <c:pt idx="143">
                  <c:v>188.26</c:v>
                </c:pt>
                <c:pt idx="144">
                  <c:v>188.26</c:v>
                </c:pt>
                <c:pt idx="145">
                  <c:v>193.51</c:v>
                </c:pt>
                <c:pt idx="146">
                  <c:v>191.87</c:v>
                </c:pt>
                <c:pt idx="147">
                  <c:v>191.96</c:v>
                </c:pt>
                <c:pt idx="148">
                  <c:v>191.12</c:v>
                </c:pt>
                <c:pt idx="149">
                  <c:v>193.26</c:v>
                </c:pt>
                <c:pt idx="150">
                  <c:v>187.73</c:v>
                </c:pt>
                <c:pt idx="151">
                  <c:v>188.65</c:v>
                </c:pt>
                <c:pt idx="152">
                  <c:v>180.21</c:v>
                </c:pt>
                <c:pt idx="153">
                  <c:v>181.05</c:v>
                </c:pt>
                <c:pt idx="154">
                  <c:v>180.66</c:v>
                </c:pt>
                <c:pt idx="155">
                  <c:v>182.81</c:v>
                </c:pt>
                <c:pt idx="156">
                  <c:v>176.24</c:v>
                </c:pt>
                <c:pt idx="157">
                  <c:v>170.56</c:v>
                </c:pt>
                <c:pt idx="158">
                  <c:v>174.12</c:v>
                </c:pt>
                <c:pt idx="159">
                  <c:v>167.22</c:v>
                </c:pt>
                <c:pt idx="160">
                  <c:v>170.14</c:v>
                </c:pt>
              </c:numCache>
            </c:numRef>
          </c:val>
          <c:smooth val="0"/>
          <c:extLst>
            <c:ext xmlns:c16="http://schemas.microsoft.com/office/drawing/2014/chart" uri="{C3380CC4-5D6E-409C-BE32-E72D297353CC}">
              <c16:uniqueId val="{00000005-65C7-4841-82C2-DF9FC75A51EA}"/>
            </c:ext>
          </c:extLst>
        </c:ser>
        <c:ser>
          <c:idx val="10"/>
          <c:order val="6"/>
          <c:tx>
            <c:strRef>
              <c:f>Sheet1!$J$1</c:f>
              <c:strCache>
                <c:ptCount val="1"/>
                <c:pt idx="0">
                  <c:v>Ռումինիա (2031) BBB-</c:v>
                </c:pt>
              </c:strCache>
            </c:strRef>
          </c:tx>
          <c:spPr>
            <a:ln w="12700" cap="rnd">
              <a:solidFill>
                <a:srgbClr val="ED7D31">
                  <a:lumMod val="75000"/>
                </a:srgbClr>
              </a:solidFill>
              <a:prstDash val="solid"/>
              <a:round/>
            </a:ln>
            <a:effectLst/>
          </c:spPr>
          <c:marker>
            <c:symbol val="none"/>
          </c:marker>
          <c:cat>
            <c:numRef>
              <c:f>Sheet1!$A$2:$A$162</c:f>
              <c:numCache>
                <c:formatCode>m\/d\/yyyy</c:formatCode>
                <c:ptCount val="161"/>
                <c:pt idx="0">
                  <c:v>45699</c:v>
                </c:pt>
                <c:pt idx="1">
                  <c:v>45700</c:v>
                </c:pt>
                <c:pt idx="2">
                  <c:v>45701</c:v>
                </c:pt>
                <c:pt idx="3">
                  <c:v>45702</c:v>
                </c:pt>
                <c:pt idx="4">
                  <c:v>45705</c:v>
                </c:pt>
                <c:pt idx="5">
                  <c:v>45706</c:v>
                </c:pt>
                <c:pt idx="6">
                  <c:v>45707</c:v>
                </c:pt>
                <c:pt idx="7">
                  <c:v>45708</c:v>
                </c:pt>
                <c:pt idx="8">
                  <c:v>45709</c:v>
                </c:pt>
                <c:pt idx="9">
                  <c:v>45712</c:v>
                </c:pt>
                <c:pt idx="10">
                  <c:v>45713</c:v>
                </c:pt>
                <c:pt idx="11">
                  <c:v>45714</c:v>
                </c:pt>
                <c:pt idx="12">
                  <c:v>45715</c:v>
                </c:pt>
                <c:pt idx="13">
                  <c:v>45716</c:v>
                </c:pt>
                <c:pt idx="14">
                  <c:v>45719</c:v>
                </c:pt>
                <c:pt idx="15">
                  <c:v>45720</c:v>
                </c:pt>
                <c:pt idx="16">
                  <c:v>45721</c:v>
                </c:pt>
                <c:pt idx="17">
                  <c:v>45722</c:v>
                </c:pt>
                <c:pt idx="18">
                  <c:v>45723</c:v>
                </c:pt>
                <c:pt idx="19">
                  <c:v>45726</c:v>
                </c:pt>
                <c:pt idx="20">
                  <c:v>45727</c:v>
                </c:pt>
                <c:pt idx="21">
                  <c:v>45728</c:v>
                </c:pt>
                <c:pt idx="22">
                  <c:v>45729</c:v>
                </c:pt>
                <c:pt idx="23">
                  <c:v>45730</c:v>
                </c:pt>
                <c:pt idx="24">
                  <c:v>45733</c:v>
                </c:pt>
                <c:pt idx="25">
                  <c:v>45734</c:v>
                </c:pt>
                <c:pt idx="26">
                  <c:v>45735</c:v>
                </c:pt>
                <c:pt idx="27">
                  <c:v>45736</c:v>
                </c:pt>
                <c:pt idx="28">
                  <c:v>45737</c:v>
                </c:pt>
                <c:pt idx="29">
                  <c:v>45740</c:v>
                </c:pt>
                <c:pt idx="30">
                  <c:v>45741</c:v>
                </c:pt>
                <c:pt idx="31">
                  <c:v>45742</c:v>
                </c:pt>
                <c:pt idx="32">
                  <c:v>45743</c:v>
                </c:pt>
                <c:pt idx="33">
                  <c:v>45744</c:v>
                </c:pt>
                <c:pt idx="34">
                  <c:v>45747</c:v>
                </c:pt>
                <c:pt idx="35">
                  <c:v>45748</c:v>
                </c:pt>
                <c:pt idx="36">
                  <c:v>45749</c:v>
                </c:pt>
                <c:pt idx="37">
                  <c:v>45750</c:v>
                </c:pt>
                <c:pt idx="38">
                  <c:v>45751</c:v>
                </c:pt>
                <c:pt idx="39">
                  <c:v>45754</c:v>
                </c:pt>
                <c:pt idx="40">
                  <c:v>45755</c:v>
                </c:pt>
                <c:pt idx="41">
                  <c:v>45756</c:v>
                </c:pt>
                <c:pt idx="42">
                  <c:v>45757</c:v>
                </c:pt>
                <c:pt idx="43">
                  <c:v>45758</c:v>
                </c:pt>
                <c:pt idx="44">
                  <c:v>45761</c:v>
                </c:pt>
                <c:pt idx="45">
                  <c:v>45762</c:v>
                </c:pt>
                <c:pt idx="46">
                  <c:v>45763</c:v>
                </c:pt>
                <c:pt idx="47">
                  <c:v>45764</c:v>
                </c:pt>
                <c:pt idx="48">
                  <c:v>45765</c:v>
                </c:pt>
                <c:pt idx="49">
                  <c:v>45768</c:v>
                </c:pt>
                <c:pt idx="50">
                  <c:v>45769</c:v>
                </c:pt>
                <c:pt idx="51">
                  <c:v>45770</c:v>
                </c:pt>
                <c:pt idx="52">
                  <c:v>45771</c:v>
                </c:pt>
                <c:pt idx="53">
                  <c:v>45772</c:v>
                </c:pt>
                <c:pt idx="54">
                  <c:v>45775</c:v>
                </c:pt>
                <c:pt idx="55">
                  <c:v>45776</c:v>
                </c:pt>
                <c:pt idx="56">
                  <c:v>45777</c:v>
                </c:pt>
                <c:pt idx="57">
                  <c:v>45778</c:v>
                </c:pt>
                <c:pt idx="58">
                  <c:v>45779</c:v>
                </c:pt>
                <c:pt idx="59">
                  <c:v>45782</c:v>
                </c:pt>
                <c:pt idx="60">
                  <c:v>45783</c:v>
                </c:pt>
                <c:pt idx="61">
                  <c:v>45784</c:v>
                </c:pt>
                <c:pt idx="62">
                  <c:v>45785</c:v>
                </c:pt>
                <c:pt idx="63">
                  <c:v>45786</c:v>
                </c:pt>
                <c:pt idx="64">
                  <c:v>45789</c:v>
                </c:pt>
                <c:pt idx="65">
                  <c:v>45790</c:v>
                </c:pt>
                <c:pt idx="66">
                  <c:v>45791</c:v>
                </c:pt>
                <c:pt idx="67">
                  <c:v>45792</c:v>
                </c:pt>
                <c:pt idx="68">
                  <c:v>45793</c:v>
                </c:pt>
                <c:pt idx="69">
                  <c:v>45796</c:v>
                </c:pt>
                <c:pt idx="70">
                  <c:v>45797</c:v>
                </c:pt>
                <c:pt idx="71">
                  <c:v>45798</c:v>
                </c:pt>
                <c:pt idx="72">
                  <c:v>45799</c:v>
                </c:pt>
                <c:pt idx="73">
                  <c:v>45800</c:v>
                </c:pt>
                <c:pt idx="74">
                  <c:v>45803</c:v>
                </c:pt>
                <c:pt idx="75">
                  <c:v>45804</c:v>
                </c:pt>
                <c:pt idx="76">
                  <c:v>45805</c:v>
                </c:pt>
                <c:pt idx="77">
                  <c:v>45806</c:v>
                </c:pt>
                <c:pt idx="78">
                  <c:v>45807</c:v>
                </c:pt>
                <c:pt idx="79">
                  <c:v>45810</c:v>
                </c:pt>
                <c:pt idx="80">
                  <c:v>45811</c:v>
                </c:pt>
                <c:pt idx="81">
                  <c:v>45812</c:v>
                </c:pt>
                <c:pt idx="82">
                  <c:v>45813</c:v>
                </c:pt>
                <c:pt idx="83">
                  <c:v>45814</c:v>
                </c:pt>
                <c:pt idx="84">
                  <c:v>45817</c:v>
                </c:pt>
                <c:pt idx="85">
                  <c:v>45818</c:v>
                </c:pt>
                <c:pt idx="86">
                  <c:v>45819</c:v>
                </c:pt>
                <c:pt idx="87">
                  <c:v>45820</c:v>
                </c:pt>
                <c:pt idx="88">
                  <c:v>45821</c:v>
                </c:pt>
                <c:pt idx="89">
                  <c:v>45824</c:v>
                </c:pt>
                <c:pt idx="90">
                  <c:v>45825</c:v>
                </c:pt>
                <c:pt idx="91">
                  <c:v>45826</c:v>
                </c:pt>
                <c:pt idx="92">
                  <c:v>45827</c:v>
                </c:pt>
                <c:pt idx="93">
                  <c:v>45828</c:v>
                </c:pt>
                <c:pt idx="94">
                  <c:v>45831</c:v>
                </c:pt>
                <c:pt idx="95">
                  <c:v>45832</c:v>
                </c:pt>
                <c:pt idx="96">
                  <c:v>45833</c:v>
                </c:pt>
                <c:pt idx="97">
                  <c:v>45834</c:v>
                </c:pt>
                <c:pt idx="98">
                  <c:v>45835</c:v>
                </c:pt>
                <c:pt idx="99">
                  <c:v>45838</c:v>
                </c:pt>
                <c:pt idx="100">
                  <c:v>45839</c:v>
                </c:pt>
                <c:pt idx="101">
                  <c:v>45840</c:v>
                </c:pt>
                <c:pt idx="102">
                  <c:v>45841</c:v>
                </c:pt>
                <c:pt idx="103">
                  <c:v>45842</c:v>
                </c:pt>
                <c:pt idx="104">
                  <c:v>45845</c:v>
                </c:pt>
                <c:pt idx="105">
                  <c:v>45846</c:v>
                </c:pt>
                <c:pt idx="106">
                  <c:v>45847</c:v>
                </c:pt>
                <c:pt idx="107">
                  <c:v>45848</c:v>
                </c:pt>
                <c:pt idx="108">
                  <c:v>45849</c:v>
                </c:pt>
                <c:pt idx="109">
                  <c:v>45852</c:v>
                </c:pt>
                <c:pt idx="110">
                  <c:v>45853</c:v>
                </c:pt>
                <c:pt idx="111">
                  <c:v>45854</c:v>
                </c:pt>
                <c:pt idx="112">
                  <c:v>45855</c:v>
                </c:pt>
                <c:pt idx="113">
                  <c:v>45856</c:v>
                </c:pt>
                <c:pt idx="114">
                  <c:v>45859</c:v>
                </c:pt>
                <c:pt idx="115">
                  <c:v>45860</c:v>
                </c:pt>
                <c:pt idx="116">
                  <c:v>45861</c:v>
                </c:pt>
                <c:pt idx="117">
                  <c:v>45862</c:v>
                </c:pt>
                <c:pt idx="118">
                  <c:v>45863</c:v>
                </c:pt>
                <c:pt idx="119">
                  <c:v>45866</c:v>
                </c:pt>
                <c:pt idx="120">
                  <c:v>45867</c:v>
                </c:pt>
                <c:pt idx="121">
                  <c:v>45868</c:v>
                </c:pt>
                <c:pt idx="122">
                  <c:v>45869</c:v>
                </c:pt>
                <c:pt idx="123">
                  <c:v>45870</c:v>
                </c:pt>
                <c:pt idx="124">
                  <c:v>45873</c:v>
                </c:pt>
                <c:pt idx="125">
                  <c:v>45874</c:v>
                </c:pt>
                <c:pt idx="126">
                  <c:v>45875</c:v>
                </c:pt>
                <c:pt idx="127">
                  <c:v>45876</c:v>
                </c:pt>
                <c:pt idx="128">
                  <c:v>45877</c:v>
                </c:pt>
                <c:pt idx="129">
                  <c:v>45880</c:v>
                </c:pt>
                <c:pt idx="130">
                  <c:v>45881</c:v>
                </c:pt>
                <c:pt idx="131">
                  <c:v>45882</c:v>
                </c:pt>
                <c:pt idx="132">
                  <c:v>45883</c:v>
                </c:pt>
                <c:pt idx="133">
                  <c:v>45884</c:v>
                </c:pt>
                <c:pt idx="134">
                  <c:v>45887</c:v>
                </c:pt>
                <c:pt idx="135">
                  <c:v>45888</c:v>
                </c:pt>
                <c:pt idx="136">
                  <c:v>45889</c:v>
                </c:pt>
                <c:pt idx="137">
                  <c:v>45890</c:v>
                </c:pt>
                <c:pt idx="138">
                  <c:v>45891</c:v>
                </c:pt>
                <c:pt idx="139">
                  <c:v>45894</c:v>
                </c:pt>
                <c:pt idx="140">
                  <c:v>45895</c:v>
                </c:pt>
                <c:pt idx="141">
                  <c:v>45896</c:v>
                </c:pt>
                <c:pt idx="142">
                  <c:v>45897</c:v>
                </c:pt>
                <c:pt idx="143">
                  <c:v>45898</c:v>
                </c:pt>
                <c:pt idx="144">
                  <c:v>45901</c:v>
                </c:pt>
                <c:pt idx="145">
                  <c:v>45902</c:v>
                </c:pt>
                <c:pt idx="146">
                  <c:v>45903</c:v>
                </c:pt>
                <c:pt idx="147">
                  <c:v>45904</c:v>
                </c:pt>
                <c:pt idx="148">
                  <c:v>45905</c:v>
                </c:pt>
                <c:pt idx="149">
                  <c:v>45908</c:v>
                </c:pt>
                <c:pt idx="150">
                  <c:v>45909</c:v>
                </c:pt>
                <c:pt idx="151">
                  <c:v>45910</c:v>
                </c:pt>
                <c:pt idx="152">
                  <c:v>45911</c:v>
                </c:pt>
                <c:pt idx="153">
                  <c:v>45912</c:v>
                </c:pt>
                <c:pt idx="154">
                  <c:v>45915</c:v>
                </c:pt>
                <c:pt idx="155">
                  <c:v>45916</c:v>
                </c:pt>
                <c:pt idx="156">
                  <c:v>45917</c:v>
                </c:pt>
                <c:pt idx="157">
                  <c:v>45918</c:v>
                </c:pt>
                <c:pt idx="158">
                  <c:v>45919</c:v>
                </c:pt>
                <c:pt idx="159">
                  <c:v>45922</c:v>
                </c:pt>
                <c:pt idx="160">
                  <c:v>45923</c:v>
                </c:pt>
              </c:numCache>
            </c:numRef>
          </c:cat>
          <c:val>
            <c:numRef>
              <c:f>Sheet1!$J$2:$J$162</c:f>
              <c:numCache>
                <c:formatCode>0.0</c:formatCode>
                <c:ptCount val="161"/>
                <c:pt idx="0">
                  <c:v>213.99</c:v>
                </c:pt>
                <c:pt idx="1">
                  <c:v>215.07</c:v>
                </c:pt>
                <c:pt idx="2">
                  <c:v>215.5</c:v>
                </c:pt>
                <c:pt idx="3">
                  <c:v>213.44</c:v>
                </c:pt>
                <c:pt idx="4">
                  <c:v>213.8</c:v>
                </c:pt>
                <c:pt idx="5">
                  <c:v>202.18</c:v>
                </c:pt>
                <c:pt idx="6">
                  <c:v>206.64</c:v>
                </c:pt>
                <c:pt idx="7">
                  <c:v>213.27</c:v>
                </c:pt>
                <c:pt idx="8">
                  <c:v>224.64</c:v>
                </c:pt>
                <c:pt idx="9">
                  <c:v>220.11</c:v>
                </c:pt>
                <c:pt idx="10">
                  <c:v>226.09</c:v>
                </c:pt>
                <c:pt idx="11">
                  <c:v>225.5</c:v>
                </c:pt>
                <c:pt idx="12">
                  <c:v>225.81</c:v>
                </c:pt>
                <c:pt idx="13">
                  <c:v>232.49</c:v>
                </c:pt>
                <c:pt idx="14">
                  <c:v>234.42</c:v>
                </c:pt>
                <c:pt idx="15">
                  <c:v>234.1</c:v>
                </c:pt>
                <c:pt idx="16">
                  <c:v>232.3</c:v>
                </c:pt>
                <c:pt idx="17">
                  <c:v>240.72</c:v>
                </c:pt>
                <c:pt idx="18">
                  <c:v>240.21</c:v>
                </c:pt>
                <c:pt idx="19">
                  <c:v>241.17</c:v>
                </c:pt>
                <c:pt idx="20">
                  <c:v>234.24</c:v>
                </c:pt>
                <c:pt idx="21">
                  <c:v>231.14</c:v>
                </c:pt>
                <c:pt idx="22">
                  <c:v>241.26</c:v>
                </c:pt>
                <c:pt idx="23">
                  <c:v>238.24</c:v>
                </c:pt>
                <c:pt idx="24">
                  <c:v>236.69</c:v>
                </c:pt>
                <c:pt idx="25">
                  <c:v>238.44</c:v>
                </c:pt>
                <c:pt idx="26">
                  <c:v>240.28</c:v>
                </c:pt>
                <c:pt idx="27">
                  <c:v>234.13</c:v>
                </c:pt>
                <c:pt idx="28">
                  <c:v>237.26</c:v>
                </c:pt>
                <c:pt idx="29">
                  <c:v>228.02</c:v>
                </c:pt>
                <c:pt idx="30">
                  <c:v>231.1</c:v>
                </c:pt>
                <c:pt idx="31">
                  <c:v>229.49</c:v>
                </c:pt>
                <c:pt idx="32">
                  <c:v>234.5</c:v>
                </c:pt>
                <c:pt idx="33">
                  <c:v>245.32</c:v>
                </c:pt>
                <c:pt idx="34">
                  <c:v>243.04</c:v>
                </c:pt>
                <c:pt idx="35">
                  <c:v>247.85</c:v>
                </c:pt>
                <c:pt idx="36">
                  <c:v>239.52</c:v>
                </c:pt>
                <c:pt idx="37">
                  <c:v>261.35000000000002</c:v>
                </c:pt>
                <c:pt idx="38">
                  <c:v>280.24</c:v>
                </c:pt>
                <c:pt idx="39">
                  <c:v>288.92</c:v>
                </c:pt>
                <c:pt idx="40">
                  <c:v>284.18</c:v>
                </c:pt>
                <c:pt idx="41">
                  <c:v>282.33</c:v>
                </c:pt>
                <c:pt idx="42">
                  <c:v>265.02999999999997</c:v>
                </c:pt>
                <c:pt idx="43">
                  <c:v>270.16000000000003</c:v>
                </c:pt>
                <c:pt idx="44">
                  <c:v>271.3</c:v>
                </c:pt>
                <c:pt idx="45">
                  <c:v>271.76</c:v>
                </c:pt>
                <c:pt idx="46">
                  <c:v>277.8</c:v>
                </c:pt>
                <c:pt idx="47">
                  <c:v>271.51</c:v>
                </c:pt>
                <c:pt idx="48">
                  <c:v>271.51</c:v>
                </c:pt>
                <c:pt idx="49">
                  <c:v>267.74</c:v>
                </c:pt>
                <c:pt idx="50">
                  <c:v>274.19</c:v>
                </c:pt>
                <c:pt idx="51">
                  <c:v>267.08</c:v>
                </c:pt>
                <c:pt idx="52">
                  <c:v>268.79000000000002</c:v>
                </c:pt>
                <c:pt idx="53">
                  <c:v>267.98</c:v>
                </c:pt>
                <c:pt idx="54">
                  <c:v>274.93</c:v>
                </c:pt>
                <c:pt idx="55">
                  <c:v>284.49</c:v>
                </c:pt>
                <c:pt idx="56">
                  <c:v>289.2</c:v>
                </c:pt>
                <c:pt idx="57">
                  <c:v>284.97000000000003</c:v>
                </c:pt>
                <c:pt idx="58">
                  <c:v>278.87</c:v>
                </c:pt>
                <c:pt idx="59">
                  <c:v>305.99</c:v>
                </c:pt>
                <c:pt idx="60">
                  <c:v>307.27</c:v>
                </c:pt>
                <c:pt idx="61">
                  <c:v>301.45999999999998</c:v>
                </c:pt>
                <c:pt idx="62">
                  <c:v>306.77999999999997</c:v>
                </c:pt>
                <c:pt idx="63">
                  <c:v>312.85000000000002</c:v>
                </c:pt>
                <c:pt idx="64">
                  <c:v>304.37</c:v>
                </c:pt>
                <c:pt idx="65">
                  <c:v>287.44</c:v>
                </c:pt>
                <c:pt idx="66">
                  <c:v>289.83999999999997</c:v>
                </c:pt>
                <c:pt idx="67">
                  <c:v>302.43</c:v>
                </c:pt>
                <c:pt idx="68">
                  <c:v>292.51</c:v>
                </c:pt>
                <c:pt idx="69">
                  <c:v>251.2</c:v>
                </c:pt>
                <c:pt idx="70">
                  <c:v>246.37</c:v>
                </c:pt>
                <c:pt idx="71">
                  <c:v>244.99</c:v>
                </c:pt>
                <c:pt idx="72">
                  <c:v>251.56</c:v>
                </c:pt>
                <c:pt idx="73">
                  <c:v>255.64</c:v>
                </c:pt>
                <c:pt idx="74">
                  <c:v>255.62</c:v>
                </c:pt>
                <c:pt idx="75">
                  <c:v>254.42</c:v>
                </c:pt>
                <c:pt idx="76">
                  <c:v>254.22</c:v>
                </c:pt>
                <c:pt idx="77">
                  <c:v>255.76</c:v>
                </c:pt>
                <c:pt idx="78">
                  <c:v>257.07</c:v>
                </c:pt>
                <c:pt idx="79">
                  <c:v>254.03</c:v>
                </c:pt>
                <c:pt idx="80">
                  <c:v>247.14</c:v>
                </c:pt>
                <c:pt idx="81">
                  <c:v>242.05</c:v>
                </c:pt>
                <c:pt idx="82">
                  <c:v>237.83</c:v>
                </c:pt>
                <c:pt idx="83">
                  <c:v>220.37</c:v>
                </c:pt>
                <c:pt idx="84">
                  <c:v>219.11</c:v>
                </c:pt>
                <c:pt idx="85">
                  <c:v>217.43</c:v>
                </c:pt>
                <c:pt idx="86">
                  <c:v>219.41</c:v>
                </c:pt>
                <c:pt idx="87">
                  <c:v>224.38</c:v>
                </c:pt>
                <c:pt idx="88">
                  <c:v>224.03</c:v>
                </c:pt>
                <c:pt idx="89">
                  <c:v>228.56</c:v>
                </c:pt>
                <c:pt idx="90">
                  <c:v>227.25</c:v>
                </c:pt>
                <c:pt idx="91">
                  <c:v>230.23</c:v>
                </c:pt>
                <c:pt idx="92">
                  <c:v>229.32</c:v>
                </c:pt>
                <c:pt idx="93">
                  <c:v>233.44</c:v>
                </c:pt>
                <c:pt idx="94">
                  <c:v>228.75</c:v>
                </c:pt>
                <c:pt idx="95">
                  <c:v>226.19</c:v>
                </c:pt>
                <c:pt idx="96">
                  <c:v>225.42</c:v>
                </c:pt>
                <c:pt idx="97">
                  <c:v>228.8</c:v>
                </c:pt>
                <c:pt idx="98">
                  <c:v>231.1</c:v>
                </c:pt>
                <c:pt idx="99">
                  <c:v>231.77</c:v>
                </c:pt>
                <c:pt idx="100">
                  <c:v>224.45</c:v>
                </c:pt>
                <c:pt idx="101">
                  <c:v>208.17</c:v>
                </c:pt>
                <c:pt idx="102">
                  <c:v>186.59</c:v>
                </c:pt>
                <c:pt idx="103">
                  <c:v>186.04</c:v>
                </c:pt>
                <c:pt idx="104">
                  <c:v>187.23</c:v>
                </c:pt>
                <c:pt idx="105">
                  <c:v>191.6</c:v>
                </c:pt>
                <c:pt idx="106">
                  <c:v>198.59</c:v>
                </c:pt>
                <c:pt idx="107">
                  <c:v>185.86</c:v>
                </c:pt>
                <c:pt idx="108">
                  <c:v>187.4</c:v>
                </c:pt>
                <c:pt idx="109">
                  <c:v>191.48</c:v>
                </c:pt>
                <c:pt idx="110">
                  <c:v>187.87</c:v>
                </c:pt>
                <c:pt idx="111">
                  <c:v>193.17</c:v>
                </c:pt>
                <c:pt idx="112">
                  <c:v>189.51</c:v>
                </c:pt>
                <c:pt idx="113">
                  <c:v>192.31</c:v>
                </c:pt>
                <c:pt idx="114">
                  <c:v>184.46</c:v>
                </c:pt>
                <c:pt idx="115">
                  <c:v>188.79</c:v>
                </c:pt>
                <c:pt idx="116">
                  <c:v>183.06</c:v>
                </c:pt>
                <c:pt idx="117">
                  <c:v>180.7</c:v>
                </c:pt>
                <c:pt idx="118">
                  <c:v>180.21</c:v>
                </c:pt>
                <c:pt idx="119">
                  <c:v>178.22</c:v>
                </c:pt>
                <c:pt idx="120">
                  <c:v>179.51</c:v>
                </c:pt>
                <c:pt idx="121">
                  <c:v>178.95</c:v>
                </c:pt>
                <c:pt idx="122">
                  <c:v>179.09</c:v>
                </c:pt>
                <c:pt idx="123">
                  <c:v>190.59</c:v>
                </c:pt>
                <c:pt idx="124">
                  <c:v>194.01</c:v>
                </c:pt>
                <c:pt idx="125">
                  <c:v>190.4</c:v>
                </c:pt>
                <c:pt idx="126">
                  <c:v>186.59</c:v>
                </c:pt>
                <c:pt idx="127">
                  <c:v>180.31</c:v>
                </c:pt>
                <c:pt idx="128">
                  <c:v>178.21</c:v>
                </c:pt>
                <c:pt idx="129">
                  <c:v>176.99</c:v>
                </c:pt>
                <c:pt idx="130">
                  <c:v>179.76</c:v>
                </c:pt>
                <c:pt idx="131">
                  <c:v>183.11</c:v>
                </c:pt>
                <c:pt idx="132">
                  <c:v>178.24</c:v>
                </c:pt>
                <c:pt idx="133">
                  <c:v>180.18</c:v>
                </c:pt>
                <c:pt idx="134">
                  <c:v>179.25</c:v>
                </c:pt>
                <c:pt idx="135">
                  <c:v>180.13</c:v>
                </c:pt>
                <c:pt idx="136">
                  <c:v>184.05</c:v>
                </c:pt>
                <c:pt idx="137">
                  <c:v>182.84</c:v>
                </c:pt>
                <c:pt idx="138">
                  <c:v>187.94</c:v>
                </c:pt>
                <c:pt idx="139">
                  <c:v>184.57</c:v>
                </c:pt>
                <c:pt idx="140">
                  <c:v>190.2</c:v>
                </c:pt>
                <c:pt idx="141">
                  <c:v>193.04</c:v>
                </c:pt>
                <c:pt idx="142">
                  <c:v>191.31</c:v>
                </c:pt>
                <c:pt idx="143">
                  <c:v>192.24</c:v>
                </c:pt>
                <c:pt idx="144">
                  <c:v>191.24</c:v>
                </c:pt>
                <c:pt idx="145">
                  <c:v>196.15</c:v>
                </c:pt>
                <c:pt idx="146">
                  <c:v>197.35</c:v>
                </c:pt>
                <c:pt idx="147">
                  <c:v>196.73</c:v>
                </c:pt>
                <c:pt idx="148">
                  <c:v>192.43</c:v>
                </c:pt>
                <c:pt idx="149">
                  <c:v>186.83</c:v>
                </c:pt>
                <c:pt idx="150">
                  <c:v>181.41</c:v>
                </c:pt>
                <c:pt idx="151">
                  <c:v>173.95</c:v>
                </c:pt>
                <c:pt idx="152">
                  <c:v>167.06</c:v>
                </c:pt>
                <c:pt idx="153">
                  <c:v>162.47</c:v>
                </c:pt>
                <c:pt idx="154">
                  <c:v>161.35</c:v>
                </c:pt>
                <c:pt idx="155">
                  <c:v>161.32</c:v>
                </c:pt>
                <c:pt idx="156">
                  <c:v>155.61000000000001</c:v>
                </c:pt>
                <c:pt idx="157">
                  <c:v>153.63</c:v>
                </c:pt>
                <c:pt idx="158">
                  <c:v>157.9</c:v>
                </c:pt>
                <c:pt idx="159">
                  <c:v>160.02000000000001</c:v>
                </c:pt>
                <c:pt idx="160">
                  <c:v>159.76</c:v>
                </c:pt>
              </c:numCache>
            </c:numRef>
          </c:val>
          <c:smooth val="0"/>
          <c:extLst>
            <c:ext xmlns:c16="http://schemas.microsoft.com/office/drawing/2014/chart" uri="{C3380CC4-5D6E-409C-BE32-E72D297353CC}">
              <c16:uniqueId val="{00000006-65C7-4841-82C2-DF9FC75A51EA}"/>
            </c:ext>
          </c:extLst>
        </c:ser>
        <c:dLbls>
          <c:showLegendKey val="0"/>
          <c:showVal val="0"/>
          <c:showCatName val="0"/>
          <c:showSerName val="0"/>
          <c:showPercent val="0"/>
          <c:showBubbleSize val="0"/>
        </c:dLbls>
        <c:smooth val="0"/>
        <c:axId val="709168208"/>
        <c:axId val="709167120"/>
      </c:lineChart>
      <c:dateAx>
        <c:axId val="709168208"/>
        <c:scaling>
          <c:orientation val="minMax"/>
        </c:scaling>
        <c:delete val="0"/>
        <c:axPos val="b"/>
        <c:numFmt formatCode="m\/d\/yyyy"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600" b="0" i="0" u="none" strike="noStrike" kern="1200" baseline="0">
                <a:solidFill>
                  <a:schemeClr val="tx1">
                    <a:lumMod val="65000"/>
                    <a:lumOff val="35000"/>
                  </a:schemeClr>
                </a:solidFill>
                <a:latin typeface="+mn-lt"/>
                <a:ea typeface="+mn-ea"/>
                <a:cs typeface="+mn-cs"/>
              </a:defRPr>
            </a:pPr>
            <a:endParaRPr lang="en-US"/>
          </a:p>
        </c:txPr>
        <c:crossAx val="709167120"/>
        <c:crosses val="autoZero"/>
        <c:auto val="1"/>
        <c:lblOffset val="100"/>
        <c:baseTimeUnit val="days"/>
      </c:dateAx>
      <c:valAx>
        <c:axId val="709167120"/>
        <c:scaling>
          <c:orientation val="minMax"/>
          <c:max val="400"/>
          <c:min val="10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r>
                  <a:rPr lang="hy-AM"/>
                  <a:t>տոկոսային կետ</a:t>
                </a:r>
                <a:endParaRPr lang="en-US"/>
              </a:p>
            </c:rich>
          </c:tx>
          <c:layout>
            <c:manualLayout>
              <c:xMode val="edge"/>
              <c:yMode val="edge"/>
              <c:x val="1.3658092419758707E-2"/>
              <c:y val="0.11993537964458807"/>
            </c:manualLayout>
          </c:layout>
          <c:overlay val="0"/>
          <c:spPr>
            <a:noFill/>
            <a:ln>
              <a:noFill/>
            </a:ln>
            <a:effectLst/>
          </c:spPr>
          <c:txPr>
            <a:bodyPr rot="-54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bg2">
                    <a:lumMod val="75000"/>
                  </a:schemeClr>
                </a:solidFill>
                <a:latin typeface="+mn-lt"/>
                <a:ea typeface="+mn-ea"/>
                <a:cs typeface="+mn-cs"/>
              </a:defRPr>
            </a:pPr>
            <a:endParaRPr lang="en-US"/>
          </a:p>
        </c:txPr>
        <c:crossAx val="709168208"/>
        <c:crosses val="autoZero"/>
        <c:crossBetween val="between"/>
        <c:majorUnit val="50"/>
      </c:valAx>
      <c:spPr>
        <a:noFill/>
        <a:ln>
          <a:noFill/>
        </a:ln>
        <a:effectLst/>
      </c:spPr>
    </c:plotArea>
    <c:legend>
      <c:legendPos val="b"/>
      <c:layout>
        <c:manualLayout>
          <c:xMode val="edge"/>
          <c:yMode val="edge"/>
          <c:x val="0"/>
          <c:y val="0.80737125250648012"/>
          <c:w val="1"/>
          <c:h val="0.19262874749351983"/>
        </c:manualLayout>
      </c:layout>
      <c:overlay val="0"/>
      <c:spPr>
        <a:noFill/>
        <a:ln>
          <a:noFill/>
        </a:ln>
        <a:effectLst/>
      </c:spPr>
      <c:txPr>
        <a:bodyPr rot="0" spcFirstLastPara="1" vertOverflow="ellipsis" vert="horz" wrap="square" anchor="ctr" anchorCtr="1"/>
        <a:lstStyle/>
        <a:p>
          <a:pPr>
            <a:defRPr sz="5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noFill/>
    <a:ln w="12700" cap="flat" cmpd="sng" algn="ctr">
      <a:solidFill>
        <a:srgbClr val="FFFFFF"/>
      </a:solidFill>
      <a:round/>
    </a:ln>
    <a:effectLst/>
  </c:spPr>
  <c:txPr>
    <a:bodyPr/>
    <a:lstStyle/>
    <a:p>
      <a:pPr>
        <a:defRPr sz="800"/>
      </a:pPr>
      <a:endParaRPr lang="en-US"/>
    </a:p>
  </c:txPr>
  <c:externalData r:id="rId4">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5.2356020942408377E-2"/>
          <c:y val="0.12050646446971906"/>
          <c:w val="0.89760481510491819"/>
          <c:h val="0.47651283172936726"/>
        </c:manualLayout>
      </c:layout>
      <c:barChart>
        <c:barDir val="col"/>
        <c:grouping val="stacked"/>
        <c:varyColors val="0"/>
        <c:ser>
          <c:idx val="1"/>
          <c:order val="1"/>
          <c:tx>
            <c:strRef>
              <c:f>Sheet1!$D$1</c:f>
              <c:strCache>
                <c:ptCount val="1"/>
                <c:pt idx="0">
                  <c:v>Զուտ հարկեր</c:v>
                </c:pt>
              </c:strCache>
            </c:strRef>
          </c:tx>
          <c:spPr>
            <a:solidFill>
              <a:srgbClr val="44546A">
                <a:lumMod val="20000"/>
                <a:lumOff val="80000"/>
              </a:srgbClr>
            </a:solidFill>
            <a:ln>
              <a:noFill/>
            </a:ln>
            <a:effectLst/>
          </c:spPr>
          <c:invertIfNegative val="0"/>
          <c:cat>
            <c:strRef>
              <c:f>Sheet1!$B$2:$B$7</c:f>
              <c:strCache>
                <c:ptCount val="6"/>
                <c:pt idx="0">
                  <c:v>I եռ.</c:v>
                </c:pt>
                <c:pt idx="1">
                  <c:v>I-II եռ.</c:v>
                </c:pt>
                <c:pt idx="2">
                  <c:v>I-III եռ.</c:v>
                </c:pt>
                <c:pt idx="3">
                  <c:v>I-IV եռ.</c:v>
                </c:pt>
                <c:pt idx="4">
                  <c:v>I եռ.</c:v>
                </c:pt>
                <c:pt idx="5">
                  <c:v>I-II եռ.</c:v>
                </c:pt>
              </c:strCache>
            </c:strRef>
          </c:cat>
          <c:val>
            <c:numRef>
              <c:f>Sheet1!$D$2:$D$7</c:f>
              <c:numCache>
                <c:formatCode>0.0</c:formatCode>
                <c:ptCount val="6"/>
                <c:pt idx="0">
                  <c:v>6.4453652448940413E-2</c:v>
                </c:pt>
                <c:pt idx="1">
                  <c:v>-0.42125524377583468</c:v>
                </c:pt>
                <c:pt idx="2">
                  <c:v>-0.15268761105269163</c:v>
                </c:pt>
                <c:pt idx="3">
                  <c:v>-0.17273019025993355</c:v>
                </c:pt>
                <c:pt idx="4">
                  <c:v>1.0387358000751488</c:v>
                </c:pt>
                <c:pt idx="5">
                  <c:v>1.4315704182531281</c:v>
                </c:pt>
              </c:numCache>
            </c:numRef>
          </c:val>
          <c:extLst>
            <c:ext xmlns:c16="http://schemas.microsoft.com/office/drawing/2014/chart" uri="{C3380CC4-5D6E-409C-BE32-E72D297353CC}">
              <c16:uniqueId val="{00000000-6FA5-470A-8427-59AB6B8AC82A}"/>
            </c:ext>
          </c:extLst>
        </c:ser>
        <c:ser>
          <c:idx val="2"/>
          <c:order val="2"/>
          <c:tx>
            <c:strRef>
              <c:f>Sheet1!$E$1</c:f>
              <c:strCache>
                <c:ptCount val="1"/>
                <c:pt idx="0">
                  <c:v>Արդյունաբերություն</c:v>
                </c:pt>
              </c:strCache>
            </c:strRef>
          </c:tx>
          <c:spPr>
            <a:solidFill>
              <a:srgbClr val="6B6C74">
                <a:lumMod val="60000"/>
                <a:lumOff val="40000"/>
              </a:srgbClr>
            </a:solidFill>
            <a:ln>
              <a:noFill/>
            </a:ln>
            <a:effectLst/>
          </c:spPr>
          <c:invertIfNegative val="0"/>
          <c:cat>
            <c:strRef>
              <c:f>Sheet1!$B$2:$B$7</c:f>
              <c:strCache>
                <c:ptCount val="6"/>
                <c:pt idx="0">
                  <c:v>I եռ.</c:v>
                </c:pt>
                <c:pt idx="1">
                  <c:v>I-II եռ.</c:v>
                </c:pt>
                <c:pt idx="2">
                  <c:v>I-III եռ.</c:v>
                </c:pt>
                <c:pt idx="3">
                  <c:v>I-IV եռ.</c:v>
                </c:pt>
                <c:pt idx="4">
                  <c:v>I եռ.</c:v>
                </c:pt>
                <c:pt idx="5">
                  <c:v>I-II եռ.</c:v>
                </c:pt>
              </c:strCache>
            </c:strRef>
          </c:cat>
          <c:val>
            <c:numRef>
              <c:f>Sheet1!$E$2:$E$7</c:f>
              <c:numCache>
                <c:formatCode>0.0</c:formatCode>
                <c:ptCount val="6"/>
                <c:pt idx="0">
                  <c:v>1.2619019486219816</c:v>
                </c:pt>
                <c:pt idx="1">
                  <c:v>0.99728658278331606</c:v>
                </c:pt>
                <c:pt idx="2">
                  <c:v>0.85184173378266659</c:v>
                </c:pt>
                <c:pt idx="3">
                  <c:v>0.58496152770545284</c:v>
                </c:pt>
                <c:pt idx="4">
                  <c:v>-2.2085644261089885</c:v>
                </c:pt>
                <c:pt idx="5">
                  <c:v>-0.7411453945625962</c:v>
                </c:pt>
              </c:numCache>
            </c:numRef>
          </c:val>
          <c:extLst>
            <c:ext xmlns:c16="http://schemas.microsoft.com/office/drawing/2014/chart" uri="{C3380CC4-5D6E-409C-BE32-E72D297353CC}">
              <c16:uniqueId val="{00000001-6FA5-470A-8427-59AB6B8AC82A}"/>
            </c:ext>
          </c:extLst>
        </c:ser>
        <c:ser>
          <c:idx val="3"/>
          <c:order val="3"/>
          <c:tx>
            <c:strRef>
              <c:f>Sheet1!$F$1</c:f>
              <c:strCache>
                <c:ptCount val="1"/>
                <c:pt idx="0">
                  <c:v>Գյուղատնտեսություն</c:v>
                </c:pt>
              </c:strCache>
            </c:strRef>
          </c:tx>
          <c:spPr>
            <a:solidFill>
              <a:srgbClr val="5B9BD5">
                <a:lumMod val="60000"/>
                <a:lumOff val="40000"/>
              </a:srgbClr>
            </a:solidFill>
            <a:ln>
              <a:noFill/>
            </a:ln>
            <a:effectLst/>
          </c:spPr>
          <c:invertIfNegative val="0"/>
          <c:cat>
            <c:strRef>
              <c:f>Sheet1!$B$2:$B$7</c:f>
              <c:strCache>
                <c:ptCount val="6"/>
                <c:pt idx="0">
                  <c:v>I եռ.</c:v>
                </c:pt>
                <c:pt idx="1">
                  <c:v>I-II եռ.</c:v>
                </c:pt>
                <c:pt idx="2">
                  <c:v>I-III եռ.</c:v>
                </c:pt>
                <c:pt idx="3">
                  <c:v>I-IV եռ.</c:v>
                </c:pt>
                <c:pt idx="4">
                  <c:v>I եռ.</c:v>
                </c:pt>
                <c:pt idx="5">
                  <c:v>I-II եռ.</c:v>
                </c:pt>
              </c:strCache>
            </c:strRef>
          </c:cat>
          <c:val>
            <c:numRef>
              <c:f>Sheet1!$F$2:$F$7</c:f>
              <c:numCache>
                <c:formatCode>0.0</c:formatCode>
                <c:ptCount val="6"/>
                <c:pt idx="0">
                  <c:v>0.20970736024847084</c:v>
                </c:pt>
                <c:pt idx="1">
                  <c:v>0.33891712335351032</c:v>
                </c:pt>
                <c:pt idx="2">
                  <c:v>0.13239061440952515</c:v>
                </c:pt>
                <c:pt idx="3">
                  <c:v>0.12231352387464571</c:v>
                </c:pt>
                <c:pt idx="4">
                  <c:v>0.26729849314983178</c:v>
                </c:pt>
                <c:pt idx="5">
                  <c:v>0.32484493322196023</c:v>
                </c:pt>
              </c:numCache>
            </c:numRef>
          </c:val>
          <c:extLst>
            <c:ext xmlns:c16="http://schemas.microsoft.com/office/drawing/2014/chart" uri="{C3380CC4-5D6E-409C-BE32-E72D297353CC}">
              <c16:uniqueId val="{00000002-6FA5-470A-8427-59AB6B8AC82A}"/>
            </c:ext>
          </c:extLst>
        </c:ser>
        <c:ser>
          <c:idx val="4"/>
          <c:order val="4"/>
          <c:tx>
            <c:strRef>
              <c:f>Sheet1!$G$1</c:f>
              <c:strCache>
                <c:ptCount val="1"/>
                <c:pt idx="0">
                  <c:v>Շինարարություն</c:v>
                </c:pt>
              </c:strCache>
            </c:strRef>
          </c:tx>
          <c:spPr>
            <a:solidFill>
              <a:srgbClr val="44546A"/>
            </a:solidFill>
            <a:ln>
              <a:noFill/>
            </a:ln>
            <a:effectLst/>
          </c:spPr>
          <c:invertIfNegative val="0"/>
          <c:cat>
            <c:strRef>
              <c:f>Sheet1!$B$2:$B$7</c:f>
              <c:strCache>
                <c:ptCount val="6"/>
                <c:pt idx="0">
                  <c:v>I եռ.</c:v>
                </c:pt>
                <c:pt idx="1">
                  <c:v>I-II եռ.</c:v>
                </c:pt>
                <c:pt idx="2">
                  <c:v>I-III եռ.</c:v>
                </c:pt>
                <c:pt idx="3">
                  <c:v>I-IV եռ.</c:v>
                </c:pt>
                <c:pt idx="4">
                  <c:v>I եռ.</c:v>
                </c:pt>
                <c:pt idx="5">
                  <c:v>I-II եռ.</c:v>
                </c:pt>
              </c:strCache>
            </c:strRef>
          </c:cat>
          <c:val>
            <c:numRef>
              <c:f>Sheet1!$G$2:$G$7</c:f>
              <c:numCache>
                <c:formatCode>0.0</c:formatCode>
                <c:ptCount val="6"/>
                <c:pt idx="0">
                  <c:v>0.51364392389043201</c:v>
                </c:pt>
                <c:pt idx="1">
                  <c:v>0.83207413496749494</c:v>
                </c:pt>
                <c:pt idx="2">
                  <c:v>0.96045660269481437</c:v>
                </c:pt>
                <c:pt idx="3">
                  <c:v>0.97920933089388107</c:v>
                </c:pt>
                <c:pt idx="4">
                  <c:v>0.51063201620774457</c:v>
                </c:pt>
                <c:pt idx="5">
                  <c:v>0.95869677175078616</c:v>
                </c:pt>
              </c:numCache>
            </c:numRef>
          </c:val>
          <c:extLst>
            <c:ext xmlns:c16="http://schemas.microsoft.com/office/drawing/2014/chart" uri="{C3380CC4-5D6E-409C-BE32-E72D297353CC}">
              <c16:uniqueId val="{00000003-6FA5-470A-8427-59AB6B8AC82A}"/>
            </c:ext>
          </c:extLst>
        </c:ser>
        <c:ser>
          <c:idx val="5"/>
          <c:order val="5"/>
          <c:tx>
            <c:strRef>
              <c:f>Sheet1!$H$1</c:f>
              <c:strCache>
                <c:ptCount val="1"/>
                <c:pt idx="0">
                  <c:v>Ծառայություններ</c:v>
                </c:pt>
              </c:strCache>
            </c:strRef>
          </c:tx>
          <c:spPr>
            <a:solidFill>
              <a:srgbClr val="ED7D31">
                <a:lumMod val="60000"/>
                <a:lumOff val="40000"/>
              </a:srgbClr>
            </a:solidFill>
            <a:ln>
              <a:noFill/>
            </a:ln>
            <a:effectLst/>
          </c:spPr>
          <c:invertIfNegative val="0"/>
          <c:cat>
            <c:strRef>
              <c:f>Sheet1!$B$2:$B$7</c:f>
              <c:strCache>
                <c:ptCount val="6"/>
                <c:pt idx="0">
                  <c:v>I եռ.</c:v>
                </c:pt>
                <c:pt idx="1">
                  <c:v>I-II եռ.</c:v>
                </c:pt>
                <c:pt idx="2">
                  <c:v>I-III եռ.</c:v>
                </c:pt>
                <c:pt idx="3">
                  <c:v>I-IV եռ.</c:v>
                </c:pt>
                <c:pt idx="4">
                  <c:v>I եռ.</c:v>
                </c:pt>
                <c:pt idx="5">
                  <c:v>I-II եռ.</c:v>
                </c:pt>
              </c:strCache>
            </c:strRef>
          </c:cat>
          <c:val>
            <c:numRef>
              <c:f>Sheet1!$H$2:$H$7</c:f>
              <c:numCache>
                <c:formatCode>0.0</c:formatCode>
                <c:ptCount val="6"/>
                <c:pt idx="0">
                  <c:v>5.0676504111864391</c:v>
                </c:pt>
                <c:pt idx="1">
                  <c:v>5.3111284015249902</c:v>
                </c:pt>
                <c:pt idx="2">
                  <c:v>4.9440734590193776</c:v>
                </c:pt>
                <c:pt idx="3">
                  <c:v>4.3862458077859587</c:v>
                </c:pt>
                <c:pt idx="4">
                  <c:v>5.652907973022482</c:v>
                </c:pt>
                <c:pt idx="5">
                  <c:v>3.6275613585669806</c:v>
                </c:pt>
              </c:numCache>
            </c:numRef>
          </c:val>
          <c:extLst>
            <c:ext xmlns:c16="http://schemas.microsoft.com/office/drawing/2014/chart" uri="{C3380CC4-5D6E-409C-BE32-E72D297353CC}">
              <c16:uniqueId val="{00000004-6FA5-470A-8427-59AB6B8AC82A}"/>
            </c:ext>
          </c:extLst>
        </c:ser>
        <c:dLbls>
          <c:showLegendKey val="0"/>
          <c:showVal val="0"/>
          <c:showCatName val="0"/>
          <c:showSerName val="0"/>
          <c:showPercent val="0"/>
          <c:showBubbleSize val="0"/>
        </c:dLbls>
        <c:gapWidth val="70"/>
        <c:overlap val="100"/>
        <c:axId val="219419392"/>
        <c:axId val="219420928"/>
      </c:barChart>
      <c:lineChart>
        <c:grouping val="standard"/>
        <c:varyColors val="0"/>
        <c:ser>
          <c:idx val="0"/>
          <c:order val="0"/>
          <c:tx>
            <c:strRef>
              <c:f>Sheet1!$C$1</c:f>
              <c:strCache>
                <c:ptCount val="1"/>
                <c:pt idx="0">
                  <c:v>ՀՆԱ</c:v>
                </c:pt>
              </c:strCache>
            </c:strRef>
          </c:tx>
          <c:spPr>
            <a:ln w="28575" cap="rnd">
              <a:solidFill>
                <a:srgbClr val="4472C4">
                  <a:lumMod val="50000"/>
                </a:srgbClr>
              </a:solidFill>
              <a:round/>
            </a:ln>
            <a:effectLst/>
          </c:spPr>
          <c:marker>
            <c:symbol val="circle"/>
            <c:size val="5"/>
            <c:spPr>
              <a:solidFill>
                <a:srgbClr val="4472C4">
                  <a:lumMod val="50000"/>
                </a:srgbClr>
              </a:solidFill>
              <a:ln w="9525">
                <a:solidFill>
                  <a:srgbClr val="4472C4">
                    <a:lumMod val="50000"/>
                  </a:srgbClr>
                </a:solidFill>
              </a:ln>
              <a:effectLst/>
            </c:spPr>
          </c:marker>
          <c:dLbls>
            <c:dLbl>
              <c:idx val="0"/>
              <c:layout>
                <c:manualLayout>
                  <c:x val="-6.4618117107089368E-2"/>
                  <c:y val="-5.215793677964169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6FA5-470A-8427-59AB6B8AC82A}"/>
                </c:ext>
              </c:extLst>
            </c:dLbl>
            <c:dLbl>
              <c:idx val="1"/>
              <c:layout>
                <c:manualLayout>
                  <c:x val="-6.2289579640241344E-2"/>
                  <c:y val="-5.204382060938036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6FA5-470A-8427-59AB6B8AC82A}"/>
                </c:ext>
              </c:extLst>
            </c:dLbl>
            <c:dLbl>
              <c:idx val="2"/>
              <c:layout>
                <c:manualLayout>
                  <c:x val="-5.8527778922922595E-2"/>
                  <c:y val="-5.2043820609380384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6FA5-470A-8427-59AB6B8AC82A}"/>
                </c:ext>
              </c:extLst>
            </c:dLbl>
            <c:dLbl>
              <c:idx val="3"/>
              <c:layout>
                <c:manualLayout>
                  <c:x val="-6.4629110497313486E-2"/>
                  <c:y val="-5.215793677964167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6FA5-470A-8427-59AB6B8AC82A}"/>
                </c:ext>
              </c:extLst>
            </c:dLbl>
            <c:dLbl>
              <c:idx val="4"/>
              <c:layout>
                <c:manualLayout>
                  <c:x val="-6.4170215110602974E-2"/>
                  <c:y val="-5.2157772361193795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6FA5-470A-8427-59AB6B8AC82A}"/>
                </c:ext>
              </c:extLst>
            </c:dLbl>
            <c:dLbl>
              <c:idx val="5"/>
              <c:layout>
                <c:manualLayout>
                  <c:x val="-4.4260474438289787E-2"/>
                  <c:y val="-5.2157772361193795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6FA5-470A-8427-59AB6B8AC82A}"/>
                </c:ext>
              </c:extLst>
            </c:dLbl>
            <c:spPr>
              <a:noFill/>
              <a:ln>
                <a:noFill/>
              </a:ln>
              <a:effectLst/>
            </c:spPr>
            <c:txPr>
              <a:bodyPr rot="0" vert="horz"/>
              <a:lstStyle/>
              <a:p>
                <a:pPr>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Sheet1!$A$2:$B$7</c:f>
              <c:multiLvlStrCache>
                <c:ptCount val="6"/>
                <c:lvl>
                  <c:pt idx="0">
                    <c:v>I եռ.</c:v>
                  </c:pt>
                  <c:pt idx="1">
                    <c:v>I-II եռ.</c:v>
                  </c:pt>
                  <c:pt idx="2">
                    <c:v>I-III եռ.</c:v>
                  </c:pt>
                  <c:pt idx="3">
                    <c:v>I-IV եռ.</c:v>
                  </c:pt>
                  <c:pt idx="4">
                    <c:v>I եռ.</c:v>
                  </c:pt>
                  <c:pt idx="5">
                    <c:v>I-II եռ.</c:v>
                  </c:pt>
                </c:lvl>
                <c:lvl>
                  <c:pt idx="0">
                    <c:v>2024</c:v>
                  </c:pt>
                  <c:pt idx="4">
                    <c:v>2025</c:v>
                  </c:pt>
                </c:lvl>
              </c:multiLvlStrCache>
            </c:multiLvlStrRef>
          </c:cat>
          <c:val>
            <c:numRef>
              <c:f>Sheet1!$C$2:$C$7</c:f>
              <c:numCache>
                <c:formatCode>0.0</c:formatCode>
                <c:ptCount val="6"/>
                <c:pt idx="0">
                  <c:v>7.200000000000002</c:v>
                </c:pt>
                <c:pt idx="1">
                  <c:v>7.1462997975151552</c:v>
                </c:pt>
                <c:pt idx="2">
                  <c:v>6.8040857335602141</c:v>
                </c:pt>
                <c:pt idx="3">
                  <c:v>5.9000000000000057</c:v>
                </c:pt>
                <c:pt idx="4">
                  <c:v>5.2000000000000028</c:v>
                </c:pt>
                <c:pt idx="5">
                  <c:v>5.5757389837911404</c:v>
                </c:pt>
              </c:numCache>
            </c:numRef>
          </c:val>
          <c:smooth val="0"/>
          <c:extLst>
            <c:ext xmlns:c16="http://schemas.microsoft.com/office/drawing/2014/chart" uri="{C3380CC4-5D6E-409C-BE32-E72D297353CC}">
              <c16:uniqueId val="{0000000B-6FA5-470A-8427-59AB6B8AC82A}"/>
            </c:ext>
          </c:extLst>
        </c:ser>
        <c:dLbls>
          <c:showLegendKey val="0"/>
          <c:showVal val="0"/>
          <c:showCatName val="0"/>
          <c:showSerName val="0"/>
          <c:showPercent val="0"/>
          <c:showBubbleSize val="0"/>
        </c:dLbls>
        <c:marker val="1"/>
        <c:smooth val="0"/>
        <c:axId val="219419392"/>
        <c:axId val="219420928"/>
      </c:lineChart>
      <c:catAx>
        <c:axId val="219419392"/>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vert="horz"/>
          <a:lstStyle/>
          <a:p>
            <a:pPr>
              <a:defRPr/>
            </a:pPr>
            <a:endParaRPr lang="en-US"/>
          </a:p>
        </c:txPr>
        <c:crossAx val="219420928"/>
        <c:crosses val="autoZero"/>
        <c:auto val="1"/>
        <c:lblAlgn val="ctr"/>
        <c:lblOffset val="0"/>
        <c:noMultiLvlLbl val="0"/>
      </c:catAx>
      <c:valAx>
        <c:axId val="219420928"/>
        <c:scaling>
          <c:orientation val="minMax"/>
          <c:max val="10"/>
          <c:min val="-2.5"/>
        </c:scaling>
        <c:delete val="0"/>
        <c:axPos val="l"/>
        <c:numFmt formatCode="0.0" sourceLinked="1"/>
        <c:majorTickMark val="out"/>
        <c:minorTickMark val="none"/>
        <c:tickLblPos val="nextTo"/>
        <c:crossAx val="219419392"/>
        <c:crosses val="autoZero"/>
        <c:crossBetween val="between"/>
        <c:majorUnit val="2.5"/>
        <c:minorUnit val="1"/>
      </c:valAx>
      <c:spPr>
        <a:noFill/>
        <a:ln>
          <a:noFill/>
        </a:ln>
        <a:effectLst/>
      </c:spPr>
    </c:plotArea>
    <c:legend>
      <c:legendPos val="b"/>
      <c:layout>
        <c:manualLayout>
          <c:xMode val="edge"/>
          <c:yMode val="edge"/>
          <c:x val="4.8648156545876793E-2"/>
          <c:y val="0.72485965296004662"/>
          <c:w val="0.95135189902732742"/>
          <c:h val="0.23208228615092558"/>
        </c:manualLayout>
      </c:layout>
      <c:overlay val="0"/>
      <c:spPr>
        <a:noFill/>
        <a:ln>
          <a:noFill/>
        </a:ln>
        <a:effectLst/>
      </c:spPr>
      <c:txPr>
        <a:bodyPr rot="0" vert="horz"/>
        <a:lstStyle/>
        <a:p>
          <a:pPr>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noFill/>
    <a:ln w="12700">
      <a:solidFill>
        <a:srgbClr val="FFFFFF"/>
      </a:solidFill>
    </a:ln>
    <a:effectLst/>
  </c:spPr>
  <c:txPr>
    <a:bodyPr/>
    <a:lstStyle/>
    <a:p>
      <a:pPr>
        <a:defRPr sz="800">
          <a:latin typeface="+mj-lt"/>
          <a:ea typeface="Calibri" panose="020F0502020204030204" pitchFamily="34" charset="0"/>
          <a:cs typeface="Calibri" panose="020F0502020204030204" pitchFamily="34" charset="0"/>
        </a:defRPr>
      </a:pPr>
      <a:endParaRPr lang="en-US"/>
    </a:p>
  </c:txPr>
  <c:externalData r:id="rId2">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5.2356020942408377E-2"/>
          <c:y val="0.12050646446971906"/>
          <c:w val="0.89760481510491819"/>
          <c:h val="0.53550972057696333"/>
        </c:manualLayout>
      </c:layout>
      <c:barChart>
        <c:barDir val="col"/>
        <c:grouping val="stacked"/>
        <c:varyColors val="0"/>
        <c:ser>
          <c:idx val="1"/>
          <c:order val="1"/>
          <c:tx>
            <c:strRef>
              <c:f>Sheet1!$D$1</c:f>
              <c:strCache>
                <c:ptCount val="1"/>
                <c:pt idx="0">
                  <c:v>Պետական սպառում</c:v>
                </c:pt>
              </c:strCache>
            </c:strRef>
          </c:tx>
          <c:spPr>
            <a:solidFill>
              <a:srgbClr val="44546A">
                <a:lumMod val="20000"/>
                <a:lumOff val="80000"/>
              </a:srgbClr>
            </a:solidFill>
            <a:ln>
              <a:noFill/>
            </a:ln>
            <a:effectLst/>
          </c:spPr>
          <c:invertIfNegative val="0"/>
          <c:cat>
            <c:strRef>
              <c:f>Sheet1!$B$2:$B$7</c:f>
              <c:strCache>
                <c:ptCount val="6"/>
                <c:pt idx="0">
                  <c:v>I եռ.</c:v>
                </c:pt>
                <c:pt idx="1">
                  <c:v>I-II եռ.</c:v>
                </c:pt>
                <c:pt idx="2">
                  <c:v>I-III եռ.</c:v>
                </c:pt>
                <c:pt idx="3">
                  <c:v>I-IV եռ.</c:v>
                </c:pt>
                <c:pt idx="4">
                  <c:v>I եռ.</c:v>
                </c:pt>
                <c:pt idx="5">
                  <c:v>I-II եռ.</c:v>
                </c:pt>
              </c:strCache>
            </c:strRef>
          </c:cat>
          <c:val>
            <c:numRef>
              <c:f>Sheet1!$D$2:$D$7</c:f>
              <c:numCache>
                <c:formatCode>0.0</c:formatCode>
                <c:ptCount val="6"/>
                <c:pt idx="0">
                  <c:v>0.22552299245696933</c:v>
                </c:pt>
                <c:pt idx="1">
                  <c:v>4.2829036037665233E-2</c:v>
                </c:pt>
                <c:pt idx="2">
                  <c:v>-0.48005272885750744</c:v>
                </c:pt>
                <c:pt idx="3">
                  <c:v>-1.1494267119513319</c:v>
                </c:pt>
                <c:pt idx="4">
                  <c:v>1.5137860361620634</c:v>
                </c:pt>
                <c:pt idx="5">
                  <c:v>0.82993996147982907</c:v>
                </c:pt>
              </c:numCache>
            </c:numRef>
          </c:val>
          <c:extLst>
            <c:ext xmlns:c16="http://schemas.microsoft.com/office/drawing/2014/chart" uri="{C3380CC4-5D6E-409C-BE32-E72D297353CC}">
              <c16:uniqueId val="{00000000-8963-4069-91CD-F665435B0FAC}"/>
            </c:ext>
          </c:extLst>
        </c:ser>
        <c:ser>
          <c:idx val="2"/>
          <c:order val="2"/>
          <c:tx>
            <c:strRef>
              <c:f>Sheet1!$E$1</c:f>
              <c:strCache>
                <c:ptCount val="1"/>
                <c:pt idx="0">
                  <c:v>Մասնավոր սպառում</c:v>
                </c:pt>
              </c:strCache>
            </c:strRef>
          </c:tx>
          <c:spPr>
            <a:solidFill>
              <a:srgbClr val="6B6C74">
                <a:lumMod val="60000"/>
                <a:lumOff val="40000"/>
              </a:srgbClr>
            </a:solidFill>
            <a:ln>
              <a:noFill/>
            </a:ln>
            <a:effectLst/>
          </c:spPr>
          <c:invertIfNegative val="0"/>
          <c:cat>
            <c:strRef>
              <c:f>Sheet1!$B$2:$B$7</c:f>
              <c:strCache>
                <c:ptCount val="6"/>
                <c:pt idx="0">
                  <c:v>I եռ.</c:v>
                </c:pt>
                <c:pt idx="1">
                  <c:v>I-II եռ.</c:v>
                </c:pt>
                <c:pt idx="2">
                  <c:v>I-III եռ.</c:v>
                </c:pt>
                <c:pt idx="3">
                  <c:v>I-IV եռ.</c:v>
                </c:pt>
                <c:pt idx="4">
                  <c:v>I եռ.</c:v>
                </c:pt>
                <c:pt idx="5">
                  <c:v>I-II եռ.</c:v>
                </c:pt>
              </c:strCache>
            </c:strRef>
          </c:cat>
          <c:val>
            <c:numRef>
              <c:f>Sheet1!$E$2:$E$7</c:f>
              <c:numCache>
                <c:formatCode>0.0</c:formatCode>
                <c:ptCount val="6"/>
                <c:pt idx="0">
                  <c:v>4.7136932031296874</c:v>
                </c:pt>
                <c:pt idx="1">
                  <c:v>3.0256599707349396</c:v>
                </c:pt>
                <c:pt idx="2">
                  <c:v>4.1310880303129629</c:v>
                </c:pt>
                <c:pt idx="3">
                  <c:v>5.2293875670010852</c:v>
                </c:pt>
                <c:pt idx="4">
                  <c:v>11.737555047095833</c:v>
                </c:pt>
                <c:pt idx="5">
                  <c:v>8.1796262693047854</c:v>
                </c:pt>
              </c:numCache>
            </c:numRef>
          </c:val>
          <c:extLst>
            <c:ext xmlns:c16="http://schemas.microsoft.com/office/drawing/2014/chart" uri="{C3380CC4-5D6E-409C-BE32-E72D297353CC}">
              <c16:uniqueId val="{00000001-8963-4069-91CD-F665435B0FAC}"/>
            </c:ext>
          </c:extLst>
        </c:ser>
        <c:ser>
          <c:idx val="3"/>
          <c:order val="3"/>
          <c:tx>
            <c:strRef>
              <c:f>Sheet1!$F$1</c:f>
              <c:strCache>
                <c:ptCount val="1"/>
                <c:pt idx="0">
                  <c:v>Պետական ներդրումներ</c:v>
                </c:pt>
              </c:strCache>
            </c:strRef>
          </c:tx>
          <c:spPr>
            <a:solidFill>
              <a:srgbClr val="5B9BD5">
                <a:lumMod val="60000"/>
                <a:lumOff val="40000"/>
              </a:srgbClr>
            </a:solidFill>
            <a:ln>
              <a:noFill/>
            </a:ln>
            <a:effectLst/>
          </c:spPr>
          <c:invertIfNegative val="0"/>
          <c:cat>
            <c:strRef>
              <c:f>Sheet1!$B$2:$B$7</c:f>
              <c:strCache>
                <c:ptCount val="6"/>
                <c:pt idx="0">
                  <c:v>I եռ.</c:v>
                </c:pt>
                <c:pt idx="1">
                  <c:v>I-II եռ.</c:v>
                </c:pt>
                <c:pt idx="2">
                  <c:v>I-III եռ.</c:v>
                </c:pt>
                <c:pt idx="3">
                  <c:v>I-IV եռ.</c:v>
                </c:pt>
                <c:pt idx="4">
                  <c:v>I եռ.</c:v>
                </c:pt>
                <c:pt idx="5">
                  <c:v>I-II եռ.</c:v>
                </c:pt>
              </c:strCache>
            </c:strRef>
          </c:cat>
          <c:val>
            <c:numRef>
              <c:f>Sheet1!$F$2:$F$7</c:f>
              <c:numCache>
                <c:formatCode>0.0</c:formatCode>
                <c:ptCount val="6"/>
                <c:pt idx="0">
                  <c:v>2.2231830118221123</c:v>
                </c:pt>
                <c:pt idx="1">
                  <c:v>1.236130635213458</c:v>
                </c:pt>
                <c:pt idx="2">
                  <c:v>0.63101982414355506</c:v>
                </c:pt>
                <c:pt idx="3">
                  <c:v>0.22233986468292413</c:v>
                </c:pt>
                <c:pt idx="4">
                  <c:v>0.44747791293487643</c:v>
                </c:pt>
                <c:pt idx="5">
                  <c:v>0.5947028362835336</c:v>
                </c:pt>
              </c:numCache>
            </c:numRef>
          </c:val>
          <c:extLst>
            <c:ext xmlns:c16="http://schemas.microsoft.com/office/drawing/2014/chart" uri="{C3380CC4-5D6E-409C-BE32-E72D297353CC}">
              <c16:uniqueId val="{00000002-8963-4069-91CD-F665435B0FAC}"/>
            </c:ext>
          </c:extLst>
        </c:ser>
        <c:ser>
          <c:idx val="4"/>
          <c:order val="4"/>
          <c:tx>
            <c:strRef>
              <c:f>Sheet1!$G$1</c:f>
              <c:strCache>
                <c:ptCount val="1"/>
                <c:pt idx="0">
                  <c:v>Մասնավոր ներդրումներ</c:v>
                </c:pt>
              </c:strCache>
            </c:strRef>
          </c:tx>
          <c:spPr>
            <a:solidFill>
              <a:srgbClr val="44546A"/>
            </a:solidFill>
            <a:ln>
              <a:noFill/>
            </a:ln>
            <a:effectLst/>
          </c:spPr>
          <c:invertIfNegative val="0"/>
          <c:cat>
            <c:strRef>
              <c:f>Sheet1!$B$2:$B$7</c:f>
              <c:strCache>
                <c:ptCount val="6"/>
                <c:pt idx="0">
                  <c:v>I եռ.</c:v>
                </c:pt>
                <c:pt idx="1">
                  <c:v>I-II եռ.</c:v>
                </c:pt>
                <c:pt idx="2">
                  <c:v>I-III եռ.</c:v>
                </c:pt>
                <c:pt idx="3">
                  <c:v>I-IV եռ.</c:v>
                </c:pt>
                <c:pt idx="4">
                  <c:v>I եռ.</c:v>
                </c:pt>
                <c:pt idx="5">
                  <c:v>I-II եռ.</c:v>
                </c:pt>
              </c:strCache>
            </c:strRef>
          </c:cat>
          <c:val>
            <c:numRef>
              <c:f>Sheet1!$G$2:$G$7</c:f>
              <c:numCache>
                <c:formatCode>0.0</c:formatCode>
                <c:ptCount val="6"/>
                <c:pt idx="0">
                  <c:v>-1.3104743517595776</c:v>
                </c:pt>
                <c:pt idx="1">
                  <c:v>0.62324829714528129</c:v>
                </c:pt>
                <c:pt idx="2">
                  <c:v>1.6896000238411664</c:v>
                </c:pt>
                <c:pt idx="3">
                  <c:v>2.0819102706052579</c:v>
                </c:pt>
                <c:pt idx="4">
                  <c:v>3.1209129395776261</c:v>
                </c:pt>
                <c:pt idx="5">
                  <c:v>3.6423235873658459</c:v>
                </c:pt>
              </c:numCache>
            </c:numRef>
          </c:val>
          <c:extLst>
            <c:ext xmlns:c16="http://schemas.microsoft.com/office/drawing/2014/chart" uri="{C3380CC4-5D6E-409C-BE32-E72D297353CC}">
              <c16:uniqueId val="{00000003-8963-4069-91CD-F665435B0FAC}"/>
            </c:ext>
          </c:extLst>
        </c:ser>
        <c:ser>
          <c:idx val="5"/>
          <c:order val="5"/>
          <c:tx>
            <c:strRef>
              <c:f>Sheet1!$H$1</c:f>
              <c:strCache>
                <c:ptCount val="1"/>
                <c:pt idx="0">
                  <c:v>Զուտ արտահանում</c:v>
                </c:pt>
              </c:strCache>
            </c:strRef>
          </c:tx>
          <c:spPr>
            <a:solidFill>
              <a:srgbClr val="ED7D31">
                <a:lumMod val="60000"/>
                <a:lumOff val="40000"/>
              </a:srgbClr>
            </a:solidFill>
            <a:ln>
              <a:noFill/>
            </a:ln>
            <a:effectLst/>
          </c:spPr>
          <c:invertIfNegative val="0"/>
          <c:cat>
            <c:strRef>
              <c:f>Sheet1!$B$2:$B$7</c:f>
              <c:strCache>
                <c:ptCount val="6"/>
                <c:pt idx="0">
                  <c:v>I եռ.</c:v>
                </c:pt>
                <c:pt idx="1">
                  <c:v>I-II եռ.</c:v>
                </c:pt>
                <c:pt idx="2">
                  <c:v>I-III եռ.</c:v>
                </c:pt>
                <c:pt idx="3">
                  <c:v>I-IV եռ.</c:v>
                </c:pt>
                <c:pt idx="4">
                  <c:v>I եռ.</c:v>
                </c:pt>
                <c:pt idx="5">
                  <c:v>I-II եռ.</c:v>
                </c:pt>
              </c:strCache>
            </c:strRef>
          </c:cat>
          <c:val>
            <c:numRef>
              <c:f>Sheet1!$H$2:$H$7</c:f>
              <c:numCache>
                <c:formatCode>0.0</c:formatCode>
                <c:ptCount val="6"/>
                <c:pt idx="0">
                  <c:v>3.0948228866683039</c:v>
                </c:pt>
                <c:pt idx="1">
                  <c:v>4.9478963897954245</c:v>
                </c:pt>
                <c:pt idx="2">
                  <c:v>2.476102402065731</c:v>
                </c:pt>
                <c:pt idx="3">
                  <c:v>-0.82385009312022817</c:v>
                </c:pt>
                <c:pt idx="4">
                  <c:v>-9.8271585023895938</c:v>
                </c:pt>
                <c:pt idx="5">
                  <c:v>-7.5286251221518441</c:v>
                </c:pt>
              </c:numCache>
            </c:numRef>
          </c:val>
          <c:extLst>
            <c:ext xmlns:c16="http://schemas.microsoft.com/office/drawing/2014/chart" uri="{C3380CC4-5D6E-409C-BE32-E72D297353CC}">
              <c16:uniqueId val="{00000004-8963-4069-91CD-F665435B0FAC}"/>
            </c:ext>
          </c:extLst>
        </c:ser>
        <c:dLbls>
          <c:showLegendKey val="0"/>
          <c:showVal val="0"/>
          <c:showCatName val="0"/>
          <c:showSerName val="0"/>
          <c:showPercent val="0"/>
          <c:showBubbleSize val="0"/>
        </c:dLbls>
        <c:gapWidth val="70"/>
        <c:overlap val="100"/>
        <c:axId val="219419392"/>
        <c:axId val="219420928"/>
      </c:barChart>
      <c:lineChart>
        <c:grouping val="standard"/>
        <c:varyColors val="0"/>
        <c:ser>
          <c:idx val="0"/>
          <c:order val="0"/>
          <c:tx>
            <c:strRef>
              <c:f>Sheet1!$C$1</c:f>
              <c:strCache>
                <c:ptCount val="1"/>
                <c:pt idx="0">
                  <c:v>ՀՆԱ</c:v>
                </c:pt>
              </c:strCache>
            </c:strRef>
          </c:tx>
          <c:spPr>
            <a:ln w="28575" cap="rnd">
              <a:solidFill>
                <a:srgbClr val="4472C4">
                  <a:lumMod val="50000"/>
                </a:srgbClr>
              </a:solidFill>
              <a:round/>
            </a:ln>
            <a:effectLst/>
          </c:spPr>
          <c:marker>
            <c:symbol val="circle"/>
            <c:size val="5"/>
            <c:spPr>
              <a:solidFill>
                <a:srgbClr val="4472C4">
                  <a:lumMod val="50000"/>
                </a:srgbClr>
              </a:solidFill>
              <a:ln w="9525">
                <a:solidFill>
                  <a:srgbClr val="4472C4">
                    <a:lumMod val="50000"/>
                  </a:srgbClr>
                </a:solidFill>
              </a:ln>
              <a:effectLst/>
            </c:spPr>
          </c:marker>
          <c:dLbls>
            <c:dLbl>
              <c:idx val="0"/>
              <c:layout>
                <c:manualLayout>
                  <c:x val="-6.8981061382197117E-2"/>
                  <c:y val="-5.2157772361193795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8963-4069-91CD-F665435B0FAC}"/>
                </c:ext>
              </c:extLst>
            </c:dLbl>
            <c:dLbl>
              <c:idx val="1"/>
              <c:layout>
                <c:manualLayout>
                  <c:x val="-6.2289611568070717E-2"/>
                  <c:y val="-5.9290439978882808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8963-4069-91CD-F665435B0FAC}"/>
                </c:ext>
              </c:extLst>
            </c:dLbl>
            <c:dLbl>
              <c:idx val="2"/>
              <c:layout>
                <c:manualLayout>
                  <c:x val="-6.28908812595671E-2"/>
                  <c:y val="-5.9290439978882829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8963-4069-91CD-F665435B0FAC}"/>
                </c:ext>
              </c:extLst>
            </c:dLbl>
            <c:dLbl>
              <c:idx val="3"/>
              <c:layout>
                <c:manualLayout>
                  <c:x val="-6.4629260069803685E-2"/>
                  <c:y val="-5.21577723611938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8963-4069-91CD-F665435B0FAC}"/>
                </c:ext>
              </c:extLst>
            </c:dLbl>
            <c:dLbl>
              <c:idx val="4"/>
              <c:layout>
                <c:manualLayout>
                  <c:x val="-6.4170215110602974E-2"/>
                  <c:y val="-5.2157772361193795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8963-4069-91CD-F665435B0FAC}"/>
                </c:ext>
              </c:extLst>
            </c:dLbl>
            <c:dLbl>
              <c:idx val="5"/>
              <c:layout>
                <c:manualLayout>
                  <c:x val="-4.4260474438289787E-2"/>
                  <c:y val="-5.2157772361193795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8963-4069-91CD-F665435B0FAC}"/>
                </c:ext>
              </c:extLst>
            </c:dLbl>
            <c:spPr>
              <a:noFill/>
              <a:ln>
                <a:noFill/>
              </a:ln>
              <a:effectLst/>
            </c:spPr>
            <c:txPr>
              <a:bodyPr rot="0" vert="horz"/>
              <a:lstStyle/>
              <a:p>
                <a:pPr>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Sheet1!$A$2:$B$7</c:f>
              <c:multiLvlStrCache>
                <c:ptCount val="6"/>
                <c:lvl>
                  <c:pt idx="0">
                    <c:v>I եռ.</c:v>
                  </c:pt>
                  <c:pt idx="1">
                    <c:v>I-II եռ.</c:v>
                  </c:pt>
                  <c:pt idx="2">
                    <c:v>I-III եռ.</c:v>
                  </c:pt>
                  <c:pt idx="3">
                    <c:v>I-IV եռ.</c:v>
                  </c:pt>
                  <c:pt idx="4">
                    <c:v>I եռ.</c:v>
                  </c:pt>
                  <c:pt idx="5">
                    <c:v>I-II եռ.</c:v>
                  </c:pt>
                </c:lvl>
                <c:lvl>
                  <c:pt idx="0">
                    <c:v>2024</c:v>
                  </c:pt>
                  <c:pt idx="4">
                    <c:v>2025</c:v>
                  </c:pt>
                </c:lvl>
              </c:multiLvlStrCache>
            </c:multiLvlStrRef>
          </c:cat>
          <c:val>
            <c:numRef>
              <c:f>Sheet1!$C$2:$C$7</c:f>
              <c:numCache>
                <c:formatCode>0.0</c:formatCode>
                <c:ptCount val="6"/>
                <c:pt idx="0">
                  <c:v>7.200000000000002</c:v>
                </c:pt>
                <c:pt idx="1">
                  <c:v>7.1462997975151552</c:v>
                </c:pt>
                <c:pt idx="2">
                  <c:v>6.8040857335602141</c:v>
                </c:pt>
                <c:pt idx="3">
                  <c:v>5.9000000000000057</c:v>
                </c:pt>
                <c:pt idx="4">
                  <c:v>5.200000000000002</c:v>
                </c:pt>
                <c:pt idx="5">
                  <c:v>5.5757389837911413</c:v>
                </c:pt>
              </c:numCache>
            </c:numRef>
          </c:val>
          <c:smooth val="0"/>
          <c:extLst>
            <c:ext xmlns:c16="http://schemas.microsoft.com/office/drawing/2014/chart" uri="{C3380CC4-5D6E-409C-BE32-E72D297353CC}">
              <c16:uniqueId val="{0000000B-8963-4069-91CD-F665435B0FAC}"/>
            </c:ext>
          </c:extLst>
        </c:ser>
        <c:dLbls>
          <c:showLegendKey val="0"/>
          <c:showVal val="0"/>
          <c:showCatName val="0"/>
          <c:showSerName val="0"/>
          <c:showPercent val="0"/>
          <c:showBubbleSize val="0"/>
        </c:dLbls>
        <c:marker val="1"/>
        <c:smooth val="0"/>
        <c:axId val="219419392"/>
        <c:axId val="219420928"/>
      </c:lineChart>
      <c:catAx>
        <c:axId val="21941939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vert="horz"/>
          <a:lstStyle/>
          <a:p>
            <a:pPr>
              <a:defRPr/>
            </a:pPr>
            <a:endParaRPr lang="en-US"/>
          </a:p>
        </c:txPr>
        <c:crossAx val="219420928"/>
        <c:crosses val="autoZero"/>
        <c:auto val="1"/>
        <c:lblAlgn val="ctr"/>
        <c:lblOffset val="0"/>
        <c:noMultiLvlLbl val="0"/>
      </c:catAx>
      <c:valAx>
        <c:axId val="219420928"/>
        <c:scaling>
          <c:orientation val="minMax"/>
          <c:max val="15"/>
          <c:min val="-10"/>
        </c:scaling>
        <c:delete val="0"/>
        <c:axPos val="l"/>
        <c:numFmt formatCode="0.0" sourceLinked="1"/>
        <c:majorTickMark val="out"/>
        <c:minorTickMark val="none"/>
        <c:tickLblPos val="nextTo"/>
        <c:crossAx val="219419392"/>
        <c:crosses val="autoZero"/>
        <c:crossBetween val="between"/>
        <c:majorUnit val="5"/>
        <c:minorUnit val="1"/>
      </c:valAx>
      <c:spPr>
        <a:noFill/>
        <a:ln>
          <a:noFill/>
        </a:ln>
        <a:effectLst/>
      </c:spPr>
    </c:plotArea>
    <c:legend>
      <c:legendPos val="b"/>
      <c:layout>
        <c:manualLayout>
          <c:xMode val="edge"/>
          <c:yMode val="edge"/>
          <c:x val="4.8648156545876793E-2"/>
          <c:y val="0.61616398493666558"/>
          <c:w val="0.95135189902732742"/>
          <c:h val="0.34077770170033095"/>
        </c:manualLayout>
      </c:layout>
      <c:overlay val="0"/>
      <c:spPr>
        <a:noFill/>
        <a:ln>
          <a:noFill/>
        </a:ln>
        <a:effectLst/>
      </c:spPr>
      <c:txPr>
        <a:bodyPr rot="0" vert="horz"/>
        <a:lstStyle/>
        <a:p>
          <a:pPr>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noFill/>
    <a:ln w="12700">
      <a:solidFill>
        <a:srgbClr val="FFFFFF"/>
      </a:solidFill>
    </a:ln>
    <a:effectLst/>
  </c:spPr>
  <c:txPr>
    <a:bodyPr/>
    <a:lstStyle/>
    <a:p>
      <a:pPr>
        <a:defRPr sz="800">
          <a:latin typeface="+mj-lt"/>
          <a:ea typeface="Calibri" panose="020F0502020204030204" pitchFamily="34" charset="0"/>
          <a:cs typeface="Calibri" panose="020F0502020204030204" pitchFamily="34" charset="0"/>
        </a:defRPr>
      </a:pPr>
      <a:endParaRPr lang="en-US"/>
    </a:p>
  </c:txPr>
  <c:externalData r:id="rId2">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8.2945793248931685E-2"/>
          <c:y val="8.2035578885972571E-2"/>
          <c:w val="0.84149709904682968"/>
          <c:h val="0.59923082531350247"/>
        </c:manualLayout>
      </c:layout>
      <c:barChart>
        <c:barDir val="col"/>
        <c:grouping val="clustered"/>
        <c:varyColors val="0"/>
        <c:ser>
          <c:idx val="1"/>
          <c:order val="1"/>
          <c:tx>
            <c:strRef>
              <c:f>Sheet1!$A$3</c:f>
              <c:strCache>
                <c:ptCount val="1"/>
                <c:pt idx="0">
                  <c:v>արդյունաբերություն</c:v>
                </c:pt>
              </c:strCache>
            </c:strRef>
          </c:tx>
          <c:spPr>
            <a:solidFill>
              <a:srgbClr val="5B9BD5">
                <a:lumMod val="60000"/>
                <a:lumOff val="40000"/>
                <a:alpha val="98000"/>
              </a:srgbClr>
            </a:solidFill>
            <a:ln>
              <a:noFill/>
            </a:ln>
            <a:effectLst/>
          </c:spPr>
          <c:invertIfNegative val="0"/>
          <c:cat>
            <c:strRef>
              <c:f>Sheet1!$B$1:$H$1</c:f>
              <c:strCache>
                <c:ptCount val="7"/>
                <c:pt idx="0">
                  <c:v>1</c:v>
                </c:pt>
                <c:pt idx="1">
                  <c:v>2</c:v>
                </c:pt>
                <c:pt idx="2">
                  <c:v>3</c:v>
                </c:pt>
                <c:pt idx="3">
                  <c:v>4</c:v>
                </c:pt>
                <c:pt idx="4">
                  <c:v>5</c:v>
                </c:pt>
                <c:pt idx="5">
                  <c:v>6</c:v>
                </c:pt>
                <c:pt idx="6">
                  <c:v>7</c:v>
                </c:pt>
              </c:strCache>
            </c:strRef>
          </c:cat>
          <c:val>
            <c:numRef>
              <c:f>Sheet1!$B$3:$H$3</c:f>
              <c:numCache>
                <c:formatCode>0.0</c:formatCode>
                <c:ptCount val="7"/>
                <c:pt idx="0">
                  <c:v>-10.400000000000006</c:v>
                </c:pt>
                <c:pt idx="1">
                  <c:v>-19.437107167110568</c:v>
                </c:pt>
                <c:pt idx="2">
                  <c:v>-18.5</c:v>
                </c:pt>
                <c:pt idx="3">
                  <c:v>-16.099999999999994</c:v>
                </c:pt>
                <c:pt idx="4">
                  <c:v>-14.099999999999994</c:v>
                </c:pt>
                <c:pt idx="5">
                  <c:v>-12.099999999999994</c:v>
                </c:pt>
                <c:pt idx="6">
                  <c:v>-9.7999999999999972</c:v>
                </c:pt>
              </c:numCache>
            </c:numRef>
          </c:val>
          <c:extLst>
            <c:ext xmlns:c16="http://schemas.microsoft.com/office/drawing/2014/chart" uri="{C3380CC4-5D6E-409C-BE32-E72D297353CC}">
              <c16:uniqueId val="{00000000-9D06-4AAD-8ABC-A272503E1080}"/>
            </c:ext>
          </c:extLst>
        </c:ser>
        <c:ser>
          <c:idx val="2"/>
          <c:order val="2"/>
          <c:tx>
            <c:strRef>
              <c:f>Sheet1!$A$4</c:f>
              <c:strCache>
                <c:ptCount val="1"/>
                <c:pt idx="0">
                  <c:v>գյուղատնտեսություն</c:v>
                </c:pt>
              </c:strCache>
            </c:strRef>
          </c:tx>
          <c:spPr>
            <a:solidFill>
              <a:srgbClr val="8064A2"/>
            </a:solidFill>
            <a:ln>
              <a:noFill/>
            </a:ln>
            <a:effectLst/>
          </c:spPr>
          <c:invertIfNegative val="0"/>
          <c:cat>
            <c:strRef>
              <c:f>Sheet1!$B$1:$H$1</c:f>
              <c:strCache>
                <c:ptCount val="7"/>
                <c:pt idx="0">
                  <c:v>1</c:v>
                </c:pt>
                <c:pt idx="1">
                  <c:v>2</c:v>
                </c:pt>
                <c:pt idx="2">
                  <c:v>3</c:v>
                </c:pt>
                <c:pt idx="3">
                  <c:v>4</c:v>
                </c:pt>
                <c:pt idx="4">
                  <c:v>5</c:v>
                </c:pt>
                <c:pt idx="5">
                  <c:v>6</c:v>
                </c:pt>
                <c:pt idx="6">
                  <c:v>7</c:v>
                </c:pt>
              </c:strCache>
            </c:strRef>
          </c:cat>
          <c:val>
            <c:numRef>
              <c:f>Sheet1!$B$4:$H$4</c:f>
              <c:numCache>
                <c:formatCode>0.0</c:formatCode>
                <c:ptCount val="7"/>
                <c:pt idx="0">
                  <c:v>0</c:v>
                </c:pt>
                <c:pt idx="1">
                  <c:v>0</c:v>
                </c:pt>
                <c:pt idx="2">
                  <c:v>10.5</c:v>
                </c:pt>
                <c:pt idx="3">
                  <c:v>0</c:v>
                </c:pt>
                <c:pt idx="4">
                  <c:v>0</c:v>
                </c:pt>
                <c:pt idx="5">
                  <c:v>7.2999999999999972</c:v>
                </c:pt>
                <c:pt idx="6">
                  <c:v>0</c:v>
                </c:pt>
              </c:numCache>
            </c:numRef>
          </c:val>
          <c:extLst>
            <c:ext xmlns:c16="http://schemas.microsoft.com/office/drawing/2014/chart" uri="{C3380CC4-5D6E-409C-BE32-E72D297353CC}">
              <c16:uniqueId val="{00000001-9D06-4AAD-8ABC-A272503E1080}"/>
            </c:ext>
          </c:extLst>
        </c:ser>
        <c:ser>
          <c:idx val="3"/>
          <c:order val="3"/>
          <c:tx>
            <c:strRef>
              <c:f>Sheet1!$A$5</c:f>
              <c:strCache>
                <c:ptCount val="1"/>
                <c:pt idx="0">
                  <c:v>շինարարություն</c:v>
                </c:pt>
              </c:strCache>
            </c:strRef>
          </c:tx>
          <c:spPr>
            <a:solidFill>
              <a:srgbClr val="E7E6E6">
                <a:lumMod val="75000"/>
              </a:srgbClr>
            </a:solidFill>
            <a:ln>
              <a:noFill/>
            </a:ln>
            <a:effectLst/>
          </c:spPr>
          <c:invertIfNegative val="0"/>
          <c:cat>
            <c:strRef>
              <c:f>Sheet1!$B$1:$H$1</c:f>
              <c:strCache>
                <c:ptCount val="7"/>
                <c:pt idx="0">
                  <c:v>1</c:v>
                </c:pt>
                <c:pt idx="1">
                  <c:v>2</c:v>
                </c:pt>
                <c:pt idx="2">
                  <c:v>3</c:v>
                </c:pt>
                <c:pt idx="3">
                  <c:v>4</c:v>
                </c:pt>
                <c:pt idx="4">
                  <c:v>5</c:v>
                </c:pt>
                <c:pt idx="5">
                  <c:v>6</c:v>
                </c:pt>
                <c:pt idx="6">
                  <c:v>7</c:v>
                </c:pt>
              </c:strCache>
            </c:strRef>
          </c:cat>
          <c:val>
            <c:numRef>
              <c:f>Sheet1!$B$5:$H$5</c:f>
              <c:numCache>
                <c:formatCode>0.0</c:formatCode>
                <c:ptCount val="7"/>
                <c:pt idx="0">
                  <c:v>11.599999999999994</c:v>
                </c:pt>
                <c:pt idx="1">
                  <c:v>12.200000000000003</c:v>
                </c:pt>
                <c:pt idx="2">
                  <c:v>13.599999999999994</c:v>
                </c:pt>
                <c:pt idx="3">
                  <c:v>15</c:v>
                </c:pt>
                <c:pt idx="4">
                  <c:v>17.099999999999994</c:v>
                </c:pt>
                <c:pt idx="5">
                  <c:v>18.5</c:v>
                </c:pt>
                <c:pt idx="6">
                  <c:v>20.200000000000003</c:v>
                </c:pt>
              </c:numCache>
            </c:numRef>
          </c:val>
          <c:extLst>
            <c:ext xmlns:c16="http://schemas.microsoft.com/office/drawing/2014/chart" uri="{C3380CC4-5D6E-409C-BE32-E72D297353CC}">
              <c16:uniqueId val="{00000002-9D06-4AAD-8ABC-A272503E1080}"/>
            </c:ext>
          </c:extLst>
        </c:ser>
        <c:ser>
          <c:idx val="4"/>
          <c:order val="4"/>
          <c:tx>
            <c:strRef>
              <c:f>Sheet1!$A$6</c:f>
              <c:strCache>
                <c:ptCount val="1"/>
                <c:pt idx="0">
                  <c:v>ծառայություններ</c:v>
                </c:pt>
              </c:strCache>
            </c:strRef>
          </c:tx>
          <c:spPr>
            <a:solidFill>
              <a:srgbClr val="ED7D31">
                <a:lumMod val="40000"/>
                <a:lumOff val="60000"/>
              </a:srgbClr>
            </a:solidFill>
            <a:ln>
              <a:noFill/>
            </a:ln>
          </c:spPr>
          <c:invertIfNegative val="0"/>
          <c:cat>
            <c:strRef>
              <c:f>Sheet1!$B$1:$H$1</c:f>
              <c:strCache>
                <c:ptCount val="7"/>
                <c:pt idx="0">
                  <c:v>1</c:v>
                </c:pt>
                <c:pt idx="1">
                  <c:v>2</c:v>
                </c:pt>
                <c:pt idx="2">
                  <c:v>3</c:v>
                </c:pt>
                <c:pt idx="3">
                  <c:v>4</c:v>
                </c:pt>
                <c:pt idx="4">
                  <c:v>5</c:v>
                </c:pt>
                <c:pt idx="5">
                  <c:v>6</c:v>
                </c:pt>
                <c:pt idx="6">
                  <c:v>7</c:v>
                </c:pt>
              </c:strCache>
            </c:strRef>
          </c:cat>
          <c:val>
            <c:numRef>
              <c:f>Sheet1!$B$6:$H$6</c:f>
              <c:numCache>
                <c:formatCode>0.0</c:formatCode>
                <c:ptCount val="7"/>
                <c:pt idx="0">
                  <c:v>13.299999999999997</c:v>
                </c:pt>
                <c:pt idx="1">
                  <c:v>13.001139102883712</c:v>
                </c:pt>
                <c:pt idx="2">
                  <c:v>12.240851834042616</c:v>
                </c:pt>
                <c:pt idx="3">
                  <c:v>10.613598999341605</c:v>
                </c:pt>
                <c:pt idx="4">
                  <c:v>10.820792573146989</c:v>
                </c:pt>
                <c:pt idx="5">
                  <c:v>10.458673292357105</c:v>
                </c:pt>
                <c:pt idx="6">
                  <c:v>10.555924484012522</c:v>
                </c:pt>
              </c:numCache>
            </c:numRef>
          </c:val>
          <c:extLst>
            <c:ext xmlns:c16="http://schemas.microsoft.com/office/drawing/2014/chart" uri="{C3380CC4-5D6E-409C-BE32-E72D297353CC}">
              <c16:uniqueId val="{00000003-9D06-4AAD-8ABC-A272503E1080}"/>
            </c:ext>
          </c:extLst>
        </c:ser>
        <c:ser>
          <c:idx val="5"/>
          <c:order val="5"/>
          <c:tx>
            <c:strRef>
              <c:f>Sheet1!$A$7</c:f>
              <c:strCache>
                <c:ptCount val="1"/>
                <c:pt idx="0">
                  <c:v>առևտուր</c:v>
                </c:pt>
              </c:strCache>
            </c:strRef>
          </c:tx>
          <c:spPr>
            <a:solidFill>
              <a:srgbClr val="4472C4">
                <a:lumMod val="50000"/>
              </a:srgbClr>
            </a:solidFill>
            <a:ln>
              <a:noFill/>
            </a:ln>
          </c:spPr>
          <c:invertIfNegative val="0"/>
          <c:cat>
            <c:strRef>
              <c:f>Sheet1!$B$1:$H$1</c:f>
              <c:strCache>
                <c:ptCount val="7"/>
                <c:pt idx="0">
                  <c:v>1</c:v>
                </c:pt>
                <c:pt idx="1">
                  <c:v>2</c:v>
                </c:pt>
                <c:pt idx="2">
                  <c:v>3</c:v>
                </c:pt>
                <c:pt idx="3">
                  <c:v>4</c:v>
                </c:pt>
                <c:pt idx="4">
                  <c:v>5</c:v>
                </c:pt>
                <c:pt idx="5">
                  <c:v>6</c:v>
                </c:pt>
                <c:pt idx="6">
                  <c:v>7</c:v>
                </c:pt>
              </c:strCache>
            </c:strRef>
          </c:cat>
          <c:val>
            <c:numRef>
              <c:f>Sheet1!$B$7:$H$7</c:f>
              <c:numCache>
                <c:formatCode>0.0</c:formatCode>
                <c:ptCount val="7"/>
                <c:pt idx="0">
                  <c:v>14.599999999999994</c:v>
                </c:pt>
                <c:pt idx="1">
                  <c:v>8.4952919901649437</c:v>
                </c:pt>
                <c:pt idx="2">
                  <c:v>6.4825867740854903</c:v>
                </c:pt>
                <c:pt idx="3">
                  <c:v>5.7977262674481693</c:v>
                </c:pt>
                <c:pt idx="4">
                  <c:v>4.7679116625219251</c:v>
                </c:pt>
                <c:pt idx="5">
                  <c:v>4.493414957915661</c:v>
                </c:pt>
                <c:pt idx="6">
                  <c:v>4.2456099978468416</c:v>
                </c:pt>
              </c:numCache>
            </c:numRef>
          </c:val>
          <c:extLst>
            <c:ext xmlns:c16="http://schemas.microsoft.com/office/drawing/2014/chart" uri="{C3380CC4-5D6E-409C-BE32-E72D297353CC}">
              <c16:uniqueId val="{00000004-9D06-4AAD-8ABC-A272503E1080}"/>
            </c:ext>
          </c:extLst>
        </c:ser>
        <c:dLbls>
          <c:showLegendKey val="0"/>
          <c:showVal val="0"/>
          <c:showCatName val="0"/>
          <c:showSerName val="0"/>
          <c:showPercent val="0"/>
          <c:showBubbleSize val="0"/>
        </c:dLbls>
        <c:gapWidth val="70"/>
        <c:overlap val="-27"/>
        <c:axId val="220583808"/>
        <c:axId val="220585344"/>
      </c:barChart>
      <c:lineChart>
        <c:grouping val="standard"/>
        <c:varyColors val="0"/>
        <c:ser>
          <c:idx val="0"/>
          <c:order val="0"/>
          <c:tx>
            <c:strRef>
              <c:f>Sheet1!$A$2</c:f>
              <c:strCache>
                <c:ptCount val="1"/>
                <c:pt idx="0">
                  <c:v>ՏԱՑ</c:v>
                </c:pt>
              </c:strCache>
            </c:strRef>
          </c:tx>
          <c:spPr>
            <a:ln w="25400">
              <a:solidFill>
                <a:srgbClr val="4472C4">
                  <a:lumMod val="50000"/>
                </a:srgbClr>
              </a:solidFill>
            </a:ln>
            <a:effectLst/>
          </c:spPr>
          <c:marker>
            <c:symbol val="circle"/>
            <c:size val="6"/>
            <c:spPr>
              <a:solidFill>
                <a:srgbClr val="4472C4">
                  <a:lumMod val="50000"/>
                </a:srgbClr>
              </a:solidFill>
              <a:ln>
                <a:solidFill>
                  <a:srgbClr val="4472C4">
                    <a:lumMod val="50000"/>
                  </a:srgbClr>
                </a:solidFill>
              </a:ln>
            </c:spPr>
          </c:marker>
          <c:dLbls>
            <c:dLbl>
              <c:idx val="0"/>
              <c:layout>
                <c:manualLayout>
                  <c:x val="-6.1295658355205618E-2"/>
                  <c:y val="-5.696388645863711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9D06-4AAD-8ABC-A272503E1080}"/>
                </c:ext>
              </c:extLst>
            </c:dLbl>
            <c:dLbl>
              <c:idx val="1"/>
              <c:layout>
                <c:manualLayout>
                  <c:x val="-6.563593613298338E-2"/>
                  <c:y val="-6.467993584135316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9D06-4AAD-8ABC-A272503E1080}"/>
                </c:ext>
              </c:extLst>
            </c:dLbl>
            <c:dLbl>
              <c:idx val="2"/>
              <c:layout>
                <c:manualLayout>
                  <c:x val="-6.1295658355205597E-2"/>
                  <c:y val="-4.9247837075921064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9D06-4AAD-8ABC-A272503E1080}"/>
                </c:ext>
              </c:extLst>
            </c:dLbl>
            <c:dLbl>
              <c:idx val="3"/>
              <c:layout>
                <c:manualLayout>
                  <c:x val="-6.129565835520568E-2"/>
                  <c:y val="-6.467993584135316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9D06-4AAD-8ABC-A272503E1080}"/>
                </c:ext>
              </c:extLst>
            </c:dLbl>
            <c:dLbl>
              <c:idx val="4"/>
              <c:layout>
                <c:manualLayout>
                  <c:x val="-6.1295658355205597E-2"/>
                  <c:y val="-6.467993584135316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9D06-4AAD-8ABC-A272503E1080}"/>
                </c:ext>
              </c:extLst>
            </c:dLbl>
            <c:dLbl>
              <c:idx val="5"/>
              <c:layout>
                <c:manualLayout>
                  <c:x val="-6.9976213910761156E-2"/>
                  <c:y val="-5.6963886458637147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9D06-4AAD-8ABC-A272503E1080}"/>
                </c:ext>
              </c:extLst>
            </c:dLbl>
            <c:dLbl>
              <c:idx val="6"/>
              <c:layout>
                <c:manualLayout>
                  <c:x val="-6.1295658355205757E-2"/>
                  <c:y val="-4.9247837075921029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9D06-4AAD-8ABC-A272503E1080}"/>
                </c:ext>
              </c:extLst>
            </c:dLbl>
            <c:spPr>
              <a:noFill/>
              <a:ln>
                <a:noFill/>
              </a:ln>
              <a:effectLst/>
            </c:spPr>
            <c:txPr>
              <a:bodyPr wrap="square" lIns="38100" tIns="19050" rIns="38100" bIns="19050" anchor="ctr">
                <a:spAutoFit/>
              </a:bodyPr>
              <a:lstStyle/>
              <a:p>
                <a:pPr>
                  <a:defRPr b="1"/>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Sheet1!$B$1:$H$1</c:f>
              <c:strCache>
                <c:ptCount val="7"/>
                <c:pt idx="0">
                  <c:v>1</c:v>
                </c:pt>
                <c:pt idx="1">
                  <c:v>2</c:v>
                </c:pt>
                <c:pt idx="2">
                  <c:v>3</c:v>
                </c:pt>
                <c:pt idx="3">
                  <c:v>4</c:v>
                </c:pt>
                <c:pt idx="4">
                  <c:v>5</c:v>
                </c:pt>
                <c:pt idx="5">
                  <c:v>6</c:v>
                </c:pt>
                <c:pt idx="6">
                  <c:v>7</c:v>
                </c:pt>
              </c:strCache>
            </c:strRef>
          </c:cat>
          <c:val>
            <c:numRef>
              <c:f>Sheet1!$B$2:$H$2</c:f>
              <c:numCache>
                <c:formatCode>0.0</c:formatCode>
                <c:ptCount val="7"/>
                <c:pt idx="0">
                  <c:v>8</c:v>
                </c:pt>
                <c:pt idx="1">
                  <c:v>4.7000000000000028</c:v>
                </c:pt>
                <c:pt idx="2">
                  <c:v>4.4000000000000057</c:v>
                </c:pt>
                <c:pt idx="3">
                  <c:v>4.7999999999999972</c:v>
                </c:pt>
                <c:pt idx="4">
                  <c:v>6.0999999999999943</c:v>
                </c:pt>
                <c:pt idx="5">
                  <c:v>6.7000000000000028</c:v>
                </c:pt>
                <c:pt idx="6">
                  <c:v>7.0999999999999943</c:v>
                </c:pt>
              </c:numCache>
            </c:numRef>
          </c:val>
          <c:smooth val="0"/>
          <c:extLst>
            <c:ext xmlns:c16="http://schemas.microsoft.com/office/drawing/2014/chart" uri="{C3380CC4-5D6E-409C-BE32-E72D297353CC}">
              <c16:uniqueId val="{0000000C-9D06-4AAD-8ABC-A272503E1080}"/>
            </c:ext>
          </c:extLst>
        </c:ser>
        <c:dLbls>
          <c:showLegendKey val="0"/>
          <c:showVal val="0"/>
          <c:showCatName val="0"/>
          <c:showSerName val="0"/>
          <c:showPercent val="0"/>
          <c:showBubbleSize val="0"/>
        </c:dLbls>
        <c:marker val="1"/>
        <c:smooth val="0"/>
        <c:axId val="220583808"/>
        <c:axId val="220585344"/>
      </c:lineChart>
      <c:catAx>
        <c:axId val="220583808"/>
        <c:scaling>
          <c:orientation val="minMax"/>
        </c:scaling>
        <c:delete val="0"/>
        <c:axPos val="b"/>
        <c:numFmt formatCode="General" sourceLinked="1"/>
        <c:majorTickMark val="none"/>
        <c:minorTickMark val="none"/>
        <c:tickLblPos val="low"/>
        <c:spPr>
          <a:noFill/>
          <a:ln w="9525" cap="flat" cmpd="sng" algn="ctr">
            <a:solidFill>
              <a:schemeClr val="tx1">
                <a:lumMod val="15000"/>
                <a:lumOff val="85000"/>
              </a:schemeClr>
            </a:solidFill>
            <a:round/>
          </a:ln>
          <a:effectLst/>
        </c:spPr>
        <c:txPr>
          <a:bodyPr rot="-60000000" vert="horz"/>
          <a:lstStyle/>
          <a:p>
            <a:pPr>
              <a:defRPr/>
            </a:pPr>
            <a:endParaRPr lang="en-US"/>
          </a:p>
        </c:txPr>
        <c:crossAx val="220585344"/>
        <c:crosses val="autoZero"/>
        <c:auto val="1"/>
        <c:lblAlgn val="ctr"/>
        <c:lblOffset val="100"/>
        <c:noMultiLvlLbl val="0"/>
      </c:catAx>
      <c:valAx>
        <c:axId val="220585344"/>
        <c:scaling>
          <c:orientation val="minMax"/>
          <c:max val="20"/>
          <c:min val="-20"/>
        </c:scaling>
        <c:delete val="0"/>
        <c:axPos val="l"/>
        <c:numFmt formatCode="0.0" sourceLinked="1"/>
        <c:majorTickMark val="none"/>
        <c:minorTickMark val="none"/>
        <c:tickLblPos val="nextTo"/>
        <c:spPr>
          <a:noFill/>
          <a:ln>
            <a:noFill/>
          </a:ln>
          <a:effectLst/>
        </c:spPr>
        <c:txPr>
          <a:bodyPr rot="-60000000" vert="horz"/>
          <a:lstStyle/>
          <a:p>
            <a:pPr>
              <a:defRPr>
                <a:solidFill>
                  <a:schemeClr val="bg1">
                    <a:lumMod val="65000"/>
                  </a:schemeClr>
                </a:solidFill>
              </a:defRPr>
            </a:pPr>
            <a:endParaRPr lang="en-US"/>
          </a:p>
        </c:txPr>
        <c:crossAx val="220583808"/>
        <c:crosses val="autoZero"/>
        <c:crossBetween val="between"/>
      </c:valAx>
      <c:spPr>
        <a:noFill/>
        <a:ln>
          <a:noFill/>
        </a:ln>
        <a:effectLst/>
      </c:spPr>
    </c:plotArea>
    <c:legend>
      <c:legendPos val="b"/>
      <c:layout>
        <c:manualLayout>
          <c:xMode val="edge"/>
          <c:yMode val="edge"/>
          <c:x val="3.9212530074365697E-2"/>
          <c:y val="0.81292711674929519"/>
          <c:w val="0.89647382445930079"/>
          <c:h val="0.18115704286964129"/>
        </c:manualLayout>
      </c:layout>
      <c:overlay val="0"/>
      <c:spPr>
        <a:noFill/>
        <a:ln>
          <a:noFill/>
        </a:ln>
        <a:effectLst/>
      </c:spPr>
      <c:txPr>
        <a:bodyPr rot="0" vert="horz"/>
        <a:lstStyle/>
        <a:p>
          <a:pPr>
            <a:defRPr sz="600"/>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noFill/>
    <a:ln w="12700" cap="flat" cmpd="sng" algn="ctr">
      <a:solidFill>
        <a:sysClr val="window" lastClr="FFFFFF"/>
      </a:solidFill>
      <a:round/>
    </a:ln>
    <a:effectLst/>
  </c:spPr>
  <c:txPr>
    <a:bodyPr/>
    <a:lstStyle/>
    <a:p>
      <a:pPr>
        <a:defRPr sz="800">
          <a:latin typeface="Calibri" panose="020F0502020204030204" pitchFamily="34" charset="0"/>
          <a:ea typeface="Calibri" panose="020F0502020204030204" pitchFamily="34" charset="0"/>
          <a:cs typeface="Calibri" panose="020F0502020204030204" pitchFamily="34" charset="0"/>
        </a:defRPr>
      </a:pPr>
      <a:endParaRPr lang="en-US"/>
    </a:p>
  </c:txPr>
  <c:externalData r:id="rId2">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2586839730971128"/>
          <c:y val="5.9747739865850101E-2"/>
          <c:w val="0.85153255634277447"/>
          <c:h val="0.61984665111305537"/>
        </c:manualLayout>
      </c:layout>
      <c:barChart>
        <c:barDir val="col"/>
        <c:grouping val="clustered"/>
        <c:varyColors val="0"/>
        <c:ser>
          <c:idx val="1"/>
          <c:order val="1"/>
          <c:tx>
            <c:strRef>
              <c:f>Sheet1!$A$3</c:f>
              <c:strCache>
                <c:ptCount val="1"/>
                <c:pt idx="0">
                  <c:v>արդյունաբերություն</c:v>
                </c:pt>
              </c:strCache>
            </c:strRef>
          </c:tx>
          <c:spPr>
            <a:solidFill>
              <a:srgbClr val="5B9BD5">
                <a:lumMod val="60000"/>
                <a:lumOff val="40000"/>
              </a:srgbClr>
            </a:solidFill>
            <a:ln>
              <a:noFill/>
            </a:ln>
            <a:effectLst/>
          </c:spPr>
          <c:invertIfNegative val="0"/>
          <c:cat>
            <c:strRef>
              <c:f>Sheet1!$B$1:$H$1</c:f>
              <c:strCache>
                <c:ptCount val="7"/>
                <c:pt idx="0">
                  <c:v>1</c:v>
                </c:pt>
                <c:pt idx="1">
                  <c:v>2</c:v>
                </c:pt>
                <c:pt idx="2">
                  <c:v>3</c:v>
                </c:pt>
                <c:pt idx="3">
                  <c:v>4</c:v>
                </c:pt>
                <c:pt idx="4">
                  <c:v>5</c:v>
                </c:pt>
                <c:pt idx="5">
                  <c:v>6</c:v>
                </c:pt>
                <c:pt idx="6">
                  <c:v>7</c:v>
                </c:pt>
              </c:strCache>
            </c:strRef>
          </c:cat>
          <c:val>
            <c:numRef>
              <c:f>Sheet1!$B$3:$H$3</c:f>
              <c:numCache>
                <c:formatCode>0.0</c:formatCode>
                <c:ptCount val="7"/>
                <c:pt idx="0">
                  <c:v>-10.400000000000006</c:v>
                </c:pt>
                <c:pt idx="1">
                  <c:v>-26.599999999999994</c:v>
                </c:pt>
                <c:pt idx="2">
                  <c:v>-16.900000000000006</c:v>
                </c:pt>
                <c:pt idx="3">
                  <c:v>-8.7000000000000028</c:v>
                </c:pt>
                <c:pt idx="4">
                  <c:v>-5.9000000000000057</c:v>
                </c:pt>
                <c:pt idx="5">
                  <c:v>-1.2000000000000028</c:v>
                </c:pt>
                <c:pt idx="6">
                  <c:v>4.2000000000000028</c:v>
                </c:pt>
              </c:numCache>
            </c:numRef>
          </c:val>
          <c:extLst>
            <c:ext xmlns:c16="http://schemas.microsoft.com/office/drawing/2014/chart" uri="{C3380CC4-5D6E-409C-BE32-E72D297353CC}">
              <c16:uniqueId val="{00000000-14D3-44B1-86AF-385FF66504F7}"/>
            </c:ext>
          </c:extLst>
        </c:ser>
        <c:ser>
          <c:idx val="2"/>
          <c:order val="2"/>
          <c:tx>
            <c:strRef>
              <c:f>Sheet1!$A$4</c:f>
              <c:strCache>
                <c:ptCount val="1"/>
                <c:pt idx="0">
                  <c:v>շինարարություն</c:v>
                </c:pt>
              </c:strCache>
            </c:strRef>
          </c:tx>
          <c:spPr>
            <a:solidFill>
              <a:srgbClr val="E7E6E6">
                <a:lumMod val="75000"/>
              </a:srgbClr>
            </a:solidFill>
            <a:ln>
              <a:noFill/>
            </a:ln>
            <a:effectLst/>
          </c:spPr>
          <c:invertIfNegative val="0"/>
          <c:cat>
            <c:strRef>
              <c:f>Sheet1!$B$1:$H$1</c:f>
              <c:strCache>
                <c:ptCount val="7"/>
                <c:pt idx="0">
                  <c:v>1</c:v>
                </c:pt>
                <c:pt idx="1">
                  <c:v>2</c:v>
                </c:pt>
                <c:pt idx="2">
                  <c:v>3</c:v>
                </c:pt>
                <c:pt idx="3">
                  <c:v>4</c:v>
                </c:pt>
                <c:pt idx="4">
                  <c:v>5</c:v>
                </c:pt>
                <c:pt idx="5">
                  <c:v>6</c:v>
                </c:pt>
                <c:pt idx="6">
                  <c:v>7</c:v>
                </c:pt>
              </c:strCache>
            </c:strRef>
          </c:cat>
          <c:val>
            <c:numRef>
              <c:f>Sheet1!$B$4:$H$4</c:f>
              <c:numCache>
                <c:formatCode>0.0</c:formatCode>
                <c:ptCount val="7"/>
                <c:pt idx="0">
                  <c:v>11.599999999999994</c:v>
                </c:pt>
                <c:pt idx="1">
                  <c:v>12.700000000000003</c:v>
                </c:pt>
                <c:pt idx="2">
                  <c:v>15.5</c:v>
                </c:pt>
                <c:pt idx="3">
                  <c:v>17.900000000000006</c:v>
                </c:pt>
                <c:pt idx="4">
                  <c:v>22.200000000000003</c:v>
                </c:pt>
                <c:pt idx="5">
                  <c:v>22.599999999999994</c:v>
                </c:pt>
                <c:pt idx="6">
                  <c:v>26.099999999999994</c:v>
                </c:pt>
              </c:numCache>
            </c:numRef>
          </c:val>
          <c:extLst>
            <c:ext xmlns:c16="http://schemas.microsoft.com/office/drawing/2014/chart" uri="{C3380CC4-5D6E-409C-BE32-E72D297353CC}">
              <c16:uniqueId val="{00000001-14D3-44B1-86AF-385FF66504F7}"/>
            </c:ext>
          </c:extLst>
        </c:ser>
        <c:ser>
          <c:idx val="3"/>
          <c:order val="3"/>
          <c:tx>
            <c:strRef>
              <c:f>Sheet1!$A$5</c:f>
              <c:strCache>
                <c:ptCount val="1"/>
                <c:pt idx="0">
                  <c:v>ծառայություններ</c:v>
                </c:pt>
              </c:strCache>
            </c:strRef>
          </c:tx>
          <c:spPr>
            <a:solidFill>
              <a:srgbClr val="ED7D31">
                <a:lumMod val="40000"/>
                <a:lumOff val="60000"/>
              </a:srgbClr>
            </a:solidFill>
            <a:ln>
              <a:noFill/>
            </a:ln>
            <a:effectLst/>
          </c:spPr>
          <c:invertIfNegative val="0"/>
          <c:cat>
            <c:strRef>
              <c:f>Sheet1!$B$1:$H$1</c:f>
              <c:strCache>
                <c:ptCount val="7"/>
                <c:pt idx="0">
                  <c:v>1</c:v>
                </c:pt>
                <c:pt idx="1">
                  <c:v>2</c:v>
                </c:pt>
                <c:pt idx="2">
                  <c:v>3</c:v>
                </c:pt>
                <c:pt idx="3">
                  <c:v>4</c:v>
                </c:pt>
                <c:pt idx="4">
                  <c:v>5</c:v>
                </c:pt>
                <c:pt idx="5">
                  <c:v>6</c:v>
                </c:pt>
                <c:pt idx="6">
                  <c:v>7</c:v>
                </c:pt>
              </c:strCache>
            </c:strRef>
          </c:cat>
          <c:val>
            <c:numRef>
              <c:f>Sheet1!$B$5:$H$5</c:f>
              <c:numCache>
                <c:formatCode>0.0</c:formatCode>
                <c:ptCount val="7"/>
                <c:pt idx="0">
                  <c:v>13.299999999999997</c:v>
                </c:pt>
                <c:pt idx="1">
                  <c:v>12.700000000000003</c:v>
                </c:pt>
                <c:pt idx="2">
                  <c:v>10.900000000000006</c:v>
                </c:pt>
                <c:pt idx="3">
                  <c:v>6.2999999999999972</c:v>
                </c:pt>
                <c:pt idx="4">
                  <c:v>11.599999999999994</c:v>
                </c:pt>
                <c:pt idx="5">
                  <c:v>8.7999999999999972</c:v>
                </c:pt>
                <c:pt idx="6">
                  <c:v>11.099999999999994</c:v>
                </c:pt>
              </c:numCache>
            </c:numRef>
          </c:val>
          <c:extLst>
            <c:ext xmlns:c16="http://schemas.microsoft.com/office/drawing/2014/chart" uri="{C3380CC4-5D6E-409C-BE32-E72D297353CC}">
              <c16:uniqueId val="{00000002-14D3-44B1-86AF-385FF66504F7}"/>
            </c:ext>
          </c:extLst>
        </c:ser>
        <c:ser>
          <c:idx val="4"/>
          <c:order val="4"/>
          <c:tx>
            <c:strRef>
              <c:f>Sheet1!$A$6</c:f>
              <c:strCache>
                <c:ptCount val="1"/>
                <c:pt idx="0">
                  <c:v>առևտուր</c:v>
                </c:pt>
              </c:strCache>
            </c:strRef>
          </c:tx>
          <c:spPr>
            <a:solidFill>
              <a:srgbClr val="4472C4">
                <a:lumMod val="50000"/>
              </a:srgbClr>
            </a:solidFill>
            <a:ln>
              <a:noFill/>
            </a:ln>
          </c:spPr>
          <c:invertIfNegative val="0"/>
          <c:cat>
            <c:strRef>
              <c:f>Sheet1!$B$1:$H$1</c:f>
              <c:strCache>
                <c:ptCount val="7"/>
                <c:pt idx="0">
                  <c:v>1</c:v>
                </c:pt>
                <c:pt idx="1">
                  <c:v>2</c:v>
                </c:pt>
                <c:pt idx="2">
                  <c:v>3</c:v>
                </c:pt>
                <c:pt idx="3">
                  <c:v>4</c:v>
                </c:pt>
                <c:pt idx="4">
                  <c:v>5</c:v>
                </c:pt>
                <c:pt idx="5">
                  <c:v>6</c:v>
                </c:pt>
                <c:pt idx="6">
                  <c:v>7</c:v>
                </c:pt>
              </c:strCache>
            </c:strRef>
          </c:cat>
          <c:val>
            <c:numRef>
              <c:f>Sheet1!$B$6:$H$6</c:f>
              <c:numCache>
                <c:formatCode>0.0</c:formatCode>
                <c:ptCount val="7"/>
                <c:pt idx="0">
                  <c:v>14.599999999999994</c:v>
                </c:pt>
                <c:pt idx="1">
                  <c:v>3.4000000000000057</c:v>
                </c:pt>
                <c:pt idx="2">
                  <c:v>3.4000000000000057</c:v>
                </c:pt>
                <c:pt idx="3">
                  <c:v>4.0999999999999943</c:v>
                </c:pt>
                <c:pt idx="4">
                  <c:v>1.2000000000000028</c:v>
                </c:pt>
                <c:pt idx="5">
                  <c:v>3.2999999999999972</c:v>
                </c:pt>
                <c:pt idx="6">
                  <c:v>3</c:v>
                </c:pt>
              </c:numCache>
            </c:numRef>
          </c:val>
          <c:extLst>
            <c:ext xmlns:c16="http://schemas.microsoft.com/office/drawing/2014/chart" uri="{C3380CC4-5D6E-409C-BE32-E72D297353CC}">
              <c16:uniqueId val="{00000003-14D3-44B1-86AF-385FF66504F7}"/>
            </c:ext>
          </c:extLst>
        </c:ser>
        <c:dLbls>
          <c:showLegendKey val="0"/>
          <c:showVal val="0"/>
          <c:showCatName val="0"/>
          <c:showSerName val="0"/>
          <c:showPercent val="0"/>
          <c:showBubbleSize val="0"/>
        </c:dLbls>
        <c:gapWidth val="70"/>
        <c:overlap val="-27"/>
        <c:axId val="220999040"/>
        <c:axId val="221000832"/>
      </c:barChart>
      <c:lineChart>
        <c:grouping val="standard"/>
        <c:varyColors val="0"/>
        <c:ser>
          <c:idx val="0"/>
          <c:order val="0"/>
          <c:tx>
            <c:strRef>
              <c:f>Sheet1!$A$2</c:f>
              <c:strCache>
                <c:ptCount val="1"/>
                <c:pt idx="0">
                  <c:v>ՏԱՑ</c:v>
                </c:pt>
              </c:strCache>
            </c:strRef>
          </c:tx>
          <c:spPr>
            <a:ln w="22225">
              <a:solidFill>
                <a:srgbClr val="1F497D">
                  <a:lumMod val="75000"/>
                </a:srgbClr>
              </a:solidFill>
            </a:ln>
            <a:effectLst/>
          </c:spPr>
          <c:marker>
            <c:symbol val="circle"/>
            <c:size val="6"/>
            <c:spPr>
              <a:solidFill>
                <a:srgbClr val="1F497D">
                  <a:lumMod val="75000"/>
                </a:srgbClr>
              </a:solidFill>
              <a:ln>
                <a:solidFill>
                  <a:srgbClr val="1F497D">
                    <a:lumMod val="75000"/>
                  </a:srgbClr>
                </a:solidFill>
              </a:ln>
            </c:spPr>
          </c:marker>
          <c:dLbls>
            <c:dLbl>
              <c:idx val="0"/>
              <c:layout>
                <c:manualLayout>
                  <c:x val="-6.563593613298338E-2"/>
                  <c:y val="-4.9247837075921064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14D3-44B1-86AF-385FF66504F7}"/>
                </c:ext>
              </c:extLst>
            </c:dLbl>
            <c:dLbl>
              <c:idx val="1"/>
              <c:layout>
                <c:manualLayout>
                  <c:x val="-6.1295658355205597E-2"/>
                  <c:y val="-7.2395985224069176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14D3-44B1-86AF-385FF66504F7}"/>
                </c:ext>
              </c:extLst>
            </c:dLbl>
            <c:dLbl>
              <c:idx val="2"/>
              <c:layout>
                <c:manualLayout>
                  <c:x val="-6.1295658355205597E-2"/>
                  <c:y val="-4.9247837075921064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14D3-44B1-86AF-385FF66504F7}"/>
                </c:ext>
              </c:extLst>
            </c:dLbl>
            <c:dLbl>
              <c:idx val="3"/>
              <c:layout>
                <c:manualLayout>
                  <c:x val="-6.1295658355205597E-2"/>
                  <c:y val="-6.467993584135316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14D3-44B1-86AF-385FF66504F7}"/>
                </c:ext>
              </c:extLst>
            </c:dLbl>
            <c:dLbl>
              <c:idx val="4"/>
              <c:layout>
                <c:manualLayout>
                  <c:x val="-7.0095486111111188E-2"/>
                  <c:y val="-5.6963886458637106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14D3-44B1-86AF-385FF66504F7}"/>
                </c:ext>
              </c:extLst>
            </c:dLbl>
            <c:dLbl>
              <c:idx val="5"/>
              <c:layout>
                <c:manualLayout>
                  <c:x val="-6.1295658355205597E-2"/>
                  <c:y val="-6.4679935841353176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14D3-44B1-86AF-385FF66504F7}"/>
                </c:ext>
              </c:extLst>
            </c:dLbl>
            <c:dLbl>
              <c:idx val="6"/>
              <c:layout>
                <c:manualLayout>
                  <c:x val="-5.2509500765529307E-2"/>
                  <c:y val="-6.467993584135316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14D3-44B1-86AF-385FF66504F7}"/>
                </c:ext>
              </c:extLst>
            </c:dLbl>
            <c:spPr>
              <a:noFill/>
              <a:ln>
                <a:noFill/>
              </a:ln>
              <a:effectLst/>
            </c:spPr>
            <c:txPr>
              <a:bodyPr/>
              <a:lstStyle/>
              <a:p>
                <a:pPr>
                  <a:defRPr b="1"/>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Sheet1!$B$1:$H$1</c:f>
              <c:strCache>
                <c:ptCount val="7"/>
                <c:pt idx="0">
                  <c:v>1</c:v>
                </c:pt>
                <c:pt idx="1">
                  <c:v>2</c:v>
                </c:pt>
                <c:pt idx="2">
                  <c:v>3</c:v>
                </c:pt>
                <c:pt idx="3">
                  <c:v>4</c:v>
                </c:pt>
                <c:pt idx="4">
                  <c:v>5</c:v>
                </c:pt>
                <c:pt idx="5">
                  <c:v>6</c:v>
                </c:pt>
                <c:pt idx="6">
                  <c:v>7</c:v>
                </c:pt>
              </c:strCache>
            </c:strRef>
          </c:cat>
          <c:val>
            <c:numRef>
              <c:f>Sheet1!$B$2:$H$2</c:f>
              <c:numCache>
                <c:formatCode>0.0</c:formatCode>
                <c:ptCount val="7"/>
                <c:pt idx="0">
                  <c:v>8</c:v>
                </c:pt>
                <c:pt idx="1">
                  <c:v>1.7000000000000028</c:v>
                </c:pt>
                <c:pt idx="2">
                  <c:v>4</c:v>
                </c:pt>
                <c:pt idx="3">
                  <c:v>5.9000000000000057</c:v>
                </c:pt>
                <c:pt idx="4">
                  <c:v>10.700000000000003</c:v>
                </c:pt>
                <c:pt idx="5">
                  <c:v>9.0999999999999943</c:v>
                </c:pt>
                <c:pt idx="6">
                  <c:v>8.9000000000000057</c:v>
                </c:pt>
              </c:numCache>
            </c:numRef>
          </c:val>
          <c:smooth val="0"/>
          <c:extLst>
            <c:ext xmlns:c16="http://schemas.microsoft.com/office/drawing/2014/chart" uri="{C3380CC4-5D6E-409C-BE32-E72D297353CC}">
              <c16:uniqueId val="{0000000B-14D3-44B1-86AF-385FF66504F7}"/>
            </c:ext>
          </c:extLst>
        </c:ser>
        <c:dLbls>
          <c:showLegendKey val="0"/>
          <c:showVal val="0"/>
          <c:showCatName val="0"/>
          <c:showSerName val="0"/>
          <c:showPercent val="0"/>
          <c:showBubbleSize val="0"/>
        </c:dLbls>
        <c:marker val="1"/>
        <c:smooth val="0"/>
        <c:axId val="220999040"/>
        <c:axId val="221000832"/>
      </c:lineChart>
      <c:catAx>
        <c:axId val="220999040"/>
        <c:scaling>
          <c:orientation val="minMax"/>
        </c:scaling>
        <c:delete val="0"/>
        <c:axPos val="b"/>
        <c:numFmt formatCode="General" sourceLinked="1"/>
        <c:majorTickMark val="none"/>
        <c:minorTickMark val="none"/>
        <c:tickLblPos val="low"/>
        <c:spPr>
          <a:noFill/>
          <a:ln w="9525" cap="flat" cmpd="sng" algn="ctr">
            <a:solidFill>
              <a:schemeClr val="tx1">
                <a:lumMod val="15000"/>
                <a:lumOff val="85000"/>
              </a:schemeClr>
            </a:solidFill>
            <a:round/>
          </a:ln>
          <a:effectLst/>
        </c:spPr>
        <c:txPr>
          <a:bodyPr rot="-60000000" vert="horz"/>
          <a:lstStyle/>
          <a:p>
            <a:pPr>
              <a:defRPr/>
            </a:pPr>
            <a:endParaRPr lang="en-US"/>
          </a:p>
        </c:txPr>
        <c:crossAx val="221000832"/>
        <c:crosses val="autoZero"/>
        <c:auto val="1"/>
        <c:lblAlgn val="ctr"/>
        <c:lblOffset val="100"/>
        <c:noMultiLvlLbl val="0"/>
      </c:catAx>
      <c:valAx>
        <c:axId val="221000832"/>
        <c:scaling>
          <c:orientation val="minMax"/>
          <c:max val="30"/>
          <c:min val="-30"/>
        </c:scaling>
        <c:delete val="0"/>
        <c:axPos val="l"/>
        <c:numFmt formatCode="0.0" sourceLinked="1"/>
        <c:majorTickMark val="none"/>
        <c:minorTickMark val="none"/>
        <c:tickLblPos val="nextTo"/>
        <c:spPr>
          <a:noFill/>
          <a:ln>
            <a:noFill/>
          </a:ln>
          <a:effectLst/>
        </c:spPr>
        <c:txPr>
          <a:bodyPr rot="-60000000" vert="horz"/>
          <a:lstStyle/>
          <a:p>
            <a:pPr>
              <a:defRPr>
                <a:solidFill>
                  <a:schemeClr val="bg1">
                    <a:lumMod val="65000"/>
                  </a:schemeClr>
                </a:solidFill>
              </a:defRPr>
            </a:pPr>
            <a:endParaRPr lang="en-US"/>
          </a:p>
        </c:txPr>
        <c:crossAx val="220999040"/>
        <c:crosses val="autoZero"/>
        <c:crossBetween val="between"/>
        <c:majorUnit val="10"/>
      </c:valAx>
      <c:spPr>
        <a:noFill/>
        <a:ln>
          <a:noFill/>
        </a:ln>
        <a:effectLst/>
      </c:spPr>
    </c:plotArea>
    <c:legend>
      <c:legendPos val="b"/>
      <c:layout>
        <c:manualLayout>
          <c:xMode val="edge"/>
          <c:yMode val="edge"/>
          <c:x val="3.9212598425196851E-2"/>
          <c:y val="0.81216948575872461"/>
          <c:w val="0.96078746992563424"/>
          <c:h val="0.18783051424127539"/>
        </c:manualLayout>
      </c:layout>
      <c:overlay val="0"/>
      <c:spPr>
        <a:noFill/>
        <a:ln>
          <a:noFill/>
        </a:ln>
        <a:effectLst/>
      </c:spPr>
      <c:txPr>
        <a:bodyPr rot="0" vert="horz"/>
        <a:lstStyle/>
        <a:p>
          <a:pPr>
            <a:defRPr sz="600"/>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noFill/>
    <a:ln w="19050" cap="flat" cmpd="sng" algn="ctr">
      <a:solidFill>
        <a:sysClr val="window" lastClr="FFFFFF"/>
      </a:solidFill>
      <a:round/>
    </a:ln>
    <a:effectLst/>
  </c:spPr>
  <c:txPr>
    <a:bodyPr/>
    <a:lstStyle/>
    <a:p>
      <a:pPr>
        <a:defRPr sz="800">
          <a:latin typeface="Calibri" panose="020F0502020204030204" pitchFamily="34" charset="0"/>
          <a:ea typeface="Calibri" panose="020F0502020204030204" pitchFamily="34" charset="0"/>
          <a:cs typeface="Calibri" panose="020F0502020204030204" pitchFamily="34" charset="0"/>
        </a:defRPr>
      </a:pPr>
      <a:endParaRPr lang="en-US"/>
    </a:p>
  </c:txPr>
  <c:externalData r:id="rId2">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8.2945793248931685E-2"/>
          <c:y val="7.1054857812194963E-2"/>
          <c:w val="0.87658476118247253"/>
          <c:h val="0.55990145329056096"/>
        </c:manualLayout>
      </c:layout>
      <c:barChart>
        <c:barDir val="col"/>
        <c:grouping val="stacked"/>
        <c:varyColors val="0"/>
        <c:ser>
          <c:idx val="1"/>
          <c:order val="1"/>
          <c:tx>
            <c:strRef>
              <c:f>Sheet1!$A$3</c:f>
              <c:strCache>
                <c:ptCount val="1"/>
                <c:pt idx="0">
                  <c:v>արդյունաբերություն</c:v>
                </c:pt>
              </c:strCache>
            </c:strRef>
          </c:tx>
          <c:spPr>
            <a:solidFill>
              <a:srgbClr val="5B9BD5">
                <a:lumMod val="60000"/>
                <a:lumOff val="40000"/>
              </a:srgbClr>
            </a:solidFill>
            <a:ln>
              <a:noFill/>
            </a:ln>
            <a:effectLst/>
          </c:spPr>
          <c:invertIfNegative val="0"/>
          <c:cat>
            <c:strRef>
              <c:f>Sheet1!$B$1:$H$1</c:f>
              <c:strCache>
                <c:ptCount val="7"/>
                <c:pt idx="0">
                  <c:v>1</c:v>
                </c:pt>
                <c:pt idx="1">
                  <c:v>2</c:v>
                </c:pt>
                <c:pt idx="2">
                  <c:v>3</c:v>
                </c:pt>
                <c:pt idx="3">
                  <c:v>4</c:v>
                </c:pt>
                <c:pt idx="4">
                  <c:v>5</c:v>
                </c:pt>
                <c:pt idx="5">
                  <c:v>6</c:v>
                </c:pt>
                <c:pt idx="6">
                  <c:v>7</c:v>
                </c:pt>
              </c:strCache>
            </c:strRef>
          </c:cat>
          <c:val>
            <c:numRef>
              <c:f>Sheet1!$B$3:$H$3</c:f>
              <c:numCache>
                <c:formatCode>0.0</c:formatCode>
                <c:ptCount val="7"/>
                <c:pt idx="0">
                  <c:v>-1.7725793345415239</c:v>
                </c:pt>
                <c:pt idx="1">
                  <c:v>-3.312866777662415</c:v>
                </c:pt>
                <c:pt idx="2">
                  <c:v>-3.153145931636363</c:v>
                </c:pt>
                <c:pt idx="3">
                  <c:v>-2.7440891621267798</c:v>
                </c:pt>
                <c:pt idx="4">
                  <c:v>-2.4032085208687946</c:v>
                </c:pt>
                <c:pt idx="5">
                  <c:v>-2.0623278796108093</c:v>
                </c:pt>
                <c:pt idx="6">
                  <c:v>-1.6703151421641269</c:v>
                </c:pt>
              </c:numCache>
            </c:numRef>
          </c:val>
          <c:extLst>
            <c:ext xmlns:c16="http://schemas.microsoft.com/office/drawing/2014/chart" uri="{C3380CC4-5D6E-409C-BE32-E72D297353CC}">
              <c16:uniqueId val="{00000000-79DE-4BE5-BC05-280B2818009E}"/>
            </c:ext>
          </c:extLst>
        </c:ser>
        <c:ser>
          <c:idx val="2"/>
          <c:order val="2"/>
          <c:tx>
            <c:strRef>
              <c:f>Sheet1!$A$4</c:f>
              <c:strCache>
                <c:ptCount val="1"/>
                <c:pt idx="0">
                  <c:v>գյուղատնտեսություն</c:v>
                </c:pt>
              </c:strCache>
            </c:strRef>
          </c:tx>
          <c:spPr>
            <a:solidFill>
              <a:srgbClr val="8064A2"/>
            </a:solidFill>
            <a:ln>
              <a:noFill/>
            </a:ln>
            <a:effectLst/>
          </c:spPr>
          <c:invertIfNegative val="0"/>
          <c:cat>
            <c:strRef>
              <c:f>Sheet1!$B$1:$H$1</c:f>
              <c:strCache>
                <c:ptCount val="7"/>
                <c:pt idx="0">
                  <c:v>1</c:v>
                </c:pt>
                <c:pt idx="1">
                  <c:v>2</c:v>
                </c:pt>
                <c:pt idx="2">
                  <c:v>3</c:v>
                </c:pt>
                <c:pt idx="3">
                  <c:v>4</c:v>
                </c:pt>
                <c:pt idx="4">
                  <c:v>5</c:v>
                </c:pt>
                <c:pt idx="5">
                  <c:v>6</c:v>
                </c:pt>
                <c:pt idx="6">
                  <c:v>7</c:v>
                </c:pt>
              </c:strCache>
            </c:strRef>
          </c:cat>
          <c:val>
            <c:numRef>
              <c:f>Sheet1!$B$4:$H$4</c:f>
              <c:numCache>
                <c:formatCode>0.0</c:formatCode>
                <c:ptCount val="7"/>
                <c:pt idx="0">
                  <c:v>0</c:v>
                </c:pt>
                <c:pt idx="1">
                  <c:v>0</c:v>
                </c:pt>
                <c:pt idx="2">
                  <c:v>0.88461684742212265</c:v>
                </c:pt>
                <c:pt idx="3">
                  <c:v>0</c:v>
                </c:pt>
                <c:pt idx="4">
                  <c:v>0</c:v>
                </c:pt>
                <c:pt idx="5">
                  <c:v>0.61501933201728509</c:v>
                </c:pt>
                <c:pt idx="6">
                  <c:v>0</c:v>
                </c:pt>
              </c:numCache>
            </c:numRef>
          </c:val>
          <c:extLst>
            <c:ext xmlns:c16="http://schemas.microsoft.com/office/drawing/2014/chart" uri="{C3380CC4-5D6E-409C-BE32-E72D297353CC}">
              <c16:uniqueId val="{00000001-79DE-4BE5-BC05-280B2818009E}"/>
            </c:ext>
          </c:extLst>
        </c:ser>
        <c:ser>
          <c:idx val="3"/>
          <c:order val="3"/>
          <c:tx>
            <c:strRef>
              <c:f>Sheet1!$A$5</c:f>
              <c:strCache>
                <c:ptCount val="1"/>
                <c:pt idx="0">
                  <c:v>շինարարություն</c:v>
                </c:pt>
              </c:strCache>
            </c:strRef>
          </c:tx>
          <c:spPr>
            <a:solidFill>
              <a:srgbClr val="E7E6E6">
                <a:lumMod val="75000"/>
              </a:srgbClr>
            </a:solidFill>
            <a:ln>
              <a:noFill/>
            </a:ln>
            <a:effectLst/>
          </c:spPr>
          <c:invertIfNegative val="0"/>
          <c:cat>
            <c:strRef>
              <c:f>Sheet1!$B$1:$H$1</c:f>
              <c:strCache>
                <c:ptCount val="7"/>
                <c:pt idx="0">
                  <c:v>1</c:v>
                </c:pt>
                <c:pt idx="1">
                  <c:v>2</c:v>
                </c:pt>
                <c:pt idx="2">
                  <c:v>3</c:v>
                </c:pt>
                <c:pt idx="3">
                  <c:v>4</c:v>
                </c:pt>
                <c:pt idx="4">
                  <c:v>5</c:v>
                </c:pt>
                <c:pt idx="5">
                  <c:v>6</c:v>
                </c:pt>
                <c:pt idx="6">
                  <c:v>7</c:v>
                </c:pt>
              </c:strCache>
            </c:strRef>
          </c:cat>
          <c:val>
            <c:numRef>
              <c:f>Sheet1!$B$5:$H$5</c:f>
              <c:numCache>
                <c:formatCode>0.0</c:formatCode>
                <c:ptCount val="7"/>
                <c:pt idx="0">
                  <c:v>0.88457953444758342</c:v>
                </c:pt>
                <c:pt idx="1">
                  <c:v>0.93033364829832121</c:v>
                </c:pt>
                <c:pt idx="2">
                  <c:v>1.0370932472833738</c:v>
                </c:pt>
                <c:pt idx="3">
                  <c:v>1.1438528462684274</c:v>
                </c:pt>
                <c:pt idx="4">
                  <c:v>1.3039922447460068</c:v>
                </c:pt>
                <c:pt idx="5">
                  <c:v>1.4107518437310604</c:v>
                </c:pt>
                <c:pt idx="6">
                  <c:v>1.5403884996414825</c:v>
                </c:pt>
              </c:numCache>
            </c:numRef>
          </c:val>
          <c:extLst>
            <c:ext xmlns:c16="http://schemas.microsoft.com/office/drawing/2014/chart" uri="{C3380CC4-5D6E-409C-BE32-E72D297353CC}">
              <c16:uniqueId val="{00000002-79DE-4BE5-BC05-280B2818009E}"/>
            </c:ext>
          </c:extLst>
        </c:ser>
        <c:ser>
          <c:idx val="4"/>
          <c:order val="4"/>
          <c:tx>
            <c:strRef>
              <c:f>Sheet1!$A$6</c:f>
              <c:strCache>
                <c:ptCount val="1"/>
                <c:pt idx="0">
                  <c:v>ծառայություններ</c:v>
                </c:pt>
              </c:strCache>
            </c:strRef>
          </c:tx>
          <c:spPr>
            <a:solidFill>
              <a:srgbClr val="ED7D31">
                <a:lumMod val="40000"/>
                <a:lumOff val="60000"/>
              </a:srgbClr>
            </a:solidFill>
            <a:ln>
              <a:noFill/>
            </a:ln>
          </c:spPr>
          <c:invertIfNegative val="0"/>
          <c:cat>
            <c:strRef>
              <c:f>Sheet1!$B$1:$H$1</c:f>
              <c:strCache>
                <c:ptCount val="7"/>
                <c:pt idx="0">
                  <c:v>1</c:v>
                </c:pt>
                <c:pt idx="1">
                  <c:v>2</c:v>
                </c:pt>
                <c:pt idx="2">
                  <c:v>3</c:v>
                </c:pt>
                <c:pt idx="3">
                  <c:v>4</c:v>
                </c:pt>
                <c:pt idx="4">
                  <c:v>5</c:v>
                </c:pt>
                <c:pt idx="5">
                  <c:v>6</c:v>
                </c:pt>
                <c:pt idx="6">
                  <c:v>7</c:v>
                </c:pt>
              </c:strCache>
            </c:strRef>
          </c:cat>
          <c:val>
            <c:numRef>
              <c:f>Sheet1!$B$6:$H$6</c:f>
              <c:numCache>
                <c:formatCode>0.0</c:formatCode>
                <c:ptCount val="7"/>
                <c:pt idx="0">
                  <c:v>6.9009149418768896</c:v>
                </c:pt>
                <c:pt idx="1">
                  <c:v>6.7458462478579051</c:v>
                </c:pt>
                <c:pt idx="2">
                  <c:v>6.3513591972064534</c:v>
                </c:pt>
                <c:pt idx="3">
                  <c:v>5.5070333775673763</c:v>
                </c:pt>
                <c:pt idx="4">
                  <c:v>5.6145390339083114</c:v>
                </c:pt>
                <c:pt idx="5">
                  <c:v>5.4266477289801447</c:v>
                </c:pt>
                <c:pt idx="6">
                  <c:v>5.4771080448906861</c:v>
                </c:pt>
              </c:numCache>
            </c:numRef>
          </c:val>
          <c:extLst>
            <c:ext xmlns:c16="http://schemas.microsoft.com/office/drawing/2014/chart" uri="{C3380CC4-5D6E-409C-BE32-E72D297353CC}">
              <c16:uniqueId val="{00000003-79DE-4BE5-BC05-280B2818009E}"/>
            </c:ext>
          </c:extLst>
        </c:ser>
        <c:ser>
          <c:idx val="5"/>
          <c:order val="5"/>
          <c:tx>
            <c:strRef>
              <c:f>Sheet1!$A$7</c:f>
              <c:strCache>
                <c:ptCount val="1"/>
                <c:pt idx="0">
                  <c:v>առևտուր</c:v>
                </c:pt>
              </c:strCache>
            </c:strRef>
          </c:tx>
          <c:spPr>
            <a:solidFill>
              <a:srgbClr val="4472C4">
                <a:lumMod val="50000"/>
              </a:srgbClr>
            </a:solidFill>
            <a:ln>
              <a:noFill/>
            </a:ln>
          </c:spPr>
          <c:invertIfNegative val="0"/>
          <c:cat>
            <c:strRef>
              <c:f>Sheet1!$B$1:$H$1</c:f>
              <c:strCache>
                <c:ptCount val="7"/>
                <c:pt idx="0">
                  <c:v>1</c:v>
                </c:pt>
                <c:pt idx="1">
                  <c:v>2</c:v>
                </c:pt>
                <c:pt idx="2">
                  <c:v>3</c:v>
                </c:pt>
                <c:pt idx="3">
                  <c:v>4</c:v>
                </c:pt>
                <c:pt idx="4">
                  <c:v>5</c:v>
                </c:pt>
                <c:pt idx="5">
                  <c:v>6</c:v>
                </c:pt>
                <c:pt idx="6">
                  <c:v>7</c:v>
                </c:pt>
              </c:strCache>
            </c:strRef>
          </c:cat>
          <c:val>
            <c:numRef>
              <c:f>Sheet1!$B$7:$H$7</c:f>
              <c:numCache>
                <c:formatCode>0.0</c:formatCode>
                <c:ptCount val="7"/>
                <c:pt idx="0">
                  <c:v>2.1927420885693962</c:v>
                </c:pt>
                <c:pt idx="1">
                  <c:v>1.2758893357206267</c:v>
                </c:pt>
                <c:pt idx="2">
                  <c:v>0.97360553851647735</c:v>
                </c:pt>
                <c:pt idx="3">
                  <c:v>0.87074783593410643</c:v>
                </c:pt>
                <c:pt idx="4">
                  <c:v>0.71608223130087079</c:v>
                </c:pt>
                <c:pt idx="5">
                  <c:v>0.67485617120746277</c:v>
                </c:pt>
                <c:pt idx="6">
                  <c:v>0.63763888588560258</c:v>
                </c:pt>
              </c:numCache>
            </c:numRef>
          </c:val>
          <c:extLst>
            <c:ext xmlns:c16="http://schemas.microsoft.com/office/drawing/2014/chart" uri="{C3380CC4-5D6E-409C-BE32-E72D297353CC}">
              <c16:uniqueId val="{00000004-79DE-4BE5-BC05-280B2818009E}"/>
            </c:ext>
          </c:extLst>
        </c:ser>
        <c:ser>
          <c:idx val="6"/>
          <c:order val="6"/>
          <c:tx>
            <c:strRef>
              <c:f>Sheet1!$A$8</c:f>
              <c:strCache>
                <c:ptCount val="1"/>
                <c:pt idx="0">
                  <c:v>այլ </c:v>
                </c:pt>
              </c:strCache>
            </c:strRef>
          </c:tx>
          <c:spPr>
            <a:solidFill>
              <a:srgbClr val="4472C4">
                <a:lumMod val="40000"/>
                <a:lumOff val="60000"/>
              </a:srgbClr>
            </a:solidFill>
          </c:spPr>
          <c:invertIfNegative val="0"/>
          <c:cat>
            <c:strRef>
              <c:f>Sheet1!$B$1:$H$1</c:f>
              <c:strCache>
                <c:ptCount val="7"/>
                <c:pt idx="0">
                  <c:v>1</c:v>
                </c:pt>
                <c:pt idx="1">
                  <c:v>2</c:v>
                </c:pt>
                <c:pt idx="2">
                  <c:v>3</c:v>
                </c:pt>
                <c:pt idx="3">
                  <c:v>4</c:v>
                </c:pt>
                <c:pt idx="4">
                  <c:v>5</c:v>
                </c:pt>
                <c:pt idx="5">
                  <c:v>6</c:v>
                </c:pt>
                <c:pt idx="6">
                  <c:v>7</c:v>
                </c:pt>
              </c:strCache>
            </c:strRef>
          </c:cat>
          <c:val>
            <c:numRef>
              <c:f>Sheet1!$B$8:$H$8</c:f>
              <c:numCache>
                <c:formatCode>0.0</c:formatCode>
                <c:ptCount val="7"/>
                <c:pt idx="0">
                  <c:v>-0.20565723035234562</c:v>
                </c:pt>
                <c:pt idx="1">
                  <c:v>-0.93920245421443571</c:v>
                </c:pt>
                <c:pt idx="2">
                  <c:v>-1.6935288987920585</c:v>
                </c:pt>
                <c:pt idx="3">
                  <c:v>2.2455102356866985E-2</c:v>
                </c:pt>
                <c:pt idx="4">
                  <c:v>0.86859501091360003</c:v>
                </c:pt>
                <c:pt idx="5">
                  <c:v>0.63505280367485872</c:v>
                </c:pt>
                <c:pt idx="6">
                  <c:v>1.1151797117463498</c:v>
                </c:pt>
              </c:numCache>
            </c:numRef>
          </c:val>
          <c:extLst>
            <c:ext xmlns:c16="http://schemas.microsoft.com/office/drawing/2014/chart" uri="{C3380CC4-5D6E-409C-BE32-E72D297353CC}">
              <c16:uniqueId val="{00000005-79DE-4BE5-BC05-280B2818009E}"/>
            </c:ext>
          </c:extLst>
        </c:ser>
        <c:dLbls>
          <c:showLegendKey val="0"/>
          <c:showVal val="0"/>
          <c:showCatName val="0"/>
          <c:showSerName val="0"/>
          <c:showPercent val="0"/>
          <c:showBubbleSize val="0"/>
        </c:dLbls>
        <c:gapWidth val="70"/>
        <c:overlap val="100"/>
        <c:axId val="222515968"/>
        <c:axId val="222517504"/>
      </c:barChart>
      <c:lineChart>
        <c:grouping val="standard"/>
        <c:varyColors val="0"/>
        <c:ser>
          <c:idx val="0"/>
          <c:order val="0"/>
          <c:tx>
            <c:strRef>
              <c:f>Sheet1!$A$2</c:f>
              <c:strCache>
                <c:ptCount val="1"/>
                <c:pt idx="0">
                  <c:v>ՏԱՑ</c:v>
                </c:pt>
              </c:strCache>
            </c:strRef>
          </c:tx>
          <c:spPr>
            <a:ln w="25400">
              <a:solidFill>
                <a:srgbClr val="1F497D">
                  <a:lumMod val="75000"/>
                </a:srgbClr>
              </a:solidFill>
            </a:ln>
            <a:effectLst/>
          </c:spPr>
          <c:marker>
            <c:symbol val="circle"/>
            <c:size val="6"/>
            <c:spPr>
              <a:solidFill>
                <a:srgbClr val="1F497D">
                  <a:lumMod val="75000"/>
                </a:srgbClr>
              </a:solidFill>
              <a:ln>
                <a:solidFill>
                  <a:srgbClr val="1F497D">
                    <a:lumMod val="75000"/>
                  </a:srgbClr>
                </a:solidFill>
              </a:ln>
            </c:spPr>
          </c:marker>
          <c:dLbls>
            <c:spPr>
              <a:noFill/>
              <a:ln>
                <a:noFill/>
              </a:ln>
              <a:effectLst/>
            </c:spPr>
            <c:dLblPos val="t"/>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Sheet1!$B$1:$H$1</c:f>
              <c:strCache>
                <c:ptCount val="7"/>
                <c:pt idx="0">
                  <c:v>1</c:v>
                </c:pt>
                <c:pt idx="1">
                  <c:v>2</c:v>
                </c:pt>
                <c:pt idx="2">
                  <c:v>3</c:v>
                </c:pt>
                <c:pt idx="3">
                  <c:v>4</c:v>
                </c:pt>
                <c:pt idx="4">
                  <c:v>5</c:v>
                </c:pt>
                <c:pt idx="5">
                  <c:v>6</c:v>
                </c:pt>
                <c:pt idx="6">
                  <c:v>7</c:v>
                </c:pt>
              </c:strCache>
            </c:strRef>
          </c:cat>
          <c:val>
            <c:numRef>
              <c:f>Sheet1!$B$2:$H$2</c:f>
              <c:numCache>
                <c:formatCode>0.0</c:formatCode>
                <c:ptCount val="7"/>
                <c:pt idx="0">
                  <c:v>8</c:v>
                </c:pt>
                <c:pt idx="1">
                  <c:v>4.7000000000000028</c:v>
                </c:pt>
                <c:pt idx="2">
                  <c:v>4.4000000000000057</c:v>
                </c:pt>
                <c:pt idx="3">
                  <c:v>4.7999999999999972</c:v>
                </c:pt>
                <c:pt idx="4">
                  <c:v>6.0999999999999943</c:v>
                </c:pt>
                <c:pt idx="5">
                  <c:v>6.7000000000000028</c:v>
                </c:pt>
                <c:pt idx="6">
                  <c:v>7.0999999999999943</c:v>
                </c:pt>
              </c:numCache>
            </c:numRef>
          </c:val>
          <c:smooth val="0"/>
          <c:extLst>
            <c:ext xmlns:c16="http://schemas.microsoft.com/office/drawing/2014/chart" uri="{C3380CC4-5D6E-409C-BE32-E72D297353CC}">
              <c16:uniqueId val="{00000006-79DE-4BE5-BC05-280B2818009E}"/>
            </c:ext>
          </c:extLst>
        </c:ser>
        <c:dLbls>
          <c:showLegendKey val="0"/>
          <c:showVal val="0"/>
          <c:showCatName val="0"/>
          <c:showSerName val="0"/>
          <c:showPercent val="0"/>
          <c:showBubbleSize val="0"/>
        </c:dLbls>
        <c:marker val="1"/>
        <c:smooth val="0"/>
        <c:axId val="222515968"/>
        <c:axId val="222517504"/>
      </c:lineChart>
      <c:catAx>
        <c:axId val="222515968"/>
        <c:scaling>
          <c:orientation val="minMax"/>
        </c:scaling>
        <c:delete val="0"/>
        <c:axPos val="b"/>
        <c:numFmt formatCode="General" sourceLinked="1"/>
        <c:majorTickMark val="none"/>
        <c:minorTickMark val="none"/>
        <c:tickLblPos val="low"/>
        <c:spPr>
          <a:noFill/>
          <a:ln w="9525" cap="flat" cmpd="sng" algn="ctr">
            <a:solidFill>
              <a:schemeClr val="tx1">
                <a:lumMod val="15000"/>
                <a:lumOff val="85000"/>
              </a:schemeClr>
            </a:solidFill>
            <a:round/>
          </a:ln>
          <a:effectLst/>
        </c:spPr>
        <c:txPr>
          <a:bodyPr rot="-60000000" vert="horz"/>
          <a:lstStyle/>
          <a:p>
            <a:pPr>
              <a:defRPr/>
            </a:pPr>
            <a:endParaRPr lang="en-US"/>
          </a:p>
        </c:txPr>
        <c:crossAx val="222517504"/>
        <c:crosses val="autoZero"/>
        <c:auto val="1"/>
        <c:lblAlgn val="ctr"/>
        <c:lblOffset val="100"/>
        <c:noMultiLvlLbl val="0"/>
      </c:catAx>
      <c:valAx>
        <c:axId val="222517504"/>
        <c:scaling>
          <c:orientation val="minMax"/>
          <c:max val="13"/>
          <c:min val="-5"/>
        </c:scaling>
        <c:delete val="0"/>
        <c:axPos val="l"/>
        <c:numFmt formatCode="0.0" sourceLinked="1"/>
        <c:majorTickMark val="none"/>
        <c:minorTickMark val="none"/>
        <c:tickLblPos val="nextTo"/>
        <c:spPr>
          <a:noFill/>
          <a:ln>
            <a:noFill/>
          </a:ln>
          <a:effectLst/>
        </c:spPr>
        <c:txPr>
          <a:bodyPr rot="-60000000" vert="horz"/>
          <a:lstStyle/>
          <a:p>
            <a:pPr>
              <a:defRPr/>
            </a:pPr>
            <a:endParaRPr lang="en-US"/>
          </a:p>
        </c:txPr>
        <c:crossAx val="222515968"/>
        <c:crosses val="autoZero"/>
        <c:crossBetween val="between"/>
        <c:majorUnit val="5"/>
      </c:valAx>
      <c:spPr>
        <a:noFill/>
        <a:ln>
          <a:noFill/>
        </a:ln>
        <a:effectLst/>
      </c:spPr>
    </c:plotArea>
    <c:legend>
      <c:legendPos val="b"/>
      <c:layout>
        <c:manualLayout>
          <c:xMode val="edge"/>
          <c:yMode val="edge"/>
          <c:x val="3.9212530074365697E-2"/>
          <c:y val="0.75762734519296215"/>
          <c:w val="0.93458477517078753"/>
          <c:h val="0.21150857332955367"/>
        </c:manualLayout>
      </c:layout>
      <c:overlay val="0"/>
      <c:spPr>
        <a:noFill/>
        <a:ln>
          <a:noFill/>
        </a:ln>
        <a:effectLst/>
      </c:spPr>
      <c:txPr>
        <a:bodyPr rot="0" vert="horz"/>
        <a:lstStyle/>
        <a:p>
          <a:pPr>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noFill/>
    <a:ln w="19050" cap="flat" cmpd="sng" algn="ctr">
      <a:solidFill>
        <a:sysClr val="window" lastClr="FFFFFF"/>
      </a:solidFill>
      <a:round/>
    </a:ln>
    <a:effectLst/>
  </c:spPr>
  <c:txPr>
    <a:bodyPr/>
    <a:lstStyle/>
    <a:p>
      <a:pPr>
        <a:defRPr sz="700">
          <a:latin typeface="+mj-lt"/>
          <a:ea typeface="Calibri" panose="020F0502020204030204" pitchFamily="34" charset="0"/>
          <a:cs typeface="Calibri" panose="020F0502020204030204" pitchFamily="34" charset="0"/>
        </a:defRPr>
      </a:pPr>
      <a:endParaRPr lang="en-US"/>
    </a:p>
  </c:txPr>
  <c:externalData r:id="rId2">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176475010936133"/>
          <c:y val="8.1124951594165523E-2"/>
          <c:w val="0.85922360290901134"/>
          <c:h val="0.55199280645474869"/>
        </c:manualLayout>
      </c:layout>
      <c:barChart>
        <c:barDir val="col"/>
        <c:grouping val="stacked"/>
        <c:varyColors val="0"/>
        <c:ser>
          <c:idx val="1"/>
          <c:order val="1"/>
          <c:tx>
            <c:strRef>
              <c:f>Sheet1!$A$3</c:f>
              <c:strCache>
                <c:ptCount val="1"/>
                <c:pt idx="0">
                  <c:v>արդյունաբերություն</c:v>
                </c:pt>
              </c:strCache>
            </c:strRef>
          </c:tx>
          <c:spPr>
            <a:solidFill>
              <a:srgbClr val="5B9BD5">
                <a:lumMod val="60000"/>
                <a:lumOff val="40000"/>
              </a:srgbClr>
            </a:solidFill>
            <a:ln>
              <a:noFill/>
            </a:ln>
            <a:effectLst/>
          </c:spPr>
          <c:invertIfNegative val="0"/>
          <c:cat>
            <c:strRef>
              <c:f>Sheet1!$B$1:$H$1</c:f>
              <c:strCache>
                <c:ptCount val="7"/>
                <c:pt idx="0">
                  <c:v>1</c:v>
                </c:pt>
                <c:pt idx="1">
                  <c:v>2</c:v>
                </c:pt>
                <c:pt idx="2">
                  <c:v>3</c:v>
                </c:pt>
                <c:pt idx="3">
                  <c:v>4</c:v>
                </c:pt>
                <c:pt idx="4">
                  <c:v>5</c:v>
                </c:pt>
                <c:pt idx="5">
                  <c:v>6</c:v>
                </c:pt>
                <c:pt idx="6">
                  <c:v>7</c:v>
                </c:pt>
              </c:strCache>
            </c:strRef>
          </c:cat>
          <c:val>
            <c:numRef>
              <c:f>Sheet1!$B$3:$H$3</c:f>
              <c:numCache>
                <c:formatCode>0.0</c:formatCode>
                <c:ptCount val="7"/>
                <c:pt idx="0">
                  <c:v>-1.7725793345415239</c:v>
                </c:pt>
                <c:pt idx="1">
                  <c:v>-4.5337125287312015</c:v>
                </c:pt>
                <c:pt idx="2">
                  <c:v>-2.8804414186299758</c:v>
                </c:pt>
                <c:pt idx="3">
                  <c:v>-1.4828307894722359</c:v>
                </c:pt>
                <c:pt idx="4">
                  <c:v>-1.0055978917110573</c:v>
                </c:pt>
                <c:pt idx="5">
                  <c:v>-0.2045283847547916</c:v>
                </c:pt>
                <c:pt idx="6">
                  <c:v>0.71584934664176936</c:v>
                </c:pt>
              </c:numCache>
            </c:numRef>
          </c:val>
          <c:extLst>
            <c:ext xmlns:c16="http://schemas.microsoft.com/office/drawing/2014/chart" uri="{C3380CC4-5D6E-409C-BE32-E72D297353CC}">
              <c16:uniqueId val="{00000000-EE8C-4A9A-A720-6344EAE76176}"/>
            </c:ext>
          </c:extLst>
        </c:ser>
        <c:ser>
          <c:idx val="2"/>
          <c:order val="2"/>
          <c:tx>
            <c:strRef>
              <c:f>Sheet1!$A$4</c:f>
              <c:strCache>
                <c:ptCount val="1"/>
                <c:pt idx="0">
                  <c:v>շինարարություն</c:v>
                </c:pt>
              </c:strCache>
            </c:strRef>
          </c:tx>
          <c:spPr>
            <a:solidFill>
              <a:srgbClr val="E7E6E6">
                <a:lumMod val="75000"/>
              </a:srgbClr>
            </a:solidFill>
            <a:ln>
              <a:noFill/>
            </a:ln>
            <a:effectLst/>
          </c:spPr>
          <c:invertIfNegative val="0"/>
          <c:cat>
            <c:strRef>
              <c:f>Sheet1!$B$1:$H$1</c:f>
              <c:strCache>
                <c:ptCount val="7"/>
                <c:pt idx="0">
                  <c:v>1</c:v>
                </c:pt>
                <c:pt idx="1">
                  <c:v>2</c:v>
                </c:pt>
                <c:pt idx="2">
                  <c:v>3</c:v>
                </c:pt>
                <c:pt idx="3">
                  <c:v>4</c:v>
                </c:pt>
                <c:pt idx="4">
                  <c:v>5</c:v>
                </c:pt>
                <c:pt idx="5">
                  <c:v>6</c:v>
                </c:pt>
                <c:pt idx="6">
                  <c:v>7</c:v>
                </c:pt>
              </c:strCache>
            </c:strRef>
          </c:cat>
          <c:val>
            <c:numRef>
              <c:f>Sheet1!$B$4:$H$4</c:f>
              <c:numCache>
                <c:formatCode>0.0</c:formatCode>
                <c:ptCount val="7"/>
                <c:pt idx="0">
                  <c:v>0.88457953444758342</c:v>
                </c:pt>
                <c:pt idx="1">
                  <c:v>0.96846207650726879</c:v>
                </c:pt>
                <c:pt idx="2">
                  <c:v>1.181981274477375</c:v>
                </c:pt>
                <c:pt idx="3">
                  <c:v>1.3649977298803238</c:v>
                </c:pt>
                <c:pt idx="4">
                  <c:v>1.6929022124772728</c:v>
                </c:pt>
                <c:pt idx="5">
                  <c:v>1.7234049550444301</c:v>
                </c:pt>
                <c:pt idx="6">
                  <c:v>1.9903039525070632</c:v>
                </c:pt>
              </c:numCache>
            </c:numRef>
          </c:val>
          <c:extLst>
            <c:ext xmlns:c16="http://schemas.microsoft.com/office/drawing/2014/chart" uri="{C3380CC4-5D6E-409C-BE32-E72D297353CC}">
              <c16:uniqueId val="{00000001-EE8C-4A9A-A720-6344EAE76176}"/>
            </c:ext>
          </c:extLst>
        </c:ser>
        <c:ser>
          <c:idx val="3"/>
          <c:order val="3"/>
          <c:tx>
            <c:strRef>
              <c:f>Sheet1!$A$5</c:f>
              <c:strCache>
                <c:ptCount val="1"/>
                <c:pt idx="0">
                  <c:v>ծառայություններ</c:v>
                </c:pt>
              </c:strCache>
            </c:strRef>
          </c:tx>
          <c:spPr>
            <a:solidFill>
              <a:srgbClr val="ED7D31">
                <a:lumMod val="40000"/>
                <a:lumOff val="60000"/>
              </a:srgbClr>
            </a:solidFill>
            <a:ln>
              <a:noFill/>
            </a:ln>
            <a:effectLst/>
          </c:spPr>
          <c:invertIfNegative val="0"/>
          <c:cat>
            <c:strRef>
              <c:f>Sheet1!$B$1:$H$1</c:f>
              <c:strCache>
                <c:ptCount val="7"/>
                <c:pt idx="0">
                  <c:v>1</c:v>
                </c:pt>
                <c:pt idx="1">
                  <c:v>2</c:v>
                </c:pt>
                <c:pt idx="2">
                  <c:v>3</c:v>
                </c:pt>
                <c:pt idx="3">
                  <c:v>4</c:v>
                </c:pt>
                <c:pt idx="4">
                  <c:v>5</c:v>
                </c:pt>
                <c:pt idx="5">
                  <c:v>6</c:v>
                </c:pt>
                <c:pt idx="6">
                  <c:v>7</c:v>
                </c:pt>
              </c:strCache>
            </c:strRef>
          </c:cat>
          <c:val>
            <c:numRef>
              <c:f>Sheet1!$B$5:$H$5</c:f>
              <c:numCache>
                <c:formatCode>0.0</c:formatCode>
                <c:ptCount val="7"/>
                <c:pt idx="0">
                  <c:v>6.9009149418768896</c:v>
                </c:pt>
                <c:pt idx="1">
                  <c:v>6.5895954708147775</c:v>
                </c:pt>
                <c:pt idx="2">
                  <c:v>5.6556370576284323</c:v>
                </c:pt>
                <c:pt idx="3">
                  <c:v>3.26885444615221</c:v>
                </c:pt>
                <c:pt idx="4">
                  <c:v>6.0188431072008948</c:v>
                </c:pt>
                <c:pt idx="5">
                  <c:v>4.5660189089110244</c:v>
                </c:pt>
                <c:pt idx="6">
                  <c:v>5.7594102146491322</c:v>
                </c:pt>
              </c:numCache>
            </c:numRef>
          </c:val>
          <c:extLst>
            <c:ext xmlns:c16="http://schemas.microsoft.com/office/drawing/2014/chart" uri="{C3380CC4-5D6E-409C-BE32-E72D297353CC}">
              <c16:uniqueId val="{00000002-EE8C-4A9A-A720-6344EAE76176}"/>
            </c:ext>
          </c:extLst>
        </c:ser>
        <c:ser>
          <c:idx val="4"/>
          <c:order val="4"/>
          <c:tx>
            <c:strRef>
              <c:f>Sheet1!$A$6</c:f>
              <c:strCache>
                <c:ptCount val="1"/>
                <c:pt idx="0">
                  <c:v>առևտուր</c:v>
                </c:pt>
              </c:strCache>
            </c:strRef>
          </c:tx>
          <c:spPr>
            <a:solidFill>
              <a:srgbClr val="4472C4">
                <a:lumMod val="50000"/>
              </a:srgbClr>
            </a:solidFill>
            <a:ln>
              <a:noFill/>
            </a:ln>
          </c:spPr>
          <c:invertIfNegative val="0"/>
          <c:cat>
            <c:strRef>
              <c:f>Sheet1!$B$1:$H$1</c:f>
              <c:strCache>
                <c:ptCount val="7"/>
                <c:pt idx="0">
                  <c:v>1</c:v>
                </c:pt>
                <c:pt idx="1">
                  <c:v>2</c:v>
                </c:pt>
                <c:pt idx="2">
                  <c:v>3</c:v>
                </c:pt>
                <c:pt idx="3">
                  <c:v>4</c:v>
                </c:pt>
                <c:pt idx="4">
                  <c:v>5</c:v>
                </c:pt>
                <c:pt idx="5">
                  <c:v>6</c:v>
                </c:pt>
                <c:pt idx="6">
                  <c:v>7</c:v>
                </c:pt>
              </c:strCache>
            </c:strRef>
          </c:cat>
          <c:val>
            <c:numRef>
              <c:f>Sheet1!$B$6:$H$6</c:f>
              <c:numCache>
                <c:formatCode>0.0</c:formatCode>
                <c:ptCount val="7"/>
                <c:pt idx="0">
                  <c:v>2.1927420885693962</c:v>
                </c:pt>
                <c:pt idx="1">
                  <c:v>0.51063856857095635</c:v>
                </c:pt>
                <c:pt idx="2">
                  <c:v>0.51063856857095635</c:v>
                </c:pt>
                <c:pt idx="3">
                  <c:v>0.61577003857085721</c:v>
                </c:pt>
                <c:pt idx="4">
                  <c:v>0.1802253771426906</c:v>
                </c:pt>
                <c:pt idx="5">
                  <c:v>0.49561978714239757</c:v>
                </c:pt>
                <c:pt idx="6">
                  <c:v>0.45056344285672545</c:v>
                </c:pt>
              </c:numCache>
            </c:numRef>
          </c:val>
          <c:extLst>
            <c:ext xmlns:c16="http://schemas.microsoft.com/office/drawing/2014/chart" uri="{C3380CC4-5D6E-409C-BE32-E72D297353CC}">
              <c16:uniqueId val="{00000003-EE8C-4A9A-A720-6344EAE76176}"/>
            </c:ext>
          </c:extLst>
        </c:ser>
        <c:ser>
          <c:idx val="5"/>
          <c:order val="5"/>
          <c:tx>
            <c:strRef>
              <c:f>Sheet1!$A$7</c:f>
              <c:strCache>
                <c:ptCount val="1"/>
                <c:pt idx="0">
                  <c:v>այլ </c:v>
                </c:pt>
              </c:strCache>
            </c:strRef>
          </c:tx>
          <c:spPr>
            <a:solidFill>
              <a:srgbClr val="4472C4">
                <a:lumMod val="40000"/>
                <a:lumOff val="60000"/>
              </a:srgbClr>
            </a:solidFill>
          </c:spPr>
          <c:invertIfNegative val="0"/>
          <c:cat>
            <c:strRef>
              <c:f>Sheet1!$B$1:$H$1</c:f>
              <c:strCache>
                <c:ptCount val="7"/>
                <c:pt idx="0">
                  <c:v>1</c:v>
                </c:pt>
                <c:pt idx="1">
                  <c:v>2</c:v>
                </c:pt>
                <c:pt idx="2">
                  <c:v>3</c:v>
                </c:pt>
                <c:pt idx="3">
                  <c:v>4</c:v>
                </c:pt>
                <c:pt idx="4">
                  <c:v>5</c:v>
                </c:pt>
                <c:pt idx="5">
                  <c:v>6</c:v>
                </c:pt>
                <c:pt idx="6">
                  <c:v>7</c:v>
                </c:pt>
              </c:strCache>
            </c:strRef>
          </c:cat>
          <c:val>
            <c:numRef>
              <c:f>Sheet1!$B$7:$H$7</c:f>
              <c:numCache>
                <c:formatCode>0.0</c:formatCode>
                <c:ptCount val="7"/>
                <c:pt idx="0">
                  <c:v>-0.20565723035234562</c:v>
                </c:pt>
                <c:pt idx="1">
                  <c:v>-1.8349835871617981</c:v>
                </c:pt>
                <c:pt idx="2">
                  <c:v>-0.46781548204678813</c:v>
                </c:pt>
                <c:pt idx="3">
                  <c:v>2.133208574868851</c:v>
                </c:pt>
                <c:pt idx="4">
                  <c:v>3.8136271948902021</c:v>
                </c:pt>
                <c:pt idx="5">
                  <c:v>2.5194847336569337</c:v>
                </c:pt>
                <c:pt idx="6">
                  <c:v>-1.6126956654684221E-2</c:v>
                </c:pt>
              </c:numCache>
            </c:numRef>
          </c:val>
          <c:extLst>
            <c:ext xmlns:c16="http://schemas.microsoft.com/office/drawing/2014/chart" uri="{C3380CC4-5D6E-409C-BE32-E72D297353CC}">
              <c16:uniqueId val="{00000004-EE8C-4A9A-A720-6344EAE76176}"/>
            </c:ext>
          </c:extLst>
        </c:ser>
        <c:dLbls>
          <c:showLegendKey val="0"/>
          <c:showVal val="0"/>
          <c:showCatName val="0"/>
          <c:showSerName val="0"/>
          <c:showPercent val="0"/>
          <c:showBubbleSize val="0"/>
        </c:dLbls>
        <c:gapWidth val="70"/>
        <c:overlap val="100"/>
        <c:axId val="222600576"/>
        <c:axId val="222610560"/>
      </c:barChart>
      <c:lineChart>
        <c:grouping val="standard"/>
        <c:varyColors val="0"/>
        <c:ser>
          <c:idx val="0"/>
          <c:order val="0"/>
          <c:tx>
            <c:strRef>
              <c:f>Sheet1!$A$2</c:f>
              <c:strCache>
                <c:ptCount val="1"/>
                <c:pt idx="0">
                  <c:v>ՏԱՑ</c:v>
                </c:pt>
              </c:strCache>
            </c:strRef>
          </c:tx>
          <c:spPr>
            <a:ln w="25400">
              <a:solidFill>
                <a:srgbClr val="1F497D">
                  <a:lumMod val="75000"/>
                </a:srgbClr>
              </a:solidFill>
            </a:ln>
            <a:effectLst/>
          </c:spPr>
          <c:marker>
            <c:symbol val="circle"/>
            <c:size val="6"/>
            <c:spPr>
              <a:solidFill>
                <a:srgbClr val="1F497D">
                  <a:lumMod val="75000"/>
                </a:srgbClr>
              </a:solidFill>
              <a:ln>
                <a:solidFill>
                  <a:srgbClr val="1F497D">
                    <a:lumMod val="75000"/>
                  </a:srgbClr>
                </a:solidFill>
              </a:ln>
            </c:spPr>
          </c:marker>
          <c:dLbls>
            <c:spPr>
              <a:noFill/>
              <a:ln>
                <a:noFill/>
              </a:ln>
              <a:effectLst/>
            </c:spPr>
            <c:txPr>
              <a:bodyPr wrap="square" lIns="38100" tIns="19050" rIns="38100" bIns="19050" anchor="ctr">
                <a:spAutoFit/>
              </a:bodyPr>
              <a:lstStyle/>
              <a:p>
                <a:pPr>
                  <a:defRPr b="1">
                    <a:latin typeface="Calibri" panose="020F0502020204030204" pitchFamily="34" charset="0"/>
                    <a:ea typeface="Calibri" panose="020F0502020204030204" pitchFamily="34" charset="0"/>
                    <a:cs typeface="Calibri" panose="020F0502020204030204" pitchFamily="34" charset="0"/>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Sheet1!$B$1:$H$1</c:f>
              <c:strCache>
                <c:ptCount val="7"/>
                <c:pt idx="0">
                  <c:v>1</c:v>
                </c:pt>
                <c:pt idx="1">
                  <c:v>2</c:v>
                </c:pt>
                <c:pt idx="2">
                  <c:v>3</c:v>
                </c:pt>
                <c:pt idx="3">
                  <c:v>4</c:v>
                </c:pt>
                <c:pt idx="4">
                  <c:v>5</c:v>
                </c:pt>
                <c:pt idx="5">
                  <c:v>6</c:v>
                </c:pt>
                <c:pt idx="6">
                  <c:v>7</c:v>
                </c:pt>
              </c:strCache>
            </c:strRef>
          </c:cat>
          <c:val>
            <c:numRef>
              <c:f>Sheet1!$B$2:$H$2</c:f>
              <c:numCache>
                <c:formatCode>0.0</c:formatCode>
                <c:ptCount val="7"/>
                <c:pt idx="0">
                  <c:v>8</c:v>
                </c:pt>
                <c:pt idx="1">
                  <c:v>1.7000000000000028</c:v>
                </c:pt>
                <c:pt idx="2">
                  <c:v>4</c:v>
                </c:pt>
                <c:pt idx="3">
                  <c:v>5.9000000000000057</c:v>
                </c:pt>
                <c:pt idx="4">
                  <c:v>10.700000000000003</c:v>
                </c:pt>
                <c:pt idx="5">
                  <c:v>9.0999999999999943</c:v>
                </c:pt>
                <c:pt idx="6">
                  <c:v>8.9000000000000057</c:v>
                </c:pt>
              </c:numCache>
            </c:numRef>
          </c:val>
          <c:smooth val="0"/>
          <c:extLst>
            <c:ext xmlns:c16="http://schemas.microsoft.com/office/drawing/2014/chart" uri="{C3380CC4-5D6E-409C-BE32-E72D297353CC}">
              <c16:uniqueId val="{00000005-EE8C-4A9A-A720-6344EAE76176}"/>
            </c:ext>
          </c:extLst>
        </c:ser>
        <c:dLbls>
          <c:showLegendKey val="0"/>
          <c:showVal val="0"/>
          <c:showCatName val="0"/>
          <c:showSerName val="0"/>
          <c:showPercent val="0"/>
          <c:showBubbleSize val="0"/>
        </c:dLbls>
        <c:marker val="1"/>
        <c:smooth val="0"/>
        <c:axId val="222600576"/>
        <c:axId val="222610560"/>
      </c:lineChart>
      <c:catAx>
        <c:axId val="222600576"/>
        <c:scaling>
          <c:orientation val="minMax"/>
        </c:scaling>
        <c:delete val="0"/>
        <c:axPos val="b"/>
        <c:numFmt formatCode="General" sourceLinked="1"/>
        <c:majorTickMark val="none"/>
        <c:minorTickMark val="none"/>
        <c:tickLblPos val="low"/>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7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222610560"/>
        <c:crosses val="autoZero"/>
        <c:auto val="1"/>
        <c:lblAlgn val="ctr"/>
        <c:lblOffset val="100"/>
        <c:noMultiLvlLbl val="0"/>
      </c:catAx>
      <c:valAx>
        <c:axId val="222610560"/>
        <c:scaling>
          <c:orientation val="minMax"/>
          <c:max val="13"/>
          <c:min val="-8"/>
        </c:scaling>
        <c:delete val="0"/>
        <c:axPos val="l"/>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bg1">
                    <a:lumMod val="65000"/>
                  </a:schemeClr>
                </a:solidFill>
                <a:latin typeface="Calibri" panose="020F0502020204030204" pitchFamily="34" charset="0"/>
                <a:ea typeface="Calibri" panose="020F0502020204030204" pitchFamily="34" charset="0"/>
                <a:cs typeface="Calibri" panose="020F0502020204030204" pitchFamily="34" charset="0"/>
              </a:defRPr>
            </a:pPr>
            <a:endParaRPr lang="en-US"/>
          </a:p>
        </c:txPr>
        <c:crossAx val="222600576"/>
        <c:crosses val="autoZero"/>
        <c:crossBetween val="between"/>
        <c:majorUnit val="4"/>
      </c:valAx>
      <c:spPr>
        <a:noFill/>
        <a:ln>
          <a:noFill/>
        </a:ln>
        <a:effectLst/>
      </c:spPr>
    </c:plotArea>
    <c:legend>
      <c:legendPos val="b"/>
      <c:layout>
        <c:manualLayout>
          <c:xMode val="edge"/>
          <c:yMode val="edge"/>
          <c:x val="1.5003007436570194E-4"/>
          <c:y val="0.73733838825702347"/>
          <c:w val="0.99522569444444442"/>
          <c:h val="0.26266161174297659"/>
        </c:manualLayout>
      </c:layout>
      <c:overlay val="0"/>
      <c:spPr>
        <a:noFill/>
        <a:ln>
          <a:noFill/>
        </a:ln>
        <a:effectLst/>
      </c:spPr>
      <c:txPr>
        <a:bodyPr rot="0" spcFirstLastPara="1" vertOverflow="ellipsis" vert="horz" wrap="square" anchor="ctr" anchorCtr="1"/>
        <a:lstStyle/>
        <a:p>
          <a:pPr>
            <a:defRPr sz="700" b="0" i="0" u="none" strike="noStrike" kern="1200" baseline="0">
              <a:solidFill>
                <a:schemeClr val="tx1">
                  <a:lumMod val="95000"/>
                  <a:lumOff val="5000"/>
                </a:schemeClr>
              </a:solidFill>
              <a:latin typeface="+mj-lt"/>
              <a:ea typeface="Calibri" panose="020F0502020204030204" pitchFamily="34" charset="0"/>
              <a:cs typeface="Calibri" panose="020F0502020204030204" pitchFamily="34" charset="0"/>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noFill/>
    <a:ln w="12700" cap="flat" cmpd="sng" algn="ctr">
      <a:solidFill>
        <a:sysClr val="window" lastClr="FFFFFF"/>
      </a:solidFill>
      <a:round/>
    </a:ln>
    <a:effectLst/>
  </c:spPr>
  <c:txPr>
    <a:bodyPr/>
    <a:lstStyle/>
    <a:p>
      <a:pPr>
        <a:defRPr sz="700">
          <a:latin typeface="GHEA Grapalat" panose="02000506050000020003" pitchFamily="50" charset="0"/>
        </a:defRPr>
      </a:pPr>
      <a:endParaRPr lang="en-US"/>
    </a:p>
  </c:txPr>
  <c:externalData r:id="rId2">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6.9158840493105639E-2"/>
          <c:y val="0.125"/>
          <c:w val="0.88006936204594566"/>
          <c:h val="0.62135437030144958"/>
        </c:manualLayout>
      </c:layout>
      <c:barChart>
        <c:barDir val="col"/>
        <c:grouping val="clustered"/>
        <c:varyColors val="0"/>
        <c:ser>
          <c:idx val="1"/>
          <c:order val="1"/>
          <c:tx>
            <c:strRef>
              <c:f>Sheet1!$A$3</c:f>
              <c:strCache>
                <c:ptCount val="1"/>
                <c:pt idx="0">
                  <c:v>Անվանական ՀՆԱ, մլրդ դրամ</c:v>
                </c:pt>
              </c:strCache>
            </c:strRef>
          </c:tx>
          <c:spPr>
            <a:solidFill>
              <a:srgbClr val="44546A"/>
            </a:solidFill>
            <a:ln>
              <a:noFill/>
            </a:ln>
            <a:effectLst/>
          </c:spPr>
          <c:invertIfNegative val="0"/>
          <c:cat>
            <c:numRef>
              <c:f>Sheet1!$B$1:$AD$1</c:f>
              <c:numCache>
                <c:formatCode>General</c:formatCode>
                <c:ptCount val="29"/>
                <c:pt idx="0">
                  <c:v>2000</c:v>
                </c:pt>
                <c:pt idx="1">
                  <c:v>2001</c:v>
                </c:pt>
                <c:pt idx="2">
                  <c:v>2002</c:v>
                </c:pt>
                <c:pt idx="3">
                  <c:v>2003</c:v>
                </c:pt>
                <c:pt idx="4">
                  <c:v>2004</c:v>
                </c:pt>
                <c:pt idx="5">
                  <c:v>2005</c:v>
                </c:pt>
                <c:pt idx="6">
                  <c:v>2006</c:v>
                </c:pt>
                <c:pt idx="7">
                  <c:v>2007</c:v>
                </c:pt>
                <c:pt idx="8">
                  <c:v>2008</c:v>
                </c:pt>
                <c:pt idx="9">
                  <c:v>2009</c:v>
                </c:pt>
                <c:pt idx="10">
                  <c:v>2010</c:v>
                </c:pt>
                <c:pt idx="11">
                  <c:v>2011</c:v>
                </c:pt>
                <c:pt idx="12">
                  <c:v>2012</c:v>
                </c:pt>
                <c:pt idx="13">
                  <c:v>2013</c:v>
                </c:pt>
                <c:pt idx="14">
                  <c:v>2014</c:v>
                </c:pt>
                <c:pt idx="15">
                  <c:v>2015</c:v>
                </c:pt>
                <c:pt idx="16">
                  <c:v>2016</c:v>
                </c:pt>
                <c:pt idx="17">
                  <c:v>2017</c:v>
                </c:pt>
                <c:pt idx="18">
                  <c:v>2018</c:v>
                </c:pt>
                <c:pt idx="19">
                  <c:v>2019</c:v>
                </c:pt>
                <c:pt idx="20">
                  <c:v>2020</c:v>
                </c:pt>
                <c:pt idx="21">
                  <c:v>2021</c:v>
                </c:pt>
                <c:pt idx="22">
                  <c:v>2022</c:v>
                </c:pt>
                <c:pt idx="23">
                  <c:v>2023</c:v>
                </c:pt>
                <c:pt idx="24">
                  <c:v>2024</c:v>
                </c:pt>
                <c:pt idx="25">
                  <c:v>2025</c:v>
                </c:pt>
                <c:pt idx="26">
                  <c:v>2026</c:v>
                </c:pt>
                <c:pt idx="27">
                  <c:v>2027</c:v>
                </c:pt>
                <c:pt idx="28">
                  <c:v>2028</c:v>
                </c:pt>
              </c:numCache>
            </c:numRef>
          </c:cat>
          <c:val>
            <c:numRef>
              <c:f>Sheet1!$B$3:$AD$3</c:f>
              <c:numCache>
                <c:formatCode>_(* #,##0_);_(* \(#,##0\);_(* "-"??_);_(@_)</c:formatCode>
                <c:ptCount val="29"/>
                <c:pt idx="0">
                  <c:v>1031.3383000000001</c:v>
                </c:pt>
                <c:pt idx="1">
                  <c:v>1175.8768043886819</c:v>
                </c:pt>
                <c:pt idx="2">
                  <c:v>1362.4717000000001</c:v>
                </c:pt>
                <c:pt idx="3">
                  <c:v>1624.6426999999999</c:v>
                </c:pt>
                <c:pt idx="4">
                  <c:v>1907.9453999999998</c:v>
                </c:pt>
                <c:pt idx="5">
                  <c:v>2242.8809000000001</c:v>
                </c:pt>
                <c:pt idx="6">
                  <c:v>2656.1898000000001</c:v>
                </c:pt>
                <c:pt idx="7">
                  <c:v>3149.2834000000007</c:v>
                </c:pt>
                <c:pt idx="8">
                  <c:v>3568.2276000000006</c:v>
                </c:pt>
                <c:pt idx="9">
                  <c:v>3141.6510000000003</c:v>
                </c:pt>
                <c:pt idx="10">
                  <c:v>3460.2027000000007</c:v>
                </c:pt>
                <c:pt idx="11">
                  <c:v>3777.9456</c:v>
                </c:pt>
                <c:pt idx="12">
                  <c:v>4266.4605000000001</c:v>
                </c:pt>
                <c:pt idx="13">
                  <c:v>4555.6382000000003</c:v>
                </c:pt>
                <c:pt idx="14">
                  <c:v>4828.6262999999999</c:v>
                </c:pt>
                <c:pt idx="15">
                  <c:v>5043.6332000000002</c:v>
                </c:pt>
                <c:pt idx="16">
                  <c:v>5067.2934999999998</c:v>
                </c:pt>
                <c:pt idx="17">
                  <c:v>5564.4933000000001</c:v>
                </c:pt>
                <c:pt idx="18">
                  <c:v>6017.0352000000003</c:v>
                </c:pt>
                <c:pt idx="19">
                  <c:v>6543.3217999999997</c:v>
                </c:pt>
                <c:pt idx="20">
                  <c:v>6181.9026000000013</c:v>
                </c:pt>
                <c:pt idx="21">
                  <c:v>6991.7777999999998</c:v>
                </c:pt>
                <c:pt idx="22">
                  <c:v>8501.4494000000013</c:v>
                </c:pt>
                <c:pt idx="23">
                  <c:v>9492.5143000000025</c:v>
                </c:pt>
                <c:pt idx="24">
                  <c:v>10193.415300000002</c:v>
                </c:pt>
                <c:pt idx="25">
                  <c:v>10997.066856346721</c:v>
                </c:pt>
                <c:pt idx="26">
                  <c:v>11933.722793578107</c:v>
                </c:pt>
                <c:pt idx="27">
                  <c:v>12952.793735428757</c:v>
                </c:pt>
                <c:pt idx="28">
                  <c:v>14050.830171109843</c:v>
                </c:pt>
              </c:numCache>
            </c:numRef>
          </c:val>
          <c:extLst>
            <c:ext xmlns:c16="http://schemas.microsoft.com/office/drawing/2014/chart" uri="{C3380CC4-5D6E-409C-BE32-E72D297353CC}">
              <c16:uniqueId val="{00000000-759D-4E91-8875-33A194599E76}"/>
            </c:ext>
          </c:extLst>
        </c:ser>
        <c:dLbls>
          <c:showLegendKey val="0"/>
          <c:showVal val="0"/>
          <c:showCatName val="0"/>
          <c:showSerName val="0"/>
          <c:showPercent val="0"/>
          <c:showBubbleSize val="0"/>
        </c:dLbls>
        <c:gapWidth val="70"/>
        <c:axId val="222749440"/>
        <c:axId val="222750976"/>
      </c:barChart>
      <c:lineChart>
        <c:grouping val="standard"/>
        <c:varyColors val="0"/>
        <c:ser>
          <c:idx val="0"/>
          <c:order val="0"/>
          <c:tx>
            <c:strRef>
              <c:f>Sheet1!$A$2</c:f>
              <c:strCache>
                <c:ptCount val="1"/>
                <c:pt idx="0">
                  <c:v>Տնտեսական աճ, %</c:v>
                </c:pt>
              </c:strCache>
            </c:strRef>
          </c:tx>
          <c:spPr>
            <a:ln w="25400" cap="rnd">
              <a:solidFill>
                <a:srgbClr val="ED7D31">
                  <a:lumMod val="60000"/>
                  <a:lumOff val="40000"/>
                </a:srgbClr>
              </a:solidFill>
              <a:round/>
            </a:ln>
            <a:effectLst/>
          </c:spPr>
          <c:marker>
            <c:symbol val="none"/>
          </c:marker>
          <c:cat>
            <c:numRef>
              <c:f>Sheet1!$B$1:$AD$1</c:f>
              <c:numCache>
                <c:formatCode>General</c:formatCode>
                <c:ptCount val="29"/>
                <c:pt idx="0">
                  <c:v>2000</c:v>
                </c:pt>
                <c:pt idx="1">
                  <c:v>2001</c:v>
                </c:pt>
                <c:pt idx="2">
                  <c:v>2002</c:v>
                </c:pt>
                <c:pt idx="3">
                  <c:v>2003</c:v>
                </c:pt>
                <c:pt idx="4">
                  <c:v>2004</c:v>
                </c:pt>
                <c:pt idx="5">
                  <c:v>2005</c:v>
                </c:pt>
                <c:pt idx="6">
                  <c:v>2006</c:v>
                </c:pt>
                <c:pt idx="7">
                  <c:v>2007</c:v>
                </c:pt>
                <c:pt idx="8">
                  <c:v>2008</c:v>
                </c:pt>
                <c:pt idx="9">
                  <c:v>2009</c:v>
                </c:pt>
                <c:pt idx="10">
                  <c:v>2010</c:v>
                </c:pt>
                <c:pt idx="11">
                  <c:v>2011</c:v>
                </c:pt>
                <c:pt idx="12">
                  <c:v>2012</c:v>
                </c:pt>
                <c:pt idx="13">
                  <c:v>2013</c:v>
                </c:pt>
                <c:pt idx="14">
                  <c:v>2014</c:v>
                </c:pt>
                <c:pt idx="15">
                  <c:v>2015</c:v>
                </c:pt>
                <c:pt idx="16">
                  <c:v>2016</c:v>
                </c:pt>
                <c:pt idx="17">
                  <c:v>2017</c:v>
                </c:pt>
                <c:pt idx="18">
                  <c:v>2018</c:v>
                </c:pt>
                <c:pt idx="19">
                  <c:v>2019</c:v>
                </c:pt>
                <c:pt idx="20">
                  <c:v>2020</c:v>
                </c:pt>
                <c:pt idx="21">
                  <c:v>2021</c:v>
                </c:pt>
                <c:pt idx="22">
                  <c:v>2022</c:v>
                </c:pt>
                <c:pt idx="23">
                  <c:v>2023</c:v>
                </c:pt>
                <c:pt idx="24">
                  <c:v>2024</c:v>
                </c:pt>
                <c:pt idx="25">
                  <c:v>2025</c:v>
                </c:pt>
                <c:pt idx="26">
                  <c:v>2026</c:v>
                </c:pt>
                <c:pt idx="27">
                  <c:v>2027</c:v>
                </c:pt>
                <c:pt idx="28">
                  <c:v>2028</c:v>
                </c:pt>
              </c:numCache>
            </c:numRef>
          </c:cat>
          <c:val>
            <c:numRef>
              <c:f>Sheet1!$B$2:$AD$2</c:f>
              <c:numCache>
                <c:formatCode>0.0</c:formatCode>
                <c:ptCount val="29"/>
                <c:pt idx="0">
                  <c:v>5.8956981547403728</c:v>
                </c:pt>
                <c:pt idx="1">
                  <c:v>9.5566411137839395</c:v>
                </c:pt>
                <c:pt idx="2">
                  <c:v>13.196463821262512</c:v>
                </c:pt>
                <c:pt idx="3">
                  <c:v>14.040798058411056</c:v>
                </c:pt>
                <c:pt idx="4">
                  <c:v>10.46784009801047</c:v>
                </c:pt>
                <c:pt idx="5">
                  <c:v>13.865711251485493</c:v>
                </c:pt>
                <c:pt idx="6">
                  <c:v>13.198003514141135</c:v>
                </c:pt>
                <c:pt idx="7">
                  <c:v>13.749201958384148</c:v>
                </c:pt>
                <c:pt idx="8">
                  <c:v>6.9476535519159768</c:v>
                </c:pt>
                <c:pt idx="9">
                  <c:v>-14.149988638617103</c:v>
                </c:pt>
                <c:pt idx="10">
                  <c:v>2.2151091894039183</c:v>
                </c:pt>
                <c:pt idx="11">
                  <c:v>4.6507622226871206</c:v>
                </c:pt>
                <c:pt idx="12">
                  <c:v>7.1590508979271874</c:v>
                </c:pt>
                <c:pt idx="13">
                  <c:v>3.2999999999999972</c:v>
                </c:pt>
                <c:pt idx="14">
                  <c:v>3.5999999999999943</c:v>
                </c:pt>
                <c:pt idx="15">
                  <c:v>3.2000000000000028</c:v>
                </c:pt>
                <c:pt idx="16">
                  <c:v>0.20000000000000284</c:v>
                </c:pt>
                <c:pt idx="17">
                  <c:v>7.5</c:v>
                </c:pt>
                <c:pt idx="18">
                  <c:v>5.1947356482574918</c:v>
                </c:pt>
                <c:pt idx="19">
                  <c:v>7.6208632799755094</c:v>
                </c:pt>
                <c:pt idx="20">
                  <c:v>-7.2000000000000028</c:v>
                </c:pt>
                <c:pt idx="21">
                  <c:v>5.7999999999999972</c:v>
                </c:pt>
                <c:pt idx="22">
                  <c:v>12.599999999999994</c:v>
                </c:pt>
                <c:pt idx="23">
                  <c:v>8.2999999999999972</c:v>
                </c:pt>
                <c:pt idx="24">
                  <c:v>5.9000000000000057</c:v>
                </c:pt>
                <c:pt idx="25">
                  <c:v>5.1947951286479963</c:v>
                </c:pt>
                <c:pt idx="26">
                  <c:v>5.3566263249110051</c:v>
                </c:pt>
                <c:pt idx="27">
                  <c:v>5.378079548167392</c:v>
                </c:pt>
                <c:pt idx="28">
                  <c:v>5.3176864315005616</c:v>
                </c:pt>
              </c:numCache>
            </c:numRef>
          </c:val>
          <c:smooth val="0"/>
          <c:extLst>
            <c:ext xmlns:c16="http://schemas.microsoft.com/office/drawing/2014/chart" uri="{C3380CC4-5D6E-409C-BE32-E72D297353CC}">
              <c16:uniqueId val="{00000001-759D-4E91-8875-33A194599E76}"/>
            </c:ext>
          </c:extLst>
        </c:ser>
        <c:dLbls>
          <c:showLegendKey val="0"/>
          <c:showVal val="0"/>
          <c:showCatName val="0"/>
          <c:showSerName val="0"/>
          <c:showPercent val="0"/>
          <c:showBubbleSize val="0"/>
        </c:dLbls>
        <c:marker val="1"/>
        <c:smooth val="0"/>
        <c:axId val="222762496"/>
        <c:axId val="222760960"/>
      </c:lineChart>
      <c:catAx>
        <c:axId val="222749440"/>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600" b="0" i="0" u="none" strike="noStrike" kern="1200" baseline="0">
                <a:solidFill>
                  <a:schemeClr val="tx1">
                    <a:lumMod val="65000"/>
                    <a:lumOff val="35000"/>
                  </a:schemeClr>
                </a:solidFill>
                <a:latin typeface="Calibri" panose="020F0502020204030204" pitchFamily="34" charset="0"/>
                <a:ea typeface="Calibri" panose="020F0502020204030204" pitchFamily="34" charset="0"/>
                <a:cs typeface="Calibri" panose="020F0502020204030204" pitchFamily="34" charset="0"/>
              </a:defRPr>
            </a:pPr>
            <a:endParaRPr lang="en-US"/>
          </a:p>
        </c:txPr>
        <c:crossAx val="222750976"/>
        <c:crosses val="autoZero"/>
        <c:auto val="1"/>
        <c:lblAlgn val="ctr"/>
        <c:lblOffset val="100"/>
        <c:noMultiLvlLbl val="0"/>
      </c:catAx>
      <c:valAx>
        <c:axId val="222750976"/>
        <c:scaling>
          <c:orientation val="minMax"/>
        </c:scaling>
        <c:delete val="0"/>
        <c:axPos val="l"/>
        <c:majorGridlines>
          <c:spPr>
            <a:ln w="9525" cap="flat" cmpd="sng" algn="ctr">
              <a:solidFill>
                <a:schemeClr val="tx1">
                  <a:lumMod val="15000"/>
                  <a:lumOff val="85000"/>
                </a:schemeClr>
              </a:solidFill>
              <a:round/>
            </a:ln>
            <a:effectLst/>
          </c:spPr>
        </c:majorGridlines>
        <c:numFmt formatCode="_(* #,##0_);_(* \(#,##0\);_(* &quot;-&quot;??_);_(@_)" sourceLinked="1"/>
        <c:majorTickMark val="out"/>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bg1">
                    <a:lumMod val="65000"/>
                  </a:schemeClr>
                </a:solidFill>
                <a:latin typeface="Calibri" panose="020F0502020204030204" pitchFamily="34" charset="0"/>
                <a:ea typeface="Calibri" panose="020F0502020204030204" pitchFamily="34" charset="0"/>
                <a:cs typeface="Calibri" panose="020F0502020204030204" pitchFamily="34" charset="0"/>
              </a:defRPr>
            </a:pPr>
            <a:endParaRPr lang="en-US"/>
          </a:p>
        </c:txPr>
        <c:crossAx val="222749440"/>
        <c:crosses val="autoZero"/>
        <c:crossBetween val="between"/>
        <c:majorUnit val="5000"/>
      </c:valAx>
      <c:valAx>
        <c:axId val="222760960"/>
        <c:scaling>
          <c:orientation val="minMax"/>
        </c:scaling>
        <c:delete val="0"/>
        <c:axPos val="r"/>
        <c:numFmt formatCode="0.0" sourceLinked="1"/>
        <c:majorTickMark val="out"/>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bg1">
                    <a:lumMod val="65000"/>
                  </a:schemeClr>
                </a:solidFill>
                <a:latin typeface="Calibri" panose="020F0502020204030204" pitchFamily="34" charset="0"/>
                <a:ea typeface="Calibri" panose="020F0502020204030204" pitchFamily="34" charset="0"/>
                <a:cs typeface="Calibri" panose="020F0502020204030204" pitchFamily="34" charset="0"/>
              </a:defRPr>
            </a:pPr>
            <a:endParaRPr lang="en-US"/>
          </a:p>
        </c:txPr>
        <c:crossAx val="222762496"/>
        <c:crosses val="max"/>
        <c:crossBetween val="between"/>
        <c:majorUnit val="10"/>
      </c:valAx>
      <c:catAx>
        <c:axId val="222762496"/>
        <c:scaling>
          <c:orientation val="minMax"/>
        </c:scaling>
        <c:delete val="1"/>
        <c:axPos val="t"/>
        <c:numFmt formatCode="General" sourceLinked="1"/>
        <c:majorTickMark val="out"/>
        <c:minorTickMark val="none"/>
        <c:tickLblPos val="nextTo"/>
        <c:crossAx val="222760960"/>
        <c:crosses val="max"/>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700" b="0" i="0" u="none" strike="noStrike" kern="1200" baseline="0">
              <a:solidFill>
                <a:schemeClr val="tx1">
                  <a:lumMod val="65000"/>
                  <a:lumOff val="35000"/>
                </a:schemeClr>
              </a:solidFill>
              <a:latin typeface="Calibri" panose="020F0502020204030204" pitchFamily="34" charset="0"/>
              <a:ea typeface="Calibri" panose="020F0502020204030204" pitchFamily="34" charset="0"/>
              <a:cs typeface="Calibri" panose="020F0502020204030204" pitchFamily="34" charset="0"/>
            </a:defRPr>
          </a:pPr>
          <a:endParaRPr lang="en-US"/>
        </a:p>
      </c:txPr>
    </c:legend>
    <c:plotVisOnly val="1"/>
    <c:dispBlanksAs val="gap"/>
    <c:showDLblsOverMax val="0"/>
  </c:chart>
  <c:spPr>
    <a:noFill/>
    <a:ln w="12700" cap="flat" cmpd="sng" algn="ctr">
      <a:solidFill>
        <a:sysClr val="window" lastClr="FFFFFF"/>
      </a:solidFill>
      <a:round/>
    </a:ln>
    <a:effectLst/>
  </c:spPr>
  <c:txPr>
    <a:bodyPr/>
    <a:lstStyle/>
    <a:p>
      <a:pPr>
        <a:defRPr sz="500">
          <a:latin typeface="GHEA Grapalat" panose="02000506050000020003" pitchFamily="50" charset="0"/>
        </a:defRPr>
      </a:pPr>
      <a:endParaRPr lang="en-US"/>
    </a:p>
  </c:txPr>
  <c:externalData r:id="rId2">
    <c:autoUpdate val="0"/>
  </c:externalData>
  <c:userShapes r:id="rId3"/>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4030597210264042"/>
          <c:y val="7.201309328968912E-2"/>
          <c:w val="0.81369779122581465"/>
          <c:h val="0.58559531940667808"/>
        </c:manualLayout>
      </c:layout>
      <c:barChart>
        <c:barDir val="col"/>
        <c:grouping val="stacked"/>
        <c:varyColors val="0"/>
        <c:ser>
          <c:idx val="1"/>
          <c:order val="1"/>
          <c:tx>
            <c:strRef>
              <c:f>Sheet1!$A$3</c:f>
              <c:strCache>
                <c:ptCount val="1"/>
                <c:pt idx="0">
                  <c:v>արդյունաբերություն</c:v>
                </c:pt>
              </c:strCache>
            </c:strRef>
          </c:tx>
          <c:spPr>
            <a:solidFill>
              <a:schemeClr val="accent2"/>
            </a:solidFill>
            <a:ln>
              <a:noFill/>
            </a:ln>
            <a:effectLst/>
          </c:spPr>
          <c:invertIfNegative val="0"/>
          <c:cat>
            <c:strRef>
              <c:f>Sheet1!$B$1:$J$1</c:f>
              <c:strCache>
                <c:ptCount val="7"/>
                <c:pt idx="0">
                  <c:v>2022</c:v>
                </c:pt>
                <c:pt idx="1">
                  <c:v>2023</c:v>
                </c:pt>
                <c:pt idx="2">
                  <c:v>2024</c:v>
                </c:pt>
                <c:pt idx="3">
                  <c:v>2025</c:v>
                </c:pt>
                <c:pt idx="4">
                  <c:v>2026</c:v>
                </c:pt>
                <c:pt idx="5">
                  <c:v>2027</c:v>
                </c:pt>
                <c:pt idx="6">
                  <c:v>2028</c:v>
                </c:pt>
              </c:strCache>
            </c:strRef>
          </c:cat>
          <c:val>
            <c:numRef>
              <c:f>Sheet1!$B$3:$J$3</c:f>
              <c:numCache>
                <c:formatCode>0.0</c:formatCode>
                <c:ptCount val="7"/>
                <c:pt idx="0">
                  <c:v>1.3628442826086375</c:v>
                </c:pt>
                <c:pt idx="1">
                  <c:v>-0.55454606716826549</c:v>
                </c:pt>
                <c:pt idx="2">
                  <c:v>0.58123141621182639</c:v>
                </c:pt>
                <c:pt idx="3">
                  <c:v>3.3885801646179277E-2</c:v>
                </c:pt>
                <c:pt idx="4">
                  <c:v>1.2338162463939899</c:v>
                </c:pt>
                <c:pt idx="5">
                  <c:v>1.26783639558892</c:v>
                </c:pt>
                <c:pt idx="6">
                  <c:v>0.85125695264664525</c:v>
                </c:pt>
              </c:numCache>
            </c:numRef>
          </c:val>
          <c:extLst>
            <c:ext xmlns:c16="http://schemas.microsoft.com/office/drawing/2014/chart" uri="{C3380CC4-5D6E-409C-BE32-E72D297353CC}">
              <c16:uniqueId val="{00000000-CFCE-47AD-9968-C1302C0DCF49}"/>
            </c:ext>
          </c:extLst>
        </c:ser>
        <c:ser>
          <c:idx val="2"/>
          <c:order val="2"/>
          <c:tx>
            <c:strRef>
              <c:f>Sheet1!$A$4</c:f>
              <c:strCache>
                <c:ptCount val="1"/>
                <c:pt idx="0">
                  <c:v>գյուղատնտեսություն </c:v>
                </c:pt>
              </c:strCache>
            </c:strRef>
          </c:tx>
          <c:spPr>
            <a:solidFill>
              <a:schemeClr val="accent3"/>
            </a:solidFill>
            <a:ln>
              <a:noFill/>
            </a:ln>
            <a:effectLst/>
          </c:spPr>
          <c:invertIfNegative val="0"/>
          <c:cat>
            <c:strRef>
              <c:f>Sheet1!$B$1:$J$1</c:f>
              <c:strCache>
                <c:ptCount val="7"/>
                <c:pt idx="0">
                  <c:v>2022</c:v>
                </c:pt>
                <c:pt idx="1">
                  <c:v>2023</c:v>
                </c:pt>
                <c:pt idx="2">
                  <c:v>2024</c:v>
                </c:pt>
                <c:pt idx="3">
                  <c:v>2025</c:v>
                </c:pt>
                <c:pt idx="4">
                  <c:v>2026</c:v>
                </c:pt>
                <c:pt idx="5">
                  <c:v>2027</c:v>
                </c:pt>
                <c:pt idx="6">
                  <c:v>2028</c:v>
                </c:pt>
              </c:strCache>
            </c:strRef>
          </c:cat>
          <c:val>
            <c:numRef>
              <c:f>Sheet1!$B$4:$J$4</c:f>
              <c:numCache>
                <c:formatCode>0.0</c:formatCode>
                <c:ptCount val="7"/>
                <c:pt idx="0">
                  <c:v>-0.31761935569519922</c:v>
                </c:pt>
                <c:pt idx="1">
                  <c:v>-4.058681570227364E-2</c:v>
                </c:pt>
                <c:pt idx="2">
                  <c:v>0.12153356987831979</c:v>
                </c:pt>
                <c:pt idx="3">
                  <c:v>0.26887992713800357</c:v>
                </c:pt>
                <c:pt idx="4">
                  <c:v>0.20834940116207568</c:v>
                </c:pt>
                <c:pt idx="5">
                  <c:v>0.19916948932377843</c:v>
                </c:pt>
                <c:pt idx="6">
                  <c:v>0.19297590011037594</c:v>
                </c:pt>
              </c:numCache>
            </c:numRef>
          </c:val>
          <c:extLst>
            <c:ext xmlns:c16="http://schemas.microsoft.com/office/drawing/2014/chart" uri="{C3380CC4-5D6E-409C-BE32-E72D297353CC}">
              <c16:uniqueId val="{00000001-CFCE-47AD-9968-C1302C0DCF49}"/>
            </c:ext>
          </c:extLst>
        </c:ser>
        <c:ser>
          <c:idx val="3"/>
          <c:order val="3"/>
          <c:tx>
            <c:strRef>
              <c:f>Sheet1!$A$5</c:f>
              <c:strCache>
                <c:ptCount val="1"/>
                <c:pt idx="0">
                  <c:v>շինարարություն</c:v>
                </c:pt>
              </c:strCache>
            </c:strRef>
          </c:tx>
          <c:spPr>
            <a:solidFill>
              <a:schemeClr val="accent4"/>
            </a:solidFill>
            <a:ln>
              <a:noFill/>
            </a:ln>
            <a:effectLst/>
          </c:spPr>
          <c:invertIfNegative val="0"/>
          <c:cat>
            <c:strRef>
              <c:f>Sheet1!$B$1:$J$1</c:f>
              <c:strCache>
                <c:ptCount val="7"/>
                <c:pt idx="0">
                  <c:v>2022</c:v>
                </c:pt>
                <c:pt idx="1">
                  <c:v>2023</c:v>
                </c:pt>
                <c:pt idx="2">
                  <c:v>2024</c:v>
                </c:pt>
                <c:pt idx="3">
                  <c:v>2025</c:v>
                </c:pt>
                <c:pt idx="4">
                  <c:v>2026</c:v>
                </c:pt>
                <c:pt idx="5">
                  <c:v>2027</c:v>
                </c:pt>
                <c:pt idx="6">
                  <c:v>2028</c:v>
                </c:pt>
              </c:strCache>
            </c:strRef>
          </c:cat>
          <c:val>
            <c:numRef>
              <c:f>Sheet1!$B$5:$J$5</c:f>
              <c:numCache>
                <c:formatCode>0.0</c:formatCode>
                <c:ptCount val="7"/>
                <c:pt idx="0">
                  <c:v>1.2109559431365224</c:v>
                </c:pt>
                <c:pt idx="1">
                  <c:v>1.0606250176587533</c:v>
                </c:pt>
                <c:pt idx="2">
                  <c:v>0.97296522797969309</c:v>
                </c:pt>
                <c:pt idx="3">
                  <c:v>1.1321462878291833</c:v>
                </c:pt>
                <c:pt idx="4">
                  <c:v>0.45263017876952594</c:v>
                </c:pt>
                <c:pt idx="5">
                  <c:v>0.39696880586867728</c:v>
                </c:pt>
                <c:pt idx="6">
                  <c:v>0.38629453826272397</c:v>
                </c:pt>
              </c:numCache>
            </c:numRef>
          </c:val>
          <c:extLst>
            <c:ext xmlns:c16="http://schemas.microsoft.com/office/drawing/2014/chart" uri="{C3380CC4-5D6E-409C-BE32-E72D297353CC}">
              <c16:uniqueId val="{00000002-CFCE-47AD-9968-C1302C0DCF49}"/>
            </c:ext>
          </c:extLst>
        </c:ser>
        <c:ser>
          <c:idx val="4"/>
          <c:order val="4"/>
          <c:tx>
            <c:strRef>
              <c:f>Sheet1!$A$6</c:f>
              <c:strCache>
                <c:ptCount val="1"/>
                <c:pt idx="0">
                  <c:v>ծառայություններ</c:v>
                </c:pt>
              </c:strCache>
            </c:strRef>
          </c:tx>
          <c:spPr>
            <a:solidFill>
              <a:schemeClr val="accent5"/>
            </a:solidFill>
            <a:ln>
              <a:noFill/>
            </a:ln>
            <a:effectLst/>
          </c:spPr>
          <c:invertIfNegative val="0"/>
          <c:cat>
            <c:strRef>
              <c:f>Sheet1!$B$1:$J$1</c:f>
              <c:strCache>
                <c:ptCount val="7"/>
                <c:pt idx="0">
                  <c:v>2022</c:v>
                </c:pt>
                <c:pt idx="1">
                  <c:v>2023</c:v>
                </c:pt>
                <c:pt idx="2">
                  <c:v>2024</c:v>
                </c:pt>
                <c:pt idx="3">
                  <c:v>2025</c:v>
                </c:pt>
                <c:pt idx="4">
                  <c:v>2026</c:v>
                </c:pt>
                <c:pt idx="5">
                  <c:v>2027</c:v>
                </c:pt>
                <c:pt idx="6">
                  <c:v>2028</c:v>
                </c:pt>
              </c:strCache>
            </c:strRef>
          </c:cat>
          <c:val>
            <c:numRef>
              <c:f>Sheet1!$B$6:$J$6</c:f>
              <c:numCache>
                <c:formatCode>0.0</c:formatCode>
                <c:ptCount val="7"/>
                <c:pt idx="0">
                  <c:v>9.430630880460761</c:v>
                </c:pt>
                <c:pt idx="1">
                  <c:v>6.7301575117297077</c:v>
                </c:pt>
                <c:pt idx="2">
                  <c:v>4.3582761292232135</c:v>
                </c:pt>
                <c:pt idx="3">
                  <c:v>2.511198325918599</c:v>
                </c:pt>
                <c:pt idx="4">
                  <c:v>2.851932980969563</c:v>
                </c:pt>
                <c:pt idx="5">
                  <c:v>2.90109969942228</c:v>
                </c:pt>
                <c:pt idx="6">
                  <c:v>3.2704466160084773</c:v>
                </c:pt>
              </c:numCache>
            </c:numRef>
          </c:val>
          <c:extLst>
            <c:ext xmlns:c16="http://schemas.microsoft.com/office/drawing/2014/chart" uri="{C3380CC4-5D6E-409C-BE32-E72D297353CC}">
              <c16:uniqueId val="{00000003-CFCE-47AD-9968-C1302C0DCF49}"/>
            </c:ext>
          </c:extLst>
        </c:ser>
        <c:ser>
          <c:idx val="5"/>
          <c:order val="5"/>
          <c:tx>
            <c:strRef>
              <c:f>Sheet1!$A$7</c:f>
              <c:strCache>
                <c:ptCount val="1"/>
                <c:pt idx="0">
                  <c:v>զուտ հարկեր</c:v>
                </c:pt>
              </c:strCache>
            </c:strRef>
          </c:tx>
          <c:spPr>
            <a:solidFill>
              <a:schemeClr val="accent6"/>
            </a:solidFill>
            <a:ln>
              <a:noFill/>
            </a:ln>
            <a:effectLst/>
          </c:spPr>
          <c:invertIfNegative val="0"/>
          <c:cat>
            <c:strRef>
              <c:f>Sheet1!$B$1:$J$1</c:f>
              <c:strCache>
                <c:ptCount val="7"/>
                <c:pt idx="0">
                  <c:v>2022</c:v>
                </c:pt>
                <c:pt idx="1">
                  <c:v>2023</c:v>
                </c:pt>
                <c:pt idx="2">
                  <c:v>2024</c:v>
                </c:pt>
                <c:pt idx="3">
                  <c:v>2025</c:v>
                </c:pt>
                <c:pt idx="4">
                  <c:v>2026</c:v>
                </c:pt>
                <c:pt idx="5">
                  <c:v>2027</c:v>
                </c:pt>
                <c:pt idx="6">
                  <c:v>2028</c:v>
                </c:pt>
              </c:strCache>
            </c:strRef>
          </c:cat>
          <c:val>
            <c:numRef>
              <c:f>Sheet1!$B$7:$J$7</c:f>
              <c:numCache>
                <c:formatCode>0.0</c:formatCode>
                <c:ptCount val="7"/>
                <c:pt idx="0">
                  <c:v>0.88890396802941829</c:v>
                </c:pt>
                <c:pt idx="1">
                  <c:v>1.1423708056181572</c:v>
                </c:pt>
                <c:pt idx="2">
                  <c:v>-0.17162874539994044</c:v>
                </c:pt>
                <c:pt idx="3">
                  <c:v>1.2486847861160271</c:v>
                </c:pt>
                <c:pt idx="4">
                  <c:v>0.60989751761585154</c:v>
                </c:pt>
                <c:pt idx="5">
                  <c:v>0.613005157963742</c:v>
                </c:pt>
                <c:pt idx="6">
                  <c:v>0.61671242447233521</c:v>
                </c:pt>
              </c:numCache>
            </c:numRef>
          </c:val>
          <c:extLst>
            <c:ext xmlns:c16="http://schemas.microsoft.com/office/drawing/2014/chart" uri="{C3380CC4-5D6E-409C-BE32-E72D297353CC}">
              <c16:uniqueId val="{00000004-CFCE-47AD-9968-C1302C0DCF49}"/>
            </c:ext>
          </c:extLst>
        </c:ser>
        <c:dLbls>
          <c:showLegendKey val="0"/>
          <c:showVal val="0"/>
          <c:showCatName val="0"/>
          <c:showSerName val="0"/>
          <c:showPercent val="0"/>
          <c:showBubbleSize val="0"/>
        </c:dLbls>
        <c:gapWidth val="150"/>
        <c:overlap val="100"/>
        <c:axId val="222975104"/>
        <c:axId val="222976640"/>
      </c:barChart>
      <c:lineChart>
        <c:grouping val="standard"/>
        <c:varyColors val="0"/>
        <c:ser>
          <c:idx val="0"/>
          <c:order val="0"/>
          <c:tx>
            <c:strRef>
              <c:f>Sheet1!$A$2</c:f>
              <c:strCache>
                <c:ptCount val="1"/>
                <c:pt idx="0">
                  <c:v>ՀՆԱ</c:v>
                </c:pt>
              </c:strCache>
            </c:strRef>
          </c:tx>
          <c:spPr>
            <a:ln w="19050" cap="rnd" cmpd="sng" algn="ctr">
              <a:solidFill>
                <a:schemeClr val="accent1"/>
              </a:solidFill>
              <a:prstDash val="solid"/>
              <a:round/>
            </a:ln>
            <a:effectLst/>
          </c:spPr>
          <c:marker>
            <c:symbol val="none"/>
          </c:marker>
          <c:dLbls>
            <c:dLbl>
              <c:idx val="0"/>
              <c:layout>
                <c:manualLayout>
                  <c:x val="-6.9119739784509124E-2"/>
                  <c:y val="-3.679964885422636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CFCE-47AD-9968-C1302C0DCF49}"/>
                </c:ext>
              </c:extLst>
            </c:dLbl>
            <c:dLbl>
              <c:idx val="1"/>
              <c:layout>
                <c:manualLayout>
                  <c:x val="-4.8790404553771163E-2"/>
                  <c:y val="-4.037266415797283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CFCE-47AD-9968-C1302C0DCF49}"/>
                </c:ext>
              </c:extLst>
            </c:dLbl>
            <c:dLbl>
              <c:idx val="2"/>
              <c:layout>
                <c:manualLayout>
                  <c:x val="-5.9117317366579179E-2"/>
                  <c:y val="-3.990357395095812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CFCE-47AD-9968-C1302C0DCF49}"/>
                </c:ext>
              </c:extLst>
            </c:dLbl>
            <c:dLbl>
              <c:idx val="3"/>
              <c:layout>
                <c:manualLayout>
                  <c:x val="-5.8613571741032454E-2"/>
                  <c:y val="-4.959404166399140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CFCE-47AD-9968-C1302C0DCF49}"/>
                </c:ext>
              </c:extLst>
            </c:dLbl>
            <c:dLbl>
              <c:idx val="4"/>
              <c:layout>
                <c:manualLayout>
                  <c:x val="-5.7077045056868052E-2"/>
                  <c:y val="-4.467176035908780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CFCE-47AD-9968-C1302C0DCF49}"/>
                </c:ext>
              </c:extLst>
            </c:dLbl>
            <c:dLbl>
              <c:idx val="5"/>
              <c:layout>
                <c:manualLayout>
                  <c:x val="-6.126250820209974E-2"/>
                  <c:y val="-4.138673733240720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CFCE-47AD-9968-C1302C0DCF49}"/>
                </c:ext>
              </c:extLst>
            </c:dLbl>
            <c:dLbl>
              <c:idx val="6"/>
              <c:layout>
                <c:manualLayout>
                  <c:x val="-6.1811365376203131E-2"/>
                  <c:y val="-4.200136584113049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CFCE-47AD-9968-C1302C0DCF49}"/>
                </c:ext>
              </c:extLst>
            </c:dLbl>
            <c:spPr>
              <a:noFill/>
              <a:ln>
                <a:noFill/>
              </a:ln>
              <a:effectLst/>
            </c:spPr>
            <c:txPr>
              <a:bodyPr rot="0" spcFirstLastPara="1" vertOverflow="ellipsis" vert="horz" wrap="square" anchor="ctr" anchorCtr="1"/>
              <a:lstStyle/>
              <a:p>
                <a:pPr>
                  <a:defRPr sz="800" b="1" i="0" u="none" strike="noStrike" kern="1200" baseline="0">
                    <a:solidFill>
                      <a:schemeClr val="tx1"/>
                    </a:solidFill>
                    <a:latin typeface="Calibri" panose="020F0502020204030204" pitchFamily="34" charset="0"/>
                    <a:ea typeface="Calibri" panose="020F0502020204030204" pitchFamily="34" charset="0"/>
                    <a:cs typeface="Calibri" panose="020F0502020204030204" pitchFamily="34"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prstDash val="solid"/>
                      <a:round/>
                    </a:ln>
                    <a:effectLst/>
                  </c:spPr>
                </c15:leaderLines>
              </c:ext>
            </c:extLst>
          </c:dLbls>
          <c:cat>
            <c:strRef>
              <c:f>Sheet1!$B$1:$J$1</c:f>
              <c:strCache>
                <c:ptCount val="7"/>
                <c:pt idx="0">
                  <c:v>2022</c:v>
                </c:pt>
                <c:pt idx="1">
                  <c:v>2023</c:v>
                </c:pt>
                <c:pt idx="2">
                  <c:v>2024</c:v>
                </c:pt>
                <c:pt idx="3">
                  <c:v>2025</c:v>
                </c:pt>
                <c:pt idx="4">
                  <c:v>2026</c:v>
                </c:pt>
                <c:pt idx="5">
                  <c:v>2027</c:v>
                </c:pt>
                <c:pt idx="6">
                  <c:v>2028</c:v>
                </c:pt>
              </c:strCache>
            </c:strRef>
          </c:cat>
          <c:val>
            <c:numRef>
              <c:f>Sheet1!$B$2:$J$2</c:f>
              <c:numCache>
                <c:formatCode>0.0</c:formatCode>
                <c:ptCount val="7"/>
                <c:pt idx="0">
                  <c:v>12.575715718540138</c:v>
                </c:pt>
                <c:pt idx="1">
                  <c:v>8.3380204521360781</c:v>
                </c:pt>
                <c:pt idx="2">
                  <c:v>5.8623775978931123</c:v>
                </c:pt>
                <c:pt idx="3">
                  <c:v>5.1947951286479919</c:v>
                </c:pt>
                <c:pt idx="4">
                  <c:v>5.3566263249110051</c:v>
                </c:pt>
                <c:pt idx="5">
                  <c:v>5.378079548167392</c:v>
                </c:pt>
                <c:pt idx="6">
                  <c:v>5.3176864315005616</c:v>
                </c:pt>
              </c:numCache>
            </c:numRef>
          </c:val>
          <c:smooth val="0"/>
          <c:extLst>
            <c:ext xmlns:c16="http://schemas.microsoft.com/office/drawing/2014/chart" uri="{C3380CC4-5D6E-409C-BE32-E72D297353CC}">
              <c16:uniqueId val="{0000000C-CFCE-47AD-9968-C1302C0DCF49}"/>
            </c:ext>
          </c:extLst>
        </c:ser>
        <c:dLbls>
          <c:showLegendKey val="0"/>
          <c:showVal val="0"/>
          <c:showCatName val="0"/>
          <c:showSerName val="0"/>
          <c:showPercent val="0"/>
          <c:showBubbleSize val="0"/>
        </c:dLbls>
        <c:marker val="1"/>
        <c:smooth val="0"/>
        <c:axId val="1774142831"/>
        <c:axId val="1774198575"/>
      </c:lineChart>
      <c:catAx>
        <c:axId val="222975104"/>
        <c:scaling>
          <c:orientation val="minMax"/>
        </c:scaling>
        <c:delete val="0"/>
        <c:axPos val="b"/>
        <c:numFmt formatCode="General" sourceLinked="1"/>
        <c:majorTickMark val="none"/>
        <c:minorTickMark val="none"/>
        <c:tickLblPos val="low"/>
        <c:spPr>
          <a:noFill/>
          <a:ln w="9525" cap="flat" cmpd="sng" algn="ctr">
            <a:solidFill>
              <a:schemeClr val="tx1">
                <a:lumMod val="15000"/>
                <a:lumOff val="85000"/>
              </a:schemeClr>
            </a:solidFill>
            <a:prstDash val="solid"/>
            <a:round/>
          </a:ln>
          <a:effectLst/>
        </c:spPr>
        <c:txPr>
          <a:bodyPr rot="-60000000" spcFirstLastPara="1" vertOverflow="ellipsis" vert="horz" wrap="square" anchor="ctr" anchorCtr="1"/>
          <a:lstStyle/>
          <a:p>
            <a:pPr>
              <a:defRPr sz="800" b="0" i="0" u="none" strike="noStrike" kern="1200" baseline="0">
                <a:solidFill>
                  <a:schemeClr val="tx1"/>
                </a:solidFill>
                <a:latin typeface="Calibri" panose="020F0502020204030204" pitchFamily="34" charset="0"/>
                <a:ea typeface="Calibri" panose="020F0502020204030204" pitchFamily="34" charset="0"/>
                <a:cs typeface="Calibri" panose="020F0502020204030204" pitchFamily="34" charset="0"/>
              </a:defRPr>
            </a:pPr>
            <a:endParaRPr lang="en-US"/>
          </a:p>
        </c:txPr>
        <c:crossAx val="222976640"/>
        <c:crosses val="autoZero"/>
        <c:auto val="1"/>
        <c:lblAlgn val="ctr"/>
        <c:lblOffset val="100"/>
        <c:noMultiLvlLbl val="0"/>
      </c:catAx>
      <c:valAx>
        <c:axId val="222976640"/>
        <c:scaling>
          <c:orientation val="minMax"/>
          <c:max val="15"/>
          <c:min val="-2"/>
        </c:scaling>
        <c:delete val="0"/>
        <c:axPos val="l"/>
        <c:numFmt formatCode="0.0" sourceLinked="1"/>
        <c:majorTickMark val="none"/>
        <c:minorTickMark val="none"/>
        <c:tickLblPos val="nextTo"/>
        <c:spPr>
          <a:noFill/>
          <a:ln w="6350" cap="flat" cmpd="sng" algn="ctr">
            <a:noFill/>
            <a:prstDash val="solid"/>
            <a:round/>
          </a:ln>
          <a:effectLst/>
        </c:spPr>
        <c:txPr>
          <a:bodyPr rot="-60000000" spcFirstLastPara="1" vertOverflow="ellipsis" vert="horz" wrap="square" anchor="ctr" anchorCtr="1"/>
          <a:lstStyle/>
          <a:p>
            <a:pPr>
              <a:defRPr sz="800" b="0" i="0" u="none" strike="noStrike" kern="1200" baseline="0">
                <a:solidFill>
                  <a:schemeClr val="bg1">
                    <a:lumMod val="65000"/>
                  </a:schemeClr>
                </a:solidFill>
                <a:latin typeface="Calibri" panose="020F0502020204030204" pitchFamily="34" charset="0"/>
                <a:ea typeface="Calibri" panose="020F0502020204030204" pitchFamily="34" charset="0"/>
                <a:cs typeface="Calibri" panose="020F0502020204030204" pitchFamily="34" charset="0"/>
              </a:defRPr>
            </a:pPr>
            <a:endParaRPr lang="en-US"/>
          </a:p>
        </c:txPr>
        <c:crossAx val="222975104"/>
        <c:crosses val="autoZero"/>
        <c:crossBetween val="between"/>
        <c:majorUnit val="2"/>
      </c:valAx>
      <c:valAx>
        <c:axId val="1774198575"/>
        <c:scaling>
          <c:orientation val="minMax"/>
          <c:max val="15"/>
        </c:scaling>
        <c:delete val="1"/>
        <c:axPos val="r"/>
        <c:numFmt formatCode="0.0" sourceLinked="1"/>
        <c:majorTickMark val="out"/>
        <c:minorTickMark val="none"/>
        <c:tickLblPos val="nextTo"/>
        <c:crossAx val="1774142831"/>
        <c:crosses val="max"/>
        <c:crossBetween val="between"/>
      </c:valAx>
      <c:catAx>
        <c:axId val="1774142831"/>
        <c:scaling>
          <c:orientation val="minMax"/>
        </c:scaling>
        <c:delete val="1"/>
        <c:axPos val="b"/>
        <c:numFmt formatCode="General" sourceLinked="1"/>
        <c:majorTickMark val="out"/>
        <c:minorTickMark val="none"/>
        <c:tickLblPos val="nextTo"/>
        <c:crossAx val="1774198575"/>
        <c:crosses val="autoZero"/>
        <c:auto val="1"/>
        <c:lblAlgn val="ctr"/>
        <c:lblOffset val="100"/>
        <c:noMultiLvlLbl val="0"/>
      </c:catAx>
      <c:spPr>
        <a:noFill/>
        <a:ln>
          <a:noFill/>
        </a:ln>
        <a:effectLst/>
      </c:spPr>
    </c:plotArea>
    <c:legend>
      <c:legendPos val="b"/>
      <c:layout>
        <c:manualLayout>
          <c:xMode val="edge"/>
          <c:yMode val="edge"/>
          <c:x val="0"/>
          <c:y val="0.78813829673729807"/>
          <c:w val="1"/>
          <c:h val="0.21186145134635948"/>
        </c:manualLayout>
      </c:layout>
      <c:overlay val="0"/>
      <c:spPr>
        <a:noFill/>
        <a:ln>
          <a:noFill/>
        </a:ln>
        <a:effectLst/>
      </c:spPr>
      <c:txPr>
        <a:bodyPr rot="0" spcFirstLastPara="1" vertOverflow="ellipsis" vert="horz" wrap="square" anchor="ctr" anchorCtr="1"/>
        <a:lstStyle/>
        <a:p>
          <a:pPr>
            <a:defRPr sz="500" b="0" i="0" u="none" strike="noStrike" kern="1200" baseline="0">
              <a:solidFill>
                <a:schemeClr val="tx1"/>
              </a:solidFill>
              <a:latin typeface="Calibri" panose="020F0502020204030204" pitchFamily="34" charset="0"/>
              <a:ea typeface="Calibri" panose="020F0502020204030204" pitchFamily="34" charset="0"/>
              <a:cs typeface="Calibri" panose="020F0502020204030204" pitchFamily="34" charset="0"/>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noFill/>
    <a:ln w="12700" cap="flat" cmpd="sng" algn="ctr">
      <a:solidFill>
        <a:sysClr val="window" lastClr="FFFFFF"/>
      </a:solidFill>
      <a:prstDash val="solid"/>
      <a:round/>
    </a:ln>
    <a:effectLst/>
  </c:spPr>
  <c:txPr>
    <a:bodyPr/>
    <a:lstStyle/>
    <a:p>
      <a:pPr>
        <a:defRPr sz="800">
          <a:latin typeface="Calibri" panose="020F0502020204030204" pitchFamily="34" charset="0"/>
          <a:ea typeface="Calibri" panose="020F0502020204030204" pitchFamily="34" charset="0"/>
          <a:cs typeface="Calibri" panose="020F0502020204030204" pitchFamily="34" charset="0"/>
        </a:defRPr>
      </a:pPr>
      <a:endParaRPr lang="en-US"/>
    </a:p>
  </c:txPr>
  <c:externalData r:id="rId4">
    <c:autoUpdate val="0"/>
  </c:externalData>
  <c:userShapes r:id="rId5"/>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4030597210264042"/>
          <c:y val="7.201309328968912E-2"/>
          <c:w val="0.81369779122581465"/>
          <c:h val="0.58559531940667808"/>
        </c:manualLayout>
      </c:layout>
      <c:barChart>
        <c:barDir val="col"/>
        <c:grouping val="stacked"/>
        <c:varyColors val="0"/>
        <c:ser>
          <c:idx val="1"/>
          <c:order val="1"/>
          <c:tx>
            <c:strRef>
              <c:f>Sheet1!$A$3</c:f>
              <c:strCache>
                <c:ptCount val="1"/>
                <c:pt idx="0">
                  <c:v>Սպառում</c:v>
                </c:pt>
              </c:strCache>
            </c:strRef>
          </c:tx>
          <c:spPr>
            <a:solidFill>
              <a:schemeClr val="accent2"/>
            </a:solidFill>
            <a:ln>
              <a:noFill/>
            </a:ln>
            <a:effectLst/>
          </c:spPr>
          <c:invertIfNegative val="0"/>
          <c:cat>
            <c:strRef>
              <c:f>Sheet1!$B$1:$J$1</c:f>
              <c:strCache>
                <c:ptCount val="7"/>
                <c:pt idx="0">
                  <c:v>2022</c:v>
                </c:pt>
                <c:pt idx="1">
                  <c:v>2023</c:v>
                </c:pt>
                <c:pt idx="2">
                  <c:v>2024</c:v>
                </c:pt>
                <c:pt idx="3">
                  <c:v>2025</c:v>
                </c:pt>
                <c:pt idx="4">
                  <c:v>2026</c:v>
                </c:pt>
                <c:pt idx="5">
                  <c:v>2027</c:v>
                </c:pt>
                <c:pt idx="6">
                  <c:v>2028</c:v>
                </c:pt>
              </c:strCache>
            </c:strRef>
          </c:cat>
          <c:val>
            <c:numRef>
              <c:f>Sheet1!$B$3:$J$3</c:f>
              <c:numCache>
                <c:formatCode>0.0</c:formatCode>
                <c:ptCount val="7"/>
                <c:pt idx="0">
                  <c:v>3.6504047025064192</c:v>
                </c:pt>
                <c:pt idx="1">
                  <c:v>5.343589463697799</c:v>
                </c:pt>
                <c:pt idx="2">
                  <c:v>4.0799608550497535</c:v>
                </c:pt>
                <c:pt idx="3">
                  <c:v>3.8030692054462896</c:v>
                </c:pt>
                <c:pt idx="4">
                  <c:v>2.9781963757257932</c:v>
                </c:pt>
                <c:pt idx="5">
                  <c:v>3.2501220307789271</c:v>
                </c:pt>
                <c:pt idx="6">
                  <c:v>3.0864027463143406</c:v>
                </c:pt>
              </c:numCache>
            </c:numRef>
          </c:val>
          <c:extLst>
            <c:ext xmlns:c16="http://schemas.microsoft.com/office/drawing/2014/chart" uri="{C3380CC4-5D6E-409C-BE32-E72D297353CC}">
              <c16:uniqueId val="{00000000-5BCE-4D8C-BE55-A271E1C0D378}"/>
            </c:ext>
          </c:extLst>
        </c:ser>
        <c:ser>
          <c:idx val="2"/>
          <c:order val="2"/>
          <c:tx>
            <c:strRef>
              <c:f>Sheet1!$A$4</c:f>
              <c:strCache>
                <c:ptCount val="1"/>
                <c:pt idx="0">
                  <c:v>Հիմնական միջոցներում կապիտալ ներդրումներ</c:v>
                </c:pt>
              </c:strCache>
            </c:strRef>
          </c:tx>
          <c:spPr>
            <a:solidFill>
              <a:schemeClr val="accent3"/>
            </a:solidFill>
            <a:ln>
              <a:noFill/>
            </a:ln>
            <a:effectLst/>
          </c:spPr>
          <c:invertIfNegative val="0"/>
          <c:cat>
            <c:strRef>
              <c:f>Sheet1!$B$1:$J$1</c:f>
              <c:strCache>
                <c:ptCount val="7"/>
                <c:pt idx="0">
                  <c:v>2022</c:v>
                </c:pt>
                <c:pt idx="1">
                  <c:v>2023</c:v>
                </c:pt>
                <c:pt idx="2">
                  <c:v>2024</c:v>
                </c:pt>
                <c:pt idx="3">
                  <c:v>2025</c:v>
                </c:pt>
                <c:pt idx="4">
                  <c:v>2026</c:v>
                </c:pt>
                <c:pt idx="5">
                  <c:v>2027</c:v>
                </c:pt>
                <c:pt idx="6">
                  <c:v>2028</c:v>
                </c:pt>
              </c:strCache>
            </c:strRef>
          </c:cat>
          <c:val>
            <c:numRef>
              <c:f>Sheet1!$B$4:$J$4</c:f>
              <c:numCache>
                <c:formatCode>0.0</c:formatCode>
                <c:ptCount val="7"/>
                <c:pt idx="0">
                  <c:v>2.9685518610159494</c:v>
                </c:pt>
                <c:pt idx="1">
                  <c:v>1.896220190406591</c:v>
                </c:pt>
                <c:pt idx="2">
                  <c:v>2.3042501352881821</c:v>
                </c:pt>
                <c:pt idx="3">
                  <c:v>3.1176788522645742</c:v>
                </c:pt>
                <c:pt idx="4">
                  <c:v>1.8995109143675351</c:v>
                </c:pt>
                <c:pt idx="5">
                  <c:v>1.7326814008290503</c:v>
                </c:pt>
                <c:pt idx="6">
                  <c:v>1.7557061209407705</c:v>
                </c:pt>
              </c:numCache>
            </c:numRef>
          </c:val>
          <c:extLst>
            <c:ext xmlns:c16="http://schemas.microsoft.com/office/drawing/2014/chart" uri="{C3380CC4-5D6E-409C-BE32-E72D297353CC}">
              <c16:uniqueId val="{00000001-5BCE-4D8C-BE55-A271E1C0D378}"/>
            </c:ext>
          </c:extLst>
        </c:ser>
        <c:ser>
          <c:idx val="3"/>
          <c:order val="3"/>
          <c:tx>
            <c:strRef>
              <c:f>Sheet1!$A$5</c:f>
              <c:strCache>
                <c:ptCount val="1"/>
                <c:pt idx="0">
                  <c:v>Զուտ արտահանում</c:v>
                </c:pt>
              </c:strCache>
            </c:strRef>
          </c:tx>
          <c:spPr>
            <a:solidFill>
              <a:srgbClr val="FFC000"/>
            </a:solidFill>
            <a:ln>
              <a:noFill/>
            </a:ln>
            <a:effectLst/>
          </c:spPr>
          <c:invertIfNegative val="0"/>
          <c:cat>
            <c:strRef>
              <c:f>Sheet1!$B$1:$J$1</c:f>
              <c:strCache>
                <c:ptCount val="7"/>
                <c:pt idx="0">
                  <c:v>2022</c:v>
                </c:pt>
                <c:pt idx="1">
                  <c:v>2023</c:v>
                </c:pt>
                <c:pt idx="2">
                  <c:v>2024</c:v>
                </c:pt>
                <c:pt idx="3">
                  <c:v>2025</c:v>
                </c:pt>
                <c:pt idx="4">
                  <c:v>2026</c:v>
                </c:pt>
                <c:pt idx="5">
                  <c:v>2027</c:v>
                </c:pt>
                <c:pt idx="6">
                  <c:v>2028</c:v>
                </c:pt>
              </c:strCache>
            </c:strRef>
          </c:cat>
          <c:val>
            <c:numRef>
              <c:f>Sheet1!$B$5:$J$5</c:f>
              <c:numCache>
                <c:formatCode>0.0</c:formatCode>
                <c:ptCount val="7"/>
                <c:pt idx="0">
                  <c:v>6.1907504626362702</c:v>
                </c:pt>
                <c:pt idx="1">
                  <c:v>-0.13922941657453336</c:v>
                </c:pt>
                <c:pt idx="2">
                  <c:v>-0.82385009312022461</c:v>
                </c:pt>
                <c:pt idx="3">
                  <c:v>-1.725952929062867</c:v>
                </c:pt>
                <c:pt idx="4">
                  <c:v>0.47891903481767717</c:v>
                </c:pt>
                <c:pt idx="5">
                  <c:v>0.39527611655941447</c:v>
                </c:pt>
                <c:pt idx="6">
                  <c:v>0.47557756424545033</c:v>
                </c:pt>
              </c:numCache>
            </c:numRef>
          </c:val>
          <c:extLst>
            <c:ext xmlns:c16="http://schemas.microsoft.com/office/drawing/2014/chart" uri="{C3380CC4-5D6E-409C-BE32-E72D297353CC}">
              <c16:uniqueId val="{00000002-5BCE-4D8C-BE55-A271E1C0D378}"/>
            </c:ext>
          </c:extLst>
        </c:ser>
        <c:dLbls>
          <c:showLegendKey val="0"/>
          <c:showVal val="0"/>
          <c:showCatName val="0"/>
          <c:showSerName val="0"/>
          <c:showPercent val="0"/>
          <c:showBubbleSize val="0"/>
        </c:dLbls>
        <c:gapWidth val="70"/>
        <c:overlap val="100"/>
        <c:axId val="222975104"/>
        <c:axId val="222976640"/>
      </c:barChart>
      <c:lineChart>
        <c:grouping val="standard"/>
        <c:varyColors val="0"/>
        <c:ser>
          <c:idx val="0"/>
          <c:order val="0"/>
          <c:tx>
            <c:strRef>
              <c:f>Sheet1!$A$2</c:f>
              <c:strCache>
                <c:ptCount val="1"/>
                <c:pt idx="0">
                  <c:v>ՀՆԱ</c:v>
                </c:pt>
              </c:strCache>
            </c:strRef>
          </c:tx>
          <c:spPr>
            <a:ln w="19050" cap="rnd" cmpd="sng" algn="ctr">
              <a:solidFill>
                <a:schemeClr val="accent1"/>
              </a:solidFill>
              <a:prstDash val="solid"/>
              <a:round/>
            </a:ln>
            <a:effectLst/>
          </c:spPr>
          <c:marker>
            <c:symbol val="none"/>
          </c:marker>
          <c:dLbls>
            <c:dLbl>
              <c:idx val="0"/>
              <c:layout>
                <c:manualLayout>
                  <c:x val="-6.9119739784509124E-2"/>
                  <c:y val="-3.679964885422636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5BCE-4D8C-BE55-A271E1C0D378}"/>
                </c:ext>
              </c:extLst>
            </c:dLbl>
            <c:dLbl>
              <c:idx val="1"/>
              <c:layout>
                <c:manualLayout>
                  <c:x val="-4.8790404553771163E-2"/>
                  <c:y val="-4.037266415797283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5BCE-4D8C-BE55-A271E1C0D378}"/>
                </c:ext>
              </c:extLst>
            </c:dLbl>
            <c:dLbl>
              <c:idx val="2"/>
              <c:layout>
                <c:manualLayout>
                  <c:x val="-5.9117386703974394E-2"/>
                  <c:y val="-4.580043572051793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5BCE-4D8C-BE55-A271E1C0D378}"/>
                </c:ext>
              </c:extLst>
            </c:dLbl>
            <c:dLbl>
              <c:idx val="3"/>
              <c:layout>
                <c:manualLayout>
                  <c:x val="-5.8613475307861367E-2"/>
                  <c:y val="-4.066546406376293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5BCE-4D8C-BE55-A271E1C0D378}"/>
                </c:ext>
              </c:extLst>
            </c:dLbl>
            <c:dLbl>
              <c:idx val="4"/>
              <c:layout>
                <c:manualLayout>
                  <c:x val="-5.7077045056867969E-2"/>
                  <c:y val="-4.830200897784976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5BCE-4D8C-BE55-A271E1C0D378}"/>
                </c:ext>
              </c:extLst>
            </c:dLbl>
            <c:dLbl>
              <c:idx val="5"/>
              <c:layout>
                <c:manualLayout>
                  <c:x val="-5.6922138646066274E-2"/>
                  <c:y val="-4.75866757307954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5BCE-4D8C-BE55-A271E1C0D378}"/>
                </c:ext>
              </c:extLst>
            </c:dLbl>
            <c:dLbl>
              <c:idx val="6"/>
              <c:layout>
                <c:manualLayout>
                  <c:x val="-4.8790404553771094E-2"/>
                  <c:y val="-4.078857919782460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5BCE-4D8C-BE55-A271E1C0D378}"/>
                </c:ext>
              </c:extLst>
            </c:dLbl>
            <c:spPr>
              <a:noFill/>
              <a:ln>
                <a:noFill/>
              </a:ln>
              <a:effectLst/>
            </c:spPr>
            <c:txPr>
              <a:bodyPr rot="0" spcFirstLastPara="1" vertOverflow="ellipsis" vert="horz" wrap="square" anchor="ctr" anchorCtr="1"/>
              <a:lstStyle/>
              <a:p>
                <a:pPr>
                  <a:defRPr sz="800" b="1" i="0" u="none" strike="noStrike" kern="1200" baseline="0">
                    <a:solidFill>
                      <a:schemeClr val="tx1"/>
                    </a:solidFill>
                    <a:latin typeface="Calibri" panose="020F0502020204030204" pitchFamily="34" charset="0"/>
                    <a:ea typeface="Calibri" panose="020F0502020204030204" pitchFamily="34" charset="0"/>
                    <a:cs typeface="Calibri" panose="020F0502020204030204" pitchFamily="34"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prstDash val="solid"/>
                      <a:round/>
                    </a:ln>
                    <a:effectLst/>
                  </c:spPr>
                </c15:leaderLines>
              </c:ext>
            </c:extLst>
          </c:dLbls>
          <c:cat>
            <c:strRef>
              <c:f>Sheet1!$B$1:$J$1</c:f>
              <c:strCache>
                <c:ptCount val="7"/>
                <c:pt idx="0">
                  <c:v>2022</c:v>
                </c:pt>
                <c:pt idx="1">
                  <c:v>2023</c:v>
                </c:pt>
                <c:pt idx="2">
                  <c:v>2024</c:v>
                </c:pt>
                <c:pt idx="3">
                  <c:v>2025</c:v>
                </c:pt>
                <c:pt idx="4">
                  <c:v>2026</c:v>
                </c:pt>
                <c:pt idx="5">
                  <c:v>2027</c:v>
                </c:pt>
                <c:pt idx="6">
                  <c:v>2028</c:v>
                </c:pt>
              </c:strCache>
            </c:strRef>
          </c:cat>
          <c:val>
            <c:numRef>
              <c:f>Sheet1!$B$2:$J$2</c:f>
              <c:numCache>
                <c:formatCode>0.0</c:formatCode>
                <c:ptCount val="7"/>
                <c:pt idx="0">
                  <c:v>12.599999999999994</c:v>
                </c:pt>
                <c:pt idx="1">
                  <c:v>8.2999999999999972</c:v>
                </c:pt>
                <c:pt idx="2">
                  <c:v>5.9000000000000057</c:v>
                </c:pt>
                <c:pt idx="3">
                  <c:v>5.1947951286479963</c:v>
                </c:pt>
                <c:pt idx="4">
                  <c:v>5.3566263249110051</c:v>
                </c:pt>
                <c:pt idx="5">
                  <c:v>5.378079548167392</c:v>
                </c:pt>
                <c:pt idx="6">
                  <c:v>5.3176864315005616</c:v>
                </c:pt>
              </c:numCache>
            </c:numRef>
          </c:val>
          <c:smooth val="0"/>
          <c:extLst>
            <c:ext xmlns:c16="http://schemas.microsoft.com/office/drawing/2014/chart" uri="{C3380CC4-5D6E-409C-BE32-E72D297353CC}">
              <c16:uniqueId val="{0000000A-5BCE-4D8C-BE55-A271E1C0D378}"/>
            </c:ext>
          </c:extLst>
        </c:ser>
        <c:dLbls>
          <c:showLegendKey val="0"/>
          <c:showVal val="0"/>
          <c:showCatName val="0"/>
          <c:showSerName val="0"/>
          <c:showPercent val="0"/>
          <c:showBubbleSize val="0"/>
        </c:dLbls>
        <c:marker val="1"/>
        <c:smooth val="0"/>
        <c:axId val="222975104"/>
        <c:axId val="222976640"/>
      </c:lineChart>
      <c:catAx>
        <c:axId val="222975104"/>
        <c:scaling>
          <c:orientation val="minMax"/>
        </c:scaling>
        <c:delete val="0"/>
        <c:axPos val="b"/>
        <c:numFmt formatCode="General" sourceLinked="1"/>
        <c:majorTickMark val="none"/>
        <c:minorTickMark val="none"/>
        <c:tickLblPos val="low"/>
        <c:spPr>
          <a:noFill/>
          <a:ln w="9525" cap="flat" cmpd="sng" algn="ctr">
            <a:solidFill>
              <a:schemeClr val="tx1">
                <a:lumMod val="15000"/>
                <a:lumOff val="85000"/>
              </a:schemeClr>
            </a:solidFill>
            <a:prstDash val="solid"/>
            <a:round/>
          </a:ln>
          <a:effectLst/>
        </c:spPr>
        <c:txPr>
          <a:bodyPr rot="-60000000" spcFirstLastPara="1" vertOverflow="ellipsis" vert="horz" wrap="square" anchor="ctr" anchorCtr="1"/>
          <a:lstStyle/>
          <a:p>
            <a:pPr>
              <a:defRPr sz="800" b="0" i="0" u="none" strike="noStrike" kern="1200" baseline="0">
                <a:solidFill>
                  <a:schemeClr val="tx1"/>
                </a:solidFill>
                <a:latin typeface="Calibri" panose="020F0502020204030204" pitchFamily="34" charset="0"/>
                <a:ea typeface="Calibri" panose="020F0502020204030204" pitchFamily="34" charset="0"/>
                <a:cs typeface="Calibri" panose="020F0502020204030204" pitchFamily="34" charset="0"/>
              </a:defRPr>
            </a:pPr>
            <a:endParaRPr lang="en-US"/>
          </a:p>
        </c:txPr>
        <c:crossAx val="222976640"/>
        <c:crosses val="autoZero"/>
        <c:auto val="1"/>
        <c:lblAlgn val="ctr"/>
        <c:lblOffset val="100"/>
        <c:noMultiLvlLbl val="0"/>
      </c:catAx>
      <c:valAx>
        <c:axId val="222976640"/>
        <c:scaling>
          <c:orientation val="minMax"/>
          <c:max val="15"/>
          <c:min val="-2"/>
        </c:scaling>
        <c:delete val="0"/>
        <c:axPos val="l"/>
        <c:numFmt formatCode="0.0" sourceLinked="1"/>
        <c:majorTickMark val="none"/>
        <c:minorTickMark val="none"/>
        <c:tickLblPos val="nextTo"/>
        <c:spPr>
          <a:noFill/>
          <a:ln w="6350" cap="flat" cmpd="sng" algn="ctr">
            <a:noFill/>
            <a:prstDash val="solid"/>
            <a:round/>
          </a:ln>
          <a:effectLst/>
        </c:spPr>
        <c:txPr>
          <a:bodyPr rot="-60000000" spcFirstLastPara="1" vertOverflow="ellipsis" vert="horz" wrap="square" anchor="ctr" anchorCtr="1"/>
          <a:lstStyle/>
          <a:p>
            <a:pPr>
              <a:defRPr sz="800" b="0" i="0" u="none" strike="noStrike" kern="1200" baseline="0">
                <a:solidFill>
                  <a:schemeClr val="bg1">
                    <a:lumMod val="65000"/>
                  </a:schemeClr>
                </a:solidFill>
                <a:latin typeface="Calibri" panose="020F0502020204030204" pitchFamily="34" charset="0"/>
                <a:ea typeface="Calibri" panose="020F0502020204030204" pitchFamily="34" charset="0"/>
                <a:cs typeface="Calibri" panose="020F0502020204030204" pitchFamily="34" charset="0"/>
              </a:defRPr>
            </a:pPr>
            <a:endParaRPr lang="en-US"/>
          </a:p>
        </c:txPr>
        <c:crossAx val="222975104"/>
        <c:crosses val="autoZero"/>
        <c:crossBetween val="between"/>
        <c:majorUnit val="2"/>
      </c:valAx>
      <c:spPr>
        <a:noFill/>
        <a:ln>
          <a:noFill/>
        </a:ln>
        <a:effectLst/>
      </c:spPr>
    </c:plotArea>
    <c:legend>
      <c:legendPos val="b"/>
      <c:layout>
        <c:manualLayout>
          <c:xMode val="edge"/>
          <c:yMode val="edge"/>
          <c:x val="0"/>
          <c:y val="0.78813854865364052"/>
          <c:w val="1"/>
          <c:h val="0.21186116979280029"/>
        </c:manualLayout>
      </c:layout>
      <c:overlay val="0"/>
      <c:spPr>
        <a:noFill/>
        <a:ln>
          <a:noFill/>
        </a:ln>
        <a:effectLst/>
      </c:spPr>
      <c:txPr>
        <a:bodyPr rot="0" spcFirstLastPara="1" vertOverflow="ellipsis" vert="horz" wrap="square" anchor="ctr" anchorCtr="1"/>
        <a:lstStyle/>
        <a:p>
          <a:pPr>
            <a:defRPr sz="500" b="0" i="0" u="none" strike="noStrike" kern="1200" baseline="0">
              <a:solidFill>
                <a:schemeClr val="tx1"/>
              </a:solidFill>
              <a:latin typeface="Calibri" panose="020F0502020204030204" pitchFamily="34" charset="0"/>
              <a:ea typeface="Calibri" panose="020F0502020204030204" pitchFamily="34" charset="0"/>
              <a:cs typeface="Calibri" panose="020F0502020204030204" pitchFamily="34" charset="0"/>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noFill/>
    <a:ln w="12700" cap="flat" cmpd="sng" algn="ctr">
      <a:solidFill>
        <a:sysClr val="window" lastClr="FFFFFF"/>
      </a:solidFill>
      <a:prstDash val="solid"/>
      <a:round/>
    </a:ln>
    <a:effectLst/>
  </c:spPr>
  <c:txPr>
    <a:bodyPr/>
    <a:lstStyle/>
    <a:p>
      <a:pPr>
        <a:defRPr sz="800">
          <a:latin typeface="Calibri" panose="020F0502020204030204" pitchFamily="34" charset="0"/>
          <a:ea typeface="Calibri" panose="020F0502020204030204" pitchFamily="34" charset="0"/>
          <a:cs typeface="Calibri" panose="020F0502020204030204" pitchFamily="34" charset="0"/>
        </a:defRPr>
      </a:pPr>
      <a:endParaRPr lang="en-US"/>
    </a:p>
  </c:txPr>
  <c:externalData r:id="rId4">
    <c:autoUpdate val="0"/>
  </c:externalData>
  <c:userShapes r:id="rId5"/>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0936046999039115"/>
          <c:y val="8.9021945173519954E-2"/>
          <c:w val="0.84559448496456369"/>
          <c:h val="0.65201771653543306"/>
        </c:manualLayout>
      </c:layout>
      <c:barChart>
        <c:barDir val="col"/>
        <c:grouping val="percentStacked"/>
        <c:varyColors val="0"/>
        <c:ser>
          <c:idx val="0"/>
          <c:order val="0"/>
          <c:tx>
            <c:strRef>
              <c:f>Sheet1!$A$2</c:f>
              <c:strCache>
                <c:ptCount val="1"/>
                <c:pt idx="0">
                  <c:v>Սպառում</c:v>
                </c:pt>
              </c:strCache>
            </c:strRef>
          </c:tx>
          <c:spPr>
            <a:solidFill>
              <a:srgbClr val="ED7D31">
                <a:lumMod val="60000"/>
                <a:lumOff val="40000"/>
              </a:srgbClr>
            </a:solidFill>
            <a:ln>
              <a:noFill/>
            </a:ln>
            <a:effectLst/>
          </c:spPr>
          <c:invertIfNegative val="0"/>
          <c:dLbls>
            <c:spPr>
              <a:noFill/>
              <a:ln>
                <a:noFill/>
              </a:ln>
              <a:effectLst/>
            </c:spPr>
            <c:txPr>
              <a:bodyPr rot="0" vert="horz"/>
              <a:lstStyle/>
              <a:p>
                <a:pPr>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Sheet1!$B$1:$J$1</c:f>
              <c:strCache>
                <c:ptCount val="7"/>
                <c:pt idx="0">
                  <c:v>2022</c:v>
                </c:pt>
                <c:pt idx="1">
                  <c:v>2023</c:v>
                </c:pt>
                <c:pt idx="2">
                  <c:v>2024</c:v>
                </c:pt>
                <c:pt idx="3">
                  <c:v>2025</c:v>
                </c:pt>
                <c:pt idx="4">
                  <c:v>2026</c:v>
                </c:pt>
                <c:pt idx="5">
                  <c:v>2027</c:v>
                </c:pt>
                <c:pt idx="6">
                  <c:v>2028</c:v>
                </c:pt>
              </c:strCache>
            </c:strRef>
          </c:cat>
          <c:val>
            <c:numRef>
              <c:f>Sheet1!$B$2:$J$2</c:f>
              <c:numCache>
                <c:formatCode>0.0</c:formatCode>
                <c:ptCount val="7"/>
                <c:pt idx="0">
                  <c:v>78.582197995555902</c:v>
                </c:pt>
                <c:pt idx="1">
                  <c:v>78.460785674033687</c:v>
                </c:pt>
                <c:pt idx="2">
                  <c:v>78.98127333240312</c:v>
                </c:pt>
                <c:pt idx="3">
                  <c:v>81.120770299768409</c:v>
                </c:pt>
                <c:pt idx="4">
                  <c:v>80.4259739162854</c:v>
                </c:pt>
                <c:pt idx="5">
                  <c:v>79.67563780572587</c:v>
                </c:pt>
                <c:pt idx="6">
                  <c:v>78.920754447937284</c:v>
                </c:pt>
              </c:numCache>
            </c:numRef>
          </c:val>
          <c:extLst>
            <c:ext xmlns:c16="http://schemas.microsoft.com/office/drawing/2014/chart" uri="{C3380CC4-5D6E-409C-BE32-E72D297353CC}">
              <c16:uniqueId val="{00000000-FCA4-4BCB-BD0E-565B217E493C}"/>
            </c:ext>
          </c:extLst>
        </c:ser>
        <c:ser>
          <c:idx val="1"/>
          <c:order val="1"/>
          <c:tx>
            <c:strRef>
              <c:f>Sheet1!$A$3</c:f>
              <c:strCache>
                <c:ptCount val="1"/>
                <c:pt idx="0">
                  <c:v>Հիմնական միջոցներում կապիտալ ներդրումներ</c:v>
                </c:pt>
              </c:strCache>
            </c:strRef>
          </c:tx>
          <c:spPr>
            <a:solidFill>
              <a:sysClr val="window" lastClr="FFFFFF">
                <a:lumMod val="65000"/>
              </a:sysClr>
            </a:solidFill>
            <a:ln>
              <a:noFill/>
            </a:ln>
            <a:effectLst/>
          </c:spPr>
          <c:invertIfNegative val="0"/>
          <c:dLbls>
            <c:spPr>
              <a:noFill/>
              <a:ln>
                <a:noFill/>
              </a:ln>
              <a:effectLst/>
            </c:spPr>
            <c:txPr>
              <a:bodyPr rot="0" vert="horz"/>
              <a:lstStyle/>
              <a:p>
                <a:pPr>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Sheet1!$B$1:$J$1</c:f>
              <c:strCache>
                <c:ptCount val="7"/>
                <c:pt idx="0">
                  <c:v>2022</c:v>
                </c:pt>
                <c:pt idx="1">
                  <c:v>2023</c:v>
                </c:pt>
                <c:pt idx="2">
                  <c:v>2024</c:v>
                </c:pt>
                <c:pt idx="3">
                  <c:v>2025</c:v>
                </c:pt>
                <c:pt idx="4">
                  <c:v>2026</c:v>
                </c:pt>
                <c:pt idx="5">
                  <c:v>2027</c:v>
                </c:pt>
                <c:pt idx="6">
                  <c:v>2028</c:v>
                </c:pt>
              </c:strCache>
            </c:strRef>
          </c:cat>
          <c:val>
            <c:numRef>
              <c:f>Sheet1!$B$3:$J$3</c:f>
              <c:numCache>
                <c:formatCode>0.0</c:formatCode>
                <c:ptCount val="7"/>
                <c:pt idx="0">
                  <c:v>21.069113226739901</c:v>
                </c:pt>
                <c:pt idx="1">
                  <c:v>20.573661922215909</c:v>
                </c:pt>
                <c:pt idx="2">
                  <c:v>21.355044761101805</c:v>
                </c:pt>
                <c:pt idx="3">
                  <c:v>24.801784153938023</c:v>
                </c:pt>
                <c:pt idx="4">
                  <c:v>25.678463929086021</c:v>
                </c:pt>
                <c:pt idx="5">
                  <c:v>26.152662538408304</c:v>
                </c:pt>
                <c:pt idx="6">
                  <c:v>26.691224070920867</c:v>
                </c:pt>
              </c:numCache>
            </c:numRef>
          </c:val>
          <c:extLst>
            <c:ext xmlns:c16="http://schemas.microsoft.com/office/drawing/2014/chart" uri="{C3380CC4-5D6E-409C-BE32-E72D297353CC}">
              <c16:uniqueId val="{00000001-FCA4-4BCB-BD0E-565B217E493C}"/>
            </c:ext>
          </c:extLst>
        </c:ser>
        <c:ser>
          <c:idx val="2"/>
          <c:order val="2"/>
          <c:tx>
            <c:strRef>
              <c:f>Sheet1!$A$4</c:f>
              <c:strCache>
                <c:ptCount val="1"/>
                <c:pt idx="0">
                  <c:v>Ապրանք. և ծառ. արտահանում </c:v>
                </c:pt>
              </c:strCache>
            </c:strRef>
          </c:tx>
          <c:spPr>
            <a:solidFill>
              <a:srgbClr val="B4C7E7"/>
            </a:solidFill>
            <a:ln>
              <a:noFill/>
            </a:ln>
            <a:effectLst/>
          </c:spPr>
          <c:invertIfNegative val="0"/>
          <c:dLbls>
            <c:spPr>
              <a:noFill/>
              <a:ln>
                <a:noFill/>
              </a:ln>
              <a:effectLst/>
            </c:spPr>
            <c:txPr>
              <a:bodyPr rot="0" vert="horz"/>
              <a:lstStyle/>
              <a:p>
                <a:pPr>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Sheet1!$B$1:$J$1</c:f>
              <c:strCache>
                <c:ptCount val="7"/>
                <c:pt idx="0">
                  <c:v>2022</c:v>
                </c:pt>
                <c:pt idx="1">
                  <c:v>2023</c:v>
                </c:pt>
                <c:pt idx="2">
                  <c:v>2024</c:v>
                </c:pt>
                <c:pt idx="3">
                  <c:v>2025</c:v>
                </c:pt>
                <c:pt idx="4">
                  <c:v>2026</c:v>
                </c:pt>
                <c:pt idx="5">
                  <c:v>2027</c:v>
                </c:pt>
                <c:pt idx="6">
                  <c:v>2028</c:v>
                </c:pt>
              </c:strCache>
            </c:strRef>
          </c:cat>
          <c:val>
            <c:numRef>
              <c:f>Sheet1!$B$4:$J$4</c:f>
              <c:numCache>
                <c:formatCode>0.0</c:formatCode>
                <c:ptCount val="7"/>
                <c:pt idx="0">
                  <c:v>50.224980460390675</c:v>
                </c:pt>
                <c:pt idx="1">
                  <c:v>61.008329479156011</c:v>
                </c:pt>
                <c:pt idx="2">
                  <c:v>73.625354006718425</c:v>
                </c:pt>
                <c:pt idx="3">
                  <c:v>48.145155789997311</c:v>
                </c:pt>
                <c:pt idx="4">
                  <c:v>42.743545339053966</c:v>
                </c:pt>
                <c:pt idx="5">
                  <c:v>41.753816057493538</c:v>
                </c:pt>
                <c:pt idx="6">
                  <c:v>41.29801265575432</c:v>
                </c:pt>
              </c:numCache>
            </c:numRef>
          </c:val>
          <c:extLst>
            <c:ext xmlns:c16="http://schemas.microsoft.com/office/drawing/2014/chart" uri="{C3380CC4-5D6E-409C-BE32-E72D297353CC}">
              <c16:uniqueId val="{00000002-FCA4-4BCB-BD0E-565B217E493C}"/>
            </c:ext>
          </c:extLst>
        </c:ser>
        <c:ser>
          <c:idx val="3"/>
          <c:order val="3"/>
          <c:tx>
            <c:strRef>
              <c:f>Sheet1!$A$5</c:f>
              <c:strCache>
                <c:ptCount val="1"/>
                <c:pt idx="0">
                  <c:v>Ապրանք. և ծառ. ներմուծում ("-" նշանով)</c:v>
                </c:pt>
              </c:strCache>
            </c:strRef>
          </c:tx>
          <c:spPr>
            <a:solidFill>
              <a:srgbClr val="4472C4"/>
            </a:solidFill>
            <a:ln>
              <a:noFill/>
            </a:ln>
            <a:effectLst/>
          </c:spPr>
          <c:invertIfNegative val="0"/>
          <c:dLbls>
            <c:spPr>
              <a:noFill/>
              <a:ln>
                <a:noFill/>
              </a:ln>
              <a:effectLst/>
            </c:spPr>
            <c:txPr>
              <a:bodyPr rot="0" vert="horz"/>
              <a:lstStyle/>
              <a:p>
                <a:pPr>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Sheet1!$B$1:$J$1</c:f>
              <c:strCache>
                <c:ptCount val="7"/>
                <c:pt idx="0">
                  <c:v>2022</c:v>
                </c:pt>
                <c:pt idx="1">
                  <c:v>2023</c:v>
                </c:pt>
                <c:pt idx="2">
                  <c:v>2024</c:v>
                </c:pt>
                <c:pt idx="3">
                  <c:v>2025</c:v>
                </c:pt>
                <c:pt idx="4">
                  <c:v>2026</c:v>
                </c:pt>
                <c:pt idx="5">
                  <c:v>2027</c:v>
                </c:pt>
                <c:pt idx="6">
                  <c:v>2028</c:v>
                </c:pt>
              </c:strCache>
            </c:strRef>
          </c:cat>
          <c:val>
            <c:numRef>
              <c:f>Sheet1!$B$5:$J$5</c:f>
              <c:numCache>
                <c:formatCode>0.0</c:formatCode>
                <c:ptCount val="7"/>
                <c:pt idx="0">
                  <c:v>-51.185797800549146</c:v>
                </c:pt>
                <c:pt idx="1">
                  <c:v>-62.410420598470942</c:v>
                </c:pt>
                <c:pt idx="2">
                  <c:v>-76.439372582023609</c:v>
                </c:pt>
                <c:pt idx="3">
                  <c:v>-53.242744222759008</c:v>
                </c:pt>
                <c:pt idx="4">
                  <c:v>-47.381491161667903</c:v>
                </c:pt>
                <c:pt idx="5">
                  <c:v>-46.165200542661346</c:v>
                </c:pt>
                <c:pt idx="6">
                  <c:v>-45.39917710436395</c:v>
                </c:pt>
              </c:numCache>
            </c:numRef>
          </c:val>
          <c:extLst>
            <c:ext xmlns:c16="http://schemas.microsoft.com/office/drawing/2014/chart" uri="{C3380CC4-5D6E-409C-BE32-E72D297353CC}">
              <c16:uniqueId val="{00000003-FCA4-4BCB-BD0E-565B217E493C}"/>
            </c:ext>
          </c:extLst>
        </c:ser>
        <c:dLbls>
          <c:showLegendKey val="0"/>
          <c:showVal val="0"/>
          <c:showCatName val="0"/>
          <c:showSerName val="0"/>
          <c:showPercent val="0"/>
          <c:showBubbleSize val="0"/>
        </c:dLbls>
        <c:gapWidth val="150"/>
        <c:overlap val="100"/>
        <c:axId val="256640128"/>
        <c:axId val="256641664"/>
      </c:barChart>
      <c:catAx>
        <c:axId val="2566401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vert="horz"/>
          <a:lstStyle/>
          <a:p>
            <a:pPr>
              <a:defRPr/>
            </a:pPr>
            <a:endParaRPr lang="en-US"/>
          </a:p>
        </c:txPr>
        <c:crossAx val="256641664"/>
        <c:crosses val="autoZero"/>
        <c:auto val="1"/>
        <c:lblAlgn val="ctr"/>
        <c:lblOffset val="600"/>
        <c:noMultiLvlLbl val="0"/>
      </c:catAx>
      <c:valAx>
        <c:axId val="256641664"/>
        <c:scaling>
          <c:orientation val="minMax"/>
        </c:scaling>
        <c:delete val="0"/>
        <c:axPos val="l"/>
        <c:numFmt formatCode="0%" sourceLinked="1"/>
        <c:majorTickMark val="none"/>
        <c:minorTickMark val="none"/>
        <c:tickLblPos val="nextTo"/>
        <c:spPr>
          <a:noFill/>
          <a:ln>
            <a:noFill/>
          </a:ln>
          <a:effectLst/>
        </c:spPr>
        <c:txPr>
          <a:bodyPr rot="-60000000" vert="horz"/>
          <a:lstStyle/>
          <a:p>
            <a:pPr>
              <a:defRPr sz="600" b="0">
                <a:solidFill>
                  <a:schemeClr val="bg1">
                    <a:lumMod val="65000"/>
                  </a:schemeClr>
                </a:solidFill>
              </a:defRPr>
            </a:pPr>
            <a:endParaRPr lang="en-US"/>
          </a:p>
        </c:txPr>
        <c:crossAx val="256640128"/>
        <c:crosses val="autoZero"/>
        <c:crossBetween val="between"/>
      </c:valAx>
      <c:spPr>
        <a:noFill/>
        <a:ln>
          <a:noFill/>
        </a:ln>
        <a:effectLst/>
      </c:spPr>
    </c:plotArea>
    <c:legend>
      <c:legendPos val="b"/>
      <c:layout>
        <c:manualLayout>
          <c:xMode val="edge"/>
          <c:yMode val="edge"/>
          <c:x val="5.2434256574987008E-3"/>
          <c:y val="0.78567465684281557"/>
          <c:w val="0.93683576085940545"/>
          <c:h val="0.21432534315718438"/>
        </c:manualLayout>
      </c:layout>
      <c:overlay val="0"/>
      <c:spPr>
        <a:noFill/>
        <a:ln>
          <a:noFill/>
        </a:ln>
        <a:effectLst/>
      </c:spPr>
      <c:txPr>
        <a:bodyPr rot="0" vert="horz"/>
        <a:lstStyle/>
        <a:p>
          <a:pPr>
            <a:defRPr/>
          </a:pPr>
          <a:endParaRPr lang="en-US"/>
        </a:p>
      </c:txPr>
    </c:legend>
    <c:plotVisOnly val="1"/>
    <c:dispBlanksAs val="gap"/>
    <c:showDLblsOverMax val="0"/>
  </c:chart>
  <c:spPr>
    <a:noFill/>
    <a:ln w="12700" cap="flat" cmpd="sng" algn="ctr">
      <a:solidFill>
        <a:sysClr val="window" lastClr="FFFFFF"/>
      </a:solidFill>
      <a:round/>
    </a:ln>
    <a:effectLst/>
  </c:spPr>
  <c:txPr>
    <a:bodyPr/>
    <a:lstStyle/>
    <a:p>
      <a:pPr>
        <a:defRPr sz="600">
          <a:latin typeface="Calibri" panose="020F0502020204030204" pitchFamily="34" charset="0"/>
          <a:ea typeface="Calibri" panose="020F0502020204030204" pitchFamily="34" charset="0"/>
          <a:cs typeface="Calibri" panose="020F0502020204030204" pitchFamily="34" charset="0"/>
        </a:defRPr>
      </a:pPr>
      <a:endParaRPr lang="en-US"/>
    </a:p>
  </c:txPr>
  <c:externalData r:id="rId2">
    <c:autoUpdate val="0"/>
  </c:externalData>
  <c:userShapes r:id="rId3"/>
</c:chartSpace>
</file>

<file path=word/charts/chart1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9.7122703412073505E-2"/>
          <c:y val="0.11364372136409777"/>
          <c:w val="0.87232174103237092"/>
          <c:h val="0.52027380723750993"/>
        </c:manualLayout>
      </c:layout>
      <c:barChart>
        <c:barDir val="col"/>
        <c:grouping val="percentStacked"/>
        <c:varyColors val="0"/>
        <c:ser>
          <c:idx val="0"/>
          <c:order val="0"/>
          <c:tx>
            <c:strRef>
              <c:f>Sheet1!$A$8</c:f>
              <c:strCache>
                <c:ptCount val="1"/>
                <c:pt idx="0">
                  <c:v>Արդյունաբերություն</c:v>
                </c:pt>
              </c:strCache>
            </c:strRef>
          </c:tx>
          <c:spPr>
            <a:solidFill>
              <a:srgbClr val="B4C7E7"/>
            </a:solidFill>
            <a:ln>
              <a:noFill/>
            </a:ln>
            <a:effectLst/>
          </c:spPr>
          <c:invertIfNegative val="0"/>
          <c:dLbls>
            <c:spPr>
              <a:noFill/>
              <a:ln>
                <a:noFill/>
              </a:ln>
              <a:effectLst/>
            </c:spPr>
            <c:txPr>
              <a:bodyPr rot="0" vert="horz"/>
              <a:lstStyle/>
              <a:p>
                <a:pPr>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Sheet1!$B$7:$J$7</c:f>
              <c:strCache>
                <c:ptCount val="7"/>
                <c:pt idx="0">
                  <c:v>2022</c:v>
                </c:pt>
                <c:pt idx="1">
                  <c:v>2023</c:v>
                </c:pt>
                <c:pt idx="2">
                  <c:v>2024</c:v>
                </c:pt>
                <c:pt idx="3">
                  <c:v>2025</c:v>
                </c:pt>
                <c:pt idx="4">
                  <c:v>2026</c:v>
                </c:pt>
                <c:pt idx="5">
                  <c:v>2027</c:v>
                </c:pt>
                <c:pt idx="6">
                  <c:v>2028</c:v>
                </c:pt>
              </c:strCache>
            </c:strRef>
          </c:cat>
          <c:val>
            <c:numRef>
              <c:f>Sheet1!$B$8:$J$8</c:f>
              <c:numCache>
                <c:formatCode>0.0</c:formatCode>
                <c:ptCount val="7"/>
                <c:pt idx="0">
                  <c:v>18.638218325454012</c:v>
                </c:pt>
                <c:pt idx="1">
                  <c:v>15.97963355188203</c:v>
                </c:pt>
                <c:pt idx="2">
                  <c:v>15.791691524625701</c:v>
                </c:pt>
                <c:pt idx="3">
                  <c:v>15.044068774427469</c:v>
                </c:pt>
                <c:pt idx="4">
                  <c:v>15.450271699685814</c:v>
                </c:pt>
                <c:pt idx="5">
                  <c:v>15.864882114911794</c:v>
                </c:pt>
                <c:pt idx="6">
                  <c:v>15.872110026297193</c:v>
                </c:pt>
              </c:numCache>
            </c:numRef>
          </c:val>
          <c:extLst>
            <c:ext xmlns:c16="http://schemas.microsoft.com/office/drawing/2014/chart" uri="{C3380CC4-5D6E-409C-BE32-E72D297353CC}">
              <c16:uniqueId val="{00000000-9F1D-49CC-B47F-DD51A687F7C6}"/>
            </c:ext>
          </c:extLst>
        </c:ser>
        <c:ser>
          <c:idx val="1"/>
          <c:order val="1"/>
          <c:tx>
            <c:strRef>
              <c:f>Sheet1!$A$9</c:f>
              <c:strCache>
                <c:ptCount val="1"/>
                <c:pt idx="0">
                  <c:v>Գյուղատնտեսություն և անտառային տնտեսություն</c:v>
                </c:pt>
              </c:strCache>
            </c:strRef>
          </c:tx>
          <c:spPr>
            <a:solidFill>
              <a:srgbClr val="8064A2"/>
            </a:solidFill>
            <a:ln>
              <a:noFill/>
            </a:ln>
            <a:effectLst/>
          </c:spPr>
          <c:invertIfNegative val="0"/>
          <c:dLbls>
            <c:spPr>
              <a:noFill/>
              <a:ln>
                <a:noFill/>
              </a:ln>
              <a:effectLst/>
            </c:spPr>
            <c:txPr>
              <a:bodyPr rot="0" vert="horz"/>
              <a:lstStyle/>
              <a:p>
                <a:pPr>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Sheet1!$B$7:$J$7</c:f>
              <c:strCache>
                <c:ptCount val="7"/>
                <c:pt idx="0">
                  <c:v>2022</c:v>
                </c:pt>
                <c:pt idx="1">
                  <c:v>2023</c:v>
                </c:pt>
                <c:pt idx="2">
                  <c:v>2024</c:v>
                </c:pt>
                <c:pt idx="3">
                  <c:v>2025</c:v>
                </c:pt>
                <c:pt idx="4">
                  <c:v>2026</c:v>
                </c:pt>
                <c:pt idx="5">
                  <c:v>2027</c:v>
                </c:pt>
                <c:pt idx="6">
                  <c:v>2028</c:v>
                </c:pt>
              </c:strCache>
            </c:strRef>
          </c:cat>
          <c:val>
            <c:numRef>
              <c:f>Sheet1!$B$9:$J$9</c:f>
              <c:numCache>
                <c:formatCode>0.0</c:formatCode>
                <c:ptCount val="7"/>
                <c:pt idx="0">
                  <c:v>10.146703925568264</c:v>
                </c:pt>
                <c:pt idx="1">
                  <c:v>8.1022379918879839</c:v>
                </c:pt>
                <c:pt idx="2">
                  <c:v>7.8058862175467327</c:v>
                </c:pt>
                <c:pt idx="3">
                  <c:v>7.6760129955191232</c:v>
                </c:pt>
                <c:pt idx="4">
                  <c:v>7.4834993029925672</c:v>
                </c:pt>
                <c:pt idx="5">
                  <c:v>7.2905758249320396</c:v>
                </c:pt>
                <c:pt idx="6">
                  <c:v>7.1056932397672607</c:v>
                </c:pt>
              </c:numCache>
            </c:numRef>
          </c:val>
          <c:extLst>
            <c:ext xmlns:c16="http://schemas.microsoft.com/office/drawing/2014/chart" uri="{C3380CC4-5D6E-409C-BE32-E72D297353CC}">
              <c16:uniqueId val="{00000001-9F1D-49CC-B47F-DD51A687F7C6}"/>
            </c:ext>
          </c:extLst>
        </c:ser>
        <c:ser>
          <c:idx val="2"/>
          <c:order val="2"/>
          <c:tx>
            <c:strRef>
              <c:f>Sheet1!$A$10</c:f>
              <c:strCache>
                <c:ptCount val="1"/>
                <c:pt idx="0">
                  <c:v>Շինարարություն</c:v>
                </c:pt>
              </c:strCache>
            </c:strRef>
          </c:tx>
          <c:spPr>
            <a:solidFill>
              <a:schemeClr val="accent3"/>
            </a:solidFill>
            <a:ln>
              <a:noFill/>
            </a:ln>
            <a:effectLst/>
          </c:spPr>
          <c:invertIfNegative val="0"/>
          <c:dLbls>
            <c:spPr>
              <a:noFill/>
              <a:ln>
                <a:noFill/>
              </a:ln>
              <a:effectLst/>
            </c:spPr>
            <c:txPr>
              <a:bodyPr rot="0" vert="horz"/>
              <a:lstStyle/>
              <a:p>
                <a:pPr>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Sheet1!$B$7:$J$7</c:f>
              <c:strCache>
                <c:ptCount val="7"/>
                <c:pt idx="0">
                  <c:v>2022</c:v>
                </c:pt>
                <c:pt idx="1">
                  <c:v>2023</c:v>
                </c:pt>
                <c:pt idx="2">
                  <c:v>2024</c:v>
                </c:pt>
                <c:pt idx="3">
                  <c:v>2025</c:v>
                </c:pt>
                <c:pt idx="4">
                  <c:v>2026</c:v>
                </c:pt>
                <c:pt idx="5">
                  <c:v>2027</c:v>
                </c:pt>
                <c:pt idx="6">
                  <c:v>2028</c:v>
                </c:pt>
              </c:strCache>
            </c:strRef>
          </c:cat>
          <c:val>
            <c:numRef>
              <c:f>Sheet1!$B$10:$J$10</c:f>
              <c:numCache>
                <c:formatCode>0.0</c:formatCode>
                <c:ptCount val="7"/>
                <c:pt idx="0">
                  <c:v>6.7988783183253441</c:v>
                </c:pt>
                <c:pt idx="1">
                  <c:v>6.9004626097850599</c:v>
                </c:pt>
                <c:pt idx="2">
                  <c:v>7.0653748405600627</c:v>
                </c:pt>
                <c:pt idx="3">
                  <c:v>7.7927060158861359</c:v>
                </c:pt>
                <c:pt idx="4">
                  <c:v>7.8261201808301442</c:v>
                </c:pt>
                <c:pt idx="5">
                  <c:v>7.8034151143740651</c:v>
                </c:pt>
                <c:pt idx="6">
                  <c:v>7.7761959364379321</c:v>
                </c:pt>
              </c:numCache>
            </c:numRef>
          </c:val>
          <c:extLst>
            <c:ext xmlns:c16="http://schemas.microsoft.com/office/drawing/2014/chart" uri="{C3380CC4-5D6E-409C-BE32-E72D297353CC}">
              <c16:uniqueId val="{00000002-9F1D-49CC-B47F-DD51A687F7C6}"/>
            </c:ext>
          </c:extLst>
        </c:ser>
        <c:ser>
          <c:idx val="3"/>
          <c:order val="3"/>
          <c:tx>
            <c:strRef>
              <c:f>Sheet1!$A$11</c:f>
              <c:strCache>
                <c:ptCount val="1"/>
                <c:pt idx="0">
                  <c:v>Ծառայություններ</c:v>
                </c:pt>
              </c:strCache>
            </c:strRef>
          </c:tx>
          <c:spPr>
            <a:solidFill>
              <a:srgbClr val="ED7D31">
                <a:lumMod val="60000"/>
                <a:lumOff val="40000"/>
              </a:srgbClr>
            </a:solidFill>
            <a:ln>
              <a:noFill/>
            </a:ln>
            <a:effectLst/>
          </c:spPr>
          <c:invertIfNegative val="0"/>
          <c:dLbls>
            <c:spPr>
              <a:noFill/>
              <a:ln>
                <a:noFill/>
              </a:ln>
              <a:effectLst/>
            </c:spPr>
            <c:txPr>
              <a:bodyPr rot="0" vert="horz"/>
              <a:lstStyle/>
              <a:p>
                <a:pPr>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Sheet1!$B$7:$J$7</c:f>
              <c:strCache>
                <c:ptCount val="7"/>
                <c:pt idx="0">
                  <c:v>2022</c:v>
                </c:pt>
                <c:pt idx="1">
                  <c:v>2023</c:v>
                </c:pt>
                <c:pt idx="2">
                  <c:v>2024</c:v>
                </c:pt>
                <c:pt idx="3">
                  <c:v>2025</c:v>
                </c:pt>
                <c:pt idx="4">
                  <c:v>2026</c:v>
                </c:pt>
                <c:pt idx="5">
                  <c:v>2027</c:v>
                </c:pt>
                <c:pt idx="6">
                  <c:v>2028</c:v>
                </c:pt>
              </c:strCache>
            </c:strRef>
          </c:cat>
          <c:val>
            <c:numRef>
              <c:f>Sheet1!$B$11:$J$11</c:f>
              <c:numCache>
                <c:formatCode>0.0</c:formatCode>
                <c:ptCount val="7"/>
                <c:pt idx="0">
                  <c:v>54.031010288669137</c:v>
                </c:pt>
                <c:pt idx="1">
                  <c:v>58.290869258948597</c:v>
                </c:pt>
                <c:pt idx="2">
                  <c:v>59.394549538269082</c:v>
                </c:pt>
                <c:pt idx="3">
                  <c:v>58.848679526853061</c:v>
                </c:pt>
                <c:pt idx="4">
                  <c:v>58.563580346188296</c:v>
                </c:pt>
                <c:pt idx="5">
                  <c:v>58.32776637148298</c:v>
                </c:pt>
                <c:pt idx="6">
                  <c:v>58.488004317826913</c:v>
                </c:pt>
              </c:numCache>
            </c:numRef>
          </c:val>
          <c:extLst>
            <c:ext xmlns:c16="http://schemas.microsoft.com/office/drawing/2014/chart" uri="{C3380CC4-5D6E-409C-BE32-E72D297353CC}">
              <c16:uniqueId val="{00000003-9F1D-49CC-B47F-DD51A687F7C6}"/>
            </c:ext>
          </c:extLst>
        </c:ser>
        <c:ser>
          <c:idx val="4"/>
          <c:order val="4"/>
          <c:tx>
            <c:strRef>
              <c:f>Sheet1!$A$12</c:f>
              <c:strCache>
                <c:ptCount val="1"/>
                <c:pt idx="0">
                  <c:v>Զուտ հարկեր</c:v>
                </c:pt>
              </c:strCache>
            </c:strRef>
          </c:tx>
          <c:spPr>
            <a:solidFill>
              <a:schemeClr val="accent5"/>
            </a:solidFill>
            <a:ln>
              <a:noFill/>
            </a:ln>
            <a:effectLst/>
          </c:spPr>
          <c:invertIfNegative val="0"/>
          <c:dLbls>
            <c:spPr>
              <a:noFill/>
              <a:ln>
                <a:noFill/>
              </a:ln>
              <a:effectLst/>
            </c:spPr>
            <c:txPr>
              <a:bodyPr rot="0" vert="horz"/>
              <a:lstStyle/>
              <a:p>
                <a:pPr>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Sheet1!$B$7:$J$7</c:f>
              <c:strCache>
                <c:ptCount val="7"/>
                <c:pt idx="0">
                  <c:v>2022</c:v>
                </c:pt>
                <c:pt idx="1">
                  <c:v>2023</c:v>
                </c:pt>
                <c:pt idx="2">
                  <c:v>2024</c:v>
                </c:pt>
                <c:pt idx="3">
                  <c:v>2025</c:v>
                </c:pt>
                <c:pt idx="4">
                  <c:v>2026</c:v>
                </c:pt>
                <c:pt idx="5">
                  <c:v>2027</c:v>
                </c:pt>
                <c:pt idx="6">
                  <c:v>2028</c:v>
                </c:pt>
              </c:strCache>
            </c:strRef>
          </c:cat>
          <c:val>
            <c:numRef>
              <c:f>Sheet1!$B$12:$J$12</c:f>
              <c:numCache>
                <c:formatCode>0.0</c:formatCode>
                <c:ptCount val="7"/>
                <c:pt idx="0">
                  <c:v>10.385189141983247</c:v>
                </c:pt>
                <c:pt idx="1">
                  <c:v>10.726796587496313</c:v>
                </c:pt>
                <c:pt idx="2">
                  <c:v>9.9424978789984113</c:v>
                </c:pt>
                <c:pt idx="3">
                  <c:v>10.638532687314219</c:v>
                </c:pt>
                <c:pt idx="4">
                  <c:v>10.67652847030319</c:v>
                </c:pt>
                <c:pt idx="5">
                  <c:v>10.713360574299122</c:v>
                </c:pt>
                <c:pt idx="6">
                  <c:v>10.7579964796707</c:v>
                </c:pt>
              </c:numCache>
            </c:numRef>
          </c:val>
          <c:extLst>
            <c:ext xmlns:c16="http://schemas.microsoft.com/office/drawing/2014/chart" uri="{C3380CC4-5D6E-409C-BE32-E72D297353CC}">
              <c16:uniqueId val="{00000004-9F1D-49CC-B47F-DD51A687F7C6}"/>
            </c:ext>
          </c:extLst>
        </c:ser>
        <c:dLbls>
          <c:showLegendKey val="0"/>
          <c:showVal val="0"/>
          <c:showCatName val="0"/>
          <c:showSerName val="0"/>
          <c:showPercent val="0"/>
          <c:showBubbleSize val="0"/>
        </c:dLbls>
        <c:gapWidth val="150"/>
        <c:overlap val="100"/>
        <c:axId val="256719488"/>
        <c:axId val="256721280"/>
      </c:barChart>
      <c:catAx>
        <c:axId val="25671948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vert="horz"/>
          <a:lstStyle/>
          <a:p>
            <a:pPr>
              <a:defRPr/>
            </a:pPr>
            <a:endParaRPr lang="en-US"/>
          </a:p>
        </c:txPr>
        <c:crossAx val="256721280"/>
        <c:crosses val="autoZero"/>
        <c:auto val="1"/>
        <c:lblAlgn val="ctr"/>
        <c:lblOffset val="100"/>
        <c:noMultiLvlLbl val="0"/>
      </c:catAx>
      <c:valAx>
        <c:axId val="256721280"/>
        <c:scaling>
          <c:orientation val="minMax"/>
        </c:scaling>
        <c:delete val="0"/>
        <c:axPos val="l"/>
        <c:numFmt formatCode="0%" sourceLinked="1"/>
        <c:majorTickMark val="none"/>
        <c:minorTickMark val="none"/>
        <c:tickLblPos val="nextTo"/>
        <c:spPr>
          <a:noFill/>
          <a:ln>
            <a:noFill/>
          </a:ln>
          <a:effectLst/>
        </c:spPr>
        <c:txPr>
          <a:bodyPr rot="-60000000" vert="horz"/>
          <a:lstStyle/>
          <a:p>
            <a:pPr>
              <a:defRPr>
                <a:solidFill>
                  <a:schemeClr val="bg1">
                    <a:lumMod val="65000"/>
                  </a:schemeClr>
                </a:solidFill>
              </a:defRPr>
            </a:pPr>
            <a:endParaRPr lang="en-US"/>
          </a:p>
        </c:txPr>
        <c:crossAx val="256719488"/>
        <c:crosses val="autoZero"/>
        <c:crossBetween val="between"/>
      </c:valAx>
      <c:spPr>
        <a:noFill/>
        <a:ln>
          <a:noFill/>
        </a:ln>
        <a:effectLst/>
      </c:spPr>
    </c:plotArea>
    <c:legend>
      <c:legendPos val="b"/>
      <c:layout>
        <c:manualLayout>
          <c:xMode val="edge"/>
          <c:yMode val="edge"/>
          <c:x val="0"/>
          <c:y val="0.72863381539899719"/>
          <c:w val="1"/>
          <c:h val="0.26466372946795774"/>
        </c:manualLayout>
      </c:layout>
      <c:overlay val="0"/>
      <c:spPr>
        <a:noFill/>
        <a:ln>
          <a:noFill/>
        </a:ln>
        <a:effectLst/>
      </c:spPr>
      <c:txPr>
        <a:bodyPr rot="0" vert="horz"/>
        <a:lstStyle/>
        <a:p>
          <a:pPr>
            <a:defRPr/>
          </a:pPr>
          <a:endParaRPr lang="en-US"/>
        </a:p>
      </c:txPr>
    </c:legend>
    <c:plotVisOnly val="1"/>
    <c:dispBlanksAs val="gap"/>
    <c:showDLblsOverMax val="0"/>
  </c:chart>
  <c:spPr>
    <a:noFill/>
    <a:ln w="12700" cap="flat" cmpd="sng" algn="ctr">
      <a:solidFill>
        <a:sysClr val="window" lastClr="FFFFFF"/>
      </a:solidFill>
      <a:round/>
    </a:ln>
    <a:effectLst/>
  </c:spPr>
  <c:txPr>
    <a:bodyPr/>
    <a:lstStyle/>
    <a:p>
      <a:pPr>
        <a:defRPr sz="600">
          <a:latin typeface="Calibri" panose="020F0502020204030204" pitchFamily="34" charset="0"/>
          <a:ea typeface="Calibri" panose="020F0502020204030204" pitchFamily="34" charset="0"/>
          <a:cs typeface="Calibri" panose="020F0502020204030204" pitchFamily="34" charset="0"/>
        </a:defRPr>
      </a:pPr>
      <a:endParaRPr lang="en-US"/>
    </a:p>
  </c:txPr>
  <c:externalData r:id="rId2">
    <c:autoUpdate val="0"/>
  </c:externalData>
  <c:userShapes r:id="rId3"/>
</c:chartSpace>
</file>

<file path=word/charts/chart1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9.2255339582241094E-2"/>
          <c:y val="5.5394509696540452E-2"/>
          <c:w val="0.89360932403673565"/>
          <c:h val="0.60948179906831013"/>
        </c:manualLayout>
      </c:layout>
      <c:lineChart>
        <c:grouping val="standard"/>
        <c:varyColors val="0"/>
        <c:ser>
          <c:idx val="0"/>
          <c:order val="0"/>
          <c:tx>
            <c:strRef>
              <c:f>Sheet1!$B$1</c:f>
              <c:strCache>
                <c:ptCount val="1"/>
                <c:pt idx="0">
                  <c:v>2026-2028թթ. պետական բյուջե, կանխատեսվող</c:v>
                </c:pt>
              </c:strCache>
            </c:strRef>
          </c:tx>
          <c:spPr>
            <a:ln w="28575">
              <a:solidFill>
                <a:srgbClr val="4472C4"/>
              </a:solidFill>
            </a:ln>
            <a:effectLst/>
          </c:spPr>
          <c:marker>
            <c:symbol val="none"/>
          </c:marker>
          <c:cat>
            <c:numRef>
              <c:f>Sheet1!$A$2:$A$12</c:f>
              <c:numCache>
                <c:formatCode>General</c:formatCode>
                <c:ptCount val="9"/>
                <c:pt idx="0">
                  <c:v>2020</c:v>
                </c:pt>
                <c:pt idx="1">
                  <c:v>2021</c:v>
                </c:pt>
                <c:pt idx="2">
                  <c:v>2022</c:v>
                </c:pt>
                <c:pt idx="3">
                  <c:v>2023</c:v>
                </c:pt>
                <c:pt idx="4">
                  <c:v>2024</c:v>
                </c:pt>
                <c:pt idx="5">
                  <c:v>2025</c:v>
                </c:pt>
                <c:pt idx="6">
                  <c:v>2026</c:v>
                </c:pt>
                <c:pt idx="7">
                  <c:v>2027</c:v>
                </c:pt>
                <c:pt idx="8">
                  <c:v>2028</c:v>
                </c:pt>
              </c:numCache>
            </c:numRef>
          </c:cat>
          <c:val>
            <c:numRef>
              <c:f>Sheet1!$B$2:$B$12</c:f>
              <c:numCache>
                <c:formatCode>#,##0</c:formatCode>
                <c:ptCount val="9"/>
                <c:pt idx="0">
                  <c:v>100</c:v>
                </c:pt>
                <c:pt idx="1">
                  <c:v>105.8</c:v>
                </c:pt>
                <c:pt idx="2">
                  <c:v>119.13079999999999</c:v>
                </c:pt>
                <c:pt idx="3">
                  <c:v>129.01865639999997</c:v>
                </c:pt>
                <c:pt idx="4">
                  <c:v>136.63075712759996</c:v>
                </c:pt>
                <c:pt idx="5">
                  <c:v>143.72844504309941</c:v>
                </c:pt>
                <c:pt idx="6">
                  <c:v>151.42744076666332</c:v>
                </c:pt>
                <c:pt idx="7">
                  <c:v>159.57132898884853</c:v>
                </c:pt>
                <c:pt idx="8">
                  <c:v>168.05683189905366</c:v>
                </c:pt>
              </c:numCache>
            </c:numRef>
          </c:val>
          <c:smooth val="0"/>
          <c:extLst>
            <c:ext xmlns:c16="http://schemas.microsoft.com/office/drawing/2014/chart" uri="{C3380CC4-5D6E-409C-BE32-E72D297353CC}">
              <c16:uniqueId val="{00000000-27FB-44BF-983C-11FAB4C9841B}"/>
            </c:ext>
          </c:extLst>
        </c:ser>
        <c:ser>
          <c:idx val="1"/>
          <c:order val="1"/>
          <c:tx>
            <c:strRef>
              <c:f>Sheet1!$C$1</c:f>
              <c:strCache>
                <c:ptCount val="1"/>
                <c:pt idx="0">
                  <c:v>Կառավարության թիրախ, 2021-2026թ. 7%  տնտեսական աճ</c:v>
                </c:pt>
              </c:strCache>
            </c:strRef>
          </c:tx>
          <c:spPr>
            <a:ln w="28575" cap="rnd">
              <a:solidFill>
                <a:srgbClr val="ED7D31"/>
              </a:solidFill>
              <a:round/>
            </a:ln>
            <a:effectLst/>
          </c:spPr>
          <c:marker>
            <c:symbol val="none"/>
          </c:marker>
          <c:cat>
            <c:numRef>
              <c:f>Sheet1!$A$2:$A$12</c:f>
              <c:numCache>
                <c:formatCode>General</c:formatCode>
                <c:ptCount val="9"/>
                <c:pt idx="0">
                  <c:v>2020</c:v>
                </c:pt>
                <c:pt idx="1">
                  <c:v>2021</c:v>
                </c:pt>
                <c:pt idx="2">
                  <c:v>2022</c:v>
                </c:pt>
                <c:pt idx="3">
                  <c:v>2023</c:v>
                </c:pt>
                <c:pt idx="4">
                  <c:v>2024</c:v>
                </c:pt>
                <c:pt idx="5">
                  <c:v>2025</c:v>
                </c:pt>
                <c:pt idx="6">
                  <c:v>2026</c:v>
                </c:pt>
                <c:pt idx="7">
                  <c:v>2027</c:v>
                </c:pt>
                <c:pt idx="8">
                  <c:v>2028</c:v>
                </c:pt>
              </c:numCache>
            </c:numRef>
          </c:cat>
          <c:val>
            <c:numRef>
              <c:f>Sheet1!$C$2:$C$12</c:f>
              <c:numCache>
                <c:formatCode>#,##0</c:formatCode>
                <c:ptCount val="9"/>
                <c:pt idx="0">
                  <c:v>100</c:v>
                </c:pt>
                <c:pt idx="1">
                  <c:v>107</c:v>
                </c:pt>
                <c:pt idx="2">
                  <c:v>114.49000000000001</c:v>
                </c:pt>
                <c:pt idx="3">
                  <c:v>122.50430000000001</c:v>
                </c:pt>
                <c:pt idx="4">
                  <c:v>131.07960100000003</c:v>
                </c:pt>
                <c:pt idx="5">
                  <c:v>140.25517307000004</c:v>
                </c:pt>
                <c:pt idx="6">
                  <c:v>150.07303518490005</c:v>
                </c:pt>
              </c:numCache>
            </c:numRef>
          </c:val>
          <c:smooth val="0"/>
          <c:extLst>
            <c:ext xmlns:c16="http://schemas.microsoft.com/office/drawing/2014/chart" uri="{C3380CC4-5D6E-409C-BE32-E72D297353CC}">
              <c16:uniqueId val="{00000001-27FB-44BF-983C-11FAB4C9841B}"/>
            </c:ext>
          </c:extLst>
        </c:ser>
        <c:ser>
          <c:idx val="2"/>
          <c:order val="2"/>
          <c:tx>
            <c:strRef>
              <c:f>Sheet1!$D$1</c:f>
              <c:strCache>
                <c:ptCount val="1"/>
                <c:pt idx="0">
                  <c:v>Թիրախային, 2025-2027 թթ. ՄԺԾԾ</c:v>
                </c:pt>
              </c:strCache>
            </c:strRef>
          </c:tx>
          <c:marker>
            <c:symbol val="circle"/>
            <c:size val="5"/>
            <c:spPr>
              <a:solidFill>
                <a:schemeClr val="accent6">
                  <a:lumMod val="75000"/>
                </a:schemeClr>
              </a:solidFill>
              <a:ln w="9525">
                <a:solidFill>
                  <a:schemeClr val="accent6">
                    <a:lumMod val="75000"/>
                  </a:schemeClr>
                </a:solidFill>
              </a:ln>
              <a:effectLst/>
            </c:spPr>
          </c:marker>
          <c:cat>
            <c:numRef>
              <c:f>Sheet1!$A$2:$A$12</c:f>
              <c:numCache>
                <c:formatCode>General</c:formatCode>
                <c:ptCount val="9"/>
                <c:pt idx="0">
                  <c:v>2020</c:v>
                </c:pt>
                <c:pt idx="1">
                  <c:v>2021</c:v>
                </c:pt>
                <c:pt idx="2">
                  <c:v>2022</c:v>
                </c:pt>
                <c:pt idx="3">
                  <c:v>2023</c:v>
                </c:pt>
                <c:pt idx="4">
                  <c:v>2024</c:v>
                </c:pt>
                <c:pt idx="5">
                  <c:v>2025</c:v>
                </c:pt>
                <c:pt idx="6">
                  <c:v>2026</c:v>
                </c:pt>
                <c:pt idx="7">
                  <c:v>2027</c:v>
                </c:pt>
                <c:pt idx="8">
                  <c:v>2028</c:v>
                </c:pt>
              </c:numCache>
            </c:numRef>
          </c:cat>
          <c:val>
            <c:numRef>
              <c:f>Sheet1!$D$2:$D$12</c:f>
            </c:numRef>
          </c:val>
          <c:smooth val="0"/>
          <c:extLst>
            <c:ext xmlns:c16="http://schemas.microsoft.com/office/drawing/2014/chart" uri="{C3380CC4-5D6E-409C-BE32-E72D297353CC}">
              <c16:uniqueId val="{00000002-27FB-44BF-983C-11FAB4C9841B}"/>
            </c:ext>
          </c:extLst>
        </c:ser>
        <c:ser>
          <c:idx val="3"/>
          <c:order val="3"/>
          <c:tx>
            <c:strRef>
              <c:f>Sheet1!$E$1</c:f>
              <c:strCache>
                <c:ptCount val="1"/>
                <c:pt idx="0">
                  <c:v>Բյուջե 2024, կանխատեսվող</c:v>
                </c:pt>
              </c:strCache>
            </c:strRef>
          </c:tx>
          <c:marker>
            <c:spPr>
              <a:ln>
                <a:solidFill>
                  <a:srgbClr val="00B050"/>
                </a:solidFill>
              </a:ln>
            </c:spPr>
          </c:marker>
          <c:cat>
            <c:numRef>
              <c:f>Sheet1!$A$2:$A$12</c:f>
              <c:numCache>
                <c:formatCode>General</c:formatCode>
                <c:ptCount val="9"/>
                <c:pt idx="0">
                  <c:v>2020</c:v>
                </c:pt>
                <c:pt idx="1">
                  <c:v>2021</c:v>
                </c:pt>
                <c:pt idx="2">
                  <c:v>2022</c:v>
                </c:pt>
                <c:pt idx="3">
                  <c:v>2023</c:v>
                </c:pt>
                <c:pt idx="4">
                  <c:v>2024</c:v>
                </c:pt>
                <c:pt idx="5">
                  <c:v>2025</c:v>
                </c:pt>
                <c:pt idx="6">
                  <c:v>2026</c:v>
                </c:pt>
                <c:pt idx="7">
                  <c:v>2027</c:v>
                </c:pt>
                <c:pt idx="8">
                  <c:v>2028</c:v>
                </c:pt>
              </c:numCache>
            </c:numRef>
          </c:cat>
          <c:val>
            <c:numRef>
              <c:f>Sheet1!$E$2:$E$12</c:f>
            </c:numRef>
          </c:val>
          <c:smooth val="0"/>
          <c:extLst>
            <c:ext xmlns:c16="http://schemas.microsoft.com/office/drawing/2014/chart" uri="{C3380CC4-5D6E-409C-BE32-E72D297353CC}">
              <c16:uniqueId val="{00000003-27FB-44BF-983C-11FAB4C9841B}"/>
            </c:ext>
          </c:extLst>
        </c:ser>
        <c:ser>
          <c:idx val="4"/>
          <c:order val="4"/>
          <c:tx>
            <c:strRef>
              <c:f>Sheet1!$F$1</c:f>
              <c:strCache>
                <c:ptCount val="1"/>
                <c:pt idx="0">
                  <c:v>2025-2027 թթ. ՄԺԾԾ, կանխատեսվող2</c:v>
                </c:pt>
              </c:strCache>
            </c:strRef>
          </c:tx>
          <c:marker>
            <c:spPr>
              <a:solidFill>
                <a:srgbClr val="4F81BD">
                  <a:lumMod val="60000"/>
                  <a:lumOff val="40000"/>
                </a:srgbClr>
              </a:solidFill>
              <a:ln>
                <a:solidFill>
                  <a:srgbClr val="4F81BD">
                    <a:lumMod val="60000"/>
                    <a:lumOff val="40000"/>
                  </a:srgbClr>
                </a:solidFill>
              </a:ln>
            </c:spPr>
          </c:marker>
          <c:cat>
            <c:numRef>
              <c:f>Sheet1!$A$2:$A$12</c:f>
              <c:numCache>
                <c:formatCode>General</c:formatCode>
                <c:ptCount val="9"/>
                <c:pt idx="0">
                  <c:v>2020</c:v>
                </c:pt>
                <c:pt idx="1">
                  <c:v>2021</c:v>
                </c:pt>
                <c:pt idx="2">
                  <c:v>2022</c:v>
                </c:pt>
                <c:pt idx="3">
                  <c:v>2023</c:v>
                </c:pt>
                <c:pt idx="4">
                  <c:v>2024</c:v>
                </c:pt>
                <c:pt idx="5">
                  <c:v>2025</c:v>
                </c:pt>
                <c:pt idx="6">
                  <c:v>2026</c:v>
                </c:pt>
                <c:pt idx="7">
                  <c:v>2027</c:v>
                </c:pt>
                <c:pt idx="8">
                  <c:v>2028</c:v>
                </c:pt>
              </c:numCache>
            </c:numRef>
          </c:cat>
          <c:val>
            <c:numRef>
              <c:f>Sheet1!$F$2:$F$12</c:f>
            </c:numRef>
          </c:val>
          <c:smooth val="0"/>
          <c:extLst>
            <c:ext xmlns:c16="http://schemas.microsoft.com/office/drawing/2014/chart" uri="{C3380CC4-5D6E-409C-BE32-E72D297353CC}">
              <c16:uniqueId val="{00000004-27FB-44BF-983C-11FAB4C9841B}"/>
            </c:ext>
          </c:extLst>
        </c:ser>
        <c:ser>
          <c:idx val="5"/>
          <c:order val="5"/>
          <c:tx>
            <c:strRef>
              <c:f>Sheet1!$G$1</c:f>
              <c:strCache>
                <c:ptCount val="1"/>
                <c:pt idx="0">
                  <c:v>Աճի թիրախ</c:v>
                </c:pt>
              </c:strCache>
            </c:strRef>
          </c:tx>
          <c:marker>
            <c:spPr>
              <a:solidFill>
                <a:srgbClr val="F79646"/>
              </a:solidFill>
              <a:ln>
                <a:solidFill>
                  <a:srgbClr val="F79646">
                    <a:lumMod val="75000"/>
                  </a:srgbClr>
                </a:solidFill>
                <a:prstDash val="sysDash"/>
              </a:ln>
            </c:spPr>
          </c:marker>
          <c:cat>
            <c:numRef>
              <c:f>Sheet1!$A$2:$A$12</c:f>
              <c:numCache>
                <c:formatCode>General</c:formatCode>
                <c:ptCount val="9"/>
                <c:pt idx="0">
                  <c:v>2020</c:v>
                </c:pt>
                <c:pt idx="1">
                  <c:v>2021</c:v>
                </c:pt>
                <c:pt idx="2">
                  <c:v>2022</c:v>
                </c:pt>
                <c:pt idx="3">
                  <c:v>2023</c:v>
                </c:pt>
                <c:pt idx="4">
                  <c:v>2024</c:v>
                </c:pt>
                <c:pt idx="5">
                  <c:v>2025</c:v>
                </c:pt>
                <c:pt idx="6">
                  <c:v>2026</c:v>
                </c:pt>
                <c:pt idx="7">
                  <c:v>2027</c:v>
                </c:pt>
                <c:pt idx="8">
                  <c:v>2028</c:v>
                </c:pt>
              </c:numCache>
            </c:numRef>
          </c:cat>
          <c:val>
            <c:numRef>
              <c:f>Sheet1!$G$2:$G$12</c:f>
            </c:numRef>
          </c:val>
          <c:smooth val="0"/>
          <c:extLst>
            <c:ext xmlns:c16="http://schemas.microsoft.com/office/drawing/2014/chart" uri="{C3380CC4-5D6E-409C-BE32-E72D297353CC}">
              <c16:uniqueId val="{00000005-27FB-44BF-983C-11FAB4C9841B}"/>
            </c:ext>
          </c:extLst>
        </c:ser>
        <c:ser>
          <c:idx val="6"/>
          <c:order val="6"/>
          <c:tx>
            <c:strRef>
              <c:f>Sheet1!$H$1</c:f>
              <c:strCache>
                <c:ptCount val="1"/>
                <c:pt idx="0">
                  <c:v>2025-2027 թթ. ՄԺԾԾ, կանխատեսվող, ոսկուց ճշգրտած </c:v>
                </c:pt>
              </c:strCache>
            </c:strRef>
          </c:tx>
          <c:marker>
            <c:spPr>
              <a:ln>
                <a:solidFill>
                  <a:srgbClr val="FF0000"/>
                </a:solidFill>
              </a:ln>
            </c:spPr>
          </c:marker>
          <c:cat>
            <c:numRef>
              <c:f>Sheet1!$A$2:$A$12</c:f>
              <c:numCache>
                <c:formatCode>General</c:formatCode>
                <c:ptCount val="9"/>
                <c:pt idx="0">
                  <c:v>2020</c:v>
                </c:pt>
                <c:pt idx="1">
                  <c:v>2021</c:v>
                </c:pt>
                <c:pt idx="2">
                  <c:v>2022</c:v>
                </c:pt>
                <c:pt idx="3">
                  <c:v>2023</c:v>
                </c:pt>
                <c:pt idx="4">
                  <c:v>2024</c:v>
                </c:pt>
                <c:pt idx="5">
                  <c:v>2025</c:v>
                </c:pt>
                <c:pt idx="6">
                  <c:v>2026</c:v>
                </c:pt>
                <c:pt idx="7">
                  <c:v>2027</c:v>
                </c:pt>
                <c:pt idx="8">
                  <c:v>2028</c:v>
                </c:pt>
              </c:numCache>
            </c:numRef>
          </c:cat>
          <c:val>
            <c:numRef>
              <c:f>Sheet1!$H$2:$H$12</c:f>
            </c:numRef>
          </c:val>
          <c:smooth val="0"/>
          <c:extLst>
            <c:ext xmlns:c16="http://schemas.microsoft.com/office/drawing/2014/chart" uri="{C3380CC4-5D6E-409C-BE32-E72D297353CC}">
              <c16:uniqueId val="{00000006-27FB-44BF-983C-11FAB4C9841B}"/>
            </c:ext>
          </c:extLst>
        </c:ser>
        <c:dLbls>
          <c:showLegendKey val="0"/>
          <c:showVal val="0"/>
          <c:showCatName val="0"/>
          <c:showSerName val="0"/>
          <c:showPercent val="0"/>
          <c:showBubbleSize val="0"/>
        </c:dLbls>
        <c:smooth val="0"/>
        <c:axId val="450752512"/>
        <c:axId val="340167488"/>
      </c:lineChart>
      <c:catAx>
        <c:axId val="450752512"/>
        <c:scaling>
          <c:orientation val="minMax"/>
        </c:scaling>
        <c:delete val="0"/>
        <c:axPos val="b"/>
        <c:numFmt formatCode="General" sourceLinked="1"/>
        <c:majorTickMark val="none"/>
        <c:minorTickMark val="none"/>
        <c:tickLblPos val="low"/>
        <c:spPr>
          <a:noFill/>
          <a:ln w="6350" cap="flat" cmpd="sng" algn="ctr">
            <a:solidFill>
              <a:schemeClr val="dk1"/>
            </a:solidFill>
            <a:prstDash val="solid"/>
            <a:miter lim="800000"/>
          </a:ln>
          <a:effectLst/>
        </c:spPr>
        <c:txPr>
          <a:bodyPr rot="-3120000" vert="horz"/>
          <a:lstStyle/>
          <a:p>
            <a:pPr>
              <a:defRPr sz="900">
                <a:solidFill>
                  <a:schemeClr val="bg1">
                    <a:lumMod val="65000"/>
                  </a:schemeClr>
                </a:solidFill>
              </a:defRPr>
            </a:pPr>
            <a:endParaRPr lang="en-US"/>
          </a:p>
        </c:txPr>
        <c:crossAx val="340167488"/>
        <c:crosses val="autoZero"/>
        <c:auto val="1"/>
        <c:lblAlgn val="ctr"/>
        <c:lblOffset val="100"/>
        <c:noMultiLvlLbl val="0"/>
      </c:catAx>
      <c:valAx>
        <c:axId val="340167488"/>
        <c:scaling>
          <c:orientation val="minMax"/>
          <c:min val="90"/>
        </c:scaling>
        <c:delete val="0"/>
        <c:axPos val="l"/>
        <c:majorGridlines>
          <c:spPr>
            <a:ln>
              <a:solidFill>
                <a:sysClr val="window" lastClr="FFFFFF">
                  <a:lumMod val="85000"/>
                </a:sysClr>
              </a:solidFill>
            </a:ln>
          </c:spPr>
        </c:majorGridlines>
        <c:numFmt formatCode="#,##0" sourceLinked="0"/>
        <c:majorTickMark val="none"/>
        <c:minorTickMark val="none"/>
        <c:tickLblPos val="nextTo"/>
        <c:spPr>
          <a:noFill/>
          <a:ln w="6350" cap="flat" cmpd="sng" algn="ctr">
            <a:solidFill>
              <a:schemeClr val="dk1"/>
            </a:solidFill>
            <a:prstDash val="solid"/>
            <a:miter lim="800000"/>
          </a:ln>
          <a:effectLst/>
        </c:spPr>
        <c:txPr>
          <a:bodyPr rot="-60000000" vert="horz"/>
          <a:lstStyle/>
          <a:p>
            <a:pPr>
              <a:defRPr sz="1000">
                <a:solidFill>
                  <a:schemeClr val="bg1">
                    <a:lumMod val="65000"/>
                  </a:schemeClr>
                </a:solidFill>
              </a:defRPr>
            </a:pPr>
            <a:endParaRPr lang="en-US"/>
          </a:p>
        </c:txPr>
        <c:crossAx val="450752512"/>
        <c:crosses val="autoZero"/>
        <c:crossBetween val="between"/>
      </c:valAx>
      <c:spPr>
        <a:noFill/>
        <a:ln>
          <a:noFill/>
        </a:ln>
        <a:effectLst/>
      </c:spPr>
    </c:plotArea>
    <c:legend>
      <c:legendPos val="b"/>
      <c:layout>
        <c:manualLayout>
          <c:xMode val="edge"/>
          <c:yMode val="edge"/>
          <c:x val="9.6939733808942847E-3"/>
          <c:y val="0.82282193456184471"/>
          <c:w val="0.98311363091849391"/>
          <c:h val="0.15665821549793188"/>
        </c:manualLayout>
      </c:layout>
      <c:overlay val="0"/>
      <c:spPr>
        <a:noFill/>
        <a:ln>
          <a:noFill/>
        </a:ln>
        <a:effectLst/>
      </c:spPr>
      <c:txPr>
        <a:bodyPr rot="0" vert="horz"/>
        <a:lstStyle/>
        <a:p>
          <a:pPr>
            <a:defRPr sz="1050"/>
          </a:pPr>
          <a:endParaRPr lang="en-US"/>
        </a:p>
      </c:txPr>
    </c:legend>
    <c:plotVisOnly val="1"/>
    <c:dispBlanksAs val="gap"/>
    <c:showDLblsOverMax val="0"/>
  </c:chart>
  <c:spPr>
    <a:solidFill>
      <a:sysClr val="window" lastClr="FFFFFF">
        <a:lumMod val="95000"/>
        <a:alpha val="87843"/>
      </a:sysClr>
    </a:solidFill>
    <a:ln w="9525" cap="flat" cmpd="sng" algn="ctr">
      <a:solidFill>
        <a:sysClr val="window" lastClr="FFFFFF">
          <a:lumMod val="85000"/>
        </a:sysClr>
      </a:solidFill>
      <a:prstDash val="solid"/>
      <a:miter lim="800000"/>
    </a:ln>
    <a:effectLst/>
  </c:spPr>
  <c:txPr>
    <a:bodyPr/>
    <a:lstStyle/>
    <a:p>
      <a:pPr>
        <a:defRPr sz="1200">
          <a:solidFill>
            <a:schemeClr val="dk1"/>
          </a:solidFill>
          <a:latin typeface="GHEA Grapalat" panose="02000506050000020003" pitchFamily="50" charset="0"/>
          <a:ea typeface="+mn-ea"/>
          <a:cs typeface="+mn-cs"/>
        </a:defRPr>
      </a:pPr>
      <a:endParaRPr lang="en-US"/>
    </a:p>
  </c:txPr>
  <c:externalData r:id="rId2">
    <c:autoUpdate val="0"/>
  </c:externalData>
  <c:userShapes r:id="rId3"/>
</c:chartSpace>
</file>

<file path=word/charts/chart2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1553434608552719"/>
          <c:y val="0.12536332264022554"/>
          <c:w val="0.79438558816511551"/>
          <c:h val="0.48991263244872174"/>
        </c:manualLayout>
      </c:layout>
      <c:barChart>
        <c:barDir val="col"/>
        <c:grouping val="clustered"/>
        <c:varyColors val="0"/>
        <c:ser>
          <c:idx val="0"/>
          <c:order val="0"/>
          <c:tx>
            <c:strRef>
              <c:f>Лист1!$B$1</c:f>
              <c:strCache>
                <c:ptCount val="1"/>
                <c:pt idx="0">
                  <c:v>Զբաղվածներ, հազ. մարդ</c:v>
                </c:pt>
              </c:strCache>
            </c:strRef>
          </c:tx>
          <c:spPr>
            <a:solidFill>
              <a:sysClr val="window" lastClr="FFFFFF">
                <a:lumMod val="65000"/>
              </a:sysClr>
            </a:solidFill>
            <a:ln>
              <a:noFill/>
            </a:ln>
            <a:effectLst/>
          </c:spPr>
          <c:invertIfNegative val="0"/>
          <c:cat>
            <c:numRef>
              <c:f>Лист1!$A$2:$A$6</c:f>
              <c:numCache>
                <c:formatCode>General</c:formatCode>
                <c:ptCount val="5"/>
                <c:pt idx="0">
                  <c:v>2020</c:v>
                </c:pt>
                <c:pt idx="1">
                  <c:v>2021</c:v>
                </c:pt>
                <c:pt idx="2">
                  <c:v>2022</c:v>
                </c:pt>
                <c:pt idx="3">
                  <c:v>2023</c:v>
                </c:pt>
                <c:pt idx="4">
                  <c:v>2024</c:v>
                </c:pt>
              </c:numCache>
            </c:numRef>
          </c:cat>
          <c:val>
            <c:numRef>
              <c:f>Лист1!$B$2:$B$6</c:f>
              <c:numCache>
                <c:formatCode>General</c:formatCode>
                <c:ptCount val="5"/>
                <c:pt idx="0">
                  <c:v>1052.4000000000001</c:v>
                </c:pt>
                <c:pt idx="1">
                  <c:v>1088.3</c:v>
                </c:pt>
                <c:pt idx="2" formatCode="0.0">
                  <c:v>1134.8</c:v>
                </c:pt>
                <c:pt idx="3" formatCode="0.0">
                  <c:v>1174.431</c:v>
                </c:pt>
                <c:pt idx="4" formatCode="0.0">
                  <c:v>1168.3775130766437</c:v>
                </c:pt>
              </c:numCache>
            </c:numRef>
          </c:val>
          <c:extLst>
            <c:ext xmlns:c16="http://schemas.microsoft.com/office/drawing/2014/chart" uri="{C3380CC4-5D6E-409C-BE32-E72D297353CC}">
              <c16:uniqueId val="{00000000-BBCD-40B9-A796-EE7C1D45045E}"/>
            </c:ext>
          </c:extLst>
        </c:ser>
        <c:ser>
          <c:idx val="1"/>
          <c:order val="1"/>
          <c:tx>
            <c:strRef>
              <c:f>Лист1!$C$1</c:f>
              <c:strCache>
                <c:ptCount val="1"/>
                <c:pt idx="0">
                  <c:v>Վարձու աշխատողներ, հազ. մարդ</c:v>
                </c:pt>
              </c:strCache>
            </c:strRef>
          </c:tx>
          <c:spPr>
            <a:solidFill>
              <a:srgbClr val="4472C4">
                <a:lumMod val="75000"/>
              </a:srgbClr>
            </a:solidFill>
            <a:ln w="28575" cap="rnd">
              <a:noFill/>
              <a:round/>
            </a:ln>
            <a:effectLst/>
          </c:spPr>
          <c:invertIfNegative val="0"/>
          <c:dPt>
            <c:idx val="0"/>
            <c:invertIfNegative val="0"/>
            <c:bubble3D val="0"/>
            <c:extLst>
              <c:ext xmlns:c16="http://schemas.microsoft.com/office/drawing/2014/chart" uri="{C3380CC4-5D6E-409C-BE32-E72D297353CC}">
                <c16:uniqueId val="{00000001-BBCD-40B9-A796-EE7C1D45045E}"/>
              </c:ext>
            </c:extLst>
          </c:dPt>
          <c:dPt>
            <c:idx val="1"/>
            <c:invertIfNegative val="0"/>
            <c:bubble3D val="0"/>
            <c:extLst>
              <c:ext xmlns:c16="http://schemas.microsoft.com/office/drawing/2014/chart" uri="{C3380CC4-5D6E-409C-BE32-E72D297353CC}">
                <c16:uniqueId val="{00000002-BBCD-40B9-A796-EE7C1D45045E}"/>
              </c:ext>
            </c:extLst>
          </c:dPt>
          <c:dPt>
            <c:idx val="2"/>
            <c:invertIfNegative val="0"/>
            <c:bubble3D val="0"/>
            <c:extLst>
              <c:ext xmlns:c16="http://schemas.microsoft.com/office/drawing/2014/chart" uri="{C3380CC4-5D6E-409C-BE32-E72D297353CC}">
                <c16:uniqueId val="{00000003-BBCD-40B9-A796-EE7C1D45045E}"/>
              </c:ext>
            </c:extLst>
          </c:dPt>
          <c:cat>
            <c:numRef>
              <c:f>Лист1!$A$2:$A$6</c:f>
              <c:numCache>
                <c:formatCode>General</c:formatCode>
                <c:ptCount val="5"/>
                <c:pt idx="0">
                  <c:v>2020</c:v>
                </c:pt>
                <c:pt idx="1">
                  <c:v>2021</c:v>
                </c:pt>
                <c:pt idx="2">
                  <c:v>2022</c:v>
                </c:pt>
                <c:pt idx="3">
                  <c:v>2023</c:v>
                </c:pt>
                <c:pt idx="4">
                  <c:v>2024</c:v>
                </c:pt>
              </c:numCache>
            </c:numRef>
          </c:cat>
          <c:val>
            <c:numRef>
              <c:f>Лист1!$C$2:$C$6</c:f>
              <c:numCache>
                <c:formatCode>0.0</c:formatCode>
                <c:ptCount val="5"/>
                <c:pt idx="0">
                  <c:v>623.97158333333334</c:v>
                </c:pt>
                <c:pt idx="1">
                  <c:v>649.60041666666666</c:v>
                </c:pt>
                <c:pt idx="2">
                  <c:v>684.78291666666667</c:v>
                </c:pt>
                <c:pt idx="3">
                  <c:v>722.6733333333334</c:v>
                </c:pt>
                <c:pt idx="4">
                  <c:v>760.5549166666666</c:v>
                </c:pt>
              </c:numCache>
            </c:numRef>
          </c:val>
          <c:extLst>
            <c:ext xmlns:c16="http://schemas.microsoft.com/office/drawing/2014/chart" uri="{C3380CC4-5D6E-409C-BE32-E72D297353CC}">
              <c16:uniqueId val="{00000004-BBCD-40B9-A796-EE7C1D45045E}"/>
            </c:ext>
          </c:extLst>
        </c:ser>
        <c:ser>
          <c:idx val="3"/>
          <c:order val="3"/>
          <c:tx>
            <c:strRef>
              <c:f>Лист1!$E$1</c:f>
              <c:strCache>
                <c:ptCount val="1"/>
                <c:pt idx="0">
                  <c:v>Գործազուրկներ, հազ. մարդ</c:v>
                </c:pt>
              </c:strCache>
            </c:strRef>
          </c:tx>
          <c:spPr>
            <a:solidFill>
              <a:srgbClr val="FFC000">
                <a:lumMod val="75000"/>
              </a:srgbClr>
            </a:solidFill>
          </c:spPr>
          <c:invertIfNegative val="0"/>
          <c:cat>
            <c:numRef>
              <c:f>Лист1!$A$2:$A$6</c:f>
              <c:numCache>
                <c:formatCode>General</c:formatCode>
                <c:ptCount val="5"/>
                <c:pt idx="0">
                  <c:v>2020</c:v>
                </c:pt>
                <c:pt idx="1">
                  <c:v>2021</c:v>
                </c:pt>
                <c:pt idx="2">
                  <c:v>2022</c:v>
                </c:pt>
                <c:pt idx="3">
                  <c:v>2023</c:v>
                </c:pt>
                <c:pt idx="4">
                  <c:v>2024</c:v>
                </c:pt>
              </c:numCache>
            </c:numRef>
          </c:cat>
          <c:val>
            <c:numRef>
              <c:f>Лист1!$E$2:$E$6</c:f>
              <c:numCache>
                <c:formatCode>0.0</c:formatCode>
                <c:ptCount val="5"/>
                <c:pt idx="0">
                  <c:v>234.4</c:v>
                </c:pt>
                <c:pt idx="1">
                  <c:v>199</c:v>
                </c:pt>
                <c:pt idx="2">
                  <c:v>176.6</c:v>
                </c:pt>
                <c:pt idx="3">
                  <c:v>166.72</c:v>
                </c:pt>
                <c:pt idx="4">
                  <c:v>187.92346649068435</c:v>
                </c:pt>
              </c:numCache>
            </c:numRef>
          </c:val>
          <c:extLst>
            <c:ext xmlns:c16="http://schemas.microsoft.com/office/drawing/2014/chart" uri="{C3380CC4-5D6E-409C-BE32-E72D297353CC}">
              <c16:uniqueId val="{00000005-BBCD-40B9-A796-EE7C1D45045E}"/>
            </c:ext>
          </c:extLst>
        </c:ser>
        <c:dLbls>
          <c:showLegendKey val="0"/>
          <c:showVal val="0"/>
          <c:showCatName val="0"/>
          <c:showSerName val="0"/>
          <c:showPercent val="0"/>
          <c:showBubbleSize val="0"/>
        </c:dLbls>
        <c:gapWidth val="150"/>
        <c:axId val="345051520"/>
        <c:axId val="345053056"/>
      </c:barChart>
      <c:lineChart>
        <c:grouping val="standard"/>
        <c:varyColors val="0"/>
        <c:ser>
          <c:idx val="2"/>
          <c:order val="2"/>
          <c:tx>
            <c:strRef>
              <c:f>Лист1!$D$1</c:f>
              <c:strCache>
                <c:ptCount val="1"/>
                <c:pt idx="0">
                  <c:v>Գործազրկության մակարդակ, %, աջ առանցք</c:v>
                </c:pt>
              </c:strCache>
            </c:strRef>
          </c:tx>
          <c:spPr>
            <a:ln w="25400">
              <a:solidFill>
                <a:srgbClr val="4472C4">
                  <a:lumMod val="50000"/>
                </a:srgbClr>
              </a:solidFill>
            </a:ln>
          </c:spPr>
          <c:marker>
            <c:symbol val="circle"/>
            <c:size val="6"/>
            <c:spPr>
              <a:solidFill>
                <a:srgbClr val="44546A"/>
              </a:solidFill>
              <a:ln>
                <a:noFill/>
              </a:ln>
            </c:spPr>
          </c:marker>
          <c:dLbls>
            <c:dLbl>
              <c:idx val="0"/>
              <c:layout>
                <c:manualLayout>
                  <c:x val="-7.4435763888888909E-2"/>
                  <c:y val="-4.924783707592106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BBCD-40B9-A796-EE7C1D45045E}"/>
                </c:ext>
              </c:extLst>
            </c:dLbl>
            <c:dLbl>
              <c:idx val="1"/>
              <c:layout>
                <c:manualLayout>
                  <c:x val="-7.0095486111111147E-2"/>
                  <c:y val="-6.467993584135317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BBCD-40B9-A796-EE7C1D45045E}"/>
                </c:ext>
              </c:extLst>
            </c:dLbl>
            <c:dLbl>
              <c:idx val="2"/>
              <c:layout>
                <c:manualLayout>
                  <c:x val="-7.0095486111111188E-2"/>
                  <c:y val="-6.467993584135316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BBCD-40B9-A796-EE7C1D45045E}"/>
                </c:ext>
              </c:extLst>
            </c:dLbl>
            <c:dLbl>
              <c:idx val="3"/>
              <c:layout>
                <c:manualLayout>
                  <c:x val="-7.4435763888888964E-2"/>
                  <c:y val="-6.467993584135316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BBCD-40B9-A796-EE7C1D45045E}"/>
                </c:ext>
              </c:extLst>
            </c:dLbl>
            <c:dLbl>
              <c:idx val="4"/>
              <c:layout>
                <c:manualLayout>
                  <c:x val="-7.8776041666666824E-2"/>
                  <c:y val="-7.239598522406921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BBCD-40B9-A796-EE7C1D45045E}"/>
                </c:ext>
              </c:extLst>
            </c:dLbl>
            <c:spPr>
              <a:noFill/>
              <a:ln>
                <a:noFill/>
              </a:ln>
              <a:effectLst/>
            </c:spPr>
            <c:txPr>
              <a:bodyPr wrap="square" lIns="38100" tIns="19050" rIns="38100" bIns="19050" anchor="ctr">
                <a:spAutoFit/>
              </a:bodyPr>
              <a:lstStyle/>
              <a:p>
                <a:pPr>
                  <a:defRPr b="1"/>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numRef>
              <c:f>Лист1!$A$2:$A$6</c:f>
              <c:numCache>
                <c:formatCode>General</c:formatCode>
                <c:ptCount val="5"/>
                <c:pt idx="0">
                  <c:v>2020</c:v>
                </c:pt>
                <c:pt idx="1">
                  <c:v>2021</c:v>
                </c:pt>
                <c:pt idx="2">
                  <c:v>2022</c:v>
                </c:pt>
                <c:pt idx="3">
                  <c:v>2023</c:v>
                </c:pt>
                <c:pt idx="4">
                  <c:v>2024</c:v>
                </c:pt>
              </c:numCache>
            </c:numRef>
          </c:cat>
          <c:val>
            <c:numRef>
              <c:f>Лист1!$D$2:$D$6</c:f>
              <c:numCache>
                <c:formatCode>0.0</c:formatCode>
                <c:ptCount val="5"/>
                <c:pt idx="0">
                  <c:v>18.217144633558714</c:v>
                </c:pt>
                <c:pt idx="1">
                  <c:v>15.458712032937155</c:v>
                </c:pt>
                <c:pt idx="2">
                  <c:v>13.467551284984367</c:v>
                </c:pt>
                <c:pt idx="3">
                  <c:v>12.43111327508983</c:v>
                </c:pt>
                <c:pt idx="4">
                  <c:v>13.855587315924062</c:v>
                </c:pt>
              </c:numCache>
            </c:numRef>
          </c:val>
          <c:smooth val="0"/>
          <c:extLst>
            <c:ext xmlns:c16="http://schemas.microsoft.com/office/drawing/2014/chart" uri="{C3380CC4-5D6E-409C-BE32-E72D297353CC}">
              <c16:uniqueId val="{0000000B-BBCD-40B9-A796-EE7C1D45045E}"/>
            </c:ext>
          </c:extLst>
        </c:ser>
        <c:dLbls>
          <c:showLegendKey val="0"/>
          <c:showVal val="0"/>
          <c:showCatName val="0"/>
          <c:showSerName val="0"/>
          <c:showPercent val="0"/>
          <c:showBubbleSize val="0"/>
        </c:dLbls>
        <c:marker val="1"/>
        <c:smooth val="0"/>
        <c:axId val="1165959375"/>
        <c:axId val="1165958959"/>
      </c:lineChart>
      <c:catAx>
        <c:axId val="34505152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vert="horz"/>
          <a:lstStyle/>
          <a:p>
            <a:pPr>
              <a:defRPr/>
            </a:pPr>
            <a:endParaRPr lang="en-US"/>
          </a:p>
        </c:txPr>
        <c:crossAx val="345053056"/>
        <c:crosses val="autoZero"/>
        <c:auto val="1"/>
        <c:lblAlgn val="ctr"/>
        <c:lblOffset val="100"/>
        <c:noMultiLvlLbl val="0"/>
      </c:catAx>
      <c:valAx>
        <c:axId val="345053056"/>
        <c:scaling>
          <c:orientation val="minMax"/>
          <c:max val="1100"/>
          <c:min val="0"/>
        </c:scaling>
        <c:delete val="0"/>
        <c:axPos val="l"/>
        <c:numFmt formatCode="General" sourceLinked="1"/>
        <c:majorTickMark val="none"/>
        <c:minorTickMark val="none"/>
        <c:tickLblPos val="nextTo"/>
        <c:spPr>
          <a:noFill/>
          <a:ln>
            <a:noFill/>
          </a:ln>
          <a:effectLst/>
        </c:spPr>
        <c:txPr>
          <a:bodyPr rot="-60000000" vert="horz"/>
          <a:lstStyle/>
          <a:p>
            <a:pPr>
              <a:defRPr>
                <a:solidFill>
                  <a:schemeClr val="bg1">
                    <a:lumMod val="65000"/>
                  </a:schemeClr>
                </a:solidFill>
              </a:defRPr>
            </a:pPr>
            <a:endParaRPr lang="en-US"/>
          </a:p>
        </c:txPr>
        <c:crossAx val="345051520"/>
        <c:crosses val="autoZero"/>
        <c:crossBetween val="between"/>
        <c:majorUnit val="300"/>
      </c:valAx>
      <c:valAx>
        <c:axId val="1165958959"/>
        <c:scaling>
          <c:orientation val="minMax"/>
        </c:scaling>
        <c:delete val="0"/>
        <c:axPos val="r"/>
        <c:numFmt formatCode="0.0" sourceLinked="1"/>
        <c:majorTickMark val="out"/>
        <c:minorTickMark val="none"/>
        <c:tickLblPos val="nextTo"/>
        <c:crossAx val="1165959375"/>
        <c:crosses val="max"/>
        <c:crossBetween val="between"/>
      </c:valAx>
      <c:catAx>
        <c:axId val="1165959375"/>
        <c:scaling>
          <c:orientation val="minMax"/>
        </c:scaling>
        <c:delete val="1"/>
        <c:axPos val="b"/>
        <c:numFmt formatCode="General" sourceLinked="1"/>
        <c:majorTickMark val="out"/>
        <c:minorTickMark val="none"/>
        <c:tickLblPos val="nextTo"/>
        <c:crossAx val="1165958959"/>
        <c:crosses val="autoZero"/>
        <c:auto val="1"/>
        <c:lblAlgn val="ctr"/>
        <c:lblOffset val="100"/>
        <c:noMultiLvlLbl val="0"/>
      </c:catAx>
      <c:spPr>
        <a:noFill/>
        <a:ln>
          <a:noFill/>
        </a:ln>
        <a:effectLst/>
      </c:spPr>
    </c:plotArea>
    <c:legend>
      <c:legendPos val="b"/>
      <c:legendEntry>
        <c:idx val="3"/>
        <c:txPr>
          <a:bodyPr rot="0" vert="horz"/>
          <a:lstStyle/>
          <a:p>
            <a:pPr>
              <a:defRPr sz="600"/>
            </a:pPr>
            <a:endParaRPr lang="en-US"/>
          </a:p>
        </c:txPr>
      </c:legendEntry>
      <c:layout>
        <c:manualLayout>
          <c:xMode val="edge"/>
          <c:yMode val="edge"/>
          <c:x val="0"/>
          <c:y val="0.74246804169721703"/>
          <c:w val="0.988086108377078"/>
          <c:h val="0.25753195781082922"/>
        </c:manualLayout>
      </c:layout>
      <c:overlay val="0"/>
      <c:spPr>
        <a:noFill/>
        <a:ln>
          <a:noFill/>
        </a:ln>
        <a:effectLst/>
      </c:spPr>
      <c:txPr>
        <a:bodyPr rot="0" vert="horz"/>
        <a:lstStyle/>
        <a:p>
          <a:pPr>
            <a:defRPr sz="600"/>
          </a:pPr>
          <a:endParaRPr lang="en-US"/>
        </a:p>
      </c:txPr>
    </c:legend>
    <c:plotVisOnly val="1"/>
    <c:dispBlanksAs val="gap"/>
    <c:showDLblsOverMax val="0"/>
  </c:chart>
  <c:spPr>
    <a:noFill/>
    <a:ln w="12700" cap="flat" cmpd="sng" algn="ctr">
      <a:solidFill>
        <a:sysClr val="window" lastClr="FFFFFF"/>
      </a:solidFill>
      <a:round/>
    </a:ln>
    <a:effectLst/>
  </c:spPr>
  <c:txPr>
    <a:bodyPr/>
    <a:lstStyle/>
    <a:p>
      <a:pPr>
        <a:defRPr sz="800">
          <a:latin typeface="Calibri" panose="020F0502020204030204" pitchFamily="34" charset="0"/>
          <a:ea typeface="Calibri" panose="020F0502020204030204" pitchFamily="34" charset="0"/>
          <a:cs typeface="Calibri" panose="020F0502020204030204" pitchFamily="34" charset="0"/>
        </a:defRPr>
      </a:pPr>
      <a:endParaRPr lang="en-US"/>
    </a:p>
  </c:txPr>
  <c:externalData r:id="rId2">
    <c:autoUpdate val="0"/>
  </c:externalData>
</c:chartSpace>
</file>

<file path=word/charts/chart2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vert="horz"/>
          <a:lstStyle/>
          <a:p>
            <a:pPr>
              <a:defRPr/>
            </a:pPr>
            <a:endParaRPr lang="en-US"/>
          </a:p>
          <a:p>
            <a:pPr>
              <a:defRPr/>
            </a:pPr>
            <a:endParaRPr lang="ru-RU"/>
          </a:p>
        </c:rich>
      </c:tx>
      <c:layout>
        <c:manualLayout>
          <c:xMode val="edge"/>
          <c:yMode val="edge"/>
          <c:x val="9.3106574844288706E-2"/>
          <c:y val="0"/>
        </c:manualLayout>
      </c:layout>
      <c:overlay val="0"/>
      <c:spPr>
        <a:noFill/>
        <a:ln>
          <a:noFill/>
        </a:ln>
        <a:effectLst/>
      </c:spPr>
    </c:title>
    <c:autoTitleDeleted val="0"/>
    <c:plotArea>
      <c:layout>
        <c:manualLayout>
          <c:layoutTarget val="inner"/>
          <c:xMode val="edge"/>
          <c:yMode val="edge"/>
          <c:x val="0.11873917014291722"/>
          <c:y val="0.13181564110041799"/>
          <c:w val="0.80804307316570445"/>
          <c:h val="0.47207336930105959"/>
        </c:manualLayout>
      </c:layout>
      <c:barChart>
        <c:barDir val="col"/>
        <c:grouping val="clustered"/>
        <c:varyColors val="0"/>
        <c:ser>
          <c:idx val="0"/>
          <c:order val="0"/>
          <c:tx>
            <c:strRef>
              <c:f>Лист1!$B$1</c:f>
              <c:strCache>
                <c:ptCount val="1"/>
                <c:pt idx="0">
                  <c:v>Աշխատուժի մասնակցության մակարդակ, %</c:v>
                </c:pt>
              </c:strCache>
            </c:strRef>
          </c:tx>
          <c:spPr>
            <a:solidFill>
              <a:srgbClr val="4472C4">
                <a:lumMod val="75000"/>
              </a:srgbClr>
            </a:solidFill>
            <a:ln>
              <a:noFill/>
            </a:ln>
            <a:effectLst/>
          </c:spPr>
          <c:invertIfNegative val="0"/>
          <c:cat>
            <c:numRef>
              <c:f>Лист1!$A$2:$A$4</c:f>
              <c:numCache>
                <c:formatCode>General</c:formatCode>
                <c:ptCount val="3"/>
                <c:pt idx="0">
                  <c:v>2022</c:v>
                </c:pt>
                <c:pt idx="1">
                  <c:v>2023</c:v>
                </c:pt>
                <c:pt idx="2">
                  <c:v>2024</c:v>
                </c:pt>
              </c:numCache>
            </c:numRef>
          </c:cat>
          <c:val>
            <c:numRef>
              <c:f>Лист1!$B$2:$B$4</c:f>
              <c:numCache>
                <c:formatCode>0.0</c:formatCode>
                <c:ptCount val="3"/>
                <c:pt idx="0">
                  <c:v>58.8</c:v>
                </c:pt>
                <c:pt idx="1">
                  <c:v>60.3</c:v>
                </c:pt>
                <c:pt idx="2">
                  <c:v>58.9</c:v>
                </c:pt>
              </c:numCache>
            </c:numRef>
          </c:val>
          <c:extLst>
            <c:ext xmlns:c16="http://schemas.microsoft.com/office/drawing/2014/chart" uri="{C3380CC4-5D6E-409C-BE32-E72D297353CC}">
              <c16:uniqueId val="{00000000-8860-4A1E-817A-718C832FE3D1}"/>
            </c:ext>
          </c:extLst>
        </c:ser>
        <c:dLbls>
          <c:showLegendKey val="0"/>
          <c:showVal val="0"/>
          <c:showCatName val="0"/>
          <c:showSerName val="0"/>
          <c:showPercent val="0"/>
          <c:showBubbleSize val="0"/>
        </c:dLbls>
        <c:gapWidth val="100"/>
        <c:overlap val="-17"/>
        <c:axId val="345270528"/>
        <c:axId val="345272320"/>
      </c:barChart>
      <c:lineChart>
        <c:grouping val="standard"/>
        <c:varyColors val="0"/>
        <c:ser>
          <c:idx val="1"/>
          <c:order val="1"/>
          <c:tx>
            <c:strRef>
              <c:f>Лист1!$C$1</c:f>
              <c:strCache>
                <c:ptCount val="1"/>
                <c:pt idx="0">
                  <c:v>Իրական աշխատավարձի փոփոխություն, % (աջ առանցք)</c:v>
                </c:pt>
              </c:strCache>
            </c:strRef>
          </c:tx>
          <c:spPr>
            <a:ln w="25400" cap="rnd">
              <a:solidFill>
                <a:srgbClr val="ED7D31">
                  <a:lumMod val="60000"/>
                  <a:lumOff val="40000"/>
                </a:srgbClr>
              </a:solidFill>
              <a:round/>
            </a:ln>
            <a:effectLst/>
          </c:spPr>
          <c:marker>
            <c:symbol val="circle"/>
            <c:size val="6"/>
            <c:spPr>
              <a:solidFill>
                <a:srgbClr val="ED7D31">
                  <a:lumMod val="60000"/>
                  <a:lumOff val="40000"/>
                </a:srgbClr>
              </a:solidFill>
              <a:ln>
                <a:noFill/>
              </a:ln>
            </c:spPr>
          </c:marker>
          <c:dLbls>
            <c:dLbl>
              <c:idx val="0"/>
              <c:layout>
                <c:manualLayout>
                  <c:x val="-5.2615102799650044E-2"/>
                  <c:y val="-8.7828083989501315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8860-4A1E-817A-718C832FE3D1}"/>
                </c:ext>
              </c:extLst>
            </c:dLbl>
            <c:dLbl>
              <c:idx val="1"/>
              <c:layout>
                <c:manualLayout>
                  <c:x val="-7.0095486111111105E-2"/>
                  <c:y val="-6.467993584135316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8860-4A1E-817A-718C832FE3D1}"/>
                </c:ext>
              </c:extLst>
            </c:dLbl>
            <c:spPr>
              <a:noFill/>
              <a:ln>
                <a:noFill/>
              </a:ln>
              <a:effectLst/>
            </c:spPr>
            <c:txPr>
              <a:bodyPr wrap="square" lIns="38100" tIns="19050" rIns="38100" bIns="19050" anchor="ctr">
                <a:spAutoFit/>
              </a:bodyPr>
              <a:lstStyle/>
              <a:p>
                <a:pPr>
                  <a:defRPr b="1"/>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numRef>
              <c:f>Лист1!$A$2:$A$4</c:f>
              <c:numCache>
                <c:formatCode>General</c:formatCode>
                <c:ptCount val="3"/>
                <c:pt idx="0">
                  <c:v>2022</c:v>
                </c:pt>
                <c:pt idx="1">
                  <c:v>2023</c:v>
                </c:pt>
                <c:pt idx="2">
                  <c:v>2024</c:v>
                </c:pt>
              </c:numCache>
            </c:numRef>
          </c:cat>
          <c:val>
            <c:numRef>
              <c:f>Лист1!$C$2:$C$4</c:f>
              <c:numCache>
                <c:formatCode>0.0</c:formatCode>
                <c:ptCount val="3"/>
                <c:pt idx="0">
                  <c:v>6.2686838785199086</c:v>
                </c:pt>
                <c:pt idx="1">
                  <c:v>12.384464016967712</c:v>
                </c:pt>
                <c:pt idx="2">
                  <c:v>6.0764748023726298</c:v>
                </c:pt>
              </c:numCache>
            </c:numRef>
          </c:val>
          <c:smooth val="0"/>
          <c:extLst>
            <c:ext xmlns:c16="http://schemas.microsoft.com/office/drawing/2014/chart" uri="{C3380CC4-5D6E-409C-BE32-E72D297353CC}">
              <c16:uniqueId val="{00000003-8860-4A1E-817A-718C832FE3D1}"/>
            </c:ext>
          </c:extLst>
        </c:ser>
        <c:dLbls>
          <c:showLegendKey val="0"/>
          <c:showVal val="0"/>
          <c:showCatName val="0"/>
          <c:showSerName val="0"/>
          <c:showPercent val="0"/>
          <c:showBubbleSize val="0"/>
        </c:dLbls>
        <c:marker val="1"/>
        <c:smooth val="0"/>
        <c:axId val="345275392"/>
        <c:axId val="345273856"/>
      </c:lineChart>
      <c:catAx>
        <c:axId val="3452705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vert="horz"/>
          <a:lstStyle/>
          <a:p>
            <a:pPr>
              <a:defRPr/>
            </a:pPr>
            <a:endParaRPr lang="en-US"/>
          </a:p>
        </c:txPr>
        <c:crossAx val="345272320"/>
        <c:crosses val="autoZero"/>
        <c:auto val="1"/>
        <c:lblAlgn val="ctr"/>
        <c:lblOffset val="100"/>
        <c:noMultiLvlLbl val="0"/>
      </c:catAx>
      <c:valAx>
        <c:axId val="345272320"/>
        <c:scaling>
          <c:orientation val="minMax"/>
          <c:min val="54"/>
        </c:scaling>
        <c:delete val="0"/>
        <c:axPos val="l"/>
        <c:numFmt formatCode="0.0" sourceLinked="1"/>
        <c:majorTickMark val="none"/>
        <c:minorTickMark val="none"/>
        <c:tickLblPos val="nextTo"/>
        <c:spPr>
          <a:noFill/>
          <a:ln>
            <a:noFill/>
          </a:ln>
          <a:effectLst/>
        </c:spPr>
        <c:txPr>
          <a:bodyPr rot="-60000000" vert="horz"/>
          <a:lstStyle/>
          <a:p>
            <a:pPr>
              <a:defRPr>
                <a:solidFill>
                  <a:schemeClr val="bg1">
                    <a:lumMod val="65000"/>
                  </a:schemeClr>
                </a:solidFill>
              </a:defRPr>
            </a:pPr>
            <a:endParaRPr lang="en-US"/>
          </a:p>
        </c:txPr>
        <c:crossAx val="345270528"/>
        <c:crosses val="autoZero"/>
        <c:crossBetween val="between"/>
        <c:majorUnit val="2"/>
      </c:valAx>
      <c:valAx>
        <c:axId val="345273856"/>
        <c:scaling>
          <c:orientation val="minMax"/>
          <c:max val="13"/>
          <c:min val="0"/>
        </c:scaling>
        <c:delete val="0"/>
        <c:axPos val="r"/>
        <c:numFmt formatCode="0.0" sourceLinked="1"/>
        <c:majorTickMark val="none"/>
        <c:minorTickMark val="none"/>
        <c:tickLblPos val="nextTo"/>
        <c:spPr>
          <a:noFill/>
          <a:ln>
            <a:noFill/>
          </a:ln>
          <a:effectLst/>
        </c:spPr>
        <c:txPr>
          <a:bodyPr rot="-60000000" vert="horz"/>
          <a:lstStyle/>
          <a:p>
            <a:pPr>
              <a:defRPr>
                <a:solidFill>
                  <a:schemeClr val="bg1">
                    <a:lumMod val="65000"/>
                  </a:schemeClr>
                </a:solidFill>
              </a:defRPr>
            </a:pPr>
            <a:endParaRPr lang="en-US"/>
          </a:p>
        </c:txPr>
        <c:crossAx val="345275392"/>
        <c:crosses val="max"/>
        <c:crossBetween val="between"/>
        <c:majorUnit val="6"/>
      </c:valAx>
      <c:catAx>
        <c:axId val="345275392"/>
        <c:scaling>
          <c:orientation val="minMax"/>
        </c:scaling>
        <c:delete val="1"/>
        <c:axPos val="b"/>
        <c:numFmt formatCode="General" sourceLinked="1"/>
        <c:majorTickMark val="none"/>
        <c:minorTickMark val="none"/>
        <c:tickLblPos val="none"/>
        <c:crossAx val="345273856"/>
        <c:crosses val="autoZero"/>
        <c:auto val="1"/>
        <c:lblAlgn val="ctr"/>
        <c:lblOffset val="100"/>
        <c:noMultiLvlLbl val="0"/>
      </c:catAx>
      <c:spPr>
        <a:noFill/>
        <a:ln>
          <a:noFill/>
        </a:ln>
        <a:effectLst/>
      </c:spPr>
    </c:plotArea>
    <c:legend>
      <c:legendPos val="b"/>
      <c:layout>
        <c:manualLayout>
          <c:xMode val="edge"/>
          <c:yMode val="edge"/>
          <c:x val="5.8843537414965986E-2"/>
          <c:y val="0.74199535821911144"/>
          <c:w val="0.82704081632653315"/>
          <c:h val="0.22016865947312142"/>
        </c:manualLayout>
      </c:layout>
      <c:overlay val="0"/>
      <c:spPr>
        <a:noFill/>
        <a:ln>
          <a:noFill/>
        </a:ln>
        <a:effectLst/>
      </c:spPr>
      <c:txPr>
        <a:bodyPr rot="0" vert="horz"/>
        <a:lstStyle/>
        <a:p>
          <a:pPr>
            <a:defRPr sz="600"/>
          </a:pPr>
          <a:endParaRPr lang="en-US"/>
        </a:p>
      </c:txPr>
    </c:legend>
    <c:plotVisOnly val="1"/>
    <c:dispBlanksAs val="gap"/>
    <c:showDLblsOverMax val="0"/>
  </c:chart>
  <c:spPr>
    <a:noFill/>
    <a:ln w="12700" cap="flat" cmpd="sng" algn="ctr">
      <a:solidFill>
        <a:sysClr val="window" lastClr="FFFFFF"/>
      </a:solidFill>
      <a:round/>
    </a:ln>
    <a:effectLst/>
  </c:spPr>
  <c:txPr>
    <a:bodyPr/>
    <a:lstStyle/>
    <a:p>
      <a:pPr>
        <a:defRPr sz="800">
          <a:latin typeface="Calibri" panose="020F0502020204030204" pitchFamily="34" charset="0"/>
          <a:ea typeface="Calibri" panose="020F0502020204030204" pitchFamily="34" charset="0"/>
          <a:cs typeface="Calibri" panose="020F0502020204030204" pitchFamily="34" charset="0"/>
        </a:defRPr>
      </a:pPr>
      <a:endParaRPr lang="en-US"/>
    </a:p>
  </c:txPr>
  <c:externalData r:id="rId2">
    <c:autoUpdate val="0"/>
  </c:externalData>
</c:chartSpace>
</file>

<file path=word/charts/chart2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1553434608552719"/>
          <c:y val="8.6783342365605115E-2"/>
          <c:w val="0.79438558816511551"/>
          <c:h val="0.53620892874501802"/>
        </c:manualLayout>
      </c:layout>
      <c:barChart>
        <c:barDir val="col"/>
        <c:grouping val="clustered"/>
        <c:varyColors val="0"/>
        <c:ser>
          <c:idx val="0"/>
          <c:order val="0"/>
          <c:tx>
            <c:strRef>
              <c:f>Лист1!$B$1</c:f>
              <c:strCache>
                <c:ptCount val="1"/>
                <c:pt idx="0">
                  <c:v>Գործազուրկներ, հազ. մարդ</c:v>
                </c:pt>
              </c:strCache>
            </c:strRef>
          </c:tx>
          <c:spPr>
            <a:solidFill>
              <a:srgbClr val="ED7D31">
                <a:lumMod val="60000"/>
                <a:lumOff val="40000"/>
              </a:srgbClr>
            </a:solidFill>
            <a:ln>
              <a:noFill/>
            </a:ln>
            <a:effectLst/>
          </c:spPr>
          <c:invertIfNegative val="0"/>
          <c:cat>
            <c:strRef>
              <c:f>Лист1!$A$2:$A$6</c:f>
              <c:strCache>
                <c:ptCount val="5"/>
                <c:pt idx="0">
                  <c:v>2024-I</c:v>
                </c:pt>
                <c:pt idx="1">
                  <c:v>2024-II</c:v>
                </c:pt>
                <c:pt idx="2">
                  <c:v>2024-III</c:v>
                </c:pt>
                <c:pt idx="3">
                  <c:v>2024-IV</c:v>
                </c:pt>
                <c:pt idx="4">
                  <c:v>2025-I</c:v>
                </c:pt>
              </c:strCache>
            </c:strRef>
          </c:cat>
          <c:val>
            <c:numRef>
              <c:f>Лист1!$B$2:$B$6</c:f>
              <c:numCache>
                <c:formatCode>0.0</c:formatCode>
                <c:ptCount val="5"/>
                <c:pt idx="0">
                  <c:v>204.36889999685977</c:v>
                </c:pt>
                <c:pt idx="1">
                  <c:v>189.98599999999999</c:v>
                </c:pt>
                <c:pt idx="2">
                  <c:v>185.62939999800011</c:v>
                </c:pt>
                <c:pt idx="3">
                  <c:v>171.70956596787752</c:v>
                </c:pt>
                <c:pt idx="4">
                  <c:v>188.16356620788017</c:v>
                </c:pt>
              </c:numCache>
            </c:numRef>
          </c:val>
          <c:extLst>
            <c:ext xmlns:c16="http://schemas.microsoft.com/office/drawing/2014/chart" uri="{C3380CC4-5D6E-409C-BE32-E72D297353CC}">
              <c16:uniqueId val="{00000000-7E93-465D-BDFE-BA741C0AE08F}"/>
            </c:ext>
          </c:extLst>
        </c:ser>
        <c:ser>
          <c:idx val="1"/>
          <c:order val="1"/>
          <c:tx>
            <c:strRef>
              <c:f>Лист1!$C$1</c:f>
              <c:strCache>
                <c:ptCount val="1"/>
                <c:pt idx="0">
                  <c:v>Զբաղվածներ, հազ. մարդ</c:v>
                </c:pt>
              </c:strCache>
            </c:strRef>
          </c:tx>
          <c:spPr>
            <a:solidFill>
              <a:sysClr val="window" lastClr="FFFFFF">
                <a:lumMod val="65000"/>
              </a:sysClr>
            </a:solidFill>
            <a:ln>
              <a:noFill/>
            </a:ln>
            <a:effectLst/>
          </c:spPr>
          <c:invertIfNegative val="0"/>
          <c:cat>
            <c:strRef>
              <c:f>Лист1!$A$2:$A$6</c:f>
              <c:strCache>
                <c:ptCount val="5"/>
                <c:pt idx="0">
                  <c:v>2024-I</c:v>
                </c:pt>
                <c:pt idx="1">
                  <c:v>2024-II</c:v>
                </c:pt>
                <c:pt idx="2">
                  <c:v>2024-III</c:v>
                </c:pt>
                <c:pt idx="3">
                  <c:v>2024-IV</c:v>
                </c:pt>
                <c:pt idx="4">
                  <c:v>2025-I</c:v>
                </c:pt>
              </c:strCache>
            </c:strRef>
          </c:cat>
          <c:val>
            <c:numRef>
              <c:f>Лист1!$C$2:$C$6</c:f>
              <c:numCache>
                <c:formatCode>0.0</c:formatCode>
                <c:ptCount val="5"/>
                <c:pt idx="0">
                  <c:v>1116.3654600562425</c:v>
                </c:pt>
                <c:pt idx="1">
                  <c:v>1190.9280000000001</c:v>
                </c:pt>
                <c:pt idx="2">
                  <c:v>1211.4345500014797</c:v>
                </c:pt>
                <c:pt idx="3">
                  <c:v>1154.7820422488526</c:v>
                </c:pt>
                <c:pt idx="4">
                  <c:v>1159.437288923737</c:v>
                </c:pt>
              </c:numCache>
            </c:numRef>
          </c:val>
          <c:extLst>
            <c:ext xmlns:c16="http://schemas.microsoft.com/office/drawing/2014/chart" uri="{C3380CC4-5D6E-409C-BE32-E72D297353CC}">
              <c16:uniqueId val="{00000001-7E93-465D-BDFE-BA741C0AE08F}"/>
            </c:ext>
          </c:extLst>
        </c:ser>
        <c:ser>
          <c:idx val="2"/>
          <c:order val="2"/>
          <c:tx>
            <c:strRef>
              <c:f>Лист1!$D$1</c:f>
              <c:strCache>
                <c:ptCount val="1"/>
                <c:pt idx="0">
                  <c:v>Վարձու աշխատողներ, հազ. մարդ (կուտակային)</c:v>
                </c:pt>
              </c:strCache>
            </c:strRef>
          </c:tx>
          <c:spPr>
            <a:solidFill>
              <a:srgbClr val="4472C4">
                <a:lumMod val="75000"/>
              </a:srgbClr>
            </a:solidFill>
            <a:ln w="28575" cap="rnd">
              <a:noFill/>
              <a:round/>
            </a:ln>
            <a:effectLst/>
          </c:spPr>
          <c:invertIfNegative val="0"/>
          <c:dPt>
            <c:idx val="0"/>
            <c:invertIfNegative val="0"/>
            <c:bubble3D val="0"/>
            <c:extLst>
              <c:ext xmlns:c16="http://schemas.microsoft.com/office/drawing/2014/chart" uri="{C3380CC4-5D6E-409C-BE32-E72D297353CC}">
                <c16:uniqueId val="{00000002-7E93-465D-BDFE-BA741C0AE08F}"/>
              </c:ext>
            </c:extLst>
          </c:dPt>
          <c:dPt>
            <c:idx val="1"/>
            <c:invertIfNegative val="0"/>
            <c:bubble3D val="0"/>
            <c:extLst>
              <c:ext xmlns:c16="http://schemas.microsoft.com/office/drawing/2014/chart" uri="{C3380CC4-5D6E-409C-BE32-E72D297353CC}">
                <c16:uniqueId val="{00000003-7E93-465D-BDFE-BA741C0AE08F}"/>
              </c:ext>
            </c:extLst>
          </c:dPt>
          <c:dPt>
            <c:idx val="2"/>
            <c:invertIfNegative val="0"/>
            <c:bubble3D val="0"/>
            <c:extLst>
              <c:ext xmlns:c16="http://schemas.microsoft.com/office/drawing/2014/chart" uri="{C3380CC4-5D6E-409C-BE32-E72D297353CC}">
                <c16:uniqueId val="{00000004-7E93-465D-BDFE-BA741C0AE08F}"/>
              </c:ext>
            </c:extLst>
          </c:dPt>
          <c:cat>
            <c:strRef>
              <c:f>Лист1!$A$2:$A$6</c:f>
              <c:strCache>
                <c:ptCount val="5"/>
                <c:pt idx="0">
                  <c:v>2024-I</c:v>
                </c:pt>
                <c:pt idx="1">
                  <c:v>2024-II</c:v>
                </c:pt>
                <c:pt idx="2">
                  <c:v>2024-III</c:v>
                </c:pt>
                <c:pt idx="3">
                  <c:v>2024-IV</c:v>
                </c:pt>
                <c:pt idx="4">
                  <c:v>2025-I</c:v>
                </c:pt>
              </c:strCache>
            </c:strRef>
          </c:cat>
          <c:val>
            <c:numRef>
              <c:f>Лист1!$D$2:$D$6</c:f>
              <c:numCache>
                <c:formatCode>0.0</c:formatCode>
                <c:ptCount val="5"/>
                <c:pt idx="0">
                  <c:v>735.92100000000005</c:v>
                </c:pt>
                <c:pt idx="1">
                  <c:v>745.97799999999995</c:v>
                </c:pt>
                <c:pt idx="2">
                  <c:v>752.28755555555551</c:v>
                </c:pt>
                <c:pt idx="3">
                  <c:v>760.5549166666666</c:v>
                </c:pt>
                <c:pt idx="4">
                  <c:v>775.91033333333337</c:v>
                </c:pt>
              </c:numCache>
            </c:numRef>
          </c:val>
          <c:extLst>
            <c:ext xmlns:c16="http://schemas.microsoft.com/office/drawing/2014/chart" uri="{C3380CC4-5D6E-409C-BE32-E72D297353CC}">
              <c16:uniqueId val="{00000005-7E93-465D-BDFE-BA741C0AE08F}"/>
            </c:ext>
          </c:extLst>
        </c:ser>
        <c:dLbls>
          <c:showLegendKey val="0"/>
          <c:showVal val="0"/>
          <c:showCatName val="0"/>
          <c:showSerName val="0"/>
          <c:showPercent val="0"/>
          <c:showBubbleSize val="0"/>
        </c:dLbls>
        <c:gapWidth val="70"/>
        <c:axId val="345051520"/>
        <c:axId val="345053056"/>
      </c:barChart>
      <c:lineChart>
        <c:grouping val="standard"/>
        <c:varyColors val="0"/>
        <c:ser>
          <c:idx val="3"/>
          <c:order val="3"/>
          <c:tx>
            <c:strRef>
              <c:f>Лист1!$E$1</c:f>
              <c:strCache>
                <c:ptCount val="1"/>
                <c:pt idx="0">
                  <c:v>Գործազրկության մակարդակ, %, աջ առանցք</c:v>
                </c:pt>
              </c:strCache>
            </c:strRef>
          </c:tx>
          <c:spPr>
            <a:ln w="25400">
              <a:solidFill>
                <a:srgbClr val="44546A"/>
              </a:solidFill>
            </a:ln>
          </c:spPr>
          <c:marker>
            <c:symbol val="circle"/>
            <c:size val="6"/>
            <c:spPr>
              <a:solidFill>
                <a:srgbClr val="44546A"/>
              </a:solidFill>
            </c:spPr>
          </c:marker>
          <c:dLbls>
            <c:dLbl>
              <c:idx val="0"/>
              <c:layout>
                <c:manualLayout>
                  <c:x val="-7.0095486111111105E-2"/>
                  <c:y val="-6.4679935841353176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7E93-465D-BDFE-BA741C0AE08F}"/>
                </c:ext>
              </c:extLst>
            </c:dLbl>
            <c:dLbl>
              <c:idx val="1"/>
              <c:layout>
                <c:manualLayout>
                  <c:x val="-7.0095486111111147E-2"/>
                  <c:y val="-6.467993584135316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7E93-465D-BDFE-BA741C0AE08F}"/>
                </c:ext>
              </c:extLst>
            </c:dLbl>
            <c:dLbl>
              <c:idx val="2"/>
              <c:layout>
                <c:manualLayout>
                  <c:x val="-6.5755208333333412E-2"/>
                  <c:y val="-5.696388645863711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7E93-465D-BDFE-BA741C0AE08F}"/>
                </c:ext>
              </c:extLst>
            </c:dLbl>
            <c:dLbl>
              <c:idx val="3"/>
              <c:layout>
                <c:manualLayout>
                  <c:x val="-7.0095486111111105E-2"/>
                  <c:y val="-5.6963886458637147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7E93-465D-BDFE-BA741C0AE08F}"/>
                </c:ext>
              </c:extLst>
            </c:dLbl>
            <c:dLbl>
              <c:idx val="4"/>
              <c:layout>
                <c:manualLayout>
                  <c:x val="-7.4435763888888895E-2"/>
                  <c:y val="-5.696388645863711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7E93-465D-BDFE-BA741C0AE08F}"/>
                </c:ext>
              </c:extLst>
            </c:dLbl>
            <c:spPr>
              <a:noFill/>
              <a:ln>
                <a:noFill/>
              </a:ln>
              <a:effectLst/>
            </c:spPr>
            <c:txPr>
              <a:bodyPr/>
              <a:lstStyle/>
              <a:p>
                <a:pPr>
                  <a:defRPr sz="800" b="1"/>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Лист1!$A$2:$A$6</c:f>
              <c:strCache>
                <c:ptCount val="5"/>
                <c:pt idx="0">
                  <c:v>2024-I</c:v>
                </c:pt>
                <c:pt idx="1">
                  <c:v>2024-II</c:v>
                </c:pt>
                <c:pt idx="2">
                  <c:v>2024-III</c:v>
                </c:pt>
                <c:pt idx="3">
                  <c:v>2024-IV</c:v>
                </c:pt>
                <c:pt idx="4">
                  <c:v>2025-I</c:v>
                </c:pt>
              </c:strCache>
            </c:strRef>
          </c:cat>
          <c:val>
            <c:numRef>
              <c:f>Лист1!$E$2:$E$6</c:f>
              <c:numCache>
                <c:formatCode>0.0</c:formatCode>
                <c:ptCount val="5"/>
                <c:pt idx="0">
                  <c:v>15.5</c:v>
                </c:pt>
                <c:pt idx="1">
                  <c:v>13.8</c:v>
                </c:pt>
                <c:pt idx="2">
                  <c:v>13.3</c:v>
                </c:pt>
                <c:pt idx="3">
                  <c:v>12.9</c:v>
                </c:pt>
                <c:pt idx="4">
                  <c:v>14</c:v>
                </c:pt>
              </c:numCache>
            </c:numRef>
          </c:val>
          <c:smooth val="0"/>
          <c:extLst>
            <c:ext xmlns:c16="http://schemas.microsoft.com/office/drawing/2014/chart" uri="{C3380CC4-5D6E-409C-BE32-E72D297353CC}">
              <c16:uniqueId val="{0000000B-7E93-465D-BDFE-BA741C0AE08F}"/>
            </c:ext>
          </c:extLst>
        </c:ser>
        <c:dLbls>
          <c:showLegendKey val="0"/>
          <c:showVal val="0"/>
          <c:showCatName val="0"/>
          <c:showSerName val="0"/>
          <c:showPercent val="0"/>
          <c:showBubbleSize val="0"/>
        </c:dLbls>
        <c:marker val="1"/>
        <c:smooth val="0"/>
        <c:axId val="345056384"/>
        <c:axId val="345054592"/>
      </c:lineChart>
      <c:catAx>
        <c:axId val="34505152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vert="horz"/>
          <a:lstStyle/>
          <a:p>
            <a:pPr>
              <a:defRPr sz="800"/>
            </a:pPr>
            <a:endParaRPr lang="en-US"/>
          </a:p>
        </c:txPr>
        <c:crossAx val="345053056"/>
        <c:crosses val="autoZero"/>
        <c:auto val="1"/>
        <c:lblAlgn val="ctr"/>
        <c:lblOffset val="100"/>
        <c:noMultiLvlLbl val="0"/>
      </c:catAx>
      <c:valAx>
        <c:axId val="345053056"/>
        <c:scaling>
          <c:orientation val="minMax"/>
          <c:max val="1300"/>
          <c:min val="0"/>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vert="horz"/>
          <a:lstStyle/>
          <a:p>
            <a:pPr>
              <a:defRPr sz="800">
                <a:solidFill>
                  <a:schemeClr val="bg1">
                    <a:lumMod val="65000"/>
                  </a:schemeClr>
                </a:solidFill>
              </a:defRPr>
            </a:pPr>
            <a:endParaRPr lang="en-US"/>
          </a:p>
        </c:txPr>
        <c:crossAx val="345051520"/>
        <c:crosses val="autoZero"/>
        <c:crossBetween val="between"/>
        <c:majorUnit val="500"/>
      </c:valAx>
      <c:valAx>
        <c:axId val="345054592"/>
        <c:scaling>
          <c:orientation val="minMax"/>
        </c:scaling>
        <c:delete val="0"/>
        <c:axPos val="r"/>
        <c:numFmt formatCode="0.0" sourceLinked="1"/>
        <c:majorTickMark val="none"/>
        <c:minorTickMark val="none"/>
        <c:tickLblPos val="nextTo"/>
        <c:spPr>
          <a:noFill/>
          <a:ln>
            <a:noFill/>
          </a:ln>
          <a:effectLst/>
        </c:spPr>
        <c:txPr>
          <a:bodyPr rot="-60000000" vert="horz"/>
          <a:lstStyle/>
          <a:p>
            <a:pPr>
              <a:defRPr sz="800">
                <a:solidFill>
                  <a:schemeClr val="bg1">
                    <a:lumMod val="65000"/>
                  </a:schemeClr>
                </a:solidFill>
              </a:defRPr>
            </a:pPr>
            <a:endParaRPr lang="en-US"/>
          </a:p>
        </c:txPr>
        <c:crossAx val="345056384"/>
        <c:crosses val="max"/>
        <c:crossBetween val="between"/>
      </c:valAx>
      <c:catAx>
        <c:axId val="345056384"/>
        <c:scaling>
          <c:orientation val="minMax"/>
        </c:scaling>
        <c:delete val="1"/>
        <c:axPos val="b"/>
        <c:numFmt formatCode="General" sourceLinked="1"/>
        <c:majorTickMark val="none"/>
        <c:minorTickMark val="none"/>
        <c:tickLblPos val="none"/>
        <c:crossAx val="345054592"/>
        <c:crosses val="autoZero"/>
        <c:auto val="1"/>
        <c:lblAlgn val="ctr"/>
        <c:lblOffset val="100"/>
        <c:noMultiLvlLbl val="0"/>
      </c:catAx>
      <c:spPr>
        <a:noFill/>
        <a:ln>
          <a:noFill/>
        </a:ln>
        <a:effectLst/>
      </c:spPr>
    </c:plotArea>
    <c:legend>
      <c:legendPos val="b"/>
      <c:legendEntry>
        <c:idx val="2"/>
        <c:txPr>
          <a:bodyPr rot="0" vert="horz"/>
          <a:lstStyle/>
          <a:p>
            <a:pPr>
              <a:defRPr sz="600"/>
            </a:pPr>
            <a:endParaRPr lang="en-US"/>
          </a:p>
        </c:txPr>
      </c:legendEntry>
      <c:layout>
        <c:manualLayout>
          <c:xMode val="edge"/>
          <c:yMode val="edge"/>
          <c:x val="0"/>
          <c:y val="0.74246804169721703"/>
          <c:w val="0.99574379374453181"/>
          <c:h val="0.25753195830278297"/>
        </c:manualLayout>
      </c:layout>
      <c:overlay val="0"/>
      <c:spPr>
        <a:noFill/>
        <a:ln>
          <a:noFill/>
        </a:ln>
        <a:effectLst/>
      </c:spPr>
      <c:txPr>
        <a:bodyPr rot="0" vert="horz"/>
        <a:lstStyle/>
        <a:p>
          <a:pPr>
            <a:defRPr sz="600"/>
          </a:pPr>
          <a:endParaRPr lang="en-US"/>
        </a:p>
      </c:txPr>
    </c:legend>
    <c:plotVisOnly val="1"/>
    <c:dispBlanksAs val="gap"/>
    <c:showDLblsOverMax val="0"/>
  </c:chart>
  <c:spPr>
    <a:noFill/>
    <a:ln w="12700" cap="flat" cmpd="sng" algn="ctr">
      <a:solidFill>
        <a:sysClr val="window" lastClr="FFFFFF"/>
      </a:solidFill>
      <a:round/>
    </a:ln>
    <a:effectLst/>
  </c:spPr>
  <c:txPr>
    <a:bodyPr/>
    <a:lstStyle/>
    <a:p>
      <a:pPr>
        <a:defRPr sz="1000">
          <a:latin typeface="Calibri" panose="020F0502020204030204" pitchFamily="34" charset="0"/>
          <a:ea typeface="Calibri" panose="020F0502020204030204" pitchFamily="34" charset="0"/>
          <a:cs typeface="Calibri" panose="020F0502020204030204" pitchFamily="34" charset="0"/>
        </a:defRPr>
      </a:pPr>
      <a:endParaRPr lang="en-US"/>
    </a:p>
  </c:txPr>
  <c:externalData r:id="rId2">
    <c:autoUpdate val="0"/>
  </c:externalData>
</c:chartSpace>
</file>

<file path=word/charts/chart2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a:p>
            <a:pPr>
              <a:defRPr sz="1400" b="0" i="0" u="none" strike="noStrike" kern="1200" spc="0" baseline="0">
                <a:solidFill>
                  <a:schemeClr val="tx1">
                    <a:lumMod val="65000"/>
                    <a:lumOff val="35000"/>
                  </a:schemeClr>
                </a:solidFill>
                <a:latin typeface="+mn-lt"/>
                <a:ea typeface="+mn-ea"/>
                <a:cs typeface="+mn-cs"/>
              </a:defRPr>
            </a:pPr>
            <a:endParaRPr lang="ru-RU"/>
          </a:p>
        </c:rich>
      </c:tx>
      <c:layout>
        <c:manualLayout>
          <c:xMode val="edge"/>
          <c:yMode val="edge"/>
          <c:x val="9.3106574844288706E-2"/>
          <c:y val="0"/>
        </c:manualLayout>
      </c:layout>
      <c:overlay val="0"/>
      <c:spPr>
        <a:noFill/>
        <a:ln>
          <a:noFill/>
        </a:ln>
        <a:effectLst/>
      </c:spPr>
    </c:title>
    <c:autoTitleDeleted val="0"/>
    <c:plotArea>
      <c:layout>
        <c:manualLayout>
          <c:layoutTarget val="inner"/>
          <c:xMode val="edge"/>
          <c:yMode val="edge"/>
          <c:x val="0.11873917014291722"/>
          <c:y val="7.0087221630047492E-2"/>
          <c:w val="0.80804307316570445"/>
          <c:h val="0.61867847769029127"/>
        </c:manualLayout>
      </c:layout>
      <c:barChart>
        <c:barDir val="col"/>
        <c:grouping val="clustered"/>
        <c:varyColors val="0"/>
        <c:ser>
          <c:idx val="0"/>
          <c:order val="0"/>
          <c:tx>
            <c:strRef>
              <c:f>Лист1!$B$1</c:f>
              <c:strCache>
                <c:ptCount val="1"/>
                <c:pt idx="0">
                  <c:v>Աշխատուժի մասնակցության մակարդակ, %</c:v>
                </c:pt>
              </c:strCache>
            </c:strRef>
          </c:tx>
          <c:spPr>
            <a:solidFill>
              <a:srgbClr val="4472C4">
                <a:lumMod val="75000"/>
              </a:srgbClr>
            </a:solidFill>
            <a:ln>
              <a:noFill/>
            </a:ln>
            <a:effectLst/>
          </c:spPr>
          <c:invertIfNegative val="0"/>
          <c:cat>
            <c:strRef>
              <c:f>Лист1!$A$2:$A$7</c:f>
              <c:strCache>
                <c:ptCount val="6"/>
                <c:pt idx="0">
                  <c:v>2024-I</c:v>
                </c:pt>
                <c:pt idx="1">
                  <c:v>2024-II</c:v>
                </c:pt>
                <c:pt idx="2">
                  <c:v>2024-III</c:v>
                </c:pt>
                <c:pt idx="3">
                  <c:v>2024-IV</c:v>
                </c:pt>
                <c:pt idx="4">
                  <c:v>2025-I</c:v>
                </c:pt>
                <c:pt idx="5">
                  <c:v>2025-II</c:v>
                </c:pt>
              </c:strCache>
            </c:strRef>
          </c:cat>
          <c:val>
            <c:numRef>
              <c:f>Лист1!$B$2:$B$7</c:f>
              <c:numCache>
                <c:formatCode>0.0</c:formatCode>
                <c:ptCount val="6"/>
                <c:pt idx="0">
                  <c:v>57.662542500032835</c:v>
                </c:pt>
                <c:pt idx="1">
                  <c:v>60.41398432876175</c:v>
                </c:pt>
                <c:pt idx="2">
                  <c:v>60.183912669333765</c:v>
                </c:pt>
                <c:pt idx="3">
                  <c:v>57.184525343041017</c:v>
                </c:pt>
                <c:pt idx="4">
                  <c:v>58.224390532626977</c:v>
                </c:pt>
              </c:numCache>
            </c:numRef>
          </c:val>
          <c:extLst>
            <c:ext xmlns:c16="http://schemas.microsoft.com/office/drawing/2014/chart" uri="{C3380CC4-5D6E-409C-BE32-E72D297353CC}">
              <c16:uniqueId val="{00000000-8B77-4EE0-BE8B-9C0A8CC838E9}"/>
            </c:ext>
          </c:extLst>
        </c:ser>
        <c:dLbls>
          <c:showLegendKey val="0"/>
          <c:showVal val="0"/>
          <c:showCatName val="0"/>
          <c:showSerName val="0"/>
          <c:showPercent val="0"/>
          <c:showBubbleSize val="0"/>
        </c:dLbls>
        <c:gapWidth val="100"/>
        <c:overlap val="-70"/>
        <c:axId val="345270528"/>
        <c:axId val="345272320"/>
      </c:barChart>
      <c:lineChart>
        <c:grouping val="standard"/>
        <c:varyColors val="0"/>
        <c:ser>
          <c:idx val="1"/>
          <c:order val="1"/>
          <c:tx>
            <c:strRef>
              <c:f>Лист1!$C$1</c:f>
              <c:strCache>
                <c:ptCount val="1"/>
                <c:pt idx="0">
                  <c:v>Իրական աշխատավարձի փոփոխություն, %, կուտակային (աջ առանցք)</c:v>
                </c:pt>
              </c:strCache>
            </c:strRef>
          </c:tx>
          <c:spPr>
            <a:ln w="25400" cap="rnd">
              <a:solidFill>
                <a:srgbClr val="ED7D31">
                  <a:lumMod val="60000"/>
                  <a:lumOff val="40000"/>
                </a:srgbClr>
              </a:solidFill>
              <a:round/>
            </a:ln>
            <a:effectLst/>
          </c:spPr>
          <c:marker>
            <c:symbol val="circle"/>
            <c:size val="6"/>
            <c:spPr>
              <a:solidFill>
                <a:srgbClr val="ED7D31">
                  <a:lumMod val="60000"/>
                  <a:lumOff val="40000"/>
                </a:srgbClr>
              </a:solidFill>
              <a:ln>
                <a:noFill/>
              </a:ln>
            </c:spPr>
          </c:marker>
          <c:dLbls>
            <c:dLbl>
              <c:idx val="0"/>
              <c:layout>
                <c:manualLayout>
                  <c:x val="-6.1295658355205597E-2"/>
                  <c:y val="-5.6963886458637113E-2"/>
                </c:manualLayout>
              </c:layout>
              <c:dLblPos val="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1-8B77-4EE0-BE8B-9C0A8CC838E9}"/>
                </c:ext>
              </c:extLst>
            </c:dLbl>
            <c:dLbl>
              <c:idx val="1"/>
              <c:layout>
                <c:manualLayout>
                  <c:x val="-3.0913713910761156E-2"/>
                  <c:y val="-5.6963886458637113E-2"/>
                </c:manualLayout>
              </c:layout>
              <c:dLblPos val="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2-8B77-4EE0-BE8B-9C0A8CC838E9}"/>
                </c:ext>
              </c:extLst>
            </c:dLbl>
            <c:dLbl>
              <c:idx val="2"/>
              <c:layout>
                <c:manualLayout>
                  <c:x val="-9.2123250218722665E-3"/>
                  <c:y val="-4.1531787693205015E-2"/>
                </c:manualLayout>
              </c:layout>
              <c:dLblPos val="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3-8B77-4EE0-BE8B-9C0A8CC838E9}"/>
                </c:ext>
              </c:extLst>
            </c:dLbl>
            <c:dLbl>
              <c:idx val="3"/>
              <c:layout>
                <c:manualLayout>
                  <c:x val="-5.6955380577427821E-2"/>
                  <c:y val="-6.4679935841353231E-2"/>
                </c:manualLayout>
              </c:layout>
              <c:dLblPos val="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4-8B77-4EE0-BE8B-9C0A8CC838E9}"/>
                </c:ext>
              </c:extLst>
            </c:dLbl>
            <c:dLbl>
              <c:idx val="4"/>
              <c:layout>
                <c:manualLayout>
                  <c:x val="-3.5253991688538933E-2"/>
                  <c:y val="-5.6963886458637182E-2"/>
                </c:manualLayout>
              </c:layout>
              <c:dLblPos val="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5-8B77-4EE0-BE8B-9C0A8CC838E9}"/>
                </c:ext>
              </c:extLst>
            </c:dLbl>
            <c:dLbl>
              <c:idx val="5"/>
              <c:layout>
                <c:manualLayout>
                  <c:x val="-5.6955380577427821E-2"/>
                  <c:y val="-7.2395985224069218E-2"/>
                </c:manualLayout>
              </c:layout>
              <c:dLblPos val="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6-8B77-4EE0-BE8B-9C0A8CC838E9}"/>
                </c:ext>
              </c:extLst>
            </c:dLbl>
            <c:spPr>
              <a:noFill/>
              <a:ln>
                <a:noFill/>
              </a:ln>
              <a:effectLst/>
            </c:spPr>
            <c:txPr>
              <a:bodyPr wrap="square" lIns="38100" tIns="19050" rIns="38100" bIns="19050" anchor="ctr">
                <a:spAutoFit/>
              </a:bodyPr>
              <a:lstStyle/>
              <a:p>
                <a:pPr>
                  <a:defRPr sz="800" b="1"/>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Лист1!$A$2:$A$7</c:f>
              <c:strCache>
                <c:ptCount val="6"/>
                <c:pt idx="0">
                  <c:v>2024-I</c:v>
                </c:pt>
                <c:pt idx="1">
                  <c:v>2024-II</c:v>
                </c:pt>
                <c:pt idx="2">
                  <c:v>2024-III</c:v>
                </c:pt>
                <c:pt idx="3">
                  <c:v>2024-IV</c:v>
                </c:pt>
                <c:pt idx="4">
                  <c:v>2025-I</c:v>
                </c:pt>
                <c:pt idx="5">
                  <c:v>2025-II</c:v>
                </c:pt>
              </c:strCache>
            </c:strRef>
          </c:cat>
          <c:val>
            <c:numRef>
              <c:f>Лист1!$C$2:$C$7</c:f>
              <c:numCache>
                <c:formatCode>0.0</c:formatCode>
                <c:ptCount val="6"/>
                <c:pt idx="0">
                  <c:v>9.4914921233427947</c:v>
                </c:pt>
                <c:pt idx="1">
                  <c:v>7.3959519851725304</c:v>
                </c:pt>
                <c:pt idx="2">
                  <c:v>6.6467774526330885</c:v>
                </c:pt>
                <c:pt idx="3">
                  <c:v>6.0442309153341682</c:v>
                </c:pt>
                <c:pt idx="4">
                  <c:v>3.0763058198882902</c:v>
                </c:pt>
                <c:pt idx="5">
                  <c:v>2.3711529169621031</c:v>
                </c:pt>
              </c:numCache>
            </c:numRef>
          </c:val>
          <c:smooth val="0"/>
          <c:extLst>
            <c:ext xmlns:c16="http://schemas.microsoft.com/office/drawing/2014/chart" uri="{C3380CC4-5D6E-409C-BE32-E72D297353CC}">
              <c16:uniqueId val="{00000007-8B77-4EE0-BE8B-9C0A8CC838E9}"/>
            </c:ext>
          </c:extLst>
        </c:ser>
        <c:dLbls>
          <c:showLegendKey val="0"/>
          <c:showVal val="0"/>
          <c:showCatName val="0"/>
          <c:showSerName val="0"/>
          <c:showPercent val="0"/>
          <c:showBubbleSize val="0"/>
        </c:dLbls>
        <c:marker val="1"/>
        <c:smooth val="0"/>
        <c:axId val="345275392"/>
        <c:axId val="345273856"/>
      </c:lineChart>
      <c:catAx>
        <c:axId val="3452705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Calibri" panose="020F0502020204030204" pitchFamily="34" charset="0"/>
                <a:ea typeface="Calibri" panose="020F0502020204030204" pitchFamily="34" charset="0"/>
                <a:cs typeface="Calibri" panose="020F0502020204030204" pitchFamily="34" charset="0"/>
              </a:defRPr>
            </a:pPr>
            <a:endParaRPr lang="en-US"/>
          </a:p>
        </c:txPr>
        <c:crossAx val="345272320"/>
        <c:crosses val="autoZero"/>
        <c:auto val="1"/>
        <c:lblAlgn val="ctr"/>
        <c:lblOffset val="100"/>
        <c:noMultiLvlLbl val="0"/>
      </c:catAx>
      <c:valAx>
        <c:axId val="345272320"/>
        <c:scaling>
          <c:orientation val="minMax"/>
          <c:max val="62"/>
          <c:min val="54"/>
        </c:scaling>
        <c:delete val="0"/>
        <c:axPos val="l"/>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bg1">
                    <a:lumMod val="65000"/>
                  </a:schemeClr>
                </a:solidFill>
                <a:latin typeface="Calibri" panose="020F0502020204030204" pitchFamily="34" charset="0"/>
                <a:ea typeface="Calibri" panose="020F0502020204030204" pitchFamily="34" charset="0"/>
                <a:cs typeface="Calibri" panose="020F0502020204030204" pitchFamily="34" charset="0"/>
              </a:defRPr>
            </a:pPr>
            <a:endParaRPr lang="en-US"/>
          </a:p>
        </c:txPr>
        <c:crossAx val="345270528"/>
        <c:crosses val="autoZero"/>
        <c:crossBetween val="between"/>
        <c:majorUnit val="4"/>
      </c:valAx>
      <c:valAx>
        <c:axId val="345273856"/>
        <c:scaling>
          <c:orientation val="minMax"/>
          <c:max val="17"/>
          <c:min val="0"/>
        </c:scaling>
        <c:delete val="0"/>
        <c:axPos val="r"/>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bg1">
                    <a:lumMod val="65000"/>
                  </a:schemeClr>
                </a:solidFill>
                <a:latin typeface="Calibri" panose="020F0502020204030204" pitchFamily="34" charset="0"/>
                <a:ea typeface="Calibri" panose="020F0502020204030204" pitchFamily="34" charset="0"/>
                <a:cs typeface="Calibri" panose="020F0502020204030204" pitchFamily="34" charset="0"/>
              </a:defRPr>
            </a:pPr>
            <a:endParaRPr lang="en-US"/>
          </a:p>
        </c:txPr>
        <c:crossAx val="345275392"/>
        <c:crosses val="max"/>
        <c:crossBetween val="between"/>
        <c:majorUnit val="5"/>
      </c:valAx>
      <c:catAx>
        <c:axId val="345275392"/>
        <c:scaling>
          <c:orientation val="minMax"/>
        </c:scaling>
        <c:delete val="1"/>
        <c:axPos val="b"/>
        <c:numFmt formatCode="General" sourceLinked="1"/>
        <c:majorTickMark val="none"/>
        <c:minorTickMark val="none"/>
        <c:tickLblPos val="none"/>
        <c:crossAx val="345273856"/>
        <c:crosses val="autoZero"/>
        <c:auto val="1"/>
        <c:lblAlgn val="ctr"/>
        <c:lblOffset val="100"/>
        <c:noMultiLvlLbl val="0"/>
      </c:catAx>
      <c:spPr>
        <a:noFill/>
        <a:ln>
          <a:noFill/>
        </a:ln>
        <a:effectLst/>
      </c:spPr>
    </c:plotArea>
    <c:legend>
      <c:legendPos val="b"/>
      <c:layout>
        <c:manualLayout>
          <c:xMode val="edge"/>
          <c:yMode val="edge"/>
          <c:x val="3.5714285714285709E-3"/>
          <c:y val="0.80372399534053762"/>
          <c:w val="0.97585034013605443"/>
          <c:h val="0.15844021199960706"/>
        </c:manualLayout>
      </c:layout>
      <c:overlay val="0"/>
      <c:spPr>
        <a:noFill/>
        <a:ln>
          <a:noFill/>
        </a:ln>
        <a:effectLst/>
      </c:spPr>
      <c:txPr>
        <a:bodyPr rot="0" spcFirstLastPara="1" vertOverflow="ellipsis" vert="horz" wrap="square" anchor="ctr" anchorCtr="1"/>
        <a:lstStyle/>
        <a:p>
          <a:pPr>
            <a:defRPr sz="600" b="0" i="0" u="none" strike="noStrike" kern="1200" baseline="0">
              <a:solidFill>
                <a:schemeClr val="tx1">
                  <a:lumMod val="65000"/>
                  <a:lumOff val="35000"/>
                </a:schemeClr>
              </a:solidFill>
              <a:latin typeface="Calibri" panose="020F0502020204030204" pitchFamily="34" charset="0"/>
              <a:ea typeface="Calibri" panose="020F0502020204030204" pitchFamily="34" charset="0"/>
              <a:cs typeface="Calibri" panose="020F0502020204030204" pitchFamily="34" charset="0"/>
            </a:defRPr>
          </a:pPr>
          <a:endParaRPr lang="en-US"/>
        </a:p>
      </c:txPr>
    </c:legend>
    <c:plotVisOnly val="1"/>
    <c:dispBlanksAs val="gap"/>
    <c:showDLblsOverMax val="0"/>
  </c:chart>
  <c:spPr>
    <a:noFill/>
    <a:ln w="12700" cap="flat" cmpd="sng" algn="ctr">
      <a:solidFill>
        <a:sysClr val="window" lastClr="FFFFFF"/>
      </a:solidFill>
      <a:round/>
    </a:ln>
    <a:effectLst/>
  </c:spPr>
  <c:txPr>
    <a:bodyPr/>
    <a:lstStyle/>
    <a:p>
      <a:pPr>
        <a:defRPr/>
      </a:pPr>
      <a:endParaRPr lang="en-US"/>
    </a:p>
  </c:txPr>
  <c:externalData r:id="rId2">
    <c:autoUpdate val="0"/>
  </c:externalData>
</c:chartSpace>
</file>

<file path=word/charts/chart2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6.806870088154332E-2"/>
          <c:y val="5.2830294608895816E-2"/>
          <c:w val="0.86605542312949757"/>
          <c:h val="0.53536449004193654"/>
        </c:manualLayout>
      </c:layout>
      <c:barChart>
        <c:barDir val="col"/>
        <c:grouping val="stacked"/>
        <c:varyColors val="0"/>
        <c:ser>
          <c:idx val="1"/>
          <c:order val="0"/>
          <c:tx>
            <c:strRef>
              <c:f>Sheet1!$A$2</c:f>
              <c:strCache>
                <c:ptCount val="1"/>
                <c:pt idx="0">
                  <c:v>Ապրանքների հաշվեկշիռ</c:v>
                </c:pt>
              </c:strCache>
            </c:strRef>
          </c:tx>
          <c:spPr>
            <a:solidFill>
              <a:sysClr val="window" lastClr="FFFFFF">
                <a:lumMod val="75000"/>
              </a:sysClr>
            </a:solidFill>
            <a:ln>
              <a:noFill/>
            </a:ln>
            <a:effectLst/>
          </c:spPr>
          <c:invertIfNegative val="0"/>
          <c:cat>
            <c:numRef>
              <c:f>Sheet1!$B$1:$M$1</c:f>
              <c:numCache>
                <c:formatCode>General</c:formatCode>
                <c:ptCount val="7"/>
                <c:pt idx="0">
                  <c:v>2022</c:v>
                </c:pt>
                <c:pt idx="1">
                  <c:v>2023</c:v>
                </c:pt>
                <c:pt idx="2">
                  <c:v>2024</c:v>
                </c:pt>
                <c:pt idx="3">
                  <c:v>2025</c:v>
                </c:pt>
                <c:pt idx="4">
                  <c:v>2026</c:v>
                </c:pt>
                <c:pt idx="5">
                  <c:v>2027</c:v>
                </c:pt>
                <c:pt idx="6">
                  <c:v>2028</c:v>
                </c:pt>
              </c:numCache>
            </c:numRef>
          </c:cat>
          <c:val>
            <c:numRef>
              <c:f>Sheet1!$B$2:$M$2</c:f>
              <c:numCache>
                <c:formatCode>0.0</c:formatCode>
                <c:ptCount val="7"/>
                <c:pt idx="0">
                  <c:v>-9.2388798677897874</c:v>
                </c:pt>
                <c:pt idx="1">
                  <c:v>-10.0383977333645</c:v>
                </c:pt>
                <c:pt idx="2">
                  <c:v>-8.456796520692718</c:v>
                </c:pt>
                <c:pt idx="3">
                  <c:v>-10.792579384955735</c:v>
                </c:pt>
                <c:pt idx="4">
                  <c:v>-10.55325013803961</c:v>
                </c:pt>
                <c:pt idx="5">
                  <c:v>-10.351803042286631</c:v>
                </c:pt>
                <c:pt idx="6">
                  <c:v>-10.058506358446301</c:v>
                </c:pt>
              </c:numCache>
            </c:numRef>
          </c:val>
          <c:extLst>
            <c:ext xmlns:c16="http://schemas.microsoft.com/office/drawing/2014/chart" uri="{C3380CC4-5D6E-409C-BE32-E72D297353CC}">
              <c16:uniqueId val="{00000000-34B1-4F46-BECC-90DE84AF2B81}"/>
            </c:ext>
          </c:extLst>
        </c:ser>
        <c:ser>
          <c:idx val="2"/>
          <c:order val="2"/>
          <c:tx>
            <c:strRef>
              <c:f>Sheet1!$A$4</c:f>
              <c:strCache>
                <c:ptCount val="1"/>
                <c:pt idx="0">
                  <c:v>Ծառայությունների հաշվեկշիռ</c:v>
                </c:pt>
              </c:strCache>
            </c:strRef>
          </c:tx>
          <c:spPr>
            <a:solidFill>
              <a:schemeClr val="accent1">
                <a:lumMod val="60000"/>
                <a:lumOff val="40000"/>
              </a:schemeClr>
            </a:solidFill>
            <a:ln>
              <a:noFill/>
            </a:ln>
            <a:effectLst/>
          </c:spPr>
          <c:invertIfNegative val="0"/>
          <c:cat>
            <c:numRef>
              <c:f>Sheet1!$B$1:$M$1</c:f>
              <c:numCache>
                <c:formatCode>General</c:formatCode>
                <c:ptCount val="7"/>
                <c:pt idx="0">
                  <c:v>2022</c:v>
                </c:pt>
                <c:pt idx="1">
                  <c:v>2023</c:v>
                </c:pt>
                <c:pt idx="2">
                  <c:v>2024</c:v>
                </c:pt>
                <c:pt idx="3">
                  <c:v>2025</c:v>
                </c:pt>
                <c:pt idx="4">
                  <c:v>2026</c:v>
                </c:pt>
                <c:pt idx="5">
                  <c:v>2027</c:v>
                </c:pt>
                <c:pt idx="6">
                  <c:v>2028</c:v>
                </c:pt>
              </c:numCache>
            </c:numRef>
          </c:cat>
          <c:val>
            <c:numRef>
              <c:f>Sheet1!$B$4:$M$4</c:f>
              <c:numCache>
                <c:formatCode>0.0</c:formatCode>
                <c:ptCount val="7"/>
                <c:pt idx="0">
                  <c:v>8.7270141393140257</c:v>
                </c:pt>
                <c:pt idx="1">
                  <c:v>8.618299560329163</c:v>
                </c:pt>
                <c:pt idx="2">
                  <c:v>5.6376703402170429</c:v>
                </c:pt>
                <c:pt idx="3">
                  <c:v>5.6976233422767235</c:v>
                </c:pt>
                <c:pt idx="4">
                  <c:v>5.9178472218061771</c:v>
                </c:pt>
                <c:pt idx="5">
                  <c:v>5.9426840911247272</c:v>
                </c:pt>
                <c:pt idx="6">
                  <c:v>5.9591022320708671</c:v>
                </c:pt>
              </c:numCache>
            </c:numRef>
          </c:val>
          <c:extLst>
            <c:ext xmlns:c16="http://schemas.microsoft.com/office/drawing/2014/chart" uri="{C3380CC4-5D6E-409C-BE32-E72D297353CC}">
              <c16:uniqueId val="{00000001-34B1-4F46-BECC-90DE84AF2B81}"/>
            </c:ext>
          </c:extLst>
        </c:ser>
        <c:ser>
          <c:idx val="5"/>
          <c:order val="5"/>
          <c:tx>
            <c:strRef>
              <c:f>Sheet1!$A$7</c:f>
              <c:strCache>
                <c:ptCount val="1"/>
                <c:pt idx="0">
                  <c:v>Զուտ դրամական փոխանցումներ</c:v>
                </c:pt>
              </c:strCache>
            </c:strRef>
          </c:tx>
          <c:spPr>
            <a:solidFill>
              <a:srgbClr val="5B9BD5">
                <a:lumMod val="75000"/>
              </a:srgbClr>
            </a:solidFill>
          </c:spPr>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numRef>
              <c:f>Sheet1!$B$1:$M$1</c:f>
              <c:numCache>
                <c:formatCode>General</c:formatCode>
                <c:ptCount val="7"/>
                <c:pt idx="0">
                  <c:v>2022</c:v>
                </c:pt>
                <c:pt idx="1">
                  <c:v>2023</c:v>
                </c:pt>
                <c:pt idx="2">
                  <c:v>2024</c:v>
                </c:pt>
                <c:pt idx="3">
                  <c:v>2025</c:v>
                </c:pt>
                <c:pt idx="4">
                  <c:v>2026</c:v>
                </c:pt>
                <c:pt idx="5">
                  <c:v>2027</c:v>
                </c:pt>
                <c:pt idx="6">
                  <c:v>2028</c:v>
                </c:pt>
              </c:numCache>
            </c:numRef>
          </c:cat>
          <c:val>
            <c:numRef>
              <c:f>Sheet1!$B$7:$M$7</c:f>
              <c:numCache>
                <c:formatCode>0.0</c:formatCode>
                <c:ptCount val="7"/>
                <c:pt idx="0">
                  <c:v>7.585340987784142</c:v>
                </c:pt>
                <c:pt idx="1">
                  <c:v>4.1875222508151486</c:v>
                </c:pt>
                <c:pt idx="2">
                  <c:v>3.0962044723158644</c:v>
                </c:pt>
                <c:pt idx="3">
                  <c:v>3.3458908029824603</c:v>
                </c:pt>
                <c:pt idx="4">
                  <c:v>3.3348338306661387</c:v>
                </c:pt>
                <c:pt idx="5">
                  <c:v>3.2767200714411477</c:v>
                </c:pt>
                <c:pt idx="6">
                  <c:v>3.2055901799534747</c:v>
                </c:pt>
              </c:numCache>
            </c:numRef>
          </c:val>
          <c:extLst>
            <c:ext xmlns:c16="http://schemas.microsoft.com/office/drawing/2014/chart" uri="{C3380CC4-5D6E-409C-BE32-E72D297353CC}">
              <c16:uniqueId val="{00000002-34B1-4F46-BECC-90DE84AF2B81}"/>
            </c:ext>
          </c:extLst>
        </c:ser>
        <c:dLbls>
          <c:showLegendKey val="0"/>
          <c:showVal val="0"/>
          <c:showCatName val="0"/>
          <c:showSerName val="0"/>
          <c:showPercent val="0"/>
          <c:showBubbleSize val="0"/>
        </c:dLbls>
        <c:gapWidth val="150"/>
        <c:overlap val="100"/>
        <c:axId val="452835328"/>
        <c:axId val="450240512"/>
      </c:barChart>
      <c:barChart>
        <c:barDir val="col"/>
        <c:grouping val="stacked"/>
        <c:varyColors val="0"/>
        <c:ser>
          <c:idx val="3"/>
          <c:order val="3"/>
          <c:tx>
            <c:strRef>
              <c:f>Sheet1!$A$5</c:f>
              <c:strCache>
                <c:ptCount val="1"/>
                <c:pt idx="0">
                  <c:v>Սկզբնական եկամուտներ</c:v>
                </c:pt>
              </c:strCache>
            </c:strRef>
          </c:tx>
          <c:spPr>
            <a:solidFill>
              <a:srgbClr val="4F81BD"/>
            </a:solidFill>
            <a:ln w="25375">
              <a:noFill/>
            </a:ln>
          </c:spPr>
          <c:invertIfNegative val="0"/>
          <c:cat>
            <c:numRef>
              <c:f>Sheet1!$B$1:$M$1</c:f>
              <c:numCache>
                <c:formatCode>General</c:formatCode>
                <c:ptCount val="7"/>
                <c:pt idx="0">
                  <c:v>2022</c:v>
                </c:pt>
                <c:pt idx="1">
                  <c:v>2023</c:v>
                </c:pt>
                <c:pt idx="2">
                  <c:v>2024</c:v>
                </c:pt>
                <c:pt idx="3">
                  <c:v>2025</c:v>
                </c:pt>
                <c:pt idx="4">
                  <c:v>2026</c:v>
                </c:pt>
                <c:pt idx="5">
                  <c:v>2027</c:v>
                </c:pt>
                <c:pt idx="6">
                  <c:v>2028</c:v>
                </c:pt>
              </c:numCache>
            </c:numRef>
          </c:cat>
          <c:val>
            <c:numRef>
              <c:f>Sheet1!$B$5:$M$5</c:f>
            </c:numRef>
          </c:val>
          <c:extLst>
            <c:ext xmlns:c16="http://schemas.microsoft.com/office/drawing/2014/chart" uri="{C3380CC4-5D6E-409C-BE32-E72D297353CC}">
              <c16:uniqueId val="{00000003-34B1-4F46-BECC-90DE84AF2B81}"/>
            </c:ext>
          </c:extLst>
        </c:ser>
        <c:ser>
          <c:idx val="4"/>
          <c:order val="4"/>
          <c:tx>
            <c:strRef>
              <c:f>Sheet1!$A$6</c:f>
              <c:strCache>
                <c:ptCount val="1"/>
                <c:pt idx="0">
                  <c:v>Երկրորդային եկամուտներ</c:v>
                </c:pt>
              </c:strCache>
            </c:strRef>
          </c:tx>
          <c:spPr>
            <a:solidFill>
              <a:srgbClr val="1F497D"/>
            </a:solidFill>
            <a:ln w="25375">
              <a:noFill/>
            </a:ln>
          </c:spPr>
          <c:invertIfNegative val="0"/>
          <c:cat>
            <c:numRef>
              <c:f>Sheet1!$B$1:$M$1</c:f>
              <c:numCache>
                <c:formatCode>General</c:formatCode>
                <c:ptCount val="7"/>
                <c:pt idx="0">
                  <c:v>2022</c:v>
                </c:pt>
                <c:pt idx="1">
                  <c:v>2023</c:v>
                </c:pt>
                <c:pt idx="2">
                  <c:v>2024</c:v>
                </c:pt>
                <c:pt idx="3">
                  <c:v>2025</c:v>
                </c:pt>
                <c:pt idx="4">
                  <c:v>2026</c:v>
                </c:pt>
                <c:pt idx="5">
                  <c:v>2027</c:v>
                </c:pt>
                <c:pt idx="6">
                  <c:v>2028</c:v>
                </c:pt>
              </c:numCache>
            </c:numRef>
          </c:cat>
          <c:val>
            <c:numRef>
              <c:f>Sheet1!$B$6:$M$6</c:f>
            </c:numRef>
          </c:val>
          <c:extLst>
            <c:ext xmlns:c16="http://schemas.microsoft.com/office/drawing/2014/chart" uri="{C3380CC4-5D6E-409C-BE32-E72D297353CC}">
              <c16:uniqueId val="{00000004-34B1-4F46-BECC-90DE84AF2B81}"/>
            </c:ext>
          </c:extLst>
        </c:ser>
        <c:dLbls>
          <c:showLegendKey val="0"/>
          <c:showVal val="0"/>
          <c:showCatName val="0"/>
          <c:showSerName val="0"/>
          <c:showPercent val="0"/>
          <c:showBubbleSize val="0"/>
        </c:dLbls>
        <c:gapWidth val="150"/>
        <c:overlap val="100"/>
        <c:axId val="452835328"/>
        <c:axId val="450240512"/>
      </c:barChart>
      <c:lineChart>
        <c:grouping val="standard"/>
        <c:varyColors val="0"/>
        <c:ser>
          <c:idx val="0"/>
          <c:order val="1"/>
          <c:tx>
            <c:strRef>
              <c:f>Sheet1!$A$3</c:f>
              <c:strCache>
                <c:ptCount val="1"/>
                <c:pt idx="0">
                  <c:v>Ընթացիկ հաշիվ</c:v>
                </c:pt>
              </c:strCache>
            </c:strRef>
          </c:tx>
          <c:spPr>
            <a:ln w="28547" cap="rnd">
              <a:solidFill>
                <a:schemeClr val="accent1"/>
              </a:solidFill>
              <a:round/>
            </a:ln>
            <a:effectLst/>
          </c:spPr>
          <c:marker>
            <c:symbol val="circle"/>
            <c:size val="4"/>
            <c:spPr>
              <a:solidFill>
                <a:schemeClr val="accent1"/>
              </a:solidFill>
              <a:ln w="9516">
                <a:solidFill>
                  <a:schemeClr val="accent1"/>
                </a:solidFill>
              </a:ln>
              <a:effectLst/>
            </c:spPr>
          </c:marker>
          <c:dLbls>
            <c:spPr>
              <a:noFill/>
              <a:ln w="25375">
                <a:noFill/>
              </a:ln>
            </c:spPr>
            <c:txPr>
              <a:bodyPr rot="0" spcFirstLastPara="1" vertOverflow="ellipsis" vert="horz" wrap="square" anchor="ctr" anchorCtr="1"/>
              <a:lstStyle/>
              <a:p>
                <a:pPr>
                  <a:defRPr sz="899" b="0" i="0" u="none" strike="noStrike" kern="1200" baseline="0">
                    <a:solidFill>
                      <a:schemeClr val="tx1">
                        <a:lumMod val="75000"/>
                        <a:lumOff val="25000"/>
                      </a:schemeClr>
                    </a:solidFill>
                    <a:latin typeface="GHEA Grapalat" panose="02000506050000020003" pitchFamily="50" charset="0"/>
                    <a:ea typeface="+mn-ea"/>
                    <a:cs typeface="+mn-cs"/>
                  </a:defRPr>
                </a:pPr>
                <a:endParaRPr lang="en-US"/>
              </a:p>
            </c:txPr>
            <c:dLblPos val="b"/>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Sheet1!$B$1:$M$1</c:f>
              <c:numCache>
                <c:formatCode>General</c:formatCode>
                <c:ptCount val="7"/>
                <c:pt idx="0">
                  <c:v>2022</c:v>
                </c:pt>
                <c:pt idx="1">
                  <c:v>2023</c:v>
                </c:pt>
                <c:pt idx="2">
                  <c:v>2024</c:v>
                </c:pt>
                <c:pt idx="3">
                  <c:v>2025</c:v>
                </c:pt>
                <c:pt idx="4">
                  <c:v>2026</c:v>
                </c:pt>
                <c:pt idx="5">
                  <c:v>2027</c:v>
                </c:pt>
                <c:pt idx="6">
                  <c:v>2028</c:v>
                </c:pt>
              </c:numCache>
            </c:numRef>
          </c:cat>
          <c:val>
            <c:numRef>
              <c:f>Sheet1!$B$3:$M$3</c:f>
              <c:numCache>
                <c:formatCode>0.0</c:formatCode>
                <c:ptCount val="7"/>
                <c:pt idx="0">
                  <c:v>0.73786752830403246</c:v>
                </c:pt>
                <c:pt idx="1">
                  <c:v>-2.7702639041912036</c:v>
                </c:pt>
                <c:pt idx="2">
                  <c:v>-4.6021625456021553</c:v>
                </c:pt>
                <c:pt idx="3">
                  <c:v>-5.4087700329739503</c:v>
                </c:pt>
                <c:pt idx="4">
                  <c:v>-4.6156669661218146</c:v>
                </c:pt>
                <c:pt idx="5">
                  <c:v>-4.4065524222118633</c:v>
                </c:pt>
                <c:pt idx="6">
                  <c:v>-4.1884857859372637</c:v>
                </c:pt>
              </c:numCache>
            </c:numRef>
          </c:val>
          <c:smooth val="0"/>
          <c:extLst>
            <c:ext xmlns:c16="http://schemas.microsoft.com/office/drawing/2014/chart" uri="{C3380CC4-5D6E-409C-BE32-E72D297353CC}">
              <c16:uniqueId val="{00000005-34B1-4F46-BECC-90DE84AF2B81}"/>
            </c:ext>
          </c:extLst>
        </c:ser>
        <c:dLbls>
          <c:showLegendKey val="0"/>
          <c:showVal val="0"/>
          <c:showCatName val="0"/>
          <c:showSerName val="0"/>
          <c:showPercent val="0"/>
          <c:showBubbleSize val="0"/>
        </c:dLbls>
        <c:marker val="1"/>
        <c:smooth val="0"/>
        <c:axId val="452835328"/>
        <c:axId val="450240512"/>
      </c:lineChart>
      <c:catAx>
        <c:axId val="452835328"/>
        <c:scaling>
          <c:orientation val="minMax"/>
        </c:scaling>
        <c:delete val="0"/>
        <c:axPos val="b"/>
        <c:numFmt formatCode="General" sourceLinked="1"/>
        <c:majorTickMark val="none"/>
        <c:minorTickMark val="none"/>
        <c:tickLblPos val="low"/>
        <c:spPr>
          <a:noFill/>
          <a:ln w="9516" cap="flat" cmpd="sng" algn="ctr">
            <a:solidFill>
              <a:schemeClr val="tx1">
                <a:lumMod val="15000"/>
                <a:lumOff val="85000"/>
              </a:schemeClr>
            </a:solidFill>
            <a:round/>
          </a:ln>
          <a:effectLst/>
        </c:spPr>
        <c:txPr>
          <a:bodyPr rot="0" spcFirstLastPara="1" vertOverflow="ellipsis" wrap="square" anchor="ctr" anchorCtr="1"/>
          <a:lstStyle/>
          <a:p>
            <a:pPr>
              <a:defRPr sz="899"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450240512"/>
        <c:crosses val="autoZero"/>
        <c:auto val="0"/>
        <c:lblAlgn val="ctr"/>
        <c:lblOffset val="100"/>
        <c:noMultiLvlLbl val="0"/>
      </c:catAx>
      <c:valAx>
        <c:axId val="450240512"/>
        <c:scaling>
          <c:orientation val="minMax"/>
        </c:scaling>
        <c:delete val="0"/>
        <c:axPos val="l"/>
        <c:majorGridlines>
          <c:spPr>
            <a:ln w="9516" cap="flat" cmpd="sng" algn="ctr">
              <a:solidFill>
                <a:schemeClr val="tx1">
                  <a:lumMod val="15000"/>
                  <a:lumOff val="85000"/>
                </a:schemeClr>
              </a:solidFill>
              <a:round/>
            </a:ln>
            <a:effectLst/>
          </c:spPr>
        </c:majorGridlines>
        <c:numFmt formatCode="0.0" sourceLinked="1"/>
        <c:majorTickMark val="none"/>
        <c:minorTickMark val="none"/>
        <c:tickLblPos val="nextTo"/>
        <c:spPr>
          <a:ln w="9516">
            <a:noFill/>
          </a:ln>
        </c:spPr>
        <c:txPr>
          <a:bodyPr rot="0" spcFirstLastPara="1" vertOverflow="ellipsis" wrap="square" anchor="ctr" anchorCtr="1"/>
          <a:lstStyle/>
          <a:p>
            <a:pPr>
              <a:defRPr sz="899"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452835328"/>
        <c:crosses val="autoZero"/>
        <c:crossBetween val="between"/>
        <c:majorUnit val="5"/>
      </c:valAx>
      <c:spPr>
        <a:noFill/>
        <a:ln w="25375">
          <a:noFill/>
        </a:ln>
      </c:spPr>
    </c:plotArea>
    <c:legend>
      <c:legendPos val="b"/>
      <c:layout>
        <c:manualLayout>
          <c:xMode val="edge"/>
          <c:yMode val="edge"/>
          <c:x val="0"/>
          <c:y val="0.7034794100838202"/>
          <c:w val="0.99335345057915647"/>
          <c:h val="0.293818659512319"/>
        </c:manualLayout>
      </c:layout>
      <c:overlay val="0"/>
      <c:spPr>
        <a:noFill/>
        <a:ln w="25375">
          <a:noFill/>
        </a:ln>
      </c:spPr>
      <c:txPr>
        <a:bodyPr rot="0" spcFirstLastPara="1" vertOverflow="ellipsis" vert="horz" wrap="square" anchor="ctr" anchorCtr="1"/>
        <a:lstStyle/>
        <a:p>
          <a:pPr>
            <a:defRPr sz="899"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legend>
    <c:plotVisOnly val="1"/>
    <c:dispBlanksAs val="gap"/>
    <c:showDLblsOverMax val="0"/>
  </c:chart>
  <c:spPr>
    <a:solidFill>
      <a:schemeClr val="bg1"/>
    </a:solidFill>
    <a:ln w="9516" cap="flat" cmpd="sng" algn="ctr">
      <a:solidFill>
        <a:schemeClr val="tx1">
          <a:lumMod val="15000"/>
          <a:lumOff val="85000"/>
        </a:schemeClr>
      </a:solidFill>
      <a:round/>
    </a:ln>
    <a:effectLst/>
  </c:spPr>
  <c:txPr>
    <a:bodyPr/>
    <a:lstStyle/>
    <a:p>
      <a:pPr>
        <a:defRPr>
          <a:latin typeface="GHEA Grapalat" panose="02000506050000020003" pitchFamily="50" charset="0"/>
        </a:defRPr>
      </a:pPr>
      <a:endParaRPr lang="en-US"/>
    </a:p>
  </c:txPr>
  <c:externalData r:id="rId2">
    <c:autoUpdate val="0"/>
  </c:externalData>
  <c:userShapes r:id="rId3"/>
</c:chartSpace>
</file>

<file path=word/charts/chart2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6.806870088154332E-2"/>
          <c:y val="5.2830294608895816E-2"/>
          <c:w val="0.86605542312949757"/>
          <c:h val="0.64150943396226412"/>
        </c:manualLayout>
      </c:layout>
      <c:barChart>
        <c:barDir val="col"/>
        <c:grouping val="stacked"/>
        <c:varyColors val="0"/>
        <c:ser>
          <c:idx val="1"/>
          <c:order val="0"/>
          <c:tx>
            <c:strRef>
              <c:f>Sheet1!$A$2</c:f>
              <c:strCache>
                <c:ptCount val="1"/>
                <c:pt idx="0">
                  <c:v>Արտահանում</c:v>
                </c:pt>
              </c:strCache>
            </c:strRef>
          </c:tx>
          <c:spPr>
            <a:solidFill>
              <a:schemeClr val="accent1">
                <a:lumMod val="60000"/>
                <a:lumOff val="40000"/>
              </a:schemeClr>
            </a:solidFill>
            <a:ln>
              <a:noFill/>
            </a:ln>
            <a:effectLst/>
          </c:spPr>
          <c:invertIfNegative val="0"/>
          <c:cat>
            <c:numRef>
              <c:f>Sheet1!$B$1:$M$1</c:f>
              <c:numCache>
                <c:formatCode>General</c:formatCode>
                <c:ptCount val="7"/>
                <c:pt idx="0">
                  <c:v>2022</c:v>
                </c:pt>
                <c:pt idx="1">
                  <c:v>2023</c:v>
                </c:pt>
                <c:pt idx="2">
                  <c:v>2024</c:v>
                </c:pt>
                <c:pt idx="3">
                  <c:v>2025</c:v>
                </c:pt>
                <c:pt idx="4">
                  <c:v>2026</c:v>
                </c:pt>
                <c:pt idx="5">
                  <c:v>2027</c:v>
                </c:pt>
                <c:pt idx="6">
                  <c:v>2028</c:v>
                </c:pt>
              </c:numCache>
            </c:numRef>
          </c:cat>
          <c:val>
            <c:numRef>
              <c:f>Sheet1!$B$2:$M$2</c:f>
              <c:numCache>
                <c:formatCode>0</c:formatCode>
                <c:ptCount val="7"/>
                <c:pt idx="0">
                  <c:v>4427.6007262831818</c:v>
                </c:pt>
                <c:pt idx="1">
                  <c:v>5851.5708504220402</c:v>
                </c:pt>
                <c:pt idx="2">
                  <c:v>5855.0915909108489</c:v>
                </c:pt>
                <c:pt idx="3">
                  <c:v>5929.1313529457566</c:v>
                </c:pt>
                <c:pt idx="4">
                  <c:v>6159.6484955356609</c:v>
                </c:pt>
                <c:pt idx="5">
                  <c:v>6448.5345607523677</c:v>
                </c:pt>
                <c:pt idx="6">
                  <c:v>6750.9693144594776</c:v>
                </c:pt>
              </c:numCache>
            </c:numRef>
          </c:val>
          <c:extLst>
            <c:ext xmlns:c16="http://schemas.microsoft.com/office/drawing/2014/chart" uri="{C3380CC4-5D6E-409C-BE32-E72D297353CC}">
              <c16:uniqueId val="{00000000-0C77-4C0A-AFF7-1D58CFA52634}"/>
            </c:ext>
          </c:extLst>
        </c:ser>
        <c:ser>
          <c:idx val="2"/>
          <c:order val="2"/>
          <c:tx>
            <c:strRef>
              <c:f>Sheet1!$A$4</c:f>
              <c:strCache>
                <c:ptCount val="1"/>
                <c:pt idx="0">
                  <c:v>Ներմուծում</c:v>
                </c:pt>
              </c:strCache>
            </c:strRef>
          </c:tx>
          <c:spPr>
            <a:solidFill>
              <a:srgbClr val="1F497D"/>
            </a:solidFill>
            <a:ln w="25392">
              <a:noFill/>
            </a:ln>
          </c:spPr>
          <c:invertIfNegative val="0"/>
          <c:cat>
            <c:numRef>
              <c:f>Sheet1!$B$1:$M$1</c:f>
              <c:numCache>
                <c:formatCode>General</c:formatCode>
                <c:ptCount val="7"/>
                <c:pt idx="0">
                  <c:v>2022</c:v>
                </c:pt>
                <c:pt idx="1">
                  <c:v>2023</c:v>
                </c:pt>
                <c:pt idx="2">
                  <c:v>2024</c:v>
                </c:pt>
                <c:pt idx="3">
                  <c:v>2025</c:v>
                </c:pt>
                <c:pt idx="4">
                  <c:v>2026</c:v>
                </c:pt>
                <c:pt idx="5">
                  <c:v>2027</c:v>
                </c:pt>
                <c:pt idx="6">
                  <c:v>2028</c:v>
                </c:pt>
              </c:numCache>
            </c:numRef>
          </c:cat>
          <c:val>
            <c:numRef>
              <c:f>Sheet1!$B$4:$M$4</c:f>
              <c:numCache>
                <c:formatCode>0</c:formatCode>
                <c:ptCount val="7"/>
                <c:pt idx="0">
                  <c:v>-2724.6542503159881</c:v>
                </c:pt>
                <c:pt idx="1">
                  <c:v>-3767.1327483325322</c:v>
                </c:pt>
                <c:pt idx="2">
                  <c:v>-4391.8187290891237</c:v>
                </c:pt>
                <c:pt idx="3">
                  <c:v>-4335.9118061429917</c:v>
                </c:pt>
                <c:pt idx="4">
                  <c:v>-4435.2225031274165</c:v>
                </c:pt>
                <c:pt idx="5">
                  <c:v>-4625.8528114753617</c:v>
                </c:pt>
                <c:pt idx="6">
                  <c:v>-4820.6292785447304</c:v>
                </c:pt>
              </c:numCache>
            </c:numRef>
          </c:val>
          <c:extLst>
            <c:ext xmlns:c16="http://schemas.microsoft.com/office/drawing/2014/chart" uri="{C3380CC4-5D6E-409C-BE32-E72D297353CC}">
              <c16:uniqueId val="{00000001-0C77-4C0A-AFF7-1D58CFA52634}"/>
            </c:ext>
          </c:extLst>
        </c:ser>
        <c:dLbls>
          <c:showLegendKey val="0"/>
          <c:showVal val="0"/>
          <c:showCatName val="0"/>
          <c:showSerName val="0"/>
          <c:showPercent val="0"/>
          <c:showBubbleSize val="0"/>
        </c:dLbls>
        <c:gapWidth val="150"/>
        <c:overlap val="100"/>
        <c:axId val="452836864"/>
        <c:axId val="450242240"/>
      </c:barChart>
      <c:lineChart>
        <c:grouping val="standard"/>
        <c:varyColors val="0"/>
        <c:ser>
          <c:idx val="0"/>
          <c:order val="1"/>
          <c:tx>
            <c:strRef>
              <c:f>Sheet1!$A$3</c:f>
              <c:strCache>
                <c:ptCount val="1"/>
                <c:pt idx="0">
                  <c:v>Ծառայությունների հաշվեկշիռ</c:v>
                </c:pt>
              </c:strCache>
            </c:strRef>
          </c:tx>
          <c:spPr>
            <a:ln w="28566" cap="rnd">
              <a:solidFill>
                <a:schemeClr val="accent1"/>
              </a:solidFill>
              <a:round/>
            </a:ln>
            <a:effectLst/>
          </c:spPr>
          <c:marker>
            <c:symbol val="circle"/>
            <c:size val="4"/>
            <c:spPr>
              <a:solidFill>
                <a:schemeClr val="accent1"/>
              </a:solidFill>
              <a:ln w="9522">
                <a:solidFill>
                  <a:schemeClr val="accent1"/>
                </a:solidFill>
              </a:ln>
              <a:effectLst/>
            </c:spPr>
          </c:marker>
          <c:dLbls>
            <c:spPr>
              <a:noFill/>
              <a:ln w="25392">
                <a:noFill/>
              </a:ln>
            </c:spPr>
            <c:txPr>
              <a:bodyPr rot="0" spcFirstLastPara="1" vertOverflow="ellipsis" vert="horz" wrap="square" anchor="ctr" anchorCtr="1"/>
              <a:lstStyle/>
              <a:p>
                <a:pPr>
                  <a:defRPr sz="700" b="0" i="0" u="none" strike="noStrike" kern="1200" baseline="0">
                    <a:solidFill>
                      <a:schemeClr val="tx1">
                        <a:lumMod val="75000"/>
                        <a:lumOff val="25000"/>
                      </a:schemeClr>
                    </a:solidFill>
                    <a:latin typeface="GHEA Grapalat" panose="02000506050000020003" pitchFamily="50" charset="0"/>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Sheet1!$B$1:$M$1</c:f>
              <c:numCache>
                <c:formatCode>General</c:formatCode>
                <c:ptCount val="7"/>
                <c:pt idx="0">
                  <c:v>2022</c:v>
                </c:pt>
                <c:pt idx="1">
                  <c:v>2023</c:v>
                </c:pt>
                <c:pt idx="2">
                  <c:v>2024</c:v>
                </c:pt>
                <c:pt idx="3">
                  <c:v>2025</c:v>
                </c:pt>
                <c:pt idx="4">
                  <c:v>2026</c:v>
                </c:pt>
                <c:pt idx="5">
                  <c:v>2027</c:v>
                </c:pt>
                <c:pt idx="6">
                  <c:v>2028</c:v>
                </c:pt>
              </c:numCache>
            </c:numRef>
          </c:cat>
          <c:val>
            <c:numRef>
              <c:f>Sheet1!$B$3:$M$3</c:f>
              <c:numCache>
                <c:formatCode>0</c:formatCode>
                <c:ptCount val="7"/>
                <c:pt idx="0">
                  <c:v>1702.9464759671937</c:v>
                </c:pt>
                <c:pt idx="1">
                  <c:v>2084.438102089508</c:v>
                </c:pt>
                <c:pt idx="2">
                  <c:v>1463.2728618217252</c:v>
                </c:pt>
                <c:pt idx="3">
                  <c:v>1593.2195468027649</c:v>
                </c:pt>
                <c:pt idx="4">
                  <c:v>1724.4259924082444</c:v>
                </c:pt>
                <c:pt idx="5">
                  <c:v>1822.681749277006</c:v>
                </c:pt>
                <c:pt idx="6">
                  <c:v>1930.3400359147472</c:v>
                </c:pt>
              </c:numCache>
            </c:numRef>
          </c:val>
          <c:smooth val="0"/>
          <c:extLst>
            <c:ext xmlns:c16="http://schemas.microsoft.com/office/drawing/2014/chart" uri="{C3380CC4-5D6E-409C-BE32-E72D297353CC}">
              <c16:uniqueId val="{00000002-0C77-4C0A-AFF7-1D58CFA52634}"/>
            </c:ext>
          </c:extLst>
        </c:ser>
        <c:dLbls>
          <c:showLegendKey val="0"/>
          <c:showVal val="0"/>
          <c:showCatName val="0"/>
          <c:showSerName val="0"/>
          <c:showPercent val="0"/>
          <c:showBubbleSize val="0"/>
        </c:dLbls>
        <c:marker val="1"/>
        <c:smooth val="0"/>
        <c:axId val="452836864"/>
        <c:axId val="450242240"/>
      </c:lineChart>
      <c:catAx>
        <c:axId val="452836864"/>
        <c:scaling>
          <c:orientation val="minMax"/>
        </c:scaling>
        <c:delete val="0"/>
        <c:axPos val="b"/>
        <c:numFmt formatCode="General" sourceLinked="1"/>
        <c:majorTickMark val="none"/>
        <c:minorTickMark val="none"/>
        <c:tickLblPos val="low"/>
        <c:spPr>
          <a:noFill/>
          <a:ln w="9522" cap="flat" cmpd="sng" algn="ctr">
            <a:solidFill>
              <a:schemeClr val="tx1">
                <a:lumMod val="15000"/>
                <a:lumOff val="85000"/>
              </a:schemeClr>
            </a:solidFill>
            <a:round/>
          </a:ln>
          <a:effectLst/>
        </c:spPr>
        <c:txPr>
          <a:bodyPr rot="0" spcFirstLastPara="1" vertOverflow="ellipsis"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450242240"/>
        <c:crosses val="autoZero"/>
        <c:auto val="0"/>
        <c:lblAlgn val="ctr"/>
        <c:lblOffset val="100"/>
        <c:noMultiLvlLbl val="0"/>
      </c:catAx>
      <c:valAx>
        <c:axId val="450242240"/>
        <c:scaling>
          <c:orientation val="minMax"/>
          <c:max val="8000"/>
        </c:scaling>
        <c:delete val="0"/>
        <c:axPos val="l"/>
        <c:majorGridlines>
          <c:spPr>
            <a:ln w="9522" cap="flat" cmpd="sng" algn="ctr">
              <a:solidFill>
                <a:schemeClr val="tx1">
                  <a:lumMod val="15000"/>
                  <a:lumOff val="85000"/>
                </a:schemeClr>
              </a:solidFill>
              <a:round/>
            </a:ln>
            <a:effectLst/>
          </c:spPr>
        </c:majorGridlines>
        <c:numFmt formatCode="0" sourceLinked="1"/>
        <c:majorTickMark val="none"/>
        <c:minorTickMark val="none"/>
        <c:tickLblPos val="nextTo"/>
        <c:spPr>
          <a:ln w="9522">
            <a:noFill/>
          </a:ln>
        </c:spPr>
        <c:txPr>
          <a:bodyPr rot="0" spcFirstLastPara="1" vertOverflow="ellipsis"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452836864"/>
        <c:crosses val="autoZero"/>
        <c:crossBetween val="between"/>
      </c:valAx>
      <c:spPr>
        <a:noFill/>
        <a:ln w="25392">
          <a:noFill/>
        </a:ln>
      </c:spPr>
    </c:plotArea>
    <c:legend>
      <c:legendPos val="b"/>
      <c:layout>
        <c:manualLayout>
          <c:xMode val="edge"/>
          <c:yMode val="edge"/>
          <c:x val="2.6643914092781745E-2"/>
          <c:y val="0.78998287185932747"/>
          <c:w val="0.93878777536708835"/>
          <c:h val="0.17414266878612006"/>
        </c:manualLayout>
      </c:layout>
      <c:overlay val="0"/>
      <c:spPr>
        <a:noFill/>
        <a:ln w="25392">
          <a:noFill/>
        </a:ln>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legend>
    <c:plotVisOnly val="1"/>
    <c:dispBlanksAs val="gap"/>
    <c:showDLblsOverMax val="0"/>
  </c:chart>
  <c:spPr>
    <a:solidFill>
      <a:schemeClr val="bg1"/>
    </a:solidFill>
    <a:ln w="9522" cap="flat" cmpd="sng" algn="ctr">
      <a:solidFill>
        <a:schemeClr val="tx1">
          <a:lumMod val="15000"/>
          <a:lumOff val="85000"/>
        </a:schemeClr>
      </a:solidFill>
      <a:round/>
    </a:ln>
    <a:effectLst/>
  </c:spPr>
  <c:txPr>
    <a:bodyPr/>
    <a:lstStyle/>
    <a:p>
      <a:pPr>
        <a:defRPr>
          <a:latin typeface="GHEA Grapalat" panose="02000506050000020003" pitchFamily="50" charset="0"/>
        </a:defRPr>
      </a:pPr>
      <a:endParaRPr lang="en-US"/>
    </a:p>
  </c:txPr>
  <c:externalData r:id="rId2">
    <c:autoUpdate val="0"/>
  </c:externalData>
  <c:userShapes r:id="rId3"/>
</c:chartSpace>
</file>

<file path=word/charts/chart2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6.806870088154332E-2"/>
          <c:y val="5.2830294608895816E-2"/>
          <c:w val="0.86605542312949757"/>
          <c:h val="0.56034061083273679"/>
        </c:manualLayout>
      </c:layout>
      <c:barChart>
        <c:barDir val="col"/>
        <c:grouping val="stacked"/>
        <c:varyColors val="0"/>
        <c:ser>
          <c:idx val="1"/>
          <c:order val="0"/>
          <c:tx>
            <c:strRef>
              <c:f>Sheet1!$A$2</c:f>
              <c:strCache>
                <c:ptCount val="1"/>
                <c:pt idx="0">
                  <c:v>Արտահանում</c:v>
                </c:pt>
              </c:strCache>
            </c:strRef>
          </c:tx>
          <c:spPr>
            <a:solidFill>
              <a:srgbClr val="1F497D"/>
            </a:solidFill>
            <a:ln w="25392">
              <a:noFill/>
            </a:ln>
          </c:spPr>
          <c:invertIfNegative val="0"/>
          <c:cat>
            <c:numRef>
              <c:f>Sheet1!$B$1:$M$1</c:f>
              <c:numCache>
                <c:formatCode>General</c:formatCode>
                <c:ptCount val="7"/>
                <c:pt idx="0">
                  <c:v>2022</c:v>
                </c:pt>
                <c:pt idx="1">
                  <c:v>2023</c:v>
                </c:pt>
                <c:pt idx="2">
                  <c:v>2024</c:v>
                </c:pt>
                <c:pt idx="3">
                  <c:v>2025</c:v>
                </c:pt>
                <c:pt idx="4">
                  <c:v>2026</c:v>
                </c:pt>
                <c:pt idx="5">
                  <c:v>2027</c:v>
                </c:pt>
                <c:pt idx="6">
                  <c:v>2028</c:v>
                </c:pt>
              </c:numCache>
            </c:numRef>
          </c:cat>
          <c:val>
            <c:numRef>
              <c:f>Sheet1!$B$2:$M$2</c:f>
              <c:numCache>
                <c:formatCode>0</c:formatCode>
                <c:ptCount val="7"/>
                <c:pt idx="0">
                  <c:v>5911.878600640538</c:v>
                </c:pt>
                <c:pt idx="1">
                  <c:v>8866.5004445557606</c:v>
                </c:pt>
                <c:pt idx="2">
                  <c:v>13216.870353293758</c:v>
                </c:pt>
                <c:pt idx="3">
                  <c:v>7507.0798317907111</c:v>
                </c:pt>
                <c:pt idx="4">
                  <c:v>6270.9971813468219</c:v>
                </c:pt>
                <c:pt idx="5">
                  <c:v>6332.5205943588307</c:v>
                </c:pt>
                <c:pt idx="6">
                  <c:v>6600.358818897882</c:v>
                </c:pt>
              </c:numCache>
            </c:numRef>
          </c:val>
          <c:extLst>
            <c:ext xmlns:c16="http://schemas.microsoft.com/office/drawing/2014/chart" uri="{C3380CC4-5D6E-409C-BE32-E72D297353CC}">
              <c16:uniqueId val="{00000000-3549-4DE4-905E-82B07FE95677}"/>
            </c:ext>
          </c:extLst>
        </c:ser>
        <c:ser>
          <c:idx val="2"/>
          <c:order val="2"/>
          <c:tx>
            <c:strRef>
              <c:f>Sheet1!$A$4</c:f>
              <c:strCache>
                <c:ptCount val="1"/>
                <c:pt idx="0">
                  <c:v>Ներմուծում</c:v>
                </c:pt>
              </c:strCache>
            </c:strRef>
          </c:tx>
          <c:spPr>
            <a:solidFill>
              <a:schemeClr val="accent1">
                <a:lumMod val="60000"/>
                <a:lumOff val="40000"/>
              </a:schemeClr>
            </a:solidFill>
            <a:ln>
              <a:noFill/>
            </a:ln>
            <a:effectLst/>
          </c:spPr>
          <c:invertIfNegative val="0"/>
          <c:cat>
            <c:numRef>
              <c:f>Sheet1!$B$1:$M$1</c:f>
              <c:numCache>
                <c:formatCode>General</c:formatCode>
                <c:ptCount val="7"/>
                <c:pt idx="0">
                  <c:v>2022</c:v>
                </c:pt>
                <c:pt idx="1">
                  <c:v>2023</c:v>
                </c:pt>
                <c:pt idx="2">
                  <c:v>2024</c:v>
                </c:pt>
                <c:pt idx="3">
                  <c:v>2025</c:v>
                </c:pt>
                <c:pt idx="4">
                  <c:v>2026</c:v>
                </c:pt>
                <c:pt idx="5">
                  <c:v>2027</c:v>
                </c:pt>
                <c:pt idx="6">
                  <c:v>2028</c:v>
                </c:pt>
              </c:numCache>
            </c:numRef>
          </c:cat>
          <c:val>
            <c:numRef>
              <c:f>Sheet1!$B$4:$M$4</c:f>
              <c:numCache>
                <c:formatCode>0</c:formatCode>
                <c:ptCount val="7"/>
                <c:pt idx="0">
                  <c:v>-7714.7080290770509</c:v>
                </c:pt>
                <c:pt idx="1">
                  <c:v>-11294.406155291434</c:v>
                </c:pt>
                <c:pt idx="2">
                  <c:v>-15411.855178568525</c:v>
                </c:pt>
                <c:pt idx="3">
                  <c:v>-10524.995794915974</c:v>
                </c:pt>
                <c:pt idx="4">
                  <c:v>-9346.1524126890599</c:v>
                </c:pt>
                <c:pt idx="5">
                  <c:v>-9507.5240419533366</c:v>
                </c:pt>
                <c:pt idx="6">
                  <c:v>-9858.6243711679108</c:v>
                </c:pt>
              </c:numCache>
            </c:numRef>
          </c:val>
          <c:extLst>
            <c:ext xmlns:c16="http://schemas.microsoft.com/office/drawing/2014/chart" uri="{C3380CC4-5D6E-409C-BE32-E72D297353CC}">
              <c16:uniqueId val="{00000001-3549-4DE4-905E-82B07FE95677}"/>
            </c:ext>
          </c:extLst>
        </c:ser>
        <c:dLbls>
          <c:showLegendKey val="0"/>
          <c:showVal val="0"/>
          <c:showCatName val="0"/>
          <c:showSerName val="0"/>
          <c:showPercent val="0"/>
          <c:showBubbleSize val="0"/>
        </c:dLbls>
        <c:gapWidth val="150"/>
        <c:overlap val="100"/>
        <c:axId val="466250240"/>
        <c:axId val="450246272"/>
      </c:barChart>
      <c:lineChart>
        <c:grouping val="standard"/>
        <c:varyColors val="0"/>
        <c:ser>
          <c:idx val="0"/>
          <c:order val="1"/>
          <c:tx>
            <c:strRef>
              <c:f>Sheet1!$A$3</c:f>
              <c:strCache>
                <c:ptCount val="1"/>
                <c:pt idx="0">
                  <c:v>Առևտրային հաշվեկշիռ</c:v>
                </c:pt>
              </c:strCache>
            </c:strRef>
          </c:tx>
          <c:spPr>
            <a:ln w="28566" cap="rnd">
              <a:solidFill>
                <a:schemeClr val="accent1"/>
              </a:solidFill>
              <a:round/>
            </a:ln>
            <a:effectLst/>
          </c:spPr>
          <c:marker>
            <c:symbol val="circle"/>
            <c:size val="4"/>
            <c:spPr>
              <a:solidFill>
                <a:schemeClr val="accent1"/>
              </a:solidFill>
              <a:ln w="9522">
                <a:solidFill>
                  <a:schemeClr val="accent1"/>
                </a:solidFill>
              </a:ln>
              <a:effectLst/>
            </c:spPr>
          </c:marker>
          <c:dLbls>
            <c:spPr>
              <a:noFill/>
              <a:ln w="25392">
                <a:noFill/>
              </a:ln>
            </c:spPr>
            <c:txPr>
              <a:bodyPr rot="0" spcFirstLastPara="1" vertOverflow="ellipsis" vert="horz" wrap="square" anchor="ctr" anchorCtr="1"/>
              <a:lstStyle/>
              <a:p>
                <a:pPr>
                  <a:defRPr sz="700" b="0" i="0" u="none" strike="noStrike" kern="1200" baseline="0">
                    <a:solidFill>
                      <a:schemeClr val="tx1">
                        <a:lumMod val="75000"/>
                        <a:lumOff val="25000"/>
                      </a:schemeClr>
                    </a:solidFill>
                    <a:latin typeface="GHEA Grapalat" panose="02000506050000020003" pitchFamily="50" charset="0"/>
                    <a:ea typeface="+mn-ea"/>
                    <a:cs typeface="+mn-cs"/>
                  </a:defRPr>
                </a:pPr>
                <a:endParaRPr lang="en-US"/>
              </a:p>
            </c:txPr>
            <c:dLblPos val="b"/>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Sheet1!$B$1:$M$1</c:f>
              <c:numCache>
                <c:formatCode>General</c:formatCode>
                <c:ptCount val="7"/>
                <c:pt idx="0">
                  <c:v>2022</c:v>
                </c:pt>
                <c:pt idx="1">
                  <c:v>2023</c:v>
                </c:pt>
                <c:pt idx="2">
                  <c:v>2024</c:v>
                </c:pt>
                <c:pt idx="3">
                  <c:v>2025</c:v>
                </c:pt>
                <c:pt idx="4">
                  <c:v>2026</c:v>
                </c:pt>
                <c:pt idx="5">
                  <c:v>2027</c:v>
                </c:pt>
                <c:pt idx="6">
                  <c:v>2028</c:v>
                </c:pt>
              </c:numCache>
            </c:numRef>
          </c:cat>
          <c:val>
            <c:numRef>
              <c:f>Sheet1!$B$3:$M$3</c:f>
              <c:numCache>
                <c:formatCode>0</c:formatCode>
                <c:ptCount val="7"/>
                <c:pt idx="0">
                  <c:v>-1802.8294284365129</c:v>
                </c:pt>
                <c:pt idx="1">
                  <c:v>-2427.905710735673</c:v>
                </c:pt>
                <c:pt idx="2">
                  <c:v>-2194.984825274767</c:v>
                </c:pt>
                <c:pt idx="3">
                  <c:v>-3017.9159631252633</c:v>
                </c:pt>
                <c:pt idx="4">
                  <c:v>-3075.155231342238</c:v>
                </c:pt>
                <c:pt idx="5">
                  <c:v>-3175.0034475945058</c:v>
                </c:pt>
                <c:pt idx="6">
                  <c:v>-3258.2655522700288</c:v>
                </c:pt>
              </c:numCache>
            </c:numRef>
          </c:val>
          <c:smooth val="0"/>
          <c:extLst>
            <c:ext xmlns:c16="http://schemas.microsoft.com/office/drawing/2014/chart" uri="{C3380CC4-5D6E-409C-BE32-E72D297353CC}">
              <c16:uniqueId val="{00000002-3549-4DE4-905E-82B07FE95677}"/>
            </c:ext>
          </c:extLst>
        </c:ser>
        <c:dLbls>
          <c:showLegendKey val="0"/>
          <c:showVal val="0"/>
          <c:showCatName val="0"/>
          <c:showSerName val="0"/>
          <c:showPercent val="0"/>
          <c:showBubbleSize val="0"/>
        </c:dLbls>
        <c:marker val="1"/>
        <c:smooth val="0"/>
        <c:axId val="466250240"/>
        <c:axId val="450246272"/>
      </c:lineChart>
      <c:catAx>
        <c:axId val="466250240"/>
        <c:scaling>
          <c:orientation val="minMax"/>
        </c:scaling>
        <c:delete val="0"/>
        <c:axPos val="b"/>
        <c:numFmt formatCode="General" sourceLinked="1"/>
        <c:majorTickMark val="none"/>
        <c:minorTickMark val="none"/>
        <c:tickLblPos val="low"/>
        <c:spPr>
          <a:noFill/>
          <a:ln w="9522" cap="flat" cmpd="sng" algn="ctr">
            <a:solidFill>
              <a:schemeClr val="tx1">
                <a:lumMod val="15000"/>
                <a:lumOff val="85000"/>
              </a:schemeClr>
            </a:solidFill>
            <a:round/>
          </a:ln>
          <a:effectLst/>
        </c:spPr>
        <c:txPr>
          <a:bodyPr rot="0" spcFirstLastPara="1" vertOverflow="ellipsis"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450246272"/>
        <c:crosses val="autoZero"/>
        <c:auto val="0"/>
        <c:lblAlgn val="ctr"/>
        <c:lblOffset val="100"/>
        <c:noMultiLvlLbl val="0"/>
      </c:catAx>
      <c:valAx>
        <c:axId val="450246272"/>
        <c:scaling>
          <c:orientation val="minMax"/>
        </c:scaling>
        <c:delete val="0"/>
        <c:axPos val="l"/>
        <c:majorGridlines>
          <c:spPr>
            <a:ln w="9522" cap="flat" cmpd="sng" algn="ctr">
              <a:solidFill>
                <a:schemeClr val="tx1">
                  <a:lumMod val="15000"/>
                  <a:lumOff val="85000"/>
                </a:schemeClr>
              </a:solidFill>
              <a:round/>
            </a:ln>
            <a:effectLst/>
          </c:spPr>
        </c:majorGridlines>
        <c:numFmt formatCode="0" sourceLinked="1"/>
        <c:majorTickMark val="none"/>
        <c:minorTickMark val="none"/>
        <c:tickLblPos val="nextTo"/>
        <c:spPr>
          <a:ln w="9522">
            <a:noFill/>
          </a:ln>
        </c:spPr>
        <c:txPr>
          <a:bodyPr rot="0" spcFirstLastPara="1" vertOverflow="ellipsis"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466250240"/>
        <c:crosses val="autoZero"/>
        <c:crossBetween val="between"/>
      </c:valAx>
      <c:spPr>
        <a:noFill/>
        <a:ln w="25392">
          <a:noFill/>
        </a:ln>
      </c:spPr>
    </c:plotArea>
    <c:legend>
      <c:legendPos val="b"/>
      <c:layout>
        <c:manualLayout>
          <c:xMode val="edge"/>
          <c:yMode val="edge"/>
          <c:x val="1.5852546370046714E-2"/>
          <c:y val="0.72833631177668701"/>
          <c:w val="0.96779795589135176"/>
          <c:h val="0.25702223297409926"/>
        </c:manualLayout>
      </c:layout>
      <c:overlay val="0"/>
      <c:spPr>
        <a:noFill/>
        <a:ln w="25392">
          <a:noFill/>
        </a:ln>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legend>
    <c:plotVisOnly val="1"/>
    <c:dispBlanksAs val="gap"/>
    <c:showDLblsOverMax val="0"/>
  </c:chart>
  <c:spPr>
    <a:solidFill>
      <a:schemeClr val="bg1"/>
    </a:solidFill>
    <a:ln w="9522" cap="flat" cmpd="sng" algn="ctr">
      <a:solidFill>
        <a:schemeClr val="tx1">
          <a:lumMod val="15000"/>
          <a:lumOff val="85000"/>
        </a:schemeClr>
      </a:solidFill>
      <a:round/>
    </a:ln>
    <a:effectLst/>
  </c:spPr>
  <c:txPr>
    <a:bodyPr/>
    <a:lstStyle/>
    <a:p>
      <a:pPr>
        <a:defRPr>
          <a:latin typeface="GHEA Grapalat" panose="02000506050000020003" pitchFamily="50" charset="0"/>
        </a:defRPr>
      </a:pPr>
      <a:endParaRPr lang="en-US"/>
    </a:p>
  </c:txPr>
  <c:externalData r:id="rId2">
    <c:autoUpdate val="0"/>
  </c:externalData>
  <c:userShapes r:id="rId3"/>
</c:chartSpace>
</file>

<file path=word/charts/chart2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6.806870088154332E-2"/>
          <c:y val="5.2830294608895816E-2"/>
          <c:w val="0.86605542312949757"/>
          <c:h val="0.64150943396226412"/>
        </c:manualLayout>
      </c:layout>
      <c:barChart>
        <c:barDir val="col"/>
        <c:grouping val="stacked"/>
        <c:varyColors val="0"/>
        <c:ser>
          <c:idx val="1"/>
          <c:order val="0"/>
          <c:tx>
            <c:strRef>
              <c:f>Sheet1!$A$2</c:f>
              <c:strCache>
                <c:ptCount val="1"/>
                <c:pt idx="0">
                  <c:v>Տրանսֆերտներ</c:v>
                </c:pt>
              </c:strCache>
            </c:strRef>
          </c:tx>
          <c:spPr>
            <a:solidFill>
              <a:srgbClr val="1F497D"/>
            </a:solidFill>
            <a:ln w="25379">
              <a:noFill/>
            </a:ln>
          </c:spPr>
          <c:invertIfNegative val="0"/>
          <c:cat>
            <c:numRef>
              <c:f>Sheet1!$B$1:$M$1</c:f>
              <c:numCache>
                <c:formatCode>General</c:formatCode>
                <c:ptCount val="7"/>
                <c:pt idx="0">
                  <c:v>2022</c:v>
                </c:pt>
                <c:pt idx="1">
                  <c:v>2023</c:v>
                </c:pt>
                <c:pt idx="2">
                  <c:v>2024</c:v>
                </c:pt>
                <c:pt idx="3">
                  <c:v>2025</c:v>
                </c:pt>
                <c:pt idx="4">
                  <c:v>2026</c:v>
                </c:pt>
                <c:pt idx="5">
                  <c:v>2027</c:v>
                </c:pt>
                <c:pt idx="6">
                  <c:v>2028</c:v>
                </c:pt>
              </c:numCache>
            </c:numRef>
          </c:cat>
          <c:val>
            <c:numRef>
              <c:f>Sheet1!$B$2:$M$2</c:f>
              <c:numCache>
                <c:formatCode>0</c:formatCode>
                <c:ptCount val="7"/>
                <c:pt idx="0">
                  <c:v>802.89751951772018</c:v>
                </c:pt>
                <c:pt idx="1">
                  <c:v>522.88973322694187</c:v>
                </c:pt>
                <c:pt idx="2">
                  <c:v>432.61543487008032</c:v>
                </c:pt>
                <c:pt idx="3">
                  <c:v>503.66689037982343</c:v>
                </c:pt>
                <c:pt idx="4">
                  <c:v>523.11796738983969</c:v>
                </c:pt>
                <c:pt idx="5">
                  <c:v>541.02067991600268</c:v>
                </c:pt>
                <c:pt idx="6">
                  <c:v>558.99420375050511</c:v>
                </c:pt>
              </c:numCache>
            </c:numRef>
          </c:val>
          <c:extLst>
            <c:ext xmlns:c16="http://schemas.microsoft.com/office/drawing/2014/chart" uri="{C3380CC4-5D6E-409C-BE32-E72D297353CC}">
              <c16:uniqueId val="{00000000-B605-459C-B468-3DD84E81DE57}"/>
            </c:ext>
          </c:extLst>
        </c:ser>
        <c:ser>
          <c:idx val="2"/>
          <c:order val="2"/>
          <c:tx>
            <c:strRef>
              <c:f>Sheet1!$A$4</c:f>
              <c:strCache>
                <c:ptCount val="1"/>
                <c:pt idx="0">
                  <c:v>Աշխատողների վարձատրություն</c:v>
                </c:pt>
              </c:strCache>
            </c:strRef>
          </c:tx>
          <c:spPr>
            <a:solidFill>
              <a:schemeClr val="accent1">
                <a:lumMod val="60000"/>
                <a:lumOff val="40000"/>
              </a:schemeClr>
            </a:solidFill>
            <a:ln>
              <a:noFill/>
            </a:ln>
            <a:effectLst/>
          </c:spPr>
          <c:invertIfNegative val="0"/>
          <c:cat>
            <c:numRef>
              <c:f>Sheet1!$B$1:$M$1</c:f>
              <c:numCache>
                <c:formatCode>General</c:formatCode>
                <c:ptCount val="7"/>
                <c:pt idx="0">
                  <c:v>2022</c:v>
                </c:pt>
                <c:pt idx="1">
                  <c:v>2023</c:v>
                </c:pt>
                <c:pt idx="2">
                  <c:v>2024</c:v>
                </c:pt>
                <c:pt idx="3">
                  <c:v>2025</c:v>
                </c:pt>
                <c:pt idx="4">
                  <c:v>2026</c:v>
                </c:pt>
                <c:pt idx="5">
                  <c:v>2027</c:v>
                </c:pt>
                <c:pt idx="6">
                  <c:v>2028</c:v>
                </c:pt>
              </c:numCache>
            </c:numRef>
          </c:cat>
          <c:val>
            <c:numRef>
              <c:f>Sheet1!$B$4:$M$4</c:f>
              <c:numCache>
                <c:formatCode>0</c:formatCode>
                <c:ptCount val="7"/>
                <c:pt idx="0">
                  <c:v>677.26799413353842</c:v>
                </c:pt>
                <c:pt idx="1">
                  <c:v>489.90439835520999</c:v>
                </c:pt>
                <c:pt idx="2">
                  <c:v>371.01372453291907</c:v>
                </c:pt>
                <c:pt idx="3">
                  <c:v>431.94790074896491</c:v>
                </c:pt>
                <c:pt idx="4">
                  <c:v>448.62926702945839</c:v>
                </c:pt>
                <c:pt idx="5">
                  <c:v>463.98274616634728</c:v>
                </c:pt>
                <c:pt idx="6">
                  <c:v>479.39695352772486</c:v>
                </c:pt>
              </c:numCache>
            </c:numRef>
          </c:val>
          <c:extLst>
            <c:ext xmlns:c16="http://schemas.microsoft.com/office/drawing/2014/chart" uri="{C3380CC4-5D6E-409C-BE32-E72D297353CC}">
              <c16:uniqueId val="{00000001-B605-459C-B468-3DD84E81DE57}"/>
            </c:ext>
          </c:extLst>
        </c:ser>
        <c:dLbls>
          <c:showLegendKey val="0"/>
          <c:showVal val="0"/>
          <c:showCatName val="0"/>
          <c:showSerName val="0"/>
          <c:showPercent val="0"/>
          <c:showBubbleSize val="0"/>
        </c:dLbls>
        <c:gapWidth val="150"/>
        <c:overlap val="100"/>
        <c:axId val="467484672"/>
        <c:axId val="450248000"/>
      </c:barChart>
      <c:lineChart>
        <c:grouping val="standard"/>
        <c:varyColors val="0"/>
        <c:ser>
          <c:idx val="0"/>
          <c:order val="1"/>
          <c:tx>
            <c:strRef>
              <c:f>Sheet1!$A$3</c:f>
              <c:strCache>
                <c:ptCount val="1"/>
                <c:pt idx="0">
                  <c:v>Դրամական փոխանցումներ</c:v>
                </c:pt>
              </c:strCache>
            </c:strRef>
          </c:tx>
          <c:spPr>
            <a:ln w="28552" cap="rnd">
              <a:solidFill>
                <a:schemeClr val="accent1"/>
              </a:solidFill>
              <a:round/>
            </a:ln>
            <a:effectLst/>
          </c:spPr>
          <c:marker>
            <c:symbol val="circle"/>
            <c:size val="4"/>
            <c:spPr>
              <a:solidFill>
                <a:schemeClr val="accent1"/>
              </a:solidFill>
              <a:ln w="9517">
                <a:solidFill>
                  <a:schemeClr val="accent1"/>
                </a:solidFill>
              </a:ln>
              <a:effectLst/>
            </c:spPr>
          </c:marker>
          <c:dLbls>
            <c:spPr>
              <a:noFill/>
              <a:ln w="25379">
                <a:noFill/>
              </a:ln>
            </c:spPr>
            <c:txPr>
              <a:bodyPr rot="0" spcFirstLastPara="1" vertOverflow="ellipsis" vert="horz" wrap="square" anchor="ctr" anchorCtr="1"/>
              <a:lstStyle/>
              <a:p>
                <a:pPr>
                  <a:defRPr sz="700" b="0" i="0" u="none" strike="noStrike" kern="1200" baseline="0">
                    <a:solidFill>
                      <a:schemeClr val="tx1">
                        <a:lumMod val="75000"/>
                        <a:lumOff val="25000"/>
                      </a:schemeClr>
                    </a:solidFill>
                    <a:latin typeface="GHEA Grapalat" panose="02000506050000020003" pitchFamily="50" charset="0"/>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Sheet1!$B$1:$M$1</c:f>
              <c:numCache>
                <c:formatCode>General</c:formatCode>
                <c:ptCount val="7"/>
                <c:pt idx="0">
                  <c:v>2022</c:v>
                </c:pt>
                <c:pt idx="1">
                  <c:v>2023</c:v>
                </c:pt>
                <c:pt idx="2">
                  <c:v>2024</c:v>
                </c:pt>
                <c:pt idx="3">
                  <c:v>2025</c:v>
                </c:pt>
                <c:pt idx="4">
                  <c:v>2026</c:v>
                </c:pt>
                <c:pt idx="5">
                  <c:v>2027</c:v>
                </c:pt>
                <c:pt idx="6">
                  <c:v>2028</c:v>
                </c:pt>
              </c:numCache>
            </c:numRef>
          </c:cat>
          <c:val>
            <c:numRef>
              <c:f>Sheet1!$B$3:$M$3</c:f>
              <c:numCache>
                <c:formatCode>0</c:formatCode>
                <c:ptCount val="7"/>
                <c:pt idx="0">
                  <c:v>1480.1655136512586</c:v>
                </c:pt>
                <c:pt idx="1">
                  <c:v>1012.7941315821519</c:v>
                </c:pt>
                <c:pt idx="2">
                  <c:v>803.62915940299945</c:v>
                </c:pt>
                <c:pt idx="3">
                  <c:v>935.61479112878828</c:v>
                </c:pt>
                <c:pt idx="4">
                  <c:v>971.74723441929814</c:v>
                </c:pt>
                <c:pt idx="5">
                  <c:v>1005.00342608235</c:v>
                </c:pt>
                <c:pt idx="6">
                  <c:v>1038.3911572782299</c:v>
                </c:pt>
              </c:numCache>
            </c:numRef>
          </c:val>
          <c:smooth val="0"/>
          <c:extLst>
            <c:ext xmlns:c16="http://schemas.microsoft.com/office/drawing/2014/chart" uri="{C3380CC4-5D6E-409C-BE32-E72D297353CC}">
              <c16:uniqueId val="{00000002-B605-459C-B468-3DD84E81DE57}"/>
            </c:ext>
          </c:extLst>
        </c:ser>
        <c:dLbls>
          <c:showLegendKey val="0"/>
          <c:showVal val="0"/>
          <c:showCatName val="0"/>
          <c:showSerName val="0"/>
          <c:showPercent val="0"/>
          <c:showBubbleSize val="0"/>
        </c:dLbls>
        <c:marker val="1"/>
        <c:smooth val="0"/>
        <c:axId val="467484672"/>
        <c:axId val="450248000"/>
      </c:lineChart>
      <c:catAx>
        <c:axId val="467484672"/>
        <c:scaling>
          <c:orientation val="minMax"/>
        </c:scaling>
        <c:delete val="0"/>
        <c:axPos val="b"/>
        <c:numFmt formatCode="General" sourceLinked="1"/>
        <c:majorTickMark val="none"/>
        <c:minorTickMark val="none"/>
        <c:tickLblPos val="low"/>
        <c:spPr>
          <a:noFill/>
          <a:ln w="9517" cap="flat" cmpd="sng" algn="ctr">
            <a:solidFill>
              <a:schemeClr val="tx1">
                <a:lumMod val="15000"/>
                <a:lumOff val="85000"/>
              </a:schemeClr>
            </a:solidFill>
            <a:round/>
          </a:ln>
          <a:effectLst/>
        </c:spPr>
        <c:txPr>
          <a:bodyPr rot="0" spcFirstLastPara="1" vertOverflow="ellipsis" wrap="square" anchor="ctr" anchorCtr="1"/>
          <a:lstStyle/>
          <a:p>
            <a:pPr>
              <a:defRPr sz="10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450248000"/>
        <c:crosses val="autoZero"/>
        <c:auto val="0"/>
        <c:lblAlgn val="ctr"/>
        <c:lblOffset val="100"/>
        <c:noMultiLvlLbl val="0"/>
      </c:catAx>
      <c:valAx>
        <c:axId val="450248000"/>
        <c:scaling>
          <c:orientation val="minMax"/>
        </c:scaling>
        <c:delete val="0"/>
        <c:axPos val="l"/>
        <c:majorGridlines>
          <c:spPr>
            <a:ln w="9517" cap="flat" cmpd="sng" algn="ctr">
              <a:solidFill>
                <a:schemeClr val="tx1">
                  <a:lumMod val="15000"/>
                  <a:lumOff val="85000"/>
                </a:schemeClr>
              </a:solidFill>
              <a:round/>
            </a:ln>
            <a:effectLst/>
          </c:spPr>
        </c:majorGridlines>
        <c:numFmt formatCode="0" sourceLinked="1"/>
        <c:majorTickMark val="none"/>
        <c:minorTickMark val="none"/>
        <c:tickLblPos val="nextTo"/>
        <c:spPr>
          <a:ln w="9517">
            <a:noFill/>
          </a:ln>
        </c:spPr>
        <c:txPr>
          <a:bodyPr rot="0" spcFirstLastPara="1" vertOverflow="ellipsis" wrap="square" anchor="ctr" anchorCtr="1"/>
          <a:lstStyle/>
          <a:p>
            <a:pPr>
              <a:defRPr sz="899"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467484672"/>
        <c:crosses val="autoZero"/>
        <c:crossBetween val="between"/>
      </c:valAx>
      <c:spPr>
        <a:noFill/>
        <a:ln w="25379">
          <a:noFill/>
        </a:ln>
      </c:spPr>
    </c:plotArea>
    <c:legend>
      <c:legendPos val="b"/>
      <c:layout>
        <c:manualLayout>
          <c:xMode val="edge"/>
          <c:yMode val="edge"/>
          <c:x val="8.2198548710822918E-3"/>
          <c:y val="0.79954388476560057"/>
          <c:w val="0.92742579004249859"/>
          <c:h val="0.18230192517801302"/>
        </c:manualLayout>
      </c:layout>
      <c:overlay val="0"/>
      <c:spPr>
        <a:noFill/>
        <a:ln w="25379">
          <a:noFill/>
        </a:ln>
      </c:spPr>
      <c:txPr>
        <a:bodyPr rot="0" spcFirstLastPara="1" vertOverflow="ellipsis" vert="horz" wrap="square" anchor="ctr" anchorCtr="1"/>
        <a:lstStyle/>
        <a:p>
          <a:pPr>
            <a:defRPr sz="899"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legend>
    <c:plotVisOnly val="1"/>
    <c:dispBlanksAs val="gap"/>
    <c:showDLblsOverMax val="0"/>
  </c:chart>
  <c:spPr>
    <a:solidFill>
      <a:schemeClr val="bg1"/>
    </a:solidFill>
    <a:ln w="9517" cap="flat" cmpd="sng" algn="ctr">
      <a:solidFill>
        <a:schemeClr val="tx1">
          <a:lumMod val="15000"/>
          <a:lumOff val="85000"/>
        </a:schemeClr>
      </a:solidFill>
      <a:round/>
    </a:ln>
    <a:effectLst/>
  </c:spPr>
  <c:txPr>
    <a:bodyPr/>
    <a:lstStyle/>
    <a:p>
      <a:pPr>
        <a:defRPr>
          <a:latin typeface="GHEA Grapalat" panose="02000506050000020003" pitchFamily="50" charset="0"/>
        </a:defRPr>
      </a:pPr>
      <a:endParaRPr lang="en-US"/>
    </a:p>
  </c:txPr>
  <c:externalData r:id="rId2">
    <c:autoUpdate val="0"/>
  </c:externalData>
  <c:userShapes r:id="rId3"/>
</c:chartSpace>
</file>

<file path=word/charts/chart2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3202475667104113"/>
          <c:y val="8.3970059298143288E-2"/>
          <c:w val="0.80150371828521438"/>
          <c:h val="0.57249068965980843"/>
        </c:manualLayout>
      </c:layout>
      <c:lineChart>
        <c:grouping val="standard"/>
        <c:varyColors val="0"/>
        <c:ser>
          <c:idx val="0"/>
          <c:order val="0"/>
          <c:tx>
            <c:strRef>
              <c:f>Sheet1!$A$2</c:f>
              <c:strCache>
                <c:ptCount val="1"/>
                <c:pt idx="0">
                  <c:v>12 ամսյա փոփոխություն, % </c:v>
                </c:pt>
              </c:strCache>
            </c:strRef>
          </c:tx>
          <c:spPr>
            <a:ln w="28575" cap="rnd">
              <a:solidFill>
                <a:srgbClr val="1F497D"/>
              </a:solidFill>
              <a:round/>
            </a:ln>
            <a:effectLst/>
          </c:spPr>
          <c:marker>
            <c:symbol val="circle"/>
            <c:size val="5"/>
            <c:spPr>
              <a:solidFill>
                <a:srgbClr val="1F497D"/>
              </a:solidFill>
              <a:ln w="9525">
                <a:solidFill>
                  <a:srgbClr val="1F497D"/>
                </a:solidFill>
              </a:ln>
              <a:effectLst/>
            </c:spPr>
          </c:marker>
          <c:dLbls>
            <c:spPr>
              <a:noFill/>
              <a:ln>
                <a:noFill/>
              </a:ln>
              <a:effectLst/>
            </c:spPr>
            <c:txPr>
              <a:bodyPr/>
              <a:lstStyle/>
              <a:p>
                <a:pPr>
                  <a:defRPr b="1"/>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Sheet1!$B$1:$T$1</c:f>
              <c:strCache>
                <c:ptCount val="7"/>
                <c:pt idx="0">
                  <c:v>1</c:v>
                </c:pt>
                <c:pt idx="1">
                  <c:v>2</c:v>
                </c:pt>
                <c:pt idx="2">
                  <c:v>3</c:v>
                </c:pt>
                <c:pt idx="3">
                  <c:v>4</c:v>
                </c:pt>
                <c:pt idx="4">
                  <c:v>5</c:v>
                </c:pt>
                <c:pt idx="5">
                  <c:v>6</c:v>
                </c:pt>
                <c:pt idx="6">
                  <c:v>7</c:v>
                </c:pt>
              </c:strCache>
            </c:strRef>
          </c:cat>
          <c:val>
            <c:numRef>
              <c:f>Sheet1!$B$2:$T$2</c:f>
              <c:numCache>
                <c:formatCode>0.0</c:formatCode>
                <c:ptCount val="7"/>
                <c:pt idx="0">
                  <c:v>-45.039777899697832</c:v>
                </c:pt>
                <c:pt idx="1">
                  <c:v>-69.279383426357924</c:v>
                </c:pt>
                <c:pt idx="2">
                  <c:v>-65.205267769030826</c:v>
                </c:pt>
                <c:pt idx="3">
                  <c:v>-56.628958457462801</c:v>
                </c:pt>
                <c:pt idx="4">
                  <c:v>-38.884443872099816</c:v>
                </c:pt>
                <c:pt idx="5">
                  <c:v>-15.120695221586189</c:v>
                </c:pt>
                <c:pt idx="6">
                  <c:v>-15.428522712020737</c:v>
                </c:pt>
              </c:numCache>
            </c:numRef>
          </c:val>
          <c:smooth val="0"/>
          <c:extLst>
            <c:ext xmlns:c16="http://schemas.microsoft.com/office/drawing/2014/chart" uri="{C3380CC4-5D6E-409C-BE32-E72D297353CC}">
              <c16:uniqueId val="{00000000-5757-411C-AB4F-38E8838CE64B}"/>
            </c:ext>
          </c:extLst>
        </c:ser>
        <c:ser>
          <c:idx val="1"/>
          <c:order val="1"/>
          <c:tx>
            <c:strRef>
              <c:f>Sheet1!$A$3</c:f>
              <c:strCache>
                <c:ptCount val="1"/>
                <c:pt idx="0">
                  <c:v>Կուտակային փոփոխություն, %</c:v>
                </c:pt>
              </c:strCache>
            </c:strRef>
          </c:tx>
          <c:spPr>
            <a:ln>
              <a:solidFill>
                <a:srgbClr val="F79646"/>
              </a:solidFill>
            </a:ln>
          </c:spPr>
          <c:marker>
            <c:symbol val="circle"/>
            <c:size val="5"/>
            <c:spPr>
              <a:solidFill>
                <a:srgbClr val="F79646"/>
              </a:solidFill>
              <a:ln>
                <a:solidFill>
                  <a:srgbClr val="F79646"/>
                </a:solidFill>
              </a:ln>
            </c:spPr>
          </c:marker>
          <c:dLbls>
            <c:dLbl>
              <c:idx val="4"/>
              <c:layout>
                <c:manualLayout>
                  <c:x val="-7.6725516732283464E-2"/>
                  <c:y val="-2.8593613298337709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5757-411C-AB4F-38E8838CE64B}"/>
                </c:ext>
              </c:extLst>
            </c:dLbl>
            <c:dLbl>
              <c:idx val="5"/>
              <c:layout>
                <c:manualLayout>
                  <c:x val="-7.672551673228363E-2"/>
                  <c:y val="-6.3315835520559999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5757-411C-AB4F-38E8838CE64B}"/>
                </c:ext>
              </c:extLst>
            </c:dLbl>
            <c:dLbl>
              <c:idx val="6"/>
              <c:layout>
                <c:manualLayout>
                  <c:x val="-5.3507081146106895E-2"/>
                  <c:y val="-7.0260279965004405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5757-411C-AB4F-38E8838CE64B}"/>
                </c:ext>
              </c:extLst>
            </c:dLbl>
            <c:spPr>
              <a:noFill/>
              <a:ln>
                <a:noFill/>
              </a:ln>
              <a:effectLst/>
            </c:spPr>
            <c:txPr>
              <a:bodyPr/>
              <a:lstStyle/>
              <a:p>
                <a:pPr>
                  <a:defRPr b="1"/>
                </a:pPr>
                <a:endParaRPr lang="en-US"/>
              </a:p>
            </c:txPr>
            <c:dLblPos val="b"/>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Sheet1!$B$1:$T$1</c:f>
              <c:strCache>
                <c:ptCount val="7"/>
                <c:pt idx="0">
                  <c:v>1</c:v>
                </c:pt>
                <c:pt idx="1">
                  <c:v>2</c:v>
                </c:pt>
                <c:pt idx="2">
                  <c:v>3</c:v>
                </c:pt>
                <c:pt idx="3">
                  <c:v>4</c:v>
                </c:pt>
                <c:pt idx="4">
                  <c:v>5</c:v>
                </c:pt>
                <c:pt idx="5">
                  <c:v>6</c:v>
                </c:pt>
                <c:pt idx="6">
                  <c:v>7</c:v>
                </c:pt>
              </c:strCache>
            </c:strRef>
          </c:cat>
          <c:val>
            <c:numRef>
              <c:f>Sheet1!$B$3:$T$3</c:f>
              <c:numCache>
                <c:formatCode>0.0</c:formatCode>
                <c:ptCount val="7"/>
                <c:pt idx="0">
                  <c:v>-45.039777899697839</c:v>
                </c:pt>
                <c:pt idx="1">
                  <c:v>-60.374686469635911</c:v>
                </c:pt>
                <c:pt idx="2">
                  <c:v>-62.396598842457294</c:v>
                </c:pt>
                <c:pt idx="3">
                  <c:v>-60.823376523524367</c:v>
                </c:pt>
                <c:pt idx="4">
                  <c:v>-57.832934440738462</c:v>
                </c:pt>
                <c:pt idx="5">
                  <c:v>-53.176266077438697</c:v>
                </c:pt>
                <c:pt idx="6">
                  <c:v>-49.615688968825197</c:v>
                </c:pt>
              </c:numCache>
            </c:numRef>
          </c:val>
          <c:smooth val="0"/>
          <c:extLst>
            <c:ext xmlns:c16="http://schemas.microsoft.com/office/drawing/2014/chart" uri="{C3380CC4-5D6E-409C-BE32-E72D297353CC}">
              <c16:uniqueId val="{00000004-5757-411C-AB4F-38E8838CE64B}"/>
            </c:ext>
          </c:extLst>
        </c:ser>
        <c:dLbls>
          <c:dLblPos val="t"/>
          <c:showLegendKey val="0"/>
          <c:showVal val="1"/>
          <c:showCatName val="0"/>
          <c:showSerName val="0"/>
          <c:showPercent val="0"/>
          <c:showBubbleSize val="0"/>
        </c:dLbls>
        <c:marker val="1"/>
        <c:smooth val="0"/>
        <c:axId val="-844294672"/>
        <c:axId val="-844293584"/>
      </c:lineChart>
      <c:catAx>
        <c:axId val="-844294672"/>
        <c:scaling>
          <c:orientation val="minMax"/>
        </c:scaling>
        <c:delete val="0"/>
        <c:axPos val="b"/>
        <c:numFmt formatCode="General" sourceLinked="1"/>
        <c:majorTickMark val="none"/>
        <c:minorTickMark val="none"/>
        <c:tickLblPos val="low"/>
        <c:spPr>
          <a:noFill/>
          <a:ln w="9525" cap="flat" cmpd="sng" algn="ctr">
            <a:solidFill>
              <a:schemeClr val="tx1">
                <a:lumMod val="15000"/>
                <a:lumOff val="85000"/>
              </a:schemeClr>
            </a:solidFill>
            <a:round/>
          </a:ln>
          <a:effectLst/>
        </c:spPr>
        <c:txPr>
          <a:bodyPr rot="-60000000" vert="horz"/>
          <a:lstStyle/>
          <a:p>
            <a:pPr>
              <a:defRPr b="1"/>
            </a:pPr>
            <a:endParaRPr lang="en-US"/>
          </a:p>
        </c:txPr>
        <c:crossAx val="-844293584"/>
        <c:crosses val="autoZero"/>
        <c:auto val="1"/>
        <c:lblAlgn val="ctr"/>
        <c:lblOffset val="100"/>
        <c:noMultiLvlLbl val="0"/>
      </c:catAx>
      <c:valAx>
        <c:axId val="-844293584"/>
        <c:scaling>
          <c:orientation val="minMax"/>
          <c:max val="10"/>
          <c:min val="-70"/>
        </c:scaling>
        <c:delete val="0"/>
        <c:axPos val="l"/>
        <c:numFmt formatCode="0.0" sourceLinked="1"/>
        <c:majorTickMark val="none"/>
        <c:minorTickMark val="none"/>
        <c:tickLblPos val="nextTo"/>
        <c:spPr>
          <a:noFill/>
          <a:ln>
            <a:noFill/>
          </a:ln>
          <a:effectLst/>
        </c:spPr>
        <c:txPr>
          <a:bodyPr rot="-60000000" vert="horz"/>
          <a:lstStyle/>
          <a:p>
            <a:pPr>
              <a:defRPr>
                <a:solidFill>
                  <a:schemeClr val="bg1">
                    <a:lumMod val="65000"/>
                  </a:schemeClr>
                </a:solidFill>
              </a:defRPr>
            </a:pPr>
            <a:endParaRPr lang="en-US"/>
          </a:p>
        </c:txPr>
        <c:crossAx val="-844294672"/>
        <c:crosses val="autoZero"/>
        <c:crossBetween val="between"/>
      </c:valAx>
      <c:spPr>
        <a:noFill/>
        <a:ln>
          <a:noFill/>
        </a:ln>
        <a:effectLst/>
      </c:spPr>
    </c:plotArea>
    <c:legend>
      <c:legendPos val="b"/>
      <c:layout>
        <c:manualLayout>
          <c:xMode val="edge"/>
          <c:yMode val="edge"/>
          <c:x val="1.3563942227710003E-2"/>
          <c:y val="0.82180139063655933"/>
          <c:w val="0.98189815825260651"/>
          <c:h val="0.15998802023150455"/>
        </c:manualLayout>
      </c:layout>
      <c:overlay val="0"/>
      <c:spPr>
        <a:noFill/>
        <a:ln>
          <a:noFill/>
        </a:ln>
        <a:effectLst/>
      </c:spPr>
      <c:txPr>
        <a:bodyPr rot="0" vert="horz"/>
        <a:lstStyle/>
        <a:p>
          <a:pPr>
            <a:defRPr/>
          </a:pPr>
          <a:endParaRPr lang="en-US"/>
        </a:p>
      </c:txPr>
    </c:legend>
    <c:plotVisOnly val="1"/>
    <c:dispBlanksAs val="gap"/>
    <c:showDLblsOverMax val="0"/>
  </c:chart>
  <c:spPr>
    <a:noFill/>
    <a:ln w="19050" cap="flat" cmpd="sng" algn="ctr">
      <a:solidFill>
        <a:sysClr val="window" lastClr="FFFFFF"/>
      </a:solidFill>
      <a:round/>
    </a:ln>
    <a:effectLst/>
  </c:spPr>
  <c:txPr>
    <a:bodyPr/>
    <a:lstStyle/>
    <a:p>
      <a:pPr>
        <a:defRPr sz="800">
          <a:latin typeface="Calibri" panose="020F0502020204030204" pitchFamily="34" charset="0"/>
          <a:ea typeface="Calibri" panose="020F0502020204030204" pitchFamily="34" charset="0"/>
          <a:cs typeface="Calibri" panose="020F0502020204030204" pitchFamily="34" charset="0"/>
        </a:defRPr>
      </a:pPr>
      <a:endParaRPr lang="en-US"/>
    </a:p>
  </c:txPr>
  <c:externalData r:id="rId2">
    <c:autoUpdate val="0"/>
  </c:externalData>
</c:chartSpace>
</file>

<file path=word/charts/chart2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3351343777340333"/>
          <c:y val="0.17656265189073589"/>
          <c:w val="0.8216019384295713"/>
          <c:h val="0.44693666763876738"/>
        </c:manualLayout>
      </c:layout>
      <c:lineChart>
        <c:grouping val="standard"/>
        <c:varyColors val="0"/>
        <c:ser>
          <c:idx val="0"/>
          <c:order val="0"/>
          <c:tx>
            <c:strRef>
              <c:f>Sheet1!$A$2</c:f>
              <c:strCache>
                <c:ptCount val="1"/>
                <c:pt idx="0">
                  <c:v>Իրական փոփոխությունը (կուտակային)</c:v>
                </c:pt>
              </c:strCache>
            </c:strRef>
          </c:tx>
          <c:spPr>
            <a:ln w="28575" cap="rnd">
              <a:solidFill>
                <a:srgbClr val="1F497D"/>
              </a:solidFill>
              <a:round/>
            </a:ln>
            <a:effectLst/>
          </c:spPr>
          <c:marker>
            <c:symbol val="circle"/>
            <c:size val="5"/>
            <c:spPr>
              <a:solidFill>
                <a:srgbClr val="1F497D"/>
              </a:solidFill>
              <a:ln w="9525">
                <a:solidFill>
                  <a:srgbClr val="1F497D"/>
                </a:solidFill>
              </a:ln>
              <a:effectLst/>
            </c:spPr>
          </c:marker>
          <c:dLbls>
            <c:spPr>
              <a:noFill/>
              <a:ln>
                <a:noFill/>
              </a:ln>
              <a:effectLst/>
            </c:spPr>
            <c:txPr>
              <a:bodyPr/>
              <a:lstStyle/>
              <a:p>
                <a:pPr>
                  <a:defRPr b="1"/>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Sheet1!$B$1:$T$1</c:f>
              <c:strCache>
                <c:ptCount val="7"/>
                <c:pt idx="0">
                  <c:v>1</c:v>
                </c:pt>
                <c:pt idx="1">
                  <c:v>2</c:v>
                </c:pt>
                <c:pt idx="2">
                  <c:v>3</c:v>
                </c:pt>
                <c:pt idx="3">
                  <c:v>4</c:v>
                </c:pt>
                <c:pt idx="4">
                  <c:v>5</c:v>
                </c:pt>
                <c:pt idx="5">
                  <c:v>6</c:v>
                </c:pt>
                <c:pt idx="6">
                  <c:v>7</c:v>
                </c:pt>
              </c:strCache>
            </c:strRef>
          </c:cat>
          <c:val>
            <c:numRef>
              <c:f>Sheet1!$B$2:$T$2</c:f>
              <c:numCache>
                <c:formatCode>0.0</c:formatCode>
                <c:ptCount val="7"/>
                <c:pt idx="0">
                  <c:v>-50.959570302500893</c:v>
                </c:pt>
                <c:pt idx="1">
                  <c:v>-65.18967652370597</c:v>
                </c:pt>
                <c:pt idx="2">
                  <c:v>-67.137610840464333</c:v>
                </c:pt>
                <c:pt idx="3">
                  <c:v>-64.71044707751669</c:v>
                </c:pt>
                <c:pt idx="4">
                  <c:v>-62.026784705780884</c:v>
                </c:pt>
                <c:pt idx="5">
                  <c:v>-57.636660145765426</c:v>
                </c:pt>
                <c:pt idx="6">
                  <c:v>-54.138384507180149</c:v>
                </c:pt>
              </c:numCache>
            </c:numRef>
          </c:val>
          <c:smooth val="0"/>
          <c:extLst>
            <c:ext xmlns:c16="http://schemas.microsoft.com/office/drawing/2014/chart" uri="{C3380CC4-5D6E-409C-BE32-E72D297353CC}">
              <c16:uniqueId val="{00000000-545F-4DB1-8733-74A12C462D78}"/>
            </c:ext>
          </c:extLst>
        </c:ser>
        <c:ser>
          <c:idx val="1"/>
          <c:order val="1"/>
          <c:tx>
            <c:strRef>
              <c:f>Sheet1!$A$3</c:f>
              <c:strCache>
                <c:ptCount val="1"/>
                <c:pt idx="0">
                  <c:v>Գնային փոփոխություն (կուտակային)</c:v>
                </c:pt>
              </c:strCache>
            </c:strRef>
          </c:tx>
          <c:spPr>
            <a:ln>
              <a:solidFill>
                <a:srgbClr val="F79646"/>
              </a:solidFill>
            </a:ln>
          </c:spPr>
          <c:marker>
            <c:spPr>
              <a:solidFill>
                <a:srgbClr val="F79646"/>
              </a:solidFill>
              <a:ln>
                <a:solidFill>
                  <a:srgbClr val="F79646"/>
                </a:solidFill>
              </a:ln>
            </c:spPr>
          </c:marker>
          <c:dLbls>
            <c:spPr>
              <a:noFill/>
              <a:ln>
                <a:noFill/>
              </a:ln>
              <a:effectLst/>
            </c:spPr>
            <c:dLblPos val="t"/>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Sheet1!$B$1:$T$1</c:f>
              <c:strCache>
                <c:ptCount val="7"/>
                <c:pt idx="0">
                  <c:v>1</c:v>
                </c:pt>
                <c:pt idx="1">
                  <c:v>2</c:v>
                </c:pt>
                <c:pt idx="2">
                  <c:v>3</c:v>
                </c:pt>
                <c:pt idx="3">
                  <c:v>4</c:v>
                </c:pt>
                <c:pt idx="4">
                  <c:v>5</c:v>
                </c:pt>
                <c:pt idx="5">
                  <c:v>6</c:v>
                </c:pt>
                <c:pt idx="6">
                  <c:v>7</c:v>
                </c:pt>
              </c:strCache>
            </c:strRef>
          </c:cat>
          <c:val>
            <c:numRef>
              <c:f>Sheet1!$B$3:$T$3</c:f>
              <c:numCache>
                <c:formatCode>0.0</c:formatCode>
                <c:ptCount val="7"/>
                <c:pt idx="0">
                  <c:v>10.114651529912678</c:v>
                </c:pt>
                <c:pt idx="1">
                  <c:v>11.617974122048679</c:v>
                </c:pt>
                <c:pt idx="2">
                  <c:v>12.215231893441072</c:v>
                </c:pt>
                <c:pt idx="3">
                  <c:v>9.3738163208620051</c:v>
                </c:pt>
                <c:pt idx="4">
                  <c:v>9.6565009073166408</c:v>
                </c:pt>
                <c:pt idx="5">
                  <c:v>9.1945657449631142</c:v>
                </c:pt>
                <c:pt idx="6">
                  <c:v>8.5625512464493028</c:v>
                </c:pt>
              </c:numCache>
            </c:numRef>
          </c:val>
          <c:smooth val="0"/>
          <c:extLst>
            <c:ext xmlns:c16="http://schemas.microsoft.com/office/drawing/2014/chart" uri="{C3380CC4-5D6E-409C-BE32-E72D297353CC}">
              <c16:uniqueId val="{00000001-545F-4DB1-8733-74A12C462D78}"/>
            </c:ext>
          </c:extLst>
        </c:ser>
        <c:ser>
          <c:idx val="2"/>
          <c:order val="2"/>
          <c:tx>
            <c:strRef>
              <c:f>Sheet1!$A$4</c:f>
              <c:strCache>
                <c:ptCount val="1"/>
                <c:pt idx="0">
                  <c:v>Փոխարժեքի փոփոխություն (կուտակային)</c:v>
                </c:pt>
              </c:strCache>
            </c:strRef>
          </c:tx>
          <c:dLbls>
            <c:spPr>
              <a:noFill/>
              <a:ln>
                <a:noFill/>
              </a:ln>
              <a:effectLst/>
            </c:spPr>
            <c:dLblPos val="b"/>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Sheet1!$B$1:$T$1</c:f>
              <c:strCache>
                <c:ptCount val="7"/>
                <c:pt idx="0">
                  <c:v>1</c:v>
                </c:pt>
                <c:pt idx="1">
                  <c:v>2</c:v>
                </c:pt>
                <c:pt idx="2">
                  <c:v>3</c:v>
                </c:pt>
                <c:pt idx="3">
                  <c:v>4</c:v>
                </c:pt>
                <c:pt idx="4">
                  <c:v>5</c:v>
                </c:pt>
                <c:pt idx="5">
                  <c:v>6</c:v>
                </c:pt>
                <c:pt idx="6">
                  <c:v>7</c:v>
                </c:pt>
              </c:strCache>
            </c:strRef>
          </c:cat>
          <c:val>
            <c:numRef>
              <c:f>Sheet1!$B$4:$T$4</c:f>
              <c:numCache>
                <c:formatCode>0.0</c:formatCode>
                <c:ptCount val="7"/>
                <c:pt idx="0">
                  <c:v>1.7768730051019199</c:v>
                </c:pt>
                <c:pt idx="1">
                  <c:v>1.9836418858460831</c:v>
                </c:pt>
                <c:pt idx="2">
                  <c:v>1.9708835256729174</c:v>
                </c:pt>
                <c:pt idx="3">
                  <c:v>1.5003360854291259</c:v>
                </c:pt>
                <c:pt idx="4">
                  <c:v>1.2655262501209563</c:v>
                </c:pt>
                <c:pt idx="5">
                  <c:v>1.2219794448490688</c:v>
                </c:pt>
                <c:pt idx="6">
                  <c:v>1.1966030967458465</c:v>
                </c:pt>
              </c:numCache>
            </c:numRef>
          </c:val>
          <c:smooth val="0"/>
          <c:extLst>
            <c:ext xmlns:c16="http://schemas.microsoft.com/office/drawing/2014/chart" uri="{C3380CC4-5D6E-409C-BE32-E72D297353CC}">
              <c16:uniqueId val="{00000002-545F-4DB1-8733-74A12C462D78}"/>
            </c:ext>
          </c:extLst>
        </c:ser>
        <c:dLbls>
          <c:showLegendKey val="0"/>
          <c:showVal val="0"/>
          <c:showCatName val="0"/>
          <c:showSerName val="0"/>
          <c:showPercent val="0"/>
          <c:showBubbleSize val="0"/>
        </c:dLbls>
        <c:marker val="1"/>
        <c:smooth val="0"/>
        <c:axId val="-874331760"/>
        <c:axId val="-874330128"/>
      </c:lineChart>
      <c:catAx>
        <c:axId val="-874331760"/>
        <c:scaling>
          <c:orientation val="minMax"/>
        </c:scaling>
        <c:delete val="0"/>
        <c:axPos val="b"/>
        <c:numFmt formatCode="General" sourceLinked="1"/>
        <c:majorTickMark val="none"/>
        <c:minorTickMark val="none"/>
        <c:tickLblPos val="low"/>
        <c:spPr>
          <a:noFill/>
          <a:ln w="9525" cap="flat" cmpd="sng" algn="ctr">
            <a:solidFill>
              <a:schemeClr val="tx1">
                <a:lumMod val="15000"/>
                <a:lumOff val="85000"/>
              </a:schemeClr>
            </a:solidFill>
            <a:round/>
          </a:ln>
          <a:effectLst/>
        </c:spPr>
        <c:txPr>
          <a:bodyPr rot="-60000000" vert="horz"/>
          <a:lstStyle/>
          <a:p>
            <a:pPr>
              <a:defRPr b="1"/>
            </a:pPr>
            <a:endParaRPr lang="en-US"/>
          </a:p>
        </c:txPr>
        <c:crossAx val="-874330128"/>
        <c:crosses val="autoZero"/>
        <c:auto val="1"/>
        <c:lblAlgn val="ctr"/>
        <c:lblOffset val="100"/>
        <c:noMultiLvlLbl val="0"/>
      </c:catAx>
      <c:valAx>
        <c:axId val="-874330128"/>
        <c:scaling>
          <c:orientation val="minMax"/>
        </c:scaling>
        <c:delete val="0"/>
        <c:axPos val="l"/>
        <c:numFmt formatCode="0.0" sourceLinked="1"/>
        <c:majorTickMark val="none"/>
        <c:minorTickMark val="none"/>
        <c:tickLblPos val="nextTo"/>
        <c:spPr>
          <a:noFill/>
          <a:ln>
            <a:noFill/>
          </a:ln>
          <a:effectLst/>
        </c:spPr>
        <c:txPr>
          <a:bodyPr rot="-60000000" vert="horz"/>
          <a:lstStyle/>
          <a:p>
            <a:pPr>
              <a:defRPr>
                <a:solidFill>
                  <a:schemeClr val="bg1">
                    <a:lumMod val="65000"/>
                  </a:schemeClr>
                </a:solidFill>
              </a:defRPr>
            </a:pPr>
            <a:endParaRPr lang="en-US"/>
          </a:p>
        </c:txPr>
        <c:crossAx val="-874331760"/>
        <c:crosses val="autoZero"/>
        <c:crossBetween val="between"/>
      </c:valAx>
      <c:spPr>
        <a:noFill/>
        <a:ln>
          <a:noFill/>
        </a:ln>
        <a:effectLst/>
      </c:spPr>
    </c:plotArea>
    <c:legend>
      <c:legendPos val="b"/>
      <c:layout>
        <c:manualLayout>
          <c:xMode val="edge"/>
          <c:yMode val="edge"/>
          <c:x val="0"/>
          <c:y val="0.78183453630796151"/>
          <c:w val="1"/>
          <c:h val="0.19038743736578381"/>
        </c:manualLayout>
      </c:layout>
      <c:overlay val="0"/>
      <c:spPr>
        <a:noFill/>
        <a:ln>
          <a:noFill/>
        </a:ln>
        <a:effectLst/>
      </c:spPr>
      <c:txPr>
        <a:bodyPr rot="0" vert="horz"/>
        <a:lstStyle/>
        <a:p>
          <a:pPr>
            <a:defRPr sz="800"/>
          </a:pPr>
          <a:endParaRPr lang="en-US"/>
        </a:p>
      </c:txPr>
    </c:legend>
    <c:plotVisOnly val="1"/>
    <c:dispBlanksAs val="gap"/>
    <c:showDLblsOverMax val="0"/>
  </c:chart>
  <c:spPr>
    <a:noFill/>
    <a:ln w="19050" cap="flat" cmpd="sng" algn="ctr">
      <a:solidFill>
        <a:sysClr val="window" lastClr="FFFFFF"/>
      </a:solidFill>
      <a:round/>
    </a:ln>
    <a:effectLst/>
  </c:spPr>
  <c:txPr>
    <a:bodyPr/>
    <a:lstStyle/>
    <a:p>
      <a:pPr>
        <a:defRPr sz="800">
          <a:latin typeface="Calibri" panose="020F0502020204030204" pitchFamily="34" charset="0"/>
          <a:ea typeface="Calibri" panose="020F0502020204030204" pitchFamily="34" charset="0"/>
          <a:cs typeface="Calibri" panose="020F0502020204030204" pitchFamily="34" charset="0"/>
        </a:defRPr>
      </a:pPr>
      <a:endParaRPr lang="en-US"/>
    </a:p>
  </c:txPr>
  <c:externalData r:id="rId2">
    <c:autoUpdate val="0"/>
  </c:externalData>
</c:chartSpace>
</file>

<file path=word/charts/chart3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5260860947069116"/>
          <c:y val="0.11483425682900747"/>
          <c:w val="0.80227129811898512"/>
          <c:h val="0.51083934820647414"/>
        </c:manualLayout>
      </c:layout>
      <c:lineChart>
        <c:grouping val="standard"/>
        <c:varyColors val="0"/>
        <c:ser>
          <c:idx val="0"/>
          <c:order val="0"/>
          <c:tx>
            <c:strRef>
              <c:f>Sheet1!$A$2</c:f>
              <c:strCache>
                <c:ptCount val="1"/>
                <c:pt idx="0">
                  <c:v>12 ամսյա փոփոխություն, % </c:v>
                </c:pt>
              </c:strCache>
            </c:strRef>
          </c:tx>
          <c:spPr>
            <a:ln w="28575" cap="rnd">
              <a:solidFill>
                <a:srgbClr val="1F497D"/>
              </a:solidFill>
              <a:round/>
            </a:ln>
            <a:effectLst/>
          </c:spPr>
          <c:marker>
            <c:symbol val="circle"/>
            <c:size val="5"/>
            <c:spPr>
              <a:solidFill>
                <a:srgbClr val="1F497D"/>
              </a:solidFill>
              <a:ln w="9525">
                <a:solidFill>
                  <a:srgbClr val="1F497D"/>
                </a:solidFill>
              </a:ln>
              <a:effectLst/>
            </c:spPr>
          </c:marker>
          <c:dLbls>
            <c:dLbl>
              <c:idx val="1"/>
              <c:layout>
                <c:manualLayout>
                  <c:x val="-5.5881247265966758E-2"/>
                  <c:y val="3.4722222222222161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9D25-4001-A91B-CFCED9CB8EC8}"/>
                </c:ext>
              </c:extLst>
            </c:dLbl>
            <c:dLbl>
              <c:idx val="2"/>
              <c:layout>
                <c:manualLayout>
                  <c:x val="-6.456180282152231E-2"/>
                  <c:y val="6.25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9D25-4001-A91B-CFCED9CB8EC8}"/>
                </c:ext>
              </c:extLst>
            </c:dLbl>
            <c:dLbl>
              <c:idx val="3"/>
              <c:layout>
                <c:manualLayout>
                  <c:x val="-0.10796458059930009"/>
                  <c:y val="-6.9444444444444448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9D25-4001-A91B-CFCED9CB8EC8}"/>
                </c:ext>
              </c:extLst>
            </c:dLbl>
            <c:dLbl>
              <c:idx val="4"/>
              <c:layout>
                <c:manualLayout>
                  <c:x val="-9.0603469488189051E-2"/>
                  <c:y val="-4.861111111111114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9D25-4001-A91B-CFCED9CB8EC8}"/>
                </c:ext>
              </c:extLst>
            </c:dLbl>
            <c:dLbl>
              <c:idx val="5"/>
              <c:layout>
                <c:manualLayout>
                  <c:x val="-8.1922913932633415E-2"/>
                  <c:y val="-6.25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9D25-4001-A91B-CFCED9CB8EC8}"/>
                </c:ext>
              </c:extLst>
            </c:dLbl>
            <c:dLbl>
              <c:idx val="6"/>
              <c:layout>
                <c:manualLayout>
                  <c:x val="-5.3054598643919509E-2"/>
                  <c:y val="-6.9444444444444448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9D25-4001-A91B-CFCED9CB8EC8}"/>
                </c:ext>
              </c:extLst>
            </c:dLbl>
            <c:spPr>
              <a:noFill/>
              <a:ln>
                <a:noFill/>
              </a:ln>
              <a:effectLst/>
            </c:spPr>
            <c:txPr>
              <a:bodyPr/>
              <a:lstStyle/>
              <a:p>
                <a:pPr>
                  <a:defRPr b="1"/>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Sheet1!$B$1:$T$1</c:f>
              <c:strCache>
                <c:ptCount val="7"/>
                <c:pt idx="0">
                  <c:v>1</c:v>
                </c:pt>
                <c:pt idx="1">
                  <c:v>2</c:v>
                </c:pt>
                <c:pt idx="2">
                  <c:v>3</c:v>
                </c:pt>
                <c:pt idx="3">
                  <c:v>4</c:v>
                </c:pt>
                <c:pt idx="4">
                  <c:v>5</c:v>
                </c:pt>
                <c:pt idx="5">
                  <c:v>6</c:v>
                </c:pt>
                <c:pt idx="6">
                  <c:v>7</c:v>
                </c:pt>
              </c:strCache>
            </c:strRef>
          </c:cat>
          <c:val>
            <c:numRef>
              <c:f>Sheet1!$B$2:$T$2</c:f>
              <c:numCache>
                <c:formatCode>0.0</c:formatCode>
                <c:ptCount val="7"/>
                <c:pt idx="0">
                  <c:v>-32.123427596989089</c:v>
                </c:pt>
                <c:pt idx="1">
                  <c:v>-54.51835005156633</c:v>
                </c:pt>
                <c:pt idx="2">
                  <c:v>-50.385554420337236</c:v>
                </c:pt>
                <c:pt idx="3">
                  <c:v>-41.025426898716809</c:v>
                </c:pt>
                <c:pt idx="4">
                  <c:v>-16.66575621146265</c:v>
                </c:pt>
                <c:pt idx="5">
                  <c:v>-16.526345615018087</c:v>
                </c:pt>
                <c:pt idx="6">
                  <c:v>-16.536842436472085</c:v>
                </c:pt>
              </c:numCache>
            </c:numRef>
          </c:val>
          <c:smooth val="0"/>
          <c:extLst>
            <c:ext xmlns:c16="http://schemas.microsoft.com/office/drawing/2014/chart" uri="{C3380CC4-5D6E-409C-BE32-E72D297353CC}">
              <c16:uniqueId val="{00000006-9D25-4001-A91B-CFCED9CB8EC8}"/>
            </c:ext>
          </c:extLst>
        </c:ser>
        <c:ser>
          <c:idx val="1"/>
          <c:order val="1"/>
          <c:tx>
            <c:strRef>
              <c:f>Sheet1!$A$3</c:f>
              <c:strCache>
                <c:ptCount val="1"/>
                <c:pt idx="0">
                  <c:v>Կուտակային փոփոխություն, %</c:v>
                </c:pt>
              </c:strCache>
            </c:strRef>
          </c:tx>
          <c:spPr>
            <a:ln>
              <a:solidFill>
                <a:srgbClr val="F79646"/>
              </a:solidFill>
            </a:ln>
          </c:spPr>
          <c:marker>
            <c:symbol val="circle"/>
            <c:size val="5"/>
            <c:spPr>
              <a:solidFill>
                <a:srgbClr val="F79646"/>
              </a:solidFill>
              <a:ln>
                <a:solidFill>
                  <a:srgbClr val="F79646"/>
                </a:solidFill>
              </a:ln>
            </c:spPr>
          </c:marker>
          <c:dLbls>
            <c:dLbl>
              <c:idx val="1"/>
              <c:layout>
                <c:manualLayout>
                  <c:x val="-7.7582636154855639E-2"/>
                  <c:y val="-7.7602799650043743E-3"/>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9D25-4001-A91B-CFCED9CB8EC8}"/>
                </c:ext>
              </c:extLst>
            </c:dLbl>
            <c:dLbl>
              <c:idx val="2"/>
              <c:layout>
                <c:manualLayout>
                  <c:x val="-8.6263191710411205E-2"/>
                  <c:y val="-6.3315835520559929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9D25-4001-A91B-CFCED9CB8EC8}"/>
                </c:ext>
              </c:extLst>
            </c:dLbl>
            <c:spPr>
              <a:noFill/>
              <a:ln>
                <a:noFill/>
              </a:ln>
              <a:effectLst/>
            </c:spPr>
            <c:txPr>
              <a:bodyPr wrap="square" lIns="38100" tIns="19050" rIns="38100" bIns="19050" anchor="ctr">
                <a:spAutoFit/>
              </a:bodyPr>
              <a:lstStyle/>
              <a:p>
                <a:pPr>
                  <a:defRPr b="1"/>
                </a:pPr>
                <a:endParaRPr lang="en-US"/>
              </a:p>
            </c:txPr>
            <c:dLblPos val="b"/>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Sheet1!$B$1:$T$1</c:f>
              <c:strCache>
                <c:ptCount val="7"/>
                <c:pt idx="0">
                  <c:v>1</c:v>
                </c:pt>
                <c:pt idx="1">
                  <c:v>2</c:v>
                </c:pt>
                <c:pt idx="2">
                  <c:v>3</c:v>
                </c:pt>
                <c:pt idx="3">
                  <c:v>4</c:v>
                </c:pt>
                <c:pt idx="4">
                  <c:v>5</c:v>
                </c:pt>
                <c:pt idx="5">
                  <c:v>6</c:v>
                </c:pt>
                <c:pt idx="6">
                  <c:v>7</c:v>
                </c:pt>
              </c:strCache>
            </c:strRef>
          </c:cat>
          <c:val>
            <c:numRef>
              <c:f>Sheet1!$B$3:$T$3</c:f>
              <c:numCache>
                <c:formatCode>0.0</c:formatCode>
                <c:ptCount val="7"/>
                <c:pt idx="0">
                  <c:v>-32.123427596989089</c:v>
                </c:pt>
                <c:pt idx="1">
                  <c:v>-45.164000975337871</c:v>
                </c:pt>
                <c:pt idx="2">
                  <c:v>-47.232741937149093</c:v>
                </c:pt>
                <c:pt idx="3">
                  <c:v>-45.616942256844965</c:v>
                </c:pt>
                <c:pt idx="4">
                  <c:v>-41.418331298372799</c:v>
                </c:pt>
                <c:pt idx="5">
                  <c:v>-38.297083410929524</c:v>
                </c:pt>
                <c:pt idx="6">
                  <c:v>-35.792189516143466</c:v>
                </c:pt>
              </c:numCache>
            </c:numRef>
          </c:val>
          <c:smooth val="0"/>
          <c:extLst>
            <c:ext xmlns:c16="http://schemas.microsoft.com/office/drawing/2014/chart" uri="{C3380CC4-5D6E-409C-BE32-E72D297353CC}">
              <c16:uniqueId val="{00000009-9D25-4001-A91B-CFCED9CB8EC8}"/>
            </c:ext>
          </c:extLst>
        </c:ser>
        <c:dLbls>
          <c:dLblPos val="t"/>
          <c:showLegendKey val="0"/>
          <c:showVal val="1"/>
          <c:showCatName val="0"/>
          <c:showSerName val="0"/>
          <c:showPercent val="0"/>
          <c:showBubbleSize val="0"/>
        </c:dLbls>
        <c:marker val="1"/>
        <c:smooth val="0"/>
        <c:axId val="-874326320"/>
        <c:axId val="-874325776"/>
      </c:lineChart>
      <c:catAx>
        <c:axId val="-874326320"/>
        <c:scaling>
          <c:orientation val="minMax"/>
        </c:scaling>
        <c:delete val="0"/>
        <c:axPos val="b"/>
        <c:numFmt formatCode="General" sourceLinked="1"/>
        <c:majorTickMark val="none"/>
        <c:minorTickMark val="none"/>
        <c:tickLblPos val="low"/>
        <c:spPr>
          <a:noFill/>
          <a:ln w="9525" cap="flat" cmpd="sng" algn="ctr">
            <a:solidFill>
              <a:schemeClr val="tx1">
                <a:lumMod val="15000"/>
                <a:lumOff val="85000"/>
              </a:schemeClr>
            </a:solidFill>
            <a:round/>
          </a:ln>
          <a:effectLst/>
        </c:spPr>
        <c:txPr>
          <a:bodyPr rot="-60000000" vert="horz"/>
          <a:lstStyle/>
          <a:p>
            <a:pPr>
              <a:defRPr b="1"/>
            </a:pPr>
            <a:endParaRPr lang="en-US"/>
          </a:p>
        </c:txPr>
        <c:crossAx val="-874325776"/>
        <c:crosses val="autoZero"/>
        <c:auto val="1"/>
        <c:lblAlgn val="ctr"/>
        <c:lblOffset val="400"/>
        <c:noMultiLvlLbl val="0"/>
      </c:catAx>
      <c:valAx>
        <c:axId val="-874325776"/>
        <c:scaling>
          <c:orientation val="minMax"/>
          <c:max val="-10"/>
        </c:scaling>
        <c:delete val="0"/>
        <c:axPos val="l"/>
        <c:numFmt formatCode="0.0" sourceLinked="1"/>
        <c:majorTickMark val="none"/>
        <c:minorTickMark val="none"/>
        <c:tickLblPos val="nextTo"/>
        <c:spPr>
          <a:noFill/>
          <a:ln>
            <a:noFill/>
          </a:ln>
          <a:effectLst/>
        </c:spPr>
        <c:txPr>
          <a:bodyPr rot="-60000000" vert="horz"/>
          <a:lstStyle/>
          <a:p>
            <a:pPr>
              <a:defRPr>
                <a:solidFill>
                  <a:schemeClr val="bg1">
                    <a:lumMod val="65000"/>
                  </a:schemeClr>
                </a:solidFill>
              </a:defRPr>
            </a:pPr>
            <a:endParaRPr lang="en-US"/>
          </a:p>
        </c:txPr>
        <c:crossAx val="-874326320"/>
        <c:crosses val="autoZero"/>
        <c:crossBetween val="between"/>
      </c:valAx>
      <c:spPr>
        <a:noFill/>
        <a:ln>
          <a:noFill/>
        </a:ln>
        <a:effectLst/>
      </c:spPr>
    </c:plotArea>
    <c:legend>
      <c:legendPos val="b"/>
      <c:layout>
        <c:manualLayout>
          <c:xMode val="edge"/>
          <c:yMode val="edge"/>
          <c:x val="1.3100462051618545E-2"/>
          <c:y val="0.80026465441819772"/>
          <c:w val="0.88092668877720004"/>
          <c:h val="0.12334645669291339"/>
        </c:manualLayout>
      </c:layout>
      <c:overlay val="0"/>
      <c:spPr>
        <a:noFill/>
        <a:ln w="19050">
          <a:noFill/>
        </a:ln>
        <a:effectLst/>
      </c:spPr>
      <c:txPr>
        <a:bodyPr rot="0" vert="horz"/>
        <a:lstStyle/>
        <a:p>
          <a:pPr>
            <a:defRPr/>
          </a:pPr>
          <a:endParaRPr lang="en-US"/>
        </a:p>
      </c:txPr>
    </c:legend>
    <c:plotVisOnly val="1"/>
    <c:dispBlanksAs val="gap"/>
    <c:showDLblsOverMax val="0"/>
  </c:chart>
  <c:spPr>
    <a:noFill/>
    <a:ln w="19050" cap="flat" cmpd="sng" algn="ctr">
      <a:solidFill>
        <a:sysClr val="window" lastClr="FFFFFF"/>
      </a:solidFill>
      <a:round/>
    </a:ln>
    <a:effectLst/>
  </c:spPr>
  <c:txPr>
    <a:bodyPr/>
    <a:lstStyle/>
    <a:p>
      <a:pPr>
        <a:defRPr sz="800">
          <a:latin typeface="Calibri" panose="020F0502020204030204" pitchFamily="34" charset="0"/>
          <a:ea typeface="Calibri" panose="020F0502020204030204" pitchFamily="34" charset="0"/>
          <a:cs typeface="Calibri" panose="020F0502020204030204" pitchFamily="34" charset="0"/>
        </a:defRPr>
      </a:pPr>
      <a:endParaRPr lang="en-US"/>
    </a:p>
  </c:txPr>
  <c:externalData r:id="rId2">
    <c:autoUpdate val="0"/>
  </c:externalData>
</c:chartSpace>
</file>

<file path=word/charts/chart3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3524749835958008"/>
          <c:y val="0.13103783902012248"/>
          <c:w val="0.8440791092519685"/>
          <c:h val="0.51278433945756785"/>
        </c:manualLayout>
      </c:layout>
      <c:lineChart>
        <c:grouping val="standard"/>
        <c:varyColors val="0"/>
        <c:ser>
          <c:idx val="0"/>
          <c:order val="0"/>
          <c:tx>
            <c:strRef>
              <c:f>Sheet1!$A$2</c:f>
              <c:strCache>
                <c:ptCount val="1"/>
                <c:pt idx="0">
                  <c:v>Իրական փոփոխությունը (կուտակային)</c:v>
                </c:pt>
              </c:strCache>
            </c:strRef>
          </c:tx>
          <c:spPr>
            <a:ln w="28575" cap="rnd">
              <a:solidFill>
                <a:srgbClr val="1F497D"/>
              </a:solidFill>
              <a:round/>
            </a:ln>
            <a:effectLst/>
          </c:spPr>
          <c:marker>
            <c:symbol val="circle"/>
            <c:size val="5"/>
            <c:spPr>
              <a:solidFill>
                <a:srgbClr val="1F497D"/>
              </a:solidFill>
              <a:ln w="9525">
                <a:solidFill>
                  <a:srgbClr val="1F497D"/>
                </a:solidFill>
              </a:ln>
              <a:effectLst/>
            </c:spPr>
          </c:marker>
          <c:dLbls>
            <c:dLbl>
              <c:idx val="0"/>
              <c:layout>
                <c:manualLayout>
                  <c:x val="-9.0603469488188995E-2"/>
                  <c:y val="1.4704724409448819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1CF9-45E8-9546-033D82BF0046}"/>
                </c:ext>
              </c:extLst>
            </c:dLbl>
            <c:spPr>
              <a:noFill/>
              <a:ln>
                <a:noFill/>
              </a:ln>
              <a:effectLst/>
            </c:spPr>
            <c:txPr>
              <a:bodyPr/>
              <a:lstStyle/>
              <a:p>
                <a:pPr>
                  <a:defRPr b="1"/>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Sheet1!$B$1:$T$1</c:f>
              <c:strCache>
                <c:ptCount val="7"/>
                <c:pt idx="0">
                  <c:v>1</c:v>
                </c:pt>
                <c:pt idx="1">
                  <c:v>2</c:v>
                </c:pt>
                <c:pt idx="2">
                  <c:v>3</c:v>
                </c:pt>
                <c:pt idx="3">
                  <c:v>4</c:v>
                </c:pt>
                <c:pt idx="4">
                  <c:v>5</c:v>
                </c:pt>
                <c:pt idx="5">
                  <c:v>6</c:v>
                </c:pt>
                <c:pt idx="6">
                  <c:v>7</c:v>
                </c:pt>
              </c:strCache>
            </c:strRef>
          </c:cat>
          <c:val>
            <c:numRef>
              <c:f>Sheet1!$B$2:$T$2</c:f>
              <c:numCache>
                <c:formatCode>0.0</c:formatCode>
                <c:ptCount val="7"/>
                <c:pt idx="0">
                  <c:v>-27.762880355721407</c:v>
                </c:pt>
                <c:pt idx="1">
                  <c:v>-44.153803791743563</c:v>
                </c:pt>
                <c:pt idx="2">
                  <c:v>-45.983136311494583</c:v>
                </c:pt>
                <c:pt idx="3">
                  <c:v>-45.51555656928997</c:v>
                </c:pt>
                <c:pt idx="4">
                  <c:v>-41.74260871052244</c:v>
                </c:pt>
                <c:pt idx="5">
                  <c:v>-39.450500752742357</c:v>
                </c:pt>
                <c:pt idx="6">
                  <c:v>-36.77062038744895</c:v>
                </c:pt>
              </c:numCache>
            </c:numRef>
          </c:val>
          <c:smooth val="0"/>
          <c:extLst>
            <c:ext xmlns:c16="http://schemas.microsoft.com/office/drawing/2014/chart" uri="{C3380CC4-5D6E-409C-BE32-E72D297353CC}">
              <c16:uniqueId val="{00000001-1CF9-45E8-9546-033D82BF0046}"/>
            </c:ext>
          </c:extLst>
        </c:ser>
        <c:ser>
          <c:idx val="1"/>
          <c:order val="1"/>
          <c:tx>
            <c:strRef>
              <c:f>Sheet1!$A$3</c:f>
              <c:strCache>
                <c:ptCount val="1"/>
                <c:pt idx="0">
                  <c:v>Գնային փոփոխություն (կուտակային)</c:v>
                </c:pt>
              </c:strCache>
            </c:strRef>
          </c:tx>
          <c:spPr>
            <a:ln>
              <a:solidFill>
                <a:srgbClr val="F79646"/>
              </a:solidFill>
            </a:ln>
          </c:spPr>
          <c:marker>
            <c:symbol val="circle"/>
            <c:size val="5"/>
            <c:spPr>
              <a:solidFill>
                <a:srgbClr val="F79646"/>
              </a:solidFill>
              <a:ln>
                <a:solidFill>
                  <a:srgbClr val="F79646"/>
                </a:solidFill>
              </a:ln>
            </c:spPr>
          </c:marker>
          <c:dLbls>
            <c:spPr>
              <a:noFill/>
              <a:ln>
                <a:noFill/>
              </a:ln>
              <a:effectLst/>
            </c:spPr>
            <c:dLblPos val="b"/>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Sheet1!$B$1:$T$1</c:f>
              <c:strCache>
                <c:ptCount val="7"/>
                <c:pt idx="0">
                  <c:v>1</c:v>
                </c:pt>
                <c:pt idx="1">
                  <c:v>2</c:v>
                </c:pt>
                <c:pt idx="2">
                  <c:v>3</c:v>
                </c:pt>
                <c:pt idx="3">
                  <c:v>4</c:v>
                </c:pt>
                <c:pt idx="4">
                  <c:v>5</c:v>
                </c:pt>
                <c:pt idx="5">
                  <c:v>6</c:v>
                </c:pt>
                <c:pt idx="6">
                  <c:v>7</c:v>
                </c:pt>
              </c:strCache>
            </c:strRef>
          </c:cat>
          <c:val>
            <c:numRef>
              <c:f>Sheet1!$B$3:$T$3</c:f>
              <c:numCache>
                <c:formatCode>0.0</c:formatCode>
                <c:ptCount val="7"/>
                <c:pt idx="0">
                  <c:v>-7.6768998912666007</c:v>
                </c:pt>
                <c:pt idx="1">
                  <c:v>-3.7187665316276934</c:v>
                </c:pt>
                <c:pt idx="2">
                  <c:v>-4.201440086072239</c:v>
                </c:pt>
                <c:pt idx="3">
                  <c:v>-1.6614900506701105</c:v>
                </c:pt>
                <c:pt idx="4">
                  <c:v>-0.70003829189717237</c:v>
                </c:pt>
                <c:pt idx="5">
                  <c:v>0.67469235414908724</c:v>
                </c:pt>
                <c:pt idx="6">
                  <c:v>0.34667929100646688</c:v>
                </c:pt>
              </c:numCache>
            </c:numRef>
          </c:val>
          <c:smooth val="0"/>
          <c:extLst>
            <c:ext xmlns:c16="http://schemas.microsoft.com/office/drawing/2014/chart" uri="{C3380CC4-5D6E-409C-BE32-E72D297353CC}">
              <c16:uniqueId val="{00000002-1CF9-45E8-9546-033D82BF0046}"/>
            </c:ext>
          </c:extLst>
        </c:ser>
        <c:ser>
          <c:idx val="2"/>
          <c:order val="2"/>
          <c:tx>
            <c:strRef>
              <c:f>Sheet1!$A$4</c:f>
              <c:strCache>
                <c:ptCount val="1"/>
                <c:pt idx="0">
                  <c:v>Փոխարժեքի փոփոխություն (կուտակային)</c:v>
                </c:pt>
              </c:strCache>
            </c:strRef>
          </c:tx>
          <c:marker>
            <c:symbol val="circle"/>
            <c:size val="5"/>
          </c:marker>
          <c:dLbls>
            <c:spPr>
              <a:noFill/>
              <a:ln>
                <a:noFill/>
              </a:ln>
              <a:effectLst/>
            </c:spPr>
            <c:dLblPos val="t"/>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Sheet1!$B$1:$T$1</c:f>
              <c:strCache>
                <c:ptCount val="7"/>
                <c:pt idx="0">
                  <c:v>1</c:v>
                </c:pt>
                <c:pt idx="1">
                  <c:v>2</c:v>
                </c:pt>
                <c:pt idx="2">
                  <c:v>3</c:v>
                </c:pt>
                <c:pt idx="3">
                  <c:v>4</c:v>
                </c:pt>
                <c:pt idx="4">
                  <c:v>5</c:v>
                </c:pt>
                <c:pt idx="5">
                  <c:v>6</c:v>
                </c:pt>
                <c:pt idx="6">
                  <c:v>7</c:v>
                </c:pt>
              </c:strCache>
            </c:strRef>
          </c:cat>
          <c:val>
            <c:numRef>
              <c:f>Sheet1!$B$4:$T$4</c:f>
              <c:numCache>
                <c:formatCode>0.0</c:formatCode>
                <c:ptCount val="7"/>
                <c:pt idx="0">
                  <c:v>1.776873005101919</c:v>
                </c:pt>
                <c:pt idx="1">
                  <c:v>1.9836418858460831</c:v>
                </c:pt>
                <c:pt idx="2">
                  <c:v>1.9708835256729174</c:v>
                </c:pt>
                <c:pt idx="3">
                  <c:v>1.5003360854291259</c:v>
                </c:pt>
                <c:pt idx="4">
                  <c:v>1.2655262501209563</c:v>
                </c:pt>
                <c:pt idx="5">
                  <c:v>1.2219794448490688</c:v>
                </c:pt>
                <c:pt idx="6">
                  <c:v>1.1966030967458465</c:v>
                </c:pt>
              </c:numCache>
            </c:numRef>
          </c:val>
          <c:smooth val="0"/>
          <c:extLst>
            <c:ext xmlns:c16="http://schemas.microsoft.com/office/drawing/2014/chart" uri="{C3380CC4-5D6E-409C-BE32-E72D297353CC}">
              <c16:uniqueId val="{00000003-1CF9-45E8-9546-033D82BF0046}"/>
            </c:ext>
          </c:extLst>
        </c:ser>
        <c:dLbls>
          <c:showLegendKey val="0"/>
          <c:showVal val="0"/>
          <c:showCatName val="0"/>
          <c:showSerName val="0"/>
          <c:showPercent val="0"/>
          <c:showBubbleSize val="0"/>
        </c:dLbls>
        <c:marker val="1"/>
        <c:smooth val="0"/>
        <c:axId val="-796915120"/>
        <c:axId val="-796927088"/>
      </c:lineChart>
      <c:catAx>
        <c:axId val="-796915120"/>
        <c:scaling>
          <c:orientation val="minMax"/>
        </c:scaling>
        <c:delete val="0"/>
        <c:axPos val="b"/>
        <c:numFmt formatCode="General" sourceLinked="1"/>
        <c:majorTickMark val="none"/>
        <c:minorTickMark val="none"/>
        <c:tickLblPos val="low"/>
        <c:spPr>
          <a:noFill/>
          <a:ln w="9525" cap="flat" cmpd="sng" algn="ctr">
            <a:solidFill>
              <a:schemeClr val="tx1">
                <a:lumMod val="15000"/>
                <a:lumOff val="85000"/>
              </a:schemeClr>
            </a:solidFill>
            <a:round/>
          </a:ln>
          <a:effectLst/>
        </c:spPr>
        <c:txPr>
          <a:bodyPr rot="-60000000" vert="horz"/>
          <a:lstStyle/>
          <a:p>
            <a:pPr>
              <a:defRPr b="1"/>
            </a:pPr>
            <a:endParaRPr lang="en-US"/>
          </a:p>
        </c:txPr>
        <c:crossAx val="-796927088"/>
        <c:crosses val="autoZero"/>
        <c:auto val="1"/>
        <c:lblAlgn val="ctr"/>
        <c:lblOffset val="100"/>
        <c:noMultiLvlLbl val="0"/>
      </c:catAx>
      <c:valAx>
        <c:axId val="-796927088"/>
        <c:scaling>
          <c:orientation val="minMax"/>
          <c:max val="10"/>
        </c:scaling>
        <c:delete val="0"/>
        <c:axPos val="l"/>
        <c:numFmt formatCode="0.0" sourceLinked="1"/>
        <c:majorTickMark val="none"/>
        <c:minorTickMark val="none"/>
        <c:tickLblPos val="nextTo"/>
        <c:spPr>
          <a:noFill/>
          <a:ln>
            <a:noFill/>
          </a:ln>
          <a:effectLst/>
        </c:spPr>
        <c:txPr>
          <a:bodyPr rot="-60000000" vert="horz"/>
          <a:lstStyle/>
          <a:p>
            <a:pPr>
              <a:defRPr>
                <a:solidFill>
                  <a:schemeClr val="bg1">
                    <a:lumMod val="65000"/>
                  </a:schemeClr>
                </a:solidFill>
              </a:defRPr>
            </a:pPr>
            <a:endParaRPr lang="en-US"/>
          </a:p>
        </c:txPr>
        <c:crossAx val="-796915120"/>
        <c:crosses val="autoZero"/>
        <c:crossBetween val="between"/>
      </c:valAx>
      <c:spPr>
        <a:noFill/>
        <a:ln>
          <a:noFill/>
        </a:ln>
        <a:effectLst/>
      </c:spPr>
    </c:plotArea>
    <c:legend>
      <c:legendPos val="b"/>
      <c:layout>
        <c:manualLayout>
          <c:xMode val="edge"/>
          <c:yMode val="edge"/>
          <c:x val="0"/>
          <c:y val="0.79642497812773394"/>
          <c:w val="1"/>
          <c:h val="0.17579712258189947"/>
        </c:manualLayout>
      </c:layout>
      <c:overlay val="0"/>
      <c:spPr>
        <a:noFill/>
        <a:ln>
          <a:noFill/>
        </a:ln>
        <a:effectLst/>
      </c:spPr>
      <c:txPr>
        <a:bodyPr rot="0" vert="horz"/>
        <a:lstStyle/>
        <a:p>
          <a:pPr>
            <a:defRPr sz="700"/>
          </a:pPr>
          <a:endParaRPr lang="en-US"/>
        </a:p>
      </c:txPr>
    </c:legend>
    <c:plotVisOnly val="1"/>
    <c:dispBlanksAs val="gap"/>
    <c:showDLblsOverMax val="0"/>
  </c:chart>
  <c:spPr>
    <a:noFill/>
    <a:ln w="19050" cap="flat" cmpd="sng" algn="ctr">
      <a:solidFill>
        <a:sysClr val="window" lastClr="FFFFFF"/>
      </a:solidFill>
      <a:round/>
    </a:ln>
    <a:effectLst/>
  </c:spPr>
  <c:txPr>
    <a:bodyPr/>
    <a:lstStyle/>
    <a:p>
      <a:pPr>
        <a:defRPr sz="800">
          <a:latin typeface="Calibri" panose="020F0502020204030204" pitchFamily="34" charset="0"/>
          <a:ea typeface="Calibri" panose="020F0502020204030204" pitchFamily="34" charset="0"/>
          <a:cs typeface="Calibri" panose="020F0502020204030204" pitchFamily="34" charset="0"/>
        </a:defRPr>
      </a:pPr>
      <a:endParaRPr lang="en-US"/>
    </a:p>
  </c:txPr>
  <c:externalData r:id="rId2">
    <c:autoUpdate val="0"/>
  </c:externalData>
</c:chartSpace>
</file>

<file path=word/charts/chart3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9.5761537193981228E-2"/>
          <c:y val="7.2249589490968796E-2"/>
          <c:w val="0.88166973075841926"/>
          <c:h val="0.5654501251859646"/>
        </c:manualLayout>
      </c:layout>
      <c:barChart>
        <c:barDir val="col"/>
        <c:grouping val="stacked"/>
        <c:varyColors val="0"/>
        <c:ser>
          <c:idx val="1"/>
          <c:order val="1"/>
          <c:tx>
            <c:strRef>
              <c:f>Sheet1!$D$1</c:f>
              <c:strCache>
                <c:ptCount val="1"/>
                <c:pt idx="0">
                  <c:v>ՌԴ</c:v>
                </c:pt>
              </c:strCache>
            </c:strRef>
          </c:tx>
          <c:spPr>
            <a:solidFill>
              <a:schemeClr val="accent1">
                <a:lumMod val="75000"/>
              </a:schemeClr>
            </a:solidFill>
            <a:ln>
              <a:noFill/>
            </a:ln>
            <a:effectLst/>
          </c:spPr>
          <c:invertIfNegative val="0"/>
          <c:cat>
            <c:multiLvlStrRef>
              <c:f>Sheet1!$A$2:$B$33</c:f>
              <c:multiLvlStrCache>
                <c:ptCount val="18"/>
                <c:lvl>
                  <c:pt idx="0">
                    <c:v>1</c:v>
                  </c:pt>
                  <c:pt idx="1">
                    <c:v>2</c:v>
                  </c:pt>
                  <c:pt idx="2">
                    <c:v>3</c:v>
                  </c:pt>
                  <c:pt idx="3">
                    <c:v>4</c:v>
                  </c:pt>
                  <c:pt idx="4">
                    <c:v>1</c:v>
                  </c:pt>
                  <c:pt idx="5">
                    <c:v>2</c:v>
                  </c:pt>
                  <c:pt idx="6">
                    <c:v>3</c:v>
                  </c:pt>
                  <c:pt idx="7">
                    <c:v>4</c:v>
                  </c:pt>
                  <c:pt idx="8">
                    <c:v>1</c:v>
                  </c:pt>
                  <c:pt idx="9">
                    <c:v>2</c:v>
                  </c:pt>
                  <c:pt idx="10">
                    <c:v>3</c:v>
                  </c:pt>
                  <c:pt idx="11">
                    <c:v>4</c:v>
                  </c:pt>
                  <c:pt idx="12">
                    <c:v>1</c:v>
                  </c:pt>
                  <c:pt idx="13">
                    <c:v>2</c:v>
                  </c:pt>
                  <c:pt idx="14">
                    <c:v>3</c:v>
                  </c:pt>
                  <c:pt idx="15">
                    <c:v>4</c:v>
                  </c:pt>
                  <c:pt idx="16">
                    <c:v>1</c:v>
                  </c:pt>
                  <c:pt idx="17">
                    <c:v>2</c:v>
                  </c:pt>
                </c:lvl>
                <c:lvl>
                  <c:pt idx="0">
                    <c:v>2021</c:v>
                  </c:pt>
                  <c:pt idx="4">
                    <c:v>2022</c:v>
                  </c:pt>
                  <c:pt idx="8">
                    <c:v>2023</c:v>
                  </c:pt>
                  <c:pt idx="12">
                    <c:v>2024</c:v>
                  </c:pt>
                  <c:pt idx="16">
                    <c:v>2025</c:v>
                  </c:pt>
                </c:lvl>
              </c:multiLvlStrCache>
            </c:multiLvlStrRef>
          </c:cat>
          <c:val>
            <c:numRef>
              <c:f>Sheet1!$D$2:$D$33</c:f>
              <c:numCache>
                <c:formatCode>0</c:formatCode>
                <c:ptCount val="18"/>
                <c:pt idx="0">
                  <c:v>67.980919999999998</c:v>
                </c:pt>
                <c:pt idx="1">
                  <c:v>118.7869</c:v>
                </c:pt>
                <c:pt idx="2">
                  <c:v>158.30554999999998</c:v>
                </c:pt>
                <c:pt idx="3">
                  <c:v>118.69959999999998</c:v>
                </c:pt>
                <c:pt idx="4">
                  <c:v>118.26725</c:v>
                </c:pt>
                <c:pt idx="5">
                  <c:v>814.20412999999996</c:v>
                </c:pt>
                <c:pt idx="6">
                  <c:v>1090.5065999999999</c:v>
                </c:pt>
                <c:pt idx="7">
                  <c:v>1122.2293199999999</c:v>
                </c:pt>
                <c:pt idx="8">
                  <c:v>1079.4368399999998</c:v>
                </c:pt>
                <c:pt idx="9">
                  <c:v>709.71907999999996</c:v>
                </c:pt>
                <c:pt idx="10">
                  <c:v>707.88398000000007</c:v>
                </c:pt>
                <c:pt idx="11">
                  <c:v>807.40522999999996</c:v>
                </c:pt>
                <c:pt idx="12">
                  <c:v>656.62075000000004</c:v>
                </c:pt>
                <c:pt idx="13">
                  <c:v>682.37557000000004</c:v>
                </c:pt>
                <c:pt idx="14">
                  <c:v>782.58719999999994</c:v>
                </c:pt>
                <c:pt idx="15">
                  <c:v>1011.6079100000001</c:v>
                </c:pt>
                <c:pt idx="16">
                  <c:v>665.38137999999992</c:v>
                </c:pt>
                <c:pt idx="17">
                  <c:v>768.14360999999985</c:v>
                </c:pt>
              </c:numCache>
            </c:numRef>
          </c:val>
          <c:extLst>
            <c:ext xmlns:c16="http://schemas.microsoft.com/office/drawing/2014/chart" uri="{C3380CC4-5D6E-409C-BE32-E72D297353CC}">
              <c16:uniqueId val="{00000000-FAB4-4382-B91E-5EACC83325D0}"/>
            </c:ext>
          </c:extLst>
        </c:ser>
        <c:ser>
          <c:idx val="2"/>
          <c:order val="2"/>
          <c:tx>
            <c:strRef>
              <c:f>Sheet1!$E$1</c:f>
              <c:strCache>
                <c:ptCount val="1"/>
                <c:pt idx="0">
                  <c:v>Այլ</c:v>
                </c:pt>
              </c:strCache>
            </c:strRef>
          </c:tx>
          <c:spPr>
            <a:solidFill>
              <a:schemeClr val="accent3"/>
            </a:solidFill>
            <a:ln>
              <a:noFill/>
            </a:ln>
            <a:effectLst/>
          </c:spPr>
          <c:invertIfNegative val="0"/>
          <c:cat>
            <c:multiLvlStrRef>
              <c:f>Sheet1!$A$2:$B$33</c:f>
              <c:multiLvlStrCache>
                <c:ptCount val="18"/>
                <c:lvl>
                  <c:pt idx="0">
                    <c:v>1</c:v>
                  </c:pt>
                  <c:pt idx="1">
                    <c:v>2</c:v>
                  </c:pt>
                  <c:pt idx="2">
                    <c:v>3</c:v>
                  </c:pt>
                  <c:pt idx="3">
                    <c:v>4</c:v>
                  </c:pt>
                  <c:pt idx="4">
                    <c:v>1</c:v>
                  </c:pt>
                  <c:pt idx="5">
                    <c:v>2</c:v>
                  </c:pt>
                  <c:pt idx="6">
                    <c:v>3</c:v>
                  </c:pt>
                  <c:pt idx="7">
                    <c:v>4</c:v>
                  </c:pt>
                  <c:pt idx="8">
                    <c:v>1</c:v>
                  </c:pt>
                  <c:pt idx="9">
                    <c:v>2</c:v>
                  </c:pt>
                  <c:pt idx="10">
                    <c:v>3</c:v>
                  </c:pt>
                  <c:pt idx="11">
                    <c:v>4</c:v>
                  </c:pt>
                  <c:pt idx="12">
                    <c:v>1</c:v>
                  </c:pt>
                  <c:pt idx="13">
                    <c:v>2</c:v>
                  </c:pt>
                  <c:pt idx="14">
                    <c:v>3</c:v>
                  </c:pt>
                  <c:pt idx="15">
                    <c:v>4</c:v>
                  </c:pt>
                  <c:pt idx="16">
                    <c:v>1</c:v>
                  </c:pt>
                  <c:pt idx="17">
                    <c:v>2</c:v>
                  </c:pt>
                </c:lvl>
                <c:lvl>
                  <c:pt idx="0">
                    <c:v>2021</c:v>
                  </c:pt>
                  <c:pt idx="4">
                    <c:v>2022</c:v>
                  </c:pt>
                  <c:pt idx="8">
                    <c:v>2023</c:v>
                  </c:pt>
                  <c:pt idx="12">
                    <c:v>2024</c:v>
                  </c:pt>
                  <c:pt idx="16">
                    <c:v>2025</c:v>
                  </c:pt>
                </c:lvl>
              </c:multiLvlStrCache>
            </c:multiLvlStrRef>
          </c:cat>
          <c:val>
            <c:numRef>
              <c:f>Sheet1!$E$2:$E$33</c:f>
              <c:numCache>
                <c:formatCode>0</c:formatCode>
                <c:ptCount val="18"/>
                <c:pt idx="0">
                  <c:v>61.103229999999996</c:v>
                </c:pt>
                <c:pt idx="1">
                  <c:v>135.01109000000002</c:v>
                </c:pt>
                <c:pt idx="2">
                  <c:v>129.02368999999999</c:v>
                </c:pt>
                <c:pt idx="3">
                  <c:v>94.40330000000003</c:v>
                </c:pt>
                <c:pt idx="4">
                  <c:v>72.026169999999993</c:v>
                </c:pt>
                <c:pt idx="5">
                  <c:v>-10.573099999999954</c:v>
                </c:pt>
                <c:pt idx="6">
                  <c:v>-354.89396999999997</c:v>
                </c:pt>
                <c:pt idx="7">
                  <c:v>-268.12218999999993</c:v>
                </c:pt>
                <c:pt idx="8">
                  <c:v>-526.24767999999995</c:v>
                </c:pt>
                <c:pt idx="9">
                  <c:v>-365.22444000000002</c:v>
                </c:pt>
                <c:pt idx="10">
                  <c:v>-275.18345999999997</c:v>
                </c:pt>
                <c:pt idx="11">
                  <c:v>-483.07689000000005</c:v>
                </c:pt>
                <c:pt idx="12">
                  <c:v>-378.06104000000011</c:v>
                </c:pt>
                <c:pt idx="13">
                  <c:v>-365.52707000000004</c:v>
                </c:pt>
                <c:pt idx="14">
                  <c:v>-490.01513</c:v>
                </c:pt>
                <c:pt idx="15">
                  <c:v>-390.21398999999997</c:v>
                </c:pt>
                <c:pt idx="16">
                  <c:v>-521.69325000000003</c:v>
                </c:pt>
                <c:pt idx="17">
                  <c:v>-324.2147599999999</c:v>
                </c:pt>
              </c:numCache>
            </c:numRef>
          </c:val>
          <c:extLst>
            <c:ext xmlns:c16="http://schemas.microsoft.com/office/drawing/2014/chart" uri="{C3380CC4-5D6E-409C-BE32-E72D297353CC}">
              <c16:uniqueId val="{00000001-FAB4-4382-B91E-5EACC83325D0}"/>
            </c:ext>
          </c:extLst>
        </c:ser>
        <c:dLbls>
          <c:showLegendKey val="0"/>
          <c:showVal val="0"/>
          <c:showCatName val="0"/>
          <c:showSerName val="0"/>
          <c:showPercent val="0"/>
          <c:showBubbleSize val="0"/>
        </c:dLbls>
        <c:gapWidth val="80"/>
        <c:overlap val="100"/>
        <c:axId val="-796924912"/>
        <c:axId val="-676736368"/>
      </c:barChart>
      <c:lineChart>
        <c:grouping val="standard"/>
        <c:varyColors val="0"/>
        <c:ser>
          <c:idx val="0"/>
          <c:order val="0"/>
          <c:tx>
            <c:strRef>
              <c:f>Sheet1!$C$1</c:f>
              <c:strCache>
                <c:ptCount val="1"/>
                <c:pt idx="0">
                  <c:v>Ընդամենը</c:v>
                </c:pt>
              </c:strCache>
            </c:strRef>
          </c:tx>
          <c:spPr>
            <a:ln w="28575" cap="rnd">
              <a:solidFill>
                <a:schemeClr val="tx1"/>
              </a:solidFill>
              <a:round/>
            </a:ln>
            <a:effectLst/>
          </c:spPr>
          <c:marker>
            <c:symbol val="none"/>
          </c:marker>
          <c:cat>
            <c:multiLvlStrRef>
              <c:f>Sheet1!#REF!</c:f>
            </c:multiLvlStrRef>
          </c:cat>
          <c:val>
            <c:numRef>
              <c:f>Sheet1!$C$2:$C$33</c:f>
              <c:numCache>
                <c:formatCode>0</c:formatCode>
                <c:ptCount val="18"/>
                <c:pt idx="0">
                  <c:v>129.08414999999999</c:v>
                </c:pt>
                <c:pt idx="1">
                  <c:v>253.79799000000003</c:v>
                </c:pt>
                <c:pt idx="2">
                  <c:v>287.32923999999997</c:v>
                </c:pt>
                <c:pt idx="3">
                  <c:v>213.10290000000001</c:v>
                </c:pt>
                <c:pt idx="4">
                  <c:v>190.29342</c:v>
                </c:pt>
                <c:pt idx="5">
                  <c:v>803.63103000000001</c:v>
                </c:pt>
                <c:pt idx="6">
                  <c:v>735.61262999999997</c:v>
                </c:pt>
                <c:pt idx="7">
                  <c:v>854.10712999999998</c:v>
                </c:pt>
                <c:pt idx="8">
                  <c:v>553.18916000000002</c:v>
                </c:pt>
                <c:pt idx="9">
                  <c:v>344.49464</c:v>
                </c:pt>
                <c:pt idx="10">
                  <c:v>432.70051999999998</c:v>
                </c:pt>
                <c:pt idx="11">
                  <c:v>324.32833999999991</c:v>
                </c:pt>
                <c:pt idx="12">
                  <c:v>278.55970999999988</c:v>
                </c:pt>
                <c:pt idx="13">
                  <c:v>316.8485</c:v>
                </c:pt>
                <c:pt idx="14">
                  <c:v>292.57207000000005</c:v>
                </c:pt>
                <c:pt idx="15">
                  <c:v>621.39391999999998</c:v>
                </c:pt>
                <c:pt idx="16">
                  <c:v>143.68812999999994</c:v>
                </c:pt>
                <c:pt idx="17">
                  <c:v>443.92885000000001</c:v>
                </c:pt>
              </c:numCache>
            </c:numRef>
          </c:val>
          <c:smooth val="0"/>
          <c:extLst>
            <c:ext xmlns:c16="http://schemas.microsoft.com/office/drawing/2014/chart" uri="{C3380CC4-5D6E-409C-BE32-E72D297353CC}">
              <c16:uniqueId val="{00000002-FAB4-4382-B91E-5EACC83325D0}"/>
            </c:ext>
          </c:extLst>
        </c:ser>
        <c:dLbls>
          <c:showLegendKey val="0"/>
          <c:showVal val="0"/>
          <c:showCatName val="0"/>
          <c:showSerName val="0"/>
          <c:showPercent val="0"/>
          <c:showBubbleSize val="0"/>
        </c:dLbls>
        <c:marker val="1"/>
        <c:smooth val="0"/>
        <c:axId val="-796924912"/>
        <c:axId val="-676736368"/>
      </c:lineChart>
      <c:catAx>
        <c:axId val="-796924912"/>
        <c:scaling>
          <c:orientation val="minMax"/>
        </c:scaling>
        <c:delete val="0"/>
        <c:axPos val="b"/>
        <c:numFmt formatCode="General" sourceLinked="1"/>
        <c:majorTickMark val="none"/>
        <c:minorTickMark val="none"/>
        <c:tickLblPos val="low"/>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Calibri" panose="020F0502020204030204" pitchFamily="34" charset="0"/>
                <a:ea typeface="Calibri" panose="020F0502020204030204" pitchFamily="34" charset="0"/>
                <a:cs typeface="Calibri" panose="020F0502020204030204" pitchFamily="34" charset="0"/>
              </a:defRPr>
            </a:pPr>
            <a:endParaRPr lang="en-US"/>
          </a:p>
        </c:txPr>
        <c:crossAx val="-676736368"/>
        <c:crosses val="autoZero"/>
        <c:auto val="1"/>
        <c:lblAlgn val="ctr"/>
        <c:lblOffset val="100"/>
        <c:noMultiLvlLbl val="0"/>
      </c:catAx>
      <c:valAx>
        <c:axId val="-676736368"/>
        <c:scaling>
          <c:orientation val="minMax"/>
        </c:scaling>
        <c:delete val="0"/>
        <c:axPos val="l"/>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bg1">
                    <a:lumMod val="65000"/>
                  </a:schemeClr>
                </a:solidFill>
                <a:latin typeface="Calibri" panose="020F0502020204030204" pitchFamily="34" charset="0"/>
                <a:ea typeface="Calibri" panose="020F0502020204030204" pitchFamily="34" charset="0"/>
                <a:cs typeface="Calibri" panose="020F0502020204030204" pitchFamily="34" charset="0"/>
              </a:defRPr>
            </a:pPr>
            <a:endParaRPr lang="en-US"/>
          </a:p>
        </c:txPr>
        <c:crossAx val="-79692491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Calibri" panose="020F0502020204030204" pitchFamily="34" charset="0"/>
              <a:ea typeface="Calibri" panose="020F0502020204030204" pitchFamily="34" charset="0"/>
              <a:cs typeface="Calibri" panose="020F0502020204030204" pitchFamily="34" charset="0"/>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noFill/>
    <a:ln w="19050" cap="flat" cmpd="sng" algn="ctr">
      <a:solidFill>
        <a:sysClr val="window" lastClr="FFFFFF"/>
      </a:solidFill>
      <a:round/>
    </a:ln>
    <a:effectLst/>
  </c:spPr>
  <c:txPr>
    <a:bodyPr/>
    <a:lstStyle/>
    <a:p>
      <a:pPr>
        <a:defRPr>
          <a:latin typeface="Calibri" panose="020F0502020204030204" pitchFamily="34" charset="0"/>
          <a:ea typeface="Calibri" panose="020F0502020204030204" pitchFamily="34" charset="0"/>
          <a:cs typeface="Calibri" panose="020F0502020204030204" pitchFamily="34" charset="0"/>
        </a:defRPr>
      </a:pPr>
      <a:endParaRPr lang="en-US"/>
    </a:p>
  </c:txPr>
  <c:externalData r:id="rId4">
    <c:autoUpdate val="0"/>
  </c:externalData>
</c:chartSpace>
</file>

<file path=word/charts/chart3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3477143482064741"/>
          <c:y val="8.9461942257217847E-2"/>
          <c:w val="0.82068125273403325"/>
          <c:h val="0.48286904477849363"/>
        </c:manualLayout>
      </c:layout>
      <c:barChart>
        <c:barDir val="col"/>
        <c:grouping val="stacked"/>
        <c:varyColors val="0"/>
        <c:ser>
          <c:idx val="0"/>
          <c:order val="0"/>
          <c:tx>
            <c:strRef>
              <c:f>Sheet1!$D$1</c:f>
              <c:strCache>
                <c:ptCount val="1"/>
                <c:pt idx="0">
                  <c:v>Եվրո</c:v>
                </c:pt>
              </c:strCache>
            </c:strRef>
          </c:tx>
          <c:spPr>
            <a:solidFill>
              <a:schemeClr val="accent6">
                <a:lumMod val="60000"/>
                <a:lumOff val="40000"/>
              </a:schemeClr>
            </a:solidFill>
            <a:ln>
              <a:noFill/>
            </a:ln>
            <a:effectLst>
              <a:outerShdw blurRad="40000" dist="23000" dir="5400000" rotWithShape="0">
                <a:srgbClr val="000000">
                  <a:alpha val="35000"/>
                </a:srgbClr>
              </a:outerShdw>
            </a:effectLst>
          </c:spPr>
          <c:invertIfNegative val="0"/>
          <c:cat>
            <c:multiLvlStrRef>
              <c:f>Sheet1!$A$14:$B$33</c:f>
              <c:multiLvlStrCache>
                <c:ptCount val="18"/>
                <c:lvl>
                  <c:pt idx="0">
                    <c:v>1</c:v>
                  </c:pt>
                  <c:pt idx="1">
                    <c:v>2</c:v>
                  </c:pt>
                  <c:pt idx="2">
                    <c:v>3</c:v>
                  </c:pt>
                  <c:pt idx="3">
                    <c:v>4</c:v>
                  </c:pt>
                  <c:pt idx="4">
                    <c:v>1</c:v>
                  </c:pt>
                  <c:pt idx="5">
                    <c:v>2</c:v>
                  </c:pt>
                  <c:pt idx="6">
                    <c:v>3</c:v>
                  </c:pt>
                  <c:pt idx="7">
                    <c:v>4</c:v>
                  </c:pt>
                  <c:pt idx="8">
                    <c:v>1</c:v>
                  </c:pt>
                  <c:pt idx="9">
                    <c:v>2</c:v>
                  </c:pt>
                  <c:pt idx="10">
                    <c:v>3</c:v>
                  </c:pt>
                  <c:pt idx="11">
                    <c:v>4</c:v>
                  </c:pt>
                  <c:pt idx="12">
                    <c:v>1</c:v>
                  </c:pt>
                  <c:pt idx="13">
                    <c:v>2</c:v>
                  </c:pt>
                  <c:pt idx="14">
                    <c:v>3</c:v>
                  </c:pt>
                  <c:pt idx="15">
                    <c:v>4</c:v>
                  </c:pt>
                  <c:pt idx="16">
                    <c:v>1</c:v>
                  </c:pt>
                  <c:pt idx="17">
                    <c:v>2</c:v>
                  </c:pt>
                </c:lvl>
                <c:lvl>
                  <c:pt idx="0">
                    <c:v>2021</c:v>
                  </c:pt>
                  <c:pt idx="4">
                    <c:v>2022</c:v>
                  </c:pt>
                  <c:pt idx="8">
                    <c:v>2023</c:v>
                  </c:pt>
                  <c:pt idx="12">
                    <c:v>2024</c:v>
                  </c:pt>
                  <c:pt idx="16">
                    <c:v>2025</c:v>
                  </c:pt>
                </c:lvl>
              </c:multiLvlStrCache>
            </c:multiLvlStrRef>
          </c:cat>
          <c:val>
            <c:numRef>
              <c:f>Sheet1!$D$2:$D$33</c:f>
              <c:numCache>
                <c:formatCode>0</c:formatCode>
                <c:ptCount val="18"/>
                <c:pt idx="0">
                  <c:v>-37.588152999999991</c:v>
                </c:pt>
                <c:pt idx="1">
                  <c:v>-44.314930999999994</c:v>
                </c:pt>
                <c:pt idx="2">
                  <c:v>-3.6870990000000035</c:v>
                </c:pt>
                <c:pt idx="3">
                  <c:v>-47.701574000000008</c:v>
                </c:pt>
                <c:pt idx="4">
                  <c:v>38.055483617751023</c:v>
                </c:pt>
                <c:pt idx="5">
                  <c:v>-116.1097406218162</c:v>
                </c:pt>
                <c:pt idx="6">
                  <c:v>-151.48745476086947</c:v>
                </c:pt>
                <c:pt idx="7">
                  <c:v>-157.53865432476795</c:v>
                </c:pt>
                <c:pt idx="8">
                  <c:v>-174.38011295565173</c:v>
                </c:pt>
                <c:pt idx="9">
                  <c:v>-140.58972851489443</c:v>
                </c:pt>
                <c:pt idx="10">
                  <c:v>-123.25717668806097</c:v>
                </c:pt>
                <c:pt idx="11">
                  <c:v>-66.186420115155897</c:v>
                </c:pt>
                <c:pt idx="12">
                  <c:v>-260.11307755782582</c:v>
                </c:pt>
                <c:pt idx="13">
                  <c:v>-268.20698948128222</c:v>
                </c:pt>
                <c:pt idx="14">
                  <c:v>-191.93912526345309</c:v>
                </c:pt>
                <c:pt idx="15">
                  <c:v>-95.00717477615531</c:v>
                </c:pt>
                <c:pt idx="16">
                  <c:v>-195.15619736876815</c:v>
                </c:pt>
                <c:pt idx="17">
                  <c:v>-124.24626380965083</c:v>
                </c:pt>
              </c:numCache>
            </c:numRef>
          </c:val>
          <c:extLst>
            <c:ext xmlns:c16="http://schemas.microsoft.com/office/drawing/2014/chart" uri="{C3380CC4-5D6E-409C-BE32-E72D297353CC}">
              <c16:uniqueId val="{00000000-76E7-43B7-A738-C6C52062FB7A}"/>
            </c:ext>
          </c:extLst>
        </c:ser>
        <c:ser>
          <c:idx val="1"/>
          <c:order val="1"/>
          <c:tx>
            <c:strRef>
              <c:f>Sheet1!$E$1</c:f>
              <c:strCache>
                <c:ptCount val="1"/>
                <c:pt idx="0">
                  <c:v>Ռուբլի</c:v>
                </c:pt>
              </c:strCache>
            </c:strRef>
          </c:tx>
          <c:spPr>
            <a:solidFill>
              <a:schemeClr val="accent1">
                <a:lumMod val="75000"/>
              </a:schemeClr>
            </a:solidFill>
            <a:ln>
              <a:noFill/>
            </a:ln>
            <a:effectLst>
              <a:outerShdw blurRad="40000" dist="23000" dir="5400000" rotWithShape="0">
                <a:srgbClr val="000000">
                  <a:alpha val="35000"/>
                </a:srgbClr>
              </a:outerShdw>
            </a:effectLst>
          </c:spPr>
          <c:invertIfNegative val="0"/>
          <c:cat>
            <c:multiLvlStrRef>
              <c:f>Sheet1!$A$14:$B$33</c:f>
              <c:multiLvlStrCache>
                <c:ptCount val="18"/>
                <c:lvl>
                  <c:pt idx="0">
                    <c:v>1</c:v>
                  </c:pt>
                  <c:pt idx="1">
                    <c:v>2</c:v>
                  </c:pt>
                  <c:pt idx="2">
                    <c:v>3</c:v>
                  </c:pt>
                  <c:pt idx="3">
                    <c:v>4</c:v>
                  </c:pt>
                  <c:pt idx="4">
                    <c:v>1</c:v>
                  </c:pt>
                  <c:pt idx="5">
                    <c:v>2</c:v>
                  </c:pt>
                  <c:pt idx="6">
                    <c:v>3</c:v>
                  </c:pt>
                  <c:pt idx="7">
                    <c:v>4</c:v>
                  </c:pt>
                  <c:pt idx="8">
                    <c:v>1</c:v>
                  </c:pt>
                  <c:pt idx="9">
                    <c:v>2</c:v>
                  </c:pt>
                  <c:pt idx="10">
                    <c:v>3</c:v>
                  </c:pt>
                  <c:pt idx="11">
                    <c:v>4</c:v>
                  </c:pt>
                  <c:pt idx="12">
                    <c:v>1</c:v>
                  </c:pt>
                  <c:pt idx="13">
                    <c:v>2</c:v>
                  </c:pt>
                  <c:pt idx="14">
                    <c:v>3</c:v>
                  </c:pt>
                  <c:pt idx="15">
                    <c:v>4</c:v>
                  </c:pt>
                  <c:pt idx="16">
                    <c:v>1</c:v>
                  </c:pt>
                  <c:pt idx="17">
                    <c:v>2</c:v>
                  </c:pt>
                </c:lvl>
                <c:lvl>
                  <c:pt idx="0">
                    <c:v>2021</c:v>
                  </c:pt>
                  <c:pt idx="4">
                    <c:v>2022</c:v>
                  </c:pt>
                  <c:pt idx="8">
                    <c:v>2023</c:v>
                  </c:pt>
                  <c:pt idx="12">
                    <c:v>2024</c:v>
                  </c:pt>
                  <c:pt idx="16">
                    <c:v>2025</c:v>
                  </c:pt>
                </c:lvl>
              </c:multiLvlStrCache>
            </c:multiLvlStrRef>
          </c:cat>
          <c:val>
            <c:numRef>
              <c:f>Sheet1!$E$2:$E$33</c:f>
              <c:numCache>
                <c:formatCode>0</c:formatCode>
                <c:ptCount val="18"/>
                <c:pt idx="0">
                  <c:v>5.1814139999999966</c:v>
                </c:pt>
                <c:pt idx="1">
                  <c:v>56.355378999999999</c:v>
                </c:pt>
                <c:pt idx="2">
                  <c:v>9.5786869999999951</c:v>
                </c:pt>
                <c:pt idx="3">
                  <c:v>13.216616999999999</c:v>
                </c:pt>
                <c:pt idx="4">
                  <c:v>-31.598552698007609</c:v>
                </c:pt>
                <c:pt idx="5">
                  <c:v>190.46627119187258</c:v>
                </c:pt>
                <c:pt idx="6">
                  <c:v>423.24379297671146</c:v>
                </c:pt>
                <c:pt idx="7">
                  <c:v>550.39308050890099</c:v>
                </c:pt>
                <c:pt idx="8">
                  <c:v>436.38517693931055</c:v>
                </c:pt>
                <c:pt idx="9">
                  <c:v>376.39776191044848</c:v>
                </c:pt>
                <c:pt idx="10">
                  <c:v>295.20506021620588</c:v>
                </c:pt>
                <c:pt idx="11">
                  <c:v>329.02931109999389</c:v>
                </c:pt>
                <c:pt idx="12">
                  <c:v>510.11131165943925</c:v>
                </c:pt>
                <c:pt idx="13">
                  <c:v>756.80093481593372</c:v>
                </c:pt>
                <c:pt idx="14">
                  <c:v>585.80935789113983</c:v>
                </c:pt>
                <c:pt idx="15">
                  <c:v>252.97979954024794</c:v>
                </c:pt>
                <c:pt idx="16">
                  <c:v>509.8131998896074</c:v>
                </c:pt>
                <c:pt idx="17">
                  <c:v>802.22652830473851</c:v>
                </c:pt>
              </c:numCache>
            </c:numRef>
          </c:val>
          <c:extLst>
            <c:ext xmlns:c16="http://schemas.microsoft.com/office/drawing/2014/chart" uri="{C3380CC4-5D6E-409C-BE32-E72D297353CC}">
              <c16:uniqueId val="{00000001-76E7-43B7-A738-C6C52062FB7A}"/>
            </c:ext>
          </c:extLst>
        </c:ser>
        <c:ser>
          <c:idx val="3"/>
          <c:order val="3"/>
          <c:tx>
            <c:strRef>
              <c:f>Sheet1!$C$1</c:f>
              <c:strCache>
                <c:ptCount val="1"/>
                <c:pt idx="0">
                  <c:v>Դոլար</c:v>
                </c:pt>
              </c:strCache>
            </c:strRef>
          </c:tx>
          <c:spPr>
            <a:solidFill>
              <a:schemeClr val="bg1">
                <a:lumMod val="75000"/>
              </a:schemeClr>
            </a:solidFill>
            <a:ln>
              <a:noFill/>
            </a:ln>
            <a:effectLst>
              <a:outerShdw blurRad="40000" dist="23000" dir="5400000" rotWithShape="0">
                <a:srgbClr val="000000">
                  <a:alpha val="35000"/>
                </a:srgbClr>
              </a:outerShdw>
            </a:effectLst>
          </c:spPr>
          <c:invertIfNegative val="0"/>
          <c:cat>
            <c:multiLvlStrRef>
              <c:f>Sheet1!$A$14:$B$33</c:f>
              <c:multiLvlStrCache>
                <c:ptCount val="18"/>
                <c:lvl>
                  <c:pt idx="0">
                    <c:v>1</c:v>
                  </c:pt>
                  <c:pt idx="1">
                    <c:v>2</c:v>
                  </c:pt>
                  <c:pt idx="2">
                    <c:v>3</c:v>
                  </c:pt>
                  <c:pt idx="3">
                    <c:v>4</c:v>
                  </c:pt>
                  <c:pt idx="4">
                    <c:v>1</c:v>
                  </c:pt>
                  <c:pt idx="5">
                    <c:v>2</c:v>
                  </c:pt>
                  <c:pt idx="6">
                    <c:v>3</c:v>
                  </c:pt>
                  <c:pt idx="7">
                    <c:v>4</c:v>
                  </c:pt>
                  <c:pt idx="8">
                    <c:v>1</c:v>
                  </c:pt>
                  <c:pt idx="9">
                    <c:v>2</c:v>
                  </c:pt>
                  <c:pt idx="10">
                    <c:v>3</c:v>
                  </c:pt>
                  <c:pt idx="11">
                    <c:v>4</c:v>
                  </c:pt>
                  <c:pt idx="12">
                    <c:v>1</c:v>
                  </c:pt>
                  <c:pt idx="13">
                    <c:v>2</c:v>
                  </c:pt>
                  <c:pt idx="14">
                    <c:v>3</c:v>
                  </c:pt>
                  <c:pt idx="15">
                    <c:v>4</c:v>
                  </c:pt>
                  <c:pt idx="16">
                    <c:v>1</c:v>
                  </c:pt>
                  <c:pt idx="17">
                    <c:v>2</c:v>
                  </c:pt>
                </c:lvl>
                <c:lvl>
                  <c:pt idx="0">
                    <c:v>2021</c:v>
                  </c:pt>
                  <c:pt idx="4">
                    <c:v>2022</c:v>
                  </c:pt>
                  <c:pt idx="8">
                    <c:v>2023</c:v>
                  </c:pt>
                  <c:pt idx="12">
                    <c:v>2024</c:v>
                  </c:pt>
                  <c:pt idx="16">
                    <c:v>2025</c:v>
                  </c:pt>
                </c:lvl>
              </c:multiLvlStrCache>
            </c:multiLvlStrRef>
          </c:cat>
          <c:val>
            <c:numRef>
              <c:f>Sheet1!$C$14:$C$33</c:f>
              <c:numCache>
                <c:formatCode>0</c:formatCode>
                <c:ptCount val="18"/>
                <c:pt idx="0">
                  <c:v>-44.764182000000062</c:v>
                </c:pt>
                <c:pt idx="1">
                  <c:v>-47.872495999999956</c:v>
                </c:pt>
                <c:pt idx="2">
                  <c:v>-37.628922000000017</c:v>
                </c:pt>
                <c:pt idx="3">
                  <c:v>22.342673000000104</c:v>
                </c:pt>
                <c:pt idx="4">
                  <c:v>82.827041122292655</c:v>
                </c:pt>
                <c:pt idx="5">
                  <c:v>-50.18449343652253</c:v>
                </c:pt>
                <c:pt idx="6">
                  <c:v>-228.23183459037764</c:v>
                </c:pt>
                <c:pt idx="7">
                  <c:v>-326.58099857808588</c:v>
                </c:pt>
                <c:pt idx="8">
                  <c:v>-198.37948549629041</c:v>
                </c:pt>
                <c:pt idx="9">
                  <c:v>-28.113131581315599</c:v>
                </c:pt>
                <c:pt idx="10">
                  <c:v>-65.451362078463404</c:v>
                </c:pt>
                <c:pt idx="11">
                  <c:v>-277.075267131891</c:v>
                </c:pt>
                <c:pt idx="12">
                  <c:v>-316.72390526903308</c:v>
                </c:pt>
                <c:pt idx="13">
                  <c:v>-445.3869904856632</c:v>
                </c:pt>
                <c:pt idx="14">
                  <c:v>-336.34744169712991</c:v>
                </c:pt>
                <c:pt idx="15">
                  <c:v>-186.17634767990333</c:v>
                </c:pt>
                <c:pt idx="16">
                  <c:v>-274.18427546061059</c:v>
                </c:pt>
                <c:pt idx="17">
                  <c:v>-483.31697861144607</c:v>
                </c:pt>
              </c:numCache>
            </c:numRef>
          </c:val>
          <c:extLst>
            <c:ext xmlns:c16="http://schemas.microsoft.com/office/drawing/2014/chart" uri="{C3380CC4-5D6E-409C-BE32-E72D297353CC}">
              <c16:uniqueId val="{00000002-76E7-43B7-A738-C6C52062FB7A}"/>
            </c:ext>
          </c:extLst>
        </c:ser>
        <c:dLbls>
          <c:showLegendKey val="0"/>
          <c:showVal val="0"/>
          <c:showCatName val="0"/>
          <c:showSerName val="0"/>
          <c:showPercent val="0"/>
          <c:showBubbleSize val="0"/>
        </c:dLbls>
        <c:gapWidth val="70"/>
        <c:overlap val="100"/>
        <c:axId val="-676725488"/>
        <c:axId val="-676706448"/>
      </c:barChart>
      <c:lineChart>
        <c:grouping val="standard"/>
        <c:varyColors val="0"/>
        <c:ser>
          <c:idx val="2"/>
          <c:order val="2"/>
          <c:tx>
            <c:strRef>
              <c:f>Sheet1!$F$1</c:f>
              <c:strCache>
                <c:ptCount val="1"/>
                <c:pt idx="0">
                  <c:v>Զուտ առք</c:v>
                </c:pt>
              </c:strCache>
            </c:strRef>
          </c:tx>
          <c:spPr>
            <a:ln w="22225" cap="rnd">
              <a:solidFill>
                <a:sysClr val="windowText" lastClr="000000"/>
              </a:solidFill>
              <a:round/>
            </a:ln>
            <a:effectLst>
              <a:outerShdw blurRad="40000" dist="23000" dir="5400000" rotWithShape="0">
                <a:srgbClr val="000000">
                  <a:alpha val="35000"/>
                </a:srgbClr>
              </a:outerShdw>
            </a:effectLst>
          </c:spPr>
          <c:marker>
            <c:symbol val="none"/>
          </c:marker>
          <c:cat>
            <c:multiLvlStrRef>
              <c:f>Sheet1!$A$10:$B$32</c:f>
              <c:multiLvlStrCache>
                <c:ptCount val="18"/>
                <c:lvl>
                  <c:pt idx="0">
                    <c:v>1</c:v>
                  </c:pt>
                  <c:pt idx="1">
                    <c:v>2</c:v>
                  </c:pt>
                  <c:pt idx="2">
                    <c:v>3</c:v>
                  </c:pt>
                  <c:pt idx="3">
                    <c:v>4</c:v>
                  </c:pt>
                  <c:pt idx="4">
                    <c:v>1</c:v>
                  </c:pt>
                  <c:pt idx="5">
                    <c:v>2</c:v>
                  </c:pt>
                  <c:pt idx="6">
                    <c:v>3</c:v>
                  </c:pt>
                  <c:pt idx="7">
                    <c:v>4</c:v>
                  </c:pt>
                  <c:pt idx="8">
                    <c:v>1</c:v>
                  </c:pt>
                  <c:pt idx="9">
                    <c:v>2</c:v>
                  </c:pt>
                  <c:pt idx="10">
                    <c:v>3</c:v>
                  </c:pt>
                  <c:pt idx="11">
                    <c:v>4</c:v>
                  </c:pt>
                  <c:pt idx="12">
                    <c:v>1</c:v>
                  </c:pt>
                  <c:pt idx="13">
                    <c:v>2</c:v>
                  </c:pt>
                  <c:pt idx="14">
                    <c:v>3</c:v>
                  </c:pt>
                  <c:pt idx="15">
                    <c:v>4</c:v>
                  </c:pt>
                  <c:pt idx="16">
                    <c:v>1</c:v>
                  </c:pt>
                  <c:pt idx="17">
                    <c:v>2</c:v>
                  </c:pt>
                </c:lvl>
                <c:lvl>
                  <c:pt idx="0">
                    <c:v>2021</c:v>
                  </c:pt>
                  <c:pt idx="4">
                    <c:v>2022</c:v>
                  </c:pt>
                  <c:pt idx="8">
                    <c:v>2023</c:v>
                  </c:pt>
                  <c:pt idx="12">
                    <c:v>2024</c:v>
                  </c:pt>
                  <c:pt idx="16">
                    <c:v>2025</c:v>
                  </c:pt>
                </c:lvl>
              </c:multiLvlStrCache>
            </c:multiLvlStrRef>
          </c:cat>
          <c:val>
            <c:numRef>
              <c:f>Sheet1!$F$2:$F$33</c:f>
              <c:numCache>
                <c:formatCode>0</c:formatCode>
                <c:ptCount val="18"/>
                <c:pt idx="0">
                  <c:v>-77.17092100000005</c:v>
                </c:pt>
                <c:pt idx="1">
                  <c:v>-35.832047999999958</c:v>
                </c:pt>
                <c:pt idx="2">
                  <c:v>-31.737334000000025</c:v>
                </c:pt>
                <c:pt idx="3">
                  <c:v>-12.142283999999904</c:v>
                </c:pt>
                <c:pt idx="4">
                  <c:v>89.283972042036069</c:v>
                </c:pt>
                <c:pt idx="5">
                  <c:v>24.172037133533848</c:v>
                </c:pt>
                <c:pt idx="6">
                  <c:v>43.524503625464376</c:v>
                </c:pt>
                <c:pt idx="7">
                  <c:v>66.273427606047164</c:v>
                </c:pt>
                <c:pt idx="8">
                  <c:v>63.625578487368443</c:v>
                </c:pt>
                <c:pt idx="9">
                  <c:v>207.69490181423845</c:v>
                </c:pt>
                <c:pt idx="10">
                  <c:v>106.4965214496815</c:v>
                </c:pt>
                <c:pt idx="11">
                  <c:v>-14.232376147053003</c:v>
                </c:pt>
                <c:pt idx="12">
                  <c:v>-66.725671167419705</c:v>
                </c:pt>
                <c:pt idx="13">
                  <c:v>43.206954848988289</c:v>
                </c:pt>
                <c:pt idx="14">
                  <c:v>57.522790930556766</c:v>
                </c:pt>
                <c:pt idx="15">
                  <c:v>-28.203722915810715</c:v>
                </c:pt>
                <c:pt idx="16">
                  <c:v>40.472727060228635</c:v>
                </c:pt>
                <c:pt idx="17">
                  <c:v>194.66328588364161</c:v>
                </c:pt>
              </c:numCache>
            </c:numRef>
          </c:val>
          <c:smooth val="0"/>
          <c:extLst>
            <c:ext xmlns:c16="http://schemas.microsoft.com/office/drawing/2014/chart" uri="{C3380CC4-5D6E-409C-BE32-E72D297353CC}">
              <c16:uniqueId val="{00000003-76E7-43B7-A738-C6C52062FB7A}"/>
            </c:ext>
          </c:extLst>
        </c:ser>
        <c:dLbls>
          <c:showLegendKey val="0"/>
          <c:showVal val="0"/>
          <c:showCatName val="0"/>
          <c:showSerName val="0"/>
          <c:showPercent val="0"/>
          <c:showBubbleSize val="0"/>
        </c:dLbls>
        <c:marker val="1"/>
        <c:smooth val="0"/>
        <c:axId val="-676725488"/>
        <c:axId val="-676706448"/>
      </c:lineChart>
      <c:catAx>
        <c:axId val="-676725488"/>
        <c:scaling>
          <c:orientation val="minMax"/>
        </c:scaling>
        <c:delete val="0"/>
        <c:axPos val="b"/>
        <c:numFmt formatCode="General" sourceLinked="1"/>
        <c:majorTickMark val="none"/>
        <c:minorTickMark val="none"/>
        <c:tickLblPos val="low"/>
        <c:spPr>
          <a:noFill/>
          <a:ln w="9525" cap="flat" cmpd="sng" algn="ctr">
            <a:solidFill>
              <a:sysClr val="window" lastClr="FFFFFF">
                <a:lumMod val="75000"/>
              </a:sysClr>
            </a:solidFill>
            <a:round/>
          </a:ln>
          <a:effectLst/>
        </c:spPr>
        <c:txPr>
          <a:bodyPr rot="-60000000" spcFirstLastPara="1" vertOverflow="ellipsis" vert="horz" wrap="square" anchor="ctr" anchorCtr="1"/>
          <a:lstStyle/>
          <a:p>
            <a:pPr>
              <a:defRPr sz="800" b="1" i="0" u="none" strike="noStrike" kern="1200" baseline="0">
                <a:solidFill>
                  <a:schemeClr val="tx1">
                    <a:lumMod val="75000"/>
                    <a:lumOff val="25000"/>
                  </a:schemeClr>
                </a:solidFill>
                <a:latin typeface="Calibri" panose="020F0502020204030204" pitchFamily="34" charset="0"/>
                <a:ea typeface="Calibri" panose="020F0502020204030204" pitchFamily="34" charset="0"/>
                <a:cs typeface="Calibri" panose="020F0502020204030204" pitchFamily="34" charset="0"/>
              </a:defRPr>
            </a:pPr>
            <a:endParaRPr lang="en-US"/>
          </a:p>
        </c:txPr>
        <c:crossAx val="-676706448"/>
        <c:crosses val="autoZero"/>
        <c:auto val="0"/>
        <c:lblAlgn val="ctr"/>
        <c:lblOffset val="100"/>
        <c:noMultiLvlLbl val="0"/>
      </c:catAx>
      <c:valAx>
        <c:axId val="-676706448"/>
        <c:scaling>
          <c:orientation val="minMax"/>
        </c:scaling>
        <c:delete val="0"/>
        <c:axPos val="l"/>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bg1">
                    <a:lumMod val="65000"/>
                  </a:schemeClr>
                </a:solidFill>
                <a:latin typeface="Calibri" panose="020F0502020204030204" pitchFamily="34" charset="0"/>
                <a:ea typeface="Calibri" panose="020F0502020204030204" pitchFamily="34" charset="0"/>
                <a:cs typeface="Calibri" panose="020F0502020204030204" pitchFamily="34" charset="0"/>
              </a:defRPr>
            </a:pPr>
            <a:endParaRPr lang="en-US"/>
          </a:p>
        </c:txPr>
        <c:crossAx val="-676725488"/>
        <c:crosses val="autoZero"/>
        <c:crossBetween val="between"/>
        <c:majorUnit val="400"/>
      </c:valAx>
      <c:spPr>
        <a:noFill/>
        <a:ln>
          <a:noFill/>
        </a:ln>
        <a:effectLst/>
      </c:spPr>
    </c:plotArea>
    <c:legend>
      <c:legendPos val="b"/>
      <c:legendEntry>
        <c:idx val="0"/>
        <c:txPr>
          <a:bodyPr rot="0" spcFirstLastPara="1" vertOverflow="ellipsis" vert="horz" wrap="square" anchor="ctr" anchorCtr="1"/>
          <a:lstStyle/>
          <a:p>
            <a:pPr>
              <a:defRPr sz="800" b="0" i="0" u="none" strike="noStrike" kern="1200" baseline="0">
                <a:solidFill>
                  <a:schemeClr val="tx1">
                    <a:lumMod val="75000"/>
                    <a:lumOff val="25000"/>
                  </a:schemeClr>
                </a:solidFill>
                <a:latin typeface="Calibri" panose="020F0502020204030204" pitchFamily="34" charset="0"/>
                <a:ea typeface="Calibri" panose="020F0502020204030204" pitchFamily="34" charset="0"/>
                <a:cs typeface="Calibri" panose="020F0502020204030204" pitchFamily="34" charset="0"/>
              </a:defRPr>
            </a:pPr>
            <a:endParaRPr lang="en-US"/>
          </a:p>
        </c:txPr>
      </c:legendEntry>
      <c:legendEntry>
        <c:idx val="1"/>
        <c:txPr>
          <a:bodyPr rot="0" spcFirstLastPara="1" vertOverflow="ellipsis" vert="horz" wrap="square" anchor="ctr" anchorCtr="1"/>
          <a:lstStyle/>
          <a:p>
            <a:pPr>
              <a:defRPr sz="800" b="0" i="0" u="none" strike="noStrike" kern="1200" baseline="0">
                <a:solidFill>
                  <a:schemeClr val="tx1">
                    <a:lumMod val="75000"/>
                    <a:lumOff val="25000"/>
                  </a:schemeClr>
                </a:solidFill>
                <a:latin typeface="Calibri" panose="020F0502020204030204" pitchFamily="34" charset="0"/>
                <a:ea typeface="Calibri" panose="020F0502020204030204" pitchFamily="34" charset="0"/>
                <a:cs typeface="Calibri" panose="020F0502020204030204" pitchFamily="34" charset="0"/>
              </a:defRPr>
            </a:pPr>
            <a:endParaRPr lang="en-US"/>
          </a:p>
        </c:txPr>
      </c:legendEntry>
      <c:layout>
        <c:manualLayout>
          <c:xMode val="edge"/>
          <c:yMode val="edge"/>
          <c:x val="6.5478729221347329E-2"/>
          <c:y val="0.83397707388849118"/>
          <c:w val="0.87009470100021302"/>
          <c:h val="0.11551788070690058"/>
        </c:manualLayout>
      </c:layout>
      <c:overlay val="0"/>
      <c:spPr>
        <a:noFill/>
        <a:ln>
          <a:noFill/>
        </a:ln>
        <a:effectLst/>
      </c:spPr>
      <c:txPr>
        <a:bodyPr rot="0" spcFirstLastPara="1" vertOverflow="ellipsis" vert="horz" wrap="square" anchor="ctr" anchorCtr="1"/>
        <a:lstStyle/>
        <a:p>
          <a:pPr>
            <a:defRPr sz="800" b="0" i="0" u="none" strike="noStrike" kern="1200" baseline="0">
              <a:solidFill>
                <a:schemeClr val="tx1">
                  <a:lumMod val="75000"/>
                  <a:lumOff val="25000"/>
                </a:schemeClr>
              </a:solidFill>
              <a:latin typeface="Calibri" panose="020F0502020204030204" pitchFamily="34" charset="0"/>
              <a:ea typeface="Calibri" panose="020F0502020204030204" pitchFamily="34" charset="0"/>
              <a:cs typeface="Calibri" panose="020F0502020204030204" pitchFamily="34" charset="0"/>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noFill/>
    <a:ln w="19050" cap="flat" cmpd="sng" algn="ctr">
      <a:solidFill>
        <a:sysClr val="window" lastClr="FFFFFF"/>
      </a:solidFill>
      <a:round/>
    </a:ln>
    <a:effectLst/>
  </c:spPr>
  <c:txPr>
    <a:bodyPr/>
    <a:lstStyle/>
    <a:p>
      <a:pPr>
        <a:defRPr sz="800">
          <a:latin typeface="Calibri" panose="020F0502020204030204" pitchFamily="34" charset="0"/>
          <a:ea typeface="Calibri" panose="020F0502020204030204" pitchFamily="34" charset="0"/>
          <a:cs typeface="Calibri" panose="020F0502020204030204" pitchFamily="34" charset="0"/>
        </a:defRPr>
      </a:pPr>
      <a:endParaRPr lang="en-US"/>
    </a:p>
  </c:txPr>
  <c:externalData r:id="rId4">
    <c:autoUpdate val="0"/>
  </c:externalData>
</c:chartSpace>
</file>

<file path=word/charts/chart3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5423133429076083"/>
          <c:y val="9.0331207537105523E-2"/>
          <c:w val="0.69786856831575295"/>
          <c:h val="0.48506223653861447"/>
        </c:manualLayout>
      </c:layout>
      <c:barChart>
        <c:barDir val="col"/>
        <c:grouping val="stacked"/>
        <c:varyColors val="0"/>
        <c:ser>
          <c:idx val="1"/>
          <c:order val="1"/>
          <c:tx>
            <c:strRef>
              <c:f>Sheet1!$C$1</c:f>
              <c:strCache>
                <c:ptCount val="1"/>
                <c:pt idx="0">
                  <c:v>ԿԲ միջամտություն, զուտ առք </c:v>
                </c:pt>
              </c:strCache>
            </c:strRef>
          </c:tx>
          <c:spPr>
            <a:solidFill>
              <a:srgbClr val="4472C4">
                <a:lumMod val="75000"/>
              </a:srgbClr>
            </a:solidFill>
            <a:ln>
              <a:solidFill>
                <a:srgbClr val="4472C4">
                  <a:lumMod val="75000"/>
                </a:srgbClr>
              </a:solidFill>
            </a:ln>
            <a:effectLst/>
          </c:spPr>
          <c:invertIfNegative val="0"/>
          <c:cat>
            <c:multiLvlStrRef>
              <c:f>Sheet1!$A$230:$B$301</c:f>
              <c:multiLvlStrCache>
                <c:ptCount val="55"/>
                <c:lvl>
                  <c:pt idx="0">
                    <c:v>1</c:v>
                  </c:pt>
                  <c:pt idx="1">
                    <c:v>2</c:v>
                  </c:pt>
                  <c:pt idx="2">
                    <c:v>3</c:v>
                  </c:pt>
                  <c:pt idx="3">
                    <c:v>4</c:v>
                  </c:pt>
                  <c:pt idx="4">
                    <c:v>5</c:v>
                  </c:pt>
                  <c:pt idx="5">
                    <c:v>6</c:v>
                  </c:pt>
                  <c:pt idx="6">
                    <c:v>7</c:v>
                  </c:pt>
                  <c:pt idx="7">
                    <c:v>8</c:v>
                  </c:pt>
                  <c:pt idx="8">
                    <c:v>9</c:v>
                  </c:pt>
                  <c:pt idx="9">
                    <c:v>10</c:v>
                  </c:pt>
                  <c:pt idx="10">
                    <c:v>11</c:v>
                  </c:pt>
                  <c:pt idx="11">
                    <c:v>12</c:v>
                  </c:pt>
                  <c:pt idx="12">
                    <c:v>1</c:v>
                  </c:pt>
                  <c:pt idx="13">
                    <c:v>2</c:v>
                  </c:pt>
                  <c:pt idx="14">
                    <c:v>3</c:v>
                  </c:pt>
                  <c:pt idx="15">
                    <c:v>4</c:v>
                  </c:pt>
                  <c:pt idx="16">
                    <c:v>5</c:v>
                  </c:pt>
                  <c:pt idx="17">
                    <c:v>6</c:v>
                  </c:pt>
                  <c:pt idx="18">
                    <c:v>7</c:v>
                  </c:pt>
                  <c:pt idx="19">
                    <c:v>8</c:v>
                  </c:pt>
                  <c:pt idx="20">
                    <c:v>9</c:v>
                  </c:pt>
                  <c:pt idx="21">
                    <c:v>10</c:v>
                  </c:pt>
                  <c:pt idx="22">
                    <c:v>11</c:v>
                  </c:pt>
                  <c:pt idx="23">
                    <c:v>12</c:v>
                  </c:pt>
                  <c:pt idx="24">
                    <c:v>1</c:v>
                  </c:pt>
                  <c:pt idx="25">
                    <c:v>2</c:v>
                  </c:pt>
                  <c:pt idx="26">
                    <c:v>3</c:v>
                  </c:pt>
                  <c:pt idx="27">
                    <c:v>4</c:v>
                  </c:pt>
                  <c:pt idx="28">
                    <c:v>5</c:v>
                  </c:pt>
                  <c:pt idx="29">
                    <c:v>6</c:v>
                  </c:pt>
                  <c:pt idx="30">
                    <c:v>7</c:v>
                  </c:pt>
                  <c:pt idx="31">
                    <c:v>8</c:v>
                  </c:pt>
                  <c:pt idx="32">
                    <c:v>9</c:v>
                  </c:pt>
                  <c:pt idx="33">
                    <c:v>10</c:v>
                  </c:pt>
                  <c:pt idx="34">
                    <c:v>11</c:v>
                  </c:pt>
                  <c:pt idx="35">
                    <c:v>12</c:v>
                  </c:pt>
                  <c:pt idx="36">
                    <c:v>1</c:v>
                  </c:pt>
                  <c:pt idx="37">
                    <c:v>2</c:v>
                  </c:pt>
                  <c:pt idx="38">
                    <c:v>3</c:v>
                  </c:pt>
                  <c:pt idx="39">
                    <c:v>4</c:v>
                  </c:pt>
                  <c:pt idx="40">
                    <c:v>5</c:v>
                  </c:pt>
                  <c:pt idx="41">
                    <c:v>6</c:v>
                  </c:pt>
                  <c:pt idx="42">
                    <c:v>7</c:v>
                  </c:pt>
                  <c:pt idx="43">
                    <c:v>8</c:v>
                  </c:pt>
                  <c:pt idx="44">
                    <c:v>9</c:v>
                  </c:pt>
                  <c:pt idx="45">
                    <c:v>10</c:v>
                  </c:pt>
                  <c:pt idx="46">
                    <c:v>11</c:v>
                  </c:pt>
                  <c:pt idx="47">
                    <c:v>12</c:v>
                  </c:pt>
                  <c:pt idx="48">
                    <c:v>1</c:v>
                  </c:pt>
                  <c:pt idx="49">
                    <c:v>2</c:v>
                  </c:pt>
                  <c:pt idx="50">
                    <c:v>3</c:v>
                  </c:pt>
                  <c:pt idx="51">
                    <c:v>4</c:v>
                  </c:pt>
                  <c:pt idx="52">
                    <c:v>5</c:v>
                  </c:pt>
                  <c:pt idx="53">
                    <c:v>6</c:v>
                  </c:pt>
                  <c:pt idx="54">
                    <c:v>7</c:v>
                  </c:pt>
                </c:lvl>
                <c:lvl>
                  <c:pt idx="0">
                    <c:v>2021</c:v>
                  </c:pt>
                  <c:pt idx="12">
                    <c:v>2022</c:v>
                  </c:pt>
                  <c:pt idx="24">
                    <c:v>2023</c:v>
                  </c:pt>
                  <c:pt idx="36">
                    <c:v>2024</c:v>
                  </c:pt>
                  <c:pt idx="48">
                    <c:v>2025</c:v>
                  </c:pt>
                </c:lvl>
              </c:multiLvlStrCache>
            </c:multiLvlStrRef>
          </c:cat>
          <c:val>
            <c:numRef>
              <c:f>Sheet1!$C$230:$C$301</c:f>
              <c:numCache>
                <c:formatCode>0.0</c:formatCode>
                <c:ptCount val="55"/>
                <c:pt idx="0">
                  <c:v>-46.8</c:v>
                </c:pt>
                <c:pt idx="1">
                  <c:v>0</c:v>
                </c:pt>
                <c:pt idx="2">
                  <c:v>-34.799999999999997</c:v>
                </c:pt>
                <c:pt idx="3">
                  <c:v>-74.7</c:v>
                </c:pt>
                <c:pt idx="4">
                  <c:v>0</c:v>
                </c:pt>
                <c:pt idx="5">
                  <c:v>7</c:v>
                </c:pt>
                <c:pt idx="6">
                  <c:v>0</c:v>
                </c:pt>
                <c:pt idx="7">
                  <c:v>0</c:v>
                </c:pt>
                <c:pt idx="8">
                  <c:v>10</c:v>
                </c:pt>
                <c:pt idx="9">
                  <c:v>0</c:v>
                </c:pt>
                <c:pt idx="10">
                  <c:v>5</c:v>
                </c:pt>
                <c:pt idx="11">
                  <c:v>0</c:v>
                </c:pt>
                <c:pt idx="12">
                  <c:v>0</c:v>
                </c:pt>
                <c:pt idx="13">
                  <c:v>0</c:v>
                </c:pt>
                <c:pt idx="14">
                  <c:v>0</c:v>
                </c:pt>
                <c:pt idx="15">
                  <c:v>67</c:v>
                </c:pt>
                <c:pt idx="16">
                  <c:v>0</c:v>
                </c:pt>
                <c:pt idx="17">
                  <c:v>100</c:v>
                </c:pt>
                <c:pt idx="18">
                  <c:v>18.5</c:v>
                </c:pt>
                <c:pt idx="19">
                  <c:v>81.3</c:v>
                </c:pt>
                <c:pt idx="20">
                  <c:v>55</c:v>
                </c:pt>
                <c:pt idx="21">
                  <c:v>80</c:v>
                </c:pt>
                <c:pt idx="22">
                  <c:v>114.1</c:v>
                </c:pt>
                <c:pt idx="23">
                  <c:v>57.9</c:v>
                </c:pt>
                <c:pt idx="24">
                  <c:v>0</c:v>
                </c:pt>
                <c:pt idx="25">
                  <c:v>40</c:v>
                </c:pt>
                <c:pt idx="26">
                  <c:v>151.30000000000001</c:v>
                </c:pt>
                <c:pt idx="27">
                  <c:v>181.6</c:v>
                </c:pt>
                <c:pt idx="28">
                  <c:v>209.5</c:v>
                </c:pt>
                <c:pt idx="29">
                  <c:v>198.8</c:v>
                </c:pt>
                <c:pt idx="30">
                  <c:v>230</c:v>
                </c:pt>
                <c:pt idx="31">
                  <c:v>165.3</c:v>
                </c:pt>
                <c:pt idx="32">
                  <c:v>20</c:v>
                </c:pt>
                <c:pt idx="33">
                  <c:v>-50</c:v>
                </c:pt>
                <c:pt idx="34">
                  <c:v>0</c:v>
                </c:pt>
                <c:pt idx="35">
                  <c:v>0</c:v>
                </c:pt>
                <c:pt idx="36" formatCode="_(* #,##0_);_(* \(#,##0\);_(* &quot;-&quot;??_);_(@_)">
                  <c:v>0</c:v>
                </c:pt>
                <c:pt idx="37" formatCode="_(* #,##0_);_(* \(#,##0\);_(* &quot;-&quot;??_);_(@_)">
                  <c:v>0</c:v>
                </c:pt>
                <c:pt idx="38" formatCode="_(* #,##0_);_(* \(#,##0\);_(* &quot;-&quot;??_);_(@_)">
                  <c:v>0</c:v>
                </c:pt>
                <c:pt idx="39" formatCode="_(* #,##0_);_(* \(#,##0\);_(* &quot;-&quot;??_);_(@_)">
                  <c:v>20</c:v>
                </c:pt>
                <c:pt idx="40" formatCode="_(* #,##0_);_(* \(#,##0\);_(* &quot;-&quot;??_);_(@_)">
                  <c:v>136.5</c:v>
                </c:pt>
                <c:pt idx="41" formatCode="_(* #,##0_);_(* \(#,##0\);_(* &quot;-&quot;??_);_(@_)">
                  <c:v>100</c:v>
                </c:pt>
                <c:pt idx="42" formatCode="_(* #,##0_);_(* \(#,##0\);_(* &quot;-&quot;??_);_(@_)">
                  <c:v>110</c:v>
                </c:pt>
                <c:pt idx="43" formatCode="_(* #,##0_);_(* \(#,##0\);_(* &quot;-&quot;??_);_(@_)">
                  <c:v>132.30000000000001</c:v>
                </c:pt>
                <c:pt idx="44" formatCode="_(* #,##0_);_(* \(#,##0\);_(* &quot;-&quot;??_);_(@_)">
                  <c:v>119</c:v>
                </c:pt>
                <c:pt idx="45" formatCode="_(* #,##0_);_(* \(#,##0\);_(* &quot;-&quot;??_);_(@_)">
                  <c:v>87.7</c:v>
                </c:pt>
                <c:pt idx="46" formatCode="_(* #,##0_);_(* \(#,##0\);_(* &quot;-&quot;??_);_(@_)">
                  <c:v>0</c:v>
                </c:pt>
                <c:pt idx="47" formatCode="_(* #,##0_);_(* \(#,##0\);_(* &quot;-&quot;??_);_(@_)">
                  <c:v>0</c:v>
                </c:pt>
                <c:pt idx="48" formatCode="_(* #,##0_);_(* \(#,##0\);_(* &quot;-&quot;??_);_(@_)">
                  <c:v>0</c:v>
                </c:pt>
                <c:pt idx="49" formatCode="_(* #,##0_);_(* \(#,##0\);_(* &quot;-&quot;??_);_(@_)">
                  <c:v>10</c:v>
                </c:pt>
                <c:pt idx="50" formatCode="_(* #,##0_);_(* \(#,##0\);_(* &quot;-&quot;??_);_(@_)">
                  <c:v>84</c:v>
                </c:pt>
                <c:pt idx="51" formatCode="_(* #,##0_);_(* \(#,##0\);_(* &quot;-&quot;??_);_(@_)">
                  <c:v>150</c:v>
                </c:pt>
                <c:pt idx="52" formatCode="_(* #,##0_);_(* \(#,##0\);_(* &quot;-&quot;??_);_(@_)">
                  <c:v>275.39999999999998</c:v>
                </c:pt>
                <c:pt idx="53" formatCode="_(* #,##0_);_(* \(#,##0\);_(* &quot;-&quot;??_);_(@_)">
                  <c:v>230</c:v>
                </c:pt>
                <c:pt idx="54" formatCode="_(* #,##0_);_(* \(#,##0\);_(* &quot;-&quot;??_);_(@_)">
                  <c:v>137.5</c:v>
                </c:pt>
              </c:numCache>
            </c:numRef>
          </c:val>
          <c:extLst>
            <c:ext xmlns:c16="http://schemas.microsoft.com/office/drawing/2014/chart" uri="{C3380CC4-5D6E-409C-BE32-E72D297353CC}">
              <c16:uniqueId val="{00000000-8FEC-4C07-BCC0-58072AC9A523}"/>
            </c:ext>
          </c:extLst>
        </c:ser>
        <c:dLbls>
          <c:showLegendKey val="0"/>
          <c:showVal val="0"/>
          <c:showCatName val="0"/>
          <c:showSerName val="0"/>
          <c:showPercent val="0"/>
          <c:showBubbleSize val="0"/>
        </c:dLbls>
        <c:gapWidth val="150"/>
        <c:overlap val="100"/>
        <c:axId val="-676733648"/>
        <c:axId val="-676713520"/>
      </c:barChart>
      <c:lineChart>
        <c:grouping val="standard"/>
        <c:varyColors val="0"/>
        <c:ser>
          <c:idx val="0"/>
          <c:order val="0"/>
          <c:tx>
            <c:strRef>
              <c:f>Sheet1!$D$1</c:f>
              <c:strCache>
                <c:ptCount val="1"/>
                <c:pt idx="0">
                  <c:v>Դրամ/դոլար (աջ առանցք)</c:v>
                </c:pt>
              </c:strCache>
            </c:strRef>
          </c:tx>
          <c:spPr>
            <a:ln w="22225" cap="rnd">
              <a:solidFill>
                <a:sysClr val="windowText" lastClr="000000"/>
              </a:solidFill>
              <a:round/>
            </a:ln>
            <a:effectLst/>
          </c:spPr>
          <c:marker>
            <c:symbol val="none"/>
          </c:marker>
          <c:cat>
            <c:multiLvlStrRef>
              <c:f>Sheet1!$A$230:$B$289</c:f>
              <c:multiLvlStrCache>
                <c:ptCount val="48"/>
                <c:lvl>
                  <c:pt idx="0">
                    <c:v>1</c:v>
                  </c:pt>
                  <c:pt idx="1">
                    <c:v>2</c:v>
                  </c:pt>
                  <c:pt idx="2">
                    <c:v>3</c:v>
                  </c:pt>
                  <c:pt idx="3">
                    <c:v>4</c:v>
                  </c:pt>
                  <c:pt idx="4">
                    <c:v>5</c:v>
                  </c:pt>
                  <c:pt idx="5">
                    <c:v>6</c:v>
                  </c:pt>
                  <c:pt idx="6">
                    <c:v>7</c:v>
                  </c:pt>
                  <c:pt idx="7">
                    <c:v>8</c:v>
                  </c:pt>
                  <c:pt idx="8">
                    <c:v>9</c:v>
                  </c:pt>
                  <c:pt idx="9">
                    <c:v>10</c:v>
                  </c:pt>
                  <c:pt idx="10">
                    <c:v>11</c:v>
                  </c:pt>
                  <c:pt idx="11">
                    <c:v>12</c:v>
                  </c:pt>
                  <c:pt idx="12">
                    <c:v>1</c:v>
                  </c:pt>
                  <c:pt idx="13">
                    <c:v>2</c:v>
                  </c:pt>
                  <c:pt idx="14">
                    <c:v>3</c:v>
                  </c:pt>
                  <c:pt idx="15">
                    <c:v>4</c:v>
                  </c:pt>
                  <c:pt idx="16">
                    <c:v>5</c:v>
                  </c:pt>
                  <c:pt idx="17">
                    <c:v>6</c:v>
                  </c:pt>
                  <c:pt idx="18">
                    <c:v>7</c:v>
                  </c:pt>
                  <c:pt idx="19">
                    <c:v>8</c:v>
                  </c:pt>
                  <c:pt idx="20">
                    <c:v>9</c:v>
                  </c:pt>
                  <c:pt idx="21">
                    <c:v>10</c:v>
                  </c:pt>
                  <c:pt idx="22">
                    <c:v>11</c:v>
                  </c:pt>
                  <c:pt idx="23">
                    <c:v>12</c:v>
                  </c:pt>
                  <c:pt idx="24">
                    <c:v>1</c:v>
                  </c:pt>
                  <c:pt idx="25">
                    <c:v>2</c:v>
                  </c:pt>
                  <c:pt idx="26">
                    <c:v>3</c:v>
                  </c:pt>
                  <c:pt idx="27">
                    <c:v>4</c:v>
                  </c:pt>
                  <c:pt idx="28">
                    <c:v>5</c:v>
                  </c:pt>
                  <c:pt idx="29">
                    <c:v>6</c:v>
                  </c:pt>
                  <c:pt idx="30">
                    <c:v>7</c:v>
                  </c:pt>
                  <c:pt idx="31">
                    <c:v>8</c:v>
                  </c:pt>
                  <c:pt idx="32">
                    <c:v>9</c:v>
                  </c:pt>
                  <c:pt idx="33">
                    <c:v>10</c:v>
                  </c:pt>
                  <c:pt idx="34">
                    <c:v>11</c:v>
                  </c:pt>
                  <c:pt idx="35">
                    <c:v>12</c:v>
                  </c:pt>
                  <c:pt idx="36">
                    <c:v>1</c:v>
                  </c:pt>
                  <c:pt idx="37">
                    <c:v>2</c:v>
                  </c:pt>
                  <c:pt idx="38">
                    <c:v>3</c:v>
                  </c:pt>
                  <c:pt idx="39">
                    <c:v>4</c:v>
                  </c:pt>
                  <c:pt idx="40">
                    <c:v>5</c:v>
                  </c:pt>
                  <c:pt idx="41">
                    <c:v>6</c:v>
                  </c:pt>
                  <c:pt idx="42">
                    <c:v>7</c:v>
                  </c:pt>
                  <c:pt idx="43">
                    <c:v>8</c:v>
                  </c:pt>
                  <c:pt idx="44">
                    <c:v>9</c:v>
                  </c:pt>
                  <c:pt idx="45">
                    <c:v>10</c:v>
                  </c:pt>
                  <c:pt idx="46">
                    <c:v>11</c:v>
                  </c:pt>
                  <c:pt idx="47">
                    <c:v>12</c:v>
                  </c:pt>
                </c:lvl>
                <c:lvl>
                  <c:pt idx="0">
                    <c:v>2021</c:v>
                  </c:pt>
                  <c:pt idx="12">
                    <c:v>2022</c:v>
                  </c:pt>
                  <c:pt idx="24">
                    <c:v>2023</c:v>
                  </c:pt>
                  <c:pt idx="36">
                    <c:v>2024</c:v>
                  </c:pt>
                </c:lvl>
              </c:multiLvlStrCache>
            </c:multiLvlStrRef>
          </c:cat>
          <c:val>
            <c:numRef>
              <c:f>Sheet1!$D$230:$D$301</c:f>
              <c:numCache>
                <c:formatCode>0.0</c:formatCode>
                <c:ptCount val="55"/>
                <c:pt idx="0">
                  <c:v>521.20000000000005</c:v>
                </c:pt>
                <c:pt idx="1">
                  <c:v>523.54</c:v>
                </c:pt>
                <c:pt idx="2">
                  <c:v>527.66999999999996</c:v>
                </c:pt>
                <c:pt idx="3">
                  <c:v>525.62</c:v>
                </c:pt>
                <c:pt idx="4">
                  <c:v>521.35</c:v>
                </c:pt>
                <c:pt idx="5">
                  <c:v>513.09</c:v>
                </c:pt>
                <c:pt idx="6">
                  <c:v>490.87</c:v>
                </c:pt>
                <c:pt idx="7">
                  <c:v>491.73</c:v>
                </c:pt>
                <c:pt idx="8">
                  <c:v>488.12</c:v>
                </c:pt>
                <c:pt idx="9">
                  <c:v>479.25</c:v>
                </c:pt>
                <c:pt idx="10">
                  <c:v>477.66</c:v>
                </c:pt>
                <c:pt idx="11">
                  <c:v>485.14</c:v>
                </c:pt>
                <c:pt idx="12">
                  <c:v>481.99</c:v>
                </c:pt>
                <c:pt idx="13">
                  <c:v>480.24</c:v>
                </c:pt>
                <c:pt idx="14">
                  <c:v>496.96</c:v>
                </c:pt>
                <c:pt idx="15">
                  <c:v>470.99</c:v>
                </c:pt>
                <c:pt idx="16">
                  <c:v>456.54</c:v>
                </c:pt>
                <c:pt idx="17">
                  <c:v>422.69</c:v>
                </c:pt>
                <c:pt idx="18">
                  <c:v>411.03</c:v>
                </c:pt>
                <c:pt idx="19">
                  <c:v>405.75</c:v>
                </c:pt>
                <c:pt idx="20">
                  <c:v>409.15</c:v>
                </c:pt>
                <c:pt idx="21">
                  <c:v>402.73</c:v>
                </c:pt>
                <c:pt idx="22">
                  <c:v>395.38</c:v>
                </c:pt>
                <c:pt idx="23">
                  <c:v>394.54</c:v>
                </c:pt>
                <c:pt idx="24">
                  <c:v>395.89</c:v>
                </c:pt>
                <c:pt idx="25">
                  <c:v>393.45</c:v>
                </c:pt>
                <c:pt idx="26">
                  <c:v>388.44</c:v>
                </c:pt>
                <c:pt idx="27">
                  <c:v>387.74</c:v>
                </c:pt>
                <c:pt idx="28">
                  <c:v>386.56</c:v>
                </c:pt>
                <c:pt idx="29">
                  <c:v>386.67</c:v>
                </c:pt>
                <c:pt idx="30">
                  <c:v>386.54</c:v>
                </c:pt>
                <c:pt idx="31">
                  <c:v>386.17</c:v>
                </c:pt>
                <c:pt idx="32">
                  <c:v>386.94</c:v>
                </c:pt>
                <c:pt idx="33">
                  <c:v>404.33</c:v>
                </c:pt>
                <c:pt idx="34">
                  <c:v>402.52</c:v>
                </c:pt>
                <c:pt idx="35">
                  <c:v>404.47</c:v>
                </c:pt>
                <c:pt idx="36" formatCode="_(* #,##0_);_(* \(#,##0\);_(* &quot;-&quot;??_);_(@_)">
                  <c:v>404.96</c:v>
                </c:pt>
                <c:pt idx="37" formatCode="_(* #,##0_);_(* \(#,##0\);_(* &quot;-&quot;??_);_(@_)">
                  <c:v>404.27</c:v>
                </c:pt>
                <c:pt idx="38" formatCode="_(* #,##0_);_(* \(#,##0\);_(* &quot;-&quot;??_);_(@_)">
                  <c:v>400.42</c:v>
                </c:pt>
                <c:pt idx="39" formatCode="_(* #,##0_);_(* \(#,##0\);_(* &quot;-&quot;??_);_(@_)">
                  <c:v>390.99</c:v>
                </c:pt>
                <c:pt idx="40" formatCode="_(* #,##0_);_(* \(#,##0\);_(* &quot;-&quot;??_);_(@_)">
                  <c:v>387.82</c:v>
                </c:pt>
                <c:pt idx="41" formatCode="_(* #,##0_);_(* \(#,##0\);_(* &quot;-&quot;??_);_(@_)">
                  <c:v>388.06</c:v>
                </c:pt>
                <c:pt idx="42" formatCode="_(* #,##0_);_(* \(#,##0\);_(* &quot;-&quot;??_);_(@_)">
                  <c:v>388.07</c:v>
                </c:pt>
                <c:pt idx="43" formatCode="_(* #,##0_);_(* \(#,##0\);_(* &quot;-&quot;??_);_(@_)">
                  <c:v>388.08</c:v>
                </c:pt>
                <c:pt idx="44" formatCode="_(* #,##0_);_(* \(#,##0\);_(* &quot;-&quot;??_);_(@_)">
                  <c:v>387.37</c:v>
                </c:pt>
                <c:pt idx="45" formatCode="_(* #,##0_);_(* \(#,##0\);_(* &quot;-&quot;??_);_(@_)">
                  <c:v>387.2</c:v>
                </c:pt>
                <c:pt idx="46" formatCode="_(* #,##0_);_(* \(#,##0\);_(* &quot;-&quot;??_);_(@_)">
                  <c:v>388.97</c:v>
                </c:pt>
                <c:pt idx="47" formatCode="_(* #,##0_);_(* \(#,##0\);_(* &quot;-&quot;??_);_(@_)">
                  <c:v>396.55</c:v>
                </c:pt>
                <c:pt idx="48" formatCode="_(* #,##0_);_(* \(#,##0\);_(* &quot;-&quot;??_);_(@_)">
                  <c:v>397.89</c:v>
                </c:pt>
                <c:pt idx="49" formatCode="_(* #,##0_);_(* \(#,##0\);_(* &quot;-&quot;??_);_(@_)">
                  <c:v>395.6</c:v>
                </c:pt>
                <c:pt idx="50" formatCode="_(* #,##0_);_(* \(#,##0\);_(* &quot;-&quot;??_);_(@_)">
                  <c:v>392.78</c:v>
                </c:pt>
                <c:pt idx="51" formatCode="_(* #,##0_);_(* \(#,##0\);_(* &quot;-&quot;??_);_(@_)">
                  <c:v>390.71</c:v>
                </c:pt>
                <c:pt idx="52" formatCode="_(* #,##0_);_(* \(#,##0\);_(* &quot;-&quot;??_);_(@_)">
                  <c:v>386.63</c:v>
                </c:pt>
                <c:pt idx="53" formatCode="_(* #,##0_);_(* \(#,##0\);_(* &quot;-&quot;??_);_(@_)">
                  <c:v>384.22</c:v>
                </c:pt>
                <c:pt idx="54" formatCode="_(* #,##0_);_(* \(#,##0\);_(* &quot;-&quot;??_);_(@_)">
                  <c:v>384.07</c:v>
                </c:pt>
              </c:numCache>
            </c:numRef>
          </c:val>
          <c:smooth val="0"/>
          <c:extLst>
            <c:ext xmlns:c16="http://schemas.microsoft.com/office/drawing/2014/chart" uri="{C3380CC4-5D6E-409C-BE32-E72D297353CC}">
              <c16:uniqueId val="{00000001-8FEC-4C07-BCC0-58072AC9A523}"/>
            </c:ext>
          </c:extLst>
        </c:ser>
        <c:dLbls>
          <c:showLegendKey val="0"/>
          <c:showVal val="0"/>
          <c:showCatName val="0"/>
          <c:showSerName val="0"/>
          <c:showPercent val="0"/>
          <c:showBubbleSize val="0"/>
        </c:dLbls>
        <c:marker val="1"/>
        <c:smooth val="0"/>
        <c:axId val="-676705904"/>
        <c:axId val="-676728752"/>
      </c:lineChart>
      <c:catAx>
        <c:axId val="-676733648"/>
        <c:scaling>
          <c:orientation val="minMax"/>
        </c:scaling>
        <c:delete val="0"/>
        <c:axPos val="b"/>
        <c:numFmt formatCode="General" sourceLinked="1"/>
        <c:majorTickMark val="none"/>
        <c:minorTickMark val="none"/>
        <c:tickLblPos val="low"/>
        <c:spPr>
          <a:noFill/>
          <a:ln w="9525" cap="flat" cmpd="sng" algn="ctr">
            <a:solidFill>
              <a:sysClr val="window" lastClr="FFFFFF">
                <a:lumMod val="85000"/>
              </a:sysClr>
            </a:solidFill>
            <a:prstDash val="solid"/>
            <a:round/>
          </a:ln>
          <a:effectLst/>
        </c:spPr>
        <c:txPr>
          <a:bodyPr rot="-60000000" spcFirstLastPara="1" vertOverflow="ellipsis" vert="horz" wrap="square" anchor="ctr" anchorCtr="1"/>
          <a:lstStyle/>
          <a:p>
            <a:pPr>
              <a:defRPr sz="800" b="1" i="0" u="none" strike="noStrike" kern="1200" baseline="0">
                <a:solidFill>
                  <a:schemeClr val="tx1">
                    <a:lumMod val="65000"/>
                    <a:lumOff val="35000"/>
                  </a:schemeClr>
                </a:solidFill>
                <a:latin typeface="Calibri" panose="020F0502020204030204" pitchFamily="34" charset="0"/>
                <a:ea typeface="Calibri" panose="020F0502020204030204" pitchFamily="34" charset="0"/>
                <a:cs typeface="Calibri" panose="020F0502020204030204" pitchFamily="34" charset="0"/>
              </a:defRPr>
            </a:pPr>
            <a:endParaRPr lang="en-US"/>
          </a:p>
        </c:txPr>
        <c:crossAx val="-676713520"/>
        <c:crosses val="autoZero"/>
        <c:auto val="0"/>
        <c:lblAlgn val="ctr"/>
        <c:lblOffset val="100"/>
        <c:noMultiLvlLbl val="0"/>
      </c:catAx>
      <c:valAx>
        <c:axId val="-676713520"/>
        <c:scaling>
          <c:orientation val="minMax"/>
        </c:scaling>
        <c:delete val="0"/>
        <c:axPos val="l"/>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bg1">
                    <a:lumMod val="65000"/>
                  </a:schemeClr>
                </a:solidFill>
                <a:latin typeface="Calibri" panose="020F0502020204030204" pitchFamily="34" charset="0"/>
                <a:ea typeface="Calibri" panose="020F0502020204030204" pitchFamily="34" charset="0"/>
                <a:cs typeface="Calibri" panose="020F0502020204030204" pitchFamily="34" charset="0"/>
              </a:defRPr>
            </a:pPr>
            <a:endParaRPr lang="en-US"/>
          </a:p>
        </c:txPr>
        <c:crossAx val="-676733648"/>
        <c:crosses val="autoZero"/>
        <c:crossBetween val="between"/>
        <c:majorUnit val="100"/>
      </c:valAx>
      <c:valAx>
        <c:axId val="-676728752"/>
        <c:scaling>
          <c:orientation val="minMax"/>
          <c:min val="380"/>
        </c:scaling>
        <c:delete val="0"/>
        <c:axPos val="r"/>
        <c:numFmt formatCode="0.0" sourceLinked="1"/>
        <c:majorTickMark val="out"/>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bg1">
                    <a:lumMod val="65000"/>
                  </a:schemeClr>
                </a:solidFill>
                <a:latin typeface="Calibri" panose="020F0502020204030204" pitchFamily="34" charset="0"/>
                <a:ea typeface="Calibri" panose="020F0502020204030204" pitchFamily="34" charset="0"/>
                <a:cs typeface="Calibri" panose="020F0502020204030204" pitchFamily="34" charset="0"/>
              </a:defRPr>
            </a:pPr>
            <a:endParaRPr lang="en-US"/>
          </a:p>
        </c:txPr>
        <c:crossAx val="-676705904"/>
        <c:crosses val="max"/>
        <c:crossBetween val="between"/>
      </c:valAx>
      <c:catAx>
        <c:axId val="-676705904"/>
        <c:scaling>
          <c:orientation val="minMax"/>
        </c:scaling>
        <c:delete val="1"/>
        <c:axPos val="b"/>
        <c:numFmt formatCode="General" sourceLinked="1"/>
        <c:majorTickMark val="out"/>
        <c:minorTickMark val="none"/>
        <c:tickLblPos val="nextTo"/>
        <c:crossAx val="-676728752"/>
        <c:crosses val="autoZero"/>
        <c:auto val="1"/>
        <c:lblAlgn val="ctr"/>
        <c:lblOffset val="100"/>
        <c:noMultiLvlLbl val="0"/>
      </c:catAx>
      <c:spPr>
        <a:noFill/>
        <a:ln>
          <a:noFill/>
        </a:ln>
        <a:effectLst/>
      </c:spPr>
    </c:plotArea>
    <c:legend>
      <c:legendPos val="b"/>
      <c:layout>
        <c:manualLayout>
          <c:xMode val="edge"/>
          <c:yMode val="edge"/>
          <c:x val="0"/>
          <c:y val="0.8448306887775392"/>
          <c:w val="0.96205537784339445"/>
          <c:h val="0.11658031460157768"/>
        </c:manualLayout>
      </c:layout>
      <c:overlay val="0"/>
      <c:spPr>
        <a:noFill/>
        <a:ln>
          <a:noFill/>
        </a:ln>
        <a:effectLst/>
      </c:spPr>
      <c:txPr>
        <a:bodyPr rot="0" spcFirstLastPara="1" vertOverflow="ellipsis" vert="horz" wrap="square" anchor="ctr" anchorCtr="1"/>
        <a:lstStyle/>
        <a:p>
          <a:pPr>
            <a:defRPr sz="700" b="0" i="0" u="none" strike="noStrike" kern="1200" baseline="0">
              <a:solidFill>
                <a:schemeClr val="tx1">
                  <a:lumMod val="65000"/>
                  <a:lumOff val="35000"/>
                </a:schemeClr>
              </a:solidFill>
              <a:latin typeface="Calibri" panose="020F0502020204030204" pitchFamily="34" charset="0"/>
              <a:ea typeface="Calibri" panose="020F0502020204030204" pitchFamily="34" charset="0"/>
              <a:cs typeface="Calibri" panose="020F0502020204030204" pitchFamily="34" charset="0"/>
            </a:defRPr>
          </a:pPr>
          <a:endParaRPr lang="en-US"/>
        </a:p>
      </c:txPr>
    </c:legend>
    <c:plotVisOnly val="1"/>
    <c:dispBlanksAs val="gap"/>
    <c:showDLblsOverMax val="0"/>
  </c:chart>
  <c:spPr>
    <a:noFill/>
    <a:ln w="19050" cap="flat" cmpd="sng" algn="ctr">
      <a:solidFill>
        <a:sysClr val="window" lastClr="FFFFFF"/>
      </a:solidFill>
      <a:round/>
    </a:ln>
    <a:effectLst/>
  </c:spPr>
  <c:txPr>
    <a:bodyPr/>
    <a:lstStyle/>
    <a:p>
      <a:pPr>
        <a:defRPr sz="800">
          <a:latin typeface="Calibri" panose="020F0502020204030204" pitchFamily="34" charset="0"/>
          <a:ea typeface="Calibri" panose="020F0502020204030204" pitchFamily="34" charset="0"/>
          <a:cs typeface="Calibri" panose="020F0502020204030204" pitchFamily="34" charset="0"/>
        </a:defRPr>
      </a:pPr>
      <a:endParaRPr lang="en-US"/>
    </a:p>
  </c:txPr>
  <c:externalData r:id="rId4">
    <c:autoUpdate val="0"/>
  </c:externalData>
</c:chartSpace>
</file>

<file path=word/charts/chart3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7009708123833919"/>
          <c:y val="7.5469950871525679E-2"/>
          <c:w val="0.76836518482064742"/>
          <c:h val="0.49928797361868227"/>
        </c:manualLayout>
      </c:layout>
      <c:lineChart>
        <c:grouping val="standard"/>
        <c:varyColors val="0"/>
        <c:ser>
          <c:idx val="0"/>
          <c:order val="0"/>
          <c:tx>
            <c:strRef>
              <c:f>Sheet1!$C$1</c:f>
              <c:strCache>
                <c:ptCount val="1"/>
                <c:pt idx="0">
                  <c:v>Դոլար</c:v>
                </c:pt>
              </c:strCache>
            </c:strRef>
          </c:tx>
          <c:spPr>
            <a:ln w="28575" cap="rnd">
              <a:solidFill>
                <a:schemeClr val="accent1">
                  <a:lumMod val="75000"/>
                </a:schemeClr>
              </a:solidFill>
              <a:round/>
            </a:ln>
            <a:effectLst/>
          </c:spPr>
          <c:marker>
            <c:symbol val="none"/>
          </c:marker>
          <c:cat>
            <c:multiLvlStrRef>
              <c:f>Sheet1!$A$2:$B$61</c:f>
              <c:multiLvlStrCache>
                <c:ptCount val="56"/>
                <c:lvl>
                  <c:pt idx="0">
                    <c:v>1</c:v>
                  </c:pt>
                  <c:pt idx="1">
                    <c:v>2</c:v>
                  </c:pt>
                  <c:pt idx="2">
                    <c:v>3</c:v>
                  </c:pt>
                  <c:pt idx="3">
                    <c:v>4</c:v>
                  </c:pt>
                  <c:pt idx="4">
                    <c:v>5</c:v>
                  </c:pt>
                  <c:pt idx="5">
                    <c:v>6</c:v>
                  </c:pt>
                  <c:pt idx="6">
                    <c:v>7</c:v>
                  </c:pt>
                  <c:pt idx="7">
                    <c:v>8</c:v>
                  </c:pt>
                  <c:pt idx="8">
                    <c:v>9</c:v>
                  </c:pt>
                  <c:pt idx="9">
                    <c:v>10</c:v>
                  </c:pt>
                  <c:pt idx="10">
                    <c:v>11</c:v>
                  </c:pt>
                  <c:pt idx="11">
                    <c:v>12</c:v>
                  </c:pt>
                  <c:pt idx="12">
                    <c:v>1</c:v>
                  </c:pt>
                  <c:pt idx="13">
                    <c:v>2</c:v>
                  </c:pt>
                  <c:pt idx="14">
                    <c:v>3</c:v>
                  </c:pt>
                  <c:pt idx="15">
                    <c:v>4</c:v>
                  </c:pt>
                  <c:pt idx="16">
                    <c:v>5</c:v>
                  </c:pt>
                  <c:pt idx="17">
                    <c:v>6</c:v>
                  </c:pt>
                  <c:pt idx="18">
                    <c:v>7</c:v>
                  </c:pt>
                  <c:pt idx="19">
                    <c:v>8</c:v>
                  </c:pt>
                  <c:pt idx="20">
                    <c:v>9</c:v>
                  </c:pt>
                  <c:pt idx="21">
                    <c:v>10</c:v>
                  </c:pt>
                  <c:pt idx="22">
                    <c:v>11</c:v>
                  </c:pt>
                  <c:pt idx="23">
                    <c:v>12</c:v>
                  </c:pt>
                  <c:pt idx="24">
                    <c:v>1</c:v>
                  </c:pt>
                  <c:pt idx="25">
                    <c:v>2</c:v>
                  </c:pt>
                  <c:pt idx="26">
                    <c:v>3</c:v>
                  </c:pt>
                  <c:pt idx="27">
                    <c:v>4</c:v>
                  </c:pt>
                  <c:pt idx="28">
                    <c:v>5</c:v>
                  </c:pt>
                  <c:pt idx="29">
                    <c:v>6</c:v>
                  </c:pt>
                  <c:pt idx="30">
                    <c:v>7</c:v>
                  </c:pt>
                  <c:pt idx="31">
                    <c:v>8</c:v>
                  </c:pt>
                  <c:pt idx="32">
                    <c:v>9</c:v>
                  </c:pt>
                  <c:pt idx="33">
                    <c:v>10</c:v>
                  </c:pt>
                  <c:pt idx="34">
                    <c:v>11</c:v>
                  </c:pt>
                  <c:pt idx="35">
                    <c:v>12</c:v>
                  </c:pt>
                  <c:pt idx="36">
                    <c:v>1</c:v>
                  </c:pt>
                  <c:pt idx="37">
                    <c:v>2</c:v>
                  </c:pt>
                  <c:pt idx="38">
                    <c:v>3</c:v>
                  </c:pt>
                  <c:pt idx="39">
                    <c:v>4</c:v>
                  </c:pt>
                  <c:pt idx="40">
                    <c:v>5</c:v>
                  </c:pt>
                  <c:pt idx="41">
                    <c:v>6</c:v>
                  </c:pt>
                  <c:pt idx="42">
                    <c:v>7</c:v>
                  </c:pt>
                  <c:pt idx="43">
                    <c:v>8</c:v>
                  </c:pt>
                  <c:pt idx="44">
                    <c:v>9</c:v>
                  </c:pt>
                  <c:pt idx="45">
                    <c:v>10</c:v>
                  </c:pt>
                  <c:pt idx="46">
                    <c:v>11</c:v>
                  </c:pt>
                  <c:pt idx="47">
                    <c:v>12</c:v>
                  </c:pt>
                  <c:pt idx="48">
                    <c:v>1</c:v>
                  </c:pt>
                  <c:pt idx="49">
                    <c:v>2</c:v>
                  </c:pt>
                  <c:pt idx="50">
                    <c:v>3</c:v>
                  </c:pt>
                  <c:pt idx="51">
                    <c:v>4</c:v>
                  </c:pt>
                  <c:pt idx="52">
                    <c:v>5</c:v>
                  </c:pt>
                  <c:pt idx="53">
                    <c:v>6</c:v>
                  </c:pt>
                  <c:pt idx="54">
                    <c:v>7</c:v>
                  </c:pt>
                  <c:pt idx="55">
                    <c:v>8</c:v>
                  </c:pt>
                </c:lvl>
                <c:lvl>
                  <c:pt idx="0">
                    <c:v>2021</c:v>
                  </c:pt>
                  <c:pt idx="12">
                    <c:v>2022</c:v>
                  </c:pt>
                  <c:pt idx="24">
                    <c:v>2023</c:v>
                  </c:pt>
                  <c:pt idx="36">
                    <c:v>2024</c:v>
                  </c:pt>
                  <c:pt idx="48">
                    <c:v>2025</c:v>
                  </c:pt>
                </c:lvl>
              </c:multiLvlStrCache>
            </c:multiLvlStrRef>
          </c:cat>
          <c:val>
            <c:numRef>
              <c:f>Sheet1!$C$2:$C$61</c:f>
              <c:numCache>
                <c:formatCode>0</c:formatCode>
                <c:ptCount val="56"/>
                <c:pt idx="0">
                  <c:v>100</c:v>
                </c:pt>
                <c:pt idx="1">
                  <c:v>99.553042747450064</c:v>
                </c:pt>
                <c:pt idx="2">
                  <c:v>98.773854871415864</c:v>
                </c:pt>
                <c:pt idx="3">
                  <c:v>99.159088314752111</c:v>
                </c:pt>
                <c:pt idx="4">
                  <c:v>99.971228541287047</c:v>
                </c:pt>
                <c:pt idx="5">
                  <c:v>101.58061938451344</c:v>
                </c:pt>
                <c:pt idx="6">
                  <c:v>106.17882535090759</c:v>
                </c:pt>
                <c:pt idx="7">
                  <c:v>105.99312630915341</c:v>
                </c:pt>
                <c:pt idx="8">
                  <c:v>106.77702204375976</c:v>
                </c:pt>
                <c:pt idx="9">
                  <c:v>108.7532603025561</c:v>
                </c:pt>
                <c:pt idx="10">
                  <c:v>109.11527027592851</c:v>
                </c:pt>
                <c:pt idx="11">
                  <c:v>107.43290596528841</c:v>
                </c:pt>
                <c:pt idx="12">
                  <c:v>108.13502354820643</c:v>
                </c:pt>
                <c:pt idx="13">
                  <c:v>108.52906879893391</c:v>
                </c:pt>
                <c:pt idx="14">
                  <c:v>104.87765614938833</c:v>
                </c:pt>
                <c:pt idx="15">
                  <c:v>110.66052357799532</c:v>
                </c:pt>
                <c:pt idx="16">
                  <c:v>114.16305252551807</c:v>
                </c:pt>
                <c:pt idx="17">
                  <c:v>123.30549575338907</c:v>
                </c:pt>
                <c:pt idx="18">
                  <c:v>126.80339634576559</c:v>
                </c:pt>
                <c:pt idx="19">
                  <c:v>128.45348120764024</c:v>
                </c:pt>
                <c:pt idx="20">
                  <c:v>127.38604423805457</c:v>
                </c:pt>
                <c:pt idx="21">
                  <c:v>129.41673081220674</c:v>
                </c:pt>
                <c:pt idx="22">
                  <c:v>131.82255045778751</c:v>
                </c:pt>
                <c:pt idx="23">
                  <c:v>132.10320880012171</c:v>
                </c:pt>
                <c:pt idx="24">
                  <c:v>131.65273181944485</c:v>
                </c:pt>
                <c:pt idx="25">
                  <c:v>132.46918286948792</c:v>
                </c:pt>
                <c:pt idx="26">
                  <c:v>134.17773658737519</c:v>
                </c:pt>
                <c:pt idx="27">
                  <c:v>134.41997214628364</c:v>
                </c:pt>
                <c:pt idx="28">
                  <c:v>134.83029801324508</c:v>
                </c:pt>
                <c:pt idx="29">
                  <c:v>134.79194144878065</c:v>
                </c:pt>
                <c:pt idx="30">
                  <c:v>134.83727427950541</c:v>
                </c:pt>
                <c:pt idx="31">
                  <c:v>134.96646554626204</c:v>
                </c:pt>
                <c:pt idx="32">
                  <c:v>134.69788597715413</c:v>
                </c:pt>
                <c:pt idx="33">
                  <c:v>128.90460762248662</c:v>
                </c:pt>
                <c:pt idx="34">
                  <c:v>129.48424922985197</c:v>
                </c:pt>
                <c:pt idx="35">
                  <c:v>128.85998961604076</c:v>
                </c:pt>
                <c:pt idx="36">
                  <c:v>128.70406953773215</c:v>
                </c:pt>
                <c:pt idx="37">
                  <c:v>128.92373908526483</c:v>
                </c:pt>
                <c:pt idx="38">
                  <c:v>130.1633285050697</c:v>
                </c:pt>
                <c:pt idx="39">
                  <c:v>133.30264201130467</c:v>
                </c:pt>
                <c:pt idx="40">
                  <c:v>134.39224382445468</c:v>
                </c:pt>
                <c:pt idx="41">
                  <c:v>134.30912745451738</c:v>
                </c:pt>
                <c:pt idx="42">
                  <c:v>134.30566650346591</c:v>
                </c:pt>
                <c:pt idx="43">
                  <c:v>134.30220573077719</c:v>
                </c:pt>
                <c:pt idx="44">
                  <c:v>134.54836461264426</c:v>
                </c:pt>
                <c:pt idx="45">
                  <c:v>134.60743801652896</c:v>
                </c:pt>
                <c:pt idx="46">
                  <c:v>133.99490963313369</c:v>
                </c:pt>
                <c:pt idx="47">
                  <c:v>131.43361492876059</c:v>
                </c:pt>
                <c:pt idx="48">
                  <c:v>130.99097740581573</c:v>
                </c:pt>
                <c:pt idx="49">
                  <c:v>131.74924165824069</c:v>
                </c:pt>
                <c:pt idx="50">
                  <c:v>132.69514741076435</c:v>
                </c:pt>
                <c:pt idx="51">
                  <c:v>133.39817255765152</c:v>
                </c:pt>
                <c:pt idx="52">
                  <c:v>134.80588676512434</c:v>
                </c:pt>
                <c:pt idx="53">
                  <c:v>135.65144969028168</c:v>
                </c:pt>
                <c:pt idx="54">
                  <c:v>135.70442888015214</c:v>
                </c:pt>
                <c:pt idx="55">
                  <c:v>136.01607557608506</c:v>
                </c:pt>
              </c:numCache>
            </c:numRef>
          </c:val>
          <c:smooth val="0"/>
          <c:extLst>
            <c:ext xmlns:c16="http://schemas.microsoft.com/office/drawing/2014/chart" uri="{C3380CC4-5D6E-409C-BE32-E72D297353CC}">
              <c16:uniqueId val="{00000000-E734-45A8-8F10-8108F7A25088}"/>
            </c:ext>
          </c:extLst>
        </c:ser>
        <c:ser>
          <c:idx val="1"/>
          <c:order val="1"/>
          <c:tx>
            <c:strRef>
              <c:f>Sheet1!$E$1</c:f>
              <c:strCache>
                <c:ptCount val="1"/>
                <c:pt idx="0">
                  <c:v>Ռուբլի</c:v>
                </c:pt>
              </c:strCache>
            </c:strRef>
          </c:tx>
          <c:spPr>
            <a:ln w="28575" cap="rnd">
              <a:solidFill>
                <a:schemeClr val="accent2">
                  <a:lumMod val="60000"/>
                  <a:lumOff val="40000"/>
                </a:schemeClr>
              </a:solidFill>
              <a:round/>
            </a:ln>
            <a:effectLst/>
          </c:spPr>
          <c:marker>
            <c:symbol val="none"/>
          </c:marker>
          <c:cat>
            <c:multiLvlStrRef>
              <c:f>Sheet1!$A$2:$B$61</c:f>
              <c:multiLvlStrCache>
                <c:ptCount val="56"/>
                <c:lvl>
                  <c:pt idx="0">
                    <c:v>1</c:v>
                  </c:pt>
                  <c:pt idx="1">
                    <c:v>2</c:v>
                  </c:pt>
                  <c:pt idx="2">
                    <c:v>3</c:v>
                  </c:pt>
                  <c:pt idx="3">
                    <c:v>4</c:v>
                  </c:pt>
                  <c:pt idx="4">
                    <c:v>5</c:v>
                  </c:pt>
                  <c:pt idx="5">
                    <c:v>6</c:v>
                  </c:pt>
                  <c:pt idx="6">
                    <c:v>7</c:v>
                  </c:pt>
                  <c:pt idx="7">
                    <c:v>8</c:v>
                  </c:pt>
                  <c:pt idx="8">
                    <c:v>9</c:v>
                  </c:pt>
                  <c:pt idx="9">
                    <c:v>10</c:v>
                  </c:pt>
                  <c:pt idx="10">
                    <c:v>11</c:v>
                  </c:pt>
                  <c:pt idx="11">
                    <c:v>12</c:v>
                  </c:pt>
                  <c:pt idx="12">
                    <c:v>1</c:v>
                  </c:pt>
                  <c:pt idx="13">
                    <c:v>2</c:v>
                  </c:pt>
                  <c:pt idx="14">
                    <c:v>3</c:v>
                  </c:pt>
                  <c:pt idx="15">
                    <c:v>4</c:v>
                  </c:pt>
                  <c:pt idx="16">
                    <c:v>5</c:v>
                  </c:pt>
                  <c:pt idx="17">
                    <c:v>6</c:v>
                  </c:pt>
                  <c:pt idx="18">
                    <c:v>7</c:v>
                  </c:pt>
                  <c:pt idx="19">
                    <c:v>8</c:v>
                  </c:pt>
                  <c:pt idx="20">
                    <c:v>9</c:v>
                  </c:pt>
                  <c:pt idx="21">
                    <c:v>10</c:v>
                  </c:pt>
                  <c:pt idx="22">
                    <c:v>11</c:v>
                  </c:pt>
                  <c:pt idx="23">
                    <c:v>12</c:v>
                  </c:pt>
                  <c:pt idx="24">
                    <c:v>1</c:v>
                  </c:pt>
                  <c:pt idx="25">
                    <c:v>2</c:v>
                  </c:pt>
                  <c:pt idx="26">
                    <c:v>3</c:v>
                  </c:pt>
                  <c:pt idx="27">
                    <c:v>4</c:v>
                  </c:pt>
                  <c:pt idx="28">
                    <c:v>5</c:v>
                  </c:pt>
                  <c:pt idx="29">
                    <c:v>6</c:v>
                  </c:pt>
                  <c:pt idx="30">
                    <c:v>7</c:v>
                  </c:pt>
                  <c:pt idx="31">
                    <c:v>8</c:v>
                  </c:pt>
                  <c:pt idx="32">
                    <c:v>9</c:v>
                  </c:pt>
                  <c:pt idx="33">
                    <c:v>10</c:v>
                  </c:pt>
                  <c:pt idx="34">
                    <c:v>11</c:v>
                  </c:pt>
                  <c:pt idx="35">
                    <c:v>12</c:v>
                  </c:pt>
                  <c:pt idx="36">
                    <c:v>1</c:v>
                  </c:pt>
                  <c:pt idx="37">
                    <c:v>2</c:v>
                  </c:pt>
                  <c:pt idx="38">
                    <c:v>3</c:v>
                  </c:pt>
                  <c:pt idx="39">
                    <c:v>4</c:v>
                  </c:pt>
                  <c:pt idx="40">
                    <c:v>5</c:v>
                  </c:pt>
                  <c:pt idx="41">
                    <c:v>6</c:v>
                  </c:pt>
                  <c:pt idx="42">
                    <c:v>7</c:v>
                  </c:pt>
                  <c:pt idx="43">
                    <c:v>8</c:v>
                  </c:pt>
                  <c:pt idx="44">
                    <c:v>9</c:v>
                  </c:pt>
                  <c:pt idx="45">
                    <c:v>10</c:v>
                  </c:pt>
                  <c:pt idx="46">
                    <c:v>11</c:v>
                  </c:pt>
                  <c:pt idx="47">
                    <c:v>12</c:v>
                  </c:pt>
                  <c:pt idx="48">
                    <c:v>1</c:v>
                  </c:pt>
                  <c:pt idx="49">
                    <c:v>2</c:v>
                  </c:pt>
                  <c:pt idx="50">
                    <c:v>3</c:v>
                  </c:pt>
                  <c:pt idx="51">
                    <c:v>4</c:v>
                  </c:pt>
                  <c:pt idx="52">
                    <c:v>5</c:v>
                  </c:pt>
                  <c:pt idx="53">
                    <c:v>6</c:v>
                  </c:pt>
                  <c:pt idx="54">
                    <c:v>7</c:v>
                  </c:pt>
                  <c:pt idx="55">
                    <c:v>8</c:v>
                  </c:pt>
                </c:lvl>
                <c:lvl>
                  <c:pt idx="0">
                    <c:v>2021</c:v>
                  </c:pt>
                  <c:pt idx="12">
                    <c:v>2022</c:v>
                  </c:pt>
                  <c:pt idx="24">
                    <c:v>2023</c:v>
                  </c:pt>
                  <c:pt idx="36">
                    <c:v>2024</c:v>
                  </c:pt>
                  <c:pt idx="48">
                    <c:v>2025</c:v>
                  </c:pt>
                </c:lvl>
              </c:multiLvlStrCache>
            </c:multiLvlStrRef>
          </c:cat>
          <c:val>
            <c:numRef>
              <c:f>Sheet1!$E$2:$E$61</c:f>
              <c:numCache>
                <c:formatCode>0</c:formatCode>
                <c:ptCount val="56"/>
                <c:pt idx="0">
                  <c:v>100</c:v>
                </c:pt>
                <c:pt idx="1">
                  <c:v>99.57386363636364</c:v>
                </c:pt>
                <c:pt idx="2">
                  <c:v>98.871650211565594</c:v>
                </c:pt>
                <c:pt idx="3">
                  <c:v>101.44717800289436</c:v>
                </c:pt>
                <c:pt idx="4">
                  <c:v>99.57386363636364</c:v>
                </c:pt>
                <c:pt idx="5">
                  <c:v>99.15134370579915</c:v>
                </c:pt>
                <c:pt idx="6">
                  <c:v>105.57228915662652</c:v>
                </c:pt>
                <c:pt idx="7">
                  <c:v>104.94011976047905</c:v>
                </c:pt>
                <c:pt idx="8">
                  <c:v>104.6268656716418</c:v>
                </c:pt>
                <c:pt idx="9">
                  <c:v>104.47093889716841</c:v>
                </c:pt>
                <c:pt idx="10">
                  <c:v>106.85975609756099</c:v>
                </c:pt>
                <c:pt idx="11">
                  <c:v>106.53495440729483</c:v>
                </c:pt>
                <c:pt idx="12">
                  <c:v>110.91772151898734</c:v>
                </c:pt>
                <c:pt idx="13">
                  <c:v>113.79870129870129</c:v>
                </c:pt>
                <c:pt idx="14">
                  <c:v>145.13457556935819</c:v>
                </c:pt>
                <c:pt idx="15">
                  <c:v>114.91803278688526</c:v>
                </c:pt>
                <c:pt idx="16">
                  <c:v>97.768479776847997</c:v>
                </c:pt>
                <c:pt idx="17">
                  <c:v>93.716577540106968</c:v>
                </c:pt>
                <c:pt idx="18">
                  <c:v>99.573863636363654</c:v>
                </c:pt>
                <c:pt idx="19">
                  <c:v>104.31547619047622</c:v>
                </c:pt>
                <c:pt idx="20">
                  <c:v>101.59420289855075</c:v>
                </c:pt>
                <c:pt idx="21">
                  <c:v>106.85975609756102</c:v>
                </c:pt>
                <c:pt idx="22">
                  <c:v>107.84615384615388</c:v>
                </c:pt>
                <c:pt idx="23">
                  <c:v>117.02838063439067</c:v>
                </c:pt>
                <c:pt idx="24">
                  <c:v>122.7670753064799</c:v>
                </c:pt>
                <c:pt idx="25">
                  <c:v>130.54003724394789</c:v>
                </c:pt>
                <c:pt idx="26">
                  <c:v>137.45098039215691</c:v>
                </c:pt>
                <c:pt idx="27">
                  <c:v>146.652719665272</c:v>
                </c:pt>
                <c:pt idx="28">
                  <c:v>143.6475409836066</c:v>
                </c:pt>
                <c:pt idx="29">
                  <c:v>151.40388768898492</c:v>
                </c:pt>
                <c:pt idx="30">
                  <c:v>164.168618266979</c:v>
                </c:pt>
                <c:pt idx="31">
                  <c:v>173.51485148514857</c:v>
                </c:pt>
                <c:pt idx="32">
                  <c:v>175.25000000000006</c:v>
                </c:pt>
                <c:pt idx="33">
                  <c:v>167.70334928229673</c:v>
                </c:pt>
                <c:pt idx="34">
                  <c:v>157.17488789237674</c:v>
                </c:pt>
                <c:pt idx="35">
                  <c:v>157.5280898876405</c:v>
                </c:pt>
                <c:pt idx="36">
                  <c:v>154.4052863436124</c:v>
                </c:pt>
                <c:pt idx="37">
                  <c:v>158.95691609977331</c:v>
                </c:pt>
                <c:pt idx="38">
                  <c:v>160.77981651376152</c:v>
                </c:pt>
                <c:pt idx="39">
                  <c:v>166.90476190476198</c:v>
                </c:pt>
                <c:pt idx="40">
                  <c:v>164.16861826697902</c:v>
                </c:pt>
                <c:pt idx="41">
                  <c:v>158.59728506787337</c:v>
                </c:pt>
                <c:pt idx="42">
                  <c:v>157.88288288288294</c:v>
                </c:pt>
                <c:pt idx="43">
                  <c:v>160.0456621004567</c:v>
                </c:pt>
                <c:pt idx="44">
                  <c:v>165.33018867924534</c:v>
                </c:pt>
                <c:pt idx="45">
                  <c:v>174.3781094527364</c:v>
                </c:pt>
                <c:pt idx="46">
                  <c:v>182.07792207792215</c:v>
                </c:pt>
                <c:pt idx="47">
                  <c:v>181.60621761658041</c:v>
                </c:pt>
                <c:pt idx="48">
                  <c:v>178.82653061224499</c:v>
                </c:pt>
                <c:pt idx="49">
                  <c:v>163.0232558139536</c:v>
                </c:pt>
                <c:pt idx="50">
                  <c:v>153.05676855895206</c:v>
                </c:pt>
                <c:pt idx="51">
                  <c:v>149.14893617021286</c:v>
                </c:pt>
                <c:pt idx="52">
                  <c:v>146.04166666666677</c:v>
                </c:pt>
                <c:pt idx="53">
                  <c:v>143.64754098360666</c:v>
                </c:pt>
                <c:pt idx="54">
                  <c:v>143.94250513347032</c:v>
                </c:pt>
                <c:pt idx="55">
                  <c:v>146.65271966527206</c:v>
                </c:pt>
              </c:numCache>
            </c:numRef>
          </c:val>
          <c:smooth val="0"/>
          <c:extLst>
            <c:ext xmlns:c16="http://schemas.microsoft.com/office/drawing/2014/chart" uri="{C3380CC4-5D6E-409C-BE32-E72D297353CC}">
              <c16:uniqueId val="{00000001-E734-45A8-8F10-8108F7A25088}"/>
            </c:ext>
          </c:extLst>
        </c:ser>
        <c:ser>
          <c:idx val="2"/>
          <c:order val="2"/>
          <c:tx>
            <c:strRef>
              <c:f>Sheet1!$D$1</c:f>
              <c:strCache>
                <c:ptCount val="1"/>
                <c:pt idx="0">
                  <c:v>Եվրո</c:v>
                </c:pt>
              </c:strCache>
            </c:strRef>
          </c:tx>
          <c:spPr>
            <a:ln w="28575" cap="rnd">
              <a:solidFill>
                <a:schemeClr val="accent3"/>
              </a:solidFill>
              <a:round/>
            </a:ln>
            <a:effectLst/>
          </c:spPr>
          <c:marker>
            <c:symbol val="none"/>
          </c:marker>
          <c:cat>
            <c:multiLvlStrRef>
              <c:f>Sheet1!$A$2:$B$61</c:f>
              <c:multiLvlStrCache>
                <c:ptCount val="56"/>
                <c:lvl>
                  <c:pt idx="0">
                    <c:v>1</c:v>
                  </c:pt>
                  <c:pt idx="1">
                    <c:v>2</c:v>
                  </c:pt>
                  <c:pt idx="2">
                    <c:v>3</c:v>
                  </c:pt>
                  <c:pt idx="3">
                    <c:v>4</c:v>
                  </c:pt>
                  <c:pt idx="4">
                    <c:v>5</c:v>
                  </c:pt>
                  <c:pt idx="5">
                    <c:v>6</c:v>
                  </c:pt>
                  <c:pt idx="6">
                    <c:v>7</c:v>
                  </c:pt>
                  <c:pt idx="7">
                    <c:v>8</c:v>
                  </c:pt>
                  <c:pt idx="8">
                    <c:v>9</c:v>
                  </c:pt>
                  <c:pt idx="9">
                    <c:v>10</c:v>
                  </c:pt>
                  <c:pt idx="10">
                    <c:v>11</c:v>
                  </c:pt>
                  <c:pt idx="11">
                    <c:v>12</c:v>
                  </c:pt>
                  <c:pt idx="12">
                    <c:v>1</c:v>
                  </c:pt>
                  <c:pt idx="13">
                    <c:v>2</c:v>
                  </c:pt>
                  <c:pt idx="14">
                    <c:v>3</c:v>
                  </c:pt>
                  <c:pt idx="15">
                    <c:v>4</c:v>
                  </c:pt>
                  <c:pt idx="16">
                    <c:v>5</c:v>
                  </c:pt>
                  <c:pt idx="17">
                    <c:v>6</c:v>
                  </c:pt>
                  <c:pt idx="18">
                    <c:v>7</c:v>
                  </c:pt>
                  <c:pt idx="19">
                    <c:v>8</c:v>
                  </c:pt>
                  <c:pt idx="20">
                    <c:v>9</c:v>
                  </c:pt>
                  <c:pt idx="21">
                    <c:v>10</c:v>
                  </c:pt>
                  <c:pt idx="22">
                    <c:v>11</c:v>
                  </c:pt>
                  <c:pt idx="23">
                    <c:v>12</c:v>
                  </c:pt>
                  <c:pt idx="24">
                    <c:v>1</c:v>
                  </c:pt>
                  <c:pt idx="25">
                    <c:v>2</c:v>
                  </c:pt>
                  <c:pt idx="26">
                    <c:v>3</c:v>
                  </c:pt>
                  <c:pt idx="27">
                    <c:v>4</c:v>
                  </c:pt>
                  <c:pt idx="28">
                    <c:v>5</c:v>
                  </c:pt>
                  <c:pt idx="29">
                    <c:v>6</c:v>
                  </c:pt>
                  <c:pt idx="30">
                    <c:v>7</c:v>
                  </c:pt>
                  <c:pt idx="31">
                    <c:v>8</c:v>
                  </c:pt>
                  <c:pt idx="32">
                    <c:v>9</c:v>
                  </c:pt>
                  <c:pt idx="33">
                    <c:v>10</c:v>
                  </c:pt>
                  <c:pt idx="34">
                    <c:v>11</c:v>
                  </c:pt>
                  <c:pt idx="35">
                    <c:v>12</c:v>
                  </c:pt>
                  <c:pt idx="36">
                    <c:v>1</c:v>
                  </c:pt>
                  <c:pt idx="37">
                    <c:v>2</c:v>
                  </c:pt>
                  <c:pt idx="38">
                    <c:v>3</c:v>
                  </c:pt>
                  <c:pt idx="39">
                    <c:v>4</c:v>
                  </c:pt>
                  <c:pt idx="40">
                    <c:v>5</c:v>
                  </c:pt>
                  <c:pt idx="41">
                    <c:v>6</c:v>
                  </c:pt>
                  <c:pt idx="42">
                    <c:v>7</c:v>
                  </c:pt>
                  <c:pt idx="43">
                    <c:v>8</c:v>
                  </c:pt>
                  <c:pt idx="44">
                    <c:v>9</c:v>
                  </c:pt>
                  <c:pt idx="45">
                    <c:v>10</c:v>
                  </c:pt>
                  <c:pt idx="46">
                    <c:v>11</c:v>
                  </c:pt>
                  <c:pt idx="47">
                    <c:v>12</c:v>
                  </c:pt>
                  <c:pt idx="48">
                    <c:v>1</c:v>
                  </c:pt>
                  <c:pt idx="49">
                    <c:v>2</c:v>
                  </c:pt>
                  <c:pt idx="50">
                    <c:v>3</c:v>
                  </c:pt>
                  <c:pt idx="51">
                    <c:v>4</c:v>
                  </c:pt>
                  <c:pt idx="52">
                    <c:v>5</c:v>
                  </c:pt>
                  <c:pt idx="53">
                    <c:v>6</c:v>
                  </c:pt>
                  <c:pt idx="54">
                    <c:v>7</c:v>
                  </c:pt>
                  <c:pt idx="55">
                    <c:v>8</c:v>
                  </c:pt>
                </c:lvl>
                <c:lvl>
                  <c:pt idx="0">
                    <c:v>2021</c:v>
                  </c:pt>
                  <c:pt idx="12">
                    <c:v>2022</c:v>
                  </c:pt>
                  <c:pt idx="24">
                    <c:v>2023</c:v>
                  </c:pt>
                  <c:pt idx="36">
                    <c:v>2024</c:v>
                  </c:pt>
                  <c:pt idx="48">
                    <c:v>2025</c:v>
                  </c:pt>
                </c:lvl>
              </c:multiLvlStrCache>
            </c:multiLvlStrRef>
          </c:cat>
          <c:val>
            <c:numRef>
              <c:f>Sheet1!$D$2:$D$61</c:f>
              <c:numCache>
                <c:formatCode>0</c:formatCode>
                <c:ptCount val="56"/>
                <c:pt idx="0">
                  <c:v>100</c:v>
                </c:pt>
                <c:pt idx="1">
                  <c:v>99.936850746739921</c:v>
                </c:pt>
                <c:pt idx="2">
                  <c:v>100.79454803114501</c:v>
                </c:pt>
                <c:pt idx="3">
                  <c:v>100.72878874673795</c:v>
                </c:pt>
                <c:pt idx="4">
                  <c:v>99.96999415675684</c:v>
                </c:pt>
                <c:pt idx="5">
                  <c:v>102.36085508230653</c:v>
                </c:pt>
                <c:pt idx="6">
                  <c:v>109.08683589239862</c:v>
                </c:pt>
                <c:pt idx="7">
                  <c:v>109.36576769578963</c:v>
                </c:pt>
                <c:pt idx="8">
                  <c:v>110.12490866706096</c:v>
                </c:pt>
                <c:pt idx="9">
                  <c:v>113.88119310617779</c:v>
                </c:pt>
                <c:pt idx="10">
                  <c:v>116.1121097619135</c:v>
                </c:pt>
                <c:pt idx="11">
                  <c:v>115.47034895386803</c:v>
                </c:pt>
                <c:pt idx="12">
                  <c:v>115.88466819221966</c:v>
                </c:pt>
                <c:pt idx="13">
                  <c:v>116.2635223244623</c:v>
                </c:pt>
                <c:pt idx="14">
                  <c:v>115.55677254472434</c:v>
                </c:pt>
                <c:pt idx="15">
                  <c:v>124.15078057582173</c:v>
                </c:pt>
                <c:pt idx="16">
                  <c:v>131.06275492246212</c:v>
                </c:pt>
                <c:pt idx="17">
                  <c:v>141.61838072440094</c:v>
                </c:pt>
                <c:pt idx="18">
                  <c:v>151.30987666124861</c:v>
                </c:pt>
                <c:pt idx="19">
                  <c:v>154.03445590811754</c:v>
                </c:pt>
                <c:pt idx="20">
                  <c:v>156.14316371081119</c:v>
                </c:pt>
                <c:pt idx="21">
                  <c:v>159.94239223811201</c:v>
                </c:pt>
                <c:pt idx="22">
                  <c:v>157.02237436126399</c:v>
                </c:pt>
                <c:pt idx="23">
                  <c:v>151.54533049244682</c:v>
                </c:pt>
                <c:pt idx="24">
                  <c:v>148.15109530050543</c:v>
                </c:pt>
                <c:pt idx="25">
                  <c:v>150.11857332574453</c:v>
                </c:pt>
                <c:pt idx="26">
                  <c:v>152.13901172851365</c:v>
                </c:pt>
                <c:pt idx="27">
                  <c:v>148.91434754993051</c:v>
                </c:pt>
                <c:pt idx="28">
                  <c:v>150.79085278704133</c:v>
                </c:pt>
                <c:pt idx="29">
                  <c:v>151.03189941068393</c:v>
                </c:pt>
                <c:pt idx="30">
                  <c:v>147.9675556906102</c:v>
                </c:pt>
                <c:pt idx="31">
                  <c:v>150.25397578922369</c:v>
                </c:pt>
                <c:pt idx="32">
                  <c:v>153.0771648973471</c:v>
                </c:pt>
                <c:pt idx="33">
                  <c:v>148.24477178520397</c:v>
                </c:pt>
                <c:pt idx="34">
                  <c:v>145.56199411331849</c:v>
                </c:pt>
                <c:pt idx="35">
                  <c:v>143.37938844847099</c:v>
                </c:pt>
                <c:pt idx="36">
                  <c:v>143.41512041505231</c:v>
                </c:pt>
                <c:pt idx="37">
                  <c:v>145.1015449502589</c:v>
                </c:pt>
                <c:pt idx="38">
                  <c:v>145.48839347276473</c:v>
                </c:pt>
                <c:pt idx="39">
                  <c:v>150.85553596110751</c:v>
                </c:pt>
                <c:pt idx="40">
                  <c:v>150.94906524227378</c:v>
                </c:pt>
                <c:pt idx="41">
                  <c:v>151.59977009292061</c:v>
                </c:pt>
                <c:pt idx="42">
                  <c:v>150.40391560539805</c:v>
                </c:pt>
                <c:pt idx="43">
                  <c:v>148.13722737058862</c:v>
                </c:pt>
                <c:pt idx="44">
                  <c:v>147.11815561959639</c:v>
                </c:pt>
                <c:pt idx="45">
                  <c:v>149.90172630183034</c:v>
                </c:pt>
                <c:pt idx="46">
                  <c:v>153.14752987855022</c:v>
                </c:pt>
                <c:pt idx="47">
                  <c:v>152.4247531904646</c:v>
                </c:pt>
                <c:pt idx="48">
                  <c:v>153.69785849560517</c:v>
                </c:pt>
                <c:pt idx="49">
                  <c:v>153.67547096523583</c:v>
                </c:pt>
                <c:pt idx="50">
                  <c:v>149.11429379063401</c:v>
                </c:pt>
                <c:pt idx="51">
                  <c:v>144.37348902978596</c:v>
                </c:pt>
                <c:pt idx="52">
                  <c:v>145.16143826820755</c:v>
                </c:pt>
                <c:pt idx="53">
                  <c:v>143.03920460964849</c:v>
                </c:pt>
                <c:pt idx="54">
                  <c:v>141.08181595310779</c:v>
                </c:pt>
                <c:pt idx="55">
                  <c:v>141.99641094661266</c:v>
                </c:pt>
              </c:numCache>
            </c:numRef>
          </c:val>
          <c:smooth val="0"/>
          <c:extLst>
            <c:ext xmlns:c16="http://schemas.microsoft.com/office/drawing/2014/chart" uri="{C3380CC4-5D6E-409C-BE32-E72D297353CC}">
              <c16:uniqueId val="{00000002-E734-45A8-8F10-8108F7A25088}"/>
            </c:ext>
          </c:extLst>
        </c:ser>
        <c:dLbls>
          <c:showLegendKey val="0"/>
          <c:showVal val="0"/>
          <c:showCatName val="0"/>
          <c:showSerName val="0"/>
          <c:showPercent val="0"/>
          <c:showBubbleSize val="0"/>
        </c:dLbls>
        <c:smooth val="0"/>
        <c:axId val="-676723312"/>
        <c:axId val="-676714064"/>
      </c:lineChart>
      <c:catAx>
        <c:axId val="-67672331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1" i="0" u="none" strike="noStrike" kern="1200" baseline="0">
                <a:solidFill>
                  <a:schemeClr val="tx1">
                    <a:lumMod val="65000"/>
                    <a:lumOff val="35000"/>
                  </a:schemeClr>
                </a:solidFill>
                <a:latin typeface="Calibri" panose="020F0502020204030204" pitchFamily="34" charset="0"/>
                <a:ea typeface="Calibri" panose="020F0502020204030204" pitchFamily="34" charset="0"/>
                <a:cs typeface="Calibri" panose="020F0502020204030204" pitchFamily="34" charset="0"/>
              </a:defRPr>
            </a:pPr>
            <a:endParaRPr lang="en-US"/>
          </a:p>
        </c:txPr>
        <c:crossAx val="-676714064"/>
        <c:crosses val="autoZero"/>
        <c:auto val="1"/>
        <c:lblAlgn val="ctr"/>
        <c:lblOffset val="100"/>
        <c:noMultiLvlLbl val="0"/>
      </c:catAx>
      <c:valAx>
        <c:axId val="-676714064"/>
        <c:scaling>
          <c:orientation val="minMax"/>
          <c:min val="70"/>
        </c:scaling>
        <c:delete val="0"/>
        <c:axPos val="l"/>
        <c:title>
          <c:tx>
            <c:rich>
              <a:bodyPr rot="-5400000" spcFirstLastPara="1" vertOverflow="ellipsis" vert="horz" wrap="square" anchor="ctr" anchorCtr="1"/>
              <a:lstStyle/>
              <a:p>
                <a:pPr>
                  <a:defRPr sz="800" b="0" i="0" u="none" strike="noStrike" kern="1200" baseline="0">
                    <a:solidFill>
                      <a:schemeClr val="tx1">
                        <a:lumMod val="65000"/>
                        <a:lumOff val="35000"/>
                      </a:schemeClr>
                    </a:solidFill>
                    <a:latin typeface="Calibri" panose="020F0502020204030204" pitchFamily="34" charset="0"/>
                    <a:ea typeface="Calibri" panose="020F0502020204030204" pitchFamily="34" charset="0"/>
                    <a:cs typeface="Calibri" panose="020F0502020204030204" pitchFamily="34" charset="0"/>
                  </a:defRPr>
                </a:pPr>
                <a:r>
                  <a:rPr lang="hy-AM"/>
                  <a:t>Ինդեքս, 2020թ. հունվար </a:t>
                </a:r>
                <a:r>
                  <a:rPr lang="en-US"/>
                  <a:t>=</a:t>
                </a:r>
                <a:r>
                  <a:rPr lang="hy-AM"/>
                  <a:t>100</a:t>
                </a:r>
                <a:endParaRPr lang="en-US"/>
              </a:p>
            </c:rich>
          </c:tx>
          <c:overlay val="0"/>
          <c:spPr>
            <a:noFill/>
            <a:ln>
              <a:noFill/>
            </a:ln>
            <a:effectLst/>
          </c:spPr>
          <c:txPr>
            <a:bodyPr rot="-5400000" spcFirstLastPara="1" vertOverflow="ellipsis" vert="horz" wrap="square" anchor="ctr" anchorCtr="1"/>
            <a:lstStyle/>
            <a:p>
              <a:pPr>
                <a:defRPr sz="800" b="0" i="0" u="none" strike="noStrike" kern="1200" baseline="0">
                  <a:solidFill>
                    <a:schemeClr val="tx1">
                      <a:lumMod val="65000"/>
                      <a:lumOff val="35000"/>
                    </a:schemeClr>
                  </a:solidFill>
                  <a:latin typeface="Calibri" panose="020F0502020204030204" pitchFamily="34" charset="0"/>
                  <a:ea typeface="Calibri" panose="020F0502020204030204" pitchFamily="34" charset="0"/>
                  <a:cs typeface="Calibri" panose="020F0502020204030204" pitchFamily="34" charset="0"/>
                </a:defRPr>
              </a:pPr>
              <a:endParaRPr lang="en-US"/>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bg1">
                    <a:lumMod val="65000"/>
                  </a:schemeClr>
                </a:solidFill>
                <a:latin typeface="Calibri" panose="020F0502020204030204" pitchFamily="34" charset="0"/>
                <a:ea typeface="Calibri" panose="020F0502020204030204" pitchFamily="34" charset="0"/>
                <a:cs typeface="Calibri" panose="020F0502020204030204" pitchFamily="34" charset="0"/>
              </a:defRPr>
            </a:pPr>
            <a:endParaRPr lang="en-US"/>
          </a:p>
        </c:txPr>
        <c:crossAx val="-67672331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800" b="0" i="0" u="none" strike="noStrike" kern="1200" baseline="0">
              <a:solidFill>
                <a:schemeClr val="tx1">
                  <a:lumMod val="65000"/>
                  <a:lumOff val="35000"/>
                </a:schemeClr>
              </a:solidFill>
              <a:latin typeface="Calibri" panose="020F0502020204030204" pitchFamily="34" charset="0"/>
              <a:ea typeface="Calibri" panose="020F0502020204030204" pitchFamily="34" charset="0"/>
              <a:cs typeface="Calibri" panose="020F0502020204030204" pitchFamily="34" charset="0"/>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noFill/>
    <a:ln w="19050" cap="flat" cmpd="sng" algn="ctr">
      <a:solidFill>
        <a:sysClr val="window" lastClr="FFFFFF"/>
      </a:solidFill>
      <a:round/>
    </a:ln>
    <a:effectLst/>
  </c:spPr>
  <c:txPr>
    <a:bodyPr/>
    <a:lstStyle/>
    <a:p>
      <a:pPr>
        <a:defRPr sz="800">
          <a:latin typeface="Calibri" panose="020F0502020204030204" pitchFamily="34" charset="0"/>
          <a:ea typeface="Calibri" panose="020F0502020204030204" pitchFamily="34" charset="0"/>
          <a:cs typeface="Calibri" panose="020F0502020204030204" pitchFamily="34" charset="0"/>
        </a:defRPr>
      </a:pPr>
      <a:endParaRPr lang="en-US"/>
    </a:p>
  </c:txPr>
  <c:externalData r:id="rId4">
    <c:autoUpdate val="0"/>
  </c:externalData>
</c:chartSpace>
</file>

<file path=word/charts/chart3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7305131780402452"/>
          <c:y val="7.6388888888888895E-2"/>
          <c:w val="0.7488236821959755"/>
          <c:h val="0.52186953193350827"/>
        </c:manualLayout>
      </c:layout>
      <c:lineChart>
        <c:grouping val="standard"/>
        <c:varyColors val="0"/>
        <c:ser>
          <c:idx val="0"/>
          <c:order val="0"/>
          <c:tx>
            <c:strRef>
              <c:f>Sheet1!$C$1</c:f>
              <c:strCache>
                <c:ptCount val="1"/>
                <c:pt idx="0">
                  <c:v>Իրական</c:v>
                </c:pt>
              </c:strCache>
            </c:strRef>
          </c:tx>
          <c:spPr>
            <a:ln w="28575" cap="rnd">
              <a:solidFill>
                <a:schemeClr val="accent1">
                  <a:lumMod val="75000"/>
                </a:schemeClr>
              </a:solidFill>
              <a:round/>
            </a:ln>
            <a:effectLst/>
          </c:spPr>
          <c:marker>
            <c:symbol val="none"/>
          </c:marker>
          <c:cat>
            <c:multiLvlStrRef>
              <c:f>Sheet1!$A$26:$B$85</c:f>
              <c:multiLvlStrCache>
                <c:ptCount val="55"/>
                <c:lvl>
                  <c:pt idx="0">
                    <c:v>1</c:v>
                  </c:pt>
                  <c:pt idx="1">
                    <c:v>2</c:v>
                  </c:pt>
                  <c:pt idx="2">
                    <c:v>3</c:v>
                  </c:pt>
                  <c:pt idx="3">
                    <c:v>4</c:v>
                  </c:pt>
                  <c:pt idx="4">
                    <c:v>5</c:v>
                  </c:pt>
                  <c:pt idx="5">
                    <c:v>6</c:v>
                  </c:pt>
                  <c:pt idx="6">
                    <c:v>7</c:v>
                  </c:pt>
                  <c:pt idx="7">
                    <c:v>8</c:v>
                  </c:pt>
                  <c:pt idx="8">
                    <c:v>9</c:v>
                  </c:pt>
                  <c:pt idx="9">
                    <c:v>10</c:v>
                  </c:pt>
                  <c:pt idx="10">
                    <c:v>11</c:v>
                  </c:pt>
                  <c:pt idx="11">
                    <c:v>12</c:v>
                  </c:pt>
                  <c:pt idx="12">
                    <c:v>1</c:v>
                  </c:pt>
                  <c:pt idx="13">
                    <c:v>2</c:v>
                  </c:pt>
                  <c:pt idx="14">
                    <c:v>3</c:v>
                  </c:pt>
                  <c:pt idx="15">
                    <c:v>4</c:v>
                  </c:pt>
                  <c:pt idx="16">
                    <c:v>5</c:v>
                  </c:pt>
                  <c:pt idx="17">
                    <c:v>6</c:v>
                  </c:pt>
                  <c:pt idx="18">
                    <c:v>7</c:v>
                  </c:pt>
                  <c:pt idx="19">
                    <c:v>8</c:v>
                  </c:pt>
                  <c:pt idx="20">
                    <c:v>9</c:v>
                  </c:pt>
                  <c:pt idx="21">
                    <c:v>10</c:v>
                  </c:pt>
                  <c:pt idx="22">
                    <c:v>11</c:v>
                  </c:pt>
                  <c:pt idx="23">
                    <c:v>12</c:v>
                  </c:pt>
                  <c:pt idx="24">
                    <c:v>1</c:v>
                  </c:pt>
                  <c:pt idx="25">
                    <c:v>2</c:v>
                  </c:pt>
                  <c:pt idx="26">
                    <c:v>3</c:v>
                  </c:pt>
                  <c:pt idx="27">
                    <c:v>4</c:v>
                  </c:pt>
                  <c:pt idx="28">
                    <c:v>5</c:v>
                  </c:pt>
                  <c:pt idx="29">
                    <c:v>6</c:v>
                  </c:pt>
                  <c:pt idx="30">
                    <c:v>7</c:v>
                  </c:pt>
                  <c:pt idx="31">
                    <c:v>8</c:v>
                  </c:pt>
                  <c:pt idx="32">
                    <c:v>9</c:v>
                  </c:pt>
                  <c:pt idx="33">
                    <c:v>10</c:v>
                  </c:pt>
                  <c:pt idx="34">
                    <c:v>11</c:v>
                  </c:pt>
                  <c:pt idx="35">
                    <c:v>12</c:v>
                  </c:pt>
                  <c:pt idx="36">
                    <c:v>1</c:v>
                  </c:pt>
                  <c:pt idx="37">
                    <c:v>2</c:v>
                  </c:pt>
                  <c:pt idx="38">
                    <c:v>3</c:v>
                  </c:pt>
                  <c:pt idx="39">
                    <c:v>4</c:v>
                  </c:pt>
                  <c:pt idx="40">
                    <c:v>5</c:v>
                  </c:pt>
                  <c:pt idx="41">
                    <c:v>6</c:v>
                  </c:pt>
                  <c:pt idx="42">
                    <c:v>7</c:v>
                  </c:pt>
                  <c:pt idx="43">
                    <c:v>8</c:v>
                  </c:pt>
                  <c:pt idx="44">
                    <c:v>9</c:v>
                  </c:pt>
                  <c:pt idx="45">
                    <c:v>10</c:v>
                  </c:pt>
                  <c:pt idx="46">
                    <c:v>11</c:v>
                  </c:pt>
                  <c:pt idx="47">
                    <c:v>12</c:v>
                  </c:pt>
                  <c:pt idx="48">
                    <c:v>1</c:v>
                  </c:pt>
                  <c:pt idx="49">
                    <c:v>2</c:v>
                  </c:pt>
                  <c:pt idx="50">
                    <c:v>3</c:v>
                  </c:pt>
                  <c:pt idx="51">
                    <c:v>4</c:v>
                  </c:pt>
                  <c:pt idx="52">
                    <c:v>5</c:v>
                  </c:pt>
                  <c:pt idx="53">
                    <c:v>6</c:v>
                  </c:pt>
                  <c:pt idx="54">
                    <c:v>7</c:v>
                  </c:pt>
                </c:lvl>
                <c:lvl>
                  <c:pt idx="0">
                    <c:v>2021</c:v>
                  </c:pt>
                  <c:pt idx="12">
                    <c:v>2022</c:v>
                  </c:pt>
                  <c:pt idx="24">
                    <c:v>2023</c:v>
                  </c:pt>
                  <c:pt idx="36">
                    <c:v>2024</c:v>
                  </c:pt>
                  <c:pt idx="48">
                    <c:v>2025</c:v>
                  </c:pt>
                </c:lvl>
              </c:multiLvlStrCache>
            </c:multiLvlStrRef>
          </c:cat>
          <c:val>
            <c:numRef>
              <c:f>Sheet1!$C$2:$C$85</c:f>
              <c:numCache>
                <c:formatCode>0.0</c:formatCode>
                <c:ptCount val="55"/>
                <c:pt idx="0">
                  <c:v>8.2002902757619722</c:v>
                </c:pt>
                <c:pt idx="1">
                  <c:v>7.0840658462521873</c:v>
                </c:pt>
                <c:pt idx="2">
                  <c:v>5.9727411461348225</c:v>
                </c:pt>
                <c:pt idx="3">
                  <c:v>5.0957645593273213</c:v>
                </c:pt>
                <c:pt idx="4">
                  <c:v>4.1622264436516474</c:v>
                </c:pt>
                <c:pt idx="5">
                  <c:v>4.1696704428424454</c:v>
                </c:pt>
                <c:pt idx="6">
                  <c:v>5.2079990261285332</c:v>
                </c:pt>
                <c:pt idx="7">
                  <c:v>6.0573692489949877</c:v>
                </c:pt>
                <c:pt idx="8">
                  <c:v>6.611413113932386</c:v>
                </c:pt>
                <c:pt idx="9">
                  <c:v>7.20985809143491</c:v>
                </c:pt>
                <c:pt idx="10">
                  <c:v>8.1720811462618883</c:v>
                </c:pt>
                <c:pt idx="11">
                  <c:v>9.4081981993754198</c:v>
                </c:pt>
                <c:pt idx="12">
                  <c:v>27.490871152842985</c:v>
                </c:pt>
                <c:pt idx="13">
                  <c:v>27.31614491996568</c:v>
                </c:pt>
                <c:pt idx="14">
                  <c:v>29.084318204389746</c:v>
                </c:pt>
                <c:pt idx="15">
                  <c:v>28.964329369929999</c:v>
                </c:pt>
                <c:pt idx="16">
                  <c:v>29.188660221813677</c:v>
                </c:pt>
                <c:pt idx="17">
                  <c:v>30.179562278327722</c:v>
                </c:pt>
                <c:pt idx="18">
                  <c:v>30.525839670968878</c:v>
                </c:pt>
                <c:pt idx="19">
                  <c:v>31.224134773850921</c:v>
                </c:pt>
                <c:pt idx="20">
                  <c:v>31.842022065678208</c:v>
                </c:pt>
                <c:pt idx="21">
                  <c:v>32.523506988564151</c:v>
                </c:pt>
                <c:pt idx="22">
                  <c:v>32.959783870269689</c:v>
                </c:pt>
                <c:pt idx="23">
                  <c:v>33.422111813111343</c:v>
                </c:pt>
                <c:pt idx="24">
                  <c:v>35.54477437456157</c:v>
                </c:pt>
                <c:pt idx="25">
                  <c:v>37.919817126780373</c:v>
                </c:pt>
                <c:pt idx="26">
                  <c:v>37.462973648778586</c:v>
                </c:pt>
                <c:pt idx="27">
                  <c:v>37.948960981143983</c:v>
                </c:pt>
                <c:pt idx="28">
                  <c:v>37.945598530930766</c:v>
                </c:pt>
                <c:pt idx="29">
                  <c:v>37.11030947408392</c:v>
                </c:pt>
                <c:pt idx="30">
                  <c:v>36.103701435283284</c:v>
                </c:pt>
                <c:pt idx="31">
                  <c:v>35.222539299344845</c:v>
                </c:pt>
                <c:pt idx="32">
                  <c:v>34.682948124373638</c:v>
                </c:pt>
                <c:pt idx="33">
                  <c:v>33.307399818100151</c:v>
                </c:pt>
                <c:pt idx="34">
                  <c:v>31.679037309200311</c:v>
                </c:pt>
                <c:pt idx="35">
                  <c:v>30.038581006686769</c:v>
                </c:pt>
                <c:pt idx="36">
                  <c:v>8.0296692397257488</c:v>
                </c:pt>
                <c:pt idx="37">
                  <c:v>6.6424427870211105</c:v>
                </c:pt>
                <c:pt idx="38">
                  <c:v>5.8796367554255795</c:v>
                </c:pt>
                <c:pt idx="39">
                  <c:v>6.2025026546461532</c:v>
                </c:pt>
                <c:pt idx="40">
                  <c:v>6.3972643769967874</c:v>
                </c:pt>
                <c:pt idx="41">
                  <c:v>6.0388279605627417</c:v>
                </c:pt>
                <c:pt idx="42">
                  <c:v>5.4047972904960062</c:v>
                </c:pt>
                <c:pt idx="43">
                  <c:v>4.6546786718608928</c:v>
                </c:pt>
                <c:pt idx="44">
                  <c:v>3.9521198646865798</c:v>
                </c:pt>
                <c:pt idx="45">
                  <c:v>4.0795692737659834</c:v>
                </c:pt>
                <c:pt idx="46">
                  <c:v>4.7277330626706657</c:v>
                </c:pt>
                <c:pt idx="47">
                  <c:v>5.373786741928825</c:v>
                </c:pt>
                <c:pt idx="48">
                  <c:v>7.9318190890583367</c:v>
                </c:pt>
                <c:pt idx="49">
                  <c:v>5.7803813736625074</c:v>
                </c:pt>
                <c:pt idx="50">
                  <c:v>3.9051659199936637</c:v>
                </c:pt>
                <c:pt idx="51">
                  <c:v>1.6556226474278475</c:v>
                </c:pt>
                <c:pt idx="52">
                  <c:v>0.47700596648445526</c:v>
                </c:pt>
                <c:pt idx="53">
                  <c:v>-0.24942215025400571</c:v>
                </c:pt>
                <c:pt idx="54">
                  <c:v>-0.73476954189256105</c:v>
                </c:pt>
              </c:numCache>
            </c:numRef>
          </c:val>
          <c:smooth val="0"/>
          <c:extLst>
            <c:ext xmlns:c16="http://schemas.microsoft.com/office/drawing/2014/chart" uri="{C3380CC4-5D6E-409C-BE32-E72D297353CC}">
              <c16:uniqueId val="{00000000-47DF-4F9E-BE50-EC73175F5733}"/>
            </c:ext>
          </c:extLst>
        </c:ser>
        <c:ser>
          <c:idx val="1"/>
          <c:order val="1"/>
          <c:tx>
            <c:strRef>
              <c:f>Sheet1!$D$1</c:f>
              <c:strCache>
                <c:ptCount val="1"/>
                <c:pt idx="0">
                  <c:v>Անվանական</c:v>
                </c:pt>
              </c:strCache>
            </c:strRef>
          </c:tx>
          <c:spPr>
            <a:ln w="28575" cap="rnd">
              <a:solidFill>
                <a:schemeClr val="accent2"/>
              </a:solidFill>
              <a:round/>
            </a:ln>
            <a:effectLst/>
          </c:spPr>
          <c:marker>
            <c:symbol val="none"/>
          </c:marker>
          <c:cat>
            <c:multiLvlStrRef>
              <c:f>Sheet1!$A$26:$B$85</c:f>
              <c:multiLvlStrCache>
                <c:ptCount val="55"/>
                <c:lvl>
                  <c:pt idx="0">
                    <c:v>1</c:v>
                  </c:pt>
                  <c:pt idx="1">
                    <c:v>2</c:v>
                  </c:pt>
                  <c:pt idx="2">
                    <c:v>3</c:v>
                  </c:pt>
                  <c:pt idx="3">
                    <c:v>4</c:v>
                  </c:pt>
                  <c:pt idx="4">
                    <c:v>5</c:v>
                  </c:pt>
                  <c:pt idx="5">
                    <c:v>6</c:v>
                  </c:pt>
                  <c:pt idx="6">
                    <c:v>7</c:v>
                  </c:pt>
                  <c:pt idx="7">
                    <c:v>8</c:v>
                  </c:pt>
                  <c:pt idx="8">
                    <c:v>9</c:v>
                  </c:pt>
                  <c:pt idx="9">
                    <c:v>10</c:v>
                  </c:pt>
                  <c:pt idx="10">
                    <c:v>11</c:v>
                  </c:pt>
                  <c:pt idx="11">
                    <c:v>12</c:v>
                  </c:pt>
                  <c:pt idx="12">
                    <c:v>1</c:v>
                  </c:pt>
                  <c:pt idx="13">
                    <c:v>2</c:v>
                  </c:pt>
                  <c:pt idx="14">
                    <c:v>3</c:v>
                  </c:pt>
                  <c:pt idx="15">
                    <c:v>4</c:v>
                  </c:pt>
                  <c:pt idx="16">
                    <c:v>5</c:v>
                  </c:pt>
                  <c:pt idx="17">
                    <c:v>6</c:v>
                  </c:pt>
                  <c:pt idx="18">
                    <c:v>7</c:v>
                  </c:pt>
                  <c:pt idx="19">
                    <c:v>8</c:v>
                  </c:pt>
                  <c:pt idx="20">
                    <c:v>9</c:v>
                  </c:pt>
                  <c:pt idx="21">
                    <c:v>10</c:v>
                  </c:pt>
                  <c:pt idx="22">
                    <c:v>11</c:v>
                  </c:pt>
                  <c:pt idx="23">
                    <c:v>12</c:v>
                  </c:pt>
                  <c:pt idx="24">
                    <c:v>1</c:v>
                  </c:pt>
                  <c:pt idx="25">
                    <c:v>2</c:v>
                  </c:pt>
                  <c:pt idx="26">
                    <c:v>3</c:v>
                  </c:pt>
                  <c:pt idx="27">
                    <c:v>4</c:v>
                  </c:pt>
                  <c:pt idx="28">
                    <c:v>5</c:v>
                  </c:pt>
                  <c:pt idx="29">
                    <c:v>6</c:v>
                  </c:pt>
                  <c:pt idx="30">
                    <c:v>7</c:v>
                  </c:pt>
                  <c:pt idx="31">
                    <c:v>8</c:v>
                  </c:pt>
                  <c:pt idx="32">
                    <c:v>9</c:v>
                  </c:pt>
                  <c:pt idx="33">
                    <c:v>10</c:v>
                  </c:pt>
                  <c:pt idx="34">
                    <c:v>11</c:v>
                  </c:pt>
                  <c:pt idx="35">
                    <c:v>12</c:v>
                  </c:pt>
                  <c:pt idx="36">
                    <c:v>1</c:v>
                  </c:pt>
                  <c:pt idx="37">
                    <c:v>2</c:v>
                  </c:pt>
                  <c:pt idx="38">
                    <c:v>3</c:v>
                  </c:pt>
                  <c:pt idx="39">
                    <c:v>4</c:v>
                  </c:pt>
                  <c:pt idx="40">
                    <c:v>5</c:v>
                  </c:pt>
                  <c:pt idx="41">
                    <c:v>6</c:v>
                  </c:pt>
                  <c:pt idx="42">
                    <c:v>7</c:v>
                  </c:pt>
                  <c:pt idx="43">
                    <c:v>8</c:v>
                  </c:pt>
                  <c:pt idx="44">
                    <c:v>9</c:v>
                  </c:pt>
                  <c:pt idx="45">
                    <c:v>10</c:v>
                  </c:pt>
                  <c:pt idx="46">
                    <c:v>11</c:v>
                  </c:pt>
                  <c:pt idx="47">
                    <c:v>12</c:v>
                  </c:pt>
                  <c:pt idx="48">
                    <c:v>1</c:v>
                  </c:pt>
                  <c:pt idx="49">
                    <c:v>2</c:v>
                  </c:pt>
                  <c:pt idx="50">
                    <c:v>3</c:v>
                  </c:pt>
                  <c:pt idx="51">
                    <c:v>4</c:v>
                  </c:pt>
                  <c:pt idx="52">
                    <c:v>5</c:v>
                  </c:pt>
                  <c:pt idx="53">
                    <c:v>6</c:v>
                  </c:pt>
                  <c:pt idx="54">
                    <c:v>7</c:v>
                  </c:pt>
                </c:lvl>
                <c:lvl>
                  <c:pt idx="0">
                    <c:v>2021</c:v>
                  </c:pt>
                  <c:pt idx="12">
                    <c:v>2022</c:v>
                  </c:pt>
                  <c:pt idx="24">
                    <c:v>2023</c:v>
                  </c:pt>
                  <c:pt idx="36">
                    <c:v>2024</c:v>
                  </c:pt>
                  <c:pt idx="48">
                    <c:v>2025</c:v>
                  </c:pt>
                </c:lvl>
              </c:multiLvlStrCache>
            </c:multiLvlStrRef>
          </c:cat>
          <c:val>
            <c:numRef>
              <c:f>Sheet1!$D$2:$D$85</c:f>
              <c:numCache>
                <c:formatCode>0.0</c:formatCode>
                <c:ptCount val="55"/>
                <c:pt idx="0">
                  <c:v>9.8454806508956807</c:v>
                </c:pt>
                <c:pt idx="1">
                  <c:v>8.5076897076221059</c:v>
                </c:pt>
                <c:pt idx="2">
                  <c:v>7.3187566797292618</c:v>
                </c:pt>
                <c:pt idx="3">
                  <c:v>6.3837510518587095</c:v>
                </c:pt>
                <c:pt idx="4">
                  <c:v>5.5298694154475072</c:v>
                </c:pt>
                <c:pt idx="5">
                  <c:v>5.5282127224025146</c:v>
                </c:pt>
                <c:pt idx="6">
                  <c:v>6.3751140574663339</c:v>
                </c:pt>
                <c:pt idx="7">
                  <c:v>7.0205827579757027</c:v>
                </c:pt>
                <c:pt idx="8">
                  <c:v>7.4422460085774844</c:v>
                </c:pt>
                <c:pt idx="9">
                  <c:v>7.966176261273489</c:v>
                </c:pt>
                <c:pt idx="10">
                  <c:v>8.8749911750170725</c:v>
                </c:pt>
                <c:pt idx="11">
                  <c:v>10.25753632617652</c:v>
                </c:pt>
                <c:pt idx="12">
                  <c:v>30.860201668119032</c:v>
                </c:pt>
                <c:pt idx="13">
                  <c:v>31.300230515232698</c:v>
                </c:pt>
                <c:pt idx="14">
                  <c:v>34.216477520280506</c:v>
                </c:pt>
                <c:pt idx="15">
                  <c:v>34.552391587567456</c:v>
                </c:pt>
                <c:pt idx="16">
                  <c:v>34.992739323081508</c:v>
                </c:pt>
                <c:pt idx="17">
                  <c:v>36.060465356240002</c:v>
                </c:pt>
                <c:pt idx="18">
                  <c:v>36.60776024297806</c:v>
                </c:pt>
                <c:pt idx="19">
                  <c:v>37.500759878419444</c:v>
                </c:pt>
                <c:pt idx="20">
                  <c:v>38.169864484100344</c:v>
                </c:pt>
                <c:pt idx="21">
                  <c:v>38.914423025066071</c:v>
                </c:pt>
                <c:pt idx="22">
                  <c:v>39.394889142264276</c:v>
                </c:pt>
                <c:pt idx="23">
                  <c:v>39.865951347125019</c:v>
                </c:pt>
                <c:pt idx="24">
                  <c:v>42.004375951293753</c:v>
                </c:pt>
                <c:pt idx="25">
                  <c:v>44.139976275207573</c:v>
                </c:pt>
                <c:pt idx="26">
                  <c:v>43.134284521803664</c:v>
                </c:pt>
                <c:pt idx="27">
                  <c:v>44.059063559028971</c:v>
                </c:pt>
                <c:pt idx="28">
                  <c:v>44.739576150416013</c:v>
                </c:pt>
                <c:pt idx="29">
                  <c:v>44.596285538778886</c:v>
                </c:pt>
                <c:pt idx="30">
                  <c:v>44.02427069384197</c:v>
                </c:pt>
                <c:pt idx="31">
                  <c:v>43.54217440080464</c:v>
                </c:pt>
                <c:pt idx="32">
                  <c:v>43.270407271456037</c:v>
                </c:pt>
                <c:pt idx="33">
                  <c:v>41.98189104430611</c:v>
                </c:pt>
                <c:pt idx="34">
                  <c:v>40.477981082338346</c:v>
                </c:pt>
                <c:pt idx="35">
                  <c:v>38.973033786872008</c:v>
                </c:pt>
                <c:pt idx="36">
                  <c:v>14.362753307653662</c:v>
                </c:pt>
                <c:pt idx="37">
                  <c:v>13.472142210517674</c:v>
                </c:pt>
                <c:pt idx="38">
                  <c:v>12.567633241535731</c:v>
                </c:pt>
                <c:pt idx="39">
                  <c:v>12.70873840786706</c:v>
                </c:pt>
                <c:pt idx="40">
                  <c:v>12.636413298946806</c:v>
                </c:pt>
                <c:pt idx="41">
                  <c:v>11.958944558370789</c:v>
                </c:pt>
                <c:pt idx="42">
                  <c:v>10.972360009431341</c:v>
                </c:pt>
                <c:pt idx="43">
                  <c:v>9.8979367908801521</c:v>
                </c:pt>
                <c:pt idx="44">
                  <c:v>8.9963873469028215</c:v>
                </c:pt>
                <c:pt idx="45">
                  <c:v>9.0435406102551781</c:v>
                </c:pt>
                <c:pt idx="46">
                  <c:v>9.593875991025925</c:v>
                </c:pt>
                <c:pt idx="47">
                  <c:v>10.164920651384705</c:v>
                </c:pt>
                <c:pt idx="48">
                  <c:v>12.266057464194716</c:v>
                </c:pt>
                <c:pt idx="49">
                  <c:v>9.4807078619088827</c:v>
                </c:pt>
                <c:pt idx="50">
                  <c:v>7.230984726379603</c:v>
                </c:pt>
                <c:pt idx="51">
                  <c:v>4.7479767144682512</c:v>
                </c:pt>
                <c:pt idx="52">
                  <c:v>3.1711209740636832</c:v>
                </c:pt>
                <c:pt idx="53">
                  <c:v>2.2195052255341636</c:v>
                </c:pt>
                <c:pt idx="54">
                  <c:v>1.6139701018653199</c:v>
                </c:pt>
              </c:numCache>
            </c:numRef>
          </c:val>
          <c:smooth val="0"/>
          <c:extLst>
            <c:ext xmlns:c16="http://schemas.microsoft.com/office/drawing/2014/chart" uri="{C3380CC4-5D6E-409C-BE32-E72D297353CC}">
              <c16:uniqueId val="{00000001-47DF-4F9E-BE50-EC73175F5733}"/>
            </c:ext>
          </c:extLst>
        </c:ser>
        <c:dLbls>
          <c:showLegendKey val="0"/>
          <c:showVal val="0"/>
          <c:showCatName val="0"/>
          <c:showSerName val="0"/>
          <c:showPercent val="0"/>
          <c:showBubbleSize val="0"/>
        </c:dLbls>
        <c:smooth val="0"/>
        <c:axId val="-676708624"/>
        <c:axId val="-676712976"/>
      </c:lineChart>
      <c:catAx>
        <c:axId val="-67670862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1" i="0" u="none" strike="noStrike" kern="1200" baseline="0">
                <a:solidFill>
                  <a:schemeClr val="tx1">
                    <a:lumMod val="65000"/>
                    <a:lumOff val="35000"/>
                  </a:schemeClr>
                </a:solidFill>
                <a:latin typeface="Calibri" panose="020F0502020204030204" pitchFamily="34" charset="0"/>
                <a:ea typeface="Calibri" panose="020F0502020204030204" pitchFamily="34" charset="0"/>
                <a:cs typeface="Calibri" panose="020F0502020204030204" pitchFamily="34" charset="0"/>
              </a:defRPr>
            </a:pPr>
            <a:endParaRPr lang="en-US"/>
          </a:p>
        </c:txPr>
        <c:crossAx val="-676712976"/>
        <c:crosses val="autoZero"/>
        <c:auto val="1"/>
        <c:lblAlgn val="ctr"/>
        <c:lblOffset val="100"/>
        <c:noMultiLvlLbl val="0"/>
      </c:catAx>
      <c:valAx>
        <c:axId val="-676712976"/>
        <c:scaling>
          <c:orientation val="minMax"/>
        </c:scaling>
        <c:delete val="0"/>
        <c:axPos val="l"/>
        <c:title>
          <c:tx>
            <c:rich>
              <a:bodyPr rot="-5400000" spcFirstLastPara="1" vertOverflow="ellipsis" vert="horz" wrap="square" anchor="ctr" anchorCtr="1"/>
              <a:lstStyle/>
              <a:p>
                <a:pPr>
                  <a:defRPr sz="800" b="0" i="0" u="none" strike="noStrike" kern="1200" baseline="0">
                    <a:solidFill>
                      <a:schemeClr val="tx1">
                        <a:lumMod val="65000"/>
                        <a:lumOff val="35000"/>
                      </a:schemeClr>
                    </a:solidFill>
                    <a:latin typeface="Calibri" panose="020F0502020204030204" pitchFamily="34" charset="0"/>
                    <a:ea typeface="Calibri" panose="020F0502020204030204" pitchFamily="34" charset="0"/>
                    <a:cs typeface="Calibri" panose="020F0502020204030204" pitchFamily="34" charset="0"/>
                  </a:defRPr>
                </a:pPr>
                <a:r>
                  <a:rPr lang="hy-AM"/>
                  <a:t>Տոկոս</a:t>
                </a:r>
                <a:endParaRPr lang="en-US"/>
              </a:p>
            </c:rich>
          </c:tx>
          <c:overlay val="0"/>
          <c:spPr>
            <a:noFill/>
            <a:ln>
              <a:noFill/>
            </a:ln>
            <a:effectLst/>
          </c:spPr>
          <c:txPr>
            <a:bodyPr rot="-5400000" spcFirstLastPara="1" vertOverflow="ellipsis" vert="horz" wrap="square" anchor="ctr" anchorCtr="1"/>
            <a:lstStyle/>
            <a:p>
              <a:pPr>
                <a:defRPr sz="800" b="0" i="0" u="none" strike="noStrike" kern="1200" baseline="0">
                  <a:solidFill>
                    <a:schemeClr val="tx1">
                      <a:lumMod val="65000"/>
                      <a:lumOff val="35000"/>
                    </a:schemeClr>
                  </a:solidFill>
                  <a:latin typeface="Calibri" panose="020F0502020204030204" pitchFamily="34" charset="0"/>
                  <a:ea typeface="Calibri" panose="020F0502020204030204" pitchFamily="34" charset="0"/>
                  <a:cs typeface="Calibri" panose="020F0502020204030204" pitchFamily="34" charset="0"/>
                </a:defRPr>
              </a:pPr>
              <a:endParaRPr lang="en-US"/>
            </a:p>
          </c:txPr>
        </c:title>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bg1">
                    <a:lumMod val="65000"/>
                  </a:schemeClr>
                </a:solidFill>
                <a:latin typeface="Calibri" panose="020F0502020204030204" pitchFamily="34" charset="0"/>
                <a:ea typeface="Calibri" panose="020F0502020204030204" pitchFamily="34" charset="0"/>
                <a:cs typeface="Calibri" panose="020F0502020204030204" pitchFamily="34" charset="0"/>
              </a:defRPr>
            </a:pPr>
            <a:endParaRPr lang="en-US"/>
          </a:p>
        </c:txPr>
        <c:crossAx val="-676708624"/>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800" b="0" i="0" u="none" strike="noStrike" kern="1200" baseline="0">
              <a:solidFill>
                <a:schemeClr val="tx1">
                  <a:lumMod val="65000"/>
                  <a:lumOff val="35000"/>
                </a:schemeClr>
              </a:solidFill>
              <a:latin typeface="Calibri" panose="020F0502020204030204" pitchFamily="34" charset="0"/>
              <a:ea typeface="Calibri" panose="020F0502020204030204" pitchFamily="34" charset="0"/>
              <a:cs typeface="Calibri" panose="020F0502020204030204" pitchFamily="34" charset="0"/>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noFill/>
    <a:ln w="19050" cap="flat" cmpd="sng" algn="ctr">
      <a:solidFill>
        <a:sysClr val="window" lastClr="FFFFFF"/>
      </a:solidFill>
      <a:round/>
    </a:ln>
    <a:effectLst/>
  </c:spPr>
  <c:txPr>
    <a:bodyPr/>
    <a:lstStyle/>
    <a:p>
      <a:pPr>
        <a:defRPr sz="800">
          <a:latin typeface="Calibri" panose="020F0502020204030204" pitchFamily="34" charset="0"/>
          <a:ea typeface="Calibri" panose="020F0502020204030204" pitchFamily="34" charset="0"/>
          <a:cs typeface="Calibri" panose="020F0502020204030204" pitchFamily="34" charset="0"/>
        </a:defRPr>
      </a:pPr>
      <a:endParaRPr lang="en-US"/>
    </a:p>
  </c:txPr>
  <c:externalData r:id="rId4">
    <c:autoUpdate val="0"/>
  </c:externalData>
</c:chartSpace>
</file>

<file path=word/charts/chart3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7.452778757132969E-2"/>
          <c:y val="8.2658365035831197E-2"/>
          <c:w val="0.87864058970240655"/>
          <c:h val="0.5390007077766964"/>
        </c:manualLayout>
      </c:layout>
      <c:lineChart>
        <c:grouping val="standard"/>
        <c:varyColors val="0"/>
        <c:ser>
          <c:idx val="0"/>
          <c:order val="0"/>
          <c:tx>
            <c:strRef>
              <c:f>Sheet1!$D$1</c:f>
              <c:strCache>
                <c:ptCount val="1"/>
                <c:pt idx="0">
                  <c:v>12 ամսյա գնաճ, %</c:v>
                </c:pt>
              </c:strCache>
            </c:strRef>
          </c:tx>
          <c:spPr>
            <a:ln w="28564" cap="rnd">
              <a:solidFill>
                <a:srgbClr val="ED7D31">
                  <a:lumMod val="60000"/>
                  <a:lumOff val="40000"/>
                </a:srgbClr>
              </a:solidFill>
              <a:round/>
            </a:ln>
            <a:effectLst/>
          </c:spPr>
          <c:marker>
            <c:symbol val="none"/>
          </c:marker>
          <c:cat>
            <c:multiLvlStrRef>
              <c:f>Sheet1!$A$38:$B$93</c:f>
              <c:multiLvlStrCache>
                <c:ptCount val="44"/>
                <c:lvl>
                  <c:pt idx="0">
                    <c:v>1</c:v>
                  </c:pt>
                  <c:pt idx="1">
                    <c:v>2</c:v>
                  </c:pt>
                  <c:pt idx="2">
                    <c:v>3</c:v>
                  </c:pt>
                  <c:pt idx="3">
                    <c:v>4</c:v>
                  </c:pt>
                  <c:pt idx="4">
                    <c:v>5</c:v>
                  </c:pt>
                  <c:pt idx="5">
                    <c:v>6</c:v>
                  </c:pt>
                  <c:pt idx="6">
                    <c:v>7</c:v>
                  </c:pt>
                  <c:pt idx="7">
                    <c:v>8</c:v>
                  </c:pt>
                  <c:pt idx="8">
                    <c:v>9</c:v>
                  </c:pt>
                  <c:pt idx="9">
                    <c:v>10</c:v>
                  </c:pt>
                  <c:pt idx="10">
                    <c:v>11</c:v>
                  </c:pt>
                  <c:pt idx="11">
                    <c:v>12</c:v>
                  </c:pt>
                  <c:pt idx="12">
                    <c:v>1</c:v>
                  </c:pt>
                  <c:pt idx="13">
                    <c:v>2</c:v>
                  </c:pt>
                  <c:pt idx="14">
                    <c:v>3</c:v>
                  </c:pt>
                  <c:pt idx="15">
                    <c:v>4</c:v>
                  </c:pt>
                  <c:pt idx="16">
                    <c:v>5</c:v>
                  </c:pt>
                  <c:pt idx="17">
                    <c:v>6</c:v>
                  </c:pt>
                  <c:pt idx="18">
                    <c:v>7</c:v>
                  </c:pt>
                  <c:pt idx="19">
                    <c:v>8</c:v>
                  </c:pt>
                  <c:pt idx="20">
                    <c:v>9</c:v>
                  </c:pt>
                  <c:pt idx="21">
                    <c:v>10</c:v>
                  </c:pt>
                  <c:pt idx="22">
                    <c:v>11</c:v>
                  </c:pt>
                  <c:pt idx="23">
                    <c:v>12</c:v>
                  </c:pt>
                  <c:pt idx="24">
                    <c:v>1</c:v>
                  </c:pt>
                  <c:pt idx="25">
                    <c:v>2</c:v>
                  </c:pt>
                  <c:pt idx="26">
                    <c:v>3</c:v>
                  </c:pt>
                  <c:pt idx="27">
                    <c:v>4</c:v>
                  </c:pt>
                  <c:pt idx="28">
                    <c:v>5</c:v>
                  </c:pt>
                  <c:pt idx="29">
                    <c:v>6</c:v>
                  </c:pt>
                  <c:pt idx="30">
                    <c:v>7</c:v>
                  </c:pt>
                  <c:pt idx="31">
                    <c:v>8</c:v>
                  </c:pt>
                  <c:pt idx="32">
                    <c:v>9</c:v>
                  </c:pt>
                  <c:pt idx="33">
                    <c:v>10</c:v>
                  </c:pt>
                  <c:pt idx="34">
                    <c:v>11</c:v>
                  </c:pt>
                  <c:pt idx="35">
                    <c:v>12</c:v>
                  </c:pt>
                  <c:pt idx="36">
                    <c:v>1</c:v>
                  </c:pt>
                  <c:pt idx="37">
                    <c:v>2</c:v>
                  </c:pt>
                  <c:pt idx="38">
                    <c:v>3</c:v>
                  </c:pt>
                  <c:pt idx="39">
                    <c:v>4</c:v>
                  </c:pt>
                  <c:pt idx="40">
                    <c:v>5</c:v>
                  </c:pt>
                  <c:pt idx="41">
                    <c:v>6</c:v>
                  </c:pt>
                  <c:pt idx="42">
                    <c:v>7</c:v>
                  </c:pt>
                  <c:pt idx="43">
                    <c:v>8</c:v>
                  </c:pt>
                </c:lvl>
                <c:lvl>
                  <c:pt idx="0">
                    <c:v>2022</c:v>
                  </c:pt>
                  <c:pt idx="12">
                    <c:v>2023</c:v>
                  </c:pt>
                  <c:pt idx="24">
                    <c:v>2024</c:v>
                  </c:pt>
                  <c:pt idx="36">
                    <c:v>2025</c:v>
                  </c:pt>
                </c:lvl>
              </c:multiLvlStrCache>
            </c:multiLvlStrRef>
          </c:cat>
          <c:val>
            <c:numRef>
              <c:f>Sheet1!$D$2:$D$93</c:f>
              <c:numCache>
                <c:formatCode>0.0</c:formatCode>
                <c:ptCount val="44"/>
                <c:pt idx="0">
                  <c:v>7.0769205766379315</c:v>
                </c:pt>
                <c:pt idx="1">
                  <c:v>6.5432090002156116</c:v>
                </c:pt>
                <c:pt idx="2">
                  <c:v>7.3617969746003382</c:v>
                </c:pt>
                <c:pt idx="3">
                  <c:v>8.4252580519207356</c:v>
                </c:pt>
                <c:pt idx="4">
                  <c:v>8.9862917816955417</c:v>
                </c:pt>
                <c:pt idx="5">
                  <c:v>10.274467693331786</c:v>
                </c:pt>
                <c:pt idx="6">
                  <c:v>9.3216627279495867</c:v>
                </c:pt>
                <c:pt idx="7">
                  <c:v>9.1287829914562479</c:v>
                </c:pt>
                <c:pt idx="8">
                  <c:v>9.9151144159470022</c:v>
                </c:pt>
                <c:pt idx="9">
                  <c:v>9.5</c:v>
                </c:pt>
                <c:pt idx="10">
                  <c:v>8.8446621147540014</c:v>
                </c:pt>
                <c:pt idx="11">
                  <c:v>8.3026886372339987</c:v>
                </c:pt>
                <c:pt idx="12">
                  <c:v>8.0513101873760036</c:v>
                </c:pt>
                <c:pt idx="13">
                  <c:v>8.0504413480060038</c:v>
                </c:pt>
                <c:pt idx="14">
                  <c:v>5.4496798492630063</c:v>
                </c:pt>
                <c:pt idx="15">
                  <c:v>3.2368670906421926</c:v>
                </c:pt>
                <c:pt idx="16">
                  <c:v>1.2870999999999999</c:v>
                </c:pt>
                <c:pt idx="17">
                  <c:v>-0.50760000000000005</c:v>
                </c:pt>
                <c:pt idx="18">
                  <c:v>-0.10059999999999999</c:v>
                </c:pt>
                <c:pt idx="19">
                  <c:v>-0.16830000000000001</c:v>
                </c:pt>
                <c:pt idx="20">
                  <c:v>0.1</c:v>
                </c:pt>
                <c:pt idx="21">
                  <c:v>0.1</c:v>
                </c:pt>
                <c:pt idx="22">
                  <c:v>-0.5</c:v>
                </c:pt>
                <c:pt idx="23">
                  <c:v>-0.6</c:v>
                </c:pt>
                <c:pt idx="24">
                  <c:v>-0.9</c:v>
                </c:pt>
                <c:pt idx="25">
                  <c:v>-1.7</c:v>
                </c:pt>
                <c:pt idx="26">
                  <c:v>-1.2</c:v>
                </c:pt>
                <c:pt idx="27">
                  <c:v>-0.7</c:v>
                </c:pt>
                <c:pt idx="28">
                  <c:v>0.3</c:v>
                </c:pt>
                <c:pt idx="29">
                  <c:v>0.8</c:v>
                </c:pt>
                <c:pt idx="30">
                  <c:v>1.4</c:v>
                </c:pt>
                <c:pt idx="31">
                  <c:v>1.3</c:v>
                </c:pt>
                <c:pt idx="32">
                  <c:v>0.6</c:v>
                </c:pt>
                <c:pt idx="33">
                  <c:v>0.6</c:v>
                </c:pt>
                <c:pt idx="34">
                  <c:v>1.4</c:v>
                </c:pt>
                <c:pt idx="35">
                  <c:v>1.5</c:v>
                </c:pt>
                <c:pt idx="36">
                  <c:v>1.7286999999999999</c:v>
                </c:pt>
                <c:pt idx="37">
                  <c:v>2.5320999999999998</c:v>
                </c:pt>
                <c:pt idx="38">
                  <c:v>3.2551000000000001</c:v>
                </c:pt>
                <c:pt idx="39">
                  <c:v>3.1818</c:v>
                </c:pt>
                <c:pt idx="40">
                  <c:v>4.3</c:v>
                </c:pt>
                <c:pt idx="41">
                  <c:v>3.9</c:v>
                </c:pt>
                <c:pt idx="42">
                  <c:v>3.4</c:v>
                </c:pt>
                <c:pt idx="43">
                  <c:v>3.6</c:v>
                </c:pt>
              </c:numCache>
            </c:numRef>
          </c:val>
          <c:smooth val="0"/>
          <c:extLst>
            <c:ext xmlns:c16="http://schemas.microsoft.com/office/drawing/2014/chart" uri="{C3380CC4-5D6E-409C-BE32-E72D297353CC}">
              <c16:uniqueId val="{00000000-BAEC-422A-94E8-C19992953937}"/>
            </c:ext>
          </c:extLst>
        </c:ser>
        <c:ser>
          <c:idx val="1"/>
          <c:order val="1"/>
          <c:tx>
            <c:strRef>
              <c:f>Sheet1!$E$1</c:f>
              <c:strCache>
                <c:ptCount val="1"/>
                <c:pt idx="0">
                  <c:v>Վերաֆինանսավորման տոկոսադրույք, %</c:v>
                </c:pt>
              </c:strCache>
            </c:strRef>
          </c:tx>
          <c:spPr>
            <a:ln w="28564" cap="rnd">
              <a:solidFill>
                <a:srgbClr val="4472C4">
                  <a:lumMod val="50000"/>
                </a:srgbClr>
              </a:solidFill>
              <a:round/>
            </a:ln>
            <a:effectLst/>
          </c:spPr>
          <c:marker>
            <c:symbol val="none"/>
          </c:marker>
          <c:cat>
            <c:multiLvlStrRef>
              <c:f>Sheet1!$A$38:$B$93</c:f>
              <c:multiLvlStrCache>
                <c:ptCount val="44"/>
                <c:lvl>
                  <c:pt idx="0">
                    <c:v>1</c:v>
                  </c:pt>
                  <c:pt idx="1">
                    <c:v>2</c:v>
                  </c:pt>
                  <c:pt idx="2">
                    <c:v>3</c:v>
                  </c:pt>
                  <c:pt idx="3">
                    <c:v>4</c:v>
                  </c:pt>
                  <c:pt idx="4">
                    <c:v>5</c:v>
                  </c:pt>
                  <c:pt idx="5">
                    <c:v>6</c:v>
                  </c:pt>
                  <c:pt idx="6">
                    <c:v>7</c:v>
                  </c:pt>
                  <c:pt idx="7">
                    <c:v>8</c:v>
                  </c:pt>
                  <c:pt idx="8">
                    <c:v>9</c:v>
                  </c:pt>
                  <c:pt idx="9">
                    <c:v>10</c:v>
                  </c:pt>
                  <c:pt idx="10">
                    <c:v>11</c:v>
                  </c:pt>
                  <c:pt idx="11">
                    <c:v>12</c:v>
                  </c:pt>
                  <c:pt idx="12">
                    <c:v>1</c:v>
                  </c:pt>
                  <c:pt idx="13">
                    <c:v>2</c:v>
                  </c:pt>
                  <c:pt idx="14">
                    <c:v>3</c:v>
                  </c:pt>
                  <c:pt idx="15">
                    <c:v>4</c:v>
                  </c:pt>
                  <c:pt idx="16">
                    <c:v>5</c:v>
                  </c:pt>
                  <c:pt idx="17">
                    <c:v>6</c:v>
                  </c:pt>
                  <c:pt idx="18">
                    <c:v>7</c:v>
                  </c:pt>
                  <c:pt idx="19">
                    <c:v>8</c:v>
                  </c:pt>
                  <c:pt idx="20">
                    <c:v>9</c:v>
                  </c:pt>
                  <c:pt idx="21">
                    <c:v>10</c:v>
                  </c:pt>
                  <c:pt idx="22">
                    <c:v>11</c:v>
                  </c:pt>
                  <c:pt idx="23">
                    <c:v>12</c:v>
                  </c:pt>
                  <c:pt idx="24">
                    <c:v>1</c:v>
                  </c:pt>
                  <c:pt idx="25">
                    <c:v>2</c:v>
                  </c:pt>
                  <c:pt idx="26">
                    <c:v>3</c:v>
                  </c:pt>
                  <c:pt idx="27">
                    <c:v>4</c:v>
                  </c:pt>
                  <c:pt idx="28">
                    <c:v>5</c:v>
                  </c:pt>
                  <c:pt idx="29">
                    <c:v>6</c:v>
                  </c:pt>
                  <c:pt idx="30">
                    <c:v>7</c:v>
                  </c:pt>
                  <c:pt idx="31">
                    <c:v>8</c:v>
                  </c:pt>
                  <c:pt idx="32">
                    <c:v>9</c:v>
                  </c:pt>
                  <c:pt idx="33">
                    <c:v>10</c:v>
                  </c:pt>
                  <c:pt idx="34">
                    <c:v>11</c:v>
                  </c:pt>
                  <c:pt idx="35">
                    <c:v>12</c:v>
                  </c:pt>
                  <c:pt idx="36">
                    <c:v>1</c:v>
                  </c:pt>
                  <c:pt idx="37">
                    <c:v>2</c:v>
                  </c:pt>
                  <c:pt idx="38">
                    <c:v>3</c:v>
                  </c:pt>
                  <c:pt idx="39">
                    <c:v>4</c:v>
                  </c:pt>
                  <c:pt idx="40">
                    <c:v>5</c:v>
                  </c:pt>
                  <c:pt idx="41">
                    <c:v>6</c:v>
                  </c:pt>
                  <c:pt idx="42">
                    <c:v>7</c:v>
                  </c:pt>
                  <c:pt idx="43">
                    <c:v>8</c:v>
                  </c:pt>
                </c:lvl>
                <c:lvl>
                  <c:pt idx="0">
                    <c:v>2022</c:v>
                  </c:pt>
                  <c:pt idx="12">
                    <c:v>2023</c:v>
                  </c:pt>
                  <c:pt idx="24">
                    <c:v>2024</c:v>
                  </c:pt>
                  <c:pt idx="36">
                    <c:v>2025</c:v>
                  </c:pt>
                </c:lvl>
              </c:multiLvlStrCache>
            </c:multiLvlStrRef>
          </c:cat>
          <c:val>
            <c:numRef>
              <c:f>Sheet1!$E$2:$E$93</c:f>
              <c:numCache>
                <c:formatCode>0.0</c:formatCode>
                <c:ptCount val="44"/>
                <c:pt idx="0">
                  <c:v>7.75</c:v>
                </c:pt>
                <c:pt idx="1">
                  <c:v>8</c:v>
                </c:pt>
                <c:pt idx="2">
                  <c:v>9.25</c:v>
                </c:pt>
                <c:pt idx="3">
                  <c:v>9.25</c:v>
                </c:pt>
                <c:pt idx="4">
                  <c:v>9.25</c:v>
                </c:pt>
                <c:pt idx="5">
                  <c:v>9.25</c:v>
                </c:pt>
                <c:pt idx="6">
                  <c:v>9.25</c:v>
                </c:pt>
                <c:pt idx="7">
                  <c:v>9.5</c:v>
                </c:pt>
                <c:pt idx="8">
                  <c:v>10</c:v>
                </c:pt>
                <c:pt idx="9">
                  <c:v>10</c:v>
                </c:pt>
                <c:pt idx="10">
                  <c:v>10.5</c:v>
                </c:pt>
                <c:pt idx="11">
                  <c:v>10.75</c:v>
                </c:pt>
                <c:pt idx="12">
                  <c:v>10.75</c:v>
                </c:pt>
                <c:pt idx="13">
                  <c:v>10.75</c:v>
                </c:pt>
                <c:pt idx="14">
                  <c:v>10.75</c:v>
                </c:pt>
                <c:pt idx="15">
                  <c:v>10.75</c:v>
                </c:pt>
                <c:pt idx="16">
                  <c:v>10.75</c:v>
                </c:pt>
                <c:pt idx="17">
                  <c:v>10.5</c:v>
                </c:pt>
                <c:pt idx="18">
                  <c:v>10.5</c:v>
                </c:pt>
                <c:pt idx="19">
                  <c:v>10.25</c:v>
                </c:pt>
                <c:pt idx="20">
                  <c:v>9.75</c:v>
                </c:pt>
                <c:pt idx="21">
                  <c:v>9.5</c:v>
                </c:pt>
                <c:pt idx="22">
                  <c:v>9.5</c:v>
                </c:pt>
                <c:pt idx="23">
                  <c:v>9.25</c:v>
                </c:pt>
                <c:pt idx="24">
                  <c:v>8.75</c:v>
                </c:pt>
                <c:pt idx="25">
                  <c:v>8.75</c:v>
                </c:pt>
                <c:pt idx="26">
                  <c:v>8.5</c:v>
                </c:pt>
                <c:pt idx="27">
                  <c:v>8.25</c:v>
                </c:pt>
                <c:pt idx="28">
                  <c:v>8.25</c:v>
                </c:pt>
                <c:pt idx="29" formatCode="0.00">
                  <c:v>8</c:v>
                </c:pt>
                <c:pt idx="30" formatCode="0.00">
                  <c:v>7.75</c:v>
                </c:pt>
                <c:pt idx="31" formatCode="0.00">
                  <c:v>7.75</c:v>
                </c:pt>
                <c:pt idx="32" formatCode="0.00">
                  <c:v>7.5</c:v>
                </c:pt>
                <c:pt idx="33" formatCode="0.00">
                  <c:v>7.25</c:v>
                </c:pt>
                <c:pt idx="34" formatCode="0.00">
                  <c:v>7.25</c:v>
                </c:pt>
                <c:pt idx="35" formatCode="0.00">
                  <c:v>7</c:v>
                </c:pt>
                <c:pt idx="36" formatCode="0.00">
                  <c:v>7</c:v>
                </c:pt>
                <c:pt idx="37" formatCode="0.00">
                  <c:v>6.75</c:v>
                </c:pt>
                <c:pt idx="38" formatCode="0.00">
                  <c:v>6.75</c:v>
                </c:pt>
                <c:pt idx="39" formatCode="0.00">
                  <c:v>6.75</c:v>
                </c:pt>
                <c:pt idx="40" formatCode="0.00">
                  <c:v>6.75</c:v>
                </c:pt>
                <c:pt idx="41" formatCode="0.00">
                  <c:v>6.75</c:v>
                </c:pt>
                <c:pt idx="42" formatCode="0.00">
                  <c:v>6.75</c:v>
                </c:pt>
                <c:pt idx="43" formatCode="0.00">
                  <c:v>6.75</c:v>
                </c:pt>
              </c:numCache>
            </c:numRef>
          </c:val>
          <c:smooth val="0"/>
          <c:extLst>
            <c:ext xmlns:c16="http://schemas.microsoft.com/office/drawing/2014/chart" uri="{C3380CC4-5D6E-409C-BE32-E72D297353CC}">
              <c16:uniqueId val="{00000001-BAEC-422A-94E8-C19992953937}"/>
            </c:ext>
          </c:extLst>
        </c:ser>
        <c:ser>
          <c:idx val="2"/>
          <c:order val="2"/>
          <c:tx>
            <c:strRef>
              <c:f>Sheet1!$C$1</c:f>
              <c:strCache>
                <c:ptCount val="1"/>
                <c:pt idx="0">
                  <c:v>Բնականոն գնաճ, %</c:v>
                </c:pt>
              </c:strCache>
            </c:strRef>
          </c:tx>
          <c:spPr>
            <a:ln>
              <a:solidFill>
                <a:srgbClr val="E7E6E6">
                  <a:lumMod val="75000"/>
                </a:srgbClr>
              </a:solidFill>
            </a:ln>
          </c:spPr>
          <c:marker>
            <c:symbol val="none"/>
          </c:marker>
          <c:cat>
            <c:multiLvlStrRef>
              <c:f>Sheet1!$A$38:$B$93</c:f>
              <c:multiLvlStrCache>
                <c:ptCount val="44"/>
                <c:lvl>
                  <c:pt idx="0">
                    <c:v>1</c:v>
                  </c:pt>
                  <c:pt idx="1">
                    <c:v>2</c:v>
                  </c:pt>
                  <c:pt idx="2">
                    <c:v>3</c:v>
                  </c:pt>
                  <c:pt idx="3">
                    <c:v>4</c:v>
                  </c:pt>
                  <c:pt idx="4">
                    <c:v>5</c:v>
                  </c:pt>
                  <c:pt idx="5">
                    <c:v>6</c:v>
                  </c:pt>
                  <c:pt idx="6">
                    <c:v>7</c:v>
                  </c:pt>
                  <c:pt idx="7">
                    <c:v>8</c:v>
                  </c:pt>
                  <c:pt idx="8">
                    <c:v>9</c:v>
                  </c:pt>
                  <c:pt idx="9">
                    <c:v>10</c:v>
                  </c:pt>
                  <c:pt idx="10">
                    <c:v>11</c:v>
                  </c:pt>
                  <c:pt idx="11">
                    <c:v>12</c:v>
                  </c:pt>
                  <c:pt idx="12">
                    <c:v>1</c:v>
                  </c:pt>
                  <c:pt idx="13">
                    <c:v>2</c:v>
                  </c:pt>
                  <c:pt idx="14">
                    <c:v>3</c:v>
                  </c:pt>
                  <c:pt idx="15">
                    <c:v>4</c:v>
                  </c:pt>
                  <c:pt idx="16">
                    <c:v>5</c:v>
                  </c:pt>
                  <c:pt idx="17">
                    <c:v>6</c:v>
                  </c:pt>
                  <c:pt idx="18">
                    <c:v>7</c:v>
                  </c:pt>
                  <c:pt idx="19">
                    <c:v>8</c:v>
                  </c:pt>
                  <c:pt idx="20">
                    <c:v>9</c:v>
                  </c:pt>
                  <c:pt idx="21">
                    <c:v>10</c:v>
                  </c:pt>
                  <c:pt idx="22">
                    <c:v>11</c:v>
                  </c:pt>
                  <c:pt idx="23">
                    <c:v>12</c:v>
                  </c:pt>
                  <c:pt idx="24">
                    <c:v>1</c:v>
                  </c:pt>
                  <c:pt idx="25">
                    <c:v>2</c:v>
                  </c:pt>
                  <c:pt idx="26">
                    <c:v>3</c:v>
                  </c:pt>
                  <c:pt idx="27">
                    <c:v>4</c:v>
                  </c:pt>
                  <c:pt idx="28">
                    <c:v>5</c:v>
                  </c:pt>
                  <c:pt idx="29">
                    <c:v>6</c:v>
                  </c:pt>
                  <c:pt idx="30">
                    <c:v>7</c:v>
                  </c:pt>
                  <c:pt idx="31">
                    <c:v>8</c:v>
                  </c:pt>
                  <c:pt idx="32">
                    <c:v>9</c:v>
                  </c:pt>
                  <c:pt idx="33">
                    <c:v>10</c:v>
                  </c:pt>
                  <c:pt idx="34">
                    <c:v>11</c:v>
                  </c:pt>
                  <c:pt idx="35">
                    <c:v>12</c:v>
                  </c:pt>
                  <c:pt idx="36">
                    <c:v>1</c:v>
                  </c:pt>
                  <c:pt idx="37">
                    <c:v>2</c:v>
                  </c:pt>
                  <c:pt idx="38">
                    <c:v>3</c:v>
                  </c:pt>
                  <c:pt idx="39">
                    <c:v>4</c:v>
                  </c:pt>
                  <c:pt idx="40">
                    <c:v>5</c:v>
                  </c:pt>
                  <c:pt idx="41">
                    <c:v>6</c:v>
                  </c:pt>
                  <c:pt idx="42">
                    <c:v>7</c:v>
                  </c:pt>
                  <c:pt idx="43">
                    <c:v>8</c:v>
                  </c:pt>
                </c:lvl>
                <c:lvl>
                  <c:pt idx="0">
                    <c:v>2022</c:v>
                  </c:pt>
                  <c:pt idx="12">
                    <c:v>2023</c:v>
                  </c:pt>
                  <c:pt idx="24">
                    <c:v>2024</c:v>
                  </c:pt>
                  <c:pt idx="36">
                    <c:v>2025</c:v>
                  </c:pt>
                </c:lvl>
              </c:multiLvlStrCache>
            </c:multiLvlStrRef>
          </c:cat>
          <c:val>
            <c:numRef>
              <c:f>Sheet1!$C$38:$C$93</c:f>
              <c:numCache>
                <c:formatCode>0.0</c:formatCode>
                <c:ptCount val="44"/>
                <c:pt idx="0">
                  <c:v>6.60162670741569</c:v>
                </c:pt>
                <c:pt idx="1">
                  <c:v>6.3614506423955959</c:v>
                </c:pt>
                <c:pt idx="2">
                  <c:v>6.9671454857929405</c:v>
                </c:pt>
                <c:pt idx="3">
                  <c:v>7.9799047833968757</c:v>
                </c:pt>
                <c:pt idx="4">
                  <c:v>8.3564098161367042</c:v>
                </c:pt>
                <c:pt idx="5">
                  <c:v>9.4404331247470736</c:v>
                </c:pt>
                <c:pt idx="6">
                  <c:v>10.10041008820204</c:v>
                </c:pt>
                <c:pt idx="7">
                  <c:v>10.230227924035546</c:v>
                </c:pt>
                <c:pt idx="8">
                  <c:v>10.540276376631112</c:v>
                </c:pt>
                <c:pt idx="9">
                  <c:v>10.488322377082326</c:v>
                </c:pt>
                <c:pt idx="10">
                  <c:v>9.8756503499295007</c:v>
                </c:pt>
                <c:pt idx="11">
                  <c:v>9.4793414473783173</c:v>
                </c:pt>
                <c:pt idx="12">
                  <c:v>9.0991561824239966</c:v>
                </c:pt>
                <c:pt idx="13">
                  <c:v>8.3569861398929959</c:v>
                </c:pt>
                <c:pt idx="14">
                  <c:v>6.4066571555730008</c:v>
                </c:pt>
                <c:pt idx="15">
                  <c:v>4.3045803295163267</c:v>
                </c:pt>
                <c:pt idx="16">
                  <c:v>3.0865032447455718</c:v>
                </c:pt>
                <c:pt idx="17">
                  <c:v>1.4518285160379776</c:v>
                </c:pt>
                <c:pt idx="18">
                  <c:v>0.59949055114458361</c:v>
                </c:pt>
                <c:pt idx="19">
                  <c:v>0.35313145780541788</c:v>
                </c:pt>
                <c:pt idx="20">
                  <c:v>-8.0847536483943827E-2</c:v>
                </c:pt>
                <c:pt idx="21">
                  <c:v>-4.6504096578033227E-2</c:v>
                </c:pt>
                <c:pt idx="22">
                  <c:v>-0.24390438070011555</c:v>
                </c:pt>
                <c:pt idx="23">
                  <c:v>-0.39353895237825043</c:v>
                </c:pt>
                <c:pt idx="24">
                  <c:v>-0.44083532430917671</c:v>
                </c:pt>
                <c:pt idx="25">
                  <c:v>-0.65415810312974543</c:v>
                </c:pt>
                <c:pt idx="26">
                  <c:v>-0.70986287761924416</c:v>
                </c:pt>
                <c:pt idx="27">
                  <c:v>-0.53692140460677251</c:v>
                </c:pt>
                <c:pt idx="28">
                  <c:v>-0.29513107679599698</c:v>
                </c:pt>
                <c:pt idx="29">
                  <c:v>3.9019835541694192E-2</c:v>
                </c:pt>
                <c:pt idx="30">
                  <c:v>0.25996830691931905</c:v>
                </c:pt>
                <c:pt idx="31">
                  <c:v>0.27869516588769727</c:v>
                </c:pt>
                <c:pt idx="32">
                  <c:v>0.70080604258279777</c:v>
                </c:pt>
                <c:pt idx="33">
                  <c:v>0.63894478316535697</c:v>
                </c:pt>
                <c:pt idx="34">
                  <c:v>0.7907904170000819</c:v>
                </c:pt>
                <c:pt idx="35">
                  <c:v>0.94130385266983296</c:v>
                </c:pt>
                <c:pt idx="36">
                  <c:v>1.2271638969850756</c:v>
                </c:pt>
                <c:pt idx="37">
                  <c:v>1.4745661267638042</c:v>
                </c:pt>
                <c:pt idx="38">
                  <c:v>2.0047945598907262</c:v>
                </c:pt>
                <c:pt idx="39">
                  <c:v>2.394979193090478</c:v>
                </c:pt>
                <c:pt idx="40">
                  <c:v>2.7632776482889483</c:v>
                </c:pt>
                <c:pt idx="41">
                  <c:v>3.1364195504502987</c:v>
                </c:pt>
                <c:pt idx="42">
                  <c:v>3.4298937990613325</c:v>
                </c:pt>
                <c:pt idx="43">
                  <c:v>3.7028292026547831</c:v>
                </c:pt>
              </c:numCache>
            </c:numRef>
          </c:val>
          <c:smooth val="0"/>
          <c:extLst>
            <c:ext xmlns:c16="http://schemas.microsoft.com/office/drawing/2014/chart" uri="{C3380CC4-5D6E-409C-BE32-E72D297353CC}">
              <c16:uniqueId val="{00000002-BAEC-422A-94E8-C19992953937}"/>
            </c:ext>
          </c:extLst>
        </c:ser>
        <c:dLbls>
          <c:showLegendKey val="0"/>
          <c:showVal val="0"/>
          <c:showCatName val="0"/>
          <c:showSerName val="0"/>
          <c:showPercent val="0"/>
          <c:showBubbleSize val="0"/>
        </c:dLbls>
        <c:smooth val="0"/>
        <c:axId val="806867600"/>
        <c:axId val="1"/>
      </c:lineChart>
      <c:catAx>
        <c:axId val="806867600"/>
        <c:scaling>
          <c:orientation val="minMax"/>
        </c:scaling>
        <c:delete val="0"/>
        <c:axPos val="b"/>
        <c:numFmt formatCode="General" sourceLinked="1"/>
        <c:majorTickMark val="none"/>
        <c:minorTickMark val="none"/>
        <c:tickLblPos val="low"/>
        <c:spPr>
          <a:noFill/>
          <a:ln w="9521" cap="flat" cmpd="sng" algn="ctr">
            <a:solidFill>
              <a:schemeClr val="tx1">
                <a:lumMod val="15000"/>
                <a:lumOff val="85000"/>
              </a:schemeClr>
            </a:solidFill>
            <a:round/>
          </a:ln>
          <a:effectLst/>
        </c:spPr>
        <c:txPr>
          <a:bodyPr rot="-60000000" vert="horz"/>
          <a:lstStyle/>
          <a:p>
            <a:pPr>
              <a:defRPr/>
            </a:pPr>
            <a:endParaRPr lang="en-US"/>
          </a:p>
        </c:txPr>
        <c:crossAx val="1"/>
        <c:crosses val="autoZero"/>
        <c:auto val="1"/>
        <c:lblAlgn val="ctr"/>
        <c:lblOffset val="100"/>
        <c:noMultiLvlLbl val="0"/>
      </c:catAx>
      <c:valAx>
        <c:axId val="1"/>
        <c:scaling>
          <c:orientation val="minMax"/>
        </c:scaling>
        <c:delete val="0"/>
        <c:axPos val="l"/>
        <c:numFmt formatCode="0" sourceLinked="0"/>
        <c:majorTickMark val="none"/>
        <c:minorTickMark val="none"/>
        <c:tickLblPos val="nextTo"/>
        <c:spPr>
          <a:noFill/>
          <a:ln w="9521">
            <a:noFill/>
          </a:ln>
        </c:spPr>
        <c:txPr>
          <a:bodyPr rot="-60000000" vert="horz"/>
          <a:lstStyle/>
          <a:p>
            <a:pPr>
              <a:defRPr>
                <a:solidFill>
                  <a:schemeClr val="bg1">
                    <a:lumMod val="65000"/>
                  </a:schemeClr>
                </a:solidFill>
              </a:defRPr>
            </a:pPr>
            <a:endParaRPr lang="en-US"/>
          </a:p>
        </c:txPr>
        <c:crossAx val="806867600"/>
        <c:crosses val="autoZero"/>
        <c:crossBetween val="between"/>
      </c:valAx>
      <c:spPr>
        <a:noFill/>
        <a:ln w="25390">
          <a:noFill/>
        </a:ln>
      </c:spPr>
    </c:plotArea>
    <c:legend>
      <c:legendPos val="b"/>
      <c:layout>
        <c:manualLayout>
          <c:xMode val="edge"/>
          <c:yMode val="edge"/>
          <c:x val="0.05"/>
          <c:y val="0.8497990946356424"/>
          <c:w val="0.9"/>
          <c:h val="8.4657834203308857E-2"/>
        </c:manualLayout>
      </c:layout>
      <c:overlay val="0"/>
      <c:spPr>
        <a:noFill/>
        <a:ln w="25390">
          <a:noFill/>
        </a:ln>
      </c:spPr>
      <c:txPr>
        <a:bodyPr rot="0" vert="horz"/>
        <a:lstStyle/>
        <a:p>
          <a:pPr>
            <a:defRPr/>
          </a:pPr>
          <a:endParaRPr lang="en-US"/>
        </a:p>
      </c:txPr>
    </c:legend>
    <c:plotVisOnly val="1"/>
    <c:dispBlanksAs val="gap"/>
    <c:showDLblsOverMax val="0"/>
  </c:chart>
  <c:spPr>
    <a:noFill/>
    <a:ln w="19050" cap="flat" cmpd="sng" algn="ctr">
      <a:solidFill>
        <a:sysClr val="window" lastClr="FFFFFF"/>
      </a:solidFill>
      <a:round/>
    </a:ln>
    <a:effectLst/>
  </c:spPr>
  <c:txPr>
    <a:bodyPr/>
    <a:lstStyle/>
    <a:p>
      <a:pPr>
        <a:defRPr>
          <a:latin typeface="Calibri" panose="020F0502020204030204" pitchFamily="34" charset="0"/>
          <a:ea typeface="Calibri" panose="020F0502020204030204" pitchFamily="34" charset="0"/>
          <a:cs typeface="Calibri" panose="020F0502020204030204" pitchFamily="34" charset="0"/>
        </a:defRPr>
      </a:pPr>
      <a:endParaRPr lang="en-US"/>
    </a:p>
  </c:txPr>
  <c:externalData r:id="rId2">
    <c:autoUpdate val="0"/>
  </c:externalData>
</c:chartSpace>
</file>

<file path=word/charts/chart3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vert="horz"/>
          <a:lstStyle/>
          <a:p>
            <a:pPr>
              <a:defRPr/>
            </a:pPr>
            <a:r>
              <a:rPr lang="en-US"/>
              <a:t>12</a:t>
            </a:r>
            <a:r>
              <a:rPr lang="hy-AM"/>
              <a:t> ամսյա գնաճը</a:t>
            </a:r>
            <a:r>
              <a:rPr lang="en-US"/>
              <a:t>, %</a:t>
            </a:r>
          </a:p>
        </c:rich>
      </c:tx>
      <c:layout>
        <c:manualLayout>
          <c:xMode val="edge"/>
          <c:yMode val="edge"/>
          <c:x val="0.10343714789993683"/>
          <c:y val="5.518763796909492E-2"/>
        </c:manualLayout>
      </c:layout>
      <c:overlay val="0"/>
      <c:spPr>
        <a:noFill/>
        <a:ln>
          <a:noFill/>
        </a:ln>
        <a:effectLst/>
      </c:spPr>
    </c:title>
    <c:autoTitleDeleted val="0"/>
    <c:plotArea>
      <c:layout>
        <c:manualLayout>
          <c:layoutTarget val="inner"/>
          <c:xMode val="edge"/>
          <c:yMode val="edge"/>
          <c:x val="9.3179109435141946E-2"/>
          <c:y val="0.16435486954859116"/>
          <c:w val="0.86243006844988046"/>
          <c:h val="0.53869131424797079"/>
        </c:manualLayout>
      </c:layout>
      <c:barChart>
        <c:barDir val="col"/>
        <c:grouping val="stacked"/>
        <c:varyColors val="0"/>
        <c:ser>
          <c:idx val="1"/>
          <c:order val="1"/>
          <c:tx>
            <c:strRef>
              <c:f>Sheet1!$D$1</c:f>
              <c:strCache>
                <c:ptCount val="1"/>
                <c:pt idx="0">
                  <c:v>Սննդամթերք և ոչ ալկոհոլային խմիչքներ</c:v>
                </c:pt>
              </c:strCache>
            </c:strRef>
          </c:tx>
          <c:spPr>
            <a:solidFill>
              <a:srgbClr val="4472C4">
                <a:lumMod val="50000"/>
              </a:srgbClr>
            </a:solidFill>
            <a:ln>
              <a:noFill/>
            </a:ln>
            <a:effectLst/>
          </c:spPr>
          <c:invertIfNegative val="0"/>
          <c:cat>
            <c:multiLvlStrRef>
              <c:f>Sheet1!$A$28:$B$74</c:f>
              <c:multiLvlStrCache>
                <c:ptCount val="15"/>
                <c:lvl>
                  <c:pt idx="0">
                    <c:v>I</c:v>
                  </c:pt>
                  <c:pt idx="1">
                    <c:v>II</c:v>
                  </c:pt>
                  <c:pt idx="2">
                    <c:v>III</c:v>
                  </c:pt>
                  <c:pt idx="3">
                    <c:v>IV</c:v>
                  </c:pt>
                  <c:pt idx="4">
                    <c:v>I</c:v>
                  </c:pt>
                  <c:pt idx="5">
                    <c:v>II</c:v>
                  </c:pt>
                  <c:pt idx="6">
                    <c:v>III</c:v>
                  </c:pt>
                  <c:pt idx="7">
                    <c:v>IV</c:v>
                  </c:pt>
                  <c:pt idx="8">
                    <c:v>I</c:v>
                  </c:pt>
                  <c:pt idx="9">
                    <c:v>II</c:v>
                  </c:pt>
                  <c:pt idx="10">
                    <c:v>III</c:v>
                  </c:pt>
                  <c:pt idx="11">
                    <c:v>IV</c:v>
                  </c:pt>
                  <c:pt idx="12">
                    <c:v>I</c:v>
                  </c:pt>
                  <c:pt idx="13">
                    <c:v>II</c:v>
                  </c:pt>
                  <c:pt idx="14">
                    <c:v>օգ.</c:v>
                  </c:pt>
                </c:lvl>
                <c:lvl>
                  <c:pt idx="0">
                    <c:v>2022</c:v>
                  </c:pt>
                  <c:pt idx="4">
                    <c:v>2023</c:v>
                  </c:pt>
                  <c:pt idx="8">
                    <c:v>2024</c:v>
                  </c:pt>
                  <c:pt idx="12">
                    <c:v>2025</c:v>
                  </c:pt>
                </c:lvl>
              </c:multiLvlStrCache>
            </c:multiLvlStrRef>
          </c:cat>
          <c:val>
            <c:numRef>
              <c:f>Sheet1!$D$28:$D$74</c:f>
              <c:numCache>
                <c:formatCode>0.0</c:formatCode>
                <c:ptCount val="15"/>
                <c:pt idx="0">
                  <c:v>4.7621120000000001</c:v>
                </c:pt>
                <c:pt idx="1">
                  <c:v>6.3618840000000008</c:v>
                </c:pt>
                <c:pt idx="2">
                  <c:v>5.0969480000000003</c:v>
                </c:pt>
                <c:pt idx="3">
                  <c:v>3.7204000000000002</c:v>
                </c:pt>
                <c:pt idx="4">
                  <c:v>1.8974039999999999</c:v>
                </c:pt>
                <c:pt idx="5">
                  <c:v>-2.2747999999999999</c:v>
                </c:pt>
                <c:pt idx="6">
                  <c:v>-1.2821600000000002</c:v>
                </c:pt>
                <c:pt idx="7">
                  <c:v>-1.8119999999999998</c:v>
                </c:pt>
                <c:pt idx="8">
                  <c:v>-2.31616</c:v>
                </c:pt>
                <c:pt idx="9">
                  <c:v>-0.28952</c:v>
                </c:pt>
                <c:pt idx="10">
                  <c:v>-0.41359999999999997</c:v>
                </c:pt>
                <c:pt idx="11">
                  <c:v>0.82719999999999994</c:v>
                </c:pt>
                <c:pt idx="12">
                  <c:v>2.2089834000000002</c:v>
                </c:pt>
                <c:pt idx="13">
                  <c:v>2.5362401999999999</c:v>
                </c:pt>
                <c:pt idx="14">
                  <c:v>2.0044479000000002</c:v>
                </c:pt>
              </c:numCache>
            </c:numRef>
          </c:val>
          <c:extLst>
            <c:ext xmlns:c16="http://schemas.microsoft.com/office/drawing/2014/chart" uri="{C3380CC4-5D6E-409C-BE32-E72D297353CC}">
              <c16:uniqueId val="{00000000-39DE-4C7B-9185-1A4740088230}"/>
            </c:ext>
          </c:extLst>
        </c:ser>
        <c:ser>
          <c:idx val="2"/>
          <c:order val="2"/>
          <c:tx>
            <c:strRef>
              <c:f>Sheet1!$E$1</c:f>
              <c:strCache>
                <c:ptCount val="1"/>
                <c:pt idx="0">
                  <c:v>Ալկոհոլային խմիչքներ, ծխախոտ</c:v>
                </c:pt>
              </c:strCache>
            </c:strRef>
          </c:tx>
          <c:spPr>
            <a:solidFill>
              <a:srgbClr val="ED7D31">
                <a:lumMod val="60000"/>
                <a:lumOff val="40000"/>
              </a:srgbClr>
            </a:solidFill>
            <a:ln>
              <a:noFill/>
            </a:ln>
            <a:effectLst/>
          </c:spPr>
          <c:invertIfNegative val="0"/>
          <c:cat>
            <c:multiLvlStrRef>
              <c:f>Sheet1!$A$28:$B$74</c:f>
              <c:multiLvlStrCache>
                <c:ptCount val="15"/>
                <c:lvl>
                  <c:pt idx="0">
                    <c:v>I</c:v>
                  </c:pt>
                  <c:pt idx="1">
                    <c:v>II</c:v>
                  </c:pt>
                  <c:pt idx="2">
                    <c:v>III</c:v>
                  </c:pt>
                  <c:pt idx="3">
                    <c:v>IV</c:v>
                  </c:pt>
                  <c:pt idx="4">
                    <c:v>I</c:v>
                  </c:pt>
                  <c:pt idx="5">
                    <c:v>II</c:v>
                  </c:pt>
                  <c:pt idx="6">
                    <c:v>III</c:v>
                  </c:pt>
                  <c:pt idx="7">
                    <c:v>IV</c:v>
                  </c:pt>
                  <c:pt idx="8">
                    <c:v>I</c:v>
                  </c:pt>
                  <c:pt idx="9">
                    <c:v>II</c:v>
                  </c:pt>
                  <c:pt idx="10">
                    <c:v>III</c:v>
                  </c:pt>
                  <c:pt idx="11">
                    <c:v>IV</c:v>
                  </c:pt>
                  <c:pt idx="12">
                    <c:v>I</c:v>
                  </c:pt>
                  <c:pt idx="13">
                    <c:v>II</c:v>
                  </c:pt>
                  <c:pt idx="14">
                    <c:v>օգ.</c:v>
                  </c:pt>
                </c:lvl>
                <c:lvl>
                  <c:pt idx="0">
                    <c:v>2022</c:v>
                  </c:pt>
                  <c:pt idx="4">
                    <c:v>2023</c:v>
                  </c:pt>
                  <c:pt idx="8">
                    <c:v>2024</c:v>
                  </c:pt>
                  <c:pt idx="12">
                    <c:v>2025</c:v>
                  </c:pt>
                </c:lvl>
              </c:multiLvlStrCache>
            </c:multiLvlStrRef>
          </c:cat>
          <c:val>
            <c:numRef>
              <c:f>Sheet1!$E$28:$E$74</c:f>
              <c:numCache>
                <c:formatCode>0.0</c:formatCode>
                <c:ptCount val="15"/>
                <c:pt idx="0">
                  <c:v>0.32533909999999999</c:v>
                </c:pt>
                <c:pt idx="1">
                  <c:v>0.36099269999999994</c:v>
                </c:pt>
                <c:pt idx="2">
                  <c:v>0.39664629999999995</c:v>
                </c:pt>
                <c:pt idx="3">
                  <c:v>0.39664629999999995</c:v>
                </c:pt>
                <c:pt idx="4">
                  <c:v>0.36990610000000002</c:v>
                </c:pt>
                <c:pt idx="5">
                  <c:v>0.39043999999999995</c:v>
                </c:pt>
                <c:pt idx="6">
                  <c:v>0.37682000000000004</c:v>
                </c:pt>
                <c:pt idx="7">
                  <c:v>0.32256000000000001</c:v>
                </c:pt>
                <c:pt idx="8">
                  <c:v>0.33596000000000004</c:v>
                </c:pt>
                <c:pt idx="9">
                  <c:v>0.21791999999999997</c:v>
                </c:pt>
                <c:pt idx="10">
                  <c:v>0.18613999999999997</c:v>
                </c:pt>
                <c:pt idx="11">
                  <c:v>0.17251999999999998</c:v>
                </c:pt>
                <c:pt idx="12">
                  <c:v>0.219606</c:v>
                </c:pt>
                <c:pt idx="13">
                  <c:v>0.26697200000000004</c:v>
                </c:pt>
                <c:pt idx="14">
                  <c:v>0.284196</c:v>
                </c:pt>
              </c:numCache>
            </c:numRef>
          </c:val>
          <c:extLst>
            <c:ext xmlns:c16="http://schemas.microsoft.com/office/drawing/2014/chart" uri="{C3380CC4-5D6E-409C-BE32-E72D297353CC}">
              <c16:uniqueId val="{00000001-39DE-4C7B-9185-1A4740088230}"/>
            </c:ext>
          </c:extLst>
        </c:ser>
        <c:ser>
          <c:idx val="3"/>
          <c:order val="3"/>
          <c:tx>
            <c:strRef>
              <c:f>Sheet1!$F$1</c:f>
              <c:strCache>
                <c:ptCount val="1"/>
                <c:pt idx="0">
                  <c:v>Ոչ պարենային ապրանքներ</c:v>
                </c:pt>
              </c:strCache>
            </c:strRef>
          </c:tx>
          <c:spPr>
            <a:solidFill>
              <a:sysClr val="window" lastClr="FFFFFF">
                <a:lumMod val="65000"/>
              </a:sysClr>
            </a:solidFill>
            <a:ln>
              <a:noFill/>
            </a:ln>
            <a:effectLst/>
          </c:spPr>
          <c:invertIfNegative val="0"/>
          <c:cat>
            <c:multiLvlStrRef>
              <c:f>Sheet1!$A$28:$B$74</c:f>
              <c:multiLvlStrCache>
                <c:ptCount val="15"/>
                <c:lvl>
                  <c:pt idx="0">
                    <c:v>I</c:v>
                  </c:pt>
                  <c:pt idx="1">
                    <c:v>II</c:v>
                  </c:pt>
                  <c:pt idx="2">
                    <c:v>III</c:v>
                  </c:pt>
                  <c:pt idx="3">
                    <c:v>IV</c:v>
                  </c:pt>
                  <c:pt idx="4">
                    <c:v>I</c:v>
                  </c:pt>
                  <c:pt idx="5">
                    <c:v>II</c:v>
                  </c:pt>
                  <c:pt idx="6">
                    <c:v>III</c:v>
                  </c:pt>
                  <c:pt idx="7">
                    <c:v>IV</c:v>
                  </c:pt>
                  <c:pt idx="8">
                    <c:v>I</c:v>
                  </c:pt>
                  <c:pt idx="9">
                    <c:v>II</c:v>
                  </c:pt>
                  <c:pt idx="10">
                    <c:v>III</c:v>
                  </c:pt>
                  <c:pt idx="11">
                    <c:v>IV</c:v>
                  </c:pt>
                  <c:pt idx="12">
                    <c:v>I</c:v>
                  </c:pt>
                  <c:pt idx="13">
                    <c:v>II</c:v>
                  </c:pt>
                  <c:pt idx="14">
                    <c:v>օգ.</c:v>
                  </c:pt>
                </c:lvl>
                <c:lvl>
                  <c:pt idx="0">
                    <c:v>2022</c:v>
                  </c:pt>
                  <c:pt idx="4">
                    <c:v>2023</c:v>
                  </c:pt>
                  <c:pt idx="8">
                    <c:v>2024</c:v>
                  </c:pt>
                  <c:pt idx="12">
                    <c:v>2025</c:v>
                  </c:pt>
                </c:lvl>
              </c:multiLvlStrCache>
            </c:multiLvlStrRef>
          </c:cat>
          <c:val>
            <c:numRef>
              <c:f>Sheet1!$F$28:$F$74</c:f>
              <c:numCache>
                <c:formatCode>0.0</c:formatCode>
                <c:ptCount val="15"/>
                <c:pt idx="0">
                  <c:v>1.0660800000000001</c:v>
                </c:pt>
                <c:pt idx="1">
                  <c:v>1.6657500000000001</c:v>
                </c:pt>
                <c:pt idx="2">
                  <c:v>1.79901</c:v>
                </c:pt>
                <c:pt idx="3">
                  <c:v>1.57691</c:v>
                </c:pt>
                <c:pt idx="4">
                  <c:v>1.02166</c:v>
                </c:pt>
                <c:pt idx="5">
                  <c:v>6.5040000000000001E-2</c:v>
                </c:pt>
                <c:pt idx="6">
                  <c:v>0</c:v>
                </c:pt>
                <c:pt idx="7">
                  <c:v>2.3259999999999999E-2</c:v>
                </c:pt>
                <c:pt idx="8">
                  <c:v>-2.1680000000000001E-2</c:v>
                </c:pt>
                <c:pt idx="9">
                  <c:v>-4.3360000000000003E-2</c:v>
                </c:pt>
                <c:pt idx="10">
                  <c:v>-0.36856</c:v>
                </c:pt>
                <c:pt idx="11">
                  <c:v>-0.39024000000000003</c:v>
                </c:pt>
                <c:pt idx="12">
                  <c:v>-0.10575</c:v>
                </c:pt>
                <c:pt idx="13">
                  <c:v>-4.2299999999999997E-2</c:v>
                </c:pt>
                <c:pt idx="14">
                  <c:v>0.23265</c:v>
                </c:pt>
              </c:numCache>
            </c:numRef>
          </c:val>
          <c:extLst>
            <c:ext xmlns:c16="http://schemas.microsoft.com/office/drawing/2014/chart" uri="{C3380CC4-5D6E-409C-BE32-E72D297353CC}">
              <c16:uniqueId val="{00000002-39DE-4C7B-9185-1A4740088230}"/>
            </c:ext>
          </c:extLst>
        </c:ser>
        <c:ser>
          <c:idx val="4"/>
          <c:order val="4"/>
          <c:tx>
            <c:strRef>
              <c:f>Sheet1!$G$1</c:f>
              <c:strCache>
                <c:ptCount val="1"/>
                <c:pt idx="0">
                  <c:v>Ծառայություններ </c:v>
                </c:pt>
              </c:strCache>
            </c:strRef>
          </c:tx>
          <c:spPr>
            <a:solidFill>
              <a:srgbClr val="B4C7E7"/>
            </a:solidFill>
            <a:ln>
              <a:noFill/>
            </a:ln>
            <a:effectLst/>
          </c:spPr>
          <c:invertIfNegative val="0"/>
          <c:cat>
            <c:multiLvlStrRef>
              <c:f>Sheet1!$A$28:$B$74</c:f>
              <c:multiLvlStrCache>
                <c:ptCount val="15"/>
                <c:lvl>
                  <c:pt idx="0">
                    <c:v>I</c:v>
                  </c:pt>
                  <c:pt idx="1">
                    <c:v>II</c:v>
                  </c:pt>
                  <c:pt idx="2">
                    <c:v>III</c:v>
                  </c:pt>
                  <c:pt idx="3">
                    <c:v>IV</c:v>
                  </c:pt>
                  <c:pt idx="4">
                    <c:v>I</c:v>
                  </c:pt>
                  <c:pt idx="5">
                    <c:v>II</c:v>
                  </c:pt>
                  <c:pt idx="6">
                    <c:v>III</c:v>
                  </c:pt>
                  <c:pt idx="7">
                    <c:v>IV</c:v>
                  </c:pt>
                  <c:pt idx="8">
                    <c:v>I</c:v>
                  </c:pt>
                  <c:pt idx="9">
                    <c:v>II</c:v>
                  </c:pt>
                  <c:pt idx="10">
                    <c:v>III</c:v>
                  </c:pt>
                  <c:pt idx="11">
                    <c:v>IV</c:v>
                  </c:pt>
                  <c:pt idx="12">
                    <c:v>I</c:v>
                  </c:pt>
                  <c:pt idx="13">
                    <c:v>II</c:v>
                  </c:pt>
                  <c:pt idx="14">
                    <c:v>օգ.</c:v>
                  </c:pt>
                </c:lvl>
                <c:lvl>
                  <c:pt idx="0">
                    <c:v>2022</c:v>
                  </c:pt>
                  <c:pt idx="4">
                    <c:v>2023</c:v>
                  </c:pt>
                  <c:pt idx="8">
                    <c:v>2024</c:v>
                  </c:pt>
                  <c:pt idx="12">
                    <c:v>2025</c:v>
                  </c:pt>
                </c:lvl>
              </c:multiLvlStrCache>
            </c:multiLvlStrRef>
          </c:cat>
          <c:val>
            <c:numRef>
              <c:f>Sheet1!$G$28:$G$74</c:f>
              <c:numCache>
                <c:formatCode>0.0</c:formatCode>
                <c:ptCount val="15"/>
                <c:pt idx="0">
                  <c:v>1.1922900000000001</c:v>
                </c:pt>
                <c:pt idx="1">
                  <c:v>1.91489</c:v>
                </c:pt>
                <c:pt idx="2">
                  <c:v>2.6013600000000001</c:v>
                </c:pt>
                <c:pt idx="3">
                  <c:v>2.6013600000000001</c:v>
                </c:pt>
                <c:pt idx="4">
                  <c:v>2.1678000000000002</c:v>
                </c:pt>
                <c:pt idx="5">
                  <c:v>1.2643800000000001</c:v>
                </c:pt>
                <c:pt idx="6">
                  <c:v>1.0374400000000001</c:v>
                </c:pt>
                <c:pt idx="7">
                  <c:v>1.0545</c:v>
                </c:pt>
                <c:pt idx="8">
                  <c:v>0.81050000000000011</c:v>
                </c:pt>
                <c:pt idx="9">
                  <c:v>0.87534000000000001</c:v>
                </c:pt>
                <c:pt idx="10">
                  <c:v>1.1671199999999999</c:v>
                </c:pt>
                <c:pt idx="11">
                  <c:v>0.81050000000000011</c:v>
                </c:pt>
                <c:pt idx="12">
                  <c:v>0.97555999999999998</c:v>
                </c:pt>
                <c:pt idx="13">
                  <c:v>1.1774</c:v>
                </c:pt>
                <c:pt idx="14">
                  <c:v>1.0764800000000001</c:v>
                </c:pt>
              </c:numCache>
            </c:numRef>
          </c:val>
          <c:extLst>
            <c:ext xmlns:c16="http://schemas.microsoft.com/office/drawing/2014/chart" uri="{C3380CC4-5D6E-409C-BE32-E72D297353CC}">
              <c16:uniqueId val="{00000003-39DE-4C7B-9185-1A4740088230}"/>
            </c:ext>
          </c:extLst>
        </c:ser>
        <c:dLbls>
          <c:showLegendKey val="0"/>
          <c:showVal val="0"/>
          <c:showCatName val="0"/>
          <c:showSerName val="0"/>
          <c:showPercent val="0"/>
          <c:showBubbleSize val="0"/>
        </c:dLbls>
        <c:gapWidth val="70"/>
        <c:overlap val="100"/>
        <c:axId val="339256064"/>
        <c:axId val="339257600"/>
      </c:barChart>
      <c:lineChart>
        <c:grouping val="standard"/>
        <c:varyColors val="0"/>
        <c:ser>
          <c:idx val="0"/>
          <c:order val="0"/>
          <c:tx>
            <c:strRef>
              <c:f>Sheet1!$C$1</c:f>
              <c:strCache>
                <c:ptCount val="1"/>
                <c:pt idx="0">
                  <c:v>12-ամսյա գնաճ</c:v>
                </c:pt>
              </c:strCache>
            </c:strRef>
          </c:tx>
          <c:spPr>
            <a:ln w="25400" cap="rnd">
              <a:solidFill>
                <a:srgbClr val="4472C4">
                  <a:lumMod val="75000"/>
                </a:srgbClr>
              </a:solidFill>
              <a:round/>
            </a:ln>
            <a:effectLst/>
          </c:spPr>
          <c:marker>
            <c:symbol val="none"/>
          </c:marker>
          <c:dPt>
            <c:idx val="2"/>
            <c:bubble3D val="0"/>
            <c:extLst>
              <c:ext xmlns:c16="http://schemas.microsoft.com/office/drawing/2014/chart" uri="{C3380CC4-5D6E-409C-BE32-E72D297353CC}">
                <c16:uniqueId val="{00000004-39DE-4C7B-9185-1A4740088230}"/>
              </c:ext>
            </c:extLst>
          </c:dPt>
          <c:dPt>
            <c:idx val="3"/>
            <c:bubble3D val="0"/>
            <c:extLst>
              <c:ext xmlns:c16="http://schemas.microsoft.com/office/drawing/2014/chart" uri="{C3380CC4-5D6E-409C-BE32-E72D297353CC}">
                <c16:uniqueId val="{00000005-39DE-4C7B-9185-1A4740088230}"/>
              </c:ext>
            </c:extLst>
          </c:dPt>
          <c:dLbls>
            <c:dLbl>
              <c:idx val="1"/>
              <c:layout>
                <c:manualLayout>
                  <c:x val="-8.3468489228385678E-2"/>
                  <c:y val="-2.4263779527559055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39DE-4C7B-9185-1A4740088230}"/>
                </c:ext>
              </c:extLst>
            </c:dLbl>
            <c:dLbl>
              <c:idx val="2"/>
              <c:layout>
                <c:manualLayout>
                  <c:x val="-6.4529013574423991E-2"/>
                  <c:y val="-2.9819335083114611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39DE-4C7B-9185-1A4740088230}"/>
                </c:ext>
              </c:extLst>
            </c:dLbl>
            <c:dLbl>
              <c:idx val="3"/>
              <c:layout>
                <c:manualLayout>
                  <c:x val="-4.7602984869730636E-2"/>
                  <c:y val="-5.2041557305336834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39DE-4C7B-9185-1A4740088230}"/>
                </c:ext>
              </c:extLst>
            </c:dLbl>
            <c:dLbl>
              <c:idx val="5"/>
              <c:layout>
                <c:manualLayout>
                  <c:x val="-6.7524015911460636E-2"/>
                  <c:y val="-0.12426377952755906"/>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39DE-4C7B-9185-1A4740088230}"/>
                </c:ext>
              </c:extLst>
            </c:dLbl>
            <c:dLbl>
              <c:idx val="7"/>
              <c:layout>
                <c:manualLayout>
                  <c:x val="-6.3692771936442072E-2"/>
                  <c:y val="-0.10204155730533689"/>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39DE-4C7B-9185-1A4740088230}"/>
                </c:ext>
              </c:extLst>
            </c:dLbl>
            <c:dLbl>
              <c:idx val="8"/>
              <c:layout>
                <c:manualLayout>
                  <c:x val="-5.9012054630895837E-2"/>
                  <c:y val="-0.10204155730533683"/>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39DE-4C7B-9185-1A4740088230}"/>
                </c:ext>
              </c:extLst>
            </c:dLbl>
            <c:dLbl>
              <c:idx val="9"/>
              <c:layout>
                <c:manualLayout>
                  <c:x val="-5.5861712802711613E-2"/>
                  <c:y val="-7.4263779527559109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39DE-4C7B-9185-1A4740088230}"/>
                </c:ext>
              </c:extLst>
            </c:dLbl>
            <c:spPr>
              <a:noFill/>
              <a:ln>
                <a:noFill/>
              </a:ln>
              <a:effectLst/>
            </c:spPr>
            <c:txPr>
              <a:bodyPr/>
              <a:lstStyle/>
              <a:p>
                <a:pPr>
                  <a:defRPr b="1"/>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multiLvlStrRef>
              <c:f>Sheet1!$A$52:$B$74</c:f>
              <c:multiLvlStrCache>
                <c:ptCount val="15"/>
                <c:lvl>
                  <c:pt idx="0">
                    <c:v>I</c:v>
                  </c:pt>
                  <c:pt idx="1">
                    <c:v>II</c:v>
                  </c:pt>
                  <c:pt idx="2">
                    <c:v>III</c:v>
                  </c:pt>
                  <c:pt idx="3">
                    <c:v>IV</c:v>
                  </c:pt>
                  <c:pt idx="4">
                    <c:v>I</c:v>
                  </c:pt>
                  <c:pt idx="5">
                    <c:v>II</c:v>
                  </c:pt>
                  <c:pt idx="6">
                    <c:v>III</c:v>
                  </c:pt>
                  <c:pt idx="7">
                    <c:v>IV</c:v>
                  </c:pt>
                  <c:pt idx="8">
                    <c:v>I</c:v>
                  </c:pt>
                  <c:pt idx="9">
                    <c:v>II</c:v>
                  </c:pt>
                  <c:pt idx="10">
                    <c:v>III</c:v>
                  </c:pt>
                  <c:pt idx="11">
                    <c:v>IV</c:v>
                  </c:pt>
                  <c:pt idx="12">
                    <c:v>I</c:v>
                  </c:pt>
                  <c:pt idx="13">
                    <c:v>II</c:v>
                  </c:pt>
                  <c:pt idx="14">
                    <c:v>օգ.</c:v>
                  </c:pt>
                </c:lvl>
                <c:lvl>
                  <c:pt idx="0">
                    <c:v>2022</c:v>
                  </c:pt>
                  <c:pt idx="4">
                    <c:v>2023</c:v>
                  </c:pt>
                  <c:pt idx="8">
                    <c:v>2024</c:v>
                  </c:pt>
                  <c:pt idx="12">
                    <c:v>2025</c:v>
                  </c:pt>
                </c:lvl>
              </c:multiLvlStrCache>
            </c:multiLvlStrRef>
          </c:cat>
          <c:val>
            <c:numRef>
              <c:f>Sheet1!$C$28:$C$74</c:f>
              <c:numCache>
                <c:formatCode>0.0</c:formatCode>
                <c:ptCount val="15"/>
                <c:pt idx="0">
                  <c:v>7.4</c:v>
                </c:pt>
                <c:pt idx="1">
                  <c:v>10.303516699999999</c:v>
                </c:pt>
                <c:pt idx="2">
                  <c:v>9.8939643000000004</c:v>
                </c:pt>
                <c:pt idx="3">
                  <c:v>8.2953162999999996</c:v>
                </c:pt>
                <c:pt idx="4">
                  <c:v>5.4</c:v>
                </c:pt>
                <c:pt idx="5">
                  <c:v>-0.5</c:v>
                </c:pt>
                <c:pt idx="6">
                  <c:v>0.1</c:v>
                </c:pt>
                <c:pt idx="7">
                  <c:v>-0.6</c:v>
                </c:pt>
                <c:pt idx="8">
                  <c:v>-1.2</c:v>
                </c:pt>
                <c:pt idx="9">
                  <c:v>0.8</c:v>
                </c:pt>
                <c:pt idx="10">
                  <c:v>0.6</c:v>
                </c:pt>
                <c:pt idx="11">
                  <c:v>1.5</c:v>
                </c:pt>
                <c:pt idx="12">
                  <c:v>3.2551000000000001</c:v>
                </c:pt>
                <c:pt idx="13">
                  <c:v>3.9</c:v>
                </c:pt>
                <c:pt idx="14">
                  <c:v>3.6</c:v>
                </c:pt>
              </c:numCache>
            </c:numRef>
          </c:val>
          <c:smooth val="0"/>
          <c:extLst>
            <c:ext xmlns:c16="http://schemas.microsoft.com/office/drawing/2014/chart" uri="{C3380CC4-5D6E-409C-BE32-E72D297353CC}">
              <c16:uniqueId val="{0000000B-39DE-4C7B-9185-1A4740088230}"/>
            </c:ext>
          </c:extLst>
        </c:ser>
        <c:dLbls>
          <c:showLegendKey val="0"/>
          <c:showVal val="0"/>
          <c:showCatName val="0"/>
          <c:showSerName val="0"/>
          <c:showPercent val="0"/>
          <c:showBubbleSize val="0"/>
        </c:dLbls>
        <c:marker val="1"/>
        <c:smooth val="0"/>
        <c:axId val="339256064"/>
        <c:axId val="339257600"/>
      </c:lineChart>
      <c:catAx>
        <c:axId val="339256064"/>
        <c:scaling>
          <c:orientation val="minMax"/>
        </c:scaling>
        <c:delete val="0"/>
        <c:axPos val="b"/>
        <c:numFmt formatCode="General" sourceLinked="1"/>
        <c:majorTickMark val="out"/>
        <c:minorTickMark val="none"/>
        <c:tickLblPos val="low"/>
        <c:spPr>
          <a:noFill/>
          <a:ln w="9525" cap="flat" cmpd="sng" algn="ctr">
            <a:solidFill>
              <a:schemeClr val="dk1">
                <a:lumMod val="15000"/>
                <a:lumOff val="85000"/>
              </a:schemeClr>
            </a:solidFill>
            <a:round/>
          </a:ln>
          <a:effectLst/>
        </c:spPr>
        <c:txPr>
          <a:bodyPr rot="-5400000" vert="horz" anchor="ctr" anchorCtr="0"/>
          <a:lstStyle/>
          <a:p>
            <a:pPr>
              <a:defRPr b="1"/>
            </a:pPr>
            <a:endParaRPr lang="en-US"/>
          </a:p>
        </c:txPr>
        <c:crossAx val="339257600"/>
        <c:crosses val="autoZero"/>
        <c:auto val="1"/>
        <c:lblAlgn val="ctr"/>
        <c:lblOffset val="100"/>
        <c:tickMarkSkip val="1"/>
        <c:noMultiLvlLbl val="0"/>
      </c:catAx>
      <c:valAx>
        <c:axId val="339257600"/>
        <c:scaling>
          <c:orientation val="minMax"/>
        </c:scaling>
        <c:delete val="0"/>
        <c:axPos val="l"/>
        <c:numFmt formatCode="0" sourceLinked="0"/>
        <c:majorTickMark val="none"/>
        <c:minorTickMark val="none"/>
        <c:tickLblPos val="nextTo"/>
        <c:spPr>
          <a:noFill/>
          <a:ln>
            <a:noFill/>
          </a:ln>
          <a:effectLst/>
        </c:spPr>
        <c:txPr>
          <a:bodyPr rot="-60000000" vert="horz"/>
          <a:lstStyle/>
          <a:p>
            <a:pPr>
              <a:defRPr>
                <a:solidFill>
                  <a:schemeClr val="bg1">
                    <a:lumMod val="65000"/>
                  </a:schemeClr>
                </a:solidFill>
              </a:defRPr>
            </a:pPr>
            <a:endParaRPr lang="en-US"/>
          </a:p>
        </c:txPr>
        <c:crossAx val="339256064"/>
        <c:crosses val="autoZero"/>
        <c:crossBetween val="between"/>
      </c:valAx>
      <c:spPr>
        <a:noFill/>
        <a:ln w="25400">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noFill/>
    <a:ln w="19050" cap="flat" cmpd="sng" algn="ctr">
      <a:solidFill>
        <a:sysClr val="window" lastClr="FFFFFF"/>
      </a:solidFill>
      <a:round/>
    </a:ln>
    <a:effectLst/>
  </c:spPr>
  <c:txPr>
    <a:bodyPr/>
    <a:lstStyle/>
    <a:p>
      <a:pPr>
        <a:defRPr sz="800">
          <a:solidFill>
            <a:sysClr val="windowText" lastClr="000000"/>
          </a:solidFill>
          <a:latin typeface="Calibri" panose="020F0502020204030204" pitchFamily="34" charset="0"/>
          <a:ea typeface="Calibri" panose="020F0502020204030204" pitchFamily="34" charset="0"/>
          <a:cs typeface="Calibri" panose="020F0502020204030204" pitchFamily="34" charset="0"/>
        </a:defRPr>
      </a:pPr>
      <a:endParaRPr lang="en-US"/>
    </a:p>
  </c:txPr>
  <c:externalData r:id="rId2">
    <c:autoUpdate val="0"/>
  </c:externalData>
</c:chartSpace>
</file>

<file path=word/charts/chart3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vert="horz"/>
          <a:lstStyle/>
          <a:p>
            <a:pPr>
              <a:defRPr/>
            </a:pPr>
            <a:r>
              <a:rPr lang="en-US"/>
              <a:t>Մ</a:t>
            </a:r>
            <a:r>
              <a:rPr lang="hy-AM"/>
              <a:t>իջին գնաճը</a:t>
            </a:r>
            <a:r>
              <a:rPr lang="en-US"/>
              <a:t>, %</a:t>
            </a:r>
          </a:p>
        </c:rich>
      </c:tx>
      <c:layout>
        <c:manualLayout>
          <c:xMode val="edge"/>
          <c:yMode val="edge"/>
          <c:x val="8.6218463763458125E-2"/>
          <c:y val="4.9668874172185427E-2"/>
        </c:manualLayout>
      </c:layout>
      <c:overlay val="0"/>
      <c:spPr>
        <a:noFill/>
        <a:ln>
          <a:noFill/>
        </a:ln>
        <a:effectLst/>
      </c:spPr>
    </c:title>
    <c:autoTitleDeleted val="0"/>
    <c:plotArea>
      <c:layout>
        <c:manualLayout>
          <c:layoutTarget val="inner"/>
          <c:xMode val="edge"/>
          <c:yMode val="edge"/>
          <c:x val="8.8756427767957571E-2"/>
          <c:y val="0.18661026229337227"/>
          <c:w val="0.84611086560608495"/>
          <c:h val="0.55506780402449696"/>
        </c:manualLayout>
      </c:layout>
      <c:barChart>
        <c:barDir val="col"/>
        <c:grouping val="stacked"/>
        <c:varyColors val="0"/>
        <c:ser>
          <c:idx val="1"/>
          <c:order val="1"/>
          <c:tx>
            <c:strRef>
              <c:f>Sheet1!$D$1</c:f>
              <c:strCache>
                <c:ptCount val="1"/>
                <c:pt idx="0">
                  <c:v>Սննդամթերք և ոչ ալկոհոլային խմիչքներ</c:v>
                </c:pt>
              </c:strCache>
            </c:strRef>
          </c:tx>
          <c:spPr>
            <a:solidFill>
              <a:srgbClr val="4472C4">
                <a:lumMod val="50000"/>
              </a:srgbClr>
            </a:solidFill>
            <a:ln>
              <a:noFill/>
            </a:ln>
            <a:effectLst/>
          </c:spPr>
          <c:invertIfNegative val="0"/>
          <c:cat>
            <c:multiLvlStrRef>
              <c:f>Sheet1!$A$60:$B$74</c:f>
              <c:multiLvlStrCache>
                <c:ptCount val="15"/>
                <c:lvl>
                  <c:pt idx="0">
                    <c:v>I</c:v>
                  </c:pt>
                  <c:pt idx="1">
                    <c:v>II</c:v>
                  </c:pt>
                  <c:pt idx="2">
                    <c:v>III</c:v>
                  </c:pt>
                  <c:pt idx="3">
                    <c:v>IV</c:v>
                  </c:pt>
                  <c:pt idx="4">
                    <c:v>I</c:v>
                  </c:pt>
                  <c:pt idx="5">
                    <c:v>II</c:v>
                  </c:pt>
                  <c:pt idx="6">
                    <c:v>III</c:v>
                  </c:pt>
                  <c:pt idx="7">
                    <c:v>IV</c:v>
                  </c:pt>
                  <c:pt idx="8">
                    <c:v>I</c:v>
                  </c:pt>
                  <c:pt idx="9">
                    <c:v>II</c:v>
                  </c:pt>
                  <c:pt idx="10">
                    <c:v>III</c:v>
                  </c:pt>
                  <c:pt idx="11">
                    <c:v>IV</c:v>
                  </c:pt>
                  <c:pt idx="12">
                    <c:v>I</c:v>
                  </c:pt>
                  <c:pt idx="13">
                    <c:v>II</c:v>
                  </c:pt>
                  <c:pt idx="14">
                    <c:v>օգ.</c:v>
                  </c:pt>
                </c:lvl>
                <c:lvl>
                  <c:pt idx="0">
                    <c:v>2022</c:v>
                  </c:pt>
                  <c:pt idx="4">
                    <c:v>2023</c:v>
                  </c:pt>
                  <c:pt idx="8">
                    <c:v>2024</c:v>
                  </c:pt>
                  <c:pt idx="12">
                    <c:v>2025</c:v>
                  </c:pt>
                </c:lvl>
              </c:multiLvlStrCache>
            </c:multiLvlStrRef>
          </c:cat>
          <c:val>
            <c:numRef>
              <c:f>Sheet1!$D$2:$D$74</c:f>
              <c:numCache>
                <c:formatCode>0.0</c:formatCode>
                <c:ptCount val="15"/>
                <c:pt idx="0">
                  <c:v>4.501684</c:v>
                </c:pt>
                <c:pt idx="1">
                  <c:v>5.0969480000000003</c:v>
                </c:pt>
                <c:pt idx="2">
                  <c:v>5.0597440000000002</c:v>
                </c:pt>
                <c:pt idx="3">
                  <c:v>4.8365200000000002</c:v>
                </c:pt>
                <c:pt idx="4">
                  <c:v>3.0135239999999999</c:v>
                </c:pt>
                <c:pt idx="5">
                  <c:v>1.1994399999999998</c:v>
                </c:pt>
                <c:pt idx="6">
                  <c:v>0.28952</c:v>
                </c:pt>
                <c:pt idx="7">
                  <c:v>-0.18875</c:v>
                </c:pt>
                <c:pt idx="8">
                  <c:v>-2.60568</c:v>
                </c:pt>
                <c:pt idx="9">
                  <c:v>-1.8198400000000001</c:v>
                </c:pt>
                <c:pt idx="10">
                  <c:v>-1.2407999999999999</c:v>
                </c:pt>
                <c:pt idx="11">
                  <c:v>-0.82719999999999994</c:v>
                </c:pt>
                <c:pt idx="12">
                  <c:v>1.6771910999999997</c:v>
                </c:pt>
                <c:pt idx="13">
                  <c:v>2.1271692</c:v>
                </c:pt>
                <c:pt idx="14">
                  <c:v>2.0862620999999999</c:v>
                </c:pt>
              </c:numCache>
            </c:numRef>
          </c:val>
          <c:extLst>
            <c:ext xmlns:c16="http://schemas.microsoft.com/office/drawing/2014/chart" uri="{C3380CC4-5D6E-409C-BE32-E72D297353CC}">
              <c16:uniqueId val="{00000000-2F6D-442D-BFD8-9A9D58D3FC78}"/>
            </c:ext>
          </c:extLst>
        </c:ser>
        <c:ser>
          <c:idx val="2"/>
          <c:order val="2"/>
          <c:tx>
            <c:strRef>
              <c:f>Sheet1!$E$1</c:f>
              <c:strCache>
                <c:ptCount val="1"/>
                <c:pt idx="0">
                  <c:v>Ալկոհոլային խմիչքներ, ծխախոտ</c:v>
                </c:pt>
              </c:strCache>
            </c:strRef>
          </c:tx>
          <c:spPr>
            <a:solidFill>
              <a:srgbClr val="ED7D31">
                <a:lumMod val="60000"/>
                <a:lumOff val="40000"/>
              </a:srgbClr>
            </a:solidFill>
            <a:ln>
              <a:noFill/>
            </a:ln>
            <a:effectLst/>
          </c:spPr>
          <c:invertIfNegative val="0"/>
          <c:cat>
            <c:multiLvlStrRef>
              <c:f>Sheet1!$A$60:$B$74</c:f>
              <c:multiLvlStrCache>
                <c:ptCount val="15"/>
                <c:lvl>
                  <c:pt idx="0">
                    <c:v>I</c:v>
                  </c:pt>
                  <c:pt idx="1">
                    <c:v>II</c:v>
                  </c:pt>
                  <c:pt idx="2">
                    <c:v>III</c:v>
                  </c:pt>
                  <c:pt idx="3">
                    <c:v>IV</c:v>
                  </c:pt>
                  <c:pt idx="4">
                    <c:v>I</c:v>
                  </c:pt>
                  <c:pt idx="5">
                    <c:v>II</c:v>
                  </c:pt>
                  <c:pt idx="6">
                    <c:v>III</c:v>
                  </c:pt>
                  <c:pt idx="7">
                    <c:v>IV</c:v>
                  </c:pt>
                  <c:pt idx="8">
                    <c:v>I</c:v>
                  </c:pt>
                  <c:pt idx="9">
                    <c:v>II</c:v>
                  </c:pt>
                  <c:pt idx="10">
                    <c:v>III</c:v>
                  </c:pt>
                  <c:pt idx="11">
                    <c:v>IV</c:v>
                  </c:pt>
                  <c:pt idx="12">
                    <c:v>I</c:v>
                  </c:pt>
                  <c:pt idx="13">
                    <c:v>II</c:v>
                  </c:pt>
                  <c:pt idx="14">
                    <c:v>օգ.</c:v>
                  </c:pt>
                </c:lvl>
                <c:lvl>
                  <c:pt idx="0">
                    <c:v>2022</c:v>
                  </c:pt>
                  <c:pt idx="4">
                    <c:v>2023</c:v>
                  </c:pt>
                  <c:pt idx="8">
                    <c:v>2024</c:v>
                  </c:pt>
                  <c:pt idx="12">
                    <c:v>2025</c:v>
                  </c:pt>
                </c:lvl>
              </c:multiLvlStrCache>
            </c:multiLvlStrRef>
          </c:cat>
          <c:val>
            <c:numRef>
              <c:f>Sheet1!$E$2:$E$74</c:f>
              <c:numCache>
                <c:formatCode>0.0</c:formatCode>
                <c:ptCount val="15"/>
                <c:pt idx="0">
                  <c:v>0.35207929999999998</c:v>
                </c:pt>
                <c:pt idx="1">
                  <c:v>0.3476226</c:v>
                </c:pt>
                <c:pt idx="2">
                  <c:v>0.35653599999999996</c:v>
                </c:pt>
                <c:pt idx="3">
                  <c:v>0.36544939999999998</c:v>
                </c:pt>
                <c:pt idx="4">
                  <c:v>0.40555969999999997</c:v>
                </c:pt>
                <c:pt idx="5">
                  <c:v>0.39043999999999995</c:v>
                </c:pt>
                <c:pt idx="6">
                  <c:v>0.38590000000000002</c:v>
                </c:pt>
                <c:pt idx="7">
                  <c:v>0.32640000000000002</c:v>
                </c:pt>
                <c:pt idx="8">
                  <c:v>0.33596000000000004</c:v>
                </c:pt>
                <c:pt idx="9">
                  <c:v>0.30418000000000001</c:v>
                </c:pt>
                <c:pt idx="10">
                  <c:v>0.26785999999999999</c:v>
                </c:pt>
                <c:pt idx="11">
                  <c:v>0.24516000000000002</c:v>
                </c:pt>
                <c:pt idx="12">
                  <c:v>0.17654599999999998</c:v>
                </c:pt>
                <c:pt idx="13">
                  <c:v>0.219606</c:v>
                </c:pt>
                <c:pt idx="14">
                  <c:v>0.23682999999999998</c:v>
                </c:pt>
              </c:numCache>
            </c:numRef>
          </c:val>
          <c:extLst>
            <c:ext xmlns:c16="http://schemas.microsoft.com/office/drawing/2014/chart" uri="{C3380CC4-5D6E-409C-BE32-E72D297353CC}">
              <c16:uniqueId val="{00000001-2F6D-442D-BFD8-9A9D58D3FC78}"/>
            </c:ext>
          </c:extLst>
        </c:ser>
        <c:ser>
          <c:idx val="3"/>
          <c:order val="3"/>
          <c:tx>
            <c:strRef>
              <c:f>Sheet1!$F$1</c:f>
              <c:strCache>
                <c:ptCount val="1"/>
                <c:pt idx="0">
                  <c:v>Ոչ պարենային ապրանքներ</c:v>
                </c:pt>
              </c:strCache>
            </c:strRef>
          </c:tx>
          <c:spPr>
            <a:solidFill>
              <a:sysClr val="window" lastClr="FFFFFF">
                <a:lumMod val="65000"/>
              </a:sysClr>
            </a:solidFill>
            <a:ln>
              <a:noFill/>
            </a:ln>
            <a:effectLst/>
          </c:spPr>
          <c:invertIfNegative val="0"/>
          <c:cat>
            <c:multiLvlStrRef>
              <c:f>Sheet1!$A$60:$B$74</c:f>
              <c:multiLvlStrCache>
                <c:ptCount val="15"/>
                <c:lvl>
                  <c:pt idx="0">
                    <c:v>I</c:v>
                  </c:pt>
                  <c:pt idx="1">
                    <c:v>II</c:v>
                  </c:pt>
                  <c:pt idx="2">
                    <c:v>III</c:v>
                  </c:pt>
                  <c:pt idx="3">
                    <c:v>IV</c:v>
                  </c:pt>
                  <c:pt idx="4">
                    <c:v>I</c:v>
                  </c:pt>
                  <c:pt idx="5">
                    <c:v>II</c:v>
                  </c:pt>
                  <c:pt idx="6">
                    <c:v>III</c:v>
                  </c:pt>
                  <c:pt idx="7">
                    <c:v>IV</c:v>
                  </c:pt>
                  <c:pt idx="8">
                    <c:v>I</c:v>
                  </c:pt>
                  <c:pt idx="9">
                    <c:v>II</c:v>
                  </c:pt>
                  <c:pt idx="10">
                    <c:v>III</c:v>
                  </c:pt>
                  <c:pt idx="11">
                    <c:v>IV</c:v>
                  </c:pt>
                  <c:pt idx="12">
                    <c:v>I</c:v>
                  </c:pt>
                  <c:pt idx="13">
                    <c:v>II</c:v>
                  </c:pt>
                  <c:pt idx="14">
                    <c:v>օգ.</c:v>
                  </c:pt>
                </c:lvl>
                <c:lvl>
                  <c:pt idx="0">
                    <c:v>2022</c:v>
                  </c:pt>
                  <c:pt idx="4">
                    <c:v>2023</c:v>
                  </c:pt>
                  <c:pt idx="8">
                    <c:v>2024</c:v>
                  </c:pt>
                  <c:pt idx="12">
                    <c:v>2025</c:v>
                  </c:pt>
                </c:lvl>
              </c:multiLvlStrCache>
            </c:multiLvlStrRef>
          </c:cat>
          <c:val>
            <c:numRef>
              <c:f>Sheet1!$F$2:$F$74</c:f>
              <c:numCache>
                <c:formatCode>0.0</c:formatCode>
                <c:ptCount val="15"/>
                <c:pt idx="0">
                  <c:v>1.2215499999999999</c:v>
                </c:pt>
                <c:pt idx="1">
                  <c:v>1.3548099999999998</c:v>
                </c:pt>
                <c:pt idx="2">
                  <c:v>1.5102799999999998</c:v>
                </c:pt>
                <c:pt idx="3">
                  <c:v>1.5547</c:v>
                </c:pt>
                <c:pt idx="4">
                  <c:v>1.1993400000000001</c:v>
                </c:pt>
                <c:pt idx="5">
                  <c:v>0.71543999999999996</c:v>
                </c:pt>
                <c:pt idx="6">
                  <c:v>0.47696000000000005</c:v>
                </c:pt>
                <c:pt idx="7">
                  <c:v>0.39541999999999999</c:v>
                </c:pt>
                <c:pt idx="8">
                  <c:v>8.6720000000000005E-2</c:v>
                </c:pt>
                <c:pt idx="9">
                  <c:v>2.1680000000000001E-2</c:v>
                </c:pt>
                <c:pt idx="10">
                  <c:v>-8.6720000000000005E-2</c:v>
                </c:pt>
                <c:pt idx="11">
                  <c:v>-0.17344000000000001</c:v>
                </c:pt>
                <c:pt idx="12">
                  <c:v>-0.23265</c:v>
                </c:pt>
                <c:pt idx="13">
                  <c:v>-0.14804999999999999</c:v>
                </c:pt>
                <c:pt idx="14">
                  <c:v>-8.4599999999999995E-2</c:v>
                </c:pt>
              </c:numCache>
            </c:numRef>
          </c:val>
          <c:extLst>
            <c:ext xmlns:c16="http://schemas.microsoft.com/office/drawing/2014/chart" uri="{C3380CC4-5D6E-409C-BE32-E72D297353CC}">
              <c16:uniqueId val="{00000002-2F6D-442D-BFD8-9A9D58D3FC78}"/>
            </c:ext>
          </c:extLst>
        </c:ser>
        <c:ser>
          <c:idx val="4"/>
          <c:order val="4"/>
          <c:tx>
            <c:strRef>
              <c:f>Sheet1!$G$1</c:f>
              <c:strCache>
                <c:ptCount val="1"/>
                <c:pt idx="0">
                  <c:v>Ծառայություններ </c:v>
                </c:pt>
              </c:strCache>
            </c:strRef>
          </c:tx>
          <c:spPr>
            <a:solidFill>
              <a:srgbClr val="B4C7E7"/>
            </a:solidFill>
            <a:ln>
              <a:noFill/>
            </a:ln>
            <a:effectLst/>
          </c:spPr>
          <c:invertIfNegative val="0"/>
          <c:cat>
            <c:multiLvlStrRef>
              <c:f>Sheet1!$A$60:$B$74</c:f>
              <c:multiLvlStrCache>
                <c:ptCount val="15"/>
                <c:lvl>
                  <c:pt idx="0">
                    <c:v>I</c:v>
                  </c:pt>
                  <c:pt idx="1">
                    <c:v>II</c:v>
                  </c:pt>
                  <c:pt idx="2">
                    <c:v>III</c:v>
                  </c:pt>
                  <c:pt idx="3">
                    <c:v>IV</c:v>
                  </c:pt>
                  <c:pt idx="4">
                    <c:v>I</c:v>
                  </c:pt>
                  <c:pt idx="5">
                    <c:v>II</c:v>
                  </c:pt>
                  <c:pt idx="6">
                    <c:v>III</c:v>
                  </c:pt>
                  <c:pt idx="7">
                    <c:v>IV</c:v>
                  </c:pt>
                  <c:pt idx="8">
                    <c:v>I</c:v>
                  </c:pt>
                  <c:pt idx="9">
                    <c:v>II</c:v>
                  </c:pt>
                  <c:pt idx="10">
                    <c:v>III</c:v>
                  </c:pt>
                  <c:pt idx="11">
                    <c:v>IV</c:v>
                  </c:pt>
                  <c:pt idx="12">
                    <c:v>I</c:v>
                  </c:pt>
                  <c:pt idx="13">
                    <c:v>II</c:v>
                  </c:pt>
                  <c:pt idx="14">
                    <c:v>օգ.</c:v>
                  </c:pt>
                </c:lvl>
                <c:lvl>
                  <c:pt idx="0">
                    <c:v>2022</c:v>
                  </c:pt>
                  <c:pt idx="4">
                    <c:v>2023</c:v>
                  </c:pt>
                  <c:pt idx="8">
                    <c:v>2024</c:v>
                  </c:pt>
                  <c:pt idx="12">
                    <c:v>2025</c:v>
                  </c:pt>
                </c:lvl>
              </c:multiLvlStrCache>
            </c:multiLvlStrRef>
          </c:cat>
          <c:val>
            <c:numRef>
              <c:f>Sheet1!$G$2:$G$74</c:f>
              <c:numCache>
                <c:formatCode>0.0</c:formatCode>
                <c:ptCount val="15"/>
                <c:pt idx="0">
                  <c:v>0.90325</c:v>
                </c:pt>
                <c:pt idx="1">
                  <c:v>1.2645500000000001</c:v>
                </c:pt>
                <c:pt idx="2">
                  <c:v>1.62585</c:v>
                </c:pt>
                <c:pt idx="3">
                  <c:v>1.8787600000000004</c:v>
                </c:pt>
                <c:pt idx="4">
                  <c:v>2.4929700000000001</c:v>
                </c:pt>
                <c:pt idx="5">
                  <c:v>1.8479400000000001</c:v>
                </c:pt>
                <c:pt idx="6">
                  <c:v>1.6210000000000002</c:v>
                </c:pt>
                <c:pt idx="7">
                  <c:v>1.5817499999999998</c:v>
                </c:pt>
                <c:pt idx="8">
                  <c:v>0.97260000000000002</c:v>
                </c:pt>
                <c:pt idx="9">
                  <c:v>0.90776000000000001</c:v>
                </c:pt>
                <c:pt idx="10">
                  <c:v>0.97260000000000002</c:v>
                </c:pt>
                <c:pt idx="11">
                  <c:v>0.97260000000000002</c:v>
                </c:pt>
                <c:pt idx="12">
                  <c:v>0.90827999999999998</c:v>
                </c:pt>
                <c:pt idx="13">
                  <c:v>0.97555999999999998</c:v>
                </c:pt>
                <c:pt idx="14">
                  <c:v>1.0092000000000001</c:v>
                </c:pt>
              </c:numCache>
            </c:numRef>
          </c:val>
          <c:extLst>
            <c:ext xmlns:c16="http://schemas.microsoft.com/office/drawing/2014/chart" uri="{C3380CC4-5D6E-409C-BE32-E72D297353CC}">
              <c16:uniqueId val="{00000003-2F6D-442D-BFD8-9A9D58D3FC78}"/>
            </c:ext>
          </c:extLst>
        </c:ser>
        <c:dLbls>
          <c:showLegendKey val="0"/>
          <c:showVal val="0"/>
          <c:showCatName val="0"/>
          <c:showSerName val="0"/>
          <c:showPercent val="0"/>
          <c:showBubbleSize val="0"/>
        </c:dLbls>
        <c:gapWidth val="70"/>
        <c:overlap val="100"/>
        <c:axId val="339650048"/>
        <c:axId val="339651584"/>
      </c:barChart>
      <c:lineChart>
        <c:grouping val="standard"/>
        <c:varyColors val="0"/>
        <c:ser>
          <c:idx val="0"/>
          <c:order val="0"/>
          <c:tx>
            <c:strRef>
              <c:f>Sheet1!$C$1</c:f>
              <c:strCache>
                <c:ptCount val="1"/>
                <c:pt idx="0">
                  <c:v>12-ամսյա գնաճ</c:v>
                </c:pt>
              </c:strCache>
            </c:strRef>
          </c:tx>
          <c:spPr>
            <a:ln w="25400" cap="rnd">
              <a:solidFill>
                <a:srgbClr val="4472C4">
                  <a:lumMod val="75000"/>
                </a:srgbClr>
              </a:solidFill>
              <a:round/>
            </a:ln>
            <a:effectLst/>
          </c:spPr>
          <c:marker>
            <c:symbol val="none"/>
          </c:marker>
          <c:dPt>
            <c:idx val="3"/>
            <c:marker>
              <c:symbol val="square"/>
              <c:size val="6"/>
              <c:spPr>
                <a:noFill/>
                <a:ln w="15875">
                  <a:noFill/>
                  <a:round/>
                </a:ln>
                <a:effectLst/>
              </c:spPr>
            </c:marker>
            <c:bubble3D val="0"/>
            <c:extLst>
              <c:ext xmlns:c16="http://schemas.microsoft.com/office/drawing/2014/chart" uri="{C3380CC4-5D6E-409C-BE32-E72D297353CC}">
                <c16:uniqueId val="{00000004-2F6D-442D-BFD8-9A9D58D3FC78}"/>
              </c:ext>
            </c:extLst>
          </c:dPt>
          <c:dLbls>
            <c:dLbl>
              <c:idx val="1"/>
              <c:layout>
                <c:manualLayout>
                  <c:x val="-5.8725156151722038E-2"/>
                  <c:y val="-4.648600174978129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2F6D-442D-BFD8-9A9D58D3FC78}"/>
                </c:ext>
              </c:extLst>
            </c:dLbl>
            <c:dLbl>
              <c:idx val="2"/>
              <c:layout>
                <c:manualLayout>
                  <c:x val="-6.6478084942500515E-2"/>
                  <c:y val="-2.9819335083114611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2F6D-442D-BFD8-9A9D58D3FC78}"/>
                </c:ext>
              </c:extLst>
            </c:dLbl>
            <c:dLbl>
              <c:idx val="3"/>
              <c:layout>
                <c:manualLayout>
                  <c:x val="-6.434224555762226E-2"/>
                  <c:y val="-3.8152668416447946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2F6D-442D-BFD8-9A9D58D3FC78}"/>
                </c:ext>
              </c:extLst>
            </c:dLbl>
            <c:dLbl>
              <c:idx val="4"/>
              <c:layout>
                <c:manualLayout>
                  <c:x val="-5.528628656573837E-2"/>
                  <c:y val="-3.5374890638670164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2F6D-442D-BFD8-9A9D58D3FC78}"/>
                </c:ext>
              </c:extLst>
            </c:dLbl>
            <c:dLbl>
              <c:idx val="8"/>
              <c:layout>
                <c:manualLayout>
                  <c:x val="-5.9012054630895691E-2"/>
                  <c:y val="-0.13537489063867028"/>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2F6D-442D-BFD8-9A9D58D3FC78}"/>
                </c:ext>
              </c:extLst>
            </c:dLbl>
            <c:dLbl>
              <c:idx val="9"/>
              <c:layout>
                <c:manualLayout>
                  <c:x val="-5.3869569165879039E-2"/>
                  <c:y val="-0.12981933508311461"/>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2F6D-442D-BFD8-9A9D58D3FC78}"/>
                </c:ext>
              </c:extLst>
            </c:dLbl>
            <c:spPr>
              <a:noFill/>
              <a:ln>
                <a:noFill/>
              </a:ln>
              <a:effectLst/>
            </c:spPr>
            <c:txPr>
              <a:bodyPr/>
              <a:lstStyle/>
              <a:p>
                <a:pPr>
                  <a:defRPr b="1"/>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multiLvlStrRef>
              <c:f>Sheet1!$A$28:$B$74</c:f>
              <c:multiLvlStrCache>
                <c:ptCount val="15"/>
                <c:lvl>
                  <c:pt idx="0">
                    <c:v>I</c:v>
                  </c:pt>
                  <c:pt idx="1">
                    <c:v>II</c:v>
                  </c:pt>
                  <c:pt idx="2">
                    <c:v>III</c:v>
                  </c:pt>
                  <c:pt idx="3">
                    <c:v>IV</c:v>
                  </c:pt>
                  <c:pt idx="4">
                    <c:v>I</c:v>
                  </c:pt>
                  <c:pt idx="5">
                    <c:v>II</c:v>
                  </c:pt>
                  <c:pt idx="6">
                    <c:v>III</c:v>
                  </c:pt>
                  <c:pt idx="7">
                    <c:v>IV</c:v>
                  </c:pt>
                  <c:pt idx="8">
                    <c:v>I</c:v>
                  </c:pt>
                  <c:pt idx="9">
                    <c:v>II</c:v>
                  </c:pt>
                  <c:pt idx="10">
                    <c:v>III</c:v>
                  </c:pt>
                  <c:pt idx="11">
                    <c:v>IV</c:v>
                  </c:pt>
                  <c:pt idx="12">
                    <c:v>I</c:v>
                  </c:pt>
                  <c:pt idx="13">
                    <c:v>II</c:v>
                  </c:pt>
                  <c:pt idx="14">
                    <c:v>օգ.</c:v>
                  </c:pt>
                </c:lvl>
                <c:lvl>
                  <c:pt idx="0">
                    <c:v>2022</c:v>
                  </c:pt>
                  <c:pt idx="4">
                    <c:v>2023</c:v>
                  </c:pt>
                  <c:pt idx="8">
                    <c:v>2024</c:v>
                  </c:pt>
                  <c:pt idx="12">
                    <c:v>2025</c:v>
                  </c:pt>
                </c:lvl>
              </c:multiLvlStrCache>
            </c:multiLvlStrRef>
          </c:cat>
          <c:val>
            <c:numRef>
              <c:f>Sheet1!$C$2:$C$74</c:f>
              <c:numCache>
                <c:formatCode>0.0</c:formatCode>
                <c:ptCount val="15"/>
                <c:pt idx="0">
                  <c:v>6.9785632999999994</c:v>
                </c:pt>
                <c:pt idx="1">
                  <c:v>8.0639306000000008</c:v>
                </c:pt>
                <c:pt idx="2">
                  <c:v>8.5524100000000001</c:v>
                </c:pt>
                <c:pt idx="3">
                  <c:v>8.6354293999999996</c:v>
                </c:pt>
                <c:pt idx="4">
                  <c:v>7.2</c:v>
                </c:pt>
                <c:pt idx="5">
                  <c:v>4.2</c:v>
                </c:pt>
                <c:pt idx="6">
                  <c:v>2.8</c:v>
                </c:pt>
                <c:pt idx="7">
                  <c:v>2</c:v>
                </c:pt>
                <c:pt idx="8">
                  <c:v>-1.2</c:v>
                </c:pt>
                <c:pt idx="9">
                  <c:v>-0.6</c:v>
                </c:pt>
                <c:pt idx="10">
                  <c:v>0</c:v>
                </c:pt>
                <c:pt idx="11">
                  <c:v>0.3</c:v>
                </c:pt>
                <c:pt idx="12">
                  <c:v>2.5</c:v>
                </c:pt>
                <c:pt idx="13">
                  <c:v>3.1</c:v>
                </c:pt>
                <c:pt idx="14">
                  <c:v>3.2</c:v>
                </c:pt>
              </c:numCache>
            </c:numRef>
          </c:val>
          <c:smooth val="0"/>
          <c:extLst>
            <c:ext xmlns:c16="http://schemas.microsoft.com/office/drawing/2014/chart" uri="{C3380CC4-5D6E-409C-BE32-E72D297353CC}">
              <c16:uniqueId val="{0000000A-2F6D-442D-BFD8-9A9D58D3FC78}"/>
            </c:ext>
          </c:extLst>
        </c:ser>
        <c:dLbls>
          <c:showLegendKey val="0"/>
          <c:showVal val="0"/>
          <c:showCatName val="0"/>
          <c:showSerName val="0"/>
          <c:showPercent val="0"/>
          <c:showBubbleSize val="0"/>
        </c:dLbls>
        <c:marker val="1"/>
        <c:smooth val="0"/>
        <c:axId val="339650048"/>
        <c:axId val="339651584"/>
      </c:lineChart>
      <c:catAx>
        <c:axId val="339650048"/>
        <c:scaling>
          <c:orientation val="minMax"/>
        </c:scaling>
        <c:delete val="0"/>
        <c:axPos val="b"/>
        <c:numFmt formatCode="General" sourceLinked="1"/>
        <c:majorTickMark val="out"/>
        <c:minorTickMark val="none"/>
        <c:tickLblPos val="low"/>
        <c:spPr>
          <a:noFill/>
          <a:ln w="9525" cap="flat" cmpd="sng" algn="ctr">
            <a:solidFill>
              <a:sysClr val="windowText" lastClr="000000">
                <a:lumMod val="15000"/>
                <a:lumOff val="85000"/>
              </a:sysClr>
            </a:solidFill>
            <a:round/>
          </a:ln>
          <a:effectLst/>
        </c:spPr>
        <c:txPr>
          <a:bodyPr rot="-5400000" vert="horz" anchor="t" anchorCtr="0"/>
          <a:lstStyle/>
          <a:p>
            <a:pPr>
              <a:defRPr b="1"/>
            </a:pPr>
            <a:endParaRPr lang="en-US"/>
          </a:p>
        </c:txPr>
        <c:crossAx val="339651584"/>
        <c:crosses val="autoZero"/>
        <c:auto val="1"/>
        <c:lblAlgn val="ctr"/>
        <c:lblOffset val="100"/>
        <c:tickMarkSkip val="1"/>
        <c:noMultiLvlLbl val="0"/>
      </c:catAx>
      <c:valAx>
        <c:axId val="339651584"/>
        <c:scaling>
          <c:orientation val="minMax"/>
          <c:max val="12"/>
          <c:min val="-4"/>
        </c:scaling>
        <c:delete val="0"/>
        <c:axPos val="l"/>
        <c:numFmt formatCode="0" sourceLinked="0"/>
        <c:majorTickMark val="none"/>
        <c:minorTickMark val="none"/>
        <c:tickLblPos val="nextTo"/>
        <c:spPr>
          <a:noFill/>
          <a:ln>
            <a:noFill/>
          </a:ln>
          <a:effectLst/>
        </c:spPr>
        <c:txPr>
          <a:bodyPr rot="-60000000" vert="horz"/>
          <a:lstStyle/>
          <a:p>
            <a:pPr>
              <a:defRPr>
                <a:solidFill>
                  <a:schemeClr val="bg1">
                    <a:lumMod val="65000"/>
                  </a:schemeClr>
                </a:solidFill>
              </a:defRPr>
            </a:pPr>
            <a:endParaRPr lang="en-US"/>
          </a:p>
        </c:txPr>
        <c:crossAx val="339650048"/>
        <c:crosses val="autoZero"/>
        <c:crossBetween val="between"/>
      </c:valAx>
      <c:spPr>
        <a:noFill/>
        <a:ln w="25400">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noFill/>
    <a:ln w="19050" cap="flat" cmpd="sng" algn="ctr">
      <a:solidFill>
        <a:sysClr val="window" lastClr="FFFFFF"/>
      </a:solidFill>
      <a:round/>
    </a:ln>
    <a:effectLst/>
  </c:spPr>
  <c:txPr>
    <a:bodyPr/>
    <a:lstStyle/>
    <a:p>
      <a:pPr algn="ctr">
        <a:defRPr sz="800">
          <a:solidFill>
            <a:sysClr val="windowText" lastClr="000000"/>
          </a:solidFill>
          <a:latin typeface="Calibri" panose="020F0502020204030204" pitchFamily="34" charset="0"/>
          <a:ea typeface="Calibri" panose="020F0502020204030204" pitchFamily="34" charset="0"/>
          <a:cs typeface="Calibri" panose="020F0502020204030204" pitchFamily="34" charset="0"/>
        </a:defRPr>
      </a:pPr>
      <a:endParaRPr lang="en-US"/>
    </a:p>
  </c:txPr>
  <c:externalData r:id="rId2">
    <c:autoUpdate val="0"/>
  </c:externalData>
</c:chartSpace>
</file>

<file path=word/charts/chart4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1270836908098351"/>
          <c:y val="0.1312423813132145"/>
          <c:w val="0.84290099330803991"/>
          <c:h val="0.21350437445319334"/>
        </c:manualLayout>
      </c:layout>
      <c:barChart>
        <c:barDir val="col"/>
        <c:grouping val="stacked"/>
        <c:varyColors val="0"/>
        <c:ser>
          <c:idx val="1"/>
          <c:order val="1"/>
          <c:tx>
            <c:strRef>
              <c:f>Sheet1!$D$1</c:f>
              <c:strCache>
                <c:ptCount val="1"/>
                <c:pt idx="0">
                  <c:v>Սննդամթերք և ոչ ալկոհոլային խմիչքներ</c:v>
                </c:pt>
              </c:strCache>
            </c:strRef>
          </c:tx>
          <c:spPr>
            <a:solidFill>
              <a:srgbClr val="4472C4">
                <a:lumMod val="50000"/>
              </a:srgbClr>
            </a:solidFill>
            <a:ln>
              <a:noFill/>
            </a:ln>
            <a:effectLst/>
          </c:spPr>
          <c:invertIfNegative val="0"/>
          <c:cat>
            <c:strRef>
              <c:f>Sheet1!$B$28:$B$64</c:f>
              <c:strCache>
                <c:ptCount val="17"/>
                <c:pt idx="0">
                  <c:v>I</c:v>
                </c:pt>
                <c:pt idx="1">
                  <c:v>II</c:v>
                </c:pt>
                <c:pt idx="2">
                  <c:v>III</c:v>
                </c:pt>
                <c:pt idx="3">
                  <c:v>IV</c:v>
                </c:pt>
                <c:pt idx="4">
                  <c:v>I</c:v>
                </c:pt>
                <c:pt idx="5">
                  <c:v>II</c:v>
                </c:pt>
                <c:pt idx="6">
                  <c:v>III</c:v>
                </c:pt>
                <c:pt idx="7">
                  <c:v>IV</c:v>
                </c:pt>
                <c:pt idx="8">
                  <c:v>I</c:v>
                </c:pt>
                <c:pt idx="9">
                  <c:v>II</c:v>
                </c:pt>
                <c:pt idx="10">
                  <c:v>III</c:v>
                </c:pt>
                <c:pt idx="11">
                  <c:v>IV</c:v>
                </c:pt>
                <c:pt idx="12">
                  <c:v>I</c:v>
                </c:pt>
                <c:pt idx="13">
                  <c:v>II</c:v>
                </c:pt>
                <c:pt idx="14">
                  <c:v>III</c:v>
                </c:pt>
                <c:pt idx="15">
                  <c:v>IV</c:v>
                </c:pt>
                <c:pt idx="16">
                  <c:v>I</c:v>
                </c:pt>
              </c:strCache>
            </c:strRef>
          </c:cat>
          <c:val>
            <c:numRef>
              <c:f>Sheet1!$D$28:$D$64</c:f>
              <c:numCache>
                <c:formatCode>General</c:formatCode>
                <c:ptCount val="17"/>
              </c:numCache>
            </c:numRef>
          </c:val>
          <c:extLst>
            <c:ext xmlns:c16="http://schemas.microsoft.com/office/drawing/2014/chart" uri="{C3380CC4-5D6E-409C-BE32-E72D297353CC}">
              <c16:uniqueId val="{00000000-3A28-4301-BE16-D23D7E0BFCDA}"/>
            </c:ext>
          </c:extLst>
        </c:ser>
        <c:ser>
          <c:idx val="2"/>
          <c:order val="2"/>
          <c:tx>
            <c:strRef>
              <c:f>Sheet1!$E$1</c:f>
              <c:strCache>
                <c:ptCount val="1"/>
                <c:pt idx="0">
                  <c:v>Ալկոհոլային խմիչքներ, ծխախոտ</c:v>
                </c:pt>
              </c:strCache>
            </c:strRef>
          </c:tx>
          <c:spPr>
            <a:solidFill>
              <a:srgbClr val="ED7D31">
                <a:lumMod val="60000"/>
                <a:lumOff val="40000"/>
              </a:srgbClr>
            </a:solidFill>
            <a:ln>
              <a:noFill/>
            </a:ln>
            <a:effectLst/>
          </c:spPr>
          <c:invertIfNegative val="0"/>
          <c:cat>
            <c:strRef>
              <c:f>Sheet1!$B$28:$B$64</c:f>
              <c:strCache>
                <c:ptCount val="17"/>
                <c:pt idx="0">
                  <c:v>I</c:v>
                </c:pt>
                <c:pt idx="1">
                  <c:v>II</c:v>
                </c:pt>
                <c:pt idx="2">
                  <c:v>III</c:v>
                </c:pt>
                <c:pt idx="3">
                  <c:v>IV</c:v>
                </c:pt>
                <c:pt idx="4">
                  <c:v>I</c:v>
                </c:pt>
                <c:pt idx="5">
                  <c:v>II</c:v>
                </c:pt>
                <c:pt idx="6">
                  <c:v>III</c:v>
                </c:pt>
                <c:pt idx="7">
                  <c:v>IV</c:v>
                </c:pt>
                <c:pt idx="8">
                  <c:v>I</c:v>
                </c:pt>
                <c:pt idx="9">
                  <c:v>II</c:v>
                </c:pt>
                <c:pt idx="10">
                  <c:v>III</c:v>
                </c:pt>
                <c:pt idx="11">
                  <c:v>IV</c:v>
                </c:pt>
                <c:pt idx="12">
                  <c:v>I</c:v>
                </c:pt>
                <c:pt idx="13">
                  <c:v>II</c:v>
                </c:pt>
                <c:pt idx="14">
                  <c:v>III</c:v>
                </c:pt>
                <c:pt idx="15">
                  <c:v>IV</c:v>
                </c:pt>
                <c:pt idx="16">
                  <c:v>I</c:v>
                </c:pt>
              </c:strCache>
            </c:strRef>
          </c:cat>
          <c:val>
            <c:numRef>
              <c:f>Sheet1!$E$28:$E$64</c:f>
              <c:numCache>
                <c:formatCode>General</c:formatCode>
                <c:ptCount val="17"/>
              </c:numCache>
            </c:numRef>
          </c:val>
          <c:extLst>
            <c:ext xmlns:c16="http://schemas.microsoft.com/office/drawing/2014/chart" uri="{C3380CC4-5D6E-409C-BE32-E72D297353CC}">
              <c16:uniqueId val="{00000001-3A28-4301-BE16-D23D7E0BFCDA}"/>
            </c:ext>
          </c:extLst>
        </c:ser>
        <c:ser>
          <c:idx val="3"/>
          <c:order val="3"/>
          <c:tx>
            <c:strRef>
              <c:f>Sheet1!$F$1</c:f>
              <c:strCache>
                <c:ptCount val="1"/>
                <c:pt idx="0">
                  <c:v>Ոչ պարենային ապրանքներ</c:v>
                </c:pt>
              </c:strCache>
            </c:strRef>
          </c:tx>
          <c:spPr>
            <a:solidFill>
              <a:sysClr val="window" lastClr="FFFFFF">
                <a:lumMod val="65000"/>
              </a:sysClr>
            </a:solidFill>
            <a:ln>
              <a:noFill/>
            </a:ln>
            <a:effectLst/>
          </c:spPr>
          <c:invertIfNegative val="0"/>
          <c:cat>
            <c:strRef>
              <c:f>Sheet1!$B$28:$B$64</c:f>
              <c:strCache>
                <c:ptCount val="17"/>
                <c:pt idx="0">
                  <c:v>I</c:v>
                </c:pt>
                <c:pt idx="1">
                  <c:v>II</c:v>
                </c:pt>
                <c:pt idx="2">
                  <c:v>III</c:v>
                </c:pt>
                <c:pt idx="3">
                  <c:v>IV</c:v>
                </c:pt>
                <c:pt idx="4">
                  <c:v>I</c:v>
                </c:pt>
                <c:pt idx="5">
                  <c:v>II</c:v>
                </c:pt>
                <c:pt idx="6">
                  <c:v>III</c:v>
                </c:pt>
                <c:pt idx="7">
                  <c:v>IV</c:v>
                </c:pt>
                <c:pt idx="8">
                  <c:v>I</c:v>
                </c:pt>
                <c:pt idx="9">
                  <c:v>II</c:v>
                </c:pt>
                <c:pt idx="10">
                  <c:v>III</c:v>
                </c:pt>
                <c:pt idx="11">
                  <c:v>IV</c:v>
                </c:pt>
                <c:pt idx="12">
                  <c:v>I</c:v>
                </c:pt>
                <c:pt idx="13">
                  <c:v>II</c:v>
                </c:pt>
                <c:pt idx="14">
                  <c:v>III</c:v>
                </c:pt>
                <c:pt idx="15">
                  <c:v>IV</c:v>
                </c:pt>
                <c:pt idx="16">
                  <c:v>I</c:v>
                </c:pt>
              </c:strCache>
            </c:strRef>
          </c:cat>
          <c:val>
            <c:numRef>
              <c:f>Sheet1!$F$28:$F$64</c:f>
              <c:numCache>
                <c:formatCode>General</c:formatCode>
                <c:ptCount val="17"/>
              </c:numCache>
            </c:numRef>
          </c:val>
          <c:extLst>
            <c:ext xmlns:c16="http://schemas.microsoft.com/office/drawing/2014/chart" uri="{C3380CC4-5D6E-409C-BE32-E72D297353CC}">
              <c16:uniqueId val="{00000002-3A28-4301-BE16-D23D7E0BFCDA}"/>
            </c:ext>
          </c:extLst>
        </c:ser>
        <c:ser>
          <c:idx val="4"/>
          <c:order val="4"/>
          <c:tx>
            <c:strRef>
              <c:f>Sheet1!$G$1</c:f>
              <c:strCache>
                <c:ptCount val="1"/>
                <c:pt idx="0">
                  <c:v>Ծառայություններ </c:v>
                </c:pt>
              </c:strCache>
            </c:strRef>
          </c:tx>
          <c:spPr>
            <a:solidFill>
              <a:sysClr val="windowText" lastClr="000000"/>
            </a:solidFill>
            <a:ln>
              <a:noFill/>
            </a:ln>
            <a:effectLst/>
          </c:spPr>
          <c:invertIfNegative val="0"/>
          <c:cat>
            <c:strRef>
              <c:f>Sheet1!$B$28:$B$64</c:f>
              <c:strCache>
                <c:ptCount val="17"/>
                <c:pt idx="0">
                  <c:v>I</c:v>
                </c:pt>
                <c:pt idx="1">
                  <c:v>II</c:v>
                </c:pt>
                <c:pt idx="2">
                  <c:v>III</c:v>
                </c:pt>
                <c:pt idx="3">
                  <c:v>IV</c:v>
                </c:pt>
                <c:pt idx="4">
                  <c:v>I</c:v>
                </c:pt>
                <c:pt idx="5">
                  <c:v>II</c:v>
                </c:pt>
                <c:pt idx="6">
                  <c:v>III</c:v>
                </c:pt>
                <c:pt idx="7">
                  <c:v>IV</c:v>
                </c:pt>
                <c:pt idx="8">
                  <c:v>I</c:v>
                </c:pt>
                <c:pt idx="9">
                  <c:v>II</c:v>
                </c:pt>
                <c:pt idx="10">
                  <c:v>III</c:v>
                </c:pt>
                <c:pt idx="11">
                  <c:v>IV</c:v>
                </c:pt>
                <c:pt idx="12">
                  <c:v>I</c:v>
                </c:pt>
                <c:pt idx="13">
                  <c:v>II</c:v>
                </c:pt>
                <c:pt idx="14">
                  <c:v>III</c:v>
                </c:pt>
                <c:pt idx="15">
                  <c:v>IV</c:v>
                </c:pt>
                <c:pt idx="16">
                  <c:v>I</c:v>
                </c:pt>
              </c:strCache>
            </c:strRef>
          </c:cat>
          <c:val>
            <c:numRef>
              <c:f>Sheet1!$G$28:$G$64</c:f>
              <c:numCache>
                <c:formatCode>General</c:formatCode>
                <c:ptCount val="17"/>
              </c:numCache>
            </c:numRef>
          </c:val>
          <c:extLst>
            <c:ext xmlns:c16="http://schemas.microsoft.com/office/drawing/2014/chart" uri="{C3380CC4-5D6E-409C-BE32-E72D297353CC}">
              <c16:uniqueId val="{00000003-3A28-4301-BE16-D23D7E0BFCDA}"/>
            </c:ext>
          </c:extLst>
        </c:ser>
        <c:dLbls>
          <c:showLegendKey val="0"/>
          <c:showVal val="0"/>
          <c:showCatName val="0"/>
          <c:showSerName val="0"/>
          <c:showPercent val="0"/>
          <c:showBubbleSize val="0"/>
        </c:dLbls>
        <c:gapWidth val="100"/>
        <c:overlap val="100"/>
        <c:axId val="339256064"/>
        <c:axId val="339257600"/>
      </c:barChart>
      <c:lineChart>
        <c:grouping val="standard"/>
        <c:varyColors val="0"/>
        <c:ser>
          <c:idx val="0"/>
          <c:order val="0"/>
          <c:tx>
            <c:strRef>
              <c:f>Sheet1!$C$1</c:f>
              <c:strCache>
                <c:ptCount val="1"/>
                <c:pt idx="0">
                  <c:v>12-ամսյա գնաճ</c:v>
                </c:pt>
              </c:strCache>
            </c:strRef>
          </c:tx>
          <c:spPr>
            <a:ln w="25400" cap="rnd">
              <a:solidFill>
                <a:srgbClr val="4472C4">
                  <a:lumMod val="75000"/>
                </a:srgbClr>
              </a:solidFill>
              <a:round/>
            </a:ln>
            <a:effectLst/>
          </c:spPr>
          <c:marker>
            <c:symbol val="none"/>
          </c:marker>
          <c:dPt>
            <c:idx val="6"/>
            <c:bubble3D val="0"/>
            <c:extLst>
              <c:ext xmlns:c16="http://schemas.microsoft.com/office/drawing/2014/chart" uri="{C3380CC4-5D6E-409C-BE32-E72D297353CC}">
                <c16:uniqueId val="{00000004-3A28-4301-BE16-D23D7E0BFCDA}"/>
              </c:ext>
            </c:extLst>
          </c:dPt>
          <c:dPt>
            <c:idx val="7"/>
            <c:marker>
              <c:symbol val="square"/>
              <c:size val="6"/>
              <c:spPr>
                <a:solidFill>
                  <a:schemeClr val="accent1"/>
                </a:solidFill>
                <a:ln w="15875">
                  <a:solidFill>
                    <a:schemeClr val="accent1"/>
                  </a:solidFill>
                  <a:round/>
                </a:ln>
                <a:effectLst/>
              </c:spPr>
            </c:marker>
            <c:bubble3D val="0"/>
            <c:extLst>
              <c:ext xmlns:c16="http://schemas.microsoft.com/office/drawing/2014/chart" uri="{C3380CC4-5D6E-409C-BE32-E72D297353CC}">
                <c16:uniqueId val="{00000005-3A28-4301-BE16-D23D7E0BFCDA}"/>
              </c:ext>
            </c:extLst>
          </c:dPt>
          <c:dLbls>
            <c:spPr>
              <a:noFill/>
              <a:ln>
                <a:noFill/>
              </a:ln>
              <a:effectLst/>
            </c:spPr>
            <c:txPr>
              <a:bodyPr wrap="square" lIns="38100" tIns="19050" rIns="38100" bIns="19050" anchor="ctr">
                <a:spAutoFit/>
              </a:bodyPr>
              <a:lstStyle/>
              <a:p>
                <a:pPr>
                  <a:defRPr sz="800"/>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multiLvlStrRef>
              <c:f>Sheet1!$A$28:$B$64</c:f>
              <c:multiLvlStrCache>
                <c:ptCount val="17"/>
                <c:lvl>
                  <c:pt idx="0">
                    <c:v>I</c:v>
                  </c:pt>
                  <c:pt idx="1">
                    <c:v>II</c:v>
                  </c:pt>
                  <c:pt idx="2">
                    <c:v>III</c:v>
                  </c:pt>
                  <c:pt idx="3">
                    <c:v>IV</c:v>
                  </c:pt>
                  <c:pt idx="4">
                    <c:v>I</c:v>
                  </c:pt>
                  <c:pt idx="5">
                    <c:v>II</c:v>
                  </c:pt>
                  <c:pt idx="6">
                    <c:v>III</c:v>
                  </c:pt>
                  <c:pt idx="7">
                    <c:v>IV</c:v>
                  </c:pt>
                  <c:pt idx="8">
                    <c:v>I</c:v>
                  </c:pt>
                  <c:pt idx="9">
                    <c:v>II</c:v>
                  </c:pt>
                  <c:pt idx="10">
                    <c:v>III</c:v>
                  </c:pt>
                  <c:pt idx="11">
                    <c:v>IV</c:v>
                  </c:pt>
                  <c:pt idx="12">
                    <c:v>I</c:v>
                  </c:pt>
                  <c:pt idx="13">
                    <c:v>II</c:v>
                  </c:pt>
                  <c:pt idx="14">
                    <c:v>III</c:v>
                  </c:pt>
                  <c:pt idx="15">
                    <c:v>IV</c:v>
                  </c:pt>
                  <c:pt idx="16">
                    <c:v>I</c:v>
                  </c:pt>
                </c:lvl>
                <c:lvl>
                  <c:pt idx="0">
                    <c:v>2019</c:v>
                  </c:pt>
                  <c:pt idx="4">
                    <c:v>2020</c:v>
                  </c:pt>
                  <c:pt idx="8">
                    <c:v>2021</c:v>
                  </c:pt>
                  <c:pt idx="12">
                    <c:v>2022</c:v>
                  </c:pt>
                  <c:pt idx="16">
                    <c:v>2023</c:v>
                  </c:pt>
                </c:lvl>
              </c:multiLvlStrCache>
            </c:multiLvlStrRef>
          </c:cat>
          <c:val>
            <c:numRef>
              <c:f>Sheet1!$C$28:$C$64</c:f>
              <c:numCache>
                <c:formatCode>General</c:formatCode>
                <c:ptCount val="17"/>
              </c:numCache>
            </c:numRef>
          </c:val>
          <c:smooth val="0"/>
          <c:extLst>
            <c:ext xmlns:c16="http://schemas.microsoft.com/office/drawing/2014/chart" uri="{C3380CC4-5D6E-409C-BE32-E72D297353CC}">
              <c16:uniqueId val="{00000006-3A28-4301-BE16-D23D7E0BFCDA}"/>
            </c:ext>
          </c:extLst>
        </c:ser>
        <c:dLbls>
          <c:showLegendKey val="0"/>
          <c:showVal val="0"/>
          <c:showCatName val="0"/>
          <c:showSerName val="0"/>
          <c:showPercent val="0"/>
          <c:showBubbleSize val="0"/>
        </c:dLbls>
        <c:marker val="1"/>
        <c:smooth val="0"/>
        <c:axId val="339256064"/>
        <c:axId val="339257600"/>
      </c:lineChart>
      <c:catAx>
        <c:axId val="339256064"/>
        <c:scaling>
          <c:orientation val="minMax"/>
        </c:scaling>
        <c:delete val="1"/>
        <c:axPos val="b"/>
        <c:numFmt formatCode="General" sourceLinked="1"/>
        <c:majorTickMark val="out"/>
        <c:minorTickMark val="none"/>
        <c:tickLblPos val="low"/>
        <c:crossAx val="339257600"/>
        <c:crosses val="autoZero"/>
        <c:auto val="1"/>
        <c:lblAlgn val="ctr"/>
        <c:lblOffset val="100"/>
        <c:noMultiLvlLbl val="0"/>
      </c:catAx>
      <c:valAx>
        <c:axId val="339257600"/>
        <c:scaling>
          <c:orientation val="minMax"/>
        </c:scaling>
        <c:delete val="1"/>
        <c:axPos val="l"/>
        <c:numFmt formatCode="General" sourceLinked="1"/>
        <c:majorTickMark val="none"/>
        <c:minorTickMark val="none"/>
        <c:tickLblPos val="nextTo"/>
        <c:crossAx val="339256064"/>
        <c:crosses val="autoZero"/>
        <c:crossBetween val="between"/>
      </c:valAx>
      <c:spPr>
        <a:pattFill prst="ltDnDiag">
          <a:fgClr>
            <a:srgbClr val="000000">
              <a:alpha val="0"/>
            </a:srgbClr>
          </a:fgClr>
          <a:bgClr>
            <a:srgbClr val="FFFFFF"/>
          </a:bgClr>
        </a:pattFill>
        <a:ln w="25400">
          <a:noFill/>
        </a:ln>
        <a:effectLst/>
      </c:spPr>
    </c:plotArea>
    <c:legend>
      <c:legendPos val="r"/>
      <c:layout>
        <c:manualLayout>
          <c:xMode val="edge"/>
          <c:yMode val="edge"/>
          <c:x val="3.193614949074762E-2"/>
          <c:y val="3.7699771399542802E-2"/>
          <c:w val="0.9640718562874252"/>
          <c:h val="0.96201147422943811"/>
        </c:manualLayout>
      </c:layout>
      <c:overlay val="0"/>
      <c:spPr>
        <a:noFill/>
        <a:ln>
          <a:noFill/>
        </a:ln>
      </c:spPr>
      <c:txPr>
        <a:bodyPr/>
        <a:lstStyle/>
        <a:p>
          <a:pPr>
            <a:defRPr sz="800">
              <a:latin typeface="Calibri" panose="020F0502020204030204" pitchFamily="34" charset="0"/>
              <a:ea typeface="Calibri" panose="020F0502020204030204" pitchFamily="34" charset="0"/>
              <a:cs typeface="Calibri" panose="020F0502020204030204" pitchFamily="34" charset="0"/>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noFill/>
    <a:ln w="9525" cap="flat" cmpd="sng" algn="ctr">
      <a:noFill/>
      <a:round/>
    </a:ln>
    <a:effectLst/>
  </c:spPr>
  <c:txPr>
    <a:bodyPr/>
    <a:lstStyle/>
    <a:p>
      <a:pPr>
        <a:defRPr>
          <a:solidFill>
            <a:sysClr val="windowText" lastClr="000000"/>
          </a:solidFill>
          <a:latin typeface="GHEA Grapalat" panose="02000506050000020003" pitchFamily="50" charset="0"/>
        </a:defRPr>
      </a:pPr>
      <a:endParaRPr lang="en-US"/>
    </a:p>
  </c:txPr>
  <c:externalData r:id="rId2">
    <c:autoUpdate val="0"/>
  </c:externalData>
</c:chartSpace>
</file>

<file path=word/charts/chart4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vert="horz"/>
          <a:lstStyle/>
          <a:p>
            <a:pPr algn="l">
              <a:defRPr/>
            </a:pPr>
            <a:r>
              <a:rPr lang="hy-AM">
                <a:solidFill>
                  <a:schemeClr val="tx1"/>
                </a:solidFill>
              </a:rPr>
              <a:t>Գնաճի կանխատեսումները և նպատակային ցուցանիշը</a:t>
            </a:r>
            <a:r>
              <a:rPr lang="en-US">
                <a:solidFill>
                  <a:schemeClr val="tx1"/>
                </a:solidFill>
              </a:rPr>
              <a:t>, %</a:t>
            </a:r>
          </a:p>
        </c:rich>
      </c:tx>
      <c:layout>
        <c:manualLayout>
          <c:xMode val="edge"/>
          <c:yMode val="edge"/>
          <c:x val="9.7528775699912515E-2"/>
          <c:y val="2.5711723534558178E-2"/>
        </c:manualLayout>
      </c:layout>
      <c:overlay val="0"/>
      <c:spPr>
        <a:noFill/>
        <a:ln>
          <a:noFill/>
        </a:ln>
        <a:effectLst/>
      </c:spPr>
    </c:title>
    <c:autoTitleDeleted val="0"/>
    <c:plotArea>
      <c:layout>
        <c:manualLayout>
          <c:layoutTarget val="inner"/>
          <c:xMode val="edge"/>
          <c:yMode val="edge"/>
          <c:x val="0.11319491156570252"/>
          <c:y val="0.23598556430446199"/>
          <c:w val="0.85208299157917755"/>
          <c:h val="0.45613342082239722"/>
        </c:manualLayout>
      </c:layout>
      <c:areaChart>
        <c:grouping val="standard"/>
        <c:varyColors val="0"/>
        <c:ser>
          <c:idx val="5"/>
          <c:order val="5"/>
          <c:tx>
            <c:strRef>
              <c:f>Sheet1!$G$1</c:f>
              <c:strCache>
                <c:ptCount val="1"/>
                <c:pt idx="0">
                  <c:v>Column5</c:v>
                </c:pt>
              </c:strCache>
            </c:strRef>
          </c:tx>
          <c:cat>
            <c:numRef>
              <c:f>Sheet1!$A$2:$A$13</c:f>
              <c:numCache>
                <c:formatCode>General</c:formatCode>
                <c:ptCount val="7"/>
                <c:pt idx="0">
                  <c:v>2022</c:v>
                </c:pt>
                <c:pt idx="1">
                  <c:v>2023</c:v>
                </c:pt>
                <c:pt idx="2">
                  <c:v>2024</c:v>
                </c:pt>
                <c:pt idx="3">
                  <c:v>2025</c:v>
                </c:pt>
                <c:pt idx="4">
                  <c:v>2026</c:v>
                </c:pt>
                <c:pt idx="5">
                  <c:v>2027</c:v>
                </c:pt>
                <c:pt idx="6">
                  <c:v>2028</c:v>
                </c:pt>
              </c:numCache>
            </c:numRef>
          </c:cat>
          <c:val>
            <c:numRef>
              <c:f>Sheet1!$G$2:$G$13</c:f>
              <c:numCache>
                <c:formatCode>General</c:formatCode>
                <c:ptCount val="7"/>
                <c:pt idx="1">
                  <c:v>0</c:v>
                </c:pt>
                <c:pt idx="2">
                  <c:v>0</c:v>
                </c:pt>
                <c:pt idx="3">
                  <c:v>0</c:v>
                </c:pt>
                <c:pt idx="4">
                  <c:v>0</c:v>
                </c:pt>
                <c:pt idx="5">
                  <c:v>0</c:v>
                </c:pt>
                <c:pt idx="6">
                  <c:v>0</c:v>
                </c:pt>
              </c:numCache>
            </c:numRef>
          </c:val>
          <c:extLst>
            <c:ext xmlns:c16="http://schemas.microsoft.com/office/drawing/2014/chart" uri="{C3380CC4-5D6E-409C-BE32-E72D297353CC}">
              <c16:uniqueId val="{00000000-C3C9-4419-9E90-56DF921754C6}"/>
            </c:ext>
          </c:extLst>
        </c:ser>
        <c:dLbls>
          <c:showLegendKey val="0"/>
          <c:showVal val="0"/>
          <c:showCatName val="0"/>
          <c:showSerName val="0"/>
          <c:showPercent val="0"/>
          <c:showBubbleSize val="0"/>
        </c:dLbls>
        <c:axId val="177840128"/>
        <c:axId val="177841664"/>
      </c:areaChart>
      <c:lineChart>
        <c:grouping val="standard"/>
        <c:varyColors val="0"/>
        <c:ser>
          <c:idx val="0"/>
          <c:order val="0"/>
          <c:tx>
            <c:strRef>
              <c:f>Sheet1!$B$1</c:f>
              <c:strCache>
                <c:ptCount val="1"/>
                <c:pt idx="0">
                  <c:v>12 ամսյա գնաճ</c:v>
                </c:pt>
              </c:strCache>
            </c:strRef>
          </c:tx>
          <c:spPr>
            <a:ln w="25400" cap="rnd">
              <a:solidFill>
                <a:srgbClr val="4472C4">
                  <a:lumMod val="75000"/>
                </a:srgbClr>
              </a:solidFill>
              <a:round/>
            </a:ln>
            <a:effectLst/>
          </c:spPr>
          <c:marker>
            <c:symbol val="circle"/>
            <c:size val="5"/>
            <c:spPr>
              <a:solidFill>
                <a:srgbClr val="4472C4">
                  <a:lumMod val="75000"/>
                </a:srgbClr>
              </a:solidFill>
              <a:ln w="15875">
                <a:noFill/>
                <a:round/>
              </a:ln>
              <a:effectLst/>
            </c:spPr>
          </c:marker>
          <c:dLbls>
            <c:dLbl>
              <c:idx val="0"/>
              <c:layout>
                <c:manualLayout>
                  <c:x val="-8.7504010292405274E-2"/>
                  <c:y val="4.890201224846894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C3C9-4419-9E90-56DF921754C6}"/>
                </c:ext>
              </c:extLst>
            </c:dLbl>
            <c:dLbl>
              <c:idx val="1"/>
              <c:layout>
                <c:manualLayout>
                  <c:x val="-6.7918433272763978E-2"/>
                  <c:y val="3.1354838709677341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C3C9-4419-9E90-56DF921754C6}"/>
                </c:ext>
              </c:extLst>
            </c:dLbl>
            <c:dLbl>
              <c:idx val="3"/>
              <c:layout>
                <c:manualLayout>
                  <c:x val="-6.3993037712391135E-2"/>
                  <c:y val="-4.1763440860215051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C3C9-4419-9E90-56DF921754C6}"/>
                </c:ext>
              </c:extLst>
            </c:dLbl>
            <c:spPr>
              <a:noFill/>
              <a:ln>
                <a:noFill/>
              </a:ln>
              <a:effectLst/>
            </c:spPr>
            <c:txPr>
              <a:bodyPr/>
              <a:lstStyle/>
              <a:p>
                <a:pPr>
                  <a:defRPr b="1"/>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Sheet1!$A$2:$A$13</c:f>
              <c:numCache>
                <c:formatCode>General</c:formatCode>
                <c:ptCount val="7"/>
                <c:pt idx="0">
                  <c:v>2022</c:v>
                </c:pt>
                <c:pt idx="1">
                  <c:v>2023</c:v>
                </c:pt>
                <c:pt idx="2">
                  <c:v>2024</c:v>
                </c:pt>
                <c:pt idx="3">
                  <c:v>2025</c:v>
                </c:pt>
                <c:pt idx="4">
                  <c:v>2026</c:v>
                </c:pt>
                <c:pt idx="5">
                  <c:v>2027</c:v>
                </c:pt>
                <c:pt idx="6">
                  <c:v>2028</c:v>
                </c:pt>
              </c:numCache>
            </c:numRef>
          </c:cat>
          <c:val>
            <c:numRef>
              <c:f>Sheet1!$B$2:$B$13</c:f>
              <c:numCache>
                <c:formatCode>0.0</c:formatCode>
                <c:ptCount val="7"/>
                <c:pt idx="0">
                  <c:v>8.3000000000000007</c:v>
                </c:pt>
                <c:pt idx="1">
                  <c:v>-0.6</c:v>
                </c:pt>
                <c:pt idx="2">
                  <c:v>1.5</c:v>
                </c:pt>
                <c:pt idx="3">
                  <c:v>3.2</c:v>
                </c:pt>
                <c:pt idx="4">
                  <c:v>3.1</c:v>
                </c:pt>
                <c:pt idx="5">
                  <c:v>3.1</c:v>
                </c:pt>
                <c:pt idx="6">
                  <c:v>3</c:v>
                </c:pt>
              </c:numCache>
            </c:numRef>
          </c:val>
          <c:smooth val="0"/>
          <c:extLst>
            <c:ext xmlns:c16="http://schemas.microsoft.com/office/drawing/2014/chart" uri="{C3380CC4-5D6E-409C-BE32-E72D297353CC}">
              <c16:uniqueId val="{00000004-C3C9-4419-9E90-56DF921754C6}"/>
            </c:ext>
          </c:extLst>
        </c:ser>
        <c:ser>
          <c:idx val="1"/>
          <c:order val="1"/>
          <c:tx>
            <c:strRef>
              <c:f>Sheet1!$C$1</c:f>
              <c:strCache>
                <c:ptCount val="1"/>
                <c:pt idx="0">
                  <c:v>Միջին գնաճ</c:v>
                </c:pt>
              </c:strCache>
            </c:strRef>
          </c:tx>
          <c:spPr>
            <a:ln w="25400" cap="rnd">
              <a:solidFill>
                <a:srgbClr val="ED7D31">
                  <a:lumMod val="60000"/>
                  <a:lumOff val="40000"/>
                </a:srgbClr>
              </a:solidFill>
              <a:round/>
            </a:ln>
            <a:effectLst/>
          </c:spPr>
          <c:marker>
            <c:symbol val="square"/>
            <c:size val="5"/>
            <c:spPr>
              <a:solidFill>
                <a:srgbClr val="ED7D31">
                  <a:lumMod val="40000"/>
                  <a:lumOff val="60000"/>
                </a:srgbClr>
              </a:solidFill>
              <a:ln w="15875">
                <a:noFill/>
                <a:round/>
              </a:ln>
              <a:effectLst/>
            </c:spPr>
          </c:marker>
          <c:dLbls>
            <c:dLbl>
              <c:idx val="0"/>
              <c:layout>
                <c:manualLayout>
                  <c:x val="6.6889045209406464E-3"/>
                  <c:y val="4.5557531115061438E-3"/>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C3C9-4419-9E90-56DF921754C6}"/>
                </c:ext>
              </c:extLst>
            </c:dLbl>
            <c:dLbl>
              <c:idx val="1"/>
              <c:layout>
                <c:manualLayout>
                  <c:x val="-0.12418752016991214"/>
                  <c:y val="4.1763440860215051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C3C9-4419-9E90-56DF921754C6}"/>
                </c:ext>
              </c:extLst>
            </c:dLbl>
            <c:dLbl>
              <c:idx val="3"/>
              <c:layout>
                <c:manualLayout>
                  <c:x val="-4.2186158309158804E-2"/>
                  <c:y val="3.3161290322580569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C3C9-4419-9E90-56DF921754C6}"/>
                </c:ext>
              </c:extLst>
            </c:dLbl>
            <c:spPr>
              <a:noFill/>
              <a:ln>
                <a:noFill/>
              </a:ln>
              <a:effectLst/>
            </c:spPr>
            <c:txPr>
              <a:bodyPr/>
              <a:lstStyle/>
              <a:p>
                <a:pPr>
                  <a:defRPr b="1"/>
                </a:pPr>
                <a:endParaRPr lang="en-US"/>
              </a:p>
            </c:txPr>
            <c:dLblPos val="b"/>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Sheet1!$A$2:$A$13</c:f>
              <c:numCache>
                <c:formatCode>General</c:formatCode>
                <c:ptCount val="7"/>
                <c:pt idx="0">
                  <c:v>2022</c:v>
                </c:pt>
                <c:pt idx="1">
                  <c:v>2023</c:v>
                </c:pt>
                <c:pt idx="2">
                  <c:v>2024</c:v>
                </c:pt>
                <c:pt idx="3">
                  <c:v>2025</c:v>
                </c:pt>
                <c:pt idx="4">
                  <c:v>2026</c:v>
                </c:pt>
                <c:pt idx="5">
                  <c:v>2027</c:v>
                </c:pt>
                <c:pt idx="6">
                  <c:v>2028</c:v>
                </c:pt>
              </c:numCache>
            </c:numRef>
          </c:cat>
          <c:val>
            <c:numRef>
              <c:f>Sheet1!$C$2:$C$13</c:f>
              <c:numCache>
                <c:formatCode>0.0</c:formatCode>
                <c:ptCount val="7"/>
                <c:pt idx="0">
                  <c:v>8.6</c:v>
                </c:pt>
                <c:pt idx="1">
                  <c:v>2</c:v>
                </c:pt>
                <c:pt idx="2">
                  <c:v>0.3</c:v>
                </c:pt>
                <c:pt idx="3">
                  <c:v>3.3</c:v>
                </c:pt>
                <c:pt idx="4">
                  <c:v>3.1</c:v>
                </c:pt>
                <c:pt idx="5">
                  <c:v>3</c:v>
                </c:pt>
                <c:pt idx="6">
                  <c:v>3</c:v>
                </c:pt>
              </c:numCache>
            </c:numRef>
          </c:val>
          <c:smooth val="0"/>
          <c:extLst>
            <c:ext xmlns:c16="http://schemas.microsoft.com/office/drawing/2014/chart" uri="{C3380CC4-5D6E-409C-BE32-E72D297353CC}">
              <c16:uniqueId val="{00000008-C3C9-4419-9E90-56DF921754C6}"/>
            </c:ext>
          </c:extLst>
        </c:ser>
        <c:ser>
          <c:idx val="2"/>
          <c:order val="2"/>
          <c:tx>
            <c:strRef>
              <c:f>Sheet1!$D$1</c:f>
              <c:strCache>
                <c:ptCount val="1"/>
                <c:pt idx="0">
                  <c:v>Column2</c:v>
                </c:pt>
              </c:strCache>
            </c:strRef>
          </c:tx>
          <c:marker>
            <c:symbol val="none"/>
          </c:marker>
          <c:cat>
            <c:numRef>
              <c:f>Sheet1!$A$2:$A$13</c:f>
              <c:numCache>
                <c:formatCode>General</c:formatCode>
                <c:ptCount val="7"/>
                <c:pt idx="0">
                  <c:v>2022</c:v>
                </c:pt>
                <c:pt idx="1">
                  <c:v>2023</c:v>
                </c:pt>
                <c:pt idx="2">
                  <c:v>2024</c:v>
                </c:pt>
                <c:pt idx="3">
                  <c:v>2025</c:v>
                </c:pt>
                <c:pt idx="4">
                  <c:v>2026</c:v>
                </c:pt>
                <c:pt idx="5">
                  <c:v>2027</c:v>
                </c:pt>
                <c:pt idx="6">
                  <c:v>2028</c:v>
                </c:pt>
              </c:numCache>
            </c:numRef>
          </c:cat>
          <c:val>
            <c:numRef>
              <c:f>Sheet1!$D$2:$D$13</c:f>
            </c:numRef>
          </c:val>
          <c:smooth val="0"/>
          <c:extLst>
            <c:ext xmlns:c16="http://schemas.microsoft.com/office/drawing/2014/chart" uri="{C3380CC4-5D6E-409C-BE32-E72D297353CC}">
              <c16:uniqueId val="{00000009-C3C9-4419-9E90-56DF921754C6}"/>
            </c:ext>
          </c:extLst>
        </c:ser>
        <c:ser>
          <c:idx val="3"/>
          <c:order val="3"/>
          <c:tx>
            <c:strRef>
              <c:f>Sheet1!$E$1</c:f>
              <c:strCache>
                <c:ptCount val="1"/>
                <c:pt idx="0">
                  <c:v>Column3</c:v>
                </c:pt>
              </c:strCache>
            </c:strRef>
          </c:tx>
          <c:marker>
            <c:symbol val="none"/>
          </c:marker>
          <c:cat>
            <c:numRef>
              <c:f>Sheet1!$A$2:$A$13</c:f>
              <c:numCache>
                <c:formatCode>General</c:formatCode>
                <c:ptCount val="7"/>
                <c:pt idx="0">
                  <c:v>2022</c:v>
                </c:pt>
                <c:pt idx="1">
                  <c:v>2023</c:v>
                </c:pt>
                <c:pt idx="2">
                  <c:v>2024</c:v>
                </c:pt>
                <c:pt idx="3">
                  <c:v>2025</c:v>
                </c:pt>
                <c:pt idx="4">
                  <c:v>2026</c:v>
                </c:pt>
                <c:pt idx="5">
                  <c:v>2027</c:v>
                </c:pt>
                <c:pt idx="6">
                  <c:v>2028</c:v>
                </c:pt>
              </c:numCache>
            </c:numRef>
          </c:cat>
          <c:val>
            <c:numRef>
              <c:f>Sheet1!$E$2:$E$13</c:f>
            </c:numRef>
          </c:val>
          <c:smooth val="0"/>
          <c:extLst>
            <c:ext xmlns:c16="http://schemas.microsoft.com/office/drawing/2014/chart" uri="{C3380CC4-5D6E-409C-BE32-E72D297353CC}">
              <c16:uniqueId val="{0000000A-C3C9-4419-9E90-56DF921754C6}"/>
            </c:ext>
          </c:extLst>
        </c:ser>
        <c:ser>
          <c:idx val="4"/>
          <c:order val="4"/>
          <c:tx>
            <c:strRef>
              <c:f>Sheet1!$F$1</c:f>
              <c:strCache>
                <c:ptCount val="1"/>
                <c:pt idx="0">
                  <c:v>Column4</c:v>
                </c:pt>
              </c:strCache>
            </c:strRef>
          </c:tx>
          <c:marker>
            <c:symbol val="none"/>
          </c:marker>
          <c:cat>
            <c:numRef>
              <c:f>Sheet1!$A$2:$A$13</c:f>
              <c:numCache>
                <c:formatCode>General</c:formatCode>
                <c:ptCount val="7"/>
                <c:pt idx="0">
                  <c:v>2022</c:v>
                </c:pt>
                <c:pt idx="1">
                  <c:v>2023</c:v>
                </c:pt>
                <c:pt idx="2">
                  <c:v>2024</c:v>
                </c:pt>
                <c:pt idx="3">
                  <c:v>2025</c:v>
                </c:pt>
                <c:pt idx="4">
                  <c:v>2026</c:v>
                </c:pt>
                <c:pt idx="5">
                  <c:v>2027</c:v>
                </c:pt>
                <c:pt idx="6">
                  <c:v>2028</c:v>
                </c:pt>
              </c:numCache>
            </c:numRef>
          </c:cat>
          <c:val>
            <c:numRef>
              <c:f>Sheet1!$F$2:$F$13</c:f>
            </c:numRef>
          </c:val>
          <c:smooth val="0"/>
          <c:extLst>
            <c:ext xmlns:c16="http://schemas.microsoft.com/office/drawing/2014/chart" uri="{C3380CC4-5D6E-409C-BE32-E72D297353CC}">
              <c16:uniqueId val="{0000000B-C3C9-4419-9E90-56DF921754C6}"/>
            </c:ext>
          </c:extLst>
        </c:ser>
        <c:dLbls>
          <c:showLegendKey val="0"/>
          <c:showVal val="0"/>
          <c:showCatName val="0"/>
          <c:showSerName val="0"/>
          <c:showPercent val="0"/>
          <c:showBubbleSize val="0"/>
        </c:dLbls>
        <c:marker val="1"/>
        <c:smooth val="0"/>
        <c:axId val="177840128"/>
        <c:axId val="177841664"/>
      </c:lineChart>
      <c:catAx>
        <c:axId val="177840128"/>
        <c:scaling>
          <c:orientation val="minMax"/>
        </c:scaling>
        <c:delete val="0"/>
        <c:axPos val="b"/>
        <c:numFmt formatCode="General" sourceLinked="1"/>
        <c:majorTickMark val="none"/>
        <c:minorTickMark val="none"/>
        <c:tickLblPos val="low"/>
        <c:spPr>
          <a:noFill/>
          <a:ln w="9525" cap="flat" cmpd="sng" algn="ctr">
            <a:solidFill>
              <a:schemeClr val="dk1">
                <a:lumMod val="15000"/>
                <a:lumOff val="85000"/>
              </a:schemeClr>
            </a:solidFill>
            <a:round/>
          </a:ln>
          <a:effectLst/>
        </c:spPr>
        <c:txPr>
          <a:bodyPr rot="-60000000" vert="horz"/>
          <a:lstStyle/>
          <a:p>
            <a:pPr>
              <a:defRPr b="1"/>
            </a:pPr>
            <a:endParaRPr lang="en-US"/>
          </a:p>
        </c:txPr>
        <c:crossAx val="177841664"/>
        <c:crosses val="autoZero"/>
        <c:auto val="1"/>
        <c:lblAlgn val="ctr"/>
        <c:lblOffset val="100"/>
        <c:noMultiLvlLbl val="0"/>
      </c:catAx>
      <c:valAx>
        <c:axId val="177841664"/>
        <c:scaling>
          <c:orientation val="minMax"/>
          <c:max val="10"/>
        </c:scaling>
        <c:delete val="0"/>
        <c:axPos val="l"/>
        <c:majorGridlines>
          <c:spPr>
            <a:ln w="9525" cap="flat" cmpd="sng" algn="ctr">
              <a:solidFill>
                <a:schemeClr val="dk1">
                  <a:lumMod val="15000"/>
                  <a:lumOff val="85000"/>
                  <a:alpha val="54000"/>
                </a:schemeClr>
              </a:solidFill>
              <a:round/>
            </a:ln>
            <a:effectLst/>
          </c:spPr>
        </c:majorGridlines>
        <c:numFmt formatCode="General" sourceLinked="1"/>
        <c:majorTickMark val="none"/>
        <c:minorTickMark val="none"/>
        <c:tickLblPos val="nextTo"/>
        <c:spPr>
          <a:noFill/>
          <a:ln>
            <a:noFill/>
          </a:ln>
          <a:effectLst/>
        </c:spPr>
        <c:txPr>
          <a:bodyPr rot="-60000000" vert="horz"/>
          <a:lstStyle/>
          <a:p>
            <a:pPr>
              <a:defRPr>
                <a:solidFill>
                  <a:schemeClr val="bg1">
                    <a:lumMod val="65000"/>
                  </a:schemeClr>
                </a:solidFill>
              </a:defRPr>
            </a:pPr>
            <a:endParaRPr lang="en-US"/>
          </a:p>
        </c:txPr>
        <c:crossAx val="177840128"/>
        <c:crosses val="autoZero"/>
        <c:crossBetween val="between"/>
      </c:valAx>
      <c:spPr>
        <a:noFill/>
        <a:ln w="25400">
          <a:noFill/>
        </a:ln>
        <a:effectLst/>
      </c:spPr>
    </c:plotArea>
    <c:legend>
      <c:legendPos val="b"/>
      <c:legendEntry>
        <c:idx val="0"/>
        <c:delete val="1"/>
      </c:legendEntry>
      <c:layout>
        <c:manualLayout>
          <c:xMode val="edge"/>
          <c:yMode val="edge"/>
          <c:x val="0.14766603676674128"/>
          <c:y val="0.86064068445478081"/>
          <c:w val="0.69595407202341786"/>
          <c:h val="7.1516721700110059E-2"/>
        </c:manualLayout>
      </c:layout>
      <c:overlay val="0"/>
      <c:spPr>
        <a:noFill/>
        <a:ln>
          <a:noFill/>
        </a:ln>
        <a:effectLst/>
      </c:spPr>
      <c:txPr>
        <a:bodyPr rot="0" vert="horz"/>
        <a:lstStyle/>
        <a:p>
          <a:pPr>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noFill/>
    <a:ln w="19050" cap="flat" cmpd="sng" algn="ctr">
      <a:solidFill>
        <a:sysClr val="window" lastClr="FFFFFF"/>
      </a:solidFill>
      <a:round/>
    </a:ln>
    <a:effectLst/>
  </c:spPr>
  <c:txPr>
    <a:bodyPr/>
    <a:lstStyle/>
    <a:p>
      <a:pPr>
        <a:defRPr sz="800">
          <a:solidFill>
            <a:sysClr val="windowText" lastClr="000000"/>
          </a:solidFill>
          <a:latin typeface="Calibri" panose="020F0502020204030204" pitchFamily="34" charset="0"/>
          <a:ea typeface="Calibri" panose="020F0502020204030204" pitchFamily="34" charset="0"/>
          <a:cs typeface="Calibri" panose="020F0502020204030204" pitchFamily="34" charset="0"/>
        </a:defRPr>
      </a:pPr>
      <a:endParaRPr lang="en-US"/>
    </a:p>
  </c:txPr>
  <c:externalData r:id="rId2">
    <c:autoUpdate val="0"/>
  </c:externalData>
  <c:userShapes r:id="rId3"/>
</c:chartSpace>
</file>

<file path=word/charts/chart4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lgn="l">
              <a:defRPr>
                <a:latin typeface="+mn-lt"/>
              </a:defRPr>
            </a:pPr>
            <a:r>
              <a:rPr lang="hy-AM">
                <a:latin typeface="+mn-lt"/>
              </a:rPr>
              <a:t>Ֆինանսական շուկայի տոկոսադրույքների միտումները, </a:t>
            </a:r>
            <a:r>
              <a:rPr lang="en-US">
                <a:latin typeface="+mn-lt"/>
              </a:rPr>
              <a:t>%</a:t>
            </a:r>
          </a:p>
        </c:rich>
      </c:tx>
      <c:layout>
        <c:manualLayout>
          <c:xMode val="edge"/>
          <c:yMode val="edge"/>
          <c:x val="0.1060351151758204"/>
          <c:y val="1.2903225806451613E-2"/>
        </c:manualLayout>
      </c:layout>
      <c:overlay val="0"/>
    </c:title>
    <c:autoTitleDeleted val="0"/>
    <c:plotArea>
      <c:layout>
        <c:manualLayout>
          <c:layoutTarget val="inner"/>
          <c:xMode val="edge"/>
          <c:yMode val="edge"/>
          <c:x val="0.11714341371391078"/>
          <c:y val="0.14663313859961052"/>
          <c:w val="0.82684649770341212"/>
          <c:h val="0.37484853103039545"/>
        </c:manualLayout>
      </c:layout>
      <c:lineChart>
        <c:grouping val="standard"/>
        <c:varyColors val="0"/>
        <c:ser>
          <c:idx val="1"/>
          <c:order val="1"/>
          <c:tx>
            <c:strRef>
              <c:f>Sheet1!$E$1</c:f>
              <c:strCache>
                <c:ptCount val="1"/>
                <c:pt idx="0">
                  <c:v>Պետական պարտատոմսեր, 1տ․</c:v>
                </c:pt>
              </c:strCache>
            </c:strRef>
          </c:tx>
          <c:spPr>
            <a:ln w="12700" cap="rnd">
              <a:solidFill>
                <a:srgbClr val="ED7D31"/>
              </a:solidFill>
              <a:prstDash val="solid"/>
              <a:round/>
            </a:ln>
            <a:effectLst/>
          </c:spPr>
          <c:marker>
            <c:symbol val="none"/>
          </c:marker>
          <c:cat>
            <c:multiLvlStrRef>
              <c:f>Sheet1!$A$16:$B$72</c:f>
              <c:multiLvlStrCache>
                <c:ptCount val="15"/>
                <c:lvl>
                  <c:pt idx="0">
                    <c:v>I</c:v>
                  </c:pt>
                  <c:pt idx="1">
                    <c:v>II</c:v>
                  </c:pt>
                  <c:pt idx="2">
                    <c:v>III</c:v>
                  </c:pt>
                  <c:pt idx="3">
                    <c:v>IV</c:v>
                  </c:pt>
                  <c:pt idx="4">
                    <c:v>I</c:v>
                  </c:pt>
                  <c:pt idx="5">
                    <c:v>II</c:v>
                  </c:pt>
                  <c:pt idx="6">
                    <c:v>III</c:v>
                  </c:pt>
                  <c:pt idx="7">
                    <c:v>IV</c:v>
                  </c:pt>
                  <c:pt idx="8">
                    <c:v>I</c:v>
                  </c:pt>
                  <c:pt idx="9">
                    <c:v>II</c:v>
                  </c:pt>
                  <c:pt idx="10">
                    <c:v>III</c:v>
                  </c:pt>
                  <c:pt idx="11">
                    <c:v>IV</c:v>
                  </c:pt>
                  <c:pt idx="12">
                    <c:v>I</c:v>
                  </c:pt>
                  <c:pt idx="13">
                    <c:v>II</c:v>
                  </c:pt>
                  <c:pt idx="14">
                    <c:v>օգ.</c:v>
                  </c:pt>
                </c:lvl>
                <c:lvl>
                  <c:pt idx="0">
                    <c:v>2022</c:v>
                  </c:pt>
                  <c:pt idx="4">
                    <c:v>2023</c:v>
                  </c:pt>
                  <c:pt idx="8">
                    <c:v>2024</c:v>
                  </c:pt>
                  <c:pt idx="12">
                    <c:v>2025</c:v>
                  </c:pt>
                </c:lvl>
              </c:multiLvlStrCache>
            </c:multiLvlStrRef>
          </c:cat>
          <c:val>
            <c:numRef>
              <c:f>Sheet1!$E$2:$E$72</c:f>
              <c:numCache>
                <c:formatCode>0.0</c:formatCode>
                <c:ptCount val="15"/>
                <c:pt idx="0">
                  <c:v>9.6898681818181824</c:v>
                </c:pt>
                <c:pt idx="1">
                  <c:v>10.307509090909091</c:v>
                </c:pt>
                <c:pt idx="2">
                  <c:v>10.583795238095238</c:v>
                </c:pt>
                <c:pt idx="3">
                  <c:v>11.7258</c:v>
                </c:pt>
                <c:pt idx="4">
                  <c:v>11.59599090909091</c:v>
                </c:pt>
                <c:pt idx="5">
                  <c:v>11.119063636363636</c:v>
                </c:pt>
                <c:pt idx="6">
                  <c:v>10.312649999999998</c:v>
                </c:pt>
                <c:pt idx="7">
                  <c:v>10.537519047619048</c:v>
                </c:pt>
                <c:pt idx="8">
                  <c:v>9.6918150000000018</c:v>
                </c:pt>
                <c:pt idx="9">
                  <c:v>9.2490199999999998</c:v>
                </c:pt>
                <c:pt idx="10">
                  <c:v>9.1222571428571442</c:v>
                </c:pt>
                <c:pt idx="11">
                  <c:v>8.9560380952380942</c:v>
                </c:pt>
                <c:pt idx="12">
                  <c:v>8.4217999999999993</c:v>
                </c:pt>
                <c:pt idx="13">
                  <c:v>8.2200523809523798</c:v>
                </c:pt>
                <c:pt idx="14">
                  <c:v>8.3040857142857156</c:v>
                </c:pt>
              </c:numCache>
            </c:numRef>
          </c:val>
          <c:smooth val="0"/>
          <c:extLst>
            <c:ext xmlns:c16="http://schemas.microsoft.com/office/drawing/2014/chart" uri="{C3380CC4-5D6E-409C-BE32-E72D297353CC}">
              <c16:uniqueId val="{00000000-C52E-4CB5-A6F6-C4E44C15340E}"/>
            </c:ext>
          </c:extLst>
        </c:ser>
        <c:ser>
          <c:idx val="2"/>
          <c:order val="2"/>
          <c:tx>
            <c:strRef>
              <c:f>Sheet1!$F$1</c:f>
              <c:strCache>
                <c:ptCount val="1"/>
                <c:pt idx="0">
                  <c:v>Պետական պարտատոմսեր, 10տ․</c:v>
                </c:pt>
              </c:strCache>
            </c:strRef>
          </c:tx>
          <c:spPr>
            <a:ln w="12700" cap="rnd">
              <a:solidFill>
                <a:srgbClr val="A5A5A5"/>
              </a:solidFill>
              <a:round/>
            </a:ln>
            <a:effectLst/>
          </c:spPr>
          <c:marker>
            <c:symbol val="none"/>
          </c:marker>
          <c:cat>
            <c:multiLvlStrRef>
              <c:f>Sheet1!$A$16:$B$72</c:f>
              <c:multiLvlStrCache>
                <c:ptCount val="15"/>
                <c:lvl>
                  <c:pt idx="0">
                    <c:v>I</c:v>
                  </c:pt>
                  <c:pt idx="1">
                    <c:v>II</c:v>
                  </c:pt>
                  <c:pt idx="2">
                    <c:v>III</c:v>
                  </c:pt>
                  <c:pt idx="3">
                    <c:v>IV</c:v>
                  </c:pt>
                  <c:pt idx="4">
                    <c:v>I</c:v>
                  </c:pt>
                  <c:pt idx="5">
                    <c:v>II</c:v>
                  </c:pt>
                  <c:pt idx="6">
                    <c:v>III</c:v>
                  </c:pt>
                  <c:pt idx="7">
                    <c:v>IV</c:v>
                  </c:pt>
                  <c:pt idx="8">
                    <c:v>I</c:v>
                  </c:pt>
                  <c:pt idx="9">
                    <c:v>II</c:v>
                  </c:pt>
                  <c:pt idx="10">
                    <c:v>III</c:v>
                  </c:pt>
                  <c:pt idx="11">
                    <c:v>IV</c:v>
                  </c:pt>
                  <c:pt idx="12">
                    <c:v>I</c:v>
                  </c:pt>
                  <c:pt idx="13">
                    <c:v>II</c:v>
                  </c:pt>
                  <c:pt idx="14">
                    <c:v>օգ.</c:v>
                  </c:pt>
                </c:lvl>
                <c:lvl>
                  <c:pt idx="0">
                    <c:v>2022</c:v>
                  </c:pt>
                  <c:pt idx="4">
                    <c:v>2023</c:v>
                  </c:pt>
                  <c:pt idx="8">
                    <c:v>2024</c:v>
                  </c:pt>
                  <c:pt idx="12">
                    <c:v>2025</c:v>
                  </c:pt>
                </c:lvl>
              </c:multiLvlStrCache>
            </c:multiLvlStrRef>
          </c:cat>
          <c:val>
            <c:numRef>
              <c:f>Sheet1!$F$2:$F$72</c:f>
              <c:numCache>
                <c:formatCode>0.0</c:formatCode>
                <c:ptCount val="15"/>
                <c:pt idx="0">
                  <c:v>10.728454545454547</c:v>
                </c:pt>
                <c:pt idx="1">
                  <c:v>11.198654545454545</c:v>
                </c:pt>
                <c:pt idx="2">
                  <c:v>11.536523809523809</c:v>
                </c:pt>
                <c:pt idx="3">
                  <c:v>11.9946</c:v>
                </c:pt>
                <c:pt idx="4">
                  <c:v>11.654004545454546</c:v>
                </c:pt>
                <c:pt idx="5">
                  <c:v>10.890645454545453</c:v>
                </c:pt>
                <c:pt idx="6">
                  <c:v>10.219114999999999</c:v>
                </c:pt>
                <c:pt idx="7">
                  <c:v>10.752557142857144</c:v>
                </c:pt>
                <c:pt idx="8">
                  <c:v>9.7728300000000008</c:v>
                </c:pt>
                <c:pt idx="9">
                  <c:v>9.6936650000000011</c:v>
                </c:pt>
                <c:pt idx="10">
                  <c:v>9.7281238095238081</c:v>
                </c:pt>
                <c:pt idx="11">
                  <c:v>9.8331666666666671</c:v>
                </c:pt>
                <c:pt idx="12">
                  <c:v>9.6925047619047628</c:v>
                </c:pt>
                <c:pt idx="13">
                  <c:v>9.7544285714285692</c:v>
                </c:pt>
                <c:pt idx="14">
                  <c:v>9.8118047619047619</c:v>
                </c:pt>
              </c:numCache>
            </c:numRef>
          </c:val>
          <c:smooth val="0"/>
          <c:extLst>
            <c:ext xmlns:c16="http://schemas.microsoft.com/office/drawing/2014/chart" uri="{C3380CC4-5D6E-409C-BE32-E72D297353CC}">
              <c16:uniqueId val="{00000001-C52E-4CB5-A6F6-C4E44C15340E}"/>
            </c:ext>
          </c:extLst>
        </c:ser>
        <c:ser>
          <c:idx val="3"/>
          <c:order val="3"/>
          <c:tx>
            <c:strRef>
              <c:f>Sheet1!$G$1</c:f>
              <c:strCache>
                <c:ptCount val="1"/>
                <c:pt idx="0">
                  <c:v>Վարկեր, մինչև 1 տ․</c:v>
                </c:pt>
              </c:strCache>
            </c:strRef>
          </c:tx>
          <c:spPr>
            <a:ln w="12700" cap="rnd">
              <a:solidFill>
                <a:srgbClr val="FFC000"/>
              </a:solidFill>
              <a:round/>
            </a:ln>
            <a:effectLst/>
          </c:spPr>
          <c:marker>
            <c:symbol val="none"/>
          </c:marker>
          <c:cat>
            <c:multiLvlStrRef>
              <c:f>Sheet1!$A$16:$B$72</c:f>
              <c:multiLvlStrCache>
                <c:ptCount val="15"/>
                <c:lvl>
                  <c:pt idx="0">
                    <c:v>I</c:v>
                  </c:pt>
                  <c:pt idx="1">
                    <c:v>II</c:v>
                  </c:pt>
                  <c:pt idx="2">
                    <c:v>III</c:v>
                  </c:pt>
                  <c:pt idx="3">
                    <c:v>IV</c:v>
                  </c:pt>
                  <c:pt idx="4">
                    <c:v>I</c:v>
                  </c:pt>
                  <c:pt idx="5">
                    <c:v>II</c:v>
                  </c:pt>
                  <c:pt idx="6">
                    <c:v>III</c:v>
                  </c:pt>
                  <c:pt idx="7">
                    <c:v>IV</c:v>
                  </c:pt>
                  <c:pt idx="8">
                    <c:v>I</c:v>
                  </c:pt>
                  <c:pt idx="9">
                    <c:v>II</c:v>
                  </c:pt>
                  <c:pt idx="10">
                    <c:v>III</c:v>
                  </c:pt>
                  <c:pt idx="11">
                    <c:v>IV</c:v>
                  </c:pt>
                  <c:pt idx="12">
                    <c:v>I</c:v>
                  </c:pt>
                  <c:pt idx="13">
                    <c:v>II</c:v>
                  </c:pt>
                  <c:pt idx="14">
                    <c:v>օգ.</c:v>
                  </c:pt>
                </c:lvl>
                <c:lvl>
                  <c:pt idx="0">
                    <c:v>2022</c:v>
                  </c:pt>
                  <c:pt idx="4">
                    <c:v>2023</c:v>
                  </c:pt>
                  <c:pt idx="8">
                    <c:v>2024</c:v>
                  </c:pt>
                  <c:pt idx="12">
                    <c:v>2025</c:v>
                  </c:pt>
                </c:lvl>
              </c:multiLvlStrCache>
            </c:multiLvlStrRef>
          </c:cat>
          <c:val>
            <c:numRef>
              <c:f>Sheet1!$G$2:$G$72</c:f>
              <c:numCache>
                <c:formatCode>0.0</c:formatCode>
                <c:ptCount val="15"/>
                <c:pt idx="0">
                  <c:v>12.491087907189435</c:v>
                </c:pt>
                <c:pt idx="1">
                  <c:v>11.274733470496635</c:v>
                </c:pt>
                <c:pt idx="2">
                  <c:v>11.773619839763745</c:v>
                </c:pt>
                <c:pt idx="3">
                  <c:v>12.026777148567596</c:v>
                </c:pt>
                <c:pt idx="4">
                  <c:v>12.280686192171711</c:v>
                </c:pt>
                <c:pt idx="5">
                  <c:v>12.139632381709292</c:v>
                </c:pt>
                <c:pt idx="6">
                  <c:v>12.732583194951411</c:v>
                </c:pt>
                <c:pt idx="7">
                  <c:v>12.501984365787607</c:v>
                </c:pt>
                <c:pt idx="8">
                  <c:v>12.283746075334658</c:v>
                </c:pt>
                <c:pt idx="9">
                  <c:v>12.921482369357351</c:v>
                </c:pt>
                <c:pt idx="10">
                  <c:v>13.681483408895364</c:v>
                </c:pt>
                <c:pt idx="11">
                  <c:v>13.169240186844304</c:v>
                </c:pt>
                <c:pt idx="12">
                  <c:v>14.167413604676916</c:v>
                </c:pt>
                <c:pt idx="13">
                  <c:v>13.256688893104567</c:v>
                </c:pt>
                <c:pt idx="14">
                  <c:v>13.811876927163123</c:v>
                </c:pt>
              </c:numCache>
            </c:numRef>
          </c:val>
          <c:smooth val="0"/>
          <c:extLst>
            <c:ext xmlns:c16="http://schemas.microsoft.com/office/drawing/2014/chart" uri="{C3380CC4-5D6E-409C-BE32-E72D297353CC}">
              <c16:uniqueId val="{00000002-C52E-4CB5-A6F6-C4E44C15340E}"/>
            </c:ext>
          </c:extLst>
        </c:ser>
        <c:ser>
          <c:idx val="4"/>
          <c:order val="4"/>
          <c:tx>
            <c:strRef>
              <c:f>Sheet1!$H$1</c:f>
              <c:strCache>
                <c:ptCount val="1"/>
                <c:pt idx="0">
                  <c:v>Ավանդներ, մինչև 1տ․</c:v>
                </c:pt>
              </c:strCache>
            </c:strRef>
          </c:tx>
          <c:spPr>
            <a:ln w="12700" cap="rnd">
              <a:solidFill>
                <a:srgbClr val="4472C4">
                  <a:lumMod val="50000"/>
                </a:srgbClr>
              </a:solidFill>
              <a:round/>
            </a:ln>
            <a:effectLst/>
          </c:spPr>
          <c:marker>
            <c:symbol val="none"/>
          </c:marker>
          <c:cat>
            <c:multiLvlStrRef>
              <c:f>Sheet1!$A$16:$B$72</c:f>
              <c:multiLvlStrCache>
                <c:ptCount val="15"/>
                <c:lvl>
                  <c:pt idx="0">
                    <c:v>I</c:v>
                  </c:pt>
                  <c:pt idx="1">
                    <c:v>II</c:v>
                  </c:pt>
                  <c:pt idx="2">
                    <c:v>III</c:v>
                  </c:pt>
                  <c:pt idx="3">
                    <c:v>IV</c:v>
                  </c:pt>
                  <c:pt idx="4">
                    <c:v>I</c:v>
                  </c:pt>
                  <c:pt idx="5">
                    <c:v>II</c:v>
                  </c:pt>
                  <c:pt idx="6">
                    <c:v>III</c:v>
                  </c:pt>
                  <c:pt idx="7">
                    <c:v>IV</c:v>
                  </c:pt>
                  <c:pt idx="8">
                    <c:v>I</c:v>
                  </c:pt>
                  <c:pt idx="9">
                    <c:v>II</c:v>
                  </c:pt>
                  <c:pt idx="10">
                    <c:v>III</c:v>
                  </c:pt>
                  <c:pt idx="11">
                    <c:v>IV</c:v>
                  </c:pt>
                  <c:pt idx="12">
                    <c:v>I</c:v>
                  </c:pt>
                  <c:pt idx="13">
                    <c:v>II</c:v>
                  </c:pt>
                  <c:pt idx="14">
                    <c:v>օգ.</c:v>
                  </c:pt>
                </c:lvl>
                <c:lvl>
                  <c:pt idx="0">
                    <c:v>2022</c:v>
                  </c:pt>
                  <c:pt idx="4">
                    <c:v>2023</c:v>
                  </c:pt>
                  <c:pt idx="8">
                    <c:v>2024</c:v>
                  </c:pt>
                  <c:pt idx="12">
                    <c:v>2025</c:v>
                  </c:pt>
                </c:lvl>
              </c:multiLvlStrCache>
            </c:multiLvlStrRef>
          </c:cat>
          <c:val>
            <c:numRef>
              <c:f>Sheet1!$H$2:$H$72</c:f>
              <c:numCache>
                <c:formatCode>0.0</c:formatCode>
                <c:ptCount val="15"/>
                <c:pt idx="0">
                  <c:v>9.2964040296125265</c:v>
                </c:pt>
                <c:pt idx="1">
                  <c:v>8.1287571727719037</c:v>
                </c:pt>
                <c:pt idx="2">
                  <c:v>7.6374793222786144</c:v>
                </c:pt>
                <c:pt idx="3">
                  <c:v>8.6201560403887179</c:v>
                </c:pt>
                <c:pt idx="4">
                  <c:v>8.1887607485517133</c:v>
                </c:pt>
                <c:pt idx="5">
                  <c:v>8.3546599768074685</c:v>
                </c:pt>
                <c:pt idx="6">
                  <c:v>8.6042796009191385</c:v>
                </c:pt>
                <c:pt idx="7">
                  <c:v>8.1553455505810319</c:v>
                </c:pt>
                <c:pt idx="8">
                  <c:v>8.034297791459613</c:v>
                </c:pt>
                <c:pt idx="9">
                  <c:v>8.2522694553656422</c:v>
                </c:pt>
                <c:pt idx="10">
                  <c:v>8.0044997993279665</c:v>
                </c:pt>
                <c:pt idx="11">
                  <c:v>8.160990693987765</c:v>
                </c:pt>
                <c:pt idx="12">
                  <c:v>7.9767278143666722</c:v>
                </c:pt>
                <c:pt idx="13">
                  <c:v>8.049414257282157</c:v>
                </c:pt>
                <c:pt idx="14">
                  <c:v>7.8943102513264574</c:v>
                </c:pt>
              </c:numCache>
            </c:numRef>
          </c:val>
          <c:smooth val="0"/>
          <c:extLst>
            <c:ext xmlns:c16="http://schemas.microsoft.com/office/drawing/2014/chart" uri="{C3380CC4-5D6E-409C-BE32-E72D297353CC}">
              <c16:uniqueId val="{00000003-C52E-4CB5-A6F6-C4E44C15340E}"/>
            </c:ext>
          </c:extLst>
        </c:ser>
        <c:ser>
          <c:idx val="7"/>
          <c:order val="5"/>
          <c:tx>
            <c:strRef>
              <c:f>Sheet1!$C$1</c:f>
              <c:strCache>
                <c:ptCount val="1"/>
                <c:pt idx="0">
                  <c:v>ԿԲ ռեպո</c:v>
                </c:pt>
              </c:strCache>
            </c:strRef>
          </c:tx>
          <c:marker>
            <c:symbol val="none"/>
          </c:marker>
          <c:cat>
            <c:multiLvlStrRef>
              <c:f>Sheet1!$A$16:$B$72</c:f>
              <c:multiLvlStrCache>
                <c:ptCount val="15"/>
                <c:lvl>
                  <c:pt idx="0">
                    <c:v>I</c:v>
                  </c:pt>
                  <c:pt idx="1">
                    <c:v>II</c:v>
                  </c:pt>
                  <c:pt idx="2">
                    <c:v>III</c:v>
                  </c:pt>
                  <c:pt idx="3">
                    <c:v>IV</c:v>
                  </c:pt>
                  <c:pt idx="4">
                    <c:v>I</c:v>
                  </c:pt>
                  <c:pt idx="5">
                    <c:v>II</c:v>
                  </c:pt>
                  <c:pt idx="6">
                    <c:v>III</c:v>
                  </c:pt>
                  <c:pt idx="7">
                    <c:v>IV</c:v>
                  </c:pt>
                  <c:pt idx="8">
                    <c:v>I</c:v>
                  </c:pt>
                  <c:pt idx="9">
                    <c:v>II</c:v>
                  </c:pt>
                  <c:pt idx="10">
                    <c:v>III</c:v>
                  </c:pt>
                  <c:pt idx="11">
                    <c:v>IV</c:v>
                  </c:pt>
                  <c:pt idx="12">
                    <c:v>I</c:v>
                  </c:pt>
                  <c:pt idx="13">
                    <c:v>II</c:v>
                  </c:pt>
                  <c:pt idx="14">
                    <c:v>օգ.</c:v>
                  </c:pt>
                </c:lvl>
                <c:lvl>
                  <c:pt idx="0">
                    <c:v>2022</c:v>
                  </c:pt>
                  <c:pt idx="4">
                    <c:v>2023</c:v>
                  </c:pt>
                  <c:pt idx="8">
                    <c:v>2024</c:v>
                  </c:pt>
                  <c:pt idx="12">
                    <c:v>2025</c:v>
                  </c:pt>
                </c:lvl>
              </c:multiLvlStrCache>
            </c:multiLvlStrRef>
          </c:cat>
          <c:val>
            <c:numRef>
              <c:f>Sheet1!$C$40:$C$72</c:f>
              <c:numCache>
                <c:formatCode>0.0</c:formatCode>
                <c:ptCount val="15"/>
                <c:pt idx="0">
                  <c:v>9.25</c:v>
                </c:pt>
                <c:pt idx="1">
                  <c:v>9.25</c:v>
                </c:pt>
                <c:pt idx="2">
                  <c:v>10</c:v>
                </c:pt>
                <c:pt idx="3">
                  <c:v>10.75</c:v>
                </c:pt>
                <c:pt idx="4">
                  <c:v>10.75</c:v>
                </c:pt>
                <c:pt idx="5" formatCode="0.00">
                  <c:v>10.5</c:v>
                </c:pt>
                <c:pt idx="6" formatCode="0.00">
                  <c:v>9.75</c:v>
                </c:pt>
                <c:pt idx="7" formatCode="0.00">
                  <c:v>9.25</c:v>
                </c:pt>
                <c:pt idx="8" formatCode="0.00">
                  <c:v>8.5</c:v>
                </c:pt>
                <c:pt idx="9" formatCode="0.00">
                  <c:v>8</c:v>
                </c:pt>
                <c:pt idx="10" formatCode="0.00">
                  <c:v>7.5</c:v>
                </c:pt>
                <c:pt idx="11" formatCode="0.00">
                  <c:v>7</c:v>
                </c:pt>
                <c:pt idx="12" formatCode="0.00">
                  <c:v>6.75</c:v>
                </c:pt>
                <c:pt idx="13" formatCode="0.00">
                  <c:v>6.75</c:v>
                </c:pt>
                <c:pt idx="14" formatCode="0.00">
                  <c:v>6.75</c:v>
                </c:pt>
              </c:numCache>
            </c:numRef>
          </c:val>
          <c:smooth val="0"/>
          <c:extLst>
            <c:ext xmlns:c16="http://schemas.microsoft.com/office/drawing/2014/chart" uri="{C3380CC4-5D6E-409C-BE32-E72D297353CC}">
              <c16:uniqueId val="{00000004-C52E-4CB5-A6F6-C4E44C15340E}"/>
            </c:ext>
          </c:extLst>
        </c:ser>
        <c:dLbls>
          <c:showLegendKey val="0"/>
          <c:showVal val="0"/>
          <c:showCatName val="0"/>
          <c:showSerName val="0"/>
          <c:showPercent val="0"/>
          <c:showBubbleSize val="0"/>
        </c:dLbls>
        <c:smooth val="0"/>
        <c:axId val="803037520"/>
        <c:axId val="1"/>
        <c:extLst>
          <c:ext xmlns:c15="http://schemas.microsoft.com/office/drawing/2012/chart" uri="{02D57815-91ED-43cb-92C2-25804820EDAC}">
            <c15:filteredLineSeries>
              <c15:ser>
                <c:idx val="0"/>
                <c:order val="0"/>
                <c:tx>
                  <c:strRef>
                    <c:extLst>
                      <c:ext uri="{02D57815-91ED-43cb-92C2-25804820EDAC}">
                        <c15:formulaRef>
                          <c15:sqref>Sheet1!$D$1</c15:sqref>
                        </c15:formulaRef>
                      </c:ext>
                    </c:extLst>
                    <c:strCache>
                      <c:ptCount val="1"/>
                      <c:pt idx="0">
                        <c:v>Միջբանկային ռեպո</c:v>
                      </c:pt>
                    </c:strCache>
                  </c:strRef>
                </c:tx>
                <c:spPr>
                  <a:ln w="12700" cap="rnd">
                    <a:solidFill>
                      <a:sysClr val="windowText" lastClr="000000"/>
                    </a:solidFill>
                    <a:round/>
                  </a:ln>
                  <a:effectLst/>
                </c:spPr>
                <c:marker>
                  <c:symbol val="none"/>
                </c:marker>
                <c:cat>
                  <c:multiLvlStrRef>
                    <c:extLst>
                      <c:ext uri="{02D57815-91ED-43cb-92C2-25804820EDAC}">
                        <c15:formulaRef>
                          <c15:sqref>Sheet1!$A$16:$B$72</c15:sqref>
                        </c15:formulaRef>
                      </c:ext>
                    </c:extLst>
                    <c:multiLvlStrCache>
                      <c:ptCount val="15"/>
                      <c:lvl>
                        <c:pt idx="0">
                          <c:v>I</c:v>
                        </c:pt>
                        <c:pt idx="1">
                          <c:v>II</c:v>
                        </c:pt>
                        <c:pt idx="2">
                          <c:v>III</c:v>
                        </c:pt>
                        <c:pt idx="3">
                          <c:v>IV</c:v>
                        </c:pt>
                        <c:pt idx="4">
                          <c:v>I</c:v>
                        </c:pt>
                        <c:pt idx="5">
                          <c:v>II</c:v>
                        </c:pt>
                        <c:pt idx="6">
                          <c:v>III</c:v>
                        </c:pt>
                        <c:pt idx="7">
                          <c:v>IV</c:v>
                        </c:pt>
                        <c:pt idx="8">
                          <c:v>I</c:v>
                        </c:pt>
                        <c:pt idx="9">
                          <c:v>II</c:v>
                        </c:pt>
                        <c:pt idx="10">
                          <c:v>III</c:v>
                        </c:pt>
                        <c:pt idx="11">
                          <c:v>IV</c:v>
                        </c:pt>
                        <c:pt idx="12">
                          <c:v>I</c:v>
                        </c:pt>
                        <c:pt idx="13">
                          <c:v>II</c:v>
                        </c:pt>
                        <c:pt idx="14">
                          <c:v>օգ.</c:v>
                        </c:pt>
                      </c:lvl>
                      <c:lvl>
                        <c:pt idx="0">
                          <c:v>2022</c:v>
                        </c:pt>
                        <c:pt idx="4">
                          <c:v>2023</c:v>
                        </c:pt>
                        <c:pt idx="8">
                          <c:v>2024</c:v>
                        </c:pt>
                        <c:pt idx="12">
                          <c:v>2025</c:v>
                        </c:pt>
                      </c:lvl>
                    </c:multiLvlStrCache>
                  </c:multiLvlStrRef>
                </c:cat>
                <c:val>
                  <c:numRef>
                    <c:extLst>
                      <c:ext uri="{02D57815-91ED-43cb-92C2-25804820EDAC}">
                        <c15:formulaRef>
                          <c15:sqref>Sheet1!$D$2:$D$72</c15:sqref>
                        </c15:formulaRef>
                      </c:ext>
                    </c:extLst>
                    <c:numCache>
                      <c:formatCode>0.0</c:formatCode>
                      <c:ptCount val="15"/>
                      <c:pt idx="0">
                        <c:v>8.36</c:v>
                      </c:pt>
                      <c:pt idx="1">
                        <c:v>9.3699999999999992</c:v>
                      </c:pt>
                      <c:pt idx="2">
                        <c:v>10</c:v>
                      </c:pt>
                      <c:pt idx="3">
                        <c:v>10.89</c:v>
                      </c:pt>
                      <c:pt idx="4">
                        <c:v>10.94</c:v>
                      </c:pt>
                      <c:pt idx="5">
                        <c:v>10.74</c:v>
                      </c:pt>
                      <c:pt idx="6">
                        <c:v>10.09</c:v>
                      </c:pt>
                      <c:pt idx="7">
                        <c:v>9.58</c:v>
                      </c:pt>
                      <c:pt idx="8">
                        <c:v>8.76</c:v>
                      </c:pt>
                      <c:pt idx="9">
                        <c:v>8.23</c:v>
                      </c:pt>
                      <c:pt idx="10">
                        <c:v>8.11</c:v>
                      </c:pt>
                      <c:pt idx="11">
                        <c:v>7.29</c:v>
                      </c:pt>
                      <c:pt idx="12">
                        <c:v>6.97</c:v>
                      </c:pt>
                      <c:pt idx="13">
                        <c:v>6.98</c:v>
                      </c:pt>
                    </c:numCache>
                  </c:numRef>
                </c:val>
                <c:smooth val="0"/>
                <c:extLst>
                  <c:ext xmlns:c16="http://schemas.microsoft.com/office/drawing/2014/chart" uri="{C3380CC4-5D6E-409C-BE32-E72D297353CC}">
                    <c16:uniqueId val="{00000005-C52E-4CB5-A6F6-C4E44C15340E}"/>
                  </c:ext>
                </c:extLst>
              </c15:ser>
            </c15:filteredLineSeries>
          </c:ext>
        </c:extLst>
      </c:lineChart>
      <c:catAx>
        <c:axId val="803037520"/>
        <c:scaling>
          <c:orientation val="minMax"/>
        </c:scaling>
        <c:delete val="0"/>
        <c:axPos val="b"/>
        <c:numFmt formatCode="General" sourceLinked="1"/>
        <c:majorTickMark val="none"/>
        <c:minorTickMark val="none"/>
        <c:tickLblPos val="nextTo"/>
        <c:spPr>
          <a:noFill/>
          <a:ln w="9524" cap="flat" cmpd="sng" algn="ctr">
            <a:solidFill>
              <a:schemeClr val="tx1">
                <a:lumMod val="15000"/>
                <a:lumOff val="85000"/>
              </a:schemeClr>
            </a:solidFill>
            <a:round/>
          </a:ln>
          <a:effectLst/>
        </c:spPr>
        <c:txPr>
          <a:bodyPr rot="-5400000" vert="horz"/>
          <a:lstStyle/>
          <a:p>
            <a:pPr>
              <a:defRPr b="1"/>
            </a:pPr>
            <a:endParaRPr lang="en-US"/>
          </a:p>
        </c:txPr>
        <c:crossAx val="1"/>
        <c:crosses val="autoZero"/>
        <c:auto val="1"/>
        <c:lblAlgn val="ctr"/>
        <c:lblOffset val="100"/>
        <c:noMultiLvlLbl val="0"/>
      </c:catAx>
      <c:valAx>
        <c:axId val="1"/>
        <c:scaling>
          <c:orientation val="minMax"/>
          <c:max val="15"/>
          <c:min val="4"/>
        </c:scaling>
        <c:delete val="0"/>
        <c:axPos val="l"/>
        <c:numFmt formatCode="0" sourceLinked="0"/>
        <c:majorTickMark val="none"/>
        <c:minorTickMark val="none"/>
        <c:tickLblPos val="nextTo"/>
        <c:spPr>
          <a:ln w="9524">
            <a:noFill/>
          </a:ln>
        </c:spPr>
        <c:txPr>
          <a:bodyPr rot="-60000000" vert="horz"/>
          <a:lstStyle/>
          <a:p>
            <a:pPr>
              <a:defRPr>
                <a:solidFill>
                  <a:schemeClr val="bg1">
                    <a:lumMod val="65000"/>
                  </a:schemeClr>
                </a:solidFill>
              </a:defRPr>
            </a:pPr>
            <a:endParaRPr lang="en-US"/>
          </a:p>
        </c:txPr>
        <c:crossAx val="803037520"/>
        <c:crosses val="autoZero"/>
        <c:crossBetween val="between"/>
        <c:majorUnit val="3"/>
      </c:valAx>
      <c:spPr>
        <a:noFill/>
        <a:ln>
          <a:noFill/>
        </a:ln>
        <a:effectLst/>
      </c:spPr>
    </c:plotArea>
    <c:legend>
      <c:legendPos val="b"/>
      <c:layout>
        <c:manualLayout>
          <c:xMode val="edge"/>
          <c:yMode val="edge"/>
          <c:x val="0"/>
          <c:y val="0.71171318880769718"/>
          <c:w val="0.99394019126322086"/>
          <c:h val="0.28828681119230271"/>
        </c:manualLayout>
      </c:layout>
      <c:overlay val="0"/>
      <c:spPr>
        <a:noFill/>
        <a:ln w="25398">
          <a:noFill/>
        </a:ln>
      </c:spPr>
      <c:txPr>
        <a:bodyPr rot="0" vert="horz"/>
        <a:lstStyle/>
        <a:p>
          <a:pPr>
            <a:defRPr sz="800"/>
          </a:pPr>
          <a:endParaRPr lang="en-US"/>
        </a:p>
      </c:txPr>
    </c:legend>
    <c:plotVisOnly val="1"/>
    <c:dispBlanksAs val="gap"/>
    <c:showDLblsOverMax val="0"/>
  </c:chart>
  <c:spPr>
    <a:noFill/>
    <a:ln w="19050" cap="flat" cmpd="sng" algn="ctr">
      <a:solidFill>
        <a:sysClr val="window" lastClr="FFFFFF"/>
      </a:solidFill>
      <a:round/>
    </a:ln>
    <a:effectLst/>
  </c:spPr>
  <c:txPr>
    <a:bodyPr/>
    <a:lstStyle/>
    <a:p>
      <a:pPr>
        <a:defRPr sz="800">
          <a:latin typeface="Calibri" panose="020F0502020204030204" pitchFamily="34" charset="0"/>
          <a:ea typeface="Calibri" panose="020F0502020204030204" pitchFamily="34" charset="0"/>
          <a:cs typeface="Calibri" panose="020F0502020204030204" pitchFamily="34" charset="0"/>
        </a:defRPr>
      </a:pPr>
      <a:endParaRPr lang="en-US"/>
    </a:p>
  </c:txPr>
  <c:externalData r:id="rId2">
    <c:autoUpdate val="0"/>
  </c:externalData>
</c:chartSpace>
</file>

<file path=word/charts/chart4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areaChart>
        <c:grouping val="stacked"/>
        <c:varyColors val="0"/>
        <c:ser>
          <c:idx val="0"/>
          <c:order val="0"/>
          <c:tx>
            <c:strRef>
              <c:f>'[FanChart-real  sector-uxerdz-2026.xlsx]Sheet13'!$B$3</c:f>
              <c:strCache>
                <c:ptCount val="1"/>
              </c:strCache>
            </c:strRef>
          </c:tx>
          <c:spPr>
            <a:noFill/>
          </c:spPr>
          <c:cat>
            <c:strRef>
              <c:f>'[FanChart-real  sector-uxerdz-2026.xlsx]Sheet13'!$A$4:$A$119</c:f>
              <c:strCache>
                <c:ptCount val="8"/>
                <c:pt idx="0">
                  <c:v>2021/4</c:v>
                </c:pt>
                <c:pt idx="1">
                  <c:v>2022/4</c:v>
                </c:pt>
                <c:pt idx="2">
                  <c:v>2023/4</c:v>
                </c:pt>
                <c:pt idx="3">
                  <c:v>2024/4</c:v>
                </c:pt>
                <c:pt idx="4">
                  <c:v>2025/4*</c:v>
                </c:pt>
                <c:pt idx="5">
                  <c:v>2026/4*</c:v>
                </c:pt>
                <c:pt idx="6">
                  <c:v>2027/4*</c:v>
                </c:pt>
                <c:pt idx="7">
                  <c:v>2028/4*</c:v>
                </c:pt>
              </c:strCache>
            </c:strRef>
          </c:cat>
          <c:val>
            <c:numRef>
              <c:f>'[FanChart-real  sector-uxerdz-2026.xlsx]Sheet13'!$B$4:$B$119</c:f>
              <c:numCache>
                <c:formatCode>General</c:formatCode>
                <c:ptCount val="8"/>
                <c:pt idx="0">
                  <c:v>5.8153477218225476</c:v>
                </c:pt>
                <c:pt idx="1">
                  <c:v>12.559017941454201</c:v>
                </c:pt>
                <c:pt idx="2">
                  <c:v>8.3557046979865675</c:v>
                </c:pt>
                <c:pt idx="3">
                  <c:v>5.8377206565500188</c:v>
                </c:pt>
                <c:pt idx="4">
                  <c:v>1.7188506390638709</c:v>
                </c:pt>
                <c:pt idx="5">
                  <c:v>0.89783570781984334</c:v>
                </c:pt>
                <c:pt idx="6">
                  <c:v>0.7394774796567436</c:v>
                </c:pt>
                <c:pt idx="7">
                  <c:v>0.64208213724455376</c:v>
                </c:pt>
              </c:numCache>
            </c:numRef>
          </c:val>
          <c:extLst>
            <c:ext xmlns:c16="http://schemas.microsoft.com/office/drawing/2014/chart" uri="{C3380CC4-5D6E-409C-BE32-E72D297353CC}">
              <c16:uniqueId val="{00000000-23A9-4060-A953-3B63EC302D10}"/>
            </c:ext>
          </c:extLst>
        </c:ser>
        <c:ser>
          <c:idx val="1"/>
          <c:order val="1"/>
          <c:tx>
            <c:strRef>
              <c:f>'[FanChart-real  sector-uxerdz-2026.xlsx]Sheet13'!$C$3</c:f>
              <c:strCache>
                <c:ptCount val="1"/>
              </c:strCache>
            </c:strRef>
          </c:tx>
          <c:spPr>
            <a:solidFill>
              <a:srgbClr val="FF0000">
                <a:alpha val="20000"/>
              </a:srgbClr>
            </a:solidFill>
          </c:spPr>
          <c:cat>
            <c:strRef>
              <c:f>'[FanChart-real  sector-uxerdz-2026.xlsx]Sheet13'!$A$4:$A$119</c:f>
              <c:strCache>
                <c:ptCount val="8"/>
                <c:pt idx="0">
                  <c:v>2021/4</c:v>
                </c:pt>
                <c:pt idx="1">
                  <c:v>2022/4</c:v>
                </c:pt>
                <c:pt idx="2">
                  <c:v>2023/4</c:v>
                </c:pt>
                <c:pt idx="3">
                  <c:v>2024/4</c:v>
                </c:pt>
                <c:pt idx="4">
                  <c:v>2025/4*</c:v>
                </c:pt>
                <c:pt idx="5">
                  <c:v>2026/4*</c:v>
                </c:pt>
                <c:pt idx="6">
                  <c:v>2027/4*</c:v>
                </c:pt>
                <c:pt idx="7">
                  <c:v>2028/4*</c:v>
                </c:pt>
              </c:strCache>
            </c:strRef>
          </c:cat>
          <c:val>
            <c:numRef>
              <c:f>'[FanChart-real  sector-uxerdz-2026.xlsx]Sheet13'!$C$4:$C$119</c:f>
            </c:numRef>
          </c:val>
          <c:extLst>
            <c:ext xmlns:c16="http://schemas.microsoft.com/office/drawing/2014/chart" uri="{C3380CC4-5D6E-409C-BE32-E72D297353CC}">
              <c16:uniqueId val="{00000001-23A9-4060-A953-3B63EC302D10}"/>
            </c:ext>
          </c:extLst>
        </c:ser>
        <c:ser>
          <c:idx val="2"/>
          <c:order val="2"/>
          <c:tx>
            <c:strRef>
              <c:f>'[FanChart-real  sector-uxerdz-2026.xlsx]Sheet13'!$D$3</c:f>
              <c:strCache>
                <c:ptCount val="1"/>
              </c:strCache>
            </c:strRef>
          </c:tx>
          <c:spPr>
            <a:solidFill>
              <a:srgbClr val="FF0000">
                <a:alpha val="30000"/>
              </a:srgbClr>
            </a:solidFill>
          </c:spPr>
          <c:cat>
            <c:strRef>
              <c:f>'[FanChart-real  sector-uxerdz-2026.xlsx]Sheet13'!$A$4:$A$119</c:f>
              <c:strCache>
                <c:ptCount val="8"/>
                <c:pt idx="0">
                  <c:v>2021/4</c:v>
                </c:pt>
                <c:pt idx="1">
                  <c:v>2022/4</c:v>
                </c:pt>
                <c:pt idx="2">
                  <c:v>2023/4</c:v>
                </c:pt>
                <c:pt idx="3">
                  <c:v>2024/4</c:v>
                </c:pt>
                <c:pt idx="4">
                  <c:v>2025/4*</c:v>
                </c:pt>
                <c:pt idx="5">
                  <c:v>2026/4*</c:v>
                </c:pt>
                <c:pt idx="6">
                  <c:v>2027/4*</c:v>
                </c:pt>
                <c:pt idx="7">
                  <c:v>2028/4*</c:v>
                </c:pt>
              </c:strCache>
            </c:strRef>
          </c:cat>
          <c:val>
            <c:numRef>
              <c:f>'[FanChart-real  sector-uxerdz-2026.xlsx]Sheet13'!$D$4:$D$119</c:f>
            </c:numRef>
          </c:val>
          <c:extLst>
            <c:ext xmlns:c16="http://schemas.microsoft.com/office/drawing/2014/chart" uri="{C3380CC4-5D6E-409C-BE32-E72D297353CC}">
              <c16:uniqueId val="{00000002-23A9-4060-A953-3B63EC302D10}"/>
            </c:ext>
          </c:extLst>
        </c:ser>
        <c:ser>
          <c:idx val="3"/>
          <c:order val="3"/>
          <c:tx>
            <c:strRef>
              <c:f>'[FanChart-real  sector-uxerdz-2026.xlsx]Sheet13'!$E$3</c:f>
              <c:strCache>
                <c:ptCount val="1"/>
              </c:strCache>
            </c:strRef>
          </c:tx>
          <c:spPr>
            <a:solidFill>
              <a:srgbClr val="FF0000">
                <a:alpha val="40000"/>
              </a:srgbClr>
            </a:solidFill>
          </c:spPr>
          <c:cat>
            <c:strRef>
              <c:f>'[FanChart-real  sector-uxerdz-2026.xlsx]Sheet13'!$A$4:$A$119</c:f>
              <c:strCache>
                <c:ptCount val="8"/>
                <c:pt idx="0">
                  <c:v>2021/4</c:v>
                </c:pt>
                <c:pt idx="1">
                  <c:v>2022/4</c:v>
                </c:pt>
                <c:pt idx="2">
                  <c:v>2023/4</c:v>
                </c:pt>
                <c:pt idx="3">
                  <c:v>2024/4</c:v>
                </c:pt>
                <c:pt idx="4">
                  <c:v>2025/4*</c:v>
                </c:pt>
                <c:pt idx="5">
                  <c:v>2026/4*</c:v>
                </c:pt>
                <c:pt idx="6">
                  <c:v>2027/4*</c:v>
                </c:pt>
                <c:pt idx="7">
                  <c:v>2028/4*</c:v>
                </c:pt>
              </c:strCache>
            </c:strRef>
          </c:cat>
          <c:val>
            <c:numRef>
              <c:f>'[FanChart-real  sector-uxerdz-2026.xlsx]Sheet13'!$E$4:$E$119</c:f>
              <c:numCache>
                <c:formatCode>General</c:formatCode>
                <c:ptCount val="8"/>
                <c:pt idx="4">
                  <c:v>0.41170273909434751</c:v>
                </c:pt>
                <c:pt idx="5">
                  <c:v>0.52808635993631503</c:v>
                </c:pt>
                <c:pt idx="6">
                  <c:v>0.54938652973965052</c:v>
                </c:pt>
                <c:pt idx="7">
                  <c:v>0.55376442533784465</c:v>
                </c:pt>
              </c:numCache>
            </c:numRef>
          </c:val>
          <c:extLst>
            <c:ext xmlns:c16="http://schemas.microsoft.com/office/drawing/2014/chart" uri="{C3380CC4-5D6E-409C-BE32-E72D297353CC}">
              <c16:uniqueId val="{00000003-23A9-4060-A953-3B63EC302D10}"/>
            </c:ext>
          </c:extLst>
        </c:ser>
        <c:ser>
          <c:idx val="4"/>
          <c:order val="4"/>
          <c:tx>
            <c:strRef>
              <c:f>'[FanChart-real  sector-uxerdz-2026.xlsx]Sheet13'!$F$3</c:f>
              <c:strCache>
                <c:ptCount val="1"/>
              </c:strCache>
            </c:strRef>
          </c:tx>
          <c:spPr>
            <a:solidFill>
              <a:srgbClr val="FF0000">
                <a:alpha val="50000"/>
              </a:srgbClr>
            </a:solidFill>
          </c:spPr>
          <c:cat>
            <c:strRef>
              <c:f>'[FanChart-real  sector-uxerdz-2026.xlsx]Sheet13'!$A$4:$A$119</c:f>
              <c:strCache>
                <c:ptCount val="8"/>
                <c:pt idx="0">
                  <c:v>2021/4</c:v>
                </c:pt>
                <c:pt idx="1">
                  <c:v>2022/4</c:v>
                </c:pt>
                <c:pt idx="2">
                  <c:v>2023/4</c:v>
                </c:pt>
                <c:pt idx="3">
                  <c:v>2024/4</c:v>
                </c:pt>
                <c:pt idx="4">
                  <c:v>2025/4*</c:v>
                </c:pt>
                <c:pt idx="5">
                  <c:v>2026/4*</c:v>
                </c:pt>
                <c:pt idx="6">
                  <c:v>2027/4*</c:v>
                </c:pt>
                <c:pt idx="7">
                  <c:v>2028/4*</c:v>
                </c:pt>
              </c:strCache>
            </c:strRef>
          </c:cat>
          <c:val>
            <c:numRef>
              <c:f>'[FanChart-real  sector-uxerdz-2026.xlsx]Sheet13'!$F$4:$F$119</c:f>
              <c:numCache>
                <c:formatCode>General</c:formatCode>
                <c:ptCount val="8"/>
                <c:pt idx="4">
                  <c:v>0.35320429143595344</c:v>
                </c:pt>
                <c:pt idx="5">
                  <c:v>0.45305107512426357</c:v>
                </c:pt>
                <c:pt idx="6">
                  <c:v>0.47132472421244298</c:v>
                </c:pt>
                <c:pt idx="7">
                  <c:v>0.475080568820478</c:v>
                </c:pt>
              </c:numCache>
            </c:numRef>
          </c:val>
          <c:extLst>
            <c:ext xmlns:c16="http://schemas.microsoft.com/office/drawing/2014/chart" uri="{C3380CC4-5D6E-409C-BE32-E72D297353CC}">
              <c16:uniqueId val="{00000004-23A9-4060-A953-3B63EC302D10}"/>
            </c:ext>
          </c:extLst>
        </c:ser>
        <c:ser>
          <c:idx val="5"/>
          <c:order val="5"/>
          <c:tx>
            <c:strRef>
              <c:f>'[FanChart-real  sector-uxerdz-2026.xlsx]Sheet13'!$G$3</c:f>
              <c:strCache>
                <c:ptCount val="1"/>
              </c:strCache>
            </c:strRef>
          </c:tx>
          <c:spPr>
            <a:solidFill>
              <a:srgbClr val="FF0000">
                <a:alpha val="60000"/>
              </a:srgbClr>
            </a:solidFill>
          </c:spPr>
          <c:cat>
            <c:strRef>
              <c:f>'[FanChart-real  sector-uxerdz-2026.xlsx]Sheet13'!$A$4:$A$119</c:f>
              <c:strCache>
                <c:ptCount val="8"/>
                <c:pt idx="0">
                  <c:v>2021/4</c:v>
                </c:pt>
                <c:pt idx="1">
                  <c:v>2022/4</c:v>
                </c:pt>
                <c:pt idx="2">
                  <c:v>2023/4</c:v>
                </c:pt>
                <c:pt idx="3">
                  <c:v>2024/4</c:v>
                </c:pt>
                <c:pt idx="4">
                  <c:v>2025/4*</c:v>
                </c:pt>
                <c:pt idx="5">
                  <c:v>2026/4*</c:v>
                </c:pt>
                <c:pt idx="6">
                  <c:v>2027/4*</c:v>
                </c:pt>
                <c:pt idx="7">
                  <c:v>2028/4*</c:v>
                </c:pt>
              </c:strCache>
            </c:strRef>
          </c:cat>
          <c:val>
            <c:numRef>
              <c:f>'[FanChart-real  sector-uxerdz-2026.xlsx]Sheet13'!$G$4:$G$119</c:f>
              <c:numCache>
                <c:formatCode>General</c:formatCode>
                <c:ptCount val="8"/>
                <c:pt idx="4">
                  <c:v>0.31718836994702659</c:v>
                </c:pt>
                <c:pt idx="5">
                  <c:v>0.40685386759370878</c:v>
                </c:pt>
                <c:pt idx="6">
                  <c:v>0.42326416924576193</c:v>
                </c:pt>
                <c:pt idx="7">
                  <c:v>0.42663703378303497</c:v>
                </c:pt>
              </c:numCache>
            </c:numRef>
          </c:val>
          <c:extLst>
            <c:ext xmlns:c16="http://schemas.microsoft.com/office/drawing/2014/chart" uri="{C3380CC4-5D6E-409C-BE32-E72D297353CC}">
              <c16:uniqueId val="{00000005-23A9-4060-A953-3B63EC302D10}"/>
            </c:ext>
          </c:extLst>
        </c:ser>
        <c:ser>
          <c:idx val="6"/>
          <c:order val="6"/>
          <c:tx>
            <c:strRef>
              <c:f>'[FanChart-real  sector-uxerdz-2026.xlsx]Sheet13'!$H$3</c:f>
              <c:strCache>
                <c:ptCount val="1"/>
              </c:strCache>
            </c:strRef>
          </c:tx>
          <c:spPr>
            <a:solidFill>
              <a:srgbClr val="FF0000">
                <a:alpha val="70000"/>
              </a:srgbClr>
            </a:solidFill>
          </c:spPr>
          <c:cat>
            <c:strRef>
              <c:f>'[FanChart-real  sector-uxerdz-2026.xlsx]Sheet13'!$A$4:$A$119</c:f>
              <c:strCache>
                <c:ptCount val="8"/>
                <c:pt idx="0">
                  <c:v>2021/4</c:v>
                </c:pt>
                <c:pt idx="1">
                  <c:v>2022/4</c:v>
                </c:pt>
                <c:pt idx="2">
                  <c:v>2023/4</c:v>
                </c:pt>
                <c:pt idx="3">
                  <c:v>2024/4</c:v>
                </c:pt>
                <c:pt idx="4">
                  <c:v>2025/4*</c:v>
                </c:pt>
                <c:pt idx="5">
                  <c:v>2026/4*</c:v>
                </c:pt>
                <c:pt idx="6">
                  <c:v>2027/4*</c:v>
                </c:pt>
                <c:pt idx="7">
                  <c:v>2028/4*</c:v>
                </c:pt>
              </c:strCache>
            </c:strRef>
          </c:cat>
          <c:val>
            <c:numRef>
              <c:f>'[FanChart-real  sector-uxerdz-2026.xlsx]Sheet13'!$H$4:$H$119</c:f>
              <c:numCache>
                <c:formatCode>General</c:formatCode>
                <c:ptCount val="8"/>
                <c:pt idx="4">
                  <c:v>0.29392229527263147</c:v>
                </c:pt>
                <c:pt idx="5">
                  <c:v>0.37701074167272086</c:v>
                </c:pt>
                <c:pt idx="6">
                  <c:v>0.39221733177718487</c:v>
                </c:pt>
                <c:pt idx="7">
                  <c:v>0.39534279342826872</c:v>
                </c:pt>
              </c:numCache>
            </c:numRef>
          </c:val>
          <c:extLst>
            <c:ext xmlns:c16="http://schemas.microsoft.com/office/drawing/2014/chart" uri="{C3380CC4-5D6E-409C-BE32-E72D297353CC}">
              <c16:uniqueId val="{00000006-23A9-4060-A953-3B63EC302D10}"/>
            </c:ext>
          </c:extLst>
        </c:ser>
        <c:ser>
          <c:idx val="7"/>
          <c:order val="7"/>
          <c:tx>
            <c:strRef>
              <c:f>'[FanChart-real  sector-uxerdz-2026.xlsx]Sheet13'!$I$3</c:f>
              <c:strCache>
                <c:ptCount val="1"/>
              </c:strCache>
            </c:strRef>
          </c:tx>
          <c:spPr>
            <a:solidFill>
              <a:srgbClr val="FF0000">
                <a:alpha val="80000"/>
              </a:srgbClr>
            </a:solidFill>
          </c:spPr>
          <c:cat>
            <c:strRef>
              <c:f>'[FanChart-real  sector-uxerdz-2026.xlsx]Sheet13'!$A$4:$A$119</c:f>
              <c:strCache>
                <c:ptCount val="8"/>
                <c:pt idx="0">
                  <c:v>2021/4</c:v>
                </c:pt>
                <c:pt idx="1">
                  <c:v>2022/4</c:v>
                </c:pt>
                <c:pt idx="2">
                  <c:v>2023/4</c:v>
                </c:pt>
                <c:pt idx="3">
                  <c:v>2024/4</c:v>
                </c:pt>
                <c:pt idx="4">
                  <c:v>2025/4*</c:v>
                </c:pt>
                <c:pt idx="5">
                  <c:v>2026/4*</c:v>
                </c:pt>
                <c:pt idx="6">
                  <c:v>2027/4*</c:v>
                </c:pt>
                <c:pt idx="7">
                  <c:v>2028/4*</c:v>
                </c:pt>
              </c:strCache>
            </c:strRef>
          </c:cat>
          <c:val>
            <c:numRef>
              <c:f>'[FanChart-real  sector-uxerdz-2026.xlsx]Sheet13'!$I$4:$I$119</c:f>
              <c:numCache>
                <c:formatCode>General</c:formatCode>
                <c:ptCount val="8"/>
                <c:pt idx="4">
                  <c:v>0.27890351548980519</c:v>
                </c:pt>
                <c:pt idx="5">
                  <c:v>0.35774632588660182</c:v>
                </c:pt>
                <c:pt idx="6">
                  <c:v>0.37217589284005115</c:v>
                </c:pt>
                <c:pt idx="7">
                  <c:v>0.37514165030736724</c:v>
                </c:pt>
              </c:numCache>
            </c:numRef>
          </c:val>
          <c:extLst>
            <c:ext xmlns:c16="http://schemas.microsoft.com/office/drawing/2014/chart" uri="{C3380CC4-5D6E-409C-BE32-E72D297353CC}">
              <c16:uniqueId val="{00000007-23A9-4060-A953-3B63EC302D10}"/>
            </c:ext>
          </c:extLst>
        </c:ser>
        <c:ser>
          <c:idx val="8"/>
          <c:order val="8"/>
          <c:tx>
            <c:strRef>
              <c:f>'[FanChart-real  sector-uxerdz-2026.xlsx]Sheet13'!$J$3</c:f>
              <c:strCache>
                <c:ptCount val="1"/>
              </c:strCache>
            </c:strRef>
          </c:tx>
          <c:spPr>
            <a:solidFill>
              <a:srgbClr val="FF0000">
                <a:alpha val="90000"/>
              </a:srgbClr>
            </a:solidFill>
          </c:spPr>
          <c:cat>
            <c:strRef>
              <c:f>'[FanChart-real  sector-uxerdz-2026.xlsx]Sheet13'!$A$4:$A$119</c:f>
              <c:strCache>
                <c:ptCount val="8"/>
                <c:pt idx="0">
                  <c:v>2021/4</c:v>
                </c:pt>
                <c:pt idx="1">
                  <c:v>2022/4</c:v>
                </c:pt>
                <c:pt idx="2">
                  <c:v>2023/4</c:v>
                </c:pt>
                <c:pt idx="3">
                  <c:v>2024/4</c:v>
                </c:pt>
                <c:pt idx="4">
                  <c:v>2025/4*</c:v>
                </c:pt>
                <c:pt idx="5">
                  <c:v>2026/4*</c:v>
                </c:pt>
                <c:pt idx="6">
                  <c:v>2027/4*</c:v>
                </c:pt>
                <c:pt idx="7">
                  <c:v>2028/4*</c:v>
                </c:pt>
              </c:strCache>
            </c:strRef>
          </c:cat>
          <c:val>
            <c:numRef>
              <c:f>'[FanChart-real  sector-uxerdz-2026.xlsx]Sheet13'!$J$4:$J$119</c:f>
              <c:numCache>
                <c:formatCode>General</c:formatCode>
                <c:ptCount val="8"/>
                <c:pt idx="4">
                  <c:v>0.26984237896047425</c:v>
                </c:pt>
                <c:pt idx="5">
                  <c:v>0.34612371045978652</c:v>
                </c:pt>
                <c:pt idx="6">
                  <c:v>0.36008448347926514</c:v>
                </c:pt>
                <c:pt idx="7">
                  <c:v>0.36295388815132501</c:v>
                </c:pt>
              </c:numCache>
            </c:numRef>
          </c:val>
          <c:extLst>
            <c:ext xmlns:c16="http://schemas.microsoft.com/office/drawing/2014/chart" uri="{C3380CC4-5D6E-409C-BE32-E72D297353CC}">
              <c16:uniqueId val="{00000008-23A9-4060-A953-3B63EC302D10}"/>
            </c:ext>
          </c:extLst>
        </c:ser>
        <c:ser>
          <c:idx val="9"/>
          <c:order val="9"/>
          <c:tx>
            <c:strRef>
              <c:f>'[FanChart-real  sector-uxerdz-2026.xlsx]Sheet13'!$K$3</c:f>
              <c:strCache>
                <c:ptCount val="1"/>
              </c:strCache>
            </c:strRef>
          </c:tx>
          <c:spPr>
            <a:solidFill>
              <a:srgbClr val="FF0000"/>
            </a:solidFill>
            <a:ln>
              <a:solidFill>
                <a:srgbClr val="FF0000"/>
              </a:solidFill>
              <a:prstDash val="solid"/>
            </a:ln>
          </c:spPr>
          <c:cat>
            <c:strRef>
              <c:f>'[FanChart-real  sector-uxerdz-2026.xlsx]Sheet13'!$A$4:$A$119</c:f>
              <c:strCache>
                <c:ptCount val="8"/>
                <c:pt idx="0">
                  <c:v>2021/4</c:v>
                </c:pt>
                <c:pt idx="1">
                  <c:v>2022/4</c:v>
                </c:pt>
                <c:pt idx="2">
                  <c:v>2023/4</c:v>
                </c:pt>
                <c:pt idx="3">
                  <c:v>2024/4</c:v>
                </c:pt>
                <c:pt idx="4">
                  <c:v>2025/4*</c:v>
                </c:pt>
                <c:pt idx="5">
                  <c:v>2026/4*</c:v>
                </c:pt>
                <c:pt idx="6">
                  <c:v>2027/4*</c:v>
                </c:pt>
                <c:pt idx="7">
                  <c:v>2028/4*</c:v>
                </c:pt>
              </c:strCache>
            </c:strRef>
          </c:cat>
          <c:val>
            <c:numRef>
              <c:f>'[FanChart-real  sector-uxerdz-2026.xlsx]Sheet13'!$K$4:$K$119</c:f>
              <c:numCache>
                <c:formatCode>General</c:formatCode>
                <c:ptCount val="8"/>
                <c:pt idx="4">
                  <c:v>0.5153789457262512</c:v>
                </c:pt>
                <c:pt idx="5">
                  <c:v>0.66552278534212661</c:v>
                </c:pt>
                <c:pt idx="6">
                  <c:v>0.69300164581711687</c:v>
                </c:pt>
                <c:pt idx="7">
                  <c:v>0.69864946850746801</c:v>
                </c:pt>
              </c:numCache>
            </c:numRef>
          </c:val>
          <c:extLst>
            <c:ext xmlns:c16="http://schemas.microsoft.com/office/drawing/2014/chart" uri="{C3380CC4-5D6E-409C-BE32-E72D297353CC}">
              <c16:uniqueId val="{00000009-23A9-4060-A953-3B63EC302D10}"/>
            </c:ext>
          </c:extLst>
        </c:ser>
        <c:ser>
          <c:idx val="10"/>
          <c:order val="10"/>
          <c:tx>
            <c:strRef>
              <c:f>'[FanChart-real  sector-uxerdz-2026.xlsx]Sheet13'!$L$3</c:f>
              <c:strCache>
                <c:ptCount val="1"/>
              </c:strCache>
            </c:strRef>
          </c:tx>
          <c:spPr>
            <a:solidFill>
              <a:srgbClr val="FF0000">
                <a:alpha val="90000"/>
              </a:srgbClr>
            </a:solidFill>
          </c:spPr>
          <c:cat>
            <c:strRef>
              <c:f>'[FanChart-real  sector-uxerdz-2026.xlsx]Sheet13'!$A$4:$A$119</c:f>
              <c:strCache>
                <c:ptCount val="8"/>
                <c:pt idx="0">
                  <c:v>2021/4</c:v>
                </c:pt>
                <c:pt idx="1">
                  <c:v>2022/4</c:v>
                </c:pt>
                <c:pt idx="2">
                  <c:v>2023/4</c:v>
                </c:pt>
                <c:pt idx="3">
                  <c:v>2024/4</c:v>
                </c:pt>
                <c:pt idx="4">
                  <c:v>2025/4*</c:v>
                </c:pt>
                <c:pt idx="5">
                  <c:v>2026/4*</c:v>
                </c:pt>
                <c:pt idx="6">
                  <c:v>2027/4*</c:v>
                </c:pt>
                <c:pt idx="7">
                  <c:v>2028/4*</c:v>
                </c:pt>
              </c:strCache>
            </c:strRef>
          </c:cat>
          <c:val>
            <c:numRef>
              <c:f>'[FanChart-real  sector-uxerdz-2026.xlsx]Sheet13'!$L$4:$L$119</c:f>
              <c:numCache>
                <c:formatCode>General</c:formatCode>
                <c:ptCount val="8"/>
                <c:pt idx="4">
                  <c:v>0.25383934261230578</c:v>
                </c:pt>
                <c:pt idx="5">
                  <c:v>0.33012067411194401</c:v>
                </c:pt>
                <c:pt idx="6">
                  <c:v>0.3440814471310274</c:v>
                </c:pt>
                <c:pt idx="7">
                  <c:v>0.34695085180332885</c:v>
                </c:pt>
              </c:numCache>
            </c:numRef>
          </c:val>
          <c:extLst>
            <c:ext xmlns:c16="http://schemas.microsoft.com/office/drawing/2014/chart" uri="{C3380CC4-5D6E-409C-BE32-E72D297353CC}">
              <c16:uniqueId val="{0000000A-23A9-4060-A953-3B63EC302D10}"/>
            </c:ext>
          </c:extLst>
        </c:ser>
        <c:ser>
          <c:idx val="11"/>
          <c:order val="11"/>
          <c:tx>
            <c:strRef>
              <c:f>'[FanChart-real  sector-uxerdz-2026.xlsx]Sheet13'!$M$3</c:f>
              <c:strCache>
                <c:ptCount val="1"/>
              </c:strCache>
            </c:strRef>
          </c:tx>
          <c:spPr>
            <a:solidFill>
              <a:srgbClr val="FF0000">
                <a:alpha val="80000"/>
              </a:srgbClr>
            </a:solidFill>
          </c:spPr>
          <c:cat>
            <c:strRef>
              <c:f>'[FanChart-real  sector-uxerdz-2026.xlsx]Sheet13'!$A$4:$A$119</c:f>
              <c:strCache>
                <c:ptCount val="8"/>
                <c:pt idx="0">
                  <c:v>2021/4</c:v>
                </c:pt>
                <c:pt idx="1">
                  <c:v>2022/4</c:v>
                </c:pt>
                <c:pt idx="2">
                  <c:v>2023/4</c:v>
                </c:pt>
                <c:pt idx="3">
                  <c:v>2024/4</c:v>
                </c:pt>
                <c:pt idx="4">
                  <c:v>2025/4*</c:v>
                </c:pt>
                <c:pt idx="5">
                  <c:v>2026/4*</c:v>
                </c:pt>
                <c:pt idx="6">
                  <c:v>2027/4*</c:v>
                </c:pt>
                <c:pt idx="7">
                  <c:v>2028/4*</c:v>
                </c:pt>
              </c:strCache>
            </c:strRef>
          </c:cat>
          <c:val>
            <c:numRef>
              <c:f>'[FanChart-real  sector-uxerdz-2026.xlsx]Sheet13'!$M$4:$M$119</c:f>
              <c:numCache>
                <c:formatCode>General</c:formatCode>
                <c:ptCount val="8"/>
                <c:pt idx="4">
                  <c:v>0.26236310729591672</c:v>
                </c:pt>
                <c:pt idx="5">
                  <c:v>0.34120591769305175</c:v>
                </c:pt>
                <c:pt idx="6">
                  <c:v>0.35563548464609074</c:v>
                </c:pt>
                <c:pt idx="7">
                  <c:v>0.35860124211365552</c:v>
                </c:pt>
              </c:numCache>
            </c:numRef>
          </c:val>
          <c:extLst>
            <c:ext xmlns:c16="http://schemas.microsoft.com/office/drawing/2014/chart" uri="{C3380CC4-5D6E-409C-BE32-E72D297353CC}">
              <c16:uniqueId val="{0000000B-23A9-4060-A953-3B63EC302D10}"/>
            </c:ext>
          </c:extLst>
        </c:ser>
        <c:ser>
          <c:idx val="12"/>
          <c:order val="12"/>
          <c:tx>
            <c:strRef>
              <c:f>'[FanChart-real  sector-uxerdz-2026.xlsx]Sheet13'!$N$3</c:f>
              <c:strCache>
                <c:ptCount val="1"/>
              </c:strCache>
            </c:strRef>
          </c:tx>
          <c:spPr>
            <a:solidFill>
              <a:srgbClr val="FF0000">
                <a:alpha val="70000"/>
              </a:srgbClr>
            </a:solidFill>
          </c:spPr>
          <c:cat>
            <c:strRef>
              <c:f>'[FanChart-real  sector-uxerdz-2026.xlsx]Sheet13'!$A$4:$A$119</c:f>
              <c:strCache>
                <c:ptCount val="8"/>
                <c:pt idx="0">
                  <c:v>2021/4</c:v>
                </c:pt>
                <c:pt idx="1">
                  <c:v>2022/4</c:v>
                </c:pt>
                <c:pt idx="2">
                  <c:v>2023/4</c:v>
                </c:pt>
                <c:pt idx="3">
                  <c:v>2024/4</c:v>
                </c:pt>
                <c:pt idx="4">
                  <c:v>2025/4*</c:v>
                </c:pt>
                <c:pt idx="5">
                  <c:v>2026/4*</c:v>
                </c:pt>
                <c:pt idx="6">
                  <c:v>2027/4*</c:v>
                </c:pt>
                <c:pt idx="7">
                  <c:v>2028/4*</c:v>
                </c:pt>
              </c:strCache>
            </c:strRef>
          </c:cat>
          <c:val>
            <c:numRef>
              <c:f>'[FanChart-real  sector-uxerdz-2026.xlsx]Sheet13'!$N$4:$N$119</c:f>
              <c:numCache>
                <c:formatCode>General</c:formatCode>
                <c:ptCount val="8"/>
                <c:pt idx="4">
                  <c:v>0.2764911964478074</c:v>
                </c:pt>
                <c:pt idx="5">
                  <c:v>0.35957964284825472</c:v>
                </c:pt>
                <c:pt idx="6">
                  <c:v>0.37478623295228797</c:v>
                </c:pt>
                <c:pt idx="7">
                  <c:v>0.37791169460363339</c:v>
                </c:pt>
              </c:numCache>
            </c:numRef>
          </c:val>
          <c:extLst>
            <c:ext xmlns:c16="http://schemas.microsoft.com/office/drawing/2014/chart" uri="{C3380CC4-5D6E-409C-BE32-E72D297353CC}">
              <c16:uniqueId val="{0000000C-23A9-4060-A953-3B63EC302D10}"/>
            </c:ext>
          </c:extLst>
        </c:ser>
        <c:ser>
          <c:idx val="13"/>
          <c:order val="13"/>
          <c:tx>
            <c:strRef>
              <c:f>'[FanChart-real  sector-uxerdz-2026.xlsx]Sheet13'!$O$3</c:f>
              <c:strCache>
                <c:ptCount val="1"/>
              </c:strCache>
            </c:strRef>
          </c:tx>
          <c:spPr>
            <a:solidFill>
              <a:srgbClr val="FF0000">
                <a:alpha val="60000"/>
              </a:srgbClr>
            </a:solidFill>
          </c:spPr>
          <c:cat>
            <c:strRef>
              <c:f>'[FanChart-real  sector-uxerdz-2026.xlsx]Sheet13'!$A$4:$A$119</c:f>
              <c:strCache>
                <c:ptCount val="8"/>
                <c:pt idx="0">
                  <c:v>2021/4</c:v>
                </c:pt>
                <c:pt idx="1">
                  <c:v>2022/4</c:v>
                </c:pt>
                <c:pt idx="2">
                  <c:v>2023/4</c:v>
                </c:pt>
                <c:pt idx="3">
                  <c:v>2024/4</c:v>
                </c:pt>
                <c:pt idx="4">
                  <c:v>2025/4*</c:v>
                </c:pt>
                <c:pt idx="5">
                  <c:v>2026/4*</c:v>
                </c:pt>
                <c:pt idx="6">
                  <c:v>2027/4*</c:v>
                </c:pt>
                <c:pt idx="7">
                  <c:v>2028/4*</c:v>
                </c:pt>
              </c:strCache>
            </c:strRef>
          </c:cat>
          <c:val>
            <c:numRef>
              <c:f>'[FanChart-real  sector-uxerdz-2026.xlsx]Sheet13'!$O$4:$O$119</c:f>
              <c:numCache>
                <c:formatCode>General</c:formatCode>
                <c:ptCount val="8"/>
                <c:pt idx="4">
                  <c:v>0.29837747362661293</c:v>
                </c:pt>
                <c:pt idx="5">
                  <c:v>0.3880429712736797</c:v>
                </c:pt>
                <c:pt idx="6">
                  <c:v>0.40445327292526656</c:v>
                </c:pt>
                <c:pt idx="7">
                  <c:v>0.40782613746282248</c:v>
                </c:pt>
              </c:numCache>
            </c:numRef>
          </c:val>
          <c:extLst>
            <c:ext xmlns:c16="http://schemas.microsoft.com/office/drawing/2014/chart" uri="{C3380CC4-5D6E-409C-BE32-E72D297353CC}">
              <c16:uniqueId val="{0000000D-23A9-4060-A953-3B63EC302D10}"/>
            </c:ext>
          </c:extLst>
        </c:ser>
        <c:ser>
          <c:idx val="14"/>
          <c:order val="14"/>
          <c:tx>
            <c:strRef>
              <c:f>'[FanChart-real  sector-uxerdz-2026.xlsx]Sheet13'!$P$3</c:f>
              <c:strCache>
                <c:ptCount val="1"/>
              </c:strCache>
            </c:strRef>
          </c:tx>
          <c:spPr>
            <a:solidFill>
              <a:srgbClr val="FF0000">
                <a:alpha val="50000"/>
              </a:srgbClr>
            </a:solidFill>
          </c:spPr>
          <c:cat>
            <c:strRef>
              <c:f>'[FanChart-real  sector-uxerdz-2026.xlsx]Sheet13'!$A$4:$A$119</c:f>
              <c:strCache>
                <c:ptCount val="8"/>
                <c:pt idx="0">
                  <c:v>2021/4</c:v>
                </c:pt>
                <c:pt idx="1">
                  <c:v>2022/4</c:v>
                </c:pt>
                <c:pt idx="2">
                  <c:v>2023/4</c:v>
                </c:pt>
                <c:pt idx="3">
                  <c:v>2024/4</c:v>
                </c:pt>
                <c:pt idx="4">
                  <c:v>2025/4*</c:v>
                </c:pt>
                <c:pt idx="5">
                  <c:v>2026/4*</c:v>
                </c:pt>
                <c:pt idx="6">
                  <c:v>2027/4*</c:v>
                </c:pt>
                <c:pt idx="7">
                  <c:v>2028/4*</c:v>
                </c:pt>
              </c:strCache>
            </c:strRef>
          </c:cat>
          <c:val>
            <c:numRef>
              <c:f>'[FanChart-real  sector-uxerdz-2026.xlsx]Sheet13'!$P$4:$P$119</c:f>
              <c:numCache>
                <c:formatCode>General</c:formatCode>
                <c:ptCount val="8"/>
                <c:pt idx="4">
                  <c:v>0.33225746634512099</c:v>
                </c:pt>
                <c:pt idx="5">
                  <c:v>0.4321042500338601</c:v>
                </c:pt>
                <c:pt idx="6">
                  <c:v>0.45037789912152171</c:v>
                </c:pt>
                <c:pt idx="7">
                  <c:v>0.45413374372987203</c:v>
                </c:pt>
              </c:numCache>
            </c:numRef>
          </c:val>
          <c:extLst>
            <c:ext xmlns:c16="http://schemas.microsoft.com/office/drawing/2014/chart" uri="{C3380CC4-5D6E-409C-BE32-E72D297353CC}">
              <c16:uniqueId val="{0000000E-23A9-4060-A953-3B63EC302D10}"/>
            </c:ext>
          </c:extLst>
        </c:ser>
        <c:ser>
          <c:idx val="15"/>
          <c:order val="15"/>
          <c:tx>
            <c:strRef>
              <c:f>'[FanChart-real  sector-uxerdz-2026.xlsx]Sheet13'!$Q$3</c:f>
              <c:strCache>
                <c:ptCount val="1"/>
              </c:strCache>
            </c:strRef>
          </c:tx>
          <c:spPr>
            <a:solidFill>
              <a:srgbClr val="FF0000">
                <a:alpha val="40000"/>
              </a:srgbClr>
            </a:solidFill>
          </c:spPr>
          <c:cat>
            <c:strRef>
              <c:f>'[FanChart-real  sector-uxerdz-2026.xlsx]Sheet13'!$A$4:$A$119</c:f>
              <c:strCache>
                <c:ptCount val="8"/>
                <c:pt idx="0">
                  <c:v>2021/4</c:v>
                </c:pt>
                <c:pt idx="1">
                  <c:v>2022/4</c:v>
                </c:pt>
                <c:pt idx="2">
                  <c:v>2023/4</c:v>
                </c:pt>
                <c:pt idx="3">
                  <c:v>2024/4</c:v>
                </c:pt>
                <c:pt idx="4">
                  <c:v>2025/4*</c:v>
                </c:pt>
                <c:pt idx="5">
                  <c:v>2026/4*</c:v>
                </c:pt>
                <c:pt idx="6">
                  <c:v>2027/4*</c:v>
                </c:pt>
                <c:pt idx="7">
                  <c:v>2028/4*</c:v>
                </c:pt>
              </c:strCache>
            </c:strRef>
          </c:cat>
          <c:val>
            <c:numRef>
              <c:f>'[FanChart-real  sector-uxerdz-2026.xlsx]Sheet13'!$Q$4:$Q$119</c:f>
              <c:numCache>
                <c:formatCode>General</c:formatCode>
                <c:ptCount val="8"/>
                <c:pt idx="4">
                  <c:v>0.3872866561805024</c:v>
                </c:pt>
                <c:pt idx="5">
                  <c:v>0.50367027702296951</c:v>
                </c:pt>
                <c:pt idx="6">
                  <c:v>0.5249704468257006</c:v>
                </c:pt>
                <c:pt idx="7">
                  <c:v>0.52934834242426199</c:v>
                </c:pt>
              </c:numCache>
            </c:numRef>
          </c:val>
          <c:extLst>
            <c:ext xmlns:c16="http://schemas.microsoft.com/office/drawing/2014/chart" uri="{C3380CC4-5D6E-409C-BE32-E72D297353CC}">
              <c16:uniqueId val="{0000000F-23A9-4060-A953-3B63EC302D10}"/>
            </c:ext>
          </c:extLst>
        </c:ser>
        <c:ser>
          <c:idx val="16"/>
          <c:order val="16"/>
          <c:tx>
            <c:strRef>
              <c:f>'[FanChart-real  sector-uxerdz-2026.xlsx]Sheet13'!$R$3</c:f>
              <c:strCache>
                <c:ptCount val="1"/>
              </c:strCache>
            </c:strRef>
          </c:tx>
          <c:spPr>
            <a:solidFill>
              <a:srgbClr val="FF0000">
                <a:alpha val="30000"/>
              </a:srgbClr>
            </a:solidFill>
          </c:spPr>
          <c:cat>
            <c:strRef>
              <c:f>'[FanChart-real  sector-uxerdz-2026.xlsx]Sheet13'!$A$4:$A$119</c:f>
              <c:strCache>
                <c:ptCount val="8"/>
                <c:pt idx="0">
                  <c:v>2021/4</c:v>
                </c:pt>
                <c:pt idx="1">
                  <c:v>2022/4</c:v>
                </c:pt>
                <c:pt idx="2">
                  <c:v>2023/4</c:v>
                </c:pt>
                <c:pt idx="3">
                  <c:v>2024/4</c:v>
                </c:pt>
                <c:pt idx="4">
                  <c:v>2025/4*</c:v>
                </c:pt>
                <c:pt idx="5">
                  <c:v>2026/4*</c:v>
                </c:pt>
                <c:pt idx="6">
                  <c:v>2027/4*</c:v>
                </c:pt>
                <c:pt idx="7">
                  <c:v>2028/4*</c:v>
                </c:pt>
              </c:strCache>
            </c:strRef>
          </c:cat>
          <c:val>
            <c:numRef>
              <c:f>'[FanChart-real  sector-uxerdz-2026.xlsx]Sheet13'!$R$4:$R$119</c:f>
              <c:numCache>
                <c:formatCode>General</c:formatCode>
                <c:ptCount val="8"/>
                <c:pt idx="4">
                  <c:v>0.48729504749354202</c:v>
                </c:pt>
                <c:pt idx="5">
                  <c:v>0.63373221784487122</c:v>
                </c:pt>
                <c:pt idx="6">
                  <c:v>0.66053269519156643</c:v>
                </c:pt>
                <c:pt idx="7">
                  <c:v>0.66604108751435298</c:v>
                </c:pt>
              </c:numCache>
            </c:numRef>
          </c:val>
          <c:extLst>
            <c:ext xmlns:c16="http://schemas.microsoft.com/office/drawing/2014/chart" uri="{C3380CC4-5D6E-409C-BE32-E72D297353CC}">
              <c16:uniqueId val="{00000010-23A9-4060-A953-3B63EC302D10}"/>
            </c:ext>
          </c:extLst>
        </c:ser>
        <c:ser>
          <c:idx val="17"/>
          <c:order val="17"/>
          <c:tx>
            <c:strRef>
              <c:f>'[FanChart-real  sector-uxerdz-2026.xlsx]Sheet13'!$S$3</c:f>
              <c:strCache>
                <c:ptCount val="1"/>
              </c:strCache>
            </c:strRef>
          </c:tx>
          <c:spPr>
            <a:solidFill>
              <a:srgbClr val="FF0000">
                <a:alpha val="20000"/>
              </a:srgbClr>
            </a:solidFill>
          </c:spPr>
          <c:cat>
            <c:strRef>
              <c:f>'[FanChart-real  sector-uxerdz-2026.xlsx]Sheet13'!$A$4:$A$119</c:f>
              <c:strCache>
                <c:ptCount val="8"/>
                <c:pt idx="0">
                  <c:v>2021/4</c:v>
                </c:pt>
                <c:pt idx="1">
                  <c:v>2022/4</c:v>
                </c:pt>
                <c:pt idx="2">
                  <c:v>2023/4</c:v>
                </c:pt>
                <c:pt idx="3">
                  <c:v>2024/4</c:v>
                </c:pt>
                <c:pt idx="4">
                  <c:v>2025/4*</c:v>
                </c:pt>
                <c:pt idx="5">
                  <c:v>2026/4*</c:v>
                </c:pt>
                <c:pt idx="6">
                  <c:v>2027/4*</c:v>
                </c:pt>
                <c:pt idx="7">
                  <c:v>2028/4*</c:v>
                </c:pt>
              </c:strCache>
            </c:strRef>
          </c:cat>
          <c:val>
            <c:numRef>
              <c:f>'[FanChart-real  sector-uxerdz-2026.xlsx]Sheet13'!$S$4:$S$119</c:f>
            </c:numRef>
          </c:val>
          <c:extLst>
            <c:ext xmlns:c16="http://schemas.microsoft.com/office/drawing/2014/chart" uri="{C3380CC4-5D6E-409C-BE32-E72D297353CC}">
              <c16:uniqueId val="{00000011-23A9-4060-A953-3B63EC302D10}"/>
            </c:ext>
          </c:extLst>
        </c:ser>
        <c:dLbls>
          <c:showLegendKey val="0"/>
          <c:showVal val="0"/>
          <c:showCatName val="0"/>
          <c:showSerName val="0"/>
          <c:showPercent val="0"/>
          <c:showBubbleSize val="0"/>
        </c:dLbls>
        <c:axId val="676297832"/>
        <c:axId val="676303408"/>
      </c:areaChart>
      <c:catAx>
        <c:axId val="676297832"/>
        <c:scaling>
          <c:orientation val="minMax"/>
        </c:scaling>
        <c:delete val="0"/>
        <c:axPos val="b"/>
        <c:numFmt formatCode="General" sourceLinked="1"/>
        <c:majorTickMark val="out"/>
        <c:minorTickMark val="none"/>
        <c:tickLblPos val="low"/>
        <c:crossAx val="676303408"/>
        <c:crosses val="autoZero"/>
        <c:auto val="1"/>
        <c:lblAlgn val="ctr"/>
        <c:lblOffset val="100"/>
        <c:noMultiLvlLbl val="0"/>
      </c:catAx>
      <c:valAx>
        <c:axId val="676303408"/>
        <c:scaling>
          <c:orientation val="minMax"/>
          <c:max val="14"/>
          <c:min val="-2"/>
        </c:scaling>
        <c:delete val="0"/>
        <c:axPos val="l"/>
        <c:numFmt formatCode="General" sourceLinked="1"/>
        <c:majorTickMark val="out"/>
        <c:minorTickMark val="none"/>
        <c:tickLblPos val="nextTo"/>
        <c:crossAx val="676297832"/>
        <c:crosses val="autoZero"/>
        <c:crossBetween val="between"/>
      </c:valAx>
    </c:plotArea>
    <c:plotVisOnly val="1"/>
    <c:dispBlanksAs val="gap"/>
    <c:showDLblsOverMax val="0"/>
    <c:extLst>
      <c:ext xmlns:c16r3="http://schemas.microsoft.com/office/drawing/2017/03/chart" uri="{56B9EC1D-385E-4148-901F-78D8002777C0}">
        <c16r3:dataDisplayOptions16>
          <c16r3:dispNaAsBlank val="1"/>
        </c16r3:dataDisplayOptions16>
      </c:ext>
    </c:extLst>
  </c:chart>
  <c:externalData r:id="rId2">
    <c:autoUpdate val="0"/>
  </c:externalData>
</c:chartSpace>
</file>

<file path=word/charts/chart4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1624357502187228"/>
          <c:y val="9.0829931972789116E-2"/>
          <c:w val="0.780880905511811"/>
          <c:h val="0.50072117721395937"/>
        </c:manualLayout>
      </c:layout>
      <c:barChart>
        <c:barDir val="col"/>
        <c:grouping val="clustered"/>
        <c:varyColors val="0"/>
        <c:ser>
          <c:idx val="0"/>
          <c:order val="0"/>
          <c:tx>
            <c:strRef>
              <c:f>Sheet1!$C$1</c:f>
              <c:strCache>
                <c:ptCount val="1"/>
                <c:pt idx="0">
                  <c:v>հարկային եկամուտներ, մլրդ դրամ</c:v>
                </c:pt>
              </c:strCache>
            </c:strRef>
          </c:tx>
          <c:spPr>
            <a:solidFill>
              <a:srgbClr val="5B9BD5">
                <a:lumMod val="75000"/>
              </a:srgbClr>
            </a:solidFill>
          </c:spPr>
          <c:invertIfNegative val="0"/>
          <c:cat>
            <c:multiLvlStrRef>
              <c:f>Sheet1!$A$2:$B$23</c:f>
              <c:multiLvlStrCache>
                <c:ptCount val="20"/>
                <c:lvl>
                  <c:pt idx="0">
                    <c:v>1</c:v>
                  </c:pt>
                  <c:pt idx="1">
                    <c:v>2</c:v>
                  </c:pt>
                  <c:pt idx="2">
                    <c:v>3</c:v>
                  </c:pt>
                  <c:pt idx="3">
                    <c:v>4</c:v>
                  </c:pt>
                  <c:pt idx="4">
                    <c:v>5</c:v>
                  </c:pt>
                  <c:pt idx="5">
                    <c:v>6</c:v>
                  </c:pt>
                  <c:pt idx="6">
                    <c:v>7</c:v>
                  </c:pt>
                  <c:pt idx="7">
                    <c:v>8</c:v>
                  </c:pt>
                  <c:pt idx="8">
                    <c:v>9</c:v>
                  </c:pt>
                  <c:pt idx="9">
                    <c:v>10</c:v>
                  </c:pt>
                  <c:pt idx="10">
                    <c:v>11</c:v>
                  </c:pt>
                  <c:pt idx="11">
                    <c:v>12</c:v>
                  </c:pt>
                  <c:pt idx="12">
                    <c:v>1</c:v>
                  </c:pt>
                  <c:pt idx="13">
                    <c:v>2</c:v>
                  </c:pt>
                  <c:pt idx="14">
                    <c:v>3</c:v>
                  </c:pt>
                  <c:pt idx="15">
                    <c:v>4</c:v>
                  </c:pt>
                  <c:pt idx="16">
                    <c:v>5</c:v>
                  </c:pt>
                  <c:pt idx="17">
                    <c:v>6</c:v>
                  </c:pt>
                  <c:pt idx="18">
                    <c:v>7</c:v>
                  </c:pt>
                  <c:pt idx="19">
                    <c:v>8</c:v>
                  </c:pt>
                </c:lvl>
                <c:lvl>
                  <c:pt idx="0">
                    <c:v>2024</c:v>
                  </c:pt>
                  <c:pt idx="12">
                    <c:v>2025</c:v>
                  </c:pt>
                </c:lvl>
              </c:multiLvlStrCache>
            </c:multiLvlStrRef>
          </c:cat>
          <c:val>
            <c:numRef>
              <c:f>Sheet1!$C$2:$C$23</c:f>
              <c:numCache>
                <c:formatCode>0.0</c:formatCode>
                <c:ptCount val="20"/>
                <c:pt idx="0">
                  <c:v>177.59116196000002</c:v>
                </c:pt>
                <c:pt idx="1">
                  <c:v>309.75939012999999</c:v>
                </c:pt>
                <c:pt idx="2">
                  <c:v>500.60774258999993</c:v>
                </c:pt>
                <c:pt idx="3">
                  <c:v>828.7562270200001</c:v>
                </c:pt>
                <c:pt idx="4">
                  <c:v>984.11054227499994</c:v>
                </c:pt>
                <c:pt idx="5">
                  <c:v>1187.6383874150001</c:v>
                </c:pt>
                <c:pt idx="6">
                  <c:v>1372.7689856000002</c:v>
                </c:pt>
                <c:pt idx="7">
                  <c:v>1548.1613756500001</c:v>
                </c:pt>
                <c:pt idx="8">
                  <c:v>1767.2357914499999</c:v>
                </c:pt>
                <c:pt idx="9">
                  <c:v>1970.14054816</c:v>
                </c:pt>
                <c:pt idx="10">
                  <c:v>2149.2078527200001</c:v>
                </c:pt>
                <c:pt idx="11">
                  <c:v>2390.8949527900004</c:v>
                </c:pt>
                <c:pt idx="12">
                  <c:v>232.83974272999998</c:v>
                </c:pt>
                <c:pt idx="13">
                  <c:v>379.56297838999996</c:v>
                </c:pt>
                <c:pt idx="14">
                  <c:v>566.49810003999994</c:v>
                </c:pt>
                <c:pt idx="15">
                  <c:v>948.71022716000004</c:v>
                </c:pt>
                <c:pt idx="16">
                  <c:v>1125.8317018899997</c:v>
                </c:pt>
                <c:pt idx="17">
                  <c:v>1356.00943446</c:v>
                </c:pt>
                <c:pt idx="18">
                  <c:v>1574.65627161</c:v>
                </c:pt>
                <c:pt idx="19">
                  <c:v>1769.3324662500002</c:v>
                </c:pt>
              </c:numCache>
            </c:numRef>
          </c:val>
          <c:extLst>
            <c:ext xmlns:c16="http://schemas.microsoft.com/office/drawing/2014/chart" uri="{C3380CC4-5D6E-409C-BE32-E72D297353CC}">
              <c16:uniqueId val="{00000000-EF24-4968-9070-878A60C47E1F}"/>
            </c:ext>
          </c:extLst>
        </c:ser>
        <c:dLbls>
          <c:showLegendKey val="0"/>
          <c:showVal val="0"/>
          <c:showCatName val="0"/>
          <c:showSerName val="0"/>
          <c:showPercent val="0"/>
          <c:showBubbleSize val="0"/>
        </c:dLbls>
        <c:gapWidth val="150"/>
        <c:axId val="317155200"/>
        <c:axId val="317156736"/>
      </c:barChart>
      <c:lineChart>
        <c:grouping val="standard"/>
        <c:varyColors val="0"/>
        <c:ser>
          <c:idx val="2"/>
          <c:order val="1"/>
          <c:tx>
            <c:strRef>
              <c:f>Sheet1!$D$1</c:f>
              <c:strCache>
                <c:ptCount val="1"/>
                <c:pt idx="0">
                  <c:v>հարկային եկամուտների աճը, %</c:v>
                </c:pt>
              </c:strCache>
            </c:strRef>
          </c:tx>
          <c:spPr>
            <a:ln w="22225">
              <a:solidFill>
                <a:srgbClr val="ED7D31"/>
              </a:solidFill>
            </a:ln>
          </c:spPr>
          <c:marker>
            <c:symbol val="none"/>
          </c:marker>
          <c:cat>
            <c:multiLvlStrRef>
              <c:f>Sheet1!$A$2:$B$23</c:f>
              <c:multiLvlStrCache>
                <c:ptCount val="20"/>
                <c:lvl>
                  <c:pt idx="0">
                    <c:v>1</c:v>
                  </c:pt>
                  <c:pt idx="1">
                    <c:v>2</c:v>
                  </c:pt>
                  <c:pt idx="2">
                    <c:v>3</c:v>
                  </c:pt>
                  <c:pt idx="3">
                    <c:v>4</c:v>
                  </c:pt>
                  <c:pt idx="4">
                    <c:v>5</c:v>
                  </c:pt>
                  <c:pt idx="5">
                    <c:v>6</c:v>
                  </c:pt>
                  <c:pt idx="6">
                    <c:v>7</c:v>
                  </c:pt>
                  <c:pt idx="7">
                    <c:v>8</c:v>
                  </c:pt>
                  <c:pt idx="8">
                    <c:v>9</c:v>
                  </c:pt>
                  <c:pt idx="9">
                    <c:v>10</c:v>
                  </c:pt>
                  <c:pt idx="10">
                    <c:v>11</c:v>
                  </c:pt>
                  <c:pt idx="11">
                    <c:v>12</c:v>
                  </c:pt>
                  <c:pt idx="12">
                    <c:v>1</c:v>
                  </c:pt>
                  <c:pt idx="13">
                    <c:v>2</c:v>
                  </c:pt>
                  <c:pt idx="14">
                    <c:v>3</c:v>
                  </c:pt>
                  <c:pt idx="15">
                    <c:v>4</c:v>
                  </c:pt>
                  <c:pt idx="16">
                    <c:v>5</c:v>
                  </c:pt>
                  <c:pt idx="17">
                    <c:v>6</c:v>
                  </c:pt>
                  <c:pt idx="18">
                    <c:v>7</c:v>
                  </c:pt>
                  <c:pt idx="19">
                    <c:v>8</c:v>
                  </c:pt>
                </c:lvl>
                <c:lvl>
                  <c:pt idx="0">
                    <c:v>2024</c:v>
                  </c:pt>
                  <c:pt idx="12">
                    <c:v>2025</c:v>
                  </c:pt>
                </c:lvl>
              </c:multiLvlStrCache>
            </c:multiLvlStrRef>
          </c:cat>
          <c:val>
            <c:numRef>
              <c:f>Sheet1!$D$2:$D$23</c:f>
              <c:numCache>
                <c:formatCode>0.0</c:formatCode>
                <c:ptCount val="20"/>
                <c:pt idx="0">
                  <c:v>0.28058955999701141</c:v>
                </c:pt>
                <c:pt idx="1">
                  <c:v>3.718190386706155</c:v>
                </c:pt>
                <c:pt idx="2">
                  <c:v>5.7916503072182621</c:v>
                </c:pt>
                <c:pt idx="3">
                  <c:v>6.1139387528450442</c:v>
                </c:pt>
                <c:pt idx="4">
                  <c:v>5.1300355446862511</c:v>
                </c:pt>
                <c:pt idx="5">
                  <c:v>5.3296655161510671</c:v>
                </c:pt>
                <c:pt idx="6">
                  <c:v>5.4943789763262316</c:v>
                </c:pt>
                <c:pt idx="7">
                  <c:v>6.0260739401366976</c:v>
                </c:pt>
                <c:pt idx="8">
                  <c:v>6.8097999843859753</c:v>
                </c:pt>
                <c:pt idx="9">
                  <c:v>6.821320057060106</c:v>
                </c:pt>
                <c:pt idx="10">
                  <c:v>7.1121493772239575</c:v>
                </c:pt>
                <c:pt idx="11">
                  <c:v>5.146454122508004</c:v>
                </c:pt>
                <c:pt idx="12">
                  <c:v>31.109983267322718</c:v>
                </c:pt>
                <c:pt idx="13">
                  <c:v>22.53477714774192</c:v>
                </c:pt>
                <c:pt idx="14">
                  <c:v>13.162073185105427</c:v>
                </c:pt>
                <c:pt idx="15">
                  <c:v>14.47397874418688</c:v>
                </c:pt>
                <c:pt idx="16">
                  <c:v>14.400939074118483</c:v>
                </c:pt>
                <c:pt idx="17">
                  <c:v>14.176962350591779</c:v>
                </c:pt>
                <c:pt idx="18">
                  <c:v>14.706573948548268</c:v>
                </c:pt>
                <c:pt idx="19">
                  <c:v>14.286048862776999</c:v>
                </c:pt>
              </c:numCache>
            </c:numRef>
          </c:val>
          <c:smooth val="0"/>
          <c:extLst>
            <c:ext xmlns:c16="http://schemas.microsoft.com/office/drawing/2014/chart" uri="{C3380CC4-5D6E-409C-BE32-E72D297353CC}">
              <c16:uniqueId val="{00000001-EF24-4968-9070-878A60C47E1F}"/>
            </c:ext>
          </c:extLst>
        </c:ser>
        <c:dLbls>
          <c:showLegendKey val="0"/>
          <c:showVal val="0"/>
          <c:showCatName val="0"/>
          <c:showSerName val="0"/>
          <c:showPercent val="0"/>
          <c:showBubbleSize val="0"/>
        </c:dLbls>
        <c:marker val="1"/>
        <c:smooth val="0"/>
        <c:axId val="1863500351"/>
        <c:axId val="1863513247"/>
      </c:lineChart>
      <c:catAx>
        <c:axId val="317155200"/>
        <c:scaling>
          <c:orientation val="minMax"/>
        </c:scaling>
        <c:delete val="0"/>
        <c:axPos val="b"/>
        <c:numFmt formatCode="General" sourceLinked="0"/>
        <c:majorTickMark val="none"/>
        <c:minorTickMark val="none"/>
        <c:tickLblPos val="nextTo"/>
        <c:spPr>
          <a:ln>
            <a:noFill/>
          </a:ln>
        </c:spPr>
        <c:txPr>
          <a:bodyPr rot="0" vert="horz"/>
          <a:lstStyle/>
          <a:p>
            <a:pPr>
              <a:defRPr/>
            </a:pPr>
            <a:endParaRPr lang="en-US"/>
          </a:p>
        </c:txPr>
        <c:crossAx val="317156736"/>
        <c:crosses val="autoZero"/>
        <c:auto val="1"/>
        <c:lblAlgn val="ctr"/>
        <c:lblOffset val="100"/>
        <c:tickLblSkip val="1"/>
        <c:noMultiLvlLbl val="0"/>
      </c:catAx>
      <c:valAx>
        <c:axId val="317156736"/>
        <c:scaling>
          <c:orientation val="minMax"/>
        </c:scaling>
        <c:delete val="0"/>
        <c:axPos val="l"/>
        <c:numFmt formatCode="0.0" sourceLinked="1"/>
        <c:majorTickMark val="none"/>
        <c:minorTickMark val="none"/>
        <c:tickLblPos val="nextTo"/>
        <c:spPr>
          <a:ln w="12700">
            <a:solidFill>
              <a:sysClr val="window" lastClr="FFFFFF"/>
            </a:solidFill>
          </a:ln>
        </c:spPr>
        <c:txPr>
          <a:bodyPr rot="0" vert="horz"/>
          <a:lstStyle/>
          <a:p>
            <a:pPr>
              <a:defRPr>
                <a:solidFill>
                  <a:schemeClr val="bg1">
                    <a:lumMod val="65000"/>
                  </a:schemeClr>
                </a:solidFill>
              </a:defRPr>
            </a:pPr>
            <a:endParaRPr lang="en-US"/>
          </a:p>
        </c:txPr>
        <c:crossAx val="317155200"/>
        <c:crosses val="autoZero"/>
        <c:crossBetween val="between"/>
        <c:majorUnit val="1000"/>
      </c:valAx>
      <c:valAx>
        <c:axId val="1863513247"/>
        <c:scaling>
          <c:orientation val="minMax"/>
        </c:scaling>
        <c:delete val="0"/>
        <c:axPos val="r"/>
        <c:numFmt formatCode="0.0" sourceLinked="1"/>
        <c:majorTickMark val="out"/>
        <c:minorTickMark val="none"/>
        <c:tickLblPos val="nextTo"/>
        <c:spPr>
          <a:ln>
            <a:noFill/>
          </a:ln>
        </c:spPr>
        <c:txPr>
          <a:bodyPr/>
          <a:lstStyle/>
          <a:p>
            <a:pPr>
              <a:defRPr>
                <a:solidFill>
                  <a:schemeClr val="bg1">
                    <a:lumMod val="65000"/>
                  </a:schemeClr>
                </a:solidFill>
              </a:defRPr>
            </a:pPr>
            <a:endParaRPr lang="en-US"/>
          </a:p>
        </c:txPr>
        <c:crossAx val="1863500351"/>
        <c:crosses val="max"/>
        <c:crossBetween val="between"/>
      </c:valAx>
      <c:catAx>
        <c:axId val="1863500351"/>
        <c:scaling>
          <c:orientation val="minMax"/>
        </c:scaling>
        <c:delete val="1"/>
        <c:axPos val="b"/>
        <c:numFmt formatCode="General" sourceLinked="1"/>
        <c:majorTickMark val="out"/>
        <c:minorTickMark val="none"/>
        <c:tickLblPos val="nextTo"/>
        <c:crossAx val="1863513247"/>
        <c:crosses val="autoZero"/>
        <c:auto val="1"/>
        <c:lblAlgn val="ctr"/>
        <c:lblOffset val="100"/>
        <c:noMultiLvlLbl val="0"/>
      </c:catAx>
      <c:spPr>
        <a:noFill/>
        <a:ln w="25332">
          <a:noFill/>
        </a:ln>
      </c:spPr>
    </c:plotArea>
    <c:legend>
      <c:legendPos val="r"/>
      <c:layout>
        <c:manualLayout>
          <c:xMode val="edge"/>
          <c:yMode val="edge"/>
          <c:x val="7.6074475065616813E-4"/>
          <c:y val="0.83434431807135223"/>
          <c:w val="0.95524351924587592"/>
          <c:h val="0.15022358316321574"/>
        </c:manualLayout>
      </c:layout>
      <c:overlay val="0"/>
    </c:legend>
    <c:plotVisOnly val="1"/>
    <c:dispBlanksAs val="gap"/>
    <c:showDLblsOverMax val="0"/>
  </c:chart>
  <c:spPr>
    <a:noFill/>
    <a:ln w="12700">
      <a:solidFill>
        <a:sysClr val="window" lastClr="FFFFFF"/>
      </a:solidFill>
    </a:ln>
  </c:spPr>
  <c:txPr>
    <a:bodyPr/>
    <a:lstStyle/>
    <a:p>
      <a:pPr>
        <a:defRPr sz="600" b="0" i="0" u="none" strike="noStrike" baseline="0">
          <a:solidFill>
            <a:srgbClr val="000000"/>
          </a:solidFill>
          <a:latin typeface="Calibri" panose="020F0502020204030204" pitchFamily="34" charset="0"/>
          <a:ea typeface="Calibri" panose="020F0502020204030204" pitchFamily="34" charset="0"/>
          <a:cs typeface="Calibri" panose="020F0502020204030204" pitchFamily="34" charset="0"/>
        </a:defRPr>
      </a:pPr>
      <a:endParaRPr lang="en-US"/>
    </a:p>
  </c:txPr>
  <c:externalData r:id="rId2">
    <c:autoUpdate val="0"/>
  </c:externalData>
</c:chartSpace>
</file>

<file path=word/charts/chart4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8.9854686132983377E-2"/>
          <c:y val="9.0829931972789116E-2"/>
          <c:w val="0.8813381725721785"/>
          <c:h val="0.53459159618936514"/>
        </c:manualLayout>
      </c:layout>
      <c:barChart>
        <c:barDir val="col"/>
        <c:grouping val="stacked"/>
        <c:varyColors val="0"/>
        <c:ser>
          <c:idx val="2"/>
          <c:order val="0"/>
          <c:tx>
            <c:strRef>
              <c:f>Sheet1!$D$1</c:f>
              <c:strCache>
                <c:ptCount val="1"/>
                <c:pt idx="0">
                  <c:v>Ընթացիկ ծախսեր, %-ային կետ</c:v>
                </c:pt>
              </c:strCache>
            </c:strRef>
          </c:tx>
          <c:spPr>
            <a:solidFill>
              <a:srgbClr val="4472C4"/>
            </a:solidFill>
          </c:spPr>
          <c:invertIfNegative val="0"/>
          <c:cat>
            <c:multiLvlStrRef>
              <c:f>Sheet1!$A$2:$B$23</c:f>
              <c:multiLvlStrCache>
                <c:ptCount val="20"/>
                <c:lvl>
                  <c:pt idx="0">
                    <c:v>1</c:v>
                  </c:pt>
                  <c:pt idx="1">
                    <c:v>2</c:v>
                  </c:pt>
                  <c:pt idx="2">
                    <c:v>3</c:v>
                  </c:pt>
                  <c:pt idx="3">
                    <c:v>4</c:v>
                  </c:pt>
                  <c:pt idx="4">
                    <c:v>5</c:v>
                  </c:pt>
                  <c:pt idx="5">
                    <c:v>6</c:v>
                  </c:pt>
                  <c:pt idx="6">
                    <c:v>7</c:v>
                  </c:pt>
                  <c:pt idx="7">
                    <c:v>8</c:v>
                  </c:pt>
                  <c:pt idx="8">
                    <c:v>9</c:v>
                  </c:pt>
                  <c:pt idx="9">
                    <c:v>10</c:v>
                  </c:pt>
                  <c:pt idx="10">
                    <c:v>11</c:v>
                  </c:pt>
                  <c:pt idx="11">
                    <c:v>12</c:v>
                  </c:pt>
                  <c:pt idx="12">
                    <c:v>1</c:v>
                  </c:pt>
                  <c:pt idx="13">
                    <c:v>2</c:v>
                  </c:pt>
                  <c:pt idx="14">
                    <c:v>3</c:v>
                  </c:pt>
                  <c:pt idx="15">
                    <c:v>4</c:v>
                  </c:pt>
                  <c:pt idx="16">
                    <c:v>5</c:v>
                  </c:pt>
                  <c:pt idx="17">
                    <c:v>6</c:v>
                  </c:pt>
                  <c:pt idx="18">
                    <c:v>7</c:v>
                  </c:pt>
                  <c:pt idx="19">
                    <c:v>8</c:v>
                  </c:pt>
                </c:lvl>
                <c:lvl>
                  <c:pt idx="0">
                    <c:v>2024</c:v>
                  </c:pt>
                  <c:pt idx="12">
                    <c:v>2025</c:v>
                  </c:pt>
                </c:lvl>
              </c:multiLvlStrCache>
            </c:multiLvlStrRef>
          </c:cat>
          <c:val>
            <c:numRef>
              <c:f>Sheet1!$D$2:$D$23</c:f>
              <c:numCache>
                <c:formatCode>0.0</c:formatCode>
                <c:ptCount val="20"/>
                <c:pt idx="0">
                  <c:v>12.608009508609129</c:v>
                </c:pt>
                <c:pt idx="1">
                  <c:v>14.311326212197878</c:v>
                </c:pt>
                <c:pt idx="2">
                  <c:v>12.658041552856536</c:v>
                </c:pt>
                <c:pt idx="3">
                  <c:v>25.792701617885811</c:v>
                </c:pt>
                <c:pt idx="4">
                  <c:v>14.147720944018552</c:v>
                </c:pt>
                <c:pt idx="5">
                  <c:v>13.510915833499475</c:v>
                </c:pt>
                <c:pt idx="6">
                  <c:v>12.917418656322965</c:v>
                </c:pt>
                <c:pt idx="7">
                  <c:v>12.554500460639586</c:v>
                </c:pt>
                <c:pt idx="8">
                  <c:v>12.069904763998256</c:v>
                </c:pt>
                <c:pt idx="9">
                  <c:v>12.372749546388865</c:v>
                </c:pt>
                <c:pt idx="10">
                  <c:v>12.56054947101816</c:v>
                </c:pt>
                <c:pt idx="11">
                  <c:v>11.023792880766029</c:v>
                </c:pt>
                <c:pt idx="12">
                  <c:v>4.3966306760616538</c:v>
                </c:pt>
                <c:pt idx="13">
                  <c:v>-1.531820260710806</c:v>
                </c:pt>
                <c:pt idx="14">
                  <c:v>7.6962116057979726</c:v>
                </c:pt>
                <c:pt idx="15">
                  <c:v>9.9431106629171353</c:v>
                </c:pt>
                <c:pt idx="16">
                  <c:v>8.41508736414632</c:v>
                </c:pt>
                <c:pt idx="17">
                  <c:v>8.0548351615974614</c:v>
                </c:pt>
                <c:pt idx="18">
                  <c:v>7.3067346226450676</c:v>
                </c:pt>
                <c:pt idx="19">
                  <c:v>6.5630379520628113</c:v>
                </c:pt>
              </c:numCache>
            </c:numRef>
          </c:val>
          <c:extLst>
            <c:ext xmlns:c16="http://schemas.microsoft.com/office/drawing/2014/chart" uri="{C3380CC4-5D6E-409C-BE32-E72D297353CC}">
              <c16:uniqueId val="{00000000-D701-4593-945E-168559F712ED}"/>
            </c:ext>
          </c:extLst>
        </c:ser>
        <c:ser>
          <c:idx val="0"/>
          <c:order val="2"/>
          <c:tx>
            <c:strRef>
              <c:f>Sheet1!$C$1</c:f>
              <c:strCache>
                <c:ptCount val="1"/>
                <c:pt idx="0">
                  <c:v>Կապիտալ ծախսեր, %-ային կետ</c:v>
                </c:pt>
              </c:strCache>
            </c:strRef>
          </c:tx>
          <c:spPr>
            <a:solidFill>
              <a:srgbClr val="4472C4">
                <a:lumMod val="40000"/>
                <a:lumOff val="60000"/>
              </a:srgbClr>
            </a:solidFill>
          </c:spPr>
          <c:invertIfNegative val="0"/>
          <c:cat>
            <c:multiLvlStrRef>
              <c:f>Sheet1!$A$2:$B$23</c:f>
              <c:multiLvlStrCache>
                <c:ptCount val="20"/>
                <c:lvl>
                  <c:pt idx="0">
                    <c:v>1</c:v>
                  </c:pt>
                  <c:pt idx="1">
                    <c:v>2</c:v>
                  </c:pt>
                  <c:pt idx="2">
                    <c:v>3</c:v>
                  </c:pt>
                  <c:pt idx="3">
                    <c:v>4</c:v>
                  </c:pt>
                  <c:pt idx="4">
                    <c:v>5</c:v>
                  </c:pt>
                  <c:pt idx="5">
                    <c:v>6</c:v>
                  </c:pt>
                  <c:pt idx="6">
                    <c:v>7</c:v>
                  </c:pt>
                  <c:pt idx="7">
                    <c:v>8</c:v>
                  </c:pt>
                  <c:pt idx="8">
                    <c:v>9</c:v>
                  </c:pt>
                  <c:pt idx="9">
                    <c:v>10</c:v>
                  </c:pt>
                  <c:pt idx="10">
                    <c:v>11</c:v>
                  </c:pt>
                  <c:pt idx="11">
                    <c:v>12</c:v>
                  </c:pt>
                  <c:pt idx="12">
                    <c:v>1</c:v>
                  </c:pt>
                  <c:pt idx="13">
                    <c:v>2</c:v>
                  </c:pt>
                  <c:pt idx="14">
                    <c:v>3</c:v>
                  </c:pt>
                  <c:pt idx="15">
                    <c:v>4</c:v>
                  </c:pt>
                  <c:pt idx="16">
                    <c:v>5</c:v>
                  </c:pt>
                  <c:pt idx="17">
                    <c:v>6</c:v>
                  </c:pt>
                  <c:pt idx="18">
                    <c:v>7</c:v>
                  </c:pt>
                  <c:pt idx="19">
                    <c:v>8</c:v>
                  </c:pt>
                </c:lvl>
                <c:lvl>
                  <c:pt idx="0">
                    <c:v>2024</c:v>
                  </c:pt>
                  <c:pt idx="12">
                    <c:v>2025</c:v>
                  </c:pt>
                </c:lvl>
              </c:multiLvlStrCache>
            </c:multiLvlStrRef>
          </c:cat>
          <c:val>
            <c:numRef>
              <c:f>Sheet1!$C$2:$C$23</c:f>
              <c:numCache>
                <c:formatCode>0.0</c:formatCode>
                <c:ptCount val="20"/>
                <c:pt idx="0">
                  <c:v>-2.0811534599553543</c:v>
                </c:pt>
                <c:pt idx="1">
                  <c:v>10.158357962241119</c:v>
                </c:pt>
                <c:pt idx="2">
                  <c:v>8.3699179889882096</c:v>
                </c:pt>
                <c:pt idx="3">
                  <c:v>1.3689432347907868</c:v>
                </c:pt>
                <c:pt idx="4">
                  <c:v>3.0200301063856263</c:v>
                </c:pt>
                <c:pt idx="5">
                  <c:v>3.8457299560848486</c:v>
                </c:pt>
                <c:pt idx="6">
                  <c:v>4.4747303650985515</c:v>
                </c:pt>
                <c:pt idx="7">
                  <c:v>3.8431389196841201</c:v>
                </c:pt>
                <c:pt idx="8">
                  <c:v>3.6011422359590881</c:v>
                </c:pt>
                <c:pt idx="9">
                  <c:v>3.901836730819622</c:v>
                </c:pt>
                <c:pt idx="10">
                  <c:v>1.9549610541741038</c:v>
                </c:pt>
                <c:pt idx="11">
                  <c:v>2.6579864915720712</c:v>
                </c:pt>
                <c:pt idx="12">
                  <c:v>15.29139331417362</c:v>
                </c:pt>
                <c:pt idx="13">
                  <c:v>1.8167155966928745</c:v>
                </c:pt>
                <c:pt idx="14">
                  <c:v>1.8675963979341217</c:v>
                </c:pt>
                <c:pt idx="15">
                  <c:v>4.0286859144903095</c:v>
                </c:pt>
                <c:pt idx="16">
                  <c:v>8.4789350759002797</c:v>
                </c:pt>
                <c:pt idx="17">
                  <c:v>11.382139460266183</c:v>
                </c:pt>
                <c:pt idx="18">
                  <c:v>7.8687329202746206</c:v>
                </c:pt>
                <c:pt idx="19">
                  <c:v>6.3491950623114795</c:v>
                </c:pt>
              </c:numCache>
            </c:numRef>
          </c:val>
          <c:extLst>
            <c:ext xmlns:c16="http://schemas.microsoft.com/office/drawing/2014/chart" uri="{C3380CC4-5D6E-409C-BE32-E72D297353CC}">
              <c16:uniqueId val="{00000001-D701-4593-945E-168559F712ED}"/>
            </c:ext>
          </c:extLst>
        </c:ser>
        <c:dLbls>
          <c:showLegendKey val="0"/>
          <c:showVal val="0"/>
          <c:showCatName val="0"/>
          <c:showSerName val="0"/>
          <c:showPercent val="0"/>
          <c:showBubbleSize val="0"/>
        </c:dLbls>
        <c:gapWidth val="150"/>
        <c:overlap val="100"/>
        <c:axId val="317155200"/>
        <c:axId val="317156736"/>
      </c:barChart>
      <c:lineChart>
        <c:grouping val="standard"/>
        <c:varyColors val="0"/>
        <c:ser>
          <c:idx val="1"/>
          <c:order val="1"/>
          <c:tx>
            <c:strRef>
              <c:f>Sheet1!$E$1</c:f>
              <c:strCache>
                <c:ptCount val="1"/>
                <c:pt idx="0">
                  <c:v>Ծախսերի աճը, %</c:v>
                </c:pt>
              </c:strCache>
            </c:strRef>
          </c:tx>
          <c:spPr>
            <a:ln>
              <a:solidFill>
                <a:srgbClr val="7030A0"/>
              </a:solidFill>
            </a:ln>
          </c:spPr>
          <c:marker>
            <c:symbol val="none"/>
          </c:marker>
          <c:cat>
            <c:multiLvlStrRef>
              <c:f>Sheet1!$A$2:$B$23</c:f>
              <c:multiLvlStrCache>
                <c:ptCount val="20"/>
                <c:lvl>
                  <c:pt idx="0">
                    <c:v>1</c:v>
                  </c:pt>
                  <c:pt idx="1">
                    <c:v>2</c:v>
                  </c:pt>
                  <c:pt idx="2">
                    <c:v>3</c:v>
                  </c:pt>
                  <c:pt idx="3">
                    <c:v>4</c:v>
                  </c:pt>
                  <c:pt idx="4">
                    <c:v>5</c:v>
                  </c:pt>
                  <c:pt idx="5">
                    <c:v>6</c:v>
                  </c:pt>
                  <c:pt idx="6">
                    <c:v>7</c:v>
                  </c:pt>
                  <c:pt idx="7">
                    <c:v>8</c:v>
                  </c:pt>
                  <c:pt idx="8">
                    <c:v>9</c:v>
                  </c:pt>
                  <c:pt idx="9">
                    <c:v>10</c:v>
                  </c:pt>
                  <c:pt idx="10">
                    <c:v>11</c:v>
                  </c:pt>
                  <c:pt idx="11">
                    <c:v>12</c:v>
                  </c:pt>
                  <c:pt idx="12">
                    <c:v>1</c:v>
                  </c:pt>
                  <c:pt idx="13">
                    <c:v>2</c:v>
                  </c:pt>
                  <c:pt idx="14">
                    <c:v>3</c:v>
                  </c:pt>
                  <c:pt idx="15">
                    <c:v>4</c:v>
                  </c:pt>
                  <c:pt idx="16">
                    <c:v>5</c:v>
                  </c:pt>
                  <c:pt idx="17">
                    <c:v>6</c:v>
                  </c:pt>
                  <c:pt idx="18">
                    <c:v>7</c:v>
                  </c:pt>
                  <c:pt idx="19">
                    <c:v>8</c:v>
                  </c:pt>
                </c:lvl>
                <c:lvl>
                  <c:pt idx="0">
                    <c:v>2024</c:v>
                  </c:pt>
                  <c:pt idx="12">
                    <c:v>2025</c:v>
                  </c:pt>
                </c:lvl>
              </c:multiLvlStrCache>
            </c:multiLvlStrRef>
          </c:cat>
          <c:val>
            <c:numRef>
              <c:f>Sheet1!$E$2:$E$23</c:f>
              <c:numCache>
                <c:formatCode>0.0</c:formatCode>
                <c:ptCount val="20"/>
                <c:pt idx="0">
                  <c:v>10.526856048653769</c:v>
                </c:pt>
                <c:pt idx="1">
                  <c:v>24.469684174438974</c:v>
                </c:pt>
                <c:pt idx="2">
                  <c:v>21.027959541844734</c:v>
                </c:pt>
                <c:pt idx="3">
                  <c:v>27.161644852676574</c:v>
                </c:pt>
                <c:pt idx="4">
                  <c:v>17.167751050404146</c:v>
                </c:pt>
                <c:pt idx="5">
                  <c:v>17.356645789584316</c:v>
                </c:pt>
                <c:pt idx="6">
                  <c:v>17.39214902142152</c:v>
                </c:pt>
                <c:pt idx="7">
                  <c:v>16.397639380323714</c:v>
                </c:pt>
                <c:pt idx="8">
                  <c:v>15.671046999957355</c:v>
                </c:pt>
                <c:pt idx="9">
                  <c:v>16.274586277208499</c:v>
                </c:pt>
                <c:pt idx="10">
                  <c:v>14.515510525192283</c:v>
                </c:pt>
                <c:pt idx="11">
                  <c:v>13.681779372338129</c:v>
                </c:pt>
                <c:pt idx="12">
                  <c:v>19.688023990235266</c:v>
                </c:pt>
                <c:pt idx="13">
                  <c:v>0.28489533598208538</c:v>
                </c:pt>
                <c:pt idx="14">
                  <c:v>9.5638080037320634</c:v>
                </c:pt>
                <c:pt idx="15">
                  <c:v>13.97179657740746</c:v>
                </c:pt>
                <c:pt idx="16">
                  <c:v>16.894022440046616</c:v>
                </c:pt>
                <c:pt idx="17">
                  <c:v>19.436974621863641</c:v>
                </c:pt>
                <c:pt idx="18">
                  <c:v>15.175467542919691</c:v>
                </c:pt>
                <c:pt idx="19">
                  <c:v>12.912233014374296</c:v>
                </c:pt>
              </c:numCache>
            </c:numRef>
          </c:val>
          <c:smooth val="0"/>
          <c:extLst>
            <c:ext xmlns:c16="http://schemas.microsoft.com/office/drawing/2014/chart" uri="{C3380CC4-5D6E-409C-BE32-E72D297353CC}">
              <c16:uniqueId val="{00000002-D701-4593-945E-168559F712ED}"/>
            </c:ext>
          </c:extLst>
        </c:ser>
        <c:dLbls>
          <c:showLegendKey val="0"/>
          <c:showVal val="0"/>
          <c:showCatName val="0"/>
          <c:showSerName val="0"/>
          <c:showPercent val="0"/>
          <c:showBubbleSize val="0"/>
        </c:dLbls>
        <c:marker val="1"/>
        <c:smooth val="0"/>
        <c:axId val="317155200"/>
        <c:axId val="317156736"/>
      </c:lineChart>
      <c:catAx>
        <c:axId val="317155200"/>
        <c:scaling>
          <c:orientation val="minMax"/>
        </c:scaling>
        <c:delete val="0"/>
        <c:axPos val="b"/>
        <c:numFmt formatCode="General" sourceLinked="0"/>
        <c:majorTickMark val="none"/>
        <c:minorTickMark val="none"/>
        <c:tickLblPos val="low"/>
        <c:spPr>
          <a:ln>
            <a:noFill/>
          </a:ln>
        </c:spPr>
        <c:txPr>
          <a:bodyPr rot="0" vert="horz"/>
          <a:lstStyle/>
          <a:p>
            <a:pPr>
              <a:defRPr/>
            </a:pPr>
            <a:endParaRPr lang="en-US"/>
          </a:p>
        </c:txPr>
        <c:crossAx val="317156736"/>
        <c:crosses val="autoZero"/>
        <c:auto val="1"/>
        <c:lblAlgn val="ctr"/>
        <c:lblOffset val="100"/>
        <c:noMultiLvlLbl val="0"/>
      </c:catAx>
      <c:valAx>
        <c:axId val="317156736"/>
        <c:scaling>
          <c:orientation val="minMax"/>
          <c:max val="26"/>
          <c:min val="-5"/>
        </c:scaling>
        <c:delete val="0"/>
        <c:axPos val="l"/>
        <c:numFmt formatCode="0.0" sourceLinked="1"/>
        <c:majorTickMark val="none"/>
        <c:minorTickMark val="none"/>
        <c:tickLblPos val="nextTo"/>
        <c:spPr>
          <a:ln>
            <a:noFill/>
          </a:ln>
        </c:spPr>
        <c:txPr>
          <a:bodyPr rot="0" vert="horz"/>
          <a:lstStyle/>
          <a:p>
            <a:pPr>
              <a:defRPr>
                <a:solidFill>
                  <a:schemeClr val="bg1">
                    <a:lumMod val="65000"/>
                  </a:schemeClr>
                </a:solidFill>
              </a:defRPr>
            </a:pPr>
            <a:endParaRPr lang="en-US"/>
          </a:p>
        </c:txPr>
        <c:crossAx val="317155200"/>
        <c:crosses val="autoZero"/>
        <c:crossBetween val="between"/>
        <c:majorUnit val="10"/>
        <c:minorUnit val="1"/>
      </c:valAx>
      <c:spPr>
        <a:noFill/>
        <a:ln w="25332">
          <a:noFill/>
        </a:ln>
      </c:spPr>
    </c:plotArea>
    <c:legend>
      <c:legendPos val="r"/>
      <c:layout>
        <c:manualLayout>
          <c:xMode val="edge"/>
          <c:yMode val="edge"/>
          <c:x val="5.1010225284339461E-3"/>
          <c:y val="0.82342155147273255"/>
          <c:w val="0.92361111111111116"/>
          <c:h val="0.17657844852726742"/>
        </c:manualLayout>
      </c:layout>
      <c:overlay val="0"/>
      <c:txPr>
        <a:bodyPr/>
        <a:lstStyle/>
        <a:p>
          <a:pPr>
            <a:defRPr sz="600"/>
          </a:pPr>
          <a:endParaRPr lang="en-US"/>
        </a:p>
      </c:txPr>
    </c:legend>
    <c:plotVisOnly val="1"/>
    <c:dispBlanksAs val="gap"/>
    <c:showDLblsOverMax val="0"/>
  </c:chart>
  <c:spPr>
    <a:noFill/>
    <a:ln w="12700">
      <a:solidFill>
        <a:sysClr val="window" lastClr="FFFFFF"/>
      </a:solidFill>
    </a:ln>
  </c:spPr>
  <c:txPr>
    <a:bodyPr/>
    <a:lstStyle/>
    <a:p>
      <a:pPr>
        <a:defRPr sz="600" b="0" i="0" u="none" strike="noStrike" baseline="0">
          <a:solidFill>
            <a:srgbClr val="000000"/>
          </a:solidFill>
          <a:latin typeface="Calibri" panose="020F0502020204030204" pitchFamily="34" charset="0"/>
          <a:ea typeface="Calibri" panose="020F0502020204030204" pitchFamily="34" charset="0"/>
          <a:cs typeface="Calibri" panose="020F0502020204030204" pitchFamily="34" charset="0"/>
        </a:defRPr>
      </a:pPr>
      <a:endParaRPr lang="en-US"/>
    </a:p>
  </c:txPr>
  <c:externalData r:id="rId2">
    <c:autoUpdate val="0"/>
  </c:externalData>
</c:chartSpace>
</file>

<file path=word/charts/chart4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8.0249343832020995E-2"/>
          <c:y val="0.10721732700079155"/>
          <c:w val="0.81936618274278217"/>
          <c:h val="0.51684789401324838"/>
        </c:manualLayout>
      </c:layout>
      <c:areaChart>
        <c:grouping val="standard"/>
        <c:varyColors val="0"/>
        <c:ser>
          <c:idx val="4"/>
          <c:order val="4"/>
          <c:tx>
            <c:strRef>
              <c:f>Sheet1!$F$1</c:f>
              <c:strCache>
                <c:ptCount val="1"/>
                <c:pt idx="0">
                  <c:v>Column1</c:v>
                </c:pt>
              </c:strCache>
            </c:strRef>
          </c:tx>
          <c:spPr>
            <a:solidFill>
              <a:srgbClr val="A5A5A5">
                <a:lumMod val="20000"/>
                <a:lumOff val="80000"/>
              </a:srgbClr>
            </a:solidFill>
          </c:spPr>
          <c:cat>
            <c:strRef>
              <c:f>Sheet1!$A$2:$A$13</c:f>
              <c:strCache>
                <c:ptCount val="7"/>
                <c:pt idx="0">
                  <c:v>2022</c:v>
                </c:pt>
                <c:pt idx="1">
                  <c:v>2023</c:v>
                </c:pt>
                <c:pt idx="2">
                  <c:v>2024</c:v>
                </c:pt>
                <c:pt idx="3">
                  <c:v>2025*</c:v>
                </c:pt>
                <c:pt idx="4">
                  <c:v>2026*</c:v>
                </c:pt>
                <c:pt idx="5">
                  <c:v>2027*</c:v>
                </c:pt>
                <c:pt idx="6">
                  <c:v>2028*</c:v>
                </c:pt>
              </c:strCache>
            </c:strRef>
          </c:cat>
          <c:val>
            <c:numRef>
              <c:f>Sheet1!$F$2:$F$13</c:f>
              <c:numCache>
                <c:formatCode>General</c:formatCode>
                <c:ptCount val="7"/>
                <c:pt idx="2" formatCode="0.0">
                  <c:v>-2</c:v>
                </c:pt>
                <c:pt idx="3" formatCode="0.0">
                  <c:v>-2</c:v>
                </c:pt>
                <c:pt idx="4" formatCode="0.0">
                  <c:v>-2</c:v>
                </c:pt>
                <c:pt idx="5" formatCode="0.0">
                  <c:v>-2</c:v>
                </c:pt>
                <c:pt idx="6" formatCode="0.0">
                  <c:v>-2</c:v>
                </c:pt>
              </c:numCache>
            </c:numRef>
          </c:val>
          <c:extLst>
            <c:ext xmlns:c16="http://schemas.microsoft.com/office/drawing/2014/chart" uri="{C3380CC4-5D6E-409C-BE32-E72D297353CC}">
              <c16:uniqueId val="{00000000-205E-4306-81BF-79A11C8932BB}"/>
            </c:ext>
          </c:extLst>
        </c:ser>
        <c:ser>
          <c:idx val="5"/>
          <c:order val="5"/>
          <c:tx>
            <c:strRef>
              <c:f>Sheet1!$G$1</c:f>
              <c:strCache>
                <c:ptCount val="1"/>
                <c:pt idx="0">
                  <c:v>Column2</c:v>
                </c:pt>
              </c:strCache>
            </c:strRef>
          </c:tx>
          <c:spPr>
            <a:solidFill>
              <a:srgbClr val="A5A5A5">
                <a:lumMod val="20000"/>
                <a:lumOff val="80000"/>
              </a:srgbClr>
            </a:solidFill>
          </c:spPr>
          <c:cat>
            <c:strRef>
              <c:f>Sheet1!$A$2:$A$13</c:f>
              <c:strCache>
                <c:ptCount val="7"/>
                <c:pt idx="0">
                  <c:v>2022</c:v>
                </c:pt>
                <c:pt idx="1">
                  <c:v>2023</c:v>
                </c:pt>
                <c:pt idx="2">
                  <c:v>2024</c:v>
                </c:pt>
                <c:pt idx="3">
                  <c:v>2025*</c:v>
                </c:pt>
                <c:pt idx="4">
                  <c:v>2026*</c:v>
                </c:pt>
                <c:pt idx="5">
                  <c:v>2027*</c:v>
                </c:pt>
                <c:pt idx="6">
                  <c:v>2028*</c:v>
                </c:pt>
              </c:strCache>
            </c:strRef>
          </c:cat>
          <c:val>
            <c:numRef>
              <c:f>Sheet1!$G$2:$G$13</c:f>
              <c:numCache>
                <c:formatCode>General</c:formatCode>
                <c:ptCount val="7"/>
                <c:pt idx="2" formatCode="0.0">
                  <c:v>8</c:v>
                </c:pt>
                <c:pt idx="3" formatCode="0.0">
                  <c:v>8</c:v>
                </c:pt>
                <c:pt idx="4" formatCode="0.0">
                  <c:v>8</c:v>
                </c:pt>
                <c:pt idx="5" formatCode="0.0">
                  <c:v>8</c:v>
                </c:pt>
                <c:pt idx="6" formatCode="0.0">
                  <c:v>8</c:v>
                </c:pt>
              </c:numCache>
            </c:numRef>
          </c:val>
          <c:extLst>
            <c:ext xmlns:c16="http://schemas.microsoft.com/office/drawing/2014/chart" uri="{C3380CC4-5D6E-409C-BE32-E72D297353CC}">
              <c16:uniqueId val="{00000001-205E-4306-81BF-79A11C8932BB}"/>
            </c:ext>
          </c:extLst>
        </c:ser>
        <c:dLbls>
          <c:showLegendKey val="0"/>
          <c:showVal val="0"/>
          <c:showCatName val="0"/>
          <c:showSerName val="0"/>
          <c:showPercent val="0"/>
          <c:showBubbleSize val="0"/>
        </c:dLbls>
        <c:axId val="665841664"/>
        <c:axId val="665843200"/>
      </c:areaChart>
      <c:lineChart>
        <c:grouping val="standard"/>
        <c:varyColors val="0"/>
        <c:ser>
          <c:idx val="0"/>
          <c:order val="0"/>
          <c:tx>
            <c:strRef>
              <c:f>Sheet1!$B$1</c:f>
              <c:strCache>
                <c:ptCount val="1"/>
                <c:pt idx="0">
                  <c:v>Բյուջեի պակասուրդ</c:v>
                </c:pt>
              </c:strCache>
            </c:strRef>
          </c:tx>
          <c:spPr>
            <a:effectLst>
              <a:outerShdw blurRad="40000" dist="23000" dir="5400000" rotWithShape="0">
                <a:srgbClr val="000000">
                  <a:alpha val="35000"/>
                </a:srgbClr>
              </a:outerShdw>
            </a:effectLst>
          </c:spPr>
          <c:marker>
            <c:symbol val="circle"/>
            <c:size val="5"/>
          </c:marker>
          <c:dLbls>
            <c:spPr>
              <a:noFill/>
              <a:ln>
                <a:noFill/>
              </a:ln>
              <a:effectLst/>
            </c:spPr>
            <c:dLblPos val="t"/>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Sheet1!$A$2:$A$13</c:f>
              <c:strCache>
                <c:ptCount val="7"/>
                <c:pt idx="0">
                  <c:v>2022</c:v>
                </c:pt>
                <c:pt idx="1">
                  <c:v>2023</c:v>
                </c:pt>
                <c:pt idx="2">
                  <c:v>2024</c:v>
                </c:pt>
                <c:pt idx="3">
                  <c:v>2025*</c:v>
                </c:pt>
                <c:pt idx="4">
                  <c:v>2026*</c:v>
                </c:pt>
                <c:pt idx="5">
                  <c:v>2027*</c:v>
                </c:pt>
                <c:pt idx="6">
                  <c:v>2028*</c:v>
                </c:pt>
              </c:strCache>
            </c:strRef>
          </c:cat>
          <c:val>
            <c:numRef>
              <c:f>Sheet1!$B$2:$B$13</c:f>
              <c:numCache>
                <c:formatCode>0.0</c:formatCode>
                <c:ptCount val="7"/>
                <c:pt idx="0">
                  <c:v>2.1117623133763717</c:v>
                </c:pt>
                <c:pt idx="1">
                  <c:v>1.9981780391275936</c:v>
                </c:pt>
                <c:pt idx="2">
                  <c:v>3.6895255232071276</c:v>
                </c:pt>
                <c:pt idx="3">
                  <c:v>5.4543817754924122</c:v>
                </c:pt>
                <c:pt idx="4">
                  <c:v>4.4978556070436566</c:v>
                </c:pt>
                <c:pt idx="5">
                  <c:v>3.4621539264799805</c:v>
                </c:pt>
                <c:pt idx="6">
                  <c:v>2.7929164171870768</c:v>
                </c:pt>
              </c:numCache>
            </c:numRef>
          </c:val>
          <c:smooth val="0"/>
          <c:extLst>
            <c:ext xmlns:c16="http://schemas.microsoft.com/office/drawing/2014/chart" uri="{C3380CC4-5D6E-409C-BE32-E72D297353CC}">
              <c16:uniqueId val="{00000002-205E-4306-81BF-79A11C8932BB}"/>
            </c:ext>
          </c:extLst>
        </c:ser>
        <c:ser>
          <c:idx val="1"/>
          <c:order val="1"/>
          <c:tx>
            <c:strRef>
              <c:f>Sheet1!$C$1</c:f>
              <c:strCache>
                <c:ptCount val="1"/>
                <c:pt idx="0">
                  <c:v>Առաջնային պակասուրդ</c:v>
                </c:pt>
              </c:strCache>
            </c:strRef>
          </c:tx>
          <c:spPr>
            <a:ln>
              <a:solidFill>
                <a:srgbClr val="4472C4"/>
              </a:solidFill>
            </a:ln>
            <a:effectLst>
              <a:outerShdw blurRad="40000" dist="23000" dir="5400000" rotWithShape="0">
                <a:srgbClr val="000000">
                  <a:alpha val="35000"/>
                </a:srgbClr>
              </a:outerShdw>
            </a:effectLst>
          </c:spPr>
          <c:marker>
            <c:symbol val="circle"/>
            <c:size val="5"/>
            <c:spPr>
              <a:solidFill>
                <a:srgbClr val="4472C4"/>
              </a:solidFill>
              <a:ln>
                <a:noFill/>
              </a:ln>
            </c:spPr>
          </c:marker>
          <c:dLbls>
            <c:spPr>
              <a:noFill/>
              <a:ln>
                <a:noFill/>
              </a:ln>
              <a:effectLst/>
            </c:spPr>
            <c:dLblPos val="b"/>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Sheet1!$A$2:$A$13</c:f>
              <c:strCache>
                <c:ptCount val="7"/>
                <c:pt idx="0">
                  <c:v>2022</c:v>
                </c:pt>
                <c:pt idx="1">
                  <c:v>2023</c:v>
                </c:pt>
                <c:pt idx="2">
                  <c:v>2024</c:v>
                </c:pt>
                <c:pt idx="3">
                  <c:v>2025*</c:v>
                </c:pt>
                <c:pt idx="4">
                  <c:v>2026*</c:v>
                </c:pt>
                <c:pt idx="5">
                  <c:v>2027*</c:v>
                </c:pt>
                <c:pt idx="6">
                  <c:v>2028*</c:v>
                </c:pt>
              </c:strCache>
            </c:strRef>
          </c:cat>
          <c:val>
            <c:numRef>
              <c:f>Sheet1!$C$2:$C$13</c:f>
              <c:numCache>
                <c:formatCode>0.0</c:formatCode>
                <c:ptCount val="7"/>
                <c:pt idx="0">
                  <c:v>-0.22093662564398509</c:v>
                </c:pt>
                <c:pt idx="1">
                  <c:v>-0.68253747063499959</c:v>
                </c:pt>
                <c:pt idx="2">
                  <c:v>0.61319485589879186</c:v>
                </c:pt>
                <c:pt idx="3">
                  <c:v>1.9888470814133519</c:v>
                </c:pt>
                <c:pt idx="4">
                  <c:v>0.97909526072514819</c:v>
                </c:pt>
                <c:pt idx="5">
                  <c:v>-0.18562214755444151</c:v>
                </c:pt>
                <c:pt idx="6">
                  <c:v>-0.87429776606784815</c:v>
                </c:pt>
              </c:numCache>
            </c:numRef>
          </c:val>
          <c:smooth val="0"/>
          <c:extLst>
            <c:ext xmlns:c16="http://schemas.microsoft.com/office/drawing/2014/chart" uri="{C3380CC4-5D6E-409C-BE32-E72D297353CC}">
              <c16:uniqueId val="{00000003-205E-4306-81BF-79A11C8932BB}"/>
            </c:ext>
          </c:extLst>
        </c:ser>
        <c:ser>
          <c:idx val="2"/>
          <c:order val="2"/>
          <c:tx>
            <c:strRef>
              <c:f>Sheet1!$D$1</c:f>
              <c:strCache>
                <c:ptCount val="1"/>
                <c:pt idx="0">
                  <c:v>Պակասուրդ և ԼՂ վարկավորում</c:v>
                </c:pt>
              </c:strCache>
            </c:strRef>
          </c:tx>
          <c:spPr>
            <a:ln w="31765" cap="rnd">
              <a:solidFill>
                <a:srgbClr val="5B9BD5"/>
              </a:solidFill>
              <a:prstDash val="sysDot"/>
              <a:round/>
            </a:ln>
            <a:effectLst>
              <a:outerShdw blurRad="40000" dist="23000" dir="5400000" rotWithShape="0">
                <a:srgbClr val="000000">
                  <a:alpha val="35000"/>
                </a:srgbClr>
              </a:outerShdw>
            </a:effectLst>
          </c:spPr>
          <c:marker>
            <c:symbol val="none"/>
          </c:marker>
          <c:dLbls>
            <c:spPr>
              <a:noFill/>
              <a:ln>
                <a:noFill/>
              </a:ln>
              <a:effectLst/>
            </c:spPr>
            <c:dLblPos val="t"/>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Sheet1!$A$2:$A$13</c:f>
              <c:strCache>
                <c:ptCount val="7"/>
                <c:pt idx="0">
                  <c:v>2022</c:v>
                </c:pt>
                <c:pt idx="1">
                  <c:v>2023</c:v>
                </c:pt>
                <c:pt idx="2">
                  <c:v>2024</c:v>
                </c:pt>
                <c:pt idx="3">
                  <c:v>2025*</c:v>
                </c:pt>
                <c:pt idx="4">
                  <c:v>2026*</c:v>
                </c:pt>
                <c:pt idx="5">
                  <c:v>2027*</c:v>
                </c:pt>
                <c:pt idx="6">
                  <c:v>2028*</c:v>
                </c:pt>
              </c:strCache>
            </c:strRef>
          </c:cat>
          <c:val>
            <c:numRef>
              <c:f>Sheet1!$D$2:$D$13</c:f>
              <c:numCache>
                <c:formatCode>0.0</c:formatCode>
                <c:ptCount val="7"/>
                <c:pt idx="0">
                  <c:v>4.1820009219031302</c:v>
                </c:pt>
                <c:pt idx="1">
                  <c:v>3.5757505123734066</c:v>
                </c:pt>
                <c:pt idx="2">
                  <c:v>3.6895255232071276</c:v>
                </c:pt>
              </c:numCache>
            </c:numRef>
          </c:val>
          <c:smooth val="0"/>
          <c:extLst>
            <c:ext xmlns:c16="http://schemas.microsoft.com/office/drawing/2014/chart" uri="{C3380CC4-5D6E-409C-BE32-E72D297353CC}">
              <c16:uniqueId val="{00000004-205E-4306-81BF-79A11C8932BB}"/>
            </c:ext>
          </c:extLst>
        </c:ser>
        <c:ser>
          <c:idx val="3"/>
          <c:order val="3"/>
          <c:tx>
            <c:strRef>
              <c:f>Sheet1!$E$1</c:f>
              <c:strCache>
                <c:ptCount val="1"/>
                <c:pt idx="0">
                  <c:v>Առաջնային պակասուրդ և ԼՂ վարկավորում</c:v>
                </c:pt>
              </c:strCache>
            </c:strRef>
          </c:tx>
          <c:spPr>
            <a:ln>
              <a:solidFill>
                <a:srgbClr val="4472C4"/>
              </a:solidFill>
              <a:prstDash val="sysDash"/>
            </a:ln>
          </c:spPr>
          <c:marker>
            <c:symbol val="none"/>
          </c:marker>
          <c:dLbls>
            <c:dLbl>
              <c:idx val="2"/>
              <c:delete val="1"/>
              <c:extLst>
                <c:ext xmlns:c15="http://schemas.microsoft.com/office/drawing/2012/chart" uri="{CE6537A1-D6FC-4f65-9D91-7224C49458BB}"/>
                <c:ext xmlns:c16="http://schemas.microsoft.com/office/drawing/2014/chart" uri="{C3380CC4-5D6E-409C-BE32-E72D297353CC}">
                  <c16:uniqueId val="{00000005-205E-4306-81BF-79A11C8932BB}"/>
                </c:ext>
              </c:extLst>
            </c:dLbl>
            <c:spPr>
              <a:noFill/>
              <a:ln>
                <a:noFill/>
              </a:ln>
              <a:effectLst/>
            </c:spPr>
            <c:dLblPos val="b"/>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Sheet1!$A$2:$A$13</c:f>
              <c:strCache>
                <c:ptCount val="7"/>
                <c:pt idx="0">
                  <c:v>2022</c:v>
                </c:pt>
                <c:pt idx="1">
                  <c:v>2023</c:v>
                </c:pt>
                <c:pt idx="2">
                  <c:v>2024</c:v>
                </c:pt>
                <c:pt idx="3">
                  <c:v>2025*</c:v>
                </c:pt>
                <c:pt idx="4">
                  <c:v>2026*</c:v>
                </c:pt>
                <c:pt idx="5">
                  <c:v>2027*</c:v>
                </c:pt>
                <c:pt idx="6">
                  <c:v>2028*</c:v>
                </c:pt>
              </c:strCache>
            </c:strRef>
          </c:cat>
          <c:val>
            <c:numRef>
              <c:f>Sheet1!$E$2:$E$13</c:f>
              <c:numCache>
                <c:formatCode>0.0</c:formatCode>
                <c:ptCount val="7"/>
                <c:pt idx="0">
                  <c:v>1.8493019828827739</c:v>
                </c:pt>
                <c:pt idx="1">
                  <c:v>0.90597293687941449</c:v>
                </c:pt>
                <c:pt idx="2">
                  <c:v>0.61319485589879186</c:v>
                </c:pt>
              </c:numCache>
            </c:numRef>
          </c:val>
          <c:smooth val="0"/>
          <c:extLst>
            <c:ext xmlns:c16="http://schemas.microsoft.com/office/drawing/2014/chart" uri="{C3380CC4-5D6E-409C-BE32-E72D297353CC}">
              <c16:uniqueId val="{00000006-205E-4306-81BF-79A11C8932BB}"/>
            </c:ext>
          </c:extLst>
        </c:ser>
        <c:dLbls>
          <c:showLegendKey val="0"/>
          <c:showVal val="0"/>
          <c:showCatName val="0"/>
          <c:showSerName val="0"/>
          <c:showPercent val="0"/>
          <c:showBubbleSize val="0"/>
        </c:dLbls>
        <c:marker val="1"/>
        <c:smooth val="0"/>
        <c:axId val="665841664"/>
        <c:axId val="665843200"/>
      </c:lineChart>
      <c:catAx>
        <c:axId val="665841664"/>
        <c:scaling>
          <c:orientation val="minMax"/>
        </c:scaling>
        <c:delete val="0"/>
        <c:axPos val="b"/>
        <c:numFmt formatCode="General" sourceLinked="1"/>
        <c:majorTickMark val="none"/>
        <c:minorTickMark val="none"/>
        <c:tickLblPos val="low"/>
        <c:spPr>
          <a:noFill/>
          <a:ln w="9530" cap="flat" cmpd="sng" algn="ctr">
            <a:solidFill>
              <a:schemeClr val="tx2">
                <a:lumMod val="15000"/>
                <a:lumOff val="85000"/>
              </a:schemeClr>
            </a:solidFill>
            <a:round/>
          </a:ln>
          <a:effectLst/>
        </c:spPr>
        <c:txPr>
          <a:bodyPr rot="-60000000" vert="horz"/>
          <a:lstStyle/>
          <a:p>
            <a:pPr>
              <a:defRPr/>
            </a:pPr>
            <a:endParaRPr lang="en-US"/>
          </a:p>
        </c:txPr>
        <c:crossAx val="665843200"/>
        <c:crosses val="autoZero"/>
        <c:auto val="1"/>
        <c:lblAlgn val="ctr"/>
        <c:lblOffset val="100"/>
        <c:noMultiLvlLbl val="0"/>
      </c:catAx>
      <c:valAx>
        <c:axId val="665843200"/>
        <c:scaling>
          <c:orientation val="minMax"/>
          <c:max val="8"/>
          <c:min val="-4"/>
        </c:scaling>
        <c:delete val="1"/>
        <c:axPos val="l"/>
        <c:numFmt formatCode="General" sourceLinked="1"/>
        <c:majorTickMark val="out"/>
        <c:minorTickMark val="none"/>
        <c:tickLblPos val="nextTo"/>
        <c:crossAx val="665841664"/>
        <c:crosses val="autoZero"/>
        <c:crossBetween val="between"/>
        <c:majorUnit val="2"/>
      </c:valAx>
      <c:spPr>
        <a:noFill/>
        <a:ln w="25412">
          <a:noFill/>
        </a:ln>
      </c:spPr>
    </c:plotArea>
    <c:legend>
      <c:legendPos val="b"/>
      <c:legendEntry>
        <c:idx val="0"/>
        <c:delete val="1"/>
      </c:legendEntry>
      <c:legendEntry>
        <c:idx val="1"/>
        <c:delete val="1"/>
      </c:legendEntry>
      <c:layout>
        <c:manualLayout>
          <c:xMode val="edge"/>
          <c:yMode val="edge"/>
          <c:x val="0"/>
          <c:y val="0.72942705078531855"/>
          <c:w val="1"/>
          <c:h val="0.2705729492146815"/>
        </c:manualLayout>
      </c:layout>
      <c:overlay val="0"/>
      <c:txPr>
        <a:bodyPr/>
        <a:lstStyle/>
        <a:p>
          <a:pPr>
            <a:defRPr sz="600"/>
          </a:pPr>
          <a:endParaRPr lang="en-US"/>
        </a:p>
      </c:txPr>
    </c:legend>
    <c:plotVisOnly val="1"/>
    <c:dispBlanksAs val="gap"/>
    <c:showDLblsOverMax val="0"/>
  </c:chart>
  <c:spPr>
    <a:noFill/>
    <a:ln w="19050" cap="flat" cmpd="sng" algn="ctr">
      <a:solidFill>
        <a:sysClr val="window" lastClr="FFFFFF"/>
      </a:solidFill>
      <a:round/>
    </a:ln>
    <a:effectLst/>
  </c:spPr>
  <c:txPr>
    <a:bodyPr anchor="t" anchorCtr="0"/>
    <a:lstStyle/>
    <a:p>
      <a:pPr>
        <a:defRPr sz="700">
          <a:latin typeface="Calibri" panose="020F0502020204030204" pitchFamily="34" charset="0"/>
          <a:ea typeface="Calibri" panose="020F0502020204030204" pitchFamily="34" charset="0"/>
          <a:cs typeface="Calibri" panose="020F0502020204030204" pitchFamily="34" charset="0"/>
        </a:defRPr>
      </a:pPr>
      <a:endParaRPr lang="en-US"/>
    </a:p>
  </c:txPr>
  <c:externalData r:id="rId2">
    <c:autoUpdate val="0"/>
  </c:externalData>
</c:chartSpace>
</file>

<file path=word/charts/chart4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6.722851049868768E-2"/>
          <c:y val="0.10721732700079155"/>
          <c:w val="0.87144951607611554"/>
          <c:h val="0.60262571345248506"/>
        </c:manualLayout>
      </c:layout>
      <c:areaChart>
        <c:grouping val="standard"/>
        <c:varyColors val="0"/>
        <c:ser>
          <c:idx val="3"/>
          <c:order val="3"/>
          <c:tx>
            <c:strRef>
              <c:f>Sheet1!$E$1</c:f>
              <c:strCache>
                <c:ptCount val="1"/>
                <c:pt idx="0">
                  <c:v>Column1</c:v>
                </c:pt>
              </c:strCache>
            </c:strRef>
          </c:tx>
          <c:spPr>
            <a:solidFill>
              <a:srgbClr val="A5A5A5">
                <a:lumMod val="20000"/>
                <a:lumOff val="80000"/>
              </a:srgbClr>
            </a:solidFill>
          </c:spPr>
          <c:cat>
            <c:strRef>
              <c:f>Sheet1!$A$2:$A$13</c:f>
              <c:strCache>
                <c:ptCount val="7"/>
                <c:pt idx="0">
                  <c:v>2022</c:v>
                </c:pt>
                <c:pt idx="1">
                  <c:v>2023</c:v>
                </c:pt>
                <c:pt idx="2">
                  <c:v>2024</c:v>
                </c:pt>
                <c:pt idx="3">
                  <c:v>2025*</c:v>
                </c:pt>
                <c:pt idx="4">
                  <c:v>2026*</c:v>
                </c:pt>
                <c:pt idx="5">
                  <c:v>2027*</c:v>
                </c:pt>
                <c:pt idx="6">
                  <c:v>2028*</c:v>
                </c:pt>
              </c:strCache>
            </c:strRef>
          </c:cat>
          <c:val>
            <c:numRef>
              <c:f>Sheet1!$E$2:$E$13</c:f>
              <c:numCache>
                <c:formatCode>General</c:formatCode>
                <c:ptCount val="7"/>
                <c:pt idx="3" formatCode="0.0">
                  <c:v>-1000</c:v>
                </c:pt>
                <c:pt idx="4" formatCode="0.0">
                  <c:v>-1000</c:v>
                </c:pt>
                <c:pt idx="5" formatCode="0.0">
                  <c:v>-1000</c:v>
                </c:pt>
                <c:pt idx="6" formatCode="0.0">
                  <c:v>-1000</c:v>
                </c:pt>
              </c:numCache>
            </c:numRef>
          </c:val>
          <c:extLst>
            <c:ext xmlns:c16="http://schemas.microsoft.com/office/drawing/2014/chart" uri="{C3380CC4-5D6E-409C-BE32-E72D297353CC}">
              <c16:uniqueId val="{00000000-894E-4858-AE67-D9807BB8D274}"/>
            </c:ext>
          </c:extLst>
        </c:ser>
        <c:ser>
          <c:idx val="4"/>
          <c:order val="4"/>
          <c:tx>
            <c:strRef>
              <c:f>Sheet1!$F$1</c:f>
              <c:strCache>
                <c:ptCount val="1"/>
                <c:pt idx="0">
                  <c:v>Column12</c:v>
                </c:pt>
              </c:strCache>
            </c:strRef>
          </c:tx>
          <c:spPr>
            <a:solidFill>
              <a:srgbClr val="A5A5A5">
                <a:lumMod val="20000"/>
                <a:lumOff val="80000"/>
              </a:srgbClr>
            </a:solidFill>
            <a:ln>
              <a:solidFill>
                <a:srgbClr val="44546A">
                  <a:lumMod val="15000"/>
                  <a:lumOff val="85000"/>
                </a:srgbClr>
              </a:solidFill>
            </a:ln>
          </c:spPr>
          <c:cat>
            <c:strRef>
              <c:f>Sheet1!$A$2:$A$13</c:f>
              <c:strCache>
                <c:ptCount val="7"/>
                <c:pt idx="0">
                  <c:v>2022</c:v>
                </c:pt>
                <c:pt idx="1">
                  <c:v>2023</c:v>
                </c:pt>
                <c:pt idx="2">
                  <c:v>2024</c:v>
                </c:pt>
                <c:pt idx="3">
                  <c:v>2025*</c:v>
                </c:pt>
                <c:pt idx="4">
                  <c:v>2026*</c:v>
                </c:pt>
                <c:pt idx="5">
                  <c:v>2027*</c:v>
                </c:pt>
                <c:pt idx="6">
                  <c:v>2028*</c:v>
                </c:pt>
              </c:strCache>
            </c:strRef>
          </c:cat>
          <c:val>
            <c:numRef>
              <c:f>Sheet1!$F$2:$F$13</c:f>
              <c:numCache>
                <c:formatCode>General</c:formatCode>
                <c:ptCount val="7"/>
                <c:pt idx="3" formatCode="0.0">
                  <c:v>4500</c:v>
                </c:pt>
                <c:pt idx="4" formatCode="0.0">
                  <c:v>4500</c:v>
                </c:pt>
                <c:pt idx="5" formatCode="0.0">
                  <c:v>4500</c:v>
                </c:pt>
                <c:pt idx="6" formatCode="0.0">
                  <c:v>4500</c:v>
                </c:pt>
              </c:numCache>
            </c:numRef>
          </c:val>
          <c:extLst>
            <c:ext xmlns:c16="http://schemas.microsoft.com/office/drawing/2014/chart" uri="{C3380CC4-5D6E-409C-BE32-E72D297353CC}">
              <c16:uniqueId val="{00000001-894E-4858-AE67-D9807BB8D274}"/>
            </c:ext>
          </c:extLst>
        </c:ser>
        <c:dLbls>
          <c:showLegendKey val="0"/>
          <c:showVal val="0"/>
          <c:showCatName val="0"/>
          <c:showSerName val="0"/>
          <c:showPercent val="0"/>
          <c:showBubbleSize val="0"/>
        </c:dLbls>
        <c:axId val="665841664"/>
        <c:axId val="665843200"/>
      </c:areaChart>
      <c:barChart>
        <c:barDir val="col"/>
        <c:grouping val="clustered"/>
        <c:varyColors val="0"/>
        <c:ser>
          <c:idx val="0"/>
          <c:order val="0"/>
          <c:tx>
            <c:strRef>
              <c:f>Sheet1!$B$1</c:f>
              <c:strCache>
                <c:ptCount val="1"/>
                <c:pt idx="0">
                  <c:v>Եկամուտներ</c:v>
                </c:pt>
              </c:strCache>
            </c:strRef>
          </c:tx>
          <c:spPr>
            <a:solidFill>
              <a:srgbClr val="A5A5A5">
                <a:lumMod val="75000"/>
              </a:srgbClr>
            </a:solidFill>
            <a:ln>
              <a:noFill/>
            </a:ln>
            <a:effectLst>
              <a:outerShdw blurRad="40000" dist="23000" dir="5400000" rotWithShape="0">
                <a:srgbClr val="000000">
                  <a:alpha val="35000"/>
                </a:srgbClr>
              </a:outerShdw>
            </a:effectLst>
          </c:spPr>
          <c:invertIfNegative val="0"/>
          <c:dLbls>
            <c:spPr>
              <a:noFill/>
              <a:ln>
                <a:noFill/>
              </a:ln>
              <a:effectLst/>
            </c:sp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Sheet1!$A$2:$A$13</c:f>
              <c:strCache>
                <c:ptCount val="7"/>
                <c:pt idx="0">
                  <c:v>2022</c:v>
                </c:pt>
                <c:pt idx="1">
                  <c:v>2023</c:v>
                </c:pt>
                <c:pt idx="2">
                  <c:v>2024</c:v>
                </c:pt>
                <c:pt idx="3">
                  <c:v>2025*</c:v>
                </c:pt>
                <c:pt idx="4">
                  <c:v>2026*</c:v>
                </c:pt>
                <c:pt idx="5">
                  <c:v>2027*</c:v>
                </c:pt>
                <c:pt idx="6">
                  <c:v>2028*</c:v>
                </c:pt>
              </c:strCache>
            </c:strRef>
          </c:cat>
          <c:val>
            <c:numRef>
              <c:f>Sheet1!$B$2:$B$13</c:f>
              <c:numCache>
                <c:formatCode>0.0</c:formatCode>
                <c:ptCount val="7"/>
                <c:pt idx="0">
                  <c:v>2099.5970693250001</c:v>
                </c:pt>
                <c:pt idx="1">
                  <c:v>2410.6799114426999</c:v>
                </c:pt>
                <c:pt idx="2">
                  <c:v>2579.2302387999998</c:v>
                </c:pt>
                <c:pt idx="3">
                  <c:v>2832.8242411394899</c:v>
                </c:pt>
                <c:pt idx="4">
                  <c:v>3090.8589512918365</c:v>
                </c:pt>
                <c:pt idx="5">
                  <c:v>3352.5943873674087</c:v>
                </c:pt>
                <c:pt idx="6">
                  <c:v>3638.2078520721489</c:v>
                </c:pt>
              </c:numCache>
            </c:numRef>
          </c:val>
          <c:extLst>
            <c:ext xmlns:c16="http://schemas.microsoft.com/office/drawing/2014/chart" uri="{C3380CC4-5D6E-409C-BE32-E72D297353CC}">
              <c16:uniqueId val="{00000002-894E-4858-AE67-D9807BB8D274}"/>
            </c:ext>
          </c:extLst>
        </c:ser>
        <c:ser>
          <c:idx val="1"/>
          <c:order val="1"/>
          <c:tx>
            <c:strRef>
              <c:f>Sheet1!$C$1</c:f>
              <c:strCache>
                <c:ptCount val="1"/>
                <c:pt idx="0">
                  <c:v>Ծախսեր</c:v>
                </c:pt>
              </c:strCache>
            </c:strRef>
          </c:tx>
          <c:spPr>
            <a:solidFill>
              <a:srgbClr val="4472C4"/>
            </a:solidFill>
            <a:ln>
              <a:solidFill>
                <a:srgbClr val="4472C4"/>
              </a:solidFill>
            </a:ln>
            <a:effectLst>
              <a:outerShdw blurRad="40000" dist="23000" dir="5400000" rotWithShape="0">
                <a:srgbClr val="000000">
                  <a:alpha val="35000"/>
                </a:srgbClr>
              </a:outerShdw>
            </a:effectLst>
          </c:spPr>
          <c:invertIfNegative val="0"/>
          <c:dLbls>
            <c:spPr>
              <a:noFill/>
              <a:ln>
                <a:noFill/>
              </a:ln>
              <a:effectLst/>
            </c:sp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Sheet1!$A$2:$A$13</c:f>
              <c:strCache>
                <c:ptCount val="7"/>
                <c:pt idx="0">
                  <c:v>2022</c:v>
                </c:pt>
                <c:pt idx="1">
                  <c:v>2023</c:v>
                </c:pt>
                <c:pt idx="2">
                  <c:v>2024</c:v>
                </c:pt>
                <c:pt idx="3">
                  <c:v>2025*</c:v>
                </c:pt>
                <c:pt idx="4">
                  <c:v>2026*</c:v>
                </c:pt>
                <c:pt idx="5">
                  <c:v>2027*</c:v>
                </c:pt>
                <c:pt idx="6">
                  <c:v>2028*</c:v>
                </c:pt>
              </c:strCache>
            </c:strRef>
          </c:cat>
          <c:val>
            <c:numRef>
              <c:f>Sheet1!$C$2:$C$13</c:f>
              <c:numCache>
                <c:formatCode>0.0</c:formatCode>
                <c:ptCount val="7"/>
                <c:pt idx="0">
                  <c:v>2279.1271803100003</c:v>
                </c:pt>
                <c:pt idx="1">
                  <c:v>2599.5711782929998</c:v>
                </c:pt>
                <c:pt idx="2">
                  <c:v>2955.3188979800002</c:v>
                </c:pt>
                <c:pt idx="3">
                  <c:v>3432.6462515907801</c:v>
                </c:pt>
                <c:pt idx="4">
                  <c:v>3627.6205710918366</c:v>
                </c:pt>
                <c:pt idx="5">
                  <c:v>3801.0400442674086</c:v>
                </c:pt>
                <c:pt idx="6">
                  <c:v>4030.6357946721491</c:v>
                </c:pt>
              </c:numCache>
            </c:numRef>
          </c:val>
          <c:extLst>
            <c:ext xmlns:c16="http://schemas.microsoft.com/office/drawing/2014/chart" uri="{C3380CC4-5D6E-409C-BE32-E72D297353CC}">
              <c16:uniqueId val="{00000003-894E-4858-AE67-D9807BB8D274}"/>
            </c:ext>
          </c:extLst>
        </c:ser>
        <c:ser>
          <c:idx val="2"/>
          <c:order val="2"/>
          <c:tx>
            <c:strRef>
              <c:f>Sheet1!$D$1</c:f>
              <c:strCache>
                <c:ptCount val="1"/>
                <c:pt idx="0">
                  <c:v>Բյուջեի հաշվեկշիռ</c:v>
                </c:pt>
              </c:strCache>
            </c:strRef>
          </c:tx>
          <c:spPr>
            <a:solidFill>
              <a:srgbClr val="ED7D31"/>
            </a:solidFill>
            <a:ln w="31765" cap="rnd">
              <a:solidFill>
                <a:srgbClr val="ED7D31"/>
              </a:solidFill>
              <a:round/>
            </a:ln>
            <a:effectLst>
              <a:outerShdw blurRad="40000" dist="23000" dir="5400000" rotWithShape="0">
                <a:srgbClr val="000000">
                  <a:alpha val="35000"/>
                </a:srgbClr>
              </a:outerShdw>
            </a:effectLst>
          </c:spPr>
          <c:invertIfNegative val="0"/>
          <c:dLbls>
            <c:dLbl>
              <c:idx val="0"/>
              <c:layout>
                <c:manualLayout>
                  <c:x val="0"/>
                  <c:y val="5.3803590085220114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894E-4858-AE67-D9807BB8D274}"/>
                </c:ext>
              </c:extLst>
            </c:dLbl>
            <c:dLbl>
              <c:idx val="1"/>
              <c:layout>
                <c:manualLayout>
                  <c:x val="0"/>
                  <c:y val="2.5820801526022851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894E-4858-AE67-D9807BB8D274}"/>
                </c:ext>
              </c:extLst>
            </c:dLbl>
            <c:dLbl>
              <c:idx val="2"/>
              <c:layout>
                <c:manualLayout>
                  <c:x val="0"/>
                  <c:y val="8.2005526008278248E-3"/>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894E-4858-AE67-D9807BB8D274}"/>
                </c:ext>
              </c:extLst>
            </c:dLbl>
            <c:dLbl>
              <c:idx val="3"/>
              <c:layout>
                <c:manualLayout>
                  <c:x val="0"/>
                  <c:y val="1.5598050243719569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894E-4858-AE67-D9807BB8D274}"/>
                </c:ext>
              </c:extLst>
            </c:dLbl>
            <c:spPr>
              <a:noFill/>
              <a:ln>
                <a:noFill/>
              </a:ln>
              <a:effectLst/>
            </c:sp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Sheet1!$A$2:$A$13</c:f>
              <c:strCache>
                <c:ptCount val="7"/>
                <c:pt idx="0">
                  <c:v>2022</c:v>
                </c:pt>
                <c:pt idx="1">
                  <c:v>2023</c:v>
                </c:pt>
                <c:pt idx="2">
                  <c:v>2024</c:v>
                </c:pt>
                <c:pt idx="3">
                  <c:v>2025*</c:v>
                </c:pt>
                <c:pt idx="4">
                  <c:v>2026*</c:v>
                </c:pt>
                <c:pt idx="5">
                  <c:v>2027*</c:v>
                </c:pt>
                <c:pt idx="6">
                  <c:v>2028*</c:v>
                </c:pt>
              </c:strCache>
            </c:strRef>
          </c:cat>
          <c:val>
            <c:numRef>
              <c:f>Sheet1!$D$2:$D$13</c:f>
              <c:numCache>
                <c:formatCode>0.0</c:formatCode>
                <c:ptCount val="7"/>
                <c:pt idx="0">
                  <c:v>-179.53011098500019</c:v>
                </c:pt>
                <c:pt idx="1">
                  <c:v>-188.89126685029987</c:v>
                </c:pt>
                <c:pt idx="2">
                  <c:v>-376.08865918000038</c:v>
                </c:pt>
                <c:pt idx="3">
                  <c:v>-599.82201045129023</c:v>
                </c:pt>
                <c:pt idx="4">
                  <c:v>-536.76161980000006</c:v>
                </c:pt>
                <c:pt idx="5">
                  <c:v>-448.4456568999999</c:v>
                </c:pt>
                <c:pt idx="6">
                  <c:v>-392.42794260000028</c:v>
                </c:pt>
              </c:numCache>
            </c:numRef>
          </c:val>
          <c:extLst>
            <c:ext xmlns:c16="http://schemas.microsoft.com/office/drawing/2014/chart" uri="{C3380CC4-5D6E-409C-BE32-E72D297353CC}">
              <c16:uniqueId val="{00000008-894E-4858-AE67-D9807BB8D274}"/>
            </c:ext>
          </c:extLst>
        </c:ser>
        <c:dLbls>
          <c:showLegendKey val="0"/>
          <c:showVal val="0"/>
          <c:showCatName val="0"/>
          <c:showSerName val="0"/>
          <c:showPercent val="0"/>
          <c:showBubbleSize val="0"/>
        </c:dLbls>
        <c:gapWidth val="70"/>
        <c:axId val="665841664"/>
        <c:axId val="665843200"/>
      </c:barChart>
      <c:catAx>
        <c:axId val="665841664"/>
        <c:scaling>
          <c:orientation val="minMax"/>
        </c:scaling>
        <c:delete val="0"/>
        <c:axPos val="b"/>
        <c:numFmt formatCode="General" sourceLinked="1"/>
        <c:majorTickMark val="none"/>
        <c:minorTickMark val="none"/>
        <c:tickLblPos val="low"/>
        <c:spPr>
          <a:noFill/>
          <a:ln w="9530" cap="flat" cmpd="sng" algn="ctr">
            <a:solidFill>
              <a:schemeClr val="tx2">
                <a:lumMod val="15000"/>
                <a:lumOff val="85000"/>
              </a:schemeClr>
            </a:solidFill>
            <a:round/>
          </a:ln>
          <a:effectLst/>
        </c:spPr>
        <c:txPr>
          <a:bodyPr rot="-60000000" vert="horz"/>
          <a:lstStyle/>
          <a:p>
            <a:pPr>
              <a:defRPr/>
            </a:pPr>
            <a:endParaRPr lang="en-US"/>
          </a:p>
        </c:txPr>
        <c:crossAx val="665843200"/>
        <c:crosses val="autoZero"/>
        <c:auto val="1"/>
        <c:lblAlgn val="ctr"/>
        <c:lblOffset val="100"/>
        <c:noMultiLvlLbl val="0"/>
      </c:catAx>
      <c:valAx>
        <c:axId val="665843200"/>
        <c:scaling>
          <c:orientation val="minMax"/>
          <c:max val="5000"/>
          <c:min val="-1000"/>
        </c:scaling>
        <c:delete val="1"/>
        <c:axPos val="l"/>
        <c:numFmt formatCode="General" sourceLinked="1"/>
        <c:majorTickMark val="out"/>
        <c:minorTickMark val="none"/>
        <c:tickLblPos val="nextTo"/>
        <c:crossAx val="665841664"/>
        <c:crosses val="autoZero"/>
        <c:crossBetween val="between"/>
      </c:valAx>
      <c:spPr>
        <a:noFill/>
        <a:ln w="25412">
          <a:noFill/>
        </a:ln>
      </c:spPr>
    </c:plotArea>
    <c:legend>
      <c:legendPos val="b"/>
      <c:legendEntry>
        <c:idx val="0"/>
        <c:delete val="1"/>
      </c:legendEntry>
      <c:legendEntry>
        <c:idx val="1"/>
        <c:delete val="1"/>
      </c:legendEntry>
      <c:layout>
        <c:manualLayout>
          <c:xMode val="edge"/>
          <c:yMode val="edge"/>
          <c:x val="6.9922282441967479E-2"/>
          <c:y val="0.84062351133027891"/>
          <c:w val="0.89478746974809964"/>
          <c:h val="0.13717482354483673"/>
        </c:manualLayout>
      </c:layout>
      <c:overlay val="0"/>
    </c:legend>
    <c:plotVisOnly val="1"/>
    <c:dispBlanksAs val="gap"/>
    <c:showDLblsOverMax val="0"/>
  </c:chart>
  <c:spPr>
    <a:noFill/>
    <a:ln w="19050" cap="flat" cmpd="sng" algn="ctr">
      <a:solidFill>
        <a:sysClr val="window" lastClr="FFFFFF"/>
      </a:solidFill>
      <a:round/>
    </a:ln>
    <a:effectLst/>
  </c:spPr>
  <c:txPr>
    <a:bodyPr anchor="t" anchorCtr="0"/>
    <a:lstStyle/>
    <a:p>
      <a:pPr>
        <a:defRPr sz="700">
          <a:latin typeface="Calibri" panose="020F0502020204030204" pitchFamily="34" charset="0"/>
          <a:ea typeface="Calibri" panose="020F0502020204030204" pitchFamily="34" charset="0"/>
          <a:cs typeface="Calibri" panose="020F0502020204030204" pitchFamily="34" charset="0"/>
        </a:defRPr>
      </a:pPr>
      <a:endParaRPr lang="en-US"/>
    </a:p>
  </c:txPr>
  <c:externalData r:id="rId2">
    <c:autoUpdate val="0"/>
  </c:externalData>
</c:chartSpace>
</file>

<file path=word/charts/chart4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9.9123632273238574E-2"/>
          <c:y val="0.13815159714942754"/>
          <c:w val="0.85646777107407024"/>
          <c:h val="0.57958972233733941"/>
        </c:manualLayout>
      </c:layout>
      <c:barChart>
        <c:barDir val="col"/>
        <c:grouping val="clustered"/>
        <c:varyColors val="0"/>
        <c:ser>
          <c:idx val="0"/>
          <c:order val="0"/>
          <c:tx>
            <c:strRef>
              <c:f>Sheet1!$B$1</c:f>
              <c:strCache>
                <c:ptCount val="1"/>
                <c:pt idx="0">
                  <c:v>Եկամուտների ազդակ</c:v>
                </c:pt>
              </c:strCache>
            </c:strRef>
          </c:tx>
          <c:spPr>
            <a:solidFill>
              <a:srgbClr val="4472C4"/>
            </a:solidFill>
            <a:ln>
              <a:noFill/>
            </a:ln>
            <a:effectLst/>
          </c:spPr>
          <c:invertIfNegative val="0"/>
          <c:cat>
            <c:strRef>
              <c:f>Sheet1!$A$2:$A$13</c:f>
              <c:strCache>
                <c:ptCount val="7"/>
                <c:pt idx="0">
                  <c:v>2022</c:v>
                </c:pt>
                <c:pt idx="1">
                  <c:v>2023</c:v>
                </c:pt>
                <c:pt idx="2">
                  <c:v>2024</c:v>
                </c:pt>
                <c:pt idx="3">
                  <c:v>2025*</c:v>
                </c:pt>
                <c:pt idx="4">
                  <c:v>2026*</c:v>
                </c:pt>
                <c:pt idx="5">
                  <c:v>2027*</c:v>
                </c:pt>
                <c:pt idx="6">
                  <c:v>2028*</c:v>
                </c:pt>
              </c:strCache>
            </c:strRef>
          </c:cat>
          <c:val>
            <c:numRef>
              <c:f>Sheet1!$B$2:$B$13</c:f>
              <c:numCache>
                <c:formatCode>0.0</c:formatCode>
                <c:ptCount val="7"/>
                <c:pt idx="0">
                  <c:v>-0.30067710617345411</c:v>
                </c:pt>
                <c:pt idx="1">
                  <c:v>-0.73727570198101777</c:v>
                </c:pt>
                <c:pt idx="2">
                  <c:v>0.21717385881123963</c:v>
                </c:pt>
                <c:pt idx="3">
                  <c:v>-0.53054917683257918</c:v>
                </c:pt>
                <c:pt idx="4">
                  <c:v>-0.16356908188736091</c:v>
                </c:pt>
                <c:pt idx="5">
                  <c:v>-9.2201573540330831E-2</c:v>
                </c:pt>
                <c:pt idx="6">
                  <c:v>-3.9849231011484042E-2</c:v>
                </c:pt>
              </c:numCache>
            </c:numRef>
          </c:val>
          <c:extLst>
            <c:ext xmlns:c16="http://schemas.microsoft.com/office/drawing/2014/chart" uri="{C3380CC4-5D6E-409C-BE32-E72D297353CC}">
              <c16:uniqueId val="{00000000-8900-4EB6-B687-6130F926B5DA}"/>
            </c:ext>
          </c:extLst>
        </c:ser>
        <c:ser>
          <c:idx val="1"/>
          <c:order val="1"/>
          <c:tx>
            <c:strRef>
              <c:f>Sheet1!$C$1</c:f>
              <c:strCache>
                <c:ptCount val="1"/>
                <c:pt idx="0">
                  <c:v>Ծախսերի ազդակ</c:v>
                </c:pt>
              </c:strCache>
            </c:strRef>
          </c:tx>
          <c:spPr>
            <a:solidFill>
              <a:srgbClr val="ED7D31">
                <a:lumMod val="60000"/>
                <a:lumOff val="40000"/>
              </a:srgbClr>
            </a:solidFill>
            <a:ln>
              <a:noFill/>
            </a:ln>
            <a:effectLst/>
          </c:spPr>
          <c:invertIfNegative val="0"/>
          <c:cat>
            <c:strRef>
              <c:f>Sheet1!$A$2:$A$13</c:f>
              <c:strCache>
                <c:ptCount val="7"/>
                <c:pt idx="0">
                  <c:v>2022</c:v>
                </c:pt>
                <c:pt idx="1">
                  <c:v>2023</c:v>
                </c:pt>
                <c:pt idx="2">
                  <c:v>2024</c:v>
                </c:pt>
                <c:pt idx="3">
                  <c:v>2025*</c:v>
                </c:pt>
                <c:pt idx="4">
                  <c:v>2026*</c:v>
                </c:pt>
                <c:pt idx="5">
                  <c:v>2027*</c:v>
                </c:pt>
                <c:pt idx="6">
                  <c:v>2028*</c:v>
                </c:pt>
              </c:strCache>
            </c:strRef>
          </c:cat>
          <c:val>
            <c:numRef>
              <c:f>Sheet1!$C$2:$C$13</c:f>
              <c:numCache>
                <c:formatCode>0.0</c:formatCode>
                <c:ptCount val="7"/>
                <c:pt idx="0">
                  <c:v>-1.5332906257112207</c:v>
                </c:pt>
                <c:pt idx="1">
                  <c:v>-5.7057164442514172E-2</c:v>
                </c:pt>
                <c:pt idx="2">
                  <c:v>0.28664291548004367</c:v>
                </c:pt>
                <c:pt idx="3">
                  <c:v>0.80599655846125851</c:v>
                </c:pt>
                <c:pt idx="4">
                  <c:v>-5.3511931122562188E-2</c:v>
                </c:pt>
                <c:pt idx="5">
                  <c:v>-0.59029007787042109</c:v>
                </c:pt>
                <c:pt idx="6">
                  <c:v>-0.55464859704930314</c:v>
                </c:pt>
              </c:numCache>
            </c:numRef>
          </c:val>
          <c:extLst>
            <c:ext xmlns:c16="http://schemas.microsoft.com/office/drawing/2014/chart" uri="{C3380CC4-5D6E-409C-BE32-E72D297353CC}">
              <c16:uniqueId val="{00000001-8900-4EB6-B687-6130F926B5DA}"/>
            </c:ext>
          </c:extLst>
        </c:ser>
        <c:dLbls>
          <c:showLegendKey val="0"/>
          <c:showVal val="0"/>
          <c:showCatName val="0"/>
          <c:showSerName val="0"/>
          <c:showPercent val="0"/>
          <c:showBubbleSize val="0"/>
        </c:dLbls>
        <c:gapWidth val="150"/>
        <c:axId val="666198400"/>
        <c:axId val="666199936"/>
      </c:barChart>
      <c:lineChart>
        <c:grouping val="standard"/>
        <c:varyColors val="0"/>
        <c:ser>
          <c:idx val="2"/>
          <c:order val="2"/>
          <c:tx>
            <c:strRef>
              <c:f>Sheet1!$D$1</c:f>
              <c:strCache>
                <c:ptCount val="1"/>
                <c:pt idx="0">
                  <c:v>Հարկաբյուջետային ազդակ</c:v>
                </c:pt>
              </c:strCache>
            </c:strRef>
          </c:tx>
          <c:spPr>
            <a:ln w="28575" cap="rnd">
              <a:solidFill>
                <a:schemeClr val="accent3"/>
              </a:solidFill>
              <a:round/>
            </a:ln>
            <a:effectLst/>
          </c:spPr>
          <c:marker>
            <c:symbol val="circle"/>
            <c:size val="5"/>
            <c:spPr>
              <a:solidFill>
                <a:schemeClr val="accent3"/>
              </a:solidFill>
              <a:ln w="9525">
                <a:solidFill>
                  <a:schemeClr val="accent3"/>
                </a:solidFill>
              </a:ln>
              <a:effectLst/>
            </c:spPr>
          </c:marker>
          <c:dLbls>
            <c:spPr>
              <a:noFill/>
              <a:ln>
                <a:noFill/>
              </a:ln>
              <a:effectLst/>
            </c:spPr>
            <c:txPr>
              <a:bodyPr rot="0" spcFirstLastPara="1" vertOverflow="ellipsis" vert="horz" wrap="square" anchor="ctr" anchorCtr="1"/>
              <a:lstStyle/>
              <a:p>
                <a:pPr>
                  <a:defRPr sz="1050" b="1" i="0" u="none" strike="noStrike" kern="1200" baseline="0">
                    <a:solidFill>
                      <a:sysClr val="windowText" lastClr="000000"/>
                    </a:solidFill>
                    <a:latin typeface="Calibri" panose="020F0502020204030204" pitchFamily="34" charset="0"/>
                    <a:ea typeface="Calibri" panose="020F0502020204030204" pitchFamily="34" charset="0"/>
                    <a:cs typeface="Calibri" panose="020F0502020204030204" pitchFamily="34" charset="0"/>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Sheet1!$A$2:$A$13</c:f>
              <c:strCache>
                <c:ptCount val="7"/>
                <c:pt idx="0">
                  <c:v>2022</c:v>
                </c:pt>
                <c:pt idx="1">
                  <c:v>2023</c:v>
                </c:pt>
                <c:pt idx="2">
                  <c:v>2024</c:v>
                </c:pt>
                <c:pt idx="3">
                  <c:v>2025*</c:v>
                </c:pt>
                <c:pt idx="4">
                  <c:v>2026*</c:v>
                </c:pt>
                <c:pt idx="5">
                  <c:v>2027*</c:v>
                </c:pt>
                <c:pt idx="6">
                  <c:v>2028*</c:v>
                </c:pt>
              </c:strCache>
            </c:strRef>
          </c:cat>
          <c:val>
            <c:numRef>
              <c:f>Sheet1!$D$2:$D$13</c:f>
              <c:numCache>
                <c:formatCode>0.0</c:formatCode>
                <c:ptCount val="7"/>
                <c:pt idx="0">
                  <c:v>-1.8339677318846748</c:v>
                </c:pt>
                <c:pt idx="1">
                  <c:v>-0.79433286642353196</c:v>
                </c:pt>
                <c:pt idx="2">
                  <c:v>0.50381677429128335</c:v>
                </c:pt>
                <c:pt idx="3">
                  <c:v>0.27544738162867932</c:v>
                </c:pt>
                <c:pt idx="4">
                  <c:v>-0.21708101300992311</c:v>
                </c:pt>
                <c:pt idx="5">
                  <c:v>-0.68249165141075196</c:v>
                </c:pt>
                <c:pt idx="6">
                  <c:v>-0.59449782806078721</c:v>
                </c:pt>
              </c:numCache>
            </c:numRef>
          </c:val>
          <c:smooth val="0"/>
          <c:extLst>
            <c:ext xmlns:c16="http://schemas.microsoft.com/office/drawing/2014/chart" uri="{C3380CC4-5D6E-409C-BE32-E72D297353CC}">
              <c16:uniqueId val="{00000002-8900-4EB6-B687-6130F926B5DA}"/>
            </c:ext>
          </c:extLst>
        </c:ser>
        <c:dLbls>
          <c:showLegendKey val="0"/>
          <c:showVal val="0"/>
          <c:showCatName val="0"/>
          <c:showSerName val="0"/>
          <c:showPercent val="0"/>
          <c:showBubbleSize val="0"/>
        </c:dLbls>
        <c:marker val="1"/>
        <c:smooth val="0"/>
        <c:axId val="666198400"/>
        <c:axId val="666199936"/>
      </c:lineChart>
      <c:catAx>
        <c:axId val="666198400"/>
        <c:scaling>
          <c:orientation val="minMax"/>
        </c:scaling>
        <c:delete val="0"/>
        <c:axPos val="b"/>
        <c:numFmt formatCode="General" sourceLinked="1"/>
        <c:majorTickMark val="none"/>
        <c:minorTickMark val="none"/>
        <c:tickLblPos val="low"/>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50" b="0" i="0" u="none" strike="noStrike" kern="1200" baseline="0">
                <a:solidFill>
                  <a:sysClr val="windowText" lastClr="000000"/>
                </a:solidFill>
                <a:latin typeface="Calibri" panose="020F0502020204030204" pitchFamily="34" charset="0"/>
                <a:ea typeface="Calibri" panose="020F0502020204030204" pitchFamily="34" charset="0"/>
                <a:cs typeface="Calibri" panose="020F0502020204030204" pitchFamily="34" charset="0"/>
              </a:defRPr>
            </a:pPr>
            <a:endParaRPr lang="en-US"/>
          </a:p>
        </c:txPr>
        <c:crossAx val="666199936"/>
        <c:crosses val="autoZero"/>
        <c:auto val="1"/>
        <c:lblAlgn val="ctr"/>
        <c:lblOffset val="100"/>
        <c:noMultiLvlLbl val="0"/>
      </c:catAx>
      <c:valAx>
        <c:axId val="666199936"/>
        <c:scaling>
          <c:orientation val="minMax"/>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w="12700">
            <a:noFill/>
          </a:ln>
          <a:effectLst/>
        </c:spPr>
        <c:txPr>
          <a:bodyPr rot="-60000000" spcFirstLastPara="1" vertOverflow="ellipsis" vert="horz" wrap="square" anchor="ctr" anchorCtr="1"/>
          <a:lstStyle/>
          <a:p>
            <a:pPr>
              <a:defRPr sz="1050" b="0" i="0" u="none" strike="noStrike" kern="1200" baseline="0">
                <a:solidFill>
                  <a:schemeClr val="bg1">
                    <a:lumMod val="65000"/>
                  </a:schemeClr>
                </a:solidFill>
                <a:latin typeface="Calibri" panose="020F0502020204030204" pitchFamily="34" charset="0"/>
                <a:ea typeface="Calibri" panose="020F0502020204030204" pitchFamily="34" charset="0"/>
                <a:cs typeface="Calibri" panose="020F0502020204030204" pitchFamily="34" charset="0"/>
              </a:defRPr>
            </a:pPr>
            <a:endParaRPr lang="en-US"/>
          </a:p>
        </c:txPr>
        <c:crossAx val="666198400"/>
        <c:crosses val="autoZero"/>
        <c:crossBetween val="between"/>
        <c:majorUnit val="1"/>
      </c:valAx>
      <c:spPr>
        <a:noFill/>
        <a:ln>
          <a:noFill/>
        </a:ln>
        <a:effectLst/>
      </c:spPr>
    </c:plotArea>
    <c:legend>
      <c:legendPos val="b"/>
      <c:overlay val="0"/>
      <c:spPr>
        <a:noFill/>
        <a:ln>
          <a:noFill/>
        </a:ln>
        <a:effectLst/>
      </c:spPr>
      <c:txPr>
        <a:bodyPr rot="0" spcFirstLastPara="1" vertOverflow="ellipsis" vert="horz" wrap="square" anchor="ctr" anchorCtr="1"/>
        <a:lstStyle/>
        <a:p>
          <a:pPr>
            <a:defRPr sz="1050" b="0" i="0" u="none" strike="noStrike" kern="1200" baseline="0">
              <a:solidFill>
                <a:sysClr val="windowText" lastClr="000000"/>
              </a:solidFill>
              <a:latin typeface="Calibri" panose="020F0502020204030204" pitchFamily="34" charset="0"/>
              <a:ea typeface="Calibri" panose="020F0502020204030204" pitchFamily="34" charset="0"/>
              <a:cs typeface="Calibri" panose="020F0502020204030204" pitchFamily="34" charset="0"/>
            </a:defRPr>
          </a:pPr>
          <a:endParaRPr lang="en-US"/>
        </a:p>
      </c:txPr>
    </c:legend>
    <c:plotVisOnly val="1"/>
    <c:dispBlanksAs val="gap"/>
    <c:showDLblsOverMax val="0"/>
  </c:chart>
  <c:spPr>
    <a:noFill/>
    <a:ln w="19050" cap="flat" cmpd="sng" algn="ctr">
      <a:solidFill>
        <a:sysClr val="window" lastClr="FFFFFF"/>
      </a:solidFill>
      <a:round/>
    </a:ln>
    <a:effectLst/>
  </c:spPr>
  <c:txPr>
    <a:bodyPr/>
    <a:lstStyle/>
    <a:p>
      <a:pPr>
        <a:defRPr sz="1050">
          <a:solidFill>
            <a:sysClr val="windowText" lastClr="000000"/>
          </a:solidFill>
          <a:latin typeface="Calibri" panose="020F0502020204030204" pitchFamily="34" charset="0"/>
          <a:ea typeface="Calibri" panose="020F0502020204030204" pitchFamily="34" charset="0"/>
          <a:cs typeface="Calibri" panose="020F0502020204030204" pitchFamily="34" charset="0"/>
        </a:defRPr>
      </a:pPr>
      <a:endParaRPr lang="en-US"/>
    </a:p>
  </c:txPr>
  <c:externalData r:id="rId4">
    <c:autoUpdate val="0"/>
  </c:externalData>
</c:chartSpace>
</file>

<file path=word/charts/chart4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2982080812768812"/>
          <c:y val="0.10985102556624866"/>
          <c:w val="0.8257706331319018"/>
          <c:h val="0.48519551375522502"/>
        </c:manualLayout>
      </c:layout>
      <c:barChart>
        <c:barDir val="col"/>
        <c:grouping val="clustered"/>
        <c:varyColors val="0"/>
        <c:ser>
          <c:idx val="1"/>
          <c:order val="1"/>
          <c:tx>
            <c:strRef>
              <c:f>Sheet1!$C$1</c:f>
              <c:strCache>
                <c:ptCount val="1"/>
                <c:pt idx="0">
                  <c:v>Ոչ ֆին. ակիվ.գծով ծախսեր/ՀՆԱ%</c:v>
                </c:pt>
              </c:strCache>
            </c:strRef>
          </c:tx>
          <c:spPr>
            <a:solidFill>
              <a:schemeClr val="accent1"/>
            </a:solidFill>
            <a:ln>
              <a:noFill/>
            </a:ln>
            <a:effectLst/>
          </c:spPr>
          <c:invertIfNegative val="0"/>
          <c:dLbls>
            <c:spPr>
              <a:noFill/>
              <a:ln>
                <a:noFill/>
              </a:ln>
              <a:effectLst/>
            </c:spPr>
            <c:txPr>
              <a:bodyPr rot="0" spcFirstLastPara="1" vertOverflow="ellipsis" vert="horz" wrap="square" anchor="ctr" anchorCtr="1"/>
              <a:lstStyle/>
              <a:p>
                <a:pPr>
                  <a:defRPr sz="800" b="0" i="0" u="none" strike="noStrike" kern="1200" baseline="0">
                    <a:solidFill>
                      <a:sysClr val="windowText" lastClr="000000"/>
                    </a:solidFill>
                    <a:latin typeface="Calibri" panose="020F0502020204030204" pitchFamily="34" charset="0"/>
                    <a:ea typeface="Calibri" panose="020F0502020204030204" pitchFamily="34" charset="0"/>
                    <a:cs typeface="Calibri" panose="020F0502020204030204" pitchFamily="34" charset="0"/>
                  </a:defRPr>
                </a:pPr>
                <a:endParaRPr lang="en-US"/>
              </a:p>
            </c:txPr>
            <c:dLblPos val="inBase"/>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Sheet1!$A$2:$A$11</c:f>
              <c:numCache>
                <c:formatCode>0</c:formatCode>
                <c:ptCount val="7"/>
                <c:pt idx="0">
                  <c:v>2022</c:v>
                </c:pt>
                <c:pt idx="1">
                  <c:v>2023</c:v>
                </c:pt>
                <c:pt idx="2">
                  <c:v>2024</c:v>
                </c:pt>
                <c:pt idx="3">
                  <c:v>2025</c:v>
                </c:pt>
                <c:pt idx="4">
                  <c:v>2026</c:v>
                </c:pt>
                <c:pt idx="5">
                  <c:v>2027</c:v>
                </c:pt>
                <c:pt idx="6">
                  <c:v>2028</c:v>
                </c:pt>
              </c:numCache>
            </c:numRef>
          </c:cat>
          <c:val>
            <c:numRef>
              <c:f>Sheet1!$C$2:$C$11</c:f>
              <c:numCache>
                <c:formatCode>0.0</c:formatCode>
                <c:ptCount val="7"/>
                <c:pt idx="0">
                  <c:v>4.4744694274278718</c:v>
                </c:pt>
                <c:pt idx="1">
                  <c:v>4.9785497342890492</c:v>
                </c:pt>
                <c:pt idx="2">
                  <c:v>5.3140821524263799</c:v>
                </c:pt>
                <c:pt idx="3">
                  <c:v>6.6367737214682352</c:v>
                </c:pt>
                <c:pt idx="4">
                  <c:v>5.8999999998231178</c:v>
                </c:pt>
                <c:pt idx="5">
                  <c:v>5.5515894484843091</c:v>
                </c:pt>
                <c:pt idx="6">
                  <c:v>5.7155033618669844</c:v>
                </c:pt>
              </c:numCache>
            </c:numRef>
          </c:val>
          <c:extLst>
            <c:ext xmlns:c16="http://schemas.microsoft.com/office/drawing/2014/chart" uri="{C3380CC4-5D6E-409C-BE32-E72D297353CC}">
              <c16:uniqueId val="{00000000-B860-4129-81C7-D7A8686A2379}"/>
            </c:ext>
          </c:extLst>
        </c:ser>
        <c:dLbls>
          <c:showLegendKey val="0"/>
          <c:showVal val="0"/>
          <c:showCatName val="0"/>
          <c:showSerName val="0"/>
          <c:showPercent val="0"/>
          <c:showBubbleSize val="0"/>
        </c:dLbls>
        <c:gapWidth val="70"/>
        <c:axId val="666356736"/>
        <c:axId val="666448640"/>
      </c:barChart>
      <c:lineChart>
        <c:grouping val="standard"/>
        <c:varyColors val="0"/>
        <c:ser>
          <c:idx val="0"/>
          <c:order val="0"/>
          <c:tx>
            <c:strRef>
              <c:f>Sheet1!$B$1</c:f>
              <c:strCache>
                <c:ptCount val="1"/>
                <c:pt idx="0">
                  <c:v>Պակասուրդ/ՀՆԱ%</c:v>
                </c:pt>
              </c:strCache>
            </c:strRef>
          </c:tx>
          <c:spPr>
            <a:ln w="28575" cap="rnd">
              <a:solidFill>
                <a:schemeClr val="accent2"/>
              </a:solidFill>
              <a:round/>
            </a:ln>
            <a:effectLst/>
          </c:spPr>
          <c:marker>
            <c:symbol val="circle"/>
            <c:size val="5"/>
            <c:spPr>
              <a:solidFill>
                <a:schemeClr val="accent2"/>
              </a:solidFill>
              <a:ln w="9525">
                <a:noFill/>
              </a:ln>
              <a:effectLst/>
            </c:spPr>
          </c:marker>
          <c:dLbls>
            <c:dLbl>
              <c:idx val="0"/>
              <c:layout>
                <c:manualLayout>
                  <c:x val="-6.4230924505450135E-2"/>
                  <c:y val="-5.0211097153712005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B860-4129-81C7-D7A8686A2379}"/>
                </c:ext>
              </c:extLst>
            </c:dLbl>
            <c:spPr>
              <a:noFill/>
              <a:ln>
                <a:noFill/>
              </a:ln>
              <a:effectLst/>
            </c:spPr>
            <c:txPr>
              <a:bodyPr rot="0" spcFirstLastPara="1" vertOverflow="ellipsis" vert="horz" wrap="square" anchor="ctr" anchorCtr="1"/>
              <a:lstStyle/>
              <a:p>
                <a:pPr>
                  <a:defRPr sz="800" b="1" i="0" u="none" strike="noStrike" kern="1200" baseline="0">
                    <a:solidFill>
                      <a:sysClr val="windowText" lastClr="000000"/>
                    </a:solidFill>
                    <a:latin typeface="Calibri" panose="020F0502020204030204" pitchFamily="34" charset="0"/>
                    <a:ea typeface="Calibri" panose="020F0502020204030204" pitchFamily="34" charset="0"/>
                    <a:cs typeface="Calibri" panose="020F0502020204030204" pitchFamily="34" charset="0"/>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Sheet1!$A$2:$A$11</c:f>
              <c:numCache>
                <c:formatCode>0</c:formatCode>
                <c:ptCount val="7"/>
                <c:pt idx="0">
                  <c:v>2022</c:v>
                </c:pt>
                <c:pt idx="1">
                  <c:v>2023</c:v>
                </c:pt>
                <c:pt idx="2">
                  <c:v>2024</c:v>
                </c:pt>
                <c:pt idx="3">
                  <c:v>2025</c:v>
                </c:pt>
                <c:pt idx="4">
                  <c:v>2026</c:v>
                </c:pt>
                <c:pt idx="5">
                  <c:v>2027</c:v>
                </c:pt>
                <c:pt idx="6">
                  <c:v>2028</c:v>
                </c:pt>
              </c:numCache>
            </c:numRef>
          </c:cat>
          <c:val>
            <c:numRef>
              <c:f>Sheet1!$B$2:$B$11</c:f>
              <c:numCache>
                <c:formatCode>0.0</c:formatCode>
                <c:ptCount val="7"/>
                <c:pt idx="0">
                  <c:v>2.1117623133763717</c:v>
                </c:pt>
                <c:pt idx="1">
                  <c:v>1.9896339318445933</c:v>
                </c:pt>
                <c:pt idx="2">
                  <c:v>3.6895255232071276</c:v>
                </c:pt>
                <c:pt idx="3">
                  <c:v>5.4543817754924122</c:v>
                </c:pt>
                <c:pt idx="4">
                  <c:v>4.4978556070436566</c:v>
                </c:pt>
                <c:pt idx="5">
                  <c:v>3.4621539264799805</c:v>
                </c:pt>
                <c:pt idx="6">
                  <c:v>2.7929164171870768</c:v>
                </c:pt>
              </c:numCache>
            </c:numRef>
          </c:val>
          <c:smooth val="0"/>
          <c:extLst>
            <c:ext xmlns:c16="http://schemas.microsoft.com/office/drawing/2014/chart" uri="{C3380CC4-5D6E-409C-BE32-E72D297353CC}">
              <c16:uniqueId val="{00000002-B860-4129-81C7-D7A8686A2379}"/>
            </c:ext>
          </c:extLst>
        </c:ser>
        <c:dLbls>
          <c:showLegendKey val="0"/>
          <c:showVal val="0"/>
          <c:showCatName val="0"/>
          <c:showSerName val="0"/>
          <c:showPercent val="0"/>
          <c:showBubbleSize val="0"/>
        </c:dLbls>
        <c:marker val="1"/>
        <c:smooth val="0"/>
        <c:axId val="666356736"/>
        <c:axId val="666448640"/>
      </c:lineChart>
      <c:catAx>
        <c:axId val="666356736"/>
        <c:scaling>
          <c:orientation val="minMax"/>
        </c:scaling>
        <c:delete val="0"/>
        <c:axPos val="b"/>
        <c:numFmt formatCode="0" sourceLinked="1"/>
        <c:majorTickMark val="none"/>
        <c:minorTickMark val="none"/>
        <c:tickLblPos val="low"/>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ysClr val="windowText" lastClr="000000"/>
                </a:solidFill>
                <a:latin typeface="Calibri" panose="020F0502020204030204" pitchFamily="34" charset="0"/>
                <a:ea typeface="Calibri" panose="020F0502020204030204" pitchFamily="34" charset="0"/>
                <a:cs typeface="Calibri" panose="020F0502020204030204" pitchFamily="34" charset="0"/>
              </a:defRPr>
            </a:pPr>
            <a:endParaRPr lang="en-US"/>
          </a:p>
        </c:txPr>
        <c:crossAx val="666448640"/>
        <c:crosses val="autoZero"/>
        <c:auto val="1"/>
        <c:lblAlgn val="ctr"/>
        <c:lblOffset val="100"/>
        <c:noMultiLvlLbl val="0"/>
      </c:catAx>
      <c:valAx>
        <c:axId val="666448640"/>
        <c:scaling>
          <c:orientation val="minMax"/>
          <c:max val="8"/>
        </c:scaling>
        <c:delete val="0"/>
        <c:axPos val="l"/>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bg1">
                    <a:lumMod val="65000"/>
                  </a:schemeClr>
                </a:solidFill>
                <a:latin typeface="Calibri" panose="020F0502020204030204" pitchFamily="34" charset="0"/>
                <a:ea typeface="Calibri" panose="020F0502020204030204" pitchFamily="34" charset="0"/>
                <a:cs typeface="Calibri" panose="020F0502020204030204" pitchFamily="34" charset="0"/>
              </a:defRPr>
            </a:pPr>
            <a:endParaRPr lang="en-US"/>
          </a:p>
        </c:txPr>
        <c:crossAx val="666356736"/>
        <c:crosses val="autoZero"/>
        <c:crossBetween val="between"/>
      </c:valAx>
      <c:spPr>
        <a:noFill/>
        <a:ln>
          <a:noFill/>
        </a:ln>
        <a:effectLst/>
      </c:spPr>
    </c:plotArea>
    <c:legend>
      <c:legendPos val="b"/>
      <c:layout>
        <c:manualLayout>
          <c:xMode val="edge"/>
          <c:yMode val="edge"/>
          <c:x val="5.8291873963515754E-2"/>
          <c:y val="0.82670178380480219"/>
          <c:w val="0.92604166666666665"/>
          <c:h val="0.11156982113346943"/>
        </c:manualLayout>
      </c:layout>
      <c:overlay val="0"/>
      <c:spPr>
        <a:noFill/>
        <a:ln>
          <a:noFill/>
        </a:ln>
        <a:effectLst/>
      </c:spPr>
      <c:txPr>
        <a:bodyPr rot="0" spcFirstLastPara="1" vertOverflow="ellipsis" vert="horz" wrap="square" anchor="ctr" anchorCtr="1"/>
        <a:lstStyle/>
        <a:p>
          <a:pPr>
            <a:defRPr sz="700" b="0" i="0" u="none" strike="noStrike" kern="1200" baseline="0">
              <a:solidFill>
                <a:sysClr val="windowText" lastClr="000000"/>
              </a:solidFill>
              <a:latin typeface="Calibri" panose="020F0502020204030204" pitchFamily="34" charset="0"/>
              <a:ea typeface="Calibri" panose="020F0502020204030204" pitchFamily="34" charset="0"/>
              <a:cs typeface="Calibri" panose="020F0502020204030204" pitchFamily="34" charset="0"/>
            </a:defRPr>
          </a:pPr>
          <a:endParaRPr lang="en-US"/>
        </a:p>
      </c:txPr>
    </c:legend>
    <c:plotVisOnly val="1"/>
    <c:dispBlanksAs val="gap"/>
    <c:showDLblsOverMax val="0"/>
  </c:chart>
  <c:spPr>
    <a:noFill/>
    <a:ln w="19050" cap="flat" cmpd="sng" algn="ctr">
      <a:solidFill>
        <a:sysClr val="window" lastClr="FFFFFF"/>
      </a:solidFill>
      <a:round/>
    </a:ln>
    <a:effectLst/>
  </c:spPr>
  <c:txPr>
    <a:bodyPr/>
    <a:lstStyle/>
    <a:p>
      <a:pPr>
        <a:defRPr sz="800">
          <a:solidFill>
            <a:sysClr val="windowText" lastClr="000000"/>
          </a:solidFill>
          <a:latin typeface="Calibri" panose="020F0502020204030204" pitchFamily="34" charset="0"/>
          <a:ea typeface="Calibri" panose="020F0502020204030204" pitchFamily="34" charset="0"/>
          <a:cs typeface="Calibri" panose="020F0502020204030204" pitchFamily="34" charset="0"/>
        </a:defRPr>
      </a:pPr>
      <a:endParaRPr lang="en-US"/>
    </a:p>
  </c:txPr>
  <c:externalData r:id="rId4">
    <c:autoUpdate val="0"/>
  </c:externalData>
  <c:userShapes r:id="rId5"/>
</c:chartSpace>
</file>

<file path=word/charts/chart5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532362300089968"/>
          <c:y val="0.11476438709050257"/>
          <c:w val="0.77631370297462821"/>
          <c:h val="0.4628147176047438"/>
        </c:manualLayout>
      </c:layout>
      <c:barChart>
        <c:barDir val="col"/>
        <c:grouping val="clustered"/>
        <c:varyColors val="0"/>
        <c:ser>
          <c:idx val="0"/>
          <c:order val="0"/>
          <c:tx>
            <c:strRef>
              <c:f>Sheet1!$B$1</c:f>
              <c:strCache>
                <c:ptCount val="1"/>
                <c:pt idx="0">
                  <c:v>Ընթացիկ ծախսեր/ՀՆԱ%</c:v>
                </c:pt>
              </c:strCache>
            </c:strRef>
          </c:tx>
          <c:spPr>
            <a:solidFill>
              <a:schemeClr val="accent1"/>
            </a:solidFill>
            <a:ln>
              <a:noFill/>
            </a:ln>
            <a:effectLst/>
          </c:spPr>
          <c:invertIfNegative val="0"/>
          <c:dLbls>
            <c:spPr>
              <a:noFill/>
              <a:ln>
                <a:noFill/>
              </a:ln>
              <a:effectLst/>
            </c:spPr>
            <c:txPr>
              <a:bodyPr rot="0" spcFirstLastPara="1" vertOverflow="ellipsis" vert="horz" wrap="square" anchor="ctr" anchorCtr="1"/>
              <a:lstStyle/>
              <a:p>
                <a:pPr>
                  <a:defRPr sz="800" b="0" i="0" u="none" strike="noStrike" kern="1200" baseline="0">
                    <a:solidFill>
                      <a:sysClr val="windowText" lastClr="000000"/>
                    </a:solidFill>
                    <a:latin typeface="Calibri" panose="020F0502020204030204" pitchFamily="34" charset="0"/>
                    <a:ea typeface="Calibri" panose="020F0502020204030204" pitchFamily="34" charset="0"/>
                    <a:cs typeface="Calibri" panose="020F0502020204030204" pitchFamily="34" charset="0"/>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Sheet1!$A$2:$A$11</c:f>
              <c:numCache>
                <c:formatCode>0</c:formatCode>
                <c:ptCount val="7"/>
                <c:pt idx="0">
                  <c:v>2022</c:v>
                </c:pt>
                <c:pt idx="1">
                  <c:v>2023</c:v>
                </c:pt>
                <c:pt idx="2">
                  <c:v>2024</c:v>
                </c:pt>
                <c:pt idx="3">
                  <c:v>2025</c:v>
                </c:pt>
                <c:pt idx="4">
                  <c:v>2026</c:v>
                </c:pt>
                <c:pt idx="5">
                  <c:v>2027</c:v>
                </c:pt>
                <c:pt idx="6">
                  <c:v>2028</c:v>
                </c:pt>
              </c:numCache>
            </c:numRef>
          </c:cat>
          <c:val>
            <c:numRef>
              <c:f>Sheet1!$B$2:$B$11</c:f>
              <c:numCache>
                <c:formatCode>0.0</c:formatCode>
                <c:ptCount val="7"/>
                <c:pt idx="0">
                  <c:v>22.334263995415824</c:v>
                </c:pt>
                <c:pt idx="1">
                  <c:v>22.407200646439907</c:v>
                </c:pt>
                <c:pt idx="2">
                  <c:v>23.678348853303369</c:v>
                </c:pt>
                <c:pt idx="3">
                  <c:v>24.577424540950368</c:v>
                </c:pt>
                <c:pt idx="4">
                  <c:v>24.498062983875197</c:v>
                </c:pt>
                <c:pt idx="5">
                  <c:v>23.793740384652153</c:v>
                </c:pt>
                <c:pt idx="6">
                  <c:v>22.970600915157359</c:v>
                </c:pt>
              </c:numCache>
            </c:numRef>
          </c:val>
          <c:extLst>
            <c:ext xmlns:c16="http://schemas.microsoft.com/office/drawing/2014/chart" uri="{C3380CC4-5D6E-409C-BE32-E72D297353CC}">
              <c16:uniqueId val="{00000000-CD20-4794-B5F1-EEF14398CAFA}"/>
            </c:ext>
          </c:extLst>
        </c:ser>
        <c:dLbls>
          <c:showLegendKey val="0"/>
          <c:showVal val="0"/>
          <c:showCatName val="0"/>
          <c:showSerName val="0"/>
          <c:showPercent val="0"/>
          <c:showBubbleSize val="0"/>
        </c:dLbls>
        <c:gapWidth val="70"/>
        <c:overlap val="-27"/>
        <c:axId val="666334720"/>
        <c:axId val="666336256"/>
      </c:barChart>
      <c:lineChart>
        <c:grouping val="standard"/>
        <c:varyColors val="0"/>
        <c:ser>
          <c:idx val="1"/>
          <c:order val="1"/>
          <c:tx>
            <c:strRef>
              <c:f>Sheet1!$C$1</c:f>
              <c:strCache>
                <c:ptCount val="1"/>
                <c:pt idx="0">
                  <c:v>Հարկային եկամուտներ/ՀՆԱ%</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dLbls>
            <c:spPr>
              <a:noFill/>
              <a:ln>
                <a:noFill/>
              </a:ln>
              <a:effectLst/>
            </c:spPr>
            <c:txPr>
              <a:bodyPr rot="0" spcFirstLastPara="1" vertOverflow="ellipsis" vert="horz" wrap="square" anchor="ctr" anchorCtr="1"/>
              <a:lstStyle/>
              <a:p>
                <a:pPr>
                  <a:defRPr sz="800" b="1" i="0" u="none" strike="noStrike" kern="1200" baseline="0">
                    <a:solidFill>
                      <a:sysClr val="windowText" lastClr="000000"/>
                    </a:solidFill>
                    <a:latin typeface="Calibri" panose="020F0502020204030204" pitchFamily="34" charset="0"/>
                    <a:ea typeface="Calibri" panose="020F0502020204030204" pitchFamily="34" charset="0"/>
                    <a:cs typeface="Calibri" panose="020F0502020204030204" pitchFamily="34" charset="0"/>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Sheet1!$A$2:$A$11</c:f>
              <c:numCache>
                <c:formatCode>0</c:formatCode>
                <c:ptCount val="7"/>
                <c:pt idx="0">
                  <c:v>2022</c:v>
                </c:pt>
                <c:pt idx="1">
                  <c:v>2023</c:v>
                </c:pt>
                <c:pt idx="2">
                  <c:v>2024</c:v>
                </c:pt>
                <c:pt idx="3">
                  <c:v>2025</c:v>
                </c:pt>
                <c:pt idx="4">
                  <c:v>2026</c:v>
                </c:pt>
                <c:pt idx="5">
                  <c:v>2027</c:v>
                </c:pt>
                <c:pt idx="6">
                  <c:v>2028</c:v>
                </c:pt>
              </c:numCache>
            </c:numRef>
          </c:cat>
          <c:val>
            <c:numRef>
              <c:f>Sheet1!$C$2:$C$11</c:f>
              <c:numCache>
                <c:formatCode>0.0</c:formatCode>
                <c:ptCount val="7"/>
                <c:pt idx="0">
                  <c:v>23.08398862434467</c:v>
                </c:pt>
                <c:pt idx="1">
                  <c:v>23.954361743326533</c:v>
                </c:pt>
                <c:pt idx="2">
                  <c:v>23.455288364342422</c:v>
                </c:pt>
                <c:pt idx="3">
                  <c:v>24.464675858460101</c:v>
                </c:pt>
                <c:pt idx="4">
                  <c:v>24.9113441933779</c:v>
                </c:pt>
                <c:pt idx="5">
                  <c:v>25.052092253980401</c:v>
                </c:pt>
                <c:pt idx="6">
                  <c:v>25.150668703819601</c:v>
                </c:pt>
              </c:numCache>
            </c:numRef>
          </c:val>
          <c:smooth val="0"/>
          <c:extLst>
            <c:ext xmlns:c16="http://schemas.microsoft.com/office/drawing/2014/chart" uri="{C3380CC4-5D6E-409C-BE32-E72D297353CC}">
              <c16:uniqueId val="{00000001-CD20-4794-B5F1-EEF14398CAFA}"/>
            </c:ext>
          </c:extLst>
        </c:ser>
        <c:ser>
          <c:idx val="2"/>
          <c:order val="2"/>
          <c:tx>
            <c:strRef>
              <c:f>Sheet1!$D$1</c:f>
              <c:strCache>
                <c:ptCount val="1"/>
                <c:pt idx="0">
                  <c:v>Պահուստային ֆոնդ/ՀՆԱ</c:v>
                </c:pt>
              </c:strCache>
            </c:strRef>
          </c:tx>
          <c:spPr>
            <a:ln w="28575" cap="rnd">
              <a:solidFill>
                <a:schemeClr val="accent3"/>
              </a:solidFill>
              <a:round/>
            </a:ln>
            <a:effectLst/>
          </c:spPr>
          <c:marker>
            <c:symbol val="circle"/>
            <c:size val="5"/>
            <c:spPr>
              <a:solidFill>
                <a:schemeClr val="accent3"/>
              </a:solidFill>
              <a:ln w="9525">
                <a:solidFill>
                  <a:schemeClr val="accent3"/>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ysClr val="windowText" lastClr="000000"/>
                    </a:solidFill>
                    <a:latin typeface="Calibri" panose="020F0502020204030204" pitchFamily="34" charset="0"/>
                    <a:ea typeface="Calibri" panose="020F0502020204030204" pitchFamily="34" charset="0"/>
                    <a:cs typeface="Calibri" panose="020F0502020204030204" pitchFamily="34" charset="0"/>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Sheet1!$A$2:$A$11</c:f>
              <c:numCache>
                <c:formatCode>0</c:formatCode>
                <c:ptCount val="7"/>
                <c:pt idx="0">
                  <c:v>2022</c:v>
                </c:pt>
                <c:pt idx="1">
                  <c:v>2023</c:v>
                </c:pt>
                <c:pt idx="2">
                  <c:v>2024</c:v>
                </c:pt>
                <c:pt idx="3">
                  <c:v>2025</c:v>
                </c:pt>
                <c:pt idx="4">
                  <c:v>2026</c:v>
                </c:pt>
                <c:pt idx="5">
                  <c:v>2027</c:v>
                </c:pt>
                <c:pt idx="6">
                  <c:v>2028</c:v>
                </c:pt>
              </c:numCache>
            </c:numRef>
          </c:cat>
          <c:val>
            <c:numRef>
              <c:f>Sheet1!$D$2:$D$11</c:f>
            </c:numRef>
          </c:val>
          <c:smooth val="0"/>
          <c:extLst>
            <c:ext xmlns:c16="http://schemas.microsoft.com/office/drawing/2014/chart" uri="{C3380CC4-5D6E-409C-BE32-E72D297353CC}">
              <c16:uniqueId val="{00000002-CD20-4794-B5F1-EEF14398CAFA}"/>
            </c:ext>
          </c:extLst>
        </c:ser>
        <c:dLbls>
          <c:showLegendKey val="0"/>
          <c:showVal val="0"/>
          <c:showCatName val="0"/>
          <c:showSerName val="0"/>
          <c:showPercent val="0"/>
          <c:showBubbleSize val="0"/>
        </c:dLbls>
        <c:marker val="1"/>
        <c:smooth val="0"/>
        <c:axId val="666334720"/>
        <c:axId val="666336256"/>
      </c:lineChart>
      <c:catAx>
        <c:axId val="666334720"/>
        <c:scaling>
          <c:orientation val="minMax"/>
        </c:scaling>
        <c:delete val="0"/>
        <c:axPos val="b"/>
        <c:numFmt formatCode="0" sourceLinked="1"/>
        <c:majorTickMark val="none"/>
        <c:minorTickMark val="none"/>
        <c:tickLblPos val="low"/>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ysClr val="windowText" lastClr="000000"/>
                </a:solidFill>
                <a:latin typeface="Calibri" panose="020F0502020204030204" pitchFamily="34" charset="0"/>
                <a:ea typeface="Calibri" panose="020F0502020204030204" pitchFamily="34" charset="0"/>
                <a:cs typeface="Calibri" panose="020F0502020204030204" pitchFamily="34" charset="0"/>
              </a:defRPr>
            </a:pPr>
            <a:endParaRPr lang="en-US"/>
          </a:p>
        </c:txPr>
        <c:crossAx val="666336256"/>
        <c:crosses val="autoZero"/>
        <c:auto val="1"/>
        <c:lblAlgn val="ctr"/>
        <c:lblOffset val="100"/>
        <c:noMultiLvlLbl val="0"/>
      </c:catAx>
      <c:valAx>
        <c:axId val="666336256"/>
        <c:scaling>
          <c:orientation val="minMax"/>
        </c:scaling>
        <c:delete val="0"/>
        <c:axPos val="l"/>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bg1">
                    <a:lumMod val="65000"/>
                  </a:schemeClr>
                </a:solidFill>
                <a:latin typeface="Calibri" panose="020F0502020204030204" pitchFamily="34" charset="0"/>
                <a:ea typeface="Calibri" panose="020F0502020204030204" pitchFamily="34" charset="0"/>
                <a:cs typeface="Calibri" panose="020F0502020204030204" pitchFamily="34" charset="0"/>
              </a:defRPr>
            </a:pPr>
            <a:endParaRPr lang="en-US"/>
          </a:p>
        </c:txPr>
        <c:crossAx val="666334720"/>
        <c:crosses val="autoZero"/>
        <c:crossBetween val="between"/>
      </c:valAx>
      <c:spPr>
        <a:noFill/>
        <a:ln>
          <a:noFill/>
        </a:ln>
        <a:effectLst/>
      </c:spPr>
    </c:plotArea>
    <c:legend>
      <c:legendPos val="b"/>
      <c:layout>
        <c:manualLayout>
          <c:xMode val="edge"/>
          <c:yMode val="edge"/>
          <c:x val="9.9218066491688524E-3"/>
          <c:y val="0.80065859823077667"/>
          <c:w val="0.95709481627296589"/>
          <c:h val="0.15304510547292699"/>
        </c:manualLayout>
      </c:layout>
      <c:overlay val="0"/>
      <c:spPr>
        <a:noFill/>
        <a:ln>
          <a:noFill/>
        </a:ln>
        <a:effectLst/>
      </c:spPr>
      <c:txPr>
        <a:bodyPr rot="0" spcFirstLastPara="1" vertOverflow="ellipsis" vert="horz" wrap="square" anchor="ctr" anchorCtr="1"/>
        <a:lstStyle/>
        <a:p>
          <a:pPr>
            <a:defRPr sz="700" b="0" i="0" u="none" strike="noStrike" kern="1200" baseline="0">
              <a:solidFill>
                <a:sysClr val="windowText" lastClr="000000"/>
              </a:solidFill>
              <a:latin typeface="Calibri" panose="020F0502020204030204" pitchFamily="34" charset="0"/>
              <a:ea typeface="Calibri" panose="020F0502020204030204" pitchFamily="34" charset="0"/>
              <a:cs typeface="Calibri" panose="020F0502020204030204" pitchFamily="34" charset="0"/>
            </a:defRPr>
          </a:pPr>
          <a:endParaRPr lang="en-US"/>
        </a:p>
      </c:txPr>
    </c:legend>
    <c:plotVisOnly val="1"/>
    <c:dispBlanksAs val="gap"/>
    <c:showDLblsOverMax val="0"/>
  </c:chart>
  <c:spPr>
    <a:noFill/>
    <a:ln w="19050" cap="flat" cmpd="sng" algn="ctr">
      <a:solidFill>
        <a:sysClr val="window" lastClr="FFFFFF"/>
      </a:solidFill>
      <a:round/>
    </a:ln>
    <a:effectLst/>
  </c:spPr>
  <c:txPr>
    <a:bodyPr/>
    <a:lstStyle/>
    <a:p>
      <a:pPr>
        <a:defRPr sz="800">
          <a:solidFill>
            <a:sysClr val="windowText" lastClr="000000"/>
          </a:solidFill>
          <a:latin typeface="Calibri" panose="020F0502020204030204" pitchFamily="34" charset="0"/>
          <a:ea typeface="Calibri" panose="020F0502020204030204" pitchFamily="34" charset="0"/>
          <a:cs typeface="Calibri" panose="020F0502020204030204" pitchFamily="34" charset="0"/>
        </a:defRPr>
      </a:pPr>
      <a:endParaRPr lang="en-US"/>
    </a:p>
  </c:txPr>
  <c:externalData r:id="rId4">
    <c:autoUpdate val="0"/>
  </c:externalData>
  <c:userShapes r:id="rId5"/>
</c:chartSpace>
</file>

<file path=word/charts/chart5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lgn="l">
              <a:defRPr sz="700" b="1" i="0" u="none" strike="noStrike" kern="1200" baseline="0">
                <a:solidFill>
                  <a:schemeClr val="tx1"/>
                </a:solidFill>
                <a:latin typeface="+mn-lt"/>
                <a:ea typeface="Calibri" panose="020F0502020204030204" pitchFamily="34" charset="0"/>
                <a:cs typeface="Calibri" panose="020F0502020204030204" pitchFamily="34" charset="0"/>
              </a:defRPr>
            </a:pPr>
            <a:r>
              <a:rPr lang="en-US" sz="700">
                <a:latin typeface="GHEA Grapalat" panose="02000506050000020003" pitchFamily="50" charset="0"/>
              </a:rPr>
              <a:t>ՀՀ կ</a:t>
            </a:r>
            <a:r>
              <a:rPr lang="hy-AM" sz="700">
                <a:latin typeface="GHEA Grapalat" panose="02000506050000020003" pitchFamily="50" charset="0"/>
              </a:rPr>
              <a:t>առավարության պարտքի բեռի փոփոխությանը նպաստող գործոնները, </a:t>
            </a:r>
            <a:r>
              <a:rPr lang="en-US" sz="700">
                <a:latin typeface="GHEA Grapalat" panose="02000506050000020003" pitchFamily="50" charset="0"/>
              </a:rPr>
              <a:t>%-</a:t>
            </a:r>
            <a:r>
              <a:rPr lang="hy-AM" sz="700">
                <a:latin typeface="GHEA Grapalat" panose="02000506050000020003" pitchFamily="50" charset="0"/>
              </a:rPr>
              <a:t>ային կետ</a:t>
            </a:r>
            <a:endParaRPr lang="en-US" sz="700">
              <a:latin typeface="GHEA Grapalat" panose="02000506050000020003" pitchFamily="50" charset="0"/>
            </a:endParaRPr>
          </a:p>
        </c:rich>
      </c:tx>
      <c:layout>
        <c:manualLayout>
          <c:xMode val="edge"/>
          <c:yMode val="edge"/>
          <c:x val="8.4826303261163777E-2"/>
          <c:y val="3.4761154855643046E-3"/>
        </c:manualLayout>
      </c:layout>
      <c:overlay val="0"/>
      <c:spPr>
        <a:noFill/>
        <a:ln w="25384">
          <a:noFill/>
        </a:ln>
        <a:effectLst/>
      </c:spPr>
      <c:txPr>
        <a:bodyPr rot="0" spcFirstLastPara="1" vertOverflow="ellipsis" vert="horz" wrap="square" anchor="ctr" anchorCtr="1"/>
        <a:lstStyle/>
        <a:p>
          <a:pPr algn="l">
            <a:defRPr sz="700" b="1" i="0" u="none" strike="noStrike" kern="1200" baseline="0">
              <a:solidFill>
                <a:schemeClr val="tx1"/>
              </a:solidFill>
              <a:latin typeface="+mn-lt"/>
              <a:ea typeface="Calibri" panose="020F0502020204030204" pitchFamily="34" charset="0"/>
              <a:cs typeface="Calibri" panose="020F0502020204030204" pitchFamily="34" charset="0"/>
            </a:defRPr>
          </a:pPr>
          <a:endParaRPr lang="en-US"/>
        </a:p>
      </c:txPr>
    </c:title>
    <c:autoTitleDeleted val="0"/>
    <c:plotArea>
      <c:layout>
        <c:manualLayout>
          <c:layoutTarget val="inner"/>
          <c:xMode val="edge"/>
          <c:yMode val="edge"/>
          <c:x val="0.11882213353467802"/>
          <c:y val="0.21861594033419091"/>
          <c:w val="0.58534729057305346"/>
          <c:h val="0.64487445319335079"/>
        </c:manualLayout>
      </c:layout>
      <c:barChart>
        <c:barDir val="col"/>
        <c:grouping val="stacked"/>
        <c:varyColors val="0"/>
        <c:ser>
          <c:idx val="0"/>
          <c:order val="0"/>
          <c:tx>
            <c:strRef>
              <c:f>Sheet1!$B$1</c:f>
              <c:strCache>
                <c:ptCount val="1"/>
                <c:pt idx="0">
                  <c:v>Առաջնային պակասուրդ</c:v>
                </c:pt>
              </c:strCache>
            </c:strRef>
          </c:tx>
          <c:spPr>
            <a:solidFill>
              <a:schemeClr val="accent1"/>
            </a:solidFill>
            <a:ln>
              <a:noFill/>
            </a:ln>
            <a:effectLst/>
          </c:spPr>
          <c:invertIfNegative val="0"/>
          <c:cat>
            <c:numRef>
              <c:f>Sheet1!$A$2:$A$15</c:f>
              <c:numCache>
                <c:formatCode>General</c:formatCode>
                <c:ptCount val="7"/>
                <c:pt idx="0">
                  <c:v>2022</c:v>
                </c:pt>
                <c:pt idx="1">
                  <c:v>2023</c:v>
                </c:pt>
                <c:pt idx="2">
                  <c:v>2024</c:v>
                </c:pt>
                <c:pt idx="3">
                  <c:v>2025</c:v>
                </c:pt>
                <c:pt idx="4">
                  <c:v>2026</c:v>
                </c:pt>
                <c:pt idx="5">
                  <c:v>2027</c:v>
                </c:pt>
                <c:pt idx="6">
                  <c:v>2028</c:v>
                </c:pt>
              </c:numCache>
            </c:numRef>
          </c:cat>
          <c:val>
            <c:numRef>
              <c:f>Sheet1!$B$2:$B$15</c:f>
              <c:numCache>
                <c:formatCode>0.0</c:formatCode>
                <c:ptCount val="7"/>
                <c:pt idx="0">
                  <c:v>-0.37885727665999891</c:v>
                </c:pt>
                <c:pt idx="1">
                  <c:v>-0.85791597535707775</c:v>
                </c:pt>
                <c:pt idx="2">
                  <c:v>0.58398087241571595</c:v>
                </c:pt>
                <c:pt idx="3">
                  <c:v>1.9888470814133523</c:v>
                </c:pt>
                <c:pt idx="4">
                  <c:v>0.97909526072514841</c:v>
                </c:pt>
                <c:pt idx="5">
                  <c:v>-0.18562214755444145</c:v>
                </c:pt>
                <c:pt idx="6">
                  <c:v>-0.87429776606784837</c:v>
                </c:pt>
              </c:numCache>
            </c:numRef>
          </c:val>
          <c:extLst>
            <c:ext xmlns:c16="http://schemas.microsoft.com/office/drawing/2014/chart" uri="{C3380CC4-5D6E-409C-BE32-E72D297353CC}">
              <c16:uniqueId val="{00000000-91A6-4D82-B551-71029BF1A175}"/>
            </c:ext>
          </c:extLst>
        </c:ser>
        <c:ser>
          <c:idx val="1"/>
          <c:order val="1"/>
          <c:tx>
            <c:strRef>
              <c:f>Sheet1!$C$1</c:f>
              <c:strCache>
                <c:ptCount val="1"/>
                <c:pt idx="0">
                  <c:v>Իրական տոկոսադրույք</c:v>
                </c:pt>
              </c:strCache>
            </c:strRef>
          </c:tx>
          <c:spPr>
            <a:solidFill>
              <a:schemeClr val="accent3"/>
            </a:solidFill>
            <a:ln>
              <a:noFill/>
            </a:ln>
            <a:effectLst/>
          </c:spPr>
          <c:invertIfNegative val="0"/>
          <c:cat>
            <c:numRef>
              <c:f>Sheet1!$A$2:$A$15</c:f>
              <c:numCache>
                <c:formatCode>General</c:formatCode>
                <c:ptCount val="7"/>
                <c:pt idx="0">
                  <c:v>2022</c:v>
                </c:pt>
                <c:pt idx="1">
                  <c:v>2023</c:v>
                </c:pt>
                <c:pt idx="2">
                  <c:v>2024</c:v>
                </c:pt>
                <c:pt idx="3">
                  <c:v>2025</c:v>
                </c:pt>
                <c:pt idx="4">
                  <c:v>2026</c:v>
                </c:pt>
                <c:pt idx="5">
                  <c:v>2027</c:v>
                </c:pt>
                <c:pt idx="6">
                  <c:v>2028</c:v>
                </c:pt>
              </c:numCache>
            </c:numRef>
          </c:cat>
          <c:val>
            <c:numRef>
              <c:f>Sheet1!$C$2:$C$15</c:f>
              <c:numCache>
                <c:formatCode>0.0</c:formatCode>
                <c:ptCount val="7"/>
                <c:pt idx="0">
                  <c:v>-1.6238836096552529</c:v>
                </c:pt>
                <c:pt idx="1">
                  <c:v>1.5495398122351756</c:v>
                </c:pt>
                <c:pt idx="2">
                  <c:v>2.5860362945147903</c:v>
                </c:pt>
                <c:pt idx="3">
                  <c:v>2.3276072828430849</c:v>
                </c:pt>
                <c:pt idx="4">
                  <c:v>1.9675358757426624</c:v>
                </c:pt>
                <c:pt idx="5">
                  <c:v>1.9969461345137871</c:v>
                </c:pt>
                <c:pt idx="6">
                  <c:v>2.0249604048682643</c:v>
                </c:pt>
              </c:numCache>
            </c:numRef>
          </c:val>
          <c:extLst>
            <c:ext xmlns:c16="http://schemas.microsoft.com/office/drawing/2014/chart" uri="{C3380CC4-5D6E-409C-BE32-E72D297353CC}">
              <c16:uniqueId val="{00000001-91A6-4D82-B551-71029BF1A175}"/>
            </c:ext>
          </c:extLst>
        </c:ser>
        <c:ser>
          <c:idx val="2"/>
          <c:order val="2"/>
          <c:tx>
            <c:strRef>
              <c:f>Sheet1!$D$1</c:f>
              <c:strCache>
                <c:ptCount val="1"/>
                <c:pt idx="0">
                  <c:v>Իրական ՀՆԱ աճ</c:v>
                </c:pt>
              </c:strCache>
            </c:strRef>
          </c:tx>
          <c:spPr>
            <a:solidFill>
              <a:schemeClr val="accent5"/>
            </a:solidFill>
            <a:ln>
              <a:noFill/>
            </a:ln>
            <a:effectLst/>
          </c:spPr>
          <c:invertIfNegative val="0"/>
          <c:cat>
            <c:numRef>
              <c:f>Sheet1!$A$2:$A$15</c:f>
              <c:numCache>
                <c:formatCode>General</c:formatCode>
                <c:ptCount val="7"/>
                <c:pt idx="0">
                  <c:v>2022</c:v>
                </c:pt>
                <c:pt idx="1">
                  <c:v>2023</c:v>
                </c:pt>
                <c:pt idx="2">
                  <c:v>2024</c:v>
                </c:pt>
                <c:pt idx="3">
                  <c:v>2025</c:v>
                </c:pt>
                <c:pt idx="4">
                  <c:v>2026</c:v>
                </c:pt>
                <c:pt idx="5">
                  <c:v>2027</c:v>
                </c:pt>
                <c:pt idx="6">
                  <c:v>2028</c:v>
                </c:pt>
              </c:numCache>
            </c:numRef>
          </c:cat>
          <c:val>
            <c:numRef>
              <c:f>Sheet1!$D$2:$D$15</c:f>
              <c:numCache>
                <c:formatCode>0.0</c:formatCode>
                <c:ptCount val="7"/>
                <c:pt idx="0">
                  <c:v>-6.2472885197173937</c:v>
                </c:pt>
                <c:pt idx="1">
                  <c:v>-3.470987148475102</c:v>
                </c:pt>
                <c:pt idx="2">
                  <c:v>-2.6462652218820852</c:v>
                </c:pt>
                <c:pt idx="3">
                  <c:v>-2.3112835168930967</c:v>
                </c:pt>
                <c:pt idx="4">
                  <c:v>-2.4455796509287113</c:v>
                </c:pt>
                <c:pt idx="5">
                  <c:v>-2.6200632644774262</c:v>
                </c:pt>
                <c:pt idx="6">
                  <c:v>-2.6308826342312419</c:v>
                </c:pt>
              </c:numCache>
            </c:numRef>
          </c:val>
          <c:extLst>
            <c:ext xmlns:c16="http://schemas.microsoft.com/office/drawing/2014/chart" uri="{C3380CC4-5D6E-409C-BE32-E72D297353CC}">
              <c16:uniqueId val="{00000002-91A6-4D82-B551-71029BF1A175}"/>
            </c:ext>
          </c:extLst>
        </c:ser>
        <c:ser>
          <c:idx val="3"/>
          <c:order val="3"/>
          <c:tx>
            <c:strRef>
              <c:f>Sheet1!$E$1</c:f>
              <c:strCache>
                <c:ptCount val="1"/>
                <c:pt idx="0">
                  <c:v>Փոխարժեքի արժեզրկում</c:v>
                </c:pt>
              </c:strCache>
            </c:strRef>
          </c:tx>
          <c:spPr>
            <a:solidFill>
              <a:schemeClr val="accent1">
                <a:lumMod val="60000"/>
              </a:schemeClr>
            </a:solidFill>
            <a:ln>
              <a:noFill/>
            </a:ln>
            <a:effectLst/>
          </c:spPr>
          <c:invertIfNegative val="0"/>
          <c:cat>
            <c:numRef>
              <c:f>Sheet1!$A$2:$A$15</c:f>
              <c:numCache>
                <c:formatCode>General</c:formatCode>
                <c:ptCount val="7"/>
                <c:pt idx="0">
                  <c:v>2022</c:v>
                </c:pt>
                <c:pt idx="1">
                  <c:v>2023</c:v>
                </c:pt>
                <c:pt idx="2">
                  <c:v>2024</c:v>
                </c:pt>
                <c:pt idx="3">
                  <c:v>2025</c:v>
                </c:pt>
                <c:pt idx="4">
                  <c:v>2026</c:v>
                </c:pt>
                <c:pt idx="5">
                  <c:v>2027</c:v>
                </c:pt>
                <c:pt idx="6">
                  <c:v>2028</c:v>
                </c:pt>
              </c:numCache>
            </c:numRef>
          </c:cat>
          <c:val>
            <c:numRef>
              <c:f>Sheet1!$E$2:$E$15</c:f>
              <c:numCache>
                <c:formatCode>0.0</c:formatCode>
                <c:ptCount val="7"/>
                <c:pt idx="0">
                  <c:v>-11.08439534939259</c:v>
                </c:pt>
                <c:pt idx="1">
                  <c:v>1.8650974367306039</c:v>
                </c:pt>
                <c:pt idx="2">
                  <c:v>-1.0628476267071705</c:v>
                </c:pt>
                <c:pt idx="3">
                  <c:v>0.41687994585438953</c:v>
                </c:pt>
                <c:pt idx="4">
                  <c:v>2.051225698022856</c:v>
                </c:pt>
                <c:pt idx="5">
                  <c:v>1.4348644359134586</c:v>
                </c:pt>
                <c:pt idx="6">
                  <c:v>0.45789886489388115</c:v>
                </c:pt>
              </c:numCache>
            </c:numRef>
          </c:val>
          <c:extLst>
            <c:ext xmlns:c16="http://schemas.microsoft.com/office/drawing/2014/chart" uri="{C3380CC4-5D6E-409C-BE32-E72D297353CC}">
              <c16:uniqueId val="{00000003-91A6-4D82-B551-71029BF1A175}"/>
            </c:ext>
          </c:extLst>
        </c:ser>
        <c:ser>
          <c:idx val="4"/>
          <c:order val="4"/>
          <c:tx>
            <c:strRef>
              <c:f>Sheet1!$F$1</c:f>
              <c:strCache>
                <c:ptCount val="1"/>
                <c:pt idx="0">
                  <c:v>Պարտք ձևավորող այլ հոսքեր</c:v>
                </c:pt>
              </c:strCache>
            </c:strRef>
          </c:tx>
          <c:spPr>
            <a:solidFill>
              <a:schemeClr val="accent2">
                <a:lumMod val="60000"/>
                <a:lumOff val="40000"/>
              </a:schemeClr>
            </a:solidFill>
            <a:ln>
              <a:noFill/>
            </a:ln>
            <a:effectLst/>
          </c:spPr>
          <c:invertIfNegative val="0"/>
          <c:cat>
            <c:numRef>
              <c:f>Sheet1!$A$2:$A$15</c:f>
              <c:numCache>
                <c:formatCode>General</c:formatCode>
                <c:ptCount val="7"/>
                <c:pt idx="0">
                  <c:v>2022</c:v>
                </c:pt>
                <c:pt idx="1">
                  <c:v>2023</c:v>
                </c:pt>
                <c:pt idx="2">
                  <c:v>2024</c:v>
                </c:pt>
                <c:pt idx="3">
                  <c:v>2025</c:v>
                </c:pt>
                <c:pt idx="4">
                  <c:v>2026</c:v>
                </c:pt>
                <c:pt idx="5">
                  <c:v>2027</c:v>
                </c:pt>
                <c:pt idx="6">
                  <c:v>2028</c:v>
                </c:pt>
              </c:numCache>
            </c:numRef>
          </c:cat>
          <c:val>
            <c:numRef>
              <c:f>Sheet1!$F$2:$F$15</c:f>
              <c:numCache>
                <c:formatCode>0.0</c:formatCode>
                <c:ptCount val="7"/>
                <c:pt idx="0">
                  <c:v>1.9356766900099158</c:v>
                </c:pt>
                <c:pt idx="1">
                  <c:v>1.7278860859867233</c:v>
                </c:pt>
                <c:pt idx="2">
                  <c:v>9.7149910313180404E-2</c:v>
                </c:pt>
                <c:pt idx="3">
                  <c:v>0.33822059541753335</c:v>
                </c:pt>
                <c:pt idx="4">
                  <c:v>0.33380031855135994</c:v>
                </c:pt>
                <c:pt idx="5">
                  <c:v>0.40993110663660504</c:v>
                </c:pt>
                <c:pt idx="6">
                  <c:v>0.93688117852756525</c:v>
                </c:pt>
              </c:numCache>
            </c:numRef>
          </c:val>
          <c:extLst>
            <c:ext xmlns:c16="http://schemas.microsoft.com/office/drawing/2014/chart" uri="{C3380CC4-5D6E-409C-BE32-E72D297353CC}">
              <c16:uniqueId val="{00000004-91A6-4D82-B551-71029BF1A175}"/>
            </c:ext>
          </c:extLst>
        </c:ser>
        <c:ser>
          <c:idx val="5"/>
          <c:order val="5"/>
          <c:tx>
            <c:strRef>
              <c:f>Sheet1!$G$1</c:f>
              <c:strCache>
                <c:ptCount val="1"/>
                <c:pt idx="0">
                  <c:v>Մնացորդ</c:v>
                </c:pt>
              </c:strCache>
            </c:strRef>
          </c:tx>
          <c:spPr>
            <a:solidFill>
              <a:schemeClr val="accent5">
                <a:lumMod val="60000"/>
              </a:schemeClr>
            </a:solidFill>
            <a:ln>
              <a:noFill/>
            </a:ln>
            <a:effectLst/>
          </c:spPr>
          <c:invertIfNegative val="0"/>
          <c:cat>
            <c:numRef>
              <c:f>Sheet1!$A$2:$A$15</c:f>
              <c:numCache>
                <c:formatCode>General</c:formatCode>
                <c:ptCount val="7"/>
                <c:pt idx="0">
                  <c:v>2022</c:v>
                </c:pt>
                <c:pt idx="1">
                  <c:v>2023</c:v>
                </c:pt>
                <c:pt idx="2">
                  <c:v>2024</c:v>
                </c:pt>
                <c:pt idx="3">
                  <c:v>2025</c:v>
                </c:pt>
                <c:pt idx="4">
                  <c:v>2026</c:v>
                </c:pt>
                <c:pt idx="5">
                  <c:v>2027</c:v>
                </c:pt>
                <c:pt idx="6">
                  <c:v>2028</c:v>
                </c:pt>
              </c:numCache>
            </c:numRef>
          </c:cat>
          <c:val>
            <c:numRef>
              <c:f>Sheet1!$G$2:$G$15</c:f>
              <c:numCache>
                <c:formatCode>0.0</c:formatCode>
                <c:ptCount val="7"/>
                <c:pt idx="0">
                  <c:v>3.8057758851526202</c:v>
                </c:pt>
                <c:pt idx="1">
                  <c:v>0.65577255302000759</c:v>
                </c:pt>
                <c:pt idx="2">
                  <c:v>0.27832683957267401</c:v>
                </c:pt>
                <c:pt idx="3">
                  <c:v>-1.2165236106444537</c:v>
                </c:pt>
                <c:pt idx="4">
                  <c:v>0.44773620707639683</c:v>
                </c:pt>
                <c:pt idx="5">
                  <c:v>-0.24546437262570686</c:v>
                </c:pt>
                <c:pt idx="6">
                  <c:v>0.10912583155639655</c:v>
                </c:pt>
              </c:numCache>
            </c:numRef>
          </c:val>
          <c:extLst>
            <c:ext xmlns:c16="http://schemas.microsoft.com/office/drawing/2014/chart" uri="{C3380CC4-5D6E-409C-BE32-E72D297353CC}">
              <c16:uniqueId val="{00000005-91A6-4D82-B551-71029BF1A175}"/>
            </c:ext>
          </c:extLst>
        </c:ser>
        <c:dLbls>
          <c:showLegendKey val="0"/>
          <c:showVal val="0"/>
          <c:showCatName val="0"/>
          <c:showSerName val="0"/>
          <c:showPercent val="0"/>
          <c:showBubbleSize val="0"/>
        </c:dLbls>
        <c:gapWidth val="81"/>
        <c:overlap val="100"/>
        <c:axId val="667022464"/>
        <c:axId val="667024384"/>
      </c:barChart>
      <c:lineChart>
        <c:grouping val="standard"/>
        <c:varyColors val="0"/>
        <c:ser>
          <c:idx val="6"/>
          <c:order val="6"/>
          <c:tx>
            <c:strRef>
              <c:f>Sheet1!$H$1</c:f>
              <c:strCache>
                <c:ptCount val="1"/>
                <c:pt idx="0">
                  <c:v>Պարտք/ՀՆԱ փոփոխություն, %-ային կետ </c:v>
                </c:pt>
              </c:strCache>
            </c:strRef>
          </c:tx>
          <c:spPr>
            <a:ln w="19050" cap="rnd" cmpd="sng" algn="ctr">
              <a:solidFill>
                <a:schemeClr val="accent1">
                  <a:lumMod val="80000"/>
                  <a:lumOff val="20000"/>
                </a:schemeClr>
              </a:solidFill>
              <a:prstDash val="solid"/>
              <a:round/>
            </a:ln>
            <a:effectLst/>
          </c:spPr>
          <c:marker>
            <c:symbol val="circle"/>
            <c:size val="4"/>
            <c:spPr>
              <a:solidFill>
                <a:schemeClr val="accent1">
                  <a:lumMod val="80000"/>
                  <a:lumOff val="20000"/>
                </a:schemeClr>
              </a:solidFill>
              <a:ln w="6350" cap="flat" cmpd="sng" algn="ctr">
                <a:solidFill>
                  <a:schemeClr val="accent1">
                    <a:lumMod val="80000"/>
                    <a:lumOff val="20000"/>
                  </a:schemeClr>
                </a:solidFill>
                <a:prstDash val="solid"/>
                <a:round/>
              </a:ln>
              <a:effectLst/>
            </c:spPr>
          </c:marker>
          <c:cat>
            <c:numRef>
              <c:f>Sheet1!$A$2:$A$15</c:f>
              <c:numCache>
                <c:formatCode>General</c:formatCode>
                <c:ptCount val="7"/>
                <c:pt idx="0">
                  <c:v>2022</c:v>
                </c:pt>
                <c:pt idx="1">
                  <c:v>2023</c:v>
                </c:pt>
                <c:pt idx="2">
                  <c:v>2024</c:v>
                </c:pt>
                <c:pt idx="3">
                  <c:v>2025</c:v>
                </c:pt>
                <c:pt idx="4">
                  <c:v>2026</c:v>
                </c:pt>
                <c:pt idx="5">
                  <c:v>2027</c:v>
                </c:pt>
                <c:pt idx="6">
                  <c:v>2028</c:v>
                </c:pt>
              </c:numCache>
            </c:numRef>
          </c:cat>
          <c:val>
            <c:numRef>
              <c:f>Sheet1!$H$2:$H$15</c:f>
              <c:numCache>
                <c:formatCode>0.0</c:formatCode>
                <c:ptCount val="7"/>
                <c:pt idx="0">
                  <c:v>-13.592972180262699</c:v>
                </c:pt>
                <c:pt idx="1">
                  <c:v>1.4693927641403306</c:v>
                </c:pt>
                <c:pt idx="2">
                  <c:v>-0.16361893177289488</c:v>
                </c:pt>
                <c:pt idx="3">
                  <c:v>1.5437477779908093</c:v>
                </c:pt>
                <c:pt idx="4">
                  <c:v>3.3338137091897124</c:v>
                </c:pt>
                <c:pt idx="5">
                  <c:v>0.79059189240627603</c:v>
                </c:pt>
                <c:pt idx="6">
                  <c:v>2.3685879547016953E-2</c:v>
                </c:pt>
              </c:numCache>
            </c:numRef>
          </c:val>
          <c:smooth val="0"/>
          <c:extLst>
            <c:ext xmlns:c16="http://schemas.microsoft.com/office/drawing/2014/chart" uri="{C3380CC4-5D6E-409C-BE32-E72D297353CC}">
              <c16:uniqueId val="{00000006-91A6-4D82-B551-71029BF1A175}"/>
            </c:ext>
          </c:extLst>
        </c:ser>
        <c:dLbls>
          <c:showLegendKey val="0"/>
          <c:showVal val="0"/>
          <c:showCatName val="0"/>
          <c:showSerName val="0"/>
          <c:showPercent val="0"/>
          <c:showBubbleSize val="0"/>
        </c:dLbls>
        <c:marker val="1"/>
        <c:smooth val="0"/>
        <c:axId val="667022464"/>
        <c:axId val="667024384"/>
      </c:lineChart>
      <c:catAx>
        <c:axId val="667022464"/>
        <c:scaling>
          <c:orientation val="minMax"/>
        </c:scaling>
        <c:delete val="0"/>
        <c:axPos val="b"/>
        <c:numFmt formatCode="General" sourceLinked="1"/>
        <c:majorTickMark val="none"/>
        <c:minorTickMark val="none"/>
        <c:tickLblPos val="low"/>
        <c:spPr>
          <a:noFill/>
          <a:ln w="9519" cap="flat" cmpd="sng" algn="ctr">
            <a:solidFill>
              <a:schemeClr val="tx1">
                <a:lumMod val="15000"/>
                <a:lumOff val="85000"/>
              </a:schemeClr>
            </a:solidFill>
            <a:prstDash val="solid"/>
            <a:round/>
          </a:ln>
          <a:effectLst/>
        </c:spPr>
        <c:txPr>
          <a:bodyPr rot="-60000000" spcFirstLastPara="1" vertOverflow="ellipsis" vert="horz" wrap="square" anchor="ctr" anchorCtr="1"/>
          <a:lstStyle/>
          <a:p>
            <a:pPr>
              <a:defRPr sz="800" b="1" i="0" u="none" strike="noStrike" kern="1200" baseline="0">
                <a:solidFill>
                  <a:schemeClr val="tx1"/>
                </a:solidFill>
                <a:latin typeface="Calibri" panose="020F0502020204030204" pitchFamily="34" charset="0"/>
                <a:ea typeface="Calibri" panose="020F0502020204030204" pitchFamily="34" charset="0"/>
                <a:cs typeface="Calibri" panose="020F0502020204030204" pitchFamily="34" charset="0"/>
              </a:defRPr>
            </a:pPr>
            <a:endParaRPr lang="en-US"/>
          </a:p>
        </c:txPr>
        <c:crossAx val="667024384"/>
        <c:crosses val="autoZero"/>
        <c:auto val="1"/>
        <c:lblAlgn val="ctr"/>
        <c:lblOffset val="100"/>
        <c:noMultiLvlLbl val="0"/>
      </c:catAx>
      <c:valAx>
        <c:axId val="667024384"/>
        <c:scaling>
          <c:orientation val="minMax"/>
          <c:min val="-20"/>
        </c:scaling>
        <c:delete val="0"/>
        <c:axPos val="l"/>
        <c:majorGridlines>
          <c:spPr>
            <a:ln w="9519" cap="flat" cmpd="sng" algn="ctr">
              <a:solidFill>
                <a:schemeClr val="tx1">
                  <a:lumMod val="15000"/>
                  <a:lumOff val="85000"/>
                </a:schemeClr>
              </a:solidFill>
              <a:prstDash val="solid"/>
              <a:round/>
            </a:ln>
            <a:effectLst/>
          </c:spPr>
        </c:majorGridlines>
        <c:numFmt formatCode="0.0" sourceLinked="1"/>
        <c:majorTickMark val="none"/>
        <c:minorTickMark val="none"/>
        <c:tickLblPos val="nextTo"/>
        <c:spPr>
          <a:noFill/>
          <a:ln w="9519" cap="flat" cmpd="sng" algn="ctr">
            <a:noFill/>
            <a:prstDash val="solid"/>
            <a:round/>
          </a:ln>
          <a:effectLst/>
        </c:spPr>
        <c:txPr>
          <a:bodyPr rot="-60000000" spcFirstLastPara="1" vertOverflow="ellipsis" vert="horz" wrap="square" anchor="ctr" anchorCtr="1"/>
          <a:lstStyle/>
          <a:p>
            <a:pPr>
              <a:defRPr sz="800" b="0" i="0" u="none" strike="noStrike" kern="1200" baseline="0">
                <a:solidFill>
                  <a:schemeClr val="bg1">
                    <a:lumMod val="65000"/>
                  </a:schemeClr>
                </a:solidFill>
                <a:latin typeface="Calibri" panose="020F0502020204030204" pitchFamily="34" charset="0"/>
                <a:ea typeface="Calibri" panose="020F0502020204030204" pitchFamily="34" charset="0"/>
                <a:cs typeface="Calibri" panose="020F0502020204030204" pitchFamily="34" charset="0"/>
              </a:defRPr>
            </a:pPr>
            <a:endParaRPr lang="en-US"/>
          </a:p>
        </c:txPr>
        <c:crossAx val="667022464"/>
        <c:crosses val="autoZero"/>
        <c:crossBetween val="between"/>
        <c:majorUnit val="10"/>
      </c:valAx>
      <c:spPr>
        <a:noFill/>
        <a:ln w="25384">
          <a:noFill/>
        </a:ln>
        <a:effectLst/>
      </c:spPr>
    </c:plotArea>
    <c:legend>
      <c:legendPos val="r"/>
      <c:layout>
        <c:manualLayout>
          <c:xMode val="edge"/>
          <c:yMode val="edge"/>
          <c:x val="0.69856770833333337"/>
          <c:y val="0.2172664041994751"/>
          <c:w val="0.27539062500000006"/>
          <c:h val="0.64810586176727902"/>
        </c:manualLayout>
      </c:layout>
      <c:overlay val="0"/>
      <c:spPr>
        <a:noFill/>
        <a:ln>
          <a:noFill/>
        </a:ln>
        <a:effectLst/>
      </c:spPr>
      <c:txPr>
        <a:bodyPr rot="0" spcFirstLastPara="1" vertOverflow="ellipsis" vert="horz" wrap="square" anchor="ctr" anchorCtr="1"/>
        <a:lstStyle/>
        <a:p>
          <a:pPr>
            <a:defRPr sz="500" b="0" i="0" u="none" strike="noStrike" kern="1200" baseline="0">
              <a:solidFill>
                <a:schemeClr val="tx1"/>
              </a:solidFill>
              <a:latin typeface="Calibri" panose="020F0502020204030204" pitchFamily="34" charset="0"/>
              <a:ea typeface="Calibri" panose="020F0502020204030204" pitchFamily="34" charset="0"/>
              <a:cs typeface="Calibri" panose="020F0502020204030204" pitchFamily="34" charset="0"/>
            </a:defRPr>
          </a:pPr>
          <a:endParaRPr lang="en-US"/>
        </a:p>
      </c:txPr>
    </c:legend>
    <c:plotVisOnly val="1"/>
    <c:dispBlanksAs val="gap"/>
    <c:showDLblsOverMax val="0"/>
  </c:chart>
  <c:spPr>
    <a:noFill/>
    <a:ln w="19050" cap="flat" cmpd="sng" algn="ctr">
      <a:solidFill>
        <a:schemeClr val="bg1"/>
      </a:solidFill>
      <a:prstDash val="solid"/>
      <a:round/>
    </a:ln>
    <a:effectLst/>
  </c:spPr>
  <c:txPr>
    <a:bodyPr/>
    <a:lstStyle/>
    <a:p>
      <a:pPr>
        <a:defRPr sz="800">
          <a:latin typeface="Calibri" panose="020F0502020204030204" pitchFamily="34" charset="0"/>
          <a:ea typeface="Calibri" panose="020F0502020204030204" pitchFamily="34" charset="0"/>
          <a:cs typeface="Calibri" panose="020F0502020204030204" pitchFamily="34" charset="0"/>
        </a:defRPr>
      </a:pPr>
      <a:endParaRPr lang="en-US"/>
    </a:p>
  </c:txPr>
  <c:externalData r:id="rId4">
    <c:autoUpdate val="0"/>
  </c:externalData>
  <c:userShapes r:id="rId5"/>
</c:chartSpace>
</file>

<file path=word/charts/chart5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vert="horz"/>
          <a:lstStyle/>
          <a:p>
            <a:pPr>
              <a:defRPr/>
            </a:pPr>
            <a:r>
              <a:rPr lang="en-US" sz="800">
                <a:latin typeface="GHEA Grapalat" panose="02000506050000020003" pitchFamily="50" charset="0"/>
                <a:ea typeface="Calibri" panose="020F0502020204030204" pitchFamily="34" charset="0"/>
                <a:cs typeface="Calibri" panose="020F0502020204030204" pitchFamily="34" charset="0"/>
              </a:rPr>
              <a:t>ՀՀ կ</a:t>
            </a:r>
            <a:r>
              <a:rPr lang="hy-AM" sz="800">
                <a:latin typeface="GHEA Grapalat" panose="02000506050000020003" pitchFamily="50" charset="0"/>
                <a:ea typeface="Calibri" panose="020F0502020204030204" pitchFamily="34" charset="0"/>
                <a:cs typeface="Calibri" panose="020F0502020204030204" pitchFamily="34" charset="0"/>
              </a:rPr>
              <a:t>առավարության պարտքի դինամիկան</a:t>
            </a:r>
            <a:endParaRPr lang="en-US" sz="800">
              <a:latin typeface="GHEA Grapalat" panose="02000506050000020003" pitchFamily="50" charset="0"/>
              <a:ea typeface="Calibri" panose="020F0502020204030204" pitchFamily="34" charset="0"/>
              <a:cs typeface="Calibri" panose="020F0502020204030204" pitchFamily="34" charset="0"/>
            </a:endParaRPr>
          </a:p>
        </c:rich>
      </c:tx>
      <c:overlay val="0"/>
      <c:spPr>
        <a:noFill/>
        <a:ln>
          <a:noFill/>
        </a:ln>
        <a:effectLst/>
      </c:spPr>
    </c:title>
    <c:autoTitleDeleted val="0"/>
    <c:plotArea>
      <c:layout>
        <c:manualLayout>
          <c:layoutTarget val="inner"/>
          <c:xMode val="edge"/>
          <c:yMode val="edge"/>
          <c:x val="0.17386366743219597"/>
          <c:y val="0.19645975503062119"/>
          <c:w val="0.69199360750637873"/>
          <c:h val="0.44658005249343835"/>
        </c:manualLayout>
      </c:layout>
      <c:barChart>
        <c:barDir val="col"/>
        <c:grouping val="clustered"/>
        <c:varyColors val="0"/>
        <c:ser>
          <c:idx val="1"/>
          <c:order val="1"/>
          <c:tx>
            <c:strRef>
              <c:f>Sheet1!$C$1</c:f>
              <c:strCache>
                <c:ptCount val="1"/>
                <c:pt idx="0">
                  <c:v>ՀՀ կառավարության պարտք, մլրդ դրամ</c:v>
                </c:pt>
              </c:strCache>
            </c:strRef>
          </c:tx>
          <c:spPr>
            <a:solidFill>
              <a:srgbClr val="E7E6E6">
                <a:lumMod val="75000"/>
              </a:srgbClr>
            </a:solidFill>
            <a:ln>
              <a:noFill/>
            </a:ln>
            <a:effectLst/>
          </c:spPr>
          <c:invertIfNegative val="0"/>
          <c:cat>
            <c:numRef>
              <c:f>Sheet1!$A$2:$A$15</c:f>
              <c:numCache>
                <c:formatCode>General</c:formatCode>
                <c:ptCount val="7"/>
                <c:pt idx="0">
                  <c:v>2022</c:v>
                </c:pt>
                <c:pt idx="1">
                  <c:v>2023</c:v>
                </c:pt>
                <c:pt idx="2">
                  <c:v>2024</c:v>
                </c:pt>
                <c:pt idx="3">
                  <c:v>2025</c:v>
                </c:pt>
                <c:pt idx="4">
                  <c:v>2026</c:v>
                </c:pt>
                <c:pt idx="5">
                  <c:v>2027</c:v>
                </c:pt>
                <c:pt idx="6">
                  <c:v>2028</c:v>
                </c:pt>
              </c:numCache>
            </c:numRef>
          </c:cat>
          <c:val>
            <c:numRef>
              <c:f>Sheet1!$C$2:$C$15</c:f>
              <c:numCache>
                <c:formatCode>0.0</c:formatCode>
                <c:ptCount val="7"/>
                <c:pt idx="0">
                  <c:v>3969.6861616886908</c:v>
                </c:pt>
                <c:pt idx="1">
                  <c:v>4571.9458306085999</c:v>
                </c:pt>
                <c:pt idx="2">
                  <c:v>4892.8473076977898</c:v>
                </c:pt>
                <c:pt idx="3">
                  <c:v>5448.3676578432542</c:v>
                </c:pt>
                <c:pt idx="4">
                  <c:v>6310.2709312126817</c:v>
                </c:pt>
                <c:pt idx="5">
                  <c:v>6951.53532835854</c:v>
                </c:pt>
                <c:pt idx="6">
                  <c:v>7544.1601273841434</c:v>
                </c:pt>
              </c:numCache>
            </c:numRef>
          </c:val>
          <c:extLst>
            <c:ext xmlns:c16="http://schemas.microsoft.com/office/drawing/2014/chart" uri="{C3380CC4-5D6E-409C-BE32-E72D297353CC}">
              <c16:uniqueId val="{00000000-DA77-47C3-BECD-27A16D39CDB7}"/>
            </c:ext>
          </c:extLst>
        </c:ser>
        <c:dLbls>
          <c:showLegendKey val="0"/>
          <c:showVal val="0"/>
          <c:showCatName val="0"/>
          <c:showSerName val="0"/>
          <c:showPercent val="0"/>
          <c:showBubbleSize val="0"/>
        </c:dLbls>
        <c:gapWidth val="70"/>
        <c:axId val="666657152"/>
        <c:axId val="666658688"/>
      </c:barChart>
      <c:lineChart>
        <c:grouping val="standard"/>
        <c:varyColors val="0"/>
        <c:ser>
          <c:idx val="0"/>
          <c:order val="0"/>
          <c:tx>
            <c:strRef>
              <c:f>Sheet1!$B$1</c:f>
              <c:strCache>
                <c:ptCount val="1"/>
                <c:pt idx="0">
                  <c:v>Կառավարության պարտք/ՀՆԱ, % (աջ առանցք)</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dLbls>
            <c:dLbl>
              <c:idx val="0"/>
              <c:layout>
                <c:manualLayout>
                  <c:x val="-6.3335588910761159E-2"/>
                  <c:y val="-3.268066491688539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DA77-47C3-BECD-27A16D39CDB7}"/>
                </c:ext>
              </c:extLst>
            </c:dLbl>
            <c:dLbl>
              <c:idx val="1"/>
              <c:layout>
                <c:manualLayout>
                  <c:x val="-5.4655033355205641E-2"/>
                  <c:y val="-3.823622047244094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DA77-47C3-BECD-27A16D39CDB7}"/>
                </c:ext>
              </c:extLst>
            </c:dLbl>
            <c:dLbl>
              <c:idx val="2"/>
              <c:layout>
                <c:manualLayout>
                  <c:x val="-5.6825172244094488E-2"/>
                  <c:y val="-1.0458442694663218E-2"/>
                </c:manualLayout>
              </c:layout>
              <c:dLblPos val="r"/>
              <c:showLegendKey val="0"/>
              <c:showVal val="1"/>
              <c:showCatName val="0"/>
              <c:showSerName val="0"/>
              <c:showPercent val="0"/>
              <c:showBubbleSize val="0"/>
              <c:extLst>
                <c:ext xmlns:c15="http://schemas.microsoft.com/office/drawing/2012/chart" uri="{CE6537A1-D6FC-4f65-9D91-7224C49458BB}">
                  <c15:layout>
                    <c:manualLayout>
                      <c:w val="9.1948613845144356E-2"/>
                      <c:h val="8.2027996500437447E-2"/>
                    </c:manualLayout>
                  </c15:layout>
                </c:ext>
                <c:ext xmlns:c16="http://schemas.microsoft.com/office/drawing/2014/chart" uri="{C3380CC4-5D6E-409C-BE32-E72D297353CC}">
                  <c16:uniqueId val="{00000003-DA77-47C3-BECD-27A16D39CDB7}"/>
                </c:ext>
              </c:extLst>
            </c:dLbl>
            <c:spPr>
              <a:noFill/>
              <a:ln>
                <a:noFill/>
              </a:ln>
              <a:effectLst/>
            </c:spPr>
            <c:txPr>
              <a:bodyPr rot="0" vert="horz"/>
              <a:lstStyle/>
              <a:p>
                <a:pPr>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Sheet1!$A$2:$A$15</c:f>
              <c:numCache>
                <c:formatCode>General</c:formatCode>
                <c:ptCount val="7"/>
                <c:pt idx="0">
                  <c:v>2022</c:v>
                </c:pt>
                <c:pt idx="1">
                  <c:v>2023</c:v>
                </c:pt>
                <c:pt idx="2">
                  <c:v>2024</c:v>
                </c:pt>
                <c:pt idx="3">
                  <c:v>2025</c:v>
                </c:pt>
                <c:pt idx="4">
                  <c:v>2026</c:v>
                </c:pt>
                <c:pt idx="5">
                  <c:v>2027</c:v>
                </c:pt>
                <c:pt idx="6">
                  <c:v>2028</c:v>
                </c:pt>
              </c:numCache>
            </c:numRef>
          </c:cat>
          <c:val>
            <c:numRef>
              <c:f>Sheet1!$B$2:$B$15</c:f>
              <c:numCache>
                <c:formatCode>0.0</c:formatCode>
                <c:ptCount val="7"/>
                <c:pt idx="0">
                  <c:v>46.69430429353595</c:v>
                </c:pt>
                <c:pt idx="1">
                  <c:v>48.163697057676281</c:v>
                </c:pt>
                <c:pt idx="2">
                  <c:v>48.000078125903386</c:v>
                </c:pt>
                <c:pt idx="3">
                  <c:v>49.543825903894195</c:v>
                </c:pt>
                <c:pt idx="4">
                  <c:v>52.8776396130839</c:v>
                </c:pt>
                <c:pt idx="5">
                  <c:v>53.668231505490184</c:v>
                </c:pt>
                <c:pt idx="6">
                  <c:v>53.691917385037208</c:v>
                </c:pt>
              </c:numCache>
            </c:numRef>
          </c:val>
          <c:smooth val="0"/>
          <c:extLst>
            <c:ext xmlns:c16="http://schemas.microsoft.com/office/drawing/2014/chart" uri="{C3380CC4-5D6E-409C-BE32-E72D297353CC}">
              <c16:uniqueId val="{00000004-DA77-47C3-BECD-27A16D39CDB7}"/>
            </c:ext>
          </c:extLst>
        </c:ser>
        <c:ser>
          <c:idx val="2"/>
          <c:order val="2"/>
          <c:tx>
            <c:strRef>
              <c:f>Sheet1!$D$1</c:f>
              <c:strCache>
                <c:ptCount val="1"/>
                <c:pt idx="0">
                  <c:v>50% շեմ</c:v>
                </c:pt>
              </c:strCache>
            </c:strRef>
          </c:tx>
          <c:spPr>
            <a:ln w="28575">
              <a:solidFill>
                <a:srgbClr val="FFC000"/>
              </a:solidFill>
              <a:prstDash val="dash"/>
            </a:ln>
          </c:spPr>
          <c:marker>
            <c:symbol val="none"/>
          </c:marker>
          <c:cat>
            <c:numRef>
              <c:f>Sheet1!$A$2:$A$15</c:f>
              <c:numCache>
                <c:formatCode>General</c:formatCode>
                <c:ptCount val="7"/>
                <c:pt idx="0">
                  <c:v>2022</c:v>
                </c:pt>
                <c:pt idx="1">
                  <c:v>2023</c:v>
                </c:pt>
                <c:pt idx="2">
                  <c:v>2024</c:v>
                </c:pt>
                <c:pt idx="3">
                  <c:v>2025</c:v>
                </c:pt>
                <c:pt idx="4">
                  <c:v>2026</c:v>
                </c:pt>
                <c:pt idx="5">
                  <c:v>2027</c:v>
                </c:pt>
                <c:pt idx="6">
                  <c:v>2028</c:v>
                </c:pt>
              </c:numCache>
            </c:numRef>
          </c:cat>
          <c:val>
            <c:numRef>
              <c:f>Sheet1!$D$2:$D$15</c:f>
              <c:numCache>
                <c:formatCode>General</c:formatCode>
                <c:ptCount val="7"/>
                <c:pt idx="0">
                  <c:v>50</c:v>
                </c:pt>
                <c:pt idx="1">
                  <c:v>50</c:v>
                </c:pt>
                <c:pt idx="2">
                  <c:v>50</c:v>
                </c:pt>
                <c:pt idx="3">
                  <c:v>50</c:v>
                </c:pt>
                <c:pt idx="4">
                  <c:v>50</c:v>
                </c:pt>
                <c:pt idx="5">
                  <c:v>50</c:v>
                </c:pt>
                <c:pt idx="6">
                  <c:v>50</c:v>
                </c:pt>
              </c:numCache>
            </c:numRef>
          </c:val>
          <c:smooth val="0"/>
          <c:extLst>
            <c:ext xmlns:c16="http://schemas.microsoft.com/office/drawing/2014/chart" uri="{C3380CC4-5D6E-409C-BE32-E72D297353CC}">
              <c16:uniqueId val="{00000005-DA77-47C3-BECD-27A16D39CDB7}"/>
            </c:ext>
          </c:extLst>
        </c:ser>
        <c:ser>
          <c:idx val="3"/>
          <c:order val="3"/>
          <c:tx>
            <c:strRef>
              <c:f>Sheet1!$E$1</c:f>
              <c:strCache>
                <c:ptCount val="1"/>
                <c:pt idx="0">
                  <c:v>60% (սահմանային շեմ)</c:v>
                </c:pt>
              </c:strCache>
            </c:strRef>
          </c:tx>
          <c:spPr>
            <a:ln w="28575">
              <a:solidFill>
                <a:srgbClr val="C00000"/>
              </a:solidFill>
              <a:prstDash val="dash"/>
            </a:ln>
          </c:spPr>
          <c:marker>
            <c:symbol val="none"/>
          </c:marker>
          <c:cat>
            <c:numRef>
              <c:f>Sheet1!$A$2:$A$15</c:f>
              <c:numCache>
                <c:formatCode>General</c:formatCode>
                <c:ptCount val="7"/>
                <c:pt idx="0">
                  <c:v>2022</c:v>
                </c:pt>
                <c:pt idx="1">
                  <c:v>2023</c:v>
                </c:pt>
                <c:pt idx="2">
                  <c:v>2024</c:v>
                </c:pt>
                <c:pt idx="3">
                  <c:v>2025</c:v>
                </c:pt>
                <c:pt idx="4">
                  <c:v>2026</c:v>
                </c:pt>
                <c:pt idx="5">
                  <c:v>2027</c:v>
                </c:pt>
                <c:pt idx="6">
                  <c:v>2028</c:v>
                </c:pt>
              </c:numCache>
            </c:numRef>
          </c:cat>
          <c:val>
            <c:numRef>
              <c:f>Sheet1!$E$2:$E$15</c:f>
              <c:numCache>
                <c:formatCode>General</c:formatCode>
                <c:ptCount val="7"/>
                <c:pt idx="0">
                  <c:v>60</c:v>
                </c:pt>
                <c:pt idx="1">
                  <c:v>60</c:v>
                </c:pt>
                <c:pt idx="2">
                  <c:v>60</c:v>
                </c:pt>
                <c:pt idx="3">
                  <c:v>60</c:v>
                </c:pt>
                <c:pt idx="4">
                  <c:v>60</c:v>
                </c:pt>
                <c:pt idx="5">
                  <c:v>60</c:v>
                </c:pt>
                <c:pt idx="6">
                  <c:v>60</c:v>
                </c:pt>
              </c:numCache>
            </c:numRef>
          </c:val>
          <c:smooth val="0"/>
          <c:extLst>
            <c:ext xmlns:c16="http://schemas.microsoft.com/office/drawing/2014/chart" uri="{C3380CC4-5D6E-409C-BE32-E72D297353CC}">
              <c16:uniqueId val="{00000006-DA77-47C3-BECD-27A16D39CDB7}"/>
            </c:ext>
          </c:extLst>
        </c:ser>
        <c:dLbls>
          <c:showLegendKey val="0"/>
          <c:showVal val="0"/>
          <c:showCatName val="0"/>
          <c:showSerName val="0"/>
          <c:showPercent val="0"/>
          <c:showBubbleSize val="0"/>
        </c:dLbls>
        <c:marker val="1"/>
        <c:smooth val="0"/>
        <c:axId val="666735744"/>
        <c:axId val="666660224"/>
      </c:lineChart>
      <c:catAx>
        <c:axId val="66665715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vert="horz"/>
          <a:lstStyle/>
          <a:p>
            <a:pPr>
              <a:defRPr sz="700" b="1"/>
            </a:pPr>
            <a:endParaRPr lang="en-US"/>
          </a:p>
        </c:txPr>
        <c:crossAx val="666658688"/>
        <c:crosses val="autoZero"/>
        <c:auto val="1"/>
        <c:lblAlgn val="ctr"/>
        <c:lblOffset val="100"/>
        <c:noMultiLvlLbl val="0"/>
      </c:catAx>
      <c:valAx>
        <c:axId val="666658688"/>
        <c:scaling>
          <c:orientation val="minMax"/>
        </c:scaling>
        <c:delete val="0"/>
        <c:axPos val="l"/>
        <c:numFmt formatCode="0.0" sourceLinked="1"/>
        <c:majorTickMark val="none"/>
        <c:minorTickMark val="none"/>
        <c:tickLblPos val="nextTo"/>
        <c:spPr>
          <a:noFill/>
          <a:ln>
            <a:noFill/>
          </a:ln>
          <a:effectLst/>
        </c:spPr>
        <c:txPr>
          <a:bodyPr rot="-60000000" vert="horz"/>
          <a:lstStyle/>
          <a:p>
            <a:pPr>
              <a:defRPr>
                <a:solidFill>
                  <a:schemeClr val="bg1">
                    <a:lumMod val="65000"/>
                  </a:schemeClr>
                </a:solidFill>
              </a:defRPr>
            </a:pPr>
            <a:endParaRPr lang="en-US"/>
          </a:p>
        </c:txPr>
        <c:crossAx val="666657152"/>
        <c:crosses val="autoZero"/>
        <c:crossBetween val="between"/>
      </c:valAx>
      <c:valAx>
        <c:axId val="666660224"/>
        <c:scaling>
          <c:orientation val="minMax"/>
        </c:scaling>
        <c:delete val="0"/>
        <c:axPos val="r"/>
        <c:numFmt formatCode="0.0" sourceLinked="1"/>
        <c:majorTickMark val="out"/>
        <c:minorTickMark val="none"/>
        <c:tickLblPos val="nextTo"/>
        <c:spPr>
          <a:noFill/>
          <a:ln>
            <a:noFill/>
          </a:ln>
          <a:effectLst/>
        </c:spPr>
        <c:txPr>
          <a:bodyPr rot="-60000000" vert="horz"/>
          <a:lstStyle/>
          <a:p>
            <a:pPr>
              <a:defRPr>
                <a:solidFill>
                  <a:schemeClr val="bg1">
                    <a:lumMod val="65000"/>
                  </a:schemeClr>
                </a:solidFill>
              </a:defRPr>
            </a:pPr>
            <a:endParaRPr lang="en-US"/>
          </a:p>
        </c:txPr>
        <c:crossAx val="666735744"/>
        <c:crosses val="max"/>
        <c:crossBetween val="between"/>
      </c:valAx>
      <c:catAx>
        <c:axId val="666735744"/>
        <c:scaling>
          <c:orientation val="minMax"/>
        </c:scaling>
        <c:delete val="1"/>
        <c:axPos val="b"/>
        <c:numFmt formatCode="General" sourceLinked="1"/>
        <c:majorTickMark val="out"/>
        <c:minorTickMark val="none"/>
        <c:tickLblPos val="none"/>
        <c:crossAx val="666660224"/>
        <c:crosses val="autoZero"/>
        <c:auto val="1"/>
        <c:lblAlgn val="ctr"/>
        <c:lblOffset val="100"/>
        <c:noMultiLvlLbl val="0"/>
      </c:catAx>
      <c:spPr>
        <a:noFill/>
        <a:ln>
          <a:noFill/>
        </a:ln>
        <a:effectLst/>
      </c:spPr>
    </c:plotArea>
    <c:legend>
      <c:legendPos val="b"/>
      <c:layout>
        <c:manualLayout>
          <c:xMode val="edge"/>
          <c:yMode val="edge"/>
          <c:x val="0"/>
          <c:y val="0.74165398075240607"/>
          <c:w val="0.9975609756097561"/>
          <c:h val="0.22501268591426071"/>
        </c:manualLayout>
      </c:layout>
      <c:overlay val="0"/>
      <c:spPr>
        <a:noFill/>
        <a:ln>
          <a:noFill/>
        </a:ln>
        <a:effectLst/>
      </c:spPr>
      <c:txPr>
        <a:bodyPr rot="0" vert="horz"/>
        <a:lstStyle/>
        <a:p>
          <a:pPr>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noFill/>
    <a:ln w="19050" cap="flat" cmpd="sng" algn="ctr">
      <a:solidFill>
        <a:sysClr val="window" lastClr="FFFFFF"/>
      </a:solidFill>
      <a:round/>
    </a:ln>
    <a:effectLst/>
  </c:spPr>
  <c:txPr>
    <a:bodyPr/>
    <a:lstStyle/>
    <a:p>
      <a:pPr>
        <a:defRPr sz="800">
          <a:latin typeface="Calibri" panose="020F0502020204030204" pitchFamily="34" charset="0"/>
          <a:ea typeface="Calibri" panose="020F0502020204030204" pitchFamily="34" charset="0"/>
          <a:cs typeface="Calibri" panose="020F0502020204030204" pitchFamily="34" charset="0"/>
        </a:defRPr>
      </a:pPr>
      <a:endParaRPr lang="en-US"/>
    </a:p>
  </c:txPr>
  <c:externalData r:id="rId2">
    <c:autoUpdate val="0"/>
  </c:externalData>
  <c:userShapes r:id="rId3"/>
</c:chartSpace>
</file>

<file path=word/charts/chart5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4.1935042479879579E-2"/>
          <c:y val="5.9939596591521947E-2"/>
          <c:w val="0.4908833618344095"/>
          <c:h val="0.86926627971875492"/>
        </c:manualLayout>
      </c:layout>
      <c:doughnutChart>
        <c:varyColors val="1"/>
        <c:ser>
          <c:idx val="0"/>
          <c:order val="0"/>
          <c:dPt>
            <c:idx val="0"/>
            <c:bubble3D val="0"/>
            <c:spPr>
              <a:solidFill>
                <a:schemeClr val="accent3">
                  <a:lumMod val="60000"/>
                  <a:lumOff val="40000"/>
                </a:schemeClr>
              </a:solidFill>
              <a:ln>
                <a:noFill/>
              </a:ln>
              <a:effectLst/>
            </c:spPr>
            <c:extLst>
              <c:ext xmlns:c16="http://schemas.microsoft.com/office/drawing/2014/chart" uri="{C3380CC4-5D6E-409C-BE32-E72D297353CC}">
                <c16:uniqueId val="{00000001-5300-4F3E-B67F-D2E97B7E567D}"/>
              </c:ext>
            </c:extLst>
          </c:dPt>
          <c:dPt>
            <c:idx val="1"/>
            <c:bubble3D val="0"/>
            <c:spPr>
              <a:solidFill>
                <a:schemeClr val="tx2"/>
              </a:solidFill>
              <a:ln>
                <a:noFill/>
              </a:ln>
              <a:effectLst/>
            </c:spPr>
            <c:extLst>
              <c:ext xmlns:c16="http://schemas.microsoft.com/office/drawing/2014/chart" uri="{C3380CC4-5D6E-409C-BE32-E72D297353CC}">
                <c16:uniqueId val="{00000003-5300-4F3E-B67F-D2E97B7E567D}"/>
              </c:ext>
            </c:extLst>
          </c:dPt>
          <c:dPt>
            <c:idx val="2"/>
            <c:bubble3D val="0"/>
            <c:spPr>
              <a:solidFill>
                <a:schemeClr val="accent1">
                  <a:lumMod val="60000"/>
                  <a:lumOff val="40000"/>
                </a:schemeClr>
              </a:solidFill>
              <a:ln>
                <a:noFill/>
              </a:ln>
              <a:effectLst/>
            </c:spPr>
            <c:extLst>
              <c:ext xmlns:c16="http://schemas.microsoft.com/office/drawing/2014/chart" uri="{C3380CC4-5D6E-409C-BE32-E72D297353CC}">
                <c16:uniqueId val="{00000005-5300-4F3E-B67F-D2E97B7E567D}"/>
              </c:ext>
            </c:extLst>
          </c:dPt>
          <c:dLbls>
            <c:dLbl>
              <c:idx val="0"/>
              <c:layout>
                <c:manualLayout>
                  <c:x val="8.8017166827239792E-8"/>
                  <c:y val="-2.0569529122339331E-7"/>
                </c:manualLayout>
              </c:layout>
              <c:spPr>
                <a:noFill/>
                <a:ln>
                  <a:noFill/>
                </a:ln>
                <a:effectLst/>
              </c:spPr>
              <c:txPr>
                <a:bodyPr rot="0" spcFirstLastPara="1" vertOverflow="ellipsis" vert="horz" wrap="square" lIns="38100" tIns="19050" rIns="38100" bIns="19050" anchor="ctr" anchorCtr="1">
                  <a:noAutofit/>
                </a:bodyPr>
                <a:lstStyle/>
                <a:p>
                  <a:pPr>
                    <a:defRPr sz="800" b="1" i="0" u="none" strike="noStrike" kern="1200" baseline="0">
                      <a:solidFill>
                        <a:schemeClr val="bg1"/>
                      </a:solidFill>
                      <a:latin typeface="Calibri"/>
                      <a:ea typeface="Calibri"/>
                      <a:cs typeface="Calibri"/>
                    </a:defRPr>
                  </a:pPr>
                  <a:endParaRPr lang="en-US"/>
                </a:p>
              </c:txPr>
              <c:showLegendKey val="0"/>
              <c:showVal val="1"/>
              <c:showCatName val="0"/>
              <c:showSerName val="0"/>
              <c:showPercent val="0"/>
              <c:showBubbleSize val="0"/>
              <c:extLst>
                <c:ext xmlns:c15="http://schemas.microsoft.com/office/drawing/2012/chart" uri="{CE6537A1-D6FC-4f65-9D91-7224C49458BB}">
                  <c15:layout>
                    <c:manualLayout>
                      <c:w val="7.5475072658171244E-2"/>
                      <c:h val="7.2204806687565293E-2"/>
                    </c:manualLayout>
                  </c15:layout>
                </c:ext>
                <c:ext xmlns:c16="http://schemas.microsoft.com/office/drawing/2014/chart" uri="{C3380CC4-5D6E-409C-BE32-E72D297353CC}">
                  <c16:uniqueId val="{00000001-5300-4F3E-B67F-D2E97B7E567D}"/>
                </c:ext>
              </c:extLst>
            </c:dLbl>
            <c:dLbl>
              <c:idx val="1"/>
              <c:layout>
                <c:manualLayout>
                  <c:x val="-3.8005812653699976E-2"/>
                  <c:y val="2.6123301985370925E-2"/>
                </c:manualLayout>
              </c:layout>
              <c:spPr>
                <a:noFill/>
                <a:ln>
                  <a:noFill/>
                </a:ln>
                <a:effectLst/>
              </c:spPr>
              <c:txPr>
                <a:bodyPr rot="0" spcFirstLastPara="1" vertOverflow="ellipsis" vert="horz" wrap="square" lIns="38100" tIns="19050" rIns="38100" bIns="19050" anchor="ctr" anchorCtr="1">
                  <a:spAutoFit/>
                </a:bodyPr>
                <a:lstStyle/>
                <a:p>
                  <a:pPr>
                    <a:defRPr sz="800" b="1" i="0" u="none" strike="noStrike" kern="1200" baseline="0">
                      <a:solidFill>
                        <a:schemeClr val="bg1"/>
                      </a:solidFill>
                      <a:latin typeface="Calibri"/>
                      <a:ea typeface="Calibri"/>
                      <a:cs typeface="Calibri"/>
                    </a:defRPr>
                  </a:pPr>
                  <a:endParaRPr lang="en-US"/>
                </a:p>
              </c:txP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3-5300-4F3E-B67F-D2E97B7E567D}"/>
                </c:ext>
              </c:extLst>
            </c:dLbl>
            <c:dLbl>
              <c:idx val="2"/>
              <c:layout>
                <c:manualLayout>
                  <c:x val="3.3534540576794059E-2"/>
                  <c:y val="0"/>
                </c:manualLayout>
              </c:layout>
              <c:spPr>
                <a:noFill/>
                <a:ln>
                  <a:noFill/>
                </a:ln>
                <a:effectLst/>
              </c:spPr>
              <c:txPr>
                <a:bodyPr rot="0" spcFirstLastPara="1" vertOverflow="ellipsis" vert="horz" wrap="square" lIns="38100" tIns="19050" rIns="38100" bIns="19050" anchor="ctr" anchorCtr="1">
                  <a:spAutoFit/>
                </a:bodyPr>
                <a:lstStyle/>
                <a:p>
                  <a:pPr>
                    <a:defRPr sz="800" b="1" i="0" u="none" strike="noStrike" kern="1200" baseline="0">
                      <a:solidFill>
                        <a:schemeClr val="bg1"/>
                      </a:solidFill>
                      <a:latin typeface="Calibri"/>
                      <a:ea typeface="Calibri"/>
                      <a:cs typeface="Calibri"/>
                    </a:defRPr>
                  </a:pPr>
                  <a:endParaRPr lang="en-US"/>
                </a:p>
              </c:txP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5-5300-4F3E-B67F-D2E97B7E567D}"/>
                </c:ext>
              </c:extLst>
            </c:dLbl>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bg1"/>
                    </a:solidFill>
                    <a:latin typeface="Calibri"/>
                    <a:ea typeface="Calibri"/>
                    <a:cs typeface="Calibri"/>
                  </a:defRPr>
                </a:pPr>
                <a:endParaRPr lang="en-US"/>
              </a:p>
            </c:txPr>
            <c:showLegendKey val="0"/>
            <c:showVal val="1"/>
            <c:showCatName val="1"/>
            <c:showSerName val="0"/>
            <c:showPercent val="0"/>
            <c:showBubbleSize val="0"/>
            <c:showLeaderLines val="1"/>
            <c:leaderLines>
              <c:spPr>
                <a:ln w="6350" cap="flat" cmpd="sng" algn="ctr">
                  <a:solidFill>
                    <a:schemeClr val="tx1"/>
                  </a:solidFill>
                  <a:prstDash val="solid"/>
                  <a:round/>
                </a:ln>
                <a:effectLst/>
              </c:spPr>
            </c:leaderLines>
            <c:extLst>
              <c:ext xmlns:c15="http://schemas.microsoft.com/office/drawing/2012/chart" uri="{CE6537A1-D6FC-4f65-9D91-7224C49458BB}"/>
            </c:extLst>
          </c:dLbls>
          <c:cat>
            <c:strRef>
              <c:f>table!$C$4:$C$6</c:f>
              <c:strCache>
                <c:ptCount val="3"/>
                <c:pt idx="0">
                  <c:v>Հարկային եկամուտներ և պետական տուրքեր</c:v>
                </c:pt>
                <c:pt idx="1">
                  <c:v>Պաշտոնական դրամաշնորհներ</c:v>
                </c:pt>
                <c:pt idx="2">
                  <c:v>Այլ եկամուտներ</c:v>
                </c:pt>
              </c:strCache>
            </c:strRef>
          </c:cat>
          <c:val>
            <c:numRef>
              <c:f>table!$D$4:$D$6</c:f>
              <c:numCache>
                <c:formatCode>0.0%</c:formatCode>
                <c:ptCount val="3"/>
                <c:pt idx="0">
                  <c:v>0.96199999999999997</c:v>
                </c:pt>
                <c:pt idx="1">
                  <c:v>6.0000000000000001E-3</c:v>
                </c:pt>
                <c:pt idx="2">
                  <c:v>3.161171413359435E-2</c:v>
                </c:pt>
              </c:numCache>
            </c:numRef>
          </c:val>
          <c:extLst>
            <c:ext xmlns:c16="http://schemas.microsoft.com/office/drawing/2014/chart" uri="{C3380CC4-5D6E-409C-BE32-E72D297353CC}">
              <c16:uniqueId val="{00000006-5300-4F3E-B67F-D2E97B7E567D}"/>
            </c:ext>
          </c:extLst>
        </c:ser>
        <c:dLbls>
          <c:showLegendKey val="0"/>
          <c:showVal val="0"/>
          <c:showCatName val="0"/>
          <c:showSerName val="0"/>
          <c:showPercent val="0"/>
          <c:showBubbleSize val="0"/>
          <c:showLeaderLines val="1"/>
        </c:dLbls>
        <c:firstSliceAng val="0"/>
        <c:holeSize val="70"/>
      </c:doughnutChart>
      <c:spPr>
        <a:noFill/>
        <a:ln w="25400">
          <a:noFill/>
        </a:ln>
        <a:effectLst/>
      </c:spPr>
    </c:plotArea>
    <c:legend>
      <c:legendPos val="r"/>
      <c:layout>
        <c:manualLayout>
          <c:xMode val="edge"/>
          <c:yMode val="edge"/>
          <c:x val="0.51103710994459028"/>
          <c:y val="0.29246135899679204"/>
          <c:w val="0.45314559638378538"/>
          <c:h val="0.40000822590153595"/>
        </c:manualLayout>
      </c:layout>
      <c:overlay val="0"/>
      <c:spPr>
        <a:noFill/>
        <a:ln>
          <a:noFill/>
        </a:ln>
        <a:effectLst/>
      </c:spPr>
      <c:txPr>
        <a:bodyPr rot="0" spcFirstLastPara="1" vertOverflow="ellipsis" vert="horz" wrap="square" anchor="ctr" anchorCtr="1"/>
        <a:lstStyle/>
        <a:p>
          <a:pPr>
            <a:defRPr sz="900" b="0" i="0" u="none" strike="noStrike" kern="1200" baseline="0">
              <a:solidFill>
                <a:srgbClr val="000000"/>
              </a:solidFill>
              <a:latin typeface="Calibri"/>
              <a:ea typeface="Calibri"/>
              <a:cs typeface="Calibri"/>
            </a:defRPr>
          </a:pPr>
          <a:endParaRPr lang="en-US"/>
        </a:p>
      </c:txPr>
    </c:legend>
    <c:plotVisOnly val="1"/>
    <c:dispBlanksAs val="zero"/>
    <c:showDLblsOverMax val="0"/>
  </c:chart>
  <c:spPr>
    <a:noFill/>
    <a:ln w="6350" cap="flat" cmpd="sng" algn="ctr">
      <a:noFill/>
      <a:prstDash val="solid"/>
      <a:round/>
    </a:ln>
    <a:effectLst/>
  </c:spPr>
  <c:txPr>
    <a:bodyPr/>
    <a:lstStyle/>
    <a:p>
      <a:pPr>
        <a:defRPr sz="1000" b="0" i="0" u="none" strike="noStrike" baseline="0">
          <a:solidFill>
            <a:srgbClr val="000000"/>
          </a:solidFill>
          <a:latin typeface="Calibri"/>
          <a:ea typeface="Calibri"/>
          <a:cs typeface="Calibri"/>
        </a:defRPr>
      </a:pPr>
      <a:endParaRPr lang="en-US"/>
    </a:p>
  </c:txPr>
  <c:externalData r:id="rId3">
    <c:autoUpdate val="0"/>
  </c:externalData>
</c:chartSpace>
</file>

<file path=word/charts/chart5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1862904752121119"/>
          <c:y val="0.13282020997375327"/>
          <c:w val="0.75180333178147074"/>
          <c:h val="0.53114785651793539"/>
        </c:manualLayout>
      </c:layout>
      <c:barChart>
        <c:barDir val="col"/>
        <c:grouping val="clustered"/>
        <c:varyColors val="0"/>
        <c:ser>
          <c:idx val="0"/>
          <c:order val="0"/>
          <c:tx>
            <c:strRef>
              <c:f>Sheet1!$A$2</c:f>
              <c:strCache>
                <c:ptCount val="1"/>
                <c:pt idx="0">
                  <c:v> Հարկային եկամուտներ և պետական տուրքեր, մլրդ դրամ</c:v>
                </c:pt>
              </c:strCache>
            </c:strRef>
          </c:tx>
          <c:spPr>
            <a:solidFill>
              <a:srgbClr val="44546A"/>
            </a:solidFill>
            <a:ln w="25294" cap="rnd" cmpd="dbl">
              <a:miter lim="800000"/>
            </a:ln>
          </c:spPr>
          <c:invertIfNegative val="0"/>
          <c:dLbls>
            <c:dLbl>
              <c:idx val="3"/>
              <c:layout>
                <c:manualLayout>
                  <c:x val="0"/>
                  <c:y val="-2.3923444976076555E-2"/>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0-D2A3-4CA4-8B61-743254F5FD6C}"/>
                </c:ext>
              </c:extLst>
            </c:dLbl>
            <c:spPr>
              <a:noFill/>
              <a:ln w="25403">
                <a:noFill/>
              </a:ln>
            </c:spPr>
            <c:txPr>
              <a:bodyPr wrap="square" lIns="38100" tIns="19050" rIns="38100" bIns="19050" anchor="ctr">
                <a:spAutoFit/>
              </a:bodyPr>
              <a:lstStyle/>
              <a:p>
                <a:pPr>
                  <a:defRPr b="1"/>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Sheet1!$B$1:$H$1</c:f>
              <c:strCache>
                <c:ptCount val="7"/>
                <c:pt idx="0">
                  <c:v>2022 փաստ</c:v>
                </c:pt>
                <c:pt idx="1">
                  <c:v>2023 փաստ</c:v>
                </c:pt>
                <c:pt idx="2">
                  <c:v>2024 փաստ</c:v>
                </c:pt>
                <c:pt idx="3">
                  <c:v>2025  բյուջե</c:v>
                </c:pt>
                <c:pt idx="4">
                  <c:v>2026 ծրագիր</c:v>
                </c:pt>
                <c:pt idx="5">
                  <c:v>2027 ծրագիր</c:v>
                </c:pt>
                <c:pt idx="6">
                  <c:v>2028 ծրագիր</c:v>
                </c:pt>
              </c:strCache>
            </c:strRef>
          </c:cat>
          <c:val>
            <c:numRef>
              <c:f>Sheet1!$B$2:$H$2</c:f>
              <c:numCache>
                <c:formatCode>#,##0.0</c:formatCode>
                <c:ptCount val="7"/>
                <c:pt idx="0">
                  <c:v>1925.968677026</c:v>
                </c:pt>
                <c:pt idx="1">
                  <c:v>2273.9</c:v>
                </c:pt>
                <c:pt idx="2">
                  <c:v>2390.8949527700001</c:v>
                </c:pt>
                <c:pt idx="3">
                  <c:v>2720.3075821000002</c:v>
                </c:pt>
                <c:pt idx="4">
                  <c:v>2972.8507601918363</c:v>
                </c:pt>
                <c:pt idx="5">
                  <c:v>3244.9458360674089</c:v>
                </c:pt>
                <c:pt idx="6">
                  <c:v>3533.8777464721493</c:v>
                </c:pt>
              </c:numCache>
            </c:numRef>
          </c:val>
          <c:extLst>
            <c:ext xmlns:c16="http://schemas.microsoft.com/office/drawing/2014/chart" uri="{C3380CC4-5D6E-409C-BE32-E72D297353CC}">
              <c16:uniqueId val="{00000001-D2A3-4CA4-8B61-743254F5FD6C}"/>
            </c:ext>
          </c:extLst>
        </c:ser>
        <c:dLbls>
          <c:showLegendKey val="0"/>
          <c:showVal val="0"/>
          <c:showCatName val="0"/>
          <c:showSerName val="0"/>
          <c:showPercent val="0"/>
          <c:showBubbleSize val="0"/>
        </c:dLbls>
        <c:gapWidth val="100"/>
        <c:axId val="348154496"/>
        <c:axId val="348160384"/>
      </c:barChart>
      <c:lineChart>
        <c:grouping val="standard"/>
        <c:varyColors val="0"/>
        <c:ser>
          <c:idx val="1"/>
          <c:order val="1"/>
          <c:tx>
            <c:strRef>
              <c:f>Sheet1!$A$3</c:f>
              <c:strCache>
                <c:ptCount val="1"/>
                <c:pt idx="0">
                  <c:v> հարաբերությունը ՀՆԱ-ի նկատմամբ (%-ով) աջ առանցք</c:v>
                </c:pt>
              </c:strCache>
            </c:strRef>
          </c:tx>
          <c:spPr>
            <a:ln>
              <a:solidFill>
                <a:srgbClr val="5B9BD5"/>
              </a:solidFill>
            </a:ln>
          </c:spPr>
          <c:marker>
            <c:symbol val="none"/>
          </c:marker>
          <c:cat>
            <c:strRef>
              <c:f>Sheet1!$B$1:$H$1</c:f>
              <c:strCache>
                <c:ptCount val="7"/>
                <c:pt idx="0">
                  <c:v>2022 փաստ</c:v>
                </c:pt>
                <c:pt idx="1">
                  <c:v>2023 փաստ</c:v>
                </c:pt>
                <c:pt idx="2">
                  <c:v>2024 փաստ</c:v>
                </c:pt>
                <c:pt idx="3">
                  <c:v>2025  բյուջե</c:v>
                </c:pt>
                <c:pt idx="4">
                  <c:v>2026 ծրագիր</c:v>
                </c:pt>
                <c:pt idx="5">
                  <c:v>2027 ծրագիր</c:v>
                </c:pt>
                <c:pt idx="6">
                  <c:v>2028 ծրագիր</c:v>
                </c:pt>
              </c:strCache>
            </c:strRef>
          </c:cat>
          <c:val>
            <c:numRef>
              <c:f>Sheet1!$B$3:$H$3</c:f>
              <c:numCache>
                <c:formatCode>0.0%</c:formatCode>
                <c:ptCount val="7"/>
                <c:pt idx="0">
                  <c:v>0.22654629056775169</c:v>
                </c:pt>
                <c:pt idx="1">
                  <c:v>0.23899999999999999</c:v>
                </c:pt>
                <c:pt idx="2">
                  <c:v>0.23455288364146215</c:v>
                </c:pt>
                <c:pt idx="3">
                  <c:v>0.24976398923522389</c:v>
                </c:pt>
                <c:pt idx="4">
                  <c:v>0.24911344193377905</c:v>
                </c:pt>
                <c:pt idx="5">
                  <c:v>0.25052092253980401</c:v>
                </c:pt>
                <c:pt idx="6">
                  <c:v>0.25150668703819606</c:v>
                </c:pt>
              </c:numCache>
            </c:numRef>
          </c:val>
          <c:smooth val="0"/>
          <c:extLst>
            <c:ext xmlns:c16="http://schemas.microsoft.com/office/drawing/2014/chart" uri="{C3380CC4-5D6E-409C-BE32-E72D297353CC}">
              <c16:uniqueId val="{00000002-D2A3-4CA4-8B61-743254F5FD6C}"/>
            </c:ext>
          </c:extLst>
        </c:ser>
        <c:dLbls>
          <c:showLegendKey val="0"/>
          <c:showVal val="0"/>
          <c:showCatName val="0"/>
          <c:showSerName val="0"/>
          <c:showPercent val="0"/>
          <c:showBubbleSize val="0"/>
        </c:dLbls>
        <c:marker val="1"/>
        <c:smooth val="0"/>
        <c:axId val="348161920"/>
        <c:axId val="348163456"/>
      </c:lineChart>
      <c:catAx>
        <c:axId val="348154496"/>
        <c:scaling>
          <c:orientation val="minMax"/>
        </c:scaling>
        <c:delete val="0"/>
        <c:axPos val="b"/>
        <c:numFmt formatCode="General" sourceLinked="1"/>
        <c:majorTickMark val="out"/>
        <c:minorTickMark val="none"/>
        <c:tickLblPos val="nextTo"/>
        <c:spPr>
          <a:ln>
            <a:solidFill>
              <a:sysClr val="window" lastClr="FFFFFF">
                <a:lumMod val="65000"/>
              </a:sysClr>
            </a:solidFill>
          </a:ln>
        </c:spPr>
        <c:txPr>
          <a:bodyPr/>
          <a:lstStyle/>
          <a:p>
            <a:pPr>
              <a:defRPr b="1"/>
            </a:pPr>
            <a:endParaRPr lang="en-US"/>
          </a:p>
        </c:txPr>
        <c:crossAx val="348160384"/>
        <c:crosses val="autoZero"/>
        <c:auto val="1"/>
        <c:lblAlgn val="ctr"/>
        <c:lblOffset val="100"/>
        <c:noMultiLvlLbl val="0"/>
      </c:catAx>
      <c:valAx>
        <c:axId val="348160384"/>
        <c:scaling>
          <c:orientation val="minMax"/>
          <c:max val="3600"/>
          <c:min val="0"/>
        </c:scaling>
        <c:delete val="0"/>
        <c:axPos val="l"/>
        <c:numFmt formatCode="#,##0" sourceLinked="0"/>
        <c:majorTickMark val="out"/>
        <c:minorTickMark val="none"/>
        <c:tickLblPos val="nextTo"/>
        <c:spPr>
          <a:ln>
            <a:noFill/>
          </a:ln>
        </c:spPr>
        <c:txPr>
          <a:bodyPr/>
          <a:lstStyle/>
          <a:p>
            <a:pPr>
              <a:defRPr>
                <a:solidFill>
                  <a:schemeClr val="bg1">
                    <a:lumMod val="65000"/>
                  </a:schemeClr>
                </a:solidFill>
              </a:defRPr>
            </a:pPr>
            <a:endParaRPr lang="en-US"/>
          </a:p>
        </c:txPr>
        <c:crossAx val="348154496"/>
        <c:crosses val="autoZero"/>
        <c:crossBetween val="between"/>
        <c:minorUnit val="100"/>
      </c:valAx>
      <c:catAx>
        <c:axId val="348161920"/>
        <c:scaling>
          <c:orientation val="minMax"/>
        </c:scaling>
        <c:delete val="1"/>
        <c:axPos val="b"/>
        <c:numFmt formatCode="General" sourceLinked="1"/>
        <c:majorTickMark val="out"/>
        <c:minorTickMark val="none"/>
        <c:tickLblPos val="none"/>
        <c:crossAx val="348163456"/>
        <c:crosses val="autoZero"/>
        <c:auto val="1"/>
        <c:lblAlgn val="ctr"/>
        <c:lblOffset val="100"/>
        <c:noMultiLvlLbl val="0"/>
      </c:catAx>
      <c:valAx>
        <c:axId val="348163456"/>
        <c:scaling>
          <c:orientation val="minMax"/>
          <c:min val="0.2"/>
        </c:scaling>
        <c:delete val="0"/>
        <c:axPos val="r"/>
        <c:numFmt formatCode="0%" sourceLinked="0"/>
        <c:majorTickMark val="none"/>
        <c:minorTickMark val="none"/>
        <c:tickLblPos val="nextTo"/>
        <c:spPr>
          <a:ln>
            <a:noFill/>
          </a:ln>
        </c:spPr>
        <c:txPr>
          <a:bodyPr rot="60000"/>
          <a:lstStyle/>
          <a:p>
            <a:pPr>
              <a:defRPr>
                <a:solidFill>
                  <a:schemeClr val="bg1">
                    <a:lumMod val="65000"/>
                  </a:schemeClr>
                </a:solidFill>
              </a:defRPr>
            </a:pPr>
            <a:endParaRPr lang="en-US"/>
          </a:p>
        </c:txPr>
        <c:crossAx val="348161920"/>
        <c:crosses val="max"/>
        <c:crossBetween val="between"/>
      </c:valAx>
      <c:spPr>
        <a:noFill/>
        <a:ln>
          <a:noFill/>
        </a:ln>
      </c:spPr>
    </c:plotArea>
    <c:legend>
      <c:legendPos val="r"/>
      <c:layout>
        <c:manualLayout>
          <c:xMode val="edge"/>
          <c:yMode val="edge"/>
          <c:x val="0.13291130687871941"/>
          <c:y val="0.80230927384076989"/>
          <c:w val="0.73575963895602192"/>
          <c:h val="0.1680612423447069"/>
        </c:manualLayout>
      </c:layout>
      <c:overlay val="0"/>
    </c:legend>
    <c:plotVisOnly val="1"/>
    <c:dispBlanksAs val="gap"/>
    <c:showDLblsOverMax val="0"/>
  </c:chart>
  <c:spPr>
    <a:noFill/>
    <a:ln w="19050">
      <a:solidFill>
        <a:sysClr val="window" lastClr="FFFFFF"/>
      </a:solidFill>
    </a:ln>
    <a:effectLst>
      <a:outerShdw blurRad="50800" dist="50800" dir="5400000" sx="2000" sy="2000" algn="ctr" rotWithShape="0">
        <a:srgbClr val="000000">
          <a:alpha val="43137"/>
        </a:srgbClr>
      </a:outerShdw>
    </a:effectLst>
  </c:spPr>
  <c:externalData r:id="rId2">
    <c:autoUpdate val="0"/>
  </c:externalData>
</c:chartSpace>
</file>

<file path=word/charts/chart5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8.8604329055845366E-2"/>
          <c:y val="0.13499830666328"/>
          <c:w val="0.88491937563220213"/>
          <c:h val="0.58837270341207348"/>
        </c:manualLayout>
      </c:layout>
      <c:barChart>
        <c:barDir val="col"/>
        <c:grouping val="stacked"/>
        <c:varyColors val="0"/>
        <c:ser>
          <c:idx val="0"/>
          <c:order val="0"/>
          <c:tx>
            <c:strRef>
              <c:f>Sheet1!$B$1</c:f>
              <c:strCache>
                <c:ptCount val="1"/>
                <c:pt idx="0">
                  <c:v>Ընդամենը ծախսեր</c:v>
                </c:pt>
              </c:strCache>
            </c:strRef>
          </c:tx>
          <c:spPr>
            <a:solidFill>
              <a:schemeClr val="accent1"/>
            </a:solidFill>
            <a:ln>
              <a:noFill/>
            </a:ln>
            <a:effectLst>
              <a:outerShdw blurRad="50800" dist="50800" dir="5400000" algn="ctr" rotWithShape="0">
                <a:schemeClr val="bg1"/>
              </a:outerShdw>
            </a:effectLst>
          </c:spPr>
          <c:invertIfNegative val="0"/>
          <c:cat>
            <c:strRef>
              <c:f>Sheet1!$A$2:$A$8</c:f>
              <c:strCache>
                <c:ptCount val="7"/>
                <c:pt idx="0">
                  <c:v>2022 թ փաստ</c:v>
                </c:pt>
                <c:pt idx="1">
                  <c:v>2023 թ փաստ</c:v>
                </c:pt>
                <c:pt idx="2">
                  <c:v>2024թ փաստ</c:v>
                </c:pt>
                <c:pt idx="3">
                  <c:v>2025թ բյուջե</c:v>
                </c:pt>
                <c:pt idx="4">
                  <c:v>2026թ ծրագիր</c:v>
                </c:pt>
                <c:pt idx="5">
                  <c:v>2027թ ծրագիր</c:v>
                </c:pt>
                <c:pt idx="6">
                  <c:v>2028թ ծրագիր</c:v>
                </c:pt>
              </c:strCache>
            </c:strRef>
          </c:cat>
          <c:val>
            <c:numRef>
              <c:f>Sheet1!$B$2:$B$8</c:f>
              <c:numCache>
                <c:formatCode>#,##0.0</c:formatCode>
                <c:ptCount val="7"/>
                <c:pt idx="0">
                  <c:v>2242.62545361</c:v>
                </c:pt>
                <c:pt idx="1">
                  <c:v>2547.6498919400005</c:v>
                </c:pt>
                <c:pt idx="2">
                  <c:v>2955.3188979900001</c:v>
                </c:pt>
                <c:pt idx="3">
                  <c:v>3441.6462515999997</c:v>
                </c:pt>
                <c:pt idx="4">
                  <c:v>3627.6</c:v>
                </c:pt>
                <c:pt idx="5">
                  <c:v>3801</c:v>
                </c:pt>
                <c:pt idx="6">
                  <c:v>4030.6</c:v>
                </c:pt>
              </c:numCache>
            </c:numRef>
          </c:val>
          <c:extLst>
            <c:ext xmlns:c16="http://schemas.microsoft.com/office/drawing/2014/chart" uri="{C3380CC4-5D6E-409C-BE32-E72D297353CC}">
              <c16:uniqueId val="{00000000-39C1-4B46-87EF-65683CB1C14D}"/>
            </c:ext>
          </c:extLst>
        </c:ser>
        <c:dLbls>
          <c:showLegendKey val="0"/>
          <c:showVal val="0"/>
          <c:showCatName val="0"/>
          <c:showSerName val="0"/>
          <c:showPercent val="0"/>
          <c:showBubbleSize val="0"/>
        </c:dLbls>
        <c:gapWidth val="150"/>
        <c:overlap val="100"/>
        <c:axId val="272977920"/>
        <c:axId val="272979456"/>
      </c:barChart>
      <c:barChart>
        <c:barDir val="col"/>
        <c:grouping val="stacked"/>
        <c:varyColors val="0"/>
        <c:ser>
          <c:idx val="1"/>
          <c:order val="1"/>
          <c:tx>
            <c:strRef>
              <c:f>Sheet1!$C$1</c:f>
              <c:strCache>
                <c:ptCount val="1"/>
                <c:pt idx="0">
                  <c:v>Ընթացիկ ծախսեր</c:v>
                </c:pt>
              </c:strCache>
            </c:strRef>
          </c:tx>
          <c:spPr>
            <a:solidFill>
              <a:schemeClr val="tx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bg1"/>
                    </a:solidFill>
                    <a:latin typeface="Calibri" panose="020F0502020204030204" pitchFamily="34" charset="0"/>
                    <a:ea typeface="Calibri" panose="020F0502020204030204" pitchFamily="34" charset="0"/>
                    <a:cs typeface="Calibri" panose="020F0502020204030204" pitchFamily="34"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6350" cap="flat" cmpd="sng" algn="ctr">
                      <a:solidFill>
                        <a:schemeClr val="tx1"/>
                      </a:solidFill>
                      <a:prstDash val="solid"/>
                      <a:round/>
                    </a:ln>
                    <a:effectLst/>
                  </c:spPr>
                </c15:leaderLines>
              </c:ext>
            </c:extLst>
          </c:dLbls>
          <c:cat>
            <c:strRef>
              <c:f>Sheet1!$A$2:$A$8</c:f>
              <c:strCache>
                <c:ptCount val="7"/>
                <c:pt idx="0">
                  <c:v>2022 թ փաստ</c:v>
                </c:pt>
                <c:pt idx="1">
                  <c:v>2023 թ փաստ</c:v>
                </c:pt>
                <c:pt idx="2">
                  <c:v>2024թ փաստ</c:v>
                </c:pt>
                <c:pt idx="3">
                  <c:v>2025թ բյուջե</c:v>
                </c:pt>
                <c:pt idx="4">
                  <c:v>2026թ ծրագիր</c:v>
                </c:pt>
                <c:pt idx="5">
                  <c:v>2027թ ծրագիր</c:v>
                </c:pt>
                <c:pt idx="6">
                  <c:v>2028թ ծրագիր</c:v>
                </c:pt>
              </c:strCache>
            </c:strRef>
          </c:cat>
          <c:val>
            <c:numRef>
              <c:f>Sheet1!$C$2:$C$8</c:f>
              <c:numCache>
                <c:formatCode>#,##0.0</c:formatCode>
                <c:ptCount val="7"/>
                <c:pt idx="0">
                  <c:v>1862.2313212700003</c:v>
                </c:pt>
                <c:pt idx="1">
                  <c:v>2075.0603464800001</c:v>
                </c:pt>
                <c:pt idx="2">
                  <c:v>2413.6324348000003</c:v>
                </c:pt>
                <c:pt idx="3">
                  <c:v>2706.7958083000003</c:v>
                </c:pt>
                <c:pt idx="4">
                  <c:v>2923.5</c:v>
                </c:pt>
                <c:pt idx="5">
                  <c:v>3081.9</c:v>
                </c:pt>
                <c:pt idx="6">
                  <c:v>3227.6</c:v>
                </c:pt>
              </c:numCache>
            </c:numRef>
          </c:val>
          <c:extLst>
            <c:ext xmlns:c16="http://schemas.microsoft.com/office/drawing/2014/chart" uri="{C3380CC4-5D6E-409C-BE32-E72D297353CC}">
              <c16:uniqueId val="{00000001-39C1-4B46-87EF-65683CB1C14D}"/>
            </c:ext>
          </c:extLst>
        </c:ser>
        <c:ser>
          <c:idx val="2"/>
          <c:order val="2"/>
          <c:tx>
            <c:strRef>
              <c:f>Sheet1!$D$1</c:f>
              <c:strCache>
                <c:ptCount val="1"/>
                <c:pt idx="0">
                  <c:v>Ոչ ֆինանսական ակտիվների գծով ծախս</c:v>
                </c:pt>
              </c:strCache>
            </c:strRef>
          </c:tx>
          <c:spPr>
            <a:solidFill>
              <a:schemeClr val="accent1">
                <a:lumMod val="60000"/>
                <a:lumOff val="4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solidFill>
                    <a:latin typeface="Calibri" panose="020F0502020204030204" pitchFamily="34" charset="0"/>
                    <a:ea typeface="Calibri" panose="020F0502020204030204" pitchFamily="34" charset="0"/>
                    <a:cs typeface="Calibri" panose="020F0502020204030204" pitchFamily="34"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prstDash val="solid"/>
                      <a:round/>
                    </a:ln>
                    <a:effectLst/>
                  </c:spPr>
                </c15:leaderLines>
              </c:ext>
            </c:extLst>
          </c:dLbls>
          <c:cat>
            <c:strRef>
              <c:f>Sheet1!$A$2:$A$8</c:f>
              <c:strCache>
                <c:ptCount val="7"/>
                <c:pt idx="0">
                  <c:v>2022 թ փաստ</c:v>
                </c:pt>
                <c:pt idx="1">
                  <c:v>2023 թ փաստ</c:v>
                </c:pt>
                <c:pt idx="2">
                  <c:v>2024թ փաստ</c:v>
                </c:pt>
                <c:pt idx="3">
                  <c:v>2025թ բյուջե</c:v>
                </c:pt>
                <c:pt idx="4">
                  <c:v>2026թ ծրագիր</c:v>
                </c:pt>
                <c:pt idx="5">
                  <c:v>2027թ ծրագիր</c:v>
                </c:pt>
                <c:pt idx="6">
                  <c:v>2028թ ծրագիր</c:v>
                </c:pt>
              </c:strCache>
            </c:strRef>
          </c:cat>
          <c:val>
            <c:numRef>
              <c:f>Sheet1!$D$2:$D$8</c:f>
              <c:numCache>
                <c:formatCode>#,##0.0</c:formatCode>
                <c:ptCount val="7"/>
                <c:pt idx="0">
                  <c:v>389.11973379</c:v>
                </c:pt>
                <c:pt idx="1">
                  <c:v>494.35393634000002</c:v>
                </c:pt>
                <c:pt idx="2">
                  <c:v>557.75169661000007</c:v>
                </c:pt>
                <c:pt idx="3">
                  <c:v>749.85044329999994</c:v>
                </c:pt>
                <c:pt idx="4">
                  <c:v>714.08964479999997</c:v>
                </c:pt>
                <c:pt idx="5">
                  <c:v>729.08593029999997</c:v>
                </c:pt>
                <c:pt idx="6">
                  <c:v>813.0756707999999</c:v>
                </c:pt>
              </c:numCache>
            </c:numRef>
          </c:val>
          <c:extLst>
            <c:ext xmlns:c16="http://schemas.microsoft.com/office/drawing/2014/chart" uri="{C3380CC4-5D6E-409C-BE32-E72D297353CC}">
              <c16:uniqueId val="{00000002-39C1-4B46-87EF-65683CB1C14D}"/>
            </c:ext>
          </c:extLst>
        </c:ser>
        <c:ser>
          <c:idx val="3"/>
          <c:order val="3"/>
          <c:tx>
            <c:strRef>
              <c:f>Sheet1!$E$1</c:f>
              <c:strCache>
                <c:ptCount val="1"/>
                <c:pt idx="0">
                  <c:v> Ոչ ֆինանսական ակտիվների օտարումից մուտքեր</c:v>
                </c:pt>
              </c:strCache>
            </c:strRef>
          </c:tx>
          <c:spPr>
            <a:solidFill>
              <a:schemeClr val="accent1">
                <a:lumMod val="60000"/>
              </a:schemeClr>
            </a:solidFill>
            <a:ln>
              <a:noFill/>
            </a:ln>
            <a:effectLst/>
          </c:spPr>
          <c:invertIfNegative val="0"/>
          <c:cat>
            <c:strRef>
              <c:f>Sheet1!$A$2:$A$8</c:f>
              <c:strCache>
                <c:ptCount val="7"/>
                <c:pt idx="0">
                  <c:v>2022 թ փաստ</c:v>
                </c:pt>
                <c:pt idx="1">
                  <c:v>2023 թ փաստ</c:v>
                </c:pt>
                <c:pt idx="2">
                  <c:v>2024թ փաստ</c:v>
                </c:pt>
                <c:pt idx="3">
                  <c:v>2025թ բյուջե</c:v>
                </c:pt>
                <c:pt idx="4">
                  <c:v>2026թ ծրագիր</c:v>
                </c:pt>
                <c:pt idx="5">
                  <c:v>2027թ ծրագիր</c:v>
                </c:pt>
                <c:pt idx="6">
                  <c:v>2028թ ծրագիր</c:v>
                </c:pt>
              </c:strCache>
            </c:strRef>
          </c:cat>
          <c:val>
            <c:numRef>
              <c:f>Sheet1!$E$2:$E$8</c:f>
              <c:numCache>
                <c:formatCode>#,##0.0</c:formatCode>
                <c:ptCount val="7"/>
                <c:pt idx="0">
                  <c:v>-8.7256014499999992</c:v>
                </c:pt>
                <c:pt idx="1">
                  <c:v>-21.764390880000001</c:v>
                </c:pt>
                <c:pt idx="2">
                  <c:v>-16.065233419999998</c:v>
                </c:pt>
                <c:pt idx="3">
                  <c:v>-15</c:v>
                </c:pt>
                <c:pt idx="4">
                  <c:v>-10</c:v>
                </c:pt>
                <c:pt idx="5">
                  <c:v>-10</c:v>
                </c:pt>
                <c:pt idx="6">
                  <c:v>-10</c:v>
                </c:pt>
              </c:numCache>
            </c:numRef>
          </c:val>
          <c:extLst>
            <c:ext xmlns:c16="http://schemas.microsoft.com/office/drawing/2014/chart" uri="{C3380CC4-5D6E-409C-BE32-E72D297353CC}">
              <c16:uniqueId val="{00000003-39C1-4B46-87EF-65683CB1C14D}"/>
            </c:ext>
          </c:extLst>
        </c:ser>
        <c:dLbls>
          <c:showLegendKey val="0"/>
          <c:showVal val="0"/>
          <c:showCatName val="0"/>
          <c:showSerName val="0"/>
          <c:showPercent val="0"/>
          <c:showBubbleSize val="0"/>
        </c:dLbls>
        <c:gapWidth val="150"/>
        <c:overlap val="100"/>
        <c:axId val="272986880"/>
        <c:axId val="272980992"/>
      </c:barChart>
      <c:catAx>
        <c:axId val="272977920"/>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prstDash val="solid"/>
            <a:round/>
          </a:ln>
          <a:effectLst/>
        </c:spPr>
        <c:txPr>
          <a:bodyPr rot="-60000000" spcFirstLastPara="1" vertOverflow="ellipsis" vert="horz" wrap="square" anchor="ctr" anchorCtr="1"/>
          <a:lstStyle/>
          <a:p>
            <a:pPr>
              <a:defRPr sz="800" b="1" i="0" u="none" strike="noStrike" kern="1200" baseline="0">
                <a:solidFill>
                  <a:schemeClr val="tx1"/>
                </a:solidFill>
                <a:latin typeface="Calibri" panose="020F0502020204030204" pitchFamily="34" charset="0"/>
                <a:ea typeface="Calibri" panose="020F0502020204030204" pitchFamily="34" charset="0"/>
                <a:cs typeface="Calibri" panose="020F0502020204030204" pitchFamily="34" charset="0"/>
              </a:defRPr>
            </a:pPr>
            <a:endParaRPr lang="en-US"/>
          </a:p>
        </c:txPr>
        <c:crossAx val="272979456"/>
        <c:crosses val="autoZero"/>
        <c:auto val="1"/>
        <c:lblAlgn val="ctr"/>
        <c:lblOffset val="100"/>
        <c:noMultiLvlLbl val="0"/>
      </c:catAx>
      <c:valAx>
        <c:axId val="272979456"/>
        <c:scaling>
          <c:orientation val="minMax"/>
          <c:max val="4000"/>
          <c:min val="-100"/>
        </c:scaling>
        <c:delete val="0"/>
        <c:axPos val="l"/>
        <c:numFmt formatCode="#,##0" sourceLinked="0"/>
        <c:majorTickMark val="out"/>
        <c:minorTickMark val="none"/>
        <c:tickLblPos val="nextTo"/>
        <c:spPr>
          <a:noFill/>
          <a:ln w="6350" cap="flat" cmpd="sng" algn="ctr">
            <a:noFill/>
            <a:prstDash val="solid"/>
            <a:round/>
          </a:ln>
          <a:effectLst/>
        </c:spPr>
        <c:txPr>
          <a:bodyPr rot="-60000000" spcFirstLastPara="1" vertOverflow="ellipsis" vert="horz" wrap="square" anchor="ctr" anchorCtr="1"/>
          <a:lstStyle/>
          <a:p>
            <a:pPr>
              <a:defRPr sz="800" b="0" i="0" u="none" strike="noStrike" kern="1200" baseline="0">
                <a:solidFill>
                  <a:schemeClr val="bg1">
                    <a:lumMod val="65000"/>
                  </a:schemeClr>
                </a:solidFill>
                <a:latin typeface="Calibri" panose="020F0502020204030204" pitchFamily="34" charset="0"/>
                <a:ea typeface="Calibri" panose="020F0502020204030204" pitchFamily="34" charset="0"/>
                <a:cs typeface="Calibri" panose="020F0502020204030204" pitchFamily="34" charset="0"/>
              </a:defRPr>
            </a:pPr>
            <a:endParaRPr lang="en-US"/>
          </a:p>
        </c:txPr>
        <c:crossAx val="272977920"/>
        <c:crosses val="autoZero"/>
        <c:crossBetween val="between"/>
      </c:valAx>
      <c:valAx>
        <c:axId val="272980992"/>
        <c:scaling>
          <c:orientation val="minMax"/>
        </c:scaling>
        <c:delete val="1"/>
        <c:axPos val="r"/>
        <c:numFmt formatCode="#,##0.0" sourceLinked="1"/>
        <c:majorTickMark val="out"/>
        <c:minorTickMark val="none"/>
        <c:tickLblPos val="nextTo"/>
        <c:crossAx val="272986880"/>
        <c:crosses val="max"/>
        <c:crossBetween val="between"/>
      </c:valAx>
      <c:catAx>
        <c:axId val="272986880"/>
        <c:scaling>
          <c:orientation val="minMax"/>
        </c:scaling>
        <c:delete val="1"/>
        <c:axPos val="t"/>
        <c:numFmt formatCode="General" sourceLinked="1"/>
        <c:majorTickMark val="out"/>
        <c:minorTickMark val="none"/>
        <c:tickLblPos val="nextTo"/>
        <c:crossAx val="272980992"/>
        <c:crosses val="max"/>
        <c:auto val="1"/>
        <c:lblAlgn val="ctr"/>
        <c:lblOffset val="100"/>
        <c:noMultiLvlLbl val="0"/>
      </c:catAx>
      <c:spPr>
        <a:noFill/>
        <a:ln>
          <a:noFill/>
        </a:ln>
        <a:effectLst/>
      </c:spPr>
    </c:plotArea>
    <c:legend>
      <c:legendPos val="b"/>
      <c:legendEntry>
        <c:idx val="0"/>
        <c:delete val="1"/>
      </c:legendEntry>
      <c:layout>
        <c:manualLayout>
          <c:xMode val="edge"/>
          <c:yMode val="edge"/>
          <c:x val="3.0209118296584098E-2"/>
          <c:y val="0.8565129963593261"/>
          <c:w val="0.95411362971366176"/>
          <c:h val="0.12584497502328337"/>
        </c:manualLayout>
      </c:layout>
      <c:overlay val="0"/>
      <c:spPr>
        <a:noFill/>
        <a:ln>
          <a:noFill/>
        </a:ln>
        <a:effectLst/>
      </c:spPr>
      <c:txPr>
        <a:bodyPr rot="0" spcFirstLastPara="1" vertOverflow="ellipsis" vert="horz" wrap="square" anchor="ctr" anchorCtr="1"/>
        <a:lstStyle/>
        <a:p>
          <a:pPr>
            <a:defRPr sz="800" b="0" i="0" u="none" strike="noStrike" kern="1200" baseline="0">
              <a:solidFill>
                <a:schemeClr val="tx1"/>
              </a:solidFill>
              <a:latin typeface="Calibri" panose="020F0502020204030204" pitchFamily="34" charset="0"/>
              <a:ea typeface="Calibri" panose="020F0502020204030204" pitchFamily="34" charset="0"/>
              <a:cs typeface="Calibri" panose="020F0502020204030204" pitchFamily="34" charset="0"/>
            </a:defRPr>
          </a:pPr>
          <a:endParaRPr lang="en-US"/>
        </a:p>
      </c:txPr>
    </c:legend>
    <c:plotVisOnly val="1"/>
    <c:dispBlanksAs val="gap"/>
    <c:showDLblsOverMax val="0"/>
  </c:chart>
  <c:spPr>
    <a:noFill/>
    <a:ln w="19050" cap="flat" cmpd="sng" algn="ctr">
      <a:solidFill>
        <a:schemeClr val="bg1"/>
      </a:solidFill>
      <a:prstDash val="solid"/>
      <a:round/>
    </a:ln>
    <a:effectLst/>
  </c:spPr>
  <c:txPr>
    <a:bodyPr/>
    <a:lstStyle/>
    <a:p>
      <a:pPr>
        <a:defRPr sz="800">
          <a:latin typeface="Calibri" panose="020F0502020204030204" pitchFamily="34" charset="0"/>
          <a:ea typeface="Calibri" panose="020F0502020204030204" pitchFamily="34" charset="0"/>
          <a:cs typeface="Calibri" panose="020F0502020204030204" pitchFamily="34" charset="0"/>
        </a:defRPr>
      </a:pPr>
      <a:endParaRPr lang="en-US"/>
    </a:p>
  </c:txPr>
  <c:externalData r:id="rId4">
    <c:autoUpdate val="0"/>
  </c:externalData>
</c:chartSpace>
</file>

<file path=word/charts/chart5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3"/>
    </mc:Choice>
    <mc:Fallback>
      <c:style val="3"/>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5.7476450413023523E-2"/>
          <c:y val="8.9808668488871535E-2"/>
          <c:w val="0.92002866206141409"/>
          <c:h val="0.56458014985534066"/>
        </c:manualLayout>
      </c:layout>
      <c:barChart>
        <c:barDir val="col"/>
        <c:grouping val="stacked"/>
        <c:varyColors val="0"/>
        <c:ser>
          <c:idx val="0"/>
          <c:order val="0"/>
          <c:tx>
            <c:strRef>
              <c:f>Sheet1!$B$1</c:f>
              <c:strCache>
                <c:ptCount val="1"/>
                <c:pt idx="0">
                  <c:v>Ընդամենը ծախսեր</c:v>
                </c:pt>
              </c:strCache>
            </c:strRef>
          </c:tx>
          <c:spPr>
            <a:solidFill>
              <a:schemeClr val="accent1">
                <a:tint val="46000"/>
              </a:schemeClr>
            </a:solidFill>
            <a:ln>
              <a:noFill/>
            </a:ln>
            <a:effectLst/>
          </c:spPr>
          <c:invertIfNegative val="0"/>
          <c:dPt>
            <c:idx val="3"/>
            <c:invertIfNegative val="0"/>
            <c:bubble3D val="0"/>
            <c:extLst>
              <c:ext xmlns:c16="http://schemas.microsoft.com/office/drawing/2014/chart" uri="{C3380CC4-5D6E-409C-BE32-E72D297353CC}">
                <c16:uniqueId val="{00000000-D357-4075-99E0-216EE466F2F6}"/>
              </c:ext>
            </c:extLst>
          </c:dPt>
          <c:cat>
            <c:strRef>
              <c:f>Sheet1!$A$2:$A$8</c:f>
              <c:strCache>
                <c:ptCount val="7"/>
                <c:pt idx="0">
                  <c:v>2022 թ փաստ</c:v>
                </c:pt>
                <c:pt idx="1">
                  <c:v>2023 թ փաստ</c:v>
                </c:pt>
                <c:pt idx="2">
                  <c:v>2024թ փաստ</c:v>
                </c:pt>
                <c:pt idx="3">
                  <c:v>2025թ բյուջե</c:v>
                </c:pt>
                <c:pt idx="4">
                  <c:v>2026թ ծրագիր</c:v>
                </c:pt>
                <c:pt idx="5">
                  <c:v>2027թ ծրագիր</c:v>
                </c:pt>
                <c:pt idx="6">
                  <c:v>2028թ ծրագիր</c:v>
                </c:pt>
              </c:strCache>
            </c:strRef>
          </c:cat>
          <c:val>
            <c:numRef>
              <c:f>Sheet1!$B$2:$B$8</c:f>
              <c:numCache>
                <c:formatCode>0.0</c:formatCode>
                <c:ptCount val="7"/>
                <c:pt idx="0">
                  <c:v>21.904868612992043</c:v>
                </c:pt>
                <c:pt idx="1">
                  <c:v>21.85996545172442</c:v>
                </c:pt>
                <c:pt idx="2">
                  <c:v>23.678348853303369</c:v>
                </c:pt>
                <c:pt idx="3">
                  <c:v>24.852341094615895</c:v>
                </c:pt>
                <c:pt idx="4">
                  <c:v>24.500000000000004</c:v>
                </c:pt>
                <c:pt idx="5">
                  <c:v>23.793740384903771</c:v>
                </c:pt>
                <c:pt idx="6">
                  <c:v>22.970600915355575</c:v>
                </c:pt>
              </c:numCache>
            </c:numRef>
          </c:val>
          <c:extLst>
            <c:ext xmlns:c16="http://schemas.microsoft.com/office/drawing/2014/chart" uri="{C3380CC4-5D6E-409C-BE32-E72D297353CC}">
              <c16:uniqueId val="{00000001-D357-4075-99E0-216EE466F2F6}"/>
            </c:ext>
          </c:extLst>
        </c:ser>
        <c:dLbls>
          <c:showLegendKey val="0"/>
          <c:showVal val="0"/>
          <c:showCatName val="0"/>
          <c:showSerName val="0"/>
          <c:showPercent val="0"/>
          <c:showBubbleSize val="0"/>
        </c:dLbls>
        <c:gapWidth val="150"/>
        <c:overlap val="100"/>
        <c:axId val="273980032"/>
        <c:axId val="273998208"/>
      </c:barChart>
      <c:barChart>
        <c:barDir val="col"/>
        <c:grouping val="stacked"/>
        <c:varyColors val="0"/>
        <c:ser>
          <c:idx val="1"/>
          <c:order val="1"/>
          <c:tx>
            <c:strRef>
              <c:f>Sheet1!$C$1</c:f>
              <c:strCache>
                <c:ptCount val="1"/>
                <c:pt idx="0">
                  <c:v>Աշխատանքի վարձատրություն</c:v>
                </c:pt>
              </c:strCache>
            </c:strRef>
          </c:tx>
          <c:spPr>
            <a:solidFill>
              <a:schemeClr val="accent1">
                <a:tint val="62000"/>
              </a:schemeClr>
            </a:solidFill>
            <a:ln>
              <a:noFill/>
            </a:ln>
            <a:effectLst/>
          </c:spPr>
          <c:invertIfNegative val="0"/>
          <c:dLbls>
            <c:dLbl>
              <c:idx val="4"/>
              <c:layout/>
              <c:tx>
                <c:rich>
                  <a:bodyPr/>
                  <a:lstStyle/>
                  <a:p>
                    <a:r>
                      <a:rPr lang="en-US"/>
                      <a:t>2.4</a:t>
                    </a:r>
                  </a:p>
                </c:rich>
              </c:tx>
              <c:dLblPos val="ct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2-D357-4075-99E0-216EE466F2F6}"/>
                </c:ext>
              </c:extLst>
            </c:dLbl>
            <c:spPr>
              <a:noFill/>
              <a:ln>
                <a:noFill/>
              </a:ln>
              <a:effectLst/>
            </c:spPr>
            <c:txPr>
              <a:bodyPr rot="0" spcFirstLastPara="1" vertOverflow="ellipsis" vert="horz" wrap="square" anchor="ctr" anchorCtr="1"/>
              <a:lstStyle/>
              <a:p>
                <a:pPr>
                  <a:defRPr sz="800" b="1" i="0" u="none" strike="noStrike" kern="1200" baseline="0">
                    <a:solidFill>
                      <a:schemeClr val="bg1"/>
                    </a:solidFill>
                    <a:latin typeface="Calibri" panose="020F0502020204030204" pitchFamily="34" charset="0"/>
                    <a:ea typeface="Calibri" panose="020F0502020204030204" pitchFamily="34" charset="0"/>
                    <a:cs typeface="Calibri" panose="020F0502020204030204" pitchFamily="34" charset="0"/>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prstDash val="solid"/>
                      <a:round/>
                    </a:ln>
                    <a:effectLst/>
                  </c:spPr>
                </c15:leaderLines>
              </c:ext>
            </c:extLst>
          </c:dLbls>
          <c:cat>
            <c:strRef>
              <c:f>Sheet1!$A$2:$A$8</c:f>
              <c:strCache>
                <c:ptCount val="7"/>
                <c:pt idx="0">
                  <c:v>2022 թ փաստ</c:v>
                </c:pt>
                <c:pt idx="1">
                  <c:v>2023 թ փաստ</c:v>
                </c:pt>
                <c:pt idx="2">
                  <c:v>2024թ փաստ</c:v>
                </c:pt>
                <c:pt idx="3">
                  <c:v>2025թ բյուջե</c:v>
                </c:pt>
                <c:pt idx="4">
                  <c:v>2026թ ծրագիր</c:v>
                </c:pt>
                <c:pt idx="5">
                  <c:v>2027թ ծրագիր</c:v>
                </c:pt>
                <c:pt idx="6">
                  <c:v>2028թ ծրագիր</c:v>
                </c:pt>
              </c:strCache>
            </c:strRef>
          </c:cat>
          <c:val>
            <c:numRef>
              <c:f>Sheet1!$C$2:$C$8</c:f>
              <c:numCache>
                <c:formatCode>0.0</c:formatCode>
                <c:ptCount val="7"/>
                <c:pt idx="0">
                  <c:v>2.2830133794597427</c:v>
                </c:pt>
                <c:pt idx="1">
                  <c:v>2.2969454234058935</c:v>
                </c:pt>
                <c:pt idx="2">
                  <c:v>2.38117742431234</c:v>
                </c:pt>
                <c:pt idx="3">
                  <c:v>2.3961000931122398</c:v>
                </c:pt>
                <c:pt idx="4">
                  <c:v>2.2000000000000002</c:v>
                </c:pt>
                <c:pt idx="5">
                  <c:v>2.0942357428115153</c:v>
                </c:pt>
                <c:pt idx="6">
                  <c:v>1.9437946639022554</c:v>
                </c:pt>
              </c:numCache>
            </c:numRef>
          </c:val>
          <c:extLst>
            <c:ext xmlns:c16="http://schemas.microsoft.com/office/drawing/2014/chart" uri="{C3380CC4-5D6E-409C-BE32-E72D297353CC}">
              <c16:uniqueId val="{00000003-D357-4075-99E0-216EE466F2F6}"/>
            </c:ext>
          </c:extLst>
        </c:ser>
        <c:ser>
          <c:idx val="2"/>
          <c:order val="2"/>
          <c:tx>
            <c:strRef>
              <c:f>Sheet1!$D$1</c:f>
              <c:strCache>
                <c:ptCount val="1"/>
                <c:pt idx="0">
                  <c:v>Ծառայությունների և ապրանքների ձեռքբերում</c:v>
                </c:pt>
              </c:strCache>
            </c:strRef>
          </c:tx>
          <c:spPr>
            <a:solidFill>
              <a:schemeClr val="accent1">
                <a:tint val="77000"/>
              </a:schemeClr>
            </a:solidFill>
            <a:ln>
              <a:noFill/>
            </a:ln>
            <a:effectLst/>
          </c:spPr>
          <c:invertIfNegative val="0"/>
          <c:dLbls>
            <c:spPr>
              <a:noFill/>
              <a:ln>
                <a:noFill/>
              </a:ln>
              <a:effectLst/>
            </c:spPr>
            <c:txPr>
              <a:bodyPr rot="0" spcFirstLastPara="1" vertOverflow="ellipsis" vert="horz" wrap="square" anchor="ctr" anchorCtr="1"/>
              <a:lstStyle/>
              <a:p>
                <a:pPr>
                  <a:defRPr sz="800" b="1" i="0" u="none" strike="noStrike" kern="1200" baseline="0">
                    <a:solidFill>
                      <a:schemeClr val="bg1"/>
                    </a:solidFill>
                    <a:latin typeface="Calibri" panose="020F0502020204030204" pitchFamily="34" charset="0"/>
                    <a:ea typeface="Calibri" panose="020F0502020204030204" pitchFamily="34" charset="0"/>
                    <a:cs typeface="Calibri" panose="020F0502020204030204" pitchFamily="34" charset="0"/>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prstDash val="solid"/>
                      <a:round/>
                    </a:ln>
                    <a:effectLst/>
                  </c:spPr>
                </c15:leaderLines>
              </c:ext>
            </c:extLst>
          </c:dLbls>
          <c:cat>
            <c:strRef>
              <c:f>Sheet1!$A$2:$A$8</c:f>
              <c:strCache>
                <c:ptCount val="7"/>
                <c:pt idx="0">
                  <c:v>2022 թ փաստ</c:v>
                </c:pt>
                <c:pt idx="1">
                  <c:v>2023 թ փաստ</c:v>
                </c:pt>
                <c:pt idx="2">
                  <c:v>2024թ փաստ</c:v>
                </c:pt>
                <c:pt idx="3">
                  <c:v>2025թ բյուջե</c:v>
                </c:pt>
                <c:pt idx="4">
                  <c:v>2026թ ծրագիր</c:v>
                </c:pt>
                <c:pt idx="5">
                  <c:v>2027թ ծրագիր</c:v>
                </c:pt>
                <c:pt idx="6">
                  <c:v>2028թ ծրագիր</c:v>
                </c:pt>
              </c:strCache>
            </c:strRef>
          </c:cat>
          <c:val>
            <c:numRef>
              <c:f>Sheet1!$D$2:$D$8</c:f>
              <c:numCache>
                <c:formatCode>0.0</c:formatCode>
                <c:ptCount val="7"/>
                <c:pt idx="0">
                  <c:v>2.4143742245881041</c:v>
                </c:pt>
                <c:pt idx="1">
                  <c:v>2.0135057255589279</c:v>
                </c:pt>
                <c:pt idx="2">
                  <c:v>1.0664397396817533</c:v>
                </c:pt>
                <c:pt idx="3">
                  <c:v>0.87041218196611636</c:v>
                </c:pt>
                <c:pt idx="4">
                  <c:v>0.8</c:v>
                </c:pt>
                <c:pt idx="5">
                  <c:v>0.68497945780855152</c:v>
                </c:pt>
                <c:pt idx="6">
                  <c:v>0.64216555891140903</c:v>
                </c:pt>
              </c:numCache>
            </c:numRef>
          </c:val>
          <c:extLst>
            <c:ext xmlns:c16="http://schemas.microsoft.com/office/drawing/2014/chart" uri="{C3380CC4-5D6E-409C-BE32-E72D297353CC}">
              <c16:uniqueId val="{00000004-D357-4075-99E0-216EE466F2F6}"/>
            </c:ext>
          </c:extLst>
        </c:ser>
        <c:ser>
          <c:idx val="3"/>
          <c:order val="3"/>
          <c:tx>
            <c:strRef>
              <c:f>Sheet1!$E$1</c:f>
              <c:strCache>
                <c:ptCount val="1"/>
                <c:pt idx="0">
                  <c:v>Տոկոսավճարներ</c:v>
                </c:pt>
              </c:strCache>
            </c:strRef>
          </c:tx>
          <c:spPr>
            <a:solidFill>
              <a:schemeClr val="accent1">
                <a:tint val="93000"/>
              </a:schemeClr>
            </a:solidFill>
            <a:ln>
              <a:noFill/>
            </a:ln>
            <a:effectLst/>
          </c:spPr>
          <c:invertIfNegative val="0"/>
          <c:dLbls>
            <c:dLbl>
              <c:idx val="4"/>
              <c:layout/>
              <c:tx>
                <c:rich>
                  <a:bodyPr/>
                  <a:lstStyle/>
                  <a:p>
                    <a:r>
                      <a:rPr lang="en-US"/>
                      <a:t>3.6</a:t>
                    </a:r>
                  </a:p>
                </c:rich>
              </c:tx>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5-D357-4075-99E0-216EE466F2F6}"/>
                </c:ext>
              </c:extLst>
            </c:dLbl>
            <c:spPr>
              <a:noFill/>
              <a:ln>
                <a:noFill/>
              </a:ln>
              <a:effectLst/>
            </c:spPr>
            <c:txPr>
              <a:bodyPr rot="0" spcFirstLastPara="1" vertOverflow="ellipsis" vert="horz" wrap="square" anchor="ctr" anchorCtr="1"/>
              <a:lstStyle/>
              <a:p>
                <a:pPr>
                  <a:defRPr sz="800" b="1" i="0" u="none" strike="noStrike" kern="1200" baseline="0">
                    <a:solidFill>
                      <a:schemeClr val="bg1"/>
                    </a:solidFill>
                    <a:latin typeface="Calibri" panose="020F0502020204030204" pitchFamily="34" charset="0"/>
                    <a:ea typeface="Calibri" panose="020F0502020204030204" pitchFamily="34" charset="0"/>
                    <a:cs typeface="Calibri" panose="020F0502020204030204" pitchFamily="34"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prstDash val="solid"/>
                      <a:round/>
                    </a:ln>
                    <a:effectLst/>
                  </c:spPr>
                </c15:leaderLines>
              </c:ext>
            </c:extLst>
          </c:dLbls>
          <c:cat>
            <c:strRef>
              <c:f>Sheet1!$A$2:$A$8</c:f>
              <c:strCache>
                <c:ptCount val="7"/>
                <c:pt idx="0">
                  <c:v>2022 թ փաստ</c:v>
                </c:pt>
                <c:pt idx="1">
                  <c:v>2023 թ փաստ</c:v>
                </c:pt>
                <c:pt idx="2">
                  <c:v>2024թ փաստ</c:v>
                </c:pt>
                <c:pt idx="3">
                  <c:v>2025թ բյուջե</c:v>
                </c:pt>
                <c:pt idx="4">
                  <c:v>2026թ ծրագիր</c:v>
                </c:pt>
                <c:pt idx="5">
                  <c:v>2027թ ծրագիր</c:v>
                </c:pt>
                <c:pt idx="6">
                  <c:v>2028թ ծրագիր</c:v>
                </c:pt>
              </c:strCache>
            </c:strRef>
          </c:cat>
          <c:val>
            <c:numRef>
              <c:f>Sheet1!$E$2:$E$8</c:f>
              <c:numCache>
                <c:formatCode>0.0</c:formatCode>
                <c:ptCount val="7"/>
                <c:pt idx="0">
                  <c:v>2.3326951250218584</c:v>
                </c:pt>
                <c:pt idx="1">
                  <c:v>2.6696059693057297</c:v>
                </c:pt>
                <c:pt idx="2">
                  <c:v>3.0763306673083362</c:v>
                </c:pt>
                <c:pt idx="3">
                  <c:v>3.6185361799729248</c:v>
                </c:pt>
                <c:pt idx="4">
                  <c:v>3.5</c:v>
                </c:pt>
                <c:pt idx="5">
                  <c:v>3.6477760740344221</c:v>
                </c:pt>
                <c:pt idx="6">
                  <c:v>3.667214183254925</c:v>
                </c:pt>
              </c:numCache>
            </c:numRef>
          </c:val>
          <c:extLst>
            <c:ext xmlns:c16="http://schemas.microsoft.com/office/drawing/2014/chart" uri="{C3380CC4-5D6E-409C-BE32-E72D297353CC}">
              <c16:uniqueId val="{00000006-D357-4075-99E0-216EE466F2F6}"/>
            </c:ext>
          </c:extLst>
        </c:ser>
        <c:ser>
          <c:idx val="4"/>
          <c:order val="4"/>
          <c:tx>
            <c:strRef>
              <c:f>Sheet1!$F$1</c:f>
              <c:strCache>
                <c:ptCount val="1"/>
                <c:pt idx="0">
                  <c:v>Սուբսիդիաներ</c:v>
                </c:pt>
              </c:strCache>
            </c:strRef>
          </c:tx>
          <c:spPr>
            <a:solidFill>
              <a:schemeClr val="accent1">
                <a:shade val="92000"/>
              </a:schemeClr>
            </a:solidFill>
            <a:ln>
              <a:noFill/>
            </a:ln>
            <a:effectLst/>
          </c:spPr>
          <c:invertIfNegative val="0"/>
          <c:dLbls>
            <c:spPr>
              <a:noFill/>
              <a:ln>
                <a:noFill/>
              </a:ln>
              <a:effectLst/>
            </c:spPr>
            <c:txPr>
              <a:bodyPr rot="0" spcFirstLastPara="1" vertOverflow="ellipsis" vert="horz" wrap="square" anchor="ctr" anchorCtr="1"/>
              <a:lstStyle/>
              <a:p>
                <a:pPr>
                  <a:defRPr sz="800" b="1" i="0" u="none" strike="noStrike" kern="1200" baseline="0">
                    <a:solidFill>
                      <a:schemeClr val="bg1"/>
                    </a:solidFill>
                    <a:latin typeface="Calibri" panose="020F0502020204030204" pitchFamily="34" charset="0"/>
                    <a:ea typeface="Calibri" panose="020F0502020204030204" pitchFamily="34" charset="0"/>
                    <a:cs typeface="Calibri" panose="020F0502020204030204" pitchFamily="34" charset="0"/>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prstDash val="solid"/>
                      <a:round/>
                    </a:ln>
                    <a:effectLst/>
                  </c:spPr>
                </c15:leaderLines>
              </c:ext>
            </c:extLst>
          </c:dLbls>
          <c:cat>
            <c:strRef>
              <c:f>Sheet1!$A$2:$A$8</c:f>
              <c:strCache>
                <c:ptCount val="7"/>
                <c:pt idx="0">
                  <c:v>2022 թ փաստ</c:v>
                </c:pt>
                <c:pt idx="1">
                  <c:v>2023 թ փաստ</c:v>
                </c:pt>
                <c:pt idx="2">
                  <c:v>2024թ փաստ</c:v>
                </c:pt>
                <c:pt idx="3">
                  <c:v>2025թ բյուջե</c:v>
                </c:pt>
                <c:pt idx="4">
                  <c:v>2026թ ծրագիր</c:v>
                </c:pt>
                <c:pt idx="5">
                  <c:v>2027թ ծրագիր</c:v>
                </c:pt>
                <c:pt idx="6">
                  <c:v>2028թ ծրագիր</c:v>
                </c:pt>
              </c:strCache>
            </c:strRef>
          </c:cat>
          <c:val>
            <c:numRef>
              <c:f>Sheet1!$F$2:$F$8</c:f>
              <c:numCache>
                <c:formatCode>0.0</c:formatCode>
                <c:ptCount val="7"/>
                <c:pt idx="0">
                  <c:v>1.7703535304227067</c:v>
                </c:pt>
                <c:pt idx="1">
                  <c:v>1.7278169860644823</c:v>
                </c:pt>
                <c:pt idx="2">
                  <c:v>1.8416071572204067</c:v>
                </c:pt>
                <c:pt idx="3">
                  <c:v>1.7717259465683921</c:v>
                </c:pt>
                <c:pt idx="4">
                  <c:v>1.8</c:v>
                </c:pt>
                <c:pt idx="5">
                  <c:v>1.5971447459566295</c:v>
                </c:pt>
                <c:pt idx="6">
                  <c:v>1.3679708021466932</c:v>
                </c:pt>
              </c:numCache>
            </c:numRef>
          </c:val>
          <c:extLst>
            <c:ext xmlns:c16="http://schemas.microsoft.com/office/drawing/2014/chart" uri="{C3380CC4-5D6E-409C-BE32-E72D297353CC}">
              <c16:uniqueId val="{00000007-D357-4075-99E0-216EE466F2F6}"/>
            </c:ext>
          </c:extLst>
        </c:ser>
        <c:ser>
          <c:idx val="5"/>
          <c:order val="5"/>
          <c:tx>
            <c:strRef>
              <c:f>Sheet1!$G$1</c:f>
              <c:strCache>
                <c:ptCount val="1"/>
                <c:pt idx="0">
                  <c:v>Դրամաշնորհներ</c:v>
                </c:pt>
              </c:strCache>
            </c:strRef>
          </c:tx>
          <c:spPr>
            <a:solidFill>
              <a:schemeClr val="accent1">
                <a:shade val="76000"/>
              </a:schemeClr>
            </a:solidFill>
            <a:ln>
              <a:noFill/>
            </a:ln>
            <a:effectLst/>
          </c:spPr>
          <c:invertIfNegative val="0"/>
          <c:dLbls>
            <c:dLbl>
              <c:idx val="4"/>
              <c:layout/>
              <c:tx>
                <c:rich>
                  <a:bodyPr/>
                  <a:lstStyle/>
                  <a:p>
                    <a:r>
                      <a:rPr lang="en-US"/>
                      <a:t>3.1</a:t>
                    </a:r>
                  </a:p>
                </c:rich>
              </c:tx>
              <c:dLblPos val="ct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8-D357-4075-99E0-216EE466F2F6}"/>
                </c:ext>
              </c:extLst>
            </c:dLbl>
            <c:spPr>
              <a:noFill/>
              <a:ln>
                <a:noFill/>
              </a:ln>
              <a:effectLst/>
            </c:spPr>
            <c:txPr>
              <a:bodyPr rot="0" spcFirstLastPara="1" vertOverflow="ellipsis" vert="horz" wrap="square" anchor="ctr" anchorCtr="1"/>
              <a:lstStyle/>
              <a:p>
                <a:pPr>
                  <a:defRPr sz="800" b="1" i="0" u="none" strike="noStrike" kern="1200" baseline="0">
                    <a:solidFill>
                      <a:schemeClr val="bg1"/>
                    </a:solidFill>
                    <a:latin typeface="Calibri" panose="020F0502020204030204" pitchFamily="34" charset="0"/>
                    <a:ea typeface="Calibri" panose="020F0502020204030204" pitchFamily="34" charset="0"/>
                    <a:cs typeface="Calibri" panose="020F0502020204030204" pitchFamily="34" charset="0"/>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prstDash val="solid"/>
                      <a:round/>
                    </a:ln>
                    <a:effectLst/>
                  </c:spPr>
                </c15:leaderLines>
              </c:ext>
            </c:extLst>
          </c:dLbls>
          <c:cat>
            <c:strRef>
              <c:f>Sheet1!$A$2:$A$8</c:f>
              <c:strCache>
                <c:ptCount val="7"/>
                <c:pt idx="0">
                  <c:v>2022 թ փաստ</c:v>
                </c:pt>
                <c:pt idx="1">
                  <c:v>2023 թ փաստ</c:v>
                </c:pt>
                <c:pt idx="2">
                  <c:v>2024թ փաստ</c:v>
                </c:pt>
                <c:pt idx="3">
                  <c:v>2025թ բյուջե</c:v>
                </c:pt>
                <c:pt idx="4">
                  <c:v>2026թ ծրագիր</c:v>
                </c:pt>
                <c:pt idx="5">
                  <c:v>2027թ ծրագիր</c:v>
                </c:pt>
                <c:pt idx="6">
                  <c:v>2028թ ծրագիր</c:v>
                </c:pt>
              </c:strCache>
            </c:strRef>
          </c:cat>
          <c:val>
            <c:numRef>
              <c:f>Sheet1!$G$2:$G$8</c:f>
              <c:numCache>
                <c:formatCode>0.0</c:formatCode>
                <c:ptCount val="7"/>
                <c:pt idx="0">
                  <c:v>2.80631229446593</c:v>
                </c:pt>
                <c:pt idx="1">
                  <c:v>2.9602621561497151</c:v>
                </c:pt>
                <c:pt idx="2">
                  <c:v>2.9765700193731925</c:v>
                </c:pt>
                <c:pt idx="3">
                  <c:v>3.0530003221205946</c:v>
                </c:pt>
                <c:pt idx="4">
                  <c:v>2.6</c:v>
                </c:pt>
                <c:pt idx="5">
                  <c:v>2.5563313001296653</c:v>
                </c:pt>
                <c:pt idx="6">
                  <c:v>2.5695667587126172</c:v>
                </c:pt>
              </c:numCache>
            </c:numRef>
          </c:val>
          <c:extLst>
            <c:ext xmlns:c16="http://schemas.microsoft.com/office/drawing/2014/chart" uri="{C3380CC4-5D6E-409C-BE32-E72D297353CC}">
              <c16:uniqueId val="{00000009-D357-4075-99E0-216EE466F2F6}"/>
            </c:ext>
          </c:extLst>
        </c:ser>
        <c:ser>
          <c:idx val="6"/>
          <c:order val="6"/>
          <c:tx>
            <c:strRef>
              <c:f>Sheet1!$H$1</c:f>
              <c:strCache>
                <c:ptCount val="1"/>
                <c:pt idx="0">
                  <c:v>Սոցիալական նպաստներ և կենսաթոշակներ</c:v>
                </c:pt>
              </c:strCache>
            </c:strRef>
          </c:tx>
          <c:spPr>
            <a:solidFill>
              <a:schemeClr val="accent1">
                <a:shade val="61000"/>
              </a:schemeClr>
            </a:solidFill>
            <a:ln>
              <a:noFill/>
            </a:ln>
            <a:effectLst/>
          </c:spPr>
          <c:invertIfNegative val="0"/>
          <c:dLbls>
            <c:dLbl>
              <c:idx val="4"/>
              <c:layout/>
              <c:tx>
                <c:rich>
                  <a:bodyPr/>
                  <a:lstStyle/>
                  <a:p>
                    <a:r>
                      <a:rPr lang="en-US"/>
                      <a:t>10</a:t>
                    </a:r>
                  </a:p>
                </c:rich>
              </c:tx>
              <c:dLblPos val="ct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A-D357-4075-99E0-216EE466F2F6}"/>
                </c:ext>
              </c:extLst>
            </c:dLbl>
            <c:spPr>
              <a:noFill/>
              <a:ln>
                <a:noFill/>
              </a:ln>
              <a:effectLst/>
            </c:spPr>
            <c:txPr>
              <a:bodyPr rot="0" spcFirstLastPara="1" vertOverflow="ellipsis" vert="horz" wrap="square" anchor="ctr" anchorCtr="1"/>
              <a:lstStyle/>
              <a:p>
                <a:pPr>
                  <a:defRPr sz="800" b="1" i="0" u="none" strike="noStrike" kern="1200" baseline="0">
                    <a:solidFill>
                      <a:schemeClr val="bg1"/>
                    </a:solidFill>
                    <a:latin typeface="Calibri" panose="020F0502020204030204" pitchFamily="34" charset="0"/>
                    <a:ea typeface="Calibri" panose="020F0502020204030204" pitchFamily="34" charset="0"/>
                    <a:cs typeface="Calibri" panose="020F0502020204030204" pitchFamily="34" charset="0"/>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prstDash val="solid"/>
                      <a:round/>
                    </a:ln>
                    <a:effectLst/>
                  </c:spPr>
                </c15:leaderLines>
              </c:ext>
            </c:extLst>
          </c:dLbls>
          <c:cat>
            <c:strRef>
              <c:f>Sheet1!$A$2:$A$8</c:f>
              <c:strCache>
                <c:ptCount val="7"/>
                <c:pt idx="0">
                  <c:v>2022 թ փաստ</c:v>
                </c:pt>
                <c:pt idx="1">
                  <c:v>2023 թ փաստ</c:v>
                </c:pt>
                <c:pt idx="2">
                  <c:v>2024թ փաստ</c:v>
                </c:pt>
                <c:pt idx="3">
                  <c:v>2025թ բյուջե</c:v>
                </c:pt>
                <c:pt idx="4">
                  <c:v>2026թ ծրագիր</c:v>
                </c:pt>
                <c:pt idx="5">
                  <c:v>2027թ ծրագիր</c:v>
                </c:pt>
                <c:pt idx="6">
                  <c:v>2028թ ծրագիր</c:v>
                </c:pt>
              </c:strCache>
            </c:strRef>
          </c:cat>
          <c:val>
            <c:numRef>
              <c:f>Sheet1!$H$2:$H$8</c:f>
              <c:numCache>
                <c:formatCode>0.0</c:formatCode>
                <c:ptCount val="7"/>
                <c:pt idx="0">
                  <c:v>7.2118206127298734</c:v>
                </c:pt>
                <c:pt idx="1">
                  <c:v>7.4819285782903702</c:v>
                </c:pt>
                <c:pt idx="2">
                  <c:v>10.067260110455816</c:v>
                </c:pt>
                <c:pt idx="3">
                  <c:v>10.027953861551365</c:v>
                </c:pt>
                <c:pt idx="4">
                  <c:v>10.8</c:v>
                </c:pt>
                <c:pt idx="5">
                  <c:v>10.797142833940955</c:v>
                </c:pt>
                <c:pt idx="6">
                  <c:v>10.491982066875712</c:v>
                </c:pt>
              </c:numCache>
            </c:numRef>
          </c:val>
          <c:extLst>
            <c:ext xmlns:c16="http://schemas.microsoft.com/office/drawing/2014/chart" uri="{C3380CC4-5D6E-409C-BE32-E72D297353CC}">
              <c16:uniqueId val="{0000000B-D357-4075-99E0-216EE466F2F6}"/>
            </c:ext>
          </c:extLst>
        </c:ser>
        <c:ser>
          <c:idx val="7"/>
          <c:order val="7"/>
          <c:tx>
            <c:strRef>
              <c:f>Sheet1!$I$1</c:f>
              <c:strCache>
                <c:ptCount val="1"/>
                <c:pt idx="0">
                  <c:v>Այլ ծախսեր</c:v>
                </c:pt>
              </c:strCache>
            </c:strRef>
          </c:tx>
          <c:spPr>
            <a:solidFill>
              <a:schemeClr val="accent1">
                <a:shade val="45000"/>
              </a:schemeClr>
            </a:solidFill>
            <a:ln>
              <a:noFill/>
            </a:ln>
            <a:effectLst/>
          </c:spPr>
          <c:invertIfNegative val="0"/>
          <c:dLbls>
            <c:dLbl>
              <c:idx val="4"/>
              <c:layout/>
              <c:tx>
                <c:rich>
                  <a:bodyPr/>
                  <a:lstStyle/>
                  <a:p>
                    <a:r>
                      <a:rPr lang="en-US"/>
                      <a:t>3.1</a:t>
                    </a:r>
                  </a:p>
                </c:rich>
              </c:tx>
              <c:dLblPos val="ct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C-D357-4075-99E0-216EE466F2F6}"/>
                </c:ext>
              </c:extLst>
            </c:dLbl>
            <c:spPr>
              <a:noFill/>
              <a:ln>
                <a:noFill/>
              </a:ln>
              <a:effectLst/>
            </c:spPr>
            <c:txPr>
              <a:bodyPr rot="0" spcFirstLastPara="1" vertOverflow="ellipsis" vert="horz" wrap="square" anchor="ctr" anchorCtr="1"/>
              <a:lstStyle/>
              <a:p>
                <a:pPr>
                  <a:defRPr sz="800" b="1" i="0" u="none" strike="noStrike" kern="1200" baseline="0">
                    <a:solidFill>
                      <a:schemeClr val="bg1"/>
                    </a:solidFill>
                    <a:latin typeface="Calibri" panose="020F0502020204030204" pitchFamily="34" charset="0"/>
                    <a:ea typeface="Calibri" panose="020F0502020204030204" pitchFamily="34" charset="0"/>
                    <a:cs typeface="Calibri" panose="020F0502020204030204" pitchFamily="34" charset="0"/>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prstDash val="solid"/>
                      <a:round/>
                    </a:ln>
                    <a:effectLst/>
                  </c:spPr>
                </c15:leaderLines>
              </c:ext>
            </c:extLst>
          </c:dLbls>
          <c:cat>
            <c:strRef>
              <c:f>Sheet1!$A$2:$A$8</c:f>
              <c:strCache>
                <c:ptCount val="7"/>
                <c:pt idx="0">
                  <c:v>2022 թ փաստ</c:v>
                </c:pt>
                <c:pt idx="1">
                  <c:v>2023 թ փաստ</c:v>
                </c:pt>
                <c:pt idx="2">
                  <c:v>2024թ փաստ</c:v>
                </c:pt>
                <c:pt idx="3">
                  <c:v>2025թ բյուջե</c:v>
                </c:pt>
                <c:pt idx="4">
                  <c:v>2026թ ծրագիր</c:v>
                </c:pt>
                <c:pt idx="5">
                  <c:v>2027թ ծրագիր</c:v>
                </c:pt>
                <c:pt idx="6">
                  <c:v>2028թ ծրագիր</c:v>
                </c:pt>
              </c:strCache>
            </c:strRef>
          </c:cat>
          <c:val>
            <c:numRef>
              <c:f>Sheet1!$I$2:$I$8</c:f>
              <c:numCache>
                <c:formatCode>0.0</c:formatCode>
                <c:ptCount val="7"/>
                <c:pt idx="0">
                  <c:v>3.0862994463038271</c:v>
                </c:pt>
                <c:pt idx="1">
                  <c:v>2.7099006129493004</c:v>
                </c:pt>
                <c:pt idx="2">
                  <c:v>2.268963734951523</c:v>
                </c:pt>
                <c:pt idx="3">
                  <c:v>3.1146125093242607</c:v>
                </c:pt>
                <c:pt idx="4">
                  <c:v>2.8</c:v>
                </c:pt>
                <c:pt idx="5">
                  <c:v>2.4161302302220324</c:v>
                </c:pt>
                <c:pt idx="6">
                  <c:v>2.2879068815519621</c:v>
                </c:pt>
              </c:numCache>
            </c:numRef>
          </c:val>
          <c:extLst>
            <c:ext xmlns:c16="http://schemas.microsoft.com/office/drawing/2014/chart" uri="{C3380CC4-5D6E-409C-BE32-E72D297353CC}">
              <c16:uniqueId val="{0000000D-D357-4075-99E0-216EE466F2F6}"/>
            </c:ext>
          </c:extLst>
        </c:ser>
        <c:dLbls>
          <c:showLegendKey val="0"/>
          <c:showVal val="0"/>
          <c:showCatName val="0"/>
          <c:showSerName val="0"/>
          <c:showPercent val="0"/>
          <c:showBubbleSize val="0"/>
        </c:dLbls>
        <c:gapWidth val="150"/>
        <c:overlap val="100"/>
        <c:axId val="274001280"/>
        <c:axId val="273999744"/>
      </c:barChart>
      <c:catAx>
        <c:axId val="273980032"/>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prstDash val="solid"/>
            <a:round/>
          </a:ln>
          <a:effectLst/>
        </c:spPr>
        <c:txPr>
          <a:bodyPr rot="-60000000" spcFirstLastPara="1" vertOverflow="ellipsis" vert="horz" wrap="square" anchor="ctr" anchorCtr="1"/>
          <a:lstStyle/>
          <a:p>
            <a:pPr>
              <a:defRPr sz="800" b="0" i="0" u="none" strike="noStrike" kern="1200" baseline="0">
                <a:solidFill>
                  <a:schemeClr val="tx1"/>
                </a:solidFill>
                <a:latin typeface="Calibri" panose="020F0502020204030204" pitchFamily="34" charset="0"/>
                <a:ea typeface="Calibri" panose="020F0502020204030204" pitchFamily="34" charset="0"/>
                <a:cs typeface="Calibri" panose="020F0502020204030204" pitchFamily="34" charset="0"/>
              </a:defRPr>
            </a:pPr>
            <a:endParaRPr lang="en-US"/>
          </a:p>
        </c:txPr>
        <c:crossAx val="273998208"/>
        <c:crosses val="autoZero"/>
        <c:auto val="1"/>
        <c:lblAlgn val="ctr"/>
        <c:lblOffset val="100"/>
        <c:noMultiLvlLbl val="0"/>
      </c:catAx>
      <c:valAx>
        <c:axId val="273998208"/>
        <c:scaling>
          <c:orientation val="minMax"/>
          <c:max val="30"/>
        </c:scaling>
        <c:delete val="0"/>
        <c:axPos val="l"/>
        <c:numFmt formatCode="0.0" sourceLinked="1"/>
        <c:majorTickMark val="out"/>
        <c:minorTickMark val="none"/>
        <c:tickLblPos val="nextTo"/>
        <c:spPr>
          <a:noFill/>
          <a:ln w="6350" cap="flat" cmpd="sng" algn="ctr">
            <a:noFill/>
            <a:prstDash val="solid"/>
            <a:round/>
          </a:ln>
          <a:effectLst/>
        </c:spPr>
        <c:txPr>
          <a:bodyPr rot="-60000000" spcFirstLastPara="1" vertOverflow="ellipsis" vert="horz" wrap="square" anchor="ctr" anchorCtr="1"/>
          <a:lstStyle/>
          <a:p>
            <a:pPr>
              <a:defRPr sz="800" b="0" i="0" u="none" strike="noStrike" kern="1200" baseline="0">
                <a:solidFill>
                  <a:schemeClr val="bg1">
                    <a:lumMod val="65000"/>
                  </a:schemeClr>
                </a:solidFill>
                <a:latin typeface="Calibri" panose="020F0502020204030204" pitchFamily="34" charset="0"/>
                <a:ea typeface="Calibri" panose="020F0502020204030204" pitchFamily="34" charset="0"/>
                <a:cs typeface="Calibri" panose="020F0502020204030204" pitchFamily="34" charset="0"/>
              </a:defRPr>
            </a:pPr>
            <a:endParaRPr lang="en-US"/>
          </a:p>
        </c:txPr>
        <c:crossAx val="273980032"/>
        <c:crosses val="autoZero"/>
        <c:crossBetween val="between"/>
        <c:majorUnit val="10"/>
      </c:valAx>
      <c:valAx>
        <c:axId val="273999744"/>
        <c:scaling>
          <c:orientation val="minMax"/>
        </c:scaling>
        <c:delete val="1"/>
        <c:axPos val="r"/>
        <c:numFmt formatCode="0.0" sourceLinked="1"/>
        <c:majorTickMark val="out"/>
        <c:minorTickMark val="none"/>
        <c:tickLblPos val="nextTo"/>
        <c:crossAx val="274001280"/>
        <c:crosses val="max"/>
        <c:crossBetween val="between"/>
      </c:valAx>
      <c:catAx>
        <c:axId val="274001280"/>
        <c:scaling>
          <c:orientation val="minMax"/>
        </c:scaling>
        <c:delete val="1"/>
        <c:axPos val="b"/>
        <c:numFmt formatCode="General" sourceLinked="1"/>
        <c:majorTickMark val="out"/>
        <c:minorTickMark val="none"/>
        <c:tickLblPos val="nextTo"/>
        <c:crossAx val="273999744"/>
        <c:crosses val="autoZero"/>
        <c:auto val="1"/>
        <c:lblAlgn val="ctr"/>
        <c:lblOffset val="100"/>
        <c:noMultiLvlLbl val="0"/>
      </c:catAx>
      <c:spPr>
        <a:noFill/>
        <a:ln>
          <a:noFill/>
        </a:ln>
        <a:effectLst/>
      </c:spPr>
    </c:plotArea>
    <c:legend>
      <c:legendPos val="b"/>
      <c:legendEntry>
        <c:idx val="0"/>
        <c:delete val="1"/>
      </c:legendEntry>
      <c:layout>
        <c:manualLayout>
          <c:xMode val="edge"/>
          <c:yMode val="edge"/>
          <c:x val="5.5029064618456434E-2"/>
          <c:y val="0.78079736323471083"/>
          <c:w val="0.90618794583192441"/>
          <c:h val="0.15746709423914751"/>
        </c:manualLayout>
      </c:layout>
      <c:overlay val="0"/>
      <c:spPr>
        <a:noFill/>
        <a:ln>
          <a:noFill/>
        </a:ln>
        <a:effectLst/>
      </c:spPr>
      <c:txPr>
        <a:bodyPr rot="0" spcFirstLastPara="1" vertOverflow="ellipsis" vert="horz" wrap="square" anchor="ctr" anchorCtr="1"/>
        <a:lstStyle/>
        <a:p>
          <a:pPr>
            <a:defRPr sz="800" b="0" i="0" u="none" strike="noStrike" kern="1200" baseline="0">
              <a:solidFill>
                <a:schemeClr val="tx1"/>
              </a:solidFill>
              <a:latin typeface="Calibri" panose="020F0502020204030204" pitchFamily="34" charset="0"/>
              <a:ea typeface="Calibri" panose="020F0502020204030204" pitchFamily="34" charset="0"/>
              <a:cs typeface="Calibri" panose="020F0502020204030204" pitchFamily="34" charset="0"/>
            </a:defRPr>
          </a:pPr>
          <a:endParaRPr lang="en-US"/>
        </a:p>
      </c:txPr>
    </c:legend>
    <c:plotVisOnly val="1"/>
    <c:dispBlanksAs val="gap"/>
    <c:showDLblsOverMax val="0"/>
  </c:chart>
  <c:spPr>
    <a:noFill/>
    <a:ln w="9525" cap="flat" cmpd="sng" algn="ctr">
      <a:solidFill>
        <a:schemeClr val="tx1">
          <a:lumMod val="15000"/>
          <a:lumOff val="85000"/>
        </a:schemeClr>
      </a:solidFill>
      <a:prstDash val="solid"/>
      <a:round/>
    </a:ln>
    <a:effectLst/>
  </c:spPr>
  <c:txPr>
    <a:bodyPr/>
    <a:lstStyle/>
    <a:p>
      <a:pPr>
        <a:defRPr sz="800">
          <a:latin typeface="Calibri" panose="020F0502020204030204" pitchFamily="34" charset="0"/>
          <a:ea typeface="Calibri" panose="020F0502020204030204" pitchFamily="34" charset="0"/>
          <a:cs typeface="Calibri" panose="020F0502020204030204" pitchFamily="34" charset="0"/>
        </a:defRPr>
      </a:pPr>
      <a:endParaRPr lang="en-US"/>
    </a:p>
  </c:txPr>
  <c:externalData r:id="rId4">
    <c:autoUpdate val="0"/>
  </c:externalData>
</c:chartSpace>
</file>

<file path=word/charts/chart5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7"/>
    </mc:Choice>
    <mc:Fallback>
      <c:style val="7"/>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3470723300978718"/>
          <c:y val="7.9278160769322911E-2"/>
          <c:w val="0.80546608259233343"/>
          <c:h val="0.57789447274972972"/>
        </c:manualLayout>
      </c:layout>
      <c:barChart>
        <c:barDir val="col"/>
        <c:grouping val="stacked"/>
        <c:varyColors val="0"/>
        <c:ser>
          <c:idx val="0"/>
          <c:order val="0"/>
          <c:tx>
            <c:strRef>
              <c:f>Sheet1!$B$1</c:f>
              <c:strCache>
                <c:ptCount val="1"/>
                <c:pt idx="0">
                  <c:v>Ընդամենը ծախսեր</c:v>
                </c:pt>
              </c:strCache>
            </c:strRef>
          </c:tx>
          <c:spPr>
            <a:solidFill>
              <a:schemeClr val="accent5">
                <a:shade val="65000"/>
              </a:schemeClr>
            </a:solidFill>
            <a:ln>
              <a:noFill/>
            </a:ln>
            <a:effectLst>
              <a:outerShdw blurRad="50800" dist="50800" dir="5400000" algn="ctr" rotWithShape="0">
                <a:schemeClr val="bg1"/>
              </a:outerShdw>
            </a:effectLst>
          </c:spPr>
          <c:invertIfNegative val="0"/>
          <c:cat>
            <c:strRef>
              <c:f>Sheet1!$A$2:$A$8</c:f>
              <c:strCache>
                <c:ptCount val="7"/>
                <c:pt idx="0">
                  <c:v>2022 թ</c:v>
                </c:pt>
                <c:pt idx="1">
                  <c:v>2023 թ</c:v>
                </c:pt>
                <c:pt idx="2">
                  <c:v>2024թ</c:v>
                </c:pt>
                <c:pt idx="3">
                  <c:v>2025 թ</c:v>
                </c:pt>
                <c:pt idx="4">
                  <c:v>2026 թ</c:v>
                </c:pt>
                <c:pt idx="5">
                  <c:v>2027 թ</c:v>
                </c:pt>
                <c:pt idx="6">
                  <c:v>2028 թ</c:v>
                </c:pt>
              </c:strCache>
            </c:strRef>
          </c:cat>
          <c:val>
            <c:numRef>
              <c:f>Sheet1!$B$2:$B$8</c:f>
              <c:numCache>
                <c:formatCode>#,##0</c:formatCode>
                <c:ptCount val="7"/>
                <c:pt idx="0">
                  <c:v>389.20000000000005</c:v>
                </c:pt>
                <c:pt idx="1">
                  <c:v>494.29999999999995</c:v>
                </c:pt>
                <c:pt idx="2">
                  <c:v>557.79999999999995</c:v>
                </c:pt>
                <c:pt idx="3">
                  <c:v>749.8</c:v>
                </c:pt>
                <c:pt idx="4">
                  <c:v>714.1</c:v>
                </c:pt>
                <c:pt idx="5">
                  <c:v>729.1</c:v>
                </c:pt>
                <c:pt idx="6">
                  <c:v>813.09999999999991</c:v>
                </c:pt>
              </c:numCache>
            </c:numRef>
          </c:val>
          <c:extLst>
            <c:ext xmlns:c16="http://schemas.microsoft.com/office/drawing/2014/chart" uri="{C3380CC4-5D6E-409C-BE32-E72D297353CC}">
              <c16:uniqueId val="{00000000-DB73-431E-9D19-987371495CAA}"/>
            </c:ext>
          </c:extLst>
        </c:ser>
        <c:dLbls>
          <c:showLegendKey val="0"/>
          <c:showVal val="0"/>
          <c:showCatName val="0"/>
          <c:showSerName val="0"/>
          <c:showPercent val="0"/>
          <c:showBubbleSize val="0"/>
        </c:dLbls>
        <c:gapWidth val="150"/>
        <c:overlap val="100"/>
        <c:axId val="273667200"/>
        <c:axId val="273668736"/>
      </c:barChart>
      <c:barChart>
        <c:barDir val="col"/>
        <c:grouping val="stacked"/>
        <c:varyColors val="0"/>
        <c:ser>
          <c:idx val="1"/>
          <c:order val="1"/>
          <c:tx>
            <c:strRef>
              <c:f>Sheet1!$C$1</c:f>
              <c:strCache>
                <c:ptCount val="1"/>
                <c:pt idx="0">
                  <c:v>արտաքին ռեսուրսների հաշվին իրականացվող ծրագրեր (ներառյալ ՀՀ կառավարության համաֆինանսավորումը)</c:v>
                </c:pt>
              </c:strCache>
            </c:strRef>
          </c:tx>
          <c:spPr>
            <a:solidFill>
              <a:schemeClr val="tx2">
                <a:lumMod val="75000"/>
              </a:schemeClr>
            </a:solidFill>
            <a:ln>
              <a:noFill/>
            </a:ln>
            <a:effectLst/>
          </c:spPr>
          <c:invertIfNegative val="0"/>
          <c:dLbls>
            <c:spPr>
              <a:noFill/>
              <a:ln>
                <a:noFill/>
              </a:ln>
              <a:effectLst/>
            </c:spPr>
            <c:txPr>
              <a:bodyPr wrap="square" lIns="38100" tIns="19050" rIns="38100" bIns="19050" anchor="ctr">
                <a:spAutoFit/>
              </a:bodyPr>
              <a:lstStyle/>
              <a:p>
                <a:pPr>
                  <a:defRPr b="1">
                    <a:solidFill>
                      <a:schemeClr val="bg1"/>
                    </a:solidFill>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Sheet1!$A$2:$A$8</c:f>
              <c:strCache>
                <c:ptCount val="7"/>
                <c:pt idx="0">
                  <c:v>2022 թ</c:v>
                </c:pt>
                <c:pt idx="1">
                  <c:v>2023 թ</c:v>
                </c:pt>
                <c:pt idx="2">
                  <c:v>2024թ</c:v>
                </c:pt>
                <c:pt idx="3">
                  <c:v>2025 թ</c:v>
                </c:pt>
                <c:pt idx="4">
                  <c:v>2026 թ</c:v>
                </c:pt>
                <c:pt idx="5">
                  <c:v>2027 թ</c:v>
                </c:pt>
                <c:pt idx="6">
                  <c:v>2028 թ</c:v>
                </c:pt>
              </c:strCache>
            </c:strRef>
          </c:cat>
          <c:val>
            <c:numRef>
              <c:f>Sheet1!$C$2:$C$8</c:f>
              <c:numCache>
                <c:formatCode>#,##0</c:formatCode>
                <c:ptCount val="7"/>
                <c:pt idx="0">
                  <c:v>54.1</c:v>
                </c:pt>
                <c:pt idx="1">
                  <c:v>73.400000000000006</c:v>
                </c:pt>
                <c:pt idx="2">
                  <c:v>77.099999999999994</c:v>
                </c:pt>
                <c:pt idx="3">
                  <c:v>204.2</c:v>
                </c:pt>
                <c:pt idx="4">
                  <c:v>120</c:v>
                </c:pt>
                <c:pt idx="5">
                  <c:v>106.1</c:v>
                </c:pt>
                <c:pt idx="6">
                  <c:v>134.80000000000001</c:v>
                </c:pt>
              </c:numCache>
            </c:numRef>
          </c:val>
          <c:extLst>
            <c:ext xmlns:c16="http://schemas.microsoft.com/office/drawing/2014/chart" uri="{C3380CC4-5D6E-409C-BE32-E72D297353CC}">
              <c16:uniqueId val="{00000001-DB73-431E-9D19-987371495CAA}"/>
            </c:ext>
          </c:extLst>
        </c:ser>
        <c:ser>
          <c:idx val="2"/>
          <c:order val="2"/>
          <c:tx>
            <c:strRef>
              <c:f>Sheet1!$D$1</c:f>
              <c:strCache>
                <c:ptCount val="1"/>
                <c:pt idx="0">
                  <c:v>ներքին ռեսուրսների հաշվին իրականացվող ծրագրեր</c:v>
                </c:pt>
              </c:strCache>
            </c:strRef>
          </c:tx>
          <c:spPr>
            <a:solidFill>
              <a:schemeClr val="tx2">
                <a:lumMod val="20000"/>
                <a:lumOff val="80000"/>
              </a:schemeClr>
            </a:solidFill>
            <a:ln>
              <a:noFill/>
            </a:ln>
            <a:effectLst/>
          </c:spPr>
          <c:invertIfNegative val="0"/>
          <c:dLbls>
            <c:spPr>
              <a:noFill/>
              <a:ln>
                <a:noFill/>
              </a:ln>
              <a:effectLst/>
            </c:spPr>
            <c:txPr>
              <a:bodyPr rot="0" vert="horz"/>
              <a:lstStyle/>
              <a:p>
                <a:pPr>
                  <a:defRPr b="1"/>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Sheet1!$A$2:$A$8</c:f>
              <c:strCache>
                <c:ptCount val="7"/>
                <c:pt idx="0">
                  <c:v>2022 թ</c:v>
                </c:pt>
                <c:pt idx="1">
                  <c:v>2023 թ</c:v>
                </c:pt>
                <c:pt idx="2">
                  <c:v>2024թ</c:v>
                </c:pt>
                <c:pt idx="3">
                  <c:v>2025 թ</c:v>
                </c:pt>
                <c:pt idx="4">
                  <c:v>2026 թ</c:v>
                </c:pt>
                <c:pt idx="5">
                  <c:v>2027 թ</c:v>
                </c:pt>
                <c:pt idx="6">
                  <c:v>2028 թ</c:v>
                </c:pt>
              </c:strCache>
            </c:strRef>
          </c:cat>
          <c:val>
            <c:numRef>
              <c:f>Sheet1!$D$2:$D$8</c:f>
              <c:numCache>
                <c:formatCode>#,##0</c:formatCode>
                <c:ptCount val="7"/>
                <c:pt idx="0">
                  <c:v>335.1</c:v>
                </c:pt>
                <c:pt idx="1">
                  <c:v>420.9</c:v>
                </c:pt>
                <c:pt idx="2">
                  <c:v>480.7</c:v>
                </c:pt>
                <c:pt idx="3">
                  <c:v>545.6</c:v>
                </c:pt>
                <c:pt idx="4">
                  <c:v>594.1</c:v>
                </c:pt>
                <c:pt idx="5">
                  <c:v>623</c:v>
                </c:pt>
                <c:pt idx="6">
                  <c:v>678.3</c:v>
                </c:pt>
              </c:numCache>
            </c:numRef>
          </c:val>
          <c:extLst>
            <c:ext xmlns:c16="http://schemas.microsoft.com/office/drawing/2014/chart" uri="{C3380CC4-5D6E-409C-BE32-E72D297353CC}">
              <c16:uniqueId val="{00000002-DB73-431E-9D19-987371495CAA}"/>
            </c:ext>
          </c:extLst>
        </c:ser>
        <c:dLbls>
          <c:showLegendKey val="0"/>
          <c:showVal val="0"/>
          <c:showCatName val="0"/>
          <c:showSerName val="0"/>
          <c:showPercent val="0"/>
          <c:showBubbleSize val="0"/>
        </c:dLbls>
        <c:gapWidth val="150"/>
        <c:overlap val="100"/>
        <c:axId val="273684352"/>
        <c:axId val="273682816"/>
      </c:barChart>
      <c:catAx>
        <c:axId val="27366720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vert="horz"/>
          <a:lstStyle/>
          <a:p>
            <a:pPr>
              <a:defRPr b="1"/>
            </a:pPr>
            <a:endParaRPr lang="en-US"/>
          </a:p>
        </c:txPr>
        <c:crossAx val="273668736"/>
        <c:crosses val="autoZero"/>
        <c:auto val="1"/>
        <c:lblAlgn val="ctr"/>
        <c:lblOffset val="100"/>
        <c:noMultiLvlLbl val="0"/>
      </c:catAx>
      <c:valAx>
        <c:axId val="273668736"/>
        <c:scaling>
          <c:orientation val="minMax"/>
          <c:max val="750"/>
          <c:min val="0"/>
        </c:scaling>
        <c:delete val="0"/>
        <c:axPos val="l"/>
        <c:numFmt formatCode="#,##0" sourceLinked="1"/>
        <c:majorTickMark val="out"/>
        <c:minorTickMark val="none"/>
        <c:tickLblPos val="nextTo"/>
        <c:spPr>
          <a:noFill/>
          <a:ln>
            <a:noFill/>
          </a:ln>
          <a:effectLst/>
        </c:spPr>
        <c:txPr>
          <a:bodyPr rot="-60000000" vert="horz"/>
          <a:lstStyle/>
          <a:p>
            <a:pPr>
              <a:defRPr>
                <a:solidFill>
                  <a:schemeClr val="bg1">
                    <a:lumMod val="65000"/>
                  </a:schemeClr>
                </a:solidFill>
              </a:defRPr>
            </a:pPr>
            <a:endParaRPr lang="en-US"/>
          </a:p>
        </c:txPr>
        <c:crossAx val="273667200"/>
        <c:crosses val="autoZero"/>
        <c:crossBetween val="between"/>
      </c:valAx>
      <c:valAx>
        <c:axId val="273682816"/>
        <c:scaling>
          <c:orientation val="minMax"/>
        </c:scaling>
        <c:delete val="1"/>
        <c:axPos val="r"/>
        <c:numFmt formatCode="#,##0" sourceLinked="1"/>
        <c:majorTickMark val="out"/>
        <c:minorTickMark val="none"/>
        <c:tickLblPos val="nextTo"/>
        <c:crossAx val="273684352"/>
        <c:crosses val="max"/>
        <c:crossBetween val="between"/>
      </c:valAx>
      <c:catAx>
        <c:axId val="273684352"/>
        <c:scaling>
          <c:orientation val="minMax"/>
        </c:scaling>
        <c:delete val="1"/>
        <c:axPos val="t"/>
        <c:numFmt formatCode="General" sourceLinked="1"/>
        <c:majorTickMark val="out"/>
        <c:minorTickMark val="none"/>
        <c:tickLblPos val="nextTo"/>
        <c:crossAx val="273682816"/>
        <c:crosses val="max"/>
        <c:auto val="1"/>
        <c:lblAlgn val="ctr"/>
        <c:lblOffset val="100"/>
        <c:noMultiLvlLbl val="0"/>
      </c:catAx>
      <c:spPr>
        <a:noFill/>
        <a:ln w="25400">
          <a:noFill/>
        </a:ln>
        <a:effectLst/>
      </c:spPr>
    </c:plotArea>
    <c:legend>
      <c:legendPos val="b"/>
      <c:layout>
        <c:manualLayout>
          <c:xMode val="edge"/>
          <c:yMode val="edge"/>
          <c:x val="9.9439157528621785E-2"/>
          <c:y val="0.78753617336294512"/>
          <c:w val="0.85633640886913676"/>
          <c:h val="0.17926879472016202"/>
        </c:manualLayout>
      </c:layout>
      <c:overlay val="0"/>
      <c:txPr>
        <a:bodyPr/>
        <a:lstStyle/>
        <a:p>
          <a:pPr>
            <a:defRPr sz="800"/>
          </a:pPr>
          <a:endParaRPr lang="en-US"/>
        </a:p>
      </c:txPr>
    </c:legend>
    <c:plotVisOnly val="1"/>
    <c:dispBlanksAs val="gap"/>
    <c:showDLblsOverMax val="0"/>
  </c:chart>
  <c:spPr>
    <a:noFill/>
    <a:ln w="19050" cap="flat" cmpd="sng" algn="ctr">
      <a:solidFill>
        <a:schemeClr val="bg1"/>
      </a:solidFill>
      <a:round/>
    </a:ln>
    <a:effectLst/>
  </c:spPr>
  <c:txPr>
    <a:bodyPr/>
    <a:lstStyle/>
    <a:p>
      <a:pPr>
        <a:defRPr sz="900">
          <a:latin typeface="Calibri" panose="020F0502020204030204" pitchFamily="34" charset="0"/>
          <a:ea typeface="Calibri" panose="020F0502020204030204" pitchFamily="34" charset="0"/>
          <a:cs typeface="Calibri" panose="020F0502020204030204" pitchFamily="34" charset="0"/>
        </a:defRPr>
      </a:pPr>
      <a:endParaRPr lang="en-US"/>
    </a:p>
  </c:txPr>
  <c:externalData r:id="rId2">
    <c:autoUpdate val="0"/>
  </c:externalData>
</c:chartSpace>
</file>

<file path=word/charts/chart5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3"/>
    </mc:Choice>
    <mc:Fallback>
      <c:style val="3"/>
    </mc:Fallback>
  </mc:AlternateContent>
  <c:clrMapOvr bg1="lt1" tx1="dk1" bg2="lt2" tx2="dk2" accent1="accent1" accent2="accent2" accent3="accent3" accent4="accent4" accent5="accent5" accent6="accent6" hlink="hlink" folHlink="folHlink"/>
  <c:chart>
    <c:autoTitleDeleted val="0"/>
    <c:plotArea>
      <c:layout/>
      <c:barChart>
        <c:barDir val="col"/>
        <c:grouping val="clustered"/>
        <c:varyColors val="0"/>
        <c:ser>
          <c:idx val="0"/>
          <c:order val="0"/>
          <c:tx>
            <c:strRef>
              <c:f>Sheet1!$A$2</c:f>
              <c:strCache>
                <c:ptCount val="1"/>
                <c:pt idx="0">
                  <c:v> 2022-2028․ ընդամենը ծախսեր</c:v>
                </c:pt>
              </c:strCache>
            </c:strRef>
          </c:tx>
          <c:spPr>
            <a:solidFill>
              <a:srgbClr val="44546A"/>
            </a:solidFill>
          </c:spPr>
          <c:invertIfNegative val="0"/>
          <c:dLbls>
            <c:spPr>
              <a:noFill/>
              <a:ln>
                <a:noFill/>
              </a:ln>
              <a:effectLst/>
            </c:sp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ext>
            </c:extLst>
          </c:dLbls>
          <c:cat>
            <c:strRef>
              <c:f>Sheet1!$C$1:$H$1</c:f>
              <c:strCache>
                <c:ptCount val="6"/>
                <c:pt idx="0">
                  <c:v>2023թ․ փաստացի </c:v>
                </c:pt>
                <c:pt idx="1">
                  <c:v>2024թ․ փաստացի</c:v>
                </c:pt>
                <c:pt idx="2">
                  <c:v>2025թ․ հաստատված</c:v>
                </c:pt>
                <c:pt idx="3">
                  <c:v>2026թ. նախագիծ </c:v>
                </c:pt>
                <c:pt idx="4">
                  <c:v>2027թ. նախագիծ </c:v>
                </c:pt>
                <c:pt idx="5">
                  <c:v>2028թ. նախագիծ </c:v>
                </c:pt>
              </c:strCache>
            </c:strRef>
          </c:cat>
          <c:val>
            <c:numRef>
              <c:f>Sheet1!$C$2:$H$2</c:f>
              <c:numCache>
                <c:formatCode>_(* #,##0.0_);_(* \(#,##0.0\);_(* "-"??_);_(@_)</c:formatCode>
                <c:ptCount val="6"/>
                <c:pt idx="0">
                  <c:v>2547.6498919400001</c:v>
                </c:pt>
                <c:pt idx="1">
                  <c:v>2955.3188979900001</c:v>
                </c:pt>
                <c:pt idx="2">
                  <c:v>3441.6462515999997</c:v>
                </c:pt>
                <c:pt idx="3">
                  <c:v>3627.6</c:v>
                </c:pt>
                <c:pt idx="4">
                  <c:v>3801</c:v>
                </c:pt>
                <c:pt idx="5">
                  <c:v>4030.6</c:v>
                </c:pt>
              </c:numCache>
            </c:numRef>
          </c:val>
          <c:extLst>
            <c:ext xmlns:c16="http://schemas.microsoft.com/office/drawing/2014/chart" uri="{C3380CC4-5D6E-409C-BE32-E72D297353CC}">
              <c16:uniqueId val="{00000000-86CB-4F7E-88B8-4A3BB6FC9877}"/>
            </c:ext>
          </c:extLst>
        </c:ser>
        <c:ser>
          <c:idx val="1"/>
          <c:order val="1"/>
          <c:tx>
            <c:strRef>
              <c:f>Sheet1!$A$3</c:f>
              <c:strCache>
                <c:ptCount val="1"/>
                <c:pt idx="0">
                  <c:v>տարբերությունը նախորդ տարվա համեմատությամբ</c:v>
                </c:pt>
              </c:strCache>
            </c:strRef>
          </c:tx>
          <c:spPr>
            <a:solidFill>
              <a:srgbClr val="5B9BD5">
                <a:lumMod val="60000"/>
                <a:lumOff val="40000"/>
              </a:srgbClr>
            </a:solidFill>
          </c:spPr>
          <c:invertIfNegative val="0"/>
          <c:dLbls>
            <c:spPr>
              <a:noFill/>
              <a:ln>
                <a:noFill/>
              </a:ln>
              <a:effectLst/>
            </c:sp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ext>
            </c:extLst>
          </c:dLbls>
          <c:cat>
            <c:strRef>
              <c:f>Sheet1!$C$1:$H$1</c:f>
              <c:strCache>
                <c:ptCount val="6"/>
                <c:pt idx="0">
                  <c:v>2023թ․ փաստացի </c:v>
                </c:pt>
                <c:pt idx="1">
                  <c:v>2024թ․ փաստացի</c:v>
                </c:pt>
                <c:pt idx="2">
                  <c:v>2025թ․ հաստատված</c:v>
                </c:pt>
                <c:pt idx="3">
                  <c:v>2026թ. նախագիծ </c:v>
                </c:pt>
                <c:pt idx="4">
                  <c:v>2027թ. նախագիծ </c:v>
                </c:pt>
                <c:pt idx="5">
                  <c:v>2028թ. նախագիծ </c:v>
                </c:pt>
              </c:strCache>
            </c:strRef>
          </c:cat>
          <c:val>
            <c:numRef>
              <c:f>Sheet1!$C$3:$H$3</c:f>
              <c:numCache>
                <c:formatCode>_(* #,##0.0_);_(* \(#,##0.0\);_(* "-"??_);_(@_)</c:formatCode>
                <c:ptCount val="6"/>
                <c:pt idx="0">
                  <c:v>305</c:v>
                </c:pt>
                <c:pt idx="1">
                  <c:v>407.7</c:v>
                </c:pt>
                <c:pt idx="2">
                  <c:v>486.32735360999959</c:v>
                </c:pt>
                <c:pt idx="3">
                  <c:v>185.95374839999999</c:v>
                </c:pt>
                <c:pt idx="4">
                  <c:v>173.40000000000009</c:v>
                </c:pt>
                <c:pt idx="5">
                  <c:v>229.59999999999991</c:v>
                </c:pt>
              </c:numCache>
            </c:numRef>
          </c:val>
          <c:extLst>
            <c:ext xmlns:c16="http://schemas.microsoft.com/office/drawing/2014/chart" uri="{C3380CC4-5D6E-409C-BE32-E72D297353CC}">
              <c16:uniqueId val="{00000001-86CB-4F7E-88B8-4A3BB6FC9877}"/>
            </c:ext>
          </c:extLst>
        </c:ser>
        <c:dLbls>
          <c:dLblPos val="outEnd"/>
          <c:showLegendKey val="0"/>
          <c:showVal val="1"/>
          <c:showCatName val="0"/>
          <c:showSerName val="0"/>
          <c:showPercent val="0"/>
          <c:showBubbleSize val="0"/>
        </c:dLbls>
        <c:gapWidth val="100"/>
        <c:overlap val="-24"/>
        <c:axId val="273774848"/>
        <c:axId val="273776640"/>
      </c:barChart>
      <c:catAx>
        <c:axId val="273774848"/>
        <c:scaling>
          <c:orientation val="minMax"/>
        </c:scaling>
        <c:delete val="0"/>
        <c:axPos val="b"/>
        <c:numFmt formatCode="General" sourceLinked="0"/>
        <c:majorTickMark val="none"/>
        <c:minorTickMark val="none"/>
        <c:tickLblPos val="nextTo"/>
        <c:txPr>
          <a:bodyPr rot="-60000000" vert="horz"/>
          <a:lstStyle/>
          <a:p>
            <a:pPr>
              <a:defRPr/>
            </a:pPr>
            <a:endParaRPr lang="en-US"/>
          </a:p>
        </c:txPr>
        <c:crossAx val="273776640"/>
        <c:crosses val="autoZero"/>
        <c:auto val="1"/>
        <c:lblAlgn val="ctr"/>
        <c:lblOffset val="100"/>
        <c:noMultiLvlLbl val="0"/>
      </c:catAx>
      <c:valAx>
        <c:axId val="273776640"/>
        <c:scaling>
          <c:orientation val="minMax"/>
        </c:scaling>
        <c:delete val="1"/>
        <c:axPos val="l"/>
        <c:numFmt formatCode="_(* #,##0.0_);_(* \(#,##0.0\);_(* &quot;-&quot;??_);_(@_)" sourceLinked="1"/>
        <c:majorTickMark val="none"/>
        <c:minorTickMark val="none"/>
        <c:tickLblPos val="nextTo"/>
        <c:crossAx val="273774848"/>
        <c:crosses val="autoZero"/>
        <c:crossBetween val="between"/>
      </c:valAx>
      <c:spPr>
        <a:noFill/>
      </c:spPr>
    </c:plotArea>
    <c:plotVisOnly val="1"/>
    <c:dispBlanksAs val="gap"/>
    <c:showDLblsOverMax val="0"/>
  </c:chart>
  <c:spPr>
    <a:noFill/>
    <a:ln w="19050">
      <a:solidFill>
        <a:sysClr val="window" lastClr="FFFFFF"/>
      </a:solidFill>
    </a:ln>
  </c:spPr>
  <c:externalData r:id="rId2">
    <c:autoUpdate val="0"/>
  </c:externalData>
</c:chartSpace>
</file>

<file path=word/charts/chart5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3"/>
    </mc:Choice>
    <mc:Fallback>
      <c:style val="3"/>
    </mc:Fallback>
  </mc:AlternateContent>
  <c:clrMapOvr bg1="lt1" tx1="dk1" bg2="lt2" tx2="dk2" accent1="accent1" accent2="accent2" accent3="accent3" accent4="accent4" accent5="accent5" accent6="accent6" hlink="hlink" folHlink="folHlink"/>
  <c:chart>
    <c:autoTitleDeleted val="1"/>
    <c:plotArea>
      <c:layout/>
      <c:barChart>
        <c:barDir val="bar"/>
        <c:grouping val="clustered"/>
        <c:varyColors val="0"/>
        <c:ser>
          <c:idx val="0"/>
          <c:order val="0"/>
          <c:tx>
            <c:strRef>
              <c:f>Sheet1!$B$1</c:f>
              <c:strCache>
                <c:ptCount val="1"/>
                <c:pt idx="0">
                  <c:v>2028</c:v>
                </c:pt>
              </c:strCache>
            </c:strRef>
          </c:tx>
          <c:spPr>
            <a:solidFill>
              <a:schemeClr val="accent1">
                <a:tint val="48000"/>
              </a:schemeClr>
            </a:solidFill>
            <a:ln>
              <a:noFill/>
            </a:ln>
            <a:effectLst/>
          </c:spPr>
          <c:invertIfNegative val="0"/>
          <c:cat>
            <c:strRef>
              <c:f>Sheet1!$A$2:$A$5</c:f>
              <c:strCache>
                <c:ptCount val="4"/>
                <c:pt idx="0">
                  <c:v>ԸՆԴՀԱՆՈՒՐ ԲՆՈՒՅԹԻ ՀԱՆՐԱՅԻՆ ԾԱՌԱՅՈՒԹՅՈՒՆՆԵՐ (ԱՅԴ ԹՎՈՒՄ՝ ՊԱՀՈՒՍՏԱՅԻՆ ՖՈՆԴԵՐ)</c:v>
                </c:pt>
                <c:pt idx="1">
                  <c:v>ՊԱՇՏՊԱՆՈՒԹՅՈՒՆ, ՀԱՍԱՐԱԿԱԿԱՆ ԿԱՐԳ,  ԱՆՎՏԱՆԳՈՒԹՅՈՒՆ ԵՎ ԴԱՏԱԿԱՆ ԳՈՐԾՈՒՆԵՈՒԹՅՈՒՆ</c:v>
                </c:pt>
                <c:pt idx="2">
                  <c:v>ՏՆՏԵՍԱԿԱՆ ՈԼՈՐՏ</c:v>
                </c:pt>
                <c:pt idx="3">
                  <c:v>ՍՈՑԻԱԼԱԿԱՆ ՈԼՈՐՏ</c:v>
                </c:pt>
              </c:strCache>
            </c:strRef>
          </c:cat>
          <c:val>
            <c:numRef>
              <c:f>Sheet1!$B$2:$B$5</c:f>
              <c:numCache>
                <c:formatCode>0.0%</c:formatCode>
                <c:ptCount val="4"/>
                <c:pt idx="0">
                  <c:v>0.28082086152391306</c:v>
                </c:pt>
                <c:pt idx="1">
                  <c:v>0.20867082105791157</c:v>
                </c:pt>
                <c:pt idx="2">
                  <c:v>7.814521568987122E-2</c:v>
                </c:pt>
                <c:pt idx="3">
                  <c:v>0.43236310172830422</c:v>
                </c:pt>
              </c:numCache>
            </c:numRef>
          </c:val>
          <c:extLst>
            <c:ext xmlns:c16="http://schemas.microsoft.com/office/drawing/2014/chart" uri="{C3380CC4-5D6E-409C-BE32-E72D297353CC}">
              <c16:uniqueId val="{00000000-EF72-417B-A4F4-0D8E68C62064}"/>
            </c:ext>
          </c:extLst>
        </c:ser>
        <c:ser>
          <c:idx val="1"/>
          <c:order val="1"/>
          <c:tx>
            <c:strRef>
              <c:f>Sheet1!$C$1</c:f>
              <c:strCache>
                <c:ptCount val="1"/>
                <c:pt idx="0">
                  <c:v>2027</c:v>
                </c:pt>
              </c:strCache>
            </c:strRef>
          </c:tx>
          <c:spPr>
            <a:solidFill>
              <a:schemeClr val="accent1">
                <a:tint val="65000"/>
              </a:schemeClr>
            </a:solidFill>
            <a:ln>
              <a:noFill/>
            </a:ln>
            <a:effectLst/>
          </c:spPr>
          <c:invertIfNegative val="0"/>
          <c:cat>
            <c:strRef>
              <c:f>Sheet1!$A$2:$A$5</c:f>
              <c:strCache>
                <c:ptCount val="4"/>
                <c:pt idx="0">
                  <c:v>ԸՆԴՀԱՆՈՒՐ ԲՆՈՒՅԹԻ ՀԱՆՐԱՅԻՆ ԾԱՌԱՅՈՒԹՅՈՒՆՆԵՐ (ԱՅԴ ԹՎՈՒՄ՝ ՊԱՀՈՒՍՏԱՅԻՆ ՖՈՆԴԵՐ)</c:v>
                </c:pt>
                <c:pt idx="1">
                  <c:v>ՊԱՇՏՊԱՆՈՒԹՅՈՒՆ, ՀԱՍԱՐԱԿԱԿԱՆ ԿԱՐԳ,  ԱՆՎՏԱՆԳՈՒԹՅՈՒՆ ԵՎ ԴԱՏԱԿԱՆ ԳՈՐԾՈՒՆԵՈՒԹՅՈՒՆ</c:v>
                </c:pt>
                <c:pt idx="2">
                  <c:v>ՏՆՏԵՍԱԿԱՆ ՈԼՈՐՏ</c:v>
                </c:pt>
                <c:pt idx="3">
                  <c:v>ՍՈՑԻԱԼԱԿԱՆ ՈԼՈՐՏ</c:v>
                </c:pt>
              </c:strCache>
            </c:strRef>
          </c:cat>
          <c:val>
            <c:numRef>
              <c:f>Sheet1!$C$2:$C$5</c:f>
              <c:numCache>
                <c:formatCode>0.0%</c:formatCode>
                <c:ptCount val="4"/>
                <c:pt idx="0">
                  <c:v>0.27200000000000002</c:v>
                </c:pt>
                <c:pt idx="1">
                  <c:v>0.21721755256878053</c:v>
                </c:pt>
                <c:pt idx="2">
                  <c:v>7.3158588964020416E-2</c:v>
                </c:pt>
                <c:pt idx="3">
                  <c:v>0.43705123194139123</c:v>
                </c:pt>
              </c:numCache>
            </c:numRef>
          </c:val>
          <c:extLst>
            <c:ext xmlns:c16="http://schemas.microsoft.com/office/drawing/2014/chart" uri="{C3380CC4-5D6E-409C-BE32-E72D297353CC}">
              <c16:uniqueId val="{00000001-EF72-417B-A4F4-0D8E68C62064}"/>
            </c:ext>
          </c:extLst>
        </c:ser>
        <c:ser>
          <c:idx val="2"/>
          <c:order val="2"/>
          <c:tx>
            <c:strRef>
              <c:f>Sheet1!$D$1</c:f>
              <c:strCache>
                <c:ptCount val="1"/>
                <c:pt idx="0">
                  <c:v>2026</c:v>
                </c:pt>
              </c:strCache>
            </c:strRef>
          </c:tx>
          <c:spPr>
            <a:solidFill>
              <a:schemeClr val="accent1">
                <a:tint val="83000"/>
              </a:schemeClr>
            </a:solidFill>
            <a:ln>
              <a:noFill/>
            </a:ln>
            <a:effectLst/>
          </c:spPr>
          <c:invertIfNegative val="0"/>
          <c:cat>
            <c:strRef>
              <c:f>Sheet1!$A$2:$A$5</c:f>
              <c:strCache>
                <c:ptCount val="4"/>
                <c:pt idx="0">
                  <c:v>ԸՆԴՀԱՆՈՒՐ ԲՆՈՒՅԹԻ ՀԱՆՐԱՅԻՆ ԾԱՌԱՅՈՒԹՅՈՒՆՆԵՐ (ԱՅԴ ԹՎՈՒՄ՝ ՊԱՀՈՒՍՏԱՅԻՆ ՖՈՆԴԵՐ)</c:v>
                </c:pt>
                <c:pt idx="1">
                  <c:v>ՊԱՇՏՊԱՆՈՒԹՅՈՒՆ, ՀԱՍԱՐԱԿԱԿԱՆ ԿԱՐԳ,  ԱՆՎՏԱՆԳՈՒԹՅՈՒՆ ԵՎ ԴԱՏԱԿԱՆ ԳՈՐԾՈՒՆԵՈՒԹՅՈՒՆ</c:v>
                </c:pt>
                <c:pt idx="2">
                  <c:v>ՏՆՏԵՍԱԿԱՆ ՈԼՈՐՏ</c:v>
                </c:pt>
                <c:pt idx="3">
                  <c:v>ՍՈՑԻԱԼԱԿԱՆ ՈԼՈՐՏ</c:v>
                </c:pt>
              </c:strCache>
            </c:strRef>
          </c:cat>
          <c:val>
            <c:numRef>
              <c:f>Sheet1!$D$2:$D$5</c:f>
              <c:numCache>
                <c:formatCode>0.00%</c:formatCode>
                <c:ptCount val="4"/>
                <c:pt idx="0">
                  <c:v>0.25307654012009029</c:v>
                </c:pt>
                <c:pt idx="1">
                  <c:v>0.22500000000000001</c:v>
                </c:pt>
                <c:pt idx="2">
                  <c:v>7.9000000000000001E-2</c:v>
                </c:pt>
                <c:pt idx="3">
                  <c:v>0.44403930080609144</c:v>
                </c:pt>
              </c:numCache>
            </c:numRef>
          </c:val>
          <c:extLst>
            <c:ext xmlns:c16="http://schemas.microsoft.com/office/drawing/2014/chart" uri="{C3380CC4-5D6E-409C-BE32-E72D297353CC}">
              <c16:uniqueId val="{00000002-EF72-417B-A4F4-0D8E68C62064}"/>
            </c:ext>
          </c:extLst>
        </c:ser>
        <c:ser>
          <c:idx val="3"/>
          <c:order val="3"/>
          <c:tx>
            <c:strRef>
              <c:f>Sheet1!$E$1</c:f>
              <c:strCache>
                <c:ptCount val="1"/>
                <c:pt idx="0">
                  <c:v>2025</c:v>
                </c:pt>
              </c:strCache>
            </c:strRef>
          </c:tx>
          <c:spPr>
            <a:solidFill>
              <a:schemeClr val="accent1"/>
            </a:solidFill>
            <a:ln>
              <a:noFill/>
            </a:ln>
            <a:effectLst/>
          </c:spPr>
          <c:invertIfNegative val="0"/>
          <c:cat>
            <c:strRef>
              <c:f>Sheet1!$A$2:$A$5</c:f>
              <c:strCache>
                <c:ptCount val="4"/>
                <c:pt idx="0">
                  <c:v>ԸՆԴՀԱՆՈՒՐ ԲՆՈՒՅԹԻ ՀԱՆՐԱՅԻՆ ԾԱՌԱՅՈՒԹՅՈՒՆՆԵՐ (ԱՅԴ ԹՎՈՒՄ՝ ՊԱՀՈՒՍՏԱՅԻՆ ՖՈՆԴԵՐ)</c:v>
                </c:pt>
                <c:pt idx="1">
                  <c:v>ՊԱՇՏՊԱՆՈՒԹՅՈՒՆ, ՀԱՍԱՐԱԿԱԿԱՆ ԿԱՐԳ,  ԱՆՎՏԱՆԳՈՒԹՅՈՒՆ ԵՎ ԴԱՏԱԿԱՆ ԳՈՐԾՈՒՆԵՈՒԹՅՈՒՆ</c:v>
                </c:pt>
                <c:pt idx="2">
                  <c:v>ՏՆՏԵՍԱԿԱՆ ՈԼՈՐՏ</c:v>
                </c:pt>
                <c:pt idx="3">
                  <c:v>ՍՈՑԻԱԼԱԿԱՆ ՈԼՈՐՏ</c:v>
                </c:pt>
              </c:strCache>
            </c:strRef>
          </c:cat>
          <c:val>
            <c:numRef>
              <c:f>Sheet1!$E$2:$E$5</c:f>
              <c:numCache>
                <c:formatCode>0.00%</c:formatCode>
                <c:ptCount val="4"/>
                <c:pt idx="0">
                  <c:v>0.24488280851298636</c:v>
                </c:pt>
                <c:pt idx="1">
                  <c:v>0.26597736463311311</c:v>
                </c:pt>
                <c:pt idx="2">
                  <c:v>7.627163886409459E-2</c:v>
                </c:pt>
                <c:pt idx="3">
                  <c:v>0.41285474918854098</c:v>
                </c:pt>
              </c:numCache>
            </c:numRef>
          </c:val>
          <c:extLst>
            <c:ext xmlns:c16="http://schemas.microsoft.com/office/drawing/2014/chart" uri="{C3380CC4-5D6E-409C-BE32-E72D297353CC}">
              <c16:uniqueId val="{00000003-EF72-417B-A4F4-0D8E68C62064}"/>
            </c:ext>
          </c:extLst>
        </c:ser>
        <c:ser>
          <c:idx val="4"/>
          <c:order val="4"/>
          <c:tx>
            <c:strRef>
              <c:f>Sheet1!$F$1</c:f>
              <c:strCache>
                <c:ptCount val="1"/>
                <c:pt idx="0">
                  <c:v>2024</c:v>
                </c:pt>
              </c:strCache>
            </c:strRef>
          </c:tx>
          <c:spPr>
            <a:solidFill>
              <a:schemeClr val="accent1">
                <a:shade val="82000"/>
              </a:schemeClr>
            </a:solidFill>
            <a:ln>
              <a:noFill/>
            </a:ln>
            <a:effectLst/>
          </c:spPr>
          <c:invertIfNegative val="0"/>
          <c:cat>
            <c:strRef>
              <c:f>Sheet1!$A$2:$A$5</c:f>
              <c:strCache>
                <c:ptCount val="4"/>
                <c:pt idx="0">
                  <c:v>ԸՆԴՀԱՆՈՒՐ ԲՆՈՒՅԹԻ ՀԱՆՐԱՅԻՆ ԾԱՌԱՅՈՒԹՅՈՒՆՆԵՐ (ԱՅԴ ԹՎՈՒՄ՝ ՊԱՀՈՒՍՏԱՅԻՆ ՖՈՆԴԵՐ)</c:v>
                </c:pt>
                <c:pt idx="1">
                  <c:v>ՊԱՇՏՊԱՆՈՒԹՅՈՒՆ, ՀԱՍԱՐԱԿԱԿԱՆ ԿԱՐԳ,  ԱՆՎՏԱՆԳՈՒԹՅՈՒՆ ԵՎ ԴԱՏԱԿԱՆ ԳՈՐԾՈՒՆԵՈՒԹՅՈՒՆ</c:v>
                </c:pt>
                <c:pt idx="2">
                  <c:v>ՏՆՏԵՍԱԿԱՆ ՈԼՈՐՏ</c:v>
                </c:pt>
                <c:pt idx="3">
                  <c:v>ՍՈՑԻԱԼԱԿԱՆ ՈԼՈՐՏ</c:v>
                </c:pt>
              </c:strCache>
            </c:strRef>
          </c:cat>
          <c:val>
            <c:numRef>
              <c:f>Sheet1!$F$2:$F$5</c:f>
              <c:numCache>
                <c:formatCode>0.00%</c:formatCode>
                <c:ptCount val="4"/>
                <c:pt idx="0">
                  <c:v>0.22714976730821534</c:v>
                </c:pt>
                <c:pt idx="1">
                  <c:v>0.26288195176784229</c:v>
                </c:pt>
                <c:pt idx="2">
                  <c:v>7.7453570291748097E-2</c:v>
                </c:pt>
                <c:pt idx="3">
                  <c:v>0.43250831606340073</c:v>
                </c:pt>
              </c:numCache>
            </c:numRef>
          </c:val>
          <c:extLst>
            <c:ext xmlns:c16="http://schemas.microsoft.com/office/drawing/2014/chart" uri="{C3380CC4-5D6E-409C-BE32-E72D297353CC}">
              <c16:uniqueId val="{00000004-EF72-417B-A4F4-0D8E68C62064}"/>
            </c:ext>
          </c:extLst>
        </c:ser>
        <c:ser>
          <c:idx val="5"/>
          <c:order val="5"/>
          <c:tx>
            <c:strRef>
              <c:f>Sheet1!$G$1</c:f>
              <c:strCache>
                <c:ptCount val="1"/>
                <c:pt idx="0">
                  <c:v>2023</c:v>
                </c:pt>
              </c:strCache>
            </c:strRef>
          </c:tx>
          <c:spPr>
            <a:solidFill>
              <a:schemeClr val="accent1">
                <a:shade val="65000"/>
              </a:schemeClr>
            </a:solidFill>
            <a:ln>
              <a:noFill/>
            </a:ln>
            <a:effectLst/>
          </c:spPr>
          <c:invertIfNegative val="0"/>
          <c:cat>
            <c:strRef>
              <c:f>Sheet1!$A$2:$A$5</c:f>
              <c:strCache>
                <c:ptCount val="4"/>
                <c:pt idx="0">
                  <c:v>ԸՆԴՀԱՆՈՒՐ ԲՆՈՒՅԹԻ ՀԱՆՐԱՅԻՆ ԾԱՌԱՅՈՒԹՅՈՒՆՆԵՐ (ԱՅԴ ԹՎՈՒՄ՝ ՊԱՀՈՒՍՏԱՅԻՆ ՖՈՆԴԵՐ)</c:v>
                </c:pt>
                <c:pt idx="1">
                  <c:v>ՊԱՇՏՊԱՆՈՒԹՅՈՒՆ, ՀԱՍԱՐԱԿԱԿԱՆ ԿԱՐԳ,  ԱՆՎՏԱՆԳՈՒԹՅՈՒՆ ԵՎ ԴԱՏԱԿԱՆ ԳՈՐԾՈՒՆԵՈՒԹՅՈՒՆ</c:v>
                </c:pt>
                <c:pt idx="2">
                  <c:v>ՏՆՏԵՍԱԿԱՆ ՈԼՈՐՏ</c:v>
                </c:pt>
                <c:pt idx="3">
                  <c:v>ՍՈՑԻԱԼԱԿԱՆ ՈԼՈՐՏ</c:v>
                </c:pt>
              </c:strCache>
            </c:strRef>
          </c:cat>
          <c:val>
            <c:numRef>
              <c:f>Sheet1!$G$2:$G$5</c:f>
              <c:numCache>
                <c:formatCode>0.00%</c:formatCode>
                <c:ptCount val="4"/>
                <c:pt idx="0">
                  <c:v>0.20510820890388906</c:v>
                </c:pt>
                <c:pt idx="1">
                  <c:v>0.28787315020021298</c:v>
                </c:pt>
                <c:pt idx="2">
                  <c:v>8.5490553740941361E-2</c:v>
                </c:pt>
                <c:pt idx="3">
                  <c:v>0.42152573766022461</c:v>
                </c:pt>
              </c:numCache>
            </c:numRef>
          </c:val>
          <c:extLst>
            <c:ext xmlns:c16="http://schemas.microsoft.com/office/drawing/2014/chart" uri="{C3380CC4-5D6E-409C-BE32-E72D297353CC}">
              <c16:uniqueId val="{00000005-EF72-417B-A4F4-0D8E68C62064}"/>
            </c:ext>
          </c:extLst>
        </c:ser>
        <c:ser>
          <c:idx val="6"/>
          <c:order val="6"/>
          <c:tx>
            <c:strRef>
              <c:f>Sheet1!$H$1</c:f>
              <c:strCache>
                <c:ptCount val="1"/>
                <c:pt idx="0">
                  <c:v>2022</c:v>
                </c:pt>
              </c:strCache>
            </c:strRef>
          </c:tx>
          <c:spPr>
            <a:solidFill>
              <a:schemeClr val="accent1">
                <a:shade val="47000"/>
              </a:schemeClr>
            </a:solidFill>
            <a:ln>
              <a:noFill/>
            </a:ln>
            <a:effectLst/>
          </c:spPr>
          <c:invertIfNegative val="0"/>
          <c:cat>
            <c:strRef>
              <c:f>Sheet1!$A$2:$A$5</c:f>
              <c:strCache>
                <c:ptCount val="4"/>
                <c:pt idx="0">
                  <c:v>ԸՆԴՀԱՆՈՒՐ ԲՆՈՒՅԹԻ ՀԱՆՐԱՅԻՆ ԾԱՌԱՅՈՒԹՅՈՒՆՆԵՐ (ԱՅԴ ԹՎՈՒՄ՝ ՊԱՀՈՒՍՏԱՅԻՆ ՖՈՆԴԵՐ)</c:v>
                </c:pt>
                <c:pt idx="1">
                  <c:v>ՊԱՇՏՊԱՆՈՒԹՅՈՒՆ, ՀԱՍԱՐԱԿԱԿԱՆ ԿԱՐԳ,  ԱՆՎՏԱՆԳՈՒԹՅՈՒՆ ԵՎ ԴԱՏԱԿԱՆ ԳՈՐԾՈՒՆԵՈՒԹՅՈՒՆ</c:v>
                </c:pt>
                <c:pt idx="2">
                  <c:v>ՏՆՏԵՍԱԿԱՆ ՈԼՈՐՏ</c:v>
                </c:pt>
                <c:pt idx="3">
                  <c:v>ՍՈՑԻԱԼԱԿԱՆ ՈԼՈՐՏ</c:v>
                </c:pt>
              </c:strCache>
            </c:strRef>
          </c:cat>
          <c:val>
            <c:numRef>
              <c:f>Sheet1!$H$2:$H$5</c:f>
              <c:numCache>
                <c:formatCode>0.00%</c:formatCode>
                <c:ptCount val="4"/>
                <c:pt idx="0">
                  <c:v>0.1816833020440945</c:v>
                </c:pt>
                <c:pt idx="1">
                  <c:v>0.30201208985197964</c:v>
                </c:pt>
                <c:pt idx="2">
                  <c:v>8.5658530135191632E-2</c:v>
                </c:pt>
                <c:pt idx="3">
                  <c:v>0.43065595213205665</c:v>
                </c:pt>
              </c:numCache>
            </c:numRef>
          </c:val>
          <c:extLst>
            <c:ext xmlns:c16="http://schemas.microsoft.com/office/drawing/2014/chart" uri="{C3380CC4-5D6E-409C-BE32-E72D297353CC}">
              <c16:uniqueId val="{00000006-EF72-417B-A4F4-0D8E68C62064}"/>
            </c:ext>
          </c:extLst>
        </c:ser>
        <c:dLbls>
          <c:showLegendKey val="0"/>
          <c:showVal val="0"/>
          <c:showCatName val="0"/>
          <c:showSerName val="0"/>
          <c:showPercent val="0"/>
          <c:showBubbleSize val="0"/>
        </c:dLbls>
        <c:gapWidth val="182"/>
        <c:axId val="2065148783"/>
        <c:axId val="2065168751"/>
      </c:barChart>
      <c:catAx>
        <c:axId val="2065148783"/>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65168751"/>
        <c:crosses val="autoZero"/>
        <c:auto val="1"/>
        <c:lblAlgn val="ctr"/>
        <c:lblOffset val="100"/>
        <c:noMultiLvlLbl val="0"/>
      </c:catAx>
      <c:valAx>
        <c:axId val="2065168751"/>
        <c:scaling>
          <c:orientation val="minMax"/>
          <c:max val="0.5"/>
          <c:min val="0"/>
        </c:scaling>
        <c:delete val="0"/>
        <c:axPos val="b"/>
        <c:majorGridlines>
          <c:spPr>
            <a:ln w="9525" cap="flat" cmpd="sng" algn="ctr">
              <a:solidFill>
                <a:schemeClr val="bg1"/>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65148783"/>
        <c:crosses val="autoZero"/>
        <c:crossBetween val="between"/>
        <c:majorUnit val="0.1"/>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noFill/>
    <a:ln w="9525" cap="flat" cmpd="sng" algn="ctr">
      <a:solidFill>
        <a:schemeClr val="bg1"/>
      </a:solidFill>
      <a:round/>
    </a:ln>
    <a:effectLst/>
  </c:spPr>
  <c:txPr>
    <a:bodyPr/>
    <a:lstStyle/>
    <a:p>
      <a:pPr>
        <a:defRPr/>
      </a:pPr>
      <a:endParaRPr lang="en-US"/>
    </a:p>
  </c:txPr>
  <c:externalData r:id="rId4">
    <c:autoUpdate val="0"/>
  </c:externalData>
</c:chartSpace>
</file>

<file path=word/charts/chart6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1000" b="0" i="0" u="none" strike="noStrike" baseline="0">
                <a:solidFill>
                  <a:srgbClr val="000000"/>
                </a:solidFill>
                <a:latin typeface="GHEA Grapalat"/>
                <a:ea typeface="GHEA Grapalat"/>
                <a:cs typeface="GHEA Grapalat"/>
              </a:defRPr>
            </a:pPr>
            <a:r>
              <a:rPr lang="hy-AM" sz="1000"/>
              <a:t>Ըստ ռեզիդենտության</a:t>
            </a:r>
          </a:p>
        </c:rich>
      </c:tx>
      <c:layout>
        <c:manualLayout>
          <c:xMode val="edge"/>
          <c:yMode val="edge"/>
          <c:x val="0.19144911764078271"/>
          <c:y val="0"/>
        </c:manualLayout>
      </c:layout>
      <c:overlay val="0"/>
    </c:title>
    <c:autoTitleDeleted val="0"/>
    <c:plotArea>
      <c:layout>
        <c:manualLayout>
          <c:layoutTarget val="inner"/>
          <c:xMode val="edge"/>
          <c:yMode val="edge"/>
          <c:x val="1.8003076654495357E-2"/>
          <c:y val="0.11514435695538058"/>
          <c:w val="0.9550648274228879"/>
          <c:h val="0.66673467990414237"/>
        </c:manualLayout>
      </c:layout>
      <c:barChart>
        <c:barDir val="col"/>
        <c:grouping val="stacked"/>
        <c:varyColors val="0"/>
        <c:ser>
          <c:idx val="0"/>
          <c:order val="0"/>
          <c:tx>
            <c:strRef>
              <c:f>'[2026-2028 budget-3.xlsx]UXERZ'!$I$61</c:f>
              <c:strCache>
                <c:ptCount val="1"/>
                <c:pt idx="0">
                  <c:v>ներքին պարտք</c:v>
                </c:pt>
              </c:strCache>
            </c:strRef>
          </c:tx>
          <c:spPr>
            <a:solidFill>
              <a:srgbClr val="4472C4">
                <a:lumMod val="60000"/>
                <a:lumOff val="40000"/>
              </a:srgbClr>
            </a:solidFill>
            <a:ln>
              <a:noFill/>
            </a:ln>
          </c:spPr>
          <c:invertIfNegative val="0"/>
          <c:dLbls>
            <c:spPr>
              <a:noFill/>
              <a:ln w="25400">
                <a:noFill/>
              </a:ln>
            </c:spPr>
            <c:txPr>
              <a:bodyPr wrap="square" lIns="38100" tIns="19050" rIns="38100" bIns="19050" anchor="ctr">
                <a:spAutoFit/>
              </a:bodyPr>
              <a:lstStyle/>
              <a:p>
                <a:pPr>
                  <a:defRPr sz="700" b="0" i="0" u="none" strike="noStrike" baseline="0">
                    <a:solidFill>
                      <a:schemeClr val="bg1"/>
                    </a:solidFill>
                    <a:latin typeface="GHEA Grapalat"/>
                    <a:ea typeface="GHEA Grapalat"/>
                    <a:cs typeface="GHEA Grapalat"/>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numRef>
              <c:f>'[2026-2028 budget-3.xlsx]UXERZ'!$K$59:$S$59</c:f>
              <c:numCache>
                <c:formatCode>General</c:formatCode>
                <c:ptCount val="9"/>
                <c:pt idx="0">
                  <c:v>2020</c:v>
                </c:pt>
                <c:pt idx="1">
                  <c:v>2021</c:v>
                </c:pt>
                <c:pt idx="2">
                  <c:v>2022</c:v>
                </c:pt>
                <c:pt idx="3">
                  <c:v>2023</c:v>
                </c:pt>
                <c:pt idx="4">
                  <c:v>2024</c:v>
                </c:pt>
                <c:pt idx="5">
                  <c:v>2025</c:v>
                </c:pt>
                <c:pt idx="6">
                  <c:v>2026</c:v>
                </c:pt>
                <c:pt idx="7">
                  <c:v>2027</c:v>
                </c:pt>
                <c:pt idx="8">
                  <c:v>2028</c:v>
                </c:pt>
              </c:numCache>
            </c:numRef>
          </c:cat>
          <c:val>
            <c:numRef>
              <c:f>'[2026-2028 budget-3.xlsx]UXERZ'!$K$61:$S$61</c:f>
              <c:numCache>
                <c:formatCode>_(* #,##0.0_);_(* \(#,##0.0\);_(* "-"??_);_(@_)</c:formatCode>
                <c:ptCount val="9"/>
                <c:pt idx="0">
                  <c:v>25.424939353575063</c:v>
                </c:pt>
                <c:pt idx="1">
                  <c:v>29.39398591380732</c:v>
                </c:pt>
                <c:pt idx="2">
                  <c:v>41.563932522681775</c:v>
                </c:pt>
                <c:pt idx="3">
                  <c:v>47.313953899753812</c:v>
                </c:pt>
                <c:pt idx="4">
                  <c:v>51.774766217807098</c:v>
                </c:pt>
                <c:pt idx="5">
                  <c:v>52.766735473967742</c:v>
                </c:pt>
                <c:pt idx="6">
                  <c:v>50.813812557719203</c:v>
                </c:pt>
                <c:pt idx="7">
                  <c:v>49.987263323579057</c:v>
                </c:pt>
                <c:pt idx="8">
                  <c:v>49.244745614488664</c:v>
                </c:pt>
              </c:numCache>
            </c:numRef>
          </c:val>
          <c:extLst>
            <c:ext xmlns:c16="http://schemas.microsoft.com/office/drawing/2014/chart" uri="{C3380CC4-5D6E-409C-BE32-E72D297353CC}">
              <c16:uniqueId val="{00000000-21A6-43C0-8A24-44124698A5CC}"/>
            </c:ext>
          </c:extLst>
        </c:ser>
        <c:ser>
          <c:idx val="1"/>
          <c:order val="1"/>
          <c:tx>
            <c:strRef>
              <c:f>'[2026-2028 budget-3.xlsx]UXERZ'!$I$62</c:f>
              <c:strCache>
                <c:ptCount val="1"/>
                <c:pt idx="0">
                  <c:v>արտաքին պարտք</c:v>
                </c:pt>
              </c:strCache>
            </c:strRef>
          </c:tx>
          <c:spPr>
            <a:solidFill>
              <a:srgbClr val="44546A">
                <a:lumMod val="75000"/>
              </a:srgbClr>
            </a:solidFill>
            <a:ln>
              <a:noFill/>
            </a:ln>
          </c:spPr>
          <c:invertIfNegative val="0"/>
          <c:dPt>
            <c:idx val="2"/>
            <c:invertIfNegative val="0"/>
            <c:bubble3D val="0"/>
            <c:extLst>
              <c:ext xmlns:c16="http://schemas.microsoft.com/office/drawing/2014/chart" uri="{C3380CC4-5D6E-409C-BE32-E72D297353CC}">
                <c16:uniqueId val="{00000001-21A6-43C0-8A24-44124698A5CC}"/>
              </c:ext>
            </c:extLst>
          </c:dPt>
          <c:dLbls>
            <c:spPr>
              <a:noFill/>
              <a:ln w="25400">
                <a:noFill/>
              </a:ln>
            </c:spPr>
            <c:txPr>
              <a:bodyPr wrap="square" lIns="38100" tIns="19050" rIns="38100" bIns="19050" anchor="ctr">
                <a:spAutoFit/>
              </a:bodyPr>
              <a:lstStyle/>
              <a:p>
                <a:pPr>
                  <a:defRPr sz="700" b="0" i="0" u="none" strike="noStrike" baseline="0">
                    <a:solidFill>
                      <a:srgbClr val="FFFFFF"/>
                    </a:solidFill>
                    <a:latin typeface="GHEA Grapalat"/>
                    <a:ea typeface="GHEA Grapalat"/>
                    <a:cs typeface="GHEA Grapalat"/>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numRef>
              <c:f>'[2026-2028 budget-3.xlsx]UXERZ'!$K$59:$S$59</c:f>
              <c:numCache>
                <c:formatCode>General</c:formatCode>
                <c:ptCount val="9"/>
                <c:pt idx="0">
                  <c:v>2020</c:v>
                </c:pt>
                <c:pt idx="1">
                  <c:v>2021</c:v>
                </c:pt>
                <c:pt idx="2">
                  <c:v>2022</c:v>
                </c:pt>
                <c:pt idx="3">
                  <c:v>2023</c:v>
                </c:pt>
                <c:pt idx="4">
                  <c:v>2024</c:v>
                </c:pt>
                <c:pt idx="5">
                  <c:v>2025</c:v>
                </c:pt>
                <c:pt idx="6">
                  <c:v>2026</c:v>
                </c:pt>
                <c:pt idx="7">
                  <c:v>2027</c:v>
                </c:pt>
                <c:pt idx="8">
                  <c:v>2028</c:v>
                </c:pt>
              </c:numCache>
            </c:numRef>
          </c:cat>
          <c:val>
            <c:numRef>
              <c:f>'[2026-2028 budget-3.xlsx]UXERZ'!$K$62:$S$62</c:f>
              <c:numCache>
                <c:formatCode>_(* #,##0.0_);_(* \(#,##0.0\);_(* "-"??_);_(@_)</c:formatCode>
                <c:ptCount val="9"/>
                <c:pt idx="0">
                  <c:v>74.575060646424916</c:v>
                </c:pt>
                <c:pt idx="1">
                  <c:v>70.606014086192658</c:v>
                </c:pt>
                <c:pt idx="2">
                  <c:v>58.436067477318225</c:v>
                </c:pt>
                <c:pt idx="3">
                  <c:v>52.686046100246188</c:v>
                </c:pt>
                <c:pt idx="4">
                  <c:v>48.225233782192895</c:v>
                </c:pt>
                <c:pt idx="5">
                  <c:v>47.233264526032265</c:v>
                </c:pt>
                <c:pt idx="6">
                  <c:v>49.18618744228079</c:v>
                </c:pt>
                <c:pt idx="7">
                  <c:v>50.012736676420928</c:v>
                </c:pt>
                <c:pt idx="8">
                  <c:v>50.755254385511336</c:v>
                </c:pt>
              </c:numCache>
            </c:numRef>
          </c:val>
          <c:extLst>
            <c:ext xmlns:c16="http://schemas.microsoft.com/office/drawing/2014/chart" uri="{C3380CC4-5D6E-409C-BE32-E72D297353CC}">
              <c16:uniqueId val="{00000002-21A6-43C0-8A24-44124698A5CC}"/>
            </c:ext>
          </c:extLst>
        </c:ser>
        <c:dLbls>
          <c:showLegendKey val="0"/>
          <c:showVal val="0"/>
          <c:showCatName val="0"/>
          <c:showSerName val="0"/>
          <c:showPercent val="0"/>
          <c:showBubbleSize val="0"/>
        </c:dLbls>
        <c:gapWidth val="77"/>
        <c:overlap val="100"/>
        <c:axId val="462032896"/>
        <c:axId val="454874752"/>
      </c:barChart>
      <c:catAx>
        <c:axId val="462032896"/>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0" vert="horz"/>
          <a:lstStyle/>
          <a:p>
            <a:pPr>
              <a:defRPr sz="800" b="1" i="0" u="none" strike="noStrike" baseline="0">
                <a:solidFill>
                  <a:srgbClr val="333333"/>
                </a:solidFill>
                <a:latin typeface="GHEA Grapalat"/>
                <a:ea typeface="GHEA Grapalat"/>
                <a:cs typeface="GHEA Grapalat"/>
              </a:defRPr>
            </a:pPr>
            <a:endParaRPr lang="en-US"/>
          </a:p>
        </c:txPr>
        <c:crossAx val="454874752"/>
        <c:crosses val="autoZero"/>
        <c:auto val="1"/>
        <c:lblAlgn val="ctr"/>
        <c:lblOffset val="100"/>
        <c:noMultiLvlLbl val="0"/>
      </c:catAx>
      <c:valAx>
        <c:axId val="454874752"/>
        <c:scaling>
          <c:orientation val="minMax"/>
          <c:max val="100"/>
        </c:scaling>
        <c:delete val="1"/>
        <c:axPos val="l"/>
        <c:numFmt formatCode="_(* #,##0.0_);_(* \(#,##0.0\);_(* &quot;-&quot;??_);_(@_)" sourceLinked="1"/>
        <c:majorTickMark val="out"/>
        <c:minorTickMark val="none"/>
        <c:tickLblPos val="nextTo"/>
        <c:crossAx val="462032896"/>
        <c:crosses val="autoZero"/>
        <c:crossBetween val="between"/>
      </c:valAx>
      <c:spPr>
        <a:noFill/>
        <a:ln w="25400">
          <a:noFill/>
        </a:ln>
      </c:spPr>
    </c:plotArea>
    <c:legend>
      <c:legendPos val="b"/>
      <c:layout>
        <c:manualLayout>
          <c:xMode val="edge"/>
          <c:yMode val="edge"/>
          <c:x val="2.7173960978454929E-2"/>
          <c:y val="0.91815960989372447"/>
          <c:w val="0.91032612793319534"/>
          <c:h val="6.6496300365555094E-2"/>
        </c:manualLayout>
      </c:layout>
      <c:overlay val="0"/>
      <c:txPr>
        <a:bodyPr/>
        <a:lstStyle/>
        <a:p>
          <a:pPr>
            <a:defRPr sz="775" b="0" i="0" u="none" strike="noStrike" baseline="0">
              <a:solidFill>
                <a:srgbClr val="000000"/>
              </a:solidFill>
              <a:latin typeface="GHEA Grapalat"/>
              <a:ea typeface="GHEA Grapalat"/>
              <a:cs typeface="GHEA Grapalat"/>
            </a:defRPr>
          </a:pPr>
          <a:endParaRPr lang="en-US"/>
        </a:p>
      </c:txPr>
    </c:legend>
    <c:plotVisOnly val="1"/>
    <c:dispBlanksAs val="gap"/>
    <c:showDLblsOverMax val="0"/>
  </c:chart>
  <c:spPr>
    <a:noFill/>
    <a:ln>
      <a:noFill/>
    </a:ln>
    <a:effectLst/>
  </c:spPr>
  <c:txPr>
    <a:bodyPr/>
    <a:lstStyle/>
    <a:p>
      <a:pPr>
        <a:defRPr sz="1000" b="0" i="0" u="none" strike="noStrike" baseline="0">
          <a:solidFill>
            <a:srgbClr val="000000"/>
          </a:solidFill>
          <a:latin typeface="GHEA Grapalat"/>
          <a:ea typeface="GHEA Grapalat"/>
          <a:cs typeface="GHEA Grapalat"/>
        </a:defRPr>
      </a:pPr>
      <a:endParaRPr lang="en-US"/>
    </a:p>
  </c:txPr>
  <c:externalData r:id="rId2">
    <c:autoUpdate val="0"/>
  </c:externalData>
</c:chartSpace>
</file>

<file path=word/charts/chart6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1000" b="0" i="0" u="none" strike="noStrike" baseline="0">
                <a:solidFill>
                  <a:srgbClr val="000000"/>
                </a:solidFill>
                <a:latin typeface="GHEA Grapalat"/>
                <a:ea typeface="GHEA Grapalat"/>
                <a:cs typeface="GHEA Grapalat"/>
              </a:defRPr>
            </a:pPr>
            <a:r>
              <a:rPr lang="hy-AM" sz="1000"/>
              <a:t>Ըստ ներգրավման արժույթի</a:t>
            </a:r>
          </a:p>
        </c:rich>
      </c:tx>
      <c:layout>
        <c:manualLayout>
          <c:xMode val="edge"/>
          <c:yMode val="edge"/>
          <c:x val="0.19144911554360372"/>
          <c:y val="0"/>
        </c:manualLayout>
      </c:layout>
      <c:overlay val="0"/>
    </c:title>
    <c:autoTitleDeleted val="0"/>
    <c:plotArea>
      <c:layout>
        <c:manualLayout>
          <c:layoutTarget val="inner"/>
          <c:xMode val="edge"/>
          <c:yMode val="edge"/>
          <c:x val="1.8003076654495357E-2"/>
          <c:y val="0.11514435695538058"/>
          <c:w val="0.9550648274228879"/>
          <c:h val="0.66673467990414237"/>
        </c:manualLayout>
      </c:layout>
      <c:barChart>
        <c:barDir val="col"/>
        <c:grouping val="stacked"/>
        <c:varyColors val="0"/>
        <c:ser>
          <c:idx val="0"/>
          <c:order val="0"/>
          <c:tx>
            <c:strRef>
              <c:f>'[2026-2028 budget-3.xlsx]UXERZ'!$I$70</c:f>
              <c:strCache>
                <c:ptCount val="1"/>
                <c:pt idx="0">
                  <c:v>դրամային</c:v>
                </c:pt>
              </c:strCache>
            </c:strRef>
          </c:tx>
          <c:spPr>
            <a:solidFill>
              <a:srgbClr val="4472C4">
                <a:lumMod val="60000"/>
                <a:lumOff val="40000"/>
              </a:srgbClr>
            </a:solidFill>
          </c:spPr>
          <c:invertIfNegative val="0"/>
          <c:dLbls>
            <c:spPr>
              <a:noFill/>
              <a:ln w="25400">
                <a:noFill/>
              </a:ln>
            </c:spPr>
            <c:txPr>
              <a:bodyPr wrap="square" lIns="38100" tIns="19050" rIns="38100" bIns="19050" anchor="ctr">
                <a:spAutoFit/>
              </a:bodyPr>
              <a:lstStyle/>
              <a:p>
                <a:pPr>
                  <a:defRPr sz="700" b="0" i="0" u="none" strike="noStrike" baseline="0">
                    <a:solidFill>
                      <a:srgbClr val="FFFFFF"/>
                    </a:solidFill>
                    <a:latin typeface="GHEA Grapalat"/>
                    <a:ea typeface="GHEA Grapalat"/>
                    <a:cs typeface="GHEA Grapalat"/>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numRef>
              <c:f>'[2026-2028 budget-3.xlsx]UXERZ'!$K$59:$S$59</c:f>
              <c:numCache>
                <c:formatCode>General</c:formatCode>
                <c:ptCount val="9"/>
                <c:pt idx="0">
                  <c:v>2020</c:v>
                </c:pt>
                <c:pt idx="1">
                  <c:v>2021</c:v>
                </c:pt>
                <c:pt idx="2">
                  <c:v>2022</c:v>
                </c:pt>
                <c:pt idx="3">
                  <c:v>2023</c:v>
                </c:pt>
                <c:pt idx="4">
                  <c:v>2024</c:v>
                </c:pt>
                <c:pt idx="5">
                  <c:v>2025</c:v>
                </c:pt>
                <c:pt idx="6">
                  <c:v>2026</c:v>
                </c:pt>
                <c:pt idx="7">
                  <c:v>2027</c:v>
                </c:pt>
                <c:pt idx="8">
                  <c:v>2028</c:v>
                </c:pt>
              </c:numCache>
            </c:numRef>
          </c:cat>
          <c:val>
            <c:numRef>
              <c:f>'[2026-2028 budget-3.xlsx]UXERZ'!$K$70:$S$70</c:f>
              <c:numCache>
                <c:formatCode>_(* #,##0.0_);_(* \(#,##0.0\);_(* "-"??_);_(@_)</c:formatCode>
                <c:ptCount val="9"/>
                <c:pt idx="0">
                  <c:v>24.435806405343516</c:v>
                </c:pt>
                <c:pt idx="1">
                  <c:v>28.842937457677692</c:v>
                </c:pt>
                <c:pt idx="2">
                  <c:v>37.92281415103416</c:v>
                </c:pt>
                <c:pt idx="3">
                  <c:v>45.933174026569759</c:v>
                </c:pt>
                <c:pt idx="4">
                  <c:v>50.759235817845003</c:v>
                </c:pt>
                <c:pt idx="5">
                  <c:v>50.863579846162587</c:v>
                </c:pt>
                <c:pt idx="6">
                  <c:v>49.097632036946116</c:v>
                </c:pt>
                <c:pt idx="7">
                  <c:v>48.811671208231971</c:v>
                </c:pt>
                <c:pt idx="8">
                  <c:v>48.557683624195143</c:v>
                </c:pt>
              </c:numCache>
            </c:numRef>
          </c:val>
          <c:extLst>
            <c:ext xmlns:c16="http://schemas.microsoft.com/office/drawing/2014/chart" uri="{C3380CC4-5D6E-409C-BE32-E72D297353CC}">
              <c16:uniqueId val="{00000000-7CAA-4253-BD31-2D31E3C69DF4}"/>
            </c:ext>
          </c:extLst>
        </c:ser>
        <c:ser>
          <c:idx val="1"/>
          <c:order val="1"/>
          <c:tx>
            <c:strRef>
              <c:f>'[2026-2028 budget-3.xlsx]UXERZ'!$I$71</c:f>
              <c:strCache>
                <c:ptCount val="1"/>
                <c:pt idx="0">
                  <c:v>արտարժութային պարտք</c:v>
                </c:pt>
              </c:strCache>
            </c:strRef>
          </c:tx>
          <c:spPr>
            <a:solidFill>
              <a:srgbClr val="44546A">
                <a:lumMod val="75000"/>
              </a:srgbClr>
            </a:solidFill>
          </c:spPr>
          <c:invertIfNegative val="0"/>
          <c:dLbls>
            <c:spPr>
              <a:noFill/>
              <a:ln w="25400">
                <a:noFill/>
              </a:ln>
            </c:spPr>
            <c:txPr>
              <a:bodyPr wrap="square" lIns="38100" tIns="19050" rIns="38100" bIns="19050" anchor="ctr">
                <a:spAutoFit/>
              </a:bodyPr>
              <a:lstStyle/>
              <a:p>
                <a:pPr>
                  <a:defRPr sz="700" b="0" i="0" u="none" strike="noStrike" baseline="0">
                    <a:solidFill>
                      <a:srgbClr val="FFFFFF"/>
                    </a:solidFill>
                    <a:latin typeface="GHEA Grapalat"/>
                    <a:ea typeface="GHEA Grapalat"/>
                    <a:cs typeface="GHEA Grapalat"/>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numRef>
              <c:f>'[2026-2028 budget-3.xlsx]UXERZ'!$K$59:$S$59</c:f>
              <c:numCache>
                <c:formatCode>General</c:formatCode>
                <c:ptCount val="9"/>
                <c:pt idx="0">
                  <c:v>2020</c:v>
                </c:pt>
                <c:pt idx="1">
                  <c:v>2021</c:v>
                </c:pt>
                <c:pt idx="2">
                  <c:v>2022</c:v>
                </c:pt>
                <c:pt idx="3">
                  <c:v>2023</c:v>
                </c:pt>
                <c:pt idx="4">
                  <c:v>2024</c:v>
                </c:pt>
                <c:pt idx="5">
                  <c:v>2025</c:v>
                </c:pt>
                <c:pt idx="6">
                  <c:v>2026</c:v>
                </c:pt>
                <c:pt idx="7">
                  <c:v>2027</c:v>
                </c:pt>
                <c:pt idx="8">
                  <c:v>2028</c:v>
                </c:pt>
              </c:numCache>
            </c:numRef>
          </c:cat>
          <c:val>
            <c:numRef>
              <c:f>'[2026-2028 budget-3.xlsx]UXERZ'!$K$71:$S$71</c:f>
              <c:numCache>
                <c:formatCode>_(* #,##0.0_);_(* \(#,##0.0\);_(* "-"??_);_(@_)</c:formatCode>
                <c:ptCount val="9"/>
                <c:pt idx="0">
                  <c:v>75.564193594656473</c:v>
                </c:pt>
                <c:pt idx="1">
                  <c:v>71.157062542322308</c:v>
                </c:pt>
                <c:pt idx="2">
                  <c:v>62.077185848965847</c:v>
                </c:pt>
                <c:pt idx="3">
                  <c:v>54.066825973430234</c:v>
                </c:pt>
                <c:pt idx="4">
                  <c:v>49.24076418215499</c:v>
                </c:pt>
                <c:pt idx="5">
                  <c:v>49.136420153837413</c:v>
                </c:pt>
                <c:pt idx="6">
                  <c:v>50.902367963053884</c:v>
                </c:pt>
                <c:pt idx="7">
                  <c:v>51.188328791768022</c:v>
                </c:pt>
                <c:pt idx="8">
                  <c:v>51.44231637580485</c:v>
                </c:pt>
              </c:numCache>
            </c:numRef>
          </c:val>
          <c:extLst>
            <c:ext xmlns:c16="http://schemas.microsoft.com/office/drawing/2014/chart" uri="{C3380CC4-5D6E-409C-BE32-E72D297353CC}">
              <c16:uniqueId val="{00000001-7CAA-4253-BD31-2D31E3C69DF4}"/>
            </c:ext>
          </c:extLst>
        </c:ser>
        <c:dLbls>
          <c:showLegendKey val="0"/>
          <c:showVal val="0"/>
          <c:showCatName val="0"/>
          <c:showSerName val="0"/>
          <c:showPercent val="0"/>
          <c:showBubbleSize val="0"/>
        </c:dLbls>
        <c:gapWidth val="79"/>
        <c:overlap val="100"/>
        <c:axId val="456644608"/>
        <c:axId val="454872448"/>
      </c:barChart>
      <c:catAx>
        <c:axId val="456644608"/>
        <c:scaling>
          <c:orientation val="minMax"/>
        </c:scaling>
        <c:delete val="0"/>
        <c:axPos val="b"/>
        <c:majorGridlines>
          <c:spPr>
            <a:ln w="9525" cap="flat" cmpd="sng" algn="ctr">
              <a:no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0" vert="horz"/>
          <a:lstStyle/>
          <a:p>
            <a:pPr>
              <a:defRPr sz="800" b="0" i="0" u="none" strike="noStrike" baseline="0">
                <a:solidFill>
                  <a:srgbClr val="333333"/>
                </a:solidFill>
                <a:latin typeface="GHEA Grapalat"/>
                <a:ea typeface="GHEA Grapalat"/>
                <a:cs typeface="GHEA Grapalat"/>
              </a:defRPr>
            </a:pPr>
            <a:endParaRPr lang="en-US"/>
          </a:p>
        </c:txPr>
        <c:crossAx val="454872448"/>
        <c:crosses val="autoZero"/>
        <c:auto val="1"/>
        <c:lblAlgn val="ctr"/>
        <c:lblOffset val="100"/>
        <c:noMultiLvlLbl val="0"/>
      </c:catAx>
      <c:valAx>
        <c:axId val="454872448"/>
        <c:scaling>
          <c:orientation val="minMax"/>
          <c:max val="100"/>
        </c:scaling>
        <c:delete val="1"/>
        <c:axPos val="l"/>
        <c:numFmt formatCode="_(* #,##0.0_);_(* \(#,##0.0\);_(* &quot;-&quot;??_);_(@_)" sourceLinked="1"/>
        <c:majorTickMark val="out"/>
        <c:minorTickMark val="none"/>
        <c:tickLblPos val="nextTo"/>
        <c:crossAx val="456644608"/>
        <c:crosses val="autoZero"/>
        <c:crossBetween val="between"/>
      </c:valAx>
      <c:spPr>
        <a:noFill/>
        <a:ln w="25400">
          <a:noFill/>
        </a:ln>
      </c:spPr>
    </c:plotArea>
    <c:legend>
      <c:legendPos val="b"/>
      <c:layout>
        <c:manualLayout>
          <c:xMode val="edge"/>
          <c:yMode val="edge"/>
          <c:x val="1.2315192787633732E-2"/>
          <c:y val="0.92190693270926649"/>
          <c:w val="0.74876949963564143"/>
          <c:h val="5.8962260390581729E-2"/>
        </c:manualLayout>
      </c:layout>
      <c:overlay val="0"/>
      <c:txPr>
        <a:bodyPr/>
        <a:lstStyle/>
        <a:p>
          <a:pPr>
            <a:defRPr sz="775" b="0" i="0" u="none" strike="noStrike" baseline="0">
              <a:solidFill>
                <a:srgbClr val="000000"/>
              </a:solidFill>
              <a:latin typeface="GHEA Grapalat"/>
              <a:ea typeface="GHEA Grapalat"/>
              <a:cs typeface="GHEA Grapalat"/>
            </a:defRPr>
          </a:pPr>
          <a:endParaRPr lang="en-US"/>
        </a:p>
      </c:txPr>
    </c:legend>
    <c:plotVisOnly val="1"/>
    <c:dispBlanksAs val="gap"/>
    <c:showDLblsOverMax val="0"/>
  </c:chart>
  <c:spPr>
    <a:noFill/>
    <a:ln>
      <a:noFill/>
    </a:ln>
    <a:effectLst/>
  </c:spPr>
  <c:txPr>
    <a:bodyPr/>
    <a:lstStyle/>
    <a:p>
      <a:pPr>
        <a:defRPr sz="1000" b="0" i="0" u="none" strike="noStrike" baseline="0">
          <a:solidFill>
            <a:srgbClr val="000000"/>
          </a:solidFill>
          <a:latin typeface="GHEA Grapalat"/>
          <a:ea typeface="GHEA Grapalat"/>
          <a:cs typeface="GHEA Grapalat"/>
        </a:defRPr>
      </a:pPr>
      <a:endParaRPr lang="en-US"/>
    </a:p>
  </c:txPr>
  <c:externalData r:id="rId2">
    <c:autoUpdate val="0"/>
  </c:externalData>
</c:chartSpace>
</file>

<file path=word/charts/chart6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1000" b="0" i="0" u="none" strike="noStrike" baseline="0">
                <a:solidFill>
                  <a:srgbClr val="000000"/>
                </a:solidFill>
                <a:latin typeface="GHEA Grapalat"/>
                <a:ea typeface="GHEA Grapalat"/>
                <a:cs typeface="GHEA Grapalat"/>
              </a:defRPr>
            </a:pPr>
            <a:r>
              <a:rPr lang="hy-AM" sz="1000"/>
              <a:t>Ըստ տոկոսադրույքի տեսակի</a:t>
            </a:r>
          </a:p>
        </c:rich>
      </c:tx>
      <c:layout>
        <c:manualLayout>
          <c:xMode val="edge"/>
          <c:yMode val="edge"/>
          <c:x val="0.19144923061087951"/>
          <c:y val="0"/>
        </c:manualLayout>
      </c:layout>
      <c:overlay val="0"/>
    </c:title>
    <c:autoTitleDeleted val="0"/>
    <c:plotArea>
      <c:layout>
        <c:manualLayout>
          <c:layoutTarget val="inner"/>
          <c:xMode val="edge"/>
          <c:yMode val="edge"/>
          <c:x val="1.8003076654495357E-2"/>
          <c:y val="0.11514435695538058"/>
          <c:w val="0.9550648274228879"/>
          <c:h val="0.66673467990414237"/>
        </c:manualLayout>
      </c:layout>
      <c:barChart>
        <c:barDir val="col"/>
        <c:grouping val="stacked"/>
        <c:varyColors val="0"/>
        <c:ser>
          <c:idx val="0"/>
          <c:order val="0"/>
          <c:tx>
            <c:strRef>
              <c:f>'[2026-2028 budget-3.xlsx]UXERZ'!$I$73</c:f>
              <c:strCache>
                <c:ptCount val="1"/>
                <c:pt idx="0">
                  <c:v>լողացող տոկոսադրույքով</c:v>
                </c:pt>
              </c:strCache>
            </c:strRef>
          </c:tx>
          <c:invertIfNegative val="0"/>
          <c:dLbls>
            <c:spPr>
              <a:noFill/>
              <a:ln w="25400">
                <a:noFill/>
              </a:ln>
            </c:spPr>
            <c:txPr>
              <a:bodyPr wrap="square" lIns="38100" tIns="19050" rIns="38100" bIns="19050" anchor="ctr">
                <a:spAutoFit/>
              </a:bodyPr>
              <a:lstStyle/>
              <a:p>
                <a:pPr>
                  <a:defRPr sz="700" b="0" i="0" u="none" strike="noStrike" baseline="0">
                    <a:solidFill>
                      <a:srgbClr val="FFFFFF"/>
                    </a:solidFill>
                    <a:latin typeface="GHEA Grapalat"/>
                    <a:ea typeface="GHEA Grapalat"/>
                    <a:cs typeface="GHEA Grapalat"/>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numRef>
              <c:f>'[2026-2028 budget-3.xlsx]UXERZ'!$K$59:$S$59</c:f>
              <c:numCache>
                <c:formatCode>General</c:formatCode>
                <c:ptCount val="9"/>
                <c:pt idx="0">
                  <c:v>2020</c:v>
                </c:pt>
                <c:pt idx="1">
                  <c:v>2021</c:v>
                </c:pt>
                <c:pt idx="2">
                  <c:v>2022</c:v>
                </c:pt>
                <c:pt idx="3">
                  <c:v>2023</c:v>
                </c:pt>
                <c:pt idx="4">
                  <c:v>2024</c:v>
                </c:pt>
                <c:pt idx="5">
                  <c:v>2025</c:v>
                </c:pt>
                <c:pt idx="6">
                  <c:v>2026</c:v>
                </c:pt>
                <c:pt idx="7">
                  <c:v>2027</c:v>
                </c:pt>
                <c:pt idx="8">
                  <c:v>2028</c:v>
                </c:pt>
              </c:numCache>
            </c:numRef>
          </c:cat>
          <c:val>
            <c:numRef>
              <c:f>'[2026-2028 budget-3.xlsx]UXERZ'!$K$73:$S$73</c:f>
              <c:numCache>
                <c:formatCode>_(* #,##0.0_);_(* \(#,##0.0\);_(* "-"??_);_(@_)</c:formatCode>
                <c:ptCount val="9"/>
                <c:pt idx="0">
                  <c:v>19.593935065352742</c:v>
                </c:pt>
                <c:pt idx="1">
                  <c:v>17.055253400285501</c:v>
                </c:pt>
                <c:pt idx="2">
                  <c:v>16.465865053197106</c:v>
                </c:pt>
                <c:pt idx="3">
                  <c:v>15.936201489738609</c:v>
                </c:pt>
                <c:pt idx="4">
                  <c:v>15.578874337862411</c:v>
                </c:pt>
                <c:pt idx="5">
                  <c:v>15.578785442569265</c:v>
                </c:pt>
                <c:pt idx="6">
                  <c:v>14.997744654310161</c:v>
                </c:pt>
                <c:pt idx="7">
                  <c:v>14.843296731114606</c:v>
                </c:pt>
                <c:pt idx="8">
                  <c:v>15.622460188339534</c:v>
                </c:pt>
              </c:numCache>
            </c:numRef>
          </c:val>
          <c:extLst>
            <c:ext xmlns:c16="http://schemas.microsoft.com/office/drawing/2014/chart" uri="{C3380CC4-5D6E-409C-BE32-E72D297353CC}">
              <c16:uniqueId val="{00000000-D525-4233-9A9A-DFD7D1B56BA8}"/>
            </c:ext>
          </c:extLst>
        </c:ser>
        <c:ser>
          <c:idx val="1"/>
          <c:order val="1"/>
          <c:tx>
            <c:strRef>
              <c:f>'[2026-2028 budget-3.xlsx]UXERZ'!$I$74</c:f>
              <c:strCache>
                <c:ptCount val="1"/>
                <c:pt idx="0">
                  <c:v>ֆիքսված տոկոսադրույքով</c:v>
                </c:pt>
              </c:strCache>
            </c:strRef>
          </c:tx>
          <c:spPr>
            <a:solidFill>
              <a:srgbClr val="44546A">
                <a:lumMod val="75000"/>
              </a:srgbClr>
            </a:solidFill>
          </c:spPr>
          <c:invertIfNegative val="0"/>
          <c:dLbls>
            <c:spPr>
              <a:noFill/>
              <a:ln w="25400">
                <a:noFill/>
              </a:ln>
            </c:spPr>
            <c:txPr>
              <a:bodyPr wrap="square" lIns="38100" tIns="19050" rIns="38100" bIns="19050" anchor="ctr">
                <a:spAutoFit/>
              </a:bodyPr>
              <a:lstStyle/>
              <a:p>
                <a:pPr>
                  <a:defRPr sz="700" b="0" i="0" u="none" strike="noStrike" baseline="0">
                    <a:solidFill>
                      <a:srgbClr val="FFFFFF"/>
                    </a:solidFill>
                    <a:latin typeface="GHEA Grapalat"/>
                    <a:ea typeface="GHEA Grapalat"/>
                    <a:cs typeface="GHEA Grapalat"/>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numRef>
              <c:f>'[2026-2028 budget-3.xlsx]UXERZ'!$K$59:$S$59</c:f>
              <c:numCache>
                <c:formatCode>General</c:formatCode>
                <c:ptCount val="9"/>
                <c:pt idx="0">
                  <c:v>2020</c:v>
                </c:pt>
                <c:pt idx="1">
                  <c:v>2021</c:v>
                </c:pt>
                <c:pt idx="2">
                  <c:v>2022</c:v>
                </c:pt>
                <c:pt idx="3">
                  <c:v>2023</c:v>
                </c:pt>
                <c:pt idx="4">
                  <c:v>2024</c:v>
                </c:pt>
                <c:pt idx="5">
                  <c:v>2025</c:v>
                </c:pt>
                <c:pt idx="6">
                  <c:v>2026</c:v>
                </c:pt>
                <c:pt idx="7">
                  <c:v>2027</c:v>
                </c:pt>
                <c:pt idx="8">
                  <c:v>2028</c:v>
                </c:pt>
              </c:numCache>
            </c:numRef>
          </c:cat>
          <c:val>
            <c:numRef>
              <c:f>'[2026-2028 budget-3.xlsx]UXERZ'!$K$74:$S$74</c:f>
              <c:numCache>
                <c:formatCode>_(* #,##0.0_);_(* \(#,##0.0\);_(* "-"??_);_(@_)</c:formatCode>
                <c:ptCount val="9"/>
                <c:pt idx="0">
                  <c:v>80.406064934647247</c:v>
                </c:pt>
                <c:pt idx="1">
                  <c:v>82.944746599714477</c:v>
                </c:pt>
                <c:pt idx="2">
                  <c:v>83.534134946802908</c:v>
                </c:pt>
                <c:pt idx="3">
                  <c:v>84.063798510261392</c:v>
                </c:pt>
                <c:pt idx="4">
                  <c:v>84.421125662137584</c:v>
                </c:pt>
                <c:pt idx="5">
                  <c:v>84.42121455743073</c:v>
                </c:pt>
                <c:pt idx="6">
                  <c:v>85.002255345689846</c:v>
                </c:pt>
                <c:pt idx="7">
                  <c:v>85.156703268885394</c:v>
                </c:pt>
                <c:pt idx="8">
                  <c:v>84.377539811660469</c:v>
                </c:pt>
              </c:numCache>
            </c:numRef>
          </c:val>
          <c:extLst>
            <c:ext xmlns:c16="http://schemas.microsoft.com/office/drawing/2014/chart" uri="{C3380CC4-5D6E-409C-BE32-E72D297353CC}">
              <c16:uniqueId val="{00000001-D525-4233-9A9A-DFD7D1B56BA8}"/>
            </c:ext>
          </c:extLst>
        </c:ser>
        <c:dLbls>
          <c:showLegendKey val="0"/>
          <c:showVal val="0"/>
          <c:showCatName val="0"/>
          <c:showSerName val="0"/>
          <c:showPercent val="0"/>
          <c:showBubbleSize val="0"/>
        </c:dLbls>
        <c:gapWidth val="79"/>
        <c:overlap val="100"/>
        <c:axId val="462034432"/>
        <c:axId val="461955072"/>
      </c:barChart>
      <c:catAx>
        <c:axId val="462034432"/>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0" vert="horz"/>
          <a:lstStyle/>
          <a:p>
            <a:pPr>
              <a:defRPr sz="800" b="0" i="0" u="none" strike="noStrike" baseline="0">
                <a:solidFill>
                  <a:srgbClr val="333333"/>
                </a:solidFill>
                <a:latin typeface="GHEA Grapalat"/>
                <a:ea typeface="GHEA Grapalat"/>
                <a:cs typeface="GHEA Grapalat"/>
              </a:defRPr>
            </a:pPr>
            <a:endParaRPr lang="en-US"/>
          </a:p>
        </c:txPr>
        <c:crossAx val="461955072"/>
        <c:crosses val="autoZero"/>
        <c:auto val="1"/>
        <c:lblAlgn val="ctr"/>
        <c:lblOffset val="100"/>
        <c:noMultiLvlLbl val="0"/>
      </c:catAx>
      <c:valAx>
        <c:axId val="461955072"/>
        <c:scaling>
          <c:orientation val="minMax"/>
          <c:max val="100"/>
        </c:scaling>
        <c:delete val="1"/>
        <c:axPos val="l"/>
        <c:numFmt formatCode="_(* #,##0.0_);_(* \(#,##0.0\);_(* &quot;-&quot;??_);_(@_)" sourceLinked="1"/>
        <c:majorTickMark val="out"/>
        <c:minorTickMark val="none"/>
        <c:tickLblPos val="nextTo"/>
        <c:crossAx val="462034432"/>
        <c:crosses val="autoZero"/>
        <c:crossBetween val="between"/>
      </c:valAx>
      <c:spPr>
        <a:noFill/>
        <a:ln w="25400">
          <a:noFill/>
        </a:ln>
      </c:spPr>
    </c:plotArea>
    <c:legend>
      <c:legendPos val="b"/>
      <c:layout>
        <c:manualLayout>
          <c:xMode val="edge"/>
          <c:yMode val="edge"/>
          <c:x val="1.2315372343162987E-2"/>
          <c:y val="0.86450102704553233"/>
          <c:w val="0.91379419484329161"/>
          <c:h val="0.11924141275818778"/>
        </c:manualLayout>
      </c:layout>
      <c:overlay val="0"/>
      <c:txPr>
        <a:bodyPr/>
        <a:lstStyle/>
        <a:p>
          <a:pPr>
            <a:defRPr sz="775" b="0" i="0" u="none" strike="noStrike" baseline="0">
              <a:solidFill>
                <a:srgbClr val="000000"/>
              </a:solidFill>
              <a:latin typeface="GHEA Grapalat"/>
              <a:ea typeface="GHEA Grapalat"/>
              <a:cs typeface="GHEA Grapalat"/>
            </a:defRPr>
          </a:pPr>
          <a:endParaRPr lang="en-US"/>
        </a:p>
      </c:txPr>
    </c:legend>
    <c:plotVisOnly val="1"/>
    <c:dispBlanksAs val="gap"/>
    <c:showDLblsOverMax val="0"/>
  </c:chart>
  <c:spPr>
    <a:noFill/>
    <a:ln>
      <a:noFill/>
    </a:ln>
    <a:effectLst/>
  </c:spPr>
  <c:txPr>
    <a:bodyPr/>
    <a:lstStyle/>
    <a:p>
      <a:pPr>
        <a:defRPr sz="1000" b="0" i="0" u="none" strike="noStrike" baseline="0">
          <a:solidFill>
            <a:srgbClr val="000000"/>
          </a:solidFill>
          <a:latin typeface="GHEA Grapalat"/>
          <a:ea typeface="GHEA Grapalat"/>
          <a:cs typeface="GHEA Grapalat"/>
        </a:defRPr>
      </a:pPr>
      <a:endParaRPr lang="en-US"/>
    </a:p>
  </c:txPr>
  <c:externalData r:id="rId2">
    <c:autoUpdate val="0"/>
  </c:externalData>
</c:chartSpace>
</file>

<file path=word/charts/chart6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1000" b="0" i="0" u="none" strike="noStrike" baseline="0">
                <a:solidFill>
                  <a:srgbClr val="000000"/>
                </a:solidFill>
                <a:latin typeface="GHEA Grapalat"/>
                <a:ea typeface="GHEA Grapalat"/>
                <a:cs typeface="GHEA Grapalat"/>
              </a:defRPr>
            </a:pPr>
            <a:r>
              <a:rPr lang="hy-AM" sz="1000"/>
              <a:t>Ըստ գործիքակազմի</a:t>
            </a:r>
          </a:p>
        </c:rich>
      </c:tx>
      <c:layout>
        <c:manualLayout>
          <c:xMode val="edge"/>
          <c:yMode val="edge"/>
          <c:x val="0.31604970175256747"/>
          <c:y val="0"/>
        </c:manualLayout>
      </c:layout>
      <c:overlay val="0"/>
    </c:title>
    <c:autoTitleDeleted val="0"/>
    <c:plotArea>
      <c:layout>
        <c:manualLayout>
          <c:layoutTarget val="inner"/>
          <c:xMode val="edge"/>
          <c:yMode val="edge"/>
          <c:x val="6.7125846111341356E-2"/>
          <c:y val="0.10891817870592262"/>
          <c:w val="0.91130525867442591"/>
          <c:h val="0.66718886820275458"/>
        </c:manualLayout>
      </c:layout>
      <c:barChart>
        <c:barDir val="col"/>
        <c:grouping val="stacked"/>
        <c:varyColors val="0"/>
        <c:ser>
          <c:idx val="0"/>
          <c:order val="0"/>
          <c:tx>
            <c:strRef>
              <c:f>'[2026-2028 budget-3.xlsx]UXERZ'!$I$64</c:f>
              <c:strCache>
                <c:ptCount val="1"/>
                <c:pt idx="0">
                  <c:v>պետական գանձապետական պարտատոմսեր</c:v>
                </c:pt>
              </c:strCache>
            </c:strRef>
          </c:tx>
          <c:invertIfNegative val="0"/>
          <c:dLbls>
            <c:spPr>
              <a:noFill/>
              <a:ln w="25400">
                <a:noFill/>
              </a:ln>
            </c:spPr>
            <c:txPr>
              <a:bodyPr wrap="square" lIns="38100" tIns="19050" rIns="38100" bIns="19050" anchor="ctr">
                <a:spAutoFit/>
              </a:bodyPr>
              <a:lstStyle/>
              <a:p>
                <a:pPr>
                  <a:defRPr sz="700" b="0" i="0" u="none" strike="noStrike" baseline="0">
                    <a:solidFill>
                      <a:srgbClr val="FFFFFF"/>
                    </a:solidFill>
                    <a:latin typeface="GHEA Grapalat"/>
                    <a:ea typeface="GHEA Grapalat"/>
                    <a:cs typeface="GHEA Grapalat"/>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numRef>
              <c:f>'[2026-2028 budget-3.xlsx]UXERZ'!$K$59:$S$59</c:f>
              <c:numCache>
                <c:formatCode>General</c:formatCode>
                <c:ptCount val="9"/>
                <c:pt idx="0">
                  <c:v>2020</c:v>
                </c:pt>
                <c:pt idx="1">
                  <c:v>2021</c:v>
                </c:pt>
                <c:pt idx="2">
                  <c:v>2022</c:v>
                </c:pt>
                <c:pt idx="3">
                  <c:v>2023</c:v>
                </c:pt>
                <c:pt idx="4">
                  <c:v>2024</c:v>
                </c:pt>
                <c:pt idx="5">
                  <c:v>2025</c:v>
                </c:pt>
                <c:pt idx="6">
                  <c:v>2026</c:v>
                </c:pt>
                <c:pt idx="7">
                  <c:v>2027</c:v>
                </c:pt>
                <c:pt idx="8">
                  <c:v>2028</c:v>
                </c:pt>
              </c:numCache>
            </c:numRef>
          </c:cat>
          <c:val>
            <c:numRef>
              <c:f>'[2026-2028 budget-3.xlsx]UXERZ'!$K$64:$S$64</c:f>
              <c:numCache>
                <c:formatCode>_(* #,##0.0_);_(* \(#,##0.0\);_(* "-"??_);_(@_)</c:formatCode>
                <c:ptCount val="9"/>
                <c:pt idx="0">
                  <c:v>24.43580640534352</c:v>
                </c:pt>
                <c:pt idx="1">
                  <c:v>28.715750090456986</c:v>
                </c:pt>
                <c:pt idx="2">
                  <c:v>37.691911704261791</c:v>
                </c:pt>
                <c:pt idx="3">
                  <c:v>45.776127358537046</c:v>
                </c:pt>
                <c:pt idx="4">
                  <c:v>50.564243219028569</c:v>
                </c:pt>
                <c:pt idx="5">
                  <c:v>50.86357984616258</c:v>
                </c:pt>
                <c:pt idx="6">
                  <c:v>49.097632036946123</c:v>
                </c:pt>
                <c:pt idx="7">
                  <c:v>48.811671208231978</c:v>
                </c:pt>
                <c:pt idx="8">
                  <c:v>48.55768362419515</c:v>
                </c:pt>
              </c:numCache>
            </c:numRef>
          </c:val>
          <c:extLst>
            <c:ext xmlns:c16="http://schemas.microsoft.com/office/drawing/2014/chart" uri="{C3380CC4-5D6E-409C-BE32-E72D297353CC}">
              <c16:uniqueId val="{00000000-FAA7-42B3-8B28-2649F573D556}"/>
            </c:ext>
          </c:extLst>
        </c:ser>
        <c:ser>
          <c:idx val="1"/>
          <c:order val="1"/>
          <c:tx>
            <c:strRef>
              <c:f>'[2026-2028 budget-3.xlsx]UXERZ'!$I$65</c:f>
              <c:strCache>
                <c:ptCount val="1"/>
                <c:pt idx="0">
                  <c:v>արտաքին վարկեր</c:v>
                </c:pt>
              </c:strCache>
            </c:strRef>
          </c:tx>
          <c:spPr>
            <a:solidFill>
              <a:srgbClr val="44546A">
                <a:lumMod val="75000"/>
              </a:srgbClr>
            </a:solidFill>
          </c:spPr>
          <c:invertIfNegative val="0"/>
          <c:dLbls>
            <c:spPr>
              <a:noFill/>
              <a:ln w="25400">
                <a:noFill/>
              </a:ln>
            </c:spPr>
            <c:txPr>
              <a:bodyPr wrap="square" lIns="38100" tIns="19050" rIns="38100" bIns="19050" anchor="ctr">
                <a:spAutoFit/>
              </a:bodyPr>
              <a:lstStyle/>
              <a:p>
                <a:pPr>
                  <a:defRPr sz="700" b="0" i="0" u="none" strike="noStrike" baseline="0">
                    <a:solidFill>
                      <a:srgbClr val="FFFFFF"/>
                    </a:solidFill>
                    <a:latin typeface="GHEA Grapalat"/>
                    <a:ea typeface="GHEA Grapalat"/>
                    <a:cs typeface="GHEA Grapalat"/>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numRef>
              <c:f>'[2026-2028 budget-3.xlsx]UXERZ'!$K$59:$S$59</c:f>
              <c:numCache>
                <c:formatCode>General</c:formatCode>
                <c:ptCount val="9"/>
                <c:pt idx="0">
                  <c:v>2020</c:v>
                </c:pt>
                <c:pt idx="1">
                  <c:v>2021</c:v>
                </c:pt>
                <c:pt idx="2">
                  <c:v>2022</c:v>
                </c:pt>
                <c:pt idx="3">
                  <c:v>2023</c:v>
                </c:pt>
                <c:pt idx="4">
                  <c:v>2024</c:v>
                </c:pt>
                <c:pt idx="5">
                  <c:v>2025</c:v>
                </c:pt>
                <c:pt idx="6">
                  <c:v>2026</c:v>
                </c:pt>
                <c:pt idx="7">
                  <c:v>2027</c:v>
                </c:pt>
                <c:pt idx="8">
                  <c:v>2028</c:v>
                </c:pt>
              </c:numCache>
            </c:numRef>
          </c:cat>
          <c:val>
            <c:numRef>
              <c:f>'[2026-2028 budget-3.xlsx]UXERZ'!$K$65:$S$65</c:f>
              <c:numCache>
                <c:formatCode>_(* #,##0.0_);_(* \(#,##0.0\);_(* "-"??_);_(@_)</c:formatCode>
                <c:ptCount val="9"/>
                <c:pt idx="0">
                  <c:v>62.13165865325638</c:v>
                </c:pt>
                <c:pt idx="1">
                  <c:v>51.107756883540731</c:v>
                </c:pt>
                <c:pt idx="2">
                  <c:v>44.652938897780103</c:v>
                </c:pt>
                <c:pt idx="3">
                  <c:v>40.160972348918442</c:v>
                </c:pt>
                <c:pt idx="4">
                  <c:v>36.519091012191126</c:v>
                </c:pt>
                <c:pt idx="5">
                  <c:v>33.64367063932032</c:v>
                </c:pt>
                <c:pt idx="6">
                  <c:v>36.659334133955063</c:v>
                </c:pt>
                <c:pt idx="7">
                  <c:v>38.181009078212881</c:v>
                </c:pt>
                <c:pt idx="8">
                  <c:v>39.626272704922357</c:v>
                </c:pt>
              </c:numCache>
            </c:numRef>
          </c:val>
          <c:extLst>
            <c:ext xmlns:c16="http://schemas.microsoft.com/office/drawing/2014/chart" uri="{C3380CC4-5D6E-409C-BE32-E72D297353CC}">
              <c16:uniqueId val="{00000001-FAA7-42B3-8B28-2649F573D556}"/>
            </c:ext>
          </c:extLst>
        </c:ser>
        <c:ser>
          <c:idx val="2"/>
          <c:order val="2"/>
          <c:tx>
            <c:strRef>
              <c:f>'[2026-2028 budget-3.xlsx]UXERZ'!$I$66</c:f>
              <c:strCache>
                <c:ptCount val="1"/>
                <c:pt idx="0">
                  <c:v>արտարժութային պետական պարտատոմսեր</c:v>
                </c:pt>
              </c:strCache>
            </c:strRef>
          </c:tx>
          <c:spPr>
            <a:solidFill>
              <a:srgbClr val="5B9BD5">
                <a:lumMod val="60000"/>
                <a:lumOff val="40000"/>
              </a:srgbClr>
            </a:solidFill>
          </c:spPr>
          <c:invertIfNegative val="0"/>
          <c:dLbls>
            <c:spPr>
              <a:noFill/>
              <a:ln w="25400">
                <a:noFill/>
              </a:ln>
            </c:spPr>
            <c:txPr>
              <a:bodyPr wrap="square" lIns="38100" tIns="19050" rIns="38100" bIns="19050" anchor="ctr">
                <a:spAutoFit/>
              </a:bodyPr>
              <a:lstStyle/>
              <a:p>
                <a:pPr>
                  <a:defRPr sz="700" b="0" i="0" u="none" strike="noStrike" baseline="0">
                    <a:solidFill>
                      <a:schemeClr val="bg1"/>
                    </a:solidFill>
                    <a:latin typeface="GHEA Grapalat"/>
                    <a:ea typeface="GHEA Grapalat"/>
                    <a:cs typeface="GHEA Grapalat"/>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numRef>
              <c:f>'[2026-2028 budget-3.xlsx]UXERZ'!$K$59:$S$59</c:f>
              <c:numCache>
                <c:formatCode>General</c:formatCode>
                <c:ptCount val="9"/>
                <c:pt idx="0">
                  <c:v>2020</c:v>
                </c:pt>
                <c:pt idx="1">
                  <c:v>2021</c:v>
                </c:pt>
                <c:pt idx="2">
                  <c:v>2022</c:v>
                </c:pt>
                <c:pt idx="3">
                  <c:v>2023</c:v>
                </c:pt>
                <c:pt idx="4">
                  <c:v>2024</c:v>
                </c:pt>
                <c:pt idx="5">
                  <c:v>2025</c:v>
                </c:pt>
                <c:pt idx="6">
                  <c:v>2026</c:v>
                </c:pt>
                <c:pt idx="7">
                  <c:v>2027</c:v>
                </c:pt>
                <c:pt idx="8">
                  <c:v>2028</c:v>
                </c:pt>
              </c:numCache>
            </c:numRef>
          </c:cat>
          <c:val>
            <c:numRef>
              <c:f>'[2026-2028 budget-3.xlsx]UXERZ'!$K$66:$S$66</c:f>
              <c:numCache>
                <c:formatCode>_(* #,##0.0_);_(* \(#,##0.0\);_(* "-"??_);_(@_)</c:formatCode>
                <c:ptCount val="9"/>
                <c:pt idx="0">
                  <c:v>13.318164480745365</c:v>
                </c:pt>
                <c:pt idx="1">
                  <c:v>19.959081994965057</c:v>
                </c:pt>
                <c:pt idx="2">
                  <c:v>17.350175100668647</c:v>
                </c:pt>
                <c:pt idx="3">
                  <c:v>13.839914330996935</c:v>
                </c:pt>
                <c:pt idx="4">
                  <c:v>12.669291927110507</c:v>
                </c:pt>
                <c:pt idx="5">
                  <c:v>14.462238687764176</c:v>
                </c:pt>
                <c:pt idx="6">
                  <c:v>13.198888451479771</c:v>
                </c:pt>
                <c:pt idx="7">
                  <c:v>12.319615480177305</c:v>
                </c:pt>
                <c:pt idx="8">
                  <c:v>11.427782497784502</c:v>
                </c:pt>
              </c:numCache>
            </c:numRef>
          </c:val>
          <c:extLst>
            <c:ext xmlns:c16="http://schemas.microsoft.com/office/drawing/2014/chart" uri="{C3380CC4-5D6E-409C-BE32-E72D297353CC}">
              <c16:uniqueId val="{00000002-FAA7-42B3-8B28-2649F573D556}"/>
            </c:ext>
          </c:extLst>
        </c:ser>
        <c:ser>
          <c:idx val="3"/>
          <c:order val="3"/>
          <c:tx>
            <c:strRef>
              <c:f>'[2026-2028 budget-3.xlsx]UXERZ'!$I$67</c:f>
              <c:strCache>
                <c:ptCount val="1"/>
                <c:pt idx="0">
                  <c:v>արտաքին և ներքին երաշխիքներ</c:v>
                </c:pt>
              </c:strCache>
            </c:strRef>
          </c:tx>
          <c:spPr>
            <a:solidFill>
              <a:sysClr val="windowText" lastClr="000000"/>
            </a:solidFill>
          </c:spPr>
          <c:invertIfNegative val="0"/>
          <c:dLbls>
            <c:spPr>
              <a:noFill/>
              <a:ln w="25400">
                <a:noFill/>
              </a:ln>
            </c:spPr>
            <c:txPr>
              <a:bodyPr wrap="square" lIns="38100" tIns="19050" rIns="38100" bIns="19050" anchor="ctr">
                <a:spAutoFit/>
              </a:bodyPr>
              <a:lstStyle/>
              <a:p>
                <a:pPr>
                  <a:defRPr sz="700" b="0" i="0" u="none" strike="noStrike" baseline="0">
                    <a:solidFill>
                      <a:sysClr val="windowText" lastClr="000000"/>
                    </a:solidFill>
                    <a:latin typeface="GHEA Grapalat"/>
                    <a:ea typeface="GHEA Grapalat"/>
                    <a:cs typeface="GHEA Grapalat"/>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numRef>
              <c:f>'[2026-2028 budget-3.xlsx]UXERZ'!$K$59:$S$59</c:f>
              <c:numCache>
                <c:formatCode>General</c:formatCode>
                <c:ptCount val="9"/>
                <c:pt idx="0">
                  <c:v>2020</c:v>
                </c:pt>
                <c:pt idx="1">
                  <c:v>2021</c:v>
                </c:pt>
                <c:pt idx="2">
                  <c:v>2022</c:v>
                </c:pt>
                <c:pt idx="3">
                  <c:v>2023</c:v>
                </c:pt>
                <c:pt idx="4">
                  <c:v>2024</c:v>
                </c:pt>
                <c:pt idx="5">
                  <c:v>2025</c:v>
                </c:pt>
                <c:pt idx="6">
                  <c:v>2026</c:v>
                </c:pt>
                <c:pt idx="7">
                  <c:v>2027</c:v>
                </c:pt>
                <c:pt idx="8">
                  <c:v>2028</c:v>
                </c:pt>
              </c:numCache>
            </c:numRef>
          </c:cat>
          <c:val>
            <c:numRef>
              <c:f>'[2026-2028 budget-3.xlsx]UXERZ'!$K$67:$S$67</c:f>
              <c:numCache>
                <c:formatCode>_(* #,##0.0_);_(* \(#,##0.0\);_(* "-"??_);_(@_)</c:formatCode>
                <c:ptCount val="9"/>
                <c:pt idx="0">
                  <c:v>0.11437046065473214</c:v>
                </c:pt>
                <c:pt idx="1">
                  <c:v>0.21741103103722156</c:v>
                </c:pt>
                <c:pt idx="2">
                  <c:v>0.30497429728946529</c:v>
                </c:pt>
                <c:pt idx="3">
                  <c:v>0.22298596154757805</c:v>
                </c:pt>
                <c:pt idx="4">
                  <c:v>0.24737384166980403</c:v>
                </c:pt>
                <c:pt idx="5">
                  <c:v>1.0305108267529213</c:v>
                </c:pt>
                <c:pt idx="6">
                  <c:v>1.0441453776190519</c:v>
                </c:pt>
                <c:pt idx="7">
                  <c:v>0.68770423337783693</c:v>
                </c:pt>
                <c:pt idx="8">
                  <c:v>0.3882611730979883</c:v>
                </c:pt>
              </c:numCache>
            </c:numRef>
          </c:val>
          <c:extLst>
            <c:ext xmlns:c16="http://schemas.microsoft.com/office/drawing/2014/chart" uri="{C3380CC4-5D6E-409C-BE32-E72D297353CC}">
              <c16:uniqueId val="{00000003-FAA7-42B3-8B28-2649F573D556}"/>
            </c:ext>
          </c:extLst>
        </c:ser>
        <c:dLbls>
          <c:showLegendKey val="0"/>
          <c:showVal val="0"/>
          <c:showCatName val="0"/>
          <c:showSerName val="0"/>
          <c:showPercent val="0"/>
          <c:showBubbleSize val="0"/>
        </c:dLbls>
        <c:gapWidth val="79"/>
        <c:overlap val="100"/>
        <c:axId val="462035968"/>
        <c:axId val="461957376"/>
      </c:barChart>
      <c:catAx>
        <c:axId val="462035968"/>
        <c:scaling>
          <c:orientation val="minMax"/>
        </c:scaling>
        <c:delete val="0"/>
        <c:axPos val="b"/>
        <c:majorGridlines>
          <c:spPr>
            <a:ln w="9525" cap="flat" cmpd="sng" algn="ctr">
              <a:no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0" vert="horz"/>
          <a:lstStyle/>
          <a:p>
            <a:pPr>
              <a:defRPr sz="800" b="0" i="0" u="none" strike="noStrike" baseline="0">
                <a:solidFill>
                  <a:srgbClr val="333333"/>
                </a:solidFill>
                <a:latin typeface="GHEA Grapalat"/>
                <a:ea typeface="GHEA Grapalat"/>
                <a:cs typeface="GHEA Grapalat"/>
              </a:defRPr>
            </a:pPr>
            <a:endParaRPr lang="en-US"/>
          </a:p>
        </c:txPr>
        <c:crossAx val="461957376"/>
        <c:crosses val="autoZero"/>
        <c:auto val="1"/>
        <c:lblAlgn val="ctr"/>
        <c:lblOffset val="100"/>
        <c:noMultiLvlLbl val="0"/>
      </c:catAx>
      <c:valAx>
        <c:axId val="461957376"/>
        <c:scaling>
          <c:orientation val="minMax"/>
          <c:max val="100"/>
        </c:scaling>
        <c:delete val="1"/>
        <c:axPos val="l"/>
        <c:numFmt formatCode="_(* #,##0.0_);_(* \(#,##0.0\);_(* &quot;-&quot;??_);_(@_)" sourceLinked="1"/>
        <c:majorTickMark val="out"/>
        <c:minorTickMark val="none"/>
        <c:tickLblPos val="nextTo"/>
        <c:crossAx val="462035968"/>
        <c:crosses val="autoZero"/>
        <c:crossBetween val="between"/>
      </c:valAx>
      <c:spPr>
        <a:noFill/>
        <a:ln w="25400">
          <a:noFill/>
        </a:ln>
      </c:spPr>
    </c:plotArea>
    <c:legend>
      <c:legendPos val="b"/>
      <c:layout>
        <c:manualLayout>
          <c:xMode val="edge"/>
          <c:yMode val="edge"/>
          <c:x val="0"/>
          <c:y val="0.88378493338739161"/>
          <c:w val="1"/>
          <c:h val="0.1000001422586404"/>
        </c:manualLayout>
      </c:layout>
      <c:overlay val="0"/>
      <c:txPr>
        <a:bodyPr/>
        <a:lstStyle/>
        <a:p>
          <a:pPr>
            <a:defRPr sz="600" b="0" i="0" u="none" strike="noStrike" baseline="0">
              <a:solidFill>
                <a:srgbClr val="000000"/>
              </a:solidFill>
              <a:latin typeface="GHEA Grapalat"/>
              <a:ea typeface="GHEA Grapalat"/>
              <a:cs typeface="GHEA Grapalat"/>
            </a:defRPr>
          </a:pPr>
          <a:endParaRPr lang="en-US"/>
        </a:p>
      </c:txPr>
    </c:legend>
    <c:plotVisOnly val="1"/>
    <c:dispBlanksAs val="gap"/>
    <c:showDLblsOverMax val="0"/>
  </c:chart>
  <c:spPr>
    <a:noFill/>
    <a:ln>
      <a:noFill/>
    </a:ln>
    <a:effectLst/>
  </c:spPr>
  <c:txPr>
    <a:bodyPr/>
    <a:lstStyle/>
    <a:p>
      <a:pPr>
        <a:defRPr sz="1000" b="0" i="0" u="none" strike="noStrike" baseline="0">
          <a:solidFill>
            <a:srgbClr val="000000"/>
          </a:solidFill>
          <a:latin typeface="GHEA Grapalat"/>
          <a:ea typeface="GHEA Grapalat"/>
          <a:cs typeface="GHEA Grapalat"/>
        </a:defRPr>
      </a:pPr>
      <a:endParaRPr lang="en-US"/>
    </a:p>
  </c:txPr>
  <c:externalData r:id="rId2">
    <c:autoUpdate val="0"/>
  </c:externalData>
</c:chartSpace>
</file>

<file path=word/charts/chart6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1"/>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093532805157614"/>
          <c:y val="0.1111111111111111"/>
          <c:w val="0.86800598674779728"/>
          <c:h val="0.67471486518730617"/>
        </c:manualLayout>
      </c:layout>
      <c:barChart>
        <c:barDir val="col"/>
        <c:grouping val="stacked"/>
        <c:varyColors val="0"/>
        <c:ser>
          <c:idx val="1"/>
          <c:order val="0"/>
          <c:tx>
            <c:strRef>
              <c:f>'[2026-2028 budget-3.xlsx]cut off date 2026'!$B$27</c:f>
              <c:strCache>
                <c:ptCount val="1"/>
                <c:pt idx="0">
                  <c:v>Արտաքին վարկեր</c:v>
                </c:pt>
              </c:strCache>
            </c:strRef>
          </c:tx>
          <c:spPr>
            <a:solidFill>
              <a:sysClr val="window" lastClr="FFFFFF">
                <a:lumMod val="75000"/>
              </a:sysClr>
            </a:solidFill>
            <a:ln>
              <a:noFill/>
            </a:ln>
            <a:effectLst/>
          </c:spPr>
          <c:invertIfNegative val="0"/>
          <c:cat>
            <c:numRef>
              <c:f>'[2026-2028 budget-3.xlsx]cut off date 2026'!$C$26:$AD$26</c:f>
              <c:numCache>
                <c:formatCode>General</c:formatCode>
                <c:ptCount val="28"/>
                <c:pt idx="0">
                  <c:v>2027</c:v>
                </c:pt>
                <c:pt idx="1">
                  <c:v>2028</c:v>
                </c:pt>
                <c:pt idx="2">
                  <c:v>2029</c:v>
                </c:pt>
                <c:pt idx="3">
                  <c:v>2030</c:v>
                </c:pt>
                <c:pt idx="4">
                  <c:v>2031</c:v>
                </c:pt>
                <c:pt idx="5">
                  <c:v>2032</c:v>
                </c:pt>
                <c:pt idx="6">
                  <c:v>2033</c:v>
                </c:pt>
                <c:pt idx="7">
                  <c:v>2034</c:v>
                </c:pt>
                <c:pt idx="8">
                  <c:v>2035</c:v>
                </c:pt>
                <c:pt idx="9">
                  <c:v>2036</c:v>
                </c:pt>
                <c:pt idx="10">
                  <c:v>2037</c:v>
                </c:pt>
                <c:pt idx="11">
                  <c:v>2038</c:v>
                </c:pt>
                <c:pt idx="12">
                  <c:v>2039</c:v>
                </c:pt>
                <c:pt idx="13">
                  <c:v>2040</c:v>
                </c:pt>
                <c:pt idx="14">
                  <c:v>2041</c:v>
                </c:pt>
                <c:pt idx="15">
                  <c:v>2042</c:v>
                </c:pt>
                <c:pt idx="16">
                  <c:v>2043</c:v>
                </c:pt>
                <c:pt idx="17">
                  <c:v>2044</c:v>
                </c:pt>
                <c:pt idx="18">
                  <c:v>2045</c:v>
                </c:pt>
                <c:pt idx="19">
                  <c:v>2046</c:v>
                </c:pt>
                <c:pt idx="20">
                  <c:v>2047</c:v>
                </c:pt>
                <c:pt idx="21">
                  <c:v>2048</c:v>
                </c:pt>
                <c:pt idx="22">
                  <c:v>2049</c:v>
                </c:pt>
                <c:pt idx="23">
                  <c:v>2050</c:v>
                </c:pt>
                <c:pt idx="24">
                  <c:v>2051</c:v>
                </c:pt>
                <c:pt idx="25">
                  <c:v>2052</c:v>
                </c:pt>
                <c:pt idx="26">
                  <c:v>2053</c:v>
                </c:pt>
                <c:pt idx="27">
                  <c:v>2054</c:v>
                </c:pt>
              </c:numCache>
            </c:numRef>
          </c:cat>
          <c:val>
            <c:numRef>
              <c:f>'[2026-2028 budget-3.xlsx]cut off date 2026'!$C$27:$AE$27</c:f>
              <c:numCache>
                <c:formatCode>_(* #,##0.00_);_(* \(#,##0.00\);_(* "-"??_);_(@_)</c:formatCode>
                <c:ptCount val="29"/>
                <c:pt idx="0">
                  <c:v>141.05205065025774</c:v>
                </c:pt>
                <c:pt idx="1">
                  <c:v>143.2233049046423</c:v>
                </c:pt>
                <c:pt idx="2">
                  <c:v>141.74347845996448</c:v>
                </c:pt>
                <c:pt idx="3">
                  <c:v>140.25446012344756</c:v>
                </c:pt>
                <c:pt idx="4">
                  <c:v>168.03815848338903</c:v>
                </c:pt>
                <c:pt idx="5">
                  <c:v>171.16661432612042</c:v>
                </c:pt>
                <c:pt idx="6">
                  <c:v>162.74864073880968</c:v>
                </c:pt>
                <c:pt idx="7">
                  <c:v>160.72616781130444</c:v>
                </c:pt>
                <c:pt idx="8">
                  <c:v>142.89308763200029</c:v>
                </c:pt>
                <c:pt idx="9">
                  <c:v>128.63339902723882</c:v>
                </c:pt>
                <c:pt idx="10">
                  <c:v>125.78183233732982</c:v>
                </c:pt>
                <c:pt idx="11">
                  <c:v>110.09586396084877</c:v>
                </c:pt>
                <c:pt idx="12">
                  <c:v>105.24736952993112</c:v>
                </c:pt>
                <c:pt idx="13">
                  <c:v>88.185593689195457</c:v>
                </c:pt>
                <c:pt idx="14">
                  <c:v>79.644405685994812</c:v>
                </c:pt>
                <c:pt idx="15">
                  <c:v>69.987336621593087</c:v>
                </c:pt>
                <c:pt idx="16">
                  <c:v>64.34865374985057</c:v>
                </c:pt>
                <c:pt idx="17">
                  <c:v>97.670380349962727</c:v>
                </c:pt>
                <c:pt idx="18">
                  <c:v>51.095993656484254</c:v>
                </c:pt>
                <c:pt idx="19">
                  <c:v>5.0058599065063438</c:v>
                </c:pt>
                <c:pt idx="20">
                  <c:v>3.6355237501548383</c:v>
                </c:pt>
                <c:pt idx="21">
                  <c:v>2.5902050247717501</c:v>
                </c:pt>
                <c:pt idx="22">
                  <c:v>4.6993764991051012</c:v>
                </c:pt>
                <c:pt idx="23">
                  <c:v>1.5625974709650885</c:v>
                </c:pt>
                <c:pt idx="24">
                  <c:v>0.65497841962735037</c:v>
                </c:pt>
                <c:pt idx="25">
                  <c:v>0.53030988918567679</c:v>
                </c:pt>
                <c:pt idx="26">
                  <c:v>0.40564135600733636</c:v>
                </c:pt>
                <c:pt idx="27">
                  <c:v>1.6820213764063403</c:v>
                </c:pt>
              </c:numCache>
            </c:numRef>
          </c:val>
          <c:extLst>
            <c:ext xmlns:c16="http://schemas.microsoft.com/office/drawing/2014/chart" uri="{C3380CC4-5D6E-409C-BE32-E72D297353CC}">
              <c16:uniqueId val="{00000000-8F1F-4241-98F5-E13648755934}"/>
            </c:ext>
          </c:extLst>
        </c:ser>
        <c:ser>
          <c:idx val="3"/>
          <c:order val="1"/>
          <c:tx>
            <c:strRef>
              <c:f>'[2026-2028 budget-3.xlsx]cut off date 2026'!$B$28</c:f>
              <c:strCache>
                <c:ptCount val="1"/>
                <c:pt idx="0">
                  <c:v>Գանձապետական պարտատոմսեր</c:v>
                </c:pt>
              </c:strCache>
            </c:strRef>
          </c:tx>
          <c:spPr>
            <a:solidFill>
              <a:srgbClr val="5B9BD5">
                <a:lumMod val="75000"/>
              </a:srgbClr>
            </a:solidFill>
            <a:ln>
              <a:noFill/>
            </a:ln>
            <a:effectLst/>
          </c:spPr>
          <c:invertIfNegative val="0"/>
          <c:cat>
            <c:numRef>
              <c:f>'[2026-2028 budget-3.xlsx]cut off date 2026'!$C$26:$AD$26</c:f>
              <c:numCache>
                <c:formatCode>General</c:formatCode>
                <c:ptCount val="28"/>
                <c:pt idx="0">
                  <c:v>2027</c:v>
                </c:pt>
                <c:pt idx="1">
                  <c:v>2028</c:v>
                </c:pt>
                <c:pt idx="2">
                  <c:v>2029</c:v>
                </c:pt>
                <c:pt idx="3">
                  <c:v>2030</c:v>
                </c:pt>
                <c:pt idx="4">
                  <c:v>2031</c:v>
                </c:pt>
                <c:pt idx="5">
                  <c:v>2032</c:v>
                </c:pt>
                <c:pt idx="6">
                  <c:v>2033</c:v>
                </c:pt>
                <c:pt idx="7">
                  <c:v>2034</c:v>
                </c:pt>
                <c:pt idx="8">
                  <c:v>2035</c:v>
                </c:pt>
                <c:pt idx="9">
                  <c:v>2036</c:v>
                </c:pt>
                <c:pt idx="10">
                  <c:v>2037</c:v>
                </c:pt>
                <c:pt idx="11">
                  <c:v>2038</c:v>
                </c:pt>
                <c:pt idx="12">
                  <c:v>2039</c:v>
                </c:pt>
                <c:pt idx="13">
                  <c:v>2040</c:v>
                </c:pt>
                <c:pt idx="14">
                  <c:v>2041</c:v>
                </c:pt>
                <c:pt idx="15">
                  <c:v>2042</c:v>
                </c:pt>
                <c:pt idx="16">
                  <c:v>2043</c:v>
                </c:pt>
                <c:pt idx="17">
                  <c:v>2044</c:v>
                </c:pt>
                <c:pt idx="18">
                  <c:v>2045</c:v>
                </c:pt>
                <c:pt idx="19">
                  <c:v>2046</c:v>
                </c:pt>
                <c:pt idx="20">
                  <c:v>2047</c:v>
                </c:pt>
                <c:pt idx="21">
                  <c:v>2048</c:v>
                </c:pt>
                <c:pt idx="22">
                  <c:v>2049</c:v>
                </c:pt>
                <c:pt idx="23">
                  <c:v>2050</c:v>
                </c:pt>
                <c:pt idx="24">
                  <c:v>2051</c:v>
                </c:pt>
                <c:pt idx="25">
                  <c:v>2052</c:v>
                </c:pt>
                <c:pt idx="26">
                  <c:v>2053</c:v>
                </c:pt>
                <c:pt idx="27">
                  <c:v>2054</c:v>
                </c:pt>
              </c:numCache>
            </c:numRef>
          </c:cat>
          <c:val>
            <c:numRef>
              <c:f>'[2026-2028 budget-3.xlsx]cut off date 2026'!$C$28:$AD$28</c:f>
              <c:numCache>
                <c:formatCode>_(* #,##0.0_);_(* \(#,##0.0\);_(* "-"??_);_(@_)</c:formatCode>
                <c:ptCount val="28"/>
                <c:pt idx="0">
                  <c:v>434.34607</c:v>
                </c:pt>
                <c:pt idx="1">
                  <c:v>329.65214600000002</c:v>
                </c:pt>
                <c:pt idx="2">
                  <c:v>434.45873900000004</c:v>
                </c:pt>
                <c:pt idx="3">
                  <c:v>149.61799999999999</c:v>
                </c:pt>
                <c:pt idx="4">
                  <c:v>338.28262000000001</c:v>
                </c:pt>
                <c:pt idx="5">
                  <c:v>35.5</c:v>
                </c:pt>
                <c:pt idx="6">
                  <c:v>455.26654000000002</c:v>
                </c:pt>
                <c:pt idx="7">
                  <c:v>0</c:v>
                </c:pt>
                <c:pt idx="8">
                  <c:v>368.5</c:v>
                </c:pt>
                <c:pt idx="9">
                  <c:v>70.328999999999994</c:v>
                </c:pt>
                <c:pt idx="10">
                  <c:v>127.06084000000001</c:v>
                </c:pt>
                <c:pt idx="11">
                  <c:v>0</c:v>
                </c:pt>
                <c:pt idx="12">
                  <c:v>0</c:v>
                </c:pt>
                <c:pt idx="13">
                  <c:v>0</c:v>
                </c:pt>
                <c:pt idx="14">
                  <c:v>0</c:v>
                </c:pt>
                <c:pt idx="15">
                  <c:v>0</c:v>
                </c:pt>
                <c:pt idx="16">
                  <c:v>0</c:v>
                </c:pt>
                <c:pt idx="17">
                  <c:v>0</c:v>
                </c:pt>
                <c:pt idx="18">
                  <c:v>0</c:v>
                </c:pt>
                <c:pt idx="19">
                  <c:v>0</c:v>
                </c:pt>
                <c:pt idx="20">
                  <c:v>119.700405</c:v>
                </c:pt>
                <c:pt idx="21">
                  <c:v>0</c:v>
                </c:pt>
                <c:pt idx="22">
                  <c:v>0</c:v>
                </c:pt>
                <c:pt idx="23">
                  <c:v>134.52976200000001</c:v>
                </c:pt>
                <c:pt idx="24">
                  <c:v>0</c:v>
                </c:pt>
                <c:pt idx="25">
                  <c:v>14.366263999999999</c:v>
                </c:pt>
                <c:pt idx="26">
                  <c:v>0</c:v>
                </c:pt>
                <c:pt idx="27">
                  <c:v>120</c:v>
                </c:pt>
              </c:numCache>
            </c:numRef>
          </c:val>
          <c:extLst>
            <c:ext xmlns:c16="http://schemas.microsoft.com/office/drawing/2014/chart" uri="{C3380CC4-5D6E-409C-BE32-E72D297353CC}">
              <c16:uniqueId val="{00000001-8F1F-4241-98F5-E13648755934}"/>
            </c:ext>
          </c:extLst>
        </c:ser>
        <c:ser>
          <c:idx val="4"/>
          <c:order val="2"/>
          <c:tx>
            <c:strRef>
              <c:f>'[2026-2028 budget-3.xlsx]cut off date 2026'!$B$29</c:f>
              <c:strCache>
                <c:ptCount val="1"/>
                <c:pt idx="0">
                  <c:v>Արտարժութային պարտատոմսեր </c:v>
                </c:pt>
              </c:strCache>
            </c:strRef>
          </c:tx>
          <c:spPr>
            <a:solidFill>
              <a:srgbClr val="44546A"/>
            </a:solidFill>
            <a:ln>
              <a:noFill/>
            </a:ln>
            <a:effectLst/>
          </c:spPr>
          <c:invertIfNegative val="0"/>
          <c:cat>
            <c:numRef>
              <c:f>'[2026-2028 budget-3.xlsx]cut off date 2026'!$C$26:$AD$26</c:f>
              <c:numCache>
                <c:formatCode>General</c:formatCode>
                <c:ptCount val="28"/>
                <c:pt idx="0">
                  <c:v>2027</c:v>
                </c:pt>
                <c:pt idx="1">
                  <c:v>2028</c:v>
                </c:pt>
                <c:pt idx="2">
                  <c:v>2029</c:v>
                </c:pt>
                <c:pt idx="3">
                  <c:v>2030</c:v>
                </c:pt>
                <c:pt idx="4">
                  <c:v>2031</c:v>
                </c:pt>
                <c:pt idx="5">
                  <c:v>2032</c:v>
                </c:pt>
                <c:pt idx="6">
                  <c:v>2033</c:v>
                </c:pt>
                <c:pt idx="7">
                  <c:v>2034</c:v>
                </c:pt>
                <c:pt idx="8">
                  <c:v>2035</c:v>
                </c:pt>
                <c:pt idx="9">
                  <c:v>2036</c:v>
                </c:pt>
                <c:pt idx="10">
                  <c:v>2037</c:v>
                </c:pt>
                <c:pt idx="11">
                  <c:v>2038</c:v>
                </c:pt>
                <c:pt idx="12">
                  <c:v>2039</c:v>
                </c:pt>
                <c:pt idx="13">
                  <c:v>2040</c:v>
                </c:pt>
                <c:pt idx="14">
                  <c:v>2041</c:v>
                </c:pt>
                <c:pt idx="15">
                  <c:v>2042</c:v>
                </c:pt>
                <c:pt idx="16">
                  <c:v>2043</c:v>
                </c:pt>
                <c:pt idx="17">
                  <c:v>2044</c:v>
                </c:pt>
                <c:pt idx="18">
                  <c:v>2045</c:v>
                </c:pt>
                <c:pt idx="19">
                  <c:v>2046</c:v>
                </c:pt>
                <c:pt idx="20">
                  <c:v>2047</c:v>
                </c:pt>
                <c:pt idx="21">
                  <c:v>2048</c:v>
                </c:pt>
                <c:pt idx="22">
                  <c:v>2049</c:v>
                </c:pt>
                <c:pt idx="23">
                  <c:v>2050</c:v>
                </c:pt>
                <c:pt idx="24">
                  <c:v>2051</c:v>
                </c:pt>
                <c:pt idx="25">
                  <c:v>2052</c:v>
                </c:pt>
                <c:pt idx="26">
                  <c:v>2053</c:v>
                </c:pt>
                <c:pt idx="27">
                  <c:v>2054</c:v>
                </c:pt>
              </c:numCache>
            </c:numRef>
          </c:cat>
          <c:val>
            <c:numRef>
              <c:f>'[2026-2028 budget-3.xlsx]cut off date 2026'!$C$29:$AD$29</c:f>
              <c:numCache>
                <c:formatCode>_(* #,##0.0_);_(* \(#,##0.0\);_(* "-"?_);_(@_)</c:formatCode>
                <c:ptCount val="28"/>
                <c:pt idx="0">
                  <c:v>0</c:v>
                </c:pt>
                <c:pt idx="1">
                  <c:v>0</c:v>
                </c:pt>
                <c:pt idx="2">
                  <c:v>208.22140529922899</c:v>
                </c:pt>
                <c:pt idx="3">
                  <c:v>0</c:v>
                </c:pt>
                <c:pt idx="4">
                  <c:v>312.33210794884349</c:v>
                </c:pt>
                <c:pt idx="5">
                  <c:v>0</c:v>
                </c:pt>
                <c:pt idx="6">
                  <c:v>0</c:v>
                </c:pt>
                <c:pt idx="7">
                  <c:v>0</c:v>
                </c:pt>
                <c:pt idx="8">
                  <c:v>312.33210794884349</c:v>
                </c:pt>
                <c:pt idx="9">
                  <c:v>0</c:v>
                </c:pt>
                <c:pt idx="10">
                  <c:v>0</c:v>
                </c:pt>
                <c:pt idx="11">
                  <c:v>0</c:v>
                </c:pt>
                <c:pt idx="12">
                  <c:v>0</c:v>
                </c:pt>
                <c:pt idx="13">
                  <c:v>0</c:v>
                </c:pt>
                <c:pt idx="14">
                  <c:v>0</c:v>
                </c:pt>
                <c:pt idx="15">
                  <c:v>0</c:v>
                </c:pt>
                <c:pt idx="16">
                  <c:v>0</c:v>
                </c:pt>
                <c:pt idx="17">
                  <c:v>0</c:v>
                </c:pt>
                <c:pt idx="18">
                  <c:v>0</c:v>
                </c:pt>
                <c:pt idx="19">
                  <c:v>0</c:v>
                </c:pt>
                <c:pt idx="20">
                  <c:v>0</c:v>
                </c:pt>
                <c:pt idx="21">
                  <c:v>0</c:v>
                </c:pt>
                <c:pt idx="22">
                  <c:v>0</c:v>
                </c:pt>
                <c:pt idx="23">
                  <c:v>0</c:v>
                </c:pt>
                <c:pt idx="24">
                  <c:v>0</c:v>
                </c:pt>
                <c:pt idx="25">
                  <c:v>0</c:v>
                </c:pt>
                <c:pt idx="26">
                  <c:v>0</c:v>
                </c:pt>
                <c:pt idx="27">
                  <c:v>0</c:v>
                </c:pt>
              </c:numCache>
            </c:numRef>
          </c:val>
          <c:extLst>
            <c:ext xmlns:c16="http://schemas.microsoft.com/office/drawing/2014/chart" uri="{C3380CC4-5D6E-409C-BE32-E72D297353CC}">
              <c16:uniqueId val="{00000002-8F1F-4241-98F5-E13648755934}"/>
            </c:ext>
          </c:extLst>
        </c:ser>
        <c:dLbls>
          <c:showLegendKey val="0"/>
          <c:showVal val="0"/>
          <c:showCatName val="0"/>
          <c:showSerName val="0"/>
          <c:showPercent val="0"/>
          <c:showBubbleSize val="0"/>
        </c:dLbls>
        <c:gapWidth val="80"/>
        <c:overlap val="100"/>
        <c:axId val="217095168"/>
        <c:axId val="225216192"/>
        <c:extLst>
          <c:ext xmlns:c15="http://schemas.microsoft.com/office/drawing/2012/chart" uri="{02D57815-91ED-43cb-92C2-25804820EDAC}">
            <c15:filteredBarSeries>
              <c15:ser>
                <c:idx val="5"/>
                <c:order val="3"/>
                <c:tx>
                  <c:strRef>
                    <c:extLst>
                      <c:ext uri="{02D57815-91ED-43cb-92C2-25804820EDAC}">
                        <c15:formulaRef>
                          <c15:sqref>'[2026-2028 budget-3.xlsx]cut off date 2026'!$B$30</c15:sqref>
                        </c15:formulaRef>
                      </c:ext>
                    </c:extLst>
                    <c:strCache>
                      <c:ptCount val="1"/>
                      <c:pt idx="0">
                        <c:v>Արտաքին երաշխիքներ</c:v>
                      </c:pt>
                    </c:strCache>
                  </c:strRef>
                </c:tx>
                <c:spPr>
                  <a:solidFill>
                    <a:schemeClr val="accent5">
                      <a:lumMod val="60000"/>
                    </a:schemeClr>
                  </a:solidFill>
                  <a:ln>
                    <a:noFill/>
                  </a:ln>
                  <a:effectLst/>
                </c:spPr>
                <c:invertIfNegative val="0"/>
                <c:cat>
                  <c:numRef>
                    <c:extLst>
                      <c:ext uri="{02D57815-91ED-43cb-92C2-25804820EDAC}">
                        <c15:formulaRef>
                          <c15:sqref>'[2026-2028 budget-3.xlsx]cut off date 2026'!$C$26:$AD$26</c15:sqref>
                        </c15:formulaRef>
                      </c:ext>
                    </c:extLst>
                    <c:numCache>
                      <c:formatCode>General</c:formatCode>
                      <c:ptCount val="28"/>
                      <c:pt idx="0">
                        <c:v>2027</c:v>
                      </c:pt>
                      <c:pt idx="1">
                        <c:v>2028</c:v>
                      </c:pt>
                      <c:pt idx="2">
                        <c:v>2029</c:v>
                      </c:pt>
                      <c:pt idx="3">
                        <c:v>2030</c:v>
                      </c:pt>
                      <c:pt idx="4">
                        <c:v>2031</c:v>
                      </c:pt>
                      <c:pt idx="5">
                        <c:v>2032</c:v>
                      </c:pt>
                      <c:pt idx="6">
                        <c:v>2033</c:v>
                      </c:pt>
                      <c:pt idx="7">
                        <c:v>2034</c:v>
                      </c:pt>
                      <c:pt idx="8">
                        <c:v>2035</c:v>
                      </c:pt>
                      <c:pt idx="9">
                        <c:v>2036</c:v>
                      </c:pt>
                      <c:pt idx="10">
                        <c:v>2037</c:v>
                      </c:pt>
                      <c:pt idx="11">
                        <c:v>2038</c:v>
                      </c:pt>
                      <c:pt idx="12">
                        <c:v>2039</c:v>
                      </c:pt>
                      <c:pt idx="13">
                        <c:v>2040</c:v>
                      </c:pt>
                      <c:pt idx="14">
                        <c:v>2041</c:v>
                      </c:pt>
                      <c:pt idx="15">
                        <c:v>2042</c:v>
                      </c:pt>
                      <c:pt idx="16">
                        <c:v>2043</c:v>
                      </c:pt>
                      <c:pt idx="17">
                        <c:v>2044</c:v>
                      </c:pt>
                      <c:pt idx="18">
                        <c:v>2045</c:v>
                      </c:pt>
                      <c:pt idx="19">
                        <c:v>2046</c:v>
                      </c:pt>
                      <c:pt idx="20">
                        <c:v>2047</c:v>
                      </c:pt>
                      <c:pt idx="21">
                        <c:v>2048</c:v>
                      </c:pt>
                      <c:pt idx="22">
                        <c:v>2049</c:v>
                      </c:pt>
                      <c:pt idx="23">
                        <c:v>2050</c:v>
                      </c:pt>
                      <c:pt idx="24">
                        <c:v>2051</c:v>
                      </c:pt>
                      <c:pt idx="25">
                        <c:v>2052</c:v>
                      </c:pt>
                      <c:pt idx="26">
                        <c:v>2053</c:v>
                      </c:pt>
                      <c:pt idx="27">
                        <c:v>2054</c:v>
                      </c:pt>
                    </c:numCache>
                  </c:numRef>
                </c:cat>
                <c:val>
                  <c:numRef>
                    <c:extLst>
                      <c:ext uri="{02D57815-91ED-43cb-92C2-25804820EDAC}">
                        <c15:formulaRef>
                          <c15:sqref>'[2026-2028 budget-3.xlsx]cut off date 2026'!$C$30:$AE$30</c15:sqref>
                        </c15:formulaRef>
                      </c:ext>
                    </c:extLst>
                    <c:numCache>
                      <c:formatCode>_(* #,##0.00_);_(* \(#,##0.00\);_(* "-"??_);_(@_)</c:formatCode>
                      <c:ptCount val="29"/>
                      <c:pt idx="0">
                        <c:v>0.24816399113377371</c:v>
                      </c:pt>
                      <c:pt idx="1">
                        <c:v>0.24816399113377371</c:v>
                      </c:pt>
                      <c:pt idx="2">
                        <c:v>0.24816399113377371</c:v>
                      </c:pt>
                      <c:pt idx="3">
                        <c:v>0.24816399113377371</c:v>
                      </c:pt>
                      <c:pt idx="4">
                        <c:v>0.24816399113377371</c:v>
                      </c:pt>
                      <c:pt idx="5">
                        <c:v>0.24816399113377371</c:v>
                      </c:pt>
                      <c:pt idx="6">
                        <c:v>0.24816399113377371</c:v>
                      </c:pt>
                      <c:pt idx="7">
                        <c:v>0.24816399113377371</c:v>
                      </c:pt>
                      <c:pt idx="8">
                        <c:v>0.24816399113377371</c:v>
                      </c:pt>
                      <c:pt idx="9">
                        <c:v>0.12408198442391498</c:v>
                      </c:pt>
                      <c:pt idx="10">
                        <c:v>0</c:v>
                      </c:pt>
                      <c:pt idx="11">
                        <c:v>0</c:v>
                      </c:pt>
                      <c:pt idx="12">
                        <c:v>0</c:v>
                      </c:pt>
                      <c:pt idx="13">
                        <c:v>0</c:v>
                      </c:pt>
                      <c:pt idx="14">
                        <c:v>0</c:v>
                      </c:pt>
                      <c:pt idx="15">
                        <c:v>0</c:v>
                      </c:pt>
                      <c:pt idx="16">
                        <c:v>0</c:v>
                      </c:pt>
                      <c:pt idx="17">
                        <c:v>0</c:v>
                      </c:pt>
                      <c:pt idx="18">
                        <c:v>0</c:v>
                      </c:pt>
                      <c:pt idx="19">
                        <c:v>0</c:v>
                      </c:pt>
                      <c:pt idx="20">
                        <c:v>0</c:v>
                      </c:pt>
                      <c:pt idx="21">
                        <c:v>0</c:v>
                      </c:pt>
                      <c:pt idx="22">
                        <c:v>0</c:v>
                      </c:pt>
                      <c:pt idx="23">
                        <c:v>0</c:v>
                      </c:pt>
                      <c:pt idx="24">
                        <c:v>0</c:v>
                      </c:pt>
                      <c:pt idx="25">
                        <c:v>0</c:v>
                      </c:pt>
                      <c:pt idx="26">
                        <c:v>0</c:v>
                      </c:pt>
                      <c:pt idx="27">
                        <c:v>0</c:v>
                      </c:pt>
                    </c:numCache>
                  </c:numRef>
                </c:val>
                <c:extLst>
                  <c:ext xmlns:c16="http://schemas.microsoft.com/office/drawing/2014/chart" uri="{C3380CC4-5D6E-409C-BE32-E72D297353CC}">
                    <c16:uniqueId val="{00000003-8F1F-4241-98F5-E13648755934}"/>
                  </c:ext>
                </c:extLst>
              </c15:ser>
            </c15:filteredBarSeries>
          </c:ext>
        </c:extLst>
      </c:barChart>
      <c:dateAx>
        <c:axId val="217095168"/>
        <c:scaling>
          <c:orientation val="minMax"/>
        </c:scaling>
        <c:delete val="0"/>
        <c:axPos val="b"/>
        <c:numFmt formatCode="General" sourceLinked="1"/>
        <c:majorTickMark val="none"/>
        <c:minorTickMark val="none"/>
        <c:tickLblPos val="nextTo"/>
        <c:spPr>
          <a:noFill/>
          <a:ln w="6350" cap="flat" cmpd="sng" algn="ctr">
            <a:solidFill>
              <a:schemeClr val="bg1">
                <a:lumMod val="75000"/>
              </a:schemeClr>
            </a:solidFill>
            <a:prstDash val="solid"/>
            <a:round/>
          </a:ln>
          <a:effectLst/>
        </c:spPr>
        <c:txPr>
          <a:bodyPr rot="-3000000" spcFirstLastPara="1" vertOverflow="ellipsis" wrap="square" anchor="ctr" anchorCtr="1"/>
          <a:lstStyle/>
          <a:p>
            <a:pPr>
              <a:defRPr sz="700" b="0" i="0" u="none" strike="noStrike" kern="1200" baseline="0">
                <a:solidFill>
                  <a:sysClr val="windowText" lastClr="000000"/>
                </a:solidFill>
                <a:latin typeface="Calibri"/>
                <a:ea typeface="Calibri"/>
                <a:cs typeface="Calibri"/>
              </a:defRPr>
            </a:pPr>
            <a:endParaRPr lang="en-US"/>
          </a:p>
        </c:txPr>
        <c:crossAx val="225216192"/>
        <c:crosses val="autoZero"/>
        <c:auto val="0"/>
        <c:lblOffset val="100"/>
        <c:baseTimeUnit val="days"/>
      </c:dateAx>
      <c:valAx>
        <c:axId val="225216192"/>
        <c:scaling>
          <c:orientation val="minMax"/>
          <c:max val="700"/>
        </c:scaling>
        <c:delete val="0"/>
        <c:axPos val="l"/>
        <c:numFmt formatCode="_(* #,##0.00_);_(* \(#,##0.00\);_(* &quot;-&quot;??_);_(@_)" sourceLinked="1"/>
        <c:majorTickMark val="none"/>
        <c:minorTickMark val="none"/>
        <c:tickLblPos val="nextTo"/>
        <c:spPr>
          <a:noFill/>
          <a:ln w="9525" cap="flat" cmpd="sng" algn="ctr">
            <a:noFill/>
            <a:prstDash val="solid"/>
            <a:round/>
          </a:ln>
          <a:effectLst/>
        </c:spPr>
        <c:txPr>
          <a:bodyPr rot="0" spcFirstLastPara="1" vertOverflow="ellipsis" wrap="square" anchor="ctr" anchorCtr="1"/>
          <a:lstStyle/>
          <a:p>
            <a:pPr>
              <a:defRPr sz="1000" b="0" i="0" u="none" strike="noStrike" kern="1200" baseline="0">
                <a:solidFill>
                  <a:schemeClr val="bg1">
                    <a:lumMod val="65000"/>
                  </a:schemeClr>
                </a:solidFill>
                <a:latin typeface="Calibri"/>
                <a:ea typeface="Calibri"/>
                <a:cs typeface="Calibri"/>
              </a:defRPr>
            </a:pPr>
            <a:endParaRPr lang="en-US"/>
          </a:p>
        </c:txPr>
        <c:crossAx val="217095168"/>
        <c:crossesAt val="1"/>
        <c:crossBetween val="between"/>
      </c:valAx>
      <c:spPr>
        <a:noFill/>
        <a:ln>
          <a:noFill/>
        </a:ln>
        <a:effectLst/>
      </c:spPr>
    </c:plotArea>
    <c:legend>
      <c:legendPos val="b"/>
      <c:layout>
        <c:manualLayout>
          <c:xMode val="edge"/>
          <c:yMode val="edge"/>
          <c:x val="8.9987356859336801E-2"/>
          <c:y val="0.9066286481631658"/>
          <c:w val="0.82092447652201839"/>
          <c:h val="5.0032683244294739E-2"/>
        </c:manualLayout>
      </c:layout>
      <c:overlay val="0"/>
      <c:spPr>
        <a:noFill/>
        <a:ln>
          <a:noFill/>
        </a:ln>
        <a:effectLst/>
      </c:spPr>
      <c:txPr>
        <a:bodyPr rot="0" spcFirstLastPara="1" vertOverflow="ellipsis" vert="horz" wrap="square" anchor="ctr" anchorCtr="1"/>
        <a:lstStyle/>
        <a:p>
          <a:pPr>
            <a:defRPr sz="700" b="0" i="0" u="none" strike="noStrike" kern="1200" baseline="0">
              <a:solidFill>
                <a:srgbClr val="000000"/>
              </a:solidFill>
              <a:latin typeface="GHEA Grapalat"/>
              <a:ea typeface="GHEA Grapalat"/>
              <a:cs typeface="GHEA Grapalat"/>
            </a:defRPr>
          </a:pPr>
          <a:endParaRPr lang="en-US"/>
        </a:p>
      </c:txPr>
    </c:legend>
    <c:plotVisOnly val="1"/>
    <c:dispBlanksAs val="gap"/>
    <c:showDLblsOverMax val="0"/>
  </c:chart>
  <c:spPr>
    <a:noFill/>
    <a:ln w="19050" cap="flat" cmpd="sng" algn="ctr">
      <a:solidFill>
        <a:schemeClr val="bg1"/>
      </a:solidFill>
      <a:prstDash val="solid"/>
      <a:round/>
    </a:ln>
    <a:effectLst/>
  </c:spPr>
  <c:txPr>
    <a:bodyPr/>
    <a:lstStyle/>
    <a:p>
      <a:pPr>
        <a:defRPr sz="700" b="0" i="0" u="none" strike="noStrike" baseline="0">
          <a:solidFill>
            <a:srgbClr val="000000"/>
          </a:solidFill>
          <a:latin typeface="Calibri"/>
          <a:ea typeface="Calibri"/>
          <a:cs typeface="Calibri"/>
        </a:defRPr>
      </a:pPr>
      <a:endParaRPr lang="en-US"/>
    </a:p>
  </c:txPr>
  <c:externalData r:id="rId4">
    <c:autoUpdate val="0"/>
  </c:externalData>
</c:chartSpace>
</file>

<file path=word/charts/chart6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hy-AM"/>
              <a:t>Սպասարկման ծախսերի կառուցվածքը </a:t>
            </a:r>
            <a:r>
              <a:rPr lang="ru-RU"/>
              <a:t>(%)</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7.1539618315301215E-2"/>
          <c:y val="0.16981319546112011"/>
          <c:w val="0.26177260891429083"/>
          <c:h val="0.71976505449381645"/>
        </c:manualLayout>
      </c:layout>
      <c:doughnutChart>
        <c:varyColors val="1"/>
        <c:ser>
          <c:idx val="0"/>
          <c:order val="0"/>
          <c:dPt>
            <c:idx val="0"/>
            <c:bubble3D val="0"/>
            <c:spPr>
              <a:solidFill>
                <a:schemeClr val="accent5">
                  <a:lumMod val="50000"/>
                </a:schemeClr>
              </a:solidFill>
              <a:ln w="19050">
                <a:solidFill>
                  <a:schemeClr val="lt1"/>
                </a:solidFill>
              </a:ln>
              <a:effectLst/>
            </c:spPr>
            <c:extLst>
              <c:ext xmlns:c16="http://schemas.microsoft.com/office/drawing/2014/chart" uri="{C3380CC4-5D6E-409C-BE32-E72D297353CC}">
                <c16:uniqueId val="{00000001-03BA-4BB0-8E8F-D94478E37CF7}"/>
              </c:ext>
            </c:extLst>
          </c:dPt>
          <c:dPt>
            <c:idx val="1"/>
            <c:bubble3D val="0"/>
            <c:spPr>
              <a:solidFill>
                <a:schemeClr val="accent1">
                  <a:lumMod val="75000"/>
                </a:schemeClr>
              </a:solidFill>
              <a:ln w="19050">
                <a:solidFill>
                  <a:schemeClr val="lt1"/>
                </a:solidFill>
              </a:ln>
              <a:effectLst/>
            </c:spPr>
            <c:extLst>
              <c:ext xmlns:c16="http://schemas.microsoft.com/office/drawing/2014/chart" uri="{C3380CC4-5D6E-409C-BE32-E72D297353CC}">
                <c16:uniqueId val="{00000003-03BA-4BB0-8E8F-D94478E37CF7}"/>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03BA-4BB0-8E8F-D94478E37CF7}"/>
              </c:ext>
            </c:extLst>
          </c:dPt>
          <c:dLbls>
            <c:numFmt formatCode="0.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bg1"/>
                    </a:solidFill>
                    <a:latin typeface="+mn-lt"/>
                    <a:ea typeface="+mn-ea"/>
                    <a:cs typeface="+mn-cs"/>
                  </a:defRPr>
                </a:pPr>
                <a:endParaRPr lang="en-US"/>
              </a:p>
            </c:txPr>
            <c:showLegendKey val="0"/>
            <c:showVal val="0"/>
            <c:showCatName val="0"/>
            <c:showSerName val="0"/>
            <c:showPercent val="1"/>
            <c:showBubbleSize val="0"/>
            <c:showLeaderLines val="0"/>
            <c:extLst>
              <c:ext xmlns:c15="http://schemas.microsoft.com/office/drawing/2012/chart" uri="{CE6537A1-D6FC-4f65-9D91-7224C49458BB}"/>
            </c:extLst>
          </c:dLbls>
          <c:cat>
            <c:strRef>
              <c:f>'[2026-2028 budget.xlsx]UXERZ'!$A$79:$A$81</c:f>
              <c:strCache>
                <c:ptCount val="3"/>
                <c:pt idx="0">
                  <c:v>Պետական գանձապետական պարտատոմսեր</c:v>
                </c:pt>
                <c:pt idx="1">
                  <c:v>Արտաքին վարկեր</c:v>
                </c:pt>
                <c:pt idx="2">
                  <c:v>Արտարժութային պետական պարտատոմսեր</c:v>
                </c:pt>
              </c:strCache>
            </c:strRef>
          </c:cat>
          <c:val>
            <c:numRef>
              <c:f>'[2026-2028 budget.xlsx]UXERZ'!$B$79:$B$81</c:f>
              <c:numCache>
                <c:formatCode>_(* #,##0.0_);_(* \(#,##0.0\);_(* "-"??_);_(@_)</c:formatCode>
                <c:ptCount val="3"/>
                <c:pt idx="0">
                  <c:v>283.10783464102025</c:v>
                </c:pt>
                <c:pt idx="1">
                  <c:v>96.95290812129997</c:v>
                </c:pt>
                <c:pt idx="2">
                  <c:v>39.858362687499998</c:v>
                </c:pt>
              </c:numCache>
            </c:numRef>
          </c:val>
          <c:extLst>
            <c:ext xmlns:c16="http://schemas.microsoft.com/office/drawing/2014/chart" uri="{C3380CC4-5D6E-409C-BE32-E72D297353CC}">
              <c16:uniqueId val="{00000006-03BA-4BB0-8E8F-D94478E37CF7}"/>
            </c:ext>
          </c:extLst>
        </c:ser>
        <c:dLbls>
          <c:showLegendKey val="0"/>
          <c:showVal val="0"/>
          <c:showCatName val="0"/>
          <c:showSerName val="0"/>
          <c:showPercent val="0"/>
          <c:showBubbleSize val="0"/>
          <c:showLeaderLines val="0"/>
        </c:dLbls>
        <c:firstSliceAng val="0"/>
        <c:holeSize val="46"/>
      </c:doughnutChart>
      <c:spPr>
        <a:noFill/>
        <a:ln w="44450">
          <a:solidFill>
            <a:sysClr val="window" lastClr="FFFFFF"/>
          </a:solidFill>
        </a:ln>
        <a:effectLst>
          <a:outerShdw blurRad="50800" dist="50800" dir="5400000" sx="7000" sy="7000" algn="ctr" rotWithShape="0">
            <a:srgbClr val="000000">
              <a:alpha val="43137"/>
            </a:srgbClr>
          </a:outerShdw>
        </a:effectLst>
      </c:spPr>
    </c:plotArea>
    <c:legend>
      <c:legendPos val="b"/>
      <c:layout>
        <c:manualLayout>
          <c:xMode val="edge"/>
          <c:yMode val="edge"/>
          <c:x val="0.51915417533635499"/>
          <c:y val="0.20138512215593973"/>
          <c:w val="0.37145493374456895"/>
          <c:h val="0.68813533986643638"/>
        </c:manualLayout>
      </c:layout>
      <c:overlay val="0"/>
      <c:spPr>
        <a:noFill/>
        <a:ln>
          <a:noFill/>
        </a:ln>
        <a:effectLst/>
      </c:spPr>
      <c:txPr>
        <a:bodyPr rot="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areaChart>
        <c:grouping val="stacked"/>
        <c:varyColors val="0"/>
        <c:ser>
          <c:idx val="0"/>
          <c:order val="0"/>
          <c:tx>
            <c:strRef>
              <c:f>'[Risks_for_Budget_2026.xlsx]fan chart'!$B$3</c:f>
              <c:strCache>
                <c:ptCount val="1"/>
              </c:strCache>
            </c:strRef>
          </c:tx>
          <c:spPr>
            <a:noFill/>
          </c:spPr>
          <c:cat>
            <c:strRef>
              <c:f>'[Risks_for_Budget_2026.xlsx]fan chart'!$A$4:$A$111</c:f>
              <c:strCache>
                <c:ptCount val="7"/>
                <c:pt idx="0">
                  <c:v>2022</c:v>
                </c:pt>
                <c:pt idx="1">
                  <c:v>2023</c:v>
                </c:pt>
                <c:pt idx="2">
                  <c:v>2024</c:v>
                </c:pt>
                <c:pt idx="3">
                  <c:v>2025*</c:v>
                </c:pt>
                <c:pt idx="4">
                  <c:v>2026*</c:v>
                </c:pt>
                <c:pt idx="5">
                  <c:v>2027*</c:v>
                </c:pt>
                <c:pt idx="6">
                  <c:v>2028*</c:v>
                </c:pt>
              </c:strCache>
            </c:strRef>
          </c:cat>
          <c:val>
            <c:numRef>
              <c:f>'[Risks_for_Budget_2026.xlsx]fan chart'!$B$4:$B$111</c:f>
              <c:numCache>
                <c:formatCode>General</c:formatCode>
                <c:ptCount val="7"/>
                <c:pt idx="0">
                  <c:v>21.919592453534747</c:v>
                </c:pt>
                <c:pt idx="1">
                  <c:v>15.867840863060877</c:v>
                </c:pt>
                <c:pt idx="2">
                  <c:v>5.1464541217999766</c:v>
                </c:pt>
                <c:pt idx="3">
                  <c:v>9.2628462277687706</c:v>
                </c:pt>
                <c:pt idx="4">
                  <c:v>4.8475666218343028</c:v>
                </c:pt>
                <c:pt idx="5">
                  <c:v>3.9495181221281239</c:v>
                </c:pt>
                <c:pt idx="6">
                  <c:v>4.1561500340884878</c:v>
                </c:pt>
              </c:numCache>
            </c:numRef>
          </c:val>
          <c:extLst>
            <c:ext xmlns:c16="http://schemas.microsoft.com/office/drawing/2014/chart" uri="{C3380CC4-5D6E-409C-BE32-E72D297353CC}">
              <c16:uniqueId val="{00000000-D699-4213-BB61-71E323F4B7D0}"/>
            </c:ext>
          </c:extLst>
        </c:ser>
        <c:ser>
          <c:idx val="1"/>
          <c:order val="1"/>
          <c:tx>
            <c:strRef>
              <c:f>'[Risks_for_Budget_2026.xlsx]fan chart'!$C$3</c:f>
              <c:strCache>
                <c:ptCount val="1"/>
              </c:strCache>
            </c:strRef>
          </c:tx>
          <c:spPr>
            <a:solidFill>
              <a:srgbClr val="FF0000">
                <a:alpha val="20000"/>
              </a:srgbClr>
            </a:solidFill>
          </c:spPr>
          <c:cat>
            <c:strRef>
              <c:f>'[Risks_for_Budget_2026.xlsx]fan chart'!$A$4:$A$111</c:f>
              <c:strCache>
                <c:ptCount val="7"/>
                <c:pt idx="0">
                  <c:v>2022</c:v>
                </c:pt>
                <c:pt idx="1">
                  <c:v>2023</c:v>
                </c:pt>
                <c:pt idx="2">
                  <c:v>2024</c:v>
                </c:pt>
                <c:pt idx="3">
                  <c:v>2025*</c:v>
                </c:pt>
                <c:pt idx="4">
                  <c:v>2026*</c:v>
                </c:pt>
                <c:pt idx="5">
                  <c:v>2027*</c:v>
                </c:pt>
                <c:pt idx="6">
                  <c:v>2028*</c:v>
                </c:pt>
              </c:strCache>
            </c:strRef>
          </c:cat>
          <c:val>
            <c:numRef>
              <c:f>'[Risks_for_Budget_2026.xlsx]fan chart'!$C$4:$C$111</c:f>
              <c:numCache>
                <c:formatCode>General</c:formatCode>
                <c:ptCount val="7"/>
                <c:pt idx="3">
                  <c:v>0.72090831267908229</c:v>
                </c:pt>
                <c:pt idx="4">
                  <c:v>1.2481549220426089</c:v>
                </c:pt>
                <c:pt idx="5">
                  <c:v>1.1492293385169106</c:v>
                </c:pt>
                <c:pt idx="6">
                  <c:v>1.0486801349755925</c:v>
                </c:pt>
              </c:numCache>
            </c:numRef>
          </c:val>
          <c:extLst>
            <c:ext xmlns:c16="http://schemas.microsoft.com/office/drawing/2014/chart" uri="{C3380CC4-5D6E-409C-BE32-E72D297353CC}">
              <c16:uniqueId val="{00000001-D699-4213-BB61-71E323F4B7D0}"/>
            </c:ext>
          </c:extLst>
        </c:ser>
        <c:ser>
          <c:idx val="2"/>
          <c:order val="2"/>
          <c:tx>
            <c:strRef>
              <c:f>'[Risks_for_Budget_2026.xlsx]fan chart'!$D$3</c:f>
              <c:strCache>
                <c:ptCount val="1"/>
              </c:strCache>
            </c:strRef>
          </c:tx>
          <c:spPr>
            <a:solidFill>
              <a:srgbClr val="FF0000">
                <a:alpha val="30000"/>
              </a:srgbClr>
            </a:solidFill>
          </c:spPr>
          <c:cat>
            <c:strRef>
              <c:f>'[Risks_for_Budget_2026.xlsx]fan chart'!$A$4:$A$111</c:f>
              <c:strCache>
                <c:ptCount val="7"/>
                <c:pt idx="0">
                  <c:v>2022</c:v>
                </c:pt>
                <c:pt idx="1">
                  <c:v>2023</c:v>
                </c:pt>
                <c:pt idx="2">
                  <c:v>2024</c:v>
                </c:pt>
                <c:pt idx="3">
                  <c:v>2025*</c:v>
                </c:pt>
                <c:pt idx="4">
                  <c:v>2026*</c:v>
                </c:pt>
                <c:pt idx="5">
                  <c:v>2027*</c:v>
                </c:pt>
                <c:pt idx="6">
                  <c:v>2028*</c:v>
                </c:pt>
              </c:strCache>
            </c:strRef>
          </c:cat>
          <c:val>
            <c:numRef>
              <c:f>'[Risks_for_Budget_2026.xlsx]fan chart'!$D$4:$D$111</c:f>
              <c:numCache>
                <c:formatCode>General</c:formatCode>
                <c:ptCount val="7"/>
                <c:pt idx="3">
                  <c:v>0.48639341604468633</c:v>
                </c:pt>
                <c:pt idx="4">
                  <c:v>0.8421242002733651</c:v>
                </c:pt>
                <c:pt idx="5">
                  <c:v>0.77537957871883645</c:v>
                </c:pt>
                <c:pt idx="6">
                  <c:v>0.70753950844792524</c:v>
                </c:pt>
              </c:numCache>
            </c:numRef>
          </c:val>
          <c:extLst>
            <c:ext xmlns:c16="http://schemas.microsoft.com/office/drawing/2014/chart" uri="{C3380CC4-5D6E-409C-BE32-E72D297353CC}">
              <c16:uniqueId val="{00000002-D699-4213-BB61-71E323F4B7D0}"/>
            </c:ext>
          </c:extLst>
        </c:ser>
        <c:ser>
          <c:idx val="3"/>
          <c:order val="3"/>
          <c:tx>
            <c:strRef>
              <c:f>'[Risks_for_Budget_2026.xlsx]fan chart'!$E$3</c:f>
              <c:strCache>
                <c:ptCount val="1"/>
              </c:strCache>
            </c:strRef>
          </c:tx>
          <c:spPr>
            <a:solidFill>
              <a:srgbClr val="FF0000">
                <a:alpha val="40000"/>
              </a:srgbClr>
            </a:solidFill>
          </c:spPr>
          <c:cat>
            <c:strRef>
              <c:f>'[Risks_for_Budget_2026.xlsx]fan chart'!$A$4:$A$111</c:f>
              <c:strCache>
                <c:ptCount val="7"/>
                <c:pt idx="0">
                  <c:v>2022</c:v>
                </c:pt>
                <c:pt idx="1">
                  <c:v>2023</c:v>
                </c:pt>
                <c:pt idx="2">
                  <c:v>2024</c:v>
                </c:pt>
                <c:pt idx="3">
                  <c:v>2025*</c:v>
                </c:pt>
                <c:pt idx="4">
                  <c:v>2026*</c:v>
                </c:pt>
                <c:pt idx="5">
                  <c:v>2027*</c:v>
                </c:pt>
                <c:pt idx="6">
                  <c:v>2028*</c:v>
                </c:pt>
              </c:strCache>
            </c:strRef>
          </c:cat>
          <c:val>
            <c:numRef>
              <c:f>'[Risks_for_Budget_2026.xlsx]fan chart'!$E$4:$E$111</c:f>
              <c:numCache>
                <c:formatCode>General</c:formatCode>
                <c:ptCount val="7"/>
                <c:pt idx="3">
                  <c:v>0.38657006808725036</c:v>
                </c:pt>
                <c:pt idx="4">
                  <c:v>0.66929361849685698</c:v>
                </c:pt>
                <c:pt idx="5">
                  <c:v>0.61624710913287917</c:v>
                </c:pt>
                <c:pt idx="6">
                  <c:v>0.56232997185555078</c:v>
                </c:pt>
              </c:numCache>
            </c:numRef>
          </c:val>
          <c:extLst>
            <c:ext xmlns:c16="http://schemas.microsoft.com/office/drawing/2014/chart" uri="{C3380CC4-5D6E-409C-BE32-E72D297353CC}">
              <c16:uniqueId val="{00000003-D699-4213-BB61-71E323F4B7D0}"/>
            </c:ext>
          </c:extLst>
        </c:ser>
        <c:ser>
          <c:idx val="4"/>
          <c:order val="4"/>
          <c:tx>
            <c:strRef>
              <c:f>'[Risks_for_Budget_2026.xlsx]fan chart'!$F$3</c:f>
              <c:strCache>
                <c:ptCount val="1"/>
              </c:strCache>
            </c:strRef>
          </c:tx>
          <c:spPr>
            <a:solidFill>
              <a:srgbClr val="FF0000">
                <a:alpha val="50000"/>
              </a:srgbClr>
            </a:solidFill>
          </c:spPr>
          <c:cat>
            <c:strRef>
              <c:f>'[Risks_for_Budget_2026.xlsx]fan chart'!$A$4:$A$111</c:f>
              <c:strCache>
                <c:ptCount val="7"/>
                <c:pt idx="0">
                  <c:v>2022</c:v>
                </c:pt>
                <c:pt idx="1">
                  <c:v>2023</c:v>
                </c:pt>
                <c:pt idx="2">
                  <c:v>2024</c:v>
                </c:pt>
                <c:pt idx="3">
                  <c:v>2025*</c:v>
                </c:pt>
                <c:pt idx="4">
                  <c:v>2026*</c:v>
                </c:pt>
                <c:pt idx="5">
                  <c:v>2027*</c:v>
                </c:pt>
                <c:pt idx="6">
                  <c:v>2028*</c:v>
                </c:pt>
              </c:strCache>
            </c:strRef>
          </c:cat>
          <c:val>
            <c:numRef>
              <c:f>'[Risks_for_Budget_2026.xlsx]fan chart'!$F$4:$F$111</c:f>
              <c:numCache>
                <c:formatCode>General</c:formatCode>
                <c:ptCount val="7"/>
                <c:pt idx="3">
                  <c:v>0.33164269756732345</c:v>
                </c:pt>
                <c:pt idx="4">
                  <c:v>0.57419432963649619</c:v>
                </c:pt>
                <c:pt idx="5">
                  <c:v>0.52868514795295951</c:v>
                </c:pt>
                <c:pt idx="6">
                  <c:v>0.48242904504194506</c:v>
                </c:pt>
              </c:numCache>
            </c:numRef>
          </c:val>
          <c:extLst>
            <c:ext xmlns:c16="http://schemas.microsoft.com/office/drawing/2014/chart" uri="{C3380CC4-5D6E-409C-BE32-E72D297353CC}">
              <c16:uniqueId val="{00000004-D699-4213-BB61-71E323F4B7D0}"/>
            </c:ext>
          </c:extLst>
        </c:ser>
        <c:ser>
          <c:idx val="5"/>
          <c:order val="5"/>
          <c:tx>
            <c:strRef>
              <c:f>'[Risks_for_Budget_2026.xlsx]fan chart'!$G$3</c:f>
              <c:strCache>
                <c:ptCount val="1"/>
              </c:strCache>
            </c:strRef>
          </c:tx>
          <c:spPr>
            <a:solidFill>
              <a:srgbClr val="FF0000">
                <a:alpha val="60000"/>
              </a:srgbClr>
            </a:solidFill>
          </c:spPr>
          <c:cat>
            <c:strRef>
              <c:f>'[Risks_for_Budget_2026.xlsx]fan chart'!$A$4:$A$111</c:f>
              <c:strCache>
                <c:ptCount val="7"/>
                <c:pt idx="0">
                  <c:v>2022</c:v>
                </c:pt>
                <c:pt idx="1">
                  <c:v>2023</c:v>
                </c:pt>
                <c:pt idx="2">
                  <c:v>2024</c:v>
                </c:pt>
                <c:pt idx="3">
                  <c:v>2025*</c:v>
                </c:pt>
                <c:pt idx="4">
                  <c:v>2026*</c:v>
                </c:pt>
                <c:pt idx="5">
                  <c:v>2027*</c:v>
                </c:pt>
                <c:pt idx="6">
                  <c:v>2028*</c:v>
                </c:pt>
              </c:strCache>
            </c:strRef>
          </c:cat>
          <c:val>
            <c:numRef>
              <c:f>'[Risks_for_Budget_2026.xlsx]fan chart'!$G$4:$G$111</c:f>
              <c:numCache>
                <c:formatCode>General</c:formatCode>
                <c:ptCount val="7"/>
                <c:pt idx="3">
                  <c:v>0.29782539226392402</c:v>
                </c:pt>
                <c:pt idx="4">
                  <c:v>0.5156442542353723</c:v>
                </c:pt>
                <c:pt idx="5">
                  <c:v>0.47477560256316753</c:v>
                </c:pt>
                <c:pt idx="6">
                  <c:v>0.43323619254411838</c:v>
                </c:pt>
              </c:numCache>
            </c:numRef>
          </c:val>
          <c:extLst>
            <c:ext xmlns:c16="http://schemas.microsoft.com/office/drawing/2014/chart" uri="{C3380CC4-5D6E-409C-BE32-E72D297353CC}">
              <c16:uniqueId val="{00000005-D699-4213-BB61-71E323F4B7D0}"/>
            </c:ext>
          </c:extLst>
        </c:ser>
        <c:ser>
          <c:idx val="6"/>
          <c:order val="6"/>
          <c:tx>
            <c:strRef>
              <c:f>'[Risks_for_Budget_2026.xlsx]fan chart'!$H$3</c:f>
              <c:strCache>
                <c:ptCount val="1"/>
              </c:strCache>
            </c:strRef>
          </c:tx>
          <c:spPr>
            <a:solidFill>
              <a:srgbClr val="FF0000">
                <a:alpha val="70000"/>
              </a:srgbClr>
            </a:solidFill>
          </c:spPr>
          <c:cat>
            <c:strRef>
              <c:f>'[Risks_for_Budget_2026.xlsx]fan chart'!$A$4:$A$111</c:f>
              <c:strCache>
                <c:ptCount val="7"/>
                <c:pt idx="0">
                  <c:v>2022</c:v>
                </c:pt>
                <c:pt idx="1">
                  <c:v>2023</c:v>
                </c:pt>
                <c:pt idx="2">
                  <c:v>2024</c:v>
                </c:pt>
                <c:pt idx="3">
                  <c:v>2025*</c:v>
                </c:pt>
                <c:pt idx="4">
                  <c:v>2026*</c:v>
                </c:pt>
                <c:pt idx="5">
                  <c:v>2027*</c:v>
                </c:pt>
                <c:pt idx="6">
                  <c:v>2028*</c:v>
                </c:pt>
              </c:strCache>
            </c:strRef>
          </c:cat>
          <c:val>
            <c:numRef>
              <c:f>'[Risks_for_Budget_2026.xlsx]fan chart'!$H$4:$H$111</c:f>
              <c:numCache>
                <c:formatCode>General</c:formatCode>
                <c:ptCount val="7"/>
                <c:pt idx="3">
                  <c:v>0.27597961078870448</c:v>
                </c:pt>
                <c:pt idx="4">
                  <c:v>0.47782124790488645</c:v>
                </c:pt>
                <c:pt idx="5">
                  <c:v>0.43995035148394113</c:v>
                </c:pt>
                <c:pt idx="6">
                  <c:v>0.40145789749166827</c:v>
                </c:pt>
              </c:numCache>
            </c:numRef>
          </c:val>
          <c:extLst>
            <c:ext xmlns:c16="http://schemas.microsoft.com/office/drawing/2014/chart" uri="{C3380CC4-5D6E-409C-BE32-E72D297353CC}">
              <c16:uniqueId val="{00000006-D699-4213-BB61-71E323F4B7D0}"/>
            </c:ext>
          </c:extLst>
        </c:ser>
        <c:ser>
          <c:idx val="7"/>
          <c:order val="7"/>
          <c:tx>
            <c:strRef>
              <c:f>'[Risks_for_Budget_2026.xlsx]fan chart'!$I$3</c:f>
              <c:strCache>
                <c:ptCount val="1"/>
              </c:strCache>
            </c:strRef>
          </c:tx>
          <c:spPr>
            <a:solidFill>
              <a:srgbClr val="FF0000">
                <a:alpha val="80000"/>
              </a:srgbClr>
            </a:solidFill>
          </c:spPr>
          <c:cat>
            <c:strRef>
              <c:f>'[Risks_for_Budget_2026.xlsx]fan chart'!$A$4:$A$111</c:f>
              <c:strCache>
                <c:ptCount val="7"/>
                <c:pt idx="0">
                  <c:v>2022</c:v>
                </c:pt>
                <c:pt idx="1">
                  <c:v>2023</c:v>
                </c:pt>
                <c:pt idx="2">
                  <c:v>2024</c:v>
                </c:pt>
                <c:pt idx="3">
                  <c:v>2025*</c:v>
                </c:pt>
                <c:pt idx="4">
                  <c:v>2026*</c:v>
                </c:pt>
                <c:pt idx="5">
                  <c:v>2027*</c:v>
                </c:pt>
                <c:pt idx="6">
                  <c:v>2028*</c:v>
                </c:pt>
              </c:strCache>
            </c:strRef>
          </c:cat>
          <c:val>
            <c:numRef>
              <c:f>'[Risks_for_Budget_2026.xlsx]fan chart'!$I$4:$I$111</c:f>
              <c:numCache>
                <c:formatCode>General</c:formatCode>
                <c:ptCount val="7"/>
                <c:pt idx="3">
                  <c:v>0.2618776625335002</c:v>
                </c:pt>
                <c:pt idx="4">
                  <c:v>0.45340563802002976</c:v>
                </c:pt>
                <c:pt idx="5">
                  <c:v>0.4174698607195868</c:v>
                </c:pt>
                <c:pt idx="6">
                  <c:v>0.38094428606620223</c:v>
                </c:pt>
              </c:numCache>
            </c:numRef>
          </c:val>
          <c:extLst>
            <c:ext xmlns:c16="http://schemas.microsoft.com/office/drawing/2014/chart" uri="{C3380CC4-5D6E-409C-BE32-E72D297353CC}">
              <c16:uniqueId val="{00000007-D699-4213-BB61-71E323F4B7D0}"/>
            </c:ext>
          </c:extLst>
        </c:ser>
        <c:ser>
          <c:idx val="8"/>
          <c:order val="8"/>
          <c:tx>
            <c:strRef>
              <c:f>'[Risks_for_Budget_2026.xlsx]fan chart'!$J$3</c:f>
              <c:strCache>
                <c:ptCount val="1"/>
              </c:strCache>
            </c:strRef>
          </c:tx>
          <c:spPr>
            <a:solidFill>
              <a:srgbClr val="FF0000">
                <a:alpha val="90000"/>
              </a:srgbClr>
            </a:solidFill>
          </c:spPr>
          <c:cat>
            <c:strRef>
              <c:f>'[Risks_for_Budget_2026.xlsx]fan chart'!$A$4:$A$111</c:f>
              <c:strCache>
                <c:ptCount val="7"/>
                <c:pt idx="0">
                  <c:v>2022</c:v>
                </c:pt>
                <c:pt idx="1">
                  <c:v>2023</c:v>
                </c:pt>
                <c:pt idx="2">
                  <c:v>2024</c:v>
                </c:pt>
                <c:pt idx="3">
                  <c:v>2025*</c:v>
                </c:pt>
                <c:pt idx="4">
                  <c:v>2026*</c:v>
                </c:pt>
                <c:pt idx="5">
                  <c:v>2027*</c:v>
                </c:pt>
                <c:pt idx="6">
                  <c:v>2028*</c:v>
                </c:pt>
              </c:strCache>
            </c:strRef>
          </c:cat>
          <c:val>
            <c:numRef>
              <c:f>'[Risks_for_Budget_2026.xlsx]fan chart'!$J$4:$J$111</c:f>
              <c:numCache>
                <c:formatCode>General</c:formatCode>
                <c:ptCount val="7"/>
                <c:pt idx="3">
                  <c:v>0.25336966918665915</c:v>
                </c:pt>
                <c:pt idx="4">
                  <c:v>0.4386752020050757</c:v>
                </c:pt>
                <c:pt idx="5">
                  <c:v>0.40390692158553776</c:v>
                </c:pt>
                <c:pt idx="6">
                  <c:v>0.36856800540135737</c:v>
                </c:pt>
              </c:numCache>
            </c:numRef>
          </c:val>
          <c:extLst>
            <c:ext xmlns:c16="http://schemas.microsoft.com/office/drawing/2014/chart" uri="{C3380CC4-5D6E-409C-BE32-E72D297353CC}">
              <c16:uniqueId val="{00000008-D699-4213-BB61-71E323F4B7D0}"/>
            </c:ext>
          </c:extLst>
        </c:ser>
        <c:ser>
          <c:idx val="9"/>
          <c:order val="9"/>
          <c:tx>
            <c:strRef>
              <c:f>'[Risks_for_Budget_2026.xlsx]fan chart'!$K$3</c:f>
              <c:strCache>
                <c:ptCount val="1"/>
              </c:strCache>
            </c:strRef>
          </c:tx>
          <c:spPr>
            <a:solidFill>
              <a:srgbClr val="FF0000"/>
            </a:solidFill>
            <a:ln>
              <a:solidFill>
                <a:srgbClr val="FF0000"/>
              </a:solidFill>
              <a:prstDash val="solid"/>
            </a:ln>
          </c:spPr>
          <c:cat>
            <c:strRef>
              <c:f>'[Risks_for_Budget_2026.xlsx]fan chart'!$A$4:$A$111</c:f>
              <c:strCache>
                <c:ptCount val="7"/>
                <c:pt idx="0">
                  <c:v>2022</c:v>
                </c:pt>
                <c:pt idx="1">
                  <c:v>2023</c:v>
                </c:pt>
                <c:pt idx="2">
                  <c:v>2024</c:v>
                </c:pt>
                <c:pt idx="3">
                  <c:v>2025*</c:v>
                </c:pt>
                <c:pt idx="4">
                  <c:v>2026*</c:v>
                </c:pt>
                <c:pt idx="5">
                  <c:v>2027*</c:v>
                </c:pt>
                <c:pt idx="6">
                  <c:v>2028*</c:v>
                </c:pt>
              </c:strCache>
            </c:strRef>
          </c:cat>
          <c:val>
            <c:numRef>
              <c:f>'[Risks_for_Budget_2026.xlsx]fan chart'!$K$4:$K$111</c:f>
              <c:numCache>
                <c:formatCode>General</c:formatCode>
                <c:ptCount val="7"/>
                <c:pt idx="3">
                  <c:v>0.49870517761151945</c:v>
                </c:pt>
                <c:pt idx="4">
                  <c:v>0.67444857378791134</c:v>
                </c:pt>
                <c:pt idx="5">
                  <c:v>0.653262431608022</c:v>
                </c:pt>
                <c:pt idx="6">
                  <c:v>0.6305641253528389</c:v>
                </c:pt>
              </c:numCache>
            </c:numRef>
          </c:val>
          <c:extLst>
            <c:ext xmlns:c16="http://schemas.microsoft.com/office/drawing/2014/chart" uri="{C3380CC4-5D6E-409C-BE32-E72D297353CC}">
              <c16:uniqueId val="{00000009-D699-4213-BB61-71E323F4B7D0}"/>
            </c:ext>
          </c:extLst>
        </c:ser>
        <c:ser>
          <c:idx val="10"/>
          <c:order val="10"/>
          <c:tx>
            <c:strRef>
              <c:f>'[Risks_for_Budget_2026.xlsx]fan chart'!$L$3</c:f>
              <c:strCache>
                <c:ptCount val="1"/>
              </c:strCache>
            </c:strRef>
          </c:tx>
          <c:spPr>
            <a:solidFill>
              <a:srgbClr val="FF0000">
                <a:alpha val="90000"/>
              </a:srgbClr>
            </a:solidFill>
          </c:spPr>
          <c:cat>
            <c:strRef>
              <c:f>'[Risks_for_Budget_2026.xlsx]fan chart'!$A$4:$A$111</c:f>
              <c:strCache>
                <c:ptCount val="7"/>
                <c:pt idx="0">
                  <c:v>2022</c:v>
                </c:pt>
                <c:pt idx="1">
                  <c:v>2023</c:v>
                </c:pt>
                <c:pt idx="2">
                  <c:v>2024</c:v>
                </c:pt>
                <c:pt idx="3">
                  <c:v>2025*</c:v>
                </c:pt>
                <c:pt idx="4">
                  <c:v>2026*</c:v>
                </c:pt>
                <c:pt idx="5">
                  <c:v>2027*</c:v>
                </c:pt>
                <c:pt idx="6">
                  <c:v>2028*</c:v>
                </c:pt>
              </c:strCache>
            </c:strRef>
          </c:cat>
          <c:val>
            <c:numRef>
              <c:f>'[Risks_for_Budget_2026.xlsx]fan chart'!$L$4:$L$111</c:f>
              <c:numCache>
                <c:formatCode>General</c:formatCode>
                <c:ptCount val="7"/>
                <c:pt idx="3">
                  <c:v>0.25336966918665915</c:v>
                </c:pt>
                <c:pt idx="4">
                  <c:v>0.24663876582853206</c:v>
                </c:pt>
                <c:pt idx="5">
                  <c:v>0.25987959445312825</c:v>
                </c:pt>
                <c:pt idx="6">
                  <c:v>0.27215453374211407</c:v>
                </c:pt>
              </c:numCache>
            </c:numRef>
          </c:val>
          <c:extLst>
            <c:ext xmlns:c16="http://schemas.microsoft.com/office/drawing/2014/chart" uri="{C3380CC4-5D6E-409C-BE32-E72D297353CC}">
              <c16:uniqueId val="{0000000A-D699-4213-BB61-71E323F4B7D0}"/>
            </c:ext>
          </c:extLst>
        </c:ser>
        <c:ser>
          <c:idx val="11"/>
          <c:order val="11"/>
          <c:tx>
            <c:strRef>
              <c:f>'[Risks_for_Budget_2026.xlsx]fan chart'!$M$3</c:f>
              <c:strCache>
                <c:ptCount val="1"/>
              </c:strCache>
            </c:strRef>
          </c:tx>
          <c:spPr>
            <a:solidFill>
              <a:srgbClr val="FF0000">
                <a:alpha val="80000"/>
              </a:srgbClr>
            </a:solidFill>
          </c:spPr>
          <c:cat>
            <c:strRef>
              <c:f>'[Risks_for_Budget_2026.xlsx]fan chart'!$A$4:$A$111</c:f>
              <c:strCache>
                <c:ptCount val="7"/>
                <c:pt idx="0">
                  <c:v>2022</c:v>
                </c:pt>
                <c:pt idx="1">
                  <c:v>2023</c:v>
                </c:pt>
                <c:pt idx="2">
                  <c:v>2024</c:v>
                </c:pt>
                <c:pt idx="3">
                  <c:v>2025*</c:v>
                </c:pt>
                <c:pt idx="4">
                  <c:v>2026*</c:v>
                </c:pt>
                <c:pt idx="5">
                  <c:v>2027*</c:v>
                </c:pt>
                <c:pt idx="6">
                  <c:v>2028*</c:v>
                </c:pt>
              </c:strCache>
            </c:strRef>
          </c:cat>
          <c:val>
            <c:numRef>
              <c:f>'[Risks_for_Budget_2026.xlsx]fan chart'!$M$4:$M$111</c:f>
              <c:numCache>
                <c:formatCode>General</c:formatCode>
                <c:ptCount val="7"/>
                <c:pt idx="3">
                  <c:v>0.2618776625335002</c:v>
                </c:pt>
                <c:pt idx="4">
                  <c:v>0.25492073969493134</c:v>
                </c:pt>
                <c:pt idx="5">
                  <c:v>0.26860618697576299</c:v>
                </c:pt>
                <c:pt idx="6">
                  <c:v>0.28129331096759458</c:v>
                </c:pt>
              </c:numCache>
            </c:numRef>
          </c:val>
          <c:extLst>
            <c:ext xmlns:c16="http://schemas.microsoft.com/office/drawing/2014/chart" uri="{C3380CC4-5D6E-409C-BE32-E72D297353CC}">
              <c16:uniqueId val="{0000000B-D699-4213-BB61-71E323F4B7D0}"/>
            </c:ext>
          </c:extLst>
        </c:ser>
        <c:ser>
          <c:idx val="12"/>
          <c:order val="12"/>
          <c:tx>
            <c:strRef>
              <c:f>'[Risks_for_Budget_2026.xlsx]fan chart'!$N$3</c:f>
              <c:strCache>
                <c:ptCount val="1"/>
              </c:strCache>
            </c:strRef>
          </c:tx>
          <c:spPr>
            <a:solidFill>
              <a:srgbClr val="FF0000">
                <a:alpha val="70000"/>
              </a:srgbClr>
            </a:solidFill>
          </c:spPr>
          <c:cat>
            <c:strRef>
              <c:f>'[Risks_for_Budget_2026.xlsx]fan chart'!$A$4:$A$111</c:f>
              <c:strCache>
                <c:ptCount val="7"/>
                <c:pt idx="0">
                  <c:v>2022</c:v>
                </c:pt>
                <c:pt idx="1">
                  <c:v>2023</c:v>
                </c:pt>
                <c:pt idx="2">
                  <c:v>2024</c:v>
                </c:pt>
                <c:pt idx="3">
                  <c:v>2025*</c:v>
                </c:pt>
                <c:pt idx="4">
                  <c:v>2026*</c:v>
                </c:pt>
                <c:pt idx="5">
                  <c:v>2027*</c:v>
                </c:pt>
                <c:pt idx="6">
                  <c:v>2028*</c:v>
                </c:pt>
              </c:strCache>
            </c:strRef>
          </c:cat>
          <c:val>
            <c:numRef>
              <c:f>'[Risks_for_Budget_2026.xlsx]fan chart'!$N$4:$N$111</c:f>
              <c:numCache>
                <c:formatCode>General</c:formatCode>
                <c:ptCount val="7"/>
                <c:pt idx="3">
                  <c:v>0.27597961078870448</c:v>
                </c:pt>
                <c:pt idx="4">
                  <c:v>0.26864806200863356</c:v>
                </c:pt>
                <c:pt idx="5">
                  <c:v>0.28307046206175102</c:v>
                </c:pt>
                <c:pt idx="6">
                  <c:v>0.29644077974146477</c:v>
                </c:pt>
              </c:numCache>
            </c:numRef>
          </c:val>
          <c:extLst>
            <c:ext xmlns:c16="http://schemas.microsoft.com/office/drawing/2014/chart" uri="{C3380CC4-5D6E-409C-BE32-E72D297353CC}">
              <c16:uniqueId val="{0000000C-D699-4213-BB61-71E323F4B7D0}"/>
            </c:ext>
          </c:extLst>
        </c:ser>
        <c:ser>
          <c:idx val="13"/>
          <c:order val="13"/>
          <c:tx>
            <c:strRef>
              <c:f>'[Risks_for_Budget_2026.xlsx]fan chart'!$O$3</c:f>
              <c:strCache>
                <c:ptCount val="1"/>
              </c:strCache>
            </c:strRef>
          </c:tx>
          <c:spPr>
            <a:solidFill>
              <a:srgbClr val="FF0000">
                <a:alpha val="60000"/>
              </a:srgbClr>
            </a:solidFill>
          </c:spPr>
          <c:cat>
            <c:strRef>
              <c:f>'[Risks_for_Budget_2026.xlsx]fan chart'!$A$4:$A$111</c:f>
              <c:strCache>
                <c:ptCount val="7"/>
                <c:pt idx="0">
                  <c:v>2022</c:v>
                </c:pt>
                <c:pt idx="1">
                  <c:v>2023</c:v>
                </c:pt>
                <c:pt idx="2">
                  <c:v>2024</c:v>
                </c:pt>
                <c:pt idx="3">
                  <c:v>2025*</c:v>
                </c:pt>
                <c:pt idx="4">
                  <c:v>2026*</c:v>
                </c:pt>
                <c:pt idx="5">
                  <c:v>2027*</c:v>
                </c:pt>
                <c:pt idx="6">
                  <c:v>2028*</c:v>
                </c:pt>
              </c:strCache>
            </c:strRef>
          </c:cat>
          <c:val>
            <c:numRef>
              <c:f>'[Risks_for_Budget_2026.xlsx]fan chart'!$O$4:$O$111</c:f>
              <c:numCache>
                <c:formatCode>General</c:formatCode>
                <c:ptCount val="7"/>
                <c:pt idx="3">
                  <c:v>0.29782539226392402</c:v>
                </c:pt>
                <c:pt idx="4">
                  <c:v>0.28991349839217406</c:v>
                </c:pt>
                <c:pt idx="5">
                  <c:v>0.30547753568076885</c:v>
                </c:pt>
                <c:pt idx="6">
                  <c:v>0.31990621066974256</c:v>
                </c:pt>
              </c:numCache>
            </c:numRef>
          </c:val>
          <c:extLst>
            <c:ext xmlns:c16="http://schemas.microsoft.com/office/drawing/2014/chart" uri="{C3380CC4-5D6E-409C-BE32-E72D297353CC}">
              <c16:uniqueId val="{0000000D-D699-4213-BB61-71E323F4B7D0}"/>
            </c:ext>
          </c:extLst>
        </c:ser>
        <c:ser>
          <c:idx val="14"/>
          <c:order val="14"/>
          <c:tx>
            <c:strRef>
              <c:f>'[Risks_for_Budget_2026.xlsx]fan chart'!$P$3</c:f>
              <c:strCache>
                <c:ptCount val="1"/>
              </c:strCache>
            </c:strRef>
          </c:tx>
          <c:spPr>
            <a:solidFill>
              <a:srgbClr val="FF0000">
                <a:alpha val="50000"/>
              </a:srgbClr>
            </a:solidFill>
          </c:spPr>
          <c:cat>
            <c:strRef>
              <c:f>'[Risks_for_Budget_2026.xlsx]fan chart'!$A$4:$A$111</c:f>
              <c:strCache>
                <c:ptCount val="7"/>
                <c:pt idx="0">
                  <c:v>2022</c:v>
                </c:pt>
                <c:pt idx="1">
                  <c:v>2023</c:v>
                </c:pt>
                <c:pt idx="2">
                  <c:v>2024</c:v>
                </c:pt>
                <c:pt idx="3">
                  <c:v>2025*</c:v>
                </c:pt>
                <c:pt idx="4">
                  <c:v>2026*</c:v>
                </c:pt>
                <c:pt idx="5">
                  <c:v>2027*</c:v>
                </c:pt>
                <c:pt idx="6">
                  <c:v>2028*</c:v>
                </c:pt>
              </c:strCache>
            </c:strRef>
          </c:cat>
          <c:val>
            <c:numRef>
              <c:f>'[Risks_for_Budget_2026.xlsx]fan chart'!$P$4:$P$111</c:f>
              <c:numCache>
                <c:formatCode>General</c:formatCode>
                <c:ptCount val="7"/>
                <c:pt idx="3">
                  <c:v>0.33164269756732523</c:v>
                </c:pt>
                <c:pt idx="4">
                  <c:v>0.32283242854846428</c:v>
                </c:pt>
                <c:pt idx="5">
                  <c:v>0.3401637221369338</c:v>
                </c:pt>
                <c:pt idx="6">
                  <c:v>0.35623073596436861</c:v>
                </c:pt>
              </c:numCache>
            </c:numRef>
          </c:val>
          <c:extLst>
            <c:ext xmlns:c16="http://schemas.microsoft.com/office/drawing/2014/chart" uri="{C3380CC4-5D6E-409C-BE32-E72D297353CC}">
              <c16:uniqueId val="{0000000E-D699-4213-BB61-71E323F4B7D0}"/>
            </c:ext>
          </c:extLst>
        </c:ser>
        <c:ser>
          <c:idx val="15"/>
          <c:order val="15"/>
          <c:tx>
            <c:strRef>
              <c:f>'[Risks_for_Budget_2026.xlsx]fan chart'!$Q$3</c:f>
              <c:strCache>
                <c:ptCount val="1"/>
              </c:strCache>
            </c:strRef>
          </c:tx>
          <c:spPr>
            <a:solidFill>
              <a:srgbClr val="FF0000">
                <a:alpha val="40000"/>
              </a:srgbClr>
            </a:solidFill>
          </c:spPr>
          <c:cat>
            <c:strRef>
              <c:f>'[Risks_for_Budget_2026.xlsx]fan chart'!$A$4:$A$111</c:f>
              <c:strCache>
                <c:ptCount val="7"/>
                <c:pt idx="0">
                  <c:v>2022</c:v>
                </c:pt>
                <c:pt idx="1">
                  <c:v>2023</c:v>
                </c:pt>
                <c:pt idx="2">
                  <c:v>2024</c:v>
                </c:pt>
                <c:pt idx="3">
                  <c:v>2025*</c:v>
                </c:pt>
                <c:pt idx="4">
                  <c:v>2026*</c:v>
                </c:pt>
                <c:pt idx="5">
                  <c:v>2027*</c:v>
                </c:pt>
                <c:pt idx="6">
                  <c:v>2028*</c:v>
                </c:pt>
              </c:strCache>
            </c:strRef>
          </c:cat>
          <c:val>
            <c:numRef>
              <c:f>'[Risks_for_Budget_2026.xlsx]fan chart'!$Q$4:$Q$111</c:f>
              <c:numCache>
                <c:formatCode>General</c:formatCode>
                <c:ptCount val="7"/>
                <c:pt idx="3">
                  <c:v>0.38657006808724859</c:v>
                </c:pt>
                <c:pt idx="4">
                  <c:v>0.37630062353300353</c:v>
                </c:pt>
                <c:pt idx="5">
                  <c:v>0.39650236290998997</c:v>
                </c:pt>
                <c:pt idx="6">
                  <c:v>0.41523042981690317</c:v>
                </c:pt>
              </c:numCache>
            </c:numRef>
          </c:val>
          <c:extLst>
            <c:ext xmlns:c16="http://schemas.microsoft.com/office/drawing/2014/chart" uri="{C3380CC4-5D6E-409C-BE32-E72D297353CC}">
              <c16:uniqueId val="{0000000F-D699-4213-BB61-71E323F4B7D0}"/>
            </c:ext>
          </c:extLst>
        </c:ser>
        <c:ser>
          <c:idx val="16"/>
          <c:order val="16"/>
          <c:tx>
            <c:strRef>
              <c:f>'[Risks_for_Budget_2026.xlsx]fan chart'!$R$3</c:f>
              <c:strCache>
                <c:ptCount val="1"/>
              </c:strCache>
            </c:strRef>
          </c:tx>
          <c:spPr>
            <a:solidFill>
              <a:srgbClr val="FF0000">
                <a:alpha val="30000"/>
              </a:srgbClr>
            </a:solidFill>
          </c:spPr>
          <c:cat>
            <c:strRef>
              <c:f>'[Risks_for_Budget_2026.xlsx]fan chart'!$A$4:$A$111</c:f>
              <c:strCache>
                <c:ptCount val="7"/>
                <c:pt idx="0">
                  <c:v>2022</c:v>
                </c:pt>
                <c:pt idx="1">
                  <c:v>2023</c:v>
                </c:pt>
                <c:pt idx="2">
                  <c:v>2024</c:v>
                </c:pt>
                <c:pt idx="3">
                  <c:v>2025*</c:v>
                </c:pt>
                <c:pt idx="4">
                  <c:v>2026*</c:v>
                </c:pt>
                <c:pt idx="5">
                  <c:v>2027*</c:v>
                </c:pt>
                <c:pt idx="6">
                  <c:v>2028*</c:v>
                </c:pt>
              </c:strCache>
            </c:strRef>
          </c:cat>
          <c:val>
            <c:numRef>
              <c:f>'[Risks_for_Budget_2026.xlsx]fan chart'!$R$4:$R$111</c:f>
              <c:numCache>
                <c:formatCode>General</c:formatCode>
                <c:ptCount val="7"/>
                <c:pt idx="3">
                  <c:v>0.48639341604468633</c:v>
                </c:pt>
                <c:pt idx="4">
                  <c:v>0.47347210984439769</c:v>
                </c:pt>
                <c:pt idx="5">
                  <c:v>0.49889051089711067</c:v>
                </c:pt>
                <c:pt idx="6">
                  <c:v>0.52245469548035928</c:v>
                </c:pt>
              </c:numCache>
            </c:numRef>
          </c:val>
          <c:extLst>
            <c:ext xmlns:c16="http://schemas.microsoft.com/office/drawing/2014/chart" uri="{C3380CC4-5D6E-409C-BE32-E72D297353CC}">
              <c16:uniqueId val="{00000010-D699-4213-BB61-71E323F4B7D0}"/>
            </c:ext>
          </c:extLst>
        </c:ser>
        <c:ser>
          <c:idx val="17"/>
          <c:order val="17"/>
          <c:tx>
            <c:strRef>
              <c:f>'[Risks_for_Budget_2026.xlsx]fan chart'!$S$3</c:f>
              <c:strCache>
                <c:ptCount val="1"/>
              </c:strCache>
            </c:strRef>
          </c:tx>
          <c:spPr>
            <a:solidFill>
              <a:srgbClr val="FF0000">
                <a:alpha val="20000"/>
              </a:srgbClr>
            </a:solidFill>
          </c:spPr>
          <c:cat>
            <c:strRef>
              <c:f>'[Risks_for_Budget_2026.xlsx]fan chart'!$A$4:$A$111</c:f>
              <c:strCache>
                <c:ptCount val="7"/>
                <c:pt idx="0">
                  <c:v>2022</c:v>
                </c:pt>
                <c:pt idx="1">
                  <c:v>2023</c:v>
                </c:pt>
                <c:pt idx="2">
                  <c:v>2024</c:v>
                </c:pt>
                <c:pt idx="3">
                  <c:v>2025*</c:v>
                </c:pt>
                <c:pt idx="4">
                  <c:v>2026*</c:v>
                </c:pt>
                <c:pt idx="5">
                  <c:v>2027*</c:v>
                </c:pt>
                <c:pt idx="6">
                  <c:v>2028*</c:v>
                </c:pt>
              </c:strCache>
            </c:strRef>
          </c:cat>
          <c:val>
            <c:numRef>
              <c:f>'[Risks_for_Budget_2026.xlsx]fan chart'!$S$4:$S$111</c:f>
              <c:numCache>
                <c:formatCode>General</c:formatCode>
                <c:ptCount val="7"/>
                <c:pt idx="3">
                  <c:v>0.72090831267908406</c:v>
                </c:pt>
                <c:pt idx="4">
                  <c:v>0.7017569904300931</c:v>
                </c:pt>
                <c:pt idx="5">
                  <c:v>0.73943088980752414</c:v>
                </c:pt>
                <c:pt idx="6">
                  <c:v>0.77435656105881279</c:v>
                </c:pt>
              </c:numCache>
            </c:numRef>
          </c:val>
          <c:extLst>
            <c:ext xmlns:c16="http://schemas.microsoft.com/office/drawing/2014/chart" uri="{C3380CC4-5D6E-409C-BE32-E72D297353CC}">
              <c16:uniqueId val="{00000011-D699-4213-BB61-71E323F4B7D0}"/>
            </c:ext>
          </c:extLst>
        </c:ser>
        <c:dLbls>
          <c:showLegendKey val="0"/>
          <c:showVal val="0"/>
          <c:showCatName val="0"/>
          <c:showSerName val="0"/>
          <c:showPercent val="0"/>
          <c:showBubbleSize val="0"/>
        </c:dLbls>
        <c:axId val="613163224"/>
        <c:axId val="613164208"/>
      </c:areaChart>
      <c:catAx>
        <c:axId val="613163224"/>
        <c:scaling>
          <c:orientation val="minMax"/>
        </c:scaling>
        <c:delete val="0"/>
        <c:axPos val="b"/>
        <c:numFmt formatCode="General" sourceLinked="1"/>
        <c:majorTickMark val="out"/>
        <c:minorTickMark val="none"/>
        <c:tickLblPos val="nextTo"/>
        <c:crossAx val="613164208"/>
        <c:crosses val="autoZero"/>
        <c:auto val="1"/>
        <c:lblAlgn val="ctr"/>
        <c:lblOffset val="100"/>
        <c:noMultiLvlLbl val="0"/>
      </c:catAx>
      <c:valAx>
        <c:axId val="613164208"/>
        <c:scaling>
          <c:orientation val="minMax"/>
        </c:scaling>
        <c:delete val="0"/>
        <c:axPos val="l"/>
        <c:numFmt formatCode="General" sourceLinked="1"/>
        <c:majorTickMark val="out"/>
        <c:minorTickMark val="none"/>
        <c:tickLblPos val="nextTo"/>
        <c:spPr>
          <a:ln>
            <a:noFill/>
          </a:ln>
        </c:spPr>
        <c:txPr>
          <a:bodyPr/>
          <a:lstStyle/>
          <a:p>
            <a:pPr>
              <a:defRPr>
                <a:solidFill>
                  <a:schemeClr val="bg1">
                    <a:lumMod val="65000"/>
                  </a:schemeClr>
                </a:solidFill>
              </a:defRPr>
            </a:pPr>
            <a:endParaRPr lang="en-US"/>
          </a:p>
        </c:txPr>
        <c:crossAx val="613163224"/>
        <c:crosses val="autoZero"/>
        <c:crossBetween val="between"/>
      </c:valAx>
      <c:spPr>
        <a:noFill/>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noFill/>
  </c:spPr>
  <c:txPr>
    <a:bodyPr/>
    <a:lstStyle/>
    <a:p>
      <a:pPr>
        <a:defRPr>
          <a:latin typeface="GHEA Grapalat" panose="02000506050000020003" pitchFamily="50" charset="0"/>
        </a:defRPr>
      </a:pPr>
      <a:endParaRPr lang="en-US"/>
    </a:p>
  </c:txPr>
  <c:externalData r:id="rId2">
    <c:autoUpdate val="0"/>
  </c:externalData>
</c:chartSpace>
</file>

<file path=word/charts/chart6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3"/>
    </mc:Choice>
    <mc:Fallback>
      <c:style val="3"/>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Sheet1!$B$8</c:f>
              <c:strCache>
                <c:ptCount val="1"/>
                <c:pt idx="0">
                  <c:v>Ակտիվներ</c:v>
                </c:pt>
              </c:strCache>
            </c:strRef>
          </c:tx>
          <c:spPr>
            <a:solidFill>
              <a:srgbClr val="44546A"/>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Sheet1!$A$9:$A$13</c:f>
              <c:numCache>
                <c:formatCode>General</c:formatCode>
                <c:ptCount val="5"/>
                <c:pt idx="0">
                  <c:v>2020</c:v>
                </c:pt>
                <c:pt idx="1">
                  <c:v>2021</c:v>
                </c:pt>
                <c:pt idx="2">
                  <c:v>2022</c:v>
                </c:pt>
                <c:pt idx="3">
                  <c:v>2023</c:v>
                </c:pt>
                <c:pt idx="4">
                  <c:v>2024</c:v>
                </c:pt>
              </c:numCache>
            </c:numRef>
          </c:cat>
          <c:val>
            <c:numRef>
              <c:f>Sheet1!$B$9:$B$13</c:f>
              <c:numCache>
                <c:formatCode>_(* #,##0_);_(* \(#,##0\);_(* "-"??_);_(@_)</c:formatCode>
                <c:ptCount val="5"/>
                <c:pt idx="0">
                  <c:v>796</c:v>
                </c:pt>
                <c:pt idx="1">
                  <c:v>828</c:v>
                </c:pt>
                <c:pt idx="2">
                  <c:v>830</c:v>
                </c:pt>
                <c:pt idx="3" formatCode="_(* #,##0.0_);_(* \(#,##0.0\);_(* &quot;-&quot;??_);_(@_)">
                  <c:v>851.7</c:v>
                </c:pt>
                <c:pt idx="4" formatCode="_(* #,##0.0_);_(* \(#,##0.0\);_(* &quot;-&quot;??_);_(@_)">
                  <c:v>876.1</c:v>
                </c:pt>
              </c:numCache>
            </c:numRef>
          </c:val>
          <c:extLst>
            <c:ext xmlns:c16="http://schemas.microsoft.com/office/drawing/2014/chart" uri="{C3380CC4-5D6E-409C-BE32-E72D297353CC}">
              <c16:uniqueId val="{00000000-D642-4186-87BD-A440FAD98231}"/>
            </c:ext>
          </c:extLst>
        </c:ser>
        <c:ser>
          <c:idx val="1"/>
          <c:order val="1"/>
          <c:tx>
            <c:strRef>
              <c:f>Sheet1!$C$8</c:f>
              <c:strCache>
                <c:ptCount val="1"/>
                <c:pt idx="0">
                  <c:v>Պարտավորություններ</c:v>
                </c:pt>
              </c:strCache>
            </c:strRef>
          </c:tx>
          <c:spPr>
            <a:solidFill>
              <a:schemeClr val="accent1">
                <a:tint val="77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Sheet1!$A$9:$A$13</c:f>
              <c:numCache>
                <c:formatCode>General</c:formatCode>
                <c:ptCount val="5"/>
                <c:pt idx="0">
                  <c:v>2020</c:v>
                </c:pt>
                <c:pt idx="1">
                  <c:v>2021</c:v>
                </c:pt>
                <c:pt idx="2">
                  <c:v>2022</c:v>
                </c:pt>
                <c:pt idx="3">
                  <c:v>2023</c:v>
                </c:pt>
                <c:pt idx="4">
                  <c:v>2024</c:v>
                </c:pt>
              </c:numCache>
            </c:numRef>
          </c:cat>
          <c:val>
            <c:numRef>
              <c:f>Sheet1!$C$9:$C$13</c:f>
              <c:numCache>
                <c:formatCode>_(* #,##0_);_(* \(#,##0\);_(* "-"??_);_(@_)</c:formatCode>
                <c:ptCount val="5"/>
                <c:pt idx="0">
                  <c:v>548</c:v>
                </c:pt>
                <c:pt idx="1">
                  <c:v>511</c:v>
                </c:pt>
                <c:pt idx="2">
                  <c:v>453</c:v>
                </c:pt>
                <c:pt idx="3" formatCode="_(* #,##0.0_);_(* \(#,##0.0\);_(* &quot;-&quot;??_);_(@_)">
                  <c:v>476.4</c:v>
                </c:pt>
                <c:pt idx="4" formatCode="_(* #,##0.0_);_(* \(#,##0.0\);_(* &quot;-&quot;??_);_(@_)">
                  <c:v>449.7</c:v>
                </c:pt>
              </c:numCache>
            </c:numRef>
          </c:val>
          <c:extLst>
            <c:ext xmlns:c16="http://schemas.microsoft.com/office/drawing/2014/chart" uri="{C3380CC4-5D6E-409C-BE32-E72D297353CC}">
              <c16:uniqueId val="{00000001-D642-4186-87BD-A440FAD98231}"/>
            </c:ext>
          </c:extLst>
        </c:ser>
        <c:dLbls>
          <c:showLegendKey val="0"/>
          <c:showVal val="0"/>
          <c:showCatName val="0"/>
          <c:showSerName val="0"/>
          <c:showPercent val="0"/>
          <c:showBubbleSize val="0"/>
        </c:dLbls>
        <c:gapWidth val="219"/>
        <c:overlap val="-27"/>
        <c:axId val="222107312"/>
        <c:axId val="222105232"/>
      </c:barChart>
      <c:catAx>
        <c:axId val="22210731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22105232"/>
        <c:crosses val="autoZero"/>
        <c:auto val="1"/>
        <c:lblAlgn val="ctr"/>
        <c:lblOffset val="100"/>
        <c:noMultiLvlLbl val="0"/>
      </c:catAx>
      <c:valAx>
        <c:axId val="222105232"/>
        <c:scaling>
          <c:orientation val="minMax"/>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hy-AM"/>
                  <a:t>ՀՀ</a:t>
                </a:r>
                <a:r>
                  <a:rPr lang="hy-AM" baseline="0"/>
                  <a:t> մլրդ դրամ</a:t>
                </a:r>
                <a:endParaRPr lang="en-US"/>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_(* #,##0_);_(* \(#,##0\);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2210731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6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3"/>
    </mc:Choice>
    <mc:Fallback>
      <c:style val="3"/>
    </mc:Fallback>
  </mc:AlternateContent>
  <c:chart>
    <c:autoTitleDeleted val="1"/>
    <c:plotArea>
      <c:layout>
        <c:manualLayout>
          <c:xMode val="edge"/>
          <c:yMode val="edge"/>
          <c:x val="3.0573396724072579E-2"/>
          <c:y val="0.20584087788893812"/>
          <c:w val="0.93885320655185489"/>
          <c:h val="0.61850587908335775"/>
        </c:manualLayout>
      </c:layout>
      <c:lineChart>
        <c:grouping val="standard"/>
        <c:varyColors val="0"/>
        <c:ser>
          <c:idx val="1"/>
          <c:order val="1"/>
          <c:tx>
            <c:strRef>
              <c:f>'[SOEHCT-v1-3-Beta_including, Yerevan Bus 2023 (1).xlsm]Portfolio Level'!$P$120</c:f>
              <c:strCache>
                <c:ptCount val="1"/>
                <c:pt idx="0">
                  <c:v>Պարտք / Ակտիվներ հարաբերակցություն</c:v>
                </c:pt>
              </c:strCache>
            </c:strRef>
          </c:tx>
          <c:spPr>
            <a:ln w="19050" cap="rnd" cmpd="sng" algn="ctr">
              <a:solidFill>
                <a:schemeClr val="accent1">
                  <a:tint val="77000"/>
                </a:schemeClr>
              </a:solidFill>
              <a:prstDash val="solid"/>
              <a:round/>
            </a:ln>
            <a:effectLst/>
          </c:spPr>
          <c:marker>
            <c:symbol val="none"/>
          </c:marker>
          <c:cat>
            <c:numRef>
              <c:f>'SOEHCT-v1-3-Beta_including, Yerevan Bus 2023 (1).xlsm'!Year_a</c:f>
              <c:numCache>
                <c:formatCode>General</c:formatCode>
                <c:ptCount val="5"/>
                <c:pt idx="0">
                  <c:v>2020</c:v>
                </c:pt>
                <c:pt idx="1">
                  <c:v>2021</c:v>
                </c:pt>
                <c:pt idx="2">
                  <c:v>2022</c:v>
                </c:pt>
                <c:pt idx="3">
                  <c:v>2023</c:v>
                </c:pt>
                <c:pt idx="4">
                  <c:v>2024</c:v>
                </c:pt>
              </c:numCache>
            </c:numRef>
          </c:cat>
          <c:val>
            <c:numRef>
              <c:f>'SOEHCT-v1-3-Beta_including, Yerevan Bus 2023 (1).xlsm'!Agg_DtA</c:f>
              <c:numCache>
                <c:formatCode>General</c:formatCode>
                <c:ptCount val="5"/>
                <c:pt idx="0">
                  <c:v>0.86302620358895132</c:v>
                </c:pt>
                <c:pt idx="1">
                  <c:v>0.7218574356079337</c:v>
                </c:pt>
                <c:pt idx="2">
                  <c:v>0.58523855298890148</c:v>
                </c:pt>
                <c:pt idx="3">
                  <c:v>0.61803119028884079</c:v>
                </c:pt>
                <c:pt idx="4">
                  <c:v>0.55207489381181452</c:v>
                </c:pt>
              </c:numCache>
            </c:numRef>
          </c:val>
          <c:smooth val="0"/>
          <c:extLst>
            <c:ext xmlns:c16="http://schemas.microsoft.com/office/drawing/2014/chart" uri="{C3380CC4-5D6E-409C-BE32-E72D297353CC}">
              <c16:uniqueId val="{00000000-733C-4BCA-96BA-69E4B9DB1A5A}"/>
            </c:ext>
          </c:extLst>
        </c:ser>
        <c:dLbls>
          <c:showLegendKey val="0"/>
          <c:showVal val="0"/>
          <c:showCatName val="0"/>
          <c:showSerName val="0"/>
          <c:showPercent val="0"/>
          <c:showBubbleSize val="0"/>
        </c:dLbls>
        <c:marker val="1"/>
        <c:smooth val="0"/>
        <c:axId val="395532160"/>
        <c:axId val="395530624"/>
      </c:lineChart>
      <c:lineChart>
        <c:grouping val="standard"/>
        <c:varyColors val="0"/>
        <c:ser>
          <c:idx val="0"/>
          <c:order val="0"/>
          <c:tx>
            <c:strRef>
              <c:f>'[SOEHCT-v1-3-Beta_including, Yerevan Bus 2023 (1).xlsm]Portfolio Level'!$P$121</c:f>
              <c:strCache>
                <c:ptCount val="1"/>
                <c:pt idx="0">
                  <c:v>Պարտք / Սեփական կապիտալ հարաբերակցություն</c:v>
                </c:pt>
              </c:strCache>
            </c:strRef>
          </c:tx>
          <c:spPr>
            <a:ln w="19050" cap="rnd" cmpd="sng" algn="ctr">
              <a:solidFill>
                <a:schemeClr val="accent1">
                  <a:shade val="76000"/>
                </a:schemeClr>
              </a:solidFill>
              <a:prstDash val="solid"/>
              <a:round/>
            </a:ln>
            <a:effectLst/>
          </c:spPr>
          <c:marker>
            <c:symbol val="none"/>
          </c:marker>
          <c:dPt>
            <c:idx val="1"/>
            <c:bubble3D val="0"/>
            <c:spPr>
              <a:ln w="19050" cap="rnd" cmpd="sng" algn="ctr">
                <a:solidFill>
                  <a:schemeClr val="accent1">
                    <a:lumMod val="50000"/>
                  </a:schemeClr>
                </a:solidFill>
                <a:prstDash val="solid"/>
                <a:round/>
              </a:ln>
              <a:effectLst/>
            </c:spPr>
            <c:extLst>
              <c:ext xmlns:c16="http://schemas.microsoft.com/office/drawing/2014/chart" uri="{C3380CC4-5D6E-409C-BE32-E72D297353CC}">
                <c16:uniqueId val="{00000002-733C-4BCA-96BA-69E4B9DB1A5A}"/>
              </c:ext>
            </c:extLst>
          </c:dPt>
          <c:dPt>
            <c:idx val="2"/>
            <c:bubble3D val="0"/>
            <c:spPr>
              <a:ln w="19050" cap="rnd" cmpd="sng" algn="ctr">
                <a:solidFill>
                  <a:schemeClr val="accent1">
                    <a:lumMod val="50000"/>
                  </a:schemeClr>
                </a:solidFill>
                <a:prstDash val="solid"/>
                <a:round/>
              </a:ln>
              <a:effectLst/>
            </c:spPr>
            <c:extLst>
              <c:ext xmlns:c16="http://schemas.microsoft.com/office/drawing/2014/chart" uri="{C3380CC4-5D6E-409C-BE32-E72D297353CC}">
                <c16:uniqueId val="{00000004-733C-4BCA-96BA-69E4B9DB1A5A}"/>
              </c:ext>
            </c:extLst>
          </c:dPt>
          <c:dPt>
            <c:idx val="3"/>
            <c:bubble3D val="0"/>
            <c:spPr>
              <a:ln w="19050" cap="rnd" cmpd="sng" algn="ctr">
                <a:solidFill>
                  <a:schemeClr val="accent1">
                    <a:lumMod val="50000"/>
                  </a:schemeClr>
                </a:solidFill>
                <a:prstDash val="solid"/>
                <a:round/>
              </a:ln>
              <a:effectLst/>
            </c:spPr>
            <c:extLst>
              <c:ext xmlns:c16="http://schemas.microsoft.com/office/drawing/2014/chart" uri="{C3380CC4-5D6E-409C-BE32-E72D297353CC}">
                <c16:uniqueId val="{00000006-733C-4BCA-96BA-69E4B9DB1A5A}"/>
              </c:ext>
            </c:extLst>
          </c:dPt>
          <c:dPt>
            <c:idx val="4"/>
            <c:bubble3D val="0"/>
            <c:spPr>
              <a:ln w="19050" cap="rnd" cmpd="sng" algn="ctr">
                <a:solidFill>
                  <a:schemeClr val="accent1">
                    <a:lumMod val="50000"/>
                  </a:schemeClr>
                </a:solidFill>
                <a:prstDash val="solid"/>
                <a:round/>
              </a:ln>
              <a:effectLst/>
            </c:spPr>
            <c:extLst>
              <c:ext xmlns:c16="http://schemas.microsoft.com/office/drawing/2014/chart" uri="{C3380CC4-5D6E-409C-BE32-E72D297353CC}">
                <c16:uniqueId val="{00000008-733C-4BCA-96BA-69E4B9DB1A5A}"/>
              </c:ext>
            </c:extLst>
          </c:dPt>
          <c:cat>
            <c:numRef>
              <c:f>'SOEHCT-v1-3-Beta_including, Yerevan Bus 2023 (1).xlsm'!Year_a</c:f>
              <c:numCache>
                <c:formatCode>General</c:formatCode>
                <c:ptCount val="5"/>
                <c:pt idx="0">
                  <c:v>2020</c:v>
                </c:pt>
                <c:pt idx="1">
                  <c:v>2021</c:v>
                </c:pt>
                <c:pt idx="2">
                  <c:v>2022</c:v>
                </c:pt>
                <c:pt idx="3">
                  <c:v>2023</c:v>
                </c:pt>
                <c:pt idx="4">
                  <c:v>2024</c:v>
                </c:pt>
              </c:numCache>
            </c:numRef>
          </c:cat>
          <c:val>
            <c:numRef>
              <c:f>'SOEHCT-v1-3-Beta_including, Yerevan Bus 2023 (1).xlsm'!Agg_DtE</c:f>
              <c:numCache>
                <c:formatCode>General</c:formatCode>
                <c:ptCount val="5"/>
                <c:pt idx="0">
                  <c:v>6.3006664500929128</c:v>
                </c:pt>
                <c:pt idx="1">
                  <c:v>2.6060760667944112</c:v>
                </c:pt>
                <c:pt idx="2">
                  <c:v>1.4110244759830339</c:v>
                </c:pt>
                <c:pt idx="3">
                  <c:v>1.618014807953009</c:v>
                </c:pt>
                <c:pt idx="4">
                  <c:v>1.2325160750866082</c:v>
                </c:pt>
              </c:numCache>
            </c:numRef>
          </c:val>
          <c:smooth val="0"/>
          <c:extLst>
            <c:ext xmlns:c16="http://schemas.microsoft.com/office/drawing/2014/chart" uri="{C3380CC4-5D6E-409C-BE32-E72D297353CC}">
              <c16:uniqueId val="{00000009-733C-4BCA-96BA-69E4B9DB1A5A}"/>
            </c:ext>
          </c:extLst>
        </c:ser>
        <c:dLbls>
          <c:showLegendKey val="0"/>
          <c:showVal val="0"/>
          <c:showCatName val="0"/>
          <c:showSerName val="0"/>
          <c:showPercent val="0"/>
          <c:showBubbleSize val="0"/>
        </c:dLbls>
        <c:marker val="1"/>
        <c:smooth val="0"/>
        <c:axId val="395543680"/>
        <c:axId val="395533696"/>
      </c:lineChart>
      <c:valAx>
        <c:axId val="395530624"/>
        <c:scaling>
          <c:orientation val="minMax"/>
        </c:scaling>
        <c:delete val="0"/>
        <c:axPos val="r"/>
        <c:majorGridlines>
          <c:spPr>
            <a:ln w="3175" cap="flat" cmpd="sng" algn="ctr">
              <a:noFill/>
              <a:prstDash val="solid"/>
              <a:round/>
            </a:ln>
            <a:effectLst/>
          </c:spPr>
        </c:majorGridlines>
        <c:numFmt formatCode="0%" sourceLinked="0"/>
        <c:majorTickMark val="none"/>
        <c:minorTickMark val="none"/>
        <c:tickLblPos val="nextTo"/>
        <c:spPr>
          <a:noFill/>
          <a:ln w="6350" cap="flat" cmpd="sng" algn="ctr">
            <a:solidFill>
              <a:schemeClr val="bg1">
                <a:lumMod val="85000"/>
              </a:schemeClr>
            </a:solidFill>
            <a:prstDash val="solid"/>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Avenir Next LT Pro" panose="020B0504020202020204" pitchFamily="34" charset="0"/>
                <a:ea typeface="+mn-ea"/>
                <a:cs typeface="Segoe UI" panose="020B0502040204020203" pitchFamily="34" charset="0"/>
              </a:defRPr>
            </a:pPr>
            <a:endParaRPr lang="en-US"/>
          </a:p>
        </c:txPr>
        <c:crossAx val="395532160"/>
        <c:crosses val="max"/>
        <c:crossBetween val="between"/>
      </c:valAx>
      <c:catAx>
        <c:axId val="395532160"/>
        <c:scaling>
          <c:orientation val="minMax"/>
        </c:scaling>
        <c:delete val="0"/>
        <c:axPos val="b"/>
        <c:numFmt formatCode="General" sourceLinked="1"/>
        <c:majorTickMark val="none"/>
        <c:minorTickMark val="none"/>
        <c:tickLblPos val="low"/>
        <c:spPr>
          <a:noFill/>
          <a:ln w="9525" cap="flat" cmpd="sng" algn="ctr">
            <a:solidFill>
              <a:schemeClr val="tx1">
                <a:lumMod val="15000"/>
                <a:lumOff val="85000"/>
              </a:schemeClr>
            </a:solidFill>
            <a:prstDash val="solid"/>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Avenir Next LT Pro" panose="020B0504020202020204" pitchFamily="34" charset="0"/>
                <a:ea typeface="+mn-ea"/>
                <a:cs typeface="Segoe UI" panose="020B0502040204020203" pitchFamily="34" charset="0"/>
              </a:defRPr>
            </a:pPr>
            <a:endParaRPr lang="en-US"/>
          </a:p>
        </c:txPr>
        <c:crossAx val="395530624"/>
        <c:crosses val="autoZero"/>
        <c:auto val="1"/>
        <c:lblAlgn val="ctr"/>
        <c:lblOffset val="100"/>
        <c:noMultiLvlLbl val="0"/>
      </c:catAx>
      <c:valAx>
        <c:axId val="395533696"/>
        <c:scaling>
          <c:orientation val="minMax"/>
        </c:scaling>
        <c:delete val="0"/>
        <c:axPos val="l"/>
        <c:numFmt formatCode="#,##0.0" sourceLinked="0"/>
        <c:majorTickMark val="out"/>
        <c:minorTickMark val="none"/>
        <c:tickLblPos val="nextTo"/>
        <c:spPr>
          <a:noFill/>
          <a:ln w="6350" cap="flat" cmpd="sng" algn="ctr">
            <a:noFill/>
            <a:prstDash val="solid"/>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Avenir Next LT Pro" panose="020B0504020202020204" pitchFamily="34" charset="0"/>
                <a:ea typeface="+mn-ea"/>
                <a:cs typeface="Segoe UI" panose="020B0502040204020203" pitchFamily="34" charset="0"/>
              </a:defRPr>
            </a:pPr>
            <a:endParaRPr lang="en-US"/>
          </a:p>
        </c:txPr>
        <c:crossAx val="395543680"/>
        <c:crosses val="autoZero"/>
        <c:crossBetween val="between"/>
      </c:valAx>
      <c:catAx>
        <c:axId val="395543680"/>
        <c:scaling>
          <c:orientation val="minMax"/>
        </c:scaling>
        <c:delete val="1"/>
        <c:axPos val="b"/>
        <c:numFmt formatCode="General" sourceLinked="1"/>
        <c:majorTickMark val="out"/>
        <c:minorTickMark val="none"/>
        <c:tickLblPos val="nextTo"/>
        <c:crossAx val="395533696"/>
        <c:crosses val="autoZero"/>
        <c:auto val="1"/>
        <c:lblAlgn val="ctr"/>
        <c:lblOffset val="100"/>
        <c:noMultiLvlLbl val="0"/>
      </c:catAx>
      <c:spPr>
        <a:noFill/>
        <a:ln>
          <a:noFill/>
        </a:ln>
        <a:effectLst/>
      </c:spPr>
    </c:plotArea>
    <c:legend>
      <c:legendPos val="b"/>
      <c:layout>
        <c:manualLayout>
          <c:xMode val="edge"/>
          <c:yMode val="edge"/>
          <c:x val="0"/>
          <c:y val="0.79257654453922222"/>
          <c:w val="1"/>
          <c:h val="0.1745377333451296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Avenir Next LT Pro" panose="020B0504020202020204" pitchFamily="34" charset="0"/>
              <a:ea typeface="+mn-ea"/>
              <a:cs typeface="Segoe UI" panose="020B0502040204020203" pitchFamily="34" charset="0"/>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3175" cap="flat" cmpd="sng" algn="ctr">
      <a:solidFill>
        <a:schemeClr val="bg1">
          <a:lumMod val="85000"/>
        </a:schemeClr>
      </a:solidFill>
      <a:prstDash val="solid"/>
      <a:round/>
    </a:ln>
    <a:effectLst/>
  </c:spPr>
  <c:txPr>
    <a:bodyPr/>
    <a:lstStyle/>
    <a:p>
      <a:pPr>
        <a:defRPr sz="900">
          <a:latin typeface="Avenir Next LT Pro" panose="020B0504020202020204" pitchFamily="34" charset="0"/>
          <a:cs typeface="Segoe UI" panose="020B0502040204020203" pitchFamily="34" charset="0"/>
        </a:defRPr>
      </a:pPr>
      <a:endParaRPr lang="en-US"/>
    </a:p>
  </c:txPr>
  <c:externalData r:id="rId1">
    <c:autoUpdate val="0"/>
  </c:externalData>
</c:chartSpace>
</file>

<file path=word/charts/chart6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3"/>
    </mc:Choice>
    <mc:Fallback>
      <c:style val="3"/>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'[Reference-dividends.xlsx]Sheet1'!$H$5</c:f>
              <c:strCache>
                <c:ptCount val="1"/>
                <c:pt idx="0">
                  <c:v>ՊՄԸ-ների կողմից շահութաբաժինների գծով փաստացի բյուջետային մուտքերը (հազար դրամ)</c:v>
                </c:pt>
              </c:strCache>
            </c:strRef>
          </c:tx>
          <c:spPr>
            <a:solidFill>
              <a:srgbClr val="44546A"/>
            </a:solidFill>
            <a:ln>
              <a:noFill/>
            </a:ln>
            <a:effectLst/>
          </c:spPr>
          <c:invertIfNegative val="0"/>
          <c:cat>
            <c:numRef>
              <c:f>'[Reference-dividends.xlsx]Sheet1'!$A$6:$A$13</c:f>
              <c:numCache>
                <c:formatCode>General</c:formatCode>
                <c:ptCount val="8"/>
                <c:pt idx="0">
                  <c:v>2017</c:v>
                </c:pt>
                <c:pt idx="1">
                  <c:v>2018</c:v>
                </c:pt>
                <c:pt idx="2">
                  <c:v>2019</c:v>
                </c:pt>
                <c:pt idx="3">
                  <c:v>2020</c:v>
                </c:pt>
                <c:pt idx="4">
                  <c:v>2021</c:v>
                </c:pt>
                <c:pt idx="5">
                  <c:v>2022</c:v>
                </c:pt>
                <c:pt idx="6">
                  <c:v>2023</c:v>
                </c:pt>
                <c:pt idx="7">
                  <c:v>2024</c:v>
                </c:pt>
              </c:numCache>
            </c:numRef>
          </c:cat>
          <c:val>
            <c:numRef>
              <c:f>'[Reference-dividends.xlsx]Sheet1'!$E$6:$E$13</c:f>
              <c:numCache>
                <c:formatCode>_(* #,##0.00_);_(* \(#,##0.00\);_(* "-"??_);_(@_)</c:formatCode>
                <c:ptCount val="8"/>
                <c:pt idx="0">
                  <c:v>1267631.6399999999</c:v>
                </c:pt>
                <c:pt idx="1">
                  <c:v>1267631.6399999999</c:v>
                </c:pt>
                <c:pt idx="2">
                  <c:v>1504795.24</c:v>
                </c:pt>
                <c:pt idx="3">
                  <c:v>3563517.04</c:v>
                </c:pt>
                <c:pt idx="4">
                  <c:v>789119.09</c:v>
                </c:pt>
                <c:pt idx="5">
                  <c:v>1303870.51</c:v>
                </c:pt>
                <c:pt idx="6">
                  <c:v>2271512.7000000002</c:v>
                </c:pt>
                <c:pt idx="7">
                  <c:v>38785828.420000002</c:v>
                </c:pt>
              </c:numCache>
            </c:numRef>
          </c:val>
          <c:extLst>
            <c:ext xmlns:c16="http://schemas.microsoft.com/office/drawing/2014/chart" uri="{C3380CC4-5D6E-409C-BE32-E72D297353CC}">
              <c16:uniqueId val="{00000000-7B6B-45B8-A690-6E113E38275B}"/>
            </c:ext>
          </c:extLst>
        </c:ser>
        <c:dLbls>
          <c:showLegendKey val="0"/>
          <c:showVal val="0"/>
          <c:showCatName val="0"/>
          <c:showSerName val="0"/>
          <c:showPercent val="0"/>
          <c:showBubbleSize val="0"/>
        </c:dLbls>
        <c:gapWidth val="219"/>
        <c:overlap val="-27"/>
        <c:axId val="442057216"/>
        <c:axId val="434124992"/>
      </c:barChart>
      <c:lineChart>
        <c:grouping val="stacked"/>
        <c:varyColors val="0"/>
        <c:ser>
          <c:idx val="1"/>
          <c:order val="1"/>
          <c:tx>
            <c:strRef>
              <c:f>'[Reference-dividends.xlsx]Sheet1'!$J$5</c:f>
              <c:strCache>
                <c:ptCount val="1"/>
                <c:pt idx="0">
                  <c:v>Շահութաբաժինների կշիռը պետական բյուջեի եկամուտներում, (%)</c:v>
                </c:pt>
              </c:strCache>
            </c:strRef>
          </c:tx>
          <c:spPr>
            <a:ln w="28575" cap="rnd">
              <a:solidFill>
                <a:schemeClr val="accent1">
                  <a:tint val="77000"/>
                </a:schemeClr>
              </a:solidFill>
              <a:round/>
            </a:ln>
            <a:effectLst/>
          </c:spPr>
          <c:marker>
            <c:symbol val="circle"/>
            <c:size val="5"/>
            <c:spPr>
              <a:solidFill>
                <a:schemeClr val="accent1">
                  <a:tint val="77000"/>
                </a:schemeClr>
              </a:solidFill>
              <a:ln w="9525">
                <a:solidFill>
                  <a:schemeClr val="accent1">
                    <a:tint val="77000"/>
                  </a:schemeClr>
                </a:solidFill>
              </a:ln>
              <a:effectLst/>
            </c:spPr>
          </c:marker>
          <c:dPt>
            <c:idx val="7"/>
            <c:bubble3D val="0"/>
            <c:spPr>
              <a:ln w="28575" cap="rnd">
                <a:solidFill>
                  <a:srgbClr val="5B9BD5">
                    <a:lumMod val="60000"/>
                    <a:lumOff val="40000"/>
                  </a:srgbClr>
                </a:solidFill>
                <a:round/>
              </a:ln>
              <a:effectLst/>
            </c:spPr>
            <c:extLst>
              <c:ext xmlns:c16="http://schemas.microsoft.com/office/drawing/2014/chart" uri="{C3380CC4-5D6E-409C-BE32-E72D297353CC}">
                <c16:uniqueId val="{00000002-7B6B-45B8-A690-6E113E38275B}"/>
              </c:ext>
            </c:extLst>
          </c:dPt>
          <c:val>
            <c:numRef>
              <c:f>'[Reference-dividends.xlsx]Sheet1'!$J$6:$J$13</c:f>
              <c:numCache>
                <c:formatCode>0.0%</c:formatCode>
                <c:ptCount val="8"/>
                <c:pt idx="0">
                  <c:v>1.0246340114931269E-3</c:v>
                </c:pt>
                <c:pt idx="1">
                  <c:v>9.4480176621700336E-4</c:v>
                </c:pt>
                <c:pt idx="2">
                  <c:v>9.6123020985671847E-4</c:v>
                </c:pt>
                <c:pt idx="3">
                  <c:v>2.2833465392520253E-3</c:v>
                </c:pt>
                <c:pt idx="4">
                  <c:v>4.6864493701986566E-4</c:v>
                </c:pt>
                <c:pt idx="5">
                  <c:v>6.3198744234524862E-4</c:v>
                </c:pt>
                <c:pt idx="6">
                  <c:v>9.6300173267129365E-4</c:v>
                </c:pt>
                <c:pt idx="7">
                  <c:v>1.5038054303333017E-2</c:v>
                </c:pt>
              </c:numCache>
            </c:numRef>
          </c:val>
          <c:smooth val="0"/>
          <c:extLst>
            <c:ext xmlns:c16="http://schemas.microsoft.com/office/drawing/2014/chart" uri="{C3380CC4-5D6E-409C-BE32-E72D297353CC}">
              <c16:uniqueId val="{00000003-7B6B-45B8-A690-6E113E38275B}"/>
            </c:ext>
          </c:extLst>
        </c:ser>
        <c:dLbls>
          <c:showLegendKey val="0"/>
          <c:showVal val="0"/>
          <c:showCatName val="0"/>
          <c:showSerName val="0"/>
          <c:showPercent val="0"/>
          <c:showBubbleSize val="0"/>
        </c:dLbls>
        <c:marker val="1"/>
        <c:smooth val="0"/>
        <c:axId val="442058752"/>
        <c:axId val="434125568"/>
      </c:lineChart>
      <c:catAx>
        <c:axId val="44205721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crossAx val="434124992"/>
        <c:crosses val="autoZero"/>
        <c:auto val="1"/>
        <c:lblAlgn val="ctr"/>
        <c:lblOffset val="100"/>
        <c:noMultiLvlLbl val="0"/>
      </c:catAx>
      <c:valAx>
        <c:axId val="434124992"/>
        <c:scaling>
          <c:orientation val="minMax"/>
        </c:scaling>
        <c:delete val="0"/>
        <c:axPos val="l"/>
        <c:majorGridlines>
          <c:spPr>
            <a:ln w="9525" cap="flat" cmpd="sng" algn="ctr">
              <a:solidFill>
                <a:schemeClr val="tx1">
                  <a:lumMod val="15000"/>
                  <a:lumOff val="85000"/>
                </a:schemeClr>
              </a:solidFill>
              <a:round/>
            </a:ln>
            <a:effectLst/>
          </c:spPr>
        </c:majorGridlines>
        <c:numFmt formatCode="_(* #,##0_);_(* \(#,##0\);_(* &quot;-&quot;_);_(@_)" sourceLinked="0"/>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crossAx val="442057216"/>
        <c:crosses val="autoZero"/>
        <c:crossBetween val="between"/>
      </c:valAx>
      <c:valAx>
        <c:axId val="434125568"/>
        <c:scaling>
          <c:orientation val="minMax"/>
        </c:scaling>
        <c:delete val="0"/>
        <c:axPos val="r"/>
        <c:numFmt formatCode="0.0%" sourceLinked="1"/>
        <c:majorTickMark val="out"/>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crossAx val="442058752"/>
        <c:crosses val="max"/>
        <c:crossBetween val="between"/>
      </c:valAx>
      <c:catAx>
        <c:axId val="442058752"/>
        <c:scaling>
          <c:orientation val="minMax"/>
        </c:scaling>
        <c:delete val="1"/>
        <c:axPos val="b"/>
        <c:majorTickMark val="out"/>
        <c:minorTickMark val="none"/>
        <c:tickLblPos val="nextTo"/>
        <c:crossAx val="434125568"/>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2">
    <c:autoUpdate val="0"/>
  </c:externalData>
</c:chartSpace>
</file>

<file path=word/charts/chart7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7"/>
    </mc:Choice>
    <mc:Fallback>
      <c:style val="7"/>
    </mc:Fallback>
  </mc:AlternateContent>
  <c:clrMapOvr bg1="lt1" tx1="dk1" bg2="lt2" tx2="dk2" accent1="accent1" accent2="accent2" accent3="accent3" accent4="accent4" accent5="accent5" accent6="accent6" hlink="hlink" folHlink="folHlink"/>
  <c:chart>
    <c:autoTitleDeleted val="1"/>
    <c:plotArea>
      <c:layout/>
      <c:doughnutChart>
        <c:varyColors val="1"/>
        <c:ser>
          <c:idx val="0"/>
          <c:order val="0"/>
          <c:spPr>
            <a:solidFill>
              <a:srgbClr val="44546A"/>
            </a:solidFill>
          </c:spPr>
          <c:dPt>
            <c:idx val="0"/>
            <c:bubble3D val="0"/>
            <c:spPr>
              <a:solidFill>
                <a:srgbClr val="5B9BD5">
                  <a:lumMod val="60000"/>
                  <a:lumOff val="40000"/>
                  <a:alpha val="97000"/>
                </a:srgbClr>
              </a:solidFill>
              <a:ln w="19050">
                <a:solidFill>
                  <a:schemeClr val="lt1"/>
                </a:solidFill>
              </a:ln>
              <a:effectLst/>
            </c:spPr>
            <c:extLst>
              <c:ext xmlns:c16="http://schemas.microsoft.com/office/drawing/2014/chart" uri="{C3380CC4-5D6E-409C-BE32-E72D297353CC}">
                <c16:uniqueId val="{00000001-2E4A-4C79-98D4-C3FF8244ACEC}"/>
              </c:ext>
            </c:extLst>
          </c:dPt>
          <c:dPt>
            <c:idx val="1"/>
            <c:bubble3D val="0"/>
            <c:spPr>
              <a:solidFill>
                <a:srgbClr val="44546A"/>
              </a:solidFill>
              <a:ln w="19050">
                <a:solidFill>
                  <a:schemeClr val="lt1"/>
                </a:solidFill>
              </a:ln>
              <a:effectLst/>
            </c:spPr>
            <c:extLst>
              <c:ext xmlns:c16="http://schemas.microsoft.com/office/drawing/2014/chart" uri="{C3380CC4-5D6E-409C-BE32-E72D297353CC}">
                <c16:uniqueId val="{00000003-2E4A-4C79-98D4-C3FF8244ACEC}"/>
              </c:ext>
            </c:extLst>
          </c:dPt>
          <c:dLbls>
            <c:dLbl>
              <c:idx val="0"/>
              <c:layout>
                <c:manualLayout>
                  <c:x val="-5.8493082479246705E-3"/>
                  <c:y val="-2.9799989287053404E-2"/>
                </c:manualLayout>
              </c:layout>
              <c:spPr>
                <a:noFill/>
                <a:ln>
                  <a:noFill/>
                </a:ln>
                <a:effectLst/>
              </c:spPr>
              <c:txPr>
                <a:bodyPr rot="0" spcFirstLastPara="1" vertOverflow="ellipsis" vert="horz" wrap="square" anchor="ctr" anchorCtr="1"/>
                <a:lstStyle/>
                <a:p>
                  <a:pPr>
                    <a:defRPr sz="900" b="1" i="0" u="none" strike="noStrike" kern="1200" baseline="0">
                      <a:solidFill>
                        <a:sysClr val="windowText" lastClr="000000"/>
                      </a:solidFill>
                      <a:latin typeface="GHEA Grapalat" panose="02000506050000020003" pitchFamily="50" charset="0"/>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2E4A-4C79-98D4-C3FF8244ACEC}"/>
                </c:ext>
              </c:extLst>
            </c:dLbl>
            <c:dLbl>
              <c:idx val="1"/>
              <c:layout>
                <c:manualLayout>
                  <c:x val="3.5139984800901464E-3"/>
                  <c:y val="-4.1476244040923455E-3"/>
                </c:manualLayout>
              </c:layout>
              <c:spPr>
                <a:noFill/>
                <a:ln>
                  <a:noFill/>
                </a:ln>
                <a:effectLst/>
              </c:spPr>
              <c:txPr>
                <a:bodyPr rot="0" spcFirstLastPara="1" vertOverflow="ellipsis" vert="horz" wrap="square" anchor="ctr" anchorCtr="1"/>
                <a:lstStyle/>
                <a:p>
                  <a:pPr>
                    <a:defRPr sz="900" b="1" i="0" u="none" strike="noStrike" kern="1200" baseline="0">
                      <a:solidFill>
                        <a:schemeClr val="bg1"/>
                      </a:solidFill>
                      <a:latin typeface="GHEA Grapalat" panose="02000506050000020003" pitchFamily="50" charset="0"/>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2E4A-4C79-98D4-C3FF8244ACEC}"/>
                </c:ext>
              </c:extLst>
            </c:dLbl>
            <c:spPr>
              <a:noFill/>
              <a:ln>
                <a:noFill/>
              </a:ln>
              <a:effectLst/>
            </c:spPr>
            <c:txPr>
              <a:bodyPr rot="0" spcFirstLastPara="1" vertOverflow="ellipsis" vert="horz" wrap="square" anchor="ctr" anchorCtr="1"/>
              <a:lstStyle/>
              <a:p>
                <a:pPr>
                  <a:defRPr sz="900" b="1" i="0" u="none" strike="noStrike" kern="1200" baseline="0">
                    <a:solidFill>
                      <a:schemeClr val="tx1">
                        <a:lumMod val="75000"/>
                        <a:lumOff val="25000"/>
                      </a:schemeClr>
                    </a:solidFill>
                    <a:latin typeface="GHEA Grapalat" panose="02000506050000020003" pitchFamily="50" charset="0"/>
                    <a:ea typeface="+mn-ea"/>
                    <a:cs typeface="+mn-cs"/>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Sheet1!$B$21:$B$22</c:f>
              <c:strCache>
                <c:ptCount val="2"/>
                <c:pt idx="0">
                  <c:v>Բյուջետային վարկ</c:v>
                </c:pt>
                <c:pt idx="1">
                  <c:v>Ենթավարկ</c:v>
                </c:pt>
              </c:strCache>
            </c:strRef>
          </c:cat>
          <c:val>
            <c:numRef>
              <c:f>Sheet1!$C$21:$C$22</c:f>
              <c:numCache>
                <c:formatCode>0.0%</c:formatCode>
                <c:ptCount val="2"/>
                <c:pt idx="0">
                  <c:v>0.40600000000000003</c:v>
                </c:pt>
                <c:pt idx="1">
                  <c:v>0.59399999999999997</c:v>
                </c:pt>
              </c:numCache>
            </c:numRef>
          </c:val>
          <c:extLst>
            <c:ext xmlns:c16="http://schemas.microsoft.com/office/drawing/2014/chart" uri="{C3380CC4-5D6E-409C-BE32-E72D297353CC}">
              <c16:uniqueId val="{00000004-2E4A-4C79-98D4-C3FF8244ACEC}"/>
            </c:ext>
          </c:extLst>
        </c:ser>
        <c:dLbls>
          <c:showLegendKey val="0"/>
          <c:showVal val="0"/>
          <c:showCatName val="0"/>
          <c:showSerName val="0"/>
          <c:showPercent val="0"/>
          <c:showBubbleSize val="0"/>
          <c:showLeaderLines val="1"/>
        </c:dLbls>
        <c:firstSliceAng val="0"/>
        <c:holeSize val="64"/>
      </c:doughnut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GHEA Grapalat" panose="02000506050000020003" pitchFamily="50" charset="0"/>
        </a:defRPr>
      </a:pPr>
      <a:endParaRPr lang="en-US"/>
    </a:p>
  </c:txPr>
  <c:externalData r:id="rId4">
    <c:autoUpdate val="0"/>
  </c:externalData>
</c:chartSpace>
</file>

<file path=word/charts/chart7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3"/>
    </mc:Choice>
    <mc:Fallback>
      <c:style val="3"/>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'[Զեկույցի ամփոփ գրաֆիկներ -2024 (7).xlsx]Sheet1'!$C$36</c:f>
              <c:strCache>
                <c:ptCount val="1"/>
                <c:pt idx="0">
                  <c:v>Վարկային պորտֆել</c:v>
                </c:pt>
              </c:strCache>
            </c:strRef>
          </c:tx>
          <c:spPr>
            <a:solidFill>
              <a:srgbClr val="44546A"/>
            </a:solidFill>
            <a:ln>
              <a:noFill/>
            </a:ln>
            <a:effectLst/>
          </c:spPr>
          <c:invertIfNegative val="0"/>
          <c:cat>
            <c:numRef>
              <c:f>'[Զեկույցի ամփոփ գրաֆիկներ -2024 (7).xlsx]Sheet1'!$B$37:$B$42</c:f>
              <c:numCache>
                <c:formatCode>General</c:formatCode>
                <c:ptCount val="6"/>
                <c:pt idx="0">
                  <c:v>2019</c:v>
                </c:pt>
                <c:pt idx="1">
                  <c:v>2020</c:v>
                </c:pt>
                <c:pt idx="2">
                  <c:v>2021</c:v>
                </c:pt>
                <c:pt idx="3">
                  <c:v>2022</c:v>
                </c:pt>
                <c:pt idx="4">
                  <c:v>2023</c:v>
                </c:pt>
                <c:pt idx="5">
                  <c:v>2024</c:v>
                </c:pt>
              </c:numCache>
            </c:numRef>
          </c:cat>
          <c:val>
            <c:numRef>
              <c:f>'[Զեկույցի ամփոփ գրաֆիկներ -2024 (7).xlsx]Sheet1'!$C$37:$C$42</c:f>
              <c:numCache>
                <c:formatCode>General</c:formatCode>
                <c:ptCount val="6"/>
                <c:pt idx="0">
                  <c:v>416.3</c:v>
                </c:pt>
                <c:pt idx="1">
                  <c:v>508.8</c:v>
                </c:pt>
                <c:pt idx="2">
                  <c:v>411.3</c:v>
                </c:pt>
                <c:pt idx="3">
                  <c:v>321</c:v>
                </c:pt>
                <c:pt idx="4">
                  <c:v>303.10000000000002</c:v>
                </c:pt>
                <c:pt idx="5">
                  <c:v>280.23</c:v>
                </c:pt>
              </c:numCache>
            </c:numRef>
          </c:val>
          <c:extLst>
            <c:ext xmlns:c16="http://schemas.microsoft.com/office/drawing/2014/chart" uri="{C3380CC4-5D6E-409C-BE32-E72D297353CC}">
              <c16:uniqueId val="{00000000-3AA2-48D6-B78C-B139E042A231}"/>
            </c:ext>
          </c:extLst>
        </c:ser>
        <c:dLbls>
          <c:showLegendKey val="0"/>
          <c:showVal val="0"/>
          <c:showCatName val="0"/>
          <c:showSerName val="0"/>
          <c:showPercent val="0"/>
          <c:showBubbleSize val="0"/>
        </c:dLbls>
        <c:gapWidth val="150"/>
        <c:axId val="442059264"/>
        <c:axId val="434154304"/>
      </c:barChart>
      <c:lineChart>
        <c:grouping val="standard"/>
        <c:varyColors val="0"/>
        <c:ser>
          <c:idx val="1"/>
          <c:order val="1"/>
          <c:tx>
            <c:strRef>
              <c:f>'[Զեկույցի ամփոփ գրաֆիկներ -2024 (7).xlsx]Sheet1'!$D$36</c:f>
              <c:strCache>
                <c:ptCount val="1"/>
                <c:pt idx="0">
                  <c:v>Վարկային պորտֆել/ՀՆԱ</c:v>
                </c:pt>
              </c:strCache>
            </c:strRef>
          </c:tx>
          <c:spPr>
            <a:ln w="28575" cap="rnd">
              <a:solidFill>
                <a:schemeClr val="accent1">
                  <a:tint val="77000"/>
                </a:schemeClr>
              </a:solidFill>
              <a:round/>
            </a:ln>
            <a:effectLst/>
          </c:spPr>
          <c:marker>
            <c:symbol val="none"/>
          </c:marker>
          <c:dPt>
            <c:idx val="3"/>
            <c:bubble3D val="0"/>
            <c:spPr>
              <a:ln w="28575" cap="rnd">
                <a:solidFill>
                  <a:srgbClr val="5B9BD5">
                    <a:lumMod val="60000"/>
                    <a:lumOff val="40000"/>
                  </a:srgbClr>
                </a:solidFill>
                <a:round/>
              </a:ln>
              <a:effectLst/>
            </c:spPr>
            <c:extLst>
              <c:ext xmlns:c16="http://schemas.microsoft.com/office/drawing/2014/chart" uri="{C3380CC4-5D6E-409C-BE32-E72D297353CC}">
                <c16:uniqueId val="{00000002-3AA2-48D6-B78C-B139E042A231}"/>
              </c:ext>
            </c:extLst>
          </c:dPt>
          <c:dLbls>
            <c:dLbl>
              <c:idx val="0"/>
              <c:layout>
                <c:manualLayout>
                  <c:x val="2.7874564459930272E-2"/>
                  <c:y val="9.2592592592592587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3AA2-48D6-B78C-B139E042A231}"/>
                </c:ext>
              </c:extLst>
            </c:dLbl>
            <c:dLbl>
              <c:idx val="1"/>
              <c:layout>
                <c:manualLayout>
                  <c:x val="-4.2585648194073844E-17"/>
                  <c:y val="-2.77777777777777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3AA2-48D6-B78C-B139E042A231}"/>
                </c:ext>
              </c:extLst>
            </c:dLbl>
            <c:dLbl>
              <c:idx val="2"/>
              <c:layout>
                <c:manualLayout>
                  <c:x val="0"/>
                  <c:y val="-6.944444444444444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3AA2-48D6-B78C-B139E042A231}"/>
                </c:ext>
              </c:extLst>
            </c:dLbl>
            <c:dLbl>
              <c:idx val="3"/>
              <c:layout>
                <c:manualLayout>
                  <c:x val="2.5551684088269369E-2"/>
                  <c:y val="-4.166666666666666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3AA2-48D6-B78C-B139E042A231}"/>
                </c:ext>
              </c:extLst>
            </c:dLbl>
            <c:dLbl>
              <c:idx val="4"/>
              <c:layout>
                <c:manualLayout>
                  <c:x val="2.3228803716608425E-2"/>
                  <c:y val="-1.851851851851860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3AA2-48D6-B78C-B139E042A231}"/>
                </c:ext>
              </c:extLst>
            </c:dLbl>
            <c:dLbl>
              <c:idx val="5"/>
              <c:layout>
                <c:manualLayout>
                  <c:x val="8.4790673025967149E-3"/>
                  <c:y val="9.2592592592592587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3AA2-48D6-B78C-B139E042A231}"/>
                </c:ext>
              </c:extLst>
            </c:dLbl>
            <c:spPr>
              <a:noFill/>
              <a:ln>
                <a:noFill/>
              </a:ln>
              <a:effectLst/>
            </c:spPr>
            <c:txPr>
              <a:bodyPr rot="0" vert="horz"/>
              <a:lstStyle/>
              <a:p>
                <a:pPr>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'[Զեկույցի ամփոփ գրաֆիկներ -2024 (7).xlsx]Sheet1'!$B$37:$B$42</c:f>
              <c:numCache>
                <c:formatCode>General</c:formatCode>
                <c:ptCount val="6"/>
                <c:pt idx="0">
                  <c:v>2019</c:v>
                </c:pt>
                <c:pt idx="1">
                  <c:v>2020</c:v>
                </c:pt>
                <c:pt idx="2">
                  <c:v>2021</c:v>
                </c:pt>
                <c:pt idx="3">
                  <c:v>2022</c:v>
                </c:pt>
                <c:pt idx="4">
                  <c:v>2023</c:v>
                </c:pt>
                <c:pt idx="5">
                  <c:v>2024</c:v>
                </c:pt>
              </c:numCache>
            </c:numRef>
          </c:cat>
          <c:val>
            <c:numRef>
              <c:f>'[Զեկույցի ամփոփ գրաֆիկներ -2024 (7).xlsx]Sheet1'!$D$37:$D$42</c:f>
              <c:numCache>
                <c:formatCode>0.00%</c:formatCode>
                <c:ptCount val="6"/>
                <c:pt idx="0">
                  <c:v>6.3600000000000004E-2</c:v>
                </c:pt>
                <c:pt idx="1">
                  <c:v>8.2299999999999998E-2</c:v>
                </c:pt>
                <c:pt idx="2">
                  <c:v>5.8799999999999998E-2</c:v>
                </c:pt>
                <c:pt idx="3">
                  <c:v>3.78E-2</c:v>
                </c:pt>
                <c:pt idx="4">
                  <c:v>3.2300000000000002E-2</c:v>
                </c:pt>
                <c:pt idx="5">
                  <c:v>2.7491263972248766E-2</c:v>
                </c:pt>
              </c:numCache>
            </c:numRef>
          </c:val>
          <c:smooth val="0"/>
          <c:extLst>
            <c:ext xmlns:c16="http://schemas.microsoft.com/office/drawing/2014/chart" uri="{C3380CC4-5D6E-409C-BE32-E72D297353CC}">
              <c16:uniqueId val="{00000008-3AA2-48D6-B78C-B139E042A231}"/>
            </c:ext>
          </c:extLst>
        </c:ser>
        <c:dLbls>
          <c:showLegendKey val="0"/>
          <c:showVal val="0"/>
          <c:showCatName val="0"/>
          <c:showSerName val="0"/>
          <c:showPercent val="0"/>
          <c:showBubbleSize val="0"/>
        </c:dLbls>
        <c:marker val="1"/>
        <c:smooth val="0"/>
        <c:axId val="442957824"/>
        <c:axId val="434154880"/>
      </c:lineChart>
      <c:catAx>
        <c:axId val="442059264"/>
        <c:scaling>
          <c:orientation val="minMax"/>
        </c:scaling>
        <c:delete val="0"/>
        <c:axPos val="b"/>
        <c:numFmt formatCode="General" sourceLinked="1"/>
        <c:majorTickMark val="none"/>
        <c:minorTickMark val="none"/>
        <c:tickLblPos val="nextTo"/>
        <c:spPr>
          <a:noFill/>
          <a:ln>
            <a:noFill/>
          </a:ln>
          <a:effectLst/>
        </c:spPr>
        <c:txPr>
          <a:bodyPr rot="-60000000" vert="horz"/>
          <a:lstStyle/>
          <a:p>
            <a:pPr>
              <a:defRPr/>
            </a:pPr>
            <a:endParaRPr lang="en-US"/>
          </a:p>
        </c:txPr>
        <c:crossAx val="434154304"/>
        <c:crosses val="autoZero"/>
        <c:auto val="1"/>
        <c:lblAlgn val="ctr"/>
        <c:lblOffset val="100"/>
        <c:noMultiLvlLbl val="0"/>
      </c:catAx>
      <c:valAx>
        <c:axId val="434154304"/>
        <c:scaling>
          <c:orientation val="minMax"/>
        </c:scaling>
        <c:delete val="0"/>
        <c:axPos val="l"/>
        <c:numFmt formatCode="General" sourceLinked="1"/>
        <c:majorTickMark val="none"/>
        <c:minorTickMark val="none"/>
        <c:tickLblPos val="nextTo"/>
        <c:spPr>
          <a:noFill/>
          <a:ln>
            <a:noFill/>
          </a:ln>
          <a:effectLst/>
        </c:spPr>
        <c:txPr>
          <a:bodyPr rot="-60000000" vert="horz"/>
          <a:lstStyle/>
          <a:p>
            <a:pPr>
              <a:defRPr sz="900"/>
            </a:pPr>
            <a:endParaRPr lang="en-US"/>
          </a:p>
        </c:txPr>
        <c:crossAx val="442059264"/>
        <c:crosses val="autoZero"/>
        <c:crossBetween val="between"/>
      </c:valAx>
      <c:valAx>
        <c:axId val="434154880"/>
        <c:scaling>
          <c:orientation val="minMax"/>
        </c:scaling>
        <c:delete val="0"/>
        <c:axPos val="r"/>
        <c:numFmt formatCode="0.00%" sourceLinked="1"/>
        <c:majorTickMark val="out"/>
        <c:minorTickMark val="none"/>
        <c:tickLblPos val="nextTo"/>
        <c:spPr>
          <a:noFill/>
          <a:ln>
            <a:noFill/>
          </a:ln>
          <a:effectLst/>
        </c:spPr>
        <c:txPr>
          <a:bodyPr rot="-60000000" vert="horz"/>
          <a:lstStyle/>
          <a:p>
            <a:pPr>
              <a:defRPr sz="900"/>
            </a:pPr>
            <a:endParaRPr lang="en-US"/>
          </a:p>
        </c:txPr>
        <c:crossAx val="442957824"/>
        <c:crosses val="max"/>
        <c:crossBetween val="between"/>
      </c:valAx>
      <c:catAx>
        <c:axId val="442957824"/>
        <c:scaling>
          <c:orientation val="minMax"/>
        </c:scaling>
        <c:delete val="1"/>
        <c:axPos val="b"/>
        <c:numFmt formatCode="General" sourceLinked="1"/>
        <c:majorTickMark val="out"/>
        <c:minorTickMark val="none"/>
        <c:tickLblPos val="nextTo"/>
        <c:crossAx val="434154880"/>
        <c:crosses val="autoZero"/>
        <c:auto val="1"/>
        <c:lblAlgn val="ctr"/>
        <c:lblOffset val="100"/>
        <c:noMultiLvlLbl val="0"/>
      </c:catAx>
      <c:spPr>
        <a:noFill/>
        <a:ln>
          <a:noFill/>
        </a:ln>
        <a:effectLst/>
      </c:spPr>
    </c:plotArea>
    <c:legend>
      <c:legendPos val="b"/>
      <c:overlay val="0"/>
      <c:spPr>
        <a:noFill/>
        <a:ln>
          <a:noFill/>
        </a:ln>
        <a:effectLst/>
      </c:spPr>
      <c:txPr>
        <a:bodyPr rot="0" vert="horz"/>
        <a:lstStyle/>
        <a:p>
          <a:pPr>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GHEA Grapalat" panose="02000506050000020003" pitchFamily="50" charset="0"/>
        </a:defRPr>
      </a:pPr>
      <a:endParaRPr lang="en-US"/>
    </a:p>
  </c:txPr>
  <c:externalData r:id="rId2">
    <c:autoUpdate val="0"/>
  </c:externalData>
</c:chartSpace>
</file>

<file path=word/charts/chart7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7"/>
    </mc:Choice>
    <mc:Fallback>
      <c:style val="7"/>
    </mc:Fallback>
  </mc:AlternateContent>
  <c:chart>
    <c:autoTitleDeleted val="1"/>
    <c:plotArea>
      <c:layout/>
      <c:doughnutChart>
        <c:varyColors val="1"/>
        <c:ser>
          <c:idx val="0"/>
          <c:order val="0"/>
          <c:dPt>
            <c:idx val="0"/>
            <c:bubble3D val="0"/>
            <c:spPr>
              <a:solidFill>
                <a:schemeClr val="accent1">
                  <a:lumMod val="75000"/>
                </a:schemeClr>
              </a:solidFill>
              <a:ln w="19050">
                <a:solidFill>
                  <a:schemeClr val="lt1"/>
                </a:solidFill>
              </a:ln>
              <a:effectLst/>
            </c:spPr>
            <c:extLst>
              <c:ext xmlns:c16="http://schemas.microsoft.com/office/drawing/2014/chart" uri="{C3380CC4-5D6E-409C-BE32-E72D297353CC}">
                <c16:uniqueId val="{00000001-A7EB-492D-9C38-2B50534C1813}"/>
              </c:ext>
            </c:extLst>
          </c:dPt>
          <c:dPt>
            <c:idx val="1"/>
            <c:bubble3D val="0"/>
            <c:spPr>
              <a:solidFill>
                <a:srgbClr val="9AC6EA"/>
              </a:solidFill>
              <a:ln w="19050">
                <a:solidFill>
                  <a:schemeClr val="lt1"/>
                </a:solidFill>
              </a:ln>
              <a:effectLst/>
            </c:spPr>
            <c:extLst>
              <c:ext xmlns:c16="http://schemas.microsoft.com/office/drawing/2014/chart" uri="{C3380CC4-5D6E-409C-BE32-E72D297353CC}">
                <c16:uniqueId val="{00000003-A7EB-492D-9C38-2B50534C1813}"/>
              </c:ext>
            </c:extLst>
          </c:dPt>
          <c:dPt>
            <c:idx val="2"/>
            <c:bubble3D val="0"/>
            <c:spPr>
              <a:solidFill>
                <a:schemeClr val="bg1">
                  <a:lumMod val="50000"/>
                </a:schemeClr>
              </a:solidFill>
              <a:ln w="19050">
                <a:solidFill>
                  <a:schemeClr val="lt1"/>
                </a:solidFill>
              </a:ln>
              <a:effectLst/>
            </c:spPr>
            <c:extLst>
              <c:ext xmlns:c16="http://schemas.microsoft.com/office/drawing/2014/chart" uri="{C3380CC4-5D6E-409C-BE32-E72D297353CC}">
                <c16:uniqueId val="{00000005-A7EB-492D-9C38-2B50534C1813}"/>
              </c:ext>
            </c:extLst>
          </c:dPt>
          <c:dPt>
            <c:idx val="3"/>
            <c:bubble3D val="0"/>
            <c:spPr>
              <a:solidFill>
                <a:schemeClr val="tx2">
                  <a:lumMod val="75000"/>
                </a:schemeClr>
              </a:solidFill>
              <a:ln w="19050">
                <a:solidFill>
                  <a:schemeClr val="lt1"/>
                </a:solidFill>
              </a:ln>
              <a:effectLst/>
            </c:spPr>
            <c:extLst>
              <c:ext xmlns:c16="http://schemas.microsoft.com/office/drawing/2014/chart" uri="{C3380CC4-5D6E-409C-BE32-E72D297353CC}">
                <c16:uniqueId val="{00000007-A7EB-492D-9C38-2B50534C1813}"/>
              </c:ext>
            </c:extLst>
          </c:dPt>
          <c:dPt>
            <c:idx val="4"/>
            <c:bubble3D val="0"/>
            <c:spPr>
              <a:solidFill>
                <a:schemeClr val="tx1"/>
              </a:solidFill>
              <a:ln w="19050">
                <a:solidFill>
                  <a:schemeClr val="lt1"/>
                </a:solidFill>
              </a:ln>
              <a:effectLst/>
            </c:spPr>
            <c:extLst>
              <c:ext xmlns:c16="http://schemas.microsoft.com/office/drawing/2014/chart" uri="{C3380CC4-5D6E-409C-BE32-E72D297353CC}">
                <c16:uniqueId val="{00000009-A7EB-492D-9C38-2B50534C1813}"/>
              </c:ext>
            </c:extLst>
          </c:dPt>
          <c:dLbls>
            <c:dLbl>
              <c:idx val="0"/>
              <c:layout>
                <c:manualLayout>
                  <c:x val="4.8246074503844917E-3"/>
                  <c:y val="-4.6296296296296294E-3"/>
                </c:manualLayout>
              </c:layout>
              <c:tx>
                <c:rich>
                  <a:bodyPr rot="0" spcFirstLastPara="1" vertOverflow="ellipsis" vert="horz" wrap="square" anchor="ctr" anchorCtr="1"/>
                  <a:lstStyle/>
                  <a:p>
                    <a:pPr>
                      <a:defRPr sz="900" b="1" i="0" u="none" strike="noStrike" kern="1200" baseline="0">
                        <a:ln>
                          <a:noFill/>
                        </a:ln>
                        <a:solidFill>
                          <a:schemeClr val="bg1"/>
                        </a:solidFill>
                        <a:latin typeface="GHEA Grapalat" panose="02000506050000020003" pitchFamily="50" charset="0"/>
                        <a:ea typeface="+mn-ea"/>
                        <a:cs typeface="+mn-cs"/>
                      </a:defRPr>
                    </a:pPr>
                    <a:r>
                      <a:rPr lang="en-US" sz="900">
                        <a:ln>
                          <a:noFill/>
                        </a:ln>
                      </a:rPr>
                      <a:t>13.84</a:t>
                    </a:r>
                  </a:p>
                </c:rich>
              </c:tx>
              <c:spPr>
                <a:noFill/>
                <a:ln>
                  <a:noFill/>
                </a:ln>
                <a:effectLst/>
              </c:spPr>
              <c:txPr>
                <a:bodyPr rot="0" spcFirstLastPara="1" vertOverflow="ellipsis" vert="horz" wrap="square" anchor="ctr" anchorCtr="1"/>
                <a:lstStyle/>
                <a:p>
                  <a:pPr>
                    <a:defRPr sz="900" b="1" i="0" u="none" strike="noStrike" kern="1200" baseline="0">
                      <a:ln>
                        <a:noFill/>
                      </a:ln>
                      <a:solidFill>
                        <a:schemeClr val="bg1"/>
                      </a:solidFill>
                      <a:latin typeface="GHEA Grapalat" panose="02000506050000020003" pitchFamily="50" charset="0"/>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A7EB-492D-9C38-2B50534C1813}"/>
                </c:ext>
              </c:extLst>
            </c:dLbl>
            <c:dLbl>
              <c:idx val="1"/>
              <c:layout>
                <c:manualLayout>
                  <c:x val="7.6051019938297188E-4"/>
                  <c:y val="-1.3888888888888973E-2"/>
                </c:manualLayout>
              </c:layout>
              <c:tx>
                <c:rich>
                  <a:bodyPr/>
                  <a:lstStyle/>
                  <a:p>
                    <a:r>
                      <a:rPr lang="en-US"/>
                      <a:t>38.29</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A7EB-492D-9C38-2B50534C1813}"/>
                </c:ext>
              </c:extLst>
            </c:dLbl>
            <c:dLbl>
              <c:idx val="2"/>
              <c:layout>
                <c:manualLayout>
                  <c:x val="-1.3084772298199611E-2"/>
                  <c:y val="-3.7037037037037125E-2"/>
                </c:manualLayout>
              </c:layout>
              <c:tx>
                <c:rich>
                  <a:bodyPr/>
                  <a:lstStyle/>
                  <a:p>
                    <a:r>
                      <a:rPr lang="en-US"/>
                      <a:t>28.42</a:t>
                    </a:r>
                  </a:p>
                </c:rich>
              </c:tx>
              <c:showLegendKey val="0"/>
              <c:showVal val="1"/>
              <c:showCatName val="0"/>
              <c:showSerName val="0"/>
              <c:showPercent val="0"/>
              <c:showBubbleSize val="0"/>
              <c:extLst>
                <c:ext xmlns:c15="http://schemas.microsoft.com/office/drawing/2012/chart" uri="{CE6537A1-D6FC-4f65-9D91-7224C49458BB}">
                  <c15:layout>
                    <c:manualLayout>
                      <c:w val="8.6241469816272967E-2"/>
                      <c:h val="0.12136045494313211"/>
                    </c:manualLayout>
                  </c15:layout>
                </c:ext>
                <c:ext xmlns:c16="http://schemas.microsoft.com/office/drawing/2014/chart" uri="{C3380CC4-5D6E-409C-BE32-E72D297353CC}">
                  <c16:uniqueId val="{00000005-A7EB-492D-9C38-2B50534C1813}"/>
                </c:ext>
              </c:extLst>
            </c:dLbl>
            <c:dLbl>
              <c:idx val="3"/>
              <c:layout>
                <c:manualLayout>
                  <c:x val="1.462448772850762E-4"/>
                  <c:y val="-4.6296296296296294E-3"/>
                </c:manualLayout>
              </c:layout>
              <c:tx>
                <c:rich>
                  <a:bodyPr/>
                  <a:lstStyle/>
                  <a:p>
                    <a:r>
                      <a:rPr lang="en-US"/>
                      <a:t>17.01</a:t>
                    </a:r>
                  </a:p>
                </c:rich>
              </c:tx>
              <c:showLegendKey val="0"/>
              <c:showVal val="1"/>
              <c:showCatName val="0"/>
              <c:showSerName val="0"/>
              <c:showPercent val="0"/>
              <c:showBubbleSize val="0"/>
              <c:extLst>
                <c:ext xmlns:c15="http://schemas.microsoft.com/office/drawing/2012/chart" uri="{CE6537A1-D6FC-4f65-9D91-7224C49458BB}">
                  <c15:layout>
                    <c:manualLayout>
                      <c:w val="0.124117695814339"/>
                      <c:h val="0.12178769320501603"/>
                    </c:manualLayout>
                  </c15:layout>
                </c:ext>
                <c:ext xmlns:c16="http://schemas.microsoft.com/office/drawing/2014/chart" uri="{C3380CC4-5D6E-409C-BE32-E72D297353CC}">
                  <c16:uniqueId val="{00000007-A7EB-492D-9C38-2B50534C1813}"/>
                </c:ext>
              </c:extLst>
            </c:dLbl>
            <c:dLbl>
              <c:idx val="4"/>
              <c:layout>
                <c:manualLayout>
                  <c:x val="-1.315835520559973E-3"/>
                  <c:y val="-2.3148148148148168E-2"/>
                </c:manualLayout>
              </c:layout>
              <c:tx>
                <c:rich>
                  <a:bodyPr/>
                  <a:lstStyle/>
                  <a:p>
                    <a:r>
                      <a:rPr lang="en-US"/>
                      <a:t>2.44</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A7EB-492D-9C38-2B50534C1813}"/>
                </c:ext>
              </c:extLst>
            </c:dLbl>
            <c:spPr>
              <a:noFill/>
              <a:ln>
                <a:noFill/>
              </a:ln>
              <a:effectLst/>
            </c:spPr>
            <c:txPr>
              <a:bodyPr rot="0" spcFirstLastPara="1" vertOverflow="ellipsis" vert="horz" wrap="square" anchor="ctr" anchorCtr="1"/>
              <a:lstStyle/>
              <a:p>
                <a:pPr>
                  <a:defRPr sz="900" b="1" i="0" u="none" strike="noStrike" kern="1200" baseline="0">
                    <a:solidFill>
                      <a:schemeClr val="bg1"/>
                    </a:solidFill>
                    <a:latin typeface="GHEA Grapalat" panose="02000506050000020003" pitchFamily="50" charset="0"/>
                    <a:ea typeface="+mn-ea"/>
                    <a:cs typeface="+mn-cs"/>
                  </a:defRPr>
                </a:pPr>
                <a:endParaRPr lang="en-US"/>
              </a:p>
            </c:txPr>
            <c:showLegendKey val="0"/>
            <c:showVal val="1"/>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'Վարկեր և երաշխիքներ'!$B$55:$B$59</c:f>
              <c:strCache>
                <c:ptCount val="5"/>
                <c:pt idx="0">
                  <c:v>Եվրո</c:v>
                </c:pt>
                <c:pt idx="1">
                  <c:v>ՀՀ դրամ</c:v>
                </c:pt>
                <c:pt idx="2">
                  <c:v>ԱՄՆ դոլար</c:v>
                </c:pt>
                <c:pt idx="3">
                  <c:v>Ճապոնական իեն</c:v>
                </c:pt>
                <c:pt idx="4">
                  <c:v>ՀՓԻ</c:v>
                </c:pt>
              </c:strCache>
            </c:strRef>
          </c:cat>
          <c:val>
            <c:numRef>
              <c:f>'Վարկեր և երաշխիքներ'!$C$55:$C$59</c:f>
              <c:numCache>
                <c:formatCode>0.00%</c:formatCode>
                <c:ptCount val="5"/>
                <c:pt idx="0">
                  <c:v>0.13837591369060717</c:v>
                </c:pt>
                <c:pt idx="1">
                  <c:v>0.38291009160795808</c:v>
                </c:pt>
                <c:pt idx="2">
                  <c:v>0.28420102405092584</c:v>
                </c:pt>
                <c:pt idx="3">
                  <c:v>0.17011404814034728</c:v>
                </c:pt>
                <c:pt idx="4">
                  <c:v>2.439892251016159E-2</c:v>
                </c:pt>
              </c:numCache>
            </c:numRef>
          </c:val>
          <c:extLst>
            <c:ext xmlns:c16="http://schemas.microsoft.com/office/drawing/2014/chart" uri="{C3380CC4-5D6E-409C-BE32-E72D297353CC}">
              <c16:uniqueId val="{0000000A-A7EB-492D-9C38-2B50534C1813}"/>
            </c:ext>
          </c:extLst>
        </c:ser>
        <c:dLbls>
          <c:showLegendKey val="0"/>
          <c:showVal val="0"/>
          <c:showCatName val="0"/>
          <c:showSerName val="0"/>
          <c:showPercent val="0"/>
          <c:showBubbleSize val="0"/>
          <c:showLeaderLines val="1"/>
        </c:dLbls>
        <c:firstSliceAng val="0"/>
        <c:holeSize val="64"/>
      </c:doughnut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GHEA Grapalat" panose="02000506050000020003" pitchFamily="50" charset="0"/>
        </a:defRPr>
      </a:pPr>
      <a:endParaRPr lang="en-US"/>
    </a:p>
  </c:txPr>
  <c:externalData r:id="rId3">
    <c:autoUpdate val="0"/>
  </c:externalData>
</c:chartSpace>
</file>

<file path=word/charts/chart7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7"/>
    </mc:Choice>
    <mc:Fallback>
      <c:style val="7"/>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9.3136482939632545E-2"/>
          <c:y val="4.9217002237136466E-2"/>
          <c:w val="0.83519925634295711"/>
          <c:h val="0.57803766139970758"/>
        </c:manualLayout>
      </c:layout>
      <c:barChart>
        <c:barDir val="col"/>
        <c:grouping val="clustered"/>
        <c:varyColors val="0"/>
        <c:ser>
          <c:idx val="0"/>
          <c:order val="0"/>
          <c:tx>
            <c:strRef>
              <c:f>'Վարկեր և երաշխիքներ'!$C$81</c:f>
              <c:strCache>
                <c:ptCount val="1"/>
                <c:pt idx="0">
                  <c:v>Փոփոխվող տոկոսադրույքով վարկեր</c:v>
                </c:pt>
              </c:strCache>
            </c:strRef>
          </c:tx>
          <c:spPr>
            <a:solidFill>
              <a:srgbClr val="4B5C81"/>
            </a:solidFill>
            <a:ln>
              <a:noFill/>
            </a:ln>
            <a:effectLst/>
          </c:spPr>
          <c:invertIfNegative val="0"/>
          <c:cat>
            <c:strRef>
              <c:f>'Վարկեր և երաշխիքներ'!$B$82:$B$88</c:f>
              <c:strCache>
                <c:ptCount val="7"/>
                <c:pt idx="0">
                  <c:v>2019</c:v>
                </c:pt>
                <c:pt idx="1">
                  <c:v>2020</c:v>
                </c:pt>
                <c:pt idx="2">
                  <c:v>2021</c:v>
                </c:pt>
                <c:pt idx="3">
                  <c:v>2022</c:v>
                </c:pt>
                <c:pt idx="4">
                  <c:v>2023</c:v>
                </c:pt>
                <c:pt idx="5">
                  <c:v>2024</c:v>
                </c:pt>
                <c:pt idx="6">
                  <c:v>2025 (Օգոստոս)</c:v>
                </c:pt>
              </c:strCache>
            </c:strRef>
          </c:cat>
          <c:val>
            <c:numRef>
              <c:f>'Վարկեր և երաշխիքներ'!$C$82:$C$88</c:f>
              <c:numCache>
                <c:formatCode>General</c:formatCode>
                <c:ptCount val="7"/>
                <c:pt idx="0">
                  <c:v>85.9</c:v>
                </c:pt>
                <c:pt idx="1">
                  <c:v>92.5</c:v>
                </c:pt>
                <c:pt idx="2">
                  <c:v>86.1</c:v>
                </c:pt>
                <c:pt idx="3">
                  <c:v>62.9</c:v>
                </c:pt>
                <c:pt idx="4" formatCode="0.0">
                  <c:v>79</c:v>
                </c:pt>
                <c:pt idx="5">
                  <c:v>74.3</c:v>
                </c:pt>
                <c:pt idx="6" formatCode="0.0">
                  <c:v>70</c:v>
                </c:pt>
              </c:numCache>
            </c:numRef>
          </c:val>
          <c:extLst>
            <c:ext xmlns:c16="http://schemas.microsoft.com/office/drawing/2014/chart" uri="{C3380CC4-5D6E-409C-BE32-E72D297353CC}">
              <c16:uniqueId val="{00000000-8F05-4997-B4B1-88798742AE4B}"/>
            </c:ext>
          </c:extLst>
        </c:ser>
        <c:dLbls>
          <c:showLegendKey val="0"/>
          <c:showVal val="0"/>
          <c:showCatName val="0"/>
          <c:showSerName val="0"/>
          <c:showPercent val="0"/>
          <c:showBubbleSize val="0"/>
        </c:dLbls>
        <c:gapWidth val="113"/>
        <c:axId val="327796319"/>
        <c:axId val="327795903"/>
      </c:barChart>
      <c:lineChart>
        <c:grouping val="standard"/>
        <c:varyColors val="0"/>
        <c:ser>
          <c:idx val="1"/>
          <c:order val="1"/>
          <c:tx>
            <c:strRef>
              <c:f>'Վարկեր և երաշխիքներ'!$D$81</c:f>
              <c:strCache>
                <c:ptCount val="1"/>
                <c:pt idx="0">
                  <c:v>Փոփոխվող տոկոսադրույքով վարկերի տեսակարար կշիռը վարկային պորտֆելում</c:v>
                </c:pt>
              </c:strCache>
            </c:strRef>
          </c:tx>
          <c:spPr>
            <a:ln w="28575" cap="rnd">
              <a:solidFill>
                <a:schemeClr val="accent1">
                  <a:lumMod val="60000"/>
                  <a:lumOff val="40000"/>
                </a:schemeClr>
              </a:solidFill>
              <a:round/>
            </a:ln>
            <a:effectLst/>
          </c:spPr>
          <c:marker>
            <c:symbol val="none"/>
          </c:marker>
          <c:dPt>
            <c:idx val="2"/>
            <c:marker>
              <c:symbol val="none"/>
            </c:marker>
            <c:bubble3D val="0"/>
            <c:spPr>
              <a:ln w="28575" cap="rnd">
                <a:solidFill>
                  <a:schemeClr val="accent1">
                    <a:lumMod val="60000"/>
                    <a:lumOff val="40000"/>
                  </a:schemeClr>
                </a:solidFill>
                <a:round/>
              </a:ln>
              <a:effectLst/>
            </c:spPr>
            <c:extLst>
              <c:ext xmlns:c16="http://schemas.microsoft.com/office/drawing/2014/chart" uri="{C3380CC4-5D6E-409C-BE32-E72D297353CC}">
                <c16:uniqueId val="{00000002-8F05-4997-B4B1-88798742AE4B}"/>
              </c:ext>
            </c:extLst>
          </c:dPt>
          <c:dLbls>
            <c:dLbl>
              <c:idx val="0"/>
              <c:layout>
                <c:manualLayout>
                  <c:x val="9.0011248593925546E-3"/>
                  <c:y val="-2.622954145676392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8F05-4997-B4B1-88798742AE4B}"/>
                </c:ext>
              </c:extLst>
            </c:dLbl>
            <c:dLbl>
              <c:idx val="1"/>
              <c:layout>
                <c:manualLayout>
                  <c:x val="1.1382077240344957E-2"/>
                  <c:y val="3.934410929888595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8F05-4997-B4B1-88798742AE4B}"/>
                </c:ext>
              </c:extLst>
            </c:dLbl>
            <c:dLbl>
              <c:idx val="2"/>
              <c:layout>
                <c:manualLayout>
                  <c:x val="2.090592334494765E-2"/>
                  <c:y val="-4.808743169398907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8F05-4997-B4B1-88798742AE4B}"/>
                </c:ext>
              </c:extLst>
            </c:dLbl>
            <c:dLbl>
              <c:idx val="3"/>
              <c:layout>
                <c:manualLayout>
                  <c:x val="4.2973378327709035E-3"/>
                  <c:y val="4.3713873565340532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8F05-4997-B4B1-88798742AE4B}"/>
                </c:ext>
              </c:extLst>
            </c:dLbl>
            <c:dLbl>
              <c:idx val="4"/>
              <c:layout>
                <c:manualLayout>
                  <c:x val="8.5171296388147688E-17"/>
                  <c:y val="-3.934426229508197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8F05-4997-B4B1-88798742AE4B}"/>
                </c:ext>
              </c:extLst>
            </c:dLbl>
            <c:dLbl>
              <c:idx val="5"/>
              <c:layout>
                <c:manualLayout>
                  <c:x val="0"/>
                  <c:y val="-5.245901639344262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8F05-4997-B4B1-88798742AE4B}"/>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'Վարկեր և երաշխիքներ'!$B$82:$B$88</c:f>
              <c:strCache>
                <c:ptCount val="7"/>
                <c:pt idx="0">
                  <c:v>2019</c:v>
                </c:pt>
                <c:pt idx="1">
                  <c:v>2020</c:v>
                </c:pt>
                <c:pt idx="2">
                  <c:v>2021</c:v>
                </c:pt>
                <c:pt idx="3">
                  <c:v>2022</c:v>
                </c:pt>
                <c:pt idx="4">
                  <c:v>2023</c:v>
                </c:pt>
                <c:pt idx="5">
                  <c:v>2024</c:v>
                </c:pt>
                <c:pt idx="6">
                  <c:v>2025 (Օգոստոս)</c:v>
                </c:pt>
              </c:strCache>
            </c:strRef>
          </c:cat>
          <c:val>
            <c:numRef>
              <c:f>'Վարկեր և երաշխիքներ'!$D$82:$D$88</c:f>
              <c:numCache>
                <c:formatCode>0.0%</c:formatCode>
                <c:ptCount val="7"/>
                <c:pt idx="0">
                  <c:v>0.21</c:v>
                </c:pt>
                <c:pt idx="1">
                  <c:v>0.18</c:v>
                </c:pt>
                <c:pt idx="2">
                  <c:v>0.21</c:v>
                </c:pt>
                <c:pt idx="3">
                  <c:v>0.2</c:v>
                </c:pt>
                <c:pt idx="4">
                  <c:v>0.26</c:v>
                </c:pt>
                <c:pt idx="5">
                  <c:v>0.26190000000000002</c:v>
                </c:pt>
                <c:pt idx="6">
                  <c:v>0.25</c:v>
                </c:pt>
              </c:numCache>
            </c:numRef>
          </c:val>
          <c:smooth val="0"/>
          <c:extLst>
            <c:ext xmlns:c16="http://schemas.microsoft.com/office/drawing/2014/chart" uri="{C3380CC4-5D6E-409C-BE32-E72D297353CC}">
              <c16:uniqueId val="{00000008-8F05-4997-B4B1-88798742AE4B}"/>
            </c:ext>
          </c:extLst>
        </c:ser>
        <c:dLbls>
          <c:showLegendKey val="0"/>
          <c:showVal val="0"/>
          <c:showCatName val="0"/>
          <c:showSerName val="0"/>
          <c:showPercent val="0"/>
          <c:showBubbleSize val="0"/>
        </c:dLbls>
        <c:marker val="1"/>
        <c:smooth val="0"/>
        <c:axId val="463423359"/>
        <c:axId val="463422943"/>
      </c:lineChart>
      <c:catAx>
        <c:axId val="32779631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27795903"/>
        <c:crosses val="autoZero"/>
        <c:auto val="1"/>
        <c:lblAlgn val="ctr"/>
        <c:lblOffset val="100"/>
        <c:noMultiLvlLbl val="0"/>
      </c:catAx>
      <c:valAx>
        <c:axId val="327795903"/>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27796319"/>
        <c:crosses val="autoZero"/>
        <c:crossBetween val="between"/>
      </c:valAx>
      <c:valAx>
        <c:axId val="463422943"/>
        <c:scaling>
          <c:orientation val="minMax"/>
        </c:scaling>
        <c:delete val="0"/>
        <c:axPos val="r"/>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63423359"/>
        <c:crosses val="max"/>
        <c:crossBetween val="between"/>
      </c:valAx>
      <c:catAx>
        <c:axId val="463423359"/>
        <c:scaling>
          <c:orientation val="minMax"/>
        </c:scaling>
        <c:delete val="1"/>
        <c:axPos val="b"/>
        <c:numFmt formatCode="General" sourceLinked="1"/>
        <c:majorTickMark val="none"/>
        <c:minorTickMark val="none"/>
        <c:tickLblPos val="nextTo"/>
        <c:crossAx val="463422943"/>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7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7"/>
    </mc:Choice>
    <mc:Fallback>
      <c:style val="7"/>
    </mc:Fallback>
  </mc:AlternateContent>
  <c:chart>
    <c:autoTitleDeleted val="1"/>
    <c:plotArea>
      <c:layout/>
      <c:barChart>
        <c:barDir val="col"/>
        <c:grouping val="clustered"/>
        <c:varyColors val="0"/>
        <c:ser>
          <c:idx val="0"/>
          <c:order val="0"/>
          <c:tx>
            <c:strRef>
              <c:f>'Վարկեր և երաշխիքներ'!$C$98</c:f>
              <c:strCache>
                <c:ptCount val="1"/>
                <c:pt idx="0">
                  <c:v>Բանկային միջին տոկոսադրույք ՀՀ դրամով</c:v>
                </c:pt>
              </c:strCache>
            </c:strRef>
          </c:tx>
          <c:spPr>
            <a:solidFill>
              <a:schemeClr val="accent1"/>
            </a:solidFill>
            <a:ln>
              <a:noFill/>
            </a:ln>
            <a:effectLst/>
          </c:spPr>
          <c:invertIfNegative val="0"/>
          <c:cat>
            <c:strRef>
              <c:f>'Վարկեր և երաշխիքներ'!$B$99:$B$105</c:f>
              <c:strCache>
                <c:ptCount val="7"/>
                <c:pt idx="0">
                  <c:v>2019 (Դեկտեմբեր)</c:v>
                </c:pt>
                <c:pt idx="1">
                  <c:v>2020 (Դեկտեմբեր)</c:v>
                </c:pt>
                <c:pt idx="2">
                  <c:v>2021 (Դեկտեմբեր)</c:v>
                </c:pt>
                <c:pt idx="3">
                  <c:v>2022 (Դեկտեմբեր)</c:v>
                </c:pt>
                <c:pt idx="4">
                  <c:v>2023 (Դեկտեմբեր)</c:v>
                </c:pt>
                <c:pt idx="5">
                  <c:v>2024 (Դեկտեմբեր)</c:v>
                </c:pt>
                <c:pt idx="6">
                  <c:v>2025 (Օգոստոս)</c:v>
                </c:pt>
              </c:strCache>
            </c:strRef>
          </c:cat>
          <c:val>
            <c:numRef>
              <c:f>'Վարկեր և երաշխիքներ'!$C$99:$C$105</c:f>
              <c:numCache>
                <c:formatCode>0.0%</c:formatCode>
                <c:ptCount val="7"/>
                <c:pt idx="0">
                  <c:v>0.105</c:v>
                </c:pt>
                <c:pt idx="1">
                  <c:v>0.105</c:v>
                </c:pt>
                <c:pt idx="2">
                  <c:v>0.107</c:v>
                </c:pt>
                <c:pt idx="3">
                  <c:v>0.129</c:v>
                </c:pt>
                <c:pt idx="4">
                  <c:v>0.121</c:v>
                </c:pt>
                <c:pt idx="5" formatCode="0.00%">
                  <c:v>0.13200000000000001</c:v>
                </c:pt>
                <c:pt idx="6">
                  <c:v>0.13200000000000001</c:v>
                </c:pt>
              </c:numCache>
            </c:numRef>
          </c:val>
          <c:extLst>
            <c:ext xmlns:c16="http://schemas.microsoft.com/office/drawing/2014/chart" uri="{C3380CC4-5D6E-409C-BE32-E72D297353CC}">
              <c16:uniqueId val="{00000000-D035-4327-AEEE-89E8A40CBC15}"/>
            </c:ext>
          </c:extLst>
        </c:ser>
        <c:ser>
          <c:idx val="1"/>
          <c:order val="1"/>
          <c:tx>
            <c:strRef>
              <c:f>'Վարկեր և երաշխիքներ'!$D$98</c:f>
              <c:strCache>
                <c:ptCount val="1"/>
                <c:pt idx="0">
                  <c:v>Բանկային միջին տոկոսադրույք ԱՄՆ դոլարով</c:v>
                </c:pt>
              </c:strCache>
            </c:strRef>
          </c:tx>
          <c:spPr>
            <a:solidFill>
              <a:schemeClr val="bg2">
                <a:lumMod val="50000"/>
              </a:schemeClr>
            </a:solidFill>
            <a:ln>
              <a:noFill/>
            </a:ln>
            <a:effectLst/>
          </c:spPr>
          <c:invertIfNegative val="0"/>
          <c:cat>
            <c:strRef>
              <c:f>'Վարկեր և երաշխիքներ'!$B$99:$B$105</c:f>
              <c:strCache>
                <c:ptCount val="7"/>
                <c:pt idx="0">
                  <c:v>2019 (Դեկտեմբեր)</c:v>
                </c:pt>
                <c:pt idx="1">
                  <c:v>2020 (Դեկտեմբեր)</c:v>
                </c:pt>
                <c:pt idx="2">
                  <c:v>2021 (Դեկտեմբեր)</c:v>
                </c:pt>
                <c:pt idx="3">
                  <c:v>2022 (Դեկտեմբեր)</c:v>
                </c:pt>
                <c:pt idx="4">
                  <c:v>2023 (Դեկտեմբեր)</c:v>
                </c:pt>
                <c:pt idx="5">
                  <c:v>2024 (Դեկտեմբեր)</c:v>
                </c:pt>
                <c:pt idx="6">
                  <c:v>2025 (Օգոստոս)</c:v>
                </c:pt>
              </c:strCache>
            </c:strRef>
          </c:cat>
          <c:val>
            <c:numRef>
              <c:f>'Վարկեր և երաշխիքներ'!$D$99:$D$105</c:f>
              <c:numCache>
                <c:formatCode>0.0%</c:formatCode>
                <c:ptCount val="7"/>
                <c:pt idx="0">
                  <c:v>8.1000000000000003E-2</c:v>
                </c:pt>
                <c:pt idx="1">
                  <c:v>7.6999999999999999E-2</c:v>
                </c:pt>
                <c:pt idx="2">
                  <c:v>7.6999999999999999E-2</c:v>
                </c:pt>
                <c:pt idx="3">
                  <c:v>7.8E-2</c:v>
                </c:pt>
                <c:pt idx="4">
                  <c:v>8.5999999999999993E-2</c:v>
                </c:pt>
                <c:pt idx="5">
                  <c:v>8.5999999999999993E-2</c:v>
                </c:pt>
                <c:pt idx="6">
                  <c:v>8.7999999999999995E-2</c:v>
                </c:pt>
              </c:numCache>
            </c:numRef>
          </c:val>
          <c:extLst>
            <c:ext xmlns:c16="http://schemas.microsoft.com/office/drawing/2014/chart" uri="{C3380CC4-5D6E-409C-BE32-E72D297353CC}">
              <c16:uniqueId val="{00000001-D035-4327-AEEE-89E8A40CBC15}"/>
            </c:ext>
          </c:extLst>
        </c:ser>
        <c:ser>
          <c:idx val="2"/>
          <c:order val="2"/>
          <c:tx>
            <c:strRef>
              <c:f>'Վարկեր և երաշխիքներ'!$E$98</c:f>
              <c:strCache>
                <c:ptCount val="1"/>
                <c:pt idx="0">
                  <c:v>Տրամադրված բյուջետային վարկերի միջին տոկոսադրույքը ՀՀ դրամով</c:v>
                </c:pt>
              </c:strCache>
            </c:strRef>
          </c:tx>
          <c:spPr>
            <a:solidFill>
              <a:schemeClr val="accent5">
                <a:lumMod val="75000"/>
              </a:schemeClr>
            </a:solidFill>
            <a:ln>
              <a:noFill/>
            </a:ln>
            <a:effectLst/>
          </c:spPr>
          <c:invertIfNegative val="0"/>
          <c:cat>
            <c:strRef>
              <c:f>'Վարկեր և երաշխիքներ'!$B$99:$B$105</c:f>
              <c:strCache>
                <c:ptCount val="7"/>
                <c:pt idx="0">
                  <c:v>2019 (Դեկտեմբեր)</c:v>
                </c:pt>
                <c:pt idx="1">
                  <c:v>2020 (Դեկտեմբեր)</c:v>
                </c:pt>
                <c:pt idx="2">
                  <c:v>2021 (Դեկտեմբեր)</c:v>
                </c:pt>
                <c:pt idx="3">
                  <c:v>2022 (Դեկտեմբեր)</c:v>
                </c:pt>
                <c:pt idx="4">
                  <c:v>2023 (Դեկտեմբեր)</c:v>
                </c:pt>
                <c:pt idx="5">
                  <c:v>2024 (Դեկտեմբեր)</c:v>
                </c:pt>
                <c:pt idx="6">
                  <c:v>2025 (Օգոստոս)</c:v>
                </c:pt>
              </c:strCache>
            </c:strRef>
          </c:cat>
          <c:val>
            <c:numRef>
              <c:f>'Վարկեր և երաշխիքներ'!$E$99:$E$105</c:f>
              <c:numCache>
                <c:formatCode>0.00%</c:formatCode>
                <c:ptCount val="7"/>
                <c:pt idx="0">
                  <c:v>4.0500000000000001E-2</c:v>
                </c:pt>
                <c:pt idx="1">
                  <c:v>3.9899999999999998E-2</c:v>
                </c:pt>
                <c:pt idx="2">
                  <c:v>3.2300000000000002E-2</c:v>
                </c:pt>
                <c:pt idx="3">
                  <c:v>3.56E-2</c:v>
                </c:pt>
                <c:pt idx="4">
                  <c:v>3.1600000000000003E-2</c:v>
                </c:pt>
                <c:pt idx="5">
                  <c:v>5.5E-2</c:v>
                </c:pt>
                <c:pt idx="6">
                  <c:v>0.08</c:v>
                </c:pt>
              </c:numCache>
            </c:numRef>
          </c:val>
          <c:extLst>
            <c:ext xmlns:c16="http://schemas.microsoft.com/office/drawing/2014/chart" uri="{C3380CC4-5D6E-409C-BE32-E72D297353CC}">
              <c16:uniqueId val="{00000002-D035-4327-AEEE-89E8A40CBC15}"/>
            </c:ext>
          </c:extLst>
        </c:ser>
        <c:ser>
          <c:idx val="3"/>
          <c:order val="3"/>
          <c:tx>
            <c:strRef>
              <c:f>'Վարկեր և երաշխիքներ'!$F$98</c:f>
              <c:strCache>
                <c:ptCount val="1"/>
                <c:pt idx="0">
                  <c:v>Տրամադրված բյուջետային վարկերի միջին տոկոսադրույքը ԱՄՆ դոլարով</c:v>
                </c:pt>
              </c:strCache>
            </c:strRef>
          </c:tx>
          <c:spPr>
            <a:solidFill>
              <a:schemeClr val="tx1">
                <a:lumMod val="75000"/>
                <a:lumOff val="25000"/>
              </a:schemeClr>
            </a:solidFill>
            <a:ln>
              <a:noFill/>
            </a:ln>
            <a:effectLst/>
          </c:spPr>
          <c:invertIfNegative val="0"/>
          <c:cat>
            <c:strRef>
              <c:f>'Վարկեր և երաշխիքներ'!$B$99:$B$105</c:f>
              <c:strCache>
                <c:ptCount val="7"/>
                <c:pt idx="0">
                  <c:v>2019 (Դեկտեմբեր)</c:v>
                </c:pt>
                <c:pt idx="1">
                  <c:v>2020 (Դեկտեմբեր)</c:v>
                </c:pt>
                <c:pt idx="2">
                  <c:v>2021 (Դեկտեմբեր)</c:v>
                </c:pt>
                <c:pt idx="3">
                  <c:v>2022 (Դեկտեմբեր)</c:v>
                </c:pt>
                <c:pt idx="4">
                  <c:v>2023 (Դեկտեմբեր)</c:v>
                </c:pt>
                <c:pt idx="5">
                  <c:v>2024 (Դեկտեմբեր)</c:v>
                </c:pt>
                <c:pt idx="6">
                  <c:v>2025 (Օգոստոս)</c:v>
                </c:pt>
              </c:strCache>
            </c:strRef>
          </c:cat>
          <c:val>
            <c:numRef>
              <c:f>'Վարկեր և երաշխիքներ'!$F$99:$F$105</c:f>
              <c:numCache>
                <c:formatCode>0.00%</c:formatCode>
                <c:ptCount val="7"/>
                <c:pt idx="0">
                  <c:v>3.78E-2</c:v>
                </c:pt>
                <c:pt idx="1">
                  <c:v>3.9199999999999999E-2</c:v>
                </c:pt>
                <c:pt idx="2">
                  <c:v>2.5600000000000001E-2</c:v>
                </c:pt>
                <c:pt idx="3">
                  <c:v>2.5600000000000001E-2</c:v>
                </c:pt>
                <c:pt idx="4">
                  <c:v>2.5600000000000001E-2</c:v>
                </c:pt>
                <c:pt idx="5">
                  <c:v>2.8000000000000001E-2</c:v>
                </c:pt>
                <c:pt idx="6">
                  <c:v>2.8000000000000001E-2</c:v>
                </c:pt>
              </c:numCache>
            </c:numRef>
          </c:val>
          <c:extLst>
            <c:ext xmlns:c16="http://schemas.microsoft.com/office/drawing/2014/chart" uri="{C3380CC4-5D6E-409C-BE32-E72D297353CC}">
              <c16:uniqueId val="{00000003-D035-4327-AEEE-89E8A40CBC15}"/>
            </c:ext>
          </c:extLst>
        </c:ser>
        <c:dLbls>
          <c:showLegendKey val="0"/>
          <c:showVal val="0"/>
          <c:showCatName val="0"/>
          <c:showSerName val="0"/>
          <c:showPercent val="0"/>
          <c:showBubbleSize val="0"/>
        </c:dLbls>
        <c:gapWidth val="219"/>
        <c:axId val="345530015"/>
        <c:axId val="345526687"/>
      </c:barChart>
      <c:lineChart>
        <c:grouping val="standard"/>
        <c:varyColors val="0"/>
        <c:ser>
          <c:idx val="4"/>
          <c:order val="4"/>
          <c:tx>
            <c:strRef>
              <c:f>'Վարկեր և երաշխիքներ'!$G$98</c:f>
              <c:strCache>
                <c:ptCount val="1"/>
                <c:pt idx="0">
                  <c:v>Վերաֆինանսավորման տոկոսադրույք</c:v>
                </c:pt>
              </c:strCache>
            </c:strRef>
          </c:tx>
          <c:spPr>
            <a:ln w="28575" cap="rnd">
              <a:solidFill>
                <a:schemeClr val="accent5">
                  <a:tint val="54000"/>
                </a:schemeClr>
              </a:solidFill>
              <a:round/>
            </a:ln>
            <a:effectLst/>
          </c:spPr>
          <c:marker>
            <c:symbol val="none"/>
          </c:marker>
          <c:dLbls>
            <c:dLbl>
              <c:idx val="3"/>
              <c:layout>
                <c:manualLayout>
                  <c:x val="-1.2383904954016957E-2"/>
                  <c:y val="-2.005012531328320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D035-4327-AEEE-89E8A40CBC15}"/>
                </c:ext>
              </c:extLst>
            </c:dLbl>
            <c:dLbl>
              <c:idx val="4"/>
              <c:layout>
                <c:manualLayout>
                  <c:x val="-2.0639841590028539E-2"/>
                  <c:y val="-2.3391812865497075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D035-4327-AEEE-89E8A40CBC15}"/>
                </c:ext>
              </c:extLst>
            </c:dLbl>
            <c:dLbl>
              <c:idx val="5"/>
              <c:layout>
                <c:manualLayout>
                  <c:x val="0"/>
                  <c:y val="-3.007518796992484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D035-4327-AEEE-89E8A40CBC15}"/>
                </c:ext>
              </c:extLst>
            </c:dLbl>
            <c:dLbl>
              <c:idx val="6"/>
              <c:layout>
                <c:manualLayout>
                  <c:x val="1.0319920795014042E-2"/>
                  <c:y val="3.3416875522138678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D035-4327-AEEE-89E8A40CBC15}"/>
                </c:ext>
              </c:extLst>
            </c:dLbl>
            <c:numFmt formatCode="0.0%" sourceLinked="0"/>
            <c:spPr>
              <a:noFill/>
              <a:ln>
                <a:noFill/>
              </a:ln>
              <a:effectLst/>
            </c:spPr>
            <c:txPr>
              <a:bodyPr rot="0" spcFirstLastPara="1" vertOverflow="ellipsis" vert="horz" wrap="square" anchor="ctr" anchorCtr="1"/>
              <a:lstStyle/>
              <a:p>
                <a:pPr>
                  <a:defRPr sz="900" b="0" i="0" u="none" strike="noStrike" kern="1200" baseline="0">
                    <a:solidFill>
                      <a:schemeClr val="tx1">
                        <a:lumMod val="75000"/>
                        <a:lumOff val="25000"/>
                      </a:schemeClr>
                    </a:solidFill>
                    <a:latin typeface="GHEA Grapalat" panose="02000506050000020003" pitchFamily="50" charset="0"/>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'Վարկեր և երաշխիքներ'!$B$99:$B$105</c:f>
              <c:strCache>
                <c:ptCount val="7"/>
                <c:pt idx="0">
                  <c:v>2019 (Դեկտեմբեր)</c:v>
                </c:pt>
                <c:pt idx="1">
                  <c:v>2020 (Դեկտեմբեր)</c:v>
                </c:pt>
                <c:pt idx="2">
                  <c:v>2021 (Դեկտեմբեր)</c:v>
                </c:pt>
                <c:pt idx="3">
                  <c:v>2022 (Դեկտեմբեր)</c:v>
                </c:pt>
                <c:pt idx="4">
                  <c:v>2023 (Դեկտեմբեր)</c:v>
                </c:pt>
                <c:pt idx="5">
                  <c:v>2024 (Դեկտեմբեր)</c:v>
                </c:pt>
                <c:pt idx="6">
                  <c:v>2025 (Օգոստոս)</c:v>
                </c:pt>
              </c:strCache>
            </c:strRef>
          </c:cat>
          <c:val>
            <c:numRef>
              <c:f>'Վարկեր և երաշխիքներ'!$G$99:$G$105</c:f>
              <c:numCache>
                <c:formatCode>0.00%</c:formatCode>
                <c:ptCount val="7"/>
                <c:pt idx="0">
                  <c:v>5.5E-2</c:v>
                </c:pt>
                <c:pt idx="1">
                  <c:v>5.2999999999999999E-2</c:v>
                </c:pt>
                <c:pt idx="2">
                  <c:v>7.8E-2</c:v>
                </c:pt>
                <c:pt idx="3">
                  <c:v>0.108</c:v>
                </c:pt>
                <c:pt idx="4">
                  <c:v>9.2999999999999999E-2</c:v>
                </c:pt>
                <c:pt idx="5">
                  <c:v>7.0000000000000007E-2</c:v>
                </c:pt>
                <c:pt idx="6">
                  <c:v>6.7500000000000004E-2</c:v>
                </c:pt>
              </c:numCache>
            </c:numRef>
          </c:val>
          <c:smooth val="0"/>
          <c:extLst>
            <c:ext xmlns:c16="http://schemas.microsoft.com/office/drawing/2014/chart" uri="{C3380CC4-5D6E-409C-BE32-E72D297353CC}">
              <c16:uniqueId val="{00000008-D035-4327-AEEE-89E8A40CBC15}"/>
            </c:ext>
          </c:extLst>
        </c:ser>
        <c:dLbls>
          <c:showLegendKey val="0"/>
          <c:showVal val="0"/>
          <c:showCatName val="0"/>
          <c:showSerName val="0"/>
          <c:showPercent val="0"/>
          <c:showBubbleSize val="0"/>
        </c:dLbls>
        <c:marker val="1"/>
        <c:smooth val="0"/>
        <c:axId val="345530015"/>
        <c:axId val="345526687"/>
      </c:lineChart>
      <c:catAx>
        <c:axId val="34553001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345526687"/>
        <c:crosses val="autoZero"/>
        <c:auto val="1"/>
        <c:lblAlgn val="ctr"/>
        <c:lblOffset val="100"/>
        <c:noMultiLvlLbl val="0"/>
      </c:catAx>
      <c:valAx>
        <c:axId val="345526687"/>
        <c:scaling>
          <c:orientation val="minMax"/>
        </c:scaling>
        <c:delete val="0"/>
        <c:axPos val="l"/>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345530015"/>
        <c:crosses val="autoZero"/>
        <c:crossBetween val="between"/>
      </c:valAx>
      <c:spPr>
        <a:noFill/>
        <a:ln>
          <a:noFill/>
        </a:ln>
        <a:effectLst/>
      </c:spPr>
    </c:plotArea>
    <c:legend>
      <c:legendPos val="b"/>
      <c:layout>
        <c:manualLayout>
          <c:xMode val="edge"/>
          <c:yMode val="edge"/>
          <c:x val="7.1866412483455197E-2"/>
          <c:y val="0.67885912675901106"/>
          <c:w val="0.53358878693153167"/>
          <c:h val="0.30879011161068842"/>
        </c:manualLayout>
      </c:layout>
      <c:overlay val="0"/>
      <c:spPr>
        <a:noFill/>
        <a:ln>
          <a:noFill/>
        </a:ln>
        <a:effectLst/>
      </c:spPr>
      <c:txPr>
        <a:bodyPr rot="0" spcFirstLastPara="1" vertOverflow="ellipsis" vert="horz" wrap="square" anchor="ctr" anchorCtr="1"/>
        <a:lstStyle/>
        <a:p>
          <a:pPr>
            <a:defRPr sz="7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GHEA Grapalat" panose="02000506050000020003" pitchFamily="50" charset="0"/>
        </a:defRPr>
      </a:pPr>
      <a:endParaRPr lang="en-US"/>
    </a:p>
  </c:txPr>
  <c:externalData r:id="rId3">
    <c:autoUpdate val="0"/>
  </c:externalData>
</c:chartSpace>
</file>

<file path=word/charts/chart7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7"/>
    </mc:Choice>
    <mc:Fallback>
      <c:style val="7"/>
    </mc:Fallback>
  </mc:AlternateContent>
  <c:clrMapOvr bg1="lt1" tx1="dk1" bg2="lt2" tx2="dk2" accent1="accent1" accent2="accent2" accent3="accent3" accent4="accent4" accent5="accent5" accent6="accent6" hlink="hlink" folHlink="folHlink"/>
  <c:chart>
    <c:autoTitleDeleted val="1"/>
    <c:plotArea>
      <c:layout/>
      <c:barChart>
        <c:barDir val="col"/>
        <c:grouping val="percentStacked"/>
        <c:varyColors val="0"/>
        <c:ser>
          <c:idx val="0"/>
          <c:order val="0"/>
          <c:tx>
            <c:strRef>
              <c:f>Sheet1!$C$122</c:f>
              <c:strCache>
                <c:ptCount val="1"/>
                <c:pt idx="0">
                  <c:v>Գրավով</c:v>
                </c:pt>
              </c:strCache>
            </c:strRef>
          </c:tx>
          <c:spPr>
            <a:solidFill>
              <a:srgbClr val="9AC6EA"/>
            </a:solidFill>
            <a:ln>
              <a:noFill/>
            </a:ln>
            <a:effectLst/>
          </c:spPr>
          <c:invertIfNegative val="0"/>
          <c:dLbls>
            <c:spPr>
              <a:noFill/>
              <a:ln>
                <a:noFill/>
              </a:ln>
              <a:effectLst/>
            </c:spPr>
            <c:txPr>
              <a:bodyPr rot="0" spcFirstLastPara="1" vertOverflow="ellipsis" vert="horz" wrap="square" anchor="ctr" anchorCtr="1"/>
              <a:lstStyle/>
              <a:p>
                <a:pPr>
                  <a:defRPr sz="900" b="1" i="0" u="none" strike="noStrike" kern="1200" baseline="0">
                    <a:solidFill>
                      <a:schemeClr val="bg1"/>
                    </a:solidFill>
                    <a:latin typeface="GHEA Grapalat" panose="02000506050000020003" pitchFamily="50" charset="0"/>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Sheet1!$B$123:$B$127</c:f>
              <c:strCache>
                <c:ptCount val="5"/>
                <c:pt idx="0">
                  <c:v>2021</c:v>
                </c:pt>
                <c:pt idx="1">
                  <c:v>2022</c:v>
                </c:pt>
                <c:pt idx="2">
                  <c:v>2023</c:v>
                </c:pt>
                <c:pt idx="3">
                  <c:v>2024</c:v>
                </c:pt>
                <c:pt idx="4">
                  <c:v>2025 (Օգոստոս)</c:v>
                </c:pt>
              </c:strCache>
            </c:strRef>
          </c:cat>
          <c:val>
            <c:numRef>
              <c:f>Sheet1!$C$123:$C$127</c:f>
              <c:numCache>
                <c:formatCode>0.0%</c:formatCode>
                <c:ptCount val="5"/>
                <c:pt idx="0">
                  <c:v>0.748</c:v>
                </c:pt>
                <c:pt idx="1">
                  <c:v>0.72099999999999997</c:v>
                </c:pt>
                <c:pt idx="2">
                  <c:v>0.74199999999999999</c:v>
                </c:pt>
                <c:pt idx="3">
                  <c:v>0.72</c:v>
                </c:pt>
                <c:pt idx="4">
                  <c:v>0.68320000000000003</c:v>
                </c:pt>
              </c:numCache>
            </c:numRef>
          </c:val>
          <c:extLst>
            <c:ext xmlns:c16="http://schemas.microsoft.com/office/drawing/2014/chart" uri="{C3380CC4-5D6E-409C-BE32-E72D297353CC}">
              <c16:uniqueId val="{00000000-95D4-4AC7-8B9C-E089C012C0DC}"/>
            </c:ext>
          </c:extLst>
        </c:ser>
        <c:ser>
          <c:idx val="1"/>
          <c:order val="1"/>
          <c:tx>
            <c:strRef>
              <c:f>Sheet1!$D$122</c:f>
              <c:strCache>
                <c:ptCount val="1"/>
                <c:pt idx="0">
                  <c:v>Առանց գրավ</c:v>
                </c:pt>
              </c:strCache>
            </c:strRef>
          </c:tx>
          <c:spPr>
            <a:solidFill>
              <a:srgbClr val="5B9BD5">
                <a:lumMod val="50000"/>
              </a:srgbClr>
            </a:solidFill>
            <a:ln>
              <a:noFill/>
            </a:ln>
            <a:effectLst/>
          </c:spPr>
          <c:invertIfNegative val="0"/>
          <c:dLbls>
            <c:spPr>
              <a:noFill/>
              <a:ln>
                <a:noFill/>
              </a:ln>
              <a:effectLst/>
            </c:spPr>
            <c:txPr>
              <a:bodyPr rot="0" spcFirstLastPara="1" vertOverflow="ellipsis" vert="horz" wrap="square" anchor="ctr" anchorCtr="1"/>
              <a:lstStyle/>
              <a:p>
                <a:pPr>
                  <a:defRPr sz="900" b="1" i="0" u="none" strike="noStrike" kern="1200" baseline="0">
                    <a:solidFill>
                      <a:schemeClr val="bg1"/>
                    </a:solidFill>
                    <a:latin typeface="GHEA Grapalat" panose="02000506050000020003" pitchFamily="50" charset="0"/>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Sheet1!$B$123:$B$127</c:f>
              <c:strCache>
                <c:ptCount val="5"/>
                <c:pt idx="0">
                  <c:v>2021</c:v>
                </c:pt>
                <c:pt idx="1">
                  <c:v>2022</c:v>
                </c:pt>
                <c:pt idx="2">
                  <c:v>2023</c:v>
                </c:pt>
                <c:pt idx="3">
                  <c:v>2024</c:v>
                </c:pt>
                <c:pt idx="4">
                  <c:v>2025 (Օգոստոս)</c:v>
                </c:pt>
              </c:strCache>
            </c:strRef>
          </c:cat>
          <c:val>
            <c:numRef>
              <c:f>Sheet1!$D$123:$D$127</c:f>
              <c:numCache>
                <c:formatCode>0.0%</c:formatCode>
                <c:ptCount val="5"/>
                <c:pt idx="0">
                  <c:v>0.252</c:v>
                </c:pt>
                <c:pt idx="1">
                  <c:v>0.27900000000000003</c:v>
                </c:pt>
                <c:pt idx="2">
                  <c:v>0.25800000000000001</c:v>
                </c:pt>
                <c:pt idx="3">
                  <c:v>0.28000000000000003</c:v>
                </c:pt>
                <c:pt idx="4">
                  <c:v>0.317</c:v>
                </c:pt>
              </c:numCache>
            </c:numRef>
          </c:val>
          <c:extLst>
            <c:ext xmlns:c16="http://schemas.microsoft.com/office/drawing/2014/chart" uri="{C3380CC4-5D6E-409C-BE32-E72D297353CC}">
              <c16:uniqueId val="{00000001-95D4-4AC7-8B9C-E089C012C0DC}"/>
            </c:ext>
          </c:extLst>
        </c:ser>
        <c:dLbls>
          <c:showLegendKey val="0"/>
          <c:showVal val="0"/>
          <c:showCatName val="0"/>
          <c:showSerName val="0"/>
          <c:showPercent val="0"/>
          <c:showBubbleSize val="0"/>
        </c:dLbls>
        <c:gapWidth val="150"/>
        <c:overlap val="100"/>
        <c:axId val="463421695"/>
        <c:axId val="463425023"/>
      </c:barChart>
      <c:catAx>
        <c:axId val="46342169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463425023"/>
        <c:crosses val="autoZero"/>
        <c:auto val="1"/>
        <c:lblAlgn val="ctr"/>
        <c:lblOffset val="100"/>
        <c:noMultiLvlLbl val="0"/>
      </c:catAx>
      <c:valAx>
        <c:axId val="463425023"/>
        <c:scaling>
          <c:orientation val="minMax"/>
        </c:scaling>
        <c:delete val="0"/>
        <c:axPos val="l"/>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46342169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GHEA Grapalat" panose="02000506050000020003" pitchFamily="50" charset="0"/>
        </a:defRPr>
      </a:pPr>
      <a:endParaRPr lang="en-US"/>
    </a:p>
  </c:txPr>
  <c:externalData r:id="rId4">
    <c:autoUpdate val="0"/>
  </c:externalData>
</c:chartSpace>
</file>

<file path=word/charts/chart7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7"/>
    </mc:Choice>
    <mc:Fallback>
      <c:style val="7"/>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'[Զեկույցի ամփոփ գրաֆիկներ -2024 (1).xlsx]Sheet1'!$C$162</c:f>
              <c:strCache>
                <c:ptCount val="1"/>
                <c:pt idx="0">
                  <c:v>Երաշխիքներ</c:v>
                </c:pt>
              </c:strCache>
            </c:strRef>
          </c:tx>
          <c:spPr>
            <a:solidFill>
              <a:srgbClr val="5B9BD5">
                <a:lumMod val="60000"/>
                <a:lumOff val="40000"/>
              </a:srgbClr>
            </a:solidFill>
            <a:ln>
              <a:noFill/>
            </a:ln>
            <a:effectLst/>
          </c:spPr>
          <c:invertIfNegative val="0"/>
          <c:cat>
            <c:numRef>
              <c:f>'[Զեկույցի ամփոփ գրաֆիկներ -2024 (1).xlsx]Sheet1'!$B$163:$B$171</c:f>
              <c:numCache>
                <c:formatCode>General</c:formatCode>
                <c:ptCount val="9"/>
                <c:pt idx="0">
                  <c:v>2016</c:v>
                </c:pt>
                <c:pt idx="1">
                  <c:v>2017</c:v>
                </c:pt>
                <c:pt idx="2">
                  <c:v>2018</c:v>
                </c:pt>
                <c:pt idx="3">
                  <c:v>2019</c:v>
                </c:pt>
                <c:pt idx="4">
                  <c:v>2020</c:v>
                </c:pt>
                <c:pt idx="5">
                  <c:v>2021</c:v>
                </c:pt>
                <c:pt idx="6">
                  <c:v>2022</c:v>
                </c:pt>
                <c:pt idx="7">
                  <c:v>2023</c:v>
                </c:pt>
                <c:pt idx="8">
                  <c:v>2024</c:v>
                </c:pt>
              </c:numCache>
            </c:numRef>
          </c:cat>
          <c:val>
            <c:numRef>
              <c:f>'[Զեկույցի ամփոփ գրաֆիկներ -2024 (1).xlsx]Sheet1'!$C$163:$C$171</c:f>
              <c:numCache>
                <c:formatCode>0.00</c:formatCode>
                <c:ptCount val="9"/>
                <c:pt idx="0">
                  <c:v>74.209999999999994</c:v>
                </c:pt>
                <c:pt idx="1">
                  <c:v>84.65</c:v>
                </c:pt>
                <c:pt idx="2">
                  <c:v>77.17</c:v>
                </c:pt>
                <c:pt idx="3">
                  <c:v>65.64</c:v>
                </c:pt>
                <c:pt idx="4">
                  <c:v>67.56</c:v>
                </c:pt>
                <c:pt idx="5">
                  <c:v>57.85</c:v>
                </c:pt>
                <c:pt idx="6">
                  <c:v>46.37</c:v>
                </c:pt>
                <c:pt idx="7">
                  <c:v>41.42</c:v>
                </c:pt>
                <c:pt idx="8">
                  <c:v>37.955300000000001</c:v>
                </c:pt>
              </c:numCache>
            </c:numRef>
          </c:val>
          <c:extLst>
            <c:ext xmlns:c16="http://schemas.microsoft.com/office/drawing/2014/chart" uri="{C3380CC4-5D6E-409C-BE32-E72D297353CC}">
              <c16:uniqueId val="{00000000-23F7-421B-A21E-015E693CE201}"/>
            </c:ext>
          </c:extLst>
        </c:ser>
        <c:dLbls>
          <c:showLegendKey val="0"/>
          <c:showVal val="0"/>
          <c:showCatName val="0"/>
          <c:showSerName val="0"/>
          <c:showPercent val="0"/>
          <c:showBubbleSize val="0"/>
        </c:dLbls>
        <c:gapWidth val="219"/>
        <c:overlap val="-27"/>
        <c:axId val="452261888"/>
        <c:axId val="452400192"/>
      </c:barChart>
      <c:lineChart>
        <c:grouping val="standard"/>
        <c:varyColors val="0"/>
        <c:ser>
          <c:idx val="1"/>
          <c:order val="1"/>
          <c:tx>
            <c:strRef>
              <c:f>'[Զեկույցի ամփոփ գրաֆիկներ -2024 (1).xlsx]Sheet1'!$D$162</c:f>
              <c:strCache>
                <c:ptCount val="1"/>
                <c:pt idx="0">
                  <c:v>Երաշխիքներ/Կառավարության պարտք</c:v>
                </c:pt>
              </c:strCache>
            </c:strRef>
          </c:tx>
          <c:spPr>
            <a:ln w="28575" cap="rnd">
              <a:solidFill>
                <a:srgbClr val="E7E6E6">
                  <a:lumMod val="50000"/>
                </a:srgbClr>
              </a:solidFill>
              <a:round/>
            </a:ln>
            <a:effectLst/>
          </c:spPr>
          <c:marker>
            <c:symbol val="none"/>
          </c:marker>
          <c:dLbls>
            <c:dLbl>
              <c:idx val="0"/>
              <c:layout>
                <c:manualLayout>
                  <c:x val="-6.0491076576763579E-2"/>
                  <c:y val="2.309967351642020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23F7-421B-A21E-015E693CE201}"/>
                </c:ext>
              </c:extLst>
            </c:dLbl>
            <c:dLbl>
              <c:idx val="1"/>
              <c:layout>
                <c:manualLayout>
                  <c:x val="-4.2179261862917421E-2"/>
                  <c:y val="-3.716608594657375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23F7-421B-A21E-015E693CE201}"/>
                </c:ext>
              </c:extLst>
            </c:dLbl>
            <c:dLbl>
              <c:idx val="2"/>
              <c:layout>
                <c:manualLayout>
                  <c:x val="-3.7492677211482132E-2"/>
                  <c:y val="-4.64576074332172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23F7-421B-A21E-015E693CE201}"/>
                </c:ext>
              </c:extLst>
            </c:dLbl>
            <c:dLbl>
              <c:idx val="3"/>
              <c:layout>
                <c:manualLayout>
                  <c:x val="-2.8119507908611598E-2"/>
                  <c:y val="-6.504065040650407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23F7-421B-A21E-015E693CE201}"/>
                </c:ext>
              </c:extLst>
            </c:dLbl>
            <c:dLbl>
              <c:idx val="4"/>
              <c:layout>
                <c:manualLayout>
                  <c:x val="-5.1552431165788018E-2"/>
                  <c:y val="-6.039488966318239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23F7-421B-A21E-015E693CE201}"/>
                </c:ext>
              </c:extLst>
            </c:dLbl>
            <c:dLbl>
              <c:idx val="5"/>
              <c:layout>
                <c:manualLayout>
                  <c:x val="-4.21792618629174E-2"/>
                  <c:y val="-6.96864111498257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23F7-421B-A21E-015E693CE201}"/>
                </c:ext>
              </c:extLst>
            </c:dLbl>
            <c:dLbl>
              <c:idx val="6"/>
              <c:layout>
                <c:manualLayout>
                  <c:x val="-4.2179261862917483E-2"/>
                  <c:y val="-5.574912891986062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23F7-421B-A21E-015E693CE201}"/>
                </c:ext>
              </c:extLst>
            </c:dLbl>
            <c:dLbl>
              <c:idx val="7"/>
              <c:layout>
                <c:manualLayout>
                  <c:x val="-3.0462800234329231E-2"/>
                  <c:y val="-3.7166085946573835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23F7-421B-A21E-015E693CE201}"/>
                </c:ext>
              </c:extLst>
            </c:dLbl>
            <c:dLbl>
              <c:idx val="8"/>
              <c:layout>
                <c:manualLayout>
                  <c:x val="-3.0462800234329405E-2"/>
                  <c:y val="-3.716608594657375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23F7-421B-A21E-015E693CE201}"/>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'[Զեկույցի ամփոփ գրաֆիկներ -2024 (1).xlsx]Sheet1'!$B$163:$B$171</c:f>
              <c:numCache>
                <c:formatCode>General</c:formatCode>
                <c:ptCount val="9"/>
                <c:pt idx="0">
                  <c:v>2016</c:v>
                </c:pt>
                <c:pt idx="1">
                  <c:v>2017</c:v>
                </c:pt>
                <c:pt idx="2">
                  <c:v>2018</c:v>
                </c:pt>
                <c:pt idx="3">
                  <c:v>2019</c:v>
                </c:pt>
                <c:pt idx="4">
                  <c:v>2020</c:v>
                </c:pt>
                <c:pt idx="5">
                  <c:v>2021</c:v>
                </c:pt>
                <c:pt idx="6">
                  <c:v>2022</c:v>
                </c:pt>
                <c:pt idx="7">
                  <c:v>2023</c:v>
                </c:pt>
                <c:pt idx="8">
                  <c:v>2024</c:v>
                </c:pt>
              </c:numCache>
            </c:numRef>
          </c:cat>
          <c:val>
            <c:numRef>
              <c:f>'[Զեկույցի ամփոփ գրաֆիկներ -2024 (1).xlsx]Sheet1'!$D$163:$D$171</c:f>
              <c:numCache>
                <c:formatCode>0.00%</c:formatCode>
                <c:ptCount val="9"/>
                <c:pt idx="0">
                  <c:v>2.8199999999999999E-2</c:v>
                </c:pt>
                <c:pt idx="1">
                  <c:v>2.8299999999999999E-2</c:v>
                </c:pt>
                <c:pt idx="2">
                  <c:v>2.5000000000000001E-2</c:v>
                </c:pt>
                <c:pt idx="3">
                  <c:v>0.02</c:v>
                </c:pt>
                <c:pt idx="4">
                  <c:v>1.72E-2</c:v>
                </c:pt>
                <c:pt idx="5">
                  <c:v>1.37E-2</c:v>
                </c:pt>
                <c:pt idx="6">
                  <c:v>1.17E-2</c:v>
                </c:pt>
                <c:pt idx="7">
                  <c:v>9.1000000000000004E-3</c:v>
                </c:pt>
                <c:pt idx="8">
                  <c:v>7.7999999999999996E-3</c:v>
                </c:pt>
              </c:numCache>
            </c:numRef>
          </c:val>
          <c:smooth val="0"/>
          <c:extLst>
            <c:ext xmlns:c16="http://schemas.microsoft.com/office/drawing/2014/chart" uri="{C3380CC4-5D6E-409C-BE32-E72D297353CC}">
              <c16:uniqueId val="{0000000A-23F7-421B-A21E-015E693CE201}"/>
            </c:ext>
          </c:extLst>
        </c:ser>
        <c:dLbls>
          <c:showLegendKey val="0"/>
          <c:showVal val="0"/>
          <c:showCatName val="0"/>
          <c:showSerName val="0"/>
          <c:showPercent val="0"/>
          <c:showBubbleSize val="0"/>
        </c:dLbls>
        <c:marker val="1"/>
        <c:smooth val="0"/>
        <c:axId val="452262912"/>
        <c:axId val="452400768"/>
      </c:lineChart>
      <c:catAx>
        <c:axId val="45226188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2400192"/>
        <c:crosses val="autoZero"/>
        <c:auto val="1"/>
        <c:lblAlgn val="ctr"/>
        <c:lblOffset val="100"/>
        <c:noMultiLvlLbl val="0"/>
      </c:catAx>
      <c:valAx>
        <c:axId val="452400192"/>
        <c:scaling>
          <c:orientation val="minMax"/>
          <c:max val="90"/>
        </c:scaling>
        <c:delete val="0"/>
        <c:axPos val="l"/>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2261888"/>
        <c:crosses val="autoZero"/>
        <c:crossBetween val="between"/>
      </c:valAx>
      <c:valAx>
        <c:axId val="452400768"/>
        <c:scaling>
          <c:orientation val="minMax"/>
        </c:scaling>
        <c:delete val="0"/>
        <c:axPos val="r"/>
        <c:numFmt formatCode="0.00%"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2262912"/>
        <c:crosses val="max"/>
        <c:crossBetween val="between"/>
      </c:valAx>
      <c:catAx>
        <c:axId val="452262912"/>
        <c:scaling>
          <c:orientation val="minMax"/>
        </c:scaling>
        <c:delete val="1"/>
        <c:axPos val="b"/>
        <c:numFmt formatCode="General" sourceLinked="1"/>
        <c:majorTickMark val="out"/>
        <c:minorTickMark val="none"/>
        <c:tickLblPos val="nextTo"/>
        <c:crossAx val="452400768"/>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2">
    <c:autoUpdate val="0"/>
  </c:externalData>
</c:chartSpace>
</file>

<file path=word/charts/chart7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3"/>
    </mc:Choice>
    <mc:Fallback>
      <c:style val="3"/>
    </mc:Fallback>
  </mc:AlternateContent>
  <c:clrMapOvr bg1="lt1" tx1="dk1" bg2="lt2" tx2="dk2" accent1="accent1" accent2="accent2" accent3="accent3" accent4="accent4" accent5="accent5" accent6="accent6" hlink="hlink" folHlink="folHlink"/>
  <c:chart>
    <c:autoTitleDeleted val="1"/>
    <c:plotArea>
      <c:layout/>
      <c:barChart>
        <c:barDir val="bar"/>
        <c:grouping val="percentStacked"/>
        <c:varyColors val="0"/>
        <c:ser>
          <c:idx val="0"/>
          <c:order val="0"/>
          <c:tx>
            <c:strRef>
              <c:f>'[Զեկույցի ամփոփ գրաֆիկներ -2024 (1).xlsx]Sheet1'!$C$188</c:f>
              <c:strCache>
                <c:ptCount val="1"/>
                <c:pt idx="0">
                  <c:v>Ներքին</c:v>
                </c:pt>
              </c:strCache>
            </c:strRef>
          </c:tx>
          <c:spPr>
            <a:solidFill>
              <a:srgbClr val="5B9BD5">
                <a:lumMod val="60000"/>
                <a:lumOff val="40000"/>
              </a:srgbClr>
            </a:solidFill>
            <a:ln>
              <a:noFill/>
            </a:ln>
            <a:effectLst/>
          </c:spPr>
          <c:invertIfNegative val="0"/>
          <c:dLbls>
            <c:dLbl>
              <c:idx val="3"/>
              <c:delete val="1"/>
              <c:extLst>
                <c:ext xmlns:c15="http://schemas.microsoft.com/office/drawing/2012/chart" uri="{CE6537A1-D6FC-4f65-9D91-7224C49458BB}"/>
                <c:ext xmlns:c16="http://schemas.microsoft.com/office/drawing/2014/chart" uri="{C3380CC4-5D6E-409C-BE32-E72D297353CC}">
                  <c16:uniqueId val="{00000000-E2AC-49EB-970F-03C437929361}"/>
                </c:ext>
              </c:extLst>
            </c:dLbl>
            <c:dLbl>
              <c:idx val="4"/>
              <c:delete val="1"/>
              <c:extLst>
                <c:ext xmlns:c15="http://schemas.microsoft.com/office/drawing/2012/chart" uri="{CE6537A1-D6FC-4f65-9D91-7224C49458BB}"/>
                <c:ext xmlns:c16="http://schemas.microsoft.com/office/drawing/2014/chart" uri="{C3380CC4-5D6E-409C-BE32-E72D297353CC}">
                  <c16:uniqueId val="{00000001-E2AC-49EB-970F-03C437929361}"/>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'[Զեկույցի ամփոփ գրաֆիկներ -2024 (1).xlsx]Sheet1'!$B$189:$B$197</c:f>
              <c:numCache>
                <c:formatCode>General</c:formatCode>
                <c:ptCount val="9"/>
                <c:pt idx="0">
                  <c:v>2016</c:v>
                </c:pt>
                <c:pt idx="1">
                  <c:v>2017</c:v>
                </c:pt>
                <c:pt idx="2">
                  <c:v>2018</c:v>
                </c:pt>
                <c:pt idx="3">
                  <c:v>2019</c:v>
                </c:pt>
                <c:pt idx="4">
                  <c:v>2020</c:v>
                </c:pt>
                <c:pt idx="5">
                  <c:v>2021</c:v>
                </c:pt>
                <c:pt idx="6">
                  <c:v>2022</c:v>
                </c:pt>
                <c:pt idx="7">
                  <c:v>2023</c:v>
                </c:pt>
                <c:pt idx="8">
                  <c:v>2024</c:v>
                </c:pt>
              </c:numCache>
            </c:numRef>
          </c:cat>
          <c:val>
            <c:numRef>
              <c:f>'[Զեկույցի ամփոփ գրաֆիկներ -2024 (1).xlsx]Sheet1'!$C$189:$C$197</c:f>
              <c:numCache>
                <c:formatCode>0.0%</c:formatCode>
                <c:ptCount val="9"/>
                <c:pt idx="0">
                  <c:v>4.5999999999999999E-2</c:v>
                </c:pt>
                <c:pt idx="1">
                  <c:v>5.0999999999999997E-2</c:v>
                </c:pt>
                <c:pt idx="2">
                  <c:v>5.6000000000000001E-2</c:v>
                </c:pt>
                <c:pt idx="3">
                  <c:v>0</c:v>
                </c:pt>
                <c:pt idx="4">
                  <c:v>0</c:v>
                </c:pt>
                <c:pt idx="5">
                  <c:v>9.2999999999999999E-2</c:v>
                </c:pt>
                <c:pt idx="6">
                  <c:v>0.19800000000000001</c:v>
                </c:pt>
                <c:pt idx="7">
                  <c:v>0.17299999999999999</c:v>
                </c:pt>
                <c:pt idx="8">
                  <c:v>0.25136680696346358</c:v>
                </c:pt>
              </c:numCache>
            </c:numRef>
          </c:val>
          <c:extLst>
            <c:ext xmlns:c16="http://schemas.microsoft.com/office/drawing/2014/chart" uri="{C3380CC4-5D6E-409C-BE32-E72D297353CC}">
              <c16:uniqueId val="{00000002-E2AC-49EB-970F-03C437929361}"/>
            </c:ext>
          </c:extLst>
        </c:ser>
        <c:ser>
          <c:idx val="1"/>
          <c:order val="1"/>
          <c:tx>
            <c:strRef>
              <c:f>'[Զեկույցի ամփոփ գրաֆիկներ -2024 (1).xlsx]Sheet1'!$D$188</c:f>
              <c:strCache>
                <c:ptCount val="1"/>
                <c:pt idx="0">
                  <c:v>Արտաքին</c:v>
                </c:pt>
              </c:strCache>
            </c:strRef>
          </c:tx>
          <c:spPr>
            <a:solidFill>
              <a:srgbClr val="44546A">
                <a:lumMod val="75000"/>
              </a:srgbClr>
            </a:solidFill>
            <a:ln>
              <a:noFill/>
            </a:ln>
            <a:effectLst/>
          </c:spPr>
          <c:invertIfNegative val="0"/>
          <c:dLbls>
            <c:dLbl>
              <c:idx val="0"/>
              <c:layout>
                <c:manualLayout>
                  <c:x val="0.39076376554174069"/>
                  <c:y val="-8.7362980927085011E-17"/>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E2AC-49EB-970F-03C437929361}"/>
                </c:ext>
              </c:extLst>
            </c:dLbl>
            <c:dLbl>
              <c:idx val="1"/>
              <c:layout>
                <c:manualLayout>
                  <c:x val="0.39076376554174069"/>
                  <c:y val="0"/>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E2AC-49EB-970F-03C437929361}"/>
                </c:ext>
              </c:extLst>
            </c:dLbl>
            <c:dLbl>
              <c:idx val="2"/>
              <c:layout>
                <c:manualLayout>
                  <c:x val="0.38681665679889482"/>
                  <c:y val="0"/>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E2AC-49EB-970F-03C437929361}"/>
                </c:ext>
              </c:extLst>
            </c:dLbl>
            <c:dLbl>
              <c:idx val="3"/>
              <c:layout>
                <c:manualLayout>
                  <c:x val="0.40852575488454707"/>
                  <c:y val="-4.7653085537288538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E2AC-49EB-970F-03C437929361}"/>
                </c:ext>
              </c:extLst>
            </c:dLbl>
            <c:dLbl>
              <c:idx val="4"/>
              <c:layout>
                <c:manualLayout>
                  <c:x val="0.40852575488454707"/>
                  <c:y val="-4.7653085537288538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E2AC-49EB-970F-03C437929361}"/>
                </c:ext>
              </c:extLst>
            </c:dLbl>
            <c:dLbl>
              <c:idx val="5"/>
              <c:layout>
                <c:manualLayout>
                  <c:x val="0.36905466745608839"/>
                  <c:y val="0"/>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E2AC-49EB-970F-03C437929361}"/>
                </c:ext>
              </c:extLst>
            </c:dLbl>
            <c:dLbl>
              <c:idx val="6"/>
              <c:layout>
                <c:manualLayout>
                  <c:x val="0.32168936254193803"/>
                  <c:y val="0"/>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E2AC-49EB-970F-03C437929361}"/>
                </c:ext>
              </c:extLst>
            </c:dLbl>
            <c:dLbl>
              <c:idx val="7"/>
              <c:layout>
                <c:manualLayout>
                  <c:x val="0.33353068877047565"/>
                  <c:y val="0"/>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E2AC-49EB-970F-03C437929361}"/>
                </c:ext>
              </c:extLst>
            </c:dLbl>
            <c:dLbl>
              <c:idx val="8"/>
              <c:layout>
                <c:manualLayout>
                  <c:x val="0.29998026445628578"/>
                  <c:y val="-1.0920372615885626E-17"/>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E2AC-49EB-970F-03C437929361}"/>
                </c:ext>
              </c:extLst>
            </c:dLbl>
            <c:spPr>
              <a:noFill/>
              <a:ln>
                <a:noFill/>
              </a:ln>
              <a:effectLst/>
            </c:spPr>
            <c:txPr>
              <a:bodyPr rot="0" spcFirstLastPara="1" vertOverflow="ellipsis" vert="horz" wrap="square" lIns="38100" tIns="19050" rIns="38100" bIns="19050" anchor="ctr" anchorCtr="0">
                <a:spAutoFit/>
              </a:bodyPr>
              <a:lstStyle/>
              <a:p>
                <a:pPr algn="r">
                  <a:defRPr sz="900" b="1" i="0" u="none" strike="noStrike" kern="1200" baseline="0">
                    <a:solidFill>
                      <a:schemeClr val="bg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'[Զեկույցի ամփոփ գրաֆիկներ -2024 (1).xlsx]Sheet1'!$B$189:$B$197</c:f>
              <c:numCache>
                <c:formatCode>General</c:formatCode>
                <c:ptCount val="9"/>
                <c:pt idx="0">
                  <c:v>2016</c:v>
                </c:pt>
                <c:pt idx="1">
                  <c:v>2017</c:v>
                </c:pt>
                <c:pt idx="2">
                  <c:v>2018</c:v>
                </c:pt>
                <c:pt idx="3">
                  <c:v>2019</c:v>
                </c:pt>
                <c:pt idx="4">
                  <c:v>2020</c:v>
                </c:pt>
                <c:pt idx="5">
                  <c:v>2021</c:v>
                </c:pt>
                <c:pt idx="6">
                  <c:v>2022</c:v>
                </c:pt>
                <c:pt idx="7">
                  <c:v>2023</c:v>
                </c:pt>
                <c:pt idx="8">
                  <c:v>2024</c:v>
                </c:pt>
              </c:numCache>
            </c:numRef>
          </c:cat>
          <c:val>
            <c:numRef>
              <c:f>'[Զեկույցի ամփոփ գրաֆիկներ -2024 (1).xlsx]Sheet1'!$D$189:$D$197</c:f>
              <c:numCache>
                <c:formatCode>0.0%</c:formatCode>
                <c:ptCount val="9"/>
                <c:pt idx="0">
                  <c:v>0.95399999999999996</c:v>
                </c:pt>
                <c:pt idx="1">
                  <c:v>0.94899999999999995</c:v>
                </c:pt>
                <c:pt idx="2">
                  <c:v>0.94399999999999995</c:v>
                </c:pt>
                <c:pt idx="3">
                  <c:v>1</c:v>
                </c:pt>
                <c:pt idx="4">
                  <c:v>1</c:v>
                </c:pt>
                <c:pt idx="5">
                  <c:v>0.90700000000000003</c:v>
                </c:pt>
                <c:pt idx="6">
                  <c:v>0.80200000000000005</c:v>
                </c:pt>
                <c:pt idx="7">
                  <c:v>0.82699999999999996</c:v>
                </c:pt>
                <c:pt idx="8">
                  <c:v>0.74863319303653653</c:v>
                </c:pt>
              </c:numCache>
            </c:numRef>
          </c:val>
          <c:extLst>
            <c:ext xmlns:c16="http://schemas.microsoft.com/office/drawing/2014/chart" uri="{C3380CC4-5D6E-409C-BE32-E72D297353CC}">
              <c16:uniqueId val="{0000000C-E2AC-49EB-970F-03C437929361}"/>
            </c:ext>
          </c:extLst>
        </c:ser>
        <c:dLbls>
          <c:showLegendKey val="0"/>
          <c:showVal val="0"/>
          <c:showCatName val="0"/>
          <c:showSerName val="0"/>
          <c:showPercent val="0"/>
          <c:showBubbleSize val="0"/>
        </c:dLbls>
        <c:gapWidth val="102"/>
        <c:overlap val="100"/>
        <c:axId val="452723712"/>
        <c:axId val="452402496"/>
      </c:barChart>
      <c:catAx>
        <c:axId val="452723712"/>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crossAx val="452402496"/>
        <c:crosses val="autoZero"/>
        <c:auto val="1"/>
        <c:lblAlgn val="ctr"/>
        <c:lblOffset val="100"/>
        <c:noMultiLvlLbl val="0"/>
      </c:catAx>
      <c:valAx>
        <c:axId val="452402496"/>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crossAx val="45272371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2">
    <c:autoUpdate val="0"/>
  </c:externalData>
</c:chartSpace>
</file>

<file path=word/charts/chart7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7"/>
    </mc:Choice>
    <mc:Fallback>
      <c:style val="7"/>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'[Զեկույցի ամփոփ գրաֆիկներ -2024 (6).xlsx]Sheet1'!$C$232</c:f>
              <c:strCache>
                <c:ptCount val="1"/>
                <c:pt idx="0">
                  <c:v>Կշիռ</c:v>
                </c:pt>
              </c:strCache>
            </c:strRef>
          </c:tx>
          <c:spPr>
            <a:solidFill>
              <a:srgbClr val="5B9BD5">
                <a:lumMod val="50000"/>
              </a:srgb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'[Զեկույցի ամփոփ գրաֆիկներ -2024 (6).xlsx]Sheet1'!$B$233:$B$241</c:f>
              <c:numCache>
                <c:formatCode>General</c:formatCode>
                <c:ptCount val="9"/>
                <c:pt idx="0">
                  <c:v>2016</c:v>
                </c:pt>
                <c:pt idx="1">
                  <c:v>2017</c:v>
                </c:pt>
                <c:pt idx="2">
                  <c:v>2018</c:v>
                </c:pt>
                <c:pt idx="3">
                  <c:v>2019</c:v>
                </c:pt>
                <c:pt idx="4">
                  <c:v>2020</c:v>
                </c:pt>
                <c:pt idx="5">
                  <c:v>2021</c:v>
                </c:pt>
                <c:pt idx="6">
                  <c:v>2022</c:v>
                </c:pt>
                <c:pt idx="7">
                  <c:v>2023</c:v>
                </c:pt>
                <c:pt idx="8">
                  <c:v>2024</c:v>
                </c:pt>
              </c:numCache>
            </c:numRef>
          </c:cat>
          <c:val>
            <c:numRef>
              <c:f>'[Զեկույցի ամփոփ գրաֆիկներ -2024 (6).xlsx]Sheet1'!$C$233:$C$241</c:f>
              <c:numCache>
                <c:formatCode>0.00%</c:formatCode>
                <c:ptCount val="9"/>
                <c:pt idx="0">
                  <c:v>6.9500000000000006E-2</c:v>
                </c:pt>
                <c:pt idx="1">
                  <c:v>7.8399999999999997E-2</c:v>
                </c:pt>
                <c:pt idx="2">
                  <c:v>6.6600000000000006E-2</c:v>
                </c:pt>
                <c:pt idx="3">
                  <c:v>5.2200000000000003E-2</c:v>
                </c:pt>
                <c:pt idx="4">
                  <c:v>4.6100000000000002E-2</c:v>
                </c:pt>
                <c:pt idx="5">
                  <c:v>4.1799999999999997E-2</c:v>
                </c:pt>
                <c:pt idx="6">
                  <c:v>2.8910000000000002E-2</c:v>
                </c:pt>
                <c:pt idx="7">
                  <c:v>1.9539999999999998E-2</c:v>
                </c:pt>
                <c:pt idx="8">
                  <c:v>1.017E-2</c:v>
                </c:pt>
              </c:numCache>
            </c:numRef>
          </c:val>
          <c:extLst>
            <c:ext xmlns:c16="http://schemas.microsoft.com/office/drawing/2014/chart" uri="{C3380CC4-5D6E-409C-BE32-E72D297353CC}">
              <c16:uniqueId val="{00000000-4EF0-4B35-AF59-D4466EC566FF}"/>
            </c:ext>
          </c:extLst>
        </c:ser>
        <c:dLbls>
          <c:showLegendKey val="0"/>
          <c:showVal val="0"/>
          <c:showCatName val="0"/>
          <c:showSerName val="0"/>
          <c:showPercent val="0"/>
          <c:showBubbleSize val="0"/>
        </c:dLbls>
        <c:gapWidth val="219"/>
        <c:overlap val="-27"/>
        <c:axId val="452724736"/>
        <c:axId val="452666496"/>
      </c:barChart>
      <c:lineChart>
        <c:grouping val="standard"/>
        <c:varyColors val="0"/>
        <c:ser>
          <c:idx val="1"/>
          <c:order val="1"/>
          <c:tx>
            <c:strRef>
              <c:f>'[Զեկույցի ամփոփ գրաֆիկներ -2024 (6).xlsx]Sheet1'!$D$232</c:f>
              <c:strCache>
                <c:ptCount val="1"/>
                <c:pt idx="0">
                  <c:v>Սահմանային շեմ</c:v>
                </c:pt>
              </c:strCache>
            </c:strRef>
          </c:tx>
          <c:spPr>
            <a:ln w="28575" cap="rnd">
              <a:solidFill>
                <a:srgbClr val="FF0000"/>
              </a:solidFill>
              <a:prstDash val="sysDot"/>
              <a:round/>
            </a:ln>
            <a:effectLst/>
          </c:spPr>
          <c:marker>
            <c:symbol val="none"/>
          </c:marker>
          <c:cat>
            <c:numRef>
              <c:f>'[Զեկույցի ամփոփ գրաֆիկներ -2024 (6).xlsx]Sheet1'!$B$233:$B$241</c:f>
              <c:numCache>
                <c:formatCode>General</c:formatCode>
                <c:ptCount val="9"/>
                <c:pt idx="0">
                  <c:v>2016</c:v>
                </c:pt>
                <c:pt idx="1">
                  <c:v>2017</c:v>
                </c:pt>
                <c:pt idx="2">
                  <c:v>2018</c:v>
                </c:pt>
                <c:pt idx="3">
                  <c:v>2019</c:v>
                </c:pt>
                <c:pt idx="4">
                  <c:v>2020</c:v>
                </c:pt>
                <c:pt idx="5">
                  <c:v>2021</c:v>
                </c:pt>
                <c:pt idx="6">
                  <c:v>2022</c:v>
                </c:pt>
                <c:pt idx="7">
                  <c:v>2023</c:v>
                </c:pt>
                <c:pt idx="8">
                  <c:v>2024</c:v>
                </c:pt>
              </c:numCache>
            </c:numRef>
          </c:cat>
          <c:val>
            <c:numRef>
              <c:f>'[Զեկույցի ամփոփ գրաֆիկներ -2024 (6).xlsx]Sheet1'!$D$233:$D$241</c:f>
              <c:numCache>
                <c:formatCode>0.00%</c:formatCode>
                <c:ptCount val="9"/>
                <c:pt idx="0">
                  <c:v>0.1</c:v>
                </c:pt>
                <c:pt idx="1">
                  <c:v>0.1</c:v>
                </c:pt>
                <c:pt idx="2">
                  <c:v>0.1</c:v>
                </c:pt>
                <c:pt idx="3">
                  <c:v>0.1</c:v>
                </c:pt>
                <c:pt idx="4">
                  <c:v>0.1</c:v>
                </c:pt>
                <c:pt idx="5">
                  <c:v>0.1</c:v>
                </c:pt>
                <c:pt idx="6">
                  <c:v>0.1</c:v>
                </c:pt>
                <c:pt idx="7">
                  <c:v>0.1</c:v>
                </c:pt>
                <c:pt idx="8">
                  <c:v>0.1</c:v>
                </c:pt>
              </c:numCache>
            </c:numRef>
          </c:val>
          <c:smooth val="0"/>
          <c:extLst>
            <c:ext xmlns:c16="http://schemas.microsoft.com/office/drawing/2014/chart" uri="{C3380CC4-5D6E-409C-BE32-E72D297353CC}">
              <c16:uniqueId val="{00000001-4EF0-4B35-AF59-D4466EC566FF}"/>
            </c:ext>
          </c:extLst>
        </c:ser>
        <c:dLbls>
          <c:showLegendKey val="0"/>
          <c:showVal val="0"/>
          <c:showCatName val="0"/>
          <c:showSerName val="0"/>
          <c:showPercent val="0"/>
          <c:showBubbleSize val="0"/>
        </c:dLbls>
        <c:marker val="1"/>
        <c:smooth val="0"/>
        <c:axId val="452724736"/>
        <c:axId val="452666496"/>
      </c:lineChart>
      <c:catAx>
        <c:axId val="45272473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2666496"/>
        <c:crosses val="autoZero"/>
        <c:auto val="1"/>
        <c:lblAlgn val="ctr"/>
        <c:lblOffset val="100"/>
        <c:noMultiLvlLbl val="0"/>
      </c:catAx>
      <c:valAx>
        <c:axId val="452666496"/>
        <c:scaling>
          <c:orientation val="minMax"/>
          <c:max val="0.12000000000000001"/>
          <c:min val="0"/>
        </c:scaling>
        <c:delete val="0"/>
        <c:axPos val="l"/>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272473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2">
    <c:autoUpdate val="0"/>
  </c:externalData>
</c:chartSpace>
</file>

<file path=word/charts/chart7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7.9247594050743664E-2"/>
          <c:y val="0.12037037037037036"/>
          <c:w val="0.82883814523184607"/>
          <c:h val="0.52876694429127324"/>
        </c:manualLayout>
      </c:layout>
      <c:lineChart>
        <c:grouping val="standard"/>
        <c:varyColors val="0"/>
        <c:ser>
          <c:idx val="0"/>
          <c:order val="0"/>
          <c:tx>
            <c:strRef>
              <c:f>volumes!$B$4</c:f>
              <c:strCache>
                <c:ptCount val="1"/>
                <c:pt idx="0">
                  <c:v>Ուղևորափոխադրում, հազ մարդ</c:v>
                </c:pt>
              </c:strCache>
            </c:strRef>
          </c:tx>
          <c:spPr>
            <a:ln w="28575" cap="rnd">
              <a:solidFill>
                <a:schemeClr val="accent1"/>
              </a:solidFill>
              <a:round/>
            </a:ln>
            <a:effectLst/>
          </c:spPr>
          <c:marker>
            <c:symbol val="none"/>
          </c:marker>
          <c:cat>
            <c:numRef>
              <c:f>volumes!$C$3:$F$3</c:f>
              <c:numCache>
                <c:formatCode>General</c:formatCode>
                <c:ptCount val="4"/>
                <c:pt idx="0">
                  <c:v>2021</c:v>
                </c:pt>
                <c:pt idx="1">
                  <c:v>2022</c:v>
                </c:pt>
                <c:pt idx="2">
                  <c:v>2023</c:v>
                </c:pt>
                <c:pt idx="3">
                  <c:v>2024</c:v>
                </c:pt>
              </c:numCache>
            </c:numRef>
          </c:cat>
          <c:val>
            <c:numRef>
              <c:f>volumes!$C$4:$F$4</c:f>
              <c:numCache>
                <c:formatCode>General</c:formatCode>
                <c:ptCount val="4"/>
                <c:pt idx="0">
                  <c:v>434.6</c:v>
                </c:pt>
                <c:pt idx="1">
                  <c:v>500.7</c:v>
                </c:pt>
                <c:pt idx="2">
                  <c:v>538.29999999999995</c:v>
                </c:pt>
                <c:pt idx="3">
                  <c:v>563.6</c:v>
                </c:pt>
              </c:numCache>
            </c:numRef>
          </c:val>
          <c:smooth val="0"/>
          <c:extLst>
            <c:ext xmlns:c16="http://schemas.microsoft.com/office/drawing/2014/chart" uri="{C3380CC4-5D6E-409C-BE32-E72D297353CC}">
              <c16:uniqueId val="{00000000-2283-4A9E-B6AE-9BAA533D1D3B}"/>
            </c:ext>
          </c:extLst>
        </c:ser>
        <c:dLbls>
          <c:showLegendKey val="0"/>
          <c:showVal val="0"/>
          <c:showCatName val="0"/>
          <c:showSerName val="0"/>
          <c:showPercent val="0"/>
          <c:showBubbleSize val="0"/>
        </c:dLbls>
        <c:marker val="1"/>
        <c:smooth val="0"/>
        <c:axId val="434335232"/>
        <c:axId val="452672256"/>
        <c:extLst>
          <c:ext xmlns:c15="http://schemas.microsoft.com/office/drawing/2012/chart" uri="{02D57815-91ED-43cb-92C2-25804820EDAC}">
            <c15:filteredLineSeries>
              <c15:ser>
                <c:idx val="1"/>
                <c:order val="1"/>
                <c:tx>
                  <c:strRef>
                    <c:extLst>
                      <c:ext uri="{02D57815-91ED-43cb-92C2-25804820EDAC}">
                        <c15:formulaRef>
                          <c15:sqref>volumes!$B$5</c15:sqref>
                        </c15:formulaRef>
                      </c:ext>
                    </c:extLst>
                    <c:strCache>
                      <c:ptCount val="1"/>
                      <c:pt idx="0">
                        <c:v>Բեռնափոխադրում, մլն տոննա/կմ</c:v>
                      </c:pt>
                    </c:strCache>
                  </c:strRef>
                </c:tx>
                <c:spPr>
                  <a:ln w="28575" cap="rnd">
                    <a:solidFill>
                      <a:schemeClr val="accent2"/>
                    </a:solidFill>
                    <a:round/>
                  </a:ln>
                  <a:effectLst/>
                </c:spPr>
                <c:marker>
                  <c:symbol val="none"/>
                </c:marker>
                <c:cat>
                  <c:numRef>
                    <c:extLst>
                      <c:ext uri="{02D57815-91ED-43cb-92C2-25804820EDAC}">
                        <c15:formulaRef>
                          <c15:sqref>volumes!$C$3:$F$3</c15:sqref>
                        </c15:formulaRef>
                      </c:ext>
                    </c:extLst>
                    <c:numCache>
                      <c:formatCode>General</c:formatCode>
                      <c:ptCount val="4"/>
                      <c:pt idx="0">
                        <c:v>2021</c:v>
                      </c:pt>
                      <c:pt idx="1">
                        <c:v>2022</c:v>
                      </c:pt>
                      <c:pt idx="2">
                        <c:v>2023</c:v>
                      </c:pt>
                      <c:pt idx="3">
                        <c:v>2024</c:v>
                      </c:pt>
                    </c:numCache>
                  </c:numRef>
                </c:cat>
                <c:val>
                  <c:numRef>
                    <c:extLst>
                      <c:ext uri="{02D57815-91ED-43cb-92C2-25804820EDAC}">
                        <c15:formulaRef>
                          <c15:sqref>volumes!$C$5:$F$5</c15:sqref>
                        </c15:formulaRef>
                      </c:ext>
                    </c:extLst>
                    <c:numCache>
                      <c:formatCode>General</c:formatCode>
                      <c:ptCount val="4"/>
                      <c:pt idx="0">
                        <c:v>811.2</c:v>
                      </c:pt>
                      <c:pt idx="1">
                        <c:v>907.1</c:v>
                      </c:pt>
                      <c:pt idx="2">
                        <c:v>528.79999999999995</c:v>
                      </c:pt>
                      <c:pt idx="3">
                        <c:v>381.2</c:v>
                      </c:pt>
                    </c:numCache>
                  </c:numRef>
                </c:val>
                <c:smooth val="0"/>
                <c:extLst>
                  <c:ext xmlns:c16="http://schemas.microsoft.com/office/drawing/2014/chart" uri="{C3380CC4-5D6E-409C-BE32-E72D297353CC}">
                    <c16:uniqueId val="{00000008-2283-4A9E-B6AE-9BAA533D1D3B}"/>
                  </c:ext>
                </c:extLst>
              </c15:ser>
            </c15:filteredLineSeries>
          </c:ext>
        </c:extLst>
      </c:lineChart>
      <c:lineChart>
        <c:grouping val="standard"/>
        <c:varyColors val="0"/>
        <c:ser>
          <c:idx val="2"/>
          <c:order val="2"/>
          <c:tx>
            <c:strRef>
              <c:f>volumes!$B$6</c:f>
              <c:strCache>
                <c:ptCount val="1"/>
                <c:pt idx="0">
                  <c:v>Բեռնափոխադրում, հազ տոննա (աջ առանցք)</c:v>
                </c:pt>
              </c:strCache>
            </c:strRef>
          </c:tx>
          <c:spPr>
            <a:ln w="28575" cap="rnd">
              <a:solidFill>
                <a:schemeClr val="accent3">
                  <a:lumMod val="75000"/>
                </a:schemeClr>
              </a:solidFill>
              <a:round/>
            </a:ln>
            <a:effectLst/>
          </c:spPr>
          <c:marker>
            <c:symbol val="none"/>
          </c:marker>
          <c:dPt>
            <c:idx val="1"/>
            <c:bubble3D val="0"/>
            <c:spPr>
              <a:ln w="28575" cap="rnd">
                <a:solidFill>
                  <a:schemeClr val="accent3">
                    <a:lumMod val="50000"/>
                  </a:schemeClr>
                </a:solidFill>
                <a:round/>
              </a:ln>
              <a:effectLst/>
            </c:spPr>
            <c:extLst>
              <c:ext xmlns:c16="http://schemas.microsoft.com/office/drawing/2014/chart" uri="{C3380CC4-5D6E-409C-BE32-E72D297353CC}">
                <c16:uniqueId val="{00000002-2283-4A9E-B6AE-9BAA533D1D3B}"/>
              </c:ext>
            </c:extLst>
          </c:dPt>
          <c:dPt>
            <c:idx val="2"/>
            <c:bubble3D val="0"/>
            <c:spPr>
              <a:ln w="28575" cap="rnd">
                <a:solidFill>
                  <a:schemeClr val="accent3">
                    <a:lumMod val="50000"/>
                  </a:schemeClr>
                </a:solidFill>
                <a:round/>
              </a:ln>
              <a:effectLst/>
            </c:spPr>
            <c:extLst>
              <c:ext xmlns:c16="http://schemas.microsoft.com/office/drawing/2014/chart" uri="{C3380CC4-5D6E-409C-BE32-E72D297353CC}">
                <c16:uniqueId val="{00000004-2283-4A9E-B6AE-9BAA533D1D3B}"/>
              </c:ext>
            </c:extLst>
          </c:dPt>
          <c:dPt>
            <c:idx val="3"/>
            <c:bubble3D val="0"/>
            <c:spPr>
              <a:ln w="28575" cap="rnd">
                <a:solidFill>
                  <a:schemeClr val="accent3">
                    <a:lumMod val="50000"/>
                  </a:schemeClr>
                </a:solidFill>
                <a:round/>
              </a:ln>
              <a:effectLst/>
            </c:spPr>
            <c:extLst>
              <c:ext xmlns:c16="http://schemas.microsoft.com/office/drawing/2014/chart" uri="{C3380CC4-5D6E-409C-BE32-E72D297353CC}">
                <c16:uniqueId val="{00000006-2283-4A9E-B6AE-9BAA533D1D3B}"/>
              </c:ext>
            </c:extLst>
          </c:dPt>
          <c:cat>
            <c:numRef>
              <c:f>volumes!$C$3:$F$3</c:f>
              <c:numCache>
                <c:formatCode>General</c:formatCode>
                <c:ptCount val="4"/>
                <c:pt idx="0">
                  <c:v>2021</c:v>
                </c:pt>
                <c:pt idx="1">
                  <c:v>2022</c:v>
                </c:pt>
                <c:pt idx="2">
                  <c:v>2023</c:v>
                </c:pt>
                <c:pt idx="3">
                  <c:v>2024</c:v>
                </c:pt>
              </c:numCache>
            </c:numRef>
          </c:cat>
          <c:val>
            <c:numRef>
              <c:f>volumes!$C$6:$F$6</c:f>
              <c:numCache>
                <c:formatCode>General</c:formatCode>
                <c:ptCount val="4"/>
                <c:pt idx="0">
                  <c:v>3124.7</c:v>
                </c:pt>
                <c:pt idx="1">
                  <c:v>3509.1</c:v>
                </c:pt>
                <c:pt idx="2">
                  <c:v>2103.3000000000002</c:v>
                </c:pt>
                <c:pt idx="3">
                  <c:v>1442.5</c:v>
                </c:pt>
              </c:numCache>
            </c:numRef>
          </c:val>
          <c:smooth val="0"/>
          <c:extLst>
            <c:ext xmlns:c16="http://schemas.microsoft.com/office/drawing/2014/chart" uri="{C3380CC4-5D6E-409C-BE32-E72D297353CC}">
              <c16:uniqueId val="{00000007-2283-4A9E-B6AE-9BAA533D1D3B}"/>
            </c:ext>
          </c:extLst>
        </c:ser>
        <c:dLbls>
          <c:showLegendKey val="0"/>
          <c:showVal val="0"/>
          <c:showCatName val="0"/>
          <c:showSerName val="0"/>
          <c:showPercent val="0"/>
          <c:showBubbleSize val="0"/>
        </c:dLbls>
        <c:marker val="1"/>
        <c:smooth val="0"/>
        <c:axId val="453976064"/>
        <c:axId val="452672832"/>
      </c:lineChart>
      <c:catAx>
        <c:axId val="4343352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2672256"/>
        <c:crosses val="autoZero"/>
        <c:auto val="1"/>
        <c:lblAlgn val="ctr"/>
        <c:lblOffset val="100"/>
        <c:noMultiLvlLbl val="0"/>
      </c:catAx>
      <c:valAx>
        <c:axId val="452672256"/>
        <c:scaling>
          <c:orientation val="minMax"/>
          <c:min val="200"/>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4335232"/>
        <c:crosses val="autoZero"/>
        <c:crossBetween val="between"/>
      </c:valAx>
      <c:valAx>
        <c:axId val="452672832"/>
        <c:scaling>
          <c:orientation val="minMax"/>
          <c:min val="1000"/>
        </c:scaling>
        <c:delete val="0"/>
        <c:axPos val="r"/>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3976064"/>
        <c:crosses val="max"/>
        <c:crossBetween val="between"/>
      </c:valAx>
      <c:catAx>
        <c:axId val="453976064"/>
        <c:scaling>
          <c:orientation val="minMax"/>
        </c:scaling>
        <c:delete val="1"/>
        <c:axPos val="b"/>
        <c:numFmt formatCode="General" sourceLinked="1"/>
        <c:majorTickMark val="out"/>
        <c:minorTickMark val="none"/>
        <c:tickLblPos val="nextTo"/>
        <c:crossAx val="452672832"/>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8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tx>
            <c:strRef>
              <c:f>Sheet1!$B$283</c:f>
              <c:strCache>
                <c:ptCount val="1"/>
                <c:pt idx="0">
                  <c:v>Մարդածին արտակարգ դեպքեր</c:v>
                </c:pt>
              </c:strCache>
            </c:strRef>
          </c:tx>
          <c:spPr>
            <a:solidFill>
              <a:schemeClr val="tx2">
                <a:lumMod val="75000"/>
              </a:schemeClr>
            </a:solidFill>
            <a:ln>
              <a:noFill/>
            </a:ln>
            <a:effectLst/>
          </c:spPr>
          <c:invertIfNegative val="0"/>
          <c:dLbls>
            <c:spPr>
              <a:noFill/>
              <a:ln>
                <a:noFill/>
              </a:ln>
              <a:effectLst/>
            </c:spPr>
            <c:txPr>
              <a:bodyPr rot="-5400000" spcFirstLastPara="1" vertOverflow="ellipsis" vert="horz" wrap="square" lIns="38100" tIns="19050" rIns="38100" bIns="19050" anchor="ctr" anchorCtr="1">
                <a:spAutoFit/>
              </a:bodyPr>
              <a:lstStyle/>
              <a:p>
                <a:pPr>
                  <a:defRPr sz="900" b="0" i="0" u="none" strike="noStrike" kern="1200" baseline="0">
                    <a:solidFill>
                      <a:schemeClr val="bg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Sheet1!$C$282:$H$282</c:f>
              <c:numCache>
                <c:formatCode>General</c:formatCode>
                <c:ptCount val="6"/>
                <c:pt idx="0">
                  <c:v>2019</c:v>
                </c:pt>
                <c:pt idx="1">
                  <c:v>2020</c:v>
                </c:pt>
                <c:pt idx="2">
                  <c:v>2021</c:v>
                </c:pt>
                <c:pt idx="3">
                  <c:v>2022</c:v>
                </c:pt>
                <c:pt idx="4">
                  <c:v>2023</c:v>
                </c:pt>
                <c:pt idx="5">
                  <c:v>2024</c:v>
                </c:pt>
              </c:numCache>
            </c:numRef>
          </c:cat>
          <c:val>
            <c:numRef>
              <c:f>Sheet1!$C$283:$H$283</c:f>
              <c:numCache>
                <c:formatCode>0.0%</c:formatCode>
                <c:ptCount val="6"/>
                <c:pt idx="0">
                  <c:v>0.72699999999999998</c:v>
                </c:pt>
                <c:pt idx="1">
                  <c:v>0.70299999999999996</c:v>
                </c:pt>
                <c:pt idx="2">
                  <c:v>0.76700000000000002</c:v>
                </c:pt>
                <c:pt idx="3">
                  <c:v>0.74399999999999999</c:v>
                </c:pt>
                <c:pt idx="4">
                  <c:v>0.73899999999999999</c:v>
                </c:pt>
                <c:pt idx="5">
                  <c:v>0.73699999999999999</c:v>
                </c:pt>
              </c:numCache>
            </c:numRef>
          </c:val>
          <c:extLst>
            <c:ext xmlns:c16="http://schemas.microsoft.com/office/drawing/2014/chart" uri="{C3380CC4-5D6E-409C-BE32-E72D297353CC}">
              <c16:uniqueId val="{00000000-44E5-4266-8D72-AF0314AEBAB7}"/>
            </c:ext>
          </c:extLst>
        </c:ser>
        <c:ser>
          <c:idx val="1"/>
          <c:order val="1"/>
          <c:tx>
            <c:strRef>
              <c:f>Sheet1!$B$284</c:f>
              <c:strCache>
                <c:ptCount val="1"/>
                <c:pt idx="0">
                  <c:v>Սոցիալ-կենսաբանական արտակարգ դեպքեր</c:v>
                </c:pt>
              </c:strCache>
            </c:strRef>
          </c:tx>
          <c:spPr>
            <a:solidFill>
              <a:schemeClr val="accent1">
                <a:lumMod val="75000"/>
              </a:schemeClr>
            </a:solidFill>
            <a:ln>
              <a:noFill/>
            </a:ln>
            <a:effectLst/>
          </c:spPr>
          <c:invertIfNegative val="0"/>
          <c:dLbls>
            <c:spPr>
              <a:noFill/>
              <a:ln>
                <a:noFill/>
              </a:ln>
              <a:effectLst/>
            </c:spPr>
            <c:txPr>
              <a:bodyPr rot="-5400000" spcFirstLastPara="1" vertOverflow="ellipsis" vert="horz" wrap="square" lIns="38100" tIns="19050" rIns="38100" bIns="19050" anchor="ctr" anchorCtr="1">
                <a:spAutoFit/>
              </a:bodyPr>
              <a:lstStyle/>
              <a:p>
                <a:pPr>
                  <a:defRPr sz="900" b="0" i="0" u="none" strike="noStrike" kern="1200" baseline="0">
                    <a:solidFill>
                      <a:schemeClr val="bg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Sheet1!$C$282:$H$282</c:f>
              <c:numCache>
                <c:formatCode>General</c:formatCode>
                <c:ptCount val="6"/>
                <c:pt idx="0">
                  <c:v>2019</c:v>
                </c:pt>
                <c:pt idx="1">
                  <c:v>2020</c:v>
                </c:pt>
                <c:pt idx="2">
                  <c:v>2021</c:v>
                </c:pt>
                <c:pt idx="3">
                  <c:v>2022</c:v>
                </c:pt>
                <c:pt idx="4">
                  <c:v>2023</c:v>
                </c:pt>
                <c:pt idx="5">
                  <c:v>2024</c:v>
                </c:pt>
              </c:numCache>
            </c:numRef>
          </c:cat>
          <c:val>
            <c:numRef>
              <c:f>Sheet1!$C$284:$H$284</c:f>
              <c:numCache>
                <c:formatCode>0.0%</c:formatCode>
                <c:ptCount val="6"/>
                <c:pt idx="0">
                  <c:v>0.254</c:v>
                </c:pt>
                <c:pt idx="1">
                  <c:v>0.26400000000000001</c:v>
                </c:pt>
                <c:pt idx="2">
                  <c:v>0.19099999999999995</c:v>
                </c:pt>
                <c:pt idx="3">
                  <c:v>0.20699999999999996</c:v>
                </c:pt>
                <c:pt idx="4">
                  <c:v>0.21870000000000001</c:v>
                </c:pt>
                <c:pt idx="5">
                  <c:v>0.21440000000000003</c:v>
                </c:pt>
              </c:numCache>
            </c:numRef>
          </c:val>
          <c:extLst>
            <c:ext xmlns:c16="http://schemas.microsoft.com/office/drawing/2014/chart" uri="{C3380CC4-5D6E-409C-BE32-E72D297353CC}">
              <c16:uniqueId val="{00000001-44E5-4266-8D72-AF0314AEBAB7}"/>
            </c:ext>
          </c:extLst>
        </c:ser>
        <c:ser>
          <c:idx val="2"/>
          <c:order val="2"/>
          <c:tx>
            <c:strRef>
              <c:f>Sheet1!$B$285</c:f>
              <c:strCache>
                <c:ptCount val="1"/>
                <c:pt idx="0">
                  <c:v>Տարերային վտանգավոր երևույթներ</c:v>
                </c:pt>
              </c:strCache>
            </c:strRef>
          </c:tx>
          <c:spPr>
            <a:solidFill>
              <a:schemeClr val="accent1">
                <a:lumMod val="60000"/>
                <a:lumOff val="40000"/>
              </a:schemeClr>
            </a:solidFill>
            <a:ln>
              <a:noFill/>
            </a:ln>
            <a:effectLst/>
          </c:spPr>
          <c:invertIfNegative val="0"/>
          <c:dLbls>
            <c:dLbl>
              <c:idx val="0"/>
              <c:layout>
                <c:manualLayout>
                  <c:x val="4.329004329004329E-3"/>
                  <c:y val="-1.290322580645163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44E5-4266-8D72-AF0314AEBAB7}"/>
                </c:ext>
              </c:extLst>
            </c:dLbl>
            <c:dLbl>
              <c:idx val="1"/>
              <c:layout>
                <c:manualLayout>
                  <c:x val="-3.9682081271750627E-17"/>
                  <c:y val="-1.720430107526881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44E5-4266-8D72-AF0314AEBAB7}"/>
                </c:ext>
              </c:extLst>
            </c:dLbl>
            <c:dLbl>
              <c:idx val="2"/>
              <c:layout>
                <c:manualLayout>
                  <c:x val="0"/>
                  <c:y val="-2.150537634408602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44E5-4266-8D72-AF0314AEBAB7}"/>
                </c:ext>
              </c:extLst>
            </c:dLbl>
            <c:dLbl>
              <c:idx val="3"/>
              <c:layout>
                <c:manualLayout>
                  <c:x val="4.3290043290042501E-3"/>
                  <c:y val="-2.150537634408602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44E5-4266-8D72-AF0314AEBAB7}"/>
                </c:ext>
              </c:extLst>
            </c:dLbl>
            <c:dLbl>
              <c:idx val="4"/>
              <c:layout>
                <c:manualLayout>
                  <c:x val="-7.9364162543501253E-17"/>
                  <c:y val="-2.150537634408604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44E5-4266-8D72-AF0314AEBAB7}"/>
                </c:ext>
              </c:extLst>
            </c:dLbl>
            <c:dLbl>
              <c:idx val="5"/>
              <c:layout>
                <c:manualLayout>
                  <c:x val="0"/>
                  <c:y val="-2.150537634408602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44E5-4266-8D72-AF0314AEBAB7}"/>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Sheet1!$C$282:$H$282</c:f>
              <c:numCache>
                <c:formatCode>General</c:formatCode>
                <c:ptCount val="6"/>
                <c:pt idx="0">
                  <c:v>2019</c:v>
                </c:pt>
                <c:pt idx="1">
                  <c:v>2020</c:v>
                </c:pt>
                <c:pt idx="2">
                  <c:v>2021</c:v>
                </c:pt>
                <c:pt idx="3">
                  <c:v>2022</c:v>
                </c:pt>
                <c:pt idx="4">
                  <c:v>2023</c:v>
                </c:pt>
                <c:pt idx="5">
                  <c:v>2024</c:v>
                </c:pt>
              </c:numCache>
            </c:numRef>
          </c:cat>
          <c:val>
            <c:numRef>
              <c:f>Sheet1!$C$285:$H$285</c:f>
              <c:numCache>
                <c:formatCode>0.0%</c:formatCode>
                <c:ptCount val="6"/>
                <c:pt idx="0">
                  <c:v>1.9E-2</c:v>
                </c:pt>
                <c:pt idx="1">
                  <c:v>3.3000000000000002E-2</c:v>
                </c:pt>
                <c:pt idx="2">
                  <c:v>4.2000000000000003E-2</c:v>
                </c:pt>
                <c:pt idx="3">
                  <c:v>4.9000000000000002E-2</c:v>
                </c:pt>
                <c:pt idx="4">
                  <c:v>4.2299999999999997E-2</c:v>
                </c:pt>
                <c:pt idx="5">
                  <c:v>4.8599999999999997E-2</c:v>
                </c:pt>
              </c:numCache>
            </c:numRef>
          </c:val>
          <c:extLst>
            <c:ext xmlns:c16="http://schemas.microsoft.com/office/drawing/2014/chart" uri="{C3380CC4-5D6E-409C-BE32-E72D297353CC}">
              <c16:uniqueId val="{00000008-44E5-4266-8D72-AF0314AEBAB7}"/>
            </c:ext>
          </c:extLst>
        </c:ser>
        <c:dLbls>
          <c:showLegendKey val="0"/>
          <c:showVal val="0"/>
          <c:showCatName val="0"/>
          <c:showSerName val="0"/>
          <c:showPercent val="0"/>
          <c:showBubbleSize val="0"/>
        </c:dLbls>
        <c:gapWidth val="150"/>
        <c:overlap val="100"/>
        <c:axId val="440982016"/>
        <c:axId val="453428352"/>
      </c:barChart>
      <c:catAx>
        <c:axId val="44098201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3428352"/>
        <c:crosses val="autoZero"/>
        <c:auto val="1"/>
        <c:lblAlgn val="ctr"/>
        <c:lblOffset val="100"/>
        <c:noMultiLvlLbl val="0"/>
      </c:catAx>
      <c:valAx>
        <c:axId val="453428352"/>
        <c:scaling>
          <c:orientation val="minMax"/>
          <c:max val="1"/>
        </c:scaling>
        <c:delete val="0"/>
        <c:axPos val="l"/>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098201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8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3"/>
    </mc:Choice>
    <mc:Fallback>
      <c:style val="3"/>
    </mc:Fallback>
  </mc:AlternateContent>
  <c:chart>
    <c:autoTitleDeleted val="1"/>
    <c:plotArea>
      <c:layout/>
      <c:barChart>
        <c:barDir val="col"/>
        <c:grouping val="clustered"/>
        <c:varyColors val="0"/>
        <c:ser>
          <c:idx val="0"/>
          <c:order val="0"/>
          <c:spPr>
            <a:solidFill>
              <a:schemeClr val="tx2">
                <a:lumMod val="75000"/>
              </a:schemeClr>
            </a:solidFill>
            <a:ln>
              <a:noFill/>
            </a:ln>
            <a:effectLst/>
          </c:spPr>
          <c:invertIfNegative val="0"/>
          <c:cat>
            <c:numRef>
              <c:f>Sheet1!$C$289:$H$289</c:f>
              <c:numCache>
                <c:formatCode>General</c:formatCode>
                <c:ptCount val="6"/>
                <c:pt idx="0">
                  <c:v>2019</c:v>
                </c:pt>
                <c:pt idx="1">
                  <c:v>2020</c:v>
                </c:pt>
                <c:pt idx="2">
                  <c:v>2021</c:v>
                </c:pt>
                <c:pt idx="3">
                  <c:v>2022</c:v>
                </c:pt>
                <c:pt idx="4">
                  <c:v>2023</c:v>
                </c:pt>
                <c:pt idx="5">
                  <c:v>2024</c:v>
                </c:pt>
              </c:numCache>
            </c:numRef>
          </c:cat>
          <c:val>
            <c:numRef>
              <c:f>Sheet1!$C$290:$H$290</c:f>
              <c:numCache>
                <c:formatCode>_(* #,##0.00_);_(* \(#,##0.00\);_(* "-"??_);_(@_)</c:formatCode>
                <c:ptCount val="6"/>
                <c:pt idx="0">
                  <c:v>20889</c:v>
                </c:pt>
                <c:pt idx="1">
                  <c:v>15216</c:v>
                </c:pt>
                <c:pt idx="2">
                  <c:v>14875</c:v>
                </c:pt>
                <c:pt idx="3">
                  <c:v>14262</c:v>
                </c:pt>
                <c:pt idx="4">
                  <c:v>13953</c:v>
                </c:pt>
                <c:pt idx="5">
                  <c:v>13572</c:v>
                </c:pt>
              </c:numCache>
            </c:numRef>
          </c:val>
          <c:extLst>
            <c:ext xmlns:c16="http://schemas.microsoft.com/office/drawing/2014/chart" uri="{C3380CC4-5D6E-409C-BE32-E72D297353CC}">
              <c16:uniqueId val="{00000000-B0EA-487F-929B-D33BD23402D4}"/>
            </c:ext>
          </c:extLst>
        </c:ser>
        <c:dLbls>
          <c:showLegendKey val="0"/>
          <c:showVal val="0"/>
          <c:showCatName val="0"/>
          <c:showSerName val="0"/>
          <c:showPercent val="0"/>
          <c:showBubbleSize val="0"/>
        </c:dLbls>
        <c:gapWidth val="219"/>
        <c:overlap val="-27"/>
        <c:axId val="453589504"/>
        <c:axId val="453430080"/>
      </c:barChart>
      <c:catAx>
        <c:axId val="45358950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3430080"/>
        <c:crosses val="autoZero"/>
        <c:auto val="1"/>
        <c:lblAlgn val="ctr"/>
        <c:lblOffset val="100"/>
        <c:noMultiLvlLbl val="0"/>
      </c:catAx>
      <c:valAx>
        <c:axId val="453430080"/>
        <c:scaling>
          <c:orientation val="minMax"/>
        </c:scaling>
        <c:delete val="0"/>
        <c:axPos val="l"/>
        <c:numFmt formatCode="_(* #,##0.00_);_(* \(#,##0.00\);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358950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8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0"/>
      <c:rotY val="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Sheet1!$B$4</c:f>
              <c:strCache>
                <c:ptCount val="1"/>
                <c:pt idx="0">
                  <c:v>Պահանջված գումար</c:v>
                </c:pt>
              </c:strCache>
            </c:strRef>
          </c:tx>
          <c:spPr>
            <a:solidFill>
              <a:schemeClr val="bg1">
                <a:lumMod val="75000"/>
              </a:schemeClr>
            </a:solidFill>
            <a:ln>
              <a:noFill/>
            </a:ln>
            <a:effectLst/>
            <a:sp3d/>
          </c:spPr>
          <c:invertIfNegative val="0"/>
          <c:dLbls>
            <c:dLbl>
              <c:idx val="4"/>
              <c:layout>
                <c:manualLayout>
                  <c:x val="1.3888888888888888E-2"/>
                  <c:y val="4.6296296296296294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0964-4C8C-B488-0501F9AC3F99}"/>
                </c:ext>
              </c:extLst>
            </c:dLbl>
            <c:spPr>
              <a:noFill/>
              <a:ln>
                <a:noFill/>
              </a:ln>
              <a:effectLst/>
            </c:spPr>
            <c:txPr>
              <a:bodyPr rot="0" spcFirstLastPara="1" vertOverflow="ellipsis" vert="horz" wrap="square" lIns="38100" tIns="19050" rIns="38100" bIns="19050" anchor="ctr" anchorCtr="1">
                <a:spAutoFit/>
              </a:bodyPr>
              <a:lstStyle/>
              <a:p>
                <a:pPr>
                  <a:defRPr sz="800" b="1" i="0" u="none" strike="noStrike" kern="1200" baseline="0">
                    <a:solidFill>
                      <a:schemeClr val="tx1">
                        <a:lumMod val="75000"/>
                        <a:lumOff val="25000"/>
                      </a:schemeClr>
                    </a:solidFill>
                    <a:latin typeface="GHEA Grapalat" panose="02000506050000020003" pitchFamily="50" charset="0"/>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Sheet1!$A$5:$A$10</c:f>
              <c:numCache>
                <c:formatCode>General</c:formatCode>
                <c:ptCount val="6"/>
                <c:pt idx="0">
                  <c:v>2020</c:v>
                </c:pt>
                <c:pt idx="1">
                  <c:v>2021</c:v>
                </c:pt>
                <c:pt idx="2">
                  <c:v>2022</c:v>
                </c:pt>
                <c:pt idx="3">
                  <c:v>2023</c:v>
                </c:pt>
                <c:pt idx="4">
                  <c:v>2024</c:v>
                </c:pt>
              </c:numCache>
            </c:numRef>
          </c:cat>
          <c:val>
            <c:numRef>
              <c:f>Sheet1!$B$5:$B$9</c:f>
              <c:numCache>
                <c:formatCode>_(* #,##0.0_);_(* \(#,##0.0\);_(* "-"??_);_(@_)</c:formatCode>
                <c:ptCount val="5"/>
                <c:pt idx="0">
                  <c:v>1490.7</c:v>
                </c:pt>
                <c:pt idx="1">
                  <c:v>945.9</c:v>
                </c:pt>
                <c:pt idx="2">
                  <c:v>2965.4</c:v>
                </c:pt>
                <c:pt idx="3">
                  <c:v>1377.5</c:v>
                </c:pt>
                <c:pt idx="4">
                  <c:v>516.20000000000005</c:v>
                </c:pt>
              </c:numCache>
            </c:numRef>
          </c:val>
          <c:extLst>
            <c:ext xmlns:c16="http://schemas.microsoft.com/office/drawing/2014/chart" uri="{C3380CC4-5D6E-409C-BE32-E72D297353CC}">
              <c16:uniqueId val="{00000001-0964-4C8C-B488-0501F9AC3F99}"/>
            </c:ext>
          </c:extLst>
        </c:ser>
        <c:ser>
          <c:idx val="1"/>
          <c:order val="1"/>
          <c:tx>
            <c:strRef>
              <c:f>Sheet1!$C$4</c:f>
              <c:strCache>
                <c:ptCount val="1"/>
                <c:pt idx="0">
                  <c:v>Հատկացված գումար</c:v>
                </c:pt>
              </c:strCache>
            </c:strRef>
          </c:tx>
          <c:spPr>
            <a:solidFill>
              <a:schemeClr val="tx2"/>
            </a:solidFill>
            <a:ln>
              <a:noFill/>
            </a:ln>
            <a:effectLst/>
            <a:sp3d/>
          </c:spPr>
          <c:invertIfNegative val="0"/>
          <c:dLbls>
            <c:dLbl>
              <c:idx val="0"/>
              <c:layout>
                <c:manualLayout>
                  <c:x val="2.2222222222222223E-2"/>
                  <c:y val="-4.6296296296297144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0964-4C8C-B488-0501F9AC3F99}"/>
                </c:ext>
              </c:extLst>
            </c:dLbl>
            <c:dLbl>
              <c:idx val="1"/>
              <c:layout>
                <c:manualLayout>
                  <c:x val="2.2222222222222223E-2"/>
                  <c:y val="-8.4875562720133283E-17"/>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0964-4C8C-B488-0501F9AC3F99}"/>
                </c:ext>
              </c:extLst>
            </c:dLbl>
            <c:dLbl>
              <c:idx val="2"/>
              <c:layout>
                <c:manualLayout>
                  <c:x val="2.5000000000000001E-2"/>
                  <c:y val="-8.4875562720133283E-17"/>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0964-4C8C-B488-0501F9AC3F99}"/>
                </c:ext>
              </c:extLst>
            </c:dLbl>
            <c:dLbl>
              <c:idx val="3"/>
              <c:layout>
                <c:manualLayout>
                  <c:x val="1.9444444444444344E-2"/>
                  <c:y val="4.6296296296296294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0964-4C8C-B488-0501F9AC3F99}"/>
                </c:ext>
              </c:extLst>
            </c:dLbl>
            <c:dLbl>
              <c:idx val="4"/>
              <c:layout>
                <c:manualLayout>
                  <c:x val="2.777777777777788E-2"/>
                  <c:y val="4.6296296296295444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0964-4C8C-B488-0501F9AC3F99}"/>
                </c:ext>
              </c:extLst>
            </c:dLbl>
            <c:spPr>
              <a:noFill/>
              <a:ln>
                <a:noFill/>
              </a:ln>
              <a:effectLst/>
            </c:spPr>
            <c:txPr>
              <a:bodyPr rot="0" spcFirstLastPara="1" vertOverflow="ellipsis" vert="horz" wrap="square" lIns="38100" tIns="19050" rIns="38100" bIns="19050" anchor="ctr" anchorCtr="1">
                <a:spAutoFit/>
              </a:bodyPr>
              <a:lstStyle/>
              <a:p>
                <a:pPr>
                  <a:defRPr sz="800" b="1" i="0" u="none" strike="noStrike" kern="1200" baseline="0">
                    <a:solidFill>
                      <a:schemeClr val="tx1">
                        <a:lumMod val="75000"/>
                        <a:lumOff val="25000"/>
                      </a:schemeClr>
                    </a:solidFill>
                    <a:latin typeface="GHEA Grapalat" panose="02000506050000020003" pitchFamily="50" charset="0"/>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Sheet1!$A$5:$A$10</c:f>
              <c:numCache>
                <c:formatCode>General</c:formatCode>
                <c:ptCount val="6"/>
                <c:pt idx="0">
                  <c:v>2020</c:v>
                </c:pt>
                <c:pt idx="1">
                  <c:v>2021</c:v>
                </c:pt>
                <c:pt idx="2">
                  <c:v>2022</c:v>
                </c:pt>
                <c:pt idx="3">
                  <c:v>2023</c:v>
                </c:pt>
                <c:pt idx="4">
                  <c:v>2024</c:v>
                </c:pt>
              </c:numCache>
            </c:numRef>
          </c:cat>
          <c:val>
            <c:numRef>
              <c:f>Sheet1!$C$5:$C$9</c:f>
              <c:numCache>
                <c:formatCode>_(* #,##0.0_);_(* \(#,##0.0\);_(* "-"??_);_(@_)</c:formatCode>
                <c:ptCount val="5"/>
                <c:pt idx="0">
                  <c:v>684.7</c:v>
                </c:pt>
                <c:pt idx="1">
                  <c:v>287.2</c:v>
                </c:pt>
                <c:pt idx="2">
                  <c:v>211.8</c:v>
                </c:pt>
                <c:pt idx="3">
                  <c:v>562.29999999999995</c:v>
                </c:pt>
                <c:pt idx="4">
                  <c:v>205.3</c:v>
                </c:pt>
              </c:numCache>
            </c:numRef>
          </c:val>
          <c:extLst>
            <c:ext xmlns:c16="http://schemas.microsoft.com/office/drawing/2014/chart" uri="{C3380CC4-5D6E-409C-BE32-E72D297353CC}">
              <c16:uniqueId val="{00000007-0964-4C8C-B488-0501F9AC3F99}"/>
            </c:ext>
          </c:extLst>
        </c:ser>
        <c:dLbls>
          <c:showLegendKey val="0"/>
          <c:showVal val="0"/>
          <c:showCatName val="0"/>
          <c:showSerName val="0"/>
          <c:showPercent val="0"/>
          <c:showBubbleSize val="0"/>
        </c:dLbls>
        <c:gapWidth val="150"/>
        <c:shape val="box"/>
        <c:axId val="453979136"/>
        <c:axId val="453431808"/>
        <c:axId val="0"/>
      </c:bar3DChart>
      <c:catAx>
        <c:axId val="453979136"/>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7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453431808"/>
        <c:crosses val="autoZero"/>
        <c:auto val="1"/>
        <c:lblAlgn val="ctr"/>
        <c:lblOffset val="100"/>
        <c:noMultiLvlLbl val="0"/>
      </c:catAx>
      <c:valAx>
        <c:axId val="453431808"/>
        <c:scaling>
          <c:orientation val="minMax"/>
        </c:scaling>
        <c:delete val="0"/>
        <c:axPos val="l"/>
        <c:numFmt formatCode="_(* #,##0.0_);_(* \(#,##0.0\);_(* &quot;-&quot;??_);_(@_)" sourceLinked="1"/>
        <c:majorTickMark val="none"/>
        <c:minorTickMark val="none"/>
        <c:tickLblPos val="nextTo"/>
        <c:spPr>
          <a:noFill/>
          <a:ln>
            <a:noFill/>
          </a:ln>
          <a:effectLst/>
        </c:spPr>
        <c:txPr>
          <a:bodyPr rot="-60000000" spcFirstLastPara="1" vertOverflow="ellipsis" vert="horz" wrap="square" anchor="ctr" anchorCtr="1"/>
          <a:lstStyle/>
          <a:p>
            <a:pPr>
              <a:defRPr sz="7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45397913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7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8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spPr>
            <a:solidFill>
              <a:srgbClr val="45546B"/>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GHEA Grapalat" panose="02000506050000020003" pitchFamily="50" charset="0"/>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ՊԵԿ!$A$4:$A$8</c:f>
              <c:numCache>
                <c:formatCode>General</c:formatCode>
                <c:ptCount val="5"/>
                <c:pt idx="0">
                  <c:v>2020</c:v>
                </c:pt>
                <c:pt idx="1">
                  <c:v>2021</c:v>
                </c:pt>
                <c:pt idx="2">
                  <c:v>2022</c:v>
                </c:pt>
                <c:pt idx="3">
                  <c:v>2023</c:v>
                </c:pt>
                <c:pt idx="4">
                  <c:v>2024</c:v>
                </c:pt>
              </c:numCache>
            </c:numRef>
          </c:cat>
          <c:val>
            <c:numRef>
              <c:f>ՊԵԿ!$B$4:$B$8</c:f>
              <c:numCache>
                <c:formatCode>_(* #,##0.0_);_(* \(#,##0.0\);_(* "-"??_);_(@_)</c:formatCode>
                <c:ptCount val="5"/>
                <c:pt idx="0">
                  <c:v>92.934300000000007</c:v>
                </c:pt>
                <c:pt idx="1">
                  <c:v>160.2877</c:v>
                </c:pt>
                <c:pt idx="2">
                  <c:v>161.9538</c:v>
                </c:pt>
                <c:pt idx="3">
                  <c:v>132.67949999999999</c:v>
                </c:pt>
                <c:pt idx="4">
                  <c:v>114.5361</c:v>
                </c:pt>
              </c:numCache>
            </c:numRef>
          </c:val>
          <c:extLst>
            <c:ext xmlns:c16="http://schemas.microsoft.com/office/drawing/2014/chart" uri="{C3380CC4-5D6E-409C-BE32-E72D297353CC}">
              <c16:uniqueId val="{00000000-8CAD-49F9-9352-BF463C98137A}"/>
            </c:ext>
          </c:extLst>
        </c:ser>
        <c:dLbls>
          <c:showLegendKey val="0"/>
          <c:showVal val="0"/>
          <c:showCatName val="0"/>
          <c:showSerName val="0"/>
          <c:showPercent val="0"/>
          <c:showBubbleSize val="0"/>
        </c:dLbls>
        <c:gapWidth val="182"/>
        <c:axId val="442057728"/>
        <c:axId val="453433536"/>
      </c:barChart>
      <c:catAx>
        <c:axId val="442057728"/>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3433536"/>
        <c:crosses val="autoZero"/>
        <c:auto val="1"/>
        <c:lblAlgn val="ctr"/>
        <c:lblOffset val="100"/>
        <c:noMultiLvlLbl val="0"/>
      </c:catAx>
      <c:valAx>
        <c:axId val="453433536"/>
        <c:scaling>
          <c:orientation val="minMax"/>
        </c:scaling>
        <c:delete val="0"/>
        <c:axPos val="b"/>
        <c:majorGridlines>
          <c:spPr>
            <a:ln w="9525" cap="flat" cmpd="sng" algn="ctr">
              <a:solidFill>
                <a:schemeClr val="tx1">
                  <a:lumMod val="15000"/>
                  <a:lumOff val="85000"/>
                </a:schemeClr>
              </a:solidFill>
              <a:round/>
            </a:ln>
            <a:effectLst/>
          </c:spPr>
        </c:majorGridlines>
        <c:numFmt formatCode="_(* #,##0.0_);_(* \(#,##0.0\);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205772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5.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6.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7.xml><?xml version="1.0" encoding="utf-8"?>
<cs:colorStyle xmlns:cs="http://schemas.microsoft.com/office/drawing/2012/chartStyle" xmlns:a="http://schemas.openxmlformats.org/drawingml/2006/main" meth="withinLinearReversed" id="21">
  <a:schemeClr val="accent1"/>
</cs:colorStyle>
</file>

<file path=word/charts/colors18.xml><?xml version="1.0" encoding="utf-8"?>
<cs:colorStyle xmlns:cs="http://schemas.microsoft.com/office/drawing/2012/chartStyle" xmlns:a="http://schemas.openxmlformats.org/drawingml/2006/main" meth="withinLinearReversed" id="21">
  <a:schemeClr val="accent1"/>
</cs:colorStyle>
</file>

<file path=word/charts/colors19.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1.xml><?xml version="1.0" encoding="utf-8"?>
<cs:colorStyle xmlns:cs="http://schemas.microsoft.com/office/drawing/2012/chartStyle" xmlns:a="http://schemas.openxmlformats.org/drawingml/2006/main" meth="withinLinear" id="14">
  <a:schemeClr val="accent1"/>
</cs:colorStyle>
</file>

<file path=word/charts/colors22.xml><?xml version="1.0" encoding="utf-8"?>
<cs:colorStyle xmlns:cs="http://schemas.microsoft.com/office/drawing/2012/chartStyle" xmlns:a="http://schemas.openxmlformats.org/drawingml/2006/main" meth="withinLinear" id="18">
  <a:schemeClr val="accent5"/>
</cs:colorStyle>
</file>

<file path=word/charts/colors23.xml><?xml version="1.0" encoding="utf-8"?>
<cs:colorStyle xmlns:cs="http://schemas.microsoft.com/office/drawing/2012/chartStyle" xmlns:a="http://schemas.openxmlformats.org/drawingml/2006/main" meth="withinLinear" id="18">
  <a:schemeClr val="accent5"/>
</cs:colorStyle>
</file>

<file path=word/charts/colors24.xml><?xml version="1.0" encoding="utf-8"?>
<cs:colorStyle xmlns:cs="http://schemas.microsoft.com/office/drawing/2012/chartStyle" xmlns:a="http://schemas.openxmlformats.org/drawingml/2006/main" meth="withinLinear" id="18">
  <a:schemeClr val="accent5"/>
</cs:colorStyle>
</file>

<file path=word/charts/colors25.xml><?xml version="1.0" encoding="utf-8"?>
<cs:colorStyle xmlns:cs="http://schemas.microsoft.com/office/drawing/2012/chartStyle" xmlns:a="http://schemas.openxmlformats.org/drawingml/2006/main" meth="withinLinear" id="18">
  <a:schemeClr val="accent5"/>
</cs:colorStyle>
</file>

<file path=word/charts/colors26.xml><?xml version="1.0" encoding="utf-8"?>
<cs:colorStyle xmlns:cs="http://schemas.microsoft.com/office/drawing/2012/chartStyle" xmlns:a="http://schemas.openxmlformats.org/drawingml/2006/main" meth="withinLinear" id="18">
  <a:schemeClr val="accent5"/>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102">
  <cs:axisTitle>
    <cs:lnRef idx="0"/>
    <cs:fillRef idx="0"/>
    <cs:effectRef idx="0"/>
    <cs:fontRef idx="minor">
      <a:schemeClr val="tx1"/>
    </cs:fontRef>
    <cs:defRPr sz="1000" b="1" kern="1200"/>
  </cs:axisTitle>
  <cs:categoryAxis>
    <cs:lnRef idx="1">
      <a:schemeClr val="tx1">
        <a:tint val="75000"/>
      </a:schemeClr>
    </cs:lnRef>
    <cs:fillRef idx="0"/>
    <cs:effectRef idx="0"/>
    <cs:fontRef idx="minor">
      <a:schemeClr val="tx1"/>
    </cs:fontRef>
    <cs:spPr>
      <a:ln>
        <a:round/>
      </a:ln>
    </cs:spPr>
    <cs:defRPr sz="1000" kern="1200"/>
  </cs:categoryAxis>
  <cs:chartArea mods="allowNoFillOverride allowNoLineOverride">
    <cs:lnRef idx="1">
      <a:schemeClr val="tx1">
        <a:tint val="75000"/>
      </a:schemeClr>
    </cs:lnRef>
    <cs:fillRef idx="1">
      <a:schemeClr val="bg1"/>
    </cs:fillRef>
    <cs:effectRef idx="0"/>
    <cs:fontRef idx="minor">
      <a:schemeClr val="tx1"/>
    </cs:fontRef>
    <cs:spPr>
      <a:ln>
        <a:round/>
      </a:ln>
    </cs:spPr>
    <cs:defRPr sz="1000" kern="1200"/>
  </cs:chartArea>
  <cs:dataLabel>
    <cs:lnRef idx="0"/>
    <cs:fillRef idx="0"/>
    <cs:effectRef idx="0"/>
    <cs:fontRef idx="minor">
      <a:schemeClr val="tx1"/>
    </cs:fontRef>
    <cs:defRPr sz="1000" kern="1200"/>
  </cs:dataLabel>
  <cs:dataLabelCallout>
    <cs:lnRef idx="0"/>
    <cs:fillRef idx="0"/>
    <cs:effectRef idx="0"/>
    <cs:fontRef idx="minor">
      <a:schemeClr val="dk1"/>
    </cs:fontRef>
    <cs:spPr>
      <a:solidFill>
        <a:schemeClr val="lt1"/>
      </a:solidFill>
      <a:ln>
        <a:solidFill>
          <a:schemeClr val="dk1">
            <a:lumMod val="65000"/>
            <a:lumOff val="35000"/>
          </a:schemeClr>
        </a:solidFill>
      </a:ln>
    </cs:spPr>
    <cs:defRPr sz="1000" kern="1200"/>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1">
      <cs:styleClr val="auto"/>
    </cs:lnRef>
    <cs:lineWidthScale>3</cs:lineWidthScale>
    <cs:fillRef idx="0"/>
    <cs:effectRef idx="0"/>
    <cs:fontRef idx="minor">
      <a:schemeClr val="tx1"/>
    </cs:fontRef>
    <cs:spPr>
      <a:ln cap="rnd">
        <a:round/>
      </a:ln>
    </cs:spPr>
  </cs:dataPointLine>
  <cs:dataPointMarker>
    <cs:lnRef idx="1">
      <cs:styleClr val="auto"/>
    </cs:lnRef>
    <cs:fillRef idx="1">
      <cs:styleClr val="auto"/>
    </cs:fillRef>
    <cs:effectRef idx="0"/>
    <cs:fontRef idx="minor">
      <a:schemeClr val="tx1"/>
    </cs:fontRef>
    <cs:spPr>
      <a:ln>
        <a:round/>
      </a:ln>
    </cs:spPr>
  </cs:dataPointMarker>
  <cs:dataPointMarkerLayout/>
  <cs:dataPointWireframe>
    <cs:lnRef idx="1">
      <cs:styleClr val="auto"/>
    </cs:lnRef>
    <cs:fillRef idx="0"/>
    <cs:effectRef idx="0"/>
    <cs:fontRef idx="minor">
      <a:schemeClr val="tx1"/>
    </cs:fontRef>
    <cs:spPr>
      <a:ln>
        <a:round/>
      </a:ln>
    </cs:spPr>
  </cs:dataPointWireframe>
  <cs:dataTable>
    <cs:lnRef idx="1">
      <a:schemeClr val="tx1">
        <a:tint val="75000"/>
      </a:schemeClr>
    </cs:lnRef>
    <cs:fillRef idx="0"/>
    <cs:effectRef idx="0"/>
    <cs:fontRef idx="minor">
      <a:schemeClr val="tx1"/>
    </cs:fontRef>
    <cs:spPr>
      <a:ln>
        <a:round/>
      </a:ln>
    </cs:spPr>
    <cs:defRPr sz="1000" kern="1200"/>
  </cs:dataTable>
  <cs:downBar>
    <cs:lnRef idx="1">
      <a:schemeClr val="tx1"/>
    </cs:lnRef>
    <cs:fillRef idx="1">
      <a:schemeClr val="dk1">
        <a:tint val="95000"/>
      </a:schemeClr>
    </cs:fillRef>
    <cs:effectRef idx="0"/>
    <cs:fontRef idx="minor">
      <a:schemeClr val="tx1"/>
    </cs:fontRef>
    <cs:spPr>
      <a:ln>
        <a:round/>
      </a:ln>
    </cs:spPr>
  </cs:downBar>
  <cs:dropLine>
    <cs:lnRef idx="1">
      <a:schemeClr val="tx1"/>
    </cs:lnRef>
    <cs:fillRef idx="0"/>
    <cs:effectRef idx="0"/>
    <cs:fontRef idx="minor">
      <a:schemeClr val="tx1"/>
    </cs:fontRef>
    <cs:spPr>
      <a:ln>
        <a:round/>
      </a:ln>
    </cs:spPr>
  </cs:dropLine>
  <cs:errorBar>
    <cs:lnRef idx="1">
      <a:schemeClr val="tx1"/>
    </cs:lnRef>
    <cs:fillRef idx="1">
      <a:schemeClr val="tx1"/>
    </cs:fillRef>
    <cs:effectRef idx="0"/>
    <cs:fontRef idx="minor">
      <a:schemeClr val="tx1"/>
    </cs:fontRef>
    <cs:spPr>
      <a:ln>
        <a:round/>
      </a:ln>
    </cs:spPr>
  </cs:errorBar>
  <cs:floor>
    <cs:lnRef idx="1">
      <a:schemeClr val="tx1">
        <a:tint val="75000"/>
      </a:schemeClr>
    </cs:lnRef>
    <cs:fillRef idx="0"/>
    <cs:effectRef idx="0"/>
    <cs:fontRef idx="minor">
      <a:schemeClr val="tx1"/>
    </cs:fontRef>
    <cs:spPr>
      <a:ln>
        <a:round/>
      </a:ln>
    </cs:spPr>
  </cs:floor>
  <cs:gridlineMajor>
    <cs:lnRef idx="1">
      <a:schemeClr val="tx1">
        <a:tint val="75000"/>
      </a:schemeClr>
    </cs:lnRef>
    <cs:fillRef idx="0"/>
    <cs:effectRef idx="0"/>
    <cs:fontRef idx="minor">
      <a:schemeClr val="tx1"/>
    </cs:fontRef>
    <cs:spPr>
      <a:ln>
        <a:round/>
      </a:ln>
    </cs:spPr>
  </cs:gridlineMajor>
  <cs:gridlineMinor>
    <cs:lnRef idx="1">
      <a:schemeClr val="tx1">
        <a:tint val="50000"/>
      </a:schemeClr>
    </cs:lnRef>
    <cs:fillRef idx="0"/>
    <cs:effectRef idx="0"/>
    <cs:fontRef idx="minor">
      <a:schemeClr val="tx1"/>
    </cs:fontRef>
    <cs:spPr>
      <a:ln>
        <a:round/>
      </a:ln>
    </cs:spPr>
  </cs:gridlineMinor>
  <cs:hiLoLine>
    <cs:lnRef idx="1">
      <a:schemeClr val="tx1"/>
    </cs:lnRef>
    <cs:fillRef idx="0"/>
    <cs:effectRef idx="0"/>
    <cs:fontRef idx="minor">
      <a:schemeClr val="tx1"/>
    </cs:fontRef>
    <cs:spPr>
      <a:ln>
        <a:round/>
      </a:ln>
    </cs:spPr>
  </cs:hiLoLine>
  <cs:leaderLine>
    <cs:lnRef idx="1">
      <a:schemeClr val="tx1"/>
    </cs:lnRef>
    <cs:fillRef idx="0"/>
    <cs:effectRef idx="0"/>
    <cs:fontRef idx="minor">
      <a:schemeClr val="tx1"/>
    </cs:fontRef>
    <cs:spPr>
      <a:ln>
        <a:round/>
      </a:ln>
    </cs:spPr>
  </cs:leaderLine>
  <cs:legend>
    <cs:lnRef idx="0"/>
    <cs:fillRef idx="0"/>
    <cs:effectRef idx="0"/>
    <cs:fontRef idx="minor">
      <a:schemeClr val="tx1"/>
    </cs:fontRef>
    <cs:defRPr sz="1000" kern="1200"/>
  </cs:legend>
  <cs:plotArea mods="allowNoFillOverride allowNoLineOverride">
    <cs:lnRef idx="0"/>
    <cs:fillRef idx="1">
      <a:schemeClr val="bg1"/>
    </cs:fillRef>
    <cs:effectRef idx="0"/>
    <cs:fontRef idx="minor">
      <a:schemeClr val="tx1"/>
    </cs:fontRef>
  </cs:plotArea>
  <cs:plotArea3D>
    <cs:lnRef idx="0"/>
    <cs:fillRef idx="0"/>
    <cs:effectRef idx="0"/>
    <cs:fontRef idx="minor">
      <a:schemeClr val="tx1"/>
    </cs:fontRef>
  </cs:plotArea3D>
  <cs:seriesAxis>
    <cs:lnRef idx="1">
      <a:schemeClr val="tx1">
        <a:tint val="75000"/>
      </a:schemeClr>
    </cs:lnRef>
    <cs:fillRef idx="0"/>
    <cs:effectRef idx="0"/>
    <cs:fontRef idx="minor">
      <a:schemeClr val="tx1"/>
    </cs:fontRef>
    <cs:spPr>
      <a:ln>
        <a:round/>
      </a:ln>
    </cs:spPr>
    <cs:defRPr sz="1000" kern="1200"/>
  </cs:seriesAxis>
  <cs:seriesLine>
    <cs:lnRef idx="1">
      <a:schemeClr val="tx1"/>
    </cs:lnRef>
    <cs:fillRef idx="0"/>
    <cs:effectRef idx="0"/>
    <cs:fontRef idx="minor">
      <a:schemeClr val="tx1"/>
    </cs:fontRef>
    <cs:spPr>
      <a:ln>
        <a:round/>
      </a:ln>
    </cs:spPr>
  </cs:seriesLine>
  <cs:title>
    <cs:lnRef idx="0"/>
    <cs:fillRef idx="0"/>
    <cs:effectRef idx="0"/>
    <cs:fontRef idx="minor">
      <a:schemeClr val="tx1"/>
    </cs:fontRef>
    <cs:defRPr sz="1800" b="1" kern="1200"/>
  </cs:title>
  <cs:trendline>
    <cs:lnRef idx="1">
      <a:schemeClr val="tx1"/>
    </cs:lnRef>
    <cs:fillRef idx="0"/>
    <cs:effectRef idx="0"/>
    <cs:fontRef idx="minor">
      <a:schemeClr val="tx1"/>
    </cs:fontRef>
    <cs:spPr>
      <a:ln cap="rnd">
        <a:round/>
      </a:ln>
    </cs:spPr>
  </cs:trendline>
  <cs:trendlineLabel>
    <cs:lnRef idx="0"/>
    <cs:fillRef idx="0"/>
    <cs:effectRef idx="0"/>
    <cs:fontRef idx="minor">
      <a:schemeClr val="tx1"/>
    </cs:fontRef>
    <cs:defRPr sz="1000" kern="1200"/>
  </cs:trendlineLabel>
  <cs:upBar>
    <cs:lnRef idx="1">
      <a:schemeClr val="tx1"/>
    </cs:lnRef>
    <cs:fillRef idx="1">
      <a:schemeClr val="dk1">
        <a:tint val="5000"/>
      </a:schemeClr>
    </cs:fillRef>
    <cs:effectRef idx="0"/>
    <cs:fontRef idx="minor">
      <a:schemeClr val="tx1"/>
    </cs:fontRef>
    <cs:spPr>
      <a:ln>
        <a:round/>
      </a:ln>
    </cs:spPr>
  </cs:upBar>
  <cs:valueAxis>
    <cs:lnRef idx="1">
      <a:schemeClr val="tx1">
        <a:tint val="75000"/>
      </a:schemeClr>
    </cs:lnRef>
    <cs:fillRef idx="0"/>
    <cs:effectRef idx="0"/>
    <cs:fontRef idx="minor">
      <a:schemeClr val="tx1"/>
    </cs:fontRef>
    <cs:spPr>
      <a:ln>
        <a:round/>
      </a:ln>
    </cs:spPr>
    <cs:defRPr sz="1000" kern="1200"/>
  </cs:valueAxis>
  <cs:wall>
    <cs:lnRef idx="0"/>
    <cs:fillRef idx="0"/>
    <cs:effectRef idx="0"/>
    <cs:fontRef idx="minor">
      <a:schemeClr val="tx1"/>
    </cs:fontRef>
  </cs:wall>
</cs:chartStyle>
</file>

<file path=word/charts/style5.xml><?xml version="1.0" encoding="utf-8"?>
<cs:chartStyle xmlns:cs="http://schemas.microsoft.com/office/drawing/2012/chartStyle" xmlns:a="http://schemas.openxmlformats.org/drawingml/2006/main" id="102">
  <cs:axisTitle>
    <cs:lnRef idx="0"/>
    <cs:fillRef idx="0"/>
    <cs:effectRef idx="0"/>
    <cs:fontRef idx="minor">
      <a:schemeClr val="tx1"/>
    </cs:fontRef>
    <cs:defRPr sz="1000" b="1" kern="1200"/>
  </cs:axisTitle>
  <cs:categoryAxis>
    <cs:lnRef idx="1">
      <a:schemeClr val="tx1">
        <a:tint val="75000"/>
      </a:schemeClr>
    </cs:lnRef>
    <cs:fillRef idx="0"/>
    <cs:effectRef idx="0"/>
    <cs:fontRef idx="minor">
      <a:schemeClr val="tx1"/>
    </cs:fontRef>
    <cs:spPr>
      <a:ln>
        <a:round/>
      </a:ln>
    </cs:spPr>
    <cs:defRPr sz="1000" kern="1200"/>
  </cs:categoryAxis>
  <cs:chartArea mods="allowNoFillOverride allowNoLineOverride">
    <cs:lnRef idx="1">
      <a:schemeClr val="tx1">
        <a:tint val="75000"/>
      </a:schemeClr>
    </cs:lnRef>
    <cs:fillRef idx="1">
      <a:schemeClr val="bg1"/>
    </cs:fillRef>
    <cs:effectRef idx="0"/>
    <cs:fontRef idx="minor">
      <a:schemeClr val="tx1"/>
    </cs:fontRef>
    <cs:spPr>
      <a:ln>
        <a:round/>
      </a:ln>
    </cs:spPr>
    <cs:defRPr sz="1000" kern="1200"/>
  </cs:chartArea>
  <cs:dataLabel>
    <cs:lnRef idx="0"/>
    <cs:fillRef idx="0"/>
    <cs:effectRef idx="0"/>
    <cs:fontRef idx="minor">
      <a:schemeClr val="tx1"/>
    </cs:fontRef>
    <cs:defRPr sz="1000" kern="1200"/>
  </cs:dataLabel>
  <cs:dataLabelCallout>
    <cs:lnRef idx="0"/>
    <cs:fillRef idx="0"/>
    <cs:effectRef idx="0"/>
    <cs:fontRef idx="minor">
      <a:schemeClr val="dk1"/>
    </cs:fontRef>
    <cs:spPr>
      <a:solidFill>
        <a:schemeClr val="lt1"/>
      </a:solidFill>
      <a:ln>
        <a:solidFill>
          <a:schemeClr val="dk1">
            <a:lumMod val="65000"/>
            <a:lumOff val="35000"/>
          </a:schemeClr>
        </a:solidFill>
      </a:ln>
    </cs:spPr>
    <cs:defRPr sz="1000" kern="1200"/>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1">
      <cs:styleClr val="auto"/>
    </cs:lnRef>
    <cs:lineWidthScale>3</cs:lineWidthScale>
    <cs:fillRef idx="0"/>
    <cs:effectRef idx="0"/>
    <cs:fontRef idx="minor">
      <a:schemeClr val="tx1"/>
    </cs:fontRef>
    <cs:spPr>
      <a:ln cap="rnd">
        <a:round/>
      </a:ln>
    </cs:spPr>
  </cs:dataPointLine>
  <cs:dataPointMarker>
    <cs:lnRef idx="1">
      <cs:styleClr val="auto"/>
    </cs:lnRef>
    <cs:fillRef idx="1">
      <cs:styleClr val="auto"/>
    </cs:fillRef>
    <cs:effectRef idx="0"/>
    <cs:fontRef idx="minor">
      <a:schemeClr val="tx1"/>
    </cs:fontRef>
    <cs:spPr>
      <a:ln>
        <a:round/>
      </a:ln>
    </cs:spPr>
  </cs:dataPointMarker>
  <cs:dataPointMarkerLayout/>
  <cs:dataPointWireframe>
    <cs:lnRef idx="1">
      <cs:styleClr val="auto"/>
    </cs:lnRef>
    <cs:fillRef idx="0"/>
    <cs:effectRef idx="0"/>
    <cs:fontRef idx="minor">
      <a:schemeClr val="tx1"/>
    </cs:fontRef>
    <cs:spPr>
      <a:ln>
        <a:round/>
      </a:ln>
    </cs:spPr>
  </cs:dataPointWireframe>
  <cs:dataTable>
    <cs:lnRef idx="1">
      <a:schemeClr val="tx1">
        <a:tint val="75000"/>
      </a:schemeClr>
    </cs:lnRef>
    <cs:fillRef idx="0"/>
    <cs:effectRef idx="0"/>
    <cs:fontRef idx="minor">
      <a:schemeClr val="tx1"/>
    </cs:fontRef>
    <cs:spPr>
      <a:ln>
        <a:round/>
      </a:ln>
    </cs:spPr>
    <cs:defRPr sz="1000" kern="1200"/>
  </cs:dataTable>
  <cs:downBar>
    <cs:lnRef idx="1">
      <a:schemeClr val="tx1"/>
    </cs:lnRef>
    <cs:fillRef idx="1">
      <a:schemeClr val="dk1">
        <a:tint val="95000"/>
      </a:schemeClr>
    </cs:fillRef>
    <cs:effectRef idx="0"/>
    <cs:fontRef idx="minor">
      <a:schemeClr val="tx1"/>
    </cs:fontRef>
    <cs:spPr>
      <a:ln>
        <a:round/>
      </a:ln>
    </cs:spPr>
  </cs:downBar>
  <cs:dropLine>
    <cs:lnRef idx="1">
      <a:schemeClr val="tx1"/>
    </cs:lnRef>
    <cs:fillRef idx="0"/>
    <cs:effectRef idx="0"/>
    <cs:fontRef idx="minor">
      <a:schemeClr val="tx1"/>
    </cs:fontRef>
    <cs:spPr>
      <a:ln>
        <a:round/>
      </a:ln>
    </cs:spPr>
  </cs:dropLine>
  <cs:errorBar>
    <cs:lnRef idx="1">
      <a:schemeClr val="tx1"/>
    </cs:lnRef>
    <cs:fillRef idx="1">
      <a:schemeClr val="tx1"/>
    </cs:fillRef>
    <cs:effectRef idx="0"/>
    <cs:fontRef idx="minor">
      <a:schemeClr val="tx1"/>
    </cs:fontRef>
    <cs:spPr>
      <a:ln>
        <a:round/>
      </a:ln>
    </cs:spPr>
  </cs:errorBar>
  <cs:floor>
    <cs:lnRef idx="1">
      <a:schemeClr val="tx1">
        <a:tint val="75000"/>
      </a:schemeClr>
    </cs:lnRef>
    <cs:fillRef idx="0"/>
    <cs:effectRef idx="0"/>
    <cs:fontRef idx="minor">
      <a:schemeClr val="tx1"/>
    </cs:fontRef>
    <cs:spPr>
      <a:ln>
        <a:round/>
      </a:ln>
    </cs:spPr>
  </cs:floor>
  <cs:gridlineMajor>
    <cs:lnRef idx="1">
      <a:schemeClr val="tx1">
        <a:tint val="75000"/>
      </a:schemeClr>
    </cs:lnRef>
    <cs:fillRef idx="0"/>
    <cs:effectRef idx="0"/>
    <cs:fontRef idx="minor">
      <a:schemeClr val="tx1"/>
    </cs:fontRef>
    <cs:spPr>
      <a:ln>
        <a:round/>
      </a:ln>
    </cs:spPr>
  </cs:gridlineMajor>
  <cs:gridlineMinor>
    <cs:lnRef idx="1">
      <a:schemeClr val="tx1">
        <a:tint val="50000"/>
      </a:schemeClr>
    </cs:lnRef>
    <cs:fillRef idx="0"/>
    <cs:effectRef idx="0"/>
    <cs:fontRef idx="minor">
      <a:schemeClr val="tx1"/>
    </cs:fontRef>
    <cs:spPr>
      <a:ln>
        <a:round/>
      </a:ln>
    </cs:spPr>
  </cs:gridlineMinor>
  <cs:hiLoLine>
    <cs:lnRef idx="1">
      <a:schemeClr val="tx1"/>
    </cs:lnRef>
    <cs:fillRef idx="0"/>
    <cs:effectRef idx="0"/>
    <cs:fontRef idx="minor">
      <a:schemeClr val="tx1"/>
    </cs:fontRef>
    <cs:spPr>
      <a:ln>
        <a:round/>
      </a:ln>
    </cs:spPr>
  </cs:hiLoLine>
  <cs:leaderLine>
    <cs:lnRef idx="1">
      <a:schemeClr val="tx1"/>
    </cs:lnRef>
    <cs:fillRef idx="0"/>
    <cs:effectRef idx="0"/>
    <cs:fontRef idx="minor">
      <a:schemeClr val="tx1"/>
    </cs:fontRef>
    <cs:spPr>
      <a:ln>
        <a:round/>
      </a:ln>
    </cs:spPr>
  </cs:leaderLine>
  <cs:legend>
    <cs:lnRef idx="0"/>
    <cs:fillRef idx="0"/>
    <cs:effectRef idx="0"/>
    <cs:fontRef idx="minor">
      <a:schemeClr val="tx1"/>
    </cs:fontRef>
    <cs:defRPr sz="1000" kern="1200"/>
  </cs:legend>
  <cs:plotArea mods="allowNoFillOverride allowNoLineOverride">
    <cs:lnRef idx="0"/>
    <cs:fillRef idx="1">
      <a:schemeClr val="bg1"/>
    </cs:fillRef>
    <cs:effectRef idx="0"/>
    <cs:fontRef idx="minor">
      <a:schemeClr val="tx1"/>
    </cs:fontRef>
  </cs:plotArea>
  <cs:plotArea3D>
    <cs:lnRef idx="0"/>
    <cs:fillRef idx="0"/>
    <cs:effectRef idx="0"/>
    <cs:fontRef idx="minor">
      <a:schemeClr val="tx1"/>
    </cs:fontRef>
  </cs:plotArea3D>
  <cs:seriesAxis>
    <cs:lnRef idx="1">
      <a:schemeClr val="tx1">
        <a:tint val="75000"/>
      </a:schemeClr>
    </cs:lnRef>
    <cs:fillRef idx="0"/>
    <cs:effectRef idx="0"/>
    <cs:fontRef idx="minor">
      <a:schemeClr val="tx1"/>
    </cs:fontRef>
    <cs:spPr>
      <a:ln>
        <a:round/>
      </a:ln>
    </cs:spPr>
    <cs:defRPr sz="1000" kern="1200"/>
  </cs:seriesAxis>
  <cs:seriesLine>
    <cs:lnRef idx="1">
      <a:schemeClr val="tx1"/>
    </cs:lnRef>
    <cs:fillRef idx="0"/>
    <cs:effectRef idx="0"/>
    <cs:fontRef idx="minor">
      <a:schemeClr val="tx1"/>
    </cs:fontRef>
    <cs:spPr>
      <a:ln>
        <a:round/>
      </a:ln>
    </cs:spPr>
  </cs:seriesLine>
  <cs:title>
    <cs:lnRef idx="0"/>
    <cs:fillRef idx="0"/>
    <cs:effectRef idx="0"/>
    <cs:fontRef idx="minor">
      <a:schemeClr val="tx1"/>
    </cs:fontRef>
    <cs:defRPr sz="1800" b="1" kern="1200"/>
  </cs:title>
  <cs:trendline>
    <cs:lnRef idx="1">
      <a:schemeClr val="tx1"/>
    </cs:lnRef>
    <cs:fillRef idx="0"/>
    <cs:effectRef idx="0"/>
    <cs:fontRef idx="minor">
      <a:schemeClr val="tx1"/>
    </cs:fontRef>
    <cs:spPr>
      <a:ln cap="rnd">
        <a:round/>
      </a:ln>
    </cs:spPr>
  </cs:trendline>
  <cs:trendlineLabel>
    <cs:lnRef idx="0"/>
    <cs:fillRef idx="0"/>
    <cs:effectRef idx="0"/>
    <cs:fontRef idx="minor">
      <a:schemeClr val="tx1"/>
    </cs:fontRef>
    <cs:defRPr sz="1000" kern="1200"/>
  </cs:trendlineLabel>
  <cs:upBar>
    <cs:lnRef idx="1">
      <a:schemeClr val="tx1"/>
    </cs:lnRef>
    <cs:fillRef idx="1">
      <a:schemeClr val="dk1">
        <a:tint val="5000"/>
      </a:schemeClr>
    </cs:fillRef>
    <cs:effectRef idx="0"/>
    <cs:fontRef idx="minor">
      <a:schemeClr val="tx1"/>
    </cs:fontRef>
    <cs:spPr>
      <a:ln>
        <a:round/>
      </a:ln>
    </cs:spPr>
  </cs:upBar>
  <cs:valueAxis>
    <cs:lnRef idx="1">
      <a:schemeClr val="tx1">
        <a:tint val="75000"/>
      </a:schemeClr>
    </cs:lnRef>
    <cs:fillRef idx="0"/>
    <cs:effectRef idx="0"/>
    <cs:fontRef idx="minor">
      <a:schemeClr val="tx1"/>
    </cs:fontRef>
    <cs:spPr>
      <a:ln>
        <a:round/>
      </a:ln>
    </cs:spPr>
    <cs:defRPr sz="1000" kern="1200"/>
  </cs:valueAxis>
  <cs:wall>
    <cs:lnRef idx="0"/>
    <cs:fillRef idx="0"/>
    <cs:effectRef idx="0"/>
    <cs:fontRef idx="minor">
      <a:schemeClr val="tx1"/>
    </cs:fontRef>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7">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lumOff val="2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8.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33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1197"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330" kern="1200"/>
  </cs:chartArea>
  <cs:dataLabel>
    <cs:lnRef idx="0"/>
    <cs:fillRef idx="0"/>
    <cs:effectRef idx="0"/>
    <cs:fontRef idx="minor">
      <a:schemeClr val="tx1">
        <a:lumMod val="75000"/>
        <a:lumOff val="25000"/>
      </a:schemeClr>
    </cs:fontRef>
    <cs:defRPr sz="1197"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197"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1197"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1197"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1197"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862"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1197"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1197"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32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32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3.xml><?xml version="1.0" encoding="utf-8"?>
<cs:chartStyle xmlns:cs="http://schemas.microsoft.com/office/drawing/2012/chartStyle" xmlns:a="http://schemas.openxmlformats.org/drawingml/2006/main" id="32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4.xml><?xml version="1.0" encoding="utf-8"?>
<cs:chartStyle xmlns:cs="http://schemas.microsoft.com/office/drawing/2012/chartStyle" xmlns:a="http://schemas.openxmlformats.org/drawingml/2006/main" id="102">
  <cs:axisTitle>
    <cs:lnRef idx="0"/>
    <cs:fillRef idx="0"/>
    <cs:effectRef idx="0"/>
    <cs:fontRef idx="minor">
      <a:schemeClr val="tx1"/>
    </cs:fontRef>
    <cs:defRPr sz="1000" b="1" kern="1200"/>
  </cs:axisTitle>
  <cs:categoryAxis>
    <cs:lnRef idx="1">
      <a:schemeClr val="tx1">
        <a:tint val="75000"/>
      </a:schemeClr>
    </cs:lnRef>
    <cs:fillRef idx="0"/>
    <cs:effectRef idx="0"/>
    <cs:fontRef idx="minor">
      <a:schemeClr val="tx1"/>
    </cs:fontRef>
    <cs:spPr>
      <a:ln>
        <a:round/>
      </a:ln>
    </cs:spPr>
    <cs:defRPr sz="1000" kern="1200"/>
  </cs:categoryAxis>
  <cs:chartArea mods="allowNoFillOverride allowNoLineOverride">
    <cs:lnRef idx="1">
      <a:schemeClr val="tx1">
        <a:tint val="75000"/>
      </a:schemeClr>
    </cs:lnRef>
    <cs:fillRef idx="1">
      <a:schemeClr val="bg1"/>
    </cs:fillRef>
    <cs:effectRef idx="0"/>
    <cs:fontRef idx="minor">
      <a:schemeClr val="tx1"/>
    </cs:fontRef>
    <cs:spPr>
      <a:ln>
        <a:round/>
      </a:ln>
    </cs:spPr>
    <cs:defRPr sz="1000" kern="1200"/>
  </cs:chartArea>
  <cs:dataLabel>
    <cs:lnRef idx="0"/>
    <cs:fillRef idx="0"/>
    <cs:effectRef idx="0"/>
    <cs:fontRef idx="minor">
      <a:schemeClr val="tx1"/>
    </cs:fontRef>
    <cs:defRPr sz="1000" kern="1200"/>
  </cs:dataLabel>
  <cs:dataLabelCallout>
    <cs:lnRef idx="0"/>
    <cs:fillRef idx="0"/>
    <cs:effectRef idx="0"/>
    <cs:fontRef idx="minor">
      <a:schemeClr val="dk1"/>
    </cs:fontRef>
    <cs:spPr>
      <a:solidFill>
        <a:schemeClr val="lt1"/>
      </a:solidFill>
      <a:ln>
        <a:solidFill>
          <a:schemeClr val="dk1">
            <a:lumMod val="65000"/>
            <a:lumOff val="35000"/>
          </a:schemeClr>
        </a:solidFill>
      </a:ln>
    </cs:spPr>
    <cs:defRPr sz="1000" kern="1200"/>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1">
      <cs:styleClr val="auto"/>
    </cs:lnRef>
    <cs:lineWidthScale>3</cs:lineWidthScale>
    <cs:fillRef idx="0"/>
    <cs:effectRef idx="0"/>
    <cs:fontRef idx="minor">
      <a:schemeClr val="tx1"/>
    </cs:fontRef>
    <cs:spPr>
      <a:ln cap="rnd">
        <a:round/>
      </a:ln>
    </cs:spPr>
  </cs:dataPointLine>
  <cs:dataPointMarker>
    <cs:lnRef idx="1">
      <cs:styleClr val="auto"/>
    </cs:lnRef>
    <cs:fillRef idx="1">
      <cs:styleClr val="auto"/>
    </cs:fillRef>
    <cs:effectRef idx="0"/>
    <cs:fontRef idx="minor">
      <a:schemeClr val="tx1"/>
    </cs:fontRef>
    <cs:spPr>
      <a:ln>
        <a:round/>
      </a:ln>
    </cs:spPr>
  </cs:dataPointMarker>
  <cs:dataPointMarkerLayout/>
  <cs:dataPointWireframe>
    <cs:lnRef idx="1">
      <cs:styleClr val="auto"/>
    </cs:lnRef>
    <cs:fillRef idx="0"/>
    <cs:effectRef idx="0"/>
    <cs:fontRef idx="minor">
      <a:schemeClr val="tx1"/>
    </cs:fontRef>
    <cs:spPr>
      <a:ln>
        <a:round/>
      </a:ln>
    </cs:spPr>
  </cs:dataPointWireframe>
  <cs:dataTable>
    <cs:lnRef idx="1">
      <a:schemeClr val="tx1">
        <a:tint val="75000"/>
      </a:schemeClr>
    </cs:lnRef>
    <cs:fillRef idx="0"/>
    <cs:effectRef idx="0"/>
    <cs:fontRef idx="minor">
      <a:schemeClr val="tx1"/>
    </cs:fontRef>
    <cs:spPr>
      <a:ln>
        <a:round/>
      </a:ln>
    </cs:spPr>
    <cs:defRPr sz="1000" kern="1200"/>
  </cs:dataTable>
  <cs:downBar>
    <cs:lnRef idx="1">
      <a:schemeClr val="tx1"/>
    </cs:lnRef>
    <cs:fillRef idx="1">
      <a:schemeClr val="dk1">
        <a:tint val="95000"/>
      </a:schemeClr>
    </cs:fillRef>
    <cs:effectRef idx="0"/>
    <cs:fontRef idx="minor">
      <a:schemeClr val="tx1"/>
    </cs:fontRef>
    <cs:spPr>
      <a:ln>
        <a:round/>
      </a:ln>
    </cs:spPr>
  </cs:downBar>
  <cs:dropLine>
    <cs:lnRef idx="1">
      <a:schemeClr val="tx1"/>
    </cs:lnRef>
    <cs:fillRef idx="0"/>
    <cs:effectRef idx="0"/>
    <cs:fontRef idx="minor">
      <a:schemeClr val="tx1"/>
    </cs:fontRef>
    <cs:spPr>
      <a:ln>
        <a:round/>
      </a:ln>
    </cs:spPr>
  </cs:dropLine>
  <cs:errorBar>
    <cs:lnRef idx="1">
      <a:schemeClr val="tx1"/>
    </cs:lnRef>
    <cs:fillRef idx="1">
      <a:schemeClr val="tx1"/>
    </cs:fillRef>
    <cs:effectRef idx="0"/>
    <cs:fontRef idx="minor">
      <a:schemeClr val="tx1"/>
    </cs:fontRef>
    <cs:spPr>
      <a:ln>
        <a:round/>
      </a:ln>
    </cs:spPr>
  </cs:errorBar>
  <cs:floor>
    <cs:lnRef idx="1">
      <a:schemeClr val="tx1">
        <a:tint val="75000"/>
      </a:schemeClr>
    </cs:lnRef>
    <cs:fillRef idx="0"/>
    <cs:effectRef idx="0"/>
    <cs:fontRef idx="minor">
      <a:schemeClr val="tx1"/>
    </cs:fontRef>
    <cs:spPr>
      <a:ln>
        <a:round/>
      </a:ln>
    </cs:spPr>
  </cs:floor>
  <cs:gridlineMajor>
    <cs:lnRef idx="1">
      <a:schemeClr val="tx1">
        <a:tint val="75000"/>
      </a:schemeClr>
    </cs:lnRef>
    <cs:fillRef idx="0"/>
    <cs:effectRef idx="0"/>
    <cs:fontRef idx="minor">
      <a:schemeClr val="tx1"/>
    </cs:fontRef>
    <cs:spPr>
      <a:ln>
        <a:round/>
      </a:ln>
    </cs:spPr>
  </cs:gridlineMajor>
  <cs:gridlineMinor>
    <cs:lnRef idx="1">
      <a:schemeClr val="tx1">
        <a:tint val="50000"/>
      </a:schemeClr>
    </cs:lnRef>
    <cs:fillRef idx="0"/>
    <cs:effectRef idx="0"/>
    <cs:fontRef idx="minor">
      <a:schemeClr val="tx1"/>
    </cs:fontRef>
    <cs:spPr>
      <a:ln>
        <a:round/>
      </a:ln>
    </cs:spPr>
  </cs:gridlineMinor>
  <cs:hiLoLine>
    <cs:lnRef idx="1">
      <a:schemeClr val="tx1"/>
    </cs:lnRef>
    <cs:fillRef idx="0"/>
    <cs:effectRef idx="0"/>
    <cs:fontRef idx="minor">
      <a:schemeClr val="tx1"/>
    </cs:fontRef>
    <cs:spPr>
      <a:ln>
        <a:round/>
      </a:ln>
    </cs:spPr>
  </cs:hiLoLine>
  <cs:leaderLine>
    <cs:lnRef idx="1">
      <a:schemeClr val="tx1"/>
    </cs:lnRef>
    <cs:fillRef idx="0"/>
    <cs:effectRef idx="0"/>
    <cs:fontRef idx="minor">
      <a:schemeClr val="tx1"/>
    </cs:fontRef>
    <cs:spPr>
      <a:ln>
        <a:round/>
      </a:ln>
    </cs:spPr>
  </cs:leaderLine>
  <cs:legend>
    <cs:lnRef idx="0"/>
    <cs:fillRef idx="0"/>
    <cs:effectRef idx="0"/>
    <cs:fontRef idx="minor">
      <a:schemeClr val="tx1"/>
    </cs:fontRef>
    <cs:defRPr sz="1000" kern="1200"/>
  </cs:legend>
  <cs:plotArea mods="allowNoFillOverride allowNoLineOverride">
    <cs:lnRef idx="0"/>
    <cs:fillRef idx="1">
      <a:schemeClr val="bg1"/>
    </cs:fillRef>
    <cs:effectRef idx="0"/>
    <cs:fontRef idx="minor">
      <a:schemeClr val="tx1"/>
    </cs:fontRef>
  </cs:plotArea>
  <cs:plotArea3D>
    <cs:lnRef idx="0"/>
    <cs:fillRef idx="0"/>
    <cs:effectRef idx="0"/>
    <cs:fontRef idx="minor">
      <a:schemeClr val="tx1"/>
    </cs:fontRef>
  </cs:plotArea3D>
  <cs:seriesAxis>
    <cs:lnRef idx="1">
      <a:schemeClr val="tx1">
        <a:tint val="75000"/>
      </a:schemeClr>
    </cs:lnRef>
    <cs:fillRef idx="0"/>
    <cs:effectRef idx="0"/>
    <cs:fontRef idx="minor">
      <a:schemeClr val="tx1"/>
    </cs:fontRef>
    <cs:spPr>
      <a:ln>
        <a:round/>
      </a:ln>
    </cs:spPr>
    <cs:defRPr sz="1000" kern="1200"/>
  </cs:seriesAxis>
  <cs:seriesLine>
    <cs:lnRef idx="1">
      <a:schemeClr val="tx1"/>
    </cs:lnRef>
    <cs:fillRef idx="0"/>
    <cs:effectRef idx="0"/>
    <cs:fontRef idx="minor">
      <a:schemeClr val="tx1"/>
    </cs:fontRef>
    <cs:spPr>
      <a:ln>
        <a:round/>
      </a:ln>
    </cs:spPr>
  </cs:seriesLine>
  <cs:title>
    <cs:lnRef idx="0"/>
    <cs:fillRef idx="0"/>
    <cs:effectRef idx="0"/>
    <cs:fontRef idx="minor">
      <a:schemeClr val="tx1"/>
    </cs:fontRef>
    <cs:defRPr sz="1800" b="1" kern="1200"/>
  </cs:title>
  <cs:trendline>
    <cs:lnRef idx="1">
      <a:schemeClr val="tx1"/>
    </cs:lnRef>
    <cs:fillRef idx="0"/>
    <cs:effectRef idx="0"/>
    <cs:fontRef idx="minor">
      <a:schemeClr val="tx1"/>
    </cs:fontRef>
    <cs:spPr>
      <a:ln cap="rnd">
        <a:round/>
      </a:ln>
    </cs:spPr>
  </cs:trendline>
  <cs:trendlineLabel>
    <cs:lnRef idx="0"/>
    <cs:fillRef idx="0"/>
    <cs:effectRef idx="0"/>
    <cs:fontRef idx="minor">
      <a:schemeClr val="tx1"/>
    </cs:fontRef>
    <cs:defRPr sz="1000" kern="1200"/>
  </cs:trendlineLabel>
  <cs:upBar>
    <cs:lnRef idx="1">
      <a:schemeClr val="tx1"/>
    </cs:lnRef>
    <cs:fillRef idx="1">
      <a:schemeClr val="dk1">
        <a:tint val="5000"/>
      </a:schemeClr>
    </cs:fillRef>
    <cs:effectRef idx="0"/>
    <cs:fontRef idx="minor">
      <a:schemeClr val="tx1"/>
    </cs:fontRef>
    <cs:spPr>
      <a:ln>
        <a:round/>
      </a:ln>
    </cs:spPr>
  </cs:upBar>
  <cs:valueAxis>
    <cs:lnRef idx="1">
      <a:schemeClr val="tx1">
        <a:tint val="75000"/>
      </a:schemeClr>
    </cs:lnRef>
    <cs:fillRef idx="0"/>
    <cs:effectRef idx="0"/>
    <cs:fontRef idx="minor">
      <a:schemeClr val="tx1"/>
    </cs:fontRef>
    <cs:spPr>
      <a:ln>
        <a:round/>
      </a:ln>
    </cs:spPr>
    <cs:defRPr sz="1000" kern="1200"/>
  </cs:valueAxis>
  <cs:wall>
    <cs:lnRef idx="0"/>
    <cs:fillRef idx="0"/>
    <cs:effectRef idx="0"/>
    <cs:fontRef idx="minor">
      <a:schemeClr val="tx1"/>
    </cs:fontRef>
  </cs:wall>
</cs:chartStyle>
</file>

<file path=word/charts/style15.xml><?xml version="1.0" encoding="utf-8"?>
<cs:chartStyle xmlns:cs="http://schemas.microsoft.com/office/drawing/2012/chartStyle" xmlns:a="http://schemas.openxmlformats.org/drawingml/2006/main" id="102">
  <cs:axisTitle>
    <cs:lnRef idx="0"/>
    <cs:fillRef idx="0"/>
    <cs:effectRef idx="0"/>
    <cs:fontRef idx="minor">
      <a:schemeClr val="tx1"/>
    </cs:fontRef>
    <cs:defRPr sz="1000" b="1" kern="1200"/>
  </cs:axisTitle>
  <cs:categoryAxis>
    <cs:lnRef idx="1">
      <a:schemeClr val="tx1">
        <a:tint val="75000"/>
      </a:schemeClr>
    </cs:lnRef>
    <cs:fillRef idx="0"/>
    <cs:effectRef idx="0"/>
    <cs:fontRef idx="minor">
      <a:schemeClr val="tx1"/>
    </cs:fontRef>
    <cs:spPr>
      <a:ln>
        <a:round/>
      </a:ln>
    </cs:spPr>
    <cs:defRPr sz="1000" kern="1200"/>
  </cs:categoryAxis>
  <cs:chartArea mods="allowNoFillOverride allowNoLineOverride">
    <cs:lnRef idx="1">
      <a:schemeClr val="tx1">
        <a:tint val="75000"/>
      </a:schemeClr>
    </cs:lnRef>
    <cs:fillRef idx="1">
      <a:schemeClr val="bg1"/>
    </cs:fillRef>
    <cs:effectRef idx="0"/>
    <cs:fontRef idx="minor">
      <a:schemeClr val="tx1"/>
    </cs:fontRef>
    <cs:spPr>
      <a:ln>
        <a:round/>
      </a:ln>
    </cs:spPr>
    <cs:defRPr sz="1000" kern="1200"/>
  </cs:chartArea>
  <cs:dataLabel>
    <cs:lnRef idx="0"/>
    <cs:fillRef idx="0"/>
    <cs:effectRef idx="0"/>
    <cs:fontRef idx="minor">
      <a:schemeClr val="tx1"/>
    </cs:fontRef>
    <cs:defRPr sz="1000" kern="1200"/>
  </cs:dataLabel>
  <cs:dataLabelCallout>
    <cs:lnRef idx="0"/>
    <cs:fillRef idx="0"/>
    <cs:effectRef idx="0"/>
    <cs:fontRef idx="minor">
      <a:schemeClr val="dk1"/>
    </cs:fontRef>
    <cs:spPr>
      <a:solidFill>
        <a:schemeClr val="lt1"/>
      </a:solidFill>
      <a:ln>
        <a:solidFill>
          <a:schemeClr val="dk1">
            <a:lumMod val="65000"/>
            <a:lumOff val="35000"/>
          </a:schemeClr>
        </a:solidFill>
      </a:ln>
    </cs:spPr>
    <cs:defRPr sz="1000" kern="1200"/>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1">
      <cs:styleClr val="auto"/>
    </cs:lnRef>
    <cs:lineWidthScale>3</cs:lineWidthScale>
    <cs:fillRef idx="0"/>
    <cs:effectRef idx="0"/>
    <cs:fontRef idx="minor">
      <a:schemeClr val="tx1"/>
    </cs:fontRef>
    <cs:spPr>
      <a:ln cap="rnd">
        <a:round/>
      </a:ln>
    </cs:spPr>
  </cs:dataPointLine>
  <cs:dataPointMarker>
    <cs:lnRef idx="1">
      <cs:styleClr val="auto"/>
    </cs:lnRef>
    <cs:fillRef idx="1">
      <cs:styleClr val="auto"/>
    </cs:fillRef>
    <cs:effectRef idx="0"/>
    <cs:fontRef idx="minor">
      <a:schemeClr val="tx1"/>
    </cs:fontRef>
    <cs:spPr>
      <a:ln>
        <a:round/>
      </a:ln>
    </cs:spPr>
  </cs:dataPointMarker>
  <cs:dataPointMarkerLayout/>
  <cs:dataPointWireframe>
    <cs:lnRef idx="1">
      <cs:styleClr val="auto"/>
    </cs:lnRef>
    <cs:fillRef idx="0"/>
    <cs:effectRef idx="0"/>
    <cs:fontRef idx="minor">
      <a:schemeClr val="tx1"/>
    </cs:fontRef>
    <cs:spPr>
      <a:ln>
        <a:round/>
      </a:ln>
    </cs:spPr>
  </cs:dataPointWireframe>
  <cs:dataTable>
    <cs:lnRef idx="1">
      <a:schemeClr val="tx1">
        <a:tint val="75000"/>
      </a:schemeClr>
    </cs:lnRef>
    <cs:fillRef idx="0"/>
    <cs:effectRef idx="0"/>
    <cs:fontRef idx="minor">
      <a:schemeClr val="tx1"/>
    </cs:fontRef>
    <cs:spPr>
      <a:ln>
        <a:round/>
      </a:ln>
    </cs:spPr>
    <cs:defRPr sz="1000" kern="1200"/>
  </cs:dataTable>
  <cs:downBar>
    <cs:lnRef idx="1">
      <a:schemeClr val="tx1"/>
    </cs:lnRef>
    <cs:fillRef idx="1">
      <a:schemeClr val="dk1">
        <a:tint val="95000"/>
      </a:schemeClr>
    </cs:fillRef>
    <cs:effectRef idx="0"/>
    <cs:fontRef idx="minor">
      <a:schemeClr val="tx1"/>
    </cs:fontRef>
    <cs:spPr>
      <a:ln>
        <a:round/>
      </a:ln>
    </cs:spPr>
  </cs:downBar>
  <cs:dropLine>
    <cs:lnRef idx="1">
      <a:schemeClr val="tx1"/>
    </cs:lnRef>
    <cs:fillRef idx="0"/>
    <cs:effectRef idx="0"/>
    <cs:fontRef idx="minor">
      <a:schemeClr val="tx1"/>
    </cs:fontRef>
    <cs:spPr>
      <a:ln>
        <a:round/>
      </a:ln>
    </cs:spPr>
  </cs:dropLine>
  <cs:errorBar>
    <cs:lnRef idx="1">
      <a:schemeClr val="tx1"/>
    </cs:lnRef>
    <cs:fillRef idx="1">
      <a:schemeClr val="tx1"/>
    </cs:fillRef>
    <cs:effectRef idx="0"/>
    <cs:fontRef idx="minor">
      <a:schemeClr val="tx1"/>
    </cs:fontRef>
    <cs:spPr>
      <a:ln>
        <a:round/>
      </a:ln>
    </cs:spPr>
  </cs:errorBar>
  <cs:floor>
    <cs:lnRef idx="1">
      <a:schemeClr val="tx1">
        <a:tint val="75000"/>
      </a:schemeClr>
    </cs:lnRef>
    <cs:fillRef idx="0"/>
    <cs:effectRef idx="0"/>
    <cs:fontRef idx="minor">
      <a:schemeClr val="tx1"/>
    </cs:fontRef>
    <cs:spPr>
      <a:ln>
        <a:round/>
      </a:ln>
    </cs:spPr>
  </cs:floor>
  <cs:gridlineMajor>
    <cs:lnRef idx="1">
      <a:schemeClr val="tx1">
        <a:tint val="75000"/>
      </a:schemeClr>
    </cs:lnRef>
    <cs:fillRef idx="0"/>
    <cs:effectRef idx="0"/>
    <cs:fontRef idx="minor">
      <a:schemeClr val="tx1"/>
    </cs:fontRef>
    <cs:spPr>
      <a:ln>
        <a:round/>
      </a:ln>
    </cs:spPr>
  </cs:gridlineMajor>
  <cs:gridlineMinor>
    <cs:lnRef idx="1">
      <a:schemeClr val="tx1">
        <a:tint val="50000"/>
      </a:schemeClr>
    </cs:lnRef>
    <cs:fillRef idx="0"/>
    <cs:effectRef idx="0"/>
    <cs:fontRef idx="minor">
      <a:schemeClr val="tx1"/>
    </cs:fontRef>
    <cs:spPr>
      <a:ln>
        <a:round/>
      </a:ln>
    </cs:spPr>
  </cs:gridlineMinor>
  <cs:hiLoLine>
    <cs:lnRef idx="1">
      <a:schemeClr val="tx1"/>
    </cs:lnRef>
    <cs:fillRef idx="0"/>
    <cs:effectRef idx="0"/>
    <cs:fontRef idx="minor">
      <a:schemeClr val="tx1"/>
    </cs:fontRef>
    <cs:spPr>
      <a:ln>
        <a:round/>
      </a:ln>
    </cs:spPr>
  </cs:hiLoLine>
  <cs:leaderLine>
    <cs:lnRef idx="1">
      <a:schemeClr val="tx1"/>
    </cs:lnRef>
    <cs:fillRef idx="0"/>
    <cs:effectRef idx="0"/>
    <cs:fontRef idx="minor">
      <a:schemeClr val="tx1"/>
    </cs:fontRef>
    <cs:spPr>
      <a:ln>
        <a:round/>
      </a:ln>
    </cs:spPr>
  </cs:leaderLine>
  <cs:legend>
    <cs:lnRef idx="0"/>
    <cs:fillRef idx="0"/>
    <cs:effectRef idx="0"/>
    <cs:fontRef idx="minor">
      <a:schemeClr val="tx1"/>
    </cs:fontRef>
    <cs:defRPr sz="1000" kern="1200"/>
  </cs:legend>
  <cs:plotArea mods="allowNoFillOverride allowNoLineOverride">
    <cs:lnRef idx="0"/>
    <cs:fillRef idx="1">
      <a:schemeClr val="bg1"/>
    </cs:fillRef>
    <cs:effectRef idx="0"/>
    <cs:fontRef idx="minor">
      <a:schemeClr val="tx1"/>
    </cs:fontRef>
  </cs:plotArea>
  <cs:plotArea3D>
    <cs:lnRef idx="0"/>
    <cs:fillRef idx="0"/>
    <cs:effectRef idx="0"/>
    <cs:fontRef idx="minor">
      <a:schemeClr val="tx1"/>
    </cs:fontRef>
  </cs:plotArea3D>
  <cs:seriesAxis>
    <cs:lnRef idx="1">
      <a:schemeClr val="tx1">
        <a:tint val="75000"/>
      </a:schemeClr>
    </cs:lnRef>
    <cs:fillRef idx="0"/>
    <cs:effectRef idx="0"/>
    <cs:fontRef idx="minor">
      <a:schemeClr val="tx1"/>
    </cs:fontRef>
    <cs:spPr>
      <a:ln>
        <a:round/>
      </a:ln>
    </cs:spPr>
    <cs:defRPr sz="1000" kern="1200"/>
  </cs:seriesAxis>
  <cs:seriesLine>
    <cs:lnRef idx="1">
      <a:schemeClr val="tx1"/>
    </cs:lnRef>
    <cs:fillRef idx="0"/>
    <cs:effectRef idx="0"/>
    <cs:fontRef idx="minor">
      <a:schemeClr val="tx1"/>
    </cs:fontRef>
    <cs:spPr>
      <a:ln>
        <a:round/>
      </a:ln>
    </cs:spPr>
  </cs:seriesLine>
  <cs:title>
    <cs:lnRef idx="0"/>
    <cs:fillRef idx="0"/>
    <cs:effectRef idx="0"/>
    <cs:fontRef idx="minor">
      <a:schemeClr val="tx1"/>
    </cs:fontRef>
    <cs:defRPr sz="1800" b="1" kern="1200"/>
  </cs:title>
  <cs:trendline>
    <cs:lnRef idx="1">
      <a:schemeClr val="tx1"/>
    </cs:lnRef>
    <cs:fillRef idx="0"/>
    <cs:effectRef idx="0"/>
    <cs:fontRef idx="minor">
      <a:schemeClr val="tx1"/>
    </cs:fontRef>
    <cs:spPr>
      <a:ln cap="rnd">
        <a:round/>
      </a:ln>
    </cs:spPr>
  </cs:trendline>
  <cs:trendlineLabel>
    <cs:lnRef idx="0"/>
    <cs:fillRef idx="0"/>
    <cs:effectRef idx="0"/>
    <cs:fontRef idx="minor">
      <a:schemeClr val="tx1"/>
    </cs:fontRef>
    <cs:defRPr sz="1000" kern="1200"/>
  </cs:trendlineLabel>
  <cs:upBar>
    <cs:lnRef idx="1">
      <a:schemeClr val="tx1"/>
    </cs:lnRef>
    <cs:fillRef idx="1">
      <a:schemeClr val="dk1">
        <a:tint val="5000"/>
      </a:schemeClr>
    </cs:fillRef>
    <cs:effectRef idx="0"/>
    <cs:fontRef idx="minor">
      <a:schemeClr val="tx1"/>
    </cs:fontRef>
    <cs:spPr>
      <a:ln>
        <a:round/>
      </a:ln>
    </cs:spPr>
  </cs:upBar>
  <cs:valueAxis>
    <cs:lnRef idx="1">
      <a:schemeClr val="tx1">
        <a:tint val="75000"/>
      </a:schemeClr>
    </cs:lnRef>
    <cs:fillRef idx="0"/>
    <cs:effectRef idx="0"/>
    <cs:fontRef idx="minor">
      <a:schemeClr val="tx1"/>
    </cs:fontRef>
    <cs:spPr>
      <a:ln>
        <a:round/>
      </a:ln>
    </cs:spPr>
    <cs:defRPr sz="1000" kern="1200"/>
  </cs:valueAxis>
  <cs:wall>
    <cs:lnRef idx="0"/>
    <cs:fillRef idx="0"/>
    <cs:effectRef idx="0"/>
    <cs:fontRef idx="minor">
      <a:schemeClr val="tx1"/>
    </cs:fontRef>
  </cs:wall>
</cs:chartStyle>
</file>

<file path=word/charts/style16.xml><?xml version="1.0" encoding="utf-8"?>
<cs:chartStyle xmlns:cs="http://schemas.microsoft.com/office/drawing/2012/chartStyle" xmlns:a="http://schemas.openxmlformats.org/drawingml/2006/main" id="107">
  <cs:axisTitle>
    <cs:lnRef idx="0"/>
    <cs:fillRef idx="0"/>
    <cs:effectRef idx="0"/>
    <cs:fontRef idx="minor">
      <a:schemeClr val="tx1"/>
    </cs:fontRef>
    <cs:defRPr sz="1000" b="1" kern="1200"/>
  </cs:axisTitle>
  <cs:categoryAxis>
    <cs:lnRef idx="1">
      <a:schemeClr val="tx1">
        <a:tint val="75000"/>
      </a:schemeClr>
    </cs:lnRef>
    <cs:fillRef idx="0"/>
    <cs:effectRef idx="0"/>
    <cs:fontRef idx="minor">
      <a:schemeClr val="tx1"/>
    </cs:fontRef>
    <cs:spPr>
      <a:ln>
        <a:round/>
      </a:ln>
    </cs:spPr>
    <cs:defRPr sz="1000" kern="1200"/>
  </cs:categoryAxis>
  <cs:chartArea mods="allowNoFillOverride allowNoLineOverride">
    <cs:lnRef idx="1">
      <a:schemeClr val="tx1">
        <a:tint val="75000"/>
      </a:schemeClr>
    </cs:lnRef>
    <cs:fillRef idx="1">
      <a:schemeClr val="bg1"/>
    </cs:fillRef>
    <cs:effectRef idx="0"/>
    <cs:fontRef idx="minor">
      <a:schemeClr val="tx1"/>
    </cs:fontRef>
    <cs:spPr>
      <a:ln>
        <a:round/>
      </a:ln>
    </cs:spPr>
    <cs:defRPr sz="1000" kern="1200"/>
  </cs:chartArea>
  <cs:dataLabel>
    <cs:lnRef idx="0"/>
    <cs:fillRef idx="0"/>
    <cs:effectRef idx="0"/>
    <cs:fontRef idx="minor">
      <a:schemeClr val="tx1"/>
    </cs:fontRef>
    <cs:defRPr sz="1000" kern="1200"/>
  </cs:dataLabel>
  <cs:dataLabelCallout>
    <cs:lnRef idx="0"/>
    <cs:fillRef idx="0"/>
    <cs:effectRef idx="0"/>
    <cs:fontRef idx="minor">
      <a:schemeClr val="dk1"/>
    </cs:fontRef>
    <cs:spPr>
      <a:solidFill>
        <a:schemeClr val="lt1"/>
      </a:solidFill>
      <a:ln>
        <a:solidFill>
          <a:schemeClr val="dk1">
            <a:lumMod val="65000"/>
            <a:lumOff val="35000"/>
          </a:schemeClr>
        </a:solidFill>
      </a:ln>
    </cs:spPr>
    <cs:defRPr sz="1000" kern="1200"/>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1">
      <cs:styleClr val="auto"/>
    </cs:lnRef>
    <cs:lineWidthScale>3</cs:lineWidthScale>
    <cs:fillRef idx="0"/>
    <cs:effectRef idx="0"/>
    <cs:fontRef idx="minor">
      <a:schemeClr val="tx1"/>
    </cs:fontRef>
    <cs:spPr>
      <a:ln cap="rnd">
        <a:round/>
      </a:ln>
    </cs:spPr>
  </cs:dataPointLine>
  <cs:dataPointMarker>
    <cs:lnRef idx="1">
      <cs:styleClr val="auto"/>
    </cs:lnRef>
    <cs:fillRef idx="1">
      <cs:styleClr val="auto"/>
    </cs:fillRef>
    <cs:effectRef idx="0"/>
    <cs:fontRef idx="minor">
      <a:schemeClr val="tx1"/>
    </cs:fontRef>
    <cs:spPr>
      <a:ln>
        <a:round/>
      </a:ln>
    </cs:spPr>
  </cs:dataPointMarker>
  <cs:dataPointMarkerLayout/>
  <cs:dataPointWireframe>
    <cs:lnRef idx="1">
      <cs:styleClr val="auto"/>
    </cs:lnRef>
    <cs:fillRef idx="0"/>
    <cs:effectRef idx="0"/>
    <cs:fontRef idx="minor">
      <a:schemeClr val="tx1"/>
    </cs:fontRef>
    <cs:spPr>
      <a:ln>
        <a:round/>
      </a:ln>
    </cs:spPr>
  </cs:dataPointWireframe>
  <cs:dataTable>
    <cs:lnRef idx="1">
      <a:schemeClr val="tx1">
        <a:tint val="75000"/>
      </a:schemeClr>
    </cs:lnRef>
    <cs:fillRef idx="0"/>
    <cs:effectRef idx="0"/>
    <cs:fontRef idx="minor">
      <a:schemeClr val="tx1"/>
    </cs:fontRef>
    <cs:spPr>
      <a:ln>
        <a:round/>
      </a:ln>
    </cs:spPr>
    <cs:defRPr sz="1000" kern="1200"/>
  </cs:dataTable>
  <cs:downBar>
    <cs:lnRef idx="1">
      <a:schemeClr val="tx1"/>
    </cs:lnRef>
    <cs:fillRef idx="1" mods="ignoreCSTransforms">
      <cs:styleClr val="0">
        <a:shade val="25000"/>
      </cs:styleClr>
    </cs:fillRef>
    <cs:effectRef idx="0"/>
    <cs:fontRef idx="minor">
      <a:schemeClr val="tx1"/>
    </cs:fontRef>
    <cs:spPr>
      <a:ln>
        <a:round/>
      </a:ln>
    </cs:spPr>
  </cs:downBar>
  <cs:dropLine>
    <cs:lnRef idx="1">
      <a:schemeClr val="tx1"/>
    </cs:lnRef>
    <cs:fillRef idx="0"/>
    <cs:effectRef idx="0"/>
    <cs:fontRef idx="minor">
      <a:schemeClr val="tx1"/>
    </cs:fontRef>
    <cs:spPr>
      <a:ln>
        <a:round/>
      </a:ln>
    </cs:spPr>
  </cs:dropLine>
  <cs:errorBar>
    <cs:lnRef idx="1">
      <a:schemeClr val="tx1"/>
    </cs:lnRef>
    <cs:fillRef idx="1">
      <a:schemeClr val="tx1"/>
    </cs:fillRef>
    <cs:effectRef idx="0"/>
    <cs:fontRef idx="minor">
      <a:schemeClr val="tx1"/>
    </cs:fontRef>
    <cs:spPr>
      <a:ln>
        <a:round/>
      </a:ln>
    </cs:spPr>
  </cs:errorBar>
  <cs:floor>
    <cs:lnRef idx="1">
      <a:schemeClr val="tx1">
        <a:tint val="75000"/>
      </a:schemeClr>
    </cs:lnRef>
    <cs:fillRef idx="0"/>
    <cs:effectRef idx="0"/>
    <cs:fontRef idx="minor">
      <a:schemeClr val="tx1"/>
    </cs:fontRef>
    <cs:spPr>
      <a:ln>
        <a:round/>
      </a:ln>
    </cs:spPr>
  </cs:floor>
  <cs:gridlineMajor>
    <cs:lnRef idx="1">
      <a:schemeClr val="tx1">
        <a:tint val="75000"/>
      </a:schemeClr>
    </cs:lnRef>
    <cs:fillRef idx="0"/>
    <cs:effectRef idx="0"/>
    <cs:fontRef idx="minor">
      <a:schemeClr val="tx1"/>
    </cs:fontRef>
    <cs:spPr>
      <a:ln>
        <a:round/>
      </a:ln>
    </cs:spPr>
  </cs:gridlineMajor>
  <cs:gridlineMinor>
    <cs:lnRef idx="1">
      <a:schemeClr val="tx1">
        <a:tint val="50000"/>
      </a:schemeClr>
    </cs:lnRef>
    <cs:fillRef idx="0"/>
    <cs:effectRef idx="0"/>
    <cs:fontRef idx="minor">
      <a:schemeClr val="tx1"/>
    </cs:fontRef>
    <cs:spPr>
      <a:ln>
        <a:round/>
      </a:ln>
    </cs:spPr>
  </cs:gridlineMinor>
  <cs:hiLoLine>
    <cs:lnRef idx="1">
      <a:schemeClr val="tx1"/>
    </cs:lnRef>
    <cs:fillRef idx="0"/>
    <cs:effectRef idx="0"/>
    <cs:fontRef idx="minor">
      <a:schemeClr val="tx1"/>
    </cs:fontRef>
    <cs:spPr>
      <a:ln>
        <a:round/>
      </a:ln>
    </cs:spPr>
  </cs:hiLoLine>
  <cs:leaderLine>
    <cs:lnRef idx="1">
      <a:schemeClr val="tx1"/>
    </cs:lnRef>
    <cs:fillRef idx="0"/>
    <cs:effectRef idx="0"/>
    <cs:fontRef idx="minor">
      <a:schemeClr val="tx1"/>
    </cs:fontRef>
    <cs:spPr>
      <a:ln>
        <a:round/>
      </a:ln>
    </cs:spPr>
  </cs:leaderLine>
  <cs:legend>
    <cs:lnRef idx="0"/>
    <cs:fillRef idx="0"/>
    <cs:effectRef idx="0"/>
    <cs:fontRef idx="minor">
      <a:schemeClr val="tx1"/>
    </cs:fontRef>
    <cs:defRPr sz="1000" kern="1200"/>
  </cs:legend>
  <cs:plotArea mods="allowNoFillOverride allowNoLineOverride">
    <cs:lnRef idx="0"/>
    <cs:fillRef idx="1">
      <a:schemeClr val="bg1"/>
    </cs:fillRef>
    <cs:effectRef idx="0"/>
    <cs:fontRef idx="minor">
      <a:schemeClr val="tx1"/>
    </cs:fontRef>
  </cs:plotArea>
  <cs:plotArea3D>
    <cs:lnRef idx="0"/>
    <cs:fillRef idx="0"/>
    <cs:effectRef idx="0"/>
    <cs:fontRef idx="minor">
      <a:schemeClr val="tx1"/>
    </cs:fontRef>
  </cs:plotArea3D>
  <cs:seriesAxis>
    <cs:lnRef idx="1">
      <a:schemeClr val="tx1">
        <a:tint val="75000"/>
      </a:schemeClr>
    </cs:lnRef>
    <cs:fillRef idx="0"/>
    <cs:effectRef idx="0"/>
    <cs:fontRef idx="minor">
      <a:schemeClr val="tx1"/>
    </cs:fontRef>
    <cs:spPr>
      <a:ln>
        <a:round/>
      </a:ln>
    </cs:spPr>
    <cs:defRPr sz="1000" kern="1200"/>
  </cs:seriesAxis>
  <cs:seriesLine>
    <cs:lnRef idx="1">
      <a:schemeClr val="tx1"/>
    </cs:lnRef>
    <cs:fillRef idx="0"/>
    <cs:effectRef idx="0"/>
    <cs:fontRef idx="minor">
      <a:schemeClr val="tx1"/>
    </cs:fontRef>
    <cs:spPr>
      <a:ln>
        <a:round/>
      </a:ln>
    </cs:spPr>
  </cs:seriesLine>
  <cs:title>
    <cs:lnRef idx="0"/>
    <cs:fillRef idx="0"/>
    <cs:effectRef idx="0"/>
    <cs:fontRef idx="minor">
      <a:schemeClr val="tx1"/>
    </cs:fontRef>
    <cs:defRPr sz="1800" b="1" kern="1200"/>
  </cs:title>
  <cs:trendline>
    <cs:lnRef idx="1">
      <a:schemeClr val="tx1"/>
    </cs:lnRef>
    <cs:fillRef idx="0"/>
    <cs:effectRef idx="0"/>
    <cs:fontRef idx="minor">
      <a:schemeClr val="tx1"/>
    </cs:fontRef>
    <cs:spPr>
      <a:ln cap="rnd">
        <a:round/>
      </a:ln>
    </cs:spPr>
  </cs:trendline>
  <cs:trendlineLabel>
    <cs:lnRef idx="0"/>
    <cs:fillRef idx="0"/>
    <cs:effectRef idx="0"/>
    <cs:fontRef idx="minor">
      <a:schemeClr val="tx1"/>
    </cs:fontRef>
    <cs:defRPr sz="1000" kern="1200"/>
  </cs:trendlineLabel>
  <cs:upBar>
    <cs:lnRef idx="1">
      <a:schemeClr val="tx1"/>
    </cs:lnRef>
    <cs:fillRef idx="1" mods="ignoreCSTransforms">
      <cs:styleClr val="0">
        <a:tint val="25000"/>
      </cs:styleClr>
    </cs:fillRef>
    <cs:effectRef idx="0"/>
    <cs:fontRef idx="minor">
      <a:schemeClr val="tx1"/>
    </cs:fontRef>
    <cs:spPr>
      <a:ln>
        <a:round/>
      </a:ln>
    </cs:spPr>
  </cs:upBar>
  <cs:valueAxis>
    <cs:lnRef idx="1">
      <a:schemeClr val="tx1">
        <a:tint val="75000"/>
      </a:schemeClr>
    </cs:lnRef>
    <cs:fillRef idx="0"/>
    <cs:effectRef idx="0"/>
    <cs:fontRef idx="minor">
      <a:schemeClr val="tx1"/>
    </cs:fontRef>
    <cs:spPr>
      <a:ln>
        <a:round/>
      </a:ln>
    </cs:spPr>
    <cs:defRPr sz="1000" kern="1200"/>
  </cs:valueAxis>
  <cs:wall>
    <cs:lnRef idx="0"/>
    <cs:fillRef idx="0"/>
    <cs:effectRef idx="0"/>
    <cs:fontRef idx="minor">
      <a:schemeClr val="tx1"/>
    </cs:fontRef>
  </cs:wall>
</cs:chartStyle>
</file>

<file path=word/charts/style17.xml><?xml version="1.0" encoding="utf-8"?>
<cs:chartStyle xmlns:cs="http://schemas.microsoft.com/office/drawing/2012/chartStyle" xmlns:a="http://schemas.openxmlformats.org/drawingml/2006/main" id="107">
  <cs:axisTitle>
    <cs:lnRef idx="0"/>
    <cs:fillRef idx="0"/>
    <cs:effectRef idx="0"/>
    <cs:fontRef idx="minor">
      <a:schemeClr val="tx1"/>
    </cs:fontRef>
    <cs:defRPr sz="1000" b="1" kern="1200"/>
  </cs:axisTitle>
  <cs:categoryAxis>
    <cs:lnRef idx="1">
      <a:schemeClr val="tx1">
        <a:tint val="75000"/>
      </a:schemeClr>
    </cs:lnRef>
    <cs:fillRef idx="0"/>
    <cs:effectRef idx="0"/>
    <cs:fontRef idx="minor">
      <a:schemeClr val="tx1"/>
    </cs:fontRef>
    <cs:spPr>
      <a:ln>
        <a:round/>
      </a:ln>
    </cs:spPr>
    <cs:defRPr sz="1000" kern="1200"/>
  </cs:categoryAxis>
  <cs:chartArea mods="allowNoFillOverride allowNoLineOverride">
    <cs:lnRef idx="1">
      <a:schemeClr val="tx1">
        <a:tint val="75000"/>
      </a:schemeClr>
    </cs:lnRef>
    <cs:fillRef idx="1">
      <a:schemeClr val="bg1"/>
    </cs:fillRef>
    <cs:effectRef idx="0"/>
    <cs:fontRef idx="minor">
      <a:schemeClr val="tx1"/>
    </cs:fontRef>
    <cs:spPr>
      <a:ln>
        <a:round/>
      </a:ln>
    </cs:spPr>
    <cs:defRPr sz="1000" kern="1200"/>
  </cs:chartArea>
  <cs:dataLabel>
    <cs:lnRef idx="0"/>
    <cs:fillRef idx="0"/>
    <cs:effectRef idx="0"/>
    <cs:fontRef idx="minor">
      <a:schemeClr val="tx1"/>
    </cs:fontRef>
    <cs:defRPr sz="1000" kern="1200"/>
  </cs:dataLabel>
  <cs:dataLabelCallout>
    <cs:lnRef idx="0"/>
    <cs:fillRef idx="0"/>
    <cs:effectRef idx="0"/>
    <cs:fontRef idx="minor">
      <a:schemeClr val="dk1"/>
    </cs:fontRef>
    <cs:spPr>
      <a:solidFill>
        <a:schemeClr val="lt1"/>
      </a:solidFill>
      <a:ln>
        <a:solidFill>
          <a:schemeClr val="dk1">
            <a:lumMod val="65000"/>
            <a:lumOff val="35000"/>
          </a:schemeClr>
        </a:solidFill>
      </a:ln>
    </cs:spPr>
    <cs:defRPr sz="1000" kern="1200"/>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1">
      <cs:styleClr val="auto"/>
    </cs:lnRef>
    <cs:lineWidthScale>3</cs:lineWidthScale>
    <cs:fillRef idx="0"/>
    <cs:effectRef idx="0"/>
    <cs:fontRef idx="minor">
      <a:schemeClr val="tx1"/>
    </cs:fontRef>
    <cs:spPr>
      <a:ln cap="rnd">
        <a:round/>
      </a:ln>
    </cs:spPr>
  </cs:dataPointLine>
  <cs:dataPointMarker>
    <cs:lnRef idx="1">
      <cs:styleClr val="auto"/>
    </cs:lnRef>
    <cs:fillRef idx="1">
      <cs:styleClr val="auto"/>
    </cs:fillRef>
    <cs:effectRef idx="0"/>
    <cs:fontRef idx="minor">
      <a:schemeClr val="tx1"/>
    </cs:fontRef>
    <cs:spPr>
      <a:ln>
        <a:round/>
      </a:ln>
    </cs:spPr>
  </cs:dataPointMarker>
  <cs:dataPointMarkerLayout/>
  <cs:dataPointWireframe>
    <cs:lnRef idx="1">
      <cs:styleClr val="auto"/>
    </cs:lnRef>
    <cs:fillRef idx="0"/>
    <cs:effectRef idx="0"/>
    <cs:fontRef idx="minor">
      <a:schemeClr val="tx1"/>
    </cs:fontRef>
    <cs:spPr>
      <a:ln>
        <a:round/>
      </a:ln>
    </cs:spPr>
  </cs:dataPointWireframe>
  <cs:dataTable>
    <cs:lnRef idx="1">
      <a:schemeClr val="tx1">
        <a:tint val="75000"/>
      </a:schemeClr>
    </cs:lnRef>
    <cs:fillRef idx="0"/>
    <cs:effectRef idx="0"/>
    <cs:fontRef idx="minor">
      <a:schemeClr val="tx1"/>
    </cs:fontRef>
    <cs:spPr>
      <a:ln>
        <a:round/>
      </a:ln>
    </cs:spPr>
    <cs:defRPr sz="1000" kern="1200"/>
  </cs:dataTable>
  <cs:downBar>
    <cs:lnRef idx="1">
      <a:schemeClr val="tx1"/>
    </cs:lnRef>
    <cs:fillRef idx="1" mods="ignoreCSTransforms">
      <cs:styleClr val="0">
        <a:shade val="25000"/>
      </cs:styleClr>
    </cs:fillRef>
    <cs:effectRef idx="0"/>
    <cs:fontRef idx="minor">
      <a:schemeClr val="tx1"/>
    </cs:fontRef>
    <cs:spPr>
      <a:ln>
        <a:round/>
      </a:ln>
    </cs:spPr>
  </cs:downBar>
  <cs:dropLine>
    <cs:lnRef idx="1">
      <a:schemeClr val="tx1"/>
    </cs:lnRef>
    <cs:fillRef idx="0"/>
    <cs:effectRef idx="0"/>
    <cs:fontRef idx="minor">
      <a:schemeClr val="tx1"/>
    </cs:fontRef>
    <cs:spPr>
      <a:ln>
        <a:round/>
      </a:ln>
    </cs:spPr>
  </cs:dropLine>
  <cs:errorBar>
    <cs:lnRef idx="1">
      <a:schemeClr val="tx1"/>
    </cs:lnRef>
    <cs:fillRef idx="1">
      <a:schemeClr val="tx1"/>
    </cs:fillRef>
    <cs:effectRef idx="0"/>
    <cs:fontRef idx="minor">
      <a:schemeClr val="tx1"/>
    </cs:fontRef>
    <cs:spPr>
      <a:ln>
        <a:round/>
      </a:ln>
    </cs:spPr>
  </cs:errorBar>
  <cs:floor>
    <cs:lnRef idx="1">
      <a:schemeClr val="tx1">
        <a:tint val="75000"/>
      </a:schemeClr>
    </cs:lnRef>
    <cs:fillRef idx="0"/>
    <cs:effectRef idx="0"/>
    <cs:fontRef idx="minor">
      <a:schemeClr val="tx1"/>
    </cs:fontRef>
    <cs:spPr>
      <a:ln>
        <a:round/>
      </a:ln>
    </cs:spPr>
  </cs:floor>
  <cs:gridlineMajor>
    <cs:lnRef idx="1">
      <a:schemeClr val="tx1">
        <a:tint val="75000"/>
      </a:schemeClr>
    </cs:lnRef>
    <cs:fillRef idx="0"/>
    <cs:effectRef idx="0"/>
    <cs:fontRef idx="minor">
      <a:schemeClr val="tx1"/>
    </cs:fontRef>
    <cs:spPr>
      <a:ln>
        <a:round/>
      </a:ln>
    </cs:spPr>
  </cs:gridlineMajor>
  <cs:gridlineMinor>
    <cs:lnRef idx="1">
      <a:schemeClr val="tx1">
        <a:tint val="50000"/>
      </a:schemeClr>
    </cs:lnRef>
    <cs:fillRef idx="0"/>
    <cs:effectRef idx="0"/>
    <cs:fontRef idx="minor">
      <a:schemeClr val="tx1"/>
    </cs:fontRef>
    <cs:spPr>
      <a:ln>
        <a:round/>
      </a:ln>
    </cs:spPr>
  </cs:gridlineMinor>
  <cs:hiLoLine>
    <cs:lnRef idx="1">
      <a:schemeClr val="tx1"/>
    </cs:lnRef>
    <cs:fillRef idx="0"/>
    <cs:effectRef idx="0"/>
    <cs:fontRef idx="minor">
      <a:schemeClr val="tx1"/>
    </cs:fontRef>
    <cs:spPr>
      <a:ln>
        <a:round/>
      </a:ln>
    </cs:spPr>
  </cs:hiLoLine>
  <cs:leaderLine>
    <cs:lnRef idx="1">
      <a:schemeClr val="tx1"/>
    </cs:lnRef>
    <cs:fillRef idx="0"/>
    <cs:effectRef idx="0"/>
    <cs:fontRef idx="minor">
      <a:schemeClr val="tx1"/>
    </cs:fontRef>
    <cs:spPr>
      <a:ln>
        <a:round/>
      </a:ln>
    </cs:spPr>
  </cs:leaderLine>
  <cs:legend>
    <cs:lnRef idx="0"/>
    <cs:fillRef idx="0"/>
    <cs:effectRef idx="0"/>
    <cs:fontRef idx="minor">
      <a:schemeClr val="tx1"/>
    </cs:fontRef>
    <cs:defRPr sz="1000" kern="1200"/>
  </cs:legend>
  <cs:plotArea mods="allowNoFillOverride allowNoLineOverride">
    <cs:lnRef idx="0"/>
    <cs:fillRef idx="1">
      <a:schemeClr val="bg1"/>
    </cs:fillRef>
    <cs:effectRef idx="0"/>
    <cs:fontRef idx="minor">
      <a:schemeClr val="tx1"/>
    </cs:fontRef>
  </cs:plotArea>
  <cs:plotArea3D>
    <cs:lnRef idx="0"/>
    <cs:fillRef idx="0"/>
    <cs:effectRef idx="0"/>
    <cs:fontRef idx="minor">
      <a:schemeClr val="tx1"/>
    </cs:fontRef>
  </cs:plotArea3D>
  <cs:seriesAxis>
    <cs:lnRef idx="1">
      <a:schemeClr val="tx1">
        <a:tint val="75000"/>
      </a:schemeClr>
    </cs:lnRef>
    <cs:fillRef idx="0"/>
    <cs:effectRef idx="0"/>
    <cs:fontRef idx="minor">
      <a:schemeClr val="tx1"/>
    </cs:fontRef>
    <cs:spPr>
      <a:ln>
        <a:round/>
      </a:ln>
    </cs:spPr>
    <cs:defRPr sz="1000" kern="1200"/>
  </cs:seriesAxis>
  <cs:seriesLine>
    <cs:lnRef idx="1">
      <a:schemeClr val="tx1"/>
    </cs:lnRef>
    <cs:fillRef idx="0"/>
    <cs:effectRef idx="0"/>
    <cs:fontRef idx="minor">
      <a:schemeClr val="tx1"/>
    </cs:fontRef>
    <cs:spPr>
      <a:ln>
        <a:round/>
      </a:ln>
    </cs:spPr>
  </cs:seriesLine>
  <cs:title>
    <cs:lnRef idx="0"/>
    <cs:fillRef idx="0"/>
    <cs:effectRef idx="0"/>
    <cs:fontRef idx="minor">
      <a:schemeClr val="tx1"/>
    </cs:fontRef>
    <cs:defRPr sz="1800" b="1" kern="1200"/>
  </cs:title>
  <cs:trendline>
    <cs:lnRef idx="1">
      <a:schemeClr val="tx1"/>
    </cs:lnRef>
    <cs:fillRef idx="0"/>
    <cs:effectRef idx="0"/>
    <cs:fontRef idx="minor">
      <a:schemeClr val="tx1"/>
    </cs:fontRef>
    <cs:spPr>
      <a:ln cap="rnd">
        <a:round/>
      </a:ln>
    </cs:spPr>
  </cs:trendline>
  <cs:trendlineLabel>
    <cs:lnRef idx="0"/>
    <cs:fillRef idx="0"/>
    <cs:effectRef idx="0"/>
    <cs:fontRef idx="minor">
      <a:schemeClr val="tx1"/>
    </cs:fontRef>
    <cs:defRPr sz="1000" kern="1200"/>
  </cs:trendlineLabel>
  <cs:upBar>
    <cs:lnRef idx="1">
      <a:schemeClr val="tx1"/>
    </cs:lnRef>
    <cs:fillRef idx="1" mods="ignoreCSTransforms">
      <cs:styleClr val="0">
        <a:tint val="25000"/>
      </cs:styleClr>
    </cs:fillRef>
    <cs:effectRef idx="0"/>
    <cs:fontRef idx="minor">
      <a:schemeClr val="tx1"/>
    </cs:fontRef>
    <cs:spPr>
      <a:ln>
        <a:round/>
      </a:ln>
    </cs:spPr>
  </cs:upBar>
  <cs:valueAxis>
    <cs:lnRef idx="1">
      <a:schemeClr val="tx1">
        <a:tint val="75000"/>
      </a:schemeClr>
    </cs:lnRef>
    <cs:fillRef idx="0"/>
    <cs:effectRef idx="0"/>
    <cs:fontRef idx="minor">
      <a:schemeClr val="tx1"/>
    </cs:fontRef>
    <cs:spPr>
      <a:ln>
        <a:round/>
      </a:ln>
    </cs:spPr>
    <cs:defRPr sz="1000" kern="1200"/>
  </cs:valueAxis>
  <cs:wall>
    <cs:lnRef idx="0"/>
    <cs:fillRef idx="0"/>
    <cs:effectRef idx="0"/>
    <cs:fontRef idx="minor">
      <a:schemeClr val="tx1"/>
    </cs:fontRef>
  </cs:wall>
</cs:chartStyle>
</file>

<file path=word/charts/style18.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9.xml><?xml version="1.0" encoding="utf-8"?>
<cs:chartStyle xmlns:cs="http://schemas.microsoft.com/office/drawing/2012/chartStyle" xmlns:a="http://schemas.openxmlformats.org/drawingml/2006/main" id="102">
  <cs:axisTitle>
    <cs:lnRef idx="0"/>
    <cs:fillRef idx="0"/>
    <cs:effectRef idx="0"/>
    <cs:fontRef idx="minor">
      <a:schemeClr val="tx1"/>
    </cs:fontRef>
    <cs:defRPr sz="1000" b="1" kern="1200"/>
  </cs:axisTitle>
  <cs:categoryAxis>
    <cs:lnRef idx="1">
      <a:schemeClr val="tx1">
        <a:tint val="75000"/>
      </a:schemeClr>
    </cs:lnRef>
    <cs:fillRef idx="0"/>
    <cs:effectRef idx="0"/>
    <cs:fontRef idx="minor">
      <a:schemeClr val="tx1"/>
    </cs:fontRef>
    <cs:spPr>
      <a:ln>
        <a:round/>
      </a:ln>
    </cs:spPr>
    <cs:defRPr sz="1000" kern="1200"/>
  </cs:categoryAxis>
  <cs:chartArea mods="allowNoFillOverride allowNoLineOverride">
    <cs:lnRef idx="1">
      <a:schemeClr val="tx1">
        <a:tint val="75000"/>
      </a:schemeClr>
    </cs:lnRef>
    <cs:fillRef idx="1">
      <a:schemeClr val="bg1"/>
    </cs:fillRef>
    <cs:effectRef idx="0"/>
    <cs:fontRef idx="minor">
      <a:schemeClr val="tx1"/>
    </cs:fontRef>
    <cs:spPr>
      <a:ln>
        <a:round/>
      </a:ln>
    </cs:spPr>
    <cs:defRPr sz="1000" kern="1200"/>
  </cs:chartArea>
  <cs:dataLabel>
    <cs:lnRef idx="0"/>
    <cs:fillRef idx="0"/>
    <cs:effectRef idx="0"/>
    <cs:fontRef idx="minor">
      <a:schemeClr val="tx1"/>
    </cs:fontRef>
    <cs:defRPr sz="1000" kern="1200"/>
  </cs:dataLabel>
  <cs:dataLabelCallout>
    <cs:lnRef idx="0"/>
    <cs:fillRef idx="0"/>
    <cs:effectRef idx="0"/>
    <cs:fontRef idx="minor">
      <a:schemeClr val="dk1"/>
    </cs:fontRef>
    <cs:spPr>
      <a:solidFill>
        <a:schemeClr val="lt1"/>
      </a:solidFill>
      <a:ln>
        <a:solidFill>
          <a:schemeClr val="dk1">
            <a:lumMod val="65000"/>
            <a:lumOff val="35000"/>
          </a:schemeClr>
        </a:solidFill>
      </a:ln>
    </cs:spPr>
    <cs:defRPr sz="1000" kern="1200"/>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1">
      <cs:styleClr val="auto"/>
    </cs:lnRef>
    <cs:lineWidthScale>3</cs:lineWidthScale>
    <cs:fillRef idx="0"/>
    <cs:effectRef idx="0"/>
    <cs:fontRef idx="minor">
      <a:schemeClr val="tx1"/>
    </cs:fontRef>
    <cs:spPr>
      <a:ln cap="rnd">
        <a:round/>
      </a:ln>
    </cs:spPr>
  </cs:dataPointLine>
  <cs:dataPointMarker>
    <cs:lnRef idx="1">
      <cs:styleClr val="auto"/>
    </cs:lnRef>
    <cs:fillRef idx="1">
      <cs:styleClr val="auto"/>
    </cs:fillRef>
    <cs:effectRef idx="0"/>
    <cs:fontRef idx="minor">
      <a:schemeClr val="tx1"/>
    </cs:fontRef>
    <cs:spPr>
      <a:ln>
        <a:round/>
      </a:ln>
    </cs:spPr>
  </cs:dataPointMarker>
  <cs:dataPointMarkerLayout/>
  <cs:dataPointWireframe>
    <cs:lnRef idx="1">
      <cs:styleClr val="auto"/>
    </cs:lnRef>
    <cs:fillRef idx="0"/>
    <cs:effectRef idx="0"/>
    <cs:fontRef idx="minor">
      <a:schemeClr val="tx1"/>
    </cs:fontRef>
    <cs:spPr>
      <a:ln>
        <a:round/>
      </a:ln>
    </cs:spPr>
  </cs:dataPointWireframe>
  <cs:dataTable>
    <cs:lnRef idx="1">
      <a:schemeClr val="tx1">
        <a:tint val="75000"/>
      </a:schemeClr>
    </cs:lnRef>
    <cs:fillRef idx="0"/>
    <cs:effectRef idx="0"/>
    <cs:fontRef idx="minor">
      <a:schemeClr val="tx1"/>
    </cs:fontRef>
    <cs:spPr>
      <a:ln>
        <a:round/>
      </a:ln>
    </cs:spPr>
    <cs:defRPr sz="1000" kern="1200"/>
  </cs:dataTable>
  <cs:downBar>
    <cs:lnRef idx="1">
      <a:schemeClr val="tx1"/>
    </cs:lnRef>
    <cs:fillRef idx="1">
      <a:schemeClr val="dk1">
        <a:tint val="95000"/>
      </a:schemeClr>
    </cs:fillRef>
    <cs:effectRef idx="0"/>
    <cs:fontRef idx="minor">
      <a:schemeClr val="tx1"/>
    </cs:fontRef>
    <cs:spPr>
      <a:ln>
        <a:round/>
      </a:ln>
    </cs:spPr>
  </cs:downBar>
  <cs:dropLine>
    <cs:lnRef idx="1">
      <a:schemeClr val="tx1"/>
    </cs:lnRef>
    <cs:fillRef idx="0"/>
    <cs:effectRef idx="0"/>
    <cs:fontRef idx="minor">
      <a:schemeClr val="tx1"/>
    </cs:fontRef>
    <cs:spPr>
      <a:ln>
        <a:round/>
      </a:ln>
    </cs:spPr>
  </cs:dropLine>
  <cs:errorBar>
    <cs:lnRef idx="1">
      <a:schemeClr val="tx1"/>
    </cs:lnRef>
    <cs:fillRef idx="1">
      <a:schemeClr val="tx1"/>
    </cs:fillRef>
    <cs:effectRef idx="0"/>
    <cs:fontRef idx="minor">
      <a:schemeClr val="tx1"/>
    </cs:fontRef>
    <cs:spPr>
      <a:ln>
        <a:round/>
      </a:ln>
    </cs:spPr>
  </cs:errorBar>
  <cs:floor>
    <cs:lnRef idx="1">
      <a:schemeClr val="tx1">
        <a:tint val="75000"/>
      </a:schemeClr>
    </cs:lnRef>
    <cs:fillRef idx="0"/>
    <cs:effectRef idx="0"/>
    <cs:fontRef idx="minor">
      <a:schemeClr val="tx1"/>
    </cs:fontRef>
    <cs:spPr>
      <a:ln>
        <a:round/>
      </a:ln>
    </cs:spPr>
  </cs:floor>
  <cs:gridlineMajor>
    <cs:lnRef idx="1">
      <a:schemeClr val="tx1">
        <a:tint val="75000"/>
      </a:schemeClr>
    </cs:lnRef>
    <cs:fillRef idx="0"/>
    <cs:effectRef idx="0"/>
    <cs:fontRef idx="minor">
      <a:schemeClr val="tx1"/>
    </cs:fontRef>
    <cs:spPr>
      <a:ln>
        <a:round/>
      </a:ln>
    </cs:spPr>
  </cs:gridlineMajor>
  <cs:gridlineMinor>
    <cs:lnRef idx="1">
      <a:schemeClr val="tx1">
        <a:tint val="50000"/>
      </a:schemeClr>
    </cs:lnRef>
    <cs:fillRef idx="0"/>
    <cs:effectRef idx="0"/>
    <cs:fontRef idx="minor">
      <a:schemeClr val="tx1"/>
    </cs:fontRef>
    <cs:spPr>
      <a:ln>
        <a:round/>
      </a:ln>
    </cs:spPr>
  </cs:gridlineMinor>
  <cs:hiLoLine>
    <cs:lnRef idx="1">
      <a:schemeClr val="tx1"/>
    </cs:lnRef>
    <cs:fillRef idx="0"/>
    <cs:effectRef idx="0"/>
    <cs:fontRef idx="minor">
      <a:schemeClr val="tx1"/>
    </cs:fontRef>
    <cs:spPr>
      <a:ln>
        <a:round/>
      </a:ln>
    </cs:spPr>
  </cs:hiLoLine>
  <cs:leaderLine>
    <cs:lnRef idx="1">
      <a:schemeClr val="tx1"/>
    </cs:lnRef>
    <cs:fillRef idx="0"/>
    <cs:effectRef idx="0"/>
    <cs:fontRef idx="minor">
      <a:schemeClr val="tx1"/>
    </cs:fontRef>
    <cs:spPr>
      <a:ln>
        <a:round/>
      </a:ln>
    </cs:spPr>
  </cs:leaderLine>
  <cs:legend>
    <cs:lnRef idx="0"/>
    <cs:fillRef idx="0"/>
    <cs:effectRef idx="0"/>
    <cs:fontRef idx="minor">
      <a:schemeClr val="tx1"/>
    </cs:fontRef>
    <cs:defRPr sz="1000" kern="1200"/>
  </cs:legend>
  <cs:plotArea mods="allowNoFillOverride allowNoLineOverride">
    <cs:lnRef idx="0"/>
    <cs:fillRef idx="1">
      <a:schemeClr val="bg1"/>
    </cs:fillRef>
    <cs:effectRef idx="0"/>
    <cs:fontRef idx="minor">
      <a:schemeClr val="tx1"/>
    </cs:fontRef>
  </cs:plotArea>
  <cs:plotArea3D>
    <cs:lnRef idx="0"/>
    <cs:fillRef idx="0"/>
    <cs:effectRef idx="0"/>
    <cs:fontRef idx="minor">
      <a:schemeClr val="tx1"/>
    </cs:fontRef>
  </cs:plotArea3D>
  <cs:seriesAxis>
    <cs:lnRef idx="1">
      <a:schemeClr val="tx1">
        <a:tint val="75000"/>
      </a:schemeClr>
    </cs:lnRef>
    <cs:fillRef idx="0"/>
    <cs:effectRef idx="0"/>
    <cs:fontRef idx="minor">
      <a:schemeClr val="tx1"/>
    </cs:fontRef>
    <cs:spPr>
      <a:ln>
        <a:round/>
      </a:ln>
    </cs:spPr>
    <cs:defRPr sz="1000" kern="1200"/>
  </cs:seriesAxis>
  <cs:seriesLine>
    <cs:lnRef idx="1">
      <a:schemeClr val="tx1"/>
    </cs:lnRef>
    <cs:fillRef idx="0"/>
    <cs:effectRef idx="0"/>
    <cs:fontRef idx="minor">
      <a:schemeClr val="tx1"/>
    </cs:fontRef>
    <cs:spPr>
      <a:ln>
        <a:round/>
      </a:ln>
    </cs:spPr>
  </cs:seriesLine>
  <cs:title>
    <cs:lnRef idx="0"/>
    <cs:fillRef idx="0"/>
    <cs:effectRef idx="0"/>
    <cs:fontRef idx="minor">
      <a:schemeClr val="tx1"/>
    </cs:fontRef>
    <cs:defRPr sz="1800" b="1" kern="1200"/>
  </cs:title>
  <cs:trendline>
    <cs:lnRef idx="1">
      <a:schemeClr val="tx1"/>
    </cs:lnRef>
    <cs:fillRef idx="0"/>
    <cs:effectRef idx="0"/>
    <cs:fontRef idx="minor">
      <a:schemeClr val="tx1"/>
    </cs:fontRef>
    <cs:spPr>
      <a:ln cap="rnd">
        <a:round/>
      </a:ln>
    </cs:spPr>
  </cs:trendline>
  <cs:trendlineLabel>
    <cs:lnRef idx="0"/>
    <cs:fillRef idx="0"/>
    <cs:effectRef idx="0"/>
    <cs:fontRef idx="minor">
      <a:schemeClr val="tx1"/>
    </cs:fontRef>
    <cs:defRPr sz="1000" kern="1200"/>
  </cs:trendlineLabel>
  <cs:upBar>
    <cs:lnRef idx="1">
      <a:schemeClr val="tx1"/>
    </cs:lnRef>
    <cs:fillRef idx="1">
      <a:schemeClr val="dk1">
        <a:tint val="5000"/>
      </a:schemeClr>
    </cs:fillRef>
    <cs:effectRef idx="0"/>
    <cs:fontRef idx="minor">
      <a:schemeClr val="tx1"/>
    </cs:fontRef>
    <cs:spPr>
      <a:ln>
        <a:round/>
      </a:ln>
    </cs:spPr>
  </cs:upBar>
  <cs:valueAxis>
    <cs:lnRef idx="1">
      <a:schemeClr val="tx1">
        <a:tint val="75000"/>
      </a:schemeClr>
    </cs:lnRef>
    <cs:fillRef idx="0"/>
    <cs:effectRef idx="0"/>
    <cs:fontRef idx="minor">
      <a:schemeClr val="tx1"/>
    </cs:fontRef>
    <cs:spPr>
      <a:ln>
        <a:round/>
      </a:ln>
    </cs:spPr>
    <cs:defRPr sz="1000" kern="1200"/>
  </cs:valueAxis>
  <cs:wall>
    <cs:lnRef idx="0"/>
    <cs:fillRef idx="0"/>
    <cs:effectRef idx="0"/>
    <cs:fontRef idx="minor">
      <a:schemeClr val="tx1"/>
    </cs:fontRef>
  </cs:wall>
</cs:chartStyle>
</file>

<file path=word/charts/style20.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4.xml><?xml version="1.0" encoding="utf-8"?>
<cs:chartStyle xmlns:cs="http://schemas.microsoft.com/office/drawing/2012/chartStyle" xmlns:a="http://schemas.openxmlformats.org/drawingml/2006/main" id="32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6.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iagrams/colors1.xml><?xml version="1.0" encoding="utf-8"?>
<dgm:colorsDef xmlns:dgm="http://schemas.openxmlformats.org/drawingml/2006/diagram" xmlns:a="http://schemas.openxmlformats.org/drawingml/2006/main" uniqueId="urn:microsoft.com/office/officeart/2005/8/colors/accent1_5">
  <dgm:title val=""/>
  <dgm:desc val=""/>
  <dgm:catLst>
    <dgm:cat type="accent1" pri="11500"/>
  </dgm:catLst>
  <dgm:styleLbl name="node0">
    <dgm:fillClrLst meth="cycle">
      <a:schemeClr val="accent1">
        <a:alpha val="80000"/>
      </a:schemeClr>
    </dgm:fillClrLst>
    <dgm:linClrLst meth="repeat">
      <a:schemeClr val="lt1"/>
    </dgm:linClrLst>
    <dgm:effectClrLst/>
    <dgm:txLinClrLst/>
    <dgm:txFillClrLst/>
    <dgm:txEffectClrLst/>
  </dgm:styleLbl>
  <dgm:styleLbl name="node1">
    <dgm:fillClrLst>
      <a:schemeClr val="accent1">
        <a:alpha val="90000"/>
      </a:schemeClr>
      <a:schemeClr val="accent1">
        <a:alpha val="50000"/>
      </a:schemeClr>
    </dgm:fillClrLst>
    <dgm:linClrLst meth="repeat">
      <a:schemeClr val="lt1"/>
    </dgm:linClrLst>
    <dgm:effectClrLst/>
    <dgm:txLinClrLst/>
    <dgm:txFillClrLst/>
    <dgm:txEffectClrLst/>
  </dgm:styleLbl>
  <dgm:styleLbl name="alignNode1">
    <dgm:fillClrLst>
      <a:schemeClr val="accent1">
        <a:alpha val="90000"/>
      </a:schemeClr>
      <a:schemeClr val="accent1">
        <a:alpha val="50000"/>
      </a:schemeClr>
    </dgm:fillClrLst>
    <dgm:linClrLst>
      <a:schemeClr val="accent1">
        <a:alpha val="90000"/>
      </a:schemeClr>
      <a:schemeClr val="accent1">
        <a:alpha val="50000"/>
      </a:schemeClr>
    </dgm:linClrLst>
    <dgm:effectClrLst/>
    <dgm:txLinClrLst/>
    <dgm:txFillClrLst/>
    <dgm:txEffectClrLst/>
  </dgm:styleLbl>
  <dgm:styleLbl name="lnNode1">
    <dgm:fillClrLst>
      <a:schemeClr val="accent1">
        <a:shade val="90000"/>
      </a:schemeClr>
      <a:schemeClr val="accent1">
        <a:alpha val="50000"/>
        <a:tint val="50000"/>
      </a:schemeClr>
    </dgm:fillClrLst>
    <dgm:linClrLst meth="repeat">
      <a:schemeClr val="lt1"/>
    </dgm:linClrLst>
    <dgm:effectClrLst/>
    <dgm:txLinClrLst/>
    <dgm:txFillClrLst/>
    <dgm:txEffectClrLst/>
  </dgm:styleLbl>
  <dgm:styleLbl name="vennNode1">
    <dgm:fillClrLst>
      <a:schemeClr val="accent1">
        <a:shade val="80000"/>
        <a:alpha val="50000"/>
      </a:schemeClr>
      <a:schemeClr val="accent1">
        <a:alpha val="80000"/>
      </a:schemeClr>
    </dgm:fillClrLst>
    <dgm:linClrLst meth="repeat">
      <a:schemeClr val="lt1"/>
    </dgm:linClrLst>
    <dgm:effectClrLst/>
    <dgm:txLinClrLst/>
    <dgm:txFillClrLst/>
    <dgm:txEffectClrLst/>
  </dgm:styleLbl>
  <dgm:styleLbl name="node2">
    <dgm:fillClrLst>
      <a:schemeClr val="accent1">
        <a:alpha val="70000"/>
      </a:schemeClr>
    </dgm:fillClrLst>
    <dgm:linClrLst meth="repeat">
      <a:schemeClr val="lt1"/>
    </dgm:linClrLst>
    <dgm:effectClrLst/>
    <dgm:txLinClrLst/>
    <dgm:txFillClrLst/>
    <dgm:txEffectClrLst/>
  </dgm:styleLbl>
  <dgm:styleLbl name="node3">
    <dgm:fillClrLst>
      <a:schemeClr val="accent1">
        <a:alpha val="50000"/>
      </a:schemeClr>
    </dgm:fillClrLst>
    <dgm:linClrLst meth="repeat">
      <a:schemeClr val="lt1"/>
    </dgm:linClrLst>
    <dgm:effectClrLst/>
    <dgm:txLinClrLst/>
    <dgm:txFillClrLst/>
    <dgm:txEffectClrLst/>
  </dgm:styleLbl>
  <dgm:styleLbl name="node4">
    <dgm:fillClrLst>
      <a:schemeClr val="accent1">
        <a:alpha val="30000"/>
      </a:schemeClr>
    </dgm:fillClrLst>
    <dgm:linClrLst meth="repeat">
      <a:schemeClr val="lt1"/>
    </dgm:linClrLst>
    <dgm:effectClrLst/>
    <dgm:txLinClrLst/>
    <dgm:txFillClrLst/>
    <dgm:txEffectClrLst/>
  </dgm:styleLbl>
  <dgm:styleLbl name="fgImgPlace1">
    <dgm:fillClrLst>
      <a:schemeClr val="accent1">
        <a:tint val="50000"/>
        <a:alpha val="90000"/>
      </a:schemeClr>
      <a:schemeClr val="accent1">
        <a:tint val="20000"/>
        <a:alpha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dgm:txEffectClrLst/>
  </dgm:styleLbl>
  <dgm:styleLbl name="fgSibTrans2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dgm:txEffectClrLst/>
  </dgm:styleLbl>
  <dgm:styleLbl name="bgSibTrans2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dgm:txEffectClrLst/>
  </dgm:styleLbl>
  <dgm:styleLbl name="sibTrans1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accent1">
        <a:alpha val="90000"/>
      </a:schemeClr>
    </dgm:fillClrLst>
    <dgm:linClrLst meth="repeat">
      <a:schemeClr val="lt1"/>
    </dgm:linClrLst>
    <dgm:effectClrLst/>
    <dgm:txLinClrLst/>
    <dgm:txFillClrLst/>
    <dgm:txEffectClrLst/>
  </dgm:styleLbl>
  <dgm:styleLbl name="asst1">
    <dgm:fillClrLst meth="repeat">
      <a:schemeClr val="accent1">
        <a:alpha val="90000"/>
      </a:schemeClr>
    </dgm:fillClrLst>
    <dgm:linClrLst meth="repeat">
      <a:schemeClr val="lt1"/>
    </dgm:linClrLst>
    <dgm:effectClrLst/>
    <dgm:txLinClrLst/>
    <dgm:txFillClrLst/>
    <dgm:txEffectClrLst/>
  </dgm:styleLbl>
  <dgm:styleLbl name="asst2">
    <dgm:fillClrLst>
      <a:schemeClr val="accent1">
        <a:alpha val="90000"/>
      </a:schemeClr>
    </dgm:fillClrLst>
    <dgm:linClrLst meth="repeat">
      <a:schemeClr val="lt1"/>
    </dgm:linClrLst>
    <dgm:effectClrLst/>
    <dgm:txLinClrLst/>
    <dgm:txFillClrLst/>
    <dgm:txEffectClrLst/>
  </dgm:styleLbl>
  <dgm:styleLbl name="asst3">
    <dgm:fillClrLst>
      <a:schemeClr val="accent1">
        <a:alpha val="70000"/>
      </a:schemeClr>
    </dgm:fillClrLst>
    <dgm:linClrLst meth="repeat">
      <a:schemeClr val="lt1"/>
    </dgm:linClrLst>
    <dgm:effectClrLst/>
    <dgm:txLinClrLst/>
    <dgm:txFillClrLst/>
    <dgm:txEffectClrLst/>
  </dgm:styleLbl>
  <dgm:styleLbl name="asst4">
    <dgm:fillClrLst>
      <a:schemeClr val="accent1">
        <a:alpha val="50000"/>
      </a:schemeClr>
    </dgm:fillClrLst>
    <dgm:linClrLst meth="repeat">
      <a:schemeClr val="lt1"/>
    </dgm:linClrLst>
    <dgm:effectClrLst/>
    <dgm:txLinClrLst/>
    <dgm:txFillClrLst/>
    <dgm:txEffectClrLst/>
  </dgm:styleLbl>
  <dgm:styleLbl name="parChTrans2D1">
    <dgm:fillClrLst meth="repeat">
      <a:schemeClr val="accent1">
        <a:shade val="80000"/>
      </a:schemeClr>
    </dgm:fillClrLst>
    <dgm:linClrLst meth="repeat">
      <a:schemeClr val="accent1">
        <a:shade val="80000"/>
      </a:schemeClr>
    </dgm:linClrLst>
    <dgm:effectClrLst/>
    <dgm:txLinClrLst/>
    <dgm:txFillClrLst/>
    <dgm:txEffectClrLst/>
  </dgm:styleLbl>
  <dgm:styleLbl name="parChTrans2D2">
    <dgm:fillClrLst meth="repeat">
      <a:schemeClr val="accent1">
        <a:tint val="90000"/>
      </a:schemeClr>
    </dgm:fillClrLst>
    <dgm:linClrLst meth="repeat">
      <a:schemeClr val="accent1">
        <a:tint val="90000"/>
      </a:schemeClr>
    </dgm:linClrLst>
    <dgm:effectClrLst/>
    <dgm:txLinClrLst/>
    <dgm:txFillClrLst/>
    <dgm:txEffectClrLst/>
  </dgm:styleLbl>
  <dgm:styleLbl name="parChTrans2D3">
    <dgm:fillClrLst meth="repeat">
      <a:schemeClr val="accent1">
        <a:tint val="70000"/>
      </a:schemeClr>
    </dgm:fillClrLst>
    <dgm:linClrLst meth="repeat">
      <a:schemeClr val="accent1">
        <a:tint val="70000"/>
      </a:schemeClr>
    </dgm:linClrLst>
    <dgm:effectClrLst/>
    <dgm:txLinClrLst/>
    <dgm:txFillClrLst/>
    <dgm:txEffectClrLst/>
  </dgm:styleLbl>
  <dgm:styleLbl name="parChTrans2D4">
    <dgm:fillClrLst meth="repeat">
      <a:schemeClr val="accent1">
        <a:tint val="50000"/>
      </a:schemeClr>
    </dgm:fillClrLst>
    <dgm:linClrLst meth="repeat">
      <a:schemeClr val="accent1">
        <a:tint val="50000"/>
      </a:schemeClr>
    </dgm:linClrLst>
    <dgm:effectClrLst/>
    <dgm:txLinClrLst/>
    <dgm:txFillClrLst meth="repeat">
      <a:schemeClr val="dk1"/>
    </dgm:txFillClrLst>
    <dgm:txEffectClrLst/>
  </dgm:styleLbl>
  <dgm:styleLbl name="parChTrans1D1">
    <dgm:fillClrLst meth="repeat">
      <a:schemeClr val="accent1">
        <a:shade val="80000"/>
      </a:schemeClr>
    </dgm:fillClrLst>
    <dgm:linClrLst meth="repeat">
      <a:schemeClr val="accent1">
        <a:shade val="80000"/>
      </a:schemeClr>
    </dgm:linClrLst>
    <dgm:effectClrLst/>
    <dgm:txLinClrLst/>
    <dgm:txFillClrLst meth="repeat">
      <a:schemeClr val="tx1"/>
    </dgm:txFillClrLst>
    <dgm:txEffectClrLst/>
  </dgm:styleLbl>
  <dgm:styleLbl name="parChTrans1D2">
    <dgm:fillClrLst meth="repeat">
      <a:schemeClr val="accent1">
        <a:tint val="90000"/>
      </a:schemeClr>
    </dgm:fillClrLst>
    <dgm:linClrLst meth="repeat">
      <a:schemeClr val="accent1">
        <a:tint val="90000"/>
      </a:schemeClr>
    </dgm:linClrLst>
    <dgm:effectClrLst/>
    <dgm:txLinClrLst/>
    <dgm:txFillClrLst meth="repeat">
      <a:schemeClr val="tx1"/>
    </dgm:txFillClrLst>
    <dgm:txEffectClrLst/>
  </dgm:styleLbl>
  <dgm:styleLbl name="parChTrans1D3">
    <dgm:fillClrLst meth="repeat">
      <a:schemeClr val="accent1">
        <a:tint val="70000"/>
      </a:schemeClr>
    </dgm:fillClrLst>
    <dgm:linClrLst meth="repeat">
      <a:schemeClr val="accent1">
        <a:tint val="70000"/>
      </a:schemeClr>
    </dgm:linClrLst>
    <dgm:effectClrLst/>
    <dgm:txLinClrLst/>
    <dgm:txFillClrLst meth="repeat">
      <a:schemeClr val="tx1"/>
    </dgm:txFillClrLst>
    <dgm:txEffectClrLst/>
  </dgm:styleLbl>
  <dgm:styleLbl name="parChTrans1D4">
    <dgm:fillClrLst meth="repeat">
      <a:schemeClr val="accent1">
        <a:tint val="50000"/>
      </a:schemeClr>
    </dgm:fillClrLst>
    <dgm:linClrLst meth="repeat">
      <a:schemeClr val="accent1">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trAlignAcc1">
    <dgm:fillClrLst meth="repeat">
      <a:schemeClr val="lt1">
        <a:alpha val="4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bg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solidFgAcc1">
    <dgm:fillClrLst meth="repeat">
      <a:schemeClr val="lt1"/>
    </dgm:fillClrLst>
    <dgm:linClrLst>
      <a:schemeClr val="accent1">
        <a:alpha val="90000"/>
      </a:schemeClr>
      <a:schemeClr val="accent1">
        <a:alpha val="5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a:schemeClr val="accent1">
        <a:alpha val="90000"/>
        <a:tint val="40000"/>
      </a:schemeClr>
      <a:schemeClr val="accent1">
        <a:alpha val="5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a:tint val="50000"/>
      </a:schemeClr>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1">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81019E2-3B98-4F4D-BB98-560957B575CF}" type="doc">
      <dgm:prSet loTypeId="urn:microsoft.com/office/officeart/2005/8/layout/hProcess9" loCatId="process" qsTypeId="urn:microsoft.com/office/officeart/2005/8/quickstyle/simple1" qsCatId="simple" csTypeId="urn:microsoft.com/office/officeart/2005/8/colors/accent1_5" csCatId="accent1" phldr="1"/>
      <dgm:spPr/>
      <dgm:t>
        <a:bodyPr/>
        <a:lstStyle/>
        <a:p>
          <a:endParaRPr lang="en-US"/>
        </a:p>
      </dgm:t>
    </dgm:pt>
    <dgm:pt modelId="{4BFE92E2-7D95-4B6E-8AB1-991C50167500}">
      <dgm:prSet phldrT="[Text]" custT="1"/>
      <dgm:spPr>
        <a:xfrm>
          <a:off x="2713" y="301084"/>
          <a:ext cx="1325126" cy="850393"/>
        </a:xfrm>
        <a:prstGeom prst="roundRect">
          <a:avLst/>
        </a:prstGeom>
        <a:solidFill>
          <a:srgbClr val="4472C4">
            <a:alpha val="90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lgn="l"/>
          <a:r>
            <a:rPr lang="en-US" sz="1000">
              <a:solidFill>
                <a:sysClr val="window" lastClr="FFFFFF"/>
              </a:solidFill>
              <a:latin typeface="GHEA Grapalat" panose="02000506050000020003" pitchFamily="50" charset="0"/>
              <a:ea typeface="+mn-ea"/>
              <a:cs typeface="+mn-cs"/>
            </a:rPr>
            <a:t>BVAR </a:t>
          </a:r>
          <a:r>
            <a:rPr lang="hy-AM" sz="1000">
              <a:solidFill>
                <a:sysClr val="window" lastClr="FFFFFF"/>
              </a:solidFill>
              <a:latin typeface="GHEA Grapalat" panose="02000506050000020003" pitchFamily="50" charset="0"/>
              <a:ea typeface="+mn-ea"/>
              <a:cs typeface="+mn-cs"/>
            </a:rPr>
            <a:t>մոդելով հավանականային պարամետրերի գնահատում</a:t>
          </a:r>
          <a:endParaRPr lang="en-US" sz="1000">
            <a:solidFill>
              <a:sysClr val="window" lastClr="FFFFFF"/>
            </a:solidFill>
            <a:latin typeface="GHEA Grapalat" panose="02000506050000020003" pitchFamily="50" charset="0"/>
            <a:ea typeface="+mn-ea"/>
            <a:cs typeface="+mn-cs"/>
          </a:endParaRPr>
        </a:p>
      </dgm:t>
    </dgm:pt>
    <dgm:pt modelId="{743F9D2F-B1F2-4943-9D03-F32C2CE9348D}" type="parTrans" cxnId="{702A1841-1E2C-41F5-A785-FB0845F554FB}">
      <dgm:prSet/>
      <dgm:spPr/>
      <dgm:t>
        <a:bodyPr/>
        <a:lstStyle/>
        <a:p>
          <a:endParaRPr lang="en-US" sz="300">
            <a:latin typeface="GHEA Grapalat" panose="02000506050000020003" pitchFamily="50" charset="0"/>
          </a:endParaRPr>
        </a:p>
      </dgm:t>
    </dgm:pt>
    <dgm:pt modelId="{C23DDF2F-756F-4C16-96EA-98BF831FDAE7}" type="sibTrans" cxnId="{702A1841-1E2C-41F5-A785-FB0845F554FB}">
      <dgm:prSet/>
      <dgm:spPr/>
      <dgm:t>
        <a:bodyPr/>
        <a:lstStyle/>
        <a:p>
          <a:endParaRPr lang="en-US" sz="300">
            <a:latin typeface="GHEA Grapalat" panose="02000506050000020003" pitchFamily="50" charset="0"/>
          </a:endParaRPr>
        </a:p>
      </dgm:t>
    </dgm:pt>
    <dgm:pt modelId="{B98DA923-ED60-4690-BB98-A492CD90B484}">
      <dgm:prSet phldrT="[Text]" custT="1"/>
      <dgm:spPr>
        <a:xfrm>
          <a:off x="1499733" y="299785"/>
          <a:ext cx="2098911" cy="852990"/>
        </a:xfrm>
        <a:prstGeom prst="roundRect">
          <a:avLst/>
        </a:prstGeom>
        <a:solidFill>
          <a:srgbClr val="4472C4">
            <a:alpha val="90000"/>
            <a:hueOff val="0"/>
            <a:satOff val="0"/>
            <a:lumOff val="0"/>
            <a:alphaOff val="-20000"/>
          </a:srgbClr>
        </a:solidFill>
        <a:ln w="12700" cap="flat" cmpd="sng" algn="ctr">
          <a:solidFill>
            <a:sysClr val="window" lastClr="FFFFFF">
              <a:hueOff val="0"/>
              <a:satOff val="0"/>
              <a:lumOff val="0"/>
              <a:alphaOff val="0"/>
            </a:sysClr>
          </a:solidFill>
          <a:prstDash val="solid"/>
          <a:miter lim="800000"/>
        </a:ln>
        <a:effectLst/>
      </dgm:spPr>
      <dgm:t>
        <a:bodyPr/>
        <a:lstStyle/>
        <a:p>
          <a:pPr algn="l"/>
          <a:r>
            <a:rPr lang="hy-AM" sz="1000">
              <a:solidFill>
                <a:sysClr val="window" lastClr="FFFFFF"/>
              </a:solidFill>
              <a:latin typeface="GHEA Grapalat" panose="02000506050000020003" pitchFamily="50" charset="0"/>
              <a:ea typeface="+mn-ea"/>
              <a:cs typeface="+mn-cs"/>
            </a:rPr>
            <a:t>Կանխատեսումների իրականացում՝ հիմնվելով սպառման, գնաճի, ներմուծման, արտահանման և ՀՆԱ-ի իրական աճերի վրա</a:t>
          </a:r>
          <a:endParaRPr lang="en-US" sz="1000">
            <a:solidFill>
              <a:sysClr val="window" lastClr="FFFFFF"/>
            </a:solidFill>
            <a:latin typeface="GHEA Grapalat" panose="02000506050000020003" pitchFamily="50" charset="0"/>
            <a:ea typeface="+mn-ea"/>
            <a:cs typeface="+mn-cs"/>
          </a:endParaRPr>
        </a:p>
      </dgm:t>
    </dgm:pt>
    <dgm:pt modelId="{CED4A128-43AE-4BC5-86A6-0831C921B223}" type="parTrans" cxnId="{EF2BE310-C6A7-4381-83B3-725E65DA6E02}">
      <dgm:prSet/>
      <dgm:spPr/>
      <dgm:t>
        <a:bodyPr/>
        <a:lstStyle/>
        <a:p>
          <a:endParaRPr lang="en-US" sz="300">
            <a:latin typeface="GHEA Grapalat" panose="02000506050000020003" pitchFamily="50" charset="0"/>
          </a:endParaRPr>
        </a:p>
      </dgm:t>
    </dgm:pt>
    <dgm:pt modelId="{EBC71B37-F427-416B-B773-0C134EE13FAE}" type="sibTrans" cxnId="{EF2BE310-C6A7-4381-83B3-725E65DA6E02}">
      <dgm:prSet/>
      <dgm:spPr/>
      <dgm:t>
        <a:bodyPr/>
        <a:lstStyle/>
        <a:p>
          <a:endParaRPr lang="en-US" sz="300">
            <a:latin typeface="GHEA Grapalat" panose="02000506050000020003" pitchFamily="50" charset="0"/>
          </a:endParaRPr>
        </a:p>
      </dgm:t>
    </dgm:pt>
    <dgm:pt modelId="{CAC0E481-D14C-4C4B-BC0E-7490A37865E8}">
      <dgm:prSet phldrT="[Text]" custT="1"/>
      <dgm:spPr>
        <a:xfrm>
          <a:off x="3770538" y="301084"/>
          <a:ext cx="2098911" cy="850393"/>
        </a:xfrm>
        <a:prstGeom prst="roundRect">
          <a:avLst/>
        </a:prstGeom>
        <a:solidFill>
          <a:srgbClr val="4472C4">
            <a:alpha val="90000"/>
            <a:hueOff val="0"/>
            <a:satOff val="0"/>
            <a:lumOff val="0"/>
            <a:alphaOff val="-40000"/>
          </a:srgbClr>
        </a:solidFill>
        <a:ln w="12700" cap="flat" cmpd="sng" algn="ctr">
          <a:solidFill>
            <a:sysClr val="window" lastClr="FFFFFF">
              <a:hueOff val="0"/>
              <a:satOff val="0"/>
              <a:lumOff val="0"/>
              <a:alphaOff val="0"/>
            </a:sysClr>
          </a:solidFill>
          <a:prstDash val="solid"/>
          <a:miter lim="800000"/>
        </a:ln>
        <a:effectLst/>
      </dgm:spPr>
      <dgm:t>
        <a:bodyPr/>
        <a:lstStyle/>
        <a:p>
          <a:r>
            <a:rPr lang="hy-AM" sz="1000">
              <a:solidFill>
                <a:sysClr val="window" lastClr="FFFFFF"/>
              </a:solidFill>
              <a:latin typeface="GHEA Grapalat" panose="02000506050000020003" pitchFamily="50" charset="0"/>
              <a:ea typeface="+mn-ea"/>
              <a:cs typeface="+mn-cs"/>
            </a:rPr>
            <a:t>Հարկաբյուջետային ռիսկերի գնահատում</a:t>
          </a:r>
          <a:endParaRPr lang="en-US" sz="1000">
            <a:solidFill>
              <a:sysClr val="window" lastClr="FFFFFF"/>
            </a:solidFill>
            <a:latin typeface="GHEA Grapalat" panose="02000506050000020003" pitchFamily="50" charset="0"/>
            <a:ea typeface="+mn-ea"/>
            <a:cs typeface="+mn-cs"/>
          </a:endParaRPr>
        </a:p>
      </dgm:t>
    </dgm:pt>
    <dgm:pt modelId="{407EA548-8010-48E2-AE72-8F0BBD56B0AC}" type="parTrans" cxnId="{F0845C73-B0E0-4600-A52E-9203A5CAB397}">
      <dgm:prSet/>
      <dgm:spPr/>
      <dgm:t>
        <a:bodyPr/>
        <a:lstStyle/>
        <a:p>
          <a:endParaRPr lang="en-US" sz="300">
            <a:latin typeface="GHEA Grapalat" panose="02000506050000020003" pitchFamily="50" charset="0"/>
          </a:endParaRPr>
        </a:p>
      </dgm:t>
    </dgm:pt>
    <dgm:pt modelId="{E18D1F80-847F-4984-8C8C-C4A5E829039C}" type="sibTrans" cxnId="{F0845C73-B0E0-4600-A52E-9203A5CAB397}">
      <dgm:prSet/>
      <dgm:spPr/>
      <dgm:t>
        <a:bodyPr/>
        <a:lstStyle/>
        <a:p>
          <a:endParaRPr lang="en-US" sz="300">
            <a:latin typeface="GHEA Grapalat" panose="02000506050000020003" pitchFamily="50" charset="0"/>
          </a:endParaRPr>
        </a:p>
      </dgm:t>
    </dgm:pt>
    <dgm:pt modelId="{9A64FE7C-F1EC-4565-B4F1-4033E0B23739}" type="pres">
      <dgm:prSet presAssocID="{181019E2-3B98-4F4D-BB98-560957B575CF}" presName="CompostProcess" presStyleCnt="0">
        <dgm:presLayoutVars>
          <dgm:dir/>
          <dgm:resizeHandles val="exact"/>
        </dgm:presLayoutVars>
      </dgm:prSet>
      <dgm:spPr/>
      <dgm:t>
        <a:bodyPr/>
        <a:lstStyle/>
        <a:p>
          <a:endParaRPr lang="en-US"/>
        </a:p>
      </dgm:t>
    </dgm:pt>
    <dgm:pt modelId="{8E884CB9-2929-4BEE-A967-92552F2E31E2}" type="pres">
      <dgm:prSet presAssocID="{181019E2-3B98-4F4D-BB98-560957B575CF}" presName="arrow" presStyleLbl="bgShp" presStyleIdx="0" presStyleCnt="1"/>
      <dgm:spPr>
        <a:xfrm>
          <a:off x="440412" y="0"/>
          <a:ext cx="4991338" cy="1452561"/>
        </a:xfrm>
        <a:prstGeom prst="rightArrow">
          <a:avLst/>
        </a:prstGeom>
        <a:solidFill>
          <a:srgbClr val="4472C4">
            <a:tint val="40000"/>
            <a:hueOff val="0"/>
            <a:satOff val="0"/>
            <a:lumOff val="0"/>
            <a:alphaOff val="0"/>
          </a:srgbClr>
        </a:solidFill>
        <a:ln>
          <a:noFill/>
        </a:ln>
        <a:effectLst/>
      </dgm:spPr>
    </dgm:pt>
    <dgm:pt modelId="{972B1D49-4F1D-4233-83AB-01F664715B8D}" type="pres">
      <dgm:prSet presAssocID="{181019E2-3B98-4F4D-BB98-560957B575CF}" presName="linearProcess" presStyleCnt="0"/>
      <dgm:spPr/>
    </dgm:pt>
    <dgm:pt modelId="{21B7471B-43F8-4CE4-8B48-ABD9F85F218E}" type="pres">
      <dgm:prSet presAssocID="{4BFE92E2-7D95-4B6E-8AB1-991C50167500}" presName="textNode" presStyleLbl="node1" presStyleIdx="0" presStyleCnt="3" custScaleX="63134" custScaleY="146361">
        <dgm:presLayoutVars>
          <dgm:bulletEnabled val="1"/>
        </dgm:presLayoutVars>
      </dgm:prSet>
      <dgm:spPr/>
      <dgm:t>
        <a:bodyPr/>
        <a:lstStyle/>
        <a:p>
          <a:endParaRPr lang="en-US"/>
        </a:p>
      </dgm:t>
    </dgm:pt>
    <dgm:pt modelId="{9382F47E-9FB9-439A-B900-950B011287BA}" type="pres">
      <dgm:prSet presAssocID="{C23DDF2F-756F-4C16-96EA-98BF831FDAE7}" presName="sibTrans" presStyleCnt="0"/>
      <dgm:spPr/>
    </dgm:pt>
    <dgm:pt modelId="{42B3D4B7-3122-4B55-B7AB-C4A57175BE5A}" type="pres">
      <dgm:prSet presAssocID="{B98DA923-ED60-4690-BB98-A492CD90B484}" presName="textNode" presStyleLbl="node1" presStyleIdx="1" presStyleCnt="3" custScaleY="146808">
        <dgm:presLayoutVars>
          <dgm:bulletEnabled val="1"/>
        </dgm:presLayoutVars>
      </dgm:prSet>
      <dgm:spPr/>
      <dgm:t>
        <a:bodyPr/>
        <a:lstStyle/>
        <a:p>
          <a:endParaRPr lang="en-US"/>
        </a:p>
      </dgm:t>
    </dgm:pt>
    <dgm:pt modelId="{1C24D718-529E-4ED8-8551-77F45572D041}" type="pres">
      <dgm:prSet presAssocID="{EBC71B37-F427-416B-B773-0C134EE13FAE}" presName="sibTrans" presStyleCnt="0"/>
      <dgm:spPr/>
    </dgm:pt>
    <dgm:pt modelId="{5115A9E9-ECD6-40E8-B001-F3F7FC71CD10}" type="pres">
      <dgm:prSet presAssocID="{CAC0E481-D14C-4C4B-BC0E-7490A37865E8}" presName="textNode" presStyleLbl="node1" presStyleIdx="2" presStyleCnt="3" custScaleY="146361">
        <dgm:presLayoutVars>
          <dgm:bulletEnabled val="1"/>
        </dgm:presLayoutVars>
      </dgm:prSet>
      <dgm:spPr/>
      <dgm:t>
        <a:bodyPr/>
        <a:lstStyle/>
        <a:p>
          <a:endParaRPr lang="en-US"/>
        </a:p>
      </dgm:t>
    </dgm:pt>
  </dgm:ptLst>
  <dgm:cxnLst>
    <dgm:cxn modelId="{02DC8A93-5149-4177-83CD-68E6293B95A8}" type="presOf" srcId="{181019E2-3B98-4F4D-BB98-560957B575CF}" destId="{9A64FE7C-F1EC-4565-B4F1-4033E0B23739}" srcOrd="0" destOrd="0" presId="urn:microsoft.com/office/officeart/2005/8/layout/hProcess9"/>
    <dgm:cxn modelId="{EF2BE310-C6A7-4381-83B3-725E65DA6E02}" srcId="{181019E2-3B98-4F4D-BB98-560957B575CF}" destId="{B98DA923-ED60-4690-BB98-A492CD90B484}" srcOrd="1" destOrd="0" parTransId="{CED4A128-43AE-4BC5-86A6-0831C921B223}" sibTransId="{EBC71B37-F427-416B-B773-0C134EE13FAE}"/>
    <dgm:cxn modelId="{07053F20-2C7B-49F5-ACA6-73B822A94869}" type="presOf" srcId="{4BFE92E2-7D95-4B6E-8AB1-991C50167500}" destId="{21B7471B-43F8-4CE4-8B48-ABD9F85F218E}" srcOrd="0" destOrd="0" presId="urn:microsoft.com/office/officeart/2005/8/layout/hProcess9"/>
    <dgm:cxn modelId="{F0845C73-B0E0-4600-A52E-9203A5CAB397}" srcId="{181019E2-3B98-4F4D-BB98-560957B575CF}" destId="{CAC0E481-D14C-4C4B-BC0E-7490A37865E8}" srcOrd="2" destOrd="0" parTransId="{407EA548-8010-48E2-AE72-8F0BBD56B0AC}" sibTransId="{E18D1F80-847F-4984-8C8C-C4A5E829039C}"/>
    <dgm:cxn modelId="{93D61182-0030-4A38-AB90-A77D682A89A7}" type="presOf" srcId="{B98DA923-ED60-4690-BB98-A492CD90B484}" destId="{42B3D4B7-3122-4B55-B7AB-C4A57175BE5A}" srcOrd="0" destOrd="0" presId="urn:microsoft.com/office/officeart/2005/8/layout/hProcess9"/>
    <dgm:cxn modelId="{702A1841-1E2C-41F5-A785-FB0845F554FB}" srcId="{181019E2-3B98-4F4D-BB98-560957B575CF}" destId="{4BFE92E2-7D95-4B6E-8AB1-991C50167500}" srcOrd="0" destOrd="0" parTransId="{743F9D2F-B1F2-4943-9D03-F32C2CE9348D}" sibTransId="{C23DDF2F-756F-4C16-96EA-98BF831FDAE7}"/>
    <dgm:cxn modelId="{0BD15803-DF8D-4756-8FC9-D3397DE2AE7D}" type="presOf" srcId="{CAC0E481-D14C-4C4B-BC0E-7490A37865E8}" destId="{5115A9E9-ECD6-40E8-B001-F3F7FC71CD10}" srcOrd="0" destOrd="0" presId="urn:microsoft.com/office/officeart/2005/8/layout/hProcess9"/>
    <dgm:cxn modelId="{98440678-9897-425A-B3A9-3A0D3C09564C}" type="presParOf" srcId="{9A64FE7C-F1EC-4565-B4F1-4033E0B23739}" destId="{8E884CB9-2929-4BEE-A967-92552F2E31E2}" srcOrd="0" destOrd="0" presId="urn:microsoft.com/office/officeart/2005/8/layout/hProcess9"/>
    <dgm:cxn modelId="{2634A338-0316-4470-9CD7-6FDC7EC4BD9E}" type="presParOf" srcId="{9A64FE7C-F1EC-4565-B4F1-4033E0B23739}" destId="{972B1D49-4F1D-4233-83AB-01F664715B8D}" srcOrd="1" destOrd="0" presId="urn:microsoft.com/office/officeart/2005/8/layout/hProcess9"/>
    <dgm:cxn modelId="{613FDCD4-5C47-475B-8573-F4E52E5B8C35}" type="presParOf" srcId="{972B1D49-4F1D-4233-83AB-01F664715B8D}" destId="{21B7471B-43F8-4CE4-8B48-ABD9F85F218E}" srcOrd="0" destOrd="0" presId="urn:microsoft.com/office/officeart/2005/8/layout/hProcess9"/>
    <dgm:cxn modelId="{2D37F0EB-C478-447A-8B12-02D17B6C8C16}" type="presParOf" srcId="{972B1D49-4F1D-4233-83AB-01F664715B8D}" destId="{9382F47E-9FB9-439A-B900-950B011287BA}" srcOrd="1" destOrd="0" presId="urn:microsoft.com/office/officeart/2005/8/layout/hProcess9"/>
    <dgm:cxn modelId="{3F7463BC-1927-46A8-AF0A-B5483D331D83}" type="presParOf" srcId="{972B1D49-4F1D-4233-83AB-01F664715B8D}" destId="{42B3D4B7-3122-4B55-B7AB-C4A57175BE5A}" srcOrd="2" destOrd="0" presId="urn:microsoft.com/office/officeart/2005/8/layout/hProcess9"/>
    <dgm:cxn modelId="{30206543-3CD3-4F8B-BE90-0AA07A55DC95}" type="presParOf" srcId="{972B1D49-4F1D-4233-83AB-01F664715B8D}" destId="{1C24D718-529E-4ED8-8551-77F45572D041}" srcOrd="3" destOrd="0" presId="urn:microsoft.com/office/officeart/2005/8/layout/hProcess9"/>
    <dgm:cxn modelId="{29F59D6B-B05C-4208-BC3E-4F1703681EA0}" type="presParOf" srcId="{972B1D49-4F1D-4233-83AB-01F664715B8D}" destId="{5115A9E9-ECD6-40E8-B001-F3F7FC71CD10}" srcOrd="4" destOrd="0" presId="urn:microsoft.com/office/officeart/2005/8/layout/hProcess9"/>
  </dgm:cxnLst>
  <dgm:bg/>
  <dgm:whole/>
  <dgm:extLst>
    <a:ext uri="http://schemas.microsoft.com/office/drawing/2008/diagram">
      <dsp:dataModelExt xmlns:dsp="http://schemas.microsoft.com/office/drawing/2008/diagram" relId="rId88"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181019E2-3B98-4F4D-BB98-560957B575CF}" type="doc">
      <dgm:prSet loTypeId="urn:microsoft.com/office/officeart/2005/8/layout/hProcess9" loCatId="process" qsTypeId="urn:microsoft.com/office/officeart/2005/8/quickstyle/simple1" qsCatId="simple" csTypeId="urn:microsoft.com/office/officeart/2005/8/colors/accent1_5" csCatId="accent1" phldr="1"/>
      <dgm:spPr/>
      <dgm:t>
        <a:bodyPr/>
        <a:lstStyle/>
        <a:p>
          <a:endParaRPr lang="en-US"/>
        </a:p>
      </dgm:t>
    </dgm:pt>
    <dgm:pt modelId="{4BFE92E2-7D95-4B6E-8AB1-991C50167500}">
      <dgm:prSet phldrT="[Text]" custT="1"/>
      <dgm:spPr>
        <a:xfrm>
          <a:off x="2713" y="301084"/>
          <a:ext cx="1325126" cy="850393"/>
        </a:xfrm>
        <a:prstGeom prst="roundRect">
          <a:avLst/>
        </a:prstGeom>
        <a:solidFill>
          <a:srgbClr val="4472C4">
            <a:alpha val="90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lgn="l"/>
          <a:r>
            <a:rPr lang="en-US" sz="1000">
              <a:solidFill>
                <a:sysClr val="window" lastClr="FFFFFF"/>
              </a:solidFill>
              <a:latin typeface="GHEA Grapalat" panose="02000506050000020003" pitchFamily="50" charset="0"/>
              <a:ea typeface="+mn-ea"/>
              <a:cs typeface="+mn-cs"/>
            </a:rPr>
            <a:t>BVAR </a:t>
          </a:r>
          <a:r>
            <a:rPr lang="hy-AM" sz="1000">
              <a:solidFill>
                <a:sysClr val="window" lastClr="FFFFFF"/>
              </a:solidFill>
              <a:latin typeface="GHEA Grapalat" panose="02000506050000020003" pitchFamily="50" charset="0"/>
              <a:ea typeface="+mn-ea"/>
              <a:cs typeface="+mn-cs"/>
            </a:rPr>
            <a:t>մոդելով հավանականային պարամետրերի գնահատում</a:t>
          </a:r>
          <a:endParaRPr lang="en-US" sz="1000">
            <a:solidFill>
              <a:sysClr val="window" lastClr="FFFFFF"/>
            </a:solidFill>
            <a:latin typeface="GHEA Grapalat" panose="02000506050000020003" pitchFamily="50" charset="0"/>
            <a:ea typeface="+mn-ea"/>
            <a:cs typeface="+mn-cs"/>
          </a:endParaRPr>
        </a:p>
      </dgm:t>
    </dgm:pt>
    <dgm:pt modelId="{743F9D2F-B1F2-4943-9D03-F32C2CE9348D}" type="parTrans" cxnId="{702A1841-1E2C-41F5-A785-FB0845F554FB}">
      <dgm:prSet/>
      <dgm:spPr/>
      <dgm:t>
        <a:bodyPr/>
        <a:lstStyle/>
        <a:p>
          <a:endParaRPr lang="en-US" sz="300">
            <a:latin typeface="GHEA Grapalat" panose="02000506050000020003" pitchFamily="50" charset="0"/>
          </a:endParaRPr>
        </a:p>
      </dgm:t>
    </dgm:pt>
    <dgm:pt modelId="{C23DDF2F-756F-4C16-96EA-98BF831FDAE7}" type="sibTrans" cxnId="{702A1841-1E2C-41F5-A785-FB0845F554FB}">
      <dgm:prSet/>
      <dgm:spPr/>
      <dgm:t>
        <a:bodyPr/>
        <a:lstStyle/>
        <a:p>
          <a:endParaRPr lang="en-US" sz="300">
            <a:latin typeface="GHEA Grapalat" panose="02000506050000020003" pitchFamily="50" charset="0"/>
          </a:endParaRPr>
        </a:p>
      </dgm:t>
    </dgm:pt>
    <dgm:pt modelId="{B98DA923-ED60-4690-BB98-A492CD90B484}">
      <dgm:prSet phldrT="[Text]" custT="1"/>
      <dgm:spPr>
        <a:xfrm>
          <a:off x="1499733" y="299785"/>
          <a:ext cx="2098911" cy="852990"/>
        </a:xfrm>
        <a:prstGeom prst="roundRect">
          <a:avLst/>
        </a:prstGeom>
        <a:solidFill>
          <a:srgbClr val="4472C4">
            <a:alpha val="90000"/>
            <a:hueOff val="0"/>
            <a:satOff val="0"/>
            <a:lumOff val="0"/>
            <a:alphaOff val="-20000"/>
          </a:srgbClr>
        </a:solidFill>
        <a:ln w="12700" cap="flat" cmpd="sng" algn="ctr">
          <a:solidFill>
            <a:sysClr val="window" lastClr="FFFFFF">
              <a:hueOff val="0"/>
              <a:satOff val="0"/>
              <a:lumOff val="0"/>
              <a:alphaOff val="0"/>
            </a:sysClr>
          </a:solidFill>
          <a:prstDash val="solid"/>
          <a:miter lim="800000"/>
        </a:ln>
        <a:effectLst/>
      </dgm:spPr>
      <dgm:t>
        <a:bodyPr/>
        <a:lstStyle/>
        <a:p>
          <a:pPr algn="l"/>
          <a:r>
            <a:rPr lang="hy-AM" sz="1000">
              <a:solidFill>
                <a:sysClr val="window" lastClr="FFFFFF"/>
              </a:solidFill>
              <a:latin typeface="GHEA Grapalat" panose="02000506050000020003" pitchFamily="50" charset="0"/>
              <a:ea typeface="+mn-ea"/>
              <a:cs typeface="+mn-cs"/>
            </a:rPr>
            <a:t>Կանխատեսումների իրականացում՝ հիմնվելով սպառման, գնաճի, ներմուծման, արտահանման և ՀՆԱ-ի իրական աճերի վրա</a:t>
          </a:r>
          <a:endParaRPr lang="en-US" sz="1000">
            <a:solidFill>
              <a:sysClr val="window" lastClr="FFFFFF"/>
            </a:solidFill>
            <a:latin typeface="GHEA Grapalat" panose="02000506050000020003" pitchFamily="50" charset="0"/>
            <a:ea typeface="+mn-ea"/>
            <a:cs typeface="+mn-cs"/>
          </a:endParaRPr>
        </a:p>
      </dgm:t>
    </dgm:pt>
    <dgm:pt modelId="{CED4A128-43AE-4BC5-86A6-0831C921B223}" type="parTrans" cxnId="{EF2BE310-C6A7-4381-83B3-725E65DA6E02}">
      <dgm:prSet/>
      <dgm:spPr/>
      <dgm:t>
        <a:bodyPr/>
        <a:lstStyle/>
        <a:p>
          <a:endParaRPr lang="en-US" sz="300">
            <a:latin typeface="GHEA Grapalat" panose="02000506050000020003" pitchFamily="50" charset="0"/>
          </a:endParaRPr>
        </a:p>
      </dgm:t>
    </dgm:pt>
    <dgm:pt modelId="{EBC71B37-F427-416B-B773-0C134EE13FAE}" type="sibTrans" cxnId="{EF2BE310-C6A7-4381-83B3-725E65DA6E02}">
      <dgm:prSet/>
      <dgm:spPr/>
      <dgm:t>
        <a:bodyPr/>
        <a:lstStyle/>
        <a:p>
          <a:endParaRPr lang="en-US" sz="300">
            <a:latin typeface="GHEA Grapalat" panose="02000506050000020003" pitchFamily="50" charset="0"/>
          </a:endParaRPr>
        </a:p>
      </dgm:t>
    </dgm:pt>
    <dgm:pt modelId="{CAC0E481-D14C-4C4B-BC0E-7490A37865E8}">
      <dgm:prSet phldrT="[Text]" custT="1"/>
      <dgm:spPr>
        <a:xfrm>
          <a:off x="3770538" y="301084"/>
          <a:ext cx="2098911" cy="850393"/>
        </a:xfrm>
        <a:prstGeom prst="roundRect">
          <a:avLst/>
        </a:prstGeom>
        <a:solidFill>
          <a:srgbClr val="4472C4">
            <a:alpha val="90000"/>
            <a:hueOff val="0"/>
            <a:satOff val="0"/>
            <a:lumOff val="0"/>
            <a:alphaOff val="-40000"/>
          </a:srgbClr>
        </a:solidFill>
        <a:ln w="12700" cap="flat" cmpd="sng" algn="ctr">
          <a:solidFill>
            <a:sysClr val="window" lastClr="FFFFFF">
              <a:hueOff val="0"/>
              <a:satOff val="0"/>
              <a:lumOff val="0"/>
              <a:alphaOff val="0"/>
            </a:sysClr>
          </a:solidFill>
          <a:prstDash val="solid"/>
          <a:miter lim="800000"/>
        </a:ln>
        <a:effectLst/>
      </dgm:spPr>
      <dgm:t>
        <a:bodyPr/>
        <a:lstStyle/>
        <a:p>
          <a:r>
            <a:rPr lang="hy-AM" sz="1000">
              <a:solidFill>
                <a:sysClr val="window" lastClr="FFFFFF"/>
              </a:solidFill>
              <a:latin typeface="GHEA Grapalat" panose="02000506050000020003" pitchFamily="50" charset="0"/>
              <a:ea typeface="+mn-ea"/>
              <a:cs typeface="+mn-cs"/>
            </a:rPr>
            <a:t>Հարկաբյուջետային ռիսկերի գնահատում</a:t>
          </a:r>
          <a:endParaRPr lang="en-US" sz="1000">
            <a:solidFill>
              <a:sysClr val="window" lastClr="FFFFFF"/>
            </a:solidFill>
            <a:latin typeface="GHEA Grapalat" panose="02000506050000020003" pitchFamily="50" charset="0"/>
            <a:ea typeface="+mn-ea"/>
            <a:cs typeface="+mn-cs"/>
          </a:endParaRPr>
        </a:p>
      </dgm:t>
    </dgm:pt>
    <dgm:pt modelId="{407EA548-8010-48E2-AE72-8F0BBD56B0AC}" type="parTrans" cxnId="{F0845C73-B0E0-4600-A52E-9203A5CAB397}">
      <dgm:prSet/>
      <dgm:spPr/>
      <dgm:t>
        <a:bodyPr/>
        <a:lstStyle/>
        <a:p>
          <a:endParaRPr lang="en-US" sz="300">
            <a:latin typeface="GHEA Grapalat" panose="02000506050000020003" pitchFamily="50" charset="0"/>
          </a:endParaRPr>
        </a:p>
      </dgm:t>
    </dgm:pt>
    <dgm:pt modelId="{E18D1F80-847F-4984-8C8C-C4A5E829039C}" type="sibTrans" cxnId="{F0845C73-B0E0-4600-A52E-9203A5CAB397}">
      <dgm:prSet/>
      <dgm:spPr/>
      <dgm:t>
        <a:bodyPr/>
        <a:lstStyle/>
        <a:p>
          <a:endParaRPr lang="en-US" sz="300">
            <a:latin typeface="GHEA Grapalat" panose="02000506050000020003" pitchFamily="50" charset="0"/>
          </a:endParaRPr>
        </a:p>
      </dgm:t>
    </dgm:pt>
    <dgm:pt modelId="{9A64FE7C-F1EC-4565-B4F1-4033E0B23739}" type="pres">
      <dgm:prSet presAssocID="{181019E2-3B98-4F4D-BB98-560957B575CF}" presName="CompostProcess" presStyleCnt="0">
        <dgm:presLayoutVars>
          <dgm:dir/>
          <dgm:resizeHandles val="exact"/>
        </dgm:presLayoutVars>
      </dgm:prSet>
      <dgm:spPr/>
      <dgm:t>
        <a:bodyPr/>
        <a:lstStyle/>
        <a:p>
          <a:endParaRPr lang="en-US"/>
        </a:p>
      </dgm:t>
    </dgm:pt>
    <dgm:pt modelId="{8E884CB9-2929-4BEE-A967-92552F2E31E2}" type="pres">
      <dgm:prSet presAssocID="{181019E2-3B98-4F4D-BB98-560957B575CF}" presName="arrow" presStyleLbl="bgShp" presStyleIdx="0" presStyleCnt="1"/>
      <dgm:spPr>
        <a:xfrm>
          <a:off x="440412" y="0"/>
          <a:ext cx="4991338" cy="1452561"/>
        </a:xfrm>
        <a:prstGeom prst="rightArrow">
          <a:avLst/>
        </a:prstGeom>
        <a:solidFill>
          <a:srgbClr val="4472C4">
            <a:tint val="40000"/>
            <a:hueOff val="0"/>
            <a:satOff val="0"/>
            <a:lumOff val="0"/>
            <a:alphaOff val="0"/>
          </a:srgbClr>
        </a:solidFill>
        <a:ln>
          <a:noFill/>
        </a:ln>
        <a:effectLst/>
      </dgm:spPr>
    </dgm:pt>
    <dgm:pt modelId="{972B1D49-4F1D-4233-83AB-01F664715B8D}" type="pres">
      <dgm:prSet presAssocID="{181019E2-3B98-4F4D-BB98-560957B575CF}" presName="linearProcess" presStyleCnt="0"/>
      <dgm:spPr/>
    </dgm:pt>
    <dgm:pt modelId="{21B7471B-43F8-4CE4-8B48-ABD9F85F218E}" type="pres">
      <dgm:prSet presAssocID="{4BFE92E2-7D95-4B6E-8AB1-991C50167500}" presName="textNode" presStyleLbl="node1" presStyleIdx="0" presStyleCnt="3" custScaleX="63134" custScaleY="146361">
        <dgm:presLayoutVars>
          <dgm:bulletEnabled val="1"/>
        </dgm:presLayoutVars>
      </dgm:prSet>
      <dgm:spPr/>
      <dgm:t>
        <a:bodyPr/>
        <a:lstStyle/>
        <a:p>
          <a:endParaRPr lang="en-US"/>
        </a:p>
      </dgm:t>
    </dgm:pt>
    <dgm:pt modelId="{9382F47E-9FB9-439A-B900-950B011287BA}" type="pres">
      <dgm:prSet presAssocID="{C23DDF2F-756F-4C16-96EA-98BF831FDAE7}" presName="sibTrans" presStyleCnt="0"/>
      <dgm:spPr/>
    </dgm:pt>
    <dgm:pt modelId="{42B3D4B7-3122-4B55-B7AB-C4A57175BE5A}" type="pres">
      <dgm:prSet presAssocID="{B98DA923-ED60-4690-BB98-A492CD90B484}" presName="textNode" presStyleLbl="node1" presStyleIdx="1" presStyleCnt="3" custScaleY="146808">
        <dgm:presLayoutVars>
          <dgm:bulletEnabled val="1"/>
        </dgm:presLayoutVars>
      </dgm:prSet>
      <dgm:spPr/>
      <dgm:t>
        <a:bodyPr/>
        <a:lstStyle/>
        <a:p>
          <a:endParaRPr lang="en-US"/>
        </a:p>
      </dgm:t>
    </dgm:pt>
    <dgm:pt modelId="{1C24D718-529E-4ED8-8551-77F45572D041}" type="pres">
      <dgm:prSet presAssocID="{EBC71B37-F427-416B-B773-0C134EE13FAE}" presName="sibTrans" presStyleCnt="0"/>
      <dgm:spPr/>
    </dgm:pt>
    <dgm:pt modelId="{5115A9E9-ECD6-40E8-B001-F3F7FC71CD10}" type="pres">
      <dgm:prSet presAssocID="{CAC0E481-D14C-4C4B-BC0E-7490A37865E8}" presName="textNode" presStyleLbl="node1" presStyleIdx="2" presStyleCnt="3" custScaleY="146361">
        <dgm:presLayoutVars>
          <dgm:bulletEnabled val="1"/>
        </dgm:presLayoutVars>
      </dgm:prSet>
      <dgm:spPr/>
      <dgm:t>
        <a:bodyPr/>
        <a:lstStyle/>
        <a:p>
          <a:endParaRPr lang="en-US"/>
        </a:p>
      </dgm:t>
    </dgm:pt>
  </dgm:ptLst>
  <dgm:cxnLst>
    <dgm:cxn modelId="{02DC8A93-5149-4177-83CD-68E6293B95A8}" type="presOf" srcId="{181019E2-3B98-4F4D-BB98-560957B575CF}" destId="{9A64FE7C-F1EC-4565-B4F1-4033E0B23739}" srcOrd="0" destOrd="0" presId="urn:microsoft.com/office/officeart/2005/8/layout/hProcess9"/>
    <dgm:cxn modelId="{EF2BE310-C6A7-4381-83B3-725E65DA6E02}" srcId="{181019E2-3B98-4F4D-BB98-560957B575CF}" destId="{B98DA923-ED60-4690-BB98-A492CD90B484}" srcOrd="1" destOrd="0" parTransId="{CED4A128-43AE-4BC5-86A6-0831C921B223}" sibTransId="{EBC71B37-F427-416B-B773-0C134EE13FAE}"/>
    <dgm:cxn modelId="{07053F20-2C7B-49F5-ACA6-73B822A94869}" type="presOf" srcId="{4BFE92E2-7D95-4B6E-8AB1-991C50167500}" destId="{21B7471B-43F8-4CE4-8B48-ABD9F85F218E}" srcOrd="0" destOrd="0" presId="urn:microsoft.com/office/officeart/2005/8/layout/hProcess9"/>
    <dgm:cxn modelId="{F0845C73-B0E0-4600-A52E-9203A5CAB397}" srcId="{181019E2-3B98-4F4D-BB98-560957B575CF}" destId="{CAC0E481-D14C-4C4B-BC0E-7490A37865E8}" srcOrd="2" destOrd="0" parTransId="{407EA548-8010-48E2-AE72-8F0BBD56B0AC}" sibTransId="{E18D1F80-847F-4984-8C8C-C4A5E829039C}"/>
    <dgm:cxn modelId="{93D61182-0030-4A38-AB90-A77D682A89A7}" type="presOf" srcId="{B98DA923-ED60-4690-BB98-A492CD90B484}" destId="{42B3D4B7-3122-4B55-B7AB-C4A57175BE5A}" srcOrd="0" destOrd="0" presId="urn:microsoft.com/office/officeart/2005/8/layout/hProcess9"/>
    <dgm:cxn modelId="{702A1841-1E2C-41F5-A785-FB0845F554FB}" srcId="{181019E2-3B98-4F4D-BB98-560957B575CF}" destId="{4BFE92E2-7D95-4B6E-8AB1-991C50167500}" srcOrd="0" destOrd="0" parTransId="{743F9D2F-B1F2-4943-9D03-F32C2CE9348D}" sibTransId="{C23DDF2F-756F-4C16-96EA-98BF831FDAE7}"/>
    <dgm:cxn modelId="{0BD15803-DF8D-4756-8FC9-D3397DE2AE7D}" type="presOf" srcId="{CAC0E481-D14C-4C4B-BC0E-7490A37865E8}" destId="{5115A9E9-ECD6-40E8-B001-F3F7FC71CD10}" srcOrd="0" destOrd="0" presId="urn:microsoft.com/office/officeart/2005/8/layout/hProcess9"/>
    <dgm:cxn modelId="{98440678-9897-425A-B3A9-3A0D3C09564C}" type="presParOf" srcId="{9A64FE7C-F1EC-4565-B4F1-4033E0B23739}" destId="{8E884CB9-2929-4BEE-A967-92552F2E31E2}" srcOrd="0" destOrd="0" presId="urn:microsoft.com/office/officeart/2005/8/layout/hProcess9"/>
    <dgm:cxn modelId="{2634A338-0316-4470-9CD7-6FDC7EC4BD9E}" type="presParOf" srcId="{9A64FE7C-F1EC-4565-B4F1-4033E0B23739}" destId="{972B1D49-4F1D-4233-83AB-01F664715B8D}" srcOrd="1" destOrd="0" presId="urn:microsoft.com/office/officeart/2005/8/layout/hProcess9"/>
    <dgm:cxn modelId="{613FDCD4-5C47-475B-8573-F4E52E5B8C35}" type="presParOf" srcId="{972B1D49-4F1D-4233-83AB-01F664715B8D}" destId="{21B7471B-43F8-4CE4-8B48-ABD9F85F218E}" srcOrd="0" destOrd="0" presId="urn:microsoft.com/office/officeart/2005/8/layout/hProcess9"/>
    <dgm:cxn modelId="{2D37F0EB-C478-447A-8B12-02D17B6C8C16}" type="presParOf" srcId="{972B1D49-4F1D-4233-83AB-01F664715B8D}" destId="{9382F47E-9FB9-439A-B900-950B011287BA}" srcOrd="1" destOrd="0" presId="urn:microsoft.com/office/officeart/2005/8/layout/hProcess9"/>
    <dgm:cxn modelId="{3F7463BC-1927-46A8-AF0A-B5483D331D83}" type="presParOf" srcId="{972B1D49-4F1D-4233-83AB-01F664715B8D}" destId="{42B3D4B7-3122-4B55-B7AB-C4A57175BE5A}" srcOrd="2" destOrd="0" presId="urn:microsoft.com/office/officeart/2005/8/layout/hProcess9"/>
    <dgm:cxn modelId="{30206543-3CD3-4F8B-BE90-0AA07A55DC95}" type="presParOf" srcId="{972B1D49-4F1D-4233-83AB-01F664715B8D}" destId="{1C24D718-529E-4ED8-8551-77F45572D041}" srcOrd="3" destOrd="0" presId="urn:microsoft.com/office/officeart/2005/8/layout/hProcess9"/>
    <dgm:cxn modelId="{29F59D6B-B05C-4208-BC3E-4F1703681EA0}" type="presParOf" srcId="{972B1D49-4F1D-4233-83AB-01F664715B8D}" destId="{5115A9E9-ECD6-40E8-B001-F3F7FC71CD10}" srcOrd="4" destOrd="0" presId="urn:microsoft.com/office/officeart/2005/8/layout/hProcess9"/>
  </dgm:cxnLst>
  <dgm:bg/>
  <dgm:whole/>
  <dgm:extLst>
    <a:ext uri="http://schemas.microsoft.com/office/drawing/2008/diagram">
      <dsp:dataModelExt xmlns:dsp="http://schemas.microsoft.com/office/drawing/2008/diagram" relId="rId8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E884CB9-2929-4BEE-A967-92552F2E31E2}">
      <dsp:nvSpPr>
        <dsp:cNvPr id="0" name=""/>
        <dsp:cNvSpPr/>
      </dsp:nvSpPr>
      <dsp:spPr>
        <a:xfrm>
          <a:off x="440412" y="0"/>
          <a:ext cx="4991338" cy="1452561"/>
        </a:xfrm>
        <a:prstGeom prst="rightArrow">
          <a:avLst/>
        </a:prstGeom>
        <a:solidFill>
          <a:srgbClr val="4472C4">
            <a:tint val="40000"/>
            <a:hueOff val="0"/>
            <a:satOff val="0"/>
            <a:lumOff val="0"/>
            <a:alphaOff val="0"/>
          </a:srgbClr>
        </a:solidFill>
        <a:ln>
          <a:noFill/>
        </a:ln>
        <a:effectLst/>
      </dsp:spPr>
      <dsp:style>
        <a:lnRef idx="0">
          <a:scrgbClr r="0" g="0" b="0"/>
        </a:lnRef>
        <a:fillRef idx="1">
          <a:scrgbClr r="0" g="0" b="0"/>
        </a:fillRef>
        <a:effectRef idx="0">
          <a:scrgbClr r="0" g="0" b="0"/>
        </a:effectRef>
        <a:fontRef idx="minor"/>
      </dsp:style>
    </dsp:sp>
    <dsp:sp modelId="{21B7471B-43F8-4CE4-8B48-ABD9F85F218E}">
      <dsp:nvSpPr>
        <dsp:cNvPr id="0" name=""/>
        <dsp:cNvSpPr/>
      </dsp:nvSpPr>
      <dsp:spPr>
        <a:xfrm>
          <a:off x="2713" y="301084"/>
          <a:ext cx="1325126" cy="850393"/>
        </a:xfrm>
        <a:prstGeom prst="roundRect">
          <a:avLst/>
        </a:prstGeom>
        <a:solidFill>
          <a:srgbClr val="4472C4">
            <a:alpha val="90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lvl="0" algn="l" defTabSz="444500">
            <a:lnSpc>
              <a:spcPct val="90000"/>
            </a:lnSpc>
            <a:spcBef>
              <a:spcPct val="0"/>
            </a:spcBef>
            <a:spcAft>
              <a:spcPct val="35000"/>
            </a:spcAft>
          </a:pPr>
          <a:r>
            <a:rPr lang="en-US" sz="1000" kern="1200">
              <a:solidFill>
                <a:sysClr val="window" lastClr="FFFFFF"/>
              </a:solidFill>
              <a:latin typeface="GHEA Grapalat" panose="02000506050000020003" pitchFamily="50" charset="0"/>
              <a:ea typeface="+mn-ea"/>
              <a:cs typeface="+mn-cs"/>
            </a:rPr>
            <a:t>BVAR </a:t>
          </a:r>
          <a:r>
            <a:rPr lang="hy-AM" sz="1000" kern="1200">
              <a:solidFill>
                <a:sysClr val="window" lastClr="FFFFFF"/>
              </a:solidFill>
              <a:latin typeface="GHEA Grapalat" panose="02000506050000020003" pitchFamily="50" charset="0"/>
              <a:ea typeface="+mn-ea"/>
              <a:cs typeface="+mn-cs"/>
            </a:rPr>
            <a:t>մոդելով հավանականային պարամետրերի գնահատում</a:t>
          </a:r>
          <a:endParaRPr lang="en-US" sz="1000" kern="1200">
            <a:solidFill>
              <a:sysClr val="window" lastClr="FFFFFF"/>
            </a:solidFill>
            <a:latin typeface="GHEA Grapalat" panose="02000506050000020003" pitchFamily="50" charset="0"/>
            <a:ea typeface="+mn-ea"/>
            <a:cs typeface="+mn-cs"/>
          </a:endParaRPr>
        </a:p>
      </dsp:txBody>
      <dsp:txXfrm>
        <a:off x="44226" y="342597"/>
        <a:ext cx="1242100" cy="767367"/>
      </dsp:txXfrm>
    </dsp:sp>
    <dsp:sp modelId="{42B3D4B7-3122-4B55-B7AB-C4A57175BE5A}">
      <dsp:nvSpPr>
        <dsp:cNvPr id="0" name=""/>
        <dsp:cNvSpPr/>
      </dsp:nvSpPr>
      <dsp:spPr>
        <a:xfrm>
          <a:off x="1499733" y="299785"/>
          <a:ext cx="2098911" cy="852990"/>
        </a:xfrm>
        <a:prstGeom prst="roundRect">
          <a:avLst/>
        </a:prstGeom>
        <a:solidFill>
          <a:srgbClr val="4472C4">
            <a:alpha val="90000"/>
            <a:hueOff val="0"/>
            <a:satOff val="0"/>
            <a:lumOff val="0"/>
            <a:alphaOff val="-2000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lvl="0" algn="l" defTabSz="444500">
            <a:lnSpc>
              <a:spcPct val="90000"/>
            </a:lnSpc>
            <a:spcBef>
              <a:spcPct val="0"/>
            </a:spcBef>
            <a:spcAft>
              <a:spcPct val="35000"/>
            </a:spcAft>
          </a:pPr>
          <a:r>
            <a:rPr lang="hy-AM" sz="1000" kern="1200">
              <a:solidFill>
                <a:sysClr val="window" lastClr="FFFFFF"/>
              </a:solidFill>
              <a:latin typeface="GHEA Grapalat" panose="02000506050000020003" pitchFamily="50" charset="0"/>
              <a:ea typeface="+mn-ea"/>
              <a:cs typeface="+mn-cs"/>
            </a:rPr>
            <a:t>Կանխատեսումների իրականացում՝ հիմնվելով սպառման, գնաճի, ներմուծման, արտահանման և ՀՆԱ-ի իրական աճերի վրա</a:t>
          </a:r>
          <a:endParaRPr lang="en-US" sz="1000" kern="1200">
            <a:solidFill>
              <a:sysClr val="window" lastClr="FFFFFF"/>
            </a:solidFill>
            <a:latin typeface="GHEA Grapalat" panose="02000506050000020003" pitchFamily="50" charset="0"/>
            <a:ea typeface="+mn-ea"/>
            <a:cs typeface="+mn-cs"/>
          </a:endParaRPr>
        </a:p>
      </dsp:txBody>
      <dsp:txXfrm>
        <a:off x="1541373" y="341425"/>
        <a:ext cx="2015631" cy="769710"/>
      </dsp:txXfrm>
    </dsp:sp>
    <dsp:sp modelId="{5115A9E9-ECD6-40E8-B001-F3F7FC71CD10}">
      <dsp:nvSpPr>
        <dsp:cNvPr id="0" name=""/>
        <dsp:cNvSpPr/>
      </dsp:nvSpPr>
      <dsp:spPr>
        <a:xfrm>
          <a:off x="3770538" y="301084"/>
          <a:ext cx="2098911" cy="850393"/>
        </a:xfrm>
        <a:prstGeom prst="roundRect">
          <a:avLst/>
        </a:prstGeom>
        <a:solidFill>
          <a:srgbClr val="4472C4">
            <a:alpha val="90000"/>
            <a:hueOff val="0"/>
            <a:satOff val="0"/>
            <a:lumOff val="0"/>
            <a:alphaOff val="-4000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hy-AM" sz="1000" kern="1200">
              <a:solidFill>
                <a:sysClr val="window" lastClr="FFFFFF"/>
              </a:solidFill>
              <a:latin typeface="GHEA Grapalat" panose="02000506050000020003" pitchFamily="50" charset="0"/>
              <a:ea typeface="+mn-ea"/>
              <a:cs typeface="+mn-cs"/>
            </a:rPr>
            <a:t>Հարկաբյուջետային ռիսկերի գնահատում</a:t>
          </a:r>
          <a:endParaRPr lang="en-US" sz="1000" kern="1200">
            <a:solidFill>
              <a:sysClr val="window" lastClr="FFFFFF"/>
            </a:solidFill>
            <a:latin typeface="GHEA Grapalat" panose="02000506050000020003" pitchFamily="50" charset="0"/>
            <a:ea typeface="+mn-ea"/>
            <a:cs typeface="+mn-cs"/>
          </a:endParaRPr>
        </a:p>
      </dsp:txBody>
      <dsp:txXfrm>
        <a:off x="3812051" y="342597"/>
        <a:ext cx="2015885" cy="767367"/>
      </dsp:txXfrm>
    </dsp:sp>
  </dsp:spTree>
</dsp:drawing>
</file>

<file path=word/diagrams/layout1.xml><?xml version="1.0" encoding="utf-8"?>
<dgm:layoutDef xmlns:dgm="http://schemas.openxmlformats.org/drawingml/2006/diagram" xmlns:a="http://schemas.openxmlformats.org/drawingml/2006/main" uniqueId="urn:microsoft.com/office/officeart/2005/8/layout/hProcess9">
  <dgm:title val=""/>
  <dgm:desc val=""/>
  <dgm:catLst>
    <dgm:cat type="process" pri="5000"/>
    <dgm:cat type="convert"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CompostProcess">
    <dgm:varLst>
      <dgm:dir/>
      <dgm:resizeHandles val="exact"/>
    </dgm:varLst>
    <dgm:alg type="composite">
      <dgm:param type="horzAlign" val="ctr"/>
      <dgm:param type="vertAlign" val="mid"/>
    </dgm:alg>
    <dgm:shape xmlns:r="http://schemas.openxmlformats.org/officeDocument/2006/relationships" r:blip="">
      <dgm:adjLst/>
    </dgm:shape>
    <dgm:presOf/>
    <dgm:constrLst>
      <dgm:constr type="w" for="ch" forName="arrow" refType="w" fact="0.85"/>
      <dgm:constr type="h" for="ch" forName="arrow" refType="h"/>
      <dgm:constr type="ctrX" for="ch" forName="arrow" refType="w" fact="0.5"/>
      <dgm:constr type="ctrY" for="ch" forName="arrow" refType="h" fact="0.5"/>
      <dgm:constr type="w" for="ch" forName="linearProcess" refType="w"/>
      <dgm:constr type="h" for="ch" forName="linearProcess" refType="h" fact="0.4"/>
      <dgm:constr type="ctrX" for="ch" forName="linearProcess" refType="w" fact="0.5"/>
      <dgm:constr type="ctrY" for="ch" forName="linearProcess" refType="h" fact="0.5"/>
    </dgm:constrLst>
    <dgm:ruleLst/>
    <dgm:layoutNode name="arrow" styleLbl="bgShp">
      <dgm:alg type="sp"/>
      <dgm:choose name="Name0">
        <dgm:if name="Name1" func="var" arg="dir" op="equ" val="norm">
          <dgm:shape xmlns:r="http://schemas.openxmlformats.org/officeDocument/2006/relationships" type="rightArrow" r:blip="">
            <dgm:adjLst/>
          </dgm:shape>
        </dgm:if>
        <dgm:else name="Name2">
          <dgm:shape xmlns:r="http://schemas.openxmlformats.org/officeDocument/2006/relationships" type="leftArrow" r:blip="">
            <dgm:adjLst/>
          </dgm:shape>
        </dgm:else>
      </dgm:choose>
      <dgm:presOf/>
      <dgm:constrLst/>
      <dgm:ruleLst/>
    </dgm:layoutNode>
    <dgm:layoutNode name="linearProcess">
      <dgm:choose name="Name3">
        <dgm:if name="Name4" func="var" arg="dir" op="equ" val="norm">
          <dgm:alg type="lin"/>
        </dgm:if>
        <dgm:else name="Name5">
          <dgm:alg type="lin">
            <dgm:param type="linDir" val="fromR"/>
          </dgm:alg>
        </dgm:else>
      </dgm:choose>
      <dgm:shape xmlns:r="http://schemas.openxmlformats.org/officeDocument/2006/relationships" r:blip="">
        <dgm:adjLst/>
      </dgm:shape>
      <dgm:presOf/>
      <dgm:constrLst>
        <dgm:constr type="userA" for="ch" ptType="node" refType="w"/>
        <dgm:constr type="h" for="ch" ptType="node" refType="h"/>
        <dgm:constr type="w" for="ch" ptType="node" op="equ"/>
        <dgm:constr type="w" for="ch" forName="sibTrans" refType="w" fact="0.05"/>
        <dgm:constr type="primFontSz" for="ch" ptType="node" op="equ" val="65"/>
      </dgm:constrLst>
      <dgm:ruleLst/>
      <dgm:forEach name="Name6" axis="ch" ptType="node">
        <dgm:layoutNode name="textNode" styleLbl="node1">
          <dgm:varLst>
            <dgm:bulletEnabled val="1"/>
          </dgm:varLst>
          <dgm:alg type="tx"/>
          <dgm:shape xmlns:r="http://schemas.openxmlformats.org/officeDocument/2006/relationships" type="roundRect" r:blip="">
            <dgm:adjLst/>
          </dgm:shape>
          <dgm:presOf axis="desOrSelf" ptType="node"/>
          <dgm:constrLst>
            <dgm:constr type="userA"/>
            <dgm:constr type="w" refType="userA" fact="0.3"/>
            <dgm:constr type="tMarg" refType="primFontSz" fact="0.3"/>
            <dgm:constr type="bMarg" refType="primFontSz" fact="0.3"/>
            <dgm:constr type="lMarg" refType="primFontSz" fact="0.3"/>
            <dgm:constr type="rMarg" refType="primFontSz" fact="0.3"/>
          </dgm:constrLst>
          <dgm:ruleLst>
            <dgm:rule type="w" val="NaN" fact="1" max="NaN"/>
            <dgm:rule type="primFontSz" val="5" fact="NaN" max="NaN"/>
          </dgm:ruleLst>
        </dgm:layoutNode>
        <dgm:forEach name="Name7" axis="followSib" ptType="sibTrans" cnt="1">
          <dgm:layoutNode name="sibTrans">
            <dgm:alg type="sp"/>
            <dgm:shape xmlns:r="http://schemas.openxmlformats.org/officeDocument/2006/relationships" r:blip="">
              <dgm:adjLst/>
            </dgm:shape>
            <dgm:presOf/>
            <dgm:constrLst/>
            <dgm:ruleLst/>
          </dgm:layoutNode>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rawings/drawing1.xml><?xml version="1.0" encoding="utf-8"?>
<c:userShapes xmlns:c="http://schemas.openxmlformats.org/drawingml/2006/chart">
  <cdr:relSizeAnchor xmlns:cdr="http://schemas.openxmlformats.org/drawingml/2006/chartDrawing">
    <cdr:from>
      <cdr:x>0.51959</cdr:x>
      <cdr:y>0.01048</cdr:y>
    </cdr:from>
    <cdr:to>
      <cdr:x>0.94541</cdr:x>
      <cdr:y>0.7621</cdr:y>
    </cdr:to>
    <cdr:sp macro="" textlink="">
      <cdr:nvSpPr>
        <cdr:cNvPr id="2" name="Rectangle 1"/>
        <cdr:cNvSpPr/>
      </cdr:nvSpPr>
      <cdr:spPr>
        <a:xfrm xmlns:a="http://schemas.openxmlformats.org/drawingml/2006/main">
          <a:off x="1544128" y="17252"/>
          <a:ext cx="1265441" cy="1237103"/>
        </a:xfrm>
        <a:prstGeom xmlns:a="http://schemas.openxmlformats.org/drawingml/2006/main" prst="rect">
          <a:avLst/>
        </a:prstGeom>
        <a:solidFill xmlns:a="http://schemas.openxmlformats.org/drawingml/2006/main">
          <a:srgbClr val="D8E2F4">
            <a:alpha val="50000"/>
          </a:srgbClr>
        </a:solidFill>
        <a:ln xmlns:a="http://schemas.openxmlformats.org/drawingml/2006/main">
          <a:noFill/>
        </a:ln>
      </cdr:spPr>
      <cdr:styl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minor">
          <a:schemeClr val="lt1"/>
        </a:fontRef>
      </cdr:style>
      <cdr:txBody>
        <a:bodyPr xmlns:a="http://schemas.openxmlformats.org/drawingml/2006/main" vertOverflow="clip"/>
        <a:lstStyle xmlns:a="http://schemas.openxmlformats.org/drawingml/2006/main"/>
        <a:p xmlns:a="http://schemas.openxmlformats.org/drawingml/2006/main">
          <a:endParaRPr lang="en-US"/>
        </a:p>
      </cdr:txBody>
    </cdr:sp>
  </cdr:relSizeAnchor>
</c:userShapes>
</file>

<file path=word/drawings/drawing2.xml><?xml version="1.0" encoding="utf-8"?>
<c:userShapes xmlns:c="http://schemas.openxmlformats.org/drawingml/2006/chart">
  <cdr:relSizeAnchor xmlns:cdr="http://schemas.openxmlformats.org/drawingml/2006/chartDrawing">
    <cdr:from>
      <cdr:x>0.51959</cdr:x>
      <cdr:y>0.01048</cdr:y>
    </cdr:from>
    <cdr:to>
      <cdr:x>0.84119</cdr:x>
      <cdr:y>0.75552</cdr:y>
    </cdr:to>
    <cdr:sp macro="" textlink="">
      <cdr:nvSpPr>
        <cdr:cNvPr id="2" name="Rectangle 1"/>
        <cdr:cNvSpPr/>
      </cdr:nvSpPr>
      <cdr:spPr>
        <a:xfrm xmlns:a="http://schemas.openxmlformats.org/drawingml/2006/main">
          <a:off x="1544128" y="17254"/>
          <a:ext cx="955720" cy="1226270"/>
        </a:xfrm>
        <a:prstGeom xmlns:a="http://schemas.openxmlformats.org/drawingml/2006/main" prst="rect">
          <a:avLst/>
        </a:prstGeom>
        <a:solidFill xmlns:a="http://schemas.openxmlformats.org/drawingml/2006/main">
          <a:srgbClr val="D8E2F4">
            <a:alpha val="50000"/>
          </a:srgbClr>
        </a:solidFill>
        <a:ln xmlns:a="http://schemas.openxmlformats.org/drawingml/2006/main">
          <a:noFill/>
        </a:ln>
      </cdr:spPr>
      <cdr:styl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minor">
          <a:schemeClr val="lt1"/>
        </a:fontRef>
      </cdr:style>
      <cdr:txBody>
        <a:bodyPr xmlns:a="http://schemas.openxmlformats.org/drawingml/2006/main"/>
        <a:lstStyle xmlns:a="http://schemas.openxmlformats.org/drawingml/2006/main">
          <a:lvl1pPr marL="0" indent="0">
            <a:defRPr sz="1100">
              <a:solidFill>
                <a:schemeClr val="lt1"/>
              </a:solidFill>
              <a:latin typeface="+mn-lt"/>
              <a:ea typeface="+mn-ea"/>
              <a:cs typeface="+mn-cs"/>
            </a:defRPr>
          </a:lvl1pPr>
          <a:lvl2pPr marL="457200" indent="0">
            <a:defRPr sz="1100">
              <a:solidFill>
                <a:schemeClr val="lt1"/>
              </a:solidFill>
              <a:latin typeface="+mn-lt"/>
              <a:ea typeface="+mn-ea"/>
              <a:cs typeface="+mn-cs"/>
            </a:defRPr>
          </a:lvl2pPr>
          <a:lvl3pPr marL="914400" indent="0">
            <a:defRPr sz="1100">
              <a:solidFill>
                <a:schemeClr val="lt1"/>
              </a:solidFill>
              <a:latin typeface="+mn-lt"/>
              <a:ea typeface="+mn-ea"/>
              <a:cs typeface="+mn-cs"/>
            </a:defRPr>
          </a:lvl3pPr>
          <a:lvl4pPr marL="1371600" indent="0">
            <a:defRPr sz="1100">
              <a:solidFill>
                <a:schemeClr val="lt1"/>
              </a:solidFill>
              <a:latin typeface="+mn-lt"/>
              <a:ea typeface="+mn-ea"/>
              <a:cs typeface="+mn-cs"/>
            </a:defRPr>
          </a:lvl4pPr>
          <a:lvl5pPr marL="1828800" indent="0">
            <a:defRPr sz="1100">
              <a:solidFill>
                <a:schemeClr val="lt1"/>
              </a:solidFill>
              <a:latin typeface="+mn-lt"/>
              <a:ea typeface="+mn-ea"/>
              <a:cs typeface="+mn-cs"/>
            </a:defRPr>
          </a:lvl5pPr>
          <a:lvl6pPr marL="2286000" indent="0">
            <a:defRPr sz="1100">
              <a:solidFill>
                <a:schemeClr val="lt1"/>
              </a:solidFill>
              <a:latin typeface="+mn-lt"/>
              <a:ea typeface="+mn-ea"/>
              <a:cs typeface="+mn-cs"/>
            </a:defRPr>
          </a:lvl6pPr>
          <a:lvl7pPr marL="2743200" indent="0">
            <a:defRPr sz="1100">
              <a:solidFill>
                <a:schemeClr val="lt1"/>
              </a:solidFill>
              <a:latin typeface="+mn-lt"/>
              <a:ea typeface="+mn-ea"/>
              <a:cs typeface="+mn-cs"/>
            </a:defRPr>
          </a:lvl7pPr>
          <a:lvl8pPr marL="3200400" indent="0">
            <a:defRPr sz="1100">
              <a:solidFill>
                <a:schemeClr val="lt1"/>
              </a:solidFill>
              <a:latin typeface="+mn-lt"/>
              <a:ea typeface="+mn-ea"/>
              <a:cs typeface="+mn-cs"/>
            </a:defRPr>
          </a:lvl8pPr>
          <a:lvl9pPr marL="3657600" indent="0">
            <a:defRPr sz="1100">
              <a:solidFill>
                <a:schemeClr val="lt1"/>
              </a:solidFill>
              <a:latin typeface="+mn-lt"/>
              <a:ea typeface="+mn-ea"/>
              <a:cs typeface="+mn-cs"/>
            </a:defRPr>
          </a:lvl9pPr>
        </a:lstStyle>
        <a:p xmlns:a="http://schemas.openxmlformats.org/drawingml/2006/main">
          <a:endParaRPr lang="en-US"/>
        </a:p>
      </cdr:txBody>
    </cdr:sp>
  </cdr:relSizeAnchor>
</c:userShapes>
</file>

<file path=word/drawings/drawing3.xml><?xml version="1.0" encoding="utf-8"?>
<c:userShapes xmlns:c="http://schemas.openxmlformats.org/drawingml/2006/chart">
  <cdr:relSizeAnchor xmlns:cdr="http://schemas.openxmlformats.org/drawingml/2006/chartDrawing">
    <cdr:from>
      <cdr:x>0.47724</cdr:x>
      <cdr:y>0.00441</cdr:y>
    </cdr:from>
    <cdr:to>
      <cdr:x>0.94293</cdr:x>
      <cdr:y>0.75477</cdr:y>
    </cdr:to>
    <cdr:sp macro="" textlink="">
      <cdr:nvSpPr>
        <cdr:cNvPr id="2" name="Rectangle 1"/>
        <cdr:cNvSpPr/>
      </cdr:nvSpPr>
      <cdr:spPr>
        <a:xfrm xmlns:a="http://schemas.openxmlformats.org/drawingml/2006/main">
          <a:off x="1418254" y="7259"/>
          <a:ext cx="1383946" cy="1235032"/>
        </a:xfrm>
        <a:prstGeom xmlns:a="http://schemas.openxmlformats.org/drawingml/2006/main" prst="rect">
          <a:avLst/>
        </a:prstGeom>
        <a:solidFill xmlns:a="http://schemas.openxmlformats.org/drawingml/2006/main">
          <a:srgbClr val="D8E2F4">
            <a:alpha val="50000"/>
          </a:srgbClr>
        </a:solidFill>
        <a:ln xmlns:a="http://schemas.openxmlformats.org/drawingml/2006/main">
          <a:noFill/>
        </a:ln>
      </cdr:spPr>
      <cdr:styl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minor">
          <a:schemeClr val="lt1"/>
        </a:fontRef>
      </cdr:style>
      <cdr:txBody>
        <a:bodyPr xmlns:a="http://schemas.openxmlformats.org/drawingml/2006/main"/>
        <a:lstStyle xmlns:a="http://schemas.openxmlformats.org/drawingml/2006/main">
          <a:lvl1pPr marL="0" indent="0">
            <a:defRPr sz="1100">
              <a:solidFill>
                <a:schemeClr val="lt1"/>
              </a:solidFill>
              <a:latin typeface="+mn-lt"/>
              <a:ea typeface="+mn-ea"/>
              <a:cs typeface="+mn-cs"/>
            </a:defRPr>
          </a:lvl1pPr>
          <a:lvl2pPr marL="457200" indent="0">
            <a:defRPr sz="1100">
              <a:solidFill>
                <a:schemeClr val="lt1"/>
              </a:solidFill>
              <a:latin typeface="+mn-lt"/>
              <a:ea typeface="+mn-ea"/>
              <a:cs typeface="+mn-cs"/>
            </a:defRPr>
          </a:lvl2pPr>
          <a:lvl3pPr marL="914400" indent="0">
            <a:defRPr sz="1100">
              <a:solidFill>
                <a:schemeClr val="lt1"/>
              </a:solidFill>
              <a:latin typeface="+mn-lt"/>
              <a:ea typeface="+mn-ea"/>
              <a:cs typeface="+mn-cs"/>
            </a:defRPr>
          </a:lvl3pPr>
          <a:lvl4pPr marL="1371600" indent="0">
            <a:defRPr sz="1100">
              <a:solidFill>
                <a:schemeClr val="lt1"/>
              </a:solidFill>
              <a:latin typeface="+mn-lt"/>
              <a:ea typeface="+mn-ea"/>
              <a:cs typeface="+mn-cs"/>
            </a:defRPr>
          </a:lvl4pPr>
          <a:lvl5pPr marL="1828800" indent="0">
            <a:defRPr sz="1100">
              <a:solidFill>
                <a:schemeClr val="lt1"/>
              </a:solidFill>
              <a:latin typeface="+mn-lt"/>
              <a:ea typeface="+mn-ea"/>
              <a:cs typeface="+mn-cs"/>
            </a:defRPr>
          </a:lvl5pPr>
          <a:lvl6pPr marL="2286000" indent="0">
            <a:defRPr sz="1100">
              <a:solidFill>
                <a:schemeClr val="lt1"/>
              </a:solidFill>
              <a:latin typeface="+mn-lt"/>
              <a:ea typeface="+mn-ea"/>
              <a:cs typeface="+mn-cs"/>
            </a:defRPr>
          </a:lvl6pPr>
          <a:lvl7pPr marL="2743200" indent="0">
            <a:defRPr sz="1100">
              <a:solidFill>
                <a:schemeClr val="lt1"/>
              </a:solidFill>
              <a:latin typeface="+mn-lt"/>
              <a:ea typeface="+mn-ea"/>
              <a:cs typeface="+mn-cs"/>
            </a:defRPr>
          </a:lvl7pPr>
          <a:lvl8pPr marL="3200400" indent="0">
            <a:defRPr sz="1100">
              <a:solidFill>
                <a:schemeClr val="lt1"/>
              </a:solidFill>
              <a:latin typeface="+mn-lt"/>
              <a:ea typeface="+mn-ea"/>
              <a:cs typeface="+mn-cs"/>
            </a:defRPr>
          </a:lvl8pPr>
          <a:lvl9pPr marL="3657600" indent="0">
            <a:defRPr sz="1100">
              <a:solidFill>
                <a:schemeClr val="lt1"/>
              </a:solidFill>
              <a:latin typeface="+mn-lt"/>
              <a:ea typeface="+mn-ea"/>
              <a:cs typeface="+mn-cs"/>
            </a:defRPr>
          </a:lvl9pPr>
        </a:lstStyle>
        <a:p xmlns:a="http://schemas.openxmlformats.org/drawingml/2006/main">
          <a:endParaRPr lang="en-US"/>
        </a:p>
      </cdr:txBody>
    </cdr:sp>
  </cdr:relSizeAnchor>
</c:userShapes>
</file>

<file path=word/drawings/drawing4.xml><?xml version="1.0" encoding="utf-8"?>
<c:userShapes xmlns:c="http://schemas.openxmlformats.org/drawingml/2006/chart">
  <cdr:relSizeAnchor xmlns:cdr="http://schemas.openxmlformats.org/drawingml/2006/chartDrawing">
    <cdr:from>
      <cdr:x>0.8281</cdr:x>
      <cdr:y>0.01254</cdr:y>
    </cdr:from>
    <cdr:to>
      <cdr:x>0.94581</cdr:x>
      <cdr:y>0.88788</cdr:y>
    </cdr:to>
    <cdr:sp macro="" textlink="">
      <cdr:nvSpPr>
        <cdr:cNvPr id="2" name="Rectangle 1"/>
        <cdr:cNvSpPr/>
      </cdr:nvSpPr>
      <cdr:spPr>
        <a:xfrm xmlns:a="http://schemas.openxmlformats.org/drawingml/2006/main">
          <a:off x="5293681" y="25121"/>
          <a:ext cx="752466" cy="1754234"/>
        </a:xfrm>
        <a:prstGeom xmlns:a="http://schemas.openxmlformats.org/drawingml/2006/main" prst="rect">
          <a:avLst/>
        </a:prstGeom>
        <a:solidFill xmlns:a="http://schemas.openxmlformats.org/drawingml/2006/main">
          <a:srgbClr val="D8E2F4">
            <a:alpha val="40000"/>
          </a:srgbClr>
        </a:solidFill>
        <a:ln xmlns:a="http://schemas.openxmlformats.org/drawingml/2006/main">
          <a:noFill/>
        </a:ln>
      </cdr:spPr>
      <cdr: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a:lstStyle xmlns:a="http://schemas.openxmlformats.org/drawingml/2006/main">
          <a:lvl1pPr marL="0" indent="0">
            <a:defRPr sz="1100">
              <a:solidFill>
                <a:schemeClr val="lt1"/>
              </a:solidFill>
              <a:latin typeface="+mn-lt"/>
              <a:ea typeface="+mn-ea"/>
              <a:cs typeface="+mn-cs"/>
            </a:defRPr>
          </a:lvl1pPr>
          <a:lvl2pPr marL="457200" indent="0">
            <a:defRPr sz="1100">
              <a:solidFill>
                <a:schemeClr val="lt1"/>
              </a:solidFill>
              <a:latin typeface="+mn-lt"/>
              <a:ea typeface="+mn-ea"/>
              <a:cs typeface="+mn-cs"/>
            </a:defRPr>
          </a:lvl2pPr>
          <a:lvl3pPr marL="914400" indent="0">
            <a:defRPr sz="1100">
              <a:solidFill>
                <a:schemeClr val="lt1"/>
              </a:solidFill>
              <a:latin typeface="+mn-lt"/>
              <a:ea typeface="+mn-ea"/>
              <a:cs typeface="+mn-cs"/>
            </a:defRPr>
          </a:lvl3pPr>
          <a:lvl4pPr marL="1371600" indent="0">
            <a:defRPr sz="1100">
              <a:solidFill>
                <a:schemeClr val="lt1"/>
              </a:solidFill>
              <a:latin typeface="+mn-lt"/>
              <a:ea typeface="+mn-ea"/>
              <a:cs typeface="+mn-cs"/>
            </a:defRPr>
          </a:lvl4pPr>
          <a:lvl5pPr marL="1828800" indent="0">
            <a:defRPr sz="1100">
              <a:solidFill>
                <a:schemeClr val="lt1"/>
              </a:solidFill>
              <a:latin typeface="+mn-lt"/>
              <a:ea typeface="+mn-ea"/>
              <a:cs typeface="+mn-cs"/>
            </a:defRPr>
          </a:lvl5pPr>
          <a:lvl6pPr marL="2286000" indent="0">
            <a:defRPr sz="1100">
              <a:solidFill>
                <a:schemeClr val="lt1"/>
              </a:solidFill>
              <a:latin typeface="+mn-lt"/>
              <a:ea typeface="+mn-ea"/>
              <a:cs typeface="+mn-cs"/>
            </a:defRPr>
          </a:lvl6pPr>
          <a:lvl7pPr marL="2743200" indent="0">
            <a:defRPr sz="1100">
              <a:solidFill>
                <a:schemeClr val="lt1"/>
              </a:solidFill>
              <a:latin typeface="+mn-lt"/>
              <a:ea typeface="+mn-ea"/>
              <a:cs typeface="+mn-cs"/>
            </a:defRPr>
          </a:lvl7pPr>
          <a:lvl8pPr marL="3200400" indent="0">
            <a:defRPr sz="1100">
              <a:solidFill>
                <a:schemeClr val="lt1"/>
              </a:solidFill>
              <a:latin typeface="+mn-lt"/>
              <a:ea typeface="+mn-ea"/>
              <a:cs typeface="+mn-cs"/>
            </a:defRPr>
          </a:lvl8pPr>
          <a:lvl9pPr marL="3657600" indent="0">
            <a:defRPr sz="1100">
              <a:solidFill>
                <a:schemeClr val="lt1"/>
              </a:solidFill>
              <a:latin typeface="+mn-lt"/>
              <a:ea typeface="+mn-ea"/>
              <a:cs typeface="+mn-cs"/>
            </a:defRPr>
          </a:lvl9pPr>
        </a:lstStyle>
        <a:p xmlns:a="http://schemas.openxmlformats.org/drawingml/2006/main">
          <a:endParaRPr lang="en-US">
            <a:solidFill>
              <a:schemeClr val="lt1">
                <a:alpha val="55000"/>
              </a:schemeClr>
            </a:solidFill>
          </a:endParaRPr>
        </a:p>
      </cdr:txBody>
    </cdr:sp>
  </cdr:relSizeAnchor>
</c:userShapes>
</file>

<file path=word/drawings/drawing5.xml><?xml version="1.0" encoding="utf-8"?>
<c:userShapes xmlns:c="http://schemas.openxmlformats.org/drawingml/2006/chart">
  <cdr:relSizeAnchor xmlns:cdr="http://schemas.openxmlformats.org/drawingml/2006/chartDrawing">
    <cdr:from>
      <cdr:x>0.50272</cdr:x>
      <cdr:y>0</cdr:y>
    </cdr:from>
    <cdr:to>
      <cdr:x>0.95019</cdr:x>
      <cdr:y>0.78314</cdr:y>
    </cdr:to>
    <cdr:sp macro="" textlink="">
      <cdr:nvSpPr>
        <cdr:cNvPr id="3" name="Rectangle 2"/>
        <cdr:cNvSpPr/>
      </cdr:nvSpPr>
      <cdr:spPr>
        <a:xfrm xmlns:a="http://schemas.openxmlformats.org/drawingml/2006/main">
          <a:off x="1470992" y="0"/>
          <a:ext cx="1309331" cy="1341699"/>
        </a:xfrm>
        <a:prstGeom xmlns:a="http://schemas.openxmlformats.org/drawingml/2006/main" prst="rect">
          <a:avLst/>
        </a:prstGeom>
        <a:solidFill xmlns:a="http://schemas.openxmlformats.org/drawingml/2006/main">
          <a:srgbClr val="D8E2F4">
            <a:alpha val="40000"/>
          </a:srgbClr>
        </a:solidFill>
        <a:ln xmlns:a="http://schemas.openxmlformats.org/drawingml/2006/main">
          <a:noFill/>
        </a:ln>
      </cdr:spPr>
      <cdr: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a:lstStyle xmlns:a="http://schemas.openxmlformats.org/drawingml/2006/main">
          <a:lvl1pPr marL="0" indent="0">
            <a:defRPr sz="1100">
              <a:solidFill>
                <a:schemeClr val="lt1"/>
              </a:solidFill>
              <a:latin typeface="+mn-lt"/>
              <a:ea typeface="+mn-ea"/>
              <a:cs typeface="+mn-cs"/>
            </a:defRPr>
          </a:lvl1pPr>
          <a:lvl2pPr marL="457200" indent="0">
            <a:defRPr sz="1100">
              <a:solidFill>
                <a:schemeClr val="lt1"/>
              </a:solidFill>
              <a:latin typeface="+mn-lt"/>
              <a:ea typeface="+mn-ea"/>
              <a:cs typeface="+mn-cs"/>
            </a:defRPr>
          </a:lvl2pPr>
          <a:lvl3pPr marL="914400" indent="0">
            <a:defRPr sz="1100">
              <a:solidFill>
                <a:schemeClr val="lt1"/>
              </a:solidFill>
              <a:latin typeface="+mn-lt"/>
              <a:ea typeface="+mn-ea"/>
              <a:cs typeface="+mn-cs"/>
            </a:defRPr>
          </a:lvl3pPr>
          <a:lvl4pPr marL="1371600" indent="0">
            <a:defRPr sz="1100">
              <a:solidFill>
                <a:schemeClr val="lt1"/>
              </a:solidFill>
              <a:latin typeface="+mn-lt"/>
              <a:ea typeface="+mn-ea"/>
              <a:cs typeface="+mn-cs"/>
            </a:defRPr>
          </a:lvl4pPr>
          <a:lvl5pPr marL="1828800" indent="0">
            <a:defRPr sz="1100">
              <a:solidFill>
                <a:schemeClr val="lt1"/>
              </a:solidFill>
              <a:latin typeface="+mn-lt"/>
              <a:ea typeface="+mn-ea"/>
              <a:cs typeface="+mn-cs"/>
            </a:defRPr>
          </a:lvl5pPr>
          <a:lvl6pPr marL="2286000" indent="0">
            <a:defRPr sz="1100">
              <a:solidFill>
                <a:schemeClr val="lt1"/>
              </a:solidFill>
              <a:latin typeface="+mn-lt"/>
              <a:ea typeface="+mn-ea"/>
              <a:cs typeface="+mn-cs"/>
            </a:defRPr>
          </a:lvl6pPr>
          <a:lvl7pPr marL="2743200" indent="0">
            <a:defRPr sz="1100">
              <a:solidFill>
                <a:schemeClr val="lt1"/>
              </a:solidFill>
              <a:latin typeface="+mn-lt"/>
              <a:ea typeface="+mn-ea"/>
              <a:cs typeface="+mn-cs"/>
            </a:defRPr>
          </a:lvl7pPr>
          <a:lvl8pPr marL="3200400" indent="0">
            <a:defRPr sz="1100">
              <a:solidFill>
                <a:schemeClr val="lt1"/>
              </a:solidFill>
              <a:latin typeface="+mn-lt"/>
              <a:ea typeface="+mn-ea"/>
              <a:cs typeface="+mn-cs"/>
            </a:defRPr>
          </a:lvl8pPr>
          <a:lvl9pPr marL="3657600" indent="0">
            <a:defRPr sz="1100">
              <a:solidFill>
                <a:schemeClr val="lt1"/>
              </a:solidFill>
              <a:latin typeface="+mn-lt"/>
              <a:ea typeface="+mn-ea"/>
              <a:cs typeface="+mn-cs"/>
            </a:defRPr>
          </a:lvl9pPr>
        </a:lstStyle>
        <a:p xmlns:a="http://schemas.openxmlformats.org/drawingml/2006/main">
          <a:endParaRPr lang="en-US"/>
        </a:p>
      </cdr:txBody>
    </cdr:sp>
  </cdr:relSizeAnchor>
</c:userShapes>
</file>

<file path=word/drawings/drawing6.xml><?xml version="1.0" encoding="utf-8"?>
<c:userShapes xmlns:c="http://schemas.openxmlformats.org/drawingml/2006/chart">
  <cdr:relSizeAnchor xmlns:cdr="http://schemas.openxmlformats.org/drawingml/2006/chartDrawing">
    <cdr:from>
      <cdr:x>0.5013</cdr:x>
      <cdr:y>0.00468</cdr:y>
    </cdr:from>
    <cdr:to>
      <cdr:x>0.95534</cdr:x>
      <cdr:y>0.78782</cdr:y>
    </cdr:to>
    <cdr:sp macro="" textlink="">
      <cdr:nvSpPr>
        <cdr:cNvPr id="3" name="Rectangle 2"/>
        <cdr:cNvSpPr/>
      </cdr:nvSpPr>
      <cdr:spPr>
        <a:xfrm xmlns:a="http://schemas.openxmlformats.org/drawingml/2006/main">
          <a:off x="1466850" y="7950"/>
          <a:ext cx="1328551" cy="1330261"/>
        </a:xfrm>
        <a:prstGeom xmlns:a="http://schemas.openxmlformats.org/drawingml/2006/main" prst="rect">
          <a:avLst/>
        </a:prstGeom>
        <a:solidFill xmlns:a="http://schemas.openxmlformats.org/drawingml/2006/main">
          <a:srgbClr val="D8E2F4">
            <a:alpha val="40000"/>
          </a:srgbClr>
        </a:solidFill>
        <a:ln xmlns:a="http://schemas.openxmlformats.org/drawingml/2006/main">
          <a:noFill/>
        </a:ln>
      </cdr:spPr>
      <cdr: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a:lstStyle xmlns:a="http://schemas.openxmlformats.org/drawingml/2006/main">
          <a:lvl1pPr marL="0" indent="0">
            <a:defRPr sz="1100">
              <a:solidFill>
                <a:schemeClr val="lt1"/>
              </a:solidFill>
              <a:latin typeface="+mn-lt"/>
              <a:ea typeface="+mn-ea"/>
              <a:cs typeface="+mn-cs"/>
            </a:defRPr>
          </a:lvl1pPr>
          <a:lvl2pPr marL="457200" indent="0">
            <a:defRPr sz="1100">
              <a:solidFill>
                <a:schemeClr val="lt1"/>
              </a:solidFill>
              <a:latin typeface="+mn-lt"/>
              <a:ea typeface="+mn-ea"/>
              <a:cs typeface="+mn-cs"/>
            </a:defRPr>
          </a:lvl2pPr>
          <a:lvl3pPr marL="914400" indent="0">
            <a:defRPr sz="1100">
              <a:solidFill>
                <a:schemeClr val="lt1"/>
              </a:solidFill>
              <a:latin typeface="+mn-lt"/>
              <a:ea typeface="+mn-ea"/>
              <a:cs typeface="+mn-cs"/>
            </a:defRPr>
          </a:lvl3pPr>
          <a:lvl4pPr marL="1371600" indent="0">
            <a:defRPr sz="1100">
              <a:solidFill>
                <a:schemeClr val="lt1"/>
              </a:solidFill>
              <a:latin typeface="+mn-lt"/>
              <a:ea typeface="+mn-ea"/>
              <a:cs typeface="+mn-cs"/>
            </a:defRPr>
          </a:lvl4pPr>
          <a:lvl5pPr marL="1828800" indent="0">
            <a:defRPr sz="1100">
              <a:solidFill>
                <a:schemeClr val="lt1"/>
              </a:solidFill>
              <a:latin typeface="+mn-lt"/>
              <a:ea typeface="+mn-ea"/>
              <a:cs typeface="+mn-cs"/>
            </a:defRPr>
          </a:lvl5pPr>
          <a:lvl6pPr marL="2286000" indent="0">
            <a:defRPr sz="1100">
              <a:solidFill>
                <a:schemeClr val="lt1"/>
              </a:solidFill>
              <a:latin typeface="+mn-lt"/>
              <a:ea typeface="+mn-ea"/>
              <a:cs typeface="+mn-cs"/>
            </a:defRPr>
          </a:lvl6pPr>
          <a:lvl7pPr marL="2743200" indent="0">
            <a:defRPr sz="1100">
              <a:solidFill>
                <a:schemeClr val="lt1"/>
              </a:solidFill>
              <a:latin typeface="+mn-lt"/>
              <a:ea typeface="+mn-ea"/>
              <a:cs typeface="+mn-cs"/>
            </a:defRPr>
          </a:lvl7pPr>
          <a:lvl8pPr marL="3200400" indent="0">
            <a:defRPr sz="1100">
              <a:solidFill>
                <a:schemeClr val="lt1"/>
              </a:solidFill>
              <a:latin typeface="+mn-lt"/>
              <a:ea typeface="+mn-ea"/>
              <a:cs typeface="+mn-cs"/>
            </a:defRPr>
          </a:lvl8pPr>
          <a:lvl9pPr marL="3657600" indent="0">
            <a:defRPr sz="1100">
              <a:solidFill>
                <a:schemeClr val="lt1"/>
              </a:solidFill>
              <a:latin typeface="+mn-lt"/>
              <a:ea typeface="+mn-ea"/>
              <a:cs typeface="+mn-cs"/>
            </a:defRPr>
          </a:lvl9pPr>
        </a:lstStyle>
        <a:p xmlns:a="http://schemas.openxmlformats.org/drawingml/2006/main">
          <a:endParaRPr lang="en-US"/>
        </a:p>
      </cdr:txBody>
    </cdr:sp>
  </cdr:relSizeAnchor>
</c:userShapes>
</file>

<file path=word/drawings/drawing7.xml><?xml version="1.0" encoding="utf-8"?>
<c:userShapes xmlns:c="http://schemas.openxmlformats.org/drawingml/2006/chart">
  <cdr:relSizeAnchor xmlns:cdr="http://schemas.openxmlformats.org/drawingml/2006/chartDrawing">
    <cdr:from>
      <cdr:x>0.48098</cdr:x>
      <cdr:y>0</cdr:y>
    </cdr:from>
    <cdr:to>
      <cdr:x>0.96018</cdr:x>
      <cdr:y>0.76476</cdr:y>
    </cdr:to>
    <cdr:sp macro="" textlink="">
      <cdr:nvSpPr>
        <cdr:cNvPr id="2" name="Rectangle 1"/>
        <cdr:cNvSpPr/>
      </cdr:nvSpPr>
      <cdr:spPr>
        <a:xfrm xmlns:a="http://schemas.openxmlformats.org/drawingml/2006/main">
          <a:off x="1407381" y="0"/>
          <a:ext cx="1402182" cy="1258734"/>
        </a:xfrm>
        <a:prstGeom xmlns:a="http://schemas.openxmlformats.org/drawingml/2006/main" prst="rect">
          <a:avLst/>
        </a:prstGeom>
        <a:solidFill xmlns:a="http://schemas.openxmlformats.org/drawingml/2006/main">
          <a:srgbClr val="D8E2F4">
            <a:alpha val="45000"/>
          </a:srgbClr>
        </a:solidFill>
        <a:ln xmlns:a="http://schemas.openxmlformats.org/drawingml/2006/main">
          <a:noFill/>
        </a:ln>
      </cdr:spPr>
      <cdr: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a:lstStyle xmlns:a="http://schemas.openxmlformats.org/drawingml/2006/main">
          <a:lvl1pPr marL="0" indent="0">
            <a:defRPr sz="1100">
              <a:solidFill>
                <a:schemeClr val="lt1"/>
              </a:solidFill>
              <a:latin typeface="+mn-lt"/>
              <a:ea typeface="+mn-ea"/>
              <a:cs typeface="+mn-cs"/>
            </a:defRPr>
          </a:lvl1pPr>
          <a:lvl2pPr marL="457200" indent="0">
            <a:defRPr sz="1100">
              <a:solidFill>
                <a:schemeClr val="lt1"/>
              </a:solidFill>
              <a:latin typeface="+mn-lt"/>
              <a:ea typeface="+mn-ea"/>
              <a:cs typeface="+mn-cs"/>
            </a:defRPr>
          </a:lvl2pPr>
          <a:lvl3pPr marL="914400" indent="0">
            <a:defRPr sz="1100">
              <a:solidFill>
                <a:schemeClr val="lt1"/>
              </a:solidFill>
              <a:latin typeface="+mn-lt"/>
              <a:ea typeface="+mn-ea"/>
              <a:cs typeface="+mn-cs"/>
            </a:defRPr>
          </a:lvl3pPr>
          <a:lvl4pPr marL="1371600" indent="0">
            <a:defRPr sz="1100">
              <a:solidFill>
                <a:schemeClr val="lt1"/>
              </a:solidFill>
              <a:latin typeface="+mn-lt"/>
              <a:ea typeface="+mn-ea"/>
              <a:cs typeface="+mn-cs"/>
            </a:defRPr>
          </a:lvl4pPr>
          <a:lvl5pPr marL="1828800" indent="0">
            <a:defRPr sz="1100">
              <a:solidFill>
                <a:schemeClr val="lt1"/>
              </a:solidFill>
              <a:latin typeface="+mn-lt"/>
              <a:ea typeface="+mn-ea"/>
              <a:cs typeface="+mn-cs"/>
            </a:defRPr>
          </a:lvl5pPr>
          <a:lvl6pPr marL="2286000" indent="0">
            <a:defRPr sz="1100">
              <a:solidFill>
                <a:schemeClr val="lt1"/>
              </a:solidFill>
              <a:latin typeface="+mn-lt"/>
              <a:ea typeface="+mn-ea"/>
              <a:cs typeface="+mn-cs"/>
            </a:defRPr>
          </a:lvl6pPr>
          <a:lvl7pPr marL="2743200" indent="0">
            <a:defRPr sz="1100">
              <a:solidFill>
                <a:schemeClr val="lt1"/>
              </a:solidFill>
              <a:latin typeface="+mn-lt"/>
              <a:ea typeface="+mn-ea"/>
              <a:cs typeface="+mn-cs"/>
            </a:defRPr>
          </a:lvl7pPr>
          <a:lvl8pPr marL="3200400" indent="0">
            <a:defRPr sz="1100">
              <a:solidFill>
                <a:schemeClr val="lt1"/>
              </a:solidFill>
              <a:latin typeface="+mn-lt"/>
              <a:ea typeface="+mn-ea"/>
              <a:cs typeface="+mn-cs"/>
            </a:defRPr>
          </a:lvl8pPr>
          <a:lvl9pPr marL="3657600" indent="0">
            <a:defRPr sz="1100">
              <a:solidFill>
                <a:schemeClr val="lt1"/>
              </a:solidFill>
              <a:latin typeface="+mn-lt"/>
              <a:ea typeface="+mn-ea"/>
              <a:cs typeface="+mn-cs"/>
            </a:defRPr>
          </a:lvl9pPr>
        </a:lstStyle>
        <a:p xmlns:a="http://schemas.openxmlformats.org/drawingml/2006/main">
          <a:endParaRPr lang="en-US">
            <a:solidFill>
              <a:schemeClr val="lt1">
                <a:alpha val="40000"/>
              </a:schemeClr>
            </a:solidFill>
          </a:endParaRPr>
        </a:p>
      </cdr:txBody>
    </cdr:sp>
  </cdr:relSizeAnchor>
</c:userShapes>
</file>

<file path=word/drawings/drawing8.xml><?xml version="1.0" encoding="utf-8"?>
<c:userShapes xmlns:c="http://schemas.openxmlformats.org/drawingml/2006/chart">
  <cdr:relSizeAnchor xmlns:cdr="http://schemas.openxmlformats.org/drawingml/2006/chartDrawing">
    <cdr:from>
      <cdr:x>0.47554</cdr:x>
      <cdr:y>0</cdr:y>
    </cdr:from>
    <cdr:to>
      <cdr:x>0.95514</cdr:x>
      <cdr:y>0.7769</cdr:y>
    </cdr:to>
    <cdr:sp macro="" textlink="">
      <cdr:nvSpPr>
        <cdr:cNvPr id="2" name="Rectangle 1"/>
        <cdr:cNvSpPr/>
      </cdr:nvSpPr>
      <cdr:spPr>
        <a:xfrm xmlns:a="http://schemas.openxmlformats.org/drawingml/2006/main">
          <a:off x="1391479" y="0"/>
          <a:ext cx="1403338" cy="1278715"/>
        </a:xfrm>
        <a:prstGeom xmlns:a="http://schemas.openxmlformats.org/drawingml/2006/main" prst="rect">
          <a:avLst/>
        </a:prstGeom>
        <a:solidFill xmlns:a="http://schemas.openxmlformats.org/drawingml/2006/main">
          <a:srgbClr val="D8E2F4">
            <a:alpha val="40000"/>
          </a:srgbClr>
        </a:solidFill>
        <a:ln xmlns:a="http://schemas.openxmlformats.org/drawingml/2006/main">
          <a:noFill/>
        </a:ln>
      </cdr:spPr>
      <cdr: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a:lstStyle xmlns:a="http://schemas.openxmlformats.org/drawingml/2006/main">
          <a:lvl1pPr marL="0" indent="0">
            <a:defRPr sz="1100">
              <a:solidFill>
                <a:schemeClr val="lt1"/>
              </a:solidFill>
              <a:latin typeface="+mn-lt"/>
              <a:ea typeface="+mn-ea"/>
              <a:cs typeface="+mn-cs"/>
            </a:defRPr>
          </a:lvl1pPr>
          <a:lvl2pPr marL="457200" indent="0">
            <a:defRPr sz="1100">
              <a:solidFill>
                <a:schemeClr val="lt1"/>
              </a:solidFill>
              <a:latin typeface="+mn-lt"/>
              <a:ea typeface="+mn-ea"/>
              <a:cs typeface="+mn-cs"/>
            </a:defRPr>
          </a:lvl2pPr>
          <a:lvl3pPr marL="914400" indent="0">
            <a:defRPr sz="1100">
              <a:solidFill>
                <a:schemeClr val="lt1"/>
              </a:solidFill>
              <a:latin typeface="+mn-lt"/>
              <a:ea typeface="+mn-ea"/>
              <a:cs typeface="+mn-cs"/>
            </a:defRPr>
          </a:lvl3pPr>
          <a:lvl4pPr marL="1371600" indent="0">
            <a:defRPr sz="1100">
              <a:solidFill>
                <a:schemeClr val="lt1"/>
              </a:solidFill>
              <a:latin typeface="+mn-lt"/>
              <a:ea typeface="+mn-ea"/>
              <a:cs typeface="+mn-cs"/>
            </a:defRPr>
          </a:lvl4pPr>
          <a:lvl5pPr marL="1828800" indent="0">
            <a:defRPr sz="1100">
              <a:solidFill>
                <a:schemeClr val="lt1"/>
              </a:solidFill>
              <a:latin typeface="+mn-lt"/>
              <a:ea typeface="+mn-ea"/>
              <a:cs typeface="+mn-cs"/>
            </a:defRPr>
          </a:lvl5pPr>
          <a:lvl6pPr marL="2286000" indent="0">
            <a:defRPr sz="1100">
              <a:solidFill>
                <a:schemeClr val="lt1"/>
              </a:solidFill>
              <a:latin typeface="+mn-lt"/>
              <a:ea typeface="+mn-ea"/>
              <a:cs typeface="+mn-cs"/>
            </a:defRPr>
          </a:lvl6pPr>
          <a:lvl7pPr marL="2743200" indent="0">
            <a:defRPr sz="1100">
              <a:solidFill>
                <a:schemeClr val="lt1"/>
              </a:solidFill>
              <a:latin typeface="+mn-lt"/>
              <a:ea typeface="+mn-ea"/>
              <a:cs typeface="+mn-cs"/>
            </a:defRPr>
          </a:lvl7pPr>
          <a:lvl8pPr marL="3200400" indent="0">
            <a:defRPr sz="1100">
              <a:solidFill>
                <a:schemeClr val="lt1"/>
              </a:solidFill>
              <a:latin typeface="+mn-lt"/>
              <a:ea typeface="+mn-ea"/>
              <a:cs typeface="+mn-cs"/>
            </a:defRPr>
          </a:lvl8pPr>
          <a:lvl9pPr marL="3657600" indent="0">
            <a:defRPr sz="1100">
              <a:solidFill>
                <a:schemeClr val="lt1"/>
              </a:solidFill>
              <a:latin typeface="+mn-lt"/>
              <a:ea typeface="+mn-ea"/>
              <a:cs typeface="+mn-cs"/>
            </a:defRPr>
          </a:lvl9pPr>
        </a:lstStyle>
        <a:p xmlns:a="http://schemas.openxmlformats.org/drawingml/2006/main">
          <a:endParaRPr lang="en-US"/>
        </a:p>
      </cdr:txBody>
    </cdr:sp>
  </cdr:relSizeAnchor>
</c:userShapes>
</file>

<file path=word/drawings/drawing9.xml><?xml version="1.0" encoding="utf-8"?>
<c:userShapes xmlns:c="http://schemas.openxmlformats.org/drawingml/2006/chart">
  <cdr:relSizeAnchor xmlns:cdr="http://schemas.openxmlformats.org/drawingml/2006/chartDrawing">
    <cdr:from>
      <cdr:x>0</cdr:x>
      <cdr:y>0</cdr:y>
    </cdr:from>
    <cdr:to>
      <cdr:x>0</cdr:x>
      <cdr:y>0</cdr:y>
    </cdr:to>
    <cdr:sp macro="" textlink="">
      <cdr:nvSpPr>
        <cdr:cNvPr id="2" name="Rectangle 1"/>
        <cdr:cNvSpPr/>
      </cdr:nvSpPr>
      <cdr:spPr>
        <a:xfrm xmlns:a="http://schemas.openxmlformats.org/drawingml/2006/main" flipH="1">
          <a:off x="-149888" y="-2265028"/>
          <a:ext cx="0" cy="0"/>
        </a:xfrm>
        <a:prstGeom xmlns:a="http://schemas.openxmlformats.org/drawingml/2006/main" prst="rect">
          <a:avLst/>
        </a:prstGeom>
        <a:solidFill xmlns:a="http://schemas.openxmlformats.org/drawingml/2006/main">
          <a:schemeClr val="bg1">
            <a:lumMod val="50000"/>
            <a:alpha val="10000"/>
          </a:schemeClr>
        </a:solidFill>
        <a:ln xmlns:a="http://schemas.openxmlformats.org/drawingml/2006/main">
          <a:solidFill>
            <a:schemeClr val="bg1">
              <a:lumMod val="95000"/>
            </a:schemeClr>
          </a:solidFill>
        </a:ln>
      </cdr:spPr>
      <cdr: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a:lstStyle xmlns:a="http://schemas.openxmlformats.org/drawingml/2006/main">
          <a:lvl1pPr marL="0" indent="0">
            <a:defRPr sz="1100">
              <a:solidFill>
                <a:schemeClr val="lt1"/>
              </a:solidFill>
              <a:latin typeface="+mn-lt"/>
              <a:ea typeface="+mn-ea"/>
              <a:cs typeface="+mn-cs"/>
            </a:defRPr>
          </a:lvl1pPr>
          <a:lvl2pPr marL="457200" indent="0">
            <a:defRPr sz="1100">
              <a:solidFill>
                <a:schemeClr val="lt1"/>
              </a:solidFill>
              <a:latin typeface="+mn-lt"/>
              <a:ea typeface="+mn-ea"/>
              <a:cs typeface="+mn-cs"/>
            </a:defRPr>
          </a:lvl2pPr>
          <a:lvl3pPr marL="914400" indent="0">
            <a:defRPr sz="1100">
              <a:solidFill>
                <a:schemeClr val="lt1"/>
              </a:solidFill>
              <a:latin typeface="+mn-lt"/>
              <a:ea typeface="+mn-ea"/>
              <a:cs typeface="+mn-cs"/>
            </a:defRPr>
          </a:lvl3pPr>
          <a:lvl4pPr marL="1371600" indent="0">
            <a:defRPr sz="1100">
              <a:solidFill>
                <a:schemeClr val="lt1"/>
              </a:solidFill>
              <a:latin typeface="+mn-lt"/>
              <a:ea typeface="+mn-ea"/>
              <a:cs typeface="+mn-cs"/>
            </a:defRPr>
          </a:lvl4pPr>
          <a:lvl5pPr marL="1828800" indent="0">
            <a:defRPr sz="1100">
              <a:solidFill>
                <a:schemeClr val="lt1"/>
              </a:solidFill>
              <a:latin typeface="+mn-lt"/>
              <a:ea typeface="+mn-ea"/>
              <a:cs typeface="+mn-cs"/>
            </a:defRPr>
          </a:lvl5pPr>
          <a:lvl6pPr marL="2286000" indent="0">
            <a:defRPr sz="1100">
              <a:solidFill>
                <a:schemeClr val="lt1"/>
              </a:solidFill>
              <a:latin typeface="+mn-lt"/>
              <a:ea typeface="+mn-ea"/>
              <a:cs typeface="+mn-cs"/>
            </a:defRPr>
          </a:lvl6pPr>
          <a:lvl7pPr marL="2743200" indent="0">
            <a:defRPr sz="1100">
              <a:solidFill>
                <a:schemeClr val="lt1"/>
              </a:solidFill>
              <a:latin typeface="+mn-lt"/>
              <a:ea typeface="+mn-ea"/>
              <a:cs typeface="+mn-cs"/>
            </a:defRPr>
          </a:lvl7pPr>
          <a:lvl8pPr marL="3200400" indent="0">
            <a:defRPr sz="1100">
              <a:solidFill>
                <a:schemeClr val="lt1"/>
              </a:solidFill>
              <a:latin typeface="+mn-lt"/>
              <a:ea typeface="+mn-ea"/>
              <a:cs typeface="+mn-cs"/>
            </a:defRPr>
          </a:lvl8pPr>
          <a:lvl9pPr marL="3657600" indent="0">
            <a:defRPr sz="1100">
              <a:solidFill>
                <a:schemeClr val="lt1"/>
              </a:solidFill>
              <a:latin typeface="+mn-lt"/>
              <a:ea typeface="+mn-ea"/>
              <a:cs typeface="+mn-cs"/>
            </a:defRPr>
          </a:lvl9pPr>
        </a:lstStyle>
        <a:p xmlns:a="http://schemas.openxmlformats.org/drawingml/2006/main">
          <a:endParaRPr lang="en-US" dirty="0"/>
        </a:p>
      </cdr:txBody>
    </cdr:sp>
  </cdr:relSizeAnchor>
  <cdr:relSizeAnchor xmlns:cdr="http://schemas.openxmlformats.org/drawingml/2006/chartDrawing">
    <cdr:from>
      <cdr:x>0.40861</cdr:x>
      <cdr:y>0.34357</cdr:y>
    </cdr:from>
    <cdr:to>
      <cdr:x>0.99485</cdr:x>
      <cdr:y>0.59686</cdr:y>
    </cdr:to>
    <cdr:sp macro="" textlink="">
      <cdr:nvSpPr>
        <cdr:cNvPr id="7" name="Oval 6"/>
        <cdr:cNvSpPr/>
      </cdr:nvSpPr>
      <cdr:spPr>
        <a:xfrm xmlns:a="http://schemas.openxmlformats.org/drawingml/2006/main">
          <a:off x="2501798" y="1000077"/>
          <a:ext cx="3589340" cy="737287"/>
        </a:xfrm>
        <a:prstGeom xmlns:a="http://schemas.openxmlformats.org/drawingml/2006/main" prst="ellipse">
          <a:avLst/>
        </a:prstGeom>
        <a:noFill xmlns:a="http://schemas.openxmlformats.org/drawingml/2006/main"/>
        <a:ln xmlns:a="http://schemas.openxmlformats.org/drawingml/2006/main">
          <a:noFill/>
        </a:ln>
      </cdr:spPr>
      <cdr:style>
        <a:lnRef xmlns:a="http://schemas.openxmlformats.org/drawingml/2006/main" idx="2">
          <a:schemeClr val="dk1"/>
        </a:lnRef>
        <a:fillRef xmlns:a="http://schemas.openxmlformats.org/drawingml/2006/main" idx="1">
          <a:schemeClr val="lt1"/>
        </a:fillRef>
        <a:effectRef xmlns:a="http://schemas.openxmlformats.org/drawingml/2006/main" idx="0">
          <a:schemeClr val="dk1"/>
        </a:effectRef>
        <a:fontRef xmlns:a="http://schemas.openxmlformats.org/drawingml/2006/main" idx="minor">
          <a:schemeClr val="dk1"/>
        </a:fontRef>
      </cdr:style>
      <cdr:txBody>
        <a:bodyPr xmlns:a="http://schemas.openxmlformats.org/drawingml/2006/main" rot="0" spcFirstLastPara="0" vert="horz" wrap="square" lIns="91440" tIns="45720" rIns="91440" bIns="45720" numCol="1" spcCol="0" rtlCol="0" fromWordArt="0" anchor="ctr" anchorCtr="0" forceAA="0" compatLnSpc="1">
          <a:prstTxWarp prst="textNoShape">
            <a:avLst/>
          </a:prstTxWarp>
          <a:noAutofit/>
        </a:bodyPr>
        <a:lstStyle xmlns:a="http://schemas.openxmlformats.org/drawingml/2006/main">
          <a:defPPr>
            <a:defRPr lang="en-US"/>
          </a:defPPr>
          <a:lvl1pPr marL="0" algn="l" defTabSz="914400" rtl="0" eaLnBrk="1" latinLnBrk="0" hangingPunct="1">
            <a:defRPr sz="1800" kern="1200">
              <a:solidFill>
                <a:schemeClr val="dk1"/>
              </a:solidFill>
              <a:latin typeface="+mn-lt"/>
              <a:ea typeface="+mn-ea"/>
              <a:cs typeface="+mn-cs"/>
            </a:defRPr>
          </a:lvl1pPr>
          <a:lvl2pPr marL="457200" algn="l" defTabSz="914400" rtl="0" eaLnBrk="1" latinLnBrk="0" hangingPunct="1">
            <a:defRPr sz="1800" kern="1200">
              <a:solidFill>
                <a:schemeClr val="dk1"/>
              </a:solidFill>
              <a:latin typeface="+mn-lt"/>
              <a:ea typeface="+mn-ea"/>
              <a:cs typeface="+mn-cs"/>
            </a:defRPr>
          </a:lvl2pPr>
          <a:lvl3pPr marL="914400" algn="l" defTabSz="914400" rtl="0" eaLnBrk="1" latinLnBrk="0" hangingPunct="1">
            <a:defRPr sz="1800" kern="1200">
              <a:solidFill>
                <a:schemeClr val="dk1"/>
              </a:solidFill>
              <a:latin typeface="+mn-lt"/>
              <a:ea typeface="+mn-ea"/>
              <a:cs typeface="+mn-cs"/>
            </a:defRPr>
          </a:lvl3pPr>
          <a:lvl4pPr marL="1371600" algn="l" defTabSz="914400" rtl="0" eaLnBrk="1" latinLnBrk="0" hangingPunct="1">
            <a:defRPr sz="1800" kern="1200">
              <a:solidFill>
                <a:schemeClr val="dk1"/>
              </a:solidFill>
              <a:latin typeface="+mn-lt"/>
              <a:ea typeface="+mn-ea"/>
              <a:cs typeface="+mn-cs"/>
            </a:defRPr>
          </a:lvl4pPr>
          <a:lvl5pPr marL="1828800" algn="l" defTabSz="914400" rtl="0" eaLnBrk="1" latinLnBrk="0" hangingPunct="1">
            <a:defRPr sz="1800" kern="1200">
              <a:solidFill>
                <a:schemeClr val="dk1"/>
              </a:solidFill>
              <a:latin typeface="+mn-lt"/>
              <a:ea typeface="+mn-ea"/>
              <a:cs typeface="+mn-cs"/>
            </a:defRPr>
          </a:lvl5pPr>
          <a:lvl6pPr marL="2286000" algn="l" defTabSz="914400" rtl="0" eaLnBrk="1" latinLnBrk="0" hangingPunct="1">
            <a:defRPr sz="1800" kern="1200">
              <a:solidFill>
                <a:schemeClr val="dk1"/>
              </a:solidFill>
              <a:latin typeface="+mn-lt"/>
              <a:ea typeface="+mn-ea"/>
              <a:cs typeface="+mn-cs"/>
            </a:defRPr>
          </a:lvl6pPr>
          <a:lvl7pPr marL="2743200" algn="l" defTabSz="914400" rtl="0" eaLnBrk="1" latinLnBrk="0" hangingPunct="1">
            <a:defRPr sz="1800" kern="1200">
              <a:solidFill>
                <a:schemeClr val="dk1"/>
              </a:solidFill>
              <a:latin typeface="+mn-lt"/>
              <a:ea typeface="+mn-ea"/>
              <a:cs typeface="+mn-cs"/>
            </a:defRPr>
          </a:lvl7pPr>
          <a:lvl8pPr marL="3200400" algn="l" defTabSz="914400" rtl="0" eaLnBrk="1" latinLnBrk="0" hangingPunct="1">
            <a:defRPr sz="1800" kern="1200">
              <a:solidFill>
                <a:schemeClr val="dk1"/>
              </a:solidFill>
              <a:latin typeface="+mn-lt"/>
              <a:ea typeface="+mn-ea"/>
              <a:cs typeface="+mn-cs"/>
            </a:defRPr>
          </a:lvl8pPr>
          <a:lvl9pPr marL="3657600" algn="l" defTabSz="914400" rtl="0" eaLnBrk="1" latinLnBrk="0" hangingPunct="1">
            <a:defRPr sz="1800" kern="1200">
              <a:solidFill>
                <a:schemeClr val="dk1"/>
              </a:solidFill>
              <a:latin typeface="+mn-lt"/>
              <a:ea typeface="+mn-ea"/>
              <a:cs typeface="+mn-cs"/>
            </a:defRPr>
          </a:lvl9pPr>
        </a:lstStyle>
        <a:p xmlns:a="http://schemas.openxmlformats.org/drawingml/2006/main">
          <a:pPr algn="ctr"/>
          <a:r>
            <a:rPr lang="hy-AM" sz="1200" dirty="0">
              <a:solidFill>
                <a:schemeClr val="accent2">
                  <a:lumMod val="75000"/>
                </a:schemeClr>
              </a:solidFill>
            </a:rPr>
            <a:t>2021-2026թթ. կառավարության թիրախ՝ 7.0</a:t>
          </a:r>
          <a:r>
            <a:rPr lang="en-US" sz="1200" dirty="0">
              <a:solidFill>
                <a:schemeClr val="accent2">
                  <a:lumMod val="75000"/>
                </a:schemeClr>
              </a:solidFill>
            </a:rPr>
            <a:t>%</a:t>
          </a:r>
          <a:r>
            <a:rPr lang="hy-AM" sz="1200" dirty="0">
              <a:solidFill>
                <a:schemeClr val="accent2">
                  <a:lumMod val="75000"/>
                </a:schemeClr>
              </a:solidFill>
            </a:rPr>
            <a:t> տնտեսական աճ</a:t>
          </a:r>
          <a:endParaRPr lang="en-US" sz="1200" dirty="0">
            <a:solidFill>
              <a:schemeClr val="accent2">
                <a:lumMod val="75000"/>
              </a:schemeClr>
            </a:solidFill>
          </a:endParaRPr>
        </a:p>
      </cdr:txBody>
    </cdr:sp>
  </cdr:relSizeAnchor>
  <cdr:relSizeAnchor xmlns:cdr="http://schemas.openxmlformats.org/drawingml/2006/chartDrawing">
    <cdr:from>
      <cdr:x>0.14808</cdr:x>
      <cdr:y>0.03657</cdr:y>
    </cdr:from>
    <cdr:to>
      <cdr:x>0.74623</cdr:x>
      <cdr:y>0.30628</cdr:y>
    </cdr:to>
    <cdr:sp macro="" textlink="">
      <cdr:nvSpPr>
        <cdr:cNvPr id="4" name="Oval 3"/>
        <cdr:cNvSpPr/>
      </cdr:nvSpPr>
      <cdr:spPr>
        <a:xfrm xmlns:a="http://schemas.openxmlformats.org/drawingml/2006/main">
          <a:off x="910611" y="106449"/>
          <a:ext cx="3678188" cy="785091"/>
        </a:xfrm>
        <a:prstGeom xmlns:a="http://schemas.openxmlformats.org/drawingml/2006/main" prst="ellipse">
          <a:avLst/>
        </a:prstGeom>
        <a:noFill xmlns:a="http://schemas.openxmlformats.org/drawingml/2006/main"/>
        <a:ln xmlns:a="http://schemas.openxmlformats.org/drawingml/2006/main">
          <a:noFill/>
        </a:ln>
      </cdr:spPr>
      <cdr:style>
        <a:lnRef xmlns:a="http://schemas.openxmlformats.org/drawingml/2006/main" idx="2">
          <a:schemeClr val="dk1"/>
        </a:lnRef>
        <a:fillRef xmlns:a="http://schemas.openxmlformats.org/drawingml/2006/main" idx="1">
          <a:schemeClr val="lt1"/>
        </a:fillRef>
        <a:effectRef xmlns:a="http://schemas.openxmlformats.org/drawingml/2006/main" idx="0">
          <a:schemeClr val="dk1"/>
        </a:effectRef>
        <a:fontRef xmlns:a="http://schemas.openxmlformats.org/drawingml/2006/main" idx="minor">
          <a:schemeClr val="dk1"/>
        </a:fontRef>
      </cdr:style>
      <cdr:txBody>
        <a:bodyPr xmlns:a="http://schemas.openxmlformats.org/drawingml/2006/main" rtlCol="0" anchor="ctr"/>
        <a:lstStyle xmlns:a="http://schemas.openxmlformats.org/drawingml/2006/main">
          <a:defPPr>
            <a:defRPr lang="en-US"/>
          </a:defPPr>
          <a:lvl1pPr marL="0" algn="l" defTabSz="914400" rtl="0" eaLnBrk="1" latinLnBrk="0" hangingPunct="1">
            <a:defRPr sz="1800" kern="1200">
              <a:solidFill>
                <a:schemeClr val="dk1"/>
              </a:solidFill>
              <a:latin typeface="+mn-lt"/>
              <a:ea typeface="+mn-ea"/>
              <a:cs typeface="+mn-cs"/>
            </a:defRPr>
          </a:lvl1pPr>
          <a:lvl2pPr marL="457200" algn="l" defTabSz="914400" rtl="0" eaLnBrk="1" latinLnBrk="0" hangingPunct="1">
            <a:defRPr sz="1800" kern="1200">
              <a:solidFill>
                <a:schemeClr val="dk1"/>
              </a:solidFill>
              <a:latin typeface="+mn-lt"/>
              <a:ea typeface="+mn-ea"/>
              <a:cs typeface="+mn-cs"/>
            </a:defRPr>
          </a:lvl2pPr>
          <a:lvl3pPr marL="914400" algn="l" defTabSz="914400" rtl="0" eaLnBrk="1" latinLnBrk="0" hangingPunct="1">
            <a:defRPr sz="1800" kern="1200">
              <a:solidFill>
                <a:schemeClr val="dk1"/>
              </a:solidFill>
              <a:latin typeface="+mn-lt"/>
              <a:ea typeface="+mn-ea"/>
              <a:cs typeface="+mn-cs"/>
            </a:defRPr>
          </a:lvl3pPr>
          <a:lvl4pPr marL="1371600" algn="l" defTabSz="914400" rtl="0" eaLnBrk="1" latinLnBrk="0" hangingPunct="1">
            <a:defRPr sz="1800" kern="1200">
              <a:solidFill>
                <a:schemeClr val="dk1"/>
              </a:solidFill>
              <a:latin typeface="+mn-lt"/>
              <a:ea typeface="+mn-ea"/>
              <a:cs typeface="+mn-cs"/>
            </a:defRPr>
          </a:lvl4pPr>
          <a:lvl5pPr marL="1828800" algn="l" defTabSz="914400" rtl="0" eaLnBrk="1" latinLnBrk="0" hangingPunct="1">
            <a:defRPr sz="1800" kern="1200">
              <a:solidFill>
                <a:schemeClr val="dk1"/>
              </a:solidFill>
              <a:latin typeface="+mn-lt"/>
              <a:ea typeface="+mn-ea"/>
              <a:cs typeface="+mn-cs"/>
            </a:defRPr>
          </a:lvl5pPr>
          <a:lvl6pPr marL="2286000" algn="l" defTabSz="914400" rtl="0" eaLnBrk="1" latinLnBrk="0" hangingPunct="1">
            <a:defRPr sz="1800" kern="1200">
              <a:solidFill>
                <a:schemeClr val="dk1"/>
              </a:solidFill>
              <a:latin typeface="+mn-lt"/>
              <a:ea typeface="+mn-ea"/>
              <a:cs typeface="+mn-cs"/>
            </a:defRPr>
          </a:lvl6pPr>
          <a:lvl7pPr marL="2743200" algn="l" defTabSz="914400" rtl="0" eaLnBrk="1" latinLnBrk="0" hangingPunct="1">
            <a:defRPr sz="1800" kern="1200">
              <a:solidFill>
                <a:schemeClr val="dk1"/>
              </a:solidFill>
              <a:latin typeface="+mn-lt"/>
              <a:ea typeface="+mn-ea"/>
              <a:cs typeface="+mn-cs"/>
            </a:defRPr>
          </a:lvl7pPr>
          <a:lvl8pPr marL="3200400" algn="l" defTabSz="914400" rtl="0" eaLnBrk="1" latinLnBrk="0" hangingPunct="1">
            <a:defRPr sz="1800" kern="1200">
              <a:solidFill>
                <a:schemeClr val="dk1"/>
              </a:solidFill>
              <a:latin typeface="+mn-lt"/>
              <a:ea typeface="+mn-ea"/>
              <a:cs typeface="+mn-cs"/>
            </a:defRPr>
          </a:lvl8pPr>
          <a:lvl9pPr marL="3657600" algn="l" defTabSz="914400" rtl="0" eaLnBrk="1" latinLnBrk="0" hangingPunct="1">
            <a:defRPr sz="1800" kern="1200">
              <a:solidFill>
                <a:schemeClr val="dk1"/>
              </a:solidFill>
              <a:latin typeface="+mn-lt"/>
              <a:ea typeface="+mn-ea"/>
              <a:cs typeface="+mn-cs"/>
            </a:defRPr>
          </a:lvl9pPr>
        </a:lstStyle>
        <a:p xmlns:a="http://schemas.openxmlformats.org/drawingml/2006/main">
          <a:pPr marL="0" marR="0" lvl="0" indent="0" algn="ctr" defTabSz="914400" rtl="0" eaLnBrk="1" fontAlgn="auto" latinLnBrk="0" hangingPunct="1">
            <a:lnSpc>
              <a:spcPct val="100000"/>
            </a:lnSpc>
            <a:spcBef>
              <a:spcPts val="0"/>
            </a:spcBef>
            <a:spcAft>
              <a:spcPts val="0"/>
            </a:spcAft>
            <a:buClrTx/>
            <a:buSzTx/>
            <a:buFontTx/>
            <a:buNone/>
            <a:tabLst/>
            <a:defRPr/>
          </a:pPr>
          <a:r>
            <a:rPr kumimoji="0" lang="hy-AM" sz="1200" b="0" i="0" u="none" strike="noStrike" kern="1200" cap="none" spc="0" normalizeH="0" baseline="0" noProof="0" dirty="0">
              <a:ln>
                <a:noFill/>
              </a:ln>
              <a:solidFill>
                <a:srgbClr val="4472C4">
                  <a:lumMod val="75000"/>
                </a:srgbClr>
              </a:solidFill>
              <a:effectLst/>
              <a:uLnTx/>
              <a:uFillTx/>
              <a:latin typeface="+mn-lt"/>
              <a:ea typeface="+mn-ea"/>
              <a:cs typeface="+mn-cs"/>
            </a:rPr>
            <a:t>2021-2026թթ. կանխատեսվող սցենար՝ միջինում </a:t>
          </a:r>
          <a:r>
            <a:rPr kumimoji="0" lang="hy-AM" sz="1200" b="0" i="0" u="none" strike="noStrike" kern="1200" cap="none" spc="0" normalizeH="0" baseline="0" noProof="0" dirty="0">
              <a:ln>
                <a:noFill/>
              </a:ln>
              <a:solidFill>
                <a:srgbClr val="4472C4">
                  <a:lumMod val="75000"/>
                </a:srgbClr>
              </a:solidFill>
              <a:effectLst/>
              <a:uLnTx/>
              <a:uFillTx/>
              <a:latin typeface="Arial (Body)"/>
              <a:ea typeface="+mn-ea"/>
              <a:cs typeface="+mn-cs"/>
            </a:rPr>
            <a:t>7.2</a:t>
          </a:r>
          <a:r>
            <a:rPr kumimoji="0" lang="en-US" sz="1200" b="0" i="0" u="none" strike="noStrike" kern="1200" cap="none" spc="0" normalizeH="0" baseline="0" noProof="0" dirty="0">
              <a:ln>
                <a:noFill/>
              </a:ln>
              <a:solidFill>
                <a:srgbClr val="4472C4">
                  <a:lumMod val="75000"/>
                </a:srgbClr>
              </a:solidFill>
              <a:effectLst/>
              <a:uLnTx/>
              <a:uFillTx/>
              <a:latin typeface="+mn-lt"/>
              <a:ea typeface="+mn-ea"/>
              <a:cs typeface="+mn-cs"/>
            </a:rPr>
            <a:t>%</a:t>
          </a:r>
          <a:r>
            <a:rPr kumimoji="0" lang="hy-AM" sz="1200" b="0" i="0" u="none" strike="noStrike" kern="1200" cap="none" spc="0" normalizeH="0" baseline="0" noProof="0" dirty="0">
              <a:ln>
                <a:noFill/>
              </a:ln>
              <a:solidFill>
                <a:srgbClr val="4472C4">
                  <a:lumMod val="75000"/>
                </a:srgbClr>
              </a:solidFill>
              <a:effectLst/>
              <a:uLnTx/>
              <a:uFillTx/>
              <a:latin typeface="+mn-lt"/>
              <a:ea typeface="+mn-ea"/>
              <a:cs typeface="+mn-cs"/>
            </a:rPr>
            <a:t> </a:t>
          </a:r>
          <a:r>
            <a:rPr kumimoji="0" lang="hy-AM" sz="1200" b="0" i="0" u="none" strike="noStrike" kern="1200" cap="none" spc="0" normalizeH="0" baseline="0" noProof="0" dirty="0">
              <a:ln>
                <a:noFill/>
              </a:ln>
              <a:solidFill>
                <a:srgbClr val="4472C4">
                  <a:lumMod val="75000"/>
                </a:srgbClr>
              </a:solidFill>
              <a:effectLst/>
              <a:uLnTx/>
              <a:uFillTx/>
              <a:latin typeface="Arial" panose="020B0604020202020204" pitchFamily="34" charset="0"/>
              <a:ea typeface="+mn-ea"/>
              <a:cs typeface="+mn-cs"/>
            </a:rPr>
            <a:t>տնտեսական աճ</a:t>
          </a:r>
          <a:endParaRPr kumimoji="0" lang="en-US" sz="1200" b="0" i="0" u="none" strike="noStrike" kern="1200" cap="none" spc="0" normalizeH="0" baseline="0" noProof="0" dirty="0">
            <a:ln>
              <a:noFill/>
            </a:ln>
            <a:solidFill>
              <a:srgbClr val="4472C4">
                <a:lumMod val="75000"/>
              </a:srgbClr>
            </a:solidFill>
            <a:effectLst/>
            <a:uLnTx/>
            <a:uFillTx/>
            <a:latin typeface="Calibri" panose="020F0502020204030204"/>
            <a:ea typeface="+mn-ea"/>
            <a:cs typeface="+mn-cs"/>
          </a:endParaRPr>
        </a:p>
      </cdr:txBody>
    </cdr:sp>
  </cdr:relSizeAnchor>
</c:userShapes>
</file>

<file path=word/drawings/drawing10.xml><?xml version="1.0" encoding="utf-8"?>
<c:userShapes xmlns:c="http://schemas.openxmlformats.org/drawingml/2006/chart">
  <cdr:relSizeAnchor xmlns:cdr="http://schemas.openxmlformats.org/drawingml/2006/chartDrawing">
    <cdr:from>
      <cdr:x>0.5203</cdr:x>
      <cdr:y>0</cdr:y>
    </cdr:from>
    <cdr:to>
      <cdr:x>1</cdr:x>
      <cdr:y>0.6691</cdr:y>
    </cdr:to>
    <cdr:sp macro="" textlink="">
      <cdr:nvSpPr>
        <cdr:cNvPr id="2" name="Rectangle 1"/>
        <cdr:cNvSpPr/>
      </cdr:nvSpPr>
      <cdr:spPr>
        <a:xfrm xmlns:a="http://schemas.openxmlformats.org/drawingml/2006/main">
          <a:off x="1562100" y="0"/>
          <a:ext cx="1440180" cy="1685918"/>
        </a:xfrm>
        <a:prstGeom xmlns:a="http://schemas.openxmlformats.org/drawingml/2006/main" prst="rect">
          <a:avLst/>
        </a:prstGeom>
        <a:solidFill xmlns:a="http://schemas.openxmlformats.org/drawingml/2006/main">
          <a:srgbClr val="D8E2F4">
            <a:alpha val="50000"/>
          </a:srgbClr>
        </a:solidFill>
        <a:ln xmlns:a="http://schemas.openxmlformats.org/drawingml/2006/main">
          <a:noFill/>
        </a:ln>
      </cdr:spPr>
      <cdr:styl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minor">
          <a:schemeClr val="lt1"/>
        </a:fontRef>
      </cdr:style>
      <cdr:txBody>
        <a:bodyPr xmlns:a="http://schemas.openxmlformats.org/drawingml/2006/main"/>
        <a:lstStyle xmlns:a="http://schemas.openxmlformats.org/drawingml/2006/main">
          <a:lvl1pPr marL="0" indent="0">
            <a:defRPr sz="1100">
              <a:solidFill>
                <a:schemeClr val="lt1"/>
              </a:solidFill>
              <a:latin typeface="+mn-lt"/>
              <a:ea typeface="+mn-ea"/>
              <a:cs typeface="+mn-cs"/>
            </a:defRPr>
          </a:lvl1pPr>
          <a:lvl2pPr marL="457200" indent="0">
            <a:defRPr sz="1100">
              <a:solidFill>
                <a:schemeClr val="lt1"/>
              </a:solidFill>
              <a:latin typeface="+mn-lt"/>
              <a:ea typeface="+mn-ea"/>
              <a:cs typeface="+mn-cs"/>
            </a:defRPr>
          </a:lvl2pPr>
          <a:lvl3pPr marL="914400" indent="0">
            <a:defRPr sz="1100">
              <a:solidFill>
                <a:schemeClr val="lt1"/>
              </a:solidFill>
              <a:latin typeface="+mn-lt"/>
              <a:ea typeface="+mn-ea"/>
              <a:cs typeface="+mn-cs"/>
            </a:defRPr>
          </a:lvl3pPr>
          <a:lvl4pPr marL="1371600" indent="0">
            <a:defRPr sz="1100">
              <a:solidFill>
                <a:schemeClr val="lt1"/>
              </a:solidFill>
              <a:latin typeface="+mn-lt"/>
              <a:ea typeface="+mn-ea"/>
              <a:cs typeface="+mn-cs"/>
            </a:defRPr>
          </a:lvl4pPr>
          <a:lvl5pPr marL="1828800" indent="0">
            <a:defRPr sz="1100">
              <a:solidFill>
                <a:schemeClr val="lt1"/>
              </a:solidFill>
              <a:latin typeface="+mn-lt"/>
              <a:ea typeface="+mn-ea"/>
              <a:cs typeface="+mn-cs"/>
            </a:defRPr>
          </a:lvl5pPr>
          <a:lvl6pPr marL="2286000" indent="0">
            <a:defRPr sz="1100">
              <a:solidFill>
                <a:schemeClr val="lt1"/>
              </a:solidFill>
              <a:latin typeface="+mn-lt"/>
              <a:ea typeface="+mn-ea"/>
              <a:cs typeface="+mn-cs"/>
            </a:defRPr>
          </a:lvl6pPr>
          <a:lvl7pPr marL="2743200" indent="0">
            <a:defRPr sz="1100">
              <a:solidFill>
                <a:schemeClr val="lt1"/>
              </a:solidFill>
              <a:latin typeface="+mn-lt"/>
              <a:ea typeface="+mn-ea"/>
              <a:cs typeface="+mn-cs"/>
            </a:defRPr>
          </a:lvl7pPr>
          <a:lvl8pPr marL="3200400" indent="0">
            <a:defRPr sz="1100">
              <a:solidFill>
                <a:schemeClr val="lt1"/>
              </a:solidFill>
              <a:latin typeface="+mn-lt"/>
              <a:ea typeface="+mn-ea"/>
              <a:cs typeface="+mn-cs"/>
            </a:defRPr>
          </a:lvl8pPr>
          <a:lvl9pPr marL="3657600" indent="0">
            <a:defRPr sz="1100">
              <a:solidFill>
                <a:schemeClr val="lt1"/>
              </a:solidFill>
              <a:latin typeface="+mn-lt"/>
              <a:ea typeface="+mn-ea"/>
              <a:cs typeface="+mn-cs"/>
            </a:defRPr>
          </a:lvl9pPr>
        </a:lstStyle>
        <a:p xmlns:a="http://schemas.openxmlformats.org/drawingml/2006/main">
          <a:endParaRPr lang="en-US"/>
        </a:p>
      </cdr:txBody>
    </cdr:sp>
  </cdr:relSizeAnchor>
</c:userShapes>
</file>

<file path=word/drawings/drawing11.xml><?xml version="1.0" encoding="utf-8"?>
<c:userShapes xmlns:c="http://schemas.openxmlformats.org/drawingml/2006/chart">
  <cdr:relSizeAnchor xmlns:cdr="http://schemas.openxmlformats.org/drawingml/2006/chartDrawing">
    <cdr:from>
      <cdr:x>0.53944</cdr:x>
      <cdr:y>0</cdr:y>
    </cdr:from>
    <cdr:to>
      <cdr:x>1</cdr:x>
      <cdr:y>0.79245</cdr:y>
    </cdr:to>
    <cdr:sp macro="" textlink="">
      <cdr:nvSpPr>
        <cdr:cNvPr id="2" name="Rectangle 1"/>
        <cdr:cNvSpPr/>
      </cdr:nvSpPr>
      <cdr:spPr>
        <a:xfrm xmlns:a="http://schemas.openxmlformats.org/drawingml/2006/main">
          <a:off x="1615440" y="0"/>
          <a:ext cx="1379220" cy="1866893"/>
        </a:xfrm>
        <a:prstGeom xmlns:a="http://schemas.openxmlformats.org/drawingml/2006/main" prst="rect">
          <a:avLst/>
        </a:prstGeom>
        <a:solidFill xmlns:a="http://schemas.openxmlformats.org/drawingml/2006/main">
          <a:srgbClr val="D8E2F4">
            <a:alpha val="50000"/>
          </a:srgbClr>
        </a:solidFill>
        <a:ln xmlns:a="http://schemas.openxmlformats.org/drawingml/2006/main">
          <a:noFill/>
        </a:ln>
      </cdr:spPr>
      <cdr:styl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minor">
          <a:schemeClr val="lt1"/>
        </a:fontRef>
      </cdr:style>
      <cdr:txBody>
        <a:bodyPr xmlns:a="http://schemas.openxmlformats.org/drawingml/2006/main"/>
        <a:lstStyle xmlns:a="http://schemas.openxmlformats.org/drawingml/2006/main">
          <a:lvl1pPr marL="0" indent="0">
            <a:defRPr sz="1100">
              <a:solidFill>
                <a:schemeClr val="lt1"/>
              </a:solidFill>
              <a:latin typeface="+mn-lt"/>
              <a:ea typeface="+mn-ea"/>
              <a:cs typeface="+mn-cs"/>
            </a:defRPr>
          </a:lvl1pPr>
          <a:lvl2pPr marL="457200" indent="0">
            <a:defRPr sz="1100">
              <a:solidFill>
                <a:schemeClr val="lt1"/>
              </a:solidFill>
              <a:latin typeface="+mn-lt"/>
              <a:ea typeface="+mn-ea"/>
              <a:cs typeface="+mn-cs"/>
            </a:defRPr>
          </a:lvl2pPr>
          <a:lvl3pPr marL="914400" indent="0">
            <a:defRPr sz="1100">
              <a:solidFill>
                <a:schemeClr val="lt1"/>
              </a:solidFill>
              <a:latin typeface="+mn-lt"/>
              <a:ea typeface="+mn-ea"/>
              <a:cs typeface="+mn-cs"/>
            </a:defRPr>
          </a:lvl3pPr>
          <a:lvl4pPr marL="1371600" indent="0">
            <a:defRPr sz="1100">
              <a:solidFill>
                <a:schemeClr val="lt1"/>
              </a:solidFill>
              <a:latin typeface="+mn-lt"/>
              <a:ea typeface="+mn-ea"/>
              <a:cs typeface="+mn-cs"/>
            </a:defRPr>
          </a:lvl4pPr>
          <a:lvl5pPr marL="1828800" indent="0">
            <a:defRPr sz="1100">
              <a:solidFill>
                <a:schemeClr val="lt1"/>
              </a:solidFill>
              <a:latin typeface="+mn-lt"/>
              <a:ea typeface="+mn-ea"/>
              <a:cs typeface="+mn-cs"/>
            </a:defRPr>
          </a:lvl5pPr>
          <a:lvl6pPr marL="2286000" indent="0">
            <a:defRPr sz="1100">
              <a:solidFill>
                <a:schemeClr val="lt1"/>
              </a:solidFill>
              <a:latin typeface="+mn-lt"/>
              <a:ea typeface="+mn-ea"/>
              <a:cs typeface="+mn-cs"/>
            </a:defRPr>
          </a:lvl6pPr>
          <a:lvl7pPr marL="2743200" indent="0">
            <a:defRPr sz="1100">
              <a:solidFill>
                <a:schemeClr val="lt1"/>
              </a:solidFill>
              <a:latin typeface="+mn-lt"/>
              <a:ea typeface="+mn-ea"/>
              <a:cs typeface="+mn-cs"/>
            </a:defRPr>
          </a:lvl7pPr>
          <a:lvl8pPr marL="3200400" indent="0">
            <a:defRPr sz="1100">
              <a:solidFill>
                <a:schemeClr val="lt1"/>
              </a:solidFill>
              <a:latin typeface="+mn-lt"/>
              <a:ea typeface="+mn-ea"/>
              <a:cs typeface="+mn-cs"/>
            </a:defRPr>
          </a:lvl8pPr>
          <a:lvl9pPr marL="3657600" indent="0">
            <a:defRPr sz="1100">
              <a:solidFill>
                <a:schemeClr val="lt1"/>
              </a:solidFill>
              <a:latin typeface="+mn-lt"/>
              <a:ea typeface="+mn-ea"/>
              <a:cs typeface="+mn-cs"/>
            </a:defRPr>
          </a:lvl9pPr>
        </a:lstStyle>
        <a:p xmlns:a="http://schemas.openxmlformats.org/drawingml/2006/main">
          <a:endParaRPr lang="en-US"/>
        </a:p>
      </cdr:txBody>
    </cdr:sp>
  </cdr:relSizeAnchor>
</c:userShapes>
</file>

<file path=word/drawings/drawing12.xml><?xml version="1.0" encoding="utf-8"?>
<c:userShapes xmlns:c="http://schemas.openxmlformats.org/drawingml/2006/chart">
  <cdr:relSizeAnchor xmlns:cdr="http://schemas.openxmlformats.org/drawingml/2006/chartDrawing">
    <cdr:from>
      <cdr:x>0.56559</cdr:x>
      <cdr:y>0</cdr:y>
    </cdr:from>
    <cdr:to>
      <cdr:x>0.98874</cdr:x>
      <cdr:y>0.71069</cdr:y>
    </cdr:to>
    <cdr:sp macro="" textlink="">
      <cdr:nvSpPr>
        <cdr:cNvPr id="2" name="Rectangle 1"/>
        <cdr:cNvSpPr/>
      </cdr:nvSpPr>
      <cdr:spPr>
        <a:xfrm xmlns:a="http://schemas.openxmlformats.org/drawingml/2006/main">
          <a:off x="1722120" y="0"/>
          <a:ext cx="1288420" cy="1821399"/>
        </a:xfrm>
        <a:prstGeom xmlns:a="http://schemas.openxmlformats.org/drawingml/2006/main" prst="rect">
          <a:avLst/>
        </a:prstGeom>
        <a:solidFill xmlns:a="http://schemas.openxmlformats.org/drawingml/2006/main">
          <a:srgbClr val="D8E2F4">
            <a:alpha val="50000"/>
          </a:srgbClr>
        </a:solidFill>
        <a:ln xmlns:a="http://schemas.openxmlformats.org/drawingml/2006/main">
          <a:noFill/>
        </a:ln>
      </cdr:spPr>
      <cdr:styl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minor">
          <a:schemeClr val="lt1"/>
        </a:fontRef>
      </cdr:style>
      <cdr:txBody>
        <a:bodyPr xmlns:a="http://schemas.openxmlformats.org/drawingml/2006/main"/>
        <a:lstStyle xmlns:a="http://schemas.openxmlformats.org/drawingml/2006/main">
          <a:lvl1pPr marL="0" indent="0">
            <a:defRPr sz="1100">
              <a:solidFill>
                <a:schemeClr val="lt1"/>
              </a:solidFill>
              <a:latin typeface="+mn-lt"/>
              <a:ea typeface="+mn-ea"/>
              <a:cs typeface="+mn-cs"/>
            </a:defRPr>
          </a:lvl1pPr>
          <a:lvl2pPr marL="457200" indent="0">
            <a:defRPr sz="1100">
              <a:solidFill>
                <a:schemeClr val="lt1"/>
              </a:solidFill>
              <a:latin typeface="+mn-lt"/>
              <a:ea typeface="+mn-ea"/>
              <a:cs typeface="+mn-cs"/>
            </a:defRPr>
          </a:lvl2pPr>
          <a:lvl3pPr marL="914400" indent="0">
            <a:defRPr sz="1100">
              <a:solidFill>
                <a:schemeClr val="lt1"/>
              </a:solidFill>
              <a:latin typeface="+mn-lt"/>
              <a:ea typeface="+mn-ea"/>
              <a:cs typeface="+mn-cs"/>
            </a:defRPr>
          </a:lvl3pPr>
          <a:lvl4pPr marL="1371600" indent="0">
            <a:defRPr sz="1100">
              <a:solidFill>
                <a:schemeClr val="lt1"/>
              </a:solidFill>
              <a:latin typeface="+mn-lt"/>
              <a:ea typeface="+mn-ea"/>
              <a:cs typeface="+mn-cs"/>
            </a:defRPr>
          </a:lvl4pPr>
          <a:lvl5pPr marL="1828800" indent="0">
            <a:defRPr sz="1100">
              <a:solidFill>
                <a:schemeClr val="lt1"/>
              </a:solidFill>
              <a:latin typeface="+mn-lt"/>
              <a:ea typeface="+mn-ea"/>
              <a:cs typeface="+mn-cs"/>
            </a:defRPr>
          </a:lvl5pPr>
          <a:lvl6pPr marL="2286000" indent="0">
            <a:defRPr sz="1100">
              <a:solidFill>
                <a:schemeClr val="lt1"/>
              </a:solidFill>
              <a:latin typeface="+mn-lt"/>
              <a:ea typeface="+mn-ea"/>
              <a:cs typeface="+mn-cs"/>
            </a:defRPr>
          </a:lvl6pPr>
          <a:lvl7pPr marL="2743200" indent="0">
            <a:defRPr sz="1100">
              <a:solidFill>
                <a:schemeClr val="lt1"/>
              </a:solidFill>
              <a:latin typeface="+mn-lt"/>
              <a:ea typeface="+mn-ea"/>
              <a:cs typeface="+mn-cs"/>
            </a:defRPr>
          </a:lvl7pPr>
          <a:lvl8pPr marL="3200400" indent="0">
            <a:defRPr sz="1100">
              <a:solidFill>
                <a:schemeClr val="lt1"/>
              </a:solidFill>
              <a:latin typeface="+mn-lt"/>
              <a:ea typeface="+mn-ea"/>
              <a:cs typeface="+mn-cs"/>
            </a:defRPr>
          </a:lvl8pPr>
          <a:lvl9pPr marL="3657600" indent="0">
            <a:defRPr sz="1100">
              <a:solidFill>
                <a:schemeClr val="lt1"/>
              </a:solidFill>
              <a:latin typeface="+mn-lt"/>
              <a:ea typeface="+mn-ea"/>
              <a:cs typeface="+mn-cs"/>
            </a:defRPr>
          </a:lvl9pPr>
        </a:lstStyle>
        <a:p xmlns:a="http://schemas.openxmlformats.org/drawingml/2006/main">
          <a:endParaRPr lang="en-US"/>
        </a:p>
      </cdr:txBody>
    </cdr:sp>
  </cdr:relSizeAnchor>
</c:userShapes>
</file>

<file path=word/drawings/drawing13.xml><?xml version="1.0" encoding="utf-8"?>
<c:userShapes xmlns:c="http://schemas.openxmlformats.org/drawingml/2006/chart">
  <cdr:relSizeAnchor xmlns:cdr="http://schemas.openxmlformats.org/drawingml/2006/chartDrawing">
    <cdr:from>
      <cdr:x>0.5301</cdr:x>
      <cdr:y>0</cdr:y>
    </cdr:from>
    <cdr:to>
      <cdr:x>1</cdr:x>
      <cdr:y>0.785</cdr:y>
    </cdr:to>
    <cdr:sp macro="" textlink="">
      <cdr:nvSpPr>
        <cdr:cNvPr id="2" name="Rectangle 1"/>
        <cdr:cNvSpPr/>
      </cdr:nvSpPr>
      <cdr:spPr>
        <a:xfrm xmlns:a="http://schemas.openxmlformats.org/drawingml/2006/main">
          <a:off x="1638301" y="0"/>
          <a:ext cx="1452244" cy="1847847"/>
        </a:xfrm>
        <a:prstGeom xmlns:a="http://schemas.openxmlformats.org/drawingml/2006/main" prst="rect">
          <a:avLst/>
        </a:prstGeom>
        <a:solidFill xmlns:a="http://schemas.openxmlformats.org/drawingml/2006/main">
          <a:srgbClr val="D8E2F4">
            <a:alpha val="50000"/>
          </a:srgbClr>
        </a:solidFill>
        <a:ln xmlns:a="http://schemas.openxmlformats.org/drawingml/2006/main">
          <a:noFill/>
        </a:ln>
      </cdr:spPr>
      <cdr:styl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minor">
          <a:schemeClr val="lt1"/>
        </a:fontRef>
      </cdr:style>
      <cdr:txBody>
        <a:bodyPr xmlns:a="http://schemas.openxmlformats.org/drawingml/2006/main"/>
        <a:lstStyle xmlns:a="http://schemas.openxmlformats.org/drawingml/2006/main">
          <a:lvl1pPr marL="0" indent="0">
            <a:defRPr sz="1100">
              <a:solidFill>
                <a:schemeClr val="lt1"/>
              </a:solidFill>
              <a:latin typeface="+mn-lt"/>
              <a:ea typeface="+mn-ea"/>
              <a:cs typeface="+mn-cs"/>
            </a:defRPr>
          </a:lvl1pPr>
          <a:lvl2pPr marL="457200" indent="0">
            <a:defRPr sz="1100">
              <a:solidFill>
                <a:schemeClr val="lt1"/>
              </a:solidFill>
              <a:latin typeface="+mn-lt"/>
              <a:ea typeface="+mn-ea"/>
              <a:cs typeface="+mn-cs"/>
            </a:defRPr>
          </a:lvl2pPr>
          <a:lvl3pPr marL="914400" indent="0">
            <a:defRPr sz="1100">
              <a:solidFill>
                <a:schemeClr val="lt1"/>
              </a:solidFill>
              <a:latin typeface="+mn-lt"/>
              <a:ea typeface="+mn-ea"/>
              <a:cs typeface="+mn-cs"/>
            </a:defRPr>
          </a:lvl3pPr>
          <a:lvl4pPr marL="1371600" indent="0">
            <a:defRPr sz="1100">
              <a:solidFill>
                <a:schemeClr val="lt1"/>
              </a:solidFill>
              <a:latin typeface="+mn-lt"/>
              <a:ea typeface="+mn-ea"/>
              <a:cs typeface="+mn-cs"/>
            </a:defRPr>
          </a:lvl4pPr>
          <a:lvl5pPr marL="1828800" indent="0">
            <a:defRPr sz="1100">
              <a:solidFill>
                <a:schemeClr val="lt1"/>
              </a:solidFill>
              <a:latin typeface="+mn-lt"/>
              <a:ea typeface="+mn-ea"/>
              <a:cs typeface="+mn-cs"/>
            </a:defRPr>
          </a:lvl5pPr>
          <a:lvl6pPr marL="2286000" indent="0">
            <a:defRPr sz="1100">
              <a:solidFill>
                <a:schemeClr val="lt1"/>
              </a:solidFill>
              <a:latin typeface="+mn-lt"/>
              <a:ea typeface="+mn-ea"/>
              <a:cs typeface="+mn-cs"/>
            </a:defRPr>
          </a:lvl6pPr>
          <a:lvl7pPr marL="2743200" indent="0">
            <a:defRPr sz="1100">
              <a:solidFill>
                <a:schemeClr val="lt1"/>
              </a:solidFill>
              <a:latin typeface="+mn-lt"/>
              <a:ea typeface="+mn-ea"/>
              <a:cs typeface="+mn-cs"/>
            </a:defRPr>
          </a:lvl7pPr>
          <a:lvl8pPr marL="3200400" indent="0">
            <a:defRPr sz="1100">
              <a:solidFill>
                <a:schemeClr val="lt1"/>
              </a:solidFill>
              <a:latin typeface="+mn-lt"/>
              <a:ea typeface="+mn-ea"/>
              <a:cs typeface="+mn-cs"/>
            </a:defRPr>
          </a:lvl8pPr>
          <a:lvl9pPr marL="3657600" indent="0">
            <a:defRPr sz="1100">
              <a:solidFill>
                <a:schemeClr val="lt1"/>
              </a:solidFill>
              <a:latin typeface="+mn-lt"/>
              <a:ea typeface="+mn-ea"/>
              <a:cs typeface="+mn-cs"/>
            </a:defRPr>
          </a:lvl9pPr>
        </a:lstStyle>
        <a:p xmlns:a="http://schemas.openxmlformats.org/drawingml/2006/main">
          <a:endParaRPr lang="en-US"/>
        </a:p>
      </cdr:txBody>
    </cdr:sp>
  </cdr:relSizeAnchor>
</c:userShapes>
</file>

<file path=word/drawings/drawing14.xml><?xml version="1.0" encoding="utf-8"?>
<c:userShapes xmlns:c="http://schemas.openxmlformats.org/drawingml/2006/chart">
  <cdr:relSizeAnchor xmlns:cdr="http://schemas.openxmlformats.org/drawingml/2006/chartDrawing">
    <cdr:from>
      <cdr:x>0.53981</cdr:x>
      <cdr:y>0.24286</cdr:y>
    </cdr:from>
    <cdr:to>
      <cdr:x>0.97907</cdr:x>
      <cdr:y>0.81429</cdr:y>
    </cdr:to>
    <cdr:sp macro="" textlink="">
      <cdr:nvSpPr>
        <cdr:cNvPr id="2" name="Rectangle 1"/>
        <cdr:cNvSpPr/>
      </cdr:nvSpPr>
      <cdr:spPr>
        <a:xfrm xmlns:a="http://schemas.openxmlformats.org/drawingml/2006/main">
          <a:off x="1657350" y="555178"/>
          <a:ext cx="1348615" cy="1306289"/>
        </a:xfrm>
        <a:prstGeom xmlns:a="http://schemas.openxmlformats.org/drawingml/2006/main" prst="rect">
          <a:avLst/>
        </a:prstGeom>
        <a:solidFill xmlns:a="http://schemas.openxmlformats.org/drawingml/2006/main">
          <a:schemeClr val="accent1">
            <a:lumMod val="40000"/>
            <a:lumOff val="60000"/>
            <a:alpha val="36000"/>
          </a:schemeClr>
        </a:solidFill>
        <a:ln xmlns:a="http://schemas.openxmlformats.org/drawingml/2006/main">
          <a:noFill/>
        </a:ln>
      </cdr:spPr>
      <cdr: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vertOverflow="clip"/>
        <a:lstStyle xmlns:a="http://schemas.openxmlformats.org/drawingml/2006/main"/>
        <a:p xmlns:a="http://schemas.openxmlformats.org/drawingml/2006/main">
          <a:endParaRPr lang="en-US"/>
        </a:p>
      </cdr:txBody>
    </cdr:sp>
  </cdr:relSizeAnchor>
</c:userShapes>
</file>

<file path=word/drawings/drawing15.xml><?xml version="1.0" encoding="utf-8"?>
<c:userShapes xmlns:c="http://schemas.openxmlformats.org/drawingml/2006/chart">
  <cdr:relSizeAnchor xmlns:cdr="http://schemas.openxmlformats.org/drawingml/2006/chartDrawing">
    <cdr:from>
      <cdr:x>0.48503</cdr:x>
      <cdr:y>6.07563E-7</cdr:y>
    </cdr:from>
    <cdr:to>
      <cdr:x>1</cdr:x>
      <cdr:y>0.7393</cdr:y>
    </cdr:to>
    <cdr:sp macro="" textlink="">
      <cdr:nvSpPr>
        <cdr:cNvPr id="2" name="Rounded Rectangle 1"/>
        <cdr:cNvSpPr/>
      </cdr:nvSpPr>
      <cdr:spPr>
        <a:xfrm xmlns:a="http://schemas.openxmlformats.org/drawingml/2006/main">
          <a:off x="1419225" y="1"/>
          <a:ext cx="1506855" cy="1216828"/>
        </a:xfrm>
        <a:prstGeom xmlns:a="http://schemas.openxmlformats.org/drawingml/2006/main" prst="rect">
          <a:avLst/>
        </a:prstGeom>
        <a:solidFill xmlns:a="http://schemas.openxmlformats.org/drawingml/2006/main">
          <a:schemeClr val="bg1">
            <a:lumMod val="85000"/>
            <a:alpha val="30000"/>
          </a:schemeClr>
        </a:solidFill>
        <a:ln xmlns:a="http://schemas.openxmlformats.org/drawingml/2006/main">
          <a:noFill/>
        </a:ln>
      </cdr:spPr>
      <cdr:styl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minor">
          <a:schemeClr val="lt1"/>
        </a:fontRef>
      </cdr:style>
      <cdr:txBody>
        <a:bodyPr xmlns:a="http://schemas.openxmlformats.org/drawingml/2006/main" rot="0" spcFirstLastPara="0" vert="horz" wrap="square" lIns="91440" tIns="45720" rIns="91440" bIns="45720" numCol="1" spcCol="0" rtlCol="0" fromWordArt="0" anchor="ctr" anchorCtr="0" forceAA="0" compatLnSpc="1">
          <a:prstTxWarp prst="textNoShape">
            <a:avLst/>
          </a:prstTxWarp>
          <a:noAutofit/>
        </a:bodyPr>
        <a:lstStyle xmlns:a="http://schemas.openxmlformats.org/drawingml/2006/main"/>
        <a:p xmlns:a="http://schemas.openxmlformats.org/drawingml/2006/main">
          <a:endParaRPr lang="en-US"/>
        </a:p>
      </cdr:txBody>
    </cdr:sp>
  </cdr:relSizeAnchor>
</c:userShapes>
</file>

<file path=word/drawings/drawing16.xml><?xml version="1.0" encoding="utf-8"?>
<c:userShapes xmlns:c="http://schemas.openxmlformats.org/drawingml/2006/chart">
  <cdr:relSizeAnchor xmlns:cdr="http://schemas.openxmlformats.org/drawingml/2006/chartDrawing">
    <cdr:from>
      <cdr:x>0.48177</cdr:x>
      <cdr:y>6.07563E-7</cdr:y>
    </cdr:from>
    <cdr:to>
      <cdr:x>1</cdr:x>
      <cdr:y>0.7393</cdr:y>
    </cdr:to>
    <cdr:sp macro="" textlink="">
      <cdr:nvSpPr>
        <cdr:cNvPr id="2" name="Rounded Rectangle 1"/>
        <cdr:cNvSpPr/>
      </cdr:nvSpPr>
      <cdr:spPr>
        <a:xfrm xmlns:a="http://schemas.openxmlformats.org/drawingml/2006/main">
          <a:off x="1409701" y="1"/>
          <a:ext cx="1516379" cy="1216828"/>
        </a:xfrm>
        <a:prstGeom xmlns:a="http://schemas.openxmlformats.org/drawingml/2006/main" prst="rect">
          <a:avLst/>
        </a:prstGeom>
        <a:solidFill xmlns:a="http://schemas.openxmlformats.org/drawingml/2006/main">
          <a:schemeClr val="bg1">
            <a:lumMod val="85000"/>
            <a:alpha val="30000"/>
          </a:schemeClr>
        </a:solidFill>
        <a:ln xmlns:a="http://schemas.openxmlformats.org/drawingml/2006/main">
          <a:noFill/>
        </a:ln>
      </cdr:spPr>
      <cdr:styl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minor">
          <a:schemeClr val="lt1"/>
        </a:fontRef>
      </cdr:style>
      <cdr:txBody>
        <a:bodyPr xmlns:a="http://schemas.openxmlformats.org/drawingml/2006/main" rot="0" spcFirstLastPara="0" vert="horz" wrap="square" lIns="91440" tIns="45720" rIns="91440" bIns="45720" numCol="1" spcCol="0" rtlCol="0" fromWordArt="0" anchor="ctr" anchorCtr="0" forceAA="0" compatLnSpc="1">
          <a:prstTxWarp prst="textNoShape">
            <a:avLst/>
          </a:prstTxWarp>
          <a:noAutofit/>
        </a:bodyPr>
        <a:lstStyle xmlns:a="http://schemas.openxmlformats.org/drawingml/2006/main">
          <a:lvl1pPr marL="0" indent="0">
            <a:defRPr sz="1100">
              <a:solidFill>
                <a:schemeClr val="lt1"/>
              </a:solidFill>
              <a:latin typeface="+mn-lt"/>
              <a:ea typeface="+mn-ea"/>
              <a:cs typeface="+mn-cs"/>
            </a:defRPr>
          </a:lvl1pPr>
          <a:lvl2pPr marL="457200" indent="0">
            <a:defRPr sz="1100">
              <a:solidFill>
                <a:schemeClr val="lt1"/>
              </a:solidFill>
              <a:latin typeface="+mn-lt"/>
              <a:ea typeface="+mn-ea"/>
              <a:cs typeface="+mn-cs"/>
            </a:defRPr>
          </a:lvl2pPr>
          <a:lvl3pPr marL="914400" indent="0">
            <a:defRPr sz="1100">
              <a:solidFill>
                <a:schemeClr val="lt1"/>
              </a:solidFill>
              <a:latin typeface="+mn-lt"/>
              <a:ea typeface="+mn-ea"/>
              <a:cs typeface="+mn-cs"/>
            </a:defRPr>
          </a:lvl3pPr>
          <a:lvl4pPr marL="1371600" indent="0">
            <a:defRPr sz="1100">
              <a:solidFill>
                <a:schemeClr val="lt1"/>
              </a:solidFill>
              <a:latin typeface="+mn-lt"/>
              <a:ea typeface="+mn-ea"/>
              <a:cs typeface="+mn-cs"/>
            </a:defRPr>
          </a:lvl4pPr>
          <a:lvl5pPr marL="1828800" indent="0">
            <a:defRPr sz="1100">
              <a:solidFill>
                <a:schemeClr val="lt1"/>
              </a:solidFill>
              <a:latin typeface="+mn-lt"/>
              <a:ea typeface="+mn-ea"/>
              <a:cs typeface="+mn-cs"/>
            </a:defRPr>
          </a:lvl5pPr>
          <a:lvl6pPr marL="2286000" indent="0">
            <a:defRPr sz="1100">
              <a:solidFill>
                <a:schemeClr val="lt1"/>
              </a:solidFill>
              <a:latin typeface="+mn-lt"/>
              <a:ea typeface="+mn-ea"/>
              <a:cs typeface="+mn-cs"/>
            </a:defRPr>
          </a:lvl6pPr>
          <a:lvl7pPr marL="2743200" indent="0">
            <a:defRPr sz="1100">
              <a:solidFill>
                <a:schemeClr val="lt1"/>
              </a:solidFill>
              <a:latin typeface="+mn-lt"/>
              <a:ea typeface="+mn-ea"/>
              <a:cs typeface="+mn-cs"/>
            </a:defRPr>
          </a:lvl7pPr>
          <a:lvl8pPr marL="3200400" indent="0">
            <a:defRPr sz="1100">
              <a:solidFill>
                <a:schemeClr val="lt1"/>
              </a:solidFill>
              <a:latin typeface="+mn-lt"/>
              <a:ea typeface="+mn-ea"/>
              <a:cs typeface="+mn-cs"/>
            </a:defRPr>
          </a:lvl8pPr>
          <a:lvl9pPr marL="3657600" indent="0">
            <a:defRPr sz="1100">
              <a:solidFill>
                <a:schemeClr val="lt1"/>
              </a:solidFill>
              <a:latin typeface="+mn-lt"/>
              <a:ea typeface="+mn-ea"/>
              <a:cs typeface="+mn-cs"/>
            </a:defRPr>
          </a:lvl9pPr>
        </a:lstStyle>
        <a:p xmlns:a="http://schemas.openxmlformats.org/drawingml/2006/main">
          <a:endParaRPr lang="en-US"/>
        </a:p>
      </cdr:txBody>
    </cdr:sp>
  </cdr:relSizeAnchor>
</c:userShapes>
</file>

<file path=word/drawings/drawing17.xml><?xml version="1.0" encoding="utf-8"?>
<c:userShapes xmlns:c="http://schemas.openxmlformats.org/drawingml/2006/chart">
  <cdr:relSizeAnchor xmlns:cdr="http://schemas.openxmlformats.org/drawingml/2006/chartDrawing">
    <cdr:from>
      <cdr:x>0.37109</cdr:x>
      <cdr:y>0.20901</cdr:y>
    </cdr:from>
    <cdr:to>
      <cdr:x>0.70613</cdr:x>
      <cdr:y>0.95</cdr:y>
    </cdr:to>
    <cdr:sp macro="" textlink="">
      <cdr:nvSpPr>
        <cdr:cNvPr id="2" name="Rectangle 1"/>
        <cdr:cNvSpPr/>
      </cdr:nvSpPr>
      <cdr:spPr>
        <a:xfrm xmlns:a="http://schemas.openxmlformats.org/drawingml/2006/main">
          <a:off x="1085850" y="477796"/>
          <a:ext cx="980343" cy="1693903"/>
        </a:xfrm>
        <a:prstGeom xmlns:a="http://schemas.openxmlformats.org/drawingml/2006/main" prst="rect">
          <a:avLst/>
        </a:prstGeom>
        <a:solidFill xmlns:a="http://schemas.openxmlformats.org/drawingml/2006/main">
          <a:schemeClr val="bg1">
            <a:lumMod val="85000"/>
            <a:alpha val="25000"/>
          </a:schemeClr>
        </a:solidFill>
        <a:ln xmlns:a="http://schemas.openxmlformats.org/drawingml/2006/main">
          <a:noFill/>
        </a:ln>
      </cdr:spPr>
      <cdr: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rot="0" spcFirstLastPara="0" vert="horz" wrap="square" lIns="91440" tIns="45720" rIns="91440" bIns="45720" numCol="1" spcCol="0" rtlCol="0" fromWordArt="0" anchor="ctr" anchorCtr="0" forceAA="0" compatLnSpc="1">
          <a:prstTxWarp prst="textNoShape">
            <a:avLst/>
          </a:prstTxWarp>
          <a:noAutofit/>
        </a:bodyPr>
        <a:lstStyle xmlns:a="http://schemas.openxmlformats.org/drawingml/2006/main"/>
        <a:p xmlns:a="http://schemas.openxmlformats.org/drawingml/2006/main">
          <a:endParaRPr lang="en-US"/>
        </a:p>
      </cdr:txBody>
    </cdr:sp>
  </cdr:relSizeAnchor>
</c:userShapes>
</file>

<file path=word/drawings/drawing18.xml><?xml version="1.0" encoding="utf-8"?>
<c:userShapes xmlns:c="http://schemas.openxmlformats.org/drawingml/2006/chart">
  <cdr:relSizeAnchor xmlns:cdr="http://schemas.openxmlformats.org/drawingml/2006/chartDrawing">
    <cdr:from>
      <cdr:x>0.46875</cdr:x>
      <cdr:y>0.18018</cdr:y>
    </cdr:from>
    <cdr:to>
      <cdr:x>0.88152</cdr:x>
      <cdr:y>0.72333</cdr:y>
    </cdr:to>
    <cdr:sp macro="" textlink="">
      <cdr:nvSpPr>
        <cdr:cNvPr id="2" name="Rectangle 1"/>
        <cdr:cNvSpPr/>
      </cdr:nvSpPr>
      <cdr:spPr>
        <a:xfrm xmlns:a="http://schemas.openxmlformats.org/drawingml/2006/main">
          <a:off x="1371600" y="411891"/>
          <a:ext cx="1207797" cy="1241641"/>
        </a:xfrm>
        <a:prstGeom xmlns:a="http://schemas.openxmlformats.org/drawingml/2006/main" prst="rect">
          <a:avLst/>
        </a:prstGeom>
        <a:solidFill xmlns:a="http://schemas.openxmlformats.org/drawingml/2006/main">
          <a:schemeClr val="bg1">
            <a:lumMod val="85000"/>
            <a:alpha val="35000"/>
          </a:schemeClr>
        </a:solidFill>
        <a:ln xmlns:a="http://schemas.openxmlformats.org/drawingml/2006/main">
          <a:noFill/>
        </a:ln>
      </cdr:spPr>
      <cdr: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vertOverflow="clip"/>
        <a:lstStyle xmlns:a="http://schemas.openxmlformats.org/drawingml/2006/main"/>
        <a:p xmlns:a="http://schemas.openxmlformats.org/drawingml/2006/main">
          <a:endParaRPr lang="hy-AM"/>
        </a:p>
      </cdr:txBody>
    </cdr:sp>
  </cdr:relSizeAnchor>
</c:userShapes>
</file>

<file path=word/theme/theme1.xml><?xml version="1.0" encoding="utf-8"?>
<a:theme xmlns:a="http://schemas.openxmlformats.org/drawingml/2006/main" name="Office Theme">
  <a:themeElements>
    <a:clrScheme name="Custom 10">
      <a:dk1>
        <a:sysClr val="windowText" lastClr="000000"/>
      </a:dk1>
      <a:lt1>
        <a:sysClr val="window" lastClr="FFFFFF"/>
      </a:lt1>
      <a:dk2>
        <a:srgbClr val="44546A"/>
      </a:dk2>
      <a:lt2>
        <a:srgbClr val="E7E6E6"/>
      </a:lt2>
      <a:accent1>
        <a:srgbClr val="5B9BD5"/>
      </a:accent1>
      <a:accent2>
        <a:srgbClr val="ED7D31"/>
      </a:accent2>
      <a:accent3>
        <a:srgbClr val="6B6C74"/>
      </a:accent3>
      <a:accent4>
        <a:srgbClr val="FFC000"/>
      </a:accent4>
      <a:accent5>
        <a:srgbClr val="4472C4"/>
      </a:accent5>
      <a:accent6>
        <a:srgbClr val="70AD47"/>
      </a:accent6>
      <a:hlink>
        <a:srgbClr val="0563C1"/>
      </a:hlink>
      <a:folHlink>
        <a:srgbClr val="954F72"/>
      </a:folHlink>
    </a:clrScheme>
    <a:fontScheme name="Custom 2">
      <a:majorFont>
        <a:latin typeface="GHEA Grapalat"/>
        <a:ea typeface=""/>
        <a:cs typeface=""/>
      </a:majorFont>
      <a:minorFont>
        <a:latin typeface="GHEA Grapalat"/>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7.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8.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9.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0.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5.xml><?xml version="1.0" encoding="utf-8"?>
<a:themeOverride xmlns:a="http://schemas.openxmlformats.org/drawingml/2006/main">
  <a:clrScheme name="Custom 10">
    <a:dk1>
      <a:sysClr val="windowText" lastClr="000000"/>
    </a:dk1>
    <a:lt1>
      <a:sysClr val="window" lastClr="FFFFFF"/>
    </a:lt1>
    <a:dk2>
      <a:srgbClr val="44546A"/>
    </a:dk2>
    <a:lt2>
      <a:srgbClr val="E7E6E6"/>
    </a:lt2>
    <a:accent1>
      <a:srgbClr val="5B9BD5"/>
    </a:accent1>
    <a:accent2>
      <a:srgbClr val="ED7D31"/>
    </a:accent2>
    <a:accent3>
      <a:srgbClr val="6B6C74"/>
    </a:accent3>
    <a:accent4>
      <a:srgbClr val="FFC000"/>
    </a:accent4>
    <a:accent5>
      <a:srgbClr val="4472C4"/>
    </a:accent5>
    <a:accent6>
      <a:srgbClr val="70AD47"/>
    </a:accent6>
    <a:hlink>
      <a:srgbClr val="0563C1"/>
    </a:hlink>
    <a:folHlink>
      <a:srgbClr val="954F72"/>
    </a:folHlink>
  </a:clrScheme>
  <a:fontScheme name="Custom 2">
    <a:majorFont>
      <a:latin typeface="GHEA Grapalat"/>
      <a:ea typeface=""/>
      <a:cs typeface=""/>
    </a:majorFont>
    <a:minorFont>
      <a:latin typeface="GHEA Grapalat"/>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6.xml><?xml version="1.0" encoding="utf-8"?>
<a:themeOverride xmlns:a="http://schemas.openxmlformats.org/drawingml/2006/main">
  <a:clrScheme name="Custom 10">
    <a:dk1>
      <a:sysClr val="windowText" lastClr="000000"/>
    </a:dk1>
    <a:lt1>
      <a:sysClr val="window" lastClr="FFFFFF"/>
    </a:lt1>
    <a:dk2>
      <a:srgbClr val="44546A"/>
    </a:dk2>
    <a:lt2>
      <a:srgbClr val="E7E6E6"/>
    </a:lt2>
    <a:accent1>
      <a:srgbClr val="5B9BD5"/>
    </a:accent1>
    <a:accent2>
      <a:srgbClr val="ED7D31"/>
    </a:accent2>
    <a:accent3>
      <a:srgbClr val="6B6C74"/>
    </a:accent3>
    <a:accent4>
      <a:srgbClr val="FFC000"/>
    </a:accent4>
    <a:accent5>
      <a:srgbClr val="4472C4"/>
    </a:accent5>
    <a:accent6>
      <a:srgbClr val="70AD47"/>
    </a:accent6>
    <a:hlink>
      <a:srgbClr val="0563C1"/>
    </a:hlink>
    <a:folHlink>
      <a:srgbClr val="954F72"/>
    </a:folHlink>
  </a:clrScheme>
  <a:fontScheme name="Custom 2">
    <a:majorFont>
      <a:latin typeface="GHEA Grapalat"/>
      <a:ea typeface=""/>
      <a:cs typeface=""/>
    </a:majorFont>
    <a:minorFont>
      <a:latin typeface="GHEA Grapalat"/>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7.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8.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9.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0.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4.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5.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6.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7.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8.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9.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0.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6.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7.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8.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9.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0.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3.xml><?xml version="1.0" encoding="utf-8"?>
<a:themeOverride xmlns:a="http://schemas.openxmlformats.org/drawingml/2006/main">
  <a:clrScheme name="Custom 10">
    <a:dk1>
      <a:sysClr val="windowText" lastClr="000000"/>
    </a:dk1>
    <a:lt1>
      <a:sysClr val="window" lastClr="FFFFFF"/>
    </a:lt1>
    <a:dk2>
      <a:srgbClr val="44546A"/>
    </a:dk2>
    <a:lt2>
      <a:srgbClr val="E7E6E6"/>
    </a:lt2>
    <a:accent1>
      <a:srgbClr val="5B9BD5"/>
    </a:accent1>
    <a:accent2>
      <a:srgbClr val="ED7D31"/>
    </a:accent2>
    <a:accent3>
      <a:srgbClr val="6B6C74"/>
    </a:accent3>
    <a:accent4>
      <a:srgbClr val="FFC000"/>
    </a:accent4>
    <a:accent5>
      <a:srgbClr val="4472C4"/>
    </a:accent5>
    <a:accent6>
      <a:srgbClr val="70AD47"/>
    </a:accent6>
    <a:hlink>
      <a:srgbClr val="0563C1"/>
    </a:hlink>
    <a:folHlink>
      <a:srgbClr val="954F72"/>
    </a:folHlink>
  </a:clrScheme>
  <a:fontScheme name="Custom 2">
    <a:majorFont>
      <a:latin typeface="GHEA Grapalat"/>
      <a:ea typeface=""/>
      <a:cs typeface=""/>
    </a:majorFont>
    <a:minorFont>
      <a:latin typeface="GHEA Grapalat"/>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4.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5.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6.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7.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8.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9.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0.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1.xml><?xml version="1.0" encoding="utf-8"?>
<a:themeOverride xmlns:a="http://schemas.openxmlformats.org/drawingml/2006/main">
  <a:clrScheme name="Custom 10">
    <a:dk1>
      <a:sysClr val="windowText" lastClr="000000"/>
    </a:dk1>
    <a:lt1>
      <a:sysClr val="window" lastClr="FFFFFF"/>
    </a:lt1>
    <a:dk2>
      <a:srgbClr val="44546A"/>
    </a:dk2>
    <a:lt2>
      <a:srgbClr val="E7E6E6"/>
    </a:lt2>
    <a:accent1>
      <a:srgbClr val="5B9BD5"/>
    </a:accent1>
    <a:accent2>
      <a:srgbClr val="ED7D31"/>
    </a:accent2>
    <a:accent3>
      <a:srgbClr val="6B6C74"/>
    </a:accent3>
    <a:accent4>
      <a:srgbClr val="FFC000"/>
    </a:accent4>
    <a:accent5>
      <a:srgbClr val="4472C4"/>
    </a:accent5>
    <a:accent6>
      <a:srgbClr val="70AD47"/>
    </a:accent6>
    <a:hlink>
      <a:srgbClr val="0563C1"/>
    </a:hlink>
    <a:folHlink>
      <a:srgbClr val="954F72"/>
    </a:folHlink>
  </a:clrScheme>
  <a:fontScheme name="Custom 2">
    <a:majorFont>
      <a:latin typeface="GHEA Grapalat"/>
      <a:ea typeface=""/>
      <a:cs typeface=""/>
    </a:majorFont>
    <a:minorFont>
      <a:latin typeface="GHEA Grapalat"/>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54.xml><?xml version="1.0" encoding="utf-8"?>
<a:themeOverride xmlns:a="http://schemas.openxmlformats.org/drawingml/2006/main">
  <a:clrScheme name="Custom 10">
    <a:dk1>
      <a:sysClr val="windowText" lastClr="000000"/>
    </a:dk1>
    <a:lt1>
      <a:sysClr val="window" lastClr="FFFFFF"/>
    </a:lt1>
    <a:dk2>
      <a:srgbClr val="44546A"/>
    </a:dk2>
    <a:lt2>
      <a:srgbClr val="E7E6E6"/>
    </a:lt2>
    <a:accent1>
      <a:srgbClr val="5B9BD5"/>
    </a:accent1>
    <a:accent2>
      <a:srgbClr val="ED7D31"/>
    </a:accent2>
    <a:accent3>
      <a:srgbClr val="6B6C74"/>
    </a:accent3>
    <a:accent4>
      <a:srgbClr val="FFC000"/>
    </a:accent4>
    <a:accent5>
      <a:srgbClr val="4472C4"/>
    </a:accent5>
    <a:accent6>
      <a:srgbClr val="70AD47"/>
    </a:accent6>
    <a:hlink>
      <a:srgbClr val="0563C1"/>
    </a:hlink>
    <a:folHlink>
      <a:srgbClr val="954F72"/>
    </a:folHlink>
  </a:clrScheme>
  <a:fontScheme name="Custom 2">
    <a:majorFont>
      <a:latin typeface="GHEA Grapalat"/>
      <a:ea typeface=""/>
      <a:cs typeface=""/>
    </a:majorFont>
    <a:minorFont>
      <a:latin typeface="GHEA Grapalat"/>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5.xml><?xml version="1.0" encoding="utf-8"?>
<a:themeOverride xmlns:a="http://schemas.openxmlformats.org/drawingml/2006/main">
  <a:clrScheme name="Custom 10">
    <a:dk1>
      <a:sysClr val="windowText" lastClr="000000"/>
    </a:dk1>
    <a:lt1>
      <a:sysClr val="window" lastClr="FFFFFF"/>
    </a:lt1>
    <a:dk2>
      <a:srgbClr val="44546A"/>
    </a:dk2>
    <a:lt2>
      <a:srgbClr val="E7E6E6"/>
    </a:lt2>
    <a:accent1>
      <a:srgbClr val="5B9BD5"/>
    </a:accent1>
    <a:accent2>
      <a:srgbClr val="ED7D31"/>
    </a:accent2>
    <a:accent3>
      <a:srgbClr val="6B6C74"/>
    </a:accent3>
    <a:accent4>
      <a:srgbClr val="FFC000"/>
    </a:accent4>
    <a:accent5>
      <a:srgbClr val="4472C4"/>
    </a:accent5>
    <a:accent6>
      <a:srgbClr val="70AD47"/>
    </a:accent6>
    <a:hlink>
      <a:srgbClr val="0563C1"/>
    </a:hlink>
    <a:folHlink>
      <a:srgbClr val="954F72"/>
    </a:folHlink>
  </a:clrScheme>
  <a:fontScheme name="Custom 2">
    <a:majorFont>
      <a:latin typeface="GHEA Grapalat"/>
      <a:ea typeface=""/>
      <a:cs typeface=""/>
    </a:majorFont>
    <a:minorFont>
      <a:latin typeface="GHEA Grapalat"/>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6.xml><?xml version="1.0" encoding="utf-8"?>
<a:themeOverride xmlns:a="http://schemas.openxmlformats.org/drawingml/2006/main">
  <a:clrScheme name="Custom 10">
    <a:dk1>
      <a:sysClr val="windowText" lastClr="000000"/>
    </a:dk1>
    <a:lt1>
      <a:sysClr val="window" lastClr="FFFFFF"/>
    </a:lt1>
    <a:dk2>
      <a:srgbClr val="44546A"/>
    </a:dk2>
    <a:lt2>
      <a:srgbClr val="E7E6E6"/>
    </a:lt2>
    <a:accent1>
      <a:srgbClr val="5B9BD5"/>
    </a:accent1>
    <a:accent2>
      <a:srgbClr val="ED7D31"/>
    </a:accent2>
    <a:accent3>
      <a:srgbClr val="6B6C74"/>
    </a:accent3>
    <a:accent4>
      <a:srgbClr val="FFC000"/>
    </a:accent4>
    <a:accent5>
      <a:srgbClr val="4472C4"/>
    </a:accent5>
    <a:accent6>
      <a:srgbClr val="70AD47"/>
    </a:accent6>
    <a:hlink>
      <a:srgbClr val="0563C1"/>
    </a:hlink>
    <a:folHlink>
      <a:srgbClr val="954F72"/>
    </a:folHlink>
  </a:clrScheme>
  <a:fontScheme name="Custom 2">
    <a:majorFont>
      <a:latin typeface="GHEA Grapalat"/>
      <a:ea typeface=""/>
      <a:cs typeface=""/>
    </a:majorFont>
    <a:minorFont>
      <a:latin typeface="GHEA Grapalat"/>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7.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58.xml><?xml version="1.0" encoding="utf-8"?>
<a:themeOverride xmlns:a="http://schemas.openxmlformats.org/drawingml/2006/main">
  <a:clrScheme name="Custom 10">
    <a:dk1>
      <a:sysClr val="windowText" lastClr="000000"/>
    </a:dk1>
    <a:lt1>
      <a:sysClr val="window" lastClr="FFFFFF"/>
    </a:lt1>
    <a:dk2>
      <a:srgbClr val="44546A"/>
    </a:dk2>
    <a:lt2>
      <a:srgbClr val="E7E6E6"/>
    </a:lt2>
    <a:accent1>
      <a:srgbClr val="5B9BD5"/>
    </a:accent1>
    <a:accent2>
      <a:srgbClr val="ED7D31"/>
    </a:accent2>
    <a:accent3>
      <a:srgbClr val="6B6C74"/>
    </a:accent3>
    <a:accent4>
      <a:srgbClr val="FFC000"/>
    </a:accent4>
    <a:accent5>
      <a:srgbClr val="4472C4"/>
    </a:accent5>
    <a:accent6>
      <a:srgbClr val="70AD47"/>
    </a:accent6>
    <a:hlink>
      <a:srgbClr val="0563C1"/>
    </a:hlink>
    <a:folHlink>
      <a:srgbClr val="954F72"/>
    </a:folHlink>
  </a:clrScheme>
  <a:fontScheme name="Custom 2">
    <a:majorFont>
      <a:latin typeface="GHEA Grapalat"/>
      <a:ea typeface=""/>
      <a:cs typeface=""/>
    </a:majorFont>
    <a:minorFont>
      <a:latin typeface="GHEA Grapalat"/>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9.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0.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3.xml><?xml version="1.0" encoding="utf-8"?>
<a:themeOverride xmlns:a="http://schemas.openxmlformats.org/drawingml/2006/main">
  <a:clrScheme name="Custom 10">
    <a:dk1>
      <a:sysClr val="windowText" lastClr="000000"/>
    </a:dk1>
    <a:lt1>
      <a:sysClr val="window" lastClr="FFFFFF"/>
    </a:lt1>
    <a:dk2>
      <a:srgbClr val="44546A"/>
    </a:dk2>
    <a:lt2>
      <a:srgbClr val="E7E6E6"/>
    </a:lt2>
    <a:accent1>
      <a:srgbClr val="5B9BD5"/>
    </a:accent1>
    <a:accent2>
      <a:srgbClr val="ED7D31"/>
    </a:accent2>
    <a:accent3>
      <a:srgbClr val="6B6C74"/>
    </a:accent3>
    <a:accent4>
      <a:srgbClr val="FFC000"/>
    </a:accent4>
    <a:accent5>
      <a:srgbClr val="4472C4"/>
    </a:accent5>
    <a:accent6>
      <a:srgbClr val="70AD47"/>
    </a:accent6>
    <a:hlink>
      <a:srgbClr val="0563C1"/>
    </a:hlink>
    <a:folHlink>
      <a:srgbClr val="954F72"/>
    </a:folHlink>
  </a:clrScheme>
  <a:fontScheme name="Custom 2">
    <a:majorFont>
      <a:latin typeface="GHEA Grapalat"/>
      <a:ea typeface=""/>
      <a:cs typeface=""/>
    </a:majorFont>
    <a:minorFont>
      <a:latin typeface="GHEA Grapalat"/>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4.xml><?xml version="1.0" encoding="utf-8"?>
<a:themeOverride xmlns:a="http://schemas.openxmlformats.org/drawingml/2006/main">
  <a:clrScheme name="Custom 10">
    <a:dk1>
      <a:sysClr val="windowText" lastClr="000000"/>
    </a:dk1>
    <a:lt1>
      <a:sysClr val="window" lastClr="FFFFFF"/>
    </a:lt1>
    <a:dk2>
      <a:srgbClr val="44546A"/>
    </a:dk2>
    <a:lt2>
      <a:srgbClr val="E7E6E6"/>
    </a:lt2>
    <a:accent1>
      <a:srgbClr val="5B9BD5"/>
    </a:accent1>
    <a:accent2>
      <a:srgbClr val="ED7D31"/>
    </a:accent2>
    <a:accent3>
      <a:srgbClr val="6B6C74"/>
    </a:accent3>
    <a:accent4>
      <a:srgbClr val="FFC000"/>
    </a:accent4>
    <a:accent5>
      <a:srgbClr val="4472C4"/>
    </a:accent5>
    <a:accent6>
      <a:srgbClr val="70AD47"/>
    </a:accent6>
    <a:hlink>
      <a:srgbClr val="0563C1"/>
    </a:hlink>
    <a:folHlink>
      <a:srgbClr val="954F72"/>
    </a:folHlink>
  </a:clrScheme>
  <a:fontScheme name="Custom 2">
    <a:majorFont>
      <a:latin typeface="GHEA Grapalat"/>
      <a:ea typeface=""/>
      <a:cs typeface=""/>
    </a:majorFont>
    <a:minorFont>
      <a:latin typeface="GHEA Grapalat"/>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6.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7.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8.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9.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70.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7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7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7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4600C5-4B93-489C-9D67-EE1334B032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196</TotalTime>
  <Pages>183</Pages>
  <Words>38276</Words>
  <Characters>288663</Characters>
  <Application>Microsoft Office Word</Application>
  <DocSecurity>0</DocSecurity>
  <Lines>12027</Lines>
  <Paragraphs>5108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Meri Poghosyan</dc:creator>
  <cp:keywords>https:/mul2-minfin.gov.am/tasks/1069493/oneclick?token=842af5fc3d5e1f5e7bc8b47b22e2dca1</cp:keywords>
  <dc:description/>
  <cp:lastModifiedBy>Ani Davoyan</cp:lastModifiedBy>
  <cp:revision>30</cp:revision>
  <cp:lastPrinted>2025-11-27T13:21:00Z</cp:lastPrinted>
  <dcterms:created xsi:type="dcterms:W3CDTF">2025-11-26T15:54:00Z</dcterms:created>
  <dcterms:modified xsi:type="dcterms:W3CDTF">2025-11-27T15:02:00Z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a197ae94bd00e58572c34e7b1abab84c1e2709610632af0359ef747767f103fb</vt:lpwstr>
  </property>
</Properties>
</file>